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3984F8" w14:textId="77777777" w:rsidR="00C95A78" w:rsidRPr="008C6F8C" w:rsidRDefault="00C95A78" w:rsidP="006F6C8B">
      <w:pPr>
        <w:pStyle w:val="GUIDE-NORMAL"/>
        <w:rPr>
          <w:noProof/>
          <w:lang w:val="sl-SI"/>
        </w:rPr>
      </w:pPr>
    </w:p>
    <w:p w14:paraId="7D3984F9" w14:textId="77777777" w:rsidR="00AE3D63" w:rsidRPr="001048FE" w:rsidRDefault="00AE3D63" w:rsidP="00746821">
      <w:pPr>
        <w:pStyle w:val="GUIDE-NORMAL"/>
        <w:rPr>
          <w:lang w:val="sl-SI"/>
        </w:rPr>
      </w:pPr>
    </w:p>
    <w:p w14:paraId="7D3984FA" w14:textId="77777777" w:rsidR="00746821" w:rsidRPr="001048FE" w:rsidRDefault="00746821" w:rsidP="00746821">
      <w:pPr>
        <w:pStyle w:val="GUIDE-NORMAL"/>
        <w:rPr>
          <w:lang w:val="sl-SI"/>
        </w:rPr>
      </w:pPr>
    </w:p>
    <w:p w14:paraId="7D3984FB" w14:textId="77777777" w:rsidR="00746821" w:rsidRPr="001048FE" w:rsidRDefault="00746821" w:rsidP="00746821">
      <w:pPr>
        <w:pStyle w:val="GUIDE-NORMAL"/>
        <w:rPr>
          <w:lang w:val="sl-SI"/>
        </w:rPr>
      </w:pPr>
    </w:p>
    <w:p w14:paraId="7D3984FC" w14:textId="77777777" w:rsidR="00746821" w:rsidRPr="001048FE" w:rsidRDefault="00746821" w:rsidP="00746821">
      <w:pPr>
        <w:pStyle w:val="GUIDE-NORMAL"/>
        <w:rPr>
          <w:lang w:val="sl-SI"/>
        </w:rPr>
      </w:pPr>
    </w:p>
    <w:p w14:paraId="7D3984FD" w14:textId="77777777" w:rsidR="007B57ED" w:rsidRPr="001048FE" w:rsidRDefault="00390B64" w:rsidP="006F6C8B">
      <w:pPr>
        <w:pStyle w:val="Guide-Title"/>
        <w:rPr>
          <w:lang w:val="sl-SI"/>
        </w:rPr>
      </w:pPr>
      <w:r w:rsidRPr="001048FE">
        <w:rPr>
          <w:lang w:val="sl-SI"/>
        </w:rPr>
        <w:t>Erasmus+</w:t>
      </w:r>
    </w:p>
    <w:p w14:paraId="7D3984FE" w14:textId="77777777" w:rsidR="00C95A78" w:rsidRPr="001048FE" w:rsidRDefault="004055C3" w:rsidP="006F6C8B">
      <w:pPr>
        <w:pStyle w:val="Guide-Subtitle"/>
        <w:rPr>
          <w:lang w:val="sl-SI"/>
        </w:rPr>
      </w:pPr>
      <w:r w:rsidRPr="001048FE">
        <w:rPr>
          <w:lang w:val="sl-SI"/>
        </w:rPr>
        <w:t>Vodnik za prijavitelje</w:t>
      </w:r>
    </w:p>
    <w:p w14:paraId="7D3984FF" w14:textId="77777777" w:rsidR="00746821" w:rsidRPr="001048FE" w:rsidRDefault="00746821" w:rsidP="00746821">
      <w:pPr>
        <w:pStyle w:val="GUIDE-NORMAL"/>
        <w:rPr>
          <w:lang w:val="sl-SI"/>
        </w:rPr>
      </w:pPr>
    </w:p>
    <w:p w14:paraId="7D398500" w14:textId="77777777" w:rsidR="00746821" w:rsidRPr="001048FE" w:rsidRDefault="00746821" w:rsidP="00746821">
      <w:pPr>
        <w:pStyle w:val="GUIDE-NORMAL"/>
        <w:rPr>
          <w:lang w:val="sl-SI"/>
        </w:rPr>
      </w:pPr>
    </w:p>
    <w:p w14:paraId="7D398501" w14:textId="77777777" w:rsidR="00746821" w:rsidRPr="001048FE" w:rsidRDefault="00746821" w:rsidP="00746821">
      <w:pPr>
        <w:pStyle w:val="GUIDE-NORMAL"/>
        <w:rPr>
          <w:lang w:val="sl-SI"/>
        </w:rPr>
      </w:pPr>
    </w:p>
    <w:p w14:paraId="7D398502" w14:textId="77777777" w:rsidR="00746821" w:rsidRPr="001048FE" w:rsidRDefault="00746821" w:rsidP="00746821">
      <w:pPr>
        <w:pStyle w:val="GUIDE-NORMAL"/>
        <w:rPr>
          <w:lang w:val="sl-SI"/>
        </w:rPr>
      </w:pPr>
    </w:p>
    <w:p w14:paraId="7D398503" w14:textId="77777777" w:rsidR="00746821" w:rsidRPr="001048FE" w:rsidRDefault="00746821" w:rsidP="00746821">
      <w:pPr>
        <w:pStyle w:val="GUIDE-NORMAL"/>
        <w:rPr>
          <w:lang w:val="sl-SI"/>
        </w:rPr>
      </w:pPr>
    </w:p>
    <w:p w14:paraId="7D398504" w14:textId="77777777" w:rsidR="00746821" w:rsidRPr="001048FE" w:rsidRDefault="00746821" w:rsidP="00746821">
      <w:pPr>
        <w:pStyle w:val="GUIDE-NORMAL"/>
        <w:rPr>
          <w:lang w:val="sl-SI"/>
        </w:rPr>
      </w:pPr>
    </w:p>
    <w:p w14:paraId="7D398505" w14:textId="77777777" w:rsidR="00746821" w:rsidRPr="001048FE" w:rsidRDefault="00746821" w:rsidP="00746821">
      <w:pPr>
        <w:pStyle w:val="GUIDE-NORMAL"/>
        <w:rPr>
          <w:lang w:val="sl-SI"/>
        </w:rPr>
      </w:pPr>
    </w:p>
    <w:p w14:paraId="7D398506" w14:textId="77777777" w:rsidR="00746821" w:rsidRPr="001048FE" w:rsidRDefault="00746821" w:rsidP="00746821">
      <w:pPr>
        <w:pStyle w:val="GUIDE-NORMAL"/>
        <w:rPr>
          <w:lang w:val="sl-SI"/>
        </w:rPr>
      </w:pPr>
    </w:p>
    <w:p w14:paraId="7D398507" w14:textId="77777777" w:rsidR="00746821" w:rsidRPr="001048FE" w:rsidRDefault="00746821" w:rsidP="00746821">
      <w:pPr>
        <w:pStyle w:val="GUIDE-NORMAL"/>
        <w:rPr>
          <w:lang w:val="sl-SI"/>
        </w:rPr>
      </w:pPr>
    </w:p>
    <w:p w14:paraId="7D398508" w14:textId="77777777" w:rsidR="00746821" w:rsidRPr="001048FE" w:rsidRDefault="00746821" w:rsidP="00746821">
      <w:pPr>
        <w:pStyle w:val="GUIDE-NORMAL"/>
        <w:rPr>
          <w:lang w:val="sl-SI"/>
        </w:rPr>
      </w:pPr>
    </w:p>
    <w:p w14:paraId="7D398509" w14:textId="77777777" w:rsidR="00746821" w:rsidRPr="001048FE" w:rsidRDefault="00746821" w:rsidP="00746821">
      <w:pPr>
        <w:pStyle w:val="GUIDE-NORMAL"/>
        <w:rPr>
          <w:lang w:val="sl-SI"/>
        </w:rPr>
      </w:pPr>
    </w:p>
    <w:p w14:paraId="7D39850A" w14:textId="77777777" w:rsidR="00746821" w:rsidRPr="001048FE" w:rsidRDefault="00746821" w:rsidP="00746821">
      <w:pPr>
        <w:pStyle w:val="GUIDE-NORMAL"/>
        <w:rPr>
          <w:lang w:val="sl-SI"/>
        </w:rPr>
      </w:pPr>
    </w:p>
    <w:p w14:paraId="7D39850B" w14:textId="77777777" w:rsidR="00746821" w:rsidRPr="001048FE" w:rsidRDefault="00746821" w:rsidP="00746821">
      <w:pPr>
        <w:pStyle w:val="GUIDE-NORMAL"/>
        <w:rPr>
          <w:lang w:val="sl-SI"/>
        </w:rPr>
      </w:pPr>
    </w:p>
    <w:p w14:paraId="7D39850C" w14:textId="77777777" w:rsidR="00746821" w:rsidRPr="001048FE" w:rsidRDefault="00746821" w:rsidP="00746821">
      <w:pPr>
        <w:pStyle w:val="GUIDE-NORMAL"/>
        <w:rPr>
          <w:lang w:val="sl-SI"/>
        </w:rPr>
      </w:pPr>
    </w:p>
    <w:p w14:paraId="7D39850D" w14:textId="77777777" w:rsidR="00746821" w:rsidRPr="001048FE" w:rsidRDefault="00746821" w:rsidP="00746821">
      <w:pPr>
        <w:pStyle w:val="GUIDE-NORMAL"/>
        <w:rPr>
          <w:lang w:val="sl-SI"/>
        </w:rPr>
      </w:pPr>
    </w:p>
    <w:p w14:paraId="7D39850E" w14:textId="77777777" w:rsidR="00C95A78" w:rsidRPr="001048FE" w:rsidRDefault="004055C3" w:rsidP="006F6C8B">
      <w:pPr>
        <w:pStyle w:val="Guide-Cover-Attention"/>
        <w:rPr>
          <w:iCs/>
          <w:sz w:val="56"/>
          <w:szCs w:val="56"/>
          <w:lang w:val="sl-SI"/>
        </w:rPr>
      </w:pPr>
      <w:r w:rsidRPr="001048FE">
        <w:rPr>
          <w:lang w:val="sl-SI"/>
        </w:rPr>
        <w:t>V primeru pomenskih razhajanj v posameznih prevodih</w:t>
      </w:r>
      <w:r w:rsidRPr="001048FE">
        <w:rPr>
          <w:lang w:val="sl-SI"/>
        </w:rPr>
        <w:br/>
        <w:t>se upo</w:t>
      </w:r>
      <w:r w:rsidR="00CB1276" w:rsidRPr="001048FE">
        <w:rPr>
          <w:lang w:val="sl-SI"/>
        </w:rPr>
        <w:t>š</w:t>
      </w:r>
      <w:r w:rsidRPr="001048FE">
        <w:rPr>
          <w:lang w:val="sl-SI"/>
        </w:rPr>
        <w:t>teva angle</w:t>
      </w:r>
      <w:r w:rsidR="00CB1276" w:rsidRPr="001048FE">
        <w:rPr>
          <w:lang w:val="sl-SI"/>
        </w:rPr>
        <w:t>š</w:t>
      </w:r>
      <w:r w:rsidRPr="001048FE">
        <w:rPr>
          <w:lang w:val="sl-SI"/>
        </w:rPr>
        <w:t>ka razli</w:t>
      </w:r>
      <w:r w:rsidR="00CB1276" w:rsidRPr="001048FE">
        <w:rPr>
          <w:lang w:val="sl-SI"/>
        </w:rPr>
        <w:t>č</w:t>
      </w:r>
      <w:r w:rsidRPr="001048FE">
        <w:rPr>
          <w:lang w:val="sl-SI"/>
        </w:rPr>
        <w:t>ica</w:t>
      </w:r>
    </w:p>
    <w:p w14:paraId="7D39850F" w14:textId="77777777" w:rsidR="00746821" w:rsidRPr="001048FE" w:rsidRDefault="00746821" w:rsidP="00746821">
      <w:pPr>
        <w:pStyle w:val="GUIDE-NORMAL"/>
        <w:rPr>
          <w:lang w:val="sl-SI"/>
        </w:rPr>
      </w:pPr>
    </w:p>
    <w:p w14:paraId="7D398510" w14:textId="77777777" w:rsidR="00746821" w:rsidRPr="001048FE" w:rsidRDefault="00746821" w:rsidP="00746821">
      <w:pPr>
        <w:pStyle w:val="GUIDE-NORMAL"/>
        <w:rPr>
          <w:lang w:val="sl-SI"/>
        </w:rPr>
      </w:pPr>
    </w:p>
    <w:p w14:paraId="7D398511" w14:textId="77777777" w:rsidR="00746821" w:rsidRPr="001048FE" w:rsidRDefault="00746821" w:rsidP="00746821">
      <w:pPr>
        <w:pStyle w:val="GUIDE-NORMAL"/>
        <w:rPr>
          <w:lang w:val="sl-SI"/>
        </w:rPr>
      </w:pPr>
    </w:p>
    <w:p w14:paraId="7D398512" w14:textId="77777777" w:rsidR="004A5DFA" w:rsidRDefault="004A5DFA" w:rsidP="00BF5C72">
      <w:pPr>
        <w:pStyle w:val="Guide-version"/>
        <w:rPr>
          <w:lang w:val="sl-SI"/>
        </w:rPr>
        <w:sectPr w:rsidR="004A5DFA" w:rsidSect="007F4890">
          <w:headerReference w:type="even" r:id="rId9"/>
          <w:headerReference w:type="default" r:id="rId10"/>
          <w:footerReference w:type="even" r:id="rId11"/>
          <w:footerReference w:type="default" r:id="rId12"/>
          <w:headerReference w:type="first" r:id="rId13"/>
          <w:footerReference w:type="first" r:id="rId14"/>
          <w:endnotePr>
            <w:numFmt w:val="decimal"/>
          </w:endnotePr>
          <w:pgSz w:w="11910" w:h="16840" w:code="9"/>
          <w:pgMar w:top="1134" w:right="1418" w:bottom="1134" w:left="1418" w:header="283" w:footer="567" w:gutter="0"/>
          <w:cols w:space="720"/>
          <w:titlePg/>
          <w:docGrid w:linePitch="326"/>
        </w:sectPr>
      </w:pPr>
    </w:p>
    <w:p w14:paraId="7D398513" w14:textId="20B21919" w:rsidR="004A5DFA" w:rsidRDefault="007F1F34" w:rsidP="00BF5C72">
      <w:pPr>
        <w:pStyle w:val="Guide-version"/>
        <w:rPr>
          <w:lang w:val="sl-SI"/>
        </w:rPr>
        <w:sectPr w:rsidR="004A5DFA" w:rsidSect="004A5DFA">
          <w:endnotePr>
            <w:numFmt w:val="decimal"/>
          </w:endnotePr>
          <w:type w:val="continuous"/>
          <w:pgSz w:w="11910" w:h="16840" w:code="9"/>
          <w:pgMar w:top="1134" w:right="1418" w:bottom="1134" w:left="1418" w:header="283" w:footer="567" w:gutter="0"/>
          <w:cols w:space="720"/>
          <w:titlePg/>
          <w:docGrid w:linePitch="326"/>
        </w:sectPr>
      </w:pPr>
      <w:r w:rsidRPr="001048FE">
        <w:rPr>
          <w:lang w:val="sl-SI"/>
        </w:rPr>
        <w:t>Različica</w:t>
      </w:r>
      <w:r w:rsidR="006F6C8B" w:rsidRPr="001048FE">
        <w:rPr>
          <w:lang w:val="sl-SI"/>
        </w:rPr>
        <w:t xml:space="preserve"> </w:t>
      </w:r>
      <w:r w:rsidR="002C560E">
        <w:rPr>
          <w:lang w:val="sl-SI"/>
        </w:rPr>
        <w:t>3</w:t>
      </w:r>
      <w:r w:rsidR="00521AF9" w:rsidRPr="001048FE">
        <w:rPr>
          <w:lang w:val="sl-SI"/>
        </w:rPr>
        <w:t xml:space="preserve"> </w:t>
      </w:r>
      <w:r w:rsidR="006F6C8B" w:rsidRPr="001048FE">
        <w:rPr>
          <w:lang w:val="sl-SI"/>
        </w:rPr>
        <w:t>(20</w:t>
      </w:r>
      <w:r w:rsidR="00141E33">
        <w:rPr>
          <w:lang w:val="sl-SI"/>
        </w:rPr>
        <w:t>20</w:t>
      </w:r>
      <w:r w:rsidR="006F6C8B" w:rsidRPr="001048FE">
        <w:rPr>
          <w:lang w:val="sl-SI"/>
        </w:rPr>
        <w:t xml:space="preserve">): </w:t>
      </w:r>
      <w:r w:rsidR="002C560E">
        <w:rPr>
          <w:lang w:val="sl-SI"/>
        </w:rPr>
        <w:t>25/08</w:t>
      </w:r>
      <w:r w:rsidR="009B6570">
        <w:rPr>
          <w:lang w:val="sl-SI"/>
        </w:rPr>
        <w:t>/</w:t>
      </w:r>
      <w:r w:rsidR="00177C2C" w:rsidRPr="00177C2C">
        <w:rPr>
          <w:lang w:val="sl-SI"/>
        </w:rPr>
        <w:t>20</w:t>
      </w:r>
      <w:r w:rsidR="00B760F2">
        <w:rPr>
          <w:lang w:val="sl-SI"/>
        </w:rPr>
        <w:t>20</w:t>
      </w:r>
    </w:p>
    <w:p w14:paraId="7D398514" w14:textId="77777777" w:rsidR="00BF5C72" w:rsidRDefault="00BF5C72" w:rsidP="00BF5C72">
      <w:pPr>
        <w:pStyle w:val="Guide-version"/>
        <w:rPr>
          <w:lang w:val="sl-SI"/>
        </w:rPr>
        <w:sectPr w:rsidR="00BF5C72" w:rsidSect="004A5DFA">
          <w:endnotePr>
            <w:numFmt w:val="decimal"/>
          </w:endnotePr>
          <w:type w:val="continuous"/>
          <w:pgSz w:w="11910" w:h="16840" w:code="9"/>
          <w:pgMar w:top="1134" w:right="1418" w:bottom="1134" w:left="1418" w:header="283" w:footer="567" w:gutter="0"/>
          <w:cols w:space="720"/>
          <w:titlePg/>
          <w:docGrid w:linePitch="326"/>
        </w:sectPr>
      </w:pPr>
    </w:p>
    <w:p w14:paraId="7D398515" w14:textId="77777777" w:rsidR="000F1756" w:rsidRPr="001048FE" w:rsidRDefault="000F1756" w:rsidP="00BF5C72">
      <w:pPr>
        <w:pStyle w:val="Guide-version"/>
        <w:rPr>
          <w:lang w:val="sl-SI"/>
        </w:rPr>
      </w:pPr>
    </w:p>
    <w:p w14:paraId="7D398516" w14:textId="77777777" w:rsidR="009A2C2A" w:rsidRPr="009A2C2A" w:rsidRDefault="00EB49E5" w:rsidP="009A2C2A">
      <w:pPr>
        <w:pStyle w:val="Guide-TableofContents"/>
        <w:rPr>
          <w:noProof/>
        </w:rPr>
      </w:pPr>
      <w:bookmarkStart w:id="0" w:name="_Toc524425523"/>
      <w:bookmarkStart w:id="1" w:name="_Toc526422762"/>
      <w:bookmarkStart w:id="2" w:name="_Toc527400883"/>
      <w:bookmarkStart w:id="3" w:name="_Toc527401069"/>
      <w:r w:rsidRPr="001048FE">
        <w:rPr>
          <w:lang w:val="sl-SI"/>
        </w:rPr>
        <w:t>Kazalo</w:t>
      </w:r>
      <w:bookmarkEnd w:id="0"/>
      <w:bookmarkEnd w:id="1"/>
      <w:bookmarkEnd w:id="2"/>
      <w:bookmarkEnd w:id="3"/>
      <w:r w:rsidR="00CB66AB">
        <w:rPr>
          <w:rFonts w:cs="Calibri"/>
          <w:noProof/>
          <w:sz w:val="20"/>
          <w:lang w:val="sl-SI"/>
        </w:rPr>
        <w:fldChar w:fldCharType="begin"/>
      </w:r>
      <w:r w:rsidR="009A2C2A">
        <w:rPr>
          <w:rFonts w:cs="Calibri"/>
          <w:noProof/>
          <w:sz w:val="20"/>
          <w:lang w:val="sl-SI"/>
        </w:rPr>
        <w:instrText xml:space="preserve"> TOC \o "1-4" \h \z \u </w:instrText>
      </w:r>
      <w:r w:rsidR="00CB66AB">
        <w:rPr>
          <w:rFonts w:cs="Calibri"/>
          <w:noProof/>
          <w:sz w:val="20"/>
          <w:lang w:val="sl-SI"/>
        </w:rPr>
        <w:fldChar w:fldCharType="separate"/>
      </w:r>
    </w:p>
    <w:p w14:paraId="7D398517" w14:textId="27EA1B9F" w:rsidR="009A2C2A" w:rsidRDefault="00A6094F">
      <w:pPr>
        <w:pStyle w:val="TOC1"/>
        <w:rPr>
          <w:rFonts w:asciiTheme="minorHAnsi" w:eastAsiaTheme="minorEastAsia" w:hAnsiTheme="minorHAnsi" w:cstheme="minorBidi"/>
          <w:b w:val="0"/>
          <w:bCs w:val="0"/>
          <w:caps w:val="0"/>
          <w:kern w:val="0"/>
          <w:lang w:val="en-US" w:eastAsia="ja-JP"/>
        </w:rPr>
      </w:pPr>
      <w:hyperlink w:anchor="_Toc527401070" w:history="1">
        <w:r w:rsidR="009A2C2A" w:rsidRPr="000E0FDD">
          <w:rPr>
            <w:rStyle w:val="Hyperlink"/>
            <w:lang w:val="sl-SI"/>
          </w:rPr>
          <w:t>Kratice</w:t>
        </w:r>
        <w:r w:rsidR="009A2C2A">
          <w:rPr>
            <w:webHidden/>
          </w:rPr>
          <w:tab/>
        </w:r>
        <w:r w:rsidR="00CB66AB">
          <w:rPr>
            <w:webHidden/>
          </w:rPr>
          <w:fldChar w:fldCharType="begin"/>
        </w:r>
        <w:r w:rsidR="009A2C2A">
          <w:rPr>
            <w:webHidden/>
          </w:rPr>
          <w:instrText xml:space="preserve"> PAGEREF _Toc527401070 \h </w:instrText>
        </w:r>
        <w:r w:rsidR="00CB66AB">
          <w:rPr>
            <w:webHidden/>
          </w:rPr>
        </w:r>
        <w:r w:rsidR="00CB66AB">
          <w:rPr>
            <w:webHidden/>
          </w:rPr>
          <w:fldChar w:fldCharType="separate"/>
        </w:r>
        <w:r>
          <w:rPr>
            <w:webHidden/>
          </w:rPr>
          <w:t>3</w:t>
        </w:r>
        <w:r w:rsidR="00CB66AB">
          <w:rPr>
            <w:webHidden/>
          </w:rPr>
          <w:fldChar w:fldCharType="end"/>
        </w:r>
      </w:hyperlink>
    </w:p>
    <w:p w14:paraId="7D398518" w14:textId="623C8574" w:rsidR="009A2C2A" w:rsidRDefault="00A6094F">
      <w:pPr>
        <w:pStyle w:val="TOC1"/>
        <w:rPr>
          <w:rFonts w:asciiTheme="minorHAnsi" w:eastAsiaTheme="minorEastAsia" w:hAnsiTheme="minorHAnsi" w:cstheme="minorBidi"/>
          <w:b w:val="0"/>
          <w:bCs w:val="0"/>
          <w:caps w:val="0"/>
          <w:kern w:val="0"/>
          <w:lang w:val="en-US" w:eastAsia="ja-JP"/>
        </w:rPr>
      </w:pPr>
      <w:hyperlink w:anchor="_Toc527401071" w:history="1">
        <w:r w:rsidR="009A2C2A" w:rsidRPr="000E0FDD">
          <w:rPr>
            <w:rStyle w:val="Hyperlink"/>
            <w:lang w:val="sl-SI"/>
          </w:rPr>
          <w:t>Uvod</w:t>
        </w:r>
        <w:r w:rsidR="009A2C2A">
          <w:rPr>
            <w:webHidden/>
          </w:rPr>
          <w:tab/>
        </w:r>
        <w:r w:rsidR="00CB66AB">
          <w:rPr>
            <w:webHidden/>
          </w:rPr>
          <w:fldChar w:fldCharType="begin"/>
        </w:r>
        <w:r w:rsidR="009A2C2A">
          <w:rPr>
            <w:webHidden/>
          </w:rPr>
          <w:instrText xml:space="preserve"> PAGEREF _Toc527401071 \h </w:instrText>
        </w:r>
        <w:r w:rsidR="00CB66AB">
          <w:rPr>
            <w:webHidden/>
          </w:rPr>
        </w:r>
        <w:r w:rsidR="00CB66AB">
          <w:rPr>
            <w:webHidden/>
          </w:rPr>
          <w:fldChar w:fldCharType="separate"/>
        </w:r>
        <w:r>
          <w:rPr>
            <w:webHidden/>
          </w:rPr>
          <w:t>4</w:t>
        </w:r>
        <w:r w:rsidR="00CB66AB">
          <w:rPr>
            <w:webHidden/>
          </w:rPr>
          <w:fldChar w:fldCharType="end"/>
        </w:r>
      </w:hyperlink>
    </w:p>
    <w:p w14:paraId="7D398519" w14:textId="0048A0F5" w:rsidR="009A2C2A" w:rsidRDefault="00A6094F">
      <w:pPr>
        <w:pStyle w:val="TOC2"/>
        <w:rPr>
          <w:rFonts w:asciiTheme="minorHAnsi" w:eastAsiaTheme="minorEastAsia" w:hAnsiTheme="minorHAnsi" w:cstheme="minorBidi"/>
          <w:bCs w:val="0"/>
          <w:kern w:val="0"/>
          <w:sz w:val="22"/>
          <w:szCs w:val="22"/>
          <w:lang w:val="en-US" w:eastAsia="ja-JP"/>
        </w:rPr>
      </w:pPr>
      <w:hyperlink w:anchor="_Toc527401072" w:history="1">
        <w:r w:rsidR="009A2C2A" w:rsidRPr="000E0FDD">
          <w:rPr>
            <w:rStyle w:val="Hyperlink"/>
            <w:lang w:val="sl-SI"/>
          </w:rPr>
          <w:t>Kako uporabljati vodnik za prijavitelje?</w:t>
        </w:r>
        <w:r w:rsidR="009A2C2A">
          <w:rPr>
            <w:webHidden/>
          </w:rPr>
          <w:tab/>
        </w:r>
        <w:r w:rsidR="00CB66AB">
          <w:rPr>
            <w:webHidden/>
          </w:rPr>
          <w:fldChar w:fldCharType="begin"/>
        </w:r>
        <w:r w:rsidR="009A2C2A">
          <w:rPr>
            <w:webHidden/>
          </w:rPr>
          <w:instrText xml:space="preserve"> PAGEREF _Toc527401072 \h </w:instrText>
        </w:r>
        <w:r w:rsidR="00CB66AB">
          <w:rPr>
            <w:webHidden/>
          </w:rPr>
        </w:r>
        <w:r w:rsidR="00CB66AB">
          <w:rPr>
            <w:webHidden/>
          </w:rPr>
          <w:fldChar w:fldCharType="separate"/>
        </w:r>
        <w:r>
          <w:rPr>
            <w:webHidden/>
          </w:rPr>
          <w:t>4</w:t>
        </w:r>
        <w:r w:rsidR="00CB66AB">
          <w:rPr>
            <w:webHidden/>
          </w:rPr>
          <w:fldChar w:fldCharType="end"/>
        </w:r>
      </w:hyperlink>
    </w:p>
    <w:p w14:paraId="7D39851A" w14:textId="0A029634" w:rsidR="009A2C2A" w:rsidRDefault="00A6094F">
      <w:pPr>
        <w:pStyle w:val="TOC1"/>
        <w:rPr>
          <w:rFonts w:asciiTheme="minorHAnsi" w:eastAsiaTheme="minorEastAsia" w:hAnsiTheme="minorHAnsi" w:cstheme="minorBidi"/>
          <w:b w:val="0"/>
          <w:bCs w:val="0"/>
          <w:caps w:val="0"/>
          <w:kern w:val="0"/>
          <w:lang w:val="en-US" w:eastAsia="ja-JP"/>
        </w:rPr>
      </w:pPr>
      <w:hyperlink w:anchor="_Toc527401073" w:history="1">
        <w:r w:rsidR="009A2C2A" w:rsidRPr="000E0FDD">
          <w:rPr>
            <w:rStyle w:val="Hyperlink"/>
            <w:lang w:val="sl-SI"/>
          </w:rPr>
          <w:t>Del A: Splošne informacije  o programu Erasmus+</w:t>
        </w:r>
        <w:r w:rsidR="009A2C2A">
          <w:rPr>
            <w:webHidden/>
          </w:rPr>
          <w:tab/>
        </w:r>
        <w:r w:rsidR="00CB66AB">
          <w:rPr>
            <w:webHidden/>
          </w:rPr>
          <w:fldChar w:fldCharType="begin"/>
        </w:r>
        <w:r w:rsidR="009A2C2A">
          <w:rPr>
            <w:webHidden/>
          </w:rPr>
          <w:instrText xml:space="preserve"> PAGEREF _Toc527401073 \h </w:instrText>
        </w:r>
        <w:r w:rsidR="00CB66AB">
          <w:rPr>
            <w:webHidden/>
          </w:rPr>
        </w:r>
        <w:r w:rsidR="00CB66AB">
          <w:rPr>
            <w:webHidden/>
          </w:rPr>
          <w:fldChar w:fldCharType="separate"/>
        </w:r>
        <w:r>
          <w:rPr>
            <w:webHidden/>
          </w:rPr>
          <w:t>5</w:t>
        </w:r>
        <w:r w:rsidR="00CB66AB">
          <w:rPr>
            <w:webHidden/>
          </w:rPr>
          <w:fldChar w:fldCharType="end"/>
        </w:r>
      </w:hyperlink>
    </w:p>
    <w:p w14:paraId="7D39851B" w14:textId="2C8D623C" w:rsidR="009A2C2A" w:rsidRDefault="00A6094F">
      <w:pPr>
        <w:pStyle w:val="TOC2"/>
        <w:rPr>
          <w:rFonts w:asciiTheme="minorHAnsi" w:eastAsiaTheme="minorEastAsia" w:hAnsiTheme="minorHAnsi" w:cstheme="minorBidi"/>
          <w:bCs w:val="0"/>
          <w:kern w:val="0"/>
          <w:sz w:val="22"/>
          <w:szCs w:val="22"/>
          <w:lang w:val="en-US" w:eastAsia="ja-JP"/>
        </w:rPr>
      </w:pPr>
      <w:hyperlink w:anchor="_Toc527401075" w:history="1">
        <w:r w:rsidR="009A2C2A" w:rsidRPr="000E0FDD">
          <w:rPr>
            <w:rStyle w:val="Hyperlink"/>
            <w:lang w:val="sl-SI"/>
          </w:rPr>
          <w:t>Kakšni so cilji in pomembne značilnosti programa Erasmus+?</w:t>
        </w:r>
        <w:r w:rsidR="009A2C2A">
          <w:rPr>
            <w:webHidden/>
          </w:rPr>
          <w:tab/>
        </w:r>
        <w:r w:rsidR="00CB66AB">
          <w:rPr>
            <w:webHidden/>
          </w:rPr>
          <w:fldChar w:fldCharType="begin"/>
        </w:r>
        <w:r w:rsidR="009A2C2A">
          <w:rPr>
            <w:webHidden/>
          </w:rPr>
          <w:instrText xml:space="preserve"> PAGEREF _Toc527401075 \h </w:instrText>
        </w:r>
        <w:r w:rsidR="00CB66AB">
          <w:rPr>
            <w:webHidden/>
          </w:rPr>
        </w:r>
        <w:r w:rsidR="00CB66AB">
          <w:rPr>
            <w:webHidden/>
          </w:rPr>
          <w:fldChar w:fldCharType="separate"/>
        </w:r>
        <w:r>
          <w:rPr>
            <w:webHidden/>
          </w:rPr>
          <w:t>7</w:t>
        </w:r>
        <w:r w:rsidR="00CB66AB">
          <w:rPr>
            <w:webHidden/>
          </w:rPr>
          <w:fldChar w:fldCharType="end"/>
        </w:r>
      </w:hyperlink>
    </w:p>
    <w:p w14:paraId="7D39851C" w14:textId="26C83504"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076" w:history="1">
        <w:r w:rsidR="009A2C2A" w:rsidRPr="000E0FDD">
          <w:rPr>
            <w:rStyle w:val="Hyperlink"/>
            <w:lang w:val="sl-SI"/>
          </w:rPr>
          <w:t>Splošni cilj</w:t>
        </w:r>
        <w:r w:rsidR="009A2C2A">
          <w:rPr>
            <w:webHidden/>
          </w:rPr>
          <w:tab/>
        </w:r>
        <w:r w:rsidR="00CB66AB">
          <w:rPr>
            <w:webHidden/>
          </w:rPr>
          <w:fldChar w:fldCharType="begin"/>
        </w:r>
        <w:r w:rsidR="009A2C2A">
          <w:rPr>
            <w:webHidden/>
          </w:rPr>
          <w:instrText xml:space="preserve"> PAGEREF _Toc527401076 \h </w:instrText>
        </w:r>
        <w:r w:rsidR="00CB66AB">
          <w:rPr>
            <w:webHidden/>
          </w:rPr>
        </w:r>
        <w:r w:rsidR="00CB66AB">
          <w:rPr>
            <w:webHidden/>
          </w:rPr>
          <w:fldChar w:fldCharType="separate"/>
        </w:r>
        <w:r>
          <w:rPr>
            <w:webHidden/>
          </w:rPr>
          <w:t>7</w:t>
        </w:r>
        <w:r w:rsidR="00CB66AB">
          <w:rPr>
            <w:webHidden/>
          </w:rPr>
          <w:fldChar w:fldCharType="end"/>
        </w:r>
      </w:hyperlink>
    </w:p>
    <w:p w14:paraId="7D39851D" w14:textId="367A2B4E"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077" w:history="1">
        <w:r w:rsidR="009A2C2A" w:rsidRPr="000E0FDD">
          <w:rPr>
            <w:rStyle w:val="Hyperlink"/>
            <w:lang w:val="sl-SI"/>
          </w:rPr>
          <w:t>Pomembne značilnosti programa Erasmus+</w:t>
        </w:r>
        <w:r w:rsidR="009A2C2A">
          <w:rPr>
            <w:webHidden/>
          </w:rPr>
          <w:tab/>
        </w:r>
        <w:r w:rsidR="00CB66AB">
          <w:rPr>
            <w:webHidden/>
          </w:rPr>
          <w:fldChar w:fldCharType="begin"/>
        </w:r>
        <w:r w:rsidR="009A2C2A">
          <w:rPr>
            <w:webHidden/>
          </w:rPr>
          <w:instrText xml:space="preserve"> PAGEREF _Toc527401077 \h </w:instrText>
        </w:r>
        <w:r w:rsidR="00CB66AB">
          <w:rPr>
            <w:webHidden/>
          </w:rPr>
        </w:r>
        <w:r w:rsidR="00CB66AB">
          <w:rPr>
            <w:webHidden/>
          </w:rPr>
          <w:fldChar w:fldCharType="separate"/>
        </w:r>
        <w:r>
          <w:rPr>
            <w:webHidden/>
          </w:rPr>
          <w:t>7</w:t>
        </w:r>
        <w:r w:rsidR="00CB66AB">
          <w:rPr>
            <w:webHidden/>
          </w:rPr>
          <w:fldChar w:fldCharType="end"/>
        </w:r>
      </w:hyperlink>
    </w:p>
    <w:p w14:paraId="7D39851E" w14:textId="2321C0A9" w:rsidR="009A2C2A" w:rsidRDefault="00A6094F">
      <w:pPr>
        <w:pStyle w:val="TOC2"/>
        <w:rPr>
          <w:rFonts w:asciiTheme="minorHAnsi" w:eastAsiaTheme="minorEastAsia" w:hAnsiTheme="minorHAnsi" w:cstheme="minorBidi"/>
          <w:bCs w:val="0"/>
          <w:kern w:val="0"/>
          <w:sz w:val="22"/>
          <w:szCs w:val="22"/>
          <w:lang w:val="en-US" w:eastAsia="ja-JP"/>
        </w:rPr>
      </w:pPr>
      <w:hyperlink w:anchor="_Toc527401086" w:history="1">
        <w:r w:rsidR="009A2C2A" w:rsidRPr="000E0FDD">
          <w:rPr>
            <w:rStyle w:val="Hyperlink"/>
            <w:lang w:val="sl-SI"/>
          </w:rPr>
          <w:t>Kakšna je struktura programa</w:t>
        </w:r>
        <w:r w:rsidR="009A2C2A" w:rsidRPr="000E0FDD">
          <w:rPr>
            <w:rStyle w:val="Hyperlink"/>
            <w:spacing w:val="58"/>
            <w:lang w:val="sl-SI"/>
          </w:rPr>
          <w:t xml:space="preserve"> </w:t>
        </w:r>
        <w:r w:rsidR="009A2C2A" w:rsidRPr="000E0FDD">
          <w:rPr>
            <w:rStyle w:val="Hyperlink"/>
            <w:lang w:val="sl-SI"/>
          </w:rPr>
          <w:t>Erasmus+?</w:t>
        </w:r>
        <w:r w:rsidR="009A2C2A">
          <w:rPr>
            <w:webHidden/>
          </w:rPr>
          <w:tab/>
        </w:r>
        <w:r w:rsidR="00CB66AB">
          <w:rPr>
            <w:webHidden/>
          </w:rPr>
          <w:fldChar w:fldCharType="begin"/>
        </w:r>
        <w:r w:rsidR="009A2C2A">
          <w:rPr>
            <w:webHidden/>
          </w:rPr>
          <w:instrText xml:space="preserve"> PAGEREF _Toc527401086 \h </w:instrText>
        </w:r>
        <w:r w:rsidR="00CB66AB">
          <w:rPr>
            <w:webHidden/>
          </w:rPr>
        </w:r>
        <w:r w:rsidR="00CB66AB">
          <w:rPr>
            <w:webHidden/>
          </w:rPr>
          <w:fldChar w:fldCharType="separate"/>
        </w:r>
        <w:r>
          <w:rPr>
            <w:webHidden/>
          </w:rPr>
          <w:t>12</w:t>
        </w:r>
        <w:r w:rsidR="00CB66AB">
          <w:rPr>
            <w:webHidden/>
          </w:rPr>
          <w:fldChar w:fldCharType="end"/>
        </w:r>
      </w:hyperlink>
    </w:p>
    <w:p w14:paraId="7D39851F" w14:textId="60E7FF3A"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087" w:history="1">
        <w:r w:rsidR="009A2C2A" w:rsidRPr="000E0FDD">
          <w:rPr>
            <w:rStyle w:val="Hyperlink"/>
            <w:lang w:val="sl-SI"/>
          </w:rPr>
          <w:t>Ključni ukrep 1 – Mobilnost posameznikov</w:t>
        </w:r>
        <w:r w:rsidR="009A2C2A">
          <w:rPr>
            <w:webHidden/>
          </w:rPr>
          <w:tab/>
        </w:r>
        <w:r w:rsidR="00CB66AB">
          <w:rPr>
            <w:webHidden/>
          </w:rPr>
          <w:fldChar w:fldCharType="begin"/>
        </w:r>
        <w:r w:rsidR="009A2C2A">
          <w:rPr>
            <w:webHidden/>
          </w:rPr>
          <w:instrText xml:space="preserve"> PAGEREF _Toc527401087 \h </w:instrText>
        </w:r>
        <w:r w:rsidR="00CB66AB">
          <w:rPr>
            <w:webHidden/>
          </w:rPr>
        </w:r>
        <w:r w:rsidR="00CB66AB">
          <w:rPr>
            <w:webHidden/>
          </w:rPr>
          <w:fldChar w:fldCharType="separate"/>
        </w:r>
        <w:r>
          <w:rPr>
            <w:webHidden/>
          </w:rPr>
          <w:t>12</w:t>
        </w:r>
        <w:r w:rsidR="00CB66AB">
          <w:rPr>
            <w:webHidden/>
          </w:rPr>
          <w:fldChar w:fldCharType="end"/>
        </w:r>
      </w:hyperlink>
    </w:p>
    <w:p w14:paraId="7D398520" w14:textId="480D9A16"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088" w:history="1">
        <w:r w:rsidR="009A2C2A" w:rsidRPr="000E0FDD">
          <w:rPr>
            <w:rStyle w:val="Hyperlink"/>
            <w:lang w:val="sl-SI"/>
          </w:rPr>
          <w:t>Ključni ukrep 2 – Sodelovanje za inovacije in izmenjavo dobrih praks</w:t>
        </w:r>
        <w:r w:rsidR="009A2C2A">
          <w:rPr>
            <w:webHidden/>
          </w:rPr>
          <w:tab/>
        </w:r>
        <w:r w:rsidR="00CB66AB">
          <w:rPr>
            <w:webHidden/>
          </w:rPr>
          <w:fldChar w:fldCharType="begin"/>
        </w:r>
        <w:r w:rsidR="009A2C2A">
          <w:rPr>
            <w:webHidden/>
          </w:rPr>
          <w:instrText xml:space="preserve"> PAGEREF _Toc527401088 \h </w:instrText>
        </w:r>
        <w:r w:rsidR="00CB66AB">
          <w:rPr>
            <w:webHidden/>
          </w:rPr>
        </w:r>
        <w:r w:rsidR="00CB66AB">
          <w:rPr>
            <w:webHidden/>
          </w:rPr>
          <w:fldChar w:fldCharType="separate"/>
        </w:r>
        <w:r>
          <w:rPr>
            <w:webHidden/>
          </w:rPr>
          <w:t>12</w:t>
        </w:r>
        <w:r w:rsidR="00CB66AB">
          <w:rPr>
            <w:webHidden/>
          </w:rPr>
          <w:fldChar w:fldCharType="end"/>
        </w:r>
      </w:hyperlink>
    </w:p>
    <w:p w14:paraId="7D398521" w14:textId="57B1A604"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089" w:history="1">
        <w:r w:rsidR="009A2C2A" w:rsidRPr="000E0FDD">
          <w:rPr>
            <w:rStyle w:val="Hyperlink"/>
            <w:lang w:val="sl-SI"/>
          </w:rPr>
          <w:t>Ključni ukrep 3 – Podpora za reformo</w:t>
        </w:r>
        <w:r w:rsidR="009A2C2A" w:rsidRPr="000E0FDD">
          <w:rPr>
            <w:rStyle w:val="Hyperlink"/>
            <w:spacing w:val="50"/>
            <w:lang w:val="sl-SI"/>
          </w:rPr>
          <w:t xml:space="preserve"> </w:t>
        </w:r>
        <w:r w:rsidR="009A2C2A" w:rsidRPr="000E0FDD">
          <w:rPr>
            <w:rStyle w:val="Hyperlink"/>
            <w:lang w:val="sl-SI"/>
          </w:rPr>
          <w:t>politik</w:t>
        </w:r>
        <w:r w:rsidR="009A2C2A">
          <w:rPr>
            <w:webHidden/>
          </w:rPr>
          <w:tab/>
        </w:r>
        <w:r w:rsidR="00CB66AB">
          <w:rPr>
            <w:webHidden/>
          </w:rPr>
          <w:fldChar w:fldCharType="begin"/>
        </w:r>
        <w:r w:rsidR="009A2C2A">
          <w:rPr>
            <w:webHidden/>
          </w:rPr>
          <w:instrText xml:space="preserve"> PAGEREF _Toc527401089 \h </w:instrText>
        </w:r>
        <w:r w:rsidR="00CB66AB">
          <w:rPr>
            <w:webHidden/>
          </w:rPr>
        </w:r>
        <w:r w:rsidR="00CB66AB">
          <w:rPr>
            <w:webHidden/>
          </w:rPr>
          <w:fldChar w:fldCharType="separate"/>
        </w:r>
        <w:r>
          <w:rPr>
            <w:webHidden/>
          </w:rPr>
          <w:t>12</w:t>
        </w:r>
        <w:r w:rsidR="00CB66AB">
          <w:rPr>
            <w:webHidden/>
          </w:rPr>
          <w:fldChar w:fldCharType="end"/>
        </w:r>
      </w:hyperlink>
    </w:p>
    <w:p w14:paraId="7D398522" w14:textId="4D7A44DC"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090" w:history="1">
        <w:r w:rsidR="009A2C2A" w:rsidRPr="000E0FDD">
          <w:rPr>
            <w:rStyle w:val="Hyperlink"/>
            <w:lang w:val="sl-SI"/>
          </w:rPr>
          <w:t>Aktivnosti programa Jean Monnet</w:t>
        </w:r>
        <w:r w:rsidR="009A2C2A">
          <w:rPr>
            <w:webHidden/>
          </w:rPr>
          <w:tab/>
        </w:r>
        <w:r w:rsidR="00CB66AB">
          <w:rPr>
            <w:webHidden/>
          </w:rPr>
          <w:fldChar w:fldCharType="begin"/>
        </w:r>
        <w:r w:rsidR="009A2C2A">
          <w:rPr>
            <w:webHidden/>
          </w:rPr>
          <w:instrText xml:space="preserve"> PAGEREF _Toc527401090 \h </w:instrText>
        </w:r>
        <w:r w:rsidR="00CB66AB">
          <w:rPr>
            <w:webHidden/>
          </w:rPr>
        </w:r>
        <w:r w:rsidR="00CB66AB">
          <w:rPr>
            <w:webHidden/>
          </w:rPr>
          <w:fldChar w:fldCharType="separate"/>
        </w:r>
        <w:r>
          <w:rPr>
            <w:webHidden/>
          </w:rPr>
          <w:t>13</w:t>
        </w:r>
        <w:r w:rsidR="00CB66AB">
          <w:rPr>
            <w:webHidden/>
          </w:rPr>
          <w:fldChar w:fldCharType="end"/>
        </w:r>
      </w:hyperlink>
    </w:p>
    <w:p w14:paraId="7D398523" w14:textId="202D374D"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091" w:history="1">
        <w:r w:rsidR="009A2C2A" w:rsidRPr="000E0FDD">
          <w:rPr>
            <w:rStyle w:val="Hyperlink"/>
            <w:lang w:val="sl-SI"/>
          </w:rPr>
          <w:t>Šport</w:t>
        </w:r>
        <w:r w:rsidR="009A2C2A">
          <w:rPr>
            <w:webHidden/>
          </w:rPr>
          <w:tab/>
        </w:r>
        <w:r w:rsidR="00CB66AB">
          <w:rPr>
            <w:webHidden/>
          </w:rPr>
          <w:fldChar w:fldCharType="begin"/>
        </w:r>
        <w:r w:rsidR="009A2C2A">
          <w:rPr>
            <w:webHidden/>
          </w:rPr>
          <w:instrText xml:space="preserve"> PAGEREF _Toc527401091 \h </w:instrText>
        </w:r>
        <w:r w:rsidR="00CB66AB">
          <w:rPr>
            <w:webHidden/>
          </w:rPr>
        </w:r>
        <w:r w:rsidR="00CB66AB">
          <w:rPr>
            <w:webHidden/>
          </w:rPr>
          <w:fldChar w:fldCharType="separate"/>
        </w:r>
        <w:r>
          <w:rPr>
            <w:webHidden/>
          </w:rPr>
          <w:t>13</w:t>
        </w:r>
        <w:r w:rsidR="00CB66AB">
          <w:rPr>
            <w:webHidden/>
          </w:rPr>
          <w:fldChar w:fldCharType="end"/>
        </w:r>
      </w:hyperlink>
    </w:p>
    <w:p w14:paraId="7D398524" w14:textId="3F50E92F" w:rsidR="009A2C2A" w:rsidRDefault="00A6094F">
      <w:pPr>
        <w:pStyle w:val="TOC2"/>
        <w:rPr>
          <w:rFonts w:asciiTheme="minorHAnsi" w:eastAsiaTheme="minorEastAsia" w:hAnsiTheme="minorHAnsi" w:cstheme="minorBidi"/>
          <w:bCs w:val="0"/>
          <w:kern w:val="0"/>
          <w:sz w:val="22"/>
          <w:szCs w:val="22"/>
          <w:lang w:val="en-US" w:eastAsia="ja-JP"/>
        </w:rPr>
      </w:pPr>
      <w:hyperlink w:anchor="_Toc527401092" w:history="1">
        <w:r w:rsidR="009A2C2A" w:rsidRPr="000E0FDD">
          <w:rPr>
            <w:rStyle w:val="Hyperlink"/>
            <w:lang w:val="sl-SI"/>
          </w:rPr>
          <w:t>Kolikšen je proračun?</w:t>
        </w:r>
        <w:r w:rsidR="009A2C2A">
          <w:rPr>
            <w:webHidden/>
          </w:rPr>
          <w:tab/>
        </w:r>
        <w:r w:rsidR="00CB66AB">
          <w:rPr>
            <w:webHidden/>
          </w:rPr>
          <w:fldChar w:fldCharType="begin"/>
        </w:r>
        <w:r w:rsidR="009A2C2A">
          <w:rPr>
            <w:webHidden/>
          </w:rPr>
          <w:instrText xml:space="preserve"> PAGEREF _Toc527401092 \h </w:instrText>
        </w:r>
        <w:r w:rsidR="00CB66AB">
          <w:rPr>
            <w:webHidden/>
          </w:rPr>
        </w:r>
        <w:r w:rsidR="00CB66AB">
          <w:rPr>
            <w:webHidden/>
          </w:rPr>
          <w:fldChar w:fldCharType="separate"/>
        </w:r>
        <w:r>
          <w:rPr>
            <w:webHidden/>
          </w:rPr>
          <w:t>14</w:t>
        </w:r>
        <w:r w:rsidR="00CB66AB">
          <w:rPr>
            <w:webHidden/>
          </w:rPr>
          <w:fldChar w:fldCharType="end"/>
        </w:r>
      </w:hyperlink>
    </w:p>
    <w:p w14:paraId="7D398525" w14:textId="2E664357" w:rsidR="009A2C2A" w:rsidRDefault="00A6094F">
      <w:pPr>
        <w:pStyle w:val="TOC2"/>
        <w:rPr>
          <w:rFonts w:asciiTheme="minorHAnsi" w:eastAsiaTheme="minorEastAsia" w:hAnsiTheme="minorHAnsi" w:cstheme="minorBidi"/>
          <w:bCs w:val="0"/>
          <w:kern w:val="0"/>
          <w:sz w:val="22"/>
          <w:szCs w:val="22"/>
          <w:lang w:val="en-US" w:eastAsia="ja-JP"/>
        </w:rPr>
      </w:pPr>
      <w:hyperlink w:anchor="_Toc527401093" w:history="1">
        <w:r w:rsidR="009A2C2A" w:rsidRPr="000E0FDD">
          <w:rPr>
            <w:rStyle w:val="Hyperlink"/>
            <w:lang w:val="sl-SI"/>
          </w:rPr>
          <w:t>Kdo izvaja program Erasmus+?</w:t>
        </w:r>
        <w:r w:rsidR="009A2C2A">
          <w:rPr>
            <w:webHidden/>
          </w:rPr>
          <w:tab/>
        </w:r>
        <w:r w:rsidR="00CB66AB">
          <w:rPr>
            <w:webHidden/>
          </w:rPr>
          <w:fldChar w:fldCharType="begin"/>
        </w:r>
        <w:r w:rsidR="009A2C2A">
          <w:rPr>
            <w:webHidden/>
          </w:rPr>
          <w:instrText xml:space="preserve"> PAGEREF _Toc527401093 \h </w:instrText>
        </w:r>
        <w:r w:rsidR="00CB66AB">
          <w:rPr>
            <w:webHidden/>
          </w:rPr>
        </w:r>
        <w:r w:rsidR="00CB66AB">
          <w:rPr>
            <w:webHidden/>
          </w:rPr>
          <w:fldChar w:fldCharType="separate"/>
        </w:r>
        <w:r>
          <w:rPr>
            <w:webHidden/>
          </w:rPr>
          <w:t>15</w:t>
        </w:r>
        <w:r w:rsidR="00CB66AB">
          <w:rPr>
            <w:webHidden/>
          </w:rPr>
          <w:fldChar w:fldCharType="end"/>
        </w:r>
      </w:hyperlink>
    </w:p>
    <w:p w14:paraId="7D398526" w14:textId="33C8724E"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094" w:history="1">
        <w:r w:rsidR="009A2C2A" w:rsidRPr="000E0FDD">
          <w:rPr>
            <w:rStyle w:val="Hyperlink"/>
            <w:lang w:val="sl-SI"/>
          </w:rPr>
          <w:t>Evropska komisija</w:t>
        </w:r>
        <w:r w:rsidR="009A2C2A">
          <w:rPr>
            <w:webHidden/>
          </w:rPr>
          <w:tab/>
        </w:r>
        <w:r w:rsidR="00CB66AB">
          <w:rPr>
            <w:webHidden/>
          </w:rPr>
          <w:fldChar w:fldCharType="begin"/>
        </w:r>
        <w:r w:rsidR="009A2C2A">
          <w:rPr>
            <w:webHidden/>
          </w:rPr>
          <w:instrText xml:space="preserve"> PAGEREF _Toc527401094 \h </w:instrText>
        </w:r>
        <w:r w:rsidR="00CB66AB">
          <w:rPr>
            <w:webHidden/>
          </w:rPr>
        </w:r>
        <w:r w:rsidR="00CB66AB">
          <w:rPr>
            <w:webHidden/>
          </w:rPr>
          <w:fldChar w:fldCharType="separate"/>
        </w:r>
        <w:r>
          <w:rPr>
            <w:webHidden/>
          </w:rPr>
          <w:t>15</w:t>
        </w:r>
        <w:r w:rsidR="00CB66AB">
          <w:rPr>
            <w:webHidden/>
          </w:rPr>
          <w:fldChar w:fldCharType="end"/>
        </w:r>
      </w:hyperlink>
    </w:p>
    <w:p w14:paraId="7D398527" w14:textId="49A65849"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095" w:history="1">
        <w:r w:rsidR="009A2C2A" w:rsidRPr="000E0FDD">
          <w:rPr>
            <w:rStyle w:val="Hyperlink"/>
            <w:lang w:val="sl-SI"/>
          </w:rPr>
          <w:t>Nacionalne agencije</w:t>
        </w:r>
        <w:r w:rsidR="009A2C2A">
          <w:rPr>
            <w:webHidden/>
          </w:rPr>
          <w:tab/>
        </w:r>
        <w:r w:rsidR="00CB66AB">
          <w:rPr>
            <w:webHidden/>
          </w:rPr>
          <w:fldChar w:fldCharType="begin"/>
        </w:r>
        <w:r w:rsidR="009A2C2A">
          <w:rPr>
            <w:webHidden/>
          </w:rPr>
          <w:instrText xml:space="preserve"> PAGEREF _Toc527401095 \h </w:instrText>
        </w:r>
        <w:r w:rsidR="00CB66AB">
          <w:rPr>
            <w:webHidden/>
          </w:rPr>
        </w:r>
        <w:r w:rsidR="00CB66AB">
          <w:rPr>
            <w:webHidden/>
          </w:rPr>
          <w:fldChar w:fldCharType="separate"/>
        </w:r>
        <w:r>
          <w:rPr>
            <w:webHidden/>
          </w:rPr>
          <w:t>15</w:t>
        </w:r>
        <w:r w:rsidR="00CB66AB">
          <w:rPr>
            <w:webHidden/>
          </w:rPr>
          <w:fldChar w:fldCharType="end"/>
        </w:r>
      </w:hyperlink>
    </w:p>
    <w:p w14:paraId="7D398528" w14:textId="485ED1CA"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096" w:history="1">
        <w:r w:rsidR="009A2C2A" w:rsidRPr="000E0FDD">
          <w:rPr>
            <w:rStyle w:val="Hyperlink"/>
            <w:lang w:val="sl-SI"/>
          </w:rPr>
          <w:t>Kateri drugi organi so vključeni v izvajanje programa?</w:t>
        </w:r>
        <w:r w:rsidR="009A2C2A">
          <w:rPr>
            <w:webHidden/>
          </w:rPr>
          <w:tab/>
        </w:r>
        <w:r w:rsidR="00CB66AB">
          <w:rPr>
            <w:webHidden/>
          </w:rPr>
          <w:fldChar w:fldCharType="begin"/>
        </w:r>
        <w:r w:rsidR="009A2C2A">
          <w:rPr>
            <w:webHidden/>
          </w:rPr>
          <w:instrText xml:space="preserve"> PAGEREF _Toc527401096 \h </w:instrText>
        </w:r>
        <w:r w:rsidR="00CB66AB">
          <w:rPr>
            <w:webHidden/>
          </w:rPr>
        </w:r>
        <w:r w:rsidR="00CB66AB">
          <w:rPr>
            <w:webHidden/>
          </w:rPr>
          <w:fldChar w:fldCharType="separate"/>
        </w:r>
        <w:r>
          <w:rPr>
            <w:webHidden/>
          </w:rPr>
          <w:t>16</w:t>
        </w:r>
        <w:r w:rsidR="00CB66AB">
          <w:rPr>
            <w:webHidden/>
          </w:rPr>
          <w:fldChar w:fldCharType="end"/>
        </w:r>
      </w:hyperlink>
    </w:p>
    <w:p w14:paraId="7D398529" w14:textId="20276EC1" w:rsidR="009A2C2A" w:rsidRDefault="00A6094F">
      <w:pPr>
        <w:pStyle w:val="TOC2"/>
        <w:rPr>
          <w:rFonts w:asciiTheme="minorHAnsi" w:eastAsiaTheme="minorEastAsia" w:hAnsiTheme="minorHAnsi" w:cstheme="minorBidi"/>
          <w:bCs w:val="0"/>
          <w:kern w:val="0"/>
          <w:sz w:val="22"/>
          <w:szCs w:val="22"/>
          <w:lang w:val="en-US" w:eastAsia="ja-JP"/>
        </w:rPr>
      </w:pPr>
      <w:hyperlink w:anchor="_Toc527401122" w:history="1">
        <w:r w:rsidR="009A2C2A" w:rsidRPr="000E0FDD">
          <w:rPr>
            <w:rStyle w:val="Hyperlink"/>
            <w:lang w:val="sl-SI"/>
          </w:rPr>
          <w:t>Kdo lahko sodeluje v programu Erasmus+?</w:t>
        </w:r>
        <w:r w:rsidR="009A2C2A">
          <w:rPr>
            <w:webHidden/>
          </w:rPr>
          <w:tab/>
        </w:r>
        <w:r w:rsidR="00CB66AB">
          <w:rPr>
            <w:webHidden/>
          </w:rPr>
          <w:fldChar w:fldCharType="begin"/>
        </w:r>
        <w:r w:rsidR="009A2C2A">
          <w:rPr>
            <w:webHidden/>
          </w:rPr>
          <w:instrText xml:space="preserve"> PAGEREF _Toc527401122 \h </w:instrText>
        </w:r>
        <w:r w:rsidR="00CB66AB">
          <w:rPr>
            <w:webHidden/>
          </w:rPr>
        </w:r>
        <w:r w:rsidR="00CB66AB">
          <w:rPr>
            <w:webHidden/>
          </w:rPr>
          <w:fldChar w:fldCharType="separate"/>
        </w:r>
        <w:r>
          <w:rPr>
            <w:webHidden/>
          </w:rPr>
          <w:t>22</w:t>
        </w:r>
        <w:r w:rsidR="00CB66AB">
          <w:rPr>
            <w:webHidden/>
          </w:rPr>
          <w:fldChar w:fldCharType="end"/>
        </w:r>
      </w:hyperlink>
    </w:p>
    <w:p w14:paraId="7D39852A" w14:textId="1754AD82"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123" w:history="1">
        <w:r w:rsidR="009A2C2A" w:rsidRPr="000E0FDD">
          <w:rPr>
            <w:rStyle w:val="Hyperlink"/>
            <w:lang w:val="sl-SI"/>
          </w:rPr>
          <w:t>Udeleženci</w:t>
        </w:r>
        <w:r w:rsidR="009A2C2A">
          <w:rPr>
            <w:webHidden/>
          </w:rPr>
          <w:tab/>
        </w:r>
        <w:r w:rsidR="00CB66AB">
          <w:rPr>
            <w:webHidden/>
          </w:rPr>
          <w:fldChar w:fldCharType="begin"/>
        </w:r>
        <w:r w:rsidR="009A2C2A">
          <w:rPr>
            <w:webHidden/>
          </w:rPr>
          <w:instrText xml:space="preserve"> PAGEREF _Toc527401123 \h </w:instrText>
        </w:r>
        <w:r w:rsidR="00CB66AB">
          <w:rPr>
            <w:webHidden/>
          </w:rPr>
        </w:r>
        <w:r w:rsidR="00CB66AB">
          <w:rPr>
            <w:webHidden/>
          </w:rPr>
          <w:fldChar w:fldCharType="separate"/>
        </w:r>
        <w:r>
          <w:rPr>
            <w:webHidden/>
          </w:rPr>
          <w:t>22</w:t>
        </w:r>
        <w:r w:rsidR="00CB66AB">
          <w:rPr>
            <w:webHidden/>
          </w:rPr>
          <w:fldChar w:fldCharType="end"/>
        </w:r>
      </w:hyperlink>
    </w:p>
    <w:p w14:paraId="7D39852B" w14:textId="27373B2A"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124" w:history="1">
        <w:r w:rsidR="009A2C2A" w:rsidRPr="000E0FDD">
          <w:rPr>
            <w:rStyle w:val="Hyperlink"/>
            <w:lang w:val="sl-SI"/>
          </w:rPr>
          <w:t>Sodelujoče organizacije</w:t>
        </w:r>
        <w:r w:rsidR="009A2C2A">
          <w:rPr>
            <w:webHidden/>
          </w:rPr>
          <w:tab/>
        </w:r>
        <w:r w:rsidR="00CB66AB">
          <w:rPr>
            <w:webHidden/>
          </w:rPr>
          <w:fldChar w:fldCharType="begin"/>
        </w:r>
        <w:r w:rsidR="009A2C2A">
          <w:rPr>
            <w:webHidden/>
          </w:rPr>
          <w:instrText xml:space="preserve"> PAGEREF _Toc527401124 \h </w:instrText>
        </w:r>
        <w:r w:rsidR="00CB66AB">
          <w:rPr>
            <w:webHidden/>
          </w:rPr>
        </w:r>
        <w:r w:rsidR="00CB66AB">
          <w:rPr>
            <w:webHidden/>
          </w:rPr>
          <w:fldChar w:fldCharType="separate"/>
        </w:r>
        <w:r>
          <w:rPr>
            <w:webHidden/>
          </w:rPr>
          <w:t>22</w:t>
        </w:r>
        <w:r w:rsidR="00CB66AB">
          <w:rPr>
            <w:webHidden/>
          </w:rPr>
          <w:fldChar w:fldCharType="end"/>
        </w:r>
      </w:hyperlink>
    </w:p>
    <w:p w14:paraId="7D39852C" w14:textId="5C642C4A"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125" w:history="1">
        <w:r w:rsidR="009A2C2A" w:rsidRPr="000E0FDD">
          <w:rPr>
            <w:rStyle w:val="Hyperlink"/>
            <w:lang w:val="sl-SI"/>
          </w:rPr>
          <w:t>Upravičene države</w:t>
        </w:r>
        <w:r w:rsidR="009A2C2A">
          <w:rPr>
            <w:webHidden/>
          </w:rPr>
          <w:tab/>
        </w:r>
        <w:r w:rsidR="00CB66AB">
          <w:rPr>
            <w:webHidden/>
          </w:rPr>
          <w:fldChar w:fldCharType="begin"/>
        </w:r>
        <w:r w:rsidR="009A2C2A">
          <w:rPr>
            <w:webHidden/>
          </w:rPr>
          <w:instrText xml:space="preserve"> PAGEREF _Toc527401125 \h </w:instrText>
        </w:r>
        <w:r w:rsidR="00CB66AB">
          <w:rPr>
            <w:webHidden/>
          </w:rPr>
        </w:r>
        <w:r w:rsidR="00CB66AB">
          <w:rPr>
            <w:webHidden/>
          </w:rPr>
          <w:fldChar w:fldCharType="separate"/>
        </w:r>
        <w:r>
          <w:rPr>
            <w:webHidden/>
          </w:rPr>
          <w:t>23</w:t>
        </w:r>
        <w:r w:rsidR="00CB66AB">
          <w:rPr>
            <w:webHidden/>
          </w:rPr>
          <w:fldChar w:fldCharType="end"/>
        </w:r>
      </w:hyperlink>
    </w:p>
    <w:p w14:paraId="7D39852D" w14:textId="56B6A32F" w:rsidR="009A2C2A" w:rsidRDefault="00A6094F">
      <w:pPr>
        <w:pStyle w:val="TOC1"/>
        <w:rPr>
          <w:rFonts w:asciiTheme="minorHAnsi" w:eastAsiaTheme="minorEastAsia" w:hAnsiTheme="minorHAnsi" w:cstheme="minorBidi"/>
          <w:b w:val="0"/>
          <w:bCs w:val="0"/>
          <w:caps w:val="0"/>
          <w:kern w:val="0"/>
          <w:lang w:val="en-US" w:eastAsia="ja-JP"/>
        </w:rPr>
      </w:pPr>
      <w:hyperlink w:anchor="_Toc527401130" w:history="1">
        <w:r w:rsidR="009A2C2A" w:rsidRPr="000E0FDD">
          <w:rPr>
            <w:rStyle w:val="Hyperlink"/>
            <w:lang w:val="sl-SI"/>
          </w:rPr>
          <w:t>Del B – Informacije o ukrepih, zajetih v ta vodnik</w:t>
        </w:r>
        <w:r w:rsidR="009A2C2A">
          <w:rPr>
            <w:webHidden/>
          </w:rPr>
          <w:tab/>
        </w:r>
        <w:r w:rsidR="00CB66AB">
          <w:rPr>
            <w:webHidden/>
          </w:rPr>
          <w:fldChar w:fldCharType="begin"/>
        </w:r>
        <w:r w:rsidR="009A2C2A">
          <w:rPr>
            <w:webHidden/>
          </w:rPr>
          <w:instrText xml:space="preserve"> PAGEREF _Toc527401130 \h </w:instrText>
        </w:r>
        <w:r w:rsidR="00CB66AB">
          <w:rPr>
            <w:webHidden/>
          </w:rPr>
        </w:r>
        <w:r w:rsidR="00CB66AB">
          <w:rPr>
            <w:webHidden/>
          </w:rPr>
          <w:fldChar w:fldCharType="separate"/>
        </w:r>
        <w:r>
          <w:rPr>
            <w:webHidden/>
          </w:rPr>
          <w:t>26</w:t>
        </w:r>
        <w:r w:rsidR="00CB66AB">
          <w:rPr>
            <w:webHidden/>
          </w:rPr>
          <w:fldChar w:fldCharType="end"/>
        </w:r>
      </w:hyperlink>
    </w:p>
    <w:p w14:paraId="7D39852E" w14:textId="6FF2DB2D" w:rsidR="009A2C2A" w:rsidRDefault="00A6094F">
      <w:pPr>
        <w:pStyle w:val="TOC2"/>
        <w:rPr>
          <w:rFonts w:asciiTheme="minorHAnsi" w:eastAsiaTheme="minorEastAsia" w:hAnsiTheme="minorHAnsi" w:cstheme="minorBidi"/>
          <w:bCs w:val="0"/>
          <w:kern w:val="0"/>
          <w:sz w:val="22"/>
          <w:szCs w:val="22"/>
          <w:lang w:val="en-US" w:eastAsia="ja-JP"/>
        </w:rPr>
      </w:pPr>
      <w:hyperlink w:anchor="_Toc527401131" w:history="1">
        <w:r w:rsidR="009A2C2A" w:rsidRPr="000E0FDD">
          <w:rPr>
            <w:rStyle w:val="Hyperlink"/>
            <w:lang w:val="sl-SI"/>
          </w:rPr>
          <w:t>Izobraževanje in usposabljanje</w:t>
        </w:r>
        <w:r w:rsidR="009A2C2A">
          <w:rPr>
            <w:webHidden/>
          </w:rPr>
          <w:tab/>
        </w:r>
        <w:r w:rsidR="00CB66AB">
          <w:rPr>
            <w:webHidden/>
          </w:rPr>
          <w:fldChar w:fldCharType="begin"/>
        </w:r>
        <w:r w:rsidR="009A2C2A">
          <w:rPr>
            <w:webHidden/>
          </w:rPr>
          <w:instrText xml:space="preserve"> PAGEREF _Toc527401131 \h </w:instrText>
        </w:r>
        <w:r w:rsidR="00CB66AB">
          <w:rPr>
            <w:webHidden/>
          </w:rPr>
        </w:r>
        <w:r w:rsidR="00CB66AB">
          <w:rPr>
            <w:webHidden/>
          </w:rPr>
          <w:fldChar w:fldCharType="separate"/>
        </w:r>
        <w:r>
          <w:rPr>
            <w:webHidden/>
          </w:rPr>
          <w:t>27</w:t>
        </w:r>
        <w:r w:rsidR="00CB66AB">
          <w:rPr>
            <w:webHidden/>
          </w:rPr>
          <w:fldChar w:fldCharType="end"/>
        </w:r>
      </w:hyperlink>
    </w:p>
    <w:p w14:paraId="7D39852F" w14:textId="71D41A86"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132" w:history="1">
        <w:r w:rsidR="009A2C2A" w:rsidRPr="000E0FDD">
          <w:rPr>
            <w:rStyle w:val="Hyperlink"/>
            <w:lang w:val="sl-SI"/>
          </w:rPr>
          <w:t>Kateri ukrepi so podprti?</w:t>
        </w:r>
        <w:r w:rsidR="009A2C2A">
          <w:rPr>
            <w:webHidden/>
          </w:rPr>
          <w:tab/>
        </w:r>
        <w:r w:rsidR="00CB66AB">
          <w:rPr>
            <w:webHidden/>
          </w:rPr>
          <w:fldChar w:fldCharType="begin"/>
        </w:r>
        <w:r w:rsidR="009A2C2A">
          <w:rPr>
            <w:webHidden/>
          </w:rPr>
          <w:instrText xml:space="preserve"> PAGEREF _Toc527401132 \h </w:instrText>
        </w:r>
        <w:r w:rsidR="00CB66AB">
          <w:rPr>
            <w:webHidden/>
          </w:rPr>
        </w:r>
        <w:r w:rsidR="00CB66AB">
          <w:rPr>
            <w:webHidden/>
          </w:rPr>
          <w:fldChar w:fldCharType="separate"/>
        </w:r>
        <w:r>
          <w:rPr>
            <w:webHidden/>
          </w:rPr>
          <w:t>27</w:t>
        </w:r>
        <w:r w:rsidR="00CB66AB">
          <w:rPr>
            <w:webHidden/>
          </w:rPr>
          <w:fldChar w:fldCharType="end"/>
        </w:r>
      </w:hyperlink>
    </w:p>
    <w:p w14:paraId="7D398530" w14:textId="3AFC8866"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133" w:history="1">
        <w:r w:rsidR="009A2C2A" w:rsidRPr="000E0FDD">
          <w:rPr>
            <w:rStyle w:val="Hyperlink"/>
            <w:lang w:val="sl-SI"/>
          </w:rPr>
          <w:t>Kakšni so cilji teh ukrepov?</w:t>
        </w:r>
        <w:r w:rsidR="009A2C2A">
          <w:rPr>
            <w:webHidden/>
          </w:rPr>
          <w:tab/>
        </w:r>
        <w:r w:rsidR="00CB66AB">
          <w:rPr>
            <w:webHidden/>
          </w:rPr>
          <w:fldChar w:fldCharType="begin"/>
        </w:r>
        <w:r w:rsidR="009A2C2A">
          <w:rPr>
            <w:webHidden/>
          </w:rPr>
          <w:instrText xml:space="preserve"> PAGEREF _Toc527401133 \h </w:instrText>
        </w:r>
        <w:r w:rsidR="00CB66AB">
          <w:rPr>
            <w:webHidden/>
          </w:rPr>
        </w:r>
        <w:r w:rsidR="00CB66AB">
          <w:rPr>
            <w:webHidden/>
          </w:rPr>
          <w:fldChar w:fldCharType="separate"/>
        </w:r>
        <w:r>
          <w:rPr>
            <w:webHidden/>
          </w:rPr>
          <w:t>27</w:t>
        </w:r>
        <w:r w:rsidR="00CB66AB">
          <w:rPr>
            <w:webHidden/>
          </w:rPr>
          <w:fldChar w:fldCharType="end"/>
        </w:r>
      </w:hyperlink>
    </w:p>
    <w:p w14:paraId="7D398531" w14:textId="5A72C13E" w:rsidR="009A2C2A" w:rsidRDefault="00A6094F">
      <w:pPr>
        <w:pStyle w:val="TOC2"/>
        <w:rPr>
          <w:rFonts w:asciiTheme="minorHAnsi" w:eastAsiaTheme="minorEastAsia" w:hAnsiTheme="minorHAnsi" w:cstheme="minorBidi"/>
          <w:bCs w:val="0"/>
          <w:kern w:val="0"/>
          <w:sz w:val="22"/>
          <w:szCs w:val="22"/>
          <w:lang w:val="en-US" w:eastAsia="ja-JP"/>
        </w:rPr>
      </w:pPr>
      <w:hyperlink w:anchor="_Toc527401134" w:history="1">
        <w:r w:rsidR="009A2C2A" w:rsidRPr="000E0FDD">
          <w:rPr>
            <w:rStyle w:val="Hyperlink"/>
            <w:lang w:val="sl-SI"/>
          </w:rPr>
          <w:t>Mladina</w:t>
        </w:r>
        <w:r w:rsidR="009A2C2A">
          <w:rPr>
            <w:webHidden/>
          </w:rPr>
          <w:tab/>
        </w:r>
        <w:r w:rsidR="00CB66AB">
          <w:rPr>
            <w:webHidden/>
          </w:rPr>
          <w:fldChar w:fldCharType="begin"/>
        </w:r>
        <w:r w:rsidR="009A2C2A">
          <w:rPr>
            <w:webHidden/>
          </w:rPr>
          <w:instrText xml:space="preserve"> PAGEREF _Toc527401134 \h </w:instrText>
        </w:r>
        <w:r w:rsidR="00CB66AB">
          <w:rPr>
            <w:webHidden/>
          </w:rPr>
        </w:r>
        <w:r w:rsidR="00CB66AB">
          <w:rPr>
            <w:webHidden/>
          </w:rPr>
          <w:fldChar w:fldCharType="separate"/>
        </w:r>
        <w:r>
          <w:rPr>
            <w:webHidden/>
          </w:rPr>
          <w:t>28</w:t>
        </w:r>
        <w:r w:rsidR="00CB66AB">
          <w:rPr>
            <w:webHidden/>
          </w:rPr>
          <w:fldChar w:fldCharType="end"/>
        </w:r>
      </w:hyperlink>
    </w:p>
    <w:p w14:paraId="7D398532" w14:textId="76F79FBF"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135" w:history="1">
        <w:r w:rsidR="009A2C2A" w:rsidRPr="000E0FDD">
          <w:rPr>
            <w:rStyle w:val="Hyperlink"/>
            <w:lang w:val="sl-SI"/>
          </w:rPr>
          <w:t>Kateri ukrepi so podprti?</w:t>
        </w:r>
        <w:r w:rsidR="009A2C2A">
          <w:rPr>
            <w:webHidden/>
          </w:rPr>
          <w:tab/>
        </w:r>
        <w:r w:rsidR="00CB66AB">
          <w:rPr>
            <w:webHidden/>
          </w:rPr>
          <w:fldChar w:fldCharType="begin"/>
        </w:r>
        <w:r w:rsidR="009A2C2A">
          <w:rPr>
            <w:webHidden/>
          </w:rPr>
          <w:instrText xml:space="preserve"> PAGEREF _Toc527401135 \h </w:instrText>
        </w:r>
        <w:r w:rsidR="00CB66AB">
          <w:rPr>
            <w:webHidden/>
          </w:rPr>
        </w:r>
        <w:r w:rsidR="00CB66AB">
          <w:rPr>
            <w:webHidden/>
          </w:rPr>
          <w:fldChar w:fldCharType="separate"/>
        </w:r>
        <w:r>
          <w:rPr>
            <w:webHidden/>
          </w:rPr>
          <w:t>28</w:t>
        </w:r>
        <w:r w:rsidR="00CB66AB">
          <w:rPr>
            <w:webHidden/>
          </w:rPr>
          <w:fldChar w:fldCharType="end"/>
        </w:r>
      </w:hyperlink>
    </w:p>
    <w:p w14:paraId="7D398533" w14:textId="01070878"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136" w:history="1">
        <w:r w:rsidR="009A2C2A" w:rsidRPr="000E0FDD">
          <w:rPr>
            <w:rStyle w:val="Hyperlink"/>
            <w:lang w:val="sl-SI"/>
          </w:rPr>
          <w:t>Kakšni so cilji teh ukrepov?</w:t>
        </w:r>
        <w:r w:rsidR="009A2C2A">
          <w:rPr>
            <w:webHidden/>
          </w:rPr>
          <w:tab/>
        </w:r>
        <w:r w:rsidR="00CB66AB">
          <w:rPr>
            <w:webHidden/>
          </w:rPr>
          <w:fldChar w:fldCharType="begin"/>
        </w:r>
        <w:r w:rsidR="009A2C2A">
          <w:rPr>
            <w:webHidden/>
          </w:rPr>
          <w:instrText xml:space="preserve"> PAGEREF _Toc527401136 \h </w:instrText>
        </w:r>
        <w:r w:rsidR="00CB66AB">
          <w:rPr>
            <w:webHidden/>
          </w:rPr>
        </w:r>
        <w:r w:rsidR="00CB66AB">
          <w:rPr>
            <w:webHidden/>
          </w:rPr>
          <w:fldChar w:fldCharType="separate"/>
        </w:r>
        <w:r>
          <w:rPr>
            <w:webHidden/>
          </w:rPr>
          <w:t>28</w:t>
        </w:r>
        <w:r w:rsidR="00CB66AB">
          <w:rPr>
            <w:webHidden/>
          </w:rPr>
          <w:fldChar w:fldCharType="end"/>
        </w:r>
      </w:hyperlink>
    </w:p>
    <w:p w14:paraId="7D398534" w14:textId="791290ED" w:rsidR="009A2C2A" w:rsidRDefault="00A6094F">
      <w:pPr>
        <w:pStyle w:val="TOC2"/>
        <w:rPr>
          <w:rFonts w:asciiTheme="minorHAnsi" w:eastAsiaTheme="minorEastAsia" w:hAnsiTheme="minorHAnsi" w:cstheme="minorBidi"/>
          <w:bCs w:val="0"/>
          <w:kern w:val="0"/>
          <w:sz w:val="22"/>
          <w:szCs w:val="22"/>
          <w:lang w:val="en-US" w:eastAsia="ja-JP"/>
        </w:rPr>
      </w:pPr>
      <w:hyperlink w:anchor="_Toc527401137" w:history="1">
        <w:r w:rsidR="009A2C2A" w:rsidRPr="000E0FDD">
          <w:rPr>
            <w:rStyle w:val="Hyperlink"/>
            <w:lang w:val="sl-SI"/>
          </w:rPr>
          <w:t>Trije ključni ukrepi</w:t>
        </w:r>
        <w:r w:rsidR="009A2C2A">
          <w:rPr>
            <w:webHidden/>
          </w:rPr>
          <w:tab/>
        </w:r>
        <w:r w:rsidR="00CB66AB">
          <w:rPr>
            <w:webHidden/>
          </w:rPr>
          <w:fldChar w:fldCharType="begin"/>
        </w:r>
        <w:r w:rsidR="009A2C2A">
          <w:rPr>
            <w:webHidden/>
          </w:rPr>
          <w:instrText xml:space="preserve"> PAGEREF _Toc527401137 \h </w:instrText>
        </w:r>
        <w:r w:rsidR="00CB66AB">
          <w:rPr>
            <w:webHidden/>
          </w:rPr>
        </w:r>
        <w:r w:rsidR="00CB66AB">
          <w:rPr>
            <w:webHidden/>
          </w:rPr>
          <w:fldChar w:fldCharType="separate"/>
        </w:r>
        <w:r>
          <w:rPr>
            <w:webHidden/>
          </w:rPr>
          <w:t>29</w:t>
        </w:r>
        <w:r w:rsidR="00CB66AB">
          <w:rPr>
            <w:webHidden/>
          </w:rPr>
          <w:fldChar w:fldCharType="end"/>
        </w:r>
      </w:hyperlink>
    </w:p>
    <w:p w14:paraId="7D398535" w14:textId="633A615A"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138" w:history="1">
        <w:r w:rsidR="009A2C2A" w:rsidRPr="000E0FDD">
          <w:rPr>
            <w:rStyle w:val="Hyperlink"/>
            <w:lang w:val="sl-SI"/>
          </w:rPr>
          <w:t>Ključni ukrep 1: Učna mobilnost posameznikov</w:t>
        </w:r>
        <w:r w:rsidR="009A2C2A">
          <w:rPr>
            <w:webHidden/>
          </w:rPr>
          <w:tab/>
        </w:r>
        <w:r w:rsidR="00CB66AB">
          <w:rPr>
            <w:webHidden/>
          </w:rPr>
          <w:fldChar w:fldCharType="begin"/>
        </w:r>
        <w:r w:rsidR="009A2C2A">
          <w:rPr>
            <w:webHidden/>
          </w:rPr>
          <w:instrText xml:space="preserve"> PAGEREF _Toc527401138 \h </w:instrText>
        </w:r>
        <w:r w:rsidR="00CB66AB">
          <w:rPr>
            <w:webHidden/>
          </w:rPr>
        </w:r>
        <w:r w:rsidR="00CB66AB">
          <w:rPr>
            <w:webHidden/>
          </w:rPr>
          <w:fldChar w:fldCharType="separate"/>
        </w:r>
        <w:r>
          <w:rPr>
            <w:webHidden/>
          </w:rPr>
          <w:t>30</w:t>
        </w:r>
        <w:r w:rsidR="00CB66AB">
          <w:rPr>
            <w:webHidden/>
          </w:rPr>
          <w:fldChar w:fldCharType="end"/>
        </w:r>
      </w:hyperlink>
    </w:p>
    <w:p w14:paraId="7D398536" w14:textId="3F8A8DB1" w:rsidR="009A2C2A" w:rsidRDefault="00A6094F">
      <w:pPr>
        <w:pStyle w:val="TOC4"/>
        <w:rPr>
          <w:rFonts w:asciiTheme="minorHAnsi" w:eastAsiaTheme="minorEastAsia" w:hAnsiTheme="minorHAnsi" w:cstheme="minorBidi"/>
          <w:sz w:val="22"/>
          <w:szCs w:val="22"/>
          <w:lang w:val="en-US" w:eastAsia="ja-JP"/>
        </w:rPr>
      </w:pPr>
      <w:hyperlink w:anchor="_Toc527401139" w:history="1">
        <w:r w:rsidR="009A2C2A" w:rsidRPr="000E0FDD">
          <w:rPr>
            <w:rStyle w:val="Hyperlink"/>
            <w:lang w:val="sl-SI"/>
          </w:rPr>
          <w:t>Projekt mobilnosti za študente in osebje v visokošolskem izobraževanju</w:t>
        </w:r>
        <w:r w:rsidR="009A2C2A">
          <w:rPr>
            <w:webHidden/>
          </w:rPr>
          <w:tab/>
        </w:r>
        <w:r w:rsidR="00CB66AB">
          <w:rPr>
            <w:webHidden/>
          </w:rPr>
          <w:fldChar w:fldCharType="begin"/>
        </w:r>
        <w:r w:rsidR="009A2C2A">
          <w:rPr>
            <w:webHidden/>
          </w:rPr>
          <w:instrText xml:space="preserve"> PAGEREF _Toc527401139 \h </w:instrText>
        </w:r>
        <w:r w:rsidR="00CB66AB">
          <w:rPr>
            <w:webHidden/>
          </w:rPr>
        </w:r>
        <w:r w:rsidR="00CB66AB">
          <w:rPr>
            <w:webHidden/>
          </w:rPr>
          <w:fldChar w:fldCharType="separate"/>
        </w:r>
        <w:r>
          <w:rPr>
            <w:webHidden/>
          </w:rPr>
          <w:t>33</w:t>
        </w:r>
        <w:r w:rsidR="00CB66AB">
          <w:rPr>
            <w:webHidden/>
          </w:rPr>
          <w:fldChar w:fldCharType="end"/>
        </w:r>
      </w:hyperlink>
    </w:p>
    <w:p w14:paraId="7D398537" w14:textId="2E2092AE" w:rsidR="009A2C2A" w:rsidRDefault="00A6094F">
      <w:pPr>
        <w:pStyle w:val="TOC4"/>
        <w:rPr>
          <w:rFonts w:asciiTheme="minorHAnsi" w:eastAsiaTheme="minorEastAsia" w:hAnsiTheme="minorHAnsi" w:cstheme="minorBidi"/>
          <w:sz w:val="22"/>
          <w:szCs w:val="22"/>
          <w:lang w:val="en-US" w:eastAsia="ja-JP"/>
        </w:rPr>
      </w:pPr>
      <w:hyperlink w:anchor="_Toc527401140" w:history="1">
        <w:r w:rsidR="009A2C2A" w:rsidRPr="000E0FDD">
          <w:rPr>
            <w:rStyle w:val="Hyperlink"/>
            <w:lang w:val="sl-SI"/>
          </w:rPr>
          <w:t>Projekt mobilnosti za dijake in osebje v PIU</w:t>
        </w:r>
        <w:r w:rsidR="009A2C2A">
          <w:rPr>
            <w:webHidden/>
          </w:rPr>
          <w:tab/>
        </w:r>
        <w:r w:rsidR="00CB66AB">
          <w:rPr>
            <w:webHidden/>
          </w:rPr>
          <w:fldChar w:fldCharType="begin"/>
        </w:r>
        <w:r w:rsidR="009A2C2A">
          <w:rPr>
            <w:webHidden/>
          </w:rPr>
          <w:instrText xml:space="preserve"> PAGEREF _Toc527401140 \h </w:instrText>
        </w:r>
        <w:r w:rsidR="00CB66AB">
          <w:rPr>
            <w:webHidden/>
          </w:rPr>
        </w:r>
        <w:r w:rsidR="00CB66AB">
          <w:rPr>
            <w:webHidden/>
          </w:rPr>
          <w:fldChar w:fldCharType="separate"/>
        </w:r>
        <w:r>
          <w:rPr>
            <w:webHidden/>
          </w:rPr>
          <w:t>50</w:t>
        </w:r>
        <w:r w:rsidR="00CB66AB">
          <w:rPr>
            <w:webHidden/>
          </w:rPr>
          <w:fldChar w:fldCharType="end"/>
        </w:r>
      </w:hyperlink>
    </w:p>
    <w:p w14:paraId="7D398538" w14:textId="6CD80C45" w:rsidR="009A2C2A" w:rsidRDefault="00A6094F">
      <w:pPr>
        <w:pStyle w:val="TOC4"/>
        <w:rPr>
          <w:rFonts w:asciiTheme="minorHAnsi" w:eastAsiaTheme="minorEastAsia" w:hAnsiTheme="minorHAnsi" w:cstheme="minorBidi"/>
          <w:sz w:val="22"/>
          <w:szCs w:val="22"/>
          <w:lang w:val="en-US" w:eastAsia="ja-JP"/>
        </w:rPr>
      </w:pPr>
      <w:hyperlink w:anchor="_Toc527401141" w:history="1">
        <w:r w:rsidR="009A2C2A" w:rsidRPr="000E0FDD">
          <w:rPr>
            <w:rStyle w:val="Hyperlink"/>
            <w:lang w:val="sl-SI"/>
          </w:rPr>
          <w:t>Projekt mobilnosti za šolsko osebje</w:t>
        </w:r>
        <w:r w:rsidR="009A2C2A">
          <w:rPr>
            <w:webHidden/>
          </w:rPr>
          <w:tab/>
        </w:r>
        <w:r w:rsidR="00CB66AB">
          <w:rPr>
            <w:webHidden/>
          </w:rPr>
          <w:fldChar w:fldCharType="begin"/>
        </w:r>
        <w:r w:rsidR="009A2C2A">
          <w:rPr>
            <w:webHidden/>
          </w:rPr>
          <w:instrText xml:space="preserve"> PAGEREF _Toc527401141 \h </w:instrText>
        </w:r>
        <w:r w:rsidR="00CB66AB">
          <w:rPr>
            <w:webHidden/>
          </w:rPr>
        </w:r>
        <w:r w:rsidR="00CB66AB">
          <w:rPr>
            <w:webHidden/>
          </w:rPr>
          <w:fldChar w:fldCharType="separate"/>
        </w:r>
        <w:r>
          <w:rPr>
            <w:webHidden/>
          </w:rPr>
          <w:t>63</w:t>
        </w:r>
        <w:r w:rsidR="00CB66AB">
          <w:rPr>
            <w:webHidden/>
          </w:rPr>
          <w:fldChar w:fldCharType="end"/>
        </w:r>
      </w:hyperlink>
    </w:p>
    <w:p w14:paraId="7D398539" w14:textId="4FBD80A5" w:rsidR="009A2C2A" w:rsidRDefault="00A6094F">
      <w:pPr>
        <w:pStyle w:val="TOC4"/>
        <w:rPr>
          <w:rFonts w:asciiTheme="minorHAnsi" w:eastAsiaTheme="minorEastAsia" w:hAnsiTheme="minorHAnsi" w:cstheme="minorBidi"/>
          <w:sz w:val="22"/>
          <w:szCs w:val="22"/>
          <w:lang w:val="en-US" w:eastAsia="ja-JP"/>
        </w:rPr>
      </w:pPr>
      <w:hyperlink w:anchor="_Toc527401142" w:history="1">
        <w:r w:rsidR="009A2C2A" w:rsidRPr="000E0FDD">
          <w:rPr>
            <w:rStyle w:val="Hyperlink"/>
            <w:lang w:val="sl-SI"/>
          </w:rPr>
          <w:t>Projekt mobilnosti za osebje v izobraževanju odraslih</w:t>
        </w:r>
        <w:r w:rsidR="009A2C2A">
          <w:rPr>
            <w:webHidden/>
          </w:rPr>
          <w:tab/>
        </w:r>
        <w:r w:rsidR="00CB66AB">
          <w:rPr>
            <w:webHidden/>
          </w:rPr>
          <w:fldChar w:fldCharType="begin"/>
        </w:r>
        <w:r w:rsidR="009A2C2A">
          <w:rPr>
            <w:webHidden/>
          </w:rPr>
          <w:instrText xml:space="preserve"> PAGEREF _Toc527401142 \h </w:instrText>
        </w:r>
        <w:r w:rsidR="00CB66AB">
          <w:rPr>
            <w:webHidden/>
          </w:rPr>
        </w:r>
        <w:r w:rsidR="00CB66AB">
          <w:rPr>
            <w:webHidden/>
          </w:rPr>
          <w:fldChar w:fldCharType="separate"/>
        </w:r>
        <w:r>
          <w:rPr>
            <w:webHidden/>
          </w:rPr>
          <w:t>70</w:t>
        </w:r>
        <w:r w:rsidR="00CB66AB">
          <w:rPr>
            <w:webHidden/>
          </w:rPr>
          <w:fldChar w:fldCharType="end"/>
        </w:r>
      </w:hyperlink>
    </w:p>
    <w:p w14:paraId="7D39853A" w14:textId="0E0F5B4A" w:rsidR="009A2C2A" w:rsidRDefault="00A6094F">
      <w:pPr>
        <w:pStyle w:val="TOC4"/>
        <w:rPr>
          <w:rFonts w:asciiTheme="minorHAnsi" w:eastAsiaTheme="minorEastAsia" w:hAnsiTheme="minorHAnsi" w:cstheme="minorBidi"/>
          <w:sz w:val="22"/>
          <w:szCs w:val="22"/>
          <w:lang w:val="en-US" w:eastAsia="ja-JP"/>
        </w:rPr>
      </w:pPr>
      <w:hyperlink w:anchor="_Toc527401143" w:history="1">
        <w:r w:rsidR="009A2C2A" w:rsidRPr="000E0FDD">
          <w:rPr>
            <w:rStyle w:val="Hyperlink"/>
            <w:lang w:val="sl-SI"/>
          </w:rPr>
          <w:t>Projekt mobilnosti za mlade in mladinske delavce</w:t>
        </w:r>
        <w:r w:rsidR="009A2C2A">
          <w:rPr>
            <w:webHidden/>
          </w:rPr>
          <w:tab/>
        </w:r>
        <w:r w:rsidR="00CB66AB">
          <w:rPr>
            <w:webHidden/>
          </w:rPr>
          <w:fldChar w:fldCharType="begin"/>
        </w:r>
        <w:r w:rsidR="009A2C2A">
          <w:rPr>
            <w:webHidden/>
          </w:rPr>
          <w:instrText xml:space="preserve"> PAGEREF _Toc527401143 \h </w:instrText>
        </w:r>
        <w:r w:rsidR="00CB66AB">
          <w:rPr>
            <w:webHidden/>
          </w:rPr>
        </w:r>
        <w:r w:rsidR="00CB66AB">
          <w:rPr>
            <w:webHidden/>
          </w:rPr>
          <w:fldChar w:fldCharType="separate"/>
        </w:r>
        <w:r>
          <w:rPr>
            <w:webHidden/>
          </w:rPr>
          <w:t>77</w:t>
        </w:r>
        <w:r w:rsidR="00CB66AB">
          <w:rPr>
            <w:webHidden/>
          </w:rPr>
          <w:fldChar w:fldCharType="end"/>
        </w:r>
      </w:hyperlink>
    </w:p>
    <w:p w14:paraId="7D39853B" w14:textId="4176BEE5" w:rsidR="009A2C2A" w:rsidRDefault="00A6094F">
      <w:pPr>
        <w:pStyle w:val="TOC4"/>
        <w:rPr>
          <w:rFonts w:asciiTheme="minorHAnsi" w:eastAsiaTheme="minorEastAsia" w:hAnsiTheme="minorHAnsi" w:cstheme="minorBidi"/>
          <w:sz w:val="22"/>
          <w:szCs w:val="22"/>
          <w:lang w:val="en-US" w:eastAsia="ja-JP"/>
        </w:rPr>
      </w:pPr>
      <w:hyperlink w:anchor="_Toc527401144" w:history="1">
        <w:r w:rsidR="009A2C2A" w:rsidRPr="000E0FDD">
          <w:rPr>
            <w:rStyle w:val="Hyperlink"/>
            <w:lang w:val="sl-SI"/>
          </w:rPr>
          <w:t>Skupni magistrski programi Erasmus Mundus</w:t>
        </w:r>
        <w:r w:rsidR="009A2C2A">
          <w:rPr>
            <w:webHidden/>
          </w:rPr>
          <w:tab/>
        </w:r>
        <w:r w:rsidR="00CB66AB">
          <w:rPr>
            <w:webHidden/>
          </w:rPr>
          <w:fldChar w:fldCharType="begin"/>
        </w:r>
        <w:r w:rsidR="009A2C2A">
          <w:rPr>
            <w:webHidden/>
          </w:rPr>
          <w:instrText xml:space="preserve"> PAGEREF _Toc527401144 \h </w:instrText>
        </w:r>
        <w:r w:rsidR="00CB66AB">
          <w:rPr>
            <w:webHidden/>
          </w:rPr>
        </w:r>
        <w:r w:rsidR="00CB66AB">
          <w:rPr>
            <w:webHidden/>
          </w:rPr>
          <w:fldChar w:fldCharType="separate"/>
        </w:r>
        <w:r>
          <w:rPr>
            <w:webHidden/>
          </w:rPr>
          <w:t>87</w:t>
        </w:r>
        <w:r w:rsidR="00CB66AB">
          <w:rPr>
            <w:webHidden/>
          </w:rPr>
          <w:fldChar w:fldCharType="end"/>
        </w:r>
      </w:hyperlink>
    </w:p>
    <w:p w14:paraId="7D39853C" w14:textId="4C5EE53C" w:rsidR="009A2C2A" w:rsidRDefault="00A6094F">
      <w:pPr>
        <w:pStyle w:val="TOC4"/>
        <w:rPr>
          <w:rFonts w:asciiTheme="minorHAnsi" w:eastAsiaTheme="minorEastAsia" w:hAnsiTheme="minorHAnsi" w:cstheme="minorBidi"/>
          <w:sz w:val="22"/>
          <w:szCs w:val="22"/>
          <w:lang w:val="en-US" w:eastAsia="ja-JP"/>
        </w:rPr>
      </w:pPr>
      <w:hyperlink w:anchor="_Toc527401145" w:history="1">
        <w:r w:rsidR="009A2C2A" w:rsidRPr="000E0FDD">
          <w:rPr>
            <w:rStyle w:val="Hyperlink"/>
            <w:lang w:val="sl-SI"/>
          </w:rPr>
          <w:t>Posojila Erasmus+ za magistrski študij</w:t>
        </w:r>
        <w:r w:rsidR="009A2C2A">
          <w:rPr>
            <w:webHidden/>
          </w:rPr>
          <w:tab/>
        </w:r>
        <w:r w:rsidR="00CB66AB">
          <w:rPr>
            <w:webHidden/>
          </w:rPr>
          <w:fldChar w:fldCharType="begin"/>
        </w:r>
        <w:r w:rsidR="009A2C2A">
          <w:rPr>
            <w:webHidden/>
          </w:rPr>
          <w:instrText xml:space="preserve"> PAGEREF _Toc527401145 \h </w:instrText>
        </w:r>
        <w:r w:rsidR="00CB66AB">
          <w:rPr>
            <w:webHidden/>
          </w:rPr>
        </w:r>
        <w:r w:rsidR="00CB66AB">
          <w:rPr>
            <w:webHidden/>
          </w:rPr>
          <w:fldChar w:fldCharType="separate"/>
        </w:r>
        <w:r>
          <w:rPr>
            <w:webHidden/>
          </w:rPr>
          <w:t>97</w:t>
        </w:r>
        <w:r w:rsidR="00CB66AB">
          <w:rPr>
            <w:webHidden/>
          </w:rPr>
          <w:fldChar w:fldCharType="end"/>
        </w:r>
      </w:hyperlink>
    </w:p>
    <w:p w14:paraId="7D39853D" w14:textId="1262D1F0"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146" w:history="1">
        <w:r w:rsidR="009A2C2A" w:rsidRPr="000E0FDD">
          <w:rPr>
            <w:rStyle w:val="Hyperlink"/>
            <w:lang w:val="sl-SI"/>
          </w:rPr>
          <w:t>Ključni ukrep 2:</w:t>
        </w:r>
        <w:r w:rsidR="00C1426B" w:rsidRPr="00C1426B">
          <w:t xml:space="preserve"> </w:t>
        </w:r>
        <w:r w:rsidR="00C1426B" w:rsidRPr="00C1426B">
          <w:rPr>
            <w:rStyle w:val="Hyperlink"/>
            <w:lang w:val="sl-SI"/>
          </w:rPr>
          <w:t>Strateška partnerstva na področju izobraževanja, usposabljanja in mladine</w:t>
        </w:r>
        <w:r w:rsidR="009A2C2A">
          <w:rPr>
            <w:webHidden/>
          </w:rPr>
          <w:tab/>
        </w:r>
        <w:r w:rsidR="00CB66AB">
          <w:rPr>
            <w:webHidden/>
          </w:rPr>
          <w:fldChar w:fldCharType="begin"/>
        </w:r>
        <w:r w:rsidR="009A2C2A">
          <w:rPr>
            <w:webHidden/>
          </w:rPr>
          <w:instrText xml:space="preserve"> PAGEREF _Toc527401146 \h </w:instrText>
        </w:r>
        <w:r w:rsidR="00CB66AB">
          <w:rPr>
            <w:webHidden/>
          </w:rPr>
        </w:r>
        <w:r w:rsidR="00CB66AB">
          <w:rPr>
            <w:webHidden/>
          </w:rPr>
          <w:fldChar w:fldCharType="separate"/>
        </w:r>
        <w:r>
          <w:rPr>
            <w:webHidden/>
          </w:rPr>
          <w:t>98</w:t>
        </w:r>
        <w:r w:rsidR="00CB66AB">
          <w:rPr>
            <w:webHidden/>
          </w:rPr>
          <w:fldChar w:fldCharType="end"/>
        </w:r>
      </w:hyperlink>
    </w:p>
    <w:p w14:paraId="7D39853E" w14:textId="0B517FA3" w:rsidR="009A2C2A" w:rsidRDefault="00A6094F">
      <w:pPr>
        <w:pStyle w:val="TOC4"/>
        <w:rPr>
          <w:rFonts w:asciiTheme="minorHAnsi" w:eastAsiaTheme="minorEastAsia" w:hAnsiTheme="minorHAnsi" w:cstheme="minorBidi"/>
          <w:sz w:val="22"/>
          <w:szCs w:val="22"/>
          <w:lang w:val="en-US" w:eastAsia="ja-JP"/>
        </w:rPr>
      </w:pPr>
      <w:hyperlink w:anchor="_Toc527401152" w:history="1">
        <w:r w:rsidR="009A2C2A" w:rsidRPr="000E0FDD">
          <w:rPr>
            <w:rStyle w:val="Hyperlink"/>
            <w:bCs/>
            <w:bdr w:val="nil"/>
            <w:lang w:val="sl-SI"/>
          </w:rPr>
          <w:t>Evropske univerze</w:t>
        </w:r>
        <w:r w:rsidR="009A2C2A">
          <w:rPr>
            <w:webHidden/>
          </w:rPr>
          <w:tab/>
        </w:r>
        <w:r w:rsidR="00CB66AB">
          <w:rPr>
            <w:webHidden/>
          </w:rPr>
          <w:fldChar w:fldCharType="begin"/>
        </w:r>
        <w:r w:rsidR="009A2C2A">
          <w:rPr>
            <w:webHidden/>
          </w:rPr>
          <w:instrText xml:space="preserve"> PAGEREF _Toc527401152 \h </w:instrText>
        </w:r>
        <w:r w:rsidR="00CB66AB">
          <w:rPr>
            <w:webHidden/>
          </w:rPr>
        </w:r>
        <w:r w:rsidR="00CB66AB">
          <w:rPr>
            <w:webHidden/>
          </w:rPr>
          <w:fldChar w:fldCharType="separate"/>
        </w:r>
        <w:r>
          <w:rPr>
            <w:webHidden/>
          </w:rPr>
          <w:t>128</w:t>
        </w:r>
        <w:r w:rsidR="00CB66AB">
          <w:rPr>
            <w:webHidden/>
          </w:rPr>
          <w:fldChar w:fldCharType="end"/>
        </w:r>
      </w:hyperlink>
    </w:p>
    <w:p w14:paraId="7D39853F" w14:textId="47CABE7E" w:rsidR="009A2C2A" w:rsidRDefault="00A6094F">
      <w:pPr>
        <w:pStyle w:val="TOC4"/>
        <w:rPr>
          <w:rFonts w:asciiTheme="minorHAnsi" w:eastAsiaTheme="minorEastAsia" w:hAnsiTheme="minorHAnsi" w:cstheme="minorBidi"/>
          <w:sz w:val="22"/>
          <w:szCs w:val="22"/>
          <w:lang w:val="en-US" w:eastAsia="ja-JP"/>
        </w:rPr>
      </w:pPr>
      <w:hyperlink w:anchor="_Toc527401153" w:history="1">
        <w:r w:rsidR="009A2C2A" w:rsidRPr="000E0FDD">
          <w:rPr>
            <w:rStyle w:val="Hyperlink"/>
            <w:lang w:val="sl-SI"/>
          </w:rPr>
          <w:t>Koalicije znanja</w:t>
        </w:r>
        <w:r w:rsidR="009A2C2A">
          <w:rPr>
            <w:webHidden/>
          </w:rPr>
          <w:tab/>
        </w:r>
        <w:r w:rsidR="00CB66AB">
          <w:rPr>
            <w:webHidden/>
          </w:rPr>
          <w:fldChar w:fldCharType="begin"/>
        </w:r>
        <w:r w:rsidR="009A2C2A">
          <w:rPr>
            <w:webHidden/>
          </w:rPr>
          <w:instrText xml:space="preserve"> PAGEREF _Toc527401153 \h </w:instrText>
        </w:r>
        <w:r w:rsidR="00CB66AB">
          <w:rPr>
            <w:webHidden/>
          </w:rPr>
        </w:r>
        <w:r w:rsidR="00CB66AB">
          <w:rPr>
            <w:webHidden/>
          </w:rPr>
          <w:fldChar w:fldCharType="separate"/>
        </w:r>
        <w:r>
          <w:rPr>
            <w:webHidden/>
          </w:rPr>
          <w:t>135</w:t>
        </w:r>
        <w:r w:rsidR="00CB66AB">
          <w:rPr>
            <w:webHidden/>
          </w:rPr>
          <w:fldChar w:fldCharType="end"/>
        </w:r>
      </w:hyperlink>
    </w:p>
    <w:p w14:paraId="7D398540" w14:textId="79303DB9" w:rsidR="009A2C2A" w:rsidRDefault="00A6094F">
      <w:pPr>
        <w:pStyle w:val="TOC4"/>
        <w:rPr>
          <w:rFonts w:asciiTheme="minorHAnsi" w:eastAsiaTheme="minorEastAsia" w:hAnsiTheme="minorHAnsi" w:cstheme="minorBidi"/>
          <w:sz w:val="22"/>
          <w:szCs w:val="22"/>
          <w:lang w:val="en-US" w:eastAsia="ja-JP"/>
        </w:rPr>
      </w:pPr>
      <w:hyperlink w:anchor="_Toc527401154" w:history="1">
        <w:r w:rsidR="009A2C2A" w:rsidRPr="000E0FDD">
          <w:rPr>
            <w:rStyle w:val="Hyperlink"/>
            <w:lang w:val="sl-SI"/>
          </w:rPr>
          <w:t>Koalicije sektorskih spretnosti</w:t>
        </w:r>
        <w:r w:rsidR="009A2C2A">
          <w:rPr>
            <w:webHidden/>
          </w:rPr>
          <w:tab/>
        </w:r>
        <w:r w:rsidR="00CB66AB">
          <w:rPr>
            <w:webHidden/>
          </w:rPr>
          <w:fldChar w:fldCharType="begin"/>
        </w:r>
        <w:r w:rsidR="009A2C2A">
          <w:rPr>
            <w:webHidden/>
          </w:rPr>
          <w:instrText xml:space="preserve"> PAGEREF _Toc527401154 \h </w:instrText>
        </w:r>
        <w:r w:rsidR="00CB66AB">
          <w:rPr>
            <w:webHidden/>
          </w:rPr>
        </w:r>
        <w:r w:rsidR="00CB66AB">
          <w:rPr>
            <w:webHidden/>
          </w:rPr>
          <w:fldChar w:fldCharType="separate"/>
        </w:r>
        <w:r>
          <w:rPr>
            <w:webHidden/>
          </w:rPr>
          <w:t>144</w:t>
        </w:r>
        <w:r w:rsidR="00CB66AB">
          <w:rPr>
            <w:webHidden/>
          </w:rPr>
          <w:fldChar w:fldCharType="end"/>
        </w:r>
      </w:hyperlink>
    </w:p>
    <w:p w14:paraId="7D398541" w14:textId="49413F2B" w:rsidR="009A2C2A" w:rsidRDefault="00A6094F">
      <w:pPr>
        <w:pStyle w:val="TOC4"/>
        <w:rPr>
          <w:rFonts w:asciiTheme="minorHAnsi" w:eastAsiaTheme="minorEastAsia" w:hAnsiTheme="minorHAnsi" w:cstheme="minorBidi"/>
          <w:sz w:val="22"/>
          <w:szCs w:val="22"/>
          <w:lang w:val="en-US" w:eastAsia="ja-JP"/>
        </w:rPr>
      </w:pPr>
      <w:hyperlink w:anchor="_Toc527401155" w:history="1">
        <w:r w:rsidR="009A2C2A" w:rsidRPr="000E0FDD">
          <w:rPr>
            <w:rStyle w:val="Hyperlink"/>
            <w:lang w:val="sl-SI"/>
          </w:rPr>
          <w:t>Krepitev zmogljivosti na področju visokošolskega izobraževanja</w:t>
        </w:r>
        <w:r w:rsidR="009A2C2A">
          <w:rPr>
            <w:webHidden/>
          </w:rPr>
          <w:tab/>
        </w:r>
        <w:r w:rsidR="00CB66AB">
          <w:rPr>
            <w:webHidden/>
          </w:rPr>
          <w:fldChar w:fldCharType="begin"/>
        </w:r>
        <w:r w:rsidR="009A2C2A">
          <w:rPr>
            <w:webHidden/>
          </w:rPr>
          <w:instrText xml:space="preserve"> PAGEREF _Toc527401155 \h </w:instrText>
        </w:r>
        <w:r w:rsidR="00CB66AB">
          <w:rPr>
            <w:webHidden/>
          </w:rPr>
        </w:r>
        <w:r w:rsidR="00CB66AB">
          <w:rPr>
            <w:webHidden/>
          </w:rPr>
          <w:fldChar w:fldCharType="separate"/>
        </w:r>
        <w:r>
          <w:rPr>
            <w:webHidden/>
          </w:rPr>
          <w:t>163</w:t>
        </w:r>
        <w:r w:rsidR="00CB66AB">
          <w:rPr>
            <w:webHidden/>
          </w:rPr>
          <w:fldChar w:fldCharType="end"/>
        </w:r>
      </w:hyperlink>
    </w:p>
    <w:p w14:paraId="7D398542" w14:textId="01E8B50C" w:rsidR="009A2C2A" w:rsidRDefault="00A6094F">
      <w:pPr>
        <w:pStyle w:val="TOC4"/>
        <w:rPr>
          <w:rFonts w:asciiTheme="minorHAnsi" w:eastAsiaTheme="minorEastAsia" w:hAnsiTheme="minorHAnsi" w:cstheme="minorBidi"/>
          <w:sz w:val="22"/>
          <w:szCs w:val="22"/>
          <w:lang w:val="en-US" w:eastAsia="ja-JP"/>
        </w:rPr>
      </w:pPr>
      <w:hyperlink w:anchor="_Toc527401156" w:history="1">
        <w:r w:rsidR="009A2C2A" w:rsidRPr="000E0FDD">
          <w:rPr>
            <w:rStyle w:val="Hyperlink"/>
            <w:lang w:val="sl-SI"/>
          </w:rPr>
          <w:t>Krepitev zmogljivosti na področju mladine</w:t>
        </w:r>
        <w:r w:rsidR="009A2C2A">
          <w:rPr>
            <w:webHidden/>
          </w:rPr>
          <w:tab/>
        </w:r>
        <w:r w:rsidR="00CB66AB">
          <w:rPr>
            <w:webHidden/>
          </w:rPr>
          <w:fldChar w:fldCharType="begin"/>
        </w:r>
        <w:r w:rsidR="009A2C2A">
          <w:rPr>
            <w:webHidden/>
          </w:rPr>
          <w:instrText xml:space="preserve"> PAGEREF _Toc527401156 \h </w:instrText>
        </w:r>
        <w:r w:rsidR="00CB66AB">
          <w:rPr>
            <w:webHidden/>
          </w:rPr>
        </w:r>
        <w:r w:rsidR="00CB66AB">
          <w:rPr>
            <w:webHidden/>
          </w:rPr>
          <w:fldChar w:fldCharType="separate"/>
        </w:r>
        <w:r>
          <w:rPr>
            <w:webHidden/>
          </w:rPr>
          <w:t>178</w:t>
        </w:r>
        <w:r w:rsidR="00CB66AB">
          <w:rPr>
            <w:webHidden/>
          </w:rPr>
          <w:fldChar w:fldCharType="end"/>
        </w:r>
      </w:hyperlink>
    </w:p>
    <w:p w14:paraId="7D398543" w14:textId="6F96786C"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162" w:history="1">
        <w:r w:rsidR="009A2C2A" w:rsidRPr="000E0FDD">
          <w:rPr>
            <w:rStyle w:val="Hyperlink"/>
            <w:lang w:val="sl-SI"/>
          </w:rPr>
          <w:t>Ključni ukrep 3:</w:t>
        </w:r>
        <w:r w:rsidR="009A2C2A">
          <w:rPr>
            <w:webHidden/>
          </w:rPr>
          <w:tab/>
        </w:r>
        <w:r w:rsidR="00CB66AB">
          <w:rPr>
            <w:webHidden/>
          </w:rPr>
          <w:fldChar w:fldCharType="begin"/>
        </w:r>
        <w:r w:rsidR="009A2C2A">
          <w:rPr>
            <w:webHidden/>
          </w:rPr>
          <w:instrText xml:space="preserve"> PAGEREF _Toc527401162 \h </w:instrText>
        </w:r>
        <w:r w:rsidR="00CB66AB">
          <w:rPr>
            <w:webHidden/>
          </w:rPr>
        </w:r>
        <w:r w:rsidR="00CB66AB">
          <w:rPr>
            <w:webHidden/>
          </w:rPr>
          <w:fldChar w:fldCharType="separate"/>
        </w:r>
        <w:r>
          <w:rPr>
            <w:webHidden/>
          </w:rPr>
          <w:t>194</w:t>
        </w:r>
        <w:r w:rsidR="00CB66AB">
          <w:rPr>
            <w:webHidden/>
          </w:rPr>
          <w:fldChar w:fldCharType="end"/>
        </w:r>
      </w:hyperlink>
    </w:p>
    <w:p w14:paraId="7D398544" w14:textId="024EC964" w:rsidR="009A2C2A" w:rsidRDefault="00A6094F">
      <w:pPr>
        <w:pStyle w:val="TOC4"/>
        <w:rPr>
          <w:rFonts w:asciiTheme="minorHAnsi" w:eastAsiaTheme="minorEastAsia" w:hAnsiTheme="minorHAnsi" w:cstheme="minorBidi"/>
          <w:sz w:val="22"/>
          <w:szCs w:val="22"/>
          <w:lang w:val="en-US" w:eastAsia="ja-JP"/>
        </w:rPr>
      </w:pPr>
      <w:hyperlink w:anchor="_Toc527401164" w:history="1">
        <w:r w:rsidR="009A2C2A" w:rsidRPr="000E0FDD">
          <w:rPr>
            <w:rStyle w:val="Hyperlink"/>
            <w:bCs/>
            <w:bdr w:val="nil"/>
            <w:lang w:val="sl-SI"/>
          </w:rPr>
          <w:t>Projekti Dialog mladih</w:t>
        </w:r>
        <w:r w:rsidR="009A2C2A">
          <w:rPr>
            <w:webHidden/>
          </w:rPr>
          <w:tab/>
        </w:r>
        <w:r w:rsidR="00CB66AB">
          <w:rPr>
            <w:webHidden/>
          </w:rPr>
          <w:fldChar w:fldCharType="begin"/>
        </w:r>
        <w:r w:rsidR="009A2C2A">
          <w:rPr>
            <w:webHidden/>
          </w:rPr>
          <w:instrText xml:space="preserve"> PAGEREF _Toc527401164 \h </w:instrText>
        </w:r>
        <w:r w:rsidR="00CB66AB">
          <w:rPr>
            <w:webHidden/>
          </w:rPr>
        </w:r>
        <w:r w:rsidR="00CB66AB">
          <w:rPr>
            <w:webHidden/>
          </w:rPr>
          <w:fldChar w:fldCharType="separate"/>
        </w:r>
        <w:r>
          <w:rPr>
            <w:webHidden/>
          </w:rPr>
          <w:t>196</w:t>
        </w:r>
        <w:r w:rsidR="00CB66AB">
          <w:rPr>
            <w:webHidden/>
          </w:rPr>
          <w:fldChar w:fldCharType="end"/>
        </w:r>
      </w:hyperlink>
    </w:p>
    <w:p w14:paraId="7D398545" w14:textId="01A8D230" w:rsidR="009A2C2A" w:rsidRDefault="00A6094F">
      <w:pPr>
        <w:pStyle w:val="TOC2"/>
        <w:rPr>
          <w:rFonts w:asciiTheme="minorHAnsi" w:eastAsiaTheme="minorEastAsia" w:hAnsiTheme="minorHAnsi" w:cstheme="minorBidi"/>
          <w:bCs w:val="0"/>
          <w:kern w:val="0"/>
          <w:sz w:val="22"/>
          <w:szCs w:val="22"/>
          <w:lang w:val="en-US" w:eastAsia="ja-JP"/>
        </w:rPr>
      </w:pPr>
      <w:hyperlink w:anchor="_Toc527401165" w:history="1">
        <w:r w:rsidR="009A2C2A" w:rsidRPr="000E0FDD">
          <w:rPr>
            <w:rStyle w:val="Hyperlink"/>
            <w:lang w:val="sl-SI"/>
          </w:rPr>
          <w:t>Aktivnosti programa Jean Monnet</w:t>
        </w:r>
        <w:r w:rsidR="009A2C2A">
          <w:rPr>
            <w:webHidden/>
          </w:rPr>
          <w:tab/>
        </w:r>
        <w:r w:rsidR="00CB66AB">
          <w:rPr>
            <w:webHidden/>
          </w:rPr>
          <w:fldChar w:fldCharType="begin"/>
        </w:r>
        <w:r w:rsidR="009A2C2A">
          <w:rPr>
            <w:webHidden/>
          </w:rPr>
          <w:instrText xml:space="preserve"> PAGEREF _Toc527401165 \h </w:instrText>
        </w:r>
        <w:r w:rsidR="00CB66AB">
          <w:rPr>
            <w:webHidden/>
          </w:rPr>
        </w:r>
        <w:r w:rsidR="00CB66AB">
          <w:rPr>
            <w:webHidden/>
          </w:rPr>
          <w:fldChar w:fldCharType="separate"/>
        </w:r>
        <w:r>
          <w:rPr>
            <w:webHidden/>
          </w:rPr>
          <w:t>202</w:t>
        </w:r>
        <w:r w:rsidR="00CB66AB">
          <w:rPr>
            <w:webHidden/>
          </w:rPr>
          <w:fldChar w:fldCharType="end"/>
        </w:r>
      </w:hyperlink>
    </w:p>
    <w:p w14:paraId="7D398546" w14:textId="01DBCF93"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166" w:history="1">
        <w:r w:rsidR="009A2C2A" w:rsidRPr="000E0FDD">
          <w:rPr>
            <w:rStyle w:val="Hyperlink"/>
            <w:rFonts w:eastAsia="Calibri"/>
            <w:bCs/>
            <w:bdr w:val="nil"/>
            <w:lang w:val="sl-SI"/>
          </w:rPr>
          <w:t>Kakšni so cilji aktivnosti Jean Monnet?</w:t>
        </w:r>
        <w:r w:rsidR="009A2C2A">
          <w:rPr>
            <w:webHidden/>
          </w:rPr>
          <w:tab/>
        </w:r>
        <w:r w:rsidR="00CB66AB">
          <w:rPr>
            <w:webHidden/>
          </w:rPr>
          <w:fldChar w:fldCharType="begin"/>
        </w:r>
        <w:r w:rsidR="009A2C2A">
          <w:rPr>
            <w:webHidden/>
          </w:rPr>
          <w:instrText xml:space="preserve"> PAGEREF _Toc527401166 \h </w:instrText>
        </w:r>
        <w:r w:rsidR="00CB66AB">
          <w:rPr>
            <w:webHidden/>
          </w:rPr>
        </w:r>
        <w:r w:rsidR="00CB66AB">
          <w:rPr>
            <w:webHidden/>
          </w:rPr>
          <w:fldChar w:fldCharType="separate"/>
        </w:r>
        <w:r>
          <w:rPr>
            <w:webHidden/>
          </w:rPr>
          <w:t>202</w:t>
        </w:r>
        <w:r w:rsidR="00CB66AB">
          <w:rPr>
            <w:webHidden/>
          </w:rPr>
          <w:fldChar w:fldCharType="end"/>
        </w:r>
      </w:hyperlink>
    </w:p>
    <w:p w14:paraId="7D398547" w14:textId="4E8B4E7F"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167" w:history="1">
        <w:r w:rsidR="009A2C2A" w:rsidRPr="000E0FDD">
          <w:rPr>
            <w:rStyle w:val="Hyperlink"/>
            <w:lang w:val="sl-SI"/>
          </w:rPr>
          <w:t>Kateri ukrepi so podprti?</w:t>
        </w:r>
        <w:r w:rsidR="009A2C2A">
          <w:rPr>
            <w:webHidden/>
          </w:rPr>
          <w:tab/>
        </w:r>
        <w:r w:rsidR="00CB66AB">
          <w:rPr>
            <w:webHidden/>
          </w:rPr>
          <w:fldChar w:fldCharType="begin"/>
        </w:r>
        <w:r w:rsidR="009A2C2A">
          <w:rPr>
            <w:webHidden/>
          </w:rPr>
          <w:instrText xml:space="preserve"> PAGEREF _Toc527401167 \h </w:instrText>
        </w:r>
        <w:r w:rsidR="00CB66AB">
          <w:rPr>
            <w:webHidden/>
          </w:rPr>
        </w:r>
        <w:r w:rsidR="00CB66AB">
          <w:rPr>
            <w:webHidden/>
          </w:rPr>
          <w:fldChar w:fldCharType="separate"/>
        </w:r>
        <w:r>
          <w:rPr>
            <w:webHidden/>
          </w:rPr>
          <w:t>202</w:t>
        </w:r>
        <w:r w:rsidR="00CB66AB">
          <w:rPr>
            <w:webHidden/>
          </w:rPr>
          <w:fldChar w:fldCharType="end"/>
        </w:r>
      </w:hyperlink>
    </w:p>
    <w:p w14:paraId="7D398548" w14:textId="67656084"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168" w:history="1">
        <w:r w:rsidR="009A2C2A" w:rsidRPr="000E0FDD">
          <w:rPr>
            <w:rStyle w:val="Hyperlink"/>
            <w:lang w:val="sl-SI"/>
          </w:rPr>
          <w:t>Moduli Jean Monnet</w:t>
        </w:r>
        <w:r w:rsidR="009A2C2A">
          <w:rPr>
            <w:webHidden/>
          </w:rPr>
          <w:tab/>
        </w:r>
        <w:r w:rsidR="00CB66AB">
          <w:rPr>
            <w:webHidden/>
          </w:rPr>
          <w:fldChar w:fldCharType="begin"/>
        </w:r>
        <w:r w:rsidR="009A2C2A">
          <w:rPr>
            <w:webHidden/>
          </w:rPr>
          <w:instrText xml:space="preserve"> PAGEREF _Toc527401168 \h </w:instrText>
        </w:r>
        <w:r w:rsidR="00CB66AB">
          <w:rPr>
            <w:webHidden/>
          </w:rPr>
        </w:r>
        <w:r w:rsidR="00CB66AB">
          <w:rPr>
            <w:webHidden/>
          </w:rPr>
          <w:fldChar w:fldCharType="separate"/>
        </w:r>
        <w:r>
          <w:rPr>
            <w:webHidden/>
          </w:rPr>
          <w:t>204</w:t>
        </w:r>
        <w:r w:rsidR="00CB66AB">
          <w:rPr>
            <w:webHidden/>
          </w:rPr>
          <w:fldChar w:fldCharType="end"/>
        </w:r>
      </w:hyperlink>
    </w:p>
    <w:p w14:paraId="7D398549" w14:textId="775DD825"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175" w:history="1">
        <w:r w:rsidR="009A2C2A" w:rsidRPr="000E0FDD">
          <w:rPr>
            <w:rStyle w:val="Hyperlink"/>
            <w:lang w:val="sl-SI"/>
          </w:rPr>
          <w:t>Katedre Jean Monnet</w:t>
        </w:r>
        <w:r w:rsidR="009A2C2A">
          <w:rPr>
            <w:webHidden/>
          </w:rPr>
          <w:tab/>
        </w:r>
        <w:r w:rsidR="00CB66AB">
          <w:rPr>
            <w:webHidden/>
          </w:rPr>
          <w:fldChar w:fldCharType="begin"/>
        </w:r>
        <w:r w:rsidR="009A2C2A">
          <w:rPr>
            <w:webHidden/>
          </w:rPr>
          <w:instrText xml:space="preserve"> PAGEREF _Toc527401175 \h </w:instrText>
        </w:r>
        <w:r w:rsidR="00CB66AB">
          <w:rPr>
            <w:webHidden/>
          </w:rPr>
        </w:r>
        <w:r w:rsidR="00CB66AB">
          <w:rPr>
            <w:webHidden/>
          </w:rPr>
          <w:fldChar w:fldCharType="separate"/>
        </w:r>
        <w:r>
          <w:rPr>
            <w:webHidden/>
          </w:rPr>
          <w:t>209</w:t>
        </w:r>
        <w:r w:rsidR="00CB66AB">
          <w:rPr>
            <w:webHidden/>
          </w:rPr>
          <w:fldChar w:fldCharType="end"/>
        </w:r>
      </w:hyperlink>
    </w:p>
    <w:p w14:paraId="7D39854A" w14:textId="57EA6272"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182" w:history="1">
        <w:r w:rsidR="009A2C2A" w:rsidRPr="000E0FDD">
          <w:rPr>
            <w:rStyle w:val="Hyperlink"/>
            <w:lang w:val="sl-SI"/>
          </w:rPr>
          <w:t>Centri odličnosti Jean Monnet</w:t>
        </w:r>
        <w:r w:rsidR="009A2C2A">
          <w:rPr>
            <w:webHidden/>
          </w:rPr>
          <w:tab/>
        </w:r>
        <w:r w:rsidR="00CB66AB">
          <w:rPr>
            <w:webHidden/>
          </w:rPr>
          <w:fldChar w:fldCharType="begin"/>
        </w:r>
        <w:r w:rsidR="009A2C2A">
          <w:rPr>
            <w:webHidden/>
          </w:rPr>
          <w:instrText xml:space="preserve"> PAGEREF _Toc527401182 \h </w:instrText>
        </w:r>
        <w:r w:rsidR="00CB66AB">
          <w:rPr>
            <w:webHidden/>
          </w:rPr>
        </w:r>
        <w:r w:rsidR="00CB66AB">
          <w:rPr>
            <w:webHidden/>
          </w:rPr>
          <w:fldChar w:fldCharType="separate"/>
        </w:r>
        <w:r>
          <w:rPr>
            <w:webHidden/>
          </w:rPr>
          <w:t>214</w:t>
        </w:r>
        <w:r w:rsidR="00CB66AB">
          <w:rPr>
            <w:webHidden/>
          </w:rPr>
          <w:fldChar w:fldCharType="end"/>
        </w:r>
      </w:hyperlink>
    </w:p>
    <w:p w14:paraId="7D39854B" w14:textId="19AB47EE"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188" w:history="1">
        <w:r w:rsidR="009A2C2A" w:rsidRPr="000E0FDD">
          <w:rPr>
            <w:rStyle w:val="Hyperlink"/>
            <w:lang w:val="sl-SI"/>
          </w:rPr>
          <w:t>Podpora Jean Monnet za združenja</w:t>
        </w:r>
        <w:r w:rsidR="009A2C2A">
          <w:rPr>
            <w:webHidden/>
          </w:rPr>
          <w:tab/>
        </w:r>
        <w:r w:rsidR="00CB66AB">
          <w:rPr>
            <w:webHidden/>
          </w:rPr>
          <w:fldChar w:fldCharType="begin"/>
        </w:r>
        <w:r w:rsidR="009A2C2A">
          <w:rPr>
            <w:webHidden/>
          </w:rPr>
          <w:instrText xml:space="preserve"> PAGEREF _Toc527401188 \h </w:instrText>
        </w:r>
        <w:r w:rsidR="00CB66AB">
          <w:rPr>
            <w:webHidden/>
          </w:rPr>
        </w:r>
        <w:r w:rsidR="00CB66AB">
          <w:rPr>
            <w:webHidden/>
          </w:rPr>
          <w:fldChar w:fldCharType="separate"/>
        </w:r>
        <w:r>
          <w:rPr>
            <w:webHidden/>
          </w:rPr>
          <w:t>218</w:t>
        </w:r>
        <w:r w:rsidR="00CB66AB">
          <w:rPr>
            <w:webHidden/>
          </w:rPr>
          <w:fldChar w:fldCharType="end"/>
        </w:r>
      </w:hyperlink>
    </w:p>
    <w:p w14:paraId="7D39854C" w14:textId="3E48276B"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193" w:history="1">
        <w:r w:rsidR="009A2C2A" w:rsidRPr="000E0FDD">
          <w:rPr>
            <w:rStyle w:val="Hyperlink"/>
            <w:lang w:val="sl-SI"/>
          </w:rPr>
          <w:t>Omrežja Jean Monnet (strateške razprave z akademskim okoljem)</w:t>
        </w:r>
        <w:r w:rsidR="009A2C2A">
          <w:rPr>
            <w:webHidden/>
          </w:rPr>
          <w:tab/>
        </w:r>
        <w:r w:rsidR="00CB66AB">
          <w:rPr>
            <w:webHidden/>
          </w:rPr>
          <w:fldChar w:fldCharType="begin"/>
        </w:r>
        <w:r w:rsidR="009A2C2A">
          <w:rPr>
            <w:webHidden/>
          </w:rPr>
          <w:instrText xml:space="preserve"> PAGEREF _Toc527401193 \h </w:instrText>
        </w:r>
        <w:r w:rsidR="00CB66AB">
          <w:rPr>
            <w:webHidden/>
          </w:rPr>
        </w:r>
        <w:r w:rsidR="00CB66AB">
          <w:rPr>
            <w:webHidden/>
          </w:rPr>
          <w:fldChar w:fldCharType="separate"/>
        </w:r>
        <w:r>
          <w:rPr>
            <w:webHidden/>
          </w:rPr>
          <w:t>222</w:t>
        </w:r>
        <w:r w:rsidR="00CB66AB">
          <w:rPr>
            <w:webHidden/>
          </w:rPr>
          <w:fldChar w:fldCharType="end"/>
        </w:r>
      </w:hyperlink>
    </w:p>
    <w:p w14:paraId="7D39854D" w14:textId="037B6718"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199" w:history="1">
        <w:r w:rsidR="009A2C2A" w:rsidRPr="000E0FDD">
          <w:rPr>
            <w:rStyle w:val="Hyperlink"/>
            <w:lang w:val="sl-SI"/>
          </w:rPr>
          <w:t>Projekti Jean Monnet (strateške razprave z akademskim okoljem)</w:t>
        </w:r>
        <w:r w:rsidR="009A2C2A">
          <w:rPr>
            <w:webHidden/>
          </w:rPr>
          <w:tab/>
        </w:r>
        <w:r w:rsidR="00CB66AB">
          <w:rPr>
            <w:webHidden/>
          </w:rPr>
          <w:fldChar w:fldCharType="begin"/>
        </w:r>
        <w:r w:rsidR="009A2C2A">
          <w:rPr>
            <w:webHidden/>
          </w:rPr>
          <w:instrText xml:space="preserve"> PAGEREF _Toc527401199 \h </w:instrText>
        </w:r>
        <w:r w:rsidR="00CB66AB">
          <w:rPr>
            <w:webHidden/>
          </w:rPr>
        </w:r>
        <w:r w:rsidR="00CB66AB">
          <w:rPr>
            <w:webHidden/>
          </w:rPr>
          <w:fldChar w:fldCharType="separate"/>
        </w:r>
        <w:r>
          <w:rPr>
            <w:webHidden/>
          </w:rPr>
          <w:t>226</w:t>
        </w:r>
        <w:r w:rsidR="00CB66AB">
          <w:rPr>
            <w:webHidden/>
          </w:rPr>
          <w:fldChar w:fldCharType="end"/>
        </w:r>
      </w:hyperlink>
    </w:p>
    <w:p w14:paraId="7D39854E" w14:textId="0AD50F3D" w:rsidR="009A2C2A" w:rsidRDefault="00A6094F">
      <w:pPr>
        <w:pStyle w:val="TOC2"/>
        <w:rPr>
          <w:rFonts w:asciiTheme="minorHAnsi" w:eastAsiaTheme="minorEastAsia" w:hAnsiTheme="minorHAnsi" w:cstheme="minorBidi"/>
          <w:bCs w:val="0"/>
          <w:kern w:val="0"/>
          <w:sz w:val="22"/>
          <w:szCs w:val="22"/>
          <w:lang w:val="en-US" w:eastAsia="ja-JP"/>
        </w:rPr>
      </w:pPr>
      <w:hyperlink w:anchor="_Toc527401209" w:history="1">
        <w:r w:rsidR="009A2C2A" w:rsidRPr="000E0FDD">
          <w:rPr>
            <w:rStyle w:val="Hyperlink"/>
            <w:lang w:val="sl-SI"/>
          </w:rPr>
          <w:t>Šport</w:t>
        </w:r>
        <w:r w:rsidR="009A2C2A">
          <w:rPr>
            <w:webHidden/>
          </w:rPr>
          <w:tab/>
        </w:r>
        <w:r w:rsidR="00CB66AB">
          <w:rPr>
            <w:webHidden/>
          </w:rPr>
          <w:fldChar w:fldCharType="begin"/>
        </w:r>
        <w:r w:rsidR="009A2C2A">
          <w:rPr>
            <w:webHidden/>
          </w:rPr>
          <w:instrText xml:space="preserve"> PAGEREF _Toc527401209 \h </w:instrText>
        </w:r>
        <w:r w:rsidR="00CB66AB">
          <w:rPr>
            <w:webHidden/>
          </w:rPr>
        </w:r>
        <w:r w:rsidR="00CB66AB">
          <w:rPr>
            <w:webHidden/>
          </w:rPr>
          <w:fldChar w:fldCharType="separate"/>
        </w:r>
        <w:r>
          <w:rPr>
            <w:webHidden/>
          </w:rPr>
          <w:t>234</w:t>
        </w:r>
        <w:r w:rsidR="00CB66AB">
          <w:rPr>
            <w:webHidden/>
          </w:rPr>
          <w:fldChar w:fldCharType="end"/>
        </w:r>
      </w:hyperlink>
    </w:p>
    <w:p w14:paraId="7D39854F" w14:textId="2C4938AF"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10" w:history="1">
        <w:r w:rsidR="009A2C2A" w:rsidRPr="000E0FDD">
          <w:rPr>
            <w:rStyle w:val="Hyperlink"/>
            <w:lang w:val="sl-SI"/>
          </w:rPr>
          <w:t>Kateri ukrepi so podprti?</w:t>
        </w:r>
        <w:r w:rsidR="009A2C2A">
          <w:rPr>
            <w:webHidden/>
          </w:rPr>
          <w:tab/>
        </w:r>
        <w:r w:rsidR="00CB66AB">
          <w:rPr>
            <w:webHidden/>
          </w:rPr>
          <w:fldChar w:fldCharType="begin"/>
        </w:r>
        <w:r w:rsidR="009A2C2A">
          <w:rPr>
            <w:webHidden/>
          </w:rPr>
          <w:instrText xml:space="preserve"> PAGEREF _Toc527401210 \h </w:instrText>
        </w:r>
        <w:r w:rsidR="00CB66AB">
          <w:rPr>
            <w:webHidden/>
          </w:rPr>
        </w:r>
        <w:r w:rsidR="00CB66AB">
          <w:rPr>
            <w:webHidden/>
          </w:rPr>
          <w:fldChar w:fldCharType="separate"/>
        </w:r>
        <w:r>
          <w:rPr>
            <w:webHidden/>
          </w:rPr>
          <w:t>234</w:t>
        </w:r>
        <w:r w:rsidR="00CB66AB">
          <w:rPr>
            <w:webHidden/>
          </w:rPr>
          <w:fldChar w:fldCharType="end"/>
        </w:r>
      </w:hyperlink>
    </w:p>
    <w:p w14:paraId="7D398550" w14:textId="5F8B6379"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11" w:history="1">
        <w:r w:rsidR="009A2C2A" w:rsidRPr="000E0FDD">
          <w:rPr>
            <w:rStyle w:val="Hyperlink"/>
            <w:lang w:val="sl-SI"/>
          </w:rPr>
          <w:t>Partnerska sodelovanja</w:t>
        </w:r>
        <w:r w:rsidR="009A2C2A">
          <w:rPr>
            <w:webHidden/>
          </w:rPr>
          <w:tab/>
        </w:r>
        <w:r w:rsidR="00CB66AB">
          <w:rPr>
            <w:webHidden/>
          </w:rPr>
          <w:fldChar w:fldCharType="begin"/>
        </w:r>
        <w:r w:rsidR="009A2C2A">
          <w:rPr>
            <w:webHidden/>
          </w:rPr>
          <w:instrText xml:space="preserve"> PAGEREF _Toc527401211 \h </w:instrText>
        </w:r>
        <w:r w:rsidR="00CB66AB">
          <w:rPr>
            <w:webHidden/>
          </w:rPr>
        </w:r>
        <w:r w:rsidR="00CB66AB">
          <w:rPr>
            <w:webHidden/>
          </w:rPr>
          <w:fldChar w:fldCharType="separate"/>
        </w:r>
        <w:r>
          <w:rPr>
            <w:webHidden/>
          </w:rPr>
          <w:t>235</w:t>
        </w:r>
        <w:r w:rsidR="00CB66AB">
          <w:rPr>
            <w:webHidden/>
          </w:rPr>
          <w:fldChar w:fldCharType="end"/>
        </w:r>
      </w:hyperlink>
    </w:p>
    <w:p w14:paraId="7D398551" w14:textId="5B38AB1F"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16" w:history="1">
        <w:r w:rsidR="009A2C2A" w:rsidRPr="000E0FDD">
          <w:rPr>
            <w:rStyle w:val="Hyperlink"/>
            <w:lang w:val="sl-SI"/>
          </w:rPr>
          <w:t>Majhna partnerska sodelovanja</w:t>
        </w:r>
        <w:r w:rsidR="009A2C2A">
          <w:rPr>
            <w:webHidden/>
          </w:rPr>
          <w:tab/>
        </w:r>
        <w:r w:rsidR="00CB66AB">
          <w:rPr>
            <w:webHidden/>
          </w:rPr>
          <w:fldChar w:fldCharType="begin"/>
        </w:r>
        <w:r w:rsidR="009A2C2A">
          <w:rPr>
            <w:webHidden/>
          </w:rPr>
          <w:instrText xml:space="preserve"> PAGEREF _Toc527401216 \h </w:instrText>
        </w:r>
        <w:r w:rsidR="00CB66AB">
          <w:rPr>
            <w:webHidden/>
          </w:rPr>
        </w:r>
        <w:r w:rsidR="00CB66AB">
          <w:rPr>
            <w:webHidden/>
          </w:rPr>
          <w:fldChar w:fldCharType="separate"/>
        </w:r>
        <w:r>
          <w:rPr>
            <w:webHidden/>
          </w:rPr>
          <w:t>243</w:t>
        </w:r>
        <w:r w:rsidR="00CB66AB">
          <w:rPr>
            <w:webHidden/>
          </w:rPr>
          <w:fldChar w:fldCharType="end"/>
        </w:r>
      </w:hyperlink>
    </w:p>
    <w:p w14:paraId="7D398552" w14:textId="15285B65"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21" w:history="1">
        <w:r w:rsidR="009A2C2A" w:rsidRPr="000E0FDD">
          <w:rPr>
            <w:rStyle w:val="Hyperlink"/>
            <w:lang w:val="sl-SI"/>
          </w:rPr>
          <w:t>Neprofitne evropske športne prireditve</w:t>
        </w:r>
        <w:r w:rsidR="009A2C2A">
          <w:rPr>
            <w:webHidden/>
          </w:rPr>
          <w:tab/>
        </w:r>
        <w:r w:rsidR="00CB66AB">
          <w:rPr>
            <w:webHidden/>
          </w:rPr>
          <w:fldChar w:fldCharType="begin"/>
        </w:r>
        <w:r w:rsidR="009A2C2A">
          <w:rPr>
            <w:webHidden/>
          </w:rPr>
          <w:instrText xml:space="preserve"> PAGEREF _Toc527401221 \h </w:instrText>
        </w:r>
        <w:r w:rsidR="00CB66AB">
          <w:rPr>
            <w:webHidden/>
          </w:rPr>
        </w:r>
        <w:r w:rsidR="00CB66AB">
          <w:rPr>
            <w:webHidden/>
          </w:rPr>
          <w:fldChar w:fldCharType="separate"/>
        </w:r>
        <w:r>
          <w:rPr>
            <w:webHidden/>
          </w:rPr>
          <w:t>247</w:t>
        </w:r>
        <w:r w:rsidR="00CB66AB">
          <w:rPr>
            <w:webHidden/>
          </w:rPr>
          <w:fldChar w:fldCharType="end"/>
        </w:r>
      </w:hyperlink>
    </w:p>
    <w:p w14:paraId="7D398553" w14:textId="61CCE00F" w:rsidR="009A2C2A" w:rsidRDefault="00A6094F">
      <w:pPr>
        <w:pStyle w:val="TOC1"/>
        <w:rPr>
          <w:rFonts w:asciiTheme="minorHAnsi" w:eastAsiaTheme="minorEastAsia" w:hAnsiTheme="minorHAnsi" w:cstheme="minorBidi"/>
          <w:b w:val="0"/>
          <w:bCs w:val="0"/>
          <w:caps w:val="0"/>
          <w:kern w:val="0"/>
          <w:lang w:val="en-US" w:eastAsia="ja-JP"/>
        </w:rPr>
      </w:pPr>
      <w:hyperlink w:anchor="_Toc527401228" w:history="1">
        <w:r w:rsidR="009A2C2A" w:rsidRPr="000E0FDD">
          <w:rPr>
            <w:rStyle w:val="Hyperlink"/>
            <w:lang w:val="sl-SI"/>
          </w:rPr>
          <w:t>Del C – Informacije za prijavitelje</w:t>
        </w:r>
        <w:r w:rsidR="009A2C2A">
          <w:rPr>
            <w:webHidden/>
          </w:rPr>
          <w:tab/>
        </w:r>
        <w:r w:rsidR="00CB66AB">
          <w:rPr>
            <w:webHidden/>
          </w:rPr>
          <w:fldChar w:fldCharType="begin"/>
        </w:r>
        <w:r w:rsidR="009A2C2A">
          <w:rPr>
            <w:webHidden/>
          </w:rPr>
          <w:instrText xml:space="preserve"> PAGEREF _Toc527401228 \h </w:instrText>
        </w:r>
        <w:r w:rsidR="00CB66AB">
          <w:rPr>
            <w:webHidden/>
          </w:rPr>
        </w:r>
        <w:r w:rsidR="00CB66AB">
          <w:rPr>
            <w:webHidden/>
          </w:rPr>
          <w:fldChar w:fldCharType="separate"/>
        </w:r>
        <w:r>
          <w:rPr>
            <w:webHidden/>
          </w:rPr>
          <w:t>251</w:t>
        </w:r>
        <w:r w:rsidR="00CB66AB">
          <w:rPr>
            <w:webHidden/>
          </w:rPr>
          <w:fldChar w:fldCharType="end"/>
        </w:r>
      </w:hyperlink>
    </w:p>
    <w:p w14:paraId="7D398554" w14:textId="5CE9CAFD" w:rsidR="009A2C2A" w:rsidRDefault="00A6094F">
      <w:pPr>
        <w:pStyle w:val="TOC2"/>
        <w:rPr>
          <w:rFonts w:asciiTheme="minorHAnsi" w:eastAsiaTheme="minorEastAsia" w:hAnsiTheme="minorHAnsi" w:cstheme="minorBidi"/>
          <w:bCs w:val="0"/>
          <w:kern w:val="0"/>
          <w:sz w:val="22"/>
          <w:szCs w:val="22"/>
          <w:lang w:val="en-US" w:eastAsia="ja-JP"/>
        </w:rPr>
      </w:pPr>
      <w:hyperlink w:anchor="_Toc527401229" w:history="1">
        <w:r w:rsidR="009A2C2A" w:rsidRPr="000E0FDD">
          <w:rPr>
            <w:rStyle w:val="Hyperlink"/>
            <w:lang w:val="sl-SI"/>
          </w:rPr>
          <w:t>Kaj je treba storiti za oddajo prijave za Erasmus+?</w:t>
        </w:r>
        <w:r w:rsidR="009A2C2A">
          <w:rPr>
            <w:webHidden/>
          </w:rPr>
          <w:tab/>
        </w:r>
        <w:r w:rsidR="00CB66AB">
          <w:rPr>
            <w:webHidden/>
          </w:rPr>
          <w:fldChar w:fldCharType="begin"/>
        </w:r>
        <w:r w:rsidR="009A2C2A">
          <w:rPr>
            <w:webHidden/>
          </w:rPr>
          <w:instrText xml:space="preserve"> PAGEREF _Toc527401229 \h </w:instrText>
        </w:r>
        <w:r w:rsidR="00CB66AB">
          <w:rPr>
            <w:webHidden/>
          </w:rPr>
        </w:r>
        <w:r w:rsidR="00CB66AB">
          <w:rPr>
            <w:webHidden/>
          </w:rPr>
          <w:fldChar w:fldCharType="separate"/>
        </w:r>
        <w:r>
          <w:rPr>
            <w:webHidden/>
          </w:rPr>
          <w:t>251</w:t>
        </w:r>
        <w:r w:rsidR="00CB66AB">
          <w:rPr>
            <w:webHidden/>
          </w:rPr>
          <w:fldChar w:fldCharType="end"/>
        </w:r>
      </w:hyperlink>
    </w:p>
    <w:p w14:paraId="7D398555" w14:textId="4929E954"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30" w:history="1">
        <w:r w:rsidR="009A2C2A" w:rsidRPr="000E0FDD">
          <w:rPr>
            <w:rStyle w:val="Hyperlink"/>
            <w:lang w:val="sl-SI"/>
          </w:rPr>
          <w:t xml:space="preserve">Korak 1: registracija </w:t>
        </w:r>
        <w:r w:rsidR="006B0261">
          <w:rPr>
            <w:rStyle w:val="Hyperlink"/>
            <w:lang w:val="sl-SI"/>
          </w:rPr>
          <w:t>organizacije</w:t>
        </w:r>
        <w:r w:rsidR="009A2C2A">
          <w:rPr>
            <w:webHidden/>
          </w:rPr>
          <w:tab/>
        </w:r>
        <w:r w:rsidR="00CB66AB">
          <w:rPr>
            <w:webHidden/>
          </w:rPr>
          <w:fldChar w:fldCharType="begin"/>
        </w:r>
        <w:r w:rsidR="009A2C2A">
          <w:rPr>
            <w:webHidden/>
          </w:rPr>
          <w:instrText xml:space="preserve"> PAGEREF _Toc527401230 \h </w:instrText>
        </w:r>
        <w:r w:rsidR="00CB66AB">
          <w:rPr>
            <w:webHidden/>
          </w:rPr>
        </w:r>
        <w:r w:rsidR="00CB66AB">
          <w:rPr>
            <w:webHidden/>
          </w:rPr>
          <w:fldChar w:fldCharType="separate"/>
        </w:r>
        <w:r>
          <w:rPr>
            <w:webHidden/>
          </w:rPr>
          <w:t>251</w:t>
        </w:r>
        <w:r w:rsidR="00CB66AB">
          <w:rPr>
            <w:webHidden/>
          </w:rPr>
          <w:fldChar w:fldCharType="end"/>
        </w:r>
      </w:hyperlink>
    </w:p>
    <w:p w14:paraId="7D398556" w14:textId="7266C6EE"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32" w:history="1">
        <w:r w:rsidR="009A2C2A" w:rsidRPr="000E0FDD">
          <w:rPr>
            <w:rStyle w:val="Hyperlink"/>
            <w:lang w:val="sl-SI"/>
          </w:rPr>
          <w:t>Korak 2: preverjanje skladnosti z merili Programa</w:t>
        </w:r>
        <w:r w:rsidR="009A2C2A">
          <w:rPr>
            <w:webHidden/>
          </w:rPr>
          <w:tab/>
        </w:r>
        <w:r w:rsidR="00CB66AB">
          <w:rPr>
            <w:webHidden/>
          </w:rPr>
          <w:fldChar w:fldCharType="begin"/>
        </w:r>
        <w:r w:rsidR="009A2C2A">
          <w:rPr>
            <w:webHidden/>
          </w:rPr>
          <w:instrText xml:space="preserve"> PAGEREF _Toc527401232 \h </w:instrText>
        </w:r>
        <w:r w:rsidR="00CB66AB">
          <w:rPr>
            <w:webHidden/>
          </w:rPr>
        </w:r>
        <w:r w:rsidR="00CB66AB">
          <w:rPr>
            <w:webHidden/>
          </w:rPr>
          <w:fldChar w:fldCharType="separate"/>
        </w:r>
        <w:r>
          <w:rPr>
            <w:webHidden/>
          </w:rPr>
          <w:t>252</w:t>
        </w:r>
        <w:r w:rsidR="00CB66AB">
          <w:rPr>
            <w:webHidden/>
          </w:rPr>
          <w:fldChar w:fldCharType="end"/>
        </w:r>
      </w:hyperlink>
    </w:p>
    <w:p w14:paraId="7D398557" w14:textId="1DC51369"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37" w:history="1">
        <w:r w:rsidR="009A2C2A" w:rsidRPr="000E0FDD">
          <w:rPr>
            <w:rStyle w:val="Hyperlink"/>
            <w:lang w:val="sl-SI"/>
          </w:rPr>
          <w:t>Korak 3: Preverjanje ﬁnančnih pogojev</w:t>
        </w:r>
        <w:r w:rsidR="009A2C2A">
          <w:rPr>
            <w:webHidden/>
          </w:rPr>
          <w:tab/>
        </w:r>
        <w:r w:rsidR="00CB66AB">
          <w:rPr>
            <w:webHidden/>
          </w:rPr>
          <w:fldChar w:fldCharType="begin"/>
        </w:r>
        <w:r w:rsidR="009A2C2A">
          <w:rPr>
            <w:webHidden/>
          </w:rPr>
          <w:instrText xml:space="preserve"> PAGEREF _Toc527401237 \h </w:instrText>
        </w:r>
        <w:r w:rsidR="00CB66AB">
          <w:rPr>
            <w:webHidden/>
          </w:rPr>
        </w:r>
        <w:r w:rsidR="00CB66AB">
          <w:rPr>
            <w:webHidden/>
          </w:rPr>
          <w:fldChar w:fldCharType="separate"/>
        </w:r>
        <w:r>
          <w:rPr>
            <w:webHidden/>
          </w:rPr>
          <w:t>257</w:t>
        </w:r>
        <w:r w:rsidR="00CB66AB">
          <w:rPr>
            <w:webHidden/>
          </w:rPr>
          <w:fldChar w:fldCharType="end"/>
        </w:r>
      </w:hyperlink>
    </w:p>
    <w:p w14:paraId="7D398558" w14:textId="3D8FAB91"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41" w:history="1">
        <w:r w:rsidR="009A2C2A" w:rsidRPr="000E0FDD">
          <w:rPr>
            <w:rStyle w:val="Hyperlink"/>
            <w:lang w:val="sl-SI"/>
          </w:rPr>
          <w:t>Korak 4: izpolnitev in oddaja prijavnega obrazca</w:t>
        </w:r>
        <w:r w:rsidR="009A2C2A">
          <w:rPr>
            <w:webHidden/>
          </w:rPr>
          <w:tab/>
        </w:r>
        <w:r w:rsidR="00CB66AB">
          <w:rPr>
            <w:webHidden/>
          </w:rPr>
          <w:fldChar w:fldCharType="begin"/>
        </w:r>
        <w:r w:rsidR="009A2C2A">
          <w:rPr>
            <w:webHidden/>
          </w:rPr>
          <w:instrText xml:space="preserve"> PAGEREF _Toc527401241 \h </w:instrText>
        </w:r>
        <w:r w:rsidR="00CB66AB">
          <w:rPr>
            <w:webHidden/>
          </w:rPr>
        </w:r>
        <w:r w:rsidR="00CB66AB">
          <w:rPr>
            <w:webHidden/>
          </w:rPr>
          <w:fldChar w:fldCharType="separate"/>
        </w:r>
        <w:r>
          <w:rPr>
            <w:webHidden/>
          </w:rPr>
          <w:t>261</w:t>
        </w:r>
        <w:r w:rsidR="00CB66AB">
          <w:rPr>
            <w:webHidden/>
          </w:rPr>
          <w:fldChar w:fldCharType="end"/>
        </w:r>
      </w:hyperlink>
    </w:p>
    <w:p w14:paraId="7D398559" w14:textId="124D7C4E" w:rsidR="009A2C2A" w:rsidRDefault="00A6094F">
      <w:pPr>
        <w:pStyle w:val="TOC2"/>
        <w:rPr>
          <w:rStyle w:val="Hyperlink"/>
        </w:rPr>
      </w:pPr>
      <w:hyperlink w:anchor="_Toc527401243" w:history="1">
        <w:r w:rsidR="009A2C2A" w:rsidRPr="000E0FDD">
          <w:rPr>
            <w:rStyle w:val="Hyperlink"/>
            <w:lang w:val="sl-SI"/>
          </w:rPr>
          <w:t>Kaj sledi po oddaji vloge?</w:t>
        </w:r>
        <w:r w:rsidR="009A2C2A">
          <w:rPr>
            <w:webHidden/>
          </w:rPr>
          <w:tab/>
        </w:r>
        <w:r w:rsidR="00CB66AB">
          <w:rPr>
            <w:webHidden/>
          </w:rPr>
          <w:fldChar w:fldCharType="begin"/>
        </w:r>
        <w:r w:rsidR="009A2C2A">
          <w:rPr>
            <w:webHidden/>
          </w:rPr>
          <w:instrText xml:space="preserve"> PAGEREF _Toc527401243 \h </w:instrText>
        </w:r>
        <w:r w:rsidR="00CB66AB">
          <w:rPr>
            <w:webHidden/>
          </w:rPr>
        </w:r>
        <w:r w:rsidR="00CB66AB">
          <w:rPr>
            <w:webHidden/>
          </w:rPr>
          <w:fldChar w:fldCharType="separate"/>
        </w:r>
        <w:r>
          <w:rPr>
            <w:webHidden/>
          </w:rPr>
          <w:t>262</w:t>
        </w:r>
        <w:r w:rsidR="00CB66AB">
          <w:rPr>
            <w:webHidden/>
          </w:rPr>
          <w:fldChar w:fldCharType="end"/>
        </w:r>
      </w:hyperlink>
    </w:p>
    <w:p w14:paraId="7D39855A" w14:textId="28F9D1CA" w:rsidR="00DE0934" w:rsidRDefault="00A6094F" w:rsidP="00DE0934">
      <w:pPr>
        <w:pStyle w:val="TOC3"/>
        <w:rPr>
          <w:rFonts w:asciiTheme="minorHAnsi" w:eastAsiaTheme="minorEastAsia" w:hAnsiTheme="minorHAnsi" w:cstheme="minorBidi"/>
          <w:kern w:val="0"/>
          <w:sz w:val="22"/>
          <w:szCs w:val="22"/>
          <w:lang w:val="en-US" w:eastAsia="ja-JP"/>
        </w:rPr>
      </w:pPr>
      <w:hyperlink w:anchor="_Toc527401244" w:history="1">
        <w:r w:rsidR="00DE0934" w:rsidRPr="00DE0934">
          <w:rPr>
            <w:rStyle w:val="Hyperlink"/>
            <w:lang w:val="sl-SI"/>
          </w:rPr>
          <w:t>Postopek ocenjevanja</w:t>
        </w:r>
        <w:r w:rsidR="00DE0934">
          <w:rPr>
            <w:webHidden/>
          </w:rPr>
          <w:tab/>
        </w:r>
        <w:r w:rsidR="00CB66AB">
          <w:rPr>
            <w:webHidden/>
          </w:rPr>
          <w:fldChar w:fldCharType="begin"/>
        </w:r>
        <w:r w:rsidR="00DE0934">
          <w:rPr>
            <w:webHidden/>
          </w:rPr>
          <w:instrText xml:space="preserve"> PAGEREF _Toc527401244 \h </w:instrText>
        </w:r>
        <w:r w:rsidR="00CB66AB">
          <w:rPr>
            <w:webHidden/>
          </w:rPr>
        </w:r>
        <w:r w:rsidR="00CB66AB">
          <w:rPr>
            <w:webHidden/>
          </w:rPr>
          <w:fldChar w:fldCharType="separate"/>
        </w:r>
        <w:r>
          <w:rPr>
            <w:webHidden/>
          </w:rPr>
          <w:t>263</w:t>
        </w:r>
        <w:r w:rsidR="00CB66AB">
          <w:rPr>
            <w:webHidden/>
          </w:rPr>
          <w:fldChar w:fldCharType="end"/>
        </w:r>
      </w:hyperlink>
    </w:p>
    <w:p w14:paraId="7D39855B" w14:textId="66A4283A" w:rsidR="00DE0934" w:rsidRPr="00DE0934" w:rsidRDefault="00DE0934" w:rsidP="00DE0934">
      <w:pPr>
        <w:pStyle w:val="TOC3"/>
        <w:rPr>
          <w:rFonts w:asciiTheme="minorHAnsi" w:eastAsiaTheme="minorEastAsia" w:hAnsiTheme="minorHAnsi" w:cstheme="minorBidi"/>
          <w:kern w:val="0"/>
          <w:sz w:val="22"/>
          <w:szCs w:val="22"/>
          <w:lang w:val="en-US" w:eastAsia="ja-JP"/>
        </w:rPr>
      </w:pPr>
      <w:r w:rsidRPr="00DE0934">
        <w:rPr>
          <w:rStyle w:val="Hyperlink"/>
          <w:color w:val="auto"/>
          <w:u w:val="none"/>
        </w:rPr>
        <w:t>Končna odločitev</w:t>
      </w:r>
      <w:hyperlink w:anchor="_Toc527401244" w:history="1">
        <w:r w:rsidRPr="00DE0934">
          <w:rPr>
            <w:webHidden/>
          </w:rPr>
          <w:tab/>
        </w:r>
        <w:r w:rsidR="00CB66AB" w:rsidRPr="00DE0934">
          <w:rPr>
            <w:webHidden/>
          </w:rPr>
          <w:fldChar w:fldCharType="begin"/>
        </w:r>
        <w:r w:rsidRPr="00DE0934">
          <w:rPr>
            <w:webHidden/>
          </w:rPr>
          <w:instrText xml:space="preserve"> PAGEREF _Toc527401244 \h </w:instrText>
        </w:r>
        <w:r w:rsidR="00CB66AB" w:rsidRPr="00DE0934">
          <w:rPr>
            <w:webHidden/>
          </w:rPr>
        </w:r>
        <w:r w:rsidR="00CB66AB" w:rsidRPr="00DE0934">
          <w:rPr>
            <w:webHidden/>
          </w:rPr>
          <w:fldChar w:fldCharType="separate"/>
        </w:r>
        <w:r w:rsidR="00A6094F">
          <w:rPr>
            <w:webHidden/>
          </w:rPr>
          <w:t>263</w:t>
        </w:r>
        <w:r w:rsidR="00CB66AB" w:rsidRPr="00DE0934">
          <w:rPr>
            <w:webHidden/>
          </w:rPr>
          <w:fldChar w:fldCharType="end"/>
        </w:r>
      </w:hyperlink>
    </w:p>
    <w:p w14:paraId="7D39855C" w14:textId="492315B1"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44" w:history="1">
        <w:r w:rsidR="009A2C2A" w:rsidRPr="000E0FDD">
          <w:rPr>
            <w:rStyle w:val="Hyperlink"/>
            <w:lang w:val="sl-SI"/>
          </w:rPr>
          <w:t>Obvestilo o sklepih o dodelitvi nepovratnih sredstev</w:t>
        </w:r>
        <w:r w:rsidR="009A2C2A">
          <w:rPr>
            <w:webHidden/>
          </w:rPr>
          <w:tab/>
        </w:r>
        <w:r w:rsidR="00CB66AB">
          <w:rPr>
            <w:webHidden/>
          </w:rPr>
          <w:fldChar w:fldCharType="begin"/>
        </w:r>
        <w:r w:rsidR="009A2C2A">
          <w:rPr>
            <w:webHidden/>
          </w:rPr>
          <w:instrText xml:space="preserve"> PAGEREF _Toc527401244 \h </w:instrText>
        </w:r>
        <w:r w:rsidR="00CB66AB">
          <w:rPr>
            <w:webHidden/>
          </w:rPr>
        </w:r>
        <w:r w:rsidR="00CB66AB">
          <w:rPr>
            <w:webHidden/>
          </w:rPr>
          <w:fldChar w:fldCharType="separate"/>
        </w:r>
        <w:r>
          <w:rPr>
            <w:webHidden/>
          </w:rPr>
          <w:t>263</w:t>
        </w:r>
        <w:r w:rsidR="00CB66AB">
          <w:rPr>
            <w:webHidden/>
          </w:rPr>
          <w:fldChar w:fldCharType="end"/>
        </w:r>
      </w:hyperlink>
    </w:p>
    <w:p w14:paraId="7D39855D" w14:textId="4C5C6E64" w:rsidR="009A2C2A" w:rsidRDefault="00A6094F">
      <w:pPr>
        <w:pStyle w:val="TOC2"/>
        <w:rPr>
          <w:rFonts w:asciiTheme="minorHAnsi" w:eastAsiaTheme="minorEastAsia" w:hAnsiTheme="minorHAnsi" w:cstheme="minorBidi"/>
          <w:bCs w:val="0"/>
          <w:kern w:val="0"/>
          <w:sz w:val="22"/>
          <w:szCs w:val="22"/>
          <w:lang w:val="en-US" w:eastAsia="ja-JP"/>
        </w:rPr>
      </w:pPr>
      <w:hyperlink w:anchor="_Toc527401245" w:history="1">
        <w:r w:rsidR="009A2C2A" w:rsidRPr="000E0FDD">
          <w:rPr>
            <w:rStyle w:val="Hyperlink"/>
            <w:lang w:val="sl-SI"/>
          </w:rPr>
          <w:t>Kaj sledi po odobritvi vloge?</w:t>
        </w:r>
        <w:r w:rsidR="009A2C2A">
          <w:rPr>
            <w:webHidden/>
          </w:rPr>
          <w:tab/>
        </w:r>
        <w:r w:rsidR="00CB66AB">
          <w:rPr>
            <w:webHidden/>
          </w:rPr>
          <w:fldChar w:fldCharType="begin"/>
        </w:r>
        <w:r w:rsidR="009A2C2A">
          <w:rPr>
            <w:webHidden/>
          </w:rPr>
          <w:instrText xml:space="preserve"> PAGEREF _Toc527401245 \h </w:instrText>
        </w:r>
        <w:r w:rsidR="00CB66AB">
          <w:rPr>
            <w:webHidden/>
          </w:rPr>
        </w:r>
        <w:r w:rsidR="00CB66AB">
          <w:rPr>
            <w:webHidden/>
          </w:rPr>
          <w:fldChar w:fldCharType="separate"/>
        </w:r>
        <w:r>
          <w:rPr>
            <w:webHidden/>
          </w:rPr>
          <w:t>263</w:t>
        </w:r>
        <w:r w:rsidR="00CB66AB">
          <w:rPr>
            <w:webHidden/>
          </w:rPr>
          <w:fldChar w:fldCharType="end"/>
        </w:r>
      </w:hyperlink>
    </w:p>
    <w:p w14:paraId="7D39855E" w14:textId="5A68D788"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46" w:history="1">
        <w:r w:rsidR="009A2C2A" w:rsidRPr="000E0FDD">
          <w:rPr>
            <w:rStyle w:val="Hyperlink"/>
            <w:lang w:val="sl-SI"/>
          </w:rPr>
          <w:t>Sporazum/sklep o nepovratnih sredstvih</w:t>
        </w:r>
        <w:r w:rsidR="009A2C2A">
          <w:rPr>
            <w:webHidden/>
          </w:rPr>
          <w:tab/>
        </w:r>
        <w:r w:rsidR="00CB66AB">
          <w:rPr>
            <w:webHidden/>
          </w:rPr>
          <w:fldChar w:fldCharType="begin"/>
        </w:r>
        <w:r w:rsidR="009A2C2A">
          <w:rPr>
            <w:webHidden/>
          </w:rPr>
          <w:instrText xml:space="preserve"> PAGEREF _Toc527401246 \h </w:instrText>
        </w:r>
        <w:r w:rsidR="00CB66AB">
          <w:rPr>
            <w:webHidden/>
          </w:rPr>
        </w:r>
        <w:r w:rsidR="00CB66AB">
          <w:rPr>
            <w:webHidden/>
          </w:rPr>
          <w:fldChar w:fldCharType="separate"/>
        </w:r>
        <w:r>
          <w:rPr>
            <w:webHidden/>
          </w:rPr>
          <w:t>263</w:t>
        </w:r>
        <w:r w:rsidR="00CB66AB">
          <w:rPr>
            <w:webHidden/>
          </w:rPr>
          <w:fldChar w:fldCharType="end"/>
        </w:r>
      </w:hyperlink>
    </w:p>
    <w:p w14:paraId="7D39855F" w14:textId="34159C9B"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47" w:history="1">
        <w:r w:rsidR="009A2C2A" w:rsidRPr="000E0FDD">
          <w:rPr>
            <w:rStyle w:val="Hyperlink"/>
            <w:lang w:val="sl-SI"/>
          </w:rPr>
          <w:t>Znesek nepovratnih sredstev</w:t>
        </w:r>
        <w:r w:rsidR="009A2C2A">
          <w:rPr>
            <w:webHidden/>
          </w:rPr>
          <w:tab/>
        </w:r>
        <w:r w:rsidR="00CB66AB">
          <w:rPr>
            <w:webHidden/>
          </w:rPr>
          <w:fldChar w:fldCharType="begin"/>
        </w:r>
        <w:r w:rsidR="009A2C2A">
          <w:rPr>
            <w:webHidden/>
          </w:rPr>
          <w:instrText xml:space="preserve"> PAGEREF _Toc527401247 \h </w:instrText>
        </w:r>
        <w:r w:rsidR="00CB66AB">
          <w:rPr>
            <w:webHidden/>
          </w:rPr>
        </w:r>
        <w:r w:rsidR="00CB66AB">
          <w:rPr>
            <w:webHidden/>
          </w:rPr>
          <w:fldChar w:fldCharType="separate"/>
        </w:r>
        <w:r>
          <w:rPr>
            <w:webHidden/>
          </w:rPr>
          <w:t>263</w:t>
        </w:r>
        <w:r w:rsidR="00CB66AB">
          <w:rPr>
            <w:webHidden/>
          </w:rPr>
          <w:fldChar w:fldCharType="end"/>
        </w:r>
      </w:hyperlink>
    </w:p>
    <w:p w14:paraId="7D398560" w14:textId="10015235"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48" w:history="1">
        <w:r w:rsidR="009A2C2A" w:rsidRPr="000E0FDD">
          <w:rPr>
            <w:rStyle w:val="Hyperlink"/>
            <w:lang w:val="sl-SI"/>
          </w:rPr>
          <w:t>Plačilni postopki</w:t>
        </w:r>
        <w:r w:rsidR="009A2C2A">
          <w:rPr>
            <w:webHidden/>
          </w:rPr>
          <w:tab/>
        </w:r>
        <w:r w:rsidR="00CB66AB">
          <w:rPr>
            <w:webHidden/>
          </w:rPr>
          <w:fldChar w:fldCharType="begin"/>
        </w:r>
        <w:r w:rsidR="009A2C2A">
          <w:rPr>
            <w:webHidden/>
          </w:rPr>
          <w:instrText xml:space="preserve"> PAGEREF _Toc527401248 \h </w:instrText>
        </w:r>
        <w:r w:rsidR="00CB66AB">
          <w:rPr>
            <w:webHidden/>
          </w:rPr>
        </w:r>
        <w:r w:rsidR="00CB66AB">
          <w:rPr>
            <w:webHidden/>
          </w:rPr>
          <w:fldChar w:fldCharType="separate"/>
        </w:r>
        <w:r>
          <w:rPr>
            <w:webHidden/>
          </w:rPr>
          <w:t>264</w:t>
        </w:r>
        <w:r w:rsidR="00CB66AB">
          <w:rPr>
            <w:webHidden/>
          </w:rPr>
          <w:fldChar w:fldCharType="end"/>
        </w:r>
      </w:hyperlink>
    </w:p>
    <w:p w14:paraId="7D398561" w14:textId="39DEB5C1"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54" w:history="1">
        <w:r w:rsidR="009A2C2A" w:rsidRPr="000E0FDD">
          <w:rPr>
            <w:rStyle w:val="Hyperlink"/>
            <w:lang w:val="sl-SI"/>
          </w:rPr>
          <w:t>Roki življenjskega cikla projekta in načini plačila</w:t>
        </w:r>
        <w:r w:rsidR="009A2C2A">
          <w:rPr>
            <w:webHidden/>
          </w:rPr>
          <w:tab/>
        </w:r>
        <w:r w:rsidR="00CB66AB">
          <w:rPr>
            <w:webHidden/>
          </w:rPr>
          <w:fldChar w:fldCharType="begin"/>
        </w:r>
        <w:r w:rsidR="009A2C2A">
          <w:rPr>
            <w:webHidden/>
          </w:rPr>
          <w:instrText xml:space="preserve"> PAGEREF _Toc527401254 \h </w:instrText>
        </w:r>
        <w:r w:rsidR="00CB66AB">
          <w:rPr>
            <w:webHidden/>
          </w:rPr>
        </w:r>
        <w:r w:rsidR="00CB66AB">
          <w:rPr>
            <w:webHidden/>
          </w:rPr>
          <w:fldChar w:fldCharType="separate"/>
        </w:r>
        <w:r>
          <w:rPr>
            <w:webHidden/>
          </w:rPr>
          <w:t>266</w:t>
        </w:r>
        <w:r w:rsidR="00CB66AB">
          <w:rPr>
            <w:webHidden/>
          </w:rPr>
          <w:fldChar w:fldCharType="end"/>
        </w:r>
      </w:hyperlink>
    </w:p>
    <w:p w14:paraId="7D398562" w14:textId="11B1C07B" w:rsidR="009A2C2A" w:rsidRDefault="00A6094F">
      <w:pPr>
        <w:pStyle w:val="TOC2"/>
        <w:rPr>
          <w:rFonts w:asciiTheme="minorHAnsi" w:eastAsiaTheme="minorEastAsia" w:hAnsiTheme="minorHAnsi" w:cstheme="minorBidi"/>
          <w:bCs w:val="0"/>
          <w:kern w:val="0"/>
          <w:sz w:val="22"/>
          <w:szCs w:val="22"/>
          <w:lang w:val="en-US" w:eastAsia="ja-JP"/>
        </w:rPr>
      </w:pPr>
      <w:hyperlink w:anchor="_Toc527401255" w:history="1">
        <w:r w:rsidR="009A2C2A" w:rsidRPr="000E0FDD">
          <w:rPr>
            <w:rStyle w:val="Hyperlink"/>
            <w:lang w:val="sl-SI"/>
          </w:rPr>
          <w:t>Druge pomembne pogodbene določbe</w:t>
        </w:r>
        <w:r w:rsidR="009A2C2A">
          <w:rPr>
            <w:webHidden/>
          </w:rPr>
          <w:tab/>
        </w:r>
        <w:r w:rsidR="00CB66AB">
          <w:rPr>
            <w:webHidden/>
          </w:rPr>
          <w:fldChar w:fldCharType="begin"/>
        </w:r>
        <w:r w:rsidR="009A2C2A">
          <w:rPr>
            <w:webHidden/>
          </w:rPr>
          <w:instrText xml:space="preserve"> PAGEREF _Toc527401255 \h </w:instrText>
        </w:r>
        <w:r w:rsidR="00CB66AB">
          <w:rPr>
            <w:webHidden/>
          </w:rPr>
        </w:r>
        <w:r w:rsidR="00CB66AB">
          <w:rPr>
            <w:webHidden/>
          </w:rPr>
          <w:fldChar w:fldCharType="separate"/>
        </w:r>
        <w:r>
          <w:rPr>
            <w:webHidden/>
          </w:rPr>
          <w:t>268</w:t>
        </w:r>
        <w:r w:rsidR="00CB66AB">
          <w:rPr>
            <w:webHidden/>
          </w:rPr>
          <w:fldChar w:fldCharType="end"/>
        </w:r>
      </w:hyperlink>
    </w:p>
    <w:p w14:paraId="7D398563" w14:textId="76225504"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56" w:history="1">
        <w:r w:rsidR="009A2C2A" w:rsidRPr="000E0FDD">
          <w:rPr>
            <w:rStyle w:val="Hyperlink"/>
            <w:lang w:val="sl-SI"/>
          </w:rPr>
          <w:t>Finančno jamstvo</w:t>
        </w:r>
        <w:r w:rsidR="009A2C2A">
          <w:rPr>
            <w:webHidden/>
          </w:rPr>
          <w:tab/>
        </w:r>
        <w:r w:rsidR="00CB66AB">
          <w:rPr>
            <w:webHidden/>
          </w:rPr>
          <w:fldChar w:fldCharType="begin"/>
        </w:r>
        <w:r w:rsidR="009A2C2A">
          <w:rPr>
            <w:webHidden/>
          </w:rPr>
          <w:instrText xml:space="preserve"> PAGEREF _Toc527401256 \h </w:instrText>
        </w:r>
        <w:r w:rsidR="00CB66AB">
          <w:rPr>
            <w:webHidden/>
          </w:rPr>
        </w:r>
        <w:r w:rsidR="00CB66AB">
          <w:rPr>
            <w:webHidden/>
          </w:rPr>
          <w:fldChar w:fldCharType="separate"/>
        </w:r>
        <w:r>
          <w:rPr>
            <w:webHidden/>
          </w:rPr>
          <w:t>268</w:t>
        </w:r>
        <w:r w:rsidR="00CB66AB">
          <w:rPr>
            <w:webHidden/>
          </w:rPr>
          <w:fldChar w:fldCharType="end"/>
        </w:r>
      </w:hyperlink>
    </w:p>
    <w:p w14:paraId="7D398564" w14:textId="79234988"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57" w:history="1">
        <w:r w:rsidR="009A2C2A" w:rsidRPr="000E0FDD">
          <w:rPr>
            <w:rStyle w:val="Hyperlink"/>
            <w:lang w:val="sl-SI"/>
          </w:rPr>
          <w:t>Oddaja naročil podizvajalcem in dodelitev pogodb o izvedbi javnih naročil</w:t>
        </w:r>
        <w:r w:rsidR="009A2C2A">
          <w:rPr>
            <w:webHidden/>
          </w:rPr>
          <w:tab/>
        </w:r>
        <w:r w:rsidR="00CB66AB">
          <w:rPr>
            <w:webHidden/>
          </w:rPr>
          <w:fldChar w:fldCharType="begin"/>
        </w:r>
        <w:r w:rsidR="009A2C2A">
          <w:rPr>
            <w:webHidden/>
          </w:rPr>
          <w:instrText xml:space="preserve"> PAGEREF _Toc527401257 \h </w:instrText>
        </w:r>
        <w:r w:rsidR="00CB66AB">
          <w:rPr>
            <w:webHidden/>
          </w:rPr>
        </w:r>
        <w:r w:rsidR="00CB66AB">
          <w:rPr>
            <w:webHidden/>
          </w:rPr>
          <w:fldChar w:fldCharType="separate"/>
        </w:r>
        <w:r>
          <w:rPr>
            <w:webHidden/>
          </w:rPr>
          <w:t>268</w:t>
        </w:r>
        <w:r w:rsidR="00CB66AB">
          <w:rPr>
            <w:webHidden/>
          </w:rPr>
          <w:fldChar w:fldCharType="end"/>
        </w:r>
      </w:hyperlink>
    </w:p>
    <w:p w14:paraId="7D398565" w14:textId="0C26D648"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58" w:history="1">
        <w:r w:rsidR="009A2C2A" w:rsidRPr="000E0FDD">
          <w:rPr>
            <w:rStyle w:val="Hyperlink"/>
            <w:lang w:val="sl-SI"/>
          </w:rPr>
          <w:t>Informacije o dodeljenih nepovratnih sredstvih</w:t>
        </w:r>
        <w:r w:rsidR="009A2C2A">
          <w:rPr>
            <w:webHidden/>
          </w:rPr>
          <w:tab/>
        </w:r>
        <w:r w:rsidR="00CB66AB">
          <w:rPr>
            <w:webHidden/>
          </w:rPr>
          <w:fldChar w:fldCharType="begin"/>
        </w:r>
        <w:r w:rsidR="009A2C2A">
          <w:rPr>
            <w:webHidden/>
          </w:rPr>
          <w:instrText xml:space="preserve"> PAGEREF _Toc527401258 \h </w:instrText>
        </w:r>
        <w:r w:rsidR="00CB66AB">
          <w:rPr>
            <w:webHidden/>
          </w:rPr>
        </w:r>
        <w:r w:rsidR="00CB66AB">
          <w:rPr>
            <w:webHidden/>
          </w:rPr>
          <w:fldChar w:fldCharType="separate"/>
        </w:r>
        <w:r>
          <w:rPr>
            <w:webHidden/>
          </w:rPr>
          <w:t>268</w:t>
        </w:r>
        <w:r w:rsidR="00CB66AB">
          <w:rPr>
            <w:webHidden/>
          </w:rPr>
          <w:fldChar w:fldCharType="end"/>
        </w:r>
      </w:hyperlink>
    </w:p>
    <w:p w14:paraId="7D398566" w14:textId="4EF13072"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59" w:history="1">
        <w:r w:rsidR="009A2C2A" w:rsidRPr="000E0FDD">
          <w:rPr>
            <w:rStyle w:val="Hyperlink"/>
            <w:lang w:val="sl-SI"/>
          </w:rPr>
          <w:t>Obveščanje javnosti</w:t>
        </w:r>
        <w:r w:rsidR="009A2C2A">
          <w:rPr>
            <w:webHidden/>
          </w:rPr>
          <w:tab/>
        </w:r>
        <w:r w:rsidR="00CB66AB">
          <w:rPr>
            <w:webHidden/>
          </w:rPr>
          <w:fldChar w:fldCharType="begin"/>
        </w:r>
        <w:r w:rsidR="009A2C2A">
          <w:rPr>
            <w:webHidden/>
          </w:rPr>
          <w:instrText xml:space="preserve"> PAGEREF _Toc527401259 \h </w:instrText>
        </w:r>
        <w:r w:rsidR="00CB66AB">
          <w:rPr>
            <w:webHidden/>
          </w:rPr>
        </w:r>
        <w:r w:rsidR="00CB66AB">
          <w:rPr>
            <w:webHidden/>
          </w:rPr>
          <w:fldChar w:fldCharType="separate"/>
        </w:r>
        <w:r>
          <w:rPr>
            <w:webHidden/>
          </w:rPr>
          <w:t>269</w:t>
        </w:r>
        <w:r w:rsidR="00CB66AB">
          <w:rPr>
            <w:webHidden/>
          </w:rPr>
          <w:fldChar w:fldCharType="end"/>
        </w:r>
      </w:hyperlink>
    </w:p>
    <w:p w14:paraId="7D398567" w14:textId="448C57C6"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60" w:history="1">
        <w:r w:rsidR="009A2C2A" w:rsidRPr="000E0FDD">
          <w:rPr>
            <w:rStyle w:val="Hyperlink"/>
            <w:lang w:val="sl-SI"/>
          </w:rPr>
          <w:t>Preverjanja in revizije</w:t>
        </w:r>
        <w:r w:rsidR="009A2C2A">
          <w:rPr>
            <w:webHidden/>
          </w:rPr>
          <w:tab/>
        </w:r>
        <w:r w:rsidR="00CB66AB">
          <w:rPr>
            <w:webHidden/>
          </w:rPr>
          <w:fldChar w:fldCharType="begin"/>
        </w:r>
        <w:r w:rsidR="009A2C2A">
          <w:rPr>
            <w:webHidden/>
          </w:rPr>
          <w:instrText xml:space="preserve"> PAGEREF _Toc527401260 \h </w:instrText>
        </w:r>
        <w:r w:rsidR="00CB66AB">
          <w:rPr>
            <w:webHidden/>
          </w:rPr>
        </w:r>
        <w:r w:rsidR="00CB66AB">
          <w:rPr>
            <w:webHidden/>
          </w:rPr>
          <w:fldChar w:fldCharType="separate"/>
        </w:r>
        <w:r>
          <w:rPr>
            <w:webHidden/>
          </w:rPr>
          <w:t>269</w:t>
        </w:r>
        <w:r w:rsidR="00CB66AB">
          <w:rPr>
            <w:webHidden/>
          </w:rPr>
          <w:fldChar w:fldCharType="end"/>
        </w:r>
      </w:hyperlink>
    </w:p>
    <w:p w14:paraId="7D398568" w14:textId="20951970"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61" w:history="1">
        <w:r w:rsidR="009A2C2A" w:rsidRPr="000E0FDD">
          <w:rPr>
            <w:rStyle w:val="Hyperlink"/>
            <w:lang w:val="sl-SI"/>
          </w:rPr>
          <w:t>Varstvo podatkov</w:t>
        </w:r>
        <w:r w:rsidR="009A2C2A">
          <w:rPr>
            <w:webHidden/>
          </w:rPr>
          <w:tab/>
        </w:r>
        <w:r w:rsidR="00CB66AB">
          <w:rPr>
            <w:webHidden/>
          </w:rPr>
          <w:fldChar w:fldCharType="begin"/>
        </w:r>
        <w:r w:rsidR="009A2C2A">
          <w:rPr>
            <w:webHidden/>
          </w:rPr>
          <w:instrText xml:space="preserve"> PAGEREF _Toc527401261 \h </w:instrText>
        </w:r>
        <w:r w:rsidR="00CB66AB">
          <w:rPr>
            <w:webHidden/>
          </w:rPr>
        </w:r>
        <w:r w:rsidR="00CB66AB">
          <w:rPr>
            <w:webHidden/>
          </w:rPr>
          <w:fldChar w:fldCharType="separate"/>
        </w:r>
        <w:r>
          <w:rPr>
            <w:webHidden/>
          </w:rPr>
          <w:t>269</w:t>
        </w:r>
        <w:r w:rsidR="00CB66AB">
          <w:rPr>
            <w:webHidden/>
          </w:rPr>
          <w:fldChar w:fldCharType="end"/>
        </w:r>
      </w:hyperlink>
    </w:p>
    <w:p w14:paraId="7D398569" w14:textId="29657401"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62" w:history="1">
        <w:r w:rsidR="009A2C2A" w:rsidRPr="000E0FDD">
          <w:rPr>
            <w:rStyle w:val="Hyperlink"/>
            <w:lang w:val="sl-SI"/>
          </w:rPr>
          <w:t>Zahteva glede prostega dostopa</w:t>
        </w:r>
        <w:r w:rsidR="009A2C2A">
          <w:rPr>
            <w:webHidden/>
          </w:rPr>
          <w:tab/>
        </w:r>
        <w:r w:rsidR="00CB66AB">
          <w:rPr>
            <w:webHidden/>
          </w:rPr>
          <w:fldChar w:fldCharType="begin"/>
        </w:r>
        <w:r w:rsidR="009A2C2A">
          <w:rPr>
            <w:webHidden/>
          </w:rPr>
          <w:instrText xml:space="preserve"> PAGEREF _Toc527401262 \h </w:instrText>
        </w:r>
        <w:r w:rsidR="00CB66AB">
          <w:rPr>
            <w:webHidden/>
          </w:rPr>
        </w:r>
        <w:r w:rsidR="00CB66AB">
          <w:rPr>
            <w:webHidden/>
          </w:rPr>
          <w:fldChar w:fldCharType="separate"/>
        </w:r>
        <w:r>
          <w:rPr>
            <w:webHidden/>
          </w:rPr>
          <w:t>270</w:t>
        </w:r>
        <w:r w:rsidR="00CB66AB">
          <w:rPr>
            <w:webHidden/>
          </w:rPr>
          <w:fldChar w:fldCharType="end"/>
        </w:r>
      </w:hyperlink>
    </w:p>
    <w:p w14:paraId="7D39856A" w14:textId="4B7685F9"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63" w:history="1">
        <w:r w:rsidR="009A2C2A" w:rsidRPr="000E0FDD">
          <w:rPr>
            <w:rStyle w:val="Hyperlink"/>
            <w:lang w:val="sl-SI"/>
          </w:rPr>
          <w:t>Odprta licenca in pravice intelektualne lastnine</w:t>
        </w:r>
        <w:r w:rsidR="009A2C2A">
          <w:rPr>
            <w:webHidden/>
          </w:rPr>
          <w:tab/>
        </w:r>
        <w:r w:rsidR="00CB66AB">
          <w:rPr>
            <w:webHidden/>
          </w:rPr>
          <w:fldChar w:fldCharType="begin"/>
        </w:r>
        <w:r w:rsidR="009A2C2A">
          <w:rPr>
            <w:webHidden/>
          </w:rPr>
          <w:instrText xml:space="preserve"> PAGEREF _Toc527401263 \h </w:instrText>
        </w:r>
        <w:r w:rsidR="00CB66AB">
          <w:rPr>
            <w:webHidden/>
          </w:rPr>
        </w:r>
        <w:r w:rsidR="00CB66AB">
          <w:rPr>
            <w:webHidden/>
          </w:rPr>
          <w:fldChar w:fldCharType="separate"/>
        </w:r>
        <w:r>
          <w:rPr>
            <w:webHidden/>
          </w:rPr>
          <w:t>270</w:t>
        </w:r>
        <w:r w:rsidR="00CB66AB">
          <w:rPr>
            <w:webHidden/>
          </w:rPr>
          <w:fldChar w:fldCharType="end"/>
        </w:r>
      </w:hyperlink>
    </w:p>
    <w:p w14:paraId="7D39856B" w14:textId="6BD52CDF" w:rsidR="009A2C2A" w:rsidRDefault="00A6094F" w:rsidP="00DE0934">
      <w:pPr>
        <w:pStyle w:val="TOC3"/>
        <w:rPr>
          <w:rFonts w:asciiTheme="minorHAnsi" w:eastAsiaTheme="minorEastAsia" w:hAnsiTheme="minorHAnsi" w:cstheme="minorBidi"/>
          <w:kern w:val="0"/>
          <w:sz w:val="22"/>
          <w:szCs w:val="22"/>
          <w:lang w:val="en-US" w:eastAsia="ja-JP"/>
        </w:rPr>
      </w:pPr>
      <w:hyperlink w:anchor="_Toc527401264" w:history="1">
        <w:r w:rsidR="009A2C2A" w:rsidRPr="000E0FDD">
          <w:rPr>
            <w:rStyle w:val="Hyperlink"/>
            <w:lang w:val="sl-SI"/>
          </w:rPr>
          <w:t>Pravila, ki se uporabljajo</w:t>
        </w:r>
        <w:r w:rsidR="009A2C2A">
          <w:rPr>
            <w:webHidden/>
          </w:rPr>
          <w:tab/>
        </w:r>
        <w:r w:rsidR="00CB66AB">
          <w:rPr>
            <w:webHidden/>
          </w:rPr>
          <w:fldChar w:fldCharType="begin"/>
        </w:r>
        <w:r w:rsidR="009A2C2A">
          <w:rPr>
            <w:webHidden/>
          </w:rPr>
          <w:instrText xml:space="preserve"> PAGEREF _Toc527401264 \h </w:instrText>
        </w:r>
        <w:r w:rsidR="00CB66AB">
          <w:rPr>
            <w:webHidden/>
          </w:rPr>
        </w:r>
        <w:r w:rsidR="00CB66AB">
          <w:rPr>
            <w:webHidden/>
          </w:rPr>
          <w:fldChar w:fldCharType="separate"/>
        </w:r>
        <w:r>
          <w:rPr>
            <w:webHidden/>
          </w:rPr>
          <w:t>271</w:t>
        </w:r>
        <w:r w:rsidR="00CB66AB">
          <w:rPr>
            <w:webHidden/>
          </w:rPr>
          <w:fldChar w:fldCharType="end"/>
        </w:r>
      </w:hyperlink>
    </w:p>
    <w:p w14:paraId="7D39856C" w14:textId="3C11B8F0" w:rsidR="009A2C2A" w:rsidRDefault="00A6094F">
      <w:pPr>
        <w:pStyle w:val="TOC1"/>
        <w:rPr>
          <w:rFonts w:asciiTheme="minorHAnsi" w:eastAsiaTheme="minorEastAsia" w:hAnsiTheme="minorHAnsi" w:cstheme="minorBidi"/>
          <w:b w:val="0"/>
          <w:bCs w:val="0"/>
          <w:caps w:val="0"/>
          <w:kern w:val="0"/>
          <w:lang w:val="en-US" w:eastAsia="ja-JP"/>
        </w:rPr>
      </w:pPr>
      <w:hyperlink w:anchor="_Toc527401265" w:history="1">
        <w:r w:rsidR="009A2C2A" w:rsidRPr="000E0FDD">
          <w:rPr>
            <w:rStyle w:val="Hyperlink"/>
            <w:lang w:val="sl-SI"/>
          </w:rPr>
          <w:t>Priloga I</w:t>
        </w:r>
        <w:r w:rsidR="009A2C2A">
          <w:rPr>
            <w:webHidden/>
          </w:rPr>
          <w:tab/>
        </w:r>
        <w:r w:rsidR="00CB66AB">
          <w:rPr>
            <w:webHidden/>
          </w:rPr>
          <w:fldChar w:fldCharType="begin"/>
        </w:r>
        <w:r w:rsidR="009A2C2A">
          <w:rPr>
            <w:webHidden/>
          </w:rPr>
          <w:instrText xml:space="preserve"> PAGEREF _Toc527401265 \h </w:instrText>
        </w:r>
        <w:r w:rsidR="00CB66AB">
          <w:rPr>
            <w:webHidden/>
          </w:rPr>
        </w:r>
        <w:r w:rsidR="00CB66AB">
          <w:rPr>
            <w:webHidden/>
          </w:rPr>
          <w:fldChar w:fldCharType="separate"/>
        </w:r>
        <w:r>
          <w:rPr>
            <w:webHidden/>
          </w:rPr>
          <w:t>272</w:t>
        </w:r>
        <w:r w:rsidR="00CB66AB">
          <w:rPr>
            <w:webHidden/>
          </w:rPr>
          <w:fldChar w:fldCharType="end"/>
        </w:r>
      </w:hyperlink>
    </w:p>
    <w:p w14:paraId="7D39856D" w14:textId="3E04EC15" w:rsidR="009A2C2A" w:rsidRDefault="00A6094F">
      <w:pPr>
        <w:pStyle w:val="TOC2"/>
        <w:rPr>
          <w:rFonts w:asciiTheme="minorHAnsi" w:eastAsiaTheme="minorEastAsia" w:hAnsiTheme="minorHAnsi" w:cstheme="minorBidi"/>
          <w:bCs w:val="0"/>
          <w:kern w:val="0"/>
          <w:sz w:val="22"/>
          <w:szCs w:val="22"/>
          <w:lang w:val="en-US" w:eastAsia="ja-JP"/>
        </w:rPr>
      </w:pPr>
      <w:hyperlink w:anchor="_Toc527401266" w:history="1">
        <w:r w:rsidR="009A2C2A" w:rsidRPr="000E0FDD">
          <w:rPr>
            <w:rStyle w:val="Hyperlink"/>
            <w:lang w:val="sl-SI"/>
          </w:rPr>
          <w:t>Projekt mobilnosti za študente in osebje v visokošolskem izobraževanju</w:t>
        </w:r>
        <w:r w:rsidR="009A2C2A">
          <w:rPr>
            <w:webHidden/>
          </w:rPr>
          <w:tab/>
        </w:r>
        <w:r w:rsidR="00CB66AB">
          <w:rPr>
            <w:webHidden/>
          </w:rPr>
          <w:fldChar w:fldCharType="begin"/>
        </w:r>
        <w:r w:rsidR="009A2C2A">
          <w:rPr>
            <w:webHidden/>
          </w:rPr>
          <w:instrText xml:space="preserve"> PAGEREF _Toc527401266 \h </w:instrText>
        </w:r>
        <w:r w:rsidR="00CB66AB">
          <w:rPr>
            <w:webHidden/>
          </w:rPr>
        </w:r>
        <w:r w:rsidR="00CB66AB">
          <w:rPr>
            <w:webHidden/>
          </w:rPr>
          <w:fldChar w:fldCharType="separate"/>
        </w:r>
        <w:r>
          <w:rPr>
            <w:webHidden/>
          </w:rPr>
          <w:t>273</w:t>
        </w:r>
        <w:r w:rsidR="00CB66AB">
          <w:rPr>
            <w:webHidden/>
          </w:rPr>
          <w:fldChar w:fldCharType="end"/>
        </w:r>
      </w:hyperlink>
    </w:p>
    <w:p w14:paraId="7D39856E" w14:textId="378000AA" w:rsidR="009A2C2A" w:rsidRDefault="00A6094F">
      <w:pPr>
        <w:pStyle w:val="TOC2"/>
        <w:rPr>
          <w:rFonts w:asciiTheme="minorHAnsi" w:eastAsiaTheme="minorEastAsia" w:hAnsiTheme="minorHAnsi" w:cstheme="minorBidi"/>
          <w:bCs w:val="0"/>
          <w:kern w:val="0"/>
          <w:sz w:val="22"/>
          <w:szCs w:val="22"/>
          <w:lang w:val="en-US" w:eastAsia="ja-JP"/>
        </w:rPr>
      </w:pPr>
      <w:hyperlink w:anchor="_Toc527401279" w:history="1">
        <w:r w:rsidR="009A2C2A" w:rsidRPr="000E0FDD">
          <w:rPr>
            <w:rStyle w:val="Hyperlink"/>
            <w:lang w:val="sl-SI"/>
          </w:rPr>
          <w:t>Projekt mobilnosti za dijake in osebje v poklicnem izobraževanju in usposabljanju</w:t>
        </w:r>
        <w:r w:rsidR="009A2C2A">
          <w:rPr>
            <w:webHidden/>
          </w:rPr>
          <w:tab/>
        </w:r>
        <w:r w:rsidR="00CB66AB">
          <w:rPr>
            <w:webHidden/>
          </w:rPr>
          <w:fldChar w:fldCharType="begin"/>
        </w:r>
        <w:r w:rsidR="009A2C2A">
          <w:rPr>
            <w:webHidden/>
          </w:rPr>
          <w:instrText xml:space="preserve"> PAGEREF _Toc527401279 \h </w:instrText>
        </w:r>
        <w:r w:rsidR="00CB66AB">
          <w:rPr>
            <w:webHidden/>
          </w:rPr>
        </w:r>
        <w:r w:rsidR="00CB66AB">
          <w:rPr>
            <w:webHidden/>
          </w:rPr>
          <w:fldChar w:fldCharType="separate"/>
        </w:r>
        <w:r>
          <w:rPr>
            <w:webHidden/>
          </w:rPr>
          <w:t>280</w:t>
        </w:r>
        <w:r w:rsidR="00CB66AB">
          <w:rPr>
            <w:webHidden/>
          </w:rPr>
          <w:fldChar w:fldCharType="end"/>
        </w:r>
      </w:hyperlink>
    </w:p>
    <w:p w14:paraId="7D39856F" w14:textId="39D0FE0D" w:rsidR="009A2C2A" w:rsidRDefault="00A6094F">
      <w:pPr>
        <w:pStyle w:val="TOC2"/>
        <w:rPr>
          <w:rFonts w:asciiTheme="minorHAnsi" w:eastAsiaTheme="minorEastAsia" w:hAnsiTheme="minorHAnsi" w:cstheme="minorBidi"/>
          <w:bCs w:val="0"/>
          <w:kern w:val="0"/>
          <w:sz w:val="22"/>
          <w:szCs w:val="22"/>
          <w:lang w:val="en-US" w:eastAsia="ja-JP"/>
        </w:rPr>
      </w:pPr>
      <w:hyperlink w:anchor="_Toc527401296" w:history="1">
        <w:r w:rsidR="009A2C2A" w:rsidRPr="000E0FDD">
          <w:rPr>
            <w:rStyle w:val="Hyperlink"/>
            <w:lang w:val="sl-SI"/>
          </w:rPr>
          <w:t>Projekt mobilnosti za šolsko osebje</w:t>
        </w:r>
        <w:r w:rsidR="009A2C2A">
          <w:rPr>
            <w:webHidden/>
          </w:rPr>
          <w:tab/>
        </w:r>
        <w:r w:rsidR="00CB66AB">
          <w:rPr>
            <w:webHidden/>
          </w:rPr>
          <w:fldChar w:fldCharType="begin"/>
        </w:r>
        <w:r w:rsidR="009A2C2A">
          <w:rPr>
            <w:webHidden/>
          </w:rPr>
          <w:instrText xml:space="preserve"> PAGEREF _Toc527401296 \h </w:instrText>
        </w:r>
        <w:r w:rsidR="00CB66AB">
          <w:rPr>
            <w:webHidden/>
          </w:rPr>
        </w:r>
        <w:r w:rsidR="00CB66AB">
          <w:rPr>
            <w:webHidden/>
          </w:rPr>
          <w:fldChar w:fldCharType="separate"/>
        </w:r>
        <w:r>
          <w:rPr>
            <w:webHidden/>
          </w:rPr>
          <w:t>286</w:t>
        </w:r>
        <w:r w:rsidR="00CB66AB">
          <w:rPr>
            <w:webHidden/>
          </w:rPr>
          <w:fldChar w:fldCharType="end"/>
        </w:r>
      </w:hyperlink>
    </w:p>
    <w:p w14:paraId="7D398570" w14:textId="52FDC047" w:rsidR="009A2C2A" w:rsidRDefault="00A6094F">
      <w:pPr>
        <w:pStyle w:val="TOC2"/>
        <w:rPr>
          <w:rFonts w:asciiTheme="minorHAnsi" w:eastAsiaTheme="minorEastAsia" w:hAnsiTheme="minorHAnsi" w:cstheme="minorBidi"/>
          <w:bCs w:val="0"/>
          <w:kern w:val="0"/>
          <w:sz w:val="22"/>
          <w:szCs w:val="22"/>
          <w:lang w:val="en-US" w:eastAsia="ja-JP"/>
        </w:rPr>
      </w:pPr>
      <w:hyperlink w:anchor="_Toc527401305" w:history="1">
        <w:r w:rsidR="009A2C2A" w:rsidRPr="000E0FDD">
          <w:rPr>
            <w:rStyle w:val="Hyperlink"/>
            <w:lang w:val="sl-SI"/>
          </w:rPr>
          <w:t>Projekt mobilnosti za osebje v izobraževanju odraslih</w:t>
        </w:r>
        <w:r w:rsidR="009A2C2A">
          <w:rPr>
            <w:webHidden/>
          </w:rPr>
          <w:tab/>
        </w:r>
        <w:r w:rsidR="00CB66AB">
          <w:rPr>
            <w:webHidden/>
          </w:rPr>
          <w:fldChar w:fldCharType="begin"/>
        </w:r>
        <w:r w:rsidR="009A2C2A">
          <w:rPr>
            <w:webHidden/>
          </w:rPr>
          <w:instrText xml:space="preserve"> PAGEREF _Toc527401305 \h </w:instrText>
        </w:r>
        <w:r w:rsidR="00CB66AB">
          <w:rPr>
            <w:webHidden/>
          </w:rPr>
        </w:r>
        <w:r w:rsidR="00CB66AB">
          <w:rPr>
            <w:webHidden/>
          </w:rPr>
          <w:fldChar w:fldCharType="separate"/>
        </w:r>
        <w:r>
          <w:rPr>
            <w:webHidden/>
          </w:rPr>
          <w:t>289</w:t>
        </w:r>
        <w:r w:rsidR="00CB66AB">
          <w:rPr>
            <w:webHidden/>
          </w:rPr>
          <w:fldChar w:fldCharType="end"/>
        </w:r>
      </w:hyperlink>
    </w:p>
    <w:p w14:paraId="7D398571" w14:textId="32399EDE" w:rsidR="009A2C2A" w:rsidRDefault="00A6094F">
      <w:pPr>
        <w:pStyle w:val="TOC2"/>
        <w:rPr>
          <w:rFonts w:asciiTheme="minorHAnsi" w:eastAsiaTheme="minorEastAsia" w:hAnsiTheme="minorHAnsi" w:cstheme="minorBidi"/>
          <w:bCs w:val="0"/>
          <w:kern w:val="0"/>
          <w:sz w:val="22"/>
          <w:szCs w:val="22"/>
          <w:lang w:val="en-US" w:eastAsia="ja-JP"/>
        </w:rPr>
      </w:pPr>
      <w:hyperlink w:anchor="_Toc527401314" w:history="1">
        <w:r w:rsidR="009A2C2A" w:rsidRPr="000E0FDD">
          <w:rPr>
            <w:rStyle w:val="Hyperlink"/>
            <w:lang w:val="sl-SI"/>
          </w:rPr>
          <w:t>Projekti mobilnosti za mlade in mladinske delavce</w:t>
        </w:r>
        <w:r w:rsidR="009A2C2A">
          <w:rPr>
            <w:webHidden/>
          </w:rPr>
          <w:tab/>
        </w:r>
        <w:r w:rsidR="00CB66AB">
          <w:rPr>
            <w:webHidden/>
          </w:rPr>
          <w:fldChar w:fldCharType="begin"/>
        </w:r>
        <w:r w:rsidR="009A2C2A">
          <w:rPr>
            <w:webHidden/>
          </w:rPr>
          <w:instrText xml:space="preserve"> PAGEREF _Toc527401314 \h </w:instrText>
        </w:r>
        <w:r w:rsidR="00CB66AB">
          <w:rPr>
            <w:webHidden/>
          </w:rPr>
        </w:r>
        <w:r w:rsidR="00CB66AB">
          <w:rPr>
            <w:webHidden/>
          </w:rPr>
          <w:fldChar w:fldCharType="separate"/>
        </w:r>
        <w:r>
          <w:rPr>
            <w:webHidden/>
          </w:rPr>
          <w:t>291</w:t>
        </w:r>
        <w:r w:rsidR="00CB66AB">
          <w:rPr>
            <w:webHidden/>
          </w:rPr>
          <w:fldChar w:fldCharType="end"/>
        </w:r>
      </w:hyperlink>
    </w:p>
    <w:p w14:paraId="7D398572" w14:textId="29A2B5D9" w:rsidR="009A2C2A" w:rsidRDefault="00A6094F">
      <w:pPr>
        <w:pStyle w:val="TOC2"/>
        <w:rPr>
          <w:rFonts w:asciiTheme="minorHAnsi" w:eastAsiaTheme="minorEastAsia" w:hAnsiTheme="minorHAnsi" w:cstheme="minorBidi"/>
          <w:bCs w:val="0"/>
          <w:kern w:val="0"/>
          <w:sz w:val="22"/>
          <w:szCs w:val="22"/>
          <w:lang w:val="en-US" w:eastAsia="ja-JP"/>
        </w:rPr>
      </w:pPr>
      <w:hyperlink w:anchor="_Toc527401327" w:history="1">
        <w:r w:rsidR="009A2C2A" w:rsidRPr="000E0FDD">
          <w:rPr>
            <w:rStyle w:val="Hyperlink"/>
            <w:lang w:val="sl-SI"/>
          </w:rPr>
          <w:t>Skupni magistrski študij Erasmus Mundus</w:t>
        </w:r>
        <w:r w:rsidR="009A2C2A">
          <w:rPr>
            <w:webHidden/>
          </w:rPr>
          <w:tab/>
        </w:r>
        <w:r w:rsidR="00CB66AB">
          <w:rPr>
            <w:webHidden/>
          </w:rPr>
          <w:fldChar w:fldCharType="begin"/>
        </w:r>
        <w:r w:rsidR="009A2C2A">
          <w:rPr>
            <w:webHidden/>
          </w:rPr>
          <w:instrText xml:space="preserve"> PAGEREF _Toc527401327 \h </w:instrText>
        </w:r>
        <w:r w:rsidR="00CB66AB">
          <w:rPr>
            <w:webHidden/>
          </w:rPr>
        </w:r>
        <w:r w:rsidR="00CB66AB">
          <w:rPr>
            <w:webHidden/>
          </w:rPr>
          <w:fldChar w:fldCharType="separate"/>
        </w:r>
        <w:r>
          <w:rPr>
            <w:webHidden/>
          </w:rPr>
          <w:t>296</w:t>
        </w:r>
        <w:r w:rsidR="00CB66AB">
          <w:rPr>
            <w:webHidden/>
          </w:rPr>
          <w:fldChar w:fldCharType="end"/>
        </w:r>
      </w:hyperlink>
    </w:p>
    <w:p w14:paraId="7D398573" w14:textId="10E8A751" w:rsidR="009A2C2A" w:rsidRDefault="00A6094F">
      <w:pPr>
        <w:pStyle w:val="TOC2"/>
        <w:rPr>
          <w:rFonts w:asciiTheme="minorHAnsi" w:eastAsiaTheme="minorEastAsia" w:hAnsiTheme="minorHAnsi" w:cstheme="minorBidi"/>
          <w:bCs w:val="0"/>
          <w:kern w:val="0"/>
          <w:sz w:val="22"/>
          <w:szCs w:val="22"/>
          <w:lang w:val="en-US" w:eastAsia="ja-JP"/>
        </w:rPr>
      </w:pPr>
      <w:hyperlink w:anchor="_Toc527401332" w:history="1">
        <w:r w:rsidR="009A2C2A" w:rsidRPr="000E0FDD">
          <w:rPr>
            <w:rStyle w:val="Hyperlink"/>
            <w:lang w:val="sl-SI"/>
          </w:rPr>
          <w:t>Strateška partnerstva</w:t>
        </w:r>
        <w:r w:rsidR="009A2C2A">
          <w:rPr>
            <w:webHidden/>
          </w:rPr>
          <w:tab/>
        </w:r>
        <w:r w:rsidR="00CB66AB">
          <w:rPr>
            <w:webHidden/>
          </w:rPr>
          <w:fldChar w:fldCharType="begin"/>
        </w:r>
        <w:r w:rsidR="009A2C2A">
          <w:rPr>
            <w:webHidden/>
          </w:rPr>
          <w:instrText xml:space="preserve"> PAGEREF _Toc527401332 \h </w:instrText>
        </w:r>
        <w:r w:rsidR="00CB66AB">
          <w:rPr>
            <w:webHidden/>
          </w:rPr>
        </w:r>
        <w:r w:rsidR="00CB66AB">
          <w:rPr>
            <w:webHidden/>
          </w:rPr>
          <w:fldChar w:fldCharType="separate"/>
        </w:r>
        <w:r>
          <w:rPr>
            <w:webHidden/>
          </w:rPr>
          <w:t>299</w:t>
        </w:r>
        <w:r w:rsidR="00CB66AB">
          <w:rPr>
            <w:webHidden/>
          </w:rPr>
          <w:fldChar w:fldCharType="end"/>
        </w:r>
      </w:hyperlink>
    </w:p>
    <w:p w14:paraId="7D398574" w14:textId="466DC6E6" w:rsidR="009A2C2A" w:rsidRDefault="00A6094F">
      <w:pPr>
        <w:pStyle w:val="TOC2"/>
        <w:rPr>
          <w:rFonts w:asciiTheme="minorHAnsi" w:eastAsiaTheme="minorEastAsia" w:hAnsiTheme="minorHAnsi" w:cstheme="minorBidi"/>
          <w:bCs w:val="0"/>
          <w:kern w:val="0"/>
          <w:sz w:val="22"/>
          <w:szCs w:val="22"/>
          <w:lang w:val="en-US" w:eastAsia="ja-JP"/>
        </w:rPr>
      </w:pPr>
      <w:hyperlink w:anchor="_Toc527401364" w:history="1">
        <w:r w:rsidR="009A2C2A" w:rsidRPr="000E0FDD">
          <w:rPr>
            <w:rStyle w:val="Hyperlink"/>
            <w:lang w:val="sl-SI"/>
          </w:rPr>
          <w:t>Krepitev zmogljivosti na področju visokošolskega izobraževanja</w:t>
        </w:r>
        <w:r w:rsidR="009A2C2A">
          <w:rPr>
            <w:webHidden/>
          </w:rPr>
          <w:tab/>
        </w:r>
        <w:r w:rsidR="00CB66AB">
          <w:rPr>
            <w:webHidden/>
          </w:rPr>
          <w:fldChar w:fldCharType="begin"/>
        </w:r>
        <w:r w:rsidR="009A2C2A">
          <w:rPr>
            <w:webHidden/>
          </w:rPr>
          <w:instrText xml:space="preserve"> PAGEREF _Toc527401364 \h </w:instrText>
        </w:r>
        <w:r w:rsidR="00CB66AB">
          <w:rPr>
            <w:webHidden/>
          </w:rPr>
        </w:r>
        <w:r w:rsidR="00CB66AB">
          <w:rPr>
            <w:webHidden/>
          </w:rPr>
          <w:fldChar w:fldCharType="separate"/>
        </w:r>
        <w:r>
          <w:rPr>
            <w:webHidden/>
          </w:rPr>
          <w:t>313</w:t>
        </w:r>
        <w:r w:rsidR="00CB66AB">
          <w:rPr>
            <w:webHidden/>
          </w:rPr>
          <w:fldChar w:fldCharType="end"/>
        </w:r>
      </w:hyperlink>
    </w:p>
    <w:p w14:paraId="7D398575" w14:textId="14320609" w:rsidR="009A2C2A" w:rsidRDefault="00A6094F">
      <w:pPr>
        <w:pStyle w:val="TOC1"/>
        <w:rPr>
          <w:rFonts w:asciiTheme="minorHAnsi" w:eastAsiaTheme="minorEastAsia" w:hAnsiTheme="minorHAnsi" w:cstheme="minorBidi"/>
          <w:b w:val="0"/>
          <w:bCs w:val="0"/>
          <w:caps w:val="0"/>
          <w:kern w:val="0"/>
          <w:lang w:val="en-US" w:eastAsia="ja-JP"/>
        </w:rPr>
      </w:pPr>
      <w:hyperlink w:anchor="_Toc527401383" w:history="1">
        <w:r w:rsidR="009A2C2A" w:rsidRPr="000E0FDD">
          <w:rPr>
            <w:rStyle w:val="Hyperlink"/>
            <w:lang w:val="sl-SI"/>
          </w:rPr>
          <w:t>Priloga II– Razširjanje in uporaba</w:t>
        </w:r>
        <w:r w:rsidR="009A2C2A" w:rsidRPr="000E0FDD">
          <w:rPr>
            <w:rStyle w:val="Hyperlink"/>
            <w:spacing w:val="105"/>
            <w:lang w:val="sl-SI"/>
          </w:rPr>
          <w:t xml:space="preserve"> </w:t>
        </w:r>
        <w:r w:rsidR="009A2C2A" w:rsidRPr="000E0FDD">
          <w:rPr>
            <w:rStyle w:val="Hyperlink"/>
            <w:lang w:val="sl-SI"/>
          </w:rPr>
          <w:t>rezultatov</w:t>
        </w:r>
        <w:r w:rsidR="009A2C2A">
          <w:rPr>
            <w:webHidden/>
          </w:rPr>
          <w:tab/>
        </w:r>
        <w:r w:rsidR="00CB66AB">
          <w:rPr>
            <w:webHidden/>
          </w:rPr>
          <w:fldChar w:fldCharType="begin"/>
        </w:r>
        <w:r w:rsidR="009A2C2A">
          <w:rPr>
            <w:webHidden/>
          </w:rPr>
          <w:instrText xml:space="preserve"> PAGEREF _Toc527401383 \h </w:instrText>
        </w:r>
        <w:r w:rsidR="00CB66AB">
          <w:rPr>
            <w:webHidden/>
          </w:rPr>
        </w:r>
        <w:r w:rsidR="00CB66AB">
          <w:rPr>
            <w:webHidden/>
          </w:rPr>
          <w:fldChar w:fldCharType="separate"/>
        </w:r>
        <w:r>
          <w:rPr>
            <w:webHidden/>
          </w:rPr>
          <w:t>320</w:t>
        </w:r>
        <w:r w:rsidR="00CB66AB">
          <w:rPr>
            <w:webHidden/>
          </w:rPr>
          <w:fldChar w:fldCharType="end"/>
        </w:r>
      </w:hyperlink>
    </w:p>
    <w:p w14:paraId="7D398576" w14:textId="4C2A5BBE" w:rsidR="009A2C2A" w:rsidRDefault="00A6094F">
      <w:pPr>
        <w:pStyle w:val="TOC2"/>
        <w:rPr>
          <w:rFonts w:asciiTheme="minorHAnsi" w:eastAsiaTheme="minorEastAsia" w:hAnsiTheme="minorHAnsi" w:cstheme="minorBidi"/>
          <w:bCs w:val="0"/>
          <w:kern w:val="0"/>
          <w:sz w:val="22"/>
          <w:szCs w:val="22"/>
          <w:lang w:val="en-US" w:eastAsia="ja-JP"/>
        </w:rPr>
      </w:pPr>
      <w:hyperlink w:anchor="_Toc527401384" w:history="1">
        <w:r w:rsidR="009A2C2A" w:rsidRPr="000E0FDD">
          <w:rPr>
            <w:rStyle w:val="Hyperlink"/>
            <w:lang w:val="sl-SI"/>
          </w:rPr>
          <w:t>Uvod</w:t>
        </w:r>
        <w:r w:rsidR="009A2C2A">
          <w:rPr>
            <w:webHidden/>
          </w:rPr>
          <w:tab/>
        </w:r>
        <w:r w:rsidR="00CB66AB">
          <w:rPr>
            <w:webHidden/>
          </w:rPr>
          <w:fldChar w:fldCharType="begin"/>
        </w:r>
        <w:r w:rsidR="009A2C2A">
          <w:rPr>
            <w:webHidden/>
          </w:rPr>
          <w:instrText xml:space="preserve"> PAGEREF _Toc527401384 \h </w:instrText>
        </w:r>
        <w:r w:rsidR="00CB66AB">
          <w:rPr>
            <w:webHidden/>
          </w:rPr>
        </w:r>
        <w:r w:rsidR="00CB66AB">
          <w:rPr>
            <w:webHidden/>
          </w:rPr>
          <w:fldChar w:fldCharType="separate"/>
        </w:r>
        <w:r>
          <w:rPr>
            <w:webHidden/>
          </w:rPr>
          <w:t>320</w:t>
        </w:r>
        <w:r w:rsidR="00CB66AB">
          <w:rPr>
            <w:webHidden/>
          </w:rPr>
          <w:fldChar w:fldCharType="end"/>
        </w:r>
      </w:hyperlink>
    </w:p>
    <w:p w14:paraId="7D398577" w14:textId="14B5D6F9" w:rsidR="009A2C2A" w:rsidRDefault="00A6094F">
      <w:pPr>
        <w:pStyle w:val="TOC1"/>
        <w:rPr>
          <w:rFonts w:asciiTheme="minorHAnsi" w:eastAsiaTheme="minorEastAsia" w:hAnsiTheme="minorHAnsi" w:cstheme="minorBidi"/>
          <w:b w:val="0"/>
          <w:bCs w:val="0"/>
          <w:caps w:val="0"/>
          <w:kern w:val="0"/>
          <w:lang w:val="en-US" w:eastAsia="ja-JP"/>
        </w:rPr>
      </w:pPr>
      <w:hyperlink w:anchor="_Toc527401400" w:history="1">
        <w:r w:rsidR="009A2C2A" w:rsidRPr="000E0FDD">
          <w:rPr>
            <w:rStyle w:val="Hyperlink"/>
            <w:lang w:val="sl-SI"/>
          </w:rPr>
          <w:t>Priloga III – Glosar pojmov</w:t>
        </w:r>
        <w:r w:rsidR="009A2C2A">
          <w:rPr>
            <w:webHidden/>
          </w:rPr>
          <w:tab/>
        </w:r>
        <w:r w:rsidR="00CB66AB">
          <w:rPr>
            <w:webHidden/>
          </w:rPr>
          <w:fldChar w:fldCharType="begin"/>
        </w:r>
        <w:r w:rsidR="009A2C2A">
          <w:rPr>
            <w:webHidden/>
          </w:rPr>
          <w:instrText xml:space="preserve"> PAGEREF _Toc527401400 \h </w:instrText>
        </w:r>
        <w:r w:rsidR="00CB66AB">
          <w:rPr>
            <w:webHidden/>
          </w:rPr>
        </w:r>
        <w:r w:rsidR="00CB66AB">
          <w:rPr>
            <w:webHidden/>
          </w:rPr>
          <w:fldChar w:fldCharType="separate"/>
        </w:r>
        <w:r>
          <w:rPr>
            <w:webHidden/>
          </w:rPr>
          <w:t>326</w:t>
        </w:r>
        <w:r w:rsidR="00CB66AB">
          <w:rPr>
            <w:webHidden/>
          </w:rPr>
          <w:fldChar w:fldCharType="end"/>
        </w:r>
      </w:hyperlink>
    </w:p>
    <w:p w14:paraId="7D398578" w14:textId="18BE0F64" w:rsidR="009A2C2A" w:rsidRDefault="00A6094F">
      <w:pPr>
        <w:pStyle w:val="TOC1"/>
        <w:rPr>
          <w:rFonts w:asciiTheme="minorHAnsi" w:eastAsiaTheme="minorEastAsia" w:hAnsiTheme="minorHAnsi" w:cstheme="minorBidi"/>
          <w:b w:val="0"/>
          <w:bCs w:val="0"/>
          <w:caps w:val="0"/>
          <w:kern w:val="0"/>
          <w:lang w:val="en-US" w:eastAsia="ja-JP"/>
        </w:rPr>
      </w:pPr>
      <w:hyperlink w:anchor="_Toc527401401" w:history="1">
        <w:r w:rsidR="009A2C2A" w:rsidRPr="000E0FDD">
          <w:rPr>
            <w:rStyle w:val="Hyperlink"/>
            <w:lang w:val="sl-SI"/>
          </w:rPr>
          <w:t>Priloga IV – Koristne reference in kontaktni podatki</w:t>
        </w:r>
        <w:r w:rsidR="009A2C2A">
          <w:rPr>
            <w:webHidden/>
          </w:rPr>
          <w:tab/>
        </w:r>
        <w:r w:rsidR="00CB66AB">
          <w:rPr>
            <w:webHidden/>
          </w:rPr>
          <w:fldChar w:fldCharType="begin"/>
        </w:r>
        <w:r w:rsidR="009A2C2A">
          <w:rPr>
            <w:webHidden/>
          </w:rPr>
          <w:instrText xml:space="preserve"> PAGEREF _Toc527401401 \h </w:instrText>
        </w:r>
        <w:r w:rsidR="00CB66AB">
          <w:rPr>
            <w:webHidden/>
          </w:rPr>
        </w:r>
        <w:r w:rsidR="00CB66AB">
          <w:rPr>
            <w:webHidden/>
          </w:rPr>
          <w:fldChar w:fldCharType="separate"/>
        </w:r>
        <w:r>
          <w:rPr>
            <w:webHidden/>
          </w:rPr>
          <w:t>336</w:t>
        </w:r>
        <w:r w:rsidR="00CB66AB">
          <w:rPr>
            <w:webHidden/>
          </w:rPr>
          <w:fldChar w:fldCharType="end"/>
        </w:r>
      </w:hyperlink>
    </w:p>
    <w:p w14:paraId="7D398579" w14:textId="77777777" w:rsidR="00DE0934" w:rsidRDefault="00CB66AB" w:rsidP="009A2C2A">
      <w:pPr>
        <w:pStyle w:val="Guide-TableofContents"/>
        <w:rPr>
          <w:rFonts w:cs="Calibri"/>
          <w:noProof/>
          <w:sz w:val="20"/>
          <w:lang w:val="sl-SI"/>
        </w:rPr>
      </w:pPr>
      <w:r>
        <w:rPr>
          <w:rFonts w:cs="Calibri"/>
          <w:noProof/>
          <w:sz w:val="20"/>
          <w:lang w:val="sl-SI"/>
        </w:rPr>
        <w:fldChar w:fldCharType="end"/>
      </w:r>
    </w:p>
    <w:p w14:paraId="7D39857A" w14:textId="77777777" w:rsidR="00DE0934" w:rsidRDefault="00DE0934" w:rsidP="00DE0934">
      <w:pPr>
        <w:rPr>
          <w:rFonts w:eastAsia="Times New Roman"/>
          <w:noProof/>
          <w:szCs w:val="20"/>
          <w:lang w:val="sl-SI"/>
        </w:rPr>
      </w:pPr>
      <w:r>
        <w:rPr>
          <w:noProof/>
          <w:lang w:val="sl-SI"/>
        </w:rPr>
        <w:br w:type="page"/>
      </w:r>
    </w:p>
    <w:p w14:paraId="7D39857B" w14:textId="77777777" w:rsidR="00465B8D" w:rsidRPr="001048FE" w:rsidRDefault="00B1662F" w:rsidP="007E0A28">
      <w:pPr>
        <w:pStyle w:val="Guide-Heading1"/>
        <w:rPr>
          <w:lang w:val="sl-SI"/>
        </w:rPr>
      </w:pPr>
      <w:bookmarkStart w:id="4" w:name="Table_des_Matières"/>
      <w:bookmarkStart w:id="5" w:name="_bookmark0"/>
      <w:bookmarkStart w:id="6" w:name="_Toc527400884"/>
      <w:bookmarkStart w:id="7" w:name="_Toc527401070"/>
      <w:bookmarkEnd w:id="4"/>
      <w:bookmarkEnd w:id="5"/>
      <w:r w:rsidRPr="001048FE">
        <w:rPr>
          <w:lang w:val="sl-SI"/>
        </w:rPr>
        <w:t>Kratice</w:t>
      </w:r>
      <w:bookmarkEnd w:id="6"/>
      <w:bookmarkEnd w:id="7"/>
    </w:p>
    <w:p w14:paraId="7D39857C" w14:textId="77777777" w:rsidR="00B1662F" w:rsidRPr="001048FE" w:rsidRDefault="00B1662F" w:rsidP="00B1662F">
      <w:pPr>
        <w:pStyle w:val="Guide-NormalBulletpoints"/>
        <w:rPr>
          <w:sz w:val="22"/>
          <w:szCs w:val="22"/>
          <w:lang w:val="sl-SI"/>
        </w:rPr>
      </w:pPr>
      <w:bookmarkStart w:id="8" w:name="Abréviations"/>
      <w:bookmarkStart w:id="9" w:name="_bookmark1"/>
      <w:bookmarkEnd w:id="8"/>
      <w:bookmarkEnd w:id="9"/>
      <w:r w:rsidRPr="001048FE">
        <w:rPr>
          <w:b/>
          <w:sz w:val="22"/>
          <w:szCs w:val="22"/>
          <w:lang w:val="sl-SI"/>
        </w:rPr>
        <w:t>EACEA</w:t>
      </w:r>
      <w:r w:rsidRPr="001048FE">
        <w:rPr>
          <w:sz w:val="22"/>
          <w:szCs w:val="22"/>
          <w:lang w:val="sl-SI"/>
        </w:rPr>
        <w:t>:</w:t>
      </w:r>
      <w:r w:rsidRPr="001048FE">
        <w:rPr>
          <w:spacing w:val="-21"/>
          <w:sz w:val="22"/>
          <w:szCs w:val="22"/>
          <w:lang w:val="sl-SI"/>
        </w:rPr>
        <w:t xml:space="preserve"> </w:t>
      </w:r>
      <w:r w:rsidRPr="001048FE">
        <w:rPr>
          <w:sz w:val="22"/>
          <w:szCs w:val="22"/>
          <w:lang w:val="sl-SI"/>
        </w:rPr>
        <w:t>Izvajalska</w:t>
      </w:r>
      <w:r w:rsidRPr="001048FE">
        <w:rPr>
          <w:spacing w:val="-21"/>
          <w:sz w:val="22"/>
          <w:szCs w:val="22"/>
          <w:lang w:val="sl-SI"/>
        </w:rPr>
        <w:t xml:space="preserve"> </w:t>
      </w:r>
      <w:r w:rsidRPr="001048FE">
        <w:rPr>
          <w:sz w:val="22"/>
          <w:szCs w:val="22"/>
          <w:lang w:val="sl-SI"/>
        </w:rPr>
        <w:t>agencija</w:t>
      </w:r>
      <w:r w:rsidRPr="001048FE">
        <w:rPr>
          <w:spacing w:val="-21"/>
          <w:sz w:val="22"/>
          <w:szCs w:val="22"/>
          <w:lang w:val="sl-SI"/>
        </w:rPr>
        <w:t xml:space="preserve"> </w:t>
      </w:r>
      <w:r w:rsidRPr="001048FE">
        <w:rPr>
          <w:sz w:val="22"/>
          <w:szCs w:val="22"/>
          <w:lang w:val="sl-SI"/>
        </w:rPr>
        <w:t>za</w:t>
      </w:r>
      <w:r w:rsidRPr="001048FE">
        <w:rPr>
          <w:spacing w:val="-21"/>
          <w:sz w:val="22"/>
          <w:szCs w:val="22"/>
          <w:lang w:val="sl-SI"/>
        </w:rPr>
        <w:t xml:space="preserve"> </w:t>
      </w:r>
      <w:r w:rsidRPr="001048FE">
        <w:rPr>
          <w:sz w:val="22"/>
          <w:szCs w:val="22"/>
          <w:lang w:val="sl-SI"/>
        </w:rPr>
        <w:t>izobraževanje,</w:t>
      </w:r>
      <w:r w:rsidRPr="001048FE">
        <w:rPr>
          <w:spacing w:val="-21"/>
          <w:sz w:val="22"/>
          <w:szCs w:val="22"/>
          <w:lang w:val="sl-SI"/>
        </w:rPr>
        <w:t xml:space="preserve"> </w:t>
      </w:r>
      <w:r w:rsidRPr="001048FE">
        <w:rPr>
          <w:sz w:val="22"/>
          <w:szCs w:val="22"/>
          <w:lang w:val="sl-SI"/>
        </w:rPr>
        <w:t>avdiovizualno</w:t>
      </w:r>
      <w:r w:rsidRPr="001048FE">
        <w:rPr>
          <w:spacing w:val="-21"/>
          <w:sz w:val="22"/>
          <w:szCs w:val="22"/>
          <w:lang w:val="sl-SI"/>
        </w:rPr>
        <w:t xml:space="preserve"> </w:t>
      </w:r>
      <w:r w:rsidRPr="001048FE">
        <w:rPr>
          <w:sz w:val="22"/>
          <w:szCs w:val="22"/>
          <w:lang w:val="sl-SI"/>
        </w:rPr>
        <w:t>področje</w:t>
      </w:r>
      <w:r w:rsidRPr="001048FE">
        <w:rPr>
          <w:spacing w:val="-21"/>
          <w:sz w:val="22"/>
          <w:szCs w:val="22"/>
          <w:lang w:val="sl-SI"/>
        </w:rPr>
        <w:t xml:space="preserve"> </w:t>
      </w:r>
      <w:r w:rsidRPr="001048FE">
        <w:rPr>
          <w:sz w:val="22"/>
          <w:szCs w:val="22"/>
          <w:lang w:val="sl-SI"/>
        </w:rPr>
        <w:t>in</w:t>
      </w:r>
      <w:r w:rsidRPr="001048FE">
        <w:rPr>
          <w:spacing w:val="-21"/>
          <w:sz w:val="22"/>
          <w:szCs w:val="22"/>
          <w:lang w:val="sl-SI"/>
        </w:rPr>
        <w:t xml:space="preserve"> </w:t>
      </w:r>
      <w:r w:rsidRPr="001048FE">
        <w:rPr>
          <w:sz w:val="22"/>
          <w:szCs w:val="22"/>
          <w:lang w:val="sl-SI"/>
        </w:rPr>
        <w:t xml:space="preserve">kulturo </w:t>
      </w:r>
    </w:p>
    <w:p w14:paraId="7D39857D" w14:textId="77777777" w:rsidR="00B1662F" w:rsidRPr="001048FE" w:rsidRDefault="00B1662F" w:rsidP="00B1662F">
      <w:pPr>
        <w:pStyle w:val="Guide-NormalBulletpoints"/>
        <w:rPr>
          <w:sz w:val="22"/>
          <w:szCs w:val="22"/>
          <w:lang w:val="sl-SI"/>
        </w:rPr>
      </w:pPr>
      <w:r w:rsidRPr="001048FE">
        <w:rPr>
          <w:b/>
          <w:sz w:val="22"/>
          <w:szCs w:val="22"/>
          <w:lang w:val="sl-SI"/>
        </w:rPr>
        <w:t>ECHE</w:t>
      </w:r>
      <w:r w:rsidRPr="001048FE">
        <w:rPr>
          <w:sz w:val="22"/>
          <w:szCs w:val="22"/>
          <w:lang w:val="sl-SI"/>
        </w:rPr>
        <w:t>: Listina Erasmus za terciarno izobraževanje</w:t>
      </w:r>
    </w:p>
    <w:p w14:paraId="7D39857E" w14:textId="77777777" w:rsidR="00B1662F" w:rsidRPr="001048FE" w:rsidRDefault="00B1662F" w:rsidP="00B1662F">
      <w:pPr>
        <w:pStyle w:val="Guide-NormalBulletpoints"/>
        <w:rPr>
          <w:sz w:val="22"/>
          <w:szCs w:val="22"/>
          <w:lang w:val="sl-SI"/>
        </w:rPr>
      </w:pPr>
      <w:r w:rsidRPr="001048FE">
        <w:rPr>
          <w:b/>
          <w:sz w:val="22"/>
          <w:szCs w:val="22"/>
          <w:lang w:val="sl-SI"/>
        </w:rPr>
        <w:t>ECTS</w:t>
      </w:r>
      <w:r w:rsidRPr="001048FE">
        <w:rPr>
          <w:sz w:val="22"/>
          <w:szCs w:val="22"/>
          <w:lang w:val="sl-SI"/>
        </w:rPr>
        <w:t>: evropski sistem zbiranja in prenašanja kreditnih točk</w:t>
      </w:r>
    </w:p>
    <w:p w14:paraId="7D39857F" w14:textId="77777777" w:rsidR="00B1662F" w:rsidRPr="001048FE" w:rsidRDefault="00B1662F" w:rsidP="00B1662F">
      <w:pPr>
        <w:pStyle w:val="Guide-NormalBulletpoints"/>
        <w:rPr>
          <w:sz w:val="22"/>
          <w:szCs w:val="22"/>
          <w:lang w:val="sl-SI"/>
        </w:rPr>
      </w:pPr>
      <w:r w:rsidRPr="001048FE">
        <w:rPr>
          <w:b/>
          <w:sz w:val="22"/>
          <w:szCs w:val="22"/>
          <w:lang w:val="sl-SI"/>
        </w:rPr>
        <w:t>ECVET</w:t>
      </w:r>
      <w:r w:rsidRPr="001048FE">
        <w:rPr>
          <w:sz w:val="22"/>
          <w:szCs w:val="22"/>
          <w:lang w:val="sl-SI"/>
        </w:rPr>
        <w:t>: evropski sistem kreditnih točk v poklicnem izobraževanju in usposabljanju</w:t>
      </w:r>
    </w:p>
    <w:p w14:paraId="7D398580" w14:textId="77777777" w:rsidR="00B1662F" w:rsidRPr="001048FE" w:rsidRDefault="00B1662F" w:rsidP="00B1662F">
      <w:pPr>
        <w:pStyle w:val="Guide-NormalBulletpoints"/>
        <w:rPr>
          <w:sz w:val="22"/>
          <w:szCs w:val="22"/>
          <w:lang w:val="sl-SI"/>
        </w:rPr>
      </w:pPr>
      <w:r w:rsidRPr="001048FE">
        <w:rPr>
          <w:b/>
          <w:sz w:val="22"/>
          <w:szCs w:val="22"/>
          <w:lang w:val="sl-SI"/>
        </w:rPr>
        <w:t>EHEA</w:t>
      </w:r>
      <w:r w:rsidRPr="001048FE">
        <w:rPr>
          <w:sz w:val="22"/>
          <w:szCs w:val="22"/>
          <w:lang w:val="sl-SI"/>
        </w:rPr>
        <w:t xml:space="preserve">: evropski visokošolski prostor </w:t>
      </w:r>
    </w:p>
    <w:p w14:paraId="7D398581" w14:textId="77777777" w:rsidR="00B1662F" w:rsidRPr="001048FE" w:rsidRDefault="00B1662F" w:rsidP="00B1662F">
      <w:pPr>
        <w:pStyle w:val="Guide-NormalBulletpoints"/>
        <w:rPr>
          <w:sz w:val="22"/>
          <w:szCs w:val="22"/>
          <w:lang w:val="sl-SI"/>
        </w:rPr>
      </w:pPr>
      <w:r w:rsidRPr="001048FE">
        <w:rPr>
          <w:b/>
          <w:sz w:val="22"/>
          <w:szCs w:val="22"/>
          <w:lang w:val="sl-SI"/>
        </w:rPr>
        <w:t>EIB</w:t>
      </w:r>
      <w:r w:rsidRPr="001048FE">
        <w:rPr>
          <w:sz w:val="22"/>
          <w:szCs w:val="22"/>
          <w:lang w:val="sl-SI"/>
        </w:rPr>
        <w:t xml:space="preserve">: Evropska investicijska banka </w:t>
      </w:r>
    </w:p>
    <w:p w14:paraId="7D398582" w14:textId="77777777" w:rsidR="00B1662F" w:rsidRPr="001048FE" w:rsidRDefault="00B1662F" w:rsidP="00B1662F">
      <w:pPr>
        <w:pStyle w:val="Guide-NormalBulletpoints"/>
        <w:rPr>
          <w:sz w:val="22"/>
          <w:szCs w:val="22"/>
          <w:lang w:val="sl-SI"/>
        </w:rPr>
      </w:pPr>
      <w:r w:rsidRPr="001048FE">
        <w:rPr>
          <w:b/>
          <w:sz w:val="22"/>
          <w:szCs w:val="22"/>
          <w:lang w:val="sl-SI"/>
        </w:rPr>
        <w:t>ELL</w:t>
      </w:r>
      <w:r w:rsidRPr="001048FE">
        <w:rPr>
          <w:sz w:val="22"/>
          <w:szCs w:val="22"/>
          <w:lang w:val="sl-SI"/>
        </w:rPr>
        <w:t xml:space="preserve">: evropsko jezikovno priznanje </w:t>
      </w:r>
    </w:p>
    <w:p w14:paraId="7D398583" w14:textId="77777777" w:rsidR="00137021" w:rsidRPr="001048FE" w:rsidRDefault="00137021" w:rsidP="00137021">
      <w:pPr>
        <w:pStyle w:val="Guide-NormalBulletpoints"/>
        <w:rPr>
          <w:sz w:val="22"/>
          <w:szCs w:val="22"/>
          <w:lang w:val="sl-SI"/>
        </w:rPr>
      </w:pPr>
      <w:r w:rsidRPr="001048FE">
        <w:rPr>
          <w:b/>
          <w:sz w:val="22"/>
          <w:szCs w:val="22"/>
          <w:lang w:val="sl-SI"/>
        </w:rPr>
        <w:t>EMJMD</w:t>
      </w:r>
      <w:r w:rsidRPr="001048FE">
        <w:rPr>
          <w:sz w:val="22"/>
          <w:szCs w:val="22"/>
          <w:lang w:val="sl-SI"/>
        </w:rPr>
        <w:t>: skupni magistrski program Erasmus Mundus</w:t>
      </w:r>
    </w:p>
    <w:p w14:paraId="7D398584" w14:textId="77777777" w:rsidR="00137021" w:rsidRPr="001048FE" w:rsidRDefault="00137021" w:rsidP="00137021">
      <w:pPr>
        <w:pStyle w:val="Guide-NormalBulletpoints"/>
        <w:rPr>
          <w:sz w:val="22"/>
          <w:szCs w:val="22"/>
          <w:lang w:val="sl-SI"/>
        </w:rPr>
      </w:pPr>
      <w:r w:rsidRPr="001048FE">
        <w:rPr>
          <w:b/>
          <w:sz w:val="22"/>
          <w:szCs w:val="22"/>
          <w:lang w:val="sl-SI"/>
        </w:rPr>
        <w:t>EOK</w:t>
      </w:r>
      <w:r w:rsidRPr="001048FE">
        <w:rPr>
          <w:sz w:val="22"/>
          <w:szCs w:val="22"/>
          <w:lang w:val="sl-SI"/>
        </w:rPr>
        <w:t>: evropsko ogrodje kvalifikacij</w:t>
      </w:r>
    </w:p>
    <w:p w14:paraId="7D398585" w14:textId="77777777" w:rsidR="00B1662F" w:rsidRPr="001048FE" w:rsidRDefault="00B1662F" w:rsidP="00B1662F">
      <w:pPr>
        <w:pStyle w:val="Guide-NormalBulletpoints"/>
        <w:rPr>
          <w:sz w:val="22"/>
          <w:szCs w:val="22"/>
          <w:lang w:val="sl-SI"/>
        </w:rPr>
      </w:pPr>
      <w:r w:rsidRPr="001048FE">
        <w:rPr>
          <w:b/>
          <w:sz w:val="22"/>
          <w:szCs w:val="22"/>
          <w:lang w:val="sl-SI"/>
        </w:rPr>
        <w:t>EP</w:t>
      </w:r>
      <w:r w:rsidRPr="001048FE">
        <w:rPr>
          <w:sz w:val="22"/>
          <w:szCs w:val="22"/>
          <w:lang w:val="sl-SI"/>
        </w:rPr>
        <w:t>: Evropski parlament</w:t>
      </w:r>
    </w:p>
    <w:p w14:paraId="7D398586" w14:textId="77777777" w:rsidR="00B1662F" w:rsidRPr="001048FE" w:rsidRDefault="00B1662F" w:rsidP="00B1662F">
      <w:pPr>
        <w:pStyle w:val="Guide-NormalBulletpoints"/>
        <w:rPr>
          <w:sz w:val="22"/>
          <w:szCs w:val="22"/>
          <w:lang w:val="sl-SI"/>
        </w:rPr>
      </w:pPr>
      <w:r w:rsidRPr="001048FE">
        <w:rPr>
          <w:b/>
          <w:sz w:val="22"/>
          <w:szCs w:val="22"/>
          <w:lang w:val="sl-SI"/>
        </w:rPr>
        <w:t>EPALE</w:t>
      </w:r>
      <w:r w:rsidRPr="001048FE">
        <w:rPr>
          <w:sz w:val="22"/>
          <w:szCs w:val="22"/>
          <w:lang w:val="sl-SI"/>
        </w:rPr>
        <w:t>: Elektronska platforma za izobraževanje odraslih v Evropi</w:t>
      </w:r>
    </w:p>
    <w:p w14:paraId="7D398587" w14:textId="77777777" w:rsidR="00B1662F" w:rsidRPr="001048FE" w:rsidRDefault="00B1662F" w:rsidP="00B1662F">
      <w:pPr>
        <w:pStyle w:val="Guide-NormalBulletpoints"/>
        <w:rPr>
          <w:sz w:val="22"/>
          <w:szCs w:val="22"/>
          <w:lang w:val="sl-SI"/>
        </w:rPr>
      </w:pPr>
      <w:r w:rsidRPr="001048FE">
        <w:rPr>
          <w:b/>
          <w:sz w:val="22"/>
          <w:szCs w:val="22"/>
          <w:lang w:val="sl-SI"/>
        </w:rPr>
        <w:t>EQAR</w:t>
      </w:r>
      <w:r w:rsidRPr="001048FE">
        <w:rPr>
          <w:sz w:val="22"/>
          <w:szCs w:val="22"/>
          <w:lang w:val="sl-SI"/>
        </w:rPr>
        <w:t>: evropski register za zagotavljanje kakovosti v visokem šolstvu</w:t>
      </w:r>
    </w:p>
    <w:p w14:paraId="7D398588" w14:textId="77777777" w:rsidR="00B1662F" w:rsidRPr="001048FE" w:rsidRDefault="00B1662F" w:rsidP="00B1662F">
      <w:pPr>
        <w:pStyle w:val="Guide-NormalBulletpoints"/>
        <w:rPr>
          <w:sz w:val="22"/>
          <w:szCs w:val="22"/>
          <w:lang w:val="sl-SI"/>
        </w:rPr>
      </w:pPr>
      <w:r w:rsidRPr="001048FE">
        <w:rPr>
          <w:b/>
          <w:sz w:val="22"/>
          <w:szCs w:val="22"/>
          <w:lang w:val="sl-SI"/>
        </w:rPr>
        <w:t>EQAVET</w:t>
      </w:r>
      <w:r w:rsidRPr="001048FE">
        <w:rPr>
          <w:sz w:val="22"/>
          <w:szCs w:val="22"/>
          <w:lang w:val="sl-SI"/>
        </w:rPr>
        <w:t>:</w:t>
      </w:r>
      <w:r w:rsidRPr="001048FE">
        <w:rPr>
          <w:spacing w:val="-14"/>
          <w:sz w:val="22"/>
          <w:szCs w:val="22"/>
          <w:lang w:val="sl-SI"/>
        </w:rPr>
        <w:t xml:space="preserve"> </w:t>
      </w:r>
      <w:r w:rsidRPr="001048FE">
        <w:rPr>
          <w:sz w:val="22"/>
          <w:szCs w:val="22"/>
          <w:lang w:val="sl-SI"/>
        </w:rPr>
        <w:t>evropski</w:t>
      </w:r>
      <w:r w:rsidRPr="001048FE">
        <w:rPr>
          <w:spacing w:val="-14"/>
          <w:sz w:val="22"/>
          <w:szCs w:val="22"/>
          <w:lang w:val="sl-SI"/>
        </w:rPr>
        <w:t xml:space="preserve"> </w:t>
      </w:r>
      <w:r w:rsidRPr="001048FE">
        <w:rPr>
          <w:sz w:val="22"/>
          <w:szCs w:val="22"/>
          <w:lang w:val="sl-SI"/>
        </w:rPr>
        <w:t>referenčni</w:t>
      </w:r>
      <w:r w:rsidRPr="001048FE">
        <w:rPr>
          <w:spacing w:val="-14"/>
          <w:sz w:val="22"/>
          <w:szCs w:val="22"/>
          <w:lang w:val="sl-SI"/>
        </w:rPr>
        <w:t xml:space="preserve"> </w:t>
      </w:r>
      <w:r w:rsidRPr="001048FE">
        <w:rPr>
          <w:sz w:val="22"/>
          <w:szCs w:val="22"/>
          <w:lang w:val="sl-SI"/>
        </w:rPr>
        <w:t>okvir</w:t>
      </w:r>
      <w:r w:rsidRPr="001048FE">
        <w:rPr>
          <w:spacing w:val="-14"/>
          <w:sz w:val="22"/>
          <w:szCs w:val="22"/>
          <w:lang w:val="sl-SI"/>
        </w:rPr>
        <w:t xml:space="preserve"> </w:t>
      </w:r>
      <w:r w:rsidRPr="001048FE">
        <w:rPr>
          <w:sz w:val="22"/>
          <w:szCs w:val="22"/>
          <w:lang w:val="sl-SI"/>
        </w:rPr>
        <w:t>za</w:t>
      </w:r>
      <w:r w:rsidRPr="001048FE">
        <w:rPr>
          <w:spacing w:val="-14"/>
          <w:sz w:val="22"/>
          <w:szCs w:val="22"/>
          <w:lang w:val="sl-SI"/>
        </w:rPr>
        <w:t xml:space="preserve"> </w:t>
      </w:r>
      <w:r w:rsidRPr="001048FE">
        <w:rPr>
          <w:sz w:val="22"/>
          <w:szCs w:val="22"/>
          <w:lang w:val="sl-SI"/>
        </w:rPr>
        <w:t>zagotavljanje</w:t>
      </w:r>
      <w:r w:rsidRPr="001048FE">
        <w:rPr>
          <w:spacing w:val="-14"/>
          <w:sz w:val="22"/>
          <w:szCs w:val="22"/>
          <w:lang w:val="sl-SI"/>
        </w:rPr>
        <w:t xml:space="preserve"> </w:t>
      </w:r>
      <w:r w:rsidRPr="001048FE">
        <w:rPr>
          <w:sz w:val="22"/>
          <w:szCs w:val="22"/>
          <w:lang w:val="sl-SI"/>
        </w:rPr>
        <w:t>kakovosti</w:t>
      </w:r>
      <w:r w:rsidRPr="001048FE">
        <w:rPr>
          <w:spacing w:val="-14"/>
          <w:sz w:val="22"/>
          <w:szCs w:val="22"/>
          <w:lang w:val="sl-SI"/>
        </w:rPr>
        <w:t xml:space="preserve"> </w:t>
      </w:r>
      <w:r w:rsidRPr="001048FE">
        <w:rPr>
          <w:sz w:val="22"/>
          <w:szCs w:val="22"/>
          <w:lang w:val="sl-SI"/>
        </w:rPr>
        <w:t>poklicnega</w:t>
      </w:r>
      <w:r w:rsidRPr="001048FE">
        <w:rPr>
          <w:spacing w:val="-14"/>
          <w:sz w:val="22"/>
          <w:szCs w:val="22"/>
          <w:lang w:val="sl-SI"/>
        </w:rPr>
        <w:t xml:space="preserve"> </w:t>
      </w:r>
      <w:r w:rsidRPr="001048FE">
        <w:rPr>
          <w:sz w:val="22"/>
          <w:szCs w:val="22"/>
          <w:lang w:val="sl-SI"/>
        </w:rPr>
        <w:t>izobraževanja</w:t>
      </w:r>
      <w:r w:rsidRPr="001048FE">
        <w:rPr>
          <w:spacing w:val="-14"/>
          <w:sz w:val="22"/>
          <w:szCs w:val="22"/>
          <w:lang w:val="sl-SI"/>
        </w:rPr>
        <w:t xml:space="preserve"> </w:t>
      </w:r>
      <w:r w:rsidRPr="001048FE">
        <w:rPr>
          <w:sz w:val="22"/>
          <w:szCs w:val="22"/>
          <w:lang w:val="sl-SI"/>
        </w:rPr>
        <w:t>in usposabljanja</w:t>
      </w:r>
    </w:p>
    <w:p w14:paraId="7D398589" w14:textId="77777777" w:rsidR="00B1662F" w:rsidRPr="001048FE" w:rsidRDefault="00B1662F" w:rsidP="00B1662F">
      <w:pPr>
        <w:pStyle w:val="Guide-NormalBulletpoints"/>
        <w:rPr>
          <w:sz w:val="22"/>
          <w:szCs w:val="22"/>
          <w:lang w:val="sl-SI"/>
        </w:rPr>
      </w:pPr>
      <w:r w:rsidRPr="001048FE">
        <w:rPr>
          <w:b/>
          <w:sz w:val="22"/>
          <w:szCs w:val="22"/>
          <w:lang w:val="sl-SI"/>
        </w:rPr>
        <w:t>ESCO</w:t>
      </w:r>
      <w:r w:rsidRPr="001048FE">
        <w:rPr>
          <w:sz w:val="22"/>
          <w:szCs w:val="22"/>
          <w:lang w:val="sl-SI"/>
        </w:rPr>
        <w:t>: evropska klasifikacija spretnosti, kompetenc, kvalifikacij in poklicev</w:t>
      </w:r>
    </w:p>
    <w:p w14:paraId="7D39858A" w14:textId="77777777" w:rsidR="00B1662F" w:rsidRPr="001048FE" w:rsidRDefault="00B1662F" w:rsidP="00B1662F">
      <w:pPr>
        <w:pStyle w:val="Guide-NormalBulletpoints"/>
        <w:rPr>
          <w:sz w:val="22"/>
          <w:szCs w:val="22"/>
          <w:lang w:val="sl-SI"/>
        </w:rPr>
      </w:pPr>
      <w:r w:rsidRPr="001048FE">
        <w:rPr>
          <w:b/>
          <w:sz w:val="22"/>
          <w:szCs w:val="22"/>
          <w:lang w:val="sl-SI"/>
        </w:rPr>
        <w:t>EU</w:t>
      </w:r>
      <w:r w:rsidRPr="001048FE">
        <w:rPr>
          <w:sz w:val="22"/>
          <w:szCs w:val="22"/>
          <w:lang w:val="sl-SI"/>
        </w:rPr>
        <w:t>: Evropska unija</w:t>
      </w:r>
    </w:p>
    <w:p w14:paraId="7D39858B" w14:textId="77777777" w:rsidR="00B1662F" w:rsidRPr="001048FE" w:rsidRDefault="00B1662F" w:rsidP="00B1662F">
      <w:pPr>
        <w:pStyle w:val="Guide-NormalBulletpoints"/>
        <w:rPr>
          <w:sz w:val="22"/>
          <w:szCs w:val="22"/>
          <w:lang w:val="sl-SI"/>
        </w:rPr>
      </w:pPr>
      <w:r w:rsidRPr="001048FE">
        <w:rPr>
          <w:b/>
          <w:sz w:val="22"/>
          <w:szCs w:val="22"/>
          <w:lang w:val="sl-SI"/>
        </w:rPr>
        <w:t>FU</w:t>
      </w:r>
      <w:r w:rsidRPr="001048FE">
        <w:rPr>
          <w:sz w:val="22"/>
          <w:szCs w:val="22"/>
          <w:lang w:val="sl-SI"/>
        </w:rPr>
        <w:t>: finančna uredba</w:t>
      </w:r>
    </w:p>
    <w:p w14:paraId="7D39858C" w14:textId="77777777" w:rsidR="00137021" w:rsidRPr="001048FE" w:rsidRDefault="00137021" w:rsidP="00137021">
      <w:pPr>
        <w:pStyle w:val="Guide-NormalBulletpoints"/>
        <w:rPr>
          <w:sz w:val="22"/>
          <w:szCs w:val="22"/>
          <w:lang w:val="sl-SI"/>
        </w:rPr>
      </w:pPr>
      <w:r w:rsidRPr="001048FE">
        <w:rPr>
          <w:b/>
          <w:sz w:val="22"/>
          <w:szCs w:val="22"/>
          <w:lang w:val="sl-SI"/>
        </w:rPr>
        <w:t>GD EAC</w:t>
      </w:r>
      <w:r w:rsidRPr="001048FE">
        <w:rPr>
          <w:sz w:val="22"/>
          <w:szCs w:val="22"/>
          <w:lang w:val="sl-SI"/>
        </w:rPr>
        <w:t xml:space="preserve">: Generalni direktorat za izobraževanje, mladino, šport in kulturo </w:t>
      </w:r>
    </w:p>
    <w:p w14:paraId="7D39858D" w14:textId="77777777" w:rsidR="00B1662F" w:rsidRPr="001048FE" w:rsidRDefault="00B1662F" w:rsidP="00B1662F">
      <w:pPr>
        <w:pStyle w:val="Guide-NormalBulletpoints"/>
        <w:rPr>
          <w:sz w:val="22"/>
          <w:szCs w:val="22"/>
          <w:lang w:val="sl-SI"/>
        </w:rPr>
      </w:pPr>
      <w:r w:rsidRPr="001048FE">
        <w:rPr>
          <w:b/>
          <w:sz w:val="22"/>
          <w:szCs w:val="22"/>
          <w:lang w:val="sl-SI"/>
        </w:rPr>
        <w:t>HEI</w:t>
      </w:r>
      <w:r w:rsidRPr="001048FE">
        <w:rPr>
          <w:sz w:val="22"/>
          <w:szCs w:val="22"/>
          <w:lang w:val="sl-SI"/>
        </w:rPr>
        <w:t>: visokošolska institucija</w:t>
      </w:r>
    </w:p>
    <w:p w14:paraId="7D39858E" w14:textId="77777777" w:rsidR="00B1662F" w:rsidRPr="001048FE" w:rsidRDefault="00B1662F" w:rsidP="00B1662F">
      <w:pPr>
        <w:pStyle w:val="Guide-NormalBulletpoints"/>
        <w:rPr>
          <w:sz w:val="22"/>
          <w:szCs w:val="22"/>
          <w:lang w:val="sl-SI"/>
        </w:rPr>
      </w:pPr>
      <w:r w:rsidRPr="001048FE">
        <w:rPr>
          <w:b/>
          <w:sz w:val="22"/>
          <w:szCs w:val="22"/>
          <w:lang w:val="sl-SI"/>
        </w:rPr>
        <w:t>HERE</w:t>
      </w:r>
      <w:r w:rsidRPr="001048FE">
        <w:rPr>
          <w:sz w:val="22"/>
          <w:szCs w:val="22"/>
          <w:lang w:val="sl-SI"/>
        </w:rPr>
        <w:t>: strokovnjaki za reformo visokošolskega izobraževanja</w:t>
      </w:r>
    </w:p>
    <w:p w14:paraId="7D39858F" w14:textId="77777777" w:rsidR="00B1662F" w:rsidRPr="001048FE" w:rsidRDefault="00B1662F" w:rsidP="00B1662F">
      <w:pPr>
        <w:pStyle w:val="Guide-NormalBulletpoints"/>
        <w:rPr>
          <w:sz w:val="22"/>
          <w:szCs w:val="22"/>
          <w:lang w:val="sl-SI"/>
        </w:rPr>
      </w:pPr>
      <w:r w:rsidRPr="001048FE">
        <w:rPr>
          <w:b/>
          <w:sz w:val="22"/>
          <w:szCs w:val="22"/>
          <w:lang w:val="sl-SI"/>
        </w:rPr>
        <w:t>IKT</w:t>
      </w:r>
      <w:r w:rsidRPr="001048FE">
        <w:rPr>
          <w:sz w:val="22"/>
          <w:szCs w:val="22"/>
          <w:lang w:val="sl-SI"/>
        </w:rPr>
        <w:t>: Informacijske in komunikacijske tehnologije</w:t>
      </w:r>
    </w:p>
    <w:p w14:paraId="7D398590" w14:textId="77777777" w:rsidR="00B1662F" w:rsidRPr="001048FE" w:rsidRDefault="00B1662F" w:rsidP="00B1662F">
      <w:pPr>
        <w:pStyle w:val="Guide-NormalBulletpoints"/>
        <w:rPr>
          <w:sz w:val="22"/>
          <w:szCs w:val="22"/>
          <w:lang w:val="sl-SI"/>
        </w:rPr>
      </w:pPr>
      <w:r w:rsidRPr="001048FE">
        <w:rPr>
          <w:b/>
          <w:sz w:val="22"/>
          <w:szCs w:val="22"/>
          <w:lang w:val="sl-SI"/>
        </w:rPr>
        <w:t>ISP</w:t>
      </w:r>
      <w:r w:rsidRPr="001048FE">
        <w:rPr>
          <w:sz w:val="22"/>
          <w:szCs w:val="22"/>
          <w:lang w:val="sl-SI"/>
        </w:rPr>
        <w:t>: intenzivni študijski program</w:t>
      </w:r>
    </w:p>
    <w:p w14:paraId="7D398591" w14:textId="77777777" w:rsidR="00B1662F" w:rsidRPr="001048FE" w:rsidRDefault="00B1662F" w:rsidP="00B1662F">
      <w:pPr>
        <w:pStyle w:val="Guide-NormalBulletpoints"/>
        <w:rPr>
          <w:sz w:val="22"/>
          <w:szCs w:val="22"/>
          <w:lang w:val="sl-SI"/>
        </w:rPr>
      </w:pPr>
      <w:r w:rsidRPr="001048FE">
        <w:rPr>
          <w:b/>
          <w:sz w:val="22"/>
          <w:szCs w:val="22"/>
          <w:lang w:val="sl-SI"/>
        </w:rPr>
        <w:t>NA</w:t>
      </w:r>
      <w:r w:rsidRPr="001048FE">
        <w:rPr>
          <w:sz w:val="22"/>
          <w:szCs w:val="22"/>
          <w:lang w:val="sl-SI"/>
        </w:rPr>
        <w:t>: nacionalna agencija</w:t>
      </w:r>
    </w:p>
    <w:p w14:paraId="7D398592" w14:textId="77777777" w:rsidR="00B1662F" w:rsidRPr="001048FE" w:rsidRDefault="00B1662F" w:rsidP="00B1662F">
      <w:pPr>
        <w:pStyle w:val="Guide-NormalBulletpoints"/>
        <w:rPr>
          <w:sz w:val="22"/>
          <w:szCs w:val="22"/>
          <w:lang w:val="sl-SI"/>
        </w:rPr>
      </w:pPr>
      <w:r w:rsidRPr="001048FE">
        <w:rPr>
          <w:b/>
          <w:sz w:val="22"/>
          <w:szCs w:val="22"/>
          <w:lang w:val="sl-SI"/>
        </w:rPr>
        <w:t>NARIC</w:t>
      </w:r>
      <w:r w:rsidRPr="001048FE">
        <w:rPr>
          <w:sz w:val="22"/>
          <w:szCs w:val="22"/>
          <w:lang w:val="sl-SI"/>
        </w:rPr>
        <w:t>: nacionalni informacijski centri za priznavanje visokošolskih diplom</w:t>
      </w:r>
    </w:p>
    <w:p w14:paraId="7D398593" w14:textId="77777777" w:rsidR="00B1662F" w:rsidRPr="001048FE" w:rsidRDefault="00B1662F" w:rsidP="00B1662F">
      <w:pPr>
        <w:pStyle w:val="Guide-NormalBulletpoints"/>
        <w:rPr>
          <w:sz w:val="22"/>
          <w:szCs w:val="22"/>
          <w:lang w:val="sl-SI"/>
        </w:rPr>
      </w:pPr>
      <w:r w:rsidRPr="001048FE">
        <w:rPr>
          <w:b/>
          <w:sz w:val="22"/>
          <w:szCs w:val="22"/>
          <w:lang w:val="sl-SI"/>
        </w:rPr>
        <w:t>NEO</w:t>
      </w:r>
      <w:r w:rsidRPr="001048FE">
        <w:rPr>
          <w:sz w:val="22"/>
          <w:szCs w:val="22"/>
          <w:lang w:val="sl-SI"/>
        </w:rPr>
        <w:t>: nacionalni uradi Erasmus+</w:t>
      </w:r>
    </w:p>
    <w:p w14:paraId="7D398594" w14:textId="77777777" w:rsidR="00B1662F" w:rsidRPr="001048FE" w:rsidRDefault="00B1662F" w:rsidP="00B1662F">
      <w:pPr>
        <w:pStyle w:val="Guide-NormalBulletpoints"/>
        <w:rPr>
          <w:sz w:val="22"/>
          <w:szCs w:val="22"/>
          <w:lang w:val="sl-SI"/>
        </w:rPr>
      </w:pPr>
      <w:r w:rsidRPr="001048FE">
        <w:rPr>
          <w:b/>
          <w:sz w:val="22"/>
          <w:szCs w:val="22"/>
          <w:lang w:val="sl-SI"/>
        </w:rPr>
        <w:t>NQF</w:t>
      </w:r>
      <w:r w:rsidRPr="001048FE">
        <w:rPr>
          <w:sz w:val="22"/>
          <w:szCs w:val="22"/>
          <w:lang w:val="sl-SI"/>
        </w:rPr>
        <w:t>: nacionalno ogrodje kvalifikacij</w:t>
      </w:r>
    </w:p>
    <w:p w14:paraId="7D398595" w14:textId="77777777" w:rsidR="00B1662F" w:rsidRPr="001048FE" w:rsidRDefault="00B1662F" w:rsidP="00B1662F">
      <w:pPr>
        <w:pStyle w:val="Guide-NormalBulletpoints"/>
        <w:rPr>
          <w:sz w:val="22"/>
          <w:szCs w:val="22"/>
          <w:lang w:val="sl-SI"/>
        </w:rPr>
      </w:pPr>
      <w:r w:rsidRPr="001048FE">
        <w:rPr>
          <w:b/>
          <w:sz w:val="22"/>
          <w:szCs w:val="22"/>
          <w:lang w:val="sl-SI"/>
        </w:rPr>
        <w:t>OECD</w:t>
      </w:r>
      <w:r w:rsidRPr="001048FE">
        <w:rPr>
          <w:sz w:val="22"/>
          <w:szCs w:val="22"/>
          <w:lang w:val="sl-SI"/>
        </w:rPr>
        <w:t>: Organizacija za gospodarsko sodelovanje in razvoj</w:t>
      </w:r>
    </w:p>
    <w:p w14:paraId="7D398596" w14:textId="77777777" w:rsidR="00B1662F" w:rsidRPr="001048FE" w:rsidRDefault="00B1662F" w:rsidP="00B1662F">
      <w:pPr>
        <w:pStyle w:val="Guide-NormalBulletpoints"/>
        <w:rPr>
          <w:sz w:val="22"/>
          <w:szCs w:val="22"/>
          <w:lang w:val="sl-SI"/>
        </w:rPr>
      </w:pPr>
      <w:r w:rsidRPr="001048FE">
        <w:rPr>
          <w:b/>
          <w:sz w:val="22"/>
          <w:szCs w:val="22"/>
          <w:lang w:val="sl-SI"/>
        </w:rPr>
        <w:t>OER</w:t>
      </w:r>
      <w:r w:rsidRPr="001048FE">
        <w:rPr>
          <w:sz w:val="22"/>
          <w:szCs w:val="22"/>
          <w:lang w:val="sl-SI"/>
        </w:rPr>
        <w:t>: prosto dostopni učni viri</w:t>
      </w:r>
    </w:p>
    <w:p w14:paraId="7D398597" w14:textId="77777777" w:rsidR="00B1662F" w:rsidRPr="001048FE" w:rsidRDefault="00B1662F" w:rsidP="00B1662F">
      <w:pPr>
        <w:pStyle w:val="Guide-NormalBulletpoints"/>
        <w:rPr>
          <w:sz w:val="22"/>
          <w:szCs w:val="22"/>
          <w:lang w:val="sl-SI"/>
        </w:rPr>
      </w:pPr>
      <w:r w:rsidRPr="001048FE">
        <w:rPr>
          <w:b/>
          <w:sz w:val="22"/>
          <w:szCs w:val="22"/>
          <w:lang w:val="sl-SI"/>
        </w:rPr>
        <w:t>OMK</w:t>
      </w:r>
      <w:r w:rsidRPr="001048FE">
        <w:rPr>
          <w:sz w:val="22"/>
          <w:szCs w:val="22"/>
          <w:lang w:val="sl-SI"/>
        </w:rPr>
        <w:t xml:space="preserve">: odprta metoda koordinacije </w:t>
      </w:r>
    </w:p>
    <w:p w14:paraId="7D398598" w14:textId="77777777" w:rsidR="00B1662F" w:rsidRPr="001048FE" w:rsidRDefault="00B1662F" w:rsidP="00B1662F">
      <w:pPr>
        <w:pStyle w:val="Guide-NormalBulletpoints"/>
        <w:rPr>
          <w:sz w:val="22"/>
          <w:szCs w:val="22"/>
          <w:lang w:val="sl-SI"/>
        </w:rPr>
      </w:pPr>
      <w:r w:rsidRPr="001048FE">
        <w:rPr>
          <w:b/>
          <w:sz w:val="22"/>
          <w:szCs w:val="22"/>
          <w:lang w:val="sl-SI"/>
        </w:rPr>
        <w:t>PIC</w:t>
      </w:r>
      <w:r w:rsidRPr="001048FE">
        <w:rPr>
          <w:sz w:val="22"/>
          <w:szCs w:val="22"/>
          <w:lang w:val="sl-SI"/>
        </w:rPr>
        <w:t xml:space="preserve">: identifikacijska koda udeleženca </w:t>
      </w:r>
    </w:p>
    <w:p w14:paraId="7D398599" w14:textId="77777777" w:rsidR="00137021" w:rsidRPr="001048FE" w:rsidRDefault="00137021" w:rsidP="00137021">
      <w:pPr>
        <w:pStyle w:val="Guide-NormalBulletpoints"/>
        <w:rPr>
          <w:lang w:val="sl-SI"/>
        </w:rPr>
      </w:pPr>
      <w:r w:rsidRPr="001048FE">
        <w:rPr>
          <w:b/>
          <w:sz w:val="22"/>
          <w:szCs w:val="22"/>
          <w:lang w:val="sl-SI"/>
        </w:rPr>
        <w:t>PIU</w:t>
      </w:r>
      <w:r w:rsidRPr="001048FE">
        <w:rPr>
          <w:sz w:val="22"/>
          <w:szCs w:val="22"/>
          <w:lang w:val="sl-SI"/>
        </w:rPr>
        <w:t>: poklicno izobraževanje in usposabljanje</w:t>
      </w:r>
    </w:p>
    <w:p w14:paraId="7D39859A" w14:textId="77777777" w:rsidR="00B1662F" w:rsidRPr="001048FE" w:rsidRDefault="00B1662F" w:rsidP="00B1662F">
      <w:pPr>
        <w:pStyle w:val="Guide-NormalBulletpoints"/>
        <w:rPr>
          <w:sz w:val="22"/>
          <w:szCs w:val="22"/>
          <w:lang w:val="sl-SI"/>
        </w:rPr>
      </w:pPr>
      <w:r w:rsidRPr="001048FE">
        <w:rPr>
          <w:b/>
          <w:sz w:val="22"/>
          <w:szCs w:val="22"/>
          <w:lang w:val="sl-SI"/>
        </w:rPr>
        <w:t>URF</w:t>
      </w:r>
      <w:r w:rsidRPr="001048FE">
        <w:rPr>
          <w:sz w:val="22"/>
          <w:szCs w:val="22"/>
          <w:lang w:val="sl-SI"/>
        </w:rPr>
        <w:t>: enotni sistem za registracijo</w:t>
      </w:r>
    </w:p>
    <w:p w14:paraId="7D39859B" w14:textId="77777777" w:rsidR="00F47AA3" w:rsidRPr="001048FE" w:rsidRDefault="00F47AA3" w:rsidP="006F6C8B">
      <w:pPr>
        <w:pStyle w:val="GUIDE-NORMAL"/>
        <w:rPr>
          <w:lang w:val="sl-SI"/>
        </w:rPr>
      </w:pPr>
      <w:bookmarkStart w:id="10" w:name="_bookmark2"/>
      <w:bookmarkEnd w:id="10"/>
      <w:r w:rsidRPr="001048FE">
        <w:rPr>
          <w:lang w:val="sl-SI"/>
        </w:rPr>
        <w:br w:type="page"/>
      </w:r>
      <w:bookmarkStart w:id="11" w:name="_GoBack"/>
      <w:bookmarkEnd w:id="11"/>
    </w:p>
    <w:p w14:paraId="7D39859C" w14:textId="77777777" w:rsidR="00B1662F" w:rsidRPr="001048FE" w:rsidRDefault="00B1662F" w:rsidP="004B71A1">
      <w:pPr>
        <w:pStyle w:val="Guide-Heading1"/>
        <w:ind w:left="720"/>
        <w:rPr>
          <w:lang w:val="sl-SI"/>
        </w:rPr>
      </w:pPr>
      <w:bookmarkStart w:id="12" w:name="_Toc527400885"/>
      <w:bookmarkStart w:id="13" w:name="_Toc527401071"/>
      <w:r w:rsidRPr="001048FE">
        <w:rPr>
          <w:lang w:val="sl-SI"/>
        </w:rPr>
        <w:t>Uvod</w:t>
      </w:r>
      <w:bookmarkEnd w:id="12"/>
      <w:bookmarkEnd w:id="13"/>
    </w:p>
    <w:p w14:paraId="7D39859D" w14:textId="77777777" w:rsidR="00B1662F" w:rsidRPr="001048FE" w:rsidRDefault="00B1662F" w:rsidP="00B1662F">
      <w:pPr>
        <w:pStyle w:val="GUIDE-NORMAL"/>
        <w:rPr>
          <w:lang w:val="sl-SI"/>
        </w:rPr>
      </w:pPr>
      <w:r w:rsidRPr="001048FE">
        <w:rPr>
          <w:lang w:val="sl-SI"/>
        </w:rPr>
        <w:t>Ta vodnik za prijavitelje je za vse, ki želijo temeljito spoznati program Erasmus+. Ta dokument je namenjen predvsem tistim, ki želijo postati:</w:t>
      </w:r>
    </w:p>
    <w:p w14:paraId="7D39859E" w14:textId="77777777" w:rsidR="00B1662F" w:rsidRPr="001048FE" w:rsidRDefault="00B1662F" w:rsidP="00B1662F">
      <w:pPr>
        <w:pStyle w:val="Guide-NormalBulletpoints"/>
        <w:rPr>
          <w:lang w:val="sl-SI"/>
        </w:rPr>
      </w:pPr>
      <w:r w:rsidRPr="001048FE">
        <w:rPr>
          <w:lang w:val="sl-SI"/>
        </w:rPr>
        <w:t>sodelujoče organizacije: to so organizacije, institucije in organi, ki organizirajo aktivnosti, podprte s Programom;</w:t>
      </w:r>
    </w:p>
    <w:p w14:paraId="7D39859F" w14:textId="77777777" w:rsidR="00B1662F" w:rsidRPr="001048FE" w:rsidRDefault="00B1662F" w:rsidP="00B1662F">
      <w:pPr>
        <w:pStyle w:val="Guide-NormalBulletpoints"/>
        <w:rPr>
          <w:lang w:val="sl-SI"/>
        </w:rPr>
      </w:pPr>
      <w:r w:rsidRPr="001048FE">
        <w:rPr>
          <w:lang w:val="sl-SI"/>
        </w:rPr>
        <w:t>udeleženci: to so posamezniki (študenti, praktikanti, vajenci, dijaki, učeči se odrasli, mladi, prostovoljci ali profesorji, učitelji, vodje usposabljanj, mladinski delavci, strokovnjaki na področju izobraževanja, usposabljanja, mladine in športa itd.), ki so vključeni v aktivnosti sodelujočih organizacij.</w:t>
      </w:r>
    </w:p>
    <w:p w14:paraId="7D3985A0" w14:textId="77777777" w:rsidR="00B1662F" w:rsidRPr="001048FE" w:rsidRDefault="00B1662F" w:rsidP="00B1662F">
      <w:pPr>
        <w:pStyle w:val="GUIDE-NORMAL"/>
        <w:rPr>
          <w:lang w:val="sl-SI"/>
        </w:rPr>
      </w:pPr>
      <w:r w:rsidRPr="001048FE">
        <w:rPr>
          <w:lang w:val="sl-SI"/>
        </w:rPr>
        <w:t>Vsako leto organizacije po vsej Evropi oddajo več tisoč predlogov projektov, da bi prejele finančno podporo</w:t>
      </w:r>
      <w:r w:rsidRPr="001048FE">
        <w:rPr>
          <w:spacing w:val="-16"/>
          <w:lang w:val="sl-SI"/>
        </w:rPr>
        <w:t xml:space="preserve"> </w:t>
      </w:r>
      <w:r w:rsidRPr="001048FE">
        <w:rPr>
          <w:lang w:val="sl-SI"/>
        </w:rPr>
        <w:t>v</w:t>
      </w:r>
      <w:r w:rsidRPr="001048FE">
        <w:rPr>
          <w:spacing w:val="-16"/>
          <w:lang w:val="sl-SI"/>
        </w:rPr>
        <w:t xml:space="preserve"> </w:t>
      </w:r>
      <w:r w:rsidRPr="001048FE">
        <w:rPr>
          <w:lang w:val="sl-SI"/>
        </w:rPr>
        <w:t>okviru</w:t>
      </w:r>
      <w:r w:rsidRPr="001048FE">
        <w:rPr>
          <w:spacing w:val="-15"/>
          <w:lang w:val="sl-SI"/>
        </w:rPr>
        <w:t xml:space="preserve"> </w:t>
      </w:r>
      <w:r w:rsidRPr="001048FE">
        <w:rPr>
          <w:lang w:val="sl-SI"/>
        </w:rPr>
        <w:t>programa</w:t>
      </w:r>
      <w:r w:rsidRPr="001048FE">
        <w:rPr>
          <w:spacing w:val="-16"/>
          <w:lang w:val="sl-SI"/>
        </w:rPr>
        <w:t xml:space="preserve"> </w:t>
      </w:r>
      <w:r w:rsidRPr="001048FE">
        <w:rPr>
          <w:lang w:val="sl-SI"/>
        </w:rPr>
        <w:t>Erasmus+.</w:t>
      </w:r>
      <w:r w:rsidRPr="001048FE">
        <w:rPr>
          <w:spacing w:val="-16"/>
          <w:lang w:val="sl-SI"/>
        </w:rPr>
        <w:t xml:space="preserve"> </w:t>
      </w:r>
      <w:r w:rsidRPr="001048FE">
        <w:rPr>
          <w:lang w:val="sl-SI"/>
        </w:rPr>
        <w:t>Zato</w:t>
      </w:r>
      <w:r w:rsidRPr="001048FE">
        <w:rPr>
          <w:spacing w:val="-16"/>
          <w:lang w:val="sl-SI"/>
        </w:rPr>
        <w:t xml:space="preserve"> </w:t>
      </w:r>
      <w:r w:rsidRPr="001048FE">
        <w:rPr>
          <w:lang w:val="sl-SI"/>
        </w:rPr>
        <w:t>je</w:t>
      </w:r>
      <w:r w:rsidRPr="001048FE">
        <w:rPr>
          <w:spacing w:val="-16"/>
          <w:lang w:val="sl-SI"/>
        </w:rPr>
        <w:t xml:space="preserve"> </w:t>
      </w:r>
      <w:r w:rsidRPr="001048FE">
        <w:rPr>
          <w:lang w:val="sl-SI"/>
        </w:rPr>
        <w:t>Komisija</w:t>
      </w:r>
      <w:r w:rsidRPr="001048FE">
        <w:rPr>
          <w:spacing w:val="-16"/>
          <w:lang w:val="sl-SI"/>
        </w:rPr>
        <w:t xml:space="preserve"> </w:t>
      </w:r>
      <w:r w:rsidRPr="001048FE">
        <w:rPr>
          <w:lang w:val="sl-SI"/>
        </w:rPr>
        <w:t>vzpostavila</w:t>
      </w:r>
      <w:r w:rsidRPr="001048FE">
        <w:rPr>
          <w:spacing w:val="-16"/>
          <w:lang w:val="sl-SI"/>
        </w:rPr>
        <w:t xml:space="preserve"> </w:t>
      </w:r>
      <w:r w:rsidRPr="001048FE">
        <w:rPr>
          <w:lang w:val="sl-SI"/>
        </w:rPr>
        <w:t>pregleden</w:t>
      </w:r>
      <w:r w:rsidRPr="001048FE">
        <w:rPr>
          <w:spacing w:val="-16"/>
          <w:lang w:val="sl-SI"/>
        </w:rPr>
        <w:t xml:space="preserve"> </w:t>
      </w:r>
      <w:r w:rsidRPr="001048FE">
        <w:rPr>
          <w:lang w:val="sl-SI"/>
        </w:rPr>
        <w:t>postopek</w:t>
      </w:r>
      <w:r w:rsidRPr="001048FE">
        <w:rPr>
          <w:spacing w:val="-16"/>
          <w:lang w:val="sl-SI"/>
        </w:rPr>
        <w:t xml:space="preserve"> </w:t>
      </w:r>
      <w:r w:rsidRPr="001048FE">
        <w:rPr>
          <w:lang w:val="sl-SI"/>
        </w:rPr>
        <w:t>ocenjevanja, da bi zagotovila dotacije za najboljše</w:t>
      </w:r>
      <w:r w:rsidRPr="001048FE">
        <w:rPr>
          <w:spacing w:val="-16"/>
          <w:lang w:val="sl-SI"/>
        </w:rPr>
        <w:t xml:space="preserve"> </w:t>
      </w:r>
      <w:r w:rsidRPr="001048FE">
        <w:rPr>
          <w:lang w:val="sl-SI"/>
        </w:rPr>
        <w:t>projekte:</w:t>
      </w:r>
    </w:p>
    <w:p w14:paraId="7D3985A1" w14:textId="77777777" w:rsidR="00B1662F" w:rsidRPr="001048FE" w:rsidRDefault="00B1662F" w:rsidP="00B1662F">
      <w:pPr>
        <w:pStyle w:val="Guide-NormalBulletpoints"/>
        <w:rPr>
          <w:lang w:val="sl-SI"/>
        </w:rPr>
      </w:pPr>
      <w:r w:rsidRPr="001048FE">
        <w:rPr>
          <w:lang w:val="sl-SI"/>
        </w:rPr>
        <w:t>za</w:t>
      </w:r>
      <w:r w:rsidRPr="001048FE">
        <w:rPr>
          <w:spacing w:val="-11"/>
          <w:lang w:val="sl-SI"/>
        </w:rPr>
        <w:t xml:space="preserve"> </w:t>
      </w:r>
      <w:r w:rsidRPr="001048FE">
        <w:rPr>
          <w:lang w:val="sl-SI"/>
        </w:rPr>
        <w:t>večino</w:t>
      </w:r>
      <w:r w:rsidRPr="001048FE">
        <w:rPr>
          <w:spacing w:val="-11"/>
          <w:lang w:val="sl-SI"/>
        </w:rPr>
        <w:t xml:space="preserve"> </w:t>
      </w:r>
      <w:r w:rsidRPr="001048FE">
        <w:rPr>
          <w:lang w:val="sl-SI"/>
        </w:rPr>
        <w:t>ukrepov</w:t>
      </w:r>
      <w:r w:rsidRPr="001048FE">
        <w:rPr>
          <w:spacing w:val="-11"/>
          <w:lang w:val="sl-SI"/>
        </w:rPr>
        <w:t xml:space="preserve"> </w:t>
      </w:r>
      <w:r w:rsidRPr="001048FE">
        <w:rPr>
          <w:lang w:val="sl-SI"/>
        </w:rPr>
        <w:t>so</w:t>
      </w:r>
      <w:r w:rsidRPr="001048FE">
        <w:rPr>
          <w:spacing w:val="-11"/>
          <w:lang w:val="sl-SI"/>
        </w:rPr>
        <w:t xml:space="preserve"> </w:t>
      </w:r>
      <w:r w:rsidRPr="001048FE">
        <w:rPr>
          <w:lang w:val="sl-SI"/>
        </w:rPr>
        <w:t>vsa</w:t>
      </w:r>
      <w:r w:rsidRPr="001048FE">
        <w:rPr>
          <w:spacing w:val="-11"/>
          <w:lang w:val="sl-SI"/>
        </w:rPr>
        <w:t xml:space="preserve"> </w:t>
      </w:r>
      <w:r w:rsidRPr="001048FE">
        <w:rPr>
          <w:lang w:val="sl-SI"/>
        </w:rPr>
        <w:t>pravila</w:t>
      </w:r>
      <w:r w:rsidRPr="001048FE">
        <w:rPr>
          <w:spacing w:val="-11"/>
          <w:lang w:val="sl-SI"/>
        </w:rPr>
        <w:t xml:space="preserve"> </w:t>
      </w:r>
      <w:r w:rsidRPr="001048FE">
        <w:rPr>
          <w:lang w:val="sl-SI"/>
        </w:rPr>
        <w:t>in</w:t>
      </w:r>
      <w:r w:rsidRPr="001048FE">
        <w:rPr>
          <w:spacing w:val="-11"/>
          <w:lang w:val="sl-SI"/>
        </w:rPr>
        <w:t xml:space="preserve"> </w:t>
      </w:r>
      <w:r w:rsidRPr="001048FE">
        <w:rPr>
          <w:lang w:val="sl-SI"/>
        </w:rPr>
        <w:t>pogoji</w:t>
      </w:r>
      <w:r w:rsidRPr="001048FE">
        <w:rPr>
          <w:spacing w:val="-11"/>
          <w:lang w:val="sl-SI"/>
        </w:rPr>
        <w:t xml:space="preserve"> </w:t>
      </w:r>
      <w:r w:rsidRPr="001048FE">
        <w:rPr>
          <w:lang w:val="sl-SI"/>
        </w:rPr>
        <w:t>za</w:t>
      </w:r>
      <w:r w:rsidRPr="001048FE">
        <w:rPr>
          <w:spacing w:val="-11"/>
          <w:lang w:val="sl-SI"/>
        </w:rPr>
        <w:t xml:space="preserve"> </w:t>
      </w:r>
      <w:r w:rsidRPr="001048FE">
        <w:rPr>
          <w:lang w:val="sl-SI"/>
        </w:rPr>
        <w:t>prejetje</w:t>
      </w:r>
      <w:r w:rsidRPr="001048FE">
        <w:rPr>
          <w:spacing w:val="-11"/>
          <w:lang w:val="sl-SI"/>
        </w:rPr>
        <w:t xml:space="preserve"> </w:t>
      </w:r>
      <w:r w:rsidRPr="001048FE">
        <w:rPr>
          <w:lang w:val="sl-SI"/>
        </w:rPr>
        <w:t>dotacije</w:t>
      </w:r>
      <w:r w:rsidRPr="001048FE">
        <w:rPr>
          <w:spacing w:val="-11"/>
          <w:lang w:val="sl-SI"/>
        </w:rPr>
        <w:t xml:space="preserve"> </w:t>
      </w:r>
      <w:r w:rsidRPr="001048FE">
        <w:rPr>
          <w:lang w:val="sl-SI"/>
        </w:rPr>
        <w:t>Programa</w:t>
      </w:r>
      <w:r w:rsidRPr="001048FE">
        <w:rPr>
          <w:spacing w:val="-11"/>
          <w:lang w:val="sl-SI"/>
        </w:rPr>
        <w:t xml:space="preserve"> </w:t>
      </w:r>
      <w:r w:rsidRPr="001048FE">
        <w:rPr>
          <w:lang w:val="sl-SI"/>
        </w:rPr>
        <w:t>opredeljeni</w:t>
      </w:r>
      <w:r w:rsidRPr="001048FE">
        <w:rPr>
          <w:spacing w:val="-10"/>
          <w:lang w:val="sl-SI"/>
        </w:rPr>
        <w:t xml:space="preserve"> </w:t>
      </w:r>
      <w:r w:rsidRPr="001048FE">
        <w:rPr>
          <w:lang w:val="sl-SI"/>
        </w:rPr>
        <w:t>v</w:t>
      </w:r>
      <w:r w:rsidRPr="001048FE">
        <w:rPr>
          <w:spacing w:val="-11"/>
          <w:lang w:val="sl-SI"/>
        </w:rPr>
        <w:t xml:space="preserve"> </w:t>
      </w:r>
      <w:r w:rsidRPr="001048FE">
        <w:rPr>
          <w:lang w:val="sl-SI"/>
        </w:rPr>
        <w:t>tem vodniku za</w:t>
      </w:r>
      <w:r w:rsidRPr="001048FE">
        <w:rPr>
          <w:spacing w:val="-4"/>
          <w:lang w:val="sl-SI"/>
        </w:rPr>
        <w:t xml:space="preserve"> </w:t>
      </w:r>
      <w:r w:rsidRPr="001048FE">
        <w:rPr>
          <w:lang w:val="sl-SI"/>
        </w:rPr>
        <w:t>prijavitelje;</w:t>
      </w:r>
    </w:p>
    <w:p w14:paraId="7D3985A2" w14:textId="77777777" w:rsidR="00B1662F" w:rsidRPr="001048FE" w:rsidRDefault="00B1662F" w:rsidP="00B1662F">
      <w:pPr>
        <w:pStyle w:val="Guide-NormalBulletpoints"/>
        <w:rPr>
          <w:lang w:val="sl-SI"/>
        </w:rPr>
      </w:pPr>
      <w:r w:rsidRPr="001048FE">
        <w:rPr>
          <w:lang w:val="sl-SI"/>
        </w:rPr>
        <w:t>za</w:t>
      </w:r>
      <w:r w:rsidRPr="001048FE">
        <w:rPr>
          <w:spacing w:val="-6"/>
          <w:lang w:val="sl-SI"/>
        </w:rPr>
        <w:t xml:space="preserve"> </w:t>
      </w:r>
      <w:r w:rsidRPr="001048FE">
        <w:rPr>
          <w:lang w:val="sl-SI"/>
        </w:rPr>
        <w:t>nekatere</w:t>
      </w:r>
      <w:r w:rsidRPr="001048FE">
        <w:rPr>
          <w:spacing w:val="-6"/>
          <w:lang w:val="sl-SI"/>
        </w:rPr>
        <w:t xml:space="preserve"> </w:t>
      </w:r>
      <w:r w:rsidRPr="001048FE">
        <w:rPr>
          <w:lang w:val="sl-SI"/>
        </w:rPr>
        <w:t>druge</w:t>
      </w:r>
      <w:r w:rsidRPr="001048FE">
        <w:rPr>
          <w:spacing w:val="-6"/>
          <w:lang w:val="sl-SI"/>
        </w:rPr>
        <w:t xml:space="preserve"> </w:t>
      </w:r>
      <w:r w:rsidRPr="001048FE">
        <w:rPr>
          <w:lang w:val="sl-SI"/>
        </w:rPr>
        <w:t>ukrepe,</w:t>
      </w:r>
      <w:r w:rsidRPr="001048FE">
        <w:rPr>
          <w:spacing w:val="-6"/>
          <w:lang w:val="sl-SI"/>
        </w:rPr>
        <w:t xml:space="preserve"> </w:t>
      </w:r>
      <w:r w:rsidRPr="001048FE">
        <w:rPr>
          <w:lang w:val="sl-SI"/>
        </w:rPr>
        <w:t>ki</w:t>
      </w:r>
      <w:r w:rsidRPr="001048FE">
        <w:rPr>
          <w:spacing w:val="-6"/>
          <w:lang w:val="sl-SI"/>
        </w:rPr>
        <w:t xml:space="preserve"> </w:t>
      </w:r>
      <w:r w:rsidRPr="001048FE">
        <w:rPr>
          <w:lang w:val="sl-SI"/>
        </w:rPr>
        <w:t>so</w:t>
      </w:r>
      <w:r w:rsidRPr="001048FE">
        <w:rPr>
          <w:spacing w:val="-6"/>
          <w:lang w:val="sl-SI"/>
        </w:rPr>
        <w:t xml:space="preserve"> </w:t>
      </w:r>
      <w:r w:rsidRPr="001048FE">
        <w:rPr>
          <w:lang w:val="sl-SI"/>
        </w:rPr>
        <w:t>v</w:t>
      </w:r>
      <w:r w:rsidRPr="001048FE">
        <w:rPr>
          <w:spacing w:val="-6"/>
          <w:lang w:val="sl-SI"/>
        </w:rPr>
        <w:t xml:space="preserve"> </w:t>
      </w:r>
      <w:r w:rsidRPr="001048FE">
        <w:rPr>
          <w:lang w:val="sl-SI"/>
        </w:rPr>
        <w:t>tem</w:t>
      </w:r>
      <w:r w:rsidRPr="001048FE">
        <w:rPr>
          <w:spacing w:val="-6"/>
          <w:lang w:val="sl-SI"/>
        </w:rPr>
        <w:t xml:space="preserve"> </w:t>
      </w:r>
      <w:r w:rsidRPr="001048FE">
        <w:rPr>
          <w:lang w:val="sl-SI"/>
        </w:rPr>
        <w:t>vodniku</w:t>
      </w:r>
      <w:r w:rsidRPr="001048FE">
        <w:rPr>
          <w:spacing w:val="-6"/>
          <w:lang w:val="sl-SI"/>
        </w:rPr>
        <w:t xml:space="preserve"> </w:t>
      </w:r>
      <w:r w:rsidRPr="001048FE">
        <w:rPr>
          <w:lang w:val="sl-SI"/>
        </w:rPr>
        <w:t>za</w:t>
      </w:r>
      <w:r w:rsidRPr="001048FE">
        <w:rPr>
          <w:spacing w:val="-6"/>
          <w:lang w:val="sl-SI"/>
        </w:rPr>
        <w:t xml:space="preserve"> </w:t>
      </w:r>
      <w:r w:rsidRPr="001048FE">
        <w:rPr>
          <w:lang w:val="sl-SI"/>
        </w:rPr>
        <w:t>prijavitelje</w:t>
      </w:r>
      <w:r w:rsidRPr="001048FE">
        <w:rPr>
          <w:spacing w:val="-6"/>
          <w:lang w:val="sl-SI"/>
        </w:rPr>
        <w:t xml:space="preserve"> </w:t>
      </w:r>
      <w:r w:rsidRPr="001048FE">
        <w:rPr>
          <w:lang w:val="sl-SI"/>
        </w:rPr>
        <w:t>zgolj</w:t>
      </w:r>
      <w:r w:rsidRPr="001048FE">
        <w:rPr>
          <w:spacing w:val="-6"/>
          <w:lang w:val="sl-SI"/>
        </w:rPr>
        <w:t xml:space="preserve"> </w:t>
      </w:r>
      <w:r w:rsidRPr="001048FE">
        <w:rPr>
          <w:lang w:val="sl-SI"/>
        </w:rPr>
        <w:t>omenjeni,</w:t>
      </w:r>
      <w:r w:rsidRPr="001048FE">
        <w:rPr>
          <w:spacing w:val="-5"/>
          <w:lang w:val="sl-SI"/>
        </w:rPr>
        <w:t xml:space="preserve"> </w:t>
      </w:r>
      <w:r w:rsidRPr="001048FE">
        <w:rPr>
          <w:lang w:val="sl-SI"/>
        </w:rPr>
        <w:t>so</w:t>
      </w:r>
      <w:r w:rsidRPr="001048FE">
        <w:rPr>
          <w:spacing w:val="-6"/>
          <w:lang w:val="sl-SI"/>
        </w:rPr>
        <w:t xml:space="preserve"> </w:t>
      </w:r>
      <w:r w:rsidRPr="001048FE">
        <w:rPr>
          <w:lang w:val="sl-SI"/>
        </w:rPr>
        <w:t>pravila</w:t>
      </w:r>
      <w:r w:rsidRPr="001048FE">
        <w:rPr>
          <w:spacing w:val="-6"/>
          <w:lang w:val="sl-SI"/>
        </w:rPr>
        <w:t xml:space="preserve"> </w:t>
      </w:r>
      <w:r w:rsidRPr="001048FE">
        <w:rPr>
          <w:lang w:val="sl-SI"/>
        </w:rPr>
        <w:t>in pogoji za prejetje dotacije opisani v posebnih razpisih za zbiranje predlogov, ki jih objavi Evropska komisija ali ki so objavljeni v njenem</w:t>
      </w:r>
      <w:r w:rsidRPr="001048FE">
        <w:rPr>
          <w:spacing w:val="-22"/>
          <w:lang w:val="sl-SI"/>
        </w:rPr>
        <w:t xml:space="preserve"> </w:t>
      </w:r>
      <w:r w:rsidRPr="001048FE">
        <w:rPr>
          <w:lang w:val="sl-SI"/>
        </w:rPr>
        <w:t>imenu.</w:t>
      </w:r>
    </w:p>
    <w:p w14:paraId="7D3985A3" w14:textId="77777777" w:rsidR="00BE364E" w:rsidRPr="001048FE" w:rsidRDefault="00B1662F" w:rsidP="00B1662F">
      <w:pPr>
        <w:pStyle w:val="GUIDE-NORMAL"/>
        <w:rPr>
          <w:lang w:val="sl-SI"/>
        </w:rPr>
      </w:pPr>
      <w:r w:rsidRPr="001048FE">
        <w:rPr>
          <w:lang w:val="sl-SI"/>
        </w:rPr>
        <w:t>Morebitne sodelujoče organizacije lahko pri načrtovanju vloge poiščejo predloge in informacije tudi v drugih referenčnih dokumentih; nekateri od teh so navedeni v Prilogi IV k temu vodniku.</w:t>
      </w:r>
    </w:p>
    <w:p w14:paraId="7D3985A4" w14:textId="77777777" w:rsidR="00B1662F" w:rsidRPr="001048FE" w:rsidRDefault="00B1662F" w:rsidP="0030441A">
      <w:pPr>
        <w:pStyle w:val="Guide-Heading2"/>
        <w:rPr>
          <w:lang w:val="sl-SI"/>
        </w:rPr>
      </w:pPr>
      <w:bookmarkStart w:id="14" w:name="Comment_lire_le_guide_du_programme"/>
      <w:bookmarkStart w:id="15" w:name="_bookmark3"/>
      <w:bookmarkStart w:id="16" w:name="_Toc527400886"/>
      <w:bookmarkStart w:id="17" w:name="_Toc527401072"/>
      <w:bookmarkEnd w:id="14"/>
      <w:bookmarkEnd w:id="15"/>
      <w:r w:rsidRPr="001048FE">
        <w:rPr>
          <w:lang w:val="sl-SI"/>
        </w:rPr>
        <w:t>Kako uporabljati vodnik za prijavitelje?</w:t>
      </w:r>
      <w:bookmarkEnd w:id="16"/>
      <w:bookmarkEnd w:id="17"/>
    </w:p>
    <w:p w14:paraId="7D3985A5" w14:textId="77777777" w:rsidR="00B1662F" w:rsidRPr="001048FE" w:rsidRDefault="00B1662F" w:rsidP="00B1662F">
      <w:pPr>
        <w:pStyle w:val="GUIDE-NORMAL"/>
        <w:rPr>
          <w:lang w:val="sl-SI"/>
        </w:rPr>
      </w:pPr>
      <w:r w:rsidRPr="001048FE">
        <w:rPr>
          <w:lang w:val="sl-SI"/>
        </w:rPr>
        <w:t>Vodnik za prijavitelje je sestavljen iz treh glavnih delov:</w:t>
      </w:r>
    </w:p>
    <w:p w14:paraId="7D3985A6" w14:textId="77777777" w:rsidR="00B1662F" w:rsidRPr="001048FE" w:rsidRDefault="00742195" w:rsidP="005115F2">
      <w:pPr>
        <w:pStyle w:val="Guide-NormalBulletpoints"/>
        <w:numPr>
          <w:ilvl w:val="0"/>
          <w:numId w:val="343"/>
        </w:numPr>
        <w:rPr>
          <w:lang w:val="sl-SI"/>
        </w:rPr>
      </w:pPr>
      <w:r w:rsidRPr="004E4C36">
        <w:rPr>
          <w:lang w:val="sl-SI"/>
        </w:rPr>
        <w:t>V del A je zajet splošen pregled Programa</w:t>
      </w:r>
      <w:r w:rsidRPr="001048FE">
        <w:rPr>
          <w:lang w:val="sl-SI"/>
        </w:rPr>
        <w:t xml:space="preserve">. </w:t>
      </w:r>
      <w:r w:rsidR="00B1662F" w:rsidRPr="001048FE">
        <w:rPr>
          <w:lang w:val="sl-SI"/>
        </w:rPr>
        <w:t>V njem so navedene informacije o ciljih, prednostne naloge in glavne značilnosti Programa, države Programa, izvedbene strukture in skupni proračun, ki je na voljo. To poglavje je namenjeno tistim, ki jih zanima splošen pregled področja uporabe in strukture Programa.</w:t>
      </w:r>
    </w:p>
    <w:p w14:paraId="7D3985A7" w14:textId="77777777" w:rsidR="00B1662F" w:rsidRPr="001048FE" w:rsidRDefault="00742195" w:rsidP="005115F2">
      <w:pPr>
        <w:pStyle w:val="Guide-NormalBulletpoints"/>
        <w:numPr>
          <w:ilvl w:val="0"/>
          <w:numId w:val="343"/>
        </w:numPr>
        <w:rPr>
          <w:lang w:val="sl-SI"/>
        </w:rPr>
      </w:pPr>
      <w:r w:rsidRPr="004E4C36">
        <w:rPr>
          <w:lang w:val="sl-SI"/>
        </w:rPr>
        <w:t xml:space="preserve">V delu B so navedene posebne informacije o ukrepih Programa, ki so </w:t>
      </w:r>
      <w:r w:rsidRPr="001048FE">
        <w:rPr>
          <w:lang w:val="sl-SI"/>
        </w:rPr>
        <w:t xml:space="preserve">zajeti v tem vodniku </w:t>
      </w:r>
      <w:r w:rsidR="00B1662F" w:rsidRPr="001048FE">
        <w:rPr>
          <w:lang w:val="sl-SI"/>
        </w:rPr>
        <w:t>To poglavje je namenjeno predvsem tistim, ki želijo izvedeti podrobnosti o vrstah projektov, ki jih podpira Program. Informacije iz tega poglavja so podrobneje pojasnjene v Prilogi I k temu vodniku.</w:t>
      </w:r>
    </w:p>
    <w:p w14:paraId="7D3985A8" w14:textId="77777777" w:rsidR="00B1662F" w:rsidRPr="001048FE" w:rsidRDefault="00742195" w:rsidP="005115F2">
      <w:pPr>
        <w:pStyle w:val="Guide-NormalBulletpoints"/>
        <w:numPr>
          <w:ilvl w:val="0"/>
          <w:numId w:val="343"/>
        </w:numPr>
        <w:rPr>
          <w:lang w:val="sl-SI"/>
        </w:rPr>
      </w:pPr>
      <w:r w:rsidRPr="004E4C36">
        <w:rPr>
          <w:lang w:val="sl-SI"/>
        </w:rPr>
        <w:t>V delu C so navedene podrobne informacije o postopkih za oddajo vloge za nepovratna sredstva in izbor projektov ter finančne in administrativne določbe</w:t>
      </w:r>
      <w:r w:rsidR="00B1662F" w:rsidRPr="00860232">
        <w:rPr>
          <w:rStyle w:val="Hyperlink"/>
          <w:color w:val="auto"/>
          <w:u w:val="none"/>
          <w:lang w:val="sl-SI"/>
        </w:rPr>
        <w:t>, povezane</w:t>
      </w:r>
      <w:r w:rsidR="00B1662F" w:rsidRPr="001048FE">
        <w:rPr>
          <w:lang w:val="sl-SI"/>
        </w:rPr>
        <w:t xml:space="preserve"> z dodelitvijo nepovratnih sredstev Erasmus+. To poglavje je namenjeno vsem tistim, ki nameravajo oddati predlog projekta v okviru programa Erasmus+.</w:t>
      </w:r>
    </w:p>
    <w:p w14:paraId="7D3985A9" w14:textId="77777777" w:rsidR="00B1662F" w:rsidRPr="001048FE" w:rsidRDefault="00B1662F" w:rsidP="00B1662F">
      <w:pPr>
        <w:pStyle w:val="GUIDE-NORMAL"/>
        <w:rPr>
          <w:lang w:val="sl-SI"/>
        </w:rPr>
      </w:pPr>
      <w:r w:rsidRPr="001048FE">
        <w:rPr>
          <w:lang w:val="sl-SI"/>
        </w:rPr>
        <w:t>V ta vodnik so vključene tudi naslednje priloge:</w:t>
      </w:r>
    </w:p>
    <w:p w14:paraId="7D3985AA" w14:textId="77777777" w:rsidR="00B1662F" w:rsidRPr="00860232" w:rsidRDefault="00A6094F" w:rsidP="005115F2">
      <w:pPr>
        <w:pStyle w:val="Guide-NormalBulletpoints"/>
        <w:numPr>
          <w:ilvl w:val="0"/>
          <w:numId w:val="344"/>
        </w:numPr>
        <w:rPr>
          <w:rStyle w:val="Hyperlink"/>
          <w:color w:val="auto"/>
          <w:u w:val="none"/>
          <w:lang w:val="sl-SI"/>
        </w:rPr>
      </w:pPr>
      <w:hyperlink r:id="rId15">
        <w:r w:rsidR="00B1662F" w:rsidRPr="00860232">
          <w:rPr>
            <w:rStyle w:val="Hyperlink"/>
            <w:color w:val="auto"/>
            <w:u w:val="none"/>
            <w:lang w:val="sl-SI"/>
          </w:rPr>
          <w:t>Priloga I: dodatna pravila in informacije o ukrepih, zajetih v ta vodnik za prijavitelje</w:t>
        </w:r>
      </w:hyperlink>
    </w:p>
    <w:p w14:paraId="7D3985AB" w14:textId="77777777" w:rsidR="00B1662F" w:rsidRPr="00860232" w:rsidRDefault="00A6094F" w:rsidP="005115F2">
      <w:pPr>
        <w:pStyle w:val="Guide-NormalBulletpoints"/>
        <w:numPr>
          <w:ilvl w:val="0"/>
          <w:numId w:val="344"/>
        </w:numPr>
        <w:rPr>
          <w:rStyle w:val="Hyperlink"/>
          <w:color w:val="auto"/>
          <w:u w:val="none"/>
          <w:lang w:val="sl-SI"/>
        </w:rPr>
      </w:pPr>
      <w:hyperlink r:id="rId16">
        <w:r w:rsidR="00B1662F" w:rsidRPr="00860232">
          <w:rPr>
            <w:rStyle w:val="Hyperlink"/>
            <w:color w:val="auto"/>
            <w:u w:val="none"/>
            <w:lang w:val="sl-SI"/>
          </w:rPr>
          <w:t>Priloga II: smernice o razširjanju za upravičence</w:t>
        </w:r>
      </w:hyperlink>
    </w:p>
    <w:p w14:paraId="7D3985AC" w14:textId="77777777" w:rsidR="00B1662F" w:rsidRPr="00860232" w:rsidRDefault="00A6094F" w:rsidP="005115F2">
      <w:pPr>
        <w:pStyle w:val="Guide-NormalBulletpoints"/>
        <w:numPr>
          <w:ilvl w:val="0"/>
          <w:numId w:val="344"/>
        </w:numPr>
        <w:rPr>
          <w:rStyle w:val="Hyperlink"/>
          <w:color w:val="auto"/>
          <w:u w:val="none"/>
          <w:lang w:val="sl-SI"/>
        </w:rPr>
      </w:pPr>
      <w:hyperlink r:id="rId17">
        <w:r w:rsidR="00B1662F" w:rsidRPr="00860232">
          <w:rPr>
            <w:rStyle w:val="Hyperlink"/>
            <w:color w:val="auto"/>
            <w:u w:val="none"/>
            <w:lang w:val="sl-SI"/>
          </w:rPr>
          <w:t>Priloga III: glosar ključnih pojmov, uporabljenih v tem vodniku</w:t>
        </w:r>
      </w:hyperlink>
      <w:r w:rsidR="00B1662F" w:rsidRPr="00860232">
        <w:rPr>
          <w:rStyle w:val="Hyperlink"/>
          <w:color w:val="auto"/>
          <w:u w:val="none"/>
          <w:lang w:val="sl-SI"/>
        </w:rPr>
        <w:t xml:space="preserve"> </w:t>
      </w:r>
    </w:p>
    <w:p w14:paraId="7D3985AD" w14:textId="77777777" w:rsidR="00C95A78" w:rsidRPr="00860232" w:rsidRDefault="00A6094F" w:rsidP="005115F2">
      <w:pPr>
        <w:pStyle w:val="Guide-NormalBulletpoints"/>
        <w:numPr>
          <w:ilvl w:val="0"/>
          <w:numId w:val="344"/>
        </w:numPr>
        <w:rPr>
          <w:rStyle w:val="Hyperlink"/>
          <w:color w:val="auto"/>
          <w:u w:val="none"/>
          <w:lang w:val="sl-SI"/>
        </w:rPr>
      </w:pPr>
      <w:hyperlink r:id="rId18">
        <w:r w:rsidR="00B1662F" w:rsidRPr="00860232">
          <w:rPr>
            <w:rStyle w:val="Hyperlink"/>
            <w:color w:val="auto"/>
            <w:u w:val="none"/>
            <w:lang w:val="sl-SI"/>
          </w:rPr>
          <w:t>Priloga IV: koristne reference in kontaktni podatki</w:t>
        </w:r>
      </w:hyperlink>
      <w:r w:rsidR="00BE364E" w:rsidRPr="00860232">
        <w:rPr>
          <w:rStyle w:val="Hyperlink"/>
          <w:color w:val="auto"/>
          <w:u w:val="none"/>
          <w:lang w:val="sl-SI"/>
        </w:rPr>
        <w:t>.</w:t>
      </w:r>
    </w:p>
    <w:p w14:paraId="7D3985AE" w14:textId="77777777" w:rsidR="006F6C8B" w:rsidRPr="001048FE" w:rsidRDefault="006F6C8B" w:rsidP="006F6C8B">
      <w:pPr>
        <w:pStyle w:val="Guide-Heading1"/>
        <w:rPr>
          <w:rStyle w:val="Hyperlink"/>
          <w:lang w:val="sl-SI"/>
        </w:rPr>
        <w:sectPr w:rsidR="006F6C8B" w:rsidRPr="001048FE" w:rsidSect="00BF5C72">
          <w:headerReference w:type="first" r:id="rId19"/>
          <w:endnotePr>
            <w:numFmt w:val="decimal"/>
          </w:endnotePr>
          <w:pgSz w:w="11910" w:h="16840" w:code="9"/>
          <w:pgMar w:top="1134" w:right="1418" w:bottom="1134" w:left="1418" w:header="283" w:footer="567" w:gutter="0"/>
          <w:pgNumType w:start="1"/>
          <w:cols w:space="720"/>
          <w:titlePg/>
          <w:docGrid w:linePitch="326"/>
        </w:sectPr>
      </w:pPr>
      <w:bookmarkStart w:id="18" w:name="Partie_A:_informations_générales_sur_le_"/>
      <w:bookmarkStart w:id="19" w:name="_bookmark4"/>
      <w:bookmarkEnd w:id="18"/>
      <w:bookmarkEnd w:id="19"/>
    </w:p>
    <w:p w14:paraId="7D3985AF" w14:textId="77777777" w:rsidR="00B1662F" w:rsidRPr="001048FE" w:rsidRDefault="00B1662F" w:rsidP="004B71A1">
      <w:pPr>
        <w:pStyle w:val="Guide-Heading1"/>
        <w:ind w:left="720"/>
        <w:rPr>
          <w:lang w:val="sl-SI"/>
        </w:rPr>
      </w:pPr>
      <w:bookmarkStart w:id="20" w:name="_Toc527400887"/>
      <w:bookmarkStart w:id="21" w:name="_Toc527401073"/>
      <w:r w:rsidRPr="001048FE">
        <w:rPr>
          <w:lang w:val="sl-SI"/>
        </w:rPr>
        <w:t xml:space="preserve">Del A: Splošne informacije </w:t>
      </w:r>
      <w:r w:rsidRPr="001048FE">
        <w:rPr>
          <w:lang w:val="sl-SI"/>
        </w:rPr>
        <w:br/>
        <w:t>o programu</w:t>
      </w:r>
      <w:bookmarkStart w:id="22" w:name="Del_A:_Splošne_informacije_o_programu_Er"/>
      <w:bookmarkEnd w:id="22"/>
      <w:r w:rsidRPr="001048FE">
        <w:rPr>
          <w:lang w:val="sl-SI"/>
        </w:rPr>
        <w:t xml:space="preserve"> Erasmus+</w:t>
      </w:r>
      <w:bookmarkEnd w:id="20"/>
      <w:bookmarkEnd w:id="21"/>
    </w:p>
    <w:p w14:paraId="7D3985B0" w14:textId="77777777" w:rsidR="00E03711" w:rsidRPr="001048FE" w:rsidRDefault="00B1662F" w:rsidP="007850C2">
      <w:pPr>
        <w:pStyle w:val="GUIDE-NORMAL"/>
        <w:rPr>
          <w:lang w:val="sl-SI"/>
        </w:rPr>
      </w:pPr>
      <w:r w:rsidRPr="001048FE">
        <w:rPr>
          <w:lang w:val="sl-SI"/>
        </w:rPr>
        <w:t>Erasmus+ je program EU na področju izobraževanja, usposabljanja, mladine in športa za obdobje 2014–2020</w:t>
      </w:r>
      <w:r w:rsidR="00E03711" w:rsidRPr="001048FE">
        <w:rPr>
          <w:rStyle w:val="FootnoteReference"/>
          <w:lang w:val="sl-SI"/>
        </w:rPr>
        <w:footnoteReference w:id="2"/>
      </w:r>
      <w:r w:rsidR="00E03711" w:rsidRPr="001048FE">
        <w:rPr>
          <w:lang w:val="sl-SI"/>
        </w:rPr>
        <w:t>. Področje izobraževanja, usposabljanja, mladine in športa lahko pomembno prispeva k reševanju ključnih socialno-ekonomskih izzivov, s katerimi se bo Evropa srečevala do konca desetletja, ter podpira izvajanje Programa politike EU za rast, delovna mesta, enakost in socialno vključevanje.</w:t>
      </w:r>
    </w:p>
    <w:p w14:paraId="7D3985B1" w14:textId="77777777" w:rsidR="00E03711" w:rsidRPr="001048FE" w:rsidRDefault="00E03711" w:rsidP="007850C2">
      <w:pPr>
        <w:pStyle w:val="GUIDE-NORMAL"/>
        <w:rPr>
          <w:lang w:val="sl-SI"/>
        </w:rPr>
      </w:pPr>
      <w:r w:rsidRPr="001048FE">
        <w:rPr>
          <w:lang w:val="sl-SI"/>
        </w:rPr>
        <w:t>Spopadanje z visoko brezposelnostjo – zlasti med mladimi – je ena izmed najnujnejših nalog evropskih vlad. Preveč mladih predčasno zapusti šolo ter se izpostavlja visokemu tveganju brezposelnosti</w:t>
      </w:r>
      <w:r w:rsidRPr="001048FE">
        <w:rPr>
          <w:spacing w:val="-8"/>
          <w:lang w:val="sl-SI"/>
        </w:rPr>
        <w:t xml:space="preserve"> </w:t>
      </w:r>
      <w:r w:rsidRPr="001048FE">
        <w:rPr>
          <w:lang w:val="sl-SI"/>
        </w:rPr>
        <w:t>in</w:t>
      </w:r>
      <w:r w:rsidRPr="001048FE">
        <w:rPr>
          <w:spacing w:val="-8"/>
          <w:lang w:val="sl-SI"/>
        </w:rPr>
        <w:t xml:space="preserve"> </w:t>
      </w:r>
      <w:r w:rsidRPr="001048FE">
        <w:rPr>
          <w:lang w:val="sl-SI"/>
        </w:rPr>
        <w:t>socialne</w:t>
      </w:r>
      <w:r w:rsidRPr="001048FE">
        <w:rPr>
          <w:spacing w:val="-8"/>
          <w:lang w:val="sl-SI"/>
        </w:rPr>
        <w:t xml:space="preserve"> </w:t>
      </w:r>
      <w:r w:rsidRPr="001048FE">
        <w:rPr>
          <w:lang w:val="sl-SI"/>
        </w:rPr>
        <w:t>izključenosti.</w:t>
      </w:r>
      <w:r w:rsidRPr="001048FE">
        <w:rPr>
          <w:spacing w:val="-8"/>
          <w:lang w:val="sl-SI"/>
        </w:rPr>
        <w:t xml:space="preserve"> </w:t>
      </w:r>
      <w:r w:rsidRPr="001048FE">
        <w:rPr>
          <w:lang w:val="sl-SI"/>
        </w:rPr>
        <w:t>Enako</w:t>
      </w:r>
      <w:r w:rsidRPr="001048FE">
        <w:rPr>
          <w:spacing w:val="-8"/>
          <w:lang w:val="sl-SI"/>
        </w:rPr>
        <w:t xml:space="preserve"> </w:t>
      </w:r>
      <w:r w:rsidRPr="001048FE">
        <w:rPr>
          <w:lang w:val="sl-SI"/>
        </w:rPr>
        <w:t>tveganje</w:t>
      </w:r>
      <w:r w:rsidRPr="001048FE">
        <w:rPr>
          <w:spacing w:val="-8"/>
          <w:lang w:val="sl-SI"/>
        </w:rPr>
        <w:t xml:space="preserve"> </w:t>
      </w:r>
      <w:r w:rsidRPr="001048FE">
        <w:rPr>
          <w:lang w:val="sl-SI"/>
        </w:rPr>
        <w:t>velja</w:t>
      </w:r>
      <w:r w:rsidRPr="001048FE">
        <w:rPr>
          <w:spacing w:val="-8"/>
          <w:lang w:val="sl-SI"/>
        </w:rPr>
        <w:t xml:space="preserve"> </w:t>
      </w:r>
      <w:r w:rsidRPr="001048FE">
        <w:rPr>
          <w:lang w:val="sl-SI"/>
        </w:rPr>
        <w:t>za</w:t>
      </w:r>
      <w:r w:rsidRPr="001048FE">
        <w:rPr>
          <w:spacing w:val="-8"/>
          <w:lang w:val="sl-SI"/>
        </w:rPr>
        <w:t xml:space="preserve"> </w:t>
      </w:r>
      <w:r w:rsidRPr="001048FE">
        <w:rPr>
          <w:lang w:val="sl-SI"/>
        </w:rPr>
        <w:t>veliko</w:t>
      </w:r>
      <w:r w:rsidRPr="001048FE">
        <w:rPr>
          <w:spacing w:val="-8"/>
          <w:lang w:val="sl-SI"/>
        </w:rPr>
        <w:t xml:space="preserve"> </w:t>
      </w:r>
      <w:r w:rsidRPr="001048FE">
        <w:rPr>
          <w:lang w:val="sl-SI"/>
        </w:rPr>
        <w:t>nizkokvalificiranih</w:t>
      </w:r>
      <w:r w:rsidRPr="001048FE">
        <w:rPr>
          <w:spacing w:val="-8"/>
          <w:lang w:val="sl-SI"/>
        </w:rPr>
        <w:t xml:space="preserve"> </w:t>
      </w:r>
      <w:r w:rsidRPr="001048FE">
        <w:rPr>
          <w:lang w:val="sl-SI"/>
        </w:rPr>
        <w:t>odraslih. Tehnologije spreminjajo način delovanja družbe, zato je treba zagotoviti, da se jih izkoristi na najboljši</w:t>
      </w:r>
      <w:r w:rsidRPr="001048FE">
        <w:rPr>
          <w:spacing w:val="-12"/>
          <w:lang w:val="sl-SI"/>
        </w:rPr>
        <w:t xml:space="preserve"> </w:t>
      </w:r>
      <w:r w:rsidRPr="001048FE">
        <w:rPr>
          <w:lang w:val="sl-SI"/>
        </w:rPr>
        <w:t>možni</w:t>
      </w:r>
      <w:r w:rsidRPr="001048FE">
        <w:rPr>
          <w:spacing w:val="-12"/>
          <w:lang w:val="sl-SI"/>
        </w:rPr>
        <w:t xml:space="preserve"> </w:t>
      </w:r>
      <w:r w:rsidRPr="001048FE">
        <w:rPr>
          <w:lang w:val="sl-SI"/>
        </w:rPr>
        <w:t>način.</w:t>
      </w:r>
      <w:r w:rsidRPr="001048FE">
        <w:rPr>
          <w:spacing w:val="-12"/>
          <w:lang w:val="sl-SI"/>
        </w:rPr>
        <w:t xml:space="preserve"> </w:t>
      </w:r>
      <w:r w:rsidRPr="001048FE">
        <w:rPr>
          <w:lang w:val="sl-SI"/>
        </w:rPr>
        <w:t>Evropsko</w:t>
      </w:r>
      <w:r w:rsidRPr="001048FE">
        <w:rPr>
          <w:spacing w:val="-12"/>
          <w:lang w:val="sl-SI"/>
        </w:rPr>
        <w:t xml:space="preserve"> </w:t>
      </w:r>
      <w:r w:rsidRPr="001048FE">
        <w:rPr>
          <w:lang w:val="sl-SI"/>
        </w:rPr>
        <w:t>gospodarstvo</w:t>
      </w:r>
      <w:r w:rsidRPr="001048FE">
        <w:rPr>
          <w:spacing w:val="-12"/>
          <w:lang w:val="sl-SI"/>
        </w:rPr>
        <w:t xml:space="preserve"> </w:t>
      </w:r>
      <w:r w:rsidRPr="001048FE">
        <w:rPr>
          <w:lang w:val="sl-SI"/>
        </w:rPr>
        <w:t>mora</w:t>
      </w:r>
      <w:r w:rsidRPr="001048FE">
        <w:rPr>
          <w:spacing w:val="-12"/>
          <w:lang w:val="sl-SI"/>
        </w:rPr>
        <w:t xml:space="preserve"> </w:t>
      </w:r>
      <w:r w:rsidRPr="001048FE">
        <w:rPr>
          <w:lang w:val="sl-SI"/>
        </w:rPr>
        <w:t>postati</w:t>
      </w:r>
      <w:r w:rsidRPr="001048FE">
        <w:rPr>
          <w:spacing w:val="-12"/>
          <w:lang w:val="sl-SI"/>
        </w:rPr>
        <w:t xml:space="preserve"> </w:t>
      </w:r>
      <w:r w:rsidRPr="001048FE">
        <w:rPr>
          <w:lang w:val="sl-SI"/>
        </w:rPr>
        <w:t>bolj</w:t>
      </w:r>
      <w:r w:rsidRPr="001048FE">
        <w:rPr>
          <w:spacing w:val="-12"/>
          <w:lang w:val="sl-SI"/>
        </w:rPr>
        <w:t xml:space="preserve"> </w:t>
      </w:r>
      <w:r w:rsidRPr="001048FE">
        <w:rPr>
          <w:lang w:val="sl-SI"/>
        </w:rPr>
        <w:t>konkurenčno</w:t>
      </w:r>
      <w:r w:rsidRPr="001048FE">
        <w:rPr>
          <w:spacing w:val="-12"/>
          <w:lang w:val="sl-SI"/>
        </w:rPr>
        <w:t xml:space="preserve"> </w:t>
      </w:r>
      <w:r w:rsidRPr="001048FE">
        <w:rPr>
          <w:lang w:val="sl-SI"/>
        </w:rPr>
        <w:t>s</w:t>
      </w:r>
      <w:r w:rsidRPr="001048FE">
        <w:rPr>
          <w:spacing w:val="-12"/>
          <w:lang w:val="sl-SI"/>
        </w:rPr>
        <w:t xml:space="preserve"> </w:t>
      </w:r>
      <w:r w:rsidRPr="001048FE">
        <w:rPr>
          <w:lang w:val="sl-SI"/>
        </w:rPr>
        <w:t>pomočjo</w:t>
      </w:r>
      <w:r w:rsidRPr="001048FE">
        <w:rPr>
          <w:spacing w:val="-12"/>
          <w:lang w:val="sl-SI"/>
        </w:rPr>
        <w:t xml:space="preserve"> </w:t>
      </w:r>
      <w:r w:rsidRPr="001048FE">
        <w:rPr>
          <w:lang w:val="sl-SI"/>
        </w:rPr>
        <w:t>talentov</w:t>
      </w:r>
      <w:r w:rsidRPr="001048FE">
        <w:rPr>
          <w:spacing w:val="-12"/>
          <w:lang w:val="sl-SI"/>
        </w:rPr>
        <w:t xml:space="preserve"> </w:t>
      </w:r>
      <w:r w:rsidRPr="001048FE">
        <w:rPr>
          <w:lang w:val="sl-SI"/>
        </w:rPr>
        <w:t>in inovacij.</w:t>
      </w:r>
    </w:p>
    <w:p w14:paraId="7D3985B2" w14:textId="77777777" w:rsidR="00E03711" w:rsidRPr="001048FE" w:rsidRDefault="00E03711" w:rsidP="007850C2">
      <w:pPr>
        <w:pStyle w:val="GUIDE-NORMAL"/>
        <w:rPr>
          <w:lang w:val="sl-SI"/>
        </w:rPr>
      </w:pPr>
      <w:r w:rsidRPr="001048FE">
        <w:rPr>
          <w:lang w:val="sl-SI"/>
        </w:rPr>
        <w:t>Evropa potrebuje bolj kohezivne in bolj vključujoče družbe, ki omogočajo aktivnejšo vlogo državljanov v demokratičnem življenju. Izobraževanje, usposabljanje, mladinsko delo in šport so ključnega pomena za spodbujanje skupnih evropskih vrednot, krepitev socialnega vključevanja, izboljšanje medkulturnega razumevanja in občutka pripadnosti skupnosti ter za preprečevanje nasilne radikalizacije. Erasmus+ je učinkovit instrument za spodbujanje vključevanja posameznikov iz okolij z manj možnostmi, vključno z novo prispelimi migranti.</w:t>
      </w:r>
    </w:p>
    <w:p w14:paraId="7D3985B3" w14:textId="77777777" w:rsidR="00E03711" w:rsidRPr="001048FE" w:rsidRDefault="00E03711" w:rsidP="007850C2">
      <w:pPr>
        <w:pStyle w:val="GUIDE-NORMAL"/>
        <w:rPr>
          <w:lang w:val="sl-SI"/>
        </w:rPr>
      </w:pPr>
      <w:r w:rsidRPr="001048FE">
        <w:rPr>
          <w:lang w:val="sl-SI"/>
        </w:rPr>
        <w:t>Še en izziv je povezan z razvojem socialnega kapitala med mladimi, opolnomočenjem mladih in njihovim aktivnim sodelovanjem v družbi v skladu z določbami Lizbonske pogodbe za „spodbujanje sodelovanja mladih v demokratičnem življenju v Evropi“. To vprašanje se lahko rešuje tudi z neformalnim učenjem, katerega cilj je okrepiti spretnosti in kompetence mladih ter njihovo aktivno državljanstvo. Tudi mladinskim organizacijam in mladinskim delavcem je treba zagotoviti priložnosti za usposabljanje in sodelovanje, da se razvijeta njihova strokovna usposobljenost in evropska razsežnost mladinskega</w:t>
      </w:r>
      <w:r w:rsidRPr="001048FE">
        <w:rPr>
          <w:spacing w:val="1"/>
          <w:lang w:val="sl-SI"/>
        </w:rPr>
        <w:t xml:space="preserve"> </w:t>
      </w:r>
      <w:r w:rsidRPr="001048FE">
        <w:rPr>
          <w:lang w:val="sl-SI"/>
        </w:rPr>
        <w:t>dela.</w:t>
      </w:r>
    </w:p>
    <w:p w14:paraId="7D3985B4" w14:textId="77777777" w:rsidR="00E03711" w:rsidRPr="001048FE" w:rsidRDefault="00E03711" w:rsidP="007850C2">
      <w:pPr>
        <w:pStyle w:val="GUIDE-NORMAL"/>
        <w:rPr>
          <w:lang w:val="sl-SI"/>
        </w:rPr>
      </w:pPr>
      <w:r w:rsidRPr="001048FE">
        <w:rPr>
          <w:lang w:val="sl-SI"/>
        </w:rPr>
        <w:t>Dobro delujoči sistemi izobraževanja in usposabljanja ter politike na področju mladih ljudem zagotovijo spretnosti, ki jih zahtevata trg dela in gospodarstvo, ter jim hkrati omogočijo aktivno vlogo v družbi in osebno izpolnitev. Reforme na področju izobraževanja, usposabljanja in mladine lahko pospešijo napredek pri doseganju teh ciljev na podlagi skupne vizije med oblikovalci politik in deležniki, trdnih dokazov ter sodelovanja med različnimi področji in ravnmi.</w:t>
      </w:r>
    </w:p>
    <w:p w14:paraId="7D3985B5" w14:textId="77777777" w:rsidR="00E03711" w:rsidRPr="001048FE" w:rsidRDefault="00E03711" w:rsidP="007850C2">
      <w:pPr>
        <w:pStyle w:val="GUIDE-NORMAL"/>
        <w:rPr>
          <w:lang w:val="sl-SI"/>
        </w:rPr>
      </w:pPr>
      <w:r w:rsidRPr="001048FE">
        <w:rPr>
          <w:lang w:val="sl-SI"/>
        </w:rPr>
        <w:t>Program Erasmus+ je oblikovan tako, da podpira prizadevanja držav Programa za učinkovito uporabo potenciala evropske nadarjenosti in družbenega bogastva z vidika vseživljenjskega učenja, s povezovanjem podpore formalnemu, neformalnemu in priložnostnemu učenju na področju izobraževanja, usposabljanja in mladine. Program tudi ustvarja več priložnosti za sodelovanje in mobilnost</w:t>
      </w:r>
      <w:r w:rsidRPr="001048FE">
        <w:rPr>
          <w:spacing w:val="15"/>
          <w:lang w:val="sl-SI"/>
        </w:rPr>
        <w:t xml:space="preserve"> </w:t>
      </w:r>
      <w:r w:rsidRPr="001048FE">
        <w:rPr>
          <w:lang w:val="sl-SI"/>
        </w:rPr>
        <w:t>s</w:t>
      </w:r>
      <w:r w:rsidRPr="001048FE">
        <w:rPr>
          <w:spacing w:val="15"/>
          <w:lang w:val="sl-SI"/>
        </w:rPr>
        <w:t xml:space="preserve"> </w:t>
      </w:r>
      <w:r w:rsidRPr="001048FE">
        <w:rPr>
          <w:lang w:val="sl-SI"/>
        </w:rPr>
        <w:t>partnerskimi</w:t>
      </w:r>
      <w:r w:rsidRPr="001048FE">
        <w:rPr>
          <w:spacing w:val="15"/>
          <w:lang w:val="sl-SI"/>
        </w:rPr>
        <w:t xml:space="preserve"> </w:t>
      </w:r>
      <w:r w:rsidRPr="001048FE">
        <w:rPr>
          <w:lang w:val="sl-SI"/>
        </w:rPr>
        <w:t>državami,</w:t>
      </w:r>
      <w:r w:rsidRPr="001048FE">
        <w:rPr>
          <w:spacing w:val="15"/>
          <w:lang w:val="sl-SI"/>
        </w:rPr>
        <w:t xml:space="preserve"> </w:t>
      </w:r>
      <w:r w:rsidRPr="001048FE">
        <w:rPr>
          <w:lang w:val="sl-SI"/>
        </w:rPr>
        <w:t>zlasti</w:t>
      </w:r>
      <w:r w:rsidRPr="001048FE">
        <w:rPr>
          <w:spacing w:val="15"/>
          <w:lang w:val="sl-SI"/>
        </w:rPr>
        <w:t xml:space="preserve"> </w:t>
      </w:r>
      <w:r w:rsidRPr="001048FE">
        <w:rPr>
          <w:lang w:val="sl-SI"/>
        </w:rPr>
        <w:t>na</w:t>
      </w:r>
      <w:r w:rsidRPr="001048FE">
        <w:rPr>
          <w:spacing w:val="15"/>
          <w:lang w:val="sl-SI"/>
        </w:rPr>
        <w:t xml:space="preserve"> </w:t>
      </w:r>
      <w:r w:rsidRPr="001048FE">
        <w:rPr>
          <w:lang w:val="sl-SI"/>
        </w:rPr>
        <w:t>področju</w:t>
      </w:r>
      <w:r w:rsidRPr="001048FE">
        <w:rPr>
          <w:spacing w:val="15"/>
          <w:lang w:val="sl-SI"/>
        </w:rPr>
        <w:t xml:space="preserve"> </w:t>
      </w:r>
      <w:r w:rsidRPr="001048FE">
        <w:rPr>
          <w:lang w:val="sl-SI"/>
        </w:rPr>
        <w:t>visokošolskega</w:t>
      </w:r>
      <w:r w:rsidRPr="001048FE">
        <w:rPr>
          <w:spacing w:val="15"/>
          <w:lang w:val="sl-SI"/>
        </w:rPr>
        <w:t xml:space="preserve"> </w:t>
      </w:r>
      <w:r w:rsidRPr="001048FE">
        <w:rPr>
          <w:lang w:val="sl-SI"/>
        </w:rPr>
        <w:t>izobraževanja</w:t>
      </w:r>
      <w:r w:rsidRPr="001048FE">
        <w:rPr>
          <w:spacing w:val="15"/>
          <w:lang w:val="sl-SI"/>
        </w:rPr>
        <w:t xml:space="preserve"> </w:t>
      </w:r>
      <w:r w:rsidRPr="001048FE">
        <w:rPr>
          <w:lang w:val="sl-SI"/>
        </w:rPr>
        <w:t>in</w:t>
      </w:r>
      <w:r w:rsidRPr="001048FE">
        <w:rPr>
          <w:spacing w:val="15"/>
          <w:lang w:val="sl-SI"/>
        </w:rPr>
        <w:t xml:space="preserve"> </w:t>
      </w:r>
      <w:r w:rsidRPr="001048FE">
        <w:rPr>
          <w:lang w:val="sl-SI"/>
        </w:rPr>
        <w:t>mladine.</w:t>
      </w:r>
    </w:p>
    <w:p w14:paraId="7D3985B6" w14:textId="77777777" w:rsidR="00E03711" w:rsidRPr="001048FE" w:rsidRDefault="00E03711" w:rsidP="007850C2">
      <w:pPr>
        <w:pStyle w:val="GUIDE-NORMAL"/>
        <w:rPr>
          <w:lang w:val="sl-SI"/>
        </w:rPr>
      </w:pPr>
      <w:r w:rsidRPr="001048FE">
        <w:rPr>
          <w:lang w:val="sl-SI"/>
        </w:rPr>
        <w:t>V skladu z enim od novih elementov, uvedenih z Lizbonsko pogodbo, program Erasmus+ podpira tudi aktivnosti, namenjene razvoju evropske razsežnosti v športu s spodbujanjem sodelovanja med organi, pristojnimi za šport. Program spodbuja ustvarjanje in razvoj evropskih omrežij ter s tem zagotavlja priložnosti za sodelovanje med deležniki ter izmenjavo in prenos znanja in strokovnega znanja</w:t>
      </w:r>
      <w:r w:rsidRPr="001048FE">
        <w:rPr>
          <w:spacing w:val="-18"/>
          <w:lang w:val="sl-SI"/>
        </w:rPr>
        <w:t xml:space="preserve"> </w:t>
      </w:r>
      <w:r w:rsidRPr="001048FE">
        <w:rPr>
          <w:lang w:val="sl-SI"/>
        </w:rPr>
        <w:t>na</w:t>
      </w:r>
      <w:r w:rsidRPr="001048FE">
        <w:rPr>
          <w:spacing w:val="-18"/>
          <w:lang w:val="sl-SI"/>
        </w:rPr>
        <w:t xml:space="preserve"> </w:t>
      </w:r>
      <w:r w:rsidRPr="001048FE">
        <w:rPr>
          <w:lang w:val="sl-SI"/>
        </w:rPr>
        <w:t>različnih</w:t>
      </w:r>
      <w:r w:rsidRPr="001048FE">
        <w:rPr>
          <w:spacing w:val="-18"/>
          <w:lang w:val="sl-SI"/>
        </w:rPr>
        <w:t xml:space="preserve"> </w:t>
      </w:r>
      <w:r w:rsidRPr="001048FE">
        <w:rPr>
          <w:lang w:val="sl-SI"/>
        </w:rPr>
        <w:t>področjih,</w:t>
      </w:r>
      <w:r w:rsidRPr="001048FE">
        <w:rPr>
          <w:spacing w:val="-18"/>
          <w:lang w:val="sl-SI"/>
        </w:rPr>
        <w:t xml:space="preserve"> </w:t>
      </w:r>
      <w:r w:rsidRPr="001048FE">
        <w:rPr>
          <w:lang w:val="sl-SI"/>
        </w:rPr>
        <w:t>povezanih</w:t>
      </w:r>
      <w:r w:rsidRPr="001048FE">
        <w:rPr>
          <w:spacing w:val="-18"/>
          <w:lang w:val="sl-SI"/>
        </w:rPr>
        <w:t xml:space="preserve"> </w:t>
      </w:r>
      <w:r w:rsidRPr="001048FE">
        <w:rPr>
          <w:lang w:val="sl-SI"/>
        </w:rPr>
        <w:t>s</w:t>
      </w:r>
      <w:r w:rsidRPr="001048FE">
        <w:rPr>
          <w:spacing w:val="-18"/>
          <w:lang w:val="sl-SI"/>
        </w:rPr>
        <w:t xml:space="preserve"> </w:t>
      </w:r>
      <w:r w:rsidRPr="001048FE">
        <w:rPr>
          <w:lang w:val="sl-SI"/>
        </w:rPr>
        <w:t>športom</w:t>
      </w:r>
      <w:r w:rsidRPr="001048FE">
        <w:rPr>
          <w:spacing w:val="-18"/>
          <w:lang w:val="sl-SI"/>
        </w:rPr>
        <w:t xml:space="preserve"> </w:t>
      </w:r>
      <w:r w:rsidRPr="001048FE">
        <w:rPr>
          <w:lang w:val="sl-SI"/>
        </w:rPr>
        <w:t>in</w:t>
      </w:r>
      <w:r w:rsidRPr="001048FE">
        <w:rPr>
          <w:spacing w:val="-18"/>
          <w:lang w:val="sl-SI"/>
        </w:rPr>
        <w:t xml:space="preserve"> </w:t>
      </w:r>
      <w:r w:rsidRPr="001048FE">
        <w:rPr>
          <w:lang w:val="sl-SI"/>
        </w:rPr>
        <w:t>telesno</w:t>
      </w:r>
      <w:r w:rsidRPr="001048FE">
        <w:rPr>
          <w:spacing w:val="-18"/>
          <w:lang w:val="sl-SI"/>
        </w:rPr>
        <w:t xml:space="preserve"> </w:t>
      </w:r>
      <w:r w:rsidRPr="001048FE">
        <w:rPr>
          <w:lang w:val="sl-SI"/>
        </w:rPr>
        <w:t>dejavnostjo.</w:t>
      </w:r>
      <w:r w:rsidRPr="001048FE">
        <w:rPr>
          <w:spacing w:val="-18"/>
          <w:lang w:val="sl-SI"/>
        </w:rPr>
        <w:t xml:space="preserve"> </w:t>
      </w:r>
      <w:r w:rsidRPr="001048FE">
        <w:rPr>
          <w:lang w:val="sl-SI"/>
        </w:rPr>
        <w:t>To</w:t>
      </w:r>
      <w:r w:rsidRPr="001048FE">
        <w:rPr>
          <w:spacing w:val="-18"/>
          <w:lang w:val="sl-SI"/>
        </w:rPr>
        <w:t xml:space="preserve"> </w:t>
      </w:r>
      <w:r w:rsidRPr="001048FE">
        <w:rPr>
          <w:lang w:val="sl-SI"/>
        </w:rPr>
        <w:t>okrepljeno</w:t>
      </w:r>
      <w:r w:rsidRPr="001048FE">
        <w:rPr>
          <w:spacing w:val="-17"/>
          <w:lang w:val="sl-SI"/>
        </w:rPr>
        <w:t xml:space="preserve"> </w:t>
      </w:r>
      <w:r w:rsidRPr="001048FE">
        <w:rPr>
          <w:lang w:val="sl-SI"/>
        </w:rPr>
        <w:t>sodelovanje bo</w:t>
      </w:r>
      <w:r w:rsidRPr="00237696">
        <w:rPr>
          <w:lang w:val="sl-SI"/>
        </w:rPr>
        <w:t>zlasti</w:t>
      </w:r>
      <w:r w:rsidRPr="00237696">
        <w:rPr>
          <w:spacing w:val="-15"/>
          <w:lang w:val="sl-SI"/>
        </w:rPr>
        <w:t xml:space="preserve"> </w:t>
      </w:r>
      <w:r w:rsidRPr="00237696">
        <w:rPr>
          <w:lang w:val="sl-SI"/>
        </w:rPr>
        <w:t>pozitivno</w:t>
      </w:r>
      <w:r w:rsidRPr="00237696">
        <w:rPr>
          <w:spacing w:val="-15"/>
          <w:lang w:val="sl-SI"/>
        </w:rPr>
        <w:t xml:space="preserve"> </w:t>
      </w:r>
      <w:r w:rsidRPr="00237696">
        <w:rPr>
          <w:lang w:val="sl-SI"/>
        </w:rPr>
        <w:t>vplivalo</w:t>
      </w:r>
      <w:r w:rsidRPr="00237696">
        <w:rPr>
          <w:spacing w:val="-15"/>
          <w:lang w:val="sl-SI"/>
        </w:rPr>
        <w:t xml:space="preserve"> </w:t>
      </w:r>
      <w:r w:rsidRPr="00237696">
        <w:rPr>
          <w:lang w:val="sl-SI"/>
        </w:rPr>
        <w:t>na</w:t>
      </w:r>
      <w:r w:rsidRPr="00237696">
        <w:rPr>
          <w:spacing w:val="-15"/>
          <w:lang w:val="sl-SI"/>
        </w:rPr>
        <w:t xml:space="preserve"> </w:t>
      </w:r>
      <w:r w:rsidRPr="00237696">
        <w:rPr>
          <w:lang w:val="sl-SI"/>
        </w:rPr>
        <w:t>razvoj</w:t>
      </w:r>
      <w:r w:rsidRPr="00237696">
        <w:rPr>
          <w:spacing w:val="-15"/>
          <w:lang w:val="sl-SI"/>
        </w:rPr>
        <w:t xml:space="preserve"> </w:t>
      </w:r>
      <w:r w:rsidRPr="00237696">
        <w:rPr>
          <w:lang w:val="sl-SI"/>
        </w:rPr>
        <w:t>potenciala</w:t>
      </w:r>
      <w:r w:rsidRPr="00237696">
        <w:rPr>
          <w:spacing w:val="-15"/>
          <w:lang w:val="sl-SI"/>
        </w:rPr>
        <w:t xml:space="preserve"> </w:t>
      </w:r>
      <w:r w:rsidRPr="00237696">
        <w:rPr>
          <w:lang w:val="sl-SI"/>
        </w:rPr>
        <w:t>evropskega</w:t>
      </w:r>
      <w:r w:rsidRPr="00237696">
        <w:rPr>
          <w:spacing w:val="-15"/>
          <w:lang w:val="sl-SI"/>
        </w:rPr>
        <w:t xml:space="preserve"> </w:t>
      </w:r>
      <w:r w:rsidRPr="00237696">
        <w:rPr>
          <w:lang w:val="sl-SI"/>
        </w:rPr>
        <w:t>človeškega</w:t>
      </w:r>
      <w:r w:rsidRPr="00237696">
        <w:rPr>
          <w:spacing w:val="-15"/>
          <w:lang w:val="sl-SI"/>
        </w:rPr>
        <w:t xml:space="preserve"> </w:t>
      </w:r>
      <w:r w:rsidRPr="00237696">
        <w:rPr>
          <w:lang w:val="sl-SI"/>
        </w:rPr>
        <w:t>kapitala,</w:t>
      </w:r>
      <w:r w:rsidRPr="00237696">
        <w:rPr>
          <w:spacing w:val="-15"/>
          <w:lang w:val="sl-SI"/>
        </w:rPr>
        <w:t xml:space="preserve"> </w:t>
      </w:r>
      <w:r w:rsidRPr="00237696">
        <w:rPr>
          <w:lang w:val="sl-SI"/>
        </w:rPr>
        <w:t>tako</w:t>
      </w:r>
      <w:r w:rsidRPr="00237696">
        <w:rPr>
          <w:spacing w:val="-15"/>
          <w:lang w:val="sl-SI"/>
        </w:rPr>
        <w:t xml:space="preserve"> </w:t>
      </w:r>
      <w:r w:rsidRPr="00237696">
        <w:rPr>
          <w:lang w:val="sl-SI"/>
        </w:rPr>
        <w:t>da</w:t>
      </w:r>
      <w:r w:rsidRPr="00237696">
        <w:rPr>
          <w:spacing w:val="-15"/>
          <w:lang w:val="sl-SI"/>
        </w:rPr>
        <w:t xml:space="preserve"> </w:t>
      </w:r>
      <w:r w:rsidRPr="00237696">
        <w:rPr>
          <w:lang w:val="sl-SI"/>
        </w:rPr>
        <w:t>bo pomagalo</w:t>
      </w:r>
      <w:r w:rsidRPr="00237696">
        <w:rPr>
          <w:spacing w:val="-9"/>
          <w:lang w:val="sl-SI"/>
        </w:rPr>
        <w:t xml:space="preserve"> </w:t>
      </w:r>
      <w:r w:rsidRPr="00237696">
        <w:rPr>
          <w:lang w:val="sl-SI"/>
        </w:rPr>
        <w:t>znižati</w:t>
      </w:r>
      <w:r w:rsidRPr="00237696">
        <w:rPr>
          <w:spacing w:val="-9"/>
          <w:lang w:val="sl-SI"/>
        </w:rPr>
        <w:t xml:space="preserve"> </w:t>
      </w:r>
      <w:r w:rsidRPr="00237696">
        <w:rPr>
          <w:lang w:val="sl-SI"/>
        </w:rPr>
        <w:t>družbene</w:t>
      </w:r>
      <w:r w:rsidRPr="00237696">
        <w:rPr>
          <w:spacing w:val="-9"/>
          <w:lang w:val="sl-SI"/>
        </w:rPr>
        <w:t xml:space="preserve"> </w:t>
      </w:r>
      <w:r w:rsidRPr="00237696">
        <w:rPr>
          <w:lang w:val="sl-SI"/>
        </w:rPr>
        <w:t>in</w:t>
      </w:r>
      <w:r w:rsidRPr="00237696">
        <w:rPr>
          <w:spacing w:val="-9"/>
          <w:lang w:val="sl-SI"/>
        </w:rPr>
        <w:t xml:space="preserve"> </w:t>
      </w:r>
      <w:r w:rsidRPr="00237696">
        <w:rPr>
          <w:lang w:val="sl-SI"/>
        </w:rPr>
        <w:t>gospodarske</w:t>
      </w:r>
      <w:r w:rsidRPr="00237696">
        <w:rPr>
          <w:spacing w:val="-9"/>
          <w:lang w:val="sl-SI"/>
        </w:rPr>
        <w:t xml:space="preserve"> </w:t>
      </w:r>
      <w:r w:rsidRPr="00237696">
        <w:rPr>
          <w:lang w:val="sl-SI"/>
        </w:rPr>
        <w:t>stroške</w:t>
      </w:r>
      <w:r w:rsidRPr="00237696">
        <w:rPr>
          <w:spacing w:val="-9"/>
          <w:lang w:val="sl-SI"/>
        </w:rPr>
        <w:t xml:space="preserve"> </w:t>
      </w:r>
      <w:r w:rsidRPr="00237696">
        <w:rPr>
          <w:lang w:val="sl-SI"/>
        </w:rPr>
        <w:t>zaradi</w:t>
      </w:r>
      <w:r w:rsidRPr="00237696">
        <w:rPr>
          <w:spacing w:val="-9"/>
          <w:lang w:val="sl-SI"/>
        </w:rPr>
        <w:t xml:space="preserve"> </w:t>
      </w:r>
      <w:r w:rsidRPr="00237696">
        <w:rPr>
          <w:lang w:val="sl-SI"/>
        </w:rPr>
        <w:t>telesne</w:t>
      </w:r>
      <w:r w:rsidRPr="00237696">
        <w:rPr>
          <w:spacing w:val="-9"/>
          <w:lang w:val="sl-SI"/>
        </w:rPr>
        <w:t xml:space="preserve"> </w:t>
      </w:r>
      <w:r w:rsidRPr="00237696">
        <w:rPr>
          <w:lang w:val="sl-SI"/>
        </w:rPr>
        <w:t>nedejavnosti.</w:t>
      </w:r>
    </w:p>
    <w:p w14:paraId="7D3985B7" w14:textId="77777777" w:rsidR="00E03711" w:rsidRPr="00237696" w:rsidRDefault="00E03711" w:rsidP="007850C2">
      <w:pPr>
        <w:pStyle w:val="GUIDE-NORMAL"/>
        <w:rPr>
          <w:lang w:val="sl-SI"/>
        </w:rPr>
      </w:pPr>
      <w:r w:rsidRPr="00237696">
        <w:rPr>
          <w:lang w:val="sl-SI"/>
        </w:rPr>
        <w:t>Program podpira ukrepe, sodelovanje in orodja, ki so v skladu s cilji strategije Evropa 2020 in njenimi vodilnimi pobudami, na primer Mladi in mobilnost ter Program za nova znanja in spretnosti ter delovna mesta. Program prispeva tudi k doseganju ciljev strateškega okvira za evropsko sodelovanje v izobraževanju in usposabljanju ter evropske strategije za mlade s pomočjo odprtih metod koordinacije.</w:t>
      </w:r>
    </w:p>
    <w:p w14:paraId="7D3985B8" w14:textId="77777777" w:rsidR="00E03711" w:rsidRDefault="00E03711" w:rsidP="007850C2">
      <w:pPr>
        <w:pStyle w:val="GUIDE-NORMAL"/>
        <w:rPr>
          <w:lang w:val="sl-SI"/>
        </w:rPr>
      </w:pPr>
      <w:r w:rsidRPr="00237696">
        <w:rPr>
          <w:lang w:val="sl-SI"/>
        </w:rPr>
        <w:t>Ta naložba v znanje, spretnosti in kompetence bo koristila posameznikom, institucijam, organizacijam in družbi kot celoti tako, da bo prispevala k rasti ter zagotovila enakost, blaginjo in socialno vključenost v Evropi in drugod po svetu.</w:t>
      </w:r>
    </w:p>
    <w:p w14:paraId="7D3985B9" w14:textId="77777777" w:rsidR="00E03711" w:rsidRDefault="00E03711">
      <w:pPr>
        <w:widowControl/>
        <w:suppressAutoHyphens w:val="0"/>
        <w:autoSpaceDN/>
        <w:textAlignment w:val="auto"/>
        <w:rPr>
          <w:rFonts w:eastAsia="Times New Roman" w:cs="Times New Roman"/>
          <w:sz w:val="18"/>
          <w:szCs w:val="18"/>
          <w:shd w:val="clear" w:color="auto" w:fill="FFFFFF"/>
          <w:lang w:val="sl-SI"/>
        </w:rPr>
      </w:pPr>
      <w:r>
        <w:rPr>
          <w:lang w:val="sl-SI"/>
        </w:rPr>
        <w:br w:type="page"/>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3"/>
      </w:tblGrid>
      <w:tr w:rsidR="00E03711" w:rsidRPr="00C60205" w14:paraId="7D3985BB" w14:textId="77777777" w:rsidTr="00595BA4">
        <w:trPr>
          <w:trHeight w:val="1484"/>
        </w:trPr>
        <w:tc>
          <w:tcPr>
            <w:tcW w:w="9173" w:type="dxa"/>
          </w:tcPr>
          <w:p w14:paraId="7D3985BA" w14:textId="77777777" w:rsidR="00E03711" w:rsidRDefault="00E03711" w:rsidP="00595BA4">
            <w:pPr>
              <w:pStyle w:val="GUIDE-NORMAL"/>
              <w:rPr>
                <w:lang w:val="sl-SI"/>
              </w:rPr>
            </w:pPr>
            <w:r w:rsidRPr="001048FE">
              <w:rPr>
                <w:lang w:val="sl-SI"/>
              </w:rPr>
              <w:t>Vodnik za prijavitelje Erasmus+ je pripravljen v skladu z letnim delovnim programom Erasmus+, ki ga sprejme Evropska komisija, zato se bo morebiti spreminjal glede na prednostne naloge in ukrepe, opredeljene v delovnih programih, ki bodo sprejeti v naslednjih letih. Izvajanje tega vodnika je odvisno tudi od razpoložljivosti odobrenih proračunskih sredstev, predvidenih v predlogu proračuna, potem ko proračunski organ sprejme letni proračun, ali zagotovljenih v sistemu začasnih dvanajstin.</w:t>
            </w:r>
          </w:p>
        </w:tc>
      </w:tr>
    </w:tbl>
    <w:p w14:paraId="7D3985BC" w14:textId="77777777" w:rsidR="00E03711" w:rsidRPr="001048FE" w:rsidRDefault="00E03711" w:rsidP="00E23D2D">
      <w:pPr>
        <w:pStyle w:val="Guide-Heading4"/>
        <w:rPr>
          <w:lang w:val="sl-SI"/>
        </w:rPr>
      </w:pPr>
      <w:bookmarkStart w:id="23" w:name="Tirer_parti_des_expériences_passées,_se_"/>
      <w:bookmarkStart w:id="24" w:name="_Toc527401074"/>
      <w:bookmarkEnd w:id="23"/>
      <w:r w:rsidRPr="001048FE">
        <w:rPr>
          <w:lang w:val="sl-SI"/>
        </w:rPr>
        <w:t>Izhajanje iz preteklih izkušenj in v prihodnost usmerjen pogled</w:t>
      </w:r>
      <w:bookmarkEnd w:id="24"/>
    </w:p>
    <w:p w14:paraId="7D3985BD" w14:textId="77777777" w:rsidR="00E03711" w:rsidRPr="001048FE" w:rsidRDefault="00E03711" w:rsidP="00B1662F">
      <w:pPr>
        <w:pStyle w:val="GUIDE-NORMAL"/>
        <w:rPr>
          <w:lang w:val="sl-SI"/>
        </w:rPr>
      </w:pPr>
      <w:r w:rsidRPr="001048FE">
        <w:rPr>
          <w:lang w:val="sl-SI"/>
        </w:rPr>
        <w:t>Program Erasmus+ temelji na dosežkih več kot 25-letnega izvajanja evropskih programov na področju</w:t>
      </w:r>
      <w:r w:rsidRPr="001048FE">
        <w:rPr>
          <w:spacing w:val="-24"/>
          <w:lang w:val="sl-SI"/>
        </w:rPr>
        <w:t xml:space="preserve"> </w:t>
      </w:r>
      <w:r w:rsidRPr="001048FE">
        <w:rPr>
          <w:lang w:val="sl-SI"/>
        </w:rPr>
        <w:t>izobraževanja,</w:t>
      </w:r>
      <w:r w:rsidRPr="001048FE">
        <w:rPr>
          <w:spacing w:val="-24"/>
          <w:lang w:val="sl-SI"/>
        </w:rPr>
        <w:t xml:space="preserve"> </w:t>
      </w:r>
      <w:r w:rsidRPr="001048FE">
        <w:rPr>
          <w:lang w:val="sl-SI"/>
        </w:rPr>
        <w:t>usposabljanja</w:t>
      </w:r>
      <w:r w:rsidRPr="001048FE">
        <w:rPr>
          <w:spacing w:val="-24"/>
          <w:lang w:val="sl-SI"/>
        </w:rPr>
        <w:t xml:space="preserve"> </w:t>
      </w:r>
      <w:r w:rsidRPr="001048FE">
        <w:rPr>
          <w:lang w:val="sl-SI"/>
        </w:rPr>
        <w:t>in</w:t>
      </w:r>
      <w:r w:rsidRPr="001048FE">
        <w:rPr>
          <w:spacing w:val="-24"/>
          <w:lang w:val="sl-SI"/>
        </w:rPr>
        <w:t xml:space="preserve"> </w:t>
      </w:r>
      <w:r w:rsidRPr="001048FE">
        <w:rPr>
          <w:lang w:val="sl-SI"/>
        </w:rPr>
        <w:t>mladine</w:t>
      </w:r>
      <w:r w:rsidRPr="001048FE">
        <w:rPr>
          <w:spacing w:val="-24"/>
          <w:lang w:val="sl-SI"/>
        </w:rPr>
        <w:t xml:space="preserve"> </w:t>
      </w:r>
      <w:r w:rsidRPr="001048FE">
        <w:rPr>
          <w:lang w:val="sl-SI"/>
        </w:rPr>
        <w:t>ter</w:t>
      </w:r>
      <w:r w:rsidRPr="001048FE">
        <w:rPr>
          <w:spacing w:val="-24"/>
          <w:lang w:val="sl-SI"/>
        </w:rPr>
        <w:t xml:space="preserve"> </w:t>
      </w:r>
      <w:r w:rsidRPr="001048FE">
        <w:rPr>
          <w:lang w:val="sl-SI"/>
        </w:rPr>
        <w:t>zajema</w:t>
      </w:r>
      <w:r w:rsidRPr="001048FE">
        <w:rPr>
          <w:spacing w:val="-24"/>
          <w:lang w:val="sl-SI"/>
        </w:rPr>
        <w:t xml:space="preserve"> </w:t>
      </w:r>
      <w:r w:rsidRPr="001048FE">
        <w:rPr>
          <w:lang w:val="sl-SI"/>
        </w:rPr>
        <w:t>evropsko</w:t>
      </w:r>
      <w:r w:rsidRPr="001048FE">
        <w:rPr>
          <w:spacing w:val="-24"/>
          <w:lang w:val="sl-SI"/>
        </w:rPr>
        <w:t xml:space="preserve"> </w:t>
      </w:r>
      <w:r w:rsidRPr="001048FE">
        <w:rPr>
          <w:lang w:val="sl-SI"/>
        </w:rPr>
        <w:t>in</w:t>
      </w:r>
      <w:r w:rsidRPr="001048FE">
        <w:rPr>
          <w:spacing w:val="-24"/>
          <w:lang w:val="sl-SI"/>
        </w:rPr>
        <w:t xml:space="preserve"> </w:t>
      </w:r>
      <w:r w:rsidRPr="001048FE">
        <w:rPr>
          <w:lang w:val="sl-SI"/>
        </w:rPr>
        <w:t>mednarodno</w:t>
      </w:r>
      <w:r w:rsidRPr="001048FE">
        <w:rPr>
          <w:spacing w:val="-24"/>
          <w:lang w:val="sl-SI"/>
        </w:rPr>
        <w:t xml:space="preserve"> </w:t>
      </w:r>
      <w:r w:rsidRPr="001048FE">
        <w:rPr>
          <w:lang w:val="sl-SI"/>
        </w:rPr>
        <w:t>razsežnost sodelovanja. Erasmus+ je nastal z združitvijo naslednjih evropskih programov, ki jih je izvajala Komisija v obdobju</w:t>
      </w:r>
      <w:r w:rsidRPr="001048FE">
        <w:rPr>
          <w:spacing w:val="-8"/>
          <w:lang w:val="sl-SI"/>
        </w:rPr>
        <w:t xml:space="preserve"> </w:t>
      </w:r>
      <w:r w:rsidRPr="001048FE">
        <w:rPr>
          <w:lang w:val="sl-SI"/>
        </w:rPr>
        <w:t>2007–2013:</w:t>
      </w:r>
    </w:p>
    <w:p w14:paraId="7D3985BE" w14:textId="77777777" w:rsidR="00E03711" w:rsidRPr="001048FE" w:rsidRDefault="00E03711" w:rsidP="005115F2">
      <w:pPr>
        <w:pStyle w:val="Guide-NormalBulletpoints"/>
        <w:numPr>
          <w:ilvl w:val="0"/>
          <w:numId w:val="108"/>
        </w:numPr>
        <w:rPr>
          <w:lang w:val="sl-SI"/>
        </w:rPr>
      </w:pPr>
      <w:r w:rsidRPr="001048FE">
        <w:rPr>
          <w:lang w:val="sl-SI"/>
        </w:rPr>
        <w:t xml:space="preserve">Program vseživljenjsko učenje, </w:t>
      </w:r>
    </w:p>
    <w:p w14:paraId="7D3985BF" w14:textId="77777777" w:rsidR="00E03711" w:rsidRPr="001048FE" w:rsidRDefault="00E03711" w:rsidP="005115F2">
      <w:pPr>
        <w:pStyle w:val="Guide-NormalBulletpoints"/>
        <w:numPr>
          <w:ilvl w:val="0"/>
          <w:numId w:val="108"/>
        </w:numPr>
        <w:rPr>
          <w:lang w:val="sl-SI"/>
        </w:rPr>
      </w:pPr>
      <w:r w:rsidRPr="001048FE">
        <w:rPr>
          <w:lang w:val="sl-SI"/>
        </w:rPr>
        <w:t xml:space="preserve">Program Mladi v akciji, </w:t>
      </w:r>
    </w:p>
    <w:p w14:paraId="7D3985C0" w14:textId="77777777" w:rsidR="00E03711" w:rsidRPr="001048FE" w:rsidRDefault="00E03711" w:rsidP="005115F2">
      <w:pPr>
        <w:pStyle w:val="Guide-NormalBulletpoints"/>
        <w:numPr>
          <w:ilvl w:val="0"/>
          <w:numId w:val="108"/>
        </w:numPr>
        <w:rPr>
          <w:lang w:val="sl-SI"/>
        </w:rPr>
      </w:pPr>
      <w:r w:rsidRPr="001048FE">
        <w:rPr>
          <w:lang w:val="sl-SI"/>
        </w:rPr>
        <w:t xml:space="preserve">Program Erasmus Mundus, </w:t>
      </w:r>
    </w:p>
    <w:p w14:paraId="7D3985C1" w14:textId="77777777" w:rsidR="00E03711" w:rsidRPr="001048FE" w:rsidRDefault="00E03711" w:rsidP="005115F2">
      <w:pPr>
        <w:pStyle w:val="Guide-NormalBulletpoints"/>
        <w:numPr>
          <w:ilvl w:val="0"/>
          <w:numId w:val="108"/>
        </w:numPr>
        <w:rPr>
          <w:lang w:val="sl-SI"/>
        </w:rPr>
      </w:pPr>
      <w:r w:rsidRPr="001048FE">
        <w:rPr>
          <w:lang w:val="sl-SI"/>
        </w:rPr>
        <w:t>Tempus,</w:t>
      </w:r>
    </w:p>
    <w:p w14:paraId="7D3985C2" w14:textId="77777777" w:rsidR="00E03711" w:rsidRPr="001048FE" w:rsidRDefault="00E03711" w:rsidP="005115F2">
      <w:pPr>
        <w:pStyle w:val="Guide-NormalBulletpoints"/>
        <w:numPr>
          <w:ilvl w:val="0"/>
          <w:numId w:val="108"/>
        </w:numPr>
        <w:rPr>
          <w:lang w:val="sl-SI"/>
        </w:rPr>
      </w:pPr>
      <w:r w:rsidRPr="001048FE">
        <w:rPr>
          <w:lang w:val="sl-SI"/>
        </w:rPr>
        <w:t xml:space="preserve">Alfa, </w:t>
      </w:r>
    </w:p>
    <w:p w14:paraId="7D3985C3" w14:textId="77777777" w:rsidR="00E03711" w:rsidRPr="001048FE" w:rsidRDefault="00E03711" w:rsidP="005115F2">
      <w:pPr>
        <w:pStyle w:val="Guide-NormalBulletpoints"/>
        <w:numPr>
          <w:ilvl w:val="0"/>
          <w:numId w:val="108"/>
        </w:numPr>
        <w:rPr>
          <w:lang w:val="sl-SI"/>
        </w:rPr>
      </w:pPr>
      <w:r w:rsidRPr="001048FE">
        <w:rPr>
          <w:lang w:val="sl-SI"/>
        </w:rPr>
        <w:t>Edulink,</w:t>
      </w:r>
    </w:p>
    <w:p w14:paraId="7D3985C4" w14:textId="77777777" w:rsidR="00E03711" w:rsidRPr="001048FE" w:rsidRDefault="00E03711" w:rsidP="005115F2">
      <w:pPr>
        <w:pStyle w:val="Guide-NormalBulletpoints"/>
        <w:numPr>
          <w:ilvl w:val="0"/>
          <w:numId w:val="108"/>
        </w:numPr>
        <w:rPr>
          <w:lang w:val="sl-SI"/>
        </w:rPr>
      </w:pPr>
      <w:r w:rsidRPr="001048FE">
        <w:rPr>
          <w:lang w:val="sl-SI"/>
        </w:rPr>
        <w:t>Programi sodelovanja z industrializiranimi državami na področju visokošolskega izobraževanja.</w:t>
      </w:r>
    </w:p>
    <w:p w14:paraId="7D3985C5" w14:textId="77777777" w:rsidR="00E03711" w:rsidRPr="001048FE" w:rsidRDefault="00E03711" w:rsidP="00B1662F">
      <w:pPr>
        <w:pStyle w:val="GUIDE-NORMAL"/>
        <w:rPr>
          <w:lang w:val="sl-SI"/>
        </w:rPr>
      </w:pPr>
      <w:r w:rsidRPr="001048FE">
        <w:rPr>
          <w:lang w:val="sl-SI"/>
        </w:rPr>
        <w:t>Ti programi so podpirali ukrepe na področju visokošolskega izobraževanja (vključno z mednarodno razsežnostjo), poklicnega izobraževanja in usposabljanja, šolskega izobraževanja, izobraževanja odraslih in mladine (vključno z mednarodno razsežnostjo).</w:t>
      </w:r>
    </w:p>
    <w:p w14:paraId="7D3985C6" w14:textId="77777777" w:rsidR="00E03711" w:rsidRPr="001048FE" w:rsidRDefault="00E03711" w:rsidP="007850C2">
      <w:pPr>
        <w:pStyle w:val="GUIDE-NORMAL"/>
        <w:rPr>
          <w:lang w:val="sl-SI"/>
        </w:rPr>
      </w:pPr>
      <w:r w:rsidRPr="001048FE">
        <w:rPr>
          <w:lang w:val="sl-SI"/>
        </w:rPr>
        <w:t>Erasmus+ želi preseči te programe s spodbujanjem sinergij in medsebojnega bogatenja na različnih področjih izobraževanja, usposabljanja in mladine, brisanjem umetnih meja med različnimi ukrepi in oblikami projektov, podpiranjem novih idej, privabljanjem novih akterjev iz sveta dela in civilne družbe ter pospeševanjem novih oblik sodelovanja.</w:t>
      </w:r>
    </w:p>
    <w:p w14:paraId="7D3985C7" w14:textId="77777777" w:rsidR="00E03711" w:rsidRPr="001048FE" w:rsidRDefault="00E03711" w:rsidP="007850C2">
      <w:pPr>
        <w:pStyle w:val="GUIDE-NORMAL"/>
        <w:rPr>
          <w:lang w:val="sl-SI"/>
        </w:rPr>
      </w:pPr>
      <w:r w:rsidRPr="001048FE">
        <w:rPr>
          <w:lang w:val="sl-SI"/>
        </w:rPr>
        <w:t>Ključno</w:t>
      </w:r>
      <w:r w:rsidRPr="001048FE">
        <w:rPr>
          <w:spacing w:val="-15"/>
          <w:lang w:val="sl-SI"/>
        </w:rPr>
        <w:t xml:space="preserve"> </w:t>
      </w:r>
      <w:r w:rsidRPr="001048FE">
        <w:rPr>
          <w:lang w:val="sl-SI"/>
        </w:rPr>
        <w:t>je</w:t>
      </w:r>
      <w:r w:rsidRPr="001048FE">
        <w:rPr>
          <w:spacing w:val="-15"/>
          <w:lang w:val="sl-SI"/>
        </w:rPr>
        <w:t xml:space="preserve"> </w:t>
      </w:r>
      <w:r w:rsidRPr="001048FE">
        <w:rPr>
          <w:lang w:val="sl-SI"/>
        </w:rPr>
        <w:t>torej,</w:t>
      </w:r>
      <w:r w:rsidRPr="001048FE">
        <w:rPr>
          <w:spacing w:val="-15"/>
          <w:lang w:val="sl-SI"/>
        </w:rPr>
        <w:t xml:space="preserve"> </w:t>
      </w:r>
      <w:r w:rsidRPr="001048FE">
        <w:rPr>
          <w:lang w:val="sl-SI"/>
        </w:rPr>
        <w:t>da</w:t>
      </w:r>
      <w:r w:rsidRPr="001048FE">
        <w:rPr>
          <w:spacing w:val="-15"/>
          <w:lang w:val="sl-SI"/>
        </w:rPr>
        <w:t xml:space="preserve"> </w:t>
      </w:r>
      <w:r w:rsidRPr="001048FE">
        <w:rPr>
          <w:lang w:val="sl-SI"/>
        </w:rPr>
        <w:t>je</w:t>
      </w:r>
      <w:r w:rsidRPr="001048FE">
        <w:rPr>
          <w:spacing w:val="-15"/>
          <w:lang w:val="sl-SI"/>
        </w:rPr>
        <w:t xml:space="preserve"> </w:t>
      </w:r>
      <w:r w:rsidRPr="001048FE">
        <w:rPr>
          <w:lang w:val="sl-SI"/>
        </w:rPr>
        <w:t>Program</w:t>
      </w:r>
      <w:r w:rsidRPr="001048FE">
        <w:rPr>
          <w:spacing w:val="-15"/>
          <w:lang w:val="sl-SI"/>
        </w:rPr>
        <w:t xml:space="preserve"> </w:t>
      </w:r>
      <w:r w:rsidRPr="001048FE">
        <w:rPr>
          <w:lang w:val="sl-SI"/>
        </w:rPr>
        <w:t>povezan</w:t>
      </w:r>
      <w:r w:rsidRPr="001048FE">
        <w:rPr>
          <w:spacing w:val="-15"/>
          <w:lang w:val="sl-SI"/>
        </w:rPr>
        <w:t xml:space="preserve"> </w:t>
      </w:r>
      <w:r w:rsidRPr="001048FE">
        <w:rPr>
          <w:lang w:val="sl-SI"/>
        </w:rPr>
        <w:t>z</w:t>
      </w:r>
      <w:r w:rsidRPr="001048FE">
        <w:rPr>
          <w:spacing w:val="-15"/>
          <w:lang w:val="sl-SI"/>
        </w:rPr>
        <w:t xml:space="preserve"> </w:t>
      </w:r>
      <w:r w:rsidRPr="001048FE">
        <w:rPr>
          <w:lang w:val="sl-SI"/>
        </w:rPr>
        <w:t>močnim</w:t>
      </w:r>
      <w:r w:rsidRPr="001048FE">
        <w:rPr>
          <w:spacing w:val="-15"/>
          <w:lang w:val="sl-SI"/>
        </w:rPr>
        <w:t xml:space="preserve"> </w:t>
      </w:r>
      <w:r w:rsidRPr="001048FE">
        <w:rPr>
          <w:lang w:val="sl-SI"/>
        </w:rPr>
        <w:t>in</w:t>
      </w:r>
      <w:r w:rsidRPr="001048FE">
        <w:rPr>
          <w:spacing w:val="-15"/>
          <w:lang w:val="sl-SI"/>
        </w:rPr>
        <w:t xml:space="preserve"> </w:t>
      </w:r>
      <w:r w:rsidRPr="001048FE">
        <w:rPr>
          <w:lang w:val="sl-SI"/>
        </w:rPr>
        <w:t>splošno</w:t>
      </w:r>
      <w:r w:rsidRPr="001048FE">
        <w:rPr>
          <w:spacing w:val="-15"/>
          <w:lang w:val="sl-SI"/>
        </w:rPr>
        <w:t xml:space="preserve"> </w:t>
      </w:r>
      <w:r w:rsidRPr="001048FE">
        <w:rPr>
          <w:lang w:val="sl-SI"/>
        </w:rPr>
        <w:t>prepoznavnim</w:t>
      </w:r>
      <w:r w:rsidRPr="001048FE">
        <w:rPr>
          <w:spacing w:val="-15"/>
          <w:lang w:val="sl-SI"/>
        </w:rPr>
        <w:t xml:space="preserve"> </w:t>
      </w:r>
      <w:r w:rsidRPr="001048FE">
        <w:rPr>
          <w:lang w:val="sl-SI"/>
        </w:rPr>
        <w:t>tržnim</w:t>
      </w:r>
      <w:r w:rsidRPr="001048FE">
        <w:rPr>
          <w:spacing w:val="-15"/>
          <w:lang w:val="sl-SI"/>
        </w:rPr>
        <w:t xml:space="preserve"> </w:t>
      </w:r>
      <w:r w:rsidRPr="001048FE">
        <w:rPr>
          <w:lang w:val="sl-SI"/>
        </w:rPr>
        <w:t>imenom.</w:t>
      </w:r>
      <w:r w:rsidRPr="001048FE">
        <w:rPr>
          <w:spacing w:val="-15"/>
          <w:lang w:val="sl-SI"/>
        </w:rPr>
        <w:t xml:space="preserve"> </w:t>
      </w:r>
      <w:r w:rsidRPr="001048FE">
        <w:rPr>
          <w:lang w:val="sl-SI"/>
        </w:rPr>
        <w:t>Zato</w:t>
      </w:r>
      <w:r w:rsidRPr="001048FE">
        <w:rPr>
          <w:spacing w:val="-15"/>
          <w:lang w:val="sl-SI"/>
        </w:rPr>
        <w:t xml:space="preserve"> </w:t>
      </w:r>
      <w:r w:rsidRPr="001048FE">
        <w:rPr>
          <w:lang w:val="sl-SI"/>
        </w:rPr>
        <w:t>se pri</w:t>
      </w:r>
      <w:r w:rsidRPr="001048FE">
        <w:rPr>
          <w:spacing w:val="-4"/>
          <w:lang w:val="sl-SI"/>
        </w:rPr>
        <w:t xml:space="preserve"> </w:t>
      </w:r>
      <w:r w:rsidRPr="001048FE">
        <w:rPr>
          <w:lang w:val="sl-SI"/>
        </w:rPr>
        <w:t>obveščanju</w:t>
      </w:r>
      <w:r w:rsidRPr="001048FE">
        <w:rPr>
          <w:spacing w:val="-3"/>
          <w:lang w:val="sl-SI"/>
        </w:rPr>
        <w:t xml:space="preserve"> </w:t>
      </w:r>
      <w:r w:rsidRPr="001048FE">
        <w:rPr>
          <w:lang w:val="sl-SI"/>
        </w:rPr>
        <w:t>o</w:t>
      </w:r>
      <w:r w:rsidRPr="001048FE">
        <w:rPr>
          <w:spacing w:val="-3"/>
          <w:lang w:val="sl-SI"/>
        </w:rPr>
        <w:t xml:space="preserve"> </w:t>
      </w:r>
      <w:r w:rsidRPr="001048FE">
        <w:rPr>
          <w:lang w:val="sl-SI"/>
        </w:rPr>
        <w:t>vseh</w:t>
      </w:r>
      <w:r w:rsidRPr="001048FE">
        <w:rPr>
          <w:spacing w:val="-4"/>
          <w:lang w:val="sl-SI"/>
        </w:rPr>
        <w:t xml:space="preserve"> </w:t>
      </w:r>
      <w:r w:rsidRPr="001048FE">
        <w:rPr>
          <w:lang w:val="sl-SI"/>
        </w:rPr>
        <w:t>ukrepih</w:t>
      </w:r>
      <w:r w:rsidRPr="001048FE">
        <w:rPr>
          <w:spacing w:val="-4"/>
          <w:lang w:val="sl-SI"/>
        </w:rPr>
        <w:t xml:space="preserve"> </w:t>
      </w:r>
      <w:r w:rsidRPr="001048FE">
        <w:rPr>
          <w:lang w:val="sl-SI"/>
        </w:rPr>
        <w:t>in</w:t>
      </w:r>
      <w:r w:rsidRPr="001048FE">
        <w:rPr>
          <w:spacing w:val="-4"/>
          <w:lang w:val="sl-SI"/>
        </w:rPr>
        <w:t xml:space="preserve"> </w:t>
      </w:r>
      <w:r w:rsidRPr="001048FE">
        <w:rPr>
          <w:lang w:val="sl-SI"/>
        </w:rPr>
        <w:t>aktivnostih,</w:t>
      </w:r>
      <w:r w:rsidRPr="001048FE">
        <w:rPr>
          <w:spacing w:val="-4"/>
          <w:lang w:val="sl-SI"/>
        </w:rPr>
        <w:t xml:space="preserve"> </w:t>
      </w:r>
      <w:r w:rsidRPr="001048FE">
        <w:rPr>
          <w:lang w:val="sl-SI"/>
        </w:rPr>
        <w:t>ki</w:t>
      </w:r>
      <w:r w:rsidRPr="001048FE">
        <w:rPr>
          <w:spacing w:val="-4"/>
          <w:lang w:val="sl-SI"/>
        </w:rPr>
        <w:t xml:space="preserve"> </w:t>
      </w:r>
      <w:r w:rsidRPr="001048FE">
        <w:rPr>
          <w:lang w:val="sl-SI"/>
        </w:rPr>
        <w:t>jih</w:t>
      </w:r>
      <w:r w:rsidRPr="001048FE">
        <w:rPr>
          <w:spacing w:val="-4"/>
          <w:lang w:val="sl-SI"/>
        </w:rPr>
        <w:t xml:space="preserve"> </w:t>
      </w:r>
      <w:r w:rsidRPr="001048FE">
        <w:rPr>
          <w:lang w:val="sl-SI"/>
        </w:rPr>
        <w:t>podpira</w:t>
      </w:r>
      <w:r w:rsidRPr="001048FE">
        <w:rPr>
          <w:spacing w:val="-4"/>
          <w:lang w:val="sl-SI"/>
        </w:rPr>
        <w:t xml:space="preserve"> </w:t>
      </w:r>
      <w:r w:rsidRPr="001048FE">
        <w:rPr>
          <w:lang w:val="sl-SI"/>
        </w:rPr>
        <w:t>Program,</w:t>
      </w:r>
      <w:r w:rsidRPr="001048FE">
        <w:rPr>
          <w:spacing w:val="-4"/>
          <w:lang w:val="sl-SI"/>
        </w:rPr>
        <w:t xml:space="preserve"> </w:t>
      </w:r>
      <w:r w:rsidRPr="001048FE">
        <w:rPr>
          <w:lang w:val="sl-SI"/>
        </w:rPr>
        <w:t>uporablja</w:t>
      </w:r>
      <w:r w:rsidRPr="001048FE">
        <w:rPr>
          <w:spacing w:val="-4"/>
          <w:lang w:val="sl-SI"/>
        </w:rPr>
        <w:t xml:space="preserve"> </w:t>
      </w:r>
      <w:r w:rsidRPr="001048FE">
        <w:rPr>
          <w:lang w:val="sl-SI"/>
        </w:rPr>
        <w:t>predvsem</w:t>
      </w:r>
      <w:r w:rsidRPr="001048FE">
        <w:rPr>
          <w:spacing w:val="-4"/>
          <w:lang w:val="sl-SI"/>
        </w:rPr>
        <w:t xml:space="preserve"> </w:t>
      </w:r>
      <w:r w:rsidRPr="001048FE">
        <w:rPr>
          <w:lang w:val="sl-SI"/>
        </w:rPr>
        <w:t>tržno</w:t>
      </w:r>
      <w:r w:rsidRPr="001048FE">
        <w:rPr>
          <w:spacing w:val="-4"/>
          <w:lang w:val="sl-SI"/>
        </w:rPr>
        <w:t xml:space="preserve"> </w:t>
      </w:r>
      <w:r w:rsidRPr="001048FE">
        <w:rPr>
          <w:lang w:val="sl-SI"/>
        </w:rPr>
        <w:t>ime „Erasmus+“. Da bi se udeleženci in upravičenci nekdanjih programov lažje znašli v programu Erasmus+, pa se lahko za namene obveščanja in razširjanja poleg skupnega tržnega imena „Erasmus+“ uporabljajo naslednja imena za tiste ukrepe, ki so ciljno usmerjeni v določeni sektor:</w:t>
      </w:r>
    </w:p>
    <w:p w14:paraId="7D3985C8" w14:textId="77777777" w:rsidR="00E03711" w:rsidRPr="001048FE" w:rsidRDefault="00E03711" w:rsidP="005115F2">
      <w:pPr>
        <w:pStyle w:val="Guide-NormalBulletpoints"/>
        <w:numPr>
          <w:ilvl w:val="0"/>
          <w:numId w:val="109"/>
        </w:numPr>
        <w:rPr>
          <w:lang w:val="sl-SI"/>
        </w:rPr>
      </w:pPr>
      <w:r w:rsidRPr="001048FE">
        <w:rPr>
          <w:lang w:val="sl-SI"/>
        </w:rPr>
        <w:t>„Erasmus+: Comenius“ v zvezi z aktivnostmi Programa, povezanimi izključno s področjem šolskega izobraževanja;</w:t>
      </w:r>
    </w:p>
    <w:p w14:paraId="7D3985C9" w14:textId="77777777" w:rsidR="00E03711" w:rsidRPr="001048FE" w:rsidRDefault="00E03711" w:rsidP="005115F2">
      <w:pPr>
        <w:pStyle w:val="Guide-NormalBulletpoints"/>
        <w:numPr>
          <w:ilvl w:val="0"/>
          <w:numId w:val="109"/>
        </w:numPr>
        <w:rPr>
          <w:lang w:val="sl-SI"/>
        </w:rPr>
      </w:pPr>
      <w:r w:rsidRPr="001048FE">
        <w:rPr>
          <w:lang w:val="sl-SI"/>
        </w:rPr>
        <w:t>„Erasmus+: Erasmus“ v zvezi z aktivnostmi Programa, povezanimi izključno s področjem visokošolskega izobraževanja in ciljno usmerjenimi v države Programa;</w:t>
      </w:r>
    </w:p>
    <w:p w14:paraId="7D3985CA" w14:textId="77777777" w:rsidR="00E03711" w:rsidRPr="001048FE" w:rsidRDefault="00E03711" w:rsidP="005115F2">
      <w:pPr>
        <w:pStyle w:val="Guide-Bulletsspace"/>
        <w:numPr>
          <w:ilvl w:val="0"/>
          <w:numId w:val="109"/>
        </w:numPr>
        <w:rPr>
          <w:lang w:val="sl-SI"/>
        </w:rPr>
      </w:pPr>
      <w:r w:rsidRPr="001048FE">
        <w:rPr>
          <w:lang w:val="sl-SI"/>
        </w:rPr>
        <w:t>„Erasmus+: Erasmus Mundus“ v zvezi s skupnimi magistrskimi študiji Erasmus Mundus;</w:t>
      </w:r>
    </w:p>
    <w:p w14:paraId="7D3985CB" w14:textId="77777777" w:rsidR="00E03711" w:rsidRPr="001048FE" w:rsidRDefault="00E03711" w:rsidP="005115F2">
      <w:pPr>
        <w:pStyle w:val="Guide-NormalBulletpoints"/>
        <w:numPr>
          <w:ilvl w:val="0"/>
          <w:numId w:val="109"/>
        </w:numPr>
        <w:rPr>
          <w:lang w:val="sl-SI"/>
        </w:rPr>
      </w:pPr>
      <w:r w:rsidRPr="001048FE">
        <w:rPr>
          <w:lang w:val="sl-SI"/>
        </w:rPr>
        <w:t>„Erasmus+: Leonardo da Vinci“ v zvezi z aktivnostmi Programa, povezanimi izključno s področjem poklicnega izobraževanja in usposabljanja;</w:t>
      </w:r>
    </w:p>
    <w:p w14:paraId="7D3985CC" w14:textId="77777777" w:rsidR="00E03711" w:rsidRPr="001048FE" w:rsidRDefault="00E03711" w:rsidP="005115F2">
      <w:pPr>
        <w:pStyle w:val="Guide-NormalBulletpoints"/>
        <w:numPr>
          <w:ilvl w:val="0"/>
          <w:numId w:val="109"/>
        </w:numPr>
        <w:rPr>
          <w:lang w:val="sl-SI"/>
        </w:rPr>
      </w:pPr>
      <w:r w:rsidRPr="001048FE">
        <w:rPr>
          <w:lang w:val="sl-SI"/>
        </w:rPr>
        <w:t>„Erasmus+: Grundtvig“ v zvezi z aktivnostmi Programa, povezanimi izključno s področjem izobraževanja odraslih;</w:t>
      </w:r>
    </w:p>
    <w:p w14:paraId="7D3985CD" w14:textId="77777777" w:rsidR="00E03711" w:rsidRPr="001048FE" w:rsidRDefault="00E03711" w:rsidP="005115F2">
      <w:pPr>
        <w:pStyle w:val="Guide-NormalBulletpoints"/>
        <w:numPr>
          <w:ilvl w:val="0"/>
          <w:numId w:val="109"/>
        </w:numPr>
        <w:rPr>
          <w:lang w:val="sl-SI"/>
        </w:rPr>
      </w:pPr>
      <w:r w:rsidRPr="001048FE">
        <w:rPr>
          <w:lang w:val="sl-SI"/>
        </w:rPr>
        <w:t>„Erasmus+: Mladi v akciji“ v zvezi z aktivnostmi Programa, povezanimi izključno s področjem neformalnega in priložnostnega učenja za mladino;</w:t>
      </w:r>
    </w:p>
    <w:p w14:paraId="7D3985CE" w14:textId="77777777" w:rsidR="00E03711" w:rsidRPr="001048FE" w:rsidRDefault="00E03711" w:rsidP="005115F2">
      <w:pPr>
        <w:pStyle w:val="Guide-NormalBulletpoints"/>
        <w:numPr>
          <w:ilvl w:val="0"/>
          <w:numId w:val="109"/>
        </w:numPr>
        <w:rPr>
          <w:lang w:val="sl-SI"/>
        </w:rPr>
      </w:pPr>
      <w:r w:rsidRPr="001048FE">
        <w:rPr>
          <w:lang w:val="sl-SI"/>
        </w:rPr>
        <w:t>„Erasmus+: Jean Monnet“ v zvezi z aktivnostmi Programa, povezanimi izključno s področjem študij Evropske unije;</w:t>
      </w:r>
    </w:p>
    <w:p w14:paraId="7D3985CF" w14:textId="77777777" w:rsidR="00E03711" w:rsidRPr="001048FE" w:rsidRDefault="00E03711" w:rsidP="005115F2">
      <w:pPr>
        <w:pStyle w:val="Guide-NormalBulletpoints"/>
        <w:numPr>
          <w:ilvl w:val="0"/>
          <w:numId w:val="109"/>
        </w:numPr>
        <w:rPr>
          <w:lang w:val="sl-SI"/>
        </w:rPr>
      </w:pPr>
      <w:r w:rsidRPr="001048FE">
        <w:rPr>
          <w:lang w:val="sl-SI"/>
        </w:rPr>
        <w:t>„Erasmus+: Šport“ v zvezi z aktivnostmi Programa, povezanimi izključno s področjem športa.</w:t>
      </w:r>
    </w:p>
    <w:p w14:paraId="7D3985D0" w14:textId="77777777" w:rsidR="00E03711" w:rsidRPr="00237696" w:rsidRDefault="00E03711" w:rsidP="00B1662F">
      <w:pPr>
        <w:pStyle w:val="BodyText"/>
        <w:rPr>
          <w:rFonts w:ascii="Calibri" w:hAnsi="Calibri"/>
          <w:sz w:val="20"/>
          <w:lang w:val="sl-SI"/>
        </w:rPr>
      </w:pPr>
    </w:p>
    <w:p w14:paraId="7D3985D1" w14:textId="77777777" w:rsidR="00E03711" w:rsidRPr="001048FE" w:rsidRDefault="00E03711" w:rsidP="00B1662F">
      <w:pPr>
        <w:pStyle w:val="Guide-Heading2"/>
        <w:rPr>
          <w:lang w:val="sl-SI"/>
        </w:rPr>
        <w:sectPr w:rsidR="00E03711" w:rsidRPr="001048FE" w:rsidSect="007F4890">
          <w:headerReference w:type="even" r:id="rId20"/>
          <w:headerReference w:type="default" r:id="rId21"/>
          <w:endnotePr>
            <w:numFmt w:val="decimal"/>
          </w:endnotePr>
          <w:pgSz w:w="11910" w:h="16840" w:code="9"/>
          <w:pgMar w:top="1134" w:right="1418" w:bottom="1134" w:left="1418" w:header="283" w:footer="567" w:gutter="0"/>
          <w:cols w:space="720"/>
          <w:docGrid w:linePitch="326"/>
        </w:sectPr>
      </w:pPr>
    </w:p>
    <w:p w14:paraId="7D3985D2" w14:textId="77777777" w:rsidR="00E03711" w:rsidRPr="001048FE" w:rsidRDefault="00E03711" w:rsidP="0030441A">
      <w:pPr>
        <w:pStyle w:val="Guide-Heading2"/>
        <w:rPr>
          <w:lang w:val="sl-SI"/>
        </w:rPr>
      </w:pPr>
      <w:bookmarkStart w:id="25" w:name="_Toc527400888"/>
      <w:bookmarkStart w:id="26" w:name="_Toc527401075"/>
      <w:r w:rsidRPr="001048FE">
        <w:rPr>
          <w:lang w:val="sl-SI"/>
        </w:rPr>
        <w:t>Kakšni so cilji in pomembne značilnosti</w:t>
      </w:r>
      <w:bookmarkStart w:id="27" w:name="Kakšni_so_cilji_in_pomembne_značilnosti_"/>
      <w:bookmarkEnd w:id="27"/>
      <w:r w:rsidRPr="001048FE">
        <w:rPr>
          <w:lang w:val="sl-SI"/>
        </w:rPr>
        <w:t xml:space="preserve"> programa Erasmus+?</w:t>
      </w:r>
      <w:bookmarkEnd w:id="25"/>
      <w:bookmarkEnd w:id="26"/>
    </w:p>
    <w:p w14:paraId="7D3985D3" w14:textId="77777777" w:rsidR="00E03711" w:rsidRPr="001048FE" w:rsidRDefault="00E03711" w:rsidP="0030441A">
      <w:pPr>
        <w:pStyle w:val="Guide-Heading3"/>
        <w:rPr>
          <w:lang w:val="sl-SI"/>
        </w:rPr>
      </w:pPr>
      <w:bookmarkStart w:id="28" w:name="Splošni_cilj"/>
      <w:bookmarkStart w:id="29" w:name="_bookmark5"/>
      <w:bookmarkStart w:id="30" w:name="_Toc527400889"/>
      <w:bookmarkStart w:id="31" w:name="_Toc527401076"/>
      <w:bookmarkEnd w:id="28"/>
      <w:bookmarkEnd w:id="29"/>
      <w:r w:rsidRPr="001048FE">
        <w:rPr>
          <w:lang w:val="sl-SI"/>
        </w:rPr>
        <w:t>Splošni cilj</w:t>
      </w:r>
      <w:bookmarkEnd w:id="30"/>
      <w:bookmarkEnd w:id="31"/>
    </w:p>
    <w:p w14:paraId="7D3985D4" w14:textId="77777777" w:rsidR="00E03711" w:rsidRPr="001048FE" w:rsidRDefault="00E03711" w:rsidP="005115F2">
      <w:pPr>
        <w:pStyle w:val="GUIDE-NORMAL"/>
        <w:numPr>
          <w:ilvl w:val="0"/>
          <w:numId w:val="110"/>
        </w:numPr>
        <w:rPr>
          <w:lang w:val="sl-SI"/>
        </w:rPr>
      </w:pPr>
      <w:r w:rsidRPr="001048FE">
        <w:rPr>
          <w:lang w:val="sl-SI"/>
        </w:rPr>
        <w:t>Program Erasmus+ prispeva k uresničevanju:</w:t>
      </w:r>
    </w:p>
    <w:p w14:paraId="7D3985D5" w14:textId="77777777" w:rsidR="00E03711" w:rsidRPr="001048FE" w:rsidRDefault="00E03711" w:rsidP="005115F2">
      <w:pPr>
        <w:pStyle w:val="Guide-NormalBulletpoints"/>
        <w:numPr>
          <w:ilvl w:val="0"/>
          <w:numId w:val="111"/>
        </w:numPr>
        <w:rPr>
          <w:lang w:val="sl-SI"/>
        </w:rPr>
      </w:pPr>
      <w:r w:rsidRPr="001048FE">
        <w:rPr>
          <w:lang w:val="sl-SI"/>
        </w:rPr>
        <w:t>ciljev strategije Evropa 2020, vključno s krovnim ciljem izobraževanja</w:t>
      </w:r>
      <w:r w:rsidRPr="001048FE">
        <w:rPr>
          <w:rStyle w:val="FootnoteReference"/>
          <w:lang w:val="sl-SI"/>
        </w:rPr>
        <w:footnoteReference w:id="3"/>
      </w:r>
      <w:r w:rsidRPr="001048FE">
        <w:rPr>
          <w:lang w:val="sl-SI"/>
        </w:rPr>
        <w:t>;</w:t>
      </w:r>
    </w:p>
    <w:p w14:paraId="7D3985D6" w14:textId="77777777" w:rsidR="00E03711" w:rsidRPr="001048FE" w:rsidRDefault="00E03711" w:rsidP="005115F2">
      <w:pPr>
        <w:pStyle w:val="Guide-NormalBulletpoints"/>
        <w:numPr>
          <w:ilvl w:val="0"/>
          <w:numId w:val="111"/>
        </w:numPr>
        <w:rPr>
          <w:lang w:val="sl-SI"/>
        </w:rPr>
      </w:pPr>
      <w:r w:rsidRPr="001048FE">
        <w:rPr>
          <w:lang w:val="sl-SI"/>
        </w:rPr>
        <w:t>ciljev</w:t>
      </w:r>
      <w:r w:rsidRPr="001048FE">
        <w:rPr>
          <w:spacing w:val="-20"/>
          <w:lang w:val="sl-SI"/>
        </w:rPr>
        <w:t xml:space="preserve"> </w:t>
      </w:r>
      <w:r w:rsidRPr="001048FE">
        <w:rPr>
          <w:lang w:val="sl-SI"/>
        </w:rPr>
        <w:t>strateškega</w:t>
      </w:r>
      <w:r w:rsidRPr="001048FE">
        <w:rPr>
          <w:spacing w:val="-20"/>
          <w:lang w:val="sl-SI"/>
        </w:rPr>
        <w:t xml:space="preserve"> </w:t>
      </w:r>
      <w:r w:rsidRPr="001048FE">
        <w:rPr>
          <w:lang w:val="sl-SI"/>
        </w:rPr>
        <w:t>okvira</w:t>
      </w:r>
      <w:r w:rsidRPr="001048FE">
        <w:rPr>
          <w:spacing w:val="-19"/>
          <w:lang w:val="sl-SI"/>
        </w:rPr>
        <w:t xml:space="preserve"> </w:t>
      </w:r>
      <w:r w:rsidRPr="001048FE">
        <w:rPr>
          <w:lang w:val="sl-SI"/>
        </w:rPr>
        <w:t>za</w:t>
      </w:r>
      <w:r w:rsidRPr="001048FE">
        <w:rPr>
          <w:spacing w:val="-20"/>
          <w:lang w:val="sl-SI"/>
        </w:rPr>
        <w:t xml:space="preserve"> </w:t>
      </w:r>
      <w:r w:rsidRPr="001048FE">
        <w:rPr>
          <w:lang w:val="sl-SI"/>
        </w:rPr>
        <w:t>evropsko</w:t>
      </w:r>
      <w:r w:rsidRPr="001048FE">
        <w:rPr>
          <w:spacing w:val="-20"/>
          <w:lang w:val="sl-SI"/>
        </w:rPr>
        <w:t xml:space="preserve"> </w:t>
      </w:r>
      <w:r w:rsidRPr="001048FE">
        <w:rPr>
          <w:lang w:val="sl-SI"/>
        </w:rPr>
        <w:t>sodelovanje</w:t>
      </w:r>
      <w:r w:rsidRPr="001048FE">
        <w:rPr>
          <w:spacing w:val="-20"/>
          <w:lang w:val="sl-SI"/>
        </w:rPr>
        <w:t xml:space="preserve"> </w:t>
      </w:r>
      <w:r w:rsidRPr="001048FE">
        <w:rPr>
          <w:lang w:val="sl-SI"/>
        </w:rPr>
        <w:t>v</w:t>
      </w:r>
      <w:r w:rsidRPr="001048FE">
        <w:rPr>
          <w:spacing w:val="-20"/>
          <w:lang w:val="sl-SI"/>
        </w:rPr>
        <w:t xml:space="preserve"> </w:t>
      </w:r>
      <w:r w:rsidRPr="001048FE">
        <w:rPr>
          <w:lang w:val="sl-SI"/>
        </w:rPr>
        <w:t>izobraževanju</w:t>
      </w:r>
      <w:r w:rsidRPr="001048FE">
        <w:rPr>
          <w:spacing w:val="-20"/>
          <w:lang w:val="sl-SI"/>
        </w:rPr>
        <w:t xml:space="preserve"> </w:t>
      </w:r>
      <w:r w:rsidRPr="001048FE">
        <w:rPr>
          <w:lang w:val="sl-SI"/>
        </w:rPr>
        <w:t>in</w:t>
      </w:r>
      <w:r w:rsidRPr="001048FE">
        <w:rPr>
          <w:spacing w:val="-20"/>
          <w:lang w:val="sl-SI"/>
        </w:rPr>
        <w:t xml:space="preserve"> </w:t>
      </w:r>
      <w:r w:rsidRPr="001048FE">
        <w:rPr>
          <w:lang w:val="sl-SI"/>
        </w:rPr>
        <w:t>usposabljanju</w:t>
      </w:r>
      <w:r w:rsidRPr="001048FE">
        <w:rPr>
          <w:spacing w:val="-20"/>
          <w:lang w:val="sl-SI"/>
        </w:rPr>
        <w:t xml:space="preserve"> </w:t>
      </w:r>
      <w:r w:rsidRPr="001048FE">
        <w:rPr>
          <w:lang w:val="sl-SI"/>
        </w:rPr>
        <w:t>(v nadaljnjem besedilu: ET 2020), vključno z ustreznimi merili</w:t>
      </w:r>
      <w:r w:rsidRPr="001048FE">
        <w:rPr>
          <w:spacing w:val="-33"/>
          <w:lang w:val="sl-SI"/>
        </w:rPr>
        <w:t xml:space="preserve"> </w:t>
      </w:r>
      <w:r w:rsidRPr="001048FE">
        <w:rPr>
          <w:lang w:val="sl-SI"/>
        </w:rPr>
        <w:t>uspešnosti;</w:t>
      </w:r>
    </w:p>
    <w:p w14:paraId="7D3985D7" w14:textId="77777777" w:rsidR="00E03711" w:rsidRPr="001048FE" w:rsidRDefault="00E03711" w:rsidP="005115F2">
      <w:pPr>
        <w:pStyle w:val="Guide-NormalBulletpoints"/>
        <w:numPr>
          <w:ilvl w:val="0"/>
          <w:numId w:val="111"/>
        </w:numPr>
        <w:rPr>
          <w:lang w:val="sl-SI"/>
        </w:rPr>
      </w:pPr>
      <w:r w:rsidRPr="001048FE">
        <w:rPr>
          <w:lang w:val="sl-SI"/>
        </w:rPr>
        <w:t>trajnostnega</w:t>
      </w:r>
      <w:r w:rsidRPr="001048FE">
        <w:rPr>
          <w:spacing w:val="-22"/>
          <w:lang w:val="sl-SI"/>
        </w:rPr>
        <w:t xml:space="preserve"> </w:t>
      </w:r>
      <w:r w:rsidRPr="001048FE">
        <w:rPr>
          <w:lang w:val="sl-SI"/>
        </w:rPr>
        <w:t>razvoja</w:t>
      </w:r>
      <w:r w:rsidRPr="001048FE">
        <w:rPr>
          <w:spacing w:val="-22"/>
          <w:lang w:val="sl-SI"/>
        </w:rPr>
        <w:t xml:space="preserve"> </w:t>
      </w:r>
      <w:r w:rsidRPr="001048FE">
        <w:rPr>
          <w:lang w:val="sl-SI"/>
        </w:rPr>
        <w:t>partnerskih</w:t>
      </w:r>
      <w:r w:rsidRPr="001048FE">
        <w:rPr>
          <w:spacing w:val="-22"/>
          <w:lang w:val="sl-SI"/>
        </w:rPr>
        <w:t xml:space="preserve"> </w:t>
      </w:r>
      <w:r w:rsidRPr="001048FE">
        <w:rPr>
          <w:lang w:val="sl-SI"/>
        </w:rPr>
        <w:t>držav</w:t>
      </w:r>
      <w:r w:rsidRPr="001048FE">
        <w:rPr>
          <w:spacing w:val="-22"/>
          <w:lang w:val="sl-SI"/>
        </w:rPr>
        <w:t xml:space="preserve"> </w:t>
      </w:r>
      <w:r w:rsidRPr="001048FE">
        <w:rPr>
          <w:lang w:val="sl-SI"/>
        </w:rPr>
        <w:t>na</w:t>
      </w:r>
      <w:r w:rsidRPr="001048FE">
        <w:rPr>
          <w:spacing w:val="-22"/>
          <w:lang w:val="sl-SI"/>
        </w:rPr>
        <w:t xml:space="preserve"> </w:t>
      </w:r>
      <w:r w:rsidRPr="001048FE">
        <w:rPr>
          <w:lang w:val="sl-SI"/>
        </w:rPr>
        <w:t>področju</w:t>
      </w:r>
      <w:r w:rsidRPr="001048FE">
        <w:rPr>
          <w:spacing w:val="-22"/>
          <w:lang w:val="sl-SI"/>
        </w:rPr>
        <w:t xml:space="preserve"> </w:t>
      </w:r>
      <w:r w:rsidRPr="001048FE">
        <w:rPr>
          <w:lang w:val="sl-SI"/>
        </w:rPr>
        <w:t>visokošolskega</w:t>
      </w:r>
      <w:r w:rsidRPr="001048FE">
        <w:rPr>
          <w:spacing w:val="-22"/>
          <w:lang w:val="sl-SI"/>
        </w:rPr>
        <w:t xml:space="preserve"> </w:t>
      </w:r>
      <w:r w:rsidRPr="001048FE">
        <w:rPr>
          <w:lang w:val="sl-SI"/>
        </w:rPr>
        <w:t xml:space="preserve">izobraževanja; </w:t>
      </w:r>
    </w:p>
    <w:p w14:paraId="7D3985D8" w14:textId="77777777" w:rsidR="00E03711" w:rsidRPr="001048FE" w:rsidRDefault="00E03711" w:rsidP="005115F2">
      <w:pPr>
        <w:pStyle w:val="Guide-NormalBulletpoints"/>
        <w:numPr>
          <w:ilvl w:val="0"/>
          <w:numId w:val="111"/>
        </w:numPr>
        <w:rPr>
          <w:lang w:val="sl-SI"/>
        </w:rPr>
      </w:pPr>
      <w:r w:rsidRPr="001048FE">
        <w:rPr>
          <w:lang w:val="sl-SI"/>
        </w:rPr>
        <w:t>splošnih</w:t>
      </w:r>
      <w:r w:rsidRPr="001048FE">
        <w:rPr>
          <w:spacing w:val="-19"/>
          <w:lang w:val="sl-SI"/>
        </w:rPr>
        <w:t xml:space="preserve"> </w:t>
      </w:r>
      <w:r w:rsidRPr="001048FE">
        <w:rPr>
          <w:lang w:val="sl-SI"/>
        </w:rPr>
        <w:t>ciljev</w:t>
      </w:r>
      <w:r w:rsidRPr="001048FE">
        <w:rPr>
          <w:spacing w:val="-19"/>
          <w:lang w:val="sl-SI"/>
        </w:rPr>
        <w:t xml:space="preserve"> </w:t>
      </w:r>
      <w:r>
        <w:rPr>
          <w:lang w:val="sl-SI"/>
        </w:rPr>
        <w:t>Strategije EU za mlade (</w:t>
      </w:r>
      <w:r w:rsidRPr="001048FE">
        <w:rPr>
          <w:lang w:val="sl-SI"/>
        </w:rPr>
        <w:t>okvira</w:t>
      </w:r>
      <w:r w:rsidRPr="001048FE">
        <w:rPr>
          <w:spacing w:val="-18"/>
          <w:lang w:val="sl-SI"/>
        </w:rPr>
        <w:t xml:space="preserve"> </w:t>
      </w:r>
      <w:r w:rsidRPr="001048FE">
        <w:rPr>
          <w:lang w:val="sl-SI"/>
        </w:rPr>
        <w:t>za</w:t>
      </w:r>
      <w:r w:rsidRPr="001048FE">
        <w:rPr>
          <w:spacing w:val="-19"/>
          <w:lang w:val="sl-SI"/>
        </w:rPr>
        <w:t xml:space="preserve"> </w:t>
      </w:r>
      <w:r w:rsidRPr="001048FE">
        <w:rPr>
          <w:lang w:val="sl-SI"/>
        </w:rPr>
        <w:t>evropsko</w:t>
      </w:r>
      <w:r w:rsidRPr="001048FE">
        <w:rPr>
          <w:spacing w:val="-19"/>
          <w:lang w:val="sl-SI"/>
        </w:rPr>
        <w:t xml:space="preserve"> </w:t>
      </w:r>
      <w:r w:rsidRPr="001048FE">
        <w:rPr>
          <w:lang w:val="sl-SI"/>
        </w:rPr>
        <w:t>sodelovanje</w:t>
      </w:r>
      <w:r w:rsidRPr="001048FE">
        <w:rPr>
          <w:spacing w:val="-19"/>
          <w:lang w:val="sl-SI"/>
        </w:rPr>
        <w:t xml:space="preserve"> </w:t>
      </w:r>
      <w:r w:rsidRPr="001048FE">
        <w:rPr>
          <w:lang w:val="sl-SI"/>
        </w:rPr>
        <w:t>na</w:t>
      </w:r>
      <w:r w:rsidRPr="001048FE">
        <w:rPr>
          <w:spacing w:val="-19"/>
          <w:lang w:val="sl-SI"/>
        </w:rPr>
        <w:t xml:space="preserve"> </w:t>
      </w:r>
      <w:r w:rsidRPr="001048FE">
        <w:rPr>
          <w:lang w:val="sl-SI"/>
        </w:rPr>
        <w:t>področju</w:t>
      </w:r>
      <w:r w:rsidRPr="001048FE">
        <w:rPr>
          <w:spacing w:val="-19"/>
          <w:lang w:val="sl-SI"/>
        </w:rPr>
        <w:t xml:space="preserve"> </w:t>
      </w:r>
      <w:r w:rsidRPr="001048FE">
        <w:rPr>
          <w:lang w:val="sl-SI"/>
        </w:rPr>
        <w:t>mladine</w:t>
      </w:r>
      <w:r>
        <w:rPr>
          <w:lang w:val="sl-SI"/>
        </w:rPr>
        <w:t>)</w:t>
      </w:r>
      <w:r w:rsidRPr="001048FE">
        <w:rPr>
          <w:lang w:val="sl-SI"/>
        </w:rPr>
        <w:t>;</w:t>
      </w:r>
    </w:p>
    <w:p w14:paraId="7D3985D9" w14:textId="77777777" w:rsidR="00E03711" w:rsidRPr="001048FE" w:rsidRDefault="00E03711" w:rsidP="005115F2">
      <w:pPr>
        <w:pStyle w:val="Guide-NormalBulletpoints"/>
        <w:numPr>
          <w:ilvl w:val="0"/>
          <w:numId w:val="111"/>
        </w:numPr>
        <w:rPr>
          <w:lang w:val="sl-SI"/>
        </w:rPr>
      </w:pPr>
      <w:r w:rsidRPr="001048FE">
        <w:rPr>
          <w:lang w:val="sl-SI"/>
        </w:rPr>
        <w:t>cilja razvoja evropske razsežnosti v športu, zlasti množičnem, v skladu z delovnim načrtom EU na področju</w:t>
      </w:r>
      <w:r w:rsidRPr="001048FE">
        <w:rPr>
          <w:spacing w:val="2"/>
          <w:lang w:val="sl-SI"/>
        </w:rPr>
        <w:t xml:space="preserve"> </w:t>
      </w:r>
      <w:r w:rsidRPr="001048FE">
        <w:rPr>
          <w:lang w:val="sl-SI"/>
        </w:rPr>
        <w:t>športa;</w:t>
      </w:r>
    </w:p>
    <w:p w14:paraId="7D3985DA" w14:textId="77777777" w:rsidR="00E03711" w:rsidRPr="001048FE" w:rsidRDefault="00E03711" w:rsidP="005115F2">
      <w:pPr>
        <w:pStyle w:val="Guide-NormalBulletpoints"/>
        <w:numPr>
          <w:ilvl w:val="0"/>
          <w:numId w:val="111"/>
        </w:numPr>
        <w:rPr>
          <w:lang w:val="sl-SI"/>
        </w:rPr>
      </w:pPr>
      <w:r w:rsidRPr="001048FE">
        <w:rPr>
          <w:lang w:val="sl-SI"/>
        </w:rPr>
        <w:t xml:space="preserve">spodbujanja evropskih vrednot v skladu s členom 2 Pogodbe o Evropski uniji </w:t>
      </w:r>
      <w:r w:rsidRPr="001048FE">
        <w:rPr>
          <w:rStyle w:val="FootnoteReference"/>
          <w:lang w:val="sl-SI"/>
        </w:rPr>
        <w:footnoteReference w:id="4"/>
      </w:r>
      <w:bookmarkStart w:id="32" w:name="Pomembne_značilnosti_programa_Erasmus+"/>
      <w:bookmarkStart w:id="33" w:name="_bookmark6"/>
      <w:bookmarkEnd w:id="32"/>
      <w:bookmarkEnd w:id="33"/>
    </w:p>
    <w:p w14:paraId="7D3985DB" w14:textId="77777777" w:rsidR="00E03711" w:rsidRPr="001048FE" w:rsidRDefault="00E03711" w:rsidP="0030441A">
      <w:pPr>
        <w:pStyle w:val="Guide-Heading3"/>
        <w:rPr>
          <w:lang w:val="sl-SI"/>
        </w:rPr>
      </w:pPr>
      <w:bookmarkStart w:id="34" w:name="_Toc527400890"/>
      <w:bookmarkStart w:id="35" w:name="_Toc527401077"/>
      <w:r w:rsidRPr="001048FE">
        <w:rPr>
          <w:lang w:val="sl-SI"/>
        </w:rPr>
        <w:t>Pomembne značilnosti programa Erasmus+</w:t>
      </w:r>
      <w:bookmarkEnd w:id="34"/>
      <w:bookmarkEnd w:id="35"/>
    </w:p>
    <w:p w14:paraId="7D3985DC" w14:textId="77777777" w:rsidR="00E03711" w:rsidRPr="001048FE" w:rsidRDefault="00E03711" w:rsidP="00B1662F">
      <w:pPr>
        <w:pStyle w:val="GUIDE-NORMAL"/>
        <w:rPr>
          <w:lang w:val="sl-SI"/>
        </w:rPr>
      </w:pPr>
      <w:r w:rsidRPr="001048FE">
        <w:rPr>
          <w:lang w:val="sl-SI"/>
        </w:rPr>
        <w:t>Posebej</w:t>
      </w:r>
      <w:r w:rsidRPr="001048FE">
        <w:rPr>
          <w:spacing w:val="-17"/>
          <w:lang w:val="sl-SI"/>
        </w:rPr>
        <w:t xml:space="preserve"> </w:t>
      </w:r>
      <w:r w:rsidRPr="001048FE">
        <w:rPr>
          <w:lang w:val="sl-SI"/>
        </w:rPr>
        <w:t>je</w:t>
      </w:r>
      <w:r w:rsidRPr="001048FE">
        <w:rPr>
          <w:spacing w:val="-17"/>
          <w:lang w:val="sl-SI"/>
        </w:rPr>
        <w:t xml:space="preserve"> </w:t>
      </w:r>
      <w:r w:rsidRPr="001048FE">
        <w:rPr>
          <w:lang w:val="sl-SI"/>
        </w:rPr>
        <w:t>treba</w:t>
      </w:r>
      <w:r w:rsidRPr="001048FE">
        <w:rPr>
          <w:spacing w:val="-17"/>
          <w:lang w:val="sl-SI"/>
        </w:rPr>
        <w:t xml:space="preserve"> </w:t>
      </w:r>
      <w:r w:rsidRPr="001048FE">
        <w:rPr>
          <w:lang w:val="sl-SI"/>
        </w:rPr>
        <w:t>opozoriti</w:t>
      </w:r>
      <w:r w:rsidRPr="001048FE">
        <w:rPr>
          <w:spacing w:val="-17"/>
          <w:lang w:val="sl-SI"/>
        </w:rPr>
        <w:t xml:space="preserve"> </w:t>
      </w:r>
      <w:r w:rsidRPr="001048FE">
        <w:rPr>
          <w:lang w:val="sl-SI"/>
        </w:rPr>
        <w:t>na</w:t>
      </w:r>
      <w:r w:rsidRPr="001048FE">
        <w:rPr>
          <w:spacing w:val="-17"/>
          <w:lang w:val="sl-SI"/>
        </w:rPr>
        <w:t xml:space="preserve"> </w:t>
      </w:r>
      <w:r w:rsidRPr="001048FE">
        <w:rPr>
          <w:lang w:val="sl-SI"/>
        </w:rPr>
        <w:t>naslednje</w:t>
      </w:r>
      <w:r w:rsidRPr="001048FE">
        <w:rPr>
          <w:spacing w:val="-17"/>
          <w:lang w:val="sl-SI"/>
        </w:rPr>
        <w:t xml:space="preserve"> </w:t>
      </w:r>
      <w:r w:rsidRPr="001048FE">
        <w:rPr>
          <w:lang w:val="sl-SI"/>
        </w:rPr>
        <w:t>značilnosti</w:t>
      </w:r>
      <w:r w:rsidRPr="001048FE">
        <w:rPr>
          <w:spacing w:val="-17"/>
          <w:lang w:val="sl-SI"/>
        </w:rPr>
        <w:t xml:space="preserve"> </w:t>
      </w:r>
      <w:r w:rsidRPr="001048FE">
        <w:rPr>
          <w:lang w:val="sl-SI"/>
        </w:rPr>
        <w:t>Programa.</w:t>
      </w:r>
      <w:r w:rsidRPr="001048FE">
        <w:rPr>
          <w:spacing w:val="-17"/>
          <w:lang w:val="sl-SI"/>
        </w:rPr>
        <w:t xml:space="preserve"> </w:t>
      </w:r>
      <w:r w:rsidRPr="001048FE">
        <w:rPr>
          <w:lang w:val="sl-SI"/>
        </w:rPr>
        <w:t>Nekatere</w:t>
      </w:r>
      <w:r w:rsidRPr="001048FE">
        <w:rPr>
          <w:spacing w:val="-17"/>
          <w:lang w:val="sl-SI"/>
        </w:rPr>
        <w:t xml:space="preserve"> </w:t>
      </w:r>
      <w:r w:rsidRPr="001048FE">
        <w:rPr>
          <w:lang w:val="sl-SI"/>
        </w:rPr>
        <w:t>od</w:t>
      </w:r>
      <w:r w:rsidRPr="001048FE">
        <w:rPr>
          <w:spacing w:val="-17"/>
          <w:lang w:val="sl-SI"/>
        </w:rPr>
        <w:t xml:space="preserve"> </w:t>
      </w:r>
      <w:r w:rsidRPr="001048FE">
        <w:rPr>
          <w:lang w:val="sl-SI"/>
        </w:rPr>
        <w:t>teh</w:t>
      </w:r>
      <w:r w:rsidRPr="001048FE">
        <w:rPr>
          <w:spacing w:val="-17"/>
          <w:lang w:val="sl-SI"/>
        </w:rPr>
        <w:t xml:space="preserve"> </w:t>
      </w:r>
      <w:r w:rsidRPr="001048FE">
        <w:rPr>
          <w:lang w:val="sl-SI"/>
        </w:rPr>
        <w:t>so</w:t>
      </w:r>
      <w:r w:rsidRPr="001048FE">
        <w:rPr>
          <w:spacing w:val="-17"/>
          <w:lang w:val="sl-SI"/>
        </w:rPr>
        <w:t xml:space="preserve"> </w:t>
      </w:r>
      <w:r w:rsidRPr="001048FE">
        <w:rPr>
          <w:lang w:val="sl-SI"/>
        </w:rPr>
        <w:t>podrobneje predstavljene na spletišču</w:t>
      </w:r>
      <w:r w:rsidRPr="001048FE">
        <w:rPr>
          <w:spacing w:val="-9"/>
          <w:lang w:val="sl-SI"/>
        </w:rPr>
        <w:t xml:space="preserve"> </w:t>
      </w:r>
      <w:r w:rsidRPr="001048FE">
        <w:rPr>
          <w:lang w:val="sl-SI"/>
        </w:rPr>
        <w:t>Komisije.</w:t>
      </w:r>
    </w:p>
    <w:p w14:paraId="7D3985DD" w14:textId="77777777" w:rsidR="00E03711" w:rsidRPr="001048FE" w:rsidRDefault="00E03711" w:rsidP="00E23D2D">
      <w:pPr>
        <w:pStyle w:val="Guide-Heading4"/>
        <w:rPr>
          <w:lang w:val="sl-SI"/>
        </w:rPr>
      </w:pPr>
      <w:bookmarkStart w:id="36" w:name="_Toc527401078"/>
      <w:r w:rsidRPr="001048FE">
        <w:rPr>
          <w:lang w:val="sl-SI"/>
        </w:rPr>
        <w:t>Priznavanje in potrjevanje spretnosti in kvalifikacij</w:t>
      </w:r>
      <w:bookmarkEnd w:id="36"/>
    </w:p>
    <w:p w14:paraId="7D3985DE" w14:textId="77777777" w:rsidR="00E03711" w:rsidRPr="001048FE" w:rsidRDefault="00E03711" w:rsidP="00F63FE2">
      <w:pPr>
        <w:pStyle w:val="GUIDE-NORMAL"/>
        <w:rPr>
          <w:lang w:val="sl-SI"/>
        </w:rPr>
      </w:pPr>
      <w:r w:rsidRPr="001048FE">
        <w:rPr>
          <w:lang w:val="sl-SI"/>
        </w:rPr>
        <w:t>Erasmus+ v zvezi s spretnostmi in kvalifikacijami podpira orodja EU za preglednost in priznavanje – zlasti</w:t>
      </w:r>
      <w:r>
        <w:rPr>
          <w:lang w:val="sl-SI"/>
        </w:rPr>
        <w:t xml:space="preserve"> </w:t>
      </w:r>
      <w:r w:rsidRPr="001048FE">
        <w:rPr>
          <w:lang w:val="sl-SI"/>
        </w:rPr>
        <w:t>Europass, Youthpass,</w:t>
      </w:r>
      <w:r>
        <w:rPr>
          <w:lang w:val="sl-SI"/>
        </w:rPr>
        <w:t xml:space="preserve"> </w:t>
      </w:r>
      <w:r w:rsidRPr="001048FE">
        <w:rPr>
          <w:lang w:val="sl-SI"/>
        </w:rPr>
        <w:t>evropsko ogrodje kvalifikacij (EOK),</w:t>
      </w:r>
      <w:r>
        <w:rPr>
          <w:lang w:val="sl-SI"/>
        </w:rPr>
        <w:t xml:space="preserve"> </w:t>
      </w:r>
      <w:r w:rsidRPr="001048FE">
        <w:rPr>
          <w:lang w:val="sl-SI"/>
        </w:rPr>
        <w:t>evropski sistem prenašanja in zbiranja kreditnih točk (ECTS),</w:t>
      </w:r>
      <w:r>
        <w:rPr>
          <w:lang w:val="sl-SI"/>
        </w:rPr>
        <w:t xml:space="preserve"> </w:t>
      </w:r>
      <w:r w:rsidRPr="001048FE">
        <w:rPr>
          <w:lang w:val="sl-SI"/>
        </w:rPr>
        <w:t>evropski sistem kreditnih točk v poklicnem izobraževanju in usposabljanju (ECVET)</w:t>
      </w:r>
      <w:r>
        <w:rPr>
          <w:lang w:val="sl-SI"/>
        </w:rPr>
        <w:t xml:space="preserve">, </w:t>
      </w:r>
      <w:r w:rsidRPr="001048FE">
        <w:rPr>
          <w:lang w:val="sl-SI"/>
        </w:rPr>
        <w:t>evropski</w:t>
      </w:r>
      <w:r w:rsidRPr="001048FE">
        <w:rPr>
          <w:spacing w:val="-17"/>
          <w:lang w:val="sl-SI"/>
        </w:rPr>
        <w:t xml:space="preserve"> </w:t>
      </w:r>
      <w:r w:rsidRPr="001048FE">
        <w:rPr>
          <w:lang w:val="sl-SI"/>
        </w:rPr>
        <w:t>referenčni</w:t>
      </w:r>
      <w:r w:rsidRPr="001048FE">
        <w:rPr>
          <w:spacing w:val="-17"/>
          <w:lang w:val="sl-SI"/>
        </w:rPr>
        <w:t xml:space="preserve"> </w:t>
      </w:r>
      <w:r w:rsidRPr="001048FE">
        <w:rPr>
          <w:lang w:val="sl-SI"/>
        </w:rPr>
        <w:t>okvir</w:t>
      </w:r>
      <w:r w:rsidRPr="001048FE">
        <w:rPr>
          <w:spacing w:val="-16"/>
          <w:lang w:val="sl-SI"/>
        </w:rPr>
        <w:t xml:space="preserve"> </w:t>
      </w:r>
      <w:r w:rsidRPr="001048FE">
        <w:rPr>
          <w:lang w:val="sl-SI"/>
        </w:rPr>
        <w:t>za</w:t>
      </w:r>
      <w:r w:rsidRPr="001048FE">
        <w:rPr>
          <w:spacing w:val="-17"/>
          <w:lang w:val="sl-SI"/>
        </w:rPr>
        <w:t xml:space="preserve"> </w:t>
      </w:r>
      <w:r w:rsidRPr="001048FE">
        <w:rPr>
          <w:lang w:val="sl-SI"/>
        </w:rPr>
        <w:t>zagotavljanje</w:t>
      </w:r>
      <w:r w:rsidRPr="001048FE">
        <w:rPr>
          <w:spacing w:val="-17"/>
          <w:lang w:val="sl-SI"/>
        </w:rPr>
        <w:t xml:space="preserve"> </w:t>
      </w:r>
      <w:r w:rsidRPr="001048FE">
        <w:rPr>
          <w:lang w:val="sl-SI"/>
        </w:rPr>
        <w:t>kakovosti</w:t>
      </w:r>
      <w:r w:rsidRPr="001048FE">
        <w:rPr>
          <w:spacing w:val="-17"/>
          <w:lang w:val="sl-SI"/>
        </w:rPr>
        <w:t xml:space="preserve"> </w:t>
      </w:r>
      <w:r w:rsidRPr="001048FE">
        <w:rPr>
          <w:lang w:val="sl-SI"/>
        </w:rPr>
        <w:t>poklicnega</w:t>
      </w:r>
      <w:r w:rsidRPr="001048FE">
        <w:rPr>
          <w:spacing w:val="-17"/>
          <w:lang w:val="sl-SI"/>
        </w:rPr>
        <w:t xml:space="preserve"> </w:t>
      </w:r>
      <w:r w:rsidRPr="001048FE">
        <w:rPr>
          <w:lang w:val="sl-SI"/>
        </w:rPr>
        <w:t>izobraževanja</w:t>
      </w:r>
      <w:r w:rsidRPr="001048FE">
        <w:rPr>
          <w:spacing w:val="-17"/>
          <w:lang w:val="sl-SI"/>
        </w:rPr>
        <w:t xml:space="preserve"> </w:t>
      </w:r>
      <w:r w:rsidRPr="001048FE">
        <w:rPr>
          <w:lang w:val="sl-SI"/>
        </w:rPr>
        <w:t>in</w:t>
      </w:r>
      <w:r w:rsidRPr="001048FE">
        <w:rPr>
          <w:spacing w:val="-17"/>
          <w:lang w:val="sl-SI"/>
        </w:rPr>
        <w:t xml:space="preserve"> </w:t>
      </w:r>
      <w:r w:rsidRPr="001048FE">
        <w:rPr>
          <w:lang w:val="sl-SI"/>
        </w:rPr>
        <w:t>usposabljanja (EQAVET),</w:t>
      </w:r>
      <w:r>
        <w:rPr>
          <w:lang w:val="sl-SI"/>
        </w:rPr>
        <w:t xml:space="preserve"> </w:t>
      </w:r>
      <w:r w:rsidRPr="001048FE">
        <w:rPr>
          <w:lang w:val="sl-SI"/>
        </w:rPr>
        <w:t>evropski register za zagotavljanje kakovosti (EQAR),</w:t>
      </w:r>
      <w:r>
        <w:rPr>
          <w:lang w:val="sl-SI"/>
        </w:rPr>
        <w:t xml:space="preserve"> </w:t>
      </w:r>
      <w:r w:rsidRPr="001048FE">
        <w:rPr>
          <w:lang w:val="sl-SI"/>
        </w:rPr>
        <w:t>Evropsko združenje za zagotavljanje kakovosti v visokem šolstvu (ENQA)</w:t>
      </w:r>
      <w:r>
        <w:rPr>
          <w:lang w:val="sl-SI"/>
        </w:rPr>
        <w:t xml:space="preserve"> </w:t>
      </w:r>
      <w:r w:rsidRPr="001048FE">
        <w:rPr>
          <w:lang w:val="sl-SI"/>
        </w:rPr>
        <w:t>ter mreže na področju izobraževanja in usposabljanja na ravni EU, ki podpirajo ta orodja, zlasti nacionalne</w:t>
      </w:r>
      <w:r w:rsidRPr="001048FE">
        <w:rPr>
          <w:spacing w:val="-19"/>
          <w:lang w:val="sl-SI"/>
        </w:rPr>
        <w:t xml:space="preserve"> </w:t>
      </w:r>
      <w:r w:rsidRPr="001048FE">
        <w:rPr>
          <w:lang w:val="sl-SI"/>
        </w:rPr>
        <w:t>informacijske</w:t>
      </w:r>
      <w:r w:rsidRPr="001048FE">
        <w:rPr>
          <w:spacing w:val="-19"/>
          <w:lang w:val="sl-SI"/>
        </w:rPr>
        <w:t xml:space="preserve"> </w:t>
      </w:r>
      <w:r w:rsidRPr="001048FE">
        <w:rPr>
          <w:lang w:val="sl-SI"/>
        </w:rPr>
        <w:t>centre</w:t>
      </w:r>
      <w:r w:rsidRPr="001048FE">
        <w:rPr>
          <w:spacing w:val="-19"/>
          <w:lang w:val="sl-SI"/>
        </w:rPr>
        <w:t xml:space="preserve"> </w:t>
      </w:r>
      <w:r w:rsidRPr="001048FE">
        <w:rPr>
          <w:lang w:val="sl-SI"/>
        </w:rPr>
        <w:t>za</w:t>
      </w:r>
      <w:r w:rsidRPr="001048FE">
        <w:rPr>
          <w:spacing w:val="-19"/>
          <w:lang w:val="sl-SI"/>
        </w:rPr>
        <w:t xml:space="preserve"> </w:t>
      </w:r>
      <w:r w:rsidRPr="001048FE">
        <w:rPr>
          <w:lang w:val="sl-SI"/>
        </w:rPr>
        <w:t>priznavanje</w:t>
      </w:r>
      <w:r w:rsidRPr="001048FE">
        <w:rPr>
          <w:spacing w:val="-19"/>
          <w:lang w:val="sl-SI"/>
        </w:rPr>
        <w:t xml:space="preserve"> </w:t>
      </w:r>
      <w:r w:rsidRPr="001048FE">
        <w:rPr>
          <w:lang w:val="sl-SI"/>
        </w:rPr>
        <w:t>visokošolskih</w:t>
      </w:r>
      <w:r w:rsidRPr="001048FE">
        <w:rPr>
          <w:spacing w:val="-19"/>
          <w:lang w:val="sl-SI"/>
        </w:rPr>
        <w:t xml:space="preserve"> </w:t>
      </w:r>
      <w:r w:rsidRPr="001048FE">
        <w:rPr>
          <w:lang w:val="sl-SI"/>
        </w:rPr>
        <w:t>diplom</w:t>
      </w:r>
      <w:r w:rsidRPr="001048FE">
        <w:rPr>
          <w:spacing w:val="-19"/>
          <w:lang w:val="sl-SI"/>
        </w:rPr>
        <w:t xml:space="preserve"> </w:t>
      </w:r>
      <w:r w:rsidRPr="001048FE">
        <w:rPr>
          <w:lang w:val="sl-SI"/>
        </w:rPr>
        <w:t>(NARIC),</w:t>
      </w:r>
      <w:r w:rsidRPr="001048FE">
        <w:rPr>
          <w:spacing w:val="-19"/>
          <w:lang w:val="sl-SI"/>
        </w:rPr>
        <w:t xml:space="preserve"> </w:t>
      </w:r>
      <w:r w:rsidRPr="001048FE">
        <w:rPr>
          <w:lang w:val="sl-SI"/>
        </w:rPr>
        <w:t>mreže</w:t>
      </w:r>
      <w:r w:rsidRPr="001048FE">
        <w:rPr>
          <w:spacing w:val="-19"/>
          <w:lang w:val="sl-SI"/>
        </w:rPr>
        <w:t xml:space="preserve"> </w:t>
      </w:r>
      <w:r w:rsidRPr="001048FE">
        <w:rPr>
          <w:lang w:val="sl-SI"/>
        </w:rPr>
        <w:t>Euroguidance, nacionalne centre Europass in nacionalne koordinacijske točke</w:t>
      </w:r>
      <w:r w:rsidRPr="001048FE">
        <w:rPr>
          <w:spacing w:val="-30"/>
          <w:lang w:val="sl-SI"/>
        </w:rPr>
        <w:t xml:space="preserve"> </w:t>
      </w:r>
      <w:r w:rsidRPr="001048FE">
        <w:rPr>
          <w:lang w:val="sl-SI"/>
        </w:rPr>
        <w:t>EOK.</w:t>
      </w:r>
    </w:p>
    <w:p w14:paraId="7D3985DF" w14:textId="77777777" w:rsidR="00E03711" w:rsidRPr="001048FE" w:rsidRDefault="00E03711" w:rsidP="00B1662F">
      <w:pPr>
        <w:pStyle w:val="GUIDE-NORMAL"/>
        <w:rPr>
          <w:lang w:val="sl-SI"/>
        </w:rPr>
      </w:pPr>
      <w:r w:rsidRPr="001048FE">
        <w:rPr>
          <w:lang w:val="sl-SI"/>
        </w:rPr>
        <w:t>Skupni namen teh orodij je zagotoviti lažje priznavanje in boljše razumevanje spretnosti in kvalifikacij znotraj in zunaj nacionalnih meja, v vseh podsistemih izobraževanja in usposabljanja ter na</w:t>
      </w:r>
      <w:r w:rsidRPr="001048FE">
        <w:rPr>
          <w:spacing w:val="-8"/>
          <w:lang w:val="sl-SI"/>
        </w:rPr>
        <w:t xml:space="preserve"> </w:t>
      </w:r>
      <w:r w:rsidRPr="001048FE">
        <w:rPr>
          <w:lang w:val="sl-SI"/>
        </w:rPr>
        <w:t>trgu</w:t>
      </w:r>
      <w:r w:rsidRPr="001048FE">
        <w:rPr>
          <w:spacing w:val="-8"/>
          <w:lang w:val="sl-SI"/>
        </w:rPr>
        <w:t xml:space="preserve"> </w:t>
      </w:r>
      <w:r w:rsidRPr="001048FE">
        <w:rPr>
          <w:lang w:val="sl-SI"/>
        </w:rPr>
        <w:t>dela,</w:t>
      </w:r>
      <w:r w:rsidRPr="001048FE">
        <w:rPr>
          <w:spacing w:val="-8"/>
          <w:lang w:val="sl-SI"/>
        </w:rPr>
        <w:t xml:space="preserve"> </w:t>
      </w:r>
      <w:r w:rsidRPr="001048FE">
        <w:rPr>
          <w:lang w:val="sl-SI"/>
        </w:rPr>
        <w:t>ne</w:t>
      </w:r>
      <w:r w:rsidRPr="001048FE">
        <w:rPr>
          <w:spacing w:val="-8"/>
          <w:lang w:val="sl-SI"/>
        </w:rPr>
        <w:t xml:space="preserve"> </w:t>
      </w:r>
      <w:r w:rsidRPr="001048FE">
        <w:rPr>
          <w:lang w:val="sl-SI"/>
        </w:rPr>
        <w:t>glede</w:t>
      </w:r>
      <w:r w:rsidRPr="001048FE">
        <w:rPr>
          <w:spacing w:val="-8"/>
          <w:lang w:val="sl-SI"/>
        </w:rPr>
        <w:t xml:space="preserve"> </w:t>
      </w:r>
      <w:r w:rsidRPr="001048FE">
        <w:rPr>
          <w:lang w:val="sl-SI"/>
        </w:rPr>
        <w:t>na</w:t>
      </w:r>
      <w:r w:rsidRPr="001048FE">
        <w:rPr>
          <w:spacing w:val="-8"/>
          <w:lang w:val="sl-SI"/>
        </w:rPr>
        <w:t xml:space="preserve"> </w:t>
      </w:r>
      <w:r w:rsidRPr="001048FE">
        <w:rPr>
          <w:lang w:val="sl-SI"/>
        </w:rPr>
        <w:t>to,</w:t>
      </w:r>
      <w:r w:rsidRPr="001048FE">
        <w:rPr>
          <w:spacing w:val="-8"/>
          <w:lang w:val="sl-SI"/>
        </w:rPr>
        <w:t xml:space="preserve"> </w:t>
      </w:r>
      <w:r w:rsidRPr="001048FE">
        <w:rPr>
          <w:lang w:val="sl-SI"/>
        </w:rPr>
        <w:t>ali</w:t>
      </w:r>
      <w:r w:rsidRPr="001048FE">
        <w:rPr>
          <w:spacing w:val="-8"/>
          <w:lang w:val="sl-SI"/>
        </w:rPr>
        <w:t xml:space="preserve"> </w:t>
      </w:r>
      <w:r w:rsidRPr="001048FE">
        <w:rPr>
          <w:lang w:val="sl-SI"/>
        </w:rPr>
        <w:t>so</w:t>
      </w:r>
      <w:r w:rsidRPr="001048FE">
        <w:rPr>
          <w:spacing w:val="-8"/>
          <w:lang w:val="sl-SI"/>
        </w:rPr>
        <w:t xml:space="preserve"> </w:t>
      </w:r>
      <w:r w:rsidRPr="001048FE">
        <w:rPr>
          <w:lang w:val="sl-SI"/>
        </w:rPr>
        <w:t>bile</w:t>
      </w:r>
      <w:r w:rsidRPr="001048FE">
        <w:rPr>
          <w:spacing w:val="-8"/>
          <w:lang w:val="sl-SI"/>
        </w:rPr>
        <w:t xml:space="preserve"> </w:t>
      </w:r>
      <w:r w:rsidRPr="001048FE">
        <w:rPr>
          <w:lang w:val="sl-SI"/>
        </w:rPr>
        <w:t>pridobljene</w:t>
      </w:r>
      <w:r w:rsidRPr="001048FE">
        <w:rPr>
          <w:spacing w:val="-8"/>
          <w:lang w:val="sl-SI"/>
        </w:rPr>
        <w:t xml:space="preserve"> </w:t>
      </w:r>
      <w:r w:rsidRPr="001048FE">
        <w:rPr>
          <w:lang w:val="sl-SI"/>
        </w:rPr>
        <w:t>s</w:t>
      </w:r>
      <w:r w:rsidRPr="001048FE">
        <w:rPr>
          <w:spacing w:val="-8"/>
          <w:lang w:val="sl-SI"/>
        </w:rPr>
        <w:t xml:space="preserve"> </w:t>
      </w:r>
      <w:r w:rsidRPr="001048FE">
        <w:rPr>
          <w:lang w:val="sl-SI"/>
        </w:rPr>
        <w:t>formalnim</w:t>
      </w:r>
      <w:r w:rsidRPr="001048FE">
        <w:rPr>
          <w:spacing w:val="-8"/>
          <w:lang w:val="sl-SI"/>
        </w:rPr>
        <w:t xml:space="preserve"> </w:t>
      </w:r>
      <w:r w:rsidRPr="001048FE">
        <w:rPr>
          <w:lang w:val="sl-SI"/>
        </w:rPr>
        <w:t>izobraževanjem</w:t>
      </w:r>
      <w:r w:rsidRPr="001048FE">
        <w:rPr>
          <w:spacing w:val="-8"/>
          <w:lang w:val="sl-SI"/>
        </w:rPr>
        <w:t xml:space="preserve"> </w:t>
      </w:r>
      <w:r w:rsidRPr="001048FE">
        <w:rPr>
          <w:lang w:val="sl-SI"/>
        </w:rPr>
        <w:t>in</w:t>
      </w:r>
      <w:r w:rsidRPr="001048FE">
        <w:rPr>
          <w:spacing w:val="-8"/>
          <w:lang w:val="sl-SI"/>
        </w:rPr>
        <w:t xml:space="preserve"> </w:t>
      </w:r>
      <w:r w:rsidRPr="001048FE">
        <w:rPr>
          <w:lang w:val="sl-SI"/>
        </w:rPr>
        <w:t>usposabljanjem</w:t>
      </w:r>
      <w:r w:rsidRPr="001048FE">
        <w:rPr>
          <w:spacing w:val="-8"/>
          <w:lang w:val="sl-SI"/>
        </w:rPr>
        <w:t xml:space="preserve"> </w:t>
      </w:r>
      <w:r w:rsidRPr="001048FE">
        <w:rPr>
          <w:lang w:val="sl-SI"/>
        </w:rPr>
        <w:t>ali drugimi učnimi izkušnjami (npr. delovne izkušnje, prostovoljstvo, spletno učenje). Orodja so namenjena tudi zagotavljanju, da politike na področju izobraževanja, usposabljanja in mladine dodatno</w:t>
      </w:r>
      <w:r w:rsidRPr="001048FE">
        <w:rPr>
          <w:spacing w:val="-4"/>
          <w:lang w:val="sl-SI"/>
        </w:rPr>
        <w:t xml:space="preserve"> </w:t>
      </w:r>
      <w:r w:rsidRPr="001048FE">
        <w:rPr>
          <w:lang w:val="sl-SI"/>
        </w:rPr>
        <w:t>prispevajo</w:t>
      </w:r>
      <w:r w:rsidRPr="001048FE">
        <w:rPr>
          <w:spacing w:val="-4"/>
          <w:lang w:val="sl-SI"/>
        </w:rPr>
        <w:t xml:space="preserve"> </w:t>
      </w:r>
      <w:r w:rsidRPr="001048FE">
        <w:rPr>
          <w:lang w:val="sl-SI"/>
        </w:rPr>
        <w:t>k</w:t>
      </w:r>
      <w:r w:rsidRPr="001048FE">
        <w:rPr>
          <w:spacing w:val="-4"/>
          <w:lang w:val="sl-SI"/>
        </w:rPr>
        <w:t xml:space="preserve"> </w:t>
      </w:r>
      <w:r w:rsidRPr="001048FE">
        <w:rPr>
          <w:lang w:val="sl-SI"/>
        </w:rPr>
        <w:t>doseganju</w:t>
      </w:r>
      <w:r w:rsidRPr="001048FE">
        <w:rPr>
          <w:spacing w:val="-4"/>
          <w:lang w:val="sl-SI"/>
        </w:rPr>
        <w:t xml:space="preserve"> </w:t>
      </w:r>
      <w:r w:rsidRPr="001048FE">
        <w:rPr>
          <w:lang w:val="sl-SI"/>
        </w:rPr>
        <w:t>ciljev</w:t>
      </w:r>
      <w:r w:rsidRPr="001048FE">
        <w:rPr>
          <w:spacing w:val="-4"/>
          <w:lang w:val="sl-SI"/>
        </w:rPr>
        <w:t xml:space="preserve"> </w:t>
      </w:r>
      <w:r w:rsidRPr="001048FE">
        <w:rPr>
          <w:lang w:val="sl-SI"/>
        </w:rPr>
        <w:t>strategije</w:t>
      </w:r>
      <w:r w:rsidRPr="001048FE">
        <w:rPr>
          <w:spacing w:val="-4"/>
          <w:lang w:val="sl-SI"/>
        </w:rPr>
        <w:t xml:space="preserve"> </w:t>
      </w:r>
      <w:r w:rsidRPr="001048FE">
        <w:rPr>
          <w:lang w:val="sl-SI"/>
        </w:rPr>
        <w:t>Evropa</w:t>
      </w:r>
      <w:r w:rsidRPr="001048FE">
        <w:rPr>
          <w:spacing w:val="-4"/>
          <w:lang w:val="sl-SI"/>
        </w:rPr>
        <w:t xml:space="preserve"> </w:t>
      </w:r>
      <w:r w:rsidRPr="001048FE">
        <w:rPr>
          <w:lang w:val="sl-SI"/>
        </w:rPr>
        <w:t>2020</w:t>
      </w:r>
      <w:r w:rsidRPr="001048FE">
        <w:rPr>
          <w:spacing w:val="-4"/>
          <w:lang w:val="sl-SI"/>
        </w:rPr>
        <w:t xml:space="preserve"> </w:t>
      </w:r>
      <w:r w:rsidRPr="001048FE">
        <w:rPr>
          <w:lang w:val="sl-SI"/>
        </w:rPr>
        <w:t>–</w:t>
      </w:r>
      <w:r w:rsidRPr="001048FE">
        <w:rPr>
          <w:spacing w:val="-4"/>
          <w:lang w:val="sl-SI"/>
        </w:rPr>
        <w:t xml:space="preserve"> </w:t>
      </w:r>
      <w:r w:rsidRPr="001048FE">
        <w:rPr>
          <w:lang w:val="sl-SI"/>
        </w:rPr>
        <w:t>pametni,</w:t>
      </w:r>
      <w:r w:rsidRPr="001048FE">
        <w:rPr>
          <w:spacing w:val="-4"/>
          <w:lang w:val="sl-SI"/>
        </w:rPr>
        <w:t xml:space="preserve"> </w:t>
      </w:r>
      <w:r w:rsidRPr="001048FE">
        <w:rPr>
          <w:lang w:val="sl-SI"/>
        </w:rPr>
        <w:t>trajnostni</w:t>
      </w:r>
      <w:r w:rsidRPr="001048FE">
        <w:rPr>
          <w:spacing w:val="-4"/>
          <w:lang w:val="sl-SI"/>
        </w:rPr>
        <w:t xml:space="preserve"> </w:t>
      </w:r>
      <w:r w:rsidRPr="001048FE">
        <w:rPr>
          <w:lang w:val="sl-SI"/>
        </w:rPr>
        <w:t>in</w:t>
      </w:r>
      <w:r w:rsidRPr="001048FE">
        <w:rPr>
          <w:spacing w:val="-4"/>
          <w:lang w:val="sl-SI"/>
        </w:rPr>
        <w:t xml:space="preserve"> </w:t>
      </w:r>
      <w:r w:rsidRPr="001048FE">
        <w:rPr>
          <w:lang w:val="sl-SI"/>
        </w:rPr>
        <w:t>vključujoči</w:t>
      </w:r>
      <w:r w:rsidRPr="001048FE">
        <w:rPr>
          <w:spacing w:val="-4"/>
          <w:lang w:val="sl-SI"/>
        </w:rPr>
        <w:t xml:space="preserve"> </w:t>
      </w:r>
      <w:r w:rsidRPr="001048FE">
        <w:rPr>
          <w:lang w:val="sl-SI"/>
        </w:rPr>
        <w:t>rasti ter glavnim ciljem na področju izobraževanja in zaposlovanja z izboljšanjem vključevanja na trg dela in</w:t>
      </w:r>
      <w:r w:rsidRPr="001048FE">
        <w:rPr>
          <w:spacing w:val="-2"/>
          <w:lang w:val="sl-SI"/>
        </w:rPr>
        <w:t xml:space="preserve"> </w:t>
      </w:r>
      <w:r w:rsidRPr="001048FE">
        <w:rPr>
          <w:lang w:val="sl-SI"/>
        </w:rPr>
        <w:t>mobilnosti.</w:t>
      </w:r>
    </w:p>
    <w:p w14:paraId="7D3985E0" w14:textId="77777777" w:rsidR="00E03711" w:rsidRPr="001048FE" w:rsidRDefault="00E03711" w:rsidP="00B1662F">
      <w:pPr>
        <w:pStyle w:val="GUIDE-NORMAL"/>
        <w:rPr>
          <w:lang w:val="sl-SI"/>
        </w:rPr>
      </w:pPr>
      <w:r w:rsidRPr="001048FE">
        <w:rPr>
          <w:lang w:val="sl-SI"/>
        </w:rPr>
        <w:t>Za izpolnitev teh ciljev morajo biti razpoložljiva orodja zmožna obravnavati tudi nove pojave, na primer internacionalizacijo izobraževanja in vse večjo razširjenost digitalnega učenja, ter podpirati ustvarjanje fleksibilnih učnih poti v skladu s potrebami in cilji učečih se. Orodja se bodo morala v prihodnosti</w:t>
      </w:r>
      <w:r w:rsidRPr="001048FE">
        <w:rPr>
          <w:spacing w:val="-10"/>
          <w:lang w:val="sl-SI"/>
        </w:rPr>
        <w:t xml:space="preserve"> </w:t>
      </w:r>
      <w:r w:rsidRPr="001048FE">
        <w:rPr>
          <w:lang w:val="sl-SI"/>
        </w:rPr>
        <w:t>še</w:t>
      </w:r>
      <w:r w:rsidRPr="001048FE">
        <w:rPr>
          <w:spacing w:val="-10"/>
          <w:lang w:val="sl-SI"/>
        </w:rPr>
        <w:t xml:space="preserve"> </w:t>
      </w:r>
      <w:r w:rsidRPr="001048FE">
        <w:rPr>
          <w:lang w:val="sl-SI"/>
        </w:rPr>
        <w:t>naprej</w:t>
      </w:r>
      <w:r w:rsidRPr="001048FE">
        <w:rPr>
          <w:spacing w:val="-10"/>
          <w:lang w:val="sl-SI"/>
        </w:rPr>
        <w:t xml:space="preserve"> </w:t>
      </w:r>
      <w:r w:rsidRPr="001048FE">
        <w:rPr>
          <w:lang w:val="sl-SI"/>
        </w:rPr>
        <w:t>razvijati</w:t>
      </w:r>
      <w:r w:rsidRPr="001048FE">
        <w:rPr>
          <w:spacing w:val="-10"/>
          <w:lang w:val="sl-SI"/>
        </w:rPr>
        <w:t xml:space="preserve"> </w:t>
      </w:r>
      <w:r w:rsidRPr="001048FE">
        <w:rPr>
          <w:lang w:val="sl-SI"/>
        </w:rPr>
        <w:t>s</w:t>
      </w:r>
      <w:r w:rsidRPr="001048FE">
        <w:rPr>
          <w:spacing w:val="-10"/>
          <w:lang w:val="sl-SI"/>
        </w:rPr>
        <w:t xml:space="preserve"> </w:t>
      </w:r>
      <w:r w:rsidRPr="001048FE">
        <w:rPr>
          <w:lang w:val="sl-SI"/>
        </w:rPr>
        <w:t>ciljem</w:t>
      </w:r>
      <w:r w:rsidRPr="001048FE">
        <w:rPr>
          <w:spacing w:val="-10"/>
          <w:lang w:val="sl-SI"/>
        </w:rPr>
        <w:t xml:space="preserve"> </w:t>
      </w:r>
      <w:r w:rsidRPr="001048FE">
        <w:rPr>
          <w:lang w:val="sl-SI"/>
        </w:rPr>
        <w:t>okrepljene</w:t>
      </w:r>
      <w:r w:rsidRPr="001048FE">
        <w:rPr>
          <w:spacing w:val="-9"/>
          <w:lang w:val="sl-SI"/>
        </w:rPr>
        <w:t xml:space="preserve"> </w:t>
      </w:r>
      <w:r w:rsidRPr="001048FE">
        <w:rPr>
          <w:lang w:val="sl-SI"/>
        </w:rPr>
        <w:t>skladnosti</w:t>
      </w:r>
      <w:r w:rsidRPr="001048FE">
        <w:rPr>
          <w:spacing w:val="-10"/>
          <w:lang w:val="sl-SI"/>
        </w:rPr>
        <w:t xml:space="preserve"> </w:t>
      </w:r>
      <w:r w:rsidRPr="001048FE">
        <w:rPr>
          <w:lang w:val="sl-SI"/>
        </w:rPr>
        <w:t>in</w:t>
      </w:r>
      <w:r w:rsidRPr="001048FE">
        <w:rPr>
          <w:spacing w:val="-10"/>
          <w:lang w:val="sl-SI"/>
        </w:rPr>
        <w:t xml:space="preserve"> </w:t>
      </w:r>
      <w:r w:rsidRPr="001048FE">
        <w:rPr>
          <w:lang w:val="sl-SI"/>
        </w:rPr>
        <w:t>poenostavitve,</w:t>
      </w:r>
      <w:r w:rsidRPr="001048FE">
        <w:rPr>
          <w:spacing w:val="-10"/>
          <w:lang w:val="sl-SI"/>
        </w:rPr>
        <w:t xml:space="preserve"> </w:t>
      </w:r>
      <w:r w:rsidRPr="001048FE">
        <w:rPr>
          <w:lang w:val="sl-SI"/>
        </w:rPr>
        <w:t>ki</w:t>
      </w:r>
      <w:r w:rsidRPr="001048FE">
        <w:rPr>
          <w:spacing w:val="-10"/>
          <w:lang w:val="sl-SI"/>
        </w:rPr>
        <w:t xml:space="preserve"> </w:t>
      </w:r>
      <w:r w:rsidRPr="001048FE">
        <w:rPr>
          <w:lang w:val="sl-SI"/>
        </w:rPr>
        <w:t>omogoča</w:t>
      </w:r>
      <w:r w:rsidRPr="001048FE">
        <w:rPr>
          <w:spacing w:val="-9"/>
          <w:lang w:val="sl-SI"/>
        </w:rPr>
        <w:t xml:space="preserve"> </w:t>
      </w:r>
      <w:r w:rsidRPr="001048FE">
        <w:rPr>
          <w:lang w:val="sl-SI"/>
        </w:rPr>
        <w:t>učečim</w:t>
      </w:r>
      <w:r w:rsidRPr="001048FE">
        <w:rPr>
          <w:spacing w:val="-10"/>
          <w:lang w:val="sl-SI"/>
        </w:rPr>
        <w:t xml:space="preserve"> </w:t>
      </w:r>
      <w:r w:rsidRPr="001048FE">
        <w:rPr>
          <w:lang w:val="sl-SI"/>
        </w:rPr>
        <w:t>se in</w:t>
      </w:r>
      <w:r w:rsidRPr="001048FE">
        <w:rPr>
          <w:spacing w:val="-6"/>
          <w:lang w:val="sl-SI"/>
        </w:rPr>
        <w:t xml:space="preserve"> </w:t>
      </w:r>
      <w:r w:rsidRPr="001048FE">
        <w:rPr>
          <w:lang w:val="sl-SI"/>
        </w:rPr>
        <w:t>delavcem,</w:t>
      </w:r>
      <w:r w:rsidRPr="001048FE">
        <w:rPr>
          <w:spacing w:val="-6"/>
          <w:lang w:val="sl-SI"/>
        </w:rPr>
        <w:t xml:space="preserve"> </w:t>
      </w:r>
      <w:r w:rsidRPr="001048FE">
        <w:rPr>
          <w:lang w:val="sl-SI"/>
        </w:rPr>
        <w:t>da</w:t>
      </w:r>
      <w:r w:rsidRPr="001048FE">
        <w:rPr>
          <w:spacing w:val="-6"/>
          <w:lang w:val="sl-SI"/>
        </w:rPr>
        <w:t xml:space="preserve"> </w:t>
      </w:r>
      <w:r w:rsidRPr="001048FE">
        <w:rPr>
          <w:lang w:val="sl-SI"/>
        </w:rPr>
        <w:t>se</w:t>
      </w:r>
      <w:r w:rsidRPr="001048FE">
        <w:rPr>
          <w:spacing w:val="-6"/>
          <w:lang w:val="sl-SI"/>
        </w:rPr>
        <w:t xml:space="preserve"> </w:t>
      </w:r>
      <w:r w:rsidRPr="001048FE">
        <w:rPr>
          <w:lang w:val="sl-SI"/>
        </w:rPr>
        <w:t>prosto</w:t>
      </w:r>
      <w:r w:rsidRPr="001048FE">
        <w:rPr>
          <w:spacing w:val="-6"/>
          <w:lang w:val="sl-SI"/>
        </w:rPr>
        <w:t xml:space="preserve"> </w:t>
      </w:r>
      <w:r w:rsidRPr="001048FE">
        <w:rPr>
          <w:lang w:val="sl-SI"/>
        </w:rPr>
        <w:t>gibljejo</w:t>
      </w:r>
      <w:r w:rsidRPr="001048FE">
        <w:rPr>
          <w:spacing w:val="-6"/>
          <w:lang w:val="sl-SI"/>
        </w:rPr>
        <w:t xml:space="preserve"> </w:t>
      </w:r>
      <w:r w:rsidRPr="001048FE">
        <w:rPr>
          <w:lang w:val="sl-SI"/>
        </w:rPr>
        <w:t>za</w:t>
      </w:r>
      <w:r w:rsidRPr="001048FE">
        <w:rPr>
          <w:spacing w:val="-6"/>
          <w:lang w:val="sl-SI"/>
        </w:rPr>
        <w:t xml:space="preserve"> </w:t>
      </w:r>
      <w:r w:rsidRPr="001048FE">
        <w:rPr>
          <w:lang w:val="sl-SI"/>
        </w:rPr>
        <w:t>namene</w:t>
      </w:r>
      <w:r w:rsidRPr="001048FE">
        <w:rPr>
          <w:spacing w:val="-6"/>
          <w:lang w:val="sl-SI"/>
        </w:rPr>
        <w:t xml:space="preserve"> </w:t>
      </w:r>
      <w:r w:rsidRPr="001048FE">
        <w:rPr>
          <w:lang w:val="sl-SI"/>
        </w:rPr>
        <w:t>učenja</w:t>
      </w:r>
      <w:r w:rsidRPr="001048FE">
        <w:rPr>
          <w:spacing w:val="-6"/>
          <w:lang w:val="sl-SI"/>
        </w:rPr>
        <w:t xml:space="preserve"> </w:t>
      </w:r>
      <w:r w:rsidRPr="001048FE">
        <w:rPr>
          <w:lang w:val="sl-SI"/>
        </w:rPr>
        <w:t>ali</w:t>
      </w:r>
      <w:r w:rsidRPr="001048FE">
        <w:rPr>
          <w:spacing w:val="-6"/>
          <w:lang w:val="sl-SI"/>
        </w:rPr>
        <w:t xml:space="preserve"> </w:t>
      </w:r>
      <w:r w:rsidRPr="001048FE">
        <w:rPr>
          <w:lang w:val="sl-SI"/>
        </w:rPr>
        <w:t>zaposlovanja.</w:t>
      </w:r>
    </w:p>
    <w:p w14:paraId="7D3985E1" w14:textId="77777777" w:rsidR="00E03711" w:rsidRPr="001048FE" w:rsidRDefault="00E03711" w:rsidP="00B1662F">
      <w:pPr>
        <w:pStyle w:val="GUIDE-NORMAL"/>
        <w:rPr>
          <w:rStyle w:val="Guide-Condensed-01"/>
          <w:lang w:val="sl-SI"/>
        </w:rPr>
      </w:pPr>
      <w:r w:rsidRPr="001048FE">
        <w:rPr>
          <w:rStyle w:val="Guide-Condensed-01"/>
          <w:lang w:val="sl-SI"/>
        </w:rPr>
        <w:t xml:space="preserve">Več informacij je na voljo na spletišču: </w:t>
      </w:r>
      <w:hyperlink r:id="rId22">
        <w:r w:rsidRPr="001048FE">
          <w:rPr>
            <w:rStyle w:val="Hyperlink"/>
            <w:lang w:val="sl-SI"/>
          </w:rPr>
          <w:t>http://ec.europa.eu/education/policy/strategic-framework/skills-qualifications_sl</w:t>
        </w:r>
        <w:r w:rsidRPr="001048FE">
          <w:rPr>
            <w:rStyle w:val="Guide-Condensed-01"/>
            <w:lang w:val="sl-SI"/>
          </w:rPr>
          <w:t>.</w:t>
        </w:r>
      </w:hyperlink>
    </w:p>
    <w:p w14:paraId="7D3985E2" w14:textId="77777777" w:rsidR="00E03711" w:rsidRPr="001048FE" w:rsidRDefault="00E03711" w:rsidP="00B1662F">
      <w:pPr>
        <w:pStyle w:val="Guide-Heading4"/>
        <w:rPr>
          <w:lang w:val="sl-SI"/>
        </w:rPr>
      </w:pPr>
      <w:bookmarkStart w:id="37" w:name="_Toc527401079"/>
      <w:r w:rsidRPr="001048FE">
        <w:rPr>
          <w:lang w:val="sl-SI"/>
        </w:rPr>
        <w:t>Razširjanje in uporaba rezultatov projekta</w:t>
      </w:r>
      <w:bookmarkEnd w:id="37"/>
    </w:p>
    <w:p w14:paraId="7D3985E3" w14:textId="77777777" w:rsidR="00E03711" w:rsidRPr="001048FE" w:rsidRDefault="00E03711" w:rsidP="00850C4C">
      <w:pPr>
        <w:pStyle w:val="GUIDE-NORMAL"/>
        <w:rPr>
          <w:lang w:val="sl-SI"/>
        </w:rPr>
      </w:pPr>
      <w:r w:rsidRPr="001048FE">
        <w:rPr>
          <w:lang w:val="sl-SI"/>
        </w:rPr>
        <w:t>Razširjanje in uporaba rezultatov sta ključni področji v življenjskem ciklu projekta Erasmus+. Sodelujočim</w:t>
      </w:r>
      <w:r w:rsidRPr="001048FE">
        <w:rPr>
          <w:spacing w:val="-16"/>
          <w:lang w:val="sl-SI"/>
        </w:rPr>
        <w:t xml:space="preserve"> </w:t>
      </w:r>
      <w:r w:rsidRPr="001048FE">
        <w:rPr>
          <w:lang w:val="sl-SI"/>
        </w:rPr>
        <w:t>organizacijam</w:t>
      </w:r>
      <w:r w:rsidRPr="001048FE">
        <w:rPr>
          <w:spacing w:val="-15"/>
          <w:lang w:val="sl-SI"/>
        </w:rPr>
        <w:t xml:space="preserve"> </w:t>
      </w:r>
      <w:r w:rsidRPr="001048FE">
        <w:rPr>
          <w:lang w:val="sl-SI"/>
        </w:rPr>
        <w:t>nudita</w:t>
      </w:r>
      <w:r w:rsidRPr="001048FE">
        <w:rPr>
          <w:spacing w:val="-16"/>
          <w:lang w:val="sl-SI"/>
        </w:rPr>
        <w:t xml:space="preserve"> </w:t>
      </w:r>
      <w:r w:rsidRPr="001048FE">
        <w:rPr>
          <w:lang w:val="sl-SI"/>
        </w:rPr>
        <w:t>priložnost,</w:t>
      </w:r>
      <w:r w:rsidRPr="001048FE">
        <w:rPr>
          <w:spacing w:val="-16"/>
          <w:lang w:val="sl-SI"/>
        </w:rPr>
        <w:t xml:space="preserve"> </w:t>
      </w:r>
      <w:r w:rsidRPr="001048FE">
        <w:rPr>
          <w:lang w:val="sl-SI"/>
        </w:rPr>
        <w:t>da</w:t>
      </w:r>
      <w:r w:rsidRPr="001048FE">
        <w:rPr>
          <w:spacing w:val="-16"/>
          <w:lang w:val="sl-SI"/>
        </w:rPr>
        <w:t xml:space="preserve"> </w:t>
      </w:r>
      <w:r w:rsidRPr="001048FE">
        <w:rPr>
          <w:lang w:val="sl-SI"/>
        </w:rPr>
        <w:t>sporočajo</w:t>
      </w:r>
      <w:r w:rsidRPr="001048FE">
        <w:rPr>
          <w:spacing w:val="-16"/>
          <w:lang w:val="sl-SI"/>
        </w:rPr>
        <w:t xml:space="preserve"> </w:t>
      </w:r>
      <w:r w:rsidRPr="001048FE">
        <w:rPr>
          <w:lang w:val="sl-SI"/>
        </w:rPr>
        <w:t>in</w:t>
      </w:r>
      <w:r w:rsidRPr="001048FE">
        <w:rPr>
          <w:spacing w:val="-16"/>
          <w:lang w:val="sl-SI"/>
        </w:rPr>
        <w:t xml:space="preserve"> </w:t>
      </w:r>
      <w:r w:rsidRPr="001048FE">
        <w:rPr>
          <w:lang w:val="sl-SI"/>
        </w:rPr>
        <w:t>delijo</w:t>
      </w:r>
      <w:r w:rsidRPr="001048FE">
        <w:rPr>
          <w:spacing w:val="-16"/>
          <w:lang w:val="sl-SI"/>
        </w:rPr>
        <w:t xml:space="preserve"> </w:t>
      </w:r>
      <w:r w:rsidRPr="001048FE">
        <w:rPr>
          <w:lang w:val="sl-SI"/>
        </w:rPr>
        <w:t>rezultate,</w:t>
      </w:r>
      <w:r w:rsidRPr="001048FE">
        <w:rPr>
          <w:spacing w:val="-16"/>
          <w:lang w:val="sl-SI"/>
        </w:rPr>
        <w:t xml:space="preserve"> </w:t>
      </w:r>
      <w:r w:rsidRPr="001048FE">
        <w:rPr>
          <w:lang w:val="sl-SI"/>
        </w:rPr>
        <w:t>dosežene</w:t>
      </w:r>
      <w:r w:rsidRPr="001048FE">
        <w:rPr>
          <w:spacing w:val="-16"/>
          <w:lang w:val="sl-SI"/>
        </w:rPr>
        <w:t xml:space="preserve"> </w:t>
      </w:r>
      <w:r w:rsidRPr="001048FE">
        <w:rPr>
          <w:lang w:val="sl-SI"/>
        </w:rPr>
        <w:t>med</w:t>
      </w:r>
      <w:r w:rsidRPr="001048FE">
        <w:rPr>
          <w:spacing w:val="-16"/>
          <w:lang w:val="sl-SI"/>
        </w:rPr>
        <w:t xml:space="preserve"> </w:t>
      </w:r>
      <w:r w:rsidRPr="001048FE">
        <w:rPr>
          <w:lang w:val="sl-SI"/>
        </w:rPr>
        <w:t>svojim projektom, s tem pa razširijo učinek svojih projektov, izboljšajo njihovo trajnost in upravičijo evropsko dodano vrednost programa</w:t>
      </w:r>
      <w:r w:rsidRPr="001048FE">
        <w:rPr>
          <w:spacing w:val="-13"/>
          <w:lang w:val="sl-SI"/>
        </w:rPr>
        <w:t xml:space="preserve"> </w:t>
      </w:r>
      <w:r w:rsidRPr="001048FE">
        <w:rPr>
          <w:lang w:val="sl-SI"/>
        </w:rPr>
        <w:t>Erasmus+.</w:t>
      </w:r>
      <w:r>
        <w:rPr>
          <w:lang w:val="sl-SI"/>
        </w:rPr>
        <w:t xml:space="preserve"> </w:t>
      </w:r>
      <w:r w:rsidRPr="001048FE">
        <w:rPr>
          <w:lang w:val="sl-SI"/>
        </w:rPr>
        <w:t>Za uspešno razširjanje in uporabo rezultatov projekta se organizacije, ki so vključene v projekte Erasmus+, prosi, da pri oblikovanju in izvajanju svojega projekta posvetijo ustrezno pozornost aktivnostim razširjanja in uporabe. Raven in intenzivnost takih aktivnosti bi morali biti sorazmerni s področjem uporabe in cilji različnih ukrepov programa Erasmus+.</w:t>
      </w:r>
      <w:r>
        <w:rPr>
          <w:lang w:val="sl-SI"/>
        </w:rPr>
        <w:t xml:space="preserve"> </w:t>
      </w:r>
      <w:r w:rsidRPr="001048FE">
        <w:rPr>
          <w:lang w:val="sl-SI"/>
        </w:rPr>
        <w:t>Rezultati, doseženi s posameznim projektom, so morda izjemno pomembni in zanimivi tudi za področja, ki niso zajeta v projekt, in naloga teh posameznih projektov je razviti strategije in metode, ki bodo zagotovile enostaven dostop do razvoja in rezultatov. Posebne smernice v zvezi s tem so navedene v Prilogi II k temu vodniku za prijavitelje.</w:t>
      </w:r>
    </w:p>
    <w:p w14:paraId="7D3985E4" w14:textId="77777777" w:rsidR="00E03711" w:rsidRPr="001048FE" w:rsidRDefault="00E03711" w:rsidP="00E23D2D">
      <w:pPr>
        <w:pStyle w:val="Guide-Heading4"/>
        <w:rPr>
          <w:lang w:val="sl-SI"/>
        </w:rPr>
      </w:pPr>
      <w:bookmarkStart w:id="38" w:name="_Toc527401080"/>
      <w:r w:rsidRPr="001048FE">
        <w:rPr>
          <w:lang w:val="sl-SI"/>
        </w:rPr>
        <w:t>Zahteva glede prostega dostopa do učnih gradiv v okviru programa Erasmus+</w:t>
      </w:r>
      <w:bookmarkEnd w:id="38"/>
    </w:p>
    <w:p w14:paraId="7D3985E5" w14:textId="77777777" w:rsidR="00E03711" w:rsidRPr="001048FE" w:rsidRDefault="00E03711" w:rsidP="00B1662F">
      <w:pPr>
        <w:pStyle w:val="GUIDE-NORMAL"/>
        <w:rPr>
          <w:lang w:val="sl-SI"/>
        </w:rPr>
      </w:pPr>
      <w:r w:rsidRPr="001048FE">
        <w:rPr>
          <w:lang w:val="sl-SI"/>
        </w:rPr>
        <w:t>Erasmus+ spodbuja prost dostop do rezultatov projektov, s čimer podpira učenje, poučevanje, usposabljanje in mladinsko delo. Upravičenci programa Erasmus+ so zlasti zavezani, da vse učne vire in orodja, ki nastanejo v okviru podprtih projektov (dokumenti, nosilci podatkov, programska oprema ali druga gradiva), dajo na voljo javnosti z odprtimi licencami. Gradiva bi morala biti zlahka dostopna in bi jih moralo biti mogoče pridobiti brez stroškov ali omejitev, odprta licenca pa mora javnosti omogočati uporabo, ponovno uporabo, prilagajanje in deljenje virov. Takšna gradiva se imenujejo prosto dostopni učni viri (PDUV). V ta namen bi bilo treba vire naložiti na primerno in prosto dostopno platformo v uredljivi digitalni obliki. Erasmus+ upravičence spodbuja k uporabi čim bolj odprtih licenc</w:t>
      </w:r>
      <w:r w:rsidRPr="001048FE">
        <w:rPr>
          <w:rStyle w:val="FootnoteReference"/>
          <w:lang w:val="sl-SI"/>
        </w:rPr>
        <w:footnoteReference w:id="5"/>
      </w:r>
      <w:r w:rsidRPr="001048FE">
        <w:rPr>
          <w:lang w:val="sl-SI"/>
        </w:rPr>
        <w:t>, vendar upravičenci lahko izberejo licence, ki določajo nekatere omejitve, npr. omejujejo komercialno rabo s strani tretjih oseb ali tretje osebe zavezujejo k uporabi iste licence pri izvedenih delih, če je to primerno za naravo projekta in vrsto gradiva in če so javnosti še vedno omogočeni uporaba, ponovna uporaba, prilagajanje in deljenje vira. Zahteva po prostem dostopu je obvezna in ne posega v pravice intelektualne lastnine upravičencev do nepovratnih sredstev.</w:t>
      </w:r>
    </w:p>
    <w:p w14:paraId="7D3985E6" w14:textId="77777777" w:rsidR="00E03711" w:rsidRPr="001048FE" w:rsidRDefault="00E03711" w:rsidP="00E23D2D">
      <w:pPr>
        <w:pStyle w:val="Guide-Heading4"/>
        <w:rPr>
          <w:lang w:val="sl-SI"/>
        </w:rPr>
      </w:pPr>
      <w:bookmarkStart w:id="39" w:name="_Toc527401081"/>
      <w:r w:rsidRPr="001048FE">
        <w:rPr>
          <w:lang w:val="sl-SI"/>
        </w:rPr>
        <w:t>Prost dostop do raziskav in podatkov v okviru programa Erasmus+</w:t>
      </w:r>
      <w:bookmarkEnd w:id="39"/>
    </w:p>
    <w:p w14:paraId="7D3985E7" w14:textId="77777777" w:rsidR="00E03711" w:rsidRPr="001048FE" w:rsidRDefault="00E03711" w:rsidP="00B1662F">
      <w:pPr>
        <w:pStyle w:val="GUIDE-NORMAL"/>
        <w:rPr>
          <w:lang w:val="sl-SI"/>
        </w:rPr>
      </w:pPr>
      <w:r w:rsidRPr="001048FE">
        <w:rPr>
          <w:lang w:val="sl-SI"/>
        </w:rPr>
        <w:t>Erasmus+ upravičence spodbuja k objavi rezultatov raziskav, ki so prosto dostopni, tj. brez stroškov in drugih omejitev dostopa. Upravičence se prav tako spodbuja, da pri rezultatih raziskav uporabljajo odprte licence. Kadar je mogoče, bi morali biti podatki, zbrani v okviru projektov, objavljeni kot „odprti podatki“, tj. z odprto licenco, v primerni obliki in na primerni odprti podatkovni</w:t>
      </w:r>
      <w:r w:rsidRPr="001048FE">
        <w:rPr>
          <w:spacing w:val="62"/>
          <w:lang w:val="sl-SI"/>
        </w:rPr>
        <w:t xml:space="preserve"> </w:t>
      </w:r>
      <w:r w:rsidRPr="001048FE">
        <w:rPr>
          <w:lang w:val="sl-SI"/>
        </w:rPr>
        <w:t>platformi.</w:t>
      </w:r>
    </w:p>
    <w:p w14:paraId="7D3985E8" w14:textId="77777777" w:rsidR="00E03711" w:rsidRPr="001048FE" w:rsidRDefault="00E03711" w:rsidP="00E23D2D">
      <w:pPr>
        <w:pStyle w:val="Guide-Heading4"/>
        <w:rPr>
          <w:lang w:val="sl-SI"/>
        </w:rPr>
      </w:pPr>
      <w:bookmarkStart w:id="40" w:name="_Toc527401082"/>
      <w:r w:rsidRPr="001048FE">
        <w:rPr>
          <w:lang w:val="sl-SI"/>
        </w:rPr>
        <w:t>Mednarodna razsežnost</w:t>
      </w:r>
      <w:bookmarkEnd w:id="40"/>
    </w:p>
    <w:p w14:paraId="7D3985E9" w14:textId="77777777" w:rsidR="00E03711" w:rsidRPr="001048FE" w:rsidRDefault="00E03711" w:rsidP="00B1662F">
      <w:pPr>
        <w:pStyle w:val="GUIDE-NORMAL"/>
        <w:rPr>
          <w:lang w:val="sl-SI"/>
        </w:rPr>
      </w:pPr>
      <w:r w:rsidRPr="001048FE">
        <w:rPr>
          <w:lang w:val="sl-SI"/>
        </w:rPr>
        <w:t>Erasmus+ vključuje močno mednarodno razsežnost (tj. sodelovanje s partnerskimi državami), zlasti na področju visokošolskega izobraževanja in</w:t>
      </w:r>
      <w:r w:rsidRPr="001048FE">
        <w:rPr>
          <w:spacing w:val="11"/>
          <w:lang w:val="sl-SI"/>
        </w:rPr>
        <w:t xml:space="preserve"> </w:t>
      </w:r>
      <w:r w:rsidRPr="001048FE">
        <w:rPr>
          <w:lang w:val="sl-SI"/>
        </w:rPr>
        <w:t>mladine.</w:t>
      </w:r>
    </w:p>
    <w:p w14:paraId="7D3985EA" w14:textId="77777777" w:rsidR="00E03711" w:rsidRPr="001048FE" w:rsidRDefault="00E03711" w:rsidP="00B1662F">
      <w:pPr>
        <w:pStyle w:val="GUIDE-NORMAL"/>
        <w:rPr>
          <w:lang w:val="sl-SI"/>
        </w:rPr>
      </w:pPr>
      <w:r w:rsidRPr="001048FE">
        <w:rPr>
          <w:lang w:val="sl-SI"/>
        </w:rPr>
        <w:t>Na področju visokošolskega izobraževanja Erasmus+ podpira naslednje glavne ukrepe, ciljno usmerjene v sodelovanje s partnerskimi državami:</w:t>
      </w:r>
    </w:p>
    <w:p w14:paraId="7D3985EB" w14:textId="77777777" w:rsidR="00E03711" w:rsidRPr="001048FE" w:rsidRDefault="00E03711" w:rsidP="005115F2">
      <w:pPr>
        <w:pStyle w:val="Guide-NormalBulletpoints"/>
        <w:numPr>
          <w:ilvl w:val="0"/>
          <w:numId w:val="112"/>
        </w:numPr>
        <w:rPr>
          <w:lang w:val="sl-SI"/>
        </w:rPr>
      </w:pPr>
      <w:r w:rsidRPr="001048FE">
        <w:rPr>
          <w:b/>
          <w:lang w:val="sl-SI"/>
        </w:rPr>
        <w:t xml:space="preserve">mednarodno kreditno mobilnost posameznikov in skupni magistrski študij Erasmus Mundus </w:t>
      </w:r>
      <w:r w:rsidRPr="001048FE">
        <w:rPr>
          <w:lang w:val="sl-SI"/>
        </w:rPr>
        <w:t>(v okviru ključnega ukrepa 1), ki spodbujata mobilnost študentov in osebja v partnerske države in iz njih;</w:t>
      </w:r>
    </w:p>
    <w:p w14:paraId="7D3985EC" w14:textId="77777777" w:rsidR="00E03711" w:rsidRPr="001048FE" w:rsidRDefault="00E03711" w:rsidP="005115F2">
      <w:pPr>
        <w:pStyle w:val="Guide-NormalBulletpoints"/>
        <w:numPr>
          <w:ilvl w:val="0"/>
          <w:numId w:val="112"/>
        </w:numPr>
        <w:rPr>
          <w:lang w:val="sl-SI"/>
        </w:rPr>
      </w:pPr>
      <w:r w:rsidRPr="001048FE">
        <w:rPr>
          <w:b/>
          <w:lang w:val="sl-SI"/>
        </w:rPr>
        <w:t>projekte krepitve zmogljivosti v visokošolskem izobraževanju</w:t>
      </w:r>
      <w:r w:rsidRPr="001048FE">
        <w:rPr>
          <w:lang w:val="sl-SI"/>
        </w:rPr>
        <w:t xml:space="preserve"> (v okviru ključnega ukrepa 2), ki spodbujajo sodelovanje in partnerstva, ki vplivajo na posodobitev in internacionalizacijo visokošolskih institucij in sistemov v partnerskih državah, zlasti sosedskih partnerskih državah EU;</w:t>
      </w:r>
    </w:p>
    <w:p w14:paraId="7D3985ED" w14:textId="77777777" w:rsidR="00E03711" w:rsidRDefault="00E03711" w:rsidP="005115F2">
      <w:pPr>
        <w:pStyle w:val="Guide-NormalBulletpoints"/>
        <w:numPr>
          <w:ilvl w:val="0"/>
          <w:numId w:val="113"/>
        </w:numPr>
        <w:rPr>
          <w:lang w:val="sl-SI"/>
        </w:rPr>
      </w:pPr>
      <w:r w:rsidRPr="00C755F2">
        <w:rPr>
          <w:b/>
          <w:lang w:val="sl-SI"/>
        </w:rPr>
        <w:t xml:space="preserve">podporo dialogu o politikah </w:t>
      </w:r>
      <w:r w:rsidRPr="00C755F2">
        <w:rPr>
          <w:lang w:val="sl-SI"/>
        </w:rPr>
        <w:t>(v okviru ključnega ukrepa 3) prek mreže strokovnjakov za reformo visokošolskega izobraževanja v sosedskih partnerskih državah EU, mednarodnih združenj diplomantov, dialoga o politikah s partnerskimi državami ter mednarodnih dogodkov za promocijo in krepitev zanimanja;</w:t>
      </w:r>
    </w:p>
    <w:p w14:paraId="7D3985EE" w14:textId="77777777" w:rsidR="00E03711" w:rsidRDefault="00E03711" w:rsidP="005115F2">
      <w:pPr>
        <w:pStyle w:val="Guide-NormalBulletpoints"/>
        <w:numPr>
          <w:ilvl w:val="0"/>
          <w:numId w:val="113"/>
        </w:numPr>
        <w:rPr>
          <w:lang w:val="sl-SI"/>
        </w:rPr>
      </w:pPr>
      <w:r w:rsidRPr="00C755F2">
        <w:rPr>
          <w:lang w:val="sl-SI"/>
        </w:rPr>
        <w:t>aktivnosti</w:t>
      </w:r>
      <w:r w:rsidRPr="00C755F2">
        <w:rPr>
          <w:b/>
          <w:lang w:val="sl-SI"/>
        </w:rPr>
        <w:t xml:space="preserve"> Jean Monnet </w:t>
      </w:r>
      <w:r w:rsidRPr="00C755F2">
        <w:rPr>
          <w:lang w:val="sl-SI"/>
        </w:rPr>
        <w:t>s ciljem spodbuditi poučevanje, raziskovanje in premislek na področju študija Evropske unije po vsem svetu.</w:t>
      </w:r>
    </w:p>
    <w:p w14:paraId="7D3985EF" w14:textId="77777777" w:rsidR="00E03711" w:rsidRPr="001048FE" w:rsidRDefault="00E03711" w:rsidP="00B1662F">
      <w:pPr>
        <w:pStyle w:val="GUIDE-NORMAL"/>
        <w:rPr>
          <w:lang w:val="sl-SI"/>
        </w:rPr>
      </w:pPr>
      <w:r w:rsidRPr="001048FE">
        <w:rPr>
          <w:lang w:val="sl-SI"/>
        </w:rPr>
        <w:t>Na področju mladine Erasmus+ podpira naslednje glavne ukrepe:</w:t>
      </w:r>
    </w:p>
    <w:p w14:paraId="7D3985F0" w14:textId="77777777" w:rsidR="00E03711" w:rsidRPr="001048FE" w:rsidRDefault="00E03711" w:rsidP="005115F2">
      <w:pPr>
        <w:pStyle w:val="Guide-NormalBulletpoints"/>
        <w:numPr>
          <w:ilvl w:val="0"/>
          <w:numId w:val="316"/>
        </w:numPr>
        <w:rPr>
          <w:lang w:val="sl-SI"/>
        </w:rPr>
      </w:pPr>
      <w:r w:rsidRPr="001048FE">
        <w:rPr>
          <w:b/>
          <w:lang w:val="sl-SI"/>
        </w:rPr>
        <w:t xml:space="preserve">mobilnost za mlade in mladinske delavce </w:t>
      </w:r>
      <w:r w:rsidRPr="001048FE">
        <w:rPr>
          <w:lang w:val="sl-SI"/>
        </w:rPr>
        <w:t>(v okviru ključnega ukrepa 1), ki spodbuja mladinske</w:t>
      </w:r>
      <w:r w:rsidRPr="001048FE">
        <w:rPr>
          <w:spacing w:val="-17"/>
          <w:lang w:val="sl-SI"/>
        </w:rPr>
        <w:t xml:space="preserve"> </w:t>
      </w:r>
      <w:r w:rsidRPr="001048FE">
        <w:rPr>
          <w:lang w:val="sl-SI"/>
        </w:rPr>
        <w:t>izmenjave</w:t>
      </w:r>
      <w:r>
        <w:rPr>
          <w:lang w:val="sl-SI"/>
        </w:rPr>
        <w:t xml:space="preserve"> </w:t>
      </w:r>
      <w:r w:rsidRPr="001048FE">
        <w:rPr>
          <w:lang w:val="sl-SI"/>
        </w:rPr>
        <w:t>in</w:t>
      </w:r>
      <w:r w:rsidRPr="001048FE">
        <w:rPr>
          <w:spacing w:val="-17"/>
          <w:lang w:val="sl-SI"/>
        </w:rPr>
        <w:t xml:space="preserve"> </w:t>
      </w:r>
      <w:r w:rsidRPr="001048FE">
        <w:rPr>
          <w:lang w:val="sl-SI"/>
        </w:rPr>
        <w:t>mobilnost</w:t>
      </w:r>
      <w:r w:rsidRPr="001048FE">
        <w:rPr>
          <w:spacing w:val="-17"/>
          <w:lang w:val="sl-SI"/>
        </w:rPr>
        <w:t xml:space="preserve"> </w:t>
      </w:r>
      <w:r w:rsidRPr="001048FE">
        <w:rPr>
          <w:lang w:val="sl-SI"/>
        </w:rPr>
        <w:t>mladinskih</w:t>
      </w:r>
      <w:r w:rsidRPr="001048FE">
        <w:rPr>
          <w:spacing w:val="-17"/>
          <w:lang w:val="sl-SI"/>
        </w:rPr>
        <w:t xml:space="preserve"> </w:t>
      </w:r>
      <w:r w:rsidRPr="001048FE">
        <w:rPr>
          <w:lang w:val="sl-SI"/>
        </w:rPr>
        <w:t>delavcev</w:t>
      </w:r>
      <w:r w:rsidRPr="001048FE">
        <w:rPr>
          <w:spacing w:val="-17"/>
          <w:lang w:val="sl-SI"/>
        </w:rPr>
        <w:t xml:space="preserve"> </w:t>
      </w:r>
      <w:r w:rsidRPr="001048FE">
        <w:rPr>
          <w:lang w:val="sl-SI"/>
        </w:rPr>
        <w:t>v</w:t>
      </w:r>
      <w:r w:rsidRPr="001048FE">
        <w:rPr>
          <w:spacing w:val="-17"/>
          <w:lang w:val="sl-SI"/>
        </w:rPr>
        <w:t xml:space="preserve"> </w:t>
      </w:r>
      <w:r w:rsidRPr="001048FE">
        <w:rPr>
          <w:lang w:val="sl-SI"/>
        </w:rPr>
        <w:t>sodelovanju</w:t>
      </w:r>
      <w:r w:rsidRPr="001048FE">
        <w:rPr>
          <w:spacing w:val="-17"/>
          <w:lang w:val="sl-SI"/>
        </w:rPr>
        <w:t xml:space="preserve"> </w:t>
      </w:r>
      <w:r w:rsidRPr="001048FE">
        <w:rPr>
          <w:lang w:val="sl-SI"/>
        </w:rPr>
        <w:t>s sosedskimi partnerskimi državami</w:t>
      </w:r>
      <w:r w:rsidRPr="001048FE">
        <w:rPr>
          <w:spacing w:val="-8"/>
          <w:lang w:val="sl-SI"/>
        </w:rPr>
        <w:t xml:space="preserve"> </w:t>
      </w:r>
      <w:r w:rsidRPr="001048FE">
        <w:rPr>
          <w:lang w:val="sl-SI"/>
        </w:rPr>
        <w:t>EU;</w:t>
      </w:r>
    </w:p>
    <w:p w14:paraId="7D3985F1" w14:textId="77777777" w:rsidR="00E03711" w:rsidRPr="001048FE" w:rsidRDefault="00E03711" w:rsidP="005115F2">
      <w:pPr>
        <w:pStyle w:val="Guide-NormalBulletpoints"/>
        <w:numPr>
          <w:ilvl w:val="0"/>
          <w:numId w:val="316"/>
        </w:numPr>
        <w:rPr>
          <w:lang w:val="sl-SI"/>
        </w:rPr>
      </w:pPr>
      <w:r w:rsidRPr="001048FE">
        <w:rPr>
          <w:b/>
          <w:lang w:val="sl-SI"/>
        </w:rPr>
        <w:t xml:space="preserve">projekte krepitve zmogljivosti na področju mladine </w:t>
      </w:r>
      <w:r w:rsidRPr="001048FE">
        <w:rPr>
          <w:lang w:val="sl-SI"/>
        </w:rPr>
        <w:t>(v okviru ključnega ukrepa 2), ki spodbujajo aktivnosti sodelovanja in mobilnosti s pozitivnim učinkom na kvalitativni razvoj mladinskega dela, mladinskih politik in sistemov na področju mladine ter na priznavanje neformalnega izobraževanja v partnerskih državah, zlasti v afriških, karibskih in pacifiških, azijskih ter latinskoameriških državah;</w:t>
      </w:r>
    </w:p>
    <w:p w14:paraId="7D3985F2" w14:textId="77777777" w:rsidR="00E03711" w:rsidRPr="001048FE" w:rsidRDefault="00E03711" w:rsidP="005115F2">
      <w:pPr>
        <w:pStyle w:val="Guide-NormalBulletpoints"/>
        <w:numPr>
          <w:ilvl w:val="0"/>
          <w:numId w:val="316"/>
        </w:numPr>
        <w:rPr>
          <w:lang w:val="sl-SI"/>
        </w:rPr>
      </w:pPr>
      <w:r w:rsidRPr="001048FE">
        <w:rPr>
          <w:lang w:val="sl-SI"/>
        </w:rPr>
        <w:t xml:space="preserve">vključenost mladih in mladinskih organizacij iz sosedskih partnerskih držav EU v </w:t>
      </w:r>
      <w:r w:rsidRPr="00FC4A70">
        <w:rPr>
          <w:b/>
          <w:bCs/>
          <w:lang w:val="sl-SI"/>
        </w:rPr>
        <w:t xml:space="preserve">projekte </w:t>
      </w:r>
      <w:r w:rsidRPr="00C64D0E">
        <w:rPr>
          <w:b/>
          <w:bCs/>
          <w:lang w:val="sl-SI"/>
        </w:rPr>
        <w:t>D</w:t>
      </w:r>
      <w:r w:rsidRPr="00FC4A70">
        <w:rPr>
          <w:b/>
          <w:bCs/>
          <w:lang w:val="sl-SI"/>
        </w:rPr>
        <w:t>ialog mladih</w:t>
      </w:r>
      <w:r w:rsidRPr="001048FE">
        <w:rPr>
          <w:b/>
          <w:lang w:val="sl-SI"/>
        </w:rPr>
        <w:t xml:space="preserve"> </w:t>
      </w:r>
      <w:r w:rsidRPr="001048FE">
        <w:rPr>
          <w:lang w:val="sl-SI"/>
        </w:rPr>
        <w:t>(v okviru ključnega ukrepa 3) z njihovo udeležbo na mednarodnih srečanjih, konferencah in dogodkih, ki spodbujajo dialog med mladimi in oblikovalci politik.</w:t>
      </w:r>
    </w:p>
    <w:p w14:paraId="7D3985F3" w14:textId="77777777" w:rsidR="00E03711" w:rsidRPr="001048FE" w:rsidRDefault="00E03711" w:rsidP="00B1662F">
      <w:pPr>
        <w:pStyle w:val="GUIDE-NORMAL"/>
        <w:rPr>
          <w:lang w:val="sl-SI"/>
        </w:rPr>
      </w:pPr>
      <w:r w:rsidRPr="001048FE">
        <w:rPr>
          <w:lang w:val="sl-SI"/>
        </w:rPr>
        <w:t>Organizacije iz partnerskih držav lahko sodelujejo tudi v drugih ukrepih Programa (strateška partnerstva, koalicije znanja, koalicije sektorskih spretnosti, partnerska sodelovanja), če njihova udeležba pomeni dodano vrednost za projekt (za več informacij glej del B tega vodnika).</w:t>
      </w:r>
    </w:p>
    <w:p w14:paraId="7D3985F4" w14:textId="77777777" w:rsidR="00E03711" w:rsidRPr="001048FE" w:rsidRDefault="00E03711" w:rsidP="00B1662F">
      <w:pPr>
        <w:pStyle w:val="Guide-Heading4"/>
        <w:rPr>
          <w:lang w:val="sl-SI"/>
        </w:rPr>
      </w:pPr>
      <w:bookmarkStart w:id="41" w:name="Multilinguisme"/>
      <w:bookmarkStart w:id="42" w:name="_Toc527401083"/>
      <w:bookmarkEnd w:id="41"/>
      <w:r w:rsidRPr="001048FE">
        <w:rPr>
          <w:lang w:val="sl-SI"/>
        </w:rPr>
        <w:t>Večjezičnost</w:t>
      </w:r>
      <w:bookmarkEnd w:id="42"/>
    </w:p>
    <w:p w14:paraId="7D3985F5" w14:textId="77777777" w:rsidR="00E03711" w:rsidRPr="001048FE" w:rsidRDefault="00E03711" w:rsidP="00B1662F">
      <w:pPr>
        <w:pStyle w:val="GUIDE-NORMAL"/>
        <w:rPr>
          <w:lang w:val="sl-SI"/>
        </w:rPr>
      </w:pPr>
      <w:r w:rsidRPr="001048FE">
        <w:rPr>
          <w:lang w:val="sl-SI"/>
        </w:rPr>
        <w:t>Večjezičnost je eden od temeljev evropskega projekta in močan simbol prizadevanja EU za združenost</w:t>
      </w:r>
      <w:r w:rsidRPr="001048FE">
        <w:rPr>
          <w:spacing w:val="-9"/>
          <w:lang w:val="sl-SI"/>
        </w:rPr>
        <w:t xml:space="preserve"> </w:t>
      </w:r>
      <w:r w:rsidRPr="001048FE">
        <w:rPr>
          <w:lang w:val="sl-SI"/>
        </w:rPr>
        <w:t>v</w:t>
      </w:r>
      <w:r w:rsidRPr="001048FE">
        <w:rPr>
          <w:spacing w:val="-9"/>
          <w:lang w:val="sl-SI"/>
        </w:rPr>
        <w:t xml:space="preserve"> </w:t>
      </w:r>
      <w:r w:rsidRPr="001048FE">
        <w:rPr>
          <w:lang w:val="sl-SI"/>
        </w:rPr>
        <w:t>raznolikosti.</w:t>
      </w:r>
      <w:r w:rsidRPr="001048FE">
        <w:rPr>
          <w:spacing w:val="-9"/>
          <w:lang w:val="sl-SI"/>
        </w:rPr>
        <w:t xml:space="preserve"> </w:t>
      </w:r>
      <w:r w:rsidRPr="001048FE">
        <w:rPr>
          <w:lang w:val="sl-SI"/>
        </w:rPr>
        <w:t>Znanje</w:t>
      </w:r>
      <w:r w:rsidRPr="001048FE">
        <w:rPr>
          <w:spacing w:val="-9"/>
          <w:lang w:val="sl-SI"/>
        </w:rPr>
        <w:t xml:space="preserve"> </w:t>
      </w:r>
      <w:r w:rsidRPr="001048FE">
        <w:rPr>
          <w:lang w:val="sl-SI"/>
        </w:rPr>
        <w:t>tujih</w:t>
      </w:r>
      <w:r w:rsidRPr="001048FE">
        <w:rPr>
          <w:spacing w:val="-9"/>
          <w:lang w:val="sl-SI"/>
        </w:rPr>
        <w:t xml:space="preserve"> </w:t>
      </w:r>
      <w:r w:rsidRPr="001048FE">
        <w:rPr>
          <w:lang w:val="sl-SI"/>
        </w:rPr>
        <w:t>jezikov</w:t>
      </w:r>
      <w:r w:rsidRPr="001048FE">
        <w:rPr>
          <w:spacing w:val="-9"/>
          <w:lang w:val="sl-SI"/>
        </w:rPr>
        <w:t xml:space="preserve"> </w:t>
      </w:r>
      <w:r w:rsidRPr="001048FE">
        <w:rPr>
          <w:lang w:val="sl-SI"/>
        </w:rPr>
        <w:t>je</w:t>
      </w:r>
      <w:r w:rsidRPr="001048FE">
        <w:rPr>
          <w:spacing w:val="-9"/>
          <w:lang w:val="sl-SI"/>
        </w:rPr>
        <w:t xml:space="preserve"> </w:t>
      </w:r>
      <w:r w:rsidRPr="001048FE">
        <w:rPr>
          <w:lang w:val="sl-SI"/>
        </w:rPr>
        <w:t>ena</w:t>
      </w:r>
      <w:r w:rsidRPr="001048FE">
        <w:rPr>
          <w:spacing w:val="-9"/>
          <w:lang w:val="sl-SI"/>
        </w:rPr>
        <w:t xml:space="preserve"> </w:t>
      </w:r>
      <w:r w:rsidRPr="001048FE">
        <w:rPr>
          <w:lang w:val="sl-SI"/>
        </w:rPr>
        <w:t>od</w:t>
      </w:r>
      <w:r w:rsidRPr="001048FE">
        <w:rPr>
          <w:spacing w:val="-8"/>
          <w:lang w:val="sl-SI"/>
        </w:rPr>
        <w:t xml:space="preserve"> </w:t>
      </w:r>
      <w:r w:rsidRPr="001048FE">
        <w:rPr>
          <w:lang w:val="sl-SI"/>
        </w:rPr>
        <w:t>pomembnih</w:t>
      </w:r>
      <w:r w:rsidRPr="001048FE">
        <w:rPr>
          <w:spacing w:val="-9"/>
          <w:lang w:val="sl-SI"/>
        </w:rPr>
        <w:t xml:space="preserve"> </w:t>
      </w:r>
      <w:r w:rsidRPr="001048FE">
        <w:rPr>
          <w:lang w:val="sl-SI"/>
        </w:rPr>
        <w:t>spretnosti,</w:t>
      </w:r>
      <w:r w:rsidRPr="001048FE">
        <w:rPr>
          <w:spacing w:val="-9"/>
          <w:lang w:val="sl-SI"/>
        </w:rPr>
        <w:t xml:space="preserve"> </w:t>
      </w:r>
      <w:r w:rsidRPr="001048FE">
        <w:rPr>
          <w:lang w:val="sl-SI"/>
        </w:rPr>
        <w:t>ki</w:t>
      </w:r>
      <w:r w:rsidRPr="001048FE">
        <w:rPr>
          <w:spacing w:val="-9"/>
          <w:lang w:val="sl-SI"/>
        </w:rPr>
        <w:t xml:space="preserve"> </w:t>
      </w:r>
      <w:r w:rsidRPr="001048FE">
        <w:rPr>
          <w:lang w:val="sl-SI"/>
        </w:rPr>
        <w:t>bodo</w:t>
      </w:r>
      <w:r w:rsidRPr="001048FE">
        <w:rPr>
          <w:spacing w:val="-9"/>
          <w:lang w:val="sl-SI"/>
        </w:rPr>
        <w:t xml:space="preserve"> </w:t>
      </w:r>
      <w:r w:rsidRPr="001048FE">
        <w:rPr>
          <w:lang w:val="sl-SI"/>
        </w:rPr>
        <w:t>pripomogle</w:t>
      </w:r>
      <w:r w:rsidRPr="001048FE">
        <w:rPr>
          <w:spacing w:val="-9"/>
          <w:lang w:val="sl-SI"/>
        </w:rPr>
        <w:t xml:space="preserve"> </w:t>
      </w:r>
      <w:r w:rsidRPr="001048FE">
        <w:rPr>
          <w:lang w:val="sl-SI"/>
        </w:rPr>
        <w:t>k temu, da bodo ljudje bolje pripravljeni na trg dela in čim bolj izkoristili razpoložljive priložnosti. EU je opredelila cilj, da bi moral vsak državljan imeti priložnost usvojiti vsaj dva tuja jezika že od mladih let.</w:t>
      </w:r>
    </w:p>
    <w:p w14:paraId="7D3985F6" w14:textId="77777777" w:rsidR="00E03711" w:rsidRPr="001048FE" w:rsidRDefault="00E03711" w:rsidP="00B1662F">
      <w:pPr>
        <w:pStyle w:val="GUIDE-NORMAL"/>
        <w:rPr>
          <w:lang w:val="sl-SI"/>
        </w:rPr>
      </w:pPr>
      <w:r w:rsidRPr="001048FE">
        <w:rPr>
          <w:lang w:val="sl-SI"/>
        </w:rPr>
        <w:t>Spodbujanje učenja jezikov in jezikovne raznolikosti je eden od posebnih ciljev Programa. Pomanjkanje znanja jezikov je ena od glavnih ovir za udeležbo v evropskih programih na področju izobraževanja, usposabljanja in mladine. Cilj uvedenih priložnosti, ki ponujajo jezikovno podporo, je narediti mobilnost bolj učinkovito in uspešno, izboljšati učni uspeh in s tem prispevati k posebnemu cilju Programa.</w:t>
      </w:r>
    </w:p>
    <w:p w14:paraId="7D3985F7" w14:textId="77777777" w:rsidR="00E03711" w:rsidRPr="001048FE" w:rsidRDefault="00E03711" w:rsidP="00B1662F">
      <w:pPr>
        <w:pStyle w:val="GUIDE-NORMAL"/>
        <w:rPr>
          <w:lang w:val="sl-SI"/>
        </w:rPr>
      </w:pPr>
      <w:r w:rsidRPr="001048FE">
        <w:rPr>
          <w:lang w:val="sl-SI"/>
        </w:rPr>
        <w:t>Jezikovna podpora je na voljo v jeziku, ki ga udeleženci uporabljajo pri študiju</w:t>
      </w:r>
      <w:r>
        <w:rPr>
          <w:lang w:val="sl-SI"/>
        </w:rPr>
        <w:t xml:space="preserve"> ali</w:t>
      </w:r>
      <w:r w:rsidRPr="001048FE">
        <w:rPr>
          <w:lang w:val="sl-SI"/>
        </w:rPr>
        <w:t xml:space="preserve"> opravljanju prakse v tujini v okviru aktivnosti dolgotrajne mobilnosti, podprte s ključnim ukrepom 1.</w:t>
      </w:r>
    </w:p>
    <w:p w14:paraId="7D3985F8" w14:textId="77777777" w:rsidR="00E03711" w:rsidRPr="001048FE" w:rsidRDefault="00E03711" w:rsidP="00B1662F">
      <w:pPr>
        <w:pStyle w:val="GUIDE-NORMAL"/>
        <w:rPr>
          <w:lang w:val="sl-SI"/>
        </w:rPr>
      </w:pPr>
      <w:r w:rsidRPr="001048FE">
        <w:rPr>
          <w:lang w:val="sl-SI"/>
        </w:rPr>
        <w:t>Jezikovna</w:t>
      </w:r>
      <w:r w:rsidRPr="001048FE">
        <w:rPr>
          <w:spacing w:val="-23"/>
          <w:lang w:val="sl-SI"/>
        </w:rPr>
        <w:t xml:space="preserve"> </w:t>
      </w:r>
      <w:r w:rsidRPr="001048FE">
        <w:rPr>
          <w:lang w:val="sl-SI"/>
        </w:rPr>
        <w:t>podpora</w:t>
      </w:r>
      <w:r w:rsidRPr="001048FE">
        <w:rPr>
          <w:spacing w:val="-23"/>
          <w:lang w:val="sl-SI"/>
        </w:rPr>
        <w:t xml:space="preserve"> </w:t>
      </w:r>
      <w:r w:rsidRPr="001048FE">
        <w:rPr>
          <w:lang w:val="sl-SI"/>
        </w:rPr>
        <w:t>bo</w:t>
      </w:r>
      <w:r w:rsidRPr="001048FE">
        <w:rPr>
          <w:spacing w:val="-23"/>
          <w:lang w:val="sl-SI"/>
        </w:rPr>
        <w:t xml:space="preserve"> </w:t>
      </w:r>
      <w:r w:rsidRPr="001048FE">
        <w:rPr>
          <w:lang w:val="sl-SI"/>
        </w:rPr>
        <w:t>na</w:t>
      </w:r>
      <w:r w:rsidRPr="001048FE">
        <w:rPr>
          <w:spacing w:val="-23"/>
          <w:lang w:val="sl-SI"/>
        </w:rPr>
        <w:t xml:space="preserve"> </w:t>
      </w:r>
      <w:r w:rsidRPr="001048FE">
        <w:rPr>
          <w:lang w:val="sl-SI"/>
        </w:rPr>
        <w:t>voljo</w:t>
      </w:r>
      <w:r w:rsidRPr="001048FE">
        <w:rPr>
          <w:spacing w:val="-23"/>
          <w:lang w:val="sl-SI"/>
        </w:rPr>
        <w:t xml:space="preserve"> </w:t>
      </w:r>
      <w:r w:rsidRPr="001048FE">
        <w:rPr>
          <w:lang w:val="sl-SI"/>
        </w:rPr>
        <w:t>predvsem</w:t>
      </w:r>
      <w:r w:rsidRPr="001048FE">
        <w:rPr>
          <w:spacing w:val="-23"/>
          <w:lang w:val="sl-SI"/>
        </w:rPr>
        <w:t xml:space="preserve"> </w:t>
      </w:r>
      <w:r w:rsidRPr="001048FE">
        <w:rPr>
          <w:lang w:val="sl-SI"/>
        </w:rPr>
        <w:t>prek</w:t>
      </w:r>
      <w:r w:rsidRPr="001048FE">
        <w:rPr>
          <w:spacing w:val="-23"/>
          <w:lang w:val="sl-SI"/>
        </w:rPr>
        <w:t xml:space="preserve"> </w:t>
      </w:r>
      <w:hyperlink r:id="rId23">
        <w:r w:rsidRPr="001048FE">
          <w:rPr>
            <w:rStyle w:val="Hyperlink"/>
            <w:lang w:val="sl-SI"/>
          </w:rPr>
          <w:t>spletne jezikovne podpore Erasmus+</w:t>
        </w:r>
      </w:hyperlink>
      <w:r w:rsidRPr="001048FE">
        <w:rPr>
          <w:lang w:val="sl-SI"/>
        </w:rPr>
        <w:t>,</w:t>
      </w:r>
      <w:r w:rsidRPr="001048FE">
        <w:rPr>
          <w:spacing w:val="-23"/>
          <w:lang w:val="sl-SI"/>
        </w:rPr>
        <w:t xml:space="preserve"> </w:t>
      </w:r>
      <w:r w:rsidRPr="001048FE">
        <w:rPr>
          <w:lang w:val="sl-SI"/>
        </w:rPr>
        <w:t>saj</w:t>
      </w:r>
      <w:r w:rsidRPr="001048FE">
        <w:rPr>
          <w:spacing w:val="-23"/>
          <w:lang w:val="sl-SI"/>
        </w:rPr>
        <w:t xml:space="preserve"> </w:t>
      </w:r>
      <w:r w:rsidRPr="001048FE">
        <w:rPr>
          <w:lang w:val="sl-SI"/>
        </w:rPr>
        <w:t>ima</w:t>
      </w:r>
      <w:r w:rsidRPr="001048FE">
        <w:rPr>
          <w:spacing w:val="-23"/>
          <w:lang w:val="sl-SI"/>
        </w:rPr>
        <w:t xml:space="preserve"> </w:t>
      </w:r>
      <w:r w:rsidRPr="001048FE">
        <w:rPr>
          <w:lang w:val="sl-SI"/>
        </w:rPr>
        <w:t>e-učenje jezikov prednosti v smislu dostopa in</w:t>
      </w:r>
      <w:r w:rsidRPr="001048FE">
        <w:rPr>
          <w:spacing w:val="-12"/>
          <w:lang w:val="sl-SI"/>
        </w:rPr>
        <w:t xml:space="preserve"> </w:t>
      </w:r>
      <w:r w:rsidRPr="001048FE">
        <w:rPr>
          <w:lang w:val="sl-SI"/>
        </w:rPr>
        <w:t>prilagodljivosti.</w:t>
      </w:r>
    </w:p>
    <w:p w14:paraId="7D3985F9" w14:textId="77777777" w:rsidR="00E03711" w:rsidRPr="001048FE" w:rsidRDefault="00E03711" w:rsidP="00B1662F">
      <w:pPr>
        <w:pStyle w:val="GUIDE-NORMAL"/>
        <w:rPr>
          <w:lang w:val="sl-SI"/>
        </w:rPr>
      </w:pPr>
      <w:r w:rsidRPr="001048FE">
        <w:rPr>
          <w:lang w:val="sl-SI"/>
        </w:rPr>
        <w:t>Spletna</w:t>
      </w:r>
      <w:r w:rsidRPr="001048FE">
        <w:rPr>
          <w:spacing w:val="-22"/>
          <w:lang w:val="sl-SI"/>
        </w:rPr>
        <w:t xml:space="preserve"> </w:t>
      </w:r>
      <w:r w:rsidRPr="001048FE">
        <w:rPr>
          <w:lang w:val="sl-SI"/>
        </w:rPr>
        <w:t>jezikovna</w:t>
      </w:r>
      <w:r w:rsidRPr="001048FE">
        <w:rPr>
          <w:spacing w:val="-22"/>
          <w:lang w:val="sl-SI"/>
        </w:rPr>
        <w:t xml:space="preserve"> </w:t>
      </w:r>
      <w:r w:rsidRPr="001048FE">
        <w:rPr>
          <w:lang w:val="sl-SI"/>
        </w:rPr>
        <w:t>podpora</w:t>
      </w:r>
      <w:r w:rsidRPr="001048FE">
        <w:rPr>
          <w:spacing w:val="-22"/>
          <w:lang w:val="sl-SI"/>
        </w:rPr>
        <w:t xml:space="preserve"> </w:t>
      </w:r>
      <w:r w:rsidRPr="001048FE">
        <w:rPr>
          <w:lang w:val="sl-SI"/>
        </w:rPr>
        <w:t>Erasmus+</w:t>
      </w:r>
      <w:r w:rsidRPr="001048FE">
        <w:rPr>
          <w:spacing w:val="-22"/>
          <w:lang w:val="sl-SI"/>
        </w:rPr>
        <w:t xml:space="preserve"> </w:t>
      </w:r>
      <w:r w:rsidRPr="001048FE">
        <w:rPr>
          <w:lang w:val="sl-SI"/>
        </w:rPr>
        <w:t>(</w:t>
      </w:r>
      <w:hyperlink r:id="rId24">
        <w:r w:rsidRPr="001048FE">
          <w:rPr>
            <w:rStyle w:val="Hyperlink"/>
            <w:lang w:val="sl-SI"/>
          </w:rPr>
          <w:t>http://erasmusplusols.eu/sl/</w:t>
        </w:r>
      </w:hyperlink>
      <w:r w:rsidRPr="001048FE">
        <w:rPr>
          <w:lang w:val="sl-SI"/>
        </w:rPr>
        <w:t>)</w:t>
      </w:r>
      <w:r w:rsidRPr="001048FE">
        <w:rPr>
          <w:spacing w:val="-22"/>
          <w:lang w:val="sl-SI"/>
        </w:rPr>
        <w:t xml:space="preserve"> </w:t>
      </w:r>
      <w:r w:rsidRPr="001048FE">
        <w:rPr>
          <w:lang w:val="sl-SI"/>
        </w:rPr>
        <w:t>vključuje</w:t>
      </w:r>
      <w:r w:rsidRPr="001048FE">
        <w:rPr>
          <w:spacing w:val="-22"/>
          <w:lang w:val="sl-SI"/>
        </w:rPr>
        <w:t xml:space="preserve"> </w:t>
      </w:r>
      <w:r w:rsidRPr="001048FE">
        <w:rPr>
          <w:lang w:val="sl-SI"/>
        </w:rPr>
        <w:t>obvezno</w:t>
      </w:r>
      <w:r w:rsidRPr="001048FE">
        <w:rPr>
          <w:spacing w:val="-22"/>
          <w:lang w:val="sl-SI"/>
        </w:rPr>
        <w:t xml:space="preserve"> </w:t>
      </w:r>
      <w:r w:rsidRPr="001048FE">
        <w:rPr>
          <w:lang w:val="sl-SI"/>
        </w:rPr>
        <w:t>oceno</w:t>
      </w:r>
      <w:r w:rsidRPr="001048FE">
        <w:rPr>
          <w:spacing w:val="-22"/>
          <w:lang w:val="sl-SI"/>
        </w:rPr>
        <w:t xml:space="preserve"> </w:t>
      </w:r>
      <w:r w:rsidRPr="001048FE">
        <w:rPr>
          <w:lang w:val="sl-SI"/>
        </w:rPr>
        <w:t>znanja jezikov</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prostovoljne</w:t>
      </w:r>
      <w:r w:rsidRPr="001048FE">
        <w:rPr>
          <w:spacing w:val="-13"/>
          <w:lang w:val="sl-SI"/>
        </w:rPr>
        <w:t xml:space="preserve"> </w:t>
      </w:r>
      <w:r w:rsidRPr="001048FE">
        <w:rPr>
          <w:lang w:val="sl-SI"/>
        </w:rPr>
        <w:t>jezikovne</w:t>
      </w:r>
      <w:r w:rsidRPr="001048FE">
        <w:rPr>
          <w:spacing w:val="-13"/>
          <w:lang w:val="sl-SI"/>
        </w:rPr>
        <w:t xml:space="preserve"> </w:t>
      </w:r>
      <w:r w:rsidRPr="001048FE">
        <w:rPr>
          <w:lang w:val="sl-SI"/>
        </w:rPr>
        <w:t>tečaje.</w:t>
      </w:r>
      <w:r w:rsidRPr="001048FE">
        <w:rPr>
          <w:spacing w:val="-13"/>
          <w:lang w:val="sl-SI"/>
        </w:rPr>
        <w:t xml:space="preserve"> </w:t>
      </w:r>
      <w:r w:rsidRPr="001048FE">
        <w:rPr>
          <w:lang w:val="sl-SI"/>
        </w:rPr>
        <w:t>Ocena</w:t>
      </w:r>
      <w:r w:rsidRPr="001048FE">
        <w:rPr>
          <w:spacing w:val="-13"/>
          <w:lang w:val="sl-SI"/>
        </w:rPr>
        <w:t xml:space="preserve"> </w:t>
      </w:r>
      <w:r w:rsidRPr="001048FE">
        <w:rPr>
          <w:lang w:val="sl-SI"/>
        </w:rPr>
        <w:t>znanja</w:t>
      </w:r>
      <w:r w:rsidRPr="001048FE">
        <w:rPr>
          <w:spacing w:val="-13"/>
          <w:lang w:val="sl-SI"/>
        </w:rPr>
        <w:t xml:space="preserve"> </w:t>
      </w:r>
      <w:r w:rsidRPr="001048FE">
        <w:rPr>
          <w:lang w:val="sl-SI"/>
        </w:rPr>
        <w:t>jezikov</w:t>
      </w:r>
      <w:r w:rsidRPr="001048FE">
        <w:rPr>
          <w:spacing w:val="-13"/>
          <w:lang w:val="sl-SI"/>
        </w:rPr>
        <w:t xml:space="preserve"> </w:t>
      </w:r>
      <w:r w:rsidRPr="001048FE">
        <w:rPr>
          <w:lang w:val="sl-SI"/>
        </w:rPr>
        <w:t>je</w:t>
      </w:r>
      <w:r w:rsidRPr="001048FE">
        <w:rPr>
          <w:spacing w:val="-13"/>
          <w:lang w:val="sl-SI"/>
        </w:rPr>
        <w:t xml:space="preserve"> </w:t>
      </w:r>
      <w:r w:rsidRPr="001048FE">
        <w:rPr>
          <w:lang w:val="sl-SI"/>
        </w:rPr>
        <w:t>ključni</w:t>
      </w:r>
      <w:r w:rsidRPr="001048FE">
        <w:rPr>
          <w:spacing w:val="-13"/>
          <w:lang w:val="sl-SI"/>
        </w:rPr>
        <w:t xml:space="preserve"> </w:t>
      </w:r>
      <w:r w:rsidRPr="001048FE">
        <w:rPr>
          <w:lang w:val="sl-SI"/>
        </w:rPr>
        <w:t>vidik</w:t>
      </w:r>
      <w:r w:rsidRPr="001048FE">
        <w:rPr>
          <w:spacing w:val="-13"/>
          <w:lang w:val="sl-SI"/>
        </w:rPr>
        <w:t xml:space="preserve"> </w:t>
      </w:r>
      <w:r w:rsidRPr="001048FE">
        <w:rPr>
          <w:lang w:val="sl-SI"/>
        </w:rPr>
        <w:t>pobude,</w:t>
      </w:r>
      <w:r w:rsidRPr="001048FE">
        <w:rPr>
          <w:spacing w:val="-13"/>
          <w:lang w:val="sl-SI"/>
        </w:rPr>
        <w:t xml:space="preserve"> </w:t>
      </w:r>
      <w:r w:rsidRPr="001048FE">
        <w:rPr>
          <w:lang w:val="sl-SI"/>
        </w:rPr>
        <w:t>da</w:t>
      </w:r>
      <w:r w:rsidRPr="001048FE">
        <w:rPr>
          <w:spacing w:val="-13"/>
          <w:lang w:val="sl-SI"/>
        </w:rPr>
        <w:t xml:space="preserve"> </w:t>
      </w:r>
      <w:r w:rsidRPr="001048FE">
        <w:rPr>
          <w:lang w:val="sl-SI"/>
        </w:rPr>
        <w:t>se</w:t>
      </w:r>
      <w:r w:rsidRPr="001048FE">
        <w:rPr>
          <w:spacing w:val="-13"/>
          <w:lang w:val="sl-SI"/>
        </w:rPr>
        <w:t xml:space="preserve"> </w:t>
      </w:r>
      <w:r w:rsidRPr="001048FE">
        <w:rPr>
          <w:lang w:val="sl-SI"/>
        </w:rPr>
        <w:t>lahko</w:t>
      </w:r>
      <w:r w:rsidRPr="001048FE">
        <w:rPr>
          <w:spacing w:val="-13"/>
          <w:lang w:val="sl-SI"/>
        </w:rPr>
        <w:t xml:space="preserve"> </w:t>
      </w:r>
      <w:r w:rsidRPr="001048FE">
        <w:rPr>
          <w:lang w:val="sl-SI"/>
        </w:rPr>
        <w:t>za vsakega</w:t>
      </w:r>
      <w:r w:rsidRPr="001048FE">
        <w:rPr>
          <w:spacing w:val="-22"/>
          <w:lang w:val="sl-SI"/>
        </w:rPr>
        <w:t xml:space="preserve"> </w:t>
      </w:r>
      <w:r w:rsidRPr="001048FE">
        <w:rPr>
          <w:lang w:val="sl-SI"/>
        </w:rPr>
        <w:t>udeleženca</w:t>
      </w:r>
      <w:r w:rsidRPr="001048FE">
        <w:rPr>
          <w:spacing w:val="-22"/>
          <w:lang w:val="sl-SI"/>
        </w:rPr>
        <w:t xml:space="preserve"> </w:t>
      </w:r>
      <w:r w:rsidRPr="001048FE">
        <w:rPr>
          <w:lang w:val="sl-SI"/>
        </w:rPr>
        <w:t>zagotovi</w:t>
      </w:r>
      <w:r w:rsidRPr="001048FE">
        <w:rPr>
          <w:spacing w:val="-22"/>
          <w:lang w:val="sl-SI"/>
        </w:rPr>
        <w:t xml:space="preserve"> </w:t>
      </w:r>
      <w:r w:rsidRPr="001048FE">
        <w:rPr>
          <w:lang w:val="sl-SI"/>
        </w:rPr>
        <w:t>ustrezna</w:t>
      </w:r>
      <w:r w:rsidRPr="001048FE">
        <w:rPr>
          <w:spacing w:val="-22"/>
          <w:lang w:val="sl-SI"/>
        </w:rPr>
        <w:t xml:space="preserve"> </w:t>
      </w:r>
      <w:r w:rsidRPr="001048FE">
        <w:rPr>
          <w:lang w:val="sl-SI"/>
        </w:rPr>
        <w:t>priprava</w:t>
      </w:r>
      <w:r w:rsidRPr="001048FE">
        <w:rPr>
          <w:spacing w:val="-22"/>
          <w:lang w:val="sl-SI"/>
        </w:rPr>
        <w:t xml:space="preserve"> </w:t>
      </w:r>
      <w:r w:rsidRPr="001048FE">
        <w:rPr>
          <w:lang w:val="sl-SI"/>
        </w:rPr>
        <w:t>in</w:t>
      </w:r>
      <w:r w:rsidRPr="001048FE">
        <w:rPr>
          <w:spacing w:val="-22"/>
          <w:lang w:val="sl-SI"/>
        </w:rPr>
        <w:t xml:space="preserve"> </w:t>
      </w:r>
      <w:r w:rsidRPr="001048FE">
        <w:rPr>
          <w:lang w:val="sl-SI"/>
        </w:rPr>
        <w:t>zberejo</w:t>
      </w:r>
      <w:r w:rsidRPr="001048FE">
        <w:rPr>
          <w:spacing w:val="-22"/>
          <w:lang w:val="sl-SI"/>
        </w:rPr>
        <w:t xml:space="preserve"> </w:t>
      </w:r>
      <w:r w:rsidRPr="001048FE">
        <w:rPr>
          <w:lang w:val="sl-SI"/>
        </w:rPr>
        <w:t>podatki</w:t>
      </w:r>
      <w:r w:rsidRPr="001048FE">
        <w:rPr>
          <w:spacing w:val="-22"/>
          <w:lang w:val="sl-SI"/>
        </w:rPr>
        <w:t xml:space="preserve"> </w:t>
      </w:r>
      <w:r w:rsidRPr="001048FE">
        <w:rPr>
          <w:lang w:val="sl-SI"/>
        </w:rPr>
        <w:t>o</w:t>
      </w:r>
      <w:r w:rsidRPr="001048FE">
        <w:rPr>
          <w:spacing w:val="-21"/>
          <w:lang w:val="sl-SI"/>
        </w:rPr>
        <w:t xml:space="preserve"> </w:t>
      </w:r>
      <w:r w:rsidRPr="001048FE">
        <w:rPr>
          <w:lang w:val="sl-SI"/>
        </w:rPr>
        <w:t>jezikovnem</w:t>
      </w:r>
      <w:r w:rsidRPr="001048FE">
        <w:rPr>
          <w:spacing w:val="-22"/>
          <w:lang w:val="sl-SI"/>
        </w:rPr>
        <w:t xml:space="preserve"> </w:t>
      </w:r>
      <w:r w:rsidRPr="001048FE">
        <w:rPr>
          <w:lang w:val="sl-SI"/>
        </w:rPr>
        <w:t>znanju</w:t>
      </w:r>
      <w:r w:rsidRPr="001048FE">
        <w:rPr>
          <w:spacing w:val="-22"/>
          <w:lang w:val="sl-SI"/>
        </w:rPr>
        <w:t xml:space="preserve"> </w:t>
      </w:r>
      <w:r w:rsidRPr="001048FE">
        <w:rPr>
          <w:lang w:val="sl-SI"/>
        </w:rPr>
        <w:t>udeležencev v mobilnosti EU. Udeleženci bodo torej opravili oceno znanja jezikov pred in ob koncu obdobja mobilnosti</w:t>
      </w:r>
      <w:r w:rsidRPr="001048FE">
        <w:rPr>
          <w:spacing w:val="-16"/>
          <w:lang w:val="sl-SI"/>
        </w:rPr>
        <w:t xml:space="preserve"> </w:t>
      </w:r>
      <w:r w:rsidRPr="001048FE">
        <w:rPr>
          <w:lang w:val="sl-SI"/>
        </w:rPr>
        <w:t>za</w:t>
      </w:r>
      <w:r w:rsidRPr="001048FE">
        <w:rPr>
          <w:spacing w:val="-16"/>
          <w:lang w:val="sl-SI"/>
        </w:rPr>
        <w:t xml:space="preserve"> </w:t>
      </w:r>
      <w:r w:rsidRPr="001048FE">
        <w:rPr>
          <w:lang w:val="sl-SI"/>
        </w:rPr>
        <w:t>namene</w:t>
      </w:r>
      <w:r w:rsidRPr="001048FE">
        <w:rPr>
          <w:spacing w:val="-16"/>
          <w:lang w:val="sl-SI"/>
        </w:rPr>
        <w:t xml:space="preserve"> </w:t>
      </w:r>
      <w:r w:rsidRPr="001048FE">
        <w:rPr>
          <w:lang w:val="sl-SI"/>
        </w:rPr>
        <w:t>spremljanja</w:t>
      </w:r>
      <w:r w:rsidRPr="001048FE">
        <w:rPr>
          <w:spacing w:val="-16"/>
          <w:lang w:val="sl-SI"/>
        </w:rPr>
        <w:t xml:space="preserve"> </w:t>
      </w:r>
      <w:r w:rsidRPr="001048FE">
        <w:rPr>
          <w:lang w:val="sl-SI"/>
        </w:rPr>
        <w:t>napredka</w:t>
      </w:r>
      <w:r w:rsidRPr="001048FE">
        <w:rPr>
          <w:spacing w:val="-16"/>
          <w:lang w:val="sl-SI"/>
        </w:rPr>
        <w:t xml:space="preserve"> </w:t>
      </w:r>
      <w:r w:rsidRPr="001048FE">
        <w:rPr>
          <w:lang w:val="sl-SI"/>
        </w:rPr>
        <w:t>v</w:t>
      </w:r>
      <w:r w:rsidRPr="001048FE">
        <w:rPr>
          <w:spacing w:val="-16"/>
          <w:lang w:val="sl-SI"/>
        </w:rPr>
        <w:t xml:space="preserve"> </w:t>
      </w:r>
      <w:r w:rsidRPr="001048FE">
        <w:rPr>
          <w:lang w:val="sl-SI"/>
        </w:rPr>
        <w:t>znanju</w:t>
      </w:r>
      <w:r w:rsidRPr="001048FE">
        <w:rPr>
          <w:spacing w:val="-16"/>
          <w:lang w:val="sl-SI"/>
        </w:rPr>
        <w:t xml:space="preserve"> </w:t>
      </w:r>
      <w:r w:rsidRPr="001048FE">
        <w:rPr>
          <w:lang w:val="sl-SI"/>
        </w:rPr>
        <w:t>jezikov.</w:t>
      </w:r>
      <w:r w:rsidRPr="001048FE">
        <w:rPr>
          <w:spacing w:val="-16"/>
          <w:lang w:val="sl-SI"/>
        </w:rPr>
        <w:t xml:space="preserve"> </w:t>
      </w:r>
      <w:r w:rsidRPr="001048FE">
        <w:rPr>
          <w:lang w:val="sl-SI"/>
        </w:rPr>
        <w:t>Rezultat</w:t>
      </w:r>
      <w:r w:rsidRPr="001048FE">
        <w:rPr>
          <w:spacing w:val="-16"/>
          <w:lang w:val="sl-SI"/>
        </w:rPr>
        <w:t xml:space="preserve"> </w:t>
      </w:r>
      <w:r w:rsidRPr="001048FE">
        <w:rPr>
          <w:lang w:val="sl-SI"/>
        </w:rPr>
        <w:t>preizkusa</w:t>
      </w:r>
      <w:r w:rsidRPr="001048FE">
        <w:rPr>
          <w:spacing w:val="-16"/>
          <w:lang w:val="sl-SI"/>
        </w:rPr>
        <w:t xml:space="preserve"> </w:t>
      </w:r>
      <w:r w:rsidRPr="001048FE">
        <w:rPr>
          <w:lang w:val="sl-SI"/>
        </w:rPr>
        <w:t>znanja</w:t>
      </w:r>
      <w:r w:rsidRPr="001048FE">
        <w:rPr>
          <w:spacing w:val="-16"/>
          <w:lang w:val="sl-SI"/>
        </w:rPr>
        <w:t xml:space="preserve"> </w:t>
      </w:r>
      <w:r w:rsidRPr="001048FE">
        <w:rPr>
          <w:lang w:val="sl-SI"/>
        </w:rPr>
        <w:t>jezika,</w:t>
      </w:r>
      <w:r w:rsidRPr="001048FE">
        <w:rPr>
          <w:spacing w:val="-16"/>
          <w:lang w:val="sl-SI"/>
        </w:rPr>
        <w:t xml:space="preserve"> </w:t>
      </w:r>
      <w:r w:rsidRPr="001048FE">
        <w:rPr>
          <w:lang w:val="sl-SI"/>
        </w:rPr>
        <w:t>ki</w:t>
      </w:r>
      <w:r w:rsidRPr="001048FE">
        <w:rPr>
          <w:spacing w:val="-16"/>
          <w:lang w:val="sl-SI"/>
        </w:rPr>
        <w:t xml:space="preserve"> </w:t>
      </w:r>
      <w:r w:rsidRPr="001048FE">
        <w:rPr>
          <w:lang w:val="sl-SI"/>
        </w:rPr>
        <w:t>ga bodo</w:t>
      </w:r>
      <w:r w:rsidRPr="001048FE">
        <w:rPr>
          <w:spacing w:val="-5"/>
          <w:lang w:val="sl-SI"/>
        </w:rPr>
        <w:t xml:space="preserve"> </w:t>
      </w:r>
      <w:r w:rsidRPr="001048FE">
        <w:rPr>
          <w:lang w:val="sl-SI"/>
        </w:rPr>
        <w:t>udeleženci</w:t>
      </w:r>
      <w:r w:rsidRPr="001048FE">
        <w:rPr>
          <w:spacing w:val="-5"/>
          <w:lang w:val="sl-SI"/>
        </w:rPr>
        <w:t xml:space="preserve"> </w:t>
      </w:r>
      <w:r w:rsidRPr="001048FE">
        <w:rPr>
          <w:lang w:val="sl-SI"/>
        </w:rPr>
        <w:t>opravili</w:t>
      </w:r>
      <w:r w:rsidRPr="001048FE">
        <w:rPr>
          <w:spacing w:val="-4"/>
          <w:lang w:val="sl-SI"/>
        </w:rPr>
        <w:t xml:space="preserve"> </w:t>
      </w:r>
      <w:r w:rsidRPr="001048FE">
        <w:rPr>
          <w:lang w:val="sl-SI"/>
        </w:rPr>
        <w:t>pred</w:t>
      </w:r>
      <w:r w:rsidRPr="001048FE">
        <w:rPr>
          <w:spacing w:val="-5"/>
          <w:lang w:val="sl-SI"/>
        </w:rPr>
        <w:t xml:space="preserve"> </w:t>
      </w:r>
      <w:r w:rsidRPr="001048FE">
        <w:rPr>
          <w:lang w:val="sl-SI"/>
        </w:rPr>
        <w:t>odhodom</w:t>
      </w:r>
      <w:r w:rsidRPr="001048FE">
        <w:rPr>
          <w:spacing w:val="-4"/>
          <w:lang w:val="sl-SI"/>
        </w:rPr>
        <w:t xml:space="preserve"> </w:t>
      </w:r>
      <w:r w:rsidRPr="001048FE">
        <w:rPr>
          <w:lang w:val="sl-SI"/>
        </w:rPr>
        <w:t>na</w:t>
      </w:r>
      <w:r w:rsidRPr="001048FE">
        <w:rPr>
          <w:spacing w:val="-5"/>
          <w:lang w:val="sl-SI"/>
        </w:rPr>
        <w:t xml:space="preserve"> </w:t>
      </w:r>
      <w:r w:rsidRPr="001048FE">
        <w:rPr>
          <w:lang w:val="sl-SI"/>
        </w:rPr>
        <w:t>mobilnost,</w:t>
      </w:r>
      <w:r w:rsidRPr="001048FE">
        <w:rPr>
          <w:spacing w:val="-5"/>
          <w:lang w:val="sl-SI"/>
        </w:rPr>
        <w:t xml:space="preserve"> </w:t>
      </w:r>
      <w:r w:rsidRPr="001048FE">
        <w:rPr>
          <w:lang w:val="sl-SI"/>
        </w:rPr>
        <w:t>ne</w:t>
      </w:r>
      <w:r w:rsidRPr="001048FE">
        <w:rPr>
          <w:spacing w:val="-5"/>
          <w:lang w:val="sl-SI"/>
        </w:rPr>
        <w:t xml:space="preserve"> </w:t>
      </w:r>
      <w:r w:rsidRPr="001048FE">
        <w:rPr>
          <w:lang w:val="sl-SI"/>
        </w:rPr>
        <w:t>bo</w:t>
      </w:r>
      <w:r w:rsidRPr="001048FE">
        <w:rPr>
          <w:spacing w:val="-5"/>
          <w:lang w:val="sl-SI"/>
        </w:rPr>
        <w:t xml:space="preserve"> </w:t>
      </w:r>
      <w:r w:rsidRPr="001048FE">
        <w:rPr>
          <w:lang w:val="sl-SI"/>
        </w:rPr>
        <w:t>izločitveni</w:t>
      </w:r>
      <w:r w:rsidRPr="001048FE">
        <w:rPr>
          <w:spacing w:val="-5"/>
          <w:lang w:val="sl-SI"/>
        </w:rPr>
        <w:t xml:space="preserve"> </w:t>
      </w:r>
      <w:r w:rsidRPr="001048FE">
        <w:rPr>
          <w:lang w:val="sl-SI"/>
        </w:rPr>
        <w:t>kriterij</w:t>
      </w:r>
      <w:r w:rsidRPr="001048FE">
        <w:rPr>
          <w:spacing w:val="-5"/>
          <w:lang w:val="sl-SI"/>
        </w:rPr>
        <w:t xml:space="preserve"> </w:t>
      </w:r>
      <w:r w:rsidRPr="001048FE">
        <w:rPr>
          <w:lang w:val="sl-SI"/>
        </w:rPr>
        <w:t>za</w:t>
      </w:r>
      <w:r w:rsidRPr="001048FE">
        <w:rPr>
          <w:spacing w:val="-5"/>
          <w:lang w:val="sl-SI"/>
        </w:rPr>
        <w:t xml:space="preserve"> </w:t>
      </w:r>
      <w:r w:rsidRPr="001048FE">
        <w:rPr>
          <w:lang w:val="sl-SI"/>
        </w:rPr>
        <w:t>udeležbo.</w:t>
      </w:r>
    </w:p>
    <w:p w14:paraId="7D3985FA" w14:textId="77777777" w:rsidR="00E03711" w:rsidRPr="001048FE" w:rsidRDefault="00E03711" w:rsidP="00B1662F">
      <w:pPr>
        <w:pStyle w:val="GUIDE-NORMAL"/>
        <w:rPr>
          <w:lang w:val="sl-SI"/>
        </w:rPr>
      </w:pPr>
      <w:r w:rsidRPr="001048FE">
        <w:rPr>
          <w:lang w:val="sl-SI"/>
        </w:rPr>
        <w:t>S spletnim jezikovnim preverjanjem se torej ne bodo izbirali udeleženci mobilnosti programa Erasmus+, temveč se jim bo zagotovila priložnost za dvig ravni, kjer je to potrebno. Zagotavljanje jezikovne podpore bo temeljilo na vzajemnem zaupanju med institucijo pošiljateljico in gostiteljico: institucija pošiljateljica mora udeležencem zagotoviti najprimernejšo jezikovno podporo in tako zagotoviti, da dosežejo priporočljivo raven, ob začetku mobilnosti dogovorjeno z institucijo gostiteljico.</w:t>
      </w:r>
    </w:p>
    <w:p w14:paraId="7D3985FB" w14:textId="77777777" w:rsidR="00E03711" w:rsidRPr="001048FE" w:rsidRDefault="00E03711" w:rsidP="00B1662F">
      <w:pPr>
        <w:pStyle w:val="GUIDE-NORMAL"/>
        <w:rPr>
          <w:lang w:val="sl-SI"/>
        </w:rPr>
      </w:pPr>
      <w:r w:rsidRPr="001048FE">
        <w:rPr>
          <w:lang w:val="sl-SI"/>
        </w:rPr>
        <w:t>Dokler</w:t>
      </w:r>
      <w:r w:rsidRPr="001048FE">
        <w:rPr>
          <w:spacing w:val="-12"/>
          <w:lang w:val="sl-SI"/>
        </w:rPr>
        <w:t xml:space="preserve"> </w:t>
      </w:r>
      <w:r w:rsidRPr="001048FE">
        <w:rPr>
          <w:lang w:val="sl-SI"/>
        </w:rPr>
        <w:t>ne</w:t>
      </w:r>
      <w:r w:rsidRPr="001048FE">
        <w:rPr>
          <w:spacing w:val="-12"/>
          <w:lang w:val="sl-SI"/>
        </w:rPr>
        <w:t xml:space="preserve"> </w:t>
      </w:r>
      <w:r w:rsidRPr="001048FE">
        <w:rPr>
          <w:lang w:val="sl-SI"/>
        </w:rPr>
        <w:t>bo</w:t>
      </w:r>
      <w:r w:rsidRPr="001048FE">
        <w:rPr>
          <w:spacing w:val="-12"/>
          <w:lang w:val="sl-SI"/>
        </w:rPr>
        <w:t xml:space="preserve"> </w:t>
      </w:r>
      <w:r w:rsidRPr="001048FE">
        <w:rPr>
          <w:lang w:val="sl-SI"/>
        </w:rPr>
        <w:t>prek</w:t>
      </w:r>
      <w:r w:rsidRPr="001048FE">
        <w:rPr>
          <w:spacing w:val="-12"/>
          <w:lang w:val="sl-SI"/>
        </w:rPr>
        <w:t xml:space="preserve"> </w:t>
      </w:r>
      <w:r w:rsidRPr="001048FE">
        <w:rPr>
          <w:lang w:val="sl-SI"/>
        </w:rPr>
        <w:t>spletnih</w:t>
      </w:r>
      <w:r w:rsidRPr="001048FE">
        <w:rPr>
          <w:spacing w:val="-12"/>
          <w:lang w:val="sl-SI"/>
        </w:rPr>
        <w:t xml:space="preserve"> </w:t>
      </w:r>
      <w:r w:rsidRPr="001048FE">
        <w:rPr>
          <w:lang w:val="sl-SI"/>
        </w:rPr>
        <w:t>orodij</w:t>
      </w:r>
      <w:r w:rsidRPr="001048FE">
        <w:rPr>
          <w:spacing w:val="-11"/>
          <w:lang w:val="sl-SI"/>
        </w:rPr>
        <w:t xml:space="preserve"> </w:t>
      </w:r>
      <w:r w:rsidRPr="001048FE">
        <w:rPr>
          <w:lang w:val="sl-SI"/>
        </w:rPr>
        <w:t>na</w:t>
      </w:r>
      <w:r w:rsidRPr="001048FE">
        <w:rPr>
          <w:spacing w:val="-12"/>
          <w:lang w:val="sl-SI"/>
        </w:rPr>
        <w:t xml:space="preserve"> </w:t>
      </w:r>
      <w:r w:rsidRPr="001048FE">
        <w:rPr>
          <w:lang w:val="sl-SI"/>
        </w:rPr>
        <w:t>voljo</w:t>
      </w:r>
      <w:r w:rsidRPr="001048FE">
        <w:rPr>
          <w:spacing w:val="-12"/>
          <w:lang w:val="sl-SI"/>
        </w:rPr>
        <w:t xml:space="preserve"> </w:t>
      </w:r>
      <w:r w:rsidRPr="001048FE">
        <w:rPr>
          <w:lang w:val="sl-SI"/>
        </w:rPr>
        <w:t>podpora</w:t>
      </w:r>
      <w:r w:rsidRPr="001048FE">
        <w:rPr>
          <w:spacing w:val="-12"/>
          <w:lang w:val="sl-SI"/>
        </w:rPr>
        <w:t xml:space="preserve"> </w:t>
      </w:r>
      <w:r w:rsidRPr="001048FE">
        <w:rPr>
          <w:lang w:val="sl-SI"/>
        </w:rPr>
        <w:t>za</w:t>
      </w:r>
      <w:r w:rsidRPr="001048FE">
        <w:rPr>
          <w:spacing w:val="-12"/>
          <w:lang w:val="sl-SI"/>
        </w:rPr>
        <w:t xml:space="preserve"> </w:t>
      </w:r>
      <w:r w:rsidRPr="001048FE">
        <w:rPr>
          <w:lang w:val="sl-SI"/>
        </w:rPr>
        <w:t>vse</w:t>
      </w:r>
      <w:r w:rsidRPr="001048FE">
        <w:rPr>
          <w:spacing w:val="-12"/>
          <w:lang w:val="sl-SI"/>
        </w:rPr>
        <w:t xml:space="preserve"> </w:t>
      </w:r>
      <w:r w:rsidRPr="001048FE">
        <w:rPr>
          <w:lang w:val="sl-SI"/>
        </w:rPr>
        <w:t>jezike,</w:t>
      </w:r>
      <w:r w:rsidRPr="001048FE">
        <w:rPr>
          <w:spacing w:val="-12"/>
          <w:lang w:val="sl-SI"/>
        </w:rPr>
        <w:t xml:space="preserve"> </w:t>
      </w:r>
      <w:r w:rsidRPr="001048FE">
        <w:rPr>
          <w:lang w:val="sl-SI"/>
        </w:rPr>
        <w:t>bodo</w:t>
      </w:r>
      <w:r w:rsidRPr="001048FE">
        <w:rPr>
          <w:spacing w:val="-12"/>
          <w:lang w:val="sl-SI"/>
        </w:rPr>
        <w:t xml:space="preserve"> </w:t>
      </w:r>
      <w:r w:rsidRPr="001048FE">
        <w:rPr>
          <w:lang w:val="sl-SI"/>
        </w:rPr>
        <w:t>za</w:t>
      </w:r>
      <w:r w:rsidRPr="001048FE">
        <w:rPr>
          <w:spacing w:val="-12"/>
          <w:lang w:val="sl-SI"/>
        </w:rPr>
        <w:t xml:space="preserve"> </w:t>
      </w:r>
      <w:r w:rsidRPr="001048FE">
        <w:rPr>
          <w:lang w:val="sl-SI"/>
        </w:rPr>
        <w:t>upravičence</w:t>
      </w:r>
      <w:r w:rsidRPr="001048FE">
        <w:rPr>
          <w:spacing w:val="-12"/>
          <w:lang w:val="sl-SI"/>
        </w:rPr>
        <w:t xml:space="preserve"> </w:t>
      </w:r>
      <w:r w:rsidRPr="001048FE">
        <w:rPr>
          <w:lang w:val="sl-SI"/>
        </w:rPr>
        <w:t>projektov mobilnosti</w:t>
      </w:r>
      <w:r w:rsidRPr="001048FE">
        <w:rPr>
          <w:spacing w:val="-11"/>
          <w:lang w:val="sl-SI"/>
        </w:rPr>
        <w:t xml:space="preserve"> </w:t>
      </w:r>
      <w:r w:rsidRPr="001048FE">
        <w:rPr>
          <w:lang w:val="sl-SI"/>
        </w:rPr>
        <w:t>zagotovljena</w:t>
      </w:r>
      <w:r w:rsidRPr="001048FE">
        <w:rPr>
          <w:spacing w:val="-11"/>
          <w:lang w:val="sl-SI"/>
        </w:rPr>
        <w:t xml:space="preserve"> </w:t>
      </w:r>
      <w:r w:rsidRPr="001048FE">
        <w:rPr>
          <w:lang w:val="sl-SI"/>
        </w:rPr>
        <w:t>sredstva</w:t>
      </w:r>
      <w:r w:rsidRPr="001048FE">
        <w:rPr>
          <w:spacing w:val="-11"/>
          <w:lang w:val="sl-SI"/>
        </w:rPr>
        <w:t xml:space="preserve"> </w:t>
      </w:r>
      <w:r w:rsidRPr="001048FE">
        <w:rPr>
          <w:lang w:val="sl-SI"/>
        </w:rPr>
        <w:t>za</w:t>
      </w:r>
      <w:r w:rsidRPr="001048FE">
        <w:rPr>
          <w:spacing w:val="-11"/>
          <w:lang w:val="sl-SI"/>
        </w:rPr>
        <w:t xml:space="preserve"> </w:t>
      </w:r>
      <w:r w:rsidRPr="001048FE">
        <w:rPr>
          <w:lang w:val="sl-SI"/>
        </w:rPr>
        <w:t>jezikovno</w:t>
      </w:r>
      <w:r w:rsidRPr="001048FE">
        <w:rPr>
          <w:spacing w:val="-11"/>
          <w:lang w:val="sl-SI"/>
        </w:rPr>
        <w:t xml:space="preserve"> </w:t>
      </w:r>
      <w:r w:rsidRPr="001048FE">
        <w:rPr>
          <w:lang w:val="sl-SI"/>
        </w:rPr>
        <w:t>podporo</w:t>
      </w:r>
      <w:r w:rsidRPr="001048FE">
        <w:rPr>
          <w:spacing w:val="-11"/>
          <w:lang w:val="sl-SI"/>
        </w:rPr>
        <w:t xml:space="preserve"> </w:t>
      </w:r>
      <w:r w:rsidRPr="001048FE">
        <w:rPr>
          <w:lang w:val="sl-SI"/>
        </w:rPr>
        <w:t>tistih</w:t>
      </w:r>
      <w:r w:rsidRPr="001048FE">
        <w:rPr>
          <w:spacing w:val="-11"/>
          <w:lang w:val="sl-SI"/>
        </w:rPr>
        <w:t xml:space="preserve"> </w:t>
      </w:r>
      <w:r w:rsidRPr="001048FE">
        <w:rPr>
          <w:lang w:val="sl-SI"/>
        </w:rPr>
        <w:t>jezikov,</w:t>
      </w:r>
      <w:r w:rsidRPr="001048FE">
        <w:rPr>
          <w:spacing w:val="-11"/>
          <w:lang w:val="sl-SI"/>
        </w:rPr>
        <w:t xml:space="preserve"> </w:t>
      </w:r>
      <w:r w:rsidRPr="001048FE">
        <w:rPr>
          <w:lang w:val="sl-SI"/>
        </w:rPr>
        <w:t>ki</w:t>
      </w:r>
      <w:r w:rsidRPr="001048FE">
        <w:rPr>
          <w:spacing w:val="-11"/>
          <w:lang w:val="sl-SI"/>
        </w:rPr>
        <w:t xml:space="preserve"> </w:t>
      </w:r>
      <w:r w:rsidRPr="001048FE">
        <w:rPr>
          <w:lang w:val="sl-SI"/>
        </w:rPr>
        <w:t>še</w:t>
      </w:r>
      <w:r w:rsidRPr="001048FE">
        <w:rPr>
          <w:spacing w:val="-11"/>
          <w:lang w:val="sl-SI"/>
        </w:rPr>
        <w:t xml:space="preserve"> </w:t>
      </w:r>
      <w:r w:rsidRPr="001048FE">
        <w:rPr>
          <w:lang w:val="sl-SI"/>
        </w:rPr>
        <w:t>ne</w:t>
      </w:r>
      <w:r w:rsidRPr="001048FE">
        <w:rPr>
          <w:spacing w:val="-11"/>
          <w:lang w:val="sl-SI"/>
        </w:rPr>
        <w:t xml:space="preserve"> </w:t>
      </w:r>
      <w:r w:rsidRPr="001048FE">
        <w:rPr>
          <w:lang w:val="sl-SI"/>
        </w:rPr>
        <w:t>bodo</w:t>
      </w:r>
      <w:r w:rsidRPr="001048FE">
        <w:rPr>
          <w:spacing w:val="-11"/>
          <w:lang w:val="sl-SI"/>
        </w:rPr>
        <w:t xml:space="preserve"> </w:t>
      </w:r>
      <w:r w:rsidRPr="001048FE">
        <w:rPr>
          <w:lang w:val="sl-SI"/>
        </w:rPr>
        <w:t>na</w:t>
      </w:r>
      <w:r w:rsidRPr="001048FE">
        <w:rPr>
          <w:spacing w:val="-11"/>
          <w:lang w:val="sl-SI"/>
        </w:rPr>
        <w:t xml:space="preserve"> </w:t>
      </w:r>
      <w:r w:rsidRPr="001048FE">
        <w:rPr>
          <w:lang w:val="sl-SI"/>
        </w:rPr>
        <w:t>voljo.</w:t>
      </w:r>
    </w:p>
    <w:p w14:paraId="7D3985FC" w14:textId="77777777" w:rsidR="00E03711" w:rsidRPr="001048FE" w:rsidRDefault="00E03711" w:rsidP="00B1662F">
      <w:pPr>
        <w:pStyle w:val="GUIDE-NORMAL"/>
        <w:rPr>
          <w:lang w:val="sl-SI"/>
        </w:rPr>
      </w:pPr>
      <w:r w:rsidRPr="001048FE">
        <w:rPr>
          <w:lang w:val="sl-SI"/>
        </w:rPr>
        <w:t>V okviru ključnega ukrepa 2 se bodo spodbujala strateška partnerstva na področju poučevanja in učenja jezikov. Inovativnost in dobre prakse, ki naj bi spodbujale znanje jezikov, lahko na primer vključujejo metode poučevanja in ocenjevanja, razvoj pedagoškega gradiva, raziskave, računalniško podprto učenje jezikov in podjetniške podvige z uporabo tujih jezikov. Sredstva za jezikovno podporo se lahko po potrebi zagotovijo tudi za upravičence strateških partnerstev, ki organizirajo dolgotrajne aktivnosti usposabljanja in poučevanja za osebje, mladinske delavce in učeče</w:t>
      </w:r>
      <w:r w:rsidRPr="001048FE">
        <w:rPr>
          <w:spacing w:val="40"/>
          <w:lang w:val="sl-SI"/>
        </w:rPr>
        <w:t xml:space="preserve"> </w:t>
      </w:r>
      <w:r w:rsidRPr="001048FE">
        <w:rPr>
          <w:lang w:val="sl-SI"/>
        </w:rPr>
        <w:t>se.</w:t>
      </w:r>
    </w:p>
    <w:p w14:paraId="7D3985FD" w14:textId="77777777" w:rsidR="00E03711" w:rsidRPr="001048FE" w:rsidRDefault="00E03711" w:rsidP="00B1662F">
      <w:pPr>
        <w:pStyle w:val="GUIDE-NORMAL"/>
        <w:rPr>
          <w:lang w:val="sl-SI"/>
        </w:rPr>
      </w:pPr>
      <w:r w:rsidRPr="001048FE">
        <w:rPr>
          <w:lang w:val="sl-SI"/>
        </w:rPr>
        <w:t>V</w:t>
      </w:r>
      <w:r w:rsidRPr="001048FE">
        <w:rPr>
          <w:spacing w:val="-23"/>
          <w:lang w:val="sl-SI"/>
        </w:rPr>
        <w:t xml:space="preserve"> </w:t>
      </w:r>
      <w:r w:rsidRPr="001048FE">
        <w:rPr>
          <w:lang w:val="sl-SI"/>
        </w:rPr>
        <w:t>zvezi</w:t>
      </w:r>
      <w:r w:rsidRPr="001048FE">
        <w:rPr>
          <w:spacing w:val="-23"/>
          <w:lang w:val="sl-SI"/>
        </w:rPr>
        <w:t xml:space="preserve"> </w:t>
      </w:r>
      <w:r w:rsidRPr="001048FE">
        <w:rPr>
          <w:lang w:val="sl-SI"/>
        </w:rPr>
        <w:t>z</w:t>
      </w:r>
      <w:r w:rsidRPr="001048FE">
        <w:rPr>
          <w:spacing w:val="-23"/>
          <w:lang w:val="sl-SI"/>
        </w:rPr>
        <w:t xml:space="preserve"> </w:t>
      </w:r>
      <w:r w:rsidRPr="001048FE">
        <w:rPr>
          <w:lang w:val="sl-SI"/>
        </w:rPr>
        <w:t>nagradami</w:t>
      </w:r>
      <w:r w:rsidRPr="001048FE">
        <w:rPr>
          <w:spacing w:val="-23"/>
          <w:lang w:val="sl-SI"/>
        </w:rPr>
        <w:t xml:space="preserve"> </w:t>
      </w:r>
      <w:r w:rsidRPr="001048FE">
        <w:rPr>
          <w:lang w:val="sl-SI"/>
        </w:rPr>
        <w:t>evropskega</w:t>
      </w:r>
      <w:r w:rsidRPr="001048FE">
        <w:rPr>
          <w:spacing w:val="-23"/>
          <w:lang w:val="sl-SI"/>
        </w:rPr>
        <w:t xml:space="preserve"> </w:t>
      </w:r>
      <w:r w:rsidRPr="001048FE">
        <w:rPr>
          <w:lang w:val="sl-SI"/>
        </w:rPr>
        <w:t>jezikovnega</w:t>
      </w:r>
      <w:r w:rsidRPr="001048FE">
        <w:rPr>
          <w:spacing w:val="-23"/>
          <w:lang w:val="sl-SI"/>
        </w:rPr>
        <w:t xml:space="preserve"> </w:t>
      </w:r>
      <w:r w:rsidRPr="001048FE">
        <w:rPr>
          <w:lang w:val="sl-SI"/>
        </w:rPr>
        <w:t>priznanja</w:t>
      </w:r>
      <w:r w:rsidRPr="001048FE">
        <w:rPr>
          <w:spacing w:val="-23"/>
          <w:lang w:val="sl-SI"/>
        </w:rPr>
        <w:t xml:space="preserve"> </w:t>
      </w:r>
      <w:r w:rsidRPr="001048FE">
        <w:rPr>
          <w:lang w:val="sl-SI"/>
        </w:rPr>
        <w:t>(EJP)</w:t>
      </w:r>
      <w:r w:rsidRPr="001048FE">
        <w:rPr>
          <w:spacing w:val="-23"/>
          <w:lang w:val="sl-SI"/>
        </w:rPr>
        <w:t xml:space="preserve"> </w:t>
      </w:r>
      <w:r w:rsidRPr="001048FE">
        <w:rPr>
          <w:lang w:val="sl-SI"/>
        </w:rPr>
        <w:t>se</w:t>
      </w:r>
      <w:r w:rsidRPr="001048FE">
        <w:rPr>
          <w:spacing w:val="-23"/>
          <w:lang w:val="sl-SI"/>
        </w:rPr>
        <w:t xml:space="preserve"> </w:t>
      </w:r>
      <w:r w:rsidRPr="001048FE">
        <w:rPr>
          <w:lang w:val="sl-SI"/>
        </w:rPr>
        <w:t>nacionalne</w:t>
      </w:r>
      <w:r w:rsidRPr="001048FE">
        <w:rPr>
          <w:spacing w:val="-23"/>
          <w:lang w:val="sl-SI"/>
        </w:rPr>
        <w:t xml:space="preserve"> </w:t>
      </w:r>
      <w:r w:rsidRPr="001048FE">
        <w:rPr>
          <w:lang w:val="sl-SI"/>
        </w:rPr>
        <w:t>agencije</w:t>
      </w:r>
      <w:r w:rsidRPr="001048FE">
        <w:rPr>
          <w:spacing w:val="-23"/>
          <w:lang w:val="sl-SI"/>
        </w:rPr>
        <w:t xml:space="preserve"> </w:t>
      </w:r>
      <w:r w:rsidRPr="001048FE">
        <w:rPr>
          <w:lang w:val="sl-SI"/>
        </w:rPr>
        <w:t>spodbuja,</w:t>
      </w:r>
      <w:r w:rsidRPr="001048FE">
        <w:rPr>
          <w:spacing w:val="-23"/>
          <w:lang w:val="sl-SI"/>
        </w:rPr>
        <w:t xml:space="preserve"> </w:t>
      </w:r>
      <w:r w:rsidRPr="001048FE">
        <w:rPr>
          <w:lang w:val="sl-SI"/>
        </w:rPr>
        <w:t>da</w:t>
      </w:r>
      <w:r w:rsidRPr="001048FE">
        <w:rPr>
          <w:spacing w:val="-23"/>
          <w:lang w:val="sl-SI"/>
        </w:rPr>
        <w:t xml:space="preserve"> </w:t>
      </w:r>
      <w:r w:rsidRPr="001048FE">
        <w:rPr>
          <w:lang w:val="sl-SI"/>
        </w:rPr>
        <w:t>– prostovoljno</w:t>
      </w:r>
      <w:r w:rsidRPr="001048FE">
        <w:rPr>
          <w:spacing w:val="-13"/>
          <w:lang w:val="sl-SI"/>
        </w:rPr>
        <w:t xml:space="preserve"> </w:t>
      </w:r>
      <w:r w:rsidRPr="001048FE">
        <w:rPr>
          <w:lang w:val="sl-SI"/>
        </w:rPr>
        <w:t>–</w:t>
      </w:r>
      <w:r w:rsidRPr="001048FE">
        <w:rPr>
          <w:spacing w:val="-13"/>
          <w:lang w:val="sl-SI"/>
        </w:rPr>
        <w:t xml:space="preserve"> </w:t>
      </w:r>
      <w:r w:rsidRPr="001048FE">
        <w:rPr>
          <w:lang w:val="sl-SI"/>
        </w:rPr>
        <w:t>organizirajo</w:t>
      </w:r>
      <w:r w:rsidRPr="001048FE">
        <w:rPr>
          <w:spacing w:val="-12"/>
          <w:lang w:val="sl-SI"/>
        </w:rPr>
        <w:t xml:space="preserve"> </w:t>
      </w:r>
      <w:r w:rsidRPr="001048FE">
        <w:rPr>
          <w:lang w:val="sl-SI"/>
        </w:rPr>
        <w:t>redne</w:t>
      </w:r>
      <w:r w:rsidRPr="001048FE">
        <w:rPr>
          <w:spacing w:val="-13"/>
          <w:lang w:val="sl-SI"/>
        </w:rPr>
        <w:t xml:space="preserve"> </w:t>
      </w:r>
      <w:r w:rsidRPr="001048FE">
        <w:rPr>
          <w:lang w:val="sl-SI"/>
        </w:rPr>
        <w:t>(letne</w:t>
      </w:r>
      <w:r w:rsidRPr="001048FE">
        <w:rPr>
          <w:spacing w:val="-13"/>
          <w:lang w:val="sl-SI"/>
        </w:rPr>
        <w:t xml:space="preserve"> </w:t>
      </w:r>
      <w:r w:rsidRPr="001048FE">
        <w:rPr>
          <w:lang w:val="sl-SI"/>
        </w:rPr>
        <w:t>ali</w:t>
      </w:r>
      <w:r w:rsidRPr="001048FE">
        <w:rPr>
          <w:spacing w:val="-13"/>
          <w:lang w:val="sl-SI"/>
        </w:rPr>
        <w:t xml:space="preserve"> </w:t>
      </w:r>
      <w:r w:rsidRPr="001048FE">
        <w:rPr>
          <w:lang w:val="sl-SI"/>
        </w:rPr>
        <w:t>dvoletne)</w:t>
      </w:r>
      <w:r w:rsidRPr="001048FE">
        <w:rPr>
          <w:spacing w:val="-13"/>
          <w:lang w:val="sl-SI"/>
        </w:rPr>
        <w:t xml:space="preserve"> </w:t>
      </w:r>
      <w:r w:rsidRPr="001048FE">
        <w:rPr>
          <w:lang w:val="sl-SI"/>
        </w:rPr>
        <w:t>državne</w:t>
      </w:r>
      <w:r w:rsidRPr="001048FE">
        <w:rPr>
          <w:spacing w:val="-13"/>
          <w:lang w:val="sl-SI"/>
        </w:rPr>
        <w:t xml:space="preserve"> </w:t>
      </w:r>
      <w:r w:rsidRPr="001048FE">
        <w:rPr>
          <w:lang w:val="sl-SI"/>
        </w:rPr>
        <w:t>natečaje</w:t>
      </w:r>
      <w:r w:rsidRPr="001048FE">
        <w:rPr>
          <w:spacing w:val="-13"/>
          <w:lang w:val="sl-SI"/>
        </w:rPr>
        <w:t xml:space="preserve"> </w:t>
      </w:r>
      <w:r w:rsidRPr="001048FE">
        <w:rPr>
          <w:lang w:val="sl-SI"/>
        </w:rPr>
        <w:t>v</w:t>
      </w:r>
      <w:r w:rsidRPr="001048FE">
        <w:rPr>
          <w:spacing w:val="-13"/>
          <w:lang w:val="sl-SI"/>
        </w:rPr>
        <w:t xml:space="preserve"> </w:t>
      </w:r>
      <w:r w:rsidRPr="001048FE">
        <w:rPr>
          <w:lang w:val="sl-SI"/>
        </w:rPr>
        <w:t>državah</w:t>
      </w:r>
      <w:r w:rsidRPr="001048FE">
        <w:rPr>
          <w:spacing w:val="-13"/>
          <w:lang w:val="sl-SI"/>
        </w:rPr>
        <w:t xml:space="preserve"> </w:t>
      </w:r>
      <w:r w:rsidRPr="001048FE">
        <w:rPr>
          <w:lang w:val="sl-SI"/>
        </w:rPr>
        <w:t>Programa.</w:t>
      </w:r>
      <w:r w:rsidRPr="001048FE">
        <w:rPr>
          <w:spacing w:val="-13"/>
          <w:lang w:val="sl-SI"/>
        </w:rPr>
        <w:t xml:space="preserve"> </w:t>
      </w:r>
      <w:r w:rsidRPr="001048FE">
        <w:rPr>
          <w:lang w:val="sl-SI"/>
        </w:rPr>
        <w:t>Nagrada EJP bi morala spodbuditi uporabo in razširjanje rezultatov odličnosti v večjezičnosti ter javni interes za učenje</w:t>
      </w:r>
      <w:r w:rsidRPr="001048FE">
        <w:rPr>
          <w:spacing w:val="-5"/>
          <w:lang w:val="sl-SI"/>
        </w:rPr>
        <w:t xml:space="preserve"> </w:t>
      </w:r>
      <w:r w:rsidRPr="001048FE">
        <w:rPr>
          <w:lang w:val="sl-SI"/>
        </w:rPr>
        <w:t>jezikov.</w:t>
      </w:r>
    </w:p>
    <w:p w14:paraId="7D3985FE" w14:textId="77777777" w:rsidR="00E03711" w:rsidRPr="001048FE" w:rsidRDefault="00E03711" w:rsidP="00B1662F">
      <w:pPr>
        <w:pStyle w:val="GUIDE-NORMAL"/>
        <w:rPr>
          <w:lang w:val="sl-SI"/>
        </w:rPr>
        <w:sectPr w:rsidR="00E03711" w:rsidRPr="001048FE" w:rsidSect="007F4890">
          <w:headerReference w:type="default" r:id="rId25"/>
          <w:endnotePr>
            <w:numFmt w:val="decimal"/>
          </w:endnotePr>
          <w:pgSz w:w="11910" w:h="16840" w:code="9"/>
          <w:pgMar w:top="1134" w:right="1418" w:bottom="1134" w:left="1418" w:header="283" w:footer="567" w:gutter="0"/>
          <w:cols w:space="720"/>
          <w:docGrid w:linePitch="326"/>
        </w:sectPr>
      </w:pPr>
    </w:p>
    <w:p w14:paraId="7D3985FF" w14:textId="77777777" w:rsidR="00E03711" w:rsidRPr="001048FE" w:rsidRDefault="00E03711" w:rsidP="00B1662F">
      <w:pPr>
        <w:pStyle w:val="GUIDE-NORMAL"/>
        <w:rPr>
          <w:lang w:val="sl-SI"/>
        </w:rPr>
      </w:pPr>
      <w:r w:rsidRPr="001048FE">
        <w:rPr>
          <w:lang w:val="sl-SI"/>
        </w:rPr>
        <w:t>V okviru ključnega ukrepa 3 in v podporo prizadevanjem držav članic, da v evropske sisteme izobraževanja in usposabljanja vključijo begunce, je spletna jezikovna podpora Erasmus+, zagotovljena</w:t>
      </w:r>
      <w:r w:rsidRPr="001048FE">
        <w:rPr>
          <w:spacing w:val="-15"/>
          <w:lang w:val="sl-SI"/>
        </w:rPr>
        <w:t xml:space="preserve"> </w:t>
      </w:r>
      <w:r w:rsidRPr="001048FE">
        <w:rPr>
          <w:lang w:val="sl-SI"/>
        </w:rPr>
        <w:t>udeležencem</w:t>
      </w:r>
      <w:r w:rsidRPr="001048FE">
        <w:rPr>
          <w:spacing w:val="-15"/>
          <w:lang w:val="sl-SI"/>
        </w:rPr>
        <w:t xml:space="preserve"> </w:t>
      </w:r>
      <w:r w:rsidRPr="001048FE">
        <w:rPr>
          <w:lang w:val="sl-SI"/>
        </w:rPr>
        <w:t>programa</w:t>
      </w:r>
      <w:r w:rsidRPr="001048FE">
        <w:rPr>
          <w:spacing w:val="-15"/>
          <w:lang w:val="sl-SI"/>
        </w:rPr>
        <w:t xml:space="preserve"> </w:t>
      </w:r>
      <w:r w:rsidRPr="001048FE">
        <w:rPr>
          <w:lang w:val="sl-SI"/>
        </w:rPr>
        <w:t>Erasmus+,</w:t>
      </w:r>
      <w:r w:rsidRPr="001048FE">
        <w:rPr>
          <w:spacing w:val="-15"/>
          <w:lang w:val="sl-SI"/>
        </w:rPr>
        <w:t xml:space="preserve"> </w:t>
      </w:r>
      <w:r w:rsidRPr="001048FE">
        <w:rPr>
          <w:lang w:val="sl-SI"/>
        </w:rPr>
        <w:t>razširjena,</w:t>
      </w:r>
      <w:r w:rsidRPr="001048FE">
        <w:rPr>
          <w:spacing w:val="-15"/>
          <w:lang w:val="sl-SI"/>
        </w:rPr>
        <w:t xml:space="preserve"> </w:t>
      </w:r>
      <w:r w:rsidRPr="001048FE">
        <w:rPr>
          <w:lang w:val="sl-SI"/>
        </w:rPr>
        <w:t>tako</w:t>
      </w:r>
      <w:r w:rsidRPr="001048FE">
        <w:rPr>
          <w:spacing w:val="-15"/>
          <w:lang w:val="sl-SI"/>
        </w:rPr>
        <w:t xml:space="preserve"> </w:t>
      </w:r>
      <w:r w:rsidRPr="001048FE">
        <w:rPr>
          <w:lang w:val="sl-SI"/>
        </w:rPr>
        <w:t>da</w:t>
      </w:r>
      <w:r w:rsidRPr="001048FE">
        <w:rPr>
          <w:spacing w:val="-15"/>
          <w:lang w:val="sl-SI"/>
        </w:rPr>
        <w:t xml:space="preserve"> </w:t>
      </w:r>
      <w:r w:rsidRPr="001048FE">
        <w:rPr>
          <w:lang w:val="sl-SI"/>
        </w:rPr>
        <w:t>jo</w:t>
      </w:r>
      <w:r w:rsidRPr="001048FE">
        <w:rPr>
          <w:spacing w:val="-15"/>
          <w:lang w:val="sl-SI"/>
        </w:rPr>
        <w:t xml:space="preserve"> </w:t>
      </w:r>
      <w:r w:rsidRPr="001048FE">
        <w:rPr>
          <w:lang w:val="sl-SI"/>
        </w:rPr>
        <w:t>bo</w:t>
      </w:r>
      <w:r w:rsidRPr="001048FE">
        <w:rPr>
          <w:spacing w:val="-15"/>
          <w:lang w:val="sl-SI"/>
        </w:rPr>
        <w:t xml:space="preserve"> </w:t>
      </w:r>
      <w:r w:rsidRPr="001048FE">
        <w:rPr>
          <w:lang w:val="sl-SI"/>
        </w:rPr>
        <w:t>lahko</w:t>
      </w:r>
      <w:r w:rsidRPr="001048FE">
        <w:rPr>
          <w:spacing w:val="-15"/>
          <w:lang w:val="sl-SI"/>
        </w:rPr>
        <w:t xml:space="preserve"> </w:t>
      </w:r>
      <w:r w:rsidRPr="001048FE">
        <w:rPr>
          <w:lang w:val="sl-SI"/>
        </w:rPr>
        <w:t>v</w:t>
      </w:r>
      <w:r w:rsidRPr="001048FE">
        <w:rPr>
          <w:spacing w:val="-15"/>
          <w:lang w:val="sl-SI"/>
        </w:rPr>
        <w:t xml:space="preserve"> </w:t>
      </w:r>
      <w:r w:rsidRPr="001048FE">
        <w:rPr>
          <w:lang w:val="sl-SI"/>
        </w:rPr>
        <w:t>okviru</w:t>
      </w:r>
      <w:r w:rsidRPr="001048FE">
        <w:rPr>
          <w:spacing w:val="-14"/>
          <w:lang w:val="sl-SI"/>
        </w:rPr>
        <w:t xml:space="preserve"> </w:t>
      </w:r>
      <w:r w:rsidRPr="001048FE">
        <w:rPr>
          <w:lang w:val="sl-SI"/>
        </w:rPr>
        <w:t>razpisov</w:t>
      </w:r>
      <w:r w:rsidRPr="001048FE">
        <w:rPr>
          <w:spacing w:val="-15"/>
          <w:lang w:val="sl-SI"/>
        </w:rPr>
        <w:t xml:space="preserve"> </w:t>
      </w:r>
      <w:r w:rsidRPr="001048FE">
        <w:rPr>
          <w:lang w:val="sl-SI"/>
        </w:rPr>
        <w:t>v letih 2016, 2017</w:t>
      </w:r>
      <w:r>
        <w:rPr>
          <w:lang w:val="sl-SI"/>
        </w:rPr>
        <w:t>, 2018</w:t>
      </w:r>
      <w:r w:rsidRPr="001048FE">
        <w:rPr>
          <w:lang w:val="sl-SI"/>
        </w:rPr>
        <w:t xml:space="preserve"> in 201</w:t>
      </w:r>
      <w:r>
        <w:rPr>
          <w:lang w:val="sl-SI"/>
        </w:rPr>
        <w:t>9</w:t>
      </w:r>
      <w:r w:rsidRPr="001048FE">
        <w:rPr>
          <w:lang w:val="sl-SI"/>
        </w:rPr>
        <w:t xml:space="preserve"> brezplačno uporabljalo približno 100 000 beguncev, dokler razpoložljivi proračun ne bo</w:t>
      </w:r>
      <w:r w:rsidRPr="001048FE">
        <w:rPr>
          <w:spacing w:val="-7"/>
          <w:lang w:val="sl-SI"/>
        </w:rPr>
        <w:t xml:space="preserve"> </w:t>
      </w:r>
      <w:r w:rsidRPr="001048FE">
        <w:rPr>
          <w:lang w:val="sl-SI"/>
        </w:rPr>
        <w:t>porabljen.</w:t>
      </w:r>
    </w:p>
    <w:p w14:paraId="7D398600" w14:textId="77777777" w:rsidR="00E03711" w:rsidRPr="001048FE" w:rsidRDefault="00E03711" w:rsidP="00B1662F">
      <w:pPr>
        <w:pStyle w:val="GUIDE-NORMAL"/>
        <w:rPr>
          <w:lang w:val="sl-SI"/>
        </w:rPr>
      </w:pPr>
      <w:r w:rsidRPr="001048FE">
        <w:rPr>
          <w:lang w:val="sl-SI"/>
        </w:rPr>
        <w:t>Udeležba nacionalnih agencij Erasmus+ in upravičenih institucij/organizacij je popolnoma prostovoljna. V okviru tega razpisa upravičenci programa Erasmus+, ki želijo sodelovati, prejmejo več dodatnih licenc za spletno jezikovno podporo. Dodelijo jih lahko izključno beguncem, ki se nameravajo učiti enega od jezikov, ki so na voljo v spletni jezikovni podpori. Upravičene institucije/organizacije bodo odgovorne za dodeljevanje licenc beguncem in poročanje o njihovi uporabi.</w:t>
      </w:r>
    </w:p>
    <w:p w14:paraId="7D398601" w14:textId="77777777" w:rsidR="00E03711" w:rsidRPr="001048FE" w:rsidRDefault="00E03711" w:rsidP="00B1662F">
      <w:pPr>
        <w:pStyle w:val="Guide-Heading4"/>
        <w:rPr>
          <w:lang w:val="sl-SI"/>
        </w:rPr>
      </w:pPr>
      <w:bookmarkStart w:id="43" w:name="_Toc527401084"/>
      <w:r w:rsidRPr="001048FE">
        <w:rPr>
          <w:lang w:val="sl-SI"/>
        </w:rPr>
        <w:t>Enakost in vključevanje</w:t>
      </w:r>
      <w:bookmarkEnd w:id="43"/>
    </w:p>
    <w:p w14:paraId="7D398602" w14:textId="77777777" w:rsidR="00E03711" w:rsidRPr="001048FE" w:rsidRDefault="00E03711" w:rsidP="00B1662F">
      <w:pPr>
        <w:pStyle w:val="GUIDE-NORMAL"/>
        <w:rPr>
          <w:lang w:val="sl-SI"/>
        </w:rPr>
      </w:pPr>
      <w:r w:rsidRPr="001048FE">
        <w:rPr>
          <w:lang w:val="sl-SI"/>
        </w:rPr>
        <w:t>Namen programa Erasmus+ je spodbujanje enakosti in vključenosti z omogočanjem dostopa udeležencem iz okolij z manj možnostmi v primerjavi z njihovimi vrstniki, kadar koli pomanjkanje možnosti omejuje ali preprečuje udeležbo v mednarodnih aktivnostih iz naslednjih razlogov:</w:t>
      </w:r>
    </w:p>
    <w:p w14:paraId="7D398603" w14:textId="77777777" w:rsidR="00E03711" w:rsidRPr="001048FE" w:rsidRDefault="00E03711" w:rsidP="005115F2">
      <w:pPr>
        <w:pStyle w:val="Guide-NormalBulletpoints"/>
        <w:numPr>
          <w:ilvl w:val="0"/>
          <w:numId w:val="317"/>
        </w:numPr>
        <w:rPr>
          <w:lang w:val="sl-SI"/>
        </w:rPr>
      </w:pPr>
      <w:r w:rsidRPr="001048FE">
        <w:rPr>
          <w:lang w:val="sl-SI"/>
        </w:rPr>
        <w:t xml:space="preserve">invalidnost (tj. udeleženci s posebnimi potrebami): osebe z motnjami v duševnem (intelektualne in kognitivne motnje, motnje pri učenju), telesnem, čutilnem ali drugem razvoju; </w:t>
      </w:r>
    </w:p>
    <w:p w14:paraId="7D398604" w14:textId="77777777" w:rsidR="00E03711" w:rsidRPr="001048FE" w:rsidRDefault="00E03711" w:rsidP="005115F2">
      <w:pPr>
        <w:pStyle w:val="Guide-NormalBulletpoints"/>
        <w:numPr>
          <w:ilvl w:val="0"/>
          <w:numId w:val="317"/>
        </w:numPr>
        <w:rPr>
          <w:lang w:val="sl-SI"/>
        </w:rPr>
      </w:pPr>
      <w:r w:rsidRPr="001048FE">
        <w:rPr>
          <w:lang w:val="sl-SI"/>
        </w:rPr>
        <w:t>težave pri izobraževanju: mladi s težavami pri učenju; tisti, ki predčasno zapustijo izobraževanje; odrasli z nizkimi kvalifikacijami; mladi s slabim šolskim uspehom;</w:t>
      </w:r>
    </w:p>
    <w:p w14:paraId="7D398605" w14:textId="77777777" w:rsidR="00E03711" w:rsidRPr="001048FE" w:rsidRDefault="00E03711" w:rsidP="005115F2">
      <w:pPr>
        <w:pStyle w:val="Guide-NormalBulletpoints"/>
        <w:numPr>
          <w:ilvl w:val="0"/>
          <w:numId w:val="317"/>
        </w:numPr>
        <w:rPr>
          <w:lang w:val="sl-SI"/>
        </w:rPr>
      </w:pPr>
      <w:r w:rsidRPr="001048FE">
        <w:rPr>
          <w:lang w:val="sl-SI"/>
        </w:rPr>
        <w:t>ekonomske ovire: osebe, ki imajo nizek življenjski standard, nizke prihodke in so odvisne od sistema</w:t>
      </w:r>
      <w:r w:rsidRPr="001048FE">
        <w:rPr>
          <w:spacing w:val="-14"/>
          <w:lang w:val="sl-SI"/>
        </w:rPr>
        <w:t xml:space="preserve"> </w:t>
      </w:r>
      <w:r w:rsidRPr="001048FE">
        <w:rPr>
          <w:lang w:val="sl-SI"/>
        </w:rPr>
        <w:t>socialne</w:t>
      </w:r>
      <w:r w:rsidRPr="001048FE">
        <w:rPr>
          <w:spacing w:val="-14"/>
          <w:lang w:val="sl-SI"/>
        </w:rPr>
        <w:t xml:space="preserve"> </w:t>
      </w:r>
      <w:r w:rsidRPr="001048FE">
        <w:rPr>
          <w:lang w:val="sl-SI"/>
        </w:rPr>
        <w:t>pomoči,</w:t>
      </w:r>
      <w:r w:rsidRPr="001048FE">
        <w:rPr>
          <w:spacing w:val="-14"/>
          <w:lang w:val="sl-SI"/>
        </w:rPr>
        <w:t xml:space="preserve"> </w:t>
      </w:r>
      <w:r w:rsidRPr="001048FE">
        <w:rPr>
          <w:lang w:val="sl-SI"/>
        </w:rPr>
        <w:t>ali</w:t>
      </w:r>
      <w:r w:rsidRPr="001048FE">
        <w:rPr>
          <w:spacing w:val="-14"/>
          <w:lang w:val="sl-SI"/>
        </w:rPr>
        <w:t xml:space="preserve"> </w:t>
      </w:r>
      <w:r w:rsidRPr="001048FE">
        <w:rPr>
          <w:lang w:val="sl-SI"/>
        </w:rPr>
        <w:t>brezdomci;</w:t>
      </w:r>
      <w:r w:rsidRPr="001048FE">
        <w:rPr>
          <w:spacing w:val="-14"/>
          <w:lang w:val="sl-SI"/>
        </w:rPr>
        <w:t xml:space="preserve"> </w:t>
      </w:r>
      <w:r w:rsidRPr="001048FE">
        <w:rPr>
          <w:lang w:val="sl-SI"/>
        </w:rPr>
        <w:t>mladi,</w:t>
      </w:r>
      <w:r w:rsidRPr="001048FE">
        <w:rPr>
          <w:spacing w:val="-14"/>
          <w:lang w:val="sl-SI"/>
        </w:rPr>
        <w:t xml:space="preserve"> </w:t>
      </w:r>
      <w:r w:rsidRPr="001048FE">
        <w:rPr>
          <w:lang w:val="sl-SI"/>
        </w:rPr>
        <w:t>ki</w:t>
      </w:r>
      <w:r w:rsidRPr="001048FE">
        <w:rPr>
          <w:spacing w:val="-14"/>
          <w:lang w:val="sl-SI"/>
        </w:rPr>
        <w:t xml:space="preserve"> </w:t>
      </w:r>
      <w:r w:rsidRPr="001048FE">
        <w:rPr>
          <w:lang w:val="sl-SI"/>
        </w:rPr>
        <w:t>so</w:t>
      </w:r>
      <w:r w:rsidRPr="001048FE">
        <w:rPr>
          <w:spacing w:val="-14"/>
          <w:lang w:val="sl-SI"/>
        </w:rPr>
        <w:t xml:space="preserve"> </w:t>
      </w:r>
      <w:r w:rsidRPr="001048FE">
        <w:rPr>
          <w:lang w:val="sl-SI"/>
        </w:rPr>
        <w:t>dlje</w:t>
      </w:r>
      <w:r w:rsidRPr="001048FE">
        <w:rPr>
          <w:spacing w:val="-14"/>
          <w:lang w:val="sl-SI"/>
        </w:rPr>
        <w:t xml:space="preserve"> </w:t>
      </w:r>
      <w:r w:rsidRPr="001048FE">
        <w:rPr>
          <w:lang w:val="sl-SI"/>
        </w:rPr>
        <w:t>časa</w:t>
      </w:r>
      <w:r w:rsidRPr="001048FE">
        <w:rPr>
          <w:spacing w:val="-14"/>
          <w:lang w:val="sl-SI"/>
        </w:rPr>
        <w:t xml:space="preserve"> </w:t>
      </w:r>
      <w:r w:rsidRPr="001048FE">
        <w:rPr>
          <w:lang w:val="sl-SI"/>
        </w:rPr>
        <w:t>brezposelni</w:t>
      </w:r>
      <w:r w:rsidRPr="001048FE">
        <w:rPr>
          <w:spacing w:val="-14"/>
          <w:lang w:val="sl-SI"/>
        </w:rPr>
        <w:t xml:space="preserve"> </w:t>
      </w:r>
      <w:r w:rsidRPr="001048FE">
        <w:rPr>
          <w:lang w:val="sl-SI"/>
        </w:rPr>
        <w:t>ali</w:t>
      </w:r>
      <w:r w:rsidRPr="001048FE">
        <w:rPr>
          <w:spacing w:val="-14"/>
          <w:lang w:val="sl-SI"/>
        </w:rPr>
        <w:t xml:space="preserve"> </w:t>
      </w:r>
      <w:r w:rsidRPr="001048FE">
        <w:rPr>
          <w:lang w:val="sl-SI"/>
        </w:rPr>
        <w:t>revni;</w:t>
      </w:r>
      <w:r w:rsidRPr="001048FE">
        <w:rPr>
          <w:spacing w:val="-14"/>
          <w:lang w:val="sl-SI"/>
        </w:rPr>
        <w:t xml:space="preserve"> </w:t>
      </w:r>
      <w:r w:rsidRPr="001048FE">
        <w:rPr>
          <w:lang w:val="sl-SI"/>
        </w:rPr>
        <w:t>osebe,</w:t>
      </w:r>
      <w:r w:rsidRPr="001048FE">
        <w:rPr>
          <w:spacing w:val="-13"/>
          <w:lang w:val="sl-SI"/>
        </w:rPr>
        <w:t xml:space="preserve"> </w:t>
      </w:r>
      <w:r w:rsidRPr="001048FE">
        <w:rPr>
          <w:lang w:val="sl-SI"/>
        </w:rPr>
        <w:t>ki</w:t>
      </w:r>
      <w:r w:rsidRPr="001048FE">
        <w:rPr>
          <w:spacing w:val="-14"/>
          <w:lang w:val="sl-SI"/>
        </w:rPr>
        <w:t xml:space="preserve"> </w:t>
      </w:r>
      <w:r w:rsidRPr="001048FE">
        <w:rPr>
          <w:lang w:val="sl-SI"/>
        </w:rPr>
        <w:t>so zadolžene ali imajo finančne</w:t>
      </w:r>
      <w:r w:rsidRPr="001048FE">
        <w:rPr>
          <w:spacing w:val="-13"/>
          <w:lang w:val="sl-SI"/>
        </w:rPr>
        <w:t xml:space="preserve"> </w:t>
      </w:r>
      <w:r w:rsidRPr="001048FE">
        <w:rPr>
          <w:lang w:val="sl-SI"/>
        </w:rPr>
        <w:t>težave;</w:t>
      </w:r>
    </w:p>
    <w:p w14:paraId="7D398606" w14:textId="77777777" w:rsidR="00E03711" w:rsidRPr="001048FE" w:rsidRDefault="00E03711" w:rsidP="005115F2">
      <w:pPr>
        <w:pStyle w:val="Guide-NormalBulletpoints"/>
        <w:numPr>
          <w:ilvl w:val="0"/>
          <w:numId w:val="317"/>
        </w:numPr>
        <w:rPr>
          <w:lang w:val="sl-SI"/>
        </w:rPr>
      </w:pPr>
      <w:r w:rsidRPr="001048FE">
        <w:rPr>
          <w:lang w:val="sl-SI"/>
        </w:rPr>
        <w:t>kulturne razlike: priseljenci, begunci ali potomci priseljenih ali begunskih družin; osebe, ki pripadajo</w:t>
      </w:r>
      <w:r w:rsidRPr="001048FE">
        <w:rPr>
          <w:spacing w:val="-5"/>
          <w:lang w:val="sl-SI"/>
        </w:rPr>
        <w:t xml:space="preserve"> </w:t>
      </w:r>
      <w:r w:rsidRPr="001048FE">
        <w:rPr>
          <w:lang w:val="sl-SI"/>
        </w:rPr>
        <w:t>narodnostni</w:t>
      </w:r>
      <w:r w:rsidRPr="001048FE">
        <w:rPr>
          <w:spacing w:val="-5"/>
          <w:lang w:val="sl-SI"/>
        </w:rPr>
        <w:t xml:space="preserve"> </w:t>
      </w:r>
      <w:r w:rsidRPr="001048FE">
        <w:rPr>
          <w:lang w:val="sl-SI"/>
        </w:rPr>
        <w:t>ali</w:t>
      </w:r>
      <w:r w:rsidRPr="001048FE">
        <w:rPr>
          <w:spacing w:val="-5"/>
          <w:lang w:val="sl-SI"/>
        </w:rPr>
        <w:t xml:space="preserve"> </w:t>
      </w:r>
      <w:r w:rsidRPr="001048FE">
        <w:rPr>
          <w:lang w:val="sl-SI"/>
        </w:rPr>
        <w:t>etnični</w:t>
      </w:r>
      <w:r w:rsidRPr="001048FE">
        <w:rPr>
          <w:spacing w:val="-5"/>
          <w:lang w:val="sl-SI"/>
        </w:rPr>
        <w:t xml:space="preserve"> </w:t>
      </w:r>
      <w:r w:rsidRPr="001048FE">
        <w:rPr>
          <w:lang w:val="sl-SI"/>
        </w:rPr>
        <w:t>manjšini;</w:t>
      </w:r>
      <w:r w:rsidRPr="001048FE">
        <w:rPr>
          <w:spacing w:val="-5"/>
          <w:lang w:val="sl-SI"/>
        </w:rPr>
        <w:t xml:space="preserve"> </w:t>
      </w:r>
      <w:r w:rsidRPr="001048FE">
        <w:rPr>
          <w:lang w:val="sl-SI"/>
        </w:rPr>
        <w:t>osebe</w:t>
      </w:r>
      <w:r w:rsidRPr="001048FE">
        <w:rPr>
          <w:spacing w:val="-4"/>
          <w:lang w:val="sl-SI"/>
        </w:rPr>
        <w:t xml:space="preserve"> </w:t>
      </w:r>
      <w:r w:rsidRPr="001048FE">
        <w:rPr>
          <w:lang w:val="sl-SI"/>
        </w:rPr>
        <w:t>s</w:t>
      </w:r>
      <w:r w:rsidRPr="001048FE">
        <w:rPr>
          <w:spacing w:val="-5"/>
          <w:lang w:val="sl-SI"/>
        </w:rPr>
        <w:t xml:space="preserve"> </w:t>
      </w:r>
      <w:r w:rsidRPr="001048FE">
        <w:rPr>
          <w:lang w:val="sl-SI"/>
        </w:rPr>
        <w:t>težavami</w:t>
      </w:r>
      <w:r w:rsidRPr="001048FE">
        <w:rPr>
          <w:spacing w:val="-5"/>
          <w:lang w:val="sl-SI"/>
        </w:rPr>
        <w:t xml:space="preserve"> </w:t>
      </w:r>
      <w:r w:rsidRPr="001048FE">
        <w:rPr>
          <w:lang w:val="sl-SI"/>
        </w:rPr>
        <w:t>pri</w:t>
      </w:r>
      <w:r w:rsidRPr="001048FE">
        <w:rPr>
          <w:spacing w:val="-5"/>
          <w:lang w:val="sl-SI"/>
        </w:rPr>
        <w:t xml:space="preserve"> </w:t>
      </w:r>
      <w:r w:rsidRPr="001048FE">
        <w:rPr>
          <w:lang w:val="sl-SI"/>
        </w:rPr>
        <w:t>jezikovnem</w:t>
      </w:r>
      <w:r w:rsidRPr="001048FE">
        <w:rPr>
          <w:spacing w:val="-5"/>
          <w:lang w:val="sl-SI"/>
        </w:rPr>
        <w:t xml:space="preserve"> </w:t>
      </w:r>
      <w:r w:rsidRPr="001048FE">
        <w:rPr>
          <w:lang w:val="sl-SI"/>
        </w:rPr>
        <w:t>prilagajanju</w:t>
      </w:r>
      <w:r w:rsidRPr="001048FE">
        <w:rPr>
          <w:spacing w:val="-5"/>
          <w:lang w:val="sl-SI"/>
        </w:rPr>
        <w:t xml:space="preserve"> </w:t>
      </w:r>
      <w:r w:rsidRPr="001048FE">
        <w:rPr>
          <w:lang w:val="sl-SI"/>
        </w:rPr>
        <w:t>ali kulturnem</w:t>
      </w:r>
      <w:r w:rsidRPr="001048FE">
        <w:rPr>
          <w:spacing w:val="-2"/>
          <w:lang w:val="sl-SI"/>
        </w:rPr>
        <w:t xml:space="preserve"> </w:t>
      </w:r>
      <w:r w:rsidRPr="001048FE">
        <w:rPr>
          <w:lang w:val="sl-SI"/>
        </w:rPr>
        <w:t>vključevanju;</w:t>
      </w:r>
    </w:p>
    <w:p w14:paraId="7D398607" w14:textId="77777777" w:rsidR="00E03711" w:rsidRPr="001048FE" w:rsidRDefault="00E03711" w:rsidP="005115F2">
      <w:pPr>
        <w:pStyle w:val="Guide-NormalBulletpoints"/>
        <w:numPr>
          <w:ilvl w:val="0"/>
          <w:numId w:val="317"/>
        </w:numPr>
        <w:rPr>
          <w:lang w:val="sl-SI"/>
        </w:rPr>
      </w:pPr>
      <w:r w:rsidRPr="001048FE">
        <w:rPr>
          <w:lang w:val="sl-SI"/>
        </w:rPr>
        <w:t>zdravstvene</w:t>
      </w:r>
      <w:r w:rsidRPr="001048FE">
        <w:rPr>
          <w:spacing w:val="-17"/>
          <w:lang w:val="sl-SI"/>
        </w:rPr>
        <w:t xml:space="preserve"> </w:t>
      </w:r>
      <w:r w:rsidRPr="001048FE">
        <w:rPr>
          <w:lang w:val="sl-SI"/>
        </w:rPr>
        <w:t>težave:</w:t>
      </w:r>
      <w:r w:rsidRPr="001048FE">
        <w:rPr>
          <w:spacing w:val="-17"/>
          <w:lang w:val="sl-SI"/>
        </w:rPr>
        <w:t xml:space="preserve"> </w:t>
      </w:r>
      <w:r w:rsidRPr="001048FE">
        <w:rPr>
          <w:lang w:val="sl-SI"/>
        </w:rPr>
        <w:t>osebe</w:t>
      </w:r>
      <w:r w:rsidRPr="001048FE">
        <w:rPr>
          <w:spacing w:val="-16"/>
          <w:lang w:val="sl-SI"/>
        </w:rPr>
        <w:t xml:space="preserve"> </w:t>
      </w:r>
      <w:r w:rsidRPr="001048FE">
        <w:rPr>
          <w:lang w:val="sl-SI"/>
        </w:rPr>
        <w:t>z</w:t>
      </w:r>
      <w:r w:rsidRPr="001048FE">
        <w:rPr>
          <w:spacing w:val="-17"/>
          <w:lang w:val="sl-SI"/>
        </w:rPr>
        <w:t xml:space="preserve"> </w:t>
      </w:r>
      <w:r w:rsidRPr="001048FE">
        <w:rPr>
          <w:lang w:val="sl-SI"/>
        </w:rPr>
        <w:t>dolgotrajnimi</w:t>
      </w:r>
      <w:r w:rsidRPr="001048FE">
        <w:rPr>
          <w:spacing w:val="-17"/>
          <w:lang w:val="sl-SI"/>
        </w:rPr>
        <w:t xml:space="preserve"> </w:t>
      </w:r>
      <w:r w:rsidRPr="001048FE">
        <w:rPr>
          <w:lang w:val="sl-SI"/>
        </w:rPr>
        <w:t>zdravstvenimi</w:t>
      </w:r>
      <w:r w:rsidRPr="001048FE">
        <w:rPr>
          <w:spacing w:val="-17"/>
          <w:lang w:val="sl-SI"/>
        </w:rPr>
        <w:t xml:space="preserve"> </w:t>
      </w:r>
      <w:r w:rsidRPr="001048FE">
        <w:rPr>
          <w:lang w:val="sl-SI"/>
        </w:rPr>
        <w:t>težavami,</w:t>
      </w:r>
      <w:r w:rsidRPr="001048FE">
        <w:rPr>
          <w:spacing w:val="-17"/>
          <w:lang w:val="sl-SI"/>
        </w:rPr>
        <w:t xml:space="preserve"> </w:t>
      </w:r>
      <w:r w:rsidRPr="001048FE">
        <w:rPr>
          <w:lang w:val="sl-SI"/>
        </w:rPr>
        <w:t>hudimi</w:t>
      </w:r>
      <w:r w:rsidRPr="001048FE">
        <w:rPr>
          <w:spacing w:val="-17"/>
          <w:lang w:val="sl-SI"/>
        </w:rPr>
        <w:t xml:space="preserve"> </w:t>
      </w:r>
      <w:r w:rsidRPr="001048FE">
        <w:rPr>
          <w:lang w:val="sl-SI"/>
        </w:rPr>
        <w:t>ali</w:t>
      </w:r>
      <w:r w:rsidRPr="001048FE">
        <w:rPr>
          <w:spacing w:val="-17"/>
          <w:lang w:val="sl-SI"/>
        </w:rPr>
        <w:t xml:space="preserve"> </w:t>
      </w:r>
      <w:r w:rsidRPr="001048FE">
        <w:rPr>
          <w:lang w:val="sl-SI"/>
        </w:rPr>
        <w:t>duševnimi boleznimi;</w:t>
      </w:r>
    </w:p>
    <w:p w14:paraId="7D398608" w14:textId="77777777" w:rsidR="00E03711" w:rsidRPr="001048FE" w:rsidRDefault="00E03711" w:rsidP="005115F2">
      <w:pPr>
        <w:pStyle w:val="Guide-NormalBulletpoints"/>
        <w:numPr>
          <w:ilvl w:val="0"/>
          <w:numId w:val="317"/>
        </w:numPr>
        <w:rPr>
          <w:rStyle w:val="Guide-Condensed-01"/>
          <w:lang w:val="sl-SI"/>
        </w:rPr>
      </w:pPr>
      <w:r w:rsidRPr="001048FE">
        <w:rPr>
          <w:rStyle w:val="Guide-Condensed-01"/>
          <w:lang w:val="sl-SI"/>
        </w:rPr>
        <w:t>družbene ovire: osebe, diskriminirane na podlagi spola, starosti, etnične pripadnosti, vere, spolne usmerjenosti, invalidnosti itd.; osebe z omejenimi družbenimi spretnostmi, asocialnim ali tveganim vedenjem; osebe v negotovem položaju; (nekdanji) storilci kaznivih dejanj, (nekdanji) uživalci drog ali alkohola; mladi starši in/ali samohranilci; sirote;</w:t>
      </w:r>
    </w:p>
    <w:p w14:paraId="7D398609" w14:textId="77777777" w:rsidR="00E03711" w:rsidRPr="001048FE" w:rsidRDefault="00E03711" w:rsidP="005115F2">
      <w:pPr>
        <w:pStyle w:val="Guide-NormalBulletpoints"/>
        <w:numPr>
          <w:ilvl w:val="0"/>
          <w:numId w:val="317"/>
        </w:numPr>
        <w:rPr>
          <w:lang w:val="sl-SI"/>
        </w:rPr>
      </w:pPr>
      <w:r w:rsidRPr="001048FE">
        <w:rPr>
          <w:lang w:val="sl-SI"/>
        </w:rPr>
        <w:t>geografske ovire: osebe iz oddaljenih ali podeželskih območij; osebe, ki živijo na majhnih otokih ali v obrobnih regijah; osebe iz problematičnih mestnih območij; osebe z območij z manj storitvami (omejen javni prevoz, majhno število objektov).</w:t>
      </w:r>
    </w:p>
    <w:p w14:paraId="7D39860A" w14:textId="77777777" w:rsidR="00E03711" w:rsidRPr="001048FE" w:rsidRDefault="00E03711" w:rsidP="00B1662F">
      <w:pPr>
        <w:pStyle w:val="GUIDE-NORMAL"/>
        <w:rPr>
          <w:lang w:val="sl-SI"/>
        </w:rPr>
      </w:pPr>
      <w:r w:rsidRPr="001048FE">
        <w:rPr>
          <w:lang w:val="sl-SI"/>
        </w:rPr>
        <w:t>Na področju mladine je bila oblikovana strategija vključevanja in raznolikosti kot skupni okvir za podpiranje udeležbe in vključevanja mladih z manj priložnostmi v programu Erasmus+. Strategija je objavljena na spletišču</w:t>
      </w:r>
      <w:r w:rsidRPr="001048FE">
        <w:rPr>
          <w:rStyle w:val="FootnoteReference"/>
          <w:lang w:val="sl-SI"/>
        </w:rPr>
        <w:footnoteReference w:id="6"/>
      </w:r>
      <w:r w:rsidRPr="001048FE">
        <w:rPr>
          <w:lang w:val="sl-SI"/>
        </w:rPr>
        <w:t xml:space="preserve"> Evropske komisije.</w:t>
      </w:r>
    </w:p>
    <w:p w14:paraId="7D39860B" w14:textId="77777777" w:rsidR="00E03711" w:rsidRPr="001048FE" w:rsidRDefault="00E03711" w:rsidP="00B1662F">
      <w:pPr>
        <w:pStyle w:val="Guide-Heading4"/>
        <w:rPr>
          <w:lang w:val="sl-SI"/>
        </w:rPr>
      </w:pPr>
      <w:bookmarkStart w:id="44" w:name="_Toc527401085"/>
      <w:r w:rsidRPr="001048FE">
        <w:rPr>
          <w:lang w:val="sl-SI"/>
        </w:rPr>
        <w:t>Zaščita in varnost udeležencev</w:t>
      </w:r>
      <w:bookmarkEnd w:id="44"/>
    </w:p>
    <w:p w14:paraId="7D39860C" w14:textId="77777777" w:rsidR="00E03711" w:rsidRPr="001048FE" w:rsidRDefault="00E03711" w:rsidP="00B1662F">
      <w:pPr>
        <w:pStyle w:val="GUIDE-NORMAL"/>
        <w:rPr>
          <w:lang w:val="sl-SI"/>
        </w:rPr>
      </w:pPr>
      <w:r w:rsidRPr="001048FE">
        <w:rPr>
          <w:lang w:val="sl-SI"/>
        </w:rPr>
        <w:t>Zaščita</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varnost</w:t>
      </w:r>
      <w:r w:rsidRPr="001048FE">
        <w:rPr>
          <w:spacing w:val="-13"/>
          <w:lang w:val="sl-SI"/>
        </w:rPr>
        <w:t xml:space="preserve"> </w:t>
      </w:r>
      <w:r w:rsidRPr="001048FE">
        <w:rPr>
          <w:lang w:val="sl-SI"/>
        </w:rPr>
        <w:t>udeležencev,</w:t>
      </w:r>
      <w:r w:rsidRPr="001048FE">
        <w:rPr>
          <w:spacing w:val="-13"/>
          <w:lang w:val="sl-SI"/>
        </w:rPr>
        <w:t xml:space="preserve"> </w:t>
      </w:r>
      <w:r w:rsidRPr="001048FE">
        <w:rPr>
          <w:lang w:val="sl-SI"/>
        </w:rPr>
        <w:t>ki</w:t>
      </w:r>
      <w:r w:rsidRPr="001048FE">
        <w:rPr>
          <w:spacing w:val="-13"/>
          <w:lang w:val="sl-SI"/>
        </w:rPr>
        <w:t xml:space="preserve"> </w:t>
      </w:r>
      <w:r w:rsidRPr="001048FE">
        <w:rPr>
          <w:lang w:val="sl-SI"/>
        </w:rPr>
        <w:t>so</w:t>
      </w:r>
      <w:r w:rsidRPr="001048FE">
        <w:rPr>
          <w:spacing w:val="-13"/>
          <w:lang w:val="sl-SI"/>
        </w:rPr>
        <w:t xml:space="preserve"> </w:t>
      </w:r>
      <w:r w:rsidRPr="001048FE">
        <w:rPr>
          <w:lang w:val="sl-SI"/>
        </w:rPr>
        <w:t>vključeni</w:t>
      </w:r>
      <w:r w:rsidRPr="001048FE">
        <w:rPr>
          <w:spacing w:val="-13"/>
          <w:lang w:val="sl-SI"/>
        </w:rPr>
        <w:t xml:space="preserve"> </w:t>
      </w:r>
      <w:r w:rsidRPr="001048FE">
        <w:rPr>
          <w:lang w:val="sl-SI"/>
        </w:rPr>
        <w:t>v</w:t>
      </w:r>
      <w:r w:rsidRPr="001048FE">
        <w:rPr>
          <w:spacing w:val="-13"/>
          <w:lang w:val="sl-SI"/>
        </w:rPr>
        <w:t xml:space="preserve"> </w:t>
      </w:r>
      <w:r w:rsidRPr="001048FE">
        <w:rPr>
          <w:lang w:val="sl-SI"/>
        </w:rPr>
        <w:t>projekte</w:t>
      </w:r>
      <w:r w:rsidRPr="001048FE">
        <w:rPr>
          <w:spacing w:val="-13"/>
          <w:lang w:val="sl-SI"/>
        </w:rPr>
        <w:t xml:space="preserve"> </w:t>
      </w:r>
      <w:r w:rsidRPr="001048FE">
        <w:rPr>
          <w:lang w:val="sl-SI"/>
        </w:rPr>
        <w:t>Erasmus+,</w:t>
      </w:r>
      <w:r w:rsidRPr="001048FE">
        <w:rPr>
          <w:spacing w:val="-13"/>
          <w:lang w:val="sl-SI"/>
        </w:rPr>
        <w:t xml:space="preserve"> </w:t>
      </w:r>
      <w:r w:rsidRPr="001048FE">
        <w:rPr>
          <w:lang w:val="sl-SI"/>
        </w:rPr>
        <w:t>sta</w:t>
      </w:r>
      <w:r w:rsidRPr="001048FE">
        <w:rPr>
          <w:spacing w:val="-13"/>
          <w:lang w:val="sl-SI"/>
        </w:rPr>
        <w:t xml:space="preserve"> </w:t>
      </w:r>
      <w:r w:rsidRPr="001048FE">
        <w:rPr>
          <w:lang w:val="sl-SI"/>
        </w:rPr>
        <w:t>pomembni</w:t>
      </w:r>
      <w:r w:rsidRPr="001048FE">
        <w:rPr>
          <w:spacing w:val="-13"/>
          <w:lang w:val="sl-SI"/>
        </w:rPr>
        <w:t xml:space="preserve"> </w:t>
      </w:r>
      <w:r w:rsidRPr="001048FE">
        <w:rPr>
          <w:lang w:val="sl-SI"/>
        </w:rPr>
        <w:t>načeli</w:t>
      </w:r>
      <w:r w:rsidRPr="001048FE">
        <w:rPr>
          <w:spacing w:val="-13"/>
          <w:lang w:val="sl-SI"/>
        </w:rPr>
        <w:t xml:space="preserve"> </w:t>
      </w:r>
      <w:r w:rsidRPr="001048FE">
        <w:rPr>
          <w:lang w:val="sl-SI"/>
        </w:rPr>
        <w:t>Programa. Vse osebe, ki sodelujejo v programu Erasmus+, bi morale imeti priložnost, da v celoti izkoristijo možnosti</w:t>
      </w:r>
      <w:r w:rsidRPr="001048FE">
        <w:rPr>
          <w:spacing w:val="-8"/>
          <w:lang w:val="sl-SI"/>
        </w:rPr>
        <w:t xml:space="preserve"> </w:t>
      </w:r>
      <w:r w:rsidRPr="001048FE">
        <w:rPr>
          <w:lang w:val="sl-SI"/>
        </w:rPr>
        <w:t>za</w:t>
      </w:r>
      <w:r w:rsidRPr="001048FE">
        <w:rPr>
          <w:spacing w:val="-8"/>
          <w:lang w:val="sl-SI"/>
        </w:rPr>
        <w:t xml:space="preserve"> </w:t>
      </w:r>
      <w:r w:rsidRPr="001048FE">
        <w:rPr>
          <w:lang w:val="sl-SI"/>
        </w:rPr>
        <w:t>osebni</w:t>
      </w:r>
      <w:r w:rsidRPr="001048FE">
        <w:rPr>
          <w:spacing w:val="-7"/>
          <w:lang w:val="sl-SI"/>
        </w:rPr>
        <w:t xml:space="preserve"> </w:t>
      </w:r>
      <w:r w:rsidRPr="001048FE">
        <w:rPr>
          <w:lang w:val="sl-SI"/>
        </w:rPr>
        <w:t>in</w:t>
      </w:r>
      <w:r w:rsidRPr="001048FE">
        <w:rPr>
          <w:spacing w:val="-8"/>
          <w:lang w:val="sl-SI"/>
        </w:rPr>
        <w:t xml:space="preserve"> </w:t>
      </w:r>
      <w:r w:rsidRPr="001048FE">
        <w:rPr>
          <w:lang w:val="sl-SI"/>
        </w:rPr>
        <w:t>poklicni</w:t>
      </w:r>
      <w:r w:rsidRPr="001048FE">
        <w:rPr>
          <w:spacing w:val="-8"/>
          <w:lang w:val="sl-SI"/>
        </w:rPr>
        <w:t xml:space="preserve"> </w:t>
      </w:r>
      <w:r w:rsidRPr="001048FE">
        <w:rPr>
          <w:lang w:val="sl-SI"/>
        </w:rPr>
        <w:t>razvoj</w:t>
      </w:r>
      <w:r w:rsidRPr="001048FE">
        <w:rPr>
          <w:spacing w:val="-8"/>
          <w:lang w:val="sl-SI"/>
        </w:rPr>
        <w:t xml:space="preserve"> </w:t>
      </w:r>
      <w:r w:rsidRPr="001048FE">
        <w:rPr>
          <w:lang w:val="sl-SI"/>
        </w:rPr>
        <w:t>ter</w:t>
      </w:r>
      <w:r w:rsidRPr="001048FE">
        <w:rPr>
          <w:spacing w:val="-8"/>
          <w:lang w:val="sl-SI"/>
        </w:rPr>
        <w:t xml:space="preserve"> </w:t>
      </w:r>
      <w:r w:rsidRPr="001048FE">
        <w:rPr>
          <w:lang w:val="sl-SI"/>
        </w:rPr>
        <w:t>učenje.</w:t>
      </w:r>
      <w:r w:rsidRPr="001048FE">
        <w:rPr>
          <w:spacing w:val="-8"/>
          <w:lang w:val="sl-SI"/>
        </w:rPr>
        <w:t xml:space="preserve"> </w:t>
      </w:r>
      <w:r w:rsidRPr="001048FE">
        <w:rPr>
          <w:lang w:val="sl-SI"/>
        </w:rPr>
        <w:t>To</w:t>
      </w:r>
      <w:r w:rsidRPr="001048FE">
        <w:rPr>
          <w:spacing w:val="-8"/>
          <w:lang w:val="sl-SI"/>
        </w:rPr>
        <w:t xml:space="preserve"> </w:t>
      </w:r>
      <w:r w:rsidRPr="001048FE">
        <w:rPr>
          <w:lang w:val="sl-SI"/>
        </w:rPr>
        <w:t>je</w:t>
      </w:r>
      <w:r w:rsidRPr="001048FE">
        <w:rPr>
          <w:spacing w:val="-8"/>
          <w:lang w:val="sl-SI"/>
        </w:rPr>
        <w:t xml:space="preserve"> </w:t>
      </w:r>
      <w:r w:rsidRPr="001048FE">
        <w:rPr>
          <w:lang w:val="sl-SI"/>
        </w:rPr>
        <w:t>treba</w:t>
      </w:r>
      <w:r w:rsidRPr="001048FE">
        <w:rPr>
          <w:spacing w:val="-8"/>
          <w:lang w:val="sl-SI"/>
        </w:rPr>
        <w:t xml:space="preserve"> </w:t>
      </w:r>
      <w:r w:rsidRPr="001048FE">
        <w:rPr>
          <w:lang w:val="sl-SI"/>
        </w:rPr>
        <w:t>zagotoviti</w:t>
      </w:r>
      <w:r w:rsidRPr="001048FE">
        <w:rPr>
          <w:spacing w:val="-8"/>
          <w:lang w:val="sl-SI"/>
        </w:rPr>
        <w:t xml:space="preserve"> </w:t>
      </w:r>
      <w:r w:rsidRPr="001048FE">
        <w:rPr>
          <w:lang w:val="sl-SI"/>
        </w:rPr>
        <w:t>v</w:t>
      </w:r>
      <w:r w:rsidRPr="001048FE">
        <w:rPr>
          <w:spacing w:val="-8"/>
          <w:lang w:val="sl-SI"/>
        </w:rPr>
        <w:t xml:space="preserve"> </w:t>
      </w:r>
      <w:r w:rsidRPr="001048FE">
        <w:rPr>
          <w:lang w:val="sl-SI"/>
        </w:rPr>
        <w:t>varnem</w:t>
      </w:r>
      <w:r w:rsidRPr="001048FE">
        <w:rPr>
          <w:spacing w:val="-8"/>
          <w:lang w:val="sl-SI"/>
        </w:rPr>
        <w:t xml:space="preserve"> </w:t>
      </w:r>
      <w:r w:rsidRPr="001048FE">
        <w:rPr>
          <w:lang w:val="sl-SI"/>
        </w:rPr>
        <w:t>okolju,</w:t>
      </w:r>
      <w:r w:rsidRPr="001048FE">
        <w:rPr>
          <w:spacing w:val="-7"/>
          <w:lang w:val="sl-SI"/>
        </w:rPr>
        <w:t xml:space="preserve"> </w:t>
      </w:r>
      <w:r w:rsidRPr="001048FE">
        <w:rPr>
          <w:lang w:val="sl-SI"/>
        </w:rPr>
        <w:t>ki</w:t>
      </w:r>
      <w:r w:rsidRPr="001048FE">
        <w:rPr>
          <w:spacing w:val="-8"/>
          <w:lang w:val="sl-SI"/>
        </w:rPr>
        <w:t xml:space="preserve"> </w:t>
      </w:r>
      <w:r w:rsidRPr="001048FE">
        <w:rPr>
          <w:lang w:val="sl-SI"/>
        </w:rPr>
        <w:t>spoštuje</w:t>
      </w:r>
      <w:r w:rsidRPr="001048FE">
        <w:rPr>
          <w:spacing w:val="-8"/>
          <w:lang w:val="sl-SI"/>
        </w:rPr>
        <w:t xml:space="preserve"> </w:t>
      </w:r>
      <w:r w:rsidRPr="001048FE">
        <w:rPr>
          <w:lang w:val="sl-SI"/>
        </w:rPr>
        <w:t>in varuje pravice vseh</w:t>
      </w:r>
      <w:r w:rsidRPr="001048FE">
        <w:rPr>
          <w:spacing w:val="-7"/>
          <w:lang w:val="sl-SI"/>
        </w:rPr>
        <w:t xml:space="preserve"> </w:t>
      </w:r>
      <w:r w:rsidRPr="001048FE">
        <w:rPr>
          <w:lang w:val="sl-SI"/>
        </w:rPr>
        <w:t>ljudi.</w:t>
      </w:r>
    </w:p>
    <w:p w14:paraId="7D39860D" w14:textId="77777777" w:rsidR="00E03711" w:rsidRPr="001048FE" w:rsidRDefault="00E03711" w:rsidP="00B1662F">
      <w:pPr>
        <w:pStyle w:val="GUIDE-NORMAL"/>
        <w:rPr>
          <w:lang w:val="sl-SI"/>
        </w:rPr>
      </w:pPr>
      <w:r w:rsidRPr="001048FE">
        <w:rPr>
          <w:lang w:val="sl-SI"/>
        </w:rPr>
        <w:t>Zato mora imeti vsaka organizacija, ki sodeluje v programu Erasmus+, vzpostavljene učinkovite postopke in ureditve za spodbujanje ter zagotavljanje varnosti in zaščite udeležencev v njihovi aktivnosti. V zvezi s tem morajo biti vsi študenti, praktikanti, vajenci, dijaki, učeči se odrasli, mladi, osebje in prostovoljci, ki so vključeni v mobilnost v okviru vseh ključnih ukrepov programa Erasmus+, zavarovani za tveganja, povezana z njihovo udeležbo v teh aktivnostih. Razen prostovoljskih aktivnosti, ki predvidevajo posebno zavarovalno polico, program Erasmus+ ne opredeljuje edinstvene oblike zavarovanja in ne priporoča posebnih zavarovalnic. Program prepušča iskanje najustreznejše zavarovalne police organizatorjem projekta glede na vrsto projekta, ki se izvaja, in oblike zavarovanj, ki so na voljo na nacionalni ravni. Poleg tega ni treba pridobiti zavarovanja za določen projekt, če so udeleženci že zavarovani z obstoječo zavarovalno polico organizatorjev projekta.</w:t>
      </w:r>
    </w:p>
    <w:p w14:paraId="7D39860E" w14:textId="77777777" w:rsidR="00E03711" w:rsidRPr="001048FE" w:rsidRDefault="00E03711" w:rsidP="0089250E">
      <w:pPr>
        <w:pStyle w:val="GUIDE-NORMAL"/>
        <w:spacing w:after="120"/>
        <w:rPr>
          <w:lang w:val="sl-SI"/>
        </w:rPr>
      </w:pPr>
      <w:r w:rsidRPr="001048FE">
        <w:rPr>
          <w:lang w:val="sl-SI"/>
        </w:rPr>
        <w:t>V vsakem primeru morajo biti zajeta naslednja področja:</w:t>
      </w:r>
    </w:p>
    <w:p w14:paraId="7D39860F" w14:textId="77777777" w:rsidR="00E03711" w:rsidRPr="001048FE" w:rsidRDefault="00E03711" w:rsidP="005115F2">
      <w:pPr>
        <w:pStyle w:val="Guide-NormalBulletpoints"/>
        <w:numPr>
          <w:ilvl w:val="0"/>
          <w:numId w:val="110"/>
        </w:numPr>
        <w:rPr>
          <w:lang w:val="sl-SI"/>
        </w:rPr>
      </w:pPr>
      <w:r w:rsidRPr="001048FE">
        <w:rPr>
          <w:lang w:val="sl-SI"/>
        </w:rPr>
        <w:t>po potrebi potovalno zavarovanje (vključno s poškodbo in izgubo</w:t>
      </w:r>
      <w:r w:rsidRPr="001048FE">
        <w:rPr>
          <w:spacing w:val="51"/>
          <w:lang w:val="sl-SI"/>
        </w:rPr>
        <w:t xml:space="preserve"> </w:t>
      </w:r>
      <w:r w:rsidRPr="001048FE">
        <w:rPr>
          <w:lang w:val="sl-SI"/>
        </w:rPr>
        <w:t>prtljage);</w:t>
      </w:r>
    </w:p>
    <w:p w14:paraId="7D398610" w14:textId="77777777" w:rsidR="00E03711" w:rsidRPr="001048FE" w:rsidRDefault="00E03711" w:rsidP="005115F2">
      <w:pPr>
        <w:pStyle w:val="Guide-NormalBulletpoints"/>
        <w:numPr>
          <w:ilvl w:val="0"/>
          <w:numId w:val="110"/>
        </w:numPr>
        <w:rPr>
          <w:lang w:val="sl-SI"/>
        </w:rPr>
      </w:pPr>
      <w:r w:rsidRPr="001048FE">
        <w:rPr>
          <w:lang w:val="sl-SI"/>
        </w:rPr>
        <w:t>odgovornost</w:t>
      </w:r>
      <w:r w:rsidRPr="001048FE">
        <w:rPr>
          <w:spacing w:val="-11"/>
          <w:lang w:val="sl-SI"/>
        </w:rPr>
        <w:t xml:space="preserve"> </w:t>
      </w:r>
      <w:r w:rsidRPr="001048FE">
        <w:rPr>
          <w:lang w:val="sl-SI"/>
        </w:rPr>
        <w:t>do</w:t>
      </w:r>
      <w:r w:rsidRPr="001048FE">
        <w:rPr>
          <w:spacing w:val="-12"/>
          <w:lang w:val="sl-SI"/>
        </w:rPr>
        <w:t xml:space="preserve"> </w:t>
      </w:r>
      <w:r w:rsidRPr="001048FE">
        <w:rPr>
          <w:lang w:val="sl-SI"/>
        </w:rPr>
        <w:t>tretjih</w:t>
      </w:r>
      <w:r w:rsidRPr="001048FE">
        <w:rPr>
          <w:spacing w:val="-12"/>
          <w:lang w:val="sl-SI"/>
        </w:rPr>
        <w:t xml:space="preserve"> </w:t>
      </w:r>
      <w:r w:rsidRPr="001048FE">
        <w:rPr>
          <w:lang w:val="sl-SI"/>
        </w:rPr>
        <w:t>oseb</w:t>
      </w:r>
      <w:r w:rsidRPr="001048FE">
        <w:rPr>
          <w:spacing w:val="-11"/>
          <w:lang w:val="sl-SI"/>
        </w:rPr>
        <w:t xml:space="preserve"> </w:t>
      </w:r>
      <w:r w:rsidRPr="001048FE">
        <w:rPr>
          <w:lang w:val="sl-SI"/>
        </w:rPr>
        <w:t>(po</w:t>
      </w:r>
      <w:r w:rsidRPr="001048FE">
        <w:rPr>
          <w:spacing w:val="-12"/>
          <w:lang w:val="sl-SI"/>
        </w:rPr>
        <w:t xml:space="preserve"> </w:t>
      </w:r>
      <w:r w:rsidRPr="001048FE">
        <w:rPr>
          <w:lang w:val="sl-SI"/>
        </w:rPr>
        <w:t>potrebi</w:t>
      </w:r>
      <w:r w:rsidRPr="001048FE">
        <w:rPr>
          <w:spacing w:val="-12"/>
          <w:lang w:val="sl-SI"/>
        </w:rPr>
        <w:t xml:space="preserve"> </w:t>
      </w:r>
      <w:r w:rsidRPr="001048FE">
        <w:rPr>
          <w:lang w:val="sl-SI"/>
        </w:rPr>
        <w:t>vključno</w:t>
      </w:r>
      <w:r w:rsidRPr="001048FE">
        <w:rPr>
          <w:spacing w:val="-12"/>
          <w:lang w:val="sl-SI"/>
        </w:rPr>
        <w:t xml:space="preserve"> </w:t>
      </w:r>
      <w:r w:rsidRPr="001048FE">
        <w:rPr>
          <w:lang w:val="sl-SI"/>
        </w:rPr>
        <w:t>s</w:t>
      </w:r>
      <w:r w:rsidRPr="001048FE">
        <w:rPr>
          <w:spacing w:val="-12"/>
          <w:lang w:val="sl-SI"/>
        </w:rPr>
        <w:t xml:space="preserve"> </w:t>
      </w:r>
      <w:r w:rsidRPr="001048FE">
        <w:rPr>
          <w:lang w:val="sl-SI"/>
        </w:rPr>
        <w:t>poklicno</w:t>
      </w:r>
      <w:r w:rsidRPr="001048FE">
        <w:rPr>
          <w:spacing w:val="-12"/>
          <w:lang w:val="sl-SI"/>
        </w:rPr>
        <w:t xml:space="preserve"> </w:t>
      </w:r>
      <w:r w:rsidRPr="001048FE">
        <w:rPr>
          <w:lang w:val="sl-SI"/>
        </w:rPr>
        <w:t>odgovornostjo</w:t>
      </w:r>
      <w:r w:rsidRPr="001048FE">
        <w:rPr>
          <w:spacing w:val="-11"/>
          <w:lang w:val="sl-SI"/>
        </w:rPr>
        <w:t xml:space="preserve"> </w:t>
      </w:r>
      <w:r w:rsidRPr="001048FE">
        <w:rPr>
          <w:lang w:val="sl-SI"/>
        </w:rPr>
        <w:t>ali</w:t>
      </w:r>
      <w:r w:rsidRPr="001048FE">
        <w:rPr>
          <w:spacing w:val="-12"/>
          <w:lang w:val="sl-SI"/>
        </w:rPr>
        <w:t xml:space="preserve"> </w:t>
      </w:r>
      <w:r w:rsidRPr="001048FE">
        <w:rPr>
          <w:lang w:val="sl-SI"/>
        </w:rPr>
        <w:t>zavarovanjem</w:t>
      </w:r>
      <w:r w:rsidRPr="001048FE">
        <w:rPr>
          <w:spacing w:val="-12"/>
          <w:lang w:val="sl-SI"/>
        </w:rPr>
        <w:t xml:space="preserve"> </w:t>
      </w:r>
      <w:r w:rsidRPr="001048FE">
        <w:rPr>
          <w:lang w:val="sl-SI"/>
        </w:rPr>
        <w:t>za odgovornost);</w:t>
      </w:r>
    </w:p>
    <w:p w14:paraId="7D398611" w14:textId="77777777" w:rsidR="00E03711" w:rsidRPr="001048FE" w:rsidRDefault="00E03711" w:rsidP="005115F2">
      <w:pPr>
        <w:pStyle w:val="Guide-NormalBulletpoints"/>
        <w:numPr>
          <w:ilvl w:val="0"/>
          <w:numId w:val="110"/>
        </w:numPr>
        <w:rPr>
          <w:lang w:val="sl-SI"/>
        </w:rPr>
      </w:pPr>
      <w:r w:rsidRPr="001048FE">
        <w:rPr>
          <w:lang w:val="sl-SI"/>
        </w:rPr>
        <w:t xml:space="preserve">nesreče in hude bolezni (vključno s trajno ali začasno nezmožnostjo za delo); </w:t>
      </w:r>
    </w:p>
    <w:p w14:paraId="7D398612" w14:textId="77777777" w:rsidR="00E03711" w:rsidRPr="001048FE" w:rsidRDefault="00E03711" w:rsidP="005115F2">
      <w:pPr>
        <w:pStyle w:val="Guide-NormalBulletpoints"/>
        <w:numPr>
          <w:ilvl w:val="0"/>
          <w:numId w:val="110"/>
        </w:numPr>
        <w:rPr>
          <w:lang w:val="sl-SI"/>
        </w:rPr>
      </w:pPr>
      <w:r w:rsidRPr="001048FE">
        <w:rPr>
          <w:lang w:val="sl-SI"/>
        </w:rPr>
        <w:t>smrt (vključno z repatriacijo v primeru projektov, ki se izvajajo v tujini).</w:t>
      </w:r>
    </w:p>
    <w:p w14:paraId="7D398613" w14:textId="77777777" w:rsidR="00E03711" w:rsidRPr="00237696" w:rsidRDefault="00E03711" w:rsidP="00B1662F">
      <w:pPr>
        <w:pStyle w:val="GUIDE-NORMAL"/>
        <w:rPr>
          <w:lang w:val="sl-SI"/>
        </w:rPr>
      </w:pPr>
      <w:r w:rsidRPr="00237696">
        <w:rPr>
          <w:lang w:val="sl-SI"/>
        </w:rPr>
        <w:t xml:space="preserve">Po potrebi se priporoča, da imajo udeleženci v mednarodnih aktivnostih </w:t>
      </w:r>
      <w:hyperlink r:id="rId26">
        <w:r w:rsidRPr="001048FE">
          <w:rPr>
            <w:rStyle w:val="Hyperlink"/>
            <w:lang w:val="sl-SI"/>
          </w:rPr>
          <w:t>evropsko kartico</w:t>
        </w:r>
      </w:hyperlink>
      <w:r w:rsidRPr="001048FE">
        <w:rPr>
          <w:rStyle w:val="Hyperlink"/>
          <w:lang w:val="sl-SI"/>
        </w:rPr>
        <w:t xml:space="preserve"> </w:t>
      </w:r>
      <w:hyperlink r:id="rId27">
        <w:r w:rsidRPr="001048FE">
          <w:rPr>
            <w:rStyle w:val="Hyperlink"/>
            <w:lang w:val="sl-SI"/>
          </w:rPr>
          <w:t>zdravstvenega zavarovanja</w:t>
        </w:r>
      </w:hyperlink>
      <w:r w:rsidRPr="00237696">
        <w:rPr>
          <w:lang w:val="sl-SI"/>
        </w:rPr>
        <w:t>.</w:t>
      </w:r>
      <w:r w:rsidRPr="00237696">
        <w:rPr>
          <w:spacing w:val="-18"/>
          <w:lang w:val="sl-SI"/>
        </w:rPr>
        <w:t xml:space="preserve"> </w:t>
      </w:r>
      <w:r w:rsidRPr="00237696">
        <w:rPr>
          <w:lang w:val="sl-SI"/>
        </w:rPr>
        <w:t>To</w:t>
      </w:r>
      <w:r w:rsidRPr="00237696">
        <w:rPr>
          <w:spacing w:val="-18"/>
          <w:lang w:val="sl-SI"/>
        </w:rPr>
        <w:t xml:space="preserve"> </w:t>
      </w:r>
      <w:r w:rsidRPr="00237696">
        <w:rPr>
          <w:lang w:val="sl-SI"/>
        </w:rPr>
        <w:t>je</w:t>
      </w:r>
      <w:r w:rsidRPr="00237696">
        <w:rPr>
          <w:spacing w:val="-18"/>
          <w:lang w:val="sl-SI"/>
        </w:rPr>
        <w:t xml:space="preserve"> </w:t>
      </w:r>
      <w:r w:rsidRPr="00237696">
        <w:rPr>
          <w:lang w:val="sl-SI"/>
        </w:rPr>
        <w:t>brezplačna</w:t>
      </w:r>
      <w:r w:rsidRPr="00237696">
        <w:rPr>
          <w:spacing w:val="-18"/>
          <w:lang w:val="sl-SI"/>
        </w:rPr>
        <w:t xml:space="preserve"> </w:t>
      </w:r>
      <w:r w:rsidRPr="00237696">
        <w:rPr>
          <w:lang w:val="sl-SI"/>
        </w:rPr>
        <w:t>kartica,</w:t>
      </w:r>
      <w:r w:rsidRPr="00237696">
        <w:rPr>
          <w:spacing w:val="-18"/>
          <w:lang w:val="sl-SI"/>
        </w:rPr>
        <w:t xml:space="preserve"> </w:t>
      </w:r>
      <w:r w:rsidRPr="00237696">
        <w:rPr>
          <w:lang w:val="sl-SI"/>
        </w:rPr>
        <w:t>ki</w:t>
      </w:r>
      <w:r w:rsidRPr="00237696">
        <w:rPr>
          <w:spacing w:val="-18"/>
          <w:lang w:val="sl-SI"/>
        </w:rPr>
        <w:t xml:space="preserve"> </w:t>
      </w:r>
      <w:r w:rsidRPr="00237696">
        <w:rPr>
          <w:lang w:val="sl-SI"/>
        </w:rPr>
        <w:t>omogoča</w:t>
      </w:r>
      <w:r w:rsidRPr="00237696">
        <w:rPr>
          <w:spacing w:val="-17"/>
          <w:lang w:val="sl-SI"/>
        </w:rPr>
        <w:t xml:space="preserve"> </w:t>
      </w:r>
      <w:r w:rsidRPr="00237696">
        <w:rPr>
          <w:lang w:val="sl-SI"/>
        </w:rPr>
        <w:t>dostop</w:t>
      </w:r>
      <w:r w:rsidRPr="00237696">
        <w:rPr>
          <w:spacing w:val="-18"/>
          <w:lang w:val="sl-SI"/>
        </w:rPr>
        <w:t xml:space="preserve"> </w:t>
      </w:r>
      <w:r w:rsidRPr="00237696">
        <w:rPr>
          <w:lang w:val="sl-SI"/>
        </w:rPr>
        <w:t>do</w:t>
      </w:r>
      <w:r w:rsidRPr="00237696">
        <w:rPr>
          <w:spacing w:val="-18"/>
          <w:lang w:val="sl-SI"/>
        </w:rPr>
        <w:t xml:space="preserve"> </w:t>
      </w:r>
      <w:r w:rsidRPr="00237696">
        <w:rPr>
          <w:lang w:val="sl-SI"/>
        </w:rPr>
        <w:t>nujno</w:t>
      </w:r>
      <w:r w:rsidRPr="00237696">
        <w:rPr>
          <w:spacing w:val="-18"/>
          <w:lang w:val="sl-SI"/>
        </w:rPr>
        <w:t xml:space="preserve"> </w:t>
      </w:r>
      <w:r w:rsidRPr="00237696">
        <w:rPr>
          <w:lang w:val="sl-SI"/>
        </w:rPr>
        <w:t>potrebnega, državnega</w:t>
      </w:r>
      <w:r w:rsidRPr="00237696">
        <w:rPr>
          <w:spacing w:val="-14"/>
          <w:lang w:val="sl-SI"/>
        </w:rPr>
        <w:t xml:space="preserve"> </w:t>
      </w:r>
      <w:r w:rsidRPr="00237696">
        <w:rPr>
          <w:lang w:val="sl-SI"/>
        </w:rPr>
        <w:t>zdravstvenega</w:t>
      </w:r>
      <w:r w:rsidRPr="00237696">
        <w:rPr>
          <w:spacing w:val="-14"/>
          <w:lang w:val="sl-SI"/>
        </w:rPr>
        <w:t xml:space="preserve"> </w:t>
      </w:r>
      <w:r w:rsidRPr="00237696">
        <w:rPr>
          <w:lang w:val="sl-SI"/>
        </w:rPr>
        <w:t>varstva</w:t>
      </w:r>
      <w:r w:rsidRPr="00237696">
        <w:rPr>
          <w:spacing w:val="-14"/>
          <w:lang w:val="sl-SI"/>
        </w:rPr>
        <w:t xml:space="preserve"> </w:t>
      </w:r>
      <w:r w:rsidRPr="00237696">
        <w:rPr>
          <w:lang w:val="sl-SI"/>
        </w:rPr>
        <w:t>med</w:t>
      </w:r>
      <w:r w:rsidRPr="00237696">
        <w:rPr>
          <w:spacing w:val="-14"/>
          <w:lang w:val="sl-SI"/>
        </w:rPr>
        <w:t xml:space="preserve"> </w:t>
      </w:r>
      <w:r w:rsidRPr="00237696">
        <w:rPr>
          <w:lang w:val="sl-SI"/>
        </w:rPr>
        <w:t>začasnim</w:t>
      </w:r>
      <w:r w:rsidRPr="00237696">
        <w:rPr>
          <w:spacing w:val="-14"/>
          <w:lang w:val="sl-SI"/>
        </w:rPr>
        <w:t xml:space="preserve"> </w:t>
      </w:r>
      <w:r w:rsidRPr="00237696">
        <w:rPr>
          <w:lang w:val="sl-SI"/>
        </w:rPr>
        <w:t>bivanjem</w:t>
      </w:r>
      <w:r w:rsidRPr="00237696">
        <w:rPr>
          <w:spacing w:val="-14"/>
          <w:lang w:val="sl-SI"/>
        </w:rPr>
        <w:t xml:space="preserve"> </w:t>
      </w:r>
      <w:r w:rsidRPr="00237696">
        <w:rPr>
          <w:lang w:val="sl-SI"/>
        </w:rPr>
        <w:t>v</w:t>
      </w:r>
      <w:r w:rsidRPr="00237696">
        <w:rPr>
          <w:spacing w:val="-14"/>
          <w:lang w:val="sl-SI"/>
        </w:rPr>
        <w:t xml:space="preserve"> </w:t>
      </w:r>
      <w:r w:rsidRPr="00237696">
        <w:rPr>
          <w:lang w:val="sl-SI"/>
        </w:rPr>
        <w:t>kateri</w:t>
      </w:r>
      <w:r w:rsidRPr="00237696">
        <w:rPr>
          <w:spacing w:val="-14"/>
          <w:lang w:val="sl-SI"/>
        </w:rPr>
        <w:t xml:space="preserve"> </w:t>
      </w:r>
      <w:r w:rsidRPr="00237696">
        <w:rPr>
          <w:lang w:val="sl-SI"/>
        </w:rPr>
        <w:t>koli</w:t>
      </w:r>
      <w:r w:rsidRPr="00237696">
        <w:rPr>
          <w:spacing w:val="-14"/>
          <w:lang w:val="sl-SI"/>
        </w:rPr>
        <w:t xml:space="preserve"> </w:t>
      </w:r>
      <w:r w:rsidRPr="00237696">
        <w:rPr>
          <w:lang w:val="sl-SI"/>
        </w:rPr>
        <w:t>od</w:t>
      </w:r>
      <w:r w:rsidRPr="00237696">
        <w:rPr>
          <w:spacing w:val="-14"/>
          <w:lang w:val="sl-SI"/>
        </w:rPr>
        <w:t xml:space="preserve"> </w:t>
      </w:r>
      <w:r w:rsidRPr="00237696">
        <w:rPr>
          <w:lang w:val="sl-SI"/>
        </w:rPr>
        <w:t>28</w:t>
      </w:r>
      <w:r w:rsidRPr="00237696">
        <w:rPr>
          <w:spacing w:val="-14"/>
          <w:lang w:val="sl-SI"/>
        </w:rPr>
        <w:t xml:space="preserve"> </w:t>
      </w:r>
      <w:r w:rsidRPr="00237696">
        <w:rPr>
          <w:lang w:val="sl-SI"/>
        </w:rPr>
        <w:t>držav</w:t>
      </w:r>
      <w:r w:rsidRPr="00237696">
        <w:rPr>
          <w:spacing w:val="-14"/>
          <w:lang w:val="sl-SI"/>
        </w:rPr>
        <w:t xml:space="preserve"> </w:t>
      </w:r>
      <w:r w:rsidRPr="00237696">
        <w:rPr>
          <w:lang w:val="sl-SI"/>
        </w:rPr>
        <w:t>EU,</w:t>
      </w:r>
      <w:r w:rsidRPr="00237696">
        <w:rPr>
          <w:spacing w:val="-14"/>
          <w:lang w:val="sl-SI"/>
        </w:rPr>
        <w:t xml:space="preserve"> </w:t>
      </w:r>
      <w:r w:rsidRPr="00237696">
        <w:rPr>
          <w:lang w:val="sl-SI"/>
        </w:rPr>
        <w:t>Islandiji, Lihtenštajnu in na Norveškem, pod enakimi pogoji in z enakimi stroški (v nekaterih državah brezplačno), kot veljajo za ljudi, zavarovane v tej državi. Več informacij o kartici in postopku pridobitve je na voljo na spletišču:</w:t>
      </w:r>
      <w:r w:rsidRPr="00237696">
        <w:rPr>
          <w:spacing w:val="-2"/>
          <w:lang w:val="sl-SI"/>
        </w:rPr>
        <w:t xml:space="preserve"> </w:t>
      </w:r>
      <w:hyperlink r:id="rId28">
        <w:r w:rsidRPr="001048FE">
          <w:rPr>
            <w:rStyle w:val="Hyperlink"/>
            <w:lang w:val="sl-SI"/>
          </w:rPr>
          <w:t>http://ec.europa.eu/social/main.jsp?catId=559&amp;langId=sl</w:t>
        </w:r>
      </w:hyperlink>
      <w:r w:rsidRPr="001048FE">
        <w:rPr>
          <w:rStyle w:val="Hyperlink"/>
          <w:lang w:val="sl-SI"/>
        </w:rPr>
        <w:t>.</w:t>
      </w:r>
    </w:p>
    <w:p w14:paraId="7D398614" w14:textId="77777777" w:rsidR="00E03711" w:rsidRDefault="00E03711" w:rsidP="001461A5">
      <w:pPr>
        <w:pStyle w:val="GUIDE-NORMAL"/>
        <w:rPr>
          <w:lang w:val="sl-SI"/>
        </w:rPr>
      </w:pPr>
      <w:r w:rsidRPr="00237696">
        <w:rPr>
          <w:lang w:val="sl-SI"/>
        </w:rPr>
        <w:t>Če</w:t>
      </w:r>
      <w:r w:rsidRPr="00237696">
        <w:rPr>
          <w:spacing w:val="-9"/>
          <w:lang w:val="sl-SI"/>
        </w:rPr>
        <w:t xml:space="preserve"> </w:t>
      </w:r>
      <w:r w:rsidRPr="00237696">
        <w:rPr>
          <w:lang w:val="sl-SI"/>
        </w:rPr>
        <w:t>so</w:t>
      </w:r>
      <w:r w:rsidRPr="00237696">
        <w:rPr>
          <w:spacing w:val="-9"/>
          <w:lang w:val="sl-SI"/>
        </w:rPr>
        <w:t xml:space="preserve"> </w:t>
      </w:r>
      <w:r w:rsidRPr="00237696">
        <w:rPr>
          <w:lang w:val="sl-SI"/>
        </w:rPr>
        <w:t>v</w:t>
      </w:r>
      <w:r w:rsidRPr="00237696">
        <w:rPr>
          <w:spacing w:val="-9"/>
          <w:lang w:val="sl-SI"/>
        </w:rPr>
        <w:t xml:space="preserve"> </w:t>
      </w:r>
      <w:r w:rsidRPr="00237696">
        <w:rPr>
          <w:lang w:val="sl-SI"/>
        </w:rPr>
        <w:t>projekt</w:t>
      </w:r>
      <w:r w:rsidRPr="00237696">
        <w:rPr>
          <w:spacing w:val="-9"/>
          <w:lang w:val="sl-SI"/>
        </w:rPr>
        <w:t xml:space="preserve"> </w:t>
      </w:r>
      <w:r w:rsidRPr="00237696">
        <w:rPr>
          <w:lang w:val="sl-SI"/>
        </w:rPr>
        <w:t>vključeni</w:t>
      </w:r>
      <w:r w:rsidRPr="00237696">
        <w:rPr>
          <w:spacing w:val="-9"/>
          <w:lang w:val="sl-SI"/>
        </w:rPr>
        <w:t xml:space="preserve"> </w:t>
      </w:r>
      <w:r w:rsidRPr="00237696">
        <w:rPr>
          <w:lang w:val="sl-SI"/>
        </w:rPr>
        <w:t>mladi,</w:t>
      </w:r>
      <w:r w:rsidRPr="00237696">
        <w:rPr>
          <w:spacing w:val="-9"/>
          <w:lang w:val="sl-SI"/>
        </w:rPr>
        <w:t xml:space="preserve"> </w:t>
      </w:r>
      <w:r w:rsidRPr="00237696">
        <w:rPr>
          <w:lang w:val="sl-SI"/>
        </w:rPr>
        <w:t>mlajši</w:t>
      </w:r>
      <w:r w:rsidRPr="00237696">
        <w:rPr>
          <w:spacing w:val="-9"/>
          <w:lang w:val="sl-SI"/>
        </w:rPr>
        <w:t xml:space="preserve"> </w:t>
      </w:r>
      <w:r w:rsidRPr="00237696">
        <w:rPr>
          <w:lang w:val="sl-SI"/>
        </w:rPr>
        <w:t>od</w:t>
      </w:r>
      <w:r w:rsidRPr="00237696">
        <w:rPr>
          <w:spacing w:val="-8"/>
          <w:lang w:val="sl-SI"/>
        </w:rPr>
        <w:t xml:space="preserve"> </w:t>
      </w:r>
      <w:r w:rsidRPr="00237696">
        <w:rPr>
          <w:lang w:val="sl-SI"/>
        </w:rPr>
        <w:t>18</w:t>
      </w:r>
      <w:r w:rsidRPr="00237696">
        <w:rPr>
          <w:spacing w:val="-9"/>
          <w:lang w:val="sl-SI"/>
        </w:rPr>
        <w:t xml:space="preserve"> </w:t>
      </w:r>
      <w:r w:rsidRPr="00237696">
        <w:rPr>
          <w:lang w:val="sl-SI"/>
        </w:rPr>
        <w:t>let,</w:t>
      </w:r>
      <w:r w:rsidRPr="00237696">
        <w:rPr>
          <w:spacing w:val="-9"/>
          <w:lang w:val="sl-SI"/>
        </w:rPr>
        <w:t xml:space="preserve"> </w:t>
      </w:r>
      <w:r w:rsidRPr="00237696">
        <w:rPr>
          <w:lang w:val="sl-SI"/>
        </w:rPr>
        <w:t>se</w:t>
      </w:r>
      <w:r w:rsidRPr="00237696">
        <w:rPr>
          <w:spacing w:val="-9"/>
          <w:lang w:val="sl-SI"/>
        </w:rPr>
        <w:t xml:space="preserve"> </w:t>
      </w:r>
      <w:r w:rsidRPr="00237696">
        <w:rPr>
          <w:lang w:val="sl-SI"/>
        </w:rPr>
        <w:t>od</w:t>
      </w:r>
      <w:r w:rsidRPr="00237696">
        <w:rPr>
          <w:spacing w:val="-8"/>
          <w:lang w:val="sl-SI"/>
        </w:rPr>
        <w:t xml:space="preserve"> </w:t>
      </w:r>
      <w:r w:rsidRPr="00237696">
        <w:rPr>
          <w:lang w:val="sl-SI"/>
        </w:rPr>
        <w:t>sodelujočih</w:t>
      </w:r>
      <w:r w:rsidRPr="00237696">
        <w:rPr>
          <w:spacing w:val="-9"/>
          <w:lang w:val="sl-SI"/>
        </w:rPr>
        <w:t xml:space="preserve"> </w:t>
      </w:r>
      <w:r w:rsidRPr="00237696">
        <w:rPr>
          <w:lang w:val="sl-SI"/>
        </w:rPr>
        <w:t>organizacij</w:t>
      </w:r>
      <w:r w:rsidRPr="00237696">
        <w:rPr>
          <w:spacing w:val="-8"/>
          <w:lang w:val="sl-SI"/>
        </w:rPr>
        <w:t xml:space="preserve"> </w:t>
      </w:r>
      <w:r w:rsidRPr="00237696">
        <w:rPr>
          <w:lang w:val="sl-SI"/>
        </w:rPr>
        <w:t>zahteva,</w:t>
      </w:r>
      <w:r w:rsidRPr="00237696">
        <w:rPr>
          <w:spacing w:val="-9"/>
          <w:lang w:val="sl-SI"/>
        </w:rPr>
        <w:t xml:space="preserve"> </w:t>
      </w:r>
      <w:r w:rsidRPr="00237696">
        <w:rPr>
          <w:lang w:val="sl-SI"/>
        </w:rPr>
        <w:t>da</w:t>
      </w:r>
      <w:r w:rsidRPr="00237696">
        <w:rPr>
          <w:spacing w:val="-9"/>
          <w:lang w:val="sl-SI"/>
        </w:rPr>
        <w:t xml:space="preserve"> </w:t>
      </w:r>
      <w:r w:rsidRPr="00237696">
        <w:rPr>
          <w:lang w:val="sl-SI"/>
        </w:rPr>
        <w:t>pridobijo predhodno dovoljenje za udeležbo od njihovih staršev ali</w:t>
      </w:r>
      <w:r w:rsidRPr="00237696">
        <w:rPr>
          <w:spacing w:val="-30"/>
          <w:lang w:val="sl-SI"/>
        </w:rPr>
        <w:t xml:space="preserve"> </w:t>
      </w:r>
      <w:r w:rsidRPr="00237696">
        <w:rPr>
          <w:lang w:val="sl-SI"/>
        </w:rPr>
        <w:t>skrbnikov</w:t>
      </w:r>
      <w:r w:rsidRPr="001048FE">
        <w:rPr>
          <w:lang w:val="sl-SI"/>
        </w:rPr>
        <w:t>.</w:t>
      </w:r>
      <w:bookmarkStart w:id="45" w:name="Quelle_est_la_structure_du_programme_Era"/>
      <w:bookmarkStart w:id="46" w:name="_bookmark8"/>
      <w:bookmarkEnd w:id="45"/>
      <w:bookmarkEnd w:id="46"/>
    </w:p>
    <w:p w14:paraId="7D398615" w14:textId="77777777" w:rsidR="00E03711" w:rsidRDefault="00E03711">
      <w:pPr>
        <w:widowControl/>
        <w:suppressAutoHyphens w:val="0"/>
        <w:autoSpaceDN/>
        <w:textAlignment w:val="auto"/>
        <w:rPr>
          <w:rFonts w:eastAsia="Times New Roman" w:cs="Times New Roman"/>
          <w:sz w:val="18"/>
          <w:szCs w:val="18"/>
          <w:shd w:val="clear" w:color="auto" w:fill="FFFFFF"/>
          <w:lang w:val="sl-SI"/>
        </w:rPr>
      </w:pPr>
      <w:r>
        <w:rPr>
          <w:lang w:val="sl-SI"/>
        </w:rPr>
        <w:br w:type="page"/>
      </w:r>
    </w:p>
    <w:p w14:paraId="7D398616" w14:textId="77777777" w:rsidR="00E03711" w:rsidRDefault="00E03711" w:rsidP="005115F2">
      <w:pPr>
        <w:pStyle w:val="Guide-Heading2"/>
        <w:numPr>
          <w:ilvl w:val="1"/>
          <w:numId w:val="105"/>
        </w:numPr>
        <w:rPr>
          <w:lang w:val="sl-SI"/>
        </w:rPr>
        <w:sectPr w:rsidR="00E03711" w:rsidSect="007F4890">
          <w:headerReference w:type="default" r:id="rId29"/>
          <w:endnotePr>
            <w:numFmt w:val="decimal"/>
          </w:endnotePr>
          <w:pgSz w:w="11910" w:h="16840" w:code="9"/>
          <w:pgMar w:top="1134" w:right="1418" w:bottom="1134" w:left="1418" w:header="283" w:footer="567" w:gutter="0"/>
          <w:cols w:space="720"/>
          <w:docGrid w:linePitch="326"/>
        </w:sectPr>
      </w:pPr>
    </w:p>
    <w:p w14:paraId="7D398617" w14:textId="77777777" w:rsidR="00E03711" w:rsidRPr="001048FE" w:rsidRDefault="00E03711" w:rsidP="0030441A">
      <w:pPr>
        <w:pStyle w:val="Guide-Heading2"/>
        <w:rPr>
          <w:lang w:val="sl-SI"/>
        </w:rPr>
      </w:pPr>
      <w:bookmarkStart w:id="47" w:name="_Toc527400891"/>
      <w:bookmarkStart w:id="48" w:name="_Toc527401086"/>
      <w:r w:rsidRPr="001048FE">
        <w:rPr>
          <w:lang w:val="sl-SI"/>
        </w:rPr>
        <w:t>Kakšna je struktura programa</w:t>
      </w:r>
      <w:r w:rsidRPr="001048FE">
        <w:rPr>
          <w:spacing w:val="58"/>
          <w:lang w:val="sl-SI"/>
        </w:rPr>
        <w:t xml:space="preserve"> </w:t>
      </w:r>
      <w:r w:rsidRPr="001048FE">
        <w:rPr>
          <w:lang w:val="sl-SI"/>
        </w:rPr>
        <w:t>Erasmus+?</w:t>
      </w:r>
      <w:bookmarkEnd w:id="47"/>
      <w:bookmarkEnd w:id="48"/>
    </w:p>
    <w:p w14:paraId="7D398618" w14:textId="77777777" w:rsidR="00E03711" w:rsidRPr="001048FE" w:rsidRDefault="00E03711" w:rsidP="00B1662F">
      <w:pPr>
        <w:pStyle w:val="GUIDE-NORMAL"/>
        <w:rPr>
          <w:lang w:val="sl-SI"/>
        </w:rPr>
      </w:pPr>
      <w:r w:rsidRPr="001048FE">
        <w:rPr>
          <w:lang w:val="sl-SI"/>
        </w:rPr>
        <w:t>Program Erasmus+ za doseganje svojih ciljev izvaja naslednje ukrepe:</w:t>
      </w:r>
    </w:p>
    <w:p w14:paraId="7D398619" w14:textId="77777777" w:rsidR="00E03711" w:rsidRPr="001048FE" w:rsidRDefault="00E03711" w:rsidP="0030441A">
      <w:pPr>
        <w:pStyle w:val="Guide-Heading3"/>
        <w:rPr>
          <w:lang w:val="sl-SI"/>
        </w:rPr>
      </w:pPr>
      <w:bookmarkStart w:id="49" w:name="_Toc527400892"/>
      <w:bookmarkStart w:id="50" w:name="_Toc527401087"/>
      <w:r w:rsidRPr="001048FE">
        <w:rPr>
          <w:lang w:val="sl-SI"/>
        </w:rPr>
        <w:t>Ključni ukrep 1 – Mobilnost posameznikov</w:t>
      </w:r>
      <w:bookmarkEnd w:id="49"/>
      <w:bookmarkEnd w:id="50"/>
    </w:p>
    <w:p w14:paraId="7D39861A" w14:textId="77777777" w:rsidR="00E03711" w:rsidRPr="001048FE" w:rsidRDefault="00E03711" w:rsidP="00B1662F">
      <w:pPr>
        <w:pStyle w:val="GUIDE-NORMAL"/>
        <w:rPr>
          <w:lang w:val="sl-SI"/>
        </w:rPr>
      </w:pPr>
      <w:r w:rsidRPr="001048FE">
        <w:rPr>
          <w:lang w:val="sl-SI"/>
        </w:rPr>
        <w:t>Ta ključni ukrep podpira:</w:t>
      </w:r>
    </w:p>
    <w:p w14:paraId="7D39861B" w14:textId="77777777" w:rsidR="00E03711" w:rsidRPr="001048FE" w:rsidRDefault="00E03711" w:rsidP="005115F2">
      <w:pPr>
        <w:pStyle w:val="Guide-NormalBulletpoints"/>
        <w:numPr>
          <w:ilvl w:val="0"/>
          <w:numId w:val="318"/>
        </w:numPr>
        <w:rPr>
          <w:lang w:val="sl-SI"/>
        </w:rPr>
      </w:pPr>
      <w:r w:rsidRPr="001048FE">
        <w:rPr>
          <w:b/>
          <w:lang w:val="sl-SI"/>
        </w:rPr>
        <w:t>mobilnost</w:t>
      </w:r>
      <w:r w:rsidRPr="001048FE">
        <w:rPr>
          <w:b/>
          <w:spacing w:val="-11"/>
          <w:lang w:val="sl-SI"/>
        </w:rPr>
        <w:t xml:space="preserve"> </w:t>
      </w:r>
      <w:r w:rsidRPr="001048FE">
        <w:rPr>
          <w:b/>
          <w:lang w:val="sl-SI"/>
        </w:rPr>
        <w:t>učečih</w:t>
      </w:r>
      <w:r w:rsidRPr="001048FE">
        <w:rPr>
          <w:b/>
          <w:spacing w:val="-11"/>
          <w:lang w:val="sl-SI"/>
        </w:rPr>
        <w:t xml:space="preserve"> </w:t>
      </w:r>
      <w:r w:rsidRPr="001048FE">
        <w:rPr>
          <w:b/>
          <w:lang w:val="sl-SI"/>
        </w:rPr>
        <w:t>se</w:t>
      </w:r>
      <w:r w:rsidRPr="001048FE">
        <w:rPr>
          <w:b/>
          <w:spacing w:val="-11"/>
          <w:lang w:val="sl-SI"/>
        </w:rPr>
        <w:t xml:space="preserve"> </w:t>
      </w:r>
      <w:r w:rsidRPr="001048FE">
        <w:rPr>
          <w:b/>
          <w:lang w:val="sl-SI"/>
        </w:rPr>
        <w:t>in</w:t>
      </w:r>
      <w:r w:rsidRPr="001048FE">
        <w:rPr>
          <w:b/>
          <w:spacing w:val="-11"/>
          <w:lang w:val="sl-SI"/>
        </w:rPr>
        <w:t xml:space="preserve"> </w:t>
      </w:r>
      <w:r w:rsidRPr="001048FE">
        <w:rPr>
          <w:b/>
          <w:lang w:val="sl-SI"/>
        </w:rPr>
        <w:t>osebja:</w:t>
      </w:r>
      <w:r w:rsidRPr="001048FE">
        <w:rPr>
          <w:b/>
          <w:spacing w:val="-14"/>
          <w:lang w:val="sl-SI"/>
        </w:rPr>
        <w:t xml:space="preserve"> </w:t>
      </w:r>
      <w:r w:rsidRPr="001048FE">
        <w:rPr>
          <w:lang w:val="sl-SI"/>
        </w:rPr>
        <w:t>priložnosti</w:t>
      </w:r>
      <w:r w:rsidRPr="001048FE">
        <w:rPr>
          <w:spacing w:val="-16"/>
          <w:lang w:val="sl-SI"/>
        </w:rPr>
        <w:t xml:space="preserve"> </w:t>
      </w:r>
      <w:r w:rsidRPr="001048FE">
        <w:rPr>
          <w:lang w:val="sl-SI"/>
        </w:rPr>
        <w:t>za</w:t>
      </w:r>
      <w:r w:rsidRPr="001048FE">
        <w:rPr>
          <w:spacing w:val="-16"/>
          <w:lang w:val="sl-SI"/>
        </w:rPr>
        <w:t xml:space="preserve"> </w:t>
      </w:r>
      <w:r w:rsidRPr="001048FE">
        <w:rPr>
          <w:lang w:val="sl-SI"/>
        </w:rPr>
        <w:t>študente,</w:t>
      </w:r>
      <w:r w:rsidRPr="001048FE">
        <w:rPr>
          <w:spacing w:val="-16"/>
          <w:lang w:val="sl-SI"/>
        </w:rPr>
        <w:t xml:space="preserve"> </w:t>
      </w:r>
      <w:r w:rsidRPr="001048FE">
        <w:rPr>
          <w:lang w:val="sl-SI"/>
        </w:rPr>
        <w:t>praktikante,</w:t>
      </w:r>
      <w:r>
        <w:rPr>
          <w:lang w:val="sl-SI"/>
        </w:rPr>
        <w:t xml:space="preserve">in </w:t>
      </w:r>
      <w:r w:rsidRPr="001048FE">
        <w:rPr>
          <w:lang w:val="sl-SI"/>
        </w:rPr>
        <w:t>mlade</w:t>
      </w:r>
      <w:r w:rsidRPr="001048FE">
        <w:rPr>
          <w:spacing w:val="-16"/>
          <w:lang w:val="sl-SI"/>
        </w:rPr>
        <w:t xml:space="preserve"> </w:t>
      </w:r>
      <w:r w:rsidRPr="001048FE">
        <w:rPr>
          <w:lang w:val="sl-SI"/>
        </w:rPr>
        <w:t>ter za profesorje, učitelje, vodje usposabljanj, mladinske delavce, osebje izobraževalnih institucij in organizacije civilne družbe za učenje in/ali pridobitev strokovnih izkušenj v drugi državi;</w:t>
      </w:r>
    </w:p>
    <w:p w14:paraId="7D39861C" w14:textId="77777777" w:rsidR="00E03711" w:rsidRPr="001048FE" w:rsidRDefault="00E03711" w:rsidP="005115F2">
      <w:pPr>
        <w:pStyle w:val="Guide-NormalBulletpoints"/>
        <w:numPr>
          <w:ilvl w:val="0"/>
          <w:numId w:val="318"/>
        </w:numPr>
        <w:rPr>
          <w:lang w:val="sl-SI"/>
        </w:rPr>
      </w:pPr>
      <w:r w:rsidRPr="001048FE">
        <w:rPr>
          <w:b/>
          <w:lang w:val="sl-SI"/>
        </w:rPr>
        <w:t xml:space="preserve">skupni magistrski študij Erasmus Mundus: </w:t>
      </w:r>
      <w:r w:rsidRPr="001048FE">
        <w:rPr>
          <w:lang w:val="sl-SI"/>
        </w:rPr>
        <w:t>celostni mednarodni študijski programi na visoki ravni, ki jih izvaja konzorcij visokošolskih institucij, ki dodeljuje štipendije za celotni študij najboljšim študentom magistrskih programov po vsem svetu;</w:t>
      </w:r>
    </w:p>
    <w:p w14:paraId="7D39861D" w14:textId="77777777" w:rsidR="00E03711" w:rsidRPr="001048FE" w:rsidRDefault="00E03711" w:rsidP="005115F2">
      <w:pPr>
        <w:pStyle w:val="Guide-NormalBulletpoints"/>
        <w:numPr>
          <w:ilvl w:val="0"/>
          <w:numId w:val="318"/>
        </w:numPr>
        <w:rPr>
          <w:lang w:val="sl-SI"/>
        </w:rPr>
      </w:pPr>
      <w:r w:rsidRPr="001048FE">
        <w:rPr>
          <w:b/>
          <w:lang w:val="sl-SI"/>
        </w:rPr>
        <w:t xml:space="preserve">posojila Erasmus+ za magistrski študij: </w:t>
      </w:r>
      <w:r w:rsidRPr="001048FE">
        <w:rPr>
          <w:lang w:val="sl-SI"/>
        </w:rPr>
        <w:t>študenti v visokošolskem izobraževanju iz držav Programa lahko zaprosijo za posojilo, podprto s Programom, za opravljanje celotnega magistrskega študija v tujini. Študenti naj se obrnejo na nacionalne banke ali agencije, ki sodelujejo v shemi.</w:t>
      </w:r>
    </w:p>
    <w:p w14:paraId="7D39861E" w14:textId="77777777" w:rsidR="00E03711" w:rsidRPr="001048FE" w:rsidRDefault="00E03711" w:rsidP="0030441A">
      <w:pPr>
        <w:pStyle w:val="Guide-Heading3"/>
        <w:rPr>
          <w:lang w:val="sl-SI"/>
        </w:rPr>
      </w:pPr>
      <w:bookmarkStart w:id="51" w:name="_Toc527400893"/>
      <w:bookmarkStart w:id="52" w:name="_Toc527401088"/>
      <w:r w:rsidRPr="001048FE">
        <w:rPr>
          <w:lang w:val="sl-SI"/>
        </w:rPr>
        <w:t>Ključni ukrep 2 – Sodelovanje za inovacije in izmenjavo dobrih praks</w:t>
      </w:r>
      <w:bookmarkEnd w:id="51"/>
      <w:bookmarkEnd w:id="52"/>
    </w:p>
    <w:p w14:paraId="7D39861F" w14:textId="77777777" w:rsidR="00E03711" w:rsidRPr="001048FE" w:rsidRDefault="00E03711" w:rsidP="00B1662F">
      <w:pPr>
        <w:pStyle w:val="GUIDE-NORMAL"/>
        <w:rPr>
          <w:lang w:val="sl-SI"/>
        </w:rPr>
      </w:pPr>
      <w:r w:rsidRPr="001048FE">
        <w:rPr>
          <w:lang w:val="sl-SI"/>
        </w:rPr>
        <w:t>Ta ključni ukrep podpira:</w:t>
      </w:r>
    </w:p>
    <w:p w14:paraId="7D398620" w14:textId="77777777" w:rsidR="00E03711" w:rsidRPr="001048FE" w:rsidRDefault="00E03711" w:rsidP="005115F2">
      <w:pPr>
        <w:pStyle w:val="Guide-NormalBulletpoints"/>
        <w:numPr>
          <w:ilvl w:val="0"/>
          <w:numId w:val="171"/>
        </w:numPr>
        <w:rPr>
          <w:lang w:val="sl-SI"/>
        </w:rPr>
      </w:pPr>
      <w:r w:rsidRPr="001048FE">
        <w:rPr>
          <w:lang w:val="sl-SI"/>
        </w:rPr>
        <w:t xml:space="preserve">mednarodna </w:t>
      </w:r>
      <w:r w:rsidRPr="001048FE">
        <w:rPr>
          <w:b/>
          <w:lang w:val="sl-SI"/>
        </w:rPr>
        <w:t>strateška partnerstva</w:t>
      </w:r>
      <w:r w:rsidRPr="001048FE">
        <w:rPr>
          <w:lang w:val="sl-SI"/>
        </w:rPr>
        <w:t>, namenjena razvoju pobud, ki obravnavajo enega ali več področij</w:t>
      </w:r>
      <w:r w:rsidRPr="001048FE">
        <w:rPr>
          <w:spacing w:val="-12"/>
          <w:lang w:val="sl-SI"/>
        </w:rPr>
        <w:t xml:space="preserve"> </w:t>
      </w:r>
      <w:r w:rsidRPr="001048FE">
        <w:rPr>
          <w:lang w:val="sl-SI"/>
        </w:rPr>
        <w:t>izobraževanja,</w:t>
      </w:r>
      <w:r w:rsidRPr="001048FE">
        <w:rPr>
          <w:spacing w:val="-12"/>
          <w:lang w:val="sl-SI"/>
        </w:rPr>
        <w:t xml:space="preserve"> </w:t>
      </w:r>
      <w:r w:rsidRPr="001048FE">
        <w:rPr>
          <w:lang w:val="sl-SI"/>
        </w:rPr>
        <w:t>usposabljanja</w:t>
      </w:r>
      <w:r w:rsidRPr="001048FE">
        <w:rPr>
          <w:spacing w:val="-12"/>
          <w:lang w:val="sl-SI"/>
        </w:rPr>
        <w:t xml:space="preserve"> </w:t>
      </w:r>
      <w:r w:rsidRPr="001048FE">
        <w:rPr>
          <w:lang w:val="sl-SI"/>
        </w:rPr>
        <w:t>in</w:t>
      </w:r>
      <w:r w:rsidRPr="001048FE">
        <w:rPr>
          <w:spacing w:val="-12"/>
          <w:lang w:val="sl-SI"/>
        </w:rPr>
        <w:t xml:space="preserve"> </w:t>
      </w:r>
      <w:r w:rsidRPr="001048FE">
        <w:rPr>
          <w:lang w:val="sl-SI"/>
        </w:rPr>
        <w:t>mladine,</w:t>
      </w:r>
      <w:r w:rsidRPr="001048FE">
        <w:rPr>
          <w:spacing w:val="-12"/>
          <w:lang w:val="sl-SI"/>
        </w:rPr>
        <w:t xml:space="preserve"> </w:t>
      </w:r>
      <w:r w:rsidRPr="001048FE">
        <w:rPr>
          <w:lang w:val="sl-SI"/>
        </w:rPr>
        <w:t>ter</w:t>
      </w:r>
      <w:r w:rsidRPr="001048FE">
        <w:rPr>
          <w:spacing w:val="-12"/>
          <w:lang w:val="sl-SI"/>
        </w:rPr>
        <w:t xml:space="preserve"> </w:t>
      </w:r>
      <w:r w:rsidRPr="001048FE">
        <w:rPr>
          <w:lang w:val="sl-SI"/>
        </w:rPr>
        <w:t>spodbujanju</w:t>
      </w:r>
      <w:r w:rsidRPr="001048FE">
        <w:rPr>
          <w:spacing w:val="-12"/>
          <w:lang w:val="sl-SI"/>
        </w:rPr>
        <w:t xml:space="preserve"> </w:t>
      </w:r>
      <w:r w:rsidRPr="001048FE">
        <w:rPr>
          <w:lang w:val="sl-SI"/>
        </w:rPr>
        <w:t>inovacij,</w:t>
      </w:r>
      <w:r w:rsidRPr="001048FE">
        <w:rPr>
          <w:spacing w:val="-12"/>
          <w:lang w:val="sl-SI"/>
        </w:rPr>
        <w:t xml:space="preserve"> </w:t>
      </w:r>
      <w:r w:rsidRPr="001048FE">
        <w:rPr>
          <w:lang w:val="sl-SI"/>
        </w:rPr>
        <w:t>izmenjav</w:t>
      </w:r>
      <w:r w:rsidRPr="001048FE">
        <w:rPr>
          <w:spacing w:val="-12"/>
          <w:lang w:val="sl-SI"/>
        </w:rPr>
        <w:t xml:space="preserve"> </w:t>
      </w:r>
      <w:r w:rsidRPr="001048FE">
        <w:rPr>
          <w:lang w:val="sl-SI"/>
        </w:rPr>
        <w:t>izkušenj</w:t>
      </w:r>
      <w:r w:rsidRPr="001048FE">
        <w:rPr>
          <w:spacing w:val="-12"/>
          <w:lang w:val="sl-SI"/>
        </w:rPr>
        <w:t xml:space="preserve"> </w:t>
      </w:r>
      <w:r w:rsidRPr="001048FE">
        <w:rPr>
          <w:lang w:val="sl-SI"/>
        </w:rPr>
        <w:t>in strokovnega znanja med različnimi vrstami organizacij, ki delujejo na področju izobraževanja, usposabljanja in mladine ali na drugih ustreznih področjih. Določene aktivnosti mobilnosti so podprte, če prispevajo k uresničevanju ciljev</w:t>
      </w:r>
      <w:r w:rsidRPr="001048FE">
        <w:rPr>
          <w:spacing w:val="-13"/>
          <w:lang w:val="sl-SI"/>
        </w:rPr>
        <w:t xml:space="preserve"> </w:t>
      </w:r>
      <w:r w:rsidRPr="001048FE">
        <w:rPr>
          <w:lang w:val="sl-SI"/>
        </w:rPr>
        <w:t>projekta;</w:t>
      </w:r>
    </w:p>
    <w:p w14:paraId="7D398621" w14:textId="77777777" w:rsidR="00E03711" w:rsidRPr="001048FE" w:rsidRDefault="00E03711" w:rsidP="005115F2">
      <w:pPr>
        <w:pStyle w:val="Guide-NormalBulletpoints"/>
        <w:numPr>
          <w:ilvl w:val="0"/>
          <w:numId w:val="171"/>
        </w:numPr>
        <w:rPr>
          <w:lang w:val="sl-SI"/>
        </w:rPr>
      </w:pPr>
      <w:r w:rsidRPr="001048FE">
        <w:rPr>
          <w:b/>
          <w:lang w:val="sl-SI"/>
        </w:rPr>
        <w:t xml:space="preserve">koalicije znanja </w:t>
      </w:r>
      <w:r w:rsidRPr="001048FE">
        <w:rPr>
          <w:lang w:val="sl-SI"/>
        </w:rPr>
        <w:t>med visokošolskimi institucijami in podjetji, katerih cilj je spodbujati inovacije, podjetništvo, ustvarjalnost, zaposljivost, izmenjavo znanja in/ali večdisciplinarno poučevanje in učenje;</w:t>
      </w:r>
    </w:p>
    <w:p w14:paraId="7D398622" w14:textId="77777777" w:rsidR="00E03711" w:rsidRPr="001048FE" w:rsidRDefault="00E03711" w:rsidP="005115F2">
      <w:pPr>
        <w:pStyle w:val="Guide-NormalBulletpoints"/>
        <w:numPr>
          <w:ilvl w:val="0"/>
          <w:numId w:val="171"/>
        </w:numPr>
        <w:rPr>
          <w:lang w:val="sl-SI"/>
        </w:rPr>
      </w:pPr>
      <w:r w:rsidRPr="001048FE">
        <w:rPr>
          <w:b/>
          <w:lang w:val="sl-SI"/>
        </w:rPr>
        <w:t>koalicije sektorskih spretnosti</w:t>
      </w:r>
      <w:r w:rsidRPr="001048FE">
        <w:rPr>
          <w:lang w:val="sl-SI"/>
        </w:rPr>
        <w:t>, ki podpirajo oblikovanje in izvajanje učnih načrtov skupnega poklicnega usposabljanja, programov ter metodologij poučevanja in učenja ter pri tem izhajajo iz dejanskih trendov v določenem gospodarskem sektorju ter spretnosti, ki so potrebne za uspešno delovanje na enem ali več poklicnih področjih;</w:t>
      </w:r>
    </w:p>
    <w:p w14:paraId="7D398623" w14:textId="77777777" w:rsidR="00E03711" w:rsidRPr="001048FE" w:rsidRDefault="00E03711" w:rsidP="005115F2">
      <w:pPr>
        <w:pStyle w:val="Guide-NormalBulletpoints"/>
        <w:numPr>
          <w:ilvl w:val="0"/>
          <w:numId w:val="171"/>
        </w:numPr>
        <w:rPr>
          <w:lang w:val="sl-SI"/>
        </w:rPr>
      </w:pPr>
      <w:r w:rsidRPr="001048FE">
        <w:rPr>
          <w:lang w:val="sl-SI"/>
        </w:rPr>
        <w:t xml:space="preserve">projekte </w:t>
      </w:r>
      <w:r w:rsidRPr="001048FE">
        <w:rPr>
          <w:b/>
          <w:lang w:val="sl-SI"/>
        </w:rPr>
        <w:t>krepitve zmogljivosti</w:t>
      </w:r>
      <w:r w:rsidRPr="001048FE">
        <w:rPr>
          <w:lang w:val="sl-SI"/>
        </w:rPr>
        <w:t>, ki podpirajo sodelovanje s partnerskimi državami na področju visokošolskega izobraževanja in mladine. Namen projektov krepitve zmogljivosti je podpirati organizacije/institucije in sisteme pri njihovem procesu posodobitve in internacionalizacije. Določene vrste projektov krepitve zmogljivosti podpirajo aktivnosti mobilnosti, če prispevajo k uresničevanju ciljev projekta;</w:t>
      </w:r>
    </w:p>
    <w:p w14:paraId="7D398624" w14:textId="77777777" w:rsidR="00E03711" w:rsidRPr="001048FE" w:rsidRDefault="00E03711" w:rsidP="005115F2">
      <w:pPr>
        <w:pStyle w:val="Guide-NormalBulletpoints"/>
        <w:numPr>
          <w:ilvl w:val="0"/>
          <w:numId w:val="171"/>
        </w:numPr>
        <w:rPr>
          <w:lang w:val="sl-SI"/>
        </w:rPr>
      </w:pPr>
      <w:r w:rsidRPr="001048FE">
        <w:rPr>
          <w:lang w:val="sl-SI"/>
        </w:rPr>
        <w:t xml:space="preserve">podporne IT platforme, na primer </w:t>
      </w:r>
      <w:r w:rsidRPr="001048FE">
        <w:rPr>
          <w:b/>
          <w:lang w:val="sl-SI"/>
        </w:rPr>
        <w:t>eTwinning, School Education Gateway, elektronsko platformo za izobraževanje odraslih v Evropi (EPALE</w:t>
      </w:r>
      <w:r w:rsidRPr="001048FE">
        <w:rPr>
          <w:lang w:val="sl-SI"/>
        </w:rPr>
        <w:t xml:space="preserve">) in </w:t>
      </w:r>
      <w:r w:rsidRPr="001048FE">
        <w:rPr>
          <w:b/>
          <w:lang w:val="sl-SI"/>
        </w:rPr>
        <w:t>Evropski mladinski portal</w:t>
      </w:r>
      <w:r w:rsidRPr="001048FE">
        <w:rPr>
          <w:lang w:val="sl-SI"/>
        </w:rPr>
        <w:t>, ki nudijo virtualne možnosti sodelovanja, nabor gradiv in primerov dobre prakse, omogočajo izmenjavo dobrih praks med sodelujočimi in druge spletne storitve za učitelje, vodje usposabljanj,</w:t>
      </w:r>
      <w:r w:rsidRPr="001048FE">
        <w:rPr>
          <w:spacing w:val="-20"/>
          <w:lang w:val="sl-SI"/>
        </w:rPr>
        <w:t xml:space="preserve"> </w:t>
      </w:r>
      <w:r w:rsidRPr="001048FE">
        <w:rPr>
          <w:lang w:val="sl-SI"/>
        </w:rPr>
        <w:t>drugo</w:t>
      </w:r>
      <w:r w:rsidRPr="001048FE">
        <w:rPr>
          <w:spacing w:val="-20"/>
          <w:lang w:val="sl-SI"/>
        </w:rPr>
        <w:t xml:space="preserve"> </w:t>
      </w:r>
      <w:r w:rsidRPr="001048FE">
        <w:rPr>
          <w:lang w:val="sl-SI"/>
        </w:rPr>
        <w:t>osebje</w:t>
      </w:r>
      <w:r w:rsidRPr="001048FE">
        <w:rPr>
          <w:spacing w:val="-19"/>
          <w:lang w:val="sl-SI"/>
        </w:rPr>
        <w:t xml:space="preserve"> </w:t>
      </w:r>
      <w:r w:rsidRPr="001048FE">
        <w:rPr>
          <w:lang w:val="sl-SI"/>
        </w:rPr>
        <w:t>na</w:t>
      </w:r>
      <w:r w:rsidRPr="001048FE">
        <w:rPr>
          <w:spacing w:val="-20"/>
          <w:lang w:val="sl-SI"/>
        </w:rPr>
        <w:t xml:space="preserve"> </w:t>
      </w:r>
      <w:r w:rsidRPr="001048FE">
        <w:rPr>
          <w:lang w:val="sl-SI"/>
        </w:rPr>
        <w:t>področju</w:t>
      </w:r>
      <w:r w:rsidRPr="001048FE">
        <w:rPr>
          <w:spacing w:val="-20"/>
          <w:lang w:val="sl-SI"/>
        </w:rPr>
        <w:t xml:space="preserve"> </w:t>
      </w:r>
      <w:r w:rsidRPr="001048FE">
        <w:rPr>
          <w:lang w:val="sl-SI"/>
        </w:rPr>
        <w:t>šolskega</w:t>
      </w:r>
      <w:r w:rsidRPr="001048FE">
        <w:rPr>
          <w:spacing w:val="-20"/>
          <w:lang w:val="sl-SI"/>
        </w:rPr>
        <w:t xml:space="preserve"> </w:t>
      </w:r>
      <w:r w:rsidRPr="001048FE">
        <w:rPr>
          <w:lang w:val="sl-SI"/>
        </w:rPr>
        <w:t>izobraževanja</w:t>
      </w:r>
      <w:r w:rsidRPr="001048FE">
        <w:rPr>
          <w:spacing w:val="-20"/>
          <w:lang w:val="sl-SI"/>
        </w:rPr>
        <w:t xml:space="preserve"> </w:t>
      </w:r>
      <w:r w:rsidRPr="001048FE">
        <w:rPr>
          <w:lang w:val="sl-SI"/>
        </w:rPr>
        <w:t>in</w:t>
      </w:r>
      <w:r w:rsidRPr="001048FE">
        <w:rPr>
          <w:spacing w:val="-20"/>
          <w:lang w:val="sl-SI"/>
        </w:rPr>
        <w:t xml:space="preserve"> </w:t>
      </w:r>
      <w:r w:rsidRPr="001048FE">
        <w:rPr>
          <w:lang w:val="sl-SI"/>
        </w:rPr>
        <w:t>izobraževanja</w:t>
      </w:r>
      <w:r w:rsidRPr="001048FE">
        <w:rPr>
          <w:spacing w:val="-20"/>
          <w:lang w:val="sl-SI"/>
        </w:rPr>
        <w:t xml:space="preserve"> </w:t>
      </w:r>
      <w:r w:rsidRPr="001048FE">
        <w:rPr>
          <w:lang w:val="sl-SI"/>
        </w:rPr>
        <w:t>odraslih</w:t>
      </w:r>
      <w:r w:rsidRPr="001048FE">
        <w:rPr>
          <w:spacing w:val="-19"/>
          <w:lang w:val="sl-SI"/>
        </w:rPr>
        <w:t xml:space="preserve"> </w:t>
      </w:r>
      <w:r w:rsidRPr="001048FE">
        <w:rPr>
          <w:lang w:val="sl-SI"/>
        </w:rPr>
        <w:t>ter</w:t>
      </w:r>
      <w:r w:rsidRPr="001048FE">
        <w:rPr>
          <w:spacing w:val="-20"/>
          <w:lang w:val="sl-SI"/>
        </w:rPr>
        <w:t xml:space="preserve"> </w:t>
      </w:r>
      <w:r w:rsidRPr="001048FE">
        <w:rPr>
          <w:lang w:val="sl-SI"/>
        </w:rPr>
        <w:t>za mlade, prostovoljce in mladinske delavce po Evropi in drugod po</w:t>
      </w:r>
      <w:r w:rsidRPr="001048FE">
        <w:rPr>
          <w:spacing w:val="-42"/>
          <w:lang w:val="sl-SI"/>
        </w:rPr>
        <w:t xml:space="preserve"> </w:t>
      </w:r>
      <w:r w:rsidRPr="001048FE">
        <w:rPr>
          <w:lang w:val="sl-SI"/>
        </w:rPr>
        <w:t>svetu.</w:t>
      </w:r>
      <w:r>
        <w:rPr>
          <w:lang w:val="sl-SI"/>
        </w:rPr>
        <w:t xml:space="preserve"> </w:t>
      </w:r>
      <w:r w:rsidRPr="00FC4A70">
        <w:rPr>
          <w:rFonts w:eastAsia="Calibri" w:cs="Calibri"/>
          <w:bdr w:val="nil"/>
          <w:lang w:val="sl-SI" w:eastAsia="zh-CN"/>
        </w:rPr>
        <w:t xml:space="preserve">Poleg tega vse od leta 2018 pobuda </w:t>
      </w:r>
      <w:r w:rsidRPr="00FC4A70">
        <w:rPr>
          <w:rFonts w:eastAsia="Calibri" w:cs="Calibri"/>
          <w:b/>
          <w:bCs/>
          <w:bdr w:val="nil"/>
          <w:lang w:val="sl-SI" w:eastAsia="zh-CN"/>
        </w:rPr>
        <w:t>Erasmus+ virtualna izmenjava</w:t>
      </w:r>
      <w:r w:rsidRPr="00FC4A70">
        <w:rPr>
          <w:rFonts w:eastAsia="Calibri" w:cs="Calibri"/>
          <w:bdr w:val="nil"/>
          <w:lang w:val="sl-SI" w:eastAsia="zh-CN"/>
        </w:rPr>
        <w:t xml:space="preserve"> omogoča medkulturne učne izkušnje med mladimi v Evropi in državah južnega Sredozemlja.</w:t>
      </w:r>
    </w:p>
    <w:p w14:paraId="7D398625" w14:textId="77777777" w:rsidR="00E03711" w:rsidRPr="001048FE" w:rsidRDefault="00E03711" w:rsidP="0030441A">
      <w:pPr>
        <w:pStyle w:val="Guide-Heading3"/>
        <w:rPr>
          <w:lang w:val="sl-SI"/>
        </w:rPr>
      </w:pPr>
      <w:bookmarkStart w:id="53" w:name="Action_clé_n__3:_Soutien_à_la_réforme_de"/>
      <w:bookmarkStart w:id="54" w:name="_bookmark11"/>
      <w:bookmarkStart w:id="55" w:name="_bookmark13"/>
      <w:bookmarkStart w:id="56" w:name="_Toc527400894"/>
      <w:bookmarkStart w:id="57" w:name="_Toc527401089"/>
      <w:bookmarkEnd w:id="53"/>
      <w:bookmarkEnd w:id="54"/>
      <w:bookmarkEnd w:id="55"/>
      <w:r w:rsidRPr="001048FE">
        <w:rPr>
          <w:lang w:val="sl-SI"/>
        </w:rPr>
        <w:t>Ključni ukrep 3 – Podpora za reformo</w:t>
      </w:r>
      <w:r w:rsidRPr="001048FE">
        <w:rPr>
          <w:spacing w:val="50"/>
          <w:lang w:val="sl-SI"/>
        </w:rPr>
        <w:t xml:space="preserve"> </w:t>
      </w:r>
      <w:r w:rsidRPr="001048FE">
        <w:rPr>
          <w:lang w:val="sl-SI"/>
        </w:rPr>
        <w:t>politik</w:t>
      </w:r>
      <w:bookmarkEnd w:id="56"/>
      <w:bookmarkEnd w:id="57"/>
    </w:p>
    <w:p w14:paraId="7D398626" w14:textId="77777777" w:rsidR="00E03711" w:rsidRPr="001048FE" w:rsidRDefault="00E03711" w:rsidP="00B1662F">
      <w:pPr>
        <w:pStyle w:val="GUIDE-NORMAL"/>
        <w:rPr>
          <w:lang w:val="sl-SI"/>
        </w:rPr>
      </w:pPr>
      <w:r w:rsidRPr="001048FE">
        <w:rPr>
          <w:lang w:val="sl-SI"/>
        </w:rPr>
        <w:t>Ta ključni ukrep podpira:</w:t>
      </w:r>
    </w:p>
    <w:p w14:paraId="7D398627" w14:textId="77777777" w:rsidR="00E03711" w:rsidRPr="001048FE" w:rsidRDefault="00E03711" w:rsidP="00B1662F">
      <w:pPr>
        <w:pStyle w:val="Guide-NormalBulletpoints"/>
        <w:rPr>
          <w:lang w:val="sl-SI"/>
        </w:rPr>
      </w:pPr>
      <w:r w:rsidRPr="001048FE">
        <w:rPr>
          <w:b/>
          <w:lang w:val="sl-SI"/>
        </w:rPr>
        <w:t>znanje na področju izobraževanja, usposabljanja in mladine</w:t>
      </w:r>
      <w:r w:rsidRPr="001048FE">
        <w:rPr>
          <w:lang w:val="sl-SI"/>
        </w:rPr>
        <w:t xml:space="preserve"> za oblikovanje in spremljanje politik na podlagi dejstev, zlasti:</w:t>
      </w:r>
    </w:p>
    <w:p w14:paraId="7D398628" w14:textId="77777777" w:rsidR="00E03711" w:rsidRPr="001048FE" w:rsidRDefault="00E03711" w:rsidP="005115F2">
      <w:pPr>
        <w:pStyle w:val="Guide-ListDash"/>
        <w:numPr>
          <w:ilvl w:val="0"/>
          <w:numId w:val="114"/>
        </w:numPr>
        <w:rPr>
          <w:lang w:val="sl-SI"/>
        </w:rPr>
      </w:pPr>
      <w:r w:rsidRPr="001048FE">
        <w:rPr>
          <w:lang w:val="sl-SI"/>
        </w:rPr>
        <w:t>analize</w:t>
      </w:r>
      <w:r w:rsidRPr="001048FE">
        <w:rPr>
          <w:spacing w:val="-25"/>
          <w:lang w:val="sl-SI"/>
        </w:rPr>
        <w:t xml:space="preserve"> </w:t>
      </w:r>
      <w:r w:rsidRPr="001048FE">
        <w:rPr>
          <w:lang w:val="sl-SI"/>
        </w:rPr>
        <w:t>za</w:t>
      </w:r>
      <w:r w:rsidRPr="001048FE">
        <w:rPr>
          <w:spacing w:val="-25"/>
          <w:lang w:val="sl-SI"/>
        </w:rPr>
        <w:t xml:space="preserve"> </w:t>
      </w:r>
      <w:r w:rsidRPr="001048FE">
        <w:rPr>
          <w:lang w:val="sl-SI"/>
        </w:rPr>
        <w:t>posamezne</w:t>
      </w:r>
      <w:r w:rsidRPr="001048FE">
        <w:rPr>
          <w:spacing w:val="-25"/>
          <w:lang w:val="sl-SI"/>
        </w:rPr>
        <w:t xml:space="preserve"> </w:t>
      </w:r>
      <w:r w:rsidRPr="001048FE">
        <w:rPr>
          <w:lang w:val="sl-SI"/>
        </w:rPr>
        <w:t>države</w:t>
      </w:r>
      <w:r w:rsidRPr="001048FE">
        <w:rPr>
          <w:spacing w:val="-25"/>
          <w:lang w:val="sl-SI"/>
        </w:rPr>
        <w:t xml:space="preserve"> </w:t>
      </w:r>
      <w:r w:rsidRPr="001048FE">
        <w:rPr>
          <w:lang w:val="sl-SI"/>
        </w:rPr>
        <w:t>in</w:t>
      </w:r>
      <w:r w:rsidRPr="001048FE">
        <w:rPr>
          <w:spacing w:val="-25"/>
          <w:lang w:val="sl-SI"/>
        </w:rPr>
        <w:t xml:space="preserve"> </w:t>
      </w:r>
      <w:r w:rsidRPr="001048FE">
        <w:rPr>
          <w:lang w:val="sl-SI"/>
        </w:rPr>
        <w:t>tematske</w:t>
      </w:r>
      <w:r w:rsidRPr="001048FE">
        <w:rPr>
          <w:spacing w:val="-25"/>
          <w:lang w:val="sl-SI"/>
        </w:rPr>
        <w:t xml:space="preserve"> </w:t>
      </w:r>
      <w:r w:rsidRPr="001048FE">
        <w:rPr>
          <w:lang w:val="sl-SI"/>
        </w:rPr>
        <w:t>analize,</w:t>
      </w:r>
      <w:r w:rsidRPr="001048FE">
        <w:rPr>
          <w:spacing w:val="-25"/>
          <w:lang w:val="sl-SI"/>
        </w:rPr>
        <w:t xml:space="preserve"> </w:t>
      </w:r>
      <w:r w:rsidRPr="001048FE">
        <w:rPr>
          <w:lang w:val="sl-SI"/>
        </w:rPr>
        <w:t>tudi</w:t>
      </w:r>
      <w:r w:rsidRPr="001048FE">
        <w:rPr>
          <w:spacing w:val="-25"/>
          <w:lang w:val="sl-SI"/>
        </w:rPr>
        <w:t xml:space="preserve"> </w:t>
      </w:r>
      <w:r w:rsidRPr="001048FE">
        <w:rPr>
          <w:lang w:val="sl-SI"/>
        </w:rPr>
        <w:t>v</w:t>
      </w:r>
      <w:r w:rsidRPr="001048FE">
        <w:rPr>
          <w:spacing w:val="-25"/>
          <w:lang w:val="sl-SI"/>
        </w:rPr>
        <w:t xml:space="preserve"> </w:t>
      </w:r>
      <w:r w:rsidRPr="001048FE">
        <w:rPr>
          <w:lang w:val="sl-SI"/>
        </w:rPr>
        <w:t>sodelovanju</w:t>
      </w:r>
      <w:r w:rsidRPr="001048FE">
        <w:rPr>
          <w:spacing w:val="-25"/>
          <w:lang w:val="sl-SI"/>
        </w:rPr>
        <w:t xml:space="preserve"> </w:t>
      </w:r>
      <w:r w:rsidRPr="001048FE">
        <w:rPr>
          <w:lang w:val="sl-SI"/>
        </w:rPr>
        <w:t>z</w:t>
      </w:r>
      <w:r w:rsidRPr="001048FE">
        <w:rPr>
          <w:spacing w:val="-25"/>
          <w:lang w:val="sl-SI"/>
        </w:rPr>
        <w:t xml:space="preserve"> </w:t>
      </w:r>
      <w:r w:rsidRPr="001048FE">
        <w:rPr>
          <w:lang w:val="sl-SI"/>
        </w:rPr>
        <w:t>akademskimi omrežji;</w:t>
      </w:r>
    </w:p>
    <w:p w14:paraId="7D398629" w14:textId="77777777" w:rsidR="00E03711" w:rsidRPr="001048FE" w:rsidRDefault="00E03711" w:rsidP="005115F2">
      <w:pPr>
        <w:pStyle w:val="Guide-ListDash"/>
        <w:numPr>
          <w:ilvl w:val="0"/>
          <w:numId w:val="114"/>
        </w:numPr>
        <w:rPr>
          <w:lang w:val="sl-SI"/>
        </w:rPr>
      </w:pPr>
      <w:r w:rsidRPr="001048FE">
        <w:rPr>
          <w:lang w:val="sl-SI"/>
        </w:rPr>
        <w:t>vzajemno učenje in medsebojni strokovni pregledi z odprt</w:t>
      </w:r>
      <w:r>
        <w:rPr>
          <w:lang w:val="sl-SI"/>
        </w:rPr>
        <w:t>o</w:t>
      </w:r>
      <w:r w:rsidRPr="001048FE">
        <w:rPr>
          <w:lang w:val="sl-SI"/>
        </w:rPr>
        <w:t xml:space="preserve"> metod</w:t>
      </w:r>
      <w:r>
        <w:rPr>
          <w:lang w:val="sl-SI"/>
        </w:rPr>
        <w:t>o</w:t>
      </w:r>
      <w:r w:rsidRPr="001048FE">
        <w:rPr>
          <w:lang w:val="sl-SI"/>
        </w:rPr>
        <w:t xml:space="preserve"> koordinacije na področju izobraževanja, usposabljanja in mladine;</w:t>
      </w:r>
    </w:p>
    <w:p w14:paraId="7D39862A" w14:textId="77777777" w:rsidR="00E03711" w:rsidRPr="001048FE" w:rsidRDefault="00E03711" w:rsidP="00B1662F">
      <w:pPr>
        <w:pStyle w:val="Guide-NormalBulletpoints"/>
        <w:rPr>
          <w:lang w:val="sl-SI"/>
        </w:rPr>
      </w:pPr>
      <w:r w:rsidRPr="001048FE">
        <w:rPr>
          <w:b/>
          <w:lang w:val="sl-SI"/>
        </w:rPr>
        <w:t>pobude za inovacije na področju politik</w:t>
      </w:r>
      <w:r w:rsidRPr="001048FE">
        <w:rPr>
          <w:lang w:val="sl-SI"/>
        </w:rPr>
        <w:t>, ki spodbujajo razvoj inovativnih politik med deležniki in omogočajo javnim organom, da preskusijo učinkovitost inovativnih politik s terenskimi poskusi, ki temeljijo na zanesljivih ocenjevalnih metodologijah;</w:t>
      </w:r>
    </w:p>
    <w:p w14:paraId="7D39862B" w14:textId="77777777" w:rsidR="00E03711" w:rsidRPr="001048FE" w:rsidRDefault="00E03711" w:rsidP="00B1662F">
      <w:pPr>
        <w:pStyle w:val="Guide-NormalBulletpoints"/>
        <w:rPr>
          <w:lang w:val="sl-SI"/>
        </w:rPr>
      </w:pPr>
      <w:r w:rsidRPr="001048FE">
        <w:rPr>
          <w:b/>
          <w:lang w:val="sl-SI"/>
        </w:rPr>
        <w:t xml:space="preserve">podporo za evropska orodja politik </w:t>
      </w:r>
      <w:r w:rsidRPr="001048FE">
        <w:rPr>
          <w:lang w:val="sl-SI"/>
        </w:rPr>
        <w:t>za lajšanje preglednosti in priznavanja spretnosti in kvalifikacij ter prenosa kreditnih točk, za spodbujanje zagotavljanja kakovosti, podporo potrjevanju neformalnega ter priložnostnega učenja, upravljanju spretnosti in usmerjanju. Ta ukrep vključuje tudi podporo omrežjem, ki lajšajo izmenjave po Evropi, učno in zaposlitveno mobilnost državljanov ter razvoj fleksibilnih učnih poti med različnimi področji izobraževanja, usposabljanja in mladine;</w:t>
      </w:r>
    </w:p>
    <w:p w14:paraId="7D39862C" w14:textId="77777777" w:rsidR="00E03711" w:rsidRPr="001048FE" w:rsidRDefault="00E03711" w:rsidP="00B1662F">
      <w:pPr>
        <w:pStyle w:val="Guide-NormalBulletpoints"/>
        <w:rPr>
          <w:lang w:val="sl-SI"/>
        </w:rPr>
      </w:pPr>
      <w:r w:rsidRPr="001048FE">
        <w:rPr>
          <w:b/>
          <w:lang w:val="sl-SI"/>
        </w:rPr>
        <w:t xml:space="preserve">sodelovanje z mednarodnimi organizacijami </w:t>
      </w:r>
      <w:r w:rsidRPr="001048FE">
        <w:rPr>
          <w:lang w:val="sl-SI"/>
        </w:rPr>
        <w:t>z visoko priznanim strokovnim znanjem in analitičnimi zmogljivostmi (na primer OECD in Svet Evrope) za krepitev učinka in dodane vrednosti politik na področju izobraževanja, usposabljanja in mladine;</w:t>
      </w:r>
    </w:p>
    <w:p w14:paraId="7D39862D" w14:textId="77777777" w:rsidR="00E03711" w:rsidRPr="001048FE" w:rsidRDefault="00E03711" w:rsidP="00B1662F">
      <w:pPr>
        <w:pStyle w:val="Guide-NormalBulletpoints"/>
        <w:rPr>
          <w:lang w:val="sl-SI"/>
        </w:rPr>
      </w:pPr>
      <w:r w:rsidRPr="001048FE">
        <w:rPr>
          <w:b/>
          <w:lang w:val="sl-SI"/>
        </w:rPr>
        <w:t xml:space="preserve">dialog z deležniki, promocija politik in Programa </w:t>
      </w:r>
      <w:r w:rsidRPr="001048FE">
        <w:rPr>
          <w:lang w:val="sl-SI"/>
        </w:rPr>
        <w:t xml:space="preserve">vključuje javne organe, ponudnike in deležnike na področju izobraževanja, usposabljanja in mladine, ki so potrebni za osveščanje o evropskih programih politik (zlasti: strategiji Evropa 2020, strategiji izobraževanje in usposabljanje 2020, strategiji </w:t>
      </w:r>
      <w:r>
        <w:rPr>
          <w:lang w:val="sl-SI"/>
        </w:rPr>
        <w:t xml:space="preserve">EU </w:t>
      </w:r>
      <w:r w:rsidRPr="001048FE">
        <w:rPr>
          <w:lang w:val="sl-SI"/>
        </w:rPr>
        <w:t>za mlade in drugih evropskih programih politike iz tega sektorja) ter o zunanji razsežnosti evropskih politik na področju izobraževanja, usposabljanja in mladine. Te aktivnosti so bistvene za razvoj zmogljivosti deležnikov za aktivno podporo izvajanju politik, s spodbujanjem izrabe rezultatov Programa in ustvarjanjem oprijemljivega učinka.</w:t>
      </w:r>
    </w:p>
    <w:p w14:paraId="7D39862E" w14:textId="77777777" w:rsidR="00E03711" w:rsidRPr="001048FE" w:rsidRDefault="00E03711" w:rsidP="0030441A">
      <w:pPr>
        <w:pStyle w:val="Guide-Heading3"/>
        <w:rPr>
          <w:lang w:val="sl-SI"/>
        </w:rPr>
      </w:pPr>
      <w:bookmarkStart w:id="58" w:name="_Toc527400895"/>
      <w:bookmarkStart w:id="59" w:name="_Toc527401090"/>
      <w:r w:rsidRPr="001048FE">
        <w:rPr>
          <w:lang w:val="sl-SI"/>
        </w:rPr>
        <w:t>Aktivnosti programa Jean Monnet</w:t>
      </w:r>
      <w:bookmarkEnd w:id="58"/>
      <w:bookmarkEnd w:id="59"/>
    </w:p>
    <w:p w14:paraId="7D39862F" w14:textId="77777777" w:rsidR="00E03711" w:rsidRPr="001048FE" w:rsidRDefault="00E03711" w:rsidP="00B1662F">
      <w:pPr>
        <w:pStyle w:val="GUIDE-NORMAL"/>
        <w:rPr>
          <w:lang w:val="sl-SI"/>
        </w:rPr>
      </w:pPr>
      <w:r w:rsidRPr="001048FE">
        <w:rPr>
          <w:lang w:val="sl-SI"/>
        </w:rPr>
        <w:t>Aktivnosti programa Jean Monnet bodo podpirale:</w:t>
      </w:r>
    </w:p>
    <w:p w14:paraId="7D398630" w14:textId="77777777" w:rsidR="00E03711" w:rsidRPr="001048FE" w:rsidRDefault="00E03711" w:rsidP="00B1662F">
      <w:pPr>
        <w:pStyle w:val="Guide-NormalBulletpoints"/>
        <w:rPr>
          <w:lang w:val="sl-SI"/>
        </w:rPr>
      </w:pPr>
      <w:r w:rsidRPr="001048FE">
        <w:rPr>
          <w:b/>
          <w:lang w:val="sl-SI"/>
        </w:rPr>
        <w:t>akademske module, katedre, centre odličnosti</w:t>
      </w:r>
      <w:r w:rsidRPr="001048FE">
        <w:rPr>
          <w:lang w:val="sl-SI"/>
        </w:rPr>
        <w:t xml:space="preserve">, da se poglobi poučevanje študijev evropskega povezovanja, vključenih v učni načrt visokošolske institucije, ter izvaja, spremlja in nadzira raziskovanje o vsebinah EU, tudi za druge ravni izobraževanja, na primer usposabljanje učiteljev in obvezno izobraževanje. Ti ukrepi naj bi zagotovili tudi poglobljeno poučevanje o evropskem povezovanju za prihodnje strokovnjake na področjih, po katerih je na trgu dela vedno več povpraševanja, hkrati pa je njihov cilj spodbujanje, svetovanje in mentorstvo mladi generaciji učiteljev in raziskovalcev na področju evropskega povezovanja; </w:t>
      </w:r>
    </w:p>
    <w:p w14:paraId="7D398631" w14:textId="77777777" w:rsidR="00E03711" w:rsidRPr="001048FE" w:rsidRDefault="00E03711" w:rsidP="00B1662F">
      <w:pPr>
        <w:pStyle w:val="Guide-NormalBulletpoints"/>
        <w:rPr>
          <w:lang w:val="sl-SI"/>
        </w:rPr>
      </w:pPr>
      <w:r w:rsidRPr="001048FE">
        <w:rPr>
          <w:b/>
          <w:lang w:val="sl-SI"/>
        </w:rPr>
        <w:t>strateške razprave z akademskim okoljem</w:t>
      </w:r>
      <w:r w:rsidRPr="001048FE">
        <w:rPr>
          <w:lang w:val="sl-SI"/>
        </w:rPr>
        <w:t xml:space="preserve">, podprte z: a) </w:t>
      </w:r>
      <w:r w:rsidRPr="001048FE">
        <w:rPr>
          <w:b/>
          <w:lang w:val="sl-SI"/>
        </w:rPr>
        <w:t xml:space="preserve">omrežji </w:t>
      </w:r>
      <w:r w:rsidRPr="001048FE">
        <w:rPr>
          <w:lang w:val="sl-SI"/>
        </w:rPr>
        <w:t xml:space="preserve">za krepitev sodelovanja med različnimi univerzami po Evropi in svetu, spodbujanje sodelovanja in ustvarjanje platforme za izmenjavo znanja na visoki ravni z javnimi akterji in službami Komisije o izjemno pomembnih temah EU; b) </w:t>
      </w:r>
      <w:r w:rsidRPr="001048FE">
        <w:rPr>
          <w:b/>
          <w:lang w:val="sl-SI"/>
        </w:rPr>
        <w:t xml:space="preserve">projekti </w:t>
      </w:r>
      <w:r w:rsidRPr="001048FE">
        <w:rPr>
          <w:lang w:val="sl-SI"/>
        </w:rPr>
        <w:t>za inovacije, medsebojno bogatenje in širjenje vsebin EU, katerih namen je spodbujati razprave, premislek o vprašanjih EU ter širjenje znanja o EU in njenih postopkih;</w:t>
      </w:r>
    </w:p>
    <w:p w14:paraId="7D398632" w14:textId="77777777" w:rsidR="00E03711" w:rsidRPr="001048FE" w:rsidRDefault="00E03711" w:rsidP="00B1662F">
      <w:pPr>
        <w:pStyle w:val="Guide-NormalBulletpoints"/>
        <w:rPr>
          <w:lang w:val="sl-SI"/>
        </w:rPr>
      </w:pPr>
      <w:r w:rsidRPr="001048FE">
        <w:rPr>
          <w:b/>
          <w:lang w:val="sl-SI"/>
        </w:rPr>
        <w:t xml:space="preserve">podporo združenjem </w:t>
      </w:r>
      <w:r w:rsidRPr="001048FE">
        <w:rPr>
          <w:lang w:val="sl-SI"/>
        </w:rPr>
        <w:t>za organizacijo in izvedbo zakonsko določenih aktivnosti združenj, ki obravnavajo</w:t>
      </w:r>
      <w:r w:rsidRPr="001048FE">
        <w:rPr>
          <w:spacing w:val="-15"/>
          <w:lang w:val="sl-SI"/>
        </w:rPr>
        <w:t xml:space="preserve"> </w:t>
      </w:r>
      <w:r w:rsidRPr="001048FE">
        <w:rPr>
          <w:lang w:val="sl-SI"/>
        </w:rPr>
        <w:t>evropske</w:t>
      </w:r>
      <w:r w:rsidRPr="001048FE">
        <w:rPr>
          <w:spacing w:val="-16"/>
          <w:lang w:val="sl-SI"/>
        </w:rPr>
        <w:t xml:space="preserve"> </w:t>
      </w:r>
      <w:r w:rsidRPr="001048FE">
        <w:rPr>
          <w:lang w:val="sl-SI"/>
        </w:rPr>
        <w:t>študije</w:t>
      </w:r>
      <w:r w:rsidRPr="001048FE">
        <w:rPr>
          <w:spacing w:val="-16"/>
          <w:lang w:val="sl-SI"/>
        </w:rPr>
        <w:t xml:space="preserve"> </w:t>
      </w:r>
      <w:r w:rsidRPr="001048FE">
        <w:rPr>
          <w:lang w:val="sl-SI"/>
        </w:rPr>
        <w:t>in</w:t>
      </w:r>
      <w:r w:rsidRPr="001048FE">
        <w:rPr>
          <w:spacing w:val="-16"/>
          <w:lang w:val="sl-SI"/>
        </w:rPr>
        <w:t xml:space="preserve"> </w:t>
      </w:r>
      <w:r w:rsidRPr="001048FE">
        <w:rPr>
          <w:lang w:val="sl-SI"/>
        </w:rPr>
        <w:t>vprašanja</w:t>
      </w:r>
      <w:r w:rsidRPr="001048FE">
        <w:rPr>
          <w:spacing w:val="-16"/>
          <w:lang w:val="sl-SI"/>
        </w:rPr>
        <w:t xml:space="preserve"> </w:t>
      </w:r>
      <w:r w:rsidRPr="001048FE">
        <w:rPr>
          <w:lang w:val="sl-SI"/>
        </w:rPr>
        <w:t>EU,</w:t>
      </w:r>
      <w:r w:rsidRPr="001048FE">
        <w:rPr>
          <w:spacing w:val="-16"/>
          <w:lang w:val="sl-SI"/>
        </w:rPr>
        <w:t xml:space="preserve"> </w:t>
      </w:r>
      <w:r w:rsidRPr="001048FE">
        <w:rPr>
          <w:lang w:val="sl-SI"/>
        </w:rPr>
        <w:t>ter</w:t>
      </w:r>
      <w:r w:rsidRPr="001048FE">
        <w:rPr>
          <w:spacing w:val="-16"/>
          <w:lang w:val="sl-SI"/>
        </w:rPr>
        <w:t xml:space="preserve"> </w:t>
      </w:r>
      <w:r w:rsidRPr="001048FE">
        <w:rPr>
          <w:lang w:val="sl-SI"/>
        </w:rPr>
        <w:t>za</w:t>
      </w:r>
      <w:r w:rsidRPr="001048FE">
        <w:rPr>
          <w:spacing w:val="-16"/>
          <w:lang w:val="sl-SI"/>
        </w:rPr>
        <w:t xml:space="preserve"> </w:t>
      </w:r>
      <w:r w:rsidRPr="001048FE">
        <w:rPr>
          <w:lang w:val="sl-SI"/>
        </w:rPr>
        <w:t>obveščanje</w:t>
      </w:r>
      <w:r w:rsidRPr="001048FE">
        <w:rPr>
          <w:spacing w:val="-15"/>
          <w:lang w:val="sl-SI"/>
        </w:rPr>
        <w:t xml:space="preserve"> </w:t>
      </w:r>
      <w:r w:rsidRPr="001048FE">
        <w:rPr>
          <w:lang w:val="sl-SI"/>
        </w:rPr>
        <w:t>širše</w:t>
      </w:r>
      <w:r w:rsidRPr="001048FE">
        <w:rPr>
          <w:spacing w:val="-16"/>
          <w:lang w:val="sl-SI"/>
        </w:rPr>
        <w:t xml:space="preserve"> </w:t>
      </w:r>
      <w:r w:rsidRPr="001048FE">
        <w:rPr>
          <w:lang w:val="sl-SI"/>
        </w:rPr>
        <w:t>javnosti</w:t>
      </w:r>
      <w:r w:rsidRPr="001048FE">
        <w:rPr>
          <w:spacing w:val="-16"/>
          <w:lang w:val="sl-SI"/>
        </w:rPr>
        <w:t xml:space="preserve"> </w:t>
      </w:r>
      <w:r w:rsidRPr="001048FE">
        <w:rPr>
          <w:lang w:val="sl-SI"/>
        </w:rPr>
        <w:t>o</w:t>
      </w:r>
      <w:r w:rsidRPr="001048FE">
        <w:rPr>
          <w:spacing w:val="-15"/>
          <w:lang w:val="sl-SI"/>
        </w:rPr>
        <w:t xml:space="preserve"> </w:t>
      </w:r>
      <w:r w:rsidRPr="001048FE">
        <w:rPr>
          <w:lang w:val="sl-SI"/>
        </w:rPr>
        <w:t>dejstvih</w:t>
      </w:r>
      <w:r w:rsidRPr="001048FE">
        <w:rPr>
          <w:spacing w:val="-16"/>
          <w:lang w:val="sl-SI"/>
        </w:rPr>
        <w:t xml:space="preserve"> </w:t>
      </w:r>
      <w:r w:rsidRPr="001048FE">
        <w:rPr>
          <w:lang w:val="sl-SI"/>
        </w:rPr>
        <w:t>o</w:t>
      </w:r>
      <w:r w:rsidRPr="001048FE">
        <w:rPr>
          <w:spacing w:val="-15"/>
          <w:lang w:val="sl-SI"/>
        </w:rPr>
        <w:t xml:space="preserve"> </w:t>
      </w:r>
      <w:r w:rsidRPr="001048FE">
        <w:rPr>
          <w:lang w:val="sl-SI"/>
        </w:rPr>
        <w:t>EU, s čimer se krepi aktivno evropsko državljanstvo.</w:t>
      </w:r>
    </w:p>
    <w:p w14:paraId="7D398633" w14:textId="77777777" w:rsidR="00E03711" w:rsidRPr="001048FE" w:rsidRDefault="00E03711" w:rsidP="00B1662F">
      <w:pPr>
        <w:pStyle w:val="GUIDE-NORMAL"/>
        <w:rPr>
          <w:lang w:val="sl-SI"/>
        </w:rPr>
      </w:pPr>
      <w:r w:rsidRPr="001048FE">
        <w:rPr>
          <w:lang w:val="sl-SI"/>
        </w:rPr>
        <w:t xml:space="preserve">Aktivnosti programa Jean Monnet tudi zagotavljajo nepovratna sredstva za poslovanje </w:t>
      </w:r>
      <w:r w:rsidRPr="001048FE">
        <w:rPr>
          <w:b/>
          <w:lang w:val="sl-SI"/>
        </w:rPr>
        <w:t>določenim institucijam</w:t>
      </w:r>
      <w:r w:rsidRPr="001048FE">
        <w:rPr>
          <w:lang w:val="sl-SI"/>
        </w:rPr>
        <w:t xml:space="preserve">, ki si prizadevajo za cilje v evropskem interesu ter vključujejo organizacijo </w:t>
      </w:r>
      <w:r w:rsidRPr="001048FE">
        <w:rPr>
          <w:b/>
          <w:lang w:val="sl-SI"/>
        </w:rPr>
        <w:t xml:space="preserve">študij in konferenc </w:t>
      </w:r>
      <w:r w:rsidRPr="001048FE">
        <w:rPr>
          <w:lang w:val="sl-SI"/>
        </w:rPr>
        <w:t>z namenom zagotavljanja novih vpogledov in konkretnih predlogov za oblikovalce politik.</w:t>
      </w:r>
    </w:p>
    <w:p w14:paraId="7D398634" w14:textId="77777777" w:rsidR="00E03711" w:rsidRPr="001048FE" w:rsidRDefault="00E03711" w:rsidP="0030441A">
      <w:pPr>
        <w:pStyle w:val="Guide-Heading3"/>
        <w:rPr>
          <w:lang w:val="sl-SI"/>
        </w:rPr>
      </w:pPr>
      <w:bookmarkStart w:id="60" w:name="_Toc527400896"/>
      <w:bookmarkStart w:id="61" w:name="_Toc527401091"/>
      <w:r w:rsidRPr="001048FE">
        <w:rPr>
          <w:lang w:val="sl-SI"/>
        </w:rPr>
        <w:t>Šport</w:t>
      </w:r>
      <w:bookmarkEnd w:id="60"/>
      <w:bookmarkEnd w:id="61"/>
    </w:p>
    <w:p w14:paraId="7D398635" w14:textId="77777777" w:rsidR="00E03711" w:rsidRPr="001048FE" w:rsidRDefault="00E03711" w:rsidP="00B1662F">
      <w:pPr>
        <w:pStyle w:val="GUIDE-NORMAL"/>
        <w:rPr>
          <w:lang w:val="sl-SI"/>
        </w:rPr>
      </w:pPr>
      <w:r w:rsidRPr="001048FE">
        <w:rPr>
          <w:lang w:val="sl-SI"/>
        </w:rPr>
        <w:t>Ukrepi na področju športa bodo podpirali:</w:t>
      </w:r>
    </w:p>
    <w:p w14:paraId="7D398636" w14:textId="77777777" w:rsidR="00E03711" w:rsidRPr="001048FE" w:rsidRDefault="00E03711" w:rsidP="00B1662F">
      <w:pPr>
        <w:pStyle w:val="Guide-NormalBulletpoints"/>
        <w:rPr>
          <w:lang w:val="sl-SI"/>
        </w:rPr>
      </w:pPr>
      <w:r w:rsidRPr="001048FE">
        <w:rPr>
          <w:b/>
          <w:lang w:val="sl-SI"/>
        </w:rPr>
        <w:t>partnerska sodelovanja (Collaborative Partnerships)</w:t>
      </w:r>
      <w:r w:rsidRPr="001048FE">
        <w:rPr>
          <w:lang w:val="sl-SI"/>
        </w:rPr>
        <w:t>, katerih cilj je spodbujanje integritete športa (preprečevanje uživanja prepovedanih poživil, boj proti vnaprejšnjim dogovorom o rezultatih tekmovanj, zaščita mladoletnikov), podpiranje inovativnih pristopov k izvajanju načel EU o dobrem upravljanju v športu, strategij EU na področju socialnega vključevanja in enakih priložnosti, spodbujanje udeležbe v športu in telesni dejavnosti (podpiranje</w:t>
      </w:r>
      <w:r w:rsidRPr="001048FE">
        <w:rPr>
          <w:spacing w:val="-14"/>
          <w:lang w:val="sl-SI"/>
        </w:rPr>
        <w:t xml:space="preserve"> </w:t>
      </w:r>
      <w:r w:rsidRPr="001048FE">
        <w:rPr>
          <w:lang w:val="sl-SI"/>
        </w:rPr>
        <w:t>izvajanja</w:t>
      </w:r>
      <w:r w:rsidRPr="001048FE">
        <w:rPr>
          <w:spacing w:val="-14"/>
          <w:lang w:val="sl-SI"/>
        </w:rPr>
        <w:t xml:space="preserve"> </w:t>
      </w:r>
      <w:r w:rsidRPr="001048FE">
        <w:rPr>
          <w:lang w:val="sl-SI"/>
        </w:rPr>
        <w:t>smernic</w:t>
      </w:r>
      <w:r w:rsidRPr="001048FE">
        <w:rPr>
          <w:spacing w:val="-14"/>
          <w:lang w:val="sl-SI"/>
        </w:rPr>
        <w:t xml:space="preserve"> </w:t>
      </w:r>
      <w:r w:rsidRPr="001048FE">
        <w:rPr>
          <w:lang w:val="sl-SI"/>
        </w:rPr>
        <w:t>EU</w:t>
      </w:r>
      <w:r w:rsidRPr="001048FE">
        <w:rPr>
          <w:spacing w:val="-14"/>
          <w:lang w:val="sl-SI"/>
        </w:rPr>
        <w:t xml:space="preserve"> </w:t>
      </w:r>
      <w:r w:rsidRPr="001048FE">
        <w:rPr>
          <w:lang w:val="sl-SI"/>
        </w:rPr>
        <w:t>o</w:t>
      </w:r>
      <w:r w:rsidRPr="001048FE">
        <w:rPr>
          <w:spacing w:val="-13"/>
          <w:lang w:val="sl-SI"/>
        </w:rPr>
        <w:t xml:space="preserve"> </w:t>
      </w:r>
      <w:r w:rsidRPr="001048FE">
        <w:rPr>
          <w:lang w:val="sl-SI"/>
        </w:rPr>
        <w:t>telesni</w:t>
      </w:r>
      <w:r w:rsidRPr="001048FE">
        <w:rPr>
          <w:spacing w:val="-14"/>
          <w:lang w:val="sl-SI"/>
        </w:rPr>
        <w:t xml:space="preserve"> </w:t>
      </w:r>
      <w:r w:rsidRPr="001048FE">
        <w:rPr>
          <w:lang w:val="sl-SI"/>
        </w:rPr>
        <w:t>dejavnosti,</w:t>
      </w:r>
      <w:r w:rsidRPr="001048FE">
        <w:rPr>
          <w:spacing w:val="-14"/>
          <w:lang w:val="sl-SI"/>
        </w:rPr>
        <w:t xml:space="preserve"> </w:t>
      </w:r>
      <w:r w:rsidRPr="001048FE">
        <w:rPr>
          <w:lang w:val="sl-SI"/>
        </w:rPr>
        <w:t>prostovoljstva,</w:t>
      </w:r>
      <w:r w:rsidRPr="001048FE">
        <w:rPr>
          <w:spacing w:val="-14"/>
          <w:lang w:val="sl-SI"/>
        </w:rPr>
        <w:t xml:space="preserve"> </w:t>
      </w:r>
      <w:r w:rsidRPr="001048FE">
        <w:rPr>
          <w:lang w:val="sl-SI"/>
        </w:rPr>
        <w:t>zaposlovanja</w:t>
      </w:r>
      <w:r w:rsidRPr="001048FE">
        <w:rPr>
          <w:spacing w:val="-14"/>
          <w:lang w:val="sl-SI"/>
        </w:rPr>
        <w:t xml:space="preserve"> </w:t>
      </w:r>
      <w:r w:rsidRPr="001048FE">
        <w:rPr>
          <w:lang w:val="sl-SI"/>
        </w:rPr>
        <w:t>v</w:t>
      </w:r>
      <w:r w:rsidRPr="001048FE">
        <w:rPr>
          <w:spacing w:val="-14"/>
          <w:lang w:val="sl-SI"/>
        </w:rPr>
        <w:t xml:space="preserve"> </w:t>
      </w:r>
      <w:r w:rsidRPr="001048FE">
        <w:rPr>
          <w:lang w:val="sl-SI"/>
        </w:rPr>
        <w:t>športu</w:t>
      </w:r>
      <w:r w:rsidRPr="001048FE">
        <w:rPr>
          <w:spacing w:val="-14"/>
          <w:lang w:val="sl-SI"/>
        </w:rPr>
        <w:t xml:space="preserve"> </w:t>
      </w:r>
      <w:r w:rsidRPr="001048FE">
        <w:rPr>
          <w:lang w:val="sl-SI"/>
        </w:rPr>
        <w:t>ter izobraževanja</w:t>
      </w:r>
      <w:r w:rsidRPr="001048FE">
        <w:rPr>
          <w:spacing w:val="-12"/>
          <w:lang w:val="sl-SI"/>
        </w:rPr>
        <w:t xml:space="preserve"> </w:t>
      </w:r>
      <w:r w:rsidRPr="001048FE">
        <w:rPr>
          <w:lang w:val="sl-SI"/>
        </w:rPr>
        <w:t>in</w:t>
      </w:r>
      <w:r w:rsidRPr="001048FE">
        <w:rPr>
          <w:spacing w:val="-12"/>
          <w:lang w:val="sl-SI"/>
        </w:rPr>
        <w:t xml:space="preserve"> </w:t>
      </w:r>
      <w:r w:rsidRPr="001048FE">
        <w:rPr>
          <w:lang w:val="sl-SI"/>
        </w:rPr>
        <w:t>usposabljanja</w:t>
      </w:r>
      <w:r w:rsidRPr="001048FE">
        <w:rPr>
          <w:spacing w:val="-12"/>
          <w:lang w:val="sl-SI"/>
        </w:rPr>
        <w:t xml:space="preserve"> </w:t>
      </w:r>
      <w:r w:rsidRPr="001048FE">
        <w:rPr>
          <w:lang w:val="sl-SI"/>
        </w:rPr>
        <w:t>na</w:t>
      </w:r>
      <w:r w:rsidRPr="001048FE">
        <w:rPr>
          <w:spacing w:val="-12"/>
          <w:lang w:val="sl-SI"/>
        </w:rPr>
        <w:t xml:space="preserve"> </w:t>
      </w:r>
      <w:r w:rsidRPr="001048FE">
        <w:rPr>
          <w:lang w:val="sl-SI"/>
        </w:rPr>
        <w:t>področju</w:t>
      </w:r>
      <w:r w:rsidRPr="001048FE">
        <w:rPr>
          <w:spacing w:val="-12"/>
          <w:lang w:val="sl-SI"/>
        </w:rPr>
        <w:t xml:space="preserve"> </w:t>
      </w:r>
      <w:r w:rsidRPr="001048FE">
        <w:rPr>
          <w:lang w:val="sl-SI"/>
        </w:rPr>
        <w:t>športa)</w:t>
      </w:r>
      <w:r w:rsidRPr="001048FE">
        <w:rPr>
          <w:spacing w:val="-12"/>
          <w:lang w:val="sl-SI"/>
        </w:rPr>
        <w:t xml:space="preserve"> </w:t>
      </w:r>
      <w:r w:rsidRPr="001048FE">
        <w:rPr>
          <w:lang w:val="sl-SI"/>
        </w:rPr>
        <w:t>in</w:t>
      </w:r>
      <w:r w:rsidRPr="001048FE">
        <w:rPr>
          <w:spacing w:val="-12"/>
          <w:lang w:val="sl-SI"/>
        </w:rPr>
        <w:t xml:space="preserve"> </w:t>
      </w:r>
      <w:r w:rsidRPr="001048FE">
        <w:rPr>
          <w:lang w:val="sl-SI"/>
        </w:rPr>
        <w:t>podpiranje</w:t>
      </w:r>
      <w:r w:rsidRPr="001048FE">
        <w:rPr>
          <w:spacing w:val="-12"/>
          <w:lang w:val="sl-SI"/>
        </w:rPr>
        <w:t xml:space="preserve"> </w:t>
      </w:r>
      <w:r w:rsidRPr="001048FE">
        <w:rPr>
          <w:lang w:val="sl-SI"/>
        </w:rPr>
        <w:t>izvajanja</w:t>
      </w:r>
      <w:r w:rsidRPr="001048FE">
        <w:rPr>
          <w:spacing w:val="-12"/>
          <w:lang w:val="sl-SI"/>
        </w:rPr>
        <w:t xml:space="preserve"> </w:t>
      </w:r>
      <w:r w:rsidRPr="001048FE">
        <w:rPr>
          <w:lang w:val="sl-SI"/>
        </w:rPr>
        <w:t>smernic</w:t>
      </w:r>
      <w:r w:rsidRPr="001048FE">
        <w:rPr>
          <w:spacing w:val="-12"/>
          <w:lang w:val="sl-SI"/>
        </w:rPr>
        <w:t xml:space="preserve"> </w:t>
      </w:r>
      <w:r w:rsidRPr="001048FE">
        <w:rPr>
          <w:lang w:val="sl-SI"/>
        </w:rPr>
        <w:t>EU</w:t>
      </w:r>
      <w:r w:rsidRPr="001048FE">
        <w:rPr>
          <w:spacing w:val="-12"/>
          <w:lang w:val="sl-SI"/>
        </w:rPr>
        <w:t xml:space="preserve"> </w:t>
      </w:r>
      <w:r w:rsidRPr="001048FE">
        <w:rPr>
          <w:lang w:val="sl-SI"/>
        </w:rPr>
        <w:t>o</w:t>
      </w:r>
      <w:r w:rsidRPr="001048FE">
        <w:rPr>
          <w:spacing w:val="-11"/>
          <w:lang w:val="sl-SI"/>
        </w:rPr>
        <w:t xml:space="preserve"> </w:t>
      </w:r>
      <w:r w:rsidRPr="001048FE">
        <w:rPr>
          <w:lang w:val="sl-SI"/>
        </w:rPr>
        <w:t>dvojni poklicni poti športnikov. Ta partnerstva vključujejo tudi majhna partnerska sodelovanja, ki so namenjena spodbujanju socialnega vključevanja in enakih priložnosti v športu, spodbujanju tradicionalnih evropskih športov in iger, podpori mobilnosti prostovoljcev, trenerjev, menedžerjev in osebja neprofitnih športnih organizacij ter varovanju športnikov, zlasti najmlajših, pred nevarnostmi za zdravje in varnost z izboljšanjem pogojev za trening in tekmovanja;</w:t>
      </w:r>
    </w:p>
    <w:p w14:paraId="7D398637" w14:textId="77777777" w:rsidR="00E03711" w:rsidRPr="001048FE" w:rsidRDefault="00E03711" w:rsidP="00B1662F">
      <w:pPr>
        <w:pStyle w:val="Guide-NormalBulletpoints"/>
        <w:rPr>
          <w:lang w:val="sl-SI"/>
        </w:rPr>
      </w:pPr>
      <w:r w:rsidRPr="001048FE">
        <w:rPr>
          <w:b/>
          <w:lang w:val="sl-SI"/>
        </w:rPr>
        <w:t xml:space="preserve">neprofitne evropske športne prireditve </w:t>
      </w:r>
      <w:r w:rsidRPr="001048FE">
        <w:rPr>
          <w:lang w:val="sl-SI"/>
        </w:rPr>
        <w:t>z dodeljevanjem nepovratnih sredstev posameznim organizacijam, ki so odgovorne za pripravo, organizacijo in nadaljnje spremljanje določene prireditve. V te aktivnosti bosta zajeta organizacija usposabljanj za športnike in prostovoljce pred dogodkom, otvoritvenimi in zaključnimi slovesnostmi, tekmovanji in spremljevalnimi aktivnostmi športne prireditve (konference, seminarji) ter izvajanje aktivnosti po dogodku, na primer ocenjevanje ali nadaljnje aktivnosti;</w:t>
      </w:r>
    </w:p>
    <w:p w14:paraId="7D398638" w14:textId="77777777" w:rsidR="00E03711" w:rsidRPr="001048FE" w:rsidRDefault="00E03711" w:rsidP="00B1662F">
      <w:pPr>
        <w:pStyle w:val="Guide-NormalBulletpoints"/>
        <w:rPr>
          <w:lang w:val="sl-SI"/>
        </w:rPr>
      </w:pPr>
      <w:r w:rsidRPr="001048FE">
        <w:rPr>
          <w:b/>
          <w:lang w:val="sl-SI"/>
        </w:rPr>
        <w:t xml:space="preserve">krepitev podlag za oblikovanje politik </w:t>
      </w:r>
      <w:r w:rsidRPr="001048FE">
        <w:rPr>
          <w:lang w:val="sl-SI"/>
        </w:rPr>
        <w:t>s študijami; zbiranjem podatkov, anketami, omrežji, konferencami in seminarji, ki širijo dobre prakse držav Programa in športnih organizacij ter krepijo omrežja na ravni EU, da lahko nacionalni člani teh omrežij izkoristijo sinergije in izmenjave s svojimi partnerji;</w:t>
      </w:r>
    </w:p>
    <w:p w14:paraId="7D398639" w14:textId="77777777" w:rsidR="00E03711" w:rsidRDefault="00E03711" w:rsidP="006F6C8B">
      <w:pPr>
        <w:pStyle w:val="Guide-NormalBulletpoints"/>
        <w:rPr>
          <w:lang w:val="sl-SI"/>
        </w:rPr>
      </w:pPr>
      <w:r w:rsidRPr="00C755F2">
        <w:rPr>
          <w:b/>
          <w:lang w:val="sl-SI"/>
        </w:rPr>
        <w:t>dialog z ustreznimi evropskimi deležniki</w:t>
      </w:r>
      <w:r w:rsidRPr="00C755F2">
        <w:rPr>
          <w:lang w:val="sl-SI"/>
        </w:rPr>
        <w:t>, kar pomeni zlasti letni športni forum EU in podporo športnim prireditvam v okviru predsedovanja, ki jih organizirajo države članice EU med svojim predsedovanjem EU. Po potrebi se lahko organizirajo tudi druga ustrezna ad hoc srečanja</w:t>
      </w:r>
      <w:r w:rsidRPr="00C755F2">
        <w:rPr>
          <w:spacing w:val="16"/>
          <w:lang w:val="sl-SI"/>
        </w:rPr>
        <w:t xml:space="preserve"> </w:t>
      </w:r>
      <w:r w:rsidRPr="00C755F2">
        <w:rPr>
          <w:lang w:val="sl-SI"/>
        </w:rPr>
        <w:t>in</w:t>
      </w:r>
      <w:r w:rsidRPr="00C755F2">
        <w:rPr>
          <w:spacing w:val="16"/>
          <w:lang w:val="sl-SI"/>
        </w:rPr>
        <w:t xml:space="preserve"> </w:t>
      </w:r>
      <w:r w:rsidRPr="00C755F2">
        <w:rPr>
          <w:lang w:val="sl-SI"/>
        </w:rPr>
        <w:t>seminarji</w:t>
      </w:r>
      <w:r w:rsidRPr="00C755F2">
        <w:rPr>
          <w:spacing w:val="16"/>
          <w:lang w:val="sl-SI"/>
        </w:rPr>
        <w:t xml:space="preserve"> </w:t>
      </w:r>
      <w:r w:rsidRPr="00C755F2">
        <w:rPr>
          <w:lang w:val="sl-SI"/>
        </w:rPr>
        <w:t>za</w:t>
      </w:r>
      <w:r w:rsidRPr="00C755F2">
        <w:rPr>
          <w:spacing w:val="16"/>
          <w:lang w:val="sl-SI"/>
        </w:rPr>
        <w:t xml:space="preserve"> </w:t>
      </w:r>
      <w:r w:rsidRPr="00C755F2">
        <w:rPr>
          <w:lang w:val="sl-SI"/>
        </w:rPr>
        <w:t>zagotavljanje</w:t>
      </w:r>
      <w:r w:rsidRPr="00C755F2">
        <w:rPr>
          <w:spacing w:val="16"/>
          <w:lang w:val="sl-SI"/>
        </w:rPr>
        <w:t xml:space="preserve"> </w:t>
      </w:r>
      <w:r w:rsidRPr="00C755F2">
        <w:rPr>
          <w:lang w:val="sl-SI"/>
        </w:rPr>
        <w:t>optimalnega</w:t>
      </w:r>
      <w:r w:rsidRPr="00C755F2">
        <w:rPr>
          <w:spacing w:val="17"/>
          <w:lang w:val="sl-SI"/>
        </w:rPr>
        <w:t xml:space="preserve"> </w:t>
      </w:r>
      <w:r w:rsidRPr="00C755F2">
        <w:rPr>
          <w:lang w:val="sl-SI"/>
        </w:rPr>
        <w:t>dialoga</w:t>
      </w:r>
      <w:r w:rsidRPr="00C755F2">
        <w:rPr>
          <w:spacing w:val="16"/>
          <w:lang w:val="sl-SI"/>
        </w:rPr>
        <w:t xml:space="preserve"> </w:t>
      </w:r>
      <w:r w:rsidRPr="00C755F2">
        <w:rPr>
          <w:lang w:val="sl-SI"/>
        </w:rPr>
        <w:t>z</w:t>
      </w:r>
      <w:r w:rsidRPr="00C755F2">
        <w:rPr>
          <w:spacing w:val="16"/>
          <w:lang w:val="sl-SI"/>
        </w:rPr>
        <w:t xml:space="preserve"> </w:t>
      </w:r>
      <w:r w:rsidRPr="00C755F2">
        <w:rPr>
          <w:lang w:val="sl-SI"/>
        </w:rPr>
        <w:t>deležniki</w:t>
      </w:r>
      <w:r w:rsidRPr="00C755F2">
        <w:rPr>
          <w:spacing w:val="16"/>
          <w:lang w:val="sl-SI"/>
        </w:rPr>
        <w:t xml:space="preserve"> </w:t>
      </w:r>
      <w:r w:rsidRPr="00C755F2">
        <w:rPr>
          <w:lang w:val="sl-SI"/>
        </w:rPr>
        <w:t>na</w:t>
      </w:r>
      <w:r w:rsidRPr="00C755F2">
        <w:rPr>
          <w:spacing w:val="16"/>
          <w:lang w:val="sl-SI"/>
        </w:rPr>
        <w:t xml:space="preserve"> </w:t>
      </w:r>
      <w:r w:rsidRPr="00C755F2">
        <w:rPr>
          <w:lang w:val="sl-SI"/>
        </w:rPr>
        <w:t>področju</w:t>
      </w:r>
      <w:r w:rsidRPr="00C755F2">
        <w:rPr>
          <w:spacing w:val="16"/>
          <w:lang w:val="sl-SI"/>
        </w:rPr>
        <w:t xml:space="preserve"> </w:t>
      </w:r>
      <w:r w:rsidRPr="00C755F2">
        <w:rPr>
          <w:lang w:val="sl-SI"/>
        </w:rPr>
        <w:t>športa.</w:t>
      </w:r>
      <w:bookmarkStart w:id="62" w:name="Quel_est_le_budget_du_programme?"/>
      <w:bookmarkStart w:id="63" w:name="_bookmark14"/>
      <w:bookmarkEnd w:id="62"/>
      <w:bookmarkEnd w:id="63"/>
    </w:p>
    <w:p w14:paraId="7D39863A" w14:textId="77777777" w:rsidR="00E03711" w:rsidRDefault="00E03711" w:rsidP="00C755F2">
      <w:pPr>
        <w:pStyle w:val="Guide-NormalBulletpoints"/>
        <w:ind w:left="720" w:hanging="360"/>
        <w:rPr>
          <w:lang w:val="sl-SI"/>
        </w:rPr>
      </w:pPr>
    </w:p>
    <w:p w14:paraId="7D39863B" w14:textId="77777777" w:rsidR="00E03711" w:rsidRDefault="00E03711" w:rsidP="00C755F2">
      <w:pPr>
        <w:pStyle w:val="Guide-NormalBulletpoints"/>
        <w:ind w:left="720" w:hanging="360"/>
        <w:rPr>
          <w:lang w:val="sl-SI"/>
        </w:rPr>
      </w:pPr>
    </w:p>
    <w:p w14:paraId="7D39863C" w14:textId="77777777" w:rsidR="00E03711" w:rsidRPr="001048FE" w:rsidRDefault="00E03711" w:rsidP="0030441A">
      <w:pPr>
        <w:pStyle w:val="Guide-Heading2"/>
        <w:rPr>
          <w:lang w:val="sl-SI"/>
        </w:rPr>
      </w:pPr>
      <w:bookmarkStart w:id="64" w:name="_Toc527400897"/>
      <w:bookmarkStart w:id="65" w:name="_Toc527401092"/>
      <w:r w:rsidRPr="001048FE">
        <w:rPr>
          <w:lang w:val="sl-SI"/>
        </w:rPr>
        <w:t>Kolikšen je proračun?</w:t>
      </w:r>
      <w:bookmarkEnd w:id="64"/>
      <w:bookmarkEnd w:id="65"/>
    </w:p>
    <w:p w14:paraId="7D39863D" w14:textId="77777777" w:rsidR="00E03711" w:rsidRPr="001048FE" w:rsidRDefault="00E03711" w:rsidP="00B1662F">
      <w:pPr>
        <w:pStyle w:val="GUIDE-NORMAL"/>
        <w:rPr>
          <w:lang w:val="sl-SI"/>
        </w:rPr>
      </w:pPr>
      <w:r w:rsidRPr="001048FE">
        <w:rPr>
          <w:lang w:val="sl-SI"/>
        </w:rPr>
        <w:t>Programu so za sedem let (2014–2020) dodeljena skupna finančna sredstva v višini 14,774 milijarde EUR iz razdelka 1 in 1,680 milijarde EUR iz razdelka 4 proračuna EU. Letni proračun</w:t>
      </w:r>
      <w:r w:rsidRPr="001048FE">
        <w:rPr>
          <w:spacing w:val="-14"/>
          <w:lang w:val="sl-SI"/>
        </w:rPr>
        <w:t xml:space="preserve"> </w:t>
      </w:r>
      <w:r w:rsidRPr="001048FE">
        <w:rPr>
          <w:lang w:val="sl-SI"/>
        </w:rPr>
        <w:t>sprejme</w:t>
      </w:r>
      <w:r w:rsidRPr="001048FE">
        <w:rPr>
          <w:spacing w:val="-14"/>
          <w:lang w:val="sl-SI"/>
        </w:rPr>
        <w:t xml:space="preserve"> </w:t>
      </w:r>
      <w:r w:rsidRPr="001048FE">
        <w:rPr>
          <w:lang w:val="sl-SI"/>
        </w:rPr>
        <w:t>proračunski</w:t>
      </w:r>
      <w:r w:rsidRPr="001048FE">
        <w:rPr>
          <w:spacing w:val="-14"/>
          <w:lang w:val="sl-SI"/>
        </w:rPr>
        <w:t xml:space="preserve"> </w:t>
      </w:r>
      <w:r w:rsidRPr="001048FE">
        <w:rPr>
          <w:lang w:val="sl-SI"/>
        </w:rPr>
        <w:t>organ.</w:t>
      </w:r>
      <w:r w:rsidRPr="001048FE">
        <w:rPr>
          <w:spacing w:val="-13"/>
          <w:lang w:val="sl-SI"/>
        </w:rPr>
        <w:t xml:space="preserve"> </w:t>
      </w:r>
      <w:r w:rsidRPr="001048FE">
        <w:rPr>
          <w:lang w:val="sl-SI"/>
        </w:rPr>
        <w:t>Različnim</w:t>
      </w:r>
      <w:r w:rsidRPr="001048FE">
        <w:rPr>
          <w:spacing w:val="-14"/>
          <w:lang w:val="sl-SI"/>
        </w:rPr>
        <w:t xml:space="preserve"> </w:t>
      </w:r>
      <w:r w:rsidRPr="001048FE">
        <w:rPr>
          <w:lang w:val="sl-SI"/>
        </w:rPr>
        <w:t>korakom</w:t>
      </w:r>
      <w:r w:rsidRPr="001048FE">
        <w:rPr>
          <w:spacing w:val="-14"/>
          <w:lang w:val="sl-SI"/>
        </w:rPr>
        <w:t xml:space="preserve"> </w:t>
      </w:r>
      <w:r w:rsidRPr="001048FE">
        <w:rPr>
          <w:lang w:val="sl-SI"/>
        </w:rPr>
        <w:t>za</w:t>
      </w:r>
      <w:r w:rsidRPr="001048FE">
        <w:rPr>
          <w:spacing w:val="-14"/>
          <w:lang w:val="sl-SI"/>
        </w:rPr>
        <w:t xml:space="preserve"> </w:t>
      </w:r>
      <w:r w:rsidRPr="001048FE">
        <w:rPr>
          <w:lang w:val="sl-SI"/>
        </w:rPr>
        <w:t>sprejetje</w:t>
      </w:r>
      <w:r w:rsidRPr="001048FE">
        <w:rPr>
          <w:spacing w:val="-14"/>
          <w:lang w:val="sl-SI"/>
        </w:rPr>
        <w:t xml:space="preserve"> </w:t>
      </w:r>
      <w:r w:rsidRPr="001048FE">
        <w:rPr>
          <w:lang w:val="sl-SI"/>
        </w:rPr>
        <w:t>proračuna</w:t>
      </w:r>
      <w:r w:rsidRPr="001048FE">
        <w:rPr>
          <w:spacing w:val="-14"/>
          <w:lang w:val="sl-SI"/>
        </w:rPr>
        <w:t xml:space="preserve"> </w:t>
      </w:r>
      <w:r w:rsidRPr="001048FE">
        <w:rPr>
          <w:lang w:val="sl-SI"/>
        </w:rPr>
        <w:t>EU</w:t>
      </w:r>
      <w:r w:rsidRPr="001048FE">
        <w:rPr>
          <w:spacing w:val="-14"/>
          <w:lang w:val="sl-SI"/>
        </w:rPr>
        <w:t xml:space="preserve"> </w:t>
      </w:r>
      <w:r w:rsidRPr="001048FE">
        <w:rPr>
          <w:lang w:val="sl-SI"/>
        </w:rPr>
        <w:t>je</w:t>
      </w:r>
      <w:r w:rsidRPr="001048FE">
        <w:rPr>
          <w:spacing w:val="-14"/>
          <w:lang w:val="sl-SI"/>
        </w:rPr>
        <w:t xml:space="preserve"> </w:t>
      </w:r>
      <w:r w:rsidRPr="001048FE">
        <w:rPr>
          <w:lang w:val="sl-SI"/>
        </w:rPr>
        <w:t>mogoče slediti na</w:t>
      </w:r>
      <w:r w:rsidRPr="001048FE">
        <w:rPr>
          <w:spacing w:val="-5"/>
          <w:lang w:val="sl-SI"/>
        </w:rPr>
        <w:t xml:space="preserve"> </w:t>
      </w:r>
      <w:r w:rsidRPr="001048FE">
        <w:rPr>
          <w:lang w:val="sl-SI"/>
        </w:rPr>
        <w:t>naslovu:</w:t>
      </w:r>
    </w:p>
    <w:p w14:paraId="7D39863E" w14:textId="77777777" w:rsidR="00E03711" w:rsidRPr="00237696" w:rsidRDefault="00A6094F" w:rsidP="00B1662F">
      <w:pPr>
        <w:pStyle w:val="GUIDE-NORMAL"/>
        <w:rPr>
          <w:lang w:val="sl-SI"/>
        </w:rPr>
      </w:pPr>
      <w:hyperlink r:id="rId30">
        <w:r w:rsidR="00E03711" w:rsidRPr="001048FE">
          <w:rPr>
            <w:rStyle w:val="Hyperlink"/>
            <w:lang w:val="sl-SI"/>
          </w:rPr>
          <w:t>http://ec.europa.eu/budget/explained/management/deciding/deciding_detail/decide_detail_en.cfm</w:t>
        </w:r>
      </w:hyperlink>
      <w:r w:rsidR="00E03711" w:rsidRPr="00237696">
        <w:rPr>
          <w:lang w:val="sl-SI"/>
        </w:rPr>
        <w:t>.</w:t>
      </w:r>
    </w:p>
    <w:p w14:paraId="7D39863F" w14:textId="77777777" w:rsidR="00E03711" w:rsidRDefault="00E03711" w:rsidP="004E4C36">
      <w:pPr>
        <w:pStyle w:val="GUIDE-NORMAL"/>
        <w:spacing w:after="0"/>
        <w:jc w:val="left"/>
        <w:rPr>
          <w:sz w:val="20"/>
          <w:lang w:val="sl-SI"/>
        </w:rPr>
      </w:pPr>
      <w:r w:rsidRPr="00237696">
        <w:rPr>
          <w:lang w:val="sl-SI"/>
        </w:rPr>
        <w:t xml:space="preserve">Za informacije o proračunu glej letni </w:t>
      </w:r>
      <w:hyperlink r:id="rId31">
        <w:r w:rsidRPr="001048FE">
          <w:rPr>
            <w:rStyle w:val="Hyperlink"/>
            <w:lang w:val="sl-SI"/>
          </w:rPr>
          <w:t>delovni program Erasmus+</w:t>
        </w:r>
        <w:r w:rsidRPr="00237696">
          <w:rPr>
            <w:lang w:val="sl-SI"/>
          </w:rPr>
          <w:t xml:space="preserve"> </w:t>
        </w:r>
      </w:hyperlink>
      <w:r w:rsidRPr="00237696">
        <w:rPr>
          <w:lang w:val="sl-SI"/>
        </w:rPr>
        <w:t>za leto 20</w:t>
      </w:r>
      <w:r>
        <w:rPr>
          <w:lang w:val="sl-SI"/>
        </w:rPr>
        <w:t>20</w:t>
      </w:r>
      <w:r w:rsidRPr="001048FE">
        <w:rPr>
          <w:rStyle w:val="FootnoteReference"/>
          <w:lang w:val="sl-SI"/>
        </w:rPr>
        <w:footnoteReference w:id="7"/>
      </w:r>
      <w:r w:rsidRPr="00237696">
        <w:rPr>
          <w:sz w:val="20"/>
          <w:lang w:val="sl-SI"/>
        </w:rPr>
        <w:t xml:space="preserve"> </w:t>
      </w:r>
    </w:p>
    <w:p w14:paraId="7D398640" w14:textId="77777777" w:rsidR="00E03711" w:rsidRPr="004E4C36" w:rsidRDefault="00E03711" w:rsidP="00656893">
      <w:pPr>
        <w:pStyle w:val="Guide-Normal0"/>
        <w:rPr>
          <w:sz w:val="18"/>
          <w:szCs w:val="18"/>
          <w:lang w:val="sl-SI"/>
        </w:rPr>
      </w:pPr>
      <w:r w:rsidRPr="004E4C36">
        <w:rPr>
          <w:sz w:val="18"/>
          <w:szCs w:val="18"/>
          <w:lang w:val="sl-SI"/>
        </w:rPr>
        <w:t>(</w:t>
      </w:r>
      <w:hyperlink r:id="rId32" w:history="1">
        <w:r w:rsidRPr="004E4C36">
          <w:rPr>
            <w:rStyle w:val="Hyperlink"/>
            <w:sz w:val="18"/>
            <w:szCs w:val="18"/>
            <w:lang w:val="sl-SI" w:eastAsia="en-US"/>
          </w:rPr>
          <w:t>https://ec.europa.eu/programmes/erasmus-plus/resources/documents/annual-work-programmes_en</w:t>
        </w:r>
      </w:hyperlink>
      <w:r w:rsidRPr="004E4C36">
        <w:rPr>
          <w:color w:val="1F497D"/>
          <w:sz w:val="18"/>
          <w:szCs w:val="18"/>
          <w:lang w:val="sl-SI" w:eastAsia="en-US"/>
        </w:rPr>
        <w:t>)</w:t>
      </w:r>
    </w:p>
    <w:p w14:paraId="7D398641" w14:textId="77777777" w:rsidR="00E03711" w:rsidRPr="001048FE" w:rsidRDefault="00E03711" w:rsidP="00860232">
      <w:pPr>
        <w:pStyle w:val="GUIDE-NORMAL"/>
        <w:jc w:val="left"/>
        <w:rPr>
          <w:lang w:val="sl-SI"/>
        </w:rPr>
      </w:pPr>
      <w:r>
        <w:rPr>
          <w:sz w:val="20"/>
          <w:lang w:val="sl-SI"/>
        </w:rPr>
        <w:br/>
      </w:r>
    </w:p>
    <w:p w14:paraId="7D398642" w14:textId="77777777" w:rsidR="00E03711" w:rsidRPr="001048FE" w:rsidRDefault="00E03711" w:rsidP="0037382A">
      <w:pPr>
        <w:pStyle w:val="GUIDE-NORMAL"/>
        <w:spacing w:before="0"/>
        <w:rPr>
          <w:lang w:val="sl-SI"/>
        </w:rPr>
        <w:sectPr w:rsidR="00E03711" w:rsidRPr="001048FE" w:rsidSect="007F4890">
          <w:headerReference w:type="default" r:id="rId33"/>
          <w:endnotePr>
            <w:numFmt w:val="decimal"/>
          </w:endnotePr>
          <w:pgSz w:w="11910" w:h="16840" w:code="9"/>
          <w:pgMar w:top="1134" w:right="1418" w:bottom="1134" w:left="1418" w:header="283" w:footer="567" w:gutter="0"/>
          <w:cols w:space="720"/>
          <w:docGrid w:linePitch="326"/>
        </w:sectPr>
      </w:pPr>
      <w:bookmarkStart w:id="66" w:name="Qui_met_en_œuvre_le_programme_Erasmus+?"/>
      <w:bookmarkStart w:id="67" w:name="_bookmark15"/>
      <w:bookmarkEnd w:id="66"/>
      <w:bookmarkEnd w:id="67"/>
    </w:p>
    <w:p w14:paraId="7D398643" w14:textId="77777777" w:rsidR="00E03711" w:rsidRPr="001048FE" w:rsidRDefault="00E03711" w:rsidP="0030441A">
      <w:pPr>
        <w:pStyle w:val="Guide-Heading2"/>
        <w:rPr>
          <w:lang w:val="sl-SI"/>
        </w:rPr>
      </w:pPr>
      <w:bookmarkStart w:id="68" w:name="_Toc527400898"/>
      <w:bookmarkStart w:id="69" w:name="_Toc527401093"/>
      <w:r w:rsidRPr="001048FE">
        <w:rPr>
          <w:lang w:val="sl-SI"/>
        </w:rPr>
        <w:t>Kdo izvaja program Erasmus+?</w:t>
      </w:r>
      <w:bookmarkEnd w:id="68"/>
      <w:bookmarkEnd w:id="69"/>
    </w:p>
    <w:p w14:paraId="7D398644" w14:textId="77777777" w:rsidR="00E03711" w:rsidRPr="001048FE" w:rsidRDefault="00A6094F" w:rsidP="0030441A">
      <w:pPr>
        <w:pStyle w:val="Guide-Heading3"/>
        <w:rPr>
          <w:lang w:val="sl-SI"/>
        </w:rPr>
      </w:pPr>
      <w:hyperlink r:id="rId34">
        <w:bookmarkStart w:id="70" w:name="_Toc527400899"/>
        <w:bookmarkStart w:id="71" w:name="_Toc527401094"/>
        <w:r w:rsidR="00E03711" w:rsidRPr="001048FE">
          <w:rPr>
            <w:lang w:val="sl-SI"/>
          </w:rPr>
          <w:t>Evropska komisija</w:t>
        </w:r>
        <w:bookmarkEnd w:id="70"/>
        <w:bookmarkEnd w:id="71"/>
      </w:hyperlink>
    </w:p>
    <w:p w14:paraId="7D398645" w14:textId="77777777" w:rsidR="00E03711" w:rsidRPr="001048FE" w:rsidRDefault="00E03711" w:rsidP="00995E90">
      <w:pPr>
        <w:pStyle w:val="GUIDE-NORMAL"/>
        <w:rPr>
          <w:lang w:val="sl-SI"/>
        </w:rPr>
      </w:pPr>
      <w:bookmarkStart w:id="72" w:name="Evropska_komisija"/>
      <w:bookmarkStart w:id="73" w:name="_bookmark10"/>
      <w:bookmarkEnd w:id="72"/>
      <w:bookmarkEnd w:id="73"/>
      <w:r w:rsidRPr="001048FE">
        <w:rPr>
          <w:lang w:val="sl-SI"/>
        </w:rPr>
        <w:t>Evropska</w:t>
      </w:r>
      <w:r w:rsidRPr="001048FE">
        <w:rPr>
          <w:spacing w:val="-16"/>
          <w:lang w:val="sl-SI"/>
        </w:rPr>
        <w:t xml:space="preserve"> </w:t>
      </w:r>
      <w:r w:rsidRPr="001048FE">
        <w:rPr>
          <w:lang w:val="sl-SI"/>
        </w:rPr>
        <w:t>komisija</w:t>
      </w:r>
      <w:r w:rsidRPr="001048FE">
        <w:rPr>
          <w:spacing w:val="-16"/>
          <w:lang w:val="sl-SI"/>
        </w:rPr>
        <w:t xml:space="preserve"> </w:t>
      </w:r>
      <w:r w:rsidRPr="001048FE">
        <w:rPr>
          <w:lang w:val="sl-SI"/>
        </w:rPr>
        <w:t>je</w:t>
      </w:r>
      <w:r w:rsidRPr="001048FE">
        <w:rPr>
          <w:spacing w:val="-16"/>
          <w:lang w:val="sl-SI"/>
        </w:rPr>
        <w:t xml:space="preserve"> </w:t>
      </w:r>
      <w:r w:rsidRPr="001048FE">
        <w:rPr>
          <w:lang w:val="sl-SI"/>
        </w:rPr>
        <w:t>dokončno</w:t>
      </w:r>
      <w:r w:rsidRPr="001048FE">
        <w:rPr>
          <w:spacing w:val="-16"/>
          <w:lang w:val="sl-SI"/>
        </w:rPr>
        <w:t xml:space="preserve"> </w:t>
      </w:r>
      <w:r w:rsidRPr="001048FE">
        <w:rPr>
          <w:lang w:val="sl-SI"/>
        </w:rPr>
        <w:t>odgovorna</w:t>
      </w:r>
      <w:r w:rsidRPr="001048FE">
        <w:rPr>
          <w:spacing w:val="-16"/>
          <w:lang w:val="sl-SI"/>
        </w:rPr>
        <w:t xml:space="preserve"> </w:t>
      </w:r>
      <w:r w:rsidRPr="001048FE">
        <w:rPr>
          <w:lang w:val="sl-SI"/>
        </w:rPr>
        <w:t>za</w:t>
      </w:r>
      <w:r w:rsidRPr="001048FE">
        <w:rPr>
          <w:spacing w:val="-16"/>
          <w:lang w:val="sl-SI"/>
        </w:rPr>
        <w:t xml:space="preserve"> </w:t>
      </w:r>
      <w:r w:rsidRPr="001048FE">
        <w:rPr>
          <w:lang w:val="sl-SI"/>
        </w:rPr>
        <w:t>delovanje</w:t>
      </w:r>
      <w:r w:rsidRPr="001048FE">
        <w:rPr>
          <w:spacing w:val="-16"/>
          <w:lang w:val="sl-SI"/>
        </w:rPr>
        <w:t xml:space="preserve"> </w:t>
      </w:r>
      <w:r w:rsidRPr="001048FE">
        <w:rPr>
          <w:lang w:val="sl-SI"/>
        </w:rPr>
        <w:t>programa</w:t>
      </w:r>
      <w:r w:rsidRPr="001048FE">
        <w:rPr>
          <w:spacing w:val="-16"/>
          <w:lang w:val="sl-SI"/>
        </w:rPr>
        <w:t xml:space="preserve"> </w:t>
      </w:r>
      <w:r w:rsidRPr="001048FE">
        <w:rPr>
          <w:lang w:val="sl-SI"/>
        </w:rPr>
        <w:t>Erasmus+.</w:t>
      </w:r>
      <w:r w:rsidRPr="001048FE">
        <w:rPr>
          <w:spacing w:val="-16"/>
          <w:lang w:val="sl-SI"/>
        </w:rPr>
        <w:t xml:space="preserve"> </w:t>
      </w:r>
      <w:r w:rsidRPr="001048FE">
        <w:rPr>
          <w:lang w:val="sl-SI"/>
        </w:rPr>
        <w:t>Neprekinjeno</w:t>
      </w:r>
      <w:r w:rsidRPr="001048FE">
        <w:rPr>
          <w:spacing w:val="-16"/>
          <w:lang w:val="sl-SI"/>
        </w:rPr>
        <w:t xml:space="preserve"> </w:t>
      </w:r>
      <w:r w:rsidRPr="001048FE">
        <w:rPr>
          <w:lang w:val="sl-SI"/>
        </w:rPr>
        <w:t>upravlja proračun in določa prednostne naloge, cilje in merila za Program. Poleg tega vodi in spremlja splošno izvajanje, nadaljnje spremljanje in vrednotenje Programa na evropski ravni. Evropska komisija je prav tako v celoti odgovorna za nadziranje in koordinacijo struktur, ki so odgovorne za izvajanje Programa na nacionalni</w:t>
      </w:r>
      <w:r w:rsidRPr="001048FE">
        <w:rPr>
          <w:spacing w:val="-11"/>
          <w:lang w:val="sl-SI"/>
        </w:rPr>
        <w:t xml:space="preserve"> </w:t>
      </w:r>
      <w:r w:rsidRPr="001048FE">
        <w:rPr>
          <w:lang w:val="sl-SI"/>
        </w:rPr>
        <w:t>ravni.</w:t>
      </w:r>
    </w:p>
    <w:p w14:paraId="7D398646" w14:textId="77777777" w:rsidR="00E03711" w:rsidRPr="001048FE" w:rsidRDefault="00E03711" w:rsidP="00995E90">
      <w:pPr>
        <w:pStyle w:val="GUIDE-NORMAL"/>
        <w:rPr>
          <w:lang w:val="sl-SI"/>
        </w:rPr>
      </w:pPr>
      <w:r w:rsidRPr="001048FE">
        <w:rPr>
          <w:lang w:val="sl-SI"/>
        </w:rPr>
        <w:t>Na evropski ravni je za izvajanje centraliziranih ukrepov programa Erasmus+ odgovorna Izvajalska agencija Evropske komisije za izobraževanje, avdiovizualno področje in kulturo (v nadaljevanju: Izvajalska agencija). Izvajalska agencija je odgovorna za celotni življenjski cikel upravljanja teh projektov, od promocije Programa, analize vlog za nepovratna sredstva, spremljanja projektov na kraju samem do razširjanja rezultatov projekta in Programa. Odgovorna je tudi za objavo posebnih razpisov za zbiranje predlogov, povezanih z nekaterimi ukrepi Programa, ki niso zajeti v ta vodnik.</w:t>
      </w:r>
    </w:p>
    <w:p w14:paraId="7D398647" w14:textId="77777777" w:rsidR="00E03711" w:rsidRPr="001048FE" w:rsidRDefault="00E03711" w:rsidP="00995E90">
      <w:pPr>
        <w:pStyle w:val="GUIDE-NORMAL"/>
        <w:rPr>
          <w:lang w:val="sl-SI"/>
        </w:rPr>
      </w:pPr>
      <w:r w:rsidRPr="001048FE">
        <w:rPr>
          <w:lang w:val="sl-SI"/>
        </w:rPr>
        <w:t>Evropska</w:t>
      </w:r>
      <w:r w:rsidRPr="001048FE">
        <w:rPr>
          <w:spacing w:val="-14"/>
          <w:lang w:val="sl-SI"/>
        </w:rPr>
        <w:t xml:space="preserve"> </w:t>
      </w:r>
      <w:r w:rsidRPr="001048FE">
        <w:rPr>
          <w:lang w:val="sl-SI"/>
        </w:rPr>
        <w:t>komisija</w:t>
      </w:r>
      <w:r w:rsidRPr="001048FE">
        <w:rPr>
          <w:spacing w:val="-14"/>
          <w:lang w:val="sl-SI"/>
        </w:rPr>
        <w:t xml:space="preserve"> </w:t>
      </w:r>
      <w:r w:rsidRPr="001048FE">
        <w:rPr>
          <w:lang w:val="sl-SI"/>
        </w:rPr>
        <w:t>je</w:t>
      </w:r>
      <w:r w:rsidRPr="001048FE">
        <w:rPr>
          <w:spacing w:val="-14"/>
          <w:lang w:val="sl-SI"/>
        </w:rPr>
        <w:t xml:space="preserve"> </w:t>
      </w:r>
      <w:r w:rsidRPr="001048FE">
        <w:rPr>
          <w:lang w:val="sl-SI"/>
        </w:rPr>
        <w:t>zlasti</w:t>
      </w:r>
      <w:r w:rsidRPr="001048FE">
        <w:rPr>
          <w:spacing w:val="-14"/>
          <w:lang w:val="sl-SI"/>
        </w:rPr>
        <w:t xml:space="preserve"> </w:t>
      </w:r>
      <w:r w:rsidRPr="001048FE">
        <w:rPr>
          <w:lang w:val="sl-SI"/>
        </w:rPr>
        <w:t>prek</w:t>
      </w:r>
      <w:r w:rsidRPr="001048FE">
        <w:rPr>
          <w:spacing w:val="-14"/>
          <w:lang w:val="sl-SI"/>
        </w:rPr>
        <w:t xml:space="preserve"> </w:t>
      </w:r>
      <w:r w:rsidRPr="001048FE">
        <w:rPr>
          <w:lang w:val="sl-SI"/>
        </w:rPr>
        <w:t>Izvajalske</w:t>
      </w:r>
      <w:r w:rsidRPr="001048FE">
        <w:rPr>
          <w:spacing w:val="-14"/>
          <w:lang w:val="sl-SI"/>
        </w:rPr>
        <w:t xml:space="preserve"> </w:t>
      </w:r>
      <w:r w:rsidRPr="001048FE">
        <w:rPr>
          <w:lang w:val="sl-SI"/>
        </w:rPr>
        <w:t>agencije</w:t>
      </w:r>
      <w:r w:rsidRPr="001048FE">
        <w:rPr>
          <w:spacing w:val="-14"/>
          <w:lang w:val="sl-SI"/>
        </w:rPr>
        <w:t xml:space="preserve"> </w:t>
      </w:r>
      <w:r w:rsidRPr="001048FE">
        <w:rPr>
          <w:lang w:val="sl-SI"/>
        </w:rPr>
        <w:t>odgovorna</w:t>
      </w:r>
      <w:r w:rsidRPr="001048FE">
        <w:rPr>
          <w:spacing w:val="-13"/>
          <w:lang w:val="sl-SI"/>
        </w:rPr>
        <w:t xml:space="preserve"> </w:t>
      </w:r>
      <w:r w:rsidRPr="001048FE">
        <w:rPr>
          <w:lang w:val="sl-SI"/>
        </w:rPr>
        <w:t>tudi</w:t>
      </w:r>
      <w:r w:rsidRPr="001048FE">
        <w:rPr>
          <w:spacing w:val="-14"/>
          <w:lang w:val="sl-SI"/>
        </w:rPr>
        <w:t xml:space="preserve"> </w:t>
      </w:r>
      <w:r w:rsidRPr="001048FE">
        <w:rPr>
          <w:lang w:val="sl-SI"/>
        </w:rPr>
        <w:t xml:space="preserve">za: </w:t>
      </w:r>
    </w:p>
    <w:p w14:paraId="7D398648" w14:textId="77777777" w:rsidR="00E03711" w:rsidRPr="001048FE" w:rsidRDefault="00E03711" w:rsidP="005115F2">
      <w:pPr>
        <w:pStyle w:val="Guide-NormalBulletpoints"/>
        <w:numPr>
          <w:ilvl w:val="0"/>
          <w:numId w:val="172"/>
        </w:numPr>
        <w:rPr>
          <w:lang w:val="sl-SI"/>
        </w:rPr>
      </w:pPr>
      <w:r w:rsidRPr="001048FE">
        <w:rPr>
          <w:lang w:val="sl-SI"/>
        </w:rPr>
        <w:t>izvajanje študij na področjih, ki jih podpira</w:t>
      </w:r>
      <w:r w:rsidRPr="001048FE">
        <w:rPr>
          <w:spacing w:val="-9"/>
          <w:lang w:val="sl-SI"/>
        </w:rPr>
        <w:t xml:space="preserve"> </w:t>
      </w:r>
      <w:r w:rsidRPr="001048FE">
        <w:rPr>
          <w:lang w:val="sl-SI"/>
        </w:rPr>
        <w:t>Program;</w:t>
      </w:r>
    </w:p>
    <w:p w14:paraId="7D398649" w14:textId="77777777" w:rsidR="00E03711" w:rsidRPr="001048FE" w:rsidRDefault="00E03711" w:rsidP="005115F2">
      <w:pPr>
        <w:pStyle w:val="Guide-NormalBulletpoints"/>
        <w:numPr>
          <w:ilvl w:val="0"/>
          <w:numId w:val="172"/>
        </w:numPr>
        <w:rPr>
          <w:lang w:val="sl-SI"/>
        </w:rPr>
      </w:pPr>
      <w:r w:rsidRPr="001048FE">
        <w:rPr>
          <w:lang w:val="sl-SI"/>
        </w:rPr>
        <w:t>izvajanje raziskav in aktivnosti, ki temeljijo na dejstvih, prek omrežja Eurydice;</w:t>
      </w:r>
    </w:p>
    <w:p w14:paraId="7D39864A" w14:textId="77777777" w:rsidR="00E03711" w:rsidRPr="001048FE" w:rsidRDefault="00E03711" w:rsidP="005115F2">
      <w:pPr>
        <w:pStyle w:val="Guide-NormalBulletpoints"/>
        <w:numPr>
          <w:ilvl w:val="0"/>
          <w:numId w:val="172"/>
        </w:numPr>
        <w:rPr>
          <w:lang w:val="sl-SI"/>
        </w:rPr>
      </w:pPr>
      <w:r w:rsidRPr="001048FE">
        <w:rPr>
          <w:lang w:val="sl-SI"/>
        </w:rPr>
        <w:t>krepitev prepoznavnosti in sistemskega učinka Programa z razširjanjem in uporabo rezultatov Programa;</w:t>
      </w:r>
    </w:p>
    <w:p w14:paraId="7D39864B" w14:textId="77777777" w:rsidR="00E03711" w:rsidRPr="001048FE" w:rsidRDefault="00E03711" w:rsidP="005115F2">
      <w:pPr>
        <w:pStyle w:val="Guide-NormalBulletpoints"/>
        <w:numPr>
          <w:ilvl w:val="0"/>
          <w:numId w:val="172"/>
        </w:numPr>
        <w:rPr>
          <w:lang w:val="sl-SI"/>
        </w:rPr>
      </w:pPr>
      <w:r w:rsidRPr="001048FE">
        <w:rPr>
          <w:lang w:val="sl-SI"/>
        </w:rPr>
        <w:t>zagotavljanje pogodbenega upravljanja in financiranja organov ter omrežij, ki jih podpira program Erasmus+;</w:t>
      </w:r>
    </w:p>
    <w:p w14:paraId="7D39864C" w14:textId="77777777" w:rsidR="00E03711" w:rsidRPr="001048FE" w:rsidRDefault="00E03711" w:rsidP="005115F2">
      <w:pPr>
        <w:pStyle w:val="Guide-NormalBulletpoints"/>
        <w:numPr>
          <w:ilvl w:val="0"/>
          <w:numId w:val="172"/>
        </w:numPr>
        <w:rPr>
          <w:lang w:val="sl-SI"/>
        </w:rPr>
      </w:pPr>
      <w:r w:rsidRPr="001048FE">
        <w:rPr>
          <w:lang w:val="sl-SI"/>
        </w:rPr>
        <w:t>upravljanje povabil k oddaji ponudb za zagotavljanje storitev v okviru Programa.</w:t>
      </w:r>
    </w:p>
    <w:p w14:paraId="7D39864D" w14:textId="77777777" w:rsidR="00E03711" w:rsidRPr="001048FE" w:rsidRDefault="00E03711" w:rsidP="0030441A">
      <w:pPr>
        <w:pStyle w:val="Guide-Heading3"/>
        <w:rPr>
          <w:lang w:val="sl-SI"/>
        </w:rPr>
      </w:pPr>
      <w:bookmarkStart w:id="74" w:name="Les_agences_nationales"/>
      <w:bookmarkStart w:id="75" w:name="_bookmark17"/>
      <w:bookmarkStart w:id="76" w:name="_Toc527400900"/>
      <w:bookmarkStart w:id="77" w:name="_Toc527401095"/>
      <w:bookmarkEnd w:id="74"/>
      <w:bookmarkEnd w:id="75"/>
      <w:r w:rsidRPr="001048FE">
        <w:rPr>
          <w:lang w:val="sl-SI"/>
        </w:rPr>
        <w:t>Nacionalne agencije</w:t>
      </w:r>
      <w:bookmarkEnd w:id="76"/>
      <w:bookmarkEnd w:id="77"/>
    </w:p>
    <w:p w14:paraId="7D39864E" w14:textId="77777777" w:rsidR="00E03711" w:rsidRPr="001048FE" w:rsidRDefault="00E03711" w:rsidP="00995E90">
      <w:pPr>
        <w:pStyle w:val="GUIDE-NORMAL"/>
        <w:rPr>
          <w:lang w:val="sl-SI"/>
        </w:rPr>
      </w:pPr>
      <w:r w:rsidRPr="001048FE">
        <w:rPr>
          <w:lang w:val="sl-SI"/>
        </w:rPr>
        <w:t>Program</w:t>
      </w:r>
      <w:r w:rsidRPr="001048FE">
        <w:rPr>
          <w:spacing w:val="-15"/>
          <w:lang w:val="sl-SI"/>
        </w:rPr>
        <w:t xml:space="preserve"> </w:t>
      </w:r>
      <w:r w:rsidRPr="001048FE">
        <w:rPr>
          <w:lang w:val="sl-SI"/>
        </w:rPr>
        <w:t>Erasmus+</w:t>
      </w:r>
      <w:r w:rsidRPr="001048FE">
        <w:rPr>
          <w:spacing w:val="-15"/>
          <w:lang w:val="sl-SI"/>
        </w:rPr>
        <w:t xml:space="preserve"> </w:t>
      </w:r>
      <w:r w:rsidRPr="001048FE">
        <w:rPr>
          <w:lang w:val="sl-SI"/>
        </w:rPr>
        <w:t>se</w:t>
      </w:r>
      <w:r w:rsidRPr="001048FE">
        <w:rPr>
          <w:spacing w:val="-15"/>
          <w:lang w:val="sl-SI"/>
        </w:rPr>
        <w:t xml:space="preserve"> </w:t>
      </w:r>
      <w:r w:rsidRPr="001048FE">
        <w:rPr>
          <w:lang w:val="sl-SI"/>
        </w:rPr>
        <w:t>izvaja</w:t>
      </w:r>
      <w:r w:rsidRPr="001048FE">
        <w:rPr>
          <w:spacing w:val="-15"/>
          <w:lang w:val="sl-SI"/>
        </w:rPr>
        <w:t xml:space="preserve"> </w:t>
      </w:r>
      <w:r w:rsidRPr="001048FE">
        <w:rPr>
          <w:lang w:val="sl-SI"/>
        </w:rPr>
        <w:t>predvsem</w:t>
      </w:r>
      <w:r w:rsidRPr="001048FE">
        <w:rPr>
          <w:spacing w:val="-15"/>
          <w:lang w:val="sl-SI"/>
        </w:rPr>
        <w:t xml:space="preserve"> </w:t>
      </w:r>
      <w:r w:rsidRPr="001048FE">
        <w:rPr>
          <w:lang w:val="sl-SI"/>
        </w:rPr>
        <w:t>s</w:t>
      </w:r>
      <w:r w:rsidRPr="001048FE">
        <w:rPr>
          <w:spacing w:val="-15"/>
          <w:lang w:val="sl-SI"/>
        </w:rPr>
        <w:t xml:space="preserve"> </w:t>
      </w:r>
      <w:r w:rsidRPr="001048FE">
        <w:rPr>
          <w:lang w:val="sl-SI"/>
        </w:rPr>
        <w:t>posrednim</w:t>
      </w:r>
      <w:r w:rsidRPr="001048FE">
        <w:rPr>
          <w:spacing w:val="-15"/>
          <w:lang w:val="sl-SI"/>
        </w:rPr>
        <w:t xml:space="preserve"> </w:t>
      </w:r>
      <w:r w:rsidRPr="001048FE">
        <w:rPr>
          <w:lang w:val="sl-SI"/>
        </w:rPr>
        <w:t>upravljanjem,</w:t>
      </w:r>
      <w:r w:rsidRPr="001048FE">
        <w:rPr>
          <w:spacing w:val="-15"/>
          <w:lang w:val="sl-SI"/>
        </w:rPr>
        <w:t xml:space="preserve"> </w:t>
      </w:r>
      <w:r w:rsidRPr="001048FE">
        <w:rPr>
          <w:lang w:val="sl-SI"/>
        </w:rPr>
        <w:t>kar</w:t>
      </w:r>
      <w:r w:rsidRPr="001048FE">
        <w:rPr>
          <w:spacing w:val="-15"/>
          <w:lang w:val="sl-SI"/>
        </w:rPr>
        <w:t xml:space="preserve"> </w:t>
      </w:r>
      <w:r w:rsidRPr="001048FE">
        <w:rPr>
          <w:lang w:val="sl-SI"/>
        </w:rPr>
        <w:t>pomeni,</w:t>
      </w:r>
      <w:r w:rsidRPr="001048FE">
        <w:rPr>
          <w:spacing w:val="-15"/>
          <w:lang w:val="sl-SI"/>
        </w:rPr>
        <w:t xml:space="preserve"> </w:t>
      </w:r>
      <w:r w:rsidRPr="001048FE">
        <w:rPr>
          <w:lang w:val="sl-SI"/>
        </w:rPr>
        <w:t>da</w:t>
      </w:r>
      <w:r w:rsidRPr="001048FE">
        <w:rPr>
          <w:spacing w:val="-15"/>
          <w:lang w:val="sl-SI"/>
        </w:rPr>
        <w:t xml:space="preserve"> </w:t>
      </w:r>
      <w:r w:rsidRPr="001048FE">
        <w:rPr>
          <w:lang w:val="sl-SI"/>
        </w:rPr>
        <w:t>Evropska</w:t>
      </w:r>
      <w:r w:rsidRPr="001048FE">
        <w:rPr>
          <w:spacing w:val="-15"/>
          <w:lang w:val="sl-SI"/>
        </w:rPr>
        <w:t xml:space="preserve"> </w:t>
      </w:r>
      <w:r w:rsidRPr="001048FE">
        <w:rPr>
          <w:lang w:val="sl-SI"/>
        </w:rPr>
        <w:t>komisija zaupa</w:t>
      </w:r>
      <w:r w:rsidRPr="001048FE">
        <w:rPr>
          <w:spacing w:val="-15"/>
          <w:lang w:val="sl-SI"/>
        </w:rPr>
        <w:t xml:space="preserve"> </w:t>
      </w:r>
      <w:r w:rsidRPr="001048FE">
        <w:rPr>
          <w:lang w:val="sl-SI"/>
        </w:rPr>
        <w:t>naloge</w:t>
      </w:r>
      <w:r w:rsidRPr="001048FE">
        <w:rPr>
          <w:spacing w:val="-15"/>
          <w:lang w:val="sl-SI"/>
        </w:rPr>
        <w:t xml:space="preserve"> </w:t>
      </w:r>
      <w:r w:rsidRPr="001048FE">
        <w:rPr>
          <w:lang w:val="sl-SI"/>
        </w:rPr>
        <w:t>izvrševanja</w:t>
      </w:r>
      <w:r w:rsidRPr="001048FE">
        <w:rPr>
          <w:spacing w:val="-15"/>
          <w:lang w:val="sl-SI"/>
        </w:rPr>
        <w:t xml:space="preserve"> </w:t>
      </w:r>
      <w:r w:rsidRPr="001048FE">
        <w:rPr>
          <w:lang w:val="sl-SI"/>
        </w:rPr>
        <w:t>proračuna</w:t>
      </w:r>
      <w:r w:rsidRPr="001048FE">
        <w:rPr>
          <w:spacing w:val="-15"/>
          <w:lang w:val="sl-SI"/>
        </w:rPr>
        <w:t xml:space="preserve"> </w:t>
      </w:r>
      <w:r w:rsidRPr="001048FE">
        <w:rPr>
          <w:lang w:val="sl-SI"/>
        </w:rPr>
        <w:t>nacionalnim</w:t>
      </w:r>
      <w:r w:rsidRPr="001048FE">
        <w:rPr>
          <w:spacing w:val="-15"/>
          <w:lang w:val="sl-SI"/>
        </w:rPr>
        <w:t xml:space="preserve"> </w:t>
      </w:r>
      <w:r w:rsidRPr="001048FE">
        <w:rPr>
          <w:lang w:val="sl-SI"/>
        </w:rPr>
        <w:t>agencijam;</w:t>
      </w:r>
      <w:r w:rsidRPr="001048FE">
        <w:rPr>
          <w:spacing w:val="-15"/>
          <w:lang w:val="sl-SI"/>
        </w:rPr>
        <w:t xml:space="preserve"> </w:t>
      </w:r>
      <w:r w:rsidRPr="001048FE">
        <w:rPr>
          <w:lang w:val="sl-SI"/>
        </w:rPr>
        <w:t>razlog</w:t>
      </w:r>
      <w:r w:rsidRPr="001048FE">
        <w:rPr>
          <w:spacing w:val="-15"/>
          <w:lang w:val="sl-SI"/>
        </w:rPr>
        <w:t xml:space="preserve"> </w:t>
      </w:r>
      <w:r w:rsidRPr="001048FE">
        <w:rPr>
          <w:lang w:val="sl-SI"/>
        </w:rPr>
        <w:t>za</w:t>
      </w:r>
      <w:r w:rsidRPr="001048FE">
        <w:rPr>
          <w:spacing w:val="-15"/>
          <w:lang w:val="sl-SI"/>
        </w:rPr>
        <w:t xml:space="preserve"> </w:t>
      </w:r>
      <w:r w:rsidRPr="001048FE">
        <w:rPr>
          <w:lang w:val="sl-SI"/>
        </w:rPr>
        <w:t>ta</w:t>
      </w:r>
      <w:r w:rsidRPr="001048FE">
        <w:rPr>
          <w:spacing w:val="-15"/>
          <w:lang w:val="sl-SI"/>
        </w:rPr>
        <w:t xml:space="preserve"> </w:t>
      </w:r>
      <w:r w:rsidRPr="001048FE">
        <w:rPr>
          <w:lang w:val="sl-SI"/>
        </w:rPr>
        <w:t>pristop</w:t>
      </w:r>
      <w:r w:rsidRPr="001048FE">
        <w:rPr>
          <w:spacing w:val="-15"/>
          <w:lang w:val="sl-SI"/>
        </w:rPr>
        <w:t xml:space="preserve"> </w:t>
      </w:r>
      <w:r w:rsidRPr="001048FE">
        <w:rPr>
          <w:lang w:val="sl-SI"/>
        </w:rPr>
        <w:t>je,</w:t>
      </w:r>
      <w:r w:rsidRPr="001048FE">
        <w:rPr>
          <w:spacing w:val="-15"/>
          <w:lang w:val="sl-SI"/>
        </w:rPr>
        <w:t xml:space="preserve"> </w:t>
      </w:r>
      <w:r w:rsidRPr="001048FE">
        <w:rPr>
          <w:lang w:val="sl-SI"/>
        </w:rPr>
        <w:t>da</w:t>
      </w:r>
      <w:r w:rsidRPr="001048FE">
        <w:rPr>
          <w:spacing w:val="-15"/>
          <w:lang w:val="sl-SI"/>
        </w:rPr>
        <w:t xml:space="preserve"> </w:t>
      </w:r>
      <w:r w:rsidRPr="001048FE">
        <w:rPr>
          <w:lang w:val="sl-SI"/>
        </w:rPr>
        <w:t>se</w:t>
      </w:r>
      <w:r w:rsidRPr="001048FE">
        <w:rPr>
          <w:spacing w:val="-15"/>
          <w:lang w:val="sl-SI"/>
        </w:rPr>
        <w:t xml:space="preserve"> </w:t>
      </w:r>
      <w:r w:rsidRPr="001048FE">
        <w:rPr>
          <w:lang w:val="sl-SI"/>
        </w:rPr>
        <w:t>Erasmus+ čim bolj približa upravičencem in prilagodi raznolikosti nacionalnih sistemov na področju izobraževanja,</w:t>
      </w:r>
      <w:r w:rsidRPr="001048FE">
        <w:rPr>
          <w:spacing w:val="-21"/>
          <w:lang w:val="sl-SI"/>
        </w:rPr>
        <w:t xml:space="preserve"> </w:t>
      </w:r>
      <w:r w:rsidRPr="001048FE">
        <w:rPr>
          <w:lang w:val="sl-SI"/>
        </w:rPr>
        <w:t>usposabljanja</w:t>
      </w:r>
      <w:r w:rsidRPr="001048FE">
        <w:rPr>
          <w:spacing w:val="-21"/>
          <w:lang w:val="sl-SI"/>
        </w:rPr>
        <w:t xml:space="preserve"> </w:t>
      </w:r>
      <w:r w:rsidRPr="001048FE">
        <w:rPr>
          <w:lang w:val="sl-SI"/>
        </w:rPr>
        <w:t>in</w:t>
      </w:r>
      <w:r w:rsidRPr="001048FE">
        <w:rPr>
          <w:spacing w:val="-21"/>
          <w:lang w:val="sl-SI"/>
        </w:rPr>
        <w:t xml:space="preserve"> </w:t>
      </w:r>
      <w:r w:rsidRPr="001048FE">
        <w:rPr>
          <w:lang w:val="sl-SI"/>
        </w:rPr>
        <w:t>mladine.</w:t>
      </w:r>
      <w:r w:rsidRPr="001048FE">
        <w:rPr>
          <w:spacing w:val="-21"/>
          <w:lang w:val="sl-SI"/>
        </w:rPr>
        <w:t xml:space="preserve"> </w:t>
      </w:r>
      <w:r w:rsidRPr="001048FE">
        <w:rPr>
          <w:lang w:val="sl-SI"/>
        </w:rPr>
        <w:t>V</w:t>
      </w:r>
      <w:r w:rsidRPr="001048FE">
        <w:rPr>
          <w:spacing w:val="-21"/>
          <w:lang w:val="sl-SI"/>
        </w:rPr>
        <w:t xml:space="preserve"> </w:t>
      </w:r>
      <w:r w:rsidRPr="001048FE">
        <w:rPr>
          <w:lang w:val="sl-SI"/>
        </w:rPr>
        <w:t>ta</w:t>
      </w:r>
      <w:r w:rsidRPr="001048FE">
        <w:rPr>
          <w:spacing w:val="-21"/>
          <w:lang w:val="sl-SI"/>
        </w:rPr>
        <w:t xml:space="preserve"> </w:t>
      </w:r>
      <w:r w:rsidRPr="001048FE">
        <w:rPr>
          <w:lang w:val="sl-SI"/>
        </w:rPr>
        <w:t>namen</w:t>
      </w:r>
      <w:r w:rsidRPr="001048FE">
        <w:rPr>
          <w:spacing w:val="-21"/>
          <w:lang w:val="sl-SI"/>
        </w:rPr>
        <w:t xml:space="preserve"> </w:t>
      </w:r>
      <w:r w:rsidRPr="001048FE">
        <w:rPr>
          <w:lang w:val="sl-SI"/>
        </w:rPr>
        <w:t>je</w:t>
      </w:r>
      <w:r w:rsidRPr="001048FE">
        <w:rPr>
          <w:spacing w:val="-21"/>
          <w:lang w:val="sl-SI"/>
        </w:rPr>
        <w:t xml:space="preserve"> </w:t>
      </w:r>
      <w:r w:rsidRPr="001048FE">
        <w:rPr>
          <w:lang w:val="sl-SI"/>
        </w:rPr>
        <w:t>vsaka</w:t>
      </w:r>
      <w:r w:rsidRPr="001048FE">
        <w:rPr>
          <w:spacing w:val="-21"/>
          <w:lang w:val="sl-SI"/>
        </w:rPr>
        <w:t xml:space="preserve"> </w:t>
      </w:r>
      <w:r w:rsidRPr="001048FE">
        <w:rPr>
          <w:lang w:val="sl-SI"/>
        </w:rPr>
        <w:t>država</w:t>
      </w:r>
      <w:r w:rsidRPr="001048FE">
        <w:rPr>
          <w:spacing w:val="-21"/>
          <w:lang w:val="sl-SI"/>
        </w:rPr>
        <w:t xml:space="preserve"> </w:t>
      </w:r>
      <w:r w:rsidRPr="001048FE">
        <w:rPr>
          <w:lang w:val="sl-SI"/>
        </w:rPr>
        <w:t>Programa</w:t>
      </w:r>
      <w:r w:rsidRPr="001048FE">
        <w:rPr>
          <w:spacing w:val="-21"/>
          <w:lang w:val="sl-SI"/>
        </w:rPr>
        <w:t xml:space="preserve"> </w:t>
      </w:r>
      <w:r w:rsidRPr="001048FE">
        <w:rPr>
          <w:lang w:val="sl-SI"/>
        </w:rPr>
        <w:t>imenovala</w:t>
      </w:r>
      <w:r w:rsidRPr="001048FE">
        <w:rPr>
          <w:spacing w:val="-21"/>
          <w:lang w:val="sl-SI"/>
        </w:rPr>
        <w:t xml:space="preserve"> </w:t>
      </w:r>
      <w:r w:rsidRPr="001048FE">
        <w:rPr>
          <w:lang w:val="sl-SI"/>
        </w:rPr>
        <w:t>eno</w:t>
      </w:r>
      <w:r w:rsidRPr="001048FE">
        <w:rPr>
          <w:spacing w:val="-21"/>
          <w:lang w:val="sl-SI"/>
        </w:rPr>
        <w:t xml:space="preserve"> </w:t>
      </w:r>
      <w:r w:rsidRPr="001048FE">
        <w:rPr>
          <w:lang w:val="sl-SI"/>
        </w:rPr>
        <w:t>ali</w:t>
      </w:r>
      <w:r w:rsidRPr="001048FE">
        <w:rPr>
          <w:spacing w:val="-21"/>
          <w:lang w:val="sl-SI"/>
        </w:rPr>
        <w:t xml:space="preserve"> </w:t>
      </w:r>
      <w:r w:rsidRPr="001048FE">
        <w:rPr>
          <w:lang w:val="sl-SI"/>
        </w:rPr>
        <w:t>več nacionalnih agencij (za kontaktne podatke glej Prilogo IV k temu vodniku). Te nacionalne agencije spodbujajo</w:t>
      </w:r>
      <w:r w:rsidRPr="001048FE">
        <w:rPr>
          <w:spacing w:val="-9"/>
          <w:lang w:val="sl-SI"/>
        </w:rPr>
        <w:t xml:space="preserve"> </w:t>
      </w:r>
      <w:r w:rsidRPr="001048FE">
        <w:rPr>
          <w:lang w:val="sl-SI"/>
        </w:rPr>
        <w:t>in</w:t>
      </w:r>
      <w:r w:rsidRPr="001048FE">
        <w:rPr>
          <w:spacing w:val="-9"/>
          <w:lang w:val="sl-SI"/>
        </w:rPr>
        <w:t xml:space="preserve"> </w:t>
      </w:r>
      <w:r w:rsidRPr="001048FE">
        <w:rPr>
          <w:lang w:val="sl-SI"/>
        </w:rPr>
        <w:t>izvajajo</w:t>
      </w:r>
      <w:r w:rsidRPr="001048FE">
        <w:rPr>
          <w:spacing w:val="-9"/>
          <w:lang w:val="sl-SI"/>
        </w:rPr>
        <w:t xml:space="preserve"> </w:t>
      </w:r>
      <w:r w:rsidRPr="001048FE">
        <w:rPr>
          <w:lang w:val="sl-SI"/>
        </w:rPr>
        <w:t>Program</w:t>
      </w:r>
      <w:r w:rsidRPr="001048FE">
        <w:rPr>
          <w:spacing w:val="-9"/>
          <w:lang w:val="sl-SI"/>
        </w:rPr>
        <w:t xml:space="preserve"> </w:t>
      </w:r>
      <w:r w:rsidRPr="001048FE">
        <w:rPr>
          <w:lang w:val="sl-SI"/>
        </w:rPr>
        <w:t>na</w:t>
      </w:r>
      <w:r w:rsidRPr="001048FE">
        <w:rPr>
          <w:spacing w:val="-9"/>
          <w:lang w:val="sl-SI"/>
        </w:rPr>
        <w:t xml:space="preserve"> </w:t>
      </w:r>
      <w:r w:rsidRPr="001048FE">
        <w:rPr>
          <w:lang w:val="sl-SI"/>
        </w:rPr>
        <w:t>nacionalni</w:t>
      </w:r>
      <w:r w:rsidRPr="001048FE">
        <w:rPr>
          <w:spacing w:val="-9"/>
          <w:lang w:val="sl-SI"/>
        </w:rPr>
        <w:t xml:space="preserve"> </w:t>
      </w:r>
      <w:r w:rsidRPr="001048FE">
        <w:rPr>
          <w:lang w:val="sl-SI"/>
        </w:rPr>
        <w:t>ravni</w:t>
      </w:r>
      <w:r w:rsidRPr="001048FE">
        <w:rPr>
          <w:spacing w:val="-9"/>
          <w:lang w:val="sl-SI"/>
        </w:rPr>
        <w:t xml:space="preserve"> </w:t>
      </w:r>
      <w:r w:rsidRPr="001048FE">
        <w:rPr>
          <w:lang w:val="sl-SI"/>
        </w:rPr>
        <w:t>ter</w:t>
      </w:r>
      <w:r w:rsidRPr="001048FE">
        <w:rPr>
          <w:spacing w:val="-9"/>
          <w:lang w:val="sl-SI"/>
        </w:rPr>
        <w:t xml:space="preserve"> </w:t>
      </w:r>
      <w:r w:rsidRPr="001048FE">
        <w:rPr>
          <w:lang w:val="sl-SI"/>
        </w:rPr>
        <w:t>delujejo</w:t>
      </w:r>
      <w:r w:rsidRPr="001048FE">
        <w:rPr>
          <w:spacing w:val="-9"/>
          <w:lang w:val="sl-SI"/>
        </w:rPr>
        <w:t xml:space="preserve"> </w:t>
      </w:r>
      <w:r w:rsidRPr="001048FE">
        <w:rPr>
          <w:lang w:val="sl-SI"/>
        </w:rPr>
        <w:t>kot</w:t>
      </w:r>
      <w:r w:rsidRPr="001048FE">
        <w:rPr>
          <w:spacing w:val="-9"/>
          <w:lang w:val="sl-SI"/>
        </w:rPr>
        <w:t xml:space="preserve"> </w:t>
      </w:r>
      <w:r w:rsidRPr="001048FE">
        <w:rPr>
          <w:lang w:val="sl-SI"/>
        </w:rPr>
        <w:t>vezni</w:t>
      </w:r>
      <w:r w:rsidRPr="001048FE">
        <w:rPr>
          <w:spacing w:val="-9"/>
          <w:lang w:val="sl-SI"/>
        </w:rPr>
        <w:t xml:space="preserve"> </w:t>
      </w:r>
      <w:r w:rsidRPr="001048FE">
        <w:rPr>
          <w:lang w:val="sl-SI"/>
        </w:rPr>
        <w:t>člen</w:t>
      </w:r>
      <w:r w:rsidRPr="001048FE">
        <w:rPr>
          <w:spacing w:val="-9"/>
          <w:lang w:val="sl-SI"/>
        </w:rPr>
        <w:t xml:space="preserve"> </w:t>
      </w:r>
      <w:r w:rsidRPr="001048FE">
        <w:rPr>
          <w:lang w:val="sl-SI"/>
        </w:rPr>
        <w:t>med</w:t>
      </w:r>
      <w:r w:rsidRPr="001048FE">
        <w:rPr>
          <w:spacing w:val="-9"/>
          <w:lang w:val="sl-SI"/>
        </w:rPr>
        <w:t xml:space="preserve"> </w:t>
      </w:r>
      <w:r w:rsidRPr="001048FE">
        <w:rPr>
          <w:lang w:val="sl-SI"/>
        </w:rPr>
        <w:t>Evropsko</w:t>
      </w:r>
      <w:r w:rsidRPr="001048FE">
        <w:rPr>
          <w:spacing w:val="-9"/>
          <w:lang w:val="sl-SI"/>
        </w:rPr>
        <w:t xml:space="preserve"> </w:t>
      </w:r>
      <w:r w:rsidRPr="001048FE">
        <w:rPr>
          <w:lang w:val="sl-SI"/>
        </w:rPr>
        <w:t>komisijo in sodelujočimi organizacijami na lokalni, regionalni in nacionalni ravni. Njihova naloga</w:t>
      </w:r>
      <w:r w:rsidRPr="001048FE">
        <w:rPr>
          <w:spacing w:val="-22"/>
          <w:lang w:val="sl-SI"/>
        </w:rPr>
        <w:t xml:space="preserve"> </w:t>
      </w:r>
      <w:r w:rsidRPr="001048FE">
        <w:rPr>
          <w:lang w:val="sl-SI"/>
        </w:rPr>
        <w:t>je:</w:t>
      </w:r>
    </w:p>
    <w:p w14:paraId="7D39864F" w14:textId="77777777" w:rsidR="00E03711" w:rsidRPr="001048FE" w:rsidRDefault="00E03711" w:rsidP="005115F2">
      <w:pPr>
        <w:pStyle w:val="Guide-NormalBulletpoints"/>
        <w:numPr>
          <w:ilvl w:val="0"/>
          <w:numId w:val="173"/>
        </w:numPr>
        <w:rPr>
          <w:lang w:val="sl-SI"/>
        </w:rPr>
      </w:pPr>
      <w:r w:rsidRPr="001048FE">
        <w:rPr>
          <w:lang w:val="sl-SI"/>
        </w:rPr>
        <w:t>zagotavljati ustrezne informacije o programu Erasmus+;</w:t>
      </w:r>
    </w:p>
    <w:p w14:paraId="7D398650" w14:textId="77777777" w:rsidR="00E03711" w:rsidRPr="001048FE" w:rsidRDefault="00E03711" w:rsidP="005115F2">
      <w:pPr>
        <w:pStyle w:val="Guide-NormalBulletpoints"/>
        <w:numPr>
          <w:ilvl w:val="0"/>
          <w:numId w:val="173"/>
        </w:numPr>
        <w:rPr>
          <w:lang w:val="sl-SI"/>
        </w:rPr>
      </w:pPr>
      <w:r w:rsidRPr="001048FE">
        <w:rPr>
          <w:lang w:val="sl-SI"/>
        </w:rPr>
        <w:t>voditi pravičen in pregleden postopek izbora za vloge projektov, ki bodo prejele sredstva v njihovi državi;</w:t>
      </w:r>
    </w:p>
    <w:p w14:paraId="7D398651" w14:textId="77777777" w:rsidR="00E03711" w:rsidRPr="001048FE" w:rsidRDefault="00E03711" w:rsidP="005115F2">
      <w:pPr>
        <w:pStyle w:val="Guide-NormalBulletpoints"/>
        <w:numPr>
          <w:ilvl w:val="0"/>
          <w:numId w:val="173"/>
        </w:numPr>
        <w:rPr>
          <w:lang w:val="sl-SI"/>
        </w:rPr>
      </w:pPr>
      <w:r w:rsidRPr="001048FE">
        <w:rPr>
          <w:lang w:val="sl-SI"/>
        </w:rPr>
        <w:t>spremljati in oceniti izvajanje Programa v svoji državi;</w:t>
      </w:r>
    </w:p>
    <w:p w14:paraId="7D398652" w14:textId="77777777" w:rsidR="00E03711" w:rsidRPr="001048FE" w:rsidRDefault="00E03711" w:rsidP="005115F2">
      <w:pPr>
        <w:pStyle w:val="Guide-NormalBulletpoints"/>
        <w:numPr>
          <w:ilvl w:val="0"/>
          <w:numId w:val="173"/>
        </w:numPr>
        <w:rPr>
          <w:lang w:val="sl-SI"/>
        </w:rPr>
      </w:pPr>
      <w:r w:rsidRPr="001048FE">
        <w:rPr>
          <w:lang w:val="sl-SI"/>
        </w:rPr>
        <w:t>zagotavljati podporo prijaviteljem projektov in sodelujočim organizacijam med celotnim življenjskim ciklom projekta;</w:t>
      </w:r>
    </w:p>
    <w:p w14:paraId="7D398653" w14:textId="77777777" w:rsidR="00E03711" w:rsidRPr="001048FE" w:rsidRDefault="00E03711" w:rsidP="005115F2">
      <w:pPr>
        <w:pStyle w:val="Guide-NormalBulletpoints"/>
        <w:numPr>
          <w:ilvl w:val="0"/>
          <w:numId w:val="173"/>
        </w:numPr>
        <w:rPr>
          <w:lang w:val="sl-SI"/>
        </w:rPr>
      </w:pPr>
      <w:r w:rsidRPr="001048FE">
        <w:rPr>
          <w:lang w:val="sl-SI"/>
        </w:rPr>
        <w:t>učinkovito</w:t>
      </w:r>
      <w:r w:rsidRPr="001048FE">
        <w:rPr>
          <w:spacing w:val="-14"/>
          <w:lang w:val="sl-SI"/>
        </w:rPr>
        <w:t xml:space="preserve"> </w:t>
      </w:r>
      <w:r w:rsidRPr="001048FE">
        <w:rPr>
          <w:lang w:val="sl-SI"/>
        </w:rPr>
        <w:t>sodelovati</w:t>
      </w:r>
      <w:r w:rsidRPr="001048FE">
        <w:rPr>
          <w:spacing w:val="-14"/>
          <w:lang w:val="sl-SI"/>
        </w:rPr>
        <w:t xml:space="preserve"> </w:t>
      </w:r>
      <w:r w:rsidRPr="001048FE">
        <w:rPr>
          <w:lang w:val="sl-SI"/>
        </w:rPr>
        <w:t>z</w:t>
      </w:r>
      <w:r w:rsidRPr="001048FE">
        <w:rPr>
          <w:spacing w:val="-14"/>
          <w:lang w:val="sl-SI"/>
        </w:rPr>
        <w:t xml:space="preserve"> </w:t>
      </w:r>
      <w:r w:rsidRPr="001048FE">
        <w:rPr>
          <w:lang w:val="sl-SI"/>
        </w:rPr>
        <w:t>omrežjem</w:t>
      </w:r>
      <w:r w:rsidRPr="001048FE">
        <w:rPr>
          <w:spacing w:val="-13"/>
          <w:lang w:val="sl-SI"/>
        </w:rPr>
        <w:t xml:space="preserve"> </w:t>
      </w:r>
      <w:r w:rsidRPr="001048FE">
        <w:rPr>
          <w:lang w:val="sl-SI"/>
        </w:rPr>
        <w:t>vseh</w:t>
      </w:r>
      <w:r w:rsidRPr="001048FE">
        <w:rPr>
          <w:spacing w:val="-14"/>
          <w:lang w:val="sl-SI"/>
        </w:rPr>
        <w:t xml:space="preserve"> </w:t>
      </w:r>
      <w:r w:rsidRPr="001048FE">
        <w:rPr>
          <w:lang w:val="sl-SI"/>
        </w:rPr>
        <w:t>nacionalnih</w:t>
      </w:r>
      <w:r w:rsidRPr="001048FE">
        <w:rPr>
          <w:spacing w:val="-14"/>
          <w:lang w:val="sl-SI"/>
        </w:rPr>
        <w:t xml:space="preserve"> </w:t>
      </w:r>
      <w:r w:rsidRPr="001048FE">
        <w:rPr>
          <w:lang w:val="sl-SI"/>
        </w:rPr>
        <w:t>agencij</w:t>
      </w:r>
      <w:r w:rsidRPr="001048FE">
        <w:rPr>
          <w:spacing w:val="-14"/>
          <w:lang w:val="sl-SI"/>
        </w:rPr>
        <w:t xml:space="preserve"> </w:t>
      </w:r>
      <w:r w:rsidRPr="001048FE">
        <w:rPr>
          <w:lang w:val="sl-SI"/>
        </w:rPr>
        <w:t>in</w:t>
      </w:r>
      <w:r w:rsidRPr="001048FE">
        <w:rPr>
          <w:spacing w:val="-14"/>
          <w:lang w:val="sl-SI"/>
        </w:rPr>
        <w:t xml:space="preserve"> </w:t>
      </w:r>
      <w:r w:rsidRPr="001048FE">
        <w:rPr>
          <w:lang w:val="sl-SI"/>
        </w:rPr>
        <w:t>Evropsko</w:t>
      </w:r>
      <w:r w:rsidRPr="001048FE">
        <w:rPr>
          <w:spacing w:val="-14"/>
          <w:lang w:val="sl-SI"/>
        </w:rPr>
        <w:t xml:space="preserve"> </w:t>
      </w:r>
      <w:r w:rsidRPr="001048FE">
        <w:rPr>
          <w:lang w:val="sl-SI"/>
        </w:rPr>
        <w:t xml:space="preserve">komisijo; </w:t>
      </w:r>
    </w:p>
    <w:p w14:paraId="7D398654" w14:textId="77777777" w:rsidR="00E03711" w:rsidRPr="001048FE" w:rsidRDefault="00E03711" w:rsidP="005115F2">
      <w:pPr>
        <w:pStyle w:val="Guide-NormalBulletpoints"/>
        <w:numPr>
          <w:ilvl w:val="0"/>
          <w:numId w:val="173"/>
        </w:numPr>
        <w:rPr>
          <w:lang w:val="sl-SI"/>
        </w:rPr>
      </w:pPr>
      <w:r w:rsidRPr="001048FE">
        <w:rPr>
          <w:lang w:val="sl-SI"/>
        </w:rPr>
        <w:t>zagotoviti prepoznavnost</w:t>
      </w:r>
      <w:r w:rsidRPr="001048FE">
        <w:rPr>
          <w:spacing w:val="-7"/>
          <w:lang w:val="sl-SI"/>
        </w:rPr>
        <w:t xml:space="preserve"> </w:t>
      </w:r>
      <w:r w:rsidRPr="001048FE">
        <w:rPr>
          <w:lang w:val="sl-SI"/>
        </w:rPr>
        <w:t>Programa;</w:t>
      </w:r>
    </w:p>
    <w:p w14:paraId="7D398655" w14:textId="77777777" w:rsidR="00E03711" w:rsidRPr="001048FE" w:rsidRDefault="00E03711" w:rsidP="005115F2">
      <w:pPr>
        <w:pStyle w:val="Guide-NormalBulletpoints"/>
        <w:numPr>
          <w:ilvl w:val="0"/>
          <w:numId w:val="173"/>
        </w:numPr>
        <w:rPr>
          <w:lang w:val="sl-SI"/>
        </w:rPr>
      </w:pPr>
      <w:r w:rsidRPr="001048FE">
        <w:rPr>
          <w:lang w:val="sl-SI"/>
        </w:rPr>
        <w:t>spodbujati razširjanje in uporabo rezultatov Programa na lokalni in nacionalni ravni.</w:t>
      </w:r>
    </w:p>
    <w:p w14:paraId="7D398656" w14:textId="77777777" w:rsidR="00E03711" w:rsidRPr="001048FE" w:rsidRDefault="00E03711" w:rsidP="00995E90">
      <w:pPr>
        <w:pStyle w:val="GUIDE-NORMAL"/>
        <w:rPr>
          <w:lang w:val="sl-SI"/>
        </w:rPr>
      </w:pPr>
      <w:r w:rsidRPr="001048FE">
        <w:rPr>
          <w:lang w:val="sl-SI"/>
        </w:rPr>
        <w:t>Nacionalne</w:t>
      </w:r>
      <w:r w:rsidRPr="001048FE">
        <w:rPr>
          <w:spacing w:val="-15"/>
          <w:lang w:val="sl-SI"/>
        </w:rPr>
        <w:t xml:space="preserve"> </w:t>
      </w:r>
      <w:r w:rsidRPr="001048FE">
        <w:rPr>
          <w:lang w:val="sl-SI"/>
        </w:rPr>
        <w:t>agencije</w:t>
      </w:r>
      <w:r w:rsidRPr="001048FE">
        <w:rPr>
          <w:spacing w:val="-15"/>
          <w:lang w:val="sl-SI"/>
        </w:rPr>
        <w:t xml:space="preserve"> </w:t>
      </w:r>
      <w:r w:rsidRPr="001048FE">
        <w:rPr>
          <w:lang w:val="sl-SI"/>
        </w:rPr>
        <w:t>imajo</w:t>
      </w:r>
      <w:r w:rsidRPr="001048FE">
        <w:rPr>
          <w:spacing w:val="-15"/>
          <w:lang w:val="sl-SI"/>
        </w:rPr>
        <w:t xml:space="preserve"> </w:t>
      </w:r>
      <w:r w:rsidRPr="001048FE">
        <w:rPr>
          <w:lang w:val="sl-SI"/>
        </w:rPr>
        <w:t>tudi</w:t>
      </w:r>
      <w:r w:rsidRPr="001048FE">
        <w:rPr>
          <w:spacing w:val="-15"/>
          <w:lang w:val="sl-SI"/>
        </w:rPr>
        <w:t xml:space="preserve"> </w:t>
      </w:r>
      <w:r w:rsidRPr="001048FE">
        <w:rPr>
          <w:lang w:val="sl-SI"/>
        </w:rPr>
        <w:t>pomembno</w:t>
      </w:r>
      <w:r w:rsidRPr="001048FE">
        <w:rPr>
          <w:spacing w:val="-15"/>
          <w:lang w:val="sl-SI"/>
        </w:rPr>
        <w:t xml:space="preserve"> </w:t>
      </w:r>
      <w:r w:rsidRPr="001048FE">
        <w:rPr>
          <w:lang w:val="sl-SI"/>
        </w:rPr>
        <w:t>vlogo</w:t>
      </w:r>
      <w:r w:rsidRPr="001048FE">
        <w:rPr>
          <w:spacing w:val="-15"/>
          <w:lang w:val="sl-SI"/>
        </w:rPr>
        <w:t xml:space="preserve"> </w:t>
      </w:r>
      <w:r w:rsidRPr="001048FE">
        <w:rPr>
          <w:lang w:val="sl-SI"/>
        </w:rPr>
        <w:t>posredniške</w:t>
      </w:r>
      <w:r w:rsidRPr="001048FE">
        <w:rPr>
          <w:spacing w:val="-15"/>
          <w:lang w:val="sl-SI"/>
        </w:rPr>
        <w:t xml:space="preserve"> </w:t>
      </w:r>
      <w:r w:rsidRPr="001048FE">
        <w:rPr>
          <w:lang w:val="sl-SI"/>
        </w:rPr>
        <w:t>strukture</w:t>
      </w:r>
      <w:r w:rsidRPr="001048FE">
        <w:rPr>
          <w:spacing w:val="-15"/>
          <w:lang w:val="sl-SI"/>
        </w:rPr>
        <w:t xml:space="preserve"> </w:t>
      </w:r>
      <w:r w:rsidRPr="001048FE">
        <w:rPr>
          <w:lang w:val="sl-SI"/>
        </w:rPr>
        <w:t>za</w:t>
      </w:r>
      <w:r w:rsidRPr="001048FE">
        <w:rPr>
          <w:spacing w:val="-15"/>
          <w:lang w:val="sl-SI"/>
        </w:rPr>
        <w:t xml:space="preserve"> </w:t>
      </w:r>
      <w:r w:rsidRPr="001048FE">
        <w:rPr>
          <w:lang w:val="sl-SI"/>
        </w:rPr>
        <w:t>kakovostni</w:t>
      </w:r>
      <w:r w:rsidRPr="001048FE">
        <w:rPr>
          <w:spacing w:val="-15"/>
          <w:lang w:val="sl-SI"/>
        </w:rPr>
        <w:t xml:space="preserve"> </w:t>
      </w:r>
      <w:r w:rsidRPr="001048FE">
        <w:rPr>
          <w:lang w:val="sl-SI"/>
        </w:rPr>
        <w:t>razvoj programa Erasmus+ tako,</w:t>
      </w:r>
      <w:r w:rsidRPr="001048FE">
        <w:rPr>
          <w:spacing w:val="-7"/>
          <w:lang w:val="sl-SI"/>
        </w:rPr>
        <w:t xml:space="preserve"> </w:t>
      </w:r>
      <w:r w:rsidRPr="001048FE">
        <w:rPr>
          <w:lang w:val="sl-SI"/>
        </w:rPr>
        <w:t>da:</w:t>
      </w:r>
    </w:p>
    <w:p w14:paraId="7D398657" w14:textId="77777777" w:rsidR="00E03711" w:rsidRPr="001048FE" w:rsidRDefault="00E03711" w:rsidP="005115F2">
      <w:pPr>
        <w:pStyle w:val="Guide-NormalBulletpoints"/>
        <w:numPr>
          <w:ilvl w:val="0"/>
          <w:numId w:val="174"/>
        </w:numPr>
        <w:rPr>
          <w:lang w:val="sl-SI"/>
        </w:rPr>
      </w:pPr>
      <w:r w:rsidRPr="001048FE">
        <w:rPr>
          <w:lang w:val="sl-SI"/>
        </w:rPr>
        <w:t>izvajajo aktivnosti – zunaj okvira nalog upravljanja življenjskega cikla projekta –, ki podpirajo kakovostno izvajanje Programa in/ali spodbujajo razvoj politik na področjih, podprtih s Programom;</w:t>
      </w:r>
    </w:p>
    <w:p w14:paraId="7D398658" w14:textId="77777777" w:rsidR="00E03711" w:rsidRPr="001048FE" w:rsidRDefault="00E03711" w:rsidP="005115F2">
      <w:pPr>
        <w:pStyle w:val="Guide-NormalBulletpoints"/>
        <w:numPr>
          <w:ilvl w:val="0"/>
          <w:numId w:val="174"/>
        </w:numPr>
        <w:rPr>
          <w:lang w:val="sl-SI"/>
        </w:rPr>
      </w:pPr>
      <w:r w:rsidRPr="001048FE">
        <w:rPr>
          <w:lang w:val="sl-SI"/>
        </w:rPr>
        <w:t>zagotavljajo</w:t>
      </w:r>
      <w:r w:rsidRPr="001048FE">
        <w:rPr>
          <w:spacing w:val="-12"/>
          <w:lang w:val="sl-SI"/>
        </w:rPr>
        <w:t xml:space="preserve"> </w:t>
      </w:r>
      <w:r w:rsidRPr="001048FE">
        <w:rPr>
          <w:lang w:val="sl-SI"/>
        </w:rPr>
        <w:t>podporni</w:t>
      </w:r>
      <w:r w:rsidRPr="001048FE">
        <w:rPr>
          <w:spacing w:val="-12"/>
          <w:lang w:val="sl-SI"/>
        </w:rPr>
        <w:t xml:space="preserve"> </w:t>
      </w:r>
      <w:r w:rsidRPr="001048FE">
        <w:rPr>
          <w:lang w:val="sl-SI"/>
        </w:rPr>
        <w:t>pristop</w:t>
      </w:r>
      <w:r w:rsidRPr="001048FE">
        <w:rPr>
          <w:spacing w:val="-12"/>
          <w:lang w:val="sl-SI"/>
        </w:rPr>
        <w:t xml:space="preserve"> </w:t>
      </w:r>
      <w:r w:rsidRPr="001048FE">
        <w:rPr>
          <w:lang w:val="sl-SI"/>
        </w:rPr>
        <w:t>za</w:t>
      </w:r>
      <w:r w:rsidRPr="001048FE">
        <w:rPr>
          <w:spacing w:val="-12"/>
          <w:lang w:val="sl-SI"/>
        </w:rPr>
        <w:t xml:space="preserve"> </w:t>
      </w:r>
      <w:r w:rsidRPr="001048FE">
        <w:rPr>
          <w:lang w:val="sl-SI"/>
        </w:rPr>
        <w:t>nove</w:t>
      </w:r>
      <w:r w:rsidRPr="001048FE">
        <w:rPr>
          <w:spacing w:val="-12"/>
          <w:lang w:val="sl-SI"/>
        </w:rPr>
        <w:t xml:space="preserve"> </w:t>
      </w:r>
      <w:r w:rsidRPr="001048FE">
        <w:rPr>
          <w:lang w:val="sl-SI"/>
        </w:rPr>
        <w:t>udeležence</w:t>
      </w:r>
      <w:r w:rsidRPr="001048FE">
        <w:rPr>
          <w:spacing w:val="-12"/>
          <w:lang w:val="sl-SI"/>
        </w:rPr>
        <w:t xml:space="preserve"> </w:t>
      </w:r>
      <w:r w:rsidRPr="001048FE">
        <w:rPr>
          <w:lang w:val="sl-SI"/>
        </w:rPr>
        <w:t>in</w:t>
      </w:r>
      <w:r w:rsidRPr="001048FE">
        <w:rPr>
          <w:spacing w:val="-12"/>
          <w:lang w:val="sl-SI"/>
        </w:rPr>
        <w:t xml:space="preserve"> </w:t>
      </w:r>
      <w:r w:rsidRPr="001048FE">
        <w:rPr>
          <w:lang w:val="sl-SI"/>
        </w:rPr>
        <w:t>ciljne</w:t>
      </w:r>
      <w:r w:rsidRPr="001048FE">
        <w:rPr>
          <w:spacing w:val="-12"/>
          <w:lang w:val="sl-SI"/>
        </w:rPr>
        <w:t xml:space="preserve"> </w:t>
      </w:r>
      <w:r w:rsidRPr="001048FE">
        <w:rPr>
          <w:lang w:val="sl-SI"/>
        </w:rPr>
        <w:t>skupine</w:t>
      </w:r>
      <w:r w:rsidRPr="001048FE">
        <w:rPr>
          <w:spacing w:val="-12"/>
          <w:lang w:val="sl-SI"/>
        </w:rPr>
        <w:t xml:space="preserve"> </w:t>
      </w:r>
      <w:r w:rsidRPr="001048FE">
        <w:rPr>
          <w:lang w:val="sl-SI"/>
        </w:rPr>
        <w:t>z</w:t>
      </w:r>
      <w:r w:rsidRPr="001048FE">
        <w:rPr>
          <w:spacing w:val="-12"/>
          <w:lang w:val="sl-SI"/>
        </w:rPr>
        <w:t xml:space="preserve"> </w:t>
      </w:r>
      <w:r w:rsidRPr="001048FE">
        <w:rPr>
          <w:lang w:val="sl-SI"/>
        </w:rPr>
        <w:t>manj</w:t>
      </w:r>
      <w:r w:rsidRPr="001048FE">
        <w:rPr>
          <w:spacing w:val="-12"/>
          <w:lang w:val="sl-SI"/>
        </w:rPr>
        <w:t xml:space="preserve"> </w:t>
      </w:r>
      <w:r w:rsidRPr="001048FE">
        <w:rPr>
          <w:lang w:val="sl-SI"/>
        </w:rPr>
        <w:t>priložnostmi,</w:t>
      </w:r>
      <w:r w:rsidRPr="001048FE">
        <w:rPr>
          <w:spacing w:val="-12"/>
          <w:lang w:val="sl-SI"/>
        </w:rPr>
        <w:t xml:space="preserve"> </w:t>
      </w:r>
      <w:r w:rsidRPr="001048FE">
        <w:rPr>
          <w:lang w:val="sl-SI"/>
        </w:rPr>
        <w:t>da odstranijo ovire za polno udeležbo v</w:t>
      </w:r>
      <w:r w:rsidRPr="001048FE">
        <w:rPr>
          <w:spacing w:val="-17"/>
          <w:lang w:val="sl-SI"/>
        </w:rPr>
        <w:t xml:space="preserve"> </w:t>
      </w:r>
      <w:r w:rsidRPr="001048FE">
        <w:rPr>
          <w:lang w:val="sl-SI"/>
        </w:rPr>
        <w:t>Programu;</w:t>
      </w:r>
    </w:p>
    <w:p w14:paraId="7D398659" w14:textId="77777777" w:rsidR="00E03711" w:rsidRPr="001048FE" w:rsidRDefault="00E03711" w:rsidP="005115F2">
      <w:pPr>
        <w:pStyle w:val="Guide-NormalBulletpoints"/>
        <w:numPr>
          <w:ilvl w:val="0"/>
          <w:numId w:val="174"/>
        </w:numPr>
        <w:rPr>
          <w:lang w:val="sl-SI"/>
        </w:rPr>
      </w:pPr>
      <w:r w:rsidRPr="001048FE">
        <w:rPr>
          <w:lang w:val="sl-SI"/>
        </w:rPr>
        <w:t>si prizadevajo za sodelovanje z zunanjimi organi, da bi okrepile učinek Programa v svoji državi.</w:t>
      </w:r>
    </w:p>
    <w:p w14:paraId="7D39865A" w14:textId="77777777" w:rsidR="00E03711" w:rsidRPr="001048FE" w:rsidRDefault="00E03711" w:rsidP="00995E90">
      <w:pPr>
        <w:pStyle w:val="GUIDE-NORMAL"/>
        <w:rPr>
          <w:rStyle w:val="Guide-Condensed-01"/>
          <w:spacing w:val="0"/>
          <w:lang w:val="sl-SI"/>
        </w:rPr>
      </w:pPr>
      <w:r w:rsidRPr="001048FE">
        <w:rPr>
          <w:lang w:val="sl-SI"/>
        </w:rPr>
        <w:t>Cilj</w:t>
      </w:r>
      <w:r w:rsidRPr="001048FE">
        <w:rPr>
          <w:spacing w:val="-10"/>
          <w:lang w:val="sl-SI"/>
        </w:rPr>
        <w:t xml:space="preserve"> </w:t>
      </w:r>
      <w:r w:rsidRPr="001048FE">
        <w:rPr>
          <w:lang w:val="sl-SI"/>
        </w:rPr>
        <w:t>pristopa</w:t>
      </w:r>
      <w:r w:rsidRPr="001048FE">
        <w:rPr>
          <w:spacing w:val="-10"/>
          <w:lang w:val="sl-SI"/>
        </w:rPr>
        <w:t xml:space="preserve"> </w:t>
      </w:r>
      <w:r w:rsidRPr="001048FE">
        <w:rPr>
          <w:lang w:val="sl-SI"/>
        </w:rPr>
        <w:t>na</w:t>
      </w:r>
      <w:r w:rsidRPr="001048FE">
        <w:rPr>
          <w:spacing w:val="-10"/>
          <w:lang w:val="sl-SI"/>
        </w:rPr>
        <w:t xml:space="preserve"> </w:t>
      </w:r>
      <w:r w:rsidRPr="001048FE">
        <w:rPr>
          <w:lang w:val="sl-SI"/>
        </w:rPr>
        <w:t>podlagi</w:t>
      </w:r>
      <w:r w:rsidRPr="001048FE">
        <w:rPr>
          <w:spacing w:val="-10"/>
          <w:lang w:val="sl-SI"/>
        </w:rPr>
        <w:t xml:space="preserve"> </w:t>
      </w:r>
      <w:r w:rsidRPr="001048FE">
        <w:rPr>
          <w:lang w:val="sl-SI"/>
        </w:rPr>
        <w:t>podpore</w:t>
      </w:r>
      <w:r w:rsidRPr="001048FE">
        <w:rPr>
          <w:spacing w:val="-10"/>
          <w:lang w:val="sl-SI"/>
        </w:rPr>
        <w:t xml:space="preserve"> </w:t>
      </w:r>
      <w:r w:rsidRPr="001048FE">
        <w:rPr>
          <w:lang w:val="sl-SI"/>
        </w:rPr>
        <w:t>nacionalnih</w:t>
      </w:r>
      <w:r w:rsidRPr="001048FE">
        <w:rPr>
          <w:spacing w:val="-10"/>
          <w:lang w:val="sl-SI"/>
        </w:rPr>
        <w:t xml:space="preserve"> </w:t>
      </w:r>
      <w:r w:rsidRPr="001048FE">
        <w:rPr>
          <w:lang w:val="sl-SI"/>
        </w:rPr>
        <w:t>agencij</w:t>
      </w:r>
      <w:r w:rsidRPr="001048FE">
        <w:rPr>
          <w:spacing w:val="-10"/>
          <w:lang w:val="sl-SI"/>
        </w:rPr>
        <w:t xml:space="preserve"> </w:t>
      </w:r>
      <w:r w:rsidRPr="001048FE">
        <w:rPr>
          <w:lang w:val="sl-SI"/>
        </w:rPr>
        <w:t>je</w:t>
      </w:r>
      <w:r w:rsidRPr="001048FE">
        <w:rPr>
          <w:spacing w:val="-10"/>
          <w:lang w:val="sl-SI"/>
        </w:rPr>
        <w:t xml:space="preserve"> </w:t>
      </w:r>
      <w:r w:rsidRPr="001048FE">
        <w:rPr>
          <w:lang w:val="sl-SI"/>
        </w:rPr>
        <w:t>voditi</w:t>
      </w:r>
      <w:r w:rsidRPr="001048FE">
        <w:rPr>
          <w:spacing w:val="-10"/>
          <w:lang w:val="sl-SI"/>
        </w:rPr>
        <w:t xml:space="preserve"> </w:t>
      </w:r>
      <w:r w:rsidRPr="001048FE">
        <w:rPr>
          <w:lang w:val="sl-SI"/>
        </w:rPr>
        <w:t>uporabnike</w:t>
      </w:r>
      <w:r w:rsidRPr="001048FE">
        <w:rPr>
          <w:spacing w:val="-10"/>
          <w:lang w:val="sl-SI"/>
        </w:rPr>
        <w:t xml:space="preserve"> </w:t>
      </w:r>
      <w:r w:rsidRPr="001048FE">
        <w:rPr>
          <w:lang w:val="sl-SI"/>
        </w:rPr>
        <w:t>Programa</w:t>
      </w:r>
      <w:r w:rsidRPr="001048FE">
        <w:rPr>
          <w:spacing w:val="-10"/>
          <w:lang w:val="sl-SI"/>
        </w:rPr>
        <w:t xml:space="preserve"> </w:t>
      </w:r>
      <w:r w:rsidRPr="001048FE">
        <w:rPr>
          <w:lang w:val="sl-SI"/>
        </w:rPr>
        <w:t>v</w:t>
      </w:r>
      <w:r w:rsidRPr="001048FE">
        <w:rPr>
          <w:spacing w:val="-10"/>
          <w:lang w:val="sl-SI"/>
        </w:rPr>
        <w:t xml:space="preserve"> </w:t>
      </w:r>
      <w:r w:rsidRPr="001048FE">
        <w:rPr>
          <w:lang w:val="sl-SI"/>
        </w:rPr>
        <w:t>vseh</w:t>
      </w:r>
      <w:r w:rsidRPr="001048FE">
        <w:rPr>
          <w:spacing w:val="-10"/>
          <w:lang w:val="sl-SI"/>
        </w:rPr>
        <w:t xml:space="preserve"> </w:t>
      </w:r>
      <w:r w:rsidRPr="001048FE">
        <w:rPr>
          <w:lang w:val="sl-SI"/>
        </w:rPr>
        <w:t>fazah,</w:t>
      </w:r>
      <w:r w:rsidRPr="001048FE">
        <w:rPr>
          <w:spacing w:val="-10"/>
          <w:lang w:val="sl-SI"/>
        </w:rPr>
        <w:t xml:space="preserve"> </w:t>
      </w:r>
      <w:r w:rsidRPr="001048FE">
        <w:rPr>
          <w:lang w:val="sl-SI"/>
        </w:rPr>
        <w:t>od prvega stika s Programom, med postopkom oddaje vloge in do uresničenja projekta ter končnega ocenjevanja. To načelo ni v nasprotju s pravičnostjo in preglednostjo postopkov izbora. Temelji namreč</w:t>
      </w:r>
      <w:r w:rsidRPr="001048FE">
        <w:rPr>
          <w:spacing w:val="-9"/>
          <w:lang w:val="sl-SI"/>
        </w:rPr>
        <w:t xml:space="preserve"> </w:t>
      </w:r>
      <w:r w:rsidRPr="001048FE">
        <w:rPr>
          <w:lang w:val="sl-SI"/>
        </w:rPr>
        <w:t>na</w:t>
      </w:r>
      <w:r w:rsidRPr="001048FE">
        <w:rPr>
          <w:spacing w:val="-9"/>
          <w:lang w:val="sl-SI"/>
        </w:rPr>
        <w:t xml:space="preserve"> </w:t>
      </w:r>
      <w:r w:rsidRPr="001048FE">
        <w:rPr>
          <w:lang w:val="sl-SI"/>
        </w:rPr>
        <w:t>ideji,</w:t>
      </w:r>
      <w:r w:rsidRPr="001048FE">
        <w:rPr>
          <w:spacing w:val="-9"/>
          <w:lang w:val="sl-SI"/>
        </w:rPr>
        <w:t xml:space="preserve"> </w:t>
      </w:r>
      <w:r w:rsidRPr="001048FE">
        <w:rPr>
          <w:lang w:val="sl-SI"/>
        </w:rPr>
        <w:t>da</w:t>
      </w:r>
      <w:r w:rsidRPr="001048FE">
        <w:rPr>
          <w:spacing w:val="-9"/>
          <w:lang w:val="sl-SI"/>
        </w:rPr>
        <w:t xml:space="preserve"> </w:t>
      </w:r>
      <w:r w:rsidRPr="001048FE">
        <w:rPr>
          <w:lang w:val="sl-SI"/>
        </w:rPr>
        <w:t>je</w:t>
      </w:r>
      <w:r w:rsidRPr="001048FE">
        <w:rPr>
          <w:spacing w:val="-9"/>
          <w:lang w:val="sl-SI"/>
        </w:rPr>
        <w:t xml:space="preserve"> </w:t>
      </w:r>
      <w:r w:rsidRPr="001048FE">
        <w:rPr>
          <w:lang w:val="sl-SI"/>
        </w:rPr>
        <w:t>treba</w:t>
      </w:r>
      <w:r w:rsidRPr="001048FE">
        <w:rPr>
          <w:spacing w:val="-9"/>
          <w:lang w:val="sl-SI"/>
        </w:rPr>
        <w:t xml:space="preserve"> </w:t>
      </w:r>
      <w:r w:rsidRPr="001048FE">
        <w:rPr>
          <w:lang w:val="sl-SI"/>
        </w:rPr>
        <w:t>za</w:t>
      </w:r>
      <w:r w:rsidRPr="001048FE">
        <w:rPr>
          <w:spacing w:val="-9"/>
          <w:lang w:val="sl-SI"/>
        </w:rPr>
        <w:t xml:space="preserve"> </w:t>
      </w:r>
      <w:r w:rsidRPr="001048FE">
        <w:rPr>
          <w:lang w:val="sl-SI"/>
        </w:rPr>
        <w:t>zagotovitev</w:t>
      </w:r>
      <w:r w:rsidRPr="001048FE">
        <w:rPr>
          <w:spacing w:val="-9"/>
          <w:lang w:val="sl-SI"/>
        </w:rPr>
        <w:t xml:space="preserve"> </w:t>
      </w:r>
      <w:r w:rsidRPr="001048FE">
        <w:rPr>
          <w:lang w:val="sl-SI"/>
        </w:rPr>
        <w:t>enakih</w:t>
      </w:r>
      <w:r w:rsidRPr="001048FE">
        <w:rPr>
          <w:spacing w:val="-9"/>
          <w:lang w:val="sl-SI"/>
        </w:rPr>
        <w:t xml:space="preserve"> </w:t>
      </w:r>
      <w:r w:rsidRPr="001048FE">
        <w:rPr>
          <w:lang w:val="sl-SI"/>
        </w:rPr>
        <w:t>priložnosti</w:t>
      </w:r>
      <w:r w:rsidRPr="001048FE">
        <w:rPr>
          <w:spacing w:val="-9"/>
          <w:lang w:val="sl-SI"/>
        </w:rPr>
        <w:t xml:space="preserve"> </w:t>
      </w:r>
      <w:r w:rsidRPr="001048FE">
        <w:rPr>
          <w:lang w:val="sl-SI"/>
        </w:rPr>
        <w:t>za</w:t>
      </w:r>
      <w:r w:rsidRPr="001048FE">
        <w:rPr>
          <w:spacing w:val="-9"/>
          <w:lang w:val="sl-SI"/>
        </w:rPr>
        <w:t xml:space="preserve"> </w:t>
      </w:r>
      <w:r w:rsidRPr="001048FE">
        <w:rPr>
          <w:lang w:val="sl-SI"/>
        </w:rPr>
        <w:t>vse</w:t>
      </w:r>
      <w:r w:rsidRPr="001048FE">
        <w:rPr>
          <w:spacing w:val="-9"/>
          <w:lang w:val="sl-SI"/>
        </w:rPr>
        <w:t xml:space="preserve"> </w:t>
      </w:r>
      <w:r w:rsidRPr="001048FE">
        <w:rPr>
          <w:lang w:val="sl-SI"/>
        </w:rPr>
        <w:t>ponuditi</w:t>
      </w:r>
      <w:r w:rsidRPr="001048FE">
        <w:rPr>
          <w:spacing w:val="-9"/>
          <w:lang w:val="sl-SI"/>
        </w:rPr>
        <w:t xml:space="preserve"> </w:t>
      </w:r>
      <w:r w:rsidRPr="001048FE">
        <w:rPr>
          <w:lang w:val="sl-SI"/>
        </w:rPr>
        <w:t>več</w:t>
      </w:r>
      <w:r w:rsidRPr="001048FE">
        <w:rPr>
          <w:spacing w:val="-9"/>
          <w:lang w:val="sl-SI"/>
        </w:rPr>
        <w:t xml:space="preserve"> </w:t>
      </w:r>
      <w:r w:rsidRPr="001048FE">
        <w:rPr>
          <w:lang w:val="sl-SI"/>
        </w:rPr>
        <w:t>pomoči</w:t>
      </w:r>
      <w:r w:rsidRPr="001048FE">
        <w:rPr>
          <w:spacing w:val="-9"/>
          <w:lang w:val="sl-SI"/>
        </w:rPr>
        <w:t xml:space="preserve"> </w:t>
      </w:r>
      <w:r w:rsidRPr="001048FE">
        <w:rPr>
          <w:lang w:val="sl-SI"/>
        </w:rPr>
        <w:t>nekaterim ciljnim skupinam Programa z nasveti, svetovanjem, spremljanjem in sistemi mentorstva, ki so prilagojeni njihovim</w:t>
      </w:r>
      <w:r w:rsidRPr="001048FE">
        <w:rPr>
          <w:spacing w:val="-4"/>
          <w:lang w:val="sl-SI"/>
        </w:rPr>
        <w:t xml:space="preserve"> </w:t>
      </w:r>
      <w:r w:rsidRPr="001048FE">
        <w:rPr>
          <w:lang w:val="sl-SI"/>
        </w:rPr>
        <w:t>potrebam.</w:t>
      </w:r>
    </w:p>
    <w:p w14:paraId="7D39865B" w14:textId="77777777" w:rsidR="00E03711" w:rsidRPr="001048FE" w:rsidRDefault="00E03711" w:rsidP="0030441A">
      <w:pPr>
        <w:pStyle w:val="Guide-Heading3"/>
        <w:rPr>
          <w:lang w:val="sl-SI"/>
        </w:rPr>
      </w:pPr>
      <w:bookmarkStart w:id="78" w:name="Quels_sont_les_autres_organismes_prenant"/>
      <w:bookmarkStart w:id="79" w:name="_bookmark18"/>
      <w:bookmarkStart w:id="80" w:name="_Toc527400901"/>
      <w:bookmarkStart w:id="81" w:name="_Toc527401096"/>
      <w:bookmarkEnd w:id="78"/>
      <w:bookmarkEnd w:id="79"/>
      <w:r w:rsidRPr="001048FE">
        <w:rPr>
          <w:lang w:val="sl-SI"/>
        </w:rPr>
        <w:t>Kateri drugi organi so vključeni v izvajanje</w:t>
      </w:r>
      <w:bookmarkStart w:id="82" w:name="Kateri_drugi_organi_so_vključeni_v_izvaj"/>
      <w:bookmarkEnd w:id="82"/>
      <w:r w:rsidRPr="001048FE">
        <w:rPr>
          <w:lang w:val="sl-SI"/>
        </w:rPr>
        <w:t xml:space="preserve"> programa?</w:t>
      </w:r>
      <w:bookmarkEnd w:id="80"/>
      <w:bookmarkEnd w:id="81"/>
    </w:p>
    <w:p w14:paraId="7D39865C" w14:textId="77777777" w:rsidR="00E03711" w:rsidRPr="001048FE" w:rsidRDefault="00E03711" w:rsidP="00995E90">
      <w:pPr>
        <w:pStyle w:val="GUIDE-NORMAL"/>
        <w:rPr>
          <w:lang w:val="sl-SI"/>
        </w:rPr>
      </w:pPr>
      <w:r w:rsidRPr="001048FE">
        <w:rPr>
          <w:lang w:val="sl-SI"/>
        </w:rPr>
        <w:t>Dodatno</w:t>
      </w:r>
      <w:r w:rsidRPr="001048FE">
        <w:rPr>
          <w:spacing w:val="-23"/>
          <w:lang w:val="sl-SI"/>
        </w:rPr>
        <w:t xml:space="preserve"> </w:t>
      </w:r>
      <w:r w:rsidRPr="001048FE">
        <w:rPr>
          <w:lang w:val="sl-SI"/>
        </w:rPr>
        <w:t>strokovno</w:t>
      </w:r>
      <w:r w:rsidRPr="001048FE">
        <w:rPr>
          <w:spacing w:val="-23"/>
          <w:lang w:val="sl-SI"/>
        </w:rPr>
        <w:t xml:space="preserve"> </w:t>
      </w:r>
      <w:r w:rsidRPr="001048FE">
        <w:rPr>
          <w:lang w:val="sl-SI"/>
        </w:rPr>
        <w:t>znanje</w:t>
      </w:r>
      <w:r w:rsidRPr="001048FE">
        <w:rPr>
          <w:spacing w:val="-23"/>
          <w:lang w:val="sl-SI"/>
        </w:rPr>
        <w:t xml:space="preserve"> </w:t>
      </w:r>
      <w:r w:rsidRPr="001048FE">
        <w:rPr>
          <w:lang w:val="sl-SI"/>
        </w:rPr>
        <w:t>za</w:t>
      </w:r>
      <w:r w:rsidRPr="001048FE">
        <w:rPr>
          <w:spacing w:val="-23"/>
          <w:lang w:val="sl-SI"/>
        </w:rPr>
        <w:t xml:space="preserve"> </w:t>
      </w:r>
      <w:r w:rsidRPr="001048FE">
        <w:rPr>
          <w:lang w:val="sl-SI"/>
        </w:rPr>
        <w:t>izvajanje</w:t>
      </w:r>
      <w:r w:rsidRPr="001048FE">
        <w:rPr>
          <w:spacing w:val="-23"/>
          <w:lang w:val="sl-SI"/>
        </w:rPr>
        <w:t xml:space="preserve"> </w:t>
      </w:r>
      <w:r w:rsidRPr="001048FE">
        <w:rPr>
          <w:lang w:val="sl-SI"/>
        </w:rPr>
        <w:t>programa</w:t>
      </w:r>
      <w:r w:rsidRPr="001048FE">
        <w:rPr>
          <w:spacing w:val="-23"/>
          <w:lang w:val="sl-SI"/>
        </w:rPr>
        <w:t xml:space="preserve"> </w:t>
      </w:r>
      <w:r w:rsidRPr="001048FE">
        <w:rPr>
          <w:lang w:val="sl-SI"/>
        </w:rPr>
        <w:t>Erasmus+</w:t>
      </w:r>
      <w:r w:rsidRPr="001048FE">
        <w:rPr>
          <w:spacing w:val="-23"/>
          <w:lang w:val="sl-SI"/>
        </w:rPr>
        <w:t xml:space="preserve"> </w:t>
      </w:r>
      <w:r w:rsidRPr="001048FE">
        <w:rPr>
          <w:lang w:val="sl-SI"/>
        </w:rPr>
        <w:t>zagotavljajo</w:t>
      </w:r>
      <w:r w:rsidRPr="001048FE">
        <w:rPr>
          <w:spacing w:val="-23"/>
          <w:lang w:val="sl-SI"/>
        </w:rPr>
        <w:t xml:space="preserve"> </w:t>
      </w:r>
      <w:r w:rsidRPr="001048FE">
        <w:rPr>
          <w:lang w:val="sl-SI"/>
        </w:rPr>
        <w:t>poleg</w:t>
      </w:r>
      <w:r w:rsidRPr="001048FE">
        <w:rPr>
          <w:spacing w:val="-23"/>
          <w:lang w:val="sl-SI"/>
        </w:rPr>
        <w:t xml:space="preserve"> </w:t>
      </w:r>
      <w:r w:rsidRPr="001048FE">
        <w:rPr>
          <w:lang w:val="sl-SI"/>
        </w:rPr>
        <w:t>navedenih</w:t>
      </w:r>
      <w:r w:rsidRPr="001048FE">
        <w:rPr>
          <w:spacing w:val="-23"/>
          <w:lang w:val="sl-SI"/>
        </w:rPr>
        <w:t xml:space="preserve"> </w:t>
      </w:r>
      <w:r w:rsidRPr="001048FE">
        <w:rPr>
          <w:lang w:val="sl-SI"/>
        </w:rPr>
        <w:t>organov naslednje</w:t>
      </w:r>
      <w:r w:rsidRPr="001048FE">
        <w:rPr>
          <w:spacing w:val="-3"/>
          <w:lang w:val="sl-SI"/>
        </w:rPr>
        <w:t xml:space="preserve"> </w:t>
      </w:r>
      <w:r w:rsidRPr="001048FE">
        <w:rPr>
          <w:lang w:val="sl-SI"/>
        </w:rPr>
        <w:t>strukture:</w:t>
      </w:r>
    </w:p>
    <w:p w14:paraId="7D39865D" w14:textId="77777777" w:rsidR="00E03711" w:rsidRPr="001048FE" w:rsidRDefault="00E03711" w:rsidP="00995E90">
      <w:pPr>
        <w:pStyle w:val="Guide-Heading4"/>
        <w:rPr>
          <w:lang w:val="sl-SI"/>
        </w:rPr>
      </w:pPr>
      <w:bookmarkStart w:id="83" w:name="_Toc527401097"/>
      <w:r w:rsidRPr="001048FE">
        <w:rPr>
          <w:lang w:val="sl-SI"/>
        </w:rPr>
        <w:t>Omrežje Eurydice</w:t>
      </w:r>
      <w:bookmarkEnd w:id="83"/>
    </w:p>
    <w:p w14:paraId="7D39865E" w14:textId="77777777" w:rsidR="00E03711" w:rsidRPr="001048FE" w:rsidRDefault="00E03711" w:rsidP="00995E90">
      <w:pPr>
        <w:pStyle w:val="GUIDE-NORMAL"/>
        <w:rPr>
          <w:lang w:val="sl-SI"/>
        </w:rPr>
      </w:pPr>
      <w:r w:rsidRPr="001048FE">
        <w:rPr>
          <w:lang w:val="sl-SI"/>
        </w:rPr>
        <w:t>Omrežje Eurydice se usmerja predvsem v to, kako je izobraževanje v Evropi strukturirano in organizirano na vseh ravneh, njegov cilj pa je prispevati k boljšemu vzajemnemu razumevanju sistemov v Evropi. Za osebe, ki so odgovorne za sisteme izobraževanja in politike v Evropi, zagotavlja primerjalne analize na evropski ravni in informacije o posameznih državah na področju izobraževanja in mladine, ki pomagajo pri</w:t>
      </w:r>
      <w:r w:rsidRPr="001048FE">
        <w:rPr>
          <w:spacing w:val="17"/>
          <w:lang w:val="sl-SI"/>
        </w:rPr>
        <w:t xml:space="preserve"> </w:t>
      </w:r>
      <w:r w:rsidRPr="001048FE">
        <w:rPr>
          <w:lang w:val="sl-SI"/>
        </w:rPr>
        <w:t>odločanju.</w:t>
      </w:r>
    </w:p>
    <w:p w14:paraId="7D39865F" w14:textId="77777777" w:rsidR="00E03711" w:rsidRPr="001048FE" w:rsidRDefault="00E03711" w:rsidP="00995E90">
      <w:pPr>
        <w:pStyle w:val="GUIDE-NORMAL"/>
        <w:rPr>
          <w:lang w:val="sl-SI"/>
        </w:rPr>
      </w:pPr>
      <w:r w:rsidRPr="001048FE">
        <w:rPr>
          <w:lang w:val="sl-SI"/>
        </w:rPr>
        <w:t>Omrežje Eurydice ustvarja obsežen vir informacij, na primer:</w:t>
      </w:r>
    </w:p>
    <w:p w14:paraId="7D398660" w14:textId="77777777" w:rsidR="00E03711" w:rsidRPr="001048FE" w:rsidRDefault="00E03711" w:rsidP="00995E90">
      <w:pPr>
        <w:pStyle w:val="Guide-NormalBulletpoints"/>
        <w:rPr>
          <w:lang w:val="sl-SI"/>
        </w:rPr>
      </w:pPr>
      <w:r w:rsidRPr="001048FE">
        <w:rPr>
          <w:lang w:val="sl-SI"/>
        </w:rPr>
        <w:t>podrobne</w:t>
      </w:r>
      <w:r w:rsidRPr="001048FE">
        <w:rPr>
          <w:spacing w:val="-19"/>
          <w:lang w:val="sl-SI"/>
        </w:rPr>
        <w:t xml:space="preserve"> </w:t>
      </w:r>
      <w:r w:rsidRPr="001048FE">
        <w:rPr>
          <w:lang w:val="sl-SI"/>
        </w:rPr>
        <w:t>opise</w:t>
      </w:r>
      <w:r w:rsidRPr="001048FE">
        <w:rPr>
          <w:spacing w:val="-19"/>
          <w:lang w:val="sl-SI"/>
        </w:rPr>
        <w:t xml:space="preserve"> </w:t>
      </w:r>
      <w:r w:rsidRPr="001048FE">
        <w:rPr>
          <w:lang w:val="sl-SI"/>
        </w:rPr>
        <w:t>in</w:t>
      </w:r>
      <w:r w:rsidRPr="001048FE">
        <w:rPr>
          <w:spacing w:val="-19"/>
          <w:lang w:val="sl-SI"/>
        </w:rPr>
        <w:t xml:space="preserve"> </w:t>
      </w:r>
      <w:r w:rsidRPr="001048FE">
        <w:rPr>
          <w:lang w:val="sl-SI"/>
        </w:rPr>
        <w:t>preglede</w:t>
      </w:r>
      <w:r w:rsidRPr="001048FE">
        <w:rPr>
          <w:spacing w:val="-19"/>
          <w:lang w:val="sl-SI"/>
        </w:rPr>
        <w:t xml:space="preserve"> </w:t>
      </w:r>
      <w:r w:rsidRPr="001048FE">
        <w:rPr>
          <w:lang w:val="sl-SI"/>
        </w:rPr>
        <w:t>nacionalnih</w:t>
      </w:r>
      <w:r w:rsidRPr="001048FE">
        <w:rPr>
          <w:spacing w:val="-19"/>
          <w:lang w:val="sl-SI"/>
        </w:rPr>
        <w:t xml:space="preserve"> </w:t>
      </w:r>
      <w:r w:rsidRPr="001048FE">
        <w:rPr>
          <w:lang w:val="sl-SI"/>
        </w:rPr>
        <w:t>sistemov</w:t>
      </w:r>
      <w:r w:rsidRPr="001048FE">
        <w:rPr>
          <w:spacing w:val="-19"/>
          <w:lang w:val="sl-SI"/>
        </w:rPr>
        <w:t xml:space="preserve"> </w:t>
      </w:r>
      <w:r w:rsidRPr="001048FE">
        <w:rPr>
          <w:lang w:val="sl-SI"/>
        </w:rPr>
        <w:t>izobraževanja</w:t>
      </w:r>
      <w:r w:rsidRPr="001048FE">
        <w:rPr>
          <w:spacing w:val="-19"/>
          <w:lang w:val="sl-SI"/>
        </w:rPr>
        <w:t xml:space="preserve"> </w:t>
      </w:r>
      <w:r w:rsidRPr="001048FE">
        <w:rPr>
          <w:lang w:val="sl-SI"/>
        </w:rPr>
        <w:t>(nacionalni</w:t>
      </w:r>
      <w:r w:rsidRPr="001048FE">
        <w:rPr>
          <w:spacing w:val="-19"/>
          <w:lang w:val="sl-SI"/>
        </w:rPr>
        <w:t xml:space="preserve"> </w:t>
      </w:r>
      <w:r w:rsidRPr="001048FE">
        <w:rPr>
          <w:lang w:val="sl-SI"/>
        </w:rPr>
        <w:t>sistemi izobraževanja in</w:t>
      </w:r>
      <w:r w:rsidRPr="001048FE">
        <w:rPr>
          <w:spacing w:val="-5"/>
          <w:lang w:val="sl-SI"/>
        </w:rPr>
        <w:t xml:space="preserve"> </w:t>
      </w:r>
      <w:r w:rsidRPr="001048FE">
        <w:rPr>
          <w:lang w:val="sl-SI"/>
        </w:rPr>
        <w:t>politike);</w:t>
      </w:r>
    </w:p>
    <w:p w14:paraId="7D398661" w14:textId="77777777" w:rsidR="00E03711" w:rsidRPr="001048FE" w:rsidRDefault="00E03711" w:rsidP="00995E90">
      <w:pPr>
        <w:pStyle w:val="Guide-NormalBulletpoints"/>
        <w:rPr>
          <w:lang w:val="sl-SI"/>
        </w:rPr>
      </w:pPr>
      <w:r w:rsidRPr="001048FE">
        <w:rPr>
          <w:lang w:val="sl-SI"/>
        </w:rPr>
        <w:t>primerjalna</w:t>
      </w:r>
      <w:r w:rsidRPr="001048FE">
        <w:rPr>
          <w:spacing w:val="-15"/>
          <w:lang w:val="sl-SI"/>
        </w:rPr>
        <w:t xml:space="preserve"> </w:t>
      </w:r>
      <w:r w:rsidRPr="001048FE">
        <w:rPr>
          <w:lang w:val="sl-SI"/>
        </w:rPr>
        <w:t>tematska</w:t>
      </w:r>
      <w:r w:rsidRPr="001048FE">
        <w:rPr>
          <w:spacing w:val="-15"/>
          <w:lang w:val="sl-SI"/>
        </w:rPr>
        <w:t xml:space="preserve"> </w:t>
      </w:r>
      <w:r w:rsidRPr="001048FE">
        <w:rPr>
          <w:lang w:val="sl-SI"/>
        </w:rPr>
        <w:t>poročila,</w:t>
      </w:r>
      <w:r w:rsidRPr="001048FE">
        <w:rPr>
          <w:spacing w:val="-15"/>
          <w:lang w:val="sl-SI"/>
        </w:rPr>
        <w:t xml:space="preserve"> </w:t>
      </w:r>
      <w:r w:rsidRPr="001048FE">
        <w:rPr>
          <w:lang w:val="sl-SI"/>
        </w:rPr>
        <w:t>posvečena</w:t>
      </w:r>
      <w:r w:rsidRPr="001048FE">
        <w:rPr>
          <w:spacing w:val="-15"/>
          <w:lang w:val="sl-SI"/>
        </w:rPr>
        <w:t xml:space="preserve"> </w:t>
      </w:r>
      <w:r w:rsidRPr="001048FE">
        <w:rPr>
          <w:lang w:val="sl-SI"/>
        </w:rPr>
        <w:t>specifičnim</w:t>
      </w:r>
      <w:r w:rsidRPr="001048FE">
        <w:rPr>
          <w:spacing w:val="-15"/>
          <w:lang w:val="sl-SI"/>
        </w:rPr>
        <w:t xml:space="preserve"> </w:t>
      </w:r>
      <w:r w:rsidRPr="001048FE">
        <w:rPr>
          <w:lang w:val="sl-SI"/>
        </w:rPr>
        <w:t>temam</w:t>
      </w:r>
      <w:r w:rsidRPr="001048FE">
        <w:rPr>
          <w:spacing w:val="-15"/>
          <w:lang w:val="sl-SI"/>
        </w:rPr>
        <w:t xml:space="preserve"> </w:t>
      </w:r>
      <w:r w:rsidRPr="001048FE">
        <w:rPr>
          <w:lang w:val="sl-SI"/>
        </w:rPr>
        <w:t>v</w:t>
      </w:r>
      <w:r w:rsidRPr="001048FE">
        <w:rPr>
          <w:spacing w:val="-15"/>
          <w:lang w:val="sl-SI"/>
        </w:rPr>
        <w:t xml:space="preserve"> </w:t>
      </w:r>
      <w:r w:rsidRPr="001048FE">
        <w:rPr>
          <w:lang w:val="sl-SI"/>
        </w:rPr>
        <w:t>interesu</w:t>
      </w:r>
      <w:r w:rsidRPr="001048FE">
        <w:rPr>
          <w:spacing w:val="-15"/>
          <w:lang w:val="sl-SI"/>
        </w:rPr>
        <w:t xml:space="preserve"> </w:t>
      </w:r>
      <w:r w:rsidRPr="001048FE">
        <w:rPr>
          <w:lang w:val="sl-SI"/>
        </w:rPr>
        <w:t>skupnosti</w:t>
      </w:r>
      <w:r w:rsidRPr="001048FE">
        <w:rPr>
          <w:spacing w:val="-15"/>
          <w:lang w:val="sl-SI"/>
        </w:rPr>
        <w:t xml:space="preserve"> </w:t>
      </w:r>
      <w:r w:rsidRPr="001048FE">
        <w:rPr>
          <w:lang w:val="sl-SI"/>
        </w:rPr>
        <w:t>(tematska poročila);</w:t>
      </w:r>
    </w:p>
    <w:p w14:paraId="7D398662" w14:textId="77777777" w:rsidR="00E03711" w:rsidRPr="001048FE" w:rsidRDefault="00E03711" w:rsidP="00995E90">
      <w:pPr>
        <w:pStyle w:val="Guide-NormalBulletpoints"/>
        <w:rPr>
          <w:lang w:val="sl-SI"/>
        </w:rPr>
      </w:pPr>
      <w:r w:rsidRPr="001048FE">
        <w:rPr>
          <w:lang w:val="sl-SI"/>
        </w:rPr>
        <w:t>kazalnike in statistike (nabor ključnih podatkov);</w:t>
      </w:r>
    </w:p>
    <w:p w14:paraId="7D398663" w14:textId="77777777" w:rsidR="00E03711" w:rsidRPr="001048FE" w:rsidRDefault="00E03711" w:rsidP="00995E90">
      <w:pPr>
        <w:pStyle w:val="Guide-NormalBulletpoints"/>
        <w:rPr>
          <w:lang w:val="sl-SI"/>
        </w:rPr>
      </w:pPr>
      <w:r w:rsidRPr="001048FE">
        <w:rPr>
          <w:lang w:val="sl-SI"/>
        </w:rPr>
        <w:t>ter</w:t>
      </w:r>
      <w:r w:rsidRPr="001048FE">
        <w:rPr>
          <w:spacing w:val="-11"/>
          <w:lang w:val="sl-SI"/>
        </w:rPr>
        <w:t xml:space="preserve"> </w:t>
      </w:r>
      <w:r w:rsidRPr="001048FE">
        <w:rPr>
          <w:lang w:val="sl-SI"/>
        </w:rPr>
        <w:t>vrsto</w:t>
      </w:r>
      <w:r w:rsidRPr="001048FE">
        <w:rPr>
          <w:spacing w:val="-11"/>
          <w:lang w:val="sl-SI"/>
        </w:rPr>
        <w:t xml:space="preserve"> </w:t>
      </w:r>
      <w:r w:rsidRPr="001048FE">
        <w:rPr>
          <w:lang w:val="sl-SI"/>
        </w:rPr>
        <w:t>dejstev</w:t>
      </w:r>
      <w:r w:rsidRPr="001048FE">
        <w:rPr>
          <w:spacing w:val="-11"/>
          <w:lang w:val="sl-SI"/>
        </w:rPr>
        <w:t xml:space="preserve"> </w:t>
      </w:r>
      <w:r w:rsidRPr="001048FE">
        <w:rPr>
          <w:lang w:val="sl-SI"/>
        </w:rPr>
        <w:t>in</w:t>
      </w:r>
      <w:r w:rsidRPr="001048FE">
        <w:rPr>
          <w:spacing w:val="-11"/>
          <w:lang w:val="sl-SI"/>
        </w:rPr>
        <w:t xml:space="preserve"> </w:t>
      </w:r>
      <w:r w:rsidRPr="001048FE">
        <w:rPr>
          <w:lang w:val="sl-SI"/>
        </w:rPr>
        <w:t>številk</w:t>
      </w:r>
      <w:r w:rsidRPr="001048FE">
        <w:rPr>
          <w:spacing w:val="-11"/>
          <w:lang w:val="sl-SI"/>
        </w:rPr>
        <w:t xml:space="preserve"> </w:t>
      </w:r>
      <w:r w:rsidRPr="001048FE">
        <w:rPr>
          <w:lang w:val="sl-SI"/>
        </w:rPr>
        <w:t>v</w:t>
      </w:r>
      <w:r w:rsidRPr="001048FE">
        <w:rPr>
          <w:spacing w:val="-11"/>
          <w:lang w:val="sl-SI"/>
        </w:rPr>
        <w:t xml:space="preserve"> </w:t>
      </w:r>
      <w:r w:rsidRPr="001048FE">
        <w:rPr>
          <w:lang w:val="sl-SI"/>
        </w:rPr>
        <w:t>zvezi</w:t>
      </w:r>
      <w:r w:rsidRPr="001048FE">
        <w:rPr>
          <w:spacing w:val="-11"/>
          <w:lang w:val="sl-SI"/>
        </w:rPr>
        <w:t xml:space="preserve"> </w:t>
      </w:r>
      <w:r w:rsidRPr="001048FE">
        <w:rPr>
          <w:lang w:val="sl-SI"/>
        </w:rPr>
        <w:t>z</w:t>
      </w:r>
      <w:r w:rsidRPr="001048FE">
        <w:rPr>
          <w:spacing w:val="-11"/>
          <w:lang w:val="sl-SI"/>
        </w:rPr>
        <w:t xml:space="preserve"> </w:t>
      </w:r>
      <w:r w:rsidRPr="001048FE">
        <w:rPr>
          <w:lang w:val="sl-SI"/>
        </w:rPr>
        <w:t>izobraževanjem,</w:t>
      </w:r>
      <w:r w:rsidRPr="001048FE">
        <w:rPr>
          <w:spacing w:val="-11"/>
          <w:lang w:val="sl-SI"/>
        </w:rPr>
        <w:t xml:space="preserve"> </w:t>
      </w:r>
      <w:r w:rsidRPr="001048FE">
        <w:rPr>
          <w:lang w:val="sl-SI"/>
        </w:rPr>
        <w:t>kot</w:t>
      </w:r>
      <w:r w:rsidRPr="001048FE">
        <w:rPr>
          <w:spacing w:val="-11"/>
          <w:lang w:val="sl-SI"/>
        </w:rPr>
        <w:t xml:space="preserve"> </w:t>
      </w:r>
      <w:r w:rsidRPr="001048FE">
        <w:rPr>
          <w:lang w:val="sl-SI"/>
        </w:rPr>
        <w:t>so</w:t>
      </w:r>
      <w:r w:rsidRPr="001048FE">
        <w:rPr>
          <w:spacing w:val="-11"/>
          <w:lang w:val="sl-SI"/>
        </w:rPr>
        <w:t xml:space="preserve"> </w:t>
      </w:r>
      <w:r w:rsidRPr="001048FE">
        <w:rPr>
          <w:lang w:val="sl-SI"/>
        </w:rPr>
        <w:t>nacionalne</w:t>
      </w:r>
      <w:r w:rsidRPr="001048FE">
        <w:rPr>
          <w:spacing w:val="-11"/>
          <w:lang w:val="sl-SI"/>
        </w:rPr>
        <w:t xml:space="preserve"> </w:t>
      </w:r>
      <w:r w:rsidRPr="001048FE">
        <w:rPr>
          <w:lang w:val="sl-SI"/>
        </w:rPr>
        <w:t>strukture</w:t>
      </w:r>
      <w:r w:rsidRPr="001048FE">
        <w:rPr>
          <w:spacing w:val="-11"/>
          <w:lang w:val="sl-SI"/>
        </w:rPr>
        <w:t xml:space="preserve"> </w:t>
      </w:r>
      <w:r w:rsidRPr="001048FE">
        <w:rPr>
          <w:lang w:val="sl-SI"/>
        </w:rPr>
        <w:t>izobraževanja, šolski</w:t>
      </w:r>
      <w:r w:rsidRPr="001048FE">
        <w:rPr>
          <w:spacing w:val="-14"/>
          <w:lang w:val="sl-SI"/>
        </w:rPr>
        <w:t xml:space="preserve"> </w:t>
      </w:r>
      <w:r w:rsidRPr="001048FE">
        <w:rPr>
          <w:lang w:val="sl-SI"/>
        </w:rPr>
        <w:t>koledarji,</w:t>
      </w:r>
      <w:r w:rsidRPr="001048FE">
        <w:rPr>
          <w:spacing w:val="-14"/>
          <w:lang w:val="sl-SI"/>
        </w:rPr>
        <w:t xml:space="preserve"> </w:t>
      </w:r>
      <w:r w:rsidRPr="001048FE">
        <w:rPr>
          <w:lang w:val="sl-SI"/>
        </w:rPr>
        <w:t>primerjave</w:t>
      </w:r>
      <w:r w:rsidRPr="001048FE">
        <w:rPr>
          <w:spacing w:val="-14"/>
          <w:lang w:val="sl-SI"/>
        </w:rPr>
        <w:t xml:space="preserve"> </w:t>
      </w:r>
      <w:r w:rsidRPr="001048FE">
        <w:rPr>
          <w:lang w:val="sl-SI"/>
        </w:rPr>
        <w:t>učiteljskih</w:t>
      </w:r>
      <w:r w:rsidRPr="001048FE">
        <w:rPr>
          <w:spacing w:val="-14"/>
          <w:lang w:val="sl-SI"/>
        </w:rPr>
        <w:t xml:space="preserve"> </w:t>
      </w:r>
      <w:r w:rsidRPr="001048FE">
        <w:rPr>
          <w:lang w:val="sl-SI"/>
        </w:rPr>
        <w:t>plač</w:t>
      </w:r>
      <w:r w:rsidRPr="001048FE">
        <w:rPr>
          <w:spacing w:val="-14"/>
          <w:lang w:val="sl-SI"/>
        </w:rPr>
        <w:t xml:space="preserve"> </w:t>
      </w:r>
      <w:r w:rsidRPr="001048FE">
        <w:rPr>
          <w:lang w:val="sl-SI"/>
        </w:rPr>
        <w:t>ter</w:t>
      </w:r>
      <w:r w:rsidRPr="001048FE">
        <w:rPr>
          <w:spacing w:val="-14"/>
          <w:lang w:val="sl-SI"/>
        </w:rPr>
        <w:t xml:space="preserve"> </w:t>
      </w:r>
      <w:r w:rsidRPr="001048FE">
        <w:rPr>
          <w:lang w:val="sl-SI"/>
        </w:rPr>
        <w:t>zahtevanega</w:t>
      </w:r>
      <w:r w:rsidRPr="001048FE">
        <w:rPr>
          <w:spacing w:val="-14"/>
          <w:lang w:val="sl-SI"/>
        </w:rPr>
        <w:t xml:space="preserve"> </w:t>
      </w:r>
      <w:r w:rsidRPr="001048FE">
        <w:rPr>
          <w:lang w:val="sl-SI"/>
        </w:rPr>
        <w:t>časa</w:t>
      </w:r>
      <w:r w:rsidRPr="001048FE">
        <w:rPr>
          <w:spacing w:val="-14"/>
          <w:lang w:val="sl-SI"/>
        </w:rPr>
        <w:t xml:space="preserve"> </w:t>
      </w:r>
      <w:r w:rsidRPr="001048FE">
        <w:rPr>
          <w:lang w:val="sl-SI"/>
        </w:rPr>
        <w:t>učenja</w:t>
      </w:r>
      <w:r w:rsidRPr="001048FE">
        <w:rPr>
          <w:spacing w:val="-14"/>
          <w:lang w:val="sl-SI"/>
        </w:rPr>
        <w:t xml:space="preserve"> </w:t>
      </w:r>
      <w:r w:rsidRPr="001048FE">
        <w:rPr>
          <w:lang w:val="sl-SI"/>
        </w:rPr>
        <w:t>v</w:t>
      </w:r>
      <w:r w:rsidRPr="001048FE">
        <w:rPr>
          <w:spacing w:val="-14"/>
          <w:lang w:val="sl-SI"/>
        </w:rPr>
        <w:t xml:space="preserve"> </w:t>
      </w:r>
      <w:r w:rsidRPr="001048FE">
        <w:rPr>
          <w:lang w:val="sl-SI"/>
        </w:rPr>
        <w:t>posameznih</w:t>
      </w:r>
      <w:r w:rsidRPr="001048FE">
        <w:rPr>
          <w:spacing w:val="-14"/>
          <w:lang w:val="sl-SI"/>
        </w:rPr>
        <w:t xml:space="preserve"> </w:t>
      </w:r>
      <w:r w:rsidRPr="001048FE">
        <w:rPr>
          <w:lang w:val="sl-SI"/>
        </w:rPr>
        <w:t>državah in ravni izobrazbe (dejstva in</w:t>
      </w:r>
      <w:r w:rsidRPr="001048FE">
        <w:rPr>
          <w:spacing w:val="-12"/>
          <w:lang w:val="sl-SI"/>
        </w:rPr>
        <w:t xml:space="preserve"> </w:t>
      </w:r>
      <w:r w:rsidRPr="001048FE">
        <w:rPr>
          <w:lang w:val="sl-SI"/>
        </w:rPr>
        <w:t>številke).</w:t>
      </w:r>
    </w:p>
    <w:p w14:paraId="7D398664" w14:textId="77777777" w:rsidR="00E03711" w:rsidRPr="001048FE" w:rsidRDefault="00E03711" w:rsidP="00995E90">
      <w:pPr>
        <w:pStyle w:val="GUIDE-NORMAL"/>
        <w:rPr>
          <w:lang w:val="sl-SI"/>
        </w:rPr>
      </w:pPr>
      <w:r w:rsidRPr="001048FE">
        <w:rPr>
          <w:lang w:val="sl-SI"/>
        </w:rPr>
        <w:t>Sestavljajo</w:t>
      </w:r>
      <w:r w:rsidRPr="001048FE">
        <w:rPr>
          <w:spacing w:val="-19"/>
          <w:lang w:val="sl-SI"/>
        </w:rPr>
        <w:t xml:space="preserve"> </w:t>
      </w:r>
      <w:r w:rsidRPr="001048FE">
        <w:rPr>
          <w:lang w:val="sl-SI"/>
        </w:rPr>
        <w:t>ga</w:t>
      </w:r>
      <w:r w:rsidRPr="001048FE">
        <w:rPr>
          <w:spacing w:val="-19"/>
          <w:lang w:val="sl-SI"/>
        </w:rPr>
        <w:t xml:space="preserve"> </w:t>
      </w:r>
      <w:r w:rsidRPr="001048FE">
        <w:rPr>
          <w:lang w:val="sl-SI"/>
        </w:rPr>
        <w:t>osrednja</w:t>
      </w:r>
      <w:r w:rsidRPr="001048FE">
        <w:rPr>
          <w:spacing w:val="-18"/>
          <w:lang w:val="sl-SI"/>
        </w:rPr>
        <w:t xml:space="preserve"> </w:t>
      </w:r>
      <w:r w:rsidRPr="001048FE">
        <w:rPr>
          <w:lang w:val="sl-SI"/>
        </w:rPr>
        <w:t>koordinatorska</w:t>
      </w:r>
      <w:r w:rsidRPr="001048FE">
        <w:rPr>
          <w:spacing w:val="-19"/>
          <w:lang w:val="sl-SI"/>
        </w:rPr>
        <w:t xml:space="preserve"> </w:t>
      </w:r>
      <w:r w:rsidRPr="001048FE">
        <w:rPr>
          <w:lang w:val="sl-SI"/>
        </w:rPr>
        <w:t>enota</w:t>
      </w:r>
      <w:r w:rsidRPr="001048FE">
        <w:rPr>
          <w:spacing w:val="-19"/>
          <w:lang w:val="sl-SI"/>
        </w:rPr>
        <w:t xml:space="preserve"> </w:t>
      </w:r>
      <w:r w:rsidRPr="001048FE">
        <w:rPr>
          <w:lang w:val="sl-SI"/>
        </w:rPr>
        <w:t>v</w:t>
      </w:r>
      <w:r w:rsidRPr="001048FE">
        <w:rPr>
          <w:spacing w:val="-19"/>
          <w:lang w:val="sl-SI"/>
        </w:rPr>
        <w:t xml:space="preserve"> </w:t>
      </w:r>
      <w:r w:rsidRPr="001048FE">
        <w:rPr>
          <w:lang w:val="sl-SI"/>
        </w:rPr>
        <w:t>Izvajalski</w:t>
      </w:r>
      <w:r w:rsidRPr="001048FE">
        <w:rPr>
          <w:spacing w:val="-19"/>
          <w:lang w:val="sl-SI"/>
        </w:rPr>
        <w:t xml:space="preserve"> </w:t>
      </w:r>
      <w:r w:rsidRPr="001048FE">
        <w:rPr>
          <w:lang w:val="sl-SI"/>
        </w:rPr>
        <w:t>agenciji</w:t>
      </w:r>
      <w:r w:rsidRPr="001048FE">
        <w:rPr>
          <w:spacing w:val="-19"/>
          <w:lang w:val="sl-SI"/>
        </w:rPr>
        <w:t xml:space="preserve"> </w:t>
      </w:r>
      <w:r w:rsidRPr="001048FE">
        <w:rPr>
          <w:lang w:val="sl-SI"/>
        </w:rPr>
        <w:t>in</w:t>
      </w:r>
      <w:r w:rsidRPr="001048FE">
        <w:rPr>
          <w:spacing w:val="-19"/>
          <w:lang w:val="sl-SI"/>
        </w:rPr>
        <w:t xml:space="preserve"> </w:t>
      </w:r>
      <w:r w:rsidRPr="001048FE">
        <w:rPr>
          <w:lang w:val="sl-SI"/>
        </w:rPr>
        <w:t>nacionalne</w:t>
      </w:r>
      <w:r w:rsidRPr="001048FE">
        <w:rPr>
          <w:spacing w:val="-19"/>
          <w:lang w:val="sl-SI"/>
        </w:rPr>
        <w:t xml:space="preserve"> </w:t>
      </w:r>
      <w:r w:rsidRPr="001048FE">
        <w:rPr>
          <w:lang w:val="sl-SI"/>
        </w:rPr>
        <w:t>enote</w:t>
      </w:r>
      <w:r w:rsidRPr="001048FE">
        <w:rPr>
          <w:spacing w:val="-19"/>
          <w:lang w:val="sl-SI"/>
        </w:rPr>
        <w:t xml:space="preserve"> </w:t>
      </w:r>
      <w:r w:rsidRPr="001048FE">
        <w:rPr>
          <w:lang w:val="sl-SI"/>
        </w:rPr>
        <w:t>s</w:t>
      </w:r>
      <w:r w:rsidRPr="001048FE">
        <w:rPr>
          <w:spacing w:val="-19"/>
          <w:lang w:val="sl-SI"/>
        </w:rPr>
        <w:t xml:space="preserve"> </w:t>
      </w:r>
      <w:r w:rsidRPr="001048FE">
        <w:rPr>
          <w:lang w:val="sl-SI"/>
        </w:rPr>
        <w:t>sedežem</w:t>
      </w:r>
      <w:r w:rsidRPr="001048FE">
        <w:rPr>
          <w:spacing w:val="-19"/>
          <w:lang w:val="sl-SI"/>
        </w:rPr>
        <w:t xml:space="preserve"> </w:t>
      </w:r>
      <w:r w:rsidRPr="001048FE">
        <w:rPr>
          <w:lang w:val="sl-SI"/>
        </w:rPr>
        <w:t>v vseh državah programa Erasmus+ ter v Albaniji, Bosni in Hercegovini</w:t>
      </w:r>
      <w:r>
        <w:rPr>
          <w:lang w:val="sl-SI"/>
        </w:rPr>
        <w:t xml:space="preserve"> in</w:t>
      </w:r>
      <w:r w:rsidRPr="001048FE">
        <w:rPr>
          <w:lang w:val="sl-SI"/>
        </w:rPr>
        <w:t xml:space="preserve"> Črni gori.</w:t>
      </w:r>
    </w:p>
    <w:p w14:paraId="7D398665" w14:textId="77777777" w:rsidR="00E03711" w:rsidRPr="001048FE" w:rsidRDefault="00E03711" w:rsidP="00995E90">
      <w:pPr>
        <w:pStyle w:val="GUIDE-NORMAL"/>
        <w:rPr>
          <w:lang w:val="sl-SI"/>
        </w:rPr>
      </w:pPr>
      <w:r w:rsidRPr="001048FE">
        <w:rPr>
          <w:lang w:val="sl-SI"/>
        </w:rPr>
        <w:t xml:space="preserve">Več informacij je na voljo na </w:t>
      </w:r>
      <w:r w:rsidRPr="004E4C36">
        <w:rPr>
          <w:lang w:val="sl-SI"/>
        </w:rPr>
        <w:t>spletišču Izvajalske agencije</w:t>
      </w:r>
      <w:r>
        <w:rPr>
          <w:lang w:val="sl-SI"/>
        </w:rPr>
        <w:t xml:space="preserve">: </w:t>
      </w:r>
      <w:hyperlink r:id="rId35" w:history="1">
        <w:r w:rsidRPr="004E4C36">
          <w:rPr>
            <w:rStyle w:val="Hyperlink"/>
            <w:noProof/>
            <w:lang w:val="sl-SI"/>
          </w:rPr>
          <w:t>https://eacea.ec.europa.eu/homepage</w:t>
        </w:r>
      </w:hyperlink>
      <w:r w:rsidRPr="004E4C36">
        <w:rPr>
          <w:noProof/>
          <w:lang w:val="sl-SI"/>
        </w:rPr>
        <w:t xml:space="preserve">   </w:t>
      </w:r>
    </w:p>
    <w:p w14:paraId="7D398666" w14:textId="77777777" w:rsidR="00E03711" w:rsidRPr="001048FE" w:rsidRDefault="00E03711" w:rsidP="00995E90">
      <w:pPr>
        <w:pStyle w:val="Guide-Heading4"/>
        <w:rPr>
          <w:lang w:val="sl-SI"/>
        </w:rPr>
      </w:pPr>
      <w:bookmarkStart w:id="84" w:name="_Toc527401098"/>
      <w:r w:rsidRPr="001048FE">
        <w:rPr>
          <w:lang w:val="sl-SI"/>
        </w:rPr>
        <w:t>Mreža nacionalnih korespondentov za mladinsko spletno platformo wiki</w:t>
      </w:r>
      <w:bookmarkEnd w:id="84"/>
    </w:p>
    <w:p w14:paraId="7D398667" w14:textId="77777777" w:rsidR="00E03711" w:rsidRPr="001048FE" w:rsidRDefault="00E03711" w:rsidP="00995E90">
      <w:pPr>
        <w:pStyle w:val="GUIDE-NORMAL"/>
        <w:rPr>
          <w:lang w:val="sl-SI"/>
        </w:rPr>
      </w:pPr>
      <w:r w:rsidRPr="001048FE">
        <w:rPr>
          <w:lang w:val="sl-SI"/>
        </w:rPr>
        <w:t>V</w:t>
      </w:r>
      <w:r w:rsidRPr="001048FE">
        <w:rPr>
          <w:spacing w:val="-11"/>
          <w:lang w:val="sl-SI"/>
        </w:rPr>
        <w:t xml:space="preserve"> </w:t>
      </w:r>
      <w:r w:rsidRPr="001048FE">
        <w:rPr>
          <w:lang w:val="sl-SI"/>
        </w:rPr>
        <w:t>skladu</w:t>
      </w:r>
      <w:r w:rsidRPr="001048FE">
        <w:rPr>
          <w:spacing w:val="-11"/>
          <w:lang w:val="sl-SI"/>
        </w:rPr>
        <w:t xml:space="preserve"> </w:t>
      </w:r>
      <w:r w:rsidRPr="001048FE">
        <w:rPr>
          <w:lang w:val="sl-SI"/>
        </w:rPr>
        <w:t>s</w:t>
      </w:r>
      <w:r w:rsidRPr="001048FE">
        <w:rPr>
          <w:spacing w:val="-11"/>
          <w:lang w:val="sl-SI"/>
        </w:rPr>
        <w:t xml:space="preserve"> </w:t>
      </w:r>
      <w:r w:rsidRPr="001048FE">
        <w:rPr>
          <w:lang w:val="sl-SI"/>
        </w:rPr>
        <w:t>strategijo</w:t>
      </w:r>
      <w:r w:rsidRPr="001048FE">
        <w:rPr>
          <w:spacing w:val="-11"/>
          <w:lang w:val="sl-SI"/>
        </w:rPr>
        <w:t xml:space="preserve"> </w:t>
      </w:r>
      <w:r w:rsidRPr="001048FE">
        <w:rPr>
          <w:lang w:val="sl-SI"/>
        </w:rPr>
        <w:t>EU</w:t>
      </w:r>
      <w:r w:rsidRPr="001048FE">
        <w:rPr>
          <w:spacing w:val="-11"/>
          <w:lang w:val="sl-SI"/>
        </w:rPr>
        <w:t xml:space="preserve"> </w:t>
      </w:r>
      <w:r w:rsidRPr="001048FE">
        <w:rPr>
          <w:lang w:val="sl-SI"/>
        </w:rPr>
        <w:t>za</w:t>
      </w:r>
      <w:r w:rsidRPr="001048FE">
        <w:rPr>
          <w:spacing w:val="-11"/>
          <w:lang w:val="sl-SI"/>
        </w:rPr>
        <w:t xml:space="preserve"> </w:t>
      </w:r>
      <w:r w:rsidRPr="001048FE">
        <w:rPr>
          <w:lang w:val="sl-SI"/>
        </w:rPr>
        <w:t>mlade</w:t>
      </w:r>
      <w:r w:rsidRPr="001048FE">
        <w:rPr>
          <w:spacing w:val="-11"/>
          <w:lang w:val="sl-SI"/>
        </w:rPr>
        <w:t xml:space="preserve"> </w:t>
      </w:r>
      <w:r w:rsidRPr="001048FE">
        <w:rPr>
          <w:lang w:val="sl-SI"/>
        </w:rPr>
        <w:t>in</w:t>
      </w:r>
      <w:r w:rsidRPr="001048FE">
        <w:rPr>
          <w:spacing w:val="-11"/>
          <w:lang w:val="sl-SI"/>
        </w:rPr>
        <w:t xml:space="preserve"> </w:t>
      </w:r>
      <w:r w:rsidRPr="001048FE">
        <w:rPr>
          <w:lang w:val="sl-SI"/>
        </w:rPr>
        <w:t>ciljem</w:t>
      </w:r>
      <w:r w:rsidRPr="001048FE">
        <w:rPr>
          <w:spacing w:val="-11"/>
          <w:lang w:val="sl-SI"/>
        </w:rPr>
        <w:t xml:space="preserve"> </w:t>
      </w:r>
      <w:r w:rsidRPr="001048FE">
        <w:rPr>
          <w:lang w:val="sl-SI"/>
        </w:rPr>
        <w:t>izboljšanja</w:t>
      </w:r>
      <w:r w:rsidRPr="001048FE">
        <w:rPr>
          <w:spacing w:val="-11"/>
          <w:lang w:val="sl-SI"/>
        </w:rPr>
        <w:t xml:space="preserve"> </w:t>
      </w:r>
      <w:r w:rsidRPr="001048FE">
        <w:rPr>
          <w:lang w:val="sl-SI"/>
        </w:rPr>
        <w:t>znanja</w:t>
      </w:r>
      <w:r w:rsidRPr="001048FE">
        <w:rPr>
          <w:spacing w:val="-11"/>
          <w:lang w:val="sl-SI"/>
        </w:rPr>
        <w:t xml:space="preserve"> </w:t>
      </w:r>
      <w:r w:rsidRPr="001048FE">
        <w:rPr>
          <w:lang w:val="sl-SI"/>
        </w:rPr>
        <w:t>o</w:t>
      </w:r>
      <w:r w:rsidRPr="001048FE">
        <w:rPr>
          <w:spacing w:val="-10"/>
          <w:lang w:val="sl-SI"/>
        </w:rPr>
        <w:t xml:space="preserve"> </w:t>
      </w:r>
      <w:r w:rsidRPr="001048FE">
        <w:rPr>
          <w:lang w:val="sl-SI"/>
        </w:rPr>
        <w:t>vprašanjih</w:t>
      </w:r>
      <w:r w:rsidRPr="001048FE">
        <w:rPr>
          <w:spacing w:val="-11"/>
          <w:lang w:val="sl-SI"/>
        </w:rPr>
        <w:t xml:space="preserve"> </w:t>
      </w:r>
      <w:r w:rsidRPr="001048FE">
        <w:rPr>
          <w:lang w:val="sl-SI"/>
        </w:rPr>
        <w:t>v</w:t>
      </w:r>
      <w:r w:rsidRPr="001048FE">
        <w:rPr>
          <w:spacing w:val="-11"/>
          <w:lang w:val="sl-SI"/>
        </w:rPr>
        <w:t xml:space="preserve"> </w:t>
      </w:r>
      <w:r w:rsidRPr="001048FE">
        <w:rPr>
          <w:lang w:val="sl-SI"/>
        </w:rPr>
        <w:t>zvezi</w:t>
      </w:r>
      <w:r w:rsidRPr="001048FE">
        <w:rPr>
          <w:spacing w:val="-11"/>
          <w:lang w:val="sl-SI"/>
        </w:rPr>
        <w:t xml:space="preserve"> </w:t>
      </w:r>
      <w:r w:rsidRPr="001048FE">
        <w:rPr>
          <w:lang w:val="sl-SI"/>
        </w:rPr>
        <w:t>z</w:t>
      </w:r>
      <w:r w:rsidRPr="001048FE">
        <w:rPr>
          <w:spacing w:val="-11"/>
          <w:lang w:val="sl-SI"/>
        </w:rPr>
        <w:t xml:space="preserve"> </w:t>
      </w:r>
      <w:r w:rsidRPr="001048FE">
        <w:rPr>
          <w:lang w:val="sl-SI"/>
        </w:rPr>
        <w:t>mladimi</w:t>
      </w:r>
      <w:r w:rsidRPr="001048FE">
        <w:rPr>
          <w:spacing w:val="-11"/>
          <w:lang w:val="sl-SI"/>
        </w:rPr>
        <w:t xml:space="preserve"> </w:t>
      </w:r>
      <w:r w:rsidRPr="001048FE">
        <w:rPr>
          <w:lang w:val="sl-SI"/>
        </w:rPr>
        <w:t>v</w:t>
      </w:r>
      <w:r w:rsidRPr="001048FE">
        <w:rPr>
          <w:spacing w:val="-11"/>
          <w:lang w:val="sl-SI"/>
        </w:rPr>
        <w:t xml:space="preserve"> </w:t>
      </w:r>
      <w:r w:rsidRPr="001048FE">
        <w:rPr>
          <w:lang w:val="sl-SI"/>
        </w:rPr>
        <w:t>Evropi je na voljo finančna podpora za nacionalne strukture, ki prispevajo k mladinsk</w:t>
      </w:r>
      <w:r>
        <w:rPr>
          <w:lang w:val="sl-SI"/>
        </w:rPr>
        <w:t>i</w:t>
      </w:r>
      <w:r w:rsidRPr="001048FE">
        <w:rPr>
          <w:lang w:val="sl-SI"/>
        </w:rPr>
        <w:t xml:space="preserve"> spletn</w:t>
      </w:r>
      <w:r>
        <w:rPr>
          <w:lang w:val="sl-SI"/>
        </w:rPr>
        <w:t>i</w:t>
      </w:r>
      <w:r w:rsidRPr="001048FE">
        <w:rPr>
          <w:lang w:val="sl-SI"/>
        </w:rPr>
        <w:t xml:space="preserve"> platform</w:t>
      </w:r>
      <w:r>
        <w:rPr>
          <w:lang w:val="sl-SI"/>
        </w:rPr>
        <w:t>i</w:t>
      </w:r>
      <w:r w:rsidRPr="001048FE">
        <w:rPr>
          <w:lang w:val="sl-SI"/>
        </w:rPr>
        <w:t xml:space="preserve"> wiki, interaktivnega orodja, ki razumljivo in ažurno zagotavlja koristne informacije o položaju mladih v Evropi ter o nacionalnih mladinskih</w:t>
      </w:r>
      <w:r w:rsidRPr="001048FE">
        <w:rPr>
          <w:spacing w:val="-13"/>
          <w:lang w:val="sl-SI"/>
        </w:rPr>
        <w:t xml:space="preserve"> </w:t>
      </w:r>
      <w:r w:rsidRPr="001048FE">
        <w:rPr>
          <w:lang w:val="sl-SI"/>
        </w:rPr>
        <w:t>politikah.</w:t>
      </w:r>
    </w:p>
    <w:p w14:paraId="7D398668" w14:textId="77777777" w:rsidR="00E03711" w:rsidRPr="001048FE" w:rsidRDefault="00E03711" w:rsidP="00995E90">
      <w:pPr>
        <w:pStyle w:val="GUIDE-NORMAL"/>
        <w:rPr>
          <w:lang w:val="sl-SI"/>
        </w:rPr>
      </w:pPr>
      <w:r w:rsidRPr="001048FE">
        <w:rPr>
          <w:lang w:val="sl-SI"/>
        </w:rPr>
        <w:t>Organom, ki jih imenujejo nacionalni organi in imajo sedež v državi Programa, je zagotovljena finančna</w:t>
      </w:r>
      <w:r w:rsidRPr="001048FE">
        <w:rPr>
          <w:spacing w:val="-7"/>
          <w:lang w:val="sl-SI"/>
        </w:rPr>
        <w:t xml:space="preserve"> </w:t>
      </w:r>
      <w:r w:rsidRPr="001048FE">
        <w:rPr>
          <w:lang w:val="sl-SI"/>
        </w:rPr>
        <w:t>podpora</w:t>
      </w:r>
      <w:r w:rsidRPr="001048FE">
        <w:rPr>
          <w:spacing w:val="-7"/>
          <w:lang w:val="sl-SI"/>
        </w:rPr>
        <w:t xml:space="preserve"> </w:t>
      </w:r>
      <w:r w:rsidRPr="001048FE">
        <w:rPr>
          <w:lang w:val="sl-SI"/>
        </w:rPr>
        <w:t>za</w:t>
      </w:r>
      <w:r w:rsidRPr="001048FE">
        <w:rPr>
          <w:spacing w:val="-7"/>
          <w:lang w:val="sl-SI"/>
        </w:rPr>
        <w:t xml:space="preserve"> </w:t>
      </w:r>
      <w:r w:rsidRPr="001048FE">
        <w:rPr>
          <w:lang w:val="sl-SI"/>
        </w:rPr>
        <w:t>ukrepe,</w:t>
      </w:r>
      <w:r w:rsidRPr="001048FE">
        <w:rPr>
          <w:spacing w:val="-7"/>
          <w:lang w:val="sl-SI"/>
        </w:rPr>
        <w:t xml:space="preserve"> </w:t>
      </w:r>
      <w:r w:rsidRPr="001048FE">
        <w:rPr>
          <w:lang w:val="sl-SI"/>
        </w:rPr>
        <w:t>ki</w:t>
      </w:r>
      <w:r w:rsidRPr="001048FE">
        <w:rPr>
          <w:spacing w:val="-7"/>
          <w:lang w:val="sl-SI"/>
        </w:rPr>
        <w:t xml:space="preserve"> </w:t>
      </w:r>
      <w:r w:rsidRPr="001048FE">
        <w:rPr>
          <w:lang w:val="sl-SI"/>
        </w:rPr>
        <w:t>jih</w:t>
      </w:r>
      <w:r w:rsidRPr="001048FE">
        <w:rPr>
          <w:spacing w:val="-7"/>
          <w:lang w:val="sl-SI"/>
        </w:rPr>
        <w:t xml:space="preserve"> </w:t>
      </w:r>
      <w:r w:rsidRPr="001048FE">
        <w:rPr>
          <w:lang w:val="sl-SI"/>
        </w:rPr>
        <w:t>izvedejo</w:t>
      </w:r>
      <w:r w:rsidRPr="001048FE">
        <w:rPr>
          <w:spacing w:val="-7"/>
          <w:lang w:val="sl-SI"/>
        </w:rPr>
        <w:t xml:space="preserve"> </w:t>
      </w:r>
      <w:r w:rsidRPr="001048FE">
        <w:rPr>
          <w:lang w:val="sl-SI"/>
        </w:rPr>
        <w:t>za</w:t>
      </w:r>
      <w:r w:rsidRPr="001048FE">
        <w:rPr>
          <w:spacing w:val="-7"/>
          <w:lang w:val="sl-SI"/>
        </w:rPr>
        <w:t xml:space="preserve"> </w:t>
      </w:r>
      <w:r w:rsidRPr="001048FE">
        <w:rPr>
          <w:lang w:val="sl-SI"/>
        </w:rPr>
        <w:t>pripravo</w:t>
      </w:r>
      <w:r w:rsidRPr="001048FE">
        <w:rPr>
          <w:spacing w:val="-7"/>
          <w:lang w:val="sl-SI"/>
        </w:rPr>
        <w:t xml:space="preserve"> </w:t>
      </w:r>
      <w:r w:rsidRPr="001048FE">
        <w:rPr>
          <w:lang w:val="sl-SI"/>
        </w:rPr>
        <w:t>informacij</w:t>
      </w:r>
      <w:r w:rsidRPr="001048FE">
        <w:rPr>
          <w:spacing w:val="-7"/>
          <w:lang w:val="sl-SI"/>
        </w:rPr>
        <w:t xml:space="preserve"> </w:t>
      </w:r>
      <w:r w:rsidRPr="001048FE">
        <w:rPr>
          <w:lang w:val="sl-SI"/>
        </w:rPr>
        <w:t>za</w:t>
      </w:r>
      <w:r w:rsidRPr="001048FE">
        <w:rPr>
          <w:spacing w:val="-7"/>
          <w:lang w:val="sl-SI"/>
        </w:rPr>
        <w:t xml:space="preserve"> </w:t>
      </w:r>
      <w:r w:rsidRPr="001048FE">
        <w:rPr>
          <w:lang w:val="sl-SI"/>
        </w:rPr>
        <w:t>posamezno</w:t>
      </w:r>
      <w:r w:rsidRPr="001048FE">
        <w:rPr>
          <w:spacing w:val="-7"/>
          <w:lang w:val="sl-SI"/>
        </w:rPr>
        <w:t xml:space="preserve"> </w:t>
      </w:r>
      <w:r w:rsidRPr="001048FE">
        <w:rPr>
          <w:lang w:val="sl-SI"/>
        </w:rPr>
        <w:t>državo,</w:t>
      </w:r>
      <w:r w:rsidRPr="001048FE">
        <w:rPr>
          <w:spacing w:val="-7"/>
          <w:lang w:val="sl-SI"/>
        </w:rPr>
        <w:t xml:space="preserve"> </w:t>
      </w:r>
      <w:r w:rsidRPr="001048FE">
        <w:rPr>
          <w:lang w:val="sl-SI"/>
        </w:rPr>
        <w:t>primerljivih opisov</w:t>
      </w:r>
      <w:r w:rsidRPr="001048FE">
        <w:rPr>
          <w:spacing w:val="-17"/>
          <w:lang w:val="sl-SI"/>
        </w:rPr>
        <w:t xml:space="preserve"> </w:t>
      </w:r>
      <w:r w:rsidRPr="001048FE">
        <w:rPr>
          <w:lang w:val="sl-SI"/>
        </w:rPr>
        <w:t>držav</w:t>
      </w:r>
      <w:r w:rsidRPr="001048FE">
        <w:rPr>
          <w:spacing w:val="-17"/>
          <w:lang w:val="sl-SI"/>
        </w:rPr>
        <w:t xml:space="preserve"> </w:t>
      </w:r>
      <w:r w:rsidRPr="001048FE">
        <w:rPr>
          <w:lang w:val="sl-SI"/>
        </w:rPr>
        <w:t>in</w:t>
      </w:r>
      <w:r w:rsidRPr="001048FE">
        <w:rPr>
          <w:spacing w:val="-17"/>
          <w:lang w:val="sl-SI"/>
        </w:rPr>
        <w:t xml:space="preserve"> </w:t>
      </w:r>
      <w:r w:rsidRPr="001048FE">
        <w:rPr>
          <w:lang w:val="sl-SI"/>
        </w:rPr>
        <w:t>kazalnikov,</w:t>
      </w:r>
      <w:r w:rsidRPr="001048FE">
        <w:rPr>
          <w:spacing w:val="-17"/>
          <w:lang w:val="sl-SI"/>
        </w:rPr>
        <w:t xml:space="preserve"> </w:t>
      </w:r>
      <w:r w:rsidRPr="001048FE">
        <w:rPr>
          <w:lang w:val="sl-SI"/>
        </w:rPr>
        <w:t>ki</w:t>
      </w:r>
      <w:r w:rsidRPr="001048FE">
        <w:rPr>
          <w:spacing w:val="-17"/>
          <w:lang w:val="sl-SI"/>
        </w:rPr>
        <w:t xml:space="preserve"> </w:t>
      </w:r>
      <w:r w:rsidRPr="001048FE">
        <w:rPr>
          <w:lang w:val="sl-SI"/>
        </w:rPr>
        <w:t>prispevajo</w:t>
      </w:r>
      <w:r w:rsidRPr="001048FE">
        <w:rPr>
          <w:spacing w:val="-17"/>
          <w:lang w:val="sl-SI"/>
        </w:rPr>
        <w:t xml:space="preserve"> </w:t>
      </w:r>
      <w:r w:rsidRPr="001048FE">
        <w:rPr>
          <w:lang w:val="sl-SI"/>
        </w:rPr>
        <w:t>k</w:t>
      </w:r>
      <w:r w:rsidRPr="001048FE">
        <w:rPr>
          <w:spacing w:val="-17"/>
          <w:lang w:val="sl-SI"/>
        </w:rPr>
        <w:t xml:space="preserve"> </w:t>
      </w:r>
      <w:r w:rsidRPr="001048FE">
        <w:rPr>
          <w:lang w:val="sl-SI"/>
        </w:rPr>
        <w:t>boljšemu</w:t>
      </w:r>
      <w:r w:rsidRPr="001048FE">
        <w:rPr>
          <w:spacing w:val="-17"/>
          <w:lang w:val="sl-SI"/>
        </w:rPr>
        <w:t xml:space="preserve"> </w:t>
      </w:r>
      <w:r w:rsidRPr="001048FE">
        <w:rPr>
          <w:lang w:val="sl-SI"/>
        </w:rPr>
        <w:t>vzajemnemu</w:t>
      </w:r>
      <w:r w:rsidRPr="001048FE">
        <w:rPr>
          <w:spacing w:val="-17"/>
          <w:lang w:val="sl-SI"/>
        </w:rPr>
        <w:t xml:space="preserve"> </w:t>
      </w:r>
      <w:r w:rsidRPr="001048FE">
        <w:rPr>
          <w:lang w:val="sl-SI"/>
        </w:rPr>
        <w:t>razumevanju</w:t>
      </w:r>
      <w:r w:rsidRPr="001048FE">
        <w:rPr>
          <w:spacing w:val="-17"/>
          <w:lang w:val="sl-SI"/>
        </w:rPr>
        <w:t xml:space="preserve"> </w:t>
      </w:r>
      <w:r w:rsidRPr="001048FE">
        <w:rPr>
          <w:lang w:val="sl-SI"/>
        </w:rPr>
        <w:t>sistemov</w:t>
      </w:r>
      <w:r w:rsidRPr="001048FE">
        <w:rPr>
          <w:spacing w:val="-17"/>
          <w:lang w:val="sl-SI"/>
        </w:rPr>
        <w:t xml:space="preserve"> </w:t>
      </w:r>
      <w:r w:rsidRPr="001048FE">
        <w:rPr>
          <w:lang w:val="sl-SI"/>
        </w:rPr>
        <w:t>na</w:t>
      </w:r>
      <w:r w:rsidRPr="001048FE">
        <w:rPr>
          <w:spacing w:val="-17"/>
          <w:lang w:val="sl-SI"/>
        </w:rPr>
        <w:t xml:space="preserve"> </w:t>
      </w:r>
      <w:r w:rsidRPr="001048FE">
        <w:rPr>
          <w:lang w:val="sl-SI"/>
        </w:rPr>
        <w:t>področju mladih in mladinskih politik v</w:t>
      </w:r>
      <w:r w:rsidRPr="001048FE">
        <w:rPr>
          <w:spacing w:val="-8"/>
          <w:lang w:val="sl-SI"/>
        </w:rPr>
        <w:t xml:space="preserve"> </w:t>
      </w:r>
      <w:r w:rsidRPr="001048FE">
        <w:rPr>
          <w:lang w:val="sl-SI"/>
        </w:rPr>
        <w:t>Evropi.</w:t>
      </w:r>
    </w:p>
    <w:p w14:paraId="7D398669" w14:textId="77777777" w:rsidR="00E03711" w:rsidRPr="001048FE" w:rsidRDefault="00E03711" w:rsidP="00995E90">
      <w:pPr>
        <w:pStyle w:val="Guide-Heading4"/>
        <w:rPr>
          <w:lang w:val="sl-SI"/>
        </w:rPr>
      </w:pPr>
      <w:bookmarkStart w:id="85" w:name="_Toc527401099"/>
      <w:r w:rsidRPr="001048FE">
        <w:rPr>
          <w:lang w:val="sl-SI"/>
        </w:rPr>
        <w:t>Svetovalne službe eTwinning</w:t>
      </w:r>
      <w:bookmarkEnd w:id="85"/>
    </w:p>
    <w:p w14:paraId="7D39866A" w14:textId="77777777" w:rsidR="00E03711" w:rsidRPr="001048FE" w:rsidRDefault="00A6094F" w:rsidP="00995E90">
      <w:pPr>
        <w:pStyle w:val="GUIDE-NORMAL"/>
        <w:rPr>
          <w:lang w:val="sl-SI"/>
        </w:rPr>
      </w:pPr>
      <w:hyperlink r:id="rId36">
        <w:r w:rsidR="00E03711" w:rsidRPr="001048FE">
          <w:rPr>
            <w:rStyle w:val="Hyperlink"/>
            <w:lang w:val="sl-SI"/>
          </w:rPr>
          <w:t>eTwinning</w:t>
        </w:r>
        <w:r w:rsidR="00E03711" w:rsidRPr="001048FE">
          <w:rPr>
            <w:spacing w:val="-15"/>
            <w:lang w:val="sl-SI"/>
          </w:rPr>
          <w:t xml:space="preserve"> </w:t>
        </w:r>
      </w:hyperlink>
      <w:r w:rsidR="00E03711" w:rsidRPr="001048FE">
        <w:rPr>
          <w:lang w:val="sl-SI"/>
        </w:rPr>
        <w:t>je</w:t>
      </w:r>
      <w:r w:rsidR="00E03711" w:rsidRPr="001048FE">
        <w:rPr>
          <w:spacing w:val="-16"/>
          <w:lang w:val="sl-SI"/>
        </w:rPr>
        <w:t xml:space="preserve"> </w:t>
      </w:r>
      <w:r w:rsidR="00E03711" w:rsidRPr="001048FE">
        <w:rPr>
          <w:lang w:val="sl-SI"/>
        </w:rPr>
        <w:t>skupnost</w:t>
      </w:r>
      <w:r w:rsidR="00E03711" w:rsidRPr="001048FE">
        <w:rPr>
          <w:spacing w:val="-16"/>
          <w:lang w:val="sl-SI"/>
        </w:rPr>
        <w:t xml:space="preserve"> </w:t>
      </w:r>
      <w:r w:rsidR="00E03711" w:rsidRPr="001048FE">
        <w:rPr>
          <w:lang w:val="sl-SI"/>
        </w:rPr>
        <w:t>učiteljev,</w:t>
      </w:r>
      <w:r w:rsidR="00E03711" w:rsidRPr="001048FE">
        <w:rPr>
          <w:spacing w:val="-16"/>
          <w:lang w:val="sl-SI"/>
        </w:rPr>
        <w:t xml:space="preserve"> </w:t>
      </w:r>
      <w:r w:rsidR="00E03711" w:rsidRPr="001048FE">
        <w:rPr>
          <w:lang w:val="sl-SI"/>
        </w:rPr>
        <w:t>dejavnih</w:t>
      </w:r>
      <w:r w:rsidR="00E03711" w:rsidRPr="001048FE">
        <w:rPr>
          <w:spacing w:val="-16"/>
          <w:lang w:val="sl-SI"/>
        </w:rPr>
        <w:t xml:space="preserve"> </w:t>
      </w:r>
      <w:r w:rsidR="00E03711" w:rsidRPr="001048FE">
        <w:rPr>
          <w:lang w:val="sl-SI"/>
        </w:rPr>
        <w:t>v</w:t>
      </w:r>
      <w:r w:rsidR="00E03711" w:rsidRPr="001048FE">
        <w:rPr>
          <w:spacing w:val="-16"/>
          <w:lang w:val="sl-SI"/>
        </w:rPr>
        <w:t xml:space="preserve"> </w:t>
      </w:r>
      <w:r w:rsidR="00E03711" w:rsidRPr="001048FE">
        <w:rPr>
          <w:lang w:val="sl-SI"/>
        </w:rPr>
        <w:t>predšolski</w:t>
      </w:r>
      <w:r w:rsidR="00E03711" w:rsidRPr="001048FE">
        <w:rPr>
          <w:spacing w:val="-16"/>
          <w:lang w:val="sl-SI"/>
        </w:rPr>
        <w:t xml:space="preserve"> </w:t>
      </w:r>
      <w:r w:rsidR="00E03711" w:rsidRPr="001048FE">
        <w:rPr>
          <w:lang w:val="sl-SI"/>
        </w:rPr>
        <w:t>vzgoji</w:t>
      </w:r>
      <w:r w:rsidR="00E03711" w:rsidRPr="001048FE">
        <w:rPr>
          <w:spacing w:val="-16"/>
          <w:lang w:val="sl-SI"/>
        </w:rPr>
        <w:t xml:space="preserve"> </w:t>
      </w:r>
      <w:r w:rsidR="00E03711" w:rsidRPr="001048FE">
        <w:rPr>
          <w:lang w:val="sl-SI"/>
        </w:rPr>
        <w:t>ter</w:t>
      </w:r>
      <w:r w:rsidR="00E03711" w:rsidRPr="001048FE">
        <w:rPr>
          <w:spacing w:val="-16"/>
          <w:lang w:val="sl-SI"/>
        </w:rPr>
        <w:t xml:space="preserve"> </w:t>
      </w:r>
      <w:r w:rsidR="00E03711" w:rsidRPr="001048FE">
        <w:rPr>
          <w:lang w:val="sl-SI"/>
        </w:rPr>
        <w:t>osnovnošolskem</w:t>
      </w:r>
      <w:r w:rsidR="00E03711" w:rsidRPr="001048FE">
        <w:rPr>
          <w:spacing w:val="-15"/>
          <w:lang w:val="sl-SI"/>
        </w:rPr>
        <w:t xml:space="preserve"> </w:t>
      </w:r>
      <w:r w:rsidR="00E03711" w:rsidRPr="001048FE">
        <w:rPr>
          <w:lang w:val="sl-SI"/>
        </w:rPr>
        <w:t>in</w:t>
      </w:r>
      <w:r w:rsidR="00E03711" w:rsidRPr="001048FE">
        <w:rPr>
          <w:spacing w:val="-16"/>
          <w:lang w:val="sl-SI"/>
        </w:rPr>
        <w:t xml:space="preserve"> </w:t>
      </w:r>
      <w:r w:rsidR="00E03711" w:rsidRPr="001048FE">
        <w:rPr>
          <w:lang w:val="sl-SI"/>
        </w:rPr>
        <w:t>srednješolskem izobraževanju, ki gostuje na varni platformi, do katere lahko dostopajo le učitelji, ki so jih odobrili nacionalni organi. Udeleženci lahko sodelujejo v številnih aktivnostih: lahko izvajajo projekte z drugimi šolami in učilnicami; lahko razpravljajo s kolegi in razvijajo poklicno mreženje; lahko se vključijo v različne priložnosti za poklicni razvoj (na spletu ali osebno) itd. eTwinning se financira v okviru</w:t>
      </w:r>
      <w:r w:rsidR="00E03711" w:rsidRPr="001048FE">
        <w:rPr>
          <w:spacing w:val="-5"/>
          <w:lang w:val="sl-SI"/>
        </w:rPr>
        <w:t xml:space="preserve"> </w:t>
      </w:r>
      <w:r w:rsidR="00E03711" w:rsidRPr="001048FE">
        <w:rPr>
          <w:lang w:val="sl-SI"/>
        </w:rPr>
        <w:t>ključnega</w:t>
      </w:r>
      <w:r w:rsidR="00E03711" w:rsidRPr="001048FE">
        <w:rPr>
          <w:spacing w:val="-5"/>
          <w:lang w:val="sl-SI"/>
        </w:rPr>
        <w:t xml:space="preserve"> </w:t>
      </w:r>
      <w:r w:rsidR="00E03711" w:rsidRPr="001048FE">
        <w:rPr>
          <w:lang w:val="sl-SI"/>
        </w:rPr>
        <w:t>ukrepa</w:t>
      </w:r>
      <w:r w:rsidR="00E03711" w:rsidRPr="001048FE">
        <w:rPr>
          <w:spacing w:val="-5"/>
          <w:lang w:val="sl-SI"/>
        </w:rPr>
        <w:t xml:space="preserve"> </w:t>
      </w:r>
      <w:r w:rsidR="00E03711" w:rsidRPr="001048FE">
        <w:rPr>
          <w:lang w:val="sl-SI"/>
        </w:rPr>
        <w:t>2</w:t>
      </w:r>
      <w:r w:rsidR="00E03711" w:rsidRPr="001048FE">
        <w:rPr>
          <w:spacing w:val="-5"/>
          <w:lang w:val="sl-SI"/>
        </w:rPr>
        <w:t xml:space="preserve"> </w:t>
      </w:r>
      <w:r w:rsidR="00E03711" w:rsidRPr="001048FE">
        <w:rPr>
          <w:lang w:val="sl-SI"/>
        </w:rPr>
        <w:t>programa</w:t>
      </w:r>
      <w:r w:rsidR="00E03711" w:rsidRPr="001048FE">
        <w:rPr>
          <w:spacing w:val="-5"/>
          <w:lang w:val="sl-SI"/>
        </w:rPr>
        <w:t xml:space="preserve"> </w:t>
      </w:r>
      <w:r w:rsidR="00E03711" w:rsidRPr="001048FE">
        <w:rPr>
          <w:lang w:val="sl-SI"/>
        </w:rPr>
        <w:t>Erasmus+.</w:t>
      </w:r>
      <w:r w:rsidR="00E03711" w:rsidRPr="001048FE">
        <w:rPr>
          <w:spacing w:val="-5"/>
          <w:lang w:val="sl-SI"/>
        </w:rPr>
        <w:t xml:space="preserve"> </w:t>
      </w:r>
      <w:r w:rsidR="00E03711" w:rsidRPr="001048FE">
        <w:rPr>
          <w:lang w:val="sl-SI"/>
        </w:rPr>
        <w:t>Od</w:t>
      </w:r>
      <w:r w:rsidR="00E03711" w:rsidRPr="001048FE">
        <w:rPr>
          <w:spacing w:val="-5"/>
          <w:lang w:val="sl-SI"/>
        </w:rPr>
        <w:t xml:space="preserve"> </w:t>
      </w:r>
      <w:r w:rsidR="00E03711" w:rsidRPr="001048FE">
        <w:rPr>
          <w:lang w:val="sl-SI"/>
        </w:rPr>
        <w:t>leta</w:t>
      </w:r>
      <w:r w:rsidR="00E03711" w:rsidRPr="001048FE">
        <w:rPr>
          <w:spacing w:val="-5"/>
          <w:lang w:val="sl-SI"/>
        </w:rPr>
        <w:t xml:space="preserve"> </w:t>
      </w:r>
      <w:r w:rsidR="00E03711" w:rsidRPr="001048FE">
        <w:rPr>
          <w:lang w:val="sl-SI"/>
        </w:rPr>
        <w:t>2005,</w:t>
      </w:r>
      <w:r w:rsidR="00E03711" w:rsidRPr="001048FE">
        <w:rPr>
          <w:spacing w:val="-5"/>
          <w:lang w:val="sl-SI"/>
        </w:rPr>
        <w:t xml:space="preserve"> </w:t>
      </w:r>
      <w:r w:rsidR="00E03711" w:rsidRPr="001048FE">
        <w:rPr>
          <w:lang w:val="sl-SI"/>
        </w:rPr>
        <w:t>ko</w:t>
      </w:r>
      <w:r w:rsidR="00E03711" w:rsidRPr="001048FE">
        <w:rPr>
          <w:spacing w:val="-5"/>
          <w:lang w:val="sl-SI"/>
        </w:rPr>
        <w:t xml:space="preserve"> </w:t>
      </w:r>
      <w:r w:rsidR="00E03711" w:rsidRPr="001048FE">
        <w:rPr>
          <w:lang w:val="sl-SI"/>
        </w:rPr>
        <w:t>je</w:t>
      </w:r>
      <w:r w:rsidR="00E03711" w:rsidRPr="001048FE">
        <w:rPr>
          <w:spacing w:val="-5"/>
          <w:lang w:val="sl-SI"/>
        </w:rPr>
        <w:t xml:space="preserve"> </w:t>
      </w:r>
      <w:r w:rsidR="00E03711" w:rsidRPr="001048FE">
        <w:rPr>
          <w:lang w:val="sl-SI"/>
        </w:rPr>
        <w:t>začel</w:t>
      </w:r>
      <w:r w:rsidR="00E03711" w:rsidRPr="001048FE">
        <w:rPr>
          <w:spacing w:val="-5"/>
          <w:lang w:val="sl-SI"/>
        </w:rPr>
        <w:t xml:space="preserve"> </w:t>
      </w:r>
      <w:r w:rsidR="00E03711" w:rsidRPr="001048FE">
        <w:rPr>
          <w:lang w:val="sl-SI"/>
        </w:rPr>
        <w:t>delovati,</w:t>
      </w:r>
      <w:r w:rsidR="00E03711" w:rsidRPr="001048FE">
        <w:rPr>
          <w:spacing w:val="-5"/>
          <w:lang w:val="sl-SI"/>
        </w:rPr>
        <w:t xml:space="preserve"> </w:t>
      </w:r>
      <w:r w:rsidR="00E03711" w:rsidRPr="001048FE">
        <w:rPr>
          <w:lang w:val="sl-SI"/>
        </w:rPr>
        <w:t>se</w:t>
      </w:r>
      <w:r w:rsidR="00E03711" w:rsidRPr="001048FE">
        <w:rPr>
          <w:spacing w:val="-5"/>
          <w:lang w:val="sl-SI"/>
        </w:rPr>
        <w:t xml:space="preserve"> </w:t>
      </w:r>
      <w:r w:rsidR="00E03711" w:rsidRPr="001048FE">
        <w:rPr>
          <w:lang w:val="sl-SI"/>
        </w:rPr>
        <w:t>je</w:t>
      </w:r>
      <w:r w:rsidR="00E03711" w:rsidRPr="001048FE">
        <w:rPr>
          <w:spacing w:val="-5"/>
          <w:lang w:val="sl-SI"/>
        </w:rPr>
        <w:t xml:space="preserve"> </w:t>
      </w:r>
      <w:r w:rsidR="00E03711" w:rsidRPr="001048FE">
        <w:rPr>
          <w:lang w:val="sl-SI"/>
        </w:rPr>
        <w:t xml:space="preserve">registriralo več kot </w:t>
      </w:r>
      <w:r w:rsidR="00E03711">
        <w:rPr>
          <w:lang w:val="sl-SI"/>
        </w:rPr>
        <w:t>570</w:t>
      </w:r>
      <w:r w:rsidR="00E03711" w:rsidRPr="001048FE">
        <w:rPr>
          <w:lang w:val="sl-SI"/>
        </w:rPr>
        <w:t xml:space="preserve"> 000 učiteljev z več kot 1</w:t>
      </w:r>
      <w:r w:rsidR="00E03711">
        <w:rPr>
          <w:lang w:val="sl-SI"/>
        </w:rPr>
        <w:t>9</w:t>
      </w:r>
      <w:r w:rsidR="00E03711" w:rsidRPr="001048FE">
        <w:rPr>
          <w:lang w:val="sl-SI"/>
        </w:rPr>
        <w:t xml:space="preserve">0 000 šol, v državah Programa pa je bilo izvedenih skoraj </w:t>
      </w:r>
      <w:r w:rsidR="00E03711">
        <w:rPr>
          <w:lang w:val="sl-SI"/>
        </w:rPr>
        <w:t>75</w:t>
      </w:r>
      <w:r w:rsidR="00E03711" w:rsidRPr="001048FE">
        <w:rPr>
          <w:lang w:val="sl-SI"/>
        </w:rPr>
        <w:t xml:space="preserve"> 000</w:t>
      </w:r>
      <w:r w:rsidR="00E03711" w:rsidRPr="001048FE">
        <w:rPr>
          <w:spacing w:val="-3"/>
          <w:lang w:val="sl-SI"/>
        </w:rPr>
        <w:t xml:space="preserve"> </w:t>
      </w:r>
      <w:r w:rsidR="00E03711" w:rsidRPr="001048FE">
        <w:rPr>
          <w:lang w:val="sl-SI"/>
        </w:rPr>
        <w:t>projektov.</w:t>
      </w:r>
    </w:p>
    <w:p w14:paraId="7D39866B" w14:textId="77777777" w:rsidR="00E03711" w:rsidRPr="001048FE" w:rsidRDefault="00E03711" w:rsidP="00995E90">
      <w:pPr>
        <w:pStyle w:val="GUIDE-NORMAL"/>
        <w:rPr>
          <w:lang w:val="sl-SI"/>
        </w:rPr>
      </w:pPr>
      <w:r w:rsidRPr="001048FE">
        <w:rPr>
          <w:lang w:val="sl-SI"/>
        </w:rPr>
        <w:t>Učiteljem</w:t>
      </w:r>
      <w:r w:rsidRPr="001048FE">
        <w:rPr>
          <w:spacing w:val="-12"/>
          <w:lang w:val="sl-SI"/>
        </w:rPr>
        <w:t xml:space="preserve"> </w:t>
      </w:r>
      <w:r w:rsidRPr="001048FE">
        <w:rPr>
          <w:lang w:val="sl-SI"/>
        </w:rPr>
        <w:t>in</w:t>
      </w:r>
      <w:r w:rsidRPr="001048FE">
        <w:rPr>
          <w:spacing w:val="-12"/>
          <w:lang w:val="sl-SI"/>
        </w:rPr>
        <w:t xml:space="preserve"> </w:t>
      </w:r>
      <w:r w:rsidRPr="001048FE">
        <w:rPr>
          <w:lang w:val="sl-SI"/>
        </w:rPr>
        <w:t>šolam,</w:t>
      </w:r>
      <w:r w:rsidRPr="001048FE">
        <w:rPr>
          <w:spacing w:val="-12"/>
          <w:lang w:val="sl-SI"/>
        </w:rPr>
        <w:t xml:space="preserve"> </w:t>
      </w:r>
      <w:r w:rsidRPr="001048FE">
        <w:rPr>
          <w:lang w:val="sl-SI"/>
        </w:rPr>
        <w:t>ki</w:t>
      </w:r>
      <w:r w:rsidRPr="001048FE">
        <w:rPr>
          <w:spacing w:val="-12"/>
          <w:lang w:val="sl-SI"/>
        </w:rPr>
        <w:t xml:space="preserve"> </w:t>
      </w:r>
      <w:r w:rsidRPr="001048FE">
        <w:rPr>
          <w:lang w:val="sl-SI"/>
        </w:rPr>
        <w:t>sodelujejo</w:t>
      </w:r>
      <w:r w:rsidRPr="001048FE">
        <w:rPr>
          <w:spacing w:val="-12"/>
          <w:lang w:val="sl-SI"/>
        </w:rPr>
        <w:t xml:space="preserve"> </w:t>
      </w:r>
      <w:r w:rsidRPr="001048FE">
        <w:rPr>
          <w:lang w:val="sl-SI"/>
        </w:rPr>
        <w:t>v</w:t>
      </w:r>
      <w:r w:rsidRPr="001048FE">
        <w:rPr>
          <w:spacing w:val="-12"/>
          <w:lang w:val="sl-SI"/>
        </w:rPr>
        <w:t xml:space="preserve"> </w:t>
      </w:r>
      <w:r w:rsidRPr="001048FE">
        <w:rPr>
          <w:lang w:val="sl-SI"/>
        </w:rPr>
        <w:t>projektih</w:t>
      </w:r>
      <w:r w:rsidRPr="001048FE">
        <w:rPr>
          <w:spacing w:val="-12"/>
          <w:lang w:val="sl-SI"/>
        </w:rPr>
        <w:t xml:space="preserve"> </w:t>
      </w:r>
      <w:r w:rsidRPr="001048FE">
        <w:rPr>
          <w:lang w:val="sl-SI"/>
        </w:rPr>
        <w:t>eTwinning,</w:t>
      </w:r>
      <w:r w:rsidRPr="001048FE">
        <w:rPr>
          <w:spacing w:val="-12"/>
          <w:lang w:val="sl-SI"/>
        </w:rPr>
        <w:t xml:space="preserve"> </w:t>
      </w:r>
      <w:r w:rsidRPr="001048FE">
        <w:rPr>
          <w:lang w:val="sl-SI"/>
        </w:rPr>
        <w:t>nudijo</w:t>
      </w:r>
      <w:r w:rsidRPr="001048FE">
        <w:rPr>
          <w:spacing w:val="-12"/>
          <w:lang w:val="sl-SI"/>
        </w:rPr>
        <w:t xml:space="preserve"> </w:t>
      </w:r>
      <w:r w:rsidRPr="001048FE">
        <w:rPr>
          <w:lang w:val="sl-SI"/>
        </w:rPr>
        <w:t>podporo</w:t>
      </w:r>
      <w:r w:rsidRPr="001048FE">
        <w:rPr>
          <w:spacing w:val="-12"/>
          <w:lang w:val="sl-SI"/>
        </w:rPr>
        <w:t xml:space="preserve"> </w:t>
      </w:r>
      <w:r w:rsidRPr="001048FE">
        <w:rPr>
          <w:lang w:val="sl-SI"/>
        </w:rPr>
        <w:t>nacionalne</w:t>
      </w:r>
      <w:r w:rsidRPr="001048FE">
        <w:rPr>
          <w:spacing w:val="-12"/>
          <w:lang w:val="sl-SI"/>
        </w:rPr>
        <w:t xml:space="preserve"> </w:t>
      </w:r>
      <w:r w:rsidRPr="001048FE">
        <w:rPr>
          <w:lang w:val="sl-SI"/>
        </w:rPr>
        <w:t>svetovalne</w:t>
      </w:r>
      <w:r w:rsidRPr="001048FE">
        <w:rPr>
          <w:spacing w:val="-12"/>
          <w:lang w:val="sl-SI"/>
        </w:rPr>
        <w:t xml:space="preserve"> </w:t>
      </w:r>
      <w:r w:rsidRPr="001048FE">
        <w:rPr>
          <w:lang w:val="sl-SI"/>
        </w:rPr>
        <w:t>službe (NSS). To so organizacije, ki jih imenujejo pristojni nacionalni organi. Šolam pomagajo med postopkom registracije, iskanjem partnerjev in izvajanjem projekta, spodbujajo ukrepe, podeljujejo nagrade in znake kakovosti ter organizirajo aktivnosti za poklicni razvoj</w:t>
      </w:r>
      <w:r w:rsidRPr="001048FE">
        <w:rPr>
          <w:spacing w:val="-20"/>
          <w:lang w:val="sl-SI"/>
        </w:rPr>
        <w:t xml:space="preserve"> </w:t>
      </w:r>
      <w:r w:rsidRPr="001048FE">
        <w:rPr>
          <w:lang w:val="sl-SI"/>
        </w:rPr>
        <w:t>učiteljev.</w:t>
      </w:r>
    </w:p>
    <w:p w14:paraId="7D39866C" w14:textId="77777777" w:rsidR="00E03711" w:rsidRPr="001048FE" w:rsidRDefault="00E03711" w:rsidP="00995E90">
      <w:pPr>
        <w:pStyle w:val="GUIDE-NORMAL"/>
        <w:rPr>
          <w:lang w:val="sl-SI"/>
        </w:rPr>
      </w:pPr>
      <w:r w:rsidRPr="001048FE">
        <w:rPr>
          <w:lang w:val="sl-SI"/>
        </w:rPr>
        <w:t>Nacionalne</w:t>
      </w:r>
      <w:r w:rsidRPr="001048FE">
        <w:rPr>
          <w:spacing w:val="-20"/>
          <w:lang w:val="sl-SI"/>
        </w:rPr>
        <w:t xml:space="preserve"> </w:t>
      </w:r>
      <w:r w:rsidRPr="001048FE">
        <w:rPr>
          <w:lang w:val="sl-SI"/>
        </w:rPr>
        <w:t>svetovalne</w:t>
      </w:r>
      <w:r w:rsidRPr="001048FE">
        <w:rPr>
          <w:spacing w:val="-20"/>
          <w:lang w:val="sl-SI"/>
        </w:rPr>
        <w:t xml:space="preserve"> </w:t>
      </w:r>
      <w:r w:rsidRPr="001048FE">
        <w:rPr>
          <w:lang w:val="sl-SI"/>
        </w:rPr>
        <w:t>službe</w:t>
      </w:r>
      <w:r w:rsidRPr="001048FE">
        <w:rPr>
          <w:spacing w:val="-20"/>
          <w:lang w:val="sl-SI"/>
        </w:rPr>
        <w:t xml:space="preserve"> </w:t>
      </w:r>
      <w:r w:rsidRPr="001048FE">
        <w:rPr>
          <w:lang w:val="sl-SI"/>
        </w:rPr>
        <w:t>koordinira</w:t>
      </w:r>
      <w:r w:rsidRPr="001048FE">
        <w:rPr>
          <w:spacing w:val="-20"/>
          <w:lang w:val="sl-SI"/>
        </w:rPr>
        <w:t xml:space="preserve"> </w:t>
      </w:r>
      <w:r w:rsidRPr="001048FE">
        <w:rPr>
          <w:lang w:val="sl-SI"/>
        </w:rPr>
        <w:t>centralna</w:t>
      </w:r>
      <w:r w:rsidRPr="001048FE">
        <w:rPr>
          <w:spacing w:val="-20"/>
          <w:lang w:val="sl-SI"/>
        </w:rPr>
        <w:t xml:space="preserve"> </w:t>
      </w:r>
      <w:r w:rsidRPr="001048FE">
        <w:rPr>
          <w:lang w:val="sl-SI"/>
        </w:rPr>
        <w:t>svetovalna</w:t>
      </w:r>
      <w:r w:rsidRPr="001048FE">
        <w:rPr>
          <w:spacing w:val="-20"/>
          <w:lang w:val="sl-SI"/>
        </w:rPr>
        <w:t xml:space="preserve"> </w:t>
      </w:r>
      <w:r w:rsidRPr="001048FE">
        <w:rPr>
          <w:lang w:val="sl-SI"/>
        </w:rPr>
        <w:t>služba</w:t>
      </w:r>
      <w:r w:rsidRPr="001048FE">
        <w:rPr>
          <w:spacing w:val="-20"/>
          <w:lang w:val="sl-SI"/>
        </w:rPr>
        <w:t xml:space="preserve"> </w:t>
      </w:r>
      <w:r w:rsidRPr="001048FE">
        <w:rPr>
          <w:lang w:val="sl-SI"/>
        </w:rPr>
        <w:t>(CSS),</w:t>
      </w:r>
      <w:r w:rsidRPr="001048FE">
        <w:rPr>
          <w:spacing w:val="-20"/>
          <w:lang w:val="sl-SI"/>
        </w:rPr>
        <w:t xml:space="preserve"> </w:t>
      </w:r>
      <w:r w:rsidRPr="001048FE">
        <w:rPr>
          <w:lang w:val="sl-SI"/>
        </w:rPr>
        <w:t>ki</w:t>
      </w:r>
      <w:r w:rsidRPr="001048FE">
        <w:rPr>
          <w:spacing w:val="-20"/>
          <w:lang w:val="sl-SI"/>
        </w:rPr>
        <w:t xml:space="preserve"> </w:t>
      </w:r>
      <w:r w:rsidRPr="001048FE">
        <w:rPr>
          <w:lang w:val="sl-SI"/>
        </w:rPr>
        <w:t>je</w:t>
      </w:r>
      <w:r w:rsidRPr="001048FE">
        <w:rPr>
          <w:spacing w:val="-20"/>
          <w:lang w:val="sl-SI"/>
        </w:rPr>
        <w:t xml:space="preserve"> </w:t>
      </w:r>
      <w:r w:rsidRPr="001048FE">
        <w:rPr>
          <w:lang w:val="sl-SI"/>
        </w:rPr>
        <w:t>odgovorna</w:t>
      </w:r>
      <w:r w:rsidRPr="001048FE">
        <w:rPr>
          <w:spacing w:val="-19"/>
          <w:lang w:val="sl-SI"/>
        </w:rPr>
        <w:t xml:space="preserve"> </w:t>
      </w:r>
      <w:r w:rsidRPr="001048FE">
        <w:rPr>
          <w:lang w:val="sl-SI"/>
        </w:rPr>
        <w:t>tudi</w:t>
      </w:r>
      <w:r w:rsidRPr="001048FE">
        <w:rPr>
          <w:spacing w:val="-20"/>
          <w:lang w:val="sl-SI"/>
        </w:rPr>
        <w:t xml:space="preserve"> </w:t>
      </w:r>
      <w:r w:rsidRPr="001048FE">
        <w:rPr>
          <w:lang w:val="sl-SI"/>
        </w:rPr>
        <w:t>za razvoj internetne platforme eTwinning in organizacijo aktivnosti za poklicni razvoj učiteljev na evropski</w:t>
      </w:r>
      <w:r w:rsidRPr="001048FE">
        <w:rPr>
          <w:spacing w:val="-3"/>
          <w:lang w:val="sl-SI"/>
        </w:rPr>
        <w:t xml:space="preserve"> </w:t>
      </w:r>
      <w:r w:rsidRPr="001048FE">
        <w:rPr>
          <w:lang w:val="sl-SI"/>
        </w:rPr>
        <w:t>ravni.</w:t>
      </w:r>
    </w:p>
    <w:p w14:paraId="7D39866D" w14:textId="77777777" w:rsidR="00E03711" w:rsidRPr="001048FE" w:rsidRDefault="00E03711" w:rsidP="00995E90">
      <w:pPr>
        <w:pStyle w:val="GUIDE-NORMAL"/>
        <w:rPr>
          <w:lang w:val="sl-SI"/>
        </w:rPr>
      </w:pPr>
      <w:r w:rsidRPr="001048FE">
        <w:rPr>
          <w:lang w:val="sl-SI"/>
        </w:rPr>
        <w:t>Seznam</w:t>
      </w:r>
      <w:r w:rsidRPr="001048FE">
        <w:rPr>
          <w:spacing w:val="-16"/>
          <w:lang w:val="sl-SI"/>
        </w:rPr>
        <w:t xml:space="preserve"> </w:t>
      </w:r>
      <w:r w:rsidRPr="001048FE">
        <w:rPr>
          <w:lang w:val="sl-SI"/>
        </w:rPr>
        <w:t>vseh</w:t>
      </w:r>
      <w:r w:rsidRPr="001048FE">
        <w:rPr>
          <w:spacing w:val="-16"/>
          <w:lang w:val="sl-SI"/>
        </w:rPr>
        <w:t xml:space="preserve"> </w:t>
      </w:r>
      <w:r w:rsidRPr="001048FE">
        <w:rPr>
          <w:lang w:val="sl-SI"/>
        </w:rPr>
        <w:t>služb</w:t>
      </w:r>
      <w:r w:rsidRPr="001048FE">
        <w:rPr>
          <w:spacing w:val="-16"/>
          <w:lang w:val="sl-SI"/>
        </w:rPr>
        <w:t xml:space="preserve"> </w:t>
      </w:r>
      <w:r w:rsidRPr="001048FE">
        <w:rPr>
          <w:lang w:val="sl-SI"/>
        </w:rPr>
        <w:t>in</w:t>
      </w:r>
      <w:r w:rsidRPr="001048FE">
        <w:rPr>
          <w:spacing w:val="-16"/>
          <w:lang w:val="sl-SI"/>
        </w:rPr>
        <w:t xml:space="preserve"> </w:t>
      </w:r>
      <w:r w:rsidRPr="001048FE">
        <w:rPr>
          <w:lang w:val="sl-SI"/>
        </w:rPr>
        <w:t>več</w:t>
      </w:r>
      <w:r w:rsidRPr="001048FE">
        <w:rPr>
          <w:spacing w:val="-16"/>
          <w:lang w:val="sl-SI"/>
        </w:rPr>
        <w:t xml:space="preserve"> </w:t>
      </w:r>
      <w:r w:rsidRPr="001048FE">
        <w:rPr>
          <w:lang w:val="sl-SI"/>
        </w:rPr>
        <w:t>informacij</w:t>
      </w:r>
      <w:r w:rsidRPr="001048FE">
        <w:rPr>
          <w:spacing w:val="-16"/>
          <w:lang w:val="sl-SI"/>
        </w:rPr>
        <w:t xml:space="preserve"> </w:t>
      </w:r>
      <w:r w:rsidRPr="001048FE">
        <w:rPr>
          <w:lang w:val="sl-SI"/>
        </w:rPr>
        <w:t>je</w:t>
      </w:r>
      <w:r w:rsidRPr="001048FE">
        <w:rPr>
          <w:spacing w:val="-16"/>
          <w:lang w:val="sl-SI"/>
        </w:rPr>
        <w:t xml:space="preserve"> </w:t>
      </w:r>
      <w:r w:rsidRPr="001048FE">
        <w:rPr>
          <w:lang w:val="sl-SI"/>
        </w:rPr>
        <w:t>na</w:t>
      </w:r>
      <w:r w:rsidRPr="001048FE">
        <w:rPr>
          <w:spacing w:val="-16"/>
          <w:lang w:val="sl-SI"/>
        </w:rPr>
        <w:t xml:space="preserve"> </w:t>
      </w:r>
      <w:r w:rsidRPr="001048FE">
        <w:rPr>
          <w:lang w:val="sl-SI"/>
        </w:rPr>
        <w:t>voljo</w:t>
      </w:r>
      <w:r w:rsidRPr="001048FE">
        <w:rPr>
          <w:spacing w:val="-16"/>
          <w:lang w:val="sl-SI"/>
        </w:rPr>
        <w:t xml:space="preserve"> </w:t>
      </w:r>
      <w:r w:rsidRPr="001048FE">
        <w:rPr>
          <w:lang w:val="sl-SI"/>
        </w:rPr>
        <w:t>na</w:t>
      </w:r>
      <w:r w:rsidRPr="001048FE">
        <w:rPr>
          <w:spacing w:val="-16"/>
          <w:lang w:val="sl-SI"/>
        </w:rPr>
        <w:t xml:space="preserve"> </w:t>
      </w:r>
      <w:r w:rsidRPr="001048FE">
        <w:rPr>
          <w:lang w:val="sl-SI"/>
        </w:rPr>
        <w:t xml:space="preserve">spletišču: </w:t>
      </w:r>
      <w:hyperlink r:id="rId37">
        <w:r w:rsidRPr="001048FE">
          <w:rPr>
            <w:rStyle w:val="Hyperlink"/>
            <w:lang w:val="sl-SI"/>
          </w:rPr>
          <w:t>https://www.etwinning.net/sl/pub/contact.htm</w:t>
        </w:r>
        <w:r w:rsidRPr="001048FE">
          <w:rPr>
            <w:lang w:val="sl-SI"/>
          </w:rPr>
          <w:t>.</w:t>
        </w:r>
      </w:hyperlink>
    </w:p>
    <w:p w14:paraId="7D39866E" w14:textId="77777777" w:rsidR="00E03711" w:rsidRPr="001048FE" w:rsidRDefault="00E03711" w:rsidP="00995E90">
      <w:pPr>
        <w:pStyle w:val="Guide-Heading4"/>
        <w:rPr>
          <w:lang w:val="sl-SI"/>
        </w:rPr>
        <w:sectPr w:rsidR="00E03711" w:rsidRPr="001048FE" w:rsidSect="007F4890">
          <w:headerReference w:type="default" r:id="rId38"/>
          <w:endnotePr>
            <w:numFmt w:val="decimal"/>
          </w:endnotePr>
          <w:pgSz w:w="11910" w:h="16840" w:code="9"/>
          <w:pgMar w:top="1134" w:right="1418" w:bottom="1134" w:left="1418" w:header="283" w:footer="567" w:gutter="0"/>
          <w:cols w:space="720"/>
          <w:docGrid w:linePitch="326"/>
        </w:sectPr>
      </w:pPr>
    </w:p>
    <w:p w14:paraId="7D39866F" w14:textId="77777777" w:rsidR="00E03711" w:rsidRPr="001048FE" w:rsidRDefault="00E03711" w:rsidP="00995E90">
      <w:pPr>
        <w:pStyle w:val="Guide-Heading4"/>
        <w:rPr>
          <w:lang w:val="sl-SI"/>
        </w:rPr>
      </w:pPr>
      <w:bookmarkStart w:id="86" w:name="_Toc527401100"/>
      <w:r w:rsidRPr="001048FE">
        <w:rPr>
          <w:lang w:val="sl-SI"/>
        </w:rPr>
        <w:t>School Education Gateway (SEG)</w:t>
      </w:r>
      <w:bookmarkEnd w:id="86"/>
    </w:p>
    <w:p w14:paraId="7D398670" w14:textId="77777777" w:rsidR="00E03711" w:rsidRPr="001048FE" w:rsidRDefault="00A6094F" w:rsidP="00995E90">
      <w:pPr>
        <w:pStyle w:val="GUIDE-NORMAL"/>
        <w:rPr>
          <w:lang w:val="sl-SI"/>
        </w:rPr>
      </w:pPr>
      <w:hyperlink r:id="rId39">
        <w:r w:rsidR="00E03711" w:rsidRPr="001048FE">
          <w:rPr>
            <w:rStyle w:val="Hyperlink"/>
            <w:lang w:val="sl-SI"/>
          </w:rPr>
          <w:t>School Education Gateway</w:t>
        </w:r>
        <w:r w:rsidR="00E03711" w:rsidRPr="001048FE">
          <w:rPr>
            <w:spacing w:val="-17"/>
            <w:lang w:val="sl-SI"/>
          </w:rPr>
          <w:t xml:space="preserve"> </w:t>
        </w:r>
      </w:hyperlink>
      <w:r w:rsidR="00E03711" w:rsidRPr="001048FE">
        <w:rPr>
          <w:lang w:val="sl-SI"/>
        </w:rPr>
        <w:t>je</w:t>
      </w:r>
      <w:r w:rsidR="00E03711" w:rsidRPr="001048FE">
        <w:rPr>
          <w:spacing w:val="-17"/>
          <w:lang w:val="sl-SI"/>
        </w:rPr>
        <w:t xml:space="preserve"> </w:t>
      </w:r>
      <w:r w:rsidR="00E03711" w:rsidRPr="001048FE">
        <w:rPr>
          <w:lang w:val="sl-SI"/>
        </w:rPr>
        <w:t>evropska</w:t>
      </w:r>
      <w:r w:rsidR="00E03711" w:rsidRPr="001048FE">
        <w:rPr>
          <w:spacing w:val="-17"/>
          <w:lang w:val="sl-SI"/>
        </w:rPr>
        <w:t xml:space="preserve"> </w:t>
      </w:r>
      <w:r w:rsidR="00E03711" w:rsidRPr="001048FE">
        <w:rPr>
          <w:lang w:val="sl-SI"/>
        </w:rPr>
        <w:t>spletna</w:t>
      </w:r>
      <w:r w:rsidR="00E03711" w:rsidRPr="001048FE">
        <w:rPr>
          <w:spacing w:val="-17"/>
          <w:lang w:val="sl-SI"/>
        </w:rPr>
        <w:t xml:space="preserve"> </w:t>
      </w:r>
      <w:r w:rsidR="00E03711" w:rsidRPr="001048FE">
        <w:rPr>
          <w:lang w:val="sl-SI"/>
        </w:rPr>
        <w:t>platforma</w:t>
      </w:r>
      <w:r w:rsidR="00E03711" w:rsidRPr="001048FE">
        <w:rPr>
          <w:spacing w:val="-17"/>
          <w:lang w:val="sl-SI"/>
        </w:rPr>
        <w:t xml:space="preserve"> </w:t>
      </w:r>
      <w:r w:rsidR="00E03711" w:rsidRPr="001048FE">
        <w:rPr>
          <w:lang w:val="sl-SI"/>
        </w:rPr>
        <w:t>za</w:t>
      </w:r>
      <w:r w:rsidR="00E03711" w:rsidRPr="001048FE">
        <w:rPr>
          <w:spacing w:val="-17"/>
          <w:lang w:val="sl-SI"/>
        </w:rPr>
        <w:t xml:space="preserve"> </w:t>
      </w:r>
      <w:r w:rsidR="00E03711" w:rsidRPr="001048FE">
        <w:rPr>
          <w:lang w:val="sl-SI"/>
        </w:rPr>
        <w:t>šolsko</w:t>
      </w:r>
      <w:r w:rsidR="00E03711" w:rsidRPr="001048FE">
        <w:rPr>
          <w:spacing w:val="-17"/>
          <w:lang w:val="sl-SI"/>
        </w:rPr>
        <w:t xml:space="preserve"> </w:t>
      </w:r>
      <w:r w:rsidR="00E03711" w:rsidRPr="001048FE">
        <w:rPr>
          <w:lang w:val="sl-SI"/>
        </w:rPr>
        <w:t>izobraževanje,</w:t>
      </w:r>
      <w:r w:rsidR="00E03711" w:rsidRPr="001048FE">
        <w:rPr>
          <w:spacing w:val="-17"/>
          <w:lang w:val="sl-SI"/>
        </w:rPr>
        <w:t xml:space="preserve"> </w:t>
      </w:r>
      <w:r w:rsidR="00E03711" w:rsidRPr="001048FE">
        <w:rPr>
          <w:lang w:val="sl-SI"/>
        </w:rPr>
        <w:t>ki</w:t>
      </w:r>
      <w:r w:rsidR="00E03711" w:rsidRPr="001048FE">
        <w:rPr>
          <w:spacing w:val="-17"/>
          <w:lang w:val="sl-SI"/>
        </w:rPr>
        <w:t xml:space="preserve"> </w:t>
      </w:r>
      <w:r w:rsidR="00E03711" w:rsidRPr="001048FE">
        <w:rPr>
          <w:lang w:val="sl-SI"/>
        </w:rPr>
        <w:t>je</w:t>
      </w:r>
      <w:r w:rsidR="00E03711" w:rsidRPr="001048FE">
        <w:rPr>
          <w:spacing w:val="-17"/>
          <w:lang w:val="sl-SI"/>
        </w:rPr>
        <w:t xml:space="preserve"> </w:t>
      </w:r>
      <w:r w:rsidR="00E03711" w:rsidRPr="001048FE">
        <w:rPr>
          <w:lang w:val="sl-SI"/>
        </w:rPr>
        <w:t>trenutno</w:t>
      </w:r>
      <w:r w:rsidR="00E03711" w:rsidRPr="001048FE">
        <w:rPr>
          <w:spacing w:val="-17"/>
          <w:lang w:val="sl-SI"/>
        </w:rPr>
        <w:t xml:space="preserve"> </w:t>
      </w:r>
      <w:r w:rsidR="00E03711" w:rsidRPr="001048FE">
        <w:rPr>
          <w:lang w:val="sl-SI"/>
        </w:rPr>
        <w:t>na voljo v 23 jezikih EU in je namenjena zagotavljanju vsega, kar učitelji potrebujejo na področju informacij, razvoja učenja in poklicnega razvoja, vzajemne pomoči in mreženja, priložnosti za sodelovalne projekte in mobilnost, vpogledov v politiko itd. Poleg skupnosti učiteljev so ciljni uporabniki te platforme tudi vse strani, ki sodelujejo v aktivnostih programa Erasmus+, na primer: šole ter drugi akterji in organizacije na področju izobraževanja; oblikovalci politike in nacionalni organi; nevladne organizacije; podjetja</w:t>
      </w:r>
      <w:r w:rsidR="00E03711" w:rsidRPr="001048FE">
        <w:rPr>
          <w:spacing w:val="-7"/>
          <w:lang w:val="sl-SI"/>
        </w:rPr>
        <w:t xml:space="preserve"> </w:t>
      </w:r>
      <w:r w:rsidR="00E03711" w:rsidRPr="001048FE">
        <w:rPr>
          <w:lang w:val="sl-SI"/>
        </w:rPr>
        <w:t>itd.</w:t>
      </w:r>
    </w:p>
    <w:p w14:paraId="7D398671" w14:textId="77777777" w:rsidR="00E03711" w:rsidRPr="001048FE" w:rsidRDefault="00E03711" w:rsidP="00995E90">
      <w:pPr>
        <w:pStyle w:val="GUIDE-NORMAL"/>
        <w:rPr>
          <w:lang w:val="sl-SI"/>
        </w:rPr>
      </w:pPr>
      <w:r w:rsidRPr="001048FE">
        <w:rPr>
          <w:lang w:val="sl-SI"/>
        </w:rPr>
        <w:t>Ker je to javno spletno mesto, je dostopno vsem uporabnikom interneta (tj. tudi tistim iz držav zunaj EU). Zaradi te široke dosegljivosti se pričakuje, da se bodo izboljšale povezave med politiko in prakso v evropskem šolskem izobraževanju, pripomogla pa naj bi tudi k spodbujanju politike na podlagi dejanskega dogajanja v šolah in potreb trga delovne sile.</w:t>
      </w:r>
    </w:p>
    <w:p w14:paraId="7D398672" w14:textId="77777777" w:rsidR="00E03711" w:rsidRPr="001048FE" w:rsidRDefault="00E03711" w:rsidP="00995E90">
      <w:pPr>
        <w:pStyle w:val="GUIDE-NORMAL"/>
        <w:rPr>
          <w:lang w:val="sl-SI"/>
        </w:rPr>
      </w:pPr>
      <w:r w:rsidRPr="001048FE">
        <w:rPr>
          <w:lang w:val="sl-SI"/>
        </w:rPr>
        <w:t>School Education Gateway ponuja širok nabor vsebin, na primer dobre prakse iz evropskih projektov; mesečne spletne dnevnike in videoposnetke intervjujev s strokovnjaki na področju evropskega šolskega izobraževanja; spletne tečaje za učitelje za pomoč pri reševanju aktualnih izzivov v učilnici; vire, kot so učno gradivo, praktične vaje in Evropski komplet orodij za šole; informacije o politikah v šolskem izobraževanju; aktualne novice in dogodke itd. Ponuja posebna orodja, ki učiteljem in šolskemu osebju pomagajo pri iskanju priložnosti za usposabljanje in mobilnost za poklicni razvoj (tečaji na kraju samem, izobraževalni obisk na delovnem mestu, programi poučevanja itd.), ki se lahko financirajo v okviru ključnega ukrepa 1 programa Erasmus+:</w:t>
      </w:r>
    </w:p>
    <w:p w14:paraId="7D398673" w14:textId="77777777" w:rsidR="00E03711" w:rsidRPr="001048FE" w:rsidRDefault="00E03711" w:rsidP="005115F2">
      <w:pPr>
        <w:pStyle w:val="Guide-NormalBulletpoints"/>
        <w:numPr>
          <w:ilvl w:val="0"/>
          <w:numId w:val="175"/>
        </w:numPr>
        <w:rPr>
          <w:lang w:val="sl-SI"/>
        </w:rPr>
      </w:pPr>
      <w:r w:rsidRPr="001048FE">
        <w:rPr>
          <w:lang w:val="sl-SI"/>
        </w:rPr>
        <w:t xml:space="preserve">orodje programa Erasmus+ „Katalog tečajev“ (za priložnosti za usposabljanje v živo); </w:t>
      </w:r>
    </w:p>
    <w:p w14:paraId="7D398674" w14:textId="77777777" w:rsidR="00E03711" w:rsidRPr="001048FE" w:rsidRDefault="00E03711" w:rsidP="005115F2">
      <w:pPr>
        <w:pStyle w:val="Guide-NormalBulletpoints"/>
        <w:numPr>
          <w:ilvl w:val="0"/>
          <w:numId w:val="175"/>
        </w:numPr>
        <w:rPr>
          <w:lang w:val="sl-SI"/>
        </w:rPr>
      </w:pPr>
      <w:r w:rsidRPr="001048FE">
        <w:rPr>
          <w:lang w:val="sl-SI"/>
        </w:rPr>
        <w:t>orodje programa Erasmus+ „Priložnosti za izmenjavo“ (za mobilnost učiteljev v okviru ključnega ukrepa 1).</w:t>
      </w:r>
    </w:p>
    <w:p w14:paraId="7D398675" w14:textId="77777777" w:rsidR="00E03711" w:rsidRPr="001048FE" w:rsidRDefault="00E03711" w:rsidP="00995E90">
      <w:pPr>
        <w:pStyle w:val="GUIDE-NORMAL"/>
        <w:rPr>
          <w:lang w:val="sl-SI"/>
        </w:rPr>
      </w:pPr>
      <w:r w:rsidRPr="001048FE">
        <w:rPr>
          <w:lang w:val="sl-SI"/>
        </w:rPr>
        <w:t xml:space="preserve">Več informacij: </w:t>
      </w:r>
      <w:hyperlink r:id="rId40">
        <w:r w:rsidRPr="001048FE">
          <w:rPr>
            <w:rStyle w:val="Hyperlink"/>
            <w:lang w:val="sl-SI"/>
          </w:rPr>
          <w:t>http://www.schooleducationgateway.eu/sl/pub/index.htm</w:t>
        </w:r>
        <w:r w:rsidRPr="001048FE">
          <w:rPr>
            <w:lang w:val="sl-SI"/>
          </w:rPr>
          <w:t>.</w:t>
        </w:r>
      </w:hyperlink>
    </w:p>
    <w:p w14:paraId="7D398676" w14:textId="77777777" w:rsidR="00E03711" w:rsidRPr="001048FE" w:rsidRDefault="00E03711" w:rsidP="00E23D2D">
      <w:pPr>
        <w:pStyle w:val="Guide-Heading4"/>
        <w:rPr>
          <w:lang w:val="sl-SI"/>
        </w:rPr>
      </w:pPr>
      <w:bookmarkStart w:id="87" w:name="_Toc527401101"/>
      <w:r w:rsidRPr="001048FE">
        <w:rPr>
          <w:lang w:val="sl-SI"/>
        </w:rPr>
        <w:t>EPALE</w:t>
      </w:r>
      <w:bookmarkEnd w:id="87"/>
    </w:p>
    <w:p w14:paraId="7D398677" w14:textId="77777777" w:rsidR="00E03711" w:rsidRPr="001048FE" w:rsidRDefault="00A6094F" w:rsidP="00995E90">
      <w:pPr>
        <w:pStyle w:val="GUIDE-NORMAL"/>
        <w:rPr>
          <w:lang w:val="sl-SI"/>
        </w:rPr>
      </w:pPr>
      <w:hyperlink r:id="rId41">
        <w:r w:rsidR="00E03711" w:rsidRPr="001048FE">
          <w:rPr>
            <w:rStyle w:val="Hyperlink"/>
            <w:lang w:val="sl-SI"/>
          </w:rPr>
          <w:t>Elektronska platforma za izobraževanje odraslih v Evropi</w:t>
        </w:r>
        <w:r w:rsidR="00E03711" w:rsidRPr="001048FE">
          <w:rPr>
            <w:lang w:val="sl-SI"/>
          </w:rPr>
          <w:t xml:space="preserve"> </w:t>
        </w:r>
      </w:hyperlink>
      <w:r w:rsidR="00E03711" w:rsidRPr="001048FE">
        <w:rPr>
          <w:lang w:val="sl-SI"/>
        </w:rPr>
        <w:t>(EPALE) je pobuda Evropske komisije, financirana v okviru programa Erasmus+. Namenjena je učiteljem, vodjem usposabljanj in prostovoljcem, pa tudi oblikovalcem politik, raziskovalcem, medijem in akademikom, vključenim v izobraževanje odraslih.</w:t>
      </w:r>
    </w:p>
    <w:p w14:paraId="7D398678" w14:textId="77777777" w:rsidR="00E03711" w:rsidRPr="001048FE" w:rsidRDefault="00E03711" w:rsidP="00995E90">
      <w:pPr>
        <w:pStyle w:val="GUIDE-NORMAL"/>
        <w:rPr>
          <w:lang w:val="sl-SI"/>
        </w:rPr>
      </w:pPr>
      <w:r w:rsidRPr="001048FE">
        <w:rPr>
          <w:lang w:val="sl-SI"/>
        </w:rPr>
        <w:t>Platforma uporabnikom omogoča, da se povežejo z drugimi uporabniki po vsej Evropi, sodelujejo v razpravah in izmenjujejo dobre prakse. Poleg množice orodij in vsebin platforma EPALE ponuja instrumente, posebej namenjene (morebitnim) upravičencem programa Erasmus+. Nekaj primerov vključuje:</w:t>
      </w:r>
    </w:p>
    <w:p w14:paraId="7D398679" w14:textId="77777777" w:rsidR="00E03711" w:rsidRPr="001048FE" w:rsidRDefault="00E03711" w:rsidP="005115F2">
      <w:pPr>
        <w:pStyle w:val="Guide-NormalBulletpoints"/>
        <w:numPr>
          <w:ilvl w:val="0"/>
          <w:numId w:val="176"/>
        </w:numPr>
        <w:rPr>
          <w:lang w:val="sl-SI"/>
        </w:rPr>
      </w:pPr>
      <w:r w:rsidRPr="001048FE">
        <w:rPr>
          <w:lang w:val="sl-SI"/>
        </w:rPr>
        <w:t>koledar tečajev in dogodkov, s katerim je mogoče</w:t>
      </w:r>
    </w:p>
    <w:p w14:paraId="7D39867A" w14:textId="77777777" w:rsidR="00E03711" w:rsidRPr="001048FE" w:rsidRDefault="00E03711" w:rsidP="005115F2">
      <w:pPr>
        <w:pStyle w:val="Guide-ListDash"/>
        <w:numPr>
          <w:ilvl w:val="1"/>
          <w:numId w:val="176"/>
        </w:numPr>
        <w:rPr>
          <w:lang w:val="sl-SI"/>
        </w:rPr>
      </w:pPr>
      <w:r w:rsidRPr="001048FE">
        <w:rPr>
          <w:lang w:val="sl-SI"/>
        </w:rPr>
        <w:t xml:space="preserve">poiskati priložnosti za mobilnost za upravičence projektov v okviru ključnega ukrepa 1, </w:t>
      </w:r>
    </w:p>
    <w:p w14:paraId="7D39867B" w14:textId="77777777" w:rsidR="00E03711" w:rsidRPr="001048FE" w:rsidRDefault="00E03711" w:rsidP="005115F2">
      <w:pPr>
        <w:pStyle w:val="Guide-ListDash"/>
        <w:numPr>
          <w:ilvl w:val="1"/>
          <w:numId w:val="176"/>
        </w:numPr>
        <w:rPr>
          <w:lang w:val="sl-SI"/>
        </w:rPr>
      </w:pPr>
      <w:r w:rsidRPr="001048FE">
        <w:rPr>
          <w:lang w:val="sl-SI"/>
        </w:rPr>
        <w:t>oglaševati tečaje in dogodke, ki se organizirajo s projekti v okviru ključnega ukrepa 2;</w:t>
      </w:r>
    </w:p>
    <w:p w14:paraId="7D39867C" w14:textId="77777777" w:rsidR="00E03711" w:rsidRPr="001048FE" w:rsidRDefault="00E03711" w:rsidP="005115F2">
      <w:pPr>
        <w:pStyle w:val="Guide-NormalBulletpoints"/>
        <w:numPr>
          <w:ilvl w:val="0"/>
          <w:numId w:val="176"/>
        </w:numPr>
        <w:rPr>
          <w:lang w:val="sl-SI"/>
        </w:rPr>
      </w:pPr>
      <w:r w:rsidRPr="001048FE">
        <w:rPr>
          <w:lang w:val="sl-SI"/>
        </w:rPr>
        <w:t>orodje za iskanje partnerjev, ki je koristno pri iskanju partnerjev za pripravo projekta, ki ga financira EU, ali pri iskanju ali ponujanju priložnosti za izobraževalni obisk na delovnem mestu;</w:t>
      </w:r>
    </w:p>
    <w:p w14:paraId="7D39867D" w14:textId="77777777" w:rsidR="00E03711" w:rsidRPr="001048FE" w:rsidRDefault="00E03711" w:rsidP="005115F2">
      <w:pPr>
        <w:pStyle w:val="Guide-NormalBulletpoints"/>
        <w:numPr>
          <w:ilvl w:val="0"/>
          <w:numId w:val="176"/>
        </w:numPr>
        <w:rPr>
          <w:lang w:val="sl-SI"/>
        </w:rPr>
      </w:pPr>
      <w:r w:rsidRPr="001048FE">
        <w:rPr>
          <w:lang w:val="sl-SI"/>
        </w:rPr>
        <w:t>izkustvene</w:t>
      </w:r>
      <w:r w:rsidRPr="001048FE">
        <w:rPr>
          <w:spacing w:val="-14"/>
          <w:lang w:val="sl-SI"/>
        </w:rPr>
        <w:t xml:space="preserve"> </w:t>
      </w:r>
      <w:r w:rsidRPr="001048FE">
        <w:rPr>
          <w:lang w:val="sl-SI"/>
        </w:rPr>
        <w:t>skupnosti</w:t>
      </w:r>
      <w:r w:rsidRPr="001048FE">
        <w:rPr>
          <w:spacing w:val="-14"/>
          <w:lang w:val="sl-SI"/>
        </w:rPr>
        <w:t xml:space="preserve"> </w:t>
      </w:r>
      <w:r w:rsidRPr="001048FE">
        <w:rPr>
          <w:lang w:val="sl-SI"/>
        </w:rPr>
        <w:t>ponujajo</w:t>
      </w:r>
      <w:r w:rsidRPr="001048FE">
        <w:rPr>
          <w:spacing w:val="-14"/>
          <w:lang w:val="sl-SI"/>
        </w:rPr>
        <w:t xml:space="preserve"> </w:t>
      </w:r>
      <w:r w:rsidRPr="001048FE">
        <w:rPr>
          <w:lang w:val="sl-SI"/>
        </w:rPr>
        <w:t>dodaten</w:t>
      </w:r>
      <w:r w:rsidRPr="001048FE">
        <w:rPr>
          <w:spacing w:val="-14"/>
          <w:lang w:val="sl-SI"/>
        </w:rPr>
        <w:t xml:space="preserve"> </w:t>
      </w:r>
      <w:r w:rsidRPr="001048FE">
        <w:rPr>
          <w:lang w:val="sl-SI"/>
        </w:rPr>
        <w:t>prostor</w:t>
      </w:r>
      <w:r w:rsidRPr="001048FE">
        <w:rPr>
          <w:spacing w:val="-14"/>
          <w:lang w:val="sl-SI"/>
        </w:rPr>
        <w:t xml:space="preserve"> </w:t>
      </w:r>
      <w:r w:rsidRPr="001048FE">
        <w:rPr>
          <w:lang w:val="sl-SI"/>
        </w:rPr>
        <w:t>za</w:t>
      </w:r>
      <w:r w:rsidRPr="001048FE">
        <w:rPr>
          <w:spacing w:val="-14"/>
          <w:lang w:val="sl-SI"/>
        </w:rPr>
        <w:t xml:space="preserve"> </w:t>
      </w:r>
      <w:r w:rsidRPr="001048FE">
        <w:rPr>
          <w:lang w:val="sl-SI"/>
        </w:rPr>
        <w:t>povezovanje</w:t>
      </w:r>
      <w:r w:rsidRPr="001048FE">
        <w:rPr>
          <w:spacing w:val="-14"/>
          <w:lang w:val="sl-SI"/>
        </w:rPr>
        <w:t xml:space="preserve"> </w:t>
      </w:r>
      <w:r w:rsidRPr="001048FE">
        <w:rPr>
          <w:lang w:val="sl-SI"/>
        </w:rPr>
        <w:t>z</w:t>
      </w:r>
      <w:r w:rsidRPr="001048FE">
        <w:rPr>
          <w:spacing w:val="-14"/>
          <w:lang w:val="sl-SI"/>
        </w:rPr>
        <w:t xml:space="preserve"> </w:t>
      </w:r>
      <w:r w:rsidRPr="001048FE">
        <w:rPr>
          <w:lang w:val="sl-SI"/>
        </w:rPr>
        <w:t>ljudmi</w:t>
      </w:r>
      <w:r w:rsidRPr="001048FE">
        <w:rPr>
          <w:spacing w:val="-14"/>
          <w:lang w:val="sl-SI"/>
        </w:rPr>
        <w:t xml:space="preserve"> </w:t>
      </w:r>
      <w:r w:rsidRPr="001048FE">
        <w:rPr>
          <w:lang w:val="sl-SI"/>
        </w:rPr>
        <w:t>in</w:t>
      </w:r>
      <w:r w:rsidRPr="001048FE">
        <w:rPr>
          <w:spacing w:val="-14"/>
          <w:lang w:val="sl-SI"/>
        </w:rPr>
        <w:t xml:space="preserve"> </w:t>
      </w:r>
      <w:r w:rsidRPr="001048FE">
        <w:rPr>
          <w:lang w:val="sl-SI"/>
        </w:rPr>
        <w:t>organizacijami</w:t>
      </w:r>
      <w:r w:rsidRPr="001048FE">
        <w:rPr>
          <w:spacing w:val="-13"/>
          <w:lang w:val="sl-SI"/>
        </w:rPr>
        <w:t xml:space="preserve"> </w:t>
      </w:r>
      <w:r w:rsidRPr="001048FE">
        <w:rPr>
          <w:lang w:val="sl-SI"/>
        </w:rPr>
        <w:t>s podobnimi</w:t>
      </w:r>
      <w:r w:rsidRPr="001048FE">
        <w:rPr>
          <w:spacing w:val="-2"/>
          <w:lang w:val="sl-SI"/>
        </w:rPr>
        <w:t xml:space="preserve"> </w:t>
      </w:r>
      <w:r w:rsidRPr="001048FE">
        <w:rPr>
          <w:lang w:val="sl-SI"/>
        </w:rPr>
        <w:t>interesi;</w:t>
      </w:r>
    </w:p>
    <w:p w14:paraId="7D39867E" w14:textId="77777777" w:rsidR="00E03711" w:rsidRPr="001048FE" w:rsidRDefault="00E03711" w:rsidP="005115F2">
      <w:pPr>
        <w:pStyle w:val="Guide-NormalBulletpoints"/>
        <w:numPr>
          <w:ilvl w:val="0"/>
          <w:numId w:val="176"/>
        </w:numPr>
        <w:rPr>
          <w:lang w:val="sl-SI"/>
        </w:rPr>
      </w:pPr>
      <w:r w:rsidRPr="001048FE">
        <w:rPr>
          <w:lang w:val="sl-SI"/>
        </w:rPr>
        <w:t>prostore za sodelovanje, v katerih lahko partnerji projekta v varnem okolju razvijajo svoj projekt;</w:t>
      </w:r>
    </w:p>
    <w:p w14:paraId="7D39867F" w14:textId="77777777" w:rsidR="00E03711" w:rsidRPr="001048FE" w:rsidRDefault="00E03711" w:rsidP="005115F2">
      <w:pPr>
        <w:pStyle w:val="Guide-NormalBulletpoints"/>
        <w:numPr>
          <w:ilvl w:val="0"/>
          <w:numId w:val="176"/>
        </w:numPr>
        <w:rPr>
          <w:lang w:val="sl-SI"/>
        </w:rPr>
      </w:pPr>
      <w:r w:rsidRPr="001048FE">
        <w:rPr>
          <w:lang w:val="sl-SI"/>
        </w:rPr>
        <w:t>center za vire, kamor lahko upravičenci projekta pošljejo članke, poročila, priročnike in drugo gradivo, pripravljeno v okviru projekta ali njihovi organizaciji, kar zagotavlja dodatno priložnost za razširjanje informacij;</w:t>
      </w:r>
    </w:p>
    <w:p w14:paraId="7D398680" w14:textId="77777777" w:rsidR="00E03711" w:rsidRPr="001048FE" w:rsidRDefault="00E03711" w:rsidP="005115F2">
      <w:pPr>
        <w:pStyle w:val="Guide-NormalBulletpoints"/>
        <w:numPr>
          <w:ilvl w:val="0"/>
          <w:numId w:val="176"/>
        </w:numPr>
        <w:rPr>
          <w:lang w:val="sl-SI"/>
        </w:rPr>
      </w:pPr>
      <w:r w:rsidRPr="001048FE">
        <w:rPr>
          <w:lang w:val="sl-SI"/>
        </w:rPr>
        <w:t>spletni dnevnik, v katerem lahko udeleženci projektov izmenjujejo izkušnje ali vanj prenesejo video posnetke, s katerimi na neformalen in dinamičen način predstavijo svoje rezultate.</w:t>
      </w:r>
    </w:p>
    <w:p w14:paraId="7D398681" w14:textId="77777777" w:rsidR="00E03711" w:rsidRPr="001048FE" w:rsidRDefault="00E03711" w:rsidP="00995E90">
      <w:pPr>
        <w:pStyle w:val="GUIDE-NORMAL"/>
        <w:rPr>
          <w:lang w:val="sl-SI"/>
        </w:rPr>
      </w:pPr>
      <w:r w:rsidRPr="001048FE">
        <w:rPr>
          <w:lang w:val="sl-SI"/>
        </w:rPr>
        <w:t>Projekti,</w:t>
      </w:r>
      <w:r w:rsidRPr="001048FE">
        <w:rPr>
          <w:spacing w:val="-10"/>
          <w:lang w:val="sl-SI"/>
        </w:rPr>
        <w:t xml:space="preserve"> </w:t>
      </w:r>
      <w:r w:rsidRPr="001048FE">
        <w:rPr>
          <w:lang w:val="sl-SI"/>
        </w:rPr>
        <w:t>ki</w:t>
      </w:r>
      <w:r w:rsidRPr="001048FE">
        <w:rPr>
          <w:spacing w:val="-10"/>
          <w:lang w:val="sl-SI"/>
        </w:rPr>
        <w:t xml:space="preserve"> </w:t>
      </w:r>
      <w:r w:rsidRPr="001048FE">
        <w:rPr>
          <w:lang w:val="sl-SI"/>
        </w:rPr>
        <w:t>prejmejo</w:t>
      </w:r>
      <w:r w:rsidRPr="001048FE">
        <w:rPr>
          <w:spacing w:val="-10"/>
          <w:lang w:val="sl-SI"/>
        </w:rPr>
        <w:t xml:space="preserve"> </w:t>
      </w:r>
      <w:r w:rsidRPr="001048FE">
        <w:rPr>
          <w:lang w:val="sl-SI"/>
        </w:rPr>
        <w:t>sredstva</w:t>
      </w:r>
      <w:r w:rsidRPr="001048FE">
        <w:rPr>
          <w:spacing w:val="-10"/>
          <w:lang w:val="sl-SI"/>
        </w:rPr>
        <w:t xml:space="preserve"> </w:t>
      </w:r>
      <w:r w:rsidRPr="001048FE">
        <w:rPr>
          <w:lang w:val="sl-SI"/>
        </w:rPr>
        <w:t>EU,</w:t>
      </w:r>
      <w:r w:rsidRPr="001048FE">
        <w:rPr>
          <w:spacing w:val="-10"/>
          <w:lang w:val="sl-SI"/>
        </w:rPr>
        <w:t xml:space="preserve"> </w:t>
      </w:r>
      <w:r w:rsidRPr="001048FE">
        <w:rPr>
          <w:lang w:val="sl-SI"/>
        </w:rPr>
        <w:t>so</w:t>
      </w:r>
      <w:r w:rsidRPr="001048FE">
        <w:rPr>
          <w:spacing w:val="-10"/>
          <w:lang w:val="sl-SI"/>
        </w:rPr>
        <w:t xml:space="preserve"> </w:t>
      </w:r>
      <w:r w:rsidRPr="001048FE">
        <w:rPr>
          <w:lang w:val="sl-SI"/>
        </w:rPr>
        <w:t>spodbujeni,</w:t>
      </w:r>
      <w:r w:rsidRPr="001048FE">
        <w:rPr>
          <w:spacing w:val="-10"/>
          <w:lang w:val="sl-SI"/>
        </w:rPr>
        <w:t xml:space="preserve"> </w:t>
      </w:r>
      <w:r w:rsidRPr="001048FE">
        <w:rPr>
          <w:lang w:val="sl-SI"/>
        </w:rPr>
        <w:t>naj</w:t>
      </w:r>
      <w:r w:rsidRPr="001048FE">
        <w:rPr>
          <w:spacing w:val="-10"/>
          <w:lang w:val="sl-SI"/>
        </w:rPr>
        <w:t xml:space="preserve"> </w:t>
      </w:r>
      <w:r w:rsidRPr="001048FE">
        <w:rPr>
          <w:lang w:val="sl-SI"/>
        </w:rPr>
        <w:t>na</w:t>
      </w:r>
      <w:r w:rsidRPr="001048FE">
        <w:rPr>
          <w:spacing w:val="-10"/>
          <w:lang w:val="sl-SI"/>
        </w:rPr>
        <w:t xml:space="preserve"> </w:t>
      </w:r>
      <w:r w:rsidRPr="001048FE">
        <w:rPr>
          <w:lang w:val="sl-SI"/>
        </w:rPr>
        <w:t>platformi</w:t>
      </w:r>
      <w:r w:rsidRPr="001048FE">
        <w:rPr>
          <w:spacing w:val="-10"/>
          <w:lang w:val="sl-SI"/>
        </w:rPr>
        <w:t xml:space="preserve"> </w:t>
      </w:r>
      <w:r w:rsidRPr="001048FE">
        <w:rPr>
          <w:lang w:val="sl-SI"/>
        </w:rPr>
        <w:t>z</w:t>
      </w:r>
      <w:r w:rsidRPr="001048FE">
        <w:rPr>
          <w:spacing w:val="-10"/>
          <w:lang w:val="sl-SI"/>
        </w:rPr>
        <w:t xml:space="preserve"> </w:t>
      </w:r>
      <w:r w:rsidRPr="001048FE">
        <w:rPr>
          <w:lang w:val="sl-SI"/>
        </w:rPr>
        <w:t>objavami</w:t>
      </w:r>
      <w:r w:rsidRPr="001048FE">
        <w:rPr>
          <w:spacing w:val="-9"/>
          <w:lang w:val="sl-SI"/>
        </w:rPr>
        <w:t xml:space="preserve"> </w:t>
      </w:r>
      <w:r w:rsidRPr="001048FE">
        <w:rPr>
          <w:lang w:val="sl-SI"/>
        </w:rPr>
        <w:t>v</w:t>
      </w:r>
      <w:r w:rsidRPr="001048FE">
        <w:rPr>
          <w:spacing w:val="-10"/>
          <w:lang w:val="sl-SI"/>
        </w:rPr>
        <w:t xml:space="preserve"> </w:t>
      </w:r>
      <w:r w:rsidRPr="001048FE">
        <w:rPr>
          <w:lang w:val="sl-SI"/>
        </w:rPr>
        <w:t>spletnem</w:t>
      </w:r>
      <w:r w:rsidRPr="001048FE">
        <w:rPr>
          <w:spacing w:val="-10"/>
          <w:lang w:val="sl-SI"/>
        </w:rPr>
        <w:t xml:space="preserve"> </w:t>
      </w:r>
      <w:r w:rsidRPr="001048FE">
        <w:rPr>
          <w:lang w:val="sl-SI"/>
        </w:rPr>
        <w:t>dnevniku, novicami, dogodki in drugimi dejavnostmi delijo informacije o svojih aktivnostih in</w:t>
      </w:r>
      <w:r w:rsidRPr="001048FE">
        <w:rPr>
          <w:spacing w:val="10"/>
          <w:lang w:val="sl-SI"/>
        </w:rPr>
        <w:t xml:space="preserve"> </w:t>
      </w:r>
      <w:r w:rsidRPr="001048FE">
        <w:rPr>
          <w:lang w:val="sl-SI"/>
        </w:rPr>
        <w:t>rezultatih.</w:t>
      </w:r>
    </w:p>
    <w:p w14:paraId="7D398682" w14:textId="77777777" w:rsidR="00E03711" w:rsidRDefault="00E03711" w:rsidP="00C1426B">
      <w:pPr>
        <w:pStyle w:val="GUIDE-NORMAL"/>
        <w:rPr>
          <w:lang w:val="sl-SI"/>
        </w:rPr>
      </w:pPr>
      <w:r w:rsidRPr="001048FE">
        <w:rPr>
          <w:lang w:val="sl-SI"/>
        </w:rPr>
        <w:t>Izvajanje EPALE podpirata centralna podporna služba in omrežje nacionalnih podpornih služb v državah</w:t>
      </w:r>
      <w:r w:rsidRPr="001048FE">
        <w:rPr>
          <w:spacing w:val="-13"/>
          <w:lang w:val="sl-SI"/>
        </w:rPr>
        <w:t xml:space="preserve"> </w:t>
      </w:r>
      <w:r w:rsidRPr="001048FE">
        <w:rPr>
          <w:lang w:val="sl-SI"/>
        </w:rPr>
        <w:t>programa</w:t>
      </w:r>
      <w:r w:rsidRPr="001048FE">
        <w:rPr>
          <w:spacing w:val="-13"/>
          <w:lang w:val="sl-SI"/>
        </w:rPr>
        <w:t xml:space="preserve"> </w:t>
      </w:r>
      <w:r w:rsidRPr="001048FE">
        <w:rPr>
          <w:lang w:val="sl-SI"/>
        </w:rPr>
        <w:t>Erasmus+,</w:t>
      </w:r>
      <w:r w:rsidRPr="001048FE">
        <w:rPr>
          <w:spacing w:val="-13"/>
          <w:lang w:val="sl-SI"/>
        </w:rPr>
        <w:t xml:space="preserve"> </w:t>
      </w:r>
      <w:r w:rsidRPr="001048FE">
        <w:rPr>
          <w:lang w:val="sl-SI"/>
        </w:rPr>
        <w:t>ki</w:t>
      </w:r>
      <w:r w:rsidRPr="001048FE">
        <w:rPr>
          <w:spacing w:val="-13"/>
          <w:lang w:val="sl-SI"/>
        </w:rPr>
        <w:t xml:space="preserve"> </w:t>
      </w:r>
      <w:r w:rsidRPr="001048FE">
        <w:rPr>
          <w:lang w:val="sl-SI"/>
        </w:rPr>
        <w:t>sta</w:t>
      </w:r>
      <w:r w:rsidRPr="001048FE">
        <w:rPr>
          <w:spacing w:val="-13"/>
          <w:lang w:val="sl-SI"/>
        </w:rPr>
        <w:t xml:space="preserve"> </w:t>
      </w:r>
      <w:r w:rsidRPr="001048FE">
        <w:rPr>
          <w:lang w:val="sl-SI"/>
        </w:rPr>
        <w:t>zadolžena</w:t>
      </w:r>
      <w:r w:rsidRPr="001048FE">
        <w:rPr>
          <w:spacing w:val="-13"/>
          <w:lang w:val="sl-SI"/>
        </w:rPr>
        <w:t xml:space="preserve"> </w:t>
      </w:r>
      <w:r w:rsidRPr="001048FE">
        <w:rPr>
          <w:lang w:val="sl-SI"/>
        </w:rPr>
        <w:t>za</w:t>
      </w:r>
      <w:r w:rsidRPr="001048FE">
        <w:rPr>
          <w:spacing w:val="-13"/>
          <w:lang w:val="sl-SI"/>
        </w:rPr>
        <w:t xml:space="preserve"> </w:t>
      </w:r>
      <w:r w:rsidRPr="001048FE">
        <w:rPr>
          <w:lang w:val="sl-SI"/>
        </w:rPr>
        <w:t>iskanje</w:t>
      </w:r>
      <w:r w:rsidRPr="001048FE">
        <w:rPr>
          <w:spacing w:val="-13"/>
          <w:lang w:val="sl-SI"/>
        </w:rPr>
        <w:t xml:space="preserve"> </w:t>
      </w:r>
      <w:r w:rsidRPr="001048FE">
        <w:rPr>
          <w:lang w:val="sl-SI"/>
        </w:rPr>
        <w:t>informacij</w:t>
      </w:r>
      <w:r w:rsidRPr="001048FE">
        <w:rPr>
          <w:spacing w:val="-13"/>
          <w:lang w:val="sl-SI"/>
        </w:rPr>
        <w:t xml:space="preserve"> </w:t>
      </w:r>
      <w:r w:rsidRPr="001048FE">
        <w:rPr>
          <w:lang w:val="sl-SI"/>
        </w:rPr>
        <w:t>ter</w:t>
      </w:r>
      <w:r w:rsidRPr="001048FE">
        <w:rPr>
          <w:spacing w:val="-13"/>
          <w:lang w:val="sl-SI"/>
        </w:rPr>
        <w:t xml:space="preserve"> </w:t>
      </w:r>
      <w:r w:rsidRPr="001048FE">
        <w:rPr>
          <w:lang w:val="sl-SI"/>
        </w:rPr>
        <w:t>spodbujanje</w:t>
      </w:r>
      <w:r w:rsidRPr="001048FE">
        <w:rPr>
          <w:spacing w:val="-13"/>
          <w:lang w:val="sl-SI"/>
        </w:rPr>
        <w:t xml:space="preserve"> </w:t>
      </w:r>
      <w:r w:rsidRPr="001048FE">
        <w:rPr>
          <w:lang w:val="sl-SI"/>
        </w:rPr>
        <w:t>deležnikov</w:t>
      </w:r>
      <w:r w:rsidRPr="001048FE">
        <w:rPr>
          <w:spacing w:val="-13"/>
          <w:lang w:val="sl-SI"/>
        </w:rPr>
        <w:t xml:space="preserve"> </w:t>
      </w:r>
      <w:r w:rsidRPr="001048FE">
        <w:rPr>
          <w:lang w:val="sl-SI"/>
        </w:rPr>
        <w:t xml:space="preserve">k uporabi platforme in prispevanju k njej. Platforma EPALE je na voljo na spletišču: </w:t>
      </w:r>
      <w:hyperlink r:id="rId42">
        <w:r w:rsidRPr="001048FE">
          <w:rPr>
            <w:rStyle w:val="Hyperlink"/>
            <w:lang w:val="sl-SI"/>
          </w:rPr>
          <w:t>http://ec.europa.eu/epale/sl/home-page</w:t>
        </w:r>
      </w:hyperlink>
      <w:r w:rsidRPr="001048FE">
        <w:rPr>
          <w:lang w:val="sl-SI"/>
        </w:rPr>
        <w:t>.</w:t>
      </w:r>
    </w:p>
    <w:p w14:paraId="7D398683" w14:textId="77777777" w:rsidR="00E03711" w:rsidRDefault="00E03711" w:rsidP="00981CC9">
      <w:pPr>
        <w:rPr>
          <w:rFonts w:eastAsia="Calibri" w:cs="Calibri"/>
          <w:b/>
          <w:bCs/>
          <w:smallCaps/>
          <w:bdr w:val="nil"/>
          <w:lang w:val="sl-SI"/>
        </w:rPr>
      </w:pPr>
    </w:p>
    <w:p w14:paraId="7D398684" w14:textId="77777777" w:rsidR="00E03711" w:rsidRDefault="00E03711">
      <w:pPr>
        <w:widowControl/>
        <w:suppressAutoHyphens w:val="0"/>
        <w:autoSpaceDN/>
        <w:textAlignment w:val="auto"/>
        <w:rPr>
          <w:rFonts w:eastAsia="Calibri" w:cs="Calibri"/>
          <w:b/>
          <w:bCs/>
          <w:smallCaps/>
          <w:bdr w:val="nil"/>
          <w:lang w:val="sl-SI"/>
        </w:rPr>
      </w:pPr>
      <w:r>
        <w:rPr>
          <w:rFonts w:eastAsia="Calibri" w:cs="Calibri"/>
          <w:b/>
          <w:bCs/>
          <w:smallCaps/>
          <w:bdr w:val="nil"/>
          <w:lang w:val="sl-SI"/>
        </w:rPr>
        <w:br w:type="page"/>
      </w:r>
    </w:p>
    <w:p w14:paraId="7D398685" w14:textId="77777777" w:rsidR="00E03711" w:rsidRPr="0030441A" w:rsidRDefault="00E03711" w:rsidP="00981CC9">
      <w:pPr>
        <w:rPr>
          <w:b/>
          <w:smallCaps/>
          <w:lang w:val="sl-SI"/>
        </w:rPr>
      </w:pPr>
      <w:r w:rsidRPr="00FC4A70">
        <w:rPr>
          <w:rFonts w:eastAsia="Calibri" w:cs="Calibri"/>
          <w:b/>
          <w:bCs/>
          <w:smallCaps/>
          <w:bdr w:val="nil"/>
          <w:lang w:val="sl-SI"/>
        </w:rPr>
        <w:t>Erasmus+ virtualna izmenjava</w:t>
      </w:r>
    </w:p>
    <w:p w14:paraId="7D398686" w14:textId="77777777" w:rsidR="00E03711" w:rsidRPr="0030441A" w:rsidRDefault="00E03711" w:rsidP="00981CC9">
      <w:pPr>
        <w:pStyle w:val="Guide-Normal0"/>
        <w:rPr>
          <w:lang w:val="sl-SI"/>
        </w:rPr>
      </w:pPr>
    </w:p>
    <w:p w14:paraId="7D398687" w14:textId="77777777" w:rsidR="00E03711" w:rsidRPr="00FC4A70" w:rsidRDefault="00E03711" w:rsidP="00734594">
      <w:pPr>
        <w:pStyle w:val="Guide-Normal0"/>
        <w:rPr>
          <w:vanish/>
          <w:lang w:val="sl-SI"/>
        </w:rPr>
      </w:pPr>
      <w:r w:rsidRPr="00FC4A70">
        <w:rPr>
          <w:rFonts w:eastAsia="Calibri" w:cs="Calibri"/>
          <w:kern w:val="3"/>
          <w:sz w:val="18"/>
          <w:szCs w:val="18"/>
          <w:bdr w:val="nil"/>
          <w:shd w:val="clear" w:color="auto" w:fill="FFFFFF"/>
          <w:lang w:val="sl-SI"/>
        </w:rPr>
        <w:t xml:space="preserve">Erasmus+ virtualna izmenjava omogoča mladim z obeh strani Sredozemlja, da sodelujejo v medkulturnem dialogu in izboljšajo svoje znanje in veščine prek spletnih orodij za učenje. To pomeni razširitev dosega in dometa programa Erasmus+ in dopolnitev tradicionalne fizične mobilnosti. Erasmus+ virtualna izmenjava tesno sodeluje z univerzami in mladinskimi organizacijami, tako da doseže mlade posameznike, mlade delavce, študente in znanstvenike iz </w:t>
      </w:r>
      <w:r>
        <w:rPr>
          <w:rFonts w:eastAsia="Calibri" w:cs="Calibri"/>
          <w:kern w:val="3"/>
          <w:sz w:val="18"/>
          <w:szCs w:val="18"/>
          <w:bdr w:val="nil"/>
          <w:shd w:val="clear" w:color="auto" w:fill="FFFFFF"/>
          <w:lang w:val="sl-SI"/>
        </w:rPr>
        <w:t>34</w:t>
      </w:r>
      <w:r w:rsidRPr="00FC4A70">
        <w:rPr>
          <w:rFonts w:eastAsia="Calibri" w:cs="Calibri"/>
          <w:kern w:val="3"/>
          <w:sz w:val="18"/>
          <w:szCs w:val="18"/>
          <w:bdr w:val="nil"/>
          <w:shd w:val="clear" w:color="auto" w:fill="FFFFFF"/>
          <w:lang w:val="sl-SI"/>
        </w:rPr>
        <w:t xml:space="preserve"> držav, sodelujočih v programu, in 10 partnerskih držav iz južnomediteranske regije (Alžirija, Egipt, Izrael, Jordanija, Libanon, Libija, Maroko, Palestina</w:t>
      </w:r>
      <w:r>
        <w:rPr>
          <w:rStyle w:val="FootnoteReference"/>
          <w:rFonts w:eastAsia="Calibri" w:cs="Calibri"/>
          <w:kern w:val="3"/>
          <w:sz w:val="18"/>
          <w:szCs w:val="18"/>
          <w:bdr w:val="nil"/>
          <w:shd w:val="clear" w:color="auto" w:fill="FFFFFF"/>
          <w:lang w:val="sl-SI"/>
        </w:rPr>
        <w:footnoteReference w:id="8"/>
      </w:r>
      <w:r w:rsidRPr="00FC4A70">
        <w:rPr>
          <w:rFonts w:eastAsia="Calibri" w:cs="Calibri"/>
          <w:kern w:val="3"/>
          <w:sz w:val="18"/>
          <w:szCs w:val="18"/>
          <w:bdr w:val="nil"/>
          <w:shd w:val="clear" w:color="auto" w:fill="FFFFFF"/>
          <w:lang w:val="sl-SI"/>
        </w:rPr>
        <w:t>, Sirija in Tunizija).</w:t>
      </w:r>
    </w:p>
    <w:p w14:paraId="7D398688" w14:textId="77777777" w:rsidR="00E03711" w:rsidRPr="00FC4A70" w:rsidRDefault="00E03711" w:rsidP="00981CC9">
      <w:pPr>
        <w:pStyle w:val="Guide-Normal0"/>
        <w:rPr>
          <w:vanish/>
          <w:lang w:val="sl-SI"/>
        </w:rPr>
      </w:pPr>
    </w:p>
    <w:p w14:paraId="7D398689" w14:textId="77777777" w:rsidR="00E03711" w:rsidRPr="00FC4A70" w:rsidRDefault="00E03711" w:rsidP="00981CC9">
      <w:pPr>
        <w:pStyle w:val="Guide-Normal0"/>
        <w:rPr>
          <w:lang w:val="sl-SI"/>
        </w:rPr>
      </w:pPr>
      <w:r w:rsidRPr="00FC4A70">
        <w:rPr>
          <w:rFonts w:eastAsia="Calibri" w:cs="Calibri"/>
          <w:kern w:val="3"/>
          <w:sz w:val="18"/>
          <w:szCs w:val="18"/>
          <w:bdr w:val="nil"/>
          <w:shd w:val="clear" w:color="auto" w:fill="FFFFFF"/>
          <w:lang w:val="sl-SI"/>
        </w:rPr>
        <w:t xml:space="preserve">Virtualne izmenjave so spletni dialogi, ki so običajno del formalnih ali neformalnih izobraževalnih programov in so priznani povsod. Vse debate usmerjajo usposobljeni moderatorji, ki sledijo dogovorjenemu kodeksu ravnanja. S prijavo na varno videokonferenčno platformo se mladi povezujejo v majhne skupine in pogovarjajo o družbenih, globalnih ali osebnih temah. Cilj je samorefleksija, aktivno poslušanje, spoštovanje in kritično mišljenje. Dialogi izboljšujejo zaposlitvene zmožnosti, saj zahtevajo učinkovito komunikacijo, govorjenje drugih jezikov in sodelovanje prek različnosti.  </w:t>
      </w:r>
    </w:p>
    <w:p w14:paraId="7D39868A" w14:textId="77777777" w:rsidR="00E03711" w:rsidRPr="00FC4A70" w:rsidRDefault="00E03711" w:rsidP="00981CC9">
      <w:pPr>
        <w:pStyle w:val="Guide-Normal0"/>
        <w:rPr>
          <w:lang w:val="sl-SI"/>
        </w:rPr>
      </w:pPr>
    </w:p>
    <w:p w14:paraId="7D39868B" w14:textId="77777777" w:rsidR="00E03711" w:rsidRPr="00FC4A70" w:rsidRDefault="00E03711" w:rsidP="00981CC9">
      <w:pPr>
        <w:pStyle w:val="Guide-Normal0"/>
        <w:rPr>
          <w:lang w:val="sl-SI"/>
        </w:rPr>
      </w:pPr>
      <w:r w:rsidRPr="00FC4A70">
        <w:rPr>
          <w:rFonts w:eastAsia="Calibri" w:cs="Calibri"/>
          <w:kern w:val="3"/>
          <w:sz w:val="18"/>
          <w:szCs w:val="18"/>
          <w:bdr w:val="nil"/>
          <w:shd w:val="clear" w:color="auto" w:fill="FFFFFF"/>
          <w:lang w:val="sl-SI"/>
        </w:rPr>
        <w:t>Erasmus+ virtualna izmenjava prav tako omogoča usposabljanje mladinskih delavcev in univerzitetnih profesorjev za razvoj projektov virtualne izmenjave s partnerji iz drugih držav, s čimer se omogočijo stiki med mladimi iz različnih držav. Poleg tega ta projekt pomaga vodjem množičnih odprtih spletnih tečajev (Massive open online courses, MOOC) razviti komponento virtualne izmenjave in jo vključiti v svoje programe.</w:t>
      </w:r>
    </w:p>
    <w:p w14:paraId="7D39868C" w14:textId="77777777" w:rsidR="00E03711" w:rsidRPr="0030441A" w:rsidRDefault="00E03711" w:rsidP="00D0047F">
      <w:pPr>
        <w:pStyle w:val="Guide-Heading4"/>
        <w:rPr>
          <w:b w:val="0"/>
          <w:smallCaps w:val="0"/>
          <w:sz w:val="18"/>
          <w:szCs w:val="18"/>
          <w:shd w:val="clear" w:color="auto" w:fill="FFFFFF"/>
          <w:lang w:val="pl-PL" w:eastAsia="en-GB"/>
        </w:rPr>
      </w:pPr>
      <w:bookmarkStart w:id="88" w:name="_Toc527401102"/>
      <w:r w:rsidRPr="00FC4A70">
        <w:rPr>
          <w:rFonts w:eastAsia="Calibri" w:cs="Calibri"/>
          <w:b w:val="0"/>
          <w:smallCaps w:val="0"/>
          <w:sz w:val="18"/>
          <w:szCs w:val="18"/>
          <w:bdr w:val="nil"/>
          <w:shd w:val="clear" w:color="auto" w:fill="FFFFFF"/>
          <w:lang w:val="sl-SI" w:eastAsia="en-GB"/>
        </w:rPr>
        <w:t xml:space="preserve">Vse informacije lahko najdete na: </w:t>
      </w:r>
      <w:hyperlink r:id="rId43" w:history="1">
        <w:r w:rsidRPr="0030441A">
          <w:rPr>
            <w:rStyle w:val="Hyperlink"/>
            <w:b w:val="0"/>
            <w:smallCaps w:val="0"/>
            <w:sz w:val="18"/>
            <w:szCs w:val="18"/>
            <w:shd w:val="clear" w:color="auto" w:fill="FFFFFF"/>
            <w:lang w:val="pl-PL" w:eastAsia="en-GB"/>
          </w:rPr>
          <w:t>https://europa.eu/youth/erasmusvirtual</w:t>
        </w:r>
        <w:bookmarkEnd w:id="88"/>
      </w:hyperlink>
    </w:p>
    <w:p w14:paraId="7D39868D" w14:textId="77777777" w:rsidR="00E03711" w:rsidRPr="001048FE" w:rsidRDefault="00E03711" w:rsidP="00995E90">
      <w:pPr>
        <w:pStyle w:val="GUIDE-NORMAL"/>
        <w:rPr>
          <w:lang w:val="sl-SI"/>
        </w:rPr>
      </w:pPr>
    </w:p>
    <w:p w14:paraId="7D39868E" w14:textId="77777777" w:rsidR="00E03711" w:rsidRPr="0030441A" w:rsidRDefault="00E03711" w:rsidP="0030441A">
      <w:pPr>
        <w:widowControl/>
        <w:suppressAutoHyphens w:val="0"/>
        <w:autoSpaceDN/>
        <w:textAlignment w:val="auto"/>
        <w:rPr>
          <w:rFonts w:eastAsia="Calibri" w:cs="Calibri"/>
          <w:b/>
          <w:bCs/>
          <w:smallCaps/>
          <w:bdr w:val="nil"/>
          <w:lang w:val="sl-SI"/>
        </w:rPr>
      </w:pPr>
      <w:bookmarkStart w:id="89" w:name="_Toc527401103"/>
      <w:r w:rsidRPr="0030441A">
        <w:rPr>
          <w:rFonts w:eastAsia="Calibri" w:cs="Calibri"/>
          <w:b/>
          <w:bCs/>
          <w:smallCaps/>
          <w:bdr w:val="nil"/>
          <w:lang w:val="sl-SI"/>
        </w:rPr>
        <w:t>Nacionalni uradi</w:t>
      </w:r>
      <w:bookmarkEnd w:id="89"/>
    </w:p>
    <w:p w14:paraId="7D39868F" w14:textId="77777777" w:rsidR="00E03711" w:rsidRPr="001048FE" w:rsidRDefault="00E03711" w:rsidP="00995E90">
      <w:pPr>
        <w:pStyle w:val="GUIDE-NORMAL"/>
        <w:rPr>
          <w:lang w:val="sl-SI"/>
        </w:rPr>
      </w:pPr>
      <w:r w:rsidRPr="001048FE">
        <w:rPr>
          <w:lang w:val="sl-SI"/>
        </w:rPr>
        <w:t>V zadevnih partnerskih državah (Zahodni Balkan, države vzhodnega in južnega Sredozemlja, Rusija in Osrednja Azija) nacionalni uradi Erasmus+ (NEO) pomagajo Komisiji, Izvajalski agenciji in lokalnim organom pri izvajanju programa Erasmus+. V teh državah so to informacijske točke za deležnike, ki so vključeni v program Erasmus+ na področju visokošolskega izobraževanja. Prispevajo h krepitvi osveščenosti, prepoznavnosti, pomembnosti, učinkovitosti in učinka mednarodne razsežnosti programa Erasmus+. Nacionalni uradi Erasmus+ so odgovorni za:</w:t>
      </w:r>
    </w:p>
    <w:p w14:paraId="7D398690" w14:textId="77777777" w:rsidR="00E03711" w:rsidRPr="001048FE" w:rsidRDefault="00E03711" w:rsidP="005115F2">
      <w:pPr>
        <w:pStyle w:val="Guide-NormalBulletpoints"/>
        <w:numPr>
          <w:ilvl w:val="0"/>
          <w:numId w:val="177"/>
        </w:numPr>
        <w:rPr>
          <w:lang w:val="sl-SI"/>
        </w:rPr>
      </w:pPr>
      <w:r w:rsidRPr="001048FE">
        <w:rPr>
          <w:lang w:val="sl-SI"/>
        </w:rPr>
        <w:t>zagotavljanje</w:t>
      </w:r>
      <w:r w:rsidRPr="001048FE">
        <w:rPr>
          <w:spacing w:val="-12"/>
          <w:lang w:val="sl-SI"/>
        </w:rPr>
        <w:t xml:space="preserve"> </w:t>
      </w:r>
      <w:r w:rsidRPr="001048FE">
        <w:rPr>
          <w:lang w:val="sl-SI"/>
        </w:rPr>
        <w:t>informacij</w:t>
      </w:r>
      <w:r w:rsidRPr="001048FE">
        <w:rPr>
          <w:spacing w:val="-12"/>
          <w:lang w:val="sl-SI"/>
        </w:rPr>
        <w:t xml:space="preserve"> </w:t>
      </w:r>
      <w:r w:rsidRPr="001048FE">
        <w:rPr>
          <w:lang w:val="sl-SI"/>
        </w:rPr>
        <w:t>o</w:t>
      </w:r>
      <w:r w:rsidRPr="001048FE">
        <w:rPr>
          <w:spacing w:val="-11"/>
          <w:lang w:val="sl-SI"/>
        </w:rPr>
        <w:t xml:space="preserve"> </w:t>
      </w:r>
      <w:r w:rsidRPr="001048FE">
        <w:rPr>
          <w:lang w:val="sl-SI"/>
        </w:rPr>
        <w:t>aktivnostih</w:t>
      </w:r>
      <w:r w:rsidRPr="001048FE">
        <w:rPr>
          <w:spacing w:val="-12"/>
          <w:lang w:val="sl-SI"/>
        </w:rPr>
        <w:t xml:space="preserve"> </w:t>
      </w:r>
      <w:r w:rsidRPr="001048FE">
        <w:rPr>
          <w:lang w:val="sl-SI"/>
        </w:rPr>
        <w:t>Erasmus+,</w:t>
      </w:r>
      <w:r w:rsidRPr="001048FE">
        <w:rPr>
          <w:spacing w:val="-12"/>
          <w:lang w:val="sl-SI"/>
        </w:rPr>
        <w:t xml:space="preserve"> </w:t>
      </w:r>
      <w:r w:rsidRPr="001048FE">
        <w:rPr>
          <w:lang w:val="sl-SI"/>
        </w:rPr>
        <w:t>ki</w:t>
      </w:r>
      <w:r w:rsidRPr="001048FE">
        <w:rPr>
          <w:spacing w:val="-12"/>
          <w:lang w:val="sl-SI"/>
        </w:rPr>
        <w:t xml:space="preserve"> </w:t>
      </w:r>
      <w:r w:rsidRPr="001048FE">
        <w:rPr>
          <w:lang w:val="sl-SI"/>
        </w:rPr>
        <w:t>se</w:t>
      </w:r>
      <w:r w:rsidRPr="001048FE">
        <w:rPr>
          <w:spacing w:val="-12"/>
          <w:lang w:val="sl-SI"/>
        </w:rPr>
        <w:t xml:space="preserve"> </w:t>
      </w:r>
      <w:r w:rsidRPr="001048FE">
        <w:rPr>
          <w:lang w:val="sl-SI"/>
        </w:rPr>
        <w:t>jih</w:t>
      </w:r>
      <w:r w:rsidRPr="001048FE">
        <w:rPr>
          <w:spacing w:val="-12"/>
          <w:lang w:val="sl-SI"/>
        </w:rPr>
        <w:t xml:space="preserve"> </w:t>
      </w:r>
      <w:r w:rsidRPr="001048FE">
        <w:rPr>
          <w:lang w:val="sl-SI"/>
        </w:rPr>
        <w:t>lahko</w:t>
      </w:r>
      <w:r w:rsidRPr="001048FE">
        <w:rPr>
          <w:spacing w:val="-12"/>
          <w:lang w:val="sl-SI"/>
        </w:rPr>
        <w:t xml:space="preserve"> </w:t>
      </w:r>
      <w:r w:rsidRPr="001048FE">
        <w:rPr>
          <w:lang w:val="sl-SI"/>
        </w:rPr>
        <w:t>udeležijo</w:t>
      </w:r>
      <w:r w:rsidRPr="001048FE">
        <w:rPr>
          <w:spacing w:val="-12"/>
          <w:lang w:val="sl-SI"/>
        </w:rPr>
        <w:t xml:space="preserve"> </w:t>
      </w:r>
      <w:r w:rsidRPr="001048FE">
        <w:rPr>
          <w:lang w:val="sl-SI"/>
        </w:rPr>
        <w:t>posamezne</w:t>
      </w:r>
      <w:r w:rsidRPr="001048FE">
        <w:rPr>
          <w:spacing w:val="-12"/>
          <w:lang w:val="sl-SI"/>
        </w:rPr>
        <w:t xml:space="preserve"> </w:t>
      </w:r>
      <w:r w:rsidRPr="001048FE">
        <w:rPr>
          <w:lang w:val="sl-SI"/>
        </w:rPr>
        <w:t>države</w:t>
      </w:r>
      <w:r w:rsidRPr="001048FE">
        <w:rPr>
          <w:spacing w:val="-12"/>
          <w:lang w:val="sl-SI"/>
        </w:rPr>
        <w:t xml:space="preserve"> </w:t>
      </w:r>
      <w:r w:rsidRPr="001048FE">
        <w:rPr>
          <w:lang w:val="sl-SI"/>
        </w:rPr>
        <w:t>na področju visokošolskega</w:t>
      </w:r>
      <w:r w:rsidRPr="001048FE">
        <w:rPr>
          <w:spacing w:val="-7"/>
          <w:lang w:val="sl-SI"/>
        </w:rPr>
        <w:t xml:space="preserve"> </w:t>
      </w:r>
      <w:r w:rsidRPr="001048FE">
        <w:rPr>
          <w:lang w:val="sl-SI"/>
        </w:rPr>
        <w:t>izobraževanja;</w:t>
      </w:r>
    </w:p>
    <w:p w14:paraId="7D398691" w14:textId="77777777" w:rsidR="00E03711" w:rsidRPr="001048FE" w:rsidRDefault="00E03711" w:rsidP="005115F2">
      <w:pPr>
        <w:pStyle w:val="Guide-NormalBulletpoints"/>
        <w:numPr>
          <w:ilvl w:val="0"/>
          <w:numId w:val="177"/>
        </w:numPr>
        <w:rPr>
          <w:lang w:val="sl-SI"/>
        </w:rPr>
      </w:pPr>
      <w:r w:rsidRPr="001048FE">
        <w:rPr>
          <w:lang w:val="sl-SI"/>
        </w:rPr>
        <w:t xml:space="preserve">svetovanje in pomoč morebitnim prijaviteljem; </w:t>
      </w:r>
    </w:p>
    <w:p w14:paraId="7D398692" w14:textId="77777777" w:rsidR="00E03711" w:rsidRPr="001048FE" w:rsidRDefault="00E03711" w:rsidP="005115F2">
      <w:pPr>
        <w:pStyle w:val="Guide-NormalBulletpoints"/>
        <w:numPr>
          <w:ilvl w:val="0"/>
          <w:numId w:val="177"/>
        </w:numPr>
        <w:rPr>
          <w:lang w:val="sl-SI"/>
        </w:rPr>
      </w:pPr>
      <w:r w:rsidRPr="001048FE">
        <w:rPr>
          <w:lang w:val="sl-SI"/>
        </w:rPr>
        <w:t>spremljanje projektov Erasmus+;</w:t>
      </w:r>
    </w:p>
    <w:p w14:paraId="7D398693" w14:textId="77777777" w:rsidR="00E03711" w:rsidRPr="001048FE" w:rsidRDefault="00E03711" w:rsidP="005115F2">
      <w:pPr>
        <w:pStyle w:val="Guide-NormalBulletpoints"/>
        <w:numPr>
          <w:ilvl w:val="0"/>
          <w:numId w:val="177"/>
        </w:numPr>
        <w:rPr>
          <w:lang w:val="sl-SI"/>
        </w:rPr>
      </w:pPr>
      <w:r w:rsidRPr="001048FE">
        <w:rPr>
          <w:lang w:val="sl-SI"/>
        </w:rPr>
        <w:t>koordinacijo</w:t>
      </w:r>
      <w:r w:rsidRPr="001048FE">
        <w:rPr>
          <w:spacing w:val="-27"/>
          <w:lang w:val="sl-SI"/>
        </w:rPr>
        <w:t xml:space="preserve"> </w:t>
      </w:r>
      <w:r w:rsidRPr="001048FE">
        <w:rPr>
          <w:lang w:val="sl-SI"/>
        </w:rPr>
        <w:t>lokalne</w:t>
      </w:r>
      <w:r w:rsidRPr="001048FE">
        <w:rPr>
          <w:spacing w:val="-27"/>
          <w:lang w:val="sl-SI"/>
        </w:rPr>
        <w:t xml:space="preserve"> </w:t>
      </w:r>
      <w:r w:rsidRPr="001048FE">
        <w:rPr>
          <w:lang w:val="sl-SI"/>
        </w:rPr>
        <w:t>skupine</w:t>
      </w:r>
      <w:r w:rsidRPr="001048FE">
        <w:rPr>
          <w:spacing w:val="-27"/>
          <w:lang w:val="sl-SI"/>
        </w:rPr>
        <w:t xml:space="preserve"> </w:t>
      </w:r>
      <w:r w:rsidRPr="001048FE">
        <w:rPr>
          <w:lang w:val="sl-SI"/>
        </w:rPr>
        <w:t>strokovnjakov</w:t>
      </w:r>
      <w:r w:rsidRPr="001048FE">
        <w:rPr>
          <w:spacing w:val="-27"/>
          <w:lang w:val="sl-SI"/>
        </w:rPr>
        <w:t xml:space="preserve"> </w:t>
      </w:r>
      <w:r w:rsidRPr="001048FE">
        <w:rPr>
          <w:lang w:val="sl-SI"/>
        </w:rPr>
        <w:t>za</w:t>
      </w:r>
      <w:r w:rsidRPr="001048FE">
        <w:rPr>
          <w:spacing w:val="-27"/>
          <w:lang w:val="sl-SI"/>
        </w:rPr>
        <w:t xml:space="preserve"> </w:t>
      </w:r>
      <w:r w:rsidRPr="001048FE">
        <w:rPr>
          <w:lang w:val="sl-SI"/>
        </w:rPr>
        <w:t>reformo</w:t>
      </w:r>
      <w:r w:rsidRPr="001048FE">
        <w:rPr>
          <w:spacing w:val="-27"/>
          <w:lang w:val="sl-SI"/>
        </w:rPr>
        <w:t xml:space="preserve"> </w:t>
      </w:r>
      <w:r w:rsidRPr="001048FE">
        <w:rPr>
          <w:lang w:val="sl-SI"/>
        </w:rPr>
        <w:t>visokošolskega</w:t>
      </w:r>
      <w:r w:rsidRPr="001048FE">
        <w:rPr>
          <w:spacing w:val="-27"/>
          <w:lang w:val="sl-SI"/>
        </w:rPr>
        <w:t xml:space="preserve"> </w:t>
      </w:r>
      <w:r w:rsidRPr="001048FE">
        <w:rPr>
          <w:lang w:val="sl-SI"/>
        </w:rPr>
        <w:t>izobraževanja</w:t>
      </w:r>
      <w:r w:rsidRPr="001048FE">
        <w:rPr>
          <w:spacing w:val="-27"/>
          <w:lang w:val="sl-SI"/>
        </w:rPr>
        <w:t xml:space="preserve"> </w:t>
      </w:r>
      <w:r w:rsidRPr="001048FE">
        <w:rPr>
          <w:lang w:val="sl-SI"/>
        </w:rPr>
        <w:t xml:space="preserve">(HEREs); </w:t>
      </w:r>
    </w:p>
    <w:p w14:paraId="7D398694" w14:textId="77777777" w:rsidR="00E03711" w:rsidRPr="001048FE" w:rsidRDefault="00E03711" w:rsidP="005115F2">
      <w:pPr>
        <w:pStyle w:val="Guide-NormalBulletpoints"/>
        <w:numPr>
          <w:ilvl w:val="0"/>
          <w:numId w:val="177"/>
        </w:numPr>
        <w:rPr>
          <w:lang w:val="sl-SI"/>
        </w:rPr>
      </w:pPr>
      <w:r w:rsidRPr="001048FE">
        <w:rPr>
          <w:lang w:val="sl-SI"/>
        </w:rPr>
        <w:t>spremljanje aktivnosti programa Tempus IV</w:t>
      </w:r>
      <w:r w:rsidRPr="001048FE">
        <w:rPr>
          <w:spacing w:val="-18"/>
          <w:lang w:val="sl-SI"/>
        </w:rPr>
        <w:t xml:space="preserve"> </w:t>
      </w:r>
      <w:r w:rsidRPr="001048FE">
        <w:rPr>
          <w:lang w:val="sl-SI"/>
        </w:rPr>
        <w:t>(2007–2013);</w:t>
      </w:r>
    </w:p>
    <w:p w14:paraId="7D398695" w14:textId="77777777" w:rsidR="00E03711" w:rsidRPr="001048FE" w:rsidRDefault="00E03711" w:rsidP="005115F2">
      <w:pPr>
        <w:pStyle w:val="Guide-NormalBulletpoints"/>
        <w:numPr>
          <w:ilvl w:val="0"/>
          <w:numId w:val="177"/>
        </w:numPr>
        <w:rPr>
          <w:lang w:val="sl-SI"/>
        </w:rPr>
      </w:pPr>
      <w:r w:rsidRPr="001048FE">
        <w:rPr>
          <w:lang w:val="sl-SI"/>
        </w:rPr>
        <w:t xml:space="preserve">prispevanje k študijam in dogodkom; </w:t>
      </w:r>
    </w:p>
    <w:p w14:paraId="7D398696" w14:textId="77777777" w:rsidR="00E03711" w:rsidRPr="001048FE" w:rsidRDefault="00E03711" w:rsidP="005115F2">
      <w:pPr>
        <w:pStyle w:val="Guide-NormalBulletpoints"/>
        <w:numPr>
          <w:ilvl w:val="0"/>
          <w:numId w:val="177"/>
        </w:numPr>
        <w:rPr>
          <w:lang w:val="sl-SI"/>
        </w:rPr>
      </w:pPr>
      <w:r w:rsidRPr="001048FE">
        <w:rPr>
          <w:lang w:val="sl-SI"/>
        </w:rPr>
        <w:t>zagotavljanje podpore dialogu o politikah;</w:t>
      </w:r>
    </w:p>
    <w:p w14:paraId="7D398697" w14:textId="77777777" w:rsidR="00E03711" w:rsidRPr="001048FE" w:rsidRDefault="00E03711" w:rsidP="005115F2">
      <w:pPr>
        <w:pStyle w:val="Guide-NormalBulletpoints"/>
        <w:numPr>
          <w:ilvl w:val="0"/>
          <w:numId w:val="177"/>
        </w:numPr>
        <w:rPr>
          <w:lang w:val="sl-SI"/>
        </w:rPr>
      </w:pPr>
      <w:r w:rsidRPr="001048FE">
        <w:rPr>
          <w:lang w:val="sl-SI"/>
        </w:rPr>
        <w:t>ohranjanje stikov z lokalnimi organi in delegacijami EU;</w:t>
      </w:r>
    </w:p>
    <w:p w14:paraId="7D398698" w14:textId="77777777" w:rsidR="00E03711" w:rsidRPr="001048FE" w:rsidRDefault="00E03711" w:rsidP="005115F2">
      <w:pPr>
        <w:pStyle w:val="Guide-NormalBulletpoints"/>
        <w:numPr>
          <w:ilvl w:val="0"/>
          <w:numId w:val="177"/>
        </w:numPr>
        <w:rPr>
          <w:lang w:val="sl-SI"/>
        </w:rPr>
      </w:pPr>
      <w:r w:rsidRPr="001048FE">
        <w:rPr>
          <w:lang w:val="sl-SI"/>
        </w:rPr>
        <w:t>sledenje razvoju politik na področju visokošolskega izobraževanja v lastni državi.</w:t>
      </w:r>
    </w:p>
    <w:p w14:paraId="7D398699" w14:textId="77777777" w:rsidR="00E03711" w:rsidRPr="001048FE" w:rsidRDefault="00E03711" w:rsidP="00995E90">
      <w:pPr>
        <w:pStyle w:val="Guide-Heading4"/>
        <w:rPr>
          <w:lang w:val="sl-SI"/>
        </w:rPr>
      </w:pPr>
      <w:bookmarkStart w:id="90" w:name="_Toc527401104"/>
      <w:r w:rsidRPr="001048FE">
        <w:rPr>
          <w:lang w:val="sl-SI"/>
        </w:rPr>
        <w:t>Sekretariat afriških, karibskih in pacifiških držav</w:t>
      </w:r>
      <w:r w:rsidRPr="001048FE">
        <w:rPr>
          <w:spacing w:val="-63"/>
          <w:lang w:val="sl-SI"/>
        </w:rPr>
        <w:t xml:space="preserve"> </w:t>
      </w:r>
      <w:r w:rsidRPr="001048FE">
        <w:rPr>
          <w:lang w:val="sl-SI"/>
        </w:rPr>
        <w:t>(AKP)</w:t>
      </w:r>
      <w:bookmarkEnd w:id="90"/>
    </w:p>
    <w:p w14:paraId="7D39869A" w14:textId="77777777" w:rsidR="00E03711" w:rsidRPr="001048FE" w:rsidRDefault="00E03711" w:rsidP="00995E90">
      <w:pPr>
        <w:pStyle w:val="GUIDE-NORMAL"/>
        <w:rPr>
          <w:lang w:val="sl-SI"/>
        </w:rPr>
      </w:pPr>
      <w:r w:rsidRPr="001048FE">
        <w:rPr>
          <w:lang w:val="sl-SI"/>
        </w:rPr>
        <w:t>V zadevnih partnerskih državah (države AKP) bo izvajanje določenih ukrepov potekalo v tesnem sodelovanju z odborom veleposlanikov Skupine afriških, karibskih in pacifiških držav, ki jih zastopa sekretariat AKP, ki sodeluje pri pripravi programa in izvajanju teh ukrepov.</w:t>
      </w:r>
    </w:p>
    <w:p w14:paraId="7D39869B" w14:textId="77777777" w:rsidR="00E03711" w:rsidRPr="001048FE" w:rsidRDefault="00E03711" w:rsidP="00995E90">
      <w:pPr>
        <w:pStyle w:val="Guide-Heading4"/>
        <w:rPr>
          <w:lang w:val="sl-SI"/>
        </w:rPr>
      </w:pPr>
      <w:bookmarkStart w:id="91" w:name="_Toc527401105"/>
      <w:r w:rsidRPr="001048FE">
        <w:rPr>
          <w:lang w:val="sl-SI"/>
        </w:rPr>
        <w:t>Mreža strokovnjakov za reformo visokošolskega izobraževanja (HEREs)</w:t>
      </w:r>
      <w:bookmarkEnd w:id="91"/>
    </w:p>
    <w:p w14:paraId="7D39869C" w14:textId="77777777" w:rsidR="00E03711" w:rsidRPr="001048FE" w:rsidRDefault="00E03711" w:rsidP="00995E90">
      <w:pPr>
        <w:pStyle w:val="GUIDE-NORMAL"/>
        <w:rPr>
          <w:lang w:val="sl-SI"/>
        </w:rPr>
      </w:pPr>
      <w:r w:rsidRPr="001048FE">
        <w:rPr>
          <w:lang w:val="sl-SI"/>
        </w:rPr>
        <w:t>V</w:t>
      </w:r>
      <w:r w:rsidRPr="001048FE">
        <w:rPr>
          <w:spacing w:val="-22"/>
          <w:lang w:val="sl-SI"/>
        </w:rPr>
        <w:t xml:space="preserve"> </w:t>
      </w:r>
      <w:r w:rsidRPr="001048FE">
        <w:rPr>
          <w:lang w:val="sl-SI"/>
        </w:rPr>
        <w:t>zadevnih</w:t>
      </w:r>
      <w:r w:rsidRPr="001048FE">
        <w:rPr>
          <w:spacing w:val="-22"/>
          <w:lang w:val="sl-SI"/>
        </w:rPr>
        <w:t xml:space="preserve"> </w:t>
      </w:r>
      <w:r w:rsidRPr="001048FE">
        <w:rPr>
          <w:lang w:val="sl-SI"/>
        </w:rPr>
        <w:t>partnerskih</w:t>
      </w:r>
      <w:r w:rsidRPr="001048FE">
        <w:rPr>
          <w:spacing w:val="-22"/>
          <w:lang w:val="sl-SI"/>
        </w:rPr>
        <w:t xml:space="preserve"> </w:t>
      </w:r>
      <w:r w:rsidRPr="001048FE">
        <w:rPr>
          <w:lang w:val="sl-SI"/>
        </w:rPr>
        <w:t>državah</w:t>
      </w:r>
      <w:r w:rsidRPr="001048FE">
        <w:rPr>
          <w:spacing w:val="-22"/>
          <w:lang w:val="sl-SI"/>
        </w:rPr>
        <w:t xml:space="preserve"> </w:t>
      </w:r>
      <w:r w:rsidRPr="001048FE">
        <w:rPr>
          <w:lang w:val="sl-SI"/>
        </w:rPr>
        <w:t>(Zahodni</w:t>
      </w:r>
      <w:r w:rsidRPr="001048FE">
        <w:rPr>
          <w:spacing w:val="-22"/>
          <w:lang w:val="sl-SI"/>
        </w:rPr>
        <w:t xml:space="preserve"> </w:t>
      </w:r>
      <w:r w:rsidRPr="001048FE">
        <w:rPr>
          <w:lang w:val="sl-SI"/>
        </w:rPr>
        <w:t>Balkan,</w:t>
      </w:r>
      <w:r w:rsidRPr="001048FE">
        <w:rPr>
          <w:spacing w:val="-22"/>
          <w:lang w:val="sl-SI"/>
        </w:rPr>
        <w:t xml:space="preserve"> </w:t>
      </w:r>
      <w:r w:rsidRPr="001048FE">
        <w:rPr>
          <w:lang w:val="sl-SI"/>
        </w:rPr>
        <w:t>države</w:t>
      </w:r>
      <w:r w:rsidRPr="001048FE">
        <w:rPr>
          <w:spacing w:val="-22"/>
          <w:lang w:val="sl-SI"/>
        </w:rPr>
        <w:t xml:space="preserve"> </w:t>
      </w:r>
      <w:r w:rsidRPr="001048FE">
        <w:rPr>
          <w:lang w:val="sl-SI"/>
        </w:rPr>
        <w:t>vzhodnega</w:t>
      </w:r>
      <w:r w:rsidRPr="001048FE">
        <w:rPr>
          <w:spacing w:val="-22"/>
          <w:lang w:val="sl-SI"/>
        </w:rPr>
        <w:t xml:space="preserve"> </w:t>
      </w:r>
      <w:r w:rsidRPr="001048FE">
        <w:rPr>
          <w:lang w:val="sl-SI"/>
        </w:rPr>
        <w:t>in</w:t>
      </w:r>
      <w:r w:rsidRPr="001048FE">
        <w:rPr>
          <w:spacing w:val="-22"/>
          <w:lang w:val="sl-SI"/>
        </w:rPr>
        <w:t xml:space="preserve"> </w:t>
      </w:r>
      <w:r w:rsidRPr="001048FE">
        <w:rPr>
          <w:lang w:val="sl-SI"/>
        </w:rPr>
        <w:t>južnega</w:t>
      </w:r>
      <w:r w:rsidRPr="001048FE">
        <w:rPr>
          <w:spacing w:val="-22"/>
          <w:lang w:val="sl-SI"/>
        </w:rPr>
        <w:t xml:space="preserve"> </w:t>
      </w:r>
      <w:r w:rsidRPr="001048FE">
        <w:rPr>
          <w:lang w:val="sl-SI"/>
        </w:rPr>
        <w:t>Sredozemlja,</w:t>
      </w:r>
      <w:r w:rsidRPr="001048FE">
        <w:rPr>
          <w:spacing w:val="-22"/>
          <w:lang w:val="sl-SI"/>
        </w:rPr>
        <w:t xml:space="preserve"> </w:t>
      </w:r>
      <w:r w:rsidRPr="001048FE">
        <w:rPr>
          <w:lang w:val="sl-SI"/>
        </w:rPr>
        <w:t>Rusija in Osrednja Azija) nacionalne skupine strokovnjakov za reformo visokošolskega izobraževanja zagotavljajo</w:t>
      </w:r>
      <w:r w:rsidRPr="001048FE">
        <w:rPr>
          <w:spacing w:val="-13"/>
          <w:lang w:val="sl-SI"/>
        </w:rPr>
        <w:t xml:space="preserve"> </w:t>
      </w:r>
      <w:r w:rsidRPr="001048FE">
        <w:rPr>
          <w:lang w:val="sl-SI"/>
        </w:rPr>
        <w:t>vir</w:t>
      </w:r>
      <w:r w:rsidRPr="001048FE">
        <w:rPr>
          <w:spacing w:val="-13"/>
          <w:lang w:val="sl-SI"/>
        </w:rPr>
        <w:t xml:space="preserve"> </w:t>
      </w:r>
      <w:r w:rsidRPr="001048FE">
        <w:rPr>
          <w:lang w:val="sl-SI"/>
        </w:rPr>
        <w:t>strokovnega</w:t>
      </w:r>
      <w:r w:rsidRPr="001048FE">
        <w:rPr>
          <w:spacing w:val="-13"/>
          <w:lang w:val="sl-SI"/>
        </w:rPr>
        <w:t xml:space="preserve"> </w:t>
      </w:r>
      <w:r w:rsidRPr="001048FE">
        <w:rPr>
          <w:lang w:val="sl-SI"/>
        </w:rPr>
        <w:t>znanja</w:t>
      </w:r>
      <w:r w:rsidRPr="001048FE">
        <w:rPr>
          <w:spacing w:val="-13"/>
          <w:lang w:val="sl-SI"/>
        </w:rPr>
        <w:t xml:space="preserve"> </w:t>
      </w:r>
      <w:r w:rsidRPr="001048FE">
        <w:rPr>
          <w:lang w:val="sl-SI"/>
        </w:rPr>
        <w:t>za</w:t>
      </w:r>
      <w:r w:rsidRPr="001048FE">
        <w:rPr>
          <w:spacing w:val="-13"/>
          <w:lang w:val="sl-SI"/>
        </w:rPr>
        <w:t xml:space="preserve"> </w:t>
      </w:r>
      <w:r w:rsidRPr="001048FE">
        <w:rPr>
          <w:lang w:val="sl-SI"/>
        </w:rPr>
        <w:t>lokalne</w:t>
      </w:r>
      <w:r w:rsidRPr="001048FE">
        <w:rPr>
          <w:spacing w:val="-13"/>
          <w:lang w:val="sl-SI"/>
        </w:rPr>
        <w:t xml:space="preserve"> </w:t>
      </w:r>
      <w:r w:rsidRPr="001048FE">
        <w:rPr>
          <w:lang w:val="sl-SI"/>
        </w:rPr>
        <w:t>organe</w:t>
      </w:r>
      <w:r w:rsidRPr="001048FE">
        <w:rPr>
          <w:spacing w:val="-12"/>
          <w:lang w:val="sl-SI"/>
        </w:rPr>
        <w:t xml:space="preserve"> </w:t>
      </w:r>
      <w:r w:rsidRPr="001048FE">
        <w:rPr>
          <w:lang w:val="sl-SI"/>
        </w:rPr>
        <w:t>in</w:t>
      </w:r>
      <w:r w:rsidRPr="001048FE">
        <w:rPr>
          <w:spacing w:val="-13"/>
          <w:lang w:val="sl-SI"/>
        </w:rPr>
        <w:t xml:space="preserve"> </w:t>
      </w:r>
      <w:r w:rsidRPr="001048FE">
        <w:rPr>
          <w:lang w:val="sl-SI"/>
        </w:rPr>
        <w:t>deležnike,</w:t>
      </w:r>
      <w:r w:rsidRPr="001048FE">
        <w:rPr>
          <w:spacing w:val="-13"/>
          <w:lang w:val="sl-SI"/>
        </w:rPr>
        <w:t xml:space="preserve"> </w:t>
      </w:r>
      <w:r w:rsidRPr="001048FE">
        <w:rPr>
          <w:lang w:val="sl-SI"/>
        </w:rPr>
        <w:t>da</w:t>
      </w:r>
      <w:r w:rsidRPr="001048FE">
        <w:rPr>
          <w:spacing w:val="-13"/>
          <w:lang w:val="sl-SI"/>
        </w:rPr>
        <w:t xml:space="preserve"> </w:t>
      </w:r>
      <w:r w:rsidRPr="001048FE">
        <w:rPr>
          <w:lang w:val="sl-SI"/>
        </w:rPr>
        <w:t>spodbujajo</w:t>
      </w:r>
      <w:r w:rsidRPr="001048FE">
        <w:rPr>
          <w:spacing w:val="-13"/>
          <w:lang w:val="sl-SI"/>
        </w:rPr>
        <w:t xml:space="preserve"> </w:t>
      </w:r>
      <w:r w:rsidRPr="001048FE">
        <w:rPr>
          <w:lang w:val="sl-SI"/>
        </w:rPr>
        <w:t>reforme</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krepijo napredek</w:t>
      </w:r>
      <w:r w:rsidRPr="001048FE">
        <w:rPr>
          <w:spacing w:val="-17"/>
          <w:lang w:val="sl-SI"/>
        </w:rPr>
        <w:t xml:space="preserve"> </w:t>
      </w:r>
      <w:r w:rsidRPr="001048FE">
        <w:rPr>
          <w:lang w:val="sl-SI"/>
        </w:rPr>
        <w:t>v</w:t>
      </w:r>
      <w:r w:rsidRPr="001048FE">
        <w:rPr>
          <w:spacing w:val="-17"/>
          <w:lang w:val="sl-SI"/>
        </w:rPr>
        <w:t xml:space="preserve"> </w:t>
      </w:r>
      <w:r w:rsidRPr="001048FE">
        <w:rPr>
          <w:lang w:val="sl-SI"/>
        </w:rPr>
        <w:t>visokošolskem</w:t>
      </w:r>
      <w:r w:rsidRPr="001048FE">
        <w:rPr>
          <w:spacing w:val="-17"/>
          <w:lang w:val="sl-SI"/>
        </w:rPr>
        <w:t xml:space="preserve"> </w:t>
      </w:r>
      <w:r w:rsidRPr="001048FE">
        <w:rPr>
          <w:lang w:val="sl-SI"/>
        </w:rPr>
        <w:t>izobraževanju.</w:t>
      </w:r>
      <w:r w:rsidRPr="001048FE">
        <w:rPr>
          <w:spacing w:val="-17"/>
          <w:lang w:val="sl-SI"/>
        </w:rPr>
        <w:t xml:space="preserve"> </w:t>
      </w:r>
      <w:r w:rsidRPr="001048FE">
        <w:rPr>
          <w:lang w:val="sl-SI"/>
        </w:rPr>
        <w:t>Sodelujejo</w:t>
      </w:r>
      <w:r w:rsidRPr="001048FE">
        <w:rPr>
          <w:spacing w:val="-17"/>
          <w:lang w:val="sl-SI"/>
        </w:rPr>
        <w:t xml:space="preserve"> </w:t>
      </w:r>
      <w:r w:rsidRPr="001048FE">
        <w:rPr>
          <w:lang w:val="sl-SI"/>
        </w:rPr>
        <w:t>pri</w:t>
      </w:r>
      <w:r w:rsidRPr="001048FE">
        <w:rPr>
          <w:spacing w:val="-17"/>
          <w:lang w:val="sl-SI"/>
        </w:rPr>
        <w:t xml:space="preserve"> </w:t>
      </w:r>
      <w:r w:rsidRPr="001048FE">
        <w:rPr>
          <w:lang w:val="sl-SI"/>
        </w:rPr>
        <w:t>razvoju</w:t>
      </w:r>
      <w:r w:rsidRPr="001048FE">
        <w:rPr>
          <w:spacing w:val="-17"/>
          <w:lang w:val="sl-SI"/>
        </w:rPr>
        <w:t xml:space="preserve"> </w:t>
      </w:r>
      <w:r w:rsidRPr="001048FE">
        <w:rPr>
          <w:lang w:val="sl-SI"/>
        </w:rPr>
        <w:t>politik</w:t>
      </w:r>
      <w:r w:rsidRPr="001048FE">
        <w:rPr>
          <w:spacing w:val="-17"/>
          <w:lang w:val="sl-SI"/>
        </w:rPr>
        <w:t xml:space="preserve"> </w:t>
      </w:r>
      <w:r w:rsidRPr="001048FE">
        <w:rPr>
          <w:lang w:val="sl-SI"/>
        </w:rPr>
        <w:t>na</w:t>
      </w:r>
      <w:r w:rsidRPr="001048FE">
        <w:rPr>
          <w:spacing w:val="-17"/>
          <w:lang w:val="sl-SI"/>
        </w:rPr>
        <w:t xml:space="preserve"> </w:t>
      </w:r>
      <w:r w:rsidRPr="001048FE">
        <w:rPr>
          <w:lang w:val="sl-SI"/>
        </w:rPr>
        <w:t>področju</w:t>
      </w:r>
      <w:r w:rsidRPr="001048FE">
        <w:rPr>
          <w:spacing w:val="-17"/>
          <w:lang w:val="sl-SI"/>
        </w:rPr>
        <w:t xml:space="preserve"> </w:t>
      </w:r>
      <w:r w:rsidRPr="001048FE">
        <w:rPr>
          <w:lang w:val="sl-SI"/>
        </w:rPr>
        <w:t>visokošolskega izobraževanja v svoji državi. Aktivnosti HEREs temeljijo na vzajemnem sodelovanju strokovnjakov. Vsaka nacionalna skupina je sestavljena iz pet do petnajst članov. HEREs so strokovnjaki na področju visokošolskega izobraževanja (rektorji, prorektorji, dekani, vodilni akademiki, uradniki za mednarodne odnose, študenti</w:t>
      </w:r>
      <w:r w:rsidRPr="001048FE">
        <w:rPr>
          <w:spacing w:val="-7"/>
          <w:lang w:val="sl-SI"/>
        </w:rPr>
        <w:t xml:space="preserve"> </w:t>
      </w:r>
      <w:r w:rsidRPr="001048FE">
        <w:rPr>
          <w:lang w:val="sl-SI"/>
        </w:rPr>
        <w:t>itd.).</w:t>
      </w:r>
    </w:p>
    <w:p w14:paraId="7D39869D" w14:textId="77777777" w:rsidR="00E03711" w:rsidRPr="001048FE" w:rsidRDefault="00E03711" w:rsidP="00995E90">
      <w:pPr>
        <w:pStyle w:val="GUIDE-NORMAL"/>
        <w:rPr>
          <w:lang w:val="sl-SI"/>
        </w:rPr>
      </w:pPr>
      <w:r w:rsidRPr="001048FE">
        <w:rPr>
          <w:lang w:val="sl-SI"/>
        </w:rPr>
        <w:t>Poslanstvo HEREs zajema podporo:</w:t>
      </w:r>
    </w:p>
    <w:p w14:paraId="7D39869E" w14:textId="77777777" w:rsidR="00E03711" w:rsidRPr="001048FE" w:rsidRDefault="00E03711" w:rsidP="005115F2">
      <w:pPr>
        <w:pStyle w:val="Guide-NormalBulletpoints"/>
        <w:numPr>
          <w:ilvl w:val="0"/>
          <w:numId w:val="178"/>
        </w:numPr>
        <w:rPr>
          <w:lang w:val="sl-SI"/>
        </w:rPr>
      </w:pPr>
      <w:r w:rsidRPr="001048FE">
        <w:rPr>
          <w:lang w:val="sl-SI"/>
        </w:rPr>
        <w:t>razvoju politik v posameznih državah tako, da podpira posodobitve, postopke reform in strategije</w:t>
      </w:r>
      <w:r w:rsidRPr="001048FE">
        <w:rPr>
          <w:spacing w:val="-18"/>
          <w:lang w:val="sl-SI"/>
        </w:rPr>
        <w:t xml:space="preserve"> </w:t>
      </w:r>
      <w:r w:rsidRPr="001048FE">
        <w:rPr>
          <w:lang w:val="sl-SI"/>
        </w:rPr>
        <w:t>na</w:t>
      </w:r>
      <w:r w:rsidRPr="001048FE">
        <w:rPr>
          <w:spacing w:val="-18"/>
          <w:lang w:val="sl-SI"/>
        </w:rPr>
        <w:t xml:space="preserve"> </w:t>
      </w:r>
      <w:r w:rsidRPr="001048FE">
        <w:rPr>
          <w:lang w:val="sl-SI"/>
        </w:rPr>
        <w:t>področju</w:t>
      </w:r>
      <w:r w:rsidRPr="001048FE">
        <w:rPr>
          <w:spacing w:val="-18"/>
          <w:lang w:val="sl-SI"/>
        </w:rPr>
        <w:t xml:space="preserve"> </w:t>
      </w:r>
      <w:r w:rsidRPr="001048FE">
        <w:rPr>
          <w:lang w:val="sl-SI"/>
        </w:rPr>
        <w:t>visokošolskega</w:t>
      </w:r>
      <w:r w:rsidRPr="001048FE">
        <w:rPr>
          <w:spacing w:val="-18"/>
          <w:lang w:val="sl-SI"/>
        </w:rPr>
        <w:t xml:space="preserve"> </w:t>
      </w:r>
      <w:r w:rsidRPr="001048FE">
        <w:rPr>
          <w:lang w:val="sl-SI"/>
        </w:rPr>
        <w:t>izobraževanja</w:t>
      </w:r>
      <w:r w:rsidRPr="001048FE">
        <w:rPr>
          <w:spacing w:val="-18"/>
          <w:lang w:val="sl-SI"/>
        </w:rPr>
        <w:t xml:space="preserve"> </w:t>
      </w:r>
      <w:r w:rsidRPr="001048FE">
        <w:rPr>
          <w:lang w:val="sl-SI"/>
        </w:rPr>
        <w:t>in</w:t>
      </w:r>
      <w:r w:rsidRPr="001048FE">
        <w:rPr>
          <w:spacing w:val="-18"/>
          <w:lang w:val="sl-SI"/>
        </w:rPr>
        <w:t xml:space="preserve"> </w:t>
      </w:r>
      <w:r w:rsidRPr="001048FE">
        <w:rPr>
          <w:lang w:val="sl-SI"/>
        </w:rPr>
        <w:t>pri</w:t>
      </w:r>
      <w:r w:rsidRPr="001048FE">
        <w:rPr>
          <w:spacing w:val="-18"/>
          <w:lang w:val="sl-SI"/>
        </w:rPr>
        <w:t xml:space="preserve"> </w:t>
      </w:r>
      <w:r w:rsidRPr="001048FE">
        <w:rPr>
          <w:lang w:val="sl-SI"/>
        </w:rPr>
        <w:t>tem</w:t>
      </w:r>
      <w:r w:rsidRPr="001048FE">
        <w:rPr>
          <w:spacing w:val="-18"/>
          <w:lang w:val="sl-SI"/>
        </w:rPr>
        <w:t xml:space="preserve"> </w:t>
      </w:r>
      <w:r w:rsidRPr="001048FE">
        <w:rPr>
          <w:lang w:val="sl-SI"/>
        </w:rPr>
        <w:t>tesno</w:t>
      </w:r>
      <w:r w:rsidRPr="001048FE">
        <w:rPr>
          <w:spacing w:val="-18"/>
          <w:lang w:val="sl-SI"/>
        </w:rPr>
        <w:t xml:space="preserve"> </w:t>
      </w:r>
      <w:r w:rsidRPr="001048FE">
        <w:rPr>
          <w:lang w:val="sl-SI"/>
        </w:rPr>
        <w:t>sodeluje</w:t>
      </w:r>
      <w:r w:rsidRPr="001048FE">
        <w:rPr>
          <w:spacing w:val="-18"/>
          <w:lang w:val="sl-SI"/>
        </w:rPr>
        <w:t xml:space="preserve"> </w:t>
      </w:r>
      <w:r w:rsidRPr="001048FE">
        <w:rPr>
          <w:lang w:val="sl-SI"/>
        </w:rPr>
        <w:t>z</w:t>
      </w:r>
      <w:r w:rsidRPr="001048FE">
        <w:rPr>
          <w:spacing w:val="-18"/>
          <w:lang w:val="sl-SI"/>
        </w:rPr>
        <w:t xml:space="preserve"> </w:t>
      </w:r>
      <w:r w:rsidRPr="001048FE">
        <w:rPr>
          <w:lang w:val="sl-SI"/>
        </w:rPr>
        <w:t>zadevnimi lokalnimi</w:t>
      </w:r>
      <w:r w:rsidRPr="001048FE">
        <w:rPr>
          <w:spacing w:val="-2"/>
          <w:lang w:val="sl-SI"/>
        </w:rPr>
        <w:t xml:space="preserve"> </w:t>
      </w:r>
      <w:r w:rsidRPr="001048FE">
        <w:rPr>
          <w:lang w:val="sl-SI"/>
        </w:rPr>
        <w:t>organi;</w:t>
      </w:r>
    </w:p>
    <w:p w14:paraId="7D39869F" w14:textId="77777777" w:rsidR="00E03711" w:rsidRPr="001048FE" w:rsidRDefault="00E03711" w:rsidP="005115F2">
      <w:pPr>
        <w:pStyle w:val="Guide-NormalBulletpoints"/>
        <w:numPr>
          <w:ilvl w:val="0"/>
          <w:numId w:val="178"/>
        </w:numPr>
        <w:rPr>
          <w:lang w:val="sl-SI"/>
        </w:rPr>
      </w:pPr>
      <w:r w:rsidRPr="001048FE">
        <w:rPr>
          <w:lang w:val="sl-SI"/>
        </w:rPr>
        <w:t>dialogu o politikah z EU na področju visokošolskega izobraževanja;</w:t>
      </w:r>
    </w:p>
    <w:p w14:paraId="7D3986A0" w14:textId="77777777" w:rsidR="00E03711" w:rsidRPr="001048FE" w:rsidRDefault="00E03711" w:rsidP="005115F2">
      <w:pPr>
        <w:pStyle w:val="Guide-NormalBulletpoints"/>
        <w:numPr>
          <w:ilvl w:val="0"/>
          <w:numId w:val="178"/>
        </w:numPr>
        <w:rPr>
          <w:lang w:val="sl-SI"/>
        </w:rPr>
      </w:pPr>
      <w:r w:rsidRPr="001048FE">
        <w:rPr>
          <w:lang w:val="sl-SI"/>
        </w:rPr>
        <w:t>aktivnostim</w:t>
      </w:r>
      <w:r w:rsidRPr="001048FE">
        <w:rPr>
          <w:spacing w:val="-18"/>
          <w:lang w:val="sl-SI"/>
        </w:rPr>
        <w:t xml:space="preserve"> </w:t>
      </w:r>
      <w:r w:rsidRPr="001048FE">
        <w:rPr>
          <w:lang w:val="sl-SI"/>
        </w:rPr>
        <w:t>usposabljanja</w:t>
      </w:r>
      <w:r w:rsidRPr="001048FE">
        <w:rPr>
          <w:spacing w:val="-18"/>
          <w:lang w:val="sl-SI"/>
        </w:rPr>
        <w:t xml:space="preserve"> </w:t>
      </w:r>
      <w:r w:rsidRPr="001048FE">
        <w:rPr>
          <w:lang w:val="sl-SI"/>
        </w:rPr>
        <w:t>in</w:t>
      </w:r>
      <w:r w:rsidRPr="001048FE">
        <w:rPr>
          <w:spacing w:val="-18"/>
          <w:lang w:val="sl-SI"/>
        </w:rPr>
        <w:t xml:space="preserve"> </w:t>
      </w:r>
      <w:r w:rsidRPr="001048FE">
        <w:rPr>
          <w:lang w:val="sl-SI"/>
        </w:rPr>
        <w:t>svetovanja,</w:t>
      </w:r>
      <w:r w:rsidRPr="001048FE">
        <w:rPr>
          <w:spacing w:val="-18"/>
          <w:lang w:val="sl-SI"/>
        </w:rPr>
        <w:t xml:space="preserve"> </w:t>
      </w:r>
      <w:r w:rsidRPr="001048FE">
        <w:rPr>
          <w:lang w:val="sl-SI"/>
        </w:rPr>
        <w:t>ki</w:t>
      </w:r>
      <w:r w:rsidRPr="001048FE">
        <w:rPr>
          <w:spacing w:val="-18"/>
          <w:lang w:val="sl-SI"/>
        </w:rPr>
        <w:t xml:space="preserve"> </w:t>
      </w:r>
      <w:r w:rsidRPr="001048FE">
        <w:rPr>
          <w:lang w:val="sl-SI"/>
        </w:rPr>
        <w:t>so</w:t>
      </w:r>
      <w:r w:rsidRPr="001048FE">
        <w:rPr>
          <w:spacing w:val="-18"/>
          <w:lang w:val="sl-SI"/>
        </w:rPr>
        <w:t xml:space="preserve"> </w:t>
      </w:r>
      <w:r w:rsidRPr="001048FE">
        <w:rPr>
          <w:lang w:val="sl-SI"/>
        </w:rPr>
        <w:t>ciljno</w:t>
      </w:r>
      <w:r w:rsidRPr="001048FE">
        <w:rPr>
          <w:spacing w:val="-18"/>
          <w:lang w:val="sl-SI"/>
        </w:rPr>
        <w:t xml:space="preserve"> </w:t>
      </w:r>
      <w:r w:rsidRPr="001048FE">
        <w:rPr>
          <w:lang w:val="sl-SI"/>
        </w:rPr>
        <w:t>usmerjene</w:t>
      </w:r>
      <w:r w:rsidRPr="001048FE">
        <w:rPr>
          <w:spacing w:val="-18"/>
          <w:lang w:val="sl-SI"/>
        </w:rPr>
        <w:t xml:space="preserve"> </w:t>
      </w:r>
      <w:r w:rsidRPr="001048FE">
        <w:rPr>
          <w:lang w:val="sl-SI"/>
        </w:rPr>
        <w:t>v</w:t>
      </w:r>
      <w:r w:rsidRPr="001048FE">
        <w:rPr>
          <w:spacing w:val="-18"/>
          <w:lang w:val="sl-SI"/>
        </w:rPr>
        <w:t xml:space="preserve"> </w:t>
      </w:r>
      <w:r w:rsidRPr="001048FE">
        <w:rPr>
          <w:lang w:val="sl-SI"/>
        </w:rPr>
        <w:t>deležnike,</w:t>
      </w:r>
      <w:r w:rsidRPr="001048FE">
        <w:rPr>
          <w:spacing w:val="-18"/>
          <w:lang w:val="sl-SI"/>
        </w:rPr>
        <w:t xml:space="preserve"> </w:t>
      </w:r>
      <w:r w:rsidRPr="001048FE">
        <w:rPr>
          <w:lang w:val="sl-SI"/>
        </w:rPr>
        <w:t>zlasti</w:t>
      </w:r>
      <w:r w:rsidRPr="001048FE">
        <w:rPr>
          <w:spacing w:val="-18"/>
          <w:lang w:val="sl-SI"/>
        </w:rPr>
        <w:t xml:space="preserve"> </w:t>
      </w:r>
      <w:r w:rsidRPr="001048FE">
        <w:rPr>
          <w:lang w:val="sl-SI"/>
        </w:rPr>
        <w:t>visokošolske institucije in njihovo</w:t>
      </w:r>
      <w:r w:rsidRPr="001048FE">
        <w:rPr>
          <w:spacing w:val="-6"/>
          <w:lang w:val="sl-SI"/>
        </w:rPr>
        <w:t xml:space="preserve"> </w:t>
      </w:r>
      <w:r w:rsidRPr="001048FE">
        <w:rPr>
          <w:lang w:val="sl-SI"/>
        </w:rPr>
        <w:t>osebje;</w:t>
      </w:r>
    </w:p>
    <w:p w14:paraId="7D3986A1" w14:textId="77777777" w:rsidR="00E03711" w:rsidRPr="001048FE" w:rsidRDefault="00E03711" w:rsidP="00860232">
      <w:pPr>
        <w:pStyle w:val="Guide-NormalBulletpoints"/>
        <w:ind w:left="720"/>
        <w:rPr>
          <w:lang w:val="sl-SI"/>
        </w:rPr>
      </w:pPr>
      <w:r w:rsidRPr="001048FE">
        <w:rPr>
          <w:lang w:val="sl-SI"/>
        </w:rPr>
        <w:t>projektom Erasmus+ (predvsem tistim, ki se izvajajo v okviru ukrepa krepitve zmogljivosti), tako da razširja rezultate teh projektov, zlasti dobre prakse in inovativne pobude, ter jih uporablja v namene usposabljanja.</w:t>
      </w:r>
    </w:p>
    <w:p w14:paraId="7D3986A2" w14:textId="77777777" w:rsidR="00E03711" w:rsidRPr="001048FE" w:rsidRDefault="00E03711" w:rsidP="00995E90">
      <w:pPr>
        <w:pStyle w:val="Guide-Heading4"/>
        <w:rPr>
          <w:lang w:val="sl-SI"/>
        </w:rPr>
      </w:pPr>
      <w:bookmarkStart w:id="92" w:name="_Toc527401106"/>
      <w:r w:rsidRPr="001048FE">
        <w:rPr>
          <w:lang w:val="sl-SI"/>
        </w:rPr>
        <w:t>Mreža Euroguidance</w:t>
      </w:r>
      <w:bookmarkEnd w:id="92"/>
    </w:p>
    <w:p w14:paraId="7D3986A3" w14:textId="77777777" w:rsidR="00E03711" w:rsidRPr="001048FE" w:rsidRDefault="00A6094F" w:rsidP="00995E90">
      <w:pPr>
        <w:pStyle w:val="GUIDE-NORMAL"/>
        <w:rPr>
          <w:lang w:val="sl-SI"/>
        </w:rPr>
      </w:pPr>
      <w:hyperlink r:id="rId44">
        <w:r w:rsidR="00E03711" w:rsidRPr="001048FE">
          <w:rPr>
            <w:rStyle w:val="Hyperlink"/>
            <w:lang w:val="sl-SI"/>
          </w:rPr>
          <w:t>Euroguidance</w:t>
        </w:r>
        <w:r w:rsidR="00E03711" w:rsidRPr="001048FE">
          <w:rPr>
            <w:lang w:val="sl-SI"/>
          </w:rPr>
          <w:t xml:space="preserve"> </w:t>
        </w:r>
      </w:hyperlink>
      <w:r w:rsidR="00E03711" w:rsidRPr="001048FE">
        <w:rPr>
          <w:lang w:val="sl-SI"/>
        </w:rPr>
        <w:t>je evropska mreža nacionalnih centrov za informiranje. Vsi centri Euroguidance imajo dva skupna cilja:</w:t>
      </w:r>
    </w:p>
    <w:p w14:paraId="7D3986A4" w14:textId="77777777" w:rsidR="00E03711" w:rsidRPr="001048FE" w:rsidRDefault="00E03711" w:rsidP="005115F2">
      <w:pPr>
        <w:pStyle w:val="Guide-NormalBulletpoints"/>
        <w:numPr>
          <w:ilvl w:val="0"/>
          <w:numId w:val="179"/>
        </w:numPr>
        <w:rPr>
          <w:lang w:val="sl-SI"/>
        </w:rPr>
      </w:pPr>
      <w:r w:rsidRPr="001048FE">
        <w:rPr>
          <w:lang w:val="sl-SI"/>
        </w:rPr>
        <w:t xml:space="preserve">spodbujati evropsko razsežnost usmerjanja izobraževanja in poklicnega usposabljanja; </w:t>
      </w:r>
    </w:p>
    <w:p w14:paraId="7D3986A5" w14:textId="77777777" w:rsidR="00E03711" w:rsidRPr="001048FE" w:rsidRDefault="00E03711" w:rsidP="005115F2">
      <w:pPr>
        <w:pStyle w:val="Guide-NormalBulletpoints"/>
        <w:numPr>
          <w:ilvl w:val="0"/>
          <w:numId w:val="179"/>
        </w:numPr>
        <w:rPr>
          <w:lang w:val="sl-SI"/>
        </w:rPr>
      </w:pPr>
      <w:r w:rsidRPr="001048FE">
        <w:rPr>
          <w:lang w:val="sl-SI"/>
        </w:rPr>
        <w:t>zagotavljati</w:t>
      </w:r>
      <w:r w:rsidRPr="001048FE">
        <w:rPr>
          <w:spacing w:val="-16"/>
          <w:lang w:val="sl-SI"/>
        </w:rPr>
        <w:t xml:space="preserve"> </w:t>
      </w:r>
      <w:r w:rsidRPr="001048FE">
        <w:rPr>
          <w:lang w:val="sl-SI"/>
        </w:rPr>
        <w:t>kakovostne</w:t>
      </w:r>
      <w:r w:rsidRPr="001048FE">
        <w:rPr>
          <w:spacing w:val="-16"/>
          <w:lang w:val="sl-SI"/>
        </w:rPr>
        <w:t xml:space="preserve"> </w:t>
      </w:r>
      <w:r w:rsidRPr="001048FE">
        <w:rPr>
          <w:lang w:val="sl-SI"/>
        </w:rPr>
        <w:t>informacije</w:t>
      </w:r>
      <w:r w:rsidRPr="001048FE">
        <w:rPr>
          <w:spacing w:val="-16"/>
          <w:lang w:val="sl-SI"/>
        </w:rPr>
        <w:t xml:space="preserve"> </w:t>
      </w:r>
      <w:r w:rsidRPr="001048FE">
        <w:rPr>
          <w:lang w:val="sl-SI"/>
        </w:rPr>
        <w:t>o</w:t>
      </w:r>
      <w:r w:rsidRPr="001048FE">
        <w:rPr>
          <w:spacing w:val="-16"/>
          <w:lang w:val="sl-SI"/>
        </w:rPr>
        <w:t xml:space="preserve"> </w:t>
      </w:r>
      <w:r w:rsidRPr="001048FE">
        <w:rPr>
          <w:lang w:val="sl-SI"/>
        </w:rPr>
        <w:t>vseživljenjskem</w:t>
      </w:r>
      <w:r w:rsidRPr="001048FE">
        <w:rPr>
          <w:spacing w:val="-16"/>
          <w:lang w:val="sl-SI"/>
        </w:rPr>
        <w:t xml:space="preserve"> </w:t>
      </w:r>
      <w:r w:rsidRPr="001048FE">
        <w:rPr>
          <w:lang w:val="sl-SI"/>
        </w:rPr>
        <w:t>usmerjanju</w:t>
      </w:r>
      <w:r w:rsidRPr="001048FE">
        <w:rPr>
          <w:spacing w:val="-16"/>
          <w:lang w:val="sl-SI"/>
        </w:rPr>
        <w:t xml:space="preserve"> </w:t>
      </w:r>
      <w:r w:rsidRPr="001048FE">
        <w:rPr>
          <w:lang w:val="sl-SI"/>
        </w:rPr>
        <w:t>in</w:t>
      </w:r>
      <w:r w:rsidRPr="001048FE">
        <w:rPr>
          <w:spacing w:val="-16"/>
          <w:lang w:val="sl-SI"/>
        </w:rPr>
        <w:t xml:space="preserve"> </w:t>
      </w:r>
      <w:r w:rsidRPr="001048FE">
        <w:rPr>
          <w:lang w:val="sl-SI"/>
        </w:rPr>
        <w:t>mobilnosti</w:t>
      </w:r>
      <w:r w:rsidRPr="001048FE">
        <w:rPr>
          <w:spacing w:val="-16"/>
          <w:lang w:val="sl-SI"/>
        </w:rPr>
        <w:t xml:space="preserve"> </w:t>
      </w:r>
      <w:r w:rsidRPr="001048FE">
        <w:rPr>
          <w:lang w:val="sl-SI"/>
        </w:rPr>
        <w:t>za</w:t>
      </w:r>
      <w:r w:rsidRPr="001048FE">
        <w:rPr>
          <w:spacing w:val="-16"/>
          <w:lang w:val="sl-SI"/>
        </w:rPr>
        <w:t xml:space="preserve"> </w:t>
      </w:r>
      <w:r w:rsidRPr="001048FE">
        <w:rPr>
          <w:lang w:val="sl-SI"/>
        </w:rPr>
        <w:t>namene učenja.</w:t>
      </w:r>
    </w:p>
    <w:p w14:paraId="7D3986A6" w14:textId="77777777" w:rsidR="00E03711" w:rsidRPr="001048FE" w:rsidRDefault="00E03711" w:rsidP="00995E90">
      <w:pPr>
        <w:pStyle w:val="GUIDE-NORMAL"/>
        <w:rPr>
          <w:lang w:val="sl-SI"/>
        </w:rPr>
      </w:pPr>
      <w:r w:rsidRPr="001048FE">
        <w:rPr>
          <w:lang w:val="sl-SI"/>
        </w:rPr>
        <w:t>Glavna ciljna skupina omrežja Euroguidance so svetovalci in oblikovalci politik iz sektorjev izobraževanja in zaposlovanja v vseh evropskih državah.</w:t>
      </w:r>
    </w:p>
    <w:p w14:paraId="7D3986A7" w14:textId="77777777" w:rsidR="00E03711" w:rsidRPr="001048FE" w:rsidRDefault="00E03711" w:rsidP="00995E90">
      <w:pPr>
        <w:pStyle w:val="GUIDE-NORMAL"/>
        <w:rPr>
          <w:lang w:val="sl-SI"/>
        </w:rPr>
      </w:pPr>
      <w:r w:rsidRPr="001048FE">
        <w:rPr>
          <w:lang w:val="sl-SI"/>
        </w:rPr>
        <w:t xml:space="preserve">Več informacij je na voljo na spletišču: </w:t>
      </w:r>
      <w:hyperlink r:id="rId45">
        <w:r w:rsidRPr="001048FE">
          <w:rPr>
            <w:rStyle w:val="Hyperlink"/>
            <w:lang w:val="sl-SI"/>
          </w:rPr>
          <w:t>http://euroguidance.eu/</w:t>
        </w:r>
      </w:hyperlink>
      <w:r w:rsidRPr="001048FE">
        <w:rPr>
          <w:lang w:val="sl-SI"/>
        </w:rPr>
        <w:t>.</w:t>
      </w:r>
    </w:p>
    <w:p w14:paraId="7D3986A8" w14:textId="77777777" w:rsidR="00E03711" w:rsidRPr="001048FE" w:rsidRDefault="00E03711" w:rsidP="00995E90">
      <w:pPr>
        <w:pStyle w:val="Guide-Heading4"/>
        <w:rPr>
          <w:lang w:val="sl-SI"/>
        </w:rPr>
      </w:pPr>
      <w:bookmarkStart w:id="93" w:name="_Toc527401107"/>
      <w:r w:rsidRPr="001048FE">
        <w:rPr>
          <w:lang w:val="sl-SI"/>
        </w:rPr>
        <w:t>Nacionalni centri Europass</w:t>
      </w:r>
      <w:bookmarkEnd w:id="93"/>
    </w:p>
    <w:p w14:paraId="7D3986A9" w14:textId="77777777" w:rsidR="00E03711" w:rsidRPr="001048FE" w:rsidRDefault="00E03711" w:rsidP="00995E90">
      <w:pPr>
        <w:pStyle w:val="GUIDE-NORMAL"/>
        <w:rPr>
          <w:lang w:val="sl-SI"/>
        </w:rPr>
      </w:pPr>
      <w:r w:rsidRPr="001048FE">
        <w:rPr>
          <w:lang w:val="sl-SI"/>
        </w:rPr>
        <w:t>Cilj</w:t>
      </w:r>
      <w:r w:rsidRPr="001048FE">
        <w:rPr>
          <w:spacing w:val="-14"/>
          <w:lang w:val="sl-SI"/>
        </w:rPr>
        <w:t xml:space="preserve"> </w:t>
      </w:r>
      <w:r w:rsidRPr="001048FE">
        <w:rPr>
          <w:lang w:val="sl-SI"/>
        </w:rPr>
        <w:t>pobude</w:t>
      </w:r>
      <w:r w:rsidRPr="001048FE">
        <w:rPr>
          <w:spacing w:val="-14"/>
          <w:lang w:val="sl-SI"/>
        </w:rPr>
        <w:t xml:space="preserve"> </w:t>
      </w:r>
      <w:r w:rsidRPr="001048FE">
        <w:rPr>
          <w:lang w:val="sl-SI"/>
        </w:rPr>
        <w:t>Europass</w:t>
      </w:r>
      <w:r w:rsidRPr="001048FE">
        <w:rPr>
          <w:spacing w:val="-14"/>
          <w:lang w:val="sl-SI"/>
        </w:rPr>
        <w:t xml:space="preserve"> </w:t>
      </w:r>
      <w:r w:rsidRPr="001048FE">
        <w:rPr>
          <w:lang w:val="sl-SI"/>
        </w:rPr>
        <w:t>je</w:t>
      </w:r>
      <w:r w:rsidRPr="001048FE">
        <w:rPr>
          <w:spacing w:val="-14"/>
          <w:lang w:val="sl-SI"/>
        </w:rPr>
        <w:t xml:space="preserve"> </w:t>
      </w:r>
      <w:r w:rsidRPr="001048FE">
        <w:rPr>
          <w:lang w:val="sl-SI"/>
        </w:rPr>
        <w:t>pomagati</w:t>
      </w:r>
      <w:r w:rsidRPr="001048FE">
        <w:rPr>
          <w:spacing w:val="-14"/>
          <w:lang w:val="sl-SI"/>
        </w:rPr>
        <w:t xml:space="preserve"> </w:t>
      </w:r>
      <w:r w:rsidRPr="001048FE">
        <w:rPr>
          <w:lang w:val="sl-SI"/>
        </w:rPr>
        <w:t>posameznikom,</w:t>
      </w:r>
      <w:r w:rsidRPr="001048FE">
        <w:rPr>
          <w:spacing w:val="-14"/>
          <w:lang w:val="sl-SI"/>
        </w:rPr>
        <w:t xml:space="preserve"> </w:t>
      </w:r>
      <w:r w:rsidRPr="001048FE">
        <w:rPr>
          <w:lang w:val="sl-SI"/>
        </w:rPr>
        <w:t>da</w:t>
      </w:r>
      <w:r w:rsidRPr="001048FE">
        <w:rPr>
          <w:spacing w:val="-14"/>
          <w:lang w:val="sl-SI"/>
        </w:rPr>
        <w:t xml:space="preserve"> </w:t>
      </w:r>
      <w:r w:rsidRPr="001048FE">
        <w:rPr>
          <w:lang w:val="sl-SI"/>
        </w:rPr>
        <w:t>jasno</w:t>
      </w:r>
      <w:r w:rsidRPr="001048FE">
        <w:rPr>
          <w:spacing w:val="-14"/>
          <w:lang w:val="sl-SI"/>
        </w:rPr>
        <w:t xml:space="preserve"> </w:t>
      </w:r>
      <w:r w:rsidRPr="001048FE">
        <w:rPr>
          <w:lang w:val="sl-SI"/>
        </w:rPr>
        <w:t>in</w:t>
      </w:r>
      <w:r w:rsidRPr="001048FE">
        <w:rPr>
          <w:spacing w:val="-14"/>
          <w:lang w:val="sl-SI"/>
        </w:rPr>
        <w:t xml:space="preserve"> </w:t>
      </w:r>
      <w:r w:rsidRPr="001048FE">
        <w:rPr>
          <w:lang w:val="sl-SI"/>
        </w:rPr>
        <w:t>pregledno</w:t>
      </w:r>
      <w:r w:rsidRPr="001048FE">
        <w:rPr>
          <w:spacing w:val="-14"/>
          <w:lang w:val="sl-SI"/>
        </w:rPr>
        <w:t xml:space="preserve"> </w:t>
      </w:r>
      <w:r w:rsidRPr="001048FE">
        <w:rPr>
          <w:lang w:val="sl-SI"/>
        </w:rPr>
        <w:t>predstavijo</w:t>
      </w:r>
      <w:r w:rsidRPr="001048FE">
        <w:rPr>
          <w:spacing w:val="-14"/>
          <w:lang w:val="sl-SI"/>
        </w:rPr>
        <w:t xml:space="preserve"> </w:t>
      </w:r>
      <w:r w:rsidRPr="001048FE">
        <w:rPr>
          <w:lang w:val="sl-SI"/>
        </w:rPr>
        <w:t>in</w:t>
      </w:r>
      <w:r w:rsidRPr="001048FE">
        <w:rPr>
          <w:spacing w:val="-14"/>
          <w:lang w:val="sl-SI"/>
        </w:rPr>
        <w:t xml:space="preserve"> </w:t>
      </w:r>
      <w:r w:rsidRPr="001048FE">
        <w:rPr>
          <w:lang w:val="sl-SI"/>
        </w:rPr>
        <w:t>dokumentirajo svoje spretnosti in kvalifikacije v vseh evropskih državah. Ta pobuda olajšuje komunikacijo med iskalci zaposlitve in delodajalci ter mobilnost za namene dela ali</w:t>
      </w:r>
      <w:r w:rsidRPr="001048FE">
        <w:rPr>
          <w:spacing w:val="-36"/>
          <w:lang w:val="sl-SI"/>
        </w:rPr>
        <w:t xml:space="preserve"> </w:t>
      </w:r>
      <w:r w:rsidRPr="001048FE">
        <w:rPr>
          <w:lang w:val="sl-SI"/>
        </w:rPr>
        <w:t>učenja.</w:t>
      </w:r>
    </w:p>
    <w:p w14:paraId="7D3986AA" w14:textId="77777777" w:rsidR="00E03711" w:rsidRPr="001048FE" w:rsidRDefault="00E03711" w:rsidP="00995E90">
      <w:pPr>
        <w:pStyle w:val="GUIDE-NORMAL"/>
        <w:rPr>
          <w:lang w:val="sl-SI"/>
        </w:rPr>
      </w:pPr>
      <w:r w:rsidRPr="001048FE">
        <w:rPr>
          <w:lang w:val="sl-SI"/>
        </w:rPr>
        <w:t xml:space="preserve">V vsaki državi (Evropska unija in Evropski gospodarski prostor ter </w:t>
      </w:r>
      <w:r>
        <w:rPr>
          <w:lang w:val="sl-SI"/>
        </w:rPr>
        <w:t>R</w:t>
      </w:r>
      <w:r w:rsidRPr="001048FE">
        <w:rPr>
          <w:lang w:val="sl-SI"/>
        </w:rPr>
        <w:t xml:space="preserve">epublika </w:t>
      </w:r>
      <w:r>
        <w:rPr>
          <w:lang w:val="sl-SI"/>
        </w:rPr>
        <w:t xml:space="preserve">Severna </w:t>
      </w:r>
      <w:r w:rsidRPr="001048FE">
        <w:rPr>
          <w:lang w:val="sl-SI"/>
        </w:rPr>
        <w:t>Makedonija</w:t>
      </w:r>
      <w:r>
        <w:rPr>
          <w:lang w:val="sl-SI"/>
        </w:rPr>
        <w:t>, Srbija</w:t>
      </w:r>
      <w:r w:rsidRPr="001048FE">
        <w:rPr>
          <w:lang w:val="sl-SI"/>
        </w:rPr>
        <w:t xml:space="preserve"> in Turčija) nacionalni center Europass koordinira vse aktivnosti, povezane z dokumenti Europass. Je prva kontaktna točka za vse posameznike in organizacije, ki bi radi Europass uporabili ali o njem izvedeli več.</w:t>
      </w:r>
    </w:p>
    <w:p w14:paraId="7D3986AB" w14:textId="77777777" w:rsidR="00E03711" w:rsidRPr="001048FE" w:rsidRDefault="00E03711" w:rsidP="00995E90">
      <w:pPr>
        <w:pStyle w:val="GUIDE-NORMAL"/>
        <w:rPr>
          <w:lang w:val="sl-SI"/>
        </w:rPr>
      </w:pPr>
      <w:r w:rsidRPr="001048FE">
        <w:rPr>
          <w:lang w:val="sl-SI"/>
        </w:rPr>
        <w:t xml:space="preserve">Več informacij je na voljo na spletišču: </w:t>
      </w:r>
      <w:hyperlink r:id="rId46">
        <w:r w:rsidRPr="001048FE">
          <w:rPr>
            <w:rStyle w:val="Hyperlink"/>
            <w:lang w:val="sl-SI"/>
          </w:rPr>
          <w:t>http://europass.cedefop.europa.eu/sl/about/national-europass-centres</w:t>
        </w:r>
        <w:r w:rsidRPr="001048FE">
          <w:rPr>
            <w:lang w:val="sl-SI"/>
          </w:rPr>
          <w:t>.</w:t>
        </w:r>
      </w:hyperlink>
    </w:p>
    <w:p w14:paraId="7D3986AC" w14:textId="77777777" w:rsidR="00E03711" w:rsidRPr="001048FE" w:rsidRDefault="00E03711" w:rsidP="00995E90">
      <w:pPr>
        <w:pStyle w:val="Guide-Heading4"/>
        <w:rPr>
          <w:lang w:val="sl-SI"/>
        </w:rPr>
      </w:pPr>
      <w:bookmarkStart w:id="94" w:name="_Toc527401108"/>
      <w:r w:rsidRPr="001048FE">
        <w:rPr>
          <w:lang w:val="sl-SI"/>
        </w:rPr>
        <w:t>Nacionalne koordinacijske točke (NKT) evropskega ogrodja kvalifikacij (EOK)</w:t>
      </w:r>
      <w:bookmarkEnd w:id="94"/>
    </w:p>
    <w:p w14:paraId="7D3986AD" w14:textId="77777777" w:rsidR="00E03711" w:rsidRPr="001048FE" w:rsidRDefault="00E03711" w:rsidP="00995E90">
      <w:pPr>
        <w:pStyle w:val="GUIDE-NORMAL"/>
        <w:rPr>
          <w:lang w:val="sl-SI"/>
        </w:rPr>
      </w:pPr>
      <w:r w:rsidRPr="001048FE">
        <w:rPr>
          <w:lang w:val="sl-SI"/>
        </w:rPr>
        <w:t>Nacionalne</w:t>
      </w:r>
      <w:r w:rsidRPr="001048FE">
        <w:rPr>
          <w:spacing w:val="-14"/>
          <w:lang w:val="sl-SI"/>
        </w:rPr>
        <w:t xml:space="preserve"> </w:t>
      </w:r>
      <w:r w:rsidRPr="001048FE">
        <w:rPr>
          <w:lang w:val="sl-SI"/>
        </w:rPr>
        <w:t>koordinacijske</w:t>
      </w:r>
      <w:r w:rsidRPr="001048FE">
        <w:rPr>
          <w:spacing w:val="-14"/>
          <w:lang w:val="sl-SI"/>
        </w:rPr>
        <w:t xml:space="preserve"> </w:t>
      </w:r>
      <w:r w:rsidRPr="001048FE">
        <w:rPr>
          <w:lang w:val="sl-SI"/>
        </w:rPr>
        <w:t>točke</w:t>
      </w:r>
      <w:r w:rsidRPr="001048FE">
        <w:rPr>
          <w:spacing w:val="-14"/>
          <w:lang w:val="sl-SI"/>
        </w:rPr>
        <w:t xml:space="preserve"> </w:t>
      </w:r>
      <w:r w:rsidRPr="001048FE">
        <w:rPr>
          <w:lang w:val="sl-SI"/>
        </w:rPr>
        <w:t>EOK</w:t>
      </w:r>
      <w:r w:rsidRPr="001048FE">
        <w:rPr>
          <w:spacing w:val="-14"/>
          <w:lang w:val="sl-SI"/>
        </w:rPr>
        <w:t xml:space="preserve"> </w:t>
      </w:r>
      <w:r w:rsidRPr="001048FE">
        <w:rPr>
          <w:lang w:val="sl-SI"/>
        </w:rPr>
        <w:t>podpirajo</w:t>
      </w:r>
      <w:r w:rsidRPr="001048FE">
        <w:rPr>
          <w:spacing w:val="-14"/>
          <w:lang w:val="sl-SI"/>
        </w:rPr>
        <w:t xml:space="preserve"> </w:t>
      </w:r>
      <w:r w:rsidRPr="001048FE">
        <w:rPr>
          <w:lang w:val="sl-SI"/>
        </w:rPr>
        <w:t>nacionalne</w:t>
      </w:r>
      <w:r w:rsidRPr="001048FE">
        <w:rPr>
          <w:spacing w:val="-14"/>
          <w:lang w:val="sl-SI"/>
        </w:rPr>
        <w:t xml:space="preserve"> </w:t>
      </w:r>
      <w:r w:rsidRPr="001048FE">
        <w:rPr>
          <w:lang w:val="sl-SI"/>
        </w:rPr>
        <w:t>organe</w:t>
      </w:r>
      <w:r w:rsidRPr="001048FE">
        <w:rPr>
          <w:spacing w:val="-14"/>
          <w:lang w:val="sl-SI"/>
        </w:rPr>
        <w:t xml:space="preserve"> </w:t>
      </w:r>
      <w:r w:rsidRPr="001048FE">
        <w:rPr>
          <w:lang w:val="sl-SI"/>
        </w:rPr>
        <w:t>pri</w:t>
      </w:r>
      <w:r w:rsidRPr="001048FE">
        <w:rPr>
          <w:spacing w:val="-14"/>
          <w:lang w:val="sl-SI"/>
        </w:rPr>
        <w:t xml:space="preserve"> </w:t>
      </w:r>
      <w:r w:rsidRPr="001048FE">
        <w:rPr>
          <w:lang w:val="sl-SI"/>
        </w:rPr>
        <w:t>vzpostavljanju</w:t>
      </w:r>
      <w:r w:rsidRPr="001048FE">
        <w:rPr>
          <w:spacing w:val="-14"/>
          <w:lang w:val="sl-SI"/>
        </w:rPr>
        <w:t xml:space="preserve"> </w:t>
      </w:r>
      <w:r w:rsidRPr="001048FE">
        <w:rPr>
          <w:lang w:val="sl-SI"/>
        </w:rPr>
        <w:t>nacionalnih okvirov kvalifikacij. Aktivnosti NKT EOK so usmerjene</w:t>
      </w:r>
      <w:r w:rsidRPr="001048FE">
        <w:rPr>
          <w:spacing w:val="-16"/>
          <w:lang w:val="sl-SI"/>
        </w:rPr>
        <w:t xml:space="preserve"> </w:t>
      </w:r>
      <w:r w:rsidRPr="001048FE">
        <w:rPr>
          <w:lang w:val="sl-SI"/>
        </w:rPr>
        <w:t>v:</w:t>
      </w:r>
    </w:p>
    <w:p w14:paraId="7D3986AE" w14:textId="77777777" w:rsidR="00E03711" w:rsidRPr="001048FE" w:rsidRDefault="00E03711" w:rsidP="005115F2">
      <w:pPr>
        <w:pStyle w:val="Guide-NormalBulletpoints"/>
        <w:numPr>
          <w:ilvl w:val="0"/>
          <w:numId w:val="180"/>
        </w:numPr>
        <w:rPr>
          <w:lang w:val="sl-SI"/>
        </w:rPr>
      </w:pPr>
      <w:r w:rsidRPr="001048FE">
        <w:rPr>
          <w:lang w:val="sl-SI"/>
        </w:rPr>
        <w:t xml:space="preserve">koordinacijo nacionalnih kvalifikacijskih sistemov z evropskimi referenčnimi stopnjami; </w:t>
      </w:r>
    </w:p>
    <w:p w14:paraId="7D3986AF" w14:textId="77777777" w:rsidR="00E03711" w:rsidRPr="001048FE" w:rsidRDefault="00E03711" w:rsidP="005115F2">
      <w:pPr>
        <w:pStyle w:val="Guide-NormalBulletpoints"/>
        <w:numPr>
          <w:ilvl w:val="0"/>
          <w:numId w:val="180"/>
        </w:numPr>
        <w:rPr>
          <w:lang w:val="sl-SI"/>
        </w:rPr>
      </w:pPr>
      <w:r w:rsidRPr="001048FE">
        <w:rPr>
          <w:lang w:val="sl-SI"/>
        </w:rPr>
        <w:t>navedbo ustreznih stopenj EOK na potrdilih o kvalifikacijah, diplomah in dokumentih Europass, ki jih izdajajo pristojni organi.</w:t>
      </w:r>
    </w:p>
    <w:p w14:paraId="7D3986B0" w14:textId="77777777" w:rsidR="00E03711" w:rsidRPr="001048FE" w:rsidRDefault="00E03711" w:rsidP="00995E90">
      <w:pPr>
        <w:pStyle w:val="GUIDE-NORMAL"/>
        <w:rPr>
          <w:lang w:val="sl-SI"/>
        </w:rPr>
      </w:pPr>
      <w:r w:rsidRPr="001048FE">
        <w:rPr>
          <w:lang w:val="sl-SI"/>
        </w:rPr>
        <w:t xml:space="preserve">Več informacij je na voljo na spletišču: </w:t>
      </w:r>
      <w:hyperlink r:id="rId47">
        <w:r w:rsidRPr="001048FE">
          <w:rPr>
            <w:rStyle w:val="Hyperlink"/>
            <w:lang w:val="sl-SI"/>
          </w:rPr>
          <w:t>http://ec.europa.eu/ploteus</w:t>
        </w:r>
        <w:r w:rsidRPr="001048FE">
          <w:rPr>
            <w:lang w:val="sl-SI"/>
          </w:rPr>
          <w:t>.</w:t>
        </w:r>
      </w:hyperlink>
    </w:p>
    <w:p w14:paraId="7D3986B1" w14:textId="77777777" w:rsidR="00E03711" w:rsidRPr="001048FE" w:rsidRDefault="00E03711" w:rsidP="00995E90">
      <w:pPr>
        <w:pStyle w:val="Guide-Heading4"/>
        <w:rPr>
          <w:lang w:val="sl-SI"/>
        </w:rPr>
      </w:pPr>
      <w:bookmarkStart w:id="95" w:name="_Toc527401109"/>
      <w:r w:rsidRPr="001048FE">
        <w:rPr>
          <w:lang w:val="sl-SI"/>
        </w:rPr>
        <w:t>Mreža nacionalnih točk EQAVET (evropski referenčni okvir za zagotavljanje kakovosti v PIU)</w:t>
      </w:r>
      <w:bookmarkEnd w:id="95"/>
    </w:p>
    <w:p w14:paraId="7D3986B2" w14:textId="77777777" w:rsidR="00E03711" w:rsidRPr="001048FE" w:rsidRDefault="00E03711" w:rsidP="00860232">
      <w:pPr>
        <w:pStyle w:val="GUIDE-NORMAL"/>
        <w:rPr>
          <w:lang w:val="sl-SI"/>
        </w:rPr>
      </w:pPr>
      <w:r w:rsidRPr="001048FE">
        <w:rPr>
          <w:lang w:val="sl-SI"/>
        </w:rPr>
        <w:t>Nacionalne</w:t>
      </w:r>
      <w:r w:rsidRPr="001048FE">
        <w:rPr>
          <w:spacing w:val="-23"/>
          <w:lang w:val="sl-SI"/>
        </w:rPr>
        <w:t xml:space="preserve"> </w:t>
      </w:r>
      <w:r w:rsidRPr="001048FE">
        <w:rPr>
          <w:lang w:val="sl-SI"/>
        </w:rPr>
        <w:t>referenčne</w:t>
      </w:r>
      <w:r w:rsidRPr="001048FE">
        <w:rPr>
          <w:spacing w:val="-23"/>
          <w:lang w:val="sl-SI"/>
        </w:rPr>
        <w:t xml:space="preserve"> </w:t>
      </w:r>
      <w:r w:rsidRPr="001048FE">
        <w:rPr>
          <w:lang w:val="sl-SI"/>
        </w:rPr>
        <w:t>točke</w:t>
      </w:r>
      <w:r w:rsidRPr="001048FE">
        <w:rPr>
          <w:spacing w:val="-23"/>
          <w:lang w:val="sl-SI"/>
        </w:rPr>
        <w:t xml:space="preserve"> </w:t>
      </w:r>
      <w:r w:rsidRPr="001048FE">
        <w:rPr>
          <w:lang w:val="sl-SI"/>
        </w:rPr>
        <w:t>(NRP)</w:t>
      </w:r>
      <w:r w:rsidRPr="001048FE">
        <w:rPr>
          <w:spacing w:val="-23"/>
          <w:lang w:val="sl-SI"/>
        </w:rPr>
        <w:t xml:space="preserve"> </w:t>
      </w:r>
      <w:r w:rsidRPr="001048FE">
        <w:rPr>
          <w:lang w:val="sl-SI"/>
        </w:rPr>
        <w:t>so</w:t>
      </w:r>
      <w:r w:rsidRPr="001048FE">
        <w:rPr>
          <w:spacing w:val="-23"/>
          <w:lang w:val="sl-SI"/>
        </w:rPr>
        <w:t xml:space="preserve"> </w:t>
      </w:r>
      <w:r w:rsidRPr="001048FE">
        <w:rPr>
          <w:lang w:val="sl-SI"/>
        </w:rPr>
        <w:t>vzpostavili</w:t>
      </w:r>
      <w:r w:rsidRPr="001048FE">
        <w:rPr>
          <w:spacing w:val="-23"/>
          <w:lang w:val="sl-SI"/>
        </w:rPr>
        <w:t xml:space="preserve"> </w:t>
      </w:r>
      <w:r w:rsidRPr="001048FE">
        <w:rPr>
          <w:lang w:val="sl-SI"/>
        </w:rPr>
        <w:t>nacionalni</w:t>
      </w:r>
      <w:r w:rsidRPr="001048FE">
        <w:rPr>
          <w:spacing w:val="-23"/>
          <w:lang w:val="sl-SI"/>
        </w:rPr>
        <w:t xml:space="preserve"> </w:t>
      </w:r>
      <w:r w:rsidRPr="001048FE">
        <w:rPr>
          <w:lang w:val="sl-SI"/>
        </w:rPr>
        <w:t>organi,</w:t>
      </w:r>
      <w:r w:rsidRPr="001048FE">
        <w:rPr>
          <w:spacing w:val="-22"/>
          <w:lang w:val="sl-SI"/>
        </w:rPr>
        <w:t xml:space="preserve"> </w:t>
      </w:r>
      <w:r w:rsidRPr="001048FE">
        <w:rPr>
          <w:lang w:val="sl-SI"/>
        </w:rPr>
        <w:t>združujejo</w:t>
      </w:r>
      <w:r w:rsidRPr="001048FE">
        <w:rPr>
          <w:spacing w:val="-23"/>
          <w:lang w:val="sl-SI"/>
        </w:rPr>
        <w:t xml:space="preserve"> </w:t>
      </w:r>
      <w:r w:rsidRPr="001048FE">
        <w:rPr>
          <w:lang w:val="sl-SI"/>
        </w:rPr>
        <w:t>pa</w:t>
      </w:r>
      <w:r w:rsidRPr="001048FE">
        <w:rPr>
          <w:spacing w:val="-23"/>
          <w:lang w:val="sl-SI"/>
        </w:rPr>
        <w:t xml:space="preserve"> </w:t>
      </w:r>
      <w:r w:rsidRPr="001048FE">
        <w:rPr>
          <w:lang w:val="sl-SI"/>
        </w:rPr>
        <w:t>obstoječe</w:t>
      </w:r>
      <w:r w:rsidRPr="001048FE">
        <w:rPr>
          <w:spacing w:val="-22"/>
          <w:lang w:val="sl-SI"/>
        </w:rPr>
        <w:t xml:space="preserve"> </w:t>
      </w:r>
      <w:r w:rsidRPr="001048FE">
        <w:rPr>
          <w:lang w:val="sl-SI"/>
        </w:rPr>
        <w:t>zadevne organe,</w:t>
      </w:r>
      <w:r w:rsidRPr="001048FE">
        <w:rPr>
          <w:spacing w:val="-11"/>
          <w:lang w:val="sl-SI"/>
        </w:rPr>
        <w:t xml:space="preserve"> </w:t>
      </w:r>
      <w:r w:rsidRPr="001048FE">
        <w:rPr>
          <w:lang w:val="sl-SI"/>
        </w:rPr>
        <w:t>ki</w:t>
      </w:r>
      <w:r w:rsidRPr="001048FE">
        <w:rPr>
          <w:spacing w:val="-12"/>
          <w:lang w:val="sl-SI"/>
        </w:rPr>
        <w:t xml:space="preserve"> </w:t>
      </w:r>
      <w:r w:rsidRPr="001048FE">
        <w:rPr>
          <w:lang w:val="sl-SI"/>
        </w:rPr>
        <w:t>zajemajo</w:t>
      </w:r>
      <w:r w:rsidRPr="001048FE">
        <w:rPr>
          <w:spacing w:val="-12"/>
          <w:lang w:val="sl-SI"/>
        </w:rPr>
        <w:t xml:space="preserve"> </w:t>
      </w:r>
      <w:r w:rsidRPr="001048FE">
        <w:rPr>
          <w:lang w:val="sl-SI"/>
        </w:rPr>
        <w:t>socialne</w:t>
      </w:r>
      <w:r w:rsidRPr="001048FE">
        <w:rPr>
          <w:spacing w:val="-12"/>
          <w:lang w:val="sl-SI"/>
        </w:rPr>
        <w:t xml:space="preserve"> </w:t>
      </w:r>
      <w:r w:rsidRPr="001048FE">
        <w:rPr>
          <w:lang w:val="sl-SI"/>
        </w:rPr>
        <w:t>partnerje</w:t>
      </w:r>
      <w:r w:rsidRPr="001048FE">
        <w:rPr>
          <w:spacing w:val="-12"/>
          <w:lang w:val="sl-SI"/>
        </w:rPr>
        <w:t xml:space="preserve"> </w:t>
      </w:r>
      <w:r w:rsidRPr="001048FE">
        <w:rPr>
          <w:lang w:val="sl-SI"/>
        </w:rPr>
        <w:t>in</w:t>
      </w:r>
      <w:r w:rsidRPr="001048FE">
        <w:rPr>
          <w:spacing w:val="-12"/>
          <w:lang w:val="sl-SI"/>
        </w:rPr>
        <w:t xml:space="preserve"> </w:t>
      </w:r>
      <w:r w:rsidRPr="001048FE">
        <w:rPr>
          <w:lang w:val="sl-SI"/>
        </w:rPr>
        <w:t>vse</w:t>
      </w:r>
      <w:r w:rsidRPr="001048FE">
        <w:rPr>
          <w:spacing w:val="-12"/>
          <w:lang w:val="sl-SI"/>
        </w:rPr>
        <w:t xml:space="preserve"> </w:t>
      </w:r>
      <w:r w:rsidRPr="001048FE">
        <w:rPr>
          <w:lang w:val="sl-SI"/>
        </w:rPr>
        <w:t>zadevne</w:t>
      </w:r>
      <w:r w:rsidRPr="001048FE">
        <w:rPr>
          <w:spacing w:val="-12"/>
          <w:lang w:val="sl-SI"/>
        </w:rPr>
        <w:t xml:space="preserve"> </w:t>
      </w:r>
      <w:r w:rsidRPr="001048FE">
        <w:rPr>
          <w:lang w:val="sl-SI"/>
        </w:rPr>
        <w:t>deležnike</w:t>
      </w:r>
      <w:r w:rsidRPr="001048FE">
        <w:rPr>
          <w:spacing w:val="-12"/>
          <w:lang w:val="sl-SI"/>
        </w:rPr>
        <w:t xml:space="preserve"> </w:t>
      </w:r>
      <w:r w:rsidRPr="001048FE">
        <w:rPr>
          <w:lang w:val="sl-SI"/>
        </w:rPr>
        <w:t>na</w:t>
      </w:r>
      <w:r w:rsidRPr="001048FE">
        <w:rPr>
          <w:spacing w:val="-12"/>
          <w:lang w:val="sl-SI"/>
        </w:rPr>
        <w:t xml:space="preserve"> </w:t>
      </w:r>
      <w:r w:rsidRPr="001048FE">
        <w:rPr>
          <w:lang w:val="sl-SI"/>
        </w:rPr>
        <w:t>nacionalni</w:t>
      </w:r>
      <w:r w:rsidRPr="001048FE">
        <w:rPr>
          <w:spacing w:val="-12"/>
          <w:lang w:val="sl-SI"/>
        </w:rPr>
        <w:t xml:space="preserve"> </w:t>
      </w:r>
      <w:r w:rsidRPr="001048FE">
        <w:rPr>
          <w:lang w:val="sl-SI"/>
        </w:rPr>
        <w:t>in</w:t>
      </w:r>
      <w:r w:rsidRPr="001048FE">
        <w:rPr>
          <w:spacing w:val="-12"/>
          <w:lang w:val="sl-SI"/>
        </w:rPr>
        <w:t xml:space="preserve"> </w:t>
      </w:r>
      <w:r w:rsidRPr="001048FE">
        <w:rPr>
          <w:lang w:val="sl-SI"/>
        </w:rPr>
        <w:t>regionalni</w:t>
      </w:r>
      <w:r w:rsidRPr="001048FE">
        <w:rPr>
          <w:spacing w:val="-12"/>
          <w:lang w:val="sl-SI"/>
        </w:rPr>
        <w:t xml:space="preserve"> </w:t>
      </w:r>
      <w:r w:rsidRPr="001048FE">
        <w:rPr>
          <w:lang w:val="sl-SI"/>
        </w:rPr>
        <w:t>ravni,</w:t>
      </w:r>
      <w:r w:rsidRPr="001048FE">
        <w:rPr>
          <w:spacing w:val="-12"/>
          <w:lang w:val="sl-SI"/>
        </w:rPr>
        <w:t xml:space="preserve"> </w:t>
      </w:r>
      <w:r w:rsidRPr="001048FE">
        <w:rPr>
          <w:lang w:val="sl-SI"/>
        </w:rPr>
        <w:t>da prispevajo</w:t>
      </w:r>
      <w:r w:rsidRPr="001048FE">
        <w:rPr>
          <w:spacing w:val="-20"/>
          <w:lang w:val="sl-SI"/>
        </w:rPr>
        <w:t xml:space="preserve"> </w:t>
      </w:r>
      <w:r w:rsidRPr="001048FE">
        <w:rPr>
          <w:lang w:val="sl-SI"/>
        </w:rPr>
        <w:t>k</w:t>
      </w:r>
      <w:r w:rsidRPr="001048FE">
        <w:rPr>
          <w:spacing w:val="-20"/>
          <w:lang w:val="sl-SI"/>
        </w:rPr>
        <w:t xml:space="preserve"> </w:t>
      </w:r>
      <w:r w:rsidRPr="001048FE">
        <w:rPr>
          <w:lang w:val="sl-SI"/>
        </w:rPr>
        <w:t>izvajanju</w:t>
      </w:r>
      <w:r w:rsidRPr="001048FE">
        <w:rPr>
          <w:spacing w:val="-20"/>
          <w:lang w:val="sl-SI"/>
        </w:rPr>
        <w:t xml:space="preserve"> </w:t>
      </w:r>
      <w:r w:rsidRPr="001048FE">
        <w:rPr>
          <w:lang w:val="sl-SI"/>
        </w:rPr>
        <w:t>evropskega</w:t>
      </w:r>
      <w:r w:rsidRPr="001048FE">
        <w:rPr>
          <w:spacing w:val="-20"/>
          <w:lang w:val="sl-SI"/>
        </w:rPr>
        <w:t xml:space="preserve"> </w:t>
      </w:r>
      <w:r w:rsidRPr="001048FE">
        <w:rPr>
          <w:lang w:val="sl-SI"/>
        </w:rPr>
        <w:t>referenčnega</w:t>
      </w:r>
      <w:r w:rsidRPr="001048FE">
        <w:rPr>
          <w:spacing w:val="-20"/>
          <w:lang w:val="sl-SI"/>
        </w:rPr>
        <w:t xml:space="preserve"> </w:t>
      </w:r>
      <w:r w:rsidRPr="001048FE">
        <w:rPr>
          <w:lang w:val="sl-SI"/>
        </w:rPr>
        <w:t>okvira</w:t>
      </w:r>
      <w:r w:rsidRPr="001048FE">
        <w:rPr>
          <w:spacing w:val="-19"/>
          <w:lang w:val="sl-SI"/>
        </w:rPr>
        <w:t xml:space="preserve"> </w:t>
      </w:r>
      <w:r w:rsidRPr="001048FE">
        <w:rPr>
          <w:lang w:val="sl-SI"/>
        </w:rPr>
        <w:t>za</w:t>
      </w:r>
      <w:r w:rsidRPr="001048FE">
        <w:rPr>
          <w:spacing w:val="-20"/>
          <w:lang w:val="sl-SI"/>
        </w:rPr>
        <w:t xml:space="preserve"> </w:t>
      </w:r>
      <w:r w:rsidRPr="001048FE">
        <w:rPr>
          <w:lang w:val="sl-SI"/>
        </w:rPr>
        <w:t>zagotavljanje</w:t>
      </w:r>
      <w:r w:rsidRPr="001048FE">
        <w:rPr>
          <w:spacing w:val="-20"/>
          <w:lang w:val="sl-SI"/>
        </w:rPr>
        <w:t xml:space="preserve"> </w:t>
      </w:r>
      <w:r w:rsidRPr="001048FE">
        <w:rPr>
          <w:lang w:val="sl-SI"/>
        </w:rPr>
        <w:t>kakovosti</w:t>
      </w:r>
      <w:r w:rsidRPr="001048FE">
        <w:rPr>
          <w:spacing w:val="-20"/>
          <w:lang w:val="sl-SI"/>
        </w:rPr>
        <w:t xml:space="preserve"> </w:t>
      </w:r>
      <w:r w:rsidRPr="001048FE">
        <w:rPr>
          <w:lang w:val="sl-SI"/>
        </w:rPr>
        <w:t>v</w:t>
      </w:r>
      <w:r w:rsidRPr="001048FE">
        <w:rPr>
          <w:spacing w:val="-20"/>
          <w:lang w:val="sl-SI"/>
        </w:rPr>
        <w:t xml:space="preserve"> </w:t>
      </w:r>
      <w:r w:rsidRPr="001048FE">
        <w:rPr>
          <w:lang w:val="sl-SI"/>
        </w:rPr>
        <w:t>PIU.</w:t>
      </w:r>
      <w:r w:rsidRPr="001048FE">
        <w:rPr>
          <w:spacing w:val="-20"/>
          <w:lang w:val="sl-SI"/>
        </w:rPr>
        <w:t xml:space="preserve"> </w:t>
      </w:r>
      <w:r>
        <w:rPr>
          <w:spacing w:val="-20"/>
          <w:lang w:val="sl-SI"/>
        </w:rPr>
        <w:t xml:space="preserve"> </w:t>
      </w:r>
      <w:r w:rsidRPr="001048FE">
        <w:rPr>
          <w:lang w:val="sl-SI"/>
        </w:rPr>
        <w:t>Namen</w:t>
      </w:r>
      <w:r w:rsidRPr="001048FE">
        <w:rPr>
          <w:spacing w:val="-20"/>
          <w:lang w:val="sl-SI"/>
        </w:rPr>
        <w:t xml:space="preserve"> </w:t>
      </w:r>
      <w:r w:rsidRPr="001048FE">
        <w:rPr>
          <w:lang w:val="sl-SI"/>
        </w:rPr>
        <w:t>NRP EQAVET</w:t>
      </w:r>
      <w:r w:rsidRPr="001048FE">
        <w:rPr>
          <w:spacing w:val="-3"/>
          <w:lang w:val="sl-SI"/>
        </w:rPr>
        <w:t xml:space="preserve"> </w:t>
      </w:r>
      <w:r w:rsidRPr="001048FE">
        <w:rPr>
          <w:lang w:val="sl-SI"/>
        </w:rPr>
        <w:t>je:</w:t>
      </w:r>
      <w:r>
        <w:rPr>
          <w:lang w:val="sl-SI"/>
        </w:rPr>
        <w:t xml:space="preserve"> 1) </w:t>
      </w:r>
      <w:r w:rsidRPr="001048FE">
        <w:rPr>
          <w:lang w:val="sl-SI"/>
        </w:rPr>
        <w:t>zagotavljanje aktivne podpore za izvajanje delovnega programa</w:t>
      </w:r>
      <w:r w:rsidRPr="001048FE">
        <w:rPr>
          <w:spacing w:val="25"/>
          <w:lang w:val="sl-SI"/>
        </w:rPr>
        <w:t xml:space="preserve"> </w:t>
      </w:r>
      <w:r w:rsidRPr="001048FE">
        <w:rPr>
          <w:lang w:val="sl-SI"/>
        </w:rPr>
        <w:t>EQAVET;</w:t>
      </w:r>
      <w:r>
        <w:rPr>
          <w:lang w:val="sl-SI"/>
        </w:rPr>
        <w:t xml:space="preserve"> 2) </w:t>
      </w:r>
      <w:r w:rsidRPr="001048FE">
        <w:rPr>
          <w:lang w:val="sl-SI"/>
        </w:rPr>
        <w:t>dajanje</w:t>
      </w:r>
      <w:r w:rsidRPr="001048FE">
        <w:rPr>
          <w:spacing w:val="-21"/>
          <w:lang w:val="sl-SI"/>
        </w:rPr>
        <w:t xml:space="preserve"> </w:t>
      </w:r>
      <w:r w:rsidRPr="001048FE">
        <w:rPr>
          <w:lang w:val="sl-SI"/>
        </w:rPr>
        <w:t>konkretnih</w:t>
      </w:r>
      <w:r w:rsidRPr="001048FE">
        <w:rPr>
          <w:spacing w:val="-21"/>
          <w:lang w:val="sl-SI"/>
        </w:rPr>
        <w:t xml:space="preserve"> </w:t>
      </w:r>
      <w:r w:rsidRPr="001048FE">
        <w:rPr>
          <w:lang w:val="sl-SI"/>
        </w:rPr>
        <w:t>pobud</w:t>
      </w:r>
      <w:r w:rsidRPr="001048FE">
        <w:rPr>
          <w:spacing w:val="-21"/>
          <w:lang w:val="sl-SI"/>
        </w:rPr>
        <w:t xml:space="preserve"> </w:t>
      </w:r>
      <w:r w:rsidRPr="001048FE">
        <w:rPr>
          <w:lang w:val="sl-SI"/>
        </w:rPr>
        <w:t>za</w:t>
      </w:r>
      <w:r w:rsidRPr="001048FE">
        <w:rPr>
          <w:spacing w:val="-21"/>
          <w:lang w:val="sl-SI"/>
        </w:rPr>
        <w:t xml:space="preserve"> </w:t>
      </w:r>
      <w:r w:rsidRPr="001048FE">
        <w:rPr>
          <w:lang w:val="sl-SI"/>
        </w:rPr>
        <w:t>spodbujanje</w:t>
      </w:r>
      <w:r w:rsidRPr="001048FE">
        <w:rPr>
          <w:spacing w:val="-21"/>
          <w:lang w:val="sl-SI"/>
        </w:rPr>
        <w:t xml:space="preserve"> </w:t>
      </w:r>
      <w:r w:rsidRPr="001048FE">
        <w:rPr>
          <w:lang w:val="sl-SI"/>
        </w:rPr>
        <w:t>nadaljnjega</w:t>
      </w:r>
      <w:r w:rsidRPr="001048FE">
        <w:rPr>
          <w:spacing w:val="-21"/>
          <w:lang w:val="sl-SI"/>
        </w:rPr>
        <w:t xml:space="preserve"> </w:t>
      </w:r>
      <w:r w:rsidRPr="001048FE">
        <w:rPr>
          <w:lang w:val="sl-SI"/>
        </w:rPr>
        <w:t>razvoja</w:t>
      </w:r>
      <w:r w:rsidRPr="001048FE">
        <w:rPr>
          <w:spacing w:val="-21"/>
          <w:lang w:val="sl-SI"/>
        </w:rPr>
        <w:t xml:space="preserve"> </w:t>
      </w:r>
      <w:r w:rsidRPr="001048FE">
        <w:rPr>
          <w:lang w:val="sl-SI"/>
        </w:rPr>
        <w:t>okvira</w:t>
      </w:r>
      <w:r w:rsidRPr="001048FE">
        <w:rPr>
          <w:spacing w:val="-21"/>
          <w:lang w:val="sl-SI"/>
        </w:rPr>
        <w:t xml:space="preserve"> </w:t>
      </w:r>
      <w:r w:rsidRPr="001048FE">
        <w:rPr>
          <w:lang w:val="sl-SI"/>
        </w:rPr>
        <w:t>EQAVET</w:t>
      </w:r>
      <w:r w:rsidRPr="001048FE">
        <w:rPr>
          <w:spacing w:val="-21"/>
          <w:lang w:val="sl-SI"/>
        </w:rPr>
        <w:t xml:space="preserve"> </w:t>
      </w:r>
      <w:r w:rsidRPr="001048FE">
        <w:rPr>
          <w:lang w:val="sl-SI"/>
        </w:rPr>
        <w:t>v</w:t>
      </w:r>
      <w:r w:rsidRPr="001048FE">
        <w:rPr>
          <w:spacing w:val="-21"/>
          <w:lang w:val="sl-SI"/>
        </w:rPr>
        <w:t xml:space="preserve"> </w:t>
      </w:r>
      <w:r w:rsidRPr="001048FE">
        <w:rPr>
          <w:lang w:val="sl-SI"/>
        </w:rPr>
        <w:t>nacionalnem okviru;</w:t>
      </w:r>
      <w:r>
        <w:rPr>
          <w:lang w:val="sl-SI"/>
        </w:rPr>
        <w:t xml:space="preserve"> 3) </w:t>
      </w:r>
      <w:r w:rsidRPr="001048FE">
        <w:rPr>
          <w:lang w:val="sl-SI"/>
        </w:rPr>
        <w:t>podpiranje</w:t>
      </w:r>
      <w:r w:rsidRPr="001048FE">
        <w:rPr>
          <w:spacing w:val="-24"/>
          <w:lang w:val="sl-SI"/>
        </w:rPr>
        <w:t xml:space="preserve"> </w:t>
      </w:r>
      <w:r w:rsidRPr="001048FE">
        <w:rPr>
          <w:lang w:val="sl-SI"/>
        </w:rPr>
        <w:t>samoocenjevanja</w:t>
      </w:r>
      <w:r w:rsidRPr="001048FE">
        <w:rPr>
          <w:spacing w:val="-24"/>
          <w:lang w:val="sl-SI"/>
        </w:rPr>
        <w:t xml:space="preserve"> </w:t>
      </w:r>
      <w:r w:rsidRPr="001048FE">
        <w:rPr>
          <w:lang w:val="sl-SI"/>
        </w:rPr>
        <w:t>kot</w:t>
      </w:r>
      <w:r w:rsidRPr="001048FE">
        <w:rPr>
          <w:spacing w:val="-24"/>
          <w:lang w:val="sl-SI"/>
        </w:rPr>
        <w:t xml:space="preserve"> </w:t>
      </w:r>
      <w:r w:rsidRPr="001048FE">
        <w:rPr>
          <w:lang w:val="sl-SI"/>
        </w:rPr>
        <w:t>komplementarnega</w:t>
      </w:r>
      <w:r w:rsidRPr="001048FE">
        <w:rPr>
          <w:spacing w:val="-24"/>
          <w:lang w:val="sl-SI"/>
        </w:rPr>
        <w:t xml:space="preserve"> </w:t>
      </w:r>
      <w:r w:rsidRPr="001048FE">
        <w:rPr>
          <w:lang w:val="sl-SI"/>
        </w:rPr>
        <w:t>in</w:t>
      </w:r>
      <w:r w:rsidRPr="001048FE">
        <w:rPr>
          <w:spacing w:val="-24"/>
          <w:lang w:val="sl-SI"/>
        </w:rPr>
        <w:t xml:space="preserve"> </w:t>
      </w:r>
      <w:r w:rsidRPr="001048FE">
        <w:rPr>
          <w:lang w:val="sl-SI"/>
        </w:rPr>
        <w:t>učinkovitega</w:t>
      </w:r>
      <w:r w:rsidRPr="001048FE">
        <w:rPr>
          <w:spacing w:val="-24"/>
          <w:lang w:val="sl-SI"/>
        </w:rPr>
        <w:t xml:space="preserve"> </w:t>
      </w:r>
      <w:r w:rsidRPr="001048FE">
        <w:rPr>
          <w:lang w:val="sl-SI"/>
        </w:rPr>
        <w:t>sredstva</w:t>
      </w:r>
      <w:r w:rsidRPr="001048FE">
        <w:rPr>
          <w:spacing w:val="-24"/>
          <w:lang w:val="sl-SI"/>
        </w:rPr>
        <w:t xml:space="preserve"> </w:t>
      </w:r>
      <w:r w:rsidRPr="001048FE">
        <w:rPr>
          <w:lang w:val="sl-SI"/>
        </w:rPr>
        <w:t>za</w:t>
      </w:r>
      <w:r w:rsidRPr="001048FE">
        <w:rPr>
          <w:spacing w:val="-24"/>
          <w:lang w:val="sl-SI"/>
        </w:rPr>
        <w:t xml:space="preserve"> </w:t>
      </w:r>
      <w:r w:rsidRPr="001048FE">
        <w:rPr>
          <w:lang w:val="sl-SI"/>
        </w:rPr>
        <w:t>zagotavljanje kakovosti, ki omogoča merjenje uspeha in določitev področij za</w:t>
      </w:r>
      <w:r w:rsidRPr="001048FE">
        <w:rPr>
          <w:spacing w:val="-44"/>
          <w:lang w:val="sl-SI"/>
        </w:rPr>
        <w:t xml:space="preserve"> </w:t>
      </w:r>
      <w:r w:rsidRPr="001048FE">
        <w:rPr>
          <w:lang w:val="sl-SI"/>
        </w:rPr>
        <w:t>izboljšave;</w:t>
      </w:r>
      <w:r>
        <w:rPr>
          <w:lang w:val="sl-SI"/>
        </w:rPr>
        <w:t xml:space="preserve"> 4) </w:t>
      </w:r>
      <w:r w:rsidRPr="001048FE">
        <w:rPr>
          <w:lang w:val="sl-SI"/>
        </w:rPr>
        <w:t>zagotavljanje učinkovitega razširjanja informacij do</w:t>
      </w:r>
      <w:r w:rsidRPr="001048FE">
        <w:rPr>
          <w:spacing w:val="-14"/>
          <w:lang w:val="sl-SI"/>
        </w:rPr>
        <w:t xml:space="preserve"> </w:t>
      </w:r>
      <w:r w:rsidRPr="001048FE">
        <w:rPr>
          <w:lang w:val="sl-SI"/>
        </w:rPr>
        <w:t>deležnikov.</w:t>
      </w:r>
    </w:p>
    <w:p w14:paraId="7D3986B3" w14:textId="77777777" w:rsidR="00E03711" w:rsidRPr="001048FE" w:rsidRDefault="00E03711" w:rsidP="00995E90">
      <w:pPr>
        <w:pStyle w:val="GUIDE-NORMAL"/>
        <w:rPr>
          <w:lang w:val="sl-SI"/>
        </w:rPr>
      </w:pPr>
      <w:r w:rsidRPr="001048FE">
        <w:rPr>
          <w:lang w:val="sl-SI"/>
        </w:rPr>
        <w:t xml:space="preserve">Več informacij je na voljo na spletišču: </w:t>
      </w:r>
      <w:hyperlink r:id="rId48">
        <w:r w:rsidRPr="001048FE">
          <w:rPr>
            <w:rStyle w:val="Hyperlink"/>
            <w:lang w:val="sl-SI"/>
          </w:rPr>
          <w:t>http://www.eqavet.eu/</w:t>
        </w:r>
        <w:r w:rsidRPr="001048FE">
          <w:rPr>
            <w:lang w:val="sl-SI"/>
          </w:rPr>
          <w:t>.</w:t>
        </w:r>
      </w:hyperlink>
    </w:p>
    <w:p w14:paraId="7D3986B4" w14:textId="77777777" w:rsidR="00E03711" w:rsidRPr="001048FE" w:rsidRDefault="00E03711" w:rsidP="00E23D2D">
      <w:pPr>
        <w:pStyle w:val="Guide-Heading4"/>
        <w:rPr>
          <w:lang w:val="sl-SI"/>
        </w:rPr>
      </w:pPr>
      <w:bookmarkStart w:id="96" w:name="_Toc527401110"/>
      <w:r w:rsidRPr="001048FE">
        <w:rPr>
          <w:lang w:val="sl-SI"/>
        </w:rPr>
        <w:t>Nacionalni informacijski centri za priznavanje visokošolskih diplom (NARIC)</w:t>
      </w:r>
      <w:bookmarkEnd w:id="96"/>
    </w:p>
    <w:p w14:paraId="7D3986B5" w14:textId="77777777" w:rsidR="00E03711" w:rsidRPr="001048FE" w:rsidRDefault="00E03711" w:rsidP="00995E90">
      <w:pPr>
        <w:pStyle w:val="GUIDE-NORMAL"/>
        <w:rPr>
          <w:lang w:val="sl-SI"/>
        </w:rPr>
      </w:pPr>
      <w:r w:rsidRPr="001048FE">
        <w:rPr>
          <w:lang w:val="sl-SI"/>
        </w:rPr>
        <w:t>Omrežje NARIC zagotavlja informacije o priznavanju diplom in obdobjih študija, opravljenih v drugih evropskih državah, ter nasvete o tujih akademskih diplomah v državi, kjer je vzpostavljen NARIC. Omrežje NARIC zagotavlja zanesljive nasvete za vsakogar, ki potuje v tujino zaradi dela ali nadaljnjega izobraževanja, ter za institucije, študente, svetovalce, starše, učitelje in morebitne delodajalce.</w:t>
      </w:r>
    </w:p>
    <w:p w14:paraId="7D3986B6" w14:textId="77777777" w:rsidR="00E03711" w:rsidRPr="001048FE" w:rsidRDefault="00E03711" w:rsidP="00995E90">
      <w:pPr>
        <w:pStyle w:val="GUIDE-NORMAL"/>
        <w:rPr>
          <w:lang w:val="sl-SI"/>
        </w:rPr>
      </w:pPr>
      <w:r w:rsidRPr="001048FE">
        <w:rPr>
          <w:lang w:val="sl-SI"/>
        </w:rPr>
        <w:t>Evropska komisija podpira aktivnosti omrežja NARIC z izmenjavo informacij in izkušenj med državami, opredeljevanjem dobrih praks, primerjalno analizo sistemov in politik na tem področju ter razpravo in analizo o zadevah, ki so v skupnem interesu izobraževalne politike.</w:t>
      </w:r>
    </w:p>
    <w:p w14:paraId="7D3986B7" w14:textId="77777777" w:rsidR="00E03711" w:rsidRDefault="00E03711" w:rsidP="0030441A">
      <w:pPr>
        <w:pStyle w:val="GUIDE-NORMAL"/>
        <w:rPr>
          <w:lang w:val="sl-SI"/>
        </w:rPr>
      </w:pPr>
      <w:r w:rsidRPr="001048FE">
        <w:rPr>
          <w:lang w:val="sl-SI"/>
        </w:rPr>
        <w:t xml:space="preserve">Več informacij je na voljo na spletišču: </w:t>
      </w:r>
      <w:hyperlink r:id="rId49">
        <w:r w:rsidRPr="001048FE">
          <w:rPr>
            <w:rStyle w:val="Hyperlink"/>
            <w:lang w:val="sl-SI"/>
          </w:rPr>
          <w:t>www.enic-naric.net</w:t>
        </w:r>
        <w:r w:rsidRPr="001048FE">
          <w:rPr>
            <w:lang w:val="sl-SI"/>
          </w:rPr>
          <w:t>.</w:t>
        </w:r>
      </w:hyperlink>
    </w:p>
    <w:p w14:paraId="7D3986B8" w14:textId="77777777" w:rsidR="00E03711" w:rsidRPr="001048FE" w:rsidRDefault="00E03711" w:rsidP="00E23D2D">
      <w:pPr>
        <w:pStyle w:val="Guide-Heading4"/>
        <w:rPr>
          <w:lang w:val="sl-SI"/>
        </w:rPr>
      </w:pPr>
      <w:bookmarkStart w:id="97" w:name="_Toc527401111"/>
      <w:r w:rsidRPr="001048FE">
        <w:rPr>
          <w:lang w:val="sl-SI"/>
        </w:rPr>
        <w:t>Omrežje nacionalnih skupin strokovnjakov ECVET</w:t>
      </w:r>
      <w:bookmarkEnd w:id="97"/>
    </w:p>
    <w:p w14:paraId="7D3986B9" w14:textId="77777777" w:rsidR="00E03711" w:rsidRPr="001048FE" w:rsidRDefault="00E03711" w:rsidP="00995E90">
      <w:pPr>
        <w:pStyle w:val="GUIDE-NORMAL"/>
        <w:rPr>
          <w:lang w:val="sl-SI"/>
        </w:rPr>
      </w:pPr>
      <w:r w:rsidRPr="001048FE">
        <w:rPr>
          <w:lang w:val="sl-SI"/>
        </w:rPr>
        <w:t>Nacionalne</w:t>
      </w:r>
      <w:r w:rsidRPr="001048FE">
        <w:rPr>
          <w:spacing w:val="-21"/>
          <w:lang w:val="sl-SI"/>
        </w:rPr>
        <w:t xml:space="preserve"> </w:t>
      </w:r>
      <w:r w:rsidRPr="001048FE">
        <w:rPr>
          <w:lang w:val="sl-SI"/>
        </w:rPr>
        <w:t>skupine</w:t>
      </w:r>
      <w:r w:rsidRPr="001048FE">
        <w:rPr>
          <w:spacing w:val="-21"/>
          <w:lang w:val="sl-SI"/>
        </w:rPr>
        <w:t xml:space="preserve"> </w:t>
      </w:r>
      <w:r w:rsidRPr="001048FE">
        <w:rPr>
          <w:lang w:val="sl-SI"/>
        </w:rPr>
        <w:t>strokovnjakov</w:t>
      </w:r>
      <w:r w:rsidRPr="001048FE">
        <w:rPr>
          <w:spacing w:val="-21"/>
          <w:lang w:val="sl-SI"/>
        </w:rPr>
        <w:t xml:space="preserve"> </w:t>
      </w:r>
      <w:r w:rsidRPr="001048FE">
        <w:rPr>
          <w:lang w:val="sl-SI"/>
        </w:rPr>
        <w:t>ECVET</w:t>
      </w:r>
      <w:r w:rsidRPr="001048FE">
        <w:rPr>
          <w:spacing w:val="-21"/>
          <w:lang w:val="sl-SI"/>
        </w:rPr>
        <w:t xml:space="preserve"> </w:t>
      </w:r>
      <w:r w:rsidRPr="001048FE">
        <w:rPr>
          <w:lang w:val="sl-SI"/>
        </w:rPr>
        <w:t>zagotavljajo</w:t>
      </w:r>
      <w:r w:rsidRPr="001048FE">
        <w:rPr>
          <w:spacing w:val="-21"/>
          <w:lang w:val="sl-SI"/>
        </w:rPr>
        <w:t xml:space="preserve"> </w:t>
      </w:r>
      <w:r w:rsidRPr="001048FE">
        <w:rPr>
          <w:lang w:val="sl-SI"/>
        </w:rPr>
        <w:t>vir</w:t>
      </w:r>
      <w:r w:rsidRPr="001048FE">
        <w:rPr>
          <w:spacing w:val="-21"/>
          <w:lang w:val="sl-SI"/>
        </w:rPr>
        <w:t xml:space="preserve"> </w:t>
      </w:r>
      <w:r w:rsidRPr="001048FE">
        <w:rPr>
          <w:lang w:val="sl-SI"/>
        </w:rPr>
        <w:t>strokovnega</w:t>
      </w:r>
      <w:r w:rsidRPr="001048FE">
        <w:rPr>
          <w:spacing w:val="-21"/>
          <w:lang w:val="sl-SI"/>
        </w:rPr>
        <w:t xml:space="preserve"> </w:t>
      </w:r>
      <w:r w:rsidRPr="001048FE">
        <w:rPr>
          <w:lang w:val="sl-SI"/>
        </w:rPr>
        <w:t>znanja</w:t>
      </w:r>
      <w:r w:rsidRPr="001048FE">
        <w:rPr>
          <w:spacing w:val="-21"/>
          <w:lang w:val="sl-SI"/>
        </w:rPr>
        <w:t xml:space="preserve"> </w:t>
      </w:r>
      <w:r w:rsidRPr="001048FE">
        <w:rPr>
          <w:lang w:val="sl-SI"/>
        </w:rPr>
        <w:t>za</w:t>
      </w:r>
      <w:r w:rsidRPr="001048FE">
        <w:rPr>
          <w:spacing w:val="-21"/>
          <w:lang w:val="sl-SI"/>
        </w:rPr>
        <w:t xml:space="preserve"> </w:t>
      </w:r>
      <w:r w:rsidRPr="001048FE">
        <w:rPr>
          <w:lang w:val="sl-SI"/>
        </w:rPr>
        <w:t>podporo</w:t>
      </w:r>
      <w:r w:rsidRPr="001048FE">
        <w:rPr>
          <w:spacing w:val="-21"/>
          <w:lang w:val="sl-SI"/>
        </w:rPr>
        <w:t xml:space="preserve"> </w:t>
      </w:r>
      <w:r w:rsidRPr="001048FE">
        <w:rPr>
          <w:lang w:val="sl-SI"/>
        </w:rPr>
        <w:t>izvajanju evropskega</w:t>
      </w:r>
      <w:r w:rsidRPr="001048FE">
        <w:rPr>
          <w:spacing w:val="-21"/>
          <w:lang w:val="sl-SI"/>
        </w:rPr>
        <w:t xml:space="preserve"> </w:t>
      </w:r>
      <w:r w:rsidRPr="001048FE">
        <w:rPr>
          <w:lang w:val="sl-SI"/>
        </w:rPr>
        <w:t>sistema</w:t>
      </w:r>
      <w:r w:rsidRPr="001048FE">
        <w:rPr>
          <w:spacing w:val="-21"/>
          <w:lang w:val="sl-SI"/>
        </w:rPr>
        <w:t xml:space="preserve"> </w:t>
      </w:r>
      <w:r w:rsidRPr="001048FE">
        <w:rPr>
          <w:lang w:val="sl-SI"/>
        </w:rPr>
        <w:t>kreditnih</w:t>
      </w:r>
      <w:r w:rsidRPr="001048FE">
        <w:rPr>
          <w:spacing w:val="-21"/>
          <w:lang w:val="sl-SI"/>
        </w:rPr>
        <w:t xml:space="preserve"> </w:t>
      </w:r>
      <w:r w:rsidRPr="001048FE">
        <w:rPr>
          <w:lang w:val="sl-SI"/>
        </w:rPr>
        <w:t>točk</w:t>
      </w:r>
      <w:r w:rsidRPr="001048FE">
        <w:rPr>
          <w:spacing w:val="-21"/>
          <w:lang w:val="sl-SI"/>
        </w:rPr>
        <w:t xml:space="preserve"> </w:t>
      </w:r>
      <w:r w:rsidRPr="001048FE">
        <w:rPr>
          <w:lang w:val="sl-SI"/>
        </w:rPr>
        <w:t>v</w:t>
      </w:r>
      <w:r w:rsidRPr="001048FE">
        <w:rPr>
          <w:spacing w:val="-21"/>
          <w:lang w:val="sl-SI"/>
        </w:rPr>
        <w:t xml:space="preserve"> </w:t>
      </w:r>
      <w:r w:rsidRPr="001048FE">
        <w:rPr>
          <w:lang w:val="sl-SI"/>
        </w:rPr>
        <w:t>poklicnem</w:t>
      </w:r>
      <w:r w:rsidRPr="001048FE">
        <w:rPr>
          <w:spacing w:val="-21"/>
          <w:lang w:val="sl-SI"/>
        </w:rPr>
        <w:t xml:space="preserve"> </w:t>
      </w:r>
      <w:r w:rsidRPr="001048FE">
        <w:rPr>
          <w:lang w:val="sl-SI"/>
        </w:rPr>
        <w:t>izobraževanju</w:t>
      </w:r>
      <w:r w:rsidRPr="001048FE">
        <w:rPr>
          <w:spacing w:val="-21"/>
          <w:lang w:val="sl-SI"/>
        </w:rPr>
        <w:t xml:space="preserve"> </w:t>
      </w:r>
      <w:r w:rsidRPr="001048FE">
        <w:rPr>
          <w:lang w:val="sl-SI"/>
        </w:rPr>
        <w:t>in</w:t>
      </w:r>
      <w:r w:rsidRPr="001048FE">
        <w:rPr>
          <w:spacing w:val="-21"/>
          <w:lang w:val="sl-SI"/>
        </w:rPr>
        <w:t xml:space="preserve"> </w:t>
      </w:r>
      <w:r w:rsidRPr="001048FE">
        <w:rPr>
          <w:lang w:val="sl-SI"/>
        </w:rPr>
        <w:t>usposabljanju</w:t>
      </w:r>
      <w:r w:rsidRPr="001048FE">
        <w:rPr>
          <w:spacing w:val="-21"/>
          <w:lang w:val="sl-SI"/>
        </w:rPr>
        <w:t xml:space="preserve"> </w:t>
      </w:r>
      <w:r w:rsidRPr="001048FE">
        <w:rPr>
          <w:lang w:val="sl-SI"/>
        </w:rPr>
        <w:t>(ECVET).</w:t>
      </w:r>
      <w:r w:rsidRPr="001048FE">
        <w:rPr>
          <w:spacing w:val="-21"/>
          <w:lang w:val="sl-SI"/>
        </w:rPr>
        <w:t xml:space="preserve"> </w:t>
      </w:r>
      <w:r w:rsidRPr="001048FE">
        <w:rPr>
          <w:lang w:val="sl-SI"/>
        </w:rPr>
        <w:t>Spodbujajo sprejem in uporabo sistema ECVET v državah Programa ter zagotavljajo svetovanje pristojnim organom in institucijam na področju poklicnega izobraževanja in</w:t>
      </w:r>
      <w:r w:rsidRPr="001048FE">
        <w:rPr>
          <w:spacing w:val="-29"/>
          <w:lang w:val="sl-SI"/>
        </w:rPr>
        <w:t xml:space="preserve"> </w:t>
      </w:r>
      <w:r w:rsidRPr="001048FE">
        <w:rPr>
          <w:lang w:val="sl-SI"/>
        </w:rPr>
        <w:t>usposabljanja.</w:t>
      </w:r>
    </w:p>
    <w:p w14:paraId="7D3986BA" w14:textId="77777777" w:rsidR="00E03711" w:rsidRDefault="00E03711" w:rsidP="00995E90">
      <w:pPr>
        <w:pStyle w:val="GUIDE-NORMAL"/>
        <w:jc w:val="left"/>
        <w:rPr>
          <w:lang w:val="sl-SI"/>
        </w:rPr>
      </w:pPr>
      <w:r w:rsidRPr="001048FE">
        <w:rPr>
          <w:lang w:val="sl-SI"/>
        </w:rPr>
        <w:t>Več informacij je na voljo na spletišču:</w:t>
      </w:r>
      <w:r w:rsidRPr="001048FE">
        <w:rPr>
          <w:lang w:val="sl-SI"/>
        </w:rPr>
        <w:br/>
      </w:r>
      <w:hyperlink r:id="rId50">
        <w:r w:rsidRPr="001048FE">
          <w:rPr>
            <w:rStyle w:val="Hyperlink"/>
            <w:lang w:val="sl-SI"/>
          </w:rPr>
          <w:t>http://www.ecvet-secretariat.eu</w:t>
        </w:r>
        <w:r w:rsidRPr="001048FE">
          <w:rPr>
            <w:lang w:val="sl-SI"/>
          </w:rPr>
          <w:t>,</w:t>
        </w:r>
      </w:hyperlink>
      <w:r w:rsidRPr="001048FE">
        <w:rPr>
          <w:lang w:val="sl-SI"/>
        </w:rPr>
        <w:br/>
      </w:r>
      <w:hyperlink r:id="rId51">
        <w:r w:rsidRPr="001048FE">
          <w:rPr>
            <w:rStyle w:val="Hyperlink"/>
            <w:lang w:val="sl-SI"/>
          </w:rPr>
          <w:t>http://ec.europa.eu/education/policy/vocational-policy/ecvet_sl.htm</w:t>
        </w:r>
        <w:r w:rsidRPr="001048FE">
          <w:rPr>
            <w:lang w:val="sl-SI"/>
          </w:rPr>
          <w:t>.</w:t>
        </w:r>
      </w:hyperlink>
    </w:p>
    <w:p w14:paraId="7D3986BB" w14:textId="77777777" w:rsidR="00E03711" w:rsidRPr="00FC4A70" w:rsidRDefault="00E03711" w:rsidP="006E61F8">
      <w:pPr>
        <w:pStyle w:val="Guide-Heading4"/>
        <w:rPr>
          <w:lang w:val="sl-SI"/>
        </w:rPr>
      </w:pPr>
      <w:bookmarkStart w:id="98" w:name="_Toc527401112"/>
      <w:r w:rsidRPr="00FC4A70">
        <w:rPr>
          <w:rFonts w:eastAsia="Calibri" w:cs="Calibri"/>
          <w:bCs/>
          <w:szCs w:val="24"/>
          <w:bdr w:val="nil"/>
          <w:lang w:val="sl-SI"/>
        </w:rPr>
        <w:t>Podporni centri SALTO</w:t>
      </w:r>
      <w:bookmarkEnd w:id="98"/>
    </w:p>
    <w:p w14:paraId="7D3986BC" w14:textId="77777777" w:rsidR="00E03711" w:rsidRPr="00FC4A70" w:rsidRDefault="00E03711" w:rsidP="0005224B">
      <w:pPr>
        <w:pStyle w:val="Guide-Heading4"/>
        <w:jc w:val="both"/>
        <w:rPr>
          <w:b w:val="0"/>
          <w:smallCaps w:val="0"/>
          <w:sz w:val="18"/>
          <w:szCs w:val="18"/>
          <w:shd w:val="clear" w:color="auto" w:fill="FFFFFF"/>
          <w:lang w:val="sl-SI" w:eastAsia="en-GB"/>
        </w:rPr>
      </w:pPr>
      <w:bookmarkStart w:id="99" w:name="_Toc527401113"/>
      <w:r w:rsidRPr="00FC4A70">
        <w:rPr>
          <w:rFonts w:eastAsia="Calibri" w:cs="Calibri"/>
          <w:b w:val="0"/>
          <w:smallCaps w:val="0"/>
          <w:sz w:val="18"/>
          <w:szCs w:val="18"/>
          <w:bdr w:val="nil"/>
          <w:shd w:val="clear" w:color="auto" w:fill="FFFFFF"/>
          <w:lang w:val="sl-SI"/>
        </w:rPr>
        <w:t>Cilj podpornih centrov SALTO (Support, Advanced Learning and Training Opportunities [Podpora, priložnosti za napredno učenje in usposabljanje]) je pomagati izboljšati kakovost in vpliv projektov, ki jih financira program Erasmus+.</w:t>
      </w:r>
      <w:bookmarkEnd w:id="99"/>
    </w:p>
    <w:p w14:paraId="7D3986BD" w14:textId="77777777" w:rsidR="00E03711" w:rsidRPr="00FC4A70" w:rsidRDefault="00E03711" w:rsidP="0005224B">
      <w:pPr>
        <w:pStyle w:val="Guide-Heading4"/>
        <w:jc w:val="both"/>
        <w:rPr>
          <w:smallCaps w:val="0"/>
          <w:sz w:val="18"/>
          <w:szCs w:val="18"/>
          <w:shd w:val="clear" w:color="auto" w:fill="FFFFFF"/>
          <w:lang w:val="sl-SI" w:eastAsia="en-GB"/>
        </w:rPr>
      </w:pPr>
      <w:bookmarkStart w:id="100" w:name="_Toc527401114"/>
      <w:r w:rsidRPr="00FC4A70">
        <w:rPr>
          <w:rFonts w:eastAsia="Calibri" w:cs="Calibri"/>
          <w:bCs/>
          <w:smallCaps w:val="0"/>
          <w:sz w:val="18"/>
          <w:szCs w:val="18"/>
          <w:bdr w:val="nil"/>
          <w:shd w:val="clear" w:color="auto" w:fill="FFFFFF"/>
          <w:lang w:val="sl-SI" w:eastAsia="en-GB"/>
        </w:rPr>
        <w:t>MLADINA</w:t>
      </w:r>
      <w:bookmarkEnd w:id="100"/>
    </w:p>
    <w:p w14:paraId="7D3986BE" w14:textId="77777777" w:rsidR="00E03711" w:rsidRPr="00FC4A70" w:rsidRDefault="00E03711" w:rsidP="0005224B">
      <w:pPr>
        <w:pStyle w:val="Guide-Heading4"/>
        <w:jc w:val="both"/>
        <w:rPr>
          <w:lang w:val="sl-SI"/>
        </w:rPr>
      </w:pPr>
      <w:bookmarkStart w:id="101" w:name="_Toc527401115"/>
      <w:r w:rsidRPr="00FC4A70">
        <w:rPr>
          <w:rFonts w:eastAsia="Calibri" w:cs="Calibri"/>
          <w:b w:val="0"/>
          <w:smallCaps w:val="0"/>
          <w:sz w:val="18"/>
          <w:szCs w:val="18"/>
          <w:bdr w:val="nil"/>
          <w:shd w:val="clear" w:color="auto" w:fill="FFFFFF"/>
          <w:lang w:val="sl-SI" w:eastAsia="en-GB"/>
        </w:rPr>
        <w:t>Na področju mladine centri SALTO zagotavljajo znanje in izkušnje, vire, informacije in usposabljanje na specifičnih področjih za nacionalne agencije in druge akterje na področju mladinskega dela in spodbujajo priznavanje neformalnega in priložnostnega učenja. Lahko so usmerjeni tematsko (udeležba in informacije, vključitev in raznolikost, usposabljanje in sodelovanje) ali geografsko (države vzhodnega partnerstva in Rusija, južno Sredozemlje, Zahodni Balkan).</w:t>
      </w:r>
      <w:bookmarkEnd w:id="101"/>
    </w:p>
    <w:p w14:paraId="7D3986BF" w14:textId="77777777" w:rsidR="00E03711" w:rsidRPr="00AC3691" w:rsidRDefault="00E03711" w:rsidP="0005224B">
      <w:pPr>
        <w:pStyle w:val="Guide-Heading4"/>
        <w:jc w:val="both"/>
        <w:rPr>
          <w:lang w:val="es-ES"/>
        </w:rPr>
      </w:pPr>
      <w:bookmarkStart w:id="102" w:name="_Toc527401116"/>
      <w:r w:rsidRPr="00FC4A70">
        <w:rPr>
          <w:rFonts w:eastAsia="Calibri" w:cs="Calibri"/>
          <w:b w:val="0"/>
          <w:smallCaps w:val="0"/>
          <w:sz w:val="18"/>
          <w:szCs w:val="18"/>
          <w:bdr w:val="nil"/>
          <w:shd w:val="clear" w:color="auto" w:fill="FFFFFF"/>
          <w:lang w:val="sl-SI" w:eastAsia="en-GB"/>
        </w:rPr>
        <w:t>Delo centrov za mlade SALTO vključuje:</w:t>
      </w:r>
      <w:bookmarkEnd w:id="102"/>
    </w:p>
    <w:p w14:paraId="7D3986C0" w14:textId="77777777" w:rsidR="00E03711" w:rsidRPr="00AC3691" w:rsidRDefault="00E03711" w:rsidP="005115F2">
      <w:pPr>
        <w:pStyle w:val="Guide-NormalBulletpoints"/>
        <w:numPr>
          <w:ilvl w:val="0"/>
          <w:numId w:val="181"/>
        </w:numPr>
        <w:rPr>
          <w:lang w:val="es-ES"/>
        </w:rPr>
      </w:pPr>
      <w:r w:rsidRPr="00AC3691">
        <w:rPr>
          <w:rFonts w:eastAsia="Calibri"/>
          <w:bdr w:val="nil"/>
          <w:lang w:val="es-ES"/>
        </w:rPr>
        <w:t>organiziranje izobraževalnih tečajev, študijske obiske, forume, sodelovanje in oblikovanje partnerstev;</w:t>
      </w:r>
    </w:p>
    <w:p w14:paraId="7D3986C1" w14:textId="77777777" w:rsidR="00E03711" w:rsidRPr="00AC3691" w:rsidRDefault="00E03711" w:rsidP="005115F2">
      <w:pPr>
        <w:pStyle w:val="Guide-NormalBulletpoints"/>
        <w:numPr>
          <w:ilvl w:val="0"/>
          <w:numId w:val="181"/>
        </w:numPr>
        <w:rPr>
          <w:lang w:val="es-ES"/>
        </w:rPr>
      </w:pPr>
      <w:r w:rsidRPr="00AC3691">
        <w:rPr>
          <w:rFonts w:eastAsia="Calibri"/>
          <w:bdr w:val="nil"/>
          <w:lang w:val="es-ES"/>
        </w:rPr>
        <w:t>razvoj in dokumentiranje usposabljanja ter načinov in orodij mladinskega dela;</w:t>
      </w:r>
    </w:p>
    <w:p w14:paraId="7D3986C2" w14:textId="77777777" w:rsidR="00E03711" w:rsidRPr="00AC3691" w:rsidRDefault="00E03711" w:rsidP="005115F2">
      <w:pPr>
        <w:pStyle w:val="Guide-NormalBulletpoints"/>
        <w:numPr>
          <w:ilvl w:val="0"/>
          <w:numId w:val="181"/>
        </w:numPr>
        <w:rPr>
          <w:lang w:val="es-ES"/>
        </w:rPr>
      </w:pPr>
      <w:r w:rsidRPr="00AC3691">
        <w:rPr>
          <w:rFonts w:eastAsia="Calibri"/>
          <w:bdr w:val="nil"/>
          <w:lang w:val="es-ES"/>
        </w:rPr>
        <w:t>zagotavljanje pregleda evropskih usposabljanj, ki so na voljo mladinskim delavcem, z evropskim koledarjem usposabljanj;</w:t>
      </w:r>
    </w:p>
    <w:p w14:paraId="7D3986C3" w14:textId="77777777" w:rsidR="00E03711" w:rsidRPr="000E24C7" w:rsidRDefault="00E03711" w:rsidP="005115F2">
      <w:pPr>
        <w:pStyle w:val="Guide-NormalBulletpoints"/>
        <w:numPr>
          <w:ilvl w:val="0"/>
          <w:numId w:val="181"/>
        </w:numPr>
        <w:rPr>
          <w:lang w:val="nl-NL"/>
        </w:rPr>
      </w:pPr>
      <w:r w:rsidRPr="000E24C7">
        <w:rPr>
          <w:rFonts w:eastAsia="Calibri"/>
          <w:bdr w:val="nil"/>
          <w:lang w:val="nl-NL"/>
        </w:rPr>
        <w:t>izdajanje praktičnih publikacij in navodil;</w:t>
      </w:r>
    </w:p>
    <w:p w14:paraId="7D3986C4" w14:textId="77777777" w:rsidR="00E03711" w:rsidRPr="00FC4A70" w:rsidRDefault="00E03711" w:rsidP="005115F2">
      <w:pPr>
        <w:pStyle w:val="Guide-NormalBulletpoints"/>
        <w:numPr>
          <w:ilvl w:val="0"/>
          <w:numId w:val="181"/>
        </w:numPr>
        <w:rPr>
          <w:lang w:val="nl-NL"/>
        </w:rPr>
      </w:pPr>
      <w:r w:rsidRPr="00FC4A70">
        <w:rPr>
          <w:rFonts w:eastAsia="Calibri"/>
          <w:bdr w:val="nil"/>
          <w:lang w:val="nl-NL"/>
        </w:rPr>
        <w:t>zagotavljanje najnovejših informacij o evropskem mladinskem delu;</w:t>
      </w:r>
    </w:p>
    <w:p w14:paraId="7D3986C5" w14:textId="77777777" w:rsidR="00E03711" w:rsidRPr="00FC4A70" w:rsidRDefault="00E03711" w:rsidP="005115F2">
      <w:pPr>
        <w:pStyle w:val="Guide-NormalBulletpoints"/>
        <w:numPr>
          <w:ilvl w:val="0"/>
          <w:numId w:val="181"/>
        </w:numPr>
        <w:rPr>
          <w:lang w:val="nl-NL"/>
        </w:rPr>
      </w:pPr>
      <w:r w:rsidRPr="00FC4A70">
        <w:rPr>
          <w:rFonts w:eastAsia="Calibri"/>
          <w:bdr w:val="nil"/>
          <w:lang w:val="nl-NL"/>
        </w:rPr>
        <w:t>zagotavljanje zbirke podatkov o vodjih usposabljanj in strokovnjakih na področju mladinskega dela in usposabljanja;</w:t>
      </w:r>
    </w:p>
    <w:p w14:paraId="7D3986C6" w14:textId="77777777" w:rsidR="00E03711" w:rsidRPr="00FC4A70" w:rsidRDefault="00E03711" w:rsidP="005115F2">
      <w:pPr>
        <w:pStyle w:val="Guide-NormalBulletpoints"/>
        <w:numPr>
          <w:ilvl w:val="0"/>
          <w:numId w:val="181"/>
        </w:numPr>
        <w:rPr>
          <w:lang w:val="nl-NL"/>
        </w:rPr>
      </w:pPr>
      <w:r w:rsidRPr="00FC4A70">
        <w:rPr>
          <w:rFonts w:eastAsia="Calibri"/>
          <w:bdr w:val="nil"/>
          <w:lang w:val="nl-NL"/>
        </w:rPr>
        <w:t>spremljanje akreditacij prostovoljskih organizacij Erasmus+ v sosedskih partnerskih državah EU;</w:t>
      </w:r>
    </w:p>
    <w:p w14:paraId="7D3986C7" w14:textId="77777777" w:rsidR="00E03711" w:rsidRPr="00FC4A70" w:rsidRDefault="00E03711" w:rsidP="005115F2">
      <w:pPr>
        <w:pStyle w:val="Guide-NormalBulletpoints"/>
        <w:numPr>
          <w:ilvl w:val="0"/>
          <w:numId w:val="181"/>
        </w:numPr>
        <w:rPr>
          <w:lang w:val="nl-NL"/>
        </w:rPr>
      </w:pPr>
      <w:r w:rsidRPr="00FC4A70">
        <w:rPr>
          <w:rFonts w:eastAsia="Calibri"/>
          <w:bdr w:val="nil"/>
          <w:lang w:val="nl-NL"/>
        </w:rPr>
        <w:t>koordiniranje izvajanja instrumenta Youthpass, ki podpira preverjanje izidov neformalnih in priložnostnih izobraževanj iz mobilnosti mladih in dejavnosti mladinskega dela.</w:t>
      </w:r>
    </w:p>
    <w:p w14:paraId="7D3986C8" w14:textId="77777777" w:rsidR="00E03711" w:rsidRPr="00FC4A70" w:rsidRDefault="00E03711" w:rsidP="0005224B">
      <w:pPr>
        <w:pStyle w:val="Guide-Heading4"/>
        <w:jc w:val="both"/>
        <w:rPr>
          <w:smallCaps w:val="0"/>
          <w:sz w:val="18"/>
          <w:szCs w:val="18"/>
          <w:shd w:val="clear" w:color="auto" w:fill="FFFFFF"/>
          <w:lang w:val="nl-NL" w:eastAsia="en-GB"/>
        </w:rPr>
      </w:pPr>
      <w:bookmarkStart w:id="103" w:name="_Toc527401117"/>
      <w:r w:rsidRPr="00FC4A70">
        <w:rPr>
          <w:rFonts w:eastAsia="Calibri" w:cs="Calibri"/>
          <w:bCs/>
          <w:smallCaps w:val="0"/>
          <w:sz w:val="18"/>
          <w:szCs w:val="18"/>
          <w:bdr w:val="nil"/>
          <w:shd w:val="clear" w:color="auto" w:fill="FFFFFF"/>
          <w:lang w:val="sl-SI" w:eastAsia="en-GB"/>
        </w:rPr>
        <w:t>IZOBRAŽEVANJE IN USPOSABLJANJE</w:t>
      </w:r>
      <w:bookmarkEnd w:id="103"/>
    </w:p>
    <w:p w14:paraId="7D3986C9" w14:textId="77777777" w:rsidR="00E03711" w:rsidRPr="00FC4A70" w:rsidRDefault="00E03711" w:rsidP="0005224B">
      <w:pPr>
        <w:pStyle w:val="Guide-Heading4"/>
        <w:jc w:val="both"/>
        <w:rPr>
          <w:b w:val="0"/>
          <w:smallCaps w:val="0"/>
          <w:sz w:val="18"/>
          <w:szCs w:val="18"/>
          <w:shd w:val="clear" w:color="auto" w:fill="FFFFFF"/>
          <w:lang w:val="sl-SI" w:eastAsia="en-GB"/>
        </w:rPr>
      </w:pPr>
      <w:bookmarkStart w:id="104" w:name="_Toc527401118"/>
      <w:r w:rsidRPr="00FC4A70">
        <w:rPr>
          <w:rFonts w:eastAsia="Calibri" w:cs="Calibri"/>
          <w:b w:val="0"/>
          <w:smallCaps w:val="0"/>
          <w:sz w:val="18"/>
          <w:szCs w:val="18"/>
          <w:bdr w:val="nil"/>
          <w:shd w:val="clear" w:color="auto" w:fill="FFFFFF"/>
          <w:lang w:val="sl-SI" w:eastAsia="en-GB"/>
        </w:rPr>
        <w:t>Na področju izobraževanja in usposabljanja center SALTO omogoča platformo za evropske dejavnosti evropskega izobraževanja, s ciljem izboljšati kakovost in vpliv programa Erasmus+ na sistemskem nivoju. Te dejavnosti, kot so delavnice, izobraževalni tečaji, seminarji in dejavnosti oblikovanja partnerstev pri prednostnih temah Erasmus+ med drugim omogočajo deležnikom razviti svoje organizacijske sposobnosti za polno izkoriščanje priložnosti Erasmus+, delitev najboljših praks med evropskimi državami, iskanje partnerjev in povečevanje vpliva projektov na evropskem nivoju. Center za izobraževanje in usposabljanje SALTO zagotavlja znanje in izkušnje, vire in informacije o priložnostih za izobraževanje za deležnike in nacionalne agencije na področju izobraževanja in usposabljanja.</w:t>
      </w:r>
      <w:bookmarkEnd w:id="104"/>
    </w:p>
    <w:p w14:paraId="7D3986CA" w14:textId="77777777" w:rsidR="00E03711" w:rsidRDefault="00E03711" w:rsidP="006E61F8">
      <w:pPr>
        <w:pStyle w:val="Guide-Heading4"/>
        <w:jc w:val="both"/>
        <w:rPr>
          <w:rFonts w:eastAsia="Calibri" w:cs="Calibri"/>
          <w:b w:val="0"/>
          <w:smallCaps w:val="0"/>
          <w:color w:val="0000FF"/>
          <w:sz w:val="18"/>
          <w:szCs w:val="18"/>
          <w:u w:val="single"/>
          <w:bdr w:val="nil"/>
          <w:shd w:val="clear" w:color="auto" w:fill="FFFFFF"/>
          <w:lang w:val="sl-SI"/>
        </w:rPr>
      </w:pPr>
      <w:bookmarkStart w:id="105" w:name="_Toc527401119"/>
      <w:r w:rsidRPr="00FC4A70">
        <w:rPr>
          <w:rFonts w:eastAsia="Calibri" w:cs="Calibri"/>
          <w:b w:val="0"/>
          <w:smallCaps w:val="0"/>
          <w:sz w:val="18"/>
          <w:szCs w:val="18"/>
          <w:bdr w:val="nil"/>
          <w:shd w:val="clear" w:color="auto" w:fill="FFFFFF"/>
          <w:lang w:val="sl-SI"/>
        </w:rPr>
        <w:t xml:space="preserve">Več informacij je na voljo na: </w:t>
      </w:r>
      <w:hyperlink r:id="rId52" w:history="1">
        <w:r w:rsidRPr="00FC4A70">
          <w:rPr>
            <w:rFonts w:eastAsia="Calibri" w:cs="Calibri"/>
            <w:b w:val="0"/>
            <w:smallCaps w:val="0"/>
            <w:color w:val="0000FF"/>
            <w:sz w:val="18"/>
            <w:szCs w:val="18"/>
            <w:u w:val="single"/>
            <w:bdr w:val="nil"/>
            <w:shd w:val="clear" w:color="auto" w:fill="FFFFFF"/>
            <w:lang w:val="sl-SI"/>
          </w:rPr>
          <w:t>www.salto-youth.net</w:t>
        </w:r>
      </w:hyperlink>
      <w:r w:rsidRPr="00FC4A70">
        <w:rPr>
          <w:rFonts w:eastAsia="Calibri" w:cs="Calibri"/>
          <w:b w:val="0"/>
          <w:smallCaps w:val="0"/>
          <w:sz w:val="18"/>
          <w:szCs w:val="18"/>
          <w:bdr w:val="nil"/>
          <w:shd w:val="clear" w:color="auto" w:fill="FFFFFF"/>
          <w:lang w:val="sl-SI"/>
        </w:rPr>
        <w:t xml:space="preserve"> in </w:t>
      </w:r>
      <w:hyperlink r:id="rId53" w:history="1">
        <w:r w:rsidRPr="00FC4A70">
          <w:rPr>
            <w:rFonts w:eastAsia="Calibri" w:cs="Calibri"/>
            <w:b w:val="0"/>
            <w:smallCaps w:val="0"/>
            <w:color w:val="0000FF"/>
            <w:sz w:val="18"/>
            <w:szCs w:val="18"/>
            <w:u w:val="single"/>
            <w:bdr w:val="nil"/>
            <w:shd w:val="clear" w:color="auto" w:fill="FFFFFF"/>
            <w:lang w:val="sl-SI"/>
          </w:rPr>
          <w:t>www.salto-et.net</w:t>
        </w:r>
        <w:bookmarkEnd w:id="105"/>
      </w:hyperlink>
    </w:p>
    <w:p w14:paraId="7D3986CB" w14:textId="77777777" w:rsidR="00E03711" w:rsidRPr="001048FE" w:rsidRDefault="00E03711" w:rsidP="00E23D2D">
      <w:pPr>
        <w:pStyle w:val="Guide-Heading4"/>
        <w:rPr>
          <w:lang w:val="sl-SI"/>
        </w:rPr>
      </w:pPr>
      <w:bookmarkStart w:id="106" w:name="_Toc527401120"/>
      <w:r w:rsidRPr="001048FE">
        <w:rPr>
          <w:lang w:val="sl-SI"/>
        </w:rPr>
        <w:t>Otlas – orodje za iskanje partnerjev</w:t>
      </w:r>
      <w:bookmarkEnd w:id="106"/>
    </w:p>
    <w:p w14:paraId="7D3986CC" w14:textId="77777777" w:rsidR="00E03711" w:rsidRPr="001048FE" w:rsidRDefault="00E03711" w:rsidP="00995E90">
      <w:pPr>
        <w:pStyle w:val="GUIDE-NORMAL"/>
        <w:rPr>
          <w:lang w:val="sl-SI"/>
        </w:rPr>
      </w:pPr>
      <w:r w:rsidRPr="001048FE">
        <w:rPr>
          <w:lang w:val="sl-SI"/>
        </w:rPr>
        <w:t>Eno od orodij, ki jih razvijajo in gostijo podporni centri za mladino SALTO, je Otlas, osrednje spletno orodje za iskanje partnerjev, namenjeno organizacijam na področju mladine. Organizacije lahko v orodju Otlas registrirajo svoje kontaktne podatke in področja zanimanja ter ustvarijo zahtevke za partnerje pri projektnih idejah.</w:t>
      </w:r>
    </w:p>
    <w:p w14:paraId="7D3986CD" w14:textId="77777777" w:rsidR="00E03711" w:rsidRPr="001048FE" w:rsidRDefault="00E03711" w:rsidP="00995E90">
      <w:pPr>
        <w:pStyle w:val="GUIDE-NORMAL"/>
        <w:rPr>
          <w:lang w:val="sl-SI"/>
        </w:rPr>
      </w:pPr>
      <w:r w:rsidRPr="001048FE">
        <w:rPr>
          <w:lang w:val="sl-SI"/>
        </w:rPr>
        <w:t xml:space="preserve">Več informacij je na voljo na spletišču: </w:t>
      </w:r>
      <w:hyperlink r:id="rId54" w:history="1">
        <w:r w:rsidRPr="004E4C36">
          <w:rPr>
            <w:rStyle w:val="Hyperlink"/>
            <w:lang w:val="sl-SI"/>
          </w:rPr>
          <w:t>www.salto-youth.net/otlas</w:t>
        </w:r>
      </w:hyperlink>
      <w:r w:rsidRPr="004E4C36">
        <w:rPr>
          <w:lang w:val="sl-SI"/>
        </w:rPr>
        <w:t xml:space="preserve">  ali </w:t>
      </w:r>
      <w:hyperlink r:id="rId55" w:history="1">
        <w:r w:rsidRPr="004E4C36">
          <w:rPr>
            <w:rStyle w:val="Hyperlink"/>
            <w:lang w:val="sl-SI"/>
          </w:rPr>
          <w:t>www.otlas.eu</w:t>
        </w:r>
      </w:hyperlink>
      <w:r w:rsidRPr="001048FE">
        <w:rPr>
          <w:lang w:val="sl-SI"/>
        </w:rPr>
        <w:t>.</w:t>
      </w:r>
    </w:p>
    <w:p w14:paraId="7D3986CE" w14:textId="77777777" w:rsidR="00E03711" w:rsidRPr="001048FE" w:rsidRDefault="00E03711" w:rsidP="00995E90">
      <w:pPr>
        <w:pStyle w:val="Guide-Heading4"/>
        <w:rPr>
          <w:lang w:val="sl-SI"/>
        </w:rPr>
      </w:pPr>
      <w:bookmarkStart w:id="107" w:name="_Toc527401121"/>
      <w:r w:rsidRPr="001048FE">
        <w:rPr>
          <w:lang w:val="sl-SI"/>
        </w:rPr>
        <w:t>Mreža Eurodesk</w:t>
      </w:r>
      <w:bookmarkEnd w:id="107"/>
    </w:p>
    <w:p w14:paraId="7D3986CF" w14:textId="77777777" w:rsidR="00E03711" w:rsidRPr="001048FE" w:rsidRDefault="00E03711" w:rsidP="00995E90">
      <w:pPr>
        <w:pStyle w:val="GUIDE-NORMAL"/>
        <w:rPr>
          <w:lang w:val="sl-SI"/>
        </w:rPr>
      </w:pPr>
      <w:r w:rsidRPr="001048FE">
        <w:rPr>
          <w:lang w:val="sl-SI"/>
        </w:rPr>
        <w:t>Mreža Eurodesk ponuja informacijske storitve mladim in osebam, ki delajo z mladimi, glede evropskih priložnosti na področju izobraževanja, usposabljanja in mladine ter vključevanja mladih v evropske aktivnosti.</w:t>
      </w:r>
    </w:p>
    <w:p w14:paraId="7D3986D0" w14:textId="77777777" w:rsidR="00E03711" w:rsidRPr="001048FE" w:rsidRDefault="00E03711" w:rsidP="00995E90">
      <w:pPr>
        <w:pStyle w:val="GUIDE-NORMAL"/>
        <w:rPr>
          <w:lang w:val="sl-SI"/>
        </w:rPr>
      </w:pPr>
      <w:r w:rsidRPr="001048FE">
        <w:rPr>
          <w:lang w:val="sl-SI"/>
        </w:rPr>
        <w:t>Mreža Eurodesk, ki je prisotna v vseh državah Programa in jo na evropski ravni koordinira urad Eurodesk</w:t>
      </w:r>
      <w:r w:rsidRPr="001048FE">
        <w:rPr>
          <w:spacing w:val="-12"/>
          <w:lang w:val="sl-SI"/>
        </w:rPr>
        <w:t xml:space="preserve"> </w:t>
      </w:r>
      <w:r w:rsidRPr="001048FE">
        <w:rPr>
          <w:lang w:val="sl-SI"/>
        </w:rPr>
        <w:t>v</w:t>
      </w:r>
      <w:r w:rsidRPr="001048FE">
        <w:rPr>
          <w:spacing w:val="-12"/>
          <w:lang w:val="sl-SI"/>
        </w:rPr>
        <w:t xml:space="preserve"> </w:t>
      </w:r>
      <w:r w:rsidRPr="001048FE">
        <w:rPr>
          <w:lang w:val="sl-SI"/>
        </w:rPr>
        <w:t>Bruslju,</w:t>
      </w:r>
      <w:r w:rsidRPr="001048FE">
        <w:rPr>
          <w:spacing w:val="-12"/>
          <w:lang w:val="sl-SI"/>
        </w:rPr>
        <w:t xml:space="preserve"> </w:t>
      </w:r>
      <w:r w:rsidRPr="001048FE">
        <w:rPr>
          <w:lang w:val="sl-SI"/>
        </w:rPr>
        <w:t>ponuja</w:t>
      </w:r>
      <w:r w:rsidRPr="001048FE">
        <w:rPr>
          <w:spacing w:val="-12"/>
          <w:lang w:val="sl-SI"/>
        </w:rPr>
        <w:t xml:space="preserve"> </w:t>
      </w:r>
      <w:r w:rsidRPr="001048FE">
        <w:rPr>
          <w:lang w:val="sl-SI"/>
        </w:rPr>
        <w:t>storitve</w:t>
      </w:r>
      <w:r w:rsidRPr="001048FE">
        <w:rPr>
          <w:spacing w:val="-12"/>
          <w:lang w:val="sl-SI"/>
        </w:rPr>
        <w:t xml:space="preserve"> </w:t>
      </w:r>
      <w:r w:rsidRPr="001048FE">
        <w:rPr>
          <w:lang w:val="sl-SI"/>
        </w:rPr>
        <w:t>odgovarjanja</w:t>
      </w:r>
      <w:r w:rsidRPr="001048FE">
        <w:rPr>
          <w:spacing w:val="-11"/>
          <w:lang w:val="sl-SI"/>
        </w:rPr>
        <w:t xml:space="preserve"> </w:t>
      </w:r>
      <w:r w:rsidRPr="001048FE">
        <w:rPr>
          <w:lang w:val="sl-SI"/>
        </w:rPr>
        <w:t>na</w:t>
      </w:r>
      <w:r w:rsidRPr="001048FE">
        <w:rPr>
          <w:spacing w:val="-12"/>
          <w:lang w:val="sl-SI"/>
        </w:rPr>
        <w:t xml:space="preserve"> </w:t>
      </w:r>
      <w:r w:rsidRPr="001048FE">
        <w:rPr>
          <w:lang w:val="sl-SI"/>
        </w:rPr>
        <w:t>poizvedbe,</w:t>
      </w:r>
      <w:r w:rsidRPr="001048FE">
        <w:rPr>
          <w:spacing w:val="-12"/>
          <w:lang w:val="sl-SI"/>
        </w:rPr>
        <w:t xml:space="preserve"> </w:t>
      </w:r>
      <w:r w:rsidRPr="001048FE">
        <w:rPr>
          <w:lang w:val="sl-SI"/>
        </w:rPr>
        <w:t>informacije</w:t>
      </w:r>
      <w:r w:rsidRPr="001048FE">
        <w:rPr>
          <w:spacing w:val="-12"/>
          <w:lang w:val="sl-SI"/>
        </w:rPr>
        <w:t xml:space="preserve"> </w:t>
      </w:r>
      <w:r w:rsidRPr="001048FE">
        <w:rPr>
          <w:lang w:val="sl-SI"/>
        </w:rPr>
        <w:t>o</w:t>
      </w:r>
      <w:r w:rsidRPr="001048FE">
        <w:rPr>
          <w:spacing w:val="-11"/>
          <w:lang w:val="sl-SI"/>
        </w:rPr>
        <w:t xml:space="preserve"> </w:t>
      </w:r>
      <w:r w:rsidRPr="001048FE">
        <w:rPr>
          <w:lang w:val="sl-SI"/>
        </w:rPr>
        <w:t>sredstvih,</w:t>
      </w:r>
      <w:r w:rsidRPr="001048FE">
        <w:rPr>
          <w:spacing w:val="-12"/>
          <w:lang w:val="sl-SI"/>
        </w:rPr>
        <w:t xml:space="preserve"> </w:t>
      </w:r>
      <w:r w:rsidRPr="001048FE">
        <w:rPr>
          <w:lang w:val="sl-SI"/>
        </w:rPr>
        <w:t>dogodke</w:t>
      </w:r>
      <w:r w:rsidRPr="001048FE">
        <w:rPr>
          <w:spacing w:val="-12"/>
          <w:lang w:val="sl-SI"/>
        </w:rPr>
        <w:t xml:space="preserve"> </w:t>
      </w:r>
      <w:r w:rsidRPr="001048FE">
        <w:rPr>
          <w:lang w:val="sl-SI"/>
        </w:rPr>
        <w:t>in publikacije. Prispeva tudi k delovanju Evropskega mladinskega</w:t>
      </w:r>
      <w:r w:rsidRPr="001048FE">
        <w:rPr>
          <w:spacing w:val="-25"/>
          <w:lang w:val="sl-SI"/>
        </w:rPr>
        <w:t xml:space="preserve"> </w:t>
      </w:r>
      <w:r w:rsidRPr="001048FE">
        <w:rPr>
          <w:lang w:val="sl-SI"/>
        </w:rPr>
        <w:t>portala.</w:t>
      </w:r>
    </w:p>
    <w:p w14:paraId="7D3986D1" w14:textId="77777777" w:rsidR="00E03711" w:rsidRPr="001048FE" w:rsidRDefault="00A6094F" w:rsidP="00995E90">
      <w:pPr>
        <w:pStyle w:val="GUIDE-NORMAL"/>
        <w:rPr>
          <w:lang w:val="sl-SI"/>
        </w:rPr>
      </w:pPr>
      <w:hyperlink r:id="rId56">
        <w:r w:rsidR="00E03711" w:rsidRPr="001048FE">
          <w:rPr>
            <w:rStyle w:val="Hyperlink"/>
            <w:lang w:val="sl-SI"/>
          </w:rPr>
          <w:t>Evropski mladinski portal</w:t>
        </w:r>
        <w:r w:rsidR="00E03711" w:rsidRPr="001048FE">
          <w:rPr>
            <w:lang w:val="sl-SI"/>
          </w:rPr>
          <w:t xml:space="preserve"> </w:t>
        </w:r>
      </w:hyperlink>
      <w:r w:rsidR="00E03711" w:rsidRPr="001048FE">
        <w:rPr>
          <w:lang w:val="sl-SI"/>
        </w:rPr>
        <w:t>ponuja evropske in nacionalne informacije ter priložnosti, ki zanimajo mlade, ki živijo, se učijo ali delajo v Evropi. Zajema informacije o osmih glavnih temah, vključuje 33 držav in je na voljo v 27 jezikih.</w:t>
      </w:r>
    </w:p>
    <w:p w14:paraId="7D3986D2" w14:textId="77777777" w:rsidR="00E03711" w:rsidRPr="001048FE" w:rsidRDefault="00E03711" w:rsidP="00FC4A70">
      <w:pPr>
        <w:pStyle w:val="GUIDE-NORMAL"/>
        <w:rPr>
          <w:lang w:val="sl-SI"/>
        </w:rPr>
      </w:pPr>
      <w:r w:rsidRPr="001048FE">
        <w:rPr>
          <w:lang w:val="sl-SI"/>
        </w:rPr>
        <w:t xml:space="preserve">Evropski mladinski portal je dostopen na naslovu </w:t>
      </w:r>
      <w:hyperlink r:id="rId57">
        <w:r w:rsidRPr="001048FE">
          <w:rPr>
            <w:rStyle w:val="Hyperlink"/>
            <w:lang w:val="sl-SI"/>
          </w:rPr>
          <w:t>https://europa.eu/youth/EU_sl</w:t>
        </w:r>
      </w:hyperlink>
      <w:r w:rsidRPr="001048FE">
        <w:rPr>
          <w:lang w:val="sl-SI"/>
        </w:rPr>
        <w:t>.</w:t>
      </w:r>
      <w:r>
        <w:rPr>
          <w:lang w:val="sl-SI"/>
        </w:rPr>
        <w:t xml:space="preserve"> </w:t>
      </w:r>
      <w:r w:rsidRPr="001048FE">
        <w:rPr>
          <w:lang w:val="sl-SI"/>
        </w:rPr>
        <w:t>Več informacij o mreži Eurodesk je na voljo na spletišču:</w:t>
      </w:r>
      <w:hyperlink w:history="1"/>
      <w:bookmarkStart w:id="108" w:name="Kdo_lahko_sodeluje_v_programu_Erasmus+?"/>
      <w:bookmarkStart w:id="109" w:name="_bookmark12"/>
      <w:bookmarkEnd w:id="108"/>
      <w:bookmarkEnd w:id="109"/>
      <w:r>
        <w:rPr>
          <w:lang w:val="sl-SI"/>
        </w:rPr>
        <w:t xml:space="preserve"> </w:t>
      </w:r>
      <w:hyperlink r:id="rId58" w:history="1">
        <w:r w:rsidRPr="00FC4A70">
          <w:rPr>
            <w:rFonts w:eastAsia="Calibri" w:cs="Calibri"/>
            <w:color w:val="0000FF"/>
            <w:u w:val="single"/>
            <w:bdr w:val="nil"/>
            <w:lang w:val="sl-SI"/>
          </w:rPr>
          <w:t>http://www.eurodesk.eu</w:t>
        </w:r>
      </w:hyperlink>
      <w:r w:rsidRPr="00FC4A70">
        <w:rPr>
          <w:rFonts w:eastAsia="Calibri" w:cs="Calibri"/>
          <w:u w:val="single"/>
          <w:bdr w:val="nil"/>
          <w:lang w:val="sl-SI"/>
        </w:rPr>
        <w:t>.</w:t>
      </w:r>
    </w:p>
    <w:p w14:paraId="7D3986D3" w14:textId="77777777" w:rsidR="00E03711" w:rsidRPr="001048FE" w:rsidRDefault="00E03711" w:rsidP="0025431C">
      <w:pPr>
        <w:pStyle w:val="Guide-Heading2"/>
        <w:rPr>
          <w:lang w:val="sl-SI"/>
        </w:rPr>
        <w:sectPr w:rsidR="00E03711" w:rsidRPr="001048FE" w:rsidSect="007F4890">
          <w:endnotePr>
            <w:numFmt w:val="decimal"/>
          </w:endnotePr>
          <w:pgSz w:w="11910" w:h="16840" w:code="9"/>
          <w:pgMar w:top="1134" w:right="1418" w:bottom="1134" w:left="1418" w:header="283" w:footer="567" w:gutter="0"/>
          <w:cols w:space="720"/>
          <w:docGrid w:linePitch="326"/>
        </w:sectPr>
      </w:pPr>
      <w:bookmarkStart w:id="110" w:name="Qui_peut_participer_au_programme_Erasmus"/>
      <w:bookmarkStart w:id="111" w:name="_bookmark19"/>
      <w:bookmarkEnd w:id="110"/>
      <w:bookmarkEnd w:id="111"/>
    </w:p>
    <w:p w14:paraId="7D3986D4" w14:textId="77777777" w:rsidR="00E03711" w:rsidRPr="001048FE" w:rsidRDefault="00E03711" w:rsidP="0030441A">
      <w:pPr>
        <w:pStyle w:val="Guide-Heading2"/>
        <w:rPr>
          <w:lang w:val="sl-SI"/>
        </w:rPr>
      </w:pPr>
      <w:bookmarkStart w:id="112" w:name="_Toc527400902"/>
      <w:bookmarkStart w:id="113" w:name="_Toc527401122"/>
      <w:r w:rsidRPr="001048FE">
        <w:rPr>
          <w:lang w:val="sl-SI"/>
        </w:rPr>
        <w:t>Kdo lahko sodeluje v programu Erasmus+?</w:t>
      </w:r>
      <w:bookmarkEnd w:id="112"/>
      <w:bookmarkEnd w:id="113"/>
    </w:p>
    <w:p w14:paraId="7D3986D5" w14:textId="77777777" w:rsidR="00E03711" w:rsidRPr="001048FE" w:rsidRDefault="00E03711" w:rsidP="00995E90">
      <w:pPr>
        <w:pStyle w:val="GUIDE-NORMAL"/>
        <w:rPr>
          <w:lang w:val="sl-SI"/>
        </w:rPr>
      </w:pPr>
      <w:r w:rsidRPr="001048FE">
        <w:rPr>
          <w:lang w:val="sl-SI"/>
        </w:rPr>
        <w:t>Posamezniki – študenti, praktikanti, vajenci, dijaki, učeči se odrasli, mladi, prostovoljci, profesorji, učitelji, vodje usposabljanj, mladinski delavci, strokovnjaki organizacij, ki so aktivne na področju izobraževanja, usposabljanja in mladine, so glavna ciljna populacija Programa. Program doseže te posameznike prek organizacij, institucij, organov ali skupin, ki organizirajo take aktivnosti. Pogoji dostopa do Programa so torej povezani z naslednjima dvema akterjema: „udeleženci“ (posamezniki, ki sodelujejo v Programu) in „sodelujočimi organizacijami“ (vključno s skupinami vsaj štirih mladih, ki so aktivne na področju mladinskega dela, vendar ne nujno v okviru mladinskih</w:t>
      </w:r>
      <w:r w:rsidRPr="001048FE">
        <w:rPr>
          <w:spacing w:val="-12"/>
          <w:lang w:val="sl-SI"/>
        </w:rPr>
        <w:t xml:space="preserve"> </w:t>
      </w:r>
      <w:r w:rsidRPr="001048FE">
        <w:rPr>
          <w:lang w:val="sl-SI"/>
        </w:rPr>
        <w:t>organizacij;</w:t>
      </w:r>
      <w:r w:rsidRPr="001048FE">
        <w:rPr>
          <w:spacing w:val="-11"/>
          <w:lang w:val="sl-SI"/>
        </w:rPr>
        <w:t xml:space="preserve"> </w:t>
      </w:r>
      <w:r w:rsidRPr="001048FE">
        <w:rPr>
          <w:lang w:val="sl-SI"/>
        </w:rPr>
        <w:t>imenujemo</w:t>
      </w:r>
      <w:r w:rsidRPr="001048FE">
        <w:rPr>
          <w:spacing w:val="-12"/>
          <w:lang w:val="sl-SI"/>
        </w:rPr>
        <w:t xml:space="preserve"> </w:t>
      </w:r>
      <w:r w:rsidRPr="001048FE">
        <w:rPr>
          <w:lang w:val="sl-SI"/>
        </w:rPr>
        <w:t>jih</w:t>
      </w:r>
      <w:r w:rsidRPr="001048FE">
        <w:rPr>
          <w:spacing w:val="-12"/>
          <w:lang w:val="sl-SI"/>
        </w:rPr>
        <w:t xml:space="preserve"> </w:t>
      </w:r>
      <w:r w:rsidRPr="001048FE">
        <w:rPr>
          <w:lang w:val="sl-SI"/>
        </w:rPr>
        <w:t>tudi</w:t>
      </w:r>
      <w:r w:rsidRPr="001048FE">
        <w:rPr>
          <w:spacing w:val="-12"/>
          <w:lang w:val="sl-SI"/>
        </w:rPr>
        <w:t xml:space="preserve"> </w:t>
      </w:r>
      <w:r w:rsidRPr="001048FE">
        <w:rPr>
          <w:lang w:val="sl-SI"/>
        </w:rPr>
        <w:t>neformalne</w:t>
      </w:r>
      <w:r w:rsidRPr="001048FE">
        <w:rPr>
          <w:spacing w:val="-12"/>
          <w:lang w:val="sl-SI"/>
        </w:rPr>
        <w:t xml:space="preserve"> </w:t>
      </w:r>
      <w:r w:rsidRPr="001048FE">
        <w:rPr>
          <w:lang w:val="sl-SI"/>
        </w:rPr>
        <w:t>skupine</w:t>
      </w:r>
      <w:r w:rsidRPr="001048FE">
        <w:rPr>
          <w:spacing w:val="-12"/>
          <w:lang w:val="sl-SI"/>
        </w:rPr>
        <w:t xml:space="preserve"> </w:t>
      </w:r>
      <w:r w:rsidRPr="001048FE">
        <w:rPr>
          <w:lang w:val="sl-SI"/>
        </w:rPr>
        <w:t>mladih).</w:t>
      </w:r>
      <w:r w:rsidRPr="001048FE">
        <w:rPr>
          <w:spacing w:val="-12"/>
          <w:lang w:val="sl-SI"/>
        </w:rPr>
        <w:t xml:space="preserve"> </w:t>
      </w:r>
      <w:r w:rsidRPr="001048FE">
        <w:rPr>
          <w:lang w:val="sl-SI"/>
        </w:rPr>
        <w:t>Za</w:t>
      </w:r>
      <w:r w:rsidRPr="001048FE">
        <w:rPr>
          <w:spacing w:val="-12"/>
          <w:lang w:val="sl-SI"/>
        </w:rPr>
        <w:t xml:space="preserve"> </w:t>
      </w:r>
      <w:r w:rsidRPr="001048FE">
        <w:rPr>
          <w:lang w:val="sl-SI"/>
        </w:rPr>
        <w:t>udeležence</w:t>
      </w:r>
      <w:r w:rsidRPr="001048FE">
        <w:rPr>
          <w:spacing w:val="-12"/>
          <w:lang w:val="sl-SI"/>
        </w:rPr>
        <w:t xml:space="preserve"> </w:t>
      </w:r>
      <w:r w:rsidRPr="001048FE">
        <w:rPr>
          <w:lang w:val="sl-SI"/>
        </w:rPr>
        <w:t>in</w:t>
      </w:r>
      <w:r w:rsidRPr="001048FE">
        <w:rPr>
          <w:spacing w:val="-12"/>
          <w:lang w:val="sl-SI"/>
        </w:rPr>
        <w:t xml:space="preserve"> </w:t>
      </w:r>
      <w:r w:rsidRPr="001048FE">
        <w:rPr>
          <w:lang w:val="sl-SI"/>
        </w:rPr>
        <w:t>sodelujoče organizacije</w:t>
      </w:r>
      <w:r w:rsidRPr="001048FE">
        <w:rPr>
          <w:spacing w:val="-6"/>
          <w:lang w:val="sl-SI"/>
        </w:rPr>
        <w:t xml:space="preserve"> </w:t>
      </w:r>
      <w:r w:rsidRPr="001048FE">
        <w:rPr>
          <w:lang w:val="sl-SI"/>
        </w:rPr>
        <w:t>so</w:t>
      </w:r>
      <w:r w:rsidRPr="001048FE">
        <w:rPr>
          <w:spacing w:val="-6"/>
          <w:lang w:val="sl-SI"/>
        </w:rPr>
        <w:t xml:space="preserve"> </w:t>
      </w:r>
      <w:r w:rsidRPr="001048FE">
        <w:rPr>
          <w:lang w:val="sl-SI"/>
        </w:rPr>
        <w:t>pogoji</w:t>
      </w:r>
      <w:r w:rsidRPr="001048FE">
        <w:rPr>
          <w:spacing w:val="-6"/>
          <w:lang w:val="sl-SI"/>
        </w:rPr>
        <w:t xml:space="preserve"> </w:t>
      </w:r>
      <w:r w:rsidRPr="001048FE">
        <w:rPr>
          <w:lang w:val="sl-SI"/>
        </w:rPr>
        <w:t>za</w:t>
      </w:r>
      <w:r w:rsidRPr="001048FE">
        <w:rPr>
          <w:spacing w:val="-6"/>
          <w:lang w:val="sl-SI"/>
        </w:rPr>
        <w:t xml:space="preserve"> </w:t>
      </w:r>
      <w:r w:rsidRPr="001048FE">
        <w:rPr>
          <w:lang w:val="sl-SI"/>
        </w:rPr>
        <w:t>udeležbo</w:t>
      </w:r>
      <w:r w:rsidRPr="001048FE">
        <w:rPr>
          <w:spacing w:val="-6"/>
          <w:lang w:val="sl-SI"/>
        </w:rPr>
        <w:t xml:space="preserve"> </w:t>
      </w:r>
      <w:r w:rsidRPr="001048FE">
        <w:rPr>
          <w:lang w:val="sl-SI"/>
        </w:rPr>
        <w:t>odvisni</w:t>
      </w:r>
      <w:r w:rsidRPr="001048FE">
        <w:rPr>
          <w:spacing w:val="-6"/>
          <w:lang w:val="sl-SI"/>
        </w:rPr>
        <w:t xml:space="preserve"> </w:t>
      </w:r>
      <w:r w:rsidRPr="001048FE">
        <w:rPr>
          <w:lang w:val="sl-SI"/>
        </w:rPr>
        <w:t>od</w:t>
      </w:r>
      <w:r w:rsidRPr="001048FE">
        <w:rPr>
          <w:spacing w:val="-6"/>
          <w:lang w:val="sl-SI"/>
        </w:rPr>
        <w:t xml:space="preserve"> </w:t>
      </w:r>
      <w:r w:rsidRPr="001048FE">
        <w:rPr>
          <w:lang w:val="sl-SI"/>
        </w:rPr>
        <w:t>države,</w:t>
      </w:r>
      <w:r w:rsidRPr="001048FE">
        <w:rPr>
          <w:spacing w:val="-6"/>
          <w:lang w:val="sl-SI"/>
        </w:rPr>
        <w:t xml:space="preserve"> </w:t>
      </w:r>
      <w:r w:rsidRPr="001048FE">
        <w:rPr>
          <w:lang w:val="sl-SI"/>
        </w:rPr>
        <w:t>kjer</w:t>
      </w:r>
      <w:r w:rsidRPr="001048FE">
        <w:rPr>
          <w:spacing w:val="-6"/>
          <w:lang w:val="sl-SI"/>
        </w:rPr>
        <w:t xml:space="preserve"> </w:t>
      </w:r>
      <w:r w:rsidRPr="001048FE">
        <w:rPr>
          <w:lang w:val="sl-SI"/>
        </w:rPr>
        <w:t>prebivajo</w:t>
      </w:r>
      <w:r w:rsidRPr="001048FE">
        <w:rPr>
          <w:spacing w:val="-6"/>
          <w:lang w:val="sl-SI"/>
        </w:rPr>
        <w:t xml:space="preserve"> </w:t>
      </w:r>
      <w:r w:rsidRPr="001048FE">
        <w:rPr>
          <w:lang w:val="sl-SI"/>
        </w:rPr>
        <w:t>ali</w:t>
      </w:r>
      <w:r w:rsidRPr="001048FE">
        <w:rPr>
          <w:spacing w:val="-6"/>
          <w:lang w:val="sl-SI"/>
        </w:rPr>
        <w:t xml:space="preserve"> </w:t>
      </w:r>
      <w:r w:rsidRPr="001048FE">
        <w:rPr>
          <w:lang w:val="sl-SI"/>
        </w:rPr>
        <w:t>imajo</w:t>
      </w:r>
      <w:r w:rsidRPr="001048FE">
        <w:rPr>
          <w:spacing w:val="-6"/>
          <w:lang w:val="sl-SI"/>
        </w:rPr>
        <w:t xml:space="preserve"> </w:t>
      </w:r>
      <w:r w:rsidRPr="001048FE">
        <w:rPr>
          <w:lang w:val="sl-SI"/>
        </w:rPr>
        <w:t>sedež.</w:t>
      </w:r>
    </w:p>
    <w:p w14:paraId="7D3986D6" w14:textId="77777777" w:rsidR="00E03711" w:rsidRPr="001048FE" w:rsidRDefault="00E03711" w:rsidP="0030441A">
      <w:pPr>
        <w:pStyle w:val="Guide-Heading3"/>
        <w:rPr>
          <w:lang w:val="sl-SI"/>
        </w:rPr>
      </w:pPr>
      <w:bookmarkStart w:id="114" w:name="Udeleženci"/>
      <w:bookmarkStart w:id="115" w:name="_Toc527400903"/>
      <w:bookmarkStart w:id="116" w:name="_Toc527401123"/>
      <w:bookmarkEnd w:id="114"/>
      <w:r w:rsidRPr="001048FE">
        <w:rPr>
          <w:lang w:val="sl-SI"/>
        </w:rPr>
        <w:t>Udeleženci</w:t>
      </w:r>
      <w:bookmarkEnd w:id="115"/>
      <w:bookmarkEnd w:id="116"/>
    </w:p>
    <w:p w14:paraId="7D3986D7" w14:textId="77777777" w:rsidR="00E03711" w:rsidRPr="001048FE" w:rsidRDefault="00E03711" w:rsidP="00995E90">
      <w:pPr>
        <w:pStyle w:val="GUIDE-NORMAL"/>
        <w:rPr>
          <w:lang w:val="sl-SI"/>
        </w:rPr>
      </w:pPr>
      <w:r w:rsidRPr="001048FE">
        <w:rPr>
          <w:lang w:val="sl-SI"/>
        </w:rPr>
        <w:t>Praviloma morajo udeleženci projektov Erasmus+ prebivati v državi Programa. Udeleženci iz partnerskih držav lahko tudi sodelujejo v nekaterih ukrepih, zlasti na področju visokošolskega izobraževanja in mladine.</w:t>
      </w:r>
    </w:p>
    <w:p w14:paraId="7D3986D8" w14:textId="77777777" w:rsidR="00E03711" w:rsidRPr="001048FE" w:rsidRDefault="00E03711" w:rsidP="00995E90">
      <w:pPr>
        <w:pStyle w:val="GUIDE-NORMAL"/>
        <w:rPr>
          <w:lang w:val="sl-SI"/>
        </w:rPr>
      </w:pPr>
      <w:r w:rsidRPr="001048FE">
        <w:rPr>
          <w:lang w:val="sl-SI"/>
        </w:rPr>
        <w:t>Posebni pogoji za sodelovanje v projektu Erasmus+ so odvisni od posamezne vrste ukrepa. Na splošno velja:</w:t>
      </w:r>
    </w:p>
    <w:p w14:paraId="7D3986D9" w14:textId="77777777" w:rsidR="00E03711" w:rsidRPr="001048FE" w:rsidRDefault="00E03711" w:rsidP="005115F2">
      <w:pPr>
        <w:pStyle w:val="Guide-NormalBulletpoints"/>
        <w:numPr>
          <w:ilvl w:val="0"/>
          <w:numId w:val="345"/>
        </w:numPr>
        <w:rPr>
          <w:lang w:val="sl-SI"/>
        </w:rPr>
      </w:pPr>
      <w:r w:rsidRPr="001048FE">
        <w:rPr>
          <w:lang w:val="sl-SI"/>
        </w:rPr>
        <w:t>za projekte na področju visokošolskega izobraževanja so glavne ciljne skupine: študenti v visokošolskem izobraževanju (kratkega cikla, prve, druge ali tretje stopnje), učitelji, profesorji in osebje v visokošolskem izobraževanju ali visokošolske institucije, vodje usposabljanj in strokovnjaki v</w:t>
      </w:r>
      <w:r w:rsidRPr="001048FE">
        <w:rPr>
          <w:spacing w:val="3"/>
          <w:lang w:val="sl-SI"/>
        </w:rPr>
        <w:t xml:space="preserve"> </w:t>
      </w:r>
      <w:r w:rsidRPr="001048FE">
        <w:rPr>
          <w:lang w:val="sl-SI"/>
        </w:rPr>
        <w:t>podjetjih;</w:t>
      </w:r>
    </w:p>
    <w:p w14:paraId="7D3986DA" w14:textId="77777777" w:rsidR="00E03711" w:rsidRPr="001048FE" w:rsidRDefault="00E03711" w:rsidP="005115F2">
      <w:pPr>
        <w:pStyle w:val="Guide-NormalBulletpoints"/>
        <w:numPr>
          <w:ilvl w:val="0"/>
          <w:numId w:val="345"/>
        </w:numPr>
        <w:rPr>
          <w:lang w:val="sl-SI"/>
        </w:rPr>
      </w:pPr>
      <w:r w:rsidRPr="001048FE">
        <w:rPr>
          <w:lang w:val="sl-SI"/>
        </w:rPr>
        <w:t>za</w:t>
      </w:r>
      <w:r w:rsidRPr="001048FE">
        <w:rPr>
          <w:spacing w:val="-15"/>
          <w:lang w:val="sl-SI"/>
        </w:rPr>
        <w:t xml:space="preserve"> </w:t>
      </w:r>
      <w:r w:rsidRPr="001048FE">
        <w:rPr>
          <w:lang w:val="sl-SI"/>
        </w:rPr>
        <w:t>projekte</w:t>
      </w:r>
      <w:r w:rsidRPr="001048FE">
        <w:rPr>
          <w:spacing w:val="-15"/>
          <w:lang w:val="sl-SI"/>
        </w:rPr>
        <w:t xml:space="preserve"> </w:t>
      </w:r>
      <w:r w:rsidRPr="001048FE">
        <w:rPr>
          <w:lang w:val="sl-SI"/>
        </w:rPr>
        <w:t>na</w:t>
      </w:r>
      <w:r w:rsidRPr="001048FE">
        <w:rPr>
          <w:spacing w:val="-15"/>
          <w:lang w:val="sl-SI"/>
        </w:rPr>
        <w:t xml:space="preserve"> </w:t>
      </w:r>
      <w:r w:rsidRPr="001048FE">
        <w:rPr>
          <w:lang w:val="sl-SI"/>
        </w:rPr>
        <w:t>področju</w:t>
      </w:r>
      <w:r w:rsidRPr="001048FE">
        <w:rPr>
          <w:spacing w:val="-15"/>
          <w:lang w:val="sl-SI"/>
        </w:rPr>
        <w:t xml:space="preserve"> </w:t>
      </w:r>
      <w:r w:rsidRPr="001048FE">
        <w:rPr>
          <w:lang w:val="sl-SI"/>
        </w:rPr>
        <w:t>poklicnega</w:t>
      </w:r>
      <w:r w:rsidRPr="001048FE">
        <w:rPr>
          <w:spacing w:val="-15"/>
          <w:lang w:val="sl-SI"/>
        </w:rPr>
        <w:t xml:space="preserve"> </w:t>
      </w:r>
      <w:r w:rsidRPr="001048FE">
        <w:rPr>
          <w:lang w:val="sl-SI"/>
        </w:rPr>
        <w:t>izobraževanja</w:t>
      </w:r>
      <w:r w:rsidRPr="001048FE">
        <w:rPr>
          <w:spacing w:val="-15"/>
          <w:lang w:val="sl-SI"/>
        </w:rPr>
        <w:t xml:space="preserve"> </w:t>
      </w:r>
      <w:r w:rsidRPr="001048FE">
        <w:rPr>
          <w:lang w:val="sl-SI"/>
        </w:rPr>
        <w:t>in</w:t>
      </w:r>
      <w:r w:rsidRPr="001048FE">
        <w:rPr>
          <w:spacing w:val="-15"/>
          <w:lang w:val="sl-SI"/>
        </w:rPr>
        <w:t xml:space="preserve"> </w:t>
      </w:r>
      <w:r w:rsidRPr="001048FE">
        <w:rPr>
          <w:lang w:val="sl-SI"/>
        </w:rPr>
        <w:t>usposabljanja</w:t>
      </w:r>
      <w:r w:rsidRPr="001048FE">
        <w:rPr>
          <w:spacing w:val="-15"/>
          <w:lang w:val="sl-SI"/>
        </w:rPr>
        <w:t xml:space="preserve"> </w:t>
      </w:r>
      <w:r w:rsidRPr="001048FE">
        <w:rPr>
          <w:lang w:val="sl-SI"/>
        </w:rPr>
        <w:t>so</w:t>
      </w:r>
      <w:r w:rsidRPr="001048FE">
        <w:rPr>
          <w:spacing w:val="-15"/>
          <w:lang w:val="sl-SI"/>
        </w:rPr>
        <w:t xml:space="preserve"> </w:t>
      </w:r>
      <w:r w:rsidRPr="001048FE">
        <w:rPr>
          <w:lang w:val="sl-SI"/>
        </w:rPr>
        <w:t>glavne</w:t>
      </w:r>
      <w:r w:rsidRPr="001048FE">
        <w:rPr>
          <w:spacing w:val="-15"/>
          <w:lang w:val="sl-SI"/>
        </w:rPr>
        <w:t xml:space="preserve"> </w:t>
      </w:r>
      <w:r w:rsidRPr="001048FE">
        <w:rPr>
          <w:lang w:val="sl-SI"/>
        </w:rPr>
        <w:t>ciljne</w:t>
      </w:r>
      <w:r w:rsidRPr="001048FE">
        <w:rPr>
          <w:spacing w:val="-15"/>
          <w:lang w:val="sl-SI"/>
        </w:rPr>
        <w:t xml:space="preserve"> </w:t>
      </w:r>
      <w:r w:rsidRPr="001048FE">
        <w:rPr>
          <w:lang w:val="sl-SI"/>
        </w:rPr>
        <w:t>skupine: vajenci in dijaki poklicnega izobraževanja, strokovnjaki in vodje usposabljanj v poklicnem izobraževanju,</w:t>
      </w:r>
      <w:r w:rsidRPr="001048FE">
        <w:rPr>
          <w:spacing w:val="-20"/>
          <w:lang w:val="sl-SI"/>
        </w:rPr>
        <w:t xml:space="preserve"> </w:t>
      </w:r>
      <w:r w:rsidRPr="001048FE">
        <w:rPr>
          <w:lang w:val="sl-SI"/>
        </w:rPr>
        <w:t>osebje</w:t>
      </w:r>
      <w:r w:rsidRPr="001048FE">
        <w:rPr>
          <w:spacing w:val="-20"/>
          <w:lang w:val="sl-SI"/>
        </w:rPr>
        <w:t xml:space="preserve"> </w:t>
      </w:r>
      <w:r w:rsidRPr="001048FE">
        <w:rPr>
          <w:lang w:val="sl-SI"/>
        </w:rPr>
        <w:t>organizacij</w:t>
      </w:r>
      <w:r w:rsidRPr="001048FE">
        <w:rPr>
          <w:spacing w:val="-20"/>
          <w:lang w:val="sl-SI"/>
        </w:rPr>
        <w:t xml:space="preserve"> </w:t>
      </w:r>
      <w:r w:rsidRPr="001048FE">
        <w:rPr>
          <w:lang w:val="sl-SI"/>
        </w:rPr>
        <w:t>za</w:t>
      </w:r>
      <w:r w:rsidRPr="001048FE">
        <w:rPr>
          <w:spacing w:val="-20"/>
          <w:lang w:val="sl-SI"/>
        </w:rPr>
        <w:t xml:space="preserve"> </w:t>
      </w:r>
      <w:r w:rsidRPr="001048FE">
        <w:rPr>
          <w:lang w:val="sl-SI"/>
        </w:rPr>
        <w:t>začetno</w:t>
      </w:r>
      <w:r w:rsidRPr="001048FE">
        <w:rPr>
          <w:spacing w:val="-20"/>
          <w:lang w:val="sl-SI"/>
        </w:rPr>
        <w:t xml:space="preserve"> </w:t>
      </w:r>
      <w:r w:rsidRPr="001048FE">
        <w:rPr>
          <w:lang w:val="sl-SI"/>
        </w:rPr>
        <w:t>poklicno</w:t>
      </w:r>
      <w:r w:rsidRPr="001048FE">
        <w:rPr>
          <w:spacing w:val="-20"/>
          <w:lang w:val="sl-SI"/>
        </w:rPr>
        <w:t xml:space="preserve"> </w:t>
      </w:r>
      <w:r w:rsidRPr="001048FE">
        <w:rPr>
          <w:lang w:val="sl-SI"/>
        </w:rPr>
        <w:t>izobraževanje,</w:t>
      </w:r>
      <w:r w:rsidRPr="001048FE">
        <w:rPr>
          <w:spacing w:val="-20"/>
          <w:lang w:val="sl-SI"/>
        </w:rPr>
        <w:t xml:space="preserve"> </w:t>
      </w:r>
      <w:r w:rsidRPr="001048FE">
        <w:rPr>
          <w:lang w:val="sl-SI"/>
        </w:rPr>
        <w:t>vodje</w:t>
      </w:r>
      <w:r w:rsidRPr="001048FE">
        <w:rPr>
          <w:spacing w:val="-20"/>
          <w:lang w:val="sl-SI"/>
        </w:rPr>
        <w:t xml:space="preserve"> </w:t>
      </w:r>
      <w:r w:rsidRPr="001048FE">
        <w:rPr>
          <w:lang w:val="sl-SI"/>
        </w:rPr>
        <w:t>usposabljanj</w:t>
      </w:r>
      <w:r w:rsidRPr="001048FE">
        <w:rPr>
          <w:spacing w:val="-20"/>
          <w:lang w:val="sl-SI"/>
        </w:rPr>
        <w:t xml:space="preserve"> </w:t>
      </w:r>
      <w:r w:rsidRPr="001048FE">
        <w:rPr>
          <w:lang w:val="sl-SI"/>
        </w:rPr>
        <w:t>in strokovnjaki v</w:t>
      </w:r>
      <w:r w:rsidRPr="001048FE">
        <w:rPr>
          <w:spacing w:val="-4"/>
          <w:lang w:val="sl-SI"/>
        </w:rPr>
        <w:t xml:space="preserve"> </w:t>
      </w:r>
      <w:r w:rsidRPr="001048FE">
        <w:rPr>
          <w:lang w:val="sl-SI"/>
        </w:rPr>
        <w:t>podjetjih;</w:t>
      </w:r>
    </w:p>
    <w:p w14:paraId="7D3986DB" w14:textId="77777777" w:rsidR="00E03711" w:rsidRPr="001048FE" w:rsidRDefault="00E03711" w:rsidP="005115F2">
      <w:pPr>
        <w:pStyle w:val="Guide-NormalBulletpoints"/>
        <w:numPr>
          <w:ilvl w:val="0"/>
          <w:numId w:val="345"/>
        </w:numPr>
        <w:rPr>
          <w:lang w:val="sl-SI"/>
        </w:rPr>
      </w:pPr>
      <w:r w:rsidRPr="001048FE">
        <w:rPr>
          <w:lang w:val="sl-SI"/>
        </w:rPr>
        <w:t>za</w:t>
      </w:r>
      <w:r w:rsidRPr="001048FE">
        <w:rPr>
          <w:spacing w:val="-15"/>
          <w:lang w:val="sl-SI"/>
        </w:rPr>
        <w:t xml:space="preserve"> </w:t>
      </w:r>
      <w:r w:rsidRPr="001048FE">
        <w:rPr>
          <w:lang w:val="sl-SI"/>
        </w:rPr>
        <w:t>projekte</w:t>
      </w:r>
      <w:r w:rsidRPr="001048FE">
        <w:rPr>
          <w:spacing w:val="-15"/>
          <w:lang w:val="sl-SI"/>
        </w:rPr>
        <w:t xml:space="preserve"> </w:t>
      </w:r>
      <w:r w:rsidRPr="001048FE">
        <w:rPr>
          <w:lang w:val="sl-SI"/>
        </w:rPr>
        <w:t>na</w:t>
      </w:r>
      <w:r w:rsidRPr="001048FE">
        <w:rPr>
          <w:spacing w:val="-15"/>
          <w:lang w:val="sl-SI"/>
        </w:rPr>
        <w:t xml:space="preserve"> </w:t>
      </w:r>
      <w:r w:rsidRPr="001048FE">
        <w:rPr>
          <w:lang w:val="sl-SI"/>
        </w:rPr>
        <w:t>področju</w:t>
      </w:r>
      <w:r w:rsidRPr="001048FE">
        <w:rPr>
          <w:spacing w:val="-15"/>
          <w:lang w:val="sl-SI"/>
        </w:rPr>
        <w:t xml:space="preserve"> </w:t>
      </w:r>
      <w:r w:rsidRPr="001048FE">
        <w:rPr>
          <w:lang w:val="sl-SI"/>
        </w:rPr>
        <w:t>šolskega</w:t>
      </w:r>
      <w:r w:rsidRPr="001048FE">
        <w:rPr>
          <w:spacing w:val="-15"/>
          <w:lang w:val="sl-SI"/>
        </w:rPr>
        <w:t xml:space="preserve"> </w:t>
      </w:r>
      <w:r w:rsidRPr="001048FE">
        <w:rPr>
          <w:lang w:val="sl-SI"/>
        </w:rPr>
        <w:t>izobraževanja</w:t>
      </w:r>
      <w:r w:rsidRPr="001048FE">
        <w:rPr>
          <w:spacing w:val="-15"/>
          <w:lang w:val="sl-SI"/>
        </w:rPr>
        <w:t xml:space="preserve"> </w:t>
      </w:r>
      <w:r w:rsidRPr="001048FE">
        <w:rPr>
          <w:lang w:val="sl-SI"/>
        </w:rPr>
        <w:t>so</w:t>
      </w:r>
      <w:r w:rsidRPr="001048FE">
        <w:rPr>
          <w:spacing w:val="-15"/>
          <w:lang w:val="sl-SI"/>
        </w:rPr>
        <w:t xml:space="preserve"> </w:t>
      </w:r>
      <w:r w:rsidRPr="001048FE">
        <w:rPr>
          <w:lang w:val="sl-SI"/>
        </w:rPr>
        <w:t>glavne</w:t>
      </w:r>
      <w:r w:rsidRPr="001048FE">
        <w:rPr>
          <w:spacing w:val="-15"/>
          <w:lang w:val="sl-SI"/>
        </w:rPr>
        <w:t xml:space="preserve"> </w:t>
      </w:r>
      <w:r w:rsidRPr="001048FE">
        <w:rPr>
          <w:lang w:val="sl-SI"/>
        </w:rPr>
        <w:t>ciljne</w:t>
      </w:r>
      <w:r w:rsidRPr="001048FE">
        <w:rPr>
          <w:spacing w:val="-15"/>
          <w:lang w:val="sl-SI"/>
        </w:rPr>
        <w:t xml:space="preserve"> </w:t>
      </w:r>
      <w:r w:rsidRPr="001048FE">
        <w:rPr>
          <w:lang w:val="sl-SI"/>
        </w:rPr>
        <w:t>skupine:</w:t>
      </w:r>
      <w:r w:rsidRPr="001048FE">
        <w:rPr>
          <w:spacing w:val="-15"/>
          <w:lang w:val="sl-SI"/>
        </w:rPr>
        <w:t xml:space="preserve"> </w:t>
      </w:r>
      <w:r w:rsidRPr="001048FE">
        <w:rPr>
          <w:lang w:val="sl-SI"/>
        </w:rPr>
        <w:t>ravnatelji,</w:t>
      </w:r>
      <w:r w:rsidRPr="001048FE">
        <w:rPr>
          <w:spacing w:val="-15"/>
          <w:lang w:val="sl-SI"/>
        </w:rPr>
        <w:t xml:space="preserve"> </w:t>
      </w:r>
      <w:r w:rsidRPr="001048FE">
        <w:rPr>
          <w:lang w:val="sl-SI"/>
        </w:rPr>
        <w:t>šolski učitelji in osebje, otroci/učenci/dijaki v predšolskem, osnovnošolskem in srednješolskem izobraževanju;</w:t>
      </w:r>
    </w:p>
    <w:p w14:paraId="7D3986DC" w14:textId="77777777" w:rsidR="00E03711" w:rsidRPr="001048FE" w:rsidRDefault="00E03711" w:rsidP="005115F2">
      <w:pPr>
        <w:pStyle w:val="Guide-NormalBulletpoints"/>
        <w:numPr>
          <w:ilvl w:val="0"/>
          <w:numId w:val="345"/>
        </w:numPr>
        <w:rPr>
          <w:lang w:val="sl-SI"/>
        </w:rPr>
      </w:pPr>
      <w:r w:rsidRPr="001048FE">
        <w:rPr>
          <w:lang w:val="sl-SI"/>
        </w:rPr>
        <w:t>za projekte na področju izobraževanja odraslih so glavne ciljne skupine: člani nepoklicnih organizacij</w:t>
      </w:r>
      <w:r w:rsidRPr="001048FE">
        <w:rPr>
          <w:spacing w:val="-19"/>
          <w:lang w:val="sl-SI"/>
        </w:rPr>
        <w:t xml:space="preserve"> </w:t>
      </w:r>
      <w:r w:rsidRPr="001048FE">
        <w:rPr>
          <w:lang w:val="sl-SI"/>
        </w:rPr>
        <w:t>za</w:t>
      </w:r>
      <w:r w:rsidRPr="001048FE">
        <w:rPr>
          <w:spacing w:val="-20"/>
          <w:lang w:val="sl-SI"/>
        </w:rPr>
        <w:t xml:space="preserve"> </w:t>
      </w:r>
      <w:r w:rsidRPr="001048FE">
        <w:rPr>
          <w:lang w:val="sl-SI"/>
        </w:rPr>
        <w:t>izobraževanje</w:t>
      </w:r>
      <w:r w:rsidRPr="001048FE">
        <w:rPr>
          <w:spacing w:val="-20"/>
          <w:lang w:val="sl-SI"/>
        </w:rPr>
        <w:t xml:space="preserve"> </w:t>
      </w:r>
      <w:r w:rsidRPr="001048FE">
        <w:rPr>
          <w:lang w:val="sl-SI"/>
        </w:rPr>
        <w:t>odraslih,</w:t>
      </w:r>
      <w:r w:rsidRPr="001048FE">
        <w:rPr>
          <w:spacing w:val="-19"/>
          <w:lang w:val="sl-SI"/>
        </w:rPr>
        <w:t xml:space="preserve"> </w:t>
      </w:r>
      <w:r w:rsidRPr="001048FE">
        <w:rPr>
          <w:lang w:val="sl-SI"/>
        </w:rPr>
        <w:t>vodje</w:t>
      </w:r>
      <w:r w:rsidRPr="001048FE">
        <w:rPr>
          <w:spacing w:val="-20"/>
          <w:lang w:val="sl-SI"/>
        </w:rPr>
        <w:t xml:space="preserve"> </w:t>
      </w:r>
      <w:r w:rsidRPr="001048FE">
        <w:rPr>
          <w:lang w:val="sl-SI"/>
        </w:rPr>
        <w:t>usposabljanj,</w:t>
      </w:r>
      <w:r w:rsidRPr="001048FE">
        <w:rPr>
          <w:spacing w:val="-20"/>
          <w:lang w:val="sl-SI"/>
        </w:rPr>
        <w:t xml:space="preserve"> </w:t>
      </w:r>
      <w:r w:rsidRPr="001048FE">
        <w:rPr>
          <w:lang w:val="sl-SI"/>
        </w:rPr>
        <w:t>osebje</w:t>
      </w:r>
      <w:r w:rsidRPr="001048FE">
        <w:rPr>
          <w:spacing w:val="-19"/>
          <w:lang w:val="sl-SI"/>
        </w:rPr>
        <w:t xml:space="preserve"> </w:t>
      </w:r>
      <w:r w:rsidRPr="001048FE">
        <w:rPr>
          <w:lang w:val="sl-SI"/>
        </w:rPr>
        <w:t>in</w:t>
      </w:r>
      <w:r w:rsidRPr="001048FE">
        <w:rPr>
          <w:spacing w:val="-20"/>
          <w:lang w:val="sl-SI"/>
        </w:rPr>
        <w:t xml:space="preserve"> </w:t>
      </w:r>
      <w:r w:rsidRPr="001048FE">
        <w:rPr>
          <w:lang w:val="sl-SI"/>
        </w:rPr>
        <w:t>učeči</w:t>
      </w:r>
      <w:r w:rsidRPr="001048FE">
        <w:rPr>
          <w:spacing w:val="-20"/>
          <w:lang w:val="sl-SI"/>
        </w:rPr>
        <w:t xml:space="preserve"> </w:t>
      </w:r>
      <w:r w:rsidRPr="001048FE">
        <w:rPr>
          <w:lang w:val="sl-SI"/>
        </w:rPr>
        <w:t>se</w:t>
      </w:r>
      <w:r w:rsidRPr="001048FE">
        <w:rPr>
          <w:spacing w:val="-20"/>
          <w:lang w:val="sl-SI"/>
        </w:rPr>
        <w:t xml:space="preserve"> </w:t>
      </w:r>
      <w:r w:rsidRPr="001048FE">
        <w:rPr>
          <w:lang w:val="sl-SI"/>
        </w:rPr>
        <w:t>v</w:t>
      </w:r>
      <w:r w:rsidRPr="001048FE">
        <w:rPr>
          <w:spacing w:val="-20"/>
          <w:lang w:val="sl-SI"/>
        </w:rPr>
        <w:t xml:space="preserve"> </w:t>
      </w:r>
      <w:r w:rsidRPr="001048FE">
        <w:rPr>
          <w:lang w:val="sl-SI"/>
        </w:rPr>
        <w:t>nepoklicnem izobraževanju</w:t>
      </w:r>
      <w:r w:rsidRPr="001048FE">
        <w:rPr>
          <w:spacing w:val="-3"/>
          <w:lang w:val="sl-SI"/>
        </w:rPr>
        <w:t xml:space="preserve"> </w:t>
      </w:r>
      <w:r w:rsidRPr="001048FE">
        <w:rPr>
          <w:lang w:val="sl-SI"/>
        </w:rPr>
        <w:t>odraslih;</w:t>
      </w:r>
    </w:p>
    <w:p w14:paraId="7D3986DD" w14:textId="77777777" w:rsidR="00E03711" w:rsidRPr="001048FE" w:rsidRDefault="00E03711" w:rsidP="005115F2">
      <w:pPr>
        <w:pStyle w:val="Guide-NormalBulletpoints"/>
        <w:numPr>
          <w:ilvl w:val="0"/>
          <w:numId w:val="345"/>
        </w:numPr>
        <w:rPr>
          <w:lang w:val="sl-SI"/>
        </w:rPr>
      </w:pPr>
      <w:r w:rsidRPr="001048FE">
        <w:rPr>
          <w:lang w:val="sl-SI"/>
        </w:rPr>
        <w:t>za projekte na področju mladine so glavne ciljne skupine: mladi, stari od 13 do 30 let</w:t>
      </w:r>
      <w:r w:rsidRPr="001048FE">
        <w:rPr>
          <w:rStyle w:val="FootnoteReference"/>
          <w:lang w:val="sl-SI"/>
        </w:rPr>
        <w:footnoteReference w:id="9"/>
      </w:r>
      <w:r w:rsidRPr="001048FE">
        <w:rPr>
          <w:lang w:val="sl-SI"/>
        </w:rPr>
        <w:t>, mladinski delavci, osebje in člani organizacij, aktivni na področju mladine;</w:t>
      </w:r>
    </w:p>
    <w:p w14:paraId="7D3986DE" w14:textId="77777777" w:rsidR="00E03711" w:rsidRPr="001048FE" w:rsidRDefault="00E03711" w:rsidP="005115F2">
      <w:pPr>
        <w:pStyle w:val="Guide-NormalBulletpoints"/>
        <w:numPr>
          <w:ilvl w:val="0"/>
          <w:numId w:val="345"/>
        </w:numPr>
        <w:rPr>
          <w:lang w:val="sl-SI"/>
        </w:rPr>
      </w:pPr>
      <w:r w:rsidRPr="001048FE">
        <w:rPr>
          <w:lang w:val="sl-SI"/>
        </w:rPr>
        <w:t>Za projekte na področju športa so glavne ciljne skupine: strokovnjaki in prostovoljci na področju športa, športniki in trenerji.</w:t>
      </w:r>
    </w:p>
    <w:p w14:paraId="7D3986DF" w14:textId="77777777" w:rsidR="00E03711" w:rsidRPr="001048FE" w:rsidRDefault="00E03711" w:rsidP="00995E90">
      <w:pPr>
        <w:pStyle w:val="GUIDE-NORMAL"/>
        <w:rPr>
          <w:lang w:val="sl-SI"/>
        </w:rPr>
      </w:pPr>
      <w:r w:rsidRPr="001048FE">
        <w:rPr>
          <w:lang w:val="sl-SI"/>
        </w:rPr>
        <w:t>Za več informacij o pogojih za udeležbo v posameznih ukrepih glej del B in Prilogo I k temu vodniku.</w:t>
      </w:r>
      <w:bookmarkStart w:id="117" w:name="Sodelujoče_organizacije"/>
      <w:bookmarkEnd w:id="117"/>
    </w:p>
    <w:p w14:paraId="7D3986E0" w14:textId="77777777" w:rsidR="00E03711" w:rsidRPr="001048FE" w:rsidRDefault="00E03711" w:rsidP="0030441A">
      <w:pPr>
        <w:pStyle w:val="Guide-Heading3"/>
        <w:rPr>
          <w:lang w:val="sl-SI"/>
        </w:rPr>
      </w:pPr>
      <w:bookmarkStart w:id="118" w:name="_Toc527400904"/>
      <w:bookmarkStart w:id="119" w:name="_Toc527401124"/>
      <w:r w:rsidRPr="001048FE">
        <w:rPr>
          <w:lang w:val="sl-SI"/>
        </w:rPr>
        <w:t>Sodelujoče organizacije</w:t>
      </w:r>
      <w:bookmarkEnd w:id="118"/>
      <w:bookmarkEnd w:id="119"/>
    </w:p>
    <w:p w14:paraId="7D3986E1" w14:textId="77777777" w:rsidR="00E03711" w:rsidRPr="001048FE" w:rsidRDefault="00E03711" w:rsidP="00995E90">
      <w:pPr>
        <w:pStyle w:val="GUIDE-NORMAL"/>
        <w:rPr>
          <w:lang w:val="sl-SI"/>
        </w:rPr>
      </w:pPr>
      <w:r w:rsidRPr="001048FE">
        <w:rPr>
          <w:lang w:val="sl-SI"/>
        </w:rPr>
        <w:t>Predloge</w:t>
      </w:r>
      <w:r w:rsidRPr="001048FE">
        <w:rPr>
          <w:spacing w:val="-18"/>
          <w:lang w:val="sl-SI"/>
        </w:rPr>
        <w:t xml:space="preserve"> </w:t>
      </w:r>
      <w:r w:rsidRPr="001048FE">
        <w:rPr>
          <w:lang w:val="sl-SI"/>
        </w:rPr>
        <w:t>projektov</w:t>
      </w:r>
      <w:r w:rsidRPr="001048FE">
        <w:rPr>
          <w:spacing w:val="-18"/>
          <w:lang w:val="sl-SI"/>
        </w:rPr>
        <w:t xml:space="preserve"> </w:t>
      </w:r>
      <w:r w:rsidRPr="001048FE">
        <w:rPr>
          <w:lang w:val="sl-SI"/>
        </w:rPr>
        <w:t>Erasmus+</w:t>
      </w:r>
      <w:r w:rsidRPr="001048FE">
        <w:rPr>
          <w:spacing w:val="-18"/>
          <w:lang w:val="sl-SI"/>
        </w:rPr>
        <w:t xml:space="preserve"> </w:t>
      </w:r>
      <w:r w:rsidRPr="001048FE">
        <w:rPr>
          <w:lang w:val="sl-SI"/>
        </w:rPr>
        <w:t>oddajo</w:t>
      </w:r>
      <w:r w:rsidRPr="001048FE">
        <w:rPr>
          <w:spacing w:val="-17"/>
          <w:lang w:val="sl-SI"/>
        </w:rPr>
        <w:t xml:space="preserve"> </w:t>
      </w:r>
      <w:r w:rsidRPr="001048FE">
        <w:rPr>
          <w:lang w:val="sl-SI"/>
        </w:rPr>
        <w:t>in</w:t>
      </w:r>
      <w:r w:rsidRPr="001048FE">
        <w:rPr>
          <w:spacing w:val="-18"/>
          <w:lang w:val="sl-SI"/>
        </w:rPr>
        <w:t xml:space="preserve"> </w:t>
      </w:r>
      <w:r w:rsidRPr="001048FE">
        <w:rPr>
          <w:lang w:val="sl-SI"/>
        </w:rPr>
        <w:t>upravljajo</w:t>
      </w:r>
      <w:r w:rsidRPr="001048FE">
        <w:rPr>
          <w:spacing w:val="-18"/>
          <w:lang w:val="sl-SI"/>
        </w:rPr>
        <w:t xml:space="preserve"> </w:t>
      </w:r>
      <w:r w:rsidRPr="001048FE">
        <w:rPr>
          <w:lang w:val="sl-SI"/>
        </w:rPr>
        <w:t>sodelujoče</w:t>
      </w:r>
      <w:r w:rsidRPr="001048FE">
        <w:rPr>
          <w:spacing w:val="-18"/>
          <w:lang w:val="sl-SI"/>
        </w:rPr>
        <w:t xml:space="preserve"> </w:t>
      </w:r>
      <w:r w:rsidRPr="001048FE">
        <w:rPr>
          <w:lang w:val="sl-SI"/>
        </w:rPr>
        <w:t>organizacije,</w:t>
      </w:r>
      <w:r w:rsidRPr="001048FE">
        <w:rPr>
          <w:spacing w:val="-17"/>
          <w:lang w:val="sl-SI"/>
        </w:rPr>
        <w:t xml:space="preserve"> </w:t>
      </w:r>
      <w:r w:rsidRPr="001048FE">
        <w:rPr>
          <w:lang w:val="sl-SI"/>
        </w:rPr>
        <w:t>ki</w:t>
      </w:r>
      <w:r w:rsidRPr="001048FE">
        <w:rPr>
          <w:spacing w:val="-18"/>
          <w:lang w:val="sl-SI"/>
        </w:rPr>
        <w:t xml:space="preserve"> </w:t>
      </w:r>
      <w:r w:rsidRPr="001048FE">
        <w:rPr>
          <w:lang w:val="sl-SI"/>
        </w:rPr>
        <w:t>zastopajo</w:t>
      </w:r>
      <w:r w:rsidRPr="001048FE">
        <w:rPr>
          <w:spacing w:val="-18"/>
          <w:lang w:val="sl-SI"/>
        </w:rPr>
        <w:t xml:space="preserve"> </w:t>
      </w:r>
      <w:r w:rsidRPr="001048FE">
        <w:rPr>
          <w:lang w:val="sl-SI"/>
        </w:rPr>
        <w:t>udeležence. Če je projekt izbran, postane organizacija prijaviteljica upravičena do nepovratnih sredstev Erasmus+.</w:t>
      </w:r>
      <w:r w:rsidRPr="001048FE">
        <w:rPr>
          <w:spacing w:val="-15"/>
          <w:lang w:val="sl-SI"/>
        </w:rPr>
        <w:t xml:space="preserve"> </w:t>
      </w:r>
      <w:r w:rsidRPr="001048FE">
        <w:rPr>
          <w:lang w:val="sl-SI"/>
        </w:rPr>
        <w:t>Upravičenci</w:t>
      </w:r>
      <w:r w:rsidRPr="001048FE">
        <w:rPr>
          <w:spacing w:val="-15"/>
          <w:lang w:val="sl-SI"/>
        </w:rPr>
        <w:t xml:space="preserve"> </w:t>
      </w:r>
      <w:r w:rsidRPr="001048FE">
        <w:rPr>
          <w:lang w:val="sl-SI"/>
        </w:rPr>
        <w:t>podpišejo</w:t>
      </w:r>
      <w:r w:rsidRPr="001048FE">
        <w:rPr>
          <w:spacing w:val="-15"/>
          <w:lang w:val="sl-SI"/>
        </w:rPr>
        <w:t xml:space="preserve"> </w:t>
      </w:r>
      <w:r w:rsidRPr="001048FE">
        <w:rPr>
          <w:lang w:val="sl-SI"/>
        </w:rPr>
        <w:t>sporazum</w:t>
      </w:r>
      <w:r w:rsidRPr="001048FE">
        <w:rPr>
          <w:spacing w:val="-15"/>
          <w:lang w:val="sl-SI"/>
        </w:rPr>
        <w:t xml:space="preserve"> </w:t>
      </w:r>
      <w:r w:rsidRPr="001048FE">
        <w:rPr>
          <w:lang w:val="sl-SI"/>
        </w:rPr>
        <w:t>o</w:t>
      </w:r>
      <w:r w:rsidRPr="001048FE">
        <w:rPr>
          <w:spacing w:val="-14"/>
          <w:lang w:val="sl-SI"/>
        </w:rPr>
        <w:t xml:space="preserve"> </w:t>
      </w:r>
      <w:r w:rsidRPr="001048FE">
        <w:rPr>
          <w:lang w:val="sl-SI"/>
        </w:rPr>
        <w:t>nepovratnih</w:t>
      </w:r>
      <w:r w:rsidRPr="001048FE">
        <w:rPr>
          <w:spacing w:val="-15"/>
          <w:lang w:val="sl-SI"/>
        </w:rPr>
        <w:t xml:space="preserve"> </w:t>
      </w:r>
      <w:r w:rsidRPr="001048FE">
        <w:rPr>
          <w:lang w:val="sl-SI"/>
        </w:rPr>
        <w:t>sredstvih</w:t>
      </w:r>
      <w:r w:rsidRPr="001048FE">
        <w:rPr>
          <w:spacing w:val="-15"/>
          <w:lang w:val="sl-SI"/>
        </w:rPr>
        <w:t xml:space="preserve"> </w:t>
      </w:r>
      <w:r w:rsidRPr="001048FE">
        <w:rPr>
          <w:lang w:val="sl-SI"/>
        </w:rPr>
        <w:t>ali</w:t>
      </w:r>
      <w:r w:rsidRPr="001048FE">
        <w:rPr>
          <w:spacing w:val="-15"/>
          <w:lang w:val="sl-SI"/>
        </w:rPr>
        <w:t xml:space="preserve"> </w:t>
      </w:r>
      <w:r w:rsidRPr="001048FE">
        <w:rPr>
          <w:lang w:val="sl-SI"/>
        </w:rPr>
        <w:t>pa</w:t>
      </w:r>
      <w:r w:rsidRPr="001048FE">
        <w:rPr>
          <w:spacing w:val="-15"/>
          <w:lang w:val="sl-SI"/>
        </w:rPr>
        <w:t xml:space="preserve"> </w:t>
      </w:r>
      <w:r w:rsidRPr="001048FE">
        <w:rPr>
          <w:lang w:val="sl-SI"/>
        </w:rPr>
        <w:t>so</w:t>
      </w:r>
      <w:r w:rsidRPr="001048FE">
        <w:rPr>
          <w:spacing w:val="-15"/>
          <w:lang w:val="sl-SI"/>
        </w:rPr>
        <w:t xml:space="preserve"> </w:t>
      </w:r>
      <w:r w:rsidRPr="001048FE">
        <w:rPr>
          <w:lang w:val="sl-SI"/>
        </w:rPr>
        <w:t>obveščeni</w:t>
      </w:r>
      <w:r w:rsidRPr="001048FE">
        <w:rPr>
          <w:spacing w:val="-14"/>
          <w:lang w:val="sl-SI"/>
        </w:rPr>
        <w:t xml:space="preserve"> </w:t>
      </w:r>
      <w:r w:rsidRPr="001048FE">
        <w:rPr>
          <w:lang w:val="sl-SI"/>
        </w:rPr>
        <w:t>o</w:t>
      </w:r>
      <w:r w:rsidRPr="001048FE">
        <w:rPr>
          <w:spacing w:val="-14"/>
          <w:lang w:val="sl-SI"/>
        </w:rPr>
        <w:t xml:space="preserve"> </w:t>
      </w:r>
      <w:r w:rsidRPr="001048FE">
        <w:rPr>
          <w:lang w:val="sl-SI"/>
        </w:rPr>
        <w:t>sklepu</w:t>
      </w:r>
      <w:r w:rsidRPr="001048FE">
        <w:rPr>
          <w:spacing w:val="-15"/>
          <w:lang w:val="sl-SI"/>
        </w:rPr>
        <w:t xml:space="preserve"> </w:t>
      </w:r>
      <w:r w:rsidRPr="001048FE">
        <w:rPr>
          <w:lang w:val="sl-SI"/>
        </w:rPr>
        <w:t>o nepovratnih sredstvih, na podlagi katerega prejmejo finančno podporo za uresničitev svojega projekta</w:t>
      </w:r>
      <w:r w:rsidRPr="001048FE">
        <w:rPr>
          <w:spacing w:val="-21"/>
          <w:lang w:val="sl-SI"/>
        </w:rPr>
        <w:t xml:space="preserve"> </w:t>
      </w:r>
      <w:r w:rsidRPr="001048FE">
        <w:rPr>
          <w:lang w:val="sl-SI"/>
        </w:rPr>
        <w:t>(posamezni</w:t>
      </w:r>
      <w:r w:rsidRPr="001048FE">
        <w:rPr>
          <w:spacing w:val="-21"/>
          <w:lang w:val="sl-SI"/>
        </w:rPr>
        <w:t xml:space="preserve"> </w:t>
      </w:r>
      <w:r w:rsidRPr="001048FE">
        <w:rPr>
          <w:lang w:val="sl-SI"/>
        </w:rPr>
        <w:t>udeleženci</w:t>
      </w:r>
      <w:r w:rsidRPr="001048FE">
        <w:rPr>
          <w:spacing w:val="-21"/>
          <w:lang w:val="sl-SI"/>
        </w:rPr>
        <w:t xml:space="preserve"> </w:t>
      </w:r>
      <w:r w:rsidRPr="001048FE">
        <w:rPr>
          <w:lang w:val="sl-SI"/>
        </w:rPr>
        <w:t>ne</w:t>
      </w:r>
      <w:r w:rsidRPr="001048FE">
        <w:rPr>
          <w:spacing w:val="-21"/>
          <w:lang w:val="sl-SI"/>
        </w:rPr>
        <w:t xml:space="preserve"> </w:t>
      </w:r>
      <w:r w:rsidRPr="001048FE">
        <w:rPr>
          <w:lang w:val="sl-SI"/>
        </w:rPr>
        <w:t>podpišejo</w:t>
      </w:r>
      <w:r w:rsidRPr="001048FE">
        <w:rPr>
          <w:spacing w:val="-21"/>
          <w:lang w:val="sl-SI"/>
        </w:rPr>
        <w:t xml:space="preserve"> </w:t>
      </w:r>
      <w:r w:rsidRPr="001048FE">
        <w:rPr>
          <w:lang w:val="sl-SI"/>
        </w:rPr>
        <w:t>sporazumov</w:t>
      </w:r>
      <w:r w:rsidRPr="001048FE">
        <w:rPr>
          <w:spacing w:val="-21"/>
          <w:lang w:val="sl-SI"/>
        </w:rPr>
        <w:t xml:space="preserve"> </w:t>
      </w:r>
      <w:r w:rsidRPr="001048FE">
        <w:rPr>
          <w:lang w:val="sl-SI"/>
        </w:rPr>
        <w:t>o</w:t>
      </w:r>
      <w:r w:rsidRPr="001048FE">
        <w:rPr>
          <w:spacing w:val="-21"/>
          <w:lang w:val="sl-SI"/>
        </w:rPr>
        <w:t xml:space="preserve"> </w:t>
      </w:r>
      <w:r w:rsidRPr="001048FE">
        <w:rPr>
          <w:lang w:val="sl-SI"/>
        </w:rPr>
        <w:t>nepovratnih</w:t>
      </w:r>
      <w:r w:rsidRPr="001048FE">
        <w:rPr>
          <w:spacing w:val="-21"/>
          <w:lang w:val="sl-SI"/>
        </w:rPr>
        <w:t xml:space="preserve"> </w:t>
      </w:r>
      <w:r w:rsidRPr="001048FE">
        <w:rPr>
          <w:lang w:val="sl-SI"/>
        </w:rPr>
        <w:t>sredstvih).</w:t>
      </w:r>
      <w:r w:rsidRPr="001048FE">
        <w:rPr>
          <w:spacing w:val="-21"/>
          <w:lang w:val="sl-SI"/>
        </w:rPr>
        <w:t xml:space="preserve"> </w:t>
      </w:r>
      <w:r w:rsidRPr="001048FE">
        <w:rPr>
          <w:lang w:val="sl-SI"/>
        </w:rPr>
        <w:t>Tudi</w:t>
      </w:r>
      <w:r w:rsidRPr="001048FE">
        <w:rPr>
          <w:spacing w:val="-21"/>
          <w:lang w:val="sl-SI"/>
        </w:rPr>
        <w:t xml:space="preserve"> </w:t>
      </w:r>
      <w:r w:rsidRPr="001048FE">
        <w:rPr>
          <w:lang w:val="sl-SI"/>
        </w:rPr>
        <w:t>neformalne skupine mladih lahko sodelujejo v nekaterih ukrepih</w:t>
      </w:r>
      <w:r w:rsidRPr="001048FE">
        <w:rPr>
          <w:spacing w:val="-21"/>
          <w:lang w:val="sl-SI"/>
        </w:rPr>
        <w:t xml:space="preserve"> </w:t>
      </w:r>
      <w:r w:rsidRPr="001048FE">
        <w:rPr>
          <w:lang w:val="sl-SI"/>
        </w:rPr>
        <w:t>Programa.</w:t>
      </w:r>
    </w:p>
    <w:p w14:paraId="7D3986E2" w14:textId="77777777" w:rsidR="00E03711" w:rsidRPr="001048FE" w:rsidRDefault="00E03711" w:rsidP="00995E90">
      <w:pPr>
        <w:pStyle w:val="GUIDE-NORMAL"/>
        <w:rPr>
          <w:lang w:val="sl-SI"/>
        </w:rPr>
      </w:pPr>
      <w:r w:rsidRPr="001048FE">
        <w:rPr>
          <w:lang w:val="sl-SI"/>
        </w:rPr>
        <w:t>Praviloma morajo organizacije, ki sodelujejo v projektih Erasmus+, imeti sedež v državi Programa. Sodelujoče organizacije iz partnerskih držav lahko tudi sodelujejo v nekaterih ukrepih, zlasti na področju visokošolskega izobraževanja in mladine.</w:t>
      </w:r>
    </w:p>
    <w:p w14:paraId="7D3986E3" w14:textId="77777777" w:rsidR="00E03711" w:rsidRPr="001048FE" w:rsidRDefault="00E03711" w:rsidP="00995E90">
      <w:pPr>
        <w:pStyle w:val="GUIDE-NORMAL"/>
        <w:rPr>
          <w:lang w:val="sl-SI"/>
        </w:rPr>
      </w:pPr>
      <w:r w:rsidRPr="001048FE">
        <w:rPr>
          <w:lang w:val="sl-SI"/>
        </w:rPr>
        <w:t>Posebni pogoji za sodelovanje v projektu Erasmus+ so odvisni od posamezne vrste ukrepa, podprtega s Programom. Na splošno lahko v Programu sodelujejo vse organizacije, ki so aktivne na področju izobraževanja, usposabljanja, mladine in športa. Nekaterih drugih ukrepov se lahko udeležijo tudi drugi akterji na trgu</w:t>
      </w:r>
      <w:r w:rsidRPr="001048FE">
        <w:rPr>
          <w:spacing w:val="18"/>
          <w:lang w:val="sl-SI"/>
        </w:rPr>
        <w:t xml:space="preserve"> </w:t>
      </w:r>
      <w:r w:rsidRPr="001048FE">
        <w:rPr>
          <w:lang w:val="sl-SI"/>
        </w:rPr>
        <w:t>dela.</w:t>
      </w:r>
    </w:p>
    <w:p w14:paraId="7D3986E4" w14:textId="77777777" w:rsidR="00E03711" w:rsidRPr="001048FE" w:rsidRDefault="00E03711" w:rsidP="00995E90">
      <w:pPr>
        <w:pStyle w:val="GUIDE-NORMAL"/>
        <w:rPr>
          <w:lang w:val="sl-SI"/>
        </w:rPr>
      </w:pPr>
      <w:r w:rsidRPr="001048FE">
        <w:rPr>
          <w:lang w:val="sl-SI"/>
        </w:rPr>
        <w:t>Za več informacij glej del B in Prilogo I k temu vodniku.</w:t>
      </w:r>
    </w:p>
    <w:p w14:paraId="7D3986E5" w14:textId="77777777" w:rsidR="00E03711" w:rsidRPr="001048FE" w:rsidRDefault="00E03711" w:rsidP="0030441A">
      <w:pPr>
        <w:pStyle w:val="Guide-Heading3"/>
        <w:rPr>
          <w:lang w:val="sl-SI"/>
        </w:rPr>
      </w:pPr>
      <w:bookmarkStart w:id="120" w:name="Upravičene_države"/>
      <w:bookmarkStart w:id="121" w:name="_Toc527400905"/>
      <w:bookmarkStart w:id="122" w:name="_Toc527401125"/>
      <w:bookmarkEnd w:id="120"/>
      <w:r w:rsidRPr="001048FE">
        <w:rPr>
          <w:lang w:val="sl-SI"/>
        </w:rPr>
        <w:t>Upravičene države</w:t>
      </w:r>
      <w:bookmarkEnd w:id="121"/>
      <w:bookmarkEnd w:id="122"/>
    </w:p>
    <w:p w14:paraId="7D3986E6" w14:textId="77777777" w:rsidR="00E03711" w:rsidRPr="001048FE" w:rsidRDefault="00E03711" w:rsidP="00995E90">
      <w:pPr>
        <w:pStyle w:val="GUIDE-NORMAL"/>
        <w:rPr>
          <w:lang w:val="sl-SI"/>
        </w:rPr>
      </w:pPr>
      <w:r w:rsidRPr="001048FE">
        <w:rPr>
          <w:lang w:val="sl-SI"/>
        </w:rPr>
        <w:t>V programu Erasmus+ lahko sodelujejo naslednje države:</w:t>
      </w:r>
    </w:p>
    <w:p w14:paraId="7D3986E7" w14:textId="77777777" w:rsidR="00E03711" w:rsidRPr="001048FE" w:rsidRDefault="00E03711" w:rsidP="0089250E">
      <w:pPr>
        <w:pStyle w:val="Guide-Heading4"/>
        <w:rPr>
          <w:lang w:val="sl-SI"/>
        </w:rPr>
      </w:pPr>
      <w:bookmarkStart w:id="123" w:name="_Toc527401126"/>
      <w:r w:rsidRPr="001048FE">
        <w:rPr>
          <w:lang w:val="sl-SI"/>
        </w:rPr>
        <w:t>Države Programa</w:t>
      </w:r>
      <w:bookmarkEnd w:id="123"/>
    </w:p>
    <w:p w14:paraId="7D3986E8" w14:textId="77777777" w:rsidR="00E03711" w:rsidRPr="001048FE" w:rsidRDefault="00E03711" w:rsidP="006F6C8B">
      <w:pPr>
        <w:pStyle w:val="GUIDE-NORMAL"/>
        <w:rPr>
          <w:lang w:val="sl-SI"/>
        </w:rPr>
      </w:pPr>
      <w:r w:rsidRPr="001048FE">
        <w:rPr>
          <w:lang w:val="sl-SI"/>
        </w:rPr>
        <w:t>Naslednje države lahko v celoti sodelujejo v vseh ukrepih programa Erasmus+:</w:t>
      </w:r>
    </w:p>
    <w:tbl>
      <w:tblPr>
        <w:tblW w:w="5000" w:type="pct"/>
        <w:jc w:val="center"/>
        <w:tblLayout w:type="fixed"/>
        <w:tblCellMar>
          <w:left w:w="10" w:type="dxa"/>
          <w:right w:w="10" w:type="dxa"/>
        </w:tblCellMar>
        <w:tblLook w:val="0000" w:firstRow="0" w:lastRow="0" w:firstColumn="0" w:lastColumn="0" w:noHBand="0" w:noVBand="0"/>
      </w:tblPr>
      <w:tblGrid>
        <w:gridCol w:w="2014"/>
        <w:gridCol w:w="2423"/>
        <w:gridCol w:w="2423"/>
        <w:gridCol w:w="2430"/>
      </w:tblGrid>
      <w:tr w:rsidR="00E03711" w:rsidRPr="00B8041E" w14:paraId="7D3986EA" w14:textId="77777777" w:rsidTr="005D3DFD">
        <w:trPr>
          <w:trHeight w:val="276"/>
          <w:jc w:val="center"/>
        </w:trPr>
        <w:tc>
          <w:tcPr>
            <w:tcW w:w="9144" w:type="dxa"/>
            <w:gridSpan w:val="4"/>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D3986E9" w14:textId="77777777" w:rsidR="00E03711" w:rsidRPr="00F769E0" w:rsidRDefault="00E03711" w:rsidP="00F7446B">
            <w:pPr>
              <w:pStyle w:val="Guide-Table"/>
              <w:spacing w:before="60" w:after="60"/>
              <w:rPr>
                <w:rStyle w:val="Strong"/>
                <w:rFonts w:cs="Tahoma"/>
                <w:b w:val="0"/>
                <w:lang w:val="sl-SI" w:eastAsia="en-GB"/>
              </w:rPr>
            </w:pPr>
            <w:r w:rsidRPr="00F769E0">
              <w:rPr>
                <w:rFonts w:cs="Tahoma"/>
                <w:b/>
                <w:lang w:val="sl-SI" w:eastAsia="en-GB"/>
              </w:rPr>
              <w:t>Države članice Evropske unije (EU)</w:t>
            </w:r>
            <w:r w:rsidRPr="00F769E0">
              <w:rPr>
                <w:rStyle w:val="FootnoteReference"/>
                <w:rFonts w:cs="Tahoma"/>
                <w:b/>
                <w:lang w:val="sl-SI" w:eastAsia="en-GB"/>
              </w:rPr>
              <w:footnoteReference w:id="10"/>
            </w:r>
          </w:p>
        </w:tc>
      </w:tr>
      <w:tr w:rsidR="00E03711" w:rsidRPr="008C6F8C" w14:paraId="7D398707" w14:textId="77777777" w:rsidTr="005D3DFD">
        <w:trPr>
          <w:trHeight w:val="1383"/>
          <w:jc w:val="center"/>
        </w:trPr>
        <w:tc>
          <w:tcPr>
            <w:tcW w:w="198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3986EB" w14:textId="77777777" w:rsidR="00E03711" w:rsidRPr="00F769E0" w:rsidRDefault="00E03711" w:rsidP="00995E90">
            <w:pPr>
              <w:pStyle w:val="Guide-Table"/>
              <w:rPr>
                <w:rFonts w:cs="Tahoma"/>
                <w:lang w:val="sl-SI" w:eastAsia="en-GB"/>
              </w:rPr>
            </w:pPr>
            <w:r w:rsidRPr="00F769E0">
              <w:rPr>
                <w:rFonts w:cs="Tahoma"/>
                <w:lang w:val="sl-SI" w:eastAsia="en-GB"/>
              </w:rPr>
              <w:t xml:space="preserve">Belgija </w:t>
            </w:r>
          </w:p>
          <w:p w14:paraId="7D3986EC" w14:textId="77777777" w:rsidR="00E03711" w:rsidRPr="00F769E0" w:rsidRDefault="00E03711" w:rsidP="00995E90">
            <w:pPr>
              <w:pStyle w:val="Guide-Table"/>
              <w:rPr>
                <w:rFonts w:cs="Tahoma"/>
                <w:lang w:val="sl-SI" w:eastAsia="en-GB"/>
              </w:rPr>
            </w:pPr>
            <w:r w:rsidRPr="00F769E0">
              <w:rPr>
                <w:rFonts w:cs="Tahoma"/>
                <w:lang w:val="sl-SI" w:eastAsia="en-GB"/>
              </w:rPr>
              <w:t xml:space="preserve">Bolgarija </w:t>
            </w:r>
          </w:p>
          <w:p w14:paraId="7D3986ED" w14:textId="77777777" w:rsidR="00E03711" w:rsidRPr="00F769E0" w:rsidRDefault="00E03711" w:rsidP="00995E90">
            <w:pPr>
              <w:pStyle w:val="Guide-Table"/>
              <w:rPr>
                <w:rFonts w:cs="Tahoma"/>
                <w:lang w:val="sl-SI" w:eastAsia="en-GB"/>
              </w:rPr>
            </w:pPr>
            <w:r w:rsidRPr="00F769E0">
              <w:rPr>
                <w:rFonts w:cs="Tahoma"/>
                <w:lang w:val="sl-SI" w:eastAsia="en-GB"/>
              </w:rPr>
              <w:t xml:space="preserve">Češka </w:t>
            </w:r>
          </w:p>
          <w:p w14:paraId="7D3986EE" w14:textId="77777777" w:rsidR="00E03711" w:rsidRPr="00F769E0" w:rsidRDefault="00E03711" w:rsidP="00995E90">
            <w:pPr>
              <w:pStyle w:val="Guide-Table"/>
              <w:rPr>
                <w:rFonts w:cs="Tahoma"/>
                <w:lang w:val="sl-SI" w:eastAsia="en-GB"/>
              </w:rPr>
            </w:pPr>
            <w:r w:rsidRPr="00F769E0">
              <w:rPr>
                <w:rFonts w:cs="Tahoma"/>
                <w:lang w:val="sl-SI" w:eastAsia="en-GB"/>
              </w:rPr>
              <w:t xml:space="preserve">Danska </w:t>
            </w:r>
          </w:p>
          <w:p w14:paraId="7D3986EF" w14:textId="77777777" w:rsidR="00E03711" w:rsidRPr="00F769E0" w:rsidRDefault="00E03711" w:rsidP="00995E90">
            <w:pPr>
              <w:pStyle w:val="Guide-Table"/>
              <w:rPr>
                <w:rFonts w:cs="Tahoma"/>
                <w:lang w:val="sl-SI" w:eastAsia="en-GB"/>
              </w:rPr>
            </w:pPr>
            <w:r w:rsidRPr="00F769E0">
              <w:rPr>
                <w:rFonts w:cs="Tahoma"/>
                <w:lang w:val="sl-SI" w:eastAsia="en-GB"/>
              </w:rPr>
              <w:t xml:space="preserve">Nemčija </w:t>
            </w:r>
          </w:p>
          <w:p w14:paraId="7D3986F0" w14:textId="77777777" w:rsidR="00E03711" w:rsidRPr="00F769E0" w:rsidRDefault="00E03711" w:rsidP="00995E90">
            <w:pPr>
              <w:pStyle w:val="Guide-Table"/>
              <w:rPr>
                <w:rFonts w:cs="Tahoma"/>
                <w:lang w:val="sl-SI" w:eastAsia="en-GB"/>
              </w:rPr>
            </w:pPr>
            <w:r w:rsidRPr="00F769E0">
              <w:rPr>
                <w:rFonts w:cs="Tahoma"/>
                <w:lang w:val="sl-SI" w:eastAsia="en-GB"/>
              </w:rPr>
              <w:t xml:space="preserve">Estonija </w:t>
            </w:r>
          </w:p>
          <w:p w14:paraId="7D3986F1" w14:textId="77777777" w:rsidR="00E03711" w:rsidRPr="00F769E0" w:rsidRDefault="00E03711" w:rsidP="00995E90">
            <w:pPr>
              <w:pStyle w:val="Guide-Table"/>
              <w:rPr>
                <w:rFonts w:cs="Tahoma"/>
                <w:lang w:val="sl-SI" w:eastAsia="en-GB"/>
              </w:rPr>
            </w:pPr>
            <w:r w:rsidRPr="00F769E0">
              <w:rPr>
                <w:rFonts w:cs="Tahoma"/>
                <w:lang w:val="sl-SI" w:eastAsia="en-GB"/>
              </w:rPr>
              <w:t>Irska</w:t>
            </w:r>
          </w:p>
        </w:tc>
        <w:tc>
          <w:tcPr>
            <w:tcW w:w="2385" w:type="dxa"/>
            <w:tcBorders>
              <w:top w:val="single" w:sz="4" w:space="0" w:color="000000"/>
              <w:bottom w:val="single" w:sz="4" w:space="0" w:color="000000"/>
            </w:tcBorders>
            <w:shd w:val="clear" w:color="auto" w:fill="auto"/>
            <w:tcMar>
              <w:top w:w="0" w:type="dxa"/>
              <w:left w:w="108" w:type="dxa"/>
              <w:bottom w:w="0" w:type="dxa"/>
              <w:right w:w="108" w:type="dxa"/>
            </w:tcMar>
          </w:tcPr>
          <w:p w14:paraId="7D3986F2" w14:textId="77777777" w:rsidR="00E03711" w:rsidRPr="00F769E0" w:rsidRDefault="00E03711" w:rsidP="00995E90">
            <w:pPr>
              <w:pStyle w:val="Guide-Table"/>
              <w:rPr>
                <w:rFonts w:cs="Tahoma"/>
                <w:lang w:val="sl-SI" w:eastAsia="en-GB"/>
              </w:rPr>
            </w:pPr>
            <w:r w:rsidRPr="00F769E0">
              <w:rPr>
                <w:rFonts w:cs="Tahoma"/>
                <w:lang w:val="sl-SI" w:eastAsia="en-GB"/>
              </w:rPr>
              <w:t xml:space="preserve">Grčija </w:t>
            </w:r>
          </w:p>
          <w:p w14:paraId="7D3986F3" w14:textId="77777777" w:rsidR="00E03711" w:rsidRPr="00F769E0" w:rsidRDefault="00E03711" w:rsidP="00995E90">
            <w:pPr>
              <w:pStyle w:val="Guide-Table"/>
              <w:rPr>
                <w:rFonts w:cs="Tahoma"/>
                <w:lang w:val="sl-SI" w:eastAsia="en-GB"/>
              </w:rPr>
            </w:pPr>
            <w:r w:rsidRPr="00F769E0">
              <w:rPr>
                <w:rFonts w:cs="Tahoma"/>
                <w:lang w:val="sl-SI" w:eastAsia="en-GB"/>
              </w:rPr>
              <w:t xml:space="preserve">Španija </w:t>
            </w:r>
          </w:p>
          <w:p w14:paraId="7D3986F4" w14:textId="77777777" w:rsidR="00E03711" w:rsidRPr="00F769E0" w:rsidRDefault="00E03711" w:rsidP="00995E90">
            <w:pPr>
              <w:pStyle w:val="Guide-Table"/>
              <w:rPr>
                <w:rFonts w:cs="Tahoma"/>
                <w:lang w:val="sl-SI" w:eastAsia="en-GB"/>
              </w:rPr>
            </w:pPr>
            <w:r w:rsidRPr="00F769E0">
              <w:rPr>
                <w:rFonts w:cs="Tahoma"/>
                <w:lang w:val="sl-SI" w:eastAsia="en-GB"/>
              </w:rPr>
              <w:t xml:space="preserve">Francija </w:t>
            </w:r>
          </w:p>
          <w:p w14:paraId="7D3986F5" w14:textId="77777777" w:rsidR="00E03711" w:rsidRPr="00F769E0" w:rsidRDefault="00E03711" w:rsidP="00995E90">
            <w:pPr>
              <w:pStyle w:val="Guide-Table"/>
              <w:rPr>
                <w:rFonts w:cs="Tahoma"/>
                <w:lang w:val="sl-SI" w:eastAsia="en-GB"/>
              </w:rPr>
            </w:pPr>
            <w:r w:rsidRPr="00F769E0">
              <w:rPr>
                <w:rFonts w:cs="Tahoma"/>
                <w:lang w:val="sl-SI" w:eastAsia="en-GB"/>
              </w:rPr>
              <w:t xml:space="preserve">Hrvaška </w:t>
            </w:r>
          </w:p>
          <w:p w14:paraId="7D3986F6" w14:textId="77777777" w:rsidR="00E03711" w:rsidRPr="00F769E0" w:rsidRDefault="00E03711" w:rsidP="00995E90">
            <w:pPr>
              <w:pStyle w:val="Guide-Table"/>
              <w:rPr>
                <w:rFonts w:cs="Tahoma"/>
                <w:lang w:val="sl-SI" w:eastAsia="en-GB"/>
              </w:rPr>
            </w:pPr>
            <w:r w:rsidRPr="00F769E0">
              <w:rPr>
                <w:rFonts w:cs="Tahoma"/>
                <w:lang w:val="sl-SI" w:eastAsia="en-GB"/>
              </w:rPr>
              <w:t xml:space="preserve">Italija </w:t>
            </w:r>
          </w:p>
          <w:p w14:paraId="7D3986F7" w14:textId="77777777" w:rsidR="00E03711" w:rsidRPr="00F769E0" w:rsidRDefault="00E03711" w:rsidP="00995E90">
            <w:pPr>
              <w:pStyle w:val="Guide-Table"/>
              <w:rPr>
                <w:rFonts w:cs="Tahoma"/>
                <w:lang w:val="sl-SI" w:eastAsia="en-GB"/>
              </w:rPr>
            </w:pPr>
            <w:r w:rsidRPr="00F769E0">
              <w:rPr>
                <w:rFonts w:cs="Tahoma"/>
                <w:lang w:val="sl-SI" w:eastAsia="en-GB"/>
              </w:rPr>
              <w:t xml:space="preserve">Ciper </w:t>
            </w:r>
          </w:p>
          <w:p w14:paraId="7D3986F8" w14:textId="77777777" w:rsidR="00E03711" w:rsidRPr="00F769E0" w:rsidRDefault="00E03711" w:rsidP="00995E90">
            <w:pPr>
              <w:pStyle w:val="Guide-Table"/>
              <w:rPr>
                <w:rFonts w:cs="Tahoma"/>
                <w:lang w:val="sl-SI" w:eastAsia="en-GB"/>
              </w:rPr>
            </w:pPr>
            <w:r w:rsidRPr="00F769E0">
              <w:rPr>
                <w:rFonts w:cs="Tahoma"/>
                <w:lang w:val="sl-SI" w:eastAsia="en-GB"/>
              </w:rPr>
              <w:t>Latvija</w:t>
            </w:r>
          </w:p>
        </w:tc>
        <w:tc>
          <w:tcPr>
            <w:tcW w:w="2385" w:type="dxa"/>
            <w:tcBorders>
              <w:top w:val="single" w:sz="4" w:space="0" w:color="000000"/>
              <w:bottom w:val="single" w:sz="4" w:space="0" w:color="000000"/>
            </w:tcBorders>
            <w:shd w:val="clear" w:color="auto" w:fill="auto"/>
            <w:tcMar>
              <w:top w:w="0" w:type="dxa"/>
              <w:left w:w="108" w:type="dxa"/>
              <w:bottom w:w="0" w:type="dxa"/>
              <w:right w:w="108" w:type="dxa"/>
            </w:tcMar>
          </w:tcPr>
          <w:p w14:paraId="7D3986F9" w14:textId="77777777" w:rsidR="00E03711" w:rsidRPr="00F769E0" w:rsidRDefault="00E03711" w:rsidP="00995E90">
            <w:pPr>
              <w:pStyle w:val="Guide-Table"/>
              <w:rPr>
                <w:rFonts w:cs="Tahoma"/>
                <w:lang w:val="sl-SI" w:eastAsia="en-GB"/>
              </w:rPr>
            </w:pPr>
            <w:r w:rsidRPr="00F769E0">
              <w:rPr>
                <w:rFonts w:cs="Tahoma"/>
                <w:lang w:val="sl-SI" w:eastAsia="en-GB"/>
              </w:rPr>
              <w:t xml:space="preserve">Litva </w:t>
            </w:r>
          </w:p>
          <w:p w14:paraId="7D3986FA" w14:textId="77777777" w:rsidR="00E03711" w:rsidRPr="00F769E0" w:rsidRDefault="00E03711" w:rsidP="00995E90">
            <w:pPr>
              <w:pStyle w:val="Guide-Table"/>
              <w:rPr>
                <w:rFonts w:cs="Tahoma"/>
                <w:lang w:val="sl-SI" w:eastAsia="en-GB"/>
              </w:rPr>
            </w:pPr>
            <w:r w:rsidRPr="00F769E0">
              <w:rPr>
                <w:rFonts w:cs="Tahoma"/>
                <w:lang w:val="sl-SI" w:eastAsia="en-GB"/>
              </w:rPr>
              <w:t xml:space="preserve">Luksemburg </w:t>
            </w:r>
          </w:p>
          <w:p w14:paraId="7D3986FB" w14:textId="77777777" w:rsidR="00E03711" w:rsidRPr="00F769E0" w:rsidRDefault="00E03711" w:rsidP="00995E90">
            <w:pPr>
              <w:pStyle w:val="Guide-Table"/>
              <w:rPr>
                <w:rFonts w:cs="Tahoma"/>
                <w:lang w:val="sl-SI" w:eastAsia="en-GB"/>
              </w:rPr>
            </w:pPr>
            <w:r w:rsidRPr="00F769E0">
              <w:rPr>
                <w:rFonts w:cs="Tahoma"/>
                <w:lang w:val="sl-SI" w:eastAsia="en-GB"/>
              </w:rPr>
              <w:t xml:space="preserve">Madžarska </w:t>
            </w:r>
          </w:p>
          <w:p w14:paraId="7D3986FC" w14:textId="77777777" w:rsidR="00E03711" w:rsidRPr="00F769E0" w:rsidRDefault="00E03711" w:rsidP="00995E90">
            <w:pPr>
              <w:pStyle w:val="Guide-Table"/>
              <w:rPr>
                <w:rFonts w:cs="Tahoma"/>
                <w:lang w:val="sl-SI" w:eastAsia="en-GB"/>
              </w:rPr>
            </w:pPr>
            <w:r w:rsidRPr="00F769E0">
              <w:rPr>
                <w:rFonts w:cs="Tahoma"/>
                <w:lang w:val="sl-SI" w:eastAsia="en-GB"/>
              </w:rPr>
              <w:t xml:space="preserve">Malta </w:t>
            </w:r>
          </w:p>
          <w:p w14:paraId="7D3986FD" w14:textId="77777777" w:rsidR="00E03711" w:rsidRPr="00F769E0" w:rsidRDefault="00E03711" w:rsidP="00995E90">
            <w:pPr>
              <w:pStyle w:val="Guide-Table"/>
              <w:rPr>
                <w:rFonts w:cs="Tahoma"/>
                <w:lang w:val="sl-SI" w:eastAsia="en-GB"/>
              </w:rPr>
            </w:pPr>
            <w:r w:rsidRPr="00F769E0">
              <w:rPr>
                <w:rFonts w:cs="Tahoma"/>
                <w:lang w:val="sl-SI" w:eastAsia="en-GB"/>
              </w:rPr>
              <w:t xml:space="preserve">Nizozemska </w:t>
            </w:r>
          </w:p>
          <w:p w14:paraId="7D3986FE" w14:textId="77777777" w:rsidR="00E03711" w:rsidRPr="00F769E0" w:rsidRDefault="00E03711" w:rsidP="00995E90">
            <w:pPr>
              <w:pStyle w:val="Guide-Table"/>
              <w:rPr>
                <w:rFonts w:cs="Tahoma"/>
                <w:lang w:val="sl-SI" w:eastAsia="en-GB"/>
              </w:rPr>
            </w:pPr>
            <w:r w:rsidRPr="00F769E0">
              <w:rPr>
                <w:rFonts w:cs="Tahoma"/>
                <w:lang w:val="sl-SI" w:eastAsia="en-GB"/>
              </w:rPr>
              <w:t xml:space="preserve">Avstrija </w:t>
            </w:r>
          </w:p>
          <w:p w14:paraId="7D3986FF" w14:textId="77777777" w:rsidR="00E03711" w:rsidRPr="00F769E0" w:rsidRDefault="00E03711" w:rsidP="00995E90">
            <w:pPr>
              <w:pStyle w:val="Guide-Table"/>
              <w:rPr>
                <w:rFonts w:cs="Tahoma"/>
                <w:lang w:val="sl-SI" w:eastAsia="en-GB"/>
              </w:rPr>
            </w:pPr>
            <w:r w:rsidRPr="00F769E0">
              <w:rPr>
                <w:rFonts w:cs="Tahoma"/>
                <w:lang w:val="sl-SI" w:eastAsia="en-GB"/>
              </w:rPr>
              <w:t>Poljska</w:t>
            </w:r>
          </w:p>
        </w:tc>
        <w:tc>
          <w:tcPr>
            <w:tcW w:w="23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98700" w14:textId="77777777" w:rsidR="00E03711" w:rsidRPr="00F769E0" w:rsidRDefault="00E03711" w:rsidP="00995E90">
            <w:pPr>
              <w:pStyle w:val="Guide-Table"/>
              <w:rPr>
                <w:rFonts w:cs="Tahoma"/>
                <w:lang w:val="sl-SI" w:eastAsia="en-GB"/>
              </w:rPr>
            </w:pPr>
            <w:r w:rsidRPr="00F769E0">
              <w:rPr>
                <w:rFonts w:cs="Tahoma"/>
                <w:lang w:val="sl-SI" w:eastAsia="en-GB"/>
              </w:rPr>
              <w:t xml:space="preserve">Portugalska </w:t>
            </w:r>
          </w:p>
          <w:p w14:paraId="7D398701" w14:textId="77777777" w:rsidR="00E03711" w:rsidRPr="00F769E0" w:rsidRDefault="00E03711" w:rsidP="00995E90">
            <w:pPr>
              <w:pStyle w:val="Guide-Table"/>
              <w:rPr>
                <w:rFonts w:cs="Tahoma"/>
                <w:lang w:val="sl-SI" w:eastAsia="en-GB"/>
              </w:rPr>
            </w:pPr>
            <w:r w:rsidRPr="00F769E0">
              <w:rPr>
                <w:rFonts w:cs="Tahoma"/>
                <w:lang w:val="sl-SI" w:eastAsia="en-GB"/>
              </w:rPr>
              <w:t xml:space="preserve">Romunija </w:t>
            </w:r>
          </w:p>
          <w:p w14:paraId="7D398702" w14:textId="77777777" w:rsidR="00E03711" w:rsidRPr="00F769E0" w:rsidRDefault="00E03711" w:rsidP="00995E90">
            <w:pPr>
              <w:pStyle w:val="Guide-Table"/>
              <w:rPr>
                <w:rFonts w:cs="Tahoma"/>
                <w:lang w:val="sl-SI" w:eastAsia="en-GB"/>
              </w:rPr>
            </w:pPr>
            <w:r w:rsidRPr="00F769E0">
              <w:rPr>
                <w:rFonts w:cs="Tahoma"/>
                <w:lang w:val="sl-SI" w:eastAsia="en-GB"/>
              </w:rPr>
              <w:t xml:space="preserve">Slovenija </w:t>
            </w:r>
          </w:p>
          <w:p w14:paraId="7D398703" w14:textId="77777777" w:rsidR="00E03711" w:rsidRPr="00F769E0" w:rsidRDefault="00E03711" w:rsidP="00995E90">
            <w:pPr>
              <w:pStyle w:val="Guide-Table"/>
              <w:rPr>
                <w:rFonts w:cs="Tahoma"/>
                <w:lang w:val="sl-SI" w:eastAsia="en-GB"/>
              </w:rPr>
            </w:pPr>
            <w:r w:rsidRPr="00F769E0">
              <w:rPr>
                <w:rFonts w:cs="Tahoma"/>
                <w:lang w:val="sl-SI" w:eastAsia="en-GB"/>
              </w:rPr>
              <w:t xml:space="preserve">Slovaška </w:t>
            </w:r>
          </w:p>
          <w:p w14:paraId="7D398704" w14:textId="77777777" w:rsidR="00E03711" w:rsidRPr="00F769E0" w:rsidRDefault="00E03711" w:rsidP="00995E90">
            <w:pPr>
              <w:pStyle w:val="Guide-Table"/>
              <w:rPr>
                <w:rFonts w:cs="Tahoma"/>
                <w:lang w:val="sl-SI" w:eastAsia="en-GB"/>
              </w:rPr>
            </w:pPr>
            <w:r w:rsidRPr="00F769E0">
              <w:rPr>
                <w:rFonts w:cs="Tahoma"/>
                <w:lang w:val="sl-SI" w:eastAsia="en-GB"/>
              </w:rPr>
              <w:t xml:space="preserve">Finska </w:t>
            </w:r>
          </w:p>
          <w:p w14:paraId="7D398705" w14:textId="77777777" w:rsidR="00E03711" w:rsidRPr="00F769E0" w:rsidRDefault="00E03711" w:rsidP="00995E90">
            <w:pPr>
              <w:pStyle w:val="Guide-Table"/>
              <w:rPr>
                <w:rFonts w:cs="Tahoma"/>
                <w:lang w:val="sl-SI" w:eastAsia="en-GB"/>
              </w:rPr>
            </w:pPr>
            <w:r w:rsidRPr="00F769E0">
              <w:rPr>
                <w:rFonts w:cs="Tahoma"/>
                <w:lang w:val="sl-SI" w:eastAsia="en-GB"/>
              </w:rPr>
              <w:t>Švedska</w:t>
            </w:r>
          </w:p>
          <w:p w14:paraId="7D398706" w14:textId="77777777" w:rsidR="00E03711" w:rsidRPr="00F769E0" w:rsidRDefault="00E03711" w:rsidP="00995E90">
            <w:pPr>
              <w:pStyle w:val="Guide-Table"/>
              <w:rPr>
                <w:rFonts w:cs="Tahoma"/>
                <w:lang w:val="sl-SI" w:eastAsia="en-GB"/>
              </w:rPr>
            </w:pPr>
            <w:r w:rsidRPr="00F769E0">
              <w:rPr>
                <w:rFonts w:cs="Tahoma"/>
                <w:lang w:val="sl-SI" w:eastAsia="en-GB"/>
              </w:rPr>
              <w:t>Združeno kraljestvo</w:t>
            </w:r>
            <w:r w:rsidRPr="00F769E0">
              <w:rPr>
                <w:rStyle w:val="FootnoteReference"/>
                <w:rFonts w:cs="Tahoma"/>
                <w:lang w:val="sl-SI" w:eastAsia="en-GB"/>
              </w:rPr>
              <w:footnoteReference w:id="11"/>
            </w:r>
          </w:p>
        </w:tc>
      </w:tr>
    </w:tbl>
    <w:p w14:paraId="7D398708" w14:textId="77777777" w:rsidR="00E03711" w:rsidRPr="001048FE" w:rsidRDefault="00E03711" w:rsidP="00F7446B">
      <w:pPr>
        <w:pStyle w:val="Guide-Table"/>
        <w:rPr>
          <w:vertAlign w:val="superscript"/>
          <w:lang w:val="sl-SI"/>
        </w:rPr>
      </w:pPr>
    </w:p>
    <w:tbl>
      <w:tblPr>
        <w:tblW w:w="5000" w:type="pct"/>
        <w:jc w:val="center"/>
        <w:tblCellMar>
          <w:left w:w="10" w:type="dxa"/>
          <w:right w:w="10" w:type="dxa"/>
        </w:tblCellMar>
        <w:tblLook w:val="0000" w:firstRow="0" w:lastRow="0" w:firstColumn="0" w:lastColumn="0" w:noHBand="0" w:noVBand="0"/>
      </w:tblPr>
      <w:tblGrid>
        <w:gridCol w:w="3069"/>
        <w:gridCol w:w="3066"/>
        <w:gridCol w:w="3079"/>
      </w:tblGrid>
      <w:tr w:rsidR="00E03711" w:rsidRPr="00B8041E" w14:paraId="7D39870A" w14:textId="77777777" w:rsidTr="005D3DFD">
        <w:trPr>
          <w:trHeight w:val="154"/>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398709" w14:textId="77777777" w:rsidR="00E03711" w:rsidRPr="00F769E0" w:rsidRDefault="00E03711" w:rsidP="00B9411E">
            <w:pPr>
              <w:pStyle w:val="Guide-Table"/>
              <w:spacing w:before="60" w:after="60"/>
              <w:rPr>
                <w:rStyle w:val="Strong"/>
                <w:rFonts w:cs="Tahoma"/>
                <w:b w:val="0"/>
                <w:lang w:val="sl-SI" w:eastAsia="en-GB"/>
              </w:rPr>
            </w:pPr>
            <w:r w:rsidRPr="00F769E0">
              <w:rPr>
                <w:rFonts w:cs="Tahoma"/>
                <w:b/>
                <w:lang w:val="sl-SI" w:eastAsia="en-GB"/>
              </w:rPr>
              <w:t>Države Programa, ki niso članice EU</w:t>
            </w:r>
          </w:p>
        </w:tc>
      </w:tr>
      <w:tr w:rsidR="00E03711" w:rsidRPr="008C6F8C" w14:paraId="7D398711" w14:textId="77777777" w:rsidTr="005D3DFD">
        <w:trPr>
          <w:trHeight w:val="382"/>
          <w:jc w:val="center"/>
        </w:trPr>
        <w:tc>
          <w:tcPr>
            <w:tcW w:w="1665" w:type="pc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D39870B" w14:textId="77777777" w:rsidR="00E03711" w:rsidRPr="00F769E0" w:rsidRDefault="00E03711" w:rsidP="00995E90">
            <w:pPr>
              <w:pStyle w:val="Guide-Table"/>
              <w:rPr>
                <w:rFonts w:cs="Tahoma"/>
                <w:lang w:val="sl-SI" w:eastAsia="en-GB"/>
              </w:rPr>
            </w:pPr>
            <w:r>
              <w:rPr>
                <w:rFonts w:cs="Tahoma"/>
                <w:lang w:val="sl-SI" w:eastAsia="en-GB"/>
              </w:rPr>
              <w:t>R</w:t>
            </w:r>
            <w:r w:rsidRPr="00F769E0">
              <w:rPr>
                <w:rFonts w:cs="Tahoma"/>
                <w:lang w:val="sl-SI" w:eastAsia="en-GB"/>
              </w:rPr>
              <w:t xml:space="preserve">epublika </w:t>
            </w:r>
            <w:r>
              <w:rPr>
                <w:rFonts w:cs="Tahoma"/>
                <w:lang w:val="sl-SI" w:eastAsia="en-GB"/>
              </w:rPr>
              <w:t xml:space="preserve">Severna </w:t>
            </w:r>
            <w:r w:rsidRPr="00F769E0">
              <w:rPr>
                <w:rFonts w:cs="Tahoma"/>
                <w:lang w:val="sl-SI" w:eastAsia="en-GB"/>
              </w:rPr>
              <w:t>Makedonija</w:t>
            </w:r>
          </w:p>
        </w:tc>
        <w:tc>
          <w:tcPr>
            <w:tcW w:w="1664" w:type="pct"/>
            <w:tcBorders>
              <w:top w:val="single" w:sz="4" w:space="0" w:color="000000"/>
              <w:bottom w:val="single" w:sz="4" w:space="0" w:color="000000"/>
            </w:tcBorders>
            <w:shd w:val="clear" w:color="auto" w:fill="auto"/>
            <w:tcMar>
              <w:top w:w="0" w:type="dxa"/>
              <w:left w:w="70" w:type="dxa"/>
              <w:bottom w:w="0" w:type="dxa"/>
              <w:right w:w="70" w:type="dxa"/>
            </w:tcMar>
          </w:tcPr>
          <w:p w14:paraId="7D39870C" w14:textId="77777777" w:rsidR="00E03711" w:rsidRPr="00F769E0" w:rsidRDefault="00E03711" w:rsidP="00995E90">
            <w:pPr>
              <w:pStyle w:val="Guide-Table"/>
              <w:rPr>
                <w:rFonts w:cs="Tahoma"/>
                <w:lang w:val="sl-SI" w:eastAsia="en-GB"/>
              </w:rPr>
            </w:pPr>
            <w:r w:rsidRPr="00F769E0">
              <w:rPr>
                <w:rFonts w:cs="Tahoma"/>
                <w:lang w:val="sl-SI" w:eastAsia="en-GB"/>
              </w:rPr>
              <w:t>Islandija</w:t>
            </w:r>
          </w:p>
          <w:p w14:paraId="7D39870D" w14:textId="77777777" w:rsidR="00E03711" w:rsidRPr="00F769E0" w:rsidRDefault="00E03711" w:rsidP="00995E90">
            <w:pPr>
              <w:pStyle w:val="Guide-Table"/>
              <w:rPr>
                <w:rFonts w:cs="Tahoma"/>
                <w:lang w:val="sl-SI" w:eastAsia="en-GB"/>
              </w:rPr>
            </w:pPr>
            <w:r w:rsidRPr="00F769E0">
              <w:rPr>
                <w:rFonts w:cs="Tahoma"/>
                <w:lang w:val="sl-SI" w:eastAsia="en-GB"/>
              </w:rPr>
              <w:t>Lihtenštajn</w:t>
            </w:r>
          </w:p>
        </w:tc>
        <w:tc>
          <w:tcPr>
            <w:tcW w:w="1671" w:type="pct"/>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39870E" w14:textId="77777777" w:rsidR="00E03711" w:rsidRPr="00F769E0" w:rsidRDefault="00E03711" w:rsidP="00995E90">
            <w:pPr>
              <w:pStyle w:val="Guide-Table"/>
              <w:rPr>
                <w:rFonts w:cs="Tahoma"/>
                <w:lang w:val="sl-SI" w:eastAsia="en-GB"/>
              </w:rPr>
            </w:pPr>
            <w:r w:rsidRPr="00F769E0">
              <w:rPr>
                <w:rFonts w:cs="Tahoma"/>
                <w:lang w:val="sl-SI" w:eastAsia="en-GB"/>
              </w:rPr>
              <w:t>Norveška</w:t>
            </w:r>
          </w:p>
          <w:p w14:paraId="7D39870F" w14:textId="77777777" w:rsidR="00E03711" w:rsidRPr="00F769E0" w:rsidRDefault="00E03711" w:rsidP="00995E90">
            <w:pPr>
              <w:pStyle w:val="Guide-Table"/>
              <w:rPr>
                <w:rFonts w:cs="Tahoma"/>
                <w:lang w:val="sl-SI" w:eastAsia="en-GB"/>
              </w:rPr>
            </w:pPr>
            <w:r w:rsidRPr="00F769E0">
              <w:rPr>
                <w:rFonts w:cs="Tahoma"/>
                <w:lang w:val="sl-SI" w:eastAsia="en-GB"/>
              </w:rPr>
              <w:t xml:space="preserve">Turčija </w:t>
            </w:r>
          </w:p>
          <w:p w14:paraId="7D398710" w14:textId="77777777" w:rsidR="00E03711" w:rsidRPr="00F769E0" w:rsidRDefault="00E03711" w:rsidP="00995E90">
            <w:pPr>
              <w:pStyle w:val="Guide-Table"/>
              <w:rPr>
                <w:rFonts w:cs="Tahoma"/>
                <w:lang w:val="sl-SI" w:eastAsia="en-GB"/>
              </w:rPr>
            </w:pPr>
            <w:r w:rsidRPr="00F769E0">
              <w:rPr>
                <w:rFonts w:cs="Tahoma"/>
                <w:lang w:val="sl-SI" w:eastAsia="en-GB"/>
              </w:rPr>
              <w:t>Srbija</w:t>
            </w:r>
          </w:p>
        </w:tc>
      </w:tr>
    </w:tbl>
    <w:p w14:paraId="7D398712" w14:textId="77777777" w:rsidR="00E03711" w:rsidRPr="001048FE" w:rsidRDefault="00E03711" w:rsidP="0089250E">
      <w:pPr>
        <w:pStyle w:val="Guide-Heading4"/>
        <w:rPr>
          <w:lang w:val="sl-SI"/>
        </w:rPr>
      </w:pPr>
      <w:bookmarkStart w:id="124" w:name="Pays_partenaires"/>
      <w:bookmarkStart w:id="125" w:name="_Toc527401127"/>
      <w:bookmarkEnd w:id="124"/>
      <w:r w:rsidRPr="001048FE">
        <w:rPr>
          <w:lang w:val="sl-SI"/>
        </w:rPr>
        <w:t>Partnerske države</w:t>
      </w:r>
      <w:bookmarkEnd w:id="125"/>
    </w:p>
    <w:p w14:paraId="7D398713" w14:textId="77777777" w:rsidR="00E03711" w:rsidRDefault="00E03711" w:rsidP="00264F70">
      <w:pPr>
        <w:pStyle w:val="GUIDE-NORMAL"/>
        <w:rPr>
          <w:lang w:val="sl-SI"/>
        </w:rPr>
        <w:sectPr w:rsidR="00E03711" w:rsidSect="007F4890">
          <w:headerReference w:type="default" r:id="rId59"/>
          <w:endnotePr>
            <w:numFmt w:val="decimal"/>
          </w:endnotePr>
          <w:pgSz w:w="11910" w:h="16840" w:code="9"/>
          <w:pgMar w:top="1134" w:right="1418" w:bottom="1134" w:left="1418" w:header="283" w:footer="567" w:gutter="0"/>
          <w:cols w:space="720"/>
          <w:docGrid w:linePitch="326"/>
        </w:sectPr>
      </w:pPr>
      <w:r w:rsidRPr="001048FE">
        <w:rPr>
          <w:lang w:val="sl-SI"/>
        </w:rPr>
        <w:t>Naslednje države lahko sodelujejo v nekaterih ukrepih Programa v skladu s posebnimi merili ali pogoji (za več informacij glej del B tega vodnika). Sredstva se bodo dodelila organizacijam na ozemljih držav, kot so priznana z mednarodnim pravom. Prijavitelji in udeleženci morajo spoštovati vsako omejitev, ki jo v zvezi z zunanjo pomočjo EU uvede Evropski svet.</w:t>
      </w:r>
      <w:r>
        <w:rPr>
          <w:lang w:val="sl-SI"/>
        </w:rPr>
        <w:t xml:space="preserve"> </w:t>
      </w:r>
      <w:r w:rsidRPr="001048FE">
        <w:rPr>
          <w:lang w:val="sl-SI"/>
        </w:rPr>
        <w:t>Prijave morajo biti v skladu s splošnimi vrednotami EU: spoštovanje človekovega dostojanstva, svobode, demokracije, enakosti, pravne države in spoštovanje človekovih pravic, vključno s pravicami pripadnikov manjšin, kot določa člen 2 Pogodbe o Evropski uniji.</w:t>
      </w:r>
      <w:r>
        <w:rPr>
          <w:lang w:val="sl-SI"/>
        </w:rPr>
        <w:tab/>
      </w:r>
    </w:p>
    <w:p w14:paraId="7D398714" w14:textId="77777777" w:rsidR="00E03711" w:rsidRPr="001048FE" w:rsidRDefault="00E03711" w:rsidP="00264F70">
      <w:pPr>
        <w:pStyle w:val="GUIDE-NORMAL"/>
        <w:rPr>
          <w:lang w:val="sl-SI"/>
        </w:rPr>
      </w:pPr>
    </w:p>
    <w:tbl>
      <w:tblPr>
        <w:tblW w:w="5015" w:type="pct"/>
        <w:jc w:val="center"/>
        <w:tblCellMar>
          <w:left w:w="10" w:type="dxa"/>
          <w:right w:w="10" w:type="dxa"/>
        </w:tblCellMar>
        <w:tblLook w:val="0000" w:firstRow="0" w:lastRow="0" w:firstColumn="0" w:lastColumn="0" w:noHBand="0" w:noVBand="0"/>
      </w:tblPr>
      <w:tblGrid>
        <w:gridCol w:w="1542"/>
        <w:gridCol w:w="2715"/>
        <w:gridCol w:w="2490"/>
        <w:gridCol w:w="2495"/>
      </w:tblGrid>
      <w:tr w:rsidR="00E03711" w:rsidRPr="008C6F8C" w14:paraId="7D398716" w14:textId="77777777" w:rsidTr="003D6DEB">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398715" w14:textId="77777777" w:rsidR="00E03711" w:rsidRPr="00F769E0" w:rsidRDefault="00E03711" w:rsidP="00B9411E">
            <w:pPr>
              <w:pStyle w:val="Guide-Table"/>
              <w:spacing w:before="60" w:after="60"/>
              <w:rPr>
                <w:rStyle w:val="Strong"/>
                <w:rFonts w:cs="Tahoma"/>
                <w:b w:val="0"/>
                <w:lang w:val="sl-SI" w:eastAsia="en-GB"/>
              </w:rPr>
            </w:pPr>
            <w:r w:rsidRPr="00F769E0">
              <w:rPr>
                <w:rFonts w:cs="Tahoma"/>
                <w:b/>
                <w:lang w:val="sl-SI" w:eastAsia="en-GB"/>
              </w:rPr>
              <w:t>Sosedske partnerske države EU</w:t>
            </w:r>
            <w:r w:rsidRPr="00F769E0">
              <w:rPr>
                <w:rStyle w:val="FootnoteReference"/>
                <w:rFonts w:cs="Tahoma"/>
                <w:b/>
                <w:lang w:val="sl-SI" w:eastAsia="en-GB"/>
              </w:rPr>
              <w:footnoteReference w:id="12"/>
            </w:r>
          </w:p>
        </w:tc>
      </w:tr>
      <w:tr w:rsidR="00E03711" w:rsidRPr="008C6F8C" w14:paraId="7D39871B" w14:textId="77777777" w:rsidTr="003D6DEB">
        <w:tblPrEx>
          <w:tblLook w:val="04A0" w:firstRow="1" w:lastRow="0" w:firstColumn="1" w:lastColumn="0" w:noHBand="0" w:noVBand="1"/>
        </w:tblPrEx>
        <w:trPr>
          <w:trHeight w:val="20"/>
          <w:jc w:val="center"/>
        </w:trPr>
        <w:tc>
          <w:tcPr>
            <w:tcW w:w="834" w:type="pc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D398717" w14:textId="77777777" w:rsidR="00E03711" w:rsidRPr="00F769E0" w:rsidRDefault="00E03711" w:rsidP="00264F70">
            <w:pPr>
              <w:pStyle w:val="Guide-Table"/>
              <w:spacing w:before="60" w:after="60"/>
              <w:rPr>
                <w:rFonts w:cs="Tahoma"/>
                <w:b/>
                <w:lang w:val="sl-SI" w:eastAsia="en-GB"/>
              </w:rPr>
            </w:pPr>
            <w:r w:rsidRPr="00F769E0">
              <w:rPr>
                <w:rFonts w:cs="Tahoma"/>
                <w:b/>
                <w:lang w:val="sl-SI" w:eastAsia="en-GB"/>
              </w:rPr>
              <w:t xml:space="preserve">Zahodni Balkan </w:t>
            </w:r>
            <w:r w:rsidRPr="00F769E0">
              <w:rPr>
                <w:rFonts w:cs="Tahoma"/>
                <w:b/>
                <w:lang w:val="sl-SI" w:eastAsia="en-GB"/>
              </w:rPr>
              <w:br/>
              <w:t>(regija 1):</w:t>
            </w:r>
          </w:p>
        </w:tc>
        <w:tc>
          <w:tcPr>
            <w:tcW w:w="1469" w:type="pct"/>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D398718" w14:textId="77777777" w:rsidR="00E03711" w:rsidRPr="00F769E0" w:rsidRDefault="00E03711" w:rsidP="00264F70">
            <w:pPr>
              <w:pStyle w:val="Guide-Table"/>
              <w:spacing w:before="60" w:after="60"/>
              <w:rPr>
                <w:rFonts w:cs="Tahoma"/>
                <w:b/>
                <w:lang w:val="sl-SI" w:eastAsia="en-GB"/>
              </w:rPr>
            </w:pPr>
            <w:r w:rsidRPr="00F769E0">
              <w:rPr>
                <w:rFonts w:cs="Tahoma"/>
                <w:b/>
                <w:lang w:val="sl-SI" w:eastAsia="en-GB"/>
              </w:rPr>
              <w:t>Države vzhodnega partnerstva (regija 2)</w:t>
            </w:r>
          </w:p>
        </w:tc>
        <w:tc>
          <w:tcPr>
            <w:tcW w:w="1347"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398719" w14:textId="77777777" w:rsidR="00E03711" w:rsidRPr="00F769E0" w:rsidRDefault="00E03711" w:rsidP="00264F70">
            <w:pPr>
              <w:pStyle w:val="Guide-Table"/>
              <w:spacing w:before="60" w:after="60"/>
              <w:rPr>
                <w:rFonts w:cs="Tahoma"/>
                <w:b/>
                <w:lang w:val="sl-SI" w:eastAsia="en-GB"/>
              </w:rPr>
            </w:pPr>
            <w:r w:rsidRPr="00F769E0">
              <w:rPr>
                <w:rFonts w:cs="Tahoma"/>
                <w:b/>
                <w:lang w:val="sl-SI" w:eastAsia="en-GB"/>
              </w:rPr>
              <w:t>Države južnega Sredozemlja (regija 3)</w:t>
            </w:r>
          </w:p>
        </w:tc>
        <w:tc>
          <w:tcPr>
            <w:tcW w:w="1351" w:type="pct"/>
            <w:tcBorders>
              <w:top w:val="single" w:sz="4" w:space="0" w:color="000000"/>
              <w:left w:val="single" w:sz="4" w:space="0" w:color="000000"/>
              <w:bottom w:val="single" w:sz="4" w:space="0" w:color="000000"/>
              <w:right w:val="single" w:sz="4" w:space="0" w:color="000000"/>
            </w:tcBorders>
            <w:vAlign w:val="center"/>
          </w:tcPr>
          <w:p w14:paraId="7D39871A" w14:textId="77777777" w:rsidR="00E03711" w:rsidRPr="00F769E0" w:rsidRDefault="00E03711" w:rsidP="00264F70">
            <w:pPr>
              <w:pStyle w:val="Guide-Table"/>
              <w:spacing w:before="60" w:after="60"/>
              <w:rPr>
                <w:rFonts w:cs="Tahoma"/>
                <w:b/>
                <w:lang w:val="sl-SI" w:eastAsia="en-GB"/>
              </w:rPr>
            </w:pPr>
            <w:r w:rsidRPr="00F769E0">
              <w:rPr>
                <w:rFonts w:cs="Tahoma"/>
                <w:b/>
                <w:lang w:val="sl-SI" w:eastAsia="en-GB"/>
              </w:rPr>
              <w:t xml:space="preserve">Ruska federacija </w:t>
            </w:r>
            <w:r w:rsidRPr="00F769E0">
              <w:rPr>
                <w:rFonts w:cs="Tahoma"/>
                <w:b/>
                <w:lang w:val="sl-SI" w:eastAsia="en-GB"/>
              </w:rPr>
              <w:br/>
              <w:t>(regija 4)</w:t>
            </w:r>
          </w:p>
        </w:tc>
      </w:tr>
      <w:tr w:rsidR="00E03711" w:rsidRPr="008C6F8C" w14:paraId="7D398738" w14:textId="77777777" w:rsidTr="003D6DEB">
        <w:tblPrEx>
          <w:tblLook w:val="04A0" w:firstRow="1" w:lastRow="0" w:firstColumn="1" w:lastColumn="0" w:noHBand="0" w:noVBand="1"/>
        </w:tblPrEx>
        <w:trPr>
          <w:trHeight w:val="20"/>
          <w:jc w:val="center"/>
        </w:trPr>
        <w:tc>
          <w:tcPr>
            <w:tcW w:w="834" w:type="pct"/>
            <w:tcBorders>
              <w:left w:val="single" w:sz="4" w:space="0" w:color="000000"/>
              <w:bottom w:val="single" w:sz="4" w:space="0" w:color="000000"/>
            </w:tcBorders>
            <w:shd w:val="clear" w:color="auto" w:fill="auto"/>
            <w:tcMar>
              <w:top w:w="0" w:type="dxa"/>
              <w:left w:w="70" w:type="dxa"/>
              <w:bottom w:w="0" w:type="dxa"/>
              <w:right w:w="70" w:type="dxa"/>
            </w:tcMar>
          </w:tcPr>
          <w:p w14:paraId="7D39871C" w14:textId="77777777" w:rsidR="00E03711" w:rsidRPr="00F769E0" w:rsidRDefault="00E03711" w:rsidP="00264F70">
            <w:pPr>
              <w:pStyle w:val="Guide-Table"/>
              <w:rPr>
                <w:rFonts w:cs="Tahoma"/>
                <w:lang w:val="sl-SI" w:eastAsia="en-GB"/>
              </w:rPr>
            </w:pPr>
            <w:r w:rsidRPr="00F769E0">
              <w:rPr>
                <w:rFonts w:cs="Tahoma"/>
                <w:lang w:val="sl-SI" w:eastAsia="en-GB"/>
              </w:rPr>
              <w:t>Albanija</w:t>
            </w:r>
          </w:p>
          <w:p w14:paraId="7D39871D" w14:textId="77777777" w:rsidR="00E03711" w:rsidRPr="00F769E0" w:rsidRDefault="00E03711" w:rsidP="00264F70">
            <w:pPr>
              <w:pStyle w:val="Guide-Table"/>
              <w:rPr>
                <w:rFonts w:cs="Tahoma"/>
                <w:lang w:val="sl-SI" w:eastAsia="en-GB"/>
              </w:rPr>
            </w:pPr>
            <w:r w:rsidRPr="00F769E0">
              <w:rPr>
                <w:rFonts w:cs="Tahoma"/>
                <w:lang w:val="sl-SI" w:eastAsia="en-GB"/>
              </w:rPr>
              <w:t xml:space="preserve">Bosna in Hercegovina </w:t>
            </w:r>
          </w:p>
          <w:p w14:paraId="7D39871E" w14:textId="77777777" w:rsidR="00E03711" w:rsidRPr="00F769E0" w:rsidRDefault="00E03711" w:rsidP="00264F70">
            <w:pPr>
              <w:pStyle w:val="Guide-Table"/>
              <w:rPr>
                <w:rFonts w:cs="Tahoma"/>
                <w:lang w:val="sl-SI" w:eastAsia="en-GB"/>
              </w:rPr>
            </w:pPr>
            <w:r w:rsidRPr="00F769E0">
              <w:rPr>
                <w:rFonts w:cs="Tahoma"/>
                <w:lang w:val="sl-SI" w:eastAsia="en-GB"/>
              </w:rPr>
              <w:t>Kosovo</w:t>
            </w:r>
            <w:r w:rsidRPr="00F769E0">
              <w:rPr>
                <w:rStyle w:val="FootnoteReference"/>
                <w:rFonts w:cs="Tahoma"/>
                <w:lang w:val="sl-SI" w:eastAsia="en-GB"/>
              </w:rPr>
              <w:footnoteReference w:id="13"/>
            </w:r>
          </w:p>
          <w:p w14:paraId="7D39871F" w14:textId="77777777" w:rsidR="00E03711" w:rsidRPr="00F769E0" w:rsidRDefault="00E03711" w:rsidP="00264F70">
            <w:pPr>
              <w:pStyle w:val="Guide-Table"/>
              <w:rPr>
                <w:rFonts w:cs="Tahoma"/>
                <w:lang w:val="sl-SI" w:eastAsia="en-GB"/>
              </w:rPr>
            </w:pPr>
            <w:r w:rsidRPr="00F769E0">
              <w:rPr>
                <w:rFonts w:cs="Tahoma"/>
                <w:lang w:val="sl-SI" w:eastAsia="en-GB"/>
              </w:rPr>
              <w:t xml:space="preserve">Črna gora </w:t>
            </w:r>
          </w:p>
          <w:p w14:paraId="7D398720" w14:textId="77777777" w:rsidR="00E03711" w:rsidRPr="00F769E0" w:rsidRDefault="00E03711" w:rsidP="00264F70">
            <w:pPr>
              <w:pStyle w:val="Guide-Table"/>
              <w:rPr>
                <w:rFonts w:cs="Tahoma"/>
                <w:lang w:val="sl-SI" w:eastAsia="en-GB"/>
              </w:rPr>
            </w:pPr>
          </w:p>
        </w:tc>
        <w:tc>
          <w:tcPr>
            <w:tcW w:w="1469" w:type="pct"/>
            <w:tcBorders>
              <w:left w:val="single" w:sz="4" w:space="0" w:color="000000"/>
              <w:bottom w:val="single" w:sz="4" w:space="0" w:color="000000"/>
            </w:tcBorders>
            <w:shd w:val="clear" w:color="auto" w:fill="auto"/>
            <w:tcMar>
              <w:top w:w="0" w:type="dxa"/>
              <w:left w:w="70" w:type="dxa"/>
              <w:bottom w:w="0" w:type="dxa"/>
              <w:right w:w="70" w:type="dxa"/>
            </w:tcMar>
          </w:tcPr>
          <w:p w14:paraId="7D398721" w14:textId="77777777" w:rsidR="00E03711" w:rsidRPr="00F769E0" w:rsidRDefault="00E03711" w:rsidP="00264F70">
            <w:pPr>
              <w:pStyle w:val="Guide-Table"/>
              <w:rPr>
                <w:rFonts w:cs="Tahoma"/>
                <w:lang w:val="sl-SI" w:eastAsia="en-GB"/>
              </w:rPr>
            </w:pPr>
            <w:r w:rsidRPr="00F769E0">
              <w:rPr>
                <w:rFonts w:cs="Tahoma"/>
                <w:lang w:val="sl-SI" w:eastAsia="en-GB"/>
              </w:rPr>
              <w:t xml:space="preserve">Armenija </w:t>
            </w:r>
          </w:p>
          <w:p w14:paraId="7D398722" w14:textId="77777777" w:rsidR="00E03711" w:rsidRPr="00F769E0" w:rsidRDefault="00E03711" w:rsidP="00264F70">
            <w:pPr>
              <w:pStyle w:val="Guide-Table"/>
              <w:rPr>
                <w:rFonts w:cs="Tahoma"/>
                <w:lang w:val="sl-SI" w:eastAsia="en-GB"/>
              </w:rPr>
            </w:pPr>
            <w:r w:rsidRPr="00F769E0">
              <w:rPr>
                <w:rFonts w:cs="Tahoma"/>
                <w:lang w:val="sl-SI" w:eastAsia="en-GB"/>
              </w:rPr>
              <w:t xml:space="preserve">Azerbajdžan </w:t>
            </w:r>
          </w:p>
          <w:p w14:paraId="7D398723" w14:textId="77777777" w:rsidR="00E03711" w:rsidRPr="00F769E0" w:rsidRDefault="00E03711" w:rsidP="00264F70">
            <w:pPr>
              <w:pStyle w:val="Guide-Table"/>
              <w:rPr>
                <w:rFonts w:cs="Tahoma"/>
                <w:lang w:val="sl-SI" w:eastAsia="en-GB"/>
              </w:rPr>
            </w:pPr>
            <w:r w:rsidRPr="00F769E0">
              <w:rPr>
                <w:rFonts w:cs="Tahoma"/>
                <w:lang w:val="sl-SI" w:eastAsia="en-GB"/>
              </w:rPr>
              <w:t xml:space="preserve">Belorusija </w:t>
            </w:r>
          </w:p>
          <w:p w14:paraId="7D398724" w14:textId="77777777" w:rsidR="00E03711" w:rsidRPr="00F769E0" w:rsidRDefault="00E03711" w:rsidP="00264F70">
            <w:pPr>
              <w:pStyle w:val="Guide-Table"/>
              <w:rPr>
                <w:rFonts w:cs="Tahoma"/>
                <w:lang w:val="sl-SI" w:eastAsia="en-GB"/>
              </w:rPr>
            </w:pPr>
            <w:r w:rsidRPr="00F769E0">
              <w:rPr>
                <w:rFonts w:cs="Tahoma"/>
                <w:lang w:val="sl-SI" w:eastAsia="en-GB"/>
              </w:rPr>
              <w:t xml:space="preserve">Gruzija </w:t>
            </w:r>
          </w:p>
          <w:p w14:paraId="7D398725" w14:textId="77777777" w:rsidR="00E03711" w:rsidRPr="00F769E0" w:rsidRDefault="00E03711" w:rsidP="00264F70">
            <w:pPr>
              <w:pStyle w:val="Guide-Table"/>
              <w:rPr>
                <w:rFonts w:cs="Tahoma"/>
                <w:lang w:val="sl-SI" w:eastAsia="en-GB"/>
              </w:rPr>
            </w:pPr>
            <w:r w:rsidRPr="00F769E0">
              <w:rPr>
                <w:rFonts w:cs="Tahoma"/>
                <w:lang w:val="sl-SI" w:eastAsia="en-GB"/>
              </w:rPr>
              <w:t>Moldavija</w:t>
            </w:r>
          </w:p>
          <w:p w14:paraId="7D398726" w14:textId="77777777" w:rsidR="00E03711" w:rsidRPr="00F769E0" w:rsidRDefault="00E03711" w:rsidP="00264F70">
            <w:pPr>
              <w:pStyle w:val="Guide-Table"/>
              <w:rPr>
                <w:rFonts w:cs="Tahoma"/>
                <w:lang w:val="sl-SI" w:eastAsia="en-GB"/>
              </w:rPr>
            </w:pPr>
            <w:r w:rsidRPr="00F769E0">
              <w:rPr>
                <w:rFonts w:cs="Tahoma"/>
                <w:lang w:val="sl-SI" w:eastAsia="en-GB"/>
              </w:rPr>
              <w:t xml:space="preserve">Ozemlje Ukrajine, </w:t>
            </w:r>
          </w:p>
          <w:p w14:paraId="7D398727" w14:textId="77777777" w:rsidR="00E03711" w:rsidRPr="00F769E0" w:rsidRDefault="00E03711" w:rsidP="00264F70">
            <w:pPr>
              <w:pStyle w:val="Guide-Table"/>
              <w:rPr>
                <w:rFonts w:cs="Tahoma"/>
                <w:lang w:val="sl-SI" w:eastAsia="en-GB"/>
              </w:rPr>
            </w:pPr>
            <w:r w:rsidRPr="00F769E0">
              <w:rPr>
                <w:rFonts w:cs="Tahoma"/>
                <w:lang w:val="sl-SI" w:eastAsia="en-GB"/>
              </w:rPr>
              <w:t xml:space="preserve">kot je priznano </w:t>
            </w:r>
          </w:p>
          <w:p w14:paraId="7D398728" w14:textId="77777777" w:rsidR="00E03711" w:rsidRPr="00F769E0" w:rsidRDefault="00E03711" w:rsidP="00264F70">
            <w:pPr>
              <w:pStyle w:val="Guide-Table"/>
              <w:rPr>
                <w:rFonts w:cs="Tahoma"/>
                <w:lang w:val="sl-SI" w:eastAsia="en-GB"/>
              </w:rPr>
            </w:pPr>
            <w:r w:rsidRPr="00F769E0">
              <w:rPr>
                <w:rFonts w:cs="Tahoma"/>
                <w:lang w:val="sl-SI" w:eastAsia="en-GB"/>
              </w:rPr>
              <w:t xml:space="preserve">z mednarodnim </w:t>
            </w:r>
          </w:p>
          <w:p w14:paraId="7D398729" w14:textId="77777777" w:rsidR="00E03711" w:rsidRPr="00F769E0" w:rsidRDefault="00E03711" w:rsidP="00264F70">
            <w:pPr>
              <w:pStyle w:val="Guide-Table"/>
              <w:rPr>
                <w:rFonts w:cs="Tahoma"/>
                <w:lang w:val="sl-SI" w:eastAsia="en-GB"/>
              </w:rPr>
            </w:pPr>
            <w:r w:rsidRPr="00F769E0">
              <w:rPr>
                <w:rFonts w:cs="Tahoma"/>
                <w:lang w:val="sl-SI" w:eastAsia="en-GB"/>
              </w:rPr>
              <w:t>pravom</w:t>
            </w:r>
          </w:p>
        </w:tc>
        <w:tc>
          <w:tcPr>
            <w:tcW w:w="1347" w:type="pc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39872A" w14:textId="77777777" w:rsidR="00E03711" w:rsidRPr="00F769E0" w:rsidRDefault="00E03711" w:rsidP="00264F70">
            <w:pPr>
              <w:pStyle w:val="Guide-Table"/>
              <w:rPr>
                <w:rFonts w:cs="Tahoma"/>
                <w:lang w:val="sl-SI" w:eastAsia="en-GB"/>
              </w:rPr>
            </w:pPr>
            <w:r w:rsidRPr="00F769E0">
              <w:rPr>
                <w:rFonts w:cs="Tahoma"/>
                <w:lang w:val="sl-SI" w:eastAsia="en-GB"/>
              </w:rPr>
              <w:t xml:space="preserve">Alžirija </w:t>
            </w:r>
          </w:p>
          <w:p w14:paraId="7D39872B" w14:textId="77777777" w:rsidR="00E03711" w:rsidRPr="00F769E0" w:rsidRDefault="00E03711" w:rsidP="00264F70">
            <w:pPr>
              <w:pStyle w:val="Guide-Table"/>
              <w:rPr>
                <w:rFonts w:cs="Tahoma"/>
                <w:lang w:val="sl-SI" w:eastAsia="en-GB"/>
              </w:rPr>
            </w:pPr>
            <w:r w:rsidRPr="00F769E0">
              <w:rPr>
                <w:rFonts w:cs="Tahoma"/>
                <w:lang w:val="sl-SI" w:eastAsia="en-GB"/>
              </w:rPr>
              <w:t xml:space="preserve">Egipt </w:t>
            </w:r>
          </w:p>
          <w:p w14:paraId="7D39872C" w14:textId="77777777" w:rsidR="00E03711" w:rsidRPr="00F769E0" w:rsidRDefault="00E03711" w:rsidP="00264F70">
            <w:pPr>
              <w:pStyle w:val="Guide-Table"/>
              <w:rPr>
                <w:rFonts w:cs="Tahoma"/>
                <w:lang w:val="sl-SI" w:eastAsia="en-GB"/>
              </w:rPr>
            </w:pPr>
            <w:r w:rsidRPr="00F769E0">
              <w:rPr>
                <w:rFonts w:cs="Tahoma"/>
                <w:lang w:val="sl-SI" w:eastAsia="en-GB"/>
              </w:rPr>
              <w:t xml:space="preserve">Izrael </w:t>
            </w:r>
          </w:p>
          <w:p w14:paraId="7D39872D" w14:textId="77777777" w:rsidR="00E03711" w:rsidRPr="00F769E0" w:rsidRDefault="00E03711" w:rsidP="00264F70">
            <w:pPr>
              <w:pStyle w:val="Guide-Table"/>
              <w:rPr>
                <w:rFonts w:cs="Tahoma"/>
                <w:lang w:val="sl-SI" w:eastAsia="en-GB"/>
              </w:rPr>
            </w:pPr>
            <w:r w:rsidRPr="00F769E0">
              <w:rPr>
                <w:rFonts w:cs="Tahoma"/>
                <w:lang w:val="sl-SI" w:eastAsia="en-GB"/>
              </w:rPr>
              <w:t xml:space="preserve">Jordanija </w:t>
            </w:r>
          </w:p>
          <w:p w14:paraId="7D39872E" w14:textId="77777777" w:rsidR="00E03711" w:rsidRPr="00F769E0" w:rsidRDefault="00E03711" w:rsidP="00264F70">
            <w:pPr>
              <w:pStyle w:val="Guide-Table"/>
              <w:rPr>
                <w:rFonts w:cs="Tahoma"/>
                <w:lang w:val="sl-SI" w:eastAsia="en-GB"/>
              </w:rPr>
            </w:pPr>
            <w:r w:rsidRPr="00F769E0">
              <w:rPr>
                <w:rFonts w:cs="Tahoma"/>
                <w:lang w:val="sl-SI" w:eastAsia="en-GB"/>
              </w:rPr>
              <w:t xml:space="preserve">Libanon </w:t>
            </w:r>
          </w:p>
          <w:p w14:paraId="7D39872F" w14:textId="77777777" w:rsidR="00E03711" w:rsidRPr="00F769E0" w:rsidRDefault="00E03711" w:rsidP="00264F70">
            <w:pPr>
              <w:pStyle w:val="Guide-Table"/>
              <w:rPr>
                <w:rFonts w:cs="Tahoma"/>
                <w:lang w:val="sl-SI" w:eastAsia="en-GB"/>
              </w:rPr>
            </w:pPr>
            <w:r w:rsidRPr="00F769E0">
              <w:rPr>
                <w:rFonts w:cs="Tahoma"/>
                <w:lang w:val="sl-SI" w:eastAsia="en-GB"/>
              </w:rPr>
              <w:t xml:space="preserve">Libija </w:t>
            </w:r>
          </w:p>
          <w:p w14:paraId="7D398730" w14:textId="77777777" w:rsidR="00E03711" w:rsidRPr="00F769E0" w:rsidRDefault="00E03711" w:rsidP="00264F70">
            <w:pPr>
              <w:pStyle w:val="Guide-Table"/>
              <w:rPr>
                <w:rFonts w:cs="Tahoma"/>
                <w:lang w:val="sl-SI" w:eastAsia="en-GB"/>
              </w:rPr>
            </w:pPr>
            <w:r w:rsidRPr="00F769E0">
              <w:rPr>
                <w:rFonts w:cs="Tahoma"/>
                <w:lang w:val="sl-SI" w:eastAsia="en-GB"/>
              </w:rPr>
              <w:t xml:space="preserve">Maroko </w:t>
            </w:r>
          </w:p>
          <w:p w14:paraId="7D398731" w14:textId="77777777" w:rsidR="00E03711" w:rsidRPr="00F769E0" w:rsidRDefault="00E03711" w:rsidP="00264F70">
            <w:pPr>
              <w:pStyle w:val="Guide-Table"/>
              <w:rPr>
                <w:rFonts w:cs="Tahoma"/>
                <w:lang w:val="sl-SI" w:eastAsia="en-GB"/>
              </w:rPr>
            </w:pPr>
            <w:r w:rsidRPr="00F769E0">
              <w:rPr>
                <w:rFonts w:cs="Tahoma"/>
                <w:lang w:val="sl-SI" w:eastAsia="en-GB"/>
              </w:rPr>
              <w:t>Palestina</w:t>
            </w:r>
            <w:r w:rsidRPr="00F769E0">
              <w:rPr>
                <w:rStyle w:val="FootnoteReference"/>
                <w:rFonts w:cs="Tahoma"/>
                <w:lang w:val="sl-SI" w:eastAsia="en-GB"/>
              </w:rPr>
              <w:footnoteReference w:id="14"/>
            </w:r>
            <w:r w:rsidRPr="00F769E0">
              <w:rPr>
                <w:rFonts w:cs="Tahoma"/>
                <w:lang w:val="sl-SI" w:eastAsia="en-GB"/>
              </w:rPr>
              <w:t xml:space="preserve"> </w:t>
            </w:r>
          </w:p>
          <w:p w14:paraId="7D398732" w14:textId="77777777" w:rsidR="00E03711" w:rsidRPr="00F769E0" w:rsidRDefault="00E03711" w:rsidP="00264F70">
            <w:pPr>
              <w:pStyle w:val="Guide-Table"/>
              <w:rPr>
                <w:rFonts w:cs="Tahoma"/>
                <w:lang w:val="sl-SI" w:eastAsia="en-GB"/>
              </w:rPr>
            </w:pPr>
            <w:r w:rsidRPr="00F769E0">
              <w:rPr>
                <w:rFonts w:cs="Tahoma"/>
                <w:lang w:val="sl-SI" w:eastAsia="en-GB"/>
              </w:rPr>
              <w:t xml:space="preserve">Sirija </w:t>
            </w:r>
          </w:p>
          <w:p w14:paraId="7D398733" w14:textId="77777777" w:rsidR="00E03711" w:rsidRPr="00F769E0" w:rsidRDefault="00E03711" w:rsidP="00264F70">
            <w:pPr>
              <w:pStyle w:val="Guide-Table"/>
              <w:rPr>
                <w:rFonts w:cs="Tahoma"/>
                <w:lang w:val="sl-SI" w:eastAsia="en-GB"/>
              </w:rPr>
            </w:pPr>
            <w:r w:rsidRPr="00F769E0">
              <w:rPr>
                <w:rFonts w:cs="Tahoma"/>
                <w:lang w:val="sl-SI" w:eastAsia="en-GB"/>
              </w:rPr>
              <w:t>Tunizija</w:t>
            </w:r>
          </w:p>
        </w:tc>
        <w:tc>
          <w:tcPr>
            <w:tcW w:w="1351" w:type="pct"/>
            <w:tcBorders>
              <w:left w:val="single" w:sz="4" w:space="0" w:color="000000"/>
              <w:bottom w:val="single" w:sz="4" w:space="0" w:color="000000"/>
              <w:right w:val="single" w:sz="4" w:space="0" w:color="000000"/>
            </w:tcBorders>
          </w:tcPr>
          <w:p w14:paraId="7D398734" w14:textId="77777777" w:rsidR="00E03711" w:rsidRPr="00F769E0" w:rsidRDefault="00E03711" w:rsidP="00264F70">
            <w:pPr>
              <w:pStyle w:val="Guide-Table"/>
              <w:rPr>
                <w:rFonts w:cs="Tahoma"/>
                <w:lang w:val="sl-SI" w:eastAsia="en-GB"/>
              </w:rPr>
            </w:pPr>
            <w:r w:rsidRPr="00F769E0">
              <w:rPr>
                <w:rFonts w:cs="Tahoma"/>
                <w:lang w:val="sl-SI" w:eastAsia="en-GB"/>
              </w:rPr>
              <w:t xml:space="preserve">Ozemlje Rusije, </w:t>
            </w:r>
          </w:p>
          <w:p w14:paraId="7D398735" w14:textId="77777777" w:rsidR="00E03711" w:rsidRPr="00F769E0" w:rsidRDefault="00E03711" w:rsidP="00264F70">
            <w:pPr>
              <w:pStyle w:val="Guide-Table"/>
              <w:rPr>
                <w:rFonts w:cs="Tahoma"/>
                <w:lang w:val="sl-SI" w:eastAsia="en-GB"/>
              </w:rPr>
            </w:pPr>
            <w:r w:rsidRPr="00F769E0">
              <w:rPr>
                <w:rFonts w:cs="Tahoma"/>
                <w:lang w:val="sl-SI" w:eastAsia="en-GB"/>
              </w:rPr>
              <w:t xml:space="preserve">kot je priznano </w:t>
            </w:r>
          </w:p>
          <w:p w14:paraId="7D398736" w14:textId="77777777" w:rsidR="00E03711" w:rsidRPr="00F769E0" w:rsidRDefault="00E03711" w:rsidP="00264F70">
            <w:pPr>
              <w:pStyle w:val="Guide-Table"/>
              <w:rPr>
                <w:rFonts w:cs="Tahoma"/>
                <w:lang w:val="sl-SI" w:eastAsia="en-GB"/>
              </w:rPr>
            </w:pPr>
            <w:r w:rsidRPr="00F769E0">
              <w:rPr>
                <w:rFonts w:cs="Tahoma"/>
                <w:lang w:val="sl-SI" w:eastAsia="en-GB"/>
              </w:rPr>
              <w:t xml:space="preserve">z mednarodnim </w:t>
            </w:r>
          </w:p>
          <w:p w14:paraId="7D398737" w14:textId="77777777" w:rsidR="00E03711" w:rsidRPr="00F769E0" w:rsidRDefault="00E03711" w:rsidP="00264F70">
            <w:pPr>
              <w:pStyle w:val="Guide-Table"/>
              <w:rPr>
                <w:rFonts w:cs="Tahoma"/>
                <w:lang w:val="sl-SI" w:eastAsia="en-GB"/>
              </w:rPr>
            </w:pPr>
            <w:r w:rsidRPr="00F769E0">
              <w:rPr>
                <w:rFonts w:cs="Tahoma"/>
                <w:lang w:val="sl-SI" w:eastAsia="en-GB"/>
              </w:rPr>
              <w:t>pravom</w:t>
            </w:r>
          </w:p>
        </w:tc>
      </w:tr>
    </w:tbl>
    <w:p w14:paraId="7D398739" w14:textId="77777777" w:rsidR="00E03711" w:rsidRPr="001048FE" w:rsidRDefault="00E03711" w:rsidP="00E23D2D">
      <w:pPr>
        <w:pStyle w:val="Guide-Heading4"/>
        <w:rPr>
          <w:lang w:val="sl-SI"/>
        </w:rPr>
      </w:pPr>
      <w:bookmarkStart w:id="126" w:name="Autres_pays_partenaires"/>
      <w:bookmarkStart w:id="127" w:name="_Toc527401128"/>
      <w:bookmarkEnd w:id="126"/>
      <w:r w:rsidRPr="001048FE">
        <w:rPr>
          <w:lang w:val="sl-SI"/>
        </w:rPr>
        <w:t>Druge partnerske države</w:t>
      </w:r>
      <w:bookmarkEnd w:id="127"/>
    </w:p>
    <w:p w14:paraId="7D39873A" w14:textId="77777777" w:rsidR="00E03711" w:rsidRPr="001048FE" w:rsidRDefault="00E03711" w:rsidP="0000374F">
      <w:pPr>
        <w:pStyle w:val="GUIDE-NORMAL"/>
        <w:rPr>
          <w:lang w:val="sl-SI"/>
        </w:rPr>
      </w:pPr>
      <w:r w:rsidRPr="001048FE">
        <w:rPr>
          <w:lang w:val="sl-SI"/>
        </w:rPr>
        <w:t>V nekaterih ukrepih Programa lahko sodelujejo vse ostale partnerske države sveta, navedene v spodnjem seznamu. Za nekatere druge ukrepe je geografski obseg manjši.</w:t>
      </w:r>
    </w:p>
    <w:p w14:paraId="7D39873B" w14:textId="77777777" w:rsidR="00E03711" w:rsidRPr="001048FE" w:rsidRDefault="00E03711" w:rsidP="0000374F">
      <w:pPr>
        <w:pStyle w:val="GUIDE-NORMAL"/>
        <w:rPr>
          <w:lang w:val="sl-SI"/>
        </w:rPr>
      </w:pPr>
      <w:r w:rsidRPr="001048FE">
        <w:rPr>
          <w:lang w:val="sl-SI"/>
        </w:rPr>
        <w:t>Spodaj navedene partnerske države so razvrščene glede na finančne instrumente zunanjega delovanja EU.</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7090"/>
      </w:tblGrid>
      <w:tr w:rsidR="00E03711" w:rsidRPr="00C60205" w14:paraId="7D39873E" w14:textId="77777777" w:rsidTr="009D2C22">
        <w:trPr>
          <w:trHeight w:val="20"/>
        </w:trPr>
        <w:tc>
          <w:tcPr>
            <w:tcW w:w="1187" w:type="pct"/>
            <w:tcBorders>
              <w:top w:val="single" w:sz="4" w:space="0" w:color="auto"/>
              <w:left w:val="single" w:sz="4" w:space="0" w:color="auto"/>
              <w:bottom w:val="single" w:sz="4" w:space="0" w:color="auto"/>
              <w:right w:val="single" w:sz="4" w:space="0" w:color="auto"/>
            </w:tcBorders>
            <w:shd w:val="clear" w:color="auto" w:fill="auto"/>
            <w:vAlign w:val="center"/>
          </w:tcPr>
          <w:p w14:paraId="7D39873C" w14:textId="77777777" w:rsidR="00E03711" w:rsidRPr="00F769E0" w:rsidRDefault="006A4FAF" w:rsidP="004E621B">
            <w:pPr>
              <w:pStyle w:val="Guide-Table"/>
              <w:spacing w:before="60" w:after="60"/>
              <w:jc w:val="left"/>
              <w:rPr>
                <w:rFonts w:cs="Tahoma"/>
                <w:b/>
                <w:lang w:val="sl-SI" w:eastAsia="en-GB"/>
              </w:rPr>
            </w:pPr>
            <w:r>
              <w:rPr>
                <w:rFonts w:cs="Tahoma"/>
                <w:b/>
                <w:lang w:val="sl-SI" w:eastAsia="en-GB"/>
              </w:rPr>
              <w:t xml:space="preserve">Regija </w:t>
            </w:r>
            <w:r w:rsidR="00E03711" w:rsidRPr="00F769E0">
              <w:rPr>
                <w:rFonts w:cs="Tahoma"/>
                <w:b/>
                <w:lang w:val="sl-SI" w:eastAsia="en-GB"/>
              </w:rPr>
              <w:t>5</w:t>
            </w:r>
          </w:p>
        </w:tc>
        <w:tc>
          <w:tcPr>
            <w:tcW w:w="3813" w:type="pct"/>
            <w:tcBorders>
              <w:top w:val="single" w:sz="4" w:space="0" w:color="auto"/>
              <w:left w:val="single" w:sz="4" w:space="0" w:color="auto"/>
              <w:bottom w:val="single" w:sz="4" w:space="0" w:color="auto"/>
              <w:right w:val="single" w:sz="4" w:space="0" w:color="auto"/>
            </w:tcBorders>
            <w:shd w:val="clear" w:color="auto" w:fill="auto"/>
            <w:vAlign w:val="center"/>
          </w:tcPr>
          <w:p w14:paraId="7D39873D" w14:textId="77777777" w:rsidR="00E03711" w:rsidRPr="00F769E0" w:rsidRDefault="00E03711" w:rsidP="0000374F">
            <w:pPr>
              <w:pStyle w:val="Guide-Table"/>
              <w:jc w:val="left"/>
              <w:rPr>
                <w:rFonts w:cs="Tahoma"/>
                <w:lang w:val="sl-SI" w:eastAsia="en-GB"/>
              </w:rPr>
            </w:pPr>
            <w:r w:rsidRPr="00F769E0">
              <w:rPr>
                <w:rFonts w:cs="Tahoma"/>
                <w:lang w:val="sl-SI" w:eastAsia="en-GB"/>
              </w:rPr>
              <w:t>Andora, San Marino, Vatikanska mestna država</w:t>
            </w:r>
          </w:p>
        </w:tc>
      </w:tr>
      <w:tr w:rsidR="00E03711" w:rsidRPr="00C60205" w14:paraId="7D398741" w14:textId="77777777" w:rsidTr="009D2C22">
        <w:trPr>
          <w:trHeight w:val="20"/>
        </w:trPr>
        <w:tc>
          <w:tcPr>
            <w:tcW w:w="1187" w:type="pct"/>
            <w:shd w:val="clear" w:color="auto" w:fill="auto"/>
            <w:vAlign w:val="center"/>
          </w:tcPr>
          <w:p w14:paraId="7D39873F" w14:textId="77777777" w:rsidR="00E03711" w:rsidRPr="00F769E0" w:rsidRDefault="00E03711" w:rsidP="004E621B">
            <w:pPr>
              <w:pStyle w:val="Guide-Table"/>
              <w:spacing w:before="60" w:after="60"/>
              <w:jc w:val="left"/>
              <w:rPr>
                <w:rFonts w:cs="Tahoma"/>
                <w:b/>
                <w:lang w:val="sl-SI" w:eastAsia="en-GB"/>
              </w:rPr>
            </w:pPr>
            <w:r w:rsidRPr="00F769E0">
              <w:rPr>
                <w:rFonts w:cs="Tahoma"/>
                <w:b/>
                <w:lang w:val="sl-SI" w:eastAsia="en-GB"/>
              </w:rPr>
              <w:t>Regija 6</w:t>
            </w:r>
            <w:r w:rsidRPr="00F769E0">
              <w:rPr>
                <w:rStyle w:val="FootnoteReference"/>
                <w:rFonts w:cs="Tahoma"/>
                <w:b/>
                <w:lang w:val="sl-SI" w:eastAsia="en-GB"/>
              </w:rPr>
              <w:footnoteReference w:id="15"/>
            </w:r>
            <w:r w:rsidRPr="00F769E0">
              <w:rPr>
                <w:rFonts w:cs="Tahoma"/>
                <w:b/>
                <w:lang w:val="sl-SI" w:eastAsia="en-GB"/>
              </w:rPr>
              <w:br/>
              <w:t>Azija</w:t>
            </w:r>
          </w:p>
        </w:tc>
        <w:tc>
          <w:tcPr>
            <w:tcW w:w="3813" w:type="pct"/>
            <w:shd w:val="clear" w:color="auto" w:fill="auto"/>
            <w:vAlign w:val="center"/>
          </w:tcPr>
          <w:p w14:paraId="7D398740" w14:textId="77777777" w:rsidR="00E03711" w:rsidRPr="00F769E0" w:rsidRDefault="00E03711" w:rsidP="0000374F">
            <w:pPr>
              <w:pStyle w:val="Guide-Table"/>
              <w:jc w:val="left"/>
              <w:rPr>
                <w:rFonts w:cs="Tahoma"/>
                <w:lang w:val="sl-SI" w:eastAsia="en-GB"/>
              </w:rPr>
            </w:pPr>
            <w:r w:rsidRPr="00F769E0">
              <w:rPr>
                <w:rFonts w:cs="Tahoma"/>
                <w:lang w:val="sl-SI" w:eastAsia="en-GB"/>
              </w:rPr>
              <w:t>Afganistan, Bangladeš, Butan, Kambodža, Kitajska, Demokratična ljudska republika Koreja, Indija, Indonezija, Laos, Malezija, Maldivi, Mongolija, Mjanmar, Nepal, Pakistan, Filipini, Šrilanka, Tajska in Vietnam</w:t>
            </w:r>
          </w:p>
        </w:tc>
      </w:tr>
      <w:tr w:rsidR="00E03711" w:rsidRPr="00C60205" w14:paraId="7D398744" w14:textId="77777777" w:rsidTr="009D2C22">
        <w:trPr>
          <w:trHeight w:val="20"/>
        </w:trPr>
        <w:tc>
          <w:tcPr>
            <w:tcW w:w="1187" w:type="pct"/>
            <w:shd w:val="clear" w:color="auto" w:fill="auto"/>
            <w:vAlign w:val="center"/>
          </w:tcPr>
          <w:p w14:paraId="7D398742" w14:textId="77777777" w:rsidR="00E03711" w:rsidRPr="00F769E0" w:rsidRDefault="00E03711" w:rsidP="004E621B">
            <w:pPr>
              <w:pStyle w:val="Guide-Table"/>
              <w:spacing w:before="60" w:after="60"/>
              <w:jc w:val="left"/>
              <w:rPr>
                <w:rFonts w:cs="Tahoma"/>
                <w:b/>
                <w:lang w:val="sl-SI" w:eastAsia="en-GB"/>
              </w:rPr>
            </w:pPr>
            <w:r w:rsidRPr="00F769E0">
              <w:rPr>
                <w:rFonts w:cs="Tahoma"/>
                <w:b/>
                <w:lang w:val="sl-SI" w:eastAsia="en-GB"/>
              </w:rPr>
              <w:t>Regija 7</w:t>
            </w:r>
            <w:r w:rsidRPr="00F769E0">
              <w:rPr>
                <w:rStyle w:val="FootnoteReference"/>
                <w:rFonts w:cs="Tahoma"/>
                <w:b/>
                <w:lang w:val="sl-SI" w:eastAsia="en-GB"/>
              </w:rPr>
              <w:footnoteReference w:id="16"/>
            </w:r>
            <w:r w:rsidRPr="00F769E0">
              <w:rPr>
                <w:rFonts w:cs="Tahoma"/>
                <w:b/>
                <w:lang w:val="sl-SI" w:eastAsia="en-GB"/>
              </w:rPr>
              <w:br/>
              <w:t>Srednja Azija</w:t>
            </w:r>
          </w:p>
        </w:tc>
        <w:tc>
          <w:tcPr>
            <w:tcW w:w="3813" w:type="pct"/>
            <w:shd w:val="clear" w:color="auto" w:fill="auto"/>
            <w:vAlign w:val="center"/>
          </w:tcPr>
          <w:p w14:paraId="7D398743" w14:textId="77777777" w:rsidR="00E03711" w:rsidRPr="00F769E0" w:rsidRDefault="00E03711" w:rsidP="0000374F">
            <w:pPr>
              <w:pStyle w:val="Guide-Table"/>
              <w:jc w:val="left"/>
              <w:rPr>
                <w:rFonts w:cs="Tahoma"/>
                <w:lang w:val="sl-SI" w:eastAsia="en-GB"/>
              </w:rPr>
            </w:pPr>
            <w:r w:rsidRPr="00F769E0">
              <w:rPr>
                <w:rFonts w:cs="Tahoma"/>
                <w:lang w:val="sl-SI" w:eastAsia="en-GB"/>
              </w:rPr>
              <w:t>Kazahstan, Kirgizistan, Tadžikistan, Turkmenistan, Uzbekistan</w:t>
            </w:r>
          </w:p>
        </w:tc>
      </w:tr>
      <w:tr w:rsidR="00E03711" w:rsidRPr="00C60205" w14:paraId="7D398747" w14:textId="77777777" w:rsidTr="009D2C22">
        <w:trPr>
          <w:trHeight w:val="20"/>
        </w:trPr>
        <w:tc>
          <w:tcPr>
            <w:tcW w:w="1187" w:type="pct"/>
            <w:shd w:val="clear" w:color="auto" w:fill="auto"/>
            <w:vAlign w:val="center"/>
          </w:tcPr>
          <w:p w14:paraId="7D398745" w14:textId="77777777" w:rsidR="00E03711" w:rsidRPr="00F769E0" w:rsidRDefault="00E03711" w:rsidP="004E621B">
            <w:pPr>
              <w:pStyle w:val="Guide-Table"/>
              <w:spacing w:before="60" w:after="60"/>
              <w:jc w:val="left"/>
              <w:rPr>
                <w:rFonts w:cs="Tahoma"/>
                <w:b/>
                <w:lang w:val="sl-SI" w:eastAsia="en-GB"/>
              </w:rPr>
            </w:pPr>
            <w:r w:rsidRPr="00F769E0">
              <w:rPr>
                <w:rFonts w:cs="Tahoma"/>
                <w:b/>
                <w:lang w:val="sl-SI" w:eastAsia="en-GB"/>
              </w:rPr>
              <w:t>Regija 8</w:t>
            </w:r>
            <w:r w:rsidRPr="00F769E0">
              <w:rPr>
                <w:rStyle w:val="FootnoteReference"/>
                <w:rFonts w:cs="Tahoma"/>
                <w:b/>
                <w:lang w:val="sl-SI" w:eastAsia="en-GB"/>
              </w:rPr>
              <w:footnoteReference w:id="17"/>
            </w:r>
            <w:r w:rsidRPr="00F769E0">
              <w:rPr>
                <w:rFonts w:cs="Tahoma"/>
                <w:b/>
                <w:lang w:val="sl-SI" w:eastAsia="en-GB"/>
              </w:rPr>
              <w:br/>
              <w:t>Latinska Amerika</w:t>
            </w:r>
          </w:p>
        </w:tc>
        <w:tc>
          <w:tcPr>
            <w:tcW w:w="3813" w:type="pct"/>
            <w:shd w:val="clear" w:color="auto" w:fill="auto"/>
            <w:vAlign w:val="center"/>
          </w:tcPr>
          <w:p w14:paraId="7D398746" w14:textId="77777777" w:rsidR="00E03711" w:rsidRPr="00F769E0" w:rsidRDefault="00E03711" w:rsidP="000503EB">
            <w:pPr>
              <w:pStyle w:val="Guide-Table"/>
              <w:jc w:val="left"/>
              <w:rPr>
                <w:rFonts w:cs="Tahoma"/>
                <w:lang w:val="sl-SI" w:eastAsia="en-GB"/>
              </w:rPr>
            </w:pPr>
            <w:r w:rsidRPr="00F769E0">
              <w:rPr>
                <w:rFonts w:cs="Tahoma"/>
                <w:lang w:val="sl-SI" w:eastAsia="en-GB"/>
              </w:rPr>
              <w:t>Argentina, Bolivija, Brazilija, Kolumbija, Kostarika, Kuba, Ekvador, Salvador, Gvatemala, Honduras, Mehika, Nikaragva, Panama, Paragvaj, Peru, Venezuela</w:t>
            </w:r>
          </w:p>
        </w:tc>
      </w:tr>
      <w:tr w:rsidR="00E03711" w:rsidRPr="008C6F8C" w14:paraId="7D39874A" w14:textId="77777777" w:rsidTr="009D2C22">
        <w:trPr>
          <w:trHeight w:val="20"/>
        </w:trPr>
        <w:tc>
          <w:tcPr>
            <w:tcW w:w="1187" w:type="pct"/>
            <w:shd w:val="clear" w:color="auto" w:fill="auto"/>
            <w:vAlign w:val="center"/>
          </w:tcPr>
          <w:p w14:paraId="7D398748" w14:textId="77777777" w:rsidR="00E03711" w:rsidRPr="00F769E0" w:rsidRDefault="00E03711" w:rsidP="004E621B">
            <w:pPr>
              <w:pStyle w:val="Guide-Table"/>
              <w:spacing w:before="60" w:after="60"/>
              <w:jc w:val="left"/>
              <w:rPr>
                <w:rFonts w:cs="Tahoma"/>
                <w:b/>
                <w:lang w:val="sl-SI" w:eastAsia="en-GB"/>
              </w:rPr>
            </w:pPr>
            <w:r w:rsidRPr="00F769E0">
              <w:rPr>
                <w:rFonts w:cs="Tahoma"/>
                <w:b/>
                <w:lang w:val="sl-SI" w:eastAsia="en-GB"/>
              </w:rPr>
              <w:t>Regija 9</w:t>
            </w:r>
            <w:r w:rsidRPr="00F769E0">
              <w:rPr>
                <w:rStyle w:val="FootnoteReference"/>
                <w:rFonts w:cs="Tahoma"/>
                <w:b/>
                <w:lang w:val="sl-SI" w:eastAsia="en-GB"/>
              </w:rPr>
              <w:footnoteReference w:id="18"/>
            </w:r>
          </w:p>
        </w:tc>
        <w:tc>
          <w:tcPr>
            <w:tcW w:w="3813" w:type="pct"/>
            <w:shd w:val="clear" w:color="auto" w:fill="auto"/>
            <w:vAlign w:val="center"/>
          </w:tcPr>
          <w:p w14:paraId="7D398749" w14:textId="77777777" w:rsidR="00E03711" w:rsidRPr="00F769E0" w:rsidRDefault="00E03711" w:rsidP="0000374F">
            <w:pPr>
              <w:pStyle w:val="Guide-Table"/>
              <w:jc w:val="left"/>
              <w:rPr>
                <w:rFonts w:cs="Tahoma"/>
                <w:lang w:val="sl-SI" w:eastAsia="en-GB"/>
              </w:rPr>
            </w:pPr>
            <w:r w:rsidRPr="00F769E0">
              <w:rPr>
                <w:rFonts w:cs="Tahoma"/>
                <w:lang w:val="sl-SI" w:eastAsia="en-GB"/>
              </w:rPr>
              <w:t>Iran,</w:t>
            </w:r>
            <w:r w:rsidRPr="00F769E0">
              <w:rPr>
                <w:rFonts w:cs="Tahoma"/>
                <w:spacing w:val="-3"/>
                <w:lang w:val="sl-SI" w:eastAsia="en-GB"/>
              </w:rPr>
              <w:t xml:space="preserve"> </w:t>
            </w:r>
            <w:r w:rsidRPr="00F769E0">
              <w:rPr>
                <w:rFonts w:cs="Tahoma"/>
                <w:lang w:val="sl-SI" w:eastAsia="en-GB"/>
              </w:rPr>
              <w:t>Irak, Jemen</w:t>
            </w:r>
          </w:p>
        </w:tc>
      </w:tr>
      <w:tr w:rsidR="00E03711" w:rsidRPr="008C6F8C" w14:paraId="7D39874D" w14:textId="77777777" w:rsidTr="009D2C22">
        <w:trPr>
          <w:trHeight w:val="20"/>
        </w:trPr>
        <w:tc>
          <w:tcPr>
            <w:tcW w:w="1187" w:type="pct"/>
            <w:shd w:val="clear" w:color="auto" w:fill="auto"/>
            <w:vAlign w:val="center"/>
          </w:tcPr>
          <w:p w14:paraId="7D39874B" w14:textId="77777777" w:rsidR="00E03711" w:rsidRPr="00F769E0" w:rsidRDefault="00E03711" w:rsidP="004E621B">
            <w:pPr>
              <w:pStyle w:val="Guide-Table"/>
              <w:spacing w:before="60" w:after="60"/>
              <w:jc w:val="left"/>
              <w:rPr>
                <w:rFonts w:cs="Tahoma"/>
                <w:b/>
                <w:lang w:val="sl-SI" w:eastAsia="en-GB"/>
              </w:rPr>
            </w:pPr>
            <w:r w:rsidRPr="00F769E0">
              <w:rPr>
                <w:rFonts w:cs="Tahoma"/>
                <w:b/>
                <w:lang w:val="sl-SI" w:eastAsia="en-GB"/>
              </w:rPr>
              <w:t>Regija 10</w:t>
            </w:r>
            <w:r w:rsidRPr="00F769E0">
              <w:rPr>
                <w:rStyle w:val="FootnoteReference"/>
                <w:rFonts w:cs="Tahoma"/>
                <w:b/>
                <w:lang w:val="sl-SI" w:eastAsia="en-GB"/>
              </w:rPr>
              <w:footnoteReference w:id="19"/>
            </w:r>
          </w:p>
        </w:tc>
        <w:tc>
          <w:tcPr>
            <w:tcW w:w="3813" w:type="pct"/>
            <w:shd w:val="clear" w:color="auto" w:fill="auto"/>
            <w:vAlign w:val="center"/>
          </w:tcPr>
          <w:p w14:paraId="7D39874C" w14:textId="77777777" w:rsidR="00E03711" w:rsidRPr="00F769E0" w:rsidRDefault="00E03711" w:rsidP="0000374F">
            <w:pPr>
              <w:pStyle w:val="Guide-Table"/>
              <w:jc w:val="left"/>
              <w:rPr>
                <w:rFonts w:cs="Tahoma"/>
                <w:lang w:val="sl-SI" w:eastAsia="en-GB"/>
              </w:rPr>
            </w:pPr>
            <w:r w:rsidRPr="00F769E0">
              <w:rPr>
                <w:rFonts w:cs="Tahoma"/>
                <w:lang w:val="sl-SI" w:eastAsia="en-GB"/>
              </w:rPr>
              <w:t>Južna</w:t>
            </w:r>
            <w:r w:rsidRPr="00F769E0">
              <w:rPr>
                <w:rFonts w:cs="Tahoma"/>
                <w:spacing w:val="-4"/>
                <w:lang w:val="sl-SI" w:eastAsia="en-GB"/>
              </w:rPr>
              <w:t xml:space="preserve"> </w:t>
            </w:r>
            <w:r w:rsidRPr="00F769E0">
              <w:rPr>
                <w:rFonts w:cs="Tahoma"/>
                <w:lang w:val="sl-SI" w:eastAsia="en-GB"/>
              </w:rPr>
              <w:t>Afrika</w:t>
            </w:r>
          </w:p>
        </w:tc>
      </w:tr>
      <w:tr w:rsidR="00E03711" w:rsidRPr="00C60205" w14:paraId="7D398750" w14:textId="77777777" w:rsidTr="009D2C22">
        <w:trPr>
          <w:trHeight w:val="20"/>
        </w:trPr>
        <w:tc>
          <w:tcPr>
            <w:tcW w:w="1187" w:type="pct"/>
            <w:shd w:val="clear" w:color="auto" w:fill="auto"/>
            <w:vAlign w:val="center"/>
          </w:tcPr>
          <w:p w14:paraId="7D39874E" w14:textId="77777777" w:rsidR="00E03711" w:rsidRPr="00F769E0" w:rsidRDefault="006A4FAF" w:rsidP="004E621B">
            <w:pPr>
              <w:pStyle w:val="Guide-Table"/>
              <w:spacing w:before="60" w:after="60"/>
              <w:jc w:val="left"/>
              <w:rPr>
                <w:rFonts w:cs="Tahoma"/>
                <w:b/>
                <w:lang w:val="sl-SI" w:eastAsia="en-GB"/>
              </w:rPr>
            </w:pPr>
            <w:r>
              <w:rPr>
                <w:rFonts w:cs="Tahoma"/>
                <w:b/>
                <w:lang w:val="sl-SI" w:eastAsia="en-GB"/>
              </w:rPr>
              <w:t xml:space="preserve">Regija </w:t>
            </w:r>
            <w:r w:rsidR="00E03711" w:rsidRPr="00F769E0">
              <w:rPr>
                <w:rFonts w:cs="Tahoma"/>
                <w:b/>
                <w:lang w:val="sl-SI" w:eastAsia="en-GB"/>
              </w:rPr>
              <w:t xml:space="preserve">11 </w:t>
            </w:r>
            <w:r w:rsidR="00E03711" w:rsidRPr="00F769E0">
              <w:rPr>
                <w:rFonts w:cs="Tahoma"/>
                <w:b/>
                <w:lang w:val="sl-SI" w:eastAsia="en-GB"/>
              </w:rPr>
              <w:br/>
              <w:t>AKP</w:t>
            </w:r>
          </w:p>
        </w:tc>
        <w:tc>
          <w:tcPr>
            <w:tcW w:w="3813" w:type="pct"/>
            <w:shd w:val="clear" w:color="auto" w:fill="auto"/>
            <w:vAlign w:val="center"/>
          </w:tcPr>
          <w:p w14:paraId="7D39874F" w14:textId="77777777" w:rsidR="00E03711" w:rsidRPr="00F769E0" w:rsidRDefault="00E03711" w:rsidP="00C1426B">
            <w:pPr>
              <w:pStyle w:val="Guide-Table"/>
              <w:spacing w:before="60" w:after="60"/>
              <w:jc w:val="left"/>
              <w:rPr>
                <w:rStyle w:val="Guide-Condensed-02"/>
                <w:rFonts w:cs="Tahoma"/>
                <w:spacing w:val="0"/>
                <w:lang w:val="sl-SI" w:eastAsia="en-GB"/>
              </w:rPr>
            </w:pPr>
            <w:r w:rsidRPr="00F769E0">
              <w:rPr>
                <w:rFonts w:cs="Tahoma"/>
                <w:lang w:val="sl-SI" w:eastAsia="en-GB"/>
              </w:rPr>
              <w:t>Angola, Antigva in Barbuda, Bahami, Barbados, Belize, Benin, Bocvana, Burkina Faso, Burundi, Kamerun, Zelenortski otoki, Srednjeafrišk a republika, Čad, Komori, Kongo, Demokratična republika Kongo, Cookovi otoki, Džibuti, Dominika, Dominikanska republika, Ekvatorialna Gvineja, Eritreja,</w:t>
            </w:r>
            <w:r>
              <w:rPr>
                <w:rFonts w:cs="Tahoma"/>
                <w:lang w:val="sl-SI" w:eastAsia="en-GB"/>
              </w:rPr>
              <w:t xml:space="preserve"> Esvatini</w:t>
            </w:r>
            <w:r w:rsidRPr="00F769E0">
              <w:rPr>
                <w:rFonts w:cs="Tahoma"/>
                <w:lang w:val="sl-SI" w:eastAsia="en-GB"/>
              </w:rPr>
              <w:t>, Etiopija, Fidži, Gabon, Gambija, Gana, Grenada, Gvineja, Gvineja Bissau, Gvajana, Haiti, Republika Slonokoščena obala, Jamajka, Kenija, Kiribati, Lesoto, Liberija, Madagaskar, Malavi, Mali, Marshallovi otoki, Mavretanija, Mauritius, Federativne države Mikronezije, Mozambik, Namibija, Nauru, Niger, Nigerija, Niue, Palau, Papua Nova Gvineja, Ruanda,</w:t>
            </w:r>
            <w:r w:rsidRPr="00F769E0">
              <w:rPr>
                <w:rFonts w:cs="Tahoma"/>
                <w:spacing w:val="-14"/>
                <w:lang w:val="sl-SI" w:eastAsia="en-GB"/>
              </w:rPr>
              <w:t xml:space="preserve"> </w:t>
            </w:r>
            <w:r w:rsidRPr="00F769E0">
              <w:rPr>
                <w:rFonts w:cs="Tahoma"/>
                <w:lang w:val="sl-SI" w:eastAsia="en-GB"/>
              </w:rPr>
              <w:t>Saint Kitts in Nevis, Saint Lucia, Sveti VIncent in Grenadine, Samoa, Sao Tome in Principe, Senegal, Sejšeli, Sierra Leone, Salomonovi otoki, Somalija, Južni Sudan, Sudan, Surinam, Demokratična republika Vzhodni Timor, Tanzanija, Togo, Tonga, Trinidad in Tobago, Tuvalu, Uganda, Vanuatu, Zambija, Zimbabve.</w:t>
            </w:r>
          </w:p>
        </w:tc>
      </w:tr>
      <w:tr w:rsidR="00E03711" w:rsidRPr="00C60205" w14:paraId="7D398753" w14:textId="77777777" w:rsidTr="009D2C22">
        <w:trPr>
          <w:trHeight w:val="20"/>
        </w:trPr>
        <w:tc>
          <w:tcPr>
            <w:tcW w:w="1187" w:type="pct"/>
            <w:tcBorders>
              <w:top w:val="single" w:sz="4" w:space="0" w:color="auto"/>
              <w:left w:val="single" w:sz="4" w:space="0" w:color="auto"/>
              <w:bottom w:val="single" w:sz="4" w:space="0" w:color="auto"/>
              <w:right w:val="single" w:sz="4" w:space="0" w:color="auto"/>
            </w:tcBorders>
            <w:shd w:val="clear" w:color="auto" w:fill="auto"/>
            <w:vAlign w:val="center"/>
          </w:tcPr>
          <w:p w14:paraId="7D398751" w14:textId="77777777" w:rsidR="00E03711" w:rsidRPr="00F769E0" w:rsidRDefault="00E03711" w:rsidP="004E621B">
            <w:pPr>
              <w:pStyle w:val="Guide-Table"/>
              <w:spacing w:before="60" w:after="60"/>
              <w:jc w:val="left"/>
              <w:rPr>
                <w:rFonts w:cs="Tahoma"/>
                <w:b/>
                <w:lang w:val="sl-SI" w:eastAsia="en-GB"/>
              </w:rPr>
            </w:pPr>
            <w:r w:rsidRPr="00F769E0">
              <w:rPr>
                <w:rFonts w:cs="Tahoma"/>
                <w:b/>
                <w:lang w:val="sl-SI" w:eastAsia="en-GB"/>
              </w:rPr>
              <w:t>Regija 12</w:t>
            </w:r>
            <w:r w:rsidRPr="00F769E0">
              <w:rPr>
                <w:rStyle w:val="FootnoteReference"/>
                <w:rFonts w:cs="Tahoma"/>
                <w:b/>
                <w:lang w:val="sl-SI" w:eastAsia="en-GB"/>
              </w:rPr>
              <w:footnoteReference w:id="20"/>
            </w:r>
            <w:r w:rsidRPr="00F769E0">
              <w:rPr>
                <w:rFonts w:cs="Tahoma"/>
                <w:b/>
                <w:lang w:val="sl-SI" w:eastAsia="en-GB"/>
              </w:rPr>
              <w:br/>
              <w:t>Industrializirane države: države Sveta za sodelovanje v Zalivu</w:t>
            </w:r>
          </w:p>
        </w:tc>
        <w:tc>
          <w:tcPr>
            <w:tcW w:w="3813" w:type="pct"/>
            <w:tcBorders>
              <w:top w:val="single" w:sz="4" w:space="0" w:color="auto"/>
              <w:left w:val="single" w:sz="4" w:space="0" w:color="auto"/>
              <w:bottom w:val="single" w:sz="4" w:space="0" w:color="auto"/>
              <w:right w:val="single" w:sz="4" w:space="0" w:color="auto"/>
            </w:tcBorders>
            <w:shd w:val="clear" w:color="auto" w:fill="auto"/>
            <w:vAlign w:val="center"/>
          </w:tcPr>
          <w:p w14:paraId="7D398752" w14:textId="77777777" w:rsidR="00E03711" w:rsidRPr="00F769E0" w:rsidRDefault="00E03711" w:rsidP="00C3514F">
            <w:pPr>
              <w:pStyle w:val="Guide-Table"/>
              <w:spacing w:before="60" w:after="60"/>
              <w:jc w:val="left"/>
              <w:rPr>
                <w:rFonts w:cs="Tahoma"/>
                <w:lang w:val="sl-SI" w:eastAsia="en-GB"/>
              </w:rPr>
            </w:pPr>
            <w:r w:rsidRPr="00F769E0">
              <w:rPr>
                <w:rFonts w:cs="Tahoma"/>
                <w:lang w:val="sl-SI" w:eastAsia="en-GB"/>
              </w:rPr>
              <w:t>Bahrajn, Kuvajt, Oman, Katar, Savdska Arabija, Združeni arabski emirati.</w:t>
            </w:r>
          </w:p>
        </w:tc>
      </w:tr>
      <w:tr w:rsidR="00E03711" w:rsidRPr="00C60205" w14:paraId="7D398756" w14:textId="77777777" w:rsidTr="009D2C22">
        <w:trPr>
          <w:trHeight w:val="20"/>
        </w:trPr>
        <w:tc>
          <w:tcPr>
            <w:tcW w:w="1187" w:type="pct"/>
            <w:tcBorders>
              <w:top w:val="single" w:sz="4" w:space="0" w:color="auto"/>
              <w:left w:val="single" w:sz="4" w:space="0" w:color="auto"/>
              <w:bottom w:val="single" w:sz="4" w:space="0" w:color="auto"/>
              <w:right w:val="single" w:sz="4" w:space="0" w:color="auto"/>
            </w:tcBorders>
            <w:shd w:val="clear" w:color="auto" w:fill="auto"/>
            <w:vAlign w:val="center"/>
          </w:tcPr>
          <w:p w14:paraId="7D398754" w14:textId="77777777" w:rsidR="00E03711" w:rsidRPr="00F769E0" w:rsidRDefault="00E03711" w:rsidP="004E621B">
            <w:pPr>
              <w:pStyle w:val="Guide-Table"/>
              <w:spacing w:before="60" w:after="60"/>
              <w:jc w:val="left"/>
              <w:rPr>
                <w:rFonts w:cs="Tahoma"/>
                <w:b/>
                <w:lang w:val="sl-SI" w:eastAsia="en-GB"/>
              </w:rPr>
            </w:pPr>
            <w:r w:rsidRPr="00F769E0">
              <w:rPr>
                <w:rFonts w:cs="Tahoma"/>
                <w:b/>
                <w:lang w:val="sl-SI" w:eastAsia="en-GB"/>
              </w:rPr>
              <w:t>Regija 13</w:t>
            </w:r>
            <w:r w:rsidRPr="00F769E0">
              <w:rPr>
                <w:rStyle w:val="FootnoteReference"/>
                <w:rFonts w:cs="Tahoma"/>
                <w:b/>
                <w:lang w:val="sl-SI" w:eastAsia="en-GB"/>
              </w:rPr>
              <w:footnoteReference w:id="21"/>
            </w:r>
            <w:r w:rsidRPr="00F769E0">
              <w:rPr>
                <w:rFonts w:cs="Tahoma"/>
                <w:b/>
                <w:lang w:val="sl-SI" w:eastAsia="en-GB"/>
              </w:rPr>
              <w:br/>
              <w:t>Druge industrializirane države</w:t>
            </w:r>
          </w:p>
        </w:tc>
        <w:tc>
          <w:tcPr>
            <w:tcW w:w="3813" w:type="pct"/>
            <w:tcBorders>
              <w:top w:val="single" w:sz="4" w:space="0" w:color="auto"/>
              <w:left w:val="single" w:sz="4" w:space="0" w:color="auto"/>
              <w:bottom w:val="single" w:sz="4" w:space="0" w:color="auto"/>
              <w:right w:val="single" w:sz="4" w:space="0" w:color="auto"/>
            </w:tcBorders>
            <w:shd w:val="clear" w:color="auto" w:fill="auto"/>
            <w:vAlign w:val="center"/>
          </w:tcPr>
          <w:p w14:paraId="7D398755" w14:textId="77777777" w:rsidR="00E03711" w:rsidRPr="00F769E0" w:rsidRDefault="00E03711" w:rsidP="000503EB">
            <w:pPr>
              <w:pStyle w:val="Guide-Table"/>
              <w:spacing w:before="60" w:after="60"/>
              <w:jc w:val="left"/>
              <w:rPr>
                <w:rFonts w:cs="Tahoma"/>
                <w:lang w:val="sl-SI" w:eastAsia="en-GB"/>
              </w:rPr>
            </w:pPr>
            <w:r w:rsidRPr="00F769E0">
              <w:rPr>
                <w:rFonts w:cs="Tahoma"/>
                <w:lang w:val="sl-SI" w:eastAsia="en-GB"/>
              </w:rPr>
              <w:t>Avstralija, Brunej, Čile, Kanada, Hongkong, Japonska, (Republika) Koreja, Macao, Nova Zelandija, Singapur, Tajvan, Urugvaj, Združene države Amerike</w:t>
            </w:r>
          </w:p>
        </w:tc>
      </w:tr>
      <w:tr w:rsidR="00E03711" w:rsidRPr="008C6F8C" w14:paraId="7D398759" w14:textId="77777777" w:rsidTr="004E621B">
        <w:trPr>
          <w:trHeight w:val="20"/>
        </w:trPr>
        <w:tc>
          <w:tcPr>
            <w:tcW w:w="1187" w:type="pct"/>
            <w:tcBorders>
              <w:top w:val="single" w:sz="4" w:space="0" w:color="auto"/>
              <w:left w:val="single" w:sz="4" w:space="0" w:color="auto"/>
              <w:bottom w:val="single" w:sz="4" w:space="0" w:color="auto"/>
              <w:right w:val="single" w:sz="4" w:space="0" w:color="auto"/>
            </w:tcBorders>
            <w:shd w:val="clear" w:color="auto" w:fill="auto"/>
            <w:vAlign w:val="center"/>
          </w:tcPr>
          <w:p w14:paraId="7D398757" w14:textId="77777777" w:rsidR="00E03711" w:rsidRPr="00F769E0" w:rsidRDefault="00E03711" w:rsidP="00C3514F">
            <w:pPr>
              <w:pStyle w:val="Guide-Table"/>
              <w:spacing w:before="60" w:after="60"/>
              <w:jc w:val="left"/>
              <w:rPr>
                <w:rFonts w:cs="Tahoma"/>
                <w:b/>
                <w:lang w:val="sl-SI" w:eastAsia="en-GB"/>
              </w:rPr>
            </w:pPr>
            <w:r w:rsidRPr="00F769E0">
              <w:rPr>
                <w:rFonts w:cs="Tahoma"/>
                <w:b/>
                <w:lang w:val="sl-SI" w:eastAsia="en-GB"/>
              </w:rPr>
              <w:t>Regija 14</w:t>
            </w:r>
          </w:p>
        </w:tc>
        <w:tc>
          <w:tcPr>
            <w:tcW w:w="3813" w:type="pct"/>
            <w:tcBorders>
              <w:top w:val="single" w:sz="4" w:space="0" w:color="auto"/>
              <w:left w:val="single" w:sz="4" w:space="0" w:color="auto"/>
              <w:bottom w:val="single" w:sz="4" w:space="0" w:color="auto"/>
              <w:right w:val="single" w:sz="4" w:space="0" w:color="auto"/>
            </w:tcBorders>
            <w:shd w:val="clear" w:color="auto" w:fill="auto"/>
            <w:vAlign w:val="center"/>
          </w:tcPr>
          <w:p w14:paraId="7D398758" w14:textId="77777777" w:rsidR="00E03711" w:rsidRPr="00F769E0" w:rsidRDefault="00E03711" w:rsidP="004E621B">
            <w:pPr>
              <w:pStyle w:val="Guide-Table"/>
              <w:jc w:val="left"/>
              <w:rPr>
                <w:rFonts w:cs="Tahoma"/>
                <w:lang w:val="sl-SI" w:eastAsia="en-GB"/>
              </w:rPr>
            </w:pPr>
            <w:r w:rsidRPr="00F769E0">
              <w:rPr>
                <w:rFonts w:cs="Tahoma"/>
                <w:lang w:val="sl-SI" w:eastAsia="en-GB"/>
              </w:rPr>
              <w:t>Ferski otoki, Švica</w:t>
            </w:r>
          </w:p>
        </w:tc>
      </w:tr>
    </w:tbl>
    <w:p w14:paraId="7D39875A" w14:textId="77777777" w:rsidR="00E03711" w:rsidRDefault="00E03711" w:rsidP="003059FE">
      <w:pPr>
        <w:pStyle w:val="GUIDE-NORMAL"/>
        <w:rPr>
          <w:lang w:val="sl-SI"/>
        </w:rPr>
      </w:pPr>
      <w:r w:rsidRPr="001048FE">
        <w:rPr>
          <w:lang w:val="sl-SI"/>
        </w:rPr>
        <w:t>Za več informacij glej podroben opis ukrepov Programa v delu B tega vodnika.</w:t>
      </w:r>
      <w:bookmarkStart w:id="128" w:name="Conditions_relatives_aux_visas_et_aux_pe"/>
      <w:bookmarkStart w:id="129" w:name="_Toc527401129"/>
      <w:bookmarkEnd w:id="128"/>
    </w:p>
    <w:p w14:paraId="7D39875B" w14:textId="77777777" w:rsidR="00E03711" w:rsidRPr="008042C6" w:rsidRDefault="00E03711" w:rsidP="003059FE">
      <w:pPr>
        <w:pStyle w:val="GUIDE-NORMAL"/>
        <w:rPr>
          <w:rFonts w:cs="Tahoma"/>
          <w:b/>
          <w:smallCaps/>
          <w:sz w:val="22"/>
          <w:szCs w:val="20"/>
          <w:shd w:val="clear" w:color="auto" w:fill="auto"/>
          <w:lang w:val="sl-SI"/>
        </w:rPr>
      </w:pPr>
      <w:r w:rsidRPr="008042C6">
        <w:rPr>
          <w:rFonts w:cs="Tahoma"/>
          <w:b/>
          <w:smallCaps/>
          <w:sz w:val="22"/>
          <w:szCs w:val="20"/>
          <w:shd w:val="clear" w:color="auto" w:fill="auto"/>
          <w:lang w:val="sl-SI"/>
        </w:rPr>
        <w:t>Zahteve glede vizuma in dovoljenja za prebivanje</w:t>
      </w:r>
      <w:bookmarkEnd w:id="129"/>
    </w:p>
    <w:p w14:paraId="7D39875C" w14:textId="77777777" w:rsidR="00E03711" w:rsidRPr="001048FE" w:rsidRDefault="00E03711" w:rsidP="005B717B">
      <w:pPr>
        <w:pStyle w:val="GUIDE-NORMAL"/>
        <w:rPr>
          <w:lang w:val="sl-SI"/>
        </w:rPr>
      </w:pPr>
      <w:r w:rsidRPr="001048FE">
        <w:rPr>
          <w:lang w:val="sl-SI"/>
        </w:rPr>
        <w:t>Udeleženci projektov Erasmus+ bodo morda morali pridobiti vizum za bivanje v tujini, v državi Programa ali partnerski državi, ki gosti aktivnost. Vse sodelujoče organizacije morajo zagotoviti, da so zahtevana dovoljenja (vizum za kratkotrajno ali dolgotrajno bivanje ali dovoljenje za prebivanje) urejena pred začetkom načrtovane aktivnosti. Priporoča</w:t>
      </w:r>
      <w:r w:rsidRPr="001048FE">
        <w:rPr>
          <w:spacing w:val="-15"/>
          <w:lang w:val="sl-SI"/>
        </w:rPr>
        <w:t xml:space="preserve"> </w:t>
      </w:r>
      <w:r w:rsidRPr="001048FE">
        <w:rPr>
          <w:lang w:val="sl-SI"/>
        </w:rPr>
        <w:t>se,</w:t>
      </w:r>
      <w:r w:rsidRPr="001048FE">
        <w:rPr>
          <w:spacing w:val="-15"/>
          <w:lang w:val="sl-SI"/>
        </w:rPr>
        <w:t xml:space="preserve"> </w:t>
      </w:r>
      <w:r w:rsidRPr="001048FE">
        <w:rPr>
          <w:lang w:val="sl-SI"/>
        </w:rPr>
        <w:t>da</w:t>
      </w:r>
      <w:r w:rsidRPr="001048FE">
        <w:rPr>
          <w:spacing w:val="-15"/>
          <w:lang w:val="sl-SI"/>
        </w:rPr>
        <w:t xml:space="preserve"> </w:t>
      </w:r>
      <w:r w:rsidRPr="001048FE">
        <w:rPr>
          <w:lang w:val="sl-SI"/>
        </w:rPr>
        <w:t>se</w:t>
      </w:r>
      <w:r w:rsidRPr="001048FE">
        <w:rPr>
          <w:spacing w:val="-15"/>
          <w:lang w:val="sl-SI"/>
        </w:rPr>
        <w:t xml:space="preserve"> </w:t>
      </w:r>
      <w:r w:rsidRPr="001048FE">
        <w:rPr>
          <w:lang w:val="sl-SI"/>
        </w:rPr>
        <w:t>dovoljenja</w:t>
      </w:r>
      <w:r w:rsidRPr="001048FE">
        <w:rPr>
          <w:spacing w:val="-15"/>
          <w:lang w:val="sl-SI"/>
        </w:rPr>
        <w:t xml:space="preserve"> </w:t>
      </w:r>
      <w:r w:rsidRPr="001048FE">
        <w:rPr>
          <w:lang w:val="sl-SI"/>
        </w:rPr>
        <w:t>zahtevajo</w:t>
      </w:r>
      <w:r w:rsidRPr="001048FE">
        <w:rPr>
          <w:spacing w:val="-15"/>
          <w:lang w:val="sl-SI"/>
        </w:rPr>
        <w:t xml:space="preserve"> </w:t>
      </w:r>
      <w:r w:rsidRPr="001048FE">
        <w:rPr>
          <w:lang w:val="sl-SI"/>
        </w:rPr>
        <w:t>od</w:t>
      </w:r>
      <w:r w:rsidRPr="001048FE">
        <w:rPr>
          <w:spacing w:val="-15"/>
          <w:lang w:val="sl-SI"/>
        </w:rPr>
        <w:t xml:space="preserve"> </w:t>
      </w:r>
      <w:r w:rsidRPr="001048FE">
        <w:rPr>
          <w:lang w:val="sl-SI"/>
        </w:rPr>
        <w:t>pristojnih</w:t>
      </w:r>
      <w:r w:rsidRPr="001048FE">
        <w:rPr>
          <w:spacing w:val="-15"/>
          <w:lang w:val="sl-SI"/>
        </w:rPr>
        <w:t xml:space="preserve"> </w:t>
      </w:r>
      <w:r w:rsidRPr="001048FE">
        <w:rPr>
          <w:lang w:val="sl-SI"/>
        </w:rPr>
        <w:t>organov</w:t>
      </w:r>
      <w:r w:rsidRPr="001048FE">
        <w:rPr>
          <w:spacing w:val="-15"/>
          <w:lang w:val="sl-SI"/>
        </w:rPr>
        <w:t xml:space="preserve"> </w:t>
      </w:r>
      <w:r w:rsidRPr="001048FE">
        <w:rPr>
          <w:lang w:val="sl-SI"/>
        </w:rPr>
        <w:t>vnaprej,</w:t>
      </w:r>
      <w:r w:rsidRPr="001048FE">
        <w:rPr>
          <w:spacing w:val="-15"/>
          <w:lang w:val="sl-SI"/>
        </w:rPr>
        <w:t xml:space="preserve"> </w:t>
      </w:r>
      <w:r w:rsidRPr="001048FE">
        <w:rPr>
          <w:lang w:val="sl-SI"/>
        </w:rPr>
        <w:t>saj</w:t>
      </w:r>
      <w:r w:rsidRPr="001048FE">
        <w:rPr>
          <w:spacing w:val="-15"/>
          <w:lang w:val="sl-SI"/>
        </w:rPr>
        <w:t xml:space="preserve"> </w:t>
      </w:r>
      <w:r w:rsidRPr="001048FE">
        <w:rPr>
          <w:lang w:val="sl-SI"/>
        </w:rPr>
        <w:t>lahko</w:t>
      </w:r>
      <w:r w:rsidRPr="001048FE">
        <w:rPr>
          <w:spacing w:val="-15"/>
          <w:lang w:val="sl-SI"/>
        </w:rPr>
        <w:t xml:space="preserve"> </w:t>
      </w:r>
      <w:r w:rsidRPr="001048FE">
        <w:rPr>
          <w:lang w:val="sl-SI"/>
        </w:rPr>
        <w:t>postopek</w:t>
      </w:r>
      <w:r w:rsidRPr="001048FE">
        <w:rPr>
          <w:spacing w:val="-15"/>
          <w:lang w:val="sl-SI"/>
        </w:rPr>
        <w:t xml:space="preserve"> </w:t>
      </w:r>
      <w:r w:rsidRPr="001048FE">
        <w:rPr>
          <w:lang w:val="sl-SI"/>
        </w:rPr>
        <w:t>traja</w:t>
      </w:r>
      <w:r w:rsidRPr="001048FE">
        <w:rPr>
          <w:spacing w:val="-15"/>
          <w:lang w:val="sl-SI"/>
        </w:rPr>
        <w:t xml:space="preserve"> </w:t>
      </w:r>
      <w:r w:rsidRPr="001048FE">
        <w:rPr>
          <w:lang w:val="sl-SI"/>
        </w:rPr>
        <w:t>več tednov.</w:t>
      </w:r>
      <w:r w:rsidRPr="001048FE">
        <w:rPr>
          <w:spacing w:val="-18"/>
          <w:lang w:val="sl-SI"/>
        </w:rPr>
        <w:t xml:space="preserve"> </w:t>
      </w:r>
      <w:r w:rsidRPr="001048FE">
        <w:rPr>
          <w:lang w:val="sl-SI"/>
        </w:rPr>
        <w:t>Nacionalne</w:t>
      </w:r>
      <w:r w:rsidRPr="001048FE">
        <w:rPr>
          <w:spacing w:val="-18"/>
          <w:lang w:val="sl-SI"/>
        </w:rPr>
        <w:t xml:space="preserve"> </w:t>
      </w:r>
      <w:r w:rsidRPr="001048FE">
        <w:rPr>
          <w:lang w:val="sl-SI"/>
        </w:rPr>
        <w:t>agencije</w:t>
      </w:r>
      <w:r w:rsidRPr="001048FE">
        <w:rPr>
          <w:spacing w:val="-18"/>
          <w:lang w:val="sl-SI"/>
        </w:rPr>
        <w:t xml:space="preserve"> </w:t>
      </w:r>
      <w:r w:rsidRPr="001048FE">
        <w:rPr>
          <w:lang w:val="sl-SI"/>
        </w:rPr>
        <w:t>in</w:t>
      </w:r>
      <w:r w:rsidRPr="001048FE">
        <w:rPr>
          <w:spacing w:val="-18"/>
          <w:lang w:val="sl-SI"/>
        </w:rPr>
        <w:t xml:space="preserve"> </w:t>
      </w:r>
      <w:r w:rsidRPr="001048FE">
        <w:rPr>
          <w:lang w:val="sl-SI"/>
        </w:rPr>
        <w:t>Izvajalska</w:t>
      </w:r>
      <w:r w:rsidRPr="001048FE">
        <w:rPr>
          <w:spacing w:val="-18"/>
          <w:lang w:val="sl-SI"/>
        </w:rPr>
        <w:t xml:space="preserve"> </w:t>
      </w:r>
      <w:r w:rsidRPr="001048FE">
        <w:rPr>
          <w:lang w:val="sl-SI"/>
        </w:rPr>
        <w:t>agencija</w:t>
      </w:r>
      <w:r w:rsidRPr="001048FE">
        <w:rPr>
          <w:spacing w:val="-18"/>
          <w:lang w:val="sl-SI"/>
        </w:rPr>
        <w:t xml:space="preserve"> </w:t>
      </w:r>
      <w:r w:rsidRPr="001048FE">
        <w:rPr>
          <w:lang w:val="sl-SI"/>
        </w:rPr>
        <w:t>lahko</w:t>
      </w:r>
      <w:r w:rsidRPr="001048FE">
        <w:rPr>
          <w:spacing w:val="-18"/>
          <w:lang w:val="sl-SI"/>
        </w:rPr>
        <w:t xml:space="preserve"> </w:t>
      </w:r>
      <w:r w:rsidRPr="001048FE">
        <w:rPr>
          <w:lang w:val="sl-SI"/>
        </w:rPr>
        <w:t>zagotovijo</w:t>
      </w:r>
      <w:r w:rsidRPr="001048FE">
        <w:rPr>
          <w:spacing w:val="-18"/>
          <w:lang w:val="sl-SI"/>
        </w:rPr>
        <w:t xml:space="preserve"> </w:t>
      </w:r>
      <w:r w:rsidRPr="001048FE">
        <w:rPr>
          <w:lang w:val="sl-SI"/>
        </w:rPr>
        <w:t>več</w:t>
      </w:r>
      <w:r w:rsidRPr="001048FE">
        <w:rPr>
          <w:spacing w:val="-18"/>
          <w:lang w:val="sl-SI"/>
        </w:rPr>
        <w:t xml:space="preserve"> </w:t>
      </w:r>
      <w:r w:rsidRPr="001048FE">
        <w:rPr>
          <w:lang w:val="sl-SI"/>
        </w:rPr>
        <w:t>nasvetov</w:t>
      </w:r>
      <w:r w:rsidRPr="001048FE">
        <w:rPr>
          <w:spacing w:val="-18"/>
          <w:lang w:val="sl-SI"/>
        </w:rPr>
        <w:t xml:space="preserve"> </w:t>
      </w:r>
      <w:r w:rsidRPr="001048FE">
        <w:rPr>
          <w:lang w:val="sl-SI"/>
        </w:rPr>
        <w:t>in</w:t>
      </w:r>
      <w:r w:rsidRPr="001048FE">
        <w:rPr>
          <w:spacing w:val="-18"/>
          <w:lang w:val="sl-SI"/>
        </w:rPr>
        <w:t xml:space="preserve"> </w:t>
      </w:r>
      <w:r w:rsidRPr="001048FE">
        <w:rPr>
          <w:lang w:val="sl-SI"/>
        </w:rPr>
        <w:t>podpore</w:t>
      </w:r>
      <w:r w:rsidRPr="001048FE">
        <w:rPr>
          <w:spacing w:val="-18"/>
          <w:lang w:val="sl-SI"/>
        </w:rPr>
        <w:t xml:space="preserve"> </w:t>
      </w:r>
      <w:r w:rsidRPr="001048FE">
        <w:rPr>
          <w:lang w:val="sl-SI"/>
        </w:rPr>
        <w:t xml:space="preserve">glede vizumov, dovoljenj za prebivanje, socialne varnosti itd. Portal EU o priseljevanju vsebuje splošne informacije o vizumih in dovoljenjih za prebivanje za kratkotrajna in dolgotrajna bivanja: </w:t>
      </w:r>
      <w:hyperlink r:id="rId60">
        <w:r w:rsidRPr="001048FE">
          <w:rPr>
            <w:rStyle w:val="Hyperlink"/>
            <w:lang w:val="sl-SI"/>
          </w:rPr>
          <w:t>http://ec.europa.eu/immigration/</w:t>
        </w:r>
        <w:r w:rsidRPr="001048FE">
          <w:rPr>
            <w:spacing w:val="-8"/>
            <w:lang w:val="sl-SI"/>
          </w:rPr>
          <w:t xml:space="preserve"> </w:t>
        </w:r>
      </w:hyperlink>
    </w:p>
    <w:p w14:paraId="7D39875D" w14:textId="77777777" w:rsidR="00E03711" w:rsidRPr="001048FE" w:rsidRDefault="00E03711" w:rsidP="006F6C8B">
      <w:pPr>
        <w:pStyle w:val="GUIDE-NORMAL"/>
        <w:rPr>
          <w:lang w:val="sl-SI"/>
        </w:rPr>
        <w:sectPr w:rsidR="00E03711" w:rsidRPr="001048FE" w:rsidSect="007F4890">
          <w:endnotePr>
            <w:numFmt w:val="decimal"/>
          </w:endnotePr>
          <w:pgSz w:w="11910" w:h="16840" w:code="9"/>
          <w:pgMar w:top="1134" w:right="1418" w:bottom="1134" w:left="1418" w:header="283" w:footer="567" w:gutter="0"/>
          <w:cols w:space="720"/>
          <w:docGrid w:linePitch="326"/>
        </w:sectPr>
      </w:pPr>
      <w:bookmarkStart w:id="130" w:name="Partie_B_–_Informations_sur_les_actions_"/>
      <w:bookmarkStart w:id="131" w:name="_bookmark23"/>
      <w:bookmarkEnd w:id="130"/>
      <w:bookmarkEnd w:id="131"/>
    </w:p>
    <w:p w14:paraId="7D39875E" w14:textId="77777777" w:rsidR="00E03711" w:rsidRPr="001048FE" w:rsidRDefault="00E03711" w:rsidP="0030441A">
      <w:pPr>
        <w:pStyle w:val="Guide-Heading1"/>
        <w:jc w:val="left"/>
        <w:rPr>
          <w:lang w:val="sl-SI"/>
        </w:rPr>
      </w:pPr>
      <w:bookmarkStart w:id="132" w:name="_Toc527400906"/>
      <w:bookmarkStart w:id="133" w:name="_Toc527401130"/>
      <w:r w:rsidRPr="001048FE">
        <w:rPr>
          <w:lang w:val="sl-SI"/>
        </w:rPr>
        <w:t>Del B – Informacije o ukrepih, zajetih v ta</w:t>
      </w:r>
      <w:bookmarkStart w:id="134" w:name="Del_B_–_Informacije_o_ukrepih,_zajetih_v"/>
      <w:bookmarkEnd w:id="134"/>
      <w:r w:rsidRPr="001048FE">
        <w:rPr>
          <w:lang w:val="sl-SI"/>
        </w:rPr>
        <w:t xml:space="preserve"> vodnik</w:t>
      </w:r>
      <w:bookmarkEnd w:id="132"/>
      <w:bookmarkEnd w:id="133"/>
    </w:p>
    <w:p w14:paraId="7D39875F" w14:textId="77777777" w:rsidR="00E03711" w:rsidRPr="001048FE" w:rsidRDefault="00E03711" w:rsidP="00AC66A5">
      <w:pPr>
        <w:pStyle w:val="GUIDE-NORMAL"/>
        <w:rPr>
          <w:lang w:val="sl-SI"/>
        </w:rPr>
      </w:pPr>
      <w:r w:rsidRPr="001048FE">
        <w:rPr>
          <w:lang w:val="sl-SI"/>
        </w:rPr>
        <w:t>V</w:t>
      </w:r>
      <w:r w:rsidRPr="001048FE">
        <w:rPr>
          <w:spacing w:val="-12"/>
          <w:lang w:val="sl-SI"/>
        </w:rPr>
        <w:t xml:space="preserve"> </w:t>
      </w:r>
      <w:r w:rsidRPr="001048FE">
        <w:rPr>
          <w:lang w:val="sl-SI"/>
        </w:rPr>
        <w:t>tem</w:t>
      </w:r>
      <w:r w:rsidRPr="001048FE">
        <w:rPr>
          <w:spacing w:val="-12"/>
          <w:lang w:val="sl-SI"/>
        </w:rPr>
        <w:t xml:space="preserve"> </w:t>
      </w:r>
      <w:r w:rsidRPr="001048FE">
        <w:rPr>
          <w:lang w:val="sl-SI"/>
        </w:rPr>
        <w:t>delu</w:t>
      </w:r>
      <w:r w:rsidRPr="001048FE">
        <w:rPr>
          <w:spacing w:val="-12"/>
          <w:lang w:val="sl-SI"/>
        </w:rPr>
        <w:t xml:space="preserve"> </w:t>
      </w:r>
      <w:r w:rsidRPr="001048FE">
        <w:rPr>
          <w:lang w:val="sl-SI"/>
        </w:rPr>
        <w:t>so</w:t>
      </w:r>
      <w:r w:rsidRPr="001048FE">
        <w:rPr>
          <w:spacing w:val="-12"/>
          <w:lang w:val="sl-SI"/>
        </w:rPr>
        <w:t xml:space="preserve"> </w:t>
      </w:r>
      <w:r w:rsidRPr="001048FE">
        <w:rPr>
          <w:lang w:val="sl-SI"/>
        </w:rPr>
        <w:t>za</w:t>
      </w:r>
      <w:r w:rsidRPr="001048FE">
        <w:rPr>
          <w:spacing w:val="-12"/>
          <w:lang w:val="sl-SI"/>
        </w:rPr>
        <w:t xml:space="preserve"> </w:t>
      </w:r>
      <w:r w:rsidRPr="001048FE">
        <w:rPr>
          <w:lang w:val="sl-SI"/>
        </w:rPr>
        <w:t>vse</w:t>
      </w:r>
      <w:r w:rsidRPr="001048FE">
        <w:rPr>
          <w:spacing w:val="-12"/>
          <w:lang w:val="sl-SI"/>
        </w:rPr>
        <w:t xml:space="preserve"> </w:t>
      </w:r>
      <w:r w:rsidRPr="001048FE">
        <w:rPr>
          <w:lang w:val="sl-SI"/>
        </w:rPr>
        <w:t>ukrepe</w:t>
      </w:r>
      <w:r w:rsidRPr="001048FE">
        <w:rPr>
          <w:spacing w:val="-12"/>
          <w:lang w:val="sl-SI"/>
        </w:rPr>
        <w:t xml:space="preserve"> </w:t>
      </w:r>
      <w:r w:rsidRPr="001048FE">
        <w:rPr>
          <w:lang w:val="sl-SI"/>
        </w:rPr>
        <w:t>in</w:t>
      </w:r>
      <w:r w:rsidRPr="001048FE">
        <w:rPr>
          <w:spacing w:val="-12"/>
          <w:lang w:val="sl-SI"/>
        </w:rPr>
        <w:t xml:space="preserve"> </w:t>
      </w:r>
      <w:r w:rsidRPr="001048FE">
        <w:rPr>
          <w:lang w:val="sl-SI"/>
        </w:rPr>
        <w:t>aktivnosti,</w:t>
      </w:r>
      <w:r w:rsidRPr="001048FE">
        <w:rPr>
          <w:spacing w:val="-12"/>
          <w:lang w:val="sl-SI"/>
        </w:rPr>
        <w:t xml:space="preserve"> </w:t>
      </w:r>
      <w:r w:rsidRPr="001048FE">
        <w:rPr>
          <w:lang w:val="sl-SI"/>
        </w:rPr>
        <w:t>zajete</w:t>
      </w:r>
      <w:r w:rsidRPr="001048FE">
        <w:rPr>
          <w:spacing w:val="-12"/>
          <w:lang w:val="sl-SI"/>
        </w:rPr>
        <w:t xml:space="preserve"> </w:t>
      </w:r>
      <w:r w:rsidRPr="001048FE">
        <w:rPr>
          <w:lang w:val="sl-SI"/>
        </w:rPr>
        <w:t>v</w:t>
      </w:r>
      <w:r w:rsidRPr="001048FE">
        <w:rPr>
          <w:spacing w:val="-12"/>
          <w:lang w:val="sl-SI"/>
        </w:rPr>
        <w:t xml:space="preserve"> </w:t>
      </w:r>
      <w:r w:rsidRPr="001048FE">
        <w:rPr>
          <w:lang w:val="sl-SI"/>
        </w:rPr>
        <w:t>Vodnik</w:t>
      </w:r>
      <w:r w:rsidRPr="001048FE">
        <w:rPr>
          <w:spacing w:val="-12"/>
          <w:lang w:val="sl-SI"/>
        </w:rPr>
        <w:t xml:space="preserve"> </w:t>
      </w:r>
      <w:r w:rsidRPr="001048FE">
        <w:rPr>
          <w:lang w:val="sl-SI"/>
        </w:rPr>
        <w:t>za</w:t>
      </w:r>
      <w:r w:rsidRPr="001048FE">
        <w:rPr>
          <w:spacing w:val="-12"/>
          <w:lang w:val="sl-SI"/>
        </w:rPr>
        <w:t xml:space="preserve"> </w:t>
      </w:r>
      <w:r w:rsidRPr="001048FE">
        <w:rPr>
          <w:lang w:val="sl-SI"/>
        </w:rPr>
        <w:t>prijavitelje</w:t>
      </w:r>
      <w:r w:rsidRPr="001048FE">
        <w:rPr>
          <w:spacing w:val="-12"/>
          <w:lang w:val="sl-SI"/>
        </w:rPr>
        <w:t xml:space="preserve"> </w:t>
      </w:r>
      <w:r w:rsidRPr="001048FE">
        <w:rPr>
          <w:lang w:val="sl-SI"/>
        </w:rPr>
        <w:t>Erasmus+,</w:t>
      </w:r>
      <w:r w:rsidRPr="001048FE">
        <w:rPr>
          <w:spacing w:val="-12"/>
          <w:lang w:val="sl-SI"/>
        </w:rPr>
        <w:t xml:space="preserve"> </w:t>
      </w:r>
      <w:r w:rsidRPr="001048FE">
        <w:rPr>
          <w:lang w:val="sl-SI"/>
        </w:rPr>
        <w:t>navedene naslednje</w:t>
      </w:r>
      <w:r w:rsidRPr="001048FE">
        <w:rPr>
          <w:spacing w:val="-3"/>
          <w:lang w:val="sl-SI"/>
        </w:rPr>
        <w:t xml:space="preserve"> </w:t>
      </w:r>
      <w:r w:rsidRPr="001048FE">
        <w:rPr>
          <w:lang w:val="sl-SI"/>
        </w:rPr>
        <w:t>informacije:</w:t>
      </w:r>
    </w:p>
    <w:p w14:paraId="7D398760" w14:textId="77777777" w:rsidR="00E03711" w:rsidRPr="001048FE" w:rsidRDefault="00E03711" w:rsidP="005115F2">
      <w:pPr>
        <w:pStyle w:val="Guide-NormalBulletpoints"/>
        <w:numPr>
          <w:ilvl w:val="0"/>
          <w:numId w:val="394"/>
        </w:numPr>
        <w:rPr>
          <w:lang w:val="sl-SI"/>
        </w:rPr>
      </w:pPr>
      <w:r w:rsidRPr="001048FE">
        <w:rPr>
          <w:lang w:val="sl-SI"/>
        </w:rPr>
        <w:t xml:space="preserve">opis ciljev ukrepov in pričakovani učinek; </w:t>
      </w:r>
    </w:p>
    <w:p w14:paraId="7D398761" w14:textId="77777777" w:rsidR="00E03711" w:rsidRPr="001048FE" w:rsidRDefault="00E03711" w:rsidP="005115F2">
      <w:pPr>
        <w:pStyle w:val="Guide-NormalBulletpoints"/>
        <w:numPr>
          <w:ilvl w:val="0"/>
          <w:numId w:val="394"/>
        </w:numPr>
        <w:rPr>
          <w:lang w:val="sl-SI"/>
        </w:rPr>
      </w:pPr>
      <w:r w:rsidRPr="001048FE">
        <w:rPr>
          <w:lang w:val="sl-SI"/>
        </w:rPr>
        <w:t>opis podprtih aktivnosti;</w:t>
      </w:r>
    </w:p>
    <w:p w14:paraId="7D398762" w14:textId="77777777" w:rsidR="00E03711" w:rsidRPr="001048FE" w:rsidRDefault="00E03711" w:rsidP="005115F2">
      <w:pPr>
        <w:pStyle w:val="Guide-NormalBulletpoints"/>
        <w:numPr>
          <w:ilvl w:val="0"/>
          <w:numId w:val="394"/>
        </w:numPr>
        <w:rPr>
          <w:lang w:val="sl-SI"/>
        </w:rPr>
      </w:pPr>
      <w:r w:rsidRPr="001048FE">
        <w:rPr>
          <w:lang w:val="sl-SI"/>
        </w:rPr>
        <w:t xml:space="preserve">preglednice z merili, ki se uporabljajo za ocenjevanje predlogov projektov; </w:t>
      </w:r>
    </w:p>
    <w:p w14:paraId="7D398763" w14:textId="77777777" w:rsidR="00E03711" w:rsidRPr="001048FE" w:rsidRDefault="00E03711" w:rsidP="005115F2">
      <w:pPr>
        <w:pStyle w:val="Guide-NormalBulletpoints"/>
        <w:numPr>
          <w:ilvl w:val="0"/>
          <w:numId w:val="394"/>
        </w:numPr>
        <w:rPr>
          <w:lang w:val="sl-SI"/>
        </w:rPr>
      </w:pPr>
      <w:r w:rsidRPr="001048FE">
        <w:rPr>
          <w:lang w:val="sl-SI"/>
        </w:rPr>
        <w:t xml:space="preserve">dodatne informacije, ki so koristne za dobro razumevanje podprtih vrst projektov; </w:t>
      </w:r>
    </w:p>
    <w:p w14:paraId="7D398764" w14:textId="77777777" w:rsidR="00E03711" w:rsidRPr="001048FE" w:rsidRDefault="00E03711" w:rsidP="005115F2">
      <w:pPr>
        <w:pStyle w:val="Guide-NormalBulletpoints"/>
        <w:numPr>
          <w:ilvl w:val="0"/>
          <w:numId w:val="394"/>
        </w:numPr>
        <w:rPr>
          <w:lang w:val="sl-SI"/>
        </w:rPr>
      </w:pPr>
      <w:r w:rsidRPr="001048FE">
        <w:rPr>
          <w:lang w:val="sl-SI"/>
        </w:rPr>
        <w:t>opis pravil za dodelitev sredstev.</w:t>
      </w:r>
    </w:p>
    <w:p w14:paraId="7D398765" w14:textId="77777777" w:rsidR="00E03711" w:rsidRPr="001048FE" w:rsidRDefault="00E03711" w:rsidP="00AC66A5">
      <w:pPr>
        <w:pStyle w:val="GUIDE-NORMAL"/>
        <w:rPr>
          <w:lang w:val="sl-SI"/>
        </w:rPr>
      </w:pPr>
      <w:r w:rsidRPr="001048FE">
        <w:rPr>
          <w:lang w:val="sl-SI"/>
        </w:rPr>
        <w:t>Prijaviteljem se priporoča, da pred oddajo vloge skrbno preberejo celotno poglavje o ukrepu, v okviru katerega se želijo prijaviti. Priporoča se tudi, da si skrbno preberejo dodatne informacije v Prilogi I k temu vodniku.</w:t>
      </w:r>
    </w:p>
    <w:p w14:paraId="7D398766" w14:textId="77777777" w:rsidR="00E03711" w:rsidRDefault="00E03711">
      <w:pPr>
        <w:widowControl/>
        <w:suppressAutoHyphens w:val="0"/>
        <w:autoSpaceDN/>
        <w:textAlignment w:val="auto"/>
        <w:rPr>
          <w:rFonts w:eastAsia="Times New Roman" w:cs="Times New Roman"/>
          <w:b/>
          <w:smallCaps/>
          <w:sz w:val="32"/>
          <w:szCs w:val="18"/>
          <w:lang w:val="sl-SI"/>
        </w:rPr>
      </w:pPr>
      <w:bookmarkStart w:id="135" w:name="_Toc527400907"/>
      <w:bookmarkStart w:id="136" w:name="_Toc527401131"/>
      <w:r>
        <w:rPr>
          <w:lang w:val="sl-SI"/>
        </w:rPr>
        <w:br w:type="page"/>
      </w:r>
    </w:p>
    <w:p w14:paraId="7D398767" w14:textId="77777777" w:rsidR="00E03711" w:rsidRPr="001048FE" w:rsidRDefault="00E03711" w:rsidP="0030441A">
      <w:pPr>
        <w:pStyle w:val="Guide-Heading2"/>
        <w:rPr>
          <w:lang w:val="sl-SI"/>
        </w:rPr>
      </w:pPr>
      <w:r w:rsidRPr="001048FE">
        <w:rPr>
          <w:lang w:val="sl-SI"/>
        </w:rPr>
        <w:t>Izobraževanje in usposabljanje</w:t>
      </w:r>
      <w:bookmarkEnd w:id="135"/>
      <w:bookmarkEnd w:id="136"/>
    </w:p>
    <w:p w14:paraId="7D398768" w14:textId="77777777" w:rsidR="00E03711" w:rsidRPr="001048FE" w:rsidRDefault="00E03711" w:rsidP="00AC66A5">
      <w:pPr>
        <w:pStyle w:val="GUIDE-NORMAL"/>
        <w:rPr>
          <w:lang w:val="sl-SI"/>
        </w:rPr>
      </w:pPr>
      <w:r w:rsidRPr="001048FE">
        <w:rPr>
          <w:lang w:val="sl-SI"/>
        </w:rPr>
        <w:t>Priložnosti</w:t>
      </w:r>
      <w:r w:rsidRPr="001048FE">
        <w:rPr>
          <w:spacing w:val="-27"/>
          <w:lang w:val="sl-SI"/>
        </w:rPr>
        <w:t xml:space="preserve"> </w:t>
      </w:r>
      <w:r w:rsidRPr="001048FE">
        <w:rPr>
          <w:lang w:val="sl-SI"/>
        </w:rPr>
        <w:t>v</w:t>
      </w:r>
      <w:r w:rsidRPr="001048FE">
        <w:rPr>
          <w:spacing w:val="-27"/>
          <w:lang w:val="sl-SI"/>
        </w:rPr>
        <w:t xml:space="preserve"> </w:t>
      </w:r>
      <w:r w:rsidRPr="001048FE">
        <w:rPr>
          <w:lang w:val="sl-SI"/>
        </w:rPr>
        <w:t>visokošolskem</w:t>
      </w:r>
      <w:r w:rsidRPr="001048FE">
        <w:rPr>
          <w:spacing w:val="-27"/>
          <w:lang w:val="sl-SI"/>
        </w:rPr>
        <w:t xml:space="preserve"> </w:t>
      </w:r>
      <w:r w:rsidRPr="001048FE">
        <w:rPr>
          <w:lang w:val="sl-SI"/>
        </w:rPr>
        <w:t>izobraževanju,</w:t>
      </w:r>
      <w:r w:rsidRPr="001048FE">
        <w:rPr>
          <w:spacing w:val="-27"/>
          <w:lang w:val="sl-SI"/>
        </w:rPr>
        <w:t xml:space="preserve"> </w:t>
      </w:r>
      <w:r w:rsidRPr="001048FE">
        <w:rPr>
          <w:lang w:val="sl-SI"/>
        </w:rPr>
        <w:t>poklicnem</w:t>
      </w:r>
      <w:r w:rsidRPr="001048FE">
        <w:rPr>
          <w:spacing w:val="-27"/>
          <w:lang w:val="sl-SI"/>
        </w:rPr>
        <w:t xml:space="preserve"> </w:t>
      </w:r>
      <w:r w:rsidRPr="001048FE">
        <w:rPr>
          <w:lang w:val="sl-SI"/>
        </w:rPr>
        <w:t>izobraževanju</w:t>
      </w:r>
      <w:r w:rsidRPr="001048FE">
        <w:rPr>
          <w:spacing w:val="-27"/>
          <w:lang w:val="sl-SI"/>
        </w:rPr>
        <w:t xml:space="preserve"> </w:t>
      </w:r>
      <w:r w:rsidRPr="001048FE">
        <w:rPr>
          <w:lang w:val="sl-SI"/>
        </w:rPr>
        <w:t>in</w:t>
      </w:r>
      <w:r w:rsidRPr="001048FE">
        <w:rPr>
          <w:spacing w:val="-27"/>
          <w:lang w:val="sl-SI"/>
        </w:rPr>
        <w:t xml:space="preserve"> </w:t>
      </w:r>
      <w:r w:rsidRPr="001048FE">
        <w:rPr>
          <w:lang w:val="sl-SI"/>
        </w:rPr>
        <w:t>usposabljanju,</w:t>
      </w:r>
      <w:r w:rsidRPr="001048FE">
        <w:rPr>
          <w:spacing w:val="-27"/>
          <w:lang w:val="sl-SI"/>
        </w:rPr>
        <w:t xml:space="preserve"> </w:t>
      </w:r>
      <w:r w:rsidRPr="001048FE">
        <w:rPr>
          <w:lang w:val="sl-SI"/>
        </w:rPr>
        <w:t>šolskem izobraževanju in izobraževanju</w:t>
      </w:r>
      <w:r w:rsidRPr="001048FE">
        <w:rPr>
          <w:spacing w:val="-8"/>
          <w:lang w:val="sl-SI"/>
        </w:rPr>
        <w:t xml:space="preserve"> </w:t>
      </w:r>
      <w:r w:rsidRPr="001048FE">
        <w:rPr>
          <w:lang w:val="sl-SI"/>
        </w:rPr>
        <w:t>odraslih</w:t>
      </w:r>
    </w:p>
    <w:p w14:paraId="7D398769" w14:textId="77777777" w:rsidR="00E03711" w:rsidRPr="001048FE" w:rsidRDefault="00E03711" w:rsidP="0030441A">
      <w:pPr>
        <w:pStyle w:val="Guide-Heading3"/>
        <w:rPr>
          <w:lang w:val="sl-SI"/>
        </w:rPr>
      </w:pPr>
      <w:bookmarkStart w:id="137" w:name="_Toc527400908"/>
      <w:bookmarkStart w:id="138" w:name="_Toc527401132"/>
      <w:r w:rsidRPr="001048FE">
        <w:rPr>
          <w:lang w:val="sl-SI"/>
        </w:rPr>
        <w:t>Kateri ukrepi so podprti?</w:t>
      </w:r>
      <w:bookmarkEnd w:id="137"/>
      <w:bookmarkEnd w:id="138"/>
    </w:p>
    <w:p w14:paraId="7D39876A" w14:textId="77777777" w:rsidR="00E03711" w:rsidRPr="001048FE" w:rsidRDefault="00E03711" w:rsidP="00AC66A5">
      <w:pPr>
        <w:pStyle w:val="GUIDE-NORMAL"/>
        <w:rPr>
          <w:lang w:val="sl-SI"/>
        </w:rPr>
      </w:pPr>
      <w:r w:rsidRPr="001048FE">
        <w:rPr>
          <w:lang w:val="sl-SI"/>
        </w:rPr>
        <w:t>V naslednjih poglavjih „Ključni ukrep 1“, „Ključni ukrep 2“ in „Ključni ukrep 3“ so predstavljeni konkretni ukrepi, katerih namen je izpolniti cilje Programa na področju izobraževanja in usposabljanja.</w:t>
      </w:r>
      <w:r w:rsidRPr="001048FE">
        <w:rPr>
          <w:spacing w:val="-16"/>
          <w:lang w:val="sl-SI"/>
        </w:rPr>
        <w:t xml:space="preserve"> </w:t>
      </w:r>
      <w:r w:rsidRPr="001048FE">
        <w:rPr>
          <w:lang w:val="sl-SI"/>
        </w:rPr>
        <w:t>Med</w:t>
      </w:r>
      <w:r w:rsidRPr="001048FE">
        <w:rPr>
          <w:spacing w:val="-16"/>
          <w:lang w:val="sl-SI"/>
        </w:rPr>
        <w:t xml:space="preserve"> </w:t>
      </w:r>
      <w:r w:rsidRPr="001048FE">
        <w:rPr>
          <w:lang w:val="sl-SI"/>
        </w:rPr>
        <w:t>temi</w:t>
      </w:r>
      <w:r w:rsidRPr="001048FE">
        <w:rPr>
          <w:spacing w:val="-16"/>
          <w:lang w:val="sl-SI"/>
        </w:rPr>
        <w:t xml:space="preserve"> </w:t>
      </w:r>
      <w:r w:rsidRPr="001048FE">
        <w:rPr>
          <w:lang w:val="sl-SI"/>
        </w:rPr>
        <w:t>so</w:t>
      </w:r>
      <w:r w:rsidRPr="001048FE">
        <w:rPr>
          <w:spacing w:val="-16"/>
          <w:lang w:val="sl-SI"/>
        </w:rPr>
        <w:t xml:space="preserve"> </w:t>
      </w:r>
      <w:r w:rsidRPr="001048FE">
        <w:rPr>
          <w:lang w:val="sl-SI"/>
        </w:rPr>
        <w:t>naslednji</w:t>
      </w:r>
      <w:r w:rsidRPr="001048FE">
        <w:rPr>
          <w:spacing w:val="-16"/>
          <w:lang w:val="sl-SI"/>
        </w:rPr>
        <w:t xml:space="preserve"> </w:t>
      </w:r>
      <w:r w:rsidRPr="001048FE">
        <w:rPr>
          <w:lang w:val="sl-SI"/>
        </w:rPr>
        <w:t>ukrepi,</w:t>
      </w:r>
      <w:r w:rsidRPr="001048FE">
        <w:rPr>
          <w:spacing w:val="-16"/>
          <w:lang w:val="sl-SI"/>
        </w:rPr>
        <w:t xml:space="preserve"> </w:t>
      </w:r>
      <w:r w:rsidRPr="001048FE">
        <w:rPr>
          <w:lang w:val="sl-SI"/>
        </w:rPr>
        <w:t>povezani</w:t>
      </w:r>
      <w:r w:rsidRPr="001048FE">
        <w:rPr>
          <w:spacing w:val="-16"/>
          <w:lang w:val="sl-SI"/>
        </w:rPr>
        <w:t xml:space="preserve"> </w:t>
      </w:r>
      <w:r w:rsidRPr="001048FE">
        <w:rPr>
          <w:lang w:val="sl-SI"/>
        </w:rPr>
        <w:t>predvsem</w:t>
      </w:r>
      <w:r w:rsidRPr="001048FE">
        <w:rPr>
          <w:spacing w:val="-16"/>
          <w:lang w:val="sl-SI"/>
        </w:rPr>
        <w:t xml:space="preserve"> </w:t>
      </w:r>
      <w:r w:rsidRPr="001048FE">
        <w:rPr>
          <w:lang w:val="sl-SI"/>
        </w:rPr>
        <w:t>–</w:t>
      </w:r>
      <w:r w:rsidRPr="001048FE">
        <w:rPr>
          <w:spacing w:val="-16"/>
          <w:lang w:val="sl-SI"/>
        </w:rPr>
        <w:t xml:space="preserve"> </w:t>
      </w:r>
      <w:r w:rsidRPr="001048FE">
        <w:rPr>
          <w:lang w:val="sl-SI"/>
        </w:rPr>
        <w:t>vendar</w:t>
      </w:r>
      <w:r w:rsidRPr="001048FE">
        <w:rPr>
          <w:spacing w:val="-16"/>
          <w:lang w:val="sl-SI"/>
        </w:rPr>
        <w:t xml:space="preserve"> </w:t>
      </w:r>
      <w:r w:rsidRPr="001048FE">
        <w:rPr>
          <w:lang w:val="sl-SI"/>
        </w:rPr>
        <w:t>ne</w:t>
      </w:r>
      <w:r w:rsidRPr="001048FE">
        <w:rPr>
          <w:spacing w:val="-16"/>
          <w:lang w:val="sl-SI"/>
        </w:rPr>
        <w:t xml:space="preserve"> </w:t>
      </w:r>
      <w:r w:rsidRPr="001048FE">
        <w:rPr>
          <w:lang w:val="sl-SI"/>
        </w:rPr>
        <w:t>izključno</w:t>
      </w:r>
      <w:r w:rsidRPr="001048FE">
        <w:rPr>
          <w:spacing w:val="-16"/>
          <w:lang w:val="sl-SI"/>
        </w:rPr>
        <w:t xml:space="preserve"> </w:t>
      </w:r>
      <w:r w:rsidRPr="001048FE">
        <w:rPr>
          <w:lang w:val="sl-SI"/>
        </w:rPr>
        <w:t>–</w:t>
      </w:r>
      <w:r w:rsidRPr="001048FE">
        <w:rPr>
          <w:spacing w:val="-16"/>
          <w:lang w:val="sl-SI"/>
        </w:rPr>
        <w:t xml:space="preserve"> </w:t>
      </w:r>
      <w:r w:rsidRPr="001048FE">
        <w:rPr>
          <w:lang w:val="sl-SI"/>
        </w:rPr>
        <w:t>s</w:t>
      </w:r>
      <w:r w:rsidRPr="001048FE">
        <w:rPr>
          <w:spacing w:val="-16"/>
          <w:lang w:val="sl-SI"/>
        </w:rPr>
        <w:t xml:space="preserve"> </w:t>
      </w:r>
      <w:r w:rsidRPr="001048FE">
        <w:rPr>
          <w:lang w:val="sl-SI"/>
        </w:rPr>
        <w:t>področjem izobraževanja in</w:t>
      </w:r>
      <w:r w:rsidRPr="001048FE">
        <w:rPr>
          <w:spacing w:val="-6"/>
          <w:lang w:val="sl-SI"/>
        </w:rPr>
        <w:t xml:space="preserve"> </w:t>
      </w:r>
      <w:r w:rsidRPr="001048FE">
        <w:rPr>
          <w:lang w:val="sl-SI"/>
        </w:rPr>
        <w:t>usposabljanja:</w:t>
      </w:r>
    </w:p>
    <w:p w14:paraId="7D39876B" w14:textId="77777777" w:rsidR="00E03711" w:rsidRPr="001048FE" w:rsidRDefault="00E03711" w:rsidP="005115F2">
      <w:pPr>
        <w:pStyle w:val="Guide-NormalBulletpoints"/>
        <w:numPr>
          <w:ilvl w:val="0"/>
          <w:numId w:val="395"/>
        </w:numPr>
        <w:rPr>
          <w:lang w:val="sl-SI"/>
        </w:rPr>
      </w:pPr>
      <w:r w:rsidRPr="001048FE">
        <w:rPr>
          <w:lang w:val="sl-SI"/>
        </w:rPr>
        <w:t>Projekti mobilnosti za mlade (razmjene mladih i volontiranje) i osobe koje rade s mladima projekti mobilnosti za učeče se in osebje v visokošolskem izobraževanju ter poklicnem izobraževanju in usposabljanju (PIU);</w:t>
      </w:r>
    </w:p>
    <w:p w14:paraId="7D39876C" w14:textId="77777777" w:rsidR="00E03711" w:rsidRPr="001048FE" w:rsidRDefault="00E03711" w:rsidP="005115F2">
      <w:pPr>
        <w:pStyle w:val="Guide-NormalBulletpoints"/>
        <w:numPr>
          <w:ilvl w:val="0"/>
          <w:numId w:val="395"/>
        </w:numPr>
        <w:rPr>
          <w:lang w:val="sl-SI"/>
        </w:rPr>
      </w:pPr>
      <w:r w:rsidRPr="001048FE">
        <w:rPr>
          <w:lang w:val="sl-SI"/>
        </w:rPr>
        <w:t>projekti</w:t>
      </w:r>
      <w:r w:rsidRPr="001048FE">
        <w:rPr>
          <w:spacing w:val="-14"/>
          <w:lang w:val="sl-SI"/>
        </w:rPr>
        <w:t xml:space="preserve"> </w:t>
      </w:r>
      <w:r w:rsidRPr="001048FE">
        <w:rPr>
          <w:lang w:val="sl-SI"/>
        </w:rPr>
        <w:t>mobilnosti</w:t>
      </w:r>
      <w:r w:rsidRPr="001048FE">
        <w:rPr>
          <w:spacing w:val="-14"/>
          <w:lang w:val="sl-SI"/>
        </w:rPr>
        <w:t xml:space="preserve"> </w:t>
      </w:r>
      <w:r w:rsidRPr="001048FE">
        <w:rPr>
          <w:lang w:val="sl-SI"/>
        </w:rPr>
        <w:t>za</w:t>
      </w:r>
      <w:r w:rsidRPr="001048FE">
        <w:rPr>
          <w:spacing w:val="-14"/>
          <w:lang w:val="sl-SI"/>
        </w:rPr>
        <w:t xml:space="preserve"> </w:t>
      </w:r>
      <w:r w:rsidRPr="001048FE">
        <w:rPr>
          <w:lang w:val="sl-SI"/>
        </w:rPr>
        <w:t>šolsko</w:t>
      </w:r>
      <w:r w:rsidRPr="001048FE">
        <w:rPr>
          <w:spacing w:val="-14"/>
          <w:lang w:val="sl-SI"/>
        </w:rPr>
        <w:t xml:space="preserve"> </w:t>
      </w:r>
      <w:r w:rsidRPr="001048FE">
        <w:rPr>
          <w:lang w:val="sl-SI"/>
        </w:rPr>
        <w:t>osebje</w:t>
      </w:r>
      <w:r w:rsidRPr="001048FE">
        <w:rPr>
          <w:spacing w:val="-13"/>
          <w:lang w:val="sl-SI"/>
        </w:rPr>
        <w:t xml:space="preserve"> </w:t>
      </w:r>
      <w:r w:rsidRPr="001048FE">
        <w:rPr>
          <w:lang w:val="sl-SI"/>
        </w:rPr>
        <w:t>in</w:t>
      </w:r>
      <w:r w:rsidRPr="001048FE">
        <w:rPr>
          <w:spacing w:val="-14"/>
          <w:lang w:val="sl-SI"/>
        </w:rPr>
        <w:t xml:space="preserve"> </w:t>
      </w:r>
      <w:r w:rsidRPr="001048FE">
        <w:rPr>
          <w:lang w:val="sl-SI"/>
        </w:rPr>
        <w:t>osebje</w:t>
      </w:r>
      <w:r w:rsidRPr="001048FE">
        <w:rPr>
          <w:spacing w:val="-13"/>
          <w:lang w:val="sl-SI"/>
        </w:rPr>
        <w:t xml:space="preserve"> </w:t>
      </w:r>
      <w:r w:rsidRPr="001048FE">
        <w:rPr>
          <w:lang w:val="sl-SI"/>
        </w:rPr>
        <w:t>v</w:t>
      </w:r>
      <w:r w:rsidRPr="001048FE">
        <w:rPr>
          <w:spacing w:val="-14"/>
          <w:lang w:val="sl-SI"/>
        </w:rPr>
        <w:t xml:space="preserve"> </w:t>
      </w:r>
      <w:r w:rsidRPr="001048FE">
        <w:rPr>
          <w:lang w:val="sl-SI"/>
        </w:rPr>
        <w:t>izobraževanju</w:t>
      </w:r>
      <w:r w:rsidRPr="001048FE">
        <w:rPr>
          <w:spacing w:val="-14"/>
          <w:lang w:val="sl-SI"/>
        </w:rPr>
        <w:t xml:space="preserve"> </w:t>
      </w:r>
      <w:r w:rsidRPr="001048FE">
        <w:rPr>
          <w:lang w:val="sl-SI"/>
        </w:rPr>
        <w:t xml:space="preserve">odraslih; </w:t>
      </w:r>
    </w:p>
    <w:p w14:paraId="7D39876D" w14:textId="77777777" w:rsidR="00E03711" w:rsidRPr="001048FE" w:rsidRDefault="00E03711" w:rsidP="005115F2">
      <w:pPr>
        <w:pStyle w:val="Guide-NormalBulletpoints"/>
        <w:numPr>
          <w:ilvl w:val="0"/>
          <w:numId w:val="395"/>
        </w:numPr>
        <w:rPr>
          <w:lang w:val="sl-SI"/>
        </w:rPr>
      </w:pPr>
      <w:r w:rsidRPr="001048FE">
        <w:rPr>
          <w:lang w:val="sl-SI"/>
        </w:rPr>
        <w:t>skupni magistrski študij Erasmus</w:t>
      </w:r>
      <w:r w:rsidRPr="001048FE">
        <w:rPr>
          <w:spacing w:val="-11"/>
          <w:lang w:val="sl-SI"/>
        </w:rPr>
        <w:t xml:space="preserve"> </w:t>
      </w:r>
      <w:r w:rsidRPr="001048FE">
        <w:rPr>
          <w:lang w:val="sl-SI"/>
        </w:rPr>
        <w:t>Mundus;</w:t>
      </w:r>
    </w:p>
    <w:p w14:paraId="7D39876E" w14:textId="77777777" w:rsidR="00E03711" w:rsidRPr="001048FE" w:rsidRDefault="00E03711" w:rsidP="005115F2">
      <w:pPr>
        <w:pStyle w:val="Guide-NormalBulletpoints"/>
        <w:numPr>
          <w:ilvl w:val="0"/>
          <w:numId w:val="395"/>
        </w:numPr>
        <w:rPr>
          <w:lang w:val="sl-SI"/>
        </w:rPr>
      </w:pPr>
      <w:r w:rsidRPr="001048FE">
        <w:rPr>
          <w:lang w:val="sl-SI"/>
        </w:rPr>
        <w:t xml:space="preserve">posojila Erasmus+ za magistrski študij; </w:t>
      </w:r>
    </w:p>
    <w:p w14:paraId="7D39876F" w14:textId="77777777" w:rsidR="00E03711" w:rsidRPr="001048FE" w:rsidRDefault="00E03711" w:rsidP="005115F2">
      <w:pPr>
        <w:pStyle w:val="Guide-NormalBulletpoints"/>
        <w:numPr>
          <w:ilvl w:val="0"/>
          <w:numId w:val="395"/>
        </w:numPr>
        <w:rPr>
          <w:lang w:val="sl-SI"/>
        </w:rPr>
      </w:pPr>
      <w:r w:rsidRPr="001048FE">
        <w:rPr>
          <w:lang w:val="sl-SI"/>
        </w:rPr>
        <w:t>strateška partnerstva;</w:t>
      </w:r>
    </w:p>
    <w:p w14:paraId="7D398770" w14:textId="77777777" w:rsidR="00E03711" w:rsidRPr="001048FE" w:rsidRDefault="00E03711" w:rsidP="005115F2">
      <w:pPr>
        <w:pStyle w:val="Guide-NormalBulletpoints"/>
        <w:numPr>
          <w:ilvl w:val="0"/>
          <w:numId w:val="395"/>
        </w:numPr>
        <w:rPr>
          <w:lang w:val="sl-SI"/>
        </w:rPr>
      </w:pPr>
      <w:r w:rsidRPr="001048FE">
        <w:rPr>
          <w:lang w:val="sl-SI"/>
        </w:rPr>
        <w:t>koalicije znanja</w:t>
      </w:r>
      <w:r>
        <w:rPr>
          <w:lang w:val="sl-SI"/>
        </w:rPr>
        <w:t xml:space="preserve"> – Evropske univerze</w:t>
      </w:r>
      <w:r w:rsidRPr="001048FE">
        <w:rPr>
          <w:lang w:val="sl-SI"/>
        </w:rPr>
        <w:t>;</w:t>
      </w:r>
    </w:p>
    <w:p w14:paraId="7D398771" w14:textId="77777777" w:rsidR="00E03711" w:rsidRPr="001048FE" w:rsidRDefault="00E03711" w:rsidP="005115F2">
      <w:pPr>
        <w:pStyle w:val="Guide-NormalBulletpoints"/>
        <w:numPr>
          <w:ilvl w:val="0"/>
          <w:numId w:val="395"/>
        </w:numPr>
        <w:rPr>
          <w:lang w:val="sl-SI"/>
        </w:rPr>
      </w:pPr>
      <w:r w:rsidRPr="001048FE">
        <w:rPr>
          <w:lang w:val="sl-SI"/>
        </w:rPr>
        <w:t>koalicije sektorskih spretnosti;</w:t>
      </w:r>
    </w:p>
    <w:p w14:paraId="7D398772" w14:textId="77777777" w:rsidR="00E03711" w:rsidRPr="001048FE" w:rsidRDefault="00E03711" w:rsidP="005115F2">
      <w:pPr>
        <w:pStyle w:val="Guide-NormalBulletpoints"/>
        <w:numPr>
          <w:ilvl w:val="0"/>
          <w:numId w:val="395"/>
        </w:numPr>
        <w:rPr>
          <w:lang w:val="sl-SI"/>
        </w:rPr>
      </w:pPr>
      <w:r w:rsidRPr="001048FE">
        <w:rPr>
          <w:lang w:val="sl-SI"/>
        </w:rPr>
        <w:t>krepitev zmogljivosti na področju visokošolskega izobraževanja.</w:t>
      </w:r>
    </w:p>
    <w:p w14:paraId="7D398773" w14:textId="77777777" w:rsidR="00E03711" w:rsidRPr="001048FE" w:rsidRDefault="00E03711" w:rsidP="00AC66A5">
      <w:pPr>
        <w:pStyle w:val="GUIDE-NORMAL"/>
        <w:rPr>
          <w:rStyle w:val="Guide-Condensed-01"/>
          <w:spacing w:val="0"/>
          <w:lang w:val="sl-SI"/>
        </w:rPr>
      </w:pPr>
      <w:r w:rsidRPr="001048FE">
        <w:rPr>
          <w:lang w:val="sl-SI"/>
        </w:rPr>
        <w:t>V poglavju Ključni ukrep 3 so navedene tudi informacije o aktivnostih Erasmus+ za podporo politikam izobraževanja in usposabljanja, ki vključujejo analizo politik in vzajemno učenje, prihodnje pobude za inovacije v politiki, orodja in omrežja, sodelovanje z mednarodnimi organizacijami ter dialog z oblikovalci politik, deležniki in deležniškimi organizacijami. Te aktivnosti se izvajajo s posebnimi razpisi za zbiranje predlogov, ki jih bo neposredno upravljala Evropska komisija ali njena izvajalska agencija. Več informacij je na voljo na spletiščih Komisije in Izvajalske agencije.</w:t>
      </w:r>
    </w:p>
    <w:p w14:paraId="7D398774" w14:textId="77777777" w:rsidR="00E03711" w:rsidRPr="008C6F8C" w:rsidRDefault="00E03711" w:rsidP="0030441A">
      <w:pPr>
        <w:pStyle w:val="Guide-Heading3"/>
        <w:rPr>
          <w:lang w:val="sl-SI"/>
        </w:rPr>
      </w:pPr>
      <w:bookmarkStart w:id="139" w:name="_bookmark26"/>
      <w:bookmarkStart w:id="140" w:name="_Toc527400909"/>
      <w:bookmarkStart w:id="141" w:name="_Toc527401133"/>
      <w:bookmarkEnd w:id="139"/>
      <w:r w:rsidRPr="001048FE">
        <w:rPr>
          <w:lang w:val="sl-SI"/>
        </w:rPr>
        <w:t>Kakšni so cilji teh ukrepov?</w:t>
      </w:r>
      <w:bookmarkEnd w:id="140"/>
      <w:bookmarkEnd w:id="141"/>
    </w:p>
    <w:p w14:paraId="7D398775" w14:textId="77777777" w:rsidR="00E03711" w:rsidRPr="004F4EB6" w:rsidRDefault="00E03711" w:rsidP="00E23D2D">
      <w:pPr>
        <w:pStyle w:val="Guide-Heading5"/>
        <w:rPr>
          <w:lang w:val="sl-SI"/>
        </w:rPr>
      </w:pPr>
      <w:r w:rsidRPr="008C6F8C">
        <w:rPr>
          <w:lang w:val="sl-SI"/>
        </w:rPr>
        <w:t>Posebni cilji</w:t>
      </w:r>
    </w:p>
    <w:p w14:paraId="7D398776" w14:textId="77777777" w:rsidR="00E03711" w:rsidRPr="000C2B0A" w:rsidRDefault="00E03711" w:rsidP="00AC66A5">
      <w:pPr>
        <w:pStyle w:val="GUIDE-NORMAL"/>
        <w:rPr>
          <w:sz w:val="22"/>
          <w:lang w:val="sl-SI"/>
        </w:rPr>
      </w:pPr>
      <w:r w:rsidRPr="004F4EB6">
        <w:rPr>
          <w:lang w:val="sl-SI"/>
        </w:rPr>
        <w:t>Program Erasmus+ sledi naslednjim posebnim ciljem na področju izobraževanja in usposabljanja:</w:t>
      </w:r>
    </w:p>
    <w:p w14:paraId="7D398777" w14:textId="77777777" w:rsidR="00E03711" w:rsidRPr="00334E2A" w:rsidRDefault="00E03711" w:rsidP="005115F2">
      <w:pPr>
        <w:pStyle w:val="Guide-NormalBulletpoints"/>
        <w:numPr>
          <w:ilvl w:val="0"/>
          <w:numId w:val="346"/>
        </w:numPr>
        <w:rPr>
          <w:lang w:val="sl-SI"/>
        </w:rPr>
      </w:pPr>
      <w:r w:rsidRPr="000C2B0A">
        <w:rPr>
          <w:lang w:val="sl-SI"/>
        </w:rPr>
        <w:t>izboljšati raven ključnih kompetenc in spretnosti, zlasti glede njih</w:t>
      </w:r>
      <w:r w:rsidRPr="00334E2A">
        <w:rPr>
          <w:lang w:val="sl-SI"/>
        </w:rPr>
        <w:t xml:space="preserve">ove ustreznosti na trgu dela in njihovega prispevka h kohezivni družbi, zlasti z več priložnostmi za učno mobilnost in okrepljenim sodelovanjem med svetom izobraževanja in usposabljanja ter svetom dela; </w:t>
      </w:r>
    </w:p>
    <w:p w14:paraId="7D398778" w14:textId="77777777" w:rsidR="00E03711" w:rsidRPr="004F5230" w:rsidRDefault="00E03711" w:rsidP="005115F2">
      <w:pPr>
        <w:pStyle w:val="Guide-NormalBulletpoints"/>
        <w:numPr>
          <w:ilvl w:val="0"/>
          <w:numId w:val="346"/>
        </w:numPr>
        <w:rPr>
          <w:lang w:val="sl-SI"/>
        </w:rPr>
      </w:pPr>
      <w:r w:rsidRPr="00334E2A">
        <w:rPr>
          <w:lang w:val="sl-SI"/>
        </w:rPr>
        <w:t>spodbujati krepitev kakovosti, odličnost inovacij in</w:t>
      </w:r>
      <w:r w:rsidRPr="00A61890">
        <w:rPr>
          <w:lang w:val="sl-SI"/>
        </w:rPr>
        <w:t xml:space="preserve"> internacionalizacijo na ravni izobraževalnih institucij in institucij za usposabljanje, zlasti z boljšim mednarodnim sodelovanjem med ponudniki izobraževanja in usposabljanja ter drugimi deležniki; </w:t>
      </w:r>
    </w:p>
    <w:p w14:paraId="7D398779" w14:textId="77777777" w:rsidR="00E03711" w:rsidRPr="008C6F8C" w:rsidRDefault="00E03711" w:rsidP="005115F2">
      <w:pPr>
        <w:pStyle w:val="Guide-NormalBulletpoints"/>
        <w:numPr>
          <w:ilvl w:val="0"/>
          <w:numId w:val="346"/>
        </w:numPr>
        <w:rPr>
          <w:lang w:val="sl-SI"/>
        </w:rPr>
      </w:pPr>
      <w:r w:rsidRPr="004F5230">
        <w:rPr>
          <w:lang w:val="sl-SI"/>
        </w:rPr>
        <w:t>spodbujati nastanek evropskega prostora vseživljenjskega</w:t>
      </w:r>
      <w:r w:rsidRPr="003A6990">
        <w:rPr>
          <w:lang w:val="sl-SI"/>
        </w:rPr>
        <w:t xml:space="preserve"> učenja, katerega namen je dopolnjevati reforme politik na nacionalni ravni ter podpirati posodobitev sistemov izobraževanja</w:t>
      </w:r>
      <w:r w:rsidRPr="003A6990">
        <w:rPr>
          <w:spacing w:val="-15"/>
          <w:lang w:val="sl-SI"/>
        </w:rPr>
        <w:t xml:space="preserve"> </w:t>
      </w:r>
      <w:r w:rsidRPr="003A6990">
        <w:rPr>
          <w:lang w:val="sl-SI"/>
        </w:rPr>
        <w:t>in</w:t>
      </w:r>
      <w:r w:rsidRPr="003A6990">
        <w:rPr>
          <w:spacing w:val="-15"/>
          <w:lang w:val="sl-SI"/>
        </w:rPr>
        <w:t xml:space="preserve"> </w:t>
      </w:r>
      <w:r w:rsidRPr="00850E2D">
        <w:rPr>
          <w:lang w:val="sl-SI"/>
        </w:rPr>
        <w:t>usposabljanja,</w:t>
      </w:r>
      <w:r w:rsidRPr="00850E2D">
        <w:rPr>
          <w:spacing w:val="-15"/>
          <w:lang w:val="sl-SI"/>
        </w:rPr>
        <w:t xml:space="preserve"> </w:t>
      </w:r>
      <w:r w:rsidRPr="00850E2D">
        <w:rPr>
          <w:lang w:val="sl-SI"/>
        </w:rPr>
        <w:t>zlasti</w:t>
      </w:r>
      <w:r w:rsidRPr="00804CB6">
        <w:rPr>
          <w:spacing w:val="-15"/>
          <w:lang w:val="sl-SI"/>
        </w:rPr>
        <w:t xml:space="preserve"> </w:t>
      </w:r>
      <w:r w:rsidRPr="00804CB6">
        <w:rPr>
          <w:lang w:val="sl-SI"/>
        </w:rPr>
        <w:t>z</w:t>
      </w:r>
      <w:r w:rsidRPr="00131CEE">
        <w:rPr>
          <w:spacing w:val="-15"/>
          <w:lang w:val="sl-SI"/>
        </w:rPr>
        <w:t xml:space="preserve"> </w:t>
      </w:r>
      <w:r w:rsidRPr="009A5B86">
        <w:rPr>
          <w:lang w:val="sl-SI"/>
        </w:rPr>
        <w:t>okrepljenim</w:t>
      </w:r>
      <w:r w:rsidRPr="009A2706">
        <w:rPr>
          <w:spacing w:val="-15"/>
          <w:lang w:val="sl-SI"/>
        </w:rPr>
        <w:t xml:space="preserve"> </w:t>
      </w:r>
      <w:r w:rsidRPr="009A2706">
        <w:rPr>
          <w:lang w:val="sl-SI"/>
        </w:rPr>
        <w:t>sodelovanjem</w:t>
      </w:r>
      <w:r w:rsidRPr="008C6F8C">
        <w:rPr>
          <w:spacing w:val="-15"/>
          <w:lang w:val="sl-SI"/>
        </w:rPr>
        <w:t xml:space="preserve"> </w:t>
      </w:r>
      <w:r w:rsidRPr="008C6F8C">
        <w:rPr>
          <w:lang w:val="sl-SI"/>
        </w:rPr>
        <w:t>glede</w:t>
      </w:r>
      <w:r w:rsidRPr="008C6F8C">
        <w:rPr>
          <w:spacing w:val="-15"/>
          <w:lang w:val="sl-SI"/>
        </w:rPr>
        <w:t xml:space="preserve"> </w:t>
      </w:r>
      <w:r w:rsidRPr="008C6F8C">
        <w:rPr>
          <w:lang w:val="sl-SI"/>
        </w:rPr>
        <w:t>politik,</w:t>
      </w:r>
      <w:r w:rsidRPr="008C6F8C">
        <w:rPr>
          <w:spacing w:val="-15"/>
          <w:lang w:val="sl-SI"/>
        </w:rPr>
        <w:t xml:space="preserve"> </w:t>
      </w:r>
      <w:r w:rsidRPr="008C6F8C">
        <w:rPr>
          <w:lang w:val="sl-SI"/>
        </w:rPr>
        <w:t>boljšo</w:t>
      </w:r>
      <w:r w:rsidRPr="008C6F8C">
        <w:rPr>
          <w:spacing w:val="-15"/>
          <w:lang w:val="sl-SI"/>
        </w:rPr>
        <w:t xml:space="preserve"> </w:t>
      </w:r>
      <w:r w:rsidRPr="008C6F8C">
        <w:rPr>
          <w:lang w:val="sl-SI"/>
        </w:rPr>
        <w:t>uporabo orodij EU za preglednost in priznavanje ter z razširjanjem dobrih praks, in osveščati o tem evropskem</w:t>
      </w:r>
      <w:r w:rsidRPr="008C6F8C">
        <w:rPr>
          <w:spacing w:val="-3"/>
          <w:lang w:val="sl-SI"/>
        </w:rPr>
        <w:t xml:space="preserve"> </w:t>
      </w:r>
      <w:r w:rsidRPr="008C6F8C">
        <w:rPr>
          <w:lang w:val="sl-SI"/>
        </w:rPr>
        <w:t>prostoru;</w:t>
      </w:r>
    </w:p>
    <w:p w14:paraId="7D39877A" w14:textId="77777777" w:rsidR="00E03711" w:rsidRPr="008C6F8C" w:rsidRDefault="00E03711" w:rsidP="005115F2">
      <w:pPr>
        <w:pStyle w:val="Guide-NormalBulletpoints"/>
        <w:numPr>
          <w:ilvl w:val="0"/>
          <w:numId w:val="346"/>
        </w:numPr>
        <w:rPr>
          <w:lang w:val="sl-SI"/>
        </w:rPr>
      </w:pPr>
      <w:r w:rsidRPr="008C6F8C">
        <w:rPr>
          <w:lang w:val="sl-SI"/>
        </w:rPr>
        <w:t>izboljšati mednarodno razsežnost izobraževanja in usposabljanja, zlasti s sodelovanjem med institucijami Programa in partnerskih držav na področju PIU ter visokošolskega izobraževanja, s povečanjem privlačnosti evropskih visokošolskih institucij in podpiranjem zunanjega delovanja EU, vključno z njenimi razvojnimi cilji, in sicer s spodbujanjem mobilnosti in sodelovanja med visokošolskimi institucijami Programa in partnerskih držav ter s ciljno usmerjeno krepitvijo zmogljivosti v partnerskih državah;</w:t>
      </w:r>
    </w:p>
    <w:p w14:paraId="7D39877B" w14:textId="77777777" w:rsidR="00E03711" w:rsidRPr="008C6F8C" w:rsidRDefault="00E03711" w:rsidP="005115F2">
      <w:pPr>
        <w:pStyle w:val="Guide-NormalBulletpoints"/>
        <w:numPr>
          <w:ilvl w:val="0"/>
          <w:numId w:val="346"/>
        </w:numPr>
        <w:rPr>
          <w:lang w:val="sl-SI"/>
        </w:rPr>
      </w:pPr>
      <w:r w:rsidRPr="008C6F8C">
        <w:rPr>
          <w:lang w:val="sl-SI"/>
        </w:rPr>
        <w:t>izboljšati poučevanje in učenje jezikov ter spodbujati široko jezikovno raznolikost in medkulturno zavest EU.</w:t>
      </w:r>
    </w:p>
    <w:p w14:paraId="7D39877C" w14:textId="77777777" w:rsidR="00E03711" w:rsidRPr="008C6F8C" w:rsidRDefault="00E03711">
      <w:pPr>
        <w:widowControl/>
        <w:suppressAutoHyphens w:val="0"/>
        <w:autoSpaceDN/>
        <w:textAlignment w:val="auto"/>
        <w:rPr>
          <w:rFonts w:eastAsia="Times New Roman"/>
          <w:b/>
          <w:smallCaps/>
          <w:sz w:val="32"/>
          <w:szCs w:val="18"/>
          <w:lang w:val="sl-SI"/>
        </w:rPr>
      </w:pPr>
      <w:bookmarkStart w:id="142" w:name="_bookmark27"/>
      <w:bookmarkEnd w:id="142"/>
    </w:p>
    <w:p w14:paraId="7D39877D" w14:textId="77777777" w:rsidR="00E03711" w:rsidRPr="008C6F8C" w:rsidRDefault="00E03711" w:rsidP="009F1675">
      <w:pPr>
        <w:pStyle w:val="Guide-Heading2"/>
        <w:rPr>
          <w:lang w:val="sl-SI"/>
        </w:rPr>
        <w:sectPr w:rsidR="00E03711" w:rsidRPr="008C6F8C" w:rsidSect="007F4890">
          <w:headerReference w:type="default" r:id="rId61"/>
          <w:endnotePr>
            <w:numFmt w:val="decimal"/>
          </w:endnotePr>
          <w:pgSz w:w="11910" w:h="16840" w:code="9"/>
          <w:pgMar w:top="1134" w:right="1418" w:bottom="1134" w:left="1418" w:header="283" w:footer="567" w:gutter="0"/>
          <w:cols w:space="720"/>
          <w:docGrid w:linePitch="326"/>
        </w:sectPr>
      </w:pPr>
    </w:p>
    <w:p w14:paraId="7D39877E" w14:textId="77777777" w:rsidR="00E03711" w:rsidRPr="008C6F8C" w:rsidRDefault="00E03711" w:rsidP="0030441A">
      <w:pPr>
        <w:pStyle w:val="Guide-Heading2"/>
        <w:rPr>
          <w:lang w:val="sl-SI"/>
        </w:rPr>
      </w:pPr>
      <w:bookmarkStart w:id="143" w:name="_Toc527400910"/>
      <w:bookmarkStart w:id="144" w:name="_Toc527401134"/>
      <w:r w:rsidRPr="008C6F8C">
        <w:rPr>
          <w:lang w:val="sl-SI"/>
        </w:rPr>
        <w:t>Mladina</w:t>
      </w:r>
      <w:bookmarkEnd w:id="143"/>
      <w:bookmarkEnd w:id="144"/>
    </w:p>
    <w:p w14:paraId="7D39877F" w14:textId="77777777" w:rsidR="00E03711" w:rsidRPr="008C6F8C" w:rsidRDefault="00E03711" w:rsidP="00AC66A5">
      <w:pPr>
        <w:pStyle w:val="GUIDE-NORMAL"/>
        <w:rPr>
          <w:lang w:val="sl-SI"/>
        </w:rPr>
      </w:pPr>
      <w:r w:rsidRPr="008C6F8C">
        <w:rPr>
          <w:lang w:val="sl-SI"/>
        </w:rPr>
        <w:t>Priložnosti za neformalno in priložnostno učenje na področju mladine.</w:t>
      </w:r>
    </w:p>
    <w:p w14:paraId="7D398780" w14:textId="77777777" w:rsidR="00E03711" w:rsidRPr="008C6F8C" w:rsidRDefault="00E03711" w:rsidP="0030441A">
      <w:pPr>
        <w:pStyle w:val="Guide-Heading3"/>
        <w:rPr>
          <w:lang w:val="sl-SI"/>
        </w:rPr>
      </w:pPr>
      <w:bookmarkStart w:id="145" w:name="_Toc527400911"/>
      <w:bookmarkStart w:id="146" w:name="_Toc527401135"/>
      <w:r w:rsidRPr="008C6F8C">
        <w:rPr>
          <w:lang w:val="sl-SI"/>
        </w:rPr>
        <w:t>Kateri ukrepi so podprti?</w:t>
      </w:r>
      <w:bookmarkEnd w:id="145"/>
      <w:bookmarkEnd w:id="146"/>
    </w:p>
    <w:p w14:paraId="7D398781" w14:textId="77777777" w:rsidR="00E03711" w:rsidRPr="008C6F8C" w:rsidRDefault="00E03711" w:rsidP="00AC66A5">
      <w:pPr>
        <w:pStyle w:val="GUIDE-NORMAL"/>
        <w:rPr>
          <w:lang w:val="sl-SI"/>
        </w:rPr>
      </w:pPr>
      <w:r w:rsidRPr="008C6F8C">
        <w:rPr>
          <w:lang w:val="sl-SI"/>
        </w:rPr>
        <w:t>V naslednjih poglavjih „Ključni ukrep 1“, „Ključni ukrep 2“ in „Ključni ukrep 3“ so predstavljeni konkretni ukrepi, katerih namen je izpolniti cilje Programa na področju mladine. Med temi so naslednji</w:t>
      </w:r>
      <w:r w:rsidRPr="008C6F8C">
        <w:rPr>
          <w:spacing w:val="-13"/>
          <w:lang w:val="sl-SI"/>
        </w:rPr>
        <w:t xml:space="preserve"> </w:t>
      </w:r>
      <w:r w:rsidRPr="008C6F8C">
        <w:rPr>
          <w:lang w:val="sl-SI"/>
        </w:rPr>
        <w:t>ukrepi,</w:t>
      </w:r>
      <w:r w:rsidRPr="008C6F8C">
        <w:rPr>
          <w:spacing w:val="-13"/>
          <w:lang w:val="sl-SI"/>
        </w:rPr>
        <w:t xml:space="preserve"> </w:t>
      </w:r>
      <w:r w:rsidRPr="008C6F8C">
        <w:rPr>
          <w:lang w:val="sl-SI"/>
        </w:rPr>
        <w:t>povezani</w:t>
      </w:r>
      <w:r w:rsidRPr="008C6F8C">
        <w:rPr>
          <w:spacing w:val="-13"/>
          <w:lang w:val="sl-SI"/>
        </w:rPr>
        <w:t xml:space="preserve"> </w:t>
      </w:r>
      <w:r w:rsidRPr="008C6F8C">
        <w:rPr>
          <w:lang w:val="sl-SI"/>
        </w:rPr>
        <w:t>predvsem</w:t>
      </w:r>
      <w:r w:rsidRPr="008C6F8C">
        <w:rPr>
          <w:spacing w:val="-13"/>
          <w:lang w:val="sl-SI"/>
        </w:rPr>
        <w:t xml:space="preserve"> </w:t>
      </w:r>
      <w:r w:rsidRPr="008C6F8C">
        <w:rPr>
          <w:lang w:val="sl-SI"/>
        </w:rPr>
        <w:t>–</w:t>
      </w:r>
      <w:r w:rsidRPr="008C6F8C">
        <w:rPr>
          <w:spacing w:val="-13"/>
          <w:lang w:val="sl-SI"/>
        </w:rPr>
        <w:t xml:space="preserve"> </w:t>
      </w:r>
      <w:r w:rsidRPr="008C6F8C">
        <w:rPr>
          <w:lang w:val="sl-SI"/>
        </w:rPr>
        <w:t>vendar</w:t>
      </w:r>
      <w:r w:rsidRPr="008C6F8C">
        <w:rPr>
          <w:spacing w:val="-13"/>
          <w:lang w:val="sl-SI"/>
        </w:rPr>
        <w:t xml:space="preserve"> </w:t>
      </w:r>
      <w:r w:rsidRPr="008C6F8C">
        <w:rPr>
          <w:lang w:val="sl-SI"/>
        </w:rPr>
        <w:t>ne</w:t>
      </w:r>
      <w:r w:rsidRPr="008C6F8C">
        <w:rPr>
          <w:spacing w:val="-13"/>
          <w:lang w:val="sl-SI"/>
        </w:rPr>
        <w:t xml:space="preserve"> </w:t>
      </w:r>
      <w:r w:rsidRPr="008C6F8C">
        <w:rPr>
          <w:lang w:val="sl-SI"/>
        </w:rPr>
        <w:t>izključno</w:t>
      </w:r>
      <w:r w:rsidRPr="008C6F8C">
        <w:rPr>
          <w:spacing w:val="-13"/>
          <w:lang w:val="sl-SI"/>
        </w:rPr>
        <w:t xml:space="preserve"> </w:t>
      </w:r>
      <w:r w:rsidRPr="008C6F8C">
        <w:rPr>
          <w:lang w:val="sl-SI"/>
        </w:rPr>
        <w:t>–</w:t>
      </w:r>
      <w:r w:rsidRPr="008C6F8C">
        <w:rPr>
          <w:spacing w:val="-13"/>
          <w:lang w:val="sl-SI"/>
        </w:rPr>
        <w:t xml:space="preserve"> </w:t>
      </w:r>
      <w:r w:rsidRPr="008C6F8C">
        <w:rPr>
          <w:lang w:val="sl-SI"/>
        </w:rPr>
        <w:t>s</w:t>
      </w:r>
      <w:r w:rsidRPr="008C6F8C">
        <w:rPr>
          <w:spacing w:val="-13"/>
          <w:lang w:val="sl-SI"/>
        </w:rPr>
        <w:t xml:space="preserve"> </w:t>
      </w:r>
      <w:r w:rsidRPr="008C6F8C">
        <w:rPr>
          <w:lang w:val="sl-SI"/>
        </w:rPr>
        <w:t>področjem</w:t>
      </w:r>
      <w:r w:rsidRPr="008C6F8C">
        <w:rPr>
          <w:spacing w:val="-13"/>
          <w:lang w:val="sl-SI"/>
        </w:rPr>
        <w:t xml:space="preserve"> </w:t>
      </w:r>
      <w:r w:rsidRPr="008C6F8C">
        <w:rPr>
          <w:lang w:val="sl-SI"/>
        </w:rPr>
        <w:t>mladine</w:t>
      </w:r>
      <w:r w:rsidRPr="008C6F8C">
        <w:rPr>
          <w:spacing w:val="-13"/>
          <w:lang w:val="sl-SI"/>
        </w:rPr>
        <w:t xml:space="preserve"> </w:t>
      </w:r>
      <w:r w:rsidRPr="008C6F8C">
        <w:rPr>
          <w:lang w:val="sl-SI"/>
        </w:rPr>
        <w:t>(neformalnim</w:t>
      </w:r>
      <w:r w:rsidRPr="008C6F8C">
        <w:rPr>
          <w:spacing w:val="-13"/>
          <w:lang w:val="sl-SI"/>
        </w:rPr>
        <w:t xml:space="preserve"> </w:t>
      </w:r>
      <w:r w:rsidRPr="008C6F8C">
        <w:rPr>
          <w:lang w:val="sl-SI"/>
        </w:rPr>
        <w:t>in priložnostnim</w:t>
      </w:r>
      <w:r w:rsidRPr="008C6F8C">
        <w:rPr>
          <w:spacing w:val="-3"/>
          <w:lang w:val="sl-SI"/>
        </w:rPr>
        <w:t xml:space="preserve"> </w:t>
      </w:r>
      <w:r w:rsidRPr="008C6F8C">
        <w:rPr>
          <w:lang w:val="sl-SI"/>
        </w:rPr>
        <w:t>učenjem):</w:t>
      </w:r>
    </w:p>
    <w:p w14:paraId="7D398782" w14:textId="77777777" w:rsidR="00E03711" w:rsidRPr="008C6F8C" w:rsidRDefault="00E03711" w:rsidP="005115F2">
      <w:pPr>
        <w:pStyle w:val="Guide-NormalBulletpoints"/>
        <w:numPr>
          <w:ilvl w:val="0"/>
          <w:numId w:val="347"/>
        </w:numPr>
        <w:rPr>
          <w:lang w:val="sl-SI"/>
        </w:rPr>
      </w:pPr>
      <w:r w:rsidRPr="008C6F8C">
        <w:rPr>
          <w:lang w:val="sl-SI"/>
        </w:rPr>
        <w:t>projekti mobilnosti za mlade (mladinske izmenjave</w:t>
      </w:r>
      <w:r>
        <w:rPr>
          <w:lang w:val="sl-SI"/>
        </w:rPr>
        <w:t>)</w:t>
      </w:r>
      <w:r w:rsidRPr="008C6F8C">
        <w:rPr>
          <w:lang w:val="sl-SI"/>
        </w:rPr>
        <w:t xml:space="preserve"> in mladinske delavce, </w:t>
      </w:r>
    </w:p>
    <w:p w14:paraId="7D398783" w14:textId="77777777" w:rsidR="00E03711" w:rsidRPr="001048FE" w:rsidRDefault="00E03711" w:rsidP="005115F2">
      <w:pPr>
        <w:pStyle w:val="Guide-NormalBulletpoints"/>
        <w:numPr>
          <w:ilvl w:val="0"/>
          <w:numId w:val="347"/>
        </w:numPr>
        <w:rPr>
          <w:lang w:val="sl-SI"/>
        </w:rPr>
      </w:pPr>
      <w:r w:rsidRPr="001048FE">
        <w:rPr>
          <w:lang w:val="sl-SI"/>
        </w:rPr>
        <w:t>strateška partnerstva;</w:t>
      </w:r>
    </w:p>
    <w:p w14:paraId="7D398784" w14:textId="77777777" w:rsidR="00E03711" w:rsidRPr="001048FE" w:rsidRDefault="00E03711" w:rsidP="005115F2">
      <w:pPr>
        <w:pStyle w:val="Guide-NormalBulletpoints"/>
        <w:numPr>
          <w:ilvl w:val="0"/>
          <w:numId w:val="347"/>
        </w:numPr>
        <w:rPr>
          <w:lang w:val="sl-SI"/>
        </w:rPr>
      </w:pPr>
      <w:r w:rsidRPr="001048FE">
        <w:rPr>
          <w:lang w:val="sl-SI"/>
        </w:rPr>
        <w:t>krepitev zmogljivosti na področju mladine;</w:t>
      </w:r>
    </w:p>
    <w:p w14:paraId="7D398785" w14:textId="77777777" w:rsidR="00E03711" w:rsidRPr="001048FE" w:rsidRDefault="00E03711" w:rsidP="005115F2">
      <w:pPr>
        <w:pStyle w:val="Guide-NormalBulletpoints"/>
        <w:numPr>
          <w:ilvl w:val="0"/>
          <w:numId w:val="347"/>
        </w:numPr>
        <w:rPr>
          <w:lang w:val="sl-SI"/>
        </w:rPr>
      </w:pPr>
      <w:r w:rsidRPr="00FC4A70">
        <w:rPr>
          <w:rFonts w:eastAsia="Calibri" w:cs="Calibri"/>
          <w:bdr w:val="nil"/>
          <w:lang w:val="sl-SI" w:eastAsia="zh-CN"/>
        </w:rPr>
        <w:t>projekti Dialog mladih.</w:t>
      </w:r>
    </w:p>
    <w:p w14:paraId="7D398786" w14:textId="77777777" w:rsidR="00E03711" w:rsidRPr="001048FE" w:rsidRDefault="00E03711" w:rsidP="00AC66A5">
      <w:pPr>
        <w:pStyle w:val="GUIDE-NORMAL"/>
        <w:rPr>
          <w:lang w:val="sl-SI"/>
        </w:rPr>
      </w:pPr>
      <w:r w:rsidRPr="001048FE">
        <w:rPr>
          <w:lang w:val="sl-SI"/>
        </w:rPr>
        <w:t>V poglavju Ključni ukrep 3 so navedene tudi informacije o ukrepih Erasmus+ za podporo mladinskim politikam, ki zajemajo analizo politik in vzajemnega učenja, prihodnje pobude, orodja in omrežja, sodelovanje z mednarodnimi organizacijami ter dialog z deležniki in deležniškimi organizacijami, ki se spodbujajo v okviru programa Erasmus+ za podpiranje sistemov na področju mladine. Ti ukrepi se izvajajo s posebnimi razpisi za zbiranje predlogov, ki jih upravlja Izvajalska agencija Evropske komisije ali neposredno Evropska komisija. Več informacij je na voljo na spletiščih Komisije in Izvajalske agencije.</w:t>
      </w:r>
    </w:p>
    <w:p w14:paraId="7D398787" w14:textId="77777777" w:rsidR="00E03711" w:rsidRPr="001048FE" w:rsidRDefault="00E03711" w:rsidP="0030441A">
      <w:pPr>
        <w:pStyle w:val="Guide-Heading3"/>
        <w:rPr>
          <w:lang w:val="sl-SI"/>
        </w:rPr>
      </w:pPr>
      <w:bookmarkStart w:id="147" w:name="_Toc527400912"/>
      <w:bookmarkStart w:id="148" w:name="_Toc527401136"/>
      <w:r w:rsidRPr="001048FE">
        <w:rPr>
          <w:lang w:val="sl-SI"/>
        </w:rPr>
        <w:t>Kakšni so cilji teh ukrepov?</w:t>
      </w:r>
      <w:bookmarkEnd w:id="147"/>
      <w:bookmarkEnd w:id="148"/>
    </w:p>
    <w:p w14:paraId="7D398788" w14:textId="77777777" w:rsidR="00E03711" w:rsidRPr="001048FE" w:rsidRDefault="00E03711" w:rsidP="00AC66A5">
      <w:pPr>
        <w:pStyle w:val="Guide-Heading5"/>
        <w:rPr>
          <w:lang w:val="sl-SI"/>
        </w:rPr>
      </w:pPr>
      <w:r w:rsidRPr="001048FE">
        <w:rPr>
          <w:lang w:val="sl-SI"/>
        </w:rPr>
        <w:t>Posebni cilji</w:t>
      </w:r>
    </w:p>
    <w:p w14:paraId="7D398789" w14:textId="77777777" w:rsidR="00E03711" w:rsidRPr="001048FE" w:rsidRDefault="00E03711" w:rsidP="00AC66A5">
      <w:pPr>
        <w:pStyle w:val="GUIDE-NORMAL"/>
        <w:rPr>
          <w:lang w:val="sl-SI"/>
        </w:rPr>
      </w:pPr>
      <w:r w:rsidRPr="001048FE">
        <w:rPr>
          <w:lang w:val="sl-SI"/>
        </w:rPr>
        <w:t>Program Erasmus+ sledi naslednjim posebnim ciljem na področju mladine:</w:t>
      </w:r>
    </w:p>
    <w:p w14:paraId="7D39878A" w14:textId="77777777" w:rsidR="00E03711" w:rsidRPr="001048FE" w:rsidRDefault="00E03711" w:rsidP="005115F2">
      <w:pPr>
        <w:pStyle w:val="Guide-NormalBulletpoints"/>
        <w:numPr>
          <w:ilvl w:val="0"/>
          <w:numId w:val="182"/>
        </w:numPr>
        <w:rPr>
          <w:lang w:val="sl-SI"/>
        </w:rPr>
      </w:pPr>
      <w:r w:rsidRPr="001048FE">
        <w:rPr>
          <w:lang w:val="sl-SI"/>
        </w:rPr>
        <w:t>izboljšati raven ključnih kompetenc in spretnosti mladih, tudi tistih z manj priložnostmi, ter spodbujati njihovo udeležbo v demokratičnem življenju v Evropi in na trgu dela, aktivno državljanstvo, medkulturni dialog, socialno vključenost in solidarnost, zlasti z zagotavljanjem več priložnosti za učno mobilnost mladih in tistih, ki so aktivni v mladinskem delu ali mladinskih organizacijah, ter mladinskih voditeljev, kakor tudi z okrepljenimi povezavami med področjem mladine in trgom dela;</w:t>
      </w:r>
    </w:p>
    <w:p w14:paraId="7D39878B" w14:textId="77777777" w:rsidR="00E03711" w:rsidRPr="001048FE" w:rsidRDefault="00E03711" w:rsidP="005115F2">
      <w:pPr>
        <w:pStyle w:val="Guide-NormalBulletpoints"/>
        <w:numPr>
          <w:ilvl w:val="0"/>
          <w:numId w:val="182"/>
        </w:numPr>
        <w:rPr>
          <w:lang w:val="sl-SI"/>
        </w:rPr>
      </w:pPr>
      <w:r w:rsidRPr="001048FE">
        <w:rPr>
          <w:lang w:val="sl-SI"/>
        </w:rPr>
        <w:t>spodbujati</w:t>
      </w:r>
      <w:r w:rsidRPr="001048FE">
        <w:rPr>
          <w:spacing w:val="-22"/>
          <w:lang w:val="sl-SI"/>
        </w:rPr>
        <w:t xml:space="preserve"> </w:t>
      </w:r>
      <w:r w:rsidRPr="001048FE">
        <w:rPr>
          <w:lang w:val="sl-SI"/>
        </w:rPr>
        <w:t>večjo</w:t>
      </w:r>
      <w:r w:rsidRPr="001048FE">
        <w:rPr>
          <w:spacing w:val="-22"/>
          <w:lang w:val="sl-SI"/>
        </w:rPr>
        <w:t xml:space="preserve"> </w:t>
      </w:r>
      <w:r w:rsidRPr="001048FE">
        <w:rPr>
          <w:lang w:val="sl-SI"/>
        </w:rPr>
        <w:t>kakovost</w:t>
      </w:r>
      <w:r w:rsidRPr="001048FE">
        <w:rPr>
          <w:spacing w:val="-22"/>
          <w:lang w:val="sl-SI"/>
        </w:rPr>
        <w:t xml:space="preserve"> </w:t>
      </w:r>
      <w:r w:rsidRPr="001048FE">
        <w:rPr>
          <w:lang w:val="sl-SI"/>
        </w:rPr>
        <w:t>mladinskega</w:t>
      </w:r>
      <w:r w:rsidRPr="001048FE">
        <w:rPr>
          <w:spacing w:val="-22"/>
          <w:lang w:val="sl-SI"/>
        </w:rPr>
        <w:t xml:space="preserve"> </w:t>
      </w:r>
      <w:r w:rsidRPr="001048FE">
        <w:rPr>
          <w:lang w:val="sl-SI"/>
        </w:rPr>
        <w:t>dela,</w:t>
      </w:r>
      <w:r w:rsidRPr="001048FE">
        <w:rPr>
          <w:spacing w:val="-22"/>
          <w:lang w:val="sl-SI"/>
        </w:rPr>
        <w:t xml:space="preserve"> </w:t>
      </w:r>
      <w:r w:rsidRPr="001048FE">
        <w:rPr>
          <w:lang w:val="sl-SI"/>
        </w:rPr>
        <w:t>zlasti</w:t>
      </w:r>
      <w:r w:rsidRPr="001048FE">
        <w:rPr>
          <w:spacing w:val="-22"/>
          <w:lang w:val="sl-SI"/>
        </w:rPr>
        <w:t xml:space="preserve"> </w:t>
      </w:r>
      <w:r w:rsidRPr="001048FE">
        <w:rPr>
          <w:lang w:val="sl-SI"/>
        </w:rPr>
        <w:t>z</w:t>
      </w:r>
      <w:r w:rsidRPr="001048FE">
        <w:rPr>
          <w:spacing w:val="-22"/>
          <w:lang w:val="sl-SI"/>
        </w:rPr>
        <w:t xml:space="preserve"> </w:t>
      </w:r>
      <w:r w:rsidRPr="001048FE">
        <w:rPr>
          <w:lang w:val="sl-SI"/>
        </w:rPr>
        <w:t>okrepljenim</w:t>
      </w:r>
      <w:r w:rsidRPr="001048FE">
        <w:rPr>
          <w:spacing w:val="-21"/>
          <w:lang w:val="sl-SI"/>
        </w:rPr>
        <w:t xml:space="preserve"> </w:t>
      </w:r>
      <w:r w:rsidRPr="001048FE">
        <w:rPr>
          <w:lang w:val="sl-SI"/>
        </w:rPr>
        <w:t>sodelovanjem</w:t>
      </w:r>
      <w:r w:rsidRPr="001048FE">
        <w:rPr>
          <w:spacing w:val="-22"/>
          <w:lang w:val="sl-SI"/>
        </w:rPr>
        <w:t xml:space="preserve"> </w:t>
      </w:r>
      <w:r w:rsidRPr="001048FE">
        <w:rPr>
          <w:lang w:val="sl-SI"/>
        </w:rPr>
        <w:t>med organizacijami na področju mladine in/ali drugimi</w:t>
      </w:r>
      <w:r w:rsidRPr="001048FE">
        <w:rPr>
          <w:spacing w:val="-6"/>
          <w:lang w:val="sl-SI"/>
        </w:rPr>
        <w:t xml:space="preserve"> </w:t>
      </w:r>
      <w:r w:rsidRPr="001048FE">
        <w:rPr>
          <w:lang w:val="sl-SI"/>
        </w:rPr>
        <w:t>deležniki;</w:t>
      </w:r>
    </w:p>
    <w:p w14:paraId="7D39878C" w14:textId="77777777" w:rsidR="00E03711" w:rsidRPr="001048FE" w:rsidRDefault="00E03711" w:rsidP="005115F2">
      <w:pPr>
        <w:pStyle w:val="Guide-NormalBulletpoints"/>
        <w:numPr>
          <w:ilvl w:val="0"/>
          <w:numId w:val="182"/>
        </w:numPr>
        <w:rPr>
          <w:lang w:val="sl-SI"/>
        </w:rPr>
      </w:pPr>
      <w:r w:rsidRPr="001048FE">
        <w:rPr>
          <w:lang w:val="sl-SI"/>
        </w:rPr>
        <w:t>dopolnjevati reforme politik na lokalni, regionalni in nacionalni ravni ter podpirati razvoj znanja in mladinske politike, ki temelji na dejstvih, ter priznavanje neformalnega in priložnostnega učenja, zlasti z okrepljenim sodelovanjem na področju politik, boljšo uporabo orodij EU za preglednost in priznavanje ter z razširjanjem dobrih praks;</w:t>
      </w:r>
    </w:p>
    <w:p w14:paraId="7D39878D" w14:textId="77777777" w:rsidR="00E03711" w:rsidRPr="001048FE" w:rsidRDefault="00E03711" w:rsidP="005115F2">
      <w:pPr>
        <w:pStyle w:val="Guide-NormalBulletpoints"/>
        <w:numPr>
          <w:ilvl w:val="0"/>
          <w:numId w:val="182"/>
        </w:numPr>
        <w:rPr>
          <w:sz w:val="22"/>
          <w:lang w:val="sl-SI"/>
        </w:rPr>
      </w:pPr>
      <w:r w:rsidRPr="001048FE">
        <w:rPr>
          <w:lang w:val="sl-SI"/>
        </w:rPr>
        <w:t>okrepiti mednarodno razsežnost mladinskih aktivnosti in krepiti zmožnosti mladinskih delavcev in organizacij pri njihovem podpiranju mladih z dopolnjevanjem zunanjega delovanja Evropske unije, zlasti s spodbujanjem mobilnosti in sodelovanja med deležniki iz držav Programa in partnerskih držav ter mednarodnimi organizacijami.</w:t>
      </w:r>
    </w:p>
    <w:p w14:paraId="7D39878E" w14:textId="77777777" w:rsidR="00E03711" w:rsidRPr="001048FE" w:rsidRDefault="00E03711" w:rsidP="000503EB">
      <w:pPr>
        <w:pStyle w:val="GUIDE-NORMAL"/>
        <w:rPr>
          <w:lang w:val="sl-SI"/>
        </w:rPr>
      </w:pPr>
      <w:r w:rsidRPr="001048FE">
        <w:rPr>
          <w:lang w:val="sl-SI"/>
        </w:rPr>
        <w:t>V</w:t>
      </w:r>
      <w:r w:rsidRPr="001048FE">
        <w:rPr>
          <w:spacing w:val="-16"/>
          <w:lang w:val="sl-SI"/>
        </w:rPr>
        <w:t xml:space="preserve"> </w:t>
      </w:r>
      <w:r w:rsidRPr="001048FE">
        <w:rPr>
          <w:lang w:val="sl-SI"/>
        </w:rPr>
        <w:t>obdobju</w:t>
      </w:r>
      <w:r w:rsidRPr="001048FE">
        <w:rPr>
          <w:spacing w:val="-16"/>
          <w:lang w:val="sl-SI"/>
        </w:rPr>
        <w:t xml:space="preserve"> </w:t>
      </w:r>
      <w:r w:rsidRPr="001048FE">
        <w:rPr>
          <w:lang w:val="sl-SI"/>
        </w:rPr>
        <w:t>2014–2020</w:t>
      </w:r>
      <w:r w:rsidRPr="001048FE">
        <w:rPr>
          <w:spacing w:val="-16"/>
          <w:lang w:val="sl-SI"/>
        </w:rPr>
        <w:t xml:space="preserve"> </w:t>
      </w:r>
      <w:r w:rsidRPr="001048FE">
        <w:rPr>
          <w:lang w:val="sl-SI"/>
        </w:rPr>
        <w:t>bo</w:t>
      </w:r>
      <w:r w:rsidRPr="001048FE">
        <w:rPr>
          <w:spacing w:val="-16"/>
          <w:lang w:val="sl-SI"/>
        </w:rPr>
        <w:t xml:space="preserve"> </w:t>
      </w:r>
      <w:r>
        <w:rPr>
          <w:lang w:val="sl-SI"/>
        </w:rPr>
        <w:t>8,6</w:t>
      </w:r>
      <w:r w:rsidRPr="001048FE">
        <w:rPr>
          <w:spacing w:val="-16"/>
          <w:lang w:val="sl-SI"/>
        </w:rPr>
        <w:t xml:space="preserve"> </w:t>
      </w:r>
      <w:r w:rsidRPr="001048FE">
        <w:rPr>
          <w:lang w:val="sl-SI"/>
        </w:rPr>
        <w:t>%</w:t>
      </w:r>
      <w:r w:rsidRPr="001048FE">
        <w:rPr>
          <w:spacing w:val="-16"/>
          <w:lang w:val="sl-SI"/>
        </w:rPr>
        <w:t xml:space="preserve"> </w:t>
      </w:r>
      <w:r w:rsidRPr="001048FE">
        <w:rPr>
          <w:lang w:val="sl-SI"/>
        </w:rPr>
        <w:t>proračunskih</w:t>
      </w:r>
      <w:r w:rsidRPr="001048FE">
        <w:rPr>
          <w:spacing w:val="-16"/>
          <w:lang w:val="sl-SI"/>
        </w:rPr>
        <w:t xml:space="preserve"> </w:t>
      </w:r>
      <w:r w:rsidRPr="001048FE">
        <w:rPr>
          <w:lang w:val="sl-SI"/>
        </w:rPr>
        <w:t>sredstev</w:t>
      </w:r>
      <w:r w:rsidRPr="001048FE">
        <w:rPr>
          <w:spacing w:val="-16"/>
          <w:lang w:val="sl-SI"/>
        </w:rPr>
        <w:t xml:space="preserve"> </w:t>
      </w:r>
      <w:r w:rsidRPr="001048FE">
        <w:rPr>
          <w:lang w:val="sl-SI"/>
        </w:rPr>
        <w:t>dodeljenih</w:t>
      </w:r>
      <w:r w:rsidRPr="001048FE">
        <w:rPr>
          <w:spacing w:val="-16"/>
          <w:lang w:val="sl-SI"/>
        </w:rPr>
        <w:t xml:space="preserve"> </w:t>
      </w:r>
      <w:r w:rsidRPr="001048FE">
        <w:rPr>
          <w:lang w:val="sl-SI"/>
        </w:rPr>
        <w:t>za</w:t>
      </w:r>
      <w:r w:rsidRPr="001048FE">
        <w:rPr>
          <w:spacing w:val="-16"/>
          <w:lang w:val="sl-SI"/>
        </w:rPr>
        <w:t xml:space="preserve"> </w:t>
      </w:r>
      <w:r w:rsidRPr="001048FE">
        <w:rPr>
          <w:lang w:val="sl-SI"/>
        </w:rPr>
        <w:t>podporo</w:t>
      </w:r>
      <w:r w:rsidRPr="001048FE">
        <w:rPr>
          <w:spacing w:val="-16"/>
          <w:lang w:val="sl-SI"/>
        </w:rPr>
        <w:t xml:space="preserve"> </w:t>
      </w:r>
      <w:r w:rsidRPr="001048FE">
        <w:rPr>
          <w:lang w:val="sl-SI"/>
        </w:rPr>
        <w:t>priložnostim</w:t>
      </w:r>
      <w:r w:rsidRPr="001048FE">
        <w:rPr>
          <w:spacing w:val="-16"/>
          <w:lang w:val="sl-SI"/>
        </w:rPr>
        <w:t xml:space="preserve"> </w:t>
      </w:r>
      <w:r w:rsidRPr="001048FE">
        <w:rPr>
          <w:lang w:val="sl-SI"/>
        </w:rPr>
        <w:t>za neformalno in priložnostno učenje na področju</w:t>
      </w:r>
      <w:r w:rsidRPr="001048FE">
        <w:rPr>
          <w:spacing w:val="-17"/>
          <w:lang w:val="sl-SI"/>
        </w:rPr>
        <w:t xml:space="preserve"> </w:t>
      </w:r>
      <w:r w:rsidRPr="001048FE">
        <w:rPr>
          <w:lang w:val="sl-SI"/>
        </w:rPr>
        <w:t>mladine.</w:t>
      </w:r>
    </w:p>
    <w:p w14:paraId="7D39878F" w14:textId="77777777" w:rsidR="00E03711" w:rsidRPr="001048FE" w:rsidRDefault="00E03711" w:rsidP="009B0971">
      <w:pPr>
        <w:pStyle w:val="Guide-Heading2"/>
        <w:rPr>
          <w:lang w:val="sl-SI"/>
        </w:rPr>
        <w:sectPr w:rsidR="00E03711" w:rsidRPr="001048FE" w:rsidSect="007F4890">
          <w:headerReference w:type="default" r:id="rId62"/>
          <w:endnotePr>
            <w:numFmt w:val="decimal"/>
          </w:endnotePr>
          <w:pgSz w:w="11910" w:h="16840" w:code="9"/>
          <w:pgMar w:top="1134" w:right="1418" w:bottom="1134" w:left="1418" w:header="283" w:footer="567" w:gutter="0"/>
          <w:cols w:space="720"/>
          <w:docGrid w:linePitch="326"/>
        </w:sectPr>
      </w:pPr>
      <w:bookmarkStart w:id="149" w:name="Trois_actions_clés"/>
      <w:bookmarkStart w:id="150" w:name="_bookmark30"/>
      <w:bookmarkEnd w:id="149"/>
      <w:bookmarkEnd w:id="150"/>
    </w:p>
    <w:p w14:paraId="7D398790" w14:textId="77777777" w:rsidR="00E03711" w:rsidRPr="001048FE" w:rsidRDefault="00E03711" w:rsidP="0030441A">
      <w:pPr>
        <w:pStyle w:val="Guide-Heading2"/>
        <w:rPr>
          <w:sz w:val="44"/>
          <w:lang w:val="sl-SI"/>
        </w:rPr>
      </w:pPr>
      <w:bookmarkStart w:id="151" w:name="_Toc527400913"/>
      <w:bookmarkStart w:id="152" w:name="_Toc527401137"/>
      <w:r w:rsidRPr="001048FE">
        <w:rPr>
          <w:lang w:val="sl-SI"/>
        </w:rPr>
        <w:t>Trije ključni ukrepi</w:t>
      </w:r>
      <w:bookmarkEnd w:id="151"/>
      <w:bookmarkEnd w:id="152"/>
    </w:p>
    <w:p w14:paraId="7D398791" w14:textId="77777777" w:rsidR="00E03711" w:rsidRPr="001048FE" w:rsidRDefault="00E03711" w:rsidP="00142646">
      <w:pPr>
        <w:pStyle w:val="GUIDE-NORMAL"/>
        <w:rPr>
          <w:lang w:val="sl-SI"/>
        </w:rPr>
      </w:pPr>
      <w:r w:rsidRPr="001048FE">
        <w:rPr>
          <w:lang w:val="sl-SI"/>
        </w:rPr>
        <w:t>Ukrepi na področju izobraževanja, usposabljanja in mladine bodo skupaj predstavljeni v naslednjih poglavjih, pri čemer se upošteva naslednje:</w:t>
      </w:r>
    </w:p>
    <w:p w14:paraId="7D398792" w14:textId="77777777" w:rsidR="00E03711" w:rsidRPr="001048FE" w:rsidRDefault="00E03711" w:rsidP="005115F2">
      <w:pPr>
        <w:pStyle w:val="Guide-NormalBulletpoints"/>
        <w:numPr>
          <w:ilvl w:val="0"/>
          <w:numId w:val="183"/>
        </w:numPr>
        <w:rPr>
          <w:lang w:val="sl-SI"/>
        </w:rPr>
      </w:pPr>
      <w:r w:rsidRPr="001048FE">
        <w:rPr>
          <w:lang w:val="sl-SI"/>
        </w:rPr>
        <w:t>vsi ti ukrepi so organizirani v okviru, ki temelji na treh ključnih ukrepih;</w:t>
      </w:r>
    </w:p>
    <w:p w14:paraId="7D398793" w14:textId="77777777" w:rsidR="00E03711" w:rsidRPr="001048FE" w:rsidRDefault="00E03711" w:rsidP="005115F2">
      <w:pPr>
        <w:pStyle w:val="Guide-NormalBulletpoints"/>
        <w:numPr>
          <w:ilvl w:val="0"/>
          <w:numId w:val="183"/>
        </w:numPr>
        <w:rPr>
          <w:rStyle w:val="Guide-Condensed-02"/>
          <w:lang w:val="sl-SI"/>
        </w:rPr>
      </w:pPr>
      <w:r w:rsidRPr="001048FE">
        <w:rPr>
          <w:rStyle w:val="Guide-Condensed-02"/>
          <w:lang w:val="sl-SI"/>
        </w:rPr>
        <w:t>nekateri ukrepi so instrumenti, ki podpirajo cilje na področju izobraževanja in usposabljanja ter na področju mladine;</w:t>
      </w:r>
    </w:p>
    <w:p w14:paraId="7D398794" w14:textId="77777777" w:rsidR="00E03711" w:rsidRPr="001048FE" w:rsidRDefault="00E03711" w:rsidP="005115F2">
      <w:pPr>
        <w:pStyle w:val="Guide-NormalBulletpoints"/>
        <w:numPr>
          <w:ilvl w:val="0"/>
          <w:numId w:val="183"/>
        </w:numPr>
        <w:rPr>
          <w:lang w:val="sl-SI"/>
        </w:rPr>
      </w:pPr>
      <w:r w:rsidRPr="001048FE">
        <w:rPr>
          <w:lang w:val="sl-SI"/>
        </w:rPr>
        <w:t>cilj</w:t>
      </w:r>
      <w:r w:rsidRPr="001048FE">
        <w:rPr>
          <w:spacing w:val="-16"/>
          <w:lang w:val="sl-SI"/>
        </w:rPr>
        <w:t xml:space="preserve"> </w:t>
      </w:r>
      <w:r w:rsidRPr="001048FE">
        <w:rPr>
          <w:lang w:val="sl-SI"/>
        </w:rPr>
        <w:t>programa</w:t>
      </w:r>
      <w:r w:rsidRPr="001048FE">
        <w:rPr>
          <w:spacing w:val="-16"/>
          <w:lang w:val="sl-SI"/>
        </w:rPr>
        <w:t xml:space="preserve"> </w:t>
      </w:r>
      <w:r w:rsidRPr="001048FE">
        <w:rPr>
          <w:lang w:val="sl-SI"/>
        </w:rPr>
        <w:t>Erasmus+</w:t>
      </w:r>
      <w:r w:rsidRPr="001048FE">
        <w:rPr>
          <w:spacing w:val="-16"/>
          <w:lang w:val="sl-SI"/>
        </w:rPr>
        <w:t xml:space="preserve"> </w:t>
      </w:r>
      <w:r w:rsidRPr="001048FE">
        <w:rPr>
          <w:lang w:val="sl-SI"/>
        </w:rPr>
        <w:t>je</w:t>
      </w:r>
      <w:r w:rsidRPr="001048FE">
        <w:rPr>
          <w:spacing w:val="-16"/>
          <w:lang w:val="sl-SI"/>
        </w:rPr>
        <w:t xml:space="preserve"> </w:t>
      </w:r>
      <w:r w:rsidRPr="001048FE">
        <w:rPr>
          <w:lang w:val="sl-SI"/>
        </w:rPr>
        <w:t>spodbujati</w:t>
      </w:r>
      <w:r w:rsidRPr="001048FE">
        <w:rPr>
          <w:spacing w:val="-16"/>
          <w:lang w:val="sl-SI"/>
        </w:rPr>
        <w:t xml:space="preserve"> </w:t>
      </w:r>
      <w:r w:rsidRPr="001048FE">
        <w:rPr>
          <w:lang w:val="sl-SI"/>
        </w:rPr>
        <w:t>sinergije,</w:t>
      </w:r>
      <w:r w:rsidRPr="001048FE">
        <w:rPr>
          <w:spacing w:val="-16"/>
          <w:lang w:val="sl-SI"/>
        </w:rPr>
        <w:t xml:space="preserve"> </w:t>
      </w:r>
      <w:r w:rsidRPr="001048FE">
        <w:rPr>
          <w:lang w:val="sl-SI"/>
        </w:rPr>
        <w:t>sodelovanje</w:t>
      </w:r>
      <w:r w:rsidRPr="001048FE">
        <w:rPr>
          <w:spacing w:val="-16"/>
          <w:lang w:val="sl-SI"/>
        </w:rPr>
        <w:t xml:space="preserve"> </w:t>
      </w:r>
      <w:r w:rsidRPr="001048FE">
        <w:rPr>
          <w:lang w:val="sl-SI"/>
        </w:rPr>
        <w:t>in</w:t>
      </w:r>
      <w:r w:rsidRPr="001048FE">
        <w:rPr>
          <w:spacing w:val="-16"/>
          <w:lang w:val="sl-SI"/>
        </w:rPr>
        <w:t xml:space="preserve"> </w:t>
      </w:r>
      <w:r w:rsidRPr="001048FE">
        <w:rPr>
          <w:lang w:val="sl-SI"/>
        </w:rPr>
        <w:t>medsebojno</w:t>
      </w:r>
      <w:r w:rsidRPr="001048FE">
        <w:rPr>
          <w:spacing w:val="-16"/>
          <w:lang w:val="sl-SI"/>
        </w:rPr>
        <w:t xml:space="preserve"> </w:t>
      </w:r>
      <w:r w:rsidRPr="001048FE">
        <w:rPr>
          <w:lang w:val="sl-SI"/>
        </w:rPr>
        <w:t>bogatenje</w:t>
      </w:r>
      <w:r w:rsidRPr="001048FE">
        <w:rPr>
          <w:spacing w:val="-16"/>
          <w:lang w:val="sl-SI"/>
        </w:rPr>
        <w:t xml:space="preserve"> </w:t>
      </w:r>
      <w:r w:rsidRPr="001048FE">
        <w:rPr>
          <w:lang w:val="sl-SI"/>
        </w:rPr>
        <w:t>med različnimi</w:t>
      </w:r>
      <w:r w:rsidRPr="001048FE">
        <w:rPr>
          <w:spacing w:val="-2"/>
          <w:lang w:val="sl-SI"/>
        </w:rPr>
        <w:t xml:space="preserve"> </w:t>
      </w:r>
      <w:r w:rsidRPr="001048FE">
        <w:rPr>
          <w:lang w:val="sl-SI"/>
        </w:rPr>
        <w:t>področji.</w:t>
      </w:r>
    </w:p>
    <w:p w14:paraId="7D398795" w14:textId="77777777" w:rsidR="00E03711" w:rsidRDefault="00E03711" w:rsidP="0030441A">
      <w:pPr>
        <w:pStyle w:val="GUIDE-NORMAL"/>
        <w:rPr>
          <w:lang w:val="sl-SI"/>
        </w:rPr>
      </w:pPr>
      <w:r w:rsidRPr="001048FE">
        <w:rPr>
          <w:lang w:val="sl-SI"/>
        </w:rPr>
        <w:t>Ta pristop bo tudi omogočil, da v tem vodniku ne bo nepotrebnega ponavljanja vsebine.</w:t>
      </w:r>
    </w:p>
    <w:p w14:paraId="7D398796" w14:textId="77777777" w:rsidR="00E03711" w:rsidRDefault="00E03711" w:rsidP="0030441A">
      <w:pPr>
        <w:pStyle w:val="GUIDE-NORMAL"/>
        <w:rPr>
          <w:lang w:val="sl-SI"/>
        </w:rPr>
        <w:sectPr w:rsidR="00E03711" w:rsidSect="007F4890">
          <w:headerReference w:type="default" r:id="rId63"/>
          <w:endnotePr>
            <w:numFmt w:val="decimal"/>
          </w:endnotePr>
          <w:pgSz w:w="11910" w:h="16840" w:code="9"/>
          <w:pgMar w:top="1134" w:right="1418" w:bottom="1134" w:left="1418" w:header="283" w:footer="567" w:gutter="0"/>
          <w:cols w:space="720"/>
          <w:docGrid w:linePitch="326"/>
        </w:sectPr>
      </w:pPr>
    </w:p>
    <w:p w14:paraId="7D398797" w14:textId="77777777" w:rsidR="00E03711" w:rsidRPr="00FB2FE5" w:rsidRDefault="00E03711" w:rsidP="0030441A">
      <w:pPr>
        <w:pStyle w:val="Guide-Heading3"/>
        <w:rPr>
          <w:lang w:val="sl-SI"/>
        </w:rPr>
      </w:pPr>
      <w:bookmarkStart w:id="153" w:name="_Toc527400914"/>
      <w:bookmarkStart w:id="154" w:name="_Toc527401138"/>
      <w:r w:rsidRPr="001048FE">
        <w:rPr>
          <w:lang w:val="sl-SI"/>
        </w:rPr>
        <w:t xml:space="preserve">Ključni ukrep 1: </w:t>
      </w:r>
      <w:r w:rsidRPr="00FB2FE5">
        <w:rPr>
          <w:lang w:val="sl-SI"/>
        </w:rPr>
        <w:t>Učna mobilnost</w:t>
      </w:r>
      <w:bookmarkStart w:id="155" w:name="Ključni_ukrep_1:_Učna_mobilnost_posamezn"/>
      <w:bookmarkEnd w:id="155"/>
      <w:r w:rsidRPr="00FB2FE5">
        <w:rPr>
          <w:lang w:val="sl-SI"/>
        </w:rPr>
        <w:t xml:space="preserve"> posameznikov</w:t>
      </w:r>
      <w:bookmarkEnd w:id="153"/>
      <w:bookmarkEnd w:id="154"/>
    </w:p>
    <w:p w14:paraId="7D398798" w14:textId="77777777" w:rsidR="00E03711" w:rsidRPr="001048FE" w:rsidRDefault="00E03711" w:rsidP="00E23D2D">
      <w:pPr>
        <w:pStyle w:val="Guide-Heading5"/>
        <w:rPr>
          <w:lang w:val="sl-SI"/>
        </w:rPr>
      </w:pPr>
      <w:r w:rsidRPr="001048FE">
        <w:rPr>
          <w:lang w:val="sl-SI"/>
        </w:rPr>
        <w:t>Kateri ukrepi so podprti?</w:t>
      </w:r>
    </w:p>
    <w:p w14:paraId="7D398799" w14:textId="77777777" w:rsidR="00E03711" w:rsidRPr="001048FE" w:rsidRDefault="00E03711" w:rsidP="00142646">
      <w:pPr>
        <w:pStyle w:val="GUIDE-NORMAL"/>
        <w:rPr>
          <w:lang w:val="sl-SI"/>
        </w:rPr>
      </w:pPr>
      <w:r w:rsidRPr="001048FE">
        <w:rPr>
          <w:lang w:val="sl-SI"/>
        </w:rPr>
        <w:t>Ta ključni ukrep podpira:</w:t>
      </w:r>
    </w:p>
    <w:p w14:paraId="7D39879A" w14:textId="77777777" w:rsidR="00E03711" w:rsidRPr="001048FE" w:rsidRDefault="00E03711" w:rsidP="005115F2">
      <w:pPr>
        <w:pStyle w:val="Guide-NormalBulletpoints"/>
        <w:numPr>
          <w:ilvl w:val="0"/>
          <w:numId w:val="184"/>
        </w:numPr>
        <w:rPr>
          <w:lang w:val="sl-SI"/>
        </w:rPr>
      </w:pPr>
      <w:r w:rsidRPr="001048FE">
        <w:rPr>
          <w:lang w:val="sl-SI"/>
        </w:rPr>
        <w:t xml:space="preserve">projekte mobilnosti na področju izobraževanja, usposabljanja in mladine; </w:t>
      </w:r>
    </w:p>
    <w:p w14:paraId="7D39879B" w14:textId="77777777" w:rsidR="00E03711" w:rsidRPr="001048FE" w:rsidRDefault="00E03711" w:rsidP="005115F2">
      <w:pPr>
        <w:pStyle w:val="Guide-NormalBulletpoints"/>
        <w:numPr>
          <w:ilvl w:val="0"/>
          <w:numId w:val="184"/>
        </w:numPr>
        <w:rPr>
          <w:lang w:val="sl-SI"/>
        </w:rPr>
      </w:pPr>
      <w:r w:rsidRPr="001048FE">
        <w:rPr>
          <w:lang w:val="sl-SI"/>
        </w:rPr>
        <w:t>skupni magistrski študij Erasmus Mundus;</w:t>
      </w:r>
    </w:p>
    <w:p w14:paraId="7D39879C" w14:textId="77777777" w:rsidR="00E03711" w:rsidRPr="001048FE" w:rsidRDefault="00E03711" w:rsidP="005115F2">
      <w:pPr>
        <w:pStyle w:val="Guide-NormalBulletpoints"/>
        <w:numPr>
          <w:ilvl w:val="0"/>
          <w:numId w:val="184"/>
        </w:numPr>
        <w:rPr>
          <w:lang w:val="sl-SI"/>
        </w:rPr>
      </w:pPr>
      <w:r w:rsidRPr="001048FE">
        <w:rPr>
          <w:lang w:val="sl-SI"/>
        </w:rPr>
        <w:t>posojila Erasmus+ za magistrski študij.</w:t>
      </w:r>
    </w:p>
    <w:p w14:paraId="7D39879D" w14:textId="77777777" w:rsidR="00E03711" w:rsidRPr="001048FE" w:rsidRDefault="00E03711" w:rsidP="00142646">
      <w:pPr>
        <w:pStyle w:val="GUIDE-NORMAL"/>
        <w:rPr>
          <w:lang w:val="sl-SI"/>
        </w:rPr>
      </w:pPr>
      <w:r w:rsidRPr="001048FE">
        <w:rPr>
          <w:lang w:val="sl-SI"/>
        </w:rPr>
        <w:t>Ukrepi, ki jih podpira ta ključni ukrep, bodo predvidoma imeli pozitiven in dolgotrajen učinek na vključene udeležence in sodelujoče organizacije ter na sisteme politik, ki obravnavajo take aktivnosti.</w:t>
      </w:r>
    </w:p>
    <w:p w14:paraId="7D39879E" w14:textId="77777777" w:rsidR="00E03711" w:rsidRPr="001048FE" w:rsidRDefault="00E03711" w:rsidP="000A78C8">
      <w:pPr>
        <w:pStyle w:val="GUIDE-NORMAL"/>
        <w:spacing w:after="100"/>
        <w:rPr>
          <w:lang w:val="sl-SI"/>
        </w:rPr>
      </w:pPr>
      <w:r w:rsidRPr="001048FE">
        <w:rPr>
          <w:lang w:val="sl-SI"/>
        </w:rPr>
        <w:t>V zvezi s študenti, praktikanti, vajenci</w:t>
      </w:r>
      <w:r>
        <w:rPr>
          <w:lang w:val="sl-SI"/>
        </w:rPr>
        <w:t xml:space="preserve"> in</w:t>
      </w:r>
      <w:r w:rsidRPr="001048FE">
        <w:rPr>
          <w:lang w:val="sl-SI"/>
        </w:rPr>
        <w:t xml:space="preserve"> mladimi</w:t>
      </w:r>
      <w:r>
        <w:rPr>
          <w:lang w:val="sl-SI"/>
        </w:rPr>
        <w:t xml:space="preserve"> </w:t>
      </w:r>
      <w:r w:rsidRPr="001048FE">
        <w:rPr>
          <w:lang w:val="sl-SI"/>
        </w:rPr>
        <w:t>se na podlagi aktivnosti mobilnosti, ki jih podpira ta ključni ukrep, pričakujejo naslednji rezultati:</w:t>
      </w:r>
    </w:p>
    <w:p w14:paraId="7D39879F" w14:textId="77777777" w:rsidR="00E03711" w:rsidRPr="001048FE" w:rsidRDefault="00E03711" w:rsidP="005115F2">
      <w:pPr>
        <w:pStyle w:val="Guide-NormalBulletpoints"/>
        <w:numPr>
          <w:ilvl w:val="0"/>
          <w:numId w:val="185"/>
        </w:numPr>
        <w:rPr>
          <w:lang w:val="sl-SI"/>
        </w:rPr>
      </w:pPr>
      <w:r w:rsidRPr="001048FE">
        <w:rPr>
          <w:lang w:val="sl-SI"/>
        </w:rPr>
        <w:t>izboljšan učni uspeh;</w:t>
      </w:r>
    </w:p>
    <w:p w14:paraId="7D3987A0" w14:textId="77777777" w:rsidR="00E03711" w:rsidRPr="001048FE" w:rsidRDefault="00E03711" w:rsidP="005115F2">
      <w:pPr>
        <w:pStyle w:val="Guide-NormalBulletpoints"/>
        <w:numPr>
          <w:ilvl w:val="0"/>
          <w:numId w:val="185"/>
        </w:numPr>
        <w:rPr>
          <w:lang w:val="sl-SI"/>
        </w:rPr>
      </w:pPr>
      <w:r w:rsidRPr="001048FE">
        <w:rPr>
          <w:lang w:val="sl-SI"/>
        </w:rPr>
        <w:t xml:space="preserve">boljša zaposljivost in poklicne možnosti; </w:t>
      </w:r>
    </w:p>
    <w:p w14:paraId="7D3987A1" w14:textId="77777777" w:rsidR="00E03711" w:rsidRPr="001048FE" w:rsidRDefault="00E03711" w:rsidP="005115F2">
      <w:pPr>
        <w:pStyle w:val="Guide-NormalBulletpoints"/>
        <w:numPr>
          <w:ilvl w:val="0"/>
          <w:numId w:val="185"/>
        </w:numPr>
        <w:rPr>
          <w:lang w:val="sl-SI"/>
        </w:rPr>
      </w:pPr>
      <w:r w:rsidRPr="001048FE">
        <w:rPr>
          <w:lang w:val="sl-SI"/>
        </w:rPr>
        <w:t xml:space="preserve">okrepljena samoiniciativnost in podjetništvo; </w:t>
      </w:r>
    </w:p>
    <w:p w14:paraId="7D3987A2" w14:textId="77777777" w:rsidR="00E03711" w:rsidRPr="001048FE" w:rsidRDefault="00E03711" w:rsidP="005115F2">
      <w:pPr>
        <w:pStyle w:val="Guide-NormalBulletpoints"/>
        <w:numPr>
          <w:ilvl w:val="0"/>
          <w:numId w:val="185"/>
        </w:numPr>
        <w:rPr>
          <w:lang w:val="sl-SI"/>
        </w:rPr>
      </w:pPr>
      <w:r w:rsidRPr="001048FE">
        <w:rPr>
          <w:lang w:val="sl-SI"/>
        </w:rPr>
        <w:t xml:space="preserve">večja samostojnost in samozavest; </w:t>
      </w:r>
    </w:p>
    <w:p w14:paraId="7D3987A3" w14:textId="77777777" w:rsidR="00E03711" w:rsidRPr="001048FE" w:rsidRDefault="00E03711" w:rsidP="005115F2">
      <w:pPr>
        <w:pStyle w:val="Guide-NormalBulletpoints"/>
        <w:numPr>
          <w:ilvl w:val="0"/>
          <w:numId w:val="185"/>
        </w:numPr>
        <w:rPr>
          <w:lang w:val="sl-SI"/>
        </w:rPr>
      </w:pPr>
      <w:r w:rsidRPr="001048FE">
        <w:rPr>
          <w:lang w:val="sl-SI"/>
        </w:rPr>
        <w:t>izboljšano znanje tujih jezikov;</w:t>
      </w:r>
    </w:p>
    <w:p w14:paraId="7D3987A4" w14:textId="77777777" w:rsidR="00E03711" w:rsidRPr="001048FE" w:rsidRDefault="00E03711" w:rsidP="005115F2">
      <w:pPr>
        <w:pStyle w:val="Guide-NormalBulletpoints"/>
        <w:numPr>
          <w:ilvl w:val="0"/>
          <w:numId w:val="185"/>
        </w:numPr>
        <w:rPr>
          <w:lang w:val="sl-SI"/>
        </w:rPr>
      </w:pPr>
      <w:r w:rsidRPr="001048FE">
        <w:rPr>
          <w:lang w:val="sl-SI"/>
        </w:rPr>
        <w:t xml:space="preserve">okrepljena medkulturna zavest; </w:t>
      </w:r>
    </w:p>
    <w:p w14:paraId="7D3987A5" w14:textId="77777777" w:rsidR="00E03711" w:rsidRPr="001048FE" w:rsidRDefault="00E03711" w:rsidP="005115F2">
      <w:pPr>
        <w:pStyle w:val="Guide-NormalBulletpoints"/>
        <w:numPr>
          <w:ilvl w:val="0"/>
          <w:numId w:val="185"/>
        </w:numPr>
        <w:rPr>
          <w:lang w:val="sl-SI"/>
        </w:rPr>
      </w:pPr>
      <w:r w:rsidRPr="001048FE">
        <w:rPr>
          <w:lang w:val="sl-SI"/>
        </w:rPr>
        <w:t>aktivnejša udeležba v družbi;</w:t>
      </w:r>
    </w:p>
    <w:p w14:paraId="7D3987A6" w14:textId="77777777" w:rsidR="00E03711" w:rsidRPr="001048FE" w:rsidRDefault="00E03711" w:rsidP="005115F2">
      <w:pPr>
        <w:pStyle w:val="Guide-NormalBulletpoints"/>
        <w:numPr>
          <w:ilvl w:val="0"/>
          <w:numId w:val="185"/>
        </w:numPr>
        <w:rPr>
          <w:lang w:val="sl-SI"/>
        </w:rPr>
      </w:pPr>
      <w:r w:rsidRPr="001048FE">
        <w:rPr>
          <w:lang w:val="sl-SI"/>
        </w:rPr>
        <w:t>boljša osveščenost o evropskem projektu in vrednotah EU;</w:t>
      </w:r>
    </w:p>
    <w:p w14:paraId="7D3987A7" w14:textId="77777777" w:rsidR="00E03711" w:rsidRPr="001048FE" w:rsidRDefault="00E03711" w:rsidP="005115F2">
      <w:pPr>
        <w:pStyle w:val="Guide-NormalBulletpoints"/>
        <w:numPr>
          <w:ilvl w:val="0"/>
          <w:numId w:val="185"/>
        </w:numPr>
        <w:rPr>
          <w:lang w:val="sl-SI"/>
        </w:rPr>
      </w:pPr>
      <w:r w:rsidRPr="001048FE">
        <w:rPr>
          <w:lang w:val="sl-SI"/>
        </w:rPr>
        <w:t>večja</w:t>
      </w:r>
      <w:r w:rsidRPr="001048FE">
        <w:rPr>
          <w:spacing w:val="-21"/>
          <w:lang w:val="sl-SI"/>
        </w:rPr>
        <w:t xml:space="preserve"> </w:t>
      </w:r>
      <w:r w:rsidRPr="001048FE">
        <w:rPr>
          <w:lang w:val="sl-SI"/>
        </w:rPr>
        <w:t>motivacija</w:t>
      </w:r>
      <w:r w:rsidRPr="001048FE">
        <w:rPr>
          <w:spacing w:val="-21"/>
          <w:lang w:val="sl-SI"/>
        </w:rPr>
        <w:t xml:space="preserve"> </w:t>
      </w:r>
      <w:r w:rsidRPr="001048FE">
        <w:rPr>
          <w:lang w:val="sl-SI"/>
        </w:rPr>
        <w:t>za</w:t>
      </w:r>
      <w:r w:rsidRPr="001048FE">
        <w:rPr>
          <w:spacing w:val="-21"/>
          <w:lang w:val="sl-SI"/>
        </w:rPr>
        <w:t xml:space="preserve"> </w:t>
      </w:r>
      <w:r w:rsidRPr="001048FE">
        <w:rPr>
          <w:lang w:val="sl-SI"/>
        </w:rPr>
        <w:t>sodelovanje</w:t>
      </w:r>
      <w:r w:rsidRPr="001048FE">
        <w:rPr>
          <w:spacing w:val="-21"/>
          <w:lang w:val="sl-SI"/>
        </w:rPr>
        <w:t xml:space="preserve"> </w:t>
      </w:r>
      <w:r w:rsidRPr="001048FE">
        <w:rPr>
          <w:lang w:val="sl-SI"/>
        </w:rPr>
        <w:t>v</w:t>
      </w:r>
      <w:r w:rsidRPr="001048FE">
        <w:rPr>
          <w:spacing w:val="-21"/>
          <w:lang w:val="sl-SI"/>
        </w:rPr>
        <w:t xml:space="preserve"> </w:t>
      </w:r>
      <w:r w:rsidRPr="001048FE">
        <w:rPr>
          <w:lang w:val="sl-SI"/>
        </w:rPr>
        <w:t>prihodnjem</w:t>
      </w:r>
      <w:r w:rsidRPr="001048FE">
        <w:rPr>
          <w:spacing w:val="-21"/>
          <w:lang w:val="sl-SI"/>
        </w:rPr>
        <w:t xml:space="preserve"> </w:t>
      </w:r>
      <w:r w:rsidRPr="001048FE">
        <w:rPr>
          <w:lang w:val="sl-SI"/>
        </w:rPr>
        <w:t>(formalnem/neformalnem)</w:t>
      </w:r>
      <w:r w:rsidRPr="001048FE">
        <w:rPr>
          <w:spacing w:val="-21"/>
          <w:lang w:val="sl-SI"/>
        </w:rPr>
        <w:t xml:space="preserve"> </w:t>
      </w:r>
      <w:r w:rsidRPr="001048FE">
        <w:rPr>
          <w:lang w:val="sl-SI"/>
        </w:rPr>
        <w:t>izobraževanju</w:t>
      </w:r>
      <w:r w:rsidRPr="001048FE">
        <w:rPr>
          <w:spacing w:val="-21"/>
          <w:lang w:val="sl-SI"/>
        </w:rPr>
        <w:t xml:space="preserve"> </w:t>
      </w:r>
      <w:r w:rsidRPr="001048FE">
        <w:rPr>
          <w:lang w:val="sl-SI"/>
        </w:rPr>
        <w:t>ali usposabljanju po obdobju mobilnosti v</w:t>
      </w:r>
      <w:r w:rsidRPr="001048FE">
        <w:rPr>
          <w:spacing w:val="-11"/>
          <w:lang w:val="sl-SI"/>
        </w:rPr>
        <w:t xml:space="preserve"> </w:t>
      </w:r>
      <w:r w:rsidRPr="001048FE">
        <w:rPr>
          <w:lang w:val="sl-SI"/>
        </w:rPr>
        <w:t>tujini.</w:t>
      </w:r>
    </w:p>
    <w:p w14:paraId="7D3987A8" w14:textId="77777777" w:rsidR="00E03711" w:rsidRPr="001048FE" w:rsidRDefault="00E03711" w:rsidP="000A78C8">
      <w:pPr>
        <w:pStyle w:val="GUIDE-NORMAL"/>
        <w:spacing w:after="100"/>
        <w:rPr>
          <w:lang w:val="sl-SI"/>
        </w:rPr>
      </w:pPr>
      <w:r w:rsidRPr="001048FE">
        <w:rPr>
          <w:lang w:val="sl-SI"/>
        </w:rPr>
        <w:t>V</w:t>
      </w:r>
      <w:r w:rsidRPr="001048FE">
        <w:rPr>
          <w:spacing w:val="-16"/>
          <w:lang w:val="sl-SI"/>
        </w:rPr>
        <w:t xml:space="preserve"> </w:t>
      </w:r>
      <w:r w:rsidRPr="001048FE">
        <w:rPr>
          <w:lang w:val="sl-SI"/>
        </w:rPr>
        <w:t>zvezi</w:t>
      </w:r>
      <w:r w:rsidRPr="001048FE">
        <w:rPr>
          <w:spacing w:val="-16"/>
          <w:lang w:val="sl-SI"/>
        </w:rPr>
        <w:t xml:space="preserve"> </w:t>
      </w:r>
      <w:r w:rsidRPr="001048FE">
        <w:rPr>
          <w:lang w:val="sl-SI"/>
        </w:rPr>
        <w:t>z</w:t>
      </w:r>
      <w:r w:rsidRPr="001048FE">
        <w:rPr>
          <w:spacing w:val="-16"/>
          <w:lang w:val="sl-SI"/>
        </w:rPr>
        <w:t xml:space="preserve"> </w:t>
      </w:r>
      <w:r w:rsidRPr="001048FE">
        <w:rPr>
          <w:lang w:val="sl-SI"/>
        </w:rPr>
        <w:t>osebjem,</w:t>
      </w:r>
      <w:r w:rsidRPr="001048FE">
        <w:rPr>
          <w:spacing w:val="-15"/>
          <w:lang w:val="sl-SI"/>
        </w:rPr>
        <w:t xml:space="preserve"> </w:t>
      </w:r>
      <w:r w:rsidRPr="001048FE">
        <w:rPr>
          <w:lang w:val="sl-SI"/>
        </w:rPr>
        <w:t>mladinskimi</w:t>
      </w:r>
      <w:r w:rsidRPr="001048FE">
        <w:rPr>
          <w:spacing w:val="-16"/>
          <w:lang w:val="sl-SI"/>
        </w:rPr>
        <w:t xml:space="preserve"> </w:t>
      </w:r>
      <w:r w:rsidRPr="001048FE">
        <w:rPr>
          <w:lang w:val="sl-SI"/>
        </w:rPr>
        <w:t>delavci</w:t>
      </w:r>
      <w:r w:rsidRPr="001048FE">
        <w:rPr>
          <w:spacing w:val="-16"/>
          <w:lang w:val="sl-SI"/>
        </w:rPr>
        <w:t xml:space="preserve"> </w:t>
      </w:r>
      <w:r w:rsidRPr="001048FE">
        <w:rPr>
          <w:lang w:val="sl-SI"/>
        </w:rPr>
        <w:t>in</w:t>
      </w:r>
      <w:r w:rsidRPr="001048FE">
        <w:rPr>
          <w:spacing w:val="-16"/>
          <w:lang w:val="sl-SI"/>
        </w:rPr>
        <w:t xml:space="preserve"> </w:t>
      </w:r>
      <w:r w:rsidRPr="001048FE">
        <w:rPr>
          <w:lang w:val="sl-SI"/>
        </w:rPr>
        <w:t>strokovnjaki</w:t>
      </w:r>
      <w:r w:rsidRPr="001048FE">
        <w:rPr>
          <w:spacing w:val="-16"/>
          <w:lang w:val="sl-SI"/>
        </w:rPr>
        <w:t xml:space="preserve"> </w:t>
      </w:r>
      <w:r w:rsidRPr="001048FE">
        <w:rPr>
          <w:lang w:val="sl-SI"/>
        </w:rPr>
        <w:t>na</w:t>
      </w:r>
      <w:r w:rsidRPr="001048FE">
        <w:rPr>
          <w:spacing w:val="-16"/>
          <w:lang w:val="sl-SI"/>
        </w:rPr>
        <w:t xml:space="preserve"> </w:t>
      </w:r>
      <w:r w:rsidRPr="001048FE">
        <w:rPr>
          <w:lang w:val="sl-SI"/>
        </w:rPr>
        <w:t>področju</w:t>
      </w:r>
      <w:r w:rsidRPr="001048FE">
        <w:rPr>
          <w:spacing w:val="-16"/>
          <w:lang w:val="sl-SI"/>
        </w:rPr>
        <w:t xml:space="preserve"> </w:t>
      </w:r>
      <w:r w:rsidRPr="001048FE">
        <w:rPr>
          <w:lang w:val="sl-SI"/>
        </w:rPr>
        <w:t>izobraževanja,</w:t>
      </w:r>
      <w:r w:rsidRPr="001048FE">
        <w:rPr>
          <w:spacing w:val="-16"/>
          <w:lang w:val="sl-SI"/>
        </w:rPr>
        <w:t xml:space="preserve"> </w:t>
      </w:r>
      <w:r w:rsidRPr="001048FE">
        <w:rPr>
          <w:lang w:val="sl-SI"/>
        </w:rPr>
        <w:t>usposabljanja</w:t>
      </w:r>
      <w:r w:rsidRPr="001048FE">
        <w:rPr>
          <w:spacing w:val="-16"/>
          <w:lang w:val="sl-SI"/>
        </w:rPr>
        <w:t xml:space="preserve"> </w:t>
      </w:r>
      <w:r w:rsidRPr="001048FE">
        <w:rPr>
          <w:lang w:val="sl-SI"/>
        </w:rPr>
        <w:t>in mladine se na podlagi aktivnosti mobilnosti pričakujejo naslednji</w:t>
      </w:r>
      <w:r w:rsidRPr="001048FE">
        <w:rPr>
          <w:spacing w:val="-16"/>
          <w:lang w:val="sl-SI"/>
        </w:rPr>
        <w:t xml:space="preserve"> </w:t>
      </w:r>
      <w:r w:rsidRPr="001048FE">
        <w:rPr>
          <w:lang w:val="sl-SI"/>
        </w:rPr>
        <w:t>rezultati:</w:t>
      </w:r>
    </w:p>
    <w:p w14:paraId="7D3987A9" w14:textId="77777777" w:rsidR="00E03711" w:rsidRPr="001048FE" w:rsidRDefault="00E03711" w:rsidP="005115F2">
      <w:pPr>
        <w:pStyle w:val="Guide-NormalBulletpoints"/>
        <w:numPr>
          <w:ilvl w:val="0"/>
          <w:numId w:val="186"/>
        </w:numPr>
        <w:rPr>
          <w:lang w:val="sl-SI"/>
        </w:rPr>
      </w:pPr>
      <w:r w:rsidRPr="001048FE">
        <w:rPr>
          <w:lang w:val="sl-SI"/>
        </w:rPr>
        <w:t>boljše</w:t>
      </w:r>
      <w:r w:rsidRPr="001048FE">
        <w:rPr>
          <w:spacing w:val="-19"/>
          <w:lang w:val="sl-SI"/>
        </w:rPr>
        <w:t xml:space="preserve"> </w:t>
      </w:r>
      <w:r w:rsidRPr="001048FE">
        <w:rPr>
          <w:lang w:val="sl-SI"/>
        </w:rPr>
        <w:t>kompetence,</w:t>
      </w:r>
      <w:r w:rsidRPr="001048FE">
        <w:rPr>
          <w:spacing w:val="-19"/>
          <w:lang w:val="sl-SI"/>
        </w:rPr>
        <w:t xml:space="preserve"> </w:t>
      </w:r>
      <w:r w:rsidRPr="001048FE">
        <w:rPr>
          <w:lang w:val="sl-SI"/>
        </w:rPr>
        <w:t>povezane</w:t>
      </w:r>
      <w:r w:rsidRPr="001048FE">
        <w:rPr>
          <w:spacing w:val="-19"/>
          <w:lang w:val="sl-SI"/>
        </w:rPr>
        <w:t xml:space="preserve"> </w:t>
      </w:r>
      <w:r w:rsidRPr="001048FE">
        <w:rPr>
          <w:lang w:val="sl-SI"/>
        </w:rPr>
        <w:t>z</w:t>
      </w:r>
      <w:r w:rsidRPr="001048FE">
        <w:rPr>
          <w:spacing w:val="-19"/>
          <w:lang w:val="sl-SI"/>
        </w:rPr>
        <w:t xml:space="preserve"> </w:t>
      </w:r>
      <w:r w:rsidRPr="001048FE">
        <w:rPr>
          <w:lang w:val="sl-SI"/>
        </w:rPr>
        <w:t>njihovimi</w:t>
      </w:r>
      <w:r w:rsidRPr="001048FE">
        <w:rPr>
          <w:spacing w:val="-19"/>
          <w:lang w:val="sl-SI"/>
        </w:rPr>
        <w:t xml:space="preserve"> </w:t>
      </w:r>
      <w:r w:rsidRPr="001048FE">
        <w:rPr>
          <w:lang w:val="sl-SI"/>
        </w:rPr>
        <w:t>strokovnimi</w:t>
      </w:r>
      <w:r w:rsidRPr="001048FE">
        <w:rPr>
          <w:spacing w:val="-19"/>
          <w:lang w:val="sl-SI"/>
        </w:rPr>
        <w:t xml:space="preserve"> </w:t>
      </w:r>
      <w:r w:rsidRPr="001048FE">
        <w:rPr>
          <w:lang w:val="sl-SI"/>
        </w:rPr>
        <w:t>profili</w:t>
      </w:r>
      <w:r w:rsidRPr="001048FE">
        <w:rPr>
          <w:spacing w:val="-19"/>
          <w:lang w:val="sl-SI"/>
        </w:rPr>
        <w:t xml:space="preserve"> </w:t>
      </w:r>
      <w:r w:rsidRPr="001048FE">
        <w:rPr>
          <w:lang w:val="sl-SI"/>
        </w:rPr>
        <w:t>(poučevanje,</w:t>
      </w:r>
      <w:r w:rsidRPr="001048FE">
        <w:rPr>
          <w:spacing w:val="-19"/>
          <w:lang w:val="sl-SI"/>
        </w:rPr>
        <w:t xml:space="preserve"> </w:t>
      </w:r>
      <w:r w:rsidRPr="001048FE">
        <w:rPr>
          <w:lang w:val="sl-SI"/>
        </w:rPr>
        <w:t>usposabljanje, mladinsko delo</w:t>
      </w:r>
      <w:r w:rsidRPr="001048FE">
        <w:rPr>
          <w:spacing w:val="-5"/>
          <w:lang w:val="sl-SI"/>
        </w:rPr>
        <w:t xml:space="preserve"> </w:t>
      </w:r>
      <w:r w:rsidRPr="001048FE">
        <w:rPr>
          <w:lang w:val="sl-SI"/>
        </w:rPr>
        <w:t>itd.);</w:t>
      </w:r>
    </w:p>
    <w:p w14:paraId="7D3987AA" w14:textId="77777777" w:rsidR="00E03711" w:rsidRPr="001048FE" w:rsidRDefault="00E03711" w:rsidP="005115F2">
      <w:pPr>
        <w:pStyle w:val="Guide-NormalBulletpoints"/>
        <w:numPr>
          <w:ilvl w:val="0"/>
          <w:numId w:val="186"/>
        </w:numPr>
        <w:rPr>
          <w:rStyle w:val="Guide-Condensed-01"/>
          <w:lang w:val="sl-SI"/>
        </w:rPr>
      </w:pPr>
      <w:r w:rsidRPr="001048FE">
        <w:rPr>
          <w:rStyle w:val="Guide-Condensed-01"/>
          <w:lang w:val="sl-SI"/>
        </w:rPr>
        <w:t>širše razumevanje praks, politik in sistemov na področju izobraževanja, usposabljanja in mladin</w:t>
      </w:r>
      <w:r>
        <w:rPr>
          <w:rStyle w:val="Guide-Condensed-01"/>
          <w:lang w:val="sl-SI"/>
        </w:rPr>
        <w:t>skega dela</w:t>
      </w:r>
      <w:r w:rsidRPr="001048FE">
        <w:rPr>
          <w:rStyle w:val="Guide-Condensed-01"/>
          <w:lang w:val="sl-SI"/>
        </w:rPr>
        <w:t xml:space="preserve"> po vseh državah;</w:t>
      </w:r>
    </w:p>
    <w:p w14:paraId="7D3987AB" w14:textId="77777777" w:rsidR="00E03711" w:rsidRPr="001048FE" w:rsidRDefault="00E03711" w:rsidP="005115F2">
      <w:pPr>
        <w:pStyle w:val="Guide-NormalBulletpoints"/>
        <w:numPr>
          <w:ilvl w:val="0"/>
          <w:numId w:val="186"/>
        </w:numPr>
        <w:rPr>
          <w:lang w:val="sl-SI"/>
        </w:rPr>
      </w:pPr>
      <w:r w:rsidRPr="001048FE">
        <w:rPr>
          <w:lang w:val="sl-SI"/>
        </w:rPr>
        <w:t>okrepljene</w:t>
      </w:r>
      <w:r w:rsidRPr="001048FE">
        <w:rPr>
          <w:spacing w:val="-28"/>
          <w:lang w:val="sl-SI"/>
        </w:rPr>
        <w:t xml:space="preserve"> </w:t>
      </w:r>
      <w:r w:rsidRPr="001048FE">
        <w:rPr>
          <w:lang w:val="sl-SI"/>
        </w:rPr>
        <w:t>zmogljivosti</w:t>
      </w:r>
      <w:r w:rsidRPr="001048FE">
        <w:rPr>
          <w:spacing w:val="-28"/>
          <w:lang w:val="sl-SI"/>
        </w:rPr>
        <w:t xml:space="preserve"> </w:t>
      </w:r>
      <w:r w:rsidRPr="001048FE">
        <w:rPr>
          <w:lang w:val="sl-SI"/>
        </w:rPr>
        <w:t>za</w:t>
      </w:r>
      <w:r w:rsidRPr="001048FE">
        <w:rPr>
          <w:spacing w:val="-28"/>
          <w:lang w:val="sl-SI"/>
        </w:rPr>
        <w:t xml:space="preserve"> </w:t>
      </w:r>
      <w:r w:rsidRPr="001048FE">
        <w:rPr>
          <w:lang w:val="sl-SI"/>
        </w:rPr>
        <w:t>uvedbo</w:t>
      </w:r>
      <w:r w:rsidRPr="001048FE">
        <w:rPr>
          <w:spacing w:val="-28"/>
          <w:lang w:val="sl-SI"/>
        </w:rPr>
        <w:t xml:space="preserve"> </w:t>
      </w:r>
      <w:r w:rsidRPr="001048FE">
        <w:rPr>
          <w:lang w:val="sl-SI"/>
        </w:rPr>
        <w:t>sprememb</w:t>
      </w:r>
      <w:r w:rsidRPr="001048FE">
        <w:rPr>
          <w:spacing w:val="-28"/>
          <w:lang w:val="sl-SI"/>
        </w:rPr>
        <w:t xml:space="preserve"> </w:t>
      </w:r>
      <w:r w:rsidRPr="001048FE">
        <w:rPr>
          <w:lang w:val="sl-SI"/>
        </w:rPr>
        <w:t>glede</w:t>
      </w:r>
      <w:r w:rsidRPr="001048FE">
        <w:rPr>
          <w:spacing w:val="-28"/>
          <w:lang w:val="sl-SI"/>
        </w:rPr>
        <w:t xml:space="preserve"> </w:t>
      </w:r>
      <w:r w:rsidRPr="001048FE">
        <w:rPr>
          <w:lang w:val="sl-SI"/>
        </w:rPr>
        <w:t>posodobitev</w:t>
      </w:r>
      <w:r w:rsidRPr="001048FE">
        <w:rPr>
          <w:spacing w:val="-28"/>
          <w:lang w:val="sl-SI"/>
        </w:rPr>
        <w:t xml:space="preserve"> </w:t>
      </w:r>
      <w:r w:rsidRPr="001048FE">
        <w:rPr>
          <w:lang w:val="sl-SI"/>
        </w:rPr>
        <w:t>in</w:t>
      </w:r>
      <w:r w:rsidRPr="001048FE">
        <w:rPr>
          <w:spacing w:val="-28"/>
          <w:lang w:val="sl-SI"/>
        </w:rPr>
        <w:t xml:space="preserve"> </w:t>
      </w:r>
      <w:r w:rsidRPr="001048FE">
        <w:rPr>
          <w:lang w:val="sl-SI"/>
        </w:rPr>
        <w:t>mednarodnega</w:t>
      </w:r>
      <w:r w:rsidRPr="001048FE">
        <w:rPr>
          <w:spacing w:val="-28"/>
          <w:lang w:val="sl-SI"/>
        </w:rPr>
        <w:t xml:space="preserve"> </w:t>
      </w:r>
      <w:r w:rsidRPr="001048FE">
        <w:rPr>
          <w:lang w:val="sl-SI"/>
        </w:rPr>
        <w:t>sodelovanja v izobraževalnih</w:t>
      </w:r>
      <w:r w:rsidRPr="001048FE">
        <w:rPr>
          <w:spacing w:val="-5"/>
          <w:lang w:val="sl-SI"/>
        </w:rPr>
        <w:t xml:space="preserve"> </w:t>
      </w:r>
      <w:r w:rsidRPr="001048FE">
        <w:rPr>
          <w:lang w:val="sl-SI"/>
        </w:rPr>
        <w:t>organizacijah;</w:t>
      </w:r>
    </w:p>
    <w:p w14:paraId="7D3987AC" w14:textId="77777777" w:rsidR="00E03711" w:rsidRPr="001048FE" w:rsidRDefault="00E03711" w:rsidP="005115F2">
      <w:pPr>
        <w:pStyle w:val="Guide-NormalBulletpoints"/>
        <w:numPr>
          <w:ilvl w:val="0"/>
          <w:numId w:val="186"/>
        </w:numPr>
        <w:rPr>
          <w:lang w:val="sl-SI"/>
        </w:rPr>
      </w:pPr>
      <w:r w:rsidRPr="001048FE">
        <w:rPr>
          <w:lang w:val="sl-SI"/>
        </w:rPr>
        <w:t>boljše</w:t>
      </w:r>
      <w:r w:rsidRPr="001048FE">
        <w:rPr>
          <w:spacing w:val="-26"/>
          <w:lang w:val="sl-SI"/>
        </w:rPr>
        <w:t xml:space="preserve"> </w:t>
      </w:r>
      <w:r w:rsidRPr="001048FE">
        <w:rPr>
          <w:lang w:val="sl-SI"/>
        </w:rPr>
        <w:t>razumevanje</w:t>
      </w:r>
      <w:r w:rsidRPr="001048FE">
        <w:rPr>
          <w:spacing w:val="-26"/>
          <w:lang w:val="sl-SI"/>
        </w:rPr>
        <w:t xml:space="preserve"> </w:t>
      </w:r>
      <w:r w:rsidRPr="001048FE">
        <w:rPr>
          <w:lang w:val="sl-SI"/>
        </w:rPr>
        <w:t>medsebojne</w:t>
      </w:r>
      <w:r w:rsidRPr="001048FE">
        <w:rPr>
          <w:spacing w:val="-26"/>
          <w:lang w:val="sl-SI"/>
        </w:rPr>
        <w:t xml:space="preserve"> </w:t>
      </w:r>
      <w:r w:rsidRPr="001048FE">
        <w:rPr>
          <w:lang w:val="sl-SI"/>
        </w:rPr>
        <w:t>povezanosti</w:t>
      </w:r>
      <w:r w:rsidRPr="001048FE">
        <w:rPr>
          <w:spacing w:val="-26"/>
          <w:lang w:val="sl-SI"/>
        </w:rPr>
        <w:t xml:space="preserve"> </w:t>
      </w:r>
      <w:r w:rsidRPr="001048FE">
        <w:rPr>
          <w:lang w:val="sl-SI"/>
        </w:rPr>
        <w:t>med</w:t>
      </w:r>
      <w:r w:rsidRPr="001048FE">
        <w:rPr>
          <w:spacing w:val="-26"/>
          <w:lang w:val="sl-SI"/>
        </w:rPr>
        <w:t xml:space="preserve"> </w:t>
      </w:r>
      <w:r w:rsidRPr="001048FE">
        <w:rPr>
          <w:lang w:val="sl-SI"/>
        </w:rPr>
        <w:t>formalnim</w:t>
      </w:r>
      <w:r w:rsidRPr="001048FE">
        <w:rPr>
          <w:spacing w:val="-26"/>
          <w:lang w:val="sl-SI"/>
        </w:rPr>
        <w:t xml:space="preserve"> </w:t>
      </w:r>
      <w:r w:rsidRPr="001048FE">
        <w:rPr>
          <w:lang w:val="sl-SI"/>
        </w:rPr>
        <w:t>in</w:t>
      </w:r>
      <w:r w:rsidRPr="001048FE">
        <w:rPr>
          <w:spacing w:val="-26"/>
          <w:lang w:val="sl-SI"/>
        </w:rPr>
        <w:t xml:space="preserve"> </w:t>
      </w:r>
      <w:r w:rsidRPr="001048FE">
        <w:rPr>
          <w:lang w:val="sl-SI"/>
        </w:rPr>
        <w:t>neformalnim</w:t>
      </w:r>
      <w:r w:rsidRPr="001048FE">
        <w:rPr>
          <w:spacing w:val="-26"/>
          <w:lang w:val="sl-SI"/>
        </w:rPr>
        <w:t xml:space="preserve"> </w:t>
      </w:r>
      <w:r w:rsidRPr="001048FE">
        <w:rPr>
          <w:lang w:val="sl-SI"/>
        </w:rPr>
        <w:t>izobraževanjem oziroma poklicnim usposabljanjem in trgom</w:t>
      </w:r>
      <w:r w:rsidRPr="001048FE">
        <w:rPr>
          <w:spacing w:val="-12"/>
          <w:lang w:val="sl-SI"/>
        </w:rPr>
        <w:t xml:space="preserve"> </w:t>
      </w:r>
      <w:r w:rsidRPr="001048FE">
        <w:rPr>
          <w:lang w:val="sl-SI"/>
        </w:rPr>
        <w:t>dela;</w:t>
      </w:r>
    </w:p>
    <w:p w14:paraId="7D3987AD" w14:textId="77777777" w:rsidR="00E03711" w:rsidRPr="001048FE" w:rsidRDefault="00E03711" w:rsidP="005115F2">
      <w:pPr>
        <w:pStyle w:val="Guide-NormalBulletpoints"/>
        <w:numPr>
          <w:ilvl w:val="0"/>
          <w:numId w:val="186"/>
        </w:numPr>
        <w:rPr>
          <w:lang w:val="sl-SI"/>
        </w:rPr>
      </w:pPr>
      <w:r w:rsidRPr="001048FE">
        <w:rPr>
          <w:lang w:val="sl-SI"/>
        </w:rPr>
        <w:t>večja kakovost njihovega dela in aktivnosti v korist študentov, praktikantov, vajencev, dijakov, učečih se odraslih, mladih in prostovoljcev;</w:t>
      </w:r>
    </w:p>
    <w:p w14:paraId="7D3987AE" w14:textId="77777777" w:rsidR="00E03711" w:rsidRDefault="00E03711" w:rsidP="005115F2">
      <w:pPr>
        <w:pStyle w:val="Guide-NormalBulletpoints"/>
        <w:numPr>
          <w:ilvl w:val="0"/>
          <w:numId w:val="186"/>
        </w:numPr>
        <w:rPr>
          <w:lang w:val="sl-SI"/>
        </w:rPr>
      </w:pPr>
      <w:r w:rsidRPr="001048FE">
        <w:rPr>
          <w:lang w:val="sl-SI"/>
        </w:rPr>
        <w:t xml:space="preserve">boljše razumevanje družbene, jezikovne in kulturne raznolikosti ter odzivanje nanjo; </w:t>
      </w:r>
    </w:p>
    <w:p w14:paraId="7D3987AF" w14:textId="77777777" w:rsidR="00E03711" w:rsidRPr="001048FE" w:rsidRDefault="00E03711" w:rsidP="005115F2">
      <w:pPr>
        <w:pStyle w:val="Guide-NormalBulletpoints"/>
        <w:numPr>
          <w:ilvl w:val="0"/>
          <w:numId w:val="186"/>
        </w:numPr>
        <w:rPr>
          <w:lang w:val="sl-SI"/>
        </w:rPr>
      </w:pPr>
      <w:r w:rsidRPr="001048FE">
        <w:rPr>
          <w:lang w:val="sl-SI"/>
        </w:rPr>
        <w:t>več možnosti za izpolnjevanje potreb ljudi z manj priložnostmi;</w:t>
      </w:r>
    </w:p>
    <w:p w14:paraId="7D3987B0" w14:textId="77777777" w:rsidR="00E03711" w:rsidRPr="001048FE" w:rsidRDefault="00E03711" w:rsidP="005115F2">
      <w:pPr>
        <w:pStyle w:val="Guide-NormalBulletpoints"/>
        <w:numPr>
          <w:ilvl w:val="0"/>
          <w:numId w:val="186"/>
        </w:numPr>
        <w:rPr>
          <w:lang w:val="sl-SI"/>
        </w:rPr>
      </w:pPr>
      <w:r w:rsidRPr="001048FE">
        <w:rPr>
          <w:lang w:val="sl-SI"/>
        </w:rPr>
        <w:t xml:space="preserve">okrepljeno podpiranje in spodbujanje mobilnosti za učence; </w:t>
      </w:r>
    </w:p>
    <w:p w14:paraId="7D3987B1" w14:textId="77777777" w:rsidR="00E03711" w:rsidRPr="001048FE" w:rsidRDefault="00E03711" w:rsidP="005115F2">
      <w:pPr>
        <w:pStyle w:val="Guide-NormalBulletpoints"/>
        <w:numPr>
          <w:ilvl w:val="0"/>
          <w:numId w:val="186"/>
        </w:numPr>
        <w:rPr>
          <w:lang w:val="sl-SI"/>
        </w:rPr>
      </w:pPr>
      <w:r w:rsidRPr="001048FE">
        <w:rPr>
          <w:lang w:val="sl-SI"/>
        </w:rPr>
        <w:t>več priložnosti za strokovni in poklicni razvoj;</w:t>
      </w:r>
    </w:p>
    <w:p w14:paraId="7D3987B2" w14:textId="77777777" w:rsidR="00E03711" w:rsidRPr="001048FE" w:rsidRDefault="00E03711" w:rsidP="005115F2">
      <w:pPr>
        <w:pStyle w:val="Guide-NormalBulletpoints"/>
        <w:numPr>
          <w:ilvl w:val="0"/>
          <w:numId w:val="186"/>
        </w:numPr>
        <w:rPr>
          <w:lang w:val="sl-SI"/>
        </w:rPr>
      </w:pPr>
      <w:r w:rsidRPr="001048FE">
        <w:rPr>
          <w:lang w:val="sl-SI"/>
        </w:rPr>
        <w:t xml:space="preserve">izboljšano znanje tujih jezikov; </w:t>
      </w:r>
    </w:p>
    <w:p w14:paraId="7D3987B3" w14:textId="77777777" w:rsidR="00E03711" w:rsidRPr="001048FE" w:rsidRDefault="00E03711" w:rsidP="005115F2">
      <w:pPr>
        <w:pStyle w:val="Guide-NormalBulletpoints"/>
        <w:numPr>
          <w:ilvl w:val="0"/>
          <w:numId w:val="186"/>
        </w:numPr>
        <w:rPr>
          <w:lang w:val="sl-SI"/>
        </w:rPr>
      </w:pPr>
      <w:r w:rsidRPr="001048FE">
        <w:rPr>
          <w:lang w:val="sl-SI"/>
        </w:rPr>
        <w:t>okrepljena motivacija in zadovoljstvo v njihovem vsakodnevnem delu.</w:t>
      </w:r>
    </w:p>
    <w:p w14:paraId="7D3987B4" w14:textId="77777777" w:rsidR="00E03711" w:rsidRPr="001048FE" w:rsidRDefault="00E03711" w:rsidP="00142646">
      <w:pPr>
        <w:pStyle w:val="GUIDE-NORMAL"/>
        <w:rPr>
          <w:lang w:val="sl-SI"/>
        </w:rPr>
      </w:pPr>
      <w:r w:rsidRPr="001048FE">
        <w:rPr>
          <w:lang w:val="sl-SI"/>
        </w:rPr>
        <w:t>Na podlagi aktivnosti, ki jih podpira ta ukrep, se v zvezi s sodelujočimi organizacijami pričakujejo tudi naslednji rezultati:</w:t>
      </w:r>
    </w:p>
    <w:p w14:paraId="7D3987B5" w14:textId="77777777" w:rsidR="00E03711" w:rsidRPr="001048FE" w:rsidRDefault="00E03711" w:rsidP="005115F2">
      <w:pPr>
        <w:pStyle w:val="Guide-NormalBulletpoints"/>
        <w:numPr>
          <w:ilvl w:val="0"/>
          <w:numId w:val="187"/>
        </w:numPr>
        <w:rPr>
          <w:lang w:val="sl-SI"/>
        </w:rPr>
      </w:pPr>
      <w:r w:rsidRPr="001048FE">
        <w:rPr>
          <w:lang w:val="sl-SI"/>
        </w:rPr>
        <w:t>okrepljena</w:t>
      </w:r>
      <w:r w:rsidRPr="001048FE">
        <w:rPr>
          <w:spacing w:val="-19"/>
          <w:lang w:val="sl-SI"/>
        </w:rPr>
        <w:t xml:space="preserve"> </w:t>
      </w:r>
      <w:r w:rsidRPr="001048FE">
        <w:rPr>
          <w:lang w:val="sl-SI"/>
        </w:rPr>
        <w:t>zmogljivost</w:t>
      </w:r>
      <w:r w:rsidRPr="001048FE">
        <w:rPr>
          <w:spacing w:val="-20"/>
          <w:lang w:val="sl-SI"/>
        </w:rPr>
        <w:t xml:space="preserve"> </w:t>
      </w:r>
      <w:r w:rsidRPr="001048FE">
        <w:rPr>
          <w:lang w:val="sl-SI"/>
        </w:rPr>
        <w:t>delovanja</w:t>
      </w:r>
      <w:r w:rsidRPr="001048FE">
        <w:rPr>
          <w:spacing w:val="-20"/>
          <w:lang w:val="sl-SI"/>
        </w:rPr>
        <w:t xml:space="preserve"> </w:t>
      </w:r>
      <w:r w:rsidRPr="001048FE">
        <w:rPr>
          <w:lang w:val="sl-SI"/>
        </w:rPr>
        <w:t>na</w:t>
      </w:r>
      <w:r w:rsidRPr="001048FE">
        <w:rPr>
          <w:spacing w:val="-20"/>
          <w:lang w:val="sl-SI"/>
        </w:rPr>
        <w:t xml:space="preserve"> </w:t>
      </w:r>
      <w:r w:rsidRPr="001048FE">
        <w:rPr>
          <w:lang w:val="sl-SI"/>
        </w:rPr>
        <w:t>ravni</w:t>
      </w:r>
      <w:r w:rsidRPr="001048FE">
        <w:rPr>
          <w:spacing w:val="-20"/>
          <w:lang w:val="sl-SI"/>
        </w:rPr>
        <w:t xml:space="preserve"> </w:t>
      </w:r>
      <w:r w:rsidRPr="001048FE">
        <w:rPr>
          <w:lang w:val="sl-SI"/>
        </w:rPr>
        <w:t>EU/mednarodni</w:t>
      </w:r>
      <w:r w:rsidRPr="001048FE">
        <w:rPr>
          <w:spacing w:val="-20"/>
          <w:lang w:val="sl-SI"/>
        </w:rPr>
        <w:t xml:space="preserve"> </w:t>
      </w:r>
      <w:r w:rsidRPr="001048FE">
        <w:rPr>
          <w:lang w:val="sl-SI"/>
        </w:rPr>
        <w:t>ravni:</w:t>
      </w:r>
      <w:r w:rsidRPr="001048FE">
        <w:rPr>
          <w:spacing w:val="-20"/>
          <w:lang w:val="sl-SI"/>
        </w:rPr>
        <w:t xml:space="preserve"> </w:t>
      </w:r>
      <w:r w:rsidRPr="001048FE">
        <w:rPr>
          <w:lang w:val="sl-SI"/>
        </w:rPr>
        <w:t>boljše</w:t>
      </w:r>
      <w:r w:rsidRPr="001048FE">
        <w:rPr>
          <w:spacing w:val="-20"/>
          <w:lang w:val="sl-SI"/>
        </w:rPr>
        <w:t xml:space="preserve"> </w:t>
      </w:r>
      <w:r w:rsidRPr="001048FE">
        <w:rPr>
          <w:lang w:val="sl-SI"/>
        </w:rPr>
        <w:t>vodstvene</w:t>
      </w:r>
      <w:r w:rsidRPr="001048FE">
        <w:rPr>
          <w:spacing w:val="-20"/>
          <w:lang w:val="sl-SI"/>
        </w:rPr>
        <w:t xml:space="preserve"> </w:t>
      </w:r>
      <w:r w:rsidRPr="001048FE">
        <w:rPr>
          <w:lang w:val="sl-SI"/>
        </w:rPr>
        <w:t>sposobnosti in strategije internacionalizacije; okrepljeno sodelovanje s partnerji iz drugih držav; dodeljevanje višjih finančnih sredstev (ne samo sredstev EU) za organizacijo projektov EU/mednarodnih projektov; večja kakovost pri pripravi, izvajanju, sprotnem in nadaljnjem spremljanju projektov EU/mednarodnih</w:t>
      </w:r>
      <w:r w:rsidRPr="001048FE">
        <w:rPr>
          <w:spacing w:val="-7"/>
          <w:lang w:val="sl-SI"/>
        </w:rPr>
        <w:t xml:space="preserve"> </w:t>
      </w:r>
      <w:r w:rsidRPr="001048FE">
        <w:rPr>
          <w:lang w:val="sl-SI"/>
        </w:rPr>
        <w:t>projektov;</w:t>
      </w:r>
    </w:p>
    <w:p w14:paraId="7D3987B6" w14:textId="77777777" w:rsidR="00E03711" w:rsidRPr="001048FE" w:rsidRDefault="00E03711" w:rsidP="005115F2">
      <w:pPr>
        <w:pStyle w:val="Guide-NormalBulletpoints"/>
        <w:numPr>
          <w:ilvl w:val="0"/>
          <w:numId w:val="187"/>
        </w:numPr>
        <w:rPr>
          <w:lang w:val="sl-SI"/>
        </w:rPr>
      </w:pPr>
      <w:r w:rsidRPr="001048FE">
        <w:rPr>
          <w:lang w:val="sl-SI"/>
        </w:rPr>
        <w:t>inovativna in boljša usmerjenost v njihove ciljne skupine, na primer z zagotavljanjem naslednjega:</w:t>
      </w:r>
      <w:r w:rsidRPr="001048FE">
        <w:rPr>
          <w:spacing w:val="-12"/>
          <w:lang w:val="sl-SI"/>
        </w:rPr>
        <w:t xml:space="preserve"> </w:t>
      </w:r>
      <w:r w:rsidRPr="001048FE">
        <w:rPr>
          <w:lang w:val="sl-SI"/>
        </w:rPr>
        <w:t>več</w:t>
      </w:r>
      <w:r w:rsidRPr="001048FE">
        <w:rPr>
          <w:spacing w:val="-12"/>
          <w:lang w:val="sl-SI"/>
        </w:rPr>
        <w:t xml:space="preserve"> </w:t>
      </w:r>
      <w:r w:rsidRPr="001048FE">
        <w:rPr>
          <w:lang w:val="sl-SI"/>
        </w:rPr>
        <w:t>privlačnih</w:t>
      </w:r>
      <w:r w:rsidRPr="001048FE">
        <w:rPr>
          <w:spacing w:val="-12"/>
          <w:lang w:val="sl-SI"/>
        </w:rPr>
        <w:t xml:space="preserve"> </w:t>
      </w:r>
      <w:r w:rsidRPr="001048FE">
        <w:rPr>
          <w:lang w:val="sl-SI"/>
        </w:rPr>
        <w:t>programov</w:t>
      </w:r>
      <w:r w:rsidRPr="001048FE">
        <w:rPr>
          <w:spacing w:val="-12"/>
          <w:lang w:val="sl-SI"/>
        </w:rPr>
        <w:t xml:space="preserve"> </w:t>
      </w:r>
      <w:r w:rsidRPr="001048FE">
        <w:rPr>
          <w:lang w:val="sl-SI"/>
        </w:rPr>
        <w:t>za</w:t>
      </w:r>
      <w:r w:rsidRPr="001048FE">
        <w:rPr>
          <w:spacing w:val="-12"/>
          <w:lang w:val="sl-SI"/>
        </w:rPr>
        <w:t xml:space="preserve"> </w:t>
      </w:r>
      <w:r w:rsidRPr="001048FE">
        <w:rPr>
          <w:lang w:val="sl-SI"/>
        </w:rPr>
        <w:t>študente,</w:t>
      </w:r>
      <w:r w:rsidRPr="001048FE">
        <w:rPr>
          <w:spacing w:val="-12"/>
          <w:lang w:val="sl-SI"/>
        </w:rPr>
        <w:t xml:space="preserve"> </w:t>
      </w:r>
      <w:r w:rsidRPr="001048FE">
        <w:rPr>
          <w:lang w:val="sl-SI"/>
        </w:rPr>
        <w:t>praktikante,</w:t>
      </w:r>
      <w:r w:rsidRPr="001048FE">
        <w:rPr>
          <w:spacing w:val="-12"/>
          <w:lang w:val="sl-SI"/>
        </w:rPr>
        <w:t xml:space="preserve"> </w:t>
      </w:r>
      <w:r w:rsidRPr="001048FE">
        <w:rPr>
          <w:lang w:val="sl-SI"/>
        </w:rPr>
        <w:t>vajence,</w:t>
      </w:r>
      <w:r w:rsidRPr="001048FE">
        <w:rPr>
          <w:spacing w:val="-12"/>
          <w:lang w:val="sl-SI"/>
        </w:rPr>
        <w:t xml:space="preserve"> </w:t>
      </w:r>
      <w:r w:rsidRPr="001048FE">
        <w:rPr>
          <w:lang w:val="sl-SI"/>
        </w:rPr>
        <w:t>mlade</w:t>
      </w:r>
      <w:r w:rsidRPr="001048FE">
        <w:rPr>
          <w:spacing w:val="-12"/>
          <w:lang w:val="sl-SI"/>
        </w:rPr>
        <w:t xml:space="preserve"> </w:t>
      </w:r>
      <w:r w:rsidRPr="001048FE">
        <w:rPr>
          <w:lang w:val="sl-SI"/>
        </w:rPr>
        <w:t>in</w:t>
      </w:r>
      <w:r w:rsidRPr="001048FE">
        <w:rPr>
          <w:spacing w:val="-12"/>
          <w:lang w:val="sl-SI"/>
        </w:rPr>
        <w:t xml:space="preserve"> </w:t>
      </w:r>
      <w:r w:rsidRPr="001048FE">
        <w:rPr>
          <w:lang w:val="sl-SI"/>
        </w:rPr>
        <w:t>prostovoljce v skladu z njihovimi potrebami in pričakovanji; boljše kvalifikacije osebja v poučevanju in usposabljanju;</w:t>
      </w:r>
      <w:r w:rsidRPr="001048FE">
        <w:rPr>
          <w:spacing w:val="-8"/>
          <w:lang w:val="sl-SI"/>
        </w:rPr>
        <w:t xml:space="preserve"> </w:t>
      </w:r>
      <w:r w:rsidRPr="001048FE">
        <w:rPr>
          <w:lang w:val="sl-SI"/>
        </w:rPr>
        <w:t>boljši</w:t>
      </w:r>
      <w:r w:rsidRPr="001048FE">
        <w:rPr>
          <w:spacing w:val="-8"/>
          <w:lang w:val="sl-SI"/>
        </w:rPr>
        <w:t xml:space="preserve"> </w:t>
      </w:r>
      <w:r w:rsidRPr="001048FE">
        <w:rPr>
          <w:lang w:val="sl-SI"/>
        </w:rPr>
        <w:t>postopki</w:t>
      </w:r>
      <w:r w:rsidRPr="001048FE">
        <w:rPr>
          <w:spacing w:val="-8"/>
          <w:lang w:val="sl-SI"/>
        </w:rPr>
        <w:t xml:space="preserve"> </w:t>
      </w:r>
      <w:r w:rsidRPr="001048FE">
        <w:rPr>
          <w:lang w:val="sl-SI"/>
        </w:rPr>
        <w:t>priznavanja</w:t>
      </w:r>
      <w:r w:rsidRPr="001048FE">
        <w:rPr>
          <w:spacing w:val="-8"/>
          <w:lang w:val="sl-SI"/>
        </w:rPr>
        <w:t xml:space="preserve"> </w:t>
      </w:r>
      <w:r w:rsidRPr="001048FE">
        <w:rPr>
          <w:lang w:val="sl-SI"/>
        </w:rPr>
        <w:t>in</w:t>
      </w:r>
      <w:r w:rsidRPr="001048FE">
        <w:rPr>
          <w:spacing w:val="-8"/>
          <w:lang w:val="sl-SI"/>
        </w:rPr>
        <w:t xml:space="preserve"> </w:t>
      </w:r>
      <w:r w:rsidRPr="001048FE">
        <w:rPr>
          <w:lang w:val="sl-SI"/>
        </w:rPr>
        <w:t>potrjevanja</w:t>
      </w:r>
      <w:r w:rsidRPr="001048FE">
        <w:rPr>
          <w:spacing w:val="-8"/>
          <w:lang w:val="sl-SI"/>
        </w:rPr>
        <w:t xml:space="preserve"> </w:t>
      </w:r>
      <w:r w:rsidRPr="001048FE">
        <w:rPr>
          <w:lang w:val="sl-SI"/>
        </w:rPr>
        <w:t>kompetenc,</w:t>
      </w:r>
      <w:r w:rsidRPr="001048FE">
        <w:rPr>
          <w:spacing w:val="-8"/>
          <w:lang w:val="sl-SI"/>
        </w:rPr>
        <w:t xml:space="preserve"> </w:t>
      </w:r>
      <w:r w:rsidRPr="001048FE">
        <w:rPr>
          <w:lang w:val="sl-SI"/>
        </w:rPr>
        <w:t>pridobljenih</w:t>
      </w:r>
      <w:r w:rsidRPr="001048FE">
        <w:rPr>
          <w:spacing w:val="-8"/>
          <w:lang w:val="sl-SI"/>
        </w:rPr>
        <w:t xml:space="preserve"> </w:t>
      </w:r>
      <w:r w:rsidRPr="001048FE">
        <w:rPr>
          <w:lang w:val="sl-SI"/>
        </w:rPr>
        <w:t>med</w:t>
      </w:r>
      <w:r w:rsidRPr="001048FE">
        <w:rPr>
          <w:spacing w:val="-8"/>
          <w:lang w:val="sl-SI"/>
        </w:rPr>
        <w:t xml:space="preserve"> </w:t>
      </w:r>
      <w:r w:rsidRPr="001048FE">
        <w:rPr>
          <w:lang w:val="sl-SI"/>
        </w:rPr>
        <w:t>učenjem v tujini; učinkovitejše aktivnosti v korist lokalnih skupnosti, boljše metode in prakse mladinskega dela za aktivno udeleževanje mladih in/ali vključevanje skupin z manj priložnostmi</w:t>
      </w:r>
      <w:r w:rsidRPr="001048FE">
        <w:rPr>
          <w:spacing w:val="-2"/>
          <w:lang w:val="sl-SI"/>
        </w:rPr>
        <w:t xml:space="preserve"> </w:t>
      </w:r>
      <w:r w:rsidRPr="001048FE">
        <w:rPr>
          <w:lang w:val="sl-SI"/>
        </w:rPr>
        <w:t>itd.;</w:t>
      </w:r>
    </w:p>
    <w:p w14:paraId="7D3987B7" w14:textId="77777777" w:rsidR="00E03711" w:rsidRPr="001048FE" w:rsidRDefault="00E03711" w:rsidP="005115F2">
      <w:pPr>
        <w:pStyle w:val="Guide-NormalBulletpoints"/>
        <w:numPr>
          <w:ilvl w:val="0"/>
          <w:numId w:val="187"/>
        </w:numPr>
        <w:rPr>
          <w:lang w:val="sl-SI"/>
        </w:rPr>
      </w:pPr>
      <w:r w:rsidRPr="001048FE">
        <w:rPr>
          <w:lang w:val="sl-SI"/>
        </w:rPr>
        <w:t>bolj sodobno, dinamično, predano in strokovno okolje v organizaciji: pripravljenost za vključevanje dobrih praks in novih metod v vsakodnevne aktivnosti; odprtost do sinergij z organizacijami, ki so aktivne na drugih področjih družbe, izobraževanja in zaposlovanja; strateško</w:t>
      </w:r>
      <w:r w:rsidRPr="001048FE">
        <w:rPr>
          <w:spacing w:val="-21"/>
          <w:lang w:val="sl-SI"/>
        </w:rPr>
        <w:t xml:space="preserve"> </w:t>
      </w:r>
      <w:r w:rsidRPr="001048FE">
        <w:rPr>
          <w:lang w:val="sl-SI"/>
        </w:rPr>
        <w:t>načrtovanje</w:t>
      </w:r>
      <w:r w:rsidRPr="001048FE">
        <w:rPr>
          <w:spacing w:val="-21"/>
          <w:lang w:val="sl-SI"/>
        </w:rPr>
        <w:t xml:space="preserve"> </w:t>
      </w:r>
      <w:r w:rsidRPr="001048FE">
        <w:rPr>
          <w:lang w:val="sl-SI"/>
        </w:rPr>
        <w:t>poklicnega</w:t>
      </w:r>
      <w:r w:rsidRPr="001048FE">
        <w:rPr>
          <w:spacing w:val="-21"/>
          <w:lang w:val="sl-SI"/>
        </w:rPr>
        <w:t xml:space="preserve"> </w:t>
      </w:r>
      <w:r w:rsidRPr="001048FE">
        <w:rPr>
          <w:lang w:val="sl-SI"/>
        </w:rPr>
        <w:t>razvoja</w:t>
      </w:r>
      <w:r w:rsidRPr="001048FE">
        <w:rPr>
          <w:spacing w:val="-21"/>
          <w:lang w:val="sl-SI"/>
        </w:rPr>
        <w:t xml:space="preserve"> </w:t>
      </w:r>
      <w:r w:rsidRPr="001048FE">
        <w:rPr>
          <w:lang w:val="sl-SI"/>
        </w:rPr>
        <w:t>njihovega</w:t>
      </w:r>
      <w:r w:rsidRPr="001048FE">
        <w:rPr>
          <w:spacing w:val="-21"/>
          <w:lang w:val="sl-SI"/>
        </w:rPr>
        <w:t xml:space="preserve"> </w:t>
      </w:r>
      <w:r w:rsidRPr="001048FE">
        <w:rPr>
          <w:lang w:val="sl-SI"/>
        </w:rPr>
        <w:t>osebja</w:t>
      </w:r>
      <w:r w:rsidRPr="001048FE">
        <w:rPr>
          <w:spacing w:val="-20"/>
          <w:lang w:val="sl-SI"/>
        </w:rPr>
        <w:t xml:space="preserve"> </w:t>
      </w:r>
      <w:r w:rsidRPr="001048FE">
        <w:rPr>
          <w:lang w:val="sl-SI"/>
        </w:rPr>
        <w:t>glede</w:t>
      </w:r>
      <w:r w:rsidRPr="001048FE">
        <w:rPr>
          <w:spacing w:val="-21"/>
          <w:lang w:val="sl-SI"/>
        </w:rPr>
        <w:t xml:space="preserve"> </w:t>
      </w:r>
      <w:r w:rsidRPr="001048FE">
        <w:rPr>
          <w:lang w:val="sl-SI"/>
        </w:rPr>
        <w:t>na</w:t>
      </w:r>
      <w:r w:rsidRPr="001048FE">
        <w:rPr>
          <w:spacing w:val="-21"/>
          <w:lang w:val="sl-SI"/>
        </w:rPr>
        <w:t xml:space="preserve"> </w:t>
      </w:r>
      <w:r w:rsidRPr="001048FE">
        <w:rPr>
          <w:lang w:val="sl-SI"/>
        </w:rPr>
        <w:t>potrebe</w:t>
      </w:r>
      <w:r w:rsidRPr="001048FE">
        <w:rPr>
          <w:spacing w:val="-21"/>
          <w:lang w:val="sl-SI"/>
        </w:rPr>
        <w:t xml:space="preserve"> </w:t>
      </w:r>
      <w:r w:rsidRPr="001048FE">
        <w:rPr>
          <w:lang w:val="sl-SI"/>
        </w:rPr>
        <w:t>posameznikov</w:t>
      </w:r>
      <w:r w:rsidRPr="001048FE">
        <w:rPr>
          <w:spacing w:val="-21"/>
          <w:lang w:val="sl-SI"/>
        </w:rPr>
        <w:t xml:space="preserve"> </w:t>
      </w:r>
      <w:r w:rsidRPr="001048FE">
        <w:rPr>
          <w:lang w:val="sl-SI"/>
        </w:rPr>
        <w:t>in cilje organizacije; po potrebi sposobnost privabiti odlične študente in akademsko osebje iz držav po vsem</w:t>
      </w:r>
      <w:r w:rsidRPr="001048FE">
        <w:rPr>
          <w:spacing w:val="-9"/>
          <w:lang w:val="sl-SI"/>
        </w:rPr>
        <w:t xml:space="preserve"> </w:t>
      </w:r>
      <w:r w:rsidRPr="001048FE">
        <w:rPr>
          <w:lang w:val="sl-SI"/>
        </w:rPr>
        <w:t>svetu.</w:t>
      </w:r>
    </w:p>
    <w:p w14:paraId="7D3987B8" w14:textId="77777777" w:rsidR="00E03711" w:rsidRPr="001048FE" w:rsidRDefault="00E03711" w:rsidP="00142646">
      <w:pPr>
        <w:pStyle w:val="GUIDE-NORMAL"/>
        <w:rPr>
          <w:lang w:val="sl-SI"/>
        </w:rPr>
      </w:pPr>
      <w:r w:rsidRPr="001048FE">
        <w:rPr>
          <w:lang w:val="sl-SI"/>
        </w:rPr>
        <w:t>Skupni dolgoročni vpliv več tisoč projektov, ki jih podpira ta ključni ukrep, bo predvidoma učinek na sisteme izobraževanja, usposabljanja in mladine v sodelujočih državah, kar bo spodbudilo reforme politik in privabilo nova sredstva za priložnosti mobilnosti v Evropi in drugod po svetu.</w:t>
      </w:r>
    </w:p>
    <w:p w14:paraId="7D3987B9" w14:textId="77777777" w:rsidR="00E03711" w:rsidRPr="001048FE" w:rsidRDefault="00E03711" w:rsidP="00142646">
      <w:pPr>
        <w:pStyle w:val="Guide-Heading5"/>
        <w:rPr>
          <w:lang w:val="sl-SI"/>
        </w:rPr>
      </w:pPr>
      <w:r w:rsidRPr="001048FE">
        <w:rPr>
          <w:lang w:val="sl-SI"/>
        </w:rPr>
        <w:t>Kakšni so cilji projekta mobilnosti?</w:t>
      </w:r>
    </w:p>
    <w:p w14:paraId="7D3987BA" w14:textId="77777777" w:rsidR="00E03711" w:rsidRPr="001048FE" w:rsidRDefault="00E03711" w:rsidP="00142646">
      <w:pPr>
        <w:pStyle w:val="GUIDE-NORMAL"/>
        <w:rPr>
          <w:lang w:val="sl-SI"/>
        </w:rPr>
      </w:pPr>
      <w:r w:rsidRPr="001048FE">
        <w:rPr>
          <w:lang w:val="sl-SI"/>
        </w:rPr>
        <w:t>Aktivnosti na področju izobraževanja, usposabljanja in mladine imajo pomembno vlogo pri zagotavljanju</w:t>
      </w:r>
      <w:r w:rsidRPr="001048FE">
        <w:rPr>
          <w:spacing w:val="-7"/>
          <w:lang w:val="sl-SI"/>
        </w:rPr>
        <w:t xml:space="preserve"> </w:t>
      </w:r>
      <w:r w:rsidRPr="001048FE">
        <w:rPr>
          <w:lang w:val="sl-SI"/>
        </w:rPr>
        <w:t>potrebnih</w:t>
      </w:r>
      <w:r w:rsidRPr="001048FE">
        <w:rPr>
          <w:spacing w:val="-7"/>
          <w:lang w:val="sl-SI"/>
        </w:rPr>
        <w:t xml:space="preserve"> </w:t>
      </w:r>
      <w:r w:rsidRPr="001048FE">
        <w:rPr>
          <w:lang w:val="sl-SI"/>
        </w:rPr>
        <w:t>spretnosti</w:t>
      </w:r>
      <w:r w:rsidRPr="001048FE">
        <w:rPr>
          <w:spacing w:val="-7"/>
          <w:lang w:val="sl-SI"/>
        </w:rPr>
        <w:t xml:space="preserve"> </w:t>
      </w:r>
      <w:r w:rsidRPr="001048FE">
        <w:rPr>
          <w:lang w:val="sl-SI"/>
        </w:rPr>
        <w:t>za</w:t>
      </w:r>
      <w:r w:rsidRPr="001048FE">
        <w:rPr>
          <w:spacing w:val="-7"/>
          <w:lang w:val="sl-SI"/>
        </w:rPr>
        <w:t xml:space="preserve"> </w:t>
      </w:r>
      <w:r w:rsidRPr="001048FE">
        <w:rPr>
          <w:lang w:val="sl-SI"/>
        </w:rPr>
        <w:t>ljudi</w:t>
      </w:r>
      <w:r w:rsidRPr="001048FE">
        <w:rPr>
          <w:spacing w:val="-7"/>
          <w:lang w:val="sl-SI"/>
        </w:rPr>
        <w:t xml:space="preserve"> </w:t>
      </w:r>
      <w:r w:rsidRPr="001048FE">
        <w:rPr>
          <w:lang w:val="sl-SI"/>
        </w:rPr>
        <w:t>vseh</w:t>
      </w:r>
      <w:r w:rsidRPr="001048FE">
        <w:rPr>
          <w:spacing w:val="-7"/>
          <w:lang w:val="sl-SI"/>
        </w:rPr>
        <w:t xml:space="preserve"> </w:t>
      </w:r>
      <w:r w:rsidRPr="001048FE">
        <w:rPr>
          <w:lang w:val="sl-SI"/>
        </w:rPr>
        <w:t>starosti,</w:t>
      </w:r>
      <w:r w:rsidRPr="001048FE">
        <w:rPr>
          <w:spacing w:val="-7"/>
          <w:lang w:val="sl-SI"/>
        </w:rPr>
        <w:t xml:space="preserve"> </w:t>
      </w:r>
      <w:r w:rsidRPr="001048FE">
        <w:rPr>
          <w:lang w:val="sl-SI"/>
        </w:rPr>
        <w:t>da</w:t>
      </w:r>
      <w:r w:rsidRPr="001048FE">
        <w:rPr>
          <w:spacing w:val="-7"/>
          <w:lang w:val="sl-SI"/>
        </w:rPr>
        <w:t xml:space="preserve"> </w:t>
      </w:r>
      <w:r w:rsidRPr="001048FE">
        <w:rPr>
          <w:lang w:val="sl-SI"/>
        </w:rPr>
        <w:t>lahko</w:t>
      </w:r>
      <w:r w:rsidRPr="001048FE">
        <w:rPr>
          <w:spacing w:val="-7"/>
          <w:lang w:val="sl-SI"/>
        </w:rPr>
        <w:t xml:space="preserve"> </w:t>
      </w:r>
      <w:r w:rsidRPr="001048FE">
        <w:rPr>
          <w:lang w:val="sl-SI"/>
        </w:rPr>
        <w:t>aktivno</w:t>
      </w:r>
      <w:r w:rsidRPr="001048FE">
        <w:rPr>
          <w:spacing w:val="-7"/>
          <w:lang w:val="sl-SI"/>
        </w:rPr>
        <w:t xml:space="preserve"> </w:t>
      </w:r>
      <w:r w:rsidRPr="001048FE">
        <w:rPr>
          <w:lang w:val="sl-SI"/>
        </w:rPr>
        <w:t>sodelujejo</w:t>
      </w:r>
      <w:r w:rsidRPr="001048FE">
        <w:rPr>
          <w:spacing w:val="-7"/>
          <w:lang w:val="sl-SI"/>
        </w:rPr>
        <w:t xml:space="preserve"> </w:t>
      </w:r>
      <w:r w:rsidRPr="001048FE">
        <w:rPr>
          <w:lang w:val="sl-SI"/>
        </w:rPr>
        <w:t>na</w:t>
      </w:r>
      <w:r w:rsidRPr="001048FE">
        <w:rPr>
          <w:spacing w:val="-7"/>
          <w:lang w:val="sl-SI"/>
        </w:rPr>
        <w:t xml:space="preserve"> </w:t>
      </w:r>
      <w:r w:rsidRPr="001048FE">
        <w:rPr>
          <w:lang w:val="sl-SI"/>
        </w:rPr>
        <w:t>trgu</w:t>
      </w:r>
      <w:r w:rsidRPr="001048FE">
        <w:rPr>
          <w:spacing w:val="-7"/>
          <w:lang w:val="sl-SI"/>
        </w:rPr>
        <w:t xml:space="preserve"> </w:t>
      </w:r>
      <w:r w:rsidRPr="001048FE">
        <w:rPr>
          <w:lang w:val="sl-SI"/>
        </w:rPr>
        <w:t>dela</w:t>
      </w:r>
      <w:r w:rsidRPr="001048FE">
        <w:rPr>
          <w:spacing w:val="-7"/>
          <w:lang w:val="sl-SI"/>
        </w:rPr>
        <w:t xml:space="preserve"> </w:t>
      </w:r>
      <w:r w:rsidRPr="001048FE">
        <w:rPr>
          <w:lang w:val="sl-SI"/>
        </w:rPr>
        <w:t>in</w:t>
      </w:r>
      <w:r w:rsidRPr="001048FE">
        <w:rPr>
          <w:spacing w:val="-7"/>
          <w:lang w:val="sl-SI"/>
        </w:rPr>
        <w:t xml:space="preserve"> </w:t>
      </w:r>
      <w:r w:rsidRPr="001048FE">
        <w:rPr>
          <w:lang w:val="sl-SI"/>
        </w:rPr>
        <w:t>v družbi</w:t>
      </w:r>
      <w:r w:rsidRPr="001048FE">
        <w:rPr>
          <w:spacing w:val="-12"/>
          <w:lang w:val="sl-SI"/>
        </w:rPr>
        <w:t xml:space="preserve"> </w:t>
      </w:r>
      <w:r w:rsidRPr="001048FE">
        <w:rPr>
          <w:lang w:val="sl-SI"/>
        </w:rPr>
        <w:t>na</w:t>
      </w:r>
      <w:r w:rsidRPr="001048FE">
        <w:rPr>
          <w:spacing w:val="-12"/>
          <w:lang w:val="sl-SI"/>
        </w:rPr>
        <w:t xml:space="preserve"> </w:t>
      </w:r>
      <w:r w:rsidRPr="001048FE">
        <w:rPr>
          <w:lang w:val="sl-SI"/>
        </w:rPr>
        <w:t>splošno.</w:t>
      </w:r>
      <w:r w:rsidRPr="001048FE">
        <w:rPr>
          <w:spacing w:val="-12"/>
          <w:lang w:val="sl-SI"/>
        </w:rPr>
        <w:t xml:space="preserve"> </w:t>
      </w:r>
      <w:r w:rsidRPr="001048FE">
        <w:rPr>
          <w:lang w:val="sl-SI"/>
        </w:rPr>
        <w:t>Projekti</w:t>
      </w:r>
      <w:r w:rsidRPr="001048FE">
        <w:rPr>
          <w:spacing w:val="-12"/>
          <w:lang w:val="sl-SI"/>
        </w:rPr>
        <w:t xml:space="preserve"> </w:t>
      </w:r>
      <w:r w:rsidRPr="001048FE">
        <w:rPr>
          <w:lang w:val="sl-SI"/>
        </w:rPr>
        <w:t>v</w:t>
      </w:r>
      <w:r w:rsidRPr="001048FE">
        <w:rPr>
          <w:spacing w:val="-12"/>
          <w:lang w:val="sl-SI"/>
        </w:rPr>
        <w:t xml:space="preserve"> </w:t>
      </w:r>
      <w:r w:rsidRPr="001048FE">
        <w:rPr>
          <w:lang w:val="sl-SI"/>
        </w:rPr>
        <w:t>okviru</w:t>
      </w:r>
      <w:r w:rsidRPr="001048FE">
        <w:rPr>
          <w:spacing w:val="-11"/>
          <w:lang w:val="sl-SI"/>
        </w:rPr>
        <w:t xml:space="preserve"> </w:t>
      </w:r>
      <w:r w:rsidRPr="001048FE">
        <w:rPr>
          <w:lang w:val="sl-SI"/>
        </w:rPr>
        <w:t>tega</w:t>
      </w:r>
      <w:r w:rsidRPr="001048FE">
        <w:rPr>
          <w:spacing w:val="-12"/>
          <w:lang w:val="sl-SI"/>
        </w:rPr>
        <w:t xml:space="preserve"> </w:t>
      </w:r>
      <w:r w:rsidRPr="001048FE">
        <w:rPr>
          <w:lang w:val="sl-SI"/>
        </w:rPr>
        <w:t>ukrepa</w:t>
      </w:r>
      <w:r w:rsidRPr="001048FE">
        <w:rPr>
          <w:spacing w:val="-12"/>
          <w:lang w:val="sl-SI"/>
        </w:rPr>
        <w:t xml:space="preserve"> </w:t>
      </w:r>
      <w:r w:rsidRPr="001048FE">
        <w:rPr>
          <w:lang w:val="sl-SI"/>
        </w:rPr>
        <w:t>spodbujajo</w:t>
      </w:r>
      <w:r w:rsidRPr="001048FE">
        <w:rPr>
          <w:spacing w:val="-12"/>
          <w:lang w:val="sl-SI"/>
        </w:rPr>
        <w:t xml:space="preserve"> </w:t>
      </w:r>
      <w:r w:rsidRPr="001048FE">
        <w:rPr>
          <w:lang w:val="sl-SI"/>
        </w:rPr>
        <w:t>mednarodno</w:t>
      </w:r>
      <w:r w:rsidRPr="001048FE">
        <w:rPr>
          <w:spacing w:val="-12"/>
          <w:lang w:val="sl-SI"/>
        </w:rPr>
        <w:t xml:space="preserve"> </w:t>
      </w:r>
      <w:r w:rsidRPr="001048FE">
        <w:rPr>
          <w:lang w:val="sl-SI"/>
        </w:rPr>
        <w:t>mobilnost,</w:t>
      </w:r>
      <w:r w:rsidRPr="001048FE">
        <w:rPr>
          <w:spacing w:val="-12"/>
          <w:lang w:val="sl-SI"/>
        </w:rPr>
        <w:t xml:space="preserve"> </w:t>
      </w:r>
      <w:r w:rsidRPr="001048FE">
        <w:rPr>
          <w:lang w:val="sl-SI"/>
        </w:rPr>
        <w:t>ciljno</w:t>
      </w:r>
      <w:r w:rsidRPr="001048FE">
        <w:rPr>
          <w:spacing w:val="-12"/>
          <w:lang w:val="sl-SI"/>
        </w:rPr>
        <w:t xml:space="preserve"> </w:t>
      </w:r>
      <w:r w:rsidRPr="001048FE">
        <w:rPr>
          <w:lang w:val="sl-SI"/>
        </w:rPr>
        <w:t>usmerjeno v</w:t>
      </w:r>
      <w:r w:rsidRPr="001048FE">
        <w:rPr>
          <w:spacing w:val="-12"/>
          <w:lang w:val="sl-SI"/>
        </w:rPr>
        <w:t xml:space="preserve"> </w:t>
      </w:r>
      <w:r w:rsidRPr="001048FE">
        <w:rPr>
          <w:lang w:val="sl-SI"/>
        </w:rPr>
        <w:t>učence</w:t>
      </w:r>
      <w:r w:rsidRPr="001048FE">
        <w:rPr>
          <w:spacing w:val="-12"/>
          <w:lang w:val="sl-SI"/>
        </w:rPr>
        <w:t xml:space="preserve"> </w:t>
      </w:r>
      <w:r w:rsidRPr="001048FE">
        <w:rPr>
          <w:lang w:val="sl-SI"/>
        </w:rPr>
        <w:t>(študente,</w:t>
      </w:r>
      <w:r w:rsidRPr="001048FE">
        <w:rPr>
          <w:spacing w:val="-12"/>
          <w:lang w:val="sl-SI"/>
        </w:rPr>
        <w:t xml:space="preserve"> </w:t>
      </w:r>
      <w:r w:rsidRPr="001048FE">
        <w:rPr>
          <w:lang w:val="sl-SI"/>
        </w:rPr>
        <w:t>praktikante,</w:t>
      </w:r>
      <w:r w:rsidRPr="001048FE">
        <w:rPr>
          <w:spacing w:val="-12"/>
          <w:lang w:val="sl-SI"/>
        </w:rPr>
        <w:t xml:space="preserve"> </w:t>
      </w:r>
      <w:r w:rsidRPr="001048FE">
        <w:rPr>
          <w:lang w:val="sl-SI"/>
        </w:rPr>
        <w:t>vajence,</w:t>
      </w:r>
      <w:r w:rsidRPr="001048FE">
        <w:rPr>
          <w:spacing w:val="-12"/>
          <w:lang w:val="sl-SI"/>
        </w:rPr>
        <w:t xml:space="preserve"> </w:t>
      </w:r>
      <w:r w:rsidRPr="001048FE">
        <w:rPr>
          <w:lang w:val="sl-SI"/>
        </w:rPr>
        <w:t>mlade)</w:t>
      </w:r>
      <w:r w:rsidRPr="001048FE">
        <w:rPr>
          <w:spacing w:val="-12"/>
          <w:lang w:val="sl-SI"/>
        </w:rPr>
        <w:t xml:space="preserve"> </w:t>
      </w:r>
      <w:r w:rsidRPr="001048FE">
        <w:rPr>
          <w:lang w:val="sl-SI"/>
        </w:rPr>
        <w:t>in</w:t>
      </w:r>
      <w:r w:rsidRPr="001048FE">
        <w:rPr>
          <w:spacing w:val="-12"/>
          <w:lang w:val="sl-SI"/>
        </w:rPr>
        <w:t xml:space="preserve"> </w:t>
      </w:r>
      <w:r w:rsidRPr="001048FE">
        <w:rPr>
          <w:lang w:val="sl-SI"/>
        </w:rPr>
        <w:t>osebje</w:t>
      </w:r>
      <w:r w:rsidRPr="001048FE">
        <w:rPr>
          <w:spacing w:val="-11"/>
          <w:lang w:val="sl-SI"/>
        </w:rPr>
        <w:t xml:space="preserve"> </w:t>
      </w:r>
      <w:r w:rsidRPr="001048FE">
        <w:rPr>
          <w:lang w:val="sl-SI"/>
        </w:rPr>
        <w:t>(profesorje,</w:t>
      </w:r>
      <w:r w:rsidRPr="001048FE">
        <w:rPr>
          <w:spacing w:val="-12"/>
          <w:lang w:val="sl-SI"/>
        </w:rPr>
        <w:t xml:space="preserve"> </w:t>
      </w:r>
      <w:r w:rsidRPr="001048FE">
        <w:rPr>
          <w:lang w:val="sl-SI"/>
        </w:rPr>
        <w:t>učitelje,</w:t>
      </w:r>
      <w:r w:rsidRPr="001048FE">
        <w:rPr>
          <w:spacing w:val="-12"/>
          <w:lang w:val="sl-SI"/>
        </w:rPr>
        <w:t xml:space="preserve"> </w:t>
      </w:r>
      <w:r w:rsidRPr="001048FE">
        <w:rPr>
          <w:lang w:val="sl-SI"/>
        </w:rPr>
        <w:t>vodje usposabljanj, mladinske delavce in ljudi, ki delajo v organizacijah, aktivnih na področju izobraževanja, usposabljanja in mladine) ter katere cilj</w:t>
      </w:r>
      <w:r w:rsidRPr="001048FE">
        <w:rPr>
          <w:spacing w:val="-18"/>
          <w:lang w:val="sl-SI"/>
        </w:rPr>
        <w:t xml:space="preserve"> </w:t>
      </w:r>
      <w:r w:rsidRPr="001048FE">
        <w:rPr>
          <w:lang w:val="sl-SI"/>
        </w:rPr>
        <w:t>je:</w:t>
      </w:r>
    </w:p>
    <w:p w14:paraId="7D3987BB" w14:textId="77777777" w:rsidR="00E03711" w:rsidRDefault="00E03711" w:rsidP="005115F2">
      <w:pPr>
        <w:pStyle w:val="Guide-NormalBulletpoints"/>
        <w:numPr>
          <w:ilvl w:val="0"/>
          <w:numId w:val="188"/>
        </w:numPr>
        <w:rPr>
          <w:lang w:val="sl-SI"/>
        </w:rPr>
      </w:pPr>
      <w:r w:rsidRPr="001048FE">
        <w:rPr>
          <w:lang w:val="sl-SI"/>
        </w:rPr>
        <w:t>podpirati</w:t>
      </w:r>
      <w:r w:rsidRPr="001048FE">
        <w:rPr>
          <w:spacing w:val="-10"/>
          <w:lang w:val="sl-SI"/>
        </w:rPr>
        <w:t xml:space="preserve"> </w:t>
      </w:r>
      <w:r w:rsidRPr="001048FE">
        <w:rPr>
          <w:lang w:val="sl-SI"/>
        </w:rPr>
        <w:t>učeče</w:t>
      </w:r>
      <w:r w:rsidRPr="001048FE">
        <w:rPr>
          <w:spacing w:val="-10"/>
          <w:lang w:val="sl-SI"/>
        </w:rPr>
        <w:t xml:space="preserve"> </w:t>
      </w:r>
      <w:r w:rsidRPr="001048FE">
        <w:rPr>
          <w:lang w:val="sl-SI"/>
        </w:rPr>
        <w:t>se</w:t>
      </w:r>
      <w:r w:rsidRPr="001048FE">
        <w:rPr>
          <w:spacing w:val="-10"/>
          <w:lang w:val="sl-SI"/>
        </w:rPr>
        <w:t xml:space="preserve"> </w:t>
      </w:r>
      <w:r w:rsidRPr="001048FE">
        <w:rPr>
          <w:lang w:val="sl-SI"/>
        </w:rPr>
        <w:t>pri</w:t>
      </w:r>
      <w:r w:rsidRPr="001048FE">
        <w:rPr>
          <w:spacing w:val="-10"/>
          <w:lang w:val="sl-SI"/>
        </w:rPr>
        <w:t xml:space="preserve"> </w:t>
      </w:r>
      <w:r w:rsidRPr="001048FE">
        <w:rPr>
          <w:lang w:val="sl-SI"/>
        </w:rPr>
        <w:t>usvajanju</w:t>
      </w:r>
      <w:r w:rsidRPr="001048FE">
        <w:rPr>
          <w:spacing w:val="-10"/>
          <w:lang w:val="sl-SI"/>
        </w:rPr>
        <w:t xml:space="preserve"> </w:t>
      </w:r>
      <w:r w:rsidRPr="001048FE">
        <w:rPr>
          <w:lang w:val="sl-SI"/>
        </w:rPr>
        <w:t>učnih</w:t>
      </w:r>
      <w:r w:rsidRPr="001048FE">
        <w:rPr>
          <w:spacing w:val="-10"/>
          <w:lang w:val="sl-SI"/>
        </w:rPr>
        <w:t xml:space="preserve"> </w:t>
      </w:r>
      <w:r w:rsidRPr="001048FE">
        <w:rPr>
          <w:lang w:val="sl-SI"/>
        </w:rPr>
        <w:t>izidov</w:t>
      </w:r>
      <w:r w:rsidRPr="001048FE">
        <w:rPr>
          <w:spacing w:val="-10"/>
          <w:lang w:val="sl-SI"/>
        </w:rPr>
        <w:t xml:space="preserve"> </w:t>
      </w:r>
      <w:r w:rsidRPr="001048FE">
        <w:rPr>
          <w:lang w:val="sl-SI"/>
        </w:rPr>
        <w:t>(znanja,</w:t>
      </w:r>
      <w:r w:rsidRPr="001048FE">
        <w:rPr>
          <w:spacing w:val="-10"/>
          <w:lang w:val="sl-SI"/>
        </w:rPr>
        <w:t xml:space="preserve"> </w:t>
      </w:r>
      <w:r w:rsidRPr="001048FE">
        <w:rPr>
          <w:lang w:val="sl-SI"/>
        </w:rPr>
        <w:t>spretnosti</w:t>
      </w:r>
      <w:r w:rsidRPr="001048FE">
        <w:rPr>
          <w:spacing w:val="-10"/>
          <w:lang w:val="sl-SI"/>
        </w:rPr>
        <w:t xml:space="preserve"> </w:t>
      </w:r>
      <w:r w:rsidRPr="001048FE">
        <w:rPr>
          <w:lang w:val="sl-SI"/>
        </w:rPr>
        <w:t>in</w:t>
      </w:r>
      <w:r w:rsidRPr="001048FE">
        <w:rPr>
          <w:spacing w:val="-10"/>
          <w:lang w:val="sl-SI"/>
        </w:rPr>
        <w:t xml:space="preserve"> </w:t>
      </w:r>
      <w:r w:rsidRPr="001048FE">
        <w:rPr>
          <w:lang w:val="sl-SI"/>
        </w:rPr>
        <w:t>kompetenc)</w:t>
      </w:r>
      <w:r w:rsidRPr="001048FE">
        <w:rPr>
          <w:spacing w:val="-10"/>
          <w:lang w:val="sl-SI"/>
        </w:rPr>
        <w:t xml:space="preserve"> </w:t>
      </w:r>
      <w:r w:rsidRPr="001048FE">
        <w:rPr>
          <w:lang w:val="sl-SI"/>
        </w:rPr>
        <w:t>za</w:t>
      </w:r>
      <w:r w:rsidRPr="001048FE">
        <w:rPr>
          <w:spacing w:val="-10"/>
          <w:lang w:val="sl-SI"/>
        </w:rPr>
        <w:t xml:space="preserve"> </w:t>
      </w:r>
      <w:r w:rsidRPr="001048FE">
        <w:rPr>
          <w:lang w:val="sl-SI"/>
        </w:rPr>
        <w:t xml:space="preserve">izboljšanje njihovega osebnega razvoja, njihovih priložnosti, da se kot obzirni in aktivni državljani vključujejo v družbo, in njihove zaposljivosti na evropskem trgu dela in drugod po svetu; </w:t>
      </w:r>
    </w:p>
    <w:p w14:paraId="7D3987BC" w14:textId="77777777" w:rsidR="00E03711" w:rsidRDefault="00E03711" w:rsidP="005115F2">
      <w:pPr>
        <w:pStyle w:val="Guide-NormalBulletpoints"/>
        <w:numPr>
          <w:ilvl w:val="0"/>
          <w:numId w:val="188"/>
        </w:numPr>
        <w:rPr>
          <w:lang w:val="sl-SI"/>
        </w:rPr>
      </w:pPr>
      <w:r w:rsidRPr="001048FE">
        <w:rPr>
          <w:lang w:val="sl-SI"/>
        </w:rPr>
        <w:t>podpirati poklicni razvoj tistih, ki delajo na področju izobraževanja, usposabljanja in mladine, za</w:t>
      </w:r>
      <w:r w:rsidRPr="001048FE">
        <w:rPr>
          <w:spacing w:val="-17"/>
          <w:lang w:val="sl-SI"/>
        </w:rPr>
        <w:t xml:space="preserve"> </w:t>
      </w:r>
      <w:r w:rsidRPr="001048FE">
        <w:rPr>
          <w:lang w:val="sl-SI"/>
        </w:rPr>
        <w:t>inovacije</w:t>
      </w:r>
      <w:r w:rsidRPr="001048FE">
        <w:rPr>
          <w:spacing w:val="-17"/>
          <w:lang w:val="sl-SI"/>
        </w:rPr>
        <w:t xml:space="preserve"> </w:t>
      </w:r>
      <w:r w:rsidRPr="001048FE">
        <w:rPr>
          <w:lang w:val="sl-SI"/>
        </w:rPr>
        <w:t>in</w:t>
      </w:r>
      <w:r w:rsidRPr="001048FE">
        <w:rPr>
          <w:spacing w:val="-17"/>
          <w:lang w:val="sl-SI"/>
        </w:rPr>
        <w:t xml:space="preserve"> </w:t>
      </w:r>
      <w:r w:rsidRPr="001048FE">
        <w:rPr>
          <w:lang w:val="sl-SI"/>
        </w:rPr>
        <w:t>izboljšave</w:t>
      </w:r>
      <w:r w:rsidRPr="001048FE">
        <w:rPr>
          <w:spacing w:val="-17"/>
          <w:lang w:val="sl-SI"/>
        </w:rPr>
        <w:t xml:space="preserve"> </w:t>
      </w:r>
      <w:r w:rsidRPr="001048FE">
        <w:rPr>
          <w:lang w:val="sl-SI"/>
        </w:rPr>
        <w:t>v</w:t>
      </w:r>
      <w:r w:rsidRPr="001048FE">
        <w:rPr>
          <w:spacing w:val="-17"/>
          <w:lang w:val="sl-SI"/>
        </w:rPr>
        <w:t xml:space="preserve"> </w:t>
      </w:r>
      <w:r w:rsidRPr="001048FE">
        <w:rPr>
          <w:lang w:val="sl-SI"/>
        </w:rPr>
        <w:t>kakovosti</w:t>
      </w:r>
      <w:r w:rsidRPr="001048FE">
        <w:rPr>
          <w:spacing w:val="-17"/>
          <w:lang w:val="sl-SI"/>
        </w:rPr>
        <w:t xml:space="preserve"> </w:t>
      </w:r>
      <w:r w:rsidRPr="001048FE">
        <w:rPr>
          <w:lang w:val="sl-SI"/>
        </w:rPr>
        <w:t>poučevanja,</w:t>
      </w:r>
      <w:r w:rsidRPr="001048FE">
        <w:rPr>
          <w:spacing w:val="-17"/>
          <w:lang w:val="sl-SI"/>
        </w:rPr>
        <w:t xml:space="preserve"> </w:t>
      </w:r>
      <w:r w:rsidRPr="001048FE">
        <w:rPr>
          <w:lang w:val="sl-SI"/>
        </w:rPr>
        <w:t>usposabljanja</w:t>
      </w:r>
      <w:r w:rsidRPr="001048FE">
        <w:rPr>
          <w:spacing w:val="-17"/>
          <w:lang w:val="sl-SI"/>
        </w:rPr>
        <w:t xml:space="preserve"> </w:t>
      </w:r>
      <w:r w:rsidRPr="001048FE">
        <w:rPr>
          <w:lang w:val="sl-SI"/>
        </w:rPr>
        <w:t>in</w:t>
      </w:r>
      <w:r w:rsidRPr="001048FE">
        <w:rPr>
          <w:spacing w:val="-17"/>
          <w:lang w:val="sl-SI"/>
        </w:rPr>
        <w:t xml:space="preserve"> </w:t>
      </w:r>
      <w:r w:rsidRPr="001048FE">
        <w:rPr>
          <w:lang w:val="sl-SI"/>
        </w:rPr>
        <w:t>mladinskega</w:t>
      </w:r>
      <w:r w:rsidRPr="001048FE">
        <w:rPr>
          <w:spacing w:val="-17"/>
          <w:lang w:val="sl-SI"/>
        </w:rPr>
        <w:t xml:space="preserve"> </w:t>
      </w:r>
      <w:r w:rsidRPr="001048FE">
        <w:rPr>
          <w:lang w:val="sl-SI"/>
        </w:rPr>
        <w:t>dela</w:t>
      </w:r>
      <w:r w:rsidRPr="001048FE">
        <w:rPr>
          <w:spacing w:val="-17"/>
          <w:lang w:val="sl-SI"/>
        </w:rPr>
        <w:t xml:space="preserve"> </w:t>
      </w:r>
      <w:r w:rsidRPr="001048FE">
        <w:rPr>
          <w:lang w:val="sl-SI"/>
        </w:rPr>
        <w:t>v</w:t>
      </w:r>
      <w:r w:rsidRPr="001048FE">
        <w:rPr>
          <w:spacing w:val="-17"/>
          <w:lang w:val="sl-SI"/>
        </w:rPr>
        <w:t xml:space="preserve"> </w:t>
      </w:r>
      <w:r w:rsidRPr="001048FE">
        <w:rPr>
          <w:lang w:val="sl-SI"/>
        </w:rPr>
        <w:t xml:space="preserve">Evropi; </w:t>
      </w:r>
    </w:p>
    <w:p w14:paraId="7D3987BD" w14:textId="77777777" w:rsidR="00E03711" w:rsidRPr="001048FE" w:rsidRDefault="00E03711" w:rsidP="005115F2">
      <w:pPr>
        <w:pStyle w:val="Guide-NormalBulletpoints"/>
        <w:numPr>
          <w:ilvl w:val="0"/>
          <w:numId w:val="188"/>
        </w:numPr>
        <w:rPr>
          <w:lang w:val="sl-SI"/>
        </w:rPr>
      </w:pPr>
      <w:r w:rsidRPr="001048FE">
        <w:rPr>
          <w:lang w:val="sl-SI"/>
        </w:rPr>
        <w:t>znatno izboljšati znanje tujih jezikov</w:t>
      </w:r>
      <w:r w:rsidRPr="001048FE">
        <w:rPr>
          <w:spacing w:val="-15"/>
          <w:lang w:val="sl-SI"/>
        </w:rPr>
        <w:t xml:space="preserve"> </w:t>
      </w:r>
      <w:r w:rsidRPr="001048FE">
        <w:rPr>
          <w:lang w:val="sl-SI"/>
        </w:rPr>
        <w:t>udeležencev;</w:t>
      </w:r>
    </w:p>
    <w:p w14:paraId="7D3987BE" w14:textId="77777777" w:rsidR="00E03711" w:rsidRPr="001048FE" w:rsidRDefault="00E03711" w:rsidP="005115F2">
      <w:pPr>
        <w:pStyle w:val="Guide-NormalBulletpoints"/>
        <w:numPr>
          <w:ilvl w:val="0"/>
          <w:numId w:val="188"/>
        </w:numPr>
        <w:rPr>
          <w:lang w:val="sl-SI"/>
        </w:rPr>
      </w:pPr>
      <w:r w:rsidRPr="001048FE">
        <w:rPr>
          <w:lang w:val="sl-SI"/>
        </w:rPr>
        <w:t>okrepiti osveščenost udeležencev in razumevanje drugih kultur in držav z zagotavljanjem priložnosti za vzpostavljanje omrežij mednarodnih stikov, aktivno udeležbo v družbi ter razvoj občutka evropskega državljanstva in identitete;</w:t>
      </w:r>
    </w:p>
    <w:p w14:paraId="7D3987BF" w14:textId="77777777" w:rsidR="00E03711" w:rsidRPr="001048FE" w:rsidRDefault="00E03711" w:rsidP="005115F2">
      <w:pPr>
        <w:pStyle w:val="Guide-NormalBulletpoints"/>
        <w:numPr>
          <w:ilvl w:val="0"/>
          <w:numId w:val="188"/>
        </w:numPr>
        <w:rPr>
          <w:lang w:val="sl-SI"/>
        </w:rPr>
      </w:pPr>
      <w:r w:rsidRPr="001048FE">
        <w:rPr>
          <w:lang w:val="sl-SI"/>
        </w:rPr>
        <w:t>okrepiti zmogljivosti, privlačnost in mednarodno razsežnost organizacij, ki so aktivne na področju izobraževanja, usposabljanja in mladine, da lahko ponudijo aktivnosti in programe, ki se bolje odzivajo na potrebe posameznikov v Evropi in drugod po</w:t>
      </w:r>
      <w:r w:rsidRPr="001048FE">
        <w:rPr>
          <w:spacing w:val="50"/>
          <w:lang w:val="sl-SI"/>
        </w:rPr>
        <w:t xml:space="preserve"> </w:t>
      </w:r>
      <w:r w:rsidRPr="001048FE">
        <w:rPr>
          <w:lang w:val="sl-SI"/>
        </w:rPr>
        <w:t>svetu;</w:t>
      </w:r>
    </w:p>
    <w:p w14:paraId="7D3987C0" w14:textId="77777777" w:rsidR="00E03711" w:rsidRPr="001048FE" w:rsidRDefault="00E03711" w:rsidP="005115F2">
      <w:pPr>
        <w:pStyle w:val="Guide-NormalBulletpoints"/>
        <w:numPr>
          <w:ilvl w:val="0"/>
          <w:numId w:val="188"/>
        </w:numPr>
        <w:rPr>
          <w:lang w:val="sl-SI"/>
        </w:rPr>
      </w:pPr>
      <w:r w:rsidRPr="001048FE">
        <w:rPr>
          <w:lang w:val="sl-SI"/>
        </w:rPr>
        <w:t>okrepiti sinergije in prehode med formalnim in neformalnim izobraževanjem, poklicnim usposabljanjem, zaposlovanjem in podjetništvom;</w:t>
      </w:r>
    </w:p>
    <w:p w14:paraId="7D3987C1" w14:textId="77777777" w:rsidR="00E03711" w:rsidRPr="001048FE" w:rsidRDefault="00E03711" w:rsidP="005115F2">
      <w:pPr>
        <w:pStyle w:val="Guide-NormalBulletpoints"/>
        <w:numPr>
          <w:ilvl w:val="0"/>
          <w:numId w:val="188"/>
        </w:numPr>
        <w:rPr>
          <w:lang w:val="sl-SI"/>
        </w:rPr>
      </w:pPr>
      <w:r w:rsidRPr="001048FE">
        <w:rPr>
          <w:lang w:val="sl-SI"/>
        </w:rPr>
        <w:t>zagotoviti boljše priznavanje kompetenc, pridobljenih med učenjem v tujini.</w:t>
      </w:r>
    </w:p>
    <w:p w14:paraId="7D3987C2" w14:textId="77777777" w:rsidR="00E03711" w:rsidRPr="001048FE" w:rsidRDefault="00E03711" w:rsidP="00142646">
      <w:pPr>
        <w:pStyle w:val="GUIDE-NORMAL"/>
        <w:rPr>
          <w:lang w:val="sl-SI"/>
        </w:rPr>
      </w:pPr>
      <w:r w:rsidRPr="001048FE">
        <w:rPr>
          <w:lang w:val="sl-SI"/>
        </w:rPr>
        <w:t>Ta ukrep podpira tudi mednarodno mobilnost v partnerskih državah na področju visokošolskega izobraževanja in mladine. Poleg tega prispeva k sodelovanju med EU in upravičenimi partnerskimi državami ter izraža cilje zunanjega delovanja, prednostne naloge in načela EU:</w:t>
      </w:r>
    </w:p>
    <w:p w14:paraId="7D3987C3" w14:textId="77777777" w:rsidR="00E03711" w:rsidRPr="001048FE" w:rsidRDefault="00E03711" w:rsidP="005115F2">
      <w:pPr>
        <w:pStyle w:val="Guide-NormalBulletpoints"/>
        <w:numPr>
          <w:ilvl w:val="0"/>
          <w:numId w:val="189"/>
        </w:numPr>
        <w:rPr>
          <w:lang w:val="sl-SI"/>
        </w:rPr>
      </w:pPr>
      <w:r w:rsidRPr="001048FE">
        <w:rPr>
          <w:lang w:val="sl-SI"/>
        </w:rPr>
        <w:t>okrepiti</w:t>
      </w:r>
      <w:r w:rsidRPr="001048FE">
        <w:rPr>
          <w:spacing w:val="-15"/>
          <w:lang w:val="sl-SI"/>
        </w:rPr>
        <w:t xml:space="preserve"> </w:t>
      </w:r>
      <w:r w:rsidRPr="001048FE">
        <w:rPr>
          <w:lang w:val="sl-SI"/>
        </w:rPr>
        <w:t>privlačnost</w:t>
      </w:r>
      <w:r w:rsidRPr="001048FE">
        <w:rPr>
          <w:spacing w:val="-15"/>
          <w:lang w:val="sl-SI"/>
        </w:rPr>
        <w:t xml:space="preserve"> </w:t>
      </w:r>
      <w:r w:rsidRPr="001048FE">
        <w:rPr>
          <w:lang w:val="sl-SI"/>
        </w:rPr>
        <w:t>visokošolskega</w:t>
      </w:r>
      <w:r w:rsidRPr="001048FE">
        <w:rPr>
          <w:spacing w:val="-15"/>
          <w:lang w:val="sl-SI"/>
        </w:rPr>
        <w:t xml:space="preserve"> </w:t>
      </w:r>
      <w:r w:rsidRPr="001048FE">
        <w:rPr>
          <w:lang w:val="sl-SI"/>
        </w:rPr>
        <w:t>izobraževanja</w:t>
      </w:r>
      <w:r w:rsidRPr="001048FE">
        <w:rPr>
          <w:spacing w:val="-15"/>
          <w:lang w:val="sl-SI"/>
        </w:rPr>
        <w:t xml:space="preserve"> </w:t>
      </w:r>
      <w:r w:rsidRPr="001048FE">
        <w:rPr>
          <w:lang w:val="sl-SI"/>
        </w:rPr>
        <w:t>v</w:t>
      </w:r>
      <w:r w:rsidRPr="001048FE">
        <w:rPr>
          <w:spacing w:val="-15"/>
          <w:lang w:val="sl-SI"/>
        </w:rPr>
        <w:t xml:space="preserve"> </w:t>
      </w:r>
      <w:r w:rsidRPr="001048FE">
        <w:rPr>
          <w:lang w:val="sl-SI"/>
        </w:rPr>
        <w:t>Evropi</w:t>
      </w:r>
      <w:r w:rsidRPr="001048FE">
        <w:rPr>
          <w:spacing w:val="-15"/>
          <w:lang w:val="sl-SI"/>
        </w:rPr>
        <w:t xml:space="preserve"> </w:t>
      </w:r>
      <w:r w:rsidRPr="001048FE">
        <w:rPr>
          <w:lang w:val="sl-SI"/>
        </w:rPr>
        <w:t>in</w:t>
      </w:r>
      <w:r w:rsidRPr="001048FE">
        <w:rPr>
          <w:spacing w:val="-15"/>
          <w:lang w:val="sl-SI"/>
        </w:rPr>
        <w:t xml:space="preserve"> </w:t>
      </w:r>
      <w:r w:rsidRPr="001048FE">
        <w:rPr>
          <w:lang w:val="sl-SI"/>
        </w:rPr>
        <w:t>podpirati</w:t>
      </w:r>
      <w:r w:rsidRPr="001048FE">
        <w:rPr>
          <w:spacing w:val="-15"/>
          <w:lang w:val="sl-SI"/>
        </w:rPr>
        <w:t xml:space="preserve"> </w:t>
      </w:r>
      <w:r w:rsidRPr="001048FE">
        <w:rPr>
          <w:lang w:val="sl-SI"/>
        </w:rPr>
        <w:t>evropske</w:t>
      </w:r>
      <w:r w:rsidRPr="001048FE">
        <w:rPr>
          <w:spacing w:val="-15"/>
          <w:lang w:val="sl-SI"/>
        </w:rPr>
        <w:t xml:space="preserve"> </w:t>
      </w:r>
      <w:r w:rsidRPr="001048FE">
        <w:rPr>
          <w:lang w:val="sl-SI"/>
        </w:rPr>
        <w:t>visokošolske institucije pri konkuriranju na trgu visokošolskega izobraževanja po vsem</w:t>
      </w:r>
      <w:r w:rsidRPr="001048FE">
        <w:rPr>
          <w:spacing w:val="-35"/>
          <w:lang w:val="sl-SI"/>
        </w:rPr>
        <w:t xml:space="preserve"> </w:t>
      </w:r>
      <w:r w:rsidRPr="001048FE">
        <w:rPr>
          <w:lang w:val="sl-SI"/>
        </w:rPr>
        <w:t>svetu;</w:t>
      </w:r>
    </w:p>
    <w:p w14:paraId="7D3987C4" w14:textId="77777777" w:rsidR="00E03711" w:rsidRPr="001048FE" w:rsidRDefault="00E03711" w:rsidP="005115F2">
      <w:pPr>
        <w:pStyle w:val="Guide-NormalBulletpoints"/>
        <w:numPr>
          <w:ilvl w:val="0"/>
          <w:numId w:val="189"/>
        </w:numPr>
        <w:rPr>
          <w:lang w:val="sl-SI"/>
        </w:rPr>
      </w:pPr>
      <w:r w:rsidRPr="00D369F0">
        <w:rPr>
          <w:rFonts w:eastAsia="Calibri" w:cs="Calibri"/>
          <w:bdr w:val="nil"/>
          <w:lang w:val="sl-SI" w:eastAsia="zh-CN"/>
        </w:rPr>
        <w:t>podpirati prioritete, ki so prepoznane v dokumentih "Novi evropski konsenz o razvoju"</w:t>
      </w:r>
      <w:r>
        <w:rPr>
          <w:rStyle w:val="FootnoteReference"/>
          <w:rFonts w:eastAsia="Calibri" w:cs="Calibri"/>
          <w:bdr w:val="nil"/>
          <w:lang w:val="sl-SI" w:eastAsia="zh-CN"/>
        </w:rPr>
        <w:footnoteReference w:id="22"/>
      </w:r>
      <w:r w:rsidRPr="00D369F0">
        <w:rPr>
          <w:rFonts w:eastAsia="Calibri" w:cs="Calibri"/>
          <w:bdr w:val="nil"/>
          <w:lang w:val="sl-SI" w:eastAsia="zh-CN"/>
        </w:rPr>
        <w:t xml:space="preserve"> in "Evropsko visokošolsko izobraževanje v svetu"</w:t>
      </w:r>
      <w:r>
        <w:rPr>
          <w:vanish/>
          <w:vertAlign w:val="superscript"/>
        </w:rPr>
        <w:footnoteReference w:id="23"/>
      </w:r>
      <w:r>
        <w:rPr>
          <w:rFonts w:eastAsia="Calibri" w:cs="Calibri"/>
          <w:vanish/>
          <w:bdr w:val="nil"/>
          <w:lang w:val="sl-SI" w:eastAsia="zh-CN"/>
        </w:rPr>
        <w:t>;</w:t>
      </w:r>
      <w:r>
        <w:rPr>
          <w:rStyle w:val="FootnoteReference"/>
          <w:lang w:val="sl-SI"/>
        </w:rPr>
        <w:footnoteReference w:customMarkFollows="1" w:id="24"/>
        <w:t>23</w:t>
      </w:r>
    </w:p>
    <w:p w14:paraId="7D3987C5" w14:textId="77777777" w:rsidR="00E03711" w:rsidRPr="001048FE" w:rsidRDefault="00E03711" w:rsidP="005115F2">
      <w:pPr>
        <w:pStyle w:val="Guide-NormalBulletpoints"/>
        <w:numPr>
          <w:ilvl w:val="0"/>
          <w:numId w:val="189"/>
        </w:numPr>
        <w:rPr>
          <w:lang w:val="sl-SI"/>
        </w:rPr>
      </w:pPr>
      <w:r w:rsidRPr="001048FE">
        <w:rPr>
          <w:lang w:val="sl-SI"/>
        </w:rPr>
        <w:t>podpirati internacionalizacijo, privlačnost, kakovost, enakost dostopa in posodobitev visokošolskih institucij zunaj Evrope za spodbujanje razvoja partnerskih držav; spodbujati razvoj ter cilje in načela zunanje politike, vključno z nacionalnim lastništvom,</w:t>
      </w:r>
    </w:p>
    <w:p w14:paraId="7D3987C6" w14:textId="77777777" w:rsidR="00E03711" w:rsidRPr="001048FE" w:rsidRDefault="00E03711" w:rsidP="005115F2">
      <w:pPr>
        <w:pStyle w:val="Guide-NormalBulletpoints"/>
        <w:numPr>
          <w:ilvl w:val="0"/>
          <w:numId w:val="189"/>
        </w:numPr>
        <w:rPr>
          <w:lang w:val="sl-SI"/>
        </w:rPr>
      </w:pPr>
      <w:r w:rsidRPr="001048FE">
        <w:rPr>
          <w:lang w:val="sl-SI"/>
        </w:rPr>
        <w:t>socialno kohezijo, enakostjo, ustrezno geografsko uravnoteženostjo in raznolikostjo. Posebna pozornost bo namenjena najmanj razvitim državam ter študentom z manj priložnostmi iz revnih socialno-ekonomskih okolij in študentom s posebnimi potrebami;</w:t>
      </w:r>
    </w:p>
    <w:p w14:paraId="7D3987C7" w14:textId="77777777" w:rsidR="00E03711" w:rsidRPr="001048FE" w:rsidRDefault="00E03711" w:rsidP="005115F2">
      <w:pPr>
        <w:pStyle w:val="Guide-NormalBulletpoints"/>
        <w:numPr>
          <w:ilvl w:val="0"/>
          <w:numId w:val="189"/>
        </w:numPr>
        <w:rPr>
          <w:lang w:val="sl-SI"/>
        </w:rPr>
      </w:pPr>
      <w:r w:rsidRPr="001048FE">
        <w:rPr>
          <w:lang w:val="sl-SI"/>
        </w:rPr>
        <w:t>spodbujati neformalno učenje in sodelovanje na področju mladine s partnerskimi državami.</w:t>
      </w:r>
    </w:p>
    <w:p w14:paraId="7D3987C8" w14:textId="77777777" w:rsidR="00E03711" w:rsidRPr="001048FE" w:rsidRDefault="00E03711" w:rsidP="00E23D2D">
      <w:pPr>
        <w:pStyle w:val="Guide-Heading5"/>
        <w:rPr>
          <w:lang w:val="sl-SI"/>
        </w:rPr>
      </w:pPr>
      <w:r w:rsidRPr="001048FE">
        <w:rPr>
          <w:lang w:val="sl-SI"/>
        </w:rPr>
        <w:t>Kaj je projekt mobilnosti?</w:t>
      </w:r>
    </w:p>
    <w:p w14:paraId="7D3987C9" w14:textId="77777777" w:rsidR="00E03711" w:rsidRPr="001048FE" w:rsidRDefault="00E03711" w:rsidP="00142646">
      <w:pPr>
        <w:pStyle w:val="GUIDE-NORMAL"/>
        <w:rPr>
          <w:rStyle w:val="Guide-Condensed-02"/>
          <w:lang w:val="sl-SI"/>
        </w:rPr>
      </w:pPr>
      <w:r w:rsidRPr="001048FE">
        <w:rPr>
          <w:lang w:val="sl-SI"/>
        </w:rPr>
        <w:t>Organizacije, aktivne na področju izobraževanja, usposabljanja in mladine, bodo prejele podporo s</w:t>
      </w:r>
      <w:r>
        <w:rPr>
          <w:rStyle w:val="Guide-Condensed-02"/>
          <w:lang w:val="sl-SI"/>
        </w:rPr>
        <w:t xml:space="preserve"> </w:t>
      </w:r>
      <w:r w:rsidRPr="001048FE">
        <w:rPr>
          <w:rStyle w:val="Guide-Condensed-02"/>
          <w:lang w:val="sl-SI"/>
        </w:rPr>
        <w:t>programom Erasmus+ za izvajanje projektov, ki spodbujajo različne vrste mobilnosti. V projekt mobilnosti bodo zajete naslednje faze:</w:t>
      </w:r>
    </w:p>
    <w:p w14:paraId="7D3987CA" w14:textId="77777777" w:rsidR="00E03711" w:rsidRPr="001048FE" w:rsidRDefault="00E03711" w:rsidP="005115F2">
      <w:pPr>
        <w:pStyle w:val="Guide-NormalBulletpoints"/>
        <w:numPr>
          <w:ilvl w:val="0"/>
          <w:numId w:val="190"/>
        </w:numPr>
        <w:rPr>
          <w:lang w:val="sl-SI"/>
        </w:rPr>
      </w:pPr>
      <w:r w:rsidRPr="001048FE">
        <w:rPr>
          <w:lang w:val="sl-SI"/>
        </w:rPr>
        <w:t>priprava (vključno s praktičnimi ureditvami, izborom udeležencev, sklepanjem sporazumov s partnerji in udeleženci, jezikovno/medkulturno/</w:t>
      </w:r>
      <w:r>
        <w:rPr>
          <w:lang w:val="sl-SI"/>
        </w:rPr>
        <w:t>učno/</w:t>
      </w:r>
      <w:r w:rsidRPr="001048FE">
        <w:rPr>
          <w:lang w:val="sl-SI"/>
        </w:rPr>
        <w:t>z nalogami povezano pripravo udeležencev pred odhodom);</w:t>
      </w:r>
    </w:p>
    <w:p w14:paraId="7D3987CB" w14:textId="77777777" w:rsidR="00E03711" w:rsidRPr="001048FE" w:rsidRDefault="00E03711" w:rsidP="005115F2">
      <w:pPr>
        <w:pStyle w:val="Guide-NormalBulletpoints"/>
        <w:numPr>
          <w:ilvl w:val="0"/>
          <w:numId w:val="190"/>
        </w:numPr>
        <w:rPr>
          <w:lang w:val="sl-SI"/>
        </w:rPr>
      </w:pPr>
      <w:r w:rsidRPr="001048FE">
        <w:rPr>
          <w:lang w:val="sl-SI"/>
        </w:rPr>
        <w:t>izvajanje aktivnosti mobilnosti;</w:t>
      </w:r>
    </w:p>
    <w:p w14:paraId="7D3987CC" w14:textId="77777777" w:rsidR="00E03711" w:rsidRPr="001048FE" w:rsidRDefault="00E03711" w:rsidP="005115F2">
      <w:pPr>
        <w:pStyle w:val="Guide-NormalBulletpoints"/>
        <w:numPr>
          <w:ilvl w:val="0"/>
          <w:numId w:val="190"/>
        </w:numPr>
        <w:rPr>
          <w:lang w:val="sl-SI"/>
        </w:rPr>
      </w:pPr>
      <w:r w:rsidRPr="001048FE">
        <w:rPr>
          <w:lang w:val="sl-SI"/>
        </w:rPr>
        <w:t xml:space="preserve">nadaljnje spremljanje (vključno z ocenjevanjem aktivnosti, </w:t>
      </w:r>
      <w:r>
        <w:rPr>
          <w:lang w:val="sl-SI"/>
        </w:rPr>
        <w:t xml:space="preserve">potrjevanjem in </w:t>
      </w:r>
      <w:r w:rsidRPr="001048FE">
        <w:rPr>
          <w:lang w:val="sl-SI"/>
        </w:rPr>
        <w:t>formalnim priznavanjem – po potrebi – učnih rezultatov udeležencev med aktivnostjo ter razširjanjem in uporabo rezultatov projekta).</w:t>
      </w:r>
    </w:p>
    <w:p w14:paraId="7D3987CD" w14:textId="77777777" w:rsidR="00E03711" w:rsidRPr="001048FE" w:rsidRDefault="00E03711" w:rsidP="00142646">
      <w:pPr>
        <w:pStyle w:val="GUIDE-NORMAL"/>
        <w:rPr>
          <w:lang w:val="sl-SI"/>
        </w:rPr>
      </w:pPr>
      <w:r w:rsidRPr="001048FE">
        <w:rPr>
          <w:lang w:val="sl-SI"/>
        </w:rPr>
        <w:t>Pomembna inovacija, uvedena s programom Erasmus+, v primerjavi z mnogimi aktivnostmi mobilnosti, ki so bile podprte s preteklimi evropskimi programi, je okrepljena podpora za udeležence mobilnosti pri izboljšanju njihovega znanja tujih jezikov pred in v času njihovega bivanja v tujini.</w:t>
      </w:r>
    </w:p>
    <w:p w14:paraId="7D3987CE" w14:textId="77777777" w:rsidR="00E03711" w:rsidRPr="001048FE" w:rsidRDefault="00E03711" w:rsidP="00142646">
      <w:pPr>
        <w:pStyle w:val="GUIDE-NORMAL"/>
        <w:rPr>
          <w:lang w:val="sl-SI"/>
        </w:rPr>
      </w:pPr>
      <w:r w:rsidRPr="001048FE">
        <w:rPr>
          <w:lang w:val="sl-SI"/>
        </w:rPr>
        <w:t>Evropska</w:t>
      </w:r>
      <w:r w:rsidRPr="001048FE">
        <w:rPr>
          <w:spacing w:val="-16"/>
          <w:lang w:val="sl-SI"/>
        </w:rPr>
        <w:t xml:space="preserve"> </w:t>
      </w:r>
      <w:r w:rsidRPr="001048FE">
        <w:rPr>
          <w:lang w:val="sl-SI"/>
        </w:rPr>
        <w:t>komisija</w:t>
      </w:r>
      <w:r w:rsidRPr="001048FE">
        <w:rPr>
          <w:spacing w:val="-16"/>
          <w:lang w:val="sl-SI"/>
        </w:rPr>
        <w:t xml:space="preserve"> </w:t>
      </w:r>
      <w:r w:rsidRPr="001048FE">
        <w:rPr>
          <w:lang w:val="sl-SI"/>
        </w:rPr>
        <w:t>je</w:t>
      </w:r>
      <w:r w:rsidRPr="001048FE">
        <w:rPr>
          <w:spacing w:val="-16"/>
          <w:lang w:val="sl-SI"/>
        </w:rPr>
        <w:t xml:space="preserve"> </w:t>
      </w:r>
      <w:r w:rsidRPr="001048FE">
        <w:rPr>
          <w:lang w:val="sl-SI"/>
        </w:rPr>
        <w:t>začela</w:t>
      </w:r>
      <w:r w:rsidRPr="001048FE">
        <w:rPr>
          <w:spacing w:val="-16"/>
          <w:lang w:val="sl-SI"/>
        </w:rPr>
        <w:t xml:space="preserve"> </w:t>
      </w:r>
      <w:r w:rsidRPr="001048FE">
        <w:rPr>
          <w:lang w:val="sl-SI"/>
        </w:rPr>
        <w:t>leta</w:t>
      </w:r>
      <w:r w:rsidRPr="001048FE">
        <w:rPr>
          <w:spacing w:val="-16"/>
          <w:lang w:val="sl-SI"/>
        </w:rPr>
        <w:t xml:space="preserve"> </w:t>
      </w:r>
      <w:r w:rsidRPr="001048FE">
        <w:rPr>
          <w:lang w:val="sl-SI"/>
        </w:rPr>
        <w:t>2014</w:t>
      </w:r>
      <w:r w:rsidRPr="001048FE">
        <w:rPr>
          <w:spacing w:val="-16"/>
          <w:lang w:val="sl-SI"/>
        </w:rPr>
        <w:t xml:space="preserve"> </w:t>
      </w:r>
      <w:r w:rsidRPr="001048FE">
        <w:rPr>
          <w:lang w:val="sl-SI"/>
        </w:rPr>
        <w:t>postopno</w:t>
      </w:r>
      <w:r w:rsidRPr="001048FE">
        <w:rPr>
          <w:spacing w:val="-16"/>
          <w:lang w:val="sl-SI"/>
        </w:rPr>
        <w:t xml:space="preserve"> </w:t>
      </w:r>
      <w:r w:rsidRPr="001048FE">
        <w:rPr>
          <w:lang w:val="sl-SI"/>
        </w:rPr>
        <w:t>uvajati</w:t>
      </w:r>
      <w:r w:rsidRPr="001048FE">
        <w:rPr>
          <w:spacing w:val="-16"/>
          <w:lang w:val="sl-SI"/>
        </w:rPr>
        <w:t xml:space="preserve"> </w:t>
      </w:r>
      <w:r w:rsidRPr="001048FE">
        <w:rPr>
          <w:lang w:val="sl-SI"/>
        </w:rPr>
        <w:t>evropsko</w:t>
      </w:r>
      <w:r w:rsidRPr="001048FE">
        <w:rPr>
          <w:spacing w:val="-16"/>
          <w:lang w:val="sl-SI"/>
        </w:rPr>
        <w:t xml:space="preserve"> </w:t>
      </w:r>
      <w:r w:rsidRPr="001048FE">
        <w:rPr>
          <w:lang w:val="sl-SI"/>
        </w:rPr>
        <w:t>storitev</w:t>
      </w:r>
      <w:r w:rsidRPr="001048FE">
        <w:rPr>
          <w:spacing w:val="-16"/>
          <w:lang w:val="sl-SI"/>
        </w:rPr>
        <w:t xml:space="preserve"> </w:t>
      </w:r>
      <w:r w:rsidRPr="001048FE">
        <w:rPr>
          <w:lang w:val="sl-SI"/>
        </w:rPr>
        <w:t>spletne</w:t>
      </w:r>
      <w:r w:rsidRPr="001048FE">
        <w:rPr>
          <w:spacing w:val="-16"/>
          <w:lang w:val="sl-SI"/>
        </w:rPr>
        <w:t xml:space="preserve"> </w:t>
      </w:r>
      <w:r w:rsidRPr="001048FE">
        <w:rPr>
          <w:lang w:val="sl-SI"/>
        </w:rPr>
        <w:t>jezikovne</w:t>
      </w:r>
      <w:r w:rsidRPr="001048FE">
        <w:rPr>
          <w:spacing w:val="-16"/>
          <w:lang w:val="sl-SI"/>
        </w:rPr>
        <w:t xml:space="preserve"> </w:t>
      </w:r>
      <w:r w:rsidRPr="001048FE">
        <w:rPr>
          <w:lang w:val="sl-SI"/>
        </w:rPr>
        <w:t>podpore. Ta</w:t>
      </w:r>
      <w:r w:rsidRPr="001048FE">
        <w:rPr>
          <w:spacing w:val="-17"/>
          <w:lang w:val="sl-SI"/>
        </w:rPr>
        <w:t xml:space="preserve"> </w:t>
      </w:r>
      <w:r w:rsidRPr="001048FE">
        <w:rPr>
          <w:lang w:val="sl-SI"/>
        </w:rPr>
        <w:t>storitev</w:t>
      </w:r>
      <w:r w:rsidRPr="001048FE">
        <w:rPr>
          <w:spacing w:val="-17"/>
          <w:lang w:val="sl-SI"/>
        </w:rPr>
        <w:t xml:space="preserve"> </w:t>
      </w:r>
      <w:r w:rsidRPr="001048FE">
        <w:rPr>
          <w:lang w:val="sl-SI"/>
        </w:rPr>
        <w:t>udeležencem</w:t>
      </w:r>
      <w:r w:rsidRPr="001048FE">
        <w:rPr>
          <w:spacing w:val="-17"/>
          <w:lang w:val="sl-SI"/>
        </w:rPr>
        <w:t xml:space="preserve"> </w:t>
      </w:r>
      <w:r w:rsidRPr="001048FE">
        <w:rPr>
          <w:lang w:val="sl-SI"/>
        </w:rPr>
        <w:t>dolgotrajne</w:t>
      </w:r>
      <w:r w:rsidRPr="001048FE">
        <w:rPr>
          <w:spacing w:val="-17"/>
          <w:lang w:val="sl-SI"/>
        </w:rPr>
        <w:t xml:space="preserve"> </w:t>
      </w:r>
      <w:r w:rsidRPr="001048FE">
        <w:rPr>
          <w:lang w:val="sl-SI"/>
        </w:rPr>
        <w:t>mobilnosti</w:t>
      </w:r>
      <w:r w:rsidRPr="001048FE">
        <w:rPr>
          <w:spacing w:val="-17"/>
          <w:lang w:val="sl-SI"/>
        </w:rPr>
        <w:t xml:space="preserve"> </w:t>
      </w:r>
      <w:r w:rsidRPr="001048FE">
        <w:rPr>
          <w:lang w:val="sl-SI"/>
        </w:rPr>
        <w:t>zagotavlja</w:t>
      </w:r>
      <w:r w:rsidRPr="001048FE">
        <w:rPr>
          <w:spacing w:val="-17"/>
          <w:lang w:val="sl-SI"/>
        </w:rPr>
        <w:t xml:space="preserve"> </w:t>
      </w:r>
      <w:r w:rsidRPr="001048FE">
        <w:rPr>
          <w:lang w:val="sl-SI"/>
        </w:rPr>
        <w:t>priložnost,</w:t>
      </w:r>
      <w:r w:rsidRPr="001048FE">
        <w:rPr>
          <w:spacing w:val="-17"/>
          <w:lang w:val="sl-SI"/>
        </w:rPr>
        <w:t xml:space="preserve"> </w:t>
      </w:r>
      <w:r w:rsidRPr="001048FE">
        <w:rPr>
          <w:lang w:val="sl-SI"/>
        </w:rPr>
        <w:t>da</w:t>
      </w:r>
      <w:r w:rsidRPr="001048FE">
        <w:rPr>
          <w:spacing w:val="-17"/>
          <w:lang w:val="sl-SI"/>
        </w:rPr>
        <w:t xml:space="preserve"> </w:t>
      </w:r>
      <w:r w:rsidRPr="001048FE">
        <w:rPr>
          <w:lang w:val="sl-SI"/>
        </w:rPr>
        <w:t>ocenijo</w:t>
      </w:r>
      <w:r w:rsidRPr="001048FE">
        <w:rPr>
          <w:spacing w:val="-16"/>
          <w:lang w:val="sl-SI"/>
        </w:rPr>
        <w:t xml:space="preserve"> </w:t>
      </w:r>
      <w:r w:rsidRPr="001048FE">
        <w:rPr>
          <w:lang w:val="sl-SI"/>
        </w:rPr>
        <w:t>svoje</w:t>
      </w:r>
      <w:r w:rsidRPr="001048FE">
        <w:rPr>
          <w:spacing w:val="-17"/>
          <w:lang w:val="sl-SI"/>
        </w:rPr>
        <w:t xml:space="preserve"> </w:t>
      </w:r>
      <w:r w:rsidRPr="001048FE">
        <w:rPr>
          <w:lang w:val="sl-SI"/>
        </w:rPr>
        <w:t>znanje</w:t>
      </w:r>
      <w:r w:rsidRPr="001048FE">
        <w:rPr>
          <w:spacing w:val="-17"/>
          <w:lang w:val="sl-SI"/>
        </w:rPr>
        <w:t xml:space="preserve"> </w:t>
      </w:r>
      <w:r w:rsidRPr="001048FE">
        <w:rPr>
          <w:lang w:val="sl-SI"/>
        </w:rPr>
        <w:t>jezika, ki ga bodo uporabljali pri študiju</w:t>
      </w:r>
      <w:r>
        <w:rPr>
          <w:lang w:val="sl-SI"/>
        </w:rPr>
        <w:t xml:space="preserve"> ali</w:t>
      </w:r>
      <w:r w:rsidRPr="001048FE">
        <w:rPr>
          <w:lang w:val="sl-SI"/>
        </w:rPr>
        <w:t xml:space="preserve"> delu v tujini, in spletni jezikovni tečaj za izboljšanje znanja. Udeleženci, katerih raven znanja glavnega jezika poučevanja</w:t>
      </w:r>
      <w:r>
        <w:rPr>
          <w:lang w:val="sl-SI"/>
        </w:rPr>
        <w:t xml:space="preserve"> ali</w:t>
      </w:r>
      <w:r w:rsidRPr="001048FE">
        <w:rPr>
          <w:lang w:val="sl-SI"/>
        </w:rPr>
        <w:t xml:space="preserve"> dela je najmanj B2, se lahko odločijo, da bodo opravljali spletni jezikovni tečaj v jeziku države</w:t>
      </w:r>
      <w:r w:rsidRPr="001048FE">
        <w:rPr>
          <w:spacing w:val="-6"/>
          <w:lang w:val="sl-SI"/>
        </w:rPr>
        <w:t xml:space="preserve"> </w:t>
      </w:r>
      <w:r w:rsidRPr="001048FE">
        <w:rPr>
          <w:lang w:val="sl-SI"/>
        </w:rPr>
        <w:t>gostiteljice,</w:t>
      </w:r>
      <w:r w:rsidRPr="001048FE">
        <w:rPr>
          <w:spacing w:val="-6"/>
          <w:lang w:val="sl-SI"/>
        </w:rPr>
        <w:t xml:space="preserve"> </w:t>
      </w:r>
      <w:r w:rsidRPr="001048FE">
        <w:rPr>
          <w:lang w:val="sl-SI"/>
        </w:rPr>
        <w:t>če</w:t>
      </w:r>
      <w:r w:rsidRPr="001048FE">
        <w:rPr>
          <w:spacing w:val="-6"/>
          <w:lang w:val="sl-SI"/>
        </w:rPr>
        <w:t xml:space="preserve"> </w:t>
      </w:r>
      <w:r w:rsidRPr="001048FE">
        <w:rPr>
          <w:lang w:val="sl-SI"/>
        </w:rPr>
        <w:t>je</w:t>
      </w:r>
      <w:r w:rsidRPr="001048FE">
        <w:rPr>
          <w:spacing w:val="-6"/>
          <w:lang w:val="sl-SI"/>
        </w:rPr>
        <w:t xml:space="preserve"> </w:t>
      </w:r>
      <w:r w:rsidRPr="001048FE">
        <w:rPr>
          <w:lang w:val="sl-SI"/>
        </w:rPr>
        <w:t>na</w:t>
      </w:r>
      <w:r w:rsidRPr="001048FE">
        <w:rPr>
          <w:spacing w:val="-6"/>
          <w:lang w:val="sl-SI"/>
        </w:rPr>
        <w:t xml:space="preserve"> </w:t>
      </w:r>
      <w:r w:rsidRPr="001048FE">
        <w:rPr>
          <w:lang w:val="sl-SI"/>
        </w:rPr>
        <w:t>voljo</w:t>
      </w:r>
      <w:r w:rsidRPr="001048FE">
        <w:rPr>
          <w:spacing w:val="-6"/>
          <w:lang w:val="sl-SI"/>
        </w:rPr>
        <w:t xml:space="preserve"> </w:t>
      </w:r>
      <w:r w:rsidRPr="001048FE">
        <w:rPr>
          <w:lang w:val="sl-SI"/>
        </w:rPr>
        <w:t>(za</w:t>
      </w:r>
      <w:r w:rsidRPr="001048FE">
        <w:rPr>
          <w:spacing w:val="-6"/>
          <w:lang w:val="sl-SI"/>
        </w:rPr>
        <w:t xml:space="preserve"> </w:t>
      </w:r>
      <w:r w:rsidRPr="001048FE">
        <w:rPr>
          <w:lang w:val="sl-SI"/>
        </w:rPr>
        <w:t>več</w:t>
      </w:r>
      <w:r w:rsidRPr="001048FE">
        <w:rPr>
          <w:spacing w:val="-6"/>
          <w:lang w:val="sl-SI"/>
        </w:rPr>
        <w:t xml:space="preserve"> </w:t>
      </w:r>
      <w:r w:rsidRPr="001048FE">
        <w:rPr>
          <w:lang w:val="sl-SI"/>
        </w:rPr>
        <w:t>podrobnosti</w:t>
      </w:r>
      <w:r w:rsidRPr="001048FE">
        <w:rPr>
          <w:spacing w:val="-6"/>
          <w:lang w:val="sl-SI"/>
        </w:rPr>
        <w:t xml:space="preserve"> </w:t>
      </w:r>
      <w:r w:rsidRPr="001048FE">
        <w:rPr>
          <w:lang w:val="sl-SI"/>
        </w:rPr>
        <w:t>o</w:t>
      </w:r>
      <w:r w:rsidRPr="001048FE">
        <w:rPr>
          <w:spacing w:val="-5"/>
          <w:lang w:val="sl-SI"/>
        </w:rPr>
        <w:t xml:space="preserve"> </w:t>
      </w:r>
      <w:r w:rsidRPr="001048FE">
        <w:rPr>
          <w:lang w:val="sl-SI"/>
        </w:rPr>
        <w:t>podpori</w:t>
      </w:r>
      <w:r w:rsidRPr="001048FE">
        <w:rPr>
          <w:spacing w:val="-6"/>
          <w:lang w:val="sl-SI"/>
        </w:rPr>
        <w:t xml:space="preserve"> </w:t>
      </w:r>
      <w:r w:rsidRPr="001048FE">
        <w:rPr>
          <w:lang w:val="sl-SI"/>
        </w:rPr>
        <w:t>pri</w:t>
      </w:r>
      <w:r w:rsidRPr="001048FE">
        <w:rPr>
          <w:spacing w:val="-6"/>
          <w:lang w:val="sl-SI"/>
        </w:rPr>
        <w:t xml:space="preserve"> </w:t>
      </w:r>
      <w:r w:rsidRPr="001048FE">
        <w:rPr>
          <w:lang w:val="sl-SI"/>
        </w:rPr>
        <w:t>učenju</w:t>
      </w:r>
      <w:r w:rsidRPr="001048FE">
        <w:rPr>
          <w:spacing w:val="-6"/>
          <w:lang w:val="sl-SI"/>
        </w:rPr>
        <w:t xml:space="preserve"> </w:t>
      </w:r>
      <w:r w:rsidRPr="001048FE">
        <w:rPr>
          <w:lang w:val="sl-SI"/>
        </w:rPr>
        <w:t>jezikov</w:t>
      </w:r>
      <w:r w:rsidRPr="001048FE">
        <w:rPr>
          <w:spacing w:val="-6"/>
          <w:lang w:val="sl-SI"/>
        </w:rPr>
        <w:t xml:space="preserve"> </w:t>
      </w:r>
      <w:r w:rsidRPr="001048FE">
        <w:rPr>
          <w:lang w:val="sl-SI"/>
        </w:rPr>
        <w:t>glej</w:t>
      </w:r>
      <w:r w:rsidRPr="001048FE">
        <w:rPr>
          <w:spacing w:val="-6"/>
          <w:lang w:val="sl-SI"/>
        </w:rPr>
        <w:t xml:space="preserve"> </w:t>
      </w:r>
      <w:r w:rsidRPr="001048FE">
        <w:rPr>
          <w:lang w:val="sl-SI"/>
        </w:rPr>
        <w:t>Prilogo</w:t>
      </w:r>
      <w:r w:rsidRPr="001048FE">
        <w:rPr>
          <w:spacing w:val="-6"/>
          <w:lang w:val="sl-SI"/>
        </w:rPr>
        <w:t xml:space="preserve"> </w:t>
      </w:r>
      <w:r w:rsidRPr="001048FE">
        <w:rPr>
          <w:lang w:val="sl-SI"/>
        </w:rPr>
        <w:t>I).</w:t>
      </w:r>
    </w:p>
    <w:p w14:paraId="7D3987CF" w14:textId="77777777" w:rsidR="00E03711" w:rsidRPr="001048FE" w:rsidRDefault="00E03711" w:rsidP="00142646">
      <w:pPr>
        <w:pStyle w:val="GUIDE-NORMAL"/>
        <w:rPr>
          <w:lang w:val="sl-SI"/>
        </w:rPr>
      </w:pPr>
      <w:r w:rsidRPr="001048FE">
        <w:rPr>
          <w:lang w:val="sl-SI"/>
        </w:rPr>
        <w:t>V primerjavi s preteklimi programi je Erasmus+ tudi bolj odprt za razvoj mobilnosti s sodelovanjem partnerskih organizacij, ki izhajajo iz različnih ozadij in so aktivne na različnih področjih ali socialno- ekonomskih sektorjih (npr. prakse univerzitetnih študentov ali dijakov v PIU v podjetjih, nevladnih organizacijah, javnih organih; učitelji v šolah, ki se udeležujejo programov poklicnega razvoja v podjetjih in centrih za usposabljanje; strokovnjaki v gospodarstvu, ki predavajo ali usposabljajo v visokošolskih institucijah itd.).</w:t>
      </w:r>
    </w:p>
    <w:p w14:paraId="7D3987D0" w14:textId="77777777" w:rsidR="00E03711" w:rsidRPr="001048FE" w:rsidRDefault="00E03711" w:rsidP="00142646">
      <w:pPr>
        <w:pStyle w:val="GUIDE-NORMAL"/>
        <w:rPr>
          <w:lang w:val="sl-SI"/>
        </w:rPr>
      </w:pPr>
      <w:r w:rsidRPr="001048FE">
        <w:rPr>
          <w:lang w:val="sl-SI"/>
        </w:rPr>
        <w:t>Tretji pomembni element inovativnosti in kakovosti mobilnosti je, da imajo sodelujoče organizacije programa Erasmus+ možnost organizirati aktivnosti mobilnosti v širšem strateškem okviru in srednjeročnem obdobju. Z enkratno oddajo vloge za nepovratna sredstva za največ dve leti bo koordinator projekta mobilnosti lahko organiziral več aktivnosti mobilnosti in s tem mnogim posameznikom omogočil bivanje v različnih tujih državah. Zato bodo lahko organizacije prijaviteljice v okviru programa Erasmus+ oblikovale svoj projekt v skladu s potrebami udeležencev in ga hkrati uskladile s svojimi notranjimi načrti za internacionalizacijo, krepitev zmogljivosti in posodobitev.</w:t>
      </w:r>
    </w:p>
    <w:p w14:paraId="7D3987D1" w14:textId="77777777" w:rsidR="00E03711" w:rsidRPr="001048FE" w:rsidRDefault="00E03711" w:rsidP="00142646">
      <w:pPr>
        <w:pStyle w:val="GUIDE-NORMAL"/>
        <w:rPr>
          <w:rStyle w:val="Guide-Condensed-01"/>
          <w:lang w:val="sl-SI"/>
        </w:rPr>
      </w:pPr>
      <w:r w:rsidRPr="001048FE">
        <w:rPr>
          <w:rStyle w:val="Guide-Condensed-01"/>
          <w:lang w:val="sl-SI"/>
        </w:rPr>
        <w:t>Glede na profil udeležencev so v okviru ključnega ukrepa 1 s programom Erasmus+ podprte naslednje vrste projektov mobilnosti:</w:t>
      </w:r>
    </w:p>
    <w:p w14:paraId="7D3987D2" w14:textId="77777777" w:rsidR="00E03711" w:rsidRDefault="00E03711">
      <w:pPr>
        <w:pStyle w:val="Guide-NormalBulletpoints"/>
        <w:ind w:left="720" w:hanging="360"/>
        <w:rPr>
          <w:lang w:val="sl-SI"/>
        </w:rPr>
      </w:pPr>
      <w:r w:rsidRPr="001048FE">
        <w:rPr>
          <w:lang w:val="sl-SI"/>
        </w:rPr>
        <w:t>na področju izobraževanja in usposabljanja:</w:t>
      </w:r>
    </w:p>
    <w:p w14:paraId="7D3987D3" w14:textId="77777777" w:rsidR="00E03711" w:rsidRPr="001048FE" w:rsidRDefault="00E03711" w:rsidP="00FD2041">
      <w:pPr>
        <w:pStyle w:val="Guide-ListDash"/>
        <w:rPr>
          <w:lang w:val="sl-SI"/>
        </w:rPr>
      </w:pPr>
      <w:r w:rsidRPr="001048FE">
        <w:rPr>
          <w:lang w:val="sl-SI"/>
        </w:rPr>
        <w:t>projekt mobilnosti za študente in osebje v visokošolskem izobraževanju,</w:t>
      </w:r>
    </w:p>
    <w:p w14:paraId="7D3987D4" w14:textId="77777777" w:rsidR="00E03711" w:rsidRPr="001048FE" w:rsidRDefault="00E03711" w:rsidP="00FD2041">
      <w:pPr>
        <w:pStyle w:val="Guide-ListDash"/>
        <w:rPr>
          <w:lang w:val="sl-SI"/>
        </w:rPr>
      </w:pPr>
      <w:r w:rsidRPr="001048FE">
        <w:rPr>
          <w:lang w:val="sl-SI"/>
        </w:rPr>
        <w:t>projekt mobilnosti za dijake in osebje v poklicnem izobraževanju in usposabljanju, projekt mobilnosti za šolsko osebje,</w:t>
      </w:r>
    </w:p>
    <w:p w14:paraId="7D3987D5" w14:textId="77777777" w:rsidR="00E03711" w:rsidRPr="001048FE" w:rsidRDefault="00E03711" w:rsidP="00FD2041">
      <w:pPr>
        <w:pStyle w:val="Guide-ListDash"/>
        <w:rPr>
          <w:lang w:val="sl-SI"/>
        </w:rPr>
      </w:pPr>
      <w:r w:rsidRPr="001048FE">
        <w:rPr>
          <w:lang w:val="sl-SI"/>
        </w:rPr>
        <w:t>projekt mobilnosti za osebje v izobraževanju odraslih;</w:t>
      </w:r>
    </w:p>
    <w:p w14:paraId="7D3987D6" w14:textId="77777777" w:rsidR="00E03711" w:rsidRDefault="00E03711">
      <w:pPr>
        <w:pStyle w:val="Guide-NormalBulletpoints"/>
        <w:ind w:left="360"/>
        <w:rPr>
          <w:lang w:val="sl-SI"/>
        </w:rPr>
      </w:pPr>
      <w:r w:rsidRPr="001048FE">
        <w:rPr>
          <w:lang w:val="sl-SI"/>
        </w:rPr>
        <w:t>na področju mladine:</w:t>
      </w:r>
    </w:p>
    <w:p w14:paraId="7D3987D7" w14:textId="77777777" w:rsidR="00E03711" w:rsidRPr="001048FE" w:rsidRDefault="00E03711" w:rsidP="00FD2041">
      <w:pPr>
        <w:pStyle w:val="Guide-ListDash"/>
        <w:rPr>
          <w:lang w:val="sl-SI"/>
        </w:rPr>
      </w:pPr>
      <w:r w:rsidRPr="001048FE">
        <w:rPr>
          <w:lang w:val="sl-SI"/>
        </w:rPr>
        <w:t>projekt mobilnosti za mlade in mladinske delavce.</w:t>
      </w:r>
    </w:p>
    <w:p w14:paraId="7D3987D8" w14:textId="77777777" w:rsidR="00E03711" w:rsidRPr="001048FE" w:rsidRDefault="00E03711" w:rsidP="00142646">
      <w:pPr>
        <w:pStyle w:val="GUIDE-NORMAL"/>
        <w:rPr>
          <w:lang w:val="sl-SI"/>
        </w:rPr>
      </w:pPr>
      <w:r w:rsidRPr="001048FE">
        <w:rPr>
          <w:lang w:val="sl-SI"/>
        </w:rPr>
        <w:t>Dolgotrajna mobilnost osebja, kratkotrajna in dolgotrajna mobilnost dijakov ter kombinirana mobilnost učečih se odraslih je lahko podprta v okviru ključnega ukrepa 2 „Strateška partnerstva“.</w:t>
      </w:r>
    </w:p>
    <w:p w14:paraId="7D3987D9" w14:textId="77777777" w:rsidR="00E03711" w:rsidRDefault="00E03711" w:rsidP="00142646">
      <w:pPr>
        <w:pStyle w:val="GUIDE-NORMAL"/>
        <w:rPr>
          <w:lang w:val="sl-SI"/>
        </w:rPr>
      </w:pPr>
      <w:r w:rsidRPr="001048FE">
        <w:rPr>
          <w:lang w:val="sl-SI"/>
        </w:rPr>
        <w:t>V poglavjih v nadaljevanju so navedene podrobne informacije o merilih in pogojih, ki veljajo za posamezne vrste projekta mobilnosti.</w:t>
      </w:r>
    </w:p>
    <w:p w14:paraId="7D3987DA" w14:textId="77777777" w:rsidR="00E03711" w:rsidRDefault="00E03711">
      <w:pPr>
        <w:widowControl/>
        <w:suppressAutoHyphens w:val="0"/>
        <w:autoSpaceDN/>
        <w:textAlignment w:val="auto"/>
        <w:rPr>
          <w:lang w:val="sl-SI"/>
        </w:rPr>
        <w:sectPr w:rsidR="00E03711" w:rsidSect="007F4890">
          <w:headerReference w:type="default" r:id="rId64"/>
          <w:endnotePr>
            <w:numFmt w:val="decimal"/>
          </w:endnotePr>
          <w:pgSz w:w="11910" w:h="16840" w:code="9"/>
          <w:pgMar w:top="1134" w:right="1418" w:bottom="1134" w:left="1418" w:header="283" w:footer="567" w:gutter="0"/>
          <w:cols w:space="720"/>
          <w:docGrid w:linePitch="326"/>
        </w:sectPr>
      </w:pPr>
      <w:r>
        <w:rPr>
          <w:lang w:val="sl-SI"/>
        </w:rPr>
        <w:br w:type="page"/>
      </w:r>
    </w:p>
    <w:p w14:paraId="7D3987DB" w14:textId="77777777" w:rsidR="00E03711" w:rsidRDefault="00E03711">
      <w:pPr>
        <w:pStyle w:val="Guide-Heading4TOC"/>
        <w:rPr>
          <w:lang w:val="sl-SI"/>
        </w:rPr>
      </w:pPr>
      <w:bookmarkStart w:id="156" w:name="_bookmark32"/>
      <w:bookmarkStart w:id="157" w:name="_Toc527401139"/>
      <w:bookmarkEnd w:id="156"/>
      <w:r w:rsidRPr="001048FE">
        <w:rPr>
          <w:lang w:val="sl-SI"/>
        </w:rPr>
        <w:t>Projekt mobilnosti za študente in osebje v visokošolskem izobraževanju</w:t>
      </w:r>
      <w:bookmarkEnd w:id="157"/>
    </w:p>
    <w:p w14:paraId="7D3987DC" w14:textId="77777777" w:rsidR="00E03711" w:rsidRPr="001048FE" w:rsidRDefault="00E03711" w:rsidP="00BE489B">
      <w:pPr>
        <w:pStyle w:val="GUIDE-NORMAL"/>
        <w:rPr>
          <w:lang w:val="sl-SI"/>
        </w:rPr>
      </w:pPr>
      <w:r w:rsidRPr="001048FE">
        <w:rPr>
          <w:lang w:val="sl-SI"/>
        </w:rPr>
        <w:t>Ta projekt mobilnosti lahko zajema eno ali več naslednjih aktivnosti: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E03711" w:rsidRPr="00C60205" w14:paraId="7D3987E8" w14:textId="77777777" w:rsidTr="00237696">
        <w:trPr>
          <w:trHeight w:val="4152"/>
        </w:trPr>
        <w:tc>
          <w:tcPr>
            <w:tcW w:w="9064" w:type="dxa"/>
            <w:shd w:val="clear" w:color="auto" w:fill="auto"/>
          </w:tcPr>
          <w:p w14:paraId="7D3987DD" w14:textId="77777777" w:rsidR="00E03711" w:rsidRPr="00F769E0" w:rsidRDefault="00E03711" w:rsidP="00237696">
            <w:pPr>
              <w:pStyle w:val="Guide-Heading7"/>
              <w:spacing w:before="60" w:after="60"/>
              <w:rPr>
                <w:rFonts w:cs="Tahoma"/>
                <w:u w:val="single"/>
                <w:lang w:val="sl-SI"/>
              </w:rPr>
            </w:pPr>
            <w:r w:rsidRPr="00F769E0">
              <w:rPr>
                <w:rFonts w:cs="Tahoma"/>
                <w:u w:val="single"/>
                <w:lang w:val="sl-SI"/>
              </w:rPr>
              <w:t>Mobilnost študentov:</w:t>
            </w:r>
          </w:p>
          <w:p w14:paraId="7D3987DE" w14:textId="77777777" w:rsidR="00E03711" w:rsidRPr="00237696" w:rsidRDefault="00E03711" w:rsidP="00237696">
            <w:pPr>
              <w:pStyle w:val="GUIDE-NORMAL"/>
              <w:spacing w:before="60" w:after="60"/>
              <w:rPr>
                <w:lang w:val="sl-SI" w:eastAsia="en-GB"/>
              </w:rPr>
            </w:pPr>
            <w:r w:rsidRPr="00237696">
              <w:rPr>
                <w:lang w:val="sl-SI" w:eastAsia="en-GB"/>
              </w:rPr>
              <w:t>Mobilnost študentov je mogoča na katerem koli področju / v kateri koli akademski disciplini. Za zagotovitev visokokakovostnih aktivnosti mobilnosti s čimvečjim učinkom na študente mora biti aktivnost mobilnosti združljiva s potrebami študenta v zvezi z učenjem za diplomo in osebnim razvojem.</w:t>
            </w:r>
          </w:p>
          <w:p w14:paraId="7D3987DF" w14:textId="77777777" w:rsidR="00E03711" w:rsidRPr="00237696" w:rsidRDefault="00E03711" w:rsidP="00237696">
            <w:pPr>
              <w:pStyle w:val="GUIDE-NORMAL"/>
              <w:spacing w:before="60" w:after="60"/>
              <w:rPr>
                <w:lang w:val="sl-SI" w:eastAsia="en-GB"/>
              </w:rPr>
            </w:pPr>
            <w:r w:rsidRPr="00237696">
              <w:rPr>
                <w:lang w:val="sl-SI" w:eastAsia="en-GB"/>
              </w:rPr>
              <w:t>Študenti lahko izvedejo katero koli od spodaj opisanih aktivnosti ali kombinacijo teh aktivnosti:</w:t>
            </w:r>
          </w:p>
          <w:p w14:paraId="7D3987E0" w14:textId="77777777" w:rsidR="00E03711" w:rsidRPr="00237696" w:rsidRDefault="00E03711" w:rsidP="005115F2">
            <w:pPr>
              <w:pStyle w:val="Guide-NormalBulletpoints"/>
              <w:numPr>
                <w:ilvl w:val="0"/>
                <w:numId w:val="191"/>
              </w:numPr>
              <w:spacing w:before="60" w:after="0"/>
              <w:rPr>
                <w:rFonts w:cs="Times New Roman"/>
                <w:lang w:val="sl-SI"/>
              </w:rPr>
            </w:pPr>
            <w:r w:rsidRPr="00237696">
              <w:rPr>
                <w:rFonts w:cs="Times New Roman"/>
                <w:b/>
                <w:lang w:val="sl-SI"/>
              </w:rPr>
              <w:t xml:space="preserve">obdobje študija </w:t>
            </w:r>
            <w:r w:rsidRPr="00237696">
              <w:rPr>
                <w:rFonts w:cs="Times New Roman"/>
                <w:lang w:val="sl-SI"/>
              </w:rPr>
              <w:t>v tujini na partnerski visokošolski instituciji;</w:t>
            </w:r>
          </w:p>
          <w:p w14:paraId="7D3987E1" w14:textId="77777777" w:rsidR="00E03711" w:rsidRDefault="00E03711" w:rsidP="005361B2">
            <w:pPr>
              <w:pStyle w:val="Guide-Table"/>
              <w:jc w:val="both"/>
              <w:rPr>
                <w:lang w:val="sl-SI" w:eastAsia="en-GB"/>
              </w:rPr>
            </w:pPr>
          </w:p>
          <w:p w14:paraId="7D3987E2" w14:textId="77777777" w:rsidR="00E03711" w:rsidRDefault="00E03711" w:rsidP="005361B2">
            <w:pPr>
              <w:pStyle w:val="Guide-Table"/>
              <w:jc w:val="both"/>
              <w:rPr>
                <w:lang w:val="sl-SI" w:eastAsia="en-GB"/>
              </w:rPr>
            </w:pPr>
            <w:r>
              <w:rPr>
                <w:lang w:val="sl-SI" w:eastAsia="en-GB"/>
              </w:rPr>
              <w:t>obdobje študija v tujini mora biti del študentovega študijskega programa, ki vodi do diplome v kratkem obdobju, prvem obdobju (univerzitetna diploma ali ekvivalent), drugem obdobju (magisterij ali ekvivalent) in tretjem ali doktorskem obdodju;</w:t>
            </w:r>
          </w:p>
          <w:p w14:paraId="7D3987E3" w14:textId="77777777" w:rsidR="00E03711" w:rsidRDefault="00E03711" w:rsidP="005361B2">
            <w:pPr>
              <w:pStyle w:val="Guide-Table"/>
              <w:jc w:val="both"/>
              <w:rPr>
                <w:lang w:val="sl-SI" w:eastAsia="en-GB"/>
              </w:rPr>
            </w:pPr>
          </w:p>
          <w:p w14:paraId="7D3987E4" w14:textId="77777777" w:rsidR="00E03711" w:rsidRPr="00237696" w:rsidRDefault="00E03711" w:rsidP="005361B2">
            <w:pPr>
              <w:pStyle w:val="Guide-Table"/>
              <w:jc w:val="both"/>
              <w:rPr>
                <w:lang w:val="sl-SI" w:eastAsia="en-GB"/>
              </w:rPr>
            </w:pPr>
            <w:r w:rsidRPr="00237696">
              <w:rPr>
                <w:lang w:val="sl-SI" w:eastAsia="en-GB"/>
              </w:rPr>
              <w:t>obdobje študija v tujini lahko vključuje tudi prakso. Takšna kombinacija ustvarja sinergije med akademskimi in strokovnimi izkušnjami v tujini ter je lahko različno organizirana, odvisno od okoliščin: ali aktivnosti potekata druga za drugo ali hkrati. Za kombinacijo veljajo pravila za dodelitev sredstev in minimalno trajanje študijske mobilnosti;</w:t>
            </w:r>
          </w:p>
          <w:p w14:paraId="7D3987E5" w14:textId="77777777" w:rsidR="00E03711" w:rsidRPr="00237696" w:rsidRDefault="00E03711" w:rsidP="005115F2">
            <w:pPr>
              <w:pStyle w:val="Guide-NormalBulletpoints"/>
              <w:numPr>
                <w:ilvl w:val="0"/>
                <w:numId w:val="191"/>
              </w:numPr>
              <w:spacing w:before="60"/>
              <w:rPr>
                <w:rFonts w:cs="Times New Roman"/>
                <w:lang w:val="sl-SI"/>
              </w:rPr>
            </w:pPr>
            <w:r w:rsidRPr="00237696">
              <w:rPr>
                <w:rFonts w:cs="Times New Roman"/>
                <w:b/>
                <w:lang w:val="sl-SI"/>
              </w:rPr>
              <w:t xml:space="preserve">praksa (usposabljanje) </w:t>
            </w:r>
            <w:r w:rsidRPr="00237696">
              <w:rPr>
                <w:rFonts w:cs="Times New Roman"/>
                <w:lang w:val="sl-SI"/>
              </w:rPr>
              <w:t>v tujini v podjetju ali na katerem koli drugem ustreznem delovnem mestu</w:t>
            </w:r>
            <w:r w:rsidRPr="00237696">
              <w:rPr>
                <w:rStyle w:val="FootnoteReference"/>
                <w:rFonts w:cs="Times New Roman"/>
                <w:lang w:val="sl-SI"/>
              </w:rPr>
              <w:footnoteReference w:id="25"/>
            </w:r>
            <w:r w:rsidRPr="00237696">
              <w:rPr>
                <w:rFonts w:cs="Times New Roman"/>
                <w:lang w:val="sl-SI"/>
              </w:rPr>
              <w:t xml:space="preserve">. </w:t>
            </w:r>
            <w:r>
              <w:rPr>
                <w:rFonts w:cs="Times New Roman"/>
                <w:lang w:val="sl-SI"/>
              </w:rPr>
              <w:t>V to so zajete prakse za študente in nedavne diplomante, s katerimi nadalje razvijajo ali pridobivajo digitalne spretnosti</w:t>
            </w:r>
            <w:r>
              <w:rPr>
                <w:rStyle w:val="FootnoteReference"/>
                <w:rFonts w:cs="Times New Roman"/>
                <w:lang w:val="sl-SI"/>
              </w:rPr>
              <w:footnoteReference w:id="26"/>
            </w:r>
            <w:r>
              <w:rPr>
                <w:rFonts w:cs="Times New Roman"/>
                <w:lang w:val="sl-SI"/>
              </w:rPr>
              <w:t xml:space="preserve">. </w:t>
            </w:r>
            <w:r w:rsidRPr="00237696">
              <w:rPr>
                <w:rFonts w:cs="Times New Roman"/>
                <w:lang w:val="sl-SI"/>
              </w:rPr>
              <w:t>Podprte so tudi prakse na delovnem mestu v tujini med višješolskim študijem ter študijem prve, druge in tretje stopnje ter, v primeru mobilnosti v državah Programa, najpozneje v enem letu po tem, ko študent diplomira. V to so zajeta tudi „asistentstva“ za prihodnje učitelje.</w:t>
            </w:r>
          </w:p>
          <w:p w14:paraId="7D3987E6" w14:textId="77777777" w:rsidR="00E03711" w:rsidRDefault="00E03711" w:rsidP="00237696">
            <w:pPr>
              <w:pStyle w:val="GUIDE-NORMAL"/>
              <w:spacing w:before="60" w:after="60"/>
              <w:rPr>
                <w:lang w:val="sl-SI" w:eastAsia="en-GB"/>
              </w:rPr>
            </w:pPr>
          </w:p>
          <w:p w14:paraId="7D3987E7" w14:textId="77777777" w:rsidR="00E03711" w:rsidRPr="00237696" w:rsidRDefault="00E03711" w:rsidP="00237696">
            <w:pPr>
              <w:pStyle w:val="GUIDE-NORMAL"/>
              <w:spacing w:before="60" w:after="60"/>
              <w:rPr>
                <w:lang w:val="sl-SI" w:eastAsia="en-GB"/>
              </w:rPr>
            </w:pPr>
            <w:r w:rsidRPr="00237696">
              <w:rPr>
                <w:lang w:val="sl-SI" w:eastAsia="en-GB"/>
              </w:rPr>
              <w:t>Prakse bi morale biti sestavni del študijskega programa študenta, kadar koli je to mogoče.</w:t>
            </w:r>
          </w:p>
        </w:tc>
      </w:tr>
    </w:tbl>
    <w:p w14:paraId="7D3987E9" w14:textId="77777777" w:rsidR="00E03711" w:rsidRPr="001048FE" w:rsidRDefault="00E03711" w:rsidP="0075479E">
      <w:pPr>
        <w:pStyle w:val="GUIDE-NORMAL"/>
        <w:spacing w:before="60" w:after="60"/>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03711" w:rsidRPr="00C60205" w14:paraId="7D3987EF" w14:textId="77777777" w:rsidTr="00237696">
        <w:trPr>
          <w:trHeight w:val="2437"/>
        </w:trPr>
        <w:tc>
          <w:tcPr>
            <w:tcW w:w="9061" w:type="dxa"/>
            <w:shd w:val="clear" w:color="auto" w:fill="auto"/>
          </w:tcPr>
          <w:p w14:paraId="7D3987EA" w14:textId="77777777" w:rsidR="00E03711" w:rsidRPr="00F769E0" w:rsidRDefault="00E03711" w:rsidP="00237696">
            <w:pPr>
              <w:pStyle w:val="Guide-Heading7"/>
              <w:spacing w:before="60" w:after="60"/>
              <w:rPr>
                <w:rFonts w:cs="Tahoma"/>
                <w:sz w:val="22"/>
                <w:u w:val="single"/>
                <w:lang w:val="sl-SI"/>
              </w:rPr>
            </w:pPr>
            <w:r w:rsidRPr="00F769E0">
              <w:rPr>
                <w:rFonts w:cs="Tahoma"/>
                <w:u w:val="single"/>
                <w:lang w:val="sl-SI"/>
              </w:rPr>
              <w:t>Mobilnost osebja:</w:t>
            </w:r>
          </w:p>
          <w:p w14:paraId="7D3987EB" w14:textId="77777777" w:rsidR="00E03711" w:rsidRPr="00237696" w:rsidRDefault="00E03711" w:rsidP="005115F2">
            <w:pPr>
              <w:pStyle w:val="Guide-NormalBulletpoints"/>
              <w:numPr>
                <w:ilvl w:val="0"/>
                <w:numId w:val="191"/>
              </w:numPr>
              <w:spacing w:before="60"/>
              <w:rPr>
                <w:rFonts w:cs="Times New Roman"/>
                <w:lang w:val="sl-SI"/>
              </w:rPr>
            </w:pPr>
            <w:r w:rsidRPr="00237696">
              <w:rPr>
                <w:rFonts w:cs="Times New Roman"/>
                <w:b/>
                <w:lang w:val="sl-SI"/>
              </w:rPr>
              <w:t>obdobja poučevanja</w:t>
            </w:r>
            <w:r w:rsidRPr="00237696">
              <w:rPr>
                <w:rFonts w:cs="Times New Roman"/>
                <w:lang w:val="sl-SI"/>
              </w:rPr>
              <w:t xml:space="preserve">: ta aktivnost omogoča pedagoškemu osebju visokošolske institucije ali osebju v podjetjih, da poučujejo na partnerski visokošolski instituciji v tujini. Mobilnost osebja za poučevanje je mogoča na katerem koli področju/v kateri koli akademski disciplini; </w:t>
            </w:r>
          </w:p>
          <w:p w14:paraId="7D3987EC" w14:textId="77777777" w:rsidR="00E03711" w:rsidRPr="00237696" w:rsidRDefault="00E03711" w:rsidP="005115F2">
            <w:pPr>
              <w:pStyle w:val="Guide-NormalBulletpoints"/>
              <w:numPr>
                <w:ilvl w:val="0"/>
                <w:numId w:val="191"/>
              </w:numPr>
              <w:spacing w:before="60"/>
              <w:rPr>
                <w:rFonts w:cs="Times New Roman"/>
                <w:lang w:val="sl-SI"/>
              </w:rPr>
            </w:pPr>
            <w:r w:rsidRPr="00237696">
              <w:rPr>
                <w:rFonts w:cs="Times New Roman"/>
                <w:b/>
                <w:lang w:val="sl-SI"/>
              </w:rPr>
              <w:t>obdobja usposabljanja</w:t>
            </w:r>
            <w:r w:rsidRPr="00237696">
              <w:rPr>
                <w:rFonts w:cs="Times New Roman"/>
                <w:lang w:val="sl-SI"/>
              </w:rPr>
              <w:t xml:space="preserve">: </w:t>
            </w:r>
            <w:r w:rsidRPr="00237696">
              <w:rPr>
                <w:rFonts w:eastAsia="Calibri" w:cs="Calibri"/>
                <w:bdr w:val="nil"/>
                <w:shd w:val="clear" w:color="auto" w:fill="auto"/>
                <w:lang w:val="sl-SI" w:eastAsia="zh-CN"/>
              </w:rPr>
              <w:t xml:space="preserve">ta aktivnost podpira profesionalni razvoj osebja v poučevanju in drugega osebja na visokošolskih institucijah, </w:t>
            </w:r>
            <w:r w:rsidRPr="00237696">
              <w:rPr>
                <w:rFonts w:eastAsia="Calibri" w:cs="Calibri"/>
                <w:u w:val="single"/>
                <w:bdr w:val="nil"/>
                <w:shd w:val="clear" w:color="auto" w:fill="auto"/>
                <w:lang w:val="sl-SI" w:eastAsia="zh-CN"/>
              </w:rPr>
              <w:t xml:space="preserve">kot tudi razvoj vpletenih institucij. Lahko poteka </w:t>
            </w:r>
            <w:r w:rsidRPr="00237696">
              <w:rPr>
                <w:rFonts w:eastAsia="Calibri" w:cs="Calibri"/>
                <w:bdr w:val="nil"/>
                <w:shd w:val="clear" w:color="auto" w:fill="auto"/>
                <w:lang w:val="sl-SI" w:eastAsia="zh-CN"/>
              </w:rPr>
              <w:t>v obliki izobraževalnih dogodkov v tujini (ki niso konference) in izobraževalnih obiskov na delovnem mestu/obdobij opazovanja/usposabljanja na partnerski visokošolski instituciji ali v drugi ustrezni organizaciji v tujini.</w:t>
            </w:r>
          </w:p>
          <w:p w14:paraId="7D3987ED" w14:textId="77777777" w:rsidR="00E03711" w:rsidRPr="00237696" w:rsidRDefault="00E03711" w:rsidP="00237696">
            <w:pPr>
              <w:pStyle w:val="GUIDE-NORMAL"/>
              <w:spacing w:before="60" w:after="60"/>
              <w:rPr>
                <w:lang w:val="sl-SI" w:eastAsia="en-GB"/>
              </w:rPr>
            </w:pPr>
            <w:r w:rsidRPr="00237696">
              <w:rPr>
                <w:lang w:val="sl-SI" w:eastAsia="en-GB"/>
              </w:rPr>
              <w:t>Obdobje v tujini lahko združuje aktivnosti poučevanja in usposabljanja.</w:t>
            </w:r>
          </w:p>
          <w:p w14:paraId="7D3987EE" w14:textId="77777777" w:rsidR="00E03711" w:rsidRPr="00237696" w:rsidRDefault="00E03711" w:rsidP="00237696">
            <w:pPr>
              <w:pStyle w:val="GUIDE-NORMAL"/>
              <w:spacing w:before="60" w:after="60"/>
              <w:rPr>
                <w:lang w:val="sl-SI" w:eastAsia="en-GB"/>
              </w:rPr>
            </w:pPr>
            <w:r w:rsidRPr="00237696">
              <w:rPr>
                <w:lang w:val="sl-SI" w:eastAsia="en-GB"/>
              </w:rPr>
              <w:t>Pri dodelitvi nepovratnih sredstev za mobilnost osebja med državami Programa bo poudarek na obdobjih usposabljanja za pedagoško osebje visokošolske institucije, katerih namen je razvijati</w:t>
            </w:r>
            <w:r w:rsidRPr="00237696">
              <w:rPr>
                <w:spacing w:val="10"/>
                <w:lang w:val="sl-SI" w:eastAsia="en-GB"/>
              </w:rPr>
              <w:t xml:space="preserve"> </w:t>
            </w:r>
            <w:r w:rsidRPr="00237696">
              <w:rPr>
                <w:lang w:val="sl-SI" w:eastAsia="en-GB"/>
              </w:rPr>
              <w:t>pedagoške</w:t>
            </w:r>
            <w:r w:rsidRPr="00237696">
              <w:rPr>
                <w:spacing w:val="10"/>
                <w:lang w:val="sl-SI" w:eastAsia="en-GB"/>
              </w:rPr>
              <w:t xml:space="preserve"> </w:t>
            </w:r>
            <w:r w:rsidRPr="00237696">
              <w:rPr>
                <w:lang w:val="sl-SI" w:eastAsia="en-GB"/>
              </w:rPr>
              <w:t>spretnosti</w:t>
            </w:r>
            <w:r w:rsidRPr="00237696">
              <w:rPr>
                <w:spacing w:val="10"/>
                <w:lang w:val="sl-SI" w:eastAsia="en-GB"/>
              </w:rPr>
              <w:t xml:space="preserve"> </w:t>
            </w:r>
            <w:r w:rsidRPr="00237696">
              <w:rPr>
                <w:lang w:val="sl-SI" w:eastAsia="en-GB"/>
              </w:rPr>
              <w:t>in</w:t>
            </w:r>
            <w:r w:rsidRPr="00237696">
              <w:rPr>
                <w:spacing w:val="10"/>
                <w:lang w:val="sl-SI" w:eastAsia="en-GB"/>
              </w:rPr>
              <w:t xml:space="preserve"> </w:t>
            </w:r>
            <w:r w:rsidRPr="00237696">
              <w:rPr>
                <w:lang w:val="sl-SI" w:eastAsia="en-GB"/>
              </w:rPr>
              <w:t>spretnosti</w:t>
            </w:r>
            <w:r w:rsidRPr="00237696">
              <w:rPr>
                <w:spacing w:val="10"/>
                <w:lang w:val="sl-SI" w:eastAsia="en-GB"/>
              </w:rPr>
              <w:t xml:space="preserve"> </w:t>
            </w:r>
            <w:r w:rsidRPr="00237696">
              <w:rPr>
                <w:lang w:val="sl-SI" w:eastAsia="en-GB"/>
              </w:rPr>
              <w:t>na</w:t>
            </w:r>
            <w:r w:rsidRPr="00237696">
              <w:rPr>
                <w:spacing w:val="10"/>
                <w:lang w:val="sl-SI" w:eastAsia="en-GB"/>
              </w:rPr>
              <w:t xml:space="preserve"> </w:t>
            </w:r>
            <w:r w:rsidRPr="00237696">
              <w:rPr>
                <w:lang w:val="sl-SI" w:eastAsia="en-GB"/>
              </w:rPr>
              <w:t>področju</w:t>
            </w:r>
            <w:r w:rsidRPr="00237696">
              <w:rPr>
                <w:spacing w:val="10"/>
                <w:lang w:val="sl-SI" w:eastAsia="en-GB"/>
              </w:rPr>
              <w:t xml:space="preserve"> </w:t>
            </w:r>
            <w:r w:rsidRPr="00237696">
              <w:rPr>
                <w:lang w:val="sl-SI" w:eastAsia="en-GB"/>
              </w:rPr>
              <w:t>oblikovanja</w:t>
            </w:r>
            <w:r w:rsidRPr="00237696">
              <w:rPr>
                <w:spacing w:val="10"/>
                <w:lang w:val="sl-SI" w:eastAsia="en-GB"/>
              </w:rPr>
              <w:t xml:space="preserve"> </w:t>
            </w:r>
            <w:r w:rsidRPr="00237696">
              <w:rPr>
                <w:lang w:val="sl-SI" w:eastAsia="en-GB"/>
              </w:rPr>
              <w:t>učnih</w:t>
            </w:r>
            <w:r w:rsidRPr="00237696">
              <w:rPr>
                <w:spacing w:val="10"/>
                <w:lang w:val="sl-SI" w:eastAsia="en-GB"/>
              </w:rPr>
              <w:t xml:space="preserve"> </w:t>
            </w:r>
            <w:r w:rsidRPr="00237696">
              <w:rPr>
                <w:lang w:val="sl-SI" w:eastAsia="en-GB"/>
              </w:rPr>
              <w:t>načrtov.</w:t>
            </w:r>
          </w:p>
        </w:tc>
      </w:tr>
    </w:tbl>
    <w:p w14:paraId="7D3987F0" w14:textId="77777777" w:rsidR="00E03711" w:rsidRPr="001048FE" w:rsidRDefault="00E03711" w:rsidP="00BE489B">
      <w:pPr>
        <w:pStyle w:val="GUIDE-NORMAL"/>
        <w:rPr>
          <w:lang w:val="sl-SI"/>
        </w:rPr>
      </w:pPr>
      <w:r w:rsidRPr="001048FE">
        <w:rPr>
          <w:lang w:val="sl-SI"/>
        </w:rPr>
        <w:t>Večina proračunskih sredstev za ta ukrep bo namenjena podpiranju aktivnosti, ki vključujejo mobilnost</w:t>
      </w:r>
      <w:r w:rsidRPr="001048FE">
        <w:rPr>
          <w:spacing w:val="-17"/>
          <w:lang w:val="sl-SI"/>
        </w:rPr>
        <w:t xml:space="preserve"> </w:t>
      </w:r>
      <w:r w:rsidRPr="001048FE">
        <w:rPr>
          <w:lang w:val="sl-SI"/>
        </w:rPr>
        <w:t>med</w:t>
      </w:r>
      <w:r w:rsidRPr="001048FE">
        <w:rPr>
          <w:spacing w:val="-17"/>
          <w:lang w:val="sl-SI"/>
        </w:rPr>
        <w:t xml:space="preserve"> </w:t>
      </w:r>
      <w:r w:rsidRPr="001048FE">
        <w:rPr>
          <w:lang w:val="sl-SI"/>
        </w:rPr>
        <w:t>državami</w:t>
      </w:r>
      <w:r w:rsidRPr="001048FE">
        <w:rPr>
          <w:spacing w:val="-17"/>
          <w:lang w:val="sl-SI"/>
        </w:rPr>
        <w:t xml:space="preserve"> </w:t>
      </w:r>
      <w:r w:rsidRPr="001048FE">
        <w:rPr>
          <w:lang w:val="sl-SI"/>
        </w:rPr>
        <w:t>Programa.</w:t>
      </w:r>
      <w:r w:rsidRPr="001048FE">
        <w:rPr>
          <w:spacing w:val="-17"/>
          <w:lang w:val="sl-SI"/>
        </w:rPr>
        <w:t xml:space="preserve"> </w:t>
      </w:r>
      <w:r w:rsidRPr="001048FE">
        <w:rPr>
          <w:lang w:val="sl-SI"/>
        </w:rPr>
        <w:t>Vendar</w:t>
      </w:r>
      <w:r w:rsidRPr="001048FE">
        <w:rPr>
          <w:spacing w:val="-17"/>
          <w:lang w:val="sl-SI"/>
        </w:rPr>
        <w:t xml:space="preserve"> </w:t>
      </w:r>
      <w:r w:rsidRPr="001048FE">
        <w:rPr>
          <w:lang w:val="sl-SI"/>
        </w:rPr>
        <w:t>se</w:t>
      </w:r>
      <w:r w:rsidRPr="001048FE">
        <w:rPr>
          <w:spacing w:val="-17"/>
          <w:lang w:val="sl-SI"/>
        </w:rPr>
        <w:t xml:space="preserve"> </w:t>
      </w:r>
      <w:r w:rsidRPr="001048FE">
        <w:rPr>
          <w:lang w:val="sl-SI"/>
        </w:rPr>
        <w:t>lahko</w:t>
      </w:r>
      <w:r w:rsidRPr="001048FE">
        <w:rPr>
          <w:spacing w:val="-17"/>
          <w:lang w:val="sl-SI"/>
        </w:rPr>
        <w:t xml:space="preserve"> </w:t>
      </w:r>
      <w:r w:rsidRPr="001048FE">
        <w:rPr>
          <w:lang w:val="sl-SI"/>
        </w:rPr>
        <w:t>z</w:t>
      </w:r>
      <w:r w:rsidRPr="001048FE">
        <w:rPr>
          <w:spacing w:val="-17"/>
          <w:lang w:val="sl-SI"/>
        </w:rPr>
        <w:t xml:space="preserve"> </w:t>
      </w:r>
      <w:r w:rsidRPr="001048FE">
        <w:rPr>
          <w:lang w:val="sl-SI"/>
        </w:rPr>
        <w:t>omejenim</w:t>
      </w:r>
      <w:r w:rsidRPr="001048FE">
        <w:rPr>
          <w:spacing w:val="-17"/>
          <w:lang w:val="sl-SI"/>
        </w:rPr>
        <w:t xml:space="preserve"> </w:t>
      </w:r>
      <w:r w:rsidRPr="001048FE">
        <w:rPr>
          <w:lang w:val="sl-SI"/>
        </w:rPr>
        <w:t>zneskom</w:t>
      </w:r>
      <w:r w:rsidRPr="001048FE">
        <w:rPr>
          <w:spacing w:val="-17"/>
          <w:lang w:val="sl-SI"/>
        </w:rPr>
        <w:t xml:space="preserve"> </w:t>
      </w:r>
      <w:r w:rsidRPr="001048FE">
        <w:rPr>
          <w:lang w:val="sl-SI"/>
        </w:rPr>
        <w:t>proračuna,</w:t>
      </w:r>
      <w:r w:rsidRPr="001048FE">
        <w:rPr>
          <w:spacing w:val="-17"/>
          <w:lang w:val="sl-SI"/>
        </w:rPr>
        <w:t xml:space="preserve"> </w:t>
      </w:r>
      <w:r w:rsidRPr="001048FE">
        <w:rPr>
          <w:lang w:val="sl-SI"/>
        </w:rPr>
        <w:t>ki</w:t>
      </w:r>
      <w:r w:rsidRPr="001048FE">
        <w:rPr>
          <w:spacing w:val="-17"/>
          <w:lang w:val="sl-SI"/>
        </w:rPr>
        <w:t xml:space="preserve"> </w:t>
      </w:r>
      <w:r w:rsidRPr="001048FE">
        <w:rPr>
          <w:lang w:val="sl-SI"/>
        </w:rPr>
        <w:t>je</w:t>
      </w:r>
      <w:r w:rsidRPr="001048FE">
        <w:rPr>
          <w:spacing w:val="-17"/>
          <w:lang w:val="sl-SI"/>
        </w:rPr>
        <w:t xml:space="preserve"> </w:t>
      </w:r>
      <w:r w:rsidRPr="001048FE">
        <w:rPr>
          <w:lang w:val="sl-SI"/>
        </w:rPr>
        <w:t>na</w:t>
      </w:r>
      <w:r w:rsidRPr="001048FE">
        <w:rPr>
          <w:spacing w:val="-17"/>
          <w:lang w:val="sl-SI"/>
        </w:rPr>
        <w:t xml:space="preserve"> </w:t>
      </w:r>
      <w:r w:rsidRPr="001048FE">
        <w:rPr>
          <w:lang w:val="sl-SI"/>
        </w:rPr>
        <w:t>voljo</w:t>
      </w:r>
      <w:r w:rsidRPr="001048FE">
        <w:rPr>
          <w:spacing w:val="-17"/>
          <w:lang w:val="sl-SI"/>
        </w:rPr>
        <w:t xml:space="preserve"> </w:t>
      </w:r>
      <w:r w:rsidRPr="001048FE">
        <w:rPr>
          <w:lang w:val="sl-SI"/>
        </w:rPr>
        <w:t>za ta ukrep, financirajo mednarodne aktivnosti med državami Programa in partnerskimi državami sveta, razen regij 5 in 12 (glej poglavje „Upravičeni stroški“ v delu A tega</w:t>
      </w:r>
      <w:r w:rsidRPr="001048FE">
        <w:rPr>
          <w:spacing w:val="-36"/>
          <w:lang w:val="sl-SI"/>
        </w:rPr>
        <w:t xml:space="preserve"> </w:t>
      </w:r>
      <w:r w:rsidRPr="001048FE">
        <w:rPr>
          <w:lang w:val="sl-SI"/>
        </w:rPr>
        <w:t>vodnika).</w:t>
      </w:r>
    </w:p>
    <w:p w14:paraId="7D3987F1" w14:textId="77777777" w:rsidR="00E03711" w:rsidRPr="001048FE" w:rsidRDefault="00E03711" w:rsidP="00BE489B">
      <w:pPr>
        <w:pStyle w:val="GUIDE-NORMAL"/>
        <w:rPr>
          <w:lang w:val="sl-SI"/>
        </w:rPr>
      </w:pPr>
      <w:r w:rsidRPr="001048FE">
        <w:rPr>
          <w:lang w:val="sl-SI"/>
        </w:rPr>
        <w:t>Sredstva</w:t>
      </w:r>
      <w:r w:rsidRPr="001048FE">
        <w:rPr>
          <w:spacing w:val="-11"/>
          <w:lang w:val="sl-SI"/>
        </w:rPr>
        <w:t xml:space="preserve"> </w:t>
      </w:r>
      <w:r w:rsidRPr="001048FE">
        <w:rPr>
          <w:lang w:val="sl-SI"/>
        </w:rPr>
        <w:t>za</w:t>
      </w:r>
      <w:r w:rsidRPr="001048FE">
        <w:rPr>
          <w:spacing w:val="-11"/>
          <w:lang w:val="sl-SI"/>
        </w:rPr>
        <w:t xml:space="preserve"> </w:t>
      </w:r>
      <w:r w:rsidRPr="001048FE">
        <w:rPr>
          <w:lang w:val="sl-SI"/>
        </w:rPr>
        <w:t>mobilnost</w:t>
      </w:r>
      <w:r w:rsidRPr="001048FE">
        <w:rPr>
          <w:spacing w:val="-11"/>
          <w:lang w:val="sl-SI"/>
        </w:rPr>
        <w:t xml:space="preserve"> </w:t>
      </w:r>
      <w:r w:rsidRPr="001048FE">
        <w:rPr>
          <w:lang w:val="sl-SI"/>
        </w:rPr>
        <w:t>med</w:t>
      </w:r>
      <w:r w:rsidRPr="001048FE">
        <w:rPr>
          <w:spacing w:val="-11"/>
          <w:lang w:val="sl-SI"/>
        </w:rPr>
        <w:t xml:space="preserve"> </w:t>
      </w:r>
      <w:r w:rsidRPr="001048FE">
        <w:rPr>
          <w:lang w:val="sl-SI"/>
        </w:rPr>
        <w:t>državami</w:t>
      </w:r>
      <w:r w:rsidRPr="001048FE">
        <w:rPr>
          <w:spacing w:val="-11"/>
          <w:lang w:val="sl-SI"/>
        </w:rPr>
        <w:t xml:space="preserve"> </w:t>
      </w:r>
      <w:r w:rsidRPr="001048FE">
        <w:rPr>
          <w:lang w:val="sl-SI"/>
        </w:rPr>
        <w:t>Programa</w:t>
      </w:r>
      <w:r w:rsidRPr="001048FE">
        <w:rPr>
          <w:spacing w:val="-11"/>
          <w:lang w:val="sl-SI"/>
        </w:rPr>
        <w:t xml:space="preserve"> </w:t>
      </w:r>
      <w:r w:rsidRPr="001048FE">
        <w:rPr>
          <w:lang w:val="sl-SI"/>
        </w:rPr>
        <w:t>in</w:t>
      </w:r>
      <w:r w:rsidRPr="001048FE">
        <w:rPr>
          <w:spacing w:val="-11"/>
          <w:lang w:val="sl-SI"/>
        </w:rPr>
        <w:t xml:space="preserve"> </w:t>
      </w:r>
      <w:r w:rsidRPr="001048FE">
        <w:rPr>
          <w:lang w:val="sl-SI"/>
        </w:rPr>
        <w:t>partnerskimi</w:t>
      </w:r>
      <w:r w:rsidRPr="001048FE">
        <w:rPr>
          <w:spacing w:val="-11"/>
          <w:lang w:val="sl-SI"/>
        </w:rPr>
        <w:t xml:space="preserve"> </w:t>
      </w:r>
      <w:r w:rsidRPr="001048FE">
        <w:rPr>
          <w:lang w:val="sl-SI"/>
        </w:rPr>
        <w:t>državami</w:t>
      </w:r>
      <w:r w:rsidRPr="001048FE">
        <w:rPr>
          <w:spacing w:val="-11"/>
          <w:lang w:val="sl-SI"/>
        </w:rPr>
        <w:t xml:space="preserve"> </w:t>
      </w:r>
      <w:r w:rsidRPr="001048FE">
        <w:rPr>
          <w:lang w:val="sl-SI"/>
        </w:rPr>
        <w:t>se</w:t>
      </w:r>
      <w:r w:rsidRPr="001048FE">
        <w:rPr>
          <w:spacing w:val="-11"/>
          <w:lang w:val="sl-SI"/>
        </w:rPr>
        <w:t xml:space="preserve"> </w:t>
      </w:r>
      <w:r w:rsidRPr="001048FE">
        <w:rPr>
          <w:lang w:val="sl-SI"/>
        </w:rPr>
        <w:t>črpajo</w:t>
      </w:r>
      <w:r w:rsidRPr="001048FE">
        <w:rPr>
          <w:spacing w:val="-11"/>
          <w:lang w:val="sl-SI"/>
        </w:rPr>
        <w:t xml:space="preserve"> </w:t>
      </w:r>
      <w:r w:rsidRPr="001048FE">
        <w:rPr>
          <w:lang w:val="sl-SI"/>
        </w:rPr>
        <w:t>iz</w:t>
      </w:r>
      <w:r w:rsidRPr="001048FE">
        <w:rPr>
          <w:spacing w:val="-11"/>
          <w:lang w:val="sl-SI"/>
        </w:rPr>
        <w:t xml:space="preserve"> </w:t>
      </w:r>
      <w:r w:rsidRPr="001048FE">
        <w:rPr>
          <w:lang w:val="sl-SI"/>
        </w:rPr>
        <w:t>več</w:t>
      </w:r>
      <w:r w:rsidRPr="001048FE">
        <w:rPr>
          <w:spacing w:val="-11"/>
          <w:lang w:val="sl-SI"/>
        </w:rPr>
        <w:t xml:space="preserve"> </w:t>
      </w:r>
      <w:r w:rsidRPr="001048FE">
        <w:rPr>
          <w:lang w:val="sl-SI"/>
        </w:rPr>
        <w:t>različnih finančnih</w:t>
      </w:r>
      <w:r w:rsidRPr="001048FE">
        <w:rPr>
          <w:spacing w:val="-19"/>
          <w:lang w:val="sl-SI"/>
        </w:rPr>
        <w:t xml:space="preserve"> </w:t>
      </w:r>
      <w:r w:rsidRPr="001048FE">
        <w:rPr>
          <w:lang w:val="sl-SI"/>
        </w:rPr>
        <w:t>instrumentov</w:t>
      </w:r>
      <w:r w:rsidRPr="001048FE">
        <w:rPr>
          <w:spacing w:val="-19"/>
          <w:lang w:val="sl-SI"/>
        </w:rPr>
        <w:t xml:space="preserve"> </w:t>
      </w:r>
      <w:r w:rsidRPr="001048FE">
        <w:rPr>
          <w:lang w:val="sl-SI"/>
        </w:rPr>
        <w:t>Evropske</w:t>
      </w:r>
      <w:r w:rsidRPr="001048FE">
        <w:rPr>
          <w:spacing w:val="-19"/>
          <w:lang w:val="sl-SI"/>
        </w:rPr>
        <w:t xml:space="preserve"> </w:t>
      </w:r>
      <w:r w:rsidRPr="001048FE">
        <w:rPr>
          <w:lang w:val="sl-SI"/>
        </w:rPr>
        <w:t>unije</w:t>
      </w:r>
      <w:r w:rsidRPr="001048FE">
        <w:rPr>
          <w:spacing w:val="-19"/>
          <w:lang w:val="sl-SI"/>
        </w:rPr>
        <w:t xml:space="preserve"> </w:t>
      </w:r>
      <w:r w:rsidRPr="001048FE">
        <w:rPr>
          <w:lang w:val="sl-SI"/>
        </w:rPr>
        <w:t>za</w:t>
      </w:r>
      <w:r w:rsidRPr="001048FE">
        <w:rPr>
          <w:spacing w:val="-19"/>
          <w:lang w:val="sl-SI"/>
        </w:rPr>
        <w:t xml:space="preserve"> </w:t>
      </w:r>
      <w:r w:rsidRPr="001048FE">
        <w:rPr>
          <w:lang w:val="sl-SI"/>
        </w:rPr>
        <w:t>zunanje</w:t>
      </w:r>
      <w:r w:rsidRPr="001048FE">
        <w:rPr>
          <w:spacing w:val="-19"/>
          <w:lang w:val="sl-SI"/>
        </w:rPr>
        <w:t xml:space="preserve"> </w:t>
      </w:r>
      <w:r w:rsidRPr="001048FE">
        <w:rPr>
          <w:lang w:val="sl-SI"/>
        </w:rPr>
        <w:t>sodelovanje.</w:t>
      </w:r>
      <w:r w:rsidRPr="001048FE">
        <w:rPr>
          <w:spacing w:val="-19"/>
          <w:lang w:val="sl-SI"/>
        </w:rPr>
        <w:t xml:space="preserve"> </w:t>
      </w:r>
      <w:r w:rsidRPr="001048FE">
        <w:rPr>
          <w:lang w:val="sl-SI"/>
        </w:rPr>
        <w:t>Za</w:t>
      </w:r>
      <w:r w:rsidRPr="001048FE">
        <w:rPr>
          <w:spacing w:val="-19"/>
          <w:lang w:val="sl-SI"/>
        </w:rPr>
        <w:t xml:space="preserve"> </w:t>
      </w:r>
      <w:r w:rsidRPr="001048FE">
        <w:rPr>
          <w:lang w:val="sl-SI"/>
        </w:rPr>
        <w:t>zagotovitev,</w:t>
      </w:r>
      <w:r w:rsidRPr="001048FE">
        <w:rPr>
          <w:spacing w:val="-19"/>
          <w:lang w:val="sl-SI"/>
        </w:rPr>
        <w:t xml:space="preserve"> </w:t>
      </w:r>
      <w:r w:rsidRPr="001048FE">
        <w:rPr>
          <w:lang w:val="sl-SI"/>
        </w:rPr>
        <w:t>da</w:t>
      </w:r>
      <w:r w:rsidRPr="001048FE">
        <w:rPr>
          <w:spacing w:val="-19"/>
          <w:lang w:val="sl-SI"/>
        </w:rPr>
        <w:t xml:space="preserve"> </w:t>
      </w:r>
      <w:r w:rsidRPr="001048FE">
        <w:rPr>
          <w:lang w:val="sl-SI"/>
        </w:rPr>
        <w:t>ukrep</w:t>
      </w:r>
      <w:r w:rsidRPr="001048FE">
        <w:rPr>
          <w:spacing w:val="-19"/>
          <w:lang w:val="sl-SI"/>
        </w:rPr>
        <w:t xml:space="preserve"> </w:t>
      </w:r>
      <w:r w:rsidRPr="001048FE">
        <w:rPr>
          <w:lang w:val="sl-SI"/>
        </w:rPr>
        <w:t>upošteva zunanje prednostne naloge EU, je Komisija določila cilje in pravila za sodelovanje s partnerskimi državami.</w:t>
      </w:r>
    </w:p>
    <w:p w14:paraId="7D3987F2" w14:textId="77777777" w:rsidR="00E03711" w:rsidRPr="001048FE" w:rsidRDefault="00E03711" w:rsidP="00BE489B">
      <w:pPr>
        <w:pStyle w:val="GUIDE-NORMAL"/>
        <w:rPr>
          <w:lang w:val="sl-SI"/>
        </w:rPr>
      </w:pPr>
      <w:r w:rsidRPr="001048FE">
        <w:rPr>
          <w:lang w:val="sl-SI"/>
        </w:rPr>
        <w:t>Prijavitelji projektov mobilnosti med državami Programa in partnerskimi državami morajo upoštevati razpoložljiv proračun za mobilnost z različnimi svetovnimi regijami in prednostnimi področji, ki so obrazložena</w:t>
      </w:r>
      <w:r w:rsidRPr="001048FE">
        <w:rPr>
          <w:spacing w:val="-13"/>
          <w:lang w:val="sl-SI"/>
        </w:rPr>
        <w:t xml:space="preserve"> </w:t>
      </w:r>
      <w:r w:rsidRPr="001048FE">
        <w:rPr>
          <w:lang w:val="sl-SI"/>
        </w:rPr>
        <w:t>v</w:t>
      </w:r>
      <w:r w:rsidRPr="001048FE">
        <w:rPr>
          <w:spacing w:val="-14"/>
          <w:lang w:val="sl-SI"/>
        </w:rPr>
        <w:t xml:space="preserve"> </w:t>
      </w:r>
      <w:r w:rsidRPr="001048FE">
        <w:rPr>
          <w:lang w:val="sl-SI"/>
        </w:rPr>
        <w:t>nadaljevanju</w:t>
      </w:r>
      <w:r w:rsidRPr="001048FE">
        <w:rPr>
          <w:spacing w:val="-14"/>
          <w:lang w:val="sl-SI"/>
        </w:rPr>
        <w:t xml:space="preserve"> </w:t>
      </w:r>
      <w:r w:rsidRPr="001048FE">
        <w:rPr>
          <w:lang w:val="sl-SI"/>
        </w:rPr>
        <w:t>v</w:t>
      </w:r>
      <w:r w:rsidRPr="001048FE">
        <w:rPr>
          <w:spacing w:val="-14"/>
          <w:lang w:val="sl-SI"/>
        </w:rPr>
        <w:t xml:space="preserve"> </w:t>
      </w:r>
      <w:r w:rsidRPr="001048FE">
        <w:rPr>
          <w:lang w:val="sl-SI"/>
        </w:rPr>
        <w:t>poglavju</w:t>
      </w:r>
      <w:r w:rsidRPr="001048FE">
        <w:rPr>
          <w:spacing w:val="-14"/>
          <w:lang w:val="sl-SI"/>
        </w:rPr>
        <w:t xml:space="preserve"> </w:t>
      </w:r>
      <w:r w:rsidRPr="001048FE">
        <w:rPr>
          <w:lang w:val="sl-SI"/>
        </w:rPr>
        <w:t>„Dodatne</w:t>
      </w:r>
      <w:r w:rsidRPr="001048FE">
        <w:rPr>
          <w:spacing w:val="-14"/>
          <w:lang w:val="sl-SI"/>
        </w:rPr>
        <w:t xml:space="preserve"> </w:t>
      </w:r>
      <w:r w:rsidRPr="001048FE">
        <w:rPr>
          <w:lang w:val="sl-SI"/>
        </w:rPr>
        <w:t>informacije</w:t>
      </w:r>
      <w:r w:rsidRPr="001048FE">
        <w:rPr>
          <w:spacing w:val="-14"/>
          <w:lang w:val="sl-SI"/>
        </w:rPr>
        <w:t xml:space="preserve"> </w:t>
      </w:r>
      <w:r w:rsidRPr="001048FE">
        <w:rPr>
          <w:lang w:val="sl-SI"/>
        </w:rPr>
        <w:t>za</w:t>
      </w:r>
      <w:r w:rsidRPr="001048FE">
        <w:rPr>
          <w:spacing w:val="-14"/>
          <w:lang w:val="sl-SI"/>
        </w:rPr>
        <w:t xml:space="preserve"> </w:t>
      </w:r>
      <w:r w:rsidRPr="001048FE">
        <w:rPr>
          <w:lang w:val="sl-SI"/>
        </w:rPr>
        <w:t>mobilnost</w:t>
      </w:r>
      <w:r w:rsidRPr="001048FE">
        <w:rPr>
          <w:spacing w:val="-14"/>
          <w:lang w:val="sl-SI"/>
        </w:rPr>
        <w:t xml:space="preserve"> </w:t>
      </w:r>
      <w:r w:rsidRPr="001048FE">
        <w:rPr>
          <w:lang w:val="sl-SI"/>
        </w:rPr>
        <w:t>med</w:t>
      </w:r>
      <w:r w:rsidRPr="001048FE">
        <w:rPr>
          <w:spacing w:val="-14"/>
          <w:lang w:val="sl-SI"/>
        </w:rPr>
        <w:t xml:space="preserve"> </w:t>
      </w:r>
      <w:r w:rsidRPr="001048FE">
        <w:rPr>
          <w:lang w:val="sl-SI"/>
        </w:rPr>
        <w:t>državami</w:t>
      </w:r>
      <w:r w:rsidRPr="001048FE">
        <w:rPr>
          <w:spacing w:val="-14"/>
          <w:lang w:val="sl-SI"/>
        </w:rPr>
        <w:t xml:space="preserve"> </w:t>
      </w:r>
      <w:r w:rsidRPr="001048FE">
        <w:rPr>
          <w:lang w:val="sl-SI"/>
        </w:rPr>
        <w:t>Programa</w:t>
      </w:r>
      <w:r w:rsidRPr="001048FE">
        <w:rPr>
          <w:spacing w:val="-14"/>
          <w:lang w:val="sl-SI"/>
        </w:rPr>
        <w:t xml:space="preserve"> </w:t>
      </w:r>
      <w:r w:rsidRPr="001048FE">
        <w:rPr>
          <w:lang w:val="sl-SI"/>
        </w:rPr>
        <w:t>in partnerskimi</w:t>
      </w:r>
      <w:r w:rsidRPr="001048FE">
        <w:rPr>
          <w:spacing w:val="-2"/>
          <w:lang w:val="sl-SI"/>
        </w:rPr>
        <w:t xml:space="preserve"> </w:t>
      </w:r>
      <w:r w:rsidRPr="001048FE">
        <w:rPr>
          <w:lang w:val="sl-SI"/>
        </w:rPr>
        <w:t>državami“.</w:t>
      </w:r>
    </w:p>
    <w:p w14:paraId="7D3987F3" w14:textId="77777777" w:rsidR="00E03711" w:rsidRPr="001048FE" w:rsidRDefault="00E03711" w:rsidP="00BE489B">
      <w:pPr>
        <w:pStyle w:val="Guide-Heading5"/>
        <w:rPr>
          <w:lang w:val="sl-SI"/>
        </w:rPr>
      </w:pPr>
      <w:r w:rsidRPr="001048FE">
        <w:rPr>
          <w:lang w:val="sl-SI"/>
        </w:rPr>
        <w:t>Kakšna je vloga organizacij, ki sodelujejo v tem</w:t>
      </w:r>
      <w:r w:rsidRPr="001048FE">
        <w:rPr>
          <w:spacing w:val="61"/>
          <w:lang w:val="sl-SI"/>
        </w:rPr>
        <w:t xml:space="preserve"> </w:t>
      </w:r>
      <w:r w:rsidRPr="001048FE">
        <w:rPr>
          <w:lang w:val="sl-SI"/>
        </w:rPr>
        <w:t>projektu?</w:t>
      </w:r>
    </w:p>
    <w:p w14:paraId="7D3987F4" w14:textId="77777777" w:rsidR="00E03711" w:rsidRPr="001048FE" w:rsidRDefault="00E03711" w:rsidP="00BE489B">
      <w:pPr>
        <w:pStyle w:val="GUIDE-NORMAL"/>
        <w:rPr>
          <w:lang w:val="sl-SI"/>
        </w:rPr>
      </w:pPr>
      <w:r w:rsidRPr="001048FE">
        <w:rPr>
          <w:lang w:val="sl-SI"/>
        </w:rPr>
        <w:t>Sodelujoče organizacije, ki so vključene v projekt mobilnosti, prevzamejo naslednje vloge in naloge:</w:t>
      </w:r>
    </w:p>
    <w:p w14:paraId="7D3987F5" w14:textId="77777777" w:rsidR="00E03711" w:rsidRPr="001048FE" w:rsidRDefault="00E03711" w:rsidP="005115F2">
      <w:pPr>
        <w:pStyle w:val="Guide-NormalBulletpoints"/>
        <w:numPr>
          <w:ilvl w:val="0"/>
          <w:numId w:val="192"/>
        </w:numPr>
        <w:rPr>
          <w:lang w:val="sl-SI"/>
        </w:rPr>
      </w:pPr>
      <w:r w:rsidRPr="001048FE">
        <w:rPr>
          <w:lang w:val="sl-SI"/>
        </w:rPr>
        <w:t>organizacija prijaviteljica iz države Programa: odgovorna je za to, da se prijavi na projekt mobilnosti, podpiše in upravlja sporazum o nepovratnih sredstvih ter poroča o projektu. Prijavitelj je lahko koordinator konzorcija: vodi konzorcij za mobilnost, ki je sestavljen iz partnerskih organizacij iz iste države in katerega cilj je organizirati katero koli vrsto mobilnosti študentov ali osebja;</w:t>
      </w:r>
    </w:p>
    <w:p w14:paraId="7D3987F6" w14:textId="77777777" w:rsidR="00E03711" w:rsidRPr="001048FE" w:rsidRDefault="00E03711" w:rsidP="005115F2">
      <w:pPr>
        <w:pStyle w:val="Guide-NormalBulletpoints"/>
        <w:numPr>
          <w:ilvl w:val="0"/>
          <w:numId w:val="192"/>
        </w:numPr>
        <w:rPr>
          <w:lang w:val="sl-SI"/>
        </w:rPr>
      </w:pPr>
      <w:r w:rsidRPr="001048FE">
        <w:rPr>
          <w:lang w:val="sl-SI"/>
        </w:rPr>
        <w:t>organizacija</w:t>
      </w:r>
      <w:r w:rsidRPr="001048FE">
        <w:rPr>
          <w:spacing w:val="-7"/>
          <w:lang w:val="sl-SI"/>
        </w:rPr>
        <w:t xml:space="preserve"> </w:t>
      </w:r>
      <w:r w:rsidRPr="001048FE">
        <w:rPr>
          <w:lang w:val="sl-SI"/>
        </w:rPr>
        <w:t>pošiljateljica:</w:t>
      </w:r>
      <w:r w:rsidRPr="001048FE">
        <w:rPr>
          <w:spacing w:val="-7"/>
          <w:lang w:val="sl-SI"/>
        </w:rPr>
        <w:t xml:space="preserve"> </w:t>
      </w:r>
      <w:r w:rsidRPr="001048FE">
        <w:rPr>
          <w:lang w:val="sl-SI"/>
        </w:rPr>
        <w:t>odgovorna</w:t>
      </w:r>
      <w:r w:rsidRPr="001048FE">
        <w:rPr>
          <w:spacing w:val="-7"/>
          <w:lang w:val="sl-SI"/>
        </w:rPr>
        <w:t xml:space="preserve"> </w:t>
      </w:r>
      <w:r w:rsidRPr="001048FE">
        <w:rPr>
          <w:lang w:val="sl-SI"/>
        </w:rPr>
        <w:t>je</w:t>
      </w:r>
      <w:r w:rsidRPr="001048FE">
        <w:rPr>
          <w:spacing w:val="-7"/>
          <w:lang w:val="sl-SI"/>
        </w:rPr>
        <w:t xml:space="preserve"> </w:t>
      </w:r>
      <w:r w:rsidRPr="001048FE">
        <w:rPr>
          <w:lang w:val="sl-SI"/>
        </w:rPr>
        <w:t>za</w:t>
      </w:r>
      <w:r w:rsidRPr="001048FE">
        <w:rPr>
          <w:spacing w:val="-7"/>
          <w:lang w:val="sl-SI"/>
        </w:rPr>
        <w:t xml:space="preserve"> </w:t>
      </w:r>
      <w:r w:rsidRPr="001048FE">
        <w:rPr>
          <w:lang w:val="sl-SI"/>
        </w:rPr>
        <w:t>to,</w:t>
      </w:r>
      <w:r w:rsidRPr="001048FE">
        <w:rPr>
          <w:spacing w:val="-7"/>
          <w:lang w:val="sl-SI"/>
        </w:rPr>
        <w:t xml:space="preserve"> </w:t>
      </w:r>
      <w:r w:rsidRPr="001048FE">
        <w:rPr>
          <w:lang w:val="sl-SI"/>
        </w:rPr>
        <w:t>da</w:t>
      </w:r>
      <w:r w:rsidRPr="001048FE">
        <w:rPr>
          <w:spacing w:val="-7"/>
          <w:lang w:val="sl-SI"/>
        </w:rPr>
        <w:t xml:space="preserve"> </w:t>
      </w:r>
      <w:r w:rsidRPr="001048FE">
        <w:rPr>
          <w:lang w:val="sl-SI"/>
        </w:rPr>
        <w:t>izbere</w:t>
      </w:r>
      <w:r w:rsidRPr="001048FE">
        <w:rPr>
          <w:spacing w:val="-7"/>
          <w:lang w:val="sl-SI"/>
        </w:rPr>
        <w:t xml:space="preserve"> </w:t>
      </w:r>
      <w:r w:rsidRPr="001048FE">
        <w:rPr>
          <w:lang w:val="sl-SI"/>
        </w:rPr>
        <w:t>študente/osebje</w:t>
      </w:r>
      <w:r w:rsidRPr="001048FE">
        <w:rPr>
          <w:spacing w:val="-7"/>
          <w:lang w:val="sl-SI"/>
        </w:rPr>
        <w:t xml:space="preserve"> </w:t>
      </w:r>
      <w:r w:rsidRPr="001048FE">
        <w:rPr>
          <w:lang w:val="sl-SI"/>
        </w:rPr>
        <w:t>in</w:t>
      </w:r>
      <w:r w:rsidRPr="001048FE">
        <w:rPr>
          <w:spacing w:val="-7"/>
          <w:lang w:val="sl-SI"/>
        </w:rPr>
        <w:t xml:space="preserve"> </w:t>
      </w:r>
      <w:r w:rsidRPr="001048FE">
        <w:rPr>
          <w:lang w:val="sl-SI"/>
        </w:rPr>
        <w:t>jih</w:t>
      </w:r>
      <w:r w:rsidRPr="001048FE">
        <w:rPr>
          <w:spacing w:val="-7"/>
          <w:lang w:val="sl-SI"/>
        </w:rPr>
        <w:t xml:space="preserve"> </w:t>
      </w:r>
      <w:r w:rsidRPr="001048FE">
        <w:rPr>
          <w:lang w:val="sl-SI"/>
        </w:rPr>
        <w:t>napoti</w:t>
      </w:r>
      <w:r w:rsidRPr="001048FE">
        <w:rPr>
          <w:spacing w:val="-7"/>
          <w:lang w:val="sl-SI"/>
        </w:rPr>
        <w:t xml:space="preserve"> </w:t>
      </w:r>
      <w:r w:rsidRPr="001048FE">
        <w:rPr>
          <w:lang w:val="sl-SI"/>
        </w:rPr>
        <w:t>v</w:t>
      </w:r>
      <w:r w:rsidRPr="001048FE">
        <w:rPr>
          <w:spacing w:val="-7"/>
          <w:lang w:val="sl-SI"/>
        </w:rPr>
        <w:t xml:space="preserve"> </w:t>
      </w:r>
      <w:r w:rsidRPr="001048FE">
        <w:rPr>
          <w:lang w:val="sl-SI"/>
        </w:rPr>
        <w:t>tujino.</w:t>
      </w:r>
      <w:r w:rsidRPr="001048FE">
        <w:rPr>
          <w:spacing w:val="-7"/>
          <w:lang w:val="sl-SI"/>
        </w:rPr>
        <w:t xml:space="preserve"> </w:t>
      </w:r>
      <w:r w:rsidRPr="001048FE">
        <w:rPr>
          <w:lang w:val="sl-SI"/>
        </w:rPr>
        <w:t>V to so zajeta plačila nepovratnih sredstev (za tiste v državah Programa), priprava, spremljanje in priznavanje v zvezi z obdobjem</w:t>
      </w:r>
      <w:r w:rsidRPr="001048FE">
        <w:rPr>
          <w:spacing w:val="-17"/>
          <w:lang w:val="sl-SI"/>
        </w:rPr>
        <w:t xml:space="preserve"> </w:t>
      </w:r>
      <w:r w:rsidRPr="001048FE">
        <w:rPr>
          <w:lang w:val="sl-SI"/>
        </w:rPr>
        <w:t>mobilnosti;</w:t>
      </w:r>
    </w:p>
    <w:p w14:paraId="7D3987F7" w14:textId="77777777" w:rsidR="00E03711" w:rsidRPr="001048FE" w:rsidRDefault="00E03711" w:rsidP="005115F2">
      <w:pPr>
        <w:pStyle w:val="Guide-NormalBulletpoints"/>
        <w:numPr>
          <w:ilvl w:val="0"/>
          <w:numId w:val="192"/>
        </w:numPr>
        <w:rPr>
          <w:lang w:val="sl-SI"/>
        </w:rPr>
      </w:pPr>
      <w:r w:rsidRPr="001048FE">
        <w:rPr>
          <w:lang w:val="sl-SI"/>
        </w:rPr>
        <w:t>organizacija gostiteljica: odgovorna je za to, da sprejme študente/osebje iz tujine in jim zagotovi program študija/prakse, program usposabljanja ali pridobitev znanja na podlagi poučevanja;</w:t>
      </w:r>
    </w:p>
    <w:p w14:paraId="7D3987F8" w14:textId="77777777" w:rsidR="00E03711" w:rsidRPr="001048FE" w:rsidRDefault="00E03711" w:rsidP="005115F2">
      <w:pPr>
        <w:pStyle w:val="Guide-NormalBulletpoints"/>
        <w:numPr>
          <w:ilvl w:val="0"/>
          <w:numId w:val="192"/>
        </w:numPr>
        <w:rPr>
          <w:lang w:val="sl-SI"/>
        </w:rPr>
      </w:pPr>
      <w:r w:rsidRPr="001048FE">
        <w:rPr>
          <w:lang w:val="sl-SI"/>
        </w:rPr>
        <w:t>organizacija posrednica: to je organizacija, ki je dejavna na trgu dela ali na področju izobraževanja, usposabljanja in mladinskega dela v državi Programa. Lahko je partnerica nacionalnega konzorcija za mobilnost, ni pa organizacija pošiljateljica. Njena naloga je lahko izmenjava in olajšanje administrativnih postopkov visokošolskih institucij pošiljateljic, iskanje ustreznih mest glede na profil študentov v primeru praks in skupna priprava udeležencev.</w:t>
      </w:r>
    </w:p>
    <w:p w14:paraId="7D3987F9" w14:textId="77777777" w:rsidR="00E03711" w:rsidRPr="001048FE" w:rsidRDefault="00E03711" w:rsidP="00BE489B">
      <w:pPr>
        <w:pStyle w:val="GUIDE-NORMAL"/>
        <w:rPr>
          <w:lang w:val="sl-SI"/>
        </w:rPr>
      </w:pPr>
      <w:r w:rsidRPr="001048FE">
        <w:rPr>
          <w:lang w:val="sl-SI"/>
        </w:rPr>
        <w:t>Za mobilnost med državami Programa in partnerskimi državami se lahko prijavijo le organizacije iz držav Programa, ki tudi edine lahko upravljajo plačila za vhodno in izhodno mobilnost.</w:t>
      </w:r>
    </w:p>
    <w:p w14:paraId="7D3987FA" w14:textId="77777777" w:rsidR="00E03711" w:rsidRPr="001048FE" w:rsidRDefault="00E03711" w:rsidP="00BE489B">
      <w:pPr>
        <w:pStyle w:val="GUIDE-NORMAL"/>
        <w:rPr>
          <w:lang w:val="sl-SI"/>
        </w:rPr>
      </w:pPr>
      <w:r w:rsidRPr="001048FE">
        <w:rPr>
          <w:lang w:val="sl-SI"/>
        </w:rPr>
        <w:t>Organizaciji pošiljateljica in gostiteljica ter študenti/osebje se morajo dogovoriti o aktivnostih, ki jih bodo opravili študenti – v „učnem sporazumu“ – ali osebje – v „sporazumu o mobilnosti“ – pred začetkom</w:t>
      </w:r>
      <w:r w:rsidRPr="001048FE">
        <w:rPr>
          <w:spacing w:val="-11"/>
          <w:lang w:val="sl-SI"/>
        </w:rPr>
        <w:t xml:space="preserve"> </w:t>
      </w:r>
      <w:r w:rsidRPr="001048FE">
        <w:rPr>
          <w:lang w:val="sl-SI"/>
        </w:rPr>
        <w:t>obdobja</w:t>
      </w:r>
      <w:r w:rsidRPr="001048FE">
        <w:rPr>
          <w:spacing w:val="-11"/>
          <w:lang w:val="sl-SI"/>
        </w:rPr>
        <w:t xml:space="preserve"> </w:t>
      </w:r>
      <w:r w:rsidRPr="001048FE">
        <w:rPr>
          <w:lang w:val="sl-SI"/>
        </w:rPr>
        <w:t>mobilnosti.</w:t>
      </w:r>
      <w:r w:rsidRPr="001048FE">
        <w:rPr>
          <w:spacing w:val="-11"/>
          <w:lang w:val="sl-SI"/>
        </w:rPr>
        <w:t xml:space="preserve"> </w:t>
      </w:r>
      <w:r w:rsidRPr="001048FE">
        <w:rPr>
          <w:lang w:val="sl-SI"/>
        </w:rPr>
        <w:t>Ti</w:t>
      </w:r>
      <w:r w:rsidRPr="001048FE">
        <w:rPr>
          <w:spacing w:val="-11"/>
          <w:lang w:val="sl-SI"/>
        </w:rPr>
        <w:t xml:space="preserve"> </w:t>
      </w:r>
      <w:r w:rsidRPr="001048FE">
        <w:rPr>
          <w:lang w:val="sl-SI"/>
        </w:rPr>
        <w:t>sporazumi</w:t>
      </w:r>
      <w:r w:rsidRPr="001048FE">
        <w:rPr>
          <w:spacing w:val="-11"/>
          <w:lang w:val="sl-SI"/>
        </w:rPr>
        <w:t xml:space="preserve"> </w:t>
      </w:r>
      <w:r w:rsidRPr="001048FE">
        <w:rPr>
          <w:lang w:val="sl-SI"/>
        </w:rPr>
        <w:t>opredeljujejo</w:t>
      </w:r>
      <w:r w:rsidRPr="001048FE">
        <w:rPr>
          <w:spacing w:val="-11"/>
          <w:lang w:val="sl-SI"/>
        </w:rPr>
        <w:t xml:space="preserve"> </w:t>
      </w:r>
      <w:r w:rsidRPr="001048FE">
        <w:rPr>
          <w:lang w:val="sl-SI"/>
        </w:rPr>
        <w:t>ciljne</w:t>
      </w:r>
      <w:r w:rsidRPr="001048FE">
        <w:rPr>
          <w:spacing w:val="-11"/>
          <w:lang w:val="sl-SI"/>
        </w:rPr>
        <w:t xml:space="preserve"> </w:t>
      </w:r>
      <w:r w:rsidRPr="001048FE">
        <w:rPr>
          <w:lang w:val="sl-SI"/>
        </w:rPr>
        <w:t>učne</w:t>
      </w:r>
      <w:r w:rsidRPr="001048FE">
        <w:rPr>
          <w:spacing w:val="-11"/>
          <w:lang w:val="sl-SI"/>
        </w:rPr>
        <w:t xml:space="preserve"> </w:t>
      </w:r>
      <w:r w:rsidRPr="001048FE">
        <w:rPr>
          <w:lang w:val="sl-SI"/>
        </w:rPr>
        <w:t>izide</w:t>
      </w:r>
      <w:r w:rsidRPr="001048FE">
        <w:rPr>
          <w:spacing w:val="-11"/>
          <w:lang w:val="sl-SI"/>
        </w:rPr>
        <w:t xml:space="preserve"> </w:t>
      </w:r>
      <w:r w:rsidRPr="001048FE">
        <w:rPr>
          <w:lang w:val="sl-SI"/>
        </w:rPr>
        <w:t>za</w:t>
      </w:r>
      <w:r w:rsidRPr="001048FE">
        <w:rPr>
          <w:spacing w:val="-11"/>
          <w:lang w:val="sl-SI"/>
        </w:rPr>
        <w:t xml:space="preserve"> </w:t>
      </w:r>
      <w:r w:rsidRPr="001048FE">
        <w:rPr>
          <w:lang w:val="sl-SI"/>
        </w:rPr>
        <w:t>obdobje</w:t>
      </w:r>
      <w:r w:rsidRPr="001048FE">
        <w:rPr>
          <w:spacing w:val="-11"/>
          <w:lang w:val="sl-SI"/>
        </w:rPr>
        <w:t xml:space="preserve"> </w:t>
      </w:r>
      <w:r w:rsidRPr="001048FE">
        <w:rPr>
          <w:lang w:val="sl-SI"/>
        </w:rPr>
        <w:t>učenja</w:t>
      </w:r>
      <w:r w:rsidRPr="001048FE">
        <w:rPr>
          <w:spacing w:val="-11"/>
          <w:lang w:val="sl-SI"/>
        </w:rPr>
        <w:t xml:space="preserve"> </w:t>
      </w:r>
      <w:r w:rsidRPr="001048FE">
        <w:rPr>
          <w:lang w:val="sl-SI"/>
        </w:rPr>
        <w:t>v</w:t>
      </w:r>
      <w:r w:rsidRPr="001048FE">
        <w:rPr>
          <w:spacing w:val="-11"/>
          <w:lang w:val="sl-SI"/>
        </w:rPr>
        <w:t xml:space="preserve"> </w:t>
      </w:r>
      <w:r w:rsidRPr="001048FE">
        <w:rPr>
          <w:lang w:val="sl-SI"/>
        </w:rPr>
        <w:t>tujini, vsebujejo formalne določbe o priznavanju ter navajajo pravice in obveznosti obeh strani. V primeru aktivnosti med dvema visokošolskima institucijama (mobilnost študentov za študij in mobilnost osebja za poučevanje) mora biti pred začetkom mobilnosti sklenjen „medinstitucionalni sporazum“ med institucijama pošiljateljico in</w:t>
      </w:r>
      <w:r w:rsidRPr="001048FE">
        <w:rPr>
          <w:spacing w:val="-6"/>
          <w:lang w:val="sl-SI"/>
        </w:rPr>
        <w:t xml:space="preserve"> </w:t>
      </w:r>
      <w:r w:rsidRPr="001048FE">
        <w:rPr>
          <w:lang w:val="sl-SI"/>
        </w:rPr>
        <w:t>gostiteljico.</w:t>
      </w:r>
    </w:p>
    <w:p w14:paraId="7D3987FB" w14:textId="77777777" w:rsidR="00E03711" w:rsidRPr="001048FE" w:rsidRDefault="00E03711" w:rsidP="00BE489B">
      <w:pPr>
        <w:pStyle w:val="GUIDE-NORMAL"/>
        <w:rPr>
          <w:lang w:val="sl-SI"/>
        </w:rPr>
      </w:pPr>
      <w:r w:rsidRPr="001048FE">
        <w:rPr>
          <w:lang w:val="sl-SI"/>
        </w:rPr>
        <w:t>S</w:t>
      </w:r>
      <w:r w:rsidRPr="001048FE">
        <w:rPr>
          <w:spacing w:val="-24"/>
          <w:lang w:val="sl-SI"/>
        </w:rPr>
        <w:t xml:space="preserve"> </w:t>
      </w:r>
      <w:r w:rsidRPr="001048FE">
        <w:rPr>
          <w:lang w:val="sl-SI"/>
        </w:rPr>
        <w:t>podpisom</w:t>
      </w:r>
      <w:r w:rsidRPr="001048FE">
        <w:rPr>
          <w:spacing w:val="-24"/>
          <w:lang w:val="sl-SI"/>
        </w:rPr>
        <w:t xml:space="preserve"> </w:t>
      </w:r>
      <w:r w:rsidRPr="001048FE">
        <w:rPr>
          <w:lang w:val="sl-SI"/>
        </w:rPr>
        <w:t>Listine</w:t>
      </w:r>
      <w:r w:rsidRPr="001048FE">
        <w:rPr>
          <w:spacing w:val="-24"/>
          <w:lang w:val="sl-SI"/>
        </w:rPr>
        <w:t xml:space="preserve"> </w:t>
      </w:r>
      <w:r w:rsidRPr="001048FE">
        <w:rPr>
          <w:lang w:val="sl-SI"/>
        </w:rPr>
        <w:t>Erasmus</w:t>
      </w:r>
      <w:r w:rsidRPr="001048FE">
        <w:rPr>
          <w:spacing w:val="-24"/>
          <w:lang w:val="sl-SI"/>
        </w:rPr>
        <w:t xml:space="preserve"> </w:t>
      </w:r>
      <w:r w:rsidRPr="001048FE">
        <w:rPr>
          <w:lang w:val="sl-SI"/>
        </w:rPr>
        <w:t>za</w:t>
      </w:r>
      <w:r w:rsidRPr="001048FE">
        <w:rPr>
          <w:spacing w:val="-24"/>
          <w:lang w:val="sl-SI"/>
        </w:rPr>
        <w:t xml:space="preserve"> </w:t>
      </w:r>
      <w:r w:rsidRPr="001048FE">
        <w:rPr>
          <w:lang w:val="sl-SI"/>
        </w:rPr>
        <w:t>terciarno</w:t>
      </w:r>
      <w:r w:rsidRPr="001048FE">
        <w:rPr>
          <w:spacing w:val="-24"/>
          <w:lang w:val="sl-SI"/>
        </w:rPr>
        <w:t xml:space="preserve"> </w:t>
      </w:r>
      <w:r w:rsidRPr="001048FE">
        <w:rPr>
          <w:lang w:val="sl-SI"/>
        </w:rPr>
        <w:t>izobraževanje</w:t>
      </w:r>
      <w:r w:rsidRPr="001048FE">
        <w:rPr>
          <w:spacing w:val="-24"/>
          <w:lang w:val="sl-SI"/>
        </w:rPr>
        <w:t xml:space="preserve"> </w:t>
      </w:r>
      <w:r w:rsidRPr="001048FE">
        <w:rPr>
          <w:lang w:val="sl-SI"/>
        </w:rPr>
        <w:t>(ECHE)</w:t>
      </w:r>
      <w:r w:rsidRPr="001048FE">
        <w:rPr>
          <w:spacing w:val="-24"/>
          <w:lang w:val="sl-SI"/>
        </w:rPr>
        <w:t xml:space="preserve"> </w:t>
      </w:r>
      <w:r w:rsidRPr="001048FE">
        <w:rPr>
          <w:lang w:val="sl-SI"/>
        </w:rPr>
        <w:t>se</w:t>
      </w:r>
      <w:r w:rsidRPr="001048FE">
        <w:rPr>
          <w:spacing w:val="-24"/>
          <w:lang w:val="sl-SI"/>
        </w:rPr>
        <w:t xml:space="preserve"> </w:t>
      </w:r>
      <w:r w:rsidRPr="001048FE">
        <w:rPr>
          <w:lang w:val="sl-SI"/>
        </w:rPr>
        <w:t>visokošolske</w:t>
      </w:r>
      <w:r w:rsidRPr="001048FE">
        <w:rPr>
          <w:spacing w:val="-24"/>
          <w:lang w:val="sl-SI"/>
        </w:rPr>
        <w:t xml:space="preserve"> </w:t>
      </w:r>
      <w:r w:rsidRPr="001048FE">
        <w:rPr>
          <w:lang w:val="sl-SI"/>
        </w:rPr>
        <w:t>institucije</w:t>
      </w:r>
      <w:r w:rsidRPr="001048FE">
        <w:rPr>
          <w:spacing w:val="-24"/>
          <w:lang w:val="sl-SI"/>
        </w:rPr>
        <w:t xml:space="preserve"> </w:t>
      </w:r>
      <w:r w:rsidRPr="001048FE">
        <w:rPr>
          <w:lang w:val="sl-SI"/>
        </w:rPr>
        <w:t>zavežejo, da</w:t>
      </w:r>
      <w:r w:rsidRPr="001048FE">
        <w:rPr>
          <w:spacing w:val="-18"/>
          <w:lang w:val="sl-SI"/>
        </w:rPr>
        <w:t xml:space="preserve"> </w:t>
      </w:r>
      <w:r w:rsidRPr="001048FE">
        <w:rPr>
          <w:lang w:val="sl-SI"/>
        </w:rPr>
        <w:t>bodo</w:t>
      </w:r>
      <w:r w:rsidRPr="001048FE">
        <w:rPr>
          <w:spacing w:val="-18"/>
          <w:lang w:val="sl-SI"/>
        </w:rPr>
        <w:t xml:space="preserve"> </w:t>
      </w:r>
      <w:r w:rsidRPr="001048FE">
        <w:rPr>
          <w:lang w:val="sl-SI"/>
        </w:rPr>
        <w:t>zagotovile</w:t>
      </w:r>
      <w:r w:rsidRPr="001048FE">
        <w:rPr>
          <w:spacing w:val="-18"/>
          <w:lang w:val="sl-SI"/>
        </w:rPr>
        <w:t xml:space="preserve"> </w:t>
      </w:r>
      <w:r w:rsidRPr="001048FE">
        <w:rPr>
          <w:lang w:val="sl-SI"/>
        </w:rPr>
        <w:t>vso</w:t>
      </w:r>
      <w:r w:rsidRPr="001048FE">
        <w:rPr>
          <w:spacing w:val="-18"/>
          <w:lang w:val="sl-SI"/>
        </w:rPr>
        <w:t xml:space="preserve"> </w:t>
      </w:r>
      <w:r w:rsidRPr="001048FE">
        <w:rPr>
          <w:lang w:val="sl-SI"/>
        </w:rPr>
        <w:t>potrebno</w:t>
      </w:r>
      <w:r w:rsidRPr="001048FE">
        <w:rPr>
          <w:spacing w:val="-18"/>
          <w:lang w:val="sl-SI"/>
        </w:rPr>
        <w:t xml:space="preserve"> </w:t>
      </w:r>
      <w:r w:rsidRPr="001048FE">
        <w:rPr>
          <w:lang w:val="sl-SI"/>
        </w:rPr>
        <w:t>podporo</w:t>
      </w:r>
      <w:r w:rsidRPr="001048FE">
        <w:rPr>
          <w:spacing w:val="-18"/>
          <w:lang w:val="sl-SI"/>
        </w:rPr>
        <w:t xml:space="preserve"> </w:t>
      </w:r>
      <w:r w:rsidRPr="001048FE">
        <w:rPr>
          <w:lang w:val="sl-SI"/>
        </w:rPr>
        <w:t>udeležencem</w:t>
      </w:r>
      <w:r w:rsidRPr="001048FE">
        <w:rPr>
          <w:spacing w:val="-18"/>
          <w:lang w:val="sl-SI"/>
        </w:rPr>
        <w:t xml:space="preserve"> </w:t>
      </w:r>
      <w:r w:rsidRPr="001048FE">
        <w:rPr>
          <w:lang w:val="sl-SI"/>
        </w:rPr>
        <w:t>mobilnosti,</w:t>
      </w:r>
      <w:r w:rsidRPr="001048FE">
        <w:rPr>
          <w:spacing w:val="-18"/>
          <w:lang w:val="sl-SI"/>
        </w:rPr>
        <w:t xml:space="preserve"> </w:t>
      </w:r>
      <w:r w:rsidRPr="001048FE">
        <w:rPr>
          <w:lang w:val="sl-SI"/>
        </w:rPr>
        <w:t>vključno</w:t>
      </w:r>
      <w:r w:rsidRPr="001048FE">
        <w:rPr>
          <w:spacing w:val="-18"/>
          <w:lang w:val="sl-SI"/>
        </w:rPr>
        <w:t xml:space="preserve"> </w:t>
      </w:r>
      <w:r w:rsidRPr="001048FE">
        <w:rPr>
          <w:lang w:val="sl-SI"/>
        </w:rPr>
        <w:t>z</w:t>
      </w:r>
      <w:r w:rsidRPr="001048FE">
        <w:rPr>
          <w:spacing w:val="-18"/>
          <w:lang w:val="sl-SI"/>
        </w:rPr>
        <w:t xml:space="preserve"> </w:t>
      </w:r>
      <w:r w:rsidRPr="001048FE">
        <w:rPr>
          <w:lang w:val="sl-SI"/>
        </w:rPr>
        <w:t>jezikovno</w:t>
      </w:r>
      <w:r w:rsidRPr="001048FE">
        <w:rPr>
          <w:spacing w:val="-18"/>
          <w:lang w:val="sl-SI"/>
        </w:rPr>
        <w:t xml:space="preserve"> </w:t>
      </w:r>
      <w:r w:rsidRPr="001048FE">
        <w:rPr>
          <w:lang w:val="sl-SI"/>
        </w:rPr>
        <w:t>pripravo.</w:t>
      </w:r>
      <w:r w:rsidRPr="001048FE">
        <w:rPr>
          <w:spacing w:val="-18"/>
          <w:lang w:val="sl-SI"/>
        </w:rPr>
        <w:t xml:space="preserve"> </w:t>
      </w:r>
      <w:r w:rsidRPr="001048FE">
        <w:rPr>
          <w:lang w:val="sl-SI"/>
        </w:rPr>
        <w:t>Za podporo udeležencem se v okviru Programa postopoma izvaja spletna jezikovna podpora za vse aktivnosti dolgoročne mobilnosti med državami Programa, ki trajajo dva meseca ali dlje. Evropska komisija</w:t>
      </w:r>
      <w:r w:rsidRPr="001048FE">
        <w:rPr>
          <w:spacing w:val="-12"/>
          <w:lang w:val="sl-SI"/>
        </w:rPr>
        <w:t xml:space="preserve"> </w:t>
      </w:r>
      <w:r w:rsidRPr="001048FE">
        <w:rPr>
          <w:lang w:val="sl-SI"/>
        </w:rPr>
        <w:t>omogoča</w:t>
      </w:r>
      <w:r w:rsidRPr="001048FE">
        <w:rPr>
          <w:spacing w:val="-12"/>
          <w:lang w:val="sl-SI"/>
        </w:rPr>
        <w:t xml:space="preserve"> </w:t>
      </w:r>
      <w:r w:rsidRPr="001048FE">
        <w:rPr>
          <w:lang w:val="sl-SI"/>
        </w:rPr>
        <w:t>dostop</w:t>
      </w:r>
      <w:r w:rsidRPr="001048FE">
        <w:rPr>
          <w:spacing w:val="-12"/>
          <w:lang w:val="sl-SI"/>
        </w:rPr>
        <w:t xml:space="preserve"> </w:t>
      </w:r>
      <w:r w:rsidRPr="001048FE">
        <w:rPr>
          <w:lang w:val="sl-SI"/>
        </w:rPr>
        <w:t>do</w:t>
      </w:r>
      <w:r w:rsidRPr="001048FE">
        <w:rPr>
          <w:spacing w:val="-12"/>
          <w:lang w:val="sl-SI"/>
        </w:rPr>
        <w:t xml:space="preserve"> </w:t>
      </w:r>
      <w:r w:rsidRPr="001048FE">
        <w:rPr>
          <w:lang w:val="sl-SI"/>
        </w:rPr>
        <w:t>te</w:t>
      </w:r>
      <w:r w:rsidRPr="001048FE">
        <w:rPr>
          <w:spacing w:val="-12"/>
          <w:lang w:val="sl-SI"/>
        </w:rPr>
        <w:t xml:space="preserve"> </w:t>
      </w:r>
      <w:r w:rsidRPr="001048FE">
        <w:rPr>
          <w:lang w:val="sl-SI"/>
        </w:rPr>
        <w:t>storitve</w:t>
      </w:r>
      <w:r w:rsidRPr="001048FE">
        <w:rPr>
          <w:spacing w:val="-12"/>
          <w:lang w:val="sl-SI"/>
        </w:rPr>
        <w:t xml:space="preserve"> </w:t>
      </w:r>
      <w:r w:rsidRPr="001048FE">
        <w:rPr>
          <w:lang w:val="sl-SI"/>
        </w:rPr>
        <w:t>upravičenim</w:t>
      </w:r>
      <w:r w:rsidRPr="001048FE">
        <w:rPr>
          <w:spacing w:val="-12"/>
          <w:lang w:val="sl-SI"/>
        </w:rPr>
        <w:t xml:space="preserve"> </w:t>
      </w:r>
      <w:r w:rsidRPr="001048FE">
        <w:rPr>
          <w:lang w:val="sl-SI"/>
        </w:rPr>
        <w:t>udeležencem,</w:t>
      </w:r>
      <w:r w:rsidRPr="001048FE">
        <w:rPr>
          <w:spacing w:val="-12"/>
          <w:lang w:val="sl-SI"/>
        </w:rPr>
        <w:t xml:space="preserve"> </w:t>
      </w:r>
      <w:r w:rsidRPr="001048FE">
        <w:rPr>
          <w:lang w:val="sl-SI"/>
        </w:rPr>
        <w:t>da</w:t>
      </w:r>
      <w:r w:rsidRPr="001048FE">
        <w:rPr>
          <w:spacing w:val="-12"/>
          <w:lang w:val="sl-SI"/>
        </w:rPr>
        <w:t xml:space="preserve"> </w:t>
      </w:r>
      <w:r w:rsidRPr="001048FE">
        <w:rPr>
          <w:lang w:val="sl-SI"/>
        </w:rPr>
        <w:t>bi</w:t>
      </w:r>
      <w:r w:rsidRPr="001048FE">
        <w:rPr>
          <w:spacing w:val="-12"/>
          <w:lang w:val="sl-SI"/>
        </w:rPr>
        <w:t xml:space="preserve"> </w:t>
      </w:r>
      <w:r w:rsidRPr="001048FE">
        <w:rPr>
          <w:lang w:val="sl-SI"/>
        </w:rPr>
        <w:t>ocenila</w:t>
      </w:r>
      <w:r w:rsidRPr="001048FE">
        <w:rPr>
          <w:spacing w:val="-12"/>
          <w:lang w:val="sl-SI"/>
        </w:rPr>
        <w:t xml:space="preserve"> </w:t>
      </w:r>
      <w:r w:rsidRPr="001048FE">
        <w:rPr>
          <w:lang w:val="sl-SI"/>
        </w:rPr>
        <w:t>njihovo</w:t>
      </w:r>
      <w:r w:rsidRPr="001048FE">
        <w:rPr>
          <w:spacing w:val="-12"/>
          <w:lang w:val="sl-SI"/>
        </w:rPr>
        <w:t xml:space="preserve"> </w:t>
      </w:r>
      <w:r w:rsidRPr="001048FE">
        <w:rPr>
          <w:lang w:val="sl-SI"/>
        </w:rPr>
        <w:t>znanje</w:t>
      </w:r>
      <w:r w:rsidRPr="001048FE">
        <w:rPr>
          <w:spacing w:val="-12"/>
          <w:lang w:val="sl-SI"/>
        </w:rPr>
        <w:t xml:space="preserve"> </w:t>
      </w:r>
      <w:r w:rsidRPr="001048FE">
        <w:rPr>
          <w:lang w:val="sl-SI"/>
        </w:rPr>
        <w:t>tujih jezikov in po potrebi ponudila najustreznejše učenje jezikov pred mobilnostjo in/ali med njo (za več podrobnosti glej Prilogo I k temu vodniku). Visokošolske institucije iz partnerskih držav niso upravičene do podpisa ECHE, zato bi morale biti podrobnosti o jezikovni podpori, ki je na voljo udeležencem</w:t>
      </w:r>
      <w:r w:rsidRPr="001048FE">
        <w:rPr>
          <w:spacing w:val="-10"/>
          <w:lang w:val="sl-SI"/>
        </w:rPr>
        <w:t xml:space="preserve"> </w:t>
      </w:r>
      <w:r w:rsidRPr="001048FE">
        <w:rPr>
          <w:lang w:val="sl-SI"/>
        </w:rPr>
        <w:t>mobilnosti,</w:t>
      </w:r>
      <w:r w:rsidRPr="001048FE">
        <w:rPr>
          <w:spacing w:val="-10"/>
          <w:lang w:val="sl-SI"/>
        </w:rPr>
        <w:t xml:space="preserve"> </w:t>
      </w:r>
      <w:r w:rsidRPr="001048FE">
        <w:rPr>
          <w:lang w:val="sl-SI"/>
        </w:rPr>
        <w:t>izrecno</w:t>
      </w:r>
      <w:r w:rsidRPr="001048FE">
        <w:rPr>
          <w:spacing w:val="-10"/>
          <w:lang w:val="sl-SI"/>
        </w:rPr>
        <w:t xml:space="preserve"> </w:t>
      </w:r>
      <w:r w:rsidRPr="001048FE">
        <w:rPr>
          <w:lang w:val="sl-SI"/>
        </w:rPr>
        <w:t>navedene</w:t>
      </w:r>
      <w:r w:rsidRPr="001048FE">
        <w:rPr>
          <w:spacing w:val="-10"/>
          <w:lang w:val="sl-SI"/>
        </w:rPr>
        <w:t xml:space="preserve"> </w:t>
      </w:r>
      <w:r w:rsidRPr="001048FE">
        <w:rPr>
          <w:lang w:val="sl-SI"/>
        </w:rPr>
        <w:t>v</w:t>
      </w:r>
      <w:r w:rsidRPr="001048FE">
        <w:rPr>
          <w:spacing w:val="-10"/>
          <w:lang w:val="sl-SI"/>
        </w:rPr>
        <w:t xml:space="preserve"> </w:t>
      </w:r>
      <w:r w:rsidRPr="001048FE">
        <w:rPr>
          <w:lang w:val="sl-SI"/>
        </w:rPr>
        <w:t>njihovem</w:t>
      </w:r>
      <w:r w:rsidRPr="001048FE">
        <w:rPr>
          <w:spacing w:val="-10"/>
          <w:lang w:val="sl-SI"/>
        </w:rPr>
        <w:t xml:space="preserve"> </w:t>
      </w:r>
      <w:r w:rsidRPr="001048FE">
        <w:rPr>
          <w:lang w:val="sl-SI"/>
        </w:rPr>
        <w:t>medinstitucionalnem</w:t>
      </w:r>
      <w:r w:rsidRPr="001048FE">
        <w:rPr>
          <w:spacing w:val="-10"/>
          <w:lang w:val="sl-SI"/>
        </w:rPr>
        <w:t xml:space="preserve"> </w:t>
      </w:r>
      <w:r w:rsidRPr="001048FE">
        <w:rPr>
          <w:lang w:val="sl-SI"/>
        </w:rPr>
        <w:t>sporazumu.</w:t>
      </w:r>
    </w:p>
    <w:p w14:paraId="7D3987FC" w14:textId="77777777" w:rsidR="00E03711" w:rsidRPr="001048FE" w:rsidRDefault="00E03711" w:rsidP="00BE489B">
      <w:pPr>
        <w:pStyle w:val="Guide-Heading5"/>
        <w:rPr>
          <w:lang w:val="sl-SI"/>
        </w:rPr>
        <w:sectPr w:rsidR="00E03711" w:rsidRPr="001048FE" w:rsidSect="007F4890">
          <w:headerReference w:type="even" r:id="rId65"/>
          <w:headerReference w:type="default" r:id="rId66"/>
          <w:endnotePr>
            <w:numFmt w:val="decimal"/>
          </w:endnotePr>
          <w:pgSz w:w="11910" w:h="16840" w:code="9"/>
          <w:pgMar w:top="1134" w:right="1418" w:bottom="1134" w:left="1418" w:header="283" w:footer="567" w:gutter="0"/>
          <w:cols w:space="720"/>
          <w:docGrid w:linePitch="326"/>
        </w:sectPr>
      </w:pPr>
    </w:p>
    <w:p w14:paraId="7D3987FD" w14:textId="77777777" w:rsidR="00E03711" w:rsidRPr="001048FE" w:rsidRDefault="00E03711" w:rsidP="00BE489B">
      <w:pPr>
        <w:pStyle w:val="Guide-Heading5"/>
        <w:rPr>
          <w:lang w:val="sl-SI"/>
        </w:rPr>
      </w:pPr>
      <w:r w:rsidRPr="001048FE">
        <w:rPr>
          <w:lang w:val="sl-SI"/>
        </w:rPr>
        <w:t>Kakšna so merila za oceno tega projekta?</w:t>
      </w:r>
    </w:p>
    <w:p w14:paraId="7D3987FE" w14:textId="77777777" w:rsidR="00E03711" w:rsidRPr="001048FE" w:rsidRDefault="00E03711" w:rsidP="00BE489B">
      <w:pPr>
        <w:pStyle w:val="GUIDE-NORMAL"/>
        <w:rPr>
          <w:lang w:val="sl-SI"/>
        </w:rPr>
      </w:pPr>
      <w:r w:rsidRPr="001048FE">
        <w:rPr>
          <w:lang w:val="sl-SI"/>
        </w:rPr>
        <w:t>V nadaljevanju so navedena merila, ki jih mora upoštevati projekt mobilnosti na področju visokošolskega izobraževanja, da je upravičen do nepovratnih sredstev Erasmus+:</w:t>
      </w:r>
    </w:p>
    <w:p w14:paraId="7D3987FF" w14:textId="77777777" w:rsidR="00E03711" w:rsidRPr="001048FE" w:rsidRDefault="00E03711" w:rsidP="00BE489B">
      <w:pPr>
        <w:pStyle w:val="Guide-Heading6"/>
        <w:rPr>
          <w:lang w:val="sl-SI"/>
        </w:rPr>
      </w:pPr>
      <w:r w:rsidRPr="001048FE">
        <w:rPr>
          <w:lang w:val="sl-SI"/>
        </w:rPr>
        <w:t>Splošna merila za upravičenost</w:t>
      </w:r>
    </w:p>
    <w:tbl>
      <w:tblPr>
        <w:tblW w:w="5006" w:type="pct"/>
        <w:shd w:val="clear" w:color="auto" w:fill="FFFFFF"/>
        <w:tblLook w:val="0000" w:firstRow="0" w:lastRow="0" w:firstColumn="0" w:lastColumn="0" w:noHBand="0" w:noVBand="0"/>
      </w:tblPr>
      <w:tblGrid>
        <w:gridCol w:w="1570"/>
        <w:gridCol w:w="7731"/>
      </w:tblGrid>
      <w:tr w:rsidR="00E03711" w:rsidRPr="00C60205" w14:paraId="7D398804" w14:textId="77777777" w:rsidTr="00C37136">
        <w:trPr>
          <w:cantSplit/>
          <w:trHeight w:val="340"/>
        </w:trPr>
        <w:tc>
          <w:tcPr>
            <w:tcW w:w="844" w:type="pct"/>
            <w:tcBorders>
              <w:top w:val="single" w:sz="8" w:space="0" w:color="000000"/>
              <w:left w:val="single" w:sz="4" w:space="0" w:color="auto"/>
              <w:bottom w:val="dashed" w:sz="4" w:space="0" w:color="auto"/>
              <w:right w:val="single" w:sz="8" w:space="0" w:color="000000"/>
            </w:tcBorders>
            <w:shd w:val="clear" w:color="auto" w:fill="FFFFFF"/>
            <w:vAlign w:val="center"/>
          </w:tcPr>
          <w:p w14:paraId="7D398800" w14:textId="77777777" w:rsidR="00E03711" w:rsidRPr="00F769E0" w:rsidRDefault="00E03711" w:rsidP="0075479E">
            <w:pPr>
              <w:pStyle w:val="Guide-Table"/>
              <w:spacing w:before="60" w:after="60"/>
              <w:jc w:val="left"/>
              <w:rPr>
                <w:rFonts w:cs="Tahoma"/>
                <w:b/>
                <w:lang w:val="sl-SI" w:eastAsia="en-GB"/>
              </w:rPr>
            </w:pPr>
            <w:r w:rsidRPr="00F769E0">
              <w:rPr>
                <w:rFonts w:cs="Tahoma"/>
                <w:b/>
                <w:lang w:val="sl-SI" w:eastAsia="en-GB"/>
              </w:rPr>
              <w:t>Kdo se lahko prijavi?</w:t>
            </w:r>
          </w:p>
        </w:tc>
        <w:tc>
          <w:tcPr>
            <w:tcW w:w="4156" w:type="pct"/>
            <w:tcBorders>
              <w:top w:val="single" w:sz="8" w:space="0" w:color="000000"/>
              <w:left w:val="single" w:sz="8" w:space="0" w:color="000000"/>
              <w:bottom w:val="dashed" w:sz="4" w:space="0" w:color="auto"/>
              <w:right w:val="single" w:sz="4" w:space="0" w:color="auto"/>
            </w:tcBorders>
            <w:shd w:val="clear" w:color="auto" w:fill="FFFFFF"/>
          </w:tcPr>
          <w:p w14:paraId="7D398801" w14:textId="77777777" w:rsidR="00E03711" w:rsidRPr="001048FE" w:rsidRDefault="00E03711" w:rsidP="005115F2">
            <w:pPr>
              <w:pStyle w:val="Guide-NormalBulletpoints"/>
              <w:numPr>
                <w:ilvl w:val="0"/>
                <w:numId w:val="193"/>
              </w:numPr>
              <w:spacing w:before="60"/>
              <w:rPr>
                <w:lang w:val="sl-SI"/>
              </w:rPr>
            </w:pPr>
            <w:r w:rsidRPr="001048FE">
              <w:rPr>
                <w:lang w:val="sl-SI"/>
              </w:rPr>
              <w:t>Za</w:t>
            </w:r>
            <w:r w:rsidRPr="001048FE">
              <w:rPr>
                <w:spacing w:val="-15"/>
                <w:lang w:val="sl-SI"/>
              </w:rPr>
              <w:t xml:space="preserve"> </w:t>
            </w:r>
            <w:r w:rsidRPr="001048FE">
              <w:rPr>
                <w:lang w:val="sl-SI"/>
              </w:rPr>
              <w:t>prijavo</w:t>
            </w:r>
            <w:r w:rsidRPr="001048FE">
              <w:rPr>
                <w:spacing w:val="-15"/>
                <w:lang w:val="sl-SI"/>
              </w:rPr>
              <w:t xml:space="preserve"> </w:t>
            </w:r>
            <w:r w:rsidRPr="001048FE">
              <w:rPr>
                <w:lang w:val="sl-SI"/>
              </w:rPr>
              <w:t>kot</w:t>
            </w:r>
            <w:r w:rsidRPr="001048FE">
              <w:rPr>
                <w:spacing w:val="-15"/>
                <w:lang w:val="sl-SI"/>
              </w:rPr>
              <w:t xml:space="preserve"> </w:t>
            </w:r>
            <w:r w:rsidRPr="001048FE">
              <w:rPr>
                <w:lang w:val="sl-SI"/>
              </w:rPr>
              <w:t>posamezna</w:t>
            </w:r>
            <w:r w:rsidRPr="001048FE">
              <w:rPr>
                <w:spacing w:val="-15"/>
                <w:lang w:val="sl-SI"/>
              </w:rPr>
              <w:t xml:space="preserve"> </w:t>
            </w:r>
            <w:r w:rsidRPr="001048FE">
              <w:rPr>
                <w:lang w:val="sl-SI"/>
              </w:rPr>
              <w:t>visokošolska</w:t>
            </w:r>
            <w:r w:rsidRPr="001048FE">
              <w:rPr>
                <w:spacing w:val="-15"/>
                <w:lang w:val="sl-SI"/>
              </w:rPr>
              <w:t xml:space="preserve"> </w:t>
            </w:r>
            <w:r w:rsidRPr="001048FE">
              <w:rPr>
                <w:lang w:val="sl-SI"/>
              </w:rPr>
              <w:t>institucija:</w:t>
            </w:r>
            <w:r w:rsidRPr="001048FE">
              <w:rPr>
                <w:spacing w:val="-15"/>
                <w:lang w:val="sl-SI"/>
              </w:rPr>
              <w:t xml:space="preserve"> </w:t>
            </w:r>
            <w:r w:rsidRPr="001048FE">
              <w:rPr>
                <w:lang w:val="sl-SI"/>
              </w:rPr>
              <w:t>visokošolske</w:t>
            </w:r>
            <w:r w:rsidRPr="001048FE">
              <w:rPr>
                <w:spacing w:val="-15"/>
                <w:lang w:val="sl-SI"/>
              </w:rPr>
              <w:t xml:space="preserve"> </w:t>
            </w:r>
            <w:r w:rsidRPr="001048FE">
              <w:rPr>
                <w:lang w:val="sl-SI"/>
              </w:rPr>
              <w:t>institucije</w:t>
            </w:r>
            <w:r w:rsidRPr="001048FE">
              <w:rPr>
                <w:spacing w:val="-15"/>
                <w:lang w:val="sl-SI"/>
              </w:rPr>
              <w:t xml:space="preserve"> </w:t>
            </w:r>
            <w:r w:rsidRPr="001048FE">
              <w:rPr>
                <w:lang w:val="sl-SI"/>
              </w:rPr>
              <w:t>s sedežem v državi Programa, ki jim je bila podeljena Listina Erasmus za terciarno izobraževanje (ECHE). Za več informacij o listini glej</w:t>
            </w:r>
            <w:r w:rsidRPr="001048FE">
              <w:rPr>
                <w:spacing w:val="-35"/>
                <w:lang w:val="sl-SI"/>
              </w:rPr>
              <w:t xml:space="preserve"> </w:t>
            </w:r>
            <w:r w:rsidRPr="001048FE">
              <w:rPr>
                <w:lang w:val="sl-SI"/>
              </w:rPr>
              <w:t>poglavje „Listina Erasmus za terciarno izobraževanje“ v nadaljevanju in Prilogo I k temu vodniku.</w:t>
            </w:r>
          </w:p>
          <w:p w14:paraId="7D398802" w14:textId="77777777" w:rsidR="00E03711" w:rsidRPr="001048FE" w:rsidRDefault="00E03711" w:rsidP="005115F2">
            <w:pPr>
              <w:pStyle w:val="Guide-NormalBulletpoints"/>
              <w:numPr>
                <w:ilvl w:val="0"/>
                <w:numId w:val="193"/>
              </w:numPr>
              <w:spacing w:before="60"/>
              <w:rPr>
                <w:lang w:val="sl-SI"/>
              </w:rPr>
            </w:pPr>
            <w:r w:rsidRPr="001048FE">
              <w:rPr>
                <w:lang w:val="sl-SI"/>
              </w:rPr>
              <w:t>Za prijavo kot nacionalni konzorcij za mobilnost: koordinatorske organizacije, ki imajo sedež v državi Programa in koordinirajo konzorcij, ki mu je bila dodeljena akreditacija za konzorcij na področju visokošolskega izobraževanja. Organizacije, ki nimajo veljavne akreditacije za konzorcij, lahko</w:t>
            </w:r>
            <w:r w:rsidRPr="001048FE">
              <w:rPr>
                <w:spacing w:val="-13"/>
                <w:lang w:val="sl-SI"/>
              </w:rPr>
              <w:t xml:space="preserve"> </w:t>
            </w:r>
            <w:r>
              <w:rPr>
                <w:lang w:val="sl-SI"/>
              </w:rPr>
              <w:t xml:space="preserve">hkrati </w:t>
            </w:r>
            <w:r w:rsidRPr="001048FE">
              <w:rPr>
                <w:lang w:val="sl-SI"/>
              </w:rPr>
              <w:t>zaprosijo</w:t>
            </w:r>
            <w:r w:rsidRPr="001048FE">
              <w:rPr>
                <w:spacing w:val="-13"/>
                <w:lang w:val="sl-SI"/>
              </w:rPr>
              <w:t xml:space="preserve"> </w:t>
            </w:r>
            <w:r>
              <w:rPr>
                <w:spacing w:val="-13"/>
                <w:lang w:val="sl-SI"/>
              </w:rPr>
              <w:t xml:space="preserve">za to akreditacijo </w:t>
            </w:r>
            <w:r w:rsidRPr="001048FE">
              <w:rPr>
                <w:lang w:val="sl-SI"/>
              </w:rPr>
              <w:t>v</w:t>
            </w:r>
            <w:r w:rsidRPr="001048FE">
              <w:rPr>
                <w:spacing w:val="-13"/>
                <w:lang w:val="sl-SI"/>
              </w:rPr>
              <w:t xml:space="preserve"> </w:t>
            </w:r>
            <w:r w:rsidRPr="001048FE">
              <w:rPr>
                <w:lang w:val="sl-SI"/>
              </w:rPr>
              <w:t>imenu</w:t>
            </w:r>
            <w:r w:rsidRPr="001048FE">
              <w:rPr>
                <w:spacing w:val="-13"/>
                <w:lang w:val="sl-SI"/>
              </w:rPr>
              <w:t xml:space="preserve"> </w:t>
            </w:r>
            <w:r w:rsidRPr="001048FE">
              <w:rPr>
                <w:lang w:val="sl-SI"/>
              </w:rPr>
              <w:t>konzorcija</w:t>
            </w:r>
            <w:r w:rsidRPr="001048FE">
              <w:rPr>
                <w:spacing w:val="-13"/>
                <w:lang w:val="sl-SI"/>
              </w:rPr>
              <w:t xml:space="preserve"> </w:t>
            </w:r>
            <w:r w:rsidRPr="001048FE">
              <w:rPr>
                <w:lang w:val="sl-SI"/>
              </w:rPr>
              <w:t>za</w:t>
            </w:r>
            <w:r w:rsidRPr="001048FE">
              <w:rPr>
                <w:spacing w:val="-13"/>
                <w:lang w:val="sl-SI"/>
              </w:rPr>
              <w:t xml:space="preserve"> </w:t>
            </w:r>
            <w:r w:rsidRPr="001048FE">
              <w:rPr>
                <w:lang w:val="sl-SI"/>
              </w:rPr>
              <w:t>mobilnost</w:t>
            </w:r>
            <w:r w:rsidRPr="001048FE">
              <w:rPr>
                <w:spacing w:val="-13"/>
                <w:lang w:val="sl-SI"/>
              </w:rPr>
              <w:t xml:space="preserve"> </w:t>
            </w:r>
            <w:r>
              <w:rPr>
                <w:lang w:val="sl-SI"/>
              </w:rPr>
              <w:t xml:space="preserve">in </w:t>
            </w:r>
            <w:r w:rsidRPr="001048FE">
              <w:rPr>
                <w:lang w:val="sl-SI"/>
              </w:rPr>
              <w:t>za nepovratna sredstva za projekt mobilnosti. Vse vključene visokošolske institucije iz upravičenih držav Programa morajo biti nosilke Listine Erasmus za terciarno izobraževanje (ECHE). Te organizacije bodo upravičene do projekta mobilnosti, če bo njihova prijava za akreditacijo za konzorcij uspešna.</w:t>
            </w:r>
          </w:p>
          <w:p w14:paraId="7D398803"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Študenti in osebje v visokošolskem izobraževanju ne morejo neposredno oddati vloge za nepovratna sredstva; merila za izbor za udeležbo v aktivnostih mobilnosti opredeli visokošolska institucija, na kateri študirajo ali so zaposleni v skladu z določbami, opisanimi v Prilogi I k temu vodniku.</w:t>
            </w:r>
          </w:p>
        </w:tc>
      </w:tr>
      <w:tr w:rsidR="00E03711" w:rsidRPr="008C6F8C" w14:paraId="7D39880B" w14:textId="77777777" w:rsidTr="00C37136">
        <w:trPr>
          <w:cantSplit/>
          <w:trHeight w:val="340"/>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7D398805" w14:textId="77777777" w:rsidR="00E03711" w:rsidRPr="00F769E0" w:rsidRDefault="00E03711" w:rsidP="0075479E">
            <w:pPr>
              <w:pStyle w:val="Guide-Table"/>
              <w:spacing w:before="60" w:after="60"/>
              <w:jc w:val="left"/>
              <w:rPr>
                <w:rFonts w:cs="Tahoma"/>
                <w:b/>
                <w:lang w:val="sl-SI" w:eastAsia="en-GB"/>
              </w:rPr>
            </w:pPr>
            <w:r w:rsidRPr="00F769E0">
              <w:rPr>
                <w:rFonts w:cs="Tahoma"/>
                <w:b/>
                <w:lang w:val="sl-SI" w:eastAsia="en-GB"/>
              </w:rPr>
              <w:t>Upravičene aktivnosti</w:t>
            </w:r>
          </w:p>
        </w:tc>
        <w:tc>
          <w:tcPr>
            <w:tcW w:w="4156" w:type="pct"/>
            <w:tcBorders>
              <w:top w:val="dashed" w:sz="4" w:space="0" w:color="auto"/>
              <w:left w:val="single" w:sz="8" w:space="0" w:color="000000"/>
              <w:bottom w:val="dashed" w:sz="4" w:space="0" w:color="auto"/>
              <w:right w:val="single" w:sz="4" w:space="0" w:color="auto"/>
            </w:tcBorders>
            <w:shd w:val="clear" w:color="auto" w:fill="FFFFFF"/>
          </w:tcPr>
          <w:p w14:paraId="7D398806"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Projekt mobilnosti na področju visokošolskega izobraževanja mora zajeti eno ali več naslednjih</w:t>
            </w:r>
            <w:r w:rsidRPr="00F769E0">
              <w:rPr>
                <w:rFonts w:cs="Tahoma"/>
                <w:spacing w:val="6"/>
                <w:lang w:val="sl-SI" w:eastAsia="en-GB"/>
              </w:rPr>
              <w:t xml:space="preserve"> </w:t>
            </w:r>
            <w:r w:rsidRPr="00F769E0">
              <w:rPr>
                <w:rFonts w:cs="Tahoma"/>
                <w:lang w:val="sl-SI" w:eastAsia="en-GB"/>
              </w:rPr>
              <w:t>aktivnosti:</w:t>
            </w:r>
          </w:p>
          <w:p w14:paraId="7D398807" w14:textId="77777777" w:rsidR="00E03711" w:rsidRPr="001048FE" w:rsidRDefault="00E03711" w:rsidP="005115F2">
            <w:pPr>
              <w:pStyle w:val="Guide-NormalBulletpoints"/>
              <w:numPr>
                <w:ilvl w:val="0"/>
                <w:numId w:val="194"/>
              </w:numPr>
              <w:spacing w:before="60"/>
              <w:rPr>
                <w:lang w:val="sl-SI"/>
              </w:rPr>
            </w:pPr>
            <w:r w:rsidRPr="001048FE">
              <w:rPr>
                <w:lang w:val="sl-SI"/>
              </w:rPr>
              <w:t>mobilnost študentov za</w:t>
            </w:r>
            <w:r w:rsidRPr="001048FE">
              <w:rPr>
                <w:spacing w:val="-8"/>
                <w:lang w:val="sl-SI"/>
              </w:rPr>
              <w:t xml:space="preserve"> </w:t>
            </w:r>
            <w:r w:rsidRPr="001048FE">
              <w:rPr>
                <w:lang w:val="sl-SI"/>
              </w:rPr>
              <w:t>študij,</w:t>
            </w:r>
          </w:p>
          <w:p w14:paraId="7D398808" w14:textId="77777777" w:rsidR="00E03711" w:rsidRPr="001048FE" w:rsidRDefault="00E03711" w:rsidP="005115F2">
            <w:pPr>
              <w:pStyle w:val="Guide-NormalBulletpoints"/>
              <w:numPr>
                <w:ilvl w:val="0"/>
                <w:numId w:val="194"/>
              </w:numPr>
              <w:spacing w:before="60"/>
              <w:rPr>
                <w:lang w:val="sl-SI"/>
              </w:rPr>
            </w:pPr>
            <w:r w:rsidRPr="001048FE">
              <w:rPr>
                <w:lang w:val="sl-SI"/>
              </w:rPr>
              <w:t>mobilnost študentov za</w:t>
            </w:r>
            <w:r w:rsidRPr="001048FE">
              <w:rPr>
                <w:spacing w:val="-9"/>
                <w:lang w:val="sl-SI"/>
              </w:rPr>
              <w:t xml:space="preserve"> </w:t>
            </w:r>
            <w:r w:rsidRPr="001048FE">
              <w:rPr>
                <w:lang w:val="sl-SI"/>
              </w:rPr>
              <w:t>prakso,</w:t>
            </w:r>
          </w:p>
          <w:p w14:paraId="7D398809" w14:textId="77777777" w:rsidR="00E03711" w:rsidRPr="001048FE" w:rsidRDefault="00E03711" w:rsidP="005115F2">
            <w:pPr>
              <w:pStyle w:val="Guide-NormalBulletpoints"/>
              <w:numPr>
                <w:ilvl w:val="0"/>
                <w:numId w:val="194"/>
              </w:numPr>
              <w:spacing w:before="60"/>
              <w:rPr>
                <w:lang w:val="sl-SI"/>
              </w:rPr>
            </w:pPr>
            <w:r w:rsidRPr="001048FE">
              <w:rPr>
                <w:lang w:val="sl-SI"/>
              </w:rPr>
              <w:t>mobilnost osebja za</w:t>
            </w:r>
            <w:r w:rsidRPr="001048FE">
              <w:rPr>
                <w:spacing w:val="5"/>
                <w:lang w:val="sl-SI"/>
              </w:rPr>
              <w:t xml:space="preserve"> </w:t>
            </w:r>
            <w:r w:rsidRPr="001048FE">
              <w:rPr>
                <w:lang w:val="sl-SI"/>
              </w:rPr>
              <w:t>poučevanje,</w:t>
            </w:r>
          </w:p>
          <w:p w14:paraId="7D39880A" w14:textId="77777777" w:rsidR="00E03711" w:rsidRPr="001048FE" w:rsidRDefault="00E03711" w:rsidP="005115F2">
            <w:pPr>
              <w:pStyle w:val="Guide-NormalBulletpoints"/>
              <w:numPr>
                <w:ilvl w:val="0"/>
                <w:numId w:val="194"/>
              </w:numPr>
              <w:spacing w:before="60"/>
              <w:rPr>
                <w:lang w:val="sl-SI"/>
              </w:rPr>
            </w:pPr>
            <w:r w:rsidRPr="001048FE">
              <w:rPr>
                <w:lang w:val="sl-SI"/>
              </w:rPr>
              <w:t>mobilnost osebja za</w:t>
            </w:r>
            <w:r w:rsidRPr="001048FE">
              <w:rPr>
                <w:spacing w:val="5"/>
                <w:lang w:val="sl-SI"/>
              </w:rPr>
              <w:t xml:space="preserve"> </w:t>
            </w:r>
            <w:r w:rsidRPr="001048FE">
              <w:rPr>
                <w:lang w:val="sl-SI"/>
              </w:rPr>
              <w:t>usposabljanje.</w:t>
            </w:r>
          </w:p>
        </w:tc>
      </w:tr>
      <w:tr w:rsidR="00E03711" w:rsidRPr="00C60205" w14:paraId="7D398812" w14:textId="77777777" w:rsidTr="00C37136">
        <w:trPr>
          <w:cantSplit/>
          <w:trHeight w:val="340"/>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7D39880C" w14:textId="77777777" w:rsidR="00E03711" w:rsidRPr="00F769E0" w:rsidRDefault="00E03711" w:rsidP="0075479E">
            <w:pPr>
              <w:pStyle w:val="Guide-Table"/>
              <w:spacing w:before="60" w:after="60"/>
              <w:jc w:val="left"/>
              <w:rPr>
                <w:rFonts w:cs="Tahoma"/>
                <w:b/>
                <w:lang w:val="sl-SI" w:eastAsia="en-GB"/>
              </w:rPr>
            </w:pPr>
            <w:r w:rsidRPr="00F769E0">
              <w:rPr>
                <w:rFonts w:cs="Tahoma"/>
                <w:b/>
                <w:lang w:val="sl-SI" w:eastAsia="en-GB"/>
              </w:rPr>
              <w:t>Upravičene države</w:t>
            </w:r>
          </w:p>
        </w:tc>
        <w:tc>
          <w:tcPr>
            <w:tcW w:w="4156" w:type="pct"/>
            <w:tcBorders>
              <w:top w:val="dashed" w:sz="4" w:space="0" w:color="auto"/>
              <w:left w:val="single" w:sz="8" w:space="0" w:color="000000"/>
              <w:bottom w:val="dashed" w:sz="4" w:space="0" w:color="auto"/>
              <w:right w:val="single" w:sz="4" w:space="0" w:color="auto"/>
            </w:tcBorders>
            <w:shd w:val="clear" w:color="auto" w:fill="FFFFFF"/>
          </w:tcPr>
          <w:p w14:paraId="7D39880D"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Mobilnost med državami Programa:</w:t>
            </w:r>
          </w:p>
          <w:p w14:paraId="7D39880E" w14:textId="77777777" w:rsidR="00E03711" w:rsidRPr="001048FE" w:rsidRDefault="00E03711" w:rsidP="005115F2">
            <w:pPr>
              <w:pStyle w:val="Guide-NormalBulletpoints"/>
              <w:numPr>
                <w:ilvl w:val="0"/>
                <w:numId w:val="195"/>
              </w:numPr>
              <w:spacing w:before="60"/>
              <w:rPr>
                <w:lang w:val="sl-SI"/>
              </w:rPr>
            </w:pPr>
            <w:r w:rsidRPr="001048FE">
              <w:rPr>
                <w:lang w:val="sl-SI"/>
              </w:rPr>
              <w:t>katera koli država</w:t>
            </w:r>
            <w:r w:rsidRPr="001048FE">
              <w:rPr>
                <w:spacing w:val="-8"/>
                <w:lang w:val="sl-SI"/>
              </w:rPr>
              <w:t xml:space="preserve"> </w:t>
            </w:r>
            <w:r w:rsidRPr="001048FE">
              <w:rPr>
                <w:lang w:val="sl-SI"/>
              </w:rPr>
              <w:t>Programa.</w:t>
            </w:r>
          </w:p>
          <w:p w14:paraId="7D39880F"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Mobilnost med državami Programa in partnerskimi državami:</w:t>
            </w:r>
          </w:p>
          <w:p w14:paraId="7D398810" w14:textId="77777777" w:rsidR="00E03711" w:rsidRDefault="00E03711" w:rsidP="005115F2">
            <w:pPr>
              <w:pStyle w:val="Guide-NormalBulletpoints"/>
              <w:numPr>
                <w:ilvl w:val="0"/>
                <w:numId w:val="195"/>
              </w:numPr>
              <w:spacing w:before="60"/>
              <w:rPr>
                <w:spacing w:val="-9"/>
                <w:lang w:val="sl-SI"/>
              </w:rPr>
            </w:pPr>
            <w:r w:rsidRPr="001048FE">
              <w:rPr>
                <w:lang w:val="sl-SI"/>
              </w:rPr>
              <w:t>katera koli država Programa</w:t>
            </w:r>
            <w:r>
              <w:rPr>
                <w:spacing w:val="-9"/>
                <w:lang w:val="sl-SI"/>
              </w:rPr>
              <w:t>;</w:t>
            </w:r>
          </w:p>
          <w:p w14:paraId="7D398811" w14:textId="77777777" w:rsidR="00E03711" w:rsidRPr="001048FE" w:rsidRDefault="00E03711" w:rsidP="005115F2">
            <w:pPr>
              <w:pStyle w:val="Guide-NormalBulletpoints"/>
              <w:numPr>
                <w:ilvl w:val="0"/>
                <w:numId w:val="195"/>
              </w:numPr>
              <w:spacing w:before="60"/>
              <w:rPr>
                <w:lang w:val="sl-SI"/>
              </w:rPr>
            </w:pPr>
            <w:r w:rsidRPr="001048FE">
              <w:rPr>
                <w:lang w:val="sl-SI"/>
              </w:rPr>
              <w:t>katera koli partnerska država sveta, razen regij 5 in 12 (glej</w:t>
            </w:r>
            <w:r w:rsidRPr="001048FE">
              <w:rPr>
                <w:spacing w:val="-33"/>
                <w:lang w:val="sl-SI"/>
              </w:rPr>
              <w:t xml:space="preserve"> </w:t>
            </w:r>
            <w:r w:rsidRPr="001048FE">
              <w:rPr>
                <w:lang w:val="sl-SI"/>
              </w:rPr>
              <w:t>poglavje „Upravičene države“ v delu A tega vodnika).</w:t>
            </w:r>
          </w:p>
        </w:tc>
      </w:tr>
      <w:tr w:rsidR="00E03711" w:rsidRPr="00C60205" w14:paraId="7D398815" w14:textId="77777777" w:rsidTr="00C15888">
        <w:trPr>
          <w:cantSplit/>
          <w:trHeight w:val="340"/>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7D398813" w14:textId="77777777" w:rsidR="00E03711" w:rsidRPr="00F769E0" w:rsidRDefault="00E03711" w:rsidP="0075479E">
            <w:pPr>
              <w:pStyle w:val="Guide-Table"/>
              <w:spacing w:before="60" w:after="60"/>
              <w:jc w:val="left"/>
              <w:rPr>
                <w:rFonts w:cs="Tahoma"/>
                <w:b/>
                <w:lang w:val="sl-SI" w:eastAsia="en-GB"/>
              </w:rPr>
            </w:pPr>
            <w:r w:rsidRPr="00F769E0">
              <w:rPr>
                <w:rFonts w:cs="Tahoma"/>
                <w:b/>
                <w:lang w:val="sl-SI" w:eastAsia="en-GB"/>
              </w:rPr>
              <w:t>Število sodelujočih organizacij</w:t>
            </w:r>
          </w:p>
        </w:tc>
        <w:tc>
          <w:tcPr>
            <w:tcW w:w="4156" w:type="pct"/>
            <w:tcBorders>
              <w:top w:val="dashed" w:sz="4" w:space="0" w:color="auto"/>
              <w:left w:val="single" w:sz="8" w:space="0" w:color="000000"/>
              <w:bottom w:val="dashed" w:sz="4" w:space="0" w:color="auto"/>
              <w:right w:val="single" w:sz="4" w:space="0" w:color="auto"/>
            </w:tcBorders>
            <w:shd w:val="clear" w:color="auto" w:fill="FFFFFF"/>
          </w:tcPr>
          <w:p w14:paraId="7D398814" w14:textId="77777777" w:rsidR="00E03711" w:rsidRPr="00F769E0" w:rsidRDefault="00E03711" w:rsidP="0075479E">
            <w:pPr>
              <w:pStyle w:val="Guide-Table"/>
              <w:spacing w:before="60" w:after="60"/>
              <w:jc w:val="left"/>
              <w:rPr>
                <w:rFonts w:cs="Tahoma"/>
                <w:lang w:val="sl-SI" w:eastAsia="en-GB"/>
              </w:rPr>
            </w:pPr>
            <w:r w:rsidRPr="00F769E0">
              <w:rPr>
                <w:rFonts w:cs="Tahoma"/>
                <w:lang w:val="sl-SI" w:eastAsia="en-GB"/>
              </w:rPr>
              <w:t>Število organizacij v prijavnem obrazcu je ena (prijavitelj). To je bodisi ena visokošolska institucija bodisi koordinator nacionalnega konzorcija za mobilnost s sedežem v državi Programa. Med izvajanjem projekta mobilnosti morata sodelovati vsaj dve organizaciji (vsaj ena pošiljateljica in vsaj ena gostiteljica) iz različnih držav Programa. Pri projektih mobilnosti, ki vključujejo partnerske države, morata sodelovati vsaj ena organizacija iz države Programa in ena organizacija iz upravičene partnerske države.</w:t>
            </w:r>
          </w:p>
        </w:tc>
      </w:tr>
      <w:tr w:rsidR="00E03711" w:rsidRPr="00C60205" w14:paraId="7D39881A" w14:textId="77777777" w:rsidTr="00C37136">
        <w:trPr>
          <w:cantSplit/>
          <w:trHeight w:val="340"/>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7D398816" w14:textId="77777777" w:rsidR="00E03711" w:rsidRPr="00F769E0" w:rsidRDefault="00E03711" w:rsidP="0075479E">
            <w:pPr>
              <w:pStyle w:val="Guide-Table"/>
              <w:spacing w:before="60" w:after="60"/>
              <w:jc w:val="left"/>
              <w:rPr>
                <w:rFonts w:cs="Tahoma"/>
                <w:b/>
                <w:lang w:val="sl-SI" w:eastAsia="en-GB"/>
              </w:rPr>
            </w:pPr>
            <w:r w:rsidRPr="00F769E0">
              <w:rPr>
                <w:rFonts w:cs="Tahoma"/>
                <w:b/>
                <w:lang w:val="sl-SI" w:eastAsia="en-GB"/>
              </w:rPr>
              <w:t>Trajanje projekta</w:t>
            </w:r>
          </w:p>
        </w:tc>
        <w:tc>
          <w:tcPr>
            <w:tcW w:w="4156" w:type="pct"/>
            <w:tcBorders>
              <w:top w:val="dashed" w:sz="4" w:space="0" w:color="auto"/>
              <w:left w:val="nil"/>
              <w:bottom w:val="dashed" w:sz="4" w:space="0" w:color="auto"/>
              <w:right w:val="single" w:sz="4" w:space="0" w:color="auto"/>
            </w:tcBorders>
            <w:shd w:val="clear" w:color="auto" w:fill="FFFFFF"/>
            <w:vAlign w:val="center"/>
          </w:tcPr>
          <w:p w14:paraId="7D398817"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Prijavitelj mora trajanje projekta izbrati ob prijavi na podlagi obsega projekta in vrste aktivnosti, ki so načrtovane v tem času.</w:t>
            </w:r>
          </w:p>
          <w:p w14:paraId="7D398818" w14:textId="77777777" w:rsidR="00E03711" w:rsidRPr="001048FE" w:rsidRDefault="00E03711" w:rsidP="0075479E">
            <w:pPr>
              <w:pStyle w:val="Guide-NormalBulletpoints"/>
              <w:spacing w:before="60"/>
              <w:rPr>
                <w:lang w:val="sl-SI"/>
              </w:rPr>
            </w:pPr>
            <w:r w:rsidRPr="001048FE">
              <w:rPr>
                <w:lang w:val="sl-SI"/>
              </w:rPr>
              <w:t>Mobilnost med državami Programa: 16 ali 24 mesecev.</w:t>
            </w:r>
          </w:p>
          <w:p w14:paraId="7D398819" w14:textId="77777777" w:rsidR="00E03711" w:rsidRPr="001048FE" w:rsidRDefault="00E03711" w:rsidP="000503EB">
            <w:pPr>
              <w:pStyle w:val="Guide-NormalBulletpoints"/>
              <w:spacing w:before="60"/>
              <w:rPr>
                <w:lang w:val="sl-SI"/>
              </w:rPr>
            </w:pPr>
            <w:r w:rsidRPr="001048FE">
              <w:rPr>
                <w:lang w:val="sl-SI"/>
              </w:rPr>
              <w:t xml:space="preserve">Mobilnost med državami Programa in partnerskimi državami: </w:t>
            </w:r>
            <w:r>
              <w:rPr>
                <w:lang w:val="sl-SI"/>
              </w:rPr>
              <w:t>24</w:t>
            </w:r>
            <w:r w:rsidRPr="001048FE">
              <w:rPr>
                <w:lang w:val="sl-SI"/>
              </w:rPr>
              <w:t xml:space="preserve"> ali </w:t>
            </w:r>
            <w:r>
              <w:rPr>
                <w:lang w:val="sl-SI"/>
              </w:rPr>
              <w:t>36</w:t>
            </w:r>
            <w:r w:rsidRPr="001048FE">
              <w:rPr>
                <w:lang w:val="sl-SI"/>
              </w:rPr>
              <w:t xml:space="preserve"> mesecev.</w:t>
            </w:r>
          </w:p>
        </w:tc>
      </w:tr>
      <w:tr w:rsidR="00E03711" w:rsidRPr="00C60205" w14:paraId="7D39881D" w14:textId="77777777" w:rsidTr="00C37136">
        <w:trPr>
          <w:cantSplit/>
          <w:trHeight w:val="340"/>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7D39881B" w14:textId="77777777" w:rsidR="00E03711" w:rsidRPr="00F769E0" w:rsidRDefault="00E03711" w:rsidP="0075479E">
            <w:pPr>
              <w:pStyle w:val="Guide-Table"/>
              <w:spacing w:before="60" w:after="60"/>
              <w:jc w:val="left"/>
              <w:rPr>
                <w:rFonts w:cs="Tahoma"/>
                <w:b/>
                <w:lang w:val="sl-SI" w:eastAsia="en-GB"/>
              </w:rPr>
            </w:pPr>
            <w:r w:rsidRPr="00F769E0">
              <w:rPr>
                <w:rFonts w:cs="Tahoma"/>
                <w:b/>
                <w:lang w:val="sl-SI" w:eastAsia="en-GB"/>
              </w:rPr>
              <w:t>Kje se prijaviti?</w:t>
            </w:r>
          </w:p>
        </w:tc>
        <w:tc>
          <w:tcPr>
            <w:tcW w:w="4156" w:type="pct"/>
            <w:tcBorders>
              <w:top w:val="dashed" w:sz="4" w:space="0" w:color="auto"/>
              <w:left w:val="nil"/>
              <w:bottom w:val="dashed" w:sz="4" w:space="0" w:color="auto"/>
              <w:right w:val="single" w:sz="4" w:space="0" w:color="auto"/>
            </w:tcBorders>
            <w:shd w:val="clear" w:color="auto" w:fill="FFFFFF"/>
            <w:vAlign w:val="center"/>
          </w:tcPr>
          <w:p w14:paraId="7D39881C" w14:textId="77777777" w:rsidR="00E03711" w:rsidRPr="00F769E0" w:rsidRDefault="00E03711" w:rsidP="0075479E">
            <w:pPr>
              <w:pStyle w:val="GUIDE-NORMAL"/>
              <w:spacing w:before="60" w:after="60"/>
              <w:jc w:val="left"/>
              <w:rPr>
                <w:rFonts w:cs="Tahoma"/>
                <w:lang w:val="sl-SI" w:eastAsia="en-GB"/>
              </w:rPr>
            </w:pPr>
            <w:r w:rsidRPr="00F769E0">
              <w:rPr>
                <w:rFonts w:cs="Tahoma"/>
                <w:lang w:val="sl-SI" w:eastAsia="en-GB"/>
              </w:rPr>
              <w:t>Pri nacionalni agenciji v državi, kjer ima organizacija prijaviteljica sedež.</w:t>
            </w:r>
          </w:p>
        </w:tc>
      </w:tr>
      <w:tr w:rsidR="00E03711" w:rsidRPr="00C60205" w14:paraId="7D398822" w14:textId="77777777" w:rsidTr="00C37136">
        <w:trPr>
          <w:cantSplit/>
          <w:trHeight w:val="340"/>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7D39881E" w14:textId="77777777" w:rsidR="00E03711" w:rsidRPr="00F769E0" w:rsidRDefault="00E03711" w:rsidP="0075479E">
            <w:pPr>
              <w:pStyle w:val="Guide-Table"/>
              <w:spacing w:before="60" w:after="60"/>
              <w:jc w:val="left"/>
              <w:rPr>
                <w:rFonts w:cs="Tahoma"/>
                <w:b/>
                <w:lang w:val="sl-SI" w:eastAsia="en-GB"/>
              </w:rPr>
            </w:pPr>
            <w:r w:rsidRPr="00F769E0">
              <w:rPr>
                <w:rFonts w:cs="Tahoma"/>
                <w:b/>
                <w:lang w:val="sl-SI" w:eastAsia="en-GB"/>
              </w:rPr>
              <w:t>Kdaj se prijaviti?</w:t>
            </w:r>
          </w:p>
        </w:tc>
        <w:tc>
          <w:tcPr>
            <w:tcW w:w="4156" w:type="pct"/>
            <w:tcBorders>
              <w:top w:val="dashed" w:sz="4" w:space="0" w:color="auto"/>
              <w:left w:val="nil"/>
              <w:bottom w:val="dashed" w:sz="4" w:space="0" w:color="auto"/>
              <w:right w:val="single" w:sz="4" w:space="0" w:color="auto"/>
            </w:tcBorders>
            <w:shd w:val="clear" w:color="auto" w:fill="FFFFFF"/>
            <w:vAlign w:val="center"/>
          </w:tcPr>
          <w:p w14:paraId="7D39881F" w14:textId="77777777" w:rsidR="00E03711" w:rsidRPr="00F769E0" w:rsidRDefault="00E03711" w:rsidP="000503EB">
            <w:pPr>
              <w:pStyle w:val="GUIDE-NORMAL"/>
              <w:spacing w:before="60" w:after="60"/>
              <w:rPr>
                <w:rFonts w:cs="Tahoma"/>
                <w:lang w:val="sl-SI" w:eastAsia="en-GB"/>
              </w:rPr>
            </w:pPr>
            <w:r w:rsidRPr="00F769E0">
              <w:rPr>
                <w:rFonts w:cs="Tahoma"/>
                <w:lang w:val="sl-SI" w:eastAsia="en-GB"/>
              </w:rPr>
              <w:t xml:space="preserve">Prijavitelji morajo vlogo za nepovratna sredstva oddati do </w:t>
            </w:r>
            <w:r w:rsidRPr="00F769E0">
              <w:rPr>
                <w:rFonts w:cs="Tahoma"/>
                <w:b/>
                <w:lang w:val="sl-SI" w:eastAsia="en-GB"/>
              </w:rPr>
              <w:t xml:space="preserve">5. februarja do </w:t>
            </w:r>
            <w:r>
              <w:rPr>
                <w:rFonts w:cs="Tahoma"/>
                <w:b/>
                <w:lang w:val="sl-SI" w:eastAsia="en-GB"/>
              </w:rPr>
              <w:t xml:space="preserve">12. </w:t>
            </w:r>
            <w:r w:rsidRPr="00F769E0">
              <w:rPr>
                <w:rFonts w:cs="Tahoma"/>
                <w:b/>
                <w:lang w:val="sl-SI" w:eastAsia="en-GB"/>
              </w:rPr>
              <w:t>ure (opoldne po bruseljskem času)</w:t>
            </w:r>
            <w:r w:rsidRPr="00F769E0">
              <w:rPr>
                <w:rFonts w:cs="Tahoma"/>
                <w:lang w:val="sl-SI" w:eastAsia="en-GB"/>
              </w:rPr>
              <w:t xml:space="preserve"> za projekte, ki se začnejo:</w:t>
            </w:r>
          </w:p>
          <w:p w14:paraId="7D398820" w14:textId="77777777" w:rsidR="00E03711" w:rsidRPr="0030441A" w:rsidRDefault="00E03711" w:rsidP="002D7FF4">
            <w:pPr>
              <w:pStyle w:val="ListParagraph"/>
              <w:numPr>
                <w:ilvl w:val="0"/>
                <w:numId w:val="75"/>
              </w:numPr>
              <w:spacing w:before="40" w:after="40"/>
              <w:jc w:val="both"/>
              <w:textAlignment w:val="auto"/>
              <w:rPr>
                <w:sz w:val="18"/>
                <w:szCs w:val="18"/>
                <w:lang w:val="sl-SI"/>
              </w:rPr>
            </w:pPr>
            <w:r w:rsidRPr="00FC4A70">
              <w:rPr>
                <w:rFonts w:eastAsia="Calibri" w:cs="Calibri"/>
                <w:sz w:val="18"/>
                <w:szCs w:val="18"/>
                <w:bdr w:val="nil"/>
                <w:lang w:val="sl-SI"/>
              </w:rPr>
              <w:t>1. junija istega leta za projekte mobilnosti med državami programa</w:t>
            </w:r>
          </w:p>
          <w:p w14:paraId="7D398821" w14:textId="77777777" w:rsidR="00E03711" w:rsidRPr="00FF0A8C" w:rsidRDefault="00E03711" w:rsidP="002D7FF4">
            <w:pPr>
              <w:pStyle w:val="ListParagraph"/>
              <w:numPr>
                <w:ilvl w:val="0"/>
                <w:numId w:val="75"/>
              </w:numPr>
              <w:spacing w:before="40" w:after="40"/>
              <w:jc w:val="both"/>
              <w:textAlignment w:val="auto"/>
              <w:rPr>
                <w:sz w:val="18"/>
                <w:szCs w:val="18"/>
                <w:lang w:val="sl-SI"/>
              </w:rPr>
            </w:pPr>
            <w:r w:rsidRPr="00FF0A8C">
              <w:rPr>
                <w:rFonts w:eastAsia="Calibri" w:cs="Calibri"/>
                <w:sz w:val="18"/>
                <w:szCs w:val="18"/>
                <w:bdr w:val="nil"/>
                <w:lang w:val="sl-SI"/>
              </w:rPr>
              <w:t>1. avgusta istega leta za projekte mobilnosti med državami programa in partnerskimi državami</w:t>
            </w:r>
          </w:p>
        </w:tc>
      </w:tr>
      <w:tr w:rsidR="00E03711" w:rsidRPr="00C60205" w14:paraId="7D398825" w14:textId="77777777" w:rsidTr="00C37136">
        <w:trPr>
          <w:cantSplit/>
          <w:trHeight w:val="340"/>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7D398823" w14:textId="77777777" w:rsidR="00E03711" w:rsidRPr="00F769E0" w:rsidRDefault="00E03711" w:rsidP="0075479E">
            <w:pPr>
              <w:pStyle w:val="Guide-Table"/>
              <w:spacing w:before="60" w:after="60"/>
              <w:jc w:val="left"/>
              <w:rPr>
                <w:rFonts w:cs="Tahoma"/>
                <w:b/>
                <w:lang w:val="sl-SI" w:eastAsia="en-GB"/>
              </w:rPr>
            </w:pPr>
            <w:r w:rsidRPr="00F769E0">
              <w:rPr>
                <w:rFonts w:cs="Tahoma"/>
                <w:b/>
                <w:lang w:val="sl-SI" w:eastAsia="en-GB"/>
              </w:rPr>
              <w:t>Kako se prijaviti?</w:t>
            </w:r>
          </w:p>
        </w:tc>
        <w:tc>
          <w:tcPr>
            <w:tcW w:w="4156" w:type="pct"/>
            <w:tcBorders>
              <w:top w:val="dashed" w:sz="4" w:space="0" w:color="auto"/>
              <w:left w:val="nil"/>
              <w:bottom w:val="dashed" w:sz="4" w:space="0" w:color="auto"/>
              <w:right w:val="single" w:sz="4" w:space="0" w:color="auto"/>
            </w:tcBorders>
            <w:shd w:val="clear" w:color="auto" w:fill="FFFFFF"/>
            <w:vAlign w:val="center"/>
          </w:tcPr>
          <w:p w14:paraId="7D398824" w14:textId="77777777" w:rsidR="00E03711" w:rsidRPr="00F769E0" w:rsidRDefault="00E03711" w:rsidP="0075479E">
            <w:pPr>
              <w:pStyle w:val="GUIDE-NORMAL"/>
              <w:spacing w:before="60" w:after="60"/>
              <w:jc w:val="left"/>
              <w:rPr>
                <w:rFonts w:cs="Tahoma"/>
                <w:lang w:val="sl-SI" w:eastAsia="en-GB"/>
              </w:rPr>
            </w:pPr>
            <w:r w:rsidRPr="00F769E0">
              <w:rPr>
                <w:rFonts w:cs="Tahoma"/>
                <w:lang w:val="sl-SI" w:eastAsia="en-GB"/>
              </w:rPr>
              <w:t>Za podrobnosti o postopku prijave glej del C tega</w:t>
            </w:r>
            <w:r w:rsidRPr="00F769E0">
              <w:rPr>
                <w:rFonts w:cs="Tahoma"/>
                <w:spacing w:val="-31"/>
                <w:lang w:val="sl-SI" w:eastAsia="en-GB"/>
              </w:rPr>
              <w:t xml:space="preserve"> </w:t>
            </w:r>
            <w:r w:rsidRPr="00F769E0">
              <w:rPr>
                <w:rFonts w:cs="Tahoma"/>
                <w:lang w:val="sl-SI" w:eastAsia="en-GB"/>
              </w:rPr>
              <w:t>vodnika.</w:t>
            </w:r>
          </w:p>
        </w:tc>
      </w:tr>
      <w:tr w:rsidR="00E03711" w:rsidRPr="00C60205" w14:paraId="7D39882C" w14:textId="77777777" w:rsidTr="00C37136">
        <w:trPr>
          <w:cantSplit/>
          <w:trHeight w:val="340"/>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7D398826" w14:textId="77777777" w:rsidR="00E03711" w:rsidRPr="001048FE" w:rsidRDefault="00E03711" w:rsidP="0075479E">
            <w:pPr>
              <w:spacing w:before="60" w:after="60"/>
              <w:rPr>
                <w:b/>
                <w:sz w:val="18"/>
                <w:szCs w:val="18"/>
                <w:lang w:val="sl-SI"/>
              </w:rPr>
            </w:pPr>
            <w:r w:rsidRPr="001048FE">
              <w:rPr>
                <w:b/>
                <w:sz w:val="18"/>
                <w:szCs w:val="18"/>
                <w:lang w:val="sl-SI"/>
              </w:rPr>
              <w:t>Druga merila</w:t>
            </w:r>
          </w:p>
        </w:tc>
        <w:tc>
          <w:tcPr>
            <w:tcW w:w="4156" w:type="pct"/>
            <w:tcBorders>
              <w:top w:val="dashed" w:sz="4" w:space="0" w:color="auto"/>
              <w:left w:val="nil"/>
              <w:bottom w:val="dashed" w:sz="4" w:space="0" w:color="auto"/>
              <w:right w:val="single" w:sz="4" w:space="0" w:color="auto"/>
            </w:tcBorders>
            <w:shd w:val="clear" w:color="auto" w:fill="FFFFFF"/>
          </w:tcPr>
          <w:p w14:paraId="7D398827"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Visokošolska institucija ima na voljo dve možnosti, da se pri svoji nacionalni agenciji prijavi za nepovratna sredstva:</w:t>
            </w:r>
          </w:p>
          <w:p w14:paraId="7D398828" w14:textId="77777777" w:rsidR="00E03711" w:rsidRPr="00D0047F" w:rsidRDefault="00E03711" w:rsidP="005115F2">
            <w:pPr>
              <w:pStyle w:val="Guide-NormalBulletpoints"/>
              <w:numPr>
                <w:ilvl w:val="0"/>
                <w:numId w:val="196"/>
              </w:numPr>
              <w:rPr>
                <w:lang w:val="sl-SI"/>
              </w:rPr>
            </w:pPr>
            <w:r w:rsidRPr="00D0047F">
              <w:rPr>
                <w:lang w:val="sl-SI"/>
              </w:rPr>
              <w:t>neposredno kot posamezna visokošolska institucija;</w:t>
            </w:r>
          </w:p>
          <w:p w14:paraId="7D398829" w14:textId="77777777" w:rsidR="00E03711" w:rsidRPr="0030441A" w:rsidRDefault="00E03711" w:rsidP="005115F2">
            <w:pPr>
              <w:pStyle w:val="Guide-NormalBulletpoints"/>
              <w:numPr>
                <w:ilvl w:val="0"/>
                <w:numId w:val="196"/>
              </w:numPr>
              <w:rPr>
                <w:lang w:val="pl-PL"/>
              </w:rPr>
            </w:pPr>
            <w:r w:rsidRPr="0030441A">
              <w:rPr>
                <w:lang w:val="pl-PL"/>
              </w:rPr>
              <w:t>prek konzorcija, katerega članica je.</w:t>
            </w:r>
          </w:p>
          <w:p w14:paraId="7D39882A" w14:textId="77777777" w:rsidR="00E03711" w:rsidRDefault="00E03711" w:rsidP="0075479E">
            <w:pPr>
              <w:pStyle w:val="GUIDE-NORMAL"/>
              <w:spacing w:before="60" w:after="60"/>
              <w:rPr>
                <w:rStyle w:val="Guide-Condensed-01"/>
                <w:rFonts w:cs="Tahoma"/>
                <w:lang w:val="sl-SI" w:eastAsia="en-GB"/>
              </w:rPr>
            </w:pPr>
            <w:r w:rsidRPr="00F769E0">
              <w:rPr>
                <w:rStyle w:val="Guide-Condensed-01"/>
                <w:rFonts w:cs="Tahoma"/>
                <w:lang w:val="sl-SI" w:eastAsia="en-GB"/>
              </w:rPr>
              <w:t xml:space="preserve">Visokošolska institucija se kot posamezna visokošolska institucija in/ali kot članica danega konzorcija za projekt mobilnosti med državami Programa lahko prijavi samo enkrat v posameznem krogu izbirnega postopka. Vendar je lahko visokošolska institucija članica oziroma koordinira več različnih nacionalnih konzorcijev za mobilnost, ki se prijavljajo hkrati. Enako velja za projekte mobilnosti med državami Programa in partnerskimi državami. </w:t>
            </w:r>
          </w:p>
          <w:p w14:paraId="7D39882B" w14:textId="77777777" w:rsidR="00E03711" w:rsidRPr="00F769E0" w:rsidRDefault="00E03711" w:rsidP="0075479E">
            <w:pPr>
              <w:pStyle w:val="GUIDE-NORMAL"/>
              <w:spacing w:before="60" w:after="60"/>
              <w:rPr>
                <w:rStyle w:val="Guide-Condensed-01"/>
                <w:rFonts w:cs="Tahoma"/>
                <w:lang w:val="sl-SI" w:eastAsia="en-GB"/>
              </w:rPr>
            </w:pPr>
            <w:r w:rsidRPr="00F769E0">
              <w:rPr>
                <w:rStyle w:val="Guide-Condensed-01"/>
                <w:rFonts w:cs="Tahoma"/>
                <w:lang w:val="sl-SI" w:eastAsia="en-GB"/>
              </w:rPr>
              <w:t>Obe možnosti (posamezna prijava in prijava konzorcija) se lahko izvedeta vzporedno. Vendar visokošolska institucija/oddelek ostane odgovoren za preprečevanje dvojnega financiranja udeleženca, kadar se obe možnosti uporabita v istem študijskem letu.</w:t>
            </w:r>
          </w:p>
        </w:tc>
      </w:tr>
    </w:tbl>
    <w:p w14:paraId="7D39882D" w14:textId="77777777" w:rsidR="00E03711" w:rsidRPr="001048FE" w:rsidRDefault="00E03711" w:rsidP="006F6C8B">
      <w:pPr>
        <w:pStyle w:val="GUIDE-NORMAL"/>
        <w:rPr>
          <w:lang w:val="sl-SI"/>
        </w:rPr>
      </w:pPr>
      <w:r w:rsidRPr="001048FE">
        <w:rPr>
          <w:lang w:val="sl-SI"/>
        </w:rPr>
        <w:t xml:space="preserve">Organizacije prijaviteljice bodo ocenjene z ustreznimi </w:t>
      </w:r>
      <w:r w:rsidRPr="00860232">
        <w:rPr>
          <w:b/>
          <w:bCs/>
          <w:lang w:val="sl-SI"/>
        </w:rPr>
        <w:t>merili za izključitev in izbor</w:t>
      </w:r>
      <w:r w:rsidRPr="001048FE">
        <w:rPr>
          <w:lang w:val="sl-SI"/>
        </w:rPr>
        <w:t>. Za več informacij glej del C tega vodnika.</w:t>
      </w:r>
    </w:p>
    <w:p w14:paraId="7D39882E" w14:textId="77777777" w:rsidR="00E03711" w:rsidRPr="001048FE" w:rsidRDefault="00E03711" w:rsidP="00C37136">
      <w:pPr>
        <w:pStyle w:val="Guide-Heading6"/>
        <w:rPr>
          <w:lang w:val="sl-SI"/>
        </w:rPr>
      </w:pPr>
      <w:r w:rsidRPr="001048FE">
        <w:rPr>
          <w:lang w:val="sl-SI"/>
        </w:rPr>
        <w:t>Dodatna merila za upravičenost med izvajanjem mobilnosti študentov</w:t>
      </w:r>
    </w:p>
    <w:tbl>
      <w:tblPr>
        <w:tblW w:w="5006"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70"/>
        <w:gridCol w:w="7731"/>
      </w:tblGrid>
      <w:tr w:rsidR="00E03711" w:rsidRPr="000E24C7" w14:paraId="7D398840" w14:textId="77777777" w:rsidTr="007725C3">
        <w:trPr>
          <w:trHeight w:val="183"/>
        </w:trPr>
        <w:tc>
          <w:tcPr>
            <w:tcW w:w="844" w:type="pct"/>
            <w:tcBorders>
              <w:top w:val="single" w:sz="4" w:space="0" w:color="auto"/>
              <w:left w:val="single" w:sz="4" w:space="0" w:color="auto"/>
              <w:bottom w:val="dashed" w:sz="4" w:space="0" w:color="auto"/>
              <w:right w:val="dashed" w:sz="4" w:space="0" w:color="auto"/>
            </w:tcBorders>
            <w:shd w:val="clear" w:color="auto" w:fill="FFFFFF"/>
            <w:vAlign w:val="center"/>
          </w:tcPr>
          <w:p w14:paraId="7D39882F" w14:textId="77777777" w:rsidR="00E03711" w:rsidRPr="00F769E0" w:rsidRDefault="00E03711" w:rsidP="0075479E">
            <w:pPr>
              <w:pStyle w:val="Guide-Table"/>
              <w:spacing w:before="60" w:after="60"/>
              <w:jc w:val="left"/>
              <w:rPr>
                <w:rFonts w:cs="Tahoma"/>
                <w:b/>
                <w:lang w:val="sl-SI" w:eastAsia="en-GB"/>
              </w:rPr>
            </w:pPr>
            <w:r w:rsidRPr="00F769E0">
              <w:rPr>
                <w:rFonts w:cs="Tahoma"/>
                <w:b/>
                <w:lang w:val="sl-SI" w:eastAsia="en-GB"/>
              </w:rPr>
              <w:t>Upravičene sodelujoče organizacije</w:t>
            </w:r>
          </w:p>
        </w:tc>
        <w:tc>
          <w:tcPr>
            <w:tcW w:w="4156" w:type="pct"/>
            <w:tcBorders>
              <w:top w:val="single" w:sz="4" w:space="0" w:color="auto"/>
              <w:left w:val="single" w:sz="8" w:space="0" w:color="000000"/>
              <w:bottom w:val="dashed" w:sz="4" w:space="0" w:color="auto"/>
              <w:right w:val="single" w:sz="4" w:space="0" w:color="auto"/>
            </w:tcBorders>
            <w:shd w:val="clear" w:color="auto" w:fill="FFFFFF"/>
          </w:tcPr>
          <w:p w14:paraId="7D398830" w14:textId="77777777" w:rsidR="00E03711" w:rsidRPr="00F769E0" w:rsidRDefault="00E03711" w:rsidP="0075479E">
            <w:pPr>
              <w:pStyle w:val="Guide-Heading7"/>
              <w:spacing w:before="60" w:after="60"/>
              <w:rPr>
                <w:rFonts w:cs="Tahoma"/>
                <w:lang w:val="sl-SI"/>
              </w:rPr>
            </w:pPr>
            <w:r w:rsidRPr="00F769E0">
              <w:rPr>
                <w:rFonts w:cs="Tahoma"/>
                <w:lang w:val="sl-SI"/>
              </w:rPr>
              <w:t>Mobilnost študentov za</w:t>
            </w:r>
            <w:r w:rsidRPr="00F769E0">
              <w:rPr>
                <w:rFonts w:cs="Tahoma"/>
                <w:spacing w:val="10"/>
                <w:lang w:val="sl-SI"/>
              </w:rPr>
              <w:t xml:space="preserve"> </w:t>
            </w:r>
            <w:r w:rsidRPr="00F769E0">
              <w:rPr>
                <w:rFonts w:cs="Tahoma"/>
                <w:lang w:val="sl-SI"/>
              </w:rPr>
              <w:t>študij:</w:t>
            </w:r>
          </w:p>
          <w:p w14:paraId="7D398831"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Vse sodelujoče organizacije iz držav Programa (pošiljateljice in gostiteljice) morajo biti visokošolske institucije, ki so nosilke ECHE. Vse organizacije iz partnerskih držav morajo biti visokošolske institucije, priznane s strani pristojnih organov, in morajo pred začetkom izvajanja mobilnosti podpisati medinstitucionalne sporazume s svojimi partnericami iz držav Programa.</w:t>
            </w:r>
          </w:p>
          <w:p w14:paraId="7D398832" w14:textId="77777777" w:rsidR="00E03711" w:rsidRPr="00F769E0" w:rsidRDefault="00E03711" w:rsidP="0075479E">
            <w:pPr>
              <w:pStyle w:val="Guide-Heading7"/>
              <w:spacing w:before="60" w:after="60"/>
              <w:rPr>
                <w:rFonts w:cs="Tahoma"/>
                <w:lang w:val="sl-SI"/>
              </w:rPr>
            </w:pPr>
            <w:r w:rsidRPr="00F769E0">
              <w:rPr>
                <w:rFonts w:cs="Tahoma"/>
                <w:lang w:val="sl-SI"/>
              </w:rPr>
              <w:t>Mobilnost študentov za</w:t>
            </w:r>
            <w:r w:rsidRPr="00F769E0">
              <w:rPr>
                <w:rFonts w:cs="Tahoma"/>
                <w:spacing w:val="10"/>
                <w:lang w:val="sl-SI"/>
              </w:rPr>
              <w:t xml:space="preserve"> </w:t>
            </w:r>
            <w:r w:rsidRPr="00F769E0">
              <w:rPr>
                <w:rFonts w:cs="Tahoma"/>
                <w:lang w:val="sl-SI"/>
              </w:rPr>
              <w:t>prakso:</w:t>
            </w:r>
          </w:p>
          <w:p w14:paraId="7D398833"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V primeru mobilnosti med državami Programa mora biti organizacija pošiljateljica visokošolska institucija, ki je nosilka ECHE.</w:t>
            </w:r>
          </w:p>
          <w:p w14:paraId="7D398834"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V primeru mobilnosti med državami Programa in partnerskimi državami mora biti organizacija pošiljateljica visokošolska institucija iz države Programa, ki je nosilka ECHE, ali visokošolska institucija iz partnerske države, ki so jo priznali pristojni organi in je pred začetkom izvajanja mobilnosti</w:t>
            </w:r>
            <w:r w:rsidRPr="00F769E0">
              <w:rPr>
                <w:rFonts w:cs="Tahoma"/>
                <w:spacing w:val="-12"/>
                <w:lang w:val="sl-SI" w:eastAsia="en-GB"/>
              </w:rPr>
              <w:t xml:space="preserve"> </w:t>
            </w:r>
            <w:r w:rsidRPr="00F769E0">
              <w:rPr>
                <w:rFonts w:cs="Tahoma"/>
                <w:lang w:val="sl-SI" w:eastAsia="en-GB"/>
              </w:rPr>
              <w:t>podpisala</w:t>
            </w:r>
            <w:r w:rsidRPr="00F769E0">
              <w:rPr>
                <w:rFonts w:cs="Tahoma"/>
                <w:spacing w:val="-12"/>
                <w:lang w:val="sl-SI" w:eastAsia="en-GB"/>
              </w:rPr>
              <w:t xml:space="preserve"> </w:t>
            </w:r>
            <w:r w:rsidRPr="00F769E0">
              <w:rPr>
                <w:rFonts w:cs="Tahoma"/>
                <w:lang w:val="sl-SI" w:eastAsia="en-GB"/>
              </w:rPr>
              <w:t>medinstitucionalne</w:t>
            </w:r>
            <w:r w:rsidRPr="00F769E0">
              <w:rPr>
                <w:rFonts w:cs="Tahoma"/>
                <w:spacing w:val="-12"/>
                <w:lang w:val="sl-SI" w:eastAsia="en-GB"/>
              </w:rPr>
              <w:t xml:space="preserve"> </w:t>
            </w:r>
            <w:r w:rsidRPr="00F769E0">
              <w:rPr>
                <w:rFonts w:cs="Tahoma"/>
                <w:lang w:val="sl-SI" w:eastAsia="en-GB"/>
              </w:rPr>
              <w:t>sporazume</w:t>
            </w:r>
            <w:r w:rsidRPr="00F769E0">
              <w:rPr>
                <w:rFonts w:cs="Tahoma"/>
                <w:spacing w:val="-12"/>
                <w:lang w:val="sl-SI" w:eastAsia="en-GB"/>
              </w:rPr>
              <w:t xml:space="preserve"> </w:t>
            </w:r>
            <w:r w:rsidRPr="00F769E0">
              <w:rPr>
                <w:rFonts w:cs="Tahoma"/>
                <w:lang w:val="sl-SI" w:eastAsia="en-GB"/>
              </w:rPr>
              <w:t>s</w:t>
            </w:r>
            <w:r w:rsidRPr="00F769E0">
              <w:rPr>
                <w:rFonts w:cs="Tahoma"/>
                <w:spacing w:val="-12"/>
                <w:lang w:val="sl-SI" w:eastAsia="en-GB"/>
              </w:rPr>
              <w:t xml:space="preserve"> </w:t>
            </w:r>
            <w:r w:rsidRPr="00F769E0">
              <w:rPr>
                <w:rFonts w:cs="Tahoma"/>
                <w:lang w:val="sl-SI" w:eastAsia="en-GB"/>
              </w:rPr>
              <w:t>svojimi</w:t>
            </w:r>
            <w:r w:rsidRPr="00F769E0">
              <w:rPr>
                <w:rFonts w:cs="Tahoma"/>
                <w:spacing w:val="-12"/>
                <w:lang w:val="sl-SI" w:eastAsia="en-GB"/>
              </w:rPr>
              <w:t xml:space="preserve"> </w:t>
            </w:r>
            <w:r w:rsidRPr="00F769E0">
              <w:rPr>
                <w:rFonts w:cs="Tahoma"/>
                <w:lang w:val="sl-SI" w:eastAsia="en-GB"/>
              </w:rPr>
              <w:t>partnericami</w:t>
            </w:r>
            <w:r w:rsidRPr="00F769E0">
              <w:rPr>
                <w:rFonts w:cs="Tahoma"/>
                <w:spacing w:val="-12"/>
                <w:lang w:val="sl-SI" w:eastAsia="en-GB"/>
              </w:rPr>
              <w:t xml:space="preserve"> </w:t>
            </w:r>
            <w:r w:rsidRPr="00F769E0">
              <w:rPr>
                <w:rFonts w:cs="Tahoma"/>
                <w:lang w:val="sl-SI" w:eastAsia="en-GB"/>
              </w:rPr>
              <w:t>iz držav</w:t>
            </w:r>
            <w:r w:rsidRPr="00F769E0">
              <w:rPr>
                <w:rFonts w:cs="Tahoma"/>
                <w:spacing w:val="-3"/>
                <w:lang w:val="sl-SI" w:eastAsia="en-GB"/>
              </w:rPr>
              <w:t xml:space="preserve"> </w:t>
            </w:r>
            <w:r w:rsidRPr="00F769E0">
              <w:rPr>
                <w:rFonts w:cs="Tahoma"/>
                <w:lang w:val="sl-SI" w:eastAsia="en-GB"/>
              </w:rPr>
              <w:t>Programa.</w:t>
            </w:r>
          </w:p>
          <w:p w14:paraId="7D398835"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Organizacija gostiteljica je lahko</w:t>
            </w:r>
            <w:r w:rsidRPr="00F769E0">
              <w:rPr>
                <w:rStyle w:val="FootnoteReference"/>
                <w:rFonts w:cs="Tahoma"/>
                <w:lang w:val="sl-SI" w:eastAsia="en-GB"/>
              </w:rPr>
              <w:footnoteReference w:id="27"/>
            </w:r>
            <w:r w:rsidRPr="00F769E0">
              <w:rPr>
                <w:rFonts w:cs="Tahoma"/>
                <w:lang w:val="sl-SI" w:eastAsia="en-GB"/>
              </w:rPr>
              <w:t>:</w:t>
            </w:r>
          </w:p>
          <w:p w14:paraId="7D398836" w14:textId="77777777" w:rsidR="00E03711" w:rsidRPr="001048FE" w:rsidRDefault="00E03711" w:rsidP="00860232">
            <w:pPr>
              <w:pStyle w:val="Guide-ListDash"/>
            </w:pPr>
            <w:r w:rsidRPr="004E4C36">
              <w:rPr>
                <w:lang w:val="sl-SI"/>
              </w:rPr>
              <w:t>katera koli javna ali zasebna organizacija, ki je dejavna na trgu dela ali na področju</w:t>
            </w:r>
            <w:r w:rsidRPr="004E4C36">
              <w:rPr>
                <w:spacing w:val="-18"/>
                <w:lang w:val="sl-SI"/>
              </w:rPr>
              <w:t xml:space="preserve"> </w:t>
            </w:r>
            <w:r w:rsidRPr="004E4C36">
              <w:rPr>
                <w:lang w:val="sl-SI"/>
              </w:rPr>
              <w:t>izobraževanja,</w:t>
            </w:r>
            <w:r w:rsidRPr="004E4C36">
              <w:rPr>
                <w:spacing w:val="-18"/>
                <w:lang w:val="sl-SI"/>
              </w:rPr>
              <w:t xml:space="preserve"> </w:t>
            </w:r>
            <w:r w:rsidRPr="004E4C36">
              <w:rPr>
                <w:lang w:val="sl-SI"/>
              </w:rPr>
              <w:t>usposabljanja</w:t>
            </w:r>
            <w:r w:rsidRPr="004E4C36">
              <w:rPr>
                <w:spacing w:val="-18"/>
                <w:lang w:val="sl-SI"/>
              </w:rPr>
              <w:t xml:space="preserve"> </w:t>
            </w:r>
            <w:r w:rsidRPr="004E4C36">
              <w:rPr>
                <w:lang w:val="sl-SI"/>
              </w:rPr>
              <w:t>in</w:t>
            </w:r>
            <w:r w:rsidRPr="004E4C36">
              <w:rPr>
                <w:spacing w:val="-18"/>
                <w:lang w:val="sl-SI"/>
              </w:rPr>
              <w:t xml:space="preserve"> </w:t>
            </w:r>
            <w:r w:rsidRPr="004E4C36">
              <w:rPr>
                <w:lang w:val="sl-SI"/>
              </w:rPr>
              <w:t>mladine.</w:t>
            </w:r>
            <w:r w:rsidRPr="004E4C36">
              <w:rPr>
                <w:spacing w:val="-18"/>
                <w:lang w:val="sl-SI"/>
              </w:rPr>
              <w:t xml:space="preserve"> </w:t>
            </w:r>
            <w:r w:rsidRPr="001048FE">
              <w:t>Taka</w:t>
            </w:r>
            <w:r w:rsidRPr="001048FE">
              <w:rPr>
                <w:spacing w:val="-18"/>
              </w:rPr>
              <w:t xml:space="preserve"> </w:t>
            </w:r>
            <w:r w:rsidRPr="001048FE">
              <w:t>organizacija</w:t>
            </w:r>
            <w:r w:rsidRPr="001048FE">
              <w:rPr>
                <w:spacing w:val="-17"/>
              </w:rPr>
              <w:t xml:space="preserve"> </w:t>
            </w:r>
            <w:r w:rsidRPr="001048FE">
              <w:t>je</w:t>
            </w:r>
            <w:r w:rsidRPr="001048FE">
              <w:rPr>
                <w:spacing w:val="-18"/>
              </w:rPr>
              <w:t xml:space="preserve"> </w:t>
            </w:r>
            <w:r w:rsidRPr="001048FE">
              <w:t>lahko na</w:t>
            </w:r>
            <w:r w:rsidRPr="001048FE">
              <w:rPr>
                <w:spacing w:val="-2"/>
              </w:rPr>
              <w:t xml:space="preserve"> </w:t>
            </w:r>
            <w:r w:rsidRPr="001048FE">
              <w:t>primer:</w:t>
            </w:r>
          </w:p>
          <w:p w14:paraId="7D398837" w14:textId="77777777" w:rsidR="00E03711" w:rsidRPr="001048FE" w:rsidRDefault="00E03711" w:rsidP="005361B2">
            <w:pPr>
              <w:pStyle w:val="Guide-ListDash"/>
              <w:numPr>
                <w:ilvl w:val="1"/>
                <w:numId w:val="52"/>
              </w:numPr>
              <w:spacing w:before="60" w:after="60"/>
              <w:rPr>
                <w:lang w:val="sl-SI"/>
              </w:rPr>
            </w:pPr>
            <w:r w:rsidRPr="001048FE">
              <w:rPr>
                <w:lang w:val="sl-SI"/>
              </w:rPr>
              <w:t>javno</w:t>
            </w:r>
            <w:r w:rsidRPr="001048FE">
              <w:rPr>
                <w:spacing w:val="-13"/>
                <w:lang w:val="sl-SI"/>
              </w:rPr>
              <w:t xml:space="preserve"> </w:t>
            </w:r>
            <w:r w:rsidRPr="001048FE">
              <w:rPr>
                <w:lang w:val="sl-SI"/>
              </w:rPr>
              <w:t>ali</w:t>
            </w:r>
            <w:r w:rsidRPr="001048FE">
              <w:rPr>
                <w:spacing w:val="-13"/>
                <w:lang w:val="sl-SI"/>
              </w:rPr>
              <w:t xml:space="preserve"> </w:t>
            </w:r>
            <w:r w:rsidRPr="001048FE">
              <w:rPr>
                <w:lang w:val="sl-SI"/>
              </w:rPr>
              <w:t>zasebno</w:t>
            </w:r>
            <w:r w:rsidRPr="001048FE">
              <w:rPr>
                <w:spacing w:val="-13"/>
                <w:lang w:val="sl-SI"/>
              </w:rPr>
              <w:t xml:space="preserve"> </w:t>
            </w:r>
            <w:r w:rsidRPr="001048FE">
              <w:rPr>
                <w:lang w:val="sl-SI"/>
              </w:rPr>
              <w:t>malo,</w:t>
            </w:r>
            <w:r w:rsidRPr="001048FE">
              <w:rPr>
                <w:spacing w:val="-13"/>
                <w:lang w:val="sl-SI"/>
              </w:rPr>
              <w:t xml:space="preserve"> </w:t>
            </w:r>
            <w:r w:rsidRPr="001048FE">
              <w:rPr>
                <w:lang w:val="sl-SI"/>
              </w:rPr>
              <w:t>srednje</w:t>
            </w:r>
            <w:r w:rsidRPr="001048FE">
              <w:rPr>
                <w:spacing w:val="-13"/>
                <w:lang w:val="sl-SI"/>
              </w:rPr>
              <w:t xml:space="preserve"> </w:t>
            </w:r>
            <w:r w:rsidRPr="001048FE">
              <w:rPr>
                <w:lang w:val="sl-SI"/>
              </w:rPr>
              <w:t>ali</w:t>
            </w:r>
            <w:r w:rsidRPr="001048FE">
              <w:rPr>
                <w:spacing w:val="-13"/>
                <w:lang w:val="sl-SI"/>
              </w:rPr>
              <w:t xml:space="preserve"> </w:t>
            </w:r>
            <w:r w:rsidRPr="001048FE">
              <w:rPr>
                <w:lang w:val="sl-SI"/>
              </w:rPr>
              <w:t>veliko</w:t>
            </w:r>
            <w:r w:rsidRPr="001048FE">
              <w:rPr>
                <w:spacing w:val="-13"/>
                <w:lang w:val="sl-SI"/>
              </w:rPr>
              <w:t xml:space="preserve"> </w:t>
            </w:r>
            <w:r w:rsidRPr="001048FE">
              <w:rPr>
                <w:lang w:val="sl-SI"/>
              </w:rPr>
              <w:t>podjetje</w:t>
            </w:r>
            <w:r w:rsidRPr="001048FE">
              <w:rPr>
                <w:spacing w:val="-13"/>
                <w:lang w:val="sl-SI"/>
              </w:rPr>
              <w:t xml:space="preserve"> </w:t>
            </w:r>
            <w:r w:rsidRPr="001048FE">
              <w:rPr>
                <w:lang w:val="sl-SI"/>
              </w:rPr>
              <w:t>(vključno</w:t>
            </w:r>
            <w:r w:rsidRPr="001048FE">
              <w:rPr>
                <w:spacing w:val="-13"/>
                <w:lang w:val="sl-SI"/>
              </w:rPr>
              <w:t xml:space="preserve"> </w:t>
            </w:r>
            <w:r w:rsidRPr="001048FE">
              <w:rPr>
                <w:lang w:val="sl-SI"/>
              </w:rPr>
              <w:t>s</w:t>
            </w:r>
            <w:r w:rsidRPr="001048FE">
              <w:rPr>
                <w:spacing w:val="-13"/>
                <w:lang w:val="sl-SI"/>
              </w:rPr>
              <w:t xml:space="preserve"> </w:t>
            </w:r>
            <w:r w:rsidRPr="001048FE">
              <w:rPr>
                <w:lang w:val="sl-SI"/>
              </w:rPr>
              <w:t>socialnimi podjetji);</w:t>
            </w:r>
          </w:p>
          <w:p w14:paraId="7D398838" w14:textId="77777777" w:rsidR="00E03711" w:rsidRPr="001048FE" w:rsidRDefault="00E03711" w:rsidP="005361B2">
            <w:pPr>
              <w:pStyle w:val="Guide-ListDash"/>
              <w:numPr>
                <w:ilvl w:val="1"/>
                <w:numId w:val="52"/>
              </w:numPr>
              <w:spacing w:before="60" w:after="60"/>
              <w:rPr>
                <w:lang w:val="sl-SI"/>
              </w:rPr>
            </w:pPr>
            <w:r w:rsidRPr="001048FE">
              <w:rPr>
                <w:lang w:val="sl-SI"/>
              </w:rPr>
              <w:t>javni organ na lokalni, regionalni ali nacionalni</w:t>
            </w:r>
            <w:r w:rsidRPr="001048FE">
              <w:rPr>
                <w:spacing w:val="-8"/>
                <w:lang w:val="sl-SI"/>
              </w:rPr>
              <w:t xml:space="preserve"> </w:t>
            </w:r>
            <w:r w:rsidRPr="001048FE">
              <w:rPr>
                <w:lang w:val="sl-SI"/>
              </w:rPr>
              <w:t>ravni;</w:t>
            </w:r>
          </w:p>
          <w:p w14:paraId="7D398839" w14:textId="77777777" w:rsidR="00E03711" w:rsidRPr="001048FE" w:rsidRDefault="00E03711" w:rsidP="005361B2">
            <w:pPr>
              <w:pStyle w:val="Guide-ListDash"/>
              <w:numPr>
                <w:ilvl w:val="1"/>
                <w:numId w:val="52"/>
              </w:numPr>
              <w:spacing w:before="60" w:after="60"/>
              <w:rPr>
                <w:lang w:val="sl-SI"/>
              </w:rPr>
            </w:pPr>
            <w:r w:rsidRPr="001048FE">
              <w:rPr>
                <w:lang w:val="sl-SI"/>
              </w:rPr>
              <w:t>socialni partner ali drug predstavnik sveta dela, tudi</w:t>
            </w:r>
            <w:r w:rsidRPr="001048FE">
              <w:rPr>
                <w:spacing w:val="-42"/>
                <w:lang w:val="sl-SI"/>
              </w:rPr>
              <w:t xml:space="preserve"> </w:t>
            </w:r>
            <w:r w:rsidRPr="001048FE">
              <w:rPr>
                <w:lang w:val="sl-SI"/>
              </w:rPr>
              <w:t>gospodarske zbornice, obrtniška/poklicna združenja in</w:t>
            </w:r>
            <w:r w:rsidRPr="001048FE">
              <w:rPr>
                <w:spacing w:val="-8"/>
                <w:lang w:val="sl-SI"/>
              </w:rPr>
              <w:t xml:space="preserve"> </w:t>
            </w:r>
            <w:r w:rsidRPr="001048FE">
              <w:rPr>
                <w:lang w:val="sl-SI"/>
              </w:rPr>
              <w:t>sindikati;</w:t>
            </w:r>
          </w:p>
          <w:p w14:paraId="7D39883A" w14:textId="77777777" w:rsidR="00E03711" w:rsidRPr="001048FE" w:rsidRDefault="00E03711" w:rsidP="005361B2">
            <w:pPr>
              <w:pStyle w:val="Guide-ListDash"/>
              <w:numPr>
                <w:ilvl w:val="1"/>
                <w:numId w:val="52"/>
              </w:numPr>
              <w:spacing w:before="60" w:after="60"/>
              <w:rPr>
                <w:lang w:val="sl-SI"/>
              </w:rPr>
            </w:pPr>
            <w:r w:rsidRPr="001048FE">
              <w:rPr>
                <w:lang w:val="sl-SI"/>
              </w:rPr>
              <w:t>raziskovalni</w:t>
            </w:r>
            <w:r w:rsidRPr="001048FE">
              <w:rPr>
                <w:spacing w:val="-6"/>
                <w:lang w:val="sl-SI"/>
              </w:rPr>
              <w:t xml:space="preserve"> </w:t>
            </w:r>
            <w:r w:rsidRPr="001048FE">
              <w:rPr>
                <w:lang w:val="sl-SI"/>
              </w:rPr>
              <w:t>inštitut;</w:t>
            </w:r>
          </w:p>
          <w:p w14:paraId="7D39883B" w14:textId="77777777" w:rsidR="00E03711" w:rsidRPr="001048FE" w:rsidRDefault="00E03711" w:rsidP="005361B2">
            <w:pPr>
              <w:pStyle w:val="Guide-ListDash"/>
              <w:numPr>
                <w:ilvl w:val="1"/>
                <w:numId w:val="52"/>
              </w:numPr>
              <w:spacing w:before="60" w:after="60"/>
              <w:rPr>
                <w:lang w:val="sl-SI"/>
              </w:rPr>
            </w:pPr>
            <w:r w:rsidRPr="001048FE">
              <w:rPr>
                <w:lang w:val="sl-SI"/>
              </w:rPr>
              <w:t>fundacija;</w:t>
            </w:r>
          </w:p>
          <w:p w14:paraId="7D39883C" w14:textId="77777777" w:rsidR="00E03711" w:rsidRPr="001048FE" w:rsidRDefault="00E03711" w:rsidP="005361B2">
            <w:pPr>
              <w:pStyle w:val="Guide-ListDash"/>
              <w:numPr>
                <w:ilvl w:val="1"/>
                <w:numId w:val="52"/>
              </w:numPr>
              <w:spacing w:before="60" w:after="60"/>
              <w:rPr>
                <w:lang w:val="sl-SI"/>
              </w:rPr>
            </w:pPr>
            <w:r w:rsidRPr="001048FE">
              <w:rPr>
                <w:lang w:val="sl-SI"/>
              </w:rPr>
              <w:t>šola/zavod/center</w:t>
            </w:r>
            <w:r w:rsidRPr="001048FE">
              <w:rPr>
                <w:spacing w:val="-19"/>
                <w:lang w:val="sl-SI"/>
              </w:rPr>
              <w:t xml:space="preserve"> </w:t>
            </w:r>
            <w:r w:rsidRPr="001048FE">
              <w:rPr>
                <w:lang w:val="sl-SI"/>
              </w:rPr>
              <w:t>za</w:t>
            </w:r>
            <w:r w:rsidRPr="001048FE">
              <w:rPr>
                <w:spacing w:val="-19"/>
                <w:lang w:val="sl-SI"/>
              </w:rPr>
              <w:t xml:space="preserve"> </w:t>
            </w:r>
            <w:r w:rsidRPr="001048FE">
              <w:rPr>
                <w:lang w:val="sl-SI"/>
              </w:rPr>
              <w:t>izobraževanje</w:t>
            </w:r>
            <w:r w:rsidRPr="001048FE">
              <w:rPr>
                <w:spacing w:val="-19"/>
                <w:lang w:val="sl-SI"/>
              </w:rPr>
              <w:t xml:space="preserve"> </w:t>
            </w:r>
            <w:r w:rsidRPr="001048FE">
              <w:rPr>
                <w:lang w:val="sl-SI"/>
              </w:rPr>
              <w:t>(na</w:t>
            </w:r>
            <w:r w:rsidRPr="001048FE">
              <w:rPr>
                <w:spacing w:val="-19"/>
                <w:lang w:val="sl-SI"/>
              </w:rPr>
              <w:t xml:space="preserve"> </w:t>
            </w:r>
            <w:r w:rsidRPr="001048FE">
              <w:rPr>
                <w:lang w:val="sl-SI"/>
              </w:rPr>
              <w:t>kateri</w:t>
            </w:r>
            <w:r w:rsidRPr="001048FE">
              <w:rPr>
                <w:spacing w:val="-19"/>
                <w:lang w:val="sl-SI"/>
              </w:rPr>
              <w:t xml:space="preserve"> </w:t>
            </w:r>
            <w:r w:rsidRPr="001048FE">
              <w:rPr>
                <w:lang w:val="sl-SI"/>
              </w:rPr>
              <w:t>koli</w:t>
            </w:r>
            <w:r w:rsidRPr="001048FE">
              <w:rPr>
                <w:spacing w:val="-19"/>
                <w:lang w:val="sl-SI"/>
              </w:rPr>
              <w:t xml:space="preserve"> </w:t>
            </w:r>
            <w:r w:rsidRPr="001048FE">
              <w:rPr>
                <w:lang w:val="sl-SI"/>
              </w:rPr>
              <w:t>ravni,</w:t>
            </w:r>
            <w:r w:rsidRPr="001048FE">
              <w:rPr>
                <w:spacing w:val="-19"/>
                <w:lang w:val="sl-SI"/>
              </w:rPr>
              <w:t xml:space="preserve"> </w:t>
            </w:r>
            <w:r w:rsidRPr="001048FE">
              <w:rPr>
                <w:lang w:val="sl-SI"/>
              </w:rPr>
              <w:t>od</w:t>
            </w:r>
            <w:r w:rsidRPr="001048FE">
              <w:rPr>
                <w:spacing w:val="-18"/>
                <w:lang w:val="sl-SI"/>
              </w:rPr>
              <w:t xml:space="preserve"> </w:t>
            </w:r>
            <w:r w:rsidRPr="001048FE">
              <w:rPr>
                <w:lang w:val="sl-SI"/>
              </w:rPr>
              <w:t>predšolskega do srednješolskega izobraževanja, vključno s poklicnim izobraževanjem in izobraževanjem</w:t>
            </w:r>
            <w:r w:rsidRPr="001048FE">
              <w:rPr>
                <w:spacing w:val="-3"/>
                <w:lang w:val="sl-SI"/>
              </w:rPr>
              <w:t xml:space="preserve"> </w:t>
            </w:r>
            <w:r w:rsidRPr="001048FE">
              <w:rPr>
                <w:lang w:val="sl-SI"/>
              </w:rPr>
              <w:t>odraslih);</w:t>
            </w:r>
          </w:p>
          <w:p w14:paraId="7D39883D" w14:textId="77777777" w:rsidR="00E03711" w:rsidRPr="000E24C7" w:rsidRDefault="00E03711" w:rsidP="00860232">
            <w:pPr>
              <w:pStyle w:val="Guide-ListDash"/>
              <w:rPr>
                <w:lang w:val="sl-SI"/>
              </w:rPr>
            </w:pPr>
            <w:r w:rsidRPr="000E24C7">
              <w:rPr>
                <w:lang w:val="sl-SI"/>
              </w:rPr>
              <w:t>nepridobitna organizacija, združenje, nevladna</w:t>
            </w:r>
            <w:r w:rsidRPr="000E24C7">
              <w:rPr>
                <w:spacing w:val="-14"/>
                <w:lang w:val="sl-SI"/>
              </w:rPr>
              <w:t xml:space="preserve"> </w:t>
            </w:r>
            <w:r w:rsidRPr="000E24C7">
              <w:rPr>
                <w:lang w:val="sl-SI"/>
              </w:rPr>
              <w:t>organizacija;</w:t>
            </w:r>
          </w:p>
          <w:p w14:paraId="7D39883E" w14:textId="77777777" w:rsidR="00E03711" w:rsidRPr="000E24C7" w:rsidRDefault="00E03711" w:rsidP="00860232">
            <w:pPr>
              <w:pStyle w:val="Guide-ListDash"/>
              <w:rPr>
                <w:lang w:val="sl-SI"/>
              </w:rPr>
            </w:pPr>
            <w:r w:rsidRPr="000E24C7">
              <w:rPr>
                <w:lang w:val="sl-SI"/>
              </w:rPr>
              <w:t>organ,</w:t>
            </w:r>
            <w:r w:rsidRPr="000E24C7">
              <w:rPr>
                <w:spacing w:val="-11"/>
                <w:lang w:val="sl-SI"/>
              </w:rPr>
              <w:t xml:space="preserve"> </w:t>
            </w:r>
            <w:r w:rsidRPr="000E24C7">
              <w:rPr>
                <w:lang w:val="sl-SI"/>
              </w:rPr>
              <w:t>ki</w:t>
            </w:r>
            <w:r w:rsidRPr="000E24C7">
              <w:rPr>
                <w:spacing w:val="-12"/>
                <w:lang w:val="sl-SI"/>
              </w:rPr>
              <w:t xml:space="preserve"> </w:t>
            </w:r>
            <w:r w:rsidRPr="000E24C7">
              <w:rPr>
                <w:lang w:val="sl-SI"/>
              </w:rPr>
              <w:t>zagotavlja</w:t>
            </w:r>
            <w:r w:rsidRPr="000E24C7">
              <w:rPr>
                <w:spacing w:val="-12"/>
                <w:lang w:val="sl-SI"/>
              </w:rPr>
              <w:t xml:space="preserve"> </w:t>
            </w:r>
            <w:r w:rsidRPr="000E24C7">
              <w:rPr>
                <w:lang w:val="sl-SI"/>
              </w:rPr>
              <w:t>poklicno</w:t>
            </w:r>
            <w:r w:rsidRPr="000E24C7">
              <w:rPr>
                <w:spacing w:val="-12"/>
                <w:lang w:val="sl-SI"/>
              </w:rPr>
              <w:t xml:space="preserve"> </w:t>
            </w:r>
            <w:r w:rsidRPr="000E24C7">
              <w:rPr>
                <w:lang w:val="sl-SI"/>
              </w:rPr>
              <w:t>usmerjanje,</w:t>
            </w:r>
            <w:r w:rsidRPr="000E24C7">
              <w:rPr>
                <w:spacing w:val="-12"/>
                <w:lang w:val="sl-SI"/>
              </w:rPr>
              <w:t xml:space="preserve"> </w:t>
            </w:r>
            <w:r w:rsidRPr="000E24C7">
              <w:rPr>
                <w:lang w:val="sl-SI"/>
              </w:rPr>
              <w:t>poklicno</w:t>
            </w:r>
            <w:r w:rsidRPr="000E24C7">
              <w:rPr>
                <w:spacing w:val="-12"/>
                <w:lang w:val="sl-SI"/>
              </w:rPr>
              <w:t xml:space="preserve"> </w:t>
            </w:r>
            <w:r w:rsidRPr="000E24C7">
              <w:rPr>
                <w:lang w:val="sl-SI"/>
              </w:rPr>
              <w:t>svetovanje</w:t>
            </w:r>
            <w:r w:rsidRPr="000E24C7">
              <w:rPr>
                <w:spacing w:val="-12"/>
                <w:lang w:val="sl-SI"/>
              </w:rPr>
              <w:t xml:space="preserve"> </w:t>
            </w:r>
            <w:r w:rsidRPr="000E24C7">
              <w:rPr>
                <w:lang w:val="sl-SI"/>
              </w:rPr>
              <w:t>in informacijske</w:t>
            </w:r>
            <w:r w:rsidRPr="000E24C7">
              <w:rPr>
                <w:spacing w:val="-2"/>
                <w:lang w:val="sl-SI"/>
              </w:rPr>
              <w:t xml:space="preserve"> </w:t>
            </w:r>
            <w:r w:rsidRPr="000E24C7">
              <w:rPr>
                <w:lang w:val="sl-SI"/>
              </w:rPr>
              <w:t>storitve;</w:t>
            </w:r>
          </w:p>
          <w:p w14:paraId="7D39883F" w14:textId="77777777" w:rsidR="00E03711" w:rsidRPr="000E24C7" w:rsidRDefault="00E03711" w:rsidP="00860232">
            <w:pPr>
              <w:pStyle w:val="Guide-ListDash"/>
              <w:rPr>
                <w:lang w:val="sl-SI"/>
              </w:rPr>
            </w:pPr>
            <w:r w:rsidRPr="000E24C7">
              <w:rPr>
                <w:lang w:val="sl-SI"/>
              </w:rPr>
              <w:t>visokošolska institucija države Programa, ki je nosilka</w:t>
            </w:r>
            <w:r w:rsidRPr="000E24C7">
              <w:rPr>
                <w:spacing w:val="40"/>
                <w:lang w:val="sl-SI"/>
              </w:rPr>
              <w:t xml:space="preserve"> </w:t>
            </w:r>
            <w:r w:rsidRPr="000E24C7">
              <w:rPr>
                <w:lang w:val="sl-SI"/>
              </w:rPr>
              <w:t>ECHE.</w:t>
            </w:r>
          </w:p>
        </w:tc>
      </w:tr>
      <w:tr w:rsidR="00E03711" w:rsidRPr="00C60205" w14:paraId="7D398849" w14:textId="77777777" w:rsidTr="00F03EAA">
        <w:trPr>
          <w:trHeight w:val="57"/>
        </w:trPr>
        <w:tc>
          <w:tcPr>
            <w:tcW w:w="844" w:type="pct"/>
            <w:shd w:val="clear" w:color="auto" w:fill="FFFFFF"/>
            <w:vAlign w:val="center"/>
          </w:tcPr>
          <w:p w14:paraId="7D398841" w14:textId="77777777" w:rsidR="00E03711" w:rsidRPr="00F769E0" w:rsidRDefault="00E03711" w:rsidP="0075479E">
            <w:pPr>
              <w:pStyle w:val="Guide-Table"/>
              <w:spacing w:before="60" w:after="60"/>
              <w:jc w:val="left"/>
              <w:rPr>
                <w:rFonts w:cs="Tahoma"/>
                <w:b/>
                <w:lang w:val="sl-SI" w:eastAsia="en-GB"/>
              </w:rPr>
            </w:pPr>
            <w:r w:rsidRPr="00F769E0">
              <w:rPr>
                <w:rFonts w:cs="Tahoma"/>
                <w:b/>
                <w:lang w:val="sl-SI" w:eastAsia="en-GB"/>
              </w:rPr>
              <w:t>Trajanje aktivnosti</w:t>
            </w:r>
          </w:p>
        </w:tc>
        <w:tc>
          <w:tcPr>
            <w:tcW w:w="4156" w:type="pct"/>
            <w:shd w:val="clear" w:color="auto" w:fill="FFFFFF"/>
          </w:tcPr>
          <w:p w14:paraId="7D398842" w14:textId="77777777" w:rsidR="00E03711" w:rsidRPr="00F769E0" w:rsidRDefault="00E03711" w:rsidP="0075479E">
            <w:pPr>
              <w:pStyle w:val="GUIDE-NORMAL"/>
              <w:spacing w:before="60" w:after="60"/>
              <w:rPr>
                <w:rFonts w:cs="Tahoma"/>
                <w:lang w:val="sl-SI" w:eastAsia="en-GB"/>
              </w:rPr>
            </w:pPr>
            <w:r w:rsidRPr="00F769E0">
              <w:rPr>
                <w:rFonts w:cs="Tahoma"/>
                <w:b/>
                <w:lang w:val="sl-SI" w:eastAsia="en-GB"/>
              </w:rPr>
              <w:t>Obdobja</w:t>
            </w:r>
            <w:r w:rsidRPr="00F769E0">
              <w:rPr>
                <w:rFonts w:cs="Tahoma"/>
                <w:b/>
                <w:spacing w:val="-12"/>
                <w:lang w:val="sl-SI" w:eastAsia="en-GB"/>
              </w:rPr>
              <w:t xml:space="preserve"> </w:t>
            </w:r>
            <w:r w:rsidRPr="00F769E0">
              <w:rPr>
                <w:rFonts w:cs="Tahoma"/>
                <w:b/>
                <w:lang w:val="sl-SI" w:eastAsia="en-GB"/>
              </w:rPr>
              <w:t>študija</w:t>
            </w:r>
            <w:r w:rsidRPr="00F769E0">
              <w:rPr>
                <w:rFonts w:cs="Tahoma"/>
                <w:lang w:val="sl-SI" w:eastAsia="en-GB"/>
              </w:rPr>
              <w:t>:</w:t>
            </w:r>
            <w:r w:rsidRPr="00F769E0">
              <w:rPr>
                <w:rFonts w:cs="Tahoma"/>
                <w:spacing w:val="-17"/>
                <w:lang w:val="sl-SI" w:eastAsia="en-GB"/>
              </w:rPr>
              <w:t xml:space="preserve"> </w:t>
            </w:r>
            <w:r w:rsidRPr="00F769E0">
              <w:rPr>
                <w:rFonts w:cs="Tahoma"/>
                <w:lang w:val="sl-SI" w:eastAsia="en-GB"/>
              </w:rPr>
              <w:t>od</w:t>
            </w:r>
            <w:r w:rsidRPr="00F769E0">
              <w:rPr>
                <w:rFonts w:cs="Tahoma"/>
                <w:spacing w:val="-16"/>
                <w:lang w:val="sl-SI" w:eastAsia="en-GB"/>
              </w:rPr>
              <w:t xml:space="preserve"> </w:t>
            </w:r>
            <w:r w:rsidRPr="00F769E0">
              <w:rPr>
                <w:rFonts w:cs="Tahoma"/>
                <w:lang w:val="sl-SI" w:eastAsia="en-GB"/>
              </w:rPr>
              <w:t>3</w:t>
            </w:r>
            <w:hyperlink r:id="rId67">
              <w:r w:rsidRPr="00F769E0">
                <w:rPr>
                  <w:rStyle w:val="FootnoteReference"/>
                  <w:rFonts w:cs="Tahoma"/>
                  <w:lang w:val="sl-SI" w:eastAsia="en-GB"/>
                </w:rPr>
                <w:footnoteReference w:id="28"/>
              </w:r>
              <w:r w:rsidRPr="00F769E0">
                <w:rPr>
                  <w:rFonts w:cs="Tahoma"/>
                  <w:spacing w:val="-11"/>
                  <w:sz w:val="20"/>
                  <w:lang w:val="sl-SI" w:eastAsia="en-GB"/>
                </w:rPr>
                <w:t xml:space="preserve"> </w:t>
              </w:r>
            </w:hyperlink>
            <w:r w:rsidRPr="00F769E0">
              <w:rPr>
                <w:rFonts w:cs="Tahoma"/>
                <w:lang w:val="sl-SI" w:eastAsia="en-GB"/>
              </w:rPr>
              <w:t>do</w:t>
            </w:r>
            <w:r w:rsidRPr="00F769E0">
              <w:rPr>
                <w:rFonts w:cs="Tahoma"/>
                <w:spacing w:val="-17"/>
                <w:lang w:val="sl-SI" w:eastAsia="en-GB"/>
              </w:rPr>
              <w:t xml:space="preserve"> </w:t>
            </w:r>
            <w:r w:rsidRPr="00F769E0">
              <w:rPr>
                <w:rFonts w:cs="Tahoma"/>
                <w:lang w:val="sl-SI" w:eastAsia="en-GB"/>
              </w:rPr>
              <w:t>12</w:t>
            </w:r>
            <w:r w:rsidRPr="00F769E0">
              <w:rPr>
                <w:rFonts w:cs="Tahoma"/>
                <w:spacing w:val="-17"/>
                <w:lang w:val="sl-SI" w:eastAsia="en-GB"/>
              </w:rPr>
              <w:t xml:space="preserve"> </w:t>
            </w:r>
            <w:r w:rsidRPr="00F769E0">
              <w:rPr>
                <w:rFonts w:cs="Tahoma"/>
                <w:lang w:val="sl-SI" w:eastAsia="en-GB"/>
              </w:rPr>
              <w:t>mesecev</w:t>
            </w:r>
            <w:r w:rsidRPr="00F769E0">
              <w:rPr>
                <w:rFonts w:cs="Tahoma"/>
                <w:spacing w:val="-17"/>
                <w:lang w:val="sl-SI" w:eastAsia="en-GB"/>
              </w:rPr>
              <w:t xml:space="preserve"> </w:t>
            </w:r>
            <w:r w:rsidRPr="00F769E0">
              <w:rPr>
                <w:rFonts w:cs="Tahoma"/>
                <w:lang w:val="sl-SI" w:eastAsia="en-GB"/>
              </w:rPr>
              <w:t>(vključno</w:t>
            </w:r>
            <w:r w:rsidRPr="00F769E0">
              <w:rPr>
                <w:rFonts w:cs="Tahoma"/>
                <w:spacing w:val="-17"/>
                <w:lang w:val="sl-SI" w:eastAsia="en-GB"/>
              </w:rPr>
              <w:t xml:space="preserve"> </w:t>
            </w:r>
            <w:r w:rsidRPr="00F769E0">
              <w:rPr>
                <w:rFonts w:cs="Tahoma"/>
                <w:lang w:val="sl-SI" w:eastAsia="en-GB"/>
              </w:rPr>
              <w:t>z</w:t>
            </w:r>
            <w:r w:rsidRPr="00F769E0">
              <w:rPr>
                <w:rFonts w:cs="Tahoma"/>
                <w:spacing w:val="-17"/>
                <w:lang w:val="sl-SI" w:eastAsia="en-GB"/>
              </w:rPr>
              <w:t xml:space="preserve"> </w:t>
            </w:r>
            <w:r w:rsidRPr="00F769E0">
              <w:rPr>
                <w:rFonts w:cs="Tahoma"/>
                <w:lang w:val="sl-SI" w:eastAsia="en-GB"/>
              </w:rPr>
              <w:t>dodatnim</w:t>
            </w:r>
            <w:r w:rsidRPr="00F769E0">
              <w:rPr>
                <w:rFonts w:cs="Tahoma"/>
                <w:spacing w:val="-17"/>
                <w:lang w:val="sl-SI" w:eastAsia="en-GB"/>
              </w:rPr>
              <w:t xml:space="preserve"> </w:t>
            </w:r>
            <w:r w:rsidRPr="00F769E0">
              <w:rPr>
                <w:rFonts w:cs="Tahoma"/>
                <w:lang w:val="sl-SI" w:eastAsia="en-GB"/>
              </w:rPr>
              <w:t>obdobjem prakse, če je to</w:t>
            </w:r>
            <w:r w:rsidRPr="00F769E0">
              <w:rPr>
                <w:rFonts w:cs="Tahoma"/>
                <w:spacing w:val="-11"/>
                <w:lang w:val="sl-SI" w:eastAsia="en-GB"/>
              </w:rPr>
              <w:t xml:space="preserve"> </w:t>
            </w:r>
            <w:r w:rsidRPr="00F769E0">
              <w:rPr>
                <w:rFonts w:cs="Tahoma"/>
                <w:lang w:val="sl-SI" w:eastAsia="en-GB"/>
              </w:rPr>
              <w:t>načrtovano).</w:t>
            </w:r>
          </w:p>
          <w:p w14:paraId="7D398843" w14:textId="77777777" w:rsidR="00E03711" w:rsidRPr="00F769E0" w:rsidRDefault="00E03711" w:rsidP="0075479E">
            <w:pPr>
              <w:pStyle w:val="GUIDE-NORMAL"/>
              <w:spacing w:before="60" w:after="60"/>
              <w:rPr>
                <w:rFonts w:cs="Tahoma"/>
                <w:lang w:val="sl-SI" w:eastAsia="en-GB"/>
              </w:rPr>
            </w:pPr>
            <w:r w:rsidRPr="00F769E0">
              <w:rPr>
                <w:rFonts w:cs="Tahoma"/>
                <w:b/>
                <w:lang w:val="sl-SI" w:eastAsia="en-GB"/>
              </w:rPr>
              <w:t>Prakse</w:t>
            </w:r>
            <w:r w:rsidRPr="00F769E0">
              <w:rPr>
                <w:rFonts w:cs="Tahoma"/>
                <w:lang w:val="sl-SI" w:eastAsia="en-GB"/>
              </w:rPr>
              <w:t>: od 2 do 12 mesecev.</w:t>
            </w:r>
          </w:p>
          <w:p w14:paraId="7D398844"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En študent lahko sodeluje v obdobjih mobilnosti, ki skupaj trajajo največ 12</w:t>
            </w:r>
            <w:r w:rsidRPr="00F769E0">
              <w:rPr>
                <w:rFonts w:cs="Tahoma"/>
                <w:spacing w:val="-16"/>
                <w:lang w:val="sl-SI" w:eastAsia="en-GB"/>
              </w:rPr>
              <w:t xml:space="preserve"> </w:t>
            </w:r>
            <w:r w:rsidRPr="00F769E0">
              <w:rPr>
                <w:rFonts w:cs="Tahoma"/>
                <w:lang w:val="sl-SI" w:eastAsia="en-GB"/>
              </w:rPr>
              <w:t>mesecev</w:t>
            </w:r>
            <w:hyperlink r:id="rId68">
              <w:r w:rsidRPr="00F769E0">
                <w:rPr>
                  <w:rStyle w:val="FootnoteReference"/>
                  <w:rFonts w:cs="Tahoma"/>
                  <w:lang w:val="sl-SI" w:eastAsia="en-GB"/>
                </w:rPr>
                <w:footnoteReference w:id="29"/>
              </w:r>
              <w:r w:rsidRPr="00F769E0">
                <w:rPr>
                  <w:rFonts w:cs="Tahoma"/>
                  <w:spacing w:val="-10"/>
                  <w:sz w:val="20"/>
                  <w:lang w:val="sl-SI" w:eastAsia="en-GB"/>
                </w:rPr>
                <w:t xml:space="preserve"> </w:t>
              </w:r>
            </w:hyperlink>
            <w:r w:rsidRPr="00F769E0">
              <w:rPr>
                <w:rFonts w:cs="Tahoma"/>
                <w:lang w:val="sl-SI" w:eastAsia="en-GB"/>
              </w:rPr>
              <w:t>na</w:t>
            </w:r>
            <w:r w:rsidRPr="00F769E0">
              <w:rPr>
                <w:rFonts w:cs="Tahoma"/>
                <w:spacing w:val="-16"/>
                <w:lang w:val="sl-SI" w:eastAsia="en-GB"/>
              </w:rPr>
              <w:t xml:space="preserve"> </w:t>
            </w:r>
            <w:r w:rsidRPr="00F769E0">
              <w:rPr>
                <w:rFonts w:cs="Tahoma"/>
                <w:lang w:val="sl-SI" w:eastAsia="en-GB"/>
              </w:rPr>
              <w:t>posamezen</w:t>
            </w:r>
            <w:r w:rsidRPr="00F769E0">
              <w:rPr>
                <w:rFonts w:cs="Tahoma"/>
                <w:spacing w:val="-16"/>
                <w:lang w:val="sl-SI" w:eastAsia="en-GB"/>
              </w:rPr>
              <w:t xml:space="preserve"> </w:t>
            </w:r>
            <w:r w:rsidRPr="00F769E0">
              <w:rPr>
                <w:rFonts w:cs="Tahoma"/>
                <w:lang w:val="sl-SI" w:eastAsia="en-GB"/>
              </w:rPr>
              <w:t>cikel</w:t>
            </w:r>
            <w:r w:rsidRPr="00F769E0">
              <w:rPr>
                <w:rFonts w:cs="Tahoma"/>
                <w:spacing w:val="-16"/>
                <w:lang w:val="sl-SI" w:eastAsia="en-GB"/>
              </w:rPr>
              <w:t xml:space="preserve"> </w:t>
            </w:r>
            <w:r w:rsidRPr="00F769E0">
              <w:rPr>
                <w:rFonts w:cs="Tahoma"/>
                <w:lang w:val="sl-SI" w:eastAsia="en-GB"/>
              </w:rPr>
              <w:t>študija</w:t>
            </w:r>
            <w:r w:rsidRPr="00F769E0">
              <w:rPr>
                <w:rStyle w:val="FootnoteReference"/>
                <w:rFonts w:cs="Tahoma"/>
                <w:lang w:val="sl-SI" w:eastAsia="en-GB"/>
              </w:rPr>
              <w:footnoteReference w:id="30"/>
            </w:r>
            <w:r w:rsidRPr="00F769E0">
              <w:rPr>
                <w:rFonts w:cs="Tahoma"/>
                <w:lang w:val="sl-SI" w:eastAsia="en-GB"/>
              </w:rPr>
              <w:t>,</w:t>
            </w:r>
            <w:r w:rsidRPr="00F769E0">
              <w:rPr>
                <w:rFonts w:cs="Tahoma"/>
                <w:spacing w:val="-16"/>
                <w:lang w:val="sl-SI" w:eastAsia="en-GB"/>
              </w:rPr>
              <w:t xml:space="preserve"> </w:t>
            </w:r>
            <w:r w:rsidRPr="00F769E0">
              <w:rPr>
                <w:rFonts w:cs="Tahoma"/>
                <w:lang w:val="sl-SI" w:eastAsia="en-GB"/>
              </w:rPr>
              <w:t>in</w:t>
            </w:r>
            <w:r w:rsidRPr="00F769E0">
              <w:rPr>
                <w:rFonts w:cs="Tahoma"/>
                <w:spacing w:val="-16"/>
                <w:lang w:val="sl-SI" w:eastAsia="en-GB"/>
              </w:rPr>
              <w:t xml:space="preserve"> </w:t>
            </w:r>
            <w:r w:rsidRPr="00F769E0">
              <w:rPr>
                <w:rFonts w:cs="Tahoma"/>
                <w:lang w:val="sl-SI" w:eastAsia="en-GB"/>
              </w:rPr>
              <w:t>to</w:t>
            </w:r>
            <w:r w:rsidRPr="00F769E0">
              <w:rPr>
                <w:rFonts w:cs="Tahoma"/>
                <w:spacing w:val="-16"/>
                <w:lang w:val="sl-SI" w:eastAsia="en-GB"/>
              </w:rPr>
              <w:t xml:space="preserve"> </w:t>
            </w:r>
            <w:r w:rsidRPr="00F769E0">
              <w:rPr>
                <w:rFonts w:cs="Tahoma"/>
                <w:lang w:val="sl-SI" w:eastAsia="en-GB"/>
              </w:rPr>
              <w:t>neodvisno</w:t>
            </w:r>
            <w:r w:rsidRPr="00F769E0">
              <w:rPr>
                <w:rFonts w:cs="Tahoma"/>
                <w:spacing w:val="-16"/>
                <w:lang w:val="sl-SI" w:eastAsia="en-GB"/>
              </w:rPr>
              <w:t xml:space="preserve"> </w:t>
            </w:r>
            <w:r w:rsidRPr="00F769E0">
              <w:rPr>
                <w:rFonts w:cs="Tahoma"/>
                <w:lang w:val="sl-SI" w:eastAsia="en-GB"/>
              </w:rPr>
              <w:t>od</w:t>
            </w:r>
            <w:r w:rsidRPr="00F769E0">
              <w:rPr>
                <w:rFonts w:cs="Tahoma"/>
                <w:spacing w:val="-16"/>
                <w:lang w:val="sl-SI" w:eastAsia="en-GB"/>
              </w:rPr>
              <w:t xml:space="preserve"> </w:t>
            </w:r>
            <w:r w:rsidRPr="00F769E0">
              <w:rPr>
                <w:rFonts w:cs="Tahoma"/>
                <w:lang w:val="sl-SI" w:eastAsia="en-GB"/>
              </w:rPr>
              <w:t>števila</w:t>
            </w:r>
            <w:r w:rsidRPr="00F769E0">
              <w:rPr>
                <w:rFonts w:cs="Tahoma"/>
                <w:spacing w:val="-16"/>
                <w:lang w:val="sl-SI" w:eastAsia="en-GB"/>
              </w:rPr>
              <w:t xml:space="preserve"> </w:t>
            </w:r>
            <w:r w:rsidRPr="00F769E0">
              <w:rPr>
                <w:rFonts w:cs="Tahoma"/>
                <w:lang w:val="sl-SI" w:eastAsia="en-GB"/>
              </w:rPr>
              <w:t>in</w:t>
            </w:r>
            <w:r w:rsidRPr="00F769E0">
              <w:rPr>
                <w:rFonts w:cs="Tahoma"/>
                <w:spacing w:val="-16"/>
                <w:lang w:val="sl-SI" w:eastAsia="en-GB"/>
              </w:rPr>
              <w:t xml:space="preserve"> </w:t>
            </w:r>
            <w:r w:rsidRPr="00F769E0">
              <w:rPr>
                <w:rFonts w:cs="Tahoma"/>
                <w:lang w:val="sl-SI" w:eastAsia="en-GB"/>
              </w:rPr>
              <w:t>vrste aktivnosti</w:t>
            </w:r>
            <w:r w:rsidRPr="00F769E0">
              <w:rPr>
                <w:rFonts w:cs="Tahoma"/>
                <w:spacing w:val="-7"/>
                <w:lang w:val="sl-SI" w:eastAsia="en-GB"/>
              </w:rPr>
              <w:t xml:space="preserve"> </w:t>
            </w:r>
            <w:r w:rsidRPr="00F769E0">
              <w:rPr>
                <w:rFonts w:cs="Tahoma"/>
                <w:lang w:val="sl-SI" w:eastAsia="en-GB"/>
              </w:rPr>
              <w:t>mobilnosti.</w:t>
            </w:r>
            <w:r w:rsidRPr="00F769E0">
              <w:rPr>
                <w:rFonts w:cs="Tahoma"/>
                <w:spacing w:val="-7"/>
                <w:lang w:val="sl-SI" w:eastAsia="en-GB"/>
              </w:rPr>
              <w:t xml:space="preserve"> </w:t>
            </w:r>
            <w:r w:rsidRPr="00F769E0">
              <w:rPr>
                <w:rFonts w:cs="Tahoma"/>
                <w:lang w:val="sl-SI" w:eastAsia="en-GB"/>
              </w:rPr>
              <w:t>Udeležba</w:t>
            </w:r>
            <w:r w:rsidRPr="00F769E0">
              <w:rPr>
                <w:rFonts w:cs="Tahoma"/>
                <w:spacing w:val="-7"/>
                <w:lang w:val="sl-SI" w:eastAsia="en-GB"/>
              </w:rPr>
              <w:t xml:space="preserve"> </w:t>
            </w:r>
            <w:r w:rsidRPr="00F769E0">
              <w:rPr>
                <w:rFonts w:cs="Tahoma"/>
                <w:lang w:val="sl-SI" w:eastAsia="en-GB"/>
              </w:rPr>
              <w:t>z</w:t>
            </w:r>
            <w:r w:rsidRPr="00F769E0">
              <w:rPr>
                <w:rFonts w:cs="Tahoma"/>
                <w:spacing w:val="-7"/>
                <w:lang w:val="sl-SI" w:eastAsia="en-GB"/>
              </w:rPr>
              <w:t xml:space="preserve"> </w:t>
            </w:r>
            <w:r w:rsidRPr="00F769E0">
              <w:rPr>
                <w:rFonts w:cs="Tahoma"/>
                <w:lang w:val="sl-SI" w:eastAsia="en-GB"/>
              </w:rPr>
              <w:t>ničelnimi</w:t>
            </w:r>
            <w:r w:rsidRPr="00F769E0">
              <w:rPr>
                <w:rFonts w:cs="Tahoma"/>
                <w:spacing w:val="-7"/>
                <w:lang w:val="sl-SI" w:eastAsia="en-GB"/>
              </w:rPr>
              <w:t xml:space="preserve"> </w:t>
            </w:r>
            <w:r w:rsidRPr="00F769E0">
              <w:rPr>
                <w:rFonts w:cs="Tahoma"/>
                <w:lang w:val="sl-SI" w:eastAsia="en-GB"/>
              </w:rPr>
              <w:t>nepovratnimi</w:t>
            </w:r>
            <w:r w:rsidRPr="00F769E0">
              <w:rPr>
                <w:rFonts w:cs="Tahoma"/>
                <w:spacing w:val="-7"/>
                <w:lang w:val="sl-SI" w:eastAsia="en-GB"/>
              </w:rPr>
              <w:t xml:space="preserve"> </w:t>
            </w:r>
            <w:r w:rsidRPr="00F769E0">
              <w:rPr>
                <w:rFonts w:cs="Tahoma"/>
                <w:lang w:val="sl-SI" w:eastAsia="en-GB"/>
              </w:rPr>
              <w:t>sredstvi</w:t>
            </w:r>
            <w:r w:rsidRPr="00F769E0">
              <w:rPr>
                <w:rFonts w:cs="Tahoma"/>
                <w:spacing w:val="-7"/>
                <w:lang w:val="sl-SI" w:eastAsia="en-GB"/>
              </w:rPr>
              <w:t xml:space="preserve"> </w:t>
            </w:r>
            <w:r w:rsidRPr="00F769E0">
              <w:rPr>
                <w:rFonts w:cs="Tahoma"/>
                <w:lang w:val="sl-SI" w:eastAsia="en-GB"/>
              </w:rPr>
              <w:t>iz</w:t>
            </w:r>
            <w:r w:rsidRPr="00F769E0">
              <w:rPr>
                <w:rFonts w:cs="Tahoma"/>
                <w:spacing w:val="-7"/>
                <w:lang w:val="sl-SI" w:eastAsia="en-GB"/>
              </w:rPr>
              <w:t xml:space="preserve"> </w:t>
            </w:r>
            <w:r w:rsidRPr="00F769E0">
              <w:rPr>
                <w:rFonts w:cs="Tahoma"/>
                <w:lang w:val="sl-SI" w:eastAsia="en-GB"/>
              </w:rPr>
              <w:t>sredstev EU se prav tako všteje v najdaljše</w:t>
            </w:r>
            <w:r w:rsidRPr="00F769E0">
              <w:rPr>
                <w:rFonts w:cs="Tahoma"/>
                <w:spacing w:val="-26"/>
                <w:lang w:val="sl-SI" w:eastAsia="en-GB"/>
              </w:rPr>
              <w:t xml:space="preserve"> </w:t>
            </w:r>
            <w:r w:rsidRPr="00F769E0">
              <w:rPr>
                <w:rFonts w:cs="Tahoma"/>
                <w:lang w:val="sl-SI" w:eastAsia="en-GB"/>
              </w:rPr>
              <w:t>obdobje:</w:t>
            </w:r>
          </w:p>
          <w:p w14:paraId="7D398845" w14:textId="77777777" w:rsidR="00E03711" w:rsidRPr="001048FE" w:rsidRDefault="00E03711" w:rsidP="005115F2">
            <w:pPr>
              <w:pStyle w:val="Guide-NormalBulletpoints"/>
              <w:numPr>
                <w:ilvl w:val="0"/>
                <w:numId w:val="197"/>
              </w:numPr>
              <w:spacing w:before="60"/>
              <w:rPr>
                <w:lang w:val="sl-SI"/>
              </w:rPr>
            </w:pPr>
            <w:r w:rsidRPr="001048FE">
              <w:rPr>
                <w:lang w:val="sl-SI"/>
              </w:rPr>
              <w:t>med</w:t>
            </w:r>
            <w:r w:rsidRPr="001048FE">
              <w:rPr>
                <w:spacing w:val="-12"/>
                <w:lang w:val="sl-SI"/>
              </w:rPr>
              <w:t xml:space="preserve"> </w:t>
            </w:r>
            <w:r w:rsidRPr="001048FE">
              <w:rPr>
                <w:lang w:val="sl-SI"/>
              </w:rPr>
              <w:t>študijem</w:t>
            </w:r>
            <w:r w:rsidRPr="001048FE">
              <w:rPr>
                <w:spacing w:val="-12"/>
                <w:lang w:val="sl-SI"/>
              </w:rPr>
              <w:t xml:space="preserve"> </w:t>
            </w:r>
            <w:r w:rsidRPr="001048FE">
              <w:rPr>
                <w:lang w:val="sl-SI"/>
              </w:rPr>
              <w:t>prve</w:t>
            </w:r>
            <w:r w:rsidRPr="001048FE">
              <w:rPr>
                <w:spacing w:val="-12"/>
                <w:lang w:val="sl-SI"/>
              </w:rPr>
              <w:t xml:space="preserve"> </w:t>
            </w:r>
            <w:r w:rsidRPr="001048FE">
              <w:rPr>
                <w:lang w:val="sl-SI"/>
              </w:rPr>
              <w:t>stopnje</w:t>
            </w:r>
            <w:r w:rsidRPr="001048FE">
              <w:rPr>
                <w:spacing w:val="-12"/>
                <w:lang w:val="sl-SI"/>
              </w:rPr>
              <w:t xml:space="preserve"> </w:t>
            </w:r>
            <w:r w:rsidRPr="001048FE">
              <w:rPr>
                <w:lang w:val="sl-SI"/>
              </w:rPr>
              <w:t>(dodiplomski</w:t>
            </w:r>
            <w:r w:rsidRPr="001048FE">
              <w:rPr>
                <w:spacing w:val="-12"/>
                <w:lang w:val="sl-SI"/>
              </w:rPr>
              <w:t xml:space="preserve"> </w:t>
            </w:r>
            <w:r w:rsidRPr="001048FE">
              <w:rPr>
                <w:lang w:val="sl-SI"/>
              </w:rPr>
              <w:t>študij</w:t>
            </w:r>
            <w:r w:rsidRPr="001048FE">
              <w:rPr>
                <w:spacing w:val="-12"/>
                <w:lang w:val="sl-SI"/>
              </w:rPr>
              <w:t xml:space="preserve"> </w:t>
            </w:r>
            <w:r w:rsidRPr="001048FE">
              <w:rPr>
                <w:lang w:val="sl-SI"/>
              </w:rPr>
              <w:t>ali</w:t>
            </w:r>
            <w:r w:rsidRPr="001048FE">
              <w:rPr>
                <w:spacing w:val="-12"/>
                <w:lang w:val="sl-SI"/>
              </w:rPr>
              <w:t xml:space="preserve"> </w:t>
            </w:r>
            <w:r w:rsidRPr="001048FE">
              <w:rPr>
                <w:lang w:val="sl-SI"/>
              </w:rPr>
              <w:t>enakovredno),</w:t>
            </w:r>
            <w:r w:rsidRPr="001048FE">
              <w:rPr>
                <w:spacing w:val="-12"/>
                <w:lang w:val="sl-SI"/>
              </w:rPr>
              <w:t xml:space="preserve"> </w:t>
            </w:r>
            <w:r w:rsidRPr="001048FE">
              <w:rPr>
                <w:lang w:val="sl-SI"/>
              </w:rPr>
              <w:t>vključno</w:t>
            </w:r>
            <w:r w:rsidRPr="001048FE">
              <w:rPr>
                <w:spacing w:val="-12"/>
                <w:lang w:val="sl-SI"/>
              </w:rPr>
              <w:t xml:space="preserve"> </w:t>
            </w:r>
            <w:r w:rsidRPr="001048FE">
              <w:rPr>
                <w:lang w:val="sl-SI"/>
              </w:rPr>
              <w:t>s kratkim ciklom (ravni 5 in 6</w:t>
            </w:r>
            <w:r w:rsidRPr="001048FE">
              <w:rPr>
                <w:spacing w:val="-10"/>
                <w:lang w:val="sl-SI"/>
              </w:rPr>
              <w:t xml:space="preserve"> </w:t>
            </w:r>
            <w:r w:rsidRPr="001048FE">
              <w:rPr>
                <w:lang w:val="sl-SI"/>
              </w:rPr>
              <w:t>EOK);</w:t>
            </w:r>
          </w:p>
          <w:p w14:paraId="7D398846" w14:textId="77777777" w:rsidR="00E03711" w:rsidRPr="001048FE" w:rsidRDefault="00E03711" w:rsidP="005115F2">
            <w:pPr>
              <w:pStyle w:val="Guide-NormalBulletpoints"/>
              <w:numPr>
                <w:ilvl w:val="0"/>
                <w:numId w:val="197"/>
              </w:numPr>
              <w:spacing w:before="60"/>
              <w:rPr>
                <w:lang w:val="sl-SI"/>
              </w:rPr>
            </w:pPr>
            <w:r w:rsidRPr="001048FE">
              <w:rPr>
                <w:lang w:val="sl-SI"/>
              </w:rPr>
              <w:t>med študijem druge stopnje (magistrski študij ali enakovredno – raven 7 EOK)</w:t>
            </w:r>
            <w:r w:rsidRPr="001048FE">
              <w:rPr>
                <w:spacing w:val="3"/>
                <w:lang w:val="sl-SI"/>
              </w:rPr>
              <w:t xml:space="preserve"> </w:t>
            </w:r>
            <w:r w:rsidRPr="001048FE">
              <w:rPr>
                <w:lang w:val="sl-SI"/>
              </w:rPr>
              <w:t>in</w:t>
            </w:r>
          </w:p>
          <w:p w14:paraId="7D398847" w14:textId="77777777" w:rsidR="00E03711" w:rsidRPr="001048FE" w:rsidRDefault="00E03711" w:rsidP="005115F2">
            <w:pPr>
              <w:pStyle w:val="Guide-NormalBulletpoints"/>
              <w:numPr>
                <w:ilvl w:val="0"/>
                <w:numId w:val="197"/>
              </w:numPr>
              <w:spacing w:before="60"/>
              <w:rPr>
                <w:lang w:val="sl-SI"/>
              </w:rPr>
            </w:pPr>
            <w:r w:rsidRPr="001048FE">
              <w:rPr>
                <w:lang w:val="sl-SI"/>
              </w:rPr>
              <w:t>med študijem tretje stopnje kot doktorand (raven doktorata ali raven 8</w:t>
            </w:r>
            <w:r w:rsidRPr="001048FE">
              <w:rPr>
                <w:spacing w:val="-6"/>
                <w:lang w:val="sl-SI"/>
              </w:rPr>
              <w:t xml:space="preserve"> </w:t>
            </w:r>
            <w:r w:rsidRPr="001048FE">
              <w:rPr>
                <w:lang w:val="sl-SI"/>
              </w:rPr>
              <w:t>EOK).</w:t>
            </w:r>
          </w:p>
          <w:p w14:paraId="7D398848" w14:textId="77777777" w:rsidR="00E03711" w:rsidRPr="001048FE" w:rsidRDefault="00E03711" w:rsidP="00A13051">
            <w:pPr>
              <w:pStyle w:val="ListParagraph"/>
              <w:spacing w:beforeLines="40" w:before="96" w:afterLines="40" w:after="96"/>
              <w:ind w:left="360"/>
              <w:jc w:val="both"/>
              <w:textAlignment w:val="auto"/>
              <w:rPr>
                <w:lang w:val="sl-SI"/>
              </w:rPr>
            </w:pPr>
            <w:r w:rsidRPr="00FC4A70">
              <w:rPr>
                <w:rFonts w:eastAsia="Times New Roman"/>
                <w:sz w:val="18"/>
                <w:szCs w:val="18"/>
                <w:shd w:val="clear" w:color="auto" w:fill="FFFFFF"/>
                <w:lang w:val="sl-SI" w:eastAsia="en-GB"/>
              </w:rPr>
              <w:t>Trajanje prakse novih diplomantov se upošteva v največ 12-mesečnem obdobju tiste stopnje, med katero se prijavijo na prakso.</w:t>
            </w:r>
          </w:p>
        </w:tc>
      </w:tr>
      <w:tr w:rsidR="00E03711" w:rsidRPr="00C60205" w14:paraId="7D39884C" w14:textId="77777777" w:rsidTr="00F03EAA">
        <w:trPr>
          <w:trHeight w:val="57"/>
        </w:trPr>
        <w:tc>
          <w:tcPr>
            <w:tcW w:w="844" w:type="pct"/>
            <w:shd w:val="clear" w:color="auto" w:fill="FFFFFF"/>
            <w:vAlign w:val="center"/>
          </w:tcPr>
          <w:p w14:paraId="7D39884A" w14:textId="77777777" w:rsidR="00E03711" w:rsidRPr="00F769E0" w:rsidRDefault="00E03711" w:rsidP="0075479E">
            <w:pPr>
              <w:pStyle w:val="Guide-Table"/>
              <w:spacing w:before="60" w:after="60"/>
              <w:jc w:val="left"/>
              <w:rPr>
                <w:rFonts w:cs="Tahoma"/>
                <w:b/>
                <w:lang w:val="sl-SI" w:eastAsia="en-GB"/>
              </w:rPr>
            </w:pPr>
            <w:r w:rsidRPr="00F769E0">
              <w:rPr>
                <w:rFonts w:cs="Tahoma"/>
                <w:b/>
                <w:lang w:val="sl-SI" w:eastAsia="en-GB"/>
              </w:rPr>
              <w:t>Kraji izvajanja aktivnosti</w:t>
            </w:r>
          </w:p>
        </w:tc>
        <w:tc>
          <w:tcPr>
            <w:tcW w:w="4156" w:type="pct"/>
            <w:shd w:val="clear" w:color="auto" w:fill="FFFFFF"/>
            <w:vAlign w:val="center"/>
          </w:tcPr>
          <w:p w14:paraId="7D39884B"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Študenti morajo izvajati svojo aktivnost mobilnosti v državi Programa ali partnerski državi, ki ni niti država organizacije pošiljateljice niti država, v kateri študent med študijem prebiva</w:t>
            </w:r>
            <w:r w:rsidRPr="00F769E0">
              <w:rPr>
                <w:rStyle w:val="FootnoteReference"/>
                <w:rFonts w:cs="Tahoma"/>
                <w:lang w:val="sl-SI" w:eastAsia="en-GB"/>
              </w:rPr>
              <w:footnoteReference w:id="31"/>
            </w:r>
            <w:r w:rsidRPr="00F769E0">
              <w:rPr>
                <w:rFonts w:cs="Tahoma"/>
                <w:lang w:val="sl-SI" w:eastAsia="en-GB"/>
              </w:rPr>
              <w:t>.</w:t>
            </w:r>
          </w:p>
        </w:tc>
      </w:tr>
      <w:tr w:rsidR="00E03711" w:rsidRPr="00C60205" w14:paraId="7D398850" w14:textId="77777777" w:rsidTr="00F341F0">
        <w:trPr>
          <w:trHeight w:val="64"/>
        </w:trPr>
        <w:tc>
          <w:tcPr>
            <w:tcW w:w="844" w:type="pct"/>
            <w:shd w:val="clear" w:color="auto" w:fill="FFFFFF"/>
            <w:vAlign w:val="center"/>
          </w:tcPr>
          <w:p w14:paraId="7D39884D" w14:textId="77777777" w:rsidR="00E03711" w:rsidRPr="00F769E0" w:rsidRDefault="00E03711" w:rsidP="0075479E">
            <w:pPr>
              <w:pStyle w:val="Guide-Table"/>
              <w:spacing w:before="60" w:after="60"/>
              <w:jc w:val="left"/>
              <w:rPr>
                <w:rFonts w:cs="Tahoma"/>
                <w:b/>
                <w:lang w:val="sl-SI" w:eastAsia="en-GB"/>
              </w:rPr>
            </w:pPr>
            <w:r w:rsidRPr="00F769E0">
              <w:rPr>
                <w:rFonts w:cs="Tahoma"/>
                <w:b/>
                <w:lang w:val="sl-SI" w:eastAsia="en-GB"/>
              </w:rPr>
              <w:t>Upravičeni udeleženci</w:t>
            </w:r>
          </w:p>
        </w:tc>
        <w:tc>
          <w:tcPr>
            <w:tcW w:w="4156" w:type="pct"/>
            <w:shd w:val="clear" w:color="auto" w:fill="FFFFFF"/>
            <w:vAlign w:val="center"/>
          </w:tcPr>
          <w:p w14:paraId="7D39884E"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Študenti, vpisani na visokošolsko institucijo in v študij, ki se zaključi s priznano stopnjo izobrazbe ali drugo priznano kvalifikacijo terciarne ravni (do ravni doktorata in vključno z njo). V primeru mobilnosti za študij morajo biti študenti vpisani vsaj v drugo leto visokošolskega študija. Ta pogoj ne velja za</w:t>
            </w:r>
            <w:r w:rsidRPr="00F769E0">
              <w:rPr>
                <w:rFonts w:cs="Tahoma"/>
                <w:spacing w:val="1"/>
                <w:lang w:val="sl-SI" w:eastAsia="en-GB"/>
              </w:rPr>
              <w:t xml:space="preserve"> </w:t>
            </w:r>
            <w:r w:rsidRPr="00F769E0">
              <w:rPr>
                <w:rFonts w:cs="Tahoma"/>
                <w:lang w:val="sl-SI" w:eastAsia="en-GB"/>
              </w:rPr>
              <w:t>prakse.</w:t>
            </w:r>
          </w:p>
          <w:p w14:paraId="7D39884F" w14:textId="77777777" w:rsidR="00E03711" w:rsidRPr="00F769E0" w:rsidRDefault="00E03711" w:rsidP="0075479E">
            <w:pPr>
              <w:pStyle w:val="GUIDE-NORMAL"/>
              <w:spacing w:before="60" w:after="60"/>
              <w:rPr>
                <w:rStyle w:val="Guide-Condensed-01"/>
                <w:rFonts w:cs="Tahoma"/>
                <w:lang w:val="sl-SI" w:eastAsia="en-GB"/>
              </w:rPr>
            </w:pPr>
            <w:r w:rsidRPr="00F769E0">
              <w:rPr>
                <w:rFonts w:cs="Tahoma"/>
                <w:lang w:val="sl-SI" w:eastAsia="en-GB"/>
              </w:rPr>
              <w:t>V praksah med državami Programa lahko sodelujejo novi visokošolski diplomanti. Nove diplomante mora izbrati njihova visokošolska institucija v zadnjem letu študija, prakso v tujini pa morajo opraviti in zaključiti v enem letu po tem, ko</w:t>
            </w:r>
            <w:r w:rsidRPr="00F769E0">
              <w:rPr>
                <w:rFonts w:cs="Tahoma"/>
                <w:spacing w:val="10"/>
                <w:lang w:val="sl-SI" w:eastAsia="en-GB"/>
              </w:rPr>
              <w:t xml:space="preserve"> </w:t>
            </w:r>
            <w:r w:rsidRPr="00F769E0">
              <w:rPr>
                <w:rFonts w:cs="Tahoma"/>
                <w:lang w:val="sl-SI" w:eastAsia="en-GB"/>
              </w:rPr>
              <w:t>diplomirajo.</w:t>
            </w:r>
          </w:p>
        </w:tc>
      </w:tr>
    </w:tbl>
    <w:p w14:paraId="7D398851" w14:textId="77777777" w:rsidR="00E03711" w:rsidRPr="001048FE" w:rsidRDefault="00E03711" w:rsidP="008B3F67">
      <w:pPr>
        <w:pStyle w:val="Guide-Heading6"/>
        <w:rPr>
          <w:lang w:val="sl-SI"/>
        </w:rPr>
      </w:pPr>
      <w:r w:rsidRPr="001048FE">
        <w:rPr>
          <w:lang w:val="sl-SI"/>
        </w:rPr>
        <w:t>Dodatna merila za upravičenost med izvajanjem mobilnosti osebja</w:t>
      </w:r>
    </w:p>
    <w:tbl>
      <w:tblPr>
        <w:tblW w:w="5006"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70"/>
        <w:gridCol w:w="7731"/>
      </w:tblGrid>
      <w:tr w:rsidR="00E03711" w:rsidRPr="008C6F8C" w14:paraId="7D398865" w14:textId="77777777" w:rsidTr="008B3F67">
        <w:tc>
          <w:tcPr>
            <w:tcW w:w="844" w:type="pct"/>
            <w:tcBorders>
              <w:top w:val="single" w:sz="4" w:space="0" w:color="auto"/>
              <w:left w:val="single" w:sz="4" w:space="0" w:color="auto"/>
              <w:bottom w:val="dashed" w:sz="4" w:space="0" w:color="auto"/>
              <w:right w:val="dashed" w:sz="4" w:space="0" w:color="auto"/>
            </w:tcBorders>
            <w:shd w:val="clear" w:color="auto" w:fill="FFFFFF"/>
            <w:vAlign w:val="center"/>
          </w:tcPr>
          <w:p w14:paraId="7D398852" w14:textId="77777777" w:rsidR="00E03711" w:rsidRPr="001048FE" w:rsidRDefault="00E03711" w:rsidP="0075479E">
            <w:pPr>
              <w:spacing w:before="60" w:after="60"/>
              <w:rPr>
                <w:b/>
                <w:sz w:val="18"/>
                <w:szCs w:val="18"/>
                <w:lang w:val="sl-SI"/>
              </w:rPr>
            </w:pPr>
            <w:r w:rsidRPr="001048FE">
              <w:rPr>
                <w:b/>
                <w:sz w:val="18"/>
                <w:szCs w:val="18"/>
                <w:lang w:val="sl-SI"/>
              </w:rPr>
              <w:t>Upravičene sodelujoče organizacije</w:t>
            </w:r>
          </w:p>
        </w:tc>
        <w:tc>
          <w:tcPr>
            <w:tcW w:w="4156" w:type="pct"/>
            <w:tcBorders>
              <w:top w:val="single" w:sz="4" w:space="0" w:color="auto"/>
              <w:left w:val="single" w:sz="8" w:space="0" w:color="000000"/>
              <w:bottom w:val="dashed" w:sz="4" w:space="0" w:color="auto"/>
              <w:right w:val="single" w:sz="4" w:space="0" w:color="auto"/>
            </w:tcBorders>
            <w:shd w:val="clear" w:color="auto" w:fill="FFFFFF"/>
            <w:vAlign w:val="center"/>
          </w:tcPr>
          <w:p w14:paraId="7D398853" w14:textId="77777777" w:rsidR="00E03711" w:rsidRPr="00F769E0" w:rsidRDefault="00E03711" w:rsidP="0075479E">
            <w:pPr>
              <w:pStyle w:val="Guide-Heading7"/>
              <w:spacing w:before="60" w:after="60"/>
              <w:rPr>
                <w:rFonts w:cs="Tahoma"/>
                <w:lang w:val="sl-SI"/>
              </w:rPr>
            </w:pPr>
            <w:r w:rsidRPr="00F769E0">
              <w:rPr>
                <w:rFonts w:cs="Tahoma"/>
                <w:lang w:val="sl-SI"/>
              </w:rPr>
              <w:t>Mobilnost osebja za</w:t>
            </w:r>
            <w:r w:rsidRPr="00F769E0">
              <w:rPr>
                <w:rFonts w:cs="Tahoma"/>
                <w:spacing w:val="23"/>
                <w:lang w:val="sl-SI"/>
              </w:rPr>
              <w:t xml:space="preserve"> </w:t>
            </w:r>
            <w:r w:rsidRPr="00F769E0">
              <w:rPr>
                <w:rFonts w:cs="Tahoma"/>
                <w:lang w:val="sl-SI"/>
              </w:rPr>
              <w:t>poučevanje:</w:t>
            </w:r>
          </w:p>
          <w:p w14:paraId="7D398854"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Organizacija gostiteljica mora biti visokošolska institucija iz države Programa, ki je nosilka ECHE, ali visokošolska institucija iz partnerske države, priznana s strani pristojnih organov, in ki je pred začetkom izvajanja mobilnosti podpisala medinstitucionalni sporazum s partnerico pošiljateljico iz države Programa.</w:t>
            </w:r>
          </w:p>
          <w:p w14:paraId="7D398855"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Organizacija pošiljateljica mora biti:</w:t>
            </w:r>
          </w:p>
          <w:p w14:paraId="7D398856" w14:textId="77777777" w:rsidR="00E03711" w:rsidRPr="006E61F8" w:rsidRDefault="00E03711" w:rsidP="005115F2">
            <w:pPr>
              <w:pStyle w:val="Guide-NormalBulletpoints"/>
              <w:numPr>
                <w:ilvl w:val="0"/>
                <w:numId w:val="115"/>
              </w:numPr>
              <w:rPr>
                <w:lang w:val="sl-SI"/>
              </w:rPr>
            </w:pPr>
            <w:r w:rsidRPr="006E61F8">
              <w:rPr>
                <w:lang w:val="sl-SI"/>
              </w:rPr>
              <w:t>visokošolska institucija iz države Programa, ki je nosilka ECHE, ali visokošolska institucija iz partnerske države, priznana s strani pristojnih organov, ki je podpisala medinstitucionalni sporazum s partnerico</w:t>
            </w:r>
            <w:r w:rsidRPr="006E61F8">
              <w:rPr>
                <w:spacing w:val="-37"/>
                <w:lang w:val="sl-SI"/>
              </w:rPr>
              <w:t xml:space="preserve"> </w:t>
            </w:r>
            <w:r w:rsidRPr="006E61F8">
              <w:rPr>
                <w:lang w:val="sl-SI"/>
              </w:rPr>
              <w:t>gostiteljico iz države Programa,</w:t>
            </w:r>
            <w:r w:rsidRPr="006E61F8">
              <w:rPr>
                <w:spacing w:val="-8"/>
                <w:lang w:val="sl-SI"/>
              </w:rPr>
              <w:t xml:space="preserve"> </w:t>
            </w:r>
            <w:r w:rsidRPr="006E61F8">
              <w:rPr>
                <w:lang w:val="sl-SI"/>
              </w:rPr>
              <w:t>ali</w:t>
            </w:r>
          </w:p>
          <w:p w14:paraId="7D398857" w14:textId="77777777" w:rsidR="00E03711" w:rsidRPr="001048FE" w:rsidRDefault="00E03711" w:rsidP="005115F2">
            <w:pPr>
              <w:pStyle w:val="Guide-NormalBulletpoints"/>
              <w:numPr>
                <w:ilvl w:val="0"/>
                <w:numId w:val="115"/>
              </w:numPr>
            </w:pPr>
            <w:r w:rsidRPr="006E61F8">
              <w:rPr>
                <w:lang w:val="sl-SI"/>
              </w:rPr>
              <w:t xml:space="preserve">v primeru osebja, ki je bilo povabljeno, da poučuje na visokošolski instituciji, katera koli javna ali zasebna organizacija (ki ni nosilka ECHE), ki je dejavna na trgu dela ali na področju izobraževanja, usposabljanja in mladine. </w:t>
            </w:r>
            <w:r w:rsidRPr="001048FE">
              <w:t>Taka organizacija je lahko na</w:t>
            </w:r>
            <w:r w:rsidRPr="001048FE">
              <w:rPr>
                <w:spacing w:val="-16"/>
              </w:rPr>
              <w:t xml:space="preserve"> </w:t>
            </w:r>
            <w:r w:rsidRPr="001048FE">
              <w:t>primer:</w:t>
            </w:r>
          </w:p>
          <w:p w14:paraId="7D398858" w14:textId="77777777" w:rsidR="00E03711" w:rsidRPr="001048FE" w:rsidRDefault="00E03711" w:rsidP="0075479E">
            <w:pPr>
              <w:pStyle w:val="Guide-ListDash"/>
              <w:spacing w:before="60" w:after="60"/>
              <w:rPr>
                <w:lang w:val="sl-SI"/>
              </w:rPr>
            </w:pPr>
            <w:r w:rsidRPr="001048FE">
              <w:rPr>
                <w:lang w:val="sl-SI"/>
              </w:rPr>
              <w:t>javno</w:t>
            </w:r>
            <w:r w:rsidRPr="001048FE">
              <w:rPr>
                <w:spacing w:val="-13"/>
                <w:lang w:val="sl-SI"/>
              </w:rPr>
              <w:t xml:space="preserve"> </w:t>
            </w:r>
            <w:r w:rsidRPr="001048FE">
              <w:rPr>
                <w:lang w:val="sl-SI"/>
              </w:rPr>
              <w:t>ali</w:t>
            </w:r>
            <w:r w:rsidRPr="001048FE">
              <w:rPr>
                <w:spacing w:val="-13"/>
                <w:lang w:val="sl-SI"/>
              </w:rPr>
              <w:t xml:space="preserve"> </w:t>
            </w:r>
            <w:r w:rsidRPr="001048FE">
              <w:rPr>
                <w:lang w:val="sl-SI"/>
              </w:rPr>
              <w:t>zasebno</w:t>
            </w:r>
            <w:r w:rsidRPr="001048FE">
              <w:rPr>
                <w:spacing w:val="-13"/>
                <w:lang w:val="sl-SI"/>
              </w:rPr>
              <w:t xml:space="preserve"> </w:t>
            </w:r>
            <w:r w:rsidRPr="001048FE">
              <w:rPr>
                <w:lang w:val="sl-SI"/>
              </w:rPr>
              <w:t>malo,</w:t>
            </w:r>
            <w:r w:rsidRPr="001048FE">
              <w:rPr>
                <w:spacing w:val="-13"/>
                <w:lang w:val="sl-SI"/>
              </w:rPr>
              <w:t xml:space="preserve"> </w:t>
            </w:r>
            <w:r w:rsidRPr="001048FE">
              <w:rPr>
                <w:lang w:val="sl-SI"/>
              </w:rPr>
              <w:t>srednje</w:t>
            </w:r>
            <w:r w:rsidRPr="001048FE">
              <w:rPr>
                <w:spacing w:val="-13"/>
                <w:lang w:val="sl-SI"/>
              </w:rPr>
              <w:t xml:space="preserve"> </w:t>
            </w:r>
            <w:r w:rsidRPr="001048FE">
              <w:rPr>
                <w:lang w:val="sl-SI"/>
              </w:rPr>
              <w:t>ali</w:t>
            </w:r>
            <w:r w:rsidRPr="001048FE">
              <w:rPr>
                <w:spacing w:val="-13"/>
                <w:lang w:val="sl-SI"/>
              </w:rPr>
              <w:t xml:space="preserve"> </w:t>
            </w:r>
            <w:r w:rsidRPr="001048FE">
              <w:rPr>
                <w:lang w:val="sl-SI"/>
              </w:rPr>
              <w:t>veliko</w:t>
            </w:r>
            <w:r w:rsidRPr="001048FE">
              <w:rPr>
                <w:spacing w:val="-13"/>
                <w:lang w:val="sl-SI"/>
              </w:rPr>
              <w:t xml:space="preserve"> </w:t>
            </w:r>
            <w:r w:rsidRPr="001048FE">
              <w:rPr>
                <w:lang w:val="sl-SI"/>
              </w:rPr>
              <w:t>podjetje</w:t>
            </w:r>
            <w:r w:rsidRPr="001048FE">
              <w:rPr>
                <w:spacing w:val="-13"/>
                <w:lang w:val="sl-SI"/>
              </w:rPr>
              <w:t xml:space="preserve"> </w:t>
            </w:r>
            <w:r w:rsidRPr="001048FE">
              <w:rPr>
                <w:lang w:val="sl-SI"/>
              </w:rPr>
              <w:t>(vključno</w:t>
            </w:r>
            <w:r w:rsidRPr="001048FE">
              <w:rPr>
                <w:spacing w:val="-13"/>
                <w:lang w:val="sl-SI"/>
              </w:rPr>
              <w:t xml:space="preserve"> </w:t>
            </w:r>
            <w:r w:rsidRPr="001048FE">
              <w:rPr>
                <w:lang w:val="sl-SI"/>
              </w:rPr>
              <w:t>s</w:t>
            </w:r>
            <w:r w:rsidRPr="001048FE">
              <w:rPr>
                <w:spacing w:val="-13"/>
                <w:lang w:val="sl-SI"/>
              </w:rPr>
              <w:t xml:space="preserve"> </w:t>
            </w:r>
            <w:r w:rsidRPr="001048FE">
              <w:rPr>
                <w:lang w:val="sl-SI"/>
              </w:rPr>
              <w:t>socialnimi podjetji);</w:t>
            </w:r>
          </w:p>
          <w:p w14:paraId="7D398859" w14:textId="77777777" w:rsidR="00E03711" w:rsidRPr="001048FE" w:rsidRDefault="00E03711" w:rsidP="0075479E">
            <w:pPr>
              <w:pStyle w:val="Guide-ListDash"/>
              <w:spacing w:before="60" w:after="60"/>
              <w:rPr>
                <w:lang w:val="sl-SI"/>
              </w:rPr>
            </w:pPr>
            <w:r w:rsidRPr="001048FE">
              <w:rPr>
                <w:lang w:val="sl-SI"/>
              </w:rPr>
              <w:t>javni organ na lokalni, regionalni ali nacionalni</w:t>
            </w:r>
            <w:r w:rsidRPr="001048FE">
              <w:rPr>
                <w:spacing w:val="-8"/>
                <w:lang w:val="sl-SI"/>
              </w:rPr>
              <w:t xml:space="preserve"> </w:t>
            </w:r>
            <w:r w:rsidRPr="001048FE">
              <w:rPr>
                <w:lang w:val="sl-SI"/>
              </w:rPr>
              <w:t>ravni;</w:t>
            </w:r>
          </w:p>
          <w:p w14:paraId="7D39885A" w14:textId="77777777" w:rsidR="00E03711" w:rsidRPr="001048FE" w:rsidRDefault="00E03711" w:rsidP="0075479E">
            <w:pPr>
              <w:pStyle w:val="Guide-ListDash"/>
              <w:spacing w:before="60" w:after="60"/>
              <w:rPr>
                <w:lang w:val="sl-SI"/>
              </w:rPr>
            </w:pPr>
            <w:r w:rsidRPr="001048FE">
              <w:rPr>
                <w:lang w:val="sl-SI"/>
              </w:rPr>
              <w:t>socialni partner ali drug predstavnik sveta dela, tudi</w:t>
            </w:r>
            <w:r w:rsidRPr="001048FE">
              <w:rPr>
                <w:spacing w:val="-42"/>
                <w:lang w:val="sl-SI"/>
              </w:rPr>
              <w:t xml:space="preserve"> </w:t>
            </w:r>
            <w:r w:rsidRPr="001048FE">
              <w:rPr>
                <w:lang w:val="sl-SI"/>
              </w:rPr>
              <w:t>gospodarske zbornice, obrtniška/poklicna združenja in</w:t>
            </w:r>
            <w:r w:rsidRPr="001048FE">
              <w:rPr>
                <w:spacing w:val="-8"/>
                <w:lang w:val="sl-SI"/>
              </w:rPr>
              <w:t xml:space="preserve"> </w:t>
            </w:r>
            <w:r w:rsidRPr="001048FE">
              <w:rPr>
                <w:lang w:val="sl-SI"/>
              </w:rPr>
              <w:t>sindikati;</w:t>
            </w:r>
          </w:p>
          <w:p w14:paraId="7D39885B" w14:textId="77777777" w:rsidR="00E03711" w:rsidRPr="001048FE" w:rsidRDefault="00E03711" w:rsidP="0075479E">
            <w:pPr>
              <w:pStyle w:val="Guide-ListDash"/>
              <w:spacing w:before="60" w:after="60"/>
              <w:rPr>
                <w:lang w:val="sl-SI"/>
              </w:rPr>
            </w:pPr>
            <w:r w:rsidRPr="001048FE">
              <w:rPr>
                <w:lang w:val="sl-SI"/>
              </w:rPr>
              <w:t>raziskovalni</w:t>
            </w:r>
            <w:r w:rsidRPr="001048FE">
              <w:rPr>
                <w:spacing w:val="-6"/>
                <w:lang w:val="sl-SI"/>
              </w:rPr>
              <w:t xml:space="preserve"> </w:t>
            </w:r>
            <w:r w:rsidRPr="001048FE">
              <w:rPr>
                <w:lang w:val="sl-SI"/>
              </w:rPr>
              <w:t>inštitut;</w:t>
            </w:r>
          </w:p>
          <w:p w14:paraId="7D39885C" w14:textId="77777777" w:rsidR="00E03711" w:rsidRPr="001048FE" w:rsidRDefault="00E03711" w:rsidP="0075479E">
            <w:pPr>
              <w:pStyle w:val="Guide-ListDash"/>
              <w:spacing w:before="60" w:after="60"/>
              <w:rPr>
                <w:lang w:val="sl-SI"/>
              </w:rPr>
            </w:pPr>
            <w:r w:rsidRPr="001048FE">
              <w:rPr>
                <w:lang w:val="sl-SI"/>
              </w:rPr>
              <w:t>fundacija;</w:t>
            </w:r>
          </w:p>
          <w:p w14:paraId="7D39885D" w14:textId="77777777" w:rsidR="00E03711" w:rsidRPr="001048FE" w:rsidRDefault="00E03711" w:rsidP="0075479E">
            <w:pPr>
              <w:pStyle w:val="Guide-ListDash"/>
              <w:spacing w:before="60" w:after="60"/>
              <w:rPr>
                <w:lang w:val="sl-SI"/>
              </w:rPr>
            </w:pPr>
            <w:r w:rsidRPr="001048FE">
              <w:rPr>
                <w:lang w:val="sl-SI"/>
              </w:rPr>
              <w:t>šola/zavod/center</w:t>
            </w:r>
            <w:r w:rsidRPr="001048FE">
              <w:rPr>
                <w:spacing w:val="-19"/>
                <w:lang w:val="sl-SI"/>
              </w:rPr>
              <w:t xml:space="preserve"> </w:t>
            </w:r>
            <w:r w:rsidRPr="001048FE">
              <w:rPr>
                <w:lang w:val="sl-SI"/>
              </w:rPr>
              <w:t>za</w:t>
            </w:r>
            <w:r w:rsidRPr="001048FE">
              <w:rPr>
                <w:spacing w:val="-19"/>
                <w:lang w:val="sl-SI"/>
              </w:rPr>
              <w:t xml:space="preserve"> </w:t>
            </w:r>
            <w:r w:rsidRPr="001048FE">
              <w:rPr>
                <w:lang w:val="sl-SI"/>
              </w:rPr>
              <w:t>izobraževanje</w:t>
            </w:r>
            <w:r w:rsidRPr="001048FE">
              <w:rPr>
                <w:spacing w:val="-19"/>
                <w:lang w:val="sl-SI"/>
              </w:rPr>
              <w:t xml:space="preserve"> </w:t>
            </w:r>
            <w:r w:rsidRPr="001048FE">
              <w:rPr>
                <w:lang w:val="sl-SI"/>
              </w:rPr>
              <w:t>(na</w:t>
            </w:r>
            <w:r w:rsidRPr="001048FE">
              <w:rPr>
                <w:spacing w:val="-19"/>
                <w:lang w:val="sl-SI"/>
              </w:rPr>
              <w:t xml:space="preserve"> </w:t>
            </w:r>
            <w:r w:rsidRPr="001048FE">
              <w:rPr>
                <w:lang w:val="sl-SI"/>
              </w:rPr>
              <w:t>kateri</w:t>
            </w:r>
            <w:r w:rsidRPr="001048FE">
              <w:rPr>
                <w:spacing w:val="-19"/>
                <w:lang w:val="sl-SI"/>
              </w:rPr>
              <w:t xml:space="preserve"> </w:t>
            </w:r>
            <w:r w:rsidRPr="001048FE">
              <w:rPr>
                <w:lang w:val="sl-SI"/>
              </w:rPr>
              <w:t>koli</w:t>
            </w:r>
            <w:r w:rsidRPr="001048FE">
              <w:rPr>
                <w:spacing w:val="-19"/>
                <w:lang w:val="sl-SI"/>
              </w:rPr>
              <w:t xml:space="preserve"> </w:t>
            </w:r>
            <w:r w:rsidRPr="001048FE">
              <w:rPr>
                <w:lang w:val="sl-SI"/>
              </w:rPr>
              <w:t>ravni,</w:t>
            </w:r>
            <w:r w:rsidRPr="001048FE">
              <w:rPr>
                <w:spacing w:val="-19"/>
                <w:lang w:val="sl-SI"/>
              </w:rPr>
              <w:t xml:space="preserve"> </w:t>
            </w:r>
            <w:r w:rsidRPr="001048FE">
              <w:rPr>
                <w:lang w:val="sl-SI"/>
              </w:rPr>
              <w:t>od</w:t>
            </w:r>
            <w:r w:rsidRPr="001048FE">
              <w:rPr>
                <w:spacing w:val="-18"/>
                <w:lang w:val="sl-SI"/>
              </w:rPr>
              <w:t xml:space="preserve"> </w:t>
            </w:r>
            <w:r w:rsidRPr="001048FE">
              <w:rPr>
                <w:lang w:val="sl-SI"/>
              </w:rPr>
              <w:t>predšolskega do srednješolskega izobraževanja, vključno s poklicnim izobraževanjem in izobraževanjem</w:t>
            </w:r>
            <w:r w:rsidRPr="001048FE">
              <w:rPr>
                <w:spacing w:val="-3"/>
                <w:lang w:val="sl-SI"/>
              </w:rPr>
              <w:t xml:space="preserve"> </w:t>
            </w:r>
            <w:r w:rsidRPr="001048FE">
              <w:rPr>
                <w:lang w:val="sl-SI"/>
              </w:rPr>
              <w:t>odraslih);</w:t>
            </w:r>
          </w:p>
          <w:p w14:paraId="7D39885E" w14:textId="77777777" w:rsidR="00E03711" w:rsidRPr="001048FE" w:rsidRDefault="00E03711" w:rsidP="0075479E">
            <w:pPr>
              <w:pStyle w:val="Guide-ListDash"/>
              <w:spacing w:before="60" w:after="60"/>
              <w:rPr>
                <w:lang w:val="sl-SI"/>
              </w:rPr>
            </w:pPr>
            <w:r w:rsidRPr="001048FE">
              <w:rPr>
                <w:lang w:val="sl-SI"/>
              </w:rPr>
              <w:t>nepridobitna organizacija, združenje, nevladna</w:t>
            </w:r>
            <w:r w:rsidRPr="001048FE">
              <w:rPr>
                <w:spacing w:val="-14"/>
                <w:lang w:val="sl-SI"/>
              </w:rPr>
              <w:t xml:space="preserve"> </w:t>
            </w:r>
            <w:r w:rsidRPr="001048FE">
              <w:rPr>
                <w:lang w:val="sl-SI"/>
              </w:rPr>
              <w:t>organizacija;</w:t>
            </w:r>
          </w:p>
          <w:p w14:paraId="7D39885F" w14:textId="77777777" w:rsidR="00E03711" w:rsidRPr="001048FE" w:rsidRDefault="00E03711" w:rsidP="0075479E">
            <w:pPr>
              <w:pStyle w:val="Guide-ListDash"/>
              <w:spacing w:before="60" w:after="60"/>
              <w:rPr>
                <w:lang w:val="sl-SI"/>
              </w:rPr>
            </w:pPr>
            <w:r w:rsidRPr="001048FE">
              <w:rPr>
                <w:lang w:val="sl-SI"/>
              </w:rPr>
              <w:t>organ,</w:t>
            </w:r>
            <w:r w:rsidRPr="001048FE">
              <w:rPr>
                <w:spacing w:val="-11"/>
                <w:lang w:val="sl-SI"/>
              </w:rPr>
              <w:t xml:space="preserve"> </w:t>
            </w:r>
            <w:r w:rsidRPr="001048FE">
              <w:rPr>
                <w:lang w:val="sl-SI"/>
              </w:rPr>
              <w:t>ki</w:t>
            </w:r>
            <w:r w:rsidRPr="001048FE">
              <w:rPr>
                <w:spacing w:val="-12"/>
                <w:lang w:val="sl-SI"/>
              </w:rPr>
              <w:t xml:space="preserve"> </w:t>
            </w:r>
            <w:r w:rsidRPr="001048FE">
              <w:rPr>
                <w:lang w:val="sl-SI"/>
              </w:rPr>
              <w:t>zagotavlja</w:t>
            </w:r>
            <w:r w:rsidRPr="001048FE">
              <w:rPr>
                <w:spacing w:val="-12"/>
                <w:lang w:val="sl-SI"/>
              </w:rPr>
              <w:t xml:space="preserve"> </w:t>
            </w:r>
            <w:r w:rsidRPr="001048FE">
              <w:rPr>
                <w:lang w:val="sl-SI"/>
              </w:rPr>
              <w:t>poklicno</w:t>
            </w:r>
            <w:r w:rsidRPr="001048FE">
              <w:rPr>
                <w:spacing w:val="-12"/>
                <w:lang w:val="sl-SI"/>
              </w:rPr>
              <w:t xml:space="preserve"> </w:t>
            </w:r>
            <w:r w:rsidRPr="001048FE">
              <w:rPr>
                <w:lang w:val="sl-SI"/>
              </w:rPr>
              <w:t>usmerjanje,</w:t>
            </w:r>
            <w:r w:rsidRPr="001048FE">
              <w:rPr>
                <w:spacing w:val="-12"/>
                <w:lang w:val="sl-SI"/>
              </w:rPr>
              <w:t xml:space="preserve"> </w:t>
            </w:r>
            <w:r w:rsidRPr="001048FE">
              <w:rPr>
                <w:lang w:val="sl-SI"/>
              </w:rPr>
              <w:t>poklicno</w:t>
            </w:r>
            <w:r w:rsidRPr="001048FE">
              <w:rPr>
                <w:spacing w:val="-12"/>
                <w:lang w:val="sl-SI"/>
              </w:rPr>
              <w:t xml:space="preserve"> </w:t>
            </w:r>
            <w:r w:rsidRPr="001048FE">
              <w:rPr>
                <w:lang w:val="sl-SI"/>
              </w:rPr>
              <w:t>svetovanje</w:t>
            </w:r>
            <w:r w:rsidRPr="001048FE">
              <w:rPr>
                <w:spacing w:val="-12"/>
                <w:lang w:val="sl-SI"/>
              </w:rPr>
              <w:t xml:space="preserve"> </w:t>
            </w:r>
            <w:r w:rsidRPr="001048FE">
              <w:rPr>
                <w:lang w:val="sl-SI"/>
              </w:rPr>
              <w:t>in informacijske</w:t>
            </w:r>
            <w:r w:rsidRPr="001048FE">
              <w:rPr>
                <w:spacing w:val="-2"/>
                <w:lang w:val="sl-SI"/>
              </w:rPr>
              <w:t xml:space="preserve"> </w:t>
            </w:r>
            <w:r w:rsidRPr="001048FE">
              <w:rPr>
                <w:lang w:val="sl-SI"/>
              </w:rPr>
              <w:t>storitve.</w:t>
            </w:r>
          </w:p>
          <w:p w14:paraId="7D398860" w14:textId="77777777" w:rsidR="00E03711" w:rsidRPr="00F769E0" w:rsidRDefault="00E03711" w:rsidP="0075479E">
            <w:pPr>
              <w:pStyle w:val="Guide-Heading7"/>
              <w:spacing w:before="60" w:after="60"/>
              <w:rPr>
                <w:rFonts w:cs="Tahoma"/>
                <w:lang w:val="sl-SI"/>
              </w:rPr>
            </w:pPr>
            <w:r w:rsidRPr="00F769E0">
              <w:rPr>
                <w:rFonts w:cs="Tahoma"/>
                <w:lang w:val="sl-SI"/>
              </w:rPr>
              <w:t>Mobilnost osebja za</w:t>
            </w:r>
            <w:r w:rsidRPr="00F769E0">
              <w:rPr>
                <w:rFonts w:cs="Tahoma"/>
                <w:spacing w:val="8"/>
                <w:lang w:val="sl-SI"/>
              </w:rPr>
              <w:t xml:space="preserve"> </w:t>
            </w:r>
            <w:r w:rsidRPr="00F769E0">
              <w:rPr>
                <w:rFonts w:cs="Tahoma"/>
                <w:lang w:val="sl-SI"/>
              </w:rPr>
              <w:t>usposabljanje:</w:t>
            </w:r>
          </w:p>
          <w:p w14:paraId="7D398861"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Organizacija pošiljateljica mora biti visokošolska institucija iz države Programa, ki je nosilka ECHE, ali visokošolska institucija iz partnerske države, ki so jo priznali pristojni organi in je pred začetkom izvajanja mobilnosti podpisala medinstitucionalni sporazum s partnerico gostiteljico iz države Programa.</w:t>
            </w:r>
          </w:p>
          <w:p w14:paraId="7D398862"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Organizacija gostiteljica mora biti:</w:t>
            </w:r>
          </w:p>
          <w:p w14:paraId="7D398863" w14:textId="77777777" w:rsidR="00E03711" w:rsidRPr="001048FE" w:rsidRDefault="00E03711" w:rsidP="005115F2">
            <w:pPr>
              <w:pStyle w:val="Guide-NormalBulletpoints"/>
              <w:numPr>
                <w:ilvl w:val="0"/>
                <w:numId w:val="198"/>
              </w:numPr>
              <w:spacing w:before="60"/>
              <w:rPr>
                <w:lang w:val="sl-SI"/>
              </w:rPr>
            </w:pPr>
            <w:r w:rsidRPr="001048FE">
              <w:rPr>
                <w:lang w:val="sl-SI"/>
              </w:rPr>
              <w:t>visokošolska institucija iz države Programa, ki je nosilka ECHE, ali visokošolska institucija iz partnerske države, priznana s strani pristojnih organov, ki je podpisala medinstitucionalni sporazum s partnerico</w:t>
            </w:r>
            <w:r w:rsidRPr="001048FE">
              <w:rPr>
                <w:spacing w:val="-37"/>
                <w:lang w:val="sl-SI"/>
              </w:rPr>
              <w:t xml:space="preserve"> </w:t>
            </w:r>
            <w:r w:rsidRPr="001048FE">
              <w:rPr>
                <w:lang w:val="sl-SI"/>
              </w:rPr>
              <w:t>gostiteljico iz države Programa,</w:t>
            </w:r>
            <w:r w:rsidRPr="001048FE">
              <w:rPr>
                <w:spacing w:val="-8"/>
                <w:lang w:val="sl-SI"/>
              </w:rPr>
              <w:t xml:space="preserve"> </w:t>
            </w:r>
            <w:r w:rsidRPr="001048FE">
              <w:rPr>
                <w:lang w:val="sl-SI"/>
              </w:rPr>
              <w:t>ali</w:t>
            </w:r>
          </w:p>
          <w:p w14:paraId="7D398864" w14:textId="77777777" w:rsidR="00E03711" w:rsidRPr="001048FE" w:rsidRDefault="00E03711" w:rsidP="005115F2">
            <w:pPr>
              <w:pStyle w:val="Guide-NormalBulletpoints"/>
              <w:numPr>
                <w:ilvl w:val="0"/>
                <w:numId w:val="198"/>
              </w:numPr>
              <w:spacing w:before="60"/>
              <w:rPr>
                <w:lang w:val="sl-SI"/>
              </w:rPr>
            </w:pPr>
            <w:r w:rsidRPr="001048FE">
              <w:rPr>
                <w:lang w:val="sl-SI"/>
              </w:rPr>
              <w:t>katera</w:t>
            </w:r>
            <w:r w:rsidRPr="001048FE">
              <w:rPr>
                <w:spacing w:val="-13"/>
                <w:lang w:val="sl-SI"/>
              </w:rPr>
              <w:t xml:space="preserve"> </w:t>
            </w:r>
            <w:r w:rsidRPr="001048FE">
              <w:rPr>
                <w:lang w:val="sl-SI"/>
              </w:rPr>
              <w:t>koli</w:t>
            </w:r>
            <w:r w:rsidRPr="001048FE">
              <w:rPr>
                <w:spacing w:val="-13"/>
                <w:lang w:val="sl-SI"/>
              </w:rPr>
              <w:t xml:space="preserve"> </w:t>
            </w:r>
            <w:r w:rsidRPr="001048FE">
              <w:rPr>
                <w:lang w:val="sl-SI"/>
              </w:rPr>
              <w:t>javna</w:t>
            </w:r>
            <w:r w:rsidRPr="001048FE">
              <w:rPr>
                <w:spacing w:val="-13"/>
                <w:lang w:val="sl-SI"/>
              </w:rPr>
              <w:t xml:space="preserve"> </w:t>
            </w:r>
            <w:r w:rsidRPr="001048FE">
              <w:rPr>
                <w:lang w:val="sl-SI"/>
              </w:rPr>
              <w:t>ali</w:t>
            </w:r>
            <w:r w:rsidRPr="001048FE">
              <w:rPr>
                <w:spacing w:val="-13"/>
                <w:lang w:val="sl-SI"/>
              </w:rPr>
              <w:t xml:space="preserve"> </w:t>
            </w:r>
            <w:r w:rsidRPr="001048FE">
              <w:rPr>
                <w:lang w:val="sl-SI"/>
              </w:rPr>
              <w:t>zasebna</w:t>
            </w:r>
            <w:r w:rsidRPr="001048FE">
              <w:rPr>
                <w:spacing w:val="-13"/>
                <w:lang w:val="sl-SI"/>
              </w:rPr>
              <w:t xml:space="preserve"> </w:t>
            </w:r>
            <w:r w:rsidRPr="001048FE">
              <w:rPr>
                <w:lang w:val="sl-SI"/>
              </w:rPr>
              <w:t>organizacija</w:t>
            </w:r>
            <w:r w:rsidRPr="001048FE">
              <w:rPr>
                <w:spacing w:val="-12"/>
                <w:lang w:val="sl-SI"/>
              </w:rPr>
              <w:t xml:space="preserve"> </w:t>
            </w:r>
            <w:r w:rsidRPr="001048FE">
              <w:rPr>
                <w:lang w:val="sl-SI"/>
              </w:rPr>
              <w:t>iz</w:t>
            </w:r>
            <w:r w:rsidRPr="001048FE">
              <w:rPr>
                <w:spacing w:val="-13"/>
                <w:lang w:val="sl-SI"/>
              </w:rPr>
              <w:t xml:space="preserve"> </w:t>
            </w:r>
            <w:r w:rsidRPr="001048FE">
              <w:rPr>
                <w:lang w:val="sl-SI"/>
              </w:rPr>
              <w:t>države</w:t>
            </w:r>
            <w:r w:rsidRPr="001048FE">
              <w:rPr>
                <w:spacing w:val="-13"/>
                <w:lang w:val="sl-SI"/>
              </w:rPr>
              <w:t xml:space="preserve"> </w:t>
            </w:r>
            <w:r w:rsidRPr="001048FE">
              <w:rPr>
                <w:lang w:val="sl-SI"/>
              </w:rPr>
              <w:t>Programa,</w:t>
            </w:r>
            <w:r w:rsidRPr="001048FE">
              <w:rPr>
                <w:spacing w:val="-13"/>
                <w:lang w:val="sl-SI"/>
              </w:rPr>
              <w:t xml:space="preserve"> </w:t>
            </w:r>
            <w:r w:rsidRPr="001048FE">
              <w:rPr>
                <w:lang w:val="sl-SI"/>
              </w:rPr>
              <w:t>ki</w:t>
            </w:r>
            <w:r w:rsidRPr="001048FE">
              <w:rPr>
                <w:spacing w:val="-13"/>
                <w:lang w:val="sl-SI"/>
              </w:rPr>
              <w:t xml:space="preserve"> </w:t>
            </w:r>
            <w:r w:rsidRPr="001048FE">
              <w:rPr>
                <w:lang w:val="sl-SI"/>
              </w:rPr>
              <w:t>je</w:t>
            </w:r>
            <w:r w:rsidRPr="001048FE">
              <w:rPr>
                <w:spacing w:val="-13"/>
                <w:lang w:val="sl-SI"/>
              </w:rPr>
              <w:t xml:space="preserve"> </w:t>
            </w:r>
            <w:r w:rsidRPr="001048FE">
              <w:rPr>
                <w:lang w:val="sl-SI"/>
              </w:rPr>
              <w:t>dejavna na trgu dela ali področju izobraževanja, usposabljanja in mladine. Glej primere na prejšnji</w:t>
            </w:r>
            <w:r w:rsidRPr="001048FE">
              <w:rPr>
                <w:spacing w:val="-5"/>
                <w:lang w:val="sl-SI"/>
              </w:rPr>
              <w:t xml:space="preserve"> </w:t>
            </w:r>
            <w:r w:rsidRPr="001048FE">
              <w:rPr>
                <w:lang w:val="sl-SI"/>
              </w:rPr>
              <w:t>strani.</w:t>
            </w:r>
          </w:p>
        </w:tc>
      </w:tr>
      <w:tr w:rsidR="00E03711" w:rsidRPr="00C60205" w14:paraId="7D39886B" w14:textId="77777777" w:rsidTr="008B3F67">
        <w:tc>
          <w:tcPr>
            <w:tcW w:w="844" w:type="pct"/>
            <w:shd w:val="clear" w:color="auto" w:fill="FFFFFF"/>
            <w:vAlign w:val="center"/>
          </w:tcPr>
          <w:p w14:paraId="7D398866" w14:textId="77777777" w:rsidR="00E03711" w:rsidRPr="001048FE" w:rsidRDefault="00E03711" w:rsidP="0075479E">
            <w:pPr>
              <w:spacing w:before="60" w:after="60"/>
              <w:rPr>
                <w:b/>
                <w:sz w:val="18"/>
                <w:szCs w:val="18"/>
                <w:lang w:val="sl-SI"/>
              </w:rPr>
            </w:pPr>
            <w:r w:rsidRPr="001048FE">
              <w:rPr>
                <w:b/>
                <w:sz w:val="18"/>
                <w:szCs w:val="18"/>
                <w:lang w:val="sl-SI"/>
              </w:rPr>
              <w:t>Trajanje aktivnosti</w:t>
            </w:r>
          </w:p>
        </w:tc>
        <w:tc>
          <w:tcPr>
            <w:tcW w:w="4156" w:type="pct"/>
            <w:shd w:val="clear" w:color="auto" w:fill="FFFFFF"/>
            <w:vAlign w:val="center"/>
          </w:tcPr>
          <w:p w14:paraId="7D398867" w14:textId="77777777" w:rsidR="00E03711" w:rsidRPr="000503EB" w:rsidRDefault="00E03711" w:rsidP="00A13051">
            <w:pPr>
              <w:spacing w:beforeLines="40" w:before="96" w:afterLines="40" w:after="96"/>
              <w:jc w:val="both"/>
              <w:rPr>
                <w:sz w:val="18"/>
                <w:szCs w:val="18"/>
                <w:lang w:val="sl-SI"/>
              </w:rPr>
            </w:pPr>
            <w:r w:rsidRPr="00294480">
              <w:rPr>
                <w:rFonts w:eastAsia="Calibri" w:cs="Calibri"/>
                <w:sz w:val="18"/>
                <w:szCs w:val="18"/>
                <w:bdr w:val="nil"/>
                <w:lang w:val="sl-SI"/>
              </w:rPr>
              <w:t xml:space="preserve">Od 2 dni (5 dni iz partnerskih držav in v njih) do 2 mesecev, v kar ni zajet čas poti. V primeru minimalnega trajanja (2 dneva) se mora mobilnost med državama programa izvajati dva zaporedna dneva. V primeru vabljenega osebja iz podjetij je minimalno trajanje za mobilnost med državami programa 1 dan.   </w:t>
            </w:r>
          </w:p>
          <w:p w14:paraId="7D398868" w14:textId="77777777" w:rsidR="00E03711" w:rsidRPr="00294480" w:rsidRDefault="00E03711" w:rsidP="00A13051">
            <w:pPr>
              <w:spacing w:beforeLines="40" w:before="96" w:afterLines="40" w:after="96"/>
              <w:jc w:val="both"/>
              <w:rPr>
                <w:sz w:val="18"/>
                <w:szCs w:val="18"/>
                <w:lang w:val="en-GB"/>
              </w:rPr>
            </w:pPr>
            <w:r w:rsidRPr="00294480">
              <w:rPr>
                <w:rFonts w:eastAsia="Calibri" w:cs="Calibri"/>
                <w:sz w:val="18"/>
                <w:szCs w:val="18"/>
                <w:bdr w:val="nil"/>
                <w:lang w:val="sl-SI"/>
              </w:rPr>
              <w:t>Poučevanje mora zajemati vsaj 8 ur poučevanja na teden (ali katero koli krajše obdobje bivanja). Če mobilnost traja dlje kot en teden, mora biti najmanjše število ur poučevanja za nepopoln teden sorazmerno s trajanjem tega tedna.  Veljajo naslednje izjeme:</w:t>
            </w:r>
          </w:p>
          <w:p w14:paraId="7D398869" w14:textId="77777777" w:rsidR="00E03711" w:rsidRPr="00C60205" w:rsidRDefault="00E03711" w:rsidP="002D7FF4">
            <w:pPr>
              <w:pStyle w:val="ListParagraph"/>
              <w:numPr>
                <w:ilvl w:val="0"/>
                <w:numId w:val="76"/>
              </w:numPr>
              <w:spacing w:beforeLines="40" w:before="96" w:afterLines="40" w:after="96"/>
              <w:jc w:val="both"/>
              <w:textAlignment w:val="auto"/>
              <w:rPr>
                <w:sz w:val="18"/>
                <w:szCs w:val="18"/>
                <w:lang w:val="en-GB"/>
              </w:rPr>
            </w:pPr>
            <w:r w:rsidRPr="00294480">
              <w:rPr>
                <w:rFonts w:eastAsia="Calibri" w:cs="Calibri"/>
                <w:sz w:val="18"/>
                <w:szCs w:val="18"/>
                <w:bdr w:val="nil"/>
                <w:lang w:val="sl-SI"/>
              </w:rPr>
              <w:t xml:space="preserve">Ni omejitve minimalnega števila ur poučevanja za vabljeno osebje iz podjetij. </w:t>
            </w:r>
          </w:p>
          <w:p w14:paraId="7D39886A" w14:textId="77777777" w:rsidR="00E03711" w:rsidRPr="00C60205" w:rsidRDefault="00E03711" w:rsidP="00BF5C72">
            <w:pPr>
              <w:pStyle w:val="ListParagraph"/>
              <w:numPr>
                <w:ilvl w:val="0"/>
                <w:numId w:val="104"/>
              </w:numPr>
              <w:spacing w:beforeLines="40" w:before="96" w:afterLines="40" w:after="96"/>
              <w:ind w:left="698"/>
              <w:jc w:val="both"/>
              <w:rPr>
                <w:sz w:val="18"/>
                <w:szCs w:val="18"/>
                <w:lang w:val="en-GB"/>
              </w:rPr>
            </w:pPr>
            <w:r w:rsidRPr="000503EB">
              <w:rPr>
                <w:rFonts w:eastAsia="Calibri" w:cs="Calibri"/>
                <w:sz w:val="18"/>
                <w:szCs w:val="18"/>
                <w:bdr w:val="nil"/>
                <w:lang w:val="sl-SI"/>
              </w:rPr>
              <w:t>Če je v posameznem obdobju v tujini aktivnost poučevanja združena z aktivnostjo usposabljanja, se najmanjše število ur poučevanja na teden (ali katero koli krajše obdobje bivanja) zmanjša na 4 ure.</w:t>
            </w:r>
          </w:p>
        </w:tc>
      </w:tr>
      <w:tr w:rsidR="00E03711" w:rsidRPr="00C60205" w14:paraId="7D39886E" w14:textId="77777777" w:rsidTr="008B3F67">
        <w:tc>
          <w:tcPr>
            <w:tcW w:w="844" w:type="pct"/>
            <w:shd w:val="clear" w:color="auto" w:fill="FFFFFF"/>
            <w:vAlign w:val="center"/>
          </w:tcPr>
          <w:p w14:paraId="7D39886C" w14:textId="77777777" w:rsidR="00E03711" w:rsidRPr="001048FE" w:rsidRDefault="00E03711" w:rsidP="0075479E">
            <w:pPr>
              <w:spacing w:before="60" w:after="60"/>
              <w:rPr>
                <w:b/>
                <w:sz w:val="18"/>
                <w:szCs w:val="18"/>
                <w:lang w:val="sl-SI"/>
              </w:rPr>
            </w:pPr>
            <w:r w:rsidRPr="001048FE">
              <w:rPr>
                <w:b/>
                <w:sz w:val="18"/>
                <w:szCs w:val="18"/>
                <w:lang w:val="sl-SI"/>
              </w:rPr>
              <w:t>Kraji izvajanja aktivnosti</w:t>
            </w:r>
          </w:p>
        </w:tc>
        <w:tc>
          <w:tcPr>
            <w:tcW w:w="4156" w:type="pct"/>
            <w:shd w:val="clear" w:color="auto" w:fill="FFFFFF"/>
            <w:vAlign w:val="center"/>
          </w:tcPr>
          <w:p w14:paraId="7D39886D"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Osebje mora aktivnost mobilnosti izvajati v kateri koli državi Programa ali partnerski državi, ki ni država organizacije pošiljateljice in država prebivališča osebja.</w:t>
            </w:r>
          </w:p>
        </w:tc>
      </w:tr>
      <w:tr w:rsidR="00E03711" w:rsidRPr="00C60205" w14:paraId="7D398875" w14:textId="77777777" w:rsidTr="008B3F67">
        <w:trPr>
          <w:trHeight w:val="715"/>
        </w:trPr>
        <w:tc>
          <w:tcPr>
            <w:tcW w:w="844" w:type="pct"/>
            <w:shd w:val="clear" w:color="auto" w:fill="FFFFFF"/>
            <w:vAlign w:val="center"/>
          </w:tcPr>
          <w:p w14:paraId="7D39886F" w14:textId="77777777" w:rsidR="00E03711" w:rsidRPr="001048FE" w:rsidRDefault="00E03711" w:rsidP="0075479E">
            <w:pPr>
              <w:spacing w:before="60" w:after="60"/>
              <w:rPr>
                <w:b/>
                <w:sz w:val="18"/>
                <w:szCs w:val="18"/>
                <w:lang w:val="sl-SI"/>
              </w:rPr>
            </w:pPr>
            <w:r w:rsidRPr="001048FE">
              <w:rPr>
                <w:b/>
                <w:sz w:val="18"/>
                <w:szCs w:val="18"/>
                <w:lang w:val="sl-SI"/>
              </w:rPr>
              <w:t>Upravičeni udeleženci</w:t>
            </w:r>
          </w:p>
        </w:tc>
        <w:tc>
          <w:tcPr>
            <w:tcW w:w="4156" w:type="pct"/>
            <w:shd w:val="clear" w:color="auto" w:fill="FFFFFF"/>
            <w:vAlign w:val="center"/>
          </w:tcPr>
          <w:p w14:paraId="7D398870" w14:textId="77777777" w:rsidR="00E03711" w:rsidRPr="00F769E0" w:rsidRDefault="00E03711" w:rsidP="0075479E">
            <w:pPr>
              <w:pStyle w:val="Guide-Heading7"/>
              <w:spacing w:before="60" w:after="60"/>
              <w:rPr>
                <w:rFonts w:cs="Tahoma"/>
                <w:lang w:val="sl-SI"/>
              </w:rPr>
            </w:pPr>
            <w:r w:rsidRPr="00F769E0">
              <w:rPr>
                <w:rFonts w:cs="Tahoma"/>
                <w:lang w:val="sl-SI"/>
              </w:rPr>
              <w:t>Mobilnost osebja za poučevanje:</w:t>
            </w:r>
          </w:p>
          <w:p w14:paraId="7D398871" w14:textId="77777777" w:rsidR="00E03711" w:rsidRPr="001048FE" w:rsidRDefault="00E03711" w:rsidP="005115F2">
            <w:pPr>
              <w:pStyle w:val="Guide-NormalBulletpoints"/>
              <w:numPr>
                <w:ilvl w:val="0"/>
                <w:numId w:val="199"/>
              </w:numPr>
              <w:spacing w:before="60"/>
              <w:rPr>
                <w:lang w:val="sl-SI"/>
              </w:rPr>
            </w:pPr>
            <w:r w:rsidRPr="001048FE">
              <w:rPr>
                <w:lang w:val="sl-SI"/>
              </w:rPr>
              <w:t>osebje, zaposleno na visokošolski instituciji iz države Programa ali partnerske države;</w:t>
            </w:r>
          </w:p>
          <w:p w14:paraId="7D398872" w14:textId="77777777" w:rsidR="00E03711" w:rsidRPr="00D0047F" w:rsidRDefault="00E03711" w:rsidP="005115F2">
            <w:pPr>
              <w:pStyle w:val="Guide-NormalBulletpoints"/>
              <w:numPr>
                <w:ilvl w:val="0"/>
                <w:numId w:val="199"/>
              </w:numPr>
              <w:rPr>
                <w:lang w:val="sl-SI"/>
              </w:rPr>
            </w:pPr>
            <w:r w:rsidRPr="00D0047F">
              <w:rPr>
                <w:lang w:val="sl-SI"/>
              </w:rPr>
              <w:t>osebje iz katerega koli podjetja, ki dela v državi Programa ali partnerski državi</w:t>
            </w:r>
            <w:r w:rsidRPr="00D0047F">
              <w:rPr>
                <w:spacing w:val="-5"/>
                <w:lang w:val="sl-SI"/>
              </w:rPr>
              <w:t xml:space="preserve"> </w:t>
            </w:r>
            <w:r w:rsidRPr="00D0047F">
              <w:rPr>
                <w:lang w:val="sl-SI"/>
              </w:rPr>
              <w:t>ali</w:t>
            </w:r>
            <w:r w:rsidRPr="00D0047F">
              <w:rPr>
                <w:spacing w:val="-5"/>
                <w:lang w:val="sl-SI"/>
              </w:rPr>
              <w:t xml:space="preserve"> </w:t>
            </w:r>
            <w:r w:rsidRPr="00D0047F">
              <w:rPr>
                <w:lang w:val="sl-SI"/>
              </w:rPr>
              <w:t>javni</w:t>
            </w:r>
            <w:r w:rsidRPr="00D0047F">
              <w:rPr>
                <w:spacing w:val="-5"/>
                <w:lang w:val="sl-SI"/>
              </w:rPr>
              <w:t xml:space="preserve"> </w:t>
            </w:r>
            <w:r w:rsidRPr="00D0047F">
              <w:rPr>
                <w:lang w:val="sl-SI"/>
              </w:rPr>
              <w:t>ali</w:t>
            </w:r>
            <w:r w:rsidRPr="00D0047F">
              <w:rPr>
                <w:spacing w:val="-5"/>
                <w:lang w:val="sl-SI"/>
              </w:rPr>
              <w:t xml:space="preserve"> </w:t>
            </w:r>
            <w:r w:rsidRPr="00D0047F">
              <w:rPr>
                <w:lang w:val="sl-SI"/>
              </w:rPr>
              <w:t>zasebni</w:t>
            </w:r>
            <w:r w:rsidRPr="00D0047F">
              <w:rPr>
                <w:spacing w:val="-5"/>
                <w:lang w:val="sl-SI"/>
              </w:rPr>
              <w:t xml:space="preserve"> </w:t>
            </w:r>
            <w:r w:rsidRPr="00D0047F">
              <w:rPr>
                <w:lang w:val="sl-SI"/>
              </w:rPr>
              <w:t>organizaciji</w:t>
            </w:r>
            <w:r w:rsidRPr="00D0047F">
              <w:rPr>
                <w:spacing w:val="-4"/>
                <w:lang w:val="sl-SI"/>
              </w:rPr>
              <w:t xml:space="preserve"> </w:t>
            </w:r>
            <w:r w:rsidRPr="00D0047F">
              <w:rPr>
                <w:lang w:val="sl-SI"/>
              </w:rPr>
              <w:t>(ki</w:t>
            </w:r>
            <w:r w:rsidRPr="00D0047F">
              <w:rPr>
                <w:spacing w:val="-5"/>
                <w:lang w:val="sl-SI"/>
              </w:rPr>
              <w:t xml:space="preserve"> </w:t>
            </w:r>
            <w:r w:rsidRPr="00D0047F">
              <w:rPr>
                <w:lang w:val="sl-SI"/>
              </w:rPr>
              <w:t>ni</w:t>
            </w:r>
            <w:r w:rsidRPr="00D0047F">
              <w:rPr>
                <w:spacing w:val="-5"/>
                <w:lang w:val="sl-SI"/>
              </w:rPr>
              <w:t xml:space="preserve"> </w:t>
            </w:r>
            <w:r w:rsidRPr="00D0047F">
              <w:rPr>
                <w:lang w:val="sl-SI"/>
              </w:rPr>
              <w:t>nosilka</w:t>
            </w:r>
            <w:r w:rsidRPr="00D0047F">
              <w:rPr>
                <w:spacing w:val="-5"/>
                <w:lang w:val="sl-SI"/>
              </w:rPr>
              <w:t xml:space="preserve"> </w:t>
            </w:r>
            <w:r w:rsidRPr="00D0047F">
              <w:rPr>
                <w:lang w:val="sl-SI"/>
              </w:rPr>
              <w:t>ECHE),</w:t>
            </w:r>
            <w:r w:rsidRPr="00D0047F">
              <w:rPr>
                <w:spacing w:val="-5"/>
                <w:lang w:val="sl-SI"/>
              </w:rPr>
              <w:t xml:space="preserve"> </w:t>
            </w:r>
            <w:r w:rsidRPr="00D0047F">
              <w:rPr>
                <w:lang w:val="sl-SI"/>
              </w:rPr>
              <w:t>ki</w:t>
            </w:r>
            <w:r w:rsidRPr="00D0047F">
              <w:rPr>
                <w:spacing w:val="-5"/>
                <w:lang w:val="sl-SI"/>
              </w:rPr>
              <w:t xml:space="preserve"> </w:t>
            </w:r>
            <w:r w:rsidRPr="00D0047F">
              <w:rPr>
                <w:lang w:val="sl-SI"/>
              </w:rPr>
              <w:t>je</w:t>
            </w:r>
            <w:r w:rsidRPr="00D0047F">
              <w:rPr>
                <w:spacing w:val="-5"/>
                <w:lang w:val="sl-SI"/>
              </w:rPr>
              <w:t xml:space="preserve"> </w:t>
            </w:r>
            <w:r w:rsidRPr="00D0047F">
              <w:rPr>
                <w:lang w:val="sl-SI"/>
              </w:rPr>
              <w:t>dejavna</w:t>
            </w:r>
            <w:r w:rsidRPr="00D0047F">
              <w:rPr>
                <w:spacing w:val="-5"/>
                <w:lang w:val="sl-SI"/>
              </w:rPr>
              <w:t xml:space="preserve"> </w:t>
            </w:r>
            <w:r w:rsidRPr="00D0047F">
              <w:rPr>
                <w:lang w:val="sl-SI"/>
              </w:rPr>
              <w:t>na trgu dela ali področju izobraževanja, usposabljanja in mladine (vključno z zaposlenimi doktorandi), ki je povabljeno, da poučuje na visokošolski instituciji v državi Programa ali partnerski</w:t>
            </w:r>
            <w:r w:rsidRPr="00D0047F">
              <w:rPr>
                <w:spacing w:val="-3"/>
                <w:lang w:val="sl-SI"/>
              </w:rPr>
              <w:t xml:space="preserve"> </w:t>
            </w:r>
            <w:r w:rsidRPr="00D0047F">
              <w:rPr>
                <w:lang w:val="sl-SI"/>
              </w:rPr>
              <w:t>državi.</w:t>
            </w:r>
          </w:p>
          <w:p w14:paraId="7D398873" w14:textId="77777777" w:rsidR="00E03711" w:rsidRPr="00F769E0" w:rsidRDefault="00E03711" w:rsidP="0075479E">
            <w:pPr>
              <w:pStyle w:val="Guide-Heading7"/>
              <w:spacing w:before="60" w:after="60"/>
              <w:rPr>
                <w:rFonts w:cs="Tahoma"/>
                <w:lang w:val="sl-SI"/>
              </w:rPr>
            </w:pPr>
            <w:r w:rsidRPr="00F769E0">
              <w:rPr>
                <w:rFonts w:cs="Tahoma"/>
                <w:lang w:val="sl-SI"/>
              </w:rPr>
              <w:t>Mobilnost</w:t>
            </w:r>
            <w:r w:rsidRPr="00FB3F85">
              <w:rPr>
                <w:rFonts w:cs="Tahoma"/>
                <w:lang w:val="sl-SI"/>
              </w:rPr>
              <w:t xml:space="preserve"> </w:t>
            </w:r>
            <w:r w:rsidRPr="00F769E0">
              <w:rPr>
                <w:rFonts w:cs="Tahoma"/>
                <w:lang w:val="sl-SI"/>
              </w:rPr>
              <w:t>osebja</w:t>
            </w:r>
            <w:r w:rsidRPr="00FB3F85">
              <w:rPr>
                <w:rFonts w:cs="Tahoma"/>
                <w:lang w:val="sl-SI"/>
              </w:rPr>
              <w:t xml:space="preserve"> </w:t>
            </w:r>
            <w:r w:rsidRPr="00F769E0">
              <w:rPr>
                <w:rFonts w:cs="Tahoma"/>
                <w:lang w:val="sl-SI"/>
              </w:rPr>
              <w:t>za</w:t>
            </w:r>
            <w:r w:rsidRPr="00FB3F85">
              <w:rPr>
                <w:rFonts w:cs="Tahoma"/>
                <w:lang w:val="sl-SI"/>
              </w:rPr>
              <w:t xml:space="preserve"> </w:t>
            </w:r>
            <w:r w:rsidRPr="00F769E0">
              <w:rPr>
                <w:rFonts w:cs="Tahoma"/>
                <w:lang w:val="sl-SI"/>
              </w:rPr>
              <w:t>usposabljanje:</w:t>
            </w:r>
          </w:p>
          <w:p w14:paraId="7D398874" w14:textId="77777777" w:rsidR="00E03711" w:rsidRPr="00D0047F" w:rsidRDefault="00E03711" w:rsidP="00FC4A70">
            <w:pPr>
              <w:pStyle w:val="Guide-NormalBulletpoints"/>
              <w:rPr>
                <w:lang w:val="sl-SI"/>
              </w:rPr>
            </w:pPr>
            <w:r w:rsidRPr="00D0047F">
              <w:rPr>
                <w:lang w:val="sl-SI"/>
              </w:rPr>
              <w:t>osebje,</w:t>
            </w:r>
            <w:r>
              <w:rPr>
                <w:spacing w:val="-31"/>
                <w:lang w:val="sl-SI"/>
              </w:rPr>
              <w:t xml:space="preserve"> </w:t>
            </w:r>
            <w:r w:rsidRPr="00D0047F">
              <w:rPr>
                <w:lang w:val="sl-SI"/>
              </w:rPr>
              <w:t>zaposleno</w:t>
            </w:r>
            <w:r w:rsidRPr="00D0047F">
              <w:rPr>
                <w:spacing w:val="-31"/>
                <w:lang w:val="sl-SI"/>
              </w:rPr>
              <w:t xml:space="preserve"> </w:t>
            </w:r>
            <w:r w:rsidRPr="00D0047F">
              <w:rPr>
                <w:lang w:val="sl-SI"/>
              </w:rPr>
              <w:t>na</w:t>
            </w:r>
            <w:r w:rsidRPr="00D0047F">
              <w:rPr>
                <w:spacing w:val="-31"/>
                <w:lang w:val="sl-SI"/>
              </w:rPr>
              <w:t xml:space="preserve"> </w:t>
            </w:r>
            <w:r w:rsidRPr="00D0047F">
              <w:rPr>
                <w:lang w:val="sl-SI"/>
              </w:rPr>
              <w:t>visokošolski instituciji iz države Programa ali partnerske</w:t>
            </w:r>
            <w:r w:rsidRPr="00D0047F">
              <w:rPr>
                <w:spacing w:val="-11"/>
                <w:lang w:val="sl-SI"/>
              </w:rPr>
              <w:t xml:space="preserve"> </w:t>
            </w:r>
            <w:r w:rsidRPr="00D0047F">
              <w:rPr>
                <w:lang w:val="sl-SI"/>
              </w:rPr>
              <w:t>države.</w:t>
            </w:r>
          </w:p>
        </w:tc>
      </w:tr>
    </w:tbl>
    <w:p w14:paraId="7D398876" w14:textId="77777777" w:rsidR="00E03711" w:rsidRPr="001048FE" w:rsidRDefault="00E03711" w:rsidP="00B736D0">
      <w:pPr>
        <w:pStyle w:val="Guide-Heading6"/>
        <w:rPr>
          <w:lang w:val="sl-SI"/>
        </w:rPr>
      </w:pPr>
      <w:bookmarkStart w:id="158" w:name="Informations_complémentaires_pour_les_ac"/>
      <w:bookmarkEnd w:id="158"/>
      <w:r w:rsidRPr="001048FE">
        <w:rPr>
          <w:lang w:val="sl-SI"/>
        </w:rPr>
        <w:t>Dodatne informacije za mobilnost med državami Programa in partnerskimi državami</w:t>
      </w:r>
    </w:p>
    <w:p w14:paraId="7D398877" w14:textId="77777777" w:rsidR="00E03711" w:rsidRPr="001048FE" w:rsidRDefault="00E03711" w:rsidP="00B736D0">
      <w:pPr>
        <w:pStyle w:val="GUIDE-NORMAL"/>
        <w:rPr>
          <w:lang w:val="sl-SI"/>
        </w:rPr>
      </w:pPr>
      <w:r w:rsidRPr="001048FE">
        <w:rPr>
          <w:lang w:val="sl-SI"/>
        </w:rPr>
        <w:t>Proračun, ki je na voljo za mobilnost med državami Programa in partnerskimi državami, je porazdeljen</w:t>
      </w:r>
      <w:r w:rsidRPr="001048FE">
        <w:rPr>
          <w:spacing w:val="-12"/>
          <w:lang w:val="sl-SI"/>
        </w:rPr>
        <w:t xml:space="preserve"> </w:t>
      </w:r>
      <w:r w:rsidRPr="001048FE">
        <w:rPr>
          <w:lang w:val="sl-SI"/>
        </w:rPr>
        <w:t>med</w:t>
      </w:r>
      <w:r w:rsidRPr="001048FE">
        <w:rPr>
          <w:spacing w:val="-12"/>
          <w:lang w:val="sl-SI"/>
        </w:rPr>
        <w:t xml:space="preserve"> </w:t>
      </w:r>
      <w:r w:rsidRPr="001048FE">
        <w:rPr>
          <w:lang w:val="sl-SI"/>
        </w:rPr>
        <w:t>različne</w:t>
      </w:r>
      <w:r w:rsidRPr="001048FE">
        <w:rPr>
          <w:spacing w:val="-12"/>
          <w:lang w:val="sl-SI"/>
        </w:rPr>
        <w:t xml:space="preserve"> </w:t>
      </w:r>
      <w:r w:rsidRPr="001048FE">
        <w:rPr>
          <w:lang w:val="sl-SI"/>
        </w:rPr>
        <w:t>regije</w:t>
      </w:r>
      <w:r w:rsidRPr="001048FE">
        <w:rPr>
          <w:spacing w:val="-12"/>
          <w:lang w:val="sl-SI"/>
        </w:rPr>
        <w:t xml:space="preserve"> </w:t>
      </w:r>
      <w:r w:rsidRPr="001048FE">
        <w:rPr>
          <w:lang w:val="sl-SI"/>
        </w:rPr>
        <w:t>sveta</w:t>
      </w:r>
      <w:r w:rsidRPr="001048FE">
        <w:rPr>
          <w:spacing w:val="-12"/>
          <w:lang w:val="sl-SI"/>
        </w:rPr>
        <w:t xml:space="preserve"> </w:t>
      </w:r>
      <w:r w:rsidRPr="001048FE">
        <w:rPr>
          <w:lang w:val="sl-SI"/>
        </w:rPr>
        <w:t>v</w:t>
      </w:r>
      <w:r w:rsidRPr="001048FE">
        <w:rPr>
          <w:spacing w:val="-12"/>
          <w:lang w:val="sl-SI"/>
        </w:rPr>
        <w:t xml:space="preserve"> </w:t>
      </w:r>
      <w:r w:rsidRPr="001048FE">
        <w:rPr>
          <w:lang w:val="sl-SI"/>
        </w:rPr>
        <w:t>12</w:t>
      </w:r>
      <w:r w:rsidRPr="001048FE">
        <w:rPr>
          <w:spacing w:val="-12"/>
          <w:lang w:val="sl-SI"/>
        </w:rPr>
        <w:t xml:space="preserve"> </w:t>
      </w:r>
      <w:r w:rsidRPr="001048FE">
        <w:rPr>
          <w:lang w:val="sl-SI"/>
        </w:rPr>
        <w:t>proračunskih</w:t>
      </w:r>
      <w:r w:rsidRPr="001048FE">
        <w:rPr>
          <w:spacing w:val="-12"/>
          <w:lang w:val="sl-SI"/>
        </w:rPr>
        <w:t xml:space="preserve"> </w:t>
      </w:r>
      <w:r w:rsidRPr="001048FE">
        <w:rPr>
          <w:lang w:val="sl-SI"/>
        </w:rPr>
        <w:t>ovojnicah,</w:t>
      </w:r>
      <w:r w:rsidRPr="001048FE">
        <w:rPr>
          <w:spacing w:val="-11"/>
          <w:lang w:val="sl-SI"/>
        </w:rPr>
        <w:t xml:space="preserve"> </w:t>
      </w:r>
      <w:r w:rsidRPr="001048FE">
        <w:rPr>
          <w:lang w:val="sl-SI"/>
        </w:rPr>
        <w:t>pri</w:t>
      </w:r>
      <w:r w:rsidRPr="001048FE">
        <w:rPr>
          <w:spacing w:val="-12"/>
          <w:lang w:val="sl-SI"/>
        </w:rPr>
        <w:t xml:space="preserve"> </w:t>
      </w:r>
      <w:r w:rsidRPr="001048FE">
        <w:rPr>
          <w:lang w:val="sl-SI"/>
        </w:rPr>
        <w:t>čemer</w:t>
      </w:r>
      <w:r w:rsidRPr="001048FE">
        <w:rPr>
          <w:spacing w:val="-12"/>
          <w:lang w:val="sl-SI"/>
        </w:rPr>
        <w:t xml:space="preserve"> </w:t>
      </w:r>
      <w:r w:rsidRPr="001048FE">
        <w:rPr>
          <w:lang w:val="sl-SI"/>
        </w:rPr>
        <w:t>se</w:t>
      </w:r>
      <w:r w:rsidRPr="001048FE">
        <w:rPr>
          <w:spacing w:val="-12"/>
          <w:lang w:val="sl-SI"/>
        </w:rPr>
        <w:t xml:space="preserve"> </w:t>
      </w:r>
      <w:r w:rsidRPr="001048FE">
        <w:rPr>
          <w:lang w:val="sl-SI"/>
        </w:rPr>
        <w:t>višina</w:t>
      </w:r>
      <w:r w:rsidRPr="001048FE">
        <w:rPr>
          <w:spacing w:val="-12"/>
          <w:lang w:val="sl-SI"/>
        </w:rPr>
        <w:t xml:space="preserve"> </w:t>
      </w:r>
      <w:r w:rsidRPr="001048FE">
        <w:rPr>
          <w:lang w:val="sl-SI"/>
        </w:rPr>
        <w:t>sredstev</w:t>
      </w:r>
      <w:r w:rsidRPr="001048FE">
        <w:rPr>
          <w:spacing w:val="-12"/>
          <w:lang w:val="sl-SI"/>
        </w:rPr>
        <w:t xml:space="preserve"> </w:t>
      </w:r>
      <w:r w:rsidRPr="001048FE">
        <w:rPr>
          <w:lang w:val="sl-SI"/>
        </w:rPr>
        <w:t>v posamezni ovojnici razlikuje. Dodatne informacije o zneskih so na voljo v okviru posamezne proračunske ovojnice in bodo objavljene na spletiščih nacionalnih</w:t>
      </w:r>
      <w:r w:rsidRPr="001048FE">
        <w:rPr>
          <w:spacing w:val="-32"/>
          <w:lang w:val="sl-SI"/>
        </w:rPr>
        <w:t xml:space="preserve"> </w:t>
      </w:r>
      <w:r w:rsidRPr="001048FE">
        <w:rPr>
          <w:lang w:val="sl-SI"/>
        </w:rPr>
        <w:t>agencij.</w:t>
      </w:r>
    </w:p>
    <w:p w14:paraId="7D398878" w14:textId="77777777" w:rsidR="00E03711" w:rsidRPr="001048FE" w:rsidRDefault="00E03711" w:rsidP="00B736D0">
      <w:pPr>
        <w:pStyle w:val="GUIDE-NORMAL"/>
        <w:rPr>
          <w:lang w:val="sl-SI"/>
        </w:rPr>
      </w:pPr>
      <w:r w:rsidRPr="001048FE">
        <w:rPr>
          <w:lang w:val="sl-SI"/>
        </w:rPr>
        <w:t>Na</w:t>
      </w:r>
      <w:r w:rsidRPr="001048FE">
        <w:rPr>
          <w:spacing w:val="-15"/>
          <w:lang w:val="sl-SI"/>
        </w:rPr>
        <w:t xml:space="preserve"> </w:t>
      </w:r>
      <w:r w:rsidRPr="001048FE">
        <w:rPr>
          <w:lang w:val="sl-SI"/>
        </w:rPr>
        <w:t>splošno</w:t>
      </w:r>
      <w:r w:rsidRPr="001048FE">
        <w:rPr>
          <w:spacing w:val="-15"/>
          <w:lang w:val="sl-SI"/>
        </w:rPr>
        <w:t xml:space="preserve"> </w:t>
      </w:r>
      <w:r w:rsidRPr="001048FE">
        <w:rPr>
          <w:lang w:val="sl-SI"/>
        </w:rPr>
        <w:t>se</w:t>
      </w:r>
      <w:r w:rsidRPr="001048FE">
        <w:rPr>
          <w:spacing w:val="-15"/>
          <w:lang w:val="sl-SI"/>
        </w:rPr>
        <w:t xml:space="preserve"> </w:t>
      </w:r>
      <w:r w:rsidRPr="001048FE">
        <w:rPr>
          <w:lang w:val="sl-SI"/>
        </w:rPr>
        <w:t>bodo</w:t>
      </w:r>
      <w:r w:rsidRPr="001048FE">
        <w:rPr>
          <w:spacing w:val="-15"/>
          <w:lang w:val="sl-SI"/>
        </w:rPr>
        <w:t xml:space="preserve"> </w:t>
      </w:r>
      <w:r w:rsidRPr="001048FE">
        <w:rPr>
          <w:lang w:val="sl-SI"/>
        </w:rPr>
        <w:t>sredstva</w:t>
      </w:r>
      <w:r w:rsidRPr="001048FE">
        <w:rPr>
          <w:spacing w:val="-15"/>
          <w:lang w:val="sl-SI"/>
        </w:rPr>
        <w:t xml:space="preserve"> </w:t>
      </w:r>
      <w:r w:rsidRPr="001048FE">
        <w:rPr>
          <w:lang w:val="sl-SI"/>
        </w:rPr>
        <w:t>porabila</w:t>
      </w:r>
      <w:r w:rsidRPr="001048FE">
        <w:rPr>
          <w:spacing w:val="-15"/>
          <w:lang w:val="sl-SI"/>
        </w:rPr>
        <w:t xml:space="preserve"> </w:t>
      </w:r>
      <w:r w:rsidRPr="001048FE">
        <w:rPr>
          <w:lang w:val="sl-SI"/>
        </w:rPr>
        <w:t>na</w:t>
      </w:r>
      <w:r w:rsidRPr="001048FE">
        <w:rPr>
          <w:spacing w:val="-15"/>
          <w:lang w:val="sl-SI"/>
        </w:rPr>
        <w:t xml:space="preserve"> </w:t>
      </w:r>
      <w:r w:rsidRPr="001048FE">
        <w:rPr>
          <w:lang w:val="sl-SI"/>
        </w:rPr>
        <w:t>geografsko</w:t>
      </w:r>
      <w:r w:rsidRPr="001048FE">
        <w:rPr>
          <w:spacing w:val="-15"/>
          <w:lang w:val="sl-SI"/>
        </w:rPr>
        <w:t xml:space="preserve"> </w:t>
      </w:r>
      <w:r w:rsidRPr="001048FE">
        <w:rPr>
          <w:lang w:val="sl-SI"/>
        </w:rPr>
        <w:t>uravnotežen</w:t>
      </w:r>
      <w:r w:rsidRPr="001048FE">
        <w:rPr>
          <w:spacing w:val="-15"/>
          <w:lang w:val="sl-SI"/>
        </w:rPr>
        <w:t xml:space="preserve"> </w:t>
      </w:r>
      <w:r w:rsidRPr="001048FE">
        <w:rPr>
          <w:lang w:val="sl-SI"/>
        </w:rPr>
        <w:t>način.</w:t>
      </w:r>
      <w:r w:rsidRPr="001048FE">
        <w:rPr>
          <w:spacing w:val="-15"/>
          <w:lang w:val="sl-SI"/>
        </w:rPr>
        <w:t xml:space="preserve"> </w:t>
      </w:r>
      <w:r w:rsidRPr="001048FE">
        <w:rPr>
          <w:lang w:val="sl-SI"/>
        </w:rPr>
        <w:t>EU</w:t>
      </w:r>
      <w:r w:rsidRPr="001048FE">
        <w:rPr>
          <w:spacing w:val="-15"/>
          <w:lang w:val="sl-SI"/>
        </w:rPr>
        <w:t xml:space="preserve"> </w:t>
      </w:r>
      <w:r w:rsidRPr="001048FE">
        <w:rPr>
          <w:lang w:val="sl-SI"/>
        </w:rPr>
        <w:t>je</w:t>
      </w:r>
      <w:r w:rsidRPr="001048FE">
        <w:rPr>
          <w:spacing w:val="-15"/>
          <w:lang w:val="sl-SI"/>
        </w:rPr>
        <w:t xml:space="preserve"> </w:t>
      </w:r>
      <w:r w:rsidRPr="001048FE">
        <w:rPr>
          <w:lang w:val="sl-SI"/>
        </w:rPr>
        <w:t>določila</w:t>
      </w:r>
      <w:r w:rsidRPr="001048FE">
        <w:rPr>
          <w:spacing w:val="-15"/>
          <w:lang w:val="sl-SI"/>
        </w:rPr>
        <w:t xml:space="preserve"> </w:t>
      </w:r>
      <w:r w:rsidRPr="001048FE">
        <w:rPr>
          <w:lang w:val="sl-SI"/>
        </w:rPr>
        <w:t>številne</w:t>
      </w:r>
      <w:r w:rsidRPr="001048FE">
        <w:rPr>
          <w:spacing w:val="-15"/>
          <w:lang w:val="sl-SI"/>
        </w:rPr>
        <w:t xml:space="preserve"> </w:t>
      </w:r>
      <w:r w:rsidRPr="001048FE">
        <w:rPr>
          <w:lang w:val="sl-SI"/>
        </w:rPr>
        <w:t>cilje</w:t>
      </w:r>
      <w:r w:rsidRPr="001048FE">
        <w:rPr>
          <w:spacing w:val="-15"/>
          <w:lang w:val="sl-SI"/>
        </w:rPr>
        <w:t xml:space="preserve"> </w:t>
      </w:r>
      <w:r w:rsidRPr="001048FE">
        <w:rPr>
          <w:lang w:val="sl-SI"/>
        </w:rPr>
        <w:t>v zvezi</w:t>
      </w:r>
      <w:r w:rsidRPr="001048FE">
        <w:rPr>
          <w:spacing w:val="-7"/>
          <w:lang w:val="sl-SI"/>
        </w:rPr>
        <w:t xml:space="preserve"> </w:t>
      </w:r>
      <w:r w:rsidRPr="001048FE">
        <w:rPr>
          <w:lang w:val="sl-SI"/>
        </w:rPr>
        <w:t>z</w:t>
      </w:r>
      <w:r w:rsidRPr="001048FE">
        <w:rPr>
          <w:spacing w:val="-7"/>
          <w:lang w:val="sl-SI"/>
        </w:rPr>
        <w:t xml:space="preserve"> </w:t>
      </w:r>
      <w:r w:rsidRPr="001048FE">
        <w:rPr>
          <w:lang w:val="sl-SI"/>
        </w:rPr>
        <w:t>geografsko</w:t>
      </w:r>
      <w:r w:rsidRPr="001048FE">
        <w:rPr>
          <w:spacing w:val="-7"/>
          <w:lang w:val="sl-SI"/>
        </w:rPr>
        <w:t xml:space="preserve"> </w:t>
      </w:r>
      <w:r w:rsidRPr="001048FE">
        <w:rPr>
          <w:lang w:val="sl-SI"/>
        </w:rPr>
        <w:t>uravnoteženostjo</w:t>
      </w:r>
      <w:r w:rsidRPr="001048FE">
        <w:rPr>
          <w:spacing w:val="-7"/>
          <w:lang w:val="sl-SI"/>
        </w:rPr>
        <w:t xml:space="preserve"> </w:t>
      </w:r>
      <w:r w:rsidRPr="001048FE">
        <w:rPr>
          <w:lang w:val="sl-SI"/>
        </w:rPr>
        <w:t>in</w:t>
      </w:r>
      <w:r w:rsidRPr="001048FE">
        <w:rPr>
          <w:spacing w:val="-7"/>
          <w:lang w:val="sl-SI"/>
        </w:rPr>
        <w:t xml:space="preserve"> </w:t>
      </w:r>
      <w:r w:rsidRPr="001048FE">
        <w:rPr>
          <w:lang w:val="sl-SI"/>
        </w:rPr>
        <w:t>prednostnimi</w:t>
      </w:r>
      <w:r w:rsidRPr="001048FE">
        <w:rPr>
          <w:spacing w:val="-7"/>
          <w:lang w:val="sl-SI"/>
        </w:rPr>
        <w:t xml:space="preserve"> </w:t>
      </w:r>
      <w:r w:rsidRPr="001048FE">
        <w:rPr>
          <w:lang w:val="sl-SI"/>
        </w:rPr>
        <w:t>področji,</w:t>
      </w:r>
      <w:r w:rsidRPr="001048FE">
        <w:rPr>
          <w:spacing w:val="-7"/>
          <w:lang w:val="sl-SI"/>
        </w:rPr>
        <w:t xml:space="preserve"> </w:t>
      </w:r>
      <w:r w:rsidRPr="001048FE">
        <w:rPr>
          <w:lang w:val="sl-SI"/>
        </w:rPr>
        <w:t>ki</w:t>
      </w:r>
      <w:r w:rsidRPr="001048FE">
        <w:rPr>
          <w:spacing w:val="-7"/>
          <w:lang w:val="sl-SI"/>
        </w:rPr>
        <w:t xml:space="preserve"> </w:t>
      </w:r>
      <w:r w:rsidRPr="001048FE">
        <w:rPr>
          <w:lang w:val="sl-SI"/>
        </w:rPr>
        <w:t>jih</w:t>
      </w:r>
      <w:r w:rsidRPr="001048FE">
        <w:rPr>
          <w:spacing w:val="-7"/>
          <w:lang w:val="sl-SI"/>
        </w:rPr>
        <w:t xml:space="preserve"> </w:t>
      </w:r>
      <w:r w:rsidRPr="001048FE">
        <w:rPr>
          <w:lang w:val="sl-SI"/>
        </w:rPr>
        <w:t>je</w:t>
      </w:r>
      <w:r w:rsidRPr="001048FE">
        <w:rPr>
          <w:spacing w:val="-7"/>
          <w:lang w:val="sl-SI"/>
        </w:rPr>
        <w:t xml:space="preserve"> </w:t>
      </w:r>
      <w:r w:rsidRPr="001048FE">
        <w:rPr>
          <w:lang w:val="sl-SI"/>
        </w:rPr>
        <w:t>treba</w:t>
      </w:r>
      <w:r w:rsidRPr="001048FE">
        <w:rPr>
          <w:spacing w:val="-7"/>
          <w:lang w:val="sl-SI"/>
        </w:rPr>
        <w:t xml:space="preserve"> </w:t>
      </w:r>
      <w:r w:rsidRPr="001048FE">
        <w:rPr>
          <w:lang w:val="sl-SI"/>
        </w:rPr>
        <w:t>doseči</w:t>
      </w:r>
      <w:r w:rsidRPr="001048FE">
        <w:rPr>
          <w:spacing w:val="-7"/>
          <w:lang w:val="sl-SI"/>
        </w:rPr>
        <w:t xml:space="preserve"> </w:t>
      </w:r>
      <w:r w:rsidRPr="001048FE">
        <w:rPr>
          <w:lang w:val="sl-SI"/>
        </w:rPr>
        <w:t>na</w:t>
      </w:r>
      <w:r w:rsidRPr="001048FE">
        <w:rPr>
          <w:spacing w:val="-7"/>
          <w:lang w:val="sl-SI"/>
        </w:rPr>
        <w:t xml:space="preserve"> </w:t>
      </w:r>
      <w:r w:rsidRPr="001048FE">
        <w:rPr>
          <w:lang w:val="sl-SI"/>
        </w:rPr>
        <w:t>evropski</w:t>
      </w:r>
      <w:r w:rsidRPr="001048FE">
        <w:rPr>
          <w:spacing w:val="-7"/>
          <w:lang w:val="sl-SI"/>
        </w:rPr>
        <w:t xml:space="preserve"> </w:t>
      </w:r>
      <w:r w:rsidRPr="001048FE">
        <w:rPr>
          <w:lang w:val="sl-SI"/>
        </w:rPr>
        <w:t>ravni med</w:t>
      </w:r>
      <w:r w:rsidRPr="001048FE">
        <w:rPr>
          <w:spacing w:val="-18"/>
          <w:lang w:val="sl-SI"/>
        </w:rPr>
        <w:t xml:space="preserve"> </w:t>
      </w:r>
      <w:r w:rsidRPr="001048FE">
        <w:rPr>
          <w:lang w:val="sl-SI"/>
        </w:rPr>
        <w:t>celotnim</w:t>
      </w:r>
      <w:r w:rsidRPr="001048FE">
        <w:rPr>
          <w:spacing w:val="-18"/>
          <w:lang w:val="sl-SI"/>
        </w:rPr>
        <w:t xml:space="preserve"> </w:t>
      </w:r>
      <w:r w:rsidRPr="001048FE">
        <w:rPr>
          <w:lang w:val="sl-SI"/>
        </w:rPr>
        <w:t>trajanjem</w:t>
      </w:r>
      <w:r w:rsidRPr="001048FE">
        <w:rPr>
          <w:spacing w:val="-18"/>
          <w:lang w:val="sl-SI"/>
        </w:rPr>
        <w:t xml:space="preserve"> </w:t>
      </w:r>
      <w:r w:rsidRPr="001048FE">
        <w:rPr>
          <w:lang w:val="sl-SI"/>
        </w:rPr>
        <w:t>programa</w:t>
      </w:r>
      <w:r w:rsidRPr="001048FE">
        <w:rPr>
          <w:spacing w:val="-18"/>
          <w:lang w:val="sl-SI"/>
        </w:rPr>
        <w:t xml:space="preserve"> </w:t>
      </w:r>
      <w:r w:rsidRPr="001048FE">
        <w:rPr>
          <w:lang w:val="sl-SI"/>
        </w:rPr>
        <w:t>(2014–2020).</w:t>
      </w:r>
      <w:r w:rsidRPr="001048FE">
        <w:rPr>
          <w:spacing w:val="-18"/>
          <w:lang w:val="sl-SI"/>
        </w:rPr>
        <w:t xml:space="preserve"> </w:t>
      </w:r>
      <w:r w:rsidRPr="001048FE">
        <w:rPr>
          <w:lang w:val="sl-SI"/>
        </w:rPr>
        <w:t>Ni</w:t>
      </w:r>
      <w:r w:rsidRPr="001048FE">
        <w:rPr>
          <w:spacing w:val="-18"/>
          <w:lang w:val="sl-SI"/>
        </w:rPr>
        <w:t xml:space="preserve"> </w:t>
      </w:r>
      <w:r w:rsidRPr="001048FE">
        <w:rPr>
          <w:lang w:val="sl-SI"/>
        </w:rPr>
        <w:t>treba,</w:t>
      </w:r>
      <w:r w:rsidRPr="001048FE">
        <w:rPr>
          <w:spacing w:val="-18"/>
          <w:lang w:val="sl-SI"/>
        </w:rPr>
        <w:t xml:space="preserve"> </w:t>
      </w:r>
      <w:r w:rsidRPr="001048FE">
        <w:rPr>
          <w:lang w:val="sl-SI"/>
        </w:rPr>
        <w:t>da</w:t>
      </w:r>
      <w:r w:rsidRPr="001048FE">
        <w:rPr>
          <w:spacing w:val="-18"/>
          <w:lang w:val="sl-SI"/>
        </w:rPr>
        <w:t xml:space="preserve"> </w:t>
      </w:r>
      <w:r w:rsidRPr="001048FE">
        <w:rPr>
          <w:lang w:val="sl-SI"/>
        </w:rPr>
        <w:t>cilje</w:t>
      </w:r>
      <w:r w:rsidRPr="001048FE">
        <w:rPr>
          <w:spacing w:val="-18"/>
          <w:lang w:val="sl-SI"/>
        </w:rPr>
        <w:t xml:space="preserve"> </w:t>
      </w:r>
      <w:r w:rsidRPr="001048FE">
        <w:rPr>
          <w:lang w:val="sl-SI"/>
        </w:rPr>
        <w:t>dosežejo</w:t>
      </w:r>
      <w:r w:rsidRPr="001048FE">
        <w:rPr>
          <w:spacing w:val="-18"/>
          <w:lang w:val="sl-SI"/>
        </w:rPr>
        <w:t xml:space="preserve"> </w:t>
      </w:r>
      <w:r w:rsidRPr="001048FE">
        <w:rPr>
          <w:lang w:val="sl-SI"/>
        </w:rPr>
        <w:t>posamezne</w:t>
      </w:r>
      <w:r w:rsidRPr="001048FE">
        <w:rPr>
          <w:spacing w:val="-18"/>
          <w:lang w:val="sl-SI"/>
        </w:rPr>
        <w:t xml:space="preserve"> </w:t>
      </w:r>
      <w:r w:rsidRPr="001048FE">
        <w:rPr>
          <w:lang w:val="sl-SI"/>
        </w:rPr>
        <w:t>visokošolske institucije, vendar morajo nacionalne agencije te cilje upoštevati pri dodeljevanju razpoložljivega proračuna.Poleg</w:t>
      </w:r>
      <w:r w:rsidRPr="001048FE">
        <w:rPr>
          <w:spacing w:val="-14"/>
          <w:lang w:val="sl-SI"/>
        </w:rPr>
        <w:t xml:space="preserve"> </w:t>
      </w:r>
      <w:r w:rsidRPr="001048FE">
        <w:rPr>
          <w:lang w:val="sl-SI"/>
        </w:rPr>
        <w:t>tega</w:t>
      </w:r>
      <w:r w:rsidRPr="001048FE">
        <w:rPr>
          <w:spacing w:val="-14"/>
          <w:lang w:val="sl-SI"/>
        </w:rPr>
        <w:t xml:space="preserve"> </w:t>
      </w:r>
      <w:r w:rsidRPr="001048FE">
        <w:rPr>
          <w:lang w:val="sl-SI"/>
        </w:rPr>
        <w:t>so</w:t>
      </w:r>
      <w:r w:rsidRPr="001048FE">
        <w:rPr>
          <w:spacing w:val="-14"/>
          <w:lang w:val="sl-SI"/>
        </w:rPr>
        <w:t xml:space="preserve"> </w:t>
      </w:r>
      <w:r w:rsidRPr="001048FE">
        <w:rPr>
          <w:lang w:val="sl-SI"/>
        </w:rPr>
        <w:t>visokošolske</w:t>
      </w:r>
      <w:r w:rsidRPr="001048FE">
        <w:rPr>
          <w:spacing w:val="-14"/>
          <w:lang w:val="sl-SI"/>
        </w:rPr>
        <w:t xml:space="preserve"> </w:t>
      </w:r>
      <w:r w:rsidRPr="001048FE">
        <w:rPr>
          <w:lang w:val="sl-SI"/>
        </w:rPr>
        <w:t>institucije</w:t>
      </w:r>
      <w:r w:rsidRPr="001048FE">
        <w:rPr>
          <w:spacing w:val="-14"/>
          <w:lang w:val="sl-SI"/>
        </w:rPr>
        <w:t xml:space="preserve"> </w:t>
      </w:r>
      <w:r w:rsidRPr="001048FE">
        <w:rPr>
          <w:lang w:val="sl-SI"/>
        </w:rPr>
        <w:t>spodbujene</w:t>
      </w:r>
      <w:r w:rsidRPr="001048FE">
        <w:rPr>
          <w:spacing w:val="-14"/>
          <w:lang w:val="sl-SI"/>
        </w:rPr>
        <w:t xml:space="preserve"> </w:t>
      </w:r>
      <w:r w:rsidRPr="001048FE">
        <w:rPr>
          <w:lang w:val="sl-SI"/>
        </w:rPr>
        <w:t>k</w:t>
      </w:r>
      <w:r w:rsidRPr="001048FE">
        <w:rPr>
          <w:spacing w:val="-14"/>
          <w:lang w:val="sl-SI"/>
        </w:rPr>
        <w:t xml:space="preserve"> </w:t>
      </w:r>
      <w:r w:rsidRPr="001048FE">
        <w:rPr>
          <w:lang w:val="sl-SI"/>
        </w:rPr>
        <w:t>sodelovanju</w:t>
      </w:r>
      <w:r w:rsidRPr="001048FE">
        <w:rPr>
          <w:spacing w:val="-14"/>
          <w:lang w:val="sl-SI"/>
        </w:rPr>
        <w:t xml:space="preserve"> </w:t>
      </w:r>
      <w:r w:rsidRPr="001048FE">
        <w:rPr>
          <w:lang w:val="sl-SI"/>
        </w:rPr>
        <w:t>s</w:t>
      </w:r>
      <w:r w:rsidRPr="001048FE">
        <w:rPr>
          <w:spacing w:val="-14"/>
          <w:lang w:val="sl-SI"/>
        </w:rPr>
        <w:t xml:space="preserve"> </w:t>
      </w:r>
      <w:r w:rsidRPr="001048FE">
        <w:rPr>
          <w:lang w:val="sl-SI"/>
        </w:rPr>
        <w:t>partnerji</w:t>
      </w:r>
      <w:r w:rsidRPr="001048FE">
        <w:rPr>
          <w:spacing w:val="-14"/>
          <w:lang w:val="sl-SI"/>
        </w:rPr>
        <w:t xml:space="preserve"> </w:t>
      </w:r>
      <w:r w:rsidRPr="001048FE">
        <w:rPr>
          <w:lang w:val="sl-SI"/>
        </w:rPr>
        <w:t>v</w:t>
      </w:r>
      <w:r w:rsidRPr="001048FE">
        <w:rPr>
          <w:spacing w:val="-14"/>
          <w:lang w:val="sl-SI"/>
        </w:rPr>
        <w:t xml:space="preserve"> </w:t>
      </w:r>
      <w:r w:rsidRPr="001048FE">
        <w:rPr>
          <w:lang w:val="sl-SI"/>
        </w:rPr>
        <w:t>najrevnejših in najmanj razvitih partnerskih</w:t>
      </w:r>
      <w:r w:rsidRPr="001048FE">
        <w:rPr>
          <w:spacing w:val="-7"/>
          <w:lang w:val="sl-SI"/>
        </w:rPr>
        <w:t xml:space="preserve"> </w:t>
      </w:r>
      <w:r w:rsidRPr="001048FE">
        <w:rPr>
          <w:lang w:val="sl-SI"/>
        </w:rPr>
        <w:t>državah.</w:t>
      </w:r>
    </w:p>
    <w:p w14:paraId="7D398879" w14:textId="77777777" w:rsidR="00E03711" w:rsidRPr="001048FE" w:rsidRDefault="00E03711" w:rsidP="00B736D0">
      <w:pPr>
        <w:pStyle w:val="GUIDE-NORMAL"/>
        <w:rPr>
          <w:lang w:val="sl-SI"/>
        </w:rPr>
      </w:pPr>
      <w:r w:rsidRPr="001048FE">
        <w:rPr>
          <w:lang w:val="sl-SI"/>
        </w:rPr>
        <w:t xml:space="preserve">To so </w:t>
      </w:r>
      <w:r w:rsidRPr="001048FE">
        <w:rPr>
          <w:b/>
          <w:lang w:val="sl-SI"/>
        </w:rPr>
        <w:t>geografski cilji</w:t>
      </w:r>
      <w:r w:rsidRPr="001048FE">
        <w:rPr>
          <w:lang w:val="sl-SI"/>
        </w:rPr>
        <w:t>, določeni za mobilnost med državami Programa in partnerskimi državami na ravni EU do leta 2020:</w:t>
      </w:r>
    </w:p>
    <w:p w14:paraId="7D39887A" w14:textId="77777777" w:rsidR="00E03711" w:rsidRPr="001048FE" w:rsidRDefault="00E03711" w:rsidP="005115F2">
      <w:pPr>
        <w:pStyle w:val="Guide-NormalBulletpoints"/>
        <w:numPr>
          <w:ilvl w:val="0"/>
          <w:numId w:val="200"/>
        </w:numPr>
        <w:rPr>
          <w:lang w:val="sl-SI"/>
        </w:rPr>
      </w:pPr>
      <w:r w:rsidRPr="001048FE">
        <w:rPr>
          <w:lang w:val="sl-SI"/>
        </w:rPr>
        <w:t>z državami Azije in Latinske Amerike v razvoju: 25 % sredstev mora biti uporabljenih za organizacijo mobilnosti z najmanj razvitimi državami v regiji. Te države so:</w:t>
      </w:r>
    </w:p>
    <w:p w14:paraId="7D39887B" w14:textId="77777777" w:rsidR="00E03711" w:rsidRPr="001048FE" w:rsidRDefault="00E03711" w:rsidP="005361B2">
      <w:pPr>
        <w:pStyle w:val="Guide-ListDash"/>
        <w:numPr>
          <w:ilvl w:val="1"/>
          <w:numId w:val="52"/>
        </w:numPr>
        <w:rPr>
          <w:lang w:val="sl-SI"/>
        </w:rPr>
      </w:pPr>
      <w:r w:rsidRPr="001048FE">
        <w:rPr>
          <w:lang w:val="sl-SI"/>
        </w:rPr>
        <w:t>v Aziji: Afganistan, Bangladeš, Kambodža, Laos, Nepal, Butan, Mjanmar;</w:t>
      </w:r>
    </w:p>
    <w:p w14:paraId="7D39887C" w14:textId="77777777" w:rsidR="00E03711" w:rsidRPr="001048FE" w:rsidRDefault="00E03711" w:rsidP="005361B2">
      <w:pPr>
        <w:pStyle w:val="Guide-ListDash"/>
        <w:numPr>
          <w:ilvl w:val="1"/>
          <w:numId w:val="52"/>
        </w:numPr>
        <w:rPr>
          <w:lang w:val="sl-SI"/>
        </w:rPr>
      </w:pPr>
      <w:r w:rsidRPr="001048FE">
        <w:rPr>
          <w:lang w:val="sl-SI"/>
        </w:rPr>
        <w:t xml:space="preserve">v Latinski Ameriki: Bolivija, Salvador, Gvatemala, Honduras, </w:t>
      </w:r>
      <w:r>
        <w:rPr>
          <w:lang w:val="sl-SI"/>
        </w:rPr>
        <w:t xml:space="preserve">in </w:t>
      </w:r>
      <w:r w:rsidRPr="001048FE">
        <w:rPr>
          <w:lang w:val="sl-SI"/>
        </w:rPr>
        <w:t xml:space="preserve">Nikaragva; </w:t>
      </w:r>
    </w:p>
    <w:p w14:paraId="7D39887D" w14:textId="77777777" w:rsidR="00E03711" w:rsidRPr="00860232" w:rsidRDefault="00E03711" w:rsidP="005115F2">
      <w:pPr>
        <w:pStyle w:val="Guide-NormalBulletpoints"/>
        <w:numPr>
          <w:ilvl w:val="0"/>
          <w:numId w:val="200"/>
        </w:numPr>
        <w:rPr>
          <w:lang w:val="sl-SI"/>
        </w:rPr>
      </w:pPr>
      <w:r w:rsidRPr="00860232">
        <w:rPr>
          <w:lang w:val="sl-SI"/>
        </w:rPr>
        <w:t>največ 30 % proračuna, ki je na voljo za Azijo, se lahko porabi za mobilnost s Kitajsko in Indijo, in</w:t>
      </w:r>
    </w:p>
    <w:p w14:paraId="7D39887E" w14:textId="77777777" w:rsidR="00E03711" w:rsidRPr="004E4C36" w:rsidRDefault="00E03711" w:rsidP="005115F2">
      <w:pPr>
        <w:pStyle w:val="Guide-NormalBulletpoints"/>
        <w:numPr>
          <w:ilvl w:val="0"/>
          <w:numId w:val="200"/>
        </w:numPr>
        <w:rPr>
          <w:lang w:val="sl-SI"/>
        </w:rPr>
      </w:pPr>
      <w:r w:rsidRPr="00860232">
        <w:rPr>
          <w:lang w:val="sl-SI"/>
        </w:rPr>
        <w:t>najv</w:t>
      </w:r>
      <w:r w:rsidRPr="004E4C36">
        <w:rPr>
          <w:lang w:val="sl-SI"/>
        </w:rPr>
        <w:t>eč</w:t>
      </w:r>
      <w:r w:rsidRPr="004E4C36">
        <w:rPr>
          <w:spacing w:val="-11"/>
          <w:lang w:val="sl-SI"/>
        </w:rPr>
        <w:t xml:space="preserve"> </w:t>
      </w:r>
      <w:r w:rsidRPr="004E4C36">
        <w:rPr>
          <w:lang w:val="sl-SI"/>
        </w:rPr>
        <w:t>35</w:t>
      </w:r>
      <w:r w:rsidRPr="004E4C36">
        <w:rPr>
          <w:spacing w:val="-11"/>
          <w:lang w:val="sl-SI"/>
        </w:rPr>
        <w:t xml:space="preserve"> </w:t>
      </w:r>
      <w:r w:rsidRPr="004E4C36">
        <w:rPr>
          <w:lang w:val="sl-SI"/>
        </w:rPr>
        <w:t>%</w:t>
      </w:r>
      <w:r w:rsidRPr="004E4C36">
        <w:rPr>
          <w:spacing w:val="-11"/>
          <w:lang w:val="sl-SI"/>
        </w:rPr>
        <w:t xml:space="preserve"> </w:t>
      </w:r>
      <w:r w:rsidRPr="004E4C36">
        <w:rPr>
          <w:lang w:val="sl-SI"/>
        </w:rPr>
        <w:t>proračuna,</w:t>
      </w:r>
      <w:r w:rsidRPr="004E4C36">
        <w:rPr>
          <w:spacing w:val="-11"/>
          <w:lang w:val="sl-SI"/>
        </w:rPr>
        <w:t xml:space="preserve"> </w:t>
      </w:r>
      <w:r w:rsidRPr="004E4C36">
        <w:rPr>
          <w:lang w:val="sl-SI"/>
        </w:rPr>
        <w:t>ki</w:t>
      </w:r>
      <w:r w:rsidRPr="004E4C36">
        <w:rPr>
          <w:spacing w:val="-11"/>
          <w:lang w:val="sl-SI"/>
        </w:rPr>
        <w:t xml:space="preserve"> </w:t>
      </w:r>
      <w:r w:rsidRPr="004E4C36">
        <w:rPr>
          <w:lang w:val="sl-SI"/>
        </w:rPr>
        <w:t>je</w:t>
      </w:r>
      <w:r w:rsidRPr="004E4C36">
        <w:rPr>
          <w:spacing w:val="-11"/>
          <w:lang w:val="sl-SI"/>
        </w:rPr>
        <w:t xml:space="preserve"> </w:t>
      </w:r>
      <w:r w:rsidRPr="004E4C36">
        <w:rPr>
          <w:lang w:val="sl-SI"/>
        </w:rPr>
        <w:t>na</w:t>
      </w:r>
      <w:r w:rsidRPr="004E4C36">
        <w:rPr>
          <w:spacing w:val="-11"/>
          <w:lang w:val="sl-SI"/>
        </w:rPr>
        <w:t xml:space="preserve"> </w:t>
      </w:r>
      <w:r w:rsidRPr="004E4C36">
        <w:rPr>
          <w:lang w:val="sl-SI"/>
        </w:rPr>
        <w:t>voljo</w:t>
      </w:r>
      <w:r w:rsidRPr="004E4C36">
        <w:rPr>
          <w:spacing w:val="-11"/>
          <w:lang w:val="sl-SI"/>
        </w:rPr>
        <w:t xml:space="preserve"> </w:t>
      </w:r>
      <w:r w:rsidRPr="004E4C36">
        <w:rPr>
          <w:lang w:val="sl-SI"/>
        </w:rPr>
        <w:t>za</w:t>
      </w:r>
      <w:r w:rsidRPr="004E4C36">
        <w:rPr>
          <w:spacing w:val="-11"/>
          <w:lang w:val="sl-SI"/>
        </w:rPr>
        <w:t xml:space="preserve"> </w:t>
      </w:r>
      <w:r w:rsidRPr="004E4C36">
        <w:rPr>
          <w:lang w:val="sl-SI"/>
        </w:rPr>
        <w:t>Latinsko</w:t>
      </w:r>
      <w:r w:rsidRPr="004E4C36">
        <w:rPr>
          <w:spacing w:val="-11"/>
          <w:lang w:val="sl-SI"/>
        </w:rPr>
        <w:t xml:space="preserve"> </w:t>
      </w:r>
      <w:r w:rsidRPr="004E4C36">
        <w:rPr>
          <w:lang w:val="sl-SI"/>
        </w:rPr>
        <w:t>Ameriko,</w:t>
      </w:r>
      <w:r w:rsidRPr="004E4C36">
        <w:rPr>
          <w:spacing w:val="-11"/>
          <w:lang w:val="sl-SI"/>
        </w:rPr>
        <w:t xml:space="preserve"> </w:t>
      </w:r>
      <w:r w:rsidRPr="004E4C36">
        <w:rPr>
          <w:lang w:val="sl-SI"/>
        </w:rPr>
        <w:t>se</w:t>
      </w:r>
      <w:r w:rsidRPr="004E4C36">
        <w:rPr>
          <w:spacing w:val="-11"/>
          <w:lang w:val="sl-SI"/>
        </w:rPr>
        <w:t xml:space="preserve"> </w:t>
      </w:r>
      <w:r w:rsidRPr="004E4C36">
        <w:rPr>
          <w:lang w:val="sl-SI"/>
        </w:rPr>
        <w:t>lahko</w:t>
      </w:r>
      <w:r w:rsidRPr="004E4C36">
        <w:rPr>
          <w:spacing w:val="-11"/>
          <w:lang w:val="sl-SI"/>
        </w:rPr>
        <w:t xml:space="preserve"> </w:t>
      </w:r>
      <w:r w:rsidRPr="004E4C36">
        <w:rPr>
          <w:lang w:val="sl-SI"/>
        </w:rPr>
        <w:t>porabi</w:t>
      </w:r>
      <w:r w:rsidRPr="004E4C36">
        <w:rPr>
          <w:spacing w:val="-11"/>
          <w:lang w:val="sl-SI"/>
        </w:rPr>
        <w:t xml:space="preserve"> </w:t>
      </w:r>
      <w:r w:rsidRPr="004E4C36">
        <w:rPr>
          <w:lang w:val="sl-SI"/>
        </w:rPr>
        <w:t>za</w:t>
      </w:r>
      <w:r w:rsidRPr="004E4C36">
        <w:rPr>
          <w:spacing w:val="-11"/>
          <w:lang w:val="sl-SI"/>
        </w:rPr>
        <w:t xml:space="preserve"> </w:t>
      </w:r>
      <w:r w:rsidRPr="004E4C36">
        <w:rPr>
          <w:lang w:val="sl-SI"/>
        </w:rPr>
        <w:t>mobilnost</w:t>
      </w:r>
      <w:r w:rsidRPr="004E4C36">
        <w:rPr>
          <w:spacing w:val="-11"/>
          <w:lang w:val="sl-SI"/>
        </w:rPr>
        <w:t xml:space="preserve"> </w:t>
      </w:r>
      <w:r w:rsidRPr="004E4C36">
        <w:rPr>
          <w:lang w:val="sl-SI"/>
        </w:rPr>
        <w:t>z Brazilijo in</w:t>
      </w:r>
      <w:r w:rsidRPr="004E4C36">
        <w:rPr>
          <w:spacing w:val="-4"/>
          <w:lang w:val="sl-SI"/>
        </w:rPr>
        <w:t xml:space="preserve"> </w:t>
      </w:r>
      <w:r w:rsidRPr="004E4C36">
        <w:rPr>
          <w:lang w:val="sl-SI"/>
        </w:rPr>
        <w:t>Mehiko.</w:t>
      </w:r>
    </w:p>
    <w:p w14:paraId="7D39887F" w14:textId="77777777" w:rsidR="00E03711" w:rsidRPr="001048FE" w:rsidRDefault="00E03711" w:rsidP="00B736D0">
      <w:pPr>
        <w:pStyle w:val="GUIDE-NORMAL"/>
        <w:rPr>
          <w:lang w:val="sl-SI"/>
        </w:rPr>
      </w:pPr>
      <w:r w:rsidRPr="001048FE">
        <w:rPr>
          <w:lang w:val="sl-SI"/>
        </w:rPr>
        <w:t>Zaradi</w:t>
      </w:r>
      <w:r w:rsidRPr="001048FE">
        <w:rPr>
          <w:spacing w:val="-11"/>
          <w:lang w:val="sl-SI"/>
        </w:rPr>
        <w:t xml:space="preserve"> </w:t>
      </w:r>
      <w:r w:rsidRPr="001048FE">
        <w:rPr>
          <w:lang w:val="sl-SI"/>
        </w:rPr>
        <w:t>zahteve,</w:t>
      </w:r>
      <w:r w:rsidRPr="001048FE">
        <w:rPr>
          <w:spacing w:val="-11"/>
          <w:lang w:val="sl-SI"/>
        </w:rPr>
        <w:t xml:space="preserve"> </w:t>
      </w:r>
      <w:r w:rsidRPr="001048FE">
        <w:rPr>
          <w:lang w:val="sl-SI"/>
        </w:rPr>
        <w:t>da</w:t>
      </w:r>
      <w:r w:rsidRPr="001048FE">
        <w:rPr>
          <w:spacing w:val="-11"/>
          <w:lang w:val="sl-SI"/>
        </w:rPr>
        <w:t xml:space="preserve"> </w:t>
      </w:r>
      <w:r w:rsidRPr="001048FE">
        <w:rPr>
          <w:lang w:val="sl-SI"/>
        </w:rPr>
        <w:t>se</w:t>
      </w:r>
      <w:r w:rsidRPr="001048FE">
        <w:rPr>
          <w:spacing w:val="-11"/>
          <w:lang w:val="sl-SI"/>
        </w:rPr>
        <w:t xml:space="preserve"> </w:t>
      </w:r>
      <w:r w:rsidRPr="001048FE">
        <w:rPr>
          <w:lang w:val="sl-SI"/>
        </w:rPr>
        <w:t>mobilnost</w:t>
      </w:r>
      <w:r w:rsidRPr="001048FE">
        <w:rPr>
          <w:spacing w:val="-11"/>
          <w:lang w:val="sl-SI"/>
        </w:rPr>
        <w:t xml:space="preserve"> </w:t>
      </w:r>
      <w:r w:rsidRPr="001048FE">
        <w:rPr>
          <w:lang w:val="sl-SI"/>
        </w:rPr>
        <w:t>z</w:t>
      </w:r>
      <w:r w:rsidRPr="001048FE">
        <w:rPr>
          <w:spacing w:val="-11"/>
          <w:lang w:val="sl-SI"/>
        </w:rPr>
        <w:t xml:space="preserve"> </w:t>
      </w:r>
      <w:r w:rsidRPr="001048FE">
        <w:rPr>
          <w:lang w:val="sl-SI"/>
        </w:rPr>
        <w:t>državami</w:t>
      </w:r>
      <w:r w:rsidRPr="001048FE">
        <w:rPr>
          <w:spacing w:val="-11"/>
          <w:lang w:val="sl-SI"/>
        </w:rPr>
        <w:t xml:space="preserve"> </w:t>
      </w:r>
      <w:r w:rsidRPr="001048FE">
        <w:rPr>
          <w:lang w:val="sl-SI"/>
        </w:rPr>
        <w:t>v</w:t>
      </w:r>
      <w:r w:rsidRPr="001048FE">
        <w:rPr>
          <w:spacing w:val="-11"/>
          <w:lang w:val="sl-SI"/>
        </w:rPr>
        <w:t xml:space="preserve"> </w:t>
      </w:r>
      <w:r w:rsidRPr="001048FE">
        <w:rPr>
          <w:lang w:val="sl-SI"/>
        </w:rPr>
        <w:t>regijah</w:t>
      </w:r>
      <w:r w:rsidRPr="001048FE">
        <w:rPr>
          <w:spacing w:val="-11"/>
          <w:lang w:val="sl-SI"/>
        </w:rPr>
        <w:t xml:space="preserve"> </w:t>
      </w:r>
      <w:r w:rsidRPr="001048FE">
        <w:rPr>
          <w:lang w:val="sl-SI"/>
        </w:rPr>
        <w:t>6,</w:t>
      </w:r>
      <w:r w:rsidRPr="001048FE">
        <w:rPr>
          <w:spacing w:val="-11"/>
          <w:lang w:val="sl-SI"/>
        </w:rPr>
        <w:t xml:space="preserve"> </w:t>
      </w:r>
      <w:r w:rsidRPr="001048FE">
        <w:rPr>
          <w:lang w:val="sl-SI"/>
        </w:rPr>
        <w:t>7,</w:t>
      </w:r>
      <w:r w:rsidRPr="001048FE">
        <w:rPr>
          <w:spacing w:val="-11"/>
          <w:lang w:val="sl-SI"/>
        </w:rPr>
        <w:t xml:space="preserve"> </w:t>
      </w:r>
      <w:r w:rsidRPr="001048FE">
        <w:rPr>
          <w:lang w:val="sl-SI"/>
        </w:rPr>
        <w:t>8,</w:t>
      </w:r>
      <w:r w:rsidRPr="001048FE">
        <w:rPr>
          <w:spacing w:val="-11"/>
          <w:lang w:val="sl-SI"/>
        </w:rPr>
        <w:t xml:space="preserve"> </w:t>
      </w:r>
      <w:r w:rsidRPr="001048FE">
        <w:rPr>
          <w:lang w:val="sl-SI"/>
        </w:rPr>
        <w:t>9,</w:t>
      </w:r>
      <w:r w:rsidRPr="001048FE">
        <w:rPr>
          <w:spacing w:val="-11"/>
          <w:lang w:val="sl-SI"/>
        </w:rPr>
        <w:t xml:space="preserve"> </w:t>
      </w:r>
      <w:r w:rsidRPr="001048FE">
        <w:rPr>
          <w:lang w:val="sl-SI"/>
        </w:rPr>
        <w:t>10</w:t>
      </w:r>
      <w:r w:rsidRPr="001048FE">
        <w:rPr>
          <w:spacing w:val="-11"/>
          <w:lang w:val="sl-SI"/>
        </w:rPr>
        <w:t xml:space="preserve"> </w:t>
      </w:r>
      <w:r w:rsidRPr="001048FE">
        <w:rPr>
          <w:lang w:val="sl-SI"/>
        </w:rPr>
        <w:t>in</w:t>
      </w:r>
      <w:r w:rsidRPr="001048FE">
        <w:rPr>
          <w:spacing w:val="-11"/>
          <w:lang w:val="sl-SI"/>
        </w:rPr>
        <w:t xml:space="preserve"> </w:t>
      </w:r>
      <w:r w:rsidRPr="001048FE">
        <w:rPr>
          <w:lang w:val="sl-SI"/>
        </w:rPr>
        <w:t>11</w:t>
      </w:r>
      <w:hyperlink r:id="rId69">
        <w:r w:rsidRPr="001048FE">
          <w:rPr>
            <w:rStyle w:val="FootnoteReference"/>
            <w:lang w:val="sl-SI"/>
          </w:rPr>
          <w:footnoteReference w:id="32"/>
        </w:r>
        <w:r w:rsidRPr="001048FE">
          <w:rPr>
            <w:spacing w:val="-4"/>
            <w:sz w:val="20"/>
            <w:lang w:val="sl-SI"/>
          </w:rPr>
          <w:t xml:space="preserve"> </w:t>
        </w:r>
      </w:hyperlink>
      <w:r w:rsidRPr="001048FE">
        <w:rPr>
          <w:lang w:val="sl-SI"/>
        </w:rPr>
        <w:t>izvaja</w:t>
      </w:r>
      <w:r w:rsidRPr="001048FE">
        <w:rPr>
          <w:spacing w:val="-11"/>
          <w:lang w:val="sl-SI"/>
        </w:rPr>
        <w:t xml:space="preserve"> </w:t>
      </w:r>
      <w:r w:rsidRPr="001048FE">
        <w:rPr>
          <w:lang w:val="sl-SI"/>
        </w:rPr>
        <w:t>tako,</w:t>
      </w:r>
      <w:r w:rsidRPr="001048FE">
        <w:rPr>
          <w:spacing w:val="-11"/>
          <w:lang w:val="sl-SI"/>
        </w:rPr>
        <w:t xml:space="preserve"> </w:t>
      </w:r>
      <w:r w:rsidRPr="001048FE">
        <w:rPr>
          <w:lang w:val="sl-SI"/>
        </w:rPr>
        <w:t>da</w:t>
      </w:r>
      <w:r w:rsidRPr="001048FE">
        <w:rPr>
          <w:spacing w:val="-11"/>
          <w:lang w:val="sl-SI"/>
        </w:rPr>
        <w:t xml:space="preserve"> </w:t>
      </w:r>
      <w:r w:rsidRPr="001048FE">
        <w:rPr>
          <w:lang w:val="sl-SI"/>
        </w:rPr>
        <w:t>prispeva</w:t>
      </w:r>
      <w:r w:rsidRPr="001048FE">
        <w:rPr>
          <w:spacing w:val="-11"/>
          <w:lang w:val="sl-SI"/>
        </w:rPr>
        <w:t xml:space="preserve"> </w:t>
      </w:r>
      <w:r w:rsidRPr="001048FE">
        <w:rPr>
          <w:lang w:val="sl-SI"/>
        </w:rPr>
        <w:t>k razvojni pomoči, je mobilnost za študente višješolskih, dodiplomskih in magistrskih študentov omejena na vhodno mobilnost iz partnerskih držav v države Programa</w:t>
      </w:r>
      <w:r w:rsidRPr="001048FE">
        <w:rPr>
          <w:rStyle w:val="FootnoteReference"/>
          <w:lang w:val="sl-SI"/>
        </w:rPr>
        <w:footnoteReference w:id="33"/>
      </w:r>
      <w:r w:rsidRPr="001048FE">
        <w:rPr>
          <w:lang w:val="sl-SI"/>
        </w:rPr>
        <w:t>. Izhodna mobilnost v te regije je na voljo samo na doktorski stopnji in za</w:t>
      </w:r>
      <w:r w:rsidRPr="001048FE">
        <w:rPr>
          <w:spacing w:val="-32"/>
          <w:lang w:val="sl-SI"/>
        </w:rPr>
        <w:t xml:space="preserve"> </w:t>
      </w:r>
      <w:r w:rsidRPr="001048FE">
        <w:rPr>
          <w:lang w:val="sl-SI"/>
        </w:rPr>
        <w:t>osebje.</w:t>
      </w:r>
    </w:p>
    <w:p w14:paraId="7D398880" w14:textId="77777777" w:rsidR="00E03711" w:rsidRPr="001048FE" w:rsidRDefault="00E03711" w:rsidP="00B736D0">
      <w:pPr>
        <w:pStyle w:val="GUIDE-NORMAL"/>
        <w:rPr>
          <w:lang w:val="sl-SI"/>
        </w:rPr>
      </w:pPr>
      <w:r w:rsidRPr="001048FE">
        <w:rPr>
          <w:lang w:val="sl-SI"/>
        </w:rPr>
        <w:t>Vendar za nekatere države Programa veljajo določene izjeme. Več informacij je na spletišču vaše nacionalne agencije.</w:t>
      </w:r>
    </w:p>
    <w:p w14:paraId="7D398881" w14:textId="77777777" w:rsidR="00E03711" w:rsidRPr="001048FE" w:rsidRDefault="00E03711" w:rsidP="00B736D0">
      <w:pPr>
        <w:pStyle w:val="GUIDE-NORMAL"/>
        <w:rPr>
          <w:lang w:val="sl-SI"/>
        </w:rPr>
      </w:pPr>
      <w:r w:rsidRPr="001048FE">
        <w:rPr>
          <w:lang w:val="sl-SI"/>
        </w:rPr>
        <w:t>Nazadnje,</w:t>
      </w:r>
      <w:r w:rsidRPr="001048FE">
        <w:rPr>
          <w:spacing w:val="-16"/>
          <w:lang w:val="sl-SI"/>
        </w:rPr>
        <w:t xml:space="preserve"> </w:t>
      </w:r>
      <w:r w:rsidRPr="001048FE">
        <w:rPr>
          <w:lang w:val="sl-SI"/>
        </w:rPr>
        <w:t>visokošolske</w:t>
      </w:r>
      <w:r w:rsidRPr="001048FE">
        <w:rPr>
          <w:spacing w:val="-16"/>
          <w:lang w:val="sl-SI"/>
        </w:rPr>
        <w:t xml:space="preserve"> </w:t>
      </w:r>
      <w:r w:rsidRPr="001048FE">
        <w:rPr>
          <w:lang w:val="sl-SI"/>
        </w:rPr>
        <w:t>institucije</w:t>
      </w:r>
      <w:r w:rsidRPr="001048FE">
        <w:rPr>
          <w:spacing w:val="-16"/>
          <w:lang w:val="sl-SI"/>
        </w:rPr>
        <w:t xml:space="preserve"> </w:t>
      </w:r>
      <w:r w:rsidRPr="001048FE">
        <w:rPr>
          <w:lang w:val="sl-SI"/>
        </w:rPr>
        <w:t>se</w:t>
      </w:r>
      <w:r w:rsidRPr="001048FE">
        <w:rPr>
          <w:spacing w:val="-16"/>
          <w:lang w:val="sl-SI"/>
        </w:rPr>
        <w:t xml:space="preserve"> </w:t>
      </w:r>
      <w:r w:rsidRPr="001048FE">
        <w:rPr>
          <w:lang w:val="sl-SI"/>
        </w:rPr>
        <w:t>lahko</w:t>
      </w:r>
      <w:r w:rsidRPr="001048FE">
        <w:rPr>
          <w:spacing w:val="-16"/>
          <w:lang w:val="sl-SI"/>
        </w:rPr>
        <w:t xml:space="preserve"> </w:t>
      </w:r>
      <w:r w:rsidRPr="001048FE">
        <w:rPr>
          <w:lang w:val="sl-SI"/>
        </w:rPr>
        <w:t>prosto</w:t>
      </w:r>
      <w:r w:rsidRPr="001048FE">
        <w:rPr>
          <w:spacing w:val="-16"/>
          <w:lang w:val="sl-SI"/>
        </w:rPr>
        <w:t xml:space="preserve"> </w:t>
      </w:r>
      <w:r w:rsidRPr="001048FE">
        <w:rPr>
          <w:lang w:val="sl-SI"/>
        </w:rPr>
        <w:t>prijavijo</w:t>
      </w:r>
      <w:r w:rsidRPr="001048FE">
        <w:rPr>
          <w:spacing w:val="-16"/>
          <w:lang w:val="sl-SI"/>
        </w:rPr>
        <w:t xml:space="preserve"> </w:t>
      </w:r>
      <w:r w:rsidRPr="001048FE">
        <w:rPr>
          <w:lang w:val="sl-SI"/>
        </w:rPr>
        <w:t>za</w:t>
      </w:r>
      <w:r w:rsidRPr="001048FE">
        <w:rPr>
          <w:spacing w:val="-16"/>
          <w:lang w:val="sl-SI"/>
        </w:rPr>
        <w:t xml:space="preserve"> </w:t>
      </w:r>
      <w:r w:rsidRPr="001048FE">
        <w:rPr>
          <w:lang w:val="sl-SI"/>
        </w:rPr>
        <w:t>100-odstotno</w:t>
      </w:r>
      <w:r w:rsidRPr="001048FE">
        <w:rPr>
          <w:spacing w:val="-16"/>
          <w:lang w:val="sl-SI"/>
        </w:rPr>
        <w:t xml:space="preserve"> </w:t>
      </w:r>
      <w:r w:rsidRPr="001048FE">
        <w:rPr>
          <w:lang w:val="sl-SI"/>
        </w:rPr>
        <w:t>mobilnost</w:t>
      </w:r>
      <w:r w:rsidRPr="001048FE">
        <w:rPr>
          <w:spacing w:val="-16"/>
          <w:lang w:val="sl-SI"/>
        </w:rPr>
        <w:t xml:space="preserve"> </w:t>
      </w:r>
      <w:r w:rsidRPr="001048FE">
        <w:rPr>
          <w:lang w:val="sl-SI"/>
        </w:rPr>
        <w:t>osebja</w:t>
      </w:r>
      <w:r w:rsidRPr="001048FE">
        <w:rPr>
          <w:spacing w:val="-15"/>
          <w:lang w:val="sl-SI"/>
        </w:rPr>
        <w:t xml:space="preserve"> </w:t>
      </w:r>
      <w:r w:rsidRPr="001048FE">
        <w:rPr>
          <w:lang w:val="sl-SI"/>
        </w:rPr>
        <w:t>ali</w:t>
      </w:r>
      <w:r w:rsidRPr="001048FE">
        <w:rPr>
          <w:spacing w:val="-16"/>
          <w:lang w:val="sl-SI"/>
        </w:rPr>
        <w:t xml:space="preserve"> </w:t>
      </w:r>
      <w:r w:rsidRPr="001048FE">
        <w:rPr>
          <w:lang w:val="sl-SI"/>
        </w:rPr>
        <w:t>100- odstotno</w:t>
      </w:r>
      <w:r w:rsidRPr="001048FE">
        <w:rPr>
          <w:spacing w:val="-13"/>
          <w:lang w:val="sl-SI"/>
        </w:rPr>
        <w:t xml:space="preserve"> </w:t>
      </w:r>
      <w:r w:rsidRPr="001048FE">
        <w:rPr>
          <w:lang w:val="sl-SI"/>
        </w:rPr>
        <w:t>mobilnost</w:t>
      </w:r>
      <w:r w:rsidRPr="001048FE">
        <w:rPr>
          <w:spacing w:val="-14"/>
          <w:lang w:val="sl-SI"/>
        </w:rPr>
        <w:t xml:space="preserve"> </w:t>
      </w:r>
      <w:r w:rsidRPr="001048FE">
        <w:rPr>
          <w:lang w:val="sl-SI"/>
        </w:rPr>
        <w:t>študentov</w:t>
      </w:r>
      <w:r w:rsidRPr="001048FE">
        <w:rPr>
          <w:spacing w:val="-14"/>
          <w:lang w:val="sl-SI"/>
        </w:rPr>
        <w:t xml:space="preserve"> </w:t>
      </w:r>
      <w:r w:rsidRPr="001048FE">
        <w:rPr>
          <w:lang w:val="sl-SI"/>
        </w:rPr>
        <w:t>oziroma</w:t>
      </w:r>
      <w:r w:rsidRPr="001048FE">
        <w:rPr>
          <w:spacing w:val="-13"/>
          <w:lang w:val="sl-SI"/>
        </w:rPr>
        <w:t xml:space="preserve"> </w:t>
      </w:r>
      <w:r w:rsidRPr="001048FE">
        <w:rPr>
          <w:lang w:val="sl-SI"/>
        </w:rPr>
        <w:t>kakršno</w:t>
      </w:r>
      <w:r w:rsidRPr="001048FE">
        <w:rPr>
          <w:spacing w:val="-14"/>
          <w:lang w:val="sl-SI"/>
        </w:rPr>
        <w:t xml:space="preserve"> </w:t>
      </w:r>
      <w:r w:rsidRPr="001048FE">
        <w:rPr>
          <w:lang w:val="sl-SI"/>
        </w:rPr>
        <w:t>koli</w:t>
      </w:r>
      <w:r w:rsidRPr="001048FE">
        <w:rPr>
          <w:spacing w:val="-14"/>
          <w:lang w:val="sl-SI"/>
        </w:rPr>
        <w:t xml:space="preserve"> </w:t>
      </w:r>
      <w:r w:rsidRPr="001048FE">
        <w:rPr>
          <w:lang w:val="sl-SI"/>
        </w:rPr>
        <w:t>njuno</w:t>
      </w:r>
      <w:r w:rsidRPr="001048FE">
        <w:rPr>
          <w:spacing w:val="-14"/>
          <w:lang w:val="sl-SI"/>
        </w:rPr>
        <w:t xml:space="preserve"> </w:t>
      </w:r>
      <w:r w:rsidRPr="001048FE">
        <w:rPr>
          <w:lang w:val="sl-SI"/>
        </w:rPr>
        <w:t>kombinacijo,</w:t>
      </w:r>
      <w:r w:rsidRPr="001048FE">
        <w:rPr>
          <w:spacing w:val="-14"/>
          <w:lang w:val="sl-SI"/>
        </w:rPr>
        <w:t xml:space="preserve"> </w:t>
      </w:r>
      <w:r w:rsidRPr="001048FE">
        <w:rPr>
          <w:lang w:val="sl-SI"/>
        </w:rPr>
        <w:t>če</w:t>
      </w:r>
      <w:r w:rsidRPr="001048FE">
        <w:rPr>
          <w:spacing w:val="-14"/>
          <w:lang w:val="sl-SI"/>
        </w:rPr>
        <w:t xml:space="preserve"> </w:t>
      </w:r>
      <w:r w:rsidRPr="001048FE">
        <w:rPr>
          <w:lang w:val="sl-SI"/>
        </w:rPr>
        <w:t>so</w:t>
      </w:r>
      <w:r w:rsidRPr="001048FE">
        <w:rPr>
          <w:spacing w:val="-14"/>
          <w:lang w:val="sl-SI"/>
        </w:rPr>
        <w:t xml:space="preserve"> </w:t>
      </w:r>
      <w:r w:rsidRPr="001048FE">
        <w:rPr>
          <w:lang w:val="sl-SI"/>
        </w:rPr>
        <w:t>izpolnjena</w:t>
      </w:r>
      <w:r w:rsidRPr="001048FE">
        <w:rPr>
          <w:spacing w:val="-14"/>
          <w:lang w:val="sl-SI"/>
        </w:rPr>
        <w:t xml:space="preserve"> </w:t>
      </w:r>
      <w:r w:rsidRPr="001048FE">
        <w:rPr>
          <w:lang w:val="sl-SI"/>
        </w:rPr>
        <w:t>sekundarna merila, ki jih določi nacionalna agencija (glej poglavje v</w:t>
      </w:r>
      <w:r w:rsidRPr="001048FE">
        <w:rPr>
          <w:spacing w:val="-25"/>
          <w:lang w:val="sl-SI"/>
        </w:rPr>
        <w:t xml:space="preserve"> </w:t>
      </w:r>
      <w:r w:rsidRPr="001048FE">
        <w:rPr>
          <w:lang w:val="sl-SI"/>
        </w:rPr>
        <w:t>nadaljevanju).</w:t>
      </w:r>
    </w:p>
    <w:p w14:paraId="7D398882" w14:textId="77777777" w:rsidR="00E03711" w:rsidRPr="001048FE" w:rsidRDefault="00E03711" w:rsidP="00E23D2D">
      <w:pPr>
        <w:pStyle w:val="Guide-Heading6"/>
        <w:rPr>
          <w:lang w:val="sl-SI"/>
        </w:rPr>
      </w:pPr>
      <w:bookmarkStart w:id="159" w:name="Critères_secondaires_fixés_par_les_Agenc"/>
      <w:bookmarkEnd w:id="159"/>
      <w:r w:rsidRPr="001048FE">
        <w:rPr>
          <w:lang w:val="sl-SI"/>
        </w:rPr>
        <w:t>Sekundarna merila za mobilnost med državami Programa in partnerskimi državami, ki jih določijo nacionalne agencije</w:t>
      </w:r>
    </w:p>
    <w:p w14:paraId="7D398883" w14:textId="77777777" w:rsidR="00E03711" w:rsidRPr="001048FE" w:rsidRDefault="00E03711" w:rsidP="00B736D0">
      <w:pPr>
        <w:pStyle w:val="GUIDE-NORMAL"/>
        <w:rPr>
          <w:lang w:val="sl-SI"/>
        </w:rPr>
      </w:pPr>
      <w:r w:rsidRPr="001048FE">
        <w:rPr>
          <w:lang w:val="sl-SI"/>
        </w:rPr>
        <w:t>Kadar</w:t>
      </w:r>
      <w:r w:rsidRPr="001048FE">
        <w:rPr>
          <w:spacing w:val="-15"/>
          <w:lang w:val="sl-SI"/>
        </w:rPr>
        <w:t xml:space="preserve"> </w:t>
      </w:r>
      <w:r w:rsidRPr="001048FE">
        <w:rPr>
          <w:lang w:val="sl-SI"/>
        </w:rPr>
        <w:t>je</w:t>
      </w:r>
      <w:r w:rsidRPr="001048FE">
        <w:rPr>
          <w:spacing w:val="-15"/>
          <w:lang w:val="sl-SI"/>
        </w:rPr>
        <w:t xml:space="preserve"> </w:t>
      </w:r>
      <w:r w:rsidRPr="001048FE">
        <w:rPr>
          <w:lang w:val="sl-SI"/>
        </w:rPr>
        <w:t>proračunska</w:t>
      </w:r>
      <w:r w:rsidRPr="001048FE">
        <w:rPr>
          <w:spacing w:val="-15"/>
          <w:lang w:val="sl-SI"/>
        </w:rPr>
        <w:t xml:space="preserve"> </w:t>
      </w:r>
      <w:r w:rsidRPr="001048FE">
        <w:rPr>
          <w:lang w:val="sl-SI"/>
        </w:rPr>
        <w:t>ovojnica</w:t>
      </w:r>
      <w:r w:rsidRPr="001048FE">
        <w:rPr>
          <w:spacing w:val="-14"/>
          <w:lang w:val="sl-SI"/>
        </w:rPr>
        <w:t xml:space="preserve"> </w:t>
      </w:r>
      <w:r w:rsidRPr="001048FE">
        <w:rPr>
          <w:lang w:val="sl-SI"/>
        </w:rPr>
        <w:t>za</w:t>
      </w:r>
      <w:r w:rsidRPr="001048FE">
        <w:rPr>
          <w:spacing w:val="-15"/>
          <w:lang w:val="sl-SI"/>
        </w:rPr>
        <w:t xml:space="preserve"> </w:t>
      </w:r>
      <w:r w:rsidRPr="001048FE">
        <w:rPr>
          <w:lang w:val="sl-SI"/>
        </w:rPr>
        <w:t>določeno</w:t>
      </w:r>
      <w:r w:rsidRPr="001048FE">
        <w:rPr>
          <w:spacing w:val="-15"/>
          <w:lang w:val="sl-SI"/>
        </w:rPr>
        <w:t xml:space="preserve"> </w:t>
      </w:r>
      <w:r w:rsidRPr="001048FE">
        <w:rPr>
          <w:lang w:val="sl-SI"/>
        </w:rPr>
        <w:t>partnersko</w:t>
      </w:r>
      <w:r w:rsidRPr="001048FE">
        <w:rPr>
          <w:spacing w:val="-15"/>
          <w:lang w:val="sl-SI"/>
        </w:rPr>
        <w:t xml:space="preserve"> </w:t>
      </w:r>
      <w:r w:rsidRPr="001048FE">
        <w:rPr>
          <w:lang w:val="sl-SI"/>
        </w:rPr>
        <w:t>regijo</w:t>
      </w:r>
      <w:r w:rsidRPr="001048FE">
        <w:rPr>
          <w:spacing w:val="-15"/>
          <w:lang w:val="sl-SI"/>
        </w:rPr>
        <w:t xml:space="preserve"> </w:t>
      </w:r>
      <w:r w:rsidRPr="001048FE">
        <w:rPr>
          <w:lang w:val="sl-SI"/>
        </w:rPr>
        <w:t>ali</w:t>
      </w:r>
      <w:r w:rsidRPr="001048FE">
        <w:rPr>
          <w:spacing w:val="-15"/>
          <w:lang w:val="sl-SI"/>
        </w:rPr>
        <w:t xml:space="preserve"> </w:t>
      </w:r>
      <w:r w:rsidRPr="001048FE">
        <w:rPr>
          <w:lang w:val="sl-SI"/>
        </w:rPr>
        <w:t>državo</w:t>
      </w:r>
      <w:r w:rsidRPr="001048FE">
        <w:rPr>
          <w:spacing w:val="-15"/>
          <w:lang w:val="sl-SI"/>
        </w:rPr>
        <w:t xml:space="preserve"> </w:t>
      </w:r>
      <w:r w:rsidRPr="001048FE">
        <w:rPr>
          <w:lang w:val="sl-SI"/>
        </w:rPr>
        <w:t>omejena,</w:t>
      </w:r>
      <w:r w:rsidRPr="001048FE">
        <w:rPr>
          <w:spacing w:val="-14"/>
          <w:lang w:val="sl-SI"/>
        </w:rPr>
        <w:t xml:space="preserve"> </w:t>
      </w:r>
      <w:r w:rsidRPr="001048FE">
        <w:rPr>
          <w:lang w:val="sl-SI"/>
        </w:rPr>
        <w:t>lahko</w:t>
      </w:r>
      <w:r w:rsidRPr="001048FE">
        <w:rPr>
          <w:spacing w:val="-15"/>
          <w:lang w:val="sl-SI"/>
        </w:rPr>
        <w:t xml:space="preserve"> </w:t>
      </w:r>
      <w:r w:rsidRPr="001048FE">
        <w:rPr>
          <w:lang w:val="sl-SI"/>
        </w:rPr>
        <w:t>nacionalna agencija</w:t>
      </w:r>
      <w:r w:rsidRPr="001048FE">
        <w:rPr>
          <w:spacing w:val="-18"/>
          <w:lang w:val="sl-SI"/>
        </w:rPr>
        <w:t xml:space="preserve"> </w:t>
      </w:r>
      <w:r w:rsidRPr="001048FE">
        <w:rPr>
          <w:lang w:val="sl-SI"/>
        </w:rPr>
        <w:t>po</w:t>
      </w:r>
      <w:r w:rsidRPr="001048FE">
        <w:rPr>
          <w:spacing w:val="-18"/>
          <w:lang w:val="sl-SI"/>
        </w:rPr>
        <w:t xml:space="preserve"> </w:t>
      </w:r>
      <w:r w:rsidRPr="001048FE">
        <w:rPr>
          <w:lang w:val="sl-SI"/>
        </w:rPr>
        <w:t>lastni</w:t>
      </w:r>
      <w:r w:rsidRPr="001048FE">
        <w:rPr>
          <w:spacing w:val="-18"/>
          <w:lang w:val="sl-SI"/>
        </w:rPr>
        <w:t xml:space="preserve"> </w:t>
      </w:r>
      <w:r w:rsidRPr="001048FE">
        <w:rPr>
          <w:lang w:val="sl-SI"/>
        </w:rPr>
        <w:t>izbiri</w:t>
      </w:r>
      <w:r w:rsidRPr="001048FE">
        <w:rPr>
          <w:spacing w:val="-18"/>
          <w:lang w:val="sl-SI"/>
        </w:rPr>
        <w:t xml:space="preserve"> </w:t>
      </w:r>
      <w:r w:rsidRPr="001048FE">
        <w:rPr>
          <w:lang w:val="sl-SI"/>
        </w:rPr>
        <w:t>doda</w:t>
      </w:r>
      <w:r w:rsidRPr="001048FE">
        <w:rPr>
          <w:spacing w:val="-18"/>
          <w:lang w:val="sl-SI"/>
        </w:rPr>
        <w:t xml:space="preserve"> </w:t>
      </w:r>
      <w:r w:rsidRPr="001048FE">
        <w:rPr>
          <w:lang w:val="sl-SI"/>
        </w:rPr>
        <w:t>eno</w:t>
      </w:r>
      <w:r w:rsidRPr="001048FE">
        <w:rPr>
          <w:spacing w:val="-18"/>
          <w:lang w:val="sl-SI"/>
        </w:rPr>
        <w:t xml:space="preserve"> </w:t>
      </w:r>
      <w:r w:rsidRPr="001048FE">
        <w:rPr>
          <w:lang w:val="sl-SI"/>
        </w:rPr>
        <w:t>ali</w:t>
      </w:r>
      <w:r w:rsidRPr="001048FE">
        <w:rPr>
          <w:spacing w:val="-18"/>
          <w:lang w:val="sl-SI"/>
        </w:rPr>
        <w:t xml:space="preserve"> </w:t>
      </w:r>
      <w:r w:rsidRPr="001048FE">
        <w:rPr>
          <w:lang w:val="sl-SI"/>
        </w:rPr>
        <w:t>več</w:t>
      </w:r>
      <w:r w:rsidRPr="001048FE">
        <w:rPr>
          <w:spacing w:val="-18"/>
          <w:lang w:val="sl-SI"/>
        </w:rPr>
        <w:t xml:space="preserve"> </w:t>
      </w:r>
      <w:r w:rsidRPr="001048FE">
        <w:rPr>
          <w:lang w:val="sl-SI"/>
        </w:rPr>
        <w:t>sekundarnih</w:t>
      </w:r>
      <w:r w:rsidRPr="001048FE">
        <w:rPr>
          <w:spacing w:val="-18"/>
          <w:lang w:val="sl-SI"/>
        </w:rPr>
        <w:t xml:space="preserve"> </w:t>
      </w:r>
      <w:r w:rsidRPr="001048FE">
        <w:rPr>
          <w:lang w:val="sl-SI"/>
        </w:rPr>
        <w:t>meril</w:t>
      </w:r>
      <w:r w:rsidRPr="001048FE">
        <w:rPr>
          <w:spacing w:val="-18"/>
          <w:lang w:val="sl-SI"/>
        </w:rPr>
        <w:t xml:space="preserve"> </w:t>
      </w:r>
      <w:r w:rsidRPr="001048FE">
        <w:rPr>
          <w:lang w:val="sl-SI"/>
        </w:rPr>
        <w:t>s</w:t>
      </w:r>
      <w:r w:rsidRPr="001048FE">
        <w:rPr>
          <w:spacing w:val="-18"/>
          <w:lang w:val="sl-SI"/>
        </w:rPr>
        <w:t xml:space="preserve"> </w:t>
      </w:r>
      <w:r w:rsidRPr="001048FE">
        <w:rPr>
          <w:lang w:val="sl-SI"/>
        </w:rPr>
        <w:t>spodnjega</w:t>
      </w:r>
      <w:r w:rsidRPr="001048FE">
        <w:rPr>
          <w:spacing w:val="-18"/>
          <w:lang w:val="sl-SI"/>
        </w:rPr>
        <w:t xml:space="preserve"> </w:t>
      </w:r>
      <w:r w:rsidRPr="001048FE">
        <w:rPr>
          <w:lang w:val="sl-SI"/>
        </w:rPr>
        <w:t>seznama.</w:t>
      </w:r>
      <w:r w:rsidRPr="001048FE">
        <w:rPr>
          <w:spacing w:val="-18"/>
          <w:lang w:val="sl-SI"/>
        </w:rPr>
        <w:t xml:space="preserve"> </w:t>
      </w:r>
      <w:r w:rsidRPr="001048FE">
        <w:rPr>
          <w:lang w:val="sl-SI"/>
        </w:rPr>
        <w:t>Če</w:t>
      </w:r>
      <w:r w:rsidRPr="001048FE">
        <w:rPr>
          <w:spacing w:val="-18"/>
          <w:lang w:val="sl-SI"/>
        </w:rPr>
        <w:t xml:space="preserve"> </w:t>
      </w:r>
      <w:r w:rsidRPr="001048FE">
        <w:rPr>
          <w:lang w:val="sl-SI"/>
        </w:rPr>
        <w:t>se</w:t>
      </w:r>
      <w:r w:rsidRPr="001048FE">
        <w:rPr>
          <w:spacing w:val="-18"/>
          <w:lang w:val="sl-SI"/>
        </w:rPr>
        <w:t xml:space="preserve"> </w:t>
      </w:r>
      <w:r w:rsidRPr="001048FE">
        <w:rPr>
          <w:lang w:val="sl-SI"/>
        </w:rPr>
        <w:t>nacionalna agencija odloči, da uporabi sekundarna merila, to odločitev sporoči pred iztekom roka, zlasti na spletišču nacionalne</w:t>
      </w:r>
      <w:r w:rsidRPr="001048FE">
        <w:rPr>
          <w:spacing w:val="-6"/>
          <w:lang w:val="sl-SI"/>
        </w:rPr>
        <w:t xml:space="preserve"> </w:t>
      </w:r>
      <w:r w:rsidRPr="001048FE">
        <w:rPr>
          <w:lang w:val="sl-SI"/>
        </w:rPr>
        <w:t>agencije.</w:t>
      </w:r>
    </w:p>
    <w:p w14:paraId="7D398884" w14:textId="77777777" w:rsidR="00E03711" w:rsidRPr="001048FE" w:rsidRDefault="00E03711" w:rsidP="005115F2">
      <w:pPr>
        <w:pStyle w:val="Guide-NormalBulletpoints"/>
        <w:numPr>
          <w:ilvl w:val="0"/>
          <w:numId w:val="201"/>
        </w:numPr>
        <w:rPr>
          <w:lang w:val="sl-SI"/>
        </w:rPr>
      </w:pPr>
      <w:r w:rsidRPr="001048FE">
        <w:rPr>
          <w:lang w:val="sl-SI"/>
        </w:rPr>
        <w:t>Stopnja</w:t>
      </w:r>
      <w:r w:rsidRPr="001048FE">
        <w:rPr>
          <w:spacing w:val="-11"/>
          <w:lang w:val="sl-SI"/>
        </w:rPr>
        <w:t xml:space="preserve"> </w:t>
      </w:r>
      <w:r w:rsidRPr="001048FE">
        <w:rPr>
          <w:lang w:val="sl-SI"/>
        </w:rPr>
        <w:t>izobrazbe</w:t>
      </w:r>
      <w:r w:rsidRPr="001048FE">
        <w:rPr>
          <w:spacing w:val="-11"/>
          <w:lang w:val="sl-SI"/>
        </w:rPr>
        <w:t xml:space="preserve"> </w:t>
      </w:r>
      <w:r w:rsidRPr="001048FE">
        <w:rPr>
          <w:lang w:val="sl-SI"/>
        </w:rPr>
        <w:t>(npr.</w:t>
      </w:r>
      <w:r w:rsidRPr="001048FE">
        <w:rPr>
          <w:spacing w:val="-11"/>
          <w:lang w:val="sl-SI"/>
        </w:rPr>
        <w:t xml:space="preserve"> </w:t>
      </w:r>
      <w:r w:rsidRPr="001048FE">
        <w:rPr>
          <w:lang w:val="sl-SI"/>
        </w:rPr>
        <w:t>omejitev</w:t>
      </w:r>
      <w:r w:rsidRPr="001048FE">
        <w:rPr>
          <w:spacing w:val="-10"/>
          <w:lang w:val="sl-SI"/>
        </w:rPr>
        <w:t xml:space="preserve"> </w:t>
      </w:r>
      <w:r w:rsidRPr="001048FE">
        <w:rPr>
          <w:lang w:val="sl-SI"/>
        </w:rPr>
        <w:t>vlog</w:t>
      </w:r>
      <w:r w:rsidRPr="001048FE">
        <w:rPr>
          <w:spacing w:val="-11"/>
          <w:lang w:val="sl-SI"/>
        </w:rPr>
        <w:t xml:space="preserve"> </w:t>
      </w:r>
      <w:r w:rsidRPr="001048FE">
        <w:rPr>
          <w:lang w:val="sl-SI"/>
        </w:rPr>
        <w:t>na</w:t>
      </w:r>
      <w:r w:rsidRPr="001048FE">
        <w:rPr>
          <w:spacing w:val="-11"/>
          <w:lang w:val="sl-SI"/>
        </w:rPr>
        <w:t xml:space="preserve"> </w:t>
      </w:r>
      <w:r w:rsidRPr="001048FE">
        <w:rPr>
          <w:lang w:val="sl-SI"/>
        </w:rPr>
        <w:t>samo</w:t>
      </w:r>
      <w:r w:rsidRPr="001048FE">
        <w:rPr>
          <w:spacing w:val="-11"/>
          <w:lang w:val="sl-SI"/>
        </w:rPr>
        <w:t xml:space="preserve"> </w:t>
      </w:r>
      <w:r w:rsidRPr="001048FE">
        <w:rPr>
          <w:lang w:val="sl-SI"/>
        </w:rPr>
        <w:t>eno</w:t>
      </w:r>
      <w:r w:rsidRPr="001048FE">
        <w:rPr>
          <w:spacing w:val="-11"/>
          <w:lang w:val="sl-SI"/>
        </w:rPr>
        <w:t xml:space="preserve"> </w:t>
      </w:r>
      <w:r w:rsidRPr="001048FE">
        <w:rPr>
          <w:lang w:val="sl-SI"/>
        </w:rPr>
        <w:t>ali</w:t>
      </w:r>
      <w:r w:rsidRPr="001048FE">
        <w:rPr>
          <w:spacing w:val="-11"/>
          <w:lang w:val="sl-SI"/>
        </w:rPr>
        <w:t xml:space="preserve"> </w:t>
      </w:r>
      <w:r w:rsidRPr="001048FE">
        <w:rPr>
          <w:lang w:val="sl-SI"/>
        </w:rPr>
        <w:t>dve</w:t>
      </w:r>
      <w:r w:rsidRPr="001048FE">
        <w:rPr>
          <w:spacing w:val="-11"/>
          <w:lang w:val="sl-SI"/>
        </w:rPr>
        <w:t xml:space="preserve"> </w:t>
      </w:r>
      <w:r w:rsidRPr="001048FE">
        <w:rPr>
          <w:lang w:val="sl-SI"/>
        </w:rPr>
        <w:t>stopnji</w:t>
      </w:r>
      <w:r w:rsidRPr="001048FE">
        <w:rPr>
          <w:spacing w:val="-11"/>
          <w:lang w:val="sl-SI"/>
        </w:rPr>
        <w:t xml:space="preserve"> </w:t>
      </w:r>
      <w:r w:rsidRPr="001048FE">
        <w:rPr>
          <w:lang w:val="sl-SI"/>
        </w:rPr>
        <w:t>–</w:t>
      </w:r>
      <w:r w:rsidRPr="001048FE">
        <w:rPr>
          <w:spacing w:val="-11"/>
          <w:lang w:val="sl-SI"/>
        </w:rPr>
        <w:t xml:space="preserve"> </w:t>
      </w:r>
      <w:r w:rsidRPr="001048FE">
        <w:rPr>
          <w:lang w:val="sl-SI"/>
        </w:rPr>
        <w:t>dodiplomski,</w:t>
      </w:r>
      <w:r w:rsidRPr="001048FE">
        <w:rPr>
          <w:spacing w:val="-11"/>
          <w:lang w:val="sl-SI"/>
        </w:rPr>
        <w:t xml:space="preserve"> </w:t>
      </w:r>
      <w:r w:rsidRPr="001048FE">
        <w:rPr>
          <w:lang w:val="sl-SI"/>
        </w:rPr>
        <w:t>magistrski</w:t>
      </w:r>
      <w:r w:rsidRPr="001048FE">
        <w:rPr>
          <w:spacing w:val="-11"/>
          <w:lang w:val="sl-SI"/>
        </w:rPr>
        <w:t xml:space="preserve"> </w:t>
      </w:r>
      <w:r w:rsidRPr="001048FE">
        <w:rPr>
          <w:lang w:val="sl-SI"/>
        </w:rPr>
        <w:t>ali doktorski</w:t>
      </w:r>
      <w:r w:rsidRPr="001048FE">
        <w:rPr>
          <w:spacing w:val="-2"/>
          <w:lang w:val="sl-SI"/>
        </w:rPr>
        <w:t xml:space="preserve"> </w:t>
      </w:r>
      <w:r w:rsidRPr="001048FE">
        <w:rPr>
          <w:lang w:val="sl-SI"/>
        </w:rPr>
        <w:t>študij);</w:t>
      </w:r>
    </w:p>
    <w:p w14:paraId="7D398885" w14:textId="77777777" w:rsidR="00E03711" w:rsidRPr="001048FE" w:rsidRDefault="00E03711" w:rsidP="005115F2">
      <w:pPr>
        <w:pStyle w:val="Guide-NormalBulletpoints"/>
        <w:numPr>
          <w:ilvl w:val="0"/>
          <w:numId w:val="201"/>
        </w:numPr>
        <w:rPr>
          <w:lang w:val="sl-SI"/>
        </w:rPr>
      </w:pPr>
      <w:r w:rsidRPr="001048FE">
        <w:rPr>
          <w:lang w:val="sl-SI"/>
        </w:rPr>
        <w:t>dajanje prednosti samo mobilnosti osebja ali samo mobilnosti študentov;</w:t>
      </w:r>
    </w:p>
    <w:p w14:paraId="7D398886" w14:textId="77777777" w:rsidR="00E03711" w:rsidRPr="001048FE" w:rsidRDefault="00E03711" w:rsidP="005115F2">
      <w:pPr>
        <w:pStyle w:val="Guide-NormalBulletpoints"/>
        <w:numPr>
          <w:ilvl w:val="0"/>
          <w:numId w:val="201"/>
        </w:numPr>
        <w:rPr>
          <w:lang w:val="sl-SI"/>
        </w:rPr>
      </w:pPr>
      <w:r w:rsidRPr="001048FE">
        <w:rPr>
          <w:lang w:val="sl-SI"/>
        </w:rPr>
        <w:t>omejitev trajanja obdobja mobilnosti (npr. omejitev mobilnosti študentov na 6 mesecev ali omejitev mobilnosti osebja na 10 dni).</w:t>
      </w:r>
    </w:p>
    <w:p w14:paraId="7D398887" w14:textId="77777777" w:rsidR="00E03711" w:rsidRPr="001048FE" w:rsidRDefault="00E03711" w:rsidP="00B736D0">
      <w:pPr>
        <w:pStyle w:val="Guide-Heading6"/>
        <w:rPr>
          <w:sz w:val="23"/>
          <w:lang w:val="sl-SI"/>
        </w:rPr>
      </w:pPr>
      <w:r w:rsidRPr="001048FE">
        <w:rPr>
          <w:lang w:val="sl-SI"/>
        </w:rPr>
        <w:t>Merila za dodelitev za projekt mobilnosti med državami Programa</w:t>
      </w:r>
      <w:r w:rsidRPr="001048FE">
        <w:rPr>
          <w:rStyle w:val="FootnoteReference"/>
          <w:lang w:val="sl-SI"/>
        </w:rPr>
        <w:footnoteReference w:id="34"/>
      </w:r>
    </w:p>
    <w:p w14:paraId="7D398888" w14:textId="77777777" w:rsidR="00E03711" w:rsidRPr="001048FE" w:rsidRDefault="00E03711" w:rsidP="00B736D0">
      <w:pPr>
        <w:pStyle w:val="GUIDE-NORMAL"/>
        <w:rPr>
          <w:lang w:val="sl-SI"/>
        </w:rPr>
      </w:pPr>
      <w:r w:rsidRPr="001048FE">
        <w:rPr>
          <w:lang w:val="sl-SI"/>
        </w:rPr>
        <w:t>Ocena kakovosti se ne izvaja (kakovost je bila ocenjena v fazi oddaje vloge za ECHE ali pri izbiri nacionalnega konzorcija za mobilnost), zato ni meril za dodelitev.</w:t>
      </w:r>
    </w:p>
    <w:p w14:paraId="7D398889" w14:textId="77777777" w:rsidR="00E03711" w:rsidRPr="001048FE" w:rsidRDefault="00E03711" w:rsidP="00B736D0">
      <w:pPr>
        <w:pStyle w:val="GUIDE-NORMAL"/>
        <w:rPr>
          <w:lang w:val="sl-SI"/>
        </w:rPr>
      </w:pPr>
      <w:r w:rsidRPr="001048FE">
        <w:rPr>
          <w:lang w:val="sl-SI"/>
        </w:rPr>
        <w:t>Kakršna</w:t>
      </w:r>
      <w:r w:rsidRPr="001048FE">
        <w:rPr>
          <w:spacing w:val="-14"/>
          <w:lang w:val="sl-SI"/>
        </w:rPr>
        <w:t xml:space="preserve"> </w:t>
      </w:r>
      <w:r w:rsidRPr="001048FE">
        <w:rPr>
          <w:lang w:val="sl-SI"/>
        </w:rPr>
        <w:t>koli</w:t>
      </w:r>
      <w:r w:rsidRPr="001048FE">
        <w:rPr>
          <w:spacing w:val="-14"/>
          <w:lang w:val="sl-SI"/>
        </w:rPr>
        <w:t xml:space="preserve"> </w:t>
      </w:r>
      <w:r w:rsidRPr="001048FE">
        <w:rPr>
          <w:lang w:val="sl-SI"/>
        </w:rPr>
        <w:t>vloga</w:t>
      </w:r>
      <w:r w:rsidRPr="001048FE">
        <w:rPr>
          <w:spacing w:val="-14"/>
          <w:lang w:val="sl-SI"/>
        </w:rPr>
        <w:t xml:space="preserve"> </w:t>
      </w:r>
      <w:r w:rsidRPr="001048FE">
        <w:rPr>
          <w:lang w:val="sl-SI"/>
        </w:rPr>
        <w:t>za</w:t>
      </w:r>
      <w:r w:rsidRPr="001048FE">
        <w:rPr>
          <w:spacing w:val="-14"/>
          <w:lang w:val="sl-SI"/>
        </w:rPr>
        <w:t xml:space="preserve"> </w:t>
      </w:r>
      <w:r w:rsidRPr="001048FE">
        <w:rPr>
          <w:lang w:val="sl-SI"/>
        </w:rPr>
        <w:t>nepovratna</w:t>
      </w:r>
      <w:r w:rsidRPr="001048FE">
        <w:rPr>
          <w:spacing w:val="-14"/>
          <w:lang w:val="sl-SI"/>
        </w:rPr>
        <w:t xml:space="preserve"> </w:t>
      </w:r>
      <w:r w:rsidRPr="001048FE">
        <w:rPr>
          <w:lang w:val="sl-SI"/>
        </w:rPr>
        <w:t>sredstva</w:t>
      </w:r>
      <w:r w:rsidRPr="001048FE">
        <w:rPr>
          <w:spacing w:val="-14"/>
          <w:lang w:val="sl-SI"/>
        </w:rPr>
        <w:t xml:space="preserve"> </w:t>
      </w:r>
      <w:r w:rsidRPr="001048FE">
        <w:rPr>
          <w:lang w:val="sl-SI"/>
        </w:rPr>
        <w:t>(po</w:t>
      </w:r>
      <w:r w:rsidRPr="001048FE">
        <w:rPr>
          <w:spacing w:val="-14"/>
          <w:lang w:val="sl-SI"/>
        </w:rPr>
        <w:t xml:space="preserve"> </w:t>
      </w:r>
      <w:r w:rsidRPr="001048FE">
        <w:rPr>
          <w:lang w:val="sl-SI"/>
        </w:rPr>
        <w:t>preverjanju</w:t>
      </w:r>
      <w:r w:rsidRPr="001048FE">
        <w:rPr>
          <w:spacing w:val="-14"/>
          <w:lang w:val="sl-SI"/>
        </w:rPr>
        <w:t xml:space="preserve"> </w:t>
      </w:r>
      <w:r w:rsidRPr="001048FE">
        <w:rPr>
          <w:lang w:val="sl-SI"/>
        </w:rPr>
        <w:t>upravičenosti)</w:t>
      </w:r>
      <w:r w:rsidRPr="001048FE">
        <w:rPr>
          <w:spacing w:val="-14"/>
          <w:lang w:val="sl-SI"/>
        </w:rPr>
        <w:t xml:space="preserve"> </w:t>
      </w:r>
      <w:r w:rsidRPr="001048FE">
        <w:rPr>
          <w:lang w:val="sl-SI"/>
        </w:rPr>
        <w:t>bo</w:t>
      </w:r>
      <w:r w:rsidRPr="001048FE">
        <w:rPr>
          <w:spacing w:val="-14"/>
          <w:lang w:val="sl-SI"/>
        </w:rPr>
        <w:t xml:space="preserve"> </w:t>
      </w:r>
      <w:r w:rsidRPr="001048FE">
        <w:rPr>
          <w:lang w:val="sl-SI"/>
        </w:rPr>
        <w:t>prejela</w:t>
      </w:r>
      <w:r w:rsidRPr="001048FE">
        <w:rPr>
          <w:spacing w:val="-14"/>
          <w:lang w:val="sl-SI"/>
        </w:rPr>
        <w:t xml:space="preserve"> </w:t>
      </w:r>
      <w:r w:rsidRPr="001048FE">
        <w:rPr>
          <w:lang w:val="sl-SI"/>
        </w:rPr>
        <w:t>sredstva. Najvišji</w:t>
      </w:r>
      <w:r w:rsidRPr="001048FE">
        <w:rPr>
          <w:spacing w:val="-8"/>
          <w:lang w:val="sl-SI"/>
        </w:rPr>
        <w:t xml:space="preserve"> </w:t>
      </w:r>
      <w:r w:rsidRPr="001048FE">
        <w:rPr>
          <w:lang w:val="sl-SI"/>
        </w:rPr>
        <w:t>znesek</w:t>
      </w:r>
      <w:r w:rsidRPr="001048FE">
        <w:rPr>
          <w:spacing w:val="-8"/>
          <w:lang w:val="sl-SI"/>
        </w:rPr>
        <w:t xml:space="preserve"> </w:t>
      </w:r>
      <w:r w:rsidRPr="001048FE">
        <w:rPr>
          <w:lang w:val="sl-SI"/>
        </w:rPr>
        <w:t>dodeljenih</w:t>
      </w:r>
      <w:r w:rsidRPr="001048FE">
        <w:rPr>
          <w:spacing w:val="-8"/>
          <w:lang w:val="sl-SI"/>
        </w:rPr>
        <w:t xml:space="preserve"> </w:t>
      </w:r>
      <w:r w:rsidRPr="001048FE">
        <w:rPr>
          <w:lang w:val="sl-SI"/>
        </w:rPr>
        <w:t>nepovratnih</w:t>
      </w:r>
      <w:r w:rsidRPr="001048FE">
        <w:rPr>
          <w:spacing w:val="-8"/>
          <w:lang w:val="sl-SI"/>
        </w:rPr>
        <w:t xml:space="preserve"> </w:t>
      </w:r>
      <w:r w:rsidRPr="001048FE">
        <w:rPr>
          <w:lang w:val="sl-SI"/>
        </w:rPr>
        <w:t>sredstev</w:t>
      </w:r>
      <w:r w:rsidRPr="001048FE">
        <w:rPr>
          <w:spacing w:val="-8"/>
          <w:lang w:val="sl-SI"/>
        </w:rPr>
        <w:t xml:space="preserve"> </w:t>
      </w:r>
      <w:r w:rsidRPr="001048FE">
        <w:rPr>
          <w:lang w:val="sl-SI"/>
        </w:rPr>
        <w:t>bo</w:t>
      </w:r>
      <w:r w:rsidRPr="001048FE">
        <w:rPr>
          <w:spacing w:val="-8"/>
          <w:lang w:val="sl-SI"/>
        </w:rPr>
        <w:t xml:space="preserve"> </w:t>
      </w:r>
      <w:r w:rsidRPr="001048FE">
        <w:rPr>
          <w:lang w:val="sl-SI"/>
        </w:rPr>
        <w:t>odvisen</w:t>
      </w:r>
      <w:r w:rsidRPr="001048FE">
        <w:rPr>
          <w:spacing w:val="-7"/>
          <w:lang w:val="sl-SI"/>
        </w:rPr>
        <w:t xml:space="preserve"> </w:t>
      </w:r>
      <w:r w:rsidRPr="001048FE">
        <w:rPr>
          <w:lang w:val="sl-SI"/>
        </w:rPr>
        <w:t>od</w:t>
      </w:r>
      <w:r w:rsidRPr="001048FE">
        <w:rPr>
          <w:spacing w:val="-7"/>
          <w:lang w:val="sl-SI"/>
        </w:rPr>
        <w:t xml:space="preserve"> </w:t>
      </w:r>
      <w:r w:rsidRPr="001048FE">
        <w:rPr>
          <w:lang w:val="sl-SI"/>
        </w:rPr>
        <w:t>številnih</w:t>
      </w:r>
      <w:r w:rsidRPr="001048FE">
        <w:rPr>
          <w:spacing w:val="-8"/>
          <w:lang w:val="sl-SI"/>
        </w:rPr>
        <w:t xml:space="preserve"> </w:t>
      </w:r>
      <w:r w:rsidRPr="001048FE">
        <w:rPr>
          <w:lang w:val="sl-SI"/>
        </w:rPr>
        <w:t>elementov:</w:t>
      </w:r>
    </w:p>
    <w:p w14:paraId="7D39888A" w14:textId="77777777" w:rsidR="00E03711" w:rsidRPr="001048FE" w:rsidRDefault="00E03711" w:rsidP="005115F2">
      <w:pPr>
        <w:pStyle w:val="Guide-NormalBulletpoints"/>
        <w:numPr>
          <w:ilvl w:val="0"/>
          <w:numId w:val="202"/>
        </w:numPr>
        <w:rPr>
          <w:lang w:val="sl-SI"/>
        </w:rPr>
      </w:pPr>
      <w:r w:rsidRPr="001048FE">
        <w:rPr>
          <w:lang w:val="sl-SI"/>
        </w:rPr>
        <w:t>števila obdobij mobilnosti in mesecev/dni, za katere se vlaga prijava;</w:t>
      </w:r>
    </w:p>
    <w:p w14:paraId="7D39888B" w14:textId="77777777" w:rsidR="00E03711" w:rsidRPr="001048FE" w:rsidRDefault="00E03711" w:rsidP="005115F2">
      <w:pPr>
        <w:pStyle w:val="Guide-NormalBulletpoints"/>
        <w:numPr>
          <w:ilvl w:val="0"/>
          <w:numId w:val="202"/>
        </w:numPr>
        <w:rPr>
          <w:lang w:val="sl-SI"/>
        </w:rPr>
      </w:pPr>
      <w:r w:rsidRPr="001048FE">
        <w:rPr>
          <w:lang w:val="sl-SI"/>
        </w:rPr>
        <w:t>pretekla uspešnost prijavitelja v smislu števila obdobij mobilnosti, dobre kakovosti izvajanih aktivnosti za gospodarno finančno upravljanje, če je prijavitelj prejel podobna nepovratna sredstva v preteklih letih;</w:t>
      </w:r>
    </w:p>
    <w:p w14:paraId="7D39888C" w14:textId="77777777" w:rsidR="00E03711" w:rsidRPr="001048FE" w:rsidRDefault="00E03711" w:rsidP="005115F2">
      <w:pPr>
        <w:pStyle w:val="Guide-NormalBulletpoints"/>
        <w:numPr>
          <w:ilvl w:val="0"/>
          <w:numId w:val="202"/>
        </w:numPr>
        <w:rPr>
          <w:lang w:val="sl-SI"/>
        </w:rPr>
      </w:pPr>
      <w:r w:rsidRPr="001048FE">
        <w:rPr>
          <w:lang w:val="sl-SI"/>
        </w:rPr>
        <w:t>skupni nacionalni proračun, dodeljen za ukrep mobilnosti.</w:t>
      </w:r>
    </w:p>
    <w:p w14:paraId="7D39888D" w14:textId="77777777" w:rsidR="00E03711" w:rsidRPr="001048FE" w:rsidRDefault="00E03711" w:rsidP="00B736D0">
      <w:pPr>
        <w:pStyle w:val="Guide-Heading6"/>
        <w:rPr>
          <w:lang w:val="sl-SI"/>
        </w:rPr>
      </w:pPr>
      <w:r w:rsidRPr="001048FE">
        <w:rPr>
          <w:lang w:val="sl-SI"/>
        </w:rPr>
        <w:t xml:space="preserve">Merila za dodelitev za projekt mobilnosti med državami Programa </w:t>
      </w:r>
      <w:r w:rsidRPr="001048FE">
        <w:rPr>
          <w:spacing w:val="-54"/>
          <w:lang w:val="sl-SI"/>
        </w:rPr>
        <w:t xml:space="preserve">in </w:t>
      </w:r>
      <w:r w:rsidRPr="001048FE">
        <w:rPr>
          <w:lang w:val="sl-SI"/>
        </w:rPr>
        <w:t>partnerskimi državami</w:t>
      </w:r>
    </w:p>
    <w:p w14:paraId="7D39888E" w14:textId="77777777" w:rsidR="00E03711" w:rsidRPr="001048FE" w:rsidRDefault="00E03711" w:rsidP="00B736D0">
      <w:pPr>
        <w:pStyle w:val="GUIDE-NORMAL"/>
        <w:rPr>
          <w:rStyle w:val="Guide-Condensed-01"/>
          <w:spacing w:val="0"/>
          <w:lang w:val="sl-SI"/>
        </w:rPr>
      </w:pPr>
      <w:r w:rsidRPr="001048FE">
        <w:rPr>
          <w:lang w:val="sl-SI"/>
        </w:rPr>
        <w:t>Upravičene</w:t>
      </w:r>
      <w:r w:rsidRPr="001048FE">
        <w:rPr>
          <w:spacing w:val="-23"/>
          <w:lang w:val="sl-SI"/>
        </w:rPr>
        <w:t xml:space="preserve"> </w:t>
      </w:r>
      <w:r w:rsidRPr="001048FE">
        <w:rPr>
          <w:lang w:val="sl-SI"/>
        </w:rPr>
        <w:t>vloge</w:t>
      </w:r>
      <w:r w:rsidRPr="001048FE">
        <w:rPr>
          <w:spacing w:val="-23"/>
          <w:lang w:val="sl-SI"/>
        </w:rPr>
        <w:t xml:space="preserve"> </w:t>
      </w:r>
      <w:r w:rsidRPr="001048FE">
        <w:rPr>
          <w:lang w:val="sl-SI"/>
        </w:rPr>
        <w:t>za</w:t>
      </w:r>
      <w:r w:rsidRPr="001048FE">
        <w:rPr>
          <w:spacing w:val="-23"/>
          <w:lang w:val="sl-SI"/>
        </w:rPr>
        <w:t xml:space="preserve"> </w:t>
      </w:r>
      <w:r w:rsidRPr="001048FE">
        <w:rPr>
          <w:lang w:val="sl-SI"/>
        </w:rPr>
        <w:t>nepovratna</w:t>
      </w:r>
      <w:r w:rsidRPr="001048FE">
        <w:rPr>
          <w:spacing w:val="-23"/>
          <w:lang w:val="sl-SI"/>
        </w:rPr>
        <w:t xml:space="preserve"> </w:t>
      </w:r>
      <w:r w:rsidRPr="001048FE">
        <w:rPr>
          <w:lang w:val="sl-SI"/>
        </w:rPr>
        <w:t>sredstva</w:t>
      </w:r>
      <w:r w:rsidRPr="001048FE">
        <w:rPr>
          <w:spacing w:val="-23"/>
          <w:lang w:val="sl-SI"/>
        </w:rPr>
        <w:t xml:space="preserve"> </w:t>
      </w:r>
      <w:r w:rsidRPr="001048FE">
        <w:rPr>
          <w:lang w:val="sl-SI"/>
        </w:rPr>
        <w:t>(po</w:t>
      </w:r>
      <w:r w:rsidRPr="001048FE">
        <w:rPr>
          <w:spacing w:val="-23"/>
          <w:lang w:val="sl-SI"/>
        </w:rPr>
        <w:t xml:space="preserve"> </w:t>
      </w:r>
      <w:r w:rsidRPr="001048FE">
        <w:rPr>
          <w:lang w:val="sl-SI"/>
        </w:rPr>
        <w:t>uspešno</w:t>
      </w:r>
      <w:r w:rsidRPr="001048FE">
        <w:rPr>
          <w:spacing w:val="-23"/>
          <w:lang w:val="sl-SI"/>
        </w:rPr>
        <w:t xml:space="preserve"> </w:t>
      </w:r>
      <w:r w:rsidRPr="001048FE">
        <w:rPr>
          <w:lang w:val="sl-SI"/>
        </w:rPr>
        <w:t>zaključenem</w:t>
      </w:r>
      <w:r w:rsidRPr="001048FE">
        <w:rPr>
          <w:spacing w:val="-23"/>
          <w:lang w:val="sl-SI"/>
        </w:rPr>
        <w:t xml:space="preserve"> </w:t>
      </w:r>
      <w:r w:rsidRPr="001048FE">
        <w:rPr>
          <w:lang w:val="sl-SI"/>
        </w:rPr>
        <w:t>preverjanju</w:t>
      </w:r>
      <w:r w:rsidRPr="001048FE">
        <w:rPr>
          <w:spacing w:val="-23"/>
          <w:lang w:val="sl-SI"/>
        </w:rPr>
        <w:t xml:space="preserve"> </w:t>
      </w:r>
      <w:r w:rsidRPr="001048FE">
        <w:rPr>
          <w:lang w:val="sl-SI"/>
        </w:rPr>
        <w:t>upravičenosti)</w:t>
      </w:r>
      <w:r w:rsidRPr="001048FE">
        <w:rPr>
          <w:spacing w:val="-23"/>
          <w:lang w:val="sl-SI"/>
        </w:rPr>
        <w:t xml:space="preserve"> </w:t>
      </w:r>
      <w:r w:rsidRPr="001048FE">
        <w:rPr>
          <w:lang w:val="sl-SI"/>
        </w:rPr>
        <w:t>bodo ocenjene na podlagi naslednjih</w:t>
      </w:r>
      <w:r w:rsidRPr="001048FE">
        <w:rPr>
          <w:spacing w:val="-9"/>
          <w:lang w:val="sl-SI"/>
        </w:rPr>
        <w:t xml:space="preserve"> </w:t>
      </w:r>
      <w:r w:rsidRPr="001048FE">
        <w:rPr>
          <w:lang w:val="sl-SI"/>
        </w:rPr>
        <w:t>meril:</w:t>
      </w:r>
    </w:p>
    <w:tbl>
      <w:tblPr>
        <w:tblW w:w="5000" w:type="pct"/>
        <w:shd w:val="clear" w:color="auto" w:fill="FFFFFF"/>
        <w:tblLook w:val="0000" w:firstRow="0" w:lastRow="0" w:firstColumn="0" w:lastColumn="0" w:noHBand="0" w:noVBand="0"/>
      </w:tblPr>
      <w:tblGrid>
        <w:gridCol w:w="2205"/>
        <w:gridCol w:w="7085"/>
      </w:tblGrid>
      <w:tr w:rsidR="00E03711" w:rsidRPr="00C60205" w14:paraId="7D398891" w14:textId="77777777" w:rsidTr="006D41D3">
        <w:trPr>
          <w:cantSplit/>
          <w:trHeight w:val="20"/>
        </w:trPr>
        <w:tc>
          <w:tcPr>
            <w:tcW w:w="1187" w:type="pct"/>
            <w:tcBorders>
              <w:top w:val="single" w:sz="8" w:space="0" w:color="auto"/>
              <w:left w:val="single" w:sz="4" w:space="0" w:color="auto"/>
              <w:bottom w:val="dashed" w:sz="4" w:space="0" w:color="auto"/>
              <w:right w:val="single" w:sz="8" w:space="0" w:color="auto"/>
            </w:tcBorders>
            <w:shd w:val="clear" w:color="auto" w:fill="FFFFFF"/>
            <w:vAlign w:val="center"/>
          </w:tcPr>
          <w:p w14:paraId="7D39888F" w14:textId="77777777" w:rsidR="00E03711" w:rsidRPr="00F769E0" w:rsidRDefault="00E03711" w:rsidP="0075479E">
            <w:pPr>
              <w:pStyle w:val="Guide-Table"/>
              <w:spacing w:before="60" w:after="60"/>
              <w:jc w:val="left"/>
              <w:rPr>
                <w:rFonts w:cs="Tahoma"/>
                <w:b/>
                <w:lang w:val="sl-SI" w:eastAsia="en-GB"/>
              </w:rPr>
            </w:pPr>
            <w:r w:rsidRPr="00F769E0">
              <w:rPr>
                <w:rFonts w:cs="Tahoma"/>
                <w:b/>
                <w:lang w:val="sl-SI" w:eastAsia="en-GB"/>
              </w:rPr>
              <w:t>Ustreznost strategije (največ 30 točk)</w:t>
            </w:r>
          </w:p>
        </w:tc>
        <w:tc>
          <w:tcPr>
            <w:tcW w:w="3813" w:type="pct"/>
            <w:tcBorders>
              <w:top w:val="single" w:sz="8" w:space="0" w:color="auto"/>
              <w:left w:val="nil"/>
              <w:bottom w:val="dashed" w:sz="4" w:space="0" w:color="auto"/>
              <w:right w:val="single" w:sz="8" w:space="0" w:color="auto"/>
            </w:tcBorders>
            <w:shd w:val="clear" w:color="auto" w:fill="FFFFFF"/>
            <w:vAlign w:val="center"/>
          </w:tcPr>
          <w:p w14:paraId="7D398890"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V kakšnem obsegu je načrtovani projekt mobilnosti ustrezen za strategijo internacionalizacije vključenih visokošolskih institucij (v državi programa in partnerski državi) ter utemeljitev izbire mobilnosti osebja in/ali študentov.</w:t>
            </w:r>
          </w:p>
        </w:tc>
      </w:tr>
      <w:tr w:rsidR="00E03711" w:rsidRPr="00C60205" w14:paraId="7D398894" w14:textId="77777777" w:rsidTr="006D41D3">
        <w:trPr>
          <w:cantSplit/>
          <w:trHeight w:val="20"/>
        </w:trPr>
        <w:tc>
          <w:tcPr>
            <w:tcW w:w="1187" w:type="pct"/>
            <w:tcBorders>
              <w:top w:val="dashed" w:sz="4" w:space="0" w:color="auto"/>
              <w:left w:val="single" w:sz="4" w:space="0" w:color="auto"/>
              <w:bottom w:val="dashed" w:sz="4" w:space="0" w:color="auto"/>
              <w:right w:val="single" w:sz="8" w:space="0" w:color="auto"/>
            </w:tcBorders>
            <w:shd w:val="clear" w:color="auto" w:fill="FFFFFF"/>
            <w:vAlign w:val="center"/>
          </w:tcPr>
          <w:p w14:paraId="7D398892" w14:textId="77777777" w:rsidR="00E03711" w:rsidRPr="00F769E0" w:rsidRDefault="00E03711" w:rsidP="0075479E">
            <w:pPr>
              <w:pStyle w:val="Guide-Table"/>
              <w:spacing w:before="60" w:after="60"/>
              <w:jc w:val="left"/>
              <w:rPr>
                <w:rFonts w:cs="Tahoma"/>
                <w:b/>
                <w:lang w:val="sl-SI" w:eastAsia="en-GB"/>
              </w:rPr>
            </w:pPr>
            <w:r w:rsidRPr="00F769E0">
              <w:rPr>
                <w:rFonts w:cs="Tahoma"/>
                <w:b/>
                <w:lang w:val="sl-SI" w:eastAsia="en-GB"/>
              </w:rPr>
              <w:t xml:space="preserve">Kakovost dogovorov </w:t>
            </w:r>
            <w:r w:rsidRPr="00F769E0">
              <w:rPr>
                <w:rFonts w:cs="Tahoma"/>
                <w:b/>
                <w:lang w:val="sl-SI" w:eastAsia="en-GB"/>
              </w:rPr>
              <w:br/>
              <w:t xml:space="preserve">o sodelovanju </w:t>
            </w:r>
            <w:r w:rsidRPr="00F769E0">
              <w:rPr>
                <w:rFonts w:cs="Tahoma"/>
                <w:b/>
                <w:lang w:val="sl-SI" w:eastAsia="en-GB"/>
              </w:rPr>
              <w:br/>
              <w:t>(največ 30 točk)</w:t>
            </w:r>
          </w:p>
        </w:tc>
        <w:tc>
          <w:tcPr>
            <w:tcW w:w="3813" w:type="pct"/>
            <w:tcBorders>
              <w:top w:val="dashed" w:sz="4" w:space="0" w:color="auto"/>
              <w:left w:val="nil"/>
              <w:bottom w:val="dashed" w:sz="4" w:space="0" w:color="auto"/>
              <w:right w:val="single" w:sz="8" w:space="0" w:color="auto"/>
            </w:tcBorders>
            <w:shd w:val="clear" w:color="auto" w:fill="FFFFFF"/>
            <w:vAlign w:val="center"/>
          </w:tcPr>
          <w:p w14:paraId="7D398893"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Kakšne pretekle izkušnje ima organizacija prijaviteljica s podobnimi projekti z visokošolskimi institucijami/organizacijami v partnerski državi ter jasen opis obveznosti, vlog in nalog med partnerkama.</w:t>
            </w:r>
          </w:p>
        </w:tc>
      </w:tr>
      <w:tr w:rsidR="00E03711" w:rsidRPr="00C60205" w14:paraId="7D398897" w14:textId="77777777" w:rsidTr="006D41D3">
        <w:trPr>
          <w:cantSplit/>
          <w:trHeight w:val="20"/>
        </w:trPr>
        <w:tc>
          <w:tcPr>
            <w:tcW w:w="1187" w:type="pct"/>
            <w:tcBorders>
              <w:top w:val="dashed" w:sz="4" w:space="0" w:color="auto"/>
              <w:left w:val="single" w:sz="4" w:space="0" w:color="auto"/>
              <w:bottom w:val="dashed" w:sz="4" w:space="0" w:color="auto"/>
              <w:right w:val="single" w:sz="8" w:space="0" w:color="auto"/>
            </w:tcBorders>
            <w:shd w:val="clear" w:color="auto" w:fill="FFFFFF"/>
            <w:vAlign w:val="center"/>
          </w:tcPr>
          <w:p w14:paraId="7D398895" w14:textId="77777777" w:rsidR="00E03711" w:rsidRPr="00F769E0" w:rsidRDefault="00E03711" w:rsidP="0075479E">
            <w:pPr>
              <w:pStyle w:val="Guide-Table"/>
              <w:spacing w:before="60" w:after="60"/>
              <w:jc w:val="left"/>
              <w:rPr>
                <w:rFonts w:cs="Tahoma"/>
                <w:b/>
                <w:lang w:val="sl-SI" w:eastAsia="en-GB"/>
              </w:rPr>
            </w:pPr>
            <w:r w:rsidRPr="00F769E0">
              <w:rPr>
                <w:rFonts w:cs="Tahoma"/>
                <w:b/>
                <w:lang w:val="sl-SI" w:eastAsia="en-GB"/>
              </w:rPr>
              <w:t>Kakovost</w:t>
            </w:r>
            <w:r w:rsidRPr="00F769E0">
              <w:rPr>
                <w:rFonts w:cs="Tahoma"/>
                <w:b/>
                <w:spacing w:val="-20"/>
                <w:lang w:val="sl-SI" w:eastAsia="en-GB"/>
              </w:rPr>
              <w:t xml:space="preserve"> </w:t>
            </w:r>
            <w:r w:rsidRPr="00F769E0">
              <w:rPr>
                <w:rFonts w:cs="Tahoma"/>
                <w:b/>
                <w:lang w:val="sl-SI" w:eastAsia="en-GB"/>
              </w:rPr>
              <w:t>zasnove</w:t>
            </w:r>
            <w:r w:rsidRPr="00F769E0">
              <w:rPr>
                <w:rFonts w:cs="Tahoma"/>
                <w:b/>
                <w:spacing w:val="-20"/>
                <w:lang w:val="sl-SI" w:eastAsia="en-GB"/>
              </w:rPr>
              <w:t xml:space="preserve"> </w:t>
            </w:r>
            <w:r w:rsidRPr="00F769E0">
              <w:rPr>
                <w:rFonts w:cs="Tahoma"/>
                <w:b/>
                <w:lang w:val="sl-SI" w:eastAsia="en-GB"/>
              </w:rPr>
              <w:t>in</w:t>
            </w:r>
            <w:r w:rsidRPr="00F769E0">
              <w:rPr>
                <w:rFonts w:cs="Tahoma"/>
                <w:b/>
                <w:spacing w:val="-20"/>
                <w:lang w:val="sl-SI" w:eastAsia="en-GB"/>
              </w:rPr>
              <w:t xml:space="preserve"> </w:t>
            </w:r>
            <w:r w:rsidRPr="00F769E0">
              <w:rPr>
                <w:rFonts w:cs="Tahoma"/>
                <w:b/>
                <w:lang w:val="sl-SI" w:eastAsia="en-GB"/>
              </w:rPr>
              <w:t xml:space="preserve">izvedbe aktivnosti </w:t>
            </w:r>
            <w:r w:rsidRPr="00F769E0">
              <w:rPr>
                <w:rFonts w:cs="Tahoma"/>
                <w:b/>
                <w:lang w:val="sl-SI" w:eastAsia="en-GB"/>
              </w:rPr>
              <w:br/>
              <w:t>(največ 20 točk)</w:t>
            </w:r>
          </w:p>
        </w:tc>
        <w:tc>
          <w:tcPr>
            <w:tcW w:w="3813" w:type="pct"/>
            <w:tcBorders>
              <w:top w:val="dashed" w:sz="4" w:space="0" w:color="auto"/>
              <w:left w:val="nil"/>
              <w:bottom w:val="dashed" w:sz="4" w:space="0" w:color="auto"/>
              <w:right w:val="single" w:sz="8" w:space="0" w:color="auto"/>
            </w:tcBorders>
            <w:shd w:val="clear" w:color="auto" w:fill="FFFFFF"/>
            <w:vAlign w:val="center"/>
          </w:tcPr>
          <w:p w14:paraId="7D398896" w14:textId="77777777" w:rsidR="00E03711" w:rsidRPr="00F769E0" w:rsidRDefault="00E03711" w:rsidP="0075479E">
            <w:pPr>
              <w:pStyle w:val="GUIDE-NORMAL"/>
              <w:spacing w:before="60" w:after="60"/>
              <w:rPr>
                <w:rStyle w:val="Guide-Condensed-01"/>
                <w:rFonts w:cs="Tahoma"/>
                <w:spacing w:val="0"/>
                <w:lang w:val="sl-SI" w:eastAsia="en-GB"/>
              </w:rPr>
            </w:pPr>
            <w:r w:rsidRPr="00F769E0">
              <w:rPr>
                <w:rFonts w:cs="Tahoma"/>
                <w:lang w:val="sl-SI" w:eastAsia="en-GB"/>
              </w:rPr>
              <w:t>Popolnost</w:t>
            </w:r>
            <w:r w:rsidRPr="00F769E0">
              <w:rPr>
                <w:rFonts w:cs="Tahoma"/>
                <w:spacing w:val="-17"/>
                <w:lang w:val="sl-SI" w:eastAsia="en-GB"/>
              </w:rPr>
              <w:t xml:space="preserve"> </w:t>
            </w:r>
            <w:r w:rsidRPr="00F769E0">
              <w:rPr>
                <w:rFonts w:cs="Tahoma"/>
                <w:lang w:val="sl-SI" w:eastAsia="en-GB"/>
              </w:rPr>
              <w:t>in</w:t>
            </w:r>
            <w:r w:rsidRPr="00F769E0">
              <w:rPr>
                <w:rFonts w:cs="Tahoma"/>
                <w:spacing w:val="-17"/>
                <w:lang w:val="sl-SI" w:eastAsia="en-GB"/>
              </w:rPr>
              <w:t xml:space="preserve"> </w:t>
            </w:r>
            <w:r w:rsidRPr="00F769E0">
              <w:rPr>
                <w:rFonts w:cs="Tahoma"/>
                <w:lang w:val="sl-SI" w:eastAsia="en-GB"/>
              </w:rPr>
              <w:t>kakovost</w:t>
            </w:r>
            <w:r w:rsidRPr="00F769E0">
              <w:rPr>
                <w:rFonts w:cs="Tahoma"/>
                <w:spacing w:val="-17"/>
                <w:lang w:val="sl-SI" w:eastAsia="en-GB"/>
              </w:rPr>
              <w:t xml:space="preserve"> </w:t>
            </w:r>
            <w:r w:rsidRPr="00F769E0">
              <w:rPr>
                <w:rFonts w:cs="Tahoma"/>
                <w:lang w:val="sl-SI" w:eastAsia="en-GB"/>
              </w:rPr>
              <w:t>ureditev</w:t>
            </w:r>
            <w:r w:rsidRPr="00F769E0">
              <w:rPr>
                <w:rFonts w:cs="Tahoma"/>
                <w:spacing w:val="-17"/>
                <w:lang w:val="sl-SI" w:eastAsia="en-GB"/>
              </w:rPr>
              <w:t xml:space="preserve"> </w:t>
            </w:r>
            <w:r w:rsidRPr="00F769E0">
              <w:rPr>
                <w:rFonts w:cs="Tahoma"/>
                <w:lang w:val="sl-SI" w:eastAsia="en-GB"/>
              </w:rPr>
              <w:t>za</w:t>
            </w:r>
            <w:r w:rsidRPr="00F769E0">
              <w:rPr>
                <w:rFonts w:cs="Tahoma"/>
                <w:spacing w:val="-17"/>
                <w:lang w:val="sl-SI" w:eastAsia="en-GB"/>
              </w:rPr>
              <w:t xml:space="preserve"> </w:t>
            </w:r>
            <w:r w:rsidRPr="00F769E0">
              <w:rPr>
                <w:rFonts w:cs="Tahoma"/>
                <w:lang w:val="sl-SI" w:eastAsia="en-GB"/>
              </w:rPr>
              <w:t>izbor</w:t>
            </w:r>
            <w:r w:rsidRPr="00F769E0">
              <w:rPr>
                <w:rFonts w:cs="Tahoma"/>
                <w:spacing w:val="-17"/>
                <w:lang w:val="sl-SI" w:eastAsia="en-GB"/>
              </w:rPr>
              <w:t xml:space="preserve"> </w:t>
            </w:r>
            <w:r w:rsidRPr="00F769E0">
              <w:rPr>
                <w:rFonts w:cs="Tahoma"/>
                <w:lang w:val="sl-SI" w:eastAsia="en-GB"/>
              </w:rPr>
              <w:t>udeležencev,</w:t>
            </w:r>
            <w:r w:rsidRPr="00F769E0">
              <w:rPr>
                <w:rFonts w:cs="Tahoma"/>
                <w:spacing w:val="-17"/>
                <w:lang w:val="sl-SI" w:eastAsia="en-GB"/>
              </w:rPr>
              <w:t xml:space="preserve"> </w:t>
            </w:r>
            <w:r w:rsidRPr="00F769E0">
              <w:rPr>
                <w:rFonts w:cs="Tahoma"/>
                <w:lang w:val="sl-SI" w:eastAsia="en-GB"/>
              </w:rPr>
              <w:t>podpora,</w:t>
            </w:r>
            <w:r w:rsidRPr="00F769E0">
              <w:rPr>
                <w:rFonts w:cs="Tahoma"/>
                <w:spacing w:val="-17"/>
                <w:lang w:val="sl-SI" w:eastAsia="en-GB"/>
              </w:rPr>
              <w:t xml:space="preserve"> </w:t>
            </w:r>
            <w:r w:rsidRPr="00F769E0">
              <w:rPr>
                <w:rFonts w:cs="Tahoma"/>
                <w:lang w:val="sl-SI" w:eastAsia="en-GB"/>
              </w:rPr>
              <w:t>ki jim je zagotovljena, in priznavanje njihovega obdobja mobilnosti (zlasti v partnerski</w:t>
            </w:r>
            <w:r w:rsidRPr="00F769E0">
              <w:rPr>
                <w:rFonts w:cs="Tahoma"/>
                <w:spacing w:val="-6"/>
                <w:lang w:val="sl-SI" w:eastAsia="en-GB"/>
              </w:rPr>
              <w:t xml:space="preserve"> </w:t>
            </w:r>
            <w:r w:rsidRPr="00F769E0">
              <w:rPr>
                <w:rFonts w:cs="Tahoma"/>
                <w:lang w:val="sl-SI" w:eastAsia="en-GB"/>
              </w:rPr>
              <w:t>državi).</w:t>
            </w:r>
          </w:p>
        </w:tc>
      </w:tr>
      <w:tr w:rsidR="00E03711" w:rsidRPr="00C60205" w14:paraId="7D39889A" w14:textId="77777777" w:rsidTr="006D41D3">
        <w:trPr>
          <w:cantSplit/>
          <w:trHeight w:val="20"/>
        </w:trPr>
        <w:tc>
          <w:tcPr>
            <w:tcW w:w="1187" w:type="pct"/>
            <w:tcBorders>
              <w:top w:val="dashed" w:sz="4" w:space="0" w:color="auto"/>
              <w:left w:val="single" w:sz="4" w:space="0" w:color="auto"/>
              <w:bottom w:val="single" w:sz="8" w:space="0" w:color="auto"/>
              <w:right w:val="single" w:sz="8" w:space="0" w:color="auto"/>
            </w:tcBorders>
            <w:shd w:val="clear" w:color="auto" w:fill="FFFFFF"/>
            <w:vAlign w:val="center"/>
          </w:tcPr>
          <w:p w14:paraId="7D398898" w14:textId="77777777" w:rsidR="00E03711" w:rsidRPr="00F769E0" w:rsidRDefault="00E03711" w:rsidP="0075479E">
            <w:pPr>
              <w:pStyle w:val="Guide-Table"/>
              <w:spacing w:before="60" w:after="60"/>
              <w:jc w:val="left"/>
              <w:rPr>
                <w:rFonts w:cs="Tahoma"/>
                <w:b/>
                <w:lang w:val="sl-SI" w:eastAsia="en-GB"/>
              </w:rPr>
            </w:pPr>
            <w:r w:rsidRPr="00F769E0">
              <w:rPr>
                <w:rFonts w:cs="Tahoma"/>
                <w:b/>
                <w:lang w:val="sl-SI" w:eastAsia="en-GB"/>
              </w:rPr>
              <w:t>Učinek in razširjanje (največ 20 točk)</w:t>
            </w:r>
          </w:p>
        </w:tc>
        <w:tc>
          <w:tcPr>
            <w:tcW w:w="3813" w:type="pct"/>
            <w:tcBorders>
              <w:top w:val="dashed" w:sz="4" w:space="0" w:color="auto"/>
              <w:left w:val="nil"/>
              <w:bottom w:val="single" w:sz="8" w:space="0" w:color="auto"/>
              <w:right w:val="single" w:sz="8" w:space="0" w:color="auto"/>
            </w:tcBorders>
            <w:shd w:val="clear" w:color="auto" w:fill="FFFFFF"/>
            <w:vAlign w:val="center"/>
          </w:tcPr>
          <w:p w14:paraId="7D398899" w14:textId="77777777" w:rsidR="00E03711" w:rsidRPr="00F769E0" w:rsidRDefault="00E03711" w:rsidP="0075479E">
            <w:pPr>
              <w:pStyle w:val="GUIDE-NORMAL"/>
              <w:spacing w:before="60" w:after="60"/>
              <w:rPr>
                <w:rStyle w:val="Guide-Condensed-02"/>
                <w:rFonts w:cs="Tahoma"/>
                <w:spacing w:val="0"/>
                <w:lang w:val="sl-SI" w:eastAsia="en-GB"/>
              </w:rPr>
            </w:pPr>
            <w:r w:rsidRPr="00F769E0">
              <w:rPr>
                <w:rFonts w:cs="Tahoma"/>
                <w:lang w:val="sl-SI" w:eastAsia="en-GB"/>
              </w:rPr>
              <w:t>Morebitni učinek projekta na udeležence, upravičence in partnerske organizacije na lokalni, regionalni in nacionalni ravni ter kakovost ukrepov, namenjenih razširjanju rezultatov projekta mobilnosti na ravni fakultete in institucionalni ravni ter po potrebi tudi na drugih ravneh v državah Programa in partnerskih državah.</w:t>
            </w:r>
          </w:p>
        </w:tc>
      </w:tr>
    </w:tbl>
    <w:p w14:paraId="7D39889B" w14:textId="77777777" w:rsidR="00E03711" w:rsidRPr="001048FE" w:rsidRDefault="00E03711" w:rsidP="00B736D0">
      <w:pPr>
        <w:pStyle w:val="GUIDE-NORMAL"/>
        <w:rPr>
          <w:lang w:val="sl-SI"/>
        </w:rPr>
      </w:pPr>
      <w:r w:rsidRPr="001048FE">
        <w:rPr>
          <w:lang w:val="sl-SI"/>
        </w:rPr>
        <w:t>Prijavitelj bo pojasnil, kako projekt izpolnjuje ta štiri merila z vidika njegove institucije (ali institucij, če vloge oddajo konzorciji) in institucij v partnerski državi.</w:t>
      </w:r>
    </w:p>
    <w:p w14:paraId="7D39889C" w14:textId="77777777" w:rsidR="00E03711" w:rsidRPr="001048FE" w:rsidRDefault="00E03711" w:rsidP="00B736D0">
      <w:pPr>
        <w:pStyle w:val="GUIDE-NORMAL"/>
        <w:rPr>
          <w:lang w:val="sl-SI"/>
        </w:rPr>
      </w:pPr>
      <w:r w:rsidRPr="001048FE">
        <w:rPr>
          <w:lang w:val="sl-SI"/>
        </w:rPr>
        <w:t>Da</w:t>
      </w:r>
      <w:r w:rsidRPr="001048FE">
        <w:rPr>
          <w:spacing w:val="-12"/>
          <w:lang w:val="sl-SI"/>
        </w:rPr>
        <w:t xml:space="preserve"> </w:t>
      </w:r>
      <w:r w:rsidRPr="001048FE">
        <w:rPr>
          <w:lang w:val="sl-SI"/>
        </w:rPr>
        <w:t>bi</w:t>
      </w:r>
      <w:r w:rsidRPr="001048FE">
        <w:rPr>
          <w:spacing w:val="-12"/>
          <w:lang w:val="sl-SI"/>
        </w:rPr>
        <w:t xml:space="preserve"> </w:t>
      </w:r>
      <w:r w:rsidRPr="001048FE">
        <w:rPr>
          <w:lang w:val="sl-SI"/>
        </w:rPr>
        <w:t>se</w:t>
      </w:r>
      <w:r w:rsidRPr="001048FE">
        <w:rPr>
          <w:spacing w:val="-12"/>
          <w:lang w:val="sl-SI"/>
        </w:rPr>
        <w:t xml:space="preserve"> </w:t>
      </w:r>
      <w:r w:rsidRPr="001048FE">
        <w:rPr>
          <w:lang w:val="sl-SI"/>
        </w:rPr>
        <w:t>predlogi</w:t>
      </w:r>
      <w:r w:rsidRPr="001048FE">
        <w:rPr>
          <w:spacing w:val="-12"/>
          <w:lang w:val="sl-SI"/>
        </w:rPr>
        <w:t xml:space="preserve"> </w:t>
      </w:r>
      <w:r w:rsidRPr="001048FE">
        <w:rPr>
          <w:lang w:val="sl-SI"/>
        </w:rPr>
        <w:t>upoštevali</w:t>
      </w:r>
      <w:r w:rsidRPr="001048FE">
        <w:rPr>
          <w:spacing w:val="-12"/>
          <w:lang w:val="sl-SI"/>
        </w:rPr>
        <w:t xml:space="preserve"> </w:t>
      </w:r>
      <w:r w:rsidRPr="001048FE">
        <w:rPr>
          <w:lang w:val="sl-SI"/>
        </w:rPr>
        <w:t>za</w:t>
      </w:r>
      <w:r w:rsidRPr="001048FE">
        <w:rPr>
          <w:spacing w:val="-12"/>
          <w:lang w:val="sl-SI"/>
        </w:rPr>
        <w:t xml:space="preserve"> </w:t>
      </w:r>
      <w:r w:rsidRPr="001048FE">
        <w:rPr>
          <w:lang w:val="sl-SI"/>
        </w:rPr>
        <w:t>dodelitev</w:t>
      </w:r>
      <w:r w:rsidRPr="001048FE">
        <w:rPr>
          <w:spacing w:val="-12"/>
          <w:lang w:val="sl-SI"/>
        </w:rPr>
        <w:t xml:space="preserve"> </w:t>
      </w:r>
      <w:r w:rsidRPr="001048FE">
        <w:rPr>
          <w:lang w:val="sl-SI"/>
        </w:rPr>
        <w:t>finančnih</w:t>
      </w:r>
      <w:r w:rsidRPr="001048FE">
        <w:rPr>
          <w:spacing w:val="-12"/>
          <w:lang w:val="sl-SI"/>
        </w:rPr>
        <w:t xml:space="preserve"> </w:t>
      </w:r>
      <w:r w:rsidRPr="001048FE">
        <w:rPr>
          <w:lang w:val="sl-SI"/>
        </w:rPr>
        <w:t>sredstev,</w:t>
      </w:r>
      <w:r w:rsidRPr="001048FE">
        <w:rPr>
          <w:spacing w:val="-12"/>
          <w:lang w:val="sl-SI"/>
        </w:rPr>
        <w:t xml:space="preserve"> </w:t>
      </w:r>
      <w:r w:rsidRPr="001048FE">
        <w:rPr>
          <w:lang w:val="sl-SI"/>
        </w:rPr>
        <w:t>morajo</w:t>
      </w:r>
      <w:r w:rsidRPr="001048FE">
        <w:rPr>
          <w:spacing w:val="-12"/>
          <w:lang w:val="sl-SI"/>
        </w:rPr>
        <w:t xml:space="preserve"> </w:t>
      </w:r>
      <w:r w:rsidRPr="001048FE">
        <w:rPr>
          <w:lang w:val="sl-SI"/>
        </w:rPr>
        <w:t>doseči</w:t>
      </w:r>
      <w:r w:rsidRPr="001048FE">
        <w:rPr>
          <w:spacing w:val="-12"/>
          <w:lang w:val="sl-SI"/>
        </w:rPr>
        <w:t xml:space="preserve"> </w:t>
      </w:r>
      <w:r w:rsidRPr="001048FE">
        <w:rPr>
          <w:lang w:val="sl-SI"/>
        </w:rPr>
        <w:t>skupaj</w:t>
      </w:r>
      <w:r w:rsidRPr="001048FE">
        <w:rPr>
          <w:spacing w:val="-12"/>
          <w:lang w:val="sl-SI"/>
        </w:rPr>
        <w:t xml:space="preserve"> </w:t>
      </w:r>
      <w:r w:rsidRPr="001048FE">
        <w:rPr>
          <w:lang w:val="sl-SI"/>
        </w:rPr>
        <w:t>vsaj</w:t>
      </w:r>
      <w:r w:rsidRPr="001048FE">
        <w:rPr>
          <w:spacing w:val="-12"/>
          <w:lang w:val="sl-SI"/>
        </w:rPr>
        <w:t xml:space="preserve"> </w:t>
      </w:r>
      <w:r w:rsidRPr="001048FE">
        <w:rPr>
          <w:lang w:val="sl-SI"/>
        </w:rPr>
        <w:t>60</w:t>
      </w:r>
      <w:r w:rsidRPr="001048FE">
        <w:rPr>
          <w:spacing w:val="-12"/>
          <w:lang w:val="sl-SI"/>
        </w:rPr>
        <w:t xml:space="preserve"> </w:t>
      </w:r>
      <w:r w:rsidRPr="001048FE">
        <w:rPr>
          <w:lang w:val="sl-SI"/>
        </w:rPr>
        <w:t>točk</w:t>
      </w:r>
      <w:r w:rsidRPr="001048FE">
        <w:rPr>
          <w:spacing w:val="-12"/>
          <w:lang w:val="sl-SI"/>
        </w:rPr>
        <w:t xml:space="preserve"> </w:t>
      </w:r>
      <w:r w:rsidRPr="001048FE">
        <w:rPr>
          <w:lang w:val="sl-SI"/>
        </w:rPr>
        <w:t>in vsaj 15 točk v kategoriji „Ustreznost</w:t>
      </w:r>
      <w:r w:rsidRPr="001048FE">
        <w:rPr>
          <w:spacing w:val="-9"/>
          <w:lang w:val="sl-SI"/>
        </w:rPr>
        <w:t xml:space="preserve"> </w:t>
      </w:r>
      <w:r w:rsidRPr="001048FE">
        <w:rPr>
          <w:lang w:val="sl-SI"/>
        </w:rPr>
        <w:t>strategije“.</w:t>
      </w:r>
    </w:p>
    <w:p w14:paraId="7D39889D" w14:textId="77777777" w:rsidR="00E03711" w:rsidRPr="001048FE" w:rsidRDefault="00E03711" w:rsidP="00B736D0">
      <w:pPr>
        <w:pStyle w:val="GUIDE-NORMAL"/>
        <w:rPr>
          <w:lang w:val="sl-SI"/>
        </w:rPr>
      </w:pPr>
      <w:r w:rsidRPr="001048FE">
        <w:rPr>
          <w:lang w:val="sl-SI"/>
        </w:rPr>
        <w:t>Za</w:t>
      </w:r>
      <w:r w:rsidRPr="001048FE">
        <w:rPr>
          <w:spacing w:val="-21"/>
          <w:lang w:val="sl-SI"/>
        </w:rPr>
        <w:t xml:space="preserve"> </w:t>
      </w:r>
      <w:r w:rsidRPr="001048FE">
        <w:rPr>
          <w:lang w:val="sl-SI"/>
        </w:rPr>
        <w:t>dodelitev</w:t>
      </w:r>
      <w:r w:rsidRPr="001048FE">
        <w:rPr>
          <w:spacing w:val="-21"/>
          <w:lang w:val="sl-SI"/>
        </w:rPr>
        <w:t xml:space="preserve"> </w:t>
      </w:r>
      <w:r w:rsidRPr="001048FE">
        <w:rPr>
          <w:lang w:val="sl-SI"/>
        </w:rPr>
        <w:t>razpoložljivega</w:t>
      </w:r>
      <w:r w:rsidRPr="001048FE">
        <w:rPr>
          <w:spacing w:val="-21"/>
          <w:lang w:val="sl-SI"/>
        </w:rPr>
        <w:t xml:space="preserve"> </w:t>
      </w:r>
      <w:r w:rsidRPr="001048FE">
        <w:rPr>
          <w:lang w:val="sl-SI"/>
        </w:rPr>
        <w:t>proračuna</w:t>
      </w:r>
      <w:r w:rsidRPr="001048FE">
        <w:rPr>
          <w:spacing w:val="-21"/>
          <w:lang w:val="sl-SI"/>
        </w:rPr>
        <w:t xml:space="preserve"> </w:t>
      </w:r>
      <w:r w:rsidRPr="001048FE">
        <w:rPr>
          <w:lang w:val="sl-SI"/>
        </w:rPr>
        <w:t>za</w:t>
      </w:r>
      <w:r w:rsidRPr="001048FE">
        <w:rPr>
          <w:spacing w:val="-21"/>
          <w:lang w:val="sl-SI"/>
        </w:rPr>
        <w:t xml:space="preserve"> </w:t>
      </w:r>
      <w:r w:rsidRPr="001048FE">
        <w:rPr>
          <w:lang w:val="sl-SI"/>
        </w:rPr>
        <w:t>posamezno</w:t>
      </w:r>
      <w:r w:rsidRPr="001048FE">
        <w:rPr>
          <w:spacing w:val="-21"/>
          <w:lang w:val="sl-SI"/>
        </w:rPr>
        <w:t xml:space="preserve"> </w:t>
      </w:r>
      <w:r w:rsidRPr="001048FE">
        <w:rPr>
          <w:lang w:val="sl-SI"/>
        </w:rPr>
        <w:t>regijo</w:t>
      </w:r>
      <w:r w:rsidRPr="001048FE">
        <w:rPr>
          <w:spacing w:val="-21"/>
          <w:lang w:val="sl-SI"/>
        </w:rPr>
        <w:t xml:space="preserve"> </w:t>
      </w:r>
      <w:r w:rsidRPr="001048FE">
        <w:rPr>
          <w:lang w:val="sl-SI"/>
        </w:rPr>
        <w:t>bodo</w:t>
      </w:r>
      <w:r w:rsidRPr="001048FE">
        <w:rPr>
          <w:spacing w:val="-21"/>
          <w:lang w:val="sl-SI"/>
        </w:rPr>
        <w:t xml:space="preserve"> </w:t>
      </w:r>
      <w:r w:rsidRPr="001048FE">
        <w:rPr>
          <w:lang w:val="sl-SI"/>
        </w:rPr>
        <w:t>načrtovane</w:t>
      </w:r>
      <w:r w:rsidRPr="001048FE">
        <w:rPr>
          <w:spacing w:val="-21"/>
          <w:lang w:val="sl-SI"/>
        </w:rPr>
        <w:t xml:space="preserve"> </w:t>
      </w:r>
      <w:r w:rsidRPr="001048FE">
        <w:rPr>
          <w:lang w:val="sl-SI"/>
        </w:rPr>
        <w:t>mobilnosti</w:t>
      </w:r>
      <w:r w:rsidRPr="001048FE">
        <w:rPr>
          <w:spacing w:val="-21"/>
          <w:lang w:val="sl-SI"/>
        </w:rPr>
        <w:t xml:space="preserve"> </w:t>
      </w:r>
      <w:r w:rsidRPr="001048FE">
        <w:rPr>
          <w:lang w:val="sl-SI"/>
        </w:rPr>
        <w:t>z</w:t>
      </w:r>
      <w:r w:rsidRPr="001048FE">
        <w:rPr>
          <w:spacing w:val="-21"/>
          <w:lang w:val="sl-SI"/>
        </w:rPr>
        <w:t xml:space="preserve"> </w:t>
      </w:r>
      <w:r w:rsidRPr="001048FE">
        <w:rPr>
          <w:lang w:val="sl-SI"/>
        </w:rPr>
        <w:t>vsako partnersko državo navedene glede na pomembnost v regionalni</w:t>
      </w:r>
      <w:r w:rsidRPr="001048FE">
        <w:rPr>
          <w:spacing w:val="-34"/>
          <w:lang w:val="sl-SI"/>
        </w:rPr>
        <w:t xml:space="preserve"> </w:t>
      </w:r>
      <w:r w:rsidRPr="001048FE">
        <w:rPr>
          <w:lang w:val="sl-SI"/>
        </w:rPr>
        <w:t>razvrstitvi.</w:t>
      </w:r>
    </w:p>
    <w:p w14:paraId="7D39889E" w14:textId="77777777" w:rsidR="00E03711" w:rsidRPr="001048FE" w:rsidRDefault="00E03711" w:rsidP="00B736D0">
      <w:pPr>
        <w:pStyle w:val="GUIDE-NORMAL"/>
        <w:rPr>
          <w:lang w:val="sl-SI"/>
        </w:rPr>
      </w:pPr>
      <w:r w:rsidRPr="001048FE">
        <w:rPr>
          <w:lang w:val="sl-SI"/>
        </w:rPr>
        <w:t>Dejanski znesek dodeljenih nepovratnih sredstev za visokošolsko institucijo bo odvisen od številnih elementov:</w:t>
      </w:r>
    </w:p>
    <w:p w14:paraId="7D39889F" w14:textId="77777777" w:rsidR="00E03711" w:rsidRDefault="00E03711" w:rsidP="005115F2">
      <w:pPr>
        <w:pStyle w:val="Guide-NormalBulletpoints"/>
        <w:numPr>
          <w:ilvl w:val="0"/>
          <w:numId w:val="203"/>
        </w:numPr>
        <w:rPr>
          <w:lang w:val="sl-SI"/>
        </w:rPr>
      </w:pPr>
      <w:r w:rsidRPr="001048FE">
        <w:rPr>
          <w:lang w:val="sl-SI"/>
        </w:rPr>
        <w:t xml:space="preserve">števila obdobij mobilnosti in mesecev/dni, za katere se vlaga prijava; </w:t>
      </w:r>
    </w:p>
    <w:p w14:paraId="7D3988A0" w14:textId="77777777" w:rsidR="00E03711" w:rsidRPr="001048FE" w:rsidRDefault="00E03711" w:rsidP="005115F2">
      <w:pPr>
        <w:pStyle w:val="Guide-NormalBulletpoints"/>
        <w:numPr>
          <w:ilvl w:val="0"/>
          <w:numId w:val="203"/>
        </w:numPr>
        <w:rPr>
          <w:lang w:val="sl-SI"/>
        </w:rPr>
      </w:pPr>
      <w:r w:rsidRPr="001048FE">
        <w:rPr>
          <w:lang w:val="sl-SI"/>
        </w:rPr>
        <w:t>proračuna, dodeljenega za državo ali regijo;</w:t>
      </w:r>
    </w:p>
    <w:p w14:paraId="7D3988A1" w14:textId="77777777" w:rsidR="00E03711" w:rsidRPr="001048FE" w:rsidRDefault="00E03711" w:rsidP="005115F2">
      <w:pPr>
        <w:pStyle w:val="Guide-NormalBulletpoints"/>
        <w:numPr>
          <w:ilvl w:val="0"/>
          <w:numId w:val="203"/>
        </w:numPr>
        <w:rPr>
          <w:lang w:val="sl-SI"/>
        </w:rPr>
      </w:pPr>
      <w:r w:rsidRPr="001048FE">
        <w:rPr>
          <w:lang w:val="sl-SI"/>
        </w:rPr>
        <w:t>geografske uravnoteženosti v določeni regiji ali podregiji.</w:t>
      </w:r>
    </w:p>
    <w:p w14:paraId="7D3988A2" w14:textId="77777777" w:rsidR="00E03711" w:rsidRPr="001048FE" w:rsidRDefault="00E03711" w:rsidP="00B736D0">
      <w:pPr>
        <w:pStyle w:val="GUIDE-NORMAL"/>
        <w:rPr>
          <w:lang w:val="sl-SI"/>
        </w:rPr>
      </w:pPr>
      <w:r w:rsidRPr="001048FE">
        <w:rPr>
          <w:lang w:val="sl-SI"/>
        </w:rPr>
        <w:t>Nacionalna agencija lahko financira mobilnosti s partnersko državo, ki je uvrščena nižje v regionalni razvrstitvi, kadar je treba zagotoviti geografsko uravnoteženost znotraj te regije, kot je določeno v zgoraj navedenih geografskih ciljih.</w:t>
      </w:r>
    </w:p>
    <w:p w14:paraId="7D3988A3" w14:textId="77777777" w:rsidR="00E03711" w:rsidRPr="001048FE" w:rsidRDefault="00E03711" w:rsidP="00B736D0">
      <w:pPr>
        <w:pStyle w:val="GUIDE-NORMAL"/>
        <w:rPr>
          <w:lang w:val="sl-SI"/>
        </w:rPr>
      </w:pPr>
      <w:r w:rsidRPr="001048FE">
        <w:rPr>
          <w:lang w:val="sl-SI"/>
        </w:rPr>
        <w:t>Nacionalna</w:t>
      </w:r>
      <w:r w:rsidRPr="001048FE">
        <w:rPr>
          <w:spacing w:val="-20"/>
          <w:lang w:val="sl-SI"/>
        </w:rPr>
        <w:t xml:space="preserve"> </w:t>
      </w:r>
      <w:r w:rsidRPr="001048FE">
        <w:rPr>
          <w:lang w:val="sl-SI"/>
        </w:rPr>
        <w:t>agencija</w:t>
      </w:r>
      <w:r w:rsidRPr="001048FE">
        <w:rPr>
          <w:spacing w:val="-20"/>
          <w:lang w:val="sl-SI"/>
        </w:rPr>
        <w:t xml:space="preserve"> </w:t>
      </w:r>
      <w:r w:rsidRPr="001048FE">
        <w:rPr>
          <w:lang w:val="sl-SI"/>
        </w:rPr>
        <w:t>ni</w:t>
      </w:r>
      <w:r w:rsidRPr="001048FE">
        <w:rPr>
          <w:spacing w:val="-20"/>
          <w:lang w:val="sl-SI"/>
        </w:rPr>
        <w:t xml:space="preserve"> </w:t>
      </w:r>
      <w:r w:rsidRPr="001048FE">
        <w:rPr>
          <w:lang w:val="sl-SI"/>
        </w:rPr>
        <w:t>zavezana</w:t>
      </w:r>
      <w:r w:rsidRPr="001048FE">
        <w:rPr>
          <w:spacing w:val="-20"/>
          <w:lang w:val="sl-SI"/>
        </w:rPr>
        <w:t xml:space="preserve"> </w:t>
      </w:r>
      <w:r w:rsidRPr="001048FE">
        <w:rPr>
          <w:lang w:val="sl-SI"/>
        </w:rPr>
        <w:t>financirati</w:t>
      </w:r>
      <w:r w:rsidRPr="001048FE">
        <w:rPr>
          <w:spacing w:val="-20"/>
          <w:lang w:val="sl-SI"/>
        </w:rPr>
        <w:t xml:space="preserve"> </w:t>
      </w:r>
      <w:r w:rsidRPr="001048FE">
        <w:rPr>
          <w:lang w:val="sl-SI"/>
        </w:rPr>
        <w:t>vseh</w:t>
      </w:r>
      <w:r w:rsidRPr="001048FE">
        <w:rPr>
          <w:spacing w:val="-20"/>
          <w:lang w:val="sl-SI"/>
        </w:rPr>
        <w:t xml:space="preserve"> </w:t>
      </w:r>
      <w:r w:rsidRPr="001048FE">
        <w:rPr>
          <w:lang w:val="sl-SI"/>
        </w:rPr>
        <w:t>mobilnosti,</w:t>
      </w:r>
      <w:r w:rsidRPr="001048FE">
        <w:rPr>
          <w:spacing w:val="-20"/>
          <w:lang w:val="sl-SI"/>
        </w:rPr>
        <w:t xml:space="preserve"> </w:t>
      </w:r>
      <w:r w:rsidRPr="001048FE">
        <w:rPr>
          <w:lang w:val="sl-SI"/>
        </w:rPr>
        <w:t>zahtevanih</w:t>
      </w:r>
      <w:r w:rsidRPr="001048FE">
        <w:rPr>
          <w:spacing w:val="-20"/>
          <w:lang w:val="sl-SI"/>
        </w:rPr>
        <w:t xml:space="preserve"> </w:t>
      </w:r>
      <w:r w:rsidRPr="001048FE">
        <w:rPr>
          <w:lang w:val="sl-SI"/>
        </w:rPr>
        <w:t>za</w:t>
      </w:r>
      <w:r w:rsidRPr="001048FE">
        <w:rPr>
          <w:spacing w:val="-20"/>
          <w:lang w:val="sl-SI"/>
        </w:rPr>
        <w:t xml:space="preserve"> </w:t>
      </w:r>
      <w:r w:rsidRPr="001048FE">
        <w:rPr>
          <w:lang w:val="sl-SI"/>
        </w:rPr>
        <w:t>določeno</w:t>
      </w:r>
      <w:r w:rsidRPr="001048FE">
        <w:rPr>
          <w:spacing w:val="-20"/>
          <w:lang w:val="sl-SI"/>
        </w:rPr>
        <w:t xml:space="preserve"> </w:t>
      </w:r>
      <w:r w:rsidRPr="001048FE">
        <w:rPr>
          <w:lang w:val="sl-SI"/>
        </w:rPr>
        <w:t>partnersko državo, če se zdi zahteva pretirana glede na razpoložljivi</w:t>
      </w:r>
      <w:r w:rsidRPr="001048FE">
        <w:rPr>
          <w:spacing w:val="-34"/>
          <w:lang w:val="sl-SI"/>
        </w:rPr>
        <w:t xml:space="preserve"> </w:t>
      </w:r>
      <w:r w:rsidRPr="001048FE">
        <w:rPr>
          <w:lang w:val="sl-SI"/>
        </w:rPr>
        <w:t>proračun.</w:t>
      </w:r>
    </w:p>
    <w:p w14:paraId="7D3988A4" w14:textId="77777777" w:rsidR="00E03711" w:rsidRPr="001048FE" w:rsidRDefault="00E03711" w:rsidP="00B736D0">
      <w:pPr>
        <w:pStyle w:val="GUIDE-NORMAL"/>
        <w:rPr>
          <w:rStyle w:val="Guide-Condensed-02"/>
          <w:lang w:val="sl-SI"/>
        </w:rPr>
      </w:pPr>
      <w:r w:rsidRPr="001048FE">
        <w:rPr>
          <w:lang w:val="sl-SI"/>
        </w:rPr>
        <w:t>Kjer je mogoče, si bo ob upoštevanju krovnih meril uspešnosti in geografske uravnoteženosti prizadevala širše porazdeliti razpoložljivi proračun ter se tako izogniti prevladi manjšega števila visokošolskih institucij. Nacionalna agencija si bo prizadevala za čimvečje vključevanje in bo povečevala</w:t>
      </w:r>
      <w:r w:rsidRPr="001048FE">
        <w:rPr>
          <w:spacing w:val="-27"/>
          <w:lang w:val="sl-SI"/>
        </w:rPr>
        <w:t xml:space="preserve"> </w:t>
      </w:r>
      <w:r w:rsidRPr="001048FE">
        <w:rPr>
          <w:lang w:val="sl-SI"/>
        </w:rPr>
        <w:t>sodelovanje</w:t>
      </w:r>
      <w:r w:rsidRPr="001048FE">
        <w:rPr>
          <w:spacing w:val="-27"/>
          <w:lang w:val="sl-SI"/>
        </w:rPr>
        <w:t xml:space="preserve"> </w:t>
      </w:r>
      <w:r w:rsidRPr="001048FE">
        <w:rPr>
          <w:lang w:val="sl-SI"/>
        </w:rPr>
        <w:t>deležnikov,</w:t>
      </w:r>
      <w:r w:rsidRPr="001048FE">
        <w:rPr>
          <w:spacing w:val="-27"/>
          <w:lang w:val="sl-SI"/>
        </w:rPr>
        <w:t xml:space="preserve"> </w:t>
      </w:r>
      <w:r w:rsidRPr="001048FE">
        <w:rPr>
          <w:lang w:val="sl-SI"/>
        </w:rPr>
        <w:t>ne</w:t>
      </w:r>
      <w:r w:rsidRPr="001048FE">
        <w:rPr>
          <w:spacing w:val="-27"/>
          <w:lang w:val="sl-SI"/>
        </w:rPr>
        <w:t xml:space="preserve"> </w:t>
      </w:r>
      <w:r w:rsidRPr="001048FE">
        <w:rPr>
          <w:lang w:val="sl-SI"/>
        </w:rPr>
        <w:t>da</w:t>
      </w:r>
      <w:r w:rsidRPr="001048FE">
        <w:rPr>
          <w:spacing w:val="-27"/>
          <w:lang w:val="sl-SI"/>
        </w:rPr>
        <w:t xml:space="preserve"> </w:t>
      </w:r>
      <w:r w:rsidRPr="001048FE">
        <w:rPr>
          <w:lang w:val="sl-SI"/>
        </w:rPr>
        <w:t>bi</w:t>
      </w:r>
      <w:r w:rsidRPr="001048FE">
        <w:rPr>
          <w:spacing w:val="-27"/>
          <w:lang w:val="sl-SI"/>
        </w:rPr>
        <w:t xml:space="preserve"> </w:t>
      </w:r>
      <w:r w:rsidRPr="001048FE">
        <w:rPr>
          <w:lang w:val="sl-SI"/>
        </w:rPr>
        <w:t>zaradi</w:t>
      </w:r>
      <w:r w:rsidRPr="001048FE">
        <w:rPr>
          <w:spacing w:val="-27"/>
          <w:lang w:val="sl-SI"/>
        </w:rPr>
        <w:t xml:space="preserve"> </w:t>
      </w:r>
      <w:r w:rsidRPr="001048FE">
        <w:rPr>
          <w:lang w:val="sl-SI"/>
        </w:rPr>
        <w:t>zagotavljanja</w:t>
      </w:r>
      <w:r w:rsidRPr="001048FE">
        <w:rPr>
          <w:spacing w:val="-27"/>
          <w:lang w:val="sl-SI"/>
        </w:rPr>
        <w:t xml:space="preserve"> </w:t>
      </w:r>
      <w:r w:rsidRPr="001048FE">
        <w:rPr>
          <w:lang w:val="sl-SI"/>
        </w:rPr>
        <w:t>izvedljivosti</w:t>
      </w:r>
      <w:r w:rsidRPr="001048FE">
        <w:rPr>
          <w:spacing w:val="-27"/>
          <w:lang w:val="sl-SI"/>
        </w:rPr>
        <w:t xml:space="preserve"> </w:t>
      </w:r>
      <w:r w:rsidRPr="001048FE">
        <w:rPr>
          <w:lang w:val="sl-SI"/>
        </w:rPr>
        <w:t>zmanjševala</w:t>
      </w:r>
      <w:r w:rsidRPr="001048FE">
        <w:rPr>
          <w:spacing w:val="-27"/>
          <w:lang w:val="sl-SI"/>
        </w:rPr>
        <w:t xml:space="preserve"> </w:t>
      </w:r>
      <w:r w:rsidRPr="001048FE">
        <w:rPr>
          <w:lang w:val="sl-SI"/>
        </w:rPr>
        <w:t>kakovost, geografsko uravnoteženost ali najmanjši kritični obseg projekta</w:t>
      </w:r>
      <w:r w:rsidRPr="001048FE">
        <w:rPr>
          <w:spacing w:val="-17"/>
          <w:lang w:val="sl-SI"/>
        </w:rPr>
        <w:t xml:space="preserve"> </w:t>
      </w:r>
      <w:r w:rsidRPr="001048FE">
        <w:rPr>
          <w:lang w:val="sl-SI"/>
        </w:rPr>
        <w:t>mobilnosti.</w:t>
      </w:r>
    </w:p>
    <w:p w14:paraId="7D3988A5" w14:textId="77777777" w:rsidR="00E03711" w:rsidRPr="001048FE" w:rsidRDefault="00E03711" w:rsidP="00E23D2D">
      <w:pPr>
        <w:pStyle w:val="Guide-Heading5"/>
        <w:rPr>
          <w:lang w:val="sl-SI"/>
        </w:rPr>
      </w:pPr>
      <w:bookmarkStart w:id="160" w:name="De_quelle_accréditation_les_candidats_on"/>
      <w:bookmarkEnd w:id="160"/>
      <w:r w:rsidRPr="001048FE">
        <w:rPr>
          <w:lang w:val="sl-SI"/>
        </w:rPr>
        <w:t>Katero akreditacijo potrebujejo prijavitelji za ta projekt mobilnosti?</w:t>
      </w:r>
    </w:p>
    <w:p w14:paraId="7D3988A6" w14:textId="77777777" w:rsidR="00E03711" w:rsidRPr="001048FE" w:rsidRDefault="00E03711" w:rsidP="00B736D0">
      <w:pPr>
        <w:pStyle w:val="Guide-Heading6"/>
        <w:rPr>
          <w:lang w:val="sl-SI"/>
        </w:rPr>
      </w:pPr>
      <w:r w:rsidRPr="001048FE">
        <w:rPr>
          <w:lang w:val="sl-SI"/>
        </w:rPr>
        <w:t>Listina Erasmus za terciarno izobraževanje</w:t>
      </w:r>
    </w:p>
    <w:p w14:paraId="7D3988A7" w14:textId="77777777" w:rsidR="00E03711" w:rsidRPr="001048FE" w:rsidRDefault="00E03711" w:rsidP="00B736D0">
      <w:pPr>
        <w:pStyle w:val="GUIDE-NORMAL"/>
        <w:rPr>
          <w:lang w:val="sl-SI"/>
        </w:rPr>
      </w:pPr>
      <w:r w:rsidRPr="001048FE">
        <w:rPr>
          <w:lang w:val="sl-SI"/>
        </w:rPr>
        <w:t>Dodelitev Listine Erasmus za terciarno izobraževanje (ECHE) je predpogoj za vse visokošolske institucije s sedežem v državi Programa, ki želijo sodelovati v projektu mobilnosti na področju visokošolskega izobraževanja kot posamezne visokošolske institucije ali kot članice nacionalnega konzorcija za mobilnost. Evropska komisija vsako leto prek Izvajalske agencije za izobraževanje, avdiovizualno področje in kulturo objavi poseben razpis za zbiranje predlogov s podrobno opredeljenimi pogoji in merili kakovosti, ki jih je treba izpolniti za dodelitev ECHE. Več informacij je na voljo na spletišču Izvajalske agencije.</w:t>
      </w:r>
    </w:p>
    <w:p w14:paraId="7D3988A8" w14:textId="77777777" w:rsidR="00E03711" w:rsidRPr="001048FE" w:rsidRDefault="00E03711" w:rsidP="00B736D0">
      <w:pPr>
        <w:pStyle w:val="GUIDE-NORMAL"/>
        <w:rPr>
          <w:lang w:val="sl-SI"/>
        </w:rPr>
      </w:pPr>
      <w:r w:rsidRPr="001048FE">
        <w:rPr>
          <w:lang w:val="sl-SI"/>
        </w:rPr>
        <w:t>Visokošolske institucije s sedežem v partnerski državi mora akreditirati ustrezna nacionalna akreditacijska</w:t>
      </w:r>
      <w:r w:rsidRPr="001048FE">
        <w:rPr>
          <w:spacing w:val="-12"/>
          <w:lang w:val="sl-SI"/>
        </w:rPr>
        <w:t xml:space="preserve"> </w:t>
      </w:r>
      <w:r w:rsidRPr="001048FE">
        <w:rPr>
          <w:lang w:val="sl-SI"/>
        </w:rPr>
        <w:t>organizacija.</w:t>
      </w:r>
      <w:r w:rsidRPr="001048FE">
        <w:rPr>
          <w:spacing w:val="-11"/>
          <w:lang w:val="sl-SI"/>
        </w:rPr>
        <w:t xml:space="preserve"> </w:t>
      </w:r>
      <w:r w:rsidRPr="001048FE">
        <w:rPr>
          <w:lang w:val="sl-SI"/>
        </w:rPr>
        <w:t>Ker</w:t>
      </w:r>
      <w:r w:rsidRPr="001048FE">
        <w:rPr>
          <w:spacing w:val="-12"/>
          <w:lang w:val="sl-SI"/>
        </w:rPr>
        <w:t xml:space="preserve"> </w:t>
      </w:r>
      <w:r w:rsidRPr="001048FE">
        <w:rPr>
          <w:lang w:val="sl-SI"/>
        </w:rPr>
        <w:t>niso</w:t>
      </w:r>
      <w:r w:rsidRPr="001048FE">
        <w:rPr>
          <w:spacing w:val="-12"/>
          <w:lang w:val="sl-SI"/>
        </w:rPr>
        <w:t xml:space="preserve"> </w:t>
      </w:r>
      <w:r w:rsidRPr="001048FE">
        <w:rPr>
          <w:lang w:val="sl-SI"/>
        </w:rPr>
        <w:t>upravičene</w:t>
      </w:r>
      <w:r w:rsidRPr="001048FE">
        <w:rPr>
          <w:spacing w:val="-12"/>
          <w:lang w:val="sl-SI"/>
        </w:rPr>
        <w:t xml:space="preserve"> </w:t>
      </w:r>
      <w:r w:rsidRPr="001048FE">
        <w:rPr>
          <w:lang w:val="sl-SI"/>
        </w:rPr>
        <w:t>do</w:t>
      </w:r>
      <w:r w:rsidRPr="001048FE">
        <w:rPr>
          <w:spacing w:val="-12"/>
          <w:lang w:val="sl-SI"/>
        </w:rPr>
        <w:t xml:space="preserve"> </w:t>
      </w:r>
      <w:r w:rsidRPr="001048FE">
        <w:rPr>
          <w:lang w:val="sl-SI"/>
        </w:rPr>
        <w:t>prejema</w:t>
      </w:r>
      <w:r w:rsidRPr="001048FE">
        <w:rPr>
          <w:spacing w:val="-12"/>
          <w:lang w:val="sl-SI"/>
        </w:rPr>
        <w:t xml:space="preserve"> </w:t>
      </w:r>
      <w:r w:rsidRPr="001048FE">
        <w:rPr>
          <w:lang w:val="sl-SI"/>
        </w:rPr>
        <w:t>ECHE,</w:t>
      </w:r>
      <w:r w:rsidRPr="001048FE">
        <w:rPr>
          <w:spacing w:val="-12"/>
          <w:lang w:val="sl-SI"/>
        </w:rPr>
        <w:t xml:space="preserve"> </w:t>
      </w:r>
      <w:r w:rsidRPr="001048FE">
        <w:rPr>
          <w:lang w:val="sl-SI"/>
        </w:rPr>
        <w:t>morajo</w:t>
      </w:r>
      <w:r w:rsidRPr="001048FE">
        <w:rPr>
          <w:spacing w:val="-12"/>
          <w:lang w:val="sl-SI"/>
        </w:rPr>
        <w:t xml:space="preserve"> </w:t>
      </w:r>
      <w:r w:rsidRPr="001048FE">
        <w:rPr>
          <w:lang w:val="sl-SI"/>
        </w:rPr>
        <w:t>imeti</w:t>
      </w:r>
      <w:r w:rsidRPr="001048FE">
        <w:rPr>
          <w:spacing w:val="-12"/>
          <w:lang w:val="sl-SI"/>
        </w:rPr>
        <w:t xml:space="preserve"> </w:t>
      </w:r>
      <w:r w:rsidRPr="001048FE">
        <w:rPr>
          <w:lang w:val="sl-SI"/>
        </w:rPr>
        <w:t>poleg</w:t>
      </w:r>
      <w:r w:rsidRPr="001048FE">
        <w:rPr>
          <w:spacing w:val="-12"/>
          <w:lang w:val="sl-SI"/>
        </w:rPr>
        <w:t xml:space="preserve"> </w:t>
      </w:r>
      <w:r w:rsidRPr="001048FE">
        <w:rPr>
          <w:lang w:val="sl-SI"/>
        </w:rPr>
        <w:t>tega</w:t>
      </w:r>
      <w:r w:rsidRPr="001048FE">
        <w:rPr>
          <w:spacing w:val="-12"/>
          <w:lang w:val="sl-SI"/>
        </w:rPr>
        <w:t xml:space="preserve"> </w:t>
      </w:r>
      <w:r w:rsidRPr="001048FE">
        <w:rPr>
          <w:lang w:val="sl-SI"/>
        </w:rPr>
        <w:t>sklenjen medinstitucionalni sporazum s partnerji iz držav Programa, ki vključuje načela</w:t>
      </w:r>
      <w:r w:rsidRPr="001048FE">
        <w:rPr>
          <w:spacing w:val="-41"/>
          <w:lang w:val="sl-SI"/>
        </w:rPr>
        <w:t xml:space="preserve"> </w:t>
      </w:r>
      <w:r w:rsidRPr="001048FE">
        <w:rPr>
          <w:lang w:val="sl-SI"/>
        </w:rPr>
        <w:t>ECHE.</w:t>
      </w:r>
    </w:p>
    <w:p w14:paraId="7D3988A9" w14:textId="77777777" w:rsidR="00E03711" w:rsidRPr="001048FE" w:rsidRDefault="00E03711" w:rsidP="00B736D0">
      <w:pPr>
        <w:pStyle w:val="Guide-Heading6"/>
        <w:rPr>
          <w:lang w:val="sl-SI"/>
        </w:rPr>
      </w:pPr>
      <w:r w:rsidRPr="001048FE">
        <w:rPr>
          <w:lang w:val="sl-SI"/>
        </w:rPr>
        <w:t>Akreditacija za konzorcij na področju visokošolskega izobraževanja</w:t>
      </w:r>
    </w:p>
    <w:p w14:paraId="7D3988AA" w14:textId="77777777" w:rsidR="00E03711" w:rsidRPr="001048FE" w:rsidRDefault="00E03711" w:rsidP="00B736D0">
      <w:pPr>
        <w:pStyle w:val="GUIDE-NORMAL"/>
        <w:rPr>
          <w:lang w:val="sl-SI"/>
        </w:rPr>
      </w:pPr>
      <w:r w:rsidRPr="001048FE">
        <w:rPr>
          <w:lang w:val="sl-SI"/>
        </w:rPr>
        <w:t>Organizacija iz države Programa, ki se prijavlja v imenu nacionalnega konzorcija za mobilnost, mora biti nosilka veljavne akreditacije za konzorcij. To akreditacijo dodeli ista nacionalna agencija, ki prejme vlogo za pridobitev sredstev za projekt mobilnosti na področju visokošolskega izobraževanja. Zahtevka</w:t>
      </w:r>
      <w:r w:rsidRPr="001048FE">
        <w:rPr>
          <w:spacing w:val="15"/>
          <w:lang w:val="sl-SI"/>
        </w:rPr>
        <w:t xml:space="preserve"> </w:t>
      </w:r>
      <w:r w:rsidRPr="001048FE">
        <w:rPr>
          <w:lang w:val="sl-SI"/>
        </w:rPr>
        <w:t>za</w:t>
      </w:r>
      <w:r w:rsidRPr="001048FE">
        <w:rPr>
          <w:spacing w:val="15"/>
          <w:lang w:val="sl-SI"/>
        </w:rPr>
        <w:t xml:space="preserve"> </w:t>
      </w:r>
      <w:r w:rsidRPr="001048FE">
        <w:rPr>
          <w:lang w:val="sl-SI"/>
        </w:rPr>
        <w:t>akreditacijo</w:t>
      </w:r>
      <w:r w:rsidRPr="001048FE">
        <w:rPr>
          <w:spacing w:val="15"/>
          <w:lang w:val="sl-SI"/>
        </w:rPr>
        <w:t xml:space="preserve"> </w:t>
      </w:r>
      <w:r w:rsidRPr="001048FE">
        <w:rPr>
          <w:lang w:val="sl-SI"/>
        </w:rPr>
        <w:t>in</w:t>
      </w:r>
      <w:r w:rsidRPr="001048FE">
        <w:rPr>
          <w:spacing w:val="15"/>
          <w:lang w:val="sl-SI"/>
        </w:rPr>
        <w:t xml:space="preserve"> </w:t>
      </w:r>
      <w:r w:rsidRPr="001048FE">
        <w:rPr>
          <w:lang w:val="sl-SI"/>
        </w:rPr>
        <w:t>nepovratna</w:t>
      </w:r>
      <w:r w:rsidRPr="001048FE">
        <w:rPr>
          <w:spacing w:val="15"/>
          <w:lang w:val="sl-SI"/>
        </w:rPr>
        <w:t xml:space="preserve"> </w:t>
      </w:r>
      <w:r w:rsidRPr="001048FE">
        <w:rPr>
          <w:lang w:val="sl-SI"/>
        </w:rPr>
        <w:t>sredstva</w:t>
      </w:r>
      <w:r w:rsidRPr="001048FE">
        <w:rPr>
          <w:spacing w:val="15"/>
          <w:lang w:val="sl-SI"/>
        </w:rPr>
        <w:t xml:space="preserve"> </w:t>
      </w:r>
      <w:r w:rsidRPr="001048FE">
        <w:rPr>
          <w:lang w:val="sl-SI"/>
        </w:rPr>
        <w:t>za</w:t>
      </w:r>
      <w:r w:rsidRPr="001048FE">
        <w:rPr>
          <w:spacing w:val="15"/>
          <w:lang w:val="sl-SI"/>
        </w:rPr>
        <w:t xml:space="preserve"> </w:t>
      </w:r>
      <w:r w:rsidRPr="001048FE">
        <w:rPr>
          <w:lang w:val="sl-SI"/>
        </w:rPr>
        <w:t>projekt</w:t>
      </w:r>
      <w:r w:rsidRPr="001048FE">
        <w:rPr>
          <w:spacing w:val="15"/>
          <w:lang w:val="sl-SI"/>
        </w:rPr>
        <w:t xml:space="preserve"> </w:t>
      </w:r>
      <w:r w:rsidRPr="001048FE">
        <w:rPr>
          <w:lang w:val="sl-SI"/>
        </w:rPr>
        <w:t>mobilnosti</w:t>
      </w:r>
      <w:r w:rsidRPr="001048FE">
        <w:rPr>
          <w:spacing w:val="15"/>
          <w:lang w:val="sl-SI"/>
        </w:rPr>
        <w:t xml:space="preserve"> </w:t>
      </w:r>
      <w:r w:rsidRPr="001048FE">
        <w:rPr>
          <w:lang w:val="sl-SI"/>
        </w:rPr>
        <w:t>je</w:t>
      </w:r>
      <w:r w:rsidRPr="001048FE">
        <w:rPr>
          <w:spacing w:val="15"/>
          <w:lang w:val="sl-SI"/>
        </w:rPr>
        <w:t xml:space="preserve"> </w:t>
      </w:r>
      <w:r w:rsidRPr="001048FE">
        <w:rPr>
          <w:lang w:val="sl-SI"/>
        </w:rPr>
        <w:t>mogoče</w:t>
      </w:r>
      <w:r w:rsidRPr="001048FE">
        <w:rPr>
          <w:spacing w:val="15"/>
          <w:lang w:val="sl-SI"/>
        </w:rPr>
        <w:t xml:space="preserve"> </w:t>
      </w:r>
      <w:r w:rsidRPr="001048FE">
        <w:rPr>
          <w:lang w:val="sl-SI"/>
        </w:rPr>
        <w:t>oddati</w:t>
      </w:r>
      <w:r w:rsidRPr="001048FE">
        <w:rPr>
          <w:spacing w:val="17"/>
          <w:lang w:val="sl-SI"/>
        </w:rPr>
        <w:t xml:space="preserve"> </w:t>
      </w:r>
      <w:r w:rsidRPr="001048FE">
        <w:rPr>
          <w:lang w:val="sl-SI"/>
        </w:rPr>
        <w:t>hkrati. Vendar bodo nepovratna sredstva za projekte mobilnosti dodeljena samo tistim visokošolskim institucijam in organizacijam, ki bodo uspešno pridobile akreditacijo. Za pridobitev akreditacije za konzorcij je treba izpolnjevati naslednje pogoje:</w:t>
      </w:r>
    </w:p>
    <w:p w14:paraId="7D3988AB" w14:textId="77777777" w:rsidR="00E03711" w:rsidRPr="001048FE" w:rsidRDefault="00E03711" w:rsidP="00C31172">
      <w:pPr>
        <w:pStyle w:val="Guide-Heading6"/>
        <w:rPr>
          <w:lang w:val="sl-SI"/>
        </w:rPr>
      </w:pPr>
      <w:r w:rsidRPr="001048FE">
        <w:rPr>
          <w:lang w:val="sl-SI"/>
        </w:rPr>
        <w:t>Merila za upravičenost</w:t>
      </w:r>
    </w:p>
    <w:tbl>
      <w:tblPr>
        <w:tblW w:w="5000" w:type="pct"/>
        <w:shd w:val="clear" w:color="auto" w:fill="FFFFFF"/>
        <w:tblLook w:val="0000" w:firstRow="0" w:lastRow="0" w:firstColumn="0" w:lastColumn="0" w:noHBand="0" w:noVBand="0"/>
      </w:tblPr>
      <w:tblGrid>
        <w:gridCol w:w="1568"/>
        <w:gridCol w:w="7722"/>
      </w:tblGrid>
      <w:tr w:rsidR="00E03711" w:rsidRPr="00C60205" w14:paraId="7D3988B1" w14:textId="77777777" w:rsidTr="007725C3">
        <w:trPr>
          <w:cantSplit/>
          <w:trHeight w:val="57"/>
        </w:trPr>
        <w:tc>
          <w:tcPr>
            <w:tcW w:w="844" w:type="pct"/>
            <w:tcBorders>
              <w:top w:val="single" w:sz="4" w:space="0" w:color="auto"/>
              <w:left w:val="single" w:sz="4" w:space="0" w:color="auto"/>
              <w:bottom w:val="dashed" w:sz="4" w:space="0" w:color="auto"/>
              <w:right w:val="single" w:sz="8" w:space="0" w:color="000000"/>
            </w:tcBorders>
            <w:shd w:val="clear" w:color="auto" w:fill="FFFFFF"/>
            <w:vAlign w:val="center"/>
          </w:tcPr>
          <w:p w14:paraId="7D3988AC" w14:textId="77777777" w:rsidR="00E03711" w:rsidRPr="00F769E0" w:rsidRDefault="00E03711" w:rsidP="0075479E">
            <w:pPr>
              <w:pStyle w:val="Guide-Table"/>
              <w:spacing w:before="60" w:after="60"/>
              <w:jc w:val="left"/>
              <w:rPr>
                <w:rFonts w:cs="Tahoma"/>
                <w:b/>
                <w:lang w:val="sl-SI" w:eastAsia="en-GB"/>
              </w:rPr>
            </w:pPr>
            <w:r w:rsidRPr="00F769E0">
              <w:rPr>
                <w:rFonts w:cs="Tahoma"/>
                <w:b/>
                <w:lang w:val="sl-SI" w:eastAsia="en-GB"/>
              </w:rPr>
              <w:t>Upravičene sodelujoče organizacije</w:t>
            </w:r>
          </w:p>
        </w:tc>
        <w:tc>
          <w:tcPr>
            <w:tcW w:w="4156" w:type="pct"/>
            <w:tcBorders>
              <w:top w:val="single" w:sz="4" w:space="0" w:color="auto"/>
              <w:left w:val="single" w:sz="8" w:space="0" w:color="000000"/>
              <w:bottom w:val="dashed" w:sz="4" w:space="0" w:color="auto"/>
              <w:right w:val="single" w:sz="4" w:space="0" w:color="auto"/>
            </w:tcBorders>
            <w:shd w:val="clear" w:color="auto" w:fill="FFFFFF"/>
            <w:vAlign w:val="center"/>
          </w:tcPr>
          <w:p w14:paraId="7D3988AD"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Nacionalni konzorcij za mobilnost na področju visokošolskega izobraževanja je lahko sestavljen iz naslednjih sodelujočih</w:t>
            </w:r>
            <w:r w:rsidRPr="00F769E0">
              <w:rPr>
                <w:rFonts w:cs="Tahoma"/>
                <w:spacing w:val="32"/>
                <w:lang w:val="sl-SI" w:eastAsia="en-GB"/>
              </w:rPr>
              <w:t xml:space="preserve"> </w:t>
            </w:r>
            <w:r w:rsidRPr="00F769E0">
              <w:rPr>
                <w:rFonts w:cs="Tahoma"/>
                <w:lang w:val="sl-SI" w:eastAsia="en-GB"/>
              </w:rPr>
              <w:t>organizacij:</w:t>
            </w:r>
          </w:p>
          <w:p w14:paraId="7D3988AE" w14:textId="77777777" w:rsidR="00E03711" w:rsidRPr="001048FE" w:rsidRDefault="00E03711" w:rsidP="005115F2">
            <w:pPr>
              <w:pStyle w:val="Guide-NormalBulletpoints"/>
              <w:numPr>
                <w:ilvl w:val="0"/>
                <w:numId w:val="204"/>
              </w:numPr>
              <w:spacing w:before="60"/>
              <w:rPr>
                <w:lang w:val="sl-SI"/>
              </w:rPr>
            </w:pPr>
            <w:r w:rsidRPr="001048FE">
              <w:rPr>
                <w:lang w:val="sl-SI"/>
              </w:rPr>
              <w:t>visokošolskih</w:t>
            </w:r>
            <w:r w:rsidRPr="001048FE">
              <w:rPr>
                <w:spacing w:val="-8"/>
                <w:lang w:val="sl-SI"/>
              </w:rPr>
              <w:t xml:space="preserve"> </w:t>
            </w:r>
            <w:r w:rsidRPr="001048FE">
              <w:rPr>
                <w:lang w:val="sl-SI"/>
              </w:rPr>
              <w:t>institucij,</w:t>
            </w:r>
            <w:r w:rsidRPr="001048FE">
              <w:rPr>
                <w:spacing w:val="-8"/>
                <w:lang w:val="sl-SI"/>
              </w:rPr>
              <w:t xml:space="preserve"> </w:t>
            </w:r>
            <w:r w:rsidRPr="001048FE">
              <w:rPr>
                <w:lang w:val="sl-SI"/>
              </w:rPr>
              <w:t>ki</w:t>
            </w:r>
            <w:r w:rsidRPr="001048FE">
              <w:rPr>
                <w:spacing w:val="-8"/>
                <w:lang w:val="sl-SI"/>
              </w:rPr>
              <w:t xml:space="preserve"> </w:t>
            </w:r>
            <w:r w:rsidRPr="001048FE">
              <w:rPr>
                <w:lang w:val="sl-SI"/>
              </w:rPr>
              <w:t>so</w:t>
            </w:r>
            <w:r w:rsidRPr="001048FE">
              <w:rPr>
                <w:spacing w:val="-8"/>
                <w:lang w:val="sl-SI"/>
              </w:rPr>
              <w:t xml:space="preserve"> </w:t>
            </w:r>
            <w:r w:rsidRPr="001048FE">
              <w:rPr>
                <w:lang w:val="sl-SI"/>
              </w:rPr>
              <w:t>nosilke</w:t>
            </w:r>
            <w:r w:rsidRPr="001048FE">
              <w:rPr>
                <w:spacing w:val="-8"/>
                <w:lang w:val="sl-SI"/>
              </w:rPr>
              <w:t xml:space="preserve"> </w:t>
            </w:r>
            <w:r w:rsidRPr="001048FE">
              <w:rPr>
                <w:lang w:val="sl-SI"/>
              </w:rPr>
              <w:t>veljavne</w:t>
            </w:r>
            <w:r w:rsidRPr="001048FE">
              <w:rPr>
                <w:spacing w:val="-8"/>
                <w:lang w:val="sl-SI"/>
              </w:rPr>
              <w:t xml:space="preserve"> </w:t>
            </w:r>
            <w:r w:rsidRPr="001048FE">
              <w:rPr>
                <w:lang w:val="sl-SI"/>
              </w:rPr>
              <w:t>Listine</w:t>
            </w:r>
            <w:r w:rsidRPr="001048FE">
              <w:rPr>
                <w:spacing w:val="-8"/>
                <w:lang w:val="sl-SI"/>
              </w:rPr>
              <w:t xml:space="preserve"> </w:t>
            </w:r>
            <w:r w:rsidRPr="001048FE">
              <w:rPr>
                <w:lang w:val="sl-SI"/>
              </w:rPr>
              <w:t>Erasmus</w:t>
            </w:r>
            <w:r w:rsidRPr="001048FE">
              <w:rPr>
                <w:spacing w:val="-8"/>
                <w:lang w:val="sl-SI"/>
              </w:rPr>
              <w:t xml:space="preserve"> </w:t>
            </w:r>
            <w:r w:rsidRPr="001048FE">
              <w:rPr>
                <w:lang w:val="sl-SI"/>
              </w:rPr>
              <w:t>za</w:t>
            </w:r>
            <w:r w:rsidRPr="001048FE">
              <w:rPr>
                <w:spacing w:val="-8"/>
                <w:lang w:val="sl-SI"/>
              </w:rPr>
              <w:t xml:space="preserve"> </w:t>
            </w:r>
            <w:r w:rsidRPr="001048FE">
              <w:rPr>
                <w:lang w:val="sl-SI"/>
              </w:rPr>
              <w:t>terciarno izobraževanje (za več informacij o listini glej navedeno poglavje „Listina Erasmus za terciarno izobraževanje“ in Prilogo I k temu vodniku),</w:t>
            </w:r>
            <w:r w:rsidRPr="001048FE">
              <w:rPr>
                <w:spacing w:val="-38"/>
                <w:lang w:val="sl-SI"/>
              </w:rPr>
              <w:t xml:space="preserve"> </w:t>
            </w:r>
            <w:r w:rsidRPr="001048FE">
              <w:rPr>
                <w:lang w:val="sl-SI"/>
              </w:rPr>
              <w:t>in</w:t>
            </w:r>
          </w:p>
          <w:p w14:paraId="7D3988AF" w14:textId="77777777" w:rsidR="00E03711" w:rsidRPr="001048FE" w:rsidRDefault="00E03711" w:rsidP="005115F2">
            <w:pPr>
              <w:pStyle w:val="Guide-NormalBulletpoints"/>
              <w:numPr>
                <w:ilvl w:val="0"/>
                <w:numId w:val="204"/>
              </w:numPr>
              <w:spacing w:before="60"/>
              <w:rPr>
                <w:lang w:val="sl-SI"/>
              </w:rPr>
            </w:pPr>
            <w:r w:rsidRPr="001048FE">
              <w:rPr>
                <w:lang w:val="sl-SI"/>
              </w:rPr>
              <w:t>katere koli javne ali zasebne organizacije, ki je dejavna na trgu dela ali področju</w:t>
            </w:r>
            <w:r w:rsidRPr="001048FE">
              <w:rPr>
                <w:spacing w:val="-10"/>
                <w:lang w:val="sl-SI"/>
              </w:rPr>
              <w:t xml:space="preserve"> </w:t>
            </w:r>
            <w:r w:rsidRPr="001048FE">
              <w:rPr>
                <w:lang w:val="sl-SI"/>
              </w:rPr>
              <w:t>izobraževanja,</w:t>
            </w:r>
            <w:r w:rsidRPr="001048FE">
              <w:rPr>
                <w:spacing w:val="-10"/>
                <w:lang w:val="sl-SI"/>
              </w:rPr>
              <w:t xml:space="preserve"> </w:t>
            </w:r>
            <w:r w:rsidRPr="001048FE">
              <w:rPr>
                <w:lang w:val="sl-SI"/>
              </w:rPr>
              <w:t>usposabljanja</w:t>
            </w:r>
            <w:r w:rsidRPr="001048FE">
              <w:rPr>
                <w:spacing w:val="-10"/>
                <w:lang w:val="sl-SI"/>
              </w:rPr>
              <w:t xml:space="preserve"> </w:t>
            </w:r>
            <w:r w:rsidRPr="001048FE">
              <w:rPr>
                <w:lang w:val="sl-SI"/>
              </w:rPr>
              <w:t>in</w:t>
            </w:r>
            <w:r w:rsidRPr="001048FE">
              <w:rPr>
                <w:spacing w:val="-10"/>
                <w:lang w:val="sl-SI"/>
              </w:rPr>
              <w:t xml:space="preserve"> </w:t>
            </w:r>
            <w:r w:rsidRPr="001048FE">
              <w:rPr>
                <w:lang w:val="sl-SI"/>
              </w:rPr>
              <w:t>mladine</w:t>
            </w:r>
            <w:r w:rsidRPr="001048FE">
              <w:rPr>
                <w:spacing w:val="-10"/>
                <w:lang w:val="sl-SI"/>
              </w:rPr>
              <w:t xml:space="preserve"> </w:t>
            </w:r>
            <w:r w:rsidRPr="001048FE">
              <w:rPr>
                <w:lang w:val="sl-SI"/>
              </w:rPr>
              <w:t>(glej</w:t>
            </w:r>
            <w:r w:rsidRPr="001048FE">
              <w:rPr>
                <w:spacing w:val="-10"/>
                <w:lang w:val="sl-SI"/>
              </w:rPr>
              <w:t xml:space="preserve"> </w:t>
            </w:r>
            <w:r w:rsidRPr="001048FE">
              <w:rPr>
                <w:lang w:val="sl-SI"/>
              </w:rPr>
              <w:t>primere</w:t>
            </w:r>
            <w:r w:rsidRPr="001048FE">
              <w:rPr>
                <w:spacing w:val="-10"/>
                <w:lang w:val="sl-SI"/>
              </w:rPr>
              <w:t xml:space="preserve"> </w:t>
            </w:r>
            <w:r w:rsidRPr="001048FE">
              <w:rPr>
                <w:lang w:val="sl-SI"/>
              </w:rPr>
              <w:t>upravičenih sodelujočih organizacij na prejšnji</w:t>
            </w:r>
            <w:r w:rsidRPr="001048FE">
              <w:rPr>
                <w:spacing w:val="-8"/>
                <w:lang w:val="sl-SI"/>
              </w:rPr>
              <w:t xml:space="preserve"> </w:t>
            </w:r>
            <w:r w:rsidRPr="001048FE">
              <w:rPr>
                <w:lang w:val="sl-SI"/>
              </w:rPr>
              <w:t>strani).</w:t>
            </w:r>
          </w:p>
          <w:p w14:paraId="7D3988B0"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Vse sodelujoče organizacije morajo imeti sedež v isti državi Programa.</w:t>
            </w:r>
          </w:p>
        </w:tc>
      </w:tr>
      <w:tr w:rsidR="00E03711" w:rsidRPr="00C60205" w14:paraId="7D3988B4" w14:textId="77777777" w:rsidTr="007725C3">
        <w:trPr>
          <w:cantSplit/>
          <w:trHeight w:val="57"/>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7D3988B2" w14:textId="77777777" w:rsidR="00E03711" w:rsidRPr="00F769E0" w:rsidRDefault="00E03711" w:rsidP="0075479E">
            <w:pPr>
              <w:pStyle w:val="Guide-Table"/>
              <w:spacing w:before="60" w:after="60"/>
              <w:jc w:val="left"/>
              <w:rPr>
                <w:rFonts w:cs="Tahoma"/>
                <w:b/>
                <w:lang w:val="sl-SI" w:eastAsia="en-GB"/>
              </w:rPr>
            </w:pPr>
            <w:r w:rsidRPr="00F769E0">
              <w:rPr>
                <w:rFonts w:cs="Tahoma"/>
                <w:b/>
                <w:bCs/>
                <w:lang w:val="sl-SI" w:eastAsia="en-GB"/>
              </w:rPr>
              <w:t>Kdo se lahko prijavi?</w:t>
            </w:r>
          </w:p>
        </w:tc>
        <w:tc>
          <w:tcPr>
            <w:tcW w:w="4156" w:type="pct"/>
            <w:tcBorders>
              <w:top w:val="dashed" w:sz="4" w:space="0" w:color="auto"/>
              <w:left w:val="single" w:sz="8" w:space="0" w:color="000000"/>
              <w:bottom w:val="dashed" w:sz="4" w:space="0" w:color="auto"/>
              <w:right w:val="single" w:sz="4" w:space="0" w:color="auto"/>
            </w:tcBorders>
            <w:shd w:val="clear" w:color="auto" w:fill="FFFFFF"/>
            <w:vAlign w:val="center"/>
          </w:tcPr>
          <w:p w14:paraId="7D3988B3"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Katera koli upravičena sodelujoča organizacija je lahko koordinator in se prijavi v imenu vseh organizacij, ki so vključene v konzorcij.</w:t>
            </w:r>
          </w:p>
        </w:tc>
      </w:tr>
      <w:tr w:rsidR="00E03711" w:rsidRPr="00C60205" w14:paraId="7D3988B8" w14:textId="77777777" w:rsidTr="00B40A9C">
        <w:trPr>
          <w:cantSplit/>
          <w:trHeight w:val="1358"/>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7D3988B5" w14:textId="77777777" w:rsidR="00E03711" w:rsidRPr="00F769E0" w:rsidRDefault="00E03711" w:rsidP="0075479E">
            <w:pPr>
              <w:pStyle w:val="Guide-Table"/>
              <w:spacing w:before="60" w:after="60"/>
              <w:jc w:val="left"/>
              <w:rPr>
                <w:rFonts w:cs="Tahoma"/>
                <w:b/>
                <w:bCs/>
                <w:lang w:val="sl-SI" w:eastAsia="en-GB"/>
              </w:rPr>
            </w:pPr>
            <w:r w:rsidRPr="00F769E0">
              <w:rPr>
                <w:rFonts w:cs="Tahoma"/>
                <w:b/>
                <w:lang w:val="sl-SI" w:eastAsia="en-GB"/>
              </w:rPr>
              <w:t>Število sodelujočih organizacij</w:t>
            </w:r>
          </w:p>
        </w:tc>
        <w:tc>
          <w:tcPr>
            <w:tcW w:w="4156" w:type="pct"/>
            <w:tcBorders>
              <w:top w:val="dashed" w:sz="4" w:space="0" w:color="auto"/>
              <w:left w:val="single" w:sz="8" w:space="0" w:color="000000"/>
              <w:bottom w:val="dashed" w:sz="4" w:space="0" w:color="auto"/>
              <w:right w:val="single" w:sz="4" w:space="0" w:color="auto"/>
            </w:tcBorders>
            <w:shd w:val="clear" w:color="auto" w:fill="FFFFFF"/>
            <w:vAlign w:val="center"/>
          </w:tcPr>
          <w:p w14:paraId="7D3988B6"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Nacionalni konzorcij za mobilnost mora biti sestavljen iz vsaj treh upravičenih</w:t>
            </w:r>
            <w:r w:rsidRPr="00F769E0">
              <w:rPr>
                <w:rFonts w:cs="Tahoma"/>
                <w:spacing w:val="-21"/>
                <w:lang w:val="sl-SI" w:eastAsia="en-GB"/>
              </w:rPr>
              <w:t xml:space="preserve"> </w:t>
            </w:r>
            <w:r w:rsidRPr="00F769E0">
              <w:rPr>
                <w:rFonts w:cs="Tahoma"/>
                <w:lang w:val="sl-SI" w:eastAsia="en-GB"/>
              </w:rPr>
              <w:t>sodelujočih</w:t>
            </w:r>
            <w:r w:rsidRPr="00F769E0">
              <w:rPr>
                <w:rFonts w:cs="Tahoma"/>
                <w:spacing w:val="-21"/>
                <w:lang w:val="sl-SI" w:eastAsia="en-GB"/>
              </w:rPr>
              <w:t xml:space="preserve"> </w:t>
            </w:r>
            <w:r w:rsidRPr="00F769E0">
              <w:rPr>
                <w:rFonts w:cs="Tahoma"/>
                <w:lang w:val="sl-SI" w:eastAsia="en-GB"/>
              </w:rPr>
              <w:t>organizacij,</w:t>
            </w:r>
            <w:r w:rsidRPr="00F769E0">
              <w:rPr>
                <w:rFonts w:cs="Tahoma"/>
                <w:spacing w:val="-20"/>
                <w:lang w:val="sl-SI" w:eastAsia="en-GB"/>
              </w:rPr>
              <w:t xml:space="preserve"> </w:t>
            </w:r>
            <w:r w:rsidRPr="00F769E0">
              <w:rPr>
                <w:rFonts w:cs="Tahoma"/>
                <w:lang w:val="sl-SI" w:eastAsia="en-GB"/>
              </w:rPr>
              <w:t>vključno</w:t>
            </w:r>
            <w:r w:rsidRPr="00F769E0">
              <w:rPr>
                <w:rFonts w:cs="Tahoma"/>
                <w:spacing w:val="-21"/>
                <w:lang w:val="sl-SI" w:eastAsia="en-GB"/>
              </w:rPr>
              <w:t xml:space="preserve"> </w:t>
            </w:r>
            <w:r w:rsidRPr="00F769E0">
              <w:rPr>
                <w:rFonts w:cs="Tahoma"/>
                <w:lang w:val="sl-SI" w:eastAsia="en-GB"/>
              </w:rPr>
              <w:t>z</w:t>
            </w:r>
            <w:r w:rsidRPr="00F769E0">
              <w:rPr>
                <w:rFonts w:cs="Tahoma"/>
                <w:spacing w:val="-21"/>
                <w:lang w:val="sl-SI" w:eastAsia="en-GB"/>
              </w:rPr>
              <w:t xml:space="preserve"> </w:t>
            </w:r>
            <w:r w:rsidRPr="00F769E0">
              <w:rPr>
                <w:rFonts w:cs="Tahoma"/>
                <w:lang w:val="sl-SI" w:eastAsia="en-GB"/>
              </w:rPr>
              <w:t>dvema</w:t>
            </w:r>
            <w:r w:rsidRPr="00F769E0">
              <w:rPr>
                <w:rFonts w:cs="Tahoma"/>
                <w:spacing w:val="-21"/>
                <w:lang w:val="sl-SI" w:eastAsia="en-GB"/>
              </w:rPr>
              <w:t xml:space="preserve"> </w:t>
            </w:r>
            <w:r w:rsidRPr="00F769E0">
              <w:rPr>
                <w:rFonts w:cs="Tahoma"/>
                <w:lang w:val="sl-SI" w:eastAsia="en-GB"/>
              </w:rPr>
              <w:t>visokošolskima institucijama</w:t>
            </w:r>
            <w:r w:rsidRPr="00F769E0">
              <w:rPr>
                <w:rFonts w:cs="Tahoma"/>
                <w:spacing w:val="-2"/>
                <w:lang w:val="sl-SI" w:eastAsia="en-GB"/>
              </w:rPr>
              <w:t xml:space="preserve"> </w:t>
            </w:r>
            <w:r w:rsidRPr="00F769E0">
              <w:rPr>
                <w:rFonts w:cs="Tahoma"/>
                <w:lang w:val="sl-SI" w:eastAsia="en-GB"/>
              </w:rPr>
              <w:t>pošiljateljicama.</w:t>
            </w:r>
          </w:p>
          <w:p w14:paraId="7D3988B7"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Ob prijavi za akreditacijo za konzorcij morajo biti opredeljene vse organizacije, ki so članice nacionalnega konzorcija za mobilnost.</w:t>
            </w:r>
          </w:p>
        </w:tc>
      </w:tr>
      <w:tr w:rsidR="00E03711" w:rsidRPr="00C60205" w14:paraId="7D3988BB" w14:textId="77777777" w:rsidTr="007725C3">
        <w:trPr>
          <w:cantSplit/>
          <w:trHeight w:val="79"/>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7D3988B9" w14:textId="77777777" w:rsidR="00E03711" w:rsidRPr="00F769E0" w:rsidRDefault="00E03711" w:rsidP="0075479E">
            <w:pPr>
              <w:pStyle w:val="Guide-Table"/>
              <w:spacing w:before="60" w:after="60"/>
              <w:jc w:val="left"/>
              <w:rPr>
                <w:rFonts w:cs="Tahoma"/>
                <w:b/>
                <w:bCs/>
                <w:lang w:val="sl-SI" w:eastAsia="en-GB"/>
              </w:rPr>
            </w:pPr>
            <w:r w:rsidRPr="00F769E0">
              <w:rPr>
                <w:rFonts w:cs="Tahoma"/>
                <w:b/>
                <w:lang w:val="sl-SI" w:eastAsia="en-GB"/>
              </w:rPr>
              <w:t>Trajanje akreditacije</w:t>
            </w:r>
          </w:p>
        </w:tc>
        <w:tc>
          <w:tcPr>
            <w:tcW w:w="4156" w:type="pct"/>
            <w:tcBorders>
              <w:top w:val="dashed" w:sz="4" w:space="0" w:color="auto"/>
              <w:left w:val="nil"/>
              <w:bottom w:val="dashed" w:sz="4" w:space="0" w:color="auto"/>
              <w:right w:val="single" w:sz="4" w:space="0" w:color="auto"/>
            </w:tcBorders>
            <w:shd w:val="clear" w:color="auto" w:fill="FFFFFF"/>
            <w:vAlign w:val="center"/>
          </w:tcPr>
          <w:p w14:paraId="7D3988BA"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Vsi zaporedni letni razpisi in največ do razpisa leta 2020.</w:t>
            </w:r>
          </w:p>
        </w:tc>
      </w:tr>
      <w:tr w:rsidR="00E03711" w:rsidRPr="00C60205" w14:paraId="7D3988BE" w14:textId="77777777" w:rsidTr="007725C3">
        <w:trPr>
          <w:cantSplit/>
          <w:trHeight w:val="57"/>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7D3988BC" w14:textId="77777777" w:rsidR="00E03711" w:rsidRPr="00F769E0" w:rsidRDefault="00E03711" w:rsidP="0075479E">
            <w:pPr>
              <w:pStyle w:val="Guide-Table"/>
              <w:spacing w:before="60" w:after="60"/>
              <w:jc w:val="left"/>
              <w:rPr>
                <w:rFonts w:cs="Tahoma"/>
                <w:b/>
                <w:bCs/>
                <w:lang w:val="sl-SI" w:eastAsia="en-GB"/>
              </w:rPr>
            </w:pPr>
            <w:r w:rsidRPr="00F769E0">
              <w:rPr>
                <w:rFonts w:cs="Tahoma"/>
                <w:b/>
                <w:lang w:val="sl-SI" w:eastAsia="en-GB"/>
              </w:rPr>
              <w:t>Kje</w:t>
            </w:r>
            <w:r w:rsidRPr="00F769E0">
              <w:rPr>
                <w:rFonts w:cs="Tahoma"/>
                <w:b/>
                <w:spacing w:val="6"/>
                <w:lang w:val="sl-SI" w:eastAsia="en-GB"/>
              </w:rPr>
              <w:t xml:space="preserve"> </w:t>
            </w:r>
            <w:r w:rsidRPr="00F769E0">
              <w:rPr>
                <w:rFonts w:cs="Tahoma"/>
                <w:b/>
                <w:lang w:val="sl-SI" w:eastAsia="en-GB"/>
              </w:rPr>
              <w:t>se</w:t>
            </w:r>
            <w:r w:rsidRPr="00F769E0">
              <w:rPr>
                <w:rFonts w:cs="Tahoma"/>
                <w:b/>
                <w:spacing w:val="6"/>
                <w:lang w:val="sl-SI" w:eastAsia="en-GB"/>
              </w:rPr>
              <w:t xml:space="preserve"> </w:t>
            </w:r>
            <w:r w:rsidRPr="00F769E0">
              <w:rPr>
                <w:rFonts w:cs="Tahoma"/>
                <w:b/>
                <w:lang w:val="sl-SI" w:eastAsia="en-GB"/>
              </w:rPr>
              <w:t>prijaviti?</w:t>
            </w:r>
          </w:p>
        </w:tc>
        <w:tc>
          <w:tcPr>
            <w:tcW w:w="4156" w:type="pct"/>
            <w:tcBorders>
              <w:top w:val="dashed" w:sz="4" w:space="0" w:color="auto"/>
              <w:left w:val="nil"/>
              <w:bottom w:val="dashed" w:sz="4" w:space="0" w:color="auto"/>
              <w:right w:val="single" w:sz="4" w:space="0" w:color="auto"/>
            </w:tcBorders>
            <w:shd w:val="clear" w:color="auto" w:fill="FFFFFF"/>
            <w:vAlign w:val="center"/>
          </w:tcPr>
          <w:p w14:paraId="7D3988BD"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Pri nacionalni agenciji v državi, kjer ima organizacija prijaviteljica sedež.</w:t>
            </w:r>
          </w:p>
        </w:tc>
      </w:tr>
      <w:tr w:rsidR="00E03711" w:rsidRPr="00C60205" w14:paraId="7D3988C1" w14:textId="77777777" w:rsidTr="007725C3">
        <w:trPr>
          <w:cantSplit/>
          <w:trHeight w:val="57"/>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14:paraId="7D3988BF" w14:textId="77777777" w:rsidR="00E03711" w:rsidRPr="00F769E0" w:rsidRDefault="00E03711" w:rsidP="0075479E">
            <w:pPr>
              <w:pStyle w:val="Guide-Table"/>
              <w:spacing w:before="60" w:after="60"/>
              <w:jc w:val="left"/>
              <w:rPr>
                <w:rFonts w:cs="Tahoma"/>
                <w:b/>
                <w:bCs/>
                <w:lang w:val="sl-SI" w:eastAsia="en-GB"/>
              </w:rPr>
            </w:pPr>
            <w:r w:rsidRPr="00F769E0">
              <w:rPr>
                <w:rFonts w:cs="Tahoma"/>
                <w:b/>
                <w:bCs/>
                <w:lang w:val="sl-SI" w:eastAsia="en-GB"/>
              </w:rPr>
              <w:t>Kdaj se prijaviti?</w:t>
            </w:r>
          </w:p>
        </w:tc>
        <w:tc>
          <w:tcPr>
            <w:tcW w:w="4156" w:type="pct"/>
            <w:tcBorders>
              <w:top w:val="dashed" w:sz="4" w:space="0" w:color="auto"/>
              <w:left w:val="nil"/>
              <w:bottom w:val="dashed" w:sz="4" w:space="0" w:color="auto"/>
              <w:right w:val="single" w:sz="4" w:space="0" w:color="auto"/>
            </w:tcBorders>
            <w:shd w:val="clear" w:color="auto" w:fill="FFFFFF"/>
            <w:vAlign w:val="center"/>
          </w:tcPr>
          <w:p w14:paraId="7D3988C0" w14:textId="77777777" w:rsidR="00E03711" w:rsidRPr="00F769E0" w:rsidRDefault="00E03711" w:rsidP="004901DD">
            <w:pPr>
              <w:pStyle w:val="GUIDE-NORMAL"/>
              <w:spacing w:before="60" w:after="60"/>
              <w:rPr>
                <w:rFonts w:cs="Tahoma"/>
                <w:lang w:val="sl-SI" w:eastAsia="en-GB"/>
              </w:rPr>
            </w:pPr>
            <w:r w:rsidRPr="00F769E0">
              <w:rPr>
                <w:rFonts w:cs="Tahoma"/>
                <w:lang w:val="sl-SI" w:eastAsia="en-GB"/>
              </w:rPr>
              <w:t xml:space="preserve">Prijavitelji morajo vlogo za akreditacijo oddati do </w:t>
            </w:r>
            <w:r w:rsidRPr="00F769E0">
              <w:rPr>
                <w:rFonts w:cs="Tahoma"/>
                <w:b/>
                <w:lang w:val="sl-SI" w:eastAsia="en-GB"/>
              </w:rPr>
              <w:t>5. februarja do 12. ure (opoldne po bruseljskem času)</w:t>
            </w:r>
            <w:r w:rsidRPr="00F769E0">
              <w:rPr>
                <w:rFonts w:cs="Tahoma"/>
                <w:lang w:val="sl-SI" w:eastAsia="en-GB"/>
              </w:rPr>
              <w:t xml:space="preserve"> za projekte, ki se začnejo istega leta.</w:t>
            </w:r>
          </w:p>
        </w:tc>
      </w:tr>
      <w:tr w:rsidR="00E03711" w:rsidRPr="00C60205" w14:paraId="7D3988C4" w14:textId="77777777" w:rsidTr="007725C3">
        <w:trPr>
          <w:cantSplit/>
          <w:trHeight w:val="60"/>
        </w:trPr>
        <w:tc>
          <w:tcPr>
            <w:tcW w:w="844" w:type="pct"/>
            <w:tcBorders>
              <w:top w:val="dashed" w:sz="4" w:space="0" w:color="auto"/>
              <w:left w:val="single" w:sz="4" w:space="0" w:color="auto"/>
              <w:bottom w:val="single" w:sz="4" w:space="0" w:color="auto"/>
              <w:right w:val="single" w:sz="8" w:space="0" w:color="000000"/>
            </w:tcBorders>
            <w:shd w:val="clear" w:color="auto" w:fill="FFFFFF"/>
            <w:vAlign w:val="center"/>
          </w:tcPr>
          <w:p w14:paraId="7D3988C2" w14:textId="77777777" w:rsidR="00E03711" w:rsidRPr="00F769E0" w:rsidRDefault="00E03711" w:rsidP="0075479E">
            <w:pPr>
              <w:pStyle w:val="Guide-Table"/>
              <w:spacing w:before="60" w:after="60"/>
              <w:jc w:val="left"/>
              <w:rPr>
                <w:rFonts w:cs="Tahoma"/>
                <w:b/>
                <w:lang w:val="sl-SI" w:eastAsia="en-GB"/>
              </w:rPr>
            </w:pPr>
            <w:r w:rsidRPr="00F769E0">
              <w:rPr>
                <w:rFonts w:cs="Tahoma"/>
                <w:b/>
                <w:bCs/>
                <w:lang w:val="sl-SI" w:eastAsia="en-GB"/>
              </w:rPr>
              <w:t>Kako se prijaviti?</w:t>
            </w:r>
          </w:p>
        </w:tc>
        <w:tc>
          <w:tcPr>
            <w:tcW w:w="4156" w:type="pct"/>
            <w:tcBorders>
              <w:top w:val="dashed" w:sz="4" w:space="0" w:color="auto"/>
              <w:left w:val="nil"/>
              <w:bottom w:val="single" w:sz="4" w:space="0" w:color="auto"/>
              <w:right w:val="single" w:sz="4" w:space="0" w:color="auto"/>
            </w:tcBorders>
            <w:shd w:val="clear" w:color="auto" w:fill="FFFFFF"/>
            <w:vAlign w:val="center"/>
          </w:tcPr>
          <w:p w14:paraId="7D3988C3" w14:textId="77777777" w:rsidR="00E03711" w:rsidRPr="00F769E0" w:rsidRDefault="00E03711" w:rsidP="0075479E">
            <w:pPr>
              <w:pStyle w:val="GUIDE-NORMAL"/>
              <w:spacing w:before="60" w:after="60"/>
              <w:rPr>
                <w:rFonts w:cs="Tahoma"/>
                <w:lang w:val="sl-SI" w:eastAsia="en-GB"/>
              </w:rPr>
            </w:pPr>
            <w:r w:rsidRPr="00F769E0">
              <w:rPr>
                <w:rFonts w:cs="Tahoma"/>
                <w:lang w:val="sl-SI" w:eastAsia="en-GB"/>
              </w:rPr>
              <w:t>Za podrobnosti o postopku prijave glej del C tega vodnika.</w:t>
            </w:r>
          </w:p>
        </w:tc>
      </w:tr>
    </w:tbl>
    <w:p w14:paraId="7D3988C5" w14:textId="77777777" w:rsidR="00E03711" w:rsidRPr="001048FE" w:rsidRDefault="00E03711" w:rsidP="00E23D2D">
      <w:pPr>
        <w:pStyle w:val="Guide-Heading6"/>
        <w:rPr>
          <w:lang w:val="sl-SI"/>
        </w:rPr>
      </w:pPr>
      <w:r w:rsidRPr="001048FE">
        <w:rPr>
          <w:lang w:val="sl-SI"/>
        </w:rPr>
        <w:t>Merila za dodelitev</w:t>
      </w:r>
    </w:p>
    <w:p w14:paraId="7D3988C6" w14:textId="77777777" w:rsidR="00E03711" w:rsidRPr="001048FE" w:rsidRDefault="00E03711" w:rsidP="00B40A9C">
      <w:pPr>
        <w:pStyle w:val="GUIDE-NORMAL"/>
        <w:rPr>
          <w:lang w:val="sl-SI"/>
        </w:rPr>
      </w:pPr>
      <w:r w:rsidRPr="001048FE">
        <w:rPr>
          <w:lang w:val="sl-SI"/>
        </w:rPr>
        <w:t>Vloga za akreditacijo bo ocenjena z naslednjimi merili:</w:t>
      </w:r>
    </w:p>
    <w:tbl>
      <w:tblPr>
        <w:tblW w:w="5000" w:type="pct"/>
        <w:shd w:val="clear" w:color="auto" w:fill="FFFFFF"/>
        <w:tblLook w:val="0000" w:firstRow="0" w:lastRow="0" w:firstColumn="0" w:lastColumn="0" w:noHBand="0" w:noVBand="0"/>
      </w:tblPr>
      <w:tblGrid>
        <w:gridCol w:w="1568"/>
        <w:gridCol w:w="7722"/>
      </w:tblGrid>
      <w:tr w:rsidR="00E03711" w:rsidRPr="00C60205" w14:paraId="7D3988CF" w14:textId="77777777" w:rsidTr="00CC32B1">
        <w:trPr>
          <w:cantSplit/>
          <w:trHeight w:val="340"/>
        </w:trPr>
        <w:tc>
          <w:tcPr>
            <w:tcW w:w="844" w:type="pct"/>
            <w:tcBorders>
              <w:top w:val="single" w:sz="8" w:space="0" w:color="auto"/>
              <w:left w:val="single" w:sz="4" w:space="0" w:color="auto"/>
              <w:bottom w:val="dashed" w:sz="4" w:space="0" w:color="auto"/>
              <w:right w:val="single" w:sz="8" w:space="0" w:color="auto"/>
            </w:tcBorders>
            <w:shd w:val="clear" w:color="auto" w:fill="FFFFFF"/>
            <w:vAlign w:val="center"/>
          </w:tcPr>
          <w:p w14:paraId="7D3988C7" w14:textId="77777777" w:rsidR="00E03711" w:rsidRPr="00F769E0" w:rsidRDefault="00E03711" w:rsidP="0075479E">
            <w:pPr>
              <w:pStyle w:val="Guide-Table"/>
              <w:spacing w:before="60" w:after="60"/>
              <w:jc w:val="left"/>
              <w:rPr>
                <w:rFonts w:cs="Tahoma"/>
                <w:b/>
                <w:lang w:val="sl-SI" w:eastAsia="en-GB"/>
              </w:rPr>
            </w:pPr>
            <w:r w:rsidRPr="00F769E0">
              <w:rPr>
                <w:rFonts w:cs="Tahoma"/>
                <w:b/>
                <w:lang w:val="sl-SI" w:eastAsia="en-GB"/>
              </w:rPr>
              <w:t xml:space="preserve">Ustreznost konzorcija </w:t>
            </w:r>
            <w:r w:rsidRPr="00F769E0">
              <w:rPr>
                <w:rFonts w:cs="Tahoma"/>
                <w:b/>
                <w:lang w:val="sl-SI" w:eastAsia="en-GB"/>
              </w:rPr>
              <w:br/>
              <w:t>(največ 30 točk</w:t>
            </w:r>
            <w:r w:rsidRPr="00F769E0">
              <w:rPr>
                <w:rFonts w:cs="Tahoma"/>
                <w:lang w:val="sl-SI" w:eastAsia="en-GB"/>
              </w:rPr>
              <w:t>)</w:t>
            </w:r>
          </w:p>
        </w:tc>
        <w:tc>
          <w:tcPr>
            <w:tcW w:w="4156" w:type="pct"/>
            <w:tcBorders>
              <w:top w:val="single" w:sz="8" w:space="0" w:color="auto"/>
              <w:left w:val="nil"/>
              <w:bottom w:val="dashed" w:sz="4" w:space="0" w:color="auto"/>
              <w:right w:val="single" w:sz="8" w:space="0" w:color="auto"/>
            </w:tcBorders>
            <w:shd w:val="clear" w:color="auto" w:fill="FFFFFF"/>
          </w:tcPr>
          <w:p w14:paraId="7D3988C8" w14:textId="77777777" w:rsidR="00E03711" w:rsidRPr="00F769E0" w:rsidRDefault="00E03711" w:rsidP="005115F2">
            <w:pPr>
              <w:pStyle w:val="GUIDE-NORMAL"/>
              <w:numPr>
                <w:ilvl w:val="0"/>
                <w:numId w:val="205"/>
              </w:numPr>
              <w:spacing w:before="60" w:after="60"/>
              <w:rPr>
                <w:rFonts w:cs="Tahoma"/>
                <w:lang w:val="sl-SI" w:eastAsia="en-GB"/>
              </w:rPr>
            </w:pPr>
            <w:r w:rsidRPr="00F769E0">
              <w:rPr>
                <w:rFonts w:cs="Tahoma"/>
                <w:lang w:val="sl-SI" w:eastAsia="en-GB"/>
              </w:rPr>
              <w:t>Ustreznost predloga v zvezi</w:t>
            </w:r>
            <w:r w:rsidRPr="00F769E0">
              <w:rPr>
                <w:rFonts w:cs="Tahoma"/>
                <w:spacing w:val="6"/>
                <w:lang w:val="sl-SI" w:eastAsia="en-GB"/>
              </w:rPr>
              <w:t xml:space="preserve"> </w:t>
            </w:r>
            <w:r w:rsidRPr="00F769E0">
              <w:rPr>
                <w:rFonts w:cs="Tahoma"/>
                <w:lang w:val="sl-SI" w:eastAsia="en-GB"/>
              </w:rPr>
              <w:t>s:</w:t>
            </w:r>
          </w:p>
          <w:p w14:paraId="7D3988C9" w14:textId="77777777" w:rsidR="00E03711" w:rsidRPr="001048FE" w:rsidRDefault="00E03711" w:rsidP="005115F2">
            <w:pPr>
              <w:pStyle w:val="Guide-NormalBulletpoints"/>
              <w:numPr>
                <w:ilvl w:val="2"/>
                <w:numId w:val="205"/>
              </w:numPr>
              <w:spacing w:before="60"/>
              <w:rPr>
                <w:lang w:val="sl-SI"/>
              </w:rPr>
            </w:pPr>
            <w:r w:rsidRPr="001048FE">
              <w:rPr>
                <w:lang w:val="sl-SI"/>
              </w:rPr>
              <w:t>cilji ukrepa (glej poglavje „Kakšni so cilji projekta mobilnosti?“);</w:t>
            </w:r>
          </w:p>
          <w:p w14:paraId="7D3988CA" w14:textId="77777777" w:rsidR="00E03711" w:rsidRPr="00D0047F" w:rsidRDefault="00E03711" w:rsidP="005115F2">
            <w:pPr>
              <w:pStyle w:val="Guide-NormalBulletpoints"/>
              <w:numPr>
                <w:ilvl w:val="2"/>
                <w:numId w:val="205"/>
              </w:numPr>
              <w:rPr>
                <w:lang w:val="sl-SI"/>
              </w:rPr>
            </w:pPr>
            <w:r w:rsidRPr="00D0047F">
              <w:rPr>
                <w:lang w:val="sl-SI"/>
              </w:rPr>
              <w:t>potrebami in cilji organizacij, ki sodelujejo v konzorciju, in posameznih</w:t>
            </w:r>
            <w:r w:rsidRPr="00D0047F">
              <w:rPr>
                <w:spacing w:val="-4"/>
                <w:lang w:val="sl-SI"/>
              </w:rPr>
              <w:t xml:space="preserve"> </w:t>
            </w:r>
            <w:r w:rsidRPr="00D0047F">
              <w:rPr>
                <w:lang w:val="sl-SI"/>
              </w:rPr>
              <w:t>udeležencev;</w:t>
            </w:r>
          </w:p>
          <w:p w14:paraId="7D3988CB" w14:textId="77777777" w:rsidR="00E03711" w:rsidRPr="00F769E0" w:rsidRDefault="00E03711" w:rsidP="005115F2">
            <w:pPr>
              <w:pStyle w:val="GUIDE-NORMAL"/>
              <w:numPr>
                <w:ilvl w:val="0"/>
                <w:numId w:val="205"/>
              </w:numPr>
              <w:spacing w:before="60" w:after="60"/>
              <w:rPr>
                <w:rFonts w:cs="Tahoma"/>
                <w:lang w:val="sl-SI" w:eastAsia="en-GB"/>
              </w:rPr>
            </w:pPr>
            <w:r w:rsidRPr="00F769E0">
              <w:rPr>
                <w:rFonts w:cs="Tahoma"/>
                <w:lang w:val="sl-SI" w:eastAsia="en-GB"/>
              </w:rPr>
              <w:t>v kakšnem obsegu je predlog primeren</w:t>
            </w:r>
            <w:r w:rsidRPr="00F769E0">
              <w:rPr>
                <w:rFonts w:cs="Tahoma"/>
                <w:spacing w:val="-22"/>
                <w:lang w:val="sl-SI" w:eastAsia="en-GB"/>
              </w:rPr>
              <w:t xml:space="preserve"> </w:t>
            </w:r>
            <w:r w:rsidRPr="00F769E0">
              <w:rPr>
                <w:rFonts w:cs="Tahoma"/>
                <w:lang w:val="sl-SI" w:eastAsia="en-GB"/>
              </w:rPr>
              <w:t>za:</w:t>
            </w:r>
          </w:p>
          <w:p w14:paraId="7D3988CC" w14:textId="77777777" w:rsidR="00E03711" w:rsidRPr="001048FE" w:rsidRDefault="00E03711" w:rsidP="005115F2">
            <w:pPr>
              <w:pStyle w:val="Guide-NormalBulletpoints"/>
              <w:numPr>
                <w:ilvl w:val="2"/>
                <w:numId w:val="205"/>
              </w:numPr>
              <w:spacing w:before="60"/>
              <w:rPr>
                <w:lang w:val="sl-SI"/>
              </w:rPr>
            </w:pPr>
            <w:r w:rsidRPr="001048FE">
              <w:rPr>
                <w:lang w:val="sl-SI"/>
              </w:rPr>
              <w:t>doseganje visokokakovostnih učnih izidov za</w:t>
            </w:r>
            <w:r w:rsidRPr="001048FE">
              <w:rPr>
                <w:spacing w:val="25"/>
                <w:lang w:val="sl-SI"/>
              </w:rPr>
              <w:t xml:space="preserve"> </w:t>
            </w:r>
            <w:r w:rsidRPr="001048FE">
              <w:rPr>
                <w:lang w:val="sl-SI"/>
              </w:rPr>
              <w:t>udeležence;</w:t>
            </w:r>
          </w:p>
          <w:p w14:paraId="7D3988CD" w14:textId="77777777" w:rsidR="00E03711" w:rsidRPr="001048FE" w:rsidRDefault="00E03711" w:rsidP="005115F2">
            <w:pPr>
              <w:pStyle w:val="Guide-NormalBulletpoints"/>
              <w:numPr>
                <w:ilvl w:val="2"/>
                <w:numId w:val="205"/>
              </w:numPr>
              <w:spacing w:before="60"/>
              <w:rPr>
                <w:lang w:val="sl-SI"/>
              </w:rPr>
            </w:pPr>
            <w:r w:rsidRPr="001048FE">
              <w:rPr>
                <w:lang w:val="sl-SI"/>
              </w:rPr>
              <w:t>krepitev</w:t>
            </w:r>
            <w:r w:rsidRPr="001048FE">
              <w:rPr>
                <w:spacing w:val="-9"/>
                <w:lang w:val="sl-SI"/>
              </w:rPr>
              <w:t xml:space="preserve"> </w:t>
            </w:r>
            <w:r w:rsidRPr="001048FE">
              <w:rPr>
                <w:lang w:val="sl-SI"/>
              </w:rPr>
              <w:t>zmogljivosti</w:t>
            </w:r>
            <w:r w:rsidRPr="001048FE">
              <w:rPr>
                <w:spacing w:val="-9"/>
                <w:lang w:val="sl-SI"/>
              </w:rPr>
              <w:t xml:space="preserve"> </w:t>
            </w:r>
            <w:r w:rsidRPr="001048FE">
              <w:rPr>
                <w:lang w:val="sl-SI"/>
              </w:rPr>
              <w:t>in</w:t>
            </w:r>
            <w:r w:rsidRPr="001048FE">
              <w:rPr>
                <w:spacing w:val="-9"/>
                <w:lang w:val="sl-SI"/>
              </w:rPr>
              <w:t xml:space="preserve"> </w:t>
            </w:r>
            <w:r w:rsidRPr="001048FE">
              <w:rPr>
                <w:lang w:val="sl-SI"/>
              </w:rPr>
              <w:t>mednarodne</w:t>
            </w:r>
            <w:r w:rsidRPr="001048FE">
              <w:rPr>
                <w:spacing w:val="-9"/>
                <w:lang w:val="sl-SI"/>
              </w:rPr>
              <w:t xml:space="preserve"> </w:t>
            </w:r>
            <w:r w:rsidRPr="001048FE">
              <w:rPr>
                <w:lang w:val="sl-SI"/>
              </w:rPr>
              <w:t>razsežnosti</w:t>
            </w:r>
            <w:r w:rsidRPr="001048FE">
              <w:rPr>
                <w:spacing w:val="-9"/>
                <w:lang w:val="sl-SI"/>
              </w:rPr>
              <w:t xml:space="preserve"> </w:t>
            </w:r>
            <w:r w:rsidRPr="001048FE">
              <w:rPr>
                <w:lang w:val="sl-SI"/>
              </w:rPr>
              <w:t>organizacij,</w:t>
            </w:r>
            <w:r w:rsidRPr="001048FE">
              <w:rPr>
                <w:spacing w:val="-9"/>
                <w:lang w:val="sl-SI"/>
              </w:rPr>
              <w:t xml:space="preserve"> </w:t>
            </w:r>
            <w:r w:rsidRPr="001048FE">
              <w:rPr>
                <w:lang w:val="sl-SI"/>
              </w:rPr>
              <w:t>ki so članice</w:t>
            </w:r>
            <w:r w:rsidRPr="001048FE">
              <w:rPr>
                <w:spacing w:val="-6"/>
                <w:lang w:val="sl-SI"/>
              </w:rPr>
              <w:t xml:space="preserve"> </w:t>
            </w:r>
            <w:r w:rsidRPr="001048FE">
              <w:rPr>
                <w:lang w:val="sl-SI"/>
              </w:rPr>
              <w:t>konzorcija;</w:t>
            </w:r>
          </w:p>
          <w:p w14:paraId="7D3988CE" w14:textId="77777777" w:rsidR="00E03711" w:rsidRPr="00D0047F" w:rsidRDefault="00E03711" w:rsidP="005115F2">
            <w:pPr>
              <w:pStyle w:val="Guide-NormalBulletpoints"/>
              <w:numPr>
                <w:ilvl w:val="2"/>
                <w:numId w:val="205"/>
              </w:numPr>
              <w:rPr>
                <w:lang w:val="sl-SI"/>
              </w:rPr>
            </w:pPr>
            <w:r w:rsidRPr="00D0047F">
              <w:rPr>
                <w:lang w:val="sl-SI"/>
              </w:rPr>
              <w:t>ustvarjanje dodane vrednosti na ravni EU z rezultati, ki jih ne bi</w:t>
            </w:r>
            <w:r w:rsidRPr="00D0047F">
              <w:rPr>
                <w:spacing w:val="-16"/>
                <w:lang w:val="sl-SI"/>
              </w:rPr>
              <w:t xml:space="preserve"> </w:t>
            </w:r>
            <w:r w:rsidRPr="00D0047F">
              <w:rPr>
                <w:lang w:val="sl-SI"/>
              </w:rPr>
              <w:t>bilo</w:t>
            </w:r>
            <w:r w:rsidRPr="00D0047F">
              <w:rPr>
                <w:spacing w:val="-16"/>
                <w:lang w:val="sl-SI"/>
              </w:rPr>
              <w:t xml:space="preserve"> </w:t>
            </w:r>
            <w:r w:rsidRPr="00D0047F">
              <w:rPr>
                <w:lang w:val="sl-SI"/>
              </w:rPr>
              <w:t>mogoče</w:t>
            </w:r>
            <w:r w:rsidRPr="00D0047F">
              <w:rPr>
                <w:spacing w:val="-16"/>
                <w:lang w:val="sl-SI"/>
              </w:rPr>
              <w:t xml:space="preserve"> </w:t>
            </w:r>
            <w:r w:rsidRPr="00D0047F">
              <w:rPr>
                <w:lang w:val="sl-SI"/>
              </w:rPr>
              <w:t>doseči</w:t>
            </w:r>
            <w:r w:rsidRPr="00D0047F">
              <w:rPr>
                <w:spacing w:val="-16"/>
                <w:lang w:val="sl-SI"/>
              </w:rPr>
              <w:t xml:space="preserve"> </w:t>
            </w:r>
            <w:r w:rsidRPr="00D0047F">
              <w:rPr>
                <w:lang w:val="sl-SI"/>
              </w:rPr>
              <w:t>tako,</w:t>
            </w:r>
            <w:r w:rsidRPr="00D0047F">
              <w:rPr>
                <w:spacing w:val="-16"/>
                <w:lang w:val="sl-SI"/>
              </w:rPr>
              <w:t xml:space="preserve"> </w:t>
            </w:r>
            <w:r w:rsidRPr="00D0047F">
              <w:rPr>
                <w:lang w:val="sl-SI"/>
              </w:rPr>
              <w:t>da</w:t>
            </w:r>
            <w:r w:rsidRPr="00D0047F">
              <w:rPr>
                <w:spacing w:val="-16"/>
                <w:lang w:val="sl-SI"/>
              </w:rPr>
              <w:t xml:space="preserve"> </w:t>
            </w:r>
            <w:r w:rsidRPr="00D0047F">
              <w:rPr>
                <w:lang w:val="sl-SI"/>
              </w:rPr>
              <w:t>bi</w:t>
            </w:r>
            <w:r w:rsidRPr="00D0047F">
              <w:rPr>
                <w:spacing w:val="-16"/>
                <w:lang w:val="sl-SI"/>
              </w:rPr>
              <w:t xml:space="preserve"> </w:t>
            </w:r>
            <w:r w:rsidRPr="00D0047F">
              <w:rPr>
                <w:lang w:val="sl-SI"/>
              </w:rPr>
              <w:t>aktivnosti</w:t>
            </w:r>
            <w:r w:rsidRPr="00D0047F">
              <w:rPr>
                <w:spacing w:val="-16"/>
                <w:lang w:val="sl-SI"/>
              </w:rPr>
              <w:t xml:space="preserve"> </w:t>
            </w:r>
            <w:r w:rsidRPr="00D0047F">
              <w:rPr>
                <w:lang w:val="sl-SI"/>
              </w:rPr>
              <w:t>izvajale</w:t>
            </w:r>
            <w:r w:rsidRPr="00D0047F">
              <w:rPr>
                <w:spacing w:val="-16"/>
                <w:lang w:val="sl-SI"/>
              </w:rPr>
              <w:t xml:space="preserve"> </w:t>
            </w:r>
            <w:r w:rsidRPr="00D0047F">
              <w:rPr>
                <w:lang w:val="sl-SI"/>
              </w:rPr>
              <w:t>posamezne visokošolske</w:t>
            </w:r>
            <w:r w:rsidRPr="00D0047F">
              <w:rPr>
                <w:spacing w:val="-3"/>
                <w:lang w:val="sl-SI"/>
              </w:rPr>
              <w:t xml:space="preserve"> </w:t>
            </w:r>
            <w:r w:rsidRPr="00D0047F">
              <w:rPr>
                <w:lang w:val="sl-SI"/>
              </w:rPr>
              <w:t>institucije.</w:t>
            </w:r>
          </w:p>
        </w:tc>
      </w:tr>
      <w:tr w:rsidR="00E03711" w:rsidRPr="00C60205" w14:paraId="7D3988D9" w14:textId="77777777" w:rsidTr="00CC32B1">
        <w:trPr>
          <w:cantSplit/>
          <w:trHeight w:val="340"/>
        </w:trPr>
        <w:tc>
          <w:tcPr>
            <w:tcW w:w="844" w:type="pct"/>
            <w:tcBorders>
              <w:top w:val="dashed" w:sz="4" w:space="0" w:color="auto"/>
              <w:left w:val="single" w:sz="4" w:space="0" w:color="auto"/>
              <w:bottom w:val="dashed" w:sz="4" w:space="0" w:color="auto"/>
              <w:right w:val="single" w:sz="8" w:space="0" w:color="auto"/>
            </w:tcBorders>
            <w:shd w:val="clear" w:color="auto" w:fill="FFFFFF"/>
            <w:vAlign w:val="center"/>
          </w:tcPr>
          <w:p w14:paraId="7D3988D0" w14:textId="77777777" w:rsidR="00E03711" w:rsidRPr="00F769E0" w:rsidRDefault="00E03711" w:rsidP="0075479E">
            <w:pPr>
              <w:pStyle w:val="Guide-Table"/>
              <w:spacing w:before="60" w:after="60"/>
              <w:jc w:val="left"/>
              <w:rPr>
                <w:rFonts w:cs="Tahoma"/>
                <w:b/>
                <w:lang w:val="sl-SI" w:eastAsia="en-GB"/>
              </w:rPr>
            </w:pPr>
            <w:r w:rsidRPr="00F769E0">
              <w:rPr>
                <w:rFonts w:cs="Tahoma"/>
                <w:b/>
                <w:lang w:val="sl-SI" w:eastAsia="en-GB"/>
              </w:rPr>
              <w:t>Kakovost sestave konzorcija in dogovorov o sodelovanju (največ 20 točk)</w:t>
            </w:r>
          </w:p>
          <w:p w14:paraId="7D3988D1" w14:textId="77777777" w:rsidR="00E03711" w:rsidRPr="00F769E0" w:rsidRDefault="00E03711" w:rsidP="0075479E">
            <w:pPr>
              <w:pStyle w:val="Guide-Table"/>
              <w:spacing w:before="60" w:after="60"/>
              <w:jc w:val="left"/>
              <w:rPr>
                <w:rFonts w:cs="Tahoma"/>
                <w:b/>
                <w:lang w:val="sl-SI" w:eastAsia="en-GB"/>
              </w:rPr>
            </w:pPr>
          </w:p>
        </w:tc>
        <w:tc>
          <w:tcPr>
            <w:tcW w:w="4156" w:type="pct"/>
            <w:tcBorders>
              <w:top w:val="dashed" w:sz="4" w:space="0" w:color="auto"/>
              <w:left w:val="nil"/>
              <w:bottom w:val="dashed" w:sz="4" w:space="0" w:color="auto"/>
              <w:right w:val="single" w:sz="8" w:space="0" w:color="auto"/>
            </w:tcBorders>
            <w:shd w:val="clear" w:color="auto" w:fill="FFFFFF"/>
          </w:tcPr>
          <w:p w14:paraId="7D3988D2" w14:textId="77777777" w:rsidR="00E03711" w:rsidRPr="00F769E0" w:rsidRDefault="00E03711" w:rsidP="005115F2">
            <w:pPr>
              <w:pStyle w:val="GUIDE-NORMAL"/>
              <w:numPr>
                <w:ilvl w:val="0"/>
                <w:numId w:val="206"/>
              </w:numPr>
              <w:spacing w:before="60" w:after="60"/>
              <w:rPr>
                <w:rFonts w:cs="Tahoma"/>
                <w:lang w:val="sl-SI" w:eastAsia="en-GB"/>
              </w:rPr>
            </w:pPr>
            <w:r w:rsidRPr="00F769E0">
              <w:rPr>
                <w:rFonts w:cs="Tahoma"/>
                <w:lang w:val="sl-SI" w:eastAsia="en-GB"/>
              </w:rPr>
              <w:t>V kakšnem</w:t>
            </w:r>
            <w:r w:rsidRPr="00F769E0">
              <w:rPr>
                <w:rFonts w:cs="Tahoma"/>
                <w:spacing w:val="1"/>
                <w:lang w:val="sl-SI" w:eastAsia="en-GB"/>
              </w:rPr>
              <w:t xml:space="preserve"> </w:t>
            </w:r>
            <w:r w:rsidRPr="00F769E0">
              <w:rPr>
                <w:rFonts w:cs="Tahoma"/>
                <w:lang w:val="sl-SI" w:eastAsia="en-GB"/>
              </w:rPr>
              <w:t>obsegu:</w:t>
            </w:r>
          </w:p>
          <w:p w14:paraId="7D3988D3" w14:textId="77777777" w:rsidR="00E03711" w:rsidRPr="001048FE" w:rsidRDefault="00E03711" w:rsidP="005115F2">
            <w:pPr>
              <w:pStyle w:val="Guide-NormalBulletpoints"/>
              <w:numPr>
                <w:ilvl w:val="2"/>
                <w:numId w:val="206"/>
              </w:numPr>
              <w:spacing w:before="60"/>
              <w:rPr>
                <w:lang w:val="sl-SI"/>
              </w:rPr>
            </w:pPr>
            <w:r w:rsidRPr="001048FE">
              <w:rPr>
                <w:lang w:val="sl-SI"/>
              </w:rPr>
              <w:t>je konzorcij sestavljen iz ustreznih visokošolskih institucij pošiljateljic in, kadar je to ustrezno, dodatnih sodelujočih organizacij iz drugih socialno-ekonomskih sektorjev z zahtevanim</w:t>
            </w:r>
            <w:r w:rsidRPr="001048FE">
              <w:rPr>
                <w:spacing w:val="-11"/>
                <w:lang w:val="sl-SI"/>
              </w:rPr>
              <w:t xml:space="preserve"> </w:t>
            </w:r>
            <w:r w:rsidRPr="001048FE">
              <w:rPr>
                <w:lang w:val="sl-SI"/>
              </w:rPr>
              <w:t>profilom,</w:t>
            </w:r>
            <w:r w:rsidRPr="001048FE">
              <w:rPr>
                <w:spacing w:val="-11"/>
                <w:lang w:val="sl-SI"/>
              </w:rPr>
              <w:t xml:space="preserve"> </w:t>
            </w:r>
            <w:r w:rsidRPr="001048FE">
              <w:rPr>
                <w:lang w:val="sl-SI"/>
              </w:rPr>
              <w:t>izkušnjami</w:t>
            </w:r>
            <w:r w:rsidRPr="001048FE">
              <w:rPr>
                <w:spacing w:val="-11"/>
                <w:lang w:val="sl-SI"/>
              </w:rPr>
              <w:t xml:space="preserve"> </w:t>
            </w:r>
            <w:r w:rsidRPr="001048FE">
              <w:rPr>
                <w:lang w:val="sl-SI"/>
              </w:rPr>
              <w:t>in</w:t>
            </w:r>
            <w:r w:rsidRPr="001048FE">
              <w:rPr>
                <w:spacing w:val="-11"/>
                <w:lang w:val="sl-SI"/>
              </w:rPr>
              <w:t xml:space="preserve"> </w:t>
            </w:r>
            <w:r w:rsidRPr="001048FE">
              <w:rPr>
                <w:lang w:val="sl-SI"/>
              </w:rPr>
              <w:t>strokovnim</w:t>
            </w:r>
            <w:r w:rsidRPr="001048FE">
              <w:rPr>
                <w:spacing w:val="-11"/>
                <w:lang w:val="sl-SI"/>
              </w:rPr>
              <w:t xml:space="preserve"> </w:t>
            </w:r>
            <w:r w:rsidRPr="001048FE">
              <w:rPr>
                <w:lang w:val="sl-SI"/>
              </w:rPr>
              <w:t>znanjem</w:t>
            </w:r>
            <w:r w:rsidRPr="001048FE">
              <w:rPr>
                <w:spacing w:val="-11"/>
                <w:lang w:val="sl-SI"/>
              </w:rPr>
              <w:t xml:space="preserve"> </w:t>
            </w:r>
            <w:r w:rsidRPr="001048FE">
              <w:rPr>
                <w:lang w:val="sl-SI"/>
              </w:rPr>
              <w:t>za</w:t>
            </w:r>
          </w:p>
          <w:p w14:paraId="7D3988D4" w14:textId="77777777" w:rsidR="00E03711" w:rsidRPr="001048FE" w:rsidRDefault="00E03711" w:rsidP="005115F2">
            <w:pPr>
              <w:pStyle w:val="Guide-NormalBulletpoints"/>
              <w:numPr>
                <w:ilvl w:val="2"/>
                <w:numId w:val="206"/>
              </w:numPr>
              <w:spacing w:before="60"/>
              <w:rPr>
                <w:lang w:val="sl-SI"/>
              </w:rPr>
            </w:pPr>
            <w:r w:rsidRPr="001048FE">
              <w:rPr>
                <w:lang w:val="sl-SI"/>
              </w:rPr>
              <w:t>ima koordinator konzorcija pretekle izkušnje z upravljanjem konzorcija ali podobne vrste</w:t>
            </w:r>
            <w:r w:rsidRPr="001048FE">
              <w:rPr>
                <w:spacing w:val="-10"/>
                <w:lang w:val="sl-SI"/>
              </w:rPr>
              <w:t xml:space="preserve"> </w:t>
            </w:r>
            <w:r w:rsidRPr="001048FE">
              <w:rPr>
                <w:lang w:val="sl-SI"/>
              </w:rPr>
              <w:t>projekta;</w:t>
            </w:r>
          </w:p>
          <w:p w14:paraId="7D3988D5" w14:textId="77777777" w:rsidR="00E03711" w:rsidRPr="001048FE" w:rsidRDefault="00E03711" w:rsidP="005115F2">
            <w:pPr>
              <w:pStyle w:val="Guide-NormalBulletpoints"/>
              <w:numPr>
                <w:ilvl w:val="2"/>
                <w:numId w:val="206"/>
              </w:numPr>
              <w:spacing w:before="60"/>
              <w:rPr>
                <w:lang w:val="sl-SI"/>
              </w:rPr>
            </w:pPr>
            <w:r w:rsidRPr="001048FE">
              <w:rPr>
                <w:lang w:val="sl-SI"/>
              </w:rPr>
              <w:t>je porazdelitev vlog, odgovornosti in nalog/virov dobro opredeljena</w:t>
            </w:r>
            <w:r w:rsidRPr="001048FE">
              <w:rPr>
                <w:spacing w:val="-16"/>
                <w:lang w:val="sl-SI"/>
              </w:rPr>
              <w:t xml:space="preserve"> </w:t>
            </w:r>
            <w:r w:rsidRPr="001048FE">
              <w:rPr>
                <w:lang w:val="sl-SI"/>
              </w:rPr>
              <w:t>ter</w:t>
            </w:r>
            <w:r w:rsidRPr="001048FE">
              <w:rPr>
                <w:spacing w:val="-17"/>
                <w:lang w:val="sl-SI"/>
              </w:rPr>
              <w:t xml:space="preserve"> </w:t>
            </w:r>
            <w:r w:rsidRPr="001048FE">
              <w:rPr>
                <w:lang w:val="sl-SI"/>
              </w:rPr>
              <w:t>sta</w:t>
            </w:r>
            <w:r w:rsidRPr="001048FE">
              <w:rPr>
                <w:spacing w:val="-17"/>
                <w:lang w:val="sl-SI"/>
              </w:rPr>
              <w:t xml:space="preserve"> </w:t>
            </w:r>
            <w:r w:rsidRPr="001048FE">
              <w:rPr>
                <w:lang w:val="sl-SI"/>
              </w:rPr>
              <w:t>iz</w:t>
            </w:r>
            <w:r w:rsidRPr="001048FE">
              <w:rPr>
                <w:spacing w:val="-17"/>
                <w:lang w:val="sl-SI"/>
              </w:rPr>
              <w:t xml:space="preserve"> </w:t>
            </w:r>
            <w:r w:rsidRPr="001048FE">
              <w:rPr>
                <w:lang w:val="sl-SI"/>
              </w:rPr>
              <w:t>nje</w:t>
            </w:r>
            <w:r w:rsidRPr="001048FE">
              <w:rPr>
                <w:spacing w:val="-17"/>
                <w:lang w:val="sl-SI"/>
              </w:rPr>
              <w:t xml:space="preserve"> </w:t>
            </w:r>
            <w:r w:rsidRPr="001048FE">
              <w:rPr>
                <w:lang w:val="sl-SI"/>
              </w:rPr>
              <w:t>razvidna</w:t>
            </w:r>
            <w:r w:rsidRPr="001048FE">
              <w:rPr>
                <w:spacing w:val="-17"/>
                <w:lang w:val="sl-SI"/>
              </w:rPr>
              <w:t xml:space="preserve"> </w:t>
            </w:r>
            <w:r w:rsidRPr="001048FE">
              <w:rPr>
                <w:lang w:val="sl-SI"/>
              </w:rPr>
              <w:t>zavezanost</w:t>
            </w:r>
            <w:r w:rsidRPr="001048FE">
              <w:rPr>
                <w:spacing w:val="-17"/>
                <w:lang w:val="sl-SI"/>
              </w:rPr>
              <w:t xml:space="preserve"> </w:t>
            </w:r>
            <w:r w:rsidRPr="001048FE">
              <w:rPr>
                <w:lang w:val="sl-SI"/>
              </w:rPr>
              <w:t>in</w:t>
            </w:r>
            <w:r w:rsidRPr="001048FE">
              <w:rPr>
                <w:spacing w:val="-17"/>
                <w:lang w:val="sl-SI"/>
              </w:rPr>
              <w:t xml:space="preserve"> </w:t>
            </w:r>
            <w:r w:rsidRPr="001048FE">
              <w:rPr>
                <w:lang w:val="sl-SI"/>
              </w:rPr>
              <w:t>dejavno prispevanje vseh sodelujočih</w:t>
            </w:r>
            <w:r w:rsidRPr="001048FE">
              <w:rPr>
                <w:spacing w:val="-14"/>
                <w:lang w:val="sl-SI"/>
              </w:rPr>
              <w:t xml:space="preserve"> </w:t>
            </w:r>
            <w:r w:rsidRPr="001048FE">
              <w:rPr>
                <w:lang w:val="sl-SI"/>
              </w:rPr>
              <w:t>organizacij;</w:t>
            </w:r>
          </w:p>
          <w:p w14:paraId="7D3988D6" w14:textId="77777777" w:rsidR="00E03711" w:rsidRPr="001048FE" w:rsidRDefault="00E03711" w:rsidP="005115F2">
            <w:pPr>
              <w:pStyle w:val="Guide-NormalBulletpoints"/>
              <w:numPr>
                <w:ilvl w:val="2"/>
                <w:numId w:val="206"/>
              </w:numPr>
              <w:spacing w:before="60"/>
              <w:rPr>
                <w:lang w:val="sl-SI"/>
              </w:rPr>
            </w:pPr>
            <w:r w:rsidRPr="001048FE">
              <w:rPr>
                <w:lang w:val="sl-SI"/>
              </w:rPr>
              <w:t>se združujejo in izmenjujejo</w:t>
            </w:r>
            <w:r w:rsidRPr="001048FE">
              <w:rPr>
                <w:spacing w:val="-10"/>
                <w:lang w:val="sl-SI"/>
              </w:rPr>
              <w:t xml:space="preserve"> </w:t>
            </w:r>
            <w:r w:rsidRPr="001048FE">
              <w:rPr>
                <w:lang w:val="sl-SI"/>
              </w:rPr>
              <w:t>naloge/viri;</w:t>
            </w:r>
          </w:p>
          <w:p w14:paraId="7D3988D7" w14:textId="77777777" w:rsidR="00E03711" w:rsidRPr="001048FE" w:rsidRDefault="00E03711" w:rsidP="005115F2">
            <w:pPr>
              <w:pStyle w:val="Guide-NormalBulletpoints"/>
              <w:numPr>
                <w:ilvl w:val="2"/>
                <w:numId w:val="206"/>
              </w:numPr>
              <w:spacing w:before="60"/>
              <w:rPr>
                <w:lang w:val="sl-SI"/>
              </w:rPr>
            </w:pPr>
            <w:r w:rsidRPr="001048FE">
              <w:rPr>
                <w:lang w:val="sl-SI"/>
              </w:rPr>
              <w:t>so</w:t>
            </w:r>
            <w:r w:rsidRPr="001048FE">
              <w:rPr>
                <w:spacing w:val="-23"/>
                <w:lang w:val="sl-SI"/>
              </w:rPr>
              <w:t xml:space="preserve"> </w:t>
            </w:r>
            <w:r w:rsidRPr="001048FE">
              <w:rPr>
                <w:lang w:val="sl-SI"/>
              </w:rPr>
              <w:t>jasno</w:t>
            </w:r>
            <w:r w:rsidRPr="001048FE">
              <w:rPr>
                <w:spacing w:val="-23"/>
                <w:lang w:val="sl-SI"/>
              </w:rPr>
              <w:t xml:space="preserve"> </w:t>
            </w:r>
            <w:r w:rsidRPr="001048FE">
              <w:rPr>
                <w:lang w:val="sl-SI"/>
              </w:rPr>
              <w:t>opredeljene</w:t>
            </w:r>
            <w:r w:rsidRPr="001048FE">
              <w:rPr>
                <w:spacing w:val="-22"/>
                <w:lang w:val="sl-SI"/>
              </w:rPr>
              <w:t xml:space="preserve"> </w:t>
            </w:r>
            <w:r w:rsidRPr="001048FE">
              <w:rPr>
                <w:lang w:val="sl-SI"/>
              </w:rPr>
              <w:t>odgovornosti</w:t>
            </w:r>
            <w:r w:rsidRPr="001048FE">
              <w:rPr>
                <w:spacing w:val="-22"/>
                <w:lang w:val="sl-SI"/>
              </w:rPr>
              <w:t xml:space="preserve"> </w:t>
            </w:r>
            <w:r w:rsidRPr="001048FE">
              <w:rPr>
                <w:lang w:val="sl-SI"/>
              </w:rPr>
              <w:t>glede</w:t>
            </w:r>
            <w:r w:rsidRPr="001048FE">
              <w:rPr>
                <w:spacing w:val="-23"/>
                <w:lang w:val="sl-SI"/>
              </w:rPr>
              <w:t xml:space="preserve"> </w:t>
            </w:r>
            <w:r w:rsidRPr="001048FE">
              <w:rPr>
                <w:lang w:val="sl-SI"/>
              </w:rPr>
              <w:t>vprašanj</w:t>
            </w:r>
            <w:r w:rsidRPr="001048FE">
              <w:rPr>
                <w:spacing w:val="-23"/>
                <w:lang w:val="sl-SI"/>
              </w:rPr>
              <w:t xml:space="preserve"> </w:t>
            </w:r>
            <w:r w:rsidRPr="001048FE">
              <w:rPr>
                <w:lang w:val="sl-SI"/>
              </w:rPr>
              <w:t>o pogodbenem in finančnem</w:t>
            </w:r>
            <w:r w:rsidRPr="001048FE">
              <w:rPr>
                <w:spacing w:val="-12"/>
                <w:lang w:val="sl-SI"/>
              </w:rPr>
              <w:t xml:space="preserve"> </w:t>
            </w:r>
            <w:r w:rsidRPr="001048FE">
              <w:rPr>
                <w:lang w:val="sl-SI"/>
              </w:rPr>
              <w:t>upravljanju;</w:t>
            </w:r>
          </w:p>
          <w:p w14:paraId="7D3988D8" w14:textId="77777777" w:rsidR="00E03711" w:rsidRPr="00237696" w:rsidRDefault="00E03711" w:rsidP="005115F2">
            <w:pPr>
              <w:pStyle w:val="Guide-NormalBulletpoints"/>
              <w:numPr>
                <w:ilvl w:val="2"/>
                <w:numId w:val="206"/>
              </w:numPr>
              <w:rPr>
                <w:rStyle w:val="Guide-Condensed-02"/>
                <w:spacing w:val="0"/>
                <w:lang w:val="sl-SI"/>
              </w:rPr>
            </w:pPr>
            <w:r w:rsidRPr="00D0047F">
              <w:rPr>
                <w:lang w:val="sl-SI"/>
              </w:rPr>
              <w:t>konzorcij v ukrep vključuje nove</w:t>
            </w:r>
            <w:r w:rsidRPr="00D0047F">
              <w:rPr>
                <w:spacing w:val="-18"/>
                <w:lang w:val="sl-SI"/>
              </w:rPr>
              <w:t xml:space="preserve"> </w:t>
            </w:r>
            <w:r w:rsidRPr="00D0047F">
              <w:rPr>
                <w:lang w:val="sl-SI"/>
              </w:rPr>
              <w:t>udeležence.</w:t>
            </w:r>
          </w:p>
        </w:tc>
      </w:tr>
      <w:tr w:rsidR="00E03711" w:rsidRPr="00C60205" w14:paraId="7D3988E1" w14:textId="77777777" w:rsidTr="00CC32B1">
        <w:trPr>
          <w:cantSplit/>
          <w:trHeight w:val="340"/>
        </w:trPr>
        <w:tc>
          <w:tcPr>
            <w:tcW w:w="844" w:type="pct"/>
            <w:tcBorders>
              <w:top w:val="dashed" w:sz="4" w:space="0" w:color="auto"/>
              <w:left w:val="single" w:sz="4" w:space="0" w:color="auto"/>
              <w:bottom w:val="dashed" w:sz="4" w:space="0" w:color="auto"/>
              <w:right w:val="single" w:sz="8" w:space="0" w:color="auto"/>
            </w:tcBorders>
            <w:shd w:val="clear" w:color="auto" w:fill="FFFFFF"/>
            <w:vAlign w:val="center"/>
          </w:tcPr>
          <w:p w14:paraId="7D3988DA" w14:textId="77777777" w:rsidR="00E03711" w:rsidRPr="00F769E0" w:rsidRDefault="00E03711" w:rsidP="0075479E">
            <w:pPr>
              <w:pStyle w:val="Guide-Table"/>
              <w:spacing w:before="60" w:after="60"/>
              <w:jc w:val="left"/>
              <w:rPr>
                <w:rFonts w:cs="Tahoma"/>
                <w:b/>
                <w:lang w:val="sl-SI" w:eastAsia="en-GB"/>
              </w:rPr>
            </w:pPr>
            <w:r w:rsidRPr="00F769E0">
              <w:rPr>
                <w:rFonts w:cs="Tahoma"/>
                <w:b/>
                <w:lang w:val="sl-SI" w:eastAsia="en-GB"/>
              </w:rPr>
              <w:t>Kakovost</w:t>
            </w:r>
            <w:r w:rsidRPr="00F769E0">
              <w:rPr>
                <w:rFonts w:cs="Tahoma"/>
                <w:b/>
                <w:spacing w:val="-20"/>
                <w:lang w:val="sl-SI" w:eastAsia="en-GB"/>
              </w:rPr>
              <w:t xml:space="preserve"> </w:t>
            </w:r>
            <w:r w:rsidRPr="00F769E0">
              <w:rPr>
                <w:rFonts w:cs="Tahoma"/>
                <w:b/>
                <w:lang w:val="sl-SI" w:eastAsia="en-GB"/>
              </w:rPr>
              <w:t>zasnove</w:t>
            </w:r>
            <w:r w:rsidRPr="00F769E0">
              <w:rPr>
                <w:rFonts w:cs="Tahoma"/>
                <w:b/>
                <w:spacing w:val="-20"/>
                <w:lang w:val="sl-SI" w:eastAsia="en-GB"/>
              </w:rPr>
              <w:t xml:space="preserve"> </w:t>
            </w:r>
            <w:r w:rsidRPr="00F769E0">
              <w:rPr>
                <w:rFonts w:cs="Tahoma"/>
                <w:b/>
                <w:lang w:val="sl-SI" w:eastAsia="en-GB"/>
              </w:rPr>
              <w:t>in</w:t>
            </w:r>
            <w:r w:rsidRPr="00F769E0">
              <w:rPr>
                <w:rFonts w:cs="Tahoma"/>
                <w:b/>
                <w:spacing w:val="-20"/>
                <w:lang w:val="sl-SI" w:eastAsia="en-GB"/>
              </w:rPr>
              <w:t xml:space="preserve"> </w:t>
            </w:r>
            <w:r w:rsidRPr="00F769E0">
              <w:rPr>
                <w:rFonts w:cs="Tahoma"/>
                <w:b/>
                <w:lang w:val="sl-SI" w:eastAsia="en-GB"/>
              </w:rPr>
              <w:t xml:space="preserve">izvedbe aktivnosti konzorcija </w:t>
            </w:r>
            <w:r w:rsidRPr="00F769E0">
              <w:rPr>
                <w:rFonts w:cs="Tahoma"/>
                <w:b/>
                <w:lang w:val="sl-SI" w:eastAsia="en-GB"/>
              </w:rPr>
              <w:br/>
              <w:t>(največ 20</w:t>
            </w:r>
            <w:r w:rsidRPr="00F769E0">
              <w:rPr>
                <w:rFonts w:cs="Tahoma"/>
                <w:b/>
                <w:spacing w:val="-2"/>
                <w:lang w:val="sl-SI" w:eastAsia="en-GB"/>
              </w:rPr>
              <w:t xml:space="preserve"> </w:t>
            </w:r>
            <w:r w:rsidRPr="00F769E0">
              <w:rPr>
                <w:rFonts w:cs="Tahoma"/>
                <w:b/>
                <w:lang w:val="sl-SI" w:eastAsia="en-GB"/>
              </w:rPr>
              <w:t>točk)</w:t>
            </w:r>
          </w:p>
          <w:p w14:paraId="7D3988DB" w14:textId="77777777" w:rsidR="00E03711" w:rsidRPr="00F769E0" w:rsidRDefault="00E03711" w:rsidP="0075479E">
            <w:pPr>
              <w:pStyle w:val="Guide-Table"/>
              <w:spacing w:before="60" w:after="60"/>
              <w:jc w:val="left"/>
              <w:rPr>
                <w:rFonts w:cs="Tahoma"/>
                <w:b/>
                <w:lang w:val="sl-SI" w:eastAsia="en-GB"/>
              </w:rPr>
            </w:pPr>
          </w:p>
        </w:tc>
        <w:tc>
          <w:tcPr>
            <w:tcW w:w="4156" w:type="pct"/>
            <w:tcBorders>
              <w:top w:val="dashed" w:sz="4" w:space="0" w:color="auto"/>
              <w:left w:val="nil"/>
              <w:bottom w:val="dashed" w:sz="4" w:space="0" w:color="auto"/>
              <w:right w:val="single" w:sz="8" w:space="0" w:color="auto"/>
            </w:tcBorders>
            <w:shd w:val="clear" w:color="auto" w:fill="FFFFFF"/>
          </w:tcPr>
          <w:p w14:paraId="7D3988DC" w14:textId="77777777" w:rsidR="00E03711" w:rsidRPr="001048FE" w:rsidRDefault="00E03711" w:rsidP="005115F2">
            <w:pPr>
              <w:pStyle w:val="Guide-NormalBulletpoints"/>
              <w:numPr>
                <w:ilvl w:val="0"/>
                <w:numId w:val="206"/>
              </w:numPr>
              <w:spacing w:before="60"/>
              <w:rPr>
                <w:lang w:val="sl-SI"/>
              </w:rPr>
            </w:pPr>
            <w:r w:rsidRPr="001048FE">
              <w:rPr>
                <w:lang w:val="sl-SI"/>
              </w:rPr>
              <w:t>Jasnost,</w:t>
            </w:r>
            <w:r w:rsidRPr="001048FE">
              <w:rPr>
                <w:spacing w:val="-18"/>
                <w:lang w:val="sl-SI"/>
              </w:rPr>
              <w:t xml:space="preserve"> </w:t>
            </w:r>
            <w:r w:rsidRPr="001048FE">
              <w:rPr>
                <w:lang w:val="sl-SI"/>
              </w:rPr>
              <w:t>celovitost</w:t>
            </w:r>
            <w:r w:rsidRPr="001048FE">
              <w:rPr>
                <w:spacing w:val="-18"/>
                <w:lang w:val="sl-SI"/>
              </w:rPr>
              <w:t xml:space="preserve"> </w:t>
            </w:r>
            <w:r w:rsidRPr="001048FE">
              <w:rPr>
                <w:lang w:val="sl-SI"/>
              </w:rPr>
              <w:t>in</w:t>
            </w:r>
            <w:r w:rsidRPr="001048FE">
              <w:rPr>
                <w:spacing w:val="-18"/>
                <w:lang w:val="sl-SI"/>
              </w:rPr>
              <w:t xml:space="preserve"> </w:t>
            </w:r>
            <w:r w:rsidRPr="001048FE">
              <w:rPr>
                <w:lang w:val="sl-SI"/>
              </w:rPr>
              <w:t>kakovost</w:t>
            </w:r>
            <w:r w:rsidRPr="001048FE">
              <w:rPr>
                <w:spacing w:val="-18"/>
                <w:lang w:val="sl-SI"/>
              </w:rPr>
              <w:t xml:space="preserve"> </w:t>
            </w:r>
            <w:r w:rsidRPr="001048FE">
              <w:rPr>
                <w:lang w:val="sl-SI"/>
              </w:rPr>
              <w:t>vseh</w:t>
            </w:r>
            <w:r w:rsidRPr="001048FE">
              <w:rPr>
                <w:spacing w:val="-18"/>
                <w:lang w:val="sl-SI"/>
              </w:rPr>
              <w:t xml:space="preserve"> </w:t>
            </w:r>
            <w:r w:rsidRPr="001048FE">
              <w:rPr>
                <w:lang w:val="sl-SI"/>
              </w:rPr>
              <w:t>faz</w:t>
            </w:r>
            <w:r w:rsidRPr="001048FE">
              <w:rPr>
                <w:spacing w:val="-18"/>
                <w:lang w:val="sl-SI"/>
              </w:rPr>
              <w:t xml:space="preserve"> </w:t>
            </w:r>
            <w:r w:rsidRPr="001048FE">
              <w:rPr>
                <w:lang w:val="sl-SI"/>
              </w:rPr>
              <w:t>projekta</w:t>
            </w:r>
            <w:r w:rsidRPr="001048FE">
              <w:rPr>
                <w:spacing w:val="-18"/>
                <w:lang w:val="sl-SI"/>
              </w:rPr>
              <w:t xml:space="preserve"> </w:t>
            </w:r>
            <w:r w:rsidRPr="001048FE">
              <w:rPr>
                <w:lang w:val="sl-SI"/>
              </w:rPr>
              <w:t>mobilnosti (priprava, izvajanje aktivnosti mobilnosti in nadaljnje spremljanje);</w:t>
            </w:r>
          </w:p>
          <w:p w14:paraId="7D3988DD" w14:textId="77777777" w:rsidR="00E03711" w:rsidRPr="001048FE" w:rsidRDefault="00E03711" w:rsidP="005115F2">
            <w:pPr>
              <w:pStyle w:val="Guide-NormalBulletpoints"/>
              <w:numPr>
                <w:ilvl w:val="0"/>
                <w:numId w:val="206"/>
              </w:numPr>
              <w:spacing w:before="60"/>
              <w:rPr>
                <w:lang w:val="sl-SI"/>
              </w:rPr>
            </w:pPr>
            <w:r w:rsidRPr="001048FE">
              <w:rPr>
                <w:lang w:val="sl-SI"/>
              </w:rPr>
              <w:t>kakovost praktičnih ureditev, načinov upravljanja in podpore (npr. iskanje organizacij gostiteljic, navezovanje stikov, informacije, jezikovna in medkulturna podpora,</w:t>
            </w:r>
            <w:r w:rsidRPr="001048FE">
              <w:rPr>
                <w:spacing w:val="-21"/>
                <w:lang w:val="sl-SI"/>
              </w:rPr>
              <w:t xml:space="preserve"> </w:t>
            </w:r>
            <w:r w:rsidRPr="001048FE">
              <w:rPr>
                <w:lang w:val="sl-SI"/>
              </w:rPr>
              <w:t>spremljanje);</w:t>
            </w:r>
          </w:p>
          <w:p w14:paraId="7D3988DE" w14:textId="77777777" w:rsidR="00E03711" w:rsidRPr="001048FE" w:rsidRDefault="00E03711" w:rsidP="005115F2">
            <w:pPr>
              <w:pStyle w:val="Guide-NormalBulletpoints"/>
              <w:numPr>
                <w:ilvl w:val="0"/>
                <w:numId w:val="206"/>
              </w:numPr>
              <w:spacing w:before="60"/>
              <w:rPr>
                <w:lang w:val="sl-SI"/>
              </w:rPr>
            </w:pPr>
            <w:r w:rsidRPr="001048FE">
              <w:rPr>
                <w:lang w:val="sl-SI"/>
              </w:rPr>
              <w:t>kakovost sodelovanja, koordinacije in obveščanja med sodelujočimi organizacijami in drugimi pomembnimi deležniki;</w:t>
            </w:r>
          </w:p>
          <w:p w14:paraId="7D3988DF" w14:textId="77777777" w:rsidR="00E03711" w:rsidRPr="001048FE" w:rsidRDefault="00E03711" w:rsidP="005115F2">
            <w:pPr>
              <w:pStyle w:val="Guide-NormalBulletpoints"/>
              <w:numPr>
                <w:ilvl w:val="0"/>
                <w:numId w:val="206"/>
              </w:numPr>
              <w:spacing w:before="60"/>
              <w:rPr>
                <w:lang w:val="sl-SI"/>
              </w:rPr>
            </w:pPr>
            <w:r w:rsidRPr="001048FE">
              <w:rPr>
                <w:lang w:val="sl-SI"/>
              </w:rPr>
              <w:t>kadar je ustrezno, kakovost ureditev za priznavanje in potrjevanje</w:t>
            </w:r>
            <w:r w:rsidRPr="001048FE">
              <w:rPr>
                <w:spacing w:val="-16"/>
                <w:lang w:val="sl-SI"/>
              </w:rPr>
              <w:t xml:space="preserve"> </w:t>
            </w:r>
            <w:r w:rsidRPr="001048FE">
              <w:rPr>
                <w:lang w:val="sl-SI"/>
              </w:rPr>
              <w:t>učnih</w:t>
            </w:r>
            <w:r w:rsidRPr="001048FE">
              <w:rPr>
                <w:spacing w:val="-16"/>
                <w:lang w:val="sl-SI"/>
              </w:rPr>
              <w:t xml:space="preserve"> </w:t>
            </w:r>
            <w:r w:rsidRPr="001048FE">
              <w:rPr>
                <w:lang w:val="sl-SI"/>
              </w:rPr>
              <w:t>izidov</w:t>
            </w:r>
            <w:r w:rsidRPr="001048FE">
              <w:rPr>
                <w:spacing w:val="-16"/>
                <w:lang w:val="sl-SI"/>
              </w:rPr>
              <w:t xml:space="preserve"> </w:t>
            </w:r>
            <w:r w:rsidRPr="001048FE">
              <w:rPr>
                <w:lang w:val="sl-SI"/>
              </w:rPr>
              <w:t>udeležencev</w:t>
            </w:r>
            <w:r w:rsidRPr="001048FE">
              <w:rPr>
                <w:spacing w:val="-16"/>
                <w:lang w:val="sl-SI"/>
              </w:rPr>
              <w:t xml:space="preserve"> </w:t>
            </w:r>
            <w:r w:rsidRPr="001048FE">
              <w:rPr>
                <w:lang w:val="sl-SI"/>
              </w:rPr>
              <w:t>ter</w:t>
            </w:r>
            <w:r w:rsidRPr="001048FE">
              <w:rPr>
                <w:spacing w:val="-16"/>
                <w:lang w:val="sl-SI"/>
              </w:rPr>
              <w:t xml:space="preserve"> </w:t>
            </w:r>
            <w:r w:rsidRPr="001048FE">
              <w:rPr>
                <w:lang w:val="sl-SI"/>
              </w:rPr>
              <w:t>dosledna</w:t>
            </w:r>
            <w:r w:rsidRPr="001048FE">
              <w:rPr>
                <w:spacing w:val="-16"/>
                <w:lang w:val="sl-SI"/>
              </w:rPr>
              <w:t xml:space="preserve"> </w:t>
            </w:r>
            <w:r w:rsidRPr="001048FE">
              <w:rPr>
                <w:lang w:val="sl-SI"/>
              </w:rPr>
              <w:t>uporaba evropskih orodij za preglednost in</w:t>
            </w:r>
            <w:r w:rsidRPr="001048FE">
              <w:rPr>
                <w:spacing w:val="-15"/>
                <w:lang w:val="sl-SI"/>
              </w:rPr>
              <w:t xml:space="preserve"> </w:t>
            </w:r>
            <w:r w:rsidRPr="001048FE">
              <w:rPr>
                <w:lang w:val="sl-SI"/>
              </w:rPr>
              <w:t>priznavanje;</w:t>
            </w:r>
          </w:p>
          <w:p w14:paraId="7D3988E0" w14:textId="77777777" w:rsidR="00E03711" w:rsidRPr="00D0047F" w:rsidRDefault="00E03711" w:rsidP="005115F2">
            <w:pPr>
              <w:pStyle w:val="Guide-NormalBulletpoints"/>
              <w:numPr>
                <w:ilvl w:val="0"/>
                <w:numId w:val="206"/>
              </w:numPr>
              <w:rPr>
                <w:lang w:val="sl-SI"/>
              </w:rPr>
            </w:pPr>
            <w:r w:rsidRPr="00D0047F">
              <w:rPr>
                <w:lang w:val="sl-SI"/>
              </w:rPr>
              <w:t>po potrebi ustreznost ukrepov za izbor udeležencev v aktivnostih mobilnosti in za spodbujanje udeležbe oseb z manj priložnostmi v aktivnostih</w:t>
            </w:r>
            <w:r w:rsidRPr="00D0047F">
              <w:rPr>
                <w:spacing w:val="15"/>
                <w:lang w:val="sl-SI"/>
              </w:rPr>
              <w:t xml:space="preserve"> </w:t>
            </w:r>
            <w:r w:rsidRPr="00D0047F">
              <w:rPr>
                <w:lang w:val="sl-SI"/>
              </w:rPr>
              <w:t>mobilnosti.</w:t>
            </w:r>
          </w:p>
        </w:tc>
      </w:tr>
      <w:tr w:rsidR="00E03711" w:rsidRPr="00C60205" w14:paraId="7D3988E8" w14:textId="77777777" w:rsidTr="00CC32B1">
        <w:trPr>
          <w:cantSplit/>
          <w:trHeight w:val="340"/>
        </w:trPr>
        <w:tc>
          <w:tcPr>
            <w:tcW w:w="844" w:type="pct"/>
            <w:tcBorders>
              <w:top w:val="dashed" w:sz="4" w:space="0" w:color="auto"/>
              <w:left w:val="single" w:sz="4" w:space="0" w:color="auto"/>
              <w:bottom w:val="single" w:sz="8" w:space="0" w:color="auto"/>
              <w:right w:val="single" w:sz="8" w:space="0" w:color="auto"/>
            </w:tcBorders>
            <w:shd w:val="clear" w:color="auto" w:fill="FFFFFF"/>
            <w:vAlign w:val="center"/>
          </w:tcPr>
          <w:p w14:paraId="7D3988E2" w14:textId="77777777" w:rsidR="00E03711" w:rsidRPr="00F769E0" w:rsidRDefault="00E03711" w:rsidP="0075479E">
            <w:pPr>
              <w:pStyle w:val="Guide-Table"/>
              <w:spacing w:before="60" w:after="60"/>
              <w:jc w:val="left"/>
              <w:rPr>
                <w:rFonts w:cs="Tahoma"/>
                <w:b/>
                <w:lang w:val="sl-SI" w:eastAsia="en-GB"/>
              </w:rPr>
            </w:pPr>
            <w:r w:rsidRPr="00F769E0">
              <w:rPr>
                <w:rFonts w:cs="Tahoma"/>
                <w:b/>
                <w:lang w:val="sl-SI" w:eastAsia="en-GB"/>
              </w:rPr>
              <w:t xml:space="preserve">Učinek in razširjanje </w:t>
            </w:r>
            <w:r w:rsidRPr="00F769E0">
              <w:rPr>
                <w:rFonts w:cs="Tahoma"/>
                <w:b/>
                <w:lang w:val="sl-SI" w:eastAsia="en-GB"/>
              </w:rPr>
              <w:br/>
              <w:t>(največ 30 točk)</w:t>
            </w:r>
          </w:p>
        </w:tc>
        <w:tc>
          <w:tcPr>
            <w:tcW w:w="4156" w:type="pct"/>
            <w:tcBorders>
              <w:top w:val="dashed" w:sz="4" w:space="0" w:color="auto"/>
              <w:left w:val="nil"/>
              <w:bottom w:val="single" w:sz="8" w:space="0" w:color="auto"/>
              <w:right w:val="single" w:sz="8" w:space="0" w:color="auto"/>
            </w:tcBorders>
            <w:shd w:val="clear" w:color="auto" w:fill="FFFFFF"/>
          </w:tcPr>
          <w:p w14:paraId="7D3988E3" w14:textId="77777777" w:rsidR="00E03711" w:rsidRPr="001048FE" w:rsidRDefault="00E03711" w:rsidP="005115F2">
            <w:pPr>
              <w:pStyle w:val="Guide-NormalBulletpoints"/>
              <w:numPr>
                <w:ilvl w:val="0"/>
                <w:numId w:val="207"/>
              </w:numPr>
              <w:spacing w:before="60"/>
              <w:rPr>
                <w:lang w:val="sl-SI"/>
              </w:rPr>
            </w:pPr>
            <w:r w:rsidRPr="001048FE">
              <w:rPr>
                <w:lang w:val="sl-SI"/>
              </w:rPr>
              <w:t>Kakovost</w:t>
            </w:r>
            <w:r w:rsidRPr="001048FE">
              <w:rPr>
                <w:spacing w:val="-11"/>
                <w:lang w:val="sl-SI"/>
              </w:rPr>
              <w:t xml:space="preserve"> </w:t>
            </w:r>
            <w:r w:rsidRPr="001048FE">
              <w:rPr>
                <w:lang w:val="sl-SI"/>
              </w:rPr>
              <w:t>ukrepov</w:t>
            </w:r>
            <w:r w:rsidRPr="001048FE">
              <w:rPr>
                <w:spacing w:val="-11"/>
                <w:lang w:val="sl-SI"/>
              </w:rPr>
              <w:t xml:space="preserve"> </w:t>
            </w:r>
            <w:r w:rsidRPr="001048FE">
              <w:rPr>
                <w:lang w:val="sl-SI"/>
              </w:rPr>
              <w:t>za</w:t>
            </w:r>
            <w:r w:rsidRPr="001048FE">
              <w:rPr>
                <w:spacing w:val="-11"/>
                <w:lang w:val="sl-SI"/>
              </w:rPr>
              <w:t xml:space="preserve"> </w:t>
            </w:r>
            <w:r w:rsidRPr="001048FE">
              <w:rPr>
                <w:lang w:val="sl-SI"/>
              </w:rPr>
              <w:t>ocenjevanje</w:t>
            </w:r>
            <w:r w:rsidRPr="001048FE">
              <w:rPr>
                <w:spacing w:val="-10"/>
                <w:lang w:val="sl-SI"/>
              </w:rPr>
              <w:t xml:space="preserve"> </w:t>
            </w:r>
            <w:r w:rsidRPr="001048FE">
              <w:rPr>
                <w:lang w:val="sl-SI"/>
              </w:rPr>
              <w:t>rezultatov</w:t>
            </w:r>
            <w:r w:rsidRPr="001048FE">
              <w:rPr>
                <w:spacing w:val="-11"/>
                <w:lang w:val="sl-SI"/>
              </w:rPr>
              <w:t xml:space="preserve"> </w:t>
            </w:r>
            <w:r w:rsidRPr="001048FE">
              <w:rPr>
                <w:lang w:val="sl-SI"/>
              </w:rPr>
              <w:t>aktivnosti,</w:t>
            </w:r>
            <w:r w:rsidRPr="001048FE">
              <w:rPr>
                <w:spacing w:val="-11"/>
                <w:lang w:val="sl-SI"/>
              </w:rPr>
              <w:t xml:space="preserve"> </w:t>
            </w:r>
            <w:r w:rsidRPr="001048FE">
              <w:rPr>
                <w:lang w:val="sl-SI"/>
              </w:rPr>
              <w:t>ki</w:t>
            </w:r>
            <w:r w:rsidRPr="001048FE">
              <w:rPr>
                <w:spacing w:val="-11"/>
                <w:lang w:val="sl-SI"/>
              </w:rPr>
              <w:t xml:space="preserve"> </w:t>
            </w:r>
            <w:r w:rsidRPr="001048FE">
              <w:rPr>
                <w:lang w:val="sl-SI"/>
              </w:rPr>
              <w:t>jih vodi</w:t>
            </w:r>
            <w:r w:rsidRPr="001048FE">
              <w:rPr>
                <w:spacing w:val="-2"/>
                <w:lang w:val="sl-SI"/>
              </w:rPr>
              <w:t xml:space="preserve"> </w:t>
            </w:r>
            <w:r w:rsidRPr="001048FE">
              <w:rPr>
                <w:lang w:val="sl-SI"/>
              </w:rPr>
              <w:t>konzorcij;</w:t>
            </w:r>
          </w:p>
          <w:p w14:paraId="7D3988E4" w14:textId="77777777" w:rsidR="00E03711" w:rsidRPr="001048FE" w:rsidRDefault="00E03711" w:rsidP="005115F2">
            <w:pPr>
              <w:pStyle w:val="Guide-NormalBulletpoints"/>
              <w:numPr>
                <w:ilvl w:val="0"/>
                <w:numId w:val="207"/>
              </w:numPr>
              <w:spacing w:before="60"/>
              <w:rPr>
                <w:lang w:val="sl-SI"/>
              </w:rPr>
            </w:pPr>
            <w:r w:rsidRPr="001048FE">
              <w:rPr>
                <w:lang w:val="sl-SI"/>
              </w:rPr>
              <w:t>morebitni učinek</w:t>
            </w:r>
            <w:r w:rsidRPr="001048FE">
              <w:rPr>
                <w:spacing w:val="-4"/>
                <w:lang w:val="sl-SI"/>
              </w:rPr>
              <w:t xml:space="preserve"> </w:t>
            </w:r>
            <w:r w:rsidRPr="001048FE">
              <w:rPr>
                <w:lang w:val="sl-SI"/>
              </w:rPr>
              <w:t>projekta:</w:t>
            </w:r>
          </w:p>
          <w:p w14:paraId="7D3988E5" w14:textId="77777777" w:rsidR="00E03711" w:rsidRPr="001048FE" w:rsidRDefault="00E03711" w:rsidP="005115F2">
            <w:pPr>
              <w:pStyle w:val="Guide-ListDash"/>
              <w:numPr>
                <w:ilvl w:val="1"/>
                <w:numId w:val="116"/>
              </w:numPr>
              <w:spacing w:before="60" w:after="60"/>
              <w:rPr>
                <w:lang w:val="sl-SI"/>
              </w:rPr>
            </w:pPr>
            <w:r w:rsidRPr="001048FE">
              <w:rPr>
                <w:lang w:val="sl-SI"/>
              </w:rPr>
              <w:t>na</w:t>
            </w:r>
            <w:r w:rsidRPr="001048FE">
              <w:rPr>
                <w:spacing w:val="-22"/>
                <w:lang w:val="sl-SI"/>
              </w:rPr>
              <w:t xml:space="preserve"> </w:t>
            </w:r>
            <w:r w:rsidRPr="001048FE">
              <w:rPr>
                <w:lang w:val="sl-SI"/>
              </w:rPr>
              <w:t>udeležence</w:t>
            </w:r>
            <w:r w:rsidRPr="001048FE">
              <w:rPr>
                <w:spacing w:val="-22"/>
                <w:lang w:val="sl-SI"/>
              </w:rPr>
              <w:t xml:space="preserve"> </w:t>
            </w:r>
            <w:r w:rsidRPr="001048FE">
              <w:rPr>
                <w:lang w:val="sl-SI"/>
              </w:rPr>
              <w:t>in</w:t>
            </w:r>
            <w:r w:rsidRPr="001048FE">
              <w:rPr>
                <w:spacing w:val="-22"/>
                <w:lang w:val="sl-SI"/>
              </w:rPr>
              <w:t xml:space="preserve"> </w:t>
            </w:r>
            <w:r w:rsidRPr="001048FE">
              <w:rPr>
                <w:lang w:val="sl-SI"/>
              </w:rPr>
              <w:t>sodelujoče</w:t>
            </w:r>
            <w:r w:rsidRPr="001048FE">
              <w:rPr>
                <w:spacing w:val="-22"/>
                <w:lang w:val="sl-SI"/>
              </w:rPr>
              <w:t xml:space="preserve"> </w:t>
            </w:r>
            <w:r w:rsidRPr="001048FE">
              <w:rPr>
                <w:lang w:val="sl-SI"/>
              </w:rPr>
              <w:t>organizacije</w:t>
            </w:r>
            <w:r w:rsidRPr="001048FE">
              <w:rPr>
                <w:spacing w:val="-22"/>
                <w:lang w:val="sl-SI"/>
              </w:rPr>
              <w:t xml:space="preserve"> </w:t>
            </w:r>
            <w:r w:rsidRPr="001048FE">
              <w:rPr>
                <w:lang w:val="sl-SI"/>
              </w:rPr>
              <w:t>med</w:t>
            </w:r>
            <w:r w:rsidRPr="001048FE">
              <w:rPr>
                <w:spacing w:val="-22"/>
                <w:lang w:val="sl-SI"/>
              </w:rPr>
              <w:t xml:space="preserve"> </w:t>
            </w:r>
            <w:r w:rsidRPr="001048FE">
              <w:rPr>
                <w:lang w:val="sl-SI"/>
              </w:rPr>
              <w:t>življenjskim ciklom projekta in po</w:t>
            </w:r>
            <w:r w:rsidRPr="001048FE">
              <w:rPr>
                <w:spacing w:val="-7"/>
                <w:lang w:val="sl-SI"/>
              </w:rPr>
              <w:t xml:space="preserve"> </w:t>
            </w:r>
            <w:r w:rsidRPr="001048FE">
              <w:rPr>
                <w:lang w:val="sl-SI"/>
              </w:rPr>
              <w:t>njem;</w:t>
            </w:r>
          </w:p>
          <w:p w14:paraId="7D3988E6" w14:textId="77777777" w:rsidR="00E03711" w:rsidRPr="001048FE" w:rsidRDefault="00E03711" w:rsidP="005115F2">
            <w:pPr>
              <w:pStyle w:val="Guide-ListDash"/>
              <w:numPr>
                <w:ilvl w:val="1"/>
                <w:numId w:val="116"/>
              </w:numPr>
              <w:spacing w:before="60" w:after="60"/>
              <w:rPr>
                <w:lang w:val="sl-SI"/>
              </w:rPr>
            </w:pPr>
            <w:r w:rsidRPr="001048FE">
              <w:rPr>
                <w:lang w:val="sl-SI"/>
              </w:rPr>
              <w:t>na</w:t>
            </w:r>
            <w:r w:rsidRPr="001048FE">
              <w:rPr>
                <w:spacing w:val="-16"/>
                <w:lang w:val="sl-SI"/>
              </w:rPr>
              <w:t xml:space="preserve"> </w:t>
            </w:r>
            <w:r w:rsidRPr="001048FE">
              <w:rPr>
                <w:lang w:val="sl-SI"/>
              </w:rPr>
              <w:t>druga</w:t>
            </w:r>
            <w:r w:rsidRPr="001048FE">
              <w:rPr>
                <w:spacing w:val="-16"/>
                <w:lang w:val="sl-SI"/>
              </w:rPr>
              <w:t xml:space="preserve"> </w:t>
            </w:r>
            <w:r w:rsidRPr="001048FE">
              <w:rPr>
                <w:lang w:val="sl-SI"/>
              </w:rPr>
              <w:t>področja,</w:t>
            </w:r>
            <w:r w:rsidRPr="001048FE">
              <w:rPr>
                <w:spacing w:val="-16"/>
                <w:lang w:val="sl-SI"/>
              </w:rPr>
              <w:t xml:space="preserve"> </w:t>
            </w:r>
            <w:r w:rsidRPr="001048FE">
              <w:rPr>
                <w:lang w:val="sl-SI"/>
              </w:rPr>
              <w:t>ne</w:t>
            </w:r>
            <w:r w:rsidRPr="001048FE">
              <w:rPr>
                <w:spacing w:val="-16"/>
                <w:lang w:val="sl-SI"/>
              </w:rPr>
              <w:t xml:space="preserve"> </w:t>
            </w:r>
            <w:r w:rsidRPr="001048FE">
              <w:rPr>
                <w:lang w:val="sl-SI"/>
              </w:rPr>
              <w:t>samo</w:t>
            </w:r>
            <w:r w:rsidRPr="001048FE">
              <w:rPr>
                <w:spacing w:val="-16"/>
                <w:lang w:val="sl-SI"/>
              </w:rPr>
              <w:t xml:space="preserve"> </w:t>
            </w:r>
            <w:r w:rsidRPr="001048FE">
              <w:rPr>
                <w:lang w:val="sl-SI"/>
              </w:rPr>
              <w:t>na</w:t>
            </w:r>
            <w:r w:rsidRPr="001048FE">
              <w:rPr>
                <w:spacing w:val="-16"/>
                <w:lang w:val="sl-SI"/>
              </w:rPr>
              <w:t xml:space="preserve"> </w:t>
            </w:r>
            <w:r w:rsidRPr="001048FE">
              <w:rPr>
                <w:lang w:val="sl-SI"/>
              </w:rPr>
              <w:t>organizacije</w:t>
            </w:r>
            <w:r w:rsidRPr="001048FE">
              <w:rPr>
                <w:spacing w:val="-15"/>
                <w:lang w:val="sl-SI"/>
              </w:rPr>
              <w:t xml:space="preserve"> </w:t>
            </w:r>
            <w:r w:rsidRPr="001048FE">
              <w:rPr>
                <w:lang w:val="sl-SI"/>
              </w:rPr>
              <w:t>in</w:t>
            </w:r>
            <w:r w:rsidRPr="001048FE">
              <w:rPr>
                <w:spacing w:val="-16"/>
                <w:lang w:val="sl-SI"/>
              </w:rPr>
              <w:t xml:space="preserve"> </w:t>
            </w:r>
            <w:r w:rsidRPr="001048FE">
              <w:rPr>
                <w:lang w:val="sl-SI"/>
              </w:rPr>
              <w:t>posameznike,</w:t>
            </w:r>
            <w:r w:rsidRPr="001048FE">
              <w:rPr>
                <w:spacing w:val="-16"/>
                <w:lang w:val="sl-SI"/>
              </w:rPr>
              <w:t xml:space="preserve"> </w:t>
            </w:r>
            <w:r w:rsidRPr="001048FE">
              <w:rPr>
                <w:lang w:val="sl-SI"/>
              </w:rPr>
              <w:t>ki neposredno sodelujejo v projektu, na institucionalni, lokalni, regionalni, nacionalni in/ali mednarodni</w:t>
            </w:r>
            <w:r w:rsidRPr="001048FE">
              <w:rPr>
                <w:spacing w:val="-6"/>
                <w:lang w:val="sl-SI"/>
              </w:rPr>
              <w:t xml:space="preserve"> </w:t>
            </w:r>
            <w:r w:rsidRPr="001048FE">
              <w:rPr>
                <w:lang w:val="sl-SI"/>
              </w:rPr>
              <w:t>ravni;</w:t>
            </w:r>
          </w:p>
          <w:p w14:paraId="7D3988E7" w14:textId="77777777" w:rsidR="00E03711" w:rsidRPr="00D0047F" w:rsidRDefault="00E03711" w:rsidP="005115F2">
            <w:pPr>
              <w:pStyle w:val="Guide-NormalBulletpoints"/>
              <w:numPr>
                <w:ilvl w:val="0"/>
                <w:numId w:val="116"/>
              </w:numPr>
              <w:rPr>
                <w:lang w:val="sl-SI"/>
              </w:rPr>
            </w:pPr>
            <w:r w:rsidRPr="00D0047F">
              <w:rPr>
                <w:lang w:val="sl-SI"/>
              </w:rPr>
              <w:t>ustreznost in kakovost ukrepov, katerih cilj je razširjanje rezultatov aktivnosti, ki jih vodi konzorcij, med sodelujočimi organizacijami in partnerji ter drugod.</w:t>
            </w:r>
          </w:p>
        </w:tc>
      </w:tr>
    </w:tbl>
    <w:p w14:paraId="7D3988E9" w14:textId="77777777" w:rsidR="00E03711" w:rsidRPr="001048FE" w:rsidRDefault="00E03711" w:rsidP="006F6C8B">
      <w:pPr>
        <w:pStyle w:val="GUIDE-NORMAL"/>
        <w:rPr>
          <w:lang w:val="sl-SI"/>
        </w:rPr>
      </w:pPr>
      <w:r w:rsidRPr="001048FE">
        <w:rPr>
          <w:lang w:val="sl-SI"/>
        </w:rPr>
        <w:t>Da je predlog izbran za akreditacijo, mora dobiti skupaj vsaj 60 točk. Poleg tega mora dobiti vsaj polovico vseh možnih točk pri posameznem merilu za dodelitev.</w:t>
      </w:r>
    </w:p>
    <w:p w14:paraId="7D3988EA" w14:textId="77777777" w:rsidR="00E03711" w:rsidRPr="001048FE" w:rsidRDefault="00E03711" w:rsidP="00F05908">
      <w:pPr>
        <w:pStyle w:val="Guide-Heading5"/>
        <w:rPr>
          <w:lang w:val="sl-SI"/>
        </w:rPr>
      </w:pPr>
      <w:r w:rsidRPr="001048FE">
        <w:rPr>
          <w:lang w:val="sl-SI"/>
        </w:rPr>
        <w:t>Kaj je še treba vedeti o tem ukrepu?</w:t>
      </w:r>
    </w:p>
    <w:p w14:paraId="7D3988EB" w14:textId="77777777" w:rsidR="00E03711" w:rsidRPr="001048FE" w:rsidRDefault="00E03711" w:rsidP="00F05908">
      <w:pPr>
        <w:pStyle w:val="GUIDE-NORMAL"/>
        <w:rPr>
          <w:lang w:val="sl-SI"/>
        </w:rPr>
      </w:pPr>
      <w:r w:rsidRPr="001048FE">
        <w:rPr>
          <w:lang w:val="sl-SI"/>
        </w:rPr>
        <w:t>Za podrobnejša pravila in merila ter dodatne koristne informacije v zvezi s tem ukrepom glej Prilogo</w:t>
      </w:r>
      <w:r w:rsidRPr="001048FE">
        <w:rPr>
          <w:spacing w:val="-10"/>
          <w:lang w:val="sl-SI"/>
        </w:rPr>
        <w:t xml:space="preserve"> </w:t>
      </w:r>
      <w:r w:rsidRPr="001048FE">
        <w:rPr>
          <w:lang w:val="sl-SI"/>
        </w:rPr>
        <w:t>I</w:t>
      </w:r>
      <w:r w:rsidRPr="001048FE">
        <w:rPr>
          <w:spacing w:val="-10"/>
          <w:lang w:val="sl-SI"/>
        </w:rPr>
        <w:t xml:space="preserve"> </w:t>
      </w:r>
      <w:r w:rsidRPr="001048FE">
        <w:rPr>
          <w:lang w:val="sl-SI"/>
        </w:rPr>
        <w:t>k</w:t>
      </w:r>
      <w:r w:rsidRPr="001048FE">
        <w:rPr>
          <w:spacing w:val="-10"/>
          <w:lang w:val="sl-SI"/>
        </w:rPr>
        <w:t xml:space="preserve"> </w:t>
      </w:r>
      <w:r w:rsidRPr="001048FE">
        <w:rPr>
          <w:lang w:val="sl-SI"/>
        </w:rPr>
        <w:t>temu</w:t>
      </w:r>
      <w:r w:rsidRPr="001048FE">
        <w:rPr>
          <w:spacing w:val="-10"/>
          <w:lang w:val="sl-SI"/>
        </w:rPr>
        <w:t xml:space="preserve"> </w:t>
      </w:r>
      <w:r w:rsidRPr="001048FE">
        <w:rPr>
          <w:lang w:val="sl-SI"/>
        </w:rPr>
        <w:t>vodniku.</w:t>
      </w:r>
      <w:r w:rsidRPr="001048FE">
        <w:rPr>
          <w:spacing w:val="-10"/>
          <w:lang w:val="sl-SI"/>
        </w:rPr>
        <w:t xml:space="preserve"> </w:t>
      </w:r>
      <w:r w:rsidRPr="001048FE">
        <w:rPr>
          <w:lang w:val="sl-SI"/>
        </w:rPr>
        <w:t>Zainteresirane</w:t>
      </w:r>
      <w:r w:rsidRPr="001048FE">
        <w:rPr>
          <w:spacing w:val="-10"/>
          <w:lang w:val="sl-SI"/>
        </w:rPr>
        <w:t xml:space="preserve"> </w:t>
      </w:r>
      <w:r w:rsidRPr="001048FE">
        <w:rPr>
          <w:lang w:val="sl-SI"/>
        </w:rPr>
        <w:t>organizacije</w:t>
      </w:r>
      <w:r w:rsidRPr="001048FE">
        <w:rPr>
          <w:spacing w:val="-9"/>
          <w:lang w:val="sl-SI"/>
        </w:rPr>
        <w:t xml:space="preserve"> </w:t>
      </w:r>
      <w:r w:rsidRPr="001048FE">
        <w:rPr>
          <w:lang w:val="sl-SI"/>
        </w:rPr>
        <w:t>naj</w:t>
      </w:r>
      <w:r w:rsidRPr="001048FE">
        <w:rPr>
          <w:spacing w:val="-10"/>
          <w:lang w:val="sl-SI"/>
        </w:rPr>
        <w:t xml:space="preserve"> </w:t>
      </w:r>
      <w:r w:rsidRPr="001048FE">
        <w:rPr>
          <w:lang w:val="sl-SI"/>
        </w:rPr>
        <w:t>pred</w:t>
      </w:r>
      <w:r w:rsidRPr="001048FE">
        <w:rPr>
          <w:spacing w:val="-10"/>
          <w:lang w:val="sl-SI"/>
        </w:rPr>
        <w:t xml:space="preserve"> </w:t>
      </w:r>
      <w:r w:rsidRPr="001048FE">
        <w:rPr>
          <w:lang w:val="sl-SI"/>
        </w:rPr>
        <w:t>oddajo</w:t>
      </w:r>
      <w:r w:rsidRPr="001048FE">
        <w:rPr>
          <w:spacing w:val="-9"/>
          <w:lang w:val="sl-SI"/>
        </w:rPr>
        <w:t xml:space="preserve"> </w:t>
      </w:r>
      <w:r w:rsidRPr="001048FE">
        <w:rPr>
          <w:lang w:val="sl-SI"/>
        </w:rPr>
        <w:t>vloge</w:t>
      </w:r>
      <w:r w:rsidRPr="001048FE">
        <w:rPr>
          <w:spacing w:val="-10"/>
          <w:lang w:val="sl-SI"/>
        </w:rPr>
        <w:t xml:space="preserve"> </w:t>
      </w:r>
      <w:r w:rsidRPr="001048FE">
        <w:rPr>
          <w:lang w:val="sl-SI"/>
        </w:rPr>
        <w:t>za</w:t>
      </w:r>
      <w:r w:rsidRPr="001048FE">
        <w:rPr>
          <w:spacing w:val="-10"/>
          <w:lang w:val="sl-SI"/>
        </w:rPr>
        <w:t xml:space="preserve"> </w:t>
      </w:r>
      <w:r w:rsidRPr="001048FE">
        <w:rPr>
          <w:lang w:val="sl-SI"/>
        </w:rPr>
        <w:t>finančno</w:t>
      </w:r>
      <w:r w:rsidRPr="001048FE">
        <w:rPr>
          <w:spacing w:val="-10"/>
          <w:lang w:val="sl-SI"/>
        </w:rPr>
        <w:t xml:space="preserve"> </w:t>
      </w:r>
      <w:r w:rsidRPr="001048FE">
        <w:rPr>
          <w:lang w:val="sl-SI"/>
        </w:rPr>
        <w:t>podporo skrbno preberejo ustrezna poglavja te</w:t>
      </w:r>
      <w:r w:rsidRPr="001048FE">
        <w:rPr>
          <w:spacing w:val="-12"/>
          <w:lang w:val="sl-SI"/>
        </w:rPr>
        <w:t xml:space="preserve"> </w:t>
      </w:r>
      <w:r w:rsidRPr="001048FE">
        <w:rPr>
          <w:lang w:val="sl-SI"/>
        </w:rPr>
        <w:t>priloge.</w:t>
      </w:r>
    </w:p>
    <w:p w14:paraId="7D3988EC" w14:textId="77777777" w:rsidR="00E03711" w:rsidRPr="001048FE" w:rsidRDefault="00E03711" w:rsidP="00F05908">
      <w:pPr>
        <w:pStyle w:val="Guide-Heading5"/>
        <w:rPr>
          <w:lang w:val="sl-SI"/>
        </w:rPr>
      </w:pPr>
      <w:r w:rsidRPr="001048FE">
        <w:rPr>
          <w:lang w:val="sl-SI"/>
        </w:rPr>
        <w:t>Kakšna so pravila za dodelitev sredstev?</w:t>
      </w:r>
    </w:p>
    <w:p w14:paraId="7D3988ED" w14:textId="77777777" w:rsidR="00E03711" w:rsidRPr="001048FE" w:rsidRDefault="00E03711" w:rsidP="00F05908">
      <w:pPr>
        <w:pStyle w:val="GUIDE-NORMAL"/>
        <w:rPr>
          <w:lang w:val="sl-SI"/>
        </w:rPr>
      </w:pPr>
      <w:r w:rsidRPr="001048FE">
        <w:rPr>
          <w:lang w:val="sl-SI"/>
        </w:rPr>
        <w:t>V prijavnem obrazcu morajo prijavitelji projektov mobilnosti za študente in osebje v visokošolskem izobraževanju zagotoviti naslednje informacije:</w:t>
      </w:r>
    </w:p>
    <w:p w14:paraId="7D3988EE" w14:textId="77777777" w:rsidR="00E03711" w:rsidRPr="00D0047F" w:rsidRDefault="00E03711" w:rsidP="005115F2">
      <w:pPr>
        <w:pStyle w:val="Guide-NormalBulletpoints"/>
        <w:numPr>
          <w:ilvl w:val="0"/>
          <w:numId w:val="208"/>
        </w:numPr>
        <w:rPr>
          <w:lang w:val="sl-SI"/>
        </w:rPr>
      </w:pPr>
      <w:r w:rsidRPr="00D0047F">
        <w:rPr>
          <w:lang w:val="sl-SI"/>
        </w:rPr>
        <w:t xml:space="preserve">število študentov in osebja, ki naj bi se udeležili aktivnosti mobilnosti; </w:t>
      </w:r>
    </w:p>
    <w:p w14:paraId="7D3988EF" w14:textId="77777777" w:rsidR="00E03711" w:rsidRPr="00D0047F" w:rsidRDefault="00E03711" w:rsidP="005115F2">
      <w:pPr>
        <w:pStyle w:val="Guide-NormalBulletpoints"/>
        <w:numPr>
          <w:ilvl w:val="0"/>
          <w:numId w:val="208"/>
        </w:numPr>
        <w:rPr>
          <w:lang w:val="sl-SI"/>
        </w:rPr>
      </w:pPr>
      <w:r w:rsidRPr="00D0047F">
        <w:rPr>
          <w:lang w:val="sl-SI"/>
        </w:rPr>
        <w:t>skupno trajanje načrtovanih aktivnosti mobilnosti.</w:t>
      </w:r>
    </w:p>
    <w:p w14:paraId="7D3988F0" w14:textId="77777777" w:rsidR="00E03711" w:rsidRPr="001048FE" w:rsidRDefault="00E03711" w:rsidP="00F05908">
      <w:pPr>
        <w:pStyle w:val="GUIDE-NORMAL"/>
        <w:rPr>
          <w:lang w:val="sl-SI"/>
        </w:rPr>
      </w:pPr>
      <w:r w:rsidRPr="001048FE">
        <w:rPr>
          <w:lang w:val="sl-SI"/>
        </w:rPr>
        <w:t>Nacionalne agencije iz držav Programa bodo na podlagi teh informacij prijaviteljem dodelile nepovratna sredstva za podporo določenemu številu aktivnosti mobilnosti, največ toliko aktivnostim, kot jih je navedel prijavitelj.</w:t>
      </w:r>
    </w:p>
    <w:p w14:paraId="7D3988F1" w14:textId="77777777" w:rsidR="00E03711" w:rsidRPr="001048FE" w:rsidRDefault="00E03711" w:rsidP="00F05908">
      <w:pPr>
        <w:pStyle w:val="GUIDE-NORMAL"/>
        <w:rPr>
          <w:rStyle w:val="Guide-Condensed-01"/>
          <w:lang w:val="sl-SI"/>
        </w:rPr>
      </w:pPr>
      <w:r w:rsidRPr="001048FE">
        <w:rPr>
          <w:rStyle w:val="Guide-Condensed-01"/>
          <w:lang w:val="sl-SI"/>
        </w:rPr>
        <w:t>Če prijavitelj predloži projekt mobilnosti s partnerskimi državami, izpolni ločeno vlogo za mobilnost v partnerske države in iz njih.</w:t>
      </w:r>
    </w:p>
    <w:p w14:paraId="7D3988F2" w14:textId="77777777" w:rsidR="00E03711" w:rsidRDefault="00E03711" w:rsidP="00F05908">
      <w:pPr>
        <w:pStyle w:val="GUIDE-NORMAL"/>
        <w:rPr>
          <w:lang w:val="sl-SI"/>
        </w:rPr>
      </w:pPr>
      <w:r w:rsidRPr="001048FE">
        <w:rPr>
          <w:lang w:val="sl-SI"/>
        </w:rPr>
        <w:t xml:space="preserve">Ločena nepovratna sredstva bodo dodeljena mobilnosti s partnerskimi državami. </w:t>
      </w:r>
    </w:p>
    <w:p w14:paraId="7D3988F3" w14:textId="77777777" w:rsidR="00E03711" w:rsidRPr="001048FE" w:rsidRDefault="00E03711" w:rsidP="00F05908">
      <w:pPr>
        <w:pStyle w:val="GUIDE-NORMAL"/>
        <w:rPr>
          <w:lang w:val="sl-SI"/>
        </w:rPr>
      </w:pPr>
      <w:r w:rsidRPr="001048FE">
        <w:rPr>
          <w:lang w:val="sl-SI"/>
        </w:rPr>
        <w:t>Za finančno podporo tem aktivnostim veljajo naslednja pravila:</w:t>
      </w:r>
    </w:p>
    <w:p w14:paraId="7D3988F4" w14:textId="77777777" w:rsidR="00E03711" w:rsidRPr="001048FE" w:rsidRDefault="00E03711" w:rsidP="00F05908">
      <w:pPr>
        <w:pStyle w:val="Guide-Heading6"/>
        <w:rPr>
          <w:lang w:val="sl-SI"/>
        </w:rPr>
      </w:pPr>
      <w:r w:rsidRPr="001048FE">
        <w:rPr>
          <w:lang w:val="sl-SI"/>
        </w:rPr>
        <w:t>a) Pravila za dodelitev sredstev, ki veljajo za vse aktivnosti mobilnosti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317"/>
        <w:gridCol w:w="2341"/>
        <w:gridCol w:w="1207"/>
        <w:gridCol w:w="2287"/>
        <w:gridCol w:w="2092"/>
      </w:tblGrid>
      <w:tr w:rsidR="00E03711" w:rsidRPr="008C6F8C" w14:paraId="7D3988F9" w14:textId="77777777" w:rsidTr="00860232">
        <w:trPr>
          <w:trHeight w:val="20"/>
        </w:trPr>
        <w:tc>
          <w:tcPr>
            <w:tcW w:w="0" w:type="auto"/>
            <w:gridSpan w:val="2"/>
            <w:shd w:val="clear" w:color="auto" w:fill="auto"/>
            <w:vAlign w:val="center"/>
          </w:tcPr>
          <w:p w14:paraId="7D3988F5" w14:textId="77777777" w:rsidR="00E03711" w:rsidRPr="00F769E0" w:rsidRDefault="00E03711" w:rsidP="00A13051">
            <w:pPr>
              <w:pStyle w:val="Guide-Table"/>
              <w:spacing w:beforeLines="60" w:before="144" w:afterLines="60" w:after="144"/>
              <w:rPr>
                <w:rFonts w:cs="Tahoma"/>
                <w:b/>
                <w:lang w:val="sl-SI" w:eastAsia="en-GB"/>
              </w:rPr>
            </w:pPr>
            <w:r w:rsidRPr="00F769E0">
              <w:rPr>
                <w:rFonts w:cs="Tahoma"/>
                <w:b/>
                <w:lang w:val="sl-SI" w:eastAsia="en-GB"/>
              </w:rPr>
              <w:t>Upravičeni stroški</w:t>
            </w:r>
          </w:p>
        </w:tc>
        <w:tc>
          <w:tcPr>
            <w:tcW w:w="0" w:type="auto"/>
            <w:tcBorders>
              <w:bottom w:val="single" w:sz="4" w:space="0" w:color="auto"/>
            </w:tcBorders>
            <w:shd w:val="clear" w:color="auto" w:fill="auto"/>
            <w:vAlign w:val="center"/>
          </w:tcPr>
          <w:p w14:paraId="7D3988F6" w14:textId="77777777" w:rsidR="00E03711" w:rsidRPr="00F769E0" w:rsidRDefault="00E03711" w:rsidP="00A13051">
            <w:pPr>
              <w:pStyle w:val="Guide-Table"/>
              <w:spacing w:beforeLines="60" w:before="144" w:afterLines="60" w:after="144"/>
              <w:rPr>
                <w:rFonts w:cs="Tahoma"/>
                <w:b/>
                <w:lang w:val="sl-SI" w:eastAsia="en-GB"/>
              </w:rPr>
            </w:pPr>
            <w:r w:rsidRPr="00F769E0">
              <w:rPr>
                <w:rFonts w:cs="Tahoma"/>
                <w:b/>
                <w:lang w:val="sl-SI" w:eastAsia="en-GB"/>
              </w:rPr>
              <w:t>Mehanizem financiranja</w:t>
            </w:r>
          </w:p>
        </w:tc>
        <w:tc>
          <w:tcPr>
            <w:tcW w:w="0" w:type="auto"/>
            <w:tcBorders>
              <w:bottom w:val="single" w:sz="4" w:space="0" w:color="auto"/>
            </w:tcBorders>
            <w:shd w:val="clear" w:color="auto" w:fill="auto"/>
            <w:vAlign w:val="center"/>
          </w:tcPr>
          <w:p w14:paraId="7D3988F7" w14:textId="77777777" w:rsidR="00E03711" w:rsidRPr="00F769E0" w:rsidRDefault="00E03711" w:rsidP="00A13051">
            <w:pPr>
              <w:pStyle w:val="Guide-Table"/>
              <w:spacing w:beforeLines="60" w:before="144" w:afterLines="60" w:after="144"/>
              <w:rPr>
                <w:rFonts w:cs="Tahoma"/>
                <w:b/>
                <w:lang w:val="sl-SI" w:eastAsia="en-GB"/>
              </w:rPr>
            </w:pPr>
            <w:r w:rsidRPr="00F769E0">
              <w:rPr>
                <w:rFonts w:cs="Tahoma"/>
                <w:b/>
                <w:lang w:val="sl-SI" w:eastAsia="en-GB"/>
              </w:rPr>
              <w:t>Znesek</w:t>
            </w:r>
          </w:p>
        </w:tc>
        <w:tc>
          <w:tcPr>
            <w:tcW w:w="0" w:type="auto"/>
            <w:tcBorders>
              <w:bottom w:val="single" w:sz="4" w:space="0" w:color="auto"/>
            </w:tcBorders>
            <w:shd w:val="clear" w:color="auto" w:fill="auto"/>
            <w:vAlign w:val="center"/>
          </w:tcPr>
          <w:p w14:paraId="7D3988F8" w14:textId="77777777" w:rsidR="00E03711" w:rsidRPr="00F769E0" w:rsidRDefault="00E03711" w:rsidP="00A13051">
            <w:pPr>
              <w:pStyle w:val="Guide-Table"/>
              <w:spacing w:beforeLines="60" w:before="144" w:afterLines="60" w:after="144"/>
              <w:rPr>
                <w:rFonts w:cs="Tahoma"/>
                <w:b/>
                <w:lang w:val="sl-SI" w:eastAsia="en-GB"/>
              </w:rPr>
            </w:pPr>
            <w:r w:rsidRPr="00F769E0">
              <w:rPr>
                <w:rFonts w:cs="Tahoma"/>
                <w:b/>
                <w:lang w:val="sl-SI" w:eastAsia="en-GB"/>
              </w:rPr>
              <w:t>Pravilo dodelitve</w:t>
            </w:r>
          </w:p>
        </w:tc>
      </w:tr>
      <w:tr w:rsidR="00E03711" w:rsidRPr="00C60205" w14:paraId="7D398900" w14:textId="77777777" w:rsidTr="003D6DEB">
        <w:trPr>
          <w:trHeight w:val="20"/>
        </w:trPr>
        <w:tc>
          <w:tcPr>
            <w:tcW w:w="0" w:type="auto"/>
            <w:vAlign w:val="center"/>
          </w:tcPr>
          <w:p w14:paraId="7D3988FA" w14:textId="77777777" w:rsidR="00E03711" w:rsidRPr="00F769E0" w:rsidRDefault="00E03711" w:rsidP="00A13051">
            <w:pPr>
              <w:pStyle w:val="Guide-Table"/>
              <w:spacing w:beforeLines="60" w:before="144" w:afterLines="60" w:after="144"/>
              <w:jc w:val="left"/>
              <w:rPr>
                <w:rFonts w:cs="Tahoma"/>
                <w:b/>
                <w:lang w:val="sl-SI" w:eastAsia="en-GB"/>
              </w:rPr>
            </w:pPr>
            <w:r w:rsidRPr="00F769E0">
              <w:rPr>
                <w:rFonts w:cs="Tahoma"/>
                <w:b/>
                <w:lang w:val="sl-SI" w:eastAsia="en-GB"/>
              </w:rPr>
              <w:t>Organizacijska podpora</w:t>
            </w:r>
          </w:p>
        </w:tc>
        <w:tc>
          <w:tcPr>
            <w:tcW w:w="0" w:type="auto"/>
            <w:vAlign w:val="center"/>
          </w:tcPr>
          <w:p w14:paraId="7D3988FB" w14:textId="77777777" w:rsidR="00E03711" w:rsidRPr="00F769E0" w:rsidRDefault="00E03711" w:rsidP="00C55B6C">
            <w:pPr>
              <w:pStyle w:val="Guide-Table"/>
              <w:jc w:val="left"/>
              <w:rPr>
                <w:rFonts w:cs="Tahoma"/>
                <w:lang w:val="sl-SI" w:eastAsia="en-GB"/>
              </w:rPr>
            </w:pPr>
            <w:r w:rsidRPr="00F769E0">
              <w:rPr>
                <w:rFonts w:cs="Tahoma"/>
                <w:lang w:val="sl-SI" w:eastAsia="en-GB"/>
              </w:rPr>
              <w:t>Stroški, neposredno povezani z izvajanjem aktivnosti mobilnosti (razen stroškov bivanja in potnih stroškov za udeležence).</w:t>
            </w:r>
          </w:p>
        </w:tc>
        <w:tc>
          <w:tcPr>
            <w:tcW w:w="0" w:type="auto"/>
            <w:vAlign w:val="center"/>
          </w:tcPr>
          <w:p w14:paraId="7D3988FC" w14:textId="77777777" w:rsidR="00E03711" w:rsidRPr="00F769E0" w:rsidRDefault="00E03711" w:rsidP="00A13051">
            <w:pPr>
              <w:pStyle w:val="GUIDE-NORMAL"/>
              <w:spacing w:beforeLines="60" w:before="144" w:afterLines="60" w:after="144"/>
              <w:jc w:val="left"/>
              <w:rPr>
                <w:rFonts w:cs="Tahoma"/>
                <w:snapToGrid w:val="0"/>
                <w:lang w:val="sl-SI" w:eastAsia="en-GB"/>
              </w:rPr>
            </w:pPr>
            <w:r w:rsidRPr="00F769E0">
              <w:rPr>
                <w:rFonts w:cs="Tahoma"/>
                <w:snapToGrid w:val="0"/>
                <w:lang w:val="sl-SI" w:eastAsia="en-GB"/>
              </w:rPr>
              <w:t>Prispevek za stroške na enoto</w:t>
            </w:r>
          </w:p>
        </w:tc>
        <w:tc>
          <w:tcPr>
            <w:tcW w:w="0" w:type="auto"/>
            <w:vAlign w:val="center"/>
          </w:tcPr>
          <w:p w14:paraId="7D3988FD" w14:textId="77777777" w:rsidR="00E03711" w:rsidRPr="00F769E0" w:rsidRDefault="00E03711" w:rsidP="00C55B6C">
            <w:pPr>
              <w:pStyle w:val="Guide-Table"/>
              <w:jc w:val="left"/>
              <w:rPr>
                <w:rFonts w:cs="Tahoma"/>
                <w:lang w:val="sl-SI" w:eastAsia="en-GB"/>
              </w:rPr>
            </w:pPr>
            <w:r w:rsidRPr="00F769E0">
              <w:rPr>
                <w:rFonts w:cs="Tahoma"/>
                <w:lang w:val="sl-SI" w:eastAsia="en-GB"/>
              </w:rPr>
              <w:t xml:space="preserve">V primeru mobilnosti med državami Programa: do 100. udeleženca: 350 EUR na udeleženca, po 100. udeležencu: 200 EUR na dodatnega udeleženca </w:t>
            </w:r>
          </w:p>
          <w:p w14:paraId="7D3988FE" w14:textId="77777777" w:rsidR="00E03711" w:rsidRPr="00F769E0" w:rsidRDefault="00E03711" w:rsidP="00C55B6C">
            <w:pPr>
              <w:pStyle w:val="Guide-Table"/>
              <w:jc w:val="left"/>
              <w:rPr>
                <w:rFonts w:cs="Tahoma"/>
                <w:lang w:val="sl-SI" w:eastAsia="en-GB"/>
              </w:rPr>
            </w:pPr>
            <w:r w:rsidRPr="00F769E0">
              <w:rPr>
                <w:rFonts w:cs="Tahoma"/>
                <w:lang w:val="sl-SI" w:eastAsia="en-GB"/>
              </w:rPr>
              <w:t xml:space="preserve">V primeru mobilnosti med državami Programa in partnerskimi državami: </w:t>
            </w:r>
            <w:r w:rsidRPr="00F769E0">
              <w:rPr>
                <w:rFonts w:cs="Tahoma"/>
                <w:lang w:val="sl-SI" w:eastAsia="en-GB"/>
              </w:rPr>
              <w:br/>
              <w:t>350 EUR na udeleženca</w:t>
            </w:r>
          </w:p>
        </w:tc>
        <w:tc>
          <w:tcPr>
            <w:tcW w:w="0" w:type="auto"/>
            <w:vAlign w:val="center"/>
          </w:tcPr>
          <w:p w14:paraId="7D3988FF" w14:textId="77777777" w:rsidR="00E03711" w:rsidRPr="00F769E0" w:rsidRDefault="00E03711" w:rsidP="00A13051">
            <w:pPr>
              <w:pStyle w:val="GUIDE-NORMAL"/>
              <w:spacing w:beforeLines="60" w:before="144" w:afterLines="60" w:after="144"/>
              <w:jc w:val="left"/>
              <w:rPr>
                <w:rFonts w:cs="Tahoma"/>
                <w:snapToGrid w:val="0"/>
                <w:lang w:val="sl-SI" w:eastAsia="en-GB"/>
              </w:rPr>
            </w:pPr>
            <w:r w:rsidRPr="00F769E0">
              <w:rPr>
                <w:rFonts w:cs="Tahoma"/>
                <w:snapToGrid w:val="0"/>
                <w:lang w:val="sl-SI" w:eastAsia="en-GB"/>
              </w:rPr>
              <w:t>Glede na število udeležencev v mobilnosti</w:t>
            </w:r>
          </w:p>
        </w:tc>
      </w:tr>
      <w:tr w:rsidR="00E03711" w:rsidRPr="00C60205" w14:paraId="7D398906" w14:textId="77777777" w:rsidTr="003D6DEB">
        <w:trPr>
          <w:trHeight w:val="20"/>
        </w:trPr>
        <w:tc>
          <w:tcPr>
            <w:tcW w:w="0" w:type="auto"/>
            <w:vAlign w:val="center"/>
          </w:tcPr>
          <w:p w14:paraId="7D398901" w14:textId="77777777" w:rsidR="00E03711" w:rsidRPr="00F769E0" w:rsidRDefault="00E03711" w:rsidP="00A13051">
            <w:pPr>
              <w:pStyle w:val="Guide-Table"/>
              <w:spacing w:beforeLines="60" w:before="144" w:afterLines="60" w:after="144"/>
              <w:jc w:val="left"/>
              <w:rPr>
                <w:rFonts w:cs="Tahoma"/>
                <w:b/>
                <w:lang w:val="sl-SI" w:eastAsia="en-GB"/>
              </w:rPr>
            </w:pPr>
            <w:r w:rsidRPr="00F769E0">
              <w:rPr>
                <w:rFonts w:cs="Tahoma"/>
                <w:b/>
                <w:lang w:val="sl-SI" w:eastAsia="en-GB"/>
              </w:rPr>
              <w:t xml:space="preserve">Podpora </w:t>
            </w:r>
            <w:r w:rsidRPr="00F769E0">
              <w:rPr>
                <w:rFonts w:cs="Tahoma"/>
                <w:b/>
                <w:lang w:val="sl-SI" w:eastAsia="en-GB"/>
              </w:rPr>
              <w:br/>
              <w:t>za posebne potrebe</w:t>
            </w:r>
          </w:p>
        </w:tc>
        <w:tc>
          <w:tcPr>
            <w:tcW w:w="0" w:type="auto"/>
            <w:vAlign w:val="center"/>
          </w:tcPr>
          <w:p w14:paraId="7D398902" w14:textId="77777777" w:rsidR="00E03711" w:rsidRPr="00F769E0" w:rsidRDefault="00E03711" w:rsidP="00C55B6C">
            <w:pPr>
              <w:pStyle w:val="Guide-Table"/>
              <w:jc w:val="left"/>
              <w:rPr>
                <w:rFonts w:cs="Tahoma"/>
                <w:lang w:val="sl-SI" w:eastAsia="en-GB"/>
              </w:rPr>
            </w:pPr>
            <w:r w:rsidRPr="00F769E0">
              <w:rPr>
                <w:rFonts w:cs="Tahoma"/>
                <w:lang w:val="sl-SI" w:eastAsia="en-GB"/>
              </w:rPr>
              <w:t>Dodatni stroški, neposredno povezani z udeleženci, ki imajo posebne potrebe</w:t>
            </w:r>
          </w:p>
        </w:tc>
        <w:tc>
          <w:tcPr>
            <w:tcW w:w="0" w:type="auto"/>
            <w:vAlign w:val="center"/>
          </w:tcPr>
          <w:p w14:paraId="7D398903" w14:textId="77777777" w:rsidR="00E03711" w:rsidRPr="00F769E0" w:rsidRDefault="00E03711" w:rsidP="00A13051">
            <w:pPr>
              <w:pStyle w:val="GUIDE-NORMAL"/>
              <w:spacing w:beforeLines="60" w:before="144" w:afterLines="60" w:after="144"/>
              <w:jc w:val="left"/>
              <w:rPr>
                <w:rFonts w:cs="Tahoma"/>
                <w:lang w:val="sl-SI" w:eastAsia="en-GB"/>
              </w:rPr>
            </w:pPr>
            <w:r w:rsidRPr="00F769E0">
              <w:rPr>
                <w:rFonts w:cs="Tahoma"/>
                <w:snapToGrid w:val="0"/>
                <w:lang w:val="sl-SI" w:eastAsia="en-GB"/>
              </w:rPr>
              <w:t>Dejanski stroški</w:t>
            </w:r>
          </w:p>
        </w:tc>
        <w:tc>
          <w:tcPr>
            <w:tcW w:w="0" w:type="auto"/>
            <w:vAlign w:val="center"/>
          </w:tcPr>
          <w:p w14:paraId="7D398904" w14:textId="77777777" w:rsidR="00E03711" w:rsidRPr="00F769E0" w:rsidRDefault="00E03711" w:rsidP="00C55B6C">
            <w:pPr>
              <w:pStyle w:val="Guide-Table"/>
              <w:jc w:val="left"/>
              <w:rPr>
                <w:rFonts w:cs="Tahoma"/>
                <w:lang w:val="sl-SI" w:eastAsia="en-GB"/>
              </w:rPr>
            </w:pPr>
            <w:r w:rsidRPr="00F769E0">
              <w:rPr>
                <w:rFonts w:cs="Tahoma"/>
                <w:lang w:val="sl-SI" w:eastAsia="en-GB"/>
              </w:rPr>
              <w:t>Do 100 % upravičenih stroškov, kot jih odobri nacionalna agencija</w:t>
            </w:r>
          </w:p>
        </w:tc>
        <w:tc>
          <w:tcPr>
            <w:tcW w:w="0" w:type="auto"/>
            <w:vAlign w:val="center"/>
          </w:tcPr>
          <w:p w14:paraId="7D398905" w14:textId="77777777" w:rsidR="00E03711" w:rsidRPr="00F769E0" w:rsidRDefault="00E03711" w:rsidP="00C55B6C">
            <w:pPr>
              <w:pStyle w:val="Guide-Table"/>
              <w:jc w:val="left"/>
              <w:rPr>
                <w:rFonts w:cs="Tahoma"/>
                <w:lang w:val="sl-SI" w:eastAsia="en-GB"/>
              </w:rPr>
            </w:pPr>
            <w:r w:rsidRPr="00F769E0">
              <w:rPr>
                <w:rFonts w:cs="Tahoma"/>
                <w:lang w:val="sl-SI" w:eastAsia="en-GB"/>
              </w:rPr>
              <w:t>Pogoj: zahtevek za finančno podporo mora biti dobro utemeljen v posebnem prijavnem obrazcu, potem ko so udeleženci izbrani</w:t>
            </w:r>
          </w:p>
        </w:tc>
      </w:tr>
      <w:tr w:rsidR="00E03711" w:rsidRPr="00C60205" w14:paraId="7D39890E" w14:textId="77777777" w:rsidTr="003D6DE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398907" w14:textId="77777777" w:rsidR="00E03711" w:rsidRPr="00F769E0" w:rsidRDefault="00E03711" w:rsidP="00A13051">
            <w:pPr>
              <w:pStyle w:val="Guide-Table"/>
              <w:spacing w:beforeLines="60" w:before="144" w:afterLines="60" w:after="144"/>
              <w:jc w:val="left"/>
              <w:rPr>
                <w:rFonts w:cs="Tahoma"/>
                <w:b/>
                <w:lang w:val="sl-SI" w:eastAsia="en-GB"/>
              </w:rPr>
            </w:pPr>
            <w:r w:rsidRPr="00F769E0">
              <w:rPr>
                <w:rFonts w:cs="Tahoma"/>
                <w:b/>
                <w:lang w:val="sl-SI" w:eastAsia="en-GB"/>
              </w:rPr>
              <w:t>Izredni stroški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398908" w14:textId="77777777" w:rsidR="00E03711" w:rsidRPr="00F769E0" w:rsidRDefault="00E03711" w:rsidP="00C55B6C">
            <w:pPr>
              <w:pStyle w:val="Guide-Table"/>
              <w:jc w:val="left"/>
              <w:rPr>
                <w:rFonts w:cs="Tahoma"/>
                <w:lang w:val="sl-SI" w:eastAsia="en-GB"/>
              </w:rPr>
            </w:pPr>
            <w:r w:rsidRPr="00F769E0">
              <w:rPr>
                <w:rFonts w:cs="Tahoma"/>
                <w:lang w:val="sl-SI" w:eastAsia="en-GB"/>
              </w:rPr>
              <w:t xml:space="preserve">Stroški zagotavljanja finančnega jamstva, </w:t>
            </w:r>
          </w:p>
          <w:p w14:paraId="7D398909" w14:textId="77777777" w:rsidR="00E03711" w:rsidRPr="00F769E0" w:rsidRDefault="00E03711" w:rsidP="00C55B6C">
            <w:pPr>
              <w:pStyle w:val="Guide-Table"/>
              <w:jc w:val="left"/>
              <w:rPr>
                <w:rFonts w:cs="Tahoma"/>
                <w:lang w:val="sl-SI" w:eastAsia="en-GB"/>
              </w:rPr>
            </w:pPr>
            <w:r w:rsidRPr="00F769E0">
              <w:rPr>
                <w:rFonts w:cs="Tahoma"/>
                <w:lang w:val="sl-SI" w:eastAsia="en-GB"/>
              </w:rPr>
              <w:t xml:space="preserve">če ga zahteva nacionalna agencija. </w:t>
            </w:r>
          </w:p>
          <w:p w14:paraId="7D39890A" w14:textId="77777777" w:rsidR="00E03711" w:rsidRPr="00F769E0" w:rsidRDefault="00E03711">
            <w:pPr>
              <w:pStyle w:val="Guide-Table"/>
              <w:jc w:val="left"/>
              <w:rPr>
                <w:rFonts w:cs="Tahoma"/>
                <w:lang w:val="sl-SI" w:eastAsia="en-GB"/>
              </w:rPr>
            </w:pPr>
            <w:r w:rsidRPr="00F769E0">
              <w:rPr>
                <w:rFonts w:cs="Tahoma"/>
                <w:lang w:val="sl-SI" w:eastAsia="en-GB"/>
              </w:rPr>
              <w:t>V primeru mobilnosti med državami Programa: dragi potni stroški udeležencev</w:t>
            </w:r>
            <w:r>
              <w:rPr>
                <w:rFonts w:cs="Tahoma"/>
                <w:lang w:val="sl-SI" w:eastAsia="en-GB"/>
              </w:rPr>
              <w:t>, vključno z uporabo čistejših prevoznih sredstev, z manj emisijami ogljika.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39890B" w14:textId="77777777" w:rsidR="00E03711" w:rsidRPr="00F769E0" w:rsidRDefault="00E03711" w:rsidP="00A13051">
            <w:pPr>
              <w:pStyle w:val="GUIDE-NORMAL"/>
              <w:spacing w:beforeLines="60" w:before="144" w:afterLines="60" w:after="144"/>
              <w:jc w:val="left"/>
              <w:rPr>
                <w:rFonts w:cs="Tahoma"/>
                <w:snapToGrid w:val="0"/>
                <w:lang w:val="sl-SI" w:eastAsia="en-GB"/>
              </w:rPr>
            </w:pPr>
            <w:r w:rsidRPr="00F769E0">
              <w:rPr>
                <w:rFonts w:cs="Tahoma"/>
                <w:snapToGrid w:val="0"/>
                <w:lang w:val="sl-SI" w:eastAsia="en-GB"/>
              </w:rPr>
              <w:t>Dejanski stroški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39890C" w14:textId="77777777" w:rsidR="00E03711" w:rsidRPr="00F769E0" w:rsidRDefault="00E03711" w:rsidP="00C55B6C">
            <w:pPr>
              <w:pStyle w:val="Guide-Table"/>
              <w:jc w:val="left"/>
              <w:rPr>
                <w:rFonts w:cs="Tahoma"/>
                <w:lang w:val="sl-SI" w:eastAsia="en-GB"/>
              </w:rPr>
            </w:pPr>
            <w:r w:rsidRPr="00F769E0">
              <w:rPr>
                <w:rFonts w:cs="Tahoma"/>
                <w:lang w:val="sl-SI" w:eastAsia="en-GB"/>
              </w:rPr>
              <w:t xml:space="preserve">Stroški finančnega jamstva: </w:t>
            </w:r>
            <w:r w:rsidRPr="00F769E0">
              <w:rPr>
                <w:rFonts w:cs="Tahoma"/>
                <w:lang w:val="sl-SI" w:eastAsia="en-GB"/>
              </w:rPr>
              <w:br/>
              <w:t>75 % upravičenih stroškov Dragi potni stroški: do največ 80 % upravičenih potnih stroškov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39890D" w14:textId="77777777" w:rsidR="00E03711" w:rsidRPr="00F769E0" w:rsidRDefault="00E03711" w:rsidP="00C55B6C">
            <w:pPr>
              <w:pStyle w:val="Guide-Table"/>
              <w:jc w:val="left"/>
              <w:rPr>
                <w:rFonts w:cs="Tahoma"/>
                <w:snapToGrid w:val="0"/>
                <w:lang w:val="sl-SI" w:eastAsia="en-GB"/>
              </w:rPr>
            </w:pPr>
            <w:r w:rsidRPr="00F769E0">
              <w:rPr>
                <w:rFonts w:cs="Tahoma"/>
                <w:lang w:val="sl-SI" w:eastAsia="en-GB"/>
              </w:rPr>
              <w:t>Pogoj: zahtevek za finančno podporo mora biti dobro utemeljen, potem ko so udeleženci izbrani</w:t>
            </w:r>
          </w:p>
        </w:tc>
      </w:tr>
    </w:tbl>
    <w:p w14:paraId="7D39890F" w14:textId="77777777" w:rsidR="00E03711" w:rsidRPr="001048FE" w:rsidRDefault="00E03711">
      <w:pPr>
        <w:widowControl/>
        <w:suppressAutoHyphens w:val="0"/>
        <w:autoSpaceDN/>
        <w:textAlignment w:val="auto"/>
        <w:rPr>
          <w:rFonts w:eastAsia="Times New Roman"/>
          <w:b/>
          <w:smallCaps/>
          <w:sz w:val="18"/>
          <w:szCs w:val="28"/>
          <w:lang w:val="sl-SI"/>
        </w:rPr>
      </w:pPr>
      <w:bookmarkStart w:id="161" w:name="Subvention_de_soutien_organisationnel_po"/>
      <w:bookmarkEnd w:id="161"/>
    </w:p>
    <w:p w14:paraId="7D398910" w14:textId="77777777" w:rsidR="00E03711" w:rsidRPr="001048FE" w:rsidRDefault="00E03711" w:rsidP="00C55B6C">
      <w:pPr>
        <w:pStyle w:val="Guide-Heading7"/>
        <w:rPr>
          <w:lang w:val="sl-SI"/>
        </w:rPr>
      </w:pPr>
      <w:r w:rsidRPr="001048FE">
        <w:rPr>
          <w:lang w:val="sl-SI"/>
        </w:rPr>
        <w:t>Nepovratna sredstva za organizacijsko podporo za upravičenca (visokošolske institucije ali konzorciji):</w:t>
      </w:r>
    </w:p>
    <w:p w14:paraId="7D398911" w14:textId="77777777" w:rsidR="00E03711" w:rsidRPr="001048FE" w:rsidRDefault="00E03711" w:rsidP="00C55B6C">
      <w:pPr>
        <w:pStyle w:val="GUIDE-NORMAL"/>
        <w:rPr>
          <w:lang w:val="sl-SI"/>
        </w:rPr>
      </w:pPr>
      <w:r w:rsidRPr="001048FE">
        <w:rPr>
          <w:lang w:val="sl-SI"/>
        </w:rPr>
        <w:t>Nepovratna sredstva za organizacijsko podporo so prispevek za kakršne koli stroške, ki jih imajo institucije v zvezi z aktivnostmi za podporo vhodne in izhodne mobilnosti študentov in osebja v skladu z Listino Erasmus za terciarno izobraževanje v državah Programa in načeli ECHE, kot so navedena v medinstitucionalnih sporazumih, sklenjenih v primeru institucij iz partnerskih držav. Na primer za:</w:t>
      </w:r>
    </w:p>
    <w:p w14:paraId="7D398912" w14:textId="77777777" w:rsidR="00E03711" w:rsidRPr="001048FE" w:rsidRDefault="00E03711" w:rsidP="002D7FF4">
      <w:pPr>
        <w:pStyle w:val="Guide-NormalBulletpoints"/>
        <w:numPr>
          <w:ilvl w:val="0"/>
          <w:numId w:val="104"/>
        </w:numPr>
        <w:rPr>
          <w:lang w:val="sl-SI"/>
        </w:rPr>
      </w:pPr>
      <w:r w:rsidRPr="001048FE">
        <w:rPr>
          <w:lang w:val="sl-SI"/>
        </w:rPr>
        <w:t>organizacijske ureditve s partnerskimi institucijami, vključno z obiski morebitnih partnerjev za soglasje o medinstitucionalnih sporazumih za izbor, pripravo, sprejem in vključevanje udeležencev mobilnosti ter posodabljanje teh medinstitucionalnih sporazumov;</w:t>
      </w:r>
    </w:p>
    <w:p w14:paraId="7D398913" w14:textId="77777777" w:rsidR="00E03711" w:rsidRPr="001048FE" w:rsidRDefault="00E03711" w:rsidP="002D7FF4">
      <w:pPr>
        <w:pStyle w:val="Guide-NormalBulletpoints"/>
        <w:numPr>
          <w:ilvl w:val="0"/>
          <w:numId w:val="104"/>
        </w:numPr>
        <w:rPr>
          <w:lang w:val="sl-SI"/>
        </w:rPr>
      </w:pPr>
      <w:r w:rsidRPr="001048FE">
        <w:rPr>
          <w:lang w:val="sl-SI"/>
        </w:rPr>
        <w:t>zagotavljanje</w:t>
      </w:r>
      <w:r w:rsidRPr="001048FE">
        <w:rPr>
          <w:spacing w:val="-28"/>
          <w:lang w:val="sl-SI"/>
        </w:rPr>
        <w:t xml:space="preserve"> </w:t>
      </w:r>
      <w:r w:rsidRPr="001048FE">
        <w:rPr>
          <w:lang w:val="sl-SI"/>
        </w:rPr>
        <w:t>posodobljenih</w:t>
      </w:r>
      <w:r w:rsidRPr="001048FE">
        <w:rPr>
          <w:spacing w:val="-28"/>
          <w:lang w:val="sl-SI"/>
        </w:rPr>
        <w:t xml:space="preserve"> </w:t>
      </w:r>
      <w:r w:rsidRPr="001048FE">
        <w:rPr>
          <w:lang w:val="sl-SI"/>
        </w:rPr>
        <w:t>katalogov</w:t>
      </w:r>
      <w:r w:rsidRPr="001048FE">
        <w:rPr>
          <w:spacing w:val="-28"/>
          <w:lang w:val="sl-SI"/>
        </w:rPr>
        <w:t xml:space="preserve"> </w:t>
      </w:r>
      <w:r w:rsidRPr="001048FE">
        <w:rPr>
          <w:lang w:val="sl-SI"/>
        </w:rPr>
        <w:t>predmetov</w:t>
      </w:r>
      <w:r w:rsidRPr="001048FE">
        <w:rPr>
          <w:spacing w:val="-28"/>
          <w:lang w:val="sl-SI"/>
        </w:rPr>
        <w:t xml:space="preserve"> </w:t>
      </w:r>
      <w:r w:rsidRPr="001048FE">
        <w:rPr>
          <w:lang w:val="sl-SI"/>
        </w:rPr>
        <w:t>za</w:t>
      </w:r>
      <w:r w:rsidRPr="001048FE">
        <w:rPr>
          <w:spacing w:val="-28"/>
          <w:lang w:val="sl-SI"/>
        </w:rPr>
        <w:t xml:space="preserve"> </w:t>
      </w:r>
      <w:r w:rsidRPr="001048FE">
        <w:rPr>
          <w:lang w:val="sl-SI"/>
        </w:rPr>
        <w:t>mednarodne</w:t>
      </w:r>
      <w:r w:rsidRPr="001048FE">
        <w:rPr>
          <w:spacing w:val="-28"/>
          <w:lang w:val="sl-SI"/>
        </w:rPr>
        <w:t xml:space="preserve"> </w:t>
      </w:r>
      <w:r w:rsidRPr="001048FE">
        <w:rPr>
          <w:lang w:val="sl-SI"/>
        </w:rPr>
        <w:t>študente; za</w:t>
      </w:r>
    </w:p>
    <w:p w14:paraId="7D398914" w14:textId="77777777" w:rsidR="00E03711" w:rsidRPr="001048FE" w:rsidRDefault="00E03711" w:rsidP="002D7FF4">
      <w:pPr>
        <w:pStyle w:val="Guide-NormalBulletpoints"/>
        <w:numPr>
          <w:ilvl w:val="0"/>
          <w:numId w:val="104"/>
        </w:numPr>
        <w:rPr>
          <w:lang w:val="sl-SI"/>
        </w:rPr>
      </w:pPr>
      <w:r w:rsidRPr="001048FE">
        <w:rPr>
          <w:lang w:val="sl-SI"/>
        </w:rPr>
        <w:t>gotavljanje informacij in pomoči za študente in</w:t>
      </w:r>
      <w:r w:rsidRPr="001048FE">
        <w:rPr>
          <w:spacing w:val="-29"/>
          <w:lang w:val="sl-SI"/>
        </w:rPr>
        <w:t xml:space="preserve"> </w:t>
      </w:r>
      <w:r w:rsidRPr="001048FE">
        <w:rPr>
          <w:lang w:val="sl-SI"/>
        </w:rPr>
        <w:t>osebje;</w:t>
      </w:r>
    </w:p>
    <w:p w14:paraId="7D398915" w14:textId="77777777" w:rsidR="00E03711" w:rsidRPr="001048FE" w:rsidRDefault="00E03711" w:rsidP="002D7FF4">
      <w:pPr>
        <w:pStyle w:val="Guide-NormalBulletpoints"/>
        <w:numPr>
          <w:ilvl w:val="0"/>
          <w:numId w:val="104"/>
        </w:numPr>
        <w:rPr>
          <w:lang w:val="sl-SI"/>
        </w:rPr>
      </w:pPr>
      <w:r w:rsidRPr="001048FE">
        <w:rPr>
          <w:lang w:val="sl-SI"/>
        </w:rPr>
        <w:t>izbor študentov in osebja;</w:t>
      </w:r>
    </w:p>
    <w:p w14:paraId="7D398916" w14:textId="77777777" w:rsidR="00E03711" w:rsidRPr="001048FE" w:rsidRDefault="00E03711" w:rsidP="002D7FF4">
      <w:pPr>
        <w:pStyle w:val="Guide-NormalBulletpoints"/>
        <w:numPr>
          <w:ilvl w:val="0"/>
          <w:numId w:val="104"/>
        </w:numPr>
        <w:rPr>
          <w:lang w:val="sl-SI"/>
        </w:rPr>
      </w:pPr>
      <w:r w:rsidRPr="001048FE">
        <w:rPr>
          <w:lang w:val="sl-SI"/>
        </w:rPr>
        <w:t>pripravo učnih sporazumov, da se zagotovi popolno priznavanje vseh elementov izobraževanja študentov; pripravo in priznavanje sporazumov o mobilnosti za osebje;</w:t>
      </w:r>
    </w:p>
    <w:p w14:paraId="7D398917" w14:textId="77777777" w:rsidR="00E03711" w:rsidRPr="001048FE" w:rsidRDefault="00E03711" w:rsidP="002D7FF4">
      <w:pPr>
        <w:pStyle w:val="Guide-NormalBulletpoints"/>
        <w:numPr>
          <w:ilvl w:val="0"/>
          <w:numId w:val="104"/>
        </w:numPr>
        <w:rPr>
          <w:lang w:val="sl-SI"/>
        </w:rPr>
      </w:pPr>
      <w:r w:rsidRPr="001048FE">
        <w:rPr>
          <w:lang w:val="sl-SI"/>
        </w:rPr>
        <w:t>zagotavljanje jezikovne in medkulturne priprave za prihajajoče in odhajajoče študente in osebje, ki dopolnjuje spletno jezikovno podporo Erasmus+;</w:t>
      </w:r>
    </w:p>
    <w:p w14:paraId="7D398918" w14:textId="77777777" w:rsidR="00E03711" w:rsidRPr="001048FE" w:rsidRDefault="00E03711" w:rsidP="002D7FF4">
      <w:pPr>
        <w:pStyle w:val="Guide-NormalBulletpoints"/>
        <w:numPr>
          <w:ilvl w:val="0"/>
          <w:numId w:val="104"/>
        </w:numPr>
        <w:rPr>
          <w:lang w:val="sl-SI"/>
        </w:rPr>
      </w:pPr>
      <w:r w:rsidRPr="001048FE">
        <w:rPr>
          <w:lang w:val="sl-SI"/>
        </w:rPr>
        <w:t xml:space="preserve">olajšanje vključevanja prihajajočih udeležencev mobilnosti na visokošolski instituciji; </w:t>
      </w:r>
    </w:p>
    <w:p w14:paraId="7D398919" w14:textId="77777777" w:rsidR="00E03711" w:rsidRPr="001048FE" w:rsidRDefault="00E03711" w:rsidP="002D7FF4">
      <w:pPr>
        <w:pStyle w:val="Guide-NormalBulletpoints"/>
        <w:numPr>
          <w:ilvl w:val="0"/>
          <w:numId w:val="104"/>
        </w:numPr>
        <w:rPr>
          <w:lang w:val="sl-SI"/>
        </w:rPr>
      </w:pPr>
      <w:r w:rsidRPr="001048FE">
        <w:rPr>
          <w:lang w:val="sl-SI"/>
        </w:rPr>
        <w:t xml:space="preserve">zagotavljanje učinkovitih ureditev za mentorstvo in nadzor udeležencev mobilnosti; </w:t>
      </w:r>
    </w:p>
    <w:p w14:paraId="7D39891A" w14:textId="77777777" w:rsidR="00E03711" w:rsidRPr="001048FE" w:rsidRDefault="00E03711" w:rsidP="002D7FF4">
      <w:pPr>
        <w:pStyle w:val="Guide-NormalBulletpoints"/>
        <w:numPr>
          <w:ilvl w:val="0"/>
          <w:numId w:val="104"/>
        </w:numPr>
        <w:rPr>
          <w:lang w:val="sl-SI"/>
        </w:rPr>
      </w:pPr>
      <w:r w:rsidRPr="001048FE">
        <w:rPr>
          <w:lang w:val="sl-SI"/>
        </w:rPr>
        <w:t>posebne ureditve za zagotavljanje kakovosti praks študentov v podjetjih;</w:t>
      </w:r>
    </w:p>
    <w:p w14:paraId="7D39891B" w14:textId="77777777" w:rsidR="00E03711" w:rsidRPr="001048FE" w:rsidRDefault="00E03711" w:rsidP="002D7FF4">
      <w:pPr>
        <w:pStyle w:val="Guide-NormalBulletpoints"/>
        <w:numPr>
          <w:ilvl w:val="0"/>
          <w:numId w:val="104"/>
        </w:numPr>
        <w:rPr>
          <w:lang w:val="sl-SI"/>
        </w:rPr>
      </w:pPr>
      <w:r w:rsidRPr="001048FE">
        <w:rPr>
          <w:lang w:val="sl-SI"/>
        </w:rPr>
        <w:t>zagotavljanje priznavanja elementov izobraževanja in z njimi povezanih kreditnih točk, izdajo prepisa ocen in prilog k diplomi;</w:t>
      </w:r>
    </w:p>
    <w:p w14:paraId="7D39891C" w14:textId="77777777" w:rsidR="00E03711" w:rsidRPr="001048FE" w:rsidRDefault="00E03711" w:rsidP="002D7FF4">
      <w:pPr>
        <w:pStyle w:val="Guide-NormalBulletpoints"/>
        <w:numPr>
          <w:ilvl w:val="0"/>
          <w:numId w:val="104"/>
        </w:numPr>
        <w:rPr>
          <w:lang w:val="sl-SI"/>
        </w:rPr>
      </w:pPr>
      <w:r w:rsidRPr="001048FE">
        <w:rPr>
          <w:lang w:val="sl-SI"/>
        </w:rPr>
        <w:t>podporo ponovnemu vključevanju udeležencev mobilnosti in nadgradnjo njihovih pridobljenih novih spretnosti v korist visokošolske institucije in vrstnikov.</w:t>
      </w:r>
    </w:p>
    <w:p w14:paraId="7D39891D" w14:textId="77777777" w:rsidR="00E03711" w:rsidRPr="001048FE" w:rsidRDefault="00E03711" w:rsidP="00C55B6C">
      <w:pPr>
        <w:pStyle w:val="GUIDE-NORMAL"/>
        <w:rPr>
          <w:lang w:val="sl-SI"/>
        </w:rPr>
      </w:pPr>
      <w:r w:rsidRPr="001048FE">
        <w:rPr>
          <w:lang w:val="sl-SI"/>
        </w:rPr>
        <w:t>Visokošolske institucije v državah Programa in partnerskih državah se za zagotavljanje visokokakovostne mobilnosti zavezujejo k izpolnjevanju vseh načel listine, med drugim, da bodo zagotovile, „da so odhajajoči udeleženci mobilnosti dobro pripravljeni na mobilnost, tudi tako, da dosežejo zahtevano raven znanja jezika“, in zagotavljale „ustrezno jezikovno podporo za prihajajoče udeležence mobilnosti“. Za jezikovno usposabljanje se lahko izkoristijo obstoječe zmogljivosti v institucijah. Tiste visokošolske institucije, ki lahko zagotovijo visokokakovostno mobilnost študentov in osebja, vključno z jezikovno podporo, z nižjimi stroški (ali imajo na voljo sredstva iz drugih virov, ki niso sredstva EU), lahko del nepovratnih sredstev za organizacijsko podporo namenijo financiranju večjega števila aktivnosti mobilnosti. V sporazumu o dodelitvi nepovratnih sredstev je določena stopnja prožnosti v zvezi s</w:t>
      </w:r>
      <w:r w:rsidRPr="001048FE">
        <w:rPr>
          <w:spacing w:val="10"/>
          <w:lang w:val="sl-SI"/>
        </w:rPr>
        <w:t xml:space="preserve"> </w:t>
      </w:r>
      <w:r w:rsidRPr="001048FE">
        <w:rPr>
          <w:lang w:val="sl-SI"/>
        </w:rPr>
        <w:t>tem.</w:t>
      </w:r>
    </w:p>
    <w:p w14:paraId="7D39891E" w14:textId="77777777" w:rsidR="00E03711" w:rsidRPr="001048FE" w:rsidRDefault="00E03711" w:rsidP="00C55B6C">
      <w:pPr>
        <w:pStyle w:val="GUIDE-NORMAL"/>
        <w:rPr>
          <w:lang w:val="sl-SI"/>
        </w:rPr>
      </w:pPr>
      <w:r w:rsidRPr="001048FE">
        <w:rPr>
          <w:lang w:val="sl-SI"/>
        </w:rPr>
        <w:t>V vseh primerih pa morajo upravičenci v skladu s pogodbo zagotoviti take visokokakovostne storitve, pri čemer bodo nacionalne agencije spremljale in preverjale njihovo uspešnost, tudi ob upoštevanju povratnih informacij, ki jih študenti in osebje zagotovijo v orodju za mobilnost (Mobility Tool+) ter do katerih imajo nacionalne agencije in Komisija neposreden dostop.</w:t>
      </w:r>
    </w:p>
    <w:p w14:paraId="7D39891F" w14:textId="77777777" w:rsidR="00E03711" w:rsidRPr="001048FE" w:rsidRDefault="00E03711" w:rsidP="00C55B6C">
      <w:pPr>
        <w:pStyle w:val="GUIDE-NORMAL"/>
        <w:rPr>
          <w:kern w:val="2"/>
          <w:lang w:val="sl-SI"/>
        </w:rPr>
      </w:pPr>
      <w:r w:rsidRPr="001048FE">
        <w:rPr>
          <w:kern w:val="2"/>
          <w:lang w:val="sl-SI"/>
        </w:rPr>
        <w:t>V primeru mobilnosti med državami Programa se nepovratna sredstva za organizacijsko podporo izračunajo glede na število vseh podprtih, odhajajočih udeležencev mobilnosti (tudi tistih z ničelnimi nepovratnimi sredstvi iz sredstev EU za celotno obdobje mobilnosti – glej v nadaljevanju) in prihajajočega osebja iz podjetij, ki poučujejo na visokošolski instituciji, ki je upravičenka ali članica nacionalnega konzorcija za mobilnost. Udeleženci mobilnosti z ničelnimi nepovratnimi sredstvi iz sredstev EU za celotno obdobje mobilnosti se štejejo za podprte udeležence mobilnosti, saj lahko izkoristijo prednosti okvira mobilnosti in organizacijskih aktivnosti. Organizacijska podpora se torej plača tudi za te udeležence.</w:t>
      </w:r>
    </w:p>
    <w:p w14:paraId="7D398920" w14:textId="77777777" w:rsidR="00E03711" w:rsidRPr="001048FE" w:rsidRDefault="00E03711" w:rsidP="00C55B6C">
      <w:pPr>
        <w:pStyle w:val="GUIDE-NORMAL"/>
        <w:rPr>
          <w:kern w:val="2"/>
          <w:lang w:val="sl-SI"/>
        </w:rPr>
      </w:pPr>
      <w:r w:rsidRPr="001048FE">
        <w:rPr>
          <w:kern w:val="2"/>
          <w:lang w:val="sl-SI"/>
        </w:rPr>
        <w:t>V primeru mobilnosti med državami Programa in partnerskimi državami se nepovratna sredstva za organizacijsko podporo izračunajo na podlagi števila odobrenih mobilnosti, vključno z vsemi podprtimi udeleženci izhodne mobilnosti iz držav Programa in vsemi udeleženci vhodnih mobilnosti iz partnerskih držav. Udeleženci mobilnosti z ničelnimi nepovratnimi sredstvi iz sredstev EU za celotno obdobje mobilnosti se lahko štejejo za podprte udeležence mobilnosti, ker imajo korist od okvira</w:t>
      </w:r>
      <w:r w:rsidRPr="001048FE">
        <w:rPr>
          <w:spacing w:val="-11"/>
          <w:kern w:val="2"/>
          <w:lang w:val="sl-SI"/>
        </w:rPr>
        <w:t xml:space="preserve"> </w:t>
      </w:r>
      <w:r w:rsidRPr="001048FE">
        <w:rPr>
          <w:kern w:val="2"/>
          <w:lang w:val="sl-SI"/>
        </w:rPr>
        <w:t>za</w:t>
      </w:r>
      <w:r w:rsidRPr="001048FE">
        <w:rPr>
          <w:spacing w:val="-12"/>
          <w:kern w:val="2"/>
          <w:lang w:val="sl-SI"/>
        </w:rPr>
        <w:t xml:space="preserve"> </w:t>
      </w:r>
      <w:r w:rsidRPr="001048FE">
        <w:rPr>
          <w:kern w:val="2"/>
          <w:lang w:val="sl-SI"/>
        </w:rPr>
        <w:t>mobilnost</w:t>
      </w:r>
      <w:r w:rsidRPr="001048FE">
        <w:rPr>
          <w:spacing w:val="-12"/>
          <w:kern w:val="2"/>
          <w:lang w:val="sl-SI"/>
        </w:rPr>
        <w:t xml:space="preserve"> </w:t>
      </w:r>
      <w:r w:rsidRPr="001048FE">
        <w:rPr>
          <w:kern w:val="2"/>
          <w:lang w:val="sl-SI"/>
        </w:rPr>
        <w:t>in</w:t>
      </w:r>
      <w:r w:rsidRPr="001048FE">
        <w:rPr>
          <w:spacing w:val="-12"/>
          <w:kern w:val="2"/>
          <w:lang w:val="sl-SI"/>
        </w:rPr>
        <w:t xml:space="preserve"> </w:t>
      </w:r>
      <w:r w:rsidRPr="001048FE">
        <w:rPr>
          <w:kern w:val="2"/>
          <w:lang w:val="sl-SI"/>
        </w:rPr>
        <w:t>organizacijskih</w:t>
      </w:r>
      <w:r w:rsidRPr="001048FE">
        <w:rPr>
          <w:spacing w:val="-11"/>
          <w:kern w:val="2"/>
          <w:lang w:val="sl-SI"/>
        </w:rPr>
        <w:t xml:space="preserve"> </w:t>
      </w:r>
      <w:r w:rsidRPr="001048FE">
        <w:rPr>
          <w:kern w:val="2"/>
          <w:lang w:val="sl-SI"/>
        </w:rPr>
        <w:t>aktivnosti.</w:t>
      </w:r>
      <w:r w:rsidRPr="001048FE">
        <w:rPr>
          <w:spacing w:val="-12"/>
          <w:kern w:val="2"/>
          <w:lang w:val="sl-SI"/>
        </w:rPr>
        <w:t xml:space="preserve"> </w:t>
      </w:r>
      <w:r w:rsidRPr="001048FE">
        <w:rPr>
          <w:kern w:val="2"/>
          <w:lang w:val="sl-SI"/>
        </w:rPr>
        <w:t>To</w:t>
      </w:r>
      <w:r w:rsidRPr="001048FE">
        <w:rPr>
          <w:spacing w:val="-12"/>
          <w:kern w:val="2"/>
          <w:lang w:val="sl-SI"/>
        </w:rPr>
        <w:t xml:space="preserve"> </w:t>
      </w:r>
      <w:r w:rsidRPr="001048FE">
        <w:rPr>
          <w:kern w:val="2"/>
          <w:lang w:val="sl-SI"/>
        </w:rPr>
        <w:t>ne</w:t>
      </w:r>
      <w:r w:rsidRPr="001048FE">
        <w:rPr>
          <w:spacing w:val="-12"/>
          <w:kern w:val="2"/>
          <w:lang w:val="sl-SI"/>
        </w:rPr>
        <w:t xml:space="preserve"> </w:t>
      </w:r>
      <w:r w:rsidRPr="001048FE">
        <w:rPr>
          <w:kern w:val="2"/>
          <w:lang w:val="sl-SI"/>
        </w:rPr>
        <w:t>vključuje</w:t>
      </w:r>
      <w:r w:rsidRPr="001048FE">
        <w:rPr>
          <w:spacing w:val="-12"/>
          <w:kern w:val="2"/>
          <w:lang w:val="sl-SI"/>
        </w:rPr>
        <w:t xml:space="preserve"> </w:t>
      </w:r>
      <w:r w:rsidRPr="001048FE">
        <w:rPr>
          <w:kern w:val="2"/>
          <w:lang w:val="sl-SI"/>
        </w:rPr>
        <w:t>oseb,</w:t>
      </w:r>
      <w:r w:rsidRPr="001048FE">
        <w:rPr>
          <w:spacing w:val="-11"/>
          <w:kern w:val="2"/>
          <w:lang w:val="sl-SI"/>
        </w:rPr>
        <w:t xml:space="preserve"> </w:t>
      </w:r>
      <w:r w:rsidRPr="001048FE">
        <w:rPr>
          <w:kern w:val="2"/>
          <w:lang w:val="sl-SI"/>
        </w:rPr>
        <w:t>ki</w:t>
      </w:r>
      <w:r w:rsidRPr="001048FE">
        <w:rPr>
          <w:spacing w:val="-12"/>
          <w:kern w:val="2"/>
          <w:lang w:val="sl-SI"/>
        </w:rPr>
        <w:t xml:space="preserve"> </w:t>
      </w:r>
      <w:r w:rsidRPr="001048FE">
        <w:rPr>
          <w:kern w:val="2"/>
          <w:lang w:val="sl-SI"/>
        </w:rPr>
        <w:t>spremljajo</w:t>
      </w:r>
      <w:r w:rsidRPr="001048FE">
        <w:rPr>
          <w:spacing w:val="-12"/>
          <w:kern w:val="2"/>
          <w:lang w:val="sl-SI"/>
        </w:rPr>
        <w:t xml:space="preserve"> </w:t>
      </w:r>
      <w:r w:rsidRPr="001048FE">
        <w:rPr>
          <w:kern w:val="2"/>
          <w:lang w:val="sl-SI"/>
        </w:rPr>
        <w:t>udeležence</w:t>
      </w:r>
      <w:r w:rsidRPr="001048FE">
        <w:rPr>
          <w:spacing w:val="-12"/>
          <w:kern w:val="2"/>
          <w:lang w:val="sl-SI"/>
        </w:rPr>
        <w:t xml:space="preserve"> </w:t>
      </w:r>
      <w:r w:rsidRPr="001048FE">
        <w:rPr>
          <w:kern w:val="2"/>
          <w:lang w:val="sl-SI"/>
        </w:rPr>
        <w:t>med njihovo</w:t>
      </w:r>
      <w:r w:rsidRPr="001048FE">
        <w:rPr>
          <w:spacing w:val="-6"/>
          <w:kern w:val="2"/>
          <w:lang w:val="sl-SI"/>
        </w:rPr>
        <w:t xml:space="preserve"> </w:t>
      </w:r>
      <w:r w:rsidRPr="001048FE">
        <w:rPr>
          <w:kern w:val="2"/>
          <w:lang w:val="sl-SI"/>
        </w:rPr>
        <w:t>aktivnostjo</w:t>
      </w:r>
      <w:r w:rsidRPr="001048FE">
        <w:rPr>
          <w:spacing w:val="-6"/>
          <w:kern w:val="2"/>
          <w:lang w:val="sl-SI"/>
        </w:rPr>
        <w:t xml:space="preserve"> </w:t>
      </w:r>
      <w:r w:rsidRPr="001048FE">
        <w:rPr>
          <w:kern w:val="2"/>
          <w:lang w:val="sl-SI"/>
        </w:rPr>
        <w:t>v</w:t>
      </w:r>
      <w:r w:rsidRPr="001048FE">
        <w:rPr>
          <w:spacing w:val="-6"/>
          <w:kern w:val="2"/>
          <w:lang w:val="sl-SI"/>
        </w:rPr>
        <w:t xml:space="preserve"> </w:t>
      </w:r>
      <w:r w:rsidRPr="001048FE">
        <w:rPr>
          <w:kern w:val="2"/>
          <w:lang w:val="sl-SI"/>
        </w:rPr>
        <w:t>tujini,</w:t>
      </w:r>
      <w:r w:rsidRPr="001048FE">
        <w:rPr>
          <w:spacing w:val="-6"/>
          <w:kern w:val="2"/>
          <w:lang w:val="sl-SI"/>
        </w:rPr>
        <w:t xml:space="preserve"> </w:t>
      </w:r>
      <w:r w:rsidRPr="001048FE">
        <w:rPr>
          <w:kern w:val="2"/>
          <w:lang w:val="sl-SI"/>
        </w:rPr>
        <w:t>in</w:t>
      </w:r>
      <w:r w:rsidRPr="001048FE">
        <w:rPr>
          <w:spacing w:val="-6"/>
          <w:kern w:val="2"/>
          <w:lang w:val="sl-SI"/>
        </w:rPr>
        <w:t xml:space="preserve"> </w:t>
      </w:r>
      <w:r w:rsidRPr="001048FE">
        <w:rPr>
          <w:kern w:val="2"/>
          <w:lang w:val="sl-SI"/>
        </w:rPr>
        <w:t>dodatnih</w:t>
      </w:r>
      <w:r w:rsidRPr="001048FE">
        <w:rPr>
          <w:spacing w:val="-6"/>
          <w:kern w:val="2"/>
          <w:lang w:val="sl-SI"/>
        </w:rPr>
        <w:t xml:space="preserve"> </w:t>
      </w:r>
      <w:r w:rsidRPr="001048FE">
        <w:rPr>
          <w:kern w:val="2"/>
          <w:lang w:val="sl-SI"/>
        </w:rPr>
        <w:t>mobilnosti,</w:t>
      </w:r>
      <w:r w:rsidRPr="001048FE">
        <w:rPr>
          <w:spacing w:val="-6"/>
          <w:kern w:val="2"/>
          <w:lang w:val="sl-SI"/>
        </w:rPr>
        <w:t xml:space="preserve"> </w:t>
      </w:r>
      <w:r w:rsidRPr="001048FE">
        <w:rPr>
          <w:kern w:val="2"/>
          <w:lang w:val="sl-SI"/>
        </w:rPr>
        <w:t>ki</w:t>
      </w:r>
      <w:r w:rsidRPr="001048FE">
        <w:rPr>
          <w:spacing w:val="-6"/>
          <w:kern w:val="2"/>
          <w:lang w:val="sl-SI"/>
        </w:rPr>
        <w:t xml:space="preserve"> </w:t>
      </w:r>
      <w:r w:rsidRPr="001048FE">
        <w:rPr>
          <w:kern w:val="2"/>
          <w:lang w:val="sl-SI"/>
        </w:rPr>
        <w:t>se</w:t>
      </w:r>
      <w:r w:rsidRPr="001048FE">
        <w:rPr>
          <w:spacing w:val="-6"/>
          <w:kern w:val="2"/>
          <w:lang w:val="sl-SI"/>
        </w:rPr>
        <w:t xml:space="preserve"> </w:t>
      </w:r>
      <w:r w:rsidRPr="001048FE">
        <w:rPr>
          <w:kern w:val="2"/>
          <w:lang w:val="sl-SI"/>
        </w:rPr>
        <w:t>lahko</w:t>
      </w:r>
      <w:r w:rsidRPr="001048FE">
        <w:rPr>
          <w:spacing w:val="-6"/>
          <w:kern w:val="2"/>
          <w:lang w:val="sl-SI"/>
        </w:rPr>
        <w:t xml:space="preserve"> </w:t>
      </w:r>
      <w:r w:rsidRPr="001048FE">
        <w:rPr>
          <w:kern w:val="2"/>
          <w:lang w:val="sl-SI"/>
        </w:rPr>
        <w:t>organizirajo</w:t>
      </w:r>
      <w:r w:rsidRPr="001048FE">
        <w:rPr>
          <w:spacing w:val="-5"/>
          <w:kern w:val="2"/>
          <w:lang w:val="sl-SI"/>
        </w:rPr>
        <w:t xml:space="preserve"> </w:t>
      </w:r>
      <w:r w:rsidRPr="001048FE">
        <w:rPr>
          <w:kern w:val="2"/>
          <w:lang w:val="sl-SI"/>
        </w:rPr>
        <w:t>s</w:t>
      </w:r>
      <w:r w:rsidRPr="001048FE">
        <w:rPr>
          <w:spacing w:val="-6"/>
          <w:kern w:val="2"/>
          <w:lang w:val="sl-SI"/>
        </w:rPr>
        <w:t xml:space="preserve"> </w:t>
      </w:r>
      <w:r w:rsidRPr="001048FE">
        <w:rPr>
          <w:kern w:val="2"/>
          <w:lang w:val="sl-SI"/>
        </w:rPr>
        <w:t>prenosom</w:t>
      </w:r>
      <w:r w:rsidRPr="001048FE">
        <w:rPr>
          <w:spacing w:val="-6"/>
          <w:kern w:val="2"/>
          <w:lang w:val="sl-SI"/>
        </w:rPr>
        <w:t xml:space="preserve"> </w:t>
      </w:r>
      <w:r w:rsidRPr="001048FE">
        <w:rPr>
          <w:kern w:val="2"/>
          <w:lang w:val="sl-SI"/>
        </w:rPr>
        <w:t>sredstev</w:t>
      </w:r>
      <w:r w:rsidRPr="001048FE">
        <w:rPr>
          <w:spacing w:val="-6"/>
          <w:kern w:val="2"/>
          <w:lang w:val="sl-SI"/>
        </w:rPr>
        <w:t xml:space="preserve"> </w:t>
      </w:r>
      <w:r w:rsidRPr="001048FE">
        <w:rPr>
          <w:kern w:val="2"/>
          <w:lang w:val="sl-SI"/>
        </w:rPr>
        <w:t>med proračunskimi</w:t>
      </w:r>
      <w:r w:rsidRPr="001048FE">
        <w:rPr>
          <w:spacing w:val="-2"/>
          <w:kern w:val="2"/>
          <w:lang w:val="sl-SI"/>
        </w:rPr>
        <w:t xml:space="preserve"> </w:t>
      </w:r>
      <w:r w:rsidRPr="001048FE">
        <w:rPr>
          <w:kern w:val="2"/>
          <w:lang w:val="sl-SI"/>
        </w:rPr>
        <w:t>kategorijami.</w:t>
      </w:r>
    </w:p>
    <w:p w14:paraId="7D398921" w14:textId="77777777" w:rsidR="00E03711" w:rsidRPr="001048FE" w:rsidRDefault="00E03711" w:rsidP="00C55B6C">
      <w:pPr>
        <w:pStyle w:val="GUIDE-NORMAL"/>
        <w:rPr>
          <w:lang w:val="sl-SI"/>
        </w:rPr>
      </w:pPr>
      <w:r w:rsidRPr="001048FE">
        <w:rPr>
          <w:kern w:val="2"/>
          <w:lang w:val="sl-SI"/>
        </w:rPr>
        <w:t>V primeru nacionalnih konzorcijev za mobilnost si vsi nacionalni člani razdelijo ta nepovratna sredstva</w:t>
      </w:r>
      <w:r w:rsidRPr="001048FE">
        <w:rPr>
          <w:spacing w:val="-10"/>
          <w:kern w:val="2"/>
          <w:lang w:val="sl-SI"/>
        </w:rPr>
        <w:t xml:space="preserve"> </w:t>
      </w:r>
      <w:r w:rsidRPr="001048FE">
        <w:rPr>
          <w:kern w:val="2"/>
          <w:lang w:val="sl-SI"/>
        </w:rPr>
        <w:t>v</w:t>
      </w:r>
      <w:r w:rsidRPr="001048FE">
        <w:rPr>
          <w:spacing w:val="-10"/>
          <w:kern w:val="2"/>
          <w:lang w:val="sl-SI"/>
        </w:rPr>
        <w:t xml:space="preserve"> </w:t>
      </w:r>
      <w:r w:rsidRPr="001048FE">
        <w:rPr>
          <w:kern w:val="2"/>
          <w:lang w:val="sl-SI"/>
        </w:rPr>
        <w:t>skladu</w:t>
      </w:r>
      <w:r w:rsidRPr="001048FE">
        <w:rPr>
          <w:spacing w:val="-10"/>
          <w:kern w:val="2"/>
          <w:lang w:val="sl-SI"/>
        </w:rPr>
        <w:t xml:space="preserve"> </w:t>
      </w:r>
      <w:r w:rsidRPr="001048FE">
        <w:rPr>
          <w:kern w:val="2"/>
          <w:lang w:val="sl-SI"/>
        </w:rPr>
        <w:t>s</w:t>
      </w:r>
      <w:r w:rsidRPr="001048FE">
        <w:rPr>
          <w:spacing w:val="-10"/>
          <w:kern w:val="2"/>
          <w:lang w:val="sl-SI"/>
        </w:rPr>
        <w:t xml:space="preserve"> </w:t>
      </w:r>
      <w:r w:rsidRPr="001048FE">
        <w:rPr>
          <w:kern w:val="2"/>
          <w:lang w:val="sl-SI"/>
        </w:rPr>
        <w:t>pravili,</w:t>
      </w:r>
      <w:r w:rsidRPr="001048FE">
        <w:rPr>
          <w:spacing w:val="-10"/>
          <w:kern w:val="2"/>
          <w:lang w:val="sl-SI"/>
        </w:rPr>
        <w:t xml:space="preserve"> </w:t>
      </w:r>
      <w:r w:rsidRPr="001048FE">
        <w:rPr>
          <w:kern w:val="2"/>
          <w:lang w:val="sl-SI"/>
        </w:rPr>
        <w:t>o</w:t>
      </w:r>
      <w:r w:rsidRPr="001048FE">
        <w:rPr>
          <w:spacing w:val="-9"/>
          <w:kern w:val="2"/>
          <w:lang w:val="sl-SI"/>
        </w:rPr>
        <w:t xml:space="preserve"> </w:t>
      </w:r>
      <w:r w:rsidRPr="001048FE">
        <w:rPr>
          <w:kern w:val="2"/>
          <w:lang w:val="sl-SI"/>
        </w:rPr>
        <w:t>katerih</w:t>
      </w:r>
      <w:r w:rsidRPr="001048FE">
        <w:rPr>
          <w:spacing w:val="-10"/>
          <w:kern w:val="2"/>
          <w:lang w:val="sl-SI"/>
        </w:rPr>
        <w:t xml:space="preserve"> </w:t>
      </w:r>
      <w:r w:rsidRPr="001048FE">
        <w:rPr>
          <w:kern w:val="2"/>
          <w:lang w:val="sl-SI"/>
        </w:rPr>
        <w:t>so</w:t>
      </w:r>
      <w:r w:rsidRPr="001048FE">
        <w:rPr>
          <w:spacing w:val="-10"/>
          <w:kern w:val="2"/>
          <w:lang w:val="sl-SI"/>
        </w:rPr>
        <w:t xml:space="preserve"> </w:t>
      </w:r>
      <w:r w:rsidRPr="001048FE">
        <w:rPr>
          <w:kern w:val="2"/>
          <w:lang w:val="sl-SI"/>
        </w:rPr>
        <w:t>se</w:t>
      </w:r>
      <w:r w:rsidRPr="001048FE">
        <w:rPr>
          <w:spacing w:val="-10"/>
          <w:kern w:val="2"/>
          <w:lang w:val="sl-SI"/>
        </w:rPr>
        <w:t xml:space="preserve"> </w:t>
      </w:r>
      <w:r w:rsidRPr="001048FE">
        <w:rPr>
          <w:kern w:val="2"/>
          <w:lang w:val="sl-SI"/>
        </w:rPr>
        <w:t>medsebojno</w:t>
      </w:r>
      <w:r w:rsidRPr="001048FE">
        <w:rPr>
          <w:spacing w:val="-10"/>
          <w:kern w:val="2"/>
          <w:lang w:val="sl-SI"/>
        </w:rPr>
        <w:t xml:space="preserve"> </w:t>
      </w:r>
      <w:r w:rsidRPr="001048FE">
        <w:rPr>
          <w:kern w:val="2"/>
          <w:lang w:val="sl-SI"/>
        </w:rPr>
        <w:t>dogovorili.</w:t>
      </w:r>
      <w:r w:rsidRPr="001048FE">
        <w:rPr>
          <w:spacing w:val="-10"/>
          <w:kern w:val="2"/>
          <w:lang w:val="sl-SI"/>
        </w:rPr>
        <w:t xml:space="preserve"> </w:t>
      </w:r>
      <w:r w:rsidRPr="001048FE">
        <w:rPr>
          <w:kern w:val="2"/>
          <w:lang w:val="sl-SI"/>
        </w:rPr>
        <w:t>Za</w:t>
      </w:r>
      <w:r w:rsidRPr="001048FE">
        <w:rPr>
          <w:spacing w:val="-10"/>
          <w:kern w:val="2"/>
          <w:lang w:val="sl-SI"/>
        </w:rPr>
        <w:t xml:space="preserve"> </w:t>
      </w:r>
      <w:r w:rsidRPr="001048FE">
        <w:rPr>
          <w:kern w:val="2"/>
          <w:lang w:val="sl-SI"/>
        </w:rPr>
        <w:t>mobilnost</w:t>
      </w:r>
      <w:r w:rsidRPr="001048FE">
        <w:rPr>
          <w:spacing w:val="-10"/>
          <w:kern w:val="2"/>
          <w:lang w:val="sl-SI"/>
        </w:rPr>
        <w:t xml:space="preserve"> </w:t>
      </w:r>
      <w:r w:rsidRPr="001048FE">
        <w:rPr>
          <w:kern w:val="2"/>
          <w:lang w:val="sl-SI"/>
        </w:rPr>
        <w:t>med</w:t>
      </w:r>
      <w:r w:rsidRPr="001048FE">
        <w:rPr>
          <w:spacing w:val="-10"/>
          <w:kern w:val="2"/>
          <w:lang w:val="sl-SI"/>
        </w:rPr>
        <w:t xml:space="preserve"> </w:t>
      </w:r>
      <w:r w:rsidRPr="001048FE">
        <w:rPr>
          <w:kern w:val="2"/>
          <w:lang w:val="sl-SI"/>
        </w:rPr>
        <w:t>partnerskimi državami in državami Programa si bodo zadevni partnerji nepovratna sredstva za organizacijsko podporo razdelili na vzajemno sprejemljivi osnovi, dogovorjeni z udeleženimi</w:t>
      </w:r>
      <w:r w:rsidRPr="001048FE">
        <w:rPr>
          <w:spacing w:val="-39"/>
          <w:kern w:val="2"/>
          <w:lang w:val="sl-SI"/>
        </w:rPr>
        <w:t xml:space="preserve"> </w:t>
      </w:r>
      <w:r w:rsidRPr="001048FE">
        <w:rPr>
          <w:kern w:val="2"/>
          <w:lang w:val="sl-SI"/>
        </w:rPr>
        <w:t>institucijami.</w:t>
      </w:r>
    </w:p>
    <w:p w14:paraId="7D398922" w14:textId="77777777" w:rsidR="00E03711" w:rsidRPr="001048FE" w:rsidRDefault="00E03711" w:rsidP="00C55B6C">
      <w:pPr>
        <w:pStyle w:val="Guide-Heading7"/>
        <w:rPr>
          <w:lang w:val="sl-SI"/>
        </w:rPr>
      </w:pPr>
      <w:bookmarkStart w:id="162" w:name="Participants_à_la_mobilité_sans_financem"/>
      <w:bookmarkEnd w:id="162"/>
      <w:r w:rsidRPr="001048FE">
        <w:rPr>
          <w:lang w:val="sl-SI"/>
        </w:rPr>
        <w:t>Udeleženci mobilnosti z ničelnimi nepovratnimi sredstvi iz sredstev EU</w:t>
      </w:r>
    </w:p>
    <w:p w14:paraId="7D398923" w14:textId="77777777" w:rsidR="00E03711" w:rsidRPr="001048FE" w:rsidRDefault="00E03711" w:rsidP="00C55B6C">
      <w:pPr>
        <w:pStyle w:val="GUIDE-NORMAL"/>
        <w:rPr>
          <w:lang w:val="sl-SI"/>
        </w:rPr>
      </w:pPr>
      <w:r w:rsidRPr="001048FE">
        <w:rPr>
          <w:lang w:val="sl-SI"/>
        </w:rPr>
        <w:t>Študenti in osebje z ničelnimi nepovratnimi sredstvi iz sredstev EU so udeleženci mobilnosti, ki ne prejmejo nepovratnih sredstev EU za pot ali bivanje, vendar izpolnjujejo vsa merila za mobilnost študentov in osebja ter lahko izkoristijo vse prednosti, ki jih študentom in osebju zagotavlja Erasmus+. Prejmejo lahko regionalna, nacionalna ali druga nepovratna sredstva, namenjena kritju stroškov mobilnosti. Število udeležencev mobilnosti z ničelnimi nepovratnimi sredstvi iz sredstev EU za celotno obdobje mobilnosti je upoštevano v statistiki za kazalnik uspešnosti, ki se uporablja za porazdelitev proračuna EU med državami, tako za mobilnost med državami Programa kot mobilnost med državami Programa in partnerskimi državami.</w:t>
      </w:r>
    </w:p>
    <w:p w14:paraId="7D398924" w14:textId="77777777" w:rsidR="00E03711" w:rsidRPr="001048FE" w:rsidRDefault="00E03711" w:rsidP="00C55B6C">
      <w:pPr>
        <w:pStyle w:val="Guide-Heading7"/>
        <w:rPr>
          <w:lang w:val="sl-SI"/>
        </w:rPr>
      </w:pPr>
      <w:r w:rsidRPr="001048FE">
        <w:rPr>
          <w:lang w:val="sl-SI"/>
        </w:rPr>
        <w:t>Podpora za posebne potrebe</w:t>
      </w:r>
    </w:p>
    <w:p w14:paraId="7D398925" w14:textId="77777777" w:rsidR="00E03711" w:rsidRPr="001048FE" w:rsidRDefault="00E03711" w:rsidP="00C55B6C">
      <w:pPr>
        <w:pStyle w:val="GUIDE-NORMAL"/>
        <w:rPr>
          <w:lang w:val="sl-SI"/>
        </w:rPr>
      </w:pPr>
      <w:r w:rsidRPr="001048FE">
        <w:rPr>
          <w:lang w:val="sl-SI"/>
        </w:rPr>
        <w:t>Oseba s posebnimi potrebami je morebitni udeleženec, katerega okoliščine, povezane s telesnim, duševnim</w:t>
      </w:r>
      <w:r w:rsidRPr="001048FE">
        <w:rPr>
          <w:spacing w:val="-16"/>
          <w:lang w:val="sl-SI"/>
        </w:rPr>
        <w:t xml:space="preserve"> </w:t>
      </w:r>
      <w:r w:rsidRPr="001048FE">
        <w:rPr>
          <w:lang w:val="sl-SI"/>
        </w:rPr>
        <w:t>ali</w:t>
      </w:r>
      <w:r w:rsidRPr="001048FE">
        <w:rPr>
          <w:spacing w:val="-16"/>
          <w:lang w:val="sl-SI"/>
        </w:rPr>
        <w:t xml:space="preserve"> </w:t>
      </w:r>
      <w:r w:rsidRPr="001048FE">
        <w:rPr>
          <w:lang w:val="sl-SI"/>
        </w:rPr>
        <w:t>zdravstvenim</w:t>
      </w:r>
      <w:r w:rsidRPr="001048FE">
        <w:rPr>
          <w:spacing w:val="-16"/>
          <w:lang w:val="sl-SI"/>
        </w:rPr>
        <w:t xml:space="preserve"> </w:t>
      </w:r>
      <w:r w:rsidRPr="001048FE">
        <w:rPr>
          <w:lang w:val="sl-SI"/>
        </w:rPr>
        <w:t>stanjem,</w:t>
      </w:r>
      <w:r w:rsidRPr="001048FE">
        <w:rPr>
          <w:spacing w:val="-16"/>
          <w:lang w:val="sl-SI"/>
        </w:rPr>
        <w:t xml:space="preserve"> </w:t>
      </w:r>
      <w:r w:rsidRPr="001048FE">
        <w:rPr>
          <w:lang w:val="sl-SI"/>
        </w:rPr>
        <w:t>so</w:t>
      </w:r>
      <w:r w:rsidRPr="001048FE">
        <w:rPr>
          <w:spacing w:val="-16"/>
          <w:lang w:val="sl-SI"/>
        </w:rPr>
        <w:t xml:space="preserve"> </w:t>
      </w:r>
      <w:r w:rsidRPr="001048FE">
        <w:rPr>
          <w:lang w:val="sl-SI"/>
        </w:rPr>
        <w:t>takšne,</w:t>
      </w:r>
      <w:r w:rsidRPr="001048FE">
        <w:rPr>
          <w:spacing w:val="-16"/>
          <w:lang w:val="sl-SI"/>
        </w:rPr>
        <w:t xml:space="preserve"> </w:t>
      </w:r>
      <w:r w:rsidRPr="001048FE">
        <w:rPr>
          <w:lang w:val="sl-SI"/>
        </w:rPr>
        <w:t>da</w:t>
      </w:r>
      <w:r w:rsidRPr="001048FE">
        <w:rPr>
          <w:spacing w:val="-16"/>
          <w:lang w:val="sl-SI"/>
        </w:rPr>
        <w:t xml:space="preserve"> </w:t>
      </w:r>
      <w:r w:rsidRPr="001048FE">
        <w:rPr>
          <w:lang w:val="sl-SI"/>
        </w:rPr>
        <w:t>njegova</w:t>
      </w:r>
      <w:r w:rsidRPr="001048FE">
        <w:rPr>
          <w:spacing w:val="-16"/>
          <w:lang w:val="sl-SI"/>
        </w:rPr>
        <w:t xml:space="preserve"> </w:t>
      </w:r>
      <w:r w:rsidRPr="001048FE">
        <w:rPr>
          <w:lang w:val="sl-SI"/>
        </w:rPr>
        <w:t>udeležba</w:t>
      </w:r>
      <w:r w:rsidRPr="001048FE">
        <w:rPr>
          <w:spacing w:val="-16"/>
          <w:lang w:val="sl-SI"/>
        </w:rPr>
        <w:t xml:space="preserve"> </w:t>
      </w:r>
      <w:r w:rsidRPr="001048FE">
        <w:rPr>
          <w:lang w:val="sl-SI"/>
        </w:rPr>
        <w:t>v</w:t>
      </w:r>
      <w:r w:rsidRPr="001048FE">
        <w:rPr>
          <w:spacing w:val="-16"/>
          <w:lang w:val="sl-SI"/>
        </w:rPr>
        <w:t xml:space="preserve"> </w:t>
      </w:r>
      <w:r w:rsidRPr="001048FE">
        <w:rPr>
          <w:lang w:val="sl-SI"/>
        </w:rPr>
        <w:t>projektu/ukrepu</w:t>
      </w:r>
      <w:r w:rsidRPr="001048FE">
        <w:rPr>
          <w:spacing w:val="-16"/>
          <w:lang w:val="sl-SI"/>
        </w:rPr>
        <w:t xml:space="preserve"> </w:t>
      </w:r>
      <w:r w:rsidRPr="001048FE">
        <w:rPr>
          <w:lang w:val="sl-SI"/>
        </w:rPr>
        <w:t>mobilnosti</w:t>
      </w:r>
      <w:r w:rsidRPr="001048FE">
        <w:rPr>
          <w:spacing w:val="-16"/>
          <w:lang w:val="sl-SI"/>
        </w:rPr>
        <w:t xml:space="preserve"> </w:t>
      </w:r>
      <w:r w:rsidRPr="001048FE">
        <w:rPr>
          <w:lang w:val="sl-SI"/>
        </w:rPr>
        <w:t>ne bi</w:t>
      </w:r>
      <w:r w:rsidRPr="001048FE">
        <w:rPr>
          <w:spacing w:val="-9"/>
          <w:lang w:val="sl-SI"/>
        </w:rPr>
        <w:t xml:space="preserve"> </w:t>
      </w:r>
      <w:r w:rsidRPr="001048FE">
        <w:rPr>
          <w:lang w:val="sl-SI"/>
        </w:rPr>
        <w:t>bila</w:t>
      </w:r>
      <w:r w:rsidRPr="001048FE">
        <w:rPr>
          <w:spacing w:val="-9"/>
          <w:lang w:val="sl-SI"/>
        </w:rPr>
        <w:t xml:space="preserve"> </w:t>
      </w:r>
      <w:r w:rsidRPr="001048FE">
        <w:rPr>
          <w:lang w:val="sl-SI"/>
        </w:rPr>
        <w:t>mogoča</w:t>
      </w:r>
      <w:r w:rsidRPr="001048FE">
        <w:rPr>
          <w:spacing w:val="-9"/>
          <w:lang w:val="sl-SI"/>
        </w:rPr>
        <w:t xml:space="preserve"> </w:t>
      </w:r>
      <w:r w:rsidRPr="001048FE">
        <w:rPr>
          <w:lang w:val="sl-SI"/>
        </w:rPr>
        <w:t>brez</w:t>
      </w:r>
      <w:r w:rsidRPr="001048FE">
        <w:rPr>
          <w:spacing w:val="-9"/>
          <w:lang w:val="sl-SI"/>
        </w:rPr>
        <w:t xml:space="preserve"> </w:t>
      </w:r>
      <w:r w:rsidRPr="001048FE">
        <w:rPr>
          <w:lang w:val="sl-SI"/>
        </w:rPr>
        <w:t>dodatne</w:t>
      </w:r>
      <w:r w:rsidRPr="001048FE">
        <w:rPr>
          <w:spacing w:val="-9"/>
          <w:lang w:val="sl-SI"/>
        </w:rPr>
        <w:t xml:space="preserve"> </w:t>
      </w:r>
      <w:r w:rsidRPr="001048FE">
        <w:rPr>
          <w:lang w:val="sl-SI"/>
        </w:rPr>
        <w:t>finančne</w:t>
      </w:r>
      <w:r w:rsidRPr="001048FE">
        <w:rPr>
          <w:spacing w:val="-9"/>
          <w:lang w:val="sl-SI"/>
        </w:rPr>
        <w:t xml:space="preserve"> </w:t>
      </w:r>
      <w:r w:rsidRPr="001048FE">
        <w:rPr>
          <w:lang w:val="sl-SI"/>
        </w:rPr>
        <w:t>podpore.</w:t>
      </w:r>
      <w:r w:rsidRPr="001048FE">
        <w:rPr>
          <w:spacing w:val="-9"/>
          <w:lang w:val="sl-SI"/>
        </w:rPr>
        <w:t xml:space="preserve"> </w:t>
      </w:r>
      <w:r w:rsidRPr="001048FE">
        <w:rPr>
          <w:lang w:val="sl-SI"/>
        </w:rPr>
        <w:t>Visokošolske</w:t>
      </w:r>
      <w:r w:rsidRPr="001048FE">
        <w:rPr>
          <w:spacing w:val="-9"/>
          <w:lang w:val="sl-SI"/>
        </w:rPr>
        <w:t xml:space="preserve"> </w:t>
      </w:r>
      <w:r w:rsidRPr="001048FE">
        <w:rPr>
          <w:lang w:val="sl-SI"/>
        </w:rPr>
        <w:t>institucije,</w:t>
      </w:r>
      <w:r w:rsidRPr="001048FE">
        <w:rPr>
          <w:spacing w:val="-9"/>
          <w:lang w:val="sl-SI"/>
        </w:rPr>
        <w:t xml:space="preserve"> </w:t>
      </w:r>
      <w:r w:rsidRPr="001048FE">
        <w:rPr>
          <w:lang w:val="sl-SI"/>
        </w:rPr>
        <w:t>ki</w:t>
      </w:r>
      <w:r w:rsidRPr="001048FE">
        <w:rPr>
          <w:spacing w:val="-9"/>
          <w:lang w:val="sl-SI"/>
        </w:rPr>
        <w:t xml:space="preserve"> </w:t>
      </w:r>
      <w:r w:rsidRPr="001048FE">
        <w:rPr>
          <w:lang w:val="sl-SI"/>
        </w:rPr>
        <w:t>so</w:t>
      </w:r>
      <w:r w:rsidRPr="001048FE">
        <w:rPr>
          <w:spacing w:val="-9"/>
          <w:lang w:val="sl-SI"/>
        </w:rPr>
        <w:t xml:space="preserve"> </w:t>
      </w:r>
      <w:r w:rsidRPr="001048FE">
        <w:rPr>
          <w:lang w:val="sl-SI"/>
        </w:rPr>
        <w:t>izbrale</w:t>
      </w:r>
      <w:r w:rsidRPr="001048FE">
        <w:rPr>
          <w:spacing w:val="-9"/>
          <w:lang w:val="sl-SI"/>
        </w:rPr>
        <w:t xml:space="preserve"> </w:t>
      </w:r>
      <w:r w:rsidRPr="001048FE">
        <w:rPr>
          <w:lang w:val="sl-SI"/>
        </w:rPr>
        <w:t>študente</w:t>
      </w:r>
      <w:r w:rsidRPr="001048FE">
        <w:rPr>
          <w:spacing w:val="-9"/>
          <w:lang w:val="sl-SI"/>
        </w:rPr>
        <w:t xml:space="preserve"> </w:t>
      </w:r>
      <w:r w:rsidRPr="001048FE">
        <w:rPr>
          <w:lang w:val="sl-SI"/>
        </w:rPr>
        <w:t>in/ali osebje s posebnimi potrebami, lahko pri nacionalni agenciji oddajo vlogo za dodatna nepovratna sredstva, da pokrijejo dodatne stroške za njihovo udeležbo v aktivnostih mobilnosti. Za osebe s posebnimi potrebami se torej lahko zagotovi podpora v znesku, ki je višji od najvišjih posameznih zneskov nepovratnih sredstev, navedenih v nadaljevanju. Visokošolske institucije bodo na svojem spletišču opisale, kako lahko študenti in osebje s posebnimi potrebami zahtevajo taka dodatna nepovratna</w:t>
      </w:r>
      <w:r w:rsidRPr="001048FE">
        <w:rPr>
          <w:spacing w:val="-3"/>
          <w:lang w:val="sl-SI"/>
        </w:rPr>
        <w:t xml:space="preserve"> </w:t>
      </w:r>
      <w:r w:rsidRPr="001048FE">
        <w:rPr>
          <w:lang w:val="sl-SI"/>
        </w:rPr>
        <w:t>sredstva.</w:t>
      </w:r>
    </w:p>
    <w:p w14:paraId="7D398926" w14:textId="77777777" w:rsidR="00E03711" w:rsidRPr="001048FE" w:rsidRDefault="00E03711" w:rsidP="00C55B6C">
      <w:pPr>
        <w:pStyle w:val="GUIDE-NORMAL"/>
        <w:rPr>
          <w:lang w:val="sl-SI"/>
        </w:rPr>
      </w:pPr>
      <w:r w:rsidRPr="001048FE">
        <w:rPr>
          <w:lang w:val="sl-SI"/>
        </w:rPr>
        <w:t>Za študente in osebje s posebnimi potrebami se lahko zagotovijo dodatna sredstva tudi iz drugih virov na lokalni, regionalni in/ali nacionalni ravni.</w:t>
      </w:r>
    </w:p>
    <w:p w14:paraId="7D398927" w14:textId="77777777" w:rsidR="00E03711" w:rsidRPr="001048FE" w:rsidRDefault="00E03711" w:rsidP="00C55B6C">
      <w:pPr>
        <w:pStyle w:val="GUIDE-NORMAL"/>
        <w:rPr>
          <w:lang w:val="sl-SI"/>
        </w:rPr>
      </w:pPr>
      <w:r w:rsidRPr="001048FE">
        <w:rPr>
          <w:lang w:val="sl-SI"/>
        </w:rPr>
        <w:t>Spremljevalci študentov in osebja s posebnimi potrebami so upravičeni do prispevka, ki temelji na dejanskih stroških.</w:t>
      </w:r>
    </w:p>
    <w:p w14:paraId="7D398928" w14:textId="77777777" w:rsidR="00E03711" w:rsidRPr="001048FE" w:rsidRDefault="00E03711" w:rsidP="00C55B6C">
      <w:pPr>
        <w:pStyle w:val="GUIDE-NORMAL"/>
        <w:rPr>
          <w:lang w:val="sl-SI"/>
        </w:rPr>
      </w:pPr>
      <w:r w:rsidRPr="001048FE">
        <w:rPr>
          <w:lang w:val="sl-SI"/>
        </w:rPr>
        <w:t>Vsaka visokošolska institucija se s podpisom Listine Erasmus za terciarno izobraževanje zaveže, da bo zagotavljala enak dostop in enake priložnosti udeležencem iz vseh okolij. Zato lahko študenti in osebje s posebnimi potrebami izkoristijo storitve podpore, ki jih institucija gostiteljica ponuja svojim lokalnim študentom in osebju.</w:t>
      </w:r>
    </w:p>
    <w:p w14:paraId="7D398929" w14:textId="77777777" w:rsidR="00E03711" w:rsidRPr="001048FE" w:rsidRDefault="00E03711" w:rsidP="00662309">
      <w:pPr>
        <w:pStyle w:val="Guide-Heading7"/>
        <w:rPr>
          <w:lang w:val="sl-SI"/>
        </w:rPr>
      </w:pPr>
      <w:r w:rsidRPr="00FC4A70">
        <w:rPr>
          <w:rFonts w:eastAsia="Calibri" w:cs="Calibri"/>
          <w:bCs/>
          <w:szCs w:val="18"/>
          <w:bdr w:val="nil"/>
          <w:lang w:val="sl-SI"/>
        </w:rPr>
        <w:t>Izredni stroški za drago potovanje</w:t>
      </w:r>
    </w:p>
    <w:p w14:paraId="7D39892A" w14:textId="77777777" w:rsidR="00E03711" w:rsidRPr="001048FE" w:rsidRDefault="00E03711" w:rsidP="00C55B6C">
      <w:pPr>
        <w:pStyle w:val="GUIDE-NORMAL"/>
        <w:rPr>
          <w:lang w:val="sl-SI"/>
        </w:rPr>
      </w:pPr>
      <w:r w:rsidRPr="001048FE">
        <w:rPr>
          <w:lang w:val="sl-SI"/>
        </w:rPr>
        <w:t>Do izrednih stroškov za drage potne stroške so upravičeni samo udeleženci, upravičeni do običajnih nepovratnih sredstev za potne stroške</w:t>
      </w:r>
      <w:r>
        <w:rPr>
          <w:lang w:val="sl-SI"/>
        </w:rPr>
        <w:t xml:space="preserve"> za mobilnost med državami Programa.</w:t>
      </w:r>
    </w:p>
    <w:p w14:paraId="7D39892B" w14:textId="77777777" w:rsidR="00E03711" w:rsidRDefault="00E03711" w:rsidP="00381E74">
      <w:pPr>
        <w:pStyle w:val="GUIDE-NORMAL"/>
        <w:rPr>
          <w:rFonts w:eastAsia="Calibri" w:cs="Calibri"/>
          <w:bdr w:val="nil"/>
          <w:lang w:val="sl-SI"/>
        </w:rPr>
      </w:pPr>
      <w:r w:rsidRPr="00FC4A70">
        <w:rPr>
          <w:rFonts w:eastAsia="Calibri" w:cs="Calibri"/>
          <w:bdr w:val="nil"/>
          <w:lang w:val="sl-SI"/>
        </w:rPr>
        <w:t>Upravičenci do projektov mobilnosti lahko zahtevajo finančno podporo za višje potne stroške udeležencev pod proračunsko postavko „izredni stroški“ (do največ 80 % vseh upravičenih stroškov: glejte „Kakšna so pravila za dodelitev sredstev?“)</w:t>
      </w:r>
      <w:r>
        <w:rPr>
          <w:rFonts w:eastAsia="Calibri" w:cs="Calibri"/>
          <w:bdr w:val="nil"/>
          <w:lang w:val="sl-SI"/>
        </w:rPr>
        <w:t>, vključno s primeri, ko se udeleženci odločijo za čistejša prevozna sredstva, z manj emisijami ogljika (npr. vlak), kar vodi do višjih stroškov potovanja</w:t>
      </w:r>
      <w:r w:rsidRPr="00FC4A70">
        <w:rPr>
          <w:rFonts w:eastAsia="Calibri" w:cs="Calibri"/>
          <w:bdr w:val="nil"/>
          <w:lang w:val="sl-SI"/>
        </w:rPr>
        <w:t>. To je dovoljeno pod pogojem, da lahko upravičenci utemeljijo, da običajna pravila financiranja (na podlagi stroškov na enoto za pas oddaljenosti) ne krijejo vsaj 70 % potnih stroškov udeležencev. Če so dodeljena, se namesto standardnih potnih stroškov upoštevajo izredni stroški za drago potovanje.</w:t>
      </w:r>
      <w:bookmarkStart w:id="163" w:name="Autres_sources_de_financement"/>
      <w:bookmarkEnd w:id="163"/>
    </w:p>
    <w:p w14:paraId="7D39892C" w14:textId="77777777" w:rsidR="00E03711" w:rsidRPr="001048FE" w:rsidRDefault="00E03711" w:rsidP="00C55B6C">
      <w:pPr>
        <w:pStyle w:val="Guide-Heading7"/>
        <w:rPr>
          <w:lang w:val="sl-SI"/>
        </w:rPr>
      </w:pPr>
      <w:r w:rsidRPr="001048FE">
        <w:rPr>
          <w:lang w:val="sl-SI"/>
        </w:rPr>
        <w:t>Drugi viri financiranja</w:t>
      </w:r>
    </w:p>
    <w:p w14:paraId="7D39892D" w14:textId="77777777" w:rsidR="00E03711" w:rsidRPr="001048FE" w:rsidRDefault="00E03711" w:rsidP="00C55B6C">
      <w:pPr>
        <w:pStyle w:val="GUIDE-NORMAL"/>
        <w:rPr>
          <w:lang w:val="sl-SI"/>
        </w:rPr>
      </w:pPr>
      <w:r w:rsidRPr="001048FE">
        <w:rPr>
          <w:lang w:val="sl-SI"/>
        </w:rPr>
        <w:t>Študenti in osebje lahko poleg nepovratnih sredstev EU ali namesto njih (udeleženci mobilnosti z ničelnimi nepovratnimi sredstvi iz sredstev EU) prejmejo regionalna, nacionalna ali druga nepovratna sredstva, ki jih ne upravlja nacionalna agencija, temveč druga organizacija (npr. ministrstvo ali regionalni organi). Za te vrste nepovratnih sredstev, ki niso zagotovljena iz proračuna EU, temveč iz drugih virov financiranja, ne veljajo zneski in najnižje/najvišje vrednosti iz tega dokumenta.</w:t>
      </w:r>
    </w:p>
    <w:p w14:paraId="7D39892E" w14:textId="77777777" w:rsidR="00E03711" w:rsidRPr="001048FE" w:rsidRDefault="00E03711" w:rsidP="00C55B6C">
      <w:pPr>
        <w:pStyle w:val="Guide-Heading6"/>
        <w:rPr>
          <w:lang w:val="sl-SI"/>
        </w:rPr>
      </w:pPr>
      <w:bookmarkStart w:id="164" w:name="B)_Bourses_pour_la_mobilité_des_étudiant"/>
      <w:bookmarkEnd w:id="164"/>
      <w:r w:rsidRPr="001048FE">
        <w:rPr>
          <w:lang w:val="sl-SI"/>
        </w:rPr>
        <w:t>B) Nepovratna sredstva za mobilnost</w:t>
      </w:r>
      <w:r w:rsidRPr="001048FE">
        <w:rPr>
          <w:spacing w:val="35"/>
          <w:lang w:val="sl-SI"/>
        </w:rPr>
        <w:t xml:space="preserve"> </w:t>
      </w:r>
      <w:r w:rsidRPr="001048FE">
        <w:rPr>
          <w:lang w:val="sl-SI"/>
        </w:rPr>
        <w:t>študentov</w:t>
      </w:r>
    </w:p>
    <w:p w14:paraId="7D39892F" w14:textId="77777777" w:rsidR="00381E74" w:rsidRDefault="00E03711" w:rsidP="00C55B6C">
      <w:pPr>
        <w:pStyle w:val="GUIDE-NORMAL"/>
        <w:rPr>
          <w:lang w:val="sl-SI"/>
        </w:rPr>
      </w:pPr>
      <w:r w:rsidRPr="001048FE">
        <w:rPr>
          <w:lang w:val="sl-SI"/>
        </w:rPr>
        <w:t>Študenti lahko prejmejo nepovratna sredstva EU, namenjena kritju njihovih potnih stroškov in stroškov</w:t>
      </w:r>
      <w:r w:rsidRPr="001048FE">
        <w:rPr>
          <w:spacing w:val="-13"/>
          <w:lang w:val="sl-SI"/>
        </w:rPr>
        <w:t xml:space="preserve"> </w:t>
      </w:r>
      <w:r w:rsidRPr="001048FE">
        <w:rPr>
          <w:lang w:val="sl-SI"/>
        </w:rPr>
        <w:t>bivanja</w:t>
      </w:r>
      <w:r w:rsidRPr="001048FE">
        <w:rPr>
          <w:spacing w:val="-13"/>
          <w:lang w:val="sl-SI"/>
        </w:rPr>
        <w:t xml:space="preserve"> </w:t>
      </w:r>
      <w:r w:rsidRPr="001048FE">
        <w:rPr>
          <w:lang w:val="sl-SI"/>
        </w:rPr>
        <w:t>med</w:t>
      </w:r>
      <w:r w:rsidRPr="001048FE">
        <w:rPr>
          <w:spacing w:val="-13"/>
          <w:lang w:val="sl-SI"/>
        </w:rPr>
        <w:t xml:space="preserve"> </w:t>
      </w:r>
      <w:r w:rsidRPr="001048FE">
        <w:rPr>
          <w:lang w:val="sl-SI"/>
        </w:rPr>
        <w:t>študijem</w:t>
      </w:r>
      <w:r w:rsidRPr="001048FE">
        <w:rPr>
          <w:spacing w:val="-13"/>
          <w:lang w:val="sl-SI"/>
        </w:rPr>
        <w:t xml:space="preserve"> </w:t>
      </w:r>
      <w:r w:rsidRPr="001048FE">
        <w:rPr>
          <w:lang w:val="sl-SI"/>
        </w:rPr>
        <w:t>ali</w:t>
      </w:r>
      <w:r w:rsidRPr="001048FE">
        <w:rPr>
          <w:spacing w:val="-13"/>
          <w:lang w:val="sl-SI"/>
        </w:rPr>
        <w:t xml:space="preserve"> </w:t>
      </w:r>
      <w:r w:rsidRPr="001048FE">
        <w:rPr>
          <w:lang w:val="sl-SI"/>
        </w:rPr>
        <w:t>prakso</w:t>
      </w:r>
      <w:r w:rsidRPr="001048FE">
        <w:rPr>
          <w:spacing w:val="-13"/>
          <w:lang w:val="sl-SI"/>
        </w:rPr>
        <w:t xml:space="preserve"> </w:t>
      </w:r>
      <w:r w:rsidRPr="001048FE">
        <w:rPr>
          <w:lang w:val="sl-SI"/>
        </w:rPr>
        <w:t>v</w:t>
      </w:r>
      <w:r w:rsidRPr="001048FE">
        <w:rPr>
          <w:spacing w:val="-13"/>
          <w:lang w:val="sl-SI"/>
        </w:rPr>
        <w:t xml:space="preserve"> </w:t>
      </w:r>
      <w:r w:rsidRPr="001048FE">
        <w:rPr>
          <w:lang w:val="sl-SI"/>
        </w:rPr>
        <w:t>tujini.</w:t>
      </w:r>
      <w:r w:rsidRPr="001048FE">
        <w:rPr>
          <w:spacing w:val="-13"/>
          <w:lang w:val="sl-SI"/>
        </w:rPr>
        <w:t xml:space="preserve"> </w:t>
      </w:r>
      <w:r w:rsidRPr="001048FE">
        <w:rPr>
          <w:lang w:val="sl-SI"/>
        </w:rPr>
        <w:t>Te</w:t>
      </w:r>
      <w:r w:rsidRPr="001048FE">
        <w:rPr>
          <w:spacing w:val="-13"/>
          <w:lang w:val="sl-SI"/>
        </w:rPr>
        <w:t xml:space="preserve"> </w:t>
      </w:r>
      <w:r w:rsidRPr="001048FE">
        <w:rPr>
          <w:lang w:val="sl-SI"/>
        </w:rPr>
        <w:t>zneske</w:t>
      </w:r>
      <w:r w:rsidRPr="001048FE">
        <w:rPr>
          <w:spacing w:val="-13"/>
          <w:lang w:val="sl-SI"/>
        </w:rPr>
        <w:t xml:space="preserve"> </w:t>
      </w:r>
      <w:r w:rsidRPr="001048FE">
        <w:rPr>
          <w:lang w:val="sl-SI"/>
        </w:rPr>
        <w:t>bodo</w:t>
      </w:r>
      <w:r w:rsidRPr="001048FE">
        <w:rPr>
          <w:spacing w:val="-13"/>
          <w:lang w:val="sl-SI"/>
        </w:rPr>
        <w:t xml:space="preserve"> </w:t>
      </w:r>
      <w:r w:rsidRPr="001048FE">
        <w:rPr>
          <w:lang w:val="sl-SI"/>
        </w:rPr>
        <w:t>opredelile</w:t>
      </w:r>
      <w:r w:rsidRPr="001048FE">
        <w:rPr>
          <w:spacing w:val="-12"/>
          <w:lang w:val="sl-SI"/>
        </w:rPr>
        <w:t xml:space="preserve"> </w:t>
      </w:r>
      <w:r w:rsidRPr="001048FE">
        <w:rPr>
          <w:lang w:val="sl-SI"/>
        </w:rPr>
        <w:t>nacionalne</w:t>
      </w:r>
      <w:r w:rsidRPr="001048FE">
        <w:rPr>
          <w:spacing w:val="-13"/>
          <w:lang w:val="sl-SI"/>
        </w:rPr>
        <w:t xml:space="preserve"> </w:t>
      </w:r>
      <w:r w:rsidRPr="001048FE">
        <w:rPr>
          <w:lang w:val="sl-SI"/>
        </w:rPr>
        <w:t>agencije</w:t>
      </w:r>
      <w:r w:rsidRPr="001048FE">
        <w:rPr>
          <w:spacing w:val="-13"/>
          <w:lang w:val="sl-SI"/>
        </w:rPr>
        <w:t xml:space="preserve"> </w:t>
      </w:r>
      <w:r w:rsidRPr="001048FE">
        <w:rPr>
          <w:lang w:val="sl-SI"/>
        </w:rPr>
        <w:t>v dogovoru z nacionalnimi organi in/ali visokošolskimi institucijami na podlagi nepristranskih in preglednih meril, ki so navedena v nadaljevanju. Točni zneski bodo objavljeni na spletiščih nacionalnih agencij in visokošolskih</w:t>
      </w:r>
      <w:r w:rsidRPr="001048FE">
        <w:rPr>
          <w:spacing w:val="-8"/>
          <w:lang w:val="sl-SI"/>
        </w:rPr>
        <w:t xml:space="preserve"> </w:t>
      </w:r>
      <w:r w:rsidRPr="001048FE">
        <w:rPr>
          <w:lang w:val="sl-SI"/>
        </w:rPr>
        <w:t>institucij.</w:t>
      </w:r>
    </w:p>
    <w:p w14:paraId="7D398930" w14:textId="77777777" w:rsidR="00381E74" w:rsidRDefault="00381E74" w:rsidP="00C55B6C">
      <w:pPr>
        <w:pStyle w:val="GUIDE-NORMAL"/>
        <w:rPr>
          <w:lang w:val="sl-SI"/>
        </w:rPr>
        <w:sectPr w:rsidR="00381E74" w:rsidSect="007F4890">
          <w:headerReference w:type="default" r:id="rId70"/>
          <w:endnotePr>
            <w:numFmt w:val="decimal"/>
          </w:endnotePr>
          <w:pgSz w:w="11910" w:h="16840" w:code="9"/>
          <w:pgMar w:top="1134" w:right="1418" w:bottom="1134" w:left="1418" w:header="283" w:footer="567" w:gutter="0"/>
          <w:cols w:space="720"/>
          <w:docGrid w:linePitch="326"/>
        </w:sectPr>
      </w:pPr>
    </w:p>
    <w:p w14:paraId="7D398931" w14:textId="77777777" w:rsidR="00E03711" w:rsidRPr="001048FE" w:rsidRDefault="00E03711" w:rsidP="00C55B6C">
      <w:pPr>
        <w:pStyle w:val="GUIDE-NORMAL"/>
        <w:rPr>
          <w:lang w:val="sl-SI"/>
        </w:rPr>
      </w:pPr>
    </w:p>
    <w:p w14:paraId="7D398932" w14:textId="77777777" w:rsidR="00E03711" w:rsidRPr="001048FE" w:rsidRDefault="00E03711" w:rsidP="00C55B6C">
      <w:pPr>
        <w:pStyle w:val="GUIDE-NORMAL"/>
        <w:rPr>
          <w:lang w:val="sl-SI"/>
        </w:rPr>
      </w:pPr>
      <w:r w:rsidRPr="001048FE">
        <w:rPr>
          <w:lang w:val="sl-SI"/>
        </w:rPr>
        <w:t>Države Programa so razdeljene v naslednje tri skupine:</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3969"/>
      </w:tblGrid>
      <w:tr w:rsidR="00E03711" w:rsidRPr="00C60205" w14:paraId="7D398936" w14:textId="77777777" w:rsidTr="00EC1155">
        <w:trPr>
          <w:trHeight w:val="510"/>
        </w:trPr>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14:paraId="7D398933" w14:textId="77777777" w:rsidR="00E03711" w:rsidRPr="00F769E0" w:rsidRDefault="00E03711" w:rsidP="00C55B6C">
            <w:pPr>
              <w:pStyle w:val="Guide-Table"/>
              <w:jc w:val="left"/>
              <w:rPr>
                <w:rFonts w:cs="Tahoma"/>
                <w:b/>
                <w:lang w:val="sl-SI" w:eastAsia="en-GB"/>
              </w:rPr>
            </w:pPr>
            <w:r w:rsidRPr="00F769E0">
              <w:rPr>
                <w:rFonts w:cs="Tahoma"/>
                <w:b/>
                <w:lang w:val="sl-SI" w:eastAsia="en-GB"/>
              </w:rPr>
              <w:t xml:space="preserve">Skupina 1 </w:t>
            </w:r>
          </w:p>
          <w:p w14:paraId="7D398934" w14:textId="77777777" w:rsidR="00E03711" w:rsidRPr="00F769E0" w:rsidRDefault="00E03711" w:rsidP="00C55B6C">
            <w:pPr>
              <w:pStyle w:val="Guide-Table"/>
              <w:jc w:val="left"/>
              <w:rPr>
                <w:rFonts w:cs="Tahoma"/>
                <w:b/>
                <w:lang w:val="sl-SI" w:eastAsia="en-GB"/>
              </w:rPr>
            </w:pPr>
            <w:r w:rsidRPr="00F769E0">
              <w:rPr>
                <w:rFonts w:cs="Tahoma"/>
                <w:b/>
                <w:lang w:val="sl-SI" w:eastAsia="en-GB"/>
              </w:rPr>
              <w:t>Države Programa z višjimi življenjskimi stroški</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D398935" w14:textId="77777777" w:rsidR="00E03711" w:rsidRPr="00F769E0" w:rsidRDefault="00E03711" w:rsidP="00A13051">
            <w:pPr>
              <w:pStyle w:val="Guide-Table"/>
              <w:spacing w:beforeLines="60" w:before="144" w:afterLines="60" w:after="144"/>
              <w:rPr>
                <w:rFonts w:cs="Tahoma"/>
                <w:lang w:val="sl-SI" w:eastAsia="en-GB"/>
              </w:rPr>
            </w:pPr>
            <w:r w:rsidRPr="00F769E0">
              <w:rPr>
                <w:rFonts w:cs="Tahoma"/>
                <w:lang w:val="sl-SI" w:eastAsia="en-GB"/>
              </w:rPr>
              <w:t>Danska, Finska, Islandija, Irska, Luksemburg, Švedska, Združeno kraljestvo, Lihtenštajn, Norveška</w:t>
            </w:r>
          </w:p>
        </w:tc>
      </w:tr>
      <w:tr w:rsidR="00E03711" w:rsidRPr="00C60205" w14:paraId="7D39893A" w14:textId="77777777" w:rsidTr="00EC1155">
        <w:trPr>
          <w:trHeight w:val="510"/>
        </w:trPr>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14:paraId="7D398937" w14:textId="77777777" w:rsidR="00E03711" w:rsidRPr="00F769E0" w:rsidRDefault="00E03711" w:rsidP="00C55B6C">
            <w:pPr>
              <w:pStyle w:val="Guide-Table"/>
              <w:jc w:val="left"/>
              <w:rPr>
                <w:rFonts w:cs="Tahoma"/>
                <w:b/>
                <w:lang w:val="sl-SI" w:eastAsia="en-GB"/>
              </w:rPr>
            </w:pPr>
            <w:r w:rsidRPr="00F769E0">
              <w:rPr>
                <w:rFonts w:cs="Tahoma"/>
                <w:b/>
                <w:lang w:val="sl-SI" w:eastAsia="en-GB"/>
              </w:rPr>
              <w:t xml:space="preserve">Skupina 2 </w:t>
            </w:r>
          </w:p>
          <w:p w14:paraId="7D398938" w14:textId="77777777" w:rsidR="00E03711" w:rsidRPr="00F769E0" w:rsidRDefault="00E03711" w:rsidP="00C55B6C">
            <w:pPr>
              <w:pStyle w:val="Guide-Table"/>
              <w:jc w:val="left"/>
              <w:rPr>
                <w:rFonts w:cs="Tahoma"/>
                <w:b/>
                <w:lang w:val="sl-SI" w:eastAsia="en-GB"/>
              </w:rPr>
            </w:pPr>
            <w:r w:rsidRPr="00F769E0">
              <w:rPr>
                <w:rFonts w:cs="Tahoma"/>
                <w:b/>
                <w:lang w:val="sl-SI" w:eastAsia="en-GB"/>
              </w:rPr>
              <w:t>Države Programa s srednje visokimi življenjskimi stroški</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D398939" w14:textId="77777777" w:rsidR="00E03711" w:rsidRPr="00F769E0" w:rsidRDefault="00E03711" w:rsidP="00A13051">
            <w:pPr>
              <w:pStyle w:val="Guide-Table"/>
              <w:spacing w:beforeLines="60" w:before="144" w:afterLines="60" w:after="144"/>
              <w:rPr>
                <w:rFonts w:cs="Tahoma"/>
                <w:lang w:val="sl-SI" w:eastAsia="en-GB"/>
              </w:rPr>
            </w:pPr>
            <w:r w:rsidRPr="00F769E0">
              <w:rPr>
                <w:rFonts w:cs="Tahoma"/>
                <w:lang w:val="sl-SI" w:eastAsia="en-GB"/>
              </w:rPr>
              <w:t>Avstrija, Belgija, Nemčija, Francija, Italija, Grčija, Španija, Ciper, Nizozemska, Malta, Portugalska</w:t>
            </w:r>
          </w:p>
        </w:tc>
      </w:tr>
      <w:tr w:rsidR="00E03711" w:rsidRPr="00C60205" w14:paraId="7D39893E" w14:textId="77777777" w:rsidTr="00EC1155">
        <w:trPr>
          <w:trHeight w:val="510"/>
        </w:trPr>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14:paraId="7D39893B" w14:textId="77777777" w:rsidR="00E03711" w:rsidRPr="00F769E0" w:rsidRDefault="00E03711" w:rsidP="00C55B6C">
            <w:pPr>
              <w:pStyle w:val="Guide-Table"/>
              <w:jc w:val="left"/>
              <w:rPr>
                <w:rFonts w:cs="Tahoma"/>
                <w:b/>
                <w:lang w:val="sl-SI" w:eastAsia="en-GB"/>
              </w:rPr>
            </w:pPr>
            <w:r w:rsidRPr="00F769E0">
              <w:rPr>
                <w:rFonts w:cs="Tahoma"/>
                <w:b/>
                <w:lang w:val="sl-SI" w:eastAsia="en-GB"/>
              </w:rPr>
              <w:t xml:space="preserve">Skupina 3 </w:t>
            </w:r>
          </w:p>
          <w:p w14:paraId="7D39893C" w14:textId="77777777" w:rsidR="00E03711" w:rsidRPr="00F769E0" w:rsidRDefault="00E03711" w:rsidP="00C55B6C">
            <w:pPr>
              <w:pStyle w:val="Guide-Table"/>
              <w:jc w:val="left"/>
              <w:rPr>
                <w:rFonts w:cs="Tahoma"/>
                <w:b/>
                <w:lang w:val="sl-SI" w:eastAsia="en-GB"/>
              </w:rPr>
            </w:pPr>
            <w:r w:rsidRPr="00F769E0">
              <w:rPr>
                <w:rFonts w:cs="Tahoma"/>
                <w:b/>
                <w:lang w:val="sl-SI" w:eastAsia="en-GB"/>
              </w:rPr>
              <w:t>Države Programa z nižjimi življenjskimi stroški</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D39893D" w14:textId="77777777" w:rsidR="00E03711" w:rsidRPr="00F769E0" w:rsidRDefault="00E03711">
            <w:pPr>
              <w:pStyle w:val="Guide-Table"/>
              <w:spacing w:before="60" w:after="60"/>
              <w:rPr>
                <w:rFonts w:cs="Tahoma"/>
                <w:lang w:val="sl-SI" w:eastAsia="en-GB"/>
              </w:rPr>
            </w:pPr>
            <w:r w:rsidRPr="00F769E0">
              <w:rPr>
                <w:rFonts w:cs="Tahoma"/>
                <w:lang w:val="sl-SI" w:eastAsia="en-GB"/>
              </w:rPr>
              <w:t xml:space="preserve">Bolgarija, Hrvaška, Češka, Estonija, Latvija, </w:t>
            </w:r>
            <w:r w:rsidRPr="00F769E0">
              <w:rPr>
                <w:rFonts w:cs="Tahoma"/>
                <w:lang w:val="sl-SI" w:eastAsia="en-GB"/>
              </w:rPr>
              <w:br/>
              <w:t xml:space="preserve">Litva, Madžarska, Poljska, Romunija, Slovaška, Slovenija, Srbija, </w:t>
            </w:r>
            <w:r>
              <w:rPr>
                <w:rFonts w:cs="Tahoma"/>
                <w:lang w:val="sl-SI" w:eastAsia="en-GB"/>
              </w:rPr>
              <w:t>R</w:t>
            </w:r>
            <w:r w:rsidRPr="00F769E0">
              <w:rPr>
                <w:rFonts w:cs="Tahoma"/>
                <w:lang w:val="sl-SI" w:eastAsia="en-GB"/>
              </w:rPr>
              <w:t xml:space="preserve">epublika </w:t>
            </w:r>
            <w:r>
              <w:rPr>
                <w:rFonts w:cs="Tahoma"/>
                <w:lang w:val="sl-SI" w:eastAsia="en-GB"/>
              </w:rPr>
              <w:t xml:space="preserve">Severna </w:t>
            </w:r>
            <w:r w:rsidRPr="00F769E0">
              <w:rPr>
                <w:rFonts w:cs="Tahoma"/>
                <w:lang w:val="sl-SI" w:eastAsia="en-GB"/>
              </w:rPr>
              <w:t>Makedonija, Turčija</w:t>
            </w:r>
          </w:p>
        </w:tc>
      </w:tr>
    </w:tbl>
    <w:p w14:paraId="7D39893F" w14:textId="77777777" w:rsidR="00E03711" w:rsidRPr="001048FE" w:rsidRDefault="00E03711" w:rsidP="00A56665">
      <w:pPr>
        <w:pStyle w:val="Guide-Heading7"/>
        <w:rPr>
          <w:lang w:val="sl-SI"/>
        </w:rPr>
      </w:pPr>
      <w:r w:rsidRPr="001048FE">
        <w:rPr>
          <w:lang w:val="sl-SI"/>
        </w:rPr>
        <w:t>Mobilnost med državami Programa – Merilo 1 – Študentova država pošiljateljica in gostiteljica</w:t>
      </w:r>
    </w:p>
    <w:p w14:paraId="7D398940" w14:textId="77777777" w:rsidR="00E03711" w:rsidRPr="001048FE" w:rsidRDefault="00E03711" w:rsidP="00A56665">
      <w:pPr>
        <w:pStyle w:val="GUIDE-NORMAL"/>
        <w:rPr>
          <w:lang w:val="sl-SI"/>
        </w:rPr>
      </w:pPr>
      <w:r w:rsidRPr="001048FE">
        <w:rPr>
          <w:lang w:val="sl-SI"/>
        </w:rPr>
        <w:t>Nepovratna</w:t>
      </w:r>
      <w:r w:rsidRPr="001048FE">
        <w:rPr>
          <w:spacing w:val="-18"/>
          <w:lang w:val="sl-SI"/>
        </w:rPr>
        <w:t xml:space="preserve"> </w:t>
      </w:r>
      <w:r w:rsidRPr="001048FE">
        <w:rPr>
          <w:lang w:val="sl-SI"/>
        </w:rPr>
        <w:t>sredstva</w:t>
      </w:r>
      <w:r w:rsidRPr="001048FE">
        <w:rPr>
          <w:spacing w:val="-18"/>
          <w:lang w:val="sl-SI"/>
        </w:rPr>
        <w:t xml:space="preserve"> </w:t>
      </w:r>
      <w:r w:rsidRPr="001048FE">
        <w:rPr>
          <w:lang w:val="sl-SI"/>
        </w:rPr>
        <w:t>EU,</w:t>
      </w:r>
      <w:r w:rsidRPr="001048FE">
        <w:rPr>
          <w:spacing w:val="-18"/>
          <w:lang w:val="sl-SI"/>
        </w:rPr>
        <w:t xml:space="preserve"> </w:t>
      </w:r>
      <w:r w:rsidRPr="001048FE">
        <w:rPr>
          <w:lang w:val="sl-SI"/>
        </w:rPr>
        <w:t>ki</w:t>
      </w:r>
      <w:r w:rsidRPr="001048FE">
        <w:rPr>
          <w:spacing w:val="-18"/>
          <w:lang w:val="sl-SI"/>
        </w:rPr>
        <w:t xml:space="preserve"> </w:t>
      </w:r>
      <w:r w:rsidRPr="001048FE">
        <w:rPr>
          <w:lang w:val="sl-SI"/>
        </w:rPr>
        <w:t>se</w:t>
      </w:r>
      <w:r w:rsidRPr="001048FE">
        <w:rPr>
          <w:spacing w:val="-18"/>
          <w:lang w:val="sl-SI"/>
        </w:rPr>
        <w:t xml:space="preserve"> </w:t>
      </w:r>
      <w:r w:rsidRPr="001048FE">
        <w:rPr>
          <w:lang w:val="sl-SI"/>
        </w:rPr>
        <w:t>bodo</w:t>
      </w:r>
      <w:r w:rsidRPr="001048FE">
        <w:rPr>
          <w:spacing w:val="-18"/>
          <w:lang w:val="sl-SI"/>
        </w:rPr>
        <w:t xml:space="preserve"> </w:t>
      </w:r>
      <w:r w:rsidRPr="001048FE">
        <w:rPr>
          <w:lang w:val="sl-SI"/>
        </w:rPr>
        <w:t>zagotovila</w:t>
      </w:r>
      <w:r w:rsidRPr="001048FE">
        <w:rPr>
          <w:spacing w:val="-18"/>
          <w:lang w:val="sl-SI"/>
        </w:rPr>
        <w:t xml:space="preserve"> </w:t>
      </w:r>
      <w:r w:rsidRPr="001048FE">
        <w:rPr>
          <w:lang w:val="sl-SI"/>
        </w:rPr>
        <w:t>študentom,</w:t>
      </w:r>
      <w:r w:rsidRPr="001048FE">
        <w:rPr>
          <w:spacing w:val="-18"/>
          <w:lang w:val="sl-SI"/>
        </w:rPr>
        <w:t xml:space="preserve"> </w:t>
      </w:r>
      <w:r w:rsidRPr="001048FE">
        <w:rPr>
          <w:lang w:val="sl-SI"/>
        </w:rPr>
        <w:t>bodo</w:t>
      </w:r>
      <w:r w:rsidRPr="001048FE">
        <w:rPr>
          <w:spacing w:val="-18"/>
          <w:lang w:val="sl-SI"/>
        </w:rPr>
        <w:t xml:space="preserve"> </w:t>
      </w:r>
      <w:r w:rsidRPr="001048FE">
        <w:rPr>
          <w:lang w:val="sl-SI"/>
        </w:rPr>
        <w:t>odvisna</w:t>
      </w:r>
      <w:r w:rsidRPr="001048FE">
        <w:rPr>
          <w:spacing w:val="-17"/>
          <w:lang w:val="sl-SI"/>
        </w:rPr>
        <w:t xml:space="preserve"> </w:t>
      </w:r>
      <w:r w:rsidRPr="001048FE">
        <w:rPr>
          <w:lang w:val="sl-SI"/>
        </w:rPr>
        <w:t>od</w:t>
      </w:r>
      <w:r w:rsidRPr="001048FE">
        <w:rPr>
          <w:spacing w:val="-17"/>
          <w:lang w:val="sl-SI"/>
        </w:rPr>
        <w:t xml:space="preserve"> </w:t>
      </w:r>
      <w:r w:rsidRPr="001048FE">
        <w:rPr>
          <w:lang w:val="sl-SI"/>
        </w:rPr>
        <w:t>smeri</w:t>
      </w:r>
      <w:r w:rsidRPr="001048FE">
        <w:rPr>
          <w:spacing w:val="-18"/>
          <w:lang w:val="sl-SI"/>
        </w:rPr>
        <w:t xml:space="preserve"> </w:t>
      </w:r>
      <w:r w:rsidRPr="001048FE">
        <w:rPr>
          <w:lang w:val="sl-SI"/>
        </w:rPr>
        <w:t>njihove</w:t>
      </w:r>
      <w:r w:rsidRPr="001048FE">
        <w:rPr>
          <w:spacing w:val="-18"/>
          <w:lang w:val="sl-SI"/>
        </w:rPr>
        <w:t xml:space="preserve"> </w:t>
      </w:r>
      <w:r w:rsidRPr="001048FE">
        <w:rPr>
          <w:lang w:val="sl-SI"/>
        </w:rPr>
        <w:t>mobilnosti, ki je</w:t>
      </w:r>
      <w:r w:rsidRPr="001048FE">
        <w:rPr>
          <w:spacing w:val="-4"/>
          <w:lang w:val="sl-SI"/>
        </w:rPr>
        <w:t xml:space="preserve"> </w:t>
      </w:r>
      <w:r w:rsidRPr="001048FE">
        <w:rPr>
          <w:lang w:val="sl-SI"/>
        </w:rPr>
        <w:t>lahko:</w:t>
      </w:r>
    </w:p>
    <w:p w14:paraId="7D398941" w14:textId="77777777" w:rsidR="00E03711" w:rsidRPr="001048FE" w:rsidRDefault="00E03711" w:rsidP="005115F2">
      <w:pPr>
        <w:pStyle w:val="Guide-NormalBulletpoints"/>
        <w:numPr>
          <w:ilvl w:val="0"/>
          <w:numId w:val="209"/>
        </w:numPr>
        <w:rPr>
          <w:rStyle w:val="Guide-Condensed-01"/>
          <w:rFonts w:cs="Times New Roman"/>
          <w:lang w:val="sl-SI" w:eastAsia="zh-CN"/>
        </w:rPr>
      </w:pPr>
      <w:r w:rsidRPr="001048FE">
        <w:rPr>
          <w:rStyle w:val="Guide-Condensed-01"/>
          <w:lang w:val="sl-SI"/>
        </w:rPr>
        <w:t>mobilnost v državo s podobnimi življenjskimi stroški: študenti bodo prejeli nepovratna sredstva EU v srednji vrednosti;</w:t>
      </w:r>
    </w:p>
    <w:p w14:paraId="7D398942" w14:textId="77777777" w:rsidR="00E03711" w:rsidRPr="001048FE" w:rsidRDefault="00E03711" w:rsidP="005115F2">
      <w:pPr>
        <w:pStyle w:val="Guide-NormalBulletpoints"/>
        <w:numPr>
          <w:ilvl w:val="0"/>
          <w:numId w:val="209"/>
        </w:numPr>
        <w:rPr>
          <w:lang w:val="sl-SI"/>
        </w:rPr>
      </w:pPr>
      <w:r w:rsidRPr="001048FE">
        <w:rPr>
          <w:lang w:val="sl-SI"/>
        </w:rPr>
        <w:t>mobilnost v državo z višjimi življenjskimi stroški: študenti bodo prejeli nepovratna sredstva EU v višji vrednosti;</w:t>
      </w:r>
    </w:p>
    <w:p w14:paraId="7D398943" w14:textId="77777777" w:rsidR="00E03711" w:rsidRPr="001048FE" w:rsidRDefault="00E03711" w:rsidP="005115F2">
      <w:pPr>
        <w:pStyle w:val="Guide-NormalBulletpoints"/>
        <w:numPr>
          <w:ilvl w:val="0"/>
          <w:numId w:val="209"/>
        </w:numPr>
        <w:rPr>
          <w:lang w:val="sl-SI"/>
        </w:rPr>
      </w:pPr>
      <w:r w:rsidRPr="001048FE">
        <w:rPr>
          <w:lang w:val="sl-SI"/>
        </w:rPr>
        <w:t>mobilnost v državo z nižjimi življenjskimi stroški: študenti bodo prejeli nepovratna sredstva EU v nižji vrednosti.</w:t>
      </w:r>
    </w:p>
    <w:p w14:paraId="7D398944" w14:textId="77777777" w:rsidR="00E03711" w:rsidRPr="001048FE" w:rsidRDefault="00E03711" w:rsidP="00A56665">
      <w:pPr>
        <w:pStyle w:val="GUIDE-NORMAL"/>
        <w:rPr>
          <w:lang w:val="sl-SI"/>
        </w:rPr>
      </w:pPr>
      <w:r w:rsidRPr="001048FE">
        <w:rPr>
          <w:lang w:val="sl-SI"/>
        </w:rPr>
        <w:t>Nacionalne agencije bodo opredelile zneske v okviru naslednjih najnižjih in najvišjih vrednosti:</w:t>
      </w:r>
    </w:p>
    <w:p w14:paraId="7D398945" w14:textId="77777777" w:rsidR="00E03711" w:rsidRPr="001048FE" w:rsidRDefault="00E03711" w:rsidP="005115F2">
      <w:pPr>
        <w:pStyle w:val="Guide-NormalBulletpoints"/>
        <w:numPr>
          <w:ilvl w:val="0"/>
          <w:numId w:val="210"/>
        </w:numPr>
        <w:rPr>
          <w:lang w:val="sl-SI"/>
        </w:rPr>
      </w:pPr>
      <w:r w:rsidRPr="001048FE">
        <w:rPr>
          <w:u w:val="single"/>
          <w:lang w:val="sl-SI"/>
        </w:rPr>
        <w:t>nepovratna sredstva EU v srednji vrednosti</w:t>
      </w:r>
      <w:r w:rsidRPr="001048FE">
        <w:rPr>
          <w:lang w:val="sl-SI"/>
        </w:rPr>
        <w:t xml:space="preserve">: srednji zneski, ki znašajo od </w:t>
      </w:r>
      <w:r w:rsidRPr="001048FE">
        <w:rPr>
          <w:b/>
          <w:lang w:val="sl-SI"/>
        </w:rPr>
        <w:t xml:space="preserve">220 do 470 EUR </w:t>
      </w:r>
      <w:r w:rsidRPr="001048FE">
        <w:rPr>
          <w:lang w:val="sl-SI"/>
        </w:rPr>
        <w:t>na mesec, veljajo za aktivnosti mobilnosti v državo s podobnimi življenjskimi stroški: (a) iz skupine 1 v skupino 1, (b) iz skupine 2 v skupino 2 in (c) iz skupine 3 v skupino 3;</w:t>
      </w:r>
    </w:p>
    <w:p w14:paraId="7D398946" w14:textId="77777777" w:rsidR="00E03711" w:rsidRPr="001048FE" w:rsidRDefault="00E03711" w:rsidP="005115F2">
      <w:pPr>
        <w:pStyle w:val="Guide-NormalBulletpoints"/>
        <w:numPr>
          <w:ilvl w:val="0"/>
          <w:numId w:val="210"/>
        </w:numPr>
        <w:rPr>
          <w:lang w:val="sl-SI"/>
        </w:rPr>
      </w:pPr>
      <w:r w:rsidRPr="001048FE">
        <w:rPr>
          <w:u w:val="single"/>
          <w:lang w:val="sl-SI"/>
        </w:rPr>
        <w:t>nepovratna sredstva EU v višji vrednosti</w:t>
      </w:r>
      <w:r w:rsidRPr="001048FE">
        <w:rPr>
          <w:lang w:val="sl-SI"/>
        </w:rPr>
        <w:t>: ustreza srednjim zneskom, ki jih opredeli nacionalna agencija</w:t>
      </w:r>
      <w:r w:rsidRPr="001048FE">
        <w:rPr>
          <w:spacing w:val="-10"/>
          <w:lang w:val="sl-SI"/>
        </w:rPr>
        <w:t xml:space="preserve"> </w:t>
      </w:r>
      <w:r w:rsidRPr="001048FE">
        <w:rPr>
          <w:u w:val="single"/>
          <w:lang w:val="sl-SI"/>
        </w:rPr>
        <w:t>in</w:t>
      </w:r>
      <w:r w:rsidRPr="001048FE">
        <w:rPr>
          <w:spacing w:val="-11"/>
          <w:u w:val="single"/>
          <w:lang w:val="sl-SI"/>
        </w:rPr>
        <w:t xml:space="preserve"> </w:t>
      </w:r>
      <w:r w:rsidRPr="001048FE">
        <w:rPr>
          <w:u w:val="single"/>
          <w:lang w:val="sl-SI"/>
        </w:rPr>
        <w:t>katerim</w:t>
      </w:r>
      <w:r w:rsidRPr="001048FE">
        <w:rPr>
          <w:spacing w:val="-11"/>
          <w:u w:val="single"/>
          <w:lang w:val="sl-SI"/>
        </w:rPr>
        <w:t xml:space="preserve"> </w:t>
      </w:r>
      <w:r w:rsidRPr="001048FE">
        <w:rPr>
          <w:u w:val="single"/>
          <w:lang w:val="sl-SI"/>
        </w:rPr>
        <w:t>se</w:t>
      </w:r>
      <w:r w:rsidRPr="001048FE">
        <w:rPr>
          <w:spacing w:val="-11"/>
          <w:u w:val="single"/>
          <w:lang w:val="sl-SI"/>
        </w:rPr>
        <w:t xml:space="preserve"> </w:t>
      </w:r>
      <w:r w:rsidRPr="001048FE">
        <w:rPr>
          <w:u w:val="single"/>
          <w:lang w:val="sl-SI"/>
        </w:rPr>
        <w:t>prišteje</w:t>
      </w:r>
      <w:r w:rsidRPr="001048FE">
        <w:rPr>
          <w:spacing w:val="-11"/>
          <w:u w:val="single"/>
          <w:lang w:val="sl-SI"/>
        </w:rPr>
        <w:t xml:space="preserve"> </w:t>
      </w:r>
      <w:r w:rsidRPr="001048FE">
        <w:rPr>
          <w:u w:val="single"/>
          <w:lang w:val="sl-SI"/>
        </w:rPr>
        <w:t>vsaj</w:t>
      </w:r>
      <w:r w:rsidRPr="001048FE">
        <w:rPr>
          <w:spacing w:val="-11"/>
          <w:u w:val="single"/>
          <w:lang w:val="sl-SI"/>
        </w:rPr>
        <w:t xml:space="preserve"> </w:t>
      </w:r>
      <w:r w:rsidRPr="001048FE">
        <w:rPr>
          <w:u w:val="single"/>
          <w:lang w:val="sl-SI"/>
        </w:rPr>
        <w:t>50</w:t>
      </w:r>
      <w:r w:rsidRPr="001048FE">
        <w:rPr>
          <w:spacing w:val="-11"/>
          <w:u w:val="single"/>
          <w:lang w:val="sl-SI"/>
        </w:rPr>
        <w:t xml:space="preserve"> </w:t>
      </w:r>
      <w:r w:rsidRPr="001048FE">
        <w:rPr>
          <w:u w:val="single"/>
          <w:lang w:val="sl-SI"/>
        </w:rPr>
        <w:t>EUR</w:t>
      </w:r>
      <w:r w:rsidRPr="001048FE">
        <w:rPr>
          <w:spacing w:val="-12"/>
          <w:lang w:val="sl-SI"/>
        </w:rPr>
        <w:t xml:space="preserve"> </w:t>
      </w:r>
      <w:r w:rsidRPr="001048FE">
        <w:rPr>
          <w:lang w:val="sl-SI"/>
        </w:rPr>
        <w:t>ter</w:t>
      </w:r>
      <w:r w:rsidRPr="001048FE">
        <w:rPr>
          <w:spacing w:val="-11"/>
          <w:lang w:val="sl-SI"/>
        </w:rPr>
        <w:t xml:space="preserve"> </w:t>
      </w:r>
      <w:r w:rsidRPr="001048FE">
        <w:rPr>
          <w:lang w:val="sl-SI"/>
        </w:rPr>
        <w:t>znašajo</w:t>
      </w:r>
      <w:r w:rsidRPr="001048FE">
        <w:rPr>
          <w:spacing w:val="-11"/>
          <w:lang w:val="sl-SI"/>
        </w:rPr>
        <w:t xml:space="preserve"> </w:t>
      </w:r>
      <w:r w:rsidRPr="001048FE">
        <w:rPr>
          <w:lang w:val="sl-SI"/>
        </w:rPr>
        <w:t>od</w:t>
      </w:r>
      <w:r w:rsidRPr="001048FE">
        <w:rPr>
          <w:spacing w:val="-10"/>
          <w:lang w:val="sl-SI"/>
        </w:rPr>
        <w:t xml:space="preserve"> </w:t>
      </w:r>
      <w:r w:rsidRPr="001048FE">
        <w:rPr>
          <w:b/>
          <w:lang w:val="sl-SI"/>
        </w:rPr>
        <w:t>270</w:t>
      </w:r>
      <w:r w:rsidRPr="001048FE">
        <w:rPr>
          <w:b/>
          <w:spacing w:val="-5"/>
          <w:lang w:val="sl-SI"/>
        </w:rPr>
        <w:t xml:space="preserve"> </w:t>
      </w:r>
      <w:r w:rsidRPr="001048FE">
        <w:rPr>
          <w:b/>
          <w:lang w:val="sl-SI"/>
        </w:rPr>
        <w:t>do</w:t>
      </w:r>
      <w:r w:rsidRPr="001048FE">
        <w:rPr>
          <w:b/>
          <w:spacing w:val="-5"/>
          <w:lang w:val="sl-SI"/>
        </w:rPr>
        <w:t xml:space="preserve"> </w:t>
      </w:r>
      <w:r w:rsidRPr="001048FE">
        <w:rPr>
          <w:b/>
          <w:lang w:val="sl-SI"/>
        </w:rPr>
        <w:t>520</w:t>
      </w:r>
      <w:r w:rsidRPr="001048FE">
        <w:rPr>
          <w:b/>
          <w:spacing w:val="-5"/>
          <w:lang w:val="sl-SI"/>
        </w:rPr>
        <w:t xml:space="preserve"> </w:t>
      </w:r>
      <w:r w:rsidRPr="001048FE">
        <w:rPr>
          <w:b/>
          <w:lang w:val="sl-SI"/>
        </w:rPr>
        <w:t>EUR</w:t>
      </w:r>
      <w:r w:rsidRPr="001048FE">
        <w:rPr>
          <w:b/>
          <w:spacing w:val="-11"/>
          <w:lang w:val="sl-SI"/>
        </w:rPr>
        <w:t xml:space="preserve"> </w:t>
      </w:r>
      <w:r w:rsidRPr="001048FE">
        <w:rPr>
          <w:lang w:val="sl-SI"/>
        </w:rPr>
        <w:t>na</w:t>
      </w:r>
      <w:r w:rsidRPr="001048FE">
        <w:rPr>
          <w:spacing w:val="-11"/>
          <w:lang w:val="sl-SI"/>
        </w:rPr>
        <w:t xml:space="preserve"> </w:t>
      </w:r>
      <w:r w:rsidRPr="001048FE">
        <w:rPr>
          <w:lang w:val="sl-SI"/>
        </w:rPr>
        <w:t>mesec.</w:t>
      </w:r>
      <w:r w:rsidRPr="001048FE">
        <w:rPr>
          <w:spacing w:val="-11"/>
          <w:lang w:val="sl-SI"/>
        </w:rPr>
        <w:t xml:space="preserve"> </w:t>
      </w:r>
      <w:r w:rsidRPr="001048FE">
        <w:rPr>
          <w:lang w:val="sl-SI"/>
        </w:rPr>
        <w:t>Velja</w:t>
      </w:r>
      <w:r w:rsidRPr="001048FE">
        <w:rPr>
          <w:spacing w:val="-11"/>
          <w:lang w:val="sl-SI"/>
        </w:rPr>
        <w:t xml:space="preserve"> </w:t>
      </w:r>
      <w:r w:rsidRPr="001048FE">
        <w:rPr>
          <w:lang w:val="sl-SI"/>
        </w:rPr>
        <w:t>za aktivnosti</w:t>
      </w:r>
      <w:r w:rsidRPr="001048FE">
        <w:rPr>
          <w:spacing w:val="-4"/>
          <w:lang w:val="sl-SI"/>
        </w:rPr>
        <w:t xml:space="preserve"> </w:t>
      </w:r>
      <w:r w:rsidRPr="001048FE">
        <w:rPr>
          <w:lang w:val="sl-SI"/>
        </w:rPr>
        <w:t>mobilnosti</w:t>
      </w:r>
      <w:r w:rsidRPr="001048FE">
        <w:rPr>
          <w:spacing w:val="-4"/>
          <w:lang w:val="sl-SI"/>
        </w:rPr>
        <w:t xml:space="preserve"> </w:t>
      </w:r>
      <w:r w:rsidRPr="001048FE">
        <w:rPr>
          <w:lang w:val="sl-SI"/>
        </w:rPr>
        <w:t>v</w:t>
      </w:r>
      <w:r w:rsidRPr="001048FE">
        <w:rPr>
          <w:spacing w:val="-4"/>
          <w:lang w:val="sl-SI"/>
        </w:rPr>
        <w:t xml:space="preserve"> </w:t>
      </w:r>
      <w:r w:rsidRPr="001048FE">
        <w:rPr>
          <w:lang w:val="sl-SI"/>
        </w:rPr>
        <w:t>državo</w:t>
      </w:r>
      <w:r w:rsidRPr="001048FE">
        <w:rPr>
          <w:spacing w:val="-4"/>
          <w:lang w:val="sl-SI"/>
        </w:rPr>
        <w:t xml:space="preserve"> </w:t>
      </w:r>
      <w:r w:rsidRPr="001048FE">
        <w:rPr>
          <w:lang w:val="sl-SI"/>
        </w:rPr>
        <w:t>z</w:t>
      </w:r>
      <w:r w:rsidRPr="001048FE">
        <w:rPr>
          <w:spacing w:val="-4"/>
          <w:lang w:val="sl-SI"/>
        </w:rPr>
        <w:t xml:space="preserve"> </w:t>
      </w:r>
      <w:r w:rsidRPr="001048FE">
        <w:rPr>
          <w:lang w:val="sl-SI"/>
        </w:rPr>
        <w:t>višjimi</w:t>
      </w:r>
      <w:r w:rsidRPr="001048FE">
        <w:rPr>
          <w:spacing w:val="-4"/>
          <w:lang w:val="sl-SI"/>
        </w:rPr>
        <w:t xml:space="preserve"> </w:t>
      </w:r>
      <w:r w:rsidRPr="001048FE">
        <w:rPr>
          <w:lang w:val="sl-SI"/>
        </w:rPr>
        <w:t>življenjskimi</w:t>
      </w:r>
      <w:r w:rsidRPr="001048FE">
        <w:rPr>
          <w:spacing w:val="-4"/>
          <w:lang w:val="sl-SI"/>
        </w:rPr>
        <w:t xml:space="preserve"> </w:t>
      </w:r>
      <w:r w:rsidRPr="001048FE">
        <w:rPr>
          <w:lang w:val="sl-SI"/>
        </w:rPr>
        <w:t>stroški:</w:t>
      </w:r>
      <w:r w:rsidRPr="001048FE">
        <w:rPr>
          <w:spacing w:val="-4"/>
          <w:lang w:val="sl-SI"/>
        </w:rPr>
        <w:t xml:space="preserve"> </w:t>
      </w:r>
      <w:r w:rsidRPr="001048FE">
        <w:rPr>
          <w:lang w:val="sl-SI"/>
        </w:rPr>
        <w:t>(a)</w:t>
      </w:r>
      <w:r w:rsidRPr="001048FE">
        <w:rPr>
          <w:spacing w:val="-4"/>
          <w:lang w:val="sl-SI"/>
        </w:rPr>
        <w:t xml:space="preserve"> </w:t>
      </w:r>
      <w:r w:rsidRPr="001048FE">
        <w:rPr>
          <w:lang w:val="sl-SI"/>
        </w:rPr>
        <w:t>iz</w:t>
      </w:r>
      <w:r w:rsidRPr="001048FE">
        <w:rPr>
          <w:spacing w:val="-4"/>
          <w:lang w:val="sl-SI"/>
        </w:rPr>
        <w:t xml:space="preserve"> </w:t>
      </w:r>
      <w:r w:rsidRPr="001048FE">
        <w:rPr>
          <w:lang w:val="sl-SI"/>
        </w:rPr>
        <w:t>skupine</w:t>
      </w:r>
      <w:r w:rsidRPr="001048FE">
        <w:rPr>
          <w:spacing w:val="-4"/>
          <w:lang w:val="sl-SI"/>
        </w:rPr>
        <w:t xml:space="preserve"> </w:t>
      </w:r>
      <w:r w:rsidRPr="001048FE">
        <w:rPr>
          <w:lang w:val="sl-SI"/>
        </w:rPr>
        <w:t>2</w:t>
      </w:r>
      <w:r w:rsidRPr="001048FE">
        <w:rPr>
          <w:spacing w:val="-4"/>
          <w:lang w:val="sl-SI"/>
        </w:rPr>
        <w:t xml:space="preserve"> </w:t>
      </w:r>
      <w:r w:rsidRPr="001048FE">
        <w:rPr>
          <w:lang w:val="sl-SI"/>
        </w:rPr>
        <w:t>v</w:t>
      </w:r>
      <w:r w:rsidRPr="001048FE">
        <w:rPr>
          <w:spacing w:val="-4"/>
          <w:lang w:val="sl-SI"/>
        </w:rPr>
        <w:t xml:space="preserve"> </w:t>
      </w:r>
      <w:r w:rsidRPr="001048FE">
        <w:rPr>
          <w:lang w:val="sl-SI"/>
        </w:rPr>
        <w:t>skupino</w:t>
      </w:r>
      <w:r w:rsidRPr="001048FE">
        <w:rPr>
          <w:spacing w:val="-4"/>
          <w:lang w:val="sl-SI"/>
        </w:rPr>
        <w:t xml:space="preserve"> </w:t>
      </w:r>
      <w:r w:rsidRPr="001048FE">
        <w:rPr>
          <w:lang w:val="sl-SI"/>
        </w:rPr>
        <w:t>1</w:t>
      </w:r>
      <w:r w:rsidRPr="001048FE">
        <w:rPr>
          <w:spacing w:val="-4"/>
          <w:lang w:val="sl-SI"/>
        </w:rPr>
        <w:t xml:space="preserve"> </w:t>
      </w:r>
      <w:r w:rsidRPr="001048FE">
        <w:rPr>
          <w:lang w:val="sl-SI"/>
        </w:rPr>
        <w:t>in (b) iz skupine 3 v skupini 1 in 2;</w:t>
      </w:r>
    </w:p>
    <w:p w14:paraId="7D398947" w14:textId="77777777" w:rsidR="00E03711" w:rsidRPr="001048FE" w:rsidRDefault="00E03711" w:rsidP="005115F2">
      <w:pPr>
        <w:pStyle w:val="Guide-NormalBulletpoints"/>
        <w:numPr>
          <w:ilvl w:val="0"/>
          <w:numId w:val="210"/>
        </w:numPr>
        <w:rPr>
          <w:lang w:val="sl-SI"/>
        </w:rPr>
      </w:pPr>
      <w:r w:rsidRPr="001048FE">
        <w:rPr>
          <w:u w:val="single"/>
          <w:lang w:val="sl-SI"/>
        </w:rPr>
        <w:t>nepovratna</w:t>
      </w:r>
      <w:r w:rsidRPr="001048FE">
        <w:rPr>
          <w:spacing w:val="-10"/>
          <w:u w:val="single"/>
          <w:lang w:val="sl-SI"/>
        </w:rPr>
        <w:t xml:space="preserve"> </w:t>
      </w:r>
      <w:r w:rsidRPr="001048FE">
        <w:rPr>
          <w:u w:val="single"/>
          <w:lang w:val="sl-SI"/>
        </w:rPr>
        <w:t>sredstva</w:t>
      </w:r>
      <w:r w:rsidRPr="001048FE">
        <w:rPr>
          <w:spacing w:val="-10"/>
          <w:u w:val="single"/>
          <w:lang w:val="sl-SI"/>
        </w:rPr>
        <w:t xml:space="preserve"> </w:t>
      </w:r>
      <w:r w:rsidRPr="001048FE">
        <w:rPr>
          <w:u w:val="single"/>
          <w:lang w:val="sl-SI"/>
        </w:rPr>
        <w:t>EU</w:t>
      </w:r>
      <w:r w:rsidRPr="001048FE">
        <w:rPr>
          <w:spacing w:val="-10"/>
          <w:u w:val="single"/>
          <w:lang w:val="sl-SI"/>
        </w:rPr>
        <w:t xml:space="preserve"> </w:t>
      </w:r>
      <w:r w:rsidRPr="001048FE">
        <w:rPr>
          <w:u w:val="single"/>
          <w:lang w:val="sl-SI"/>
        </w:rPr>
        <w:t>v</w:t>
      </w:r>
      <w:r w:rsidRPr="001048FE">
        <w:rPr>
          <w:spacing w:val="-10"/>
          <w:u w:val="single"/>
          <w:lang w:val="sl-SI"/>
        </w:rPr>
        <w:t xml:space="preserve"> </w:t>
      </w:r>
      <w:r w:rsidRPr="001048FE">
        <w:rPr>
          <w:u w:val="single"/>
          <w:lang w:val="sl-SI"/>
        </w:rPr>
        <w:t>nižji</w:t>
      </w:r>
      <w:r w:rsidRPr="001048FE">
        <w:rPr>
          <w:spacing w:val="-10"/>
          <w:u w:val="single"/>
          <w:lang w:val="sl-SI"/>
        </w:rPr>
        <w:t xml:space="preserve"> </w:t>
      </w:r>
      <w:r w:rsidRPr="001048FE">
        <w:rPr>
          <w:u w:val="single"/>
          <w:lang w:val="sl-SI"/>
        </w:rPr>
        <w:t>vrednosti</w:t>
      </w:r>
      <w:r w:rsidRPr="001048FE">
        <w:rPr>
          <w:lang w:val="sl-SI"/>
        </w:rPr>
        <w:t>:</w:t>
      </w:r>
      <w:r w:rsidRPr="001048FE">
        <w:rPr>
          <w:spacing w:val="-10"/>
          <w:lang w:val="sl-SI"/>
        </w:rPr>
        <w:t xml:space="preserve"> </w:t>
      </w:r>
      <w:r w:rsidRPr="001048FE">
        <w:rPr>
          <w:lang w:val="sl-SI"/>
        </w:rPr>
        <w:t>ustreza</w:t>
      </w:r>
      <w:r w:rsidRPr="001048FE">
        <w:rPr>
          <w:spacing w:val="-10"/>
          <w:lang w:val="sl-SI"/>
        </w:rPr>
        <w:t xml:space="preserve"> </w:t>
      </w:r>
      <w:r w:rsidRPr="001048FE">
        <w:rPr>
          <w:lang w:val="sl-SI"/>
        </w:rPr>
        <w:t>srednjim</w:t>
      </w:r>
      <w:r w:rsidRPr="001048FE">
        <w:rPr>
          <w:spacing w:val="-10"/>
          <w:lang w:val="sl-SI"/>
        </w:rPr>
        <w:t xml:space="preserve"> </w:t>
      </w:r>
      <w:r w:rsidRPr="001048FE">
        <w:rPr>
          <w:lang w:val="sl-SI"/>
        </w:rPr>
        <w:t>zneskom,</w:t>
      </w:r>
      <w:r w:rsidRPr="001048FE">
        <w:rPr>
          <w:spacing w:val="-10"/>
          <w:lang w:val="sl-SI"/>
        </w:rPr>
        <w:t xml:space="preserve"> </w:t>
      </w:r>
      <w:r w:rsidRPr="001048FE">
        <w:rPr>
          <w:lang w:val="sl-SI"/>
        </w:rPr>
        <w:t>ki</w:t>
      </w:r>
      <w:r w:rsidRPr="001048FE">
        <w:rPr>
          <w:spacing w:val="-10"/>
          <w:lang w:val="sl-SI"/>
        </w:rPr>
        <w:t xml:space="preserve"> </w:t>
      </w:r>
      <w:r w:rsidRPr="001048FE">
        <w:rPr>
          <w:lang w:val="sl-SI"/>
        </w:rPr>
        <w:t>jih</w:t>
      </w:r>
      <w:r w:rsidRPr="001048FE">
        <w:rPr>
          <w:spacing w:val="-10"/>
          <w:lang w:val="sl-SI"/>
        </w:rPr>
        <w:t xml:space="preserve"> </w:t>
      </w:r>
      <w:r w:rsidRPr="001048FE">
        <w:rPr>
          <w:lang w:val="sl-SI"/>
        </w:rPr>
        <w:t>opredeli</w:t>
      </w:r>
      <w:r w:rsidRPr="001048FE">
        <w:rPr>
          <w:spacing w:val="-9"/>
          <w:lang w:val="sl-SI"/>
        </w:rPr>
        <w:t xml:space="preserve"> </w:t>
      </w:r>
      <w:r w:rsidRPr="001048FE">
        <w:rPr>
          <w:lang w:val="sl-SI"/>
        </w:rPr>
        <w:t>nacionalna agencija</w:t>
      </w:r>
      <w:r w:rsidRPr="001048FE">
        <w:rPr>
          <w:spacing w:val="-11"/>
          <w:lang w:val="sl-SI"/>
        </w:rPr>
        <w:t xml:space="preserve"> </w:t>
      </w:r>
      <w:r w:rsidRPr="001048FE">
        <w:rPr>
          <w:u w:val="single"/>
          <w:lang w:val="sl-SI"/>
        </w:rPr>
        <w:t>in</w:t>
      </w:r>
      <w:r w:rsidRPr="001048FE">
        <w:rPr>
          <w:spacing w:val="-12"/>
          <w:u w:val="single"/>
          <w:lang w:val="sl-SI"/>
        </w:rPr>
        <w:t xml:space="preserve"> </w:t>
      </w:r>
      <w:r w:rsidRPr="001048FE">
        <w:rPr>
          <w:u w:val="single"/>
          <w:lang w:val="sl-SI"/>
        </w:rPr>
        <w:t>od</w:t>
      </w:r>
      <w:r w:rsidRPr="001048FE">
        <w:rPr>
          <w:spacing w:val="-11"/>
          <w:u w:val="single"/>
          <w:lang w:val="sl-SI"/>
        </w:rPr>
        <w:t xml:space="preserve"> </w:t>
      </w:r>
      <w:r w:rsidRPr="001048FE">
        <w:rPr>
          <w:u w:val="single"/>
          <w:lang w:val="sl-SI"/>
        </w:rPr>
        <w:t>katerih</w:t>
      </w:r>
      <w:r w:rsidRPr="001048FE">
        <w:rPr>
          <w:spacing w:val="-12"/>
          <w:u w:val="single"/>
          <w:lang w:val="sl-SI"/>
        </w:rPr>
        <w:t xml:space="preserve"> </w:t>
      </w:r>
      <w:r w:rsidRPr="001048FE">
        <w:rPr>
          <w:u w:val="single"/>
          <w:lang w:val="sl-SI"/>
        </w:rPr>
        <w:t>se</w:t>
      </w:r>
      <w:r w:rsidRPr="001048FE">
        <w:rPr>
          <w:spacing w:val="-12"/>
          <w:u w:val="single"/>
          <w:lang w:val="sl-SI"/>
        </w:rPr>
        <w:t xml:space="preserve"> </w:t>
      </w:r>
      <w:r w:rsidRPr="001048FE">
        <w:rPr>
          <w:u w:val="single"/>
          <w:lang w:val="sl-SI"/>
        </w:rPr>
        <w:t>odšteje</w:t>
      </w:r>
      <w:r w:rsidRPr="001048FE">
        <w:rPr>
          <w:spacing w:val="-11"/>
          <w:u w:val="single"/>
          <w:lang w:val="sl-SI"/>
        </w:rPr>
        <w:t xml:space="preserve"> </w:t>
      </w:r>
      <w:r w:rsidRPr="001048FE">
        <w:rPr>
          <w:u w:val="single"/>
          <w:lang w:val="sl-SI"/>
        </w:rPr>
        <w:t>vsaj</w:t>
      </w:r>
      <w:r w:rsidRPr="001048FE">
        <w:rPr>
          <w:spacing w:val="-12"/>
          <w:u w:val="single"/>
          <w:lang w:val="sl-SI"/>
        </w:rPr>
        <w:t xml:space="preserve"> </w:t>
      </w:r>
      <w:r w:rsidRPr="001048FE">
        <w:rPr>
          <w:u w:val="single"/>
          <w:lang w:val="sl-SI"/>
        </w:rPr>
        <w:t>50</w:t>
      </w:r>
      <w:r w:rsidRPr="001048FE">
        <w:rPr>
          <w:spacing w:val="-12"/>
          <w:u w:val="single"/>
          <w:lang w:val="sl-SI"/>
        </w:rPr>
        <w:t xml:space="preserve"> </w:t>
      </w:r>
      <w:r w:rsidRPr="001048FE">
        <w:rPr>
          <w:u w:val="single"/>
          <w:lang w:val="sl-SI"/>
        </w:rPr>
        <w:t>EUR</w:t>
      </w:r>
      <w:r w:rsidRPr="001048FE">
        <w:rPr>
          <w:spacing w:val="-13"/>
          <w:lang w:val="sl-SI"/>
        </w:rPr>
        <w:t xml:space="preserve"> </w:t>
      </w:r>
      <w:r w:rsidRPr="001048FE">
        <w:rPr>
          <w:lang w:val="sl-SI"/>
        </w:rPr>
        <w:t>ter</w:t>
      </w:r>
      <w:r w:rsidRPr="001048FE">
        <w:rPr>
          <w:spacing w:val="-12"/>
          <w:lang w:val="sl-SI"/>
        </w:rPr>
        <w:t xml:space="preserve"> </w:t>
      </w:r>
      <w:r w:rsidRPr="001048FE">
        <w:rPr>
          <w:lang w:val="sl-SI"/>
        </w:rPr>
        <w:t>znašajo</w:t>
      </w:r>
      <w:r w:rsidRPr="001048FE">
        <w:rPr>
          <w:spacing w:val="-12"/>
          <w:lang w:val="sl-SI"/>
        </w:rPr>
        <w:t xml:space="preserve"> </w:t>
      </w:r>
      <w:r w:rsidRPr="001048FE">
        <w:rPr>
          <w:lang w:val="sl-SI"/>
        </w:rPr>
        <w:t>od</w:t>
      </w:r>
      <w:r w:rsidRPr="001048FE">
        <w:rPr>
          <w:spacing w:val="-11"/>
          <w:lang w:val="sl-SI"/>
        </w:rPr>
        <w:t xml:space="preserve"> </w:t>
      </w:r>
      <w:r w:rsidRPr="001048FE">
        <w:rPr>
          <w:b/>
          <w:lang w:val="sl-SI"/>
        </w:rPr>
        <w:t>170</w:t>
      </w:r>
      <w:r w:rsidRPr="001048FE">
        <w:rPr>
          <w:b/>
          <w:spacing w:val="-7"/>
          <w:lang w:val="sl-SI"/>
        </w:rPr>
        <w:t xml:space="preserve"> </w:t>
      </w:r>
      <w:r w:rsidRPr="001048FE">
        <w:rPr>
          <w:b/>
          <w:lang w:val="sl-SI"/>
        </w:rPr>
        <w:t>do</w:t>
      </w:r>
      <w:r w:rsidRPr="001048FE">
        <w:rPr>
          <w:b/>
          <w:spacing w:val="-7"/>
          <w:lang w:val="sl-SI"/>
        </w:rPr>
        <w:t xml:space="preserve"> </w:t>
      </w:r>
      <w:r w:rsidRPr="001048FE">
        <w:rPr>
          <w:b/>
          <w:lang w:val="sl-SI"/>
        </w:rPr>
        <w:t>420</w:t>
      </w:r>
      <w:r w:rsidRPr="001048FE">
        <w:rPr>
          <w:b/>
          <w:spacing w:val="-7"/>
          <w:lang w:val="sl-SI"/>
        </w:rPr>
        <w:t xml:space="preserve"> </w:t>
      </w:r>
      <w:r w:rsidRPr="001048FE">
        <w:rPr>
          <w:b/>
          <w:lang w:val="sl-SI"/>
        </w:rPr>
        <w:t>EUR</w:t>
      </w:r>
      <w:r w:rsidRPr="001048FE">
        <w:rPr>
          <w:b/>
          <w:spacing w:val="-12"/>
          <w:lang w:val="sl-SI"/>
        </w:rPr>
        <w:t xml:space="preserve"> </w:t>
      </w:r>
      <w:r w:rsidRPr="001048FE">
        <w:rPr>
          <w:lang w:val="sl-SI"/>
        </w:rPr>
        <w:t>na</w:t>
      </w:r>
      <w:r w:rsidRPr="001048FE">
        <w:rPr>
          <w:spacing w:val="-12"/>
          <w:lang w:val="sl-SI"/>
        </w:rPr>
        <w:t xml:space="preserve"> </w:t>
      </w:r>
      <w:r w:rsidRPr="001048FE">
        <w:rPr>
          <w:lang w:val="sl-SI"/>
        </w:rPr>
        <w:t>mesec.</w:t>
      </w:r>
      <w:r w:rsidRPr="001048FE">
        <w:rPr>
          <w:spacing w:val="-12"/>
          <w:lang w:val="sl-SI"/>
        </w:rPr>
        <w:t xml:space="preserve"> </w:t>
      </w:r>
      <w:r w:rsidRPr="001048FE">
        <w:rPr>
          <w:lang w:val="sl-SI"/>
        </w:rPr>
        <w:t>Velja za aktivnosti mobilnosti v državo z nižjimi življenjskimi stroški: (a) iz skupine 1 v skupini 2 in 3 ter (b) iz skupine 2 v skupino</w:t>
      </w:r>
      <w:r w:rsidRPr="001048FE">
        <w:rPr>
          <w:spacing w:val="-17"/>
          <w:lang w:val="sl-SI"/>
        </w:rPr>
        <w:t xml:space="preserve"> </w:t>
      </w:r>
      <w:r w:rsidRPr="001048FE">
        <w:rPr>
          <w:lang w:val="sl-SI"/>
        </w:rPr>
        <w:t>3.</w:t>
      </w:r>
    </w:p>
    <w:p w14:paraId="7D398948" w14:textId="77777777" w:rsidR="00E03711" w:rsidRPr="001048FE" w:rsidRDefault="00E03711" w:rsidP="00A56665">
      <w:pPr>
        <w:pStyle w:val="GUIDE-NORMAL"/>
        <w:rPr>
          <w:rStyle w:val="Guide-Condensed-02"/>
          <w:lang w:val="sl-SI"/>
        </w:rPr>
      </w:pPr>
      <w:r w:rsidRPr="001048FE">
        <w:rPr>
          <w:rStyle w:val="Guide-Condensed-02"/>
          <w:lang w:val="sl-SI"/>
        </w:rPr>
        <w:t>Nacionalne agencije bodo pri opredeljevanju zneskov, ki bodo veljali za upravičence v njihovi državi, upoštevale dve posebni merili:</w:t>
      </w:r>
    </w:p>
    <w:p w14:paraId="7D398949" w14:textId="77777777" w:rsidR="00E03711" w:rsidRPr="001048FE" w:rsidRDefault="00E03711" w:rsidP="005115F2">
      <w:pPr>
        <w:pStyle w:val="Guide-NormalBulletpoints"/>
        <w:numPr>
          <w:ilvl w:val="0"/>
          <w:numId w:val="211"/>
        </w:numPr>
        <w:rPr>
          <w:lang w:val="sl-SI"/>
        </w:rPr>
      </w:pPr>
      <w:r w:rsidRPr="001048FE">
        <w:rPr>
          <w:lang w:val="sl-SI"/>
        </w:rPr>
        <w:t>razpoložljivost in višino sredstev iz drugih virov sofinanciranja od zasebnih ali javnih organov na lokalni, regionalni ali nacionalni ravni za dopolnitev nepovratnih sredstev EU;</w:t>
      </w:r>
    </w:p>
    <w:p w14:paraId="7D39894A" w14:textId="77777777" w:rsidR="00E03711" w:rsidRPr="001048FE" w:rsidRDefault="00E03711" w:rsidP="005115F2">
      <w:pPr>
        <w:pStyle w:val="Guide-NormalBulletpoints"/>
        <w:numPr>
          <w:ilvl w:val="0"/>
          <w:numId w:val="211"/>
        </w:numPr>
        <w:rPr>
          <w:lang w:val="sl-SI"/>
        </w:rPr>
      </w:pPr>
      <w:r w:rsidRPr="001048FE">
        <w:rPr>
          <w:lang w:val="sl-SI"/>
        </w:rPr>
        <w:t>splošno raven povpraševanja študentov, ki nameravajo študirati ali se usposabljati v tujini.</w:t>
      </w:r>
    </w:p>
    <w:p w14:paraId="7D39894B" w14:textId="77777777" w:rsidR="00E03711" w:rsidRPr="001048FE" w:rsidRDefault="00E03711" w:rsidP="00A56665">
      <w:pPr>
        <w:pStyle w:val="GUIDE-NORMAL"/>
        <w:rPr>
          <w:lang w:val="sl-SI"/>
        </w:rPr>
      </w:pPr>
      <w:r w:rsidRPr="001048FE">
        <w:rPr>
          <w:lang w:val="sl-SI"/>
        </w:rPr>
        <w:t>Nacionalne agencije lahko zagotovijo določeno mero prilagodljivosti za visokošolske institucije, tako da na nacionalni ravni namesto točnih zneskov opredelijo najnižje in najvišje vrednosti. Ta odločitev bi morala biti utemeljena, na primer v državah, kjer je na voljo sofinanciranje na regionalni ali institucionalni ravni.</w:t>
      </w:r>
    </w:p>
    <w:p w14:paraId="7D39894C" w14:textId="77777777" w:rsidR="00E03711" w:rsidRPr="001048FE" w:rsidRDefault="00E03711" w:rsidP="00A56665">
      <w:pPr>
        <w:pStyle w:val="Guide-Heading7"/>
        <w:rPr>
          <w:lang w:val="sl-SI"/>
        </w:rPr>
      </w:pPr>
      <w:r w:rsidRPr="001048FE">
        <w:rPr>
          <w:lang w:val="sl-SI"/>
        </w:rPr>
        <w:t>Mobilnost med državami Programa – Merilo 2 – Dodatna podpora za posebne ciljne skupine, aktivnosti in države/regije pošiljateljice</w:t>
      </w:r>
    </w:p>
    <w:p w14:paraId="7D39894D" w14:textId="77777777" w:rsidR="00E03711" w:rsidRPr="001048FE" w:rsidRDefault="00E03711" w:rsidP="00A56665">
      <w:pPr>
        <w:pStyle w:val="GUIDE-NORMAL"/>
        <w:rPr>
          <w:b/>
          <w:lang w:val="sl-SI"/>
        </w:rPr>
      </w:pPr>
      <w:r w:rsidRPr="001048FE">
        <w:rPr>
          <w:b/>
          <w:lang w:val="sl-SI"/>
        </w:rPr>
        <w:t>Študenti iz okolij z manj možnostmi (ki niso študenti s posebnimi potrebami)</w:t>
      </w:r>
    </w:p>
    <w:p w14:paraId="7D39894E" w14:textId="77777777" w:rsidR="00E03711" w:rsidRPr="001048FE" w:rsidRDefault="00E03711" w:rsidP="00A56665">
      <w:pPr>
        <w:pStyle w:val="GUIDE-NORMAL"/>
        <w:rPr>
          <w:b/>
          <w:lang w:val="sl-SI"/>
        </w:rPr>
      </w:pPr>
      <w:r w:rsidRPr="001048FE">
        <w:rPr>
          <w:lang w:val="sl-SI"/>
        </w:rPr>
        <w:t>Nacionalni</w:t>
      </w:r>
      <w:r w:rsidRPr="001048FE">
        <w:rPr>
          <w:spacing w:val="-13"/>
          <w:lang w:val="sl-SI"/>
        </w:rPr>
        <w:t xml:space="preserve"> </w:t>
      </w:r>
      <w:r w:rsidRPr="001048FE">
        <w:rPr>
          <w:lang w:val="sl-SI"/>
        </w:rPr>
        <w:t>organi</w:t>
      </w:r>
      <w:r w:rsidRPr="001048FE">
        <w:rPr>
          <w:spacing w:val="-12"/>
          <w:lang w:val="sl-SI"/>
        </w:rPr>
        <w:t xml:space="preserve"> </w:t>
      </w:r>
      <w:r w:rsidRPr="001048FE">
        <w:rPr>
          <w:lang w:val="sl-SI"/>
        </w:rPr>
        <w:t>se</w:t>
      </w:r>
      <w:r w:rsidRPr="001048FE">
        <w:rPr>
          <w:spacing w:val="-13"/>
          <w:lang w:val="sl-SI"/>
        </w:rPr>
        <w:t xml:space="preserve"> </w:t>
      </w:r>
      <w:r w:rsidRPr="001048FE">
        <w:rPr>
          <w:lang w:val="sl-SI"/>
        </w:rPr>
        <w:t>lahko</w:t>
      </w:r>
      <w:r w:rsidRPr="001048FE">
        <w:rPr>
          <w:spacing w:val="-13"/>
          <w:lang w:val="sl-SI"/>
        </w:rPr>
        <w:t xml:space="preserve"> </w:t>
      </w:r>
      <w:r w:rsidRPr="001048FE">
        <w:rPr>
          <w:lang w:val="sl-SI"/>
        </w:rPr>
        <w:t>skupaj</w:t>
      </w:r>
      <w:r w:rsidRPr="001048FE">
        <w:rPr>
          <w:spacing w:val="-13"/>
          <w:lang w:val="sl-SI"/>
        </w:rPr>
        <w:t xml:space="preserve"> </w:t>
      </w:r>
      <w:r w:rsidRPr="001048FE">
        <w:rPr>
          <w:lang w:val="sl-SI"/>
        </w:rPr>
        <w:t>z</w:t>
      </w:r>
      <w:r w:rsidRPr="001048FE">
        <w:rPr>
          <w:spacing w:val="-13"/>
          <w:lang w:val="sl-SI"/>
        </w:rPr>
        <w:t xml:space="preserve"> </w:t>
      </w:r>
      <w:r w:rsidRPr="001048FE">
        <w:rPr>
          <w:lang w:val="sl-SI"/>
        </w:rPr>
        <w:t>nacionalnimi</w:t>
      </w:r>
      <w:r w:rsidRPr="001048FE">
        <w:rPr>
          <w:spacing w:val="-13"/>
          <w:lang w:val="sl-SI"/>
        </w:rPr>
        <w:t xml:space="preserve"> </w:t>
      </w:r>
      <w:r w:rsidRPr="001048FE">
        <w:rPr>
          <w:lang w:val="sl-SI"/>
        </w:rPr>
        <w:t>agencijami,</w:t>
      </w:r>
      <w:r w:rsidRPr="001048FE">
        <w:rPr>
          <w:spacing w:val="-13"/>
          <w:lang w:val="sl-SI"/>
        </w:rPr>
        <w:t xml:space="preserve"> </w:t>
      </w:r>
      <w:r w:rsidRPr="001048FE">
        <w:rPr>
          <w:lang w:val="sl-SI"/>
        </w:rPr>
        <w:t>ki</w:t>
      </w:r>
      <w:r w:rsidRPr="001048FE">
        <w:rPr>
          <w:spacing w:val="-13"/>
          <w:lang w:val="sl-SI"/>
        </w:rPr>
        <w:t xml:space="preserve"> </w:t>
      </w:r>
      <w:r w:rsidRPr="001048FE">
        <w:rPr>
          <w:lang w:val="sl-SI"/>
        </w:rPr>
        <w:t>so</w:t>
      </w:r>
      <w:r w:rsidRPr="001048FE">
        <w:rPr>
          <w:spacing w:val="-13"/>
          <w:lang w:val="sl-SI"/>
        </w:rPr>
        <w:t xml:space="preserve"> </w:t>
      </w:r>
      <w:r w:rsidRPr="001048FE">
        <w:rPr>
          <w:lang w:val="sl-SI"/>
        </w:rPr>
        <w:t>odgovorne</w:t>
      </w:r>
      <w:r w:rsidRPr="001048FE">
        <w:rPr>
          <w:spacing w:val="-12"/>
          <w:lang w:val="sl-SI"/>
        </w:rPr>
        <w:t xml:space="preserve"> </w:t>
      </w:r>
      <w:r w:rsidRPr="001048FE">
        <w:rPr>
          <w:lang w:val="sl-SI"/>
        </w:rPr>
        <w:t>za</w:t>
      </w:r>
      <w:r w:rsidRPr="001048FE">
        <w:rPr>
          <w:spacing w:val="-13"/>
          <w:lang w:val="sl-SI"/>
        </w:rPr>
        <w:t xml:space="preserve"> </w:t>
      </w:r>
      <w:r w:rsidRPr="001048FE">
        <w:rPr>
          <w:lang w:val="sl-SI"/>
        </w:rPr>
        <w:t>izvajanje</w:t>
      </w:r>
      <w:r w:rsidRPr="001048FE">
        <w:rPr>
          <w:spacing w:val="-13"/>
          <w:lang w:val="sl-SI"/>
        </w:rPr>
        <w:t xml:space="preserve"> </w:t>
      </w:r>
      <w:r w:rsidRPr="001048FE">
        <w:rPr>
          <w:lang w:val="sl-SI"/>
        </w:rPr>
        <w:t>programa Erasmus+ v zadevni državi Programa, odločijo (na podlagi možnosti privolitve/odklonitve glede na podporo,</w:t>
      </w:r>
      <w:r w:rsidRPr="001048FE">
        <w:rPr>
          <w:spacing w:val="-10"/>
          <w:lang w:val="sl-SI"/>
        </w:rPr>
        <w:t xml:space="preserve"> </w:t>
      </w:r>
      <w:r w:rsidRPr="001048FE">
        <w:rPr>
          <w:lang w:val="sl-SI"/>
        </w:rPr>
        <w:t>ki</w:t>
      </w:r>
      <w:r w:rsidRPr="001048FE">
        <w:rPr>
          <w:spacing w:val="-10"/>
          <w:lang w:val="sl-SI"/>
        </w:rPr>
        <w:t xml:space="preserve"> </w:t>
      </w:r>
      <w:r w:rsidRPr="001048FE">
        <w:rPr>
          <w:lang w:val="sl-SI"/>
        </w:rPr>
        <w:t>je</w:t>
      </w:r>
      <w:r w:rsidRPr="001048FE">
        <w:rPr>
          <w:spacing w:val="-10"/>
          <w:lang w:val="sl-SI"/>
        </w:rPr>
        <w:t xml:space="preserve"> </w:t>
      </w:r>
      <w:r w:rsidRPr="001048FE">
        <w:rPr>
          <w:lang w:val="sl-SI"/>
        </w:rPr>
        <w:t>že</w:t>
      </w:r>
      <w:r w:rsidRPr="001048FE">
        <w:rPr>
          <w:spacing w:val="-10"/>
          <w:lang w:val="sl-SI"/>
        </w:rPr>
        <w:t xml:space="preserve"> </w:t>
      </w:r>
      <w:r w:rsidRPr="001048FE">
        <w:rPr>
          <w:lang w:val="sl-SI"/>
        </w:rPr>
        <w:t>zagotovljena</w:t>
      </w:r>
      <w:r w:rsidRPr="001048FE">
        <w:rPr>
          <w:spacing w:val="-10"/>
          <w:lang w:val="sl-SI"/>
        </w:rPr>
        <w:t xml:space="preserve"> </w:t>
      </w:r>
      <w:r w:rsidRPr="001048FE">
        <w:rPr>
          <w:lang w:val="sl-SI"/>
        </w:rPr>
        <w:t>na</w:t>
      </w:r>
      <w:r w:rsidRPr="001048FE">
        <w:rPr>
          <w:spacing w:val="-10"/>
          <w:lang w:val="sl-SI"/>
        </w:rPr>
        <w:t xml:space="preserve"> </w:t>
      </w:r>
      <w:r w:rsidRPr="001048FE">
        <w:rPr>
          <w:lang w:val="sl-SI"/>
        </w:rPr>
        <w:t>nacionalni</w:t>
      </w:r>
      <w:r w:rsidRPr="001048FE">
        <w:rPr>
          <w:spacing w:val="-10"/>
          <w:lang w:val="sl-SI"/>
        </w:rPr>
        <w:t xml:space="preserve"> </w:t>
      </w:r>
      <w:r w:rsidRPr="001048FE">
        <w:rPr>
          <w:lang w:val="sl-SI"/>
        </w:rPr>
        <w:t>ravni),</w:t>
      </w:r>
      <w:r w:rsidRPr="001048FE">
        <w:rPr>
          <w:spacing w:val="-10"/>
          <w:lang w:val="sl-SI"/>
        </w:rPr>
        <w:t xml:space="preserve"> </w:t>
      </w:r>
      <w:r w:rsidRPr="001048FE">
        <w:rPr>
          <w:lang w:val="sl-SI"/>
        </w:rPr>
        <w:t>da</w:t>
      </w:r>
      <w:r w:rsidRPr="001048FE">
        <w:rPr>
          <w:spacing w:val="-10"/>
          <w:lang w:val="sl-SI"/>
        </w:rPr>
        <w:t xml:space="preserve"> </w:t>
      </w:r>
      <w:r w:rsidRPr="001048FE">
        <w:rPr>
          <w:lang w:val="sl-SI"/>
        </w:rPr>
        <w:t>bi</w:t>
      </w:r>
      <w:r w:rsidRPr="001048FE">
        <w:rPr>
          <w:spacing w:val="-10"/>
          <w:lang w:val="sl-SI"/>
        </w:rPr>
        <w:t xml:space="preserve"> </w:t>
      </w:r>
      <w:r w:rsidRPr="001048FE">
        <w:rPr>
          <w:lang w:val="sl-SI"/>
        </w:rPr>
        <w:t>morale</w:t>
      </w:r>
      <w:r w:rsidRPr="001048FE">
        <w:rPr>
          <w:spacing w:val="-10"/>
          <w:lang w:val="sl-SI"/>
        </w:rPr>
        <w:t xml:space="preserve"> </w:t>
      </w:r>
      <w:r w:rsidRPr="001048FE">
        <w:rPr>
          <w:lang w:val="sl-SI"/>
        </w:rPr>
        <w:t>vse</w:t>
      </w:r>
      <w:r w:rsidRPr="001048FE">
        <w:rPr>
          <w:spacing w:val="-10"/>
          <w:lang w:val="sl-SI"/>
        </w:rPr>
        <w:t xml:space="preserve"> </w:t>
      </w:r>
      <w:r w:rsidRPr="001048FE">
        <w:rPr>
          <w:lang w:val="sl-SI"/>
        </w:rPr>
        <w:t>visokošolske</w:t>
      </w:r>
      <w:r w:rsidRPr="001048FE">
        <w:rPr>
          <w:spacing w:val="-10"/>
          <w:lang w:val="sl-SI"/>
        </w:rPr>
        <w:t xml:space="preserve"> </w:t>
      </w:r>
      <w:r w:rsidRPr="001048FE">
        <w:rPr>
          <w:lang w:val="sl-SI"/>
        </w:rPr>
        <w:t>institucije</w:t>
      </w:r>
      <w:r w:rsidRPr="001048FE">
        <w:rPr>
          <w:spacing w:val="-10"/>
          <w:lang w:val="sl-SI"/>
        </w:rPr>
        <w:t xml:space="preserve"> </w:t>
      </w:r>
      <w:r w:rsidRPr="001048FE">
        <w:rPr>
          <w:lang w:val="sl-SI"/>
        </w:rPr>
        <w:t>v</w:t>
      </w:r>
      <w:r w:rsidRPr="001048FE">
        <w:rPr>
          <w:spacing w:val="-10"/>
          <w:lang w:val="sl-SI"/>
        </w:rPr>
        <w:t xml:space="preserve"> </w:t>
      </w:r>
      <w:r w:rsidRPr="001048FE">
        <w:rPr>
          <w:lang w:val="sl-SI"/>
        </w:rPr>
        <w:t>njihovi državi zvišati individualno podporo v okviru njihovih nepovratnih sredstev EU za študente iz okolij z manj</w:t>
      </w:r>
      <w:r w:rsidRPr="001048FE">
        <w:rPr>
          <w:spacing w:val="-7"/>
          <w:lang w:val="sl-SI"/>
        </w:rPr>
        <w:t xml:space="preserve"> </w:t>
      </w:r>
      <w:r w:rsidRPr="001048FE">
        <w:rPr>
          <w:lang w:val="sl-SI"/>
        </w:rPr>
        <w:t>možnostmi</w:t>
      </w:r>
      <w:r w:rsidRPr="001048FE">
        <w:rPr>
          <w:spacing w:val="-7"/>
          <w:lang w:val="sl-SI"/>
        </w:rPr>
        <w:t xml:space="preserve"> </w:t>
      </w:r>
      <w:r w:rsidRPr="001048FE">
        <w:rPr>
          <w:lang w:val="sl-SI"/>
        </w:rPr>
        <w:t>(vključno</w:t>
      </w:r>
      <w:r w:rsidRPr="001048FE">
        <w:rPr>
          <w:spacing w:val="-7"/>
          <w:lang w:val="sl-SI"/>
        </w:rPr>
        <w:t xml:space="preserve"> </w:t>
      </w:r>
      <w:r w:rsidRPr="001048FE">
        <w:rPr>
          <w:lang w:val="sl-SI"/>
        </w:rPr>
        <w:t>z</w:t>
      </w:r>
      <w:r w:rsidRPr="001048FE">
        <w:rPr>
          <w:spacing w:val="-7"/>
          <w:lang w:val="sl-SI"/>
        </w:rPr>
        <w:t xml:space="preserve"> </w:t>
      </w:r>
      <w:r w:rsidRPr="001048FE">
        <w:rPr>
          <w:lang w:val="sl-SI"/>
        </w:rPr>
        <w:t>begunci,</w:t>
      </w:r>
      <w:r w:rsidRPr="001048FE">
        <w:rPr>
          <w:spacing w:val="-7"/>
          <w:lang w:val="sl-SI"/>
        </w:rPr>
        <w:t xml:space="preserve"> </w:t>
      </w:r>
      <w:r w:rsidRPr="001048FE">
        <w:rPr>
          <w:lang w:val="sl-SI"/>
        </w:rPr>
        <w:t>migranti,</w:t>
      </w:r>
      <w:r w:rsidRPr="001048FE">
        <w:rPr>
          <w:spacing w:val="-7"/>
          <w:lang w:val="sl-SI"/>
        </w:rPr>
        <w:t xml:space="preserve"> </w:t>
      </w:r>
      <w:r w:rsidRPr="001048FE">
        <w:rPr>
          <w:lang w:val="sl-SI"/>
        </w:rPr>
        <w:t>prosilci</w:t>
      </w:r>
      <w:r w:rsidRPr="001048FE">
        <w:rPr>
          <w:spacing w:val="-7"/>
          <w:lang w:val="sl-SI"/>
        </w:rPr>
        <w:t xml:space="preserve"> </w:t>
      </w:r>
      <w:r w:rsidRPr="001048FE">
        <w:rPr>
          <w:lang w:val="sl-SI"/>
        </w:rPr>
        <w:t>za</w:t>
      </w:r>
      <w:r w:rsidRPr="001048FE">
        <w:rPr>
          <w:spacing w:val="-7"/>
          <w:lang w:val="sl-SI"/>
        </w:rPr>
        <w:t xml:space="preserve"> </w:t>
      </w:r>
      <w:r w:rsidRPr="001048FE">
        <w:rPr>
          <w:lang w:val="sl-SI"/>
        </w:rPr>
        <w:t>azil)</w:t>
      </w:r>
      <w:r w:rsidRPr="001048FE">
        <w:rPr>
          <w:spacing w:val="-7"/>
          <w:lang w:val="sl-SI"/>
        </w:rPr>
        <w:t xml:space="preserve"> </w:t>
      </w:r>
      <w:r w:rsidRPr="001048FE">
        <w:rPr>
          <w:lang w:val="sl-SI"/>
        </w:rPr>
        <w:t>za</w:t>
      </w:r>
      <w:r w:rsidRPr="001048FE">
        <w:rPr>
          <w:spacing w:val="-7"/>
          <w:lang w:val="sl-SI"/>
        </w:rPr>
        <w:t xml:space="preserve"> </w:t>
      </w:r>
      <w:r w:rsidRPr="001048FE">
        <w:rPr>
          <w:lang w:val="sl-SI"/>
        </w:rPr>
        <w:t>enoten</w:t>
      </w:r>
      <w:r w:rsidRPr="001048FE">
        <w:rPr>
          <w:spacing w:val="-7"/>
          <w:lang w:val="sl-SI"/>
        </w:rPr>
        <w:t xml:space="preserve"> </w:t>
      </w:r>
      <w:r w:rsidRPr="001048FE">
        <w:rPr>
          <w:lang w:val="sl-SI"/>
        </w:rPr>
        <w:t>znesek</w:t>
      </w:r>
      <w:r w:rsidRPr="001048FE">
        <w:rPr>
          <w:spacing w:val="-5"/>
          <w:lang w:val="sl-SI"/>
        </w:rPr>
        <w:t xml:space="preserve"> </w:t>
      </w:r>
      <w:r w:rsidRPr="001048FE">
        <w:rPr>
          <w:b/>
          <w:lang w:val="sl-SI"/>
        </w:rPr>
        <w:t>od</w:t>
      </w:r>
      <w:r w:rsidRPr="001048FE">
        <w:rPr>
          <w:b/>
          <w:spacing w:val="-1"/>
          <w:lang w:val="sl-SI"/>
        </w:rPr>
        <w:t xml:space="preserve"> </w:t>
      </w:r>
      <w:r w:rsidRPr="001048FE">
        <w:rPr>
          <w:b/>
          <w:lang w:val="sl-SI"/>
        </w:rPr>
        <w:t>100</w:t>
      </w:r>
      <w:r w:rsidRPr="001048FE">
        <w:rPr>
          <w:b/>
          <w:spacing w:val="-1"/>
          <w:lang w:val="sl-SI"/>
        </w:rPr>
        <w:t xml:space="preserve"> </w:t>
      </w:r>
      <w:r w:rsidRPr="001048FE">
        <w:rPr>
          <w:b/>
          <w:lang w:val="sl-SI"/>
        </w:rPr>
        <w:t>do 200 EUR na mesec</w:t>
      </w:r>
      <w:r w:rsidRPr="001048FE">
        <w:rPr>
          <w:lang w:val="sl-SI"/>
        </w:rPr>
        <w:t>. Nacionalni organi bi na nacionalni ravni opredelili natančen enoten mesečni znesek in merila, ki naj bi se uporabila.</w:t>
      </w:r>
    </w:p>
    <w:p w14:paraId="7D39894F" w14:textId="77777777" w:rsidR="00E03711" w:rsidRPr="001048FE" w:rsidRDefault="00E03711" w:rsidP="00A56665">
      <w:pPr>
        <w:pStyle w:val="GUIDE-NORMAL"/>
        <w:rPr>
          <w:b/>
          <w:lang w:val="sl-SI"/>
        </w:rPr>
      </w:pPr>
      <w:r w:rsidRPr="001048FE">
        <w:rPr>
          <w:b/>
          <w:lang w:val="sl-SI"/>
        </w:rPr>
        <w:t>Študenti, ki opravljajo prakso</w:t>
      </w:r>
    </w:p>
    <w:p w14:paraId="7D398950" w14:textId="77777777" w:rsidR="00E03711" w:rsidRPr="001048FE" w:rsidRDefault="00E03711" w:rsidP="00A56665">
      <w:pPr>
        <w:pStyle w:val="GUIDE-NORMAL"/>
        <w:rPr>
          <w:lang w:val="sl-SI"/>
        </w:rPr>
      </w:pPr>
      <w:r w:rsidRPr="001048FE">
        <w:rPr>
          <w:lang w:val="sl-SI"/>
        </w:rPr>
        <w:t xml:space="preserve">Študenti, ki opravljajo prakso, bodo prejeli dodatni enkratni znesek iz nepovratnih sredstev EU v višini </w:t>
      </w:r>
      <w:r w:rsidRPr="001048FE">
        <w:rPr>
          <w:b/>
          <w:lang w:val="sl-SI"/>
        </w:rPr>
        <w:t>od 100 do 200 EUR na mesec</w:t>
      </w:r>
      <w:r w:rsidRPr="001048FE">
        <w:rPr>
          <w:lang w:val="sl-SI"/>
        </w:rPr>
        <w:t>. Nacionalne agencije in/ali visokošolske institucije bodo določile natančni znesek glede na povpraševanje in sofinanciranje za to vrsto mobilnosti. V vseh primerih</w:t>
      </w:r>
      <w:r w:rsidRPr="001048FE">
        <w:rPr>
          <w:spacing w:val="-6"/>
          <w:lang w:val="sl-SI"/>
        </w:rPr>
        <w:t xml:space="preserve"> </w:t>
      </w:r>
      <w:r w:rsidRPr="001048FE">
        <w:rPr>
          <w:lang w:val="sl-SI"/>
        </w:rPr>
        <w:t>bi</w:t>
      </w:r>
      <w:r w:rsidRPr="001048FE">
        <w:rPr>
          <w:spacing w:val="-6"/>
          <w:lang w:val="sl-SI"/>
        </w:rPr>
        <w:t xml:space="preserve"> </w:t>
      </w:r>
      <w:r w:rsidRPr="001048FE">
        <w:rPr>
          <w:lang w:val="sl-SI"/>
        </w:rPr>
        <w:t>morali</w:t>
      </w:r>
      <w:r w:rsidRPr="001048FE">
        <w:rPr>
          <w:spacing w:val="-6"/>
          <w:lang w:val="sl-SI"/>
        </w:rPr>
        <w:t xml:space="preserve"> </w:t>
      </w:r>
      <w:r w:rsidRPr="001048FE">
        <w:rPr>
          <w:lang w:val="sl-SI"/>
        </w:rPr>
        <w:t>vsi</w:t>
      </w:r>
      <w:r w:rsidRPr="001048FE">
        <w:rPr>
          <w:spacing w:val="-6"/>
          <w:lang w:val="sl-SI"/>
        </w:rPr>
        <w:t xml:space="preserve"> </w:t>
      </w:r>
      <w:r w:rsidRPr="001048FE">
        <w:rPr>
          <w:lang w:val="sl-SI"/>
        </w:rPr>
        <w:t>študenti</w:t>
      </w:r>
      <w:r w:rsidRPr="001048FE">
        <w:rPr>
          <w:spacing w:val="-6"/>
          <w:lang w:val="sl-SI"/>
        </w:rPr>
        <w:t xml:space="preserve"> </w:t>
      </w:r>
      <w:r w:rsidRPr="001048FE">
        <w:rPr>
          <w:lang w:val="sl-SI"/>
        </w:rPr>
        <w:t>iste</w:t>
      </w:r>
      <w:r w:rsidRPr="001048FE">
        <w:rPr>
          <w:spacing w:val="-6"/>
          <w:lang w:val="sl-SI"/>
        </w:rPr>
        <w:t xml:space="preserve"> </w:t>
      </w:r>
      <w:r w:rsidRPr="001048FE">
        <w:rPr>
          <w:lang w:val="sl-SI"/>
        </w:rPr>
        <w:t>visokošolske</w:t>
      </w:r>
      <w:r w:rsidRPr="001048FE">
        <w:rPr>
          <w:spacing w:val="-6"/>
          <w:lang w:val="sl-SI"/>
        </w:rPr>
        <w:t xml:space="preserve"> </w:t>
      </w:r>
      <w:r w:rsidRPr="001048FE">
        <w:rPr>
          <w:lang w:val="sl-SI"/>
        </w:rPr>
        <w:t>institucije</w:t>
      </w:r>
      <w:r w:rsidRPr="001048FE">
        <w:rPr>
          <w:spacing w:val="-6"/>
          <w:lang w:val="sl-SI"/>
        </w:rPr>
        <w:t xml:space="preserve"> </w:t>
      </w:r>
      <w:r w:rsidRPr="001048FE">
        <w:rPr>
          <w:lang w:val="sl-SI"/>
        </w:rPr>
        <w:t>prejeti</w:t>
      </w:r>
      <w:r w:rsidRPr="001048FE">
        <w:rPr>
          <w:spacing w:val="-6"/>
          <w:lang w:val="sl-SI"/>
        </w:rPr>
        <w:t xml:space="preserve"> </w:t>
      </w:r>
      <w:r w:rsidRPr="001048FE">
        <w:rPr>
          <w:lang w:val="sl-SI"/>
        </w:rPr>
        <w:t>enak</w:t>
      </w:r>
      <w:r w:rsidRPr="001048FE">
        <w:rPr>
          <w:spacing w:val="-6"/>
          <w:lang w:val="sl-SI"/>
        </w:rPr>
        <w:t xml:space="preserve"> </w:t>
      </w:r>
      <w:r w:rsidRPr="001048FE">
        <w:rPr>
          <w:lang w:val="sl-SI"/>
        </w:rPr>
        <w:t>znesek,</w:t>
      </w:r>
      <w:r w:rsidRPr="001048FE">
        <w:rPr>
          <w:spacing w:val="-6"/>
          <w:lang w:val="sl-SI"/>
        </w:rPr>
        <w:t xml:space="preserve"> </w:t>
      </w:r>
      <w:r w:rsidRPr="001048FE">
        <w:rPr>
          <w:lang w:val="sl-SI"/>
        </w:rPr>
        <w:t>ne</w:t>
      </w:r>
      <w:r w:rsidRPr="001048FE">
        <w:rPr>
          <w:spacing w:val="-6"/>
          <w:lang w:val="sl-SI"/>
        </w:rPr>
        <w:t xml:space="preserve"> </w:t>
      </w:r>
      <w:r w:rsidRPr="001048FE">
        <w:rPr>
          <w:lang w:val="sl-SI"/>
        </w:rPr>
        <w:t>glede</w:t>
      </w:r>
      <w:r w:rsidRPr="001048FE">
        <w:rPr>
          <w:spacing w:val="-6"/>
          <w:lang w:val="sl-SI"/>
        </w:rPr>
        <w:t xml:space="preserve"> </w:t>
      </w:r>
      <w:r w:rsidRPr="001048FE">
        <w:rPr>
          <w:lang w:val="sl-SI"/>
        </w:rPr>
        <w:t>na</w:t>
      </w:r>
      <w:r w:rsidRPr="001048FE">
        <w:rPr>
          <w:spacing w:val="-6"/>
          <w:lang w:val="sl-SI"/>
        </w:rPr>
        <w:t xml:space="preserve"> </w:t>
      </w:r>
      <w:r w:rsidRPr="001048FE">
        <w:rPr>
          <w:lang w:val="sl-SI"/>
        </w:rPr>
        <w:t>kakršna koli dodatna sredstva ali prispevke v naravi, ki jih študent morda prejme od podjetja, ki ga bo gostilo. Študenti iz okolij z manj možnostmi na praksi so upravičeni do dodatnega zneska iz prejšnjega</w:t>
      </w:r>
      <w:r w:rsidRPr="001048FE">
        <w:rPr>
          <w:spacing w:val="-24"/>
          <w:lang w:val="sl-SI"/>
        </w:rPr>
        <w:t xml:space="preserve"> </w:t>
      </w:r>
      <w:r w:rsidRPr="001048FE">
        <w:rPr>
          <w:lang w:val="sl-SI"/>
        </w:rPr>
        <w:t>odstavka</w:t>
      </w:r>
      <w:r w:rsidRPr="001048FE">
        <w:rPr>
          <w:spacing w:val="-23"/>
          <w:lang w:val="sl-SI"/>
        </w:rPr>
        <w:t xml:space="preserve"> </w:t>
      </w:r>
      <w:r w:rsidRPr="001048FE">
        <w:rPr>
          <w:lang w:val="sl-SI"/>
        </w:rPr>
        <w:t>namesto</w:t>
      </w:r>
      <w:r w:rsidRPr="001048FE">
        <w:rPr>
          <w:spacing w:val="-24"/>
          <w:lang w:val="sl-SI"/>
        </w:rPr>
        <w:t xml:space="preserve"> </w:t>
      </w:r>
      <w:r w:rsidRPr="001048FE">
        <w:rPr>
          <w:lang w:val="sl-SI"/>
        </w:rPr>
        <w:t>tega</w:t>
      </w:r>
      <w:r w:rsidRPr="001048FE">
        <w:rPr>
          <w:spacing w:val="-24"/>
          <w:lang w:val="sl-SI"/>
        </w:rPr>
        <w:t xml:space="preserve"> </w:t>
      </w:r>
      <w:r w:rsidRPr="001048FE">
        <w:rPr>
          <w:lang w:val="sl-SI"/>
        </w:rPr>
        <w:t>zneska,</w:t>
      </w:r>
      <w:r w:rsidRPr="001048FE">
        <w:rPr>
          <w:spacing w:val="-24"/>
          <w:lang w:val="sl-SI"/>
        </w:rPr>
        <w:t xml:space="preserve"> </w:t>
      </w:r>
      <w:r w:rsidRPr="001048FE">
        <w:rPr>
          <w:lang w:val="sl-SI"/>
        </w:rPr>
        <w:t>če</w:t>
      </w:r>
      <w:r w:rsidRPr="001048FE">
        <w:rPr>
          <w:spacing w:val="-24"/>
          <w:lang w:val="sl-SI"/>
        </w:rPr>
        <w:t xml:space="preserve"> </w:t>
      </w:r>
      <w:r w:rsidRPr="001048FE">
        <w:rPr>
          <w:lang w:val="sl-SI"/>
        </w:rPr>
        <w:t>je</w:t>
      </w:r>
      <w:r w:rsidRPr="001048FE">
        <w:rPr>
          <w:spacing w:val="-24"/>
          <w:lang w:val="sl-SI"/>
        </w:rPr>
        <w:t xml:space="preserve"> </w:t>
      </w:r>
      <w:r w:rsidRPr="001048FE">
        <w:rPr>
          <w:lang w:val="sl-SI"/>
        </w:rPr>
        <w:t>dodatni</w:t>
      </w:r>
      <w:r w:rsidRPr="001048FE">
        <w:rPr>
          <w:spacing w:val="-24"/>
          <w:lang w:val="sl-SI"/>
        </w:rPr>
        <w:t xml:space="preserve"> </w:t>
      </w:r>
      <w:r w:rsidRPr="001048FE">
        <w:rPr>
          <w:lang w:val="sl-SI"/>
        </w:rPr>
        <w:t>znesek</w:t>
      </w:r>
      <w:r w:rsidRPr="001048FE">
        <w:rPr>
          <w:spacing w:val="-24"/>
          <w:lang w:val="sl-SI"/>
        </w:rPr>
        <w:t xml:space="preserve"> </w:t>
      </w:r>
      <w:r w:rsidRPr="001048FE">
        <w:rPr>
          <w:lang w:val="sl-SI"/>
        </w:rPr>
        <w:t>za</w:t>
      </w:r>
      <w:r w:rsidRPr="001048FE">
        <w:rPr>
          <w:spacing w:val="-24"/>
          <w:lang w:val="sl-SI"/>
        </w:rPr>
        <w:t xml:space="preserve"> </w:t>
      </w:r>
      <w:r w:rsidRPr="001048FE">
        <w:rPr>
          <w:lang w:val="sl-SI"/>
        </w:rPr>
        <w:t>prakso</w:t>
      </w:r>
      <w:r w:rsidRPr="001048FE">
        <w:rPr>
          <w:spacing w:val="-24"/>
          <w:lang w:val="sl-SI"/>
        </w:rPr>
        <w:t xml:space="preserve"> </w:t>
      </w:r>
      <w:r w:rsidRPr="001048FE">
        <w:rPr>
          <w:lang w:val="sl-SI"/>
        </w:rPr>
        <w:t>nižji</w:t>
      </w:r>
      <w:r w:rsidRPr="001048FE">
        <w:rPr>
          <w:spacing w:val="-24"/>
          <w:lang w:val="sl-SI"/>
        </w:rPr>
        <w:t xml:space="preserve"> </w:t>
      </w:r>
      <w:r w:rsidRPr="001048FE">
        <w:rPr>
          <w:lang w:val="sl-SI"/>
        </w:rPr>
        <w:t>od</w:t>
      </w:r>
      <w:r w:rsidRPr="001048FE">
        <w:rPr>
          <w:spacing w:val="-23"/>
          <w:lang w:val="sl-SI"/>
        </w:rPr>
        <w:t xml:space="preserve"> </w:t>
      </w:r>
      <w:r w:rsidRPr="001048FE">
        <w:rPr>
          <w:lang w:val="sl-SI"/>
        </w:rPr>
        <w:t>dodatnega</w:t>
      </w:r>
      <w:r w:rsidRPr="001048FE">
        <w:rPr>
          <w:spacing w:val="-24"/>
          <w:lang w:val="sl-SI"/>
        </w:rPr>
        <w:t xml:space="preserve"> </w:t>
      </w:r>
      <w:r w:rsidRPr="001048FE">
        <w:rPr>
          <w:lang w:val="sl-SI"/>
        </w:rPr>
        <w:t>zneska iz prejšnjega</w:t>
      </w:r>
      <w:r w:rsidRPr="001048FE">
        <w:rPr>
          <w:spacing w:val="-5"/>
          <w:lang w:val="sl-SI"/>
        </w:rPr>
        <w:t xml:space="preserve"> </w:t>
      </w:r>
      <w:r w:rsidRPr="001048FE">
        <w:rPr>
          <w:lang w:val="sl-SI"/>
        </w:rPr>
        <w:t>odstavka.</w:t>
      </w:r>
    </w:p>
    <w:p w14:paraId="7D398951" w14:textId="77777777" w:rsidR="00E03711" w:rsidRPr="00860232" w:rsidRDefault="00E03711" w:rsidP="00A56665">
      <w:pPr>
        <w:pStyle w:val="GUIDE-NORMAL"/>
        <w:rPr>
          <w:b/>
          <w:bCs/>
          <w:lang w:val="sl-SI"/>
        </w:rPr>
      </w:pPr>
      <w:r w:rsidRPr="00860232">
        <w:rPr>
          <w:b/>
          <w:bCs/>
          <w:lang w:val="sl-SI"/>
        </w:rPr>
        <w:t>Študenti iz najbolj oddaljenih držav in regij Programa ter čezmorskih držav in ozemelj</w:t>
      </w:r>
    </w:p>
    <w:p w14:paraId="7D398952" w14:textId="77777777" w:rsidR="00E03711" w:rsidRPr="001048FE" w:rsidRDefault="00E03711" w:rsidP="00A56665">
      <w:pPr>
        <w:pStyle w:val="GUIDE-NORMAL"/>
        <w:rPr>
          <w:lang w:val="sl-SI"/>
        </w:rPr>
      </w:pPr>
      <w:r w:rsidRPr="001048FE">
        <w:rPr>
          <w:lang w:val="sl-SI"/>
        </w:rPr>
        <w:t>Ob upoštevanju omejitev zaradi oddaljenosti drugih držav Programa bodo študenti iz najbolj oddaljenih regij, Cipra, Islandije, Malte ter čezmorskih držav in ozemelj (</w:t>
      </w:r>
      <w:r>
        <w:rPr>
          <w:lang w:val="sl-SI"/>
        </w:rPr>
        <w:t>OCT</w:t>
      </w:r>
      <w:r w:rsidRPr="001048FE">
        <w:rPr>
          <w:lang w:val="sl-SI"/>
        </w:rPr>
        <w:t>) prejeli naslednje višje zneske za individualno podporo: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9"/>
        <w:gridCol w:w="2618"/>
        <w:gridCol w:w="3043"/>
      </w:tblGrid>
      <w:tr w:rsidR="00E03711" w:rsidRPr="008C6F8C" w14:paraId="7D398956" w14:textId="77777777" w:rsidTr="00A56665">
        <w:trPr>
          <w:trHeight w:val="113"/>
        </w:trPr>
        <w:tc>
          <w:tcPr>
            <w:tcW w:w="1953" w:type="pct"/>
            <w:shd w:val="clear" w:color="auto" w:fill="auto"/>
          </w:tcPr>
          <w:p w14:paraId="7D398953" w14:textId="77777777" w:rsidR="00E03711" w:rsidRPr="00F769E0" w:rsidRDefault="00E03711" w:rsidP="00A56665">
            <w:pPr>
              <w:pStyle w:val="Guide-Table"/>
              <w:rPr>
                <w:rFonts w:cs="Tahoma"/>
                <w:b/>
                <w:lang w:val="sl-SI" w:eastAsia="en-GB"/>
              </w:rPr>
            </w:pPr>
            <w:r w:rsidRPr="00F769E0">
              <w:rPr>
                <w:rFonts w:cs="Tahoma"/>
                <w:b/>
                <w:lang w:val="sl-SI" w:eastAsia="en-GB"/>
              </w:rPr>
              <w:t>Iz/s/z</w:t>
            </w:r>
          </w:p>
        </w:tc>
        <w:tc>
          <w:tcPr>
            <w:tcW w:w="1409" w:type="pct"/>
            <w:shd w:val="clear" w:color="auto" w:fill="auto"/>
          </w:tcPr>
          <w:p w14:paraId="7D398954" w14:textId="77777777" w:rsidR="00E03711" w:rsidRPr="00F769E0" w:rsidRDefault="00E03711" w:rsidP="00A56665">
            <w:pPr>
              <w:pStyle w:val="Guide-Table"/>
              <w:rPr>
                <w:rFonts w:cs="Tahoma"/>
                <w:b/>
                <w:lang w:val="sl-SI" w:eastAsia="en-GB"/>
              </w:rPr>
            </w:pPr>
            <w:r w:rsidRPr="00F769E0">
              <w:rPr>
                <w:rFonts w:cs="Tahoma"/>
                <w:b/>
                <w:lang w:val="sl-SI" w:eastAsia="en-GB"/>
              </w:rPr>
              <w:t>V</w:t>
            </w:r>
          </w:p>
        </w:tc>
        <w:tc>
          <w:tcPr>
            <w:tcW w:w="1638" w:type="pct"/>
            <w:shd w:val="clear" w:color="auto" w:fill="auto"/>
          </w:tcPr>
          <w:p w14:paraId="7D398955" w14:textId="77777777" w:rsidR="00E03711" w:rsidRPr="00F769E0" w:rsidRDefault="00E03711" w:rsidP="00A56665">
            <w:pPr>
              <w:pStyle w:val="Guide-Table"/>
              <w:rPr>
                <w:rFonts w:cs="Tahoma"/>
                <w:b/>
                <w:lang w:val="sl-SI" w:eastAsia="en-GB"/>
              </w:rPr>
            </w:pPr>
            <w:r w:rsidRPr="00F769E0">
              <w:rPr>
                <w:rFonts w:cs="Tahoma"/>
                <w:b/>
                <w:lang w:val="sl-SI" w:eastAsia="en-GB"/>
              </w:rPr>
              <w:t>Znesek</w:t>
            </w:r>
          </w:p>
        </w:tc>
      </w:tr>
      <w:tr w:rsidR="00E03711" w:rsidRPr="008C6F8C" w14:paraId="7D39895A" w14:textId="77777777" w:rsidTr="00C33AAE">
        <w:trPr>
          <w:trHeight w:val="113"/>
        </w:trPr>
        <w:tc>
          <w:tcPr>
            <w:tcW w:w="1953" w:type="pct"/>
            <w:vMerge w:val="restart"/>
            <w:shd w:val="clear" w:color="auto" w:fill="auto"/>
            <w:vAlign w:val="center"/>
          </w:tcPr>
          <w:p w14:paraId="7D398957" w14:textId="77777777" w:rsidR="00E03711" w:rsidRPr="00F769E0" w:rsidRDefault="00E03711" w:rsidP="00C33AAE">
            <w:pPr>
              <w:pStyle w:val="Guide-Table"/>
              <w:spacing w:before="60" w:after="60"/>
              <w:rPr>
                <w:rFonts w:cs="Tahoma"/>
                <w:lang w:val="sl-SI" w:eastAsia="en-GB"/>
              </w:rPr>
            </w:pPr>
            <w:r w:rsidRPr="00F769E0">
              <w:rPr>
                <w:rFonts w:cs="Tahoma"/>
                <w:lang w:val="sl-SI" w:eastAsia="en-GB"/>
              </w:rPr>
              <w:t xml:space="preserve">najbolj oddaljene regije, Ciper, Islandija </w:t>
            </w:r>
            <w:r w:rsidRPr="00F769E0">
              <w:rPr>
                <w:rFonts w:cs="Tahoma"/>
                <w:lang w:val="sl-SI" w:eastAsia="en-GB"/>
              </w:rPr>
              <w:br/>
              <w:t>in Malta, čezmorske države in ozemlja</w:t>
            </w:r>
          </w:p>
        </w:tc>
        <w:tc>
          <w:tcPr>
            <w:tcW w:w="1409" w:type="pct"/>
            <w:shd w:val="clear" w:color="auto" w:fill="auto"/>
            <w:vAlign w:val="center"/>
          </w:tcPr>
          <w:p w14:paraId="7D398958" w14:textId="77777777" w:rsidR="00E03711" w:rsidRPr="00F769E0" w:rsidRDefault="00E03711" w:rsidP="00C33AAE">
            <w:pPr>
              <w:pStyle w:val="Guide-Table"/>
              <w:spacing w:before="60" w:after="60"/>
              <w:rPr>
                <w:rFonts w:cs="Tahoma"/>
                <w:lang w:val="sl-SI" w:eastAsia="en-GB"/>
              </w:rPr>
            </w:pPr>
            <w:r w:rsidRPr="00F769E0">
              <w:rPr>
                <w:rStyle w:val="GUIDE-NORMALChar"/>
                <w:rFonts w:cs="Tahoma"/>
                <w:lang w:val="sl-SI" w:eastAsia="en-GB"/>
              </w:rPr>
              <w:t xml:space="preserve">države iz skupine </w:t>
            </w:r>
            <w:r w:rsidRPr="00F769E0">
              <w:rPr>
                <w:rFonts w:cs="Tahoma"/>
                <w:lang w:val="sl-SI" w:eastAsia="en-GB"/>
              </w:rPr>
              <w:t>1</w:t>
            </w:r>
          </w:p>
        </w:tc>
        <w:tc>
          <w:tcPr>
            <w:tcW w:w="1638" w:type="pct"/>
            <w:shd w:val="clear" w:color="auto" w:fill="auto"/>
            <w:vAlign w:val="center"/>
          </w:tcPr>
          <w:p w14:paraId="7D398959" w14:textId="77777777" w:rsidR="00E03711" w:rsidRPr="00F769E0" w:rsidRDefault="00E03711" w:rsidP="00C33AAE">
            <w:pPr>
              <w:pStyle w:val="Guide-Table"/>
              <w:spacing w:before="60" w:after="60"/>
              <w:rPr>
                <w:rFonts w:cs="Tahoma"/>
                <w:lang w:val="sl-SI" w:eastAsia="en-GB"/>
              </w:rPr>
            </w:pPr>
            <w:r w:rsidRPr="00F769E0">
              <w:rPr>
                <w:rFonts w:cs="Tahoma"/>
                <w:lang w:val="sl-SI" w:eastAsia="en-GB"/>
              </w:rPr>
              <w:t>770 EUR na mesec</w:t>
            </w:r>
          </w:p>
        </w:tc>
      </w:tr>
      <w:tr w:rsidR="00E03711" w:rsidRPr="008C6F8C" w14:paraId="7D39895E" w14:textId="77777777" w:rsidTr="00C33AAE">
        <w:trPr>
          <w:trHeight w:val="113"/>
        </w:trPr>
        <w:tc>
          <w:tcPr>
            <w:tcW w:w="1953" w:type="pct"/>
            <w:vMerge/>
            <w:shd w:val="clear" w:color="auto" w:fill="auto"/>
            <w:vAlign w:val="center"/>
          </w:tcPr>
          <w:p w14:paraId="7D39895B" w14:textId="77777777" w:rsidR="00E03711" w:rsidRPr="00F769E0" w:rsidRDefault="00E03711" w:rsidP="00C33AAE">
            <w:pPr>
              <w:pStyle w:val="Guide-Table"/>
              <w:spacing w:before="60" w:after="60"/>
              <w:rPr>
                <w:rFonts w:cs="Tahoma"/>
                <w:lang w:val="sl-SI" w:eastAsia="en-GB"/>
              </w:rPr>
            </w:pPr>
          </w:p>
        </w:tc>
        <w:tc>
          <w:tcPr>
            <w:tcW w:w="1409" w:type="pct"/>
            <w:shd w:val="clear" w:color="auto" w:fill="auto"/>
            <w:vAlign w:val="center"/>
          </w:tcPr>
          <w:p w14:paraId="7D39895C" w14:textId="77777777" w:rsidR="00E03711" w:rsidRPr="00F769E0" w:rsidRDefault="00E03711" w:rsidP="00C33AAE">
            <w:pPr>
              <w:pStyle w:val="Guide-Table"/>
              <w:spacing w:before="60" w:after="60"/>
              <w:rPr>
                <w:rFonts w:cs="Tahoma"/>
                <w:lang w:val="sl-SI" w:eastAsia="en-GB"/>
              </w:rPr>
            </w:pPr>
            <w:r w:rsidRPr="00F769E0">
              <w:rPr>
                <w:rStyle w:val="GUIDE-NORMALChar"/>
                <w:rFonts w:cs="Tahoma"/>
                <w:lang w:val="sl-SI" w:eastAsia="en-GB"/>
              </w:rPr>
              <w:t xml:space="preserve">države iz skupine </w:t>
            </w:r>
            <w:r w:rsidRPr="00F769E0">
              <w:rPr>
                <w:rFonts w:cs="Tahoma"/>
                <w:lang w:val="sl-SI" w:eastAsia="en-GB"/>
              </w:rPr>
              <w:t>2</w:t>
            </w:r>
          </w:p>
        </w:tc>
        <w:tc>
          <w:tcPr>
            <w:tcW w:w="1638" w:type="pct"/>
            <w:shd w:val="clear" w:color="auto" w:fill="auto"/>
            <w:vAlign w:val="center"/>
          </w:tcPr>
          <w:p w14:paraId="7D39895D" w14:textId="77777777" w:rsidR="00E03711" w:rsidRPr="00F769E0" w:rsidRDefault="00E03711" w:rsidP="00C33AAE">
            <w:pPr>
              <w:pStyle w:val="Guide-Table"/>
              <w:spacing w:before="60" w:after="60"/>
              <w:rPr>
                <w:rFonts w:cs="Tahoma"/>
                <w:lang w:val="sl-SI" w:eastAsia="en-GB"/>
              </w:rPr>
            </w:pPr>
            <w:r w:rsidRPr="00F769E0">
              <w:rPr>
                <w:rFonts w:cs="Tahoma"/>
                <w:lang w:val="sl-SI" w:eastAsia="en-GB"/>
              </w:rPr>
              <w:t>720 EUR na mesec</w:t>
            </w:r>
          </w:p>
        </w:tc>
      </w:tr>
      <w:tr w:rsidR="00E03711" w:rsidRPr="008C6F8C" w14:paraId="7D398962" w14:textId="77777777" w:rsidTr="00C33AAE">
        <w:trPr>
          <w:trHeight w:val="113"/>
        </w:trPr>
        <w:tc>
          <w:tcPr>
            <w:tcW w:w="1953" w:type="pct"/>
            <w:vMerge/>
            <w:shd w:val="clear" w:color="auto" w:fill="auto"/>
            <w:vAlign w:val="center"/>
          </w:tcPr>
          <w:p w14:paraId="7D39895F" w14:textId="77777777" w:rsidR="00E03711" w:rsidRPr="00F769E0" w:rsidRDefault="00E03711" w:rsidP="00C33AAE">
            <w:pPr>
              <w:pStyle w:val="Guide-Table"/>
              <w:spacing w:before="60" w:after="60"/>
              <w:rPr>
                <w:rFonts w:cs="Tahoma"/>
                <w:lang w:val="sl-SI" w:eastAsia="en-GB"/>
              </w:rPr>
            </w:pPr>
          </w:p>
        </w:tc>
        <w:tc>
          <w:tcPr>
            <w:tcW w:w="1409" w:type="pct"/>
            <w:shd w:val="clear" w:color="auto" w:fill="auto"/>
            <w:vAlign w:val="center"/>
          </w:tcPr>
          <w:p w14:paraId="7D398960" w14:textId="77777777" w:rsidR="00E03711" w:rsidRPr="00F769E0" w:rsidRDefault="00E03711" w:rsidP="00C33AAE">
            <w:pPr>
              <w:pStyle w:val="Guide-Table"/>
              <w:spacing w:before="60" w:after="60"/>
              <w:rPr>
                <w:rFonts w:cs="Tahoma"/>
                <w:lang w:val="sl-SI" w:eastAsia="en-GB"/>
              </w:rPr>
            </w:pPr>
            <w:r w:rsidRPr="00F769E0">
              <w:rPr>
                <w:rStyle w:val="GUIDE-NORMALChar"/>
                <w:rFonts w:cs="Tahoma"/>
                <w:lang w:val="sl-SI" w:eastAsia="en-GB"/>
              </w:rPr>
              <w:t xml:space="preserve">države iz skupine </w:t>
            </w:r>
            <w:r w:rsidRPr="00F769E0">
              <w:rPr>
                <w:rFonts w:cs="Tahoma"/>
                <w:lang w:val="sl-SI" w:eastAsia="en-GB"/>
              </w:rPr>
              <w:t>2</w:t>
            </w:r>
          </w:p>
        </w:tc>
        <w:tc>
          <w:tcPr>
            <w:tcW w:w="1638" w:type="pct"/>
            <w:shd w:val="clear" w:color="auto" w:fill="auto"/>
            <w:vAlign w:val="center"/>
          </w:tcPr>
          <w:p w14:paraId="7D398961" w14:textId="77777777" w:rsidR="00E03711" w:rsidRPr="00F769E0" w:rsidRDefault="00E03711" w:rsidP="00C33AAE">
            <w:pPr>
              <w:pStyle w:val="Guide-Table"/>
              <w:spacing w:before="60" w:after="60"/>
              <w:rPr>
                <w:rFonts w:cs="Tahoma"/>
                <w:lang w:val="sl-SI" w:eastAsia="en-GB"/>
              </w:rPr>
            </w:pPr>
            <w:r w:rsidRPr="00F769E0">
              <w:rPr>
                <w:rFonts w:cs="Tahoma"/>
                <w:lang w:val="sl-SI" w:eastAsia="en-GB"/>
              </w:rPr>
              <w:t>670 EUR na mesec</w:t>
            </w:r>
          </w:p>
        </w:tc>
      </w:tr>
    </w:tbl>
    <w:p w14:paraId="7D398963" w14:textId="77777777" w:rsidR="00E03711" w:rsidRPr="001048FE" w:rsidRDefault="00E03711" w:rsidP="006F6C8B">
      <w:pPr>
        <w:pStyle w:val="GUIDE-NORMAL"/>
        <w:rPr>
          <w:lang w:val="sl-SI"/>
        </w:rPr>
      </w:pPr>
      <w:r w:rsidRPr="001048FE">
        <w:rPr>
          <w:lang w:val="sl-SI"/>
        </w:rPr>
        <w:t>Študenti</w:t>
      </w:r>
      <w:r w:rsidRPr="001048FE">
        <w:rPr>
          <w:spacing w:val="-14"/>
          <w:lang w:val="sl-SI"/>
        </w:rPr>
        <w:t xml:space="preserve"> </w:t>
      </w:r>
      <w:r w:rsidRPr="001048FE">
        <w:rPr>
          <w:lang w:val="sl-SI"/>
        </w:rPr>
        <w:t>iz</w:t>
      </w:r>
      <w:r w:rsidRPr="001048FE">
        <w:rPr>
          <w:spacing w:val="-14"/>
          <w:lang w:val="sl-SI"/>
        </w:rPr>
        <w:t xml:space="preserve"> </w:t>
      </w:r>
      <w:r w:rsidRPr="001048FE">
        <w:rPr>
          <w:lang w:val="sl-SI"/>
        </w:rPr>
        <w:t>teh</w:t>
      </w:r>
      <w:r w:rsidRPr="001048FE">
        <w:rPr>
          <w:spacing w:val="-14"/>
          <w:lang w:val="sl-SI"/>
        </w:rPr>
        <w:t xml:space="preserve"> </w:t>
      </w:r>
      <w:r w:rsidRPr="001048FE">
        <w:rPr>
          <w:lang w:val="sl-SI"/>
        </w:rPr>
        <w:t>držav</w:t>
      </w:r>
      <w:r w:rsidRPr="001048FE">
        <w:rPr>
          <w:spacing w:val="-14"/>
          <w:lang w:val="sl-SI"/>
        </w:rPr>
        <w:t xml:space="preserve"> </w:t>
      </w:r>
      <w:r w:rsidRPr="001048FE">
        <w:rPr>
          <w:lang w:val="sl-SI"/>
        </w:rPr>
        <w:t>bodo</w:t>
      </w:r>
      <w:r w:rsidRPr="001048FE">
        <w:rPr>
          <w:spacing w:val="-14"/>
          <w:lang w:val="sl-SI"/>
        </w:rPr>
        <w:t xml:space="preserve"> </w:t>
      </w:r>
      <w:r w:rsidRPr="001048FE">
        <w:rPr>
          <w:lang w:val="sl-SI"/>
        </w:rPr>
        <w:t>poleg</w:t>
      </w:r>
      <w:r w:rsidRPr="001048FE">
        <w:rPr>
          <w:spacing w:val="-14"/>
          <w:lang w:val="sl-SI"/>
        </w:rPr>
        <w:t xml:space="preserve"> </w:t>
      </w:r>
      <w:r w:rsidRPr="001048FE">
        <w:rPr>
          <w:lang w:val="sl-SI"/>
        </w:rPr>
        <w:t>zgoraj</w:t>
      </w:r>
      <w:r w:rsidRPr="001048FE">
        <w:rPr>
          <w:spacing w:val="-14"/>
          <w:lang w:val="sl-SI"/>
        </w:rPr>
        <w:t xml:space="preserve"> </w:t>
      </w:r>
      <w:r w:rsidRPr="001048FE">
        <w:rPr>
          <w:lang w:val="sl-SI"/>
        </w:rPr>
        <w:t>navedenih</w:t>
      </w:r>
      <w:r w:rsidRPr="001048FE">
        <w:rPr>
          <w:spacing w:val="-14"/>
          <w:lang w:val="sl-SI"/>
        </w:rPr>
        <w:t xml:space="preserve"> </w:t>
      </w:r>
      <w:r w:rsidRPr="001048FE">
        <w:rPr>
          <w:lang w:val="sl-SI"/>
        </w:rPr>
        <w:t>zneskov</w:t>
      </w:r>
      <w:r w:rsidRPr="001048FE">
        <w:rPr>
          <w:spacing w:val="-14"/>
          <w:lang w:val="sl-SI"/>
        </w:rPr>
        <w:t xml:space="preserve"> </w:t>
      </w:r>
      <w:r w:rsidRPr="001048FE">
        <w:rPr>
          <w:lang w:val="sl-SI"/>
        </w:rPr>
        <w:t>za</w:t>
      </w:r>
      <w:r w:rsidRPr="001048FE">
        <w:rPr>
          <w:spacing w:val="-14"/>
          <w:lang w:val="sl-SI"/>
        </w:rPr>
        <w:t xml:space="preserve"> </w:t>
      </w:r>
      <w:r w:rsidRPr="001048FE">
        <w:rPr>
          <w:lang w:val="sl-SI"/>
        </w:rPr>
        <w:t>individualno</w:t>
      </w:r>
      <w:r w:rsidRPr="001048FE">
        <w:rPr>
          <w:spacing w:val="-14"/>
          <w:lang w:val="sl-SI"/>
        </w:rPr>
        <w:t xml:space="preserve"> </w:t>
      </w:r>
      <w:r w:rsidRPr="001048FE">
        <w:rPr>
          <w:lang w:val="sl-SI"/>
        </w:rPr>
        <w:t>podporo</w:t>
      </w:r>
      <w:r w:rsidRPr="001048FE">
        <w:rPr>
          <w:spacing w:val="-14"/>
          <w:lang w:val="sl-SI"/>
        </w:rPr>
        <w:t xml:space="preserve"> </w:t>
      </w:r>
      <w:r w:rsidRPr="001048FE">
        <w:rPr>
          <w:lang w:val="sl-SI"/>
        </w:rPr>
        <w:t>prejeli</w:t>
      </w:r>
      <w:r w:rsidRPr="001048FE">
        <w:rPr>
          <w:spacing w:val="-14"/>
          <w:lang w:val="sl-SI"/>
        </w:rPr>
        <w:t xml:space="preserve"> </w:t>
      </w:r>
      <w:r w:rsidRPr="001048FE">
        <w:rPr>
          <w:lang w:val="sl-SI"/>
        </w:rPr>
        <w:t>naslednje dodatne zneske za kritje potnih</w:t>
      </w:r>
      <w:r w:rsidRPr="001048FE">
        <w:rPr>
          <w:spacing w:val="-13"/>
          <w:lang w:val="sl-SI"/>
        </w:rPr>
        <w:t xml:space="preserve"> </w:t>
      </w:r>
      <w:r w:rsidRPr="001048FE">
        <w:rPr>
          <w:lang w:val="sl-SI"/>
        </w:rPr>
        <w:t>stroškov: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4622"/>
        <w:gridCol w:w="4622"/>
      </w:tblGrid>
      <w:tr w:rsidR="00E03711" w:rsidRPr="008C6F8C" w14:paraId="7D398966" w14:textId="77777777" w:rsidTr="00237696">
        <w:trPr>
          <w:trHeight w:val="227"/>
        </w:trPr>
        <w:tc>
          <w:tcPr>
            <w:tcW w:w="2500" w:type="pct"/>
            <w:tcBorders>
              <w:bottom w:val="single" w:sz="4" w:space="0" w:color="auto"/>
            </w:tcBorders>
            <w:shd w:val="clear" w:color="auto" w:fill="FFFFFF"/>
            <w:vAlign w:val="center"/>
          </w:tcPr>
          <w:p w14:paraId="7D398964" w14:textId="77777777" w:rsidR="00E03711" w:rsidRPr="00F769E0" w:rsidRDefault="00E03711" w:rsidP="00C33AAE">
            <w:pPr>
              <w:pStyle w:val="Guide-Table"/>
              <w:spacing w:before="20" w:after="20"/>
              <w:rPr>
                <w:rFonts w:cs="Tahoma"/>
                <w:b/>
                <w:snapToGrid w:val="0"/>
                <w:lang w:val="sl-SI" w:eastAsia="en-GB"/>
              </w:rPr>
            </w:pPr>
            <w:r w:rsidRPr="00F769E0">
              <w:rPr>
                <w:rFonts w:cs="Tahoma"/>
                <w:b/>
                <w:lang w:val="sl-SI" w:eastAsia="en-GB"/>
              </w:rPr>
              <w:t>Razdalje</w:t>
            </w:r>
            <w:r w:rsidRPr="00F769E0">
              <w:rPr>
                <w:rStyle w:val="FootnoteReference"/>
                <w:rFonts w:cs="Tahoma"/>
                <w:lang w:val="sl-SI" w:eastAsia="en-GB"/>
              </w:rPr>
              <w:t xml:space="preserve"> </w:t>
            </w:r>
            <w:r w:rsidRPr="00F769E0">
              <w:rPr>
                <w:rStyle w:val="FootnoteReference"/>
                <w:rFonts w:cs="Tahoma"/>
                <w:lang w:val="sl-SI" w:eastAsia="en-GB"/>
              </w:rPr>
              <w:footnoteReference w:id="35"/>
            </w:r>
          </w:p>
        </w:tc>
        <w:tc>
          <w:tcPr>
            <w:tcW w:w="2500" w:type="pct"/>
            <w:tcBorders>
              <w:bottom w:val="single" w:sz="4" w:space="0" w:color="auto"/>
            </w:tcBorders>
            <w:shd w:val="clear" w:color="auto" w:fill="FFFFFF"/>
            <w:vAlign w:val="center"/>
          </w:tcPr>
          <w:p w14:paraId="7D398965" w14:textId="77777777" w:rsidR="00E03711" w:rsidRPr="00F769E0" w:rsidRDefault="00E03711" w:rsidP="00C33AAE">
            <w:pPr>
              <w:pStyle w:val="Guide-Table"/>
              <w:spacing w:before="20" w:after="20"/>
              <w:rPr>
                <w:rFonts w:cs="Tahoma"/>
                <w:b/>
                <w:snapToGrid w:val="0"/>
                <w:lang w:val="sl-SI" w:eastAsia="en-GB"/>
              </w:rPr>
            </w:pPr>
            <w:r w:rsidRPr="00F769E0">
              <w:rPr>
                <w:rFonts w:cs="Tahoma"/>
                <w:b/>
                <w:snapToGrid w:val="0"/>
                <w:lang w:val="sl-SI" w:eastAsia="en-GB"/>
              </w:rPr>
              <w:t>Znesek</w:t>
            </w:r>
          </w:p>
        </w:tc>
      </w:tr>
      <w:tr w:rsidR="00E03711" w:rsidRPr="008C6F8C" w14:paraId="7D398969" w14:textId="77777777" w:rsidTr="00C949E6">
        <w:trPr>
          <w:trHeight w:val="227"/>
        </w:trPr>
        <w:tc>
          <w:tcPr>
            <w:tcW w:w="2500" w:type="pct"/>
            <w:vAlign w:val="center"/>
          </w:tcPr>
          <w:p w14:paraId="7D398967" w14:textId="77777777" w:rsidR="00E03711" w:rsidRPr="00F769E0" w:rsidRDefault="00E03711" w:rsidP="00A56665">
            <w:pPr>
              <w:pStyle w:val="Guide-Table"/>
              <w:spacing w:before="20" w:after="20"/>
              <w:rPr>
                <w:rFonts w:cs="Tahoma"/>
                <w:snapToGrid w:val="0"/>
                <w:lang w:val="sl-SI" w:eastAsia="en-GB"/>
              </w:rPr>
            </w:pPr>
            <w:r w:rsidRPr="00F769E0">
              <w:rPr>
                <w:rStyle w:val="GUIDE-NORMALChar"/>
                <w:rFonts w:cs="Tahoma"/>
                <w:lang w:val="sl-SI" w:eastAsia="en-GB"/>
              </w:rPr>
              <w:t>od</w:t>
            </w:r>
            <w:r w:rsidRPr="00F769E0">
              <w:rPr>
                <w:rFonts w:cs="Tahoma"/>
                <w:snapToGrid w:val="0"/>
                <w:lang w:val="sl-SI" w:eastAsia="en-GB"/>
              </w:rPr>
              <w:t xml:space="preserve"> 10 do 99 km:</w:t>
            </w:r>
          </w:p>
        </w:tc>
        <w:tc>
          <w:tcPr>
            <w:tcW w:w="2500" w:type="pct"/>
            <w:vAlign w:val="center"/>
          </w:tcPr>
          <w:p w14:paraId="7D398968" w14:textId="77777777" w:rsidR="00E03711" w:rsidRPr="00F769E0" w:rsidRDefault="00E03711" w:rsidP="00A56665">
            <w:pPr>
              <w:pStyle w:val="Guide-Table"/>
              <w:rPr>
                <w:rFonts w:cs="Tahoma"/>
                <w:snapToGrid w:val="0"/>
                <w:lang w:val="sl-SI" w:eastAsia="en-GB"/>
              </w:rPr>
            </w:pPr>
            <w:r w:rsidRPr="00F769E0">
              <w:rPr>
                <w:rFonts w:cs="Tahoma"/>
                <w:snapToGrid w:val="0"/>
                <w:lang w:val="sl-SI" w:eastAsia="en-GB"/>
              </w:rPr>
              <w:t xml:space="preserve">20 </w:t>
            </w:r>
            <w:r w:rsidRPr="00F769E0">
              <w:rPr>
                <w:rFonts w:cs="Tahoma"/>
                <w:lang w:val="sl-SI" w:eastAsia="en-GB"/>
              </w:rPr>
              <w:t>EUR na</w:t>
            </w:r>
            <w:r w:rsidRPr="00F769E0">
              <w:rPr>
                <w:rFonts w:cs="Tahoma"/>
                <w:spacing w:val="2"/>
                <w:lang w:val="sl-SI" w:eastAsia="en-GB"/>
              </w:rPr>
              <w:t xml:space="preserve"> </w:t>
            </w:r>
            <w:r w:rsidRPr="00F769E0">
              <w:rPr>
                <w:rFonts w:cs="Tahoma"/>
                <w:lang w:val="sl-SI" w:eastAsia="en-GB"/>
              </w:rPr>
              <w:t>udeleženca</w:t>
            </w:r>
          </w:p>
        </w:tc>
      </w:tr>
      <w:tr w:rsidR="00E03711" w:rsidRPr="008C6F8C" w14:paraId="7D39896C" w14:textId="77777777" w:rsidTr="00C949E6">
        <w:trPr>
          <w:trHeight w:val="227"/>
        </w:trPr>
        <w:tc>
          <w:tcPr>
            <w:tcW w:w="2500" w:type="pct"/>
            <w:vAlign w:val="center"/>
          </w:tcPr>
          <w:p w14:paraId="7D39896A" w14:textId="77777777" w:rsidR="00E03711" w:rsidRPr="00F769E0" w:rsidRDefault="00E03711" w:rsidP="00C33AAE">
            <w:pPr>
              <w:pStyle w:val="Guide-Table"/>
              <w:spacing w:before="20" w:after="20"/>
              <w:rPr>
                <w:rFonts w:cs="Tahoma"/>
                <w:snapToGrid w:val="0"/>
                <w:lang w:val="sl-SI" w:eastAsia="en-GB"/>
              </w:rPr>
            </w:pPr>
            <w:r w:rsidRPr="00F769E0">
              <w:rPr>
                <w:rStyle w:val="GUIDE-NORMALChar"/>
                <w:rFonts w:cs="Tahoma"/>
                <w:lang w:val="sl-SI" w:eastAsia="en-GB"/>
              </w:rPr>
              <w:t>od</w:t>
            </w:r>
            <w:r w:rsidRPr="00F769E0">
              <w:rPr>
                <w:rFonts w:cs="Tahoma"/>
                <w:snapToGrid w:val="0"/>
                <w:lang w:val="sl-SI" w:eastAsia="en-GB"/>
              </w:rPr>
              <w:t xml:space="preserve"> 100 do 499 km:</w:t>
            </w:r>
          </w:p>
        </w:tc>
        <w:tc>
          <w:tcPr>
            <w:tcW w:w="2500" w:type="pct"/>
            <w:vAlign w:val="center"/>
          </w:tcPr>
          <w:p w14:paraId="7D39896B" w14:textId="77777777" w:rsidR="00E03711" w:rsidRPr="00F769E0" w:rsidRDefault="00E03711" w:rsidP="00C33AAE">
            <w:pPr>
              <w:pStyle w:val="Guide-Table"/>
              <w:spacing w:before="20" w:after="20"/>
              <w:rPr>
                <w:rFonts w:cs="Tahoma"/>
                <w:snapToGrid w:val="0"/>
                <w:lang w:val="sl-SI" w:eastAsia="en-GB"/>
              </w:rPr>
            </w:pPr>
            <w:r w:rsidRPr="00F769E0">
              <w:rPr>
                <w:rFonts w:cs="Tahoma"/>
                <w:snapToGrid w:val="0"/>
                <w:lang w:val="sl-SI" w:eastAsia="en-GB"/>
              </w:rPr>
              <w:t xml:space="preserve">180 </w:t>
            </w:r>
            <w:r w:rsidRPr="00F769E0">
              <w:rPr>
                <w:rFonts w:cs="Tahoma"/>
                <w:lang w:val="sl-SI" w:eastAsia="en-GB"/>
              </w:rPr>
              <w:t>EUR na</w:t>
            </w:r>
            <w:r w:rsidRPr="00F769E0">
              <w:rPr>
                <w:rFonts w:cs="Tahoma"/>
                <w:spacing w:val="2"/>
                <w:lang w:val="sl-SI" w:eastAsia="en-GB"/>
              </w:rPr>
              <w:t xml:space="preserve"> </w:t>
            </w:r>
            <w:r w:rsidRPr="00F769E0">
              <w:rPr>
                <w:rFonts w:cs="Tahoma"/>
                <w:lang w:val="sl-SI" w:eastAsia="en-GB"/>
              </w:rPr>
              <w:t>udeleženca</w:t>
            </w:r>
          </w:p>
        </w:tc>
      </w:tr>
      <w:tr w:rsidR="00E03711" w:rsidRPr="008C6F8C" w14:paraId="7D39896F" w14:textId="77777777" w:rsidTr="00C949E6">
        <w:trPr>
          <w:trHeight w:val="227"/>
        </w:trPr>
        <w:tc>
          <w:tcPr>
            <w:tcW w:w="2500" w:type="pct"/>
            <w:vAlign w:val="center"/>
          </w:tcPr>
          <w:p w14:paraId="7D39896D" w14:textId="77777777" w:rsidR="00E03711" w:rsidRPr="00F769E0" w:rsidRDefault="00E03711" w:rsidP="00C33AAE">
            <w:pPr>
              <w:pStyle w:val="Guide-Table"/>
              <w:spacing w:before="20" w:after="20"/>
              <w:rPr>
                <w:rFonts w:cs="Tahoma"/>
                <w:snapToGrid w:val="0"/>
                <w:lang w:val="sl-SI" w:eastAsia="en-GB"/>
              </w:rPr>
            </w:pPr>
            <w:r w:rsidRPr="00F769E0">
              <w:rPr>
                <w:rStyle w:val="GUIDE-NORMALChar"/>
                <w:rFonts w:cs="Tahoma"/>
                <w:lang w:val="sl-SI" w:eastAsia="en-GB"/>
              </w:rPr>
              <w:t>od</w:t>
            </w:r>
            <w:r w:rsidRPr="00F769E0">
              <w:rPr>
                <w:rFonts w:cs="Tahoma"/>
                <w:snapToGrid w:val="0"/>
                <w:lang w:val="sl-SI" w:eastAsia="en-GB"/>
              </w:rPr>
              <w:t xml:space="preserve"> 500 do 1 999 km:</w:t>
            </w:r>
          </w:p>
        </w:tc>
        <w:tc>
          <w:tcPr>
            <w:tcW w:w="2500" w:type="pct"/>
            <w:vAlign w:val="center"/>
          </w:tcPr>
          <w:p w14:paraId="7D39896E" w14:textId="77777777" w:rsidR="00E03711" w:rsidRPr="00F769E0" w:rsidRDefault="00E03711" w:rsidP="00C33AAE">
            <w:pPr>
              <w:pStyle w:val="Guide-Table"/>
              <w:spacing w:before="20" w:after="20"/>
              <w:rPr>
                <w:rFonts w:cs="Tahoma"/>
                <w:snapToGrid w:val="0"/>
                <w:lang w:val="sl-SI" w:eastAsia="en-GB"/>
              </w:rPr>
            </w:pPr>
            <w:r w:rsidRPr="00F769E0">
              <w:rPr>
                <w:rFonts w:cs="Tahoma"/>
                <w:snapToGrid w:val="0"/>
                <w:lang w:val="sl-SI" w:eastAsia="en-GB"/>
              </w:rPr>
              <w:t xml:space="preserve">275 </w:t>
            </w:r>
            <w:r w:rsidRPr="00F769E0">
              <w:rPr>
                <w:rFonts w:cs="Tahoma"/>
                <w:lang w:val="sl-SI" w:eastAsia="en-GB"/>
              </w:rPr>
              <w:t>EUR na</w:t>
            </w:r>
            <w:r w:rsidRPr="00F769E0">
              <w:rPr>
                <w:rFonts w:cs="Tahoma"/>
                <w:spacing w:val="2"/>
                <w:lang w:val="sl-SI" w:eastAsia="en-GB"/>
              </w:rPr>
              <w:t xml:space="preserve"> </w:t>
            </w:r>
            <w:r w:rsidRPr="00F769E0">
              <w:rPr>
                <w:rFonts w:cs="Tahoma"/>
                <w:lang w:val="sl-SI" w:eastAsia="en-GB"/>
              </w:rPr>
              <w:t>udeleženca</w:t>
            </w:r>
          </w:p>
        </w:tc>
      </w:tr>
      <w:tr w:rsidR="00E03711" w:rsidRPr="008C6F8C" w14:paraId="7D398972" w14:textId="77777777" w:rsidTr="00C949E6">
        <w:trPr>
          <w:trHeight w:val="227"/>
        </w:trPr>
        <w:tc>
          <w:tcPr>
            <w:tcW w:w="2500" w:type="pct"/>
            <w:vAlign w:val="center"/>
          </w:tcPr>
          <w:p w14:paraId="7D398970" w14:textId="77777777" w:rsidR="00E03711" w:rsidRPr="00F769E0" w:rsidRDefault="00E03711" w:rsidP="00C33AAE">
            <w:pPr>
              <w:pStyle w:val="Guide-Table"/>
              <w:spacing w:before="20" w:after="20"/>
              <w:rPr>
                <w:rFonts w:cs="Tahoma"/>
                <w:snapToGrid w:val="0"/>
                <w:lang w:val="sl-SI" w:eastAsia="en-GB"/>
              </w:rPr>
            </w:pPr>
            <w:r w:rsidRPr="00F769E0">
              <w:rPr>
                <w:rStyle w:val="GUIDE-NORMALChar"/>
                <w:rFonts w:cs="Tahoma"/>
                <w:lang w:val="sl-SI" w:eastAsia="en-GB"/>
              </w:rPr>
              <w:t>od</w:t>
            </w:r>
            <w:r w:rsidRPr="00F769E0">
              <w:rPr>
                <w:rFonts w:cs="Tahoma"/>
                <w:snapToGrid w:val="0"/>
                <w:lang w:val="sl-SI" w:eastAsia="en-GB"/>
              </w:rPr>
              <w:t xml:space="preserve"> 2 000 do 2 999 km:</w:t>
            </w:r>
          </w:p>
        </w:tc>
        <w:tc>
          <w:tcPr>
            <w:tcW w:w="2500" w:type="pct"/>
            <w:vAlign w:val="center"/>
          </w:tcPr>
          <w:p w14:paraId="7D398971" w14:textId="77777777" w:rsidR="00E03711" w:rsidRPr="00F769E0" w:rsidRDefault="00E03711" w:rsidP="00C33AAE">
            <w:pPr>
              <w:pStyle w:val="Guide-Table"/>
              <w:spacing w:before="20" w:after="20"/>
              <w:rPr>
                <w:rFonts w:cs="Tahoma"/>
                <w:snapToGrid w:val="0"/>
                <w:lang w:val="sl-SI" w:eastAsia="en-GB"/>
              </w:rPr>
            </w:pPr>
            <w:r w:rsidRPr="00F769E0">
              <w:rPr>
                <w:rFonts w:cs="Tahoma"/>
                <w:snapToGrid w:val="0"/>
                <w:lang w:val="sl-SI" w:eastAsia="en-GB"/>
              </w:rPr>
              <w:t xml:space="preserve">360 </w:t>
            </w:r>
            <w:r w:rsidRPr="00F769E0">
              <w:rPr>
                <w:rFonts w:cs="Tahoma"/>
                <w:lang w:val="sl-SI" w:eastAsia="en-GB"/>
              </w:rPr>
              <w:t>EUR na</w:t>
            </w:r>
            <w:r w:rsidRPr="00F769E0">
              <w:rPr>
                <w:rFonts w:cs="Tahoma"/>
                <w:spacing w:val="2"/>
                <w:lang w:val="sl-SI" w:eastAsia="en-GB"/>
              </w:rPr>
              <w:t xml:space="preserve"> </w:t>
            </w:r>
            <w:r w:rsidRPr="00F769E0">
              <w:rPr>
                <w:rFonts w:cs="Tahoma"/>
                <w:lang w:val="sl-SI" w:eastAsia="en-GB"/>
              </w:rPr>
              <w:t>udeleženca</w:t>
            </w:r>
          </w:p>
        </w:tc>
      </w:tr>
      <w:tr w:rsidR="00E03711" w:rsidRPr="008C6F8C" w14:paraId="7D398975" w14:textId="77777777" w:rsidTr="00C949E6">
        <w:trPr>
          <w:trHeight w:val="227"/>
        </w:trPr>
        <w:tc>
          <w:tcPr>
            <w:tcW w:w="2500" w:type="pct"/>
            <w:vAlign w:val="center"/>
          </w:tcPr>
          <w:p w14:paraId="7D398973" w14:textId="77777777" w:rsidR="00E03711" w:rsidRPr="00F769E0" w:rsidRDefault="00E03711" w:rsidP="00C33AAE">
            <w:pPr>
              <w:pStyle w:val="Guide-Table"/>
              <w:spacing w:before="20" w:after="20"/>
              <w:rPr>
                <w:rFonts w:cs="Tahoma"/>
                <w:snapToGrid w:val="0"/>
                <w:lang w:val="sl-SI" w:eastAsia="en-GB"/>
              </w:rPr>
            </w:pPr>
            <w:r w:rsidRPr="00F769E0">
              <w:rPr>
                <w:rStyle w:val="GUIDE-NORMALChar"/>
                <w:rFonts w:cs="Tahoma"/>
                <w:lang w:val="sl-SI" w:eastAsia="en-GB"/>
              </w:rPr>
              <w:t>od</w:t>
            </w:r>
            <w:r w:rsidRPr="00F769E0">
              <w:rPr>
                <w:rFonts w:cs="Tahoma"/>
                <w:snapToGrid w:val="0"/>
                <w:lang w:val="sl-SI" w:eastAsia="en-GB"/>
              </w:rPr>
              <w:t xml:space="preserve"> 3 000 do 3 999 km:</w:t>
            </w:r>
          </w:p>
        </w:tc>
        <w:tc>
          <w:tcPr>
            <w:tcW w:w="2500" w:type="pct"/>
            <w:vAlign w:val="center"/>
          </w:tcPr>
          <w:p w14:paraId="7D398974" w14:textId="77777777" w:rsidR="00E03711" w:rsidRPr="00F769E0" w:rsidRDefault="00E03711" w:rsidP="00C33AAE">
            <w:pPr>
              <w:pStyle w:val="Guide-Table"/>
              <w:spacing w:before="20" w:after="20"/>
              <w:rPr>
                <w:rFonts w:cs="Tahoma"/>
                <w:snapToGrid w:val="0"/>
                <w:lang w:val="sl-SI" w:eastAsia="en-GB"/>
              </w:rPr>
            </w:pPr>
            <w:r w:rsidRPr="00F769E0">
              <w:rPr>
                <w:rFonts w:cs="Tahoma"/>
                <w:snapToGrid w:val="0"/>
                <w:lang w:val="sl-SI" w:eastAsia="en-GB"/>
              </w:rPr>
              <w:t xml:space="preserve">530 </w:t>
            </w:r>
            <w:r w:rsidRPr="00F769E0">
              <w:rPr>
                <w:rFonts w:cs="Tahoma"/>
                <w:lang w:val="sl-SI" w:eastAsia="en-GB"/>
              </w:rPr>
              <w:t>EUR na</w:t>
            </w:r>
            <w:r w:rsidRPr="00F769E0">
              <w:rPr>
                <w:rFonts w:cs="Tahoma"/>
                <w:spacing w:val="2"/>
                <w:lang w:val="sl-SI" w:eastAsia="en-GB"/>
              </w:rPr>
              <w:t xml:space="preserve"> </w:t>
            </w:r>
            <w:r w:rsidRPr="00F769E0">
              <w:rPr>
                <w:rFonts w:cs="Tahoma"/>
                <w:lang w:val="sl-SI" w:eastAsia="en-GB"/>
              </w:rPr>
              <w:t>udeleženca</w:t>
            </w:r>
          </w:p>
        </w:tc>
      </w:tr>
      <w:tr w:rsidR="00E03711" w:rsidRPr="008C6F8C" w14:paraId="7D398978" w14:textId="77777777" w:rsidTr="00C949E6">
        <w:trPr>
          <w:trHeight w:val="227"/>
        </w:trPr>
        <w:tc>
          <w:tcPr>
            <w:tcW w:w="2500" w:type="pct"/>
            <w:vAlign w:val="center"/>
          </w:tcPr>
          <w:p w14:paraId="7D398976" w14:textId="77777777" w:rsidR="00E03711" w:rsidRPr="00F769E0" w:rsidRDefault="00E03711" w:rsidP="00C33AAE">
            <w:pPr>
              <w:pStyle w:val="Guide-Table"/>
              <w:spacing w:before="20" w:after="20"/>
              <w:rPr>
                <w:rFonts w:cs="Tahoma"/>
                <w:snapToGrid w:val="0"/>
                <w:lang w:val="sl-SI" w:eastAsia="en-GB"/>
              </w:rPr>
            </w:pPr>
            <w:r w:rsidRPr="00F769E0">
              <w:rPr>
                <w:rStyle w:val="GUIDE-NORMALChar"/>
                <w:rFonts w:cs="Tahoma"/>
                <w:lang w:val="sl-SI" w:eastAsia="en-GB"/>
              </w:rPr>
              <w:t>od</w:t>
            </w:r>
            <w:r w:rsidRPr="00F769E0">
              <w:rPr>
                <w:rFonts w:cs="Tahoma"/>
                <w:snapToGrid w:val="0"/>
                <w:lang w:val="sl-SI" w:eastAsia="en-GB"/>
              </w:rPr>
              <w:t xml:space="preserve"> 4 000 do 7 999 km:</w:t>
            </w:r>
          </w:p>
        </w:tc>
        <w:tc>
          <w:tcPr>
            <w:tcW w:w="2500" w:type="pct"/>
            <w:vAlign w:val="center"/>
          </w:tcPr>
          <w:p w14:paraId="7D398977" w14:textId="77777777" w:rsidR="00E03711" w:rsidRPr="00F769E0" w:rsidRDefault="00E03711" w:rsidP="00C33AAE">
            <w:pPr>
              <w:pStyle w:val="Guide-Table"/>
              <w:spacing w:before="20" w:after="20"/>
              <w:rPr>
                <w:rFonts w:cs="Tahoma"/>
                <w:snapToGrid w:val="0"/>
                <w:lang w:val="sl-SI" w:eastAsia="en-GB"/>
              </w:rPr>
            </w:pPr>
            <w:r w:rsidRPr="00F769E0">
              <w:rPr>
                <w:rFonts w:cs="Tahoma"/>
                <w:snapToGrid w:val="0"/>
                <w:lang w:val="sl-SI" w:eastAsia="en-GB"/>
              </w:rPr>
              <w:t xml:space="preserve">820 </w:t>
            </w:r>
            <w:r w:rsidRPr="00F769E0">
              <w:rPr>
                <w:rFonts w:cs="Tahoma"/>
                <w:lang w:val="sl-SI" w:eastAsia="en-GB"/>
              </w:rPr>
              <w:t>EUR na</w:t>
            </w:r>
            <w:r w:rsidRPr="00F769E0">
              <w:rPr>
                <w:rFonts w:cs="Tahoma"/>
                <w:spacing w:val="2"/>
                <w:lang w:val="sl-SI" w:eastAsia="en-GB"/>
              </w:rPr>
              <w:t xml:space="preserve"> </w:t>
            </w:r>
            <w:r w:rsidRPr="00F769E0">
              <w:rPr>
                <w:rFonts w:cs="Tahoma"/>
                <w:lang w:val="sl-SI" w:eastAsia="en-GB"/>
              </w:rPr>
              <w:t>udeleženca</w:t>
            </w:r>
          </w:p>
        </w:tc>
      </w:tr>
      <w:tr w:rsidR="00E03711" w:rsidRPr="008C6F8C" w14:paraId="7D39897B" w14:textId="77777777" w:rsidTr="00C949E6">
        <w:trPr>
          <w:trHeight w:val="227"/>
        </w:trPr>
        <w:tc>
          <w:tcPr>
            <w:tcW w:w="2500" w:type="pct"/>
            <w:vAlign w:val="center"/>
          </w:tcPr>
          <w:p w14:paraId="7D398979" w14:textId="77777777" w:rsidR="00E03711" w:rsidRPr="00F769E0" w:rsidRDefault="00E03711" w:rsidP="00C33AAE">
            <w:pPr>
              <w:pStyle w:val="Guide-Table"/>
              <w:spacing w:before="20" w:after="20"/>
              <w:rPr>
                <w:rFonts w:cs="Tahoma"/>
                <w:snapToGrid w:val="0"/>
                <w:lang w:val="sl-SI" w:eastAsia="en-GB"/>
              </w:rPr>
            </w:pPr>
            <w:r w:rsidRPr="00F769E0">
              <w:rPr>
                <w:rFonts w:cs="Tahoma"/>
                <w:snapToGrid w:val="0"/>
                <w:lang w:val="sl-SI" w:eastAsia="en-GB"/>
              </w:rPr>
              <w:t xml:space="preserve">8 000 </w:t>
            </w:r>
            <w:r w:rsidRPr="00F769E0">
              <w:rPr>
                <w:rFonts w:cs="Tahoma"/>
                <w:lang w:val="sl-SI" w:eastAsia="en-GB"/>
              </w:rPr>
              <w:t>km ali več:</w:t>
            </w:r>
          </w:p>
        </w:tc>
        <w:tc>
          <w:tcPr>
            <w:tcW w:w="2500" w:type="pct"/>
            <w:vAlign w:val="center"/>
          </w:tcPr>
          <w:p w14:paraId="7D39897A" w14:textId="77777777" w:rsidR="00E03711" w:rsidRPr="00F769E0" w:rsidRDefault="00E03711" w:rsidP="00C33AAE">
            <w:pPr>
              <w:pStyle w:val="Guide-Table"/>
              <w:spacing w:before="20" w:after="20"/>
              <w:rPr>
                <w:rFonts w:cs="Tahoma"/>
                <w:snapToGrid w:val="0"/>
                <w:lang w:val="sl-SI" w:eastAsia="en-GB"/>
              </w:rPr>
            </w:pPr>
            <w:r w:rsidRPr="00F769E0">
              <w:rPr>
                <w:rFonts w:cs="Tahoma"/>
                <w:snapToGrid w:val="0"/>
                <w:lang w:val="sl-SI" w:eastAsia="en-GB"/>
              </w:rPr>
              <w:t xml:space="preserve">1500 </w:t>
            </w:r>
            <w:r w:rsidRPr="00F769E0">
              <w:rPr>
                <w:rFonts w:cs="Tahoma"/>
                <w:lang w:val="sl-SI" w:eastAsia="en-GB"/>
              </w:rPr>
              <w:t>EUR na</w:t>
            </w:r>
            <w:r w:rsidRPr="00F769E0">
              <w:rPr>
                <w:rFonts w:cs="Tahoma"/>
                <w:spacing w:val="2"/>
                <w:lang w:val="sl-SI" w:eastAsia="en-GB"/>
              </w:rPr>
              <w:t xml:space="preserve"> </w:t>
            </w:r>
            <w:r w:rsidRPr="00F769E0">
              <w:rPr>
                <w:rFonts w:cs="Tahoma"/>
                <w:lang w:val="sl-SI" w:eastAsia="en-GB"/>
              </w:rPr>
              <w:t>udeleženca</w:t>
            </w:r>
          </w:p>
        </w:tc>
      </w:tr>
    </w:tbl>
    <w:p w14:paraId="7D39897C" w14:textId="77777777" w:rsidR="00E03711" w:rsidRPr="001048FE" w:rsidRDefault="00E03711" w:rsidP="00A56665">
      <w:pPr>
        <w:pStyle w:val="GUIDE-NORMAL"/>
        <w:rPr>
          <w:lang w:val="sl-SI"/>
        </w:rPr>
      </w:pPr>
      <w:r w:rsidRPr="001048FE">
        <w:rPr>
          <w:lang w:val="sl-SI"/>
        </w:rPr>
        <w:t xml:space="preserve">V tem primeru to ne velja za dodatna sredstva za prakse ali udeležence iz okolij z manj možnostmi. </w:t>
      </w:r>
    </w:p>
    <w:p w14:paraId="7D39897D" w14:textId="77777777" w:rsidR="00E03711" w:rsidRPr="001048FE" w:rsidRDefault="00E03711" w:rsidP="00A56665">
      <w:pPr>
        <w:pStyle w:val="GUIDE-NORMAL"/>
        <w:rPr>
          <w:b/>
          <w:lang w:val="sl-SI"/>
        </w:rPr>
      </w:pPr>
      <w:r w:rsidRPr="001048FE">
        <w:rPr>
          <w:b/>
          <w:lang w:val="sl-SI"/>
        </w:rPr>
        <w:t>Višina finančne podpore, ki jo opredelijo visokošolske institucije</w:t>
      </w:r>
    </w:p>
    <w:p w14:paraId="7D39897E" w14:textId="77777777" w:rsidR="00E03711" w:rsidRPr="001048FE" w:rsidRDefault="00E03711" w:rsidP="00A56665">
      <w:pPr>
        <w:pStyle w:val="GUIDE-NORMAL"/>
        <w:rPr>
          <w:lang w:val="sl-SI"/>
        </w:rPr>
      </w:pPr>
      <w:r w:rsidRPr="001048FE">
        <w:rPr>
          <w:lang w:val="sl-SI"/>
        </w:rPr>
        <w:t>V vseh primerih se od visokošolskih institucij zahteva, da pri opredeljevanju in/ali uporabi zneskov EU v svoji instituciji upoštevajo naslednja načela in merila:</w:t>
      </w:r>
    </w:p>
    <w:p w14:paraId="7D39897F" w14:textId="77777777" w:rsidR="00E03711" w:rsidRPr="001048FE" w:rsidRDefault="00E03711" w:rsidP="005115F2">
      <w:pPr>
        <w:pStyle w:val="Guide-NormalBulletpoints"/>
        <w:numPr>
          <w:ilvl w:val="0"/>
          <w:numId w:val="212"/>
        </w:numPr>
        <w:rPr>
          <w:lang w:val="sl-SI"/>
        </w:rPr>
      </w:pPr>
      <w:r w:rsidRPr="001048FE">
        <w:rPr>
          <w:lang w:val="sl-SI"/>
        </w:rPr>
        <w:t>ko institucije določijo višine mesečnih zneskov, ti ostanejo enaki za celotno obdobje trajanja projekta mobilnosti; stopnje nepovratnih sredstev znotraj istega projekta ni mogoče zvišati ali znižati;</w:t>
      </w:r>
    </w:p>
    <w:p w14:paraId="7D398980" w14:textId="77777777" w:rsidR="00E03711" w:rsidRPr="001048FE" w:rsidRDefault="00E03711" w:rsidP="005115F2">
      <w:pPr>
        <w:pStyle w:val="Guide-NormalBulletpoints"/>
        <w:numPr>
          <w:ilvl w:val="0"/>
          <w:numId w:val="212"/>
        </w:numPr>
        <w:rPr>
          <w:lang w:val="sl-SI"/>
        </w:rPr>
      </w:pPr>
      <w:r w:rsidRPr="001048FE">
        <w:rPr>
          <w:lang w:val="sl-SI"/>
        </w:rPr>
        <w:t>zneske je treba opredeliti in/ali uporabiti nepristransko in pregledno ob upoštevanju vseh načel in zgoraj navedene metodologije (tj. ob upoštevanju smeri mobilnosti in posebnih dodatnih sredstev);</w:t>
      </w:r>
    </w:p>
    <w:p w14:paraId="7D398981" w14:textId="77777777" w:rsidR="00E03711" w:rsidRPr="001048FE" w:rsidRDefault="00E03711" w:rsidP="005115F2">
      <w:pPr>
        <w:pStyle w:val="Guide-NormalBulletpoints"/>
        <w:numPr>
          <w:ilvl w:val="0"/>
          <w:numId w:val="212"/>
        </w:numPr>
        <w:rPr>
          <w:lang w:val="sl-SI"/>
        </w:rPr>
      </w:pPr>
      <w:r w:rsidRPr="001048FE">
        <w:rPr>
          <w:lang w:val="sl-SI"/>
        </w:rPr>
        <w:t>vsi študenti, ki odhajajo v isto skupino držav na enako vrsto mobilnosti – študij ali prakso (razen študentov iz okolij z manj možnostmi ali s posebnimi potrebami), morajo prejeti enak znesek nepovratnih sredstev.</w:t>
      </w:r>
    </w:p>
    <w:p w14:paraId="7D398982" w14:textId="77777777" w:rsidR="00E03711" w:rsidRPr="001048FE" w:rsidRDefault="00E03711" w:rsidP="00A56665">
      <w:pPr>
        <w:pStyle w:val="Guide-Heading6"/>
        <w:rPr>
          <w:lang w:val="sl-SI"/>
        </w:rPr>
      </w:pPr>
      <w:r w:rsidRPr="001048FE">
        <w:rPr>
          <w:lang w:val="sl-SI"/>
        </w:rPr>
        <w:t>Mobilnost med državami Programa in partnerskimi državami</w:t>
      </w:r>
    </w:p>
    <w:p w14:paraId="7D398983" w14:textId="77777777" w:rsidR="00E03711" w:rsidRPr="001048FE" w:rsidRDefault="00E03711" w:rsidP="00A56665">
      <w:pPr>
        <w:pStyle w:val="GUIDE-NORMAL"/>
        <w:rPr>
          <w:lang w:val="sl-SI"/>
        </w:rPr>
      </w:pPr>
      <w:r w:rsidRPr="001048FE">
        <w:rPr>
          <w:lang w:val="sl-SI"/>
        </w:rPr>
        <w:t>Zneski za individualno podporo se določijo, kot sledi: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3586"/>
        <w:gridCol w:w="3043"/>
      </w:tblGrid>
      <w:tr w:rsidR="00E03711" w:rsidRPr="008C6F8C" w14:paraId="7D398987" w14:textId="77777777" w:rsidTr="006A0ED1">
        <w:tc>
          <w:tcPr>
            <w:tcW w:w="1432" w:type="pct"/>
            <w:shd w:val="clear" w:color="auto" w:fill="auto"/>
          </w:tcPr>
          <w:p w14:paraId="7D398984" w14:textId="77777777" w:rsidR="00E03711" w:rsidRPr="00F769E0" w:rsidRDefault="00E03711" w:rsidP="007643E9">
            <w:pPr>
              <w:pStyle w:val="Guide-Table"/>
              <w:rPr>
                <w:rFonts w:cs="Tahoma"/>
                <w:b/>
                <w:lang w:val="sl-SI" w:eastAsia="en-GB"/>
              </w:rPr>
            </w:pPr>
            <w:r w:rsidRPr="00F769E0">
              <w:rPr>
                <w:rFonts w:cs="Tahoma"/>
                <w:b/>
                <w:lang w:val="sl-SI" w:eastAsia="en-GB"/>
              </w:rPr>
              <w:t>Iz/s/z</w:t>
            </w:r>
          </w:p>
        </w:tc>
        <w:tc>
          <w:tcPr>
            <w:tcW w:w="1930" w:type="pct"/>
            <w:shd w:val="clear" w:color="auto" w:fill="auto"/>
          </w:tcPr>
          <w:p w14:paraId="7D398985" w14:textId="77777777" w:rsidR="00E03711" w:rsidRPr="00F769E0" w:rsidRDefault="00E03711" w:rsidP="007643E9">
            <w:pPr>
              <w:pStyle w:val="Guide-Table"/>
              <w:rPr>
                <w:rFonts w:cs="Tahoma"/>
                <w:b/>
                <w:lang w:val="sl-SI" w:eastAsia="en-GB"/>
              </w:rPr>
            </w:pPr>
            <w:r w:rsidRPr="00F769E0">
              <w:rPr>
                <w:rFonts w:cs="Tahoma"/>
                <w:b/>
                <w:lang w:val="sl-SI" w:eastAsia="en-GB"/>
              </w:rPr>
              <w:t>V</w:t>
            </w:r>
          </w:p>
        </w:tc>
        <w:tc>
          <w:tcPr>
            <w:tcW w:w="1638" w:type="pct"/>
            <w:shd w:val="clear" w:color="auto" w:fill="auto"/>
          </w:tcPr>
          <w:p w14:paraId="7D398986" w14:textId="77777777" w:rsidR="00E03711" w:rsidRPr="00F769E0" w:rsidRDefault="00E03711" w:rsidP="007643E9">
            <w:pPr>
              <w:pStyle w:val="Guide-Table"/>
              <w:rPr>
                <w:rFonts w:cs="Tahoma"/>
                <w:b/>
                <w:lang w:val="sl-SI" w:eastAsia="en-GB"/>
              </w:rPr>
            </w:pPr>
            <w:r w:rsidRPr="00F769E0">
              <w:rPr>
                <w:rFonts w:cs="Tahoma"/>
                <w:b/>
                <w:lang w:val="sl-SI" w:eastAsia="en-GB"/>
              </w:rPr>
              <w:t>Znesek</w:t>
            </w:r>
          </w:p>
        </w:tc>
      </w:tr>
      <w:tr w:rsidR="00E03711" w:rsidRPr="008C6F8C" w14:paraId="7D39898B" w14:textId="77777777" w:rsidTr="00986871">
        <w:trPr>
          <w:trHeight w:val="284"/>
        </w:trPr>
        <w:tc>
          <w:tcPr>
            <w:tcW w:w="1432" w:type="pct"/>
            <w:vMerge w:val="restart"/>
            <w:shd w:val="clear" w:color="auto" w:fill="auto"/>
            <w:vAlign w:val="center"/>
          </w:tcPr>
          <w:p w14:paraId="7D398988" w14:textId="77777777" w:rsidR="00E03711" w:rsidRPr="00F769E0" w:rsidRDefault="00E03711" w:rsidP="007643E9">
            <w:pPr>
              <w:pStyle w:val="Guide-Table"/>
              <w:rPr>
                <w:rFonts w:cs="Tahoma"/>
                <w:lang w:val="sl-SI" w:eastAsia="en-GB"/>
              </w:rPr>
            </w:pPr>
            <w:r w:rsidRPr="00F769E0">
              <w:rPr>
                <w:rFonts w:cs="Tahoma"/>
                <w:lang w:val="sl-SI" w:eastAsia="en-GB"/>
              </w:rPr>
              <w:t xml:space="preserve">upravičene partnerske </w:t>
            </w:r>
            <w:r w:rsidRPr="00F769E0">
              <w:rPr>
                <w:rFonts w:cs="Tahoma"/>
                <w:lang w:val="sl-SI" w:eastAsia="en-GB"/>
              </w:rPr>
              <w:br/>
              <w:t>države</w:t>
            </w:r>
          </w:p>
        </w:tc>
        <w:tc>
          <w:tcPr>
            <w:tcW w:w="1930" w:type="pct"/>
            <w:shd w:val="clear" w:color="auto" w:fill="auto"/>
            <w:vAlign w:val="center"/>
          </w:tcPr>
          <w:p w14:paraId="7D398989" w14:textId="77777777" w:rsidR="00E03711" w:rsidRPr="00F769E0" w:rsidRDefault="00E03711" w:rsidP="007643E9">
            <w:pPr>
              <w:pStyle w:val="Guide-Table"/>
              <w:rPr>
                <w:rFonts w:cs="Tahoma"/>
                <w:lang w:val="sl-SI" w:eastAsia="en-GB"/>
              </w:rPr>
            </w:pPr>
            <w:r w:rsidRPr="00F769E0">
              <w:rPr>
                <w:rFonts w:cs="Tahoma"/>
                <w:lang w:val="sl-SI" w:eastAsia="en-GB"/>
              </w:rPr>
              <w:t>države Programa iz</w:t>
            </w:r>
            <w:r w:rsidRPr="00F769E0">
              <w:rPr>
                <w:rFonts w:cs="Tahoma"/>
                <w:spacing w:val="31"/>
                <w:lang w:val="sl-SI" w:eastAsia="en-GB"/>
              </w:rPr>
              <w:t xml:space="preserve"> </w:t>
            </w:r>
            <w:r w:rsidRPr="00F769E0">
              <w:rPr>
                <w:rFonts w:cs="Tahoma"/>
                <w:lang w:val="sl-SI" w:eastAsia="en-GB"/>
              </w:rPr>
              <w:t>skupine</w:t>
            </w:r>
            <w:r w:rsidRPr="00F769E0">
              <w:rPr>
                <w:rFonts w:cs="Tahoma"/>
                <w:spacing w:val="10"/>
                <w:lang w:val="sl-SI" w:eastAsia="en-GB"/>
              </w:rPr>
              <w:t xml:space="preserve"> </w:t>
            </w:r>
            <w:r w:rsidRPr="00F769E0">
              <w:rPr>
                <w:rFonts w:cs="Tahoma"/>
                <w:lang w:val="sl-SI" w:eastAsia="en-GB"/>
              </w:rPr>
              <w:t>1</w:t>
            </w:r>
          </w:p>
        </w:tc>
        <w:tc>
          <w:tcPr>
            <w:tcW w:w="1638" w:type="pct"/>
            <w:shd w:val="clear" w:color="auto" w:fill="auto"/>
            <w:vAlign w:val="center"/>
          </w:tcPr>
          <w:p w14:paraId="7D39898A" w14:textId="77777777" w:rsidR="00E03711" w:rsidRPr="00F769E0" w:rsidRDefault="00E03711" w:rsidP="007643E9">
            <w:pPr>
              <w:pStyle w:val="Guide-Table"/>
              <w:rPr>
                <w:rFonts w:cs="Tahoma"/>
                <w:lang w:val="sl-SI" w:eastAsia="en-GB"/>
              </w:rPr>
            </w:pPr>
            <w:r w:rsidRPr="00F769E0">
              <w:rPr>
                <w:rFonts w:cs="Tahoma"/>
                <w:lang w:val="sl-SI" w:eastAsia="en-GB"/>
              </w:rPr>
              <w:t>900 EUR na mesec</w:t>
            </w:r>
          </w:p>
        </w:tc>
      </w:tr>
      <w:tr w:rsidR="00E03711" w:rsidRPr="008C6F8C" w14:paraId="7D39898F" w14:textId="77777777" w:rsidTr="00986871">
        <w:trPr>
          <w:trHeight w:val="288"/>
        </w:trPr>
        <w:tc>
          <w:tcPr>
            <w:tcW w:w="1432" w:type="pct"/>
            <w:vMerge/>
            <w:shd w:val="clear" w:color="auto" w:fill="auto"/>
            <w:vAlign w:val="center"/>
          </w:tcPr>
          <w:p w14:paraId="7D39898C" w14:textId="77777777" w:rsidR="00E03711" w:rsidRPr="00F769E0" w:rsidRDefault="00E03711" w:rsidP="007643E9">
            <w:pPr>
              <w:pStyle w:val="Guide-Table"/>
              <w:rPr>
                <w:rFonts w:cs="Tahoma"/>
                <w:lang w:val="sl-SI" w:eastAsia="en-GB"/>
              </w:rPr>
            </w:pPr>
          </w:p>
        </w:tc>
        <w:tc>
          <w:tcPr>
            <w:tcW w:w="1930" w:type="pct"/>
            <w:shd w:val="clear" w:color="auto" w:fill="auto"/>
            <w:vAlign w:val="center"/>
          </w:tcPr>
          <w:p w14:paraId="7D39898D" w14:textId="77777777" w:rsidR="00E03711" w:rsidRPr="00F769E0" w:rsidRDefault="00E03711" w:rsidP="007643E9">
            <w:pPr>
              <w:pStyle w:val="Guide-Table"/>
              <w:rPr>
                <w:rFonts w:cs="Tahoma"/>
                <w:lang w:val="sl-SI" w:eastAsia="en-GB"/>
              </w:rPr>
            </w:pPr>
            <w:r w:rsidRPr="00F769E0">
              <w:rPr>
                <w:rFonts w:cs="Tahoma"/>
                <w:lang w:val="sl-SI" w:eastAsia="en-GB"/>
              </w:rPr>
              <w:t>države Programa iz</w:t>
            </w:r>
            <w:r w:rsidRPr="00F769E0">
              <w:rPr>
                <w:rFonts w:cs="Tahoma"/>
                <w:spacing w:val="31"/>
                <w:lang w:val="sl-SI" w:eastAsia="en-GB"/>
              </w:rPr>
              <w:t xml:space="preserve"> </w:t>
            </w:r>
            <w:r w:rsidRPr="00F769E0">
              <w:rPr>
                <w:rFonts w:cs="Tahoma"/>
                <w:lang w:val="sl-SI" w:eastAsia="en-GB"/>
              </w:rPr>
              <w:t>skupine</w:t>
            </w:r>
            <w:r w:rsidRPr="00F769E0">
              <w:rPr>
                <w:rFonts w:cs="Tahoma"/>
                <w:spacing w:val="10"/>
                <w:lang w:val="sl-SI" w:eastAsia="en-GB"/>
              </w:rPr>
              <w:t xml:space="preserve"> </w:t>
            </w:r>
            <w:r w:rsidRPr="00F769E0">
              <w:rPr>
                <w:rFonts w:cs="Tahoma"/>
                <w:lang w:val="sl-SI" w:eastAsia="en-GB"/>
              </w:rPr>
              <w:t>2</w:t>
            </w:r>
          </w:p>
        </w:tc>
        <w:tc>
          <w:tcPr>
            <w:tcW w:w="1638" w:type="pct"/>
            <w:shd w:val="clear" w:color="auto" w:fill="auto"/>
            <w:vAlign w:val="center"/>
          </w:tcPr>
          <w:p w14:paraId="7D39898E" w14:textId="77777777" w:rsidR="00E03711" w:rsidRPr="00F769E0" w:rsidRDefault="00E03711" w:rsidP="007643E9">
            <w:pPr>
              <w:pStyle w:val="Guide-Table"/>
              <w:rPr>
                <w:rFonts w:cs="Tahoma"/>
                <w:lang w:val="sl-SI" w:eastAsia="en-GB"/>
              </w:rPr>
            </w:pPr>
            <w:r w:rsidRPr="00F769E0">
              <w:rPr>
                <w:rFonts w:cs="Tahoma"/>
                <w:lang w:val="sl-SI" w:eastAsia="en-GB"/>
              </w:rPr>
              <w:t>850 EUR na mesec</w:t>
            </w:r>
          </w:p>
        </w:tc>
      </w:tr>
      <w:tr w:rsidR="00E03711" w:rsidRPr="008C6F8C" w14:paraId="7D398993" w14:textId="77777777" w:rsidTr="00986871">
        <w:trPr>
          <w:trHeight w:val="278"/>
        </w:trPr>
        <w:tc>
          <w:tcPr>
            <w:tcW w:w="1432" w:type="pct"/>
            <w:vMerge/>
            <w:shd w:val="clear" w:color="auto" w:fill="auto"/>
            <w:vAlign w:val="center"/>
          </w:tcPr>
          <w:p w14:paraId="7D398990" w14:textId="77777777" w:rsidR="00E03711" w:rsidRPr="00F769E0" w:rsidRDefault="00E03711" w:rsidP="007643E9">
            <w:pPr>
              <w:pStyle w:val="Guide-Table"/>
              <w:rPr>
                <w:rFonts w:cs="Tahoma"/>
                <w:lang w:val="sl-SI" w:eastAsia="en-GB"/>
              </w:rPr>
            </w:pPr>
          </w:p>
        </w:tc>
        <w:tc>
          <w:tcPr>
            <w:tcW w:w="1930" w:type="pct"/>
            <w:shd w:val="clear" w:color="auto" w:fill="auto"/>
            <w:vAlign w:val="center"/>
          </w:tcPr>
          <w:p w14:paraId="7D398991" w14:textId="77777777" w:rsidR="00E03711" w:rsidRPr="00F769E0" w:rsidRDefault="00E03711" w:rsidP="007643E9">
            <w:pPr>
              <w:pStyle w:val="Guide-Table"/>
              <w:rPr>
                <w:rFonts w:cs="Tahoma"/>
                <w:lang w:val="sl-SI" w:eastAsia="en-GB"/>
              </w:rPr>
            </w:pPr>
            <w:r w:rsidRPr="00F769E0">
              <w:rPr>
                <w:rFonts w:cs="Tahoma"/>
                <w:lang w:val="sl-SI" w:eastAsia="en-GB"/>
              </w:rPr>
              <w:t>države Programa iz</w:t>
            </w:r>
            <w:r w:rsidRPr="00F769E0">
              <w:rPr>
                <w:rFonts w:cs="Tahoma"/>
                <w:spacing w:val="31"/>
                <w:lang w:val="sl-SI" w:eastAsia="en-GB"/>
              </w:rPr>
              <w:t xml:space="preserve"> </w:t>
            </w:r>
            <w:r w:rsidRPr="00F769E0">
              <w:rPr>
                <w:rFonts w:cs="Tahoma"/>
                <w:lang w:val="sl-SI" w:eastAsia="en-GB"/>
              </w:rPr>
              <w:t>skupine</w:t>
            </w:r>
            <w:r w:rsidRPr="00F769E0">
              <w:rPr>
                <w:rFonts w:cs="Tahoma"/>
                <w:spacing w:val="10"/>
                <w:lang w:val="sl-SI" w:eastAsia="en-GB"/>
              </w:rPr>
              <w:t xml:space="preserve"> </w:t>
            </w:r>
            <w:r w:rsidRPr="00F769E0">
              <w:rPr>
                <w:rFonts w:cs="Tahoma"/>
                <w:lang w:val="sl-SI" w:eastAsia="en-GB"/>
              </w:rPr>
              <w:t>3</w:t>
            </w:r>
          </w:p>
        </w:tc>
        <w:tc>
          <w:tcPr>
            <w:tcW w:w="1638" w:type="pct"/>
            <w:shd w:val="clear" w:color="auto" w:fill="auto"/>
            <w:vAlign w:val="center"/>
          </w:tcPr>
          <w:p w14:paraId="7D398992" w14:textId="77777777" w:rsidR="00E03711" w:rsidRPr="00F769E0" w:rsidRDefault="00E03711" w:rsidP="007643E9">
            <w:pPr>
              <w:pStyle w:val="Guide-Table"/>
              <w:rPr>
                <w:rFonts w:cs="Tahoma"/>
                <w:lang w:val="sl-SI" w:eastAsia="en-GB"/>
              </w:rPr>
            </w:pPr>
            <w:r w:rsidRPr="00F769E0">
              <w:rPr>
                <w:rFonts w:cs="Tahoma"/>
                <w:lang w:val="sl-SI" w:eastAsia="en-GB"/>
              </w:rPr>
              <w:t>800 EUR na mesec</w:t>
            </w:r>
          </w:p>
        </w:tc>
      </w:tr>
      <w:tr w:rsidR="00E03711" w:rsidRPr="008C6F8C" w14:paraId="7D398997" w14:textId="77777777" w:rsidTr="00986871">
        <w:trPr>
          <w:trHeight w:val="278"/>
        </w:trPr>
        <w:tc>
          <w:tcPr>
            <w:tcW w:w="1432" w:type="pct"/>
            <w:shd w:val="clear" w:color="auto" w:fill="auto"/>
            <w:vAlign w:val="center"/>
          </w:tcPr>
          <w:p w14:paraId="7D398994" w14:textId="77777777" w:rsidR="00E03711" w:rsidRPr="00F769E0" w:rsidRDefault="00E03711" w:rsidP="007643E9">
            <w:pPr>
              <w:pStyle w:val="Guide-Table"/>
              <w:rPr>
                <w:rFonts w:cs="Tahoma"/>
                <w:lang w:val="sl-SI" w:eastAsia="en-GB"/>
              </w:rPr>
            </w:pPr>
            <w:r w:rsidRPr="00F769E0">
              <w:rPr>
                <w:rFonts w:cs="Tahoma"/>
                <w:lang w:val="sl-SI" w:eastAsia="en-GB"/>
              </w:rPr>
              <w:t>države</w:t>
            </w:r>
            <w:r w:rsidRPr="00F769E0">
              <w:rPr>
                <w:rFonts w:cs="Tahoma"/>
                <w:spacing w:val="10"/>
                <w:lang w:val="sl-SI" w:eastAsia="en-GB"/>
              </w:rPr>
              <w:t xml:space="preserve"> </w:t>
            </w:r>
            <w:r w:rsidRPr="00F769E0">
              <w:rPr>
                <w:rFonts w:cs="Tahoma"/>
                <w:lang w:val="sl-SI" w:eastAsia="en-GB"/>
              </w:rPr>
              <w:t>Programa</w:t>
            </w:r>
          </w:p>
        </w:tc>
        <w:tc>
          <w:tcPr>
            <w:tcW w:w="1930" w:type="pct"/>
            <w:shd w:val="clear" w:color="auto" w:fill="auto"/>
            <w:vAlign w:val="center"/>
          </w:tcPr>
          <w:p w14:paraId="7D398995" w14:textId="77777777" w:rsidR="00E03711" w:rsidRPr="00F769E0" w:rsidRDefault="00E03711" w:rsidP="007643E9">
            <w:pPr>
              <w:pStyle w:val="Guide-Table"/>
              <w:rPr>
                <w:rFonts w:cs="Tahoma"/>
                <w:lang w:val="sl-SI" w:eastAsia="en-GB"/>
              </w:rPr>
            </w:pPr>
            <w:r w:rsidRPr="00F769E0">
              <w:rPr>
                <w:rFonts w:cs="Tahoma"/>
                <w:lang w:val="sl-SI" w:eastAsia="en-GB"/>
              </w:rPr>
              <w:t>partnerske</w:t>
            </w:r>
            <w:r w:rsidRPr="00F769E0">
              <w:rPr>
                <w:rFonts w:cs="Tahoma"/>
                <w:spacing w:val="20"/>
                <w:lang w:val="sl-SI" w:eastAsia="en-GB"/>
              </w:rPr>
              <w:t xml:space="preserve"> </w:t>
            </w:r>
            <w:r w:rsidRPr="00F769E0">
              <w:rPr>
                <w:rFonts w:cs="Tahoma"/>
                <w:lang w:val="sl-SI" w:eastAsia="en-GB"/>
              </w:rPr>
              <w:t>države</w:t>
            </w:r>
          </w:p>
        </w:tc>
        <w:tc>
          <w:tcPr>
            <w:tcW w:w="1638" w:type="pct"/>
            <w:shd w:val="clear" w:color="auto" w:fill="auto"/>
            <w:vAlign w:val="center"/>
          </w:tcPr>
          <w:p w14:paraId="7D398996" w14:textId="77777777" w:rsidR="00E03711" w:rsidRPr="00F769E0" w:rsidRDefault="00E03711" w:rsidP="007643E9">
            <w:pPr>
              <w:pStyle w:val="Guide-Table"/>
              <w:rPr>
                <w:rFonts w:cs="Tahoma"/>
                <w:lang w:val="sl-SI" w:eastAsia="en-GB"/>
              </w:rPr>
            </w:pPr>
            <w:r w:rsidRPr="00F769E0">
              <w:rPr>
                <w:rFonts w:cs="Tahoma"/>
                <w:lang w:val="sl-SI" w:eastAsia="en-GB"/>
              </w:rPr>
              <w:t>700 EUR na mesec</w:t>
            </w:r>
          </w:p>
        </w:tc>
      </w:tr>
    </w:tbl>
    <w:p w14:paraId="7D398998" w14:textId="77777777" w:rsidR="00E03711" w:rsidRPr="001048FE" w:rsidRDefault="00E03711" w:rsidP="006F6C8B">
      <w:pPr>
        <w:pStyle w:val="GUIDE-NORMAL"/>
        <w:rPr>
          <w:lang w:val="sl-SI"/>
        </w:rPr>
      </w:pPr>
      <w:r w:rsidRPr="001048FE">
        <w:rPr>
          <w:lang w:val="sl-SI"/>
        </w:rPr>
        <w:t>Študenti, ki odhajajo v partnerske države ali prihajajo iz njih, bodo poleg tega prejeli naslednje dodatne zneske za kritje potnih stroškov: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4622"/>
        <w:gridCol w:w="4622"/>
      </w:tblGrid>
      <w:tr w:rsidR="00E03711" w:rsidRPr="008C6F8C" w14:paraId="7D39899B" w14:textId="77777777" w:rsidTr="00237696">
        <w:trPr>
          <w:trHeight w:val="227"/>
        </w:trPr>
        <w:tc>
          <w:tcPr>
            <w:tcW w:w="2500" w:type="pct"/>
            <w:tcBorders>
              <w:bottom w:val="single" w:sz="4" w:space="0" w:color="auto"/>
            </w:tcBorders>
            <w:shd w:val="clear" w:color="auto" w:fill="FFFFFF"/>
          </w:tcPr>
          <w:p w14:paraId="7D398999" w14:textId="77777777" w:rsidR="00E03711" w:rsidRPr="00F769E0" w:rsidRDefault="00E03711" w:rsidP="007643E9">
            <w:pPr>
              <w:pStyle w:val="Guide-Table"/>
              <w:rPr>
                <w:rFonts w:cs="Tahoma"/>
                <w:b/>
                <w:lang w:val="sl-SI" w:eastAsia="en-GB"/>
              </w:rPr>
            </w:pPr>
            <w:r w:rsidRPr="00F769E0">
              <w:rPr>
                <w:rFonts w:cs="Tahoma"/>
                <w:b/>
                <w:lang w:val="sl-SI" w:eastAsia="en-GB"/>
              </w:rPr>
              <w:t>Razdalje</w:t>
            </w:r>
            <w:r w:rsidRPr="00F769E0">
              <w:rPr>
                <w:rStyle w:val="FootnoteReference"/>
                <w:rFonts w:cs="Tahoma"/>
                <w:lang w:val="sl-SI" w:eastAsia="en-GB"/>
              </w:rPr>
              <w:footnoteReference w:id="36"/>
            </w:r>
          </w:p>
        </w:tc>
        <w:tc>
          <w:tcPr>
            <w:tcW w:w="2500" w:type="pct"/>
            <w:tcBorders>
              <w:bottom w:val="single" w:sz="4" w:space="0" w:color="auto"/>
            </w:tcBorders>
            <w:shd w:val="clear" w:color="auto" w:fill="FFFFFF"/>
          </w:tcPr>
          <w:p w14:paraId="7D39899A" w14:textId="77777777" w:rsidR="00E03711" w:rsidRPr="00F769E0" w:rsidRDefault="00E03711" w:rsidP="007643E9">
            <w:pPr>
              <w:pStyle w:val="Guide-Table"/>
              <w:rPr>
                <w:rFonts w:cs="Tahoma"/>
                <w:b/>
                <w:lang w:val="sl-SI" w:eastAsia="en-GB"/>
              </w:rPr>
            </w:pPr>
            <w:r w:rsidRPr="00F769E0">
              <w:rPr>
                <w:rFonts w:cs="Tahoma"/>
                <w:b/>
                <w:lang w:val="sl-SI" w:eastAsia="en-GB"/>
              </w:rPr>
              <w:t>Znesek</w:t>
            </w:r>
          </w:p>
        </w:tc>
      </w:tr>
      <w:tr w:rsidR="00E03711" w:rsidRPr="008C6F8C" w14:paraId="7D39899E" w14:textId="77777777" w:rsidTr="006A0ED1">
        <w:trPr>
          <w:trHeight w:val="227"/>
        </w:trPr>
        <w:tc>
          <w:tcPr>
            <w:tcW w:w="2500" w:type="pct"/>
          </w:tcPr>
          <w:p w14:paraId="7D39899C" w14:textId="77777777" w:rsidR="00E03711" w:rsidRPr="00F769E0" w:rsidRDefault="00E03711" w:rsidP="007643E9">
            <w:pPr>
              <w:pStyle w:val="Guide-Table"/>
              <w:rPr>
                <w:rFonts w:cs="Tahoma"/>
                <w:lang w:val="sl-SI" w:eastAsia="en-GB"/>
              </w:rPr>
            </w:pPr>
            <w:r w:rsidRPr="00F769E0">
              <w:rPr>
                <w:rFonts w:cs="Tahoma"/>
                <w:lang w:val="sl-SI" w:eastAsia="en-GB"/>
              </w:rPr>
              <w:t>od 10 do 99 km:</w:t>
            </w:r>
          </w:p>
        </w:tc>
        <w:tc>
          <w:tcPr>
            <w:tcW w:w="2500" w:type="pct"/>
          </w:tcPr>
          <w:p w14:paraId="7D39899D" w14:textId="77777777" w:rsidR="00E03711" w:rsidRPr="00F769E0" w:rsidRDefault="00E03711" w:rsidP="007643E9">
            <w:pPr>
              <w:pStyle w:val="Guide-Table"/>
              <w:rPr>
                <w:rFonts w:cs="Tahoma"/>
                <w:lang w:val="sl-SI" w:eastAsia="en-GB"/>
              </w:rPr>
            </w:pPr>
            <w:r w:rsidRPr="00F769E0">
              <w:rPr>
                <w:rFonts w:cs="Tahoma"/>
                <w:lang w:val="sl-SI" w:eastAsia="en-GB"/>
              </w:rPr>
              <w:t>20 EUR na udeleženca</w:t>
            </w:r>
          </w:p>
        </w:tc>
      </w:tr>
      <w:tr w:rsidR="00E03711" w:rsidRPr="008C6F8C" w14:paraId="7D3989A1" w14:textId="77777777" w:rsidTr="006A0ED1">
        <w:trPr>
          <w:trHeight w:val="227"/>
        </w:trPr>
        <w:tc>
          <w:tcPr>
            <w:tcW w:w="2500" w:type="pct"/>
          </w:tcPr>
          <w:p w14:paraId="7D39899F" w14:textId="77777777" w:rsidR="00E03711" w:rsidRPr="00F769E0" w:rsidRDefault="00E03711" w:rsidP="007643E9">
            <w:pPr>
              <w:pStyle w:val="Guide-Table"/>
              <w:rPr>
                <w:rFonts w:cs="Tahoma"/>
                <w:lang w:val="sl-SI" w:eastAsia="en-GB"/>
              </w:rPr>
            </w:pPr>
            <w:r w:rsidRPr="00F769E0">
              <w:rPr>
                <w:rFonts w:cs="Tahoma"/>
                <w:lang w:val="sl-SI" w:eastAsia="en-GB"/>
              </w:rPr>
              <w:t>od 100 do 499 km:</w:t>
            </w:r>
          </w:p>
        </w:tc>
        <w:tc>
          <w:tcPr>
            <w:tcW w:w="2500" w:type="pct"/>
          </w:tcPr>
          <w:p w14:paraId="7D3989A0" w14:textId="77777777" w:rsidR="00E03711" w:rsidRPr="00F769E0" w:rsidRDefault="00E03711" w:rsidP="007643E9">
            <w:pPr>
              <w:pStyle w:val="Guide-Table"/>
              <w:rPr>
                <w:rFonts w:cs="Tahoma"/>
                <w:lang w:val="sl-SI" w:eastAsia="en-GB"/>
              </w:rPr>
            </w:pPr>
            <w:r w:rsidRPr="00F769E0">
              <w:rPr>
                <w:rFonts w:cs="Tahoma"/>
                <w:lang w:val="sl-SI" w:eastAsia="en-GB"/>
              </w:rPr>
              <w:t>180 EUR na udeleženca</w:t>
            </w:r>
          </w:p>
        </w:tc>
      </w:tr>
      <w:tr w:rsidR="00E03711" w:rsidRPr="008C6F8C" w14:paraId="7D3989A4" w14:textId="77777777" w:rsidTr="006A0ED1">
        <w:trPr>
          <w:trHeight w:val="227"/>
        </w:trPr>
        <w:tc>
          <w:tcPr>
            <w:tcW w:w="2500" w:type="pct"/>
          </w:tcPr>
          <w:p w14:paraId="7D3989A2" w14:textId="77777777" w:rsidR="00E03711" w:rsidRPr="00F769E0" w:rsidRDefault="00E03711" w:rsidP="007643E9">
            <w:pPr>
              <w:pStyle w:val="Guide-Table"/>
              <w:rPr>
                <w:rFonts w:cs="Tahoma"/>
                <w:lang w:val="sl-SI" w:eastAsia="en-GB"/>
              </w:rPr>
            </w:pPr>
            <w:r w:rsidRPr="00F769E0">
              <w:rPr>
                <w:rFonts w:cs="Tahoma"/>
                <w:lang w:val="sl-SI" w:eastAsia="en-GB"/>
              </w:rPr>
              <w:t>od 500 do 1 999 km:</w:t>
            </w:r>
          </w:p>
        </w:tc>
        <w:tc>
          <w:tcPr>
            <w:tcW w:w="2500" w:type="pct"/>
          </w:tcPr>
          <w:p w14:paraId="7D3989A3" w14:textId="77777777" w:rsidR="00E03711" w:rsidRPr="00F769E0" w:rsidRDefault="00E03711" w:rsidP="007643E9">
            <w:pPr>
              <w:pStyle w:val="Guide-Table"/>
              <w:rPr>
                <w:rFonts w:cs="Tahoma"/>
                <w:lang w:val="sl-SI" w:eastAsia="en-GB"/>
              </w:rPr>
            </w:pPr>
            <w:r w:rsidRPr="00F769E0">
              <w:rPr>
                <w:rFonts w:cs="Tahoma"/>
                <w:lang w:val="sl-SI" w:eastAsia="en-GB"/>
              </w:rPr>
              <w:t>275 EUR na udeleženca</w:t>
            </w:r>
          </w:p>
        </w:tc>
      </w:tr>
      <w:tr w:rsidR="00E03711" w:rsidRPr="008C6F8C" w14:paraId="7D3989A7" w14:textId="77777777" w:rsidTr="006A0ED1">
        <w:trPr>
          <w:trHeight w:val="227"/>
        </w:trPr>
        <w:tc>
          <w:tcPr>
            <w:tcW w:w="2500" w:type="pct"/>
          </w:tcPr>
          <w:p w14:paraId="7D3989A5" w14:textId="77777777" w:rsidR="00E03711" w:rsidRPr="00F769E0" w:rsidRDefault="00E03711" w:rsidP="007643E9">
            <w:pPr>
              <w:pStyle w:val="Guide-Table"/>
              <w:rPr>
                <w:rFonts w:cs="Tahoma"/>
                <w:lang w:val="sl-SI" w:eastAsia="en-GB"/>
              </w:rPr>
            </w:pPr>
            <w:r w:rsidRPr="00F769E0">
              <w:rPr>
                <w:rFonts w:cs="Tahoma"/>
                <w:lang w:val="sl-SI" w:eastAsia="en-GB"/>
              </w:rPr>
              <w:t>od 2 000 do 2 999 km:</w:t>
            </w:r>
          </w:p>
        </w:tc>
        <w:tc>
          <w:tcPr>
            <w:tcW w:w="2500" w:type="pct"/>
          </w:tcPr>
          <w:p w14:paraId="7D3989A6" w14:textId="77777777" w:rsidR="00E03711" w:rsidRPr="00F769E0" w:rsidRDefault="00E03711" w:rsidP="007643E9">
            <w:pPr>
              <w:pStyle w:val="Guide-Table"/>
              <w:rPr>
                <w:rFonts w:cs="Tahoma"/>
                <w:lang w:val="sl-SI" w:eastAsia="en-GB"/>
              </w:rPr>
            </w:pPr>
            <w:r w:rsidRPr="00F769E0">
              <w:rPr>
                <w:rFonts w:cs="Tahoma"/>
                <w:lang w:val="sl-SI" w:eastAsia="en-GB"/>
              </w:rPr>
              <w:t>360 EUR na udeleženca</w:t>
            </w:r>
          </w:p>
        </w:tc>
      </w:tr>
      <w:tr w:rsidR="00E03711" w:rsidRPr="008C6F8C" w14:paraId="7D3989AA" w14:textId="77777777" w:rsidTr="006A0ED1">
        <w:trPr>
          <w:trHeight w:val="227"/>
        </w:trPr>
        <w:tc>
          <w:tcPr>
            <w:tcW w:w="2500" w:type="pct"/>
          </w:tcPr>
          <w:p w14:paraId="7D3989A8" w14:textId="77777777" w:rsidR="00E03711" w:rsidRPr="00F769E0" w:rsidRDefault="00E03711" w:rsidP="007643E9">
            <w:pPr>
              <w:pStyle w:val="Guide-Table"/>
              <w:rPr>
                <w:rFonts w:cs="Tahoma"/>
                <w:lang w:val="sl-SI" w:eastAsia="en-GB"/>
              </w:rPr>
            </w:pPr>
            <w:r w:rsidRPr="00F769E0">
              <w:rPr>
                <w:rFonts w:cs="Tahoma"/>
                <w:lang w:val="sl-SI" w:eastAsia="en-GB"/>
              </w:rPr>
              <w:t>od 3 000 do 3 999 km:</w:t>
            </w:r>
          </w:p>
        </w:tc>
        <w:tc>
          <w:tcPr>
            <w:tcW w:w="2500" w:type="pct"/>
          </w:tcPr>
          <w:p w14:paraId="7D3989A9" w14:textId="77777777" w:rsidR="00E03711" w:rsidRPr="00F769E0" w:rsidRDefault="00E03711" w:rsidP="007643E9">
            <w:pPr>
              <w:pStyle w:val="Guide-Table"/>
              <w:rPr>
                <w:rFonts w:cs="Tahoma"/>
                <w:lang w:val="sl-SI" w:eastAsia="en-GB"/>
              </w:rPr>
            </w:pPr>
            <w:r w:rsidRPr="00F769E0">
              <w:rPr>
                <w:rFonts w:cs="Tahoma"/>
                <w:lang w:val="sl-SI" w:eastAsia="en-GB"/>
              </w:rPr>
              <w:t>530 EUR na udeleženca</w:t>
            </w:r>
          </w:p>
        </w:tc>
      </w:tr>
      <w:tr w:rsidR="00E03711" w:rsidRPr="008C6F8C" w14:paraId="7D3989AD" w14:textId="77777777" w:rsidTr="006A0ED1">
        <w:trPr>
          <w:trHeight w:val="227"/>
        </w:trPr>
        <w:tc>
          <w:tcPr>
            <w:tcW w:w="2500" w:type="pct"/>
          </w:tcPr>
          <w:p w14:paraId="7D3989AB" w14:textId="77777777" w:rsidR="00E03711" w:rsidRPr="00F769E0" w:rsidRDefault="00E03711" w:rsidP="007643E9">
            <w:pPr>
              <w:pStyle w:val="Guide-Table"/>
              <w:rPr>
                <w:rFonts w:cs="Tahoma"/>
                <w:lang w:val="sl-SI" w:eastAsia="en-GB"/>
              </w:rPr>
            </w:pPr>
            <w:r w:rsidRPr="00F769E0">
              <w:rPr>
                <w:rFonts w:cs="Tahoma"/>
                <w:lang w:val="sl-SI" w:eastAsia="en-GB"/>
              </w:rPr>
              <w:t>od 4 000 do 7 999 km:</w:t>
            </w:r>
          </w:p>
        </w:tc>
        <w:tc>
          <w:tcPr>
            <w:tcW w:w="2500" w:type="pct"/>
          </w:tcPr>
          <w:p w14:paraId="7D3989AC" w14:textId="77777777" w:rsidR="00E03711" w:rsidRPr="00F769E0" w:rsidRDefault="00E03711" w:rsidP="007643E9">
            <w:pPr>
              <w:pStyle w:val="Guide-Table"/>
              <w:rPr>
                <w:rFonts w:cs="Tahoma"/>
                <w:lang w:val="sl-SI" w:eastAsia="en-GB"/>
              </w:rPr>
            </w:pPr>
            <w:r w:rsidRPr="00F769E0">
              <w:rPr>
                <w:rFonts w:cs="Tahoma"/>
                <w:lang w:val="sl-SI" w:eastAsia="en-GB"/>
              </w:rPr>
              <w:t>820 EUR na udeleženca</w:t>
            </w:r>
          </w:p>
        </w:tc>
      </w:tr>
      <w:tr w:rsidR="00E03711" w:rsidRPr="008C6F8C" w14:paraId="7D3989B0" w14:textId="77777777" w:rsidTr="006A0ED1">
        <w:trPr>
          <w:trHeight w:val="227"/>
        </w:trPr>
        <w:tc>
          <w:tcPr>
            <w:tcW w:w="2500" w:type="pct"/>
          </w:tcPr>
          <w:p w14:paraId="7D3989AE" w14:textId="77777777" w:rsidR="00E03711" w:rsidRPr="00F769E0" w:rsidRDefault="00E03711" w:rsidP="007643E9">
            <w:pPr>
              <w:pStyle w:val="Guide-Table"/>
              <w:rPr>
                <w:rFonts w:cs="Tahoma"/>
                <w:lang w:val="sl-SI" w:eastAsia="en-GB"/>
              </w:rPr>
            </w:pPr>
            <w:r w:rsidRPr="00F769E0">
              <w:rPr>
                <w:rFonts w:cs="Tahoma"/>
                <w:lang w:val="sl-SI" w:eastAsia="en-GB"/>
              </w:rPr>
              <w:t>8 000 km ali več:</w:t>
            </w:r>
          </w:p>
        </w:tc>
        <w:tc>
          <w:tcPr>
            <w:tcW w:w="2500" w:type="pct"/>
          </w:tcPr>
          <w:p w14:paraId="7D3989AF" w14:textId="77777777" w:rsidR="00E03711" w:rsidRPr="00F769E0" w:rsidRDefault="00E03711" w:rsidP="007643E9">
            <w:pPr>
              <w:pStyle w:val="Guide-Table"/>
              <w:rPr>
                <w:rFonts w:cs="Tahoma"/>
                <w:lang w:val="sl-SI" w:eastAsia="en-GB"/>
              </w:rPr>
            </w:pPr>
            <w:r w:rsidRPr="00F769E0">
              <w:rPr>
                <w:rFonts w:cs="Tahoma"/>
                <w:lang w:val="sl-SI" w:eastAsia="en-GB"/>
              </w:rPr>
              <w:t>1 500 EUR na udeleženca</w:t>
            </w:r>
          </w:p>
        </w:tc>
      </w:tr>
    </w:tbl>
    <w:p w14:paraId="7D3989B1" w14:textId="77777777" w:rsidR="00E03711" w:rsidRDefault="00E03711">
      <w:pPr>
        <w:widowControl/>
        <w:suppressAutoHyphens w:val="0"/>
        <w:autoSpaceDN/>
        <w:textAlignment w:val="auto"/>
        <w:rPr>
          <w:rFonts w:eastAsia="Times New Roman"/>
          <w:b/>
          <w:smallCaps/>
          <w:sz w:val="20"/>
          <w:szCs w:val="28"/>
          <w:lang w:val="sl-SI"/>
        </w:rPr>
      </w:pPr>
    </w:p>
    <w:p w14:paraId="7D3989B2" w14:textId="77777777" w:rsidR="00E03711" w:rsidRPr="001048FE" w:rsidRDefault="00E03711" w:rsidP="00500CD0">
      <w:pPr>
        <w:pStyle w:val="Guide-Heading7"/>
        <w:rPr>
          <w:lang w:val="sl-SI"/>
        </w:rPr>
      </w:pPr>
      <w:r w:rsidRPr="001048FE">
        <w:rPr>
          <w:lang w:val="sl-SI"/>
        </w:rPr>
        <w:t>Dodatna podpora za posebne ciljne skupine, aktivnosti in države/regije pošiljateljice</w:t>
      </w:r>
    </w:p>
    <w:p w14:paraId="7D3989B3" w14:textId="77777777" w:rsidR="00E03711" w:rsidRPr="001048FE" w:rsidRDefault="00E03711" w:rsidP="00500CD0">
      <w:pPr>
        <w:pStyle w:val="GUIDE-NORMAL"/>
        <w:rPr>
          <w:b/>
          <w:lang w:val="sl-SI"/>
        </w:rPr>
      </w:pPr>
      <w:r w:rsidRPr="001048FE">
        <w:rPr>
          <w:b/>
          <w:lang w:val="sl-SI"/>
        </w:rPr>
        <w:t>Študenti iz okolij z manj možnostmi (ki niso študenti s posebnimi potrebami)</w:t>
      </w:r>
    </w:p>
    <w:p w14:paraId="7D3989B4" w14:textId="77777777" w:rsidR="00E03711" w:rsidRPr="001048FE" w:rsidRDefault="00E03711" w:rsidP="00500CD0">
      <w:pPr>
        <w:pStyle w:val="GUIDE-NORMAL"/>
        <w:rPr>
          <w:b/>
          <w:lang w:val="sl-SI"/>
        </w:rPr>
      </w:pPr>
      <w:r w:rsidRPr="001048FE">
        <w:rPr>
          <w:lang w:val="sl-SI"/>
        </w:rPr>
        <w:t>Nacionalni</w:t>
      </w:r>
      <w:r w:rsidRPr="001048FE">
        <w:rPr>
          <w:spacing w:val="-13"/>
          <w:lang w:val="sl-SI"/>
        </w:rPr>
        <w:t xml:space="preserve"> </w:t>
      </w:r>
      <w:r w:rsidRPr="001048FE">
        <w:rPr>
          <w:lang w:val="sl-SI"/>
        </w:rPr>
        <w:t>organi</w:t>
      </w:r>
      <w:r w:rsidRPr="001048FE">
        <w:rPr>
          <w:spacing w:val="-12"/>
          <w:lang w:val="sl-SI"/>
        </w:rPr>
        <w:t xml:space="preserve"> </w:t>
      </w:r>
      <w:r w:rsidRPr="001048FE">
        <w:rPr>
          <w:lang w:val="sl-SI"/>
        </w:rPr>
        <w:t>se</w:t>
      </w:r>
      <w:r w:rsidRPr="001048FE">
        <w:rPr>
          <w:spacing w:val="-13"/>
          <w:lang w:val="sl-SI"/>
        </w:rPr>
        <w:t xml:space="preserve"> </w:t>
      </w:r>
      <w:r w:rsidRPr="001048FE">
        <w:rPr>
          <w:lang w:val="sl-SI"/>
        </w:rPr>
        <w:t>lahko</w:t>
      </w:r>
      <w:r w:rsidRPr="001048FE">
        <w:rPr>
          <w:spacing w:val="-13"/>
          <w:lang w:val="sl-SI"/>
        </w:rPr>
        <w:t xml:space="preserve"> </w:t>
      </w:r>
      <w:r w:rsidRPr="001048FE">
        <w:rPr>
          <w:lang w:val="sl-SI"/>
        </w:rPr>
        <w:t>skupaj</w:t>
      </w:r>
      <w:r w:rsidRPr="001048FE">
        <w:rPr>
          <w:spacing w:val="-13"/>
          <w:lang w:val="sl-SI"/>
        </w:rPr>
        <w:t xml:space="preserve"> </w:t>
      </w:r>
      <w:r w:rsidRPr="001048FE">
        <w:rPr>
          <w:lang w:val="sl-SI"/>
        </w:rPr>
        <w:t>z</w:t>
      </w:r>
      <w:r w:rsidRPr="001048FE">
        <w:rPr>
          <w:spacing w:val="-13"/>
          <w:lang w:val="sl-SI"/>
        </w:rPr>
        <w:t xml:space="preserve"> </w:t>
      </w:r>
      <w:r w:rsidRPr="001048FE">
        <w:rPr>
          <w:lang w:val="sl-SI"/>
        </w:rPr>
        <w:t>nacionalnimi</w:t>
      </w:r>
      <w:r w:rsidRPr="001048FE">
        <w:rPr>
          <w:spacing w:val="-13"/>
          <w:lang w:val="sl-SI"/>
        </w:rPr>
        <w:t xml:space="preserve"> </w:t>
      </w:r>
      <w:r w:rsidRPr="001048FE">
        <w:rPr>
          <w:lang w:val="sl-SI"/>
        </w:rPr>
        <w:t>agencijami,</w:t>
      </w:r>
      <w:r w:rsidRPr="001048FE">
        <w:rPr>
          <w:spacing w:val="-13"/>
          <w:lang w:val="sl-SI"/>
        </w:rPr>
        <w:t xml:space="preserve"> </w:t>
      </w:r>
      <w:r w:rsidRPr="001048FE">
        <w:rPr>
          <w:lang w:val="sl-SI"/>
        </w:rPr>
        <w:t>ki</w:t>
      </w:r>
      <w:r w:rsidRPr="001048FE">
        <w:rPr>
          <w:spacing w:val="-13"/>
          <w:lang w:val="sl-SI"/>
        </w:rPr>
        <w:t xml:space="preserve"> </w:t>
      </w:r>
      <w:r w:rsidRPr="001048FE">
        <w:rPr>
          <w:lang w:val="sl-SI"/>
        </w:rPr>
        <w:t>so</w:t>
      </w:r>
      <w:r w:rsidRPr="001048FE">
        <w:rPr>
          <w:spacing w:val="-13"/>
          <w:lang w:val="sl-SI"/>
        </w:rPr>
        <w:t xml:space="preserve"> </w:t>
      </w:r>
      <w:r w:rsidRPr="001048FE">
        <w:rPr>
          <w:lang w:val="sl-SI"/>
        </w:rPr>
        <w:t>odgovorne</w:t>
      </w:r>
      <w:r w:rsidRPr="001048FE">
        <w:rPr>
          <w:spacing w:val="-12"/>
          <w:lang w:val="sl-SI"/>
        </w:rPr>
        <w:t xml:space="preserve"> </w:t>
      </w:r>
      <w:r w:rsidRPr="001048FE">
        <w:rPr>
          <w:lang w:val="sl-SI"/>
        </w:rPr>
        <w:t>za</w:t>
      </w:r>
      <w:r w:rsidRPr="001048FE">
        <w:rPr>
          <w:spacing w:val="-13"/>
          <w:lang w:val="sl-SI"/>
        </w:rPr>
        <w:t xml:space="preserve"> </w:t>
      </w:r>
      <w:r w:rsidRPr="001048FE">
        <w:rPr>
          <w:lang w:val="sl-SI"/>
        </w:rPr>
        <w:t>izvajanje</w:t>
      </w:r>
      <w:r w:rsidRPr="001048FE">
        <w:rPr>
          <w:spacing w:val="-13"/>
          <w:lang w:val="sl-SI"/>
        </w:rPr>
        <w:t xml:space="preserve"> </w:t>
      </w:r>
      <w:r w:rsidRPr="001048FE">
        <w:rPr>
          <w:lang w:val="sl-SI"/>
        </w:rPr>
        <w:t>programa Erasmus+ v zadevni državi Programa, odločijo (na podlagi možnosti privolitve/odklonitve glede na podporo,</w:t>
      </w:r>
      <w:r w:rsidRPr="001048FE">
        <w:rPr>
          <w:spacing w:val="-10"/>
          <w:lang w:val="sl-SI"/>
        </w:rPr>
        <w:t xml:space="preserve"> </w:t>
      </w:r>
      <w:r w:rsidRPr="001048FE">
        <w:rPr>
          <w:lang w:val="sl-SI"/>
        </w:rPr>
        <w:t>ki</w:t>
      </w:r>
      <w:r w:rsidRPr="001048FE">
        <w:rPr>
          <w:spacing w:val="-10"/>
          <w:lang w:val="sl-SI"/>
        </w:rPr>
        <w:t xml:space="preserve"> </w:t>
      </w:r>
      <w:r w:rsidRPr="001048FE">
        <w:rPr>
          <w:lang w:val="sl-SI"/>
        </w:rPr>
        <w:t>je</w:t>
      </w:r>
      <w:r w:rsidRPr="001048FE">
        <w:rPr>
          <w:spacing w:val="-10"/>
          <w:lang w:val="sl-SI"/>
        </w:rPr>
        <w:t xml:space="preserve"> </w:t>
      </w:r>
      <w:r w:rsidRPr="001048FE">
        <w:rPr>
          <w:lang w:val="sl-SI"/>
        </w:rPr>
        <w:t>že</w:t>
      </w:r>
      <w:r w:rsidRPr="001048FE">
        <w:rPr>
          <w:spacing w:val="-10"/>
          <w:lang w:val="sl-SI"/>
        </w:rPr>
        <w:t xml:space="preserve"> </w:t>
      </w:r>
      <w:r w:rsidRPr="001048FE">
        <w:rPr>
          <w:lang w:val="sl-SI"/>
        </w:rPr>
        <w:t>zagotovljena</w:t>
      </w:r>
      <w:r w:rsidRPr="001048FE">
        <w:rPr>
          <w:spacing w:val="-10"/>
          <w:lang w:val="sl-SI"/>
        </w:rPr>
        <w:t xml:space="preserve"> </w:t>
      </w:r>
      <w:r w:rsidRPr="001048FE">
        <w:rPr>
          <w:lang w:val="sl-SI"/>
        </w:rPr>
        <w:t>na</w:t>
      </w:r>
      <w:r w:rsidRPr="001048FE">
        <w:rPr>
          <w:spacing w:val="-10"/>
          <w:lang w:val="sl-SI"/>
        </w:rPr>
        <w:t xml:space="preserve"> </w:t>
      </w:r>
      <w:r w:rsidRPr="001048FE">
        <w:rPr>
          <w:lang w:val="sl-SI"/>
        </w:rPr>
        <w:t>nacionalni</w:t>
      </w:r>
      <w:r w:rsidRPr="001048FE">
        <w:rPr>
          <w:spacing w:val="-10"/>
          <w:lang w:val="sl-SI"/>
        </w:rPr>
        <w:t xml:space="preserve"> </w:t>
      </w:r>
      <w:r w:rsidRPr="001048FE">
        <w:rPr>
          <w:lang w:val="sl-SI"/>
        </w:rPr>
        <w:t>ravni),</w:t>
      </w:r>
      <w:r w:rsidRPr="001048FE">
        <w:rPr>
          <w:spacing w:val="-10"/>
          <w:lang w:val="sl-SI"/>
        </w:rPr>
        <w:t xml:space="preserve"> </w:t>
      </w:r>
      <w:r w:rsidRPr="001048FE">
        <w:rPr>
          <w:lang w:val="sl-SI"/>
        </w:rPr>
        <w:t>da</w:t>
      </w:r>
      <w:r w:rsidRPr="001048FE">
        <w:rPr>
          <w:spacing w:val="-10"/>
          <w:lang w:val="sl-SI"/>
        </w:rPr>
        <w:t xml:space="preserve"> </w:t>
      </w:r>
      <w:r w:rsidRPr="001048FE">
        <w:rPr>
          <w:lang w:val="sl-SI"/>
        </w:rPr>
        <w:t>bi</w:t>
      </w:r>
      <w:r w:rsidRPr="001048FE">
        <w:rPr>
          <w:spacing w:val="-10"/>
          <w:lang w:val="sl-SI"/>
        </w:rPr>
        <w:t xml:space="preserve"> </w:t>
      </w:r>
      <w:r w:rsidRPr="001048FE">
        <w:rPr>
          <w:lang w:val="sl-SI"/>
        </w:rPr>
        <w:t>morale</w:t>
      </w:r>
      <w:r w:rsidRPr="001048FE">
        <w:rPr>
          <w:spacing w:val="-10"/>
          <w:lang w:val="sl-SI"/>
        </w:rPr>
        <w:t xml:space="preserve"> </w:t>
      </w:r>
      <w:r w:rsidRPr="001048FE">
        <w:rPr>
          <w:lang w:val="sl-SI"/>
        </w:rPr>
        <w:t>vse</w:t>
      </w:r>
      <w:r w:rsidRPr="001048FE">
        <w:rPr>
          <w:spacing w:val="-10"/>
          <w:lang w:val="sl-SI"/>
        </w:rPr>
        <w:t xml:space="preserve"> </w:t>
      </w:r>
      <w:r w:rsidRPr="001048FE">
        <w:rPr>
          <w:lang w:val="sl-SI"/>
        </w:rPr>
        <w:t>visokošolske</w:t>
      </w:r>
      <w:r w:rsidRPr="001048FE">
        <w:rPr>
          <w:spacing w:val="-10"/>
          <w:lang w:val="sl-SI"/>
        </w:rPr>
        <w:t xml:space="preserve"> </w:t>
      </w:r>
      <w:r w:rsidRPr="001048FE">
        <w:rPr>
          <w:lang w:val="sl-SI"/>
        </w:rPr>
        <w:t>institucije</w:t>
      </w:r>
      <w:r w:rsidRPr="001048FE">
        <w:rPr>
          <w:spacing w:val="-10"/>
          <w:lang w:val="sl-SI"/>
        </w:rPr>
        <w:t xml:space="preserve"> </w:t>
      </w:r>
      <w:r w:rsidRPr="001048FE">
        <w:rPr>
          <w:lang w:val="sl-SI"/>
        </w:rPr>
        <w:t>v</w:t>
      </w:r>
      <w:r w:rsidRPr="001048FE">
        <w:rPr>
          <w:spacing w:val="-10"/>
          <w:lang w:val="sl-SI"/>
        </w:rPr>
        <w:t xml:space="preserve"> </w:t>
      </w:r>
      <w:r w:rsidRPr="001048FE">
        <w:rPr>
          <w:lang w:val="sl-SI"/>
        </w:rPr>
        <w:t>njihovi državi zvišati individualno podporo v okviru njihovih nepovratnih sredstev EU za študente iz okolij z manj</w:t>
      </w:r>
      <w:r w:rsidRPr="001048FE">
        <w:rPr>
          <w:spacing w:val="-7"/>
          <w:lang w:val="sl-SI"/>
        </w:rPr>
        <w:t xml:space="preserve"> </w:t>
      </w:r>
      <w:r w:rsidRPr="001048FE">
        <w:rPr>
          <w:lang w:val="sl-SI"/>
        </w:rPr>
        <w:t>možnostmi</w:t>
      </w:r>
      <w:r w:rsidRPr="001048FE">
        <w:rPr>
          <w:spacing w:val="-7"/>
          <w:lang w:val="sl-SI"/>
        </w:rPr>
        <w:t xml:space="preserve"> </w:t>
      </w:r>
      <w:r w:rsidRPr="001048FE">
        <w:rPr>
          <w:lang w:val="sl-SI"/>
        </w:rPr>
        <w:t>(vključno</w:t>
      </w:r>
      <w:r w:rsidRPr="001048FE">
        <w:rPr>
          <w:spacing w:val="-7"/>
          <w:lang w:val="sl-SI"/>
        </w:rPr>
        <w:t xml:space="preserve"> </w:t>
      </w:r>
      <w:r w:rsidRPr="001048FE">
        <w:rPr>
          <w:lang w:val="sl-SI"/>
        </w:rPr>
        <w:t>z</w:t>
      </w:r>
      <w:r w:rsidRPr="001048FE">
        <w:rPr>
          <w:spacing w:val="-7"/>
          <w:lang w:val="sl-SI"/>
        </w:rPr>
        <w:t xml:space="preserve"> </w:t>
      </w:r>
      <w:r w:rsidRPr="001048FE">
        <w:rPr>
          <w:lang w:val="sl-SI"/>
        </w:rPr>
        <w:t>begunci,</w:t>
      </w:r>
      <w:r w:rsidRPr="001048FE">
        <w:rPr>
          <w:spacing w:val="-7"/>
          <w:lang w:val="sl-SI"/>
        </w:rPr>
        <w:t xml:space="preserve"> </w:t>
      </w:r>
      <w:r w:rsidRPr="001048FE">
        <w:rPr>
          <w:lang w:val="sl-SI"/>
        </w:rPr>
        <w:t>migranti,</w:t>
      </w:r>
      <w:r w:rsidRPr="001048FE">
        <w:rPr>
          <w:spacing w:val="-7"/>
          <w:lang w:val="sl-SI"/>
        </w:rPr>
        <w:t xml:space="preserve"> </w:t>
      </w:r>
      <w:r w:rsidRPr="001048FE">
        <w:rPr>
          <w:lang w:val="sl-SI"/>
        </w:rPr>
        <w:t>prosilci</w:t>
      </w:r>
      <w:r w:rsidRPr="001048FE">
        <w:rPr>
          <w:spacing w:val="-7"/>
          <w:lang w:val="sl-SI"/>
        </w:rPr>
        <w:t xml:space="preserve"> </w:t>
      </w:r>
      <w:r w:rsidRPr="001048FE">
        <w:rPr>
          <w:lang w:val="sl-SI"/>
        </w:rPr>
        <w:t>za</w:t>
      </w:r>
      <w:r w:rsidRPr="001048FE">
        <w:rPr>
          <w:spacing w:val="-7"/>
          <w:lang w:val="sl-SI"/>
        </w:rPr>
        <w:t xml:space="preserve"> </w:t>
      </w:r>
      <w:r w:rsidRPr="001048FE">
        <w:rPr>
          <w:lang w:val="sl-SI"/>
        </w:rPr>
        <w:t>azil)</w:t>
      </w:r>
      <w:r w:rsidRPr="001048FE">
        <w:rPr>
          <w:spacing w:val="-7"/>
          <w:lang w:val="sl-SI"/>
        </w:rPr>
        <w:t xml:space="preserve"> </w:t>
      </w:r>
      <w:r w:rsidRPr="001048FE">
        <w:rPr>
          <w:lang w:val="sl-SI"/>
        </w:rPr>
        <w:t>za</w:t>
      </w:r>
      <w:r w:rsidRPr="001048FE">
        <w:rPr>
          <w:spacing w:val="-7"/>
          <w:lang w:val="sl-SI"/>
        </w:rPr>
        <w:t xml:space="preserve"> </w:t>
      </w:r>
      <w:r w:rsidRPr="001048FE">
        <w:rPr>
          <w:lang w:val="sl-SI"/>
        </w:rPr>
        <w:t>enoten</w:t>
      </w:r>
      <w:r w:rsidRPr="001048FE">
        <w:rPr>
          <w:spacing w:val="-7"/>
          <w:lang w:val="sl-SI"/>
        </w:rPr>
        <w:t xml:space="preserve"> </w:t>
      </w:r>
      <w:r w:rsidRPr="001048FE">
        <w:rPr>
          <w:lang w:val="sl-SI"/>
        </w:rPr>
        <w:t>znesek</w:t>
      </w:r>
      <w:r w:rsidRPr="001048FE">
        <w:rPr>
          <w:spacing w:val="-5"/>
          <w:lang w:val="sl-SI"/>
        </w:rPr>
        <w:t xml:space="preserve"> </w:t>
      </w:r>
      <w:r w:rsidRPr="001048FE">
        <w:rPr>
          <w:b/>
          <w:lang w:val="sl-SI"/>
        </w:rPr>
        <w:t>od</w:t>
      </w:r>
      <w:r w:rsidRPr="001048FE">
        <w:rPr>
          <w:b/>
          <w:spacing w:val="-1"/>
          <w:lang w:val="sl-SI"/>
        </w:rPr>
        <w:t xml:space="preserve"> </w:t>
      </w:r>
      <w:r w:rsidRPr="001048FE">
        <w:rPr>
          <w:b/>
          <w:lang w:val="sl-SI"/>
        </w:rPr>
        <w:t>100</w:t>
      </w:r>
      <w:r w:rsidRPr="001048FE">
        <w:rPr>
          <w:b/>
          <w:spacing w:val="-1"/>
          <w:lang w:val="sl-SI"/>
        </w:rPr>
        <w:t xml:space="preserve"> </w:t>
      </w:r>
      <w:r w:rsidRPr="001048FE">
        <w:rPr>
          <w:b/>
          <w:lang w:val="sl-SI"/>
        </w:rPr>
        <w:t>do 200 EUR na mesec</w:t>
      </w:r>
      <w:r w:rsidRPr="001048FE">
        <w:rPr>
          <w:lang w:val="sl-SI"/>
        </w:rPr>
        <w:t>. Nacionalni organi bi na nacionalni ravni opredelili natančen enoten mesečni znesek in merila, ki naj bi se uporabila.</w:t>
      </w:r>
    </w:p>
    <w:p w14:paraId="7D3989B5" w14:textId="77777777" w:rsidR="00E03711" w:rsidRDefault="00E03711">
      <w:pPr>
        <w:widowControl/>
        <w:suppressAutoHyphens w:val="0"/>
        <w:autoSpaceDN/>
        <w:textAlignment w:val="auto"/>
        <w:rPr>
          <w:rFonts w:eastAsia="Times New Roman"/>
          <w:b/>
          <w:smallCaps/>
          <w:sz w:val="20"/>
          <w:szCs w:val="28"/>
          <w:lang w:val="sl-SI"/>
        </w:rPr>
        <w:sectPr w:rsidR="00E03711" w:rsidSect="007F4890">
          <w:endnotePr>
            <w:numFmt w:val="decimal"/>
          </w:endnotePr>
          <w:pgSz w:w="11910" w:h="16840" w:code="9"/>
          <w:pgMar w:top="1134" w:right="1418" w:bottom="1134" w:left="1418" w:header="283" w:footer="567" w:gutter="0"/>
          <w:cols w:space="720"/>
          <w:docGrid w:linePitch="326"/>
        </w:sectPr>
      </w:pPr>
    </w:p>
    <w:p w14:paraId="7D3989B6" w14:textId="77777777" w:rsidR="00E03711" w:rsidRPr="001048FE" w:rsidRDefault="00E03711" w:rsidP="007643E9">
      <w:pPr>
        <w:pStyle w:val="Guide-Heading6"/>
        <w:rPr>
          <w:lang w:val="sl-SI"/>
        </w:rPr>
      </w:pPr>
      <w:r w:rsidRPr="001048FE">
        <w:rPr>
          <w:lang w:val="sl-SI"/>
        </w:rPr>
        <w:t>C) Nepovratna sredstva za mobilnost osebja</w:t>
      </w:r>
    </w:p>
    <w:p w14:paraId="7D3989B7" w14:textId="77777777" w:rsidR="00E03711" w:rsidRPr="001048FE" w:rsidRDefault="00E03711" w:rsidP="007643E9">
      <w:pPr>
        <w:pStyle w:val="GUIDE-NORMAL"/>
        <w:rPr>
          <w:lang w:val="sl-SI"/>
        </w:rPr>
      </w:pPr>
      <w:r w:rsidRPr="001048FE">
        <w:rPr>
          <w:lang w:val="sl-SI"/>
        </w:rPr>
        <w:t>Osebje bo prejelo nepovratna sredstva EU, ki so namenjena kritju njihovih potnih stroškov in stroškov bivanja v tujini ter znašajo: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489"/>
        <w:gridCol w:w="2701"/>
        <w:gridCol w:w="2341"/>
        <w:gridCol w:w="5490"/>
        <w:gridCol w:w="2721"/>
      </w:tblGrid>
      <w:tr w:rsidR="00E03711" w:rsidRPr="008C6F8C" w14:paraId="7D3989BC" w14:textId="77777777" w:rsidTr="00FB2090">
        <w:trPr>
          <w:trHeight w:val="113"/>
        </w:trPr>
        <w:tc>
          <w:tcPr>
            <w:tcW w:w="1421" w:type="pct"/>
            <w:gridSpan w:val="2"/>
            <w:shd w:val="clear" w:color="auto" w:fill="auto"/>
            <w:vAlign w:val="center"/>
          </w:tcPr>
          <w:p w14:paraId="7D3989B8" w14:textId="77777777" w:rsidR="00E03711" w:rsidRPr="00F769E0" w:rsidRDefault="00E03711" w:rsidP="007643E9">
            <w:pPr>
              <w:pStyle w:val="Guide-Table"/>
              <w:rPr>
                <w:rFonts w:cs="Tahoma"/>
                <w:b/>
                <w:lang w:val="sl-SI" w:eastAsia="en-GB"/>
              </w:rPr>
            </w:pPr>
            <w:r w:rsidRPr="00F769E0">
              <w:rPr>
                <w:rFonts w:cs="Tahoma"/>
                <w:b/>
                <w:lang w:val="sl-SI" w:eastAsia="en-GB"/>
              </w:rPr>
              <w:t>Upravičeni</w:t>
            </w:r>
            <w:r w:rsidRPr="00F769E0">
              <w:rPr>
                <w:rFonts w:cs="Tahoma"/>
                <w:b/>
                <w:spacing w:val="-16"/>
                <w:lang w:val="sl-SI" w:eastAsia="en-GB"/>
              </w:rPr>
              <w:t xml:space="preserve"> </w:t>
            </w:r>
            <w:r w:rsidRPr="00F769E0">
              <w:rPr>
                <w:rFonts w:cs="Tahoma"/>
                <w:b/>
                <w:lang w:val="sl-SI" w:eastAsia="en-GB"/>
              </w:rPr>
              <w:t>stroški</w:t>
            </w:r>
          </w:p>
        </w:tc>
        <w:tc>
          <w:tcPr>
            <w:tcW w:w="794" w:type="pct"/>
            <w:tcBorders>
              <w:bottom w:val="single" w:sz="4" w:space="0" w:color="auto"/>
            </w:tcBorders>
            <w:shd w:val="clear" w:color="auto" w:fill="auto"/>
            <w:vAlign w:val="center"/>
          </w:tcPr>
          <w:p w14:paraId="7D3989B9" w14:textId="77777777" w:rsidR="00E03711" w:rsidRPr="00F769E0" w:rsidRDefault="00E03711" w:rsidP="007643E9">
            <w:pPr>
              <w:pStyle w:val="Guide-Table"/>
              <w:rPr>
                <w:rFonts w:cs="Tahoma"/>
                <w:b/>
                <w:lang w:val="sl-SI" w:eastAsia="en-GB"/>
              </w:rPr>
            </w:pPr>
            <w:r>
              <w:rPr>
                <w:rFonts w:cs="Tahoma"/>
                <w:b/>
                <w:lang w:val="sl-SI" w:eastAsia="en-GB"/>
              </w:rPr>
              <w:t xml:space="preserve">Mehanizem </w:t>
            </w:r>
            <w:r w:rsidRPr="00F769E0">
              <w:rPr>
                <w:rFonts w:cs="Tahoma"/>
                <w:b/>
                <w:lang w:val="sl-SI" w:eastAsia="en-GB"/>
              </w:rPr>
              <w:t>financiranja</w:t>
            </w:r>
          </w:p>
        </w:tc>
        <w:tc>
          <w:tcPr>
            <w:tcW w:w="1862" w:type="pct"/>
            <w:tcBorders>
              <w:bottom w:val="single" w:sz="4" w:space="0" w:color="auto"/>
            </w:tcBorders>
            <w:shd w:val="clear" w:color="auto" w:fill="auto"/>
            <w:vAlign w:val="center"/>
          </w:tcPr>
          <w:p w14:paraId="7D3989BA" w14:textId="77777777" w:rsidR="00E03711" w:rsidRPr="00F769E0" w:rsidRDefault="00E03711" w:rsidP="000D1577">
            <w:pPr>
              <w:pStyle w:val="GUIDE-NORMAL"/>
              <w:spacing w:before="20" w:after="20"/>
              <w:jc w:val="center"/>
              <w:rPr>
                <w:rFonts w:cs="Tahoma"/>
                <w:b/>
                <w:lang w:val="sl-SI" w:eastAsia="en-GB"/>
              </w:rPr>
            </w:pPr>
            <w:r w:rsidRPr="00F769E0">
              <w:rPr>
                <w:rFonts w:cs="Tahoma"/>
                <w:b/>
                <w:lang w:val="sl-SI" w:eastAsia="en-GB"/>
              </w:rPr>
              <w:t>Znesek</w:t>
            </w:r>
          </w:p>
        </w:tc>
        <w:tc>
          <w:tcPr>
            <w:tcW w:w="924" w:type="pct"/>
            <w:tcBorders>
              <w:bottom w:val="single" w:sz="4" w:space="0" w:color="auto"/>
            </w:tcBorders>
            <w:shd w:val="clear" w:color="auto" w:fill="auto"/>
            <w:vAlign w:val="center"/>
          </w:tcPr>
          <w:p w14:paraId="7D3989BB" w14:textId="77777777" w:rsidR="00E03711" w:rsidRPr="00F769E0" w:rsidRDefault="00E03711" w:rsidP="000D1577">
            <w:pPr>
              <w:pStyle w:val="GUIDE-NORMAL"/>
              <w:spacing w:before="20" w:after="20"/>
              <w:jc w:val="center"/>
              <w:rPr>
                <w:rFonts w:cs="Tahoma"/>
                <w:b/>
                <w:lang w:val="sl-SI" w:eastAsia="en-GB"/>
              </w:rPr>
            </w:pPr>
            <w:r w:rsidRPr="00F769E0">
              <w:rPr>
                <w:rFonts w:cs="Tahoma"/>
                <w:b/>
                <w:lang w:val="sl-SI" w:eastAsia="en-GB"/>
              </w:rPr>
              <w:t>Pravilo dodelitve</w:t>
            </w:r>
          </w:p>
        </w:tc>
      </w:tr>
      <w:tr w:rsidR="00E03711" w:rsidRPr="00C60205" w14:paraId="7D3989C2" w14:textId="77777777" w:rsidTr="00FB2090">
        <w:trPr>
          <w:trHeight w:val="587"/>
        </w:trPr>
        <w:tc>
          <w:tcPr>
            <w:tcW w:w="505" w:type="pct"/>
            <w:vMerge w:val="restart"/>
            <w:vAlign w:val="center"/>
          </w:tcPr>
          <w:p w14:paraId="7D3989BD" w14:textId="77777777" w:rsidR="00E03711" w:rsidRPr="00F769E0" w:rsidRDefault="00E03711" w:rsidP="000D1577">
            <w:pPr>
              <w:pStyle w:val="Guide-Table"/>
              <w:spacing w:before="20" w:after="20"/>
              <w:jc w:val="left"/>
              <w:rPr>
                <w:rFonts w:cs="Tahoma"/>
                <w:b/>
                <w:snapToGrid w:val="0"/>
                <w:lang w:val="sl-SI" w:eastAsia="en-GB"/>
              </w:rPr>
            </w:pPr>
            <w:r w:rsidRPr="00F769E0">
              <w:rPr>
                <w:rFonts w:cs="Tahoma"/>
                <w:b/>
                <w:snapToGrid w:val="0"/>
                <w:lang w:val="sl-SI" w:eastAsia="en-GB"/>
              </w:rPr>
              <w:t>Pot</w:t>
            </w:r>
          </w:p>
        </w:tc>
        <w:tc>
          <w:tcPr>
            <w:tcW w:w="916" w:type="pct"/>
            <w:vMerge w:val="restart"/>
            <w:vAlign w:val="center"/>
          </w:tcPr>
          <w:p w14:paraId="7D3989BE" w14:textId="77777777" w:rsidR="00E03711" w:rsidRPr="00F769E0" w:rsidRDefault="00E03711" w:rsidP="000D1577">
            <w:pPr>
              <w:pStyle w:val="Guide-Table"/>
              <w:spacing w:before="20" w:after="20"/>
              <w:jc w:val="left"/>
              <w:rPr>
                <w:rFonts w:cs="Tahoma"/>
                <w:snapToGrid w:val="0"/>
                <w:lang w:val="sl-SI" w:eastAsia="en-GB"/>
              </w:rPr>
            </w:pPr>
            <w:r w:rsidRPr="00F769E0">
              <w:rPr>
                <w:rFonts w:cs="Tahoma"/>
                <w:lang w:val="sl-SI" w:eastAsia="en-GB"/>
              </w:rPr>
              <w:t>Prispevek za potne</w:t>
            </w:r>
            <w:r w:rsidRPr="00F769E0">
              <w:rPr>
                <w:rFonts w:cs="Tahoma"/>
                <w:spacing w:val="-30"/>
                <w:lang w:val="sl-SI" w:eastAsia="en-GB"/>
              </w:rPr>
              <w:t xml:space="preserve"> </w:t>
            </w:r>
            <w:r w:rsidRPr="00F769E0">
              <w:rPr>
                <w:rFonts w:cs="Tahoma"/>
                <w:lang w:val="sl-SI" w:eastAsia="en-GB"/>
              </w:rPr>
              <w:t>stroške udeležencev od njihovega kraja izvora do kraja izvajanja aktivnosti in nazaj</w:t>
            </w:r>
          </w:p>
        </w:tc>
        <w:tc>
          <w:tcPr>
            <w:tcW w:w="794" w:type="pct"/>
            <w:vMerge w:val="restart"/>
            <w:vAlign w:val="center"/>
          </w:tcPr>
          <w:p w14:paraId="7D3989BF" w14:textId="77777777" w:rsidR="00E03711" w:rsidRPr="00F769E0" w:rsidRDefault="00E03711" w:rsidP="000D1577">
            <w:pPr>
              <w:pStyle w:val="Guide-Table"/>
              <w:spacing w:before="20" w:after="20"/>
              <w:jc w:val="left"/>
              <w:rPr>
                <w:rFonts w:cs="Tahoma"/>
                <w:snapToGrid w:val="0"/>
                <w:lang w:val="sl-SI" w:eastAsia="en-GB"/>
              </w:rPr>
            </w:pPr>
            <w:r w:rsidRPr="00F769E0">
              <w:rPr>
                <w:rFonts w:cs="Tahoma"/>
                <w:snapToGrid w:val="0"/>
                <w:lang w:val="sl-SI" w:eastAsia="en-GB"/>
              </w:rPr>
              <w:t>Prispevek za stroške na enoto</w:t>
            </w:r>
          </w:p>
        </w:tc>
        <w:tc>
          <w:tcPr>
            <w:tcW w:w="1862" w:type="pct"/>
          </w:tcPr>
          <w:p w14:paraId="7D3989C0" w14:textId="77777777" w:rsidR="00E03711" w:rsidRPr="00F769E0" w:rsidRDefault="00E03711" w:rsidP="00AC4991">
            <w:pPr>
              <w:pStyle w:val="Guide-Table"/>
              <w:spacing w:before="60" w:after="60"/>
              <w:jc w:val="left"/>
              <w:rPr>
                <w:rFonts w:cs="Tahoma"/>
                <w:lang w:val="sl-SI" w:eastAsia="en-GB"/>
              </w:rPr>
            </w:pPr>
            <w:r w:rsidRPr="00F769E0">
              <w:rPr>
                <w:rFonts w:cs="Tahoma"/>
                <w:lang w:val="sl-SI" w:eastAsia="en-GB"/>
              </w:rPr>
              <w:t xml:space="preserve">Za razdalje od 10 do 99 km: </w:t>
            </w:r>
            <w:r w:rsidRPr="00F769E0">
              <w:rPr>
                <w:rFonts w:cs="Tahoma"/>
                <w:lang w:val="sl-SI" w:eastAsia="en-GB"/>
              </w:rPr>
              <w:br/>
              <w:t>20 EUR na udeleženca</w:t>
            </w:r>
          </w:p>
        </w:tc>
        <w:tc>
          <w:tcPr>
            <w:tcW w:w="924" w:type="pct"/>
            <w:vMerge w:val="restart"/>
            <w:vAlign w:val="center"/>
          </w:tcPr>
          <w:p w14:paraId="7D3989C1" w14:textId="77777777" w:rsidR="00E03711" w:rsidRPr="00F769E0" w:rsidRDefault="00E03711" w:rsidP="005E2614">
            <w:pPr>
              <w:pStyle w:val="GUIDE-NORMAL"/>
              <w:jc w:val="left"/>
              <w:rPr>
                <w:rFonts w:cs="Tahoma"/>
                <w:lang w:val="sl-SI" w:eastAsia="fr-FR"/>
              </w:rPr>
            </w:pPr>
            <w:r w:rsidRPr="00F769E0">
              <w:rPr>
                <w:rFonts w:cs="Tahoma"/>
                <w:lang w:val="sl-SI" w:eastAsia="en-GB"/>
              </w:rPr>
              <w:t>Glede na razdaljo poti na udeleženca. Razdaljo je treba izračunati s kalkulatorjem razdalje, ki ga podpira Evropska komisija</w:t>
            </w:r>
            <w:r w:rsidRPr="00F769E0">
              <w:rPr>
                <w:rStyle w:val="FootnoteReference"/>
                <w:rFonts w:cs="Tahoma"/>
                <w:lang w:val="sl-SI" w:eastAsia="en-GB"/>
              </w:rPr>
              <w:footnoteReference w:id="37"/>
            </w:r>
            <w:r w:rsidRPr="00F769E0">
              <w:rPr>
                <w:rFonts w:cs="Tahoma"/>
                <w:lang w:val="sl-SI" w:eastAsia="en-GB"/>
              </w:rPr>
              <w:t>. Prijavitelj mora navesti razdaljo enosmerne poti za izračun zneska nepovratnih sredstev EU za kritje povratne poti</w:t>
            </w:r>
            <w:r w:rsidRPr="00F769E0">
              <w:rPr>
                <w:rStyle w:val="FootnoteReference"/>
                <w:rFonts w:cs="Tahoma"/>
                <w:lang w:val="sl-SI" w:eastAsia="en-GB"/>
              </w:rPr>
              <w:footnoteReference w:id="38"/>
            </w:r>
            <w:r w:rsidRPr="00F769E0">
              <w:rPr>
                <w:rFonts w:cs="Tahoma"/>
                <w:lang w:val="sl-SI" w:eastAsia="en-GB"/>
              </w:rPr>
              <w:t>.</w:t>
            </w:r>
          </w:p>
        </w:tc>
      </w:tr>
      <w:tr w:rsidR="00E03711" w:rsidRPr="00C60205" w14:paraId="7D3989C8" w14:textId="77777777" w:rsidTr="00FB2090">
        <w:trPr>
          <w:trHeight w:val="588"/>
        </w:trPr>
        <w:tc>
          <w:tcPr>
            <w:tcW w:w="505" w:type="pct"/>
            <w:vMerge/>
            <w:vAlign w:val="center"/>
          </w:tcPr>
          <w:p w14:paraId="7D3989C3" w14:textId="77777777" w:rsidR="00E03711" w:rsidRPr="00F769E0" w:rsidRDefault="00E03711" w:rsidP="000D1577">
            <w:pPr>
              <w:pStyle w:val="Guide-Table"/>
              <w:spacing w:before="20" w:after="20"/>
              <w:jc w:val="left"/>
              <w:rPr>
                <w:rFonts w:cs="Tahoma"/>
                <w:b/>
                <w:snapToGrid w:val="0"/>
                <w:lang w:val="sl-SI" w:eastAsia="en-GB"/>
              </w:rPr>
            </w:pPr>
          </w:p>
        </w:tc>
        <w:tc>
          <w:tcPr>
            <w:tcW w:w="916" w:type="pct"/>
            <w:vMerge/>
            <w:vAlign w:val="center"/>
          </w:tcPr>
          <w:p w14:paraId="7D3989C4" w14:textId="77777777" w:rsidR="00E03711" w:rsidRPr="00F769E0" w:rsidRDefault="00E03711" w:rsidP="000D1577">
            <w:pPr>
              <w:pStyle w:val="Guide-Table"/>
              <w:spacing w:before="20" w:after="20"/>
              <w:jc w:val="left"/>
              <w:rPr>
                <w:rFonts w:cs="Tahoma"/>
                <w:snapToGrid w:val="0"/>
                <w:lang w:val="sl-SI" w:eastAsia="en-GB"/>
              </w:rPr>
            </w:pPr>
          </w:p>
        </w:tc>
        <w:tc>
          <w:tcPr>
            <w:tcW w:w="794" w:type="pct"/>
            <w:vMerge/>
            <w:vAlign w:val="center"/>
          </w:tcPr>
          <w:p w14:paraId="7D3989C5" w14:textId="77777777" w:rsidR="00E03711" w:rsidRPr="00F769E0" w:rsidRDefault="00E03711" w:rsidP="000D1577">
            <w:pPr>
              <w:pStyle w:val="Guide-Table"/>
              <w:spacing w:before="20" w:after="20"/>
              <w:jc w:val="left"/>
              <w:rPr>
                <w:rFonts w:cs="Tahoma"/>
                <w:snapToGrid w:val="0"/>
                <w:lang w:val="sl-SI" w:eastAsia="en-GB"/>
              </w:rPr>
            </w:pPr>
          </w:p>
        </w:tc>
        <w:tc>
          <w:tcPr>
            <w:tcW w:w="1862" w:type="pct"/>
          </w:tcPr>
          <w:p w14:paraId="7D3989C6" w14:textId="77777777" w:rsidR="00E03711" w:rsidRPr="00F769E0" w:rsidRDefault="00E03711" w:rsidP="00AC4991">
            <w:pPr>
              <w:pStyle w:val="Guide-Table"/>
              <w:spacing w:before="60" w:after="60"/>
              <w:jc w:val="left"/>
              <w:rPr>
                <w:rFonts w:cs="Tahoma"/>
                <w:lang w:val="sl-SI" w:eastAsia="en-GB"/>
              </w:rPr>
            </w:pPr>
            <w:r w:rsidRPr="00F769E0">
              <w:rPr>
                <w:rFonts w:cs="Tahoma"/>
                <w:lang w:val="sl-SI" w:eastAsia="en-GB"/>
              </w:rPr>
              <w:t xml:space="preserve">Za razdalje od 100 do 499 km: </w:t>
            </w:r>
            <w:r w:rsidRPr="00F769E0">
              <w:rPr>
                <w:rFonts w:cs="Tahoma"/>
                <w:lang w:val="sl-SI" w:eastAsia="en-GB"/>
              </w:rPr>
              <w:br/>
              <w:t>180 EUR na udeleženca</w:t>
            </w:r>
          </w:p>
        </w:tc>
        <w:tc>
          <w:tcPr>
            <w:tcW w:w="924" w:type="pct"/>
            <w:vMerge/>
            <w:vAlign w:val="center"/>
          </w:tcPr>
          <w:p w14:paraId="7D3989C7" w14:textId="77777777" w:rsidR="00E03711" w:rsidRPr="00F769E0" w:rsidRDefault="00E03711" w:rsidP="000D1577">
            <w:pPr>
              <w:pStyle w:val="Guide-Table"/>
              <w:spacing w:before="20" w:after="20"/>
              <w:jc w:val="left"/>
              <w:rPr>
                <w:rFonts w:cs="Tahoma"/>
                <w:snapToGrid w:val="0"/>
                <w:lang w:val="sl-SI" w:eastAsia="en-GB"/>
              </w:rPr>
            </w:pPr>
          </w:p>
        </w:tc>
      </w:tr>
      <w:tr w:rsidR="00E03711" w:rsidRPr="00C60205" w14:paraId="7D3989CE" w14:textId="77777777" w:rsidTr="00FB2090">
        <w:trPr>
          <w:trHeight w:val="588"/>
        </w:trPr>
        <w:tc>
          <w:tcPr>
            <w:tcW w:w="505" w:type="pct"/>
            <w:vMerge/>
            <w:vAlign w:val="center"/>
          </w:tcPr>
          <w:p w14:paraId="7D3989C9" w14:textId="77777777" w:rsidR="00E03711" w:rsidRPr="00F769E0" w:rsidRDefault="00E03711" w:rsidP="000D1577">
            <w:pPr>
              <w:pStyle w:val="Guide-Table"/>
              <w:spacing w:before="20" w:after="20"/>
              <w:jc w:val="left"/>
              <w:rPr>
                <w:rFonts w:cs="Tahoma"/>
                <w:b/>
                <w:snapToGrid w:val="0"/>
                <w:lang w:val="sl-SI" w:eastAsia="en-GB"/>
              </w:rPr>
            </w:pPr>
          </w:p>
        </w:tc>
        <w:tc>
          <w:tcPr>
            <w:tcW w:w="916" w:type="pct"/>
            <w:vMerge/>
            <w:vAlign w:val="center"/>
          </w:tcPr>
          <w:p w14:paraId="7D3989CA" w14:textId="77777777" w:rsidR="00E03711" w:rsidRPr="00F769E0" w:rsidRDefault="00E03711" w:rsidP="000D1577">
            <w:pPr>
              <w:pStyle w:val="Guide-Table"/>
              <w:spacing w:before="20" w:after="20"/>
              <w:jc w:val="left"/>
              <w:rPr>
                <w:rFonts w:cs="Tahoma"/>
                <w:snapToGrid w:val="0"/>
                <w:lang w:val="sl-SI" w:eastAsia="en-GB"/>
              </w:rPr>
            </w:pPr>
          </w:p>
        </w:tc>
        <w:tc>
          <w:tcPr>
            <w:tcW w:w="794" w:type="pct"/>
            <w:vMerge/>
            <w:vAlign w:val="center"/>
          </w:tcPr>
          <w:p w14:paraId="7D3989CB" w14:textId="77777777" w:rsidR="00E03711" w:rsidRPr="00F769E0" w:rsidRDefault="00E03711" w:rsidP="000D1577">
            <w:pPr>
              <w:pStyle w:val="Guide-Table"/>
              <w:spacing w:before="20" w:after="20"/>
              <w:jc w:val="left"/>
              <w:rPr>
                <w:rFonts w:cs="Tahoma"/>
                <w:snapToGrid w:val="0"/>
                <w:lang w:val="sl-SI" w:eastAsia="en-GB"/>
              </w:rPr>
            </w:pPr>
          </w:p>
        </w:tc>
        <w:tc>
          <w:tcPr>
            <w:tcW w:w="1862" w:type="pct"/>
          </w:tcPr>
          <w:p w14:paraId="7D3989CC" w14:textId="77777777" w:rsidR="00E03711" w:rsidRPr="00F769E0" w:rsidRDefault="00E03711" w:rsidP="00AC4991">
            <w:pPr>
              <w:pStyle w:val="Guide-Table"/>
              <w:spacing w:before="60" w:after="60"/>
              <w:jc w:val="left"/>
              <w:rPr>
                <w:rFonts w:cs="Tahoma"/>
                <w:lang w:val="sl-SI" w:eastAsia="en-GB"/>
              </w:rPr>
            </w:pPr>
            <w:r w:rsidRPr="00F769E0">
              <w:rPr>
                <w:rFonts w:cs="Tahoma"/>
                <w:lang w:val="sl-SI" w:eastAsia="en-GB"/>
              </w:rPr>
              <w:t xml:space="preserve">Za razdalje od 500 do 1 999 km: </w:t>
            </w:r>
            <w:r w:rsidRPr="00F769E0">
              <w:rPr>
                <w:rFonts w:cs="Tahoma"/>
                <w:lang w:val="sl-SI" w:eastAsia="en-GB"/>
              </w:rPr>
              <w:br/>
              <w:t>275 EUR na udeleženca</w:t>
            </w:r>
          </w:p>
        </w:tc>
        <w:tc>
          <w:tcPr>
            <w:tcW w:w="924" w:type="pct"/>
            <w:vMerge/>
            <w:vAlign w:val="center"/>
          </w:tcPr>
          <w:p w14:paraId="7D3989CD" w14:textId="77777777" w:rsidR="00E03711" w:rsidRPr="00F769E0" w:rsidRDefault="00E03711" w:rsidP="000D1577">
            <w:pPr>
              <w:pStyle w:val="Guide-Table"/>
              <w:spacing w:before="20" w:after="20"/>
              <w:jc w:val="left"/>
              <w:rPr>
                <w:rFonts w:cs="Tahoma"/>
                <w:snapToGrid w:val="0"/>
                <w:lang w:val="sl-SI" w:eastAsia="en-GB"/>
              </w:rPr>
            </w:pPr>
          </w:p>
        </w:tc>
      </w:tr>
      <w:tr w:rsidR="00E03711" w:rsidRPr="00C60205" w14:paraId="7D3989D4" w14:textId="77777777" w:rsidTr="00FB2090">
        <w:trPr>
          <w:trHeight w:val="435"/>
        </w:trPr>
        <w:tc>
          <w:tcPr>
            <w:tcW w:w="505" w:type="pct"/>
            <w:vMerge/>
            <w:vAlign w:val="center"/>
          </w:tcPr>
          <w:p w14:paraId="7D3989CF" w14:textId="77777777" w:rsidR="00E03711" w:rsidRPr="00F769E0" w:rsidRDefault="00E03711" w:rsidP="000D1577">
            <w:pPr>
              <w:pStyle w:val="Guide-Table"/>
              <w:spacing w:before="20" w:after="20"/>
              <w:jc w:val="left"/>
              <w:rPr>
                <w:rFonts w:cs="Tahoma"/>
                <w:b/>
                <w:snapToGrid w:val="0"/>
                <w:lang w:val="sl-SI" w:eastAsia="en-GB"/>
              </w:rPr>
            </w:pPr>
          </w:p>
        </w:tc>
        <w:tc>
          <w:tcPr>
            <w:tcW w:w="916" w:type="pct"/>
            <w:vMerge/>
            <w:vAlign w:val="center"/>
          </w:tcPr>
          <w:p w14:paraId="7D3989D0" w14:textId="77777777" w:rsidR="00E03711" w:rsidRPr="00F769E0" w:rsidRDefault="00E03711" w:rsidP="000D1577">
            <w:pPr>
              <w:pStyle w:val="Guide-Table"/>
              <w:spacing w:before="20" w:after="20"/>
              <w:jc w:val="left"/>
              <w:rPr>
                <w:rFonts w:cs="Tahoma"/>
                <w:snapToGrid w:val="0"/>
                <w:lang w:val="sl-SI" w:eastAsia="en-GB"/>
              </w:rPr>
            </w:pPr>
          </w:p>
        </w:tc>
        <w:tc>
          <w:tcPr>
            <w:tcW w:w="794" w:type="pct"/>
            <w:vMerge/>
            <w:vAlign w:val="center"/>
          </w:tcPr>
          <w:p w14:paraId="7D3989D1" w14:textId="77777777" w:rsidR="00E03711" w:rsidRPr="00F769E0" w:rsidRDefault="00E03711" w:rsidP="000D1577">
            <w:pPr>
              <w:pStyle w:val="Guide-Table"/>
              <w:spacing w:before="20" w:after="20"/>
              <w:jc w:val="left"/>
              <w:rPr>
                <w:rFonts w:cs="Tahoma"/>
                <w:snapToGrid w:val="0"/>
                <w:lang w:val="sl-SI" w:eastAsia="en-GB"/>
              </w:rPr>
            </w:pPr>
          </w:p>
        </w:tc>
        <w:tc>
          <w:tcPr>
            <w:tcW w:w="1862" w:type="pct"/>
          </w:tcPr>
          <w:p w14:paraId="7D3989D2" w14:textId="77777777" w:rsidR="00E03711" w:rsidRPr="00F769E0" w:rsidRDefault="00E03711" w:rsidP="00AC4991">
            <w:pPr>
              <w:pStyle w:val="Guide-Table"/>
              <w:spacing w:before="60" w:after="60"/>
              <w:jc w:val="left"/>
              <w:rPr>
                <w:rFonts w:cs="Tahoma"/>
                <w:lang w:val="sl-SI" w:eastAsia="en-GB"/>
              </w:rPr>
            </w:pPr>
            <w:r w:rsidRPr="00F769E0">
              <w:rPr>
                <w:rFonts w:cs="Tahoma"/>
                <w:lang w:val="sl-SI" w:eastAsia="en-GB"/>
              </w:rPr>
              <w:t>Za razdalje od 2 000 do 2 999 km: 360 EUR na udeleženca</w:t>
            </w:r>
          </w:p>
        </w:tc>
        <w:tc>
          <w:tcPr>
            <w:tcW w:w="924" w:type="pct"/>
            <w:vMerge/>
            <w:vAlign w:val="center"/>
          </w:tcPr>
          <w:p w14:paraId="7D3989D3" w14:textId="77777777" w:rsidR="00E03711" w:rsidRPr="00F769E0" w:rsidRDefault="00E03711" w:rsidP="000D1577">
            <w:pPr>
              <w:pStyle w:val="Guide-Table"/>
              <w:spacing w:before="20" w:after="20"/>
              <w:jc w:val="left"/>
              <w:rPr>
                <w:rFonts w:cs="Tahoma"/>
                <w:snapToGrid w:val="0"/>
                <w:lang w:val="sl-SI" w:eastAsia="en-GB"/>
              </w:rPr>
            </w:pPr>
          </w:p>
        </w:tc>
      </w:tr>
      <w:tr w:rsidR="00E03711" w:rsidRPr="00C60205" w14:paraId="7D3989DA" w14:textId="77777777" w:rsidTr="00FB2090">
        <w:trPr>
          <w:trHeight w:val="444"/>
        </w:trPr>
        <w:tc>
          <w:tcPr>
            <w:tcW w:w="505" w:type="pct"/>
            <w:vMerge/>
            <w:vAlign w:val="center"/>
          </w:tcPr>
          <w:p w14:paraId="7D3989D5" w14:textId="77777777" w:rsidR="00E03711" w:rsidRPr="00F769E0" w:rsidRDefault="00E03711" w:rsidP="000D1577">
            <w:pPr>
              <w:pStyle w:val="Guide-Table"/>
              <w:spacing w:before="20" w:after="20"/>
              <w:jc w:val="left"/>
              <w:rPr>
                <w:rFonts w:cs="Tahoma"/>
                <w:b/>
                <w:snapToGrid w:val="0"/>
                <w:lang w:val="sl-SI" w:eastAsia="en-GB"/>
              </w:rPr>
            </w:pPr>
          </w:p>
        </w:tc>
        <w:tc>
          <w:tcPr>
            <w:tcW w:w="916" w:type="pct"/>
            <w:vMerge/>
            <w:vAlign w:val="center"/>
          </w:tcPr>
          <w:p w14:paraId="7D3989D6" w14:textId="77777777" w:rsidR="00E03711" w:rsidRPr="00F769E0" w:rsidRDefault="00E03711" w:rsidP="000D1577">
            <w:pPr>
              <w:pStyle w:val="Guide-Table"/>
              <w:spacing w:before="20" w:after="20"/>
              <w:jc w:val="left"/>
              <w:rPr>
                <w:rFonts w:cs="Tahoma"/>
                <w:snapToGrid w:val="0"/>
                <w:lang w:val="sl-SI" w:eastAsia="en-GB"/>
              </w:rPr>
            </w:pPr>
          </w:p>
        </w:tc>
        <w:tc>
          <w:tcPr>
            <w:tcW w:w="794" w:type="pct"/>
            <w:vMerge/>
            <w:vAlign w:val="center"/>
          </w:tcPr>
          <w:p w14:paraId="7D3989D7" w14:textId="77777777" w:rsidR="00E03711" w:rsidRPr="00F769E0" w:rsidRDefault="00E03711" w:rsidP="000D1577">
            <w:pPr>
              <w:pStyle w:val="Guide-Table"/>
              <w:spacing w:before="20" w:after="20"/>
              <w:jc w:val="left"/>
              <w:rPr>
                <w:rFonts w:cs="Tahoma"/>
                <w:snapToGrid w:val="0"/>
                <w:lang w:val="sl-SI" w:eastAsia="en-GB"/>
              </w:rPr>
            </w:pPr>
          </w:p>
        </w:tc>
        <w:tc>
          <w:tcPr>
            <w:tcW w:w="1862" w:type="pct"/>
          </w:tcPr>
          <w:p w14:paraId="7D3989D8" w14:textId="77777777" w:rsidR="00E03711" w:rsidRPr="00F769E0" w:rsidRDefault="00E03711" w:rsidP="00AC4991">
            <w:pPr>
              <w:pStyle w:val="Guide-Table"/>
              <w:spacing w:before="60" w:after="60"/>
              <w:jc w:val="left"/>
              <w:rPr>
                <w:rFonts w:cs="Tahoma"/>
                <w:lang w:val="sl-SI" w:eastAsia="en-GB"/>
              </w:rPr>
            </w:pPr>
            <w:r w:rsidRPr="00F769E0">
              <w:rPr>
                <w:rFonts w:cs="Tahoma"/>
                <w:lang w:val="sl-SI" w:eastAsia="en-GB"/>
              </w:rPr>
              <w:t>Za razdalje od 3 000 do 3 999 km: 530 EUR na udeleženca</w:t>
            </w:r>
          </w:p>
        </w:tc>
        <w:tc>
          <w:tcPr>
            <w:tcW w:w="924" w:type="pct"/>
            <w:vMerge/>
            <w:vAlign w:val="center"/>
          </w:tcPr>
          <w:p w14:paraId="7D3989D9" w14:textId="77777777" w:rsidR="00E03711" w:rsidRPr="00F769E0" w:rsidRDefault="00E03711" w:rsidP="000D1577">
            <w:pPr>
              <w:pStyle w:val="Guide-Table"/>
              <w:spacing w:before="20" w:after="20"/>
              <w:jc w:val="left"/>
              <w:rPr>
                <w:rFonts w:cs="Tahoma"/>
                <w:snapToGrid w:val="0"/>
                <w:lang w:val="sl-SI" w:eastAsia="en-GB"/>
              </w:rPr>
            </w:pPr>
          </w:p>
        </w:tc>
      </w:tr>
      <w:tr w:rsidR="00E03711" w:rsidRPr="00C60205" w14:paraId="7D3989E0" w14:textId="77777777" w:rsidTr="00FB2090">
        <w:trPr>
          <w:trHeight w:val="435"/>
        </w:trPr>
        <w:tc>
          <w:tcPr>
            <w:tcW w:w="505" w:type="pct"/>
            <w:vMerge/>
            <w:vAlign w:val="center"/>
          </w:tcPr>
          <w:p w14:paraId="7D3989DB" w14:textId="77777777" w:rsidR="00E03711" w:rsidRPr="00F769E0" w:rsidRDefault="00E03711" w:rsidP="000D1577">
            <w:pPr>
              <w:pStyle w:val="Guide-Table"/>
              <w:spacing w:before="20" w:after="20"/>
              <w:jc w:val="left"/>
              <w:rPr>
                <w:rFonts w:cs="Tahoma"/>
                <w:b/>
                <w:snapToGrid w:val="0"/>
                <w:lang w:val="sl-SI" w:eastAsia="en-GB"/>
              </w:rPr>
            </w:pPr>
          </w:p>
        </w:tc>
        <w:tc>
          <w:tcPr>
            <w:tcW w:w="916" w:type="pct"/>
            <w:vMerge/>
            <w:vAlign w:val="center"/>
          </w:tcPr>
          <w:p w14:paraId="7D3989DC" w14:textId="77777777" w:rsidR="00E03711" w:rsidRPr="00F769E0" w:rsidRDefault="00E03711" w:rsidP="000D1577">
            <w:pPr>
              <w:pStyle w:val="Guide-Table"/>
              <w:spacing w:before="20" w:after="20"/>
              <w:jc w:val="left"/>
              <w:rPr>
                <w:rFonts w:cs="Tahoma"/>
                <w:snapToGrid w:val="0"/>
                <w:lang w:val="sl-SI" w:eastAsia="en-GB"/>
              </w:rPr>
            </w:pPr>
          </w:p>
        </w:tc>
        <w:tc>
          <w:tcPr>
            <w:tcW w:w="794" w:type="pct"/>
            <w:vMerge/>
            <w:vAlign w:val="center"/>
          </w:tcPr>
          <w:p w14:paraId="7D3989DD" w14:textId="77777777" w:rsidR="00E03711" w:rsidRPr="00F769E0" w:rsidRDefault="00E03711" w:rsidP="000D1577">
            <w:pPr>
              <w:pStyle w:val="Guide-Table"/>
              <w:spacing w:before="20" w:after="20"/>
              <w:jc w:val="left"/>
              <w:rPr>
                <w:rFonts w:cs="Tahoma"/>
                <w:snapToGrid w:val="0"/>
                <w:lang w:val="sl-SI" w:eastAsia="en-GB"/>
              </w:rPr>
            </w:pPr>
          </w:p>
        </w:tc>
        <w:tc>
          <w:tcPr>
            <w:tcW w:w="1862" w:type="pct"/>
          </w:tcPr>
          <w:p w14:paraId="7D3989DE" w14:textId="77777777" w:rsidR="00E03711" w:rsidRPr="00F769E0" w:rsidRDefault="00E03711" w:rsidP="00AC4991">
            <w:pPr>
              <w:pStyle w:val="Guide-Table"/>
              <w:spacing w:before="60" w:after="60"/>
              <w:jc w:val="left"/>
              <w:rPr>
                <w:rFonts w:cs="Tahoma"/>
                <w:lang w:val="sl-SI" w:eastAsia="en-GB"/>
              </w:rPr>
            </w:pPr>
            <w:r w:rsidRPr="00F769E0">
              <w:rPr>
                <w:rFonts w:cs="Tahoma"/>
                <w:lang w:val="sl-SI" w:eastAsia="en-GB"/>
              </w:rPr>
              <w:t>Za razdalje od 4 000 do 7 999 km: 820 EUR na udeleženca</w:t>
            </w:r>
          </w:p>
        </w:tc>
        <w:tc>
          <w:tcPr>
            <w:tcW w:w="924" w:type="pct"/>
            <w:vMerge/>
            <w:vAlign w:val="center"/>
          </w:tcPr>
          <w:p w14:paraId="7D3989DF" w14:textId="77777777" w:rsidR="00E03711" w:rsidRPr="00F769E0" w:rsidRDefault="00E03711" w:rsidP="000D1577">
            <w:pPr>
              <w:pStyle w:val="Guide-Table"/>
              <w:spacing w:before="20" w:after="20"/>
              <w:jc w:val="left"/>
              <w:rPr>
                <w:rFonts w:cs="Tahoma"/>
                <w:snapToGrid w:val="0"/>
                <w:lang w:val="sl-SI" w:eastAsia="en-GB"/>
              </w:rPr>
            </w:pPr>
          </w:p>
        </w:tc>
      </w:tr>
      <w:tr w:rsidR="00E03711" w:rsidRPr="00C60205" w14:paraId="7D3989E6" w14:textId="77777777" w:rsidTr="00FB2090">
        <w:trPr>
          <w:trHeight w:val="588"/>
        </w:trPr>
        <w:tc>
          <w:tcPr>
            <w:tcW w:w="505" w:type="pct"/>
            <w:vMerge/>
            <w:vAlign w:val="center"/>
          </w:tcPr>
          <w:p w14:paraId="7D3989E1" w14:textId="77777777" w:rsidR="00E03711" w:rsidRPr="00F769E0" w:rsidRDefault="00E03711" w:rsidP="000D1577">
            <w:pPr>
              <w:pStyle w:val="Guide-Table"/>
              <w:spacing w:before="20" w:after="20"/>
              <w:jc w:val="left"/>
              <w:rPr>
                <w:rFonts w:cs="Tahoma"/>
                <w:b/>
                <w:snapToGrid w:val="0"/>
                <w:lang w:val="sl-SI" w:eastAsia="en-GB"/>
              </w:rPr>
            </w:pPr>
          </w:p>
        </w:tc>
        <w:tc>
          <w:tcPr>
            <w:tcW w:w="916" w:type="pct"/>
            <w:vMerge/>
            <w:vAlign w:val="center"/>
          </w:tcPr>
          <w:p w14:paraId="7D3989E2" w14:textId="77777777" w:rsidR="00E03711" w:rsidRPr="00F769E0" w:rsidRDefault="00E03711" w:rsidP="000D1577">
            <w:pPr>
              <w:pStyle w:val="Guide-Table"/>
              <w:spacing w:before="20" w:after="20"/>
              <w:jc w:val="left"/>
              <w:rPr>
                <w:rFonts w:cs="Tahoma"/>
                <w:snapToGrid w:val="0"/>
                <w:lang w:val="sl-SI" w:eastAsia="en-GB"/>
              </w:rPr>
            </w:pPr>
          </w:p>
        </w:tc>
        <w:tc>
          <w:tcPr>
            <w:tcW w:w="794" w:type="pct"/>
            <w:vMerge/>
            <w:vAlign w:val="center"/>
          </w:tcPr>
          <w:p w14:paraId="7D3989E3" w14:textId="77777777" w:rsidR="00E03711" w:rsidRPr="00F769E0" w:rsidRDefault="00E03711" w:rsidP="000D1577">
            <w:pPr>
              <w:pStyle w:val="Guide-Table"/>
              <w:spacing w:before="20" w:after="20"/>
              <w:jc w:val="left"/>
              <w:rPr>
                <w:rFonts w:cs="Tahoma"/>
                <w:snapToGrid w:val="0"/>
                <w:lang w:val="sl-SI" w:eastAsia="en-GB"/>
              </w:rPr>
            </w:pPr>
          </w:p>
        </w:tc>
        <w:tc>
          <w:tcPr>
            <w:tcW w:w="1862" w:type="pct"/>
            <w:tcBorders>
              <w:bottom w:val="single" w:sz="4" w:space="0" w:color="auto"/>
            </w:tcBorders>
          </w:tcPr>
          <w:p w14:paraId="7D3989E4" w14:textId="77777777" w:rsidR="00E03711" w:rsidRPr="00F769E0" w:rsidRDefault="00E03711" w:rsidP="00AC4991">
            <w:pPr>
              <w:pStyle w:val="Guide-Table"/>
              <w:spacing w:before="60" w:after="60"/>
              <w:jc w:val="left"/>
              <w:rPr>
                <w:rFonts w:cs="Tahoma"/>
                <w:lang w:val="sl-SI" w:eastAsia="en-GB"/>
              </w:rPr>
            </w:pPr>
            <w:r w:rsidRPr="00F769E0">
              <w:rPr>
                <w:rFonts w:cs="Tahoma"/>
                <w:lang w:val="sl-SI" w:eastAsia="en-GB"/>
              </w:rPr>
              <w:t xml:space="preserve">Za razdalje 8 000 km ali več: </w:t>
            </w:r>
            <w:r w:rsidRPr="00F769E0">
              <w:rPr>
                <w:rFonts w:cs="Tahoma"/>
                <w:lang w:val="sl-SI" w:eastAsia="en-GB"/>
              </w:rPr>
              <w:br/>
              <w:t>1 500 EUR na udeleženca</w:t>
            </w:r>
          </w:p>
        </w:tc>
        <w:tc>
          <w:tcPr>
            <w:tcW w:w="924" w:type="pct"/>
            <w:vMerge/>
            <w:tcBorders>
              <w:bottom w:val="nil"/>
            </w:tcBorders>
            <w:vAlign w:val="center"/>
          </w:tcPr>
          <w:p w14:paraId="7D3989E5" w14:textId="77777777" w:rsidR="00E03711" w:rsidRPr="00F769E0" w:rsidRDefault="00E03711" w:rsidP="000D1577">
            <w:pPr>
              <w:pStyle w:val="Guide-Table"/>
              <w:spacing w:before="20" w:after="20"/>
              <w:jc w:val="left"/>
              <w:rPr>
                <w:rFonts w:cs="Tahoma"/>
                <w:snapToGrid w:val="0"/>
                <w:lang w:val="sl-SI" w:eastAsia="en-GB"/>
              </w:rPr>
            </w:pPr>
          </w:p>
        </w:tc>
      </w:tr>
      <w:tr w:rsidR="00E03711" w:rsidRPr="00C60205" w14:paraId="7D3989EF" w14:textId="77777777" w:rsidTr="00FB2090">
        <w:trPr>
          <w:trHeight w:val="20"/>
        </w:trPr>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7D3989E7" w14:textId="77777777" w:rsidR="00E03711" w:rsidRPr="00F769E0" w:rsidRDefault="00E03711" w:rsidP="00E25D19">
            <w:pPr>
              <w:pStyle w:val="Guide-Table"/>
              <w:spacing w:before="60" w:after="60"/>
              <w:jc w:val="left"/>
              <w:rPr>
                <w:rFonts w:cs="Tahoma"/>
                <w:b/>
                <w:lang w:val="sl-SI" w:eastAsia="en-GB"/>
              </w:rPr>
            </w:pPr>
            <w:r w:rsidRPr="00F769E0">
              <w:rPr>
                <w:rFonts w:cs="Tahoma"/>
                <w:b/>
                <w:lang w:val="sl-SI" w:eastAsia="en-GB"/>
              </w:rPr>
              <w:t>Individualna</w:t>
            </w:r>
          </w:p>
          <w:p w14:paraId="7D3989E8" w14:textId="77777777" w:rsidR="00E03711" w:rsidRPr="00F769E0" w:rsidRDefault="00E03711" w:rsidP="00E25D19">
            <w:pPr>
              <w:pStyle w:val="Guide-Table"/>
              <w:spacing w:before="60" w:after="60"/>
              <w:jc w:val="left"/>
              <w:rPr>
                <w:rFonts w:cs="Tahoma"/>
                <w:lang w:val="sl-SI" w:eastAsia="en-GB"/>
              </w:rPr>
            </w:pPr>
            <w:r w:rsidRPr="00F769E0">
              <w:rPr>
                <w:rFonts w:cs="Tahoma"/>
                <w:b/>
                <w:lang w:val="sl-SI" w:eastAsia="en-GB"/>
              </w:rPr>
              <w:t>podpora</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14:paraId="7D3989E9" w14:textId="77777777" w:rsidR="00E03711" w:rsidRPr="00F769E0" w:rsidRDefault="00E03711" w:rsidP="00E25D19">
            <w:pPr>
              <w:pStyle w:val="Guide-Table"/>
              <w:spacing w:before="60" w:after="60"/>
              <w:rPr>
                <w:rFonts w:cs="Tahoma"/>
                <w:lang w:val="sl-SI" w:eastAsia="en-GB"/>
              </w:rPr>
            </w:pPr>
            <w:r w:rsidRPr="00F769E0">
              <w:rPr>
                <w:rFonts w:cs="Tahoma"/>
                <w:lang w:val="sl-SI" w:eastAsia="en-GB"/>
              </w:rPr>
              <w:t>Stroški, neposredno povezani z bivanjem udeležencev med aktivnostjo</w:t>
            </w:r>
          </w:p>
        </w:tc>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14:paraId="7D3989EA" w14:textId="77777777" w:rsidR="00E03711" w:rsidRPr="00F769E0" w:rsidRDefault="00E03711" w:rsidP="00E25D19">
            <w:pPr>
              <w:pStyle w:val="Guide-Table"/>
              <w:spacing w:before="60" w:after="60"/>
              <w:rPr>
                <w:rFonts w:cs="Tahoma"/>
                <w:lang w:val="sl-SI" w:eastAsia="en-GB"/>
              </w:rPr>
            </w:pPr>
            <w:r w:rsidRPr="00F769E0">
              <w:rPr>
                <w:rFonts w:cs="Tahoma"/>
                <w:lang w:val="sl-SI" w:eastAsia="en-GB"/>
              </w:rPr>
              <w:t>Prispevek za stroške na enoto</w:t>
            </w:r>
          </w:p>
        </w:tc>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14:paraId="7D3989EB" w14:textId="77777777" w:rsidR="00E03711" w:rsidRPr="00F769E0" w:rsidRDefault="00E03711" w:rsidP="00E25D19">
            <w:pPr>
              <w:pStyle w:val="GUIDE-NORMAL"/>
              <w:spacing w:before="60" w:after="60"/>
              <w:jc w:val="left"/>
              <w:rPr>
                <w:rFonts w:cs="Tahoma"/>
                <w:lang w:val="sl-SI" w:eastAsia="en-GB"/>
              </w:rPr>
            </w:pPr>
            <w:r>
              <w:rPr>
                <w:rFonts w:cs="Tahoma"/>
                <w:lang w:val="sl-SI" w:eastAsia="en-GB"/>
              </w:rPr>
              <w:t xml:space="preserve">Do 14. dneva aktivnosti: A1.1, </w:t>
            </w:r>
            <w:r w:rsidRPr="00F769E0">
              <w:rPr>
                <w:rFonts w:cs="Tahoma"/>
                <w:lang w:val="sl-SI" w:eastAsia="en-GB"/>
              </w:rPr>
              <w:t xml:space="preserve">če gre za mobilnost med državami Programa, ali A1.2, če gre za mobilnost med državami Programa in partnerskimi državami, na dan na udeleženca </w:t>
            </w:r>
          </w:p>
          <w:p w14:paraId="7D3989EC" w14:textId="77777777" w:rsidR="00E03711" w:rsidRPr="00F769E0" w:rsidRDefault="00E03711" w:rsidP="00E25D19">
            <w:pPr>
              <w:pStyle w:val="GUIDE-NORMAL"/>
              <w:spacing w:before="60" w:after="60"/>
              <w:jc w:val="left"/>
              <w:rPr>
                <w:rFonts w:cs="Tahoma"/>
                <w:lang w:val="sl-SI" w:eastAsia="en-GB"/>
              </w:rPr>
            </w:pPr>
            <w:r w:rsidRPr="00F769E0">
              <w:rPr>
                <w:rFonts w:cs="Tahoma"/>
                <w:lang w:val="sl-SI" w:eastAsia="en-GB"/>
              </w:rPr>
              <w:t xml:space="preserve">+ </w:t>
            </w:r>
          </w:p>
          <w:p w14:paraId="7D3989ED" w14:textId="77777777" w:rsidR="00E03711" w:rsidRPr="00F769E0" w:rsidRDefault="00E03711" w:rsidP="0006056A">
            <w:pPr>
              <w:pStyle w:val="GUIDE-NORMAL"/>
              <w:spacing w:before="60" w:after="60"/>
              <w:jc w:val="left"/>
              <w:rPr>
                <w:rFonts w:cs="Tahoma"/>
                <w:lang w:val="sl-SI" w:eastAsia="en-GB"/>
              </w:rPr>
            </w:pPr>
            <w:r w:rsidRPr="00F769E0">
              <w:rPr>
                <w:rFonts w:cs="Tahoma"/>
                <w:lang w:val="sl-SI" w:eastAsia="en-GB"/>
              </w:rPr>
              <w:t xml:space="preserve">od 15. do 60. dneva aktivnosti: </w:t>
            </w:r>
            <w:r w:rsidRPr="00F769E0">
              <w:rPr>
                <w:rFonts w:cs="Tahoma"/>
                <w:lang w:val="sl-SI" w:eastAsia="en-GB"/>
              </w:rPr>
              <w:br/>
              <w:t>70 % A1.1, če gre za mobilnost med državami Programa, ali A1.2, če gre za mobilnost med državami Programa in partnerskimi državami, na dan na udeleženca</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7D3989EE" w14:textId="77777777" w:rsidR="00E03711" w:rsidRPr="00F769E0" w:rsidRDefault="00E03711" w:rsidP="00E25D19">
            <w:pPr>
              <w:pStyle w:val="GUIDE-NORMAL"/>
              <w:spacing w:before="60" w:after="60"/>
              <w:jc w:val="left"/>
              <w:rPr>
                <w:rFonts w:cs="Tahoma"/>
                <w:lang w:val="sl-SI" w:eastAsia="en-GB"/>
              </w:rPr>
            </w:pPr>
            <w:r w:rsidRPr="00F769E0">
              <w:rPr>
                <w:rFonts w:cs="Tahoma"/>
                <w:lang w:val="sl-SI" w:eastAsia="en-GB"/>
              </w:rPr>
              <w:t>Glede na trajanje bivanja udeleženca (po potrebi vključno z enim dnem poti pred aktivnostjo in enim dnem poti po aktivnosti).</w:t>
            </w:r>
          </w:p>
        </w:tc>
      </w:tr>
    </w:tbl>
    <w:p w14:paraId="7D3989F0" w14:textId="77777777" w:rsidR="00E03711" w:rsidRDefault="00E03711" w:rsidP="004C43A6">
      <w:pPr>
        <w:pStyle w:val="Guide-Heading6"/>
        <w:rPr>
          <w:lang w:val="sl-SI"/>
        </w:rPr>
        <w:sectPr w:rsidR="00E03711" w:rsidSect="00FB2090">
          <w:endnotePr>
            <w:numFmt w:val="decimal"/>
          </w:endnotePr>
          <w:pgSz w:w="16840" w:h="11910" w:orient="landscape" w:code="9"/>
          <w:pgMar w:top="1418" w:right="1134" w:bottom="1418" w:left="1134" w:header="283" w:footer="567" w:gutter="0"/>
          <w:cols w:space="720"/>
          <w:docGrid w:linePitch="326"/>
        </w:sectPr>
      </w:pPr>
      <w:bookmarkStart w:id="165" w:name="Tableau_A_–_Soutien_individuel_(montants"/>
      <w:bookmarkEnd w:id="165"/>
    </w:p>
    <w:p w14:paraId="7D3989F1" w14:textId="77777777" w:rsidR="00E03711" w:rsidRPr="001048FE" w:rsidRDefault="00E03711" w:rsidP="004C43A6">
      <w:pPr>
        <w:pStyle w:val="Guide-Heading6"/>
        <w:rPr>
          <w:lang w:val="sl-SI"/>
        </w:rPr>
      </w:pPr>
      <w:r w:rsidRPr="001048FE">
        <w:rPr>
          <w:lang w:val="sl-SI"/>
        </w:rPr>
        <w:t>Preglednica A – Individualna podpora (zneski v EUR na dan)</w:t>
      </w:r>
    </w:p>
    <w:p w14:paraId="7D3989F2" w14:textId="77777777" w:rsidR="00E03711" w:rsidRPr="001048FE" w:rsidRDefault="00E03711" w:rsidP="00086A8D">
      <w:pPr>
        <w:pStyle w:val="GUIDE-NORMAL"/>
        <w:rPr>
          <w:lang w:val="sl-SI"/>
        </w:rPr>
      </w:pPr>
      <w:r w:rsidRPr="001048FE">
        <w:rPr>
          <w:lang w:val="sl-SI"/>
        </w:rPr>
        <w:t>Zneski so odvisni od države gostiteljice. Ti zneski bodo opredeljeni v okviru najnižjih in najvišjih vrednosti, ki so navedene v spodnji preglednici. Nacionalne agencije bodo pri opredeljevanju zneskov, ki bodo veljali za upravičence v njihovi državi, upoštevale dve posebni merili:</w:t>
      </w:r>
    </w:p>
    <w:p w14:paraId="7D3989F3" w14:textId="77777777" w:rsidR="00E03711" w:rsidRPr="001048FE" w:rsidRDefault="00E03711" w:rsidP="005115F2">
      <w:pPr>
        <w:pStyle w:val="Guide-NormalBulletpoints"/>
        <w:numPr>
          <w:ilvl w:val="0"/>
          <w:numId w:val="213"/>
        </w:numPr>
        <w:rPr>
          <w:lang w:val="sl-SI"/>
        </w:rPr>
      </w:pPr>
      <w:r w:rsidRPr="001048FE">
        <w:rPr>
          <w:lang w:val="sl-SI"/>
        </w:rPr>
        <w:t>razpoložljivost in višino sredstev iz drugih virov sofinanciranja od zasebnih ali javnih organov na lokalni, regionalni ali nacionalni ravni za dopolnitev nepovratnih sredstev EU;</w:t>
      </w:r>
    </w:p>
    <w:p w14:paraId="7D3989F4" w14:textId="77777777" w:rsidR="00E03711" w:rsidRPr="001048FE" w:rsidRDefault="00E03711" w:rsidP="005115F2">
      <w:pPr>
        <w:pStyle w:val="Guide-NormalBulletpoints"/>
        <w:numPr>
          <w:ilvl w:val="0"/>
          <w:numId w:val="213"/>
        </w:numPr>
        <w:rPr>
          <w:lang w:val="sl-SI"/>
        </w:rPr>
      </w:pPr>
      <w:r w:rsidRPr="001048FE">
        <w:rPr>
          <w:lang w:val="sl-SI"/>
        </w:rPr>
        <w:t>splošno raven povpraševanja osebja, ki namerava poučevati ali se usposabljati v tujini.</w:t>
      </w:r>
    </w:p>
    <w:p w14:paraId="7D3989F5" w14:textId="77777777" w:rsidR="00E03711" w:rsidRPr="001048FE" w:rsidRDefault="00E03711" w:rsidP="00086A8D">
      <w:pPr>
        <w:pStyle w:val="GUIDE-NORMAL"/>
        <w:rPr>
          <w:lang w:val="sl-SI"/>
        </w:rPr>
      </w:pPr>
      <w:r w:rsidRPr="001048FE">
        <w:rPr>
          <w:lang w:val="sl-SI"/>
        </w:rPr>
        <w:t>Za</w:t>
      </w:r>
      <w:r w:rsidRPr="001048FE">
        <w:rPr>
          <w:spacing w:val="-10"/>
          <w:lang w:val="sl-SI"/>
        </w:rPr>
        <w:t xml:space="preserve"> </w:t>
      </w:r>
      <w:r w:rsidRPr="001048FE">
        <w:rPr>
          <w:lang w:val="sl-SI"/>
        </w:rPr>
        <w:t>vse</w:t>
      </w:r>
      <w:r w:rsidRPr="001048FE">
        <w:rPr>
          <w:spacing w:val="-10"/>
          <w:lang w:val="sl-SI"/>
        </w:rPr>
        <w:t xml:space="preserve"> </w:t>
      </w:r>
      <w:r w:rsidRPr="001048FE">
        <w:rPr>
          <w:lang w:val="sl-SI"/>
        </w:rPr>
        <w:t>države</w:t>
      </w:r>
      <w:r w:rsidRPr="001048FE">
        <w:rPr>
          <w:spacing w:val="-10"/>
          <w:lang w:val="sl-SI"/>
        </w:rPr>
        <w:t xml:space="preserve"> </w:t>
      </w:r>
      <w:r w:rsidRPr="001048FE">
        <w:rPr>
          <w:lang w:val="sl-SI"/>
        </w:rPr>
        <w:t>gostiteljice</w:t>
      </w:r>
      <w:r w:rsidRPr="001048FE">
        <w:rPr>
          <w:spacing w:val="-10"/>
          <w:lang w:val="sl-SI"/>
        </w:rPr>
        <w:t xml:space="preserve"> </w:t>
      </w:r>
      <w:r w:rsidRPr="001048FE">
        <w:rPr>
          <w:lang w:val="sl-SI"/>
        </w:rPr>
        <w:t>je</w:t>
      </w:r>
      <w:r w:rsidRPr="001048FE">
        <w:rPr>
          <w:spacing w:val="-10"/>
          <w:lang w:val="sl-SI"/>
        </w:rPr>
        <w:t xml:space="preserve"> </w:t>
      </w:r>
      <w:r w:rsidRPr="001048FE">
        <w:rPr>
          <w:lang w:val="sl-SI"/>
        </w:rPr>
        <w:t>treba</w:t>
      </w:r>
      <w:r w:rsidRPr="001048FE">
        <w:rPr>
          <w:spacing w:val="-10"/>
          <w:lang w:val="sl-SI"/>
        </w:rPr>
        <w:t xml:space="preserve"> </w:t>
      </w:r>
      <w:r w:rsidRPr="001048FE">
        <w:rPr>
          <w:lang w:val="sl-SI"/>
        </w:rPr>
        <w:t>uporabiti</w:t>
      </w:r>
      <w:r w:rsidRPr="001048FE">
        <w:rPr>
          <w:spacing w:val="-10"/>
          <w:lang w:val="sl-SI"/>
        </w:rPr>
        <w:t xml:space="preserve"> </w:t>
      </w:r>
      <w:r w:rsidRPr="001048FE">
        <w:rPr>
          <w:lang w:val="sl-SI"/>
        </w:rPr>
        <w:t>enake</w:t>
      </w:r>
      <w:r w:rsidRPr="001048FE">
        <w:rPr>
          <w:spacing w:val="-10"/>
          <w:lang w:val="sl-SI"/>
        </w:rPr>
        <w:t xml:space="preserve"> </w:t>
      </w:r>
      <w:r w:rsidRPr="001048FE">
        <w:rPr>
          <w:lang w:val="sl-SI"/>
        </w:rPr>
        <w:t>odstotke</w:t>
      </w:r>
      <w:r w:rsidRPr="001048FE">
        <w:rPr>
          <w:spacing w:val="-9"/>
          <w:lang w:val="sl-SI"/>
        </w:rPr>
        <w:t xml:space="preserve"> </w:t>
      </w:r>
      <w:r w:rsidRPr="001048FE">
        <w:rPr>
          <w:lang w:val="sl-SI"/>
        </w:rPr>
        <w:t>v</w:t>
      </w:r>
      <w:r w:rsidRPr="001048FE">
        <w:rPr>
          <w:spacing w:val="-10"/>
          <w:lang w:val="sl-SI"/>
        </w:rPr>
        <w:t xml:space="preserve"> </w:t>
      </w:r>
      <w:r w:rsidRPr="001048FE">
        <w:rPr>
          <w:lang w:val="sl-SI"/>
        </w:rPr>
        <w:t>razponu.</w:t>
      </w:r>
      <w:r w:rsidRPr="001048FE">
        <w:rPr>
          <w:spacing w:val="-10"/>
          <w:lang w:val="sl-SI"/>
        </w:rPr>
        <w:t xml:space="preserve"> </w:t>
      </w:r>
      <w:r w:rsidRPr="001048FE">
        <w:rPr>
          <w:lang w:val="sl-SI"/>
        </w:rPr>
        <w:t>Za</w:t>
      </w:r>
      <w:r w:rsidRPr="001048FE">
        <w:rPr>
          <w:spacing w:val="-10"/>
          <w:lang w:val="sl-SI"/>
        </w:rPr>
        <w:t xml:space="preserve"> </w:t>
      </w:r>
      <w:r w:rsidRPr="001048FE">
        <w:rPr>
          <w:lang w:val="sl-SI"/>
        </w:rPr>
        <w:t>vse</w:t>
      </w:r>
      <w:r w:rsidRPr="001048FE">
        <w:rPr>
          <w:spacing w:val="-10"/>
          <w:lang w:val="sl-SI"/>
        </w:rPr>
        <w:t xml:space="preserve"> </w:t>
      </w:r>
      <w:r w:rsidRPr="001048FE">
        <w:rPr>
          <w:lang w:val="sl-SI"/>
        </w:rPr>
        <w:t>države</w:t>
      </w:r>
      <w:r w:rsidRPr="001048FE">
        <w:rPr>
          <w:spacing w:val="-10"/>
          <w:lang w:val="sl-SI"/>
        </w:rPr>
        <w:t xml:space="preserve"> </w:t>
      </w:r>
      <w:r w:rsidRPr="001048FE">
        <w:rPr>
          <w:lang w:val="sl-SI"/>
        </w:rPr>
        <w:t>gostiteljice</w:t>
      </w:r>
      <w:r w:rsidRPr="001048FE">
        <w:rPr>
          <w:spacing w:val="-10"/>
          <w:lang w:val="sl-SI"/>
        </w:rPr>
        <w:t xml:space="preserve"> </w:t>
      </w:r>
      <w:r w:rsidRPr="001048FE">
        <w:rPr>
          <w:lang w:val="sl-SI"/>
        </w:rPr>
        <w:t>ni mogoče uporabiti enakega</w:t>
      </w:r>
      <w:r w:rsidRPr="001048FE">
        <w:rPr>
          <w:spacing w:val="-10"/>
          <w:lang w:val="sl-SI"/>
        </w:rPr>
        <w:t xml:space="preserve"> </w:t>
      </w:r>
      <w:r w:rsidRPr="001048FE">
        <w:rPr>
          <w:lang w:val="sl-SI"/>
        </w:rPr>
        <w:t>zneska.</w:t>
      </w:r>
    </w:p>
    <w:p w14:paraId="7D3989F6" w14:textId="77777777" w:rsidR="00E03711" w:rsidRPr="001048FE" w:rsidRDefault="00E03711">
      <w:pPr>
        <w:widowControl/>
        <w:suppressAutoHyphens w:val="0"/>
        <w:autoSpaceDN/>
        <w:textAlignment w:val="auto"/>
        <w:rPr>
          <w:rFonts w:eastAsia="Times New Roman"/>
          <w:sz w:val="18"/>
          <w:szCs w:val="18"/>
          <w:shd w:val="clear" w:color="auto" w:fill="FFFFFF"/>
          <w:lang w:val="sl-SI" w:eastAsia="en-GB"/>
        </w:rPr>
      </w:pPr>
    </w:p>
    <w:tbl>
      <w:tblPr>
        <w:tblW w:w="5004" w:type="pct"/>
        <w:tblLook w:val="0000" w:firstRow="0" w:lastRow="0" w:firstColumn="0" w:lastColumn="0" w:noHBand="0" w:noVBand="0"/>
      </w:tblPr>
      <w:tblGrid>
        <w:gridCol w:w="4651"/>
        <w:gridCol w:w="2324"/>
        <w:gridCol w:w="2322"/>
      </w:tblGrid>
      <w:tr w:rsidR="00E03711" w:rsidRPr="008C6F8C" w14:paraId="7D3989FA" w14:textId="77777777" w:rsidTr="004C43A6">
        <w:trPr>
          <w:cantSplit/>
          <w:trHeight w:val="57"/>
        </w:trPr>
        <w:tc>
          <w:tcPr>
            <w:tcW w:w="2501" w:type="pct"/>
            <w:vMerge w:val="restart"/>
            <w:tcBorders>
              <w:top w:val="single" w:sz="4" w:space="0" w:color="auto"/>
              <w:left w:val="single" w:sz="4" w:space="0" w:color="auto"/>
              <w:right w:val="single" w:sz="4" w:space="0" w:color="auto"/>
            </w:tcBorders>
            <w:shd w:val="clear" w:color="auto" w:fill="auto"/>
            <w:vAlign w:val="center"/>
          </w:tcPr>
          <w:p w14:paraId="7D3989F7" w14:textId="77777777" w:rsidR="00E03711" w:rsidRPr="00F769E0" w:rsidRDefault="00E03711" w:rsidP="004C43A6">
            <w:pPr>
              <w:pStyle w:val="Guide-Table"/>
              <w:spacing w:before="60" w:after="60"/>
              <w:jc w:val="left"/>
              <w:rPr>
                <w:rFonts w:cs="Tahoma"/>
                <w:lang w:val="sl-SI" w:eastAsia="en-GB"/>
              </w:rPr>
            </w:pPr>
            <w:r w:rsidRPr="00F769E0">
              <w:rPr>
                <w:rFonts w:cs="Tahoma"/>
                <w:b/>
                <w:lang w:val="sl-SI" w:eastAsia="en-GB"/>
              </w:rPr>
              <w:t>Država gostiteljica</w:t>
            </w:r>
          </w:p>
        </w:tc>
        <w:tc>
          <w:tcPr>
            <w:tcW w:w="1250" w:type="pct"/>
            <w:tcBorders>
              <w:top w:val="single" w:sz="6" w:space="0" w:color="auto"/>
              <w:left w:val="single" w:sz="4" w:space="0" w:color="auto"/>
              <w:bottom w:val="single" w:sz="6" w:space="0" w:color="auto"/>
              <w:right w:val="single" w:sz="6" w:space="0" w:color="auto"/>
            </w:tcBorders>
            <w:shd w:val="clear" w:color="auto" w:fill="auto"/>
            <w:vAlign w:val="center"/>
          </w:tcPr>
          <w:p w14:paraId="7D3989F8" w14:textId="77777777" w:rsidR="00E03711" w:rsidRPr="00F769E0" w:rsidRDefault="00E03711" w:rsidP="004C43A6">
            <w:pPr>
              <w:pStyle w:val="Guide-Table"/>
              <w:spacing w:before="60" w:after="60"/>
              <w:rPr>
                <w:rFonts w:cs="Tahoma"/>
                <w:b/>
                <w:lang w:val="sl-SI" w:eastAsia="en-GB"/>
              </w:rPr>
            </w:pPr>
            <w:r w:rsidRPr="00F769E0">
              <w:rPr>
                <w:rFonts w:cs="Tahoma"/>
                <w:b/>
                <w:lang w:val="sl-SI" w:eastAsia="en-GB"/>
              </w:rPr>
              <w:t>Osebje iz držav Programa</w:t>
            </w:r>
          </w:p>
        </w:tc>
        <w:tc>
          <w:tcPr>
            <w:tcW w:w="1249" w:type="pct"/>
            <w:tcBorders>
              <w:top w:val="single" w:sz="6" w:space="0" w:color="auto"/>
              <w:left w:val="single" w:sz="4" w:space="0" w:color="auto"/>
              <w:bottom w:val="single" w:sz="6" w:space="0" w:color="auto"/>
              <w:right w:val="single" w:sz="6" w:space="0" w:color="auto"/>
            </w:tcBorders>
            <w:shd w:val="clear" w:color="auto" w:fill="auto"/>
            <w:vAlign w:val="center"/>
          </w:tcPr>
          <w:p w14:paraId="7D3989F9" w14:textId="77777777" w:rsidR="00E03711" w:rsidRPr="00F769E0" w:rsidRDefault="00E03711" w:rsidP="00170B1A">
            <w:pPr>
              <w:pStyle w:val="Guide-Table"/>
              <w:rPr>
                <w:rFonts w:cs="Tahoma"/>
                <w:b/>
                <w:lang w:val="sl-SI" w:eastAsia="en-GB"/>
              </w:rPr>
            </w:pPr>
            <w:r w:rsidRPr="00F769E0">
              <w:rPr>
                <w:rFonts w:cs="Tahoma"/>
                <w:b/>
                <w:lang w:val="sl-SI" w:eastAsia="en-GB"/>
              </w:rPr>
              <w:t>Osebje iz partnerskih držav</w:t>
            </w:r>
          </w:p>
        </w:tc>
      </w:tr>
      <w:tr w:rsidR="00E03711" w:rsidRPr="008C6F8C" w14:paraId="7D3989FE" w14:textId="77777777" w:rsidTr="004C43A6">
        <w:trPr>
          <w:cantSplit/>
          <w:trHeight w:val="57"/>
        </w:trPr>
        <w:tc>
          <w:tcPr>
            <w:tcW w:w="2501" w:type="pct"/>
            <w:vMerge/>
            <w:tcBorders>
              <w:left w:val="single" w:sz="4" w:space="0" w:color="auto"/>
              <w:right w:val="single" w:sz="4" w:space="0" w:color="auto"/>
            </w:tcBorders>
            <w:shd w:val="clear" w:color="auto" w:fill="auto"/>
            <w:vAlign w:val="center"/>
          </w:tcPr>
          <w:p w14:paraId="7D3989FB" w14:textId="77777777" w:rsidR="00E03711" w:rsidRPr="00F769E0" w:rsidRDefault="00E03711" w:rsidP="004C43A6">
            <w:pPr>
              <w:pStyle w:val="Guide-Table"/>
              <w:spacing w:before="60" w:after="60"/>
              <w:jc w:val="left"/>
              <w:rPr>
                <w:rFonts w:cs="Tahoma"/>
                <w:b/>
                <w:lang w:val="sl-SI" w:eastAsia="en-GB"/>
              </w:rPr>
            </w:pPr>
          </w:p>
        </w:tc>
        <w:tc>
          <w:tcPr>
            <w:tcW w:w="1250" w:type="pct"/>
            <w:tcBorders>
              <w:top w:val="single" w:sz="6" w:space="0" w:color="auto"/>
              <w:left w:val="single" w:sz="4" w:space="0" w:color="auto"/>
              <w:bottom w:val="single" w:sz="6" w:space="0" w:color="auto"/>
              <w:right w:val="single" w:sz="4" w:space="0" w:color="auto"/>
            </w:tcBorders>
            <w:shd w:val="clear" w:color="auto" w:fill="auto"/>
            <w:vAlign w:val="center"/>
          </w:tcPr>
          <w:p w14:paraId="7D3989FC" w14:textId="77777777" w:rsidR="00E03711" w:rsidRPr="00F769E0" w:rsidRDefault="00E03711" w:rsidP="004C43A6">
            <w:pPr>
              <w:pStyle w:val="Guide-Table"/>
              <w:spacing w:before="60" w:after="60"/>
              <w:rPr>
                <w:rFonts w:cs="Tahoma"/>
                <w:b/>
                <w:lang w:val="sl-SI" w:eastAsia="en-GB"/>
              </w:rPr>
            </w:pPr>
            <w:r w:rsidRPr="00F769E0">
              <w:rPr>
                <w:rFonts w:cs="Tahoma"/>
                <w:b/>
                <w:bCs/>
                <w:lang w:val="sl-SI" w:eastAsia="en-GB"/>
              </w:rPr>
              <w:t xml:space="preserve">Najnižji–najvišji znesek </w:t>
            </w:r>
            <w:r w:rsidRPr="00F769E0">
              <w:rPr>
                <w:rFonts w:cs="Tahoma"/>
                <w:b/>
                <w:bCs/>
                <w:lang w:val="sl-SI" w:eastAsia="en-GB"/>
              </w:rPr>
              <w:br/>
              <w:t>(na dan)</w:t>
            </w:r>
          </w:p>
        </w:tc>
        <w:tc>
          <w:tcPr>
            <w:tcW w:w="1249" w:type="pct"/>
            <w:tcBorders>
              <w:top w:val="single" w:sz="6" w:space="0" w:color="auto"/>
              <w:left w:val="single" w:sz="4" w:space="0" w:color="auto"/>
              <w:bottom w:val="single" w:sz="6" w:space="0" w:color="auto"/>
              <w:right w:val="single" w:sz="6" w:space="0" w:color="auto"/>
            </w:tcBorders>
            <w:shd w:val="clear" w:color="auto" w:fill="auto"/>
            <w:vAlign w:val="center"/>
          </w:tcPr>
          <w:p w14:paraId="7D3989FD" w14:textId="77777777" w:rsidR="00E03711" w:rsidRPr="00F769E0" w:rsidRDefault="00E03711" w:rsidP="004C43A6">
            <w:pPr>
              <w:pStyle w:val="Guide-Table"/>
              <w:spacing w:before="60" w:after="60"/>
              <w:rPr>
                <w:rFonts w:cs="Tahoma"/>
                <w:b/>
                <w:lang w:val="sl-SI" w:eastAsia="en-GB"/>
              </w:rPr>
            </w:pPr>
            <w:r w:rsidRPr="00F769E0">
              <w:rPr>
                <w:rFonts w:cs="Tahoma"/>
                <w:b/>
                <w:bCs/>
                <w:lang w:val="sl-SI" w:eastAsia="en-GB"/>
              </w:rPr>
              <w:t>Znesek (na dan)</w:t>
            </w:r>
          </w:p>
        </w:tc>
      </w:tr>
      <w:tr w:rsidR="00E03711" w:rsidRPr="008C6F8C" w14:paraId="7D398A02" w14:textId="77777777" w:rsidTr="004C43A6">
        <w:trPr>
          <w:trHeight w:val="57"/>
        </w:trPr>
        <w:tc>
          <w:tcPr>
            <w:tcW w:w="2501" w:type="pct"/>
            <w:vMerge/>
            <w:tcBorders>
              <w:left w:val="single" w:sz="4" w:space="0" w:color="auto"/>
              <w:bottom w:val="single" w:sz="4" w:space="0" w:color="auto"/>
              <w:right w:val="single" w:sz="4" w:space="0" w:color="auto"/>
            </w:tcBorders>
            <w:shd w:val="clear" w:color="auto" w:fill="auto"/>
            <w:vAlign w:val="center"/>
          </w:tcPr>
          <w:p w14:paraId="7D3989FF" w14:textId="77777777" w:rsidR="00E03711" w:rsidRPr="00F769E0" w:rsidRDefault="00E03711" w:rsidP="004C43A6">
            <w:pPr>
              <w:pStyle w:val="Guide-Table"/>
              <w:spacing w:before="60" w:after="60"/>
              <w:jc w:val="left"/>
              <w:rPr>
                <w:rFonts w:cs="Tahoma"/>
                <w:b/>
                <w:lang w:val="sl-SI" w:eastAsia="en-GB"/>
              </w:rPr>
            </w:pPr>
          </w:p>
        </w:tc>
        <w:tc>
          <w:tcPr>
            <w:tcW w:w="1250" w:type="pct"/>
            <w:tcBorders>
              <w:top w:val="single" w:sz="6" w:space="0" w:color="auto"/>
              <w:left w:val="single" w:sz="4" w:space="0" w:color="auto"/>
              <w:bottom w:val="single" w:sz="6" w:space="0" w:color="auto"/>
              <w:right w:val="single" w:sz="4" w:space="0" w:color="auto"/>
            </w:tcBorders>
            <w:shd w:val="clear" w:color="auto" w:fill="auto"/>
            <w:vAlign w:val="center"/>
          </w:tcPr>
          <w:p w14:paraId="7D398A00" w14:textId="77777777" w:rsidR="00E03711" w:rsidRPr="00F769E0" w:rsidRDefault="00E03711" w:rsidP="004C43A6">
            <w:pPr>
              <w:pStyle w:val="Guide-Table"/>
              <w:spacing w:before="60" w:after="60"/>
              <w:rPr>
                <w:rFonts w:cs="Tahoma"/>
                <w:b/>
                <w:lang w:val="sl-SI" w:eastAsia="en-GB"/>
              </w:rPr>
            </w:pPr>
            <w:r w:rsidRPr="00F769E0">
              <w:rPr>
                <w:rFonts w:cs="Tahoma"/>
                <w:b/>
                <w:lang w:val="sl-SI" w:eastAsia="en-GB"/>
              </w:rPr>
              <w:t>A1.1</w:t>
            </w:r>
          </w:p>
        </w:tc>
        <w:tc>
          <w:tcPr>
            <w:tcW w:w="1249" w:type="pct"/>
            <w:tcBorders>
              <w:top w:val="single" w:sz="6" w:space="0" w:color="auto"/>
              <w:left w:val="single" w:sz="4" w:space="0" w:color="auto"/>
              <w:bottom w:val="single" w:sz="6" w:space="0" w:color="auto"/>
              <w:right w:val="single" w:sz="6" w:space="0" w:color="auto"/>
            </w:tcBorders>
            <w:shd w:val="clear" w:color="auto" w:fill="auto"/>
            <w:vAlign w:val="center"/>
          </w:tcPr>
          <w:p w14:paraId="7D398A01" w14:textId="77777777" w:rsidR="00E03711" w:rsidRPr="00F769E0" w:rsidRDefault="00E03711" w:rsidP="004C43A6">
            <w:pPr>
              <w:pStyle w:val="Guide-Table"/>
              <w:spacing w:before="60" w:after="60"/>
              <w:rPr>
                <w:rFonts w:cs="Tahoma"/>
                <w:b/>
                <w:lang w:val="sl-SI" w:eastAsia="en-GB"/>
              </w:rPr>
            </w:pPr>
            <w:r w:rsidRPr="00F769E0">
              <w:rPr>
                <w:rFonts w:cs="Tahoma"/>
                <w:b/>
                <w:lang w:val="sl-SI" w:eastAsia="en-GB"/>
              </w:rPr>
              <w:t>A1.2</w:t>
            </w:r>
          </w:p>
        </w:tc>
      </w:tr>
      <w:tr w:rsidR="00E03711" w:rsidRPr="008C6F8C" w14:paraId="7D398A06" w14:textId="77777777" w:rsidTr="004C43A6">
        <w:trPr>
          <w:trHeight w:val="57"/>
        </w:trPr>
        <w:tc>
          <w:tcPr>
            <w:tcW w:w="2501" w:type="pct"/>
            <w:tcBorders>
              <w:top w:val="single" w:sz="4" w:space="0" w:color="auto"/>
              <w:left w:val="single" w:sz="6" w:space="0" w:color="auto"/>
              <w:bottom w:val="single" w:sz="6" w:space="0" w:color="auto"/>
              <w:right w:val="single" w:sz="6" w:space="0" w:color="auto"/>
            </w:tcBorders>
            <w:shd w:val="clear" w:color="auto" w:fill="auto"/>
            <w:vAlign w:val="center"/>
          </w:tcPr>
          <w:p w14:paraId="7D398A03" w14:textId="77777777" w:rsidR="00E03711" w:rsidRPr="00F769E0" w:rsidRDefault="00E03711" w:rsidP="00C36DF6">
            <w:pPr>
              <w:pStyle w:val="Guide-Table"/>
              <w:jc w:val="left"/>
              <w:rPr>
                <w:rFonts w:cs="Tahoma"/>
                <w:b/>
                <w:lang w:val="sl-SI" w:eastAsia="en-GB"/>
              </w:rPr>
            </w:pPr>
            <w:r w:rsidRPr="00F769E0">
              <w:rPr>
                <w:rFonts w:cs="Tahoma"/>
                <w:b/>
                <w:lang w:val="sl-SI" w:eastAsia="en-GB"/>
              </w:rPr>
              <w:t>Norveška, Danska, Luksemburg, Združeno kraljestvo, Islandija, Švedska, Irska, Finska, Lihtenštajn</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14:paraId="7D398A04" w14:textId="77777777" w:rsidR="00E03711" w:rsidRPr="00F769E0" w:rsidRDefault="00E03711" w:rsidP="004C43A6">
            <w:pPr>
              <w:pStyle w:val="Guide-Table"/>
              <w:spacing w:before="60" w:after="60"/>
              <w:rPr>
                <w:rFonts w:cs="Tahoma"/>
                <w:lang w:val="sl-SI" w:eastAsia="en-GB"/>
              </w:rPr>
            </w:pPr>
            <w:r w:rsidRPr="00F769E0">
              <w:rPr>
                <w:rFonts w:cs="Tahoma"/>
                <w:lang w:val="sl-SI" w:eastAsia="en-GB"/>
              </w:rPr>
              <w:t>80-180</w:t>
            </w:r>
          </w:p>
        </w:tc>
        <w:tc>
          <w:tcPr>
            <w:tcW w:w="1249" w:type="pct"/>
            <w:tcBorders>
              <w:top w:val="single" w:sz="6" w:space="0" w:color="auto"/>
              <w:left w:val="single" w:sz="6" w:space="0" w:color="auto"/>
              <w:bottom w:val="single" w:sz="6" w:space="0" w:color="auto"/>
              <w:right w:val="single" w:sz="6" w:space="0" w:color="auto"/>
            </w:tcBorders>
            <w:shd w:val="clear" w:color="auto" w:fill="auto"/>
            <w:vAlign w:val="center"/>
          </w:tcPr>
          <w:p w14:paraId="7D398A05" w14:textId="77777777" w:rsidR="00E03711" w:rsidRPr="00F769E0" w:rsidRDefault="00E03711" w:rsidP="004C43A6">
            <w:pPr>
              <w:pStyle w:val="Guide-Table"/>
              <w:spacing w:before="60" w:after="60"/>
              <w:rPr>
                <w:rFonts w:cs="Tahoma"/>
                <w:lang w:val="sl-SI" w:eastAsia="en-GB"/>
              </w:rPr>
            </w:pPr>
            <w:r w:rsidRPr="00F769E0">
              <w:rPr>
                <w:rFonts w:cs="Tahoma"/>
                <w:lang w:val="sl-SI" w:eastAsia="en-GB"/>
              </w:rPr>
              <w:t>180</w:t>
            </w:r>
          </w:p>
        </w:tc>
      </w:tr>
      <w:tr w:rsidR="00E03711" w:rsidRPr="008C6F8C" w14:paraId="7D398A0A" w14:textId="77777777" w:rsidTr="004C43A6">
        <w:trPr>
          <w:trHeight w:val="57"/>
        </w:trPr>
        <w:tc>
          <w:tcPr>
            <w:tcW w:w="2501" w:type="pct"/>
            <w:tcBorders>
              <w:top w:val="single" w:sz="6" w:space="0" w:color="auto"/>
              <w:left w:val="single" w:sz="6" w:space="0" w:color="auto"/>
              <w:bottom w:val="single" w:sz="6" w:space="0" w:color="auto"/>
              <w:right w:val="single" w:sz="6" w:space="0" w:color="auto"/>
            </w:tcBorders>
            <w:shd w:val="clear" w:color="auto" w:fill="auto"/>
            <w:vAlign w:val="center"/>
          </w:tcPr>
          <w:p w14:paraId="7D398A07" w14:textId="77777777" w:rsidR="00E03711" w:rsidRPr="00F769E0" w:rsidRDefault="00E03711" w:rsidP="00C36DF6">
            <w:pPr>
              <w:pStyle w:val="Guide-Table"/>
              <w:jc w:val="left"/>
              <w:rPr>
                <w:rFonts w:cs="Tahoma"/>
                <w:b/>
                <w:lang w:val="sl-SI" w:eastAsia="en-GB"/>
              </w:rPr>
            </w:pPr>
            <w:r w:rsidRPr="00F769E0">
              <w:rPr>
                <w:rFonts w:cs="Tahoma"/>
                <w:b/>
                <w:lang w:val="sl-SI" w:eastAsia="en-GB"/>
              </w:rPr>
              <w:t>Nizozemska, Avstrija, Belgija, Francija, Nemčija, Italija, Španija, Ciper, Grčija, Malta, Portugalska</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14:paraId="7D398A08" w14:textId="77777777" w:rsidR="00E03711" w:rsidRPr="00F769E0" w:rsidRDefault="00E03711" w:rsidP="004C43A6">
            <w:pPr>
              <w:pStyle w:val="Guide-Table"/>
              <w:spacing w:before="60" w:after="60"/>
              <w:rPr>
                <w:rFonts w:cs="Tahoma"/>
                <w:lang w:val="sl-SI" w:eastAsia="en-GB"/>
              </w:rPr>
            </w:pPr>
            <w:r w:rsidRPr="00F769E0">
              <w:rPr>
                <w:rFonts w:cs="Tahoma"/>
                <w:lang w:val="sl-SI" w:eastAsia="en-GB"/>
              </w:rPr>
              <w:t>70-160</w:t>
            </w:r>
          </w:p>
        </w:tc>
        <w:tc>
          <w:tcPr>
            <w:tcW w:w="1249" w:type="pct"/>
            <w:tcBorders>
              <w:top w:val="single" w:sz="6" w:space="0" w:color="auto"/>
              <w:left w:val="single" w:sz="6" w:space="0" w:color="auto"/>
              <w:bottom w:val="single" w:sz="6" w:space="0" w:color="auto"/>
              <w:right w:val="single" w:sz="6" w:space="0" w:color="auto"/>
            </w:tcBorders>
            <w:shd w:val="clear" w:color="auto" w:fill="auto"/>
            <w:vAlign w:val="center"/>
          </w:tcPr>
          <w:p w14:paraId="7D398A09" w14:textId="77777777" w:rsidR="00E03711" w:rsidRPr="00F769E0" w:rsidRDefault="00E03711" w:rsidP="004C43A6">
            <w:pPr>
              <w:pStyle w:val="Guide-Table"/>
              <w:spacing w:before="60" w:after="60"/>
              <w:rPr>
                <w:rFonts w:cs="Tahoma"/>
                <w:lang w:val="sl-SI" w:eastAsia="en-GB"/>
              </w:rPr>
            </w:pPr>
            <w:r w:rsidRPr="00F769E0">
              <w:rPr>
                <w:rFonts w:cs="Tahoma"/>
                <w:lang w:val="sl-SI" w:eastAsia="en-GB"/>
              </w:rPr>
              <w:t>160</w:t>
            </w:r>
          </w:p>
        </w:tc>
      </w:tr>
      <w:tr w:rsidR="00E03711" w:rsidRPr="008C6F8C" w14:paraId="7D398A0E" w14:textId="77777777" w:rsidTr="004C43A6">
        <w:trPr>
          <w:trHeight w:val="57"/>
        </w:trPr>
        <w:tc>
          <w:tcPr>
            <w:tcW w:w="2501" w:type="pct"/>
            <w:tcBorders>
              <w:top w:val="single" w:sz="6" w:space="0" w:color="auto"/>
              <w:left w:val="single" w:sz="6" w:space="0" w:color="auto"/>
              <w:bottom w:val="single" w:sz="6" w:space="0" w:color="auto"/>
              <w:right w:val="single" w:sz="6" w:space="0" w:color="auto"/>
            </w:tcBorders>
            <w:shd w:val="clear" w:color="auto" w:fill="auto"/>
            <w:vAlign w:val="center"/>
          </w:tcPr>
          <w:p w14:paraId="7D398A0B" w14:textId="77777777" w:rsidR="00E03711" w:rsidRPr="00F769E0" w:rsidRDefault="00E03711" w:rsidP="00C36DF6">
            <w:pPr>
              <w:pStyle w:val="Guide-Table"/>
              <w:jc w:val="left"/>
              <w:rPr>
                <w:rFonts w:cs="Tahoma"/>
                <w:b/>
                <w:lang w:val="sl-SI" w:eastAsia="en-GB"/>
              </w:rPr>
            </w:pPr>
            <w:r w:rsidRPr="00F769E0">
              <w:rPr>
                <w:rFonts w:cs="Tahoma"/>
                <w:b/>
                <w:lang w:val="sl-SI" w:eastAsia="en-GB"/>
              </w:rPr>
              <w:t xml:space="preserve">Slovenija, Estonija, Latvija, Hrvaška, Slovaška, Češka, Litva, Turčija, Madžarska, Poljska, Romunija, Bolgarija, </w:t>
            </w:r>
            <w:r>
              <w:rPr>
                <w:rFonts w:cs="Tahoma"/>
                <w:b/>
                <w:lang w:val="sl-SI" w:eastAsia="en-GB"/>
              </w:rPr>
              <w:t>R</w:t>
            </w:r>
            <w:r w:rsidRPr="00F769E0">
              <w:rPr>
                <w:rFonts w:cs="Tahoma"/>
                <w:b/>
                <w:lang w:val="sl-SI" w:eastAsia="en-GB"/>
              </w:rPr>
              <w:t xml:space="preserve">epublika </w:t>
            </w:r>
            <w:r>
              <w:rPr>
                <w:rFonts w:cs="Tahoma"/>
                <w:b/>
                <w:lang w:val="sl-SI" w:eastAsia="en-GB"/>
              </w:rPr>
              <w:t xml:space="preserve">Severna </w:t>
            </w:r>
            <w:r w:rsidRPr="00F769E0">
              <w:rPr>
                <w:rFonts w:cs="Tahoma"/>
                <w:b/>
                <w:lang w:val="sl-SI" w:eastAsia="en-GB"/>
              </w:rPr>
              <w:t>Makedonija, Srbija</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14:paraId="7D398A0C" w14:textId="77777777" w:rsidR="00E03711" w:rsidRPr="00F769E0" w:rsidRDefault="00E03711" w:rsidP="004C43A6">
            <w:pPr>
              <w:pStyle w:val="Guide-Table"/>
              <w:spacing w:before="60" w:after="60"/>
              <w:rPr>
                <w:rFonts w:cs="Tahoma"/>
                <w:lang w:val="sl-SI" w:eastAsia="en-GB"/>
              </w:rPr>
            </w:pPr>
            <w:r w:rsidRPr="00F769E0">
              <w:rPr>
                <w:rFonts w:cs="Tahoma"/>
                <w:lang w:val="sl-SI" w:eastAsia="en-GB"/>
              </w:rPr>
              <w:t>60-140</w:t>
            </w:r>
          </w:p>
        </w:tc>
        <w:tc>
          <w:tcPr>
            <w:tcW w:w="1249" w:type="pct"/>
            <w:tcBorders>
              <w:top w:val="single" w:sz="6" w:space="0" w:color="auto"/>
              <w:left w:val="single" w:sz="6" w:space="0" w:color="auto"/>
              <w:bottom w:val="single" w:sz="6" w:space="0" w:color="auto"/>
              <w:right w:val="single" w:sz="6" w:space="0" w:color="auto"/>
            </w:tcBorders>
            <w:shd w:val="clear" w:color="auto" w:fill="auto"/>
            <w:vAlign w:val="center"/>
          </w:tcPr>
          <w:p w14:paraId="7D398A0D" w14:textId="77777777" w:rsidR="00E03711" w:rsidRPr="00F769E0" w:rsidRDefault="00E03711" w:rsidP="004C43A6">
            <w:pPr>
              <w:pStyle w:val="Guide-Table"/>
              <w:spacing w:before="60" w:after="60"/>
              <w:rPr>
                <w:rFonts w:cs="Tahoma"/>
                <w:lang w:val="sl-SI" w:eastAsia="en-GB"/>
              </w:rPr>
            </w:pPr>
            <w:r w:rsidRPr="00F769E0">
              <w:rPr>
                <w:rFonts w:cs="Tahoma"/>
                <w:lang w:val="sl-SI" w:eastAsia="en-GB"/>
              </w:rPr>
              <w:t>140</w:t>
            </w:r>
          </w:p>
        </w:tc>
      </w:tr>
      <w:tr w:rsidR="00E03711" w:rsidRPr="008C6F8C" w14:paraId="7D398A12" w14:textId="77777777" w:rsidTr="004C43A6">
        <w:trPr>
          <w:trHeight w:val="57"/>
        </w:trPr>
        <w:tc>
          <w:tcPr>
            <w:tcW w:w="2501" w:type="pct"/>
            <w:tcBorders>
              <w:top w:val="single" w:sz="6" w:space="0" w:color="auto"/>
              <w:left w:val="single" w:sz="6" w:space="0" w:color="auto"/>
              <w:bottom w:val="single" w:sz="6" w:space="0" w:color="auto"/>
              <w:right w:val="single" w:sz="6" w:space="0" w:color="auto"/>
            </w:tcBorders>
            <w:shd w:val="clear" w:color="auto" w:fill="auto"/>
            <w:vAlign w:val="center"/>
          </w:tcPr>
          <w:p w14:paraId="7D398A0F" w14:textId="77777777" w:rsidR="00E03711" w:rsidRPr="00F769E0" w:rsidRDefault="00E03711" w:rsidP="004C43A6">
            <w:pPr>
              <w:pStyle w:val="Guide-Table"/>
              <w:spacing w:before="60" w:after="60"/>
              <w:jc w:val="left"/>
              <w:rPr>
                <w:rFonts w:cs="Tahoma"/>
                <w:b/>
                <w:bCs/>
                <w:lang w:val="sl-SI" w:eastAsia="en-GB"/>
              </w:rPr>
            </w:pPr>
            <w:r w:rsidRPr="00F769E0">
              <w:rPr>
                <w:rFonts w:cs="Tahoma"/>
                <w:b/>
                <w:bCs/>
                <w:lang w:val="sl-SI" w:eastAsia="en-GB"/>
              </w:rPr>
              <w:t>Partnerske države</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14:paraId="7D398A10" w14:textId="77777777" w:rsidR="00E03711" w:rsidRPr="00F769E0" w:rsidRDefault="00E03711" w:rsidP="004C43A6">
            <w:pPr>
              <w:pStyle w:val="Guide-Table"/>
              <w:spacing w:before="60" w:after="60"/>
              <w:rPr>
                <w:rFonts w:cs="Tahoma"/>
                <w:lang w:val="sl-SI" w:eastAsia="en-GB"/>
              </w:rPr>
            </w:pPr>
            <w:r w:rsidRPr="00F769E0">
              <w:rPr>
                <w:rFonts w:cs="Tahoma"/>
                <w:lang w:val="sl-SI" w:eastAsia="en-GB"/>
              </w:rPr>
              <w:t>180</w:t>
            </w:r>
          </w:p>
        </w:tc>
        <w:tc>
          <w:tcPr>
            <w:tcW w:w="1249" w:type="pct"/>
            <w:tcBorders>
              <w:top w:val="single" w:sz="6" w:space="0" w:color="auto"/>
              <w:left w:val="single" w:sz="6" w:space="0" w:color="auto"/>
              <w:bottom w:val="single" w:sz="6" w:space="0" w:color="auto"/>
              <w:right w:val="single" w:sz="6" w:space="0" w:color="auto"/>
            </w:tcBorders>
            <w:shd w:val="clear" w:color="auto" w:fill="auto"/>
            <w:vAlign w:val="center"/>
          </w:tcPr>
          <w:p w14:paraId="7D398A11" w14:textId="77777777" w:rsidR="00E03711" w:rsidRPr="00F769E0" w:rsidDel="00876555" w:rsidRDefault="00E03711" w:rsidP="004C43A6">
            <w:pPr>
              <w:pStyle w:val="Guide-Table"/>
              <w:spacing w:before="60" w:after="60"/>
              <w:rPr>
                <w:rFonts w:cs="Tahoma"/>
                <w:lang w:val="sl-SI" w:eastAsia="en-GB"/>
              </w:rPr>
            </w:pPr>
            <w:r w:rsidRPr="00F769E0">
              <w:rPr>
                <w:rFonts w:cs="Tahoma"/>
                <w:lang w:val="sl-SI" w:eastAsia="en-GB"/>
              </w:rPr>
              <w:t>Ni upravičeno</w:t>
            </w:r>
          </w:p>
        </w:tc>
      </w:tr>
    </w:tbl>
    <w:p w14:paraId="7D398A13" w14:textId="77777777" w:rsidR="00E03711" w:rsidRDefault="00E03711" w:rsidP="00D108A7">
      <w:pPr>
        <w:pStyle w:val="GUIDE-NORMAL"/>
        <w:rPr>
          <w:lang w:val="sl-SI"/>
        </w:rPr>
        <w:sectPr w:rsidR="00E03711" w:rsidSect="007F4890">
          <w:endnotePr>
            <w:numFmt w:val="decimal"/>
          </w:endnotePr>
          <w:pgSz w:w="11910" w:h="16840" w:code="9"/>
          <w:pgMar w:top="1134" w:right="1418" w:bottom="1134" w:left="1418" w:header="283" w:footer="567" w:gutter="0"/>
          <w:cols w:space="720"/>
          <w:docGrid w:linePitch="326"/>
        </w:sectPr>
      </w:pPr>
      <w:r w:rsidRPr="001048FE">
        <w:rPr>
          <w:lang w:val="sl-SI"/>
        </w:rPr>
        <w:t>Nacionalne agencije lahko za aktivnosti mobilnosti med državami Programa zagotovijo določeno mero prilagodljivosti za visokošolske institucije, tako da na nacionalni ravni namesto točnih zneskov opredelijo najnižje in najvišje vrednosti. Ta odločitev bi morala biti utemeljena, na primer v državah, kjer je na voljo sofinanciranje na regionalni ali institucionalni ravni. Točni zneski bodo objavljeni na spletiščih posameznih nacionalnih agencij in visokošolskih institucij.</w:t>
      </w:r>
      <w:r>
        <w:rPr>
          <w:lang w:val="sl-SI"/>
        </w:rPr>
        <w:tab/>
      </w:r>
      <w:r>
        <w:rPr>
          <w:lang w:val="sl-SI"/>
        </w:rPr>
        <w:br/>
      </w:r>
    </w:p>
    <w:p w14:paraId="7D398A14" w14:textId="77777777" w:rsidR="00E03711" w:rsidRDefault="00E03711">
      <w:pPr>
        <w:pStyle w:val="Guide-Heading4TOC"/>
        <w:rPr>
          <w:lang w:val="sl-SI"/>
        </w:rPr>
      </w:pPr>
      <w:bookmarkStart w:id="166" w:name="_bookmark33"/>
      <w:bookmarkStart w:id="167" w:name="_Toc527401140"/>
      <w:bookmarkEnd w:id="166"/>
      <w:r w:rsidRPr="001048FE">
        <w:rPr>
          <w:lang w:val="sl-SI"/>
        </w:rPr>
        <w:t>Projekt mobilnosti za dijake in osebje v PIU</w:t>
      </w:r>
      <w:bookmarkEnd w:id="167"/>
    </w:p>
    <w:p w14:paraId="7D398A15" w14:textId="77777777" w:rsidR="00E03711" w:rsidRPr="001048FE" w:rsidRDefault="00E03711" w:rsidP="008E5835">
      <w:pPr>
        <w:pStyle w:val="GUIDE-NORMAL"/>
        <w:rPr>
          <w:lang w:val="sl-SI"/>
        </w:rPr>
      </w:pPr>
      <w:r w:rsidRPr="001048FE">
        <w:rPr>
          <w:lang w:val="sl-SI"/>
        </w:rPr>
        <w:t>Organizacije se za projekte mobilnosti dijakov in osebja v PIU lahko prijavijo na dva načina:</w:t>
      </w:r>
    </w:p>
    <w:p w14:paraId="7D398A16" w14:textId="77777777" w:rsidR="00E03711" w:rsidRPr="001048FE" w:rsidRDefault="00E03711" w:rsidP="005115F2">
      <w:pPr>
        <w:pStyle w:val="Guide-NormalBulletpoints"/>
        <w:numPr>
          <w:ilvl w:val="0"/>
          <w:numId w:val="214"/>
        </w:numPr>
        <w:rPr>
          <w:lang w:val="sl-SI"/>
        </w:rPr>
      </w:pPr>
      <w:r w:rsidRPr="001048FE">
        <w:rPr>
          <w:lang w:val="sl-SI"/>
        </w:rPr>
        <w:t xml:space="preserve">vsaka upravičena organizacija se lahko prijavi za financiranje projektov mobilnosti za dijake in osebje v PIU </w:t>
      </w:r>
      <w:r w:rsidRPr="001048FE">
        <w:rPr>
          <w:b/>
          <w:lang w:val="sl-SI"/>
        </w:rPr>
        <w:t>brez</w:t>
      </w:r>
      <w:r w:rsidRPr="001048FE">
        <w:rPr>
          <w:lang w:val="sl-SI"/>
        </w:rPr>
        <w:t xml:space="preserve"> listine Erasmus+ za mobilnost v PIU;</w:t>
      </w:r>
    </w:p>
    <w:p w14:paraId="7D398A17" w14:textId="77777777" w:rsidR="00E03711" w:rsidRPr="001048FE" w:rsidRDefault="00E03711" w:rsidP="005115F2">
      <w:pPr>
        <w:pStyle w:val="Guide-NormalBulletpoints"/>
        <w:numPr>
          <w:ilvl w:val="0"/>
          <w:numId w:val="214"/>
        </w:numPr>
        <w:rPr>
          <w:lang w:val="sl-SI"/>
        </w:rPr>
      </w:pPr>
      <w:r w:rsidRPr="001048FE">
        <w:rPr>
          <w:lang w:val="sl-SI"/>
        </w:rPr>
        <w:t xml:space="preserve">organizacija z dokazanimi uspešnimi aktivnostmi z veljavno </w:t>
      </w:r>
      <w:r w:rsidRPr="001048FE">
        <w:rPr>
          <w:b/>
          <w:lang w:val="sl-SI"/>
        </w:rPr>
        <w:t>listino Erasmus+ za mobilnost v PIU</w:t>
      </w:r>
      <w:r w:rsidRPr="001048FE">
        <w:rPr>
          <w:lang w:val="sl-SI"/>
        </w:rPr>
        <w:t xml:space="preserve"> lahko uporabi hitri postopek prijave za financiranje projektov mobilnosti za dijake in osebje v PIU z listino Erasmus+ za mobilnost v PIU.</w:t>
      </w:r>
    </w:p>
    <w:p w14:paraId="7D398A18" w14:textId="77777777" w:rsidR="00E03711" w:rsidRPr="001048FE" w:rsidRDefault="00E03711" w:rsidP="008E5835">
      <w:pPr>
        <w:pStyle w:val="GUIDE-NORMAL"/>
        <w:rPr>
          <w:lang w:val="sl-SI"/>
        </w:rPr>
      </w:pPr>
      <w:r w:rsidRPr="001048FE">
        <w:rPr>
          <w:lang w:val="sl-SI"/>
        </w:rPr>
        <w:t>Merila</w:t>
      </w:r>
      <w:r w:rsidRPr="001048FE">
        <w:rPr>
          <w:spacing w:val="-11"/>
          <w:lang w:val="sl-SI"/>
        </w:rPr>
        <w:t xml:space="preserve"> </w:t>
      </w:r>
      <w:r w:rsidRPr="001048FE">
        <w:rPr>
          <w:lang w:val="sl-SI"/>
        </w:rPr>
        <w:t>za</w:t>
      </w:r>
      <w:r w:rsidRPr="001048FE">
        <w:rPr>
          <w:spacing w:val="-11"/>
          <w:lang w:val="sl-SI"/>
        </w:rPr>
        <w:t xml:space="preserve"> </w:t>
      </w:r>
      <w:r w:rsidRPr="001048FE">
        <w:rPr>
          <w:lang w:val="sl-SI"/>
        </w:rPr>
        <w:t>upravičenost</w:t>
      </w:r>
      <w:r w:rsidRPr="001048FE">
        <w:rPr>
          <w:spacing w:val="-11"/>
          <w:lang w:val="sl-SI"/>
        </w:rPr>
        <w:t xml:space="preserve"> </w:t>
      </w:r>
      <w:r w:rsidRPr="001048FE">
        <w:rPr>
          <w:lang w:val="sl-SI"/>
        </w:rPr>
        <w:t>in</w:t>
      </w:r>
      <w:r w:rsidRPr="001048FE">
        <w:rPr>
          <w:spacing w:val="-11"/>
          <w:lang w:val="sl-SI"/>
        </w:rPr>
        <w:t xml:space="preserve"> </w:t>
      </w:r>
      <w:r w:rsidRPr="001048FE">
        <w:rPr>
          <w:lang w:val="sl-SI"/>
        </w:rPr>
        <w:t>dodelitev</w:t>
      </w:r>
      <w:r w:rsidRPr="001048FE">
        <w:rPr>
          <w:spacing w:val="-11"/>
          <w:lang w:val="sl-SI"/>
        </w:rPr>
        <w:t xml:space="preserve"> </w:t>
      </w:r>
      <w:r w:rsidRPr="001048FE">
        <w:rPr>
          <w:lang w:val="sl-SI"/>
        </w:rPr>
        <w:t>za</w:t>
      </w:r>
      <w:r w:rsidRPr="001048FE">
        <w:rPr>
          <w:spacing w:val="-11"/>
          <w:lang w:val="sl-SI"/>
        </w:rPr>
        <w:t xml:space="preserve"> </w:t>
      </w:r>
      <w:r w:rsidRPr="001048FE">
        <w:rPr>
          <w:lang w:val="sl-SI"/>
        </w:rPr>
        <w:t>ti</w:t>
      </w:r>
      <w:r w:rsidRPr="001048FE">
        <w:rPr>
          <w:spacing w:val="-11"/>
          <w:lang w:val="sl-SI"/>
        </w:rPr>
        <w:t xml:space="preserve"> </w:t>
      </w:r>
      <w:r w:rsidRPr="001048FE">
        <w:rPr>
          <w:lang w:val="sl-SI"/>
        </w:rPr>
        <w:t>dve</w:t>
      </w:r>
      <w:r w:rsidRPr="001048FE">
        <w:rPr>
          <w:spacing w:val="-11"/>
          <w:lang w:val="sl-SI"/>
        </w:rPr>
        <w:t xml:space="preserve"> </w:t>
      </w:r>
      <w:r w:rsidRPr="001048FE">
        <w:rPr>
          <w:lang w:val="sl-SI"/>
        </w:rPr>
        <w:t>možnosti</w:t>
      </w:r>
      <w:r w:rsidRPr="001048FE">
        <w:rPr>
          <w:spacing w:val="-11"/>
          <w:lang w:val="sl-SI"/>
        </w:rPr>
        <w:t xml:space="preserve"> </w:t>
      </w:r>
      <w:r w:rsidRPr="001048FE">
        <w:rPr>
          <w:lang w:val="sl-SI"/>
        </w:rPr>
        <w:t>prijave</w:t>
      </w:r>
      <w:r w:rsidRPr="001048FE">
        <w:rPr>
          <w:spacing w:val="-11"/>
          <w:lang w:val="sl-SI"/>
        </w:rPr>
        <w:t xml:space="preserve"> </w:t>
      </w:r>
      <w:r w:rsidRPr="001048FE">
        <w:rPr>
          <w:lang w:val="sl-SI"/>
        </w:rPr>
        <w:t>so</w:t>
      </w:r>
      <w:r w:rsidRPr="001048FE">
        <w:rPr>
          <w:spacing w:val="-11"/>
          <w:lang w:val="sl-SI"/>
        </w:rPr>
        <w:t xml:space="preserve"> </w:t>
      </w:r>
      <w:r w:rsidRPr="001048FE">
        <w:rPr>
          <w:lang w:val="sl-SI"/>
        </w:rPr>
        <w:t>opisana</w:t>
      </w:r>
      <w:r w:rsidRPr="001048FE">
        <w:rPr>
          <w:spacing w:val="-10"/>
          <w:lang w:val="sl-SI"/>
        </w:rPr>
        <w:t xml:space="preserve"> </w:t>
      </w:r>
      <w:r w:rsidRPr="001048FE">
        <w:rPr>
          <w:lang w:val="sl-SI"/>
        </w:rPr>
        <w:t>v</w:t>
      </w:r>
      <w:r w:rsidRPr="001048FE">
        <w:rPr>
          <w:spacing w:val="-11"/>
          <w:lang w:val="sl-SI"/>
        </w:rPr>
        <w:t xml:space="preserve"> </w:t>
      </w:r>
      <w:r w:rsidRPr="001048FE">
        <w:rPr>
          <w:lang w:val="sl-SI"/>
        </w:rPr>
        <w:t>zadevnih</w:t>
      </w:r>
      <w:r w:rsidRPr="001048FE">
        <w:rPr>
          <w:spacing w:val="-11"/>
          <w:lang w:val="sl-SI"/>
        </w:rPr>
        <w:t xml:space="preserve"> </w:t>
      </w:r>
      <w:r w:rsidRPr="001048FE">
        <w:rPr>
          <w:lang w:val="sl-SI"/>
        </w:rPr>
        <w:t>poglavjih</w:t>
      </w:r>
      <w:r w:rsidRPr="001048FE">
        <w:rPr>
          <w:spacing w:val="-11"/>
          <w:lang w:val="sl-SI"/>
        </w:rPr>
        <w:t xml:space="preserve"> </w:t>
      </w:r>
      <w:r w:rsidRPr="001048FE">
        <w:rPr>
          <w:lang w:val="sl-SI"/>
        </w:rPr>
        <w:t>tega ukrepa.</w:t>
      </w:r>
    </w:p>
    <w:p w14:paraId="7D398A19" w14:textId="77777777" w:rsidR="00E03711" w:rsidRPr="001048FE" w:rsidRDefault="00E03711" w:rsidP="008E5835">
      <w:pPr>
        <w:pStyle w:val="Guide-Heading5"/>
        <w:rPr>
          <w:lang w:val="sl-SI"/>
        </w:rPr>
      </w:pPr>
      <w:r w:rsidRPr="001048FE">
        <w:rPr>
          <w:lang w:val="sl-SI"/>
        </w:rPr>
        <w:t>ErasmusPro: podpora za dolgotrajno mobilnost dijakov PIU ali dijakov PIU, ki so pred kratkim zaključili šolanje</w:t>
      </w:r>
    </w:p>
    <w:p w14:paraId="7D398A1A" w14:textId="77777777" w:rsidR="00E03711" w:rsidRPr="001048FE" w:rsidRDefault="00E03711" w:rsidP="008E5835">
      <w:pPr>
        <w:pStyle w:val="GUIDE-NORMAL"/>
        <w:rPr>
          <w:lang w:val="sl-SI"/>
        </w:rPr>
      </w:pPr>
      <w:r w:rsidRPr="001048FE">
        <w:rPr>
          <w:lang w:val="sl-SI"/>
        </w:rPr>
        <w:t>Decembra 2016 se je s sporočilom Vlaganje v mlade v Evropi začela pobuda politike ErasmusPro, katere cilj je povečati dolgotrajno mobilnost v tujini za dijake v poklicnem izobraževanju in usposabljanju, vključno z vajenci ali dijaki, ki so pred kratkim zaključili šolanje. ErasmusPro se odziva na pozive Evropskega parlamenta, podjetij in drugih deležnikov PIU k izboljšanju kakovosti in privlačnosti PIU ter zaposljivosti dijakov PIU s pomočjo dolgotrajnih delovnih praks v tujini.</w:t>
      </w:r>
    </w:p>
    <w:p w14:paraId="7D398A1B" w14:textId="77777777" w:rsidR="00E03711" w:rsidRPr="001048FE" w:rsidRDefault="00E03711" w:rsidP="008E5835">
      <w:pPr>
        <w:pStyle w:val="GUIDE-NORMAL"/>
        <w:rPr>
          <w:lang w:val="sl-SI"/>
        </w:rPr>
      </w:pPr>
      <w:r w:rsidRPr="001048FE">
        <w:rPr>
          <w:lang w:val="sl-SI"/>
        </w:rPr>
        <w:t>Mobilnost v PIU mladim nedvomno pomaga pri širitvi obzorij, krepitvi socialnih, poklicnih in prečnih znanj in spretnosti ter razvijanju želje po inovacijah, samoiniciativnosti in zavesti o evropskem državljanstvu. Mobilnost izboljšuje splošno uspešnost organizacij (tako ponudnikov PIU kot družb), ki sodelujejo pri njej, saj razvija strategije za trajno internacionalizacijo, obenem pa podjetjem pomaga najti znanja in spretnosti, ki jih potrebujejo za okrepitev svoje konkurenčnosti. Dolgotrajne prakse v tujini imajo višjo dodano vrednost za dijake, saj jim omogočajo, da razvijejo znanja in spretnosti, ki ustrezajo posameznemu poklicu, ter bolje spoznajo tuj jezik, kulturo in delovno okolje, s čimer se poveča njihova zaposljivost.</w:t>
      </w:r>
    </w:p>
    <w:p w14:paraId="7D398A1C" w14:textId="77777777" w:rsidR="00E03711" w:rsidRPr="001048FE" w:rsidRDefault="00E03711" w:rsidP="008E5835">
      <w:pPr>
        <w:pStyle w:val="GUIDE-NORMAL"/>
        <w:rPr>
          <w:lang w:val="sl-SI"/>
        </w:rPr>
      </w:pPr>
      <w:r w:rsidRPr="001048FE">
        <w:rPr>
          <w:lang w:val="sl-SI"/>
        </w:rPr>
        <w:t>Projekt mobilnosti v PIU lahko zajema eno ali več naslednjih aktivnosti: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E03711" w:rsidRPr="00C60205" w14:paraId="7D398A24" w14:textId="77777777" w:rsidTr="00237696">
        <w:trPr>
          <w:trHeight w:val="397"/>
        </w:trPr>
        <w:tc>
          <w:tcPr>
            <w:tcW w:w="9064" w:type="dxa"/>
            <w:shd w:val="clear" w:color="auto" w:fill="auto"/>
          </w:tcPr>
          <w:p w14:paraId="7D398A1D" w14:textId="77777777" w:rsidR="00E03711" w:rsidRPr="00F769E0" w:rsidRDefault="00E03711" w:rsidP="00237696">
            <w:pPr>
              <w:pStyle w:val="Guide-Heading7"/>
              <w:spacing w:before="60" w:after="60"/>
              <w:rPr>
                <w:rFonts w:cs="Tahoma"/>
                <w:lang w:val="sl-SI"/>
              </w:rPr>
            </w:pPr>
            <w:r w:rsidRPr="00F769E0">
              <w:rPr>
                <w:rFonts w:cs="Tahoma"/>
                <w:lang w:val="sl-SI"/>
              </w:rPr>
              <w:t>Mobilnost dijakov:</w:t>
            </w:r>
          </w:p>
          <w:p w14:paraId="7D398A1E" w14:textId="77777777" w:rsidR="00E03711" w:rsidRPr="00237696" w:rsidRDefault="00E03711" w:rsidP="005115F2">
            <w:pPr>
              <w:pStyle w:val="Guide-NormalBulletpoints"/>
              <w:numPr>
                <w:ilvl w:val="0"/>
                <w:numId w:val="215"/>
              </w:numPr>
              <w:spacing w:before="60"/>
              <w:rPr>
                <w:rFonts w:cs="Times New Roman"/>
                <w:lang w:val="sl-SI"/>
              </w:rPr>
            </w:pPr>
            <w:r w:rsidRPr="00237696">
              <w:rPr>
                <w:rFonts w:cs="Times New Roman"/>
                <w:lang w:val="sl-SI"/>
              </w:rPr>
              <w:t xml:space="preserve">Mobilnost pri ponudnikih PIU in/ali družbah v tujini, od 2 tednov do največ 3 mesecev; </w:t>
            </w:r>
          </w:p>
          <w:p w14:paraId="7D398A1F" w14:textId="77777777" w:rsidR="00E03711" w:rsidRPr="00237696" w:rsidRDefault="00E03711" w:rsidP="005115F2">
            <w:pPr>
              <w:pStyle w:val="Guide-NormalBulletpoints"/>
              <w:numPr>
                <w:ilvl w:val="0"/>
                <w:numId w:val="215"/>
              </w:numPr>
              <w:spacing w:before="60"/>
              <w:rPr>
                <w:rFonts w:cs="Times New Roman"/>
                <w:lang w:val="sl-SI"/>
              </w:rPr>
            </w:pPr>
            <w:r w:rsidRPr="00237696">
              <w:rPr>
                <w:rFonts w:cs="Times New Roman"/>
                <w:lang w:val="sl-SI"/>
              </w:rPr>
              <w:t>dolgotrajna mobilnost pri ponudnikih PIU in/ali družbah v tujini (ErasmusPro), od 3 do 12 mesecev.</w:t>
            </w:r>
          </w:p>
          <w:p w14:paraId="7D398A20" w14:textId="77777777" w:rsidR="00E03711" w:rsidRPr="00237696" w:rsidRDefault="00E03711" w:rsidP="00237696">
            <w:pPr>
              <w:pStyle w:val="GUIDE-NORMAL"/>
              <w:spacing w:before="60" w:after="60"/>
              <w:rPr>
                <w:lang w:val="sl-SI" w:eastAsia="en-GB"/>
              </w:rPr>
            </w:pPr>
            <w:r w:rsidRPr="00237696">
              <w:rPr>
                <w:lang w:val="sl-SI" w:eastAsia="en-GB"/>
              </w:rPr>
              <w:t>Te aktivnosti so na voljo dijakom v PIU (vključno z vajenci) v organizacijah za poklicno usposabljanje (ponudniki PIU). Za krepitev zaposljivosti dijakov v PIU in olajšanje njihovega prehoda na trg dela lahko v tej aktivnosti sodelujejo tudi dijaki, ki so pred kratkim zaključili šolanje (največ 12 mesecev po zaključku). Aktivnosti imajo lahko obliko polnih delovnih praks, pri katerih dijake gostijo v družbi ali drugi ustrezni organizaciji ali pri ponudniku PIU (šoli, inštitutu ali drugi organizaciji, ki izvaja poklicno izobraževanje in usposabljanje) in ki ponujajo šolsko izobraževanje z močnim poudarkom na učenju na delovnem mestu (delovne prakse). V primeru dolgotrajnih mobilnosti (ErasmusPro) je gostitelj lahko ponudnik PIU, vendar mora pomemben del aktivnosti predstavljati učenje na delovnem mestu, običajno v obliki delovne prakse v družbi.</w:t>
            </w:r>
          </w:p>
          <w:p w14:paraId="7D398A21" w14:textId="77777777" w:rsidR="00E03711" w:rsidRPr="00237696" w:rsidRDefault="00E03711" w:rsidP="00237696">
            <w:pPr>
              <w:pStyle w:val="GUIDE-NORMAL"/>
              <w:spacing w:before="60" w:after="60"/>
              <w:rPr>
                <w:lang w:val="sl-SI" w:eastAsia="en-GB"/>
              </w:rPr>
            </w:pPr>
            <w:r w:rsidRPr="00237696">
              <w:rPr>
                <w:lang w:val="sl-SI" w:eastAsia="en-GB"/>
              </w:rPr>
              <w:t>Vsaka aktivnost mobilnosti se izvaja v okviru kakovosti, o katerem sta se vnaprej dogovorili organizaciji pošiljateljica in gostiteljica, da bi zagotovili visoko raven kakovosti za aktivnost, vključno z „učnim sporazumom“.</w:t>
            </w:r>
          </w:p>
          <w:p w14:paraId="7D398A22" w14:textId="77777777" w:rsidR="00E03711" w:rsidRPr="00237696" w:rsidRDefault="00E03711" w:rsidP="00237696">
            <w:pPr>
              <w:pStyle w:val="GUIDE-NORMAL"/>
              <w:spacing w:before="60" w:after="60"/>
              <w:rPr>
                <w:lang w:val="sl-SI" w:eastAsia="en-GB"/>
              </w:rPr>
            </w:pPr>
            <w:r w:rsidRPr="00237696">
              <w:rPr>
                <w:lang w:val="sl-SI" w:eastAsia="en-GB"/>
              </w:rPr>
              <w:t>Učni izidi so uradno priznani in potrjeni na institucionalni ravni, vsebine programov se po potrebi prilagodijo, da se zagotovi dobra usklajenost obdobja mobilnosti v tujini s programom, ki ga opravlja vajenec/dijak v poklicnem izobraževanju in usposabljanju.</w:t>
            </w:r>
          </w:p>
          <w:p w14:paraId="7D398A23" w14:textId="77777777" w:rsidR="00E03711" w:rsidRPr="00237696" w:rsidRDefault="00E03711" w:rsidP="00237696">
            <w:pPr>
              <w:pStyle w:val="GUIDE-NORMAL"/>
              <w:spacing w:before="60" w:after="60"/>
              <w:rPr>
                <w:lang w:val="sl-SI" w:eastAsia="en-GB"/>
              </w:rPr>
            </w:pPr>
            <w:r w:rsidRPr="00237696">
              <w:rPr>
                <w:lang w:val="sl-SI" w:eastAsia="en-GB"/>
              </w:rPr>
              <w:t>V okviru aktivnosti ErasmusPro se lahko financirajo kratki pripravljalni obiski osebja iz organizacije pošiljateljice v organizacijo gostiteljico (ponudniki PIU in/ali družbe), da se olajša medinstitucionalno sodelovanje, bolje pripravijo mobilnosti in zagotovi njihova visoka kakovost.</w:t>
            </w:r>
          </w:p>
        </w:tc>
      </w:tr>
    </w:tbl>
    <w:p w14:paraId="7D398A25" w14:textId="77777777" w:rsidR="00E03711" w:rsidRPr="001048FE" w:rsidRDefault="00E03711" w:rsidP="006F6C8B">
      <w:pPr>
        <w:pStyle w:val="GUIDE-NORMAL"/>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03711" w:rsidRPr="00C60205" w14:paraId="7D398A2E" w14:textId="77777777" w:rsidTr="00237696">
        <w:trPr>
          <w:trHeight w:val="567"/>
        </w:trPr>
        <w:tc>
          <w:tcPr>
            <w:tcW w:w="9061" w:type="dxa"/>
            <w:shd w:val="clear" w:color="auto" w:fill="auto"/>
            <w:noWrap/>
          </w:tcPr>
          <w:p w14:paraId="7D398A26" w14:textId="77777777" w:rsidR="00E03711" w:rsidRPr="00F769E0" w:rsidRDefault="00E03711" w:rsidP="00237696">
            <w:pPr>
              <w:pStyle w:val="Guide-Heading7"/>
              <w:spacing w:before="60" w:after="60"/>
              <w:rPr>
                <w:rFonts w:cs="Tahoma"/>
                <w:lang w:val="sl-SI"/>
              </w:rPr>
            </w:pPr>
            <w:r w:rsidRPr="00F769E0">
              <w:rPr>
                <w:rFonts w:cs="Tahoma"/>
                <w:lang w:val="sl-SI"/>
              </w:rPr>
              <w:t>Mobilnost osebja:</w:t>
            </w:r>
          </w:p>
          <w:p w14:paraId="7D398A27" w14:textId="77777777" w:rsidR="00E03711" w:rsidRPr="00237696" w:rsidRDefault="00E03711" w:rsidP="005115F2">
            <w:pPr>
              <w:pStyle w:val="Guide-NormalBulletpoints"/>
              <w:numPr>
                <w:ilvl w:val="0"/>
                <w:numId w:val="216"/>
              </w:numPr>
              <w:spacing w:before="60"/>
              <w:rPr>
                <w:rFonts w:cs="Times New Roman"/>
                <w:lang w:val="sl-SI"/>
              </w:rPr>
            </w:pPr>
            <w:r w:rsidRPr="00237696">
              <w:rPr>
                <w:rFonts w:cs="Times New Roman"/>
                <w:lang w:val="sl-SI"/>
              </w:rPr>
              <w:t>poučevanje/usposabljanje: ta aktivnost osebju ponudnikov PIU omogoča poučevanje pri partnerskem ponudniku PIU v tujini. Omogoča tudi, da osebje družb izvaja usposabljanja pri ponudniku PIU v tujini;</w:t>
            </w:r>
          </w:p>
          <w:p w14:paraId="7D398A28" w14:textId="77777777" w:rsidR="00E03711" w:rsidRPr="00237696" w:rsidRDefault="00E03711" w:rsidP="005115F2">
            <w:pPr>
              <w:pStyle w:val="Guide-NormalBulletpoints"/>
              <w:numPr>
                <w:ilvl w:val="0"/>
                <w:numId w:val="216"/>
              </w:numPr>
              <w:spacing w:before="60"/>
              <w:rPr>
                <w:rFonts w:cs="Times New Roman"/>
                <w:lang w:val="sl-SI"/>
              </w:rPr>
            </w:pPr>
            <w:r w:rsidRPr="00237696">
              <w:rPr>
                <w:rFonts w:cs="Times New Roman"/>
                <w:lang w:val="sl-SI"/>
              </w:rPr>
              <w:t>usposabljanje</w:t>
            </w:r>
            <w:r w:rsidRPr="00237696">
              <w:rPr>
                <w:rFonts w:cs="Times New Roman"/>
                <w:spacing w:val="-11"/>
                <w:lang w:val="sl-SI"/>
              </w:rPr>
              <w:t xml:space="preserve"> </w:t>
            </w:r>
            <w:r w:rsidRPr="00237696">
              <w:rPr>
                <w:rFonts w:cs="Times New Roman"/>
                <w:lang w:val="sl-SI"/>
              </w:rPr>
              <w:t>osebja:</w:t>
            </w:r>
            <w:r w:rsidRPr="00237696">
              <w:rPr>
                <w:rFonts w:cs="Times New Roman"/>
                <w:spacing w:val="-10"/>
                <w:lang w:val="sl-SI"/>
              </w:rPr>
              <w:t xml:space="preserve"> </w:t>
            </w:r>
            <w:r w:rsidRPr="00237696">
              <w:rPr>
                <w:rFonts w:cs="Times New Roman"/>
                <w:lang w:val="sl-SI"/>
              </w:rPr>
              <w:t>ta</w:t>
            </w:r>
            <w:r w:rsidRPr="00237696">
              <w:rPr>
                <w:rFonts w:cs="Times New Roman"/>
                <w:spacing w:val="-11"/>
                <w:lang w:val="sl-SI"/>
              </w:rPr>
              <w:t xml:space="preserve"> </w:t>
            </w:r>
            <w:r w:rsidRPr="00237696">
              <w:rPr>
                <w:rFonts w:cs="Times New Roman"/>
                <w:lang w:val="sl-SI"/>
              </w:rPr>
              <w:t>aktivnost</w:t>
            </w:r>
            <w:r w:rsidRPr="00237696">
              <w:rPr>
                <w:rFonts w:cs="Times New Roman"/>
                <w:spacing w:val="-11"/>
                <w:lang w:val="sl-SI"/>
              </w:rPr>
              <w:t xml:space="preserve"> </w:t>
            </w:r>
            <w:r w:rsidRPr="00237696">
              <w:rPr>
                <w:rFonts w:cs="Times New Roman"/>
                <w:lang w:val="sl-SI"/>
              </w:rPr>
              <w:t>podpira</w:t>
            </w:r>
            <w:r w:rsidRPr="00237696">
              <w:rPr>
                <w:rFonts w:cs="Times New Roman"/>
                <w:spacing w:val="-11"/>
                <w:lang w:val="sl-SI"/>
              </w:rPr>
              <w:t xml:space="preserve"> </w:t>
            </w:r>
            <w:r w:rsidRPr="00237696">
              <w:rPr>
                <w:rFonts w:cs="Times New Roman"/>
                <w:lang w:val="sl-SI"/>
              </w:rPr>
              <w:t>poklicni</w:t>
            </w:r>
            <w:r w:rsidRPr="00237696">
              <w:rPr>
                <w:rFonts w:cs="Times New Roman"/>
                <w:spacing w:val="-11"/>
                <w:lang w:val="sl-SI"/>
              </w:rPr>
              <w:t xml:space="preserve"> </w:t>
            </w:r>
            <w:r w:rsidRPr="00237696">
              <w:rPr>
                <w:rFonts w:cs="Times New Roman"/>
                <w:lang w:val="sl-SI"/>
              </w:rPr>
              <w:t>razvoj</w:t>
            </w:r>
            <w:r w:rsidRPr="00237696">
              <w:rPr>
                <w:rFonts w:cs="Times New Roman"/>
                <w:spacing w:val="-11"/>
                <w:lang w:val="sl-SI"/>
              </w:rPr>
              <w:t xml:space="preserve"> </w:t>
            </w:r>
            <w:r w:rsidRPr="00237696">
              <w:rPr>
                <w:rFonts w:cs="Times New Roman"/>
                <w:lang w:val="sl-SI"/>
              </w:rPr>
              <w:t>osebja</w:t>
            </w:r>
            <w:r w:rsidRPr="00237696">
              <w:rPr>
                <w:rFonts w:cs="Times New Roman"/>
                <w:spacing w:val="-10"/>
                <w:lang w:val="sl-SI"/>
              </w:rPr>
              <w:t xml:space="preserve"> </w:t>
            </w:r>
            <w:r w:rsidRPr="00237696">
              <w:rPr>
                <w:rFonts w:cs="Times New Roman"/>
                <w:lang w:val="sl-SI"/>
              </w:rPr>
              <w:t>PIU</w:t>
            </w:r>
            <w:r w:rsidRPr="00237696">
              <w:rPr>
                <w:rFonts w:cs="Times New Roman"/>
                <w:spacing w:val="-11"/>
                <w:lang w:val="sl-SI"/>
              </w:rPr>
              <w:t xml:space="preserve"> </w:t>
            </w:r>
            <w:r w:rsidRPr="00237696">
              <w:rPr>
                <w:rFonts w:cs="Times New Roman"/>
                <w:lang w:val="sl-SI"/>
              </w:rPr>
              <w:t>v</w:t>
            </w:r>
            <w:r w:rsidRPr="00237696">
              <w:rPr>
                <w:rFonts w:cs="Times New Roman"/>
                <w:spacing w:val="-11"/>
                <w:lang w:val="sl-SI"/>
              </w:rPr>
              <w:t xml:space="preserve"> </w:t>
            </w:r>
            <w:r w:rsidRPr="00237696">
              <w:rPr>
                <w:rFonts w:cs="Times New Roman"/>
                <w:lang w:val="sl-SI"/>
              </w:rPr>
              <w:t>obliki</w:t>
            </w:r>
            <w:r w:rsidRPr="00237696">
              <w:rPr>
                <w:rFonts w:cs="Times New Roman"/>
                <w:spacing w:val="-10"/>
                <w:lang w:val="sl-SI"/>
              </w:rPr>
              <w:t xml:space="preserve"> </w:t>
            </w:r>
            <w:r w:rsidRPr="00237696">
              <w:rPr>
                <w:rFonts w:cs="Times New Roman"/>
                <w:lang w:val="sl-SI"/>
              </w:rPr>
              <w:t>delovne</w:t>
            </w:r>
            <w:r w:rsidRPr="00237696">
              <w:rPr>
                <w:rFonts w:cs="Times New Roman"/>
                <w:spacing w:val="-11"/>
                <w:lang w:val="sl-SI"/>
              </w:rPr>
              <w:t xml:space="preserve"> </w:t>
            </w:r>
            <w:r w:rsidRPr="00237696">
              <w:rPr>
                <w:rFonts w:cs="Times New Roman"/>
                <w:lang w:val="sl-SI"/>
              </w:rPr>
              <w:t>prakse</w:t>
            </w:r>
            <w:r w:rsidRPr="00237696">
              <w:rPr>
                <w:rFonts w:cs="Times New Roman"/>
                <w:spacing w:val="-11"/>
                <w:lang w:val="sl-SI"/>
              </w:rPr>
              <w:t xml:space="preserve"> </w:t>
            </w:r>
            <w:r w:rsidRPr="00237696">
              <w:rPr>
                <w:rFonts w:cs="Times New Roman"/>
                <w:lang w:val="sl-SI"/>
              </w:rPr>
              <w:t>ali izobraževalnega</w:t>
            </w:r>
            <w:r w:rsidRPr="00237696">
              <w:rPr>
                <w:rFonts w:cs="Times New Roman"/>
                <w:spacing w:val="-11"/>
                <w:lang w:val="sl-SI"/>
              </w:rPr>
              <w:t xml:space="preserve"> </w:t>
            </w:r>
            <w:r w:rsidRPr="00237696">
              <w:rPr>
                <w:rFonts w:cs="Times New Roman"/>
                <w:lang w:val="sl-SI"/>
              </w:rPr>
              <w:t>obiska</w:t>
            </w:r>
            <w:r w:rsidRPr="00237696">
              <w:rPr>
                <w:rFonts w:cs="Times New Roman"/>
                <w:spacing w:val="-10"/>
                <w:lang w:val="sl-SI"/>
              </w:rPr>
              <w:t xml:space="preserve"> </w:t>
            </w:r>
            <w:r w:rsidRPr="00237696">
              <w:rPr>
                <w:rFonts w:cs="Times New Roman"/>
                <w:lang w:val="sl-SI"/>
              </w:rPr>
              <w:t>na</w:t>
            </w:r>
            <w:r w:rsidRPr="00237696">
              <w:rPr>
                <w:rFonts w:cs="Times New Roman"/>
                <w:spacing w:val="-11"/>
                <w:lang w:val="sl-SI"/>
              </w:rPr>
              <w:t xml:space="preserve"> </w:t>
            </w:r>
            <w:r w:rsidRPr="00237696">
              <w:rPr>
                <w:rFonts w:cs="Times New Roman"/>
                <w:lang w:val="sl-SI"/>
              </w:rPr>
              <w:t>delovnem</w:t>
            </w:r>
            <w:r w:rsidRPr="00237696">
              <w:rPr>
                <w:rFonts w:cs="Times New Roman"/>
                <w:spacing w:val="-11"/>
                <w:lang w:val="sl-SI"/>
              </w:rPr>
              <w:t xml:space="preserve"> </w:t>
            </w:r>
            <w:r w:rsidRPr="00237696">
              <w:rPr>
                <w:rFonts w:cs="Times New Roman"/>
                <w:lang w:val="sl-SI"/>
              </w:rPr>
              <w:t>mestu/obdobij</w:t>
            </w:r>
            <w:r w:rsidRPr="00237696">
              <w:rPr>
                <w:rFonts w:cs="Times New Roman"/>
                <w:spacing w:val="-11"/>
                <w:lang w:val="sl-SI"/>
              </w:rPr>
              <w:t xml:space="preserve"> </w:t>
            </w:r>
            <w:r w:rsidRPr="00237696">
              <w:rPr>
                <w:rFonts w:cs="Times New Roman"/>
                <w:lang w:val="sl-SI"/>
              </w:rPr>
              <w:t>opazovanja</w:t>
            </w:r>
            <w:r w:rsidRPr="00237696">
              <w:rPr>
                <w:rFonts w:cs="Times New Roman"/>
                <w:spacing w:val="-10"/>
                <w:lang w:val="sl-SI"/>
              </w:rPr>
              <w:t xml:space="preserve"> </w:t>
            </w:r>
            <w:r w:rsidRPr="00237696">
              <w:rPr>
                <w:rFonts w:cs="Times New Roman"/>
                <w:lang w:val="sl-SI"/>
              </w:rPr>
              <w:t>v</w:t>
            </w:r>
            <w:r w:rsidRPr="00237696">
              <w:rPr>
                <w:rFonts w:cs="Times New Roman"/>
                <w:spacing w:val="-11"/>
                <w:lang w:val="sl-SI"/>
              </w:rPr>
              <w:t xml:space="preserve"> </w:t>
            </w:r>
            <w:r w:rsidRPr="00237696">
              <w:rPr>
                <w:rFonts w:cs="Times New Roman"/>
                <w:lang w:val="sl-SI"/>
              </w:rPr>
              <w:t>tujini</w:t>
            </w:r>
            <w:r w:rsidRPr="00237696">
              <w:rPr>
                <w:rFonts w:cs="Times New Roman"/>
                <w:spacing w:val="-11"/>
                <w:lang w:val="sl-SI"/>
              </w:rPr>
              <w:t xml:space="preserve"> </w:t>
            </w:r>
            <w:r w:rsidRPr="00237696">
              <w:rPr>
                <w:rFonts w:cs="Times New Roman"/>
                <w:lang w:val="sl-SI"/>
              </w:rPr>
              <w:t>v</w:t>
            </w:r>
            <w:r w:rsidRPr="00237696">
              <w:rPr>
                <w:rFonts w:cs="Times New Roman"/>
                <w:spacing w:val="-11"/>
                <w:lang w:val="sl-SI"/>
              </w:rPr>
              <w:t xml:space="preserve"> </w:t>
            </w:r>
            <w:r w:rsidRPr="00237696">
              <w:rPr>
                <w:rFonts w:cs="Times New Roman"/>
                <w:lang w:val="sl-SI"/>
              </w:rPr>
              <w:t>družbi</w:t>
            </w:r>
            <w:r w:rsidRPr="00237696">
              <w:rPr>
                <w:rFonts w:cs="Times New Roman"/>
                <w:spacing w:val="-11"/>
                <w:lang w:val="sl-SI"/>
              </w:rPr>
              <w:t xml:space="preserve"> </w:t>
            </w:r>
            <w:r w:rsidRPr="00237696">
              <w:rPr>
                <w:rFonts w:cs="Times New Roman"/>
                <w:lang w:val="sl-SI"/>
              </w:rPr>
              <w:t>ali</w:t>
            </w:r>
            <w:r w:rsidRPr="00237696">
              <w:rPr>
                <w:rFonts w:cs="Times New Roman"/>
                <w:spacing w:val="-11"/>
                <w:lang w:val="sl-SI"/>
              </w:rPr>
              <w:t xml:space="preserve"> </w:t>
            </w:r>
            <w:r w:rsidRPr="00237696">
              <w:rPr>
                <w:rFonts w:cs="Times New Roman"/>
                <w:lang w:val="sl-SI"/>
              </w:rPr>
              <w:t>pri</w:t>
            </w:r>
            <w:r w:rsidRPr="00237696">
              <w:rPr>
                <w:rFonts w:cs="Times New Roman"/>
                <w:spacing w:val="-11"/>
                <w:lang w:val="sl-SI"/>
              </w:rPr>
              <w:t xml:space="preserve"> </w:t>
            </w:r>
            <w:r w:rsidRPr="00237696">
              <w:rPr>
                <w:rFonts w:cs="Times New Roman"/>
                <w:lang w:val="sl-SI"/>
              </w:rPr>
              <w:t>katerem koli drugem ponudniku</w:t>
            </w:r>
            <w:r w:rsidRPr="00237696">
              <w:rPr>
                <w:rFonts w:cs="Times New Roman"/>
                <w:spacing w:val="-7"/>
                <w:lang w:val="sl-SI"/>
              </w:rPr>
              <w:t xml:space="preserve"> </w:t>
            </w:r>
            <w:r w:rsidRPr="00237696">
              <w:rPr>
                <w:rFonts w:cs="Times New Roman"/>
                <w:lang w:val="sl-SI"/>
              </w:rPr>
              <w:t>PIU.</w:t>
            </w:r>
          </w:p>
          <w:p w14:paraId="7D398A29" w14:textId="77777777" w:rsidR="00E03711" w:rsidRPr="00237696" w:rsidRDefault="00E03711" w:rsidP="00237696">
            <w:pPr>
              <w:pStyle w:val="GUIDE-NORMAL"/>
              <w:spacing w:before="60" w:after="60"/>
              <w:rPr>
                <w:lang w:val="sl-SI" w:eastAsia="en-GB"/>
              </w:rPr>
            </w:pPr>
            <w:r w:rsidRPr="00237696">
              <w:rPr>
                <w:lang w:val="sl-SI" w:eastAsia="en-GB"/>
              </w:rPr>
              <w:t>Erasmus+ podpira učno mobilnost osebja, ki:</w:t>
            </w:r>
          </w:p>
          <w:p w14:paraId="7D398A2A" w14:textId="77777777" w:rsidR="00E03711" w:rsidRPr="00237696" w:rsidRDefault="00E03711" w:rsidP="005115F2">
            <w:pPr>
              <w:pStyle w:val="Guide-NormalBulletpoints"/>
              <w:numPr>
                <w:ilvl w:val="0"/>
                <w:numId w:val="217"/>
              </w:numPr>
              <w:spacing w:before="60"/>
              <w:rPr>
                <w:rFonts w:cs="Times New Roman"/>
                <w:lang w:val="sl-SI"/>
              </w:rPr>
            </w:pPr>
            <w:r w:rsidRPr="00237696">
              <w:rPr>
                <w:rFonts w:cs="Times New Roman"/>
                <w:lang w:val="sl-SI"/>
              </w:rPr>
              <w:t>je oblikovana po strateškem pristopu sodelujočih organizacij (s ciljem posodobiti in internacionalizirati njihovo poslanstvo);</w:t>
            </w:r>
          </w:p>
          <w:p w14:paraId="7D398A2B" w14:textId="77777777" w:rsidR="00E03711" w:rsidRPr="00237696" w:rsidRDefault="00E03711" w:rsidP="005115F2">
            <w:pPr>
              <w:pStyle w:val="Guide-NormalBulletpoints"/>
              <w:numPr>
                <w:ilvl w:val="0"/>
                <w:numId w:val="217"/>
              </w:numPr>
              <w:spacing w:before="60"/>
              <w:rPr>
                <w:rFonts w:cs="Times New Roman"/>
                <w:lang w:val="sl-SI"/>
              </w:rPr>
            </w:pPr>
            <w:r w:rsidRPr="00237696">
              <w:rPr>
                <w:rFonts w:cs="Times New Roman"/>
                <w:lang w:val="sl-SI"/>
              </w:rPr>
              <w:t>se</w:t>
            </w:r>
            <w:r w:rsidRPr="00237696">
              <w:rPr>
                <w:rFonts w:cs="Times New Roman"/>
                <w:spacing w:val="-15"/>
                <w:lang w:val="sl-SI"/>
              </w:rPr>
              <w:t xml:space="preserve"> </w:t>
            </w:r>
            <w:r w:rsidRPr="00237696">
              <w:rPr>
                <w:rFonts w:cs="Times New Roman"/>
                <w:lang w:val="sl-SI"/>
              </w:rPr>
              <w:t>odziva</w:t>
            </w:r>
            <w:r w:rsidRPr="00237696">
              <w:rPr>
                <w:rFonts w:cs="Times New Roman"/>
                <w:spacing w:val="-14"/>
                <w:lang w:val="sl-SI"/>
              </w:rPr>
              <w:t xml:space="preserve"> </w:t>
            </w:r>
            <w:r w:rsidRPr="00237696">
              <w:rPr>
                <w:rFonts w:cs="Times New Roman"/>
                <w:lang w:val="sl-SI"/>
              </w:rPr>
              <w:t>na</w:t>
            </w:r>
            <w:r w:rsidRPr="00237696">
              <w:rPr>
                <w:rFonts w:cs="Times New Roman"/>
                <w:spacing w:val="-15"/>
                <w:lang w:val="sl-SI"/>
              </w:rPr>
              <w:t xml:space="preserve"> </w:t>
            </w:r>
            <w:r w:rsidRPr="00237696">
              <w:rPr>
                <w:rFonts w:cs="Times New Roman"/>
                <w:lang w:val="sl-SI"/>
              </w:rPr>
              <w:t>jasno</w:t>
            </w:r>
            <w:r w:rsidRPr="00237696">
              <w:rPr>
                <w:rFonts w:cs="Times New Roman"/>
                <w:spacing w:val="-15"/>
                <w:lang w:val="sl-SI"/>
              </w:rPr>
              <w:t xml:space="preserve"> </w:t>
            </w:r>
            <w:r w:rsidRPr="00237696">
              <w:rPr>
                <w:rFonts w:cs="Times New Roman"/>
                <w:lang w:val="sl-SI"/>
              </w:rPr>
              <w:t>opredeljene</w:t>
            </w:r>
            <w:r w:rsidRPr="00237696">
              <w:rPr>
                <w:rFonts w:cs="Times New Roman"/>
                <w:spacing w:val="-14"/>
                <w:lang w:val="sl-SI"/>
              </w:rPr>
              <w:t xml:space="preserve"> </w:t>
            </w:r>
            <w:r w:rsidRPr="00237696">
              <w:rPr>
                <w:rFonts w:cs="Times New Roman"/>
                <w:lang w:val="sl-SI"/>
              </w:rPr>
              <w:t>potrebe</w:t>
            </w:r>
            <w:r w:rsidRPr="00237696">
              <w:rPr>
                <w:rFonts w:cs="Times New Roman"/>
                <w:spacing w:val="-15"/>
                <w:lang w:val="sl-SI"/>
              </w:rPr>
              <w:t xml:space="preserve"> </w:t>
            </w:r>
            <w:r w:rsidRPr="00237696">
              <w:rPr>
                <w:rFonts w:cs="Times New Roman"/>
                <w:lang w:val="sl-SI"/>
              </w:rPr>
              <w:t>po</w:t>
            </w:r>
            <w:r w:rsidRPr="00237696">
              <w:rPr>
                <w:rFonts w:cs="Times New Roman"/>
                <w:spacing w:val="-15"/>
                <w:lang w:val="sl-SI"/>
              </w:rPr>
              <w:t xml:space="preserve"> </w:t>
            </w:r>
            <w:r w:rsidRPr="00237696">
              <w:rPr>
                <w:rFonts w:cs="Times New Roman"/>
                <w:lang w:val="sl-SI"/>
              </w:rPr>
              <w:t>usposabljanju</w:t>
            </w:r>
            <w:r w:rsidRPr="00237696">
              <w:rPr>
                <w:rFonts w:cs="Times New Roman"/>
                <w:spacing w:val="-15"/>
                <w:lang w:val="sl-SI"/>
              </w:rPr>
              <w:t xml:space="preserve"> </w:t>
            </w:r>
            <w:r w:rsidRPr="00237696">
              <w:rPr>
                <w:rFonts w:cs="Times New Roman"/>
                <w:lang w:val="sl-SI"/>
              </w:rPr>
              <w:t>osebja</w:t>
            </w:r>
            <w:r w:rsidRPr="00237696">
              <w:rPr>
                <w:rFonts w:cs="Times New Roman"/>
                <w:spacing w:val="-14"/>
                <w:lang w:val="sl-SI"/>
              </w:rPr>
              <w:t xml:space="preserve"> </w:t>
            </w:r>
            <w:r w:rsidRPr="00237696">
              <w:rPr>
                <w:rFonts w:cs="Times New Roman"/>
                <w:lang w:val="sl-SI"/>
              </w:rPr>
              <w:t>in</w:t>
            </w:r>
            <w:r w:rsidRPr="00237696">
              <w:rPr>
                <w:rFonts w:cs="Times New Roman"/>
                <w:spacing w:val="-15"/>
                <w:lang w:val="sl-SI"/>
              </w:rPr>
              <w:t xml:space="preserve"> </w:t>
            </w:r>
            <w:r w:rsidRPr="00237696">
              <w:rPr>
                <w:rFonts w:cs="Times New Roman"/>
                <w:lang w:val="sl-SI"/>
              </w:rPr>
              <w:t>je</w:t>
            </w:r>
            <w:r w:rsidRPr="00237696">
              <w:rPr>
                <w:rFonts w:cs="Times New Roman"/>
                <w:spacing w:val="-15"/>
                <w:lang w:val="sl-SI"/>
              </w:rPr>
              <w:t xml:space="preserve"> </w:t>
            </w:r>
            <w:r w:rsidRPr="00237696">
              <w:rPr>
                <w:rFonts w:cs="Times New Roman"/>
                <w:lang w:val="sl-SI"/>
              </w:rPr>
              <w:t>podprta</w:t>
            </w:r>
            <w:r w:rsidRPr="00237696">
              <w:rPr>
                <w:rFonts w:cs="Times New Roman"/>
                <w:spacing w:val="-15"/>
                <w:lang w:val="sl-SI"/>
              </w:rPr>
              <w:t xml:space="preserve"> </w:t>
            </w:r>
            <w:r w:rsidRPr="00237696">
              <w:rPr>
                <w:rFonts w:cs="Times New Roman"/>
                <w:lang w:val="sl-SI"/>
              </w:rPr>
              <w:t>z</w:t>
            </w:r>
            <w:r w:rsidRPr="00237696">
              <w:rPr>
                <w:rFonts w:cs="Times New Roman"/>
                <w:spacing w:val="-15"/>
                <w:lang w:val="sl-SI"/>
              </w:rPr>
              <w:t xml:space="preserve"> </w:t>
            </w:r>
            <w:r w:rsidRPr="00237696">
              <w:rPr>
                <w:rFonts w:cs="Times New Roman"/>
                <w:lang w:val="sl-SI"/>
              </w:rPr>
              <w:t>ustreznimi ukrepi za izbor, pripravo in nadaljnje</w:t>
            </w:r>
            <w:r w:rsidRPr="00237696">
              <w:rPr>
                <w:rFonts w:cs="Times New Roman"/>
                <w:spacing w:val="-12"/>
                <w:lang w:val="sl-SI"/>
              </w:rPr>
              <w:t xml:space="preserve"> </w:t>
            </w:r>
            <w:r w:rsidRPr="00237696">
              <w:rPr>
                <w:rFonts w:cs="Times New Roman"/>
                <w:lang w:val="sl-SI"/>
              </w:rPr>
              <w:t>spremljanje;</w:t>
            </w:r>
          </w:p>
          <w:p w14:paraId="7D398A2C" w14:textId="77777777" w:rsidR="00E03711" w:rsidRPr="00237696" w:rsidRDefault="00E03711" w:rsidP="005115F2">
            <w:pPr>
              <w:pStyle w:val="Guide-NormalBulletpoints"/>
              <w:numPr>
                <w:ilvl w:val="0"/>
                <w:numId w:val="217"/>
              </w:numPr>
              <w:spacing w:before="60"/>
              <w:rPr>
                <w:rFonts w:cs="Times New Roman"/>
                <w:lang w:val="sl-SI"/>
              </w:rPr>
            </w:pPr>
            <w:r w:rsidRPr="00237696">
              <w:rPr>
                <w:rFonts w:cs="Times New Roman"/>
                <w:lang w:val="sl-SI"/>
              </w:rPr>
              <w:t>zagotavlja,</w:t>
            </w:r>
            <w:r w:rsidRPr="00237696">
              <w:rPr>
                <w:rFonts w:cs="Times New Roman"/>
                <w:spacing w:val="-16"/>
                <w:lang w:val="sl-SI"/>
              </w:rPr>
              <w:t xml:space="preserve"> </w:t>
            </w:r>
            <w:r w:rsidRPr="00237696">
              <w:rPr>
                <w:rFonts w:cs="Times New Roman"/>
                <w:lang w:val="sl-SI"/>
              </w:rPr>
              <w:t>da</w:t>
            </w:r>
            <w:r w:rsidRPr="00237696">
              <w:rPr>
                <w:rFonts w:cs="Times New Roman"/>
                <w:spacing w:val="-16"/>
                <w:lang w:val="sl-SI"/>
              </w:rPr>
              <w:t xml:space="preserve"> </w:t>
            </w:r>
            <w:r w:rsidRPr="00237696">
              <w:rPr>
                <w:rFonts w:cs="Times New Roman"/>
                <w:lang w:val="sl-SI"/>
              </w:rPr>
              <w:t>so</w:t>
            </w:r>
            <w:r w:rsidRPr="00237696">
              <w:rPr>
                <w:rFonts w:cs="Times New Roman"/>
                <w:spacing w:val="-16"/>
                <w:lang w:val="sl-SI"/>
              </w:rPr>
              <w:t xml:space="preserve"> </w:t>
            </w:r>
            <w:r w:rsidRPr="00237696">
              <w:rPr>
                <w:rFonts w:cs="Times New Roman"/>
                <w:lang w:val="sl-SI"/>
              </w:rPr>
              <w:t>učni</w:t>
            </w:r>
            <w:r w:rsidRPr="00237696">
              <w:rPr>
                <w:rFonts w:cs="Times New Roman"/>
                <w:spacing w:val="-16"/>
                <w:lang w:val="sl-SI"/>
              </w:rPr>
              <w:t xml:space="preserve"> </w:t>
            </w:r>
            <w:r w:rsidRPr="00237696">
              <w:rPr>
                <w:rFonts w:cs="Times New Roman"/>
                <w:lang w:val="sl-SI"/>
              </w:rPr>
              <w:t>izidi</w:t>
            </w:r>
            <w:r w:rsidRPr="00237696">
              <w:rPr>
                <w:rFonts w:cs="Times New Roman"/>
                <w:spacing w:val="-16"/>
                <w:lang w:val="sl-SI"/>
              </w:rPr>
              <w:t xml:space="preserve"> </w:t>
            </w:r>
            <w:r w:rsidRPr="00237696">
              <w:rPr>
                <w:rFonts w:cs="Times New Roman"/>
                <w:lang w:val="sl-SI"/>
              </w:rPr>
              <w:t>sodelujočega</w:t>
            </w:r>
            <w:r w:rsidRPr="00237696">
              <w:rPr>
                <w:rFonts w:cs="Times New Roman"/>
                <w:spacing w:val="-16"/>
                <w:lang w:val="sl-SI"/>
              </w:rPr>
              <w:t xml:space="preserve"> </w:t>
            </w:r>
            <w:r w:rsidRPr="00237696">
              <w:rPr>
                <w:rFonts w:cs="Times New Roman"/>
                <w:lang w:val="sl-SI"/>
              </w:rPr>
              <w:t>osebja</w:t>
            </w:r>
            <w:r w:rsidRPr="00237696">
              <w:rPr>
                <w:rFonts w:cs="Times New Roman"/>
                <w:spacing w:val="-16"/>
                <w:lang w:val="sl-SI"/>
              </w:rPr>
              <w:t xml:space="preserve"> </w:t>
            </w:r>
            <w:r w:rsidRPr="00237696">
              <w:rPr>
                <w:rFonts w:cs="Times New Roman"/>
                <w:lang w:val="sl-SI"/>
              </w:rPr>
              <w:t>ustrezno</w:t>
            </w:r>
            <w:r w:rsidRPr="00237696">
              <w:rPr>
                <w:rFonts w:cs="Times New Roman"/>
                <w:spacing w:val="-16"/>
                <w:lang w:val="sl-SI"/>
              </w:rPr>
              <w:t xml:space="preserve"> </w:t>
            </w:r>
            <w:r w:rsidRPr="00237696">
              <w:rPr>
                <w:rFonts w:cs="Times New Roman"/>
                <w:lang w:val="sl-SI"/>
              </w:rPr>
              <w:t>priznani</w:t>
            </w:r>
            <w:r w:rsidRPr="00237696">
              <w:rPr>
                <w:rFonts w:cs="Times New Roman"/>
                <w:spacing w:val="-16"/>
                <w:lang w:val="sl-SI"/>
              </w:rPr>
              <w:t xml:space="preserve"> </w:t>
            </w:r>
            <w:r w:rsidRPr="00237696">
              <w:rPr>
                <w:rFonts w:cs="Times New Roman"/>
                <w:lang w:val="sl-SI"/>
              </w:rPr>
              <w:t>ter</w:t>
            </w:r>
            <w:r w:rsidRPr="00237696">
              <w:rPr>
                <w:rFonts w:cs="Times New Roman"/>
                <w:spacing w:val="-16"/>
                <w:lang w:val="sl-SI"/>
              </w:rPr>
              <w:t xml:space="preserve"> </w:t>
            </w:r>
            <w:r w:rsidRPr="00237696">
              <w:rPr>
                <w:rFonts w:cs="Times New Roman"/>
                <w:lang w:val="sl-SI"/>
              </w:rPr>
              <w:t>se</w:t>
            </w:r>
            <w:r w:rsidRPr="00237696">
              <w:rPr>
                <w:rFonts w:cs="Times New Roman"/>
                <w:spacing w:val="-16"/>
                <w:lang w:val="sl-SI"/>
              </w:rPr>
              <w:t xml:space="preserve"> </w:t>
            </w:r>
            <w:r w:rsidRPr="00237696">
              <w:rPr>
                <w:rFonts w:cs="Times New Roman"/>
                <w:lang w:val="sl-SI"/>
              </w:rPr>
              <w:t>razširjajo</w:t>
            </w:r>
            <w:r w:rsidRPr="00237696">
              <w:rPr>
                <w:rFonts w:cs="Times New Roman"/>
                <w:spacing w:val="-16"/>
                <w:lang w:val="sl-SI"/>
              </w:rPr>
              <w:t xml:space="preserve"> </w:t>
            </w:r>
            <w:r w:rsidRPr="00237696">
              <w:rPr>
                <w:rFonts w:cs="Times New Roman"/>
                <w:lang w:val="sl-SI"/>
              </w:rPr>
              <w:t>in</w:t>
            </w:r>
            <w:r w:rsidRPr="00237696">
              <w:rPr>
                <w:rFonts w:cs="Times New Roman"/>
                <w:spacing w:val="-16"/>
                <w:lang w:val="sl-SI"/>
              </w:rPr>
              <w:t xml:space="preserve"> </w:t>
            </w:r>
            <w:r w:rsidRPr="00237696">
              <w:rPr>
                <w:rFonts w:cs="Times New Roman"/>
                <w:lang w:val="sl-SI"/>
              </w:rPr>
              <w:t>obsežno uporabljajo v</w:t>
            </w:r>
            <w:r w:rsidRPr="00237696">
              <w:rPr>
                <w:rFonts w:cs="Times New Roman"/>
                <w:spacing w:val="-4"/>
                <w:lang w:val="sl-SI"/>
              </w:rPr>
              <w:t xml:space="preserve"> </w:t>
            </w:r>
            <w:r w:rsidRPr="00237696">
              <w:rPr>
                <w:rFonts w:cs="Times New Roman"/>
                <w:lang w:val="sl-SI"/>
              </w:rPr>
              <w:t>organizaciji.</w:t>
            </w:r>
          </w:p>
          <w:p w14:paraId="7D398A2D" w14:textId="77777777" w:rsidR="00E03711" w:rsidRPr="00237696" w:rsidRDefault="00E03711" w:rsidP="00237696">
            <w:pPr>
              <w:pStyle w:val="GUIDE-NORMAL"/>
              <w:spacing w:before="60" w:after="60"/>
              <w:rPr>
                <w:lang w:val="sl-SI" w:eastAsia="en-GB"/>
              </w:rPr>
            </w:pPr>
            <w:r w:rsidRPr="00237696">
              <w:rPr>
                <w:lang w:val="sl-SI" w:eastAsia="en-GB"/>
              </w:rPr>
              <w:t>Te aktivnosti so priložnost, da osebje v PIU pridobi kompetence za delo z učečimi se iz okolij z manj možnostmi. Glede na trenutne okoliščine mladih migrantov, beguncev in prosilcev za azil bo posebna pozornost namenjena podpori projektom, ki osebje PIU usposabljajo za področja, kot so usposabljanje otrok beguncev, medkulturne učilnice, poučevanje mladih v njihovem drugem jeziku, strpnost in različnost v</w:t>
            </w:r>
            <w:r w:rsidRPr="00237696">
              <w:rPr>
                <w:spacing w:val="7"/>
                <w:lang w:val="sl-SI" w:eastAsia="en-GB"/>
              </w:rPr>
              <w:t xml:space="preserve"> </w:t>
            </w:r>
            <w:r w:rsidRPr="00237696">
              <w:rPr>
                <w:lang w:val="sl-SI" w:eastAsia="en-GB"/>
              </w:rPr>
              <w:t>razredu.</w:t>
            </w:r>
          </w:p>
        </w:tc>
      </w:tr>
    </w:tbl>
    <w:p w14:paraId="7D398A2F" w14:textId="77777777" w:rsidR="00E03711" w:rsidRPr="001048FE" w:rsidRDefault="00E03711" w:rsidP="003A2309">
      <w:pPr>
        <w:pStyle w:val="Guide-Heading5"/>
        <w:rPr>
          <w:lang w:val="sl-SI"/>
        </w:rPr>
      </w:pPr>
      <w:r w:rsidRPr="001048FE">
        <w:rPr>
          <w:lang w:val="sl-SI"/>
        </w:rPr>
        <w:t>Kakšna je vloga organizacij, ki sodelujejo v tem</w:t>
      </w:r>
      <w:r w:rsidRPr="001048FE">
        <w:rPr>
          <w:spacing w:val="61"/>
          <w:lang w:val="sl-SI"/>
        </w:rPr>
        <w:t xml:space="preserve"> </w:t>
      </w:r>
      <w:r w:rsidRPr="001048FE">
        <w:rPr>
          <w:lang w:val="sl-SI"/>
        </w:rPr>
        <w:t>projektu?</w:t>
      </w:r>
    </w:p>
    <w:p w14:paraId="7D398A30" w14:textId="77777777" w:rsidR="00E03711" w:rsidRPr="001048FE" w:rsidRDefault="00E03711" w:rsidP="003A2309">
      <w:pPr>
        <w:pStyle w:val="GUIDE-NORMAL"/>
        <w:rPr>
          <w:lang w:val="sl-SI"/>
        </w:rPr>
      </w:pPr>
      <w:r w:rsidRPr="001048FE">
        <w:rPr>
          <w:lang w:val="sl-SI"/>
        </w:rPr>
        <w:t>Sodelujoče organizacije, ki so vključene v projekt mobilnosti, prevzamejo naslednje vloge in naloge:</w:t>
      </w:r>
    </w:p>
    <w:p w14:paraId="7D398A31" w14:textId="77777777" w:rsidR="00E03711" w:rsidRPr="001048FE" w:rsidRDefault="00E03711" w:rsidP="005115F2">
      <w:pPr>
        <w:pStyle w:val="Guide-NormalBulletpoints"/>
        <w:numPr>
          <w:ilvl w:val="0"/>
          <w:numId w:val="218"/>
        </w:numPr>
        <w:rPr>
          <w:lang w:val="sl-SI"/>
        </w:rPr>
      </w:pPr>
      <w:r w:rsidRPr="001048FE">
        <w:rPr>
          <w:lang w:val="sl-SI"/>
        </w:rPr>
        <w:t>organizacija prijaviteljica: odgovorna je za to, da se prijavi na projekt mobilnosti, podpiše in upravlja sporazum o nepovratnih sredstvih ter poroča o projektu. Prijavitelj je lahko koordinator konzorcija: vodi nacionalni konzorcij za mobilnost, ki je sestavljen iz partnerskih organizacij iz iste države in katerega cilj je napotiti dijake in osebje v PIU na aktivnosti v tujini. Koordinator nacionalnega konzorcija za mobilnost lahko tudi – vendar neobvezno – deluje kot organizacija pošiljateljica;</w:t>
      </w:r>
    </w:p>
    <w:p w14:paraId="7D398A32" w14:textId="77777777" w:rsidR="00E03711" w:rsidRPr="001048FE" w:rsidRDefault="00E03711" w:rsidP="005115F2">
      <w:pPr>
        <w:pStyle w:val="Guide-NormalBulletpoints"/>
        <w:numPr>
          <w:ilvl w:val="0"/>
          <w:numId w:val="218"/>
        </w:numPr>
        <w:rPr>
          <w:lang w:val="sl-SI"/>
        </w:rPr>
      </w:pPr>
      <w:r w:rsidRPr="001048FE">
        <w:rPr>
          <w:lang w:val="sl-SI"/>
        </w:rPr>
        <w:t xml:space="preserve">organizacija pošiljateljica: odgovorna je za to, da izbere dijake/osebje ter jih napoti v tujino; </w:t>
      </w:r>
    </w:p>
    <w:p w14:paraId="7D398A33" w14:textId="77777777" w:rsidR="00E03711" w:rsidRPr="001048FE" w:rsidRDefault="00E03711" w:rsidP="005115F2">
      <w:pPr>
        <w:pStyle w:val="Guide-NormalBulletpoints"/>
        <w:numPr>
          <w:ilvl w:val="0"/>
          <w:numId w:val="218"/>
        </w:numPr>
        <w:rPr>
          <w:lang w:val="sl-SI"/>
        </w:rPr>
      </w:pPr>
      <w:r w:rsidRPr="001048FE">
        <w:rPr>
          <w:lang w:val="sl-SI"/>
        </w:rPr>
        <w:t>organizacija gostiteljica: odgovorna je za to, da sprejme tuje dijake/osebje v PIU in zanje zagotovi program aktivnosti ali pridobitev znanja na podlagi aktivnosti usposabljanja, ki ga izvaja osebje PIU;</w:t>
      </w:r>
    </w:p>
    <w:p w14:paraId="7D398A34" w14:textId="77777777" w:rsidR="00E03711" w:rsidRPr="001048FE" w:rsidRDefault="00E03711" w:rsidP="005115F2">
      <w:pPr>
        <w:pStyle w:val="Guide-NormalBulletpoints"/>
        <w:numPr>
          <w:ilvl w:val="0"/>
          <w:numId w:val="218"/>
        </w:numPr>
        <w:rPr>
          <w:lang w:val="sl-SI"/>
        </w:rPr>
      </w:pPr>
      <w:r w:rsidRPr="001048FE">
        <w:rPr>
          <w:lang w:val="sl-SI"/>
        </w:rPr>
        <w:t>organizacija posrednica: to je organizacija, ki je dejavna na trgu dela ali na področju izobraževanja, usposabljanja in mladih; ni organizacija pošiljateljica, vendar ji njeno strokovno znanje omogoča, da opravlja naloge, kot so lajšanje administrativnih postopkov ponudnikov PIU pošiljateljev, praktične ureditve, usklajevanje profilov vajencev/dijakov s potrebami podjetij v primeru praks in priprava udeležencev. Če je organizacija posrednica partnerica nacionalnega konzorcija za mobilnost, mora biti njen prispevek jasno opisan v prijavi projekta. Če organizacija posrednica ni del nacionalnega konzorcija za mobilnost, se organizacijam prijaviteljicam priporoča, da formalno določijo sklop pravic in obveznosti za sodelovanje s takimi organizacijami posrednicami.</w:t>
      </w:r>
    </w:p>
    <w:p w14:paraId="7D398A35" w14:textId="77777777" w:rsidR="00E03711" w:rsidRPr="001048FE" w:rsidRDefault="00E03711" w:rsidP="003A2309">
      <w:pPr>
        <w:pStyle w:val="GUIDE-NORMAL"/>
        <w:rPr>
          <w:lang w:val="sl-SI"/>
        </w:rPr>
      </w:pPr>
      <w:r w:rsidRPr="001048FE">
        <w:rPr>
          <w:lang w:val="sl-SI"/>
        </w:rPr>
        <w:t>Organizaciji pošiljateljica in gostiteljica ter dijaki/osebje se morajo dogovoriti o aktivnostih, ki jih bodo opravili dijaki – v „učnem sporazumu“ – ali osebje – v „sporazumu o mobilnosti“ – pred začetkom obdobja mobilnosti. Ti sporazumi opredeljujejo ciljne učne rezultate za obdobje učenja v tujini, vsebujejo formalne določbe o priznavanju ter navajajo pravice in obveznosti obeh strani.</w:t>
      </w:r>
    </w:p>
    <w:p w14:paraId="7D398A36" w14:textId="77777777" w:rsidR="00E03711" w:rsidRPr="001048FE" w:rsidRDefault="00E03711" w:rsidP="003A2309">
      <w:pPr>
        <w:pStyle w:val="GUIDE-NORMAL"/>
        <w:rPr>
          <w:b/>
          <w:smallCaps/>
          <w:sz w:val="22"/>
          <w:szCs w:val="20"/>
          <w:lang w:val="sl-SI"/>
        </w:rPr>
      </w:pPr>
      <w:r w:rsidRPr="001048FE">
        <w:rPr>
          <w:lang w:val="sl-SI"/>
        </w:rPr>
        <w:t>Dijaki v PIU, ki se bodo udeležili mobilnosti za 19 dni ali dlje, so upravičeni do jezikovne podpore. V okviru Programa se postopoma izvaja spletna jezikovna podpora. Evropska komisija omogoča dostop do te storitve upravičenim udeležencem, da bi ocenila njihovo znanje tujih jezikov in po potrebi ponudila najustreznejše učenje jezikov pred mobilnostjo in/ali med njo (za več podrobnosti glej Prilogo I k temu vodniku).</w:t>
      </w:r>
    </w:p>
    <w:p w14:paraId="7D398A37" w14:textId="77777777" w:rsidR="00E03711" w:rsidRPr="001048FE" w:rsidRDefault="00E03711" w:rsidP="00E23D2D">
      <w:pPr>
        <w:pStyle w:val="Guide-Heading5"/>
        <w:rPr>
          <w:lang w:val="sl-SI"/>
        </w:rPr>
      </w:pPr>
      <w:r w:rsidRPr="001048FE">
        <w:rPr>
          <w:lang w:val="sl-SI"/>
        </w:rPr>
        <w:t>Projekt mobilnosti za dijake in osebje v PIU brez listine Erasmus+ za mobilnost v PIU</w:t>
      </w:r>
    </w:p>
    <w:p w14:paraId="7D398A38" w14:textId="77777777" w:rsidR="00E03711" w:rsidRPr="001048FE" w:rsidRDefault="00E03711" w:rsidP="007413D0">
      <w:pPr>
        <w:pStyle w:val="Guide-Heading6"/>
        <w:rPr>
          <w:lang w:val="sl-SI"/>
        </w:rPr>
      </w:pPr>
      <w:r w:rsidRPr="001048FE">
        <w:rPr>
          <w:lang w:val="sl-SI"/>
        </w:rPr>
        <w:t>Kakšna so merila za oceno tega projekta?</w:t>
      </w:r>
    </w:p>
    <w:p w14:paraId="7D398A39" w14:textId="77777777" w:rsidR="00E03711" w:rsidRPr="001048FE" w:rsidRDefault="00E03711" w:rsidP="007413D0">
      <w:pPr>
        <w:pStyle w:val="GUIDE-NORMAL"/>
        <w:rPr>
          <w:lang w:val="sl-SI"/>
        </w:rPr>
      </w:pPr>
      <w:r w:rsidRPr="001048FE">
        <w:rPr>
          <w:lang w:val="sl-SI"/>
        </w:rPr>
        <w:t>V nadaljevanju so navedena formalna merila, ki jih mora izpolniti projekt mobilnosti PIU za upravičenost do nepovratnih sredstev Erasmus+:</w:t>
      </w:r>
    </w:p>
    <w:p w14:paraId="7D398A3A" w14:textId="77777777" w:rsidR="00E03711" w:rsidRPr="001048FE" w:rsidRDefault="00E03711" w:rsidP="007413D0">
      <w:pPr>
        <w:pStyle w:val="Guide-Heading7"/>
        <w:rPr>
          <w:lang w:val="sl-SI"/>
        </w:rPr>
      </w:pPr>
      <w:r w:rsidRPr="001048FE">
        <w:rPr>
          <w:lang w:val="sl-SI"/>
        </w:rPr>
        <w:t>Splošna merila za upravičenost</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68"/>
        <w:gridCol w:w="7722"/>
      </w:tblGrid>
      <w:tr w:rsidR="00E03711" w:rsidRPr="008C6F8C" w14:paraId="7D398A41" w14:textId="77777777" w:rsidTr="00AD6053">
        <w:trPr>
          <w:cantSplit/>
          <w:trHeight w:val="567"/>
        </w:trPr>
        <w:tc>
          <w:tcPr>
            <w:tcW w:w="844" w:type="pct"/>
            <w:tcBorders>
              <w:top w:val="single" w:sz="4" w:space="0" w:color="auto"/>
              <w:left w:val="single" w:sz="4" w:space="0" w:color="auto"/>
              <w:bottom w:val="dashed" w:sz="4" w:space="0" w:color="auto"/>
              <w:right w:val="dashed" w:sz="4" w:space="0" w:color="auto"/>
            </w:tcBorders>
            <w:shd w:val="clear" w:color="auto" w:fill="FFFFFF"/>
            <w:vAlign w:val="center"/>
          </w:tcPr>
          <w:p w14:paraId="7D398A3B" w14:textId="77777777" w:rsidR="00E03711" w:rsidRPr="00F769E0" w:rsidRDefault="00E03711" w:rsidP="001205B9">
            <w:pPr>
              <w:pStyle w:val="Guide-Table"/>
              <w:spacing w:before="60" w:after="60"/>
              <w:jc w:val="left"/>
              <w:rPr>
                <w:rFonts w:cs="Tahoma"/>
                <w:b/>
                <w:lang w:val="sl-SI" w:eastAsia="en-GB"/>
              </w:rPr>
            </w:pPr>
            <w:r w:rsidRPr="00F769E0">
              <w:rPr>
                <w:rFonts w:cs="Tahoma"/>
                <w:b/>
                <w:lang w:val="sl-SI" w:eastAsia="en-GB"/>
              </w:rPr>
              <w:t>Upravičene aktivnosti</w:t>
            </w:r>
          </w:p>
        </w:tc>
        <w:tc>
          <w:tcPr>
            <w:tcW w:w="4156" w:type="pct"/>
            <w:tcBorders>
              <w:top w:val="single" w:sz="4" w:space="0" w:color="auto"/>
              <w:left w:val="single" w:sz="8" w:space="0" w:color="000000"/>
              <w:bottom w:val="dashed" w:sz="4" w:space="0" w:color="auto"/>
              <w:right w:val="single" w:sz="4" w:space="0" w:color="auto"/>
            </w:tcBorders>
            <w:shd w:val="clear" w:color="auto" w:fill="FFFFFF"/>
          </w:tcPr>
          <w:p w14:paraId="7D398A3C" w14:textId="77777777" w:rsidR="00E03711" w:rsidRPr="00F769E0" w:rsidRDefault="00E03711" w:rsidP="001205B9">
            <w:pPr>
              <w:pStyle w:val="GUIDE-NORMAL"/>
              <w:spacing w:before="60" w:after="60"/>
              <w:rPr>
                <w:rFonts w:ascii="Helvetica" w:hAnsi="Helvetica" w:cs="Tahoma"/>
                <w:kern w:val="0"/>
                <w:sz w:val="17"/>
                <w:szCs w:val="17"/>
                <w:lang w:val="sl-SI" w:eastAsia="fr-FR"/>
              </w:rPr>
            </w:pPr>
            <w:r w:rsidRPr="00F769E0">
              <w:rPr>
                <w:rFonts w:cs="Tahoma"/>
                <w:lang w:val="sl-SI" w:eastAsia="en-GB"/>
              </w:rPr>
              <w:t>Projekt mobilnosti v PIU mora zajemati eno ali več naslednjih aktivnosti:</w:t>
            </w:r>
          </w:p>
          <w:p w14:paraId="7D398A3D" w14:textId="77777777" w:rsidR="00E03711" w:rsidRPr="001048FE" w:rsidRDefault="00E03711" w:rsidP="005115F2">
            <w:pPr>
              <w:pStyle w:val="Guide-NormalBulletpoints"/>
              <w:numPr>
                <w:ilvl w:val="0"/>
                <w:numId w:val="219"/>
              </w:numPr>
              <w:spacing w:before="60"/>
              <w:rPr>
                <w:lang w:val="sl-SI"/>
              </w:rPr>
            </w:pPr>
            <w:r w:rsidRPr="001048FE">
              <w:rPr>
                <w:lang w:val="sl-SI"/>
              </w:rPr>
              <w:t>Mobilnost pri ponudnikih PIU in/ali družbah v tujini, od 2 tednov do največ 3 mesecev;</w:t>
            </w:r>
          </w:p>
          <w:p w14:paraId="7D398A3E" w14:textId="77777777" w:rsidR="00E03711" w:rsidRPr="001048FE" w:rsidRDefault="00E03711" w:rsidP="005115F2">
            <w:pPr>
              <w:pStyle w:val="Guide-NormalBulletpoints"/>
              <w:numPr>
                <w:ilvl w:val="0"/>
                <w:numId w:val="219"/>
              </w:numPr>
              <w:spacing w:before="60"/>
              <w:rPr>
                <w:lang w:val="sl-SI"/>
              </w:rPr>
            </w:pPr>
            <w:r w:rsidRPr="001048FE">
              <w:rPr>
                <w:lang w:val="sl-SI"/>
              </w:rPr>
              <w:t>dolgotrajna mobilnost pri ponudnikih PIU in/ali družbah v tujini (ErasmusPro), od 3 do 12 mesecev.</w:t>
            </w:r>
          </w:p>
          <w:p w14:paraId="7D398A3F" w14:textId="77777777" w:rsidR="00E03711" w:rsidRPr="001048FE" w:rsidRDefault="00E03711" w:rsidP="005115F2">
            <w:pPr>
              <w:pStyle w:val="Guide-NormalBulletpoints"/>
              <w:numPr>
                <w:ilvl w:val="0"/>
                <w:numId w:val="219"/>
              </w:numPr>
              <w:spacing w:before="60"/>
              <w:rPr>
                <w:lang w:val="sl-SI"/>
              </w:rPr>
            </w:pPr>
            <w:r w:rsidRPr="001048FE">
              <w:rPr>
                <w:lang w:val="sl-SI"/>
              </w:rPr>
              <w:t>mobilnost z namenom poučevanja/usposabljanja v tujini,</w:t>
            </w:r>
          </w:p>
          <w:p w14:paraId="7D398A40" w14:textId="77777777" w:rsidR="00E03711" w:rsidRPr="001048FE" w:rsidRDefault="00E03711" w:rsidP="005115F2">
            <w:pPr>
              <w:pStyle w:val="Guide-NormalBulletpoints"/>
              <w:numPr>
                <w:ilvl w:val="0"/>
                <w:numId w:val="219"/>
              </w:numPr>
              <w:spacing w:before="60"/>
              <w:rPr>
                <w:lang w:val="sl-SI"/>
              </w:rPr>
            </w:pPr>
            <w:r w:rsidRPr="001048FE">
              <w:rPr>
                <w:lang w:val="sl-SI"/>
              </w:rPr>
              <w:t>usposabljanje osebja v tujini.</w:t>
            </w:r>
          </w:p>
        </w:tc>
      </w:tr>
      <w:tr w:rsidR="00E03711" w:rsidRPr="00C60205" w14:paraId="7D398A52" w14:textId="77777777" w:rsidTr="00AD6053">
        <w:trPr>
          <w:cantSplit/>
          <w:trHeight w:val="567"/>
        </w:trPr>
        <w:tc>
          <w:tcPr>
            <w:tcW w:w="844" w:type="pct"/>
            <w:shd w:val="clear" w:color="auto" w:fill="FFFFFF"/>
            <w:vAlign w:val="center"/>
          </w:tcPr>
          <w:p w14:paraId="7D398A42" w14:textId="77777777" w:rsidR="00E03711" w:rsidRPr="00F769E0" w:rsidRDefault="00E03711" w:rsidP="001205B9">
            <w:pPr>
              <w:pStyle w:val="Guide-Table"/>
              <w:spacing w:before="60" w:after="60"/>
              <w:jc w:val="left"/>
              <w:rPr>
                <w:rFonts w:cs="Tahoma"/>
                <w:b/>
                <w:lang w:val="sl-SI" w:eastAsia="en-GB"/>
              </w:rPr>
            </w:pPr>
            <w:r w:rsidRPr="00F769E0">
              <w:rPr>
                <w:rFonts w:cs="Tahoma"/>
                <w:b/>
                <w:lang w:val="sl-SI" w:eastAsia="en-GB"/>
              </w:rPr>
              <w:t>Upravičene sodelujoče organizacije</w:t>
            </w:r>
          </w:p>
        </w:tc>
        <w:tc>
          <w:tcPr>
            <w:tcW w:w="4156" w:type="pct"/>
            <w:shd w:val="clear" w:color="auto" w:fill="FFFFFF"/>
          </w:tcPr>
          <w:p w14:paraId="7D398A43" w14:textId="77777777" w:rsidR="00E03711" w:rsidRPr="00F769E0" w:rsidRDefault="00E03711" w:rsidP="001205B9">
            <w:pPr>
              <w:pStyle w:val="GUIDE-NORMAL"/>
              <w:spacing w:before="60" w:after="60"/>
              <w:rPr>
                <w:rFonts w:cs="Tahoma"/>
                <w:lang w:val="sl-SI" w:eastAsia="en-GB"/>
              </w:rPr>
            </w:pPr>
            <w:r w:rsidRPr="00F769E0">
              <w:rPr>
                <w:rFonts w:cs="Tahoma"/>
                <w:lang w:val="sl-SI" w:eastAsia="en-GB"/>
              </w:rPr>
              <w:t>Sodelujoča organizacija je lahko:</w:t>
            </w:r>
          </w:p>
          <w:p w14:paraId="7D398A44" w14:textId="77777777" w:rsidR="00E03711" w:rsidRPr="001048FE" w:rsidRDefault="00E03711" w:rsidP="005115F2">
            <w:pPr>
              <w:pStyle w:val="Guide-NormalBulletpoints"/>
              <w:numPr>
                <w:ilvl w:val="0"/>
                <w:numId w:val="220"/>
              </w:numPr>
              <w:spacing w:before="60"/>
              <w:rPr>
                <w:lang w:val="sl-SI"/>
              </w:rPr>
            </w:pPr>
            <w:r w:rsidRPr="001048FE">
              <w:rPr>
                <w:lang w:val="sl-SI"/>
              </w:rPr>
              <w:t>katera koli javna ali zasebna organizacija (ali njena podružnica/enota), ki je aktivna na področju poklicnega izobraževanja in usposabljanja (opredeljena kot ponudnik PIU), ali</w:t>
            </w:r>
          </w:p>
          <w:p w14:paraId="7D398A45" w14:textId="77777777" w:rsidR="00E03711" w:rsidRPr="001048FE" w:rsidRDefault="00E03711" w:rsidP="005115F2">
            <w:pPr>
              <w:pStyle w:val="Guide-NormalBulletpoints"/>
              <w:numPr>
                <w:ilvl w:val="0"/>
                <w:numId w:val="220"/>
              </w:numPr>
              <w:spacing w:before="60"/>
              <w:rPr>
                <w:lang w:val="sl-SI"/>
              </w:rPr>
            </w:pPr>
            <w:r w:rsidRPr="001048FE">
              <w:rPr>
                <w:lang w:val="sl-SI"/>
              </w:rPr>
              <w:t>katera koli javna ali zasebna organizacija, aktivna na trgu dela (opredeljena kot družba).</w:t>
            </w:r>
          </w:p>
          <w:p w14:paraId="7D398A46" w14:textId="77777777" w:rsidR="00E03711" w:rsidRPr="00F769E0" w:rsidRDefault="00E03711" w:rsidP="001205B9">
            <w:pPr>
              <w:pStyle w:val="GUIDE-NORMAL"/>
              <w:spacing w:before="60" w:after="60"/>
              <w:rPr>
                <w:rFonts w:cs="Tahoma"/>
                <w:lang w:val="sl-SI" w:eastAsia="en-GB"/>
              </w:rPr>
            </w:pPr>
            <w:r w:rsidRPr="00F769E0">
              <w:rPr>
                <w:rFonts w:cs="Tahoma"/>
                <w:lang w:val="sl-SI" w:eastAsia="en-GB"/>
              </w:rPr>
              <w:t>Take organizacije so lahko na primer:</w:t>
            </w:r>
          </w:p>
          <w:p w14:paraId="7D398A47" w14:textId="77777777" w:rsidR="00E03711" w:rsidRPr="001048FE" w:rsidRDefault="00E03711" w:rsidP="005115F2">
            <w:pPr>
              <w:pStyle w:val="Guide-NormalBulletpoints"/>
              <w:numPr>
                <w:ilvl w:val="0"/>
                <w:numId w:val="221"/>
              </w:numPr>
              <w:spacing w:before="60"/>
              <w:rPr>
                <w:lang w:val="sl-SI"/>
              </w:rPr>
            </w:pPr>
            <w:r w:rsidRPr="001048FE">
              <w:rPr>
                <w:lang w:val="sl-SI"/>
              </w:rPr>
              <w:t>šola/zavod/center za poklicno izobraževanje;</w:t>
            </w:r>
          </w:p>
          <w:p w14:paraId="7D398A48" w14:textId="77777777" w:rsidR="00E03711" w:rsidRPr="001048FE" w:rsidRDefault="00E03711" w:rsidP="005115F2">
            <w:pPr>
              <w:pStyle w:val="Guide-NormalBulletpoints"/>
              <w:numPr>
                <w:ilvl w:val="0"/>
                <w:numId w:val="221"/>
              </w:numPr>
              <w:spacing w:before="60"/>
              <w:rPr>
                <w:lang w:val="sl-SI"/>
              </w:rPr>
            </w:pPr>
            <w:r w:rsidRPr="001048FE">
              <w:rPr>
                <w:lang w:val="sl-SI"/>
              </w:rPr>
              <w:t>javno ali zasebno malo, srednje ali veliko podjetje (vključno s socialnimi podjetji);</w:t>
            </w:r>
          </w:p>
          <w:p w14:paraId="7D398A49" w14:textId="77777777" w:rsidR="00E03711" w:rsidRPr="001048FE" w:rsidRDefault="00E03711" w:rsidP="005115F2">
            <w:pPr>
              <w:pStyle w:val="Guide-NormalBulletpoints"/>
              <w:numPr>
                <w:ilvl w:val="0"/>
                <w:numId w:val="221"/>
              </w:numPr>
              <w:spacing w:before="60"/>
              <w:rPr>
                <w:lang w:val="sl-SI"/>
              </w:rPr>
            </w:pPr>
            <w:r w:rsidRPr="001048FE">
              <w:rPr>
                <w:lang w:val="sl-SI"/>
              </w:rPr>
              <w:t>socialni partner ali drug predstavnik sveta dela, tudi gospodarske zbornice, obrtniška/poklicna združenja in sindikati;</w:t>
            </w:r>
          </w:p>
          <w:p w14:paraId="7D398A4A" w14:textId="77777777" w:rsidR="00E03711" w:rsidRPr="001048FE" w:rsidRDefault="00E03711" w:rsidP="005115F2">
            <w:pPr>
              <w:pStyle w:val="Guide-NormalBulletpoints"/>
              <w:numPr>
                <w:ilvl w:val="0"/>
                <w:numId w:val="221"/>
              </w:numPr>
              <w:spacing w:before="60"/>
              <w:rPr>
                <w:lang w:val="sl-SI"/>
              </w:rPr>
            </w:pPr>
            <w:r w:rsidRPr="001048FE">
              <w:rPr>
                <w:lang w:val="sl-SI"/>
              </w:rPr>
              <w:t>javni organ na lokalni, regionalni ali nacionalni ravni;</w:t>
            </w:r>
          </w:p>
          <w:p w14:paraId="7D398A4B" w14:textId="77777777" w:rsidR="00E03711" w:rsidRPr="001048FE" w:rsidRDefault="00E03711" w:rsidP="005115F2">
            <w:pPr>
              <w:pStyle w:val="Guide-NormalBulletpoints"/>
              <w:numPr>
                <w:ilvl w:val="0"/>
                <w:numId w:val="221"/>
              </w:numPr>
              <w:spacing w:before="60"/>
              <w:rPr>
                <w:lang w:val="sl-SI"/>
              </w:rPr>
            </w:pPr>
            <w:r w:rsidRPr="001048FE">
              <w:rPr>
                <w:lang w:val="sl-SI"/>
              </w:rPr>
              <w:t>raziskovalni inštitut;</w:t>
            </w:r>
          </w:p>
          <w:p w14:paraId="7D398A4C" w14:textId="77777777" w:rsidR="00E03711" w:rsidRPr="001048FE" w:rsidRDefault="00E03711" w:rsidP="005115F2">
            <w:pPr>
              <w:pStyle w:val="Guide-NormalBulletpoints"/>
              <w:numPr>
                <w:ilvl w:val="0"/>
                <w:numId w:val="221"/>
              </w:numPr>
              <w:spacing w:before="60"/>
              <w:rPr>
                <w:lang w:val="sl-SI"/>
              </w:rPr>
            </w:pPr>
            <w:r w:rsidRPr="001048FE">
              <w:rPr>
                <w:lang w:val="sl-SI"/>
              </w:rPr>
              <w:t>fundacija;</w:t>
            </w:r>
          </w:p>
          <w:p w14:paraId="7D398A4D" w14:textId="77777777" w:rsidR="00E03711" w:rsidRPr="001048FE" w:rsidRDefault="00E03711" w:rsidP="005115F2">
            <w:pPr>
              <w:pStyle w:val="Guide-NormalBulletpoints"/>
              <w:numPr>
                <w:ilvl w:val="0"/>
                <w:numId w:val="221"/>
              </w:numPr>
              <w:spacing w:before="60"/>
              <w:rPr>
                <w:lang w:val="sl-SI"/>
              </w:rPr>
            </w:pPr>
            <w:r w:rsidRPr="001048FE">
              <w:rPr>
                <w:lang w:val="sl-SI"/>
              </w:rPr>
              <w:t>šola/zavod/center za izobraževanje (na kateri koli ravni, od predšolskega do srednješolskega izobraževanja, vključno z izobraževanjem odraslih);</w:t>
            </w:r>
          </w:p>
          <w:p w14:paraId="7D398A4E" w14:textId="77777777" w:rsidR="00E03711" w:rsidRPr="001048FE" w:rsidRDefault="00E03711" w:rsidP="005115F2">
            <w:pPr>
              <w:pStyle w:val="Guide-NormalBulletpoints"/>
              <w:numPr>
                <w:ilvl w:val="0"/>
                <w:numId w:val="221"/>
              </w:numPr>
              <w:spacing w:before="60"/>
              <w:rPr>
                <w:lang w:val="sl-SI"/>
              </w:rPr>
            </w:pPr>
            <w:r w:rsidRPr="001048FE">
              <w:rPr>
                <w:lang w:val="sl-SI"/>
              </w:rPr>
              <w:t>neprofitna organizacija, združenje, nevladna organizacija,</w:t>
            </w:r>
          </w:p>
          <w:p w14:paraId="7D398A4F" w14:textId="77777777" w:rsidR="00E03711" w:rsidRPr="001048FE" w:rsidRDefault="00E03711" w:rsidP="005115F2">
            <w:pPr>
              <w:pStyle w:val="Guide-NormalBulletpoints"/>
              <w:numPr>
                <w:ilvl w:val="0"/>
                <w:numId w:val="221"/>
              </w:numPr>
              <w:spacing w:before="60"/>
              <w:rPr>
                <w:lang w:val="sl-SI"/>
              </w:rPr>
            </w:pPr>
            <w:r w:rsidRPr="001048FE">
              <w:rPr>
                <w:lang w:val="sl-SI"/>
              </w:rPr>
              <w:t>organ, ki zagotavlja poklicno informiranje in svetovanje;</w:t>
            </w:r>
          </w:p>
          <w:p w14:paraId="7D398A50" w14:textId="77777777" w:rsidR="00E03711" w:rsidRPr="001048FE" w:rsidRDefault="00E03711" w:rsidP="005115F2">
            <w:pPr>
              <w:pStyle w:val="Guide-NormalBulletpoints"/>
              <w:numPr>
                <w:ilvl w:val="0"/>
                <w:numId w:val="221"/>
              </w:numPr>
              <w:spacing w:before="60"/>
              <w:rPr>
                <w:lang w:val="sl-SI"/>
              </w:rPr>
            </w:pPr>
            <w:r w:rsidRPr="001048FE">
              <w:rPr>
                <w:lang w:val="sl-SI"/>
              </w:rPr>
              <w:t>organ, ki je odgovoren za politike na področju poklicnega izobraževanja in usposabljanja.</w:t>
            </w:r>
          </w:p>
          <w:p w14:paraId="7D398A51" w14:textId="77777777" w:rsidR="00E03711" w:rsidRPr="00F769E0" w:rsidRDefault="00E03711" w:rsidP="001205B9">
            <w:pPr>
              <w:pStyle w:val="GUIDE-NORMAL"/>
              <w:spacing w:before="60" w:after="60"/>
              <w:rPr>
                <w:rFonts w:cs="Tahoma"/>
                <w:lang w:val="sl-SI" w:eastAsia="en-GB"/>
              </w:rPr>
            </w:pPr>
            <w:r w:rsidRPr="00F769E0">
              <w:rPr>
                <w:rFonts w:cs="Tahoma"/>
                <w:lang w:val="sl-SI" w:eastAsia="en-GB"/>
              </w:rPr>
              <w:t>Vse organizacije morajo imeti sedež v državi Programa.</w:t>
            </w:r>
          </w:p>
        </w:tc>
      </w:tr>
      <w:tr w:rsidR="00E03711" w:rsidRPr="00C60205" w14:paraId="7D398A57" w14:textId="77777777" w:rsidTr="00AD6053">
        <w:trPr>
          <w:cantSplit/>
          <w:trHeight w:val="567"/>
        </w:trPr>
        <w:tc>
          <w:tcPr>
            <w:tcW w:w="844" w:type="pct"/>
            <w:shd w:val="clear" w:color="auto" w:fill="FFFFFF"/>
            <w:vAlign w:val="center"/>
          </w:tcPr>
          <w:p w14:paraId="7D398A53" w14:textId="77777777" w:rsidR="00E03711" w:rsidRPr="00F769E0" w:rsidRDefault="00E03711" w:rsidP="001205B9">
            <w:pPr>
              <w:pStyle w:val="GUIDE-NORMAL"/>
              <w:spacing w:before="60" w:after="60"/>
              <w:jc w:val="left"/>
              <w:rPr>
                <w:rFonts w:cs="Tahoma"/>
                <w:b/>
                <w:lang w:val="sl-SI" w:eastAsia="en-GB"/>
              </w:rPr>
            </w:pPr>
            <w:r w:rsidRPr="00F769E0">
              <w:rPr>
                <w:rFonts w:cs="Tahoma"/>
                <w:b/>
                <w:lang w:val="sl-SI" w:eastAsia="en-GB"/>
              </w:rPr>
              <w:t>Kdo se lahko prijavi?</w:t>
            </w:r>
          </w:p>
        </w:tc>
        <w:tc>
          <w:tcPr>
            <w:tcW w:w="4156" w:type="pct"/>
            <w:shd w:val="clear" w:color="auto" w:fill="FFFFFF"/>
          </w:tcPr>
          <w:p w14:paraId="7D398A54" w14:textId="77777777" w:rsidR="00E03711" w:rsidRPr="001048FE" w:rsidRDefault="00E03711" w:rsidP="005115F2">
            <w:pPr>
              <w:pStyle w:val="Guide-NormalBulletpoints"/>
              <w:numPr>
                <w:ilvl w:val="0"/>
                <w:numId w:val="222"/>
              </w:numPr>
              <w:spacing w:before="60"/>
              <w:rPr>
                <w:lang w:val="sl-SI"/>
              </w:rPr>
            </w:pPr>
            <w:r w:rsidRPr="001048FE">
              <w:rPr>
                <w:lang w:val="sl-SI"/>
              </w:rPr>
              <w:t>Ponudnik PIU (ali njegova podružnica/enota), ki pošilja dijake in osebje v tujino;</w:t>
            </w:r>
          </w:p>
          <w:p w14:paraId="7D398A55" w14:textId="77777777" w:rsidR="00E03711" w:rsidRPr="001048FE" w:rsidRDefault="00E03711" w:rsidP="005115F2">
            <w:pPr>
              <w:pStyle w:val="Guide-NormalBulletpoints"/>
              <w:numPr>
                <w:ilvl w:val="0"/>
                <w:numId w:val="222"/>
              </w:numPr>
              <w:spacing w:before="60"/>
              <w:rPr>
                <w:lang w:val="sl-SI"/>
              </w:rPr>
            </w:pPr>
            <w:r w:rsidRPr="001048FE">
              <w:rPr>
                <w:lang w:val="sl-SI"/>
              </w:rPr>
              <w:t>koordinator nacionalnega konzorcija za mobilnost.</w:t>
            </w:r>
          </w:p>
          <w:p w14:paraId="7D398A56" w14:textId="77777777" w:rsidR="00E03711" w:rsidRPr="00F769E0" w:rsidRDefault="00E03711" w:rsidP="001205B9">
            <w:pPr>
              <w:pStyle w:val="GUIDE-NORMAL"/>
              <w:spacing w:before="60" w:after="60"/>
              <w:rPr>
                <w:rFonts w:cs="Tahoma"/>
                <w:lang w:val="sl-SI" w:eastAsia="en-GB"/>
              </w:rPr>
            </w:pPr>
            <w:r w:rsidRPr="00F769E0">
              <w:rPr>
                <w:rFonts w:cs="Tahoma"/>
                <w:lang w:val="sl-SI" w:eastAsia="en-GB"/>
              </w:rPr>
              <w:t>Posamezniki ne morejo neposredno oddati vloge za nepovratna sredstva.</w:t>
            </w:r>
          </w:p>
        </w:tc>
      </w:tr>
      <w:tr w:rsidR="00E03711" w:rsidRPr="008C6F8C" w14:paraId="7D398A5B" w14:textId="77777777" w:rsidTr="00AD6053">
        <w:trPr>
          <w:cantSplit/>
          <w:trHeight w:val="567"/>
        </w:trPr>
        <w:tc>
          <w:tcPr>
            <w:tcW w:w="844" w:type="pct"/>
            <w:shd w:val="clear" w:color="auto" w:fill="FFFFFF"/>
            <w:vAlign w:val="center"/>
          </w:tcPr>
          <w:p w14:paraId="7D398A58" w14:textId="77777777" w:rsidR="00E03711" w:rsidRPr="00F769E0" w:rsidRDefault="00E03711" w:rsidP="001205B9">
            <w:pPr>
              <w:pStyle w:val="Guide-Table"/>
              <w:spacing w:before="60" w:after="60"/>
              <w:jc w:val="left"/>
              <w:rPr>
                <w:rFonts w:cs="Tahoma"/>
                <w:b/>
                <w:lang w:val="sl-SI" w:eastAsia="en-GB"/>
              </w:rPr>
            </w:pPr>
            <w:r w:rsidRPr="00F769E0">
              <w:rPr>
                <w:rFonts w:cs="Tahoma"/>
                <w:b/>
                <w:lang w:val="sl-SI" w:eastAsia="en-GB"/>
              </w:rPr>
              <w:t>Število sodelujočih organizacij</w:t>
            </w:r>
          </w:p>
        </w:tc>
        <w:tc>
          <w:tcPr>
            <w:tcW w:w="4156" w:type="pct"/>
            <w:shd w:val="clear" w:color="auto" w:fill="FFFFFF"/>
          </w:tcPr>
          <w:p w14:paraId="7D398A59" w14:textId="77777777" w:rsidR="00E03711" w:rsidRPr="00F769E0" w:rsidRDefault="00E03711" w:rsidP="001205B9">
            <w:pPr>
              <w:pStyle w:val="GUIDE-NORMAL"/>
              <w:spacing w:before="60" w:after="60"/>
              <w:rPr>
                <w:rFonts w:cs="Tahoma"/>
                <w:lang w:val="sl-SI" w:eastAsia="en-GB"/>
              </w:rPr>
            </w:pPr>
            <w:r w:rsidRPr="00F769E0">
              <w:rPr>
                <w:rFonts w:cs="Tahoma"/>
                <w:lang w:val="sl-SI" w:eastAsia="en-GB"/>
              </w:rPr>
              <w:t>Aktivnost mobilnosti je mednarodna in v njej sodelujeta vsaj dve sodelujoči organizaciji (vsaj ena pošiljateljica in vsaj ena gostiteljica) iz različnih držav Programa.</w:t>
            </w:r>
          </w:p>
          <w:p w14:paraId="7D398A5A" w14:textId="77777777" w:rsidR="00E03711" w:rsidRPr="00F769E0" w:rsidRDefault="00E03711" w:rsidP="001205B9">
            <w:pPr>
              <w:pStyle w:val="GUIDE-NORMAL"/>
              <w:spacing w:before="60" w:after="60"/>
              <w:rPr>
                <w:rStyle w:val="Guide-Condensed-02"/>
                <w:rFonts w:ascii="Helvetica" w:hAnsi="Helvetica" w:cs="Tahoma"/>
                <w:spacing w:val="0"/>
                <w:lang w:val="sl-SI" w:eastAsia="en-GB"/>
              </w:rPr>
            </w:pPr>
            <w:r w:rsidRPr="00F769E0">
              <w:rPr>
                <w:rFonts w:cs="Tahoma"/>
                <w:lang w:val="sl-SI" w:eastAsia="en-GB"/>
              </w:rPr>
              <w:t>V primeru projektov, ki jih predstavi nacionalni konzorcij za mobilnost, morajo biti vsi člani konzorcija iz iste države Programa in opredeljeni ob oddaji vloge za nepovratna sredstva. Konzorcij mora biti sestavljen iz vsaj treh ponudnikov PIU.</w:t>
            </w:r>
          </w:p>
        </w:tc>
      </w:tr>
      <w:tr w:rsidR="00E03711" w:rsidRPr="00C60205" w14:paraId="7D398A5E" w14:textId="77777777" w:rsidTr="00AD6053">
        <w:trPr>
          <w:cantSplit/>
          <w:trHeight w:val="567"/>
        </w:trPr>
        <w:tc>
          <w:tcPr>
            <w:tcW w:w="844" w:type="pct"/>
            <w:shd w:val="clear" w:color="auto" w:fill="FFFFFF"/>
            <w:vAlign w:val="center"/>
          </w:tcPr>
          <w:p w14:paraId="7D398A5C" w14:textId="77777777" w:rsidR="00E03711" w:rsidRPr="00F769E0" w:rsidRDefault="00E03711" w:rsidP="001205B9">
            <w:pPr>
              <w:pStyle w:val="Guide-Table"/>
              <w:spacing w:before="60" w:after="60"/>
              <w:jc w:val="left"/>
              <w:rPr>
                <w:rFonts w:cs="Tahoma"/>
                <w:b/>
                <w:lang w:val="sl-SI" w:eastAsia="en-GB"/>
              </w:rPr>
            </w:pPr>
            <w:r w:rsidRPr="00F769E0">
              <w:rPr>
                <w:rFonts w:cs="Tahoma"/>
                <w:b/>
                <w:lang w:val="sl-SI" w:eastAsia="en-GB"/>
              </w:rPr>
              <w:t>Trajanje projekta</w:t>
            </w:r>
          </w:p>
        </w:tc>
        <w:tc>
          <w:tcPr>
            <w:tcW w:w="4156" w:type="pct"/>
            <w:shd w:val="clear" w:color="auto" w:fill="FFFFFF"/>
            <w:vAlign w:val="center"/>
          </w:tcPr>
          <w:p w14:paraId="7D398A5D" w14:textId="77777777" w:rsidR="00E03711" w:rsidRPr="00F769E0" w:rsidRDefault="00E03711" w:rsidP="001205B9">
            <w:pPr>
              <w:pStyle w:val="GUIDE-NORMAL"/>
              <w:spacing w:before="60" w:after="60"/>
              <w:rPr>
                <w:rFonts w:cs="Tahoma"/>
                <w:lang w:val="sl-SI" w:eastAsia="en-GB"/>
              </w:rPr>
            </w:pPr>
            <w:r w:rsidRPr="00F769E0">
              <w:rPr>
                <w:rFonts w:cs="Tahoma"/>
                <w:lang w:val="sl-SI" w:eastAsia="en-GB"/>
              </w:rPr>
              <w:t xml:space="preserve">1 do 2 leti. Prijavitelj </w:t>
            </w:r>
            <w:r w:rsidRPr="00F769E0">
              <w:rPr>
                <w:rStyle w:val="GUIDE-NORMALChar"/>
                <w:rFonts w:cs="Tahoma"/>
                <w:lang w:val="sl-SI" w:eastAsia="en-GB"/>
              </w:rPr>
              <w:t>mora izbrati trajanje projekta ob prijavi na podlagi cilja projekta in vrste načrtovanih aktivnosti.</w:t>
            </w:r>
          </w:p>
        </w:tc>
      </w:tr>
      <w:tr w:rsidR="00E03711" w:rsidRPr="00654F6A" w14:paraId="7D398A61" w14:textId="77777777" w:rsidTr="00AD6053">
        <w:trPr>
          <w:cantSplit/>
          <w:trHeight w:val="567"/>
        </w:trPr>
        <w:tc>
          <w:tcPr>
            <w:tcW w:w="844" w:type="pct"/>
            <w:shd w:val="clear" w:color="auto" w:fill="FFFFFF"/>
            <w:vAlign w:val="center"/>
          </w:tcPr>
          <w:p w14:paraId="7D398A5F" w14:textId="77777777" w:rsidR="00E03711" w:rsidRPr="00F769E0" w:rsidRDefault="00E03711" w:rsidP="001205B9">
            <w:pPr>
              <w:pStyle w:val="GUIDE-NORMAL"/>
              <w:spacing w:before="60" w:after="60"/>
              <w:jc w:val="left"/>
              <w:rPr>
                <w:rFonts w:cs="Tahoma"/>
                <w:b/>
                <w:lang w:val="sl-SI" w:eastAsia="en-GB"/>
              </w:rPr>
            </w:pPr>
            <w:r w:rsidRPr="00F769E0">
              <w:rPr>
                <w:rFonts w:cs="Tahoma"/>
                <w:b/>
                <w:lang w:val="sl-SI" w:eastAsia="en-GB"/>
              </w:rPr>
              <w:t>Kje</w:t>
            </w:r>
            <w:r w:rsidRPr="00F769E0">
              <w:rPr>
                <w:rFonts w:cs="Tahoma"/>
                <w:b/>
                <w:spacing w:val="6"/>
                <w:lang w:val="sl-SI" w:eastAsia="en-GB"/>
              </w:rPr>
              <w:t xml:space="preserve"> </w:t>
            </w:r>
            <w:r w:rsidRPr="00F769E0">
              <w:rPr>
                <w:rFonts w:cs="Tahoma"/>
                <w:b/>
                <w:lang w:val="sl-SI" w:eastAsia="en-GB"/>
              </w:rPr>
              <w:t>se</w:t>
            </w:r>
            <w:r w:rsidRPr="00F769E0">
              <w:rPr>
                <w:rFonts w:cs="Tahoma"/>
                <w:b/>
                <w:spacing w:val="6"/>
                <w:lang w:val="sl-SI" w:eastAsia="en-GB"/>
              </w:rPr>
              <w:t xml:space="preserve"> </w:t>
            </w:r>
            <w:r w:rsidRPr="00F769E0">
              <w:rPr>
                <w:rFonts w:cs="Tahoma"/>
                <w:b/>
                <w:lang w:val="sl-SI" w:eastAsia="en-GB"/>
              </w:rPr>
              <w:t>prijaviti?</w:t>
            </w:r>
          </w:p>
        </w:tc>
        <w:tc>
          <w:tcPr>
            <w:tcW w:w="4156" w:type="pct"/>
            <w:shd w:val="clear" w:color="auto" w:fill="FFFFFF"/>
          </w:tcPr>
          <w:p w14:paraId="7D398A60" w14:textId="77777777" w:rsidR="00E03711" w:rsidRPr="00F769E0" w:rsidRDefault="00E03711" w:rsidP="001205B9">
            <w:pPr>
              <w:pStyle w:val="GUIDE-NORMAL"/>
              <w:spacing w:before="60" w:after="60"/>
              <w:rPr>
                <w:rFonts w:cs="Tahoma"/>
                <w:lang w:val="sl-SI" w:eastAsia="en-GB"/>
              </w:rPr>
            </w:pPr>
            <w:r w:rsidRPr="00F769E0">
              <w:rPr>
                <w:rFonts w:cs="Tahoma"/>
                <w:lang w:val="sl-SI" w:eastAsia="en-GB"/>
              </w:rPr>
              <w:t>Pri nacionalni agenciji v državi, v kateri ima organizacija prijaviteljica sedež.</w:t>
            </w:r>
          </w:p>
        </w:tc>
      </w:tr>
      <w:tr w:rsidR="00E03711" w:rsidRPr="00C60205" w14:paraId="7D398A67" w14:textId="77777777" w:rsidTr="00AD6053">
        <w:trPr>
          <w:cantSplit/>
          <w:trHeight w:val="567"/>
        </w:trPr>
        <w:tc>
          <w:tcPr>
            <w:tcW w:w="844" w:type="pct"/>
            <w:shd w:val="clear" w:color="auto" w:fill="FFFFFF"/>
            <w:vAlign w:val="center"/>
          </w:tcPr>
          <w:p w14:paraId="7D398A62" w14:textId="77777777" w:rsidR="00E03711" w:rsidRPr="00F769E0" w:rsidRDefault="00E03711" w:rsidP="001205B9">
            <w:pPr>
              <w:pStyle w:val="GUIDE-NORMAL"/>
              <w:spacing w:before="60" w:after="60"/>
              <w:jc w:val="left"/>
              <w:rPr>
                <w:rFonts w:cs="Tahoma"/>
                <w:b/>
                <w:lang w:val="sl-SI" w:eastAsia="en-GB"/>
              </w:rPr>
            </w:pPr>
            <w:r w:rsidRPr="00F769E0">
              <w:rPr>
                <w:rFonts w:cs="Tahoma"/>
                <w:b/>
                <w:lang w:val="sl-SI" w:eastAsia="en-GB"/>
              </w:rPr>
              <w:t>Kdaj se prijaviti??</w:t>
            </w:r>
          </w:p>
        </w:tc>
        <w:tc>
          <w:tcPr>
            <w:tcW w:w="4156" w:type="pct"/>
            <w:shd w:val="clear" w:color="auto" w:fill="FFFFFF"/>
            <w:vAlign w:val="center"/>
          </w:tcPr>
          <w:p w14:paraId="7D398A63" w14:textId="77777777" w:rsidR="00E03711" w:rsidRPr="00F769E0" w:rsidRDefault="00E03711" w:rsidP="001205B9">
            <w:pPr>
              <w:pStyle w:val="GUIDE-NORMAL"/>
              <w:spacing w:before="60" w:after="60"/>
              <w:rPr>
                <w:rFonts w:cs="Tahoma"/>
                <w:lang w:val="sl-SI" w:eastAsia="en-GB"/>
              </w:rPr>
            </w:pPr>
            <w:r w:rsidRPr="00F769E0">
              <w:rPr>
                <w:rFonts w:cs="Tahoma"/>
                <w:lang w:val="sl-SI" w:eastAsia="en-GB"/>
              </w:rPr>
              <w:t xml:space="preserve">Prijavitelji morajo vlogo za nepovratna sredstva oddati do </w:t>
            </w:r>
            <w:r w:rsidRPr="00860232">
              <w:rPr>
                <w:rFonts w:cs="Tahoma"/>
                <w:b/>
                <w:bCs/>
                <w:lang w:val="sl-SI" w:eastAsia="en-GB"/>
              </w:rPr>
              <w:t>5. februarja do 12. ure (opoldne po bruseljskem času)</w:t>
            </w:r>
            <w:r w:rsidRPr="00F769E0">
              <w:rPr>
                <w:rFonts w:cs="Tahoma"/>
                <w:lang w:val="sl-SI" w:eastAsia="en-GB"/>
              </w:rPr>
              <w:t xml:space="preserve"> za projekte, ki se začnejo med 1. junijem in 31. decembrom istega leta.</w:t>
            </w:r>
          </w:p>
          <w:p w14:paraId="7D398A64" w14:textId="77777777" w:rsidR="00E03711" w:rsidRPr="00860232" w:rsidRDefault="00E03711" w:rsidP="00454E12">
            <w:pPr>
              <w:pStyle w:val="GUIDE-NORMAL"/>
              <w:spacing w:before="60" w:after="60"/>
              <w:rPr>
                <w:rFonts w:cs="Tahoma"/>
                <w:b/>
                <w:bCs/>
                <w:lang w:val="sl-SI" w:eastAsia="en-GB"/>
              </w:rPr>
            </w:pPr>
            <w:r w:rsidRPr="00860232">
              <w:rPr>
                <w:rFonts w:cs="Tahoma"/>
                <w:b/>
                <w:bCs/>
                <w:lang w:val="sl-SI" w:eastAsia="en-GB"/>
              </w:rPr>
              <w:t>Možen dodatni rok:</w:t>
            </w:r>
          </w:p>
          <w:p w14:paraId="7D398A65" w14:textId="77777777" w:rsidR="00E03711" w:rsidRDefault="00E03711" w:rsidP="00454E12">
            <w:pPr>
              <w:pStyle w:val="GUIDE-NORMAL"/>
              <w:spacing w:before="60" w:after="60"/>
              <w:rPr>
                <w:lang w:val="sl-SI"/>
              </w:rPr>
            </w:pPr>
            <w:r w:rsidRPr="001048FE">
              <w:rPr>
                <w:lang w:val="sl-SI"/>
              </w:rPr>
              <w:t>Nacionalne agencije lahko organizirajo drugi krog prijav, če ostanejo neporabljena sredstva, za katerega tudi veljajo pravila iz tega vodnika. Nacionalne agencije bodo možnosti za to objavile na svojih spletnih straneh.</w:t>
            </w:r>
          </w:p>
          <w:p w14:paraId="7D398A66" w14:textId="77777777" w:rsidR="00E03711" w:rsidRPr="001048FE" w:rsidRDefault="00E03711" w:rsidP="00454E12">
            <w:pPr>
              <w:pStyle w:val="GUIDE-NORMAL"/>
              <w:spacing w:before="60" w:after="60"/>
              <w:rPr>
                <w:lang w:val="sl-SI"/>
              </w:rPr>
            </w:pPr>
            <w:r w:rsidRPr="001048FE">
              <w:rPr>
                <w:lang w:val="sl-SI"/>
              </w:rPr>
              <w:t xml:space="preserve">Če je organiziran drugi krog, morajo prijavitelji oddati svojo vlogo za nepovratna sredstva do </w:t>
            </w:r>
            <w:r w:rsidRPr="00860232">
              <w:rPr>
                <w:b/>
                <w:bCs/>
                <w:lang w:val="sl-SI"/>
              </w:rPr>
              <w:t>1. oktobra do 12. ure (opoldne po bruseljskem času)</w:t>
            </w:r>
            <w:r w:rsidRPr="001048FE">
              <w:rPr>
                <w:lang w:val="sl-SI"/>
              </w:rPr>
              <w:t xml:space="preserve"> za projekte, ki se začnejo med 1. januarjem in 31. majem naslednjega leta.</w:t>
            </w:r>
          </w:p>
        </w:tc>
      </w:tr>
      <w:tr w:rsidR="00E03711" w:rsidRPr="00C60205" w14:paraId="7D398A6A" w14:textId="77777777" w:rsidTr="001B6C47">
        <w:trPr>
          <w:cantSplit/>
          <w:trHeight w:val="567"/>
        </w:trPr>
        <w:tc>
          <w:tcPr>
            <w:tcW w:w="844" w:type="pct"/>
            <w:shd w:val="clear" w:color="auto" w:fill="FFFFFF"/>
            <w:vAlign w:val="center"/>
          </w:tcPr>
          <w:p w14:paraId="7D398A68" w14:textId="77777777" w:rsidR="00E03711" w:rsidRPr="00F769E0" w:rsidRDefault="00E03711" w:rsidP="001205B9">
            <w:pPr>
              <w:pStyle w:val="GUIDE-NORMAL"/>
              <w:spacing w:before="60" w:after="60"/>
              <w:jc w:val="left"/>
              <w:rPr>
                <w:rFonts w:cs="Tahoma"/>
                <w:b/>
                <w:lang w:val="sl-SI" w:eastAsia="en-GB"/>
              </w:rPr>
            </w:pPr>
            <w:r w:rsidRPr="00F769E0">
              <w:rPr>
                <w:rFonts w:cs="Tahoma"/>
                <w:b/>
                <w:lang w:val="sl-SI" w:eastAsia="en-GB"/>
              </w:rPr>
              <w:t>Kako</w:t>
            </w:r>
            <w:r w:rsidRPr="00F769E0">
              <w:rPr>
                <w:rFonts w:cs="Tahoma"/>
                <w:b/>
                <w:spacing w:val="5"/>
                <w:lang w:val="sl-SI" w:eastAsia="en-GB"/>
              </w:rPr>
              <w:t xml:space="preserve"> </w:t>
            </w:r>
            <w:r w:rsidRPr="00F769E0">
              <w:rPr>
                <w:rFonts w:cs="Tahoma"/>
                <w:b/>
                <w:lang w:val="sl-SI" w:eastAsia="en-GB"/>
              </w:rPr>
              <w:t>se</w:t>
            </w:r>
            <w:r w:rsidRPr="00F769E0">
              <w:rPr>
                <w:rFonts w:cs="Tahoma"/>
                <w:b/>
                <w:spacing w:val="5"/>
                <w:lang w:val="sl-SI" w:eastAsia="en-GB"/>
              </w:rPr>
              <w:t xml:space="preserve"> </w:t>
            </w:r>
            <w:r w:rsidRPr="00F769E0">
              <w:rPr>
                <w:rFonts w:cs="Tahoma"/>
                <w:b/>
                <w:lang w:val="sl-SI" w:eastAsia="en-GB"/>
              </w:rPr>
              <w:t>prijaviti?</w:t>
            </w:r>
          </w:p>
        </w:tc>
        <w:tc>
          <w:tcPr>
            <w:tcW w:w="4156" w:type="pct"/>
            <w:shd w:val="clear" w:color="auto" w:fill="FFFFFF"/>
            <w:vAlign w:val="center"/>
          </w:tcPr>
          <w:p w14:paraId="7D398A69" w14:textId="77777777" w:rsidR="00E03711" w:rsidRPr="00F769E0" w:rsidRDefault="00E03711" w:rsidP="001205B9">
            <w:pPr>
              <w:pStyle w:val="GUIDE-NORMAL"/>
              <w:spacing w:before="60" w:after="60"/>
              <w:rPr>
                <w:rFonts w:cs="Tahoma"/>
                <w:lang w:val="sl-SI" w:eastAsia="en-GB"/>
              </w:rPr>
            </w:pPr>
            <w:r w:rsidRPr="00F769E0">
              <w:rPr>
                <w:rFonts w:cs="Tahoma"/>
                <w:lang w:val="sl-SI" w:eastAsia="en-GB"/>
              </w:rPr>
              <w:t>Za podrobnosti o postopku prijave glej del C tega vodnika.</w:t>
            </w:r>
          </w:p>
        </w:tc>
      </w:tr>
      <w:tr w:rsidR="00E03711" w:rsidRPr="00C60205" w14:paraId="7D398A6D" w14:textId="77777777" w:rsidTr="00AD6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67"/>
        </w:trPr>
        <w:tc>
          <w:tcPr>
            <w:tcW w:w="844" w:type="pct"/>
            <w:tcBorders>
              <w:top w:val="dashed" w:sz="4" w:space="0" w:color="auto"/>
              <w:left w:val="single" w:sz="4" w:space="0" w:color="auto"/>
              <w:bottom w:val="single" w:sz="4" w:space="0" w:color="auto"/>
              <w:right w:val="single" w:sz="8" w:space="0" w:color="000000"/>
            </w:tcBorders>
            <w:shd w:val="clear" w:color="auto" w:fill="FFFFFF"/>
            <w:vAlign w:val="center"/>
          </w:tcPr>
          <w:p w14:paraId="7D398A6B" w14:textId="77777777" w:rsidR="00E03711" w:rsidRPr="00F769E0" w:rsidRDefault="00E03711" w:rsidP="001205B9">
            <w:pPr>
              <w:pStyle w:val="GUIDE-NORMAL"/>
              <w:spacing w:before="60" w:after="60"/>
              <w:jc w:val="left"/>
              <w:rPr>
                <w:rFonts w:cs="Tahoma"/>
                <w:b/>
                <w:lang w:val="sl-SI" w:eastAsia="en-GB"/>
              </w:rPr>
            </w:pPr>
            <w:r w:rsidRPr="00F769E0">
              <w:rPr>
                <w:rFonts w:cs="Tahoma"/>
                <w:b/>
                <w:lang w:val="sl-SI" w:eastAsia="en-GB"/>
              </w:rPr>
              <w:t>Druga merila</w:t>
            </w:r>
          </w:p>
        </w:tc>
        <w:tc>
          <w:tcPr>
            <w:tcW w:w="4156" w:type="pct"/>
            <w:tcBorders>
              <w:top w:val="dashed" w:sz="4" w:space="0" w:color="auto"/>
              <w:left w:val="nil"/>
              <w:bottom w:val="single" w:sz="4" w:space="0" w:color="auto"/>
              <w:right w:val="single" w:sz="4" w:space="0" w:color="auto"/>
            </w:tcBorders>
            <w:shd w:val="clear" w:color="auto" w:fill="FFFFFF"/>
          </w:tcPr>
          <w:p w14:paraId="7D398A6C" w14:textId="77777777" w:rsidR="00E03711" w:rsidRPr="00F769E0" w:rsidRDefault="00E03711" w:rsidP="001205B9">
            <w:pPr>
              <w:pStyle w:val="GUIDE-NORMAL"/>
              <w:spacing w:before="60" w:after="60"/>
              <w:rPr>
                <w:rFonts w:cs="Tahoma"/>
                <w:lang w:val="sl-SI" w:eastAsia="en-GB"/>
              </w:rPr>
            </w:pPr>
            <w:r w:rsidRPr="00F769E0">
              <w:rPr>
                <w:rFonts w:cs="Tahoma"/>
                <w:lang w:val="sl-SI" w:eastAsia="en-GB"/>
              </w:rPr>
              <w:t>Ponudnik PIU (ali njegova podružnica/enota) ali nacionalni konzorcij za</w:t>
            </w:r>
            <w:r w:rsidRPr="00F769E0">
              <w:rPr>
                <w:rFonts w:ascii="Helvetica" w:hAnsi="Helvetica" w:cs="Tahoma"/>
                <w:kern w:val="0"/>
                <w:sz w:val="17"/>
                <w:szCs w:val="17"/>
                <w:lang w:val="sl-SI" w:eastAsia="fr-FR"/>
              </w:rPr>
              <w:t xml:space="preserve"> </w:t>
            </w:r>
            <w:r w:rsidRPr="00F769E0">
              <w:rPr>
                <w:rFonts w:cs="Tahoma"/>
                <w:lang w:val="sl-SI" w:eastAsia="en-GB"/>
              </w:rPr>
              <w:t>mobilnost se lahko prijavi samo enkrat v posameznem krogu izbirnega postopka. Vendar je lahko ponudnik PIU član oziroma koordinira več različnih nacionalnih konzorcijev za mobilnost, ki se prijavljajo hkrati.</w:t>
            </w:r>
          </w:p>
        </w:tc>
      </w:tr>
    </w:tbl>
    <w:p w14:paraId="7D398A6E" w14:textId="77777777" w:rsidR="00E03711" w:rsidRPr="001048FE" w:rsidRDefault="00E03711" w:rsidP="00E23D2D">
      <w:pPr>
        <w:pStyle w:val="Guide-Heading7"/>
        <w:rPr>
          <w:lang w:val="sl-SI"/>
        </w:rPr>
      </w:pPr>
      <w:r w:rsidRPr="001048FE">
        <w:rPr>
          <w:lang w:val="sl-SI"/>
        </w:rPr>
        <w:t>Dodatna merila za upravičenost za mobilnost dijakov</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29"/>
        <w:gridCol w:w="7761"/>
      </w:tblGrid>
      <w:tr w:rsidR="00E03711" w:rsidRPr="00C60205" w14:paraId="7D398A72" w14:textId="77777777" w:rsidTr="00AD6053">
        <w:trPr>
          <w:cantSplit/>
          <w:trHeight w:val="510"/>
        </w:trPr>
        <w:tc>
          <w:tcPr>
            <w:tcW w:w="823" w:type="pct"/>
            <w:shd w:val="clear" w:color="auto" w:fill="FFFFFF"/>
            <w:vAlign w:val="center"/>
          </w:tcPr>
          <w:p w14:paraId="7D398A6F" w14:textId="77777777" w:rsidR="00E03711" w:rsidRPr="00F769E0" w:rsidRDefault="00E03711" w:rsidP="00FA6664">
            <w:pPr>
              <w:pStyle w:val="GUIDE-NORMAL"/>
              <w:spacing w:before="60" w:after="60"/>
              <w:jc w:val="left"/>
              <w:rPr>
                <w:rFonts w:cs="Tahoma"/>
                <w:b/>
                <w:lang w:val="sl-SI" w:eastAsia="en-GB"/>
              </w:rPr>
            </w:pPr>
            <w:r w:rsidRPr="00F769E0">
              <w:rPr>
                <w:rFonts w:cs="Tahoma"/>
                <w:b/>
                <w:lang w:val="sl-SI" w:eastAsia="en-GB"/>
              </w:rPr>
              <w:t>Trajanje</w:t>
            </w:r>
            <w:r w:rsidRPr="00F769E0">
              <w:rPr>
                <w:rFonts w:cs="Tahoma"/>
                <w:b/>
                <w:spacing w:val="-38"/>
                <w:lang w:val="sl-SI" w:eastAsia="en-GB"/>
              </w:rPr>
              <w:t xml:space="preserve"> </w:t>
            </w:r>
            <w:r w:rsidRPr="00F769E0">
              <w:rPr>
                <w:rFonts w:cs="Tahoma"/>
                <w:b/>
                <w:lang w:val="sl-SI" w:eastAsia="en-GB"/>
              </w:rPr>
              <w:t>aktivnosti</w:t>
            </w:r>
          </w:p>
        </w:tc>
        <w:tc>
          <w:tcPr>
            <w:tcW w:w="4177" w:type="pct"/>
            <w:shd w:val="clear" w:color="auto" w:fill="FFFFFF"/>
          </w:tcPr>
          <w:p w14:paraId="7D398A70" w14:textId="77777777" w:rsidR="00E03711" w:rsidRPr="001048FE" w:rsidRDefault="00E03711" w:rsidP="005115F2">
            <w:pPr>
              <w:pStyle w:val="Guide-NormalBulletpoints"/>
              <w:numPr>
                <w:ilvl w:val="0"/>
                <w:numId w:val="223"/>
              </w:numPr>
              <w:spacing w:before="60"/>
              <w:rPr>
                <w:lang w:val="sl-SI"/>
              </w:rPr>
            </w:pPr>
            <w:r w:rsidRPr="00FC4A70">
              <w:rPr>
                <w:rFonts w:eastAsia="Calibri" w:cs="Calibri"/>
                <w:bdr w:val="nil"/>
                <w:shd w:val="clear" w:color="auto" w:fill="auto"/>
                <w:lang w:val="sl-SI" w:eastAsia="zh-CN"/>
              </w:rPr>
              <w:t>Mobilnost pri ponudnikih PIU in/ali družbah v tujini, od 2 tednov (tj. 10 delovnih dni) do največ 3 mesecev, v kar ni zajet čas poti;</w:t>
            </w:r>
          </w:p>
          <w:p w14:paraId="7D398A71" w14:textId="77777777" w:rsidR="00E03711" w:rsidRPr="001048FE" w:rsidRDefault="00E03711" w:rsidP="005115F2">
            <w:pPr>
              <w:pStyle w:val="Guide-NormalBulletpoints"/>
              <w:numPr>
                <w:ilvl w:val="0"/>
                <w:numId w:val="223"/>
              </w:numPr>
              <w:spacing w:before="60"/>
              <w:rPr>
                <w:lang w:val="sl-SI"/>
              </w:rPr>
            </w:pPr>
            <w:r w:rsidRPr="001048FE">
              <w:rPr>
                <w:lang w:val="sl-SI"/>
              </w:rPr>
              <w:t>Dolgotrajna mobilnost pri ponudnikih PIU in/ali družbah v tujini (ErasmusPro), od 3 do 12 mesecev, v kar ni zajet čas poti.</w:t>
            </w:r>
          </w:p>
        </w:tc>
      </w:tr>
      <w:tr w:rsidR="00E03711" w:rsidRPr="00C60205" w14:paraId="7D398A75" w14:textId="77777777" w:rsidTr="00AD6053">
        <w:trPr>
          <w:cantSplit/>
          <w:trHeight w:val="510"/>
        </w:trPr>
        <w:tc>
          <w:tcPr>
            <w:tcW w:w="823" w:type="pct"/>
            <w:shd w:val="clear" w:color="auto" w:fill="FFFFFF"/>
            <w:vAlign w:val="center"/>
          </w:tcPr>
          <w:p w14:paraId="7D398A73" w14:textId="77777777" w:rsidR="00E03711" w:rsidRPr="00F769E0" w:rsidRDefault="00E03711" w:rsidP="00FA6664">
            <w:pPr>
              <w:pStyle w:val="Guide-Table"/>
              <w:spacing w:before="60" w:after="60"/>
              <w:jc w:val="left"/>
              <w:rPr>
                <w:rFonts w:cs="Tahoma"/>
                <w:b/>
                <w:lang w:val="sl-SI" w:eastAsia="en-GB"/>
              </w:rPr>
            </w:pPr>
            <w:r w:rsidRPr="00F769E0">
              <w:rPr>
                <w:rFonts w:cs="Tahoma"/>
                <w:b/>
                <w:lang w:val="sl-SI" w:eastAsia="en-GB"/>
              </w:rPr>
              <w:t>Kraji izvajanja aktivnosti</w:t>
            </w:r>
          </w:p>
        </w:tc>
        <w:tc>
          <w:tcPr>
            <w:tcW w:w="4177" w:type="pct"/>
            <w:shd w:val="clear" w:color="auto" w:fill="FFFFFF"/>
            <w:vAlign w:val="center"/>
          </w:tcPr>
          <w:p w14:paraId="7D398A74" w14:textId="77777777" w:rsidR="00E03711" w:rsidRPr="00F769E0" w:rsidRDefault="00E03711" w:rsidP="00FA6664">
            <w:pPr>
              <w:pStyle w:val="GUIDE-NORMAL"/>
              <w:spacing w:before="60" w:after="60"/>
              <w:rPr>
                <w:rFonts w:cs="Tahoma"/>
                <w:lang w:val="sl-SI" w:eastAsia="en-GB"/>
              </w:rPr>
            </w:pPr>
            <w:r w:rsidRPr="00F769E0">
              <w:rPr>
                <w:rFonts w:cs="Tahoma"/>
                <w:lang w:val="sl-SI" w:eastAsia="en-GB"/>
              </w:rPr>
              <w:t>Udeleženci morajo opraviti aktivnost mobilnosti v tujini, v drugi državi Programa.</w:t>
            </w:r>
          </w:p>
        </w:tc>
      </w:tr>
      <w:tr w:rsidR="00E03711" w:rsidRPr="00C60205" w14:paraId="7D398A79" w14:textId="77777777" w:rsidTr="00AD6053">
        <w:trPr>
          <w:cantSplit/>
          <w:trHeight w:val="510"/>
        </w:trPr>
        <w:tc>
          <w:tcPr>
            <w:tcW w:w="823" w:type="pct"/>
            <w:shd w:val="clear" w:color="auto" w:fill="FFFFFF"/>
            <w:vAlign w:val="center"/>
          </w:tcPr>
          <w:p w14:paraId="7D398A76" w14:textId="77777777" w:rsidR="00E03711" w:rsidRPr="00F769E0" w:rsidRDefault="00E03711" w:rsidP="00FA6664">
            <w:pPr>
              <w:pStyle w:val="Guide-Table"/>
              <w:spacing w:before="60" w:after="60"/>
              <w:jc w:val="left"/>
              <w:rPr>
                <w:rFonts w:cs="Tahoma"/>
                <w:b/>
                <w:lang w:val="sl-SI" w:eastAsia="en-GB"/>
              </w:rPr>
            </w:pPr>
            <w:r w:rsidRPr="00F769E0">
              <w:rPr>
                <w:rFonts w:cs="Tahoma"/>
                <w:b/>
                <w:lang w:val="sl-SI" w:eastAsia="en-GB"/>
              </w:rPr>
              <w:t>Upravičeni udeleženci</w:t>
            </w:r>
          </w:p>
        </w:tc>
        <w:tc>
          <w:tcPr>
            <w:tcW w:w="4177" w:type="pct"/>
            <w:shd w:val="clear" w:color="auto" w:fill="FFFFFF"/>
            <w:vAlign w:val="center"/>
          </w:tcPr>
          <w:p w14:paraId="7D398A77" w14:textId="77777777" w:rsidR="00E03711" w:rsidRPr="00F769E0" w:rsidRDefault="00E03711" w:rsidP="00FA6664">
            <w:pPr>
              <w:pStyle w:val="GUIDE-NORMAL"/>
              <w:spacing w:before="60" w:after="60"/>
              <w:rPr>
                <w:rFonts w:cs="Tahoma"/>
                <w:lang w:val="sl-SI" w:eastAsia="en-GB"/>
              </w:rPr>
            </w:pPr>
            <w:r w:rsidRPr="00F769E0">
              <w:rPr>
                <w:rFonts w:cs="Tahoma"/>
                <w:lang w:val="sl-SI" w:eastAsia="en-GB"/>
              </w:rPr>
              <w:t>Dijaki v PIU (vključno z vajenci), katerih šolanje običajno vključuje učenje na delovnem mestu, iz države organizacije pošiljateljice. Spremljevalci dijakov v PIU v tujini.</w:t>
            </w:r>
          </w:p>
          <w:p w14:paraId="7D398A78" w14:textId="77777777" w:rsidR="00E03711" w:rsidRPr="00F769E0" w:rsidRDefault="00E03711" w:rsidP="00FA6664">
            <w:pPr>
              <w:pStyle w:val="GUIDE-NORMAL"/>
              <w:spacing w:before="60" w:after="60"/>
              <w:rPr>
                <w:rFonts w:cs="Tahoma"/>
                <w:lang w:val="sl-SI" w:eastAsia="en-GB"/>
              </w:rPr>
            </w:pPr>
            <w:r w:rsidRPr="00F769E0">
              <w:rPr>
                <w:rFonts w:cs="Tahoma"/>
                <w:lang w:val="sl-SI" w:eastAsia="en-GB"/>
              </w:rPr>
              <w:t>V aktivnosti lahko sodelujejo tudi dijaki, ki so nedavno zaključili šolanje pri ponudniku PIU (vključno z nekdanjimi vajenci). Taki dijaki, ki so pred kratkim zaključili šolanje, se morajo udeležiti prakse za usposabljanje v tujini v roku 12 mesecev po zaključku šolanja. Za tiste države, kjer se morajo dijaki, ki so pred kratkim zaključili šolanje, po zaključku vpisati v obvezno civilno ali vojaško služenje vojaškega roka, se obdobje upravičenosti podaljša za obdobje tega služenja.</w:t>
            </w:r>
          </w:p>
        </w:tc>
      </w:tr>
      <w:tr w:rsidR="00E03711" w:rsidRPr="00C60205" w14:paraId="7D398A81" w14:textId="77777777" w:rsidTr="00AD6053">
        <w:trPr>
          <w:cantSplit/>
          <w:trHeight w:val="510"/>
        </w:trPr>
        <w:tc>
          <w:tcPr>
            <w:tcW w:w="823" w:type="pct"/>
            <w:shd w:val="clear" w:color="auto" w:fill="FFFFFF"/>
            <w:vAlign w:val="center"/>
          </w:tcPr>
          <w:p w14:paraId="7D398A7A" w14:textId="77777777" w:rsidR="00E03711" w:rsidRPr="00F769E0" w:rsidRDefault="00E03711" w:rsidP="00FA6664">
            <w:pPr>
              <w:pStyle w:val="Guide-Table"/>
              <w:spacing w:before="60" w:after="60"/>
              <w:jc w:val="left"/>
              <w:rPr>
                <w:rFonts w:cs="Tahoma"/>
                <w:b/>
                <w:lang w:val="sl-SI" w:eastAsia="en-GB"/>
              </w:rPr>
            </w:pPr>
            <w:r w:rsidRPr="00F769E0">
              <w:rPr>
                <w:rFonts w:cs="Tahoma"/>
                <w:b/>
                <w:lang w:val="sl-SI" w:eastAsia="en-GB"/>
              </w:rPr>
              <w:t>Druga merila</w:t>
            </w:r>
          </w:p>
        </w:tc>
        <w:tc>
          <w:tcPr>
            <w:tcW w:w="4177" w:type="pct"/>
            <w:shd w:val="clear" w:color="auto" w:fill="FFFFFF"/>
            <w:vAlign w:val="center"/>
          </w:tcPr>
          <w:p w14:paraId="7D398A7B" w14:textId="77777777" w:rsidR="00E03711" w:rsidRPr="00F769E0" w:rsidRDefault="00E03711" w:rsidP="00FA6664">
            <w:pPr>
              <w:pStyle w:val="GUIDE-NORMAL"/>
              <w:spacing w:before="60" w:after="60"/>
              <w:rPr>
                <w:rFonts w:cs="Tahoma"/>
                <w:b/>
                <w:lang w:val="sl-SI" w:eastAsia="en-GB"/>
              </w:rPr>
            </w:pPr>
            <w:r w:rsidRPr="00F769E0">
              <w:rPr>
                <w:rFonts w:cs="Tahoma"/>
                <w:b/>
                <w:lang w:val="sl-SI" w:eastAsia="en-GB"/>
              </w:rPr>
              <w:t>Pripravljalni obiski</w:t>
            </w:r>
          </w:p>
          <w:p w14:paraId="7D398A7C" w14:textId="77777777" w:rsidR="00E03711" w:rsidRPr="00F769E0" w:rsidRDefault="00E03711" w:rsidP="00FA6664">
            <w:pPr>
              <w:pStyle w:val="GUIDE-NORMAL"/>
              <w:spacing w:before="60" w:after="60"/>
              <w:rPr>
                <w:rFonts w:cs="Tahoma"/>
                <w:lang w:val="sl-SI" w:eastAsia="en-GB"/>
              </w:rPr>
            </w:pPr>
            <w:r w:rsidRPr="00F769E0">
              <w:rPr>
                <w:rFonts w:cs="Tahoma"/>
                <w:lang w:val="sl-SI" w:eastAsia="en-GB"/>
              </w:rPr>
              <w:t>Za projekte, ki vključujejo aktivnosti ErasmusPro, lahko prijavitelj zaprosi za pripravljalne obiske osebja, ki se ukvarja z organizacijo aktivnosti ErasmusPro in ki sodeluje z organizacijo pošiljateljico ali članom konzorcija (na primer učiteljev, vodij usposabljanja, pristojnih za mednarodno mobilnost itd.).</w:t>
            </w:r>
          </w:p>
          <w:p w14:paraId="7D398A7D" w14:textId="77777777" w:rsidR="00E03711" w:rsidRPr="00F769E0" w:rsidRDefault="00E03711" w:rsidP="00FA6664">
            <w:pPr>
              <w:pStyle w:val="GUIDE-NORMAL"/>
              <w:spacing w:before="60" w:after="60"/>
              <w:rPr>
                <w:rFonts w:cs="Tahoma"/>
                <w:lang w:val="sl-SI" w:eastAsia="en-GB"/>
              </w:rPr>
            </w:pPr>
            <w:r w:rsidRPr="00F769E0">
              <w:rPr>
                <w:rFonts w:cs="Tahoma"/>
                <w:lang w:val="sl-SI" w:eastAsia="en-GB"/>
              </w:rPr>
              <w:t>V okviru pripravljalnih obiskov je treba upoštevati naslednja merila za upravičenost:</w:t>
            </w:r>
          </w:p>
          <w:p w14:paraId="7D398A7E" w14:textId="77777777" w:rsidR="00E03711" w:rsidRPr="001048FE" w:rsidRDefault="00E03711" w:rsidP="005115F2">
            <w:pPr>
              <w:pStyle w:val="Guide-NormalBulletpoints"/>
              <w:numPr>
                <w:ilvl w:val="0"/>
                <w:numId w:val="224"/>
              </w:numPr>
              <w:spacing w:before="60"/>
              <w:rPr>
                <w:lang w:val="sl-SI"/>
              </w:rPr>
            </w:pPr>
            <w:r w:rsidRPr="001048FE">
              <w:rPr>
                <w:lang w:val="sl-SI"/>
              </w:rPr>
              <w:t>trajanje: največ 3 delovne dni, v kar ni zajet čas poti;</w:t>
            </w:r>
          </w:p>
          <w:p w14:paraId="7D398A7F" w14:textId="77777777" w:rsidR="00E03711" w:rsidRPr="001048FE" w:rsidRDefault="00E03711" w:rsidP="005115F2">
            <w:pPr>
              <w:pStyle w:val="Guide-NormalBulletpoints"/>
              <w:numPr>
                <w:ilvl w:val="0"/>
                <w:numId w:val="224"/>
              </w:numPr>
              <w:spacing w:before="60"/>
              <w:rPr>
                <w:lang w:val="sl-SI"/>
              </w:rPr>
            </w:pPr>
            <w:r w:rsidRPr="001048FE">
              <w:rPr>
                <w:lang w:val="sl-SI"/>
              </w:rPr>
              <w:t>vsak pripravljalni obisk je omejen na enega udeleženca;</w:t>
            </w:r>
          </w:p>
          <w:p w14:paraId="7D398A80" w14:textId="77777777" w:rsidR="00E03711" w:rsidRPr="001048FE" w:rsidRDefault="00E03711" w:rsidP="005115F2">
            <w:pPr>
              <w:pStyle w:val="Guide-NormalBulletpoints"/>
              <w:numPr>
                <w:ilvl w:val="0"/>
                <w:numId w:val="224"/>
              </w:numPr>
              <w:spacing w:before="60"/>
              <w:rPr>
                <w:lang w:val="sl-SI"/>
              </w:rPr>
            </w:pPr>
            <w:r w:rsidRPr="001048FE">
              <w:rPr>
                <w:lang w:val="sl-SI"/>
              </w:rPr>
              <w:t>organizacija gostiteljica lahko izvede samo en pripravljalni obisk.</w:t>
            </w:r>
          </w:p>
        </w:tc>
      </w:tr>
    </w:tbl>
    <w:p w14:paraId="7D398A82" w14:textId="77777777" w:rsidR="00E03711" w:rsidRPr="001048FE" w:rsidRDefault="00E03711" w:rsidP="00E23D2D">
      <w:pPr>
        <w:pStyle w:val="Guide-Heading7"/>
        <w:rPr>
          <w:lang w:val="sl-SI"/>
        </w:rPr>
      </w:pPr>
      <w:r w:rsidRPr="001048FE">
        <w:rPr>
          <w:lang w:val="sl-SI"/>
        </w:rPr>
        <w:t>Dodatna merila za upravičenost za mobilnost osebja</w:t>
      </w:r>
    </w:p>
    <w:tbl>
      <w:tblPr>
        <w:tblW w:w="5000" w:type="pct"/>
        <w:tblBorders>
          <w:top w:val="single" w:sz="4" w:space="0" w:color="auto"/>
          <w:left w:val="single" w:sz="4" w:space="0" w:color="auto"/>
          <w:bottom w:val="single" w:sz="8" w:space="0" w:color="000000"/>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68"/>
        <w:gridCol w:w="7722"/>
      </w:tblGrid>
      <w:tr w:rsidR="00E03711" w:rsidRPr="00C60205" w14:paraId="7D398A86" w14:textId="77777777" w:rsidTr="00AD6053">
        <w:trPr>
          <w:cantSplit/>
        </w:trPr>
        <w:tc>
          <w:tcPr>
            <w:tcW w:w="844" w:type="pct"/>
            <w:shd w:val="clear" w:color="auto" w:fill="FFFFFF"/>
            <w:vAlign w:val="center"/>
          </w:tcPr>
          <w:p w14:paraId="7D398A83" w14:textId="77777777" w:rsidR="00E03711" w:rsidRPr="00F769E0" w:rsidRDefault="00E03711" w:rsidP="000C6FA1">
            <w:pPr>
              <w:pStyle w:val="GUIDE-NORMAL"/>
              <w:spacing w:before="60" w:after="60"/>
              <w:jc w:val="left"/>
              <w:rPr>
                <w:rFonts w:cs="Tahoma"/>
                <w:b/>
                <w:lang w:val="sl-SI" w:eastAsia="en-GB"/>
              </w:rPr>
            </w:pPr>
            <w:r w:rsidRPr="00F769E0">
              <w:rPr>
                <w:rFonts w:cs="Tahoma"/>
                <w:b/>
                <w:lang w:val="sl-SI" w:eastAsia="en-GB"/>
              </w:rPr>
              <w:t>Trajanje aktivnosti</w:t>
            </w:r>
          </w:p>
        </w:tc>
        <w:tc>
          <w:tcPr>
            <w:tcW w:w="4156" w:type="pct"/>
            <w:shd w:val="clear" w:color="auto" w:fill="FFFFFF"/>
          </w:tcPr>
          <w:p w14:paraId="7D398A84" w14:textId="77777777" w:rsidR="00E03711" w:rsidRPr="00F769E0" w:rsidRDefault="00E03711" w:rsidP="000C6FA1">
            <w:pPr>
              <w:pStyle w:val="GUIDE-NORMAL"/>
              <w:spacing w:before="60" w:after="60"/>
              <w:rPr>
                <w:rFonts w:cs="Tahoma"/>
                <w:lang w:val="sl-SI" w:eastAsia="en-GB"/>
              </w:rPr>
            </w:pPr>
            <w:r w:rsidRPr="00F769E0">
              <w:rPr>
                <w:rFonts w:cs="Tahoma"/>
                <w:lang w:val="sl-SI" w:eastAsia="en-GB"/>
              </w:rPr>
              <w:t>Od 2 dni do 2 mesecev, v kar ni zajet čas poti.</w:t>
            </w:r>
          </w:p>
          <w:p w14:paraId="7D398A85" w14:textId="77777777" w:rsidR="00E03711" w:rsidRPr="00F769E0" w:rsidRDefault="00E03711" w:rsidP="000C6FA1">
            <w:pPr>
              <w:pStyle w:val="GUIDE-NORMAL"/>
              <w:spacing w:before="60" w:after="60"/>
              <w:rPr>
                <w:rFonts w:cs="Tahoma"/>
                <w:lang w:val="sl-SI" w:eastAsia="en-GB"/>
              </w:rPr>
            </w:pPr>
            <w:r w:rsidRPr="00F769E0">
              <w:rPr>
                <w:rFonts w:cs="Tahoma"/>
                <w:lang w:val="sl-SI" w:eastAsia="en-GB"/>
              </w:rPr>
              <w:t>Od tega morata biti najmanj 2 zaporedna dneva.</w:t>
            </w:r>
          </w:p>
        </w:tc>
      </w:tr>
      <w:tr w:rsidR="00E03711" w:rsidRPr="00C60205" w14:paraId="7D398A89" w14:textId="77777777" w:rsidTr="00AD6053">
        <w:trPr>
          <w:cantSplit/>
        </w:trPr>
        <w:tc>
          <w:tcPr>
            <w:tcW w:w="844" w:type="pct"/>
            <w:shd w:val="clear" w:color="auto" w:fill="FFFFFF"/>
            <w:vAlign w:val="center"/>
          </w:tcPr>
          <w:p w14:paraId="7D398A87" w14:textId="77777777" w:rsidR="00E03711" w:rsidRPr="00F769E0" w:rsidRDefault="00E03711" w:rsidP="000C6FA1">
            <w:pPr>
              <w:pStyle w:val="Guide-Table"/>
              <w:spacing w:before="60" w:after="60"/>
              <w:jc w:val="left"/>
              <w:rPr>
                <w:rFonts w:cs="Tahoma"/>
                <w:b/>
                <w:lang w:val="sl-SI" w:eastAsia="en-GB"/>
              </w:rPr>
            </w:pPr>
            <w:r w:rsidRPr="00F769E0">
              <w:rPr>
                <w:rFonts w:cs="Tahoma"/>
                <w:b/>
                <w:bCs/>
                <w:lang w:val="sl-SI" w:eastAsia="en-GB"/>
              </w:rPr>
              <w:t>Kraji izvajanja aktivnosti</w:t>
            </w:r>
          </w:p>
        </w:tc>
        <w:tc>
          <w:tcPr>
            <w:tcW w:w="4156" w:type="pct"/>
            <w:shd w:val="clear" w:color="auto" w:fill="FFFFFF"/>
            <w:vAlign w:val="center"/>
          </w:tcPr>
          <w:p w14:paraId="7D398A88" w14:textId="77777777" w:rsidR="00E03711" w:rsidRPr="00F769E0" w:rsidRDefault="00E03711" w:rsidP="000C6FA1">
            <w:pPr>
              <w:pStyle w:val="GUIDE-NORMAL"/>
              <w:spacing w:before="60" w:after="60"/>
              <w:rPr>
                <w:rFonts w:cs="Tahoma"/>
                <w:lang w:val="sl-SI" w:eastAsia="en-GB"/>
              </w:rPr>
            </w:pPr>
            <w:r w:rsidRPr="00F769E0">
              <w:rPr>
                <w:rFonts w:cs="Tahoma"/>
                <w:lang w:val="sl-SI" w:eastAsia="en-GB"/>
              </w:rPr>
              <w:t>Udeleženci morajo opraviti aktivnost mobilnosti v tujini, v drugi državi Programa.</w:t>
            </w:r>
          </w:p>
        </w:tc>
      </w:tr>
      <w:tr w:rsidR="00E03711" w:rsidRPr="00C60205" w14:paraId="7D398A8E" w14:textId="77777777" w:rsidTr="00AD6053">
        <w:trPr>
          <w:cantSplit/>
        </w:trPr>
        <w:tc>
          <w:tcPr>
            <w:tcW w:w="844" w:type="pct"/>
            <w:shd w:val="clear" w:color="auto" w:fill="FFFFFF"/>
            <w:vAlign w:val="center"/>
          </w:tcPr>
          <w:p w14:paraId="7D398A8A" w14:textId="77777777" w:rsidR="00E03711" w:rsidRPr="00F769E0" w:rsidRDefault="00E03711" w:rsidP="000C6FA1">
            <w:pPr>
              <w:pStyle w:val="Guide-Table"/>
              <w:spacing w:before="60" w:after="60"/>
              <w:jc w:val="left"/>
              <w:rPr>
                <w:rFonts w:cs="Tahoma"/>
                <w:b/>
                <w:lang w:val="sl-SI" w:eastAsia="en-GB"/>
              </w:rPr>
            </w:pPr>
            <w:r w:rsidRPr="00F769E0">
              <w:rPr>
                <w:rFonts w:cs="Tahoma"/>
                <w:b/>
                <w:lang w:val="sl-SI" w:eastAsia="en-GB"/>
              </w:rPr>
              <w:t>Upravičeni udeleženci</w:t>
            </w:r>
          </w:p>
        </w:tc>
        <w:tc>
          <w:tcPr>
            <w:tcW w:w="4156" w:type="pct"/>
            <w:shd w:val="clear" w:color="auto" w:fill="FFFFFF"/>
            <w:vAlign w:val="center"/>
          </w:tcPr>
          <w:p w14:paraId="7D398A8B" w14:textId="77777777" w:rsidR="00E03711" w:rsidRPr="00F769E0" w:rsidRDefault="00E03711" w:rsidP="000C6FA1">
            <w:pPr>
              <w:pStyle w:val="GUIDE-NORMAL"/>
              <w:spacing w:before="60" w:after="60"/>
              <w:rPr>
                <w:rFonts w:cs="Tahoma"/>
                <w:lang w:val="sl-SI" w:eastAsia="en-GB"/>
              </w:rPr>
            </w:pPr>
            <w:r w:rsidRPr="00F769E0">
              <w:rPr>
                <w:rFonts w:cs="Tahoma"/>
                <w:lang w:val="sl-SI" w:eastAsia="en-GB"/>
              </w:rPr>
              <w:t>Osebje, ki je pristojno za PIU (na primer učitelji, vodje usposabljanj, pristojni za mednarodno mobilnost, osebje, ki opravlja administrativne naloge ali naloge usmerjanja, itd.) in dela za organizacije pošiljateljice, ter drugo osebje, ki sodeluje v strateškem razvoju organizacije.</w:t>
            </w:r>
          </w:p>
          <w:p w14:paraId="7D398A8C" w14:textId="77777777" w:rsidR="00E03711" w:rsidRPr="00F769E0" w:rsidRDefault="00E03711" w:rsidP="000C6FA1">
            <w:pPr>
              <w:pStyle w:val="GUIDE-NORMAL"/>
              <w:spacing w:before="60" w:after="60"/>
              <w:rPr>
                <w:rFonts w:cs="Tahoma"/>
                <w:lang w:val="sl-SI" w:eastAsia="en-GB"/>
              </w:rPr>
            </w:pPr>
            <w:r w:rsidRPr="00F769E0">
              <w:rPr>
                <w:rFonts w:cs="Tahoma"/>
                <w:lang w:val="sl-SI" w:eastAsia="en-GB"/>
              </w:rPr>
              <w:t>V primeru mobilnosti z namenom poučevanja/usposabljanja je ukrep odprt osebam iz družb, javnega sektorja in/ali organizacij civilne družbe.</w:t>
            </w:r>
          </w:p>
          <w:p w14:paraId="7D398A8D" w14:textId="77777777" w:rsidR="00E03711" w:rsidRPr="00F769E0" w:rsidRDefault="00E03711" w:rsidP="000C6FA1">
            <w:pPr>
              <w:pStyle w:val="GUIDE-NORMAL"/>
              <w:spacing w:before="60" w:after="60"/>
              <w:rPr>
                <w:rFonts w:cs="Tahoma"/>
                <w:lang w:val="sl-SI" w:eastAsia="en-GB"/>
              </w:rPr>
            </w:pPr>
            <w:r w:rsidRPr="00F769E0">
              <w:rPr>
                <w:rFonts w:cs="Tahoma"/>
                <w:lang w:val="sl-SI" w:eastAsia="en-GB"/>
              </w:rPr>
              <w:t>Dodatno je ukrep v primeru mobilnosti z namenom poučevanja/usposabljanja odprt za vodje usposabljanja (trenerje) iz družb v drugih državah Programa, ki so bili povabljeni poučevati pri ponudnikih PIU prijaviteljih in/ali organizacijah konzorcija, kjer je ustrezno.</w:t>
            </w:r>
          </w:p>
        </w:tc>
      </w:tr>
    </w:tbl>
    <w:p w14:paraId="7D398A8F" w14:textId="77777777" w:rsidR="00E03711" w:rsidRDefault="00E03711" w:rsidP="003059FE">
      <w:pPr>
        <w:pStyle w:val="GUIDE-NORMAL"/>
        <w:rPr>
          <w:lang w:val="sl-SI"/>
        </w:rPr>
      </w:pPr>
      <w:r w:rsidRPr="001048FE">
        <w:rPr>
          <w:lang w:val="sl-SI"/>
        </w:rPr>
        <w:t xml:space="preserve">Organizacije prijaviteljice bodo ocenjene z ustreznimi </w:t>
      </w:r>
      <w:r w:rsidRPr="00860232">
        <w:rPr>
          <w:b/>
          <w:bCs/>
          <w:lang w:val="sl-SI"/>
        </w:rPr>
        <w:t>merili za izključitev in izbor</w:t>
      </w:r>
      <w:r w:rsidRPr="001048FE">
        <w:rPr>
          <w:lang w:val="sl-SI"/>
        </w:rPr>
        <w:t>. Za več info</w:t>
      </w:r>
      <w:r>
        <w:rPr>
          <w:lang w:val="sl-SI"/>
        </w:rPr>
        <w:t>rmacij glej del C tega vodnika.</w:t>
      </w:r>
    </w:p>
    <w:p w14:paraId="7D398A90" w14:textId="77777777" w:rsidR="00E03711" w:rsidRDefault="00E03711">
      <w:pPr>
        <w:widowControl/>
        <w:suppressAutoHyphens w:val="0"/>
        <w:autoSpaceDN/>
        <w:textAlignment w:val="auto"/>
        <w:rPr>
          <w:rFonts w:eastAsia="Times New Roman" w:cs="Times New Roman"/>
          <w:b/>
          <w:smallCaps/>
          <w:sz w:val="18"/>
          <w:szCs w:val="28"/>
          <w:lang w:val="sl-SI"/>
        </w:rPr>
      </w:pPr>
      <w:r>
        <w:rPr>
          <w:lang w:val="sl-SI"/>
        </w:rPr>
        <w:br w:type="page"/>
      </w:r>
    </w:p>
    <w:p w14:paraId="7D398A91" w14:textId="77777777" w:rsidR="00E03711" w:rsidRPr="001048FE" w:rsidRDefault="00E03711" w:rsidP="00E23D2D">
      <w:pPr>
        <w:pStyle w:val="Guide-Heading7"/>
        <w:rPr>
          <w:lang w:val="sl-SI"/>
        </w:rPr>
      </w:pPr>
      <w:r w:rsidRPr="001048FE">
        <w:rPr>
          <w:lang w:val="sl-SI"/>
        </w:rPr>
        <w:t>Merila za dodelitev</w:t>
      </w:r>
    </w:p>
    <w:p w14:paraId="7D398A92" w14:textId="77777777" w:rsidR="00E03711" w:rsidRPr="001048FE" w:rsidRDefault="00E03711" w:rsidP="000C6FA1">
      <w:pPr>
        <w:pStyle w:val="GUIDE-NORMAL"/>
        <w:rPr>
          <w:lang w:val="sl-SI"/>
        </w:rPr>
      </w:pPr>
      <w:r w:rsidRPr="001048FE">
        <w:rPr>
          <w:lang w:val="sl-SI"/>
        </w:rPr>
        <w:t>Projekti bodo ocenjeni z naslednjimi merili:</w:t>
      </w:r>
    </w:p>
    <w:tbl>
      <w:tblPr>
        <w:tblW w:w="5007" w:type="pct"/>
        <w:shd w:val="clear" w:color="auto" w:fill="FFFFFF"/>
        <w:tblLook w:val="0000" w:firstRow="0" w:lastRow="0" w:firstColumn="0" w:lastColumn="0" w:noHBand="0" w:noVBand="0"/>
      </w:tblPr>
      <w:tblGrid>
        <w:gridCol w:w="1568"/>
        <w:gridCol w:w="7735"/>
      </w:tblGrid>
      <w:tr w:rsidR="00E03711" w:rsidRPr="00654F6A" w14:paraId="7D398A9E" w14:textId="77777777" w:rsidTr="00AD6053">
        <w:trPr>
          <w:cantSplit/>
          <w:trHeight w:val="567"/>
        </w:trPr>
        <w:tc>
          <w:tcPr>
            <w:tcW w:w="843" w:type="pct"/>
            <w:tcBorders>
              <w:top w:val="single" w:sz="8" w:space="0" w:color="auto"/>
              <w:left w:val="single" w:sz="4" w:space="0" w:color="auto"/>
              <w:bottom w:val="dashed" w:sz="4" w:space="0" w:color="auto"/>
              <w:right w:val="single" w:sz="8" w:space="0" w:color="auto"/>
            </w:tcBorders>
            <w:shd w:val="clear" w:color="auto" w:fill="FFFFFF"/>
            <w:vAlign w:val="center"/>
          </w:tcPr>
          <w:p w14:paraId="7D398A93" w14:textId="77777777" w:rsidR="00E03711" w:rsidRPr="00F769E0" w:rsidRDefault="00E03711" w:rsidP="004073DB">
            <w:pPr>
              <w:pStyle w:val="GUIDE-NORMAL"/>
              <w:spacing w:before="60" w:after="60"/>
              <w:jc w:val="left"/>
              <w:rPr>
                <w:rFonts w:cs="Tahoma"/>
                <w:b/>
                <w:lang w:val="sl-SI" w:eastAsia="en-GB"/>
              </w:rPr>
            </w:pPr>
            <w:r w:rsidRPr="00F769E0">
              <w:rPr>
                <w:rFonts w:cs="Tahoma"/>
                <w:b/>
                <w:lang w:val="sl-SI" w:eastAsia="en-GB"/>
              </w:rPr>
              <w:t xml:space="preserve">Ustreznost projekta </w:t>
            </w:r>
            <w:r w:rsidRPr="00F769E0">
              <w:rPr>
                <w:rFonts w:cs="Tahoma"/>
                <w:b/>
                <w:lang w:val="sl-SI" w:eastAsia="en-GB"/>
              </w:rPr>
              <w:br/>
              <w:t>(največ 30 točk)</w:t>
            </w:r>
          </w:p>
        </w:tc>
        <w:tc>
          <w:tcPr>
            <w:tcW w:w="4157" w:type="pct"/>
            <w:tcBorders>
              <w:top w:val="single" w:sz="8" w:space="0" w:color="auto"/>
              <w:left w:val="nil"/>
              <w:bottom w:val="dashed" w:sz="4" w:space="0" w:color="auto"/>
              <w:right w:val="single" w:sz="8" w:space="0" w:color="auto"/>
            </w:tcBorders>
            <w:shd w:val="clear" w:color="auto" w:fill="FFFFFF"/>
          </w:tcPr>
          <w:p w14:paraId="7D398A94" w14:textId="77777777" w:rsidR="00E03711" w:rsidRDefault="00E03711" w:rsidP="005115F2">
            <w:pPr>
              <w:pStyle w:val="Guide-NormalBulletpoints"/>
              <w:numPr>
                <w:ilvl w:val="0"/>
                <w:numId w:val="225"/>
              </w:numPr>
              <w:spacing w:before="60"/>
              <w:rPr>
                <w:lang w:val="sl-SI"/>
              </w:rPr>
            </w:pPr>
            <w:r w:rsidRPr="00F769E0">
              <w:rPr>
                <w:lang w:val="sl-SI"/>
              </w:rPr>
              <w:t>Ustreznost predloga v zvezi s:</w:t>
            </w:r>
          </w:p>
          <w:p w14:paraId="7D398A95" w14:textId="77777777" w:rsidR="00E03711" w:rsidRDefault="00E03711" w:rsidP="005115F2">
            <w:pPr>
              <w:pStyle w:val="Guide-NormalBulletpoints"/>
              <w:numPr>
                <w:ilvl w:val="2"/>
                <w:numId w:val="225"/>
              </w:numPr>
              <w:spacing w:before="60"/>
              <w:rPr>
                <w:lang w:val="sl-SI"/>
              </w:rPr>
            </w:pPr>
            <w:r w:rsidRPr="00694589">
              <w:rPr>
                <w:lang w:val="sl-SI"/>
              </w:rPr>
              <w:t>cilji ukrepa (glej poglavje „Kakšni so cilji projekta mobilnosti?“);</w:t>
            </w:r>
          </w:p>
          <w:p w14:paraId="7D398A96" w14:textId="77777777" w:rsidR="00E03711" w:rsidRPr="00694589" w:rsidRDefault="00E03711" w:rsidP="005115F2">
            <w:pPr>
              <w:pStyle w:val="Guide-NormalBulletpoints"/>
              <w:numPr>
                <w:ilvl w:val="2"/>
                <w:numId w:val="225"/>
              </w:numPr>
              <w:spacing w:before="60"/>
              <w:rPr>
                <w:lang w:val="sl-SI"/>
              </w:rPr>
            </w:pPr>
            <w:r w:rsidRPr="00694589">
              <w:rPr>
                <w:lang w:val="sl-SI"/>
              </w:rPr>
              <w:t>potrebami in cilji sodelujočih organizacij in posameznih udeležencev, zlasti ob upoštevanju tistega, kar je določeno v evropskem razvojnem načrtu;</w:t>
            </w:r>
          </w:p>
          <w:p w14:paraId="7D398A97" w14:textId="77777777" w:rsidR="00E03711" w:rsidRDefault="00E03711" w:rsidP="005115F2">
            <w:pPr>
              <w:pStyle w:val="Guide-NormalBulletpoints"/>
              <w:numPr>
                <w:ilvl w:val="0"/>
                <w:numId w:val="225"/>
              </w:numPr>
              <w:spacing w:before="60"/>
              <w:rPr>
                <w:lang w:val="sl-SI"/>
              </w:rPr>
            </w:pPr>
            <w:r>
              <w:rPr>
                <w:lang w:val="sl-SI"/>
              </w:rPr>
              <w:t>V</w:t>
            </w:r>
            <w:r w:rsidRPr="00F769E0">
              <w:rPr>
                <w:lang w:val="sl-SI"/>
              </w:rPr>
              <w:t xml:space="preserve"> kolikšni meri predlog vključuje dolgotrajno mobilnost (ErasmusPro).</w:t>
            </w:r>
          </w:p>
          <w:p w14:paraId="7D398A98" w14:textId="77777777" w:rsidR="00E03711" w:rsidRPr="00694589" w:rsidRDefault="00E03711" w:rsidP="005115F2">
            <w:pPr>
              <w:pStyle w:val="Guide-NormalBulletpoints"/>
              <w:numPr>
                <w:ilvl w:val="0"/>
                <w:numId w:val="225"/>
              </w:numPr>
              <w:spacing w:before="60"/>
              <w:rPr>
                <w:lang w:val="sl-SI"/>
              </w:rPr>
            </w:pPr>
            <w:r w:rsidRPr="00694589">
              <w:rPr>
                <w:lang w:val="sl-SI"/>
              </w:rPr>
              <w:t>V kolikšni meri je predlog primeren za:</w:t>
            </w:r>
          </w:p>
          <w:p w14:paraId="7D398A99" w14:textId="77777777" w:rsidR="00E03711" w:rsidRPr="00694589" w:rsidRDefault="00E03711" w:rsidP="005115F2">
            <w:pPr>
              <w:pStyle w:val="Guide-NormalBulletpoints"/>
              <w:numPr>
                <w:ilvl w:val="2"/>
                <w:numId w:val="225"/>
              </w:numPr>
              <w:spacing w:before="60"/>
              <w:rPr>
                <w:lang w:val="sl-SI"/>
              </w:rPr>
            </w:pPr>
            <w:r w:rsidRPr="001048FE">
              <w:rPr>
                <w:lang w:val="sl-SI"/>
              </w:rPr>
              <w:t>doseganje visokokakovostnih učnih rezultatov za udeležence;</w:t>
            </w:r>
          </w:p>
          <w:p w14:paraId="7D398A9A" w14:textId="77777777" w:rsidR="00E03711" w:rsidRPr="00694589" w:rsidRDefault="00E03711" w:rsidP="005115F2">
            <w:pPr>
              <w:pStyle w:val="Guide-NormalBulletpoints"/>
              <w:numPr>
                <w:ilvl w:val="2"/>
                <w:numId w:val="225"/>
              </w:numPr>
              <w:spacing w:before="60"/>
              <w:rPr>
                <w:lang w:val="sl-SI"/>
              </w:rPr>
            </w:pPr>
            <w:r w:rsidRPr="001048FE">
              <w:rPr>
                <w:lang w:val="sl-SI"/>
              </w:rPr>
              <w:t>krepitev zmogljivosti in mednarodne razsežnosti sodelujočih organizacij.</w:t>
            </w:r>
          </w:p>
          <w:p w14:paraId="7D398A9B" w14:textId="77777777" w:rsidR="00E03711" w:rsidRPr="00694589" w:rsidRDefault="00E03711" w:rsidP="005115F2">
            <w:pPr>
              <w:pStyle w:val="Guide-NormalBulletpoints"/>
              <w:numPr>
                <w:ilvl w:val="0"/>
                <w:numId w:val="225"/>
              </w:numPr>
              <w:spacing w:before="60"/>
              <w:rPr>
                <w:lang w:val="sl-SI"/>
              </w:rPr>
            </w:pPr>
            <w:r w:rsidRPr="00FC4A70">
              <w:rPr>
                <w:lang w:val="sl-SI"/>
              </w:rPr>
              <w:t>V kolikšni meri se predlog:</w:t>
            </w:r>
          </w:p>
          <w:p w14:paraId="7D398A9C" w14:textId="77777777" w:rsidR="00E03711" w:rsidRDefault="00E03711" w:rsidP="005115F2">
            <w:pPr>
              <w:pStyle w:val="Guide-NormalBulletpoints"/>
              <w:numPr>
                <w:ilvl w:val="2"/>
                <w:numId w:val="225"/>
              </w:numPr>
              <w:spacing w:before="60"/>
              <w:rPr>
                <w:lang w:val="sl-SI"/>
              </w:rPr>
            </w:pPr>
            <w:r w:rsidRPr="00694589">
              <w:rPr>
                <w:lang w:val="sl-SI"/>
              </w:rPr>
              <w:t>nanaša na ciljne skupine z manj priložnosti</w:t>
            </w:r>
            <w:r w:rsidRPr="00694589">
              <w:rPr>
                <w:vertAlign w:val="superscript"/>
                <w:lang w:val="sl-SI"/>
              </w:rPr>
              <w:footnoteReference w:id="39"/>
            </w:r>
            <w:r w:rsidRPr="00694589">
              <w:rPr>
                <w:lang w:val="sl-SI"/>
              </w:rPr>
              <w:t>;</w:t>
            </w:r>
          </w:p>
          <w:p w14:paraId="7D398A9D" w14:textId="77777777" w:rsidR="00E03711" w:rsidRPr="00694589" w:rsidRDefault="00E03711" w:rsidP="005115F2">
            <w:pPr>
              <w:pStyle w:val="Guide-NormalBulletpoints"/>
              <w:numPr>
                <w:ilvl w:val="2"/>
                <w:numId w:val="225"/>
              </w:numPr>
              <w:spacing w:before="60"/>
              <w:rPr>
                <w:lang w:val="sl-SI"/>
              </w:rPr>
            </w:pPr>
            <w:r w:rsidRPr="00694589">
              <w:rPr>
                <w:rFonts w:eastAsia="Calibri" w:cs="Calibri"/>
                <w:bdr w:val="nil"/>
                <w:shd w:val="clear" w:color="auto" w:fill="auto"/>
                <w:lang w:val="sl-SI" w:eastAsia="zh-CN"/>
              </w:rPr>
              <w:t>vključuje organizacije, ki na novo sodelujejo pri ukrepu;</w:t>
            </w:r>
          </w:p>
        </w:tc>
      </w:tr>
      <w:tr w:rsidR="00E03711" w:rsidRPr="00C60205" w14:paraId="7D398AA9" w14:textId="77777777" w:rsidTr="00AD6053">
        <w:trPr>
          <w:cantSplit/>
          <w:trHeight w:val="567"/>
        </w:trPr>
        <w:tc>
          <w:tcPr>
            <w:tcW w:w="843" w:type="pct"/>
            <w:tcBorders>
              <w:top w:val="dashed" w:sz="4" w:space="0" w:color="auto"/>
              <w:left w:val="single" w:sz="4" w:space="0" w:color="auto"/>
              <w:bottom w:val="dashed" w:sz="4" w:space="0" w:color="auto"/>
              <w:right w:val="single" w:sz="8" w:space="0" w:color="auto"/>
            </w:tcBorders>
            <w:shd w:val="clear" w:color="auto" w:fill="FFFFFF"/>
            <w:vAlign w:val="center"/>
          </w:tcPr>
          <w:p w14:paraId="7D398A9F" w14:textId="77777777" w:rsidR="00E03711" w:rsidRPr="00F769E0" w:rsidRDefault="00E03711" w:rsidP="004073DB">
            <w:pPr>
              <w:pStyle w:val="GUIDE-NORMAL"/>
              <w:spacing w:before="60" w:after="60"/>
              <w:jc w:val="left"/>
              <w:rPr>
                <w:rFonts w:cs="Tahoma"/>
                <w:b/>
                <w:lang w:val="sl-SI" w:eastAsia="en-GB"/>
              </w:rPr>
            </w:pPr>
            <w:r w:rsidRPr="00F769E0">
              <w:rPr>
                <w:rFonts w:cs="Tahoma"/>
                <w:b/>
                <w:lang w:val="sl-SI" w:eastAsia="en-GB"/>
              </w:rPr>
              <w:t xml:space="preserve">Kakovost </w:t>
            </w:r>
            <w:r w:rsidRPr="00F769E0">
              <w:rPr>
                <w:rFonts w:cs="Tahoma"/>
                <w:b/>
                <w:lang w:val="sl-SI" w:eastAsia="en-GB"/>
              </w:rPr>
              <w:br/>
              <w:t>zasnove in izvedbe projekta</w:t>
            </w:r>
            <w:r w:rsidRPr="00F769E0">
              <w:rPr>
                <w:rFonts w:cs="Tahoma"/>
                <w:b/>
                <w:lang w:val="sl-SI" w:eastAsia="en-GB"/>
              </w:rPr>
              <w:br/>
              <w:t>(največ 40 točk)</w:t>
            </w:r>
          </w:p>
        </w:tc>
        <w:tc>
          <w:tcPr>
            <w:tcW w:w="4157" w:type="pct"/>
            <w:tcBorders>
              <w:top w:val="dashed" w:sz="4" w:space="0" w:color="auto"/>
              <w:left w:val="nil"/>
              <w:bottom w:val="dashed" w:sz="4" w:space="0" w:color="auto"/>
              <w:right w:val="single" w:sz="8" w:space="0" w:color="auto"/>
            </w:tcBorders>
            <w:shd w:val="clear" w:color="auto" w:fill="FFFFFF"/>
          </w:tcPr>
          <w:p w14:paraId="7D398AA0" w14:textId="77777777" w:rsidR="00E03711" w:rsidRPr="001048FE" w:rsidRDefault="00E03711" w:rsidP="005115F2">
            <w:pPr>
              <w:pStyle w:val="Guide-NormalBulletpoints"/>
              <w:numPr>
                <w:ilvl w:val="0"/>
                <w:numId w:val="225"/>
              </w:numPr>
              <w:spacing w:before="60"/>
              <w:rPr>
                <w:lang w:val="sl-SI"/>
              </w:rPr>
            </w:pPr>
            <w:r w:rsidRPr="001048FE">
              <w:rPr>
                <w:lang w:val="sl-SI"/>
              </w:rPr>
              <w:t>jasnost, celovitost in kakovost vseh faz predloga projekta (priprava, izvajanje mobilnosti in nadaljnje spremljanje);</w:t>
            </w:r>
          </w:p>
          <w:p w14:paraId="7D398AA1" w14:textId="77777777" w:rsidR="00E03711" w:rsidRPr="001048FE" w:rsidRDefault="00E03711" w:rsidP="005115F2">
            <w:pPr>
              <w:pStyle w:val="Guide-NormalBulletpoints"/>
              <w:numPr>
                <w:ilvl w:val="0"/>
                <w:numId w:val="225"/>
              </w:numPr>
              <w:spacing w:before="60"/>
              <w:rPr>
                <w:lang w:val="sl-SI"/>
              </w:rPr>
            </w:pPr>
            <w:r w:rsidRPr="001048FE">
              <w:rPr>
                <w:lang w:val="sl-SI"/>
              </w:rPr>
              <w:t>jasnost načrtovanja in izvedljivost dolgotrajne mobilnosti (ErasmusPro), če je primerno;</w:t>
            </w:r>
          </w:p>
          <w:p w14:paraId="7D398AA2" w14:textId="77777777" w:rsidR="00E03711" w:rsidRPr="001048FE" w:rsidRDefault="00E03711" w:rsidP="005115F2">
            <w:pPr>
              <w:pStyle w:val="Guide-NormalBulletpoints"/>
              <w:numPr>
                <w:ilvl w:val="0"/>
                <w:numId w:val="225"/>
              </w:numPr>
              <w:spacing w:before="60"/>
              <w:rPr>
                <w:lang w:val="sl-SI"/>
              </w:rPr>
            </w:pPr>
            <w:r w:rsidRPr="001048FE">
              <w:rPr>
                <w:lang w:val="sl-SI"/>
              </w:rPr>
              <w:t>usklajenost ciljev projekta in predlaganih aktivnosti;</w:t>
            </w:r>
          </w:p>
          <w:p w14:paraId="7D398AA3" w14:textId="77777777" w:rsidR="00E03711" w:rsidRPr="001048FE" w:rsidRDefault="00E03711" w:rsidP="005115F2">
            <w:pPr>
              <w:pStyle w:val="Guide-NormalBulletpoints"/>
              <w:numPr>
                <w:ilvl w:val="0"/>
                <w:numId w:val="225"/>
              </w:numPr>
              <w:spacing w:before="60"/>
              <w:rPr>
                <w:lang w:val="sl-SI"/>
              </w:rPr>
            </w:pPr>
            <w:r w:rsidRPr="001048FE">
              <w:rPr>
                <w:lang w:val="sl-SI"/>
              </w:rPr>
              <w:t>kakovost evropskega razvojnega načrta organizacije prijaviteljice;</w:t>
            </w:r>
          </w:p>
          <w:p w14:paraId="7D398AA4" w14:textId="77777777" w:rsidR="00E03711" w:rsidRPr="001048FE" w:rsidRDefault="00E03711" w:rsidP="005115F2">
            <w:pPr>
              <w:pStyle w:val="Guide-NormalBulletpoints"/>
              <w:numPr>
                <w:ilvl w:val="0"/>
                <w:numId w:val="225"/>
              </w:numPr>
              <w:spacing w:before="60"/>
              <w:rPr>
                <w:lang w:val="sl-SI"/>
              </w:rPr>
            </w:pPr>
            <w:r w:rsidRPr="001048FE">
              <w:rPr>
                <w:lang w:val="sl-SI"/>
              </w:rPr>
              <w:t>kakovost praktičnih ureditev, načinov upravljanja in podpore;</w:t>
            </w:r>
          </w:p>
          <w:p w14:paraId="7D398AA5" w14:textId="77777777" w:rsidR="00E03711" w:rsidRPr="001048FE" w:rsidRDefault="00E03711" w:rsidP="005115F2">
            <w:pPr>
              <w:pStyle w:val="Guide-NormalBulletpoints"/>
              <w:numPr>
                <w:ilvl w:val="0"/>
                <w:numId w:val="225"/>
              </w:numPr>
              <w:spacing w:before="60"/>
              <w:rPr>
                <w:lang w:val="sl-SI"/>
              </w:rPr>
            </w:pPr>
            <w:r w:rsidRPr="001048FE">
              <w:rPr>
                <w:lang w:val="sl-SI"/>
              </w:rPr>
              <w:t>kakovost priprav, ki so zagotovljene za udeležence;</w:t>
            </w:r>
          </w:p>
          <w:p w14:paraId="7D398AA6" w14:textId="77777777" w:rsidR="00E03711" w:rsidRPr="001048FE" w:rsidRDefault="00E03711" w:rsidP="005115F2">
            <w:pPr>
              <w:pStyle w:val="Guide-NormalBulletpoints"/>
              <w:numPr>
                <w:ilvl w:val="0"/>
                <w:numId w:val="225"/>
              </w:numPr>
              <w:spacing w:before="60"/>
              <w:rPr>
                <w:lang w:val="sl-SI"/>
              </w:rPr>
            </w:pPr>
            <w:r w:rsidRPr="001048FE">
              <w:rPr>
                <w:lang w:val="sl-SI"/>
              </w:rPr>
              <w:t>kakovost ureditev za priznavanje in potrjevanje učnih rezultatov udeležencev ter dosledna uporaba evropskih orodij za preglednost in priznavanje;</w:t>
            </w:r>
          </w:p>
          <w:p w14:paraId="7D398AA7" w14:textId="77777777" w:rsidR="00E03711" w:rsidRPr="001048FE" w:rsidRDefault="00E03711" w:rsidP="005115F2">
            <w:pPr>
              <w:pStyle w:val="Guide-NormalBulletpoints"/>
              <w:numPr>
                <w:ilvl w:val="0"/>
                <w:numId w:val="225"/>
              </w:numPr>
              <w:spacing w:before="60"/>
              <w:rPr>
                <w:lang w:val="sl-SI"/>
              </w:rPr>
            </w:pPr>
            <w:r w:rsidRPr="001048FE">
              <w:rPr>
                <w:lang w:val="sl-SI"/>
              </w:rPr>
              <w:t>ustreznost ukrepov za izbor in/ali vključevanje udeležencev v aktivnosti mobilnosti;</w:t>
            </w:r>
          </w:p>
          <w:p w14:paraId="7D398AA8" w14:textId="77777777" w:rsidR="00E03711" w:rsidRPr="001048FE" w:rsidRDefault="00E03711" w:rsidP="005115F2">
            <w:pPr>
              <w:pStyle w:val="Guide-NormalBulletpoints"/>
              <w:numPr>
                <w:ilvl w:val="0"/>
                <w:numId w:val="225"/>
              </w:numPr>
              <w:spacing w:before="60"/>
              <w:rPr>
                <w:lang w:val="sl-SI"/>
              </w:rPr>
            </w:pPr>
            <w:r w:rsidRPr="001048FE">
              <w:rPr>
                <w:lang w:val="sl-SI"/>
              </w:rPr>
              <w:t>po potrebi kakovost sodelovanja in obveščanja med sodelujočimi organizacijami in drugimi pomembnimi deležniki.</w:t>
            </w:r>
          </w:p>
        </w:tc>
      </w:tr>
      <w:tr w:rsidR="00E03711" w:rsidRPr="00C60205" w14:paraId="7D398AB1" w14:textId="77777777" w:rsidTr="00AD6053">
        <w:trPr>
          <w:cantSplit/>
          <w:trHeight w:val="567"/>
        </w:trPr>
        <w:tc>
          <w:tcPr>
            <w:tcW w:w="843" w:type="pct"/>
            <w:tcBorders>
              <w:top w:val="dashed" w:sz="4" w:space="0" w:color="auto"/>
              <w:left w:val="single" w:sz="4" w:space="0" w:color="auto"/>
              <w:bottom w:val="single" w:sz="8" w:space="0" w:color="auto"/>
              <w:right w:val="single" w:sz="8" w:space="0" w:color="auto"/>
            </w:tcBorders>
            <w:shd w:val="clear" w:color="auto" w:fill="FFFFFF"/>
            <w:vAlign w:val="center"/>
          </w:tcPr>
          <w:p w14:paraId="7D398AAA" w14:textId="77777777" w:rsidR="00E03711" w:rsidRPr="00F769E0" w:rsidRDefault="00E03711" w:rsidP="004073DB">
            <w:pPr>
              <w:pStyle w:val="GUIDE-NORMAL"/>
              <w:spacing w:before="60" w:after="60"/>
              <w:jc w:val="left"/>
              <w:rPr>
                <w:rFonts w:cs="Tahoma"/>
                <w:b/>
                <w:lang w:val="sl-SI" w:eastAsia="en-GB"/>
              </w:rPr>
            </w:pPr>
            <w:r w:rsidRPr="00F769E0">
              <w:rPr>
                <w:rFonts w:cs="Tahoma"/>
                <w:b/>
                <w:lang w:val="sl-SI" w:eastAsia="en-GB"/>
              </w:rPr>
              <w:t>Učinek in razširjanje (največ 30 točk)</w:t>
            </w:r>
          </w:p>
        </w:tc>
        <w:tc>
          <w:tcPr>
            <w:tcW w:w="4157" w:type="pct"/>
            <w:tcBorders>
              <w:top w:val="dashed" w:sz="4" w:space="0" w:color="auto"/>
              <w:left w:val="nil"/>
              <w:bottom w:val="single" w:sz="8" w:space="0" w:color="auto"/>
              <w:right w:val="single" w:sz="8" w:space="0" w:color="auto"/>
            </w:tcBorders>
            <w:shd w:val="clear" w:color="auto" w:fill="FFFFFF"/>
          </w:tcPr>
          <w:p w14:paraId="7D398AAB" w14:textId="77777777" w:rsidR="00E03711" w:rsidRPr="004E4C36" w:rsidRDefault="00E03711" w:rsidP="00860232">
            <w:pPr>
              <w:pStyle w:val="Guide-ListDash"/>
              <w:rPr>
                <w:lang w:val="sl-SI"/>
              </w:rPr>
            </w:pPr>
            <w:r w:rsidRPr="004E4C36">
              <w:rPr>
                <w:lang w:val="sl-SI"/>
              </w:rPr>
              <w:t>kakovost ukrepov za ocenjevanje rezultatov projekta;</w:t>
            </w:r>
          </w:p>
          <w:p w14:paraId="7D398AAC" w14:textId="77777777" w:rsidR="00E03711" w:rsidRPr="001048FE" w:rsidRDefault="00E03711" w:rsidP="004073DB">
            <w:pPr>
              <w:pStyle w:val="Guide-ListDash"/>
              <w:spacing w:before="60" w:after="60"/>
              <w:rPr>
                <w:lang w:val="sl-SI"/>
              </w:rPr>
            </w:pPr>
            <w:r w:rsidRPr="001048FE">
              <w:rPr>
                <w:lang w:val="sl-SI"/>
              </w:rPr>
              <w:t>morebitni učinek projekta:</w:t>
            </w:r>
          </w:p>
          <w:p w14:paraId="7D398AAD" w14:textId="77777777" w:rsidR="00E03711" w:rsidRPr="004E4C36" w:rsidRDefault="00E03711" w:rsidP="00860232">
            <w:pPr>
              <w:pStyle w:val="Guide-ListDash"/>
              <w:numPr>
                <w:ilvl w:val="1"/>
                <w:numId w:val="52"/>
              </w:numPr>
              <w:rPr>
                <w:lang w:val="sl-SI"/>
              </w:rPr>
            </w:pPr>
            <w:r w:rsidRPr="004E4C36">
              <w:rPr>
                <w:lang w:val="sl-SI"/>
              </w:rPr>
              <w:t>na udeležence in sodelujoče organizacije med življenjskim ciklom projekta in po njem;</w:t>
            </w:r>
          </w:p>
          <w:p w14:paraId="7D398AAE" w14:textId="77777777" w:rsidR="00E03711" w:rsidRPr="004E4C36" w:rsidRDefault="00E03711" w:rsidP="00860232">
            <w:pPr>
              <w:pStyle w:val="Guide-ListDash"/>
              <w:numPr>
                <w:ilvl w:val="1"/>
                <w:numId w:val="52"/>
              </w:numPr>
              <w:rPr>
                <w:lang w:val="sl-SI"/>
              </w:rPr>
            </w:pPr>
            <w:r w:rsidRPr="004E4C36">
              <w:rPr>
                <w:lang w:val="sl-SI"/>
              </w:rPr>
              <w:t>na druga področja, poleg organizacij in posameznikov, ki neposredno sodelujejo v projektu, na lokalni, regionalni, nacionalni in/ali evropski ravni;</w:t>
            </w:r>
          </w:p>
          <w:p w14:paraId="7D398AAF" w14:textId="77777777" w:rsidR="00E03711" w:rsidRPr="004E4C36" w:rsidRDefault="00E03711" w:rsidP="00860232">
            <w:pPr>
              <w:pStyle w:val="Guide-ListDash"/>
              <w:rPr>
                <w:lang w:val="sl-SI"/>
              </w:rPr>
            </w:pPr>
            <w:r w:rsidRPr="004E4C36">
              <w:rPr>
                <w:lang w:val="sl-SI"/>
              </w:rPr>
              <w:t>ustreznost in kakovost ukrepov, katerih cilj je razširjanje rezultatov projekta v sodelujočih organizacijah in drugod.</w:t>
            </w:r>
          </w:p>
          <w:p w14:paraId="7D398AB0" w14:textId="77777777" w:rsidR="00E03711" w:rsidRPr="004E4C36" w:rsidRDefault="00E03711" w:rsidP="00860232">
            <w:pPr>
              <w:pStyle w:val="Guide-ListDash"/>
              <w:rPr>
                <w:lang w:val="sl-SI"/>
              </w:rPr>
            </w:pPr>
            <w:r w:rsidRPr="004E4C36">
              <w:rPr>
                <w:lang w:val="sl-SI"/>
              </w:rPr>
              <w:t>V kolikšni meri projekt spodbuja dolgotrajno mobilnost (ErasmusPro) z razvojem trajnostnih praks čezmejnega sodelovanja in struktur priznavanja, če je primerno.</w:t>
            </w:r>
          </w:p>
        </w:tc>
      </w:tr>
    </w:tbl>
    <w:p w14:paraId="7D398AB2" w14:textId="77777777" w:rsidR="00E03711" w:rsidRPr="001048FE" w:rsidRDefault="00E03711" w:rsidP="00283460">
      <w:pPr>
        <w:pStyle w:val="GUIDE-NORMAL"/>
        <w:rPr>
          <w:sz w:val="22"/>
          <w:lang w:val="sl-SI"/>
        </w:rPr>
      </w:pPr>
      <w:r w:rsidRPr="001048FE">
        <w:rPr>
          <w:lang w:val="sl-SI"/>
        </w:rPr>
        <w:t>Za upoštevanje pri dodeljevanju sredstev morajo predlogi doseči vsaj 60 točk. Poleg tega morajo doseči</w:t>
      </w:r>
      <w:r w:rsidRPr="001048FE">
        <w:rPr>
          <w:spacing w:val="-12"/>
          <w:lang w:val="sl-SI"/>
        </w:rPr>
        <w:t xml:space="preserve"> </w:t>
      </w:r>
      <w:r w:rsidRPr="001048FE">
        <w:rPr>
          <w:lang w:val="sl-SI"/>
        </w:rPr>
        <w:t>vsaj</w:t>
      </w:r>
      <w:r w:rsidRPr="001048FE">
        <w:rPr>
          <w:spacing w:val="-12"/>
          <w:lang w:val="sl-SI"/>
        </w:rPr>
        <w:t xml:space="preserve"> </w:t>
      </w:r>
      <w:r w:rsidRPr="001048FE">
        <w:rPr>
          <w:lang w:val="sl-SI"/>
        </w:rPr>
        <w:t>polovico</w:t>
      </w:r>
      <w:r w:rsidRPr="001048FE">
        <w:rPr>
          <w:spacing w:val="-12"/>
          <w:lang w:val="sl-SI"/>
        </w:rPr>
        <w:t xml:space="preserve"> </w:t>
      </w:r>
      <w:r w:rsidRPr="001048FE">
        <w:rPr>
          <w:lang w:val="sl-SI"/>
        </w:rPr>
        <w:t>vseh</w:t>
      </w:r>
      <w:r w:rsidRPr="001048FE">
        <w:rPr>
          <w:spacing w:val="-12"/>
          <w:lang w:val="sl-SI"/>
        </w:rPr>
        <w:t xml:space="preserve"> </w:t>
      </w:r>
      <w:r w:rsidRPr="001048FE">
        <w:rPr>
          <w:lang w:val="sl-SI"/>
        </w:rPr>
        <w:t>možnih</w:t>
      </w:r>
      <w:r w:rsidRPr="001048FE">
        <w:rPr>
          <w:spacing w:val="-12"/>
          <w:lang w:val="sl-SI"/>
        </w:rPr>
        <w:t xml:space="preserve"> </w:t>
      </w:r>
      <w:r w:rsidRPr="001048FE">
        <w:rPr>
          <w:lang w:val="sl-SI"/>
        </w:rPr>
        <w:t>točk</w:t>
      </w:r>
      <w:r w:rsidRPr="001048FE">
        <w:rPr>
          <w:spacing w:val="-12"/>
          <w:lang w:val="sl-SI"/>
        </w:rPr>
        <w:t xml:space="preserve"> </w:t>
      </w:r>
      <w:r w:rsidRPr="001048FE">
        <w:rPr>
          <w:lang w:val="sl-SI"/>
        </w:rPr>
        <w:t>v</w:t>
      </w:r>
      <w:r w:rsidRPr="001048FE">
        <w:rPr>
          <w:spacing w:val="-12"/>
          <w:lang w:val="sl-SI"/>
        </w:rPr>
        <w:t xml:space="preserve"> </w:t>
      </w:r>
      <w:r w:rsidRPr="001048FE">
        <w:rPr>
          <w:lang w:val="sl-SI"/>
        </w:rPr>
        <w:t>vsaki</w:t>
      </w:r>
      <w:r w:rsidRPr="001048FE">
        <w:rPr>
          <w:spacing w:val="-12"/>
          <w:lang w:val="sl-SI"/>
        </w:rPr>
        <w:t xml:space="preserve"> </w:t>
      </w:r>
      <w:r w:rsidRPr="001048FE">
        <w:rPr>
          <w:lang w:val="sl-SI"/>
        </w:rPr>
        <w:t>od</w:t>
      </w:r>
      <w:r w:rsidRPr="001048FE">
        <w:rPr>
          <w:spacing w:val="-11"/>
          <w:lang w:val="sl-SI"/>
        </w:rPr>
        <w:t xml:space="preserve"> </w:t>
      </w:r>
      <w:r w:rsidRPr="001048FE">
        <w:rPr>
          <w:lang w:val="sl-SI"/>
        </w:rPr>
        <w:t>navedenih</w:t>
      </w:r>
      <w:r w:rsidRPr="001048FE">
        <w:rPr>
          <w:spacing w:val="-12"/>
          <w:lang w:val="sl-SI"/>
        </w:rPr>
        <w:t xml:space="preserve"> </w:t>
      </w:r>
      <w:r w:rsidRPr="001048FE">
        <w:rPr>
          <w:lang w:val="sl-SI"/>
        </w:rPr>
        <w:t>kategorij</w:t>
      </w:r>
      <w:r w:rsidRPr="001048FE">
        <w:rPr>
          <w:spacing w:val="-12"/>
          <w:lang w:val="sl-SI"/>
        </w:rPr>
        <w:t xml:space="preserve"> </w:t>
      </w:r>
      <w:r w:rsidRPr="001048FE">
        <w:rPr>
          <w:lang w:val="sl-SI"/>
        </w:rPr>
        <w:t>meril</w:t>
      </w:r>
      <w:r w:rsidRPr="001048FE">
        <w:rPr>
          <w:spacing w:val="-12"/>
          <w:lang w:val="sl-SI"/>
        </w:rPr>
        <w:t xml:space="preserve"> </w:t>
      </w:r>
      <w:r w:rsidRPr="001048FE">
        <w:rPr>
          <w:lang w:val="sl-SI"/>
        </w:rPr>
        <w:t>za</w:t>
      </w:r>
      <w:r w:rsidRPr="001048FE">
        <w:rPr>
          <w:spacing w:val="-12"/>
          <w:lang w:val="sl-SI"/>
        </w:rPr>
        <w:t xml:space="preserve"> </w:t>
      </w:r>
      <w:r w:rsidRPr="001048FE">
        <w:rPr>
          <w:lang w:val="sl-SI"/>
        </w:rPr>
        <w:t>dodelitev</w:t>
      </w:r>
      <w:r w:rsidRPr="001048FE">
        <w:rPr>
          <w:spacing w:val="-12"/>
          <w:lang w:val="sl-SI"/>
        </w:rPr>
        <w:t xml:space="preserve"> </w:t>
      </w:r>
      <w:r w:rsidRPr="001048FE">
        <w:rPr>
          <w:lang w:val="sl-SI"/>
        </w:rPr>
        <w:t>(tj.</w:t>
      </w:r>
      <w:r w:rsidRPr="001048FE">
        <w:rPr>
          <w:spacing w:val="-12"/>
          <w:lang w:val="sl-SI"/>
        </w:rPr>
        <w:t xml:space="preserve"> </w:t>
      </w:r>
      <w:r w:rsidRPr="001048FE">
        <w:rPr>
          <w:lang w:val="sl-SI"/>
        </w:rPr>
        <w:t>vsaj</w:t>
      </w:r>
      <w:r w:rsidRPr="001048FE">
        <w:rPr>
          <w:spacing w:val="-12"/>
          <w:lang w:val="sl-SI"/>
        </w:rPr>
        <w:t xml:space="preserve"> </w:t>
      </w:r>
      <w:r w:rsidRPr="001048FE">
        <w:rPr>
          <w:lang w:val="sl-SI"/>
        </w:rPr>
        <w:t>15 točk za kategoriji „Ustreznost projekta“ ter „Učinek in razširjanje“; 20 točk za kategorijo „Kakovost zasnove in izvedbe projekta“).</w:t>
      </w:r>
    </w:p>
    <w:p w14:paraId="7D398AB3" w14:textId="77777777" w:rsidR="00E03711" w:rsidRPr="001048FE" w:rsidRDefault="00E03711" w:rsidP="00E23D2D">
      <w:pPr>
        <w:pStyle w:val="Guide-Heading7"/>
        <w:rPr>
          <w:lang w:val="sl-SI"/>
        </w:rPr>
      </w:pPr>
      <w:r w:rsidRPr="001048FE">
        <w:rPr>
          <w:lang w:val="sl-SI"/>
        </w:rPr>
        <w:t>Dodelitev nepovratnih sredstev</w:t>
      </w:r>
    </w:p>
    <w:p w14:paraId="7D398AB4" w14:textId="77777777" w:rsidR="00E03711" w:rsidRPr="001048FE" w:rsidRDefault="00E03711" w:rsidP="00283460">
      <w:pPr>
        <w:pStyle w:val="GUIDE-NORMAL"/>
        <w:rPr>
          <w:lang w:val="sl-SI"/>
        </w:rPr>
      </w:pPr>
      <w:r w:rsidRPr="001048FE">
        <w:rPr>
          <w:lang w:val="sl-SI"/>
        </w:rPr>
        <w:t>Najvišji</w:t>
      </w:r>
      <w:r w:rsidRPr="001048FE">
        <w:rPr>
          <w:spacing w:val="-13"/>
          <w:lang w:val="sl-SI"/>
        </w:rPr>
        <w:t xml:space="preserve"> </w:t>
      </w:r>
      <w:r w:rsidRPr="001048FE">
        <w:rPr>
          <w:lang w:val="sl-SI"/>
        </w:rPr>
        <w:t>znesek</w:t>
      </w:r>
      <w:r w:rsidRPr="001048FE">
        <w:rPr>
          <w:spacing w:val="-13"/>
          <w:lang w:val="sl-SI"/>
        </w:rPr>
        <w:t xml:space="preserve"> </w:t>
      </w:r>
      <w:r w:rsidRPr="001048FE">
        <w:rPr>
          <w:lang w:val="sl-SI"/>
        </w:rPr>
        <w:t>dodeljenih</w:t>
      </w:r>
      <w:r w:rsidRPr="001048FE">
        <w:rPr>
          <w:spacing w:val="-13"/>
          <w:lang w:val="sl-SI"/>
        </w:rPr>
        <w:t xml:space="preserve"> </w:t>
      </w:r>
      <w:r w:rsidRPr="001048FE">
        <w:rPr>
          <w:lang w:val="sl-SI"/>
        </w:rPr>
        <w:t>nepovratnih</w:t>
      </w:r>
      <w:r w:rsidRPr="001048FE">
        <w:rPr>
          <w:spacing w:val="-13"/>
          <w:lang w:val="sl-SI"/>
        </w:rPr>
        <w:t xml:space="preserve"> </w:t>
      </w:r>
      <w:r w:rsidRPr="001048FE">
        <w:rPr>
          <w:lang w:val="sl-SI"/>
        </w:rPr>
        <w:t>sredstev</w:t>
      </w:r>
      <w:r w:rsidRPr="001048FE">
        <w:rPr>
          <w:spacing w:val="-13"/>
          <w:lang w:val="sl-SI"/>
        </w:rPr>
        <w:t xml:space="preserve"> </w:t>
      </w:r>
      <w:r w:rsidRPr="001048FE">
        <w:rPr>
          <w:lang w:val="sl-SI"/>
        </w:rPr>
        <w:t>za</w:t>
      </w:r>
      <w:r w:rsidRPr="001048FE">
        <w:rPr>
          <w:spacing w:val="-13"/>
          <w:lang w:val="sl-SI"/>
        </w:rPr>
        <w:t xml:space="preserve"> </w:t>
      </w:r>
      <w:r w:rsidRPr="001048FE">
        <w:rPr>
          <w:lang w:val="sl-SI"/>
        </w:rPr>
        <w:t>izbrane</w:t>
      </w:r>
      <w:r w:rsidRPr="001048FE">
        <w:rPr>
          <w:spacing w:val="-13"/>
          <w:lang w:val="sl-SI"/>
        </w:rPr>
        <w:t xml:space="preserve"> </w:t>
      </w:r>
      <w:r w:rsidRPr="001048FE">
        <w:rPr>
          <w:lang w:val="sl-SI"/>
        </w:rPr>
        <w:t>projekte</w:t>
      </w:r>
      <w:r w:rsidRPr="001048FE">
        <w:rPr>
          <w:spacing w:val="-13"/>
          <w:lang w:val="sl-SI"/>
        </w:rPr>
        <w:t xml:space="preserve"> </w:t>
      </w:r>
      <w:r w:rsidRPr="001048FE">
        <w:rPr>
          <w:lang w:val="sl-SI"/>
        </w:rPr>
        <w:t>bo</w:t>
      </w:r>
      <w:r w:rsidRPr="001048FE">
        <w:rPr>
          <w:spacing w:val="-13"/>
          <w:lang w:val="sl-SI"/>
        </w:rPr>
        <w:t xml:space="preserve"> </w:t>
      </w:r>
      <w:r w:rsidRPr="001048FE">
        <w:rPr>
          <w:lang w:val="sl-SI"/>
        </w:rPr>
        <w:t>odvisen</w:t>
      </w:r>
      <w:r w:rsidRPr="001048FE">
        <w:rPr>
          <w:spacing w:val="-12"/>
          <w:lang w:val="sl-SI"/>
        </w:rPr>
        <w:t xml:space="preserve"> </w:t>
      </w:r>
      <w:r w:rsidRPr="001048FE">
        <w:rPr>
          <w:lang w:val="sl-SI"/>
        </w:rPr>
        <w:t>od</w:t>
      </w:r>
      <w:r w:rsidRPr="001048FE">
        <w:rPr>
          <w:spacing w:val="-12"/>
          <w:lang w:val="sl-SI"/>
        </w:rPr>
        <w:t xml:space="preserve"> </w:t>
      </w:r>
      <w:r w:rsidRPr="001048FE">
        <w:rPr>
          <w:lang w:val="sl-SI"/>
        </w:rPr>
        <w:t>številnih elementov:</w:t>
      </w:r>
    </w:p>
    <w:p w14:paraId="7D398AB5" w14:textId="77777777" w:rsidR="00E03711" w:rsidRPr="001048FE" w:rsidRDefault="00E03711" w:rsidP="005115F2">
      <w:pPr>
        <w:pStyle w:val="Guide-NormalBulletpoints"/>
        <w:numPr>
          <w:ilvl w:val="0"/>
          <w:numId w:val="226"/>
        </w:numPr>
        <w:rPr>
          <w:lang w:val="sl-SI"/>
        </w:rPr>
      </w:pPr>
      <w:r w:rsidRPr="001048FE">
        <w:rPr>
          <w:lang w:val="sl-SI"/>
        </w:rPr>
        <w:t>števila in trajanja prijavljenih obdobij mobilnosti;</w:t>
      </w:r>
    </w:p>
    <w:p w14:paraId="7D398AB6" w14:textId="77777777" w:rsidR="00E03711" w:rsidRPr="001048FE" w:rsidRDefault="00E03711" w:rsidP="005115F2">
      <w:pPr>
        <w:pStyle w:val="Guide-NormalBulletpoints"/>
        <w:numPr>
          <w:ilvl w:val="0"/>
          <w:numId w:val="226"/>
        </w:numPr>
        <w:rPr>
          <w:lang w:val="sl-SI"/>
        </w:rPr>
      </w:pPr>
      <w:r w:rsidRPr="001048FE">
        <w:rPr>
          <w:lang w:val="sl-SI"/>
        </w:rPr>
        <w:t xml:space="preserve">v kolikšni meri predlog vključuje dolgotrajno mobilnost od 3 do 12 mesecev (ErasmusPro); </w:t>
      </w:r>
    </w:p>
    <w:p w14:paraId="7D398AB7" w14:textId="77777777" w:rsidR="00E03711" w:rsidRPr="001048FE" w:rsidRDefault="00E03711" w:rsidP="005115F2">
      <w:pPr>
        <w:pStyle w:val="Guide-NormalBulletpoints"/>
        <w:numPr>
          <w:ilvl w:val="0"/>
          <w:numId w:val="226"/>
        </w:numPr>
        <w:rPr>
          <w:lang w:val="sl-SI"/>
        </w:rPr>
      </w:pPr>
      <w:r w:rsidRPr="001048FE">
        <w:rPr>
          <w:lang w:val="sl-SI"/>
        </w:rPr>
        <w:t>pretekle uspešnosti prijavitelja v smislu števila obdobij mobilnosti, dobre kakovosti izvajanih aktivnosti in dobrega finančnega poslovodenja, če je prijavitelj prejel podobna nepovratna sredstva v preteklih letih;</w:t>
      </w:r>
    </w:p>
    <w:p w14:paraId="7D398AB8" w14:textId="77777777" w:rsidR="00E03711" w:rsidRPr="001048FE" w:rsidRDefault="00E03711" w:rsidP="005115F2">
      <w:pPr>
        <w:pStyle w:val="Guide-NormalBulletpoints"/>
        <w:numPr>
          <w:ilvl w:val="0"/>
          <w:numId w:val="226"/>
        </w:numPr>
        <w:rPr>
          <w:lang w:val="sl-SI"/>
        </w:rPr>
      </w:pPr>
      <w:r w:rsidRPr="001048FE">
        <w:rPr>
          <w:lang w:val="sl-SI"/>
        </w:rPr>
        <w:t>skupnega nacionalnega proračuna, dodeljenega za ukrep mobilnosti.</w:t>
      </w:r>
    </w:p>
    <w:p w14:paraId="7D398AB9" w14:textId="77777777" w:rsidR="00E03711" w:rsidRPr="001048FE" w:rsidRDefault="00E03711" w:rsidP="00283460">
      <w:pPr>
        <w:pStyle w:val="Guide-Heading6"/>
        <w:rPr>
          <w:lang w:val="sl-SI"/>
        </w:rPr>
      </w:pPr>
      <w:r w:rsidRPr="001048FE">
        <w:rPr>
          <w:lang w:val="sl-SI"/>
        </w:rPr>
        <w:t>Kaj je še treba vedeti o tem ukrepu?</w:t>
      </w:r>
    </w:p>
    <w:p w14:paraId="7D398ABA" w14:textId="77777777" w:rsidR="00E03711" w:rsidRPr="00FC4A70" w:rsidRDefault="00E03711" w:rsidP="00525441">
      <w:pPr>
        <w:pStyle w:val="Guide-Heading6"/>
        <w:rPr>
          <w:sz w:val="18"/>
          <w:lang w:val="sl-SI"/>
        </w:rPr>
      </w:pPr>
      <w:r w:rsidRPr="00FC4A70">
        <w:rPr>
          <w:rFonts w:eastAsia="Calibri" w:cs="Calibri"/>
          <w:bCs/>
          <w:sz w:val="18"/>
          <w:szCs w:val="18"/>
          <w:bdr w:val="nil"/>
          <w:lang w:val="sl-SI"/>
        </w:rPr>
        <w:t>Izredni stroški za drago potovanje</w:t>
      </w:r>
    </w:p>
    <w:p w14:paraId="7D398ABB" w14:textId="77777777" w:rsidR="00E03711" w:rsidRDefault="00E03711" w:rsidP="00525441">
      <w:pPr>
        <w:pStyle w:val="Guide-Normal0"/>
        <w:rPr>
          <w:rFonts w:eastAsia="Calibri" w:cs="Calibri"/>
          <w:kern w:val="3"/>
          <w:sz w:val="18"/>
          <w:szCs w:val="18"/>
          <w:bdr w:val="nil"/>
          <w:shd w:val="clear" w:color="auto" w:fill="FFFFFF"/>
          <w:lang w:val="sl-SI"/>
        </w:rPr>
      </w:pPr>
      <w:r w:rsidRPr="00FC4A70">
        <w:rPr>
          <w:rFonts w:eastAsia="Calibri" w:cs="Calibri"/>
          <w:kern w:val="3"/>
          <w:sz w:val="18"/>
          <w:szCs w:val="18"/>
          <w:bdr w:val="nil"/>
          <w:shd w:val="clear" w:color="auto" w:fill="FFFFFF"/>
          <w:lang w:val="sl-SI"/>
        </w:rPr>
        <w:t>Prijavitelji projektov mobilnosti lahko zahtevajo finančno podporo za višje potne stroške udeležencev pod proračunsko postavko „izredni stroški“ (do največ 80 % vseh upravičenih stroškov: glejte „Kakšna so pravila za dodelitev sredstev?“)</w:t>
      </w:r>
      <w:r>
        <w:rPr>
          <w:rFonts w:eastAsia="Calibri" w:cs="Calibri"/>
          <w:kern w:val="3"/>
          <w:sz w:val="18"/>
          <w:szCs w:val="18"/>
          <w:bdr w:val="nil"/>
          <w:shd w:val="clear" w:color="auto" w:fill="FFFFFF"/>
          <w:lang w:val="sl-SI"/>
        </w:rPr>
        <w:t>, vključno s primeri, ko se udeleženci odločijo za prevozna sredstva, ki so čistejša in povzročajo manj emisij ogljika (npr. vlak), kar vodi do višjih stroškov potovanja</w:t>
      </w:r>
      <w:r w:rsidRPr="00FC4A70">
        <w:rPr>
          <w:rFonts w:eastAsia="Calibri" w:cs="Calibri"/>
          <w:kern w:val="3"/>
          <w:sz w:val="18"/>
          <w:szCs w:val="18"/>
          <w:bdr w:val="nil"/>
          <w:shd w:val="clear" w:color="auto" w:fill="FFFFFF"/>
          <w:lang w:val="sl-SI"/>
        </w:rPr>
        <w:t>. To je dovoljeno pod pogojem, da lahko prijavitelji utemeljijo, da običajna pravila financiranja (na podlagi stroškov na enoto za pas oddaljenosti) ne krijejo vsaj 70 % potnih stroškov udeležencev. Če so dodeljena, se namesto standardnih potnih stroškov upoštevajo izredni stroški za drago potovanje.</w:t>
      </w:r>
    </w:p>
    <w:p w14:paraId="7D398ABC" w14:textId="77777777" w:rsidR="00E03711" w:rsidRPr="00FC4A70" w:rsidRDefault="00E03711" w:rsidP="00525441">
      <w:pPr>
        <w:pStyle w:val="Guide-Normal0"/>
        <w:rPr>
          <w:vanish/>
          <w:lang w:val="sl-SI"/>
        </w:rPr>
      </w:pPr>
    </w:p>
    <w:p w14:paraId="7D398ABD" w14:textId="77777777" w:rsidR="00E03711" w:rsidRPr="001048FE" w:rsidRDefault="00E03711" w:rsidP="00E23D2D">
      <w:pPr>
        <w:pStyle w:val="Guide-Heading7"/>
        <w:rPr>
          <w:lang w:val="sl-SI"/>
        </w:rPr>
      </w:pPr>
      <w:r w:rsidRPr="001048FE">
        <w:rPr>
          <w:lang w:val="sl-SI"/>
        </w:rPr>
        <w:t>Druge informacije</w:t>
      </w:r>
    </w:p>
    <w:p w14:paraId="7D398ABE" w14:textId="77777777" w:rsidR="00E03711" w:rsidRPr="001048FE" w:rsidRDefault="00E03711" w:rsidP="00283460">
      <w:pPr>
        <w:pStyle w:val="GUIDE-NORMAL"/>
        <w:rPr>
          <w:lang w:val="sl-SI"/>
        </w:rPr>
      </w:pPr>
      <w:r w:rsidRPr="001048FE">
        <w:rPr>
          <w:lang w:val="sl-SI"/>
        </w:rPr>
        <w:t>Za obvezna merila ter dodatne koristne informacije v zvezi s tem ukrepom glej Prilogo I k temu vodniku.</w:t>
      </w:r>
      <w:r w:rsidRPr="001048FE">
        <w:rPr>
          <w:spacing w:val="-13"/>
          <w:lang w:val="sl-SI"/>
        </w:rPr>
        <w:t xml:space="preserve"> </w:t>
      </w:r>
      <w:r w:rsidRPr="001048FE">
        <w:rPr>
          <w:lang w:val="sl-SI"/>
        </w:rPr>
        <w:t>Zainteresirane</w:t>
      </w:r>
      <w:r w:rsidRPr="001048FE">
        <w:rPr>
          <w:spacing w:val="-13"/>
          <w:lang w:val="sl-SI"/>
        </w:rPr>
        <w:t xml:space="preserve"> </w:t>
      </w:r>
      <w:r w:rsidRPr="001048FE">
        <w:rPr>
          <w:lang w:val="sl-SI"/>
        </w:rPr>
        <w:t>organizacije</w:t>
      </w:r>
      <w:r w:rsidRPr="001048FE">
        <w:rPr>
          <w:spacing w:val="-12"/>
          <w:lang w:val="sl-SI"/>
        </w:rPr>
        <w:t xml:space="preserve"> </w:t>
      </w:r>
      <w:r w:rsidRPr="001048FE">
        <w:rPr>
          <w:lang w:val="sl-SI"/>
        </w:rPr>
        <w:t>naj</w:t>
      </w:r>
      <w:r w:rsidRPr="001048FE">
        <w:rPr>
          <w:spacing w:val="-13"/>
          <w:lang w:val="sl-SI"/>
        </w:rPr>
        <w:t xml:space="preserve"> </w:t>
      </w:r>
      <w:r w:rsidRPr="001048FE">
        <w:rPr>
          <w:lang w:val="sl-SI"/>
        </w:rPr>
        <w:t>pred</w:t>
      </w:r>
      <w:r w:rsidRPr="001048FE">
        <w:rPr>
          <w:spacing w:val="-13"/>
          <w:lang w:val="sl-SI"/>
        </w:rPr>
        <w:t xml:space="preserve"> </w:t>
      </w:r>
      <w:r w:rsidRPr="001048FE">
        <w:rPr>
          <w:lang w:val="sl-SI"/>
        </w:rPr>
        <w:t>oddajo</w:t>
      </w:r>
      <w:r w:rsidRPr="001048FE">
        <w:rPr>
          <w:spacing w:val="-12"/>
          <w:lang w:val="sl-SI"/>
        </w:rPr>
        <w:t xml:space="preserve"> </w:t>
      </w:r>
      <w:r w:rsidRPr="001048FE">
        <w:rPr>
          <w:lang w:val="sl-SI"/>
        </w:rPr>
        <w:t>vloge</w:t>
      </w:r>
      <w:r w:rsidRPr="001048FE">
        <w:rPr>
          <w:spacing w:val="-13"/>
          <w:lang w:val="sl-SI"/>
        </w:rPr>
        <w:t xml:space="preserve"> </w:t>
      </w:r>
      <w:r w:rsidRPr="001048FE">
        <w:rPr>
          <w:lang w:val="sl-SI"/>
        </w:rPr>
        <w:t>za</w:t>
      </w:r>
      <w:r w:rsidRPr="001048FE">
        <w:rPr>
          <w:spacing w:val="-13"/>
          <w:lang w:val="sl-SI"/>
        </w:rPr>
        <w:t xml:space="preserve"> </w:t>
      </w:r>
      <w:r w:rsidRPr="001048FE">
        <w:rPr>
          <w:lang w:val="sl-SI"/>
        </w:rPr>
        <w:t>finančno</w:t>
      </w:r>
      <w:r w:rsidRPr="001048FE">
        <w:rPr>
          <w:spacing w:val="-13"/>
          <w:lang w:val="sl-SI"/>
        </w:rPr>
        <w:t xml:space="preserve"> </w:t>
      </w:r>
      <w:r w:rsidRPr="001048FE">
        <w:rPr>
          <w:lang w:val="sl-SI"/>
        </w:rPr>
        <w:t>podporo</w:t>
      </w:r>
      <w:r w:rsidRPr="001048FE">
        <w:rPr>
          <w:spacing w:val="-13"/>
          <w:lang w:val="sl-SI"/>
        </w:rPr>
        <w:t xml:space="preserve"> </w:t>
      </w:r>
      <w:r w:rsidRPr="001048FE">
        <w:rPr>
          <w:lang w:val="sl-SI"/>
        </w:rPr>
        <w:t>skrbno</w:t>
      </w:r>
      <w:r w:rsidRPr="001048FE">
        <w:rPr>
          <w:spacing w:val="-13"/>
          <w:lang w:val="sl-SI"/>
        </w:rPr>
        <w:t xml:space="preserve"> </w:t>
      </w:r>
      <w:r w:rsidRPr="001048FE">
        <w:rPr>
          <w:lang w:val="sl-SI"/>
        </w:rPr>
        <w:t>preberejo ustrezna poglavja te</w:t>
      </w:r>
      <w:r w:rsidRPr="001048FE">
        <w:rPr>
          <w:spacing w:val="-7"/>
          <w:lang w:val="sl-SI"/>
        </w:rPr>
        <w:t xml:space="preserve"> </w:t>
      </w:r>
      <w:r w:rsidRPr="001048FE">
        <w:rPr>
          <w:lang w:val="sl-SI"/>
        </w:rPr>
        <w:t>priloge.</w:t>
      </w:r>
    </w:p>
    <w:p w14:paraId="7D398ABF" w14:textId="77777777" w:rsidR="00E03711" w:rsidRPr="001048FE" w:rsidRDefault="00E03711" w:rsidP="00E23D2D">
      <w:pPr>
        <w:pStyle w:val="Guide-Heading5"/>
        <w:rPr>
          <w:lang w:val="sl-SI"/>
        </w:rPr>
      </w:pPr>
      <w:bookmarkStart w:id="168" w:name="Projet_de_mobilité_pour_apprenants_et_pe"/>
      <w:bookmarkEnd w:id="168"/>
      <w:r w:rsidRPr="001048FE">
        <w:rPr>
          <w:lang w:val="sl-SI"/>
        </w:rPr>
        <w:t>Projekt mobilnosti za dijake in osebje v PIU z listino Erasmus+ za mobilnost v PIU</w:t>
      </w:r>
    </w:p>
    <w:p w14:paraId="7D398AC0" w14:textId="77777777" w:rsidR="00E03711" w:rsidRPr="001048FE" w:rsidRDefault="00E03711" w:rsidP="00854DEA">
      <w:pPr>
        <w:pStyle w:val="Guide-Heading6"/>
        <w:rPr>
          <w:lang w:val="sl-SI"/>
        </w:rPr>
      </w:pPr>
      <w:r w:rsidRPr="001048FE">
        <w:rPr>
          <w:lang w:val="sl-SI"/>
        </w:rPr>
        <w:t>Kakšna so merila za oceno tega projekta?</w:t>
      </w:r>
    </w:p>
    <w:p w14:paraId="7D398AC1" w14:textId="77777777" w:rsidR="00E03711" w:rsidRPr="001048FE" w:rsidRDefault="00E03711" w:rsidP="00854DEA">
      <w:pPr>
        <w:pStyle w:val="GUIDE-NORMAL"/>
        <w:rPr>
          <w:lang w:val="sl-SI"/>
        </w:rPr>
      </w:pPr>
      <w:r w:rsidRPr="001048FE">
        <w:rPr>
          <w:lang w:val="sl-SI"/>
        </w:rPr>
        <w:t>V nadaljevanju so navedena formalna merila, ki jih mora izpolniti projekt mobilnosti PIU z listino Erasmus+ za mobilnost v PIU za upravičenost do nepovratnih sredstev Erasmus+:</w:t>
      </w:r>
    </w:p>
    <w:p w14:paraId="7D398AC2" w14:textId="77777777" w:rsidR="00E03711" w:rsidRPr="001048FE" w:rsidRDefault="00E03711" w:rsidP="00854DEA">
      <w:pPr>
        <w:pStyle w:val="Guide-Heading7"/>
        <w:rPr>
          <w:lang w:val="sl-SI"/>
        </w:rPr>
      </w:pPr>
      <w:r w:rsidRPr="001048FE">
        <w:rPr>
          <w:lang w:val="sl-SI"/>
        </w:rPr>
        <w:t>Splošna merila za upravičenost</w:t>
      </w:r>
    </w:p>
    <w:tbl>
      <w:tblPr>
        <w:tblW w:w="5005" w:type="pct"/>
        <w:shd w:val="clear" w:color="auto" w:fill="FFFFFF"/>
        <w:tblLook w:val="0000" w:firstRow="0" w:lastRow="0" w:firstColumn="0" w:lastColumn="0" w:noHBand="0" w:noVBand="0"/>
      </w:tblPr>
      <w:tblGrid>
        <w:gridCol w:w="1568"/>
        <w:gridCol w:w="7731"/>
      </w:tblGrid>
      <w:tr w:rsidR="00E03711" w:rsidRPr="00C60205" w14:paraId="7D398AC5" w14:textId="77777777" w:rsidTr="001578A9">
        <w:trPr>
          <w:cantSplit/>
          <w:trHeight w:val="113"/>
        </w:trPr>
        <w:tc>
          <w:tcPr>
            <w:tcW w:w="843" w:type="pct"/>
            <w:tcBorders>
              <w:top w:val="single" w:sz="4" w:space="0" w:color="auto"/>
              <w:left w:val="single" w:sz="4" w:space="0" w:color="auto"/>
              <w:bottom w:val="dashed" w:sz="4" w:space="0" w:color="auto"/>
              <w:right w:val="single" w:sz="8" w:space="0" w:color="000000"/>
            </w:tcBorders>
            <w:shd w:val="clear" w:color="auto" w:fill="FFFFFF"/>
            <w:vAlign w:val="center"/>
          </w:tcPr>
          <w:p w14:paraId="7D398AC3" w14:textId="77777777" w:rsidR="00E03711" w:rsidRPr="00F769E0" w:rsidRDefault="00E03711" w:rsidP="00854DEA">
            <w:pPr>
              <w:pStyle w:val="GUIDE-NORMAL"/>
              <w:spacing w:before="60" w:after="60"/>
              <w:jc w:val="left"/>
              <w:rPr>
                <w:rFonts w:cs="Tahoma"/>
                <w:b/>
                <w:lang w:val="sl-SI" w:eastAsia="en-GB"/>
              </w:rPr>
            </w:pPr>
            <w:r w:rsidRPr="00F769E0">
              <w:rPr>
                <w:rFonts w:cs="Tahoma"/>
                <w:b/>
                <w:lang w:val="sl-SI" w:eastAsia="en-GB"/>
              </w:rPr>
              <w:t>Kdo se lahko prijavi?</w:t>
            </w:r>
          </w:p>
        </w:tc>
        <w:tc>
          <w:tcPr>
            <w:tcW w:w="4157" w:type="pct"/>
            <w:tcBorders>
              <w:top w:val="single" w:sz="4" w:space="0" w:color="auto"/>
              <w:left w:val="nil"/>
              <w:bottom w:val="dashed" w:sz="4" w:space="0" w:color="auto"/>
              <w:right w:val="single" w:sz="4" w:space="0" w:color="auto"/>
            </w:tcBorders>
            <w:shd w:val="clear" w:color="auto" w:fill="FFFFFF"/>
            <w:vAlign w:val="center"/>
          </w:tcPr>
          <w:p w14:paraId="7D398AC4" w14:textId="77777777" w:rsidR="00E03711" w:rsidRPr="00F769E0" w:rsidRDefault="00E03711" w:rsidP="00854DEA">
            <w:pPr>
              <w:pStyle w:val="GUIDE-NORMAL"/>
              <w:spacing w:before="60" w:after="60"/>
              <w:rPr>
                <w:rFonts w:cs="Tahoma"/>
                <w:lang w:val="sl-SI" w:eastAsia="en-GB"/>
              </w:rPr>
            </w:pPr>
            <w:r w:rsidRPr="00F769E0">
              <w:rPr>
                <w:rFonts w:cs="Tahoma"/>
                <w:lang w:val="sl-SI" w:eastAsia="en-GB"/>
              </w:rPr>
              <w:t>Posamezne organizacije ali konzorciji, ustanovljeni v državi Programa, imetnice listine Erasmus+ za mobilnost v PIU.</w:t>
            </w:r>
            <w:r w:rsidRPr="00F769E0">
              <w:rPr>
                <w:rStyle w:val="FootnoteReference"/>
                <w:rFonts w:cs="Tahoma"/>
                <w:lang w:val="sl-SI" w:eastAsia="en-GB"/>
              </w:rPr>
              <w:t xml:space="preserve"> </w:t>
            </w:r>
            <w:r w:rsidRPr="00F769E0">
              <w:rPr>
                <w:rStyle w:val="FootnoteReference"/>
                <w:rFonts w:cs="Tahoma"/>
                <w:lang w:val="sl-SI" w:eastAsia="en-GB"/>
              </w:rPr>
              <w:footnoteReference w:id="40"/>
            </w:r>
          </w:p>
        </w:tc>
      </w:tr>
      <w:tr w:rsidR="00E03711" w:rsidRPr="008C6F8C" w14:paraId="7D398ACC" w14:textId="77777777" w:rsidTr="001578A9">
        <w:trPr>
          <w:cantSplit/>
          <w:trHeight w:val="113"/>
        </w:trPr>
        <w:tc>
          <w:tcPr>
            <w:tcW w:w="843" w:type="pct"/>
            <w:tcBorders>
              <w:top w:val="dashed" w:sz="4" w:space="0" w:color="auto"/>
              <w:left w:val="single" w:sz="4" w:space="0" w:color="auto"/>
              <w:bottom w:val="dashed" w:sz="4" w:space="0" w:color="auto"/>
              <w:right w:val="single" w:sz="8" w:space="0" w:color="000000"/>
            </w:tcBorders>
            <w:shd w:val="clear" w:color="auto" w:fill="FFFFFF"/>
            <w:vAlign w:val="center"/>
          </w:tcPr>
          <w:p w14:paraId="7D398AC6" w14:textId="77777777" w:rsidR="00E03711" w:rsidRPr="00F769E0" w:rsidRDefault="00E03711" w:rsidP="00854DEA">
            <w:pPr>
              <w:pStyle w:val="GUIDE-NORMAL"/>
              <w:spacing w:before="60" w:after="60"/>
              <w:jc w:val="left"/>
              <w:rPr>
                <w:rFonts w:cs="Tahoma"/>
                <w:b/>
                <w:lang w:val="sl-SI" w:eastAsia="en-GB"/>
              </w:rPr>
            </w:pPr>
            <w:r w:rsidRPr="00F769E0">
              <w:rPr>
                <w:rFonts w:cs="Tahoma"/>
                <w:b/>
                <w:lang w:val="sl-SI" w:eastAsia="en-GB"/>
              </w:rPr>
              <w:t>Upravičene aktivnosti</w:t>
            </w:r>
          </w:p>
        </w:tc>
        <w:tc>
          <w:tcPr>
            <w:tcW w:w="4157" w:type="pct"/>
            <w:tcBorders>
              <w:top w:val="dashed" w:sz="4" w:space="0" w:color="auto"/>
              <w:left w:val="nil"/>
              <w:bottom w:val="dashed" w:sz="4" w:space="0" w:color="auto"/>
              <w:right w:val="single" w:sz="4" w:space="0" w:color="auto"/>
            </w:tcBorders>
            <w:shd w:val="clear" w:color="auto" w:fill="FFFFFF"/>
            <w:vAlign w:val="center"/>
          </w:tcPr>
          <w:p w14:paraId="7D398AC7" w14:textId="77777777" w:rsidR="00E03711" w:rsidRPr="00F769E0" w:rsidRDefault="00E03711" w:rsidP="00854DEA">
            <w:pPr>
              <w:pStyle w:val="GUIDE-NORMAL"/>
              <w:spacing w:before="60" w:after="60"/>
              <w:rPr>
                <w:rFonts w:cs="Tahoma"/>
                <w:lang w:val="sl-SI" w:eastAsia="en-GB"/>
              </w:rPr>
            </w:pPr>
            <w:r w:rsidRPr="00F769E0">
              <w:rPr>
                <w:rFonts w:cs="Tahoma"/>
                <w:lang w:val="sl-SI" w:eastAsia="en-GB"/>
              </w:rPr>
              <w:t>Projekt mobilnosti v PIU mora zajemati eno ali več naslednjih aktivnosti:</w:t>
            </w:r>
          </w:p>
          <w:p w14:paraId="7D398AC8" w14:textId="77777777" w:rsidR="00E03711" w:rsidRPr="001048FE" w:rsidRDefault="00E03711" w:rsidP="005115F2">
            <w:pPr>
              <w:pStyle w:val="Guide-NormalBulletpoints"/>
              <w:numPr>
                <w:ilvl w:val="0"/>
                <w:numId w:val="227"/>
              </w:numPr>
              <w:spacing w:before="60"/>
              <w:rPr>
                <w:lang w:val="sl-SI"/>
              </w:rPr>
            </w:pPr>
            <w:r w:rsidRPr="001048FE">
              <w:rPr>
                <w:lang w:val="sl-SI"/>
              </w:rPr>
              <w:t>Mobilnost pri ponudnikih PIU in družbah v tujini, od 2 tednov do največ 3 mesecev;</w:t>
            </w:r>
          </w:p>
          <w:p w14:paraId="7D398AC9" w14:textId="77777777" w:rsidR="00E03711" w:rsidRPr="001048FE" w:rsidRDefault="00E03711" w:rsidP="005115F2">
            <w:pPr>
              <w:pStyle w:val="Guide-NormalBulletpoints"/>
              <w:numPr>
                <w:ilvl w:val="0"/>
                <w:numId w:val="227"/>
              </w:numPr>
              <w:spacing w:before="60"/>
              <w:rPr>
                <w:lang w:val="sl-SI"/>
              </w:rPr>
            </w:pPr>
            <w:r w:rsidRPr="001048FE">
              <w:rPr>
                <w:lang w:val="sl-SI"/>
              </w:rPr>
              <w:t>dolgotrajna mobilnost pri ponudnikih PIU in/ali družbah v tujini (ErasmusPro), od 3 do 12 mesecev.</w:t>
            </w:r>
          </w:p>
          <w:p w14:paraId="7D398ACA" w14:textId="77777777" w:rsidR="00E03711" w:rsidRPr="001048FE" w:rsidRDefault="00E03711" w:rsidP="005115F2">
            <w:pPr>
              <w:pStyle w:val="Guide-NormalBulletpoints"/>
              <w:numPr>
                <w:ilvl w:val="0"/>
                <w:numId w:val="227"/>
              </w:numPr>
              <w:spacing w:before="60"/>
              <w:rPr>
                <w:lang w:val="sl-SI"/>
              </w:rPr>
            </w:pPr>
            <w:r w:rsidRPr="001048FE">
              <w:rPr>
                <w:lang w:val="sl-SI"/>
              </w:rPr>
              <w:t>mobilnost z namenom poučevanja/usposabljanja v tujini,</w:t>
            </w:r>
          </w:p>
          <w:p w14:paraId="7D398ACB" w14:textId="77777777" w:rsidR="00E03711" w:rsidRPr="001048FE" w:rsidRDefault="00E03711" w:rsidP="005115F2">
            <w:pPr>
              <w:pStyle w:val="Guide-NormalBulletpoints"/>
              <w:numPr>
                <w:ilvl w:val="0"/>
                <w:numId w:val="227"/>
              </w:numPr>
              <w:spacing w:before="60"/>
              <w:rPr>
                <w:lang w:val="sl-SI"/>
              </w:rPr>
            </w:pPr>
            <w:r w:rsidRPr="001048FE">
              <w:rPr>
                <w:lang w:val="sl-SI"/>
              </w:rPr>
              <w:t>usposabljanje osebja v tujini.</w:t>
            </w:r>
          </w:p>
        </w:tc>
      </w:tr>
      <w:tr w:rsidR="00E03711" w:rsidRPr="00C60205" w14:paraId="7D398AD0" w14:textId="77777777" w:rsidTr="001578A9">
        <w:trPr>
          <w:cantSplit/>
          <w:trHeight w:val="113"/>
        </w:trPr>
        <w:tc>
          <w:tcPr>
            <w:tcW w:w="843" w:type="pct"/>
            <w:tcBorders>
              <w:top w:val="dashed" w:sz="4" w:space="0" w:color="auto"/>
              <w:left w:val="single" w:sz="4" w:space="0" w:color="auto"/>
              <w:bottom w:val="dashed" w:sz="4" w:space="0" w:color="auto"/>
              <w:right w:val="single" w:sz="8" w:space="0" w:color="000000"/>
            </w:tcBorders>
            <w:shd w:val="clear" w:color="auto" w:fill="FFFFFF"/>
            <w:vAlign w:val="center"/>
          </w:tcPr>
          <w:p w14:paraId="7D398ACD" w14:textId="77777777" w:rsidR="00E03711" w:rsidRPr="00F769E0" w:rsidRDefault="00E03711" w:rsidP="00854DEA">
            <w:pPr>
              <w:pStyle w:val="GUIDE-NORMAL"/>
              <w:spacing w:before="60" w:after="60"/>
              <w:jc w:val="left"/>
              <w:rPr>
                <w:rFonts w:cs="Tahoma"/>
                <w:b/>
                <w:lang w:val="sl-SI" w:eastAsia="en-GB"/>
              </w:rPr>
            </w:pPr>
            <w:r w:rsidRPr="00F769E0">
              <w:rPr>
                <w:rFonts w:cs="Tahoma"/>
                <w:b/>
                <w:lang w:val="sl-SI" w:eastAsia="en-GB"/>
              </w:rPr>
              <w:t>Število sodelujočih organizacij</w:t>
            </w:r>
          </w:p>
        </w:tc>
        <w:tc>
          <w:tcPr>
            <w:tcW w:w="4157" w:type="pct"/>
            <w:tcBorders>
              <w:top w:val="dashed" w:sz="4" w:space="0" w:color="auto"/>
              <w:left w:val="nil"/>
              <w:bottom w:val="dashed" w:sz="4" w:space="0" w:color="auto"/>
              <w:right w:val="single" w:sz="4" w:space="0" w:color="auto"/>
            </w:tcBorders>
            <w:shd w:val="clear" w:color="auto" w:fill="FFFFFF"/>
            <w:vAlign w:val="center"/>
          </w:tcPr>
          <w:p w14:paraId="7D398ACE" w14:textId="77777777" w:rsidR="00E03711" w:rsidRPr="00F769E0" w:rsidRDefault="00E03711" w:rsidP="00854DEA">
            <w:pPr>
              <w:pStyle w:val="GUIDE-NORMAL"/>
              <w:spacing w:before="60" w:after="60"/>
              <w:rPr>
                <w:rFonts w:cs="Tahoma"/>
                <w:lang w:val="sl-SI" w:eastAsia="en-GB"/>
              </w:rPr>
            </w:pPr>
            <w:r w:rsidRPr="00F769E0">
              <w:rPr>
                <w:rFonts w:cs="Tahoma"/>
                <w:lang w:val="sl-SI" w:eastAsia="en-GB"/>
              </w:rPr>
              <w:t>Aktivnost mobilnosti je mednarodna in v njej sodelujeta vsaj dve sodelujoči organizaciji (vsaj ena pošiljateljica in vsaj ena gostiteljica) iz različnih držav Programa.</w:t>
            </w:r>
          </w:p>
          <w:p w14:paraId="7D398ACF" w14:textId="77777777" w:rsidR="00E03711" w:rsidRPr="00F769E0" w:rsidRDefault="00E03711" w:rsidP="00854DEA">
            <w:pPr>
              <w:pStyle w:val="GUIDE-NORMAL"/>
              <w:spacing w:before="60" w:after="60"/>
              <w:rPr>
                <w:rFonts w:cs="Tahoma"/>
                <w:lang w:val="sl-SI" w:eastAsia="en-GB"/>
              </w:rPr>
            </w:pPr>
            <w:r w:rsidRPr="00F769E0">
              <w:rPr>
                <w:rFonts w:cs="Tahoma"/>
                <w:lang w:val="sl-SI" w:eastAsia="en-GB"/>
              </w:rPr>
              <w:t>V primeru projektov, ki jih predstavi nacionalni konzorcij za mobilnost, ki ima listino Erasmus+ za mobilnost v PIU, morata biti organizacija pošiljateljica in organizacija gostiteljica v različnih državah Programa.</w:t>
            </w:r>
          </w:p>
        </w:tc>
      </w:tr>
      <w:tr w:rsidR="00E03711" w:rsidRPr="00C60205" w14:paraId="7D398AD3" w14:textId="77777777" w:rsidTr="001578A9">
        <w:trPr>
          <w:cantSplit/>
          <w:trHeight w:val="113"/>
        </w:trPr>
        <w:tc>
          <w:tcPr>
            <w:tcW w:w="843" w:type="pct"/>
            <w:tcBorders>
              <w:top w:val="dashed" w:sz="4" w:space="0" w:color="auto"/>
              <w:left w:val="single" w:sz="4" w:space="0" w:color="auto"/>
              <w:bottom w:val="dashed" w:sz="4" w:space="0" w:color="auto"/>
              <w:right w:val="single" w:sz="8" w:space="0" w:color="000000"/>
            </w:tcBorders>
            <w:shd w:val="clear" w:color="auto" w:fill="FFFFFF"/>
            <w:vAlign w:val="center"/>
          </w:tcPr>
          <w:p w14:paraId="7D398AD1" w14:textId="77777777" w:rsidR="00E03711" w:rsidRPr="00F769E0" w:rsidRDefault="00E03711" w:rsidP="00854DEA">
            <w:pPr>
              <w:pStyle w:val="GUIDE-NORMAL"/>
              <w:spacing w:before="60" w:after="60"/>
              <w:jc w:val="left"/>
              <w:rPr>
                <w:rFonts w:cs="Tahoma"/>
                <w:b/>
                <w:lang w:val="sl-SI" w:eastAsia="en-GB"/>
              </w:rPr>
            </w:pPr>
            <w:r w:rsidRPr="00F769E0">
              <w:rPr>
                <w:rFonts w:cs="Tahoma"/>
                <w:b/>
                <w:lang w:val="sl-SI" w:eastAsia="en-GB"/>
              </w:rPr>
              <w:t>Trajanje projekta</w:t>
            </w:r>
          </w:p>
        </w:tc>
        <w:tc>
          <w:tcPr>
            <w:tcW w:w="4157" w:type="pct"/>
            <w:tcBorders>
              <w:top w:val="dashed" w:sz="4" w:space="0" w:color="auto"/>
              <w:left w:val="nil"/>
              <w:bottom w:val="dashed" w:sz="4" w:space="0" w:color="auto"/>
              <w:right w:val="single" w:sz="4" w:space="0" w:color="auto"/>
            </w:tcBorders>
            <w:shd w:val="clear" w:color="auto" w:fill="FFFFFF"/>
            <w:vAlign w:val="center"/>
          </w:tcPr>
          <w:p w14:paraId="7D398AD2" w14:textId="77777777" w:rsidR="00E03711" w:rsidRPr="00F769E0" w:rsidRDefault="00E03711" w:rsidP="00854DEA">
            <w:pPr>
              <w:pStyle w:val="GUIDE-NORMAL"/>
              <w:spacing w:before="60" w:after="60"/>
              <w:rPr>
                <w:rFonts w:cs="Tahoma"/>
                <w:lang w:val="sl-SI" w:eastAsia="en-GB"/>
              </w:rPr>
            </w:pPr>
            <w:r w:rsidRPr="00F769E0">
              <w:rPr>
                <w:rFonts w:cs="Tahoma"/>
                <w:lang w:val="sl-SI" w:eastAsia="en-GB"/>
              </w:rPr>
              <w:t>1 do 2 leti. Prijavitelj mora izbrati čas trajanja projekta ob prijavi.</w:t>
            </w:r>
          </w:p>
        </w:tc>
      </w:tr>
      <w:tr w:rsidR="00E03711" w:rsidRPr="00654F6A" w14:paraId="7D398AD6" w14:textId="77777777" w:rsidTr="001578A9">
        <w:trPr>
          <w:cantSplit/>
          <w:trHeight w:val="113"/>
        </w:trPr>
        <w:tc>
          <w:tcPr>
            <w:tcW w:w="843" w:type="pct"/>
            <w:tcBorders>
              <w:top w:val="dashed" w:sz="4" w:space="0" w:color="auto"/>
              <w:left w:val="single" w:sz="4" w:space="0" w:color="auto"/>
              <w:bottom w:val="dashed" w:sz="4" w:space="0" w:color="auto"/>
              <w:right w:val="single" w:sz="8" w:space="0" w:color="000000"/>
            </w:tcBorders>
            <w:shd w:val="clear" w:color="auto" w:fill="FFFFFF"/>
            <w:vAlign w:val="center"/>
          </w:tcPr>
          <w:p w14:paraId="7D398AD4" w14:textId="77777777" w:rsidR="00E03711" w:rsidRPr="00F769E0" w:rsidRDefault="00E03711" w:rsidP="00854DEA">
            <w:pPr>
              <w:pStyle w:val="GUIDE-NORMAL"/>
              <w:spacing w:before="60" w:after="60"/>
              <w:jc w:val="left"/>
              <w:rPr>
                <w:rFonts w:cs="Tahoma"/>
                <w:b/>
                <w:lang w:val="sl-SI" w:eastAsia="en-GB"/>
              </w:rPr>
            </w:pPr>
            <w:r w:rsidRPr="00F769E0">
              <w:rPr>
                <w:rFonts w:cs="Tahoma"/>
                <w:b/>
                <w:lang w:val="sl-SI" w:eastAsia="en-GB"/>
              </w:rPr>
              <w:t>Kje se prijaviti??</w:t>
            </w:r>
          </w:p>
        </w:tc>
        <w:tc>
          <w:tcPr>
            <w:tcW w:w="4157" w:type="pct"/>
            <w:tcBorders>
              <w:top w:val="dashed" w:sz="4" w:space="0" w:color="auto"/>
              <w:left w:val="nil"/>
              <w:bottom w:val="dashed" w:sz="4" w:space="0" w:color="auto"/>
              <w:right w:val="single" w:sz="4" w:space="0" w:color="auto"/>
            </w:tcBorders>
            <w:shd w:val="clear" w:color="auto" w:fill="FFFFFF"/>
            <w:vAlign w:val="center"/>
          </w:tcPr>
          <w:p w14:paraId="7D398AD5" w14:textId="77777777" w:rsidR="00E03711" w:rsidRPr="00F769E0" w:rsidRDefault="00E03711" w:rsidP="00854DEA">
            <w:pPr>
              <w:pStyle w:val="GUIDE-NORMAL"/>
              <w:spacing w:before="60" w:after="60"/>
              <w:rPr>
                <w:rFonts w:cs="Tahoma"/>
                <w:lang w:val="sl-SI" w:eastAsia="en-GB"/>
              </w:rPr>
            </w:pPr>
            <w:r w:rsidRPr="00F769E0">
              <w:rPr>
                <w:rFonts w:cs="Tahoma"/>
                <w:lang w:val="sl-SI" w:eastAsia="en-GB"/>
              </w:rPr>
              <w:t>Pri nacionalni agenciji v državi, v kateri ima organizacija prijaviteljica sedež.</w:t>
            </w:r>
          </w:p>
        </w:tc>
      </w:tr>
      <w:tr w:rsidR="00E03711" w:rsidRPr="00C60205" w14:paraId="7D398ADB" w14:textId="77777777" w:rsidTr="001578A9">
        <w:trPr>
          <w:cantSplit/>
          <w:trHeight w:val="113"/>
        </w:trPr>
        <w:tc>
          <w:tcPr>
            <w:tcW w:w="843" w:type="pct"/>
            <w:tcBorders>
              <w:top w:val="dashed" w:sz="4" w:space="0" w:color="auto"/>
              <w:left w:val="single" w:sz="4" w:space="0" w:color="auto"/>
              <w:bottom w:val="dashed" w:sz="4" w:space="0" w:color="auto"/>
              <w:right w:val="single" w:sz="8" w:space="0" w:color="000000"/>
            </w:tcBorders>
            <w:shd w:val="clear" w:color="auto" w:fill="FFFFFF"/>
            <w:vAlign w:val="center"/>
          </w:tcPr>
          <w:p w14:paraId="7D398AD7" w14:textId="77777777" w:rsidR="00E03711" w:rsidRPr="00F769E0" w:rsidRDefault="00E03711" w:rsidP="00854DEA">
            <w:pPr>
              <w:pStyle w:val="GUIDE-NORMAL"/>
              <w:spacing w:before="60" w:after="60"/>
              <w:jc w:val="left"/>
              <w:rPr>
                <w:rFonts w:cs="Tahoma"/>
                <w:b/>
                <w:lang w:val="sl-SI" w:eastAsia="en-GB"/>
              </w:rPr>
            </w:pPr>
            <w:r w:rsidRPr="00F769E0">
              <w:rPr>
                <w:rFonts w:cs="Tahoma"/>
                <w:b/>
                <w:lang w:val="sl-SI" w:eastAsia="en-GB"/>
              </w:rPr>
              <w:t>Kdaj se prijaviti?</w:t>
            </w:r>
          </w:p>
        </w:tc>
        <w:tc>
          <w:tcPr>
            <w:tcW w:w="4157" w:type="pct"/>
            <w:tcBorders>
              <w:top w:val="dashed" w:sz="4" w:space="0" w:color="auto"/>
              <w:left w:val="nil"/>
              <w:bottom w:val="dashed" w:sz="4" w:space="0" w:color="auto"/>
              <w:right w:val="single" w:sz="4" w:space="0" w:color="auto"/>
            </w:tcBorders>
            <w:shd w:val="clear" w:color="auto" w:fill="FFFFFF"/>
            <w:vAlign w:val="center"/>
          </w:tcPr>
          <w:p w14:paraId="7D398AD8" w14:textId="77777777" w:rsidR="00E03711" w:rsidRPr="00F769E0" w:rsidRDefault="00E03711" w:rsidP="00854DEA">
            <w:pPr>
              <w:pStyle w:val="GUIDE-NORMAL"/>
              <w:spacing w:before="60" w:after="60"/>
              <w:rPr>
                <w:rFonts w:cs="Tahoma"/>
                <w:lang w:val="sl-SI" w:eastAsia="en-GB"/>
              </w:rPr>
            </w:pPr>
            <w:r w:rsidRPr="00F769E0">
              <w:rPr>
                <w:rFonts w:cs="Tahoma"/>
                <w:lang w:val="sl-SI" w:eastAsia="en-GB"/>
              </w:rPr>
              <w:t xml:space="preserve">Prijavitelji morajo vlogo za nepovratna sredstva oddati do </w:t>
            </w:r>
            <w:r w:rsidRPr="00860232">
              <w:rPr>
                <w:rFonts w:cs="Tahoma"/>
                <w:b/>
                <w:bCs/>
                <w:lang w:val="sl-SI" w:eastAsia="en-GB"/>
              </w:rPr>
              <w:t>5. februarja do 12. ure (opoldne po bruseljskem času)</w:t>
            </w:r>
            <w:r w:rsidRPr="00F769E0">
              <w:rPr>
                <w:rFonts w:cs="Tahoma"/>
                <w:lang w:val="sl-SI" w:eastAsia="en-GB"/>
              </w:rPr>
              <w:t xml:space="preserve"> za projekte, ki se začnejo med 1. junijem in 31. decembrom istega leta.</w:t>
            </w:r>
          </w:p>
          <w:p w14:paraId="7D398AD9" w14:textId="77777777" w:rsidR="00E03711" w:rsidRPr="00F769E0" w:rsidRDefault="00E03711" w:rsidP="00854DEA">
            <w:pPr>
              <w:pStyle w:val="GUIDE-NORMAL"/>
              <w:spacing w:before="60" w:after="60"/>
              <w:rPr>
                <w:rFonts w:cs="Tahoma"/>
                <w:b/>
                <w:lang w:val="sl-SI" w:eastAsia="en-GB"/>
              </w:rPr>
            </w:pPr>
            <w:r w:rsidRPr="00F769E0">
              <w:rPr>
                <w:rFonts w:cs="Tahoma"/>
                <w:b/>
                <w:lang w:val="sl-SI" w:eastAsia="en-GB"/>
              </w:rPr>
              <w:t>Možen dodatni rok:</w:t>
            </w:r>
          </w:p>
          <w:p w14:paraId="7D398ADA" w14:textId="77777777" w:rsidR="00E03711" w:rsidRPr="00F769E0" w:rsidRDefault="00E03711" w:rsidP="00C7647D">
            <w:pPr>
              <w:pStyle w:val="GUIDE-NORMAL"/>
              <w:spacing w:before="60" w:after="60"/>
              <w:rPr>
                <w:rFonts w:cs="Tahoma"/>
                <w:lang w:val="sl-SI" w:eastAsia="en-GB"/>
              </w:rPr>
            </w:pPr>
            <w:r w:rsidRPr="00F769E0">
              <w:rPr>
                <w:rFonts w:cs="Tahoma"/>
                <w:lang w:val="sl-SI" w:eastAsia="en-GB"/>
              </w:rPr>
              <w:t xml:space="preserve">Nacionalne agencije lahko organizirajo drugi krog prijav, če ostanejo neporabljena sredstva, za katerega tudi veljajo pravila iz tega vodnika. Nacionalne agencije bodo možnosti za to objavile na svojih spletnih straneh. Če je organiziran drugi krog, morajo prijavitelji oddati svojo vlogo za nepovratna sredstva do </w:t>
            </w:r>
            <w:r w:rsidRPr="00860232">
              <w:rPr>
                <w:rFonts w:cs="Tahoma"/>
                <w:b/>
                <w:bCs/>
                <w:lang w:val="sl-SI" w:eastAsia="en-GB"/>
              </w:rPr>
              <w:t>1. oktobra do 12. ure (opoldne po bruseljskem času)</w:t>
            </w:r>
            <w:r w:rsidRPr="00F769E0">
              <w:rPr>
                <w:rFonts w:cs="Tahoma"/>
                <w:lang w:val="sl-SI" w:eastAsia="en-GB"/>
              </w:rPr>
              <w:t xml:space="preserve"> za projekte, ki se začnejo med 1. januarjem in 31. majem naslednjega leta.</w:t>
            </w:r>
          </w:p>
        </w:tc>
      </w:tr>
      <w:tr w:rsidR="00E03711" w:rsidRPr="00C60205" w14:paraId="7D398ADE" w14:textId="77777777" w:rsidTr="001578A9">
        <w:trPr>
          <w:cantSplit/>
          <w:trHeight w:val="113"/>
        </w:trPr>
        <w:tc>
          <w:tcPr>
            <w:tcW w:w="843" w:type="pct"/>
            <w:tcBorders>
              <w:top w:val="dashed" w:sz="4" w:space="0" w:color="auto"/>
              <w:left w:val="single" w:sz="4" w:space="0" w:color="auto"/>
              <w:bottom w:val="dashed" w:sz="4" w:space="0" w:color="auto"/>
              <w:right w:val="single" w:sz="8" w:space="0" w:color="000000"/>
            </w:tcBorders>
            <w:shd w:val="clear" w:color="auto" w:fill="FFFFFF"/>
            <w:vAlign w:val="center"/>
          </w:tcPr>
          <w:p w14:paraId="7D398ADC" w14:textId="77777777" w:rsidR="00E03711" w:rsidRPr="00F769E0" w:rsidRDefault="00E03711" w:rsidP="00854DEA">
            <w:pPr>
              <w:pStyle w:val="GUIDE-NORMAL"/>
              <w:spacing w:before="60" w:after="60"/>
              <w:jc w:val="left"/>
              <w:rPr>
                <w:rFonts w:cs="Tahoma"/>
                <w:b/>
                <w:lang w:val="sl-SI" w:eastAsia="en-GB"/>
              </w:rPr>
            </w:pPr>
            <w:r w:rsidRPr="00F769E0">
              <w:rPr>
                <w:rFonts w:cs="Tahoma"/>
                <w:b/>
                <w:lang w:val="sl-SI" w:eastAsia="en-GB"/>
              </w:rPr>
              <w:t>Kako se prijaviti?</w:t>
            </w:r>
          </w:p>
        </w:tc>
        <w:tc>
          <w:tcPr>
            <w:tcW w:w="4157" w:type="pct"/>
            <w:tcBorders>
              <w:top w:val="dashed" w:sz="4" w:space="0" w:color="auto"/>
              <w:left w:val="nil"/>
              <w:bottom w:val="dashed" w:sz="4" w:space="0" w:color="auto"/>
              <w:right w:val="single" w:sz="4" w:space="0" w:color="auto"/>
            </w:tcBorders>
            <w:shd w:val="clear" w:color="auto" w:fill="FFFFFF"/>
            <w:vAlign w:val="center"/>
          </w:tcPr>
          <w:p w14:paraId="7D398ADD" w14:textId="77777777" w:rsidR="00E03711" w:rsidRPr="00F769E0" w:rsidRDefault="00E03711" w:rsidP="00854DEA">
            <w:pPr>
              <w:pStyle w:val="GUIDE-NORMAL"/>
              <w:spacing w:before="60" w:after="60"/>
              <w:rPr>
                <w:rFonts w:cs="Tahoma"/>
                <w:lang w:val="sl-SI" w:eastAsia="en-GB"/>
              </w:rPr>
            </w:pPr>
            <w:r w:rsidRPr="00F769E0">
              <w:rPr>
                <w:rFonts w:cs="Tahoma"/>
                <w:lang w:val="sl-SI" w:eastAsia="en-GB"/>
              </w:rPr>
              <w:t>Za podrobnosti o postopku prijave glej del C tega vodnika.</w:t>
            </w:r>
          </w:p>
        </w:tc>
      </w:tr>
      <w:tr w:rsidR="00E03711" w:rsidRPr="00C60205" w14:paraId="7D398AE1" w14:textId="77777777" w:rsidTr="001578A9">
        <w:trPr>
          <w:cantSplit/>
          <w:trHeight w:val="113"/>
        </w:trPr>
        <w:tc>
          <w:tcPr>
            <w:tcW w:w="843" w:type="pct"/>
            <w:tcBorders>
              <w:top w:val="dashed" w:sz="4" w:space="0" w:color="auto"/>
              <w:left w:val="single" w:sz="4" w:space="0" w:color="auto"/>
              <w:bottom w:val="single" w:sz="4" w:space="0" w:color="auto"/>
              <w:right w:val="single" w:sz="8" w:space="0" w:color="000000"/>
            </w:tcBorders>
            <w:shd w:val="clear" w:color="auto" w:fill="FFFFFF"/>
            <w:vAlign w:val="center"/>
          </w:tcPr>
          <w:p w14:paraId="7D398ADF" w14:textId="77777777" w:rsidR="00E03711" w:rsidRPr="00F769E0" w:rsidRDefault="00E03711" w:rsidP="00854DEA">
            <w:pPr>
              <w:pStyle w:val="GUIDE-NORMAL"/>
              <w:spacing w:before="60" w:after="60"/>
              <w:jc w:val="left"/>
              <w:rPr>
                <w:rFonts w:cs="Tahoma"/>
                <w:b/>
                <w:lang w:val="sl-SI" w:eastAsia="en-GB"/>
              </w:rPr>
            </w:pPr>
            <w:r w:rsidRPr="00F769E0">
              <w:rPr>
                <w:rFonts w:cs="Tahoma"/>
                <w:b/>
                <w:lang w:val="sl-SI" w:eastAsia="en-GB"/>
              </w:rPr>
              <w:t>Druga merila</w:t>
            </w:r>
          </w:p>
        </w:tc>
        <w:tc>
          <w:tcPr>
            <w:tcW w:w="4157" w:type="pct"/>
            <w:tcBorders>
              <w:top w:val="dashed" w:sz="4" w:space="0" w:color="auto"/>
              <w:left w:val="nil"/>
              <w:bottom w:val="single" w:sz="4" w:space="0" w:color="auto"/>
              <w:right w:val="single" w:sz="4" w:space="0" w:color="auto"/>
            </w:tcBorders>
            <w:shd w:val="clear" w:color="auto" w:fill="FFFFFF"/>
            <w:vAlign w:val="center"/>
          </w:tcPr>
          <w:p w14:paraId="7D398AE0" w14:textId="77777777" w:rsidR="00E03711" w:rsidRPr="00F769E0" w:rsidRDefault="00E03711" w:rsidP="00854DEA">
            <w:pPr>
              <w:pStyle w:val="GUIDE-NORMAL"/>
              <w:spacing w:before="60" w:after="60"/>
              <w:rPr>
                <w:rFonts w:cs="Tahoma"/>
                <w:lang w:val="sl-SI" w:eastAsia="en-GB"/>
              </w:rPr>
            </w:pPr>
            <w:r w:rsidRPr="00F769E0">
              <w:rPr>
                <w:rFonts w:cs="Tahoma"/>
                <w:lang w:val="sl-SI" w:eastAsia="en-GB"/>
              </w:rPr>
              <w:t>Ponudnik PIU ali nacionalni konzorcij za mobilnost se lahko prijavi samo enkrat v posameznem krogu izbirnega postopka. Vendar je lahko ponudnik PIU član oziroma koordinira več različnih nacionalnih konzorcijev za mobilnost, ki se prijavljajo hkrati.</w:t>
            </w:r>
          </w:p>
        </w:tc>
      </w:tr>
    </w:tbl>
    <w:p w14:paraId="7D398AE2" w14:textId="77777777" w:rsidR="00E03711" w:rsidRPr="001048FE" w:rsidRDefault="00E03711" w:rsidP="001578A9">
      <w:pPr>
        <w:pStyle w:val="Guide-Heading7"/>
        <w:rPr>
          <w:lang w:val="sl-SI"/>
        </w:rPr>
      </w:pPr>
      <w:r w:rsidRPr="001048FE">
        <w:rPr>
          <w:lang w:val="sl-SI"/>
        </w:rPr>
        <w:t>Dodatna merila za upravičenost za mobilnost dijakov</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68"/>
        <w:gridCol w:w="7722"/>
      </w:tblGrid>
      <w:tr w:rsidR="00E03711" w:rsidRPr="00C60205" w14:paraId="7D398AE6" w14:textId="77777777" w:rsidTr="001578A9">
        <w:trPr>
          <w:cantSplit/>
          <w:trHeight w:val="283"/>
        </w:trPr>
        <w:tc>
          <w:tcPr>
            <w:tcW w:w="844" w:type="pct"/>
            <w:shd w:val="clear" w:color="auto" w:fill="FFFFFF"/>
            <w:vAlign w:val="center"/>
          </w:tcPr>
          <w:p w14:paraId="7D398AE3" w14:textId="77777777" w:rsidR="00E03711" w:rsidRPr="00F769E0" w:rsidRDefault="00E03711" w:rsidP="000A7C98">
            <w:pPr>
              <w:pStyle w:val="Guide-Table"/>
              <w:spacing w:before="60" w:after="60"/>
              <w:jc w:val="left"/>
              <w:rPr>
                <w:rFonts w:cs="Tahoma"/>
                <w:b/>
                <w:lang w:val="sl-SI" w:eastAsia="en-GB"/>
              </w:rPr>
            </w:pPr>
            <w:r w:rsidRPr="00F769E0">
              <w:rPr>
                <w:rFonts w:cs="Tahoma"/>
                <w:b/>
                <w:lang w:val="sl-SI" w:eastAsia="en-GB"/>
              </w:rPr>
              <w:t>Trajanje aktivnosti</w:t>
            </w:r>
          </w:p>
        </w:tc>
        <w:tc>
          <w:tcPr>
            <w:tcW w:w="4156" w:type="pct"/>
            <w:shd w:val="clear" w:color="auto" w:fill="FFFFFF"/>
            <w:vAlign w:val="center"/>
          </w:tcPr>
          <w:p w14:paraId="7D398AE4" w14:textId="77777777" w:rsidR="00E03711" w:rsidRPr="001048FE" w:rsidRDefault="00E03711" w:rsidP="005115F2">
            <w:pPr>
              <w:pStyle w:val="Guide-NormalBulletpoints"/>
              <w:numPr>
                <w:ilvl w:val="0"/>
                <w:numId w:val="228"/>
              </w:numPr>
              <w:spacing w:before="60"/>
              <w:rPr>
                <w:lang w:val="sl-SI"/>
              </w:rPr>
            </w:pPr>
            <w:r w:rsidRPr="00FC4A70">
              <w:rPr>
                <w:rFonts w:eastAsia="Calibri" w:cs="Calibri"/>
                <w:bdr w:val="nil"/>
                <w:shd w:val="clear" w:color="auto" w:fill="auto"/>
                <w:lang w:val="sl-SI" w:eastAsia="zh-CN"/>
              </w:rPr>
              <w:t>Mobilnost pri ponudnikih PIU in/ali družbah v tujini, od 2 tednov (tj. 10 delovnih dni) do največ 3 mesecev, v kar ni zajet čas poti;</w:t>
            </w:r>
          </w:p>
          <w:p w14:paraId="7D398AE5" w14:textId="77777777" w:rsidR="00E03711" w:rsidRPr="001048FE" w:rsidRDefault="00E03711" w:rsidP="005115F2">
            <w:pPr>
              <w:pStyle w:val="Guide-NormalBulletpoints"/>
              <w:numPr>
                <w:ilvl w:val="0"/>
                <w:numId w:val="228"/>
              </w:numPr>
              <w:spacing w:before="60"/>
              <w:rPr>
                <w:lang w:val="sl-SI"/>
              </w:rPr>
            </w:pPr>
            <w:r w:rsidRPr="001048FE">
              <w:rPr>
                <w:lang w:val="sl-SI"/>
              </w:rPr>
              <w:t>Dolgotrajna mobilnost pri ponudnikih PIU in/ali družbah v tujini (ErasmusPro), od 3 do 12 mesecev, v kar ni zajet čas poti.</w:t>
            </w:r>
          </w:p>
        </w:tc>
      </w:tr>
      <w:tr w:rsidR="00E03711" w:rsidRPr="00C60205" w14:paraId="7D398AE9" w14:textId="77777777" w:rsidTr="001578A9">
        <w:trPr>
          <w:cantSplit/>
          <w:trHeight w:val="283"/>
        </w:trPr>
        <w:tc>
          <w:tcPr>
            <w:tcW w:w="844" w:type="pct"/>
            <w:shd w:val="clear" w:color="auto" w:fill="FFFFFF"/>
            <w:vAlign w:val="center"/>
          </w:tcPr>
          <w:p w14:paraId="7D398AE7" w14:textId="77777777" w:rsidR="00E03711" w:rsidRPr="00F769E0" w:rsidRDefault="00E03711" w:rsidP="000A7C98">
            <w:pPr>
              <w:pStyle w:val="Guide-Table"/>
              <w:spacing w:before="60" w:after="60"/>
              <w:jc w:val="left"/>
              <w:rPr>
                <w:rFonts w:cs="Tahoma"/>
                <w:b/>
                <w:lang w:val="sl-SI" w:eastAsia="en-GB"/>
              </w:rPr>
            </w:pPr>
            <w:r w:rsidRPr="00F769E0">
              <w:rPr>
                <w:rFonts w:cs="Tahoma"/>
                <w:b/>
                <w:lang w:val="sl-SI" w:eastAsia="en-GB"/>
              </w:rPr>
              <w:t>Kraji izvajanja aktivnosti</w:t>
            </w:r>
          </w:p>
        </w:tc>
        <w:tc>
          <w:tcPr>
            <w:tcW w:w="4156" w:type="pct"/>
            <w:shd w:val="clear" w:color="auto" w:fill="FFFFFF"/>
            <w:vAlign w:val="center"/>
          </w:tcPr>
          <w:p w14:paraId="7D398AE8" w14:textId="77777777" w:rsidR="00E03711" w:rsidRPr="00F769E0" w:rsidRDefault="00E03711" w:rsidP="000A7C98">
            <w:pPr>
              <w:pStyle w:val="GUIDE-NORMAL"/>
              <w:spacing w:before="60" w:after="60"/>
              <w:rPr>
                <w:rFonts w:cs="Tahoma"/>
                <w:lang w:val="sl-SI" w:eastAsia="en-GB"/>
              </w:rPr>
            </w:pPr>
            <w:r w:rsidRPr="00F769E0">
              <w:rPr>
                <w:rFonts w:cs="Tahoma"/>
                <w:lang w:val="sl-SI" w:eastAsia="en-GB"/>
              </w:rPr>
              <w:t>Udeleženci morajo opraviti aktivnost mobilnosti v tujini, v drugi državi Programa.</w:t>
            </w:r>
          </w:p>
        </w:tc>
      </w:tr>
      <w:tr w:rsidR="00E03711" w:rsidRPr="00C60205" w14:paraId="7D398AED" w14:textId="77777777" w:rsidTr="001578A9">
        <w:trPr>
          <w:cantSplit/>
          <w:trHeight w:val="283"/>
        </w:trPr>
        <w:tc>
          <w:tcPr>
            <w:tcW w:w="844" w:type="pct"/>
            <w:shd w:val="clear" w:color="auto" w:fill="FFFFFF"/>
            <w:vAlign w:val="center"/>
          </w:tcPr>
          <w:p w14:paraId="7D398AEA" w14:textId="77777777" w:rsidR="00E03711" w:rsidRPr="00F769E0" w:rsidRDefault="00E03711" w:rsidP="000A7C98">
            <w:pPr>
              <w:pStyle w:val="Guide-Table"/>
              <w:spacing w:before="60" w:after="60"/>
              <w:jc w:val="left"/>
              <w:rPr>
                <w:rFonts w:cs="Tahoma"/>
                <w:b/>
                <w:lang w:val="sl-SI" w:eastAsia="en-GB"/>
              </w:rPr>
            </w:pPr>
            <w:r w:rsidRPr="00F769E0">
              <w:rPr>
                <w:rFonts w:cs="Tahoma"/>
                <w:b/>
                <w:lang w:val="sl-SI" w:eastAsia="en-GB"/>
              </w:rPr>
              <w:t>Upravičeni udeleženci</w:t>
            </w:r>
          </w:p>
        </w:tc>
        <w:tc>
          <w:tcPr>
            <w:tcW w:w="4156" w:type="pct"/>
            <w:shd w:val="clear" w:color="auto" w:fill="FFFFFF"/>
            <w:vAlign w:val="center"/>
          </w:tcPr>
          <w:p w14:paraId="7D398AEB" w14:textId="77777777" w:rsidR="00E03711" w:rsidRPr="00F769E0" w:rsidRDefault="00E03711" w:rsidP="000A7C98">
            <w:pPr>
              <w:pStyle w:val="GUIDE-NORMAL"/>
              <w:spacing w:before="60" w:after="60"/>
              <w:rPr>
                <w:rFonts w:cs="Tahoma"/>
                <w:lang w:val="sl-SI" w:eastAsia="en-GB"/>
              </w:rPr>
            </w:pPr>
            <w:r w:rsidRPr="00F769E0">
              <w:rPr>
                <w:rFonts w:cs="Tahoma"/>
                <w:lang w:val="sl-SI" w:eastAsia="en-GB"/>
              </w:rPr>
              <w:t>Dijaki v PIU (vključno z vajenci), katerih šolanje običajno vključuje učenje na delovnem mestu, iz države organizacije pošiljateljice. Spremljevalci dijakov v PIU v tujini.</w:t>
            </w:r>
          </w:p>
          <w:p w14:paraId="7D398AEC" w14:textId="77777777" w:rsidR="00E03711" w:rsidRPr="00F769E0" w:rsidRDefault="00E03711" w:rsidP="000A7C98">
            <w:pPr>
              <w:pStyle w:val="GUIDE-NORMAL"/>
              <w:spacing w:before="60" w:after="60"/>
              <w:rPr>
                <w:rFonts w:cs="Tahoma"/>
                <w:lang w:val="sl-SI" w:eastAsia="en-GB"/>
              </w:rPr>
            </w:pPr>
            <w:r w:rsidRPr="00F769E0">
              <w:rPr>
                <w:rFonts w:cs="Tahoma"/>
                <w:lang w:val="sl-SI" w:eastAsia="en-GB"/>
              </w:rPr>
              <w:t>V aktivnosti lahko sodelujejo tudi dijaki, ki so nedavno zaključili šolanje pri ponudniku PIU (vključno z nekdanjimi vajenci). Taki dijaki, ki so pred kratkim zaključili šolanje, se morajo udeležiti prakse za usposabljanje v tujini v roku 12 mesecev po zaključku šolanja. Za tiste države, kjer se morajo dijaki, ki so pred kratkim zaključili šolanje, po zaključku vpisati v obvezno civilno ali vojaško služenje vojaškega roka, se obdobje upravičenosti podaljša za obdobje tega služenja.</w:t>
            </w:r>
          </w:p>
        </w:tc>
      </w:tr>
      <w:tr w:rsidR="00E03711" w:rsidRPr="00A6094F" w14:paraId="7D398AF5" w14:textId="77777777" w:rsidTr="001578A9">
        <w:trPr>
          <w:cantSplit/>
          <w:trHeight w:val="283"/>
        </w:trPr>
        <w:tc>
          <w:tcPr>
            <w:tcW w:w="844" w:type="pct"/>
            <w:shd w:val="clear" w:color="auto" w:fill="FFFFFF"/>
            <w:vAlign w:val="center"/>
          </w:tcPr>
          <w:p w14:paraId="7D398AEE" w14:textId="77777777" w:rsidR="00E03711" w:rsidRPr="00F769E0" w:rsidRDefault="00E03711" w:rsidP="000A7C98">
            <w:pPr>
              <w:pStyle w:val="Guide-Table"/>
              <w:spacing w:before="60" w:after="60"/>
              <w:jc w:val="left"/>
              <w:rPr>
                <w:rFonts w:cs="Tahoma"/>
                <w:b/>
                <w:lang w:val="sl-SI" w:eastAsia="en-GB"/>
              </w:rPr>
            </w:pPr>
            <w:r w:rsidRPr="00F769E0">
              <w:rPr>
                <w:rFonts w:cs="Tahoma"/>
                <w:b/>
                <w:lang w:val="sl-SI" w:eastAsia="en-GB"/>
              </w:rPr>
              <w:t>Druga merila</w:t>
            </w:r>
          </w:p>
        </w:tc>
        <w:tc>
          <w:tcPr>
            <w:tcW w:w="4156" w:type="pct"/>
            <w:shd w:val="clear" w:color="auto" w:fill="FFFFFF"/>
            <w:vAlign w:val="center"/>
          </w:tcPr>
          <w:p w14:paraId="7D398AEF" w14:textId="77777777" w:rsidR="00E03711" w:rsidRPr="00F769E0" w:rsidRDefault="00E03711" w:rsidP="000A7C98">
            <w:pPr>
              <w:pStyle w:val="GUIDE-NORMAL"/>
              <w:spacing w:before="60" w:after="60"/>
              <w:rPr>
                <w:rFonts w:cs="Tahoma"/>
                <w:b/>
                <w:lang w:val="sl-SI" w:eastAsia="en-GB"/>
              </w:rPr>
            </w:pPr>
            <w:r w:rsidRPr="00F769E0">
              <w:rPr>
                <w:rFonts w:cs="Tahoma"/>
                <w:b/>
                <w:lang w:val="sl-SI" w:eastAsia="en-GB"/>
              </w:rPr>
              <w:t>Pripravljalni obiski</w:t>
            </w:r>
          </w:p>
          <w:p w14:paraId="7D398AF0" w14:textId="77777777" w:rsidR="00E03711" w:rsidRPr="00F769E0" w:rsidRDefault="00E03711" w:rsidP="000A7C98">
            <w:pPr>
              <w:pStyle w:val="GUIDE-NORMAL"/>
              <w:spacing w:before="60" w:after="60"/>
              <w:rPr>
                <w:rFonts w:cs="Tahoma"/>
                <w:lang w:val="sl-SI" w:eastAsia="en-GB"/>
              </w:rPr>
            </w:pPr>
            <w:r w:rsidRPr="00F769E0">
              <w:rPr>
                <w:rFonts w:cs="Tahoma"/>
                <w:lang w:val="sl-SI" w:eastAsia="en-GB"/>
              </w:rPr>
              <w:t>Za projekte, ki vključujejo aktivnosti ErasmusPro, lahko prijavitelj zaprosi za pripravljalne obiske osebja, ki se ukvarja z organizacijo aktivnosti ErasmusPro in ki sodeluje z organizacijo pošiljateljico ali članom konzorcija (na primer učiteljev, vodij usposabljanja, pristojnih za mednarodno mobilnost itd.).</w:t>
            </w:r>
          </w:p>
          <w:p w14:paraId="7D398AF1" w14:textId="77777777" w:rsidR="00E03711" w:rsidRPr="00F769E0" w:rsidRDefault="00E03711" w:rsidP="000A7C98">
            <w:pPr>
              <w:pStyle w:val="GUIDE-NORMAL"/>
              <w:spacing w:before="60" w:after="60"/>
              <w:rPr>
                <w:rFonts w:cs="Tahoma"/>
                <w:lang w:val="sl-SI" w:eastAsia="en-GB"/>
              </w:rPr>
            </w:pPr>
            <w:r w:rsidRPr="00F769E0">
              <w:rPr>
                <w:rFonts w:cs="Tahoma"/>
                <w:lang w:val="sl-SI" w:eastAsia="en-GB"/>
              </w:rPr>
              <w:t>V okviru pripravljalnih obiskov je treba upoštevati naslednja merila za upravičenost:</w:t>
            </w:r>
          </w:p>
          <w:p w14:paraId="7D398AF2" w14:textId="77777777" w:rsidR="00E03711" w:rsidRPr="001048FE" w:rsidRDefault="00E03711" w:rsidP="005115F2">
            <w:pPr>
              <w:pStyle w:val="Guide-NormalBulletpoints"/>
              <w:numPr>
                <w:ilvl w:val="0"/>
                <w:numId w:val="229"/>
              </w:numPr>
              <w:spacing w:before="60"/>
              <w:rPr>
                <w:lang w:val="sl-SI"/>
              </w:rPr>
            </w:pPr>
            <w:r w:rsidRPr="001048FE">
              <w:rPr>
                <w:lang w:val="sl-SI"/>
              </w:rPr>
              <w:t>trajanje: največ 3 delovne dni, v kar ni zajet čas poti;</w:t>
            </w:r>
          </w:p>
          <w:p w14:paraId="7D398AF3" w14:textId="77777777" w:rsidR="00E03711" w:rsidRPr="001048FE" w:rsidRDefault="00E03711" w:rsidP="005115F2">
            <w:pPr>
              <w:pStyle w:val="Guide-NormalBulletpoints"/>
              <w:numPr>
                <w:ilvl w:val="0"/>
                <w:numId w:val="229"/>
              </w:numPr>
              <w:spacing w:before="60"/>
              <w:rPr>
                <w:lang w:val="sl-SI"/>
              </w:rPr>
            </w:pPr>
            <w:r w:rsidRPr="001048FE">
              <w:rPr>
                <w:lang w:val="sl-SI"/>
              </w:rPr>
              <w:t>vsak pripravljalni obisk je omejen na enega udeleženca;</w:t>
            </w:r>
          </w:p>
          <w:p w14:paraId="7D398AF4" w14:textId="77777777" w:rsidR="00E03711" w:rsidRPr="001048FE" w:rsidRDefault="00E03711" w:rsidP="005115F2">
            <w:pPr>
              <w:pStyle w:val="Guide-NormalBulletpoints"/>
              <w:numPr>
                <w:ilvl w:val="0"/>
                <w:numId w:val="229"/>
              </w:numPr>
              <w:spacing w:before="60"/>
              <w:rPr>
                <w:lang w:val="sl-SI"/>
              </w:rPr>
            </w:pPr>
            <w:r w:rsidRPr="001048FE">
              <w:rPr>
                <w:lang w:val="sl-SI"/>
              </w:rPr>
              <w:t>organizacija gostiteljica lahko izvede samo en pripravljalni obisk.</w:t>
            </w:r>
          </w:p>
        </w:tc>
      </w:tr>
    </w:tbl>
    <w:p w14:paraId="7D398AF6" w14:textId="77777777" w:rsidR="00E03711" w:rsidRPr="001048FE" w:rsidRDefault="00E03711" w:rsidP="00FD7214">
      <w:pPr>
        <w:pStyle w:val="Guide-Heading7"/>
        <w:rPr>
          <w:lang w:val="sl-SI"/>
        </w:rPr>
      </w:pPr>
      <w:r w:rsidRPr="001048FE">
        <w:rPr>
          <w:lang w:val="sl-SI"/>
        </w:rPr>
        <w:t>Dodatna merila za upravičenost za mobilnost osebja</w:t>
      </w:r>
    </w:p>
    <w:tbl>
      <w:tblPr>
        <w:tblW w:w="5000" w:type="pct"/>
        <w:tblBorders>
          <w:top w:val="single" w:sz="4" w:space="0" w:color="auto"/>
          <w:left w:val="single" w:sz="4" w:space="0" w:color="auto"/>
          <w:bottom w:val="single" w:sz="8" w:space="0" w:color="000000"/>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68"/>
        <w:gridCol w:w="7722"/>
      </w:tblGrid>
      <w:tr w:rsidR="00E03711" w:rsidRPr="00A6094F" w14:paraId="7D398AFA" w14:textId="77777777" w:rsidTr="00B932BF">
        <w:trPr>
          <w:cantSplit/>
          <w:trHeight w:val="57"/>
        </w:trPr>
        <w:tc>
          <w:tcPr>
            <w:tcW w:w="844" w:type="pct"/>
            <w:shd w:val="clear" w:color="auto" w:fill="FFFFFF"/>
            <w:vAlign w:val="center"/>
          </w:tcPr>
          <w:p w14:paraId="7D398AF7" w14:textId="77777777" w:rsidR="00E03711" w:rsidRPr="00F769E0" w:rsidRDefault="00E03711" w:rsidP="00C74BB2">
            <w:pPr>
              <w:pStyle w:val="Guide-Table"/>
              <w:spacing w:before="60" w:after="60"/>
              <w:jc w:val="left"/>
              <w:rPr>
                <w:rFonts w:cs="Tahoma"/>
                <w:b/>
                <w:lang w:val="sl-SI" w:eastAsia="en-GB"/>
              </w:rPr>
            </w:pPr>
            <w:r w:rsidRPr="00F769E0">
              <w:rPr>
                <w:rFonts w:cs="Tahoma"/>
                <w:b/>
                <w:lang w:val="sl-SI" w:eastAsia="en-GB"/>
              </w:rPr>
              <w:t xml:space="preserve">Trajanje aktivnosti </w:t>
            </w:r>
          </w:p>
        </w:tc>
        <w:tc>
          <w:tcPr>
            <w:tcW w:w="4156" w:type="pct"/>
            <w:shd w:val="clear" w:color="auto" w:fill="FFFFFF"/>
          </w:tcPr>
          <w:p w14:paraId="7D398AF8" w14:textId="77777777" w:rsidR="00E03711" w:rsidRPr="00F769E0" w:rsidRDefault="00E03711" w:rsidP="00C74BB2">
            <w:pPr>
              <w:pStyle w:val="GUIDE-NORMAL"/>
              <w:spacing w:before="60" w:after="60"/>
              <w:rPr>
                <w:rFonts w:cs="Tahoma"/>
                <w:lang w:val="sl-SI" w:eastAsia="en-GB"/>
              </w:rPr>
            </w:pPr>
            <w:r w:rsidRPr="00F769E0">
              <w:rPr>
                <w:rFonts w:cs="Tahoma"/>
                <w:lang w:val="sl-SI" w:eastAsia="en-GB"/>
              </w:rPr>
              <w:t>Od 2 dni do 2 mesecev, v kar ni zajet čas poti.</w:t>
            </w:r>
          </w:p>
          <w:p w14:paraId="7D398AF9" w14:textId="77777777" w:rsidR="00E03711" w:rsidRPr="00F769E0" w:rsidRDefault="00E03711" w:rsidP="00C74BB2">
            <w:pPr>
              <w:pStyle w:val="GUIDE-NORMAL"/>
              <w:spacing w:before="60" w:after="60"/>
              <w:rPr>
                <w:rFonts w:cs="Tahoma"/>
                <w:lang w:val="sl-SI" w:eastAsia="en-GB"/>
              </w:rPr>
            </w:pPr>
            <w:r w:rsidRPr="00F769E0">
              <w:rPr>
                <w:rFonts w:cs="Tahoma"/>
                <w:lang w:val="sl-SI" w:eastAsia="en-GB"/>
              </w:rPr>
              <w:t>Od tega morata biti najmanj 2 zaporedna dneva.</w:t>
            </w:r>
          </w:p>
        </w:tc>
      </w:tr>
      <w:tr w:rsidR="00E03711" w:rsidRPr="00A6094F" w14:paraId="7D398AFD" w14:textId="77777777" w:rsidTr="00B932BF">
        <w:trPr>
          <w:cantSplit/>
          <w:trHeight w:val="57"/>
        </w:trPr>
        <w:tc>
          <w:tcPr>
            <w:tcW w:w="844" w:type="pct"/>
            <w:shd w:val="clear" w:color="auto" w:fill="FFFFFF"/>
            <w:vAlign w:val="center"/>
          </w:tcPr>
          <w:p w14:paraId="7D398AFB" w14:textId="77777777" w:rsidR="00E03711" w:rsidRPr="00F769E0" w:rsidRDefault="00E03711" w:rsidP="00C74BB2">
            <w:pPr>
              <w:pStyle w:val="Guide-Table"/>
              <w:spacing w:before="60" w:after="60"/>
              <w:jc w:val="left"/>
              <w:rPr>
                <w:rFonts w:cs="Tahoma"/>
                <w:b/>
                <w:lang w:val="sl-SI" w:eastAsia="en-GB"/>
              </w:rPr>
            </w:pPr>
            <w:r w:rsidRPr="00F769E0">
              <w:rPr>
                <w:rFonts w:cs="Tahoma"/>
                <w:b/>
                <w:lang w:val="sl-SI" w:eastAsia="en-GB"/>
              </w:rPr>
              <w:t>Kraji izvajanja aktivnosti</w:t>
            </w:r>
          </w:p>
        </w:tc>
        <w:tc>
          <w:tcPr>
            <w:tcW w:w="4156" w:type="pct"/>
            <w:shd w:val="clear" w:color="auto" w:fill="FFFFFF"/>
            <w:vAlign w:val="center"/>
          </w:tcPr>
          <w:p w14:paraId="7D398AFC" w14:textId="77777777" w:rsidR="00E03711" w:rsidRPr="00F769E0" w:rsidRDefault="00E03711" w:rsidP="00C74BB2">
            <w:pPr>
              <w:pStyle w:val="GUIDE-NORMAL"/>
              <w:spacing w:before="60" w:after="60"/>
              <w:rPr>
                <w:rFonts w:cs="Tahoma"/>
                <w:lang w:val="sl-SI" w:eastAsia="en-GB"/>
              </w:rPr>
            </w:pPr>
            <w:r w:rsidRPr="00F769E0">
              <w:rPr>
                <w:rFonts w:cs="Tahoma"/>
                <w:lang w:val="sl-SI" w:eastAsia="en-GB"/>
              </w:rPr>
              <w:t>Udeleženci morajo opraviti aktivnost mobilnosti v tujini, v drugi državi Programa.</w:t>
            </w:r>
          </w:p>
        </w:tc>
      </w:tr>
      <w:tr w:rsidR="00E03711" w:rsidRPr="00A6094F" w14:paraId="7D398B03" w14:textId="77777777" w:rsidTr="00B932BF">
        <w:trPr>
          <w:cantSplit/>
          <w:trHeight w:val="57"/>
        </w:trPr>
        <w:tc>
          <w:tcPr>
            <w:tcW w:w="844" w:type="pct"/>
            <w:shd w:val="clear" w:color="auto" w:fill="FFFFFF"/>
            <w:vAlign w:val="center"/>
          </w:tcPr>
          <w:p w14:paraId="7D398AFE" w14:textId="77777777" w:rsidR="00E03711" w:rsidRPr="00F769E0" w:rsidRDefault="00E03711" w:rsidP="00C74BB2">
            <w:pPr>
              <w:pStyle w:val="Guide-Table"/>
              <w:spacing w:before="60" w:after="60"/>
              <w:jc w:val="left"/>
              <w:rPr>
                <w:rFonts w:cs="Tahoma"/>
                <w:b/>
                <w:lang w:val="sl-SI" w:eastAsia="en-GB"/>
              </w:rPr>
            </w:pPr>
            <w:r w:rsidRPr="00F769E0">
              <w:rPr>
                <w:rFonts w:cs="Tahoma"/>
                <w:b/>
                <w:lang w:val="sl-SI" w:eastAsia="en-GB"/>
              </w:rPr>
              <w:t>Upravičeni udeleženci</w:t>
            </w:r>
          </w:p>
          <w:p w14:paraId="7D398AFF" w14:textId="77777777" w:rsidR="00E03711" w:rsidRPr="00F769E0" w:rsidRDefault="00E03711" w:rsidP="00C74BB2">
            <w:pPr>
              <w:pStyle w:val="Guide-Table"/>
              <w:spacing w:before="60" w:after="60"/>
              <w:jc w:val="left"/>
              <w:rPr>
                <w:rFonts w:cs="Tahoma"/>
                <w:b/>
                <w:lang w:val="sl-SI" w:eastAsia="en-GB"/>
              </w:rPr>
            </w:pPr>
          </w:p>
        </w:tc>
        <w:tc>
          <w:tcPr>
            <w:tcW w:w="4156" w:type="pct"/>
            <w:shd w:val="clear" w:color="auto" w:fill="FFFFFF"/>
            <w:vAlign w:val="center"/>
          </w:tcPr>
          <w:p w14:paraId="7D398B00" w14:textId="77777777" w:rsidR="00E03711" w:rsidRPr="00F769E0" w:rsidRDefault="00E03711" w:rsidP="00C74BB2">
            <w:pPr>
              <w:pStyle w:val="GUIDE-NORMAL"/>
              <w:spacing w:before="60" w:after="60"/>
              <w:rPr>
                <w:rFonts w:cs="Tahoma"/>
                <w:lang w:val="sl-SI" w:eastAsia="en-GB"/>
              </w:rPr>
            </w:pPr>
            <w:r w:rsidRPr="00F769E0">
              <w:rPr>
                <w:rFonts w:cs="Tahoma"/>
                <w:lang w:val="sl-SI" w:eastAsia="en-GB"/>
              </w:rPr>
              <w:t>Osebje, ki je pristojno za PIU (na primer učitelji, vodje usposabljanj, pristojni za mednarodno mobilnost, osebje, ki opravlja administrativne naloge ali naloge usmerjanja, itd.) in dela za organizacije pošiljateljice, ter drugo osebje, ki sodeluje v strateškem razvoju organizacije.</w:t>
            </w:r>
          </w:p>
          <w:p w14:paraId="7D398B01" w14:textId="77777777" w:rsidR="00E03711" w:rsidRPr="00F769E0" w:rsidRDefault="00E03711" w:rsidP="00C74BB2">
            <w:pPr>
              <w:pStyle w:val="GUIDE-NORMAL"/>
              <w:spacing w:before="60" w:after="60"/>
              <w:rPr>
                <w:rFonts w:cs="Tahoma"/>
                <w:lang w:val="sl-SI" w:eastAsia="en-GB"/>
              </w:rPr>
            </w:pPr>
            <w:r w:rsidRPr="00F769E0">
              <w:rPr>
                <w:rFonts w:cs="Tahoma"/>
                <w:lang w:val="sl-SI" w:eastAsia="en-GB"/>
              </w:rPr>
              <w:t>V primeru mobilnosti z namenom poučevanja/usposabljanja je ukrep odprt osebam iz družb, javnega sektorja in/ali organizacij civilne družbe.</w:t>
            </w:r>
          </w:p>
          <w:p w14:paraId="7D398B02" w14:textId="77777777" w:rsidR="00E03711" w:rsidRPr="00F769E0" w:rsidRDefault="00E03711" w:rsidP="00C74BB2">
            <w:pPr>
              <w:pStyle w:val="GUIDE-NORMAL"/>
              <w:spacing w:before="60" w:after="60"/>
              <w:rPr>
                <w:rFonts w:cs="Tahoma"/>
                <w:lang w:val="sl-SI" w:eastAsia="en-GB"/>
              </w:rPr>
            </w:pPr>
            <w:r w:rsidRPr="00F769E0">
              <w:rPr>
                <w:rFonts w:cs="Tahoma"/>
                <w:lang w:val="sl-SI" w:eastAsia="en-GB"/>
              </w:rPr>
              <w:t>Dodatno je ukrep v primeru mobilnosti z namenom poučevanja/usposabljanja odprt za vodje usposabljanja (trenerje) iz družb v drugih državah Programa, ki so bili povabljeni poučevati pri ponudnikih PIU prijaviteljih in/ali organizacijah konzorcija, kjer je ustrezno.</w:t>
            </w:r>
          </w:p>
        </w:tc>
      </w:tr>
    </w:tbl>
    <w:p w14:paraId="7D398B04" w14:textId="77777777" w:rsidR="00E03711" w:rsidRPr="001048FE" w:rsidRDefault="00E03711" w:rsidP="00336C6B">
      <w:pPr>
        <w:pStyle w:val="GUIDE-NORMAL"/>
        <w:rPr>
          <w:lang w:val="sl-SI"/>
        </w:rPr>
      </w:pPr>
      <w:r w:rsidRPr="001048FE">
        <w:rPr>
          <w:lang w:val="sl-SI"/>
        </w:rPr>
        <w:t xml:space="preserve">Organizacije prijaviteljice bodo ocenjene z ustreznimi </w:t>
      </w:r>
      <w:r w:rsidRPr="001048FE">
        <w:rPr>
          <w:b/>
          <w:lang w:val="sl-SI"/>
        </w:rPr>
        <w:t>merili za izključitev in izbor</w:t>
      </w:r>
      <w:r w:rsidRPr="001048FE">
        <w:rPr>
          <w:lang w:val="sl-SI"/>
        </w:rPr>
        <w:t>. Za več informacij glej</w:t>
      </w:r>
      <w:r>
        <w:rPr>
          <w:lang w:val="sl-SI"/>
        </w:rPr>
        <w:t>te</w:t>
      </w:r>
      <w:r w:rsidRPr="001048FE">
        <w:rPr>
          <w:lang w:val="sl-SI"/>
        </w:rPr>
        <w:t xml:space="preserve"> </w:t>
      </w:r>
      <w:r w:rsidRPr="00860232">
        <w:rPr>
          <w:b/>
          <w:bCs/>
          <w:lang w:val="sl-SI"/>
        </w:rPr>
        <w:t>del C tega vodnika.</w:t>
      </w:r>
    </w:p>
    <w:p w14:paraId="7D398B05" w14:textId="77777777" w:rsidR="00E03711" w:rsidRPr="001048FE" w:rsidRDefault="00E03711" w:rsidP="00E23D2D">
      <w:pPr>
        <w:pStyle w:val="Guide-Heading7"/>
        <w:rPr>
          <w:lang w:val="sl-SI"/>
        </w:rPr>
        <w:sectPr w:rsidR="00E03711" w:rsidRPr="001048FE" w:rsidSect="007F4890">
          <w:headerReference w:type="even" r:id="rId71"/>
          <w:endnotePr>
            <w:numFmt w:val="decimal"/>
          </w:endnotePr>
          <w:pgSz w:w="11910" w:h="16840" w:code="9"/>
          <w:pgMar w:top="1134" w:right="1418" w:bottom="1134" w:left="1418" w:header="283" w:footer="567" w:gutter="0"/>
          <w:cols w:space="720"/>
          <w:docGrid w:linePitch="326"/>
        </w:sectPr>
      </w:pPr>
    </w:p>
    <w:p w14:paraId="7D398B06" w14:textId="77777777" w:rsidR="00E03711" w:rsidRPr="001048FE" w:rsidRDefault="00E03711" w:rsidP="00E23D2D">
      <w:pPr>
        <w:pStyle w:val="Guide-Heading7"/>
        <w:rPr>
          <w:lang w:val="sl-SI"/>
        </w:rPr>
      </w:pPr>
      <w:r w:rsidRPr="001048FE">
        <w:rPr>
          <w:lang w:val="sl-SI"/>
        </w:rPr>
        <w:t>Merila za dodelitev za vloge nosilcev listine za mobilnost v PIU</w:t>
      </w:r>
    </w:p>
    <w:p w14:paraId="7D398B07" w14:textId="77777777" w:rsidR="00E03711" w:rsidRPr="001048FE" w:rsidRDefault="00E03711" w:rsidP="00336C6B">
      <w:pPr>
        <w:pStyle w:val="GUIDE-NORMAL"/>
        <w:rPr>
          <w:lang w:val="sl-SI"/>
        </w:rPr>
      </w:pPr>
      <w:r w:rsidRPr="001048FE">
        <w:rPr>
          <w:lang w:val="sl-SI"/>
        </w:rPr>
        <w:t>Ni</w:t>
      </w:r>
      <w:r w:rsidRPr="001048FE">
        <w:rPr>
          <w:spacing w:val="-10"/>
          <w:lang w:val="sl-SI"/>
        </w:rPr>
        <w:t xml:space="preserve"> </w:t>
      </w:r>
      <w:r w:rsidRPr="001048FE">
        <w:rPr>
          <w:lang w:val="sl-SI"/>
        </w:rPr>
        <w:t>kvalitativnega</w:t>
      </w:r>
      <w:r w:rsidRPr="001048FE">
        <w:rPr>
          <w:spacing w:val="-10"/>
          <w:lang w:val="sl-SI"/>
        </w:rPr>
        <w:t xml:space="preserve"> </w:t>
      </w:r>
      <w:r w:rsidRPr="001048FE">
        <w:rPr>
          <w:lang w:val="sl-SI"/>
        </w:rPr>
        <w:t>ocenjevanja</w:t>
      </w:r>
      <w:r w:rsidRPr="001048FE">
        <w:rPr>
          <w:spacing w:val="-9"/>
          <w:lang w:val="sl-SI"/>
        </w:rPr>
        <w:t xml:space="preserve"> </w:t>
      </w:r>
      <w:r w:rsidRPr="001048FE">
        <w:rPr>
          <w:lang w:val="sl-SI"/>
        </w:rPr>
        <w:t>(kakovost</w:t>
      </w:r>
      <w:r w:rsidRPr="001048FE">
        <w:rPr>
          <w:spacing w:val="-10"/>
          <w:lang w:val="sl-SI"/>
        </w:rPr>
        <w:t xml:space="preserve"> </w:t>
      </w:r>
      <w:r w:rsidRPr="001048FE">
        <w:rPr>
          <w:lang w:val="sl-SI"/>
        </w:rPr>
        <w:t>je</w:t>
      </w:r>
      <w:r w:rsidRPr="001048FE">
        <w:rPr>
          <w:spacing w:val="-10"/>
          <w:lang w:val="sl-SI"/>
        </w:rPr>
        <w:t xml:space="preserve"> </w:t>
      </w:r>
      <w:r w:rsidRPr="001048FE">
        <w:rPr>
          <w:lang w:val="sl-SI"/>
        </w:rPr>
        <w:t>bila</w:t>
      </w:r>
      <w:r w:rsidRPr="001048FE">
        <w:rPr>
          <w:spacing w:val="-10"/>
          <w:lang w:val="sl-SI"/>
        </w:rPr>
        <w:t xml:space="preserve"> </w:t>
      </w:r>
      <w:r w:rsidRPr="001048FE">
        <w:rPr>
          <w:lang w:val="sl-SI"/>
        </w:rPr>
        <w:t>ocenjena</w:t>
      </w:r>
      <w:r w:rsidRPr="001048FE">
        <w:rPr>
          <w:spacing w:val="-9"/>
          <w:lang w:val="sl-SI"/>
        </w:rPr>
        <w:t xml:space="preserve"> </w:t>
      </w:r>
      <w:r w:rsidRPr="001048FE">
        <w:rPr>
          <w:lang w:val="sl-SI"/>
        </w:rPr>
        <w:t>v</w:t>
      </w:r>
      <w:r w:rsidRPr="001048FE">
        <w:rPr>
          <w:spacing w:val="-10"/>
          <w:lang w:val="sl-SI"/>
        </w:rPr>
        <w:t xml:space="preserve"> </w:t>
      </w:r>
      <w:r w:rsidRPr="001048FE">
        <w:rPr>
          <w:lang w:val="sl-SI"/>
        </w:rPr>
        <w:t>sami</w:t>
      </w:r>
      <w:r w:rsidRPr="001048FE">
        <w:rPr>
          <w:spacing w:val="-10"/>
          <w:lang w:val="sl-SI"/>
        </w:rPr>
        <w:t xml:space="preserve"> </w:t>
      </w:r>
      <w:r w:rsidRPr="001048FE">
        <w:rPr>
          <w:lang w:val="sl-SI"/>
        </w:rPr>
        <w:t>fazi</w:t>
      </w:r>
      <w:r w:rsidRPr="001048FE">
        <w:rPr>
          <w:spacing w:val="-10"/>
          <w:lang w:val="sl-SI"/>
        </w:rPr>
        <w:t xml:space="preserve"> </w:t>
      </w:r>
      <w:r w:rsidRPr="001048FE">
        <w:rPr>
          <w:lang w:val="sl-SI"/>
        </w:rPr>
        <w:t>prijave</w:t>
      </w:r>
      <w:r w:rsidRPr="001048FE">
        <w:rPr>
          <w:spacing w:val="-10"/>
          <w:lang w:val="sl-SI"/>
        </w:rPr>
        <w:t xml:space="preserve"> </w:t>
      </w:r>
      <w:r w:rsidRPr="001048FE">
        <w:rPr>
          <w:lang w:val="sl-SI"/>
        </w:rPr>
        <w:t>za</w:t>
      </w:r>
      <w:r w:rsidRPr="001048FE">
        <w:rPr>
          <w:spacing w:val="-10"/>
          <w:lang w:val="sl-SI"/>
        </w:rPr>
        <w:t xml:space="preserve"> </w:t>
      </w:r>
      <w:r w:rsidRPr="001048FE">
        <w:rPr>
          <w:lang w:val="sl-SI"/>
        </w:rPr>
        <w:t>listino</w:t>
      </w:r>
      <w:r w:rsidRPr="001048FE">
        <w:rPr>
          <w:spacing w:val="-10"/>
          <w:lang w:val="sl-SI"/>
        </w:rPr>
        <w:t xml:space="preserve"> </w:t>
      </w:r>
      <w:r w:rsidRPr="001048FE">
        <w:rPr>
          <w:lang w:val="sl-SI"/>
        </w:rPr>
        <w:t>za</w:t>
      </w:r>
      <w:r w:rsidRPr="001048FE">
        <w:rPr>
          <w:spacing w:val="-10"/>
          <w:lang w:val="sl-SI"/>
        </w:rPr>
        <w:t xml:space="preserve"> </w:t>
      </w:r>
      <w:r w:rsidRPr="001048FE">
        <w:rPr>
          <w:lang w:val="sl-SI"/>
        </w:rPr>
        <w:t>mobilnost</w:t>
      </w:r>
      <w:r w:rsidRPr="001048FE">
        <w:rPr>
          <w:spacing w:val="-10"/>
          <w:lang w:val="sl-SI"/>
        </w:rPr>
        <w:t xml:space="preserve"> </w:t>
      </w:r>
      <w:r w:rsidRPr="001048FE">
        <w:rPr>
          <w:lang w:val="sl-SI"/>
        </w:rPr>
        <w:t>v PIU), zato posledično ni meril za</w:t>
      </w:r>
      <w:r w:rsidRPr="001048FE">
        <w:rPr>
          <w:spacing w:val="-16"/>
          <w:lang w:val="sl-SI"/>
        </w:rPr>
        <w:t xml:space="preserve"> </w:t>
      </w:r>
      <w:r w:rsidRPr="001048FE">
        <w:rPr>
          <w:lang w:val="sl-SI"/>
        </w:rPr>
        <w:t>dodelitev.</w:t>
      </w:r>
    </w:p>
    <w:p w14:paraId="7D398B08" w14:textId="77777777" w:rsidR="00E03711" w:rsidRPr="001048FE" w:rsidRDefault="00E03711" w:rsidP="00336C6B">
      <w:pPr>
        <w:pStyle w:val="GUIDE-NORMAL"/>
        <w:rPr>
          <w:lang w:val="sl-SI"/>
        </w:rPr>
      </w:pPr>
      <w:r w:rsidRPr="001048FE">
        <w:rPr>
          <w:lang w:val="sl-SI"/>
        </w:rPr>
        <w:t>Kakršna</w:t>
      </w:r>
      <w:r w:rsidRPr="001048FE">
        <w:rPr>
          <w:spacing w:val="-14"/>
          <w:lang w:val="sl-SI"/>
        </w:rPr>
        <w:t xml:space="preserve"> </w:t>
      </w:r>
      <w:r w:rsidRPr="001048FE">
        <w:rPr>
          <w:lang w:val="sl-SI"/>
        </w:rPr>
        <w:t>koli</w:t>
      </w:r>
      <w:r w:rsidRPr="001048FE">
        <w:rPr>
          <w:spacing w:val="-14"/>
          <w:lang w:val="sl-SI"/>
        </w:rPr>
        <w:t xml:space="preserve"> </w:t>
      </w:r>
      <w:r w:rsidRPr="001048FE">
        <w:rPr>
          <w:lang w:val="sl-SI"/>
        </w:rPr>
        <w:t>vloga</w:t>
      </w:r>
      <w:r w:rsidRPr="001048FE">
        <w:rPr>
          <w:spacing w:val="-14"/>
          <w:lang w:val="sl-SI"/>
        </w:rPr>
        <w:t xml:space="preserve"> </w:t>
      </w:r>
      <w:r w:rsidRPr="001048FE">
        <w:rPr>
          <w:lang w:val="sl-SI"/>
        </w:rPr>
        <w:t>za</w:t>
      </w:r>
      <w:r w:rsidRPr="001048FE">
        <w:rPr>
          <w:spacing w:val="-14"/>
          <w:lang w:val="sl-SI"/>
        </w:rPr>
        <w:t xml:space="preserve"> </w:t>
      </w:r>
      <w:r w:rsidRPr="001048FE">
        <w:rPr>
          <w:lang w:val="sl-SI"/>
        </w:rPr>
        <w:t>nepovratna</w:t>
      </w:r>
      <w:r w:rsidRPr="001048FE">
        <w:rPr>
          <w:spacing w:val="-14"/>
          <w:lang w:val="sl-SI"/>
        </w:rPr>
        <w:t xml:space="preserve"> </w:t>
      </w:r>
      <w:r w:rsidRPr="001048FE">
        <w:rPr>
          <w:lang w:val="sl-SI"/>
        </w:rPr>
        <w:t>sredstva</w:t>
      </w:r>
      <w:r w:rsidRPr="001048FE">
        <w:rPr>
          <w:spacing w:val="-14"/>
          <w:lang w:val="sl-SI"/>
        </w:rPr>
        <w:t xml:space="preserve"> </w:t>
      </w:r>
      <w:r w:rsidRPr="001048FE">
        <w:rPr>
          <w:lang w:val="sl-SI"/>
        </w:rPr>
        <w:t>(po</w:t>
      </w:r>
      <w:r w:rsidRPr="001048FE">
        <w:rPr>
          <w:spacing w:val="-14"/>
          <w:lang w:val="sl-SI"/>
        </w:rPr>
        <w:t xml:space="preserve"> </w:t>
      </w:r>
      <w:r w:rsidRPr="001048FE">
        <w:rPr>
          <w:lang w:val="sl-SI"/>
        </w:rPr>
        <w:t>preverjanju</w:t>
      </w:r>
      <w:r w:rsidRPr="001048FE">
        <w:rPr>
          <w:spacing w:val="-14"/>
          <w:lang w:val="sl-SI"/>
        </w:rPr>
        <w:t xml:space="preserve"> </w:t>
      </w:r>
      <w:r w:rsidRPr="001048FE">
        <w:rPr>
          <w:lang w:val="sl-SI"/>
        </w:rPr>
        <w:t>upravičenosti)</w:t>
      </w:r>
      <w:r w:rsidRPr="001048FE">
        <w:rPr>
          <w:spacing w:val="-14"/>
          <w:lang w:val="sl-SI"/>
        </w:rPr>
        <w:t xml:space="preserve"> </w:t>
      </w:r>
      <w:r w:rsidRPr="001048FE">
        <w:rPr>
          <w:lang w:val="sl-SI"/>
        </w:rPr>
        <w:t>bo</w:t>
      </w:r>
      <w:r w:rsidRPr="001048FE">
        <w:rPr>
          <w:spacing w:val="-14"/>
          <w:lang w:val="sl-SI"/>
        </w:rPr>
        <w:t xml:space="preserve"> </w:t>
      </w:r>
      <w:r w:rsidRPr="001048FE">
        <w:rPr>
          <w:lang w:val="sl-SI"/>
        </w:rPr>
        <w:t>prejela</w:t>
      </w:r>
      <w:r w:rsidRPr="001048FE">
        <w:rPr>
          <w:spacing w:val="-14"/>
          <w:lang w:val="sl-SI"/>
        </w:rPr>
        <w:t xml:space="preserve"> </w:t>
      </w:r>
      <w:r w:rsidRPr="001048FE">
        <w:rPr>
          <w:lang w:val="sl-SI"/>
        </w:rPr>
        <w:t>sredstva. Najvišji</w:t>
      </w:r>
      <w:r w:rsidRPr="001048FE">
        <w:rPr>
          <w:spacing w:val="-8"/>
          <w:lang w:val="sl-SI"/>
        </w:rPr>
        <w:t xml:space="preserve"> </w:t>
      </w:r>
      <w:r w:rsidRPr="001048FE">
        <w:rPr>
          <w:lang w:val="sl-SI"/>
        </w:rPr>
        <w:t>znesek</w:t>
      </w:r>
      <w:r w:rsidRPr="001048FE">
        <w:rPr>
          <w:spacing w:val="-8"/>
          <w:lang w:val="sl-SI"/>
        </w:rPr>
        <w:t xml:space="preserve"> </w:t>
      </w:r>
      <w:r w:rsidRPr="001048FE">
        <w:rPr>
          <w:lang w:val="sl-SI"/>
        </w:rPr>
        <w:t>dodeljenih</w:t>
      </w:r>
      <w:r w:rsidRPr="001048FE">
        <w:rPr>
          <w:spacing w:val="-8"/>
          <w:lang w:val="sl-SI"/>
        </w:rPr>
        <w:t xml:space="preserve"> </w:t>
      </w:r>
      <w:r w:rsidRPr="001048FE">
        <w:rPr>
          <w:lang w:val="sl-SI"/>
        </w:rPr>
        <w:t>nepovratnih</w:t>
      </w:r>
      <w:r w:rsidRPr="001048FE">
        <w:rPr>
          <w:spacing w:val="-8"/>
          <w:lang w:val="sl-SI"/>
        </w:rPr>
        <w:t xml:space="preserve"> </w:t>
      </w:r>
      <w:r w:rsidRPr="001048FE">
        <w:rPr>
          <w:lang w:val="sl-SI"/>
        </w:rPr>
        <w:t>sredstev</w:t>
      </w:r>
      <w:r w:rsidRPr="001048FE">
        <w:rPr>
          <w:spacing w:val="-8"/>
          <w:lang w:val="sl-SI"/>
        </w:rPr>
        <w:t xml:space="preserve"> </w:t>
      </w:r>
      <w:r w:rsidRPr="001048FE">
        <w:rPr>
          <w:lang w:val="sl-SI"/>
        </w:rPr>
        <w:t>bo</w:t>
      </w:r>
      <w:r w:rsidRPr="001048FE">
        <w:rPr>
          <w:spacing w:val="-8"/>
          <w:lang w:val="sl-SI"/>
        </w:rPr>
        <w:t xml:space="preserve"> </w:t>
      </w:r>
      <w:r w:rsidRPr="001048FE">
        <w:rPr>
          <w:lang w:val="sl-SI"/>
        </w:rPr>
        <w:t>odvisen</w:t>
      </w:r>
      <w:r w:rsidRPr="001048FE">
        <w:rPr>
          <w:spacing w:val="-7"/>
          <w:lang w:val="sl-SI"/>
        </w:rPr>
        <w:t xml:space="preserve"> </w:t>
      </w:r>
      <w:r w:rsidRPr="001048FE">
        <w:rPr>
          <w:lang w:val="sl-SI"/>
        </w:rPr>
        <w:t>od</w:t>
      </w:r>
      <w:r w:rsidRPr="001048FE">
        <w:rPr>
          <w:spacing w:val="-7"/>
          <w:lang w:val="sl-SI"/>
        </w:rPr>
        <w:t xml:space="preserve"> </w:t>
      </w:r>
      <w:r w:rsidRPr="001048FE">
        <w:rPr>
          <w:lang w:val="sl-SI"/>
        </w:rPr>
        <w:t>številnih</w:t>
      </w:r>
      <w:r w:rsidRPr="001048FE">
        <w:rPr>
          <w:spacing w:val="-8"/>
          <w:lang w:val="sl-SI"/>
        </w:rPr>
        <w:t xml:space="preserve"> </w:t>
      </w:r>
      <w:r w:rsidRPr="001048FE">
        <w:rPr>
          <w:lang w:val="sl-SI"/>
        </w:rPr>
        <w:t>elementov:</w:t>
      </w:r>
    </w:p>
    <w:p w14:paraId="7D398B09" w14:textId="77777777" w:rsidR="00E03711" w:rsidRPr="001048FE" w:rsidRDefault="00E03711" w:rsidP="00336C6B">
      <w:pPr>
        <w:pStyle w:val="Guide-NormalBulletpoints"/>
        <w:rPr>
          <w:lang w:val="sl-SI"/>
        </w:rPr>
      </w:pPr>
      <w:r w:rsidRPr="001048FE">
        <w:rPr>
          <w:lang w:val="sl-SI"/>
        </w:rPr>
        <w:t>števila prijavljenih obdobij mobilnosti in mesecev/dni;</w:t>
      </w:r>
    </w:p>
    <w:p w14:paraId="7D398B0A" w14:textId="77777777" w:rsidR="00E03711" w:rsidRPr="001048FE" w:rsidRDefault="00E03711" w:rsidP="005115F2">
      <w:pPr>
        <w:pStyle w:val="Guide-NormalBulletpoints"/>
        <w:numPr>
          <w:ilvl w:val="0"/>
          <w:numId w:val="230"/>
        </w:numPr>
        <w:rPr>
          <w:lang w:val="sl-SI"/>
        </w:rPr>
      </w:pPr>
      <w:r w:rsidRPr="001048FE">
        <w:rPr>
          <w:lang w:val="sl-SI"/>
        </w:rPr>
        <w:t xml:space="preserve">v kolikšni meri predlog vključuje dolgotrajno mobilnost od 3 do 12 mesecev (ErasmusPro); </w:t>
      </w:r>
    </w:p>
    <w:p w14:paraId="7D398B0B" w14:textId="77777777" w:rsidR="00E03711" w:rsidRPr="001048FE" w:rsidRDefault="00E03711" w:rsidP="005115F2">
      <w:pPr>
        <w:pStyle w:val="Guide-NormalBulletpoints"/>
        <w:numPr>
          <w:ilvl w:val="0"/>
          <w:numId w:val="230"/>
        </w:numPr>
        <w:rPr>
          <w:lang w:val="sl-SI"/>
        </w:rPr>
      </w:pPr>
      <w:r w:rsidRPr="001048FE">
        <w:rPr>
          <w:lang w:val="sl-SI"/>
        </w:rPr>
        <w:t>pretekle uspešnosti prijavitelja v smislu števila obdobij mobilnosti, dobre kakovosti izvajanih aktivnosti in dobrega finančnega poslovodenja, če je prijavitelj prejel podobna nepovratna sredstva v preteklih letih;</w:t>
      </w:r>
    </w:p>
    <w:p w14:paraId="7D398B0C" w14:textId="77777777" w:rsidR="00E03711" w:rsidRPr="001048FE" w:rsidRDefault="00E03711" w:rsidP="005115F2">
      <w:pPr>
        <w:pStyle w:val="Guide-NormalBulletpoints"/>
        <w:numPr>
          <w:ilvl w:val="0"/>
          <w:numId w:val="230"/>
        </w:numPr>
        <w:rPr>
          <w:lang w:val="sl-SI"/>
        </w:rPr>
      </w:pPr>
      <w:r w:rsidRPr="001048FE">
        <w:rPr>
          <w:lang w:val="sl-SI"/>
        </w:rPr>
        <w:t>skupnega nacionalnega proračuna, dodeljenega za ukrep mobilnosti.</w:t>
      </w:r>
    </w:p>
    <w:p w14:paraId="7D398B0D" w14:textId="77777777" w:rsidR="00E03711" w:rsidRPr="001048FE" w:rsidRDefault="00E03711" w:rsidP="00336C6B">
      <w:pPr>
        <w:pStyle w:val="Guide-Heading6"/>
        <w:rPr>
          <w:lang w:val="sl-SI"/>
        </w:rPr>
      </w:pPr>
      <w:r w:rsidRPr="001048FE">
        <w:rPr>
          <w:lang w:val="sl-SI"/>
        </w:rPr>
        <w:t>Katero akreditacijo potrebujejo prijavitelji za tak projekt mobilnosti?</w:t>
      </w:r>
    </w:p>
    <w:p w14:paraId="7D398B0E" w14:textId="77777777" w:rsidR="00E03711" w:rsidRPr="001048FE" w:rsidRDefault="00E03711" w:rsidP="00336C6B">
      <w:pPr>
        <w:pStyle w:val="Guide-Heading7"/>
        <w:rPr>
          <w:lang w:val="sl-SI"/>
        </w:rPr>
      </w:pPr>
      <w:r w:rsidRPr="001048FE">
        <w:rPr>
          <w:lang w:val="sl-SI"/>
        </w:rPr>
        <w:t>Listina Erasmus+ za mobilnost v PIU</w:t>
      </w:r>
    </w:p>
    <w:p w14:paraId="7D398B0F" w14:textId="77777777" w:rsidR="00E03711" w:rsidRPr="001048FE" w:rsidRDefault="00E03711" w:rsidP="00336C6B">
      <w:pPr>
        <w:pStyle w:val="GUIDE-NORMAL"/>
        <w:rPr>
          <w:lang w:val="sl-SI"/>
        </w:rPr>
      </w:pPr>
      <w:r w:rsidRPr="001048FE">
        <w:rPr>
          <w:lang w:val="sl-SI"/>
        </w:rPr>
        <w:t>Namen listine Erasmus+ za mobilnost v PIU je izboljšanje evropskih strategij za internacionalizacijo na področju PIU in izboljšanje njihove trajnosti ter posledično kakovosti in količine mednarodnih mobilnosti v PIU. Razpisi za podelitev listine za mobilnost v PIU so objavljeni letno na spletnih straneh nacionalnih agencij.</w:t>
      </w:r>
    </w:p>
    <w:p w14:paraId="7D398B10" w14:textId="77777777" w:rsidR="00E03711" w:rsidRPr="001048FE" w:rsidRDefault="00E03711" w:rsidP="00336C6B">
      <w:pPr>
        <w:pStyle w:val="GUIDE-NORMAL"/>
        <w:rPr>
          <w:lang w:val="sl-SI"/>
        </w:rPr>
      </w:pPr>
      <w:r w:rsidRPr="001048FE">
        <w:rPr>
          <w:lang w:val="sl-SI"/>
        </w:rPr>
        <w:t>Pridobitev</w:t>
      </w:r>
      <w:r w:rsidRPr="001048FE">
        <w:rPr>
          <w:spacing w:val="-11"/>
          <w:lang w:val="sl-SI"/>
        </w:rPr>
        <w:t xml:space="preserve"> </w:t>
      </w:r>
      <w:r w:rsidRPr="001048FE">
        <w:rPr>
          <w:lang w:val="sl-SI"/>
        </w:rPr>
        <w:t>listine</w:t>
      </w:r>
      <w:r w:rsidRPr="001048FE">
        <w:rPr>
          <w:spacing w:val="-11"/>
          <w:lang w:val="sl-SI"/>
        </w:rPr>
        <w:t xml:space="preserve"> </w:t>
      </w:r>
      <w:r w:rsidRPr="001048FE">
        <w:rPr>
          <w:lang w:val="sl-SI"/>
        </w:rPr>
        <w:t>za</w:t>
      </w:r>
      <w:r w:rsidRPr="001048FE">
        <w:rPr>
          <w:spacing w:val="-11"/>
          <w:lang w:val="sl-SI"/>
        </w:rPr>
        <w:t xml:space="preserve"> </w:t>
      </w:r>
      <w:r w:rsidRPr="001048FE">
        <w:rPr>
          <w:lang w:val="sl-SI"/>
        </w:rPr>
        <w:t>mobilnost</w:t>
      </w:r>
      <w:r w:rsidRPr="001048FE">
        <w:rPr>
          <w:spacing w:val="-11"/>
          <w:lang w:val="sl-SI"/>
        </w:rPr>
        <w:t xml:space="preserve"> </w:t>
      </w:r>
      <w:r w:rsidRPr="001048FE">
        <w:rPr>
          <w:lang w:val="sl-SI"/>
        </w:rPr>
        <w:t>v</w:t>
      </w:r>
      <w:r w:rsidRPr="001048FE">
        <w:rPr>
          <w:spacing w:val="-11"/>
          <w:lang w:val="sl-SI"/>
        </w:rPr>
        <w:t xml:space="preserve"> </w:t>
      </w:r>
      <w:r w:rsidRPr="001048FE">
        <w:rPr>
          <w:lang w:val="sl-SI"/>
        </w:rPr>
        <w:t>PIU</w:t>
      </w:r>
      <w:r w:rsidRPr="001048FE">
        <w:rPr>
          <w:spacing w:val="-11"/>
          <w:lang w:val="sl-SI"/>
        </w:rPr>
        <w:t xml:space="preserve"> </w:t>
      </w:r>
      <w:r w:rsidRPr="001048FE">
        <w:rPr>
          <w:lang w:val="sl-SI"/>
        </w:rPr>
        <w:t>daje</w:t>
      </w:r>
      <w:r w:rsidRPr="001048FE">
        <w:rPr>
          <w:spacing w:val="-11"/>
          <w:lang w:val="sl-SI"/>
        </w:rPr>
        <w:t xml:space="preserve"> </w:t>
      </w:r>
      <w:r w:rsidRPr="001048FE">
        <w:rPr>
          <w:lang w:val="sl-SI"/>
        </w:rPr>
        <w:t>nosilcem</w:t>
      </w:r>
      <w:r w:rsidRPr="001048FE">
        <w:rPr>
          <w:spacing w:val="-11"/>
          <w:lang w:val="sl-SI"/>
        </w:rPr>
        <w:t xml:space="preserve"> </w:t>
      </w:r>
      <w:r w:rsidRPr="001048FE">
        <w:rPr>
          <w:lang w:val="sl-SI"/>
        </w:rPr>
        <w:t>listine</w:t>
      </w:r>
      <w:r w:rsidRPr="001048FE">
        <w:rPr>
          <w:spacing w:val="-11"/>
          <w:lang w:val="sl-SI"/>
        </w:rPr>
        <w:t xml:space="preserve"> </w:t>
      </w:r>
      <w:r w:rsidRPr="001048FE">
        <w:rPr>
          <w:lang w:val="sl-SI"/>
        </w:rPr>
        <w:t>za</w:t>
      </w:r>
      <w:r w:rsidRPr="001048FE">
        <w:rPr>
          <w:spacing w:val="-11"/>
          <w:lang w:val="sl-SI"/>
        </w:rPr>
        <w:t xml:space="preserve"> </w:t>
      </w:r>
      <w:r w:rsidRPr="001048FE">
        <w:rPr>
          <w:lang w:val="sl-SI"/>
        </w:rPr>
        <w:t>mobilnost</w:t>
      </w:r>
      <w:r w:rsidRPr="001048FE">
        <w:rPr>
          <w:spacing w:val="-11"/>
          <w:lang w:val="sl-SI"/>
        </w:rPr>
        <w:t xml:space="preserve"> </w:t>
      </w:r>
      <w:r w:rsidRPr="001048FE">
        <w:rPr>
          <w:lang w:val="sl-SI"/>
        </w:rPr>
        <w:t>v</w:t>
      </w:r>
      <w:r w:rsidRPr="001048FE">
        <w:rPr>
          <w:spacing w:val="-11"/>
          <w:lang w:val="sl-SI"/>
        </w:rPr>
        <w:t xml:space="preserve"> </w:t>
      </w:r>
      <w:r w:rsidRPr="001048FE">
        <w:rPr>
          <w:lang w:val="sl-SI"/>
        </w:rPr>
        <w:t>PIU</w:t>
      </w:r>
      <w:r w:rsidRPr="001048FE">
        <w:rPr>
          <w:spacing w:val="-11"/>
          <w:lang w:val="sl-SI"/>
        </w:rPr>
        <w:t xml:space="preserve"> </w:t>
      </w:r>
      <w:r w:rsidRPr="001048FE">
        <w:rPr>
          <w:lang w:val="sl-SI"/>
        </w:rPr>
        <w:t>možnost,</w:t>
      </w:r>
      <w:r w:rsidRPr="001048FE">
        <w:rPr>
          <w:spacing w:val="-11"/>
          <w:lang w:val="sl-SI"/>
        </w:rPr>
        <w:t xml:space="preserve"> </w:t>
      </w:r>
      <w:r w:rsidRPr="001048FE">
        <w:rPr>
          <w:lang w:val="sl-SI"/>
        </w:rPr>
        <w:t>da</w:t>
      </w:r>
      <w:r w:rsidRPr="001048FE">
        <w:rPr>
          <w:spacing w:val="-11"/>
          <w:lang w:val="sl-SI"/>
        </w:rPr>
        <w:t xml:space="preserve"> </w:t>
      </w:r>
      <w:r w:rsidRPr="001048FE">
        <w:rPr>
          <w:lang w:val="sl-SI"/>
        </w:rPr>
        <w:t>se</w:t>
      </w:r>
      <w:r w:rsidRPr="001048FE">
        <w:rPr>
          <w:spacing w:val="-11"/>
          <w:lang w:val="sl-SI"/>
        </w:rPr>
        <w:t xml:space="preserve"> </w:t>
      </w:r>
      <w:r w:rsidRPr="001048FE">
        <w:rPr>
          <w:lang w:val="sl-SI"/>
        </w:rPr>
        <w:t>na</w:t>
      </w:r>
      <w:r w:rsidRPr="001048FE">
        <w:rPr>
          <w:spacing w:val="-11"/>
          <w:lang w:val="sl-SI"/>
        </w:rPr>
        <w:t xml:space="preserve"> </w:t>
      </w:r>
      <w:r w:rsidRPr="001048FE">
        <w:rPr>
          <w:lang w:val="sl-SI"/>
        </w:rPr>
        <w:t>bolj preprost način prijavijo za ključni ukrep 1 Erasmus+: mobilnost dijakov in osebja v</w:t>
      </w:r>
      <w:r w:rsidRPr="001048FE">
        <w:rPr>
          <w:spacing w:val="-24"/>
          <w:lang w:val="sl-SI"/>
        </w:rPr>
        <w:t xml:space="preserve"> </w:t>
      </w:r>
      <w:r w:rsidRPr="001048FE">
        <w:rPr>
          <w:lang w:val="sl-SI"/>
        </w:rPr>
        <w:t>PIU.</w:t>
      </w:r>
    </w:p>
    <w:p w14:paraId="7D398B11" w14:textId="77777777" w:rsidR="00E03711" w:rsidRPr="001048FE" w:rsidRDefault="00E03711" w:rsidP="00336C6B">
      <w:pPr>
        <w:pStyle w:val="Guide-Heading6"/>
        <w:rPr>
          <w:lang w:val="sl-SI"/>
        </w:rPr>
      </w:pPr>
      <w:r w:rsidRPr="001048FE">
        <w:rPr>
          <w:lang w:val="sl-SI"/>
        </w:rPr>
        <w:t>Kaj je še treba vedeti o tem ukrepu?</w:t>
      </w:r>
    </w:p>
    <w:p w14:paraId="7D398B12" w14:textId="77777777" w:rsidR="00E03711" w:rsidRPr="00FC4A70" w:rsidRDefault="00E03711" w:rsidP="00A16FC5">
      <w:pPr>
        <w:pStyle w:val="Guide-Heading6"/>
        <w:rPr>
          <w:sz w:val="18"/>
          <w:lang w:val="sl-SI"/>
        </w:rPr>
      </w:pPr>
      <w:r w:rsidRPr="00FC4A70">
        <w:rPr>
          <w:rFonts w:eastAsia="Calibri" w:cs="Calibri"/>
          <w:bCs/>
          <w:sz w:val="18"/>
          <w:szCs w:val="18"/>
          <w:bdr w:val="nil"/>
          <w:lang w:val="sl-SI"/>
        </w:rPr>
        <w:t>Izredni stroški za drago potovanje</w:t>
      </w:r>
    </w:p>
    <w:p w14:paraId="7D398B13" w14:textId="77777777" w:rsidR="00E03711" w:rsidRDefault="00E03711" w:rsidP="00A16FC5">
      <w:pPr>
        <w:pStyle w:val="Guide-Normal0"/>
        <w:rPr>
          <w:rFonts w:eastAsia="Calibri" w:cs="Calibri"/>
          <w:kern w:val="3"/>
          <w:sz w:val="18"/>
          <w:szCs w:val="18"/>
          <w:bdr w:val="nil"/>
          <w:shd w:val="clear" w:color="auto" w:fill="FFFFFF"/>
          <w:lang w:val="sl-SI"/>
        </w:rPr>
      </w:pPr>
      <w:r w:rsidRPr="00FC4A70">
        <w:rPr>
          <w:rFonts w:eastAsia="Calibri" w:cs="Calibri"/>
          <w:kern w:val="3"/>
          <w:sz w:val="18"/>
          <w:szCs w:val="18"/>
          <w:bdr w:val="nil"/>
          <w:shd w:val="clear" w:color="auto" w:fill="FFFFFF"/>
          <w:lang w:val="sl-SI"/>
        </w:rPr>
        <w:t>Prijavitelji projektov mobilnosti lahko zahtevajo finančno podporo za višje potne stroške udeležencev pod proračunsko postavko „izredni stroški“ (do največ 80 % vseh upravičenih stroškov: glejte „Kakšna so pravila za dodelitev sredstev?“)</w:t>
      </w:r>
      <w:r>
        <w:rPr>
          <w:rFonts w:eastAsia="Calibri" w:cs="Calibri"/>
          <w:kern w:val="3"/>
          <w:sz w:val="18"/>
          <w:szCs w:val="18"/>
          <w:bdr w:val="nil"/>
          <w:shd w:val="clear" w:color="auto" w:fill="FFFFFF"/>
          <w:lang w:val="sl-SI"/>
        </w:rPr>
        <w:t>, vključno s primeri, ko se udeleženci odločijo za prevozna sredstva, ki so čistejša in povzročajo manj emisij ogljika (npr. vlak), kar vodi do višjih stroškov potovanja</w:t>
      </w:r>
      <w:r w:rsidRPr="00FC4A70">
        <w:rPr>
          <w:rFonts w:eastAsia="Calibri" w:cs="Calibri"/>
          <w:kern w:val="3"/>
          <w:sz w:val="18"/>
          <w:szCs w:val="18"/>
          <w:bdr w:val="nil"/>
          <w:shd w:val="clear" w:color="auto" w:fill="FFFFFF"/>
          <w:lang w:val="sl-SI"/>
        </w:rPr>
        <w:t>. To je dovoljeno pod pogojem, da lahko prijavitelji utemeljijo, da običajna pravila financiranja (na podlagi stroškov na enoto za pas oddaljenosti) ne krijejo vsaj 70 % potnih stroškov udeležencev. Če so dodeljena, se namesto standardnih potnih stroškov upoštevajo izredni stroški za drago potovanje.</w:t>
      </w:r>
    </w:p>
    <w:p w14:paraId="7D398B14" w14:textId="77777777" w:rsidR="00E03711" w:rsidRPr="001048FE" w:rsidRDefault="00E03711" w:rsidP="00336C6B">
      <w:pPr>
        <w:pStyle w:val="Guide-Heading7"/>
        <w:rPr>
          <w:lang w:val="sl-SI"/>
        </w:rPr>
      </w:pPr>
      <w:r w:rsidRPr="001048FE">
        <w:rPr>
          <w:lang w:val="sl-SI"/>
        </w:rPr>
        <w:t>Druge informacije</w:t>
      </w:r>
    </w:p>
    <w:p w14:paraId="7D398B15" w14:textId="77777777" w:rsidR="00E03711" w:rsidRPr="001048FE" w:rsidRDefault="00E03711" w:rsidP="00336C6B">
      <w:pPr>
        <w:pStyle w:val="GUIDE-NORMAL"/>
        <w:rPr>
          <w:lang w:val="sl-SI"/>
        </w:rPr>
      </w:pPr>
      <w:r w:rsidRPr="001048FE">
        <w:rPr>
          <w:lang w:val="sl-SI"/>
        </w:rPr>
        <w:t>Za obvezna merila ter dodatne koristne informacije v zvezi s tem ukrepom glej Prilogo I k temu vodniku.</w:t>
      </w:r>
      <w:r w:rsidRPr="001048FE">
        <w:rPr>
          <w:spacing w:val="-13"/>
          <w:lang w:val="sl-SI"/>
        </w:rPr>
        <w:t xml:space="preserve"> </w:t>
      </w:r>
      <w:r w:rsidRPr="001048FE">
        <w:rPr>
          <w:lang w:val="sl-SI"/>
        </w:rPr>
        <w:t>Zainteresirane</w:t>
      </w:r>
      <w:r w:rsidRPr="001048FE">
        <w:rPr>
          <w:spacing w:val="-13"/>
          <w:lang w:val="sl-SI"/>
        </w:rPr>
        <w:t xml:space="preserve"> </w:t>
      </w:r>
      <w:r w:rsidRPr="001048FE">
        <w:rPr>
          <w:lang w:val="sl-SI"/>
        </w:rPr>
        <w:t>organizacije</w:t>
      </w:r>
      <w:r w:rsidRPr="001048FE">
        <w:rPr>
          <w:spacing w:val="-12"/>
          <w:lang w:val="sl-SI"/>
        </w:rPr>
        <w:t xml:space="preserve"> </w:t>
      </w:r>
      <w:r w:rsidRPr="001048FE">
        <w:rPr>
          <w:lang w:val="sl-SI"/>
        </w:rPr>
        <w:t>naj</w:t>
      </w:r>
      <w:r w:rsidRPr="001048FE">
        <w:rPr>
          <w:spacing w:val="-13"/>
          <w:lang w:val="sl-SI"/>
        </w:rPr>
        <w:t xml:space="preserve"> </w:t>
      </w:r>
      <w:r w:rsidRPr="001048FE">
        <w:rPr>
          <w:lang w:val="sl-SI"/>
        </w:rPr>
        <w:t>pred</w:t>
      </w:r>
      <w:r w:rsidRPr="001048FE">
        <w:rPr>
          <w:spacing w:val="-13"/>
          <w:lang w:val="sl-SI"/>
        </w:rPr>
        <w:t xml:space="preserve"> </w:t>
      </w:r>
      <w:r w:rsidRPr="001048FE">
        <w:rPr>
          <w:lang w:val="sl-SI"/>
        </w:rPr>
        <w:t>oddajo</w:t>
      </w:r>
      <w:r w:rsidRPr="001048FE">
        <w:rPr>
          <w:spacing w:val="-12"/>
          <w:lang w:val="sl-SI"/>
        </w:rPr>
        <w:t xml:space="preserve"> </w:t>
      </w:r>
      <w:r w:rsidRPr="001048FE">
        <w:rPr>
          <w:lang w:val="sl-SI"/>
        </w:rPr>
        <w:t>vloge</w:t>
      </w:r>
      <w:r w:rsidRPr="001048FE">
        <w:rPr>
          <w:spacing w:val="-13"/>
          <w:lang w:val="sl-SI"/>
        </w:rPr>
        <w:t xml:space="preserve"> </w:t>
      </w:r>
      <w:r w:rsidRPr="001048FE">
        <w:rPr>
          <w:lang w:val="sl-SI"/>
        </w:rPr>
        <w:t>za</w:t>
      </w:r>
      <w:r w:rsidRPr="001048FE">
        <w:rPr>
          <w:spacing w:val="-13"/>
          <w:lang w:val="sl-SI"/>
        </w:rPr>
        <w:t xml:space="preserve"> </w:t>
      </w:r>
      <w:r w:rsidRPr="001048FE">
        <w:rPr>
          <w:lang w:val="sl-SI"/>
        </w:rPr>
        <w:t>finančno</w:t>
      </w:r>
      <w:r w:rsidRPr="001048FE">
        <w:rPr>
          <w:spacing w:val="-13"/>
          <w:lang w:val="sl-SI"/>
        </w:rPr>
        <w:t xml:space="preserve"> </w:t>
      </w:r>
      <w:r w:rsidRPr="001048FE">
        <w:rPr>
          <w:lang w:val="sl-SI"/>
        </w:rPr>
        <w:t>podporo</w:t>
      </w:r>
      <w:r w:rsidRPr="001048FE">
        <w:rPr>
          <w:spacing w:val="-13"/>
          <w:lang w:val="sl-SI"/>
        </w:rPr>
        <w:t xml:space="preserve"> </w:t>
      </w:r>
      <w:r w:rsidRPr="001048FE">
        <w:rPr>
          <w:lang w:val="sl-SI"/>
        </w:rPr>
        <w:t>skrbno</w:t>
      </w:r>
      <w:r w:rsidRPr="001048FE">
        <w:rPr>
          <w:spacing w:val="-13"/>
          <w:lang w:val="sl-SI"/>
        </w:rPr>
        <w:t xml:space="preserve"> </w:t>
      </w:r>
      <w:r w:rsidRPr="001048FE">
        <w:rPr>
          <w:lang w:val="sl-SI"/>
        </w:rPr>
        <w:t>preberejo ustrezna poglavja te</w:t>
      </w:r>
      <w:r w:rsidRPr="001048FE">
        <w:rPr>
          <w:spacing w:val="-7"/>
          <w:lang w:val="sl-SI"/>
        </w:rPr>
        <w:t xml:space="preserve"> </w:t>
      </w:r>
      <w:r w:rsidRPr="001048FE">
        <w:rPr>
          <w:lang w:val="sl-SI"/>
        </w:rPr>
        <w:t>priloge.</w:t>
      </w:r>
    </w:p>
    <w:p w14:paraId="7D398B16" w14:textId="77777777" w:rsidR="00E03711" w:rsidRDefault="00E03711" w:rsidP="00336C6B">
      <w:pPr>
        <w:pStyle w:val="Guide-Heading6"/>
        <w:rPr>
          <w:lang w:val="sl-SI"/>
        </w:rPr>
      </w:pPr>
    </w:p>
    <w:p w14:paraId="7D398B17" w14:textId="77777777" w:rsidR="00E03711" w:rsidRPr="001048FE" w:rsidRDefault="00E03711" w:rsidP="00336C6B">
      <w:pPr>
        <w:pStyle w:val="Guide-Heading6"/>
        <w:rPr>
          <w:lang w:val="sl-SI"/>
        </w:rPr>
        <w:sectPr w:rsidR="00E03711" w:rsidRPr="001048FE" w:rsidSect="007F4890">
          <w:endnotePr>
            <w:numFmt w:val="decimal"/>
          </w:endnotePr>
          <w:pgSz w:w="11910" w:h="16840" w:code="9"/>
          <w:pgMar w:top="1134" w:right="1418" w:bottom="1134" w:left="1418" w:header="283" w:footer="567" w:gutter="0"/>
          <w:cols w:space="720"/>
          <w:docGrid w:linePitch="326"/>
        </w:sectPr>
      </w:pPr>
    </w:p>
    <w:p w14:paraId="7D398B18" w14:textId="77777777" w:rsidR="00E03711" w:rsidRPr="001048FE" w:rsidRDefault="00E03711" w:rsidP="00336C6B">
      <w:pPr>
        <w:pStyle w:val="Guide-Heading6"/>
        <w:rPr>
          <w:lang w:val="sl-SI"/>
        </w:rPr>
      </w:pPr>
      <w:r w:rsidRPr="001048FE">
        <w:rPr>
          <w:lang w:val="sl-SI"/>
        </w:rPr>
        <w:t>Kakšna so pravila za dodelitev sredstev?</w:t>
      </w:r>
    </w:p>
    <w:p w14:paraId="7D398B19" w14:textId="77777777" w:rsidR="00E03711" w:rsidRPr="001048FE" w:rsidRDefault="00E03711" w:rsidP="00336C6B">
      <w:pPr>
        <w:pStyle w:val="GUIDE-NORMAL"/>
        <w:rPr>
          <w:lang w:val="sl-SI"/>
        </w:rPr>
      </w:pPr>
      <w:r w:rsidRPr="001048FE">
        <w:rPr>
          <w:lang w:val="sl-SI"/>
        </w:rPr>
        <w:t>Proračun projekta mobilnosti je treba pripraviti v skladu z naslednjimi pravili za dodelitev sredstev (v EUR):</w:t>
      </w:r>
    </w:p>
    <w:p w14:paraId="7D398B1A" w14:textId="77777777" w:rsidR="00E03711" w:rsidRPr="001048FE" w:rsidRDefault="00E03711" w:rsidP="00E23D2D">
      <w:pPr>
        <w:pStyle w:val="Guide-Heading7"/>
        <w:rPr>
          <w:lang w:val="sl-SI"/>
        </w:rPr>
      </w:pPr>
      <w:r w:rsidRPr="001048FE">
        <w:rPr>
          <w:lang w:val="sl-SI"/>
        </w:rPr>
        <w:t>a)  Pravila za dodelitev sredstev, ki veljajo za vse aktivnosti mobilnosti</w:t>
      </w:r>
    </w:p>
    <w:tbl>
      <w:tblPr>
        <w:tblW w:w="5003" w:type="pct"/>
        <w:tblLayout w:type="fixed"/>
        <w:tblLook w:val="0000" w:firstRow="0" w:lastRow="0" w:firstColumn="0" w:lastColumn="0" w:noHBand="0" w:noVBand="0"/>
      </w:tblPr>
      <w:tblGrid>
        <w:gridCol w:w="2299"/>
        <w:gridCol w:w="4685"/>
        <w:gridCol w:w="1915"/>
        <w:gridCol w:w="3152"/>
        <w:gridCol w:w="2746"/>
      </w:tblGrid>
      <w:tr w:rsidR="00E03711" w:rsidRPr="008C6F8C" w14:paraId="7D398B1F" w14:textId="77777777" w:rsidTr="004A5D6B">
        <w:trPr>
          <w:trHeight w:val="20"/>
        </w:trPr>
        <w:tc>
          <w:tcPr>
            <w:tcW w:w="2360" w:type="pct"/>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D398B1B" w14:textId="77777777" w:rsidR="00E03711" w:rsidRPr="00F769E0" w:rsidRDefault="00E03711" w:rsidP="00A13051">
            <w:pPr>
              <w:pStyle w:val="GUIDE-NORMAL"/>
              <w:spacing w:beforeLines="20" w:before="48" w:afterLines="20" w:after="48"/>
              <w:jc w:val="center"/>
              <w:rPr>
                <w:rFonts w:cs="Tahoma"/>
                <w:b/>
                <w:lang w:val="sl-SI" w:eastAsia="en-GB"/>
              </w:rPr>
            </w:pPr>
            <w:r w:rsidRPr="00F769E0">
              <w:rPr>
                <w:rFonts w:cs="Tahoma"/>
                <w:b/>
                <w:lang w:val="sl-SI" w:eastAsia="en-GB"/>
              </w:rPr>
              <w:t>Upravičeni stroški</w:t>
            </w:r>
          </w:p>
        </w:tc>
        <w:tc>
          <w:tcPr>
            <w:tcW w:w="647"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D398B1C" w14:textId="77777777" w:rsidR="00E03711" w:rsidRPr="00F769E0" w:rsidRDefault="00E03711" w:rsidP="00A13051">
            <w:pPr>
              <w:pStyle w:val="GUIDE-NORMAL"/>
              <w:spacing w:beforeLines="20" w:before="48" w:afterLines="20" w:after="48"/>
              <w:jc w:val="center"/>
              <w:rPr>
                <w:rFonts w:cs="Tahoma"/>
                <w:b/>
                <w:lang w:val="sl-SI" w:eastAsia="en-GB"/>
              </w:rPr>
            </w:pPr>
            <w:r w:rsidRPr="00F769E0">
              <w:rPr>
                <w:rFonts w:cs="Tahoma"/>
                <w:b/>
                <w:lang w:val="sl-SI" w:eastAsia="en-GB"/>
              </w:rPr>
              <w:t>Mehanizem financiranja</w:t>
            </w:r>
          </w:p>
        </w:tc>
        <w:tc>
          <w:tcPr>
            <w:tcW w:w="106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D398B1D" w14:textId="77777777" w:rsidR="00E03711" w:rsidRPr="00F769E0" w:rsidRDefault="00E03711" w:rsidP="00A13051">
            <w:pPr>
              <w:pStyle w:val="GUIDE-NORMAL"/>
              <w:spacing w:beforeLines="20" w:before="48" w:afterLines="20" w:after="48"/>
              <w:jc w:val="center"/>
              <w:rPr>
                <w:rFonts w:cs="Tahoma"/>
                <w:b/>
                <w:lang w:val="sl-SI" w:eastAsia="en-GB"/>
              </w:rPr>
            </w:pPr>
            <w:r w:rsidRPr="00F769E0">
              <w:rPr>
                <w:rFonts w:cs="Tahoma"/>
                <w:b/>
                <w:lang w:val="sl-SI" w:eastAsia="en-GB"/>
              </w:rPr>
              <w:t>Znesek</w:t>
            </w:r>
          </w:p>
        </w:tc>
        <w:tc>
          <w:tcPr>
            <w:tcW w:w="928"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D398B1E" w14:textId="77777777" w:rsidR="00E03711" w:rsidRPr="00F769E0" w:rsidRDefault="00E03711" w:rsidP="00A13051">
            <w:pPr>
              <w:pStyle w:val="GUIDE-NORMAL"/>
              <w:spacing w:beforeLines="20" w:before="48" w:afterLines="20" w:after="48"/>
              <w:jc w:val="center"/>
              <w:rPr>
                <w:rFonts w:cs="Tahoma"/>
                <w:b/>
                <w:lang w:val="sl-SI" w:eastAsia="en-GB"/>
              </w:rPr>
            </w:pPr>
            <w:r w:rsidRPr="00F769E0">
              <w:rPr>
                <w:rFonts w:cs="Tahoma"/>
                <w:b/>
                <w:lang w:val="sl-SI" w:eastAsia="en-GB"/>
              </w:rPr>
              <w:t>Pravilo dodelitve</w:t>
            </w:r>
          </w:p>
        </w:tc>
      </w:tr>
      <w:tr w:rsidR="00E03711" w:rsidRPr="00A6094F" w14:paraId="7D398B26" w14:textId="77777777" w:rsidTr="00B932BF">
        <w:trPr>
          <w:trHeight w:val="20"/>
        </w:trPr>
        <w:tc>
          <w:tcPr>
            <w:tcW w:w="777" w:type="pct"/>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20" w14:textId="77777777" w:rsidR="00E03711" w:rsidRPr="00F769E0" w:rsidRDefault="00E03711" w:rsidP="00A13051">
            <w:pPr>
              <w:pStyle w:val="GUIDE-NORMAL"/>
              <w:spacing w:beforeLines="20" w:before="48" w:afterLines="20" w:after="48"/>
              <w:jc w:val="left"/>
              <w:rPr>
                <w:rFonts w:cs="Tahoma"/>
                <w:b/>
                <w:lang w:val="sl-SI" w:eastAsia="en-GB"/>
              </w:rPr>
            </w:pPr>
            <w:r w:rsidRPr="00F769E0">
              <w:rPr>
                <w:rFonts w:cs="Tahoma"/>
                <w:b/>
                <w:lang w:val="sl-SI" w:eastAsia="en-GB"/>
              </w:rPr>
              <w:t>Pot</w:t>
            </w:r>
          </w:p>
        </w:tc>
        <w:tc>
          <w:tcPr>
            <w:tcW w:w="1583" w:type="pct"/>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21" w14:textId="77777777" w:rsidR="00E03711" w:rsidRPr="00F769E0" w:rsidRDefault="00E03711" w:rsidP="00347129">
            <w:pPr>
              <w:pStyle w:val="GUIDE-NORMAL"/>
              <w:jc w:val="left"/>
              <w:rPr>
                <w:rFonts w:cs="Tahoma"/>
                <w:lang w:val="sl-SI" w:eastAsia="en-GB"/>
              </w:rPr>
            </w:pPr>
            <w:r w:rsidRPr="00F769E0">
              <w:rPr>
                <w:rFonts w:cs="Tahoma"/>
                <w:lang w:val="sl-SI" w:eastAsia="en-GB"/>
              </w:rPr>
              <w:t>Prispevek za potne stroške udeležencev, vključno s spremljevalci, od njihovega kraja izvora do kraja izvajanja aktivnosti in nazaj.</w:t>
            </w:r>
          </w:p>
          <w:p w14:paraId="7D398B22" w14:textId="77777777" w:rsidR="00E03711" w:rsidRPr="00F769E0" w:rsidRDefault="00E03711" w:rsidP="00347129">
            <w:pPr>
              <w:pStyle w:val="GUIDE-NORMAL"/>
              <w:jc w:val="left"/>
              <w:rPr>
                <w:rFonts w:cs="Tahoma"/>
                <w:lang w:val="sl-SI" w:eastAsia="en-GB"/>
              </w:rPr>
            </w:pPr>
            <w:r w:rsidRPr="00F769E0">
              <w:rPr>
                <w:rFonts w:cs="Tahoma"/>
                <w:lang w:val="sl-SI" w:eastAsia="en-GB"/>
              </w:rPr>
              <w:t>V okviru aktivnosti ErasmusPro, potni stroški za pripravljalni obisk, če je primerno.</w:t>
            </w:r>
          </w:p>
        </w:tc>
        <w:tc>
          <w:tcPr>
            <w:tcW w:w="647" w:type="pct"/>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23" w14:textId="77777777" w:rsidR="00E03711" w:rsidRPr="00F769E0" w:rsidRDefault="00E03711" w:rsidP="00347129">
            <w:pPr>
              <w:pStyle w:val="GUIDE-NORMAL"/>
              <w:jc w:val="left"/>
              <w:rPr>
                <w:rFonts w:cs="Tahoma"/>
                <w:lang w:val="sl-SI" w:eastAsia="en-GB"/>
              </w:rPr>
            </w:pPr>
            <w:r w:rsidRPr="00F769E0">
              <w:rPr>
                <w:rFonts w:cs="Tahoma"/>
                <w:lang w:val="sl-SI" w:eastAsia="en-GB"/>
              </w:rPr>
              <w:t>Prispevek za stroške na enoto</w:t>
            </w:r>
          </w:p>
        </w:tc>
        <w:tc>
          <w:tcPr>
            <w:tcW w:w="106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24" w14:textId="77777777" w:rsidR="00E03711" w:rsidRPr="00F769E0" w:rsidRDefault="00E03711" w:rsidP="00347129">
            <w:pPr>
              <w:pStyle w:val="GUIDE-NORMAL"/>
              <w:spacing w:before="60" w:after="60"/>
              <w:jc w:val="left"/>
              <w:rPr>
                <w:rFonts w:cs="Tahoma"/>
                <w:lang w:val="sl-SI" w:eastAsia="en-GB"/>
              </w:rPr>
            </w:pPr>
            <w:r w:rsidRPr="00F769E0">
              <w:rPr>
                <w:rFonts w:cs="Tahoma"/>
                <w:lang w:val="sl-SI" w:eastAsia="en-GB"/>
              </w:rPr>
              <w:t xml:space="preserve">Za razdalje od 10 </w:t>
            </w:r>
            <w:r w:rsidRPr="00F769E0">
              <w:rPr>
                <w:rFonts w:cs="Tahoma"/>
                <w:lang w:val="sl-SI" w:eastAsia="en-GB"/>
              </w:rPr>
              <w:br/>
              <w:t>do 99 km: 20 EUR na udeleženca.</w:t>
            </w:r>
          </w:p>
        </w:tc>
        <w:tc>
          <w:tcPr>
            <w:tcW w:w="928" w:type="pct"/>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25" w14:textId="77777777" w:rsidR="00E03711" w:rsidRPr="00F769E0" w:rsidRDefault="00E03711" w:rsidP="00347129">
            <w:pPr>
              <w:pStyle w:val="GUIDE-NORMAL"/>
              <w:jc w:val="left"/>
              <w:rPr>
                <w:rFonts w:cs="Tahoma"/>
                <w:lang w:val="sl-SI" w:eastAsia="en-GB"/>
              </w:rPr>
            </w:pPr>
            <w:r w:rsidRPr="00F769E0">
              <w:rPr>
                <w:rFonts w:cs="Tahoma"/>
                <w:lang w:val="sl-SI" w:eastAsia="en-GB"/>
              </w:rPr>
              <w:t>Glede na razdaljo poti na udeleženca. Razdaljo je treba izračunati s kalkulatorjem razdalje, ki ga podpira Evropska komisija</w:t>
            </w:r>
            <w:r w:rsidRPr="00F769E0">
              <w:rPr>
                <w:rStyle w:val="FootnoteReference"/>
                <w:rFonts w:cs="Tahoma"/>
                <w:lang w:val="sl-SI" w:eastAsia="en-GB"/>
              </w:rPr>
              <w:footnoteReference w:id="41"/>
            </w:r>
            <w:r w:rsidRPr="00F769E0">
              <w:rPr>
                <w:rFonts w:cs="Tahoma"/>
                <w:lang w:val="sl-SI" w:eastAsia="en-GB"/>
              </w:rPr>
              <w:t>. Prijavitelj mora navesti razdaljo enosmerne poti za izračun zneska nepovratnih sredstev EU za kritje povratne poti</w:t>
            </w:r>
            <w:r w:rsidRPr="00F769E0">
              <w:rPr>
                <w:rStyle w:val="FootnoteReference"/>
                <w:rFonts w:cs="Tahoma"/>
                <w:lang w:val="sl-SI" w:eastAsia="en-GB"/>
              </w:rPr>
              <w:footnoteReference w:id="42"/>
            </w:r>
            <w:r w:rsidRPr="00F769E0">
              <w:rPr>
                <w:rFonts w:cs="Tahoma"/>
                <w:lang w:val="sl-SI" w:eastAsia="en-GB"/>
              </w:rPr>
              <w:t>.</w:t>
            </w:r>
          </w:p>
        </w:tc>
      </w:tr>
      <w:tr w:rsidR="00E03711" w:rsidRPr="00A6094F" w14:paraId="7D398B2C" w14:textId="77777777" w:rsidTr="00B932BF">
        <w:trPr>
          <w:trHeight w:val="20"/>
        </w:trPr>
        <w:tc>
          <w:tcPr>
            <w:tcW w:w="777"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27" w14:textId="77777777" w:rsidR="00E03711" w:rsidRPr="00F769E0" w:rsidRDefault="00E03711" w:rsidP="00A13051">
            <w:pPr>
              <w:pStyle w:val="GUIDE-NORMAL"/>
              <w:spacing w:beforeLines="20" w:before="48" w:afterLines="20" w:after="48"/>
              <w:jc w:val="left"/>
              <w:rPr>
                <w:rFonts w:cs="Tahoma"/>
                <w:b/>
                <w:bCs/>
                <w:sz w:val="2"/>
                <w:szCs w:val="2"/>
                <w:lang w:val="sl-SI" w:eastAsia="en-GB"/>
              </w:rPr>
            </w:pPr>
          </w:p>
        </w:tc>
        <w:tc>
          <w:tcPr>
            <w:tcW w:w="1583"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28" w14:textId="77777777" w:rsidR="00E03711" w:rsidRPr="00F769E0" w:rsidRDefault="00E03711" w:rsidP="00A13051">
            <w:pPr>
              <w:pStyle w:val="Guide-Table"/>
              <w:spacing w:beforeLines="20" w:before="48" w:afterLines="20" w:after="48"/>
              <w:jc w:val="left"/>
              <w:rPr>
                <w:rFonts w:cs="Tahoma"/>
                <w:b/>
                <w:bCs/>
                <w:sz w:val="2"/>
                <w:szCs w:val="2"/>
                <w:lang w:val="sl-SI" w:eastAsia="en-GB"/>
              </w:rPr>
            </w:pPr>
          </w:p>
        </w:tc>
        <w:tc>
          <w:tcPr>
            <w:tcW w:w="647"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29" w14:textId="77777777" w:rsidR="00E03711" w:rsidRPr="00F769E0" w:rsidRDefault="00E03711" w:rsidP="00A13051">
            <w:pPr>
              <w:pStyle w:val="Guide-Table"/>
              <w:spacing w:beforeLines="20" w:before="48" w:afterLines="20" w:after="48"/>
              <w:jc w:val="left"/>
              <w:rPr>
                <w:rFonts w:cs="Tahoma"/>
                <w:b/>
                <w:bCs/>
                <w:sz w:val="2"/>
                <w:szCs w:val="2"/>
                <w:lang w:val="sl-SI" w:eastAsia="en-GB"/>
              </w:rPr>
            </w:pPr>
          </w:p>
        </w:tc>
        <w:tc>
          <w:tcPr>
            <w:tcW w:w="106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2A" w14:textId="77777777" w:rsidR="00E03711" w:rsidRPr="00F769E0" w:rsidRDefault="00E03711" w:rsidP="00347129">
            <w:pPr>
              <w:pStyle w:val="GUIDE-NORMAL"/>
              <w:spacing w:before="60" w:after="60"/>
              <w:jc w:val="left"/>
              <w:rPr>
                <w:rFonts w:cs="Tahoma"/>
                <w:lang w:val="sl-SI" w:eastAsia="en-GB"/>
              </w:rPr>
            </w:pPr>
            <w:r w:rsidRPr="00F769E0">
              <w:rPr>
                <w:rFonts w:cs="Tahoma"/>
                <w:lang w:val="sl-SI" w:eastAsia="en-GB"/>
              </w:rPr>
              <w:t xml:space="preserve">Za razdalje od 100 </w:t>
            </w:r>
            <w:r w:rsidRPr="00F769E0">
              <w:rPr>
                <w:rFonts w:cs="Tahoma"/>
                <w:lang w:val="sl-SI" w:eastAsia="en-GB"/>
              </w:rPr>
              <w:br/>
              <w:t xml:space="preserve">do 499 km: 180 EUR </w:t>
            </w:r>
            <w:r w:rsidRPr="00F769E0">
              <w:rPr>
                <w:rFonts w:cs="Tahoma"/>
                <w:lang w:val="sl-SI" w:eastAsia="en-GB"/>
              </w:rPr>
              <w:br/>
              <w:t>na udeleženca.</w:t>
            </w:r>
          </w:p>
        </w:tc>
        <w:tc>
          <w:tcPr>
            <w:tcW w:w="928"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2B" w14:textId="77777777" w:rsidR="00E03711" w:rsidRPr="00F769E0" w:rsidRDefault="00E03711" w:rsidP="00A13051">
            <w:pPr>
              <w:pStyle w:val="Guide-Table"/>
              <w:spacing w:beforeLines="20" w:before="48" w:afterLines="20" w:after="48"/>
              <w:jc w:val="left"/>
              <w:rPr>
                <w:rFonts w:cs="Tahoma"/>
                <w:b/>
                <w:bCs/>
                <w:sz w:val="2"/>
                <w:szCs w:val="2"/>
                <w:lang w:val="sl-SI" w:eastAsia="en-GB"/>
              </w:rPr>
            </w:pPr>
          </w:p>
        </w:tc>
      </w:tr>
      <w:tr w:rsidR="00E03711" w:rsidRPr="00A6094F" w14:paraId="7D398B32" w14:textId="77777777" w:rsidTr="00B932BF">
        <w:trPr>
          <w:trHeight w:val="20"/>
        </w:trPr>
        <w:tc>
          <w:tcPr>
            <w:tcW w:w="777"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2D" w14:textId="77777777" w:rsidR="00E03711" w:rsidRPr="00F769E0" w:rsidRDefault="00E03711" w:rsidP="00A13051">
            <w:pPr>
              <w:pStyle w:val="GUIDE-NORMAL"/>
              <w:spacing w:beforeLines="20" w:before="48" w:afterLines="20" w:after="48"/>
              <w:jc w:val="left"/>
              <w:rPr>
                <w:rFonts w:cs="Tahoma"/>
                <w:b/>
                <w:bCs/>
                <w:sz w:val="2"/>
                <w:szCs w:val="2"/>
                <w:lang w:val="sl-SI" w:eastAsia="en-GB"/>
              </w:rPr>
            </w:pPr>
          </w:p>
        </w:tc>
        <w:tc>
          <w:tcPr>
            <w:tcW w:w="1583"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2E" w14:textId="77777777" w:rsidR="00E03711" w:rsidRPr="00F769E0" w:rsidRDefault="00E03711" w:rsidP="00A13051">
            <w:pPr>
              <w:pStyle w:val="Guide-Table"/>
              <w:spacing w:beforeLines="20" w:before="48" w:afterLines="20" w:after="48"/>
              <w:jc w:val="left"/>
              <w:rPr>
                <w:rFonts w:cs="Tahoma"/>
                <w:b/>
                <w:bCs/>
                <w:sz w:val="2"/>
                <w:szCs w:val="2"/>
                <w:lang w:val="sl-SI" w:eastAsia="en-GB"/>
              </w:rPr>
            </w:pPr>
          </w:p>
        </w:tc>
        <w:tc>
          <w:tcPr>
            <w:tcW w:w="647"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2F" w14:textId="77777777" w:rsidR="00E03711" w:rsidRPr="00F769E0" w:rsidRDefault="00E03711" w:rsidP="00A13051">
            <w:pPr>
              <w:pStyle w:val="Guide-Table"/>
              <w:spacing w:beforeLines="20" w:before="48" w:afterLines="20" w:after="48"/>
              <w:jc w:val="left"/>
              <w:rPr>
                <w:rFonts w:cs="Tahoma"/>
                <w:b/>
                <w:bCs/>
                <w:sz w:val="2"/>
                <w:szCs w:val="2"/>
                <w:lang w:val="sl-SI" w:eastAsia="en-GB"/>
              </w:rPr>
            </w:pPr>
          </w:p>
        </w:tc>
        <w:tc>
          <w:tcPr>
            <w:tcW w:w="106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30" w14:textId="77777777" w:rsidR="00E03711" w:rsidRPr="00F769E0" w:rsidRDefault="00E03711" w:rsidP="00347129">
            <w:pPr>
              <w:pStyle w:val="GUIDE-NORMAL"/>
              <w:spacing w:before="60" w:after="60"/>
              <w:jc w:val="left"/>
              <w:rPr>
                <w:rFonts w:cs="Tahoma"/>
                <w:lang w:val="sl-SI" w:eastAsia="en-GB"/>
              </w:rPr>
            </w:pPr>
            <w:r w:rsidRPr="00F769E0">
              <w:rPr>
                <w:rFonts w:cs="Tahoma"/>
                <w:lang w:val="sl-SI" w:eastAsia="en-GB"/>
              </w:rPr>
              <w:t xml:space="preserve">Za razdalje od 500 </w:t>
            </w:r>
            <w:r w:rsidRPr="00F769E0">
              <w:rPr>
                <w:rFonts w:cs="Tahoma"/>
                <w:lang w:val="sl-SI" w:eastAsia="en-GB"/>
              </w:rPr>
              <w:br/>
              <w:t>do 1 999 km: 275 EUR na udeleženca.</w:t>
            </w:r>
          </w:p>
        </w:tc>
        <w:tc>
          <w:tcPr>
            <w:tcW w:w="928"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31" w14:textId="77777777" w:rsidR="00E03711" w:rsidRPr="00F769E0" w:rsidRDefault="00E03711" w:rsidP="00A13051">
            <w:pPr>
              <w:pStyle w:val="Guide-Table"/>
              <w:spacing w:beforeLines="20" w:before="48" w:afterLines="20" w:after="48"/>
              <w:jc w:val="left"/>
              <w:rPr>
                <w:rFonts w:cs="Tahoma"/>
                <w:b/>
                <w:bCs/>
                <w:sz w:val="2"/>
                <w:szCs w:val="2"/>
                <w:lang w:val="sl-SI" w:eastAsia="en-GB"/>
              </w:rPr>
            </w:pPr>
          </w:p>
        </w:tc>
      </w:tr>
      <w:tr w:rsidR="00E03711" w:rsidRPr="00A6094F" w14:paraId="7D398B38" w14:textId="77777777" w:rsidTr="00B932BF">
        <w:trPr>
          <w:trHeight w:val="20"/>
        </w:trPr>
        <w:tc>
          <w:tcPr>
            <w:tcW w:w="777"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33" w14:textId="77777777" w:rsidR="00E03711" w:rsidRPr="00F769E0" w:rsidRDefault="00E03711" w:rsidP="00A13051">
            <w:pPr>
              <w:pStyle w:val="GUIDE-NORMAL"/>
              <w:spacing w:beforeLines="20" w:before="48" w:afterLines="20" w:after="48"/>
              <w:jc w:val="left"/>
              <w:rPr>
                <w:rFonts w:cs="Tahoma"/>
                <w:b/>
                <w:bCs/>
                <w:sz w:val="2"/>
                <w:szCs w:val="2"/>
                <w:lang w:val="sl-SI" w:eastAsia="en-GB"/>
              </w:rPr>
            </w:pPr>
          </w:p>
        </w:tc>
        <w:tc>
          <w:tcPr>
            <w:tcW w:w="1583"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34" w14:textId="77777777" w:rsidR="00E03711" w:rsidRPr="00F769E0" w:rsidRDefault="00E03711" w:rsidP="00A13051">
            <w:pPr>
              <w:pStyle w:val="Guide-Table"/>
              <w:spacing w:beforeLines="20" w:before="48" w:afterLines="20" w:after="48"/>
              <w:jc w:val="left"/>
              <w:rPr>
                <w:rFonts w:cs="Tahoma"/>
                <w:b/>
                <w:bCs/>
                <w:sz w:val="2"/>
                <w:szCs w:val="2"/>
                <w:lang w:val="sl-SI" w:eastAsia="en-GB"/>
              </w:rPr>
            </w:pPr>
          </w:p>
        </w:tc>
        <w:tc>
          <w:tcPr>
            <w:tcW w:w="647"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35" w14:textId="77777777" w:rsidR="00E03711" w:rsidRPr="00F769E0" w:rsidRDefault="00E03711" w:rsidP="00A13051">
            <w:pPr>
              <w:pStyle w:val="Guide-Table"/>
              <w:spacing w:beforeLines="20" w:before="48" w:afterLines="20" w:after="48"/>
              <w:jc w:val="left"/>
              <w:rPr>
                <w:rFonts w:cs="Tahoma"/>
                <w:b/>
                <w:bCs/>
                <w:sz w:val="2"/>
                <w:szCs w:val="2"/>
                <w:lang w:val="sl-SI" w:eastAsia="en-GB"/>
              </w:rPr>
            </w:pPr>
          </w:p>
        </w:tc>
        <w:tc>
          <w:tcPr>
            <w:tcW w:w="106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36" w14:textId="77777777" w:rsidR="00E03711" w:rsidRPr="00F769E0" w:rsidRDefault="00E03711" w:rsidP="00347129">
            <w:pPr>
              <w:pStyle w:val="GUIDE-NORMAL"/>
              <w:spacing w:before="60" w:after="60"/>
              <w:jc w:val="left"/>
              <w:rPr>
                <w:rFonts w:cs="Tahoma"/>
                <w:lang w:val="sl-SI" w:eastAsia="en-GB"/>
              </w:rPr>
            </w:pPr>
            <w:r w:rsidRPr="00F769E0">
              <w:rPr>
                <w:rFonts w:cs="Tahoma"/>
                <w:lang w:val="sl-SI" w:eastAsia="en-GB"/>
              </w:rPr>
              <w:t xml:space="preserve">Za razdalje od 2 000 </w:t>
            </w:r>
            <w:r w:rsidRPr="00F769E0">
              <w:rPr>
                <w:rFonts w:cs="Tahoma"/>
                <w:lang w:val="sl-SI" w:eastAsia="en-GB"/>
              </w:rPr>
              <w:br/>
              <w:t>do 2 999 km: 360 EUR na udeleženca.</w:t>
            </w:r>
          </w:p>
        </w:tc>
        <w:tc>
          <w:tcPr>
            <w:tcW w:w="928"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37" w14:textId="77777777" w:rsidR="00E03711" w:rsidRPr="00F769E0" w:rsidRDefault="00E03711" w:rsidP="00A13051">
            <w:pPr>
              <w:pStyle w:val="Guide-Table"/>
              <w:spacing w:beforeLines="20" w:before="48" w:afterLines="20" w:after="48"/>
              <w:jc w:val="left"/>
              <w:rPr>
                <w:rFonts w:cs="Tahoma"/>
                <w:b/>
                <w:bCs/>
                <w:sz w:val="2"/>
                <w:szCs w:val="2"/>
                <w:lang w:val="sl-SI" w:eastAsia="en-GB"/>
              </w:rPr>
            </w:pPr>
          </w:p>
        </w:tc>
      </w:tr>
      <w:tr w:rsidR="00E03711" w:rsidRPr="00A6094F" w14:paraId="7D398B3E" w14:textId="77777777" w:rsidTr="00B932BF">
        <w:trPr>
          <w:trHeight w:val="20"/>
        </w:trPr>
        <w:tc>
          <w:tcPr>
            <w:tcW w:w="777"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39" w14:textId="77777777" w:rsidR="00E03711" w:rsidRPr="00F769E0" w:rsidRDefault="00E03711" w:rsidP="00A13051">
            <w:pPr>
              <w:pStyle w:val="GUIDE-NORMAL"/>
              <w:spacing w:beforeLines="20" w:before="48" w:afterLines="20" w:after="48"/>
              <w:jc w:val="left"/>
              <w:rPr>
                <w:rFonts w:cs="Tahoma"/>
                <w:b/>
                <w:bCs/>
                <w:sz w:val="2"/>
                <w:szCs w:val="2"/>
                <w:lang w:val="sl-SI" w:eastAsia="en-GB"/>
              </w:rPr>
            </w:pPr>
          </w:p>
        </w:tc>
        <w:tc>
          <w:tcPr>
            <w:tcW w:w="1583"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3A" w14:textId="77777777" w:rsidR="00E03711" w:rsidRPr="00F769E0" w:rsidRDefault="00E03711" w:rsidP="00A13051">
            <w:pPr>
              <w:pStyle w:val="Guide-Table"/>
              <w:spacing w:beforeLines="20" w:before="48" w:afterLines="20" w:after="48"/>
              <w:jc w:val="left"/>
              <w:rPr>
                <w:rFonts w:cs="Tahoma"/>
                <w:b/>
                <w:bCs/>
                <w:sz w:val="2"/>
                <w:szCs w:val="2"/>
                <w:lang w:val="sl-SI" w:eastAsia="en-GB"/>
              </w:rPr>
            </w:pPr>
          </w:p>
        </w:tc>
        <w:tc>
          <w:tcPr>
            <w:tcW w:w="647"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3B" w14:textId="77777777" w:rsidR="00E03711" w:rsidRPr="00F769E0" w:rsidRDefault="00E03711" w:rsidP="00A13051">
            <w:pPr>
              <w:pStyle w:val="Guide-Table"/>
              <w:spacing w:beforeLines="20" w:before="48" w:afterLines="20" w:after="48"/>
              <w:jc w:val="left"/>
              <w:rPr>
                <w:rFonts w:cs="Tahoma"/>
                <w:b/>
                <w:bCs/>
                <w:sz w:val="2"/>
                <w:szCs w:val="2"/>
                <w:lang w:val="sl-SI" w:eastAsia="en-GB"/>
              </w:rPr>
            </w:pPr>
          </w:p>
        </w:tc>
        <w:tc>
          <w:tcPr>
            <w:tcW w:w="106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3C" w14:textId="77777777" w:rsidR="00E03711" w:rsidRPr="00F769E0" w:rsidRDefault="00E03711" w:rsidP="00347129">
            <w:pPr>
              <w:pStyle w:val="GUIDE-NORMAL"/>
              <w:spacing w:before="60" w:after="60"/>
              <w:jc w:val="left"/>
              <w:rPr>
                <w:rFonts w:cs="Tahoma"/>
                <w:lang w:val="sl-SI" w:eastAsia="en-GB"/>
              </w:rPr>
            </w:pPr>
            <w:r w:rsidRPr="00F769E0">
              <w:rPr>
                <w:rFonts w:cs="Tahoma"/>
                <w:lang w:val="sl-SI" w:eastAsia="en-GB"/>
              </w:rPr>
              <w:t xml:space="preserve">Za razdalje od 3 000 </w:t>
            </w:r>
            <w:r w:rsidRPr="00F769E0">
              <w:rPr>
                <w:rFonts w:cs="Tahoma"/>
                <w:lang w:val="sl-SI" w:eastAsia="en-GB"/>
              </w:rPr>
              <w:br/>
              <w:t>do 3 999 km: 530 EUR na udeleženca.</w:t>
            </w:r>
          </w:p>
        </w:tc>
        <w:tc>
          <w:tcPr>
            <w:tcW w:w="928"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3D" w14:textId="77777777" w:rsidR="00E03711" w:rsidRPr="00F769E0" w:rsidRDefault="00E03711" w:rsidP="00A13051">
            <w:pPr>
              <w:pStyle w:val="Guide-Table"/>
              <w:spacing w:beforeLines="20" w:before="48" w:afterLines="20" w:after="48"/>
              <w:jc w:val="left"/>
              <w:rPr>
                <w:rFonts w:cs="Tahoma"/>
                <w:b/>
                <w:bCs/>
                <w:sz w:val="2"/>
                <w:szCs w:val="2"/>
                <w:lang w:val="sl-SI" w:eastAsia="en-GB"/>
              </w:rPr>
            </w:pPr>
          </w:p>
        </w:tc>
      </w:tr>
      <w:tr w:rsidR="00E03711" w:rsidRPr="00A6094F" w14:paraId="7D398B44" w14:textId="77777777" w:rsidTr="00B932BF">
        <w:trPr>
          <w:trHeight w:val="20"/>
        </w:trPr>
        <w:tc>
          <w:tcPr>
            <w:tcW w:w="777"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3F" w14:textId="77777777" w:rsidR="00E03711" w:rsidRPr="00F769E0" w:rsidRDefault="00E03711" w:rsidP="00A13051">
            <w:pPr>
              <w:pStyle w:val="GUIDE-NORMAL"/>
              <w:spacing w:beforeLines="20" w:before="48" w:afterLines="20" w:after="48"/>
              <w:jc w:val="left"/>
              <w:rPr>
                <w:rFonts w:cs="Tahoma"/>
                <w:b/>
                <w:bCs/>
                <w:sz w:val="2"/>
                <w:szCs w:val="2"/>
                <w:lang w:val="sl-SI" w:eastAsia="en-GB"/>
              </w:rPr>
            </w:pPr>
          </w:p>
        </w:tc>
        <w:tc>
          <w:tcPr>
            <w:tcW w:w="1583"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40" w14:textId="77777777" w:rsidR="00E03711" w:rsidRPr="00F769E0" w:rsidRDefault="00E03711" w:rsidP="00A13051">
            <w:pPr>
              <w:pStyle w:val="Guide-Table"/>
              <w:spacing w:beforeLines="20" w:before="48" w:afterLines="20" w:after="48"/>
              <w:jc w:val="left"/>
              <w:rPr>
                <w:rFonts w:cs="Tahoma"/>
                <w:b/>
                <w:bCs/>
                <w:sz w:val="2"/>
                <w:szCs w:val="2"/>
                <w:lang w:val="sl-SI" w:eastAsia="en-GB"/>
              </w:rPr>
            </w:pPr>
          </w:p>
        </w:tc>
        <w:tc>
          <w:tcPr>
            <w:tcW w:w="647"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41" w14:textId="77777777" w:rsidR="00E03711" w:rsidRPr="00F769E0" w:rsidRDefault="00E03711" w:rsidP="00A13051">
            <w:pPr>
              <w:pStyle w:val="Guide-Table"/>
              <w:spacing w:beforeLines="20" w:before="48" w:afterLines="20" w:after="48"/>
              <w:jc w:val="left"/>
              <w:rPr>
                <w:rFonts w:cs="Tahoma"/>
                <w:b/>
                <w:bCs/>
                <w:sz w:val="2"/>
                <w:szCs w:val="2"/>
                <w:lang w:val="sl-SI" w:eastAsia="en-GB"/>
              </w:rPr>
            </w:pPr>
          </w:p>
        </w:tc>
        <w:tc>
          <w:tcPr>
            <w:tcW w:w="106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42" w14:textId="77777777" w:rsidR="00E03711" w:rsidRPr="00F769E0" w:rsidRDefault="00E03711" w:rsidP="00347129">
            <w:pPr>
              <w:pStyle w:val="GUIDE-NORMAL"/>
              <w:spacing w:before="60" w:after="60"/>
              <w:jc w:val="left"/>
              <w:rPr>
                <w:rFonts w:cs="Tahoma"/>
                <w:lang w:val="sl-SI" w:eastAsia="en-GB"/>
              </w:rPr>
            </w:pPr>
            <w:r w:rsidRPr="00F769E0">
              <w:rPr>
                <w:rFonts w:cs="Tahoma"/>
                <w:lang w:val="sl-SI" w:eastAsia="en-GB"/>
              </w:rPr>
              <w:t xml:space="preserve">Za razdalje od 4 000 </w:t>
            </w:r>
            <w:r w:rsidRPr="00F769E0">
              <w:rPr>
                <w:rFonts w:cs="Tahoma"/>
                <w:lang w:val="sl-SI" w:eastAsia="en-GB"/>
              </w:rPr>
              <w:br/>
              <w:t>do 7 999 km: 820 EUR na udeleženca.</w:t>
            </w:r>
          </w:p>
        </w:tc>
        <w:tc>
          <w:tcPr>
            <w:tcW w:w="928"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43" w14:textId="77777777" w:rsidR="00E03711" w:rsidRPr="00F769E0" w:rsidRDefault="00E03711" w:rsidP="00A13051">
            <w:pPr>
              <w:pStyle w:val="Guide-Table"/>
              <w:spacing w:beforeLines="20" w:before="48" w:afterLines="20" w:after="48"/>
              <w:jc w:val="left"/>
              <w:rPr>
                <w:rFonts w:cs="Tahoma"/>
                <w:b/>
                <w:bCs/>
                <w:sz w:val="2"/>
                <w:szCs w:val="2"/>
                <w:lang w:val="sl-SI" w:eastAsia="en-GB"/>
              </w:rPr>
            </w:pPr>
          </w:p>
        </w:tc>
      </w:tr>
      <w:tr w:rsidR="00E03711" w:rsidRPr="00A6094F" w14:paraId="7D398B4A" w14:textId="77777777" w:rsidTr="00B932BF">
        <w:trPr>
          <w:trHeight w:val="20"/>
        </w:trPr>
        <w:tc>
          <w:tcPr>
            <w:tcW w:w="777"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45" w14:textId="77777777" w:rsidR="00E03711" w:rsidRPr="00F769E0" w:rsidRDefault="00E03711" w:rsidP="00A13051">
            <w:pPr>
              <w:pStyle w:val="GUIDE-NORMAL"/>
              <w:spacing w:beforeLines="20" w:before="48" w:afterLines="20" w:after="48"/>
              <w:jc w:val="left"/>
              <w:rPr>
                <w:rFonts w:cs="Tahoma"/>
                <w:b/>
                <w:bCs/>
                <w:sz w:val="2"/>
                <w:szCs w:val="2"/>
                <w:lang w:val="sl-SI" w:eastAsia="en-GB"/>
              </w:rPr>
            </w:pPr>
          </w:p>
        </w:tc>
        <w:tc>
          <w:tcPr>
            <w:tcW w:w="1583"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46" w14:textId="77777777" w:rsidR="00E03711" w:rsidRPr="00F769E0" w:rsidRDefault="00E03711" w:rsidP="00A13051">
            <w:pPr>
              <w:pStyle w:val="Guide-Table"/>
              <w:spacing w:beforeLines="20" w:before="48" w:afterLines="20" w:after="48"/>
              <w:jc w:val="left"/>
              <w:rPr>
                <w:rFonts w:cs="Tahoma"/>
                <w:b/>
                <w:bCs/>
                <w:sz w:val="2"/>
                <w:szCs w:val="2"/>
                <w:lang w:val="sl-SI" w:eastAsia="en-GB"/>
              </w:rPr>
            </w:pPr>
          </w:p>
        </w:tc>
        <w:tc>
          <w:tcPr>
            <w:tcW w:w="647"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47" w14:textId="77777777" w:rsidR="00E03711" w:rsidRPr="00F769E0" w:rsidRDefault="00E03711" w:rsidP="00A13051">
            <w:pPr>
              <w:pStyle w:val="Guide-Table"/>
              <w:spacing w:beforeLines="20" w:before="48" w:afterLines="20" w:after="48"/>
              <w:jc w:val="left"/>
              <w:rPr>
                <w:rFonts w:cs="Tahoma"/>
                <w:b/>
                <w:bCs/>
                <w:sz w:val="2"/>
                <w:szCs w:val="2"/>
                <w:lang w:val="sl-SI" w:eastAsia="en-GB"/>
              </w:rPr>
            </w:pPr>
          </w:p>
        </w:tc>
        <w:tc>
          <w:tcPr>
            <w:tcW w:w="106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48" w14:textId="77777777" w:rsidR="00E03711" w:rsidRPr="00F769E0" w:rsidRDefault="00E03711" w:rsidP="00347129">
            <w:pPr>
              <w:pStyle w:val="GUIDE-NORMAL"/>
              <w:spacing w:before="60" w:after="60"/>
              <w:jc w:val="left"/>
              <w:rPr>
                <w:rFonts w:cs="Tahoma"/>
                <w:lang w:val="sl-SI" w:eastAsia="en-GB"/>
              </w:rPr>
            </w:pPr>
            <w:r w:rsidRPr="00F769E0">
              <w:rPr>
                <w:rFonts w:cs="Tahoma"/>
                <w:lang w:val="sl-SI" w:eastAsia="en-GB"/>
              </w:rPr>
              <w:t xml:space="preserve">Za razdalje 8 000 km </w:t>
            </w:r>
            <w:r w:rsidRPr="00F769E0">
              <w:rPr>
                <w:rFonts w:cs="Tahoma"/>
                <w:lang w:val="sl-SI" w:eastAsia="en-GB"/>
              </w:rPr>
              <w:br/>
              <w:t>ali več: 1 500 EUR na udeleženca.</w:t>
            </w:r>
          </w:p>
        </w:tc>
        <w:tc>
          <w:tcPr>
            <w:tcW w:w="928" w:type="pct"/>
            <w:vMerge/>
            <w:tcBorders>
              <w:top w:val="nil"/>
              <w:left w:val="single" w:sz="4" w:space="0" w:color="000000"/>
              <w:bottom w:val="single" w:sz="4" w:space="0" w:color="000000"/>
              <w:right w:val="single" w:sz="4" w:space="0" w:color="000000"/>
            </w:tcBorders>
            <w:tcMar>
              <w:left w:w="108" w:type="dxa"/>
              <w:right w:w="108" w:type="dxa"/>
            </w:tcMar>
            <w:vAlign w:val="center"/>
          </w:tcPr>
          <w:p w14:paraId="7D398B49" w14:textId="77777777" w:rsidR="00E03711" w:rsidRPr="00F769E0" w:rsidRDefault="00E03711" w:rsidP="00A13051">
            <w:pPr>
              <w:pStyle w:val="Guide-Table"/>
              <w:spacing w:beforeLines="20" w:before="48" w:afterLines="20" w:after="48"/>
              <w:jc w:val="left"/>
              <w:rPr>
                <w:rFonts w:cs="Tahoma"/>
                <w:b/>
                <w:bCs/>
                <w:sz w:val="2"/>
                <w:szCs w:val="2"/>
                <w:lang w:val="sl-SI" w:eastAsia="en-GB"/>
              </w:rPr>
            </w:pPr>
          </w:p>
        </w:tc>
      </w:tr>
      <w:tr w:rsidR="00E03711" w:rsidRPr="008C6F8C" w14:paraId="7D398B52" w14:textId="77777777" w:rsidTr="00B932BF">
        <w:trPr>
          <w:trHeight w:val="20"/>
        </w:trPr>
        <w:tc>
          <w:tcPr>
            <w:tcW w:w="777"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4B" w14:textId="77777777" w:rsidR="00E03711" w:rsidRPr="00F769E0" w:rsidRDefault="00E03711" w:rsidP="000E314C">
            <w:pPr>
              <w:pStyle w:val="GUIDE-NORMAL"/>
              <w:spacing w:before="60" w:after="60"/>
              <w:jc w:val="left"/>
              <w:rPr>
                <w:rFonts w:cs="Tahoma"/>
                <w:b/>
                <w:lang w:val="sl-SI" w:eastAsia="en-GB"/>
              </w:rPr>
            </w:pPr>
            <w:r w:rsidRPr="00F769E0">
              <w:rPr>
                <w:rFonts w:cs="Tahoma"/>
                <w:b/>
                <w:lang w:val="sl-SI" w:eastAsia="en-GB"/>
              </w:rPr>
              <w:t>Organizacijska podpora</w:t>
            </w:r>
          </w:p>
        </w:tc>
        <w:tc>
          <w:tcPr>
            <w:tcW w:w="158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4C"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Stroški, neposredno povezani z izvajanjem mobilnosti (razen stroški bivanja za udeležence), vključno s pripravo (pedagoško, medkulturno, jezikovno), spremljanjem udeležencev in podporo zanje v času mobilnosti, potrjevanjem učnih rezultatov in aktivnostmi razširjanja.</w:t>
            </w:r>
          </w:p>
        </w:tc>
        <w:tc>
          <w:tcPr>
            <w:tcW w:w="647"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4D"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06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4E"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Do 100. udeleženca: 350 EUR na udeleženca.</w:t>
            </w:r>
          </w:p>
          <w:p w14:paraId="7D398B4F"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w:t>
            </w:r>
          </w:p>
          <w:p w14:paraId="7D398B50"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po 100. udeležencu: 200 EUR na dodatnega udeleženca.</w:t>
            </w:r>
          </w:p>
        </w:tc>
        <w:tc>
          <w:tcPr>
            <w:tcW w:w="92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51"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Glede na število udeležencev.</w:t>
            </w:r>
          </w:p>
        </w:tc>
      </w:tr>
      <w:tr w:rsidR="00E03711" w:rsidRPr="00A6094F" w14:paraId="7D398B58" w14:textId="77777777" w:rsidTr="00B932BF">
        <w:trPr>
          <w:trHeight w:val="20"/>
        </w:trPr>
        <w:tc>
          <w:tcPr>
            <w:tcW w:w="777"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53" w14:textId="77777777" w:rsidR="00E03711" w:rsidRPr="00F769E0" w:rsidRDefault="00E03711" w:rsidP="000E314C">
            <w:pPr>
              <w:pStyle w:val="GUIDE-NORMAL"/>
              <w:spacing w:before="60" w:after="60"/>
              <w:jc w:val="left"/>
              <w:rPr>
                <w:rFonts w:cs="Tahoma"/>
                <w:b/>
                <w:lang w:val="sl-SI" w:eastAsia="en-GB"/>
              </w:rPr>
            </w:pPr>
            <w:r w:rsidRPr="00F769E0">
              <w:rPr>
                <w:rFonts w:cs="Tahoma"/>
                <w:b/>
                <w:lang w:val="sl-SI" w:eastAsia="en-GB"/>
              </w:rPr>
              <w:t>Podpora za posebne potrebe</w:t>
            </w:r>
          </w:p>
        </w:tc>
        <w:tc>
          <w:tcPr>
            <w:tcW w:w="158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54"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Dodatni stroški, neposredno povezani z invalidnimi udeleženci in spremljevalci (vključno s stroški poti in bivanja, če so utemeljeni in če nepovratna sredstva za te udeležence niso zahtevana prek proračunskih kategorij „Pot“ in „Individualna podpora“).</w:t>
            </w:r>
          </w:p>
        </w:tc>
        <w:tc>
          <w:tcPr>
            <w:tcW w:w="647"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55"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Dejanski stroški</w:t>
            </w:r>
          </w:p>
        </w:tc>
        <w:tc>
          <w:tcPr>
            <w:tcW w:w="106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56"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Do 100 % upravičenih stroškov</w:t>
            </w:r>
          </w:p>
        </w:tc>
        <w:tc>
          <w:tcPr>
            <w:tcW w:w="92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57"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Pogoj: zahtevek za finančno podporo za kritje podpore udeležencem s posebnimi potrebami mora biti utemeljen v prijavnem obrazcu.</w:t>
            </w:r>
          </w:p>
        </w:tc>
      </w:tr>
      <w:tr w:rsidR="00E03711" w:rsidRPr="00A6094F" w14:paraId="7D398B62" w14:textId="77777777" w:rsidTr="00B932BF">
        <w:trPr>
          <w:trHeight w:val="20"/>
        </w:trPr>
        <w:tc>
          <w:tcPr>
            <w:tcW w:w="777"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59" w14:textId="77777777" w:rsidR="00E03711" w:rsidRPr="00F769E0" w:rsidRDefault="00E03711" w:rsidP="000E314C">
            <w:pPr>
              <w:pStyle w:val="GUIDE-NORMAL"/>
              <w:spacing w:before="60" w:after="60"/>
              <w:jc w:val="left"/>
              <w:rPr>
                <w:rFonts w:cs="Tahoma"/>
                <w:b/>
                <w:lang w:val="sl-SI" w:eastAsia="en-GB"/>
              </w:rPr>
            </w:pPr>
            <w:r w:rsidRPr="00F769E0">
              <w:rPr>
                <w:rFonts w:cs="Tahoma"/>
                <w:b/>
                <w:lang w:val="sl-SI" w:eastAsia="en-GB"/>
              </w:rPr>
              <w:t>Izredni stroški</w:t>
            </w:r>
          </w:p>
        </w:tc>
        <w:tc>
          <w:tcPr>
            <w:tcW w:w="1583"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5A"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Dodatni stroški za podporo za udeležbo dijakov z manj priložnostmi (razen potnih stroškov in stroškov za individualno podporo za udeležence in spremljevalce).</w:t>
            </w:r>
          </w:p>
          <w:p w14:paraId="7D398B5B"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Stroški zagotavljanja finančnega jamstva, če ga zahteva nacionalna agencija.</w:t>
            </w:r>
          </w:p>
          <w:p w14:paraId="7D398B5C" w14:textId="77777777" w:rsidR="00E03711" w:rsidRPr="00F769E0" w:rsidRDefault="00E03711">
            <w:pPr>
              <w:pStyle w:val="GUIDE-NORMAL"/>
              <w:spacing w:before="60" w:after="60"/>
              <w:jc w:val="left"/>
              <w:rPr>
                <w:rFonts w:cs="Tahoma"/>
                <w:lang w:val="sl-SI" w:eastAsia="en-GB"/>
              </w:rPr>
            </w:pPr>
            <w:r w:rsidRPr="00F769E0">
              <w:rPr>
                <w:rFonts w:cs="Tahoma"/>
                <w:lang w:val="sl-SI" w:eastAsia="en-GB"/>
              </w:rPr>
              <w:t>Dragi potni stroški</w:t>
            </w:r>
            <w:r>
              <w:rPr>
                <w:rFonts w:cs="Tahoma"/>
                <w:lang w:val="sl-SI" w:eastAsia="en-GB"/>
              </w:rPr>
              <w:t>, vključno z uporabo čistejših prevoznih sredstev, z manj emisijami ogljika</w:t>
            </w:r>
            <w:r w:rsidRPr="00F769E0">
              <w:rPr>
                <w:rFonts w:cs="Tahoma"/>
                <w:lang w:val="sl-SI" w:eastAsia="en-GB"/>
              </w:rPr>
              <w:t xml:space="preserve"> (za podrobnosti glej poglavje „Kaj je še treba vedeti o tem ukrepu?“).</w:t>
            </w:r>
          </w:p>
        </w:tc>
        <w:tc>
          <w:tcPr>
            <w:tcW w:w="647"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5D"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Dejanski stroški</w:t>
            </w:r>
          </w:p>
        </w:tc>
        <w:tc>
          <w:tcPr>
            <w:tcW w:w="106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5E"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Stroški finančnega jamstva: 75 % upravičenih stroškov.</w:t>
            </w:r>
          </w:p>
          <w:p w14:paraId="7D398B5F"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Drugi stroški: 100 % upravičenih stroškov.</w:t>
            </w:r>
          </w:p>
          <w:p w14:paraId="7D398B60"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Dragi potni stroški: Do največ 80 % upravičenih stroškov</w:t>
            </w:r>
          </w:p>
        </w:tc>
        <w:tc>
          <w:tcPr>
            <w:tcW w:w="92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61"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Pogoj: zahtevek za finančno podporo za kritje izrednih stroškov mora biti utemeljen v prijavnem obrazcu.</w:t>
            </w:r>
          </w:p>
        </w:tc>
      </w:tr>
    </w:tbl>
    <w:p w14:paraId="7D398B63" w14:textId="77777777" w:rsidR="00401913" w:rsidRDefault="00401913">
      <w:pPr>
        <w:widowControl/>
        <w:suppressAutoHyphens w:val="0"/>
        <w:autoSpaceDN/>
        <w:textAlignment w:val="auto"/>
        <w:rPr>
          <w:rFonts w:eastAsia="Times New Roman"/>
          <w:b/>
          <w:smallCaps/>
          <w:sz w:val="18"/>
          <w:szCs w:val="28"/>
          <w:lang w:val="sl-SI"/>
        </w:rPr>
      </w:pPr>
      <w:bookmarkStart w:id="169" w:name="B)_Financement_supplémentaire_applicable"/>
      <w:bookmarkEnd w:id="169"/>
    </w:p>
    <w:p w14:paraId="7D398B64" w14:textId="77777777" w:rsidR="00401913" w:rsidRDefault="00401913">
      <w:pPr>
        <w:widowControl/>
        <w:suppressAutoHyphens w:val="0"/>
        <w:autoSpaceDN/>
        <w:textAlignment w:val="auto"/>
        <w:rPr>
          <w:rFonts w:eastAsia="Times New Roman"/>
          <w:b/>
          <w:smallCaps/>
          <w:sz w:val="18"/>
          <w:szCs w:val="28"/>
          <w:lang w:val="sl-SI"/>
        </w:rPr>
      </w:pPr>
      <w:r>
        <w:rPr>
          <w:rFonts w:eastAsia="Times New Roman"/>
          <w:b/>
          <w:smallCaps/>
          <w:sz w:val="18"/>
          <w:szCs w:val="28"/>
          <w:lang w:val="sl-SI"/>
        </w:rPr>
        <w:br w:type="page"/>
      </w:r>
    </w:p>
    <w:p w14:paraId="7D398B65" w14:textId="77777777" w:rsidR="00E03711" w:rsidRPr="001048FE" w:rsidRDefault="00E03711">
      <w:pPr>
        <w:widowControl/>
        <w:suppressAutoHyphens w:val="0"/>
        <w:autoSpaceDN/>
        <w:textAlignment w:val="auto"/>
        <w:rPr>
          <w:rFonts w:eastAsia="Times New Roman"/>
          <w:b/>
          <w:smallCaps/>
          <w:sz w:val="18"/>
          <w:szCs w:val="28"/>
          <w:lang w:val="sl-SI"/>
        </w:rPr>
      </w:pPr>
    </w:p>
    <w:p w14:paraId="7D398B66" w14:textId="77777777" w:rsidR="00E03711" w:rsidRPr="001048FE" w:rsidRDefault="00E03711" w:rsidP="00C0784B">
      <w:pPr>
        <w:pStyle w:val="Guide-Heading7"/>
        <w:rPr>
          <w:lang w:val="sl-SI"/>
        </w:rPr>
      </w:pPr>
      <w:r w:rsidRPr="001048FE">
        <w:rPr>
          <w:lang w:val="sl-SI"/>
        </w:rPr>
        <w:t>b)  Dodatna sredstva v zvezi z mobilnostjo dijakov v poklicnem izobraževanju in usposabljanju</w:t>
      </w:r>
    </w:p>
    <w:tbl>
      <w:tblPr>
        <w:tblW w:w="5002" w:type="pct"/>
        <w:tblLayout w:type="fixed"/>
        <w:tblCellMar>
          <w:left w:w="0" w:type="dxa"/>
          <w:right w:w="0" w:type="dxa"/>
        </w:tblCellMar>
        <w:tblLook w:val="0000" w:firstRow="0" w:lastRow="0" w:firstColumn="0" w:lastColumn="0" w:noHBand="0" w:noVBand="0"/>
      </w:tblPr>
      <w:tblGrid>
        <w:gridCol w:w="2322"/>
        <w:gridCol w:w="4678"/>
        <w:gridCol w:w="1891"/>
        <w:gridCol w:w="3151"/>
        <w:gridCol w:w="2752"/>
      </w:tblGrid>
      <w:tr w:rsidR="00E03711" w:rsidRPr="008C6F8C" w14:paraId="7D398B6B" w14:textId="77777777" w:rsidTr="00A205B7">
        <w:trPr>
          <w:trHeight w:val="20"/>
        </w:trPr>
        <w:tc>
          <w:tcPr>
            <w:tcW w:w="2366" w:type="pct"/>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D398B67" w14:textId="77777777" w:rsidR="00E03711" w:rsidRPr="00F769E0" w:rsidRDefault="00E03711" w:rsidP="004A5D6B">
            <w:pPr>
              <w:pStyle w:val="GUIDE-NORMAL"/>
              <w:spacing w:before="20" w:after="20"/>
              <w:jc w:val="center"/>
              <w:rPr>
                <w:rFonts w:cs="Tahoma"/>
                <w:b/>
                <w:lang w:val="sl-SI" w:eastAsia="en-GB"/>
              </w:rPr>
            </w:pPr>
            <w:r w:rsidRPr="00F769E0">
              <w:rPr>
                <w:rFonts w:cs="Tahoma"/>
                <w:b/>
                <w:lang w:val="sl-SI" w:eastAsia="en-GB"/>
              </w:rPr>
              <w:t>Upravičeni stroški</w:t>
            </w:r>
          </w:p>
        </w:tc>
        <w:tc>
          <w:tcPr>
            <w:tcW w:w="639"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D398B68" w14:textId="77777777" w:rsidR="00E03711" w:rsidRPr="00F769E0" w:rsidRDefault="00E03711" w:rsidP="004A5D6B">
            <w:pPr>
              <w:pStyle w:val="GUIDE-NORMAL"/>
              <w:spacing w:before="20" w:after="20"/>
              <w:jc w:val="center"/>
              <w:rPr>
                <w:rFonts w:cs="Tahoma"/>
                <w:b/>
                <w:lang w:val="sl-SI" w:eastAsia="en-GB"/>
              </w:rPr>
            </w:pPr>
            <w:r w:rsidRPr="00F769E0">
              <w:rPr>
                <w:rFonts w:cs="Tahoma"/>
                <w:b/>
                <w:lang w:val="sl-SI" w:eastAsia="en-GB"/>
              </w:rPr>
              <w:t>Mehanizem financiranja</w:t>
            </w:r>
          </w:p>
        </w:tc>
        <w:tc>
          <w:tcPr>
            <w:tcW w:w="106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D398B69" w14:textId="77777777" w:rsidR="00E03711" w:rsidRPr="00F769E0" w:rsidRDefault="00E03711" w:rsidP="004A5D6B">
            <w:pPr>
              <w:pStyle w:val="GUIDE-NORMAL"/>
              <w:spacing w:before="20" w:after="20"/>
              <w:jc w:val="center"/>
              <w:rPr>
                <w:rFonts w:cs="Tahoma"/>
                <w:b/>
                <w:lang w:val="sl-SI" w:eastAsia="en-GB"/>
              </w:rPr>
            </w:pPr>
            <w:r w:rsidRPr="00F769E0">
              <w:rPr>
                <w:rFonts w:cs="Tahoma"/>
                <w:b/>
                <w:lang w:val="sl-SI" w:eastAsia="en-GB"/>
              </w:rPr>
              <w:t>Znesek</w:t>
            </w:r>
          </w:p>
        </w:tc>
        <w:tc>
          <w:tcPr>
            <w:tcW w:w="930"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D398B6A" w14:textId="77777777" w:rsidR="00E03711" w:rsidRPr="00F769E0" w:rsidRDefault="00E03711" w:rsidP="004A5D6B">
            <w:pPr>
              <w:pStyle w:val="GUIDE-NORMAL"/>
              <w:spacing w:before="20" w:after="20"/>
              <w:jc w:val="center"/>
              <w:rPr>
                <w:rFonts w:cs="Tahoma"/>
                <w:b/>
                <w:lang w:val="sl-SI" w:eastAsia="en-GB"/>
              </w:rPr>
            </w:pPr>
            <w:r w:rsidRPr="00F769E0">
              <w:rPr>
                <w:rFonts w:cs="Tahoma"/>
                <w:b/>
                <w:lang w:val="sl-SI" w:eastAsia="en-GB"/>
              </w:rPr>
              <w:t>Pravilo dodelitve</w:t>
            </w:r>
          </w:p>
        </w:tc>
      </w:tr>
      <w:tr w:rsidR="00E03711" w:rsidRPr="00A6094F" w14:paraId="7D398B73" w14:textId="77777777" w:rsidTr="00A205B7">
        <w:trPr>
          <w:trHeight w:val="20"/>
        </w:trPr>
        <w:tc>
          <w:tcPr>
            <w:tcW w:w="785" w:type="pct"/>
            <w:vMerge w:val="restart"/>
            <w:tcBorders>
              <w:top w:val="single" w:sz="4" w:space="0" w:color="000000"/>
              <w:left w:val="single" w:sz="4" w:space="0" w:color="000000"/>
              <w:right w:val="single" w:sz="4" w:space="0" w:color="000000"/>
            </w:tcBorders>
            <w:tcMar>
              <w:left w:w="108" w:type="dxa"/>
              <w:right w:w="108" w:type="dxa"/>
            </w:tcMar>
            <w:vAlign w:val="center"/>
          </w:tcPr>
          <w:p w14:paraId="7D398B6C" w14:textId="77777777" w:rsidR="00E03711" w:rsidRPr="00F769E0" w:rsidRDefault="00E03711" w:rsidP="000E314C">
            <w:pPr>
              <w:pStyle w:val="GUIDE-NORMAL"/>
              <w:spacing w:before="60" w:after="60"/>
              <w:jc w:val="left"/>
              <w:rPr>
                <w:rFonts w:cs="Tahoma"/>
                <w:b/>
                <w:lang w:val="sl-SI" w:eastAsia="en-GB"/>
              </w:rPr>
            </w:pPr>
            <w:r w:rsidRPr="00F769E0">
              <w:rPr>
                <w:rFonts w:cs="Tahoma"/>
                <w:b/>
                <w:lang w:val="sl-SI" w:eastAsia="en-GB"/>
              </w:rPr>
              <w:t>Individualna podpora</w:t>
            </w:r>
          </w:p>
        </w:tc>
        <w:tc>
          <w:tcPr>
            <w:tcW w:w="15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6D"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 xml:space="preserve">Stroški, neposredno povezani </w:t>
            </w:r>
            <w:r w:rsidRPr="00F769E0">
              <w:rPr>
                <w:rFonts w:cs="Tahoma"/>
                <w:lang w:val="sl-SI" w:eastAsia="en-GB"/>
              </w:rPr>
              <w:br/>
              <w:t>z bivanjem udeležencev, vključno s spremljevalci</w:t>
            </w:r>
            <w:r>
              <w:rPr>
                <w:rStyle w:val="FootnoteReference"/>
                <w:rFonts w:cs="Tahoma"/>
                <w:lang w:val="sl-SI" w:eastAsia="en-GB"/>
              </w:rPr>
              <w:footnoteReference w:id="43"/>
            </w:r>
            <w:r w:rsidRPr="00F769E0">
              <w:rPr>
                <w:rFonts w:cs="Tahoma"/>
                <w:lang w:val="sl-SI" w:eastAsia="en-GB"/>
              </w:rPr>
              <w:t xml:space="preserve">, </w:t>
            </w:r>
            <w:r w:rsidRPr="00F769E0">
              <w:rPr>
                <w:rFonts w:cs="Tahoma"/>
                <w:lang w:val="sl-SI" w:eastAsia="en-GB"/>
              </w:rPr>
              <w:br/>
              <w:t>med aktivnostjo.</w:t>
            </w:r>
          </w:p>
        </w:tc>
        <w:tc>
          <w:tcPr>
            <w:tcW w:w="639" w:type="pct"/>
            <w:vMerge w:val="restart"/>
            <w:tcBorders>
              <w:top w:val="single" w:sz="4" w:space="0" w:color="000000"/>
              <w:left w:val="single" w:sz="4" w:space="0" w:color="000000"/>
              <w:right w:val="single" w:sz="4" w:space="0" w:color="000000"/>
            </w:tcBorders>
            <w:tcMar>
              <w:left w:w="108" w:type="dxa"/>
              <w:right w:w="108" w:type="dxa"/>
            </w:tcMar>
            <w:vAlign w:val="center"/>
          </w:tcPr>
          <w:p w14:paraId="7D398B6E"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Prispevek za stroške na enoto</w:t>
            </w:r>
          </w:p>
        </w:tc>
        <w:tc>
          <w:tcPr>
            <w:tcW w:w="106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6F"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Do 14. dneva aktivnosti: A2.1 na dan na udeleženca</w:t>
            </w:r>
          </w:p>
          <w:p w14:paraId="7D398B70"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w:t>
            </w:r>
          </w:p>
          <w:p w14:paraId="7D398B71" w14:textId="77777777" w:rsidR="00E03711" w:rsidRPr="00F769E0" w:rsidRDefault="00E03711" w:rsidP="00122DE1">
            <w:pPr>
              <w:pStyle w:val="GUIDE-NORMAL"/>
              <w:spacing w:before="60" w:after="60"/>
              <w:jc w:val="left"/>
              <w:rPr>
                <w:rFonts w:cs="Tahoma"/>
                <w:lang w:val="sl-SI" w:eastAsia="en-GB"/>
              </w:rPr>
            </w:pPr>
            <w:r w:rsidRPr="00F769E0">
              <w:rPr>
                <w:rFonts w:cs="Tahoma"/>
                <w:lang w:val="sl-SI" w:eastAsia="en-GB"/>
              </w:rPr>
              <w:t xml:space="preserve">od 15. dneva aktivnosti do </w:t>
            </w:r>
            <w:r w:rsidRPr="00F769E0">
              <w:rPr>
                <w:rFonts w:cs="Tahoma"/>
                <w:lang w:val="sl-SI" w:eastAsia="en-GB"/>
              </w:rPr>
              <w:br/>
              <w:t>12 mesecev: 70 % A2.1 na dan na udeleženca.</w:t>
            </w:r>
          </w:p>
        </w:tc>
        <w:tc>
          <w:tcPr>
            <w:tcW w:w="930"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72"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Glede na trajanje bivanja na udeleženca (po potrebi vključno z enim dnem poti pred aktivnostjo in enim dnem poti po aktivnosti).</w:t>
            </w:r>
          </w:p>
        </w:tc>
      </w:tr>
      <w:tr w:rsidR="00E03711" w:rsidRPr="00A6094F" w14:paraId="7D398B79" w14:textId="77777777" w:rsidTr="00A205B7">
        <w:trPr>
          <w:trHeight w:val="20"/>
        </w:trPr>
        <w:tc>
          <w:tcPr>
            <w:tcW w:w="785" w:type="pct"/>
            <w:vMerge/>
            <w:tcBorders>
              <w:left w:val="single" w:sz="4" w:space="0" w:color="000000"/>
              <w:bottom w:val="single" w:sz="4" w:space="0" w:color="000000"/>
              <w:right w:val="single" w:sz="4" w:space="0" w:color="000000"/>
            </w:tcBorders>
            <w:tcMar>
              <w:left w:w="108" w:type="dxa"/>
              <w:right w:w="108" w:type="dxa"/>
            </w:tcMar>
            <w:vAlign w:val="center"/>
          </w:tcPr>
          <w:p w14:paraId="7D398B74" w14:textId="77777777" w:rsidR="00E03711" w:rsidRPr="001048FE" w:rsidRDefault="00E03711" w:rsidP="000E314C">
            <w:pPr>
              <w:pStyle w:val="GUIDE-NORMAL"/>
              <w:spacing w:before="60" w:after="60"/>
              <w:jc w:val="left"/>
              <w:rPr>
                <w:rFonts w:ascii="Times New Roman" w:hAnsi="Times New Roman"/>
                <w:b/>
                <w:sz w:val="16"/>
                <w:szCs w:val="16"/>
                <w:lang w:val="sl-SI" w:eastAsia="en-GB"/>
              </w:rPr>
            </w:pPr>
          </w:p>
        </w:tc>
        <w:tc>
          <w:tcPr>
            <w:tcW w:w="15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75"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V okviru aktivnosti ErasmusPro, stroški, povezani z bivanjem osebja, ki sodeluje pri pripravljalnih obiskih, če je primerno.</w:t>
            </w:r>
          </w:p>
        </w:tc>
        <w:tc>
          <w:tcPr>
            <w:tcW w:w="639" w:type="pct"/>
            <w:vMerge/>
            <w:tcBorders>
              <w:left w:val="single" w:sz="4" w:space="0" w:color="000000"/>
              <w:bottom w:val="single" w:sz="4" w:space="0" w:color="000000"/>
              <w:right w:val="single" w:sz="4" w:space="0" w:color="000000"/>
            </w:tcBorders>
            <w:tcMar>
              <w:left w:w="108" w:type="dxa"/>
              <w:right w:w="108" w:type="dxa"/>
            </w:tcMar>
            <w:vAlign w:val="center"/>
          </w:tcPr>
          <w:p w14:paraId="7D398B76" w14:textId="77777777" w:rsidR="00E03711" w:rsidRPr="00F769E0" w:rsidRDefault="00E03711" w:rsidP="000E314C">
            <w:pPr>
              <w:pStyle w:val="GUIDE-NORMAL"/>
              <w:spacing w:before="60" w:after="60"/>
              <w:jc w:val="left"/>
              <w:rPr>
                <w:rFonts w:cs="Tahoma"/>
                <w:lang w:val="sl-SI" w:eastAsia="en-GB"/>
              </w:rPr>
            </w:pPr>
          </w:p>
        </w:tc>
        <w:tc>
          <w:tcPr>
            <w:tcW w:w="106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77"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A2.2 na dan na udeleženca</w:t>
            </w:r>
          </w:p>
        </w:tc>
        <w:tc>
          <w:tcPr>
            <w:tcW w:w="930"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78"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Glede na trajanje bivanja na udeleženca (po potrebi vključno z enim dnem poti pred aktivnostjo in enim dnem poti po aktivnosti).</w:t>
            </w:r>
          </w:p>
        </w:tc>
      </w:tr>
      <w:tr w:rsidR="00E03711" w:rsidRPr="00A6094F" w14:paraId="7D398B7F" w14:textId="77777777" w:rsidTr="00A205B7">
        <w:trPr>
          <w:trHeight w:val="20"/>
        </w:trPr>
        <w:tc>
          <w:tcPr>
            <w:tcW w:w="78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7A" w14:textId="77777777" w:rsidR="00E03711" w:rsidRPr="00F769E0" w:rsidRDefault="00E03711" w:rsidP="000E314C">
            <w:pPr>
              <w:pStyle w:val="GUIDE-NORMAL"/>
              <w:spacing w:before="60" w:after="60"/>
              <w:jc w:val="left"/>
              <w:rPr>
                <w:rFonts w:cs="Tahoma"/>
                <w:b/>
                <w:lang w:val="sl-SI" w:eastAsia="en-GB"/>
              </w:rPr>
            </w:pPr>
            <w:r w:rsidRPr="00F769E0">
              <w:rPr>
                <w:rFonts w:cs="Tahoma"/>
                <w:b/>
                <w:lang w:val="sl-SI" w:eastAsia="en-GB"/>
              </w:rPr>
              <w:t>Jezikovna podpora</w:t>
            </w:r>
          </w:p>
        </w:tc>
        <w:tc>
          <w:tcPr>
            <w:tcW w:w="158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7B"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 xml:space="preserve">Stroški, povezani s podporo udeležencem – pred odhodom in med aktivnostjo – za izboljšanje znanja jezika, ki </w:t>
            </w:r>
            <w:r w:rsidRPr="00F769E0">
              <w:rPr>
                <w:rFonts w:cs="Tahoma"/>
                <w:lang w:val="sl-SI" w:eastAsia="en-GB"/>
              </w:rPr>
              <w:br/>
              <w:t>ga bodo uporabljali pri študiju ali usposabljanju med aktivnostjo.</w:t>
            </w:r>
          </w:p>
        </w:tc>
        <w:tc>
          <w:tcPr>
            <w:tcW w:w="639"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7C"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Prispevek za stroške na enoto</w:t>
            </w:r>
          </w:p>
        </w:tc>
        <w:tc>
          <w:tcPr>
            <w:tcW w:w="106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7D"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 xml:space="preserve">Samo za aktivnosti, ki trajajo od 19 dni katerem bo potekala do 12 mesecev: </w:t>
            </w:r>
            <w:r w:rsidRPr="00F769E0">
              <w:rPr>
                <w:rFonts w:cs="Tahoma"/>
                <w:lang w:val="sl-SI" w:eastAsia="en-GB"/>
              </w:rPr>
              <w:br/>
              <w:t>150 EUR na udeleženca, ki potrebuje jezikovno podporo.</w:t>
            </w:r>
          </w:p>
        </w:tc>
        <w:tc>
          <w:tcPr>
            <w:tcW w:w="930"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398B7E" w14:textId="77777777" w:rsidR="00E03711" w:rsidRPr="00F769E0" w:rsidRDefault="00E03711" w:rsidP="000E314C">
            <w:pPr>
              <w:pStyle w:val="GUIDE-NORMAL"/>
              <w:spacing w:before="60" w:after="60"/>
              <w:jc w:val="left"/>
              <w:rPr>
                <w:rFonts w:cs="Tahoma"/>
                <w:lang w:val="sl-SI" w:eastAsia="en-GB"/>
              </w:rPr>
            </w:pPr>
            <w:r w:rsidRPr="00F769E0">
              <w:rPr>
                <w:rFonts w:cs="Tahoma"/>
                <w:lang w:val="sl-SI" w:eastAsia="en-GB"/>
              </w:rPr>
              <w:t>Pogoj: prijavitelji morajo zahtevati podporo v jeziku, v aktivnost, na podlagi potreb udeležencev po znanju jezikov, ki jih ne zagotavlja spletna jezikovna podpora Erasmus+.</w:t>
            </w:r>
          </w:p>
        </w:tc>
      </w:tr>
    </w:tbl>
    <w:tbl>
      <w:tblPr>
        <w:tblpPr w:leftFromText="180" w:rightFromText="180" w:vertAnchor="text" w:horzAnchor="margin" w:tblpY="592"/>
        <w:tblW w:w="4997" w:type="pct"/>
        <w:tblLayout w:type="fixed"/>
        <w:tblLook w:val="0000" w:firstRow="0" w:lastRow="0" w:firstColumn="0" w:lastColumn="0" w:noHBand="0" w:noVBand="0"/>
      </w:tblPr>
      <w:tblGrid>
        <w:gridCol w:w="2269"/>
        <w:gridCol w:w="4770"/>
        <w:gridCol w:w="1890"/>
        <w:gridCol w:w="3149"/>
        <w:gridCol w:w="2701"/>
      </w:tblGrid>
      <w:tr w:rsidR="00E03711" w:rsidRPr="008C6F8C" w14:paraId="7D398B84" w14:textId="77777777" w:rsidTr="006A7959">
        <w:trPr>
          <w:trHeight w:val="20"/>
        </w:trPr>
        <w:tc>
          <w:tcPr>
            <w:tcW w:w="70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8B80" w14:textId="77777777" w:rsidR="00E03711" w:rsidRPr="00F769E0" w:rsidRDefault="00E03711" w:rsidP="006A7959">
            <w:pPr>
              <w:pStyle w:val="Guide-Table"/>
              <w:spacing w:before="60" w:after="60"/>
              <w:rPr>
                <w:rFonts w:cs="Tahoma"/>
                <w:b/>
                <w:lang w:val="sl-SI" w:eastAsia="en-GB"/>
              </w:rPr>
            </w:pPr>
            <w:bookmarkStart w:id="170" w:name="C)_Financement_supplémentaire_applicable"/>
            <w:bookmarkEnd w:id="170"/>
            <w:r w:rsidRPr="00F769E0">
              <w:rPr>
                <w:rFonts w:cs="Tahoma"/>
                <w:b/>
                <w:lang w:val="sl-SI" w:eastAsia="en-GB"/>
              </w:rPr>
              <w:t>Upravičeni stroški</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B81" w14:textId="77777777" w:rsidR="00E03711" w:rsidRPr="00F769E0" w:rsidRDefault="00E03711" w:rsidP="006A7959">
            <w:pPr>
              <w:pStyle w:val="Guide-Table"/>
              <w:spacing w:before="60" w:after="60"/>
              <w:rPr>
                <w:rFonts w:cs="Tahoma"/>
                <w:b/>
                <w:lang w:val="sl-SI" w:eastAsia="en-GB"/>
              </w:rPr>
            </w:pPr>
            <w:r w:rsidRPr="00F769E0">
              <w:rPr>
                <w:rFonts w:cs="Tahoma"/>
                <w:b/>
                <w:lang w:val="sl-SI" w:eastAsia="en-GB"/>
              </w:rPr>
              <w:t>Mehanizem financiranja</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B82" w14:textId="77777777" w:rsidR="00E03711" w:rsidRPr="00F769E0" w:rsidRDefault="00E03711" w:rsidP="006A7959">
            <w:pPr>
              <w:pStyle w:val="Guide-Table"/>
              <w:spacing w:before="60" w:after="60"/>
              <w:rPr>
                <w:rFonts w:cs="Tahoma"/>
                <w:b/>
                <w:lang w:val="sl-SI" w:eastAsia="en-GB"/>
              </w:rPr>
            </w:pPr>
            <w:r w:rsidRPr="00F769E0">
              <w:rPr>
                <w:rFonts w:cs="Tahoma"/>
                <w:b/>
                <w:lang w:val="sl-SI" w:eastAsia="en-GB"/>
              </w:rPr>
              <w:t>Znesek</w:t>
            </w: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B83" w14:textId="77777777" w:rsidR="00E03711" w:rsidRPr="00F769E0" w:rsidRDefault="00E03711" w:rsidP="006A7959">
            <w:pPr>
              <w:pStyle w:val="Guide-Table"/>
              <w:spacing w:before="60" w:after="60"/>
              <w:rPr>
                <w:rFonts w:cs="Tahoma"/>
                <w:b/>
                <w:lang w:val="sl-SI" w:eastAsia="en-GB"/>
              </w:rPr>
            </w:pPr>
            <w:r w:rsidRPr="00F769E0">
              <w:rPr>
                <w:rFonts w:cs="Tahoma"/>
                <w:b/>
                <w:lang w:val="sl-SI" w:eastAsia="en-GB"/>
              </w:rPr>
              <w:t>Pravilo dodelitve</w:t>
            </w:r>
          </w:p>
        </w:tc>
      </w:tr>
      <w:tr w:rsidR="00E03711" w:rsidRPr="00A6094F" w14:paraId="7D398B8C" w14:textId="77777777" w:rsidTr="006A7959">
        <w:trPr>
          <w:trHeight w:val="20"/>
        </w:trPr>
        <w:tc>
          <w:tcPr>
            <w:tcW w:w="2269" w:type="dxa"/>
            <w:tcBorders>
              <w:top w:val="single" w:sz="4" w:space="0" w:color="000000"/>
              <w:left w:val="single" w:sz="4" w:space="0" w:color="000000"/>
              <w:bottom w:val="single" w:sz="4" w:space="0" w:color="000000"/>
              <w:right w:val="single" w:sz="4" w:space="0" w:color="000000"/>
            </w:tcBorders>
            <w:vAlign w:val="center"/>
          </w:tcPr>
          <w:p w14:paraId="7D398B85" w14:textId="77777777" w:rsidR="00E03711" w:rsidRPr="00F769E0" w:rsidRDefault="00E03711" w:rsidP="006A7959">
            <w:pPr>
              <w:pStyle w:val="Guide-Table"/>
              <w:spacing w:before="60" w:after="60"/>
              <w:jc w:val="left"/>
              <w:rPr>
                <w:rFonts w:cs="Tahoma"/>
                <w:b/>
                <w:lang w:val="sl-SI" w:eastAsia="en-GB"/>
              </w:rPr>
            </w:pPr>
            <w:r w:rsidRPr="00F769E0">
              <w:rPr>
                <w:rFonts w:cs="Tahoma"/>
                <w:b/>
                <w:lang w:val="sl-SI" w:eastAsia="en-GB"/>
              </w:rPr>
              <w:t>Individualna podpora</w:t>
            </w:r>
          </w:p>
        </w:tc>
        <w:tc>
          <w:tcPr>
            <w:tcW w:w="4770" w:type="dxa"/>
            <w:tcBorders>
              <w:top w:val="single" w:sz="4" w:space="0" w:color="000000"/>
              <w:left w:val="single" w:sz="4" w:space="0" w:color="000000"/>
              <w:bottom w:val="single" w:sz="4" w:space="0" w:color="000000"/>
              <w:right w:val="single" w:sz="4" w:space="0" w:color="000000"/>
            </w:tcBorders>
            <w:vAlign w:val="center"/>
          </w:tcPr>
          <w:p w14:paraId="7D398B86" w14:textId="77777777" w:rsidR="00E03711" w:rsidRPr="00F769E0" w:rsidRDefault="00E03711" w:rsidP="006A7959">
            <w:pPr>
              <w:pStyle w:val="GUIDE-NORMAL"/>
              <w:spacing w:before="60" w:after="60"/>
              <w:jc w:val="left"/>
              <w:rPr>
                <w:rFonts w:cs="Tahoma"/>
                <w:lang w:val="sl-SI" w:eastAsia="en-GB"/>
              </w:rPr>
            </w:pPr>
            <w:r w:rsidRPr="00F769E0">
              <w:rPr>
                <w:rFonts w:cs="Tahoma"/>
                <w:lang w:val="sl-SI" w:eastAsia="en-GB"/>
              </w:rPr>
              <w:t>Stroški, neposredno povezani z bivanjem udeležencev, vključno s spremljevalci</w:t>
            </w:r>
          </w:p>
        </w:tc>
        <w:tc>
          <w:tcPr>
            <w:tcW w:w="1890" w:type="dxa"/>
            <w:tcBorders>
              <w:top w:val="single" w:sz="4" w:space="0" w:color="000000"/>
              <w:left w:val="single" w:sz="4" w:space="0" w:color="000000"/>
              <w:bottom w:val="single" w:sz="4" w:space="0" w:color="000000"/>
              <w:right w:val="single" w:sz="4" w:space="0" w:color="000000"/>
            </w:tcBorders>
            <w:vAlign w:val="center"/>
          </w:tcPr>
          <w:p w14:paraId="7D398B87" w14:textId="77777777" w:rsidR="00E03711" w:rsidRPr="00F769E0" w:rsidRDefault="00E03711" w:rsidP="006A7959">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3149" w:type="dxa"/>
            <w:tcBorders>
              <w:top w:val="single" w:sz="4" w:space="0" w:color="000000"/>
              <w:left w:val="single" w:sz="4" w:space="0" w:color="000000"/>
              <w:bottom w:val="single" w:sz="4" w:space="0" w:color="000000"/>
              <w:right w:val="single" w:sz="4" w:space="0" w:color="000000"/>
            </w:tcBorders>
            <w:vAlign w:val="center"/>
          </w:tcPr>
          <w:p w14:paraId="7D398B88" w14:textId="77777777" w:rsidR="00E03711" w:rsidRPr="00F769E0" w:rsidRDefault="00E03711" w:rsidP="006A7959">
            <w:pPr>
              <w:pStyle w:val="GUIDE-NORMAL"/>
              <w:spacing w:before="60" w:after="60"/>
              <w:jc w:val="left"/>
              <w:rPr>
                <w:rFonts w:cs="Tahoma"/>
                <w:lang w:val="sl-SI" w:eastAsia="en-GB"/>
              </w:rPr>
            </w:pPr>
            <w:r w:rsidRPr="00F769E0">
              <w:rPr>
                <w:rFonts w:cs="Tahoma"/>
                <w:lang w:val="sl-SI" w:eastAsia="en-GB"/>
              </w:rPr>
              <w:t xml:space="preserve">Do 14. dneva aktivnosti: </w:t>
            </w:r>
            <w:r w:rsidRPr="00F769E0">
              <w:rPr>
                <w:rFonts w:cs="Tahoma"/>
                <w:lang w:val="sl-SI" w:eastAsia="en-GB"/>
              </w:rPr>
              <w:br/>
              <w:t>A2.2 na dan na udeleženca</w:t>
            </w:r>
          </w:p>
          <w:p w14:paraId="7D398B89" w14:textId="77777777" w:rsidR="00E03711" w:rsidRPr="00F769E0" w:rsidRDefault="00E03711" w:rsidP="006A7959">
            <w:pPr>
              <w:pStyle w:val="GUIDE-NORMAL"/>
              <w:spacing w:before="60" w:after="60"/>
              <w:jc w:val="left"/>
              <w:rPr>
                <w:rFonts w:cs="Tahoma"/>
                <w:lang w:val="sl-SI" w:eastAsia="en-GB"/>
              </w:rPr>
            </w:pPr>
            <w:r w:rsidRPr="00F769E0">
              <w:rPr>
                <w:rFonts w:cs="Tahoma"/>
                <w:lang w:val="sl-SI" w:eastAsia="en-GB"/>
              </w:rPr>
              <w:t>+</w:t>
            </w:r>
          </w:p>
          <w:p w14:paraId="7D398B8A" w14:textId="77777777" w:rsidR="00E03711" w:rsidRPr="00F769E0" w:rsidRDefault="00E03711" w:rsidP="006A7959">
            <w:pPr>
              <w:pStyle w:val="GUIDE-NORMAL"/>
              <w:spacing w:before="60" w:after="60"/>
              <w:jc w:val="left"/>
              <w:rPr>
                <w:rFonts w:cs="Tahoma"/>
                <w:lang w:val="sl-SI" w:eastAsia="en-GB"/>
              </w:rPr>
            </w:pPr>
            <w:r w:rsidRPr="00F769E0">
              <w:rPr>
                <w:rFonts w:cs="Tahoma"/>
                <w:lang w:val="sl-SI" w:eastAsia="en-GB"/>
              </w:rPr>
              <w:t>od 15. do 60. dneva aktivnosti: 70 % A2.2 na dan na udeleženca.</w:t>
            </w:r>
          </w:p>
        </w:tc>
        <w:tc>
          <w:tcPr>
            <w:tcW w:w="2701" w:type="dxa"/>
            <w:tcBorders>
              <w:top w:val="single" w:sz="4" w:space="0" w:color="000000"/>
              <w:left w:val="single" w:sz="4" w:space="0" w:color="000000"/>
              <w:bottom w:val="single" w:sz="4" w:space="0" w:color="000000"/>
              <w:right w:val="single" w:sz="4" w:space="0" w:color="000000"/>
            </w:tcBorders>
            <w:vAlign w:val="center"/>
          </w:tcPr>
          <w:p w14:paraId="7D398B8B" w14:textId="77777777" w:rsidR="00E03711" w:rsidRPr="00F769E0" w:rsidRDefault="00E03711" w:rsidP="006A7959">
            <w:pPr>
              <w:pStyle w:val="GUIDE-NORMAL"/>
              <w:spacing w:before="60" w:after="60"/>
              <w:jc w:val="left"/>
              <w:rPr>
                <w:rFonts w:cs="Tahoma"/>
                <w:lang w:val="sl-SI" w:eastAsia="en-GB"/>
              </w:rPr>
            </w:pPr>
            <w:r w:rsidRPr="00EF0568">
              <w:rPr>
                <w:rFonts w:cs="Tahoma"/>
                <w:lang w:val="sl-SI" w:eastAsia="en-GB"/>
              </w:rPr>
              <w:t>Glede na trajanje bivanja na udeleženca (po potrebi vključno z enim dnem poti pred aktivnostjo in enim dnem poti po aktivnosti</w:t>
            </w:r>
          </w:p>
        </w:tc>
      </w:tr>
    </w:tbl>
    <w:p w14:paraId="7D398B8D" w14:textId="77777777" w:rsidR="00E03711" w:rsidRPr="001048FE" w:rsidRDefault="00E03711" w:rsidP="000E314C">
      <w:pPr>
        <w:pStyle w:val="Guide-Heading7"/>
        <w:rPr>
          <w:lang w:val="sl-SI"/>
        </w:rPr>
      </w:pPr>
      <w:r w:rsidRPr="001048FE">
        <w:rPr>
          <w:lang w:val="sl-SI"/>
        </w:rPr>
        <w:t xml:space="preserve">c)  Dodatna sredstva v zvezi z mobilnostjo osebja v poklicnem izobraževanju </w:t>
      </w:r>
      <w:r w:rsidRPr="001048FE">
        <w:rPr>
          <w:spacing w:val="-27"/>
          <w:lang w:val="sl-SI"/>
        </w:rPr>
        <w:t xml:space="preserve">in </w:t>
      </w:r>
      <w:r w:rsidRPr="001048FE">
        <w:rPr>
          <w:lang w:val="sl-SI"/>
        </w:rPr>
        <w:t>usposabljanju</w:t>
      </w:r>
    </w:p>
    <w:p w14:paraId="7D398B8E" w14:textId="77777777" w:rsidR="00E03711" w:rsidRDefault="00E03711" w:rsidP="000E314C">
      <w:pPr>
        <w:pStyle w:val="Guide-Heading7"/>
        <w:rPr>
          <w:lang w:val="sl-SI"/>
        </w:rPr>
        <w:sectPr w:rsidR="00E03711" w:rsidSect="00A205B7">
          <w:endnotePr>
            <w:numFmt w:val="decimal"/>
          </w:endnotePr>
          <w:pgSz w:w="16840" w:h="11910" w:orient="landscape" w:code="9"/>
          <w:pgMar w:top="1418" w:right="1134" w:bottom="1418" w:left="1134" w:header="283" w:footer="567" w:gutter="0"/>
          <w:cols w:space="720"/>
          <w:docGrid w:linePitch="326"/>
        </w:sectPr>
      </w:pPr>
    </w:p>
    <w:p w14:paraId="7D398B8F" w14:textId="77777777" w:rsidR="00E03711" w:rsidRPr="001048FE" w:rsidRDefault="00E03711" w:rsidP="000E314C">
      <w:pPr>
        <w:pStyle w:val="Guide-Heading7"/>
        <w:rPr>
          <w:lang w:val="sl-SI"/>
        </w:rPr>
      </w:pPr>
      <w:r w:rsidRPr="001048FE">
        <w:rPr>
          <w:lang w:val="sl-SI"/>
        </w:rPr>
        <w:t>Preglednica 1 – Individualna podpora (zneski v EUR na dan)</w:t>
      </w:r>
    </w:p>
    <w:p w14:paraId="7D398B90" w14:textId="77777777" w:rsidR="00E03711" w:rsidRPr="001048FE" w:rsidRDefault="00E03711" w:rsidP="000E314C">
      <w:pPr>
        <w:pStyle w:val="GUIDE-NORMAL"/>
        <w:rPr>
          <w:lang w:val="sl-SI"/>
        </w:rPr>
      </w:pPr>
      <w:r w:rsidRPr="001048FE">
        <w:rPr>
          <w:lang w:val="sl-SI"/>
        </w:rPr>
        <w:t>Zneski so odvisni od države, kjer se izvaja aktivnost. Vsaka nacionalna agencija bo opredelila – na podlagi nepristranskih in preglednih meril – zneske, ki se dodelijo projektom, prijavljenim v njihovi državi. Ti zneski bodo opredeljeni v okviru najmanjših in največjih vrednosti, ki so navedene v spodnji preglednici. Točni zneski bodo objavljeni na spletiščih posameznih nacionalnih agencij.</w:t>
      </w:r>
    </w:p>
    <w:tbl>
      <w:tblPr>
        <w:tblW w:w="5000" w:type="pct"/>
        <w:tblLook w:val="0000" w:firstRow="0" w:lastRow="0" w:firstColumn="0" w:lastColumn="0" w:noHBand="0" w:noVBand="0"/>
      </w:tblPr>
      <w:tblGrid>
        <w:gridCol w:w="5080"/>
        <w:gridCol w:w="2105"/>
        <w:gridCol w:w="2105"/>
      </w:tblGrid>
      <w:tr w:rsidR="00E03711" w:rsidRPr="008C6F8C" w14:paraId="7D398B94" w14:textId="77777777" w:rsidTr="00860232">
        <w:trPr>
          <w:trHeight w:val="20"/>
        </w:trPr>
        <w:tc>
          <w:tcPr>
            <w:tcW w:w="2734" w:type="pct"/>
            <w:vMerge w:val="restart"/>
            <w:tcBorders>
              <w:top w:val="single" w:sz="4" w:space="0" w:color="auto"/>
              <w:left w:val="single" w:sz="4" w:space="0" w:color="auto"/>
              <w:bottom w:val="single" w:sz="6" w:space="0" w:color="auto"/>
              <w:right w:val="nil"/>
            </w:tcBorders>
            <w:shd w:val="clear" w:color="auto" w:fill="auto"/>
            <w:vAlign w:val="center"/>
          </w:tcPr>
          <w:p w14:paraId="7D398B91" w14:textId="77777777" w:rsidR="00E03711" w:rsidRPr="00F769E0" w:rsidRDefault="00E03711" w:rsidP="005412A0">
            <w:pPr>
              <w:pStyle w:val="Guide-Table"/>
              <w:spacing w:before="20" w:after="20"/>
              <w:rPr>
                <w:rFonts w:cs="Tahoma"/>
                <w:b/>
                <w:lang w:val="sl-SI" w:eastAsia="en-GB"/>
              </w:rPr>
            </w:pPr>
            <w:r w:rsidRPr="00F769E0">
              <w:rPr>
                <w:rFonts w:cs="Tahoma"/>
                <w:b/>
                <w:lang w:val="sl-SI" w:eastAsia="en-GB"/>
              </w:rPr>
              <w:t>Država gostiteljica</w:t>
            </w:r>
          </w:p>
        </w:tc>
        <w:tc>
          <w:tcPr>
            <w:tcW w:w="1133" w:type="pct"/>
            <w:tcBorders>
              <w:top w:val="single" w:sz="4" w:space="0" w:color="auto"/>
              <w:left w:val="single" w:sz="6" w:space="0" w:color="auto"/>
              <w:bottom w:val="single" w:sz="4" w:space="0" w:color="auto"/>
              <w:right w:val="single" w:sz="6" w:space="0" w:color="auto"/>
            </w:tcBorders>
            <w:shd w:val="clear" w:color="auto" w:fill="auto"/>
            <w:vAlign w:val="center"/>
          </w:tcPr>
          <w:p w14:paraId="7D398B92" w14:textId="77777777" w:rsidR="00E03711" w:rsidRPr="00F769E0" w:rsidRDefault="00E03711" w:rsidP="005412A0">
            <w:pPr>
              <w:pStyle w:val="Guide-Table"/>
              <w:spacing w:before="20" w:after="20"/>
              <w:rPr>
                <w:rFonts w:cs="Tahoma"/>
                <w:b/>
                <w:lang w:val="sl-SI" w:eastAsia="en-GB"/>
              </w:rPr>
            </w:pPr>
            <w:r w:rsidRPr="00F769E0">
              <w:rPr>
                <w:rFonts w:cs="Tahoma"/>
                <w:b/>
                <w:lang w:val="sl-SI" w:eastAsia="en-GB"/>
              </w:rPr>
              <w:t>Mobilnost učencev</w:t>
            </w:r>
          </w:p>
        </w:tc>
        <w:tc>
          <w:tcPr>
            <w:tcW w:w="1133" w:type="pct"/>
            <w:tcBorders>
              <w:top w:val="single" w:sz="4" w:space="0" w:color="auto"/>
              <w:left w:val="single" w:sz="6" w:space="0" w:color="auto"/>
              <w:bottom w:val="single" w:sz="4" w:space="0" w:color="auto"/>
              <w:right w:val="single" w:sz="4" w:space="0" w:color="auto"/>
            </w:tcBorders>
            <w:shd w:val="clear" w:color="auto" w:fill="auto"/>
            <w:vAlign w:val="center"/>
          </w:tcPr>
          <w:p w14:paraId="7D398B93" w14:textId="77777777" w:rsidR="00E03711" w:rsidRPr="00F769E0" w:rsidRDefault="00E03711" w:rsidP="005412A0">
            <w:pPr>
              <w:pStyle w:val="Guide-Table"/>
              <w:spacing w:before="20" w:after="20"/>
              <w:rPr>
                <w:rFonts w:cs="Tahoma"/>
                <w:b/>
                <w:lang w:val="sl-SI" w:eastAsia="en-GB"/>
              </w:rPr>
            </w:pPr>
            <w:r w:rsidRPr="00F769E0">
              <w:rPr>
                <w:rFonts w:cs="Tahoma"/>
                <w:b/>
                <w:lang w:val="sl-SI" w:eastAsia="en-GB"/>
              </w:rPr>
              <w:t>Mobilnost osebja</w:t>
            </w:r>
          </w:p>
        </w:tc>
      </w:tr>
      <w:tr w:rsidR="00E03711" w:rsidRPr="00A6094F" w14:paraId="7D398B98" w14:textId="77777777" w:rsidTr="00860232">
        <w:trPr>
          <w:trHeight w:val="20"/>
        </w:trPr>
        <w:tc>
          <w:tcPr>
            <w:tcW w:w="2734" w:type="pct"/>
            <w:vMerge/>
            <w:tcBorders>
              <w:top w:val="single" w:sz="4" w:space="0" w:color="auto"/>
              <w:left w:val="single" w:sz="4" w:space="0" w:color="auto"/>
              <w:bottom w:val="single" w:sz="6" w:space="0" w:color="auto"/>
              <w:right w:val="nil"/>
            </w:tcBorders>
            <w:shd w:val="clear" w:color="auto" w:fill="auto"/>
            <w:vAlign w:val="center"/>
          </w:tcPr>
          <w:p w14:paraId="7D398B95" w14:textId="77777777" w:rsidR="00E03711" w:rsidRPr="00F769E0" w:rsidRDefault="00E03711" w:rsidP="005412A0">
            <w:pPr>
              <w:pStyle w:val="Guide-Table"/>
              <w:spacing w:before="20" w:after="20"/>
              <w:rPr>
                <w:rFonts w:cs="Tahoma"/>
                <w:b/>
                <w:lang w:val="sl-SI" w:eastAsia="en-GB"/>
              </w:rPr>
            </w:pPr>
          </w:p>
        </w:tc>
        <w:tc>
          <w:tcPr>
            <w:tcW w:w="1133" w:type="pct"/>
            <w:tcBorders>
              <w:top w:val="single" w:sz="4" w:space="0" w:color="auto"/>
              <w:left w:val="single" w:sz="6" w:space="0" w:color="auto"/>
              <w:bottom w:val="single" w:sz="6" w:space="0" w:color="auto"/>
              <w:right w:val="single" w:sz="6" w:space="0" w:color="auto"/>
            </w:tcBorders>
            <w:shd w:val="clear" w:color="auto" w:fill="auto"/>
            <w:vAlign w:val="center"/>
          </w:tcPr>
          <w:p w14:paraId="7D398B96" w14:textId="77777777" w:rsidR="00E03711" w:rsidRPr="00F769E0" w:rsidRDefault="00E03711" w:rsidP="005412A0">
            <w:pPr>
              <w:pStyle w:val="Guide-Table"/>
              <w:spacing w:before="20" w:after="20"/>
              <w:rPr>
                <w:rFonts w:cs="Tahoma"/>
                <w:b/>
                <w:lang w:val="sl-SI" w:eastAsia="en-GB"/>
              </w:rPr>
            </w:pPr>
            <w:r w:rsidRPr="00F769E0">
              <w:rPr>
                <w:rFonts w:cs="Tahoma"/>
                <w:b/>
                <w:lang w:val="sl-SI" w:eastAsia="en-GB"/>
              </w:rPr>
              <w:t>Najnižji–najvišji znesek (na dan)</w:t>
            </w:r>
          </w:p>
        </w:tc>
        <w:tc>
          <w:tcPr>
            <w:tcW w:w="1133" w:type="pct"/>
            <w:tcBorders>
              <w:top w:val="single" w:sz="4" w:space="0" w:color="auto"/>
              <w:left w:val="single" w:sz="6" w:space="0" w:color="auto"/>
              <w:bottom w:val="single" w:sz="6" w:space="0" w:color="auto"/>
              <w:right w:val="single" w:sz="6" w:space="0" w:color="auto"/>
            </w:tcBorders>
            <w:shd w:val="clear" w:color="auto" w:fill="auto"/>
            <w:vAlign w:val="center"/>
          </w:tcPr>
          <w:p w14:paraId="7D398B97" w14:textId="77777777" w:rsidR="00E03711" w:rsidRPr="00F769E0" w:rsidRDefault="00E03711" w:rsidP="005412A0">
            <w:pPr>
              <w:pStyle w:val="Guide-Table"/>
              <w:spacing w:before="20" w:after="20"/>
              <w:rPr>
                <w:rFonts w:cs="Tahoma"/>
                <w:b/>
                <w:lang w:val="sl-SI" w:eastAsia="en-GB"/>
              </w:rPr>
            </w:pPr>
            <w:r w:rsidRPr="00F769E0">
              <w:rPr>
                <w:rFonts w:cs="Tahoma"/>
                <w:b/>
                <w:lang w:val="sl-SI" w:eastAsia="en-GB"/>
              </w:rPr>
              <w:t>Najnižji–najvišji znesek (na dan)</w:t>
            </w:r>
          </w:p>
        </w:tc>
      </w:tr>
      <w:tr w:rsidR="00E03711" w:rsidRPr="008C6F8C" w14:paraId="7D398B9C" w14:textId="77777777" w:rsidTr="00860232">
        <w:trPr>
          <w:trHeight w:val="20"/>
        </w:trPr>
        <w:tc>
          <w:tcPr>
            <w:tcW w:w="2734" w:type="pct"/>
            <w:vMerge/>
            <w:tcBorders>
              <w:left w:val="single" w:sz="4" w:space="0" w:color="auto"/>
              <w:bottom w:val="single" w:sz="6" w:space="0" w:color="auto"/>
              <w:right w:val="nil"/>
            </w:tcBorders>
            <w:shd w:val="clear" w:color="auto" w:fill="auto"/>
            <w:vAlign w:val="center"/>
          </w:tcPr>
          <w:p w14:paraId="7D398B99" w14:textId="77777777" w:rsidR="00E03711" w:rsidRPr="00F769E0" w:rsidRDefault="00E03711" w:rsidP="005412A0">
            <w:pPr>
              <w:pStyle w:val="Guide-Table"/>
              <w:spacing w:before="20" w:after="20"/>
              <w:rPr>
                <w:rFonts w:cs="Tahoma"/>
                <w:b/>
                <w:lang w:val="sl-SI" w:eastAsia="en-GB"/>
              </w:rPr>
            </w:pPr>
          </w:p>
        </w:tc>
        <w:tc>
          <w:tcPr>
            <w:tcW w:w="1133" w:type="pct"/>
            <w:tcBorders>
              <w:left w:val="single" w:sz="6" w:space="0" w:color="auto"/>
              <w:bottom w:val="single" w:sz="6" w:space="0" w:color="auto"/>
              <w:right w:val="single" w:sz="6" w:space="0" w:color="auto"/>
            </w:tcBorders>
            <w:shd w:val="clear" w:color="auto" w:fill="auto"/>
            <w:vAlign w:val="center"/>
          </w:tcPr>
          <w:p w14:paraId="7D398B9A" w14:textId="77777777" w:rsidR="00E03711" w:rsidRPr="00F769E0" w:rsidRDefault="00E03711" w:rsidP="005412A0">
            <w:pPr>
              <w:pStyle w:val="Guide-Table"/>
              <w:spacing w:before="20" w:after="20"/>
              <w:rPr>
                <w:rFonts w:cs="Tahoma"/>
                <w:b/>
                <w:lang w:val="sl-SI" w:eastAsia="en-GB"/>
              </w:rPr>
            </w:pPr>
            <w:r w:rsidRPr="00F769E0">
              <w:rPr>
                <w:rFonts w:cs="Tahoma"/>
                <w:b/>
                <w:lang w:val="sl-SI" w:eastAsia="en-GB"/>
              </w:rPr>
              <w:t>A2.1</w:t>
            </w:r>
          </w:p>
        </w:tc>
        <w:tc>
          <w:tcPr>
            <w:tcW w:w="1133" w:type="pct"/>
            <w:tcBorders>
              <w:top w:val="single" w:sz="6" w:space="0" w:color="auto"/>
              <w:left w:val="single" w:sz="6" w:space="0" w:color="auto"/>
              <w:bottom w:val="single" w:sz="6" w:space="0" w:color="auto"/>
              <w:right w:val="single" w:sz="6" w:space="0" w:color="auto"/>
            </w:tcBorders>
            <w:shd w:val="clear" w:color="auto" w:fill="auto"/>
            <w:vAlign w:val="center"/>
          </w:tcPr>
          <w:p w14:paraId="7D398B9B" w14:textId="77777777" w:rsidR="00E03711" w:rsidRPr="00F769E0" w:rsidRDefault="00E03711" w:rsidP="005412A0">
            <w:pPr>
              <w:pStyle w:val="Guide-Table"/>
              <w:spacing w:before="20" w:after="20"/>
              <w:rPr>
                <w:rFonts w:cs="Tahoma"/>
                <w:b/>
                <w:lang w:val="sl-SI" w:eastAsia="en-GB"/>
              </w:rPr>
            </w:pPr>
            <w:r w:rsidRPr="00F769E0">
              <w:rPr>
                <w:rFonts w:cs="Tahoma"/>
                <w:b/>
                <w:lang w:val="sl-SI" w:eastAsia="en-GB"/>
              </w:rPr>
              <w:t>A2.2</w:t>
            </w:r>
          </w:p>
        </w:tc>
      </w:tr>
      <w:tr w:rsidR="00E03711" w:rsidRPr="008C6F8C" w14:paraId="7D398BA1" w14:textId="77777777" w:rsidTr="00860232">
        <w:trPr>
          <w:trHeight w:val="20"/>
        </w:trPr>
        <w:tc>
          <w:tcPr>
            <w:tcW w:w="2734" w:type="pct"/>
            <w:tcBorders>
              <w:top w:val="single" w:sz="4" w:space="0" w:color="auto"/>
              <w:left w:val="single" w:sz="6" w:space="0" w:color="auto"/>
              <w:bottom w:val="single" w:sz="6" w:space="0" w:color="auto"/>
              <w:right w:val="single" w:sz="6" w:space="0" w:color="auto"/>
            </w:tcBorders>
            <w:shd w:val="clear" w:color="auto" w:fill="auto"/>
            <w:vAlign w:val="center"/>
          </w:tcPr>
          <w:p w14:paraId="7D398B9D" w14:textId="77777777" w:rsidR="00E03711" w:rsidRDefault="00E03711" w:rsidP="00C12952">
            <w:pPr>
              <w:pStyle w:val="GUIDE-NORMAL"/>
              <w:spacing w:before="60" w:after="60"/>
              <w:jc w:val="center"/>
              <w:rPr>
                <w:rFonts w:cs="Tahoma"/>
                <w:b/>
                <w:lang w:val="sl-SI" w:eastAsia="en-GB"/>
              </w:rPr>
            </w:pPr>
            <w:r>
              <w:rPr>
                <w:rFonts w:cs="Tahoma"/>
                <w:b/>
                <w:lang w:val="sl-SI" w:eastAsia="en-GB"/>
              </w:rPr>
              <w:t>Skupina 1</w:t>
            </w:r>
          </w:p>
          <w:p w14:paraId="7D398B9E" w14:textId="77777777" w:rsidR="00E03711" w:rsidRPr="00F769E0" w:rsidRDefault="00E03711" w:rsidP="000E314C">
            <w:pPr>
              <w:pStyle w:val="GUIDE-NORMAL"/>
              <w:spacing w:before="60" w:after="60"/>
              <w:jc w:val="left"/>
              <w:rPr>
                <w:rFonts w:cs="Tahoma"/>
                <w:b/>
                <w:lang w:val="sl-SI" w:eastAsia="en-GB"/>
              </w:rPr>
            </w:pPr>
            <w:r w:rsidRPr="00F769E0">
              <w:rPr>
                <w:rFonts w:cs="Tahoma"/>
                <w:b/>
                <w:lang w:val="sl-SI" w:eastAsia="en-GB"/>
              </w:rPr>
              <w:t>Norveška, Danska, Luksemburg, Združeno kraljestvo, Islandija, Švedska, Irska, Finska, Lihtenštajn</w:t>
            </w:r>
          </w:p>
        </w:tc>
        <w:tc>
          <w:tcPr>
            <w:tcW w:w="1133" w:type="pct"/>
            <w:tcBorders>
              <w:top w:val="single" w:sz="6" w:space="0" w:color="auto"/>
              <w:left w:val="single" w:sz="6" w:space="0" w:color="auto"/>
              <w:bottom w:val="single" w:sz="6" w:space="0" w:color="auto"/>
              <w:right w:val="single" w:sz="6" w:space="0" w:color="auto"/>
            </w:tcBorders>
            <w:shd w:val="clear" w:color="auto" w:fill="auto"/>
            <w:vAlign w:val="center"/>
          </w:tcPr>
          <w:p w14:paraId="7D398B9F" w14:textId="77777777" w:rsidR="00E03711" w:rsidRPr="00F769E0" w:rsidRDefault="00E03711" w:rsidP="000E314C">
            <w:pPr>
              <w:pStyle w:val="Guide-Table"/>
              <w:spacing w:before="60" w:after="60"/>
              <w:rPr>
                <w:rFonts w:cs="Tahoma"/>
                <w:lang w:val="sl-SI" w:eastAsia="en-GB"/>
              </w:rPr>
            </w:pPr>
            <w:r w:rsidRPr="00F769E0">
              <w:rPr>
                <w:rFonts w:cs="Tahoma"/>
                <w:lang w:val="sl-SI" w:eastAsia="en-GB"/>
              </w:rPr>
              <w:t>30-120</w:t>
            </w:r>
          </w:p>
        </w:tc>
        <w:tc>
          <w:tcPr>
            <w:tcW w:w="1133" w:type="pct"/>
            <w:tcBorders>
              <w:top w:val="single" w:sz="6" w:space="0" w:color="auto"/>
              <w:left w:val="single" w:sz="6" w:space="0" w:color="auto"/>
              <w:bottom w:val="single" w:sz="6" w:space="0" w:color="auto"/>
              <w:right w:val="single" w:sz="6" w:space="0" w:color="auto"/>
            </w:tcBorders>
            <w:shd w:val="clear" w:color="auto" w:fill="auto"/>
            <w:vAlign w:val="center"/>
          </w:tcPr>
          <w:p w14:paraId="7D398BA0" w14:textId="77777777" w:rsidR="00E03711" w:rsidRPr="00F769E0" w:rsidRDefault="00E03711" w:rsidP="000E314C">
            <w:pPr>
              <w:pStyle w:val="Guide-Table"/>
              <w:spacing w:before="60" w:after="60"/>
              <w:rPr>
                <w:rFonts w:cs="Tahoma"/>
                <w:lang w:val="sl-SI" w:eastAsia="en-GB"/>
              </w:rPr>
            </w:pPr>
            <w:r w:rsidRPr="00F769E0">
              <w:rPr>
                <w:rFonts w:cs="Tahoma"/>
                <w:lang w:val="sl-SI" w:eastAsia="en-GB"/>
              </w:rPr>
              <w:t>80-180</w:t>
            </w:r>
          </w:p>
        </w:tc>
      </w:tr>
      <w:tr w:rsidR="00E03711" w:rsidRPr="008C6F8C" w14:paraId="7D398BA6" w14:textId="77777777" w:rsidTr="00860232">
        <w:trPr>
          <w:trHeight w:val="20"/>
        </w:trPr>
        <w:tc>
          <w:tcPr>
            <w:tcW w:w="2734" w:type="pct"/>
            <w:tcBorders>
              <w:top w:val="single" w:sz="6" w:space="0" w:color="auto"/>
              <w:left w:val="single" w:sz="6" w:space="0" w:color="auto"/>
              <w:bottom w:val="single" w:sz="6" w:space="0" w:color="auto"/>
              <w:right w:val="single" w:sz="6" w:space="0" w:color="auto"/>
            </w:tcBorders>
            <w:shd w:val="clear" w:color="auto" w:fill="auto"/>
            <w:vAlign w:val="center"/>
          </w:tcPr>
          <w:p w14:paraId="7D398BA2" w14:textId="77777777" w:rsidR="00E03711" w:rsidRDefault="00E03711" w:rsidP="00D47DC7">
            <w:pPr>
              <w:pStyle w:val="GUIDE-NORMAL"/>
              <w:spacing w:before="60" w:after="60"/>
              <w:jc w:val="center"/>
              <w:rPr>
                <w:rFonts w:cs="Tahoma"/>
                <w:b/>
                <w:lang w:val="sl-SI" w:eastAsia="en-GB"/>
              </w:rPr>
            </w:pPr>
            <w:r>
              <w:rPr>
                <w:rFonts w:cs="Tahoma"/>
                <w:b/>
                <w:lang w:val="sl-SI" w:eastAsia="en-GB"/>
              </w:rPr>
              <w:t>Skupina 2</w:t>
            </w:r>
          </w:p>
          <w:p w14:paraId="7D398BA3" w14:textId="77777777" w:rsidR="00E03711" w:rsidRPr="00F769E0" w:rsidRDefault="00E03711" w:rsidP="000E314C">
            <w:pPr>
              <w:pStyle w:val="GUIDE-NORMAL"/>
              <w:spacing w:before="60" w:after="60"/>
              <w:jc w:val="left"/>
              <w:rPr>
                <w:rFonts w:cs="Tahoma"/>
                <w:b/>
                <w:lang w:val="sl-SI" w:eastAsia="en-GB"/>
              </w:rPr>
            </w:pPr>
            <w:r w:rsidRPr="00F769E0">
              <w:rPr>
                <w:rFonts w:cs="Tahoma"/>
                <w:b/>
                <w:lang w:val="sl-SI" w:eastAsia="en-GB"/>
              </w:rPr>
              <w:t>Nizozemska, Avstrija, Belgija, Francija, Nemčija, Italija, Španija, Ciper, Grčija, Malta, Portugalska</w:t>
            </w:r>
          </w:p>
        </w:tc>
        <w:tc>
          <w:tcPr>
            <w:tcW w:w="1133" w:type="pct"/>
            <w:tcBorders>
              <w:top w:val="single" w:sz="6" w:space="0" w:color="auto"/>
              <w:left w:val="single" w:sz="6" w:space="0" w:color="auto"/>
              <w:bottom w:val="single" w:sz="6" w:space="0" w:color="auto"/>
              <w:right w:val="single" w:sz="6" w:space="0" w:color="auto"/>
            </w:tcBorders>
            <w:shd w:val="clear" w:color="auto" w:fill="auto"/>
            <w:vAlign w:val="center"/>
          </w:tcPr>
          <w:p w14:paraId="7D398BA4" w14:textId="77777777" w:rsidR="00E03711" w:rsidRPr="00F769E0" w:rsidRDefault="00E03711" w:rsidP="000E314C">
            <w:pPr>
              <w:pStyle w:val="Guide-Table"/>
              <w:spacing w:before="60" w:after="60"/>
              <w:rPr>
                <w:rFonts w:cs="Tahoma"/>
                <w:lang w:val="sl-SI" w:eastAsia="en-GB"/>
              </w:rPr>
            </w:pPr>
            <w:r w:rsidRPr="00F769E0">
              <w:rPr>
                <w:rFonts w:cs="Tahoma"/>
                <w:lang w:val="sl-SI" w:eastAsia="en-GB"/>
              </w:rPr>
              <w:t>26-104</w:t>
            </w:r>
          </w:p>
        </w:tc>
        <w:tc>
          <w:tcPr>
            <w:tcW w:w="1133" w:type="pct"/>
            <w:tcBorders>
              <w:top w:val="single" w:sz="6" w:space="0" w:color="auto"/>
              <w:left w:val="single" w:sz="6" w:space="0" w:color="auto"/>
              <w:bottom w:val="single" w:sz="6" w:space="0" w:color="auto"/>
              <w:right w:val="single" w:sz="6" w:space="0" w:color="auto"/>
            </w:tcBorders>
            <w:shd w:val="clear" w:color="auto" w:fill="auto"/>
            <w:vAlign w:val="center"/>
          </w:tcPr>
          <w:p w14:paraId="7D398BA5" w14:textId="77777777" w:rsidR="00E03711" w:rsidRPr="00F769E0" w:rsidRDefault="00E03711" w:rsidP="000E314C">
            <w:pPr>
              <w:pStyle w:val="Guide-Table"/>
              <w:spacing w:before="60" w:after="60"/>
              <w:rPr>
                <w:rFonts w:cs="Tahoma"/>
                <w:lang w:val="sl-SI" w:eastAsia="en-GB"/>
              </w:rPr>
            </w:pPr>
            <w:r w:rsidRPr="00F769E0">
              <w:rPr>
                <w:rFonts w:cs="Tahoma"/>
                <w:lang w:val="sl-SI" w:eastAsia="en-GB"/>
              </w:rPr>
              <w:t>70-160</w:t>
            </w:r>
          </w:p>
        </w:tc>
      </w:tr>
      <w:tr w:rsidR="00E03711" w:rsidRPr="008C6F8C" w14:paraId="7D398BAB" w14:textId="77777777" w:rsidTr="00860232">
        <w:trPr>
          <w:trHeight w:val="20"/>
        </w:trPr>
        <w:tc>
          <w:tcPr>
            <w:tcW w:w="2734" w:type="pct"/>
            <w:tcBorders>
              <w:top w:val="single" w:sz="6" w:space="0" w:color="auto"/>
              <w:left w:val="single" w:sz="6" w:space="0" w:color="auto"/>
              <w:bottom w:val="single" w:sz="6" w:space="0" w:color="auto"/>
              <w:right w:val="single" w:sz="6" w:space="0" w:color="auto"/>
            </w:tcBorders>
            <w:shd w:val="clear" w:color="auto" w:fill="auto"/>
            <w:vAlign w:val="center"/>
          </w:tcPr>
          <w:p w14:paraId="7D398BA7" w14:textId="77777777" w:rsidR="00E03711" w:rsidRDefault="00E03711" w:rsidP="00D47DC7">
            <w:pPr>
              <w:pStyle w:val="GUIDE-NORMAL"/>
              <w:spacing w:before="60" w:after="60"/>
              <w:jc w:val="center"/>
              <w:rPr>
                <w:rFonts w:cs="Tahoma"/>
                <w:b/>
                <w:lang w:val="sl-SI" w:eastAsia="en-GB"/>
              </w:rPr>
            </w:pPr>
            <w:r>
              <w:rPr>
                <w:rFonts w:cs="Tahoma"/>
                <w:b/>
                <w:lang w:val="sl-SI" w:eastAsia="en-GB"/>
              </w:rPr>
              <w:t>Skupina 3</w:t>
            </w:r>
          </w:p>
          <w:p w14:paraId="7D398BA8" w14:textId="77777777" w:rsidR="00E03711" w:rsidRPr="00F769E0" w:rsidRDefault="00E03711" w:rsidP="000E314C">
            <w:pPr>
              <w:pStyle w:val="GUIDE-NORMAL"/>
              <w:spacing w:before="60" w:after="60"/>
              <w:jc w:val="left"/>
              <w:rPr>
                <w:rFonts w:cs="Tahoma"/>
                <w:b/>
                <w:lang w:val="sl-SI" w:eastAsia="en-GB"/>
              </w:rPr>
            </w:pPr>
            <w:r w:rsidRPr="00F769E0">
              <w:rPr>
                <w:rFonts w:cs="Tahoma"/>
                <w:b/>
                <w:lang w:val="sl-SI" w:eastAsia="en-GB"/>
              </w:rPr>
              <w:t xml:space="preserve">Slovenija, Estonija, Latvija, Hrvaška, Slovaška, Češka, Litva, Turčija, Madžarska, Poljska, Romunija, Bolgarija, </w:t>
            </w:r>
            <w:r>
              <w:rPr>
                <w:rFonts w:cs="Tahoma"/>
                <w:b/>
                <w:lang w:val="sl-SI" w:eastAsia="en-GB"/>
              </w:rPr>
              <w:t>R</w:t>
            </w:r>
            <w:r w:rsidRPr="00F769E0">
              <w:rPr>
                <w:rFonts w:cs="Tahoma"/>
                <w:b/>
                <w:lang w:val="sl-SI" w:eastAsia="en-GB"/>
              </w:rPr>
              <w:t xml:space="preserve">epublika </w:t>
            </w:r>
            <w:r>
              <w:rPr>
                <w:rFonts w:cs="Tahoma"/>
                <w:b/>
                <w:lang w:val="sl-SI" w:eastAsia="en-GB"/>
              </w:rPr>
              <w:t xml:space="preserve">Severna </w:t>
            </w:r>
            <w:r w:rsidRPr="00F769E0">
              <w:rPr>
                <w:rFonts w:cs="Tahoma"/>
                <w:b/>
                <w:lang w:val="sl-SI" w:eastAsia="en-GB"/>
              </w:rPr>
              <w:t>Makedonija, Srbija</w:t>
            </w:r>
          </w:p>
        </w:tc>
        <w:tc>
          <w:tcPr>
            <w:tcW w:w="1133" w:type="pct"/>
            <w:tcBorders>
              <w:top w:val="single" w:sz="6" w:space="0" w:color="auto"/>
              <w:left w:val="single" w:sz="6" w:space="0" w:color="auto"/>
              <w:bottom w:val="single" w:sz="6" w:space="0" w:color="auto"/>
              <w:right w:val="single" w:sz="6" w:space="0" w:color="auto"/>
            </w:tcBorders>
            <w:shd w:val="clear" w:color="auto" w:fill="auto"/>
            <w:vAlign w:val="center"/>
          </w:tcPr>
          <w:p w14:paraId="7D398BA9" w14:textId="77777777" w:rsidR="00E03711" w:rsidRPr="00F769E0" w:rsidRDefault="00E03711" w:rsidP="000E314C">
            <w:pPr>
              <w:pStyle w:val="Guide-Table"/>
              <w:spacing w:before="60" w:after="60"/>
              <w:rPr>
                <w:rFonts w:cs="Tahoma"/>
                <w:lang w:val="sl-SI" w:eastAsia="en-GB"/>
              </w:rPr>
            </w:pPr>
            <w:r w:rsidRPr="00F769E0">
              <w:rPr>
                <w:rFonts w:cs="Tahoma"/>
                <w:lang w:val="sl-SI" w:eastAsia="en-GB"/>
              </w:rPr>
              <w:t>22-88</w:t>
            </w:r>
          </w:p>
        </w:tc>
        <w:tc>
          <w:tcPr>
            <w:tcW w:w="1133" w:type="pct"/>
            <w:tcBorders>
              <w:top w:val="single" w:sz="6" w:space="0" w:color="auto"/>
              <w:left w:val="single" w:sz="6" w:space="0" w:color="auto"/>
              <w:bottom w:val="single" w:sz="6" w:space="0" w:color="auto"/>
              <w:right w:val="single" w:sz="6" w:space="0" w:color="auto"/>
            </w:tcBorders>
            <w:shd w:val="clear" w:color="auto" w:fill="auto"/>
            <w:vAlign w:val="center"/>
          </w:tcPr>
          <w:p w14:paraId="7D398BAA" w14:textId="77777777" w:rsidR="00E03711" w:rsidRPr="00F769E0" w:rsidRDefault="00E03711" w:rsidP="000E314C">
            <w:pPr>
              <w:pStyle w:val="Guide-Table"/>
              <w:spacing w:before="60" w:after="60"/>
              <w:rPr>
                <w:rFonts w:cs="Tahoma"/>
                <w:lang w:val="sl-SI" w:eastAsia="en-GB"/>
              </w:rPr>
            </w:pPr>
            <w:r w:rsidRPr="00F769E0">
              <w:rPr>
                <w:rFonts w:cs="Tahoma"/>
                <w:lang w:val="sl-SI" w:eastAsia="en-GB"/>
              </w:rPr>
              <w:t>60-140</w:t>
            </w:r>
          </w:p>
        </w:tc>
      </w:tr>
    </w:tbl>
    <w:p w14:paraId="7D398BAC" w14:textId="77777777" w:rsidR="00E03711" w:rsidRDefault="00E03711" w:rsidP="00A37BFA">
      <w:pPr>
        <w:pStyle w:val="Guide-Heading4TOC"/>
        <w:rPr>
          <w:lang w:val="sl-SI"/>
        </w:rPr>
      </w:pPr>
      <w:bookmarkStart w:id="171" w:name="_bookmark34"/>
      <w:bookmarkEnd w:id="171"/>
    </w:p>
    <w:p w14:paraId="7D398BAD" w14:textId="77777777" w:rsidR="00E03711" w:rsidRPr="001048FE" w:rsidRDefault="00E03711" w:rsidP="00860232">
      <w:pPr>
        <w:widowControl/>
        <w:pBdr>
          <w:top w:val="single" w:sz="4" w:space="1" w:color="auto"/>
          <w:left w:val="single" w:sz="4" w:space="4" w:color="auto"/>
          <w:bottom w:val="single" w:sz="4" w:space="1" w:color="auto"/>
          <w:right w:val="single" w:sz="4" w:space="4" w:color="auto"/>
        </w:pBdr>
        <w:suppressAutoHyphens w:val="0"/>
        <w:autoSpaceDN/>
        <w:textAlignment w:val="auto"/>
        <w:rPr>
          <w:lang w:val="sl-SI"/>
        </w:rPr>
        <w:sectPr w:rsidR="00E03711" w:rsidRPr="001048FE" w:rsidSect="007F4890">
          <w:endnotePr>
            <w:numFmt w:val="decimal"/>
          </w:endnotePr>
          <w:pgSz w:w="11910" w:h="16840" w:code="9"/>
          <w:pgMar w:top="1134" w:right="1418" w:bottom="1134" w:left="1418" w:header="283" w:footer="567" w:gutter="0"/>
          <w:cols w:space="720"/>
          <w:docGrid w:linePitch="326"/>
        </w:sectPr>
      </w:pPr>
    </w:p>
    <w:p w14:paraId="7D398BAE" w14:textId="77777777" w:rsidR="00E03711" w:rsidRDefault="00E03711">
      <w:pPr>
        <w:pStyle w:val="Guide-Heading4TOC"/>
        <w:rPr>
          <w:lang w:val="sl-SI"/>
        </w:rPr>
      </w:pPr>
      <w:bookmarkStart w:id="172" w:name="_Toc527401141"/>
      <w:r w:rsidRPr="001048FE">
        <w:rPr>
          <w:lang w:val="sl-SI"/>
        </w:rPr>
        <w:t>Projekt mobilnosti za šolsko osebje</w:t>
      </w:r>
      <w:bookmarkEnd w:id="172"/>
    </w:p>
    <w:p w14:paraId="7D398BAF" w14:textId="77777777" w:rsidR="00E03711" w:rsidRPr="001048FE" w:rsidRDefault="00E03711" w:rsidP="00D7543C">
      <w:pPr>
        <w:pStyle w:val="GUIDE-NORMAL"/>
        <w:rPr>
          <w:lang w:val="sl-SI"/>
        </w:rPr>
      </w:pPr>
      <w:r w:rsidRPr="001048FE">
        <w:rPr>
          <w:lang w:val="sl-SI"/>
        </w:rPr>
        <w:t>Ta projekt mobilnosti lahko zajema eno ali več naslednjih aktivnosti: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E03711" w:rsidRPr="00A6094F" w14:paraId="7D398BB5" w14:textId="77777777" w:rsidTr="00237696">
        <w:trPr>
          <w:trHeight w:val="2111"/>
        </w:trPr>
        <w:tc>
          <w:tcPr>
            <w:tcW w:w="9064" w:type="dxa"/>
            <w:shd w:val="clear" w:color="auto" w:fill="auto"/>
          </w:tcPr>
          <w:p w14:paraId="7D398BB0" w14:textId="77777777" w:rsidR="00E03711" w:rsidRPr="00F769E0" w:rsidRDefault="00E03711" w:rsidP="00237696">
            <w:pPr>
              <w:pStyle w:val="Guide-Heading7"/>
              <w:spacing w:before="60" w:after="60"/>
              <w:rPr>
                <w:rFonts w:cs="Tahoma"/>
                <w:lang w:val="sl-SI"/>
              </w:rPr>
            </w:pPr>
            <w:r w:rsidRPr="00F769E0">
              <w:rPr>
                <w:rFonts w:cs="Tahoma"/>
                <w:lang w:val="sl-SI"/>
              </w:rPr>
              <w:t>Mobilnost osebja:</w:t>
            </w:r>
          </w:p>
          <w:p w14:paraId="7D398BB1" w14:textId="77777777" w:rsidR="00E03711" w:rsidRPr="00512E46" w:rsidRDefault="00E03711" w:rsidP="005115F2">
            <w:pPr>
              <w:pStyle w:val="Guide-NormalBulletpoints"/>
              <w:numPr>
                <w:ilvl w:val="0"/>
                <w:numId w:val="348"/>
              </w:numPr>
              <w:rPr>
                <w:lang w:val="sl-SI"/>
              </w:rPr>
            </w:pPr>
            <w:r w:rsidRPr="00512E46">
              <w:rPr>
                <w:b/>
                <w:lang w:val="sl-SI"/>
              </w:rPr>
              <w:t>poučevanje:</w:t>
            </w:r>
            <w:r w:rsidRPr="00512E46">
              <w:rPr>
                <w:b/>
                <w:spacing w:val="-23"/>
                <w:lang w:val="sl-SI"/>
              </w:rPr>
              <w:t xml:space="preserve"> </w:t>
            </w:r>
            <w:r w:rsidRPr="00512E46">
              <w:rPr>
                <w:lang w:val="sl-SI"/>
              </w:rPr>
              <w:t>ta</w:t>
            </w:r>
            <w:r w:rsidRPr="00512E46">
              <w:rPr>
                <w:spacing w:val="-23"/>
                <w:lang w:val="sl-SI"/>
              </w:rPr>
              <w:t xml:space="preserve"> </w:t>
            </w:r>
            <w:r w:rsidRPr="00512E46">
              <w:rPr>
                <w:lang w:val="sl-SI"/>
              </w:rPr>
              <w:t>aktivnost</w:t>
            </w:r>
            <w:r w:rsidRPr="00512E46">
              <w:rPr>
                <w:spacing w:val="-23"/>
                <w:lang w:val="sl-SI"/>
              </w:rPr>
              <w:t xml:space="preserve"> </w:t>
            </w:r>
            <w:r w:rsidRPr="00512E46">
              <w:rPr>
                <w:lang w:val="sl-SI"/>
              </w:rPr>
              <w:t>šolskemu</w:t>
            </w:r>
            <w:r w:rsidRPr="00512E46">
              <w:rPr>
                <w:spacing w:val="-23"/>
                <w:lang w:val="sl-SI"/>
              </w:rPr>
              <w:t xml:space="preserve"> </w:t>
            </w:r>
            <w:r w:rsidRPr="00512E46">
              <w:rPr>
                <w:lang w:val="sl-SI"/>
              </w:rPr>
              <w:t>osebju</w:t>
            </w:r>
            <w:r w:rsidRPr="00512E46">
              <w:rPr>
                <w:spacing w:val="-22"/>
                <w:lang w:val="sl-SI"/>
              </w:rPr>
              <w:t xml:space="preserve"> </w:t>
            </w:r>
            <w:r w:rsidRPr="00512E46">
              <w:rPr>
                <w:lang w:val="sl-SI"/>
              </w:rPr>
              <w:t>omogoča</w:t>
            </w:r>
            <w:r w:rsidRPr="00512E46">
              <w:rPr>
                <w:spacing w:val="-22"/>
                <w:lang w:val="sl-SI"/>
              </w:rPr>
              <w:t xml:space="preserve"> </w:t>
            </w:r>
            <w:r w:rsidRPr="00512E46">
              <w:rPr>
                <w:lang w:val="sl-SI"/>
              </w:rPr>
              <w:t>poučevanje</w:t>
            </w:r>
            <w:r w:rsidRPr="00512E46">
              <w:rPr>
                <w:spacing w:val="-23"/>
                <w:lang w:val="sl-SI"/>
              </w:rPr>
              <w:t xml:space="preserve"> </w:t>
            </w:r>
            <w:r w:rsidRPr="00512E46">
              <w:rPr>
                <w:lang w:val="sl-SI"/>
              </w:rPr>
              <w:t>na</w:t>
            </w:r>
            <w:r w:rsidRPr="00512E46">
              <w:rPr>
                <w:spacing w:val="-23"/>
                <w:lang w:val="sl-SI"/>
              </w:rPr>
              <w:t xml:space="preserve"> </w:t>
            </w:r>
            <w:r w:rsidRPr="00512E46">
              <w:rPr>
                <w:lang w:val="sl-SI"/>
              </w:rPr>
              <w:t>partnerski</w:t>
            </w:r>
            <w:r w:rsidRPr="00512E46">
              <w:rPr>
                <w:spacing w:val="-23"/>
                <w:lang w:val="sl-SI"/>
              </w:rPr>
              <w:t xml:space="preserve"> </w:t>
            </w:r>
            <w:r w:rsidRPr="00512E46">
              <w:rPr>
                <w:spacing w:val="-35"/>
                <w:lang w:val="sl-SI"/>
              </w:rPr>
              <w:t xml:space="preserve">šoli </w:t>
            </w:r>
            <w:r w:rsidRPr="00512E46">
              <w:rPr>
                <w:lang w:val="sl-SI"/>
              </w:rPr>
              <w:t>v</w:t>
            </w:r>
            <w:r w:rsidRPr="00512E46">
              <w:rPr>
                <w:spacing w:val="-2"/>
                <w:lang w:val="sl-SI"/>
              </w:rPr>
              <w:t xml:space="preserve"> </w:t>
            </w:r>
            <w:r w:rsidRPr="00512E46">
              <w:rPr>
                <w:lang w:val="sl-SI"/>
              </w:rPr>
              <w:t>tujini;</w:t>
            </w:r>
          </w:p>
          <w:p w14:paraId="7D398BB2" w14:textId="77777777" w:rsidR="00E03711" w:rsidRPr="00512E46" w:rsidRDefault="00E03711" w:rsidP="005115F2">
            <w:pPr>
              <w:pStyle w:val="Guide-NormalBulletpoints"/>
              <w:numPr>
                <w:ilvl w:val="0"/>
                <w:numId w:val="348"/>
              </w:numPr>
              <w:rPr>
                <w:lang w:val="sl-SI"/>
              </w:rPr>
            </w:pPr>
            <w:r w:rsidRPr="00512E46">
              <w:rPr>
                <w:b/>
                <w:lang w:val="sl-SI"/>
              </w:rPr>
              <w:t xml:space="preserve">strukturirani tečaji ali usposabljanje v tujini: </w:t>
            </w:r>
            <w:r w:rsidRPr="00512E46">
              <w:rPr>
                <w:lang w:val="sl-SI"/>
              </w:rPr>
              <w:t xml:space="preserve">ta aktivnost </w:t>
            </w:r>
            <w:r w:rsidRPr="00512E46">
              <w:rPr>
                <w:spacing w:val="-19"/>
                <w:lang w:val="sl-SI"/>
              </w:rPr>
              <w:t xml:space="preserve">podpira </w:t>
            </w:r>
            <w:r w:rsidRPr="00512E46">
              <w:rPr>
                <w:lang w:val="sl-SI"/>
              </w:rPr>
              <w:t>strokovni/poklicni</w:t>
            </w:r>
            <w:r w:rsidRPr="00512E46">
              <w:rPr>
                <w:spacing w:val="-9"/>
                <w:lang w:val="sl-SI"/>
              </w:rPr>
              <w:t xml:space="preserve"> </w:t>
            </w:r>
            <w:r w:rsidRPr="00512E46">
              <w:rPr>
                <w:lang w:val="sl-SI"/>
              </w:rPr>
              <w:t>razvoj</w:t>
            </w:r>
            <w:r w:rsidRPr="00512E46">
              <w:rPr>
                <w:spacing w:val="-9"/>
                <w:lang w:val="sl-SI"/>
              </w:rPr>
              <w:t xml:space="preserve"> </w:t>
            </w:r>
            <w:r w:rsidRPr="00512E46">
              <w:rPr>
                <w:lang w:val="sl-SI"/>
              </w:rPr>
              <w:t>učiteljev,</w:t>
            </w:r>
            <w:r w:rsidRPr="00512E46">
              <w:rPr>
                <w:spacing w:val="-9"/>
                <w:lang w:val="sl-SI"/>
              </w:rPr>
              <w:t xml:space="preserve"> </w:t>
            </w:r>
            <w:r w:rsidRPr="00512E46">
              <w:rPr>
                <w:lang w:val="sl-SI"/>
              </w:rPr>
              <w:t>vodstvenih</w:t>
            </w:r>
            <w:r w:rsidRPr="00512E46">
              <w:rPr>
                <w:spacing w:val="-9"/>
                <w:lang w:val="sl-SI"/>
              </w:rPr>
              <w:t xml:space="preserve"> </w:t>
            </w:r>
            <w:r w:rsidRPr="00512E46">
              <w:rPr>
                <w:lang w:val="sl-SI"/>
              </w:rPr>
              <w:t>delavcev</w:t>
            </w:r>
            <w:r w:rsidRPr="00512E46">
              <w:rPr>
                <w:spacing w:val="-9"/>
                <w:lang w:val="sl-SI"/>
              </w:rPr>
              <w:t xml:space="preserve"> </w:t>
            </w:r>
            <w:r w:rsidRPr="00512E46">
              <w:rPr>
                <w:lang w:val="sl-SI"/>
              </w:rPr>
              <w:t>šol</w:t>
            </w:r>
            <w:r w:rsidRPr="00512E46">
              <w:rPr>
                <w:spacing w:val="-9"/>
                <w:lang w:val="sl-SI"/>
              </w:rPr>
              <w:t xml:space="preserve"> </w:t>
            </w:r>
            <w:r w:rsidRPr="00512E46">
              <w:rPr>
                <w:lang w:val="sl-SI"/>
              </w:rPr>
              <w:t>ali</w:t>
            </w:r>
            <w:r w:rsidRPr="00512E46">
              <w:rPr>
                <w:spacing w:val="-9"/>
                <w:lang w:val="sl-SI"/>
              </w:rPr>
              <w:t xml:space="preserve"> </w:t>
            </w:r>
            <w:r w:rsidRPr="00512E46">
              <w:rPr>
                <w:lang w:val="sl-SI"/>
              </w:rPr>
              <w:t>drugega izobraževalnega</w:t>
            </w:r>
            <w:r w:rsidRPr="00512E46">
              <w:rPr>
                <w:spacing w:val="-4"/>
                <w:lang w:val="sl-SI"/>
              </w:rPr>
              <w:t xml:space="preserve"> </w:t>
            </w:r>
            <w:r w:rsidRPr="00512E46">
              <w:rPr>
                <w:lang w:val="sl-SI"/>
              </w:rPr>
              <w:t>osebja;</w:t>
            </w:r>
          </w:p>
          <w:p w14:paraId="7D398BB3" w14:textId="77777777" w:rsidR="00E03711" w:rsidRPr="00512E46" w:rsidRDefault="00E03711" w:rsidP="005115F2">
            <w:pPr>
              <w:pStyle w:val="Guide-NormalBulletpoints"/>
              <w:numPr>
                <w:ilvl w:val="0"/>
                <w:numId w:val="348"/>
              </w:numPr>
              <w:rPr>
                <w:lang w:val="sl-SI"/>
              </w:rPr>
            </w:pPr>
            <w:r w:rsidRPr="00512E46">
              <w:rPr>
                <w:b/>
                <w:lang w:val="sl-SI"/>
              </w:rPr>
              <w:t xml:space="preserve">izobraževalni obisk na delovnem mestu: </w:t>
            </w:r>
            <w:r w:rsidRPr="00512E46">
              <w:rPr>
                <w:lang w:val="sl-SI"/>
              </w:rPr>
              <w:t>ta aktivnost učiteljem, vodstvenim delavcem</w:t>
            </w:r>
            <w:r w:rsidRPr="00512E46">
              <w:rPr>
                <w:spacing w:val="-16"/>
                <w:lang w:val="sl-SI"/>
              </w:rPr>
              <w:t xml:space="preserve"> </w:t>
            </w:r>
            <w:r w:rsidRPr="00512E46">
              <w:rPr>
                <w:lang w:val="sl-SI"/>
              </w:rPr>
              <w:t>ali</w:t>
            </w:r>
            <w:r w:rsidRPr="00512E46">
              <w:rPr>
                <w:spacing w:val="-16"/>
                <w:lang w:val="sl-SI"/>
              </w:rPr>
              <w:t xml:space="preserve"> </w:t>
            </w:r>
            <w:r w:rsidRPr="00512E46">
              <w:rPr>
                <w:lang w:val="sl-SI"/>
              </w:rPr>
              <w:t>drugemu</w:t>
            </w:r>
            <w:r w:rsidRPr="00512E46">
              <w:rPr>
                <w:spacing w:val="-16"/>
                <w:lang w:val="sl-SI"/>
              </w:rPr>
              <w:t xml:space="preserve"> </w:t>
            </w:r>
            <w:r w:rsidRPr="00512E46">
              <w:rPr>
                <w:lang w:val="sl-SI"/>
              </w:rPr>
              <w:t>šolskemu</w:t>
            </w:r>
            <w:r w:rsidRPr="00512E46">
              <w:rPr>
                <w:spacing w:val="-16"/>
                <w:lang w:val="sl-SI"/>
              </w:rPr>
              <w:t xml:space="preserve"> </w:t>
            </w:r>
            <w:r w:rsidRPr="00512E46">
              <w:rPr>
                <w:lang w:val="sl-SI"/>
              </w:rPr>
              <w:t>osebju</w:t>
            </w:r>
            <w:r w:rsidRPr="00512E46">
              <w:rPr>
                <w:spacing w:val="-15"/>
                <w:lang w:val="sl-SI"/>
              </w:rPr>
              <w:t xml:space="preserve"> </w:t>
            </w:r>
            <w:r w:rsidRPr="00512E46">
              <w:rPr>
                <w:lang w:val="sl-SI"/>
              </w:rPr>
              <w:t>omogoča,</w:t>
            </w:r>
            <w:r w:rsidRPr="00512E46">
              <w:rPr>
                <w:spacing w:val="-15"/>
                <w:lang w:val="sl-SI"/>
              </w:rPr>
              <w:t xml:space="preserve"> </w:t>
            </w:r>
            <w:r w:rsidRPr="00512E46">
              <w:rPr>
                <w:lang w:val="sl-SI"/>
              </w:rPr>
              <w:t>da</w:t>
            </w:r>
            <w:r w:rsidRPr="00512E46">
              <w:rPr>
                <w:spacing w:val="-16"/>
                <w:lang w:val="sl-SI"/>
              </w:rPr>
              <w:t xml:space="preserve"> </w:t>
            </w:r>
            <w:r w:rsidRPr="00512E46">
              <w:rPr>
                <w:lang w:val="sl-SI"/>
              </w:rPr>
              <w:t>preživijo</w:t>
            </w:r>
            <w:r w:rsidRPr="00512E46">
              <w:rPr>
                <w:spacing w:val="-16"/>
                <w:lang w:val="sl-SI"/>
              </w:rPr>
              <w:t xml:space="preserve"> </w:t>
            </w:r>
            <w:r w:rsidRPr="00512E46">
              <w:rPr>
                <w:lang w:val="sl-SI"/>
              </w:rPr>
              <w:t>neko</w:t>
            </w:r>
            <w:r w:rsidRPr="00512E46">
              <w:rPr>
                <w:spacing w:val="-16"/>
                <w:lang w:val="sl-SI"/>
              </w:rPr>
              <w:t xml:space="preserve"> </w:t>
            </w:r>
            <w:r w:rsidRPr="00512E46">
              <w:rPr>
                <w:lang w:val="sl-SI"/>
              </w:rPr>
              <w:t>obdobje</w:t>
            </w:r>
            <w:r w:rsidRPr="00512E46">
              <w:rPr>
                <w:spacing w:val="-15"/>
                <w:lang w:val="sl-SI"/>
              </w:rPr>
              <w:t xml:space="preserve"> </w:t>
            </w:r>
            <w:r w:rsidRPr="00512E46">
              <w:rPr>
                <w:lang w:val="sl-SI"/>
              </w:rPr>
              <w:t>v</w:t>
            </w:r>
            <w:r w:rsidRPr="00512E46">
              <w:rPr>
                <w:spacing w:val="-16"/>
                <w:lang w:val="sl-SI"/>
              </w:rPr>
              <w:t xml:space="preserve"> </w:t>
            </w:r>
            <w:r w:rsidRPr="00512E46">
              <w:rPr>
                <w:lang w:val="sl-SI"/>
              </w:rPr>
              <w:t>tujini na partnerski šoli ali v drugi ustrezni organizaciji, ki je aktivna na področju šolskega</w:t>
            </w:r>
            <w:r w:rsidRPr="00512E46">
              <w:rPr>
                <w:spacing w:val="-4"/>
                <w:lang w:val="sl-SI"/>
              </w:rPr>
              <w:t xml:space="preserve"> </w:t>
            </w:r>
            <w:r w:rsidRPr="00512E46">
              <w:rPr>
                <w:lang w:val="sl-SI"/>
              </w:rPr>
              <w:t>izobraževanja.</w:t>
            </w:r>
          </w:p>
          <w:p w14:paraId="7D398BB4" w14:textId="77777777" w:rsidR="00E03711" w:rsidRPr="00237696" w:rsidRDefault="00E03711" w:rsidP="00237696">
            <w:pPr>
              <w:pStyle w:val="GUIDE-NORMAL"/>
              <w:spacing w:before="60" w:after="60"/>
              <w:rPr>
                <w:lang w:val="sl-SI" w:eastAsia="en-GB"/>
              </w:rPr>
            </w:pPr>
            <w:r w:rsidRPr="00237696">
              <w:rPr>
                <w:lang w:val="sl-SI" w:eastAsia="en-GB"/>
              </w:rPr>
              <w:t>Te aktivnosti so hkrati priložnost za učitelje, da pridobijo kompetence za delo z učenci iz okolij z manj možnostmi. Glede na trenutne okoliščine v zvezi z mladimi migranti, begunci in prosilci za azil, bo posebna pozornost namenjena podpori projektom, ki učitelje usposabljajo za področja, kot so učenje otrok beguncev, medkulturni razredi, poučevanje</w:t>
            </w:r>
            <w:r w:rsidRPr="00237696">
              <w:rPr>
                <w:spacing w:val="10"/>
                <w:lang w:val="sl-SI" w:eastAsia="en-GB"/>
              </w:rPr>
              <w:t xml:space="preserve"> </w:t>
            </w:r>
            <w:r w:rsidRPr="00237696">
              <w:rPr>
                <w:lang w:val="sl-SI" w:eastAsia="en-GB"/>
              </w:rPr>
              <w:t>mladih</w:t>
            </w:r>
            <w:r w:rsidRPr="00237696">
              <w:rPr>
                <w:spacing w:val="10"/>
                <w:lang w:val="sl-SI" w:eastAsia="en-GB"/>
              </w:rPr>
              <w:t xml:space="preserve"> </w:t>
            </w:r>
            <w:r w:rsidRPr="00237696">
              <w:rPr>
                <w:lang w:val="sl-SI" w:eastAsia="en-GB"/>
              </w:rPr>
              <w:t>v</w:t>
            </w:r>
            <w:r w:rsidRPr="00237696">
              <w:rPr>
                <w:spacing w:val="10"/>
                <w:lang w:val="sl-SI" w:eastAsia="en-GB"/>
              </w:rPr>
              <w:t xml:space="preserve"> </w:t>
            </w:r>
            <w:r w:rsidRPr="00237696">
              <w:rPr>
                <w:lang w:val="sl-SI" w:eastAsia="en-GB"/>
              </w:rPr>
              <w:t>njihovem</w:t>
            </w:r>
            <w:r w:rsidRPr="00237696">
              <w:rPr>
                <w:spacing w:val="10"/>
                <w:lang w:val="sl-SI" w:eastAsia="en-GB"/>
              </w:rPr>
              <w:t xml:space="preserve"> </w:t>
            </w:r>
            <w:r w:rsidRPr="00237696">
              <w:rPr>
                <w:lang w:val="sl-SI" w:eastAsia="en-GB"/>
              </w:rPr>
              <w:t>drugem</w:t>
            </w:r>
            <w:r w:rsidRPr="00237696">
              <w:rPr>
                <w:spacing w:val="10"/>
                <w:lang w:val="sl-SI" w:eastAsia="en-GB"/>
              </w:rPr>
              <w:t xml:space="preserve"> </w:t>
            </w:r>
            <w:r w:rsidRPr="00237696">
              <w:rPr>
                <w:lang w:val="sl-SI" w:eastAsia="en-GB"/>
              </w:rPr>
              <w:t>jeziku,</w:t>
            </w:r>
            <w:r w:rsidRPr="00237696">
              <w:rPr>
                <w:spacing w:val="10"/>
                <w:lang w:val="sl-SI" w:eastAsia="en-GB"/>
              </w:rPr>
              <w:t xml:space="preserve"> </w:t>
            </w:r>
            <w:r w:rsidRPr="00237696">
              <w:rPr>
                <w:lang w:val="sl-SI" w:eastAsia="en-GB"/>
              </w:rPr>
              <w:t>strpnost</w:t>
            </w:r>
            <w:r w:rsidRPr="00237696">
              <w:rPr>
                <w:spacing w:val="10"/>
                <w:lang w:val="sl-SI" w:eastAsia="en-GB"/>
              </w:rPr>
              <w:t xml:space="preserve"> </w:t>
            </w:r>
            <w:r w:rsidRPr="00237696">
              <w:rPr>
                <w:lang w:val="sl-SI" w:eastAsia="en-GB"/>
              </w:rPr>
              <w:t>in</w:t>
            </w:r>
            <w:r w:rsidRPr="00237696">
              <w:rPr>
                <w:spacing w:val="10"/>
                <w:lang w:val="sl-SI" w:eastAsia="en-GB"/>
              </w:rPr>
              <w:t xml:space="preserve"> </w:t>
            </w:r>
            <w:r w:rsidRPr="00237696">
              <w:rPr>
                <w:lang w:val="sl-SI" w:eastAsia="en-GB"/>
              </w:rPr>
              <w:t>različnost</w:t>
            </w:r>
            <w:r w:rsidRPr="00237696">
              <w:rPr>
                <w:spacing w:val="10"/>
                <w:lang w:val="sl-SI" w:eastAsia="en-GB"/>
              </w:rPr>
              <w:t xml:space="preserve"> </w:t>
            </w:r>
            <w:r w:rsidRPr="00237696">
              <w:rPr>
                <w:lang w:val="sl-SI" w:eastAsia="en-GB"/>
              </w:rPr>
              <w:t>v</w:t>
            </w:r>
            <w:r w:rsidRPr="00237696">
              <w:rPr>
                <w:spacing w:val="10"/>
                <w:lang w:val="sl-SI" w:eastAsia="en-GB"/>
              </w:rPr>
              <w:t xml:space="preserve"> </w:t>
            </w:r>
            <w:r w:rsidRPr="00237696">
              <w:rPr>
                <w:lang w:val="sl-SI" w:eastAsia="en-GB"/>
              </w:rPr>
              <w:t>razredu.</w:t>
            </w:r>
          </w:p>
        </w:tc>
      </w:tr>
    </w:tbl>
    <w:p w14:paraId="7D398BB6" w14:textId="77777777" w:rsidR="00E03711" w:rsidRPr="001048FE" w:rsidRDefault="00E03711" w:rsidP="00D7543C">
      <w:pPr>
        <w:pStyle w:val="Guide-Heading5"/>
        <w:rPr>
          <w:lang w:val="sl-SI"/>
        </w:rPr>
      </w:pPr>
      <w:r w:rsidRPr="001048FE">
        <w:rPr>
          <w:lang w:val="sl-SI"/>
        </w:rPr>
        <w:t>Kakšna je vloga organizacij, ki sodelujejo v tem projektu?</w:t>
      </w:r>
    </w:p>
    <w:p w14:paraId="7D398BB7" w14:textId="77777777" w:rsidR="00E03711" w:rsidRPr="001048FE" w:rsidRDefault="00E03711" w:rsidP="00D7543C">
      <w:pPr>
        <w:pStyle w:val="GUIDE-NORMAL"/>
        <w:rPr>
          <w:lang w:val="sl-SI"/>
        </w:rPr>
      </w:pPr>
      <w:r w:rsidRPr="001048FE">
        <w:rPr>
          <w:lang w:val="sl-SI"/>
        </w:rPr>
        <w:t>Sodelujoče organizacije, ki so vključene v projekt mobilnosti, prevzamejo naslednje vloge in naloge:</w:t>
      </w:r>
    </w:p>
    <w:p w14:paraId="7D398BB8" w14:textId="77777777" w:rsidR="00E03711" w:rsidRPr="001048FE" w:rsidRDefault="00E03711" w:rsidP="005115F2">
      <w:pPr>
        <w:pStyle w:val="Guide-NormalBulletpoints"/>
        <w:numPr>
          <w:ilvl w:val="0"/>
          <w:numId w:val="349"/>
        </w:numPr>
        <w:rPr>
          <w:lang w:val="sl-SI"/>
        </w:rPr>
      </w:pPr>
      <w:r w:rsidRPr="001048FE">
        <w:rPr>
          <w:b/>
          <w:lang w:val="sl-SI"/>
        </w:rPr>
        <w:t>organizacija prijaviteljica:</w:t>
      </w:r>
      <w:r w:rsidRPr="001048FE">
        <w:rPr>
          <w:lang w:val="sl-SI"/>
        </w:rPr>
        <w:t xml:space="preserve"> odgovorna je za to, da se prijavi na projekt mobilnosti, podpiše in upravlja sporazum o nepovratnih sredstvih ter poroča o projektu. Če je organizacija prijaviteljica šola, deluje tudi kot organizacija pošiljateljica. Prijavitelj je lahko koordinator konzorcija: vodi nacionalni konzorcij za mobilnost, ki je sestavljen iz partnerskih organizacij iz iste države in namenjen pošiljanju šolskega osebja na aktivnosti v tujini;</w:t>
      </w:r>
    </w:p>
    <w:p w14:paraId="7D398BB9" w14:textId="77777777" w:rsidR="00E03711" w:rsidRPr="001048FE" w:rsidRDefault="00E03711" w:rsidP="005115F2">
      <w:pPr>
        <w:pStyle w:val="Guide-NormalBulletpoints"/>
        <w:numPr>
          <w:ilvl w:val="0"/>
          <w:numId w:val="349"/>
        </w:numPr>
        <w:rPr>
          <w:lang w:val="sl-SI"/>
        </w:rPr>
      </w:pPr>
      <w:r w:rsidRPr="001048FE">
        <w:rPr>
          <w:b/>
          <w:lang w:val="sl-SI"/>
        </w:rPr>
        <w:t>organizacija pošiljateljica:</w:t>
      </w:r>
      <w:r w:rsidRPr="001048FE">
        <w:rPr>
          <w:lang w:val="sl-SI"/>
        </w:rPr>
        <w:t xml:space="preserve"> odgovorna je za to, da izbere šolsko osebje in ga napoti v tujino; </w:t>
      </w:r>
    </w:p>
    <w:p w14:paraId="7D398BBA" w14:textId="77777777" w:rsidR="00E03711" w:rsidRPr="001048FE" w:rsidRDefault="00E03711" w:rsidP="005115F2">
      <w:pPr>
        <w:pStyle w:val="Guide-NormalBulletpoints"/>
        <w:numPr>
          <w:ilvl w:val="0"/>
          <w:numId w:val="349"/>
        </w:numPr>
        <w:rPr>
          <w:lang w:val="sl-SI"/>
        </w:rPr>
      </w:pPr>
      <w:r w:rsidRPr="001048FE">
        <w:rPr>
          <w:b/>
          <w:lang w:val="sl-SI"/>
        </w:rPr>
        <w:t>organizacija gostiteljica:</w:t>
      </w:r>
      <w:r w:rsidRPr="001048FE">
        <w:rPr>
          <w:lang w:val="sl-SI"/>
        </w:rPr>
        <w:t xml:space="preserve"> odgovorna je za to, da sprejme šolsko osebje ter zanj zagotovi program aktivnosti ali pridobitev znanja na podlagi aktivnosti poučevanja, ki ga osebje izvaja.</w:t>
      </w:r>
    </w:p>
    <w:p w14:paraId="7D398BBB" w14:textId="77777777" w:rsidR="00E03711" w:rsidRPr="001048FE" w:rsidRDefault="00E03711" w:rsidP="00D7543C">
      <w:pPr>
        <w:pStyle w:val="GUIDE-NORMAL"/>
        <w:rPr>
          <w:lang w:val="sl-SI"/>
        </w:rPr>
      </w:pPr>
      <w:r w:rsidRPr="001048FE">
        <w:rPr>
          <w:lang w:val="sl-SI"/>
        </w:rPr>
        <w:t>Natančna</w:t>
      </w:r>
      <w:r w:rsidRPr="001048FE">
        <w:rPr>
          <w:spacing w:val="-11"/>
          <w:lang w:val="sl-SI"/>
        </w:rPr>
        <w:t xml:space="preserve"> </w:t>
      </w:r>
      <w:r w:rsidRPr="001048FE">
        <w:rPr>
          <w:lang w:val="sl-SI"/>
        </w:rPr>
        <w:t>vloga</w:t>
      </w:r>
      <w:r w:rsidRPr="001048FE">
        <w:rPr>
          <w:spacing w:val="-11"/>
          <w:lang w:val="sl-SI"/>
        </w:rPr>
        <w:t xml:space="preserve"> </w:t>
      </w:r>
      <w:r w:rsidRPr="001048FE">
        <w:rPr>
          <w:lang w:val="sl-SI"/>
        </w:rPr>
        <w:t>organizacije</w:t>
      </w:r>
      <w:r w:rsidRPr="001048FE">
        <w:rPr>
          <w:spacing w:val="-10"/>
          <w:lang w:val="sl-SI"/>
        </w:rPr>
        <w:t xml:space="preserve"> </w:t>
      </w:r>
      <w:r w:rsidRPr="001048FE">
        <w:rPr>
          <w:lang w:val="sl-SI"/>
        </w:rPr>
        <w:t>gostiteljice</w:t>
      </w:r>
      <w:r w:rsidRPr="001048FE">
        <w:rPr>
          <w:spacing w:val="-11"/>
          <w:lang w:val="sl-SI"/>
        </w:rPr>
        <w:t xml:space="preserve"> </w:t>
      </w:r>
      <w:r w:rsidRPr="001048FE">
        <w:rPr>
          <w:lang w:val="sl-SI"/>
        </w:rPr>
        <w:t>je</w:t>
      </w:r>
      <w:r w:rsidRPr="001048FE">
        <w:rPr>
          <w:spacing w:val="-11"/>
          <w:lang w:val="sl-SI"/>
        </w:rPr>
        <w:t xml:space="preserve"> </w:t>
      </w:r>
      <w:r w:rsidRPr="001048FE">
        <w:rPr>
          <w:lang w:val="sl-SI"/>
        </w:rPr>
        <w:t>odvisna</w:t>
      </w:r>
      <w:r w:rsidRPr="001048FE">
        <w:rPr>
          <w:spacing w:val="-10"/>
          <w:lang w:val="sl-SI"/>
        </w:rPr>
        <w:t xml:space="preserve"> </w:t>
      </w:r>
      <w:r w:rsidRPr="001048FE">
        <w:rPr>
          <w:lang w:val="sl-SI"/>
        </w:rPr>
        <w:t>od</w:t>
      </w:r>
      <w:r w:rsidRPr="001048FE">
        <w:rPr>
          <w:spacing w:val="-10"/>
          <w:lang w:val="sl-SI"/>
        </w:rPr>
        <w:t xml:space="preserve"> </w:t>
      </w:r>
      <w:r w:rsidRPr="001048FE">
        <w:rPr>
          <w:lang w:val="sl-SI"/>
        </w:rPr>
        <w:t>vrste</w:t>
      </w:r>
      <w:r w:rsidRPr="001048FE">
        <w:rPr>
          <w:spacing w:val="-11"/>
          <w:lang w:val="sl-SI"/>
        </w:rPr>
        <w:t xml:space="preserve"> </w:t>
      </w:r>
      <w:r w:rsidRPr="001048FE">
        <w:rPr>
          <w:lang w:val="sl-SI"/>
        </w:rPr>
        <w:t>aktivnosti</w:t>
      </w:r>
      <w:r w:rsidRPr="001048FE">
        <w:rPr>
          <w:spacing w:val="-11"/>
          <w:lang w:val="sl-SI"/>
        </w:rPr>
        <w:t xml:space="preserve"> </w:t>
      </w:r>
      <w:r w:rsidRPr="001048FE">
        <w:rPr>
          <w:lang w:val="sl-SI"/>
        </w:rPr>
        <w:t>in</w:t>
      </w:r>
      <w:r w:rsidRPr="001048FE">
        <w:rPr>
          <w:spacing w:val="-11"/>
          <w:lang w:val="sl-SI"/>
        </w:rPr>
        <w:t xml:space="preserve"> </w:t>
      </w:r>
      <w:r w:rsidRPr="001048FE">
        <w:rPr>
          <w:lang w:val="sl-SI"/>
        </w:rPr>
        <w:t>odnosa</w:t>
      </w:r>
      <w:r w:rsidRPr="001048FE">
        <w:rPr>
          <w:spacing w:val="-10"/>
          <w:lang w:val="sl-SI"/>
        </w:rPr>
        <w:t xml:space="preserve"> </w:t>
      </w:r>
      <w:r w:rsidRPr="001048FE">
        <w:rPr>
          <w:lang w:val="sl-SI"/>
        </w:rPr>
        <w:t>z</w:t>
      </w:r>
      <w:r w:rsidRPr="001048FE">
        <w:rPr>
          <w:spacing w:val="-11"/>
          <w:lang w:val="sl-SI"/>
        </w:rPr>
        <w:t xml:space="preserve"> </w:t>
      </w:r>
      <w:r w:rsidRPr="001048FE">
        <w:rPr>
          <w:lang w:val="sl-SI"/>
        </w:rPr>
        <w:t>organizacijo pošiljateljico. Organizacija gostiteljica je</w:t>
      </w:r>
      <w:r w:rsidRPr="001048FE">
        <w:rPr>
          <w:spacing w:val="-7"/>
          <w:lang w:val="sl-SI"/>
        </w:rPr>
        <w:t xml:space="preserve"> </w:t>
      </w:r>
      <w:r w:rsidRPr="001048FE">
        <w:rPr>
          <w:lang w:val="sl-SI"/>
        </w:rPr>
        <w:t>lahko:</w:t>
      </w:r>
    </w:p>
    <w:p w14:paraId="7D398BBC" w14:textId="77777777" w:rsidR="00E03711" w:rsidRPr="001048FE" w:rsidRDefault="00E03711" w:rsidP="005115F2">
      <w:pPr>
        <w:pStyle w:val="Guide-NormalBulletpoints"/>
        <w:numPr>
          <w:ilvl w:val="0"/>
          <w:numId w:val="231"/>
        </w:numPr>
        <w:rPr>
          <w:lang w:val="sl-SI"/>
        </w:rPr>
      </w:pPr>
      <w:r w:rsidRPr="001048FE">
        <w:rPr>
          <w:lang w:val="sl-SI"/>
        </w:rPr>
        <w:t xml:space="preserve">izvajalka tečaja (v primeru udeležbe v strukturiranem tečaju ali usposabljanju); </w:t>
      </w:r>
    </w:p>
    <w:p w14:paraId="7D398BBD" w14:textId="77777777" w:rsidR="00E03711" w:rsidRPr="001048FE" w:rsidRDefault="00E03711" w:rsidP="005115F2">
      <w:pPr>
        <w:pStyle w:val="Guide-NormalBulletpoints"/>
        <w:numPr>
          <w:ilvl w:val="0"/>
          <w:numId w:val="231"/>
        </w:numPr>
        <w:rPr>
          <w:lang w:val="sl-SI"/>
        </w:rPr>
      </w:pPr>
      <w:r w:rsidRPr="001048FE">
        <w:rPr>
          <w:lang w:val="sl-SI"/>
        </w:rPr>
        <w:t>partnerska šola ali druga ustrezna organizacija (npr. v primeru izobraževalnega obiska na delovnem mestu ali poučevanja na partnerski šoli). V tem primeru bi morali organizaciji pošiljateljica in gostiteljica skupaj z udeleženci skleniti sporazum pred začetkom aktivnosti. V tem sporazumu bi morali biti opredeljeni cilji in aktivnosti za obdobje v tujini ter navedene pravice in obveznosti obeh strani.</w:t>
      </w:r>
    </w:p>
    <w:p w14:paraId="7D398BBE" w14:textId="77777777" w:rsidR="00E03711" w:rsidRPr="001048FE" w:rsidRDefault="00E03711" w:rsidP="00D7543C">
      <w:pPr>
        <w:pStyle w:val="GUIDE-NORMAL"/>
        <w:rPr>
          <w:lang w:val="sl-SI"/>
        </w:rPr>
      </w:pPr>
      <w:r w:rsidRPr="001048FE">
        <w:rPr>
          <w:lang w:val="sl-SI"/>
        </w:rPr>
        <w:t>Erasmus+ podpira učno mobilnost osebja, ki:</w:t>
      </w:r>
    </w:p>
    <w:p w14:paraId="7D398BBF" w14:textId="77777777" w:rsidR="00E03711" w:rsidRPr="001048FE" w:rsidRDefault="00E03711" w:rsidP="005115F2">
      <w:pPr>
        <w:pStyle w:val="Guide-NormalBulletpoints"/>
        <w:numPr>
          <w:ilvl w:val="0"/>
          <w:numId w:val="232"/>
        </w:numPr>
        <w:rPr>
          <w:lang w:val="sl-SI"/>
        </w:rPr>
      </w:pPr>
      <w:r w:rsidRPr="001048FE">
        <w:rPr>
          <w:lang w:val="sl-SI"/>
        </w:rPr>
        <w:t>je oblikovana v okviru evropskega razvojnega načrta za organizacijo pošiljateljico (s ciljem posodobiti in internacionalizirati njeno poslanstvo);</w:t>
      </w:r>
    </w:p>
    <w:p w14:paraId="7D398BC0" w14:textId="77777777" w:rsidR="00E03711" w:rsidRPr="001048FE" w:rsidRDefault="00E03711" w:rsidP="005115F2">
      <w:pPr>
        <w:pStyle w:val="Guide-NormalBulletpoints"/>
        <w:numPr>
          <w:ilvl w:val="0"/>
          <w:numId w:val="232"/>
        </w:numPr>
        <w:rPr>
          <w:lang w:val="sl-SI"/>
        </w:rPr>
      </w:pPr>
      <w:r w:rsidRPr="001048FE">
        <w:rPr>
          <w:lang w:val="sl-SI"/>
        </w:rPr>
        <w:t>se odziva na jasno opredeljene potrebe po usposabljanju osebja;</w:t>
      </w:r>
    </w:p>
    <w:p w14:paraId="7D398BC1" w14:textId="77777777" w:rsidR="00E03711" w:rsidRPr="001048FE" w:rsidRDefault="00E03711" w:rsidP="005115F2">
      <w:pPr>
        <w:pStyle w:val="Guide-NormalBulletpoints"/>
        <w:numPr>
          <w:ilvl w:val="0"/>
          <w:numId w:val="232"/>
        </w:numPr>
        <w:rPr>
          <w:lang w:val="sl-SI"/>
        </w:rPr>
      </w:pPr>
      <w:r w:rsidRPr="001048FE">
        <w:rPr>
          <w:lang w:val="sl-SI"/>
        </w:rPr>
        <w:t xml:space="preserve">je podprta z ustreznimi ukrepi za izbor, pripravo in nadaljnje spremljanje; </w:t>
      </w:r>
    </w:p>
    <w:p w14:paraId="7D398BC2" w14:textId="77777777" w:rsidR="00E03711" w:rsidRPr="001048FE" w:rsidRDefault="00E03711" w:rsidP="005115F2">
      <w:pPr>
        <w:pStyle w:val="Guide-NormalBulletpoints"/>
        <w:numPr>
          <w:ilvl w:val="0"/>
          <w:numId w:val="232"/>
        </w:numPr>
        <w:rPr>
          <w:lang w:val="sl-SI"/>
        </w:rPr>
      </w:pPr>
      <w:r w:rsidRPr="001048FE">
        <w:rPr>
          <w:lang w:val="sl-SI"/>
        </w:rPr>
        <w:t xml:space="preserve">zagotavlja, da so učni izidi sodelujočega osebja ustrezno priznani; </w:t>
      </w:r>
    </w:p>
    <w:p w14:paraId="7D398BC3" w14:textId="77777777" w:rsidR="00E03711" w:rsidRPr="001048FE" w:rsidRDefault="00E03711" w:rsidP="005115F2">
      <w:pPr>
        <w:pStyle w:val="Guide-NormalBulletpoints"/>
        <w:numPr>
          <w:ilvl w:val="0"/>
          <w:numId w:val="232"/>
        </w:numPr>
        <w:rPr>
          <w:lang w:val="sl-SI"/>
        </w:rPr>
      </w:pPr>
      <w:r w:rsidRPr="001048FE">
        <w:rPr>
          <w:lang w:val="sl-SI"/>
        </w:rPr>
        <w:t>zagotavlja, da se učni izidi razširjajo in na splošno uporabljajo v organizaciji.</w:t>
      </w:r>
    </w:p>
    <w:p w14:paraId="7D398BC4" w14:textId="77777777" w:rsidR="00E03711" w:rsidRPr="001048FE" w:rsidRDefault="00E03711">
      <w:pPr>
        <w:widowControl/>
        <w:suppressAutoHyphens w:val="0"/>
        <w:autoSpaceDN/>
        <w:textAlignment w:val="auto"/>
        <w:rPr>
          <w:rFonts w:eastAsia="Times New Roman"/>
          <w:b/>
          <w:smallCaps/>
          <w:sz w:val="22"/>
          <w:szCs w:val="20"/>
          <w:lang w:val="sl-SI"/>
        </w:rPr>
      </w:pPr>
      <w:r w:rsidRPr="001048FE">
        <w:rPr>
          <w:lang w:val="sl-SI"/>
        </w:rPr>
        <w:br w:type="page"/>
      </w:r>
    </w:p>
    <w:p w14:paraId="7D398BC5" w14:textId="77777777" w:rsidR="00E03711" w:rsidRPr="001048FE" w:rsidRDefault="00E03711" w:rsidP="00926204">
      <w:pPr>
        <w:pStyle w:val="Guide-Heading5"/>
        <w:rPr>
          <w:lang w:val="sl-SI"/>
        </w:rPr>
      </w:pPr>
      <w:r w:rsidRPr="001048FE">
        <w:rPr>
          <w:lang w:val="sl-SI"/>
        </w:rPr>
        <w:t>Kakšna so merila za oceno tega projekta?</w:t>
      </w:r>
    </w:p>
    <w:p w14:paraId="7D398BC6" w14:textId="77777777" w:rsidR="00E03711" w:rsidRPr="001048FE" w:rsidRDefault="00E03711" w:rsidP="00926204">
      <w:pPr>
        <w:pStyle w:val="GUIDE-NORMAL"/>
        <w:rPr>
          <w:lang w:val="sl-SI"/>
        </w:rPr>
      </w:pPr>
      <w:r w:rsidRPr="001048FE">
        <w:rPr>
          <w:lang w:val="sl-SI"/>
        </w:rPr>
        <w:t>V nadaljevanju so navedena formalna merila, ki jih mora upoštevati projekt mobilnosti na področju šolskega izobraževanja za upravičenost do nepovratnih sredstev Erasmus+:</w:t>
      </w:r>
    </w:p>
    <w:p w14:paraId="7D398BC7" w14:textId="77777777" w:rsidR="00E03711" w:rsidRPr="001048FE" w:rsidRDefault="00E03711" w:rsidP="00926204">
      <w:pPr>
        <w:pStyle w:val="Guide-Heading6"/>
        <w:rPr>
          <w:lang w:val="sl-SI"/>
        </w:rPr>
      </w:pPr>
      <w:r w:rsidRPr="001048FE">
        <w:rPr>
          <w:lang w:val="sl-SI"/>
        </w:rPr>
        <w:t>Merila za upravičenost</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4"/>
        <w:gridCol w:w="7218"/>
      </w:tblGrid>
      <w:tr w:rsidR="00E03711" w:rsidRPr="00A6094F" w14:paraId="7D398BCD" w14:textId="77777777" w:rsidTr="00395FEF">
        <w:trPr>
          <w:cantSplit/>
          <w:trHeight w:val="77"/>
        </w:trPr>
        <w:tc>
          <w:tcPr>
            <w:tcW w:w="1116" w:type="pct"/>
            <w:shd w:val="clear" w:color="auto" w:fill="FFFFFF"/>
            <w:vAlign w:val="center"/>
          </w:tcPr>
          <w:p w14:paraId="7D398BC8" w14:textId="77777777" w:rsidR="00E03711" w:rsidRPr="00F769E0" w:rsidRDefault="00E03711" w:rsidP="007226AD">
            <w:pPr>
              <w:pStyle w:val="Guide-Table"/>
              <w:spacing w:before="60" w:after="60"/>
              <w:jc w:val="left"/>
              <w:rPr>
                <w:rFonts w:cs="Tahoma"/>
                <w:b/>
                <w:lang w:val="sl-SI" w:eastAsia="en-GB"/>
              </w:rPr>
            </w:pPr>
            <w:r w:rsidRPr="00F769E0">
              <w:rPr>
                <w:rFonts w:cs="Tahoma"/>
                <w:b/>
                <w:lang w:val="sl-SI" w:eastAsia="en-GB"/>
              </w:rPr>
              <w:t>Upravičene aktivnosti</w:t>
            </w:r>
          </w:p>
        </w:tc>
        <w:tc>
          <w:tcPr>
            <w:tcW w:w="3884" w:type="pct"/>
            <w:shd w:val="clear" w:color="auto" w:fill="FFFFFF"/>
          </w:tcPr>
          <w:p w14:paraId="7D398BC9" w14:textId="77777777" w:rsidR="00E03711" w:rsidRPr="00F769E0" w:rsidRDefault="00E03711" w:rsidP="007226AD">
            <w:pPr>
              <w:pStyle w:val="GUIDE-NORMAL"/>
              <w:spacing w:before="60" w:after="60"/>
              <w:rPr>
                <w:rFonts w:cs="Tahoma"/>
                <w:lang w:val="sl-SI" w:eastAsia="en-GB"/>
              </w:rPr>
            </w:pPr>
            <w:r w:rsidRPr="00F769E0">
              <w:rPr>
                <w:rFonts w:cs="Tahoma"/>
                <w:lang w:val="sl-SI" w:eastAsia="en-GB"/>
              </w:rPr>
              <w:t>Šolski projekt mobilnosti mora zajeti eno ali več naslednjih aktivnosti:</w:t>
            </w:r>
          </w:p>
          <w:p w14:paraId="7D398BCA" w14:textId="77777777" w:rsidR="00E03711" w:rsidRPr="001048FE" w:rsidRDefault="00E03711" w:rsidP="005115F2">
            <w:pPr>
              <w:pStyle w:val="Guide-NormalBulletpoints"/>
              <w:numPr>
                <w:ilvl w:val="0"/>
                <w:numId w:val="233"/>
              </w:numPr>
              <w:spacing w:before="60"/>
              <w:rPr>
                <w:lang w:val="sl-SI"/>
              </w:rPr>
            </w:pPr>
            <w:r w:rsidRPr="001048FE">
              <w:rPr>
                <w:lang w:val="sl-SI"/>
              </w:rPr>
              <w:t>poučevanje,</w:t>
            </w:r>
          </w:p>
          <w:p w14:paraId="7D398BCB" w14:textId="77777777" w:rsidR="00E03711" w:rsidRPr="001048FE" w:rsidRDefault="00E03711" w:rsidP="005115F2">
            <w:pPr>
              <w:pStyle w:val="Guide-NormalBulletpoints"/>
              <w:numPr>
                <w:ilvl w:val="0"/>
                <w:numId w:val="233"/>
              </w:numPr>
              <w:spacing w:before="60"/>
              <w:rPr>
                <w:lang w:val="sl-SI"/>
              </w:rPr>
            </w:pPr>
            <w:r w:rsidRPr="001048FE">
              <w:rPr>
                <w:lang w:val="sl-SI"/>
              </w:rPr>
              <w:t>strukturirane tečaje ali usposabljanja v tujini,</w:t>
            </w:r>
          </w:p>
          <w:p w14:paraId="7D398BCC" w14:textId="77777777" w:rsidR="00E03711" w:rsidRPr="001048FE" w:rsidRDefault="00E03711" w:rsidP="005115F2">
            <w:pPr>
              <w:pStyle w:val="Guide-NormalBulletpoints"/>
              <w:numPr>
                <w:ilvl w:val="0"/>
                <w:numId w:val="233"/>
              </w:numPr>
              <w:spacing w:before="60"/>
              <w:rPr>
                <w:lang w:val="sl-SI"/>
              </w:rPr>
            </w:pPr>
            <w:r w:rsidRPr="001048FE">
              <w:rPr>
                <w:lang w:val="sl-SI"/>
              </w:rPr>
              <w:t>izobraževalne obiske na delovnem mestu.</w:t>
            </w:r>
          </w:p>
        </w:tc>
      </w:tr>
      <w:tr w:rsidR="00E03711" w:rsidRPr="00A6094F" w14:paraId="7D398BE8" w14:textId="77777777" w:rsidTr="00395FEF">
        <w:trPr>
          <w:cantSplit/>
          <w:trHeight w:val="77"/>
        </w:trPr>
        <w:tc>
          <w:tcPr>
            <w:tcW w:w="1116" w:type="pct"/>
            <w:shd w:val="clear" w:color="auto" w:fill="FFFFFF"/>
            <w:vAlign w:val="center"/>
          </w:tcPr>
          <w:p w14:paraId="7D398BCE" w14:textId="77777777" w:rsidR="00E03711" w:rsidRPr="00F769E0" w:rsidRDefault="00E03711" w:rsidP="007226AD">
            <w:pPr>
              <w:pStyle w:val="Guide-Table"/>
              <w:spacing w:before="60" w:after="60"/>
              <w:jc w:val="left"/>
              <w:rPr>
                <w:rFonts w:cs="Tahoma"/>
                <w:b/>
                <w:lang w:val="sl-SI" w:eastAsia="en-GB"/>
              </w:rPr>
            </w:pPr>
            <w:r w:rsidRPr="00F769E0">
              <w:rPr>
                <w:rFonts w:cs="Tahoma"/>
                <w:b/>
                <w:lang w:val="sl-SI" w:eastAsia="en-GB"/>
              </w:rPr>
              <w:t>Upravičene sodelujoče organizacije</w:t>
            </w:r>
          </w:p>
        </w:tc>
        <w:tc>
          <w:tcPr>
            <w:tcW w:w="3884" w:type="pct"/>
            <w:shd w:val="clear" w:color="auto" w:fill="FFFFFF"/>
          </w:tcPr>
          <w:p w14:paraId="7D398BCF" w14:textId="77777777" w:rsidR="00E03711" w:rsidRPr="00122DE1" w:rsidRDefault="00E03711" w:rsidP="005115F2">
            <w:pPr>
              <w:pStyle w:val="Guide-Heading7"/>
              <w:numPr>
                <w:ilvl w:val="0"/>
                <w:numId w:val="117"/>
              </w:numPr>
              <w:spacing w:before="60" w:after="60"/>
              <w:rPr>
                <w:rFonts w:cs="Tahoma"/>
                <w:smallCaps w:val="0"/>
                <w:lang w:val="sl-SI"/>
              </w:rPr>
            </w:pPr>
            <w:r w:rsidRPr="00122DE1">
              <w:rPr>
                <w:rFonts w:cs="Tahoma"/>
                <w:smallCaps w:val="0"/>
                <w:lang w:val="sl-SI"/>
              </w:rPr>
              <w:t>Poučevanje:</w:t>
            </w:r>
          </w:p>
          <w:p w14:paraId="7D398BD0" w14:textId="77777777" w:rsidR="00E03711" w:rsidRDefault="00E03711" w:rsidP="00122DE1">
            <w:pPr>
              <w:pStyle w:val="GUIDE-NORMAL"/>
              <w:spacing w:before="60" w:after="60"/>
              <w:rPr>
                <w:rFonts w:cs="Tahoma"/>
                <w:lang w:val="sl-SI" w:eastAsia="en-GB"/>
              </w:rPr>
            </w:pPr>
            <w:r w:rsidRPr="00F769E0">
              <w:rPr>
                <w:rFonts w:cs="Tahoma"/>
                <w:lang w:val="sl-SI" w:eastAsia="en-GB"/>
              </w:rPr>
              <w:t>Organizaciji pošiljateljica in gostiteljica morata biti šoli (tj. instituciji, ki zagotavljata splošno, poklicno ali strokovno izobraževanje na kateri koli ravni, od predšolskega do srednješolskega izobraževanja)</w:t>
            </w:r>
            <w:r w:rsidRPr="00F769E0">
              <w:rPr>
                <w:rStyle w:val="FootnoteReference"/>
                <w:rFonts w:cs="Tahoma"/>
                <w:lang w:val="sl-SI" w:eastAsia="en-GB"/>
              </w:rPr>
              <w:footnoteReference w:id="44"/>
            </w:r>
            <w:r w:rsidRPr="00F769E0">
              <w:rPr>
                <w:rFonts w:cs="Tahoma"/>
                <w:lang w:val="sl-SI" w:eastAsia="en-GB"/>
              </w:rPr>
              <w:t>.</w:t>
            </w:r>
          </w:p>
          <w:p w14:paraId="7D398BD1" w14:textId="77777777" w:rsidR="00E03711" w:rsidRPr="00122DE1" w:rsidRDefault="00E03711" w:rsidP="005115F2">
            <w:pPr>
              <w:pStyle w:val="GUIDE-NORMAL"/>
              <w:numPr>
                <w:ilvl w:val="0"/>
                <w:numId w:val="118"/>
              </w:numPr>
              <w:spacing w:before="60" w:after="60"/>
              <w:rPr>
                <w:rFonts w:cs="Tahoma"/>
                <w:b/>
                <w:bCs/>
                <w:lang w:val="sl-SI"/>
              </w:rPr>
            </w:pPr>
            <w:r w:rsidRPr="00122DE1">
              <w:rPr>
                <w:rFonts w:cs="Tahoma"/>
                <w:b/>
                <w:bCs/>
                <w:lang w:val="sl-SI"/>
              </w:rPr>
              <w:t>Strukturirani tečaji, izobraževalni dogodki in izobraževalni obiski na delovnem mestu:</w:t>
            </w:r>
          </w:p>
          <w:p w14:paraId="7D398BD2" w14:textId="77777777" w:rsidR="00E03711" w:rsidRPr="00F769E0" w:rsidRDefault="00E03711" w:rsidP="007226AD">
            <w:pPr>
              <w:pStyle w:val="GUIDE-NORMAL"/>
              <w:spacing w:before="60" w:after="60"/>
              <w:rPr>
                <w:rFonts w:cs="Tahoma"/>
                <w:lang w:val="sl-SI" w:eastAsia="en-GB"/>
              </w:rPr>
            </w:pPr>
            <w:r w:rsidRPr="00FC4A70">
              <w:rPr>
                <w:rFonts w:eastAsia="Calibri" w:cs="Calibri"/>
                <w:bdr w:val="nil"/>
                <w:shd w:val="clear" w:color="auto" w:fill="auto"/>
                <w:lang w:val="sl-SI"/>
              </w:rPr>
              <w:t>Organizacija pošiljateljica mora biti šola ali koordinator nacionalnega konzorcija za mobilnost</w:t>
            </w:r>
            <w:r w:rsidRPr="00F769E0">
              <w:rPr>
                <w:rFonts w:cs="Tahoma"/>
                <w:lang w:val="sl-SI" w:eastAsia="en-GB"/>
              </w:rPr>
              <w:t>; organizacija gostiteljica je lahko:</w:t>
            </w:r>
          </w:p>
          <w:p w14:paraId="7D398BD3" w14:textId="77777777" w:rsidR="00E03711" w:rsidRPr="001048FE" w:rsidRDefault="00E03711" w:rsidP="005115F2">
            <w:pPr>
              <w:pStyle w:val="Guide-NormalBulletpoints"/>
              <w:numPr>
                <w:ilvl w:val="0"/>
                <w:numId w:val="119"/>
              </w:numPr>
            </w:pPr>
            <w:r w:rsidRPr="001048FE">
              <w:t>šola ali</w:t>
            </w:r>
          </w:p>
          <w:p w14:paraId="7D398BD4" w14:textId="77777777" w:rsidR="00E03711" w:rsidRPr="001048FE" w:rsidRDefault="00E03711" w:rsidP="005115F2">
            <w:pPr>
              <w:pStyle w:val="Guide-NormalBulletpoints"/>
              <w:numPr>
                <w:ilvl w:val="0"/>
                <w:numId w:val="119"/>
              </w:numPr>
            </w:pPr>
            <w:r w:rsidRPr="00B36F01">
              <w:t xml:space="preserve">javna ali zasebna organizacija, ki je aktivna na trgu dela ali v izobraževanju, usposabljanju in na področju mladine. </w:t>
            </w:r>
            <w:r w:rsidRPr="001048FE">
              <w:t>Taka organizacija je lahko na primer:</w:t>
            </w:r>
          </w:p>
          <w:p w14:paraId="7D398BD5" w14:textId="77777777" w:rsidR="00E03711" w:rsidRPr="001048FE" w:rsidRDefault="00E03711" w:rsidP="005115F2">
            <w:pPr>
              <w:pStyle w:val="Guide-ListDash"/>
              <w:numPr>
                <w:ilvl w:val="1"/>
                <w:numId w:val="120"/>
              </w:numPr>
              <w:spacing w:before="60" w:after="60"/>
              <w:rPr>
                <w:lang w:val="sl-SI"/>
              </w:rPr>
            </w:pPr>
            <w:r w:rsidRPr="001048FE">
              <w:rPr>
                <w:lang w:val="sl-SI"/>
              </w:rPr>
              <w:t>šola/zavod/center za izobraževanje v poklicnem izobraževanju in usposabljanju ali izobraževanju odraslih;</w:t>
            </w:r>
          </w:p>
          <w:p w14:paraId="7D398BD6" w14:textId="77777777" w:rsidR="00E03711" w:rsidRPr="001048FE" w:rsidRDefault="00E03711" w:rsidP="005115F2">
            <w:pPr>
              <w:pStyle w:val="Guide-ListDash"/>
              <w:numPr>
                <w:ilvl w:val="1"/>
                <w:numId w:val="120"/>
              </w:numPr>
              <w:spacing w:before="60" w:after="60"/>
              <w:rPr>
                <w:lang w:val="sl-SI"/>
              </w:rPr>
            </w:pPr>
            <w:r w:rsidRPr="001048FE">
              <w:rPr>
                <w:lang w:val="sl-SI"/>
              </w:rPr>
              <w:t>visokošolska institucija;</w:t>
            </w:r>
          </w:p>
          <w:p w14:paraId="7D398BD7" w14:textId="77777777" w:rsidR="00E03711" w:rsidRPr="001048FE" w:rsidRDefault="00E03711" w:rsidP="005115F2">
            <w:pPr>
              <w:pStyle w:val="Guide-ListDash"/>
              <w:numPr>
                <w:ilvl w:val="1"/>
                <w:numId w:val="120"/>
              </w:numPr>
              <w:spacing w:before="60" w:after="60"/>
              <w:rPr>
                <w:lang w:val="sl-SI"/>
              </w:rPr>
            </w:pPr>
            <w:r w:rsidRPr="001048FE">
              <w:rPr>
                <w:lang w:val="sl-SI"/>
              </w:rPr>
              <w:t>javno ali zasebno, malo, srednje ali veliko podjetje (vključno s socialnimi podjetji);</w:t>
            </w:r>
          </w:p>
          <w:p w14:paraId="7D398BD8" w14:textId="77777777" w:rsidR="00E03711" w:rsidRPr="001048FE" w:rsidRDefault="00E03711" w:rsidP="005115F2">
            <w:pPr>
              <w:pStyle w:val="Guide-ListDash"/>
              <w:numPr>
                <w:ilvl w:val="1"/>
                <w:numId w:val="120"/>
              </w:numPr>
              <w:spacing w:before="60" w:after="60"/>
              <w:rPr>
                <w:lang w:val="sl-SI"/>
              </w:rPr>
            </w:pPr>
            <w:r w:rsidRPr="001048FE">
              <w:rPr>
                <w:lang w:val="sl-SI"/>
              </w:rPr>
              <w:t>socialni partner ali drug predstavnik sveta dela, tudi gospodarske zbornice, obrtna/poklicna združenja in sindikati;</w:t>
            </w:r>
          </w:p>
          <w:p w14:paraId="7D398BD9" w14:textId="77777777" w:rsidR="00E03711" w:rsidRPr="001048FE" w:rsidRDefault="00E03711" w:rsidP="005115F2">
            <w:pPr>
              <w:pStyle w:val="Guide-ListDash"/>
              <w:numPr>
                <w:ilvl w:val="1"/>
                <w:numId w:val="120"/>
              </w:numPr>
              <w:spacing w:before="60" w:after="60"/>
              <w:rPr>
                <w:lang w:val="sl-SI"/>
              </w:rPr>
            </w:pPr>
            <w:r w:rsidRPr="001048FE">
              <w:rPr>
                <w:lang w:val="sl-SI"/>
              </w:rPr>
              <w:t>javni organ na lokalni, regionalni ali nacionalni ravni;</w:t>
            </w:r>
          </w:p>
          <w:p w14:paraId="7D398BDA" w14:textId="77777777" w:rsidR="00E03711" w:rsidRPr="001048FE" w:rsidRDefault="00E03711" w:rsidP="005115F2">
            <w:pPr>
              <w:pStyle w:val="Guide-ListDash"/>
              <w:numPr>
                <w:ilvl w:val="1"/>
                <w:numId w:val="120"/>
              </w:numPr>
              <w:spacing w:before="60" w:after="60"/>
              <w:rPr>
                <w:lang w:val="sl-SI"/>
              </w:rPr>
            </w:pPr>
            <w:r w:rsidRPr="001048FE">
              <w:rPr>
                <w:lang w:val="sl-SI"/>
              </w:rPr>
              <w:t>neprofitna organizacija, združenje, nevladna organizacija,</w:t>
            </w:r>
          </w:p>
          <w:p w14:paraId="7D398BDB" w14:textId="77777777" w:rsidR="00E03711" w:rsidRPr="001048FE" w:rsidRDefault="00E03711" w:rsidP="005115F2">
            <w:pPr>
              <w:pStyle w:val="Guide-ListDash"/>
              <w:numPr>
                <w:ilvl w:val="1"/>
                <w:numId w:val="120"/>
              </w:numPr>
              <w:spacing w:before="60" w:after="60"/>
              <w:rPr>
                <w:lang w:val="sl-SI"/>
              </w:rPr>
            </w:pPr>
            <w:r w:rsidRPr="001048FE">
              <w:rPr>
                <w:lang w:val="sl-SI"/>
              </w:rPr>
              <w:t>raziskovalni inštitut;</w:t>
            </w:r>
          </w:p>
          <w:p w14:paraId="7D398BDC" w14:textId="77777777" w:rsidR="00E03711" w:rsidRPr="001048FE" w:rsidRDefault="00E03711" w:rsidP="005115F2">
            <w:pPr>
              <w:pStyle w:val="Guide-ListDash"/>
              <w:numPr>
                <w:ilvl w:val="1"/>
                <w:numId w:val="120"/>
              </w:numPr>
              <w:spacing w:before="60" w:after="60"/>
              <w:rPr>
                <w:lang w:val="sl-SI"/>
              </w:rPr>
            </w:pPr>
            <w:r w:rsidRPr="001048FE">
              <w:rPr>
                <w:lang w:val="sl-SI"/>
              </w:rPr>
              <w:t>fundacija;</w:t>
            </w:r>
          </w:p>
          <w:p w14:paraId="7D398BDD" w14:textId="77777777" w:rsidR="00E03711" w:rsidRPr="001048FE" w:rsidRDefault="00E03711" w:rsidP="005115F2">
            <w:pPr>
              <w:pStyle w:val="Guide-ListDash"/>
              <w:numPr>
                <w:ilvl w:val="1"/>
                <w:numId w:val="120"/>
              </w:numPr>
              <w:spacing w:before="60" w:after="60"/>
              <w:rPr>
                <w:lang w:val="sl-SI"/>
              </w:rPr>
            </w:pPr>
            <w:r w:rsidRPr="001048FE">
              <w:rPr>
                <w:lang w:val="sl-SI"/>
              </w:rPr>
              <w:t>organ, ki zagotavlja karierno orientacijo, poklicno svetovanje in informiranje;</w:t>
            </w:r>
          </w:p>
          <w:p w14:paraId="7D398BDE" w14:textId="77777777" w:rsidR="00E03711" w:rsidRPr="001048FE" w:rsidRDefault="00E03711" w:rsidP="005115F2">
            <w:pPr>
              <w:pStyle w:val="Guide-ListDash"/>
              <w:numPr>
                <w:ilvl w:val="1"/>
                <w:numId w:val="120"/>
              </w:numPr>
              <w:spacing w:before="60" w:after="60"/>
              <w:rPr>
                <w:lang w:val="sl-SI"/>
              </w:rPr>
            </w:pPr>
            <w:r w:rsidRPr="001048FE">
              <w:rPr>
                <w:lang w:val="sl-SI"/>
              </w:rPr>
              <w:t xml:space="preserve">organizacija, ki zagotavlja tečaje ali usposabljanja. </w:t>
            </w:r>
          </w:p>
          <w:p w14:paraId="7D398BDF" w14:textId="77777777" w:rsidR="00E03711" w:rsidRPr="00FC4A70" w:rsidRDefault="00E03711" w:rsidP="005B717B">
            <w:pPr>
              <w:pStyle w:val="Bullet-Dot"/>
              <w:numPr>
                <w:ilvl w:val="0"/>
                <w:numId w:val="0"/>
              </w:numPr>
              <w:spacing w:before="40" w:after="40"/>
              <w:jc w:val="both"/>
              <w:rPr>
                <w:rFonts w:ascii="Calibri" w:hAnsi="Calibri"/>
                <w:sz w:val="18"/>
                <w:szCs w:val="18"/>
                <w:lang w:val="sl-SI"/>
              </w:rPr>
            </w:pPr>
            <w:r w:rsidRPr="00FC4A70">
              <w:rPr>
                <w:rFonts w:ascii="Calibri" w:eastAsia="Calibri" w:hAnsi="Calibri" w:cs="Calibri"/>
                <w:color w:val="auto"/>
                <w:sz w:val="18"/>
                <w:szCs w:val="18"/>
                <w:bdr w:val="nil"/>
                <w:lang w:val="sl-SI"/>
              </w:rPr>
              <w:t>Za prijave prek nacionalnega konzorcija za mobilnost upravičene koordinatorske organizacije določi nacionalni organ</w:t>
            </w:r>
            <w:r>
              <w:rPr>
                <w:rStyle w:val="FootnoteReference"/>
                <w:rFonts w:ascii="Calibri" w:eastAsia="Calibri" w:hAnsi="Calibri" w:cs="Calibri"/>
                <w:color w:val="auto"/>
                <w:sz w:val="18"/>
                <w:szCs w:val="18"/>
                <w:bdr w:val="nil"/>
                <w:lang w:val="sl-SI"/>
              </w:rPr>
              <w:footnoteReference w:id="45"/>
            </w:r>
            <w:r w:rsidRPr="00FC4A70">
              <w:rPr>
                <w:rFonts w:ascii="Calibri" w:eastAsia="Calibri" w:hAnsi="Calibri" w:cs="Calibri"/>
                <w:color w:val="auto"/>
                <w:sz w:val="18"/>
                <w:szCs w:val="18"/>
                <w:bdr w:val="nil"/>
                <w:lang w:val="sl-SI"/>
              </w:rPr>
              <w:t xml:space="preserve"> in so lahko med drugim:</w:t>
            </w:r>
          </w:p>
          <w:p w14:paraId="7D398BE0" w14:textId="77777777" w:rsidR="00E03711" w:rsidRPr="0030441A" w:rsidRDefault="00E03711" w:rsidP="002D7FF4">
            <w:pPr>
              <w:numPr>
                <w:ilvl w:val="0"/>
                <w:numId w:val="78"/>
              </w:numPr>
              <w:spacing w:before="40" w:after="40"/>
              <w:jc w:val="both"/>
              <w:rPr>
                <w:sz w:val="18"/>
                <w:szCs w:val="18"/>
                <w:lang w:val="pl-PL"/>
              </w:rPr>
            </w:pPr>
            <w:r w:rsidRPr="00FC4A70">
              <w:rPr>
                <w:rFonts w:eastAsia="Calibri" w:cs="Calibri"/>
                <w:sz w:val="18"/>
                <w:szCs w:val="18"/>
                <w:bdr w:val="nil"/>
                <w:lang w:val="sl-SI"/>
              </w:rPr>
              <w:t>lokalni ali regionalni šolski organi;</w:t>
            </w:r>
          </w:p>
          <w:p w14:paraId="7D398BE1" w14:textId="77777777" w:rsidR="00E03711" w:rsidRPr="00FC4A70" w:rsidRDefault="00E03711" w:rsidP="002D7FF4">
            <w:pPr>
              <w:numPr>
                <w:ilvl w:val="0"/>
                <w:numId w:val="78"/>
              </w:numPr>
              <w:spacing w:before="40" w:after="40"/>
              <w:jc w:val="both"/>
              <w:rPr>
                <w:sz w:val="18"/>
                <w:szCs w:val="18"/>
                <w:lang w:val="en-GB"/>
              </w:rPr>
            </w:pPr>
            <w:r w:rsidRPr="00FC4A70">
              <w:rPr>
                <w:rFonts w:eastAsia="Calibri" w:cs="Calibri"/>
                <w:sz w:val="18"/>
                <w:szCs w:val="18"/>
                <w:bdr w:val="nil"/>
                <w:lang w:val="sl-SI"/>
              </w:rPr>
              <w:t>šolski koordinatorski organi;</w:t>
            </w:r>
          </w:p>
          <w:p w14:paraId="7D398BE2" w14:textId="77777777" w:rsidR="00E03711" w:rsidRPr="00FC4A70" w:rsidRDefault="00E03711" w:rsidP="002D7FF4">
            <w:pPr>
              <w:numPr>
                <w:ilvl w:val="0"/>
                <w:numId w:val="78"/>
              </w:numPr>
              <w:spacing w:before="40" w:after="40"/>
              <w:jc w:val="both"/>
              <w:rPr>
                <w:sz w:val="18"/>
                <w:szCs w:val="18"/>
                <w:lang w:val="en-GB"/>
              </w:rPr>
            </w:pPr>
            <w:r w:rsidRPr="00FC4A70">
              <w:rPr>
                <w:rFonts w:eastAsia="Calibri" w:cs="Calibri"/>
                <w:sz w:val="18"/>
                <w:szCs w:val="18"/>
                <w:bdr w:val="nil"/>
                <w:lang w:val="sl-SI"/>
              </w:rPr>
              <w:t>šole</w:t>
            </w:r>
          </w:p>
          <w:p w14:paraId="7D398BE3" w14:textId="77777777" w:rsidR="00E03711" w:rsidRPr="00FC4A70" w:rsidRDefault="00E03711" w:rsidP="002424B3">
            <w:pPr>
              <w:spacing w:before="40" w:after="40"/>
              <w:jc w:val="both"/>
              <w:rPr>
                <w:sz w:val="18"/>
                <w:szCs w:val="18"/>
                <w:lang w:val="en-GB"/>
              </w:rPr>
            </w:pPr>
          </w:p>
          <w:p w14:paraId="7D398BE4" w14:textId="77777777" w:rsidR="00E03711" w:rsidRPr="009F5FA0" w:rsidRDefault="00E03711" w:rsidP="002424B3">
            <w:pPr>
              <w:spacing w:before="40" w:after="40"/>
              <w:jc w:val="both"/>
              <w:rPr>
                <w:vanish/>
                <w:sz w:val="18"/>
                <w:szCs w:val="18"/>
                <w:lang w:val="en-GB"/>
              </w:rPr>
            </w:pPr>
            <w:r w:rsidRPr="00FC4A70">
              <w:rPr>
                <w:rFonts w:eastAsia="Calibri" w:cs="Calibri"/>
                <w:sz w:val="18"/>
                <w:szCs w:val="18"/>
                <w:bdr w:val="nil"/>
                <w:lang w:val="sl-SI"/>
              </w:rPr>
              <w:t>Vse druge organizacije, vključene v nacionalni konzorcij za mobilnost, morajo biti šole.</w:t>
            </w:r>
            <w:r w:rsidRPr="002424B3">
              <w:rPr>
                <w:rFonts w:eastAsia="Calibri" w:cs="Calibri"/>
                <w:vanish/>
                <w:sz w:val="18"/>
                <w:szCs w:val="18"/>
                <w:bdr w:val="nil"/>
                <w:lang w:val="sl-SI"/>
              </w:rPr>
              <w:t xml:space="preserve"> </w:t>
            </w:r>
          </w:p>
          <w:p w14:paraId="7D398BE5" w14:textId="77777777" w:rsidR="00E03711" w:rsidRPr="00FC4A70" w:rsidRDefault="00E03711" w:rsidP="002424B3">
            <w:pPr>
              <w:spacing w:before="40" w:after="40"/>
              <w:jc w:val="both"/>
              <w:rPr>
                <w:sz w:val="18"/>
                <w:szCs w:val="18"/>
                <w:lang w:val="sl-SI"/>
              </w:rPr>
            </w:pPr>
            <w:r w:rsidRPr="00FC4A70">
              <w:rPr>
                <w:rFonts w:eastAsia="Calibri" w:cs="Calibri"/>
                <w:sz w:val="18"/>
                <w:szCs w:val="18"/>
                <w:bdr w:val="nil"/>
                <w:lang w:val="sl-SI"/>
              </w:rPr>
              <w:t>Če je koordinator nacionalnega konzorcija za mobilnost šolski organ ali koordinatorski organ, morajo biti šole v konzorciju organizacijsko povezane s koordinatorjem konzorcija. Če je koordinator šola, se upravičenost za oblikovanje konzorcija vključi v prijavo projekta, pri čemer se razložijo razlogi za oblikovanje konzorcija in kapacitete koordinatorja za vodenje projekta.</w:t>
            </w:r>
          </w:p>
          <w:p w14:paraId="7D398BE6" w14:textId="77777777" w:rsidR="00E03711" w:rsidRPr="00FC4A70" w:rsidRDefault="00E03711" w:rsidP="002424B3">
            <w:pPr>
              <w:pStyle w:val="Bullet-Dot"/>
              <w:numPr>
                <w:ilvl w:val="0"/>
                <w:numId w:val="0"/>
              </w:numPr>
              <w:spacing w:before="40" w:after="40"/>
              <w:jc w:val="both"/>
              <w:rPr>
                <w:rFonts w:ascii="Calibri" w:eastAsia="SimSun" w:hAnsi="Calibri" w:cs="Tahoma"/>
                <w:color w:val="auto"/>
                <w:kern w:val="3"/>
                <w:sz w:val="18"/>
                <w:szCs w:val="18"/>
                <w:lang w:val="sl-SI" w:eastAsia="zh-CN"/>
              </w:rPr>
            </w:pPr>
          </w:p>
          <w:p w14:paraId="7D398BE7" w14:textId="77777777" w:rsidR="00E03711" w:rsidRPr="00F769E0" w:rsidRDefault="00E03711" w:rsidP="007226AD">
            <w:pPr>
              <w:pStyle w:val="GUIDE-NORMAL"/>
              <w:spacing w:before="60" w:after="60"/>
              <w:rPr>
                <w:rFonts w:cs="Tahoma"/>
                <w:lang w:val="sl-SI" w:eastAsia="en-GB"/>
              </w:rPr>
            </w:pPr>
            <w:r w:rsidRPr="00FC4A70">
              <w:rPr>
                <w:rFonts w:eastAsia="Calibri" w:cs="Calibri"/>
                <w:bdr w:val="nil"/>
                <w:lang w:val="sl-SI" w:eastAsia="en-GB"/>
              </w:rPr>
              <w:t>Vse sodelujoče organizacije morajo imeti sedež v državi programa.</w:t>
            </w:r>
          </w:p>
        </w:tc>
      </w:tr>
      <w:tr w:rsidR="00E03711" w:rsidRPr="00A6094F" w14:paraId="7D398BED" w14:textId="77777777" w:rsidTr="00395FEF">
        <w:trPr>
          <w:cantSplit/>
          <w:trHeight w:val="77"/>
        </w:trPr>
        <w:tc>
          <w:tcPr>
            <w:tcW w:w="1116" w:type="pct"/>
            <w:shd w:val="clear" w:color="auto" w:fill="FFFFFF"/>
            <w:vAlign w:val="center"/>
          </w:tcPr>
          <w:p w14:paraId="7D398BE9" w14:textId="77777777" w:rsidR="00E03711" w:rsidRPr="00F769E0" w:rsidRDefault="00E03711" w:rsidP="007226AD">
            <w:pPr>
              <w:pStyle w:val="GUIDE-NORMAL"/>
              <w:rPr>
                <w:rFonts w:cs="Tahoma"/>
                <w:b/>
                <w:lang w:val="sl-SI" w:eastAsia="en-GB"/>
              </w:rPr>
            </w:pPr>
            <w:r w:rsidRPr="00F769E0">
              <w:rPr>
                <w:rFonts w:cs="Tahoma"/>
                <w:b/>
                <w:lang w:val="sl-SI" w:eastAsia="en-GB"/>
              </w:rPr>
              <w:t>Kdo se lahko prijavi?</w:t>
            </w:r>
          </w:p>
        </w:tc>
        <w:tc>
          <w:tcPr>
            <w:tcW w:w="3884" w:type="pct"/>
            <w:shd w:val="clear" w:color="auto" w:fill="FFFFFF"/>
          </w:tcPr>
          <w:p w14:paraId="7D398BEA" w14:textId="77777777" w:rsidR="00E03711" w:rsidRPr="001048FE" w:rsidRDefault="00E03711" w:rsidP="005115F2">
            <w:pPr>
              <w:pStyle w:val="Guide-NormalBulletpoints"/>
              <w:numPr>
                <w:ilvl w:val="0"/>
                <w:numId w:val="234"/>
              </w:numPr>
              <w:spacing w:before="60"/>
              <w:rPr>
                <w:lang w:val="sl-SI"/>
              </w:rPr>
            </w:pPr>
            <w:r w:rsidRPr="001048FE">
              <w:rPr>
                <w:lang w:val="sl-SI"/>
              </w:rPr>
              <w:t>Šola, ki pošilja svoje osebje v tujino (individualna prijava);</w:t>
            </w:r>
          </w:p>
          <w:p w14:paraId="7D398BEB" w14:textId="77777777" w:rsidR="00E03711" w:rsidRPr="001048FE" w:rsidRDefault="00E03711" w:rsidP="005115F2">
            <w:pPr>
              <w:pStyle w:val="Guide-NormalBulletpoints"/>
              <w:numPr>
                <w:ilvl w:val="0"/>
                <w:numId w:val="234"/>
              </w:numPr>
              <w:spacing w:before="60"/>
              <w:rPr>
                <w:lang w:val="sl-SI"/>
              </w:rPr>
            </w:pPr>
            <w:r w:rsidRPr="001048FE">
              <w:rPr>
                <w:lang w:val="sl-SI"/>
              </w:rPr>
              <w:t xml:space="preserve">koordinator nacionalnega konzorcija za mobilnost (prijava konzorcija). </w:t>
            </w:r>
          </w:p>
          <w:p w14:paraId="7D398BEC" w14:textId="77777777" w:rsidR="00E03711" w:rsidRPr="00F769E0" w:rsidRDefault="00E03711" w:rsidP="007226AD">
            <w:pPr>
              <w:pStyle w:val="GUIDE-NORMAL"/>
              <w:spacing w:before="60" w:after="60"/>
              <w:rPr>
                <w:rFonts w:cs="Tahoma"/>
                <w:lang w:val="sl-SI" w:eastAsia="en-GB"/>
              </w:rPr>
            </w:pPr>
            <w:r w:rsidRPr="00F769E0">
              <w:rPr>
                <w:rFonts w:cs="Tahoma"/>
                <w:lang w:val="sl-SI" w:eastAsia="en-GB"/>
              </w:rPr>
              <w:t>Posamezniki ne morejo neposredno oddati vloge za nepovratna sredstva.</w:t>
            </w:r>
          </w:p>
        </w:tc>
      </w:tr>
      <w:tr w:rsidR="00E03711" w:rsidRPr="00A6094F" w14:paraId="7D398BF1" w14:textId="77777777" w:rsidTr="00395FEF">
        <w:trPr>
          <w:cantSplit/>
          <w:trHeight w:val="77"/>
        </w:trPr>
        <w:tc>
          <w:tcPr>
            <w:tcW w:w="1116" w:type="pct"/>
            <w:shd w:val="clear" w:color="auto" w:fill="FFFFFF"/>
            <w:vAlign w:val="center"/>
          </w:tcPr>
          <w:p w14:paraId="7D398BEE" w14:textId="77777777" w:rsidR="00E03711" w:rsidRPr="00F769E0" w:rsidRDefault="00E03711" w:rsidP="007226AD">
            <w:pPr>
              <w:pStyle w:val="Guide-Table"/>
              <w:spacing w:before="60" w:after="60"/>
              <w:jc w:val="left"/>
              <w:rPr>
                <w:rFonts w:cs="Tahoma"/>
                <w:b/>
                <w:lang w:val="sl-SI" w:eastAsia="en-GB"/>
              </w:rPr>
            </w:pPr>
            <w:r w:rsidRPr="00F769E0">
              <w:rPr>
                <w:rFonts w:cs="Tahoma"/>
                <w:b/>
                <w:lang w:val="sl-SI" w:eastAsia="en-GB"/>
              </w:rPr>
              <w:t>Število sodelujočih organizacij</w:t>
            </w:r>
          </w:p>
        </w:tc>
        <w:tc>
          <w:tcPr>
            <w:tcW w:w="3884" w:type="pct"/>
            <w:shd w:val="clear" w:color="auto" w:fill="FFFFFF"/>
          </w:tcPr>
          <w:p w14:paraId="7D398BEF" w14:textId="77777777" w:rsidR="00E03711" w:rsidRPr="00F769E0" w:rsidRDefault="00E03711" w:rsidP="007226AD">
            <w:pPr>
              <w:pStyle w:val="GUIDE-NORMAL"/>
              <w:spacing w:before="60" w:after="60"/>
              <w:rPr>
                <w:rFonts w:cs="Tahoma"/>
                <w:lang w:val="sl-SI" w:eastAsia="en-GB"/>
              </w:rPr>
            </w:pPr>
            <w:r w:rsidRPr="00F769E0">
              <w:rPr>
                <w:rFonts w:cs="Tahoma"/>
                <w:lang w:val="sl-SI" w:eastAsia="en-GB"/>
              </w:rPr>
              <w:t>Aktivnost mobilnosti je mednarodna in v njej sodelujeta vsaj dve sodelujoči organizaciji (vsaj ena pošiljateljica in vsaj ena gostiteljica) iz različnih držav. Ob oddaji vloge za nepovratna sredstva ni treba opredeliti organizacij gostiteljic.</w:t>
            </w:r>
          </w:p>
          <w:p w14:paraId="7D398BF0" w14:textId="77777777" w:rsidR="00E03711" w:rsidRPr="00F769E0" w:rsidRDefault="00E03711" w:rsidP="00B101C8">
            <w:pPr>
              <w:pStyle w:val="GUIDE-NORMAL"/>
              <w:spacing w:before="60" w:after="60"/>
              <w:rPr>
                <w:rFonts w:cs="Tahoma"/>
                <w:lang w:val="sl-SI" w:eastAsia="en-GB"/>
              </w:rPr>
            </w:pPr>
            <w:r w:rsidRPr="00F769E0">
              <w:rPr>
                <w:rFonts w:cs="Tahoma"/>
                <w:lang w:val="sl-SI" w:eastAsia="en-GB"/>
              </w:rPr>
              <w:t xml:space="preserve">V primeru projektov, ki jih predstavi nacionalni konzorcij za mobilnost, morajo biti vsi člani konzorcija iz iste države Programa in opredeljeni ob oddaji vloge za nepovratna sredstva. Konzorcij mora biti sestavljen iz vsaj 3 organizacij (koordinatorja in vsaj dveh </w:t>
            </w:r>
            <w:r>
              <w:rPr>
                <w:rFonts w:cs="Tahoma"/>
                <w:lang w:val="sl-SI" w:eastAsia="en-GB"/>
              </w:rPr>
              <w:t xml:space="preserve">drugih </w:t>
            </w:r>
            <w:r w:rsidRPr="00F769E0">
              <w:rPr>
                <w:rFonts w:cs="Tahoma"/>
                <w:lang w:val="sl-SI" w:eastAsia="en-GB"/>
              </w:rPr>
              <w:t>šol).</w:t>
            </w:r>
            <w:r w:rsidRPr="00F769E0" w:rsidDel="00B101C8">
              <w:rPr>
                <w:rFonts w:cs="Tahoma"/>
                <w:lang w:val="sl-SI" w:eastAsia="en-GB"/>
              </w:rPr>
              <w:t xml:space="preserve"> </w:t>
            </w:r>
          </w:p>
        </w:tc>
      </w:tr>
      <w:tr w:rsidR="00E03711" w:rsidRPr="00A6094F" w14:paraId="7D398BF4" w14:textId="77777777" w:rsidTr="00395FEF">
        <w:trPr>
          <w:cantSplit/>
          <w:trHeight w:val="77"/>
        </w:trPr>
        <w:tc>
          <w:tcPr>
            <w:tcW w:w="1116" w:type="pct"/>
            <w:shd w:val="clear" w:color="auto" w:fill="FFFFFF"/>
            <w:vAlign w:val="center"/>
          </w:tcPr>
          <w:p w14:paraId="7D398BF2" w14:textId="77777777" w:rsidR="00E03711" w:rsidRPr="00F769E0" w:rsidRDefault="00E03711" w:rsidP="007226AD">
            <w:pPr>
              <w:pStyle w:val="Guide-Table"/>
              <w:spacing w:before="60" w:after="60"/>
              <w:jc w:val="left"/>
              <w:rPr>
                <w:rFonts w:cs="Tahoma"/>
                <w:b/>
                <w:lang w:val="sl-SI" w:eastAsia="en-GB"/>
              </w:rPr>
            </w:pPr>
            <w:r w:rsidRPr="00F769E0">
              <w:rPr>
                <w:rFonts w:cs="Tahoma"/>
                <w:b/>
                <w:lang w:val="sl-SI" w:eastAsia="en-GB"/>
              </w:rPr>
              <w:t>Trajanje projekta</w:t>
            </w:r>
          </w:p>
        </w:tc>
        <w:tc>
          <w:tcPr>
            <w:tcW w:w="3884" w:type="pct"/>
            <w:shd w:val="clear" w:color="auto" w:fill="FFFFFF"/>
          </w:tcPr>
          <w:p w14:paraId="7D398BF3" w14:textId="77777777" w:rsidR="00E03711" w:rsidRPr="00F769E0" w:rsidRDefault="00E03711" w:rsidP="007226AD">
            <w:pPr>
              <w:pStyle w:val="GUIDE-NORMAL"/>
              <w:spacing w:before="60" w:after="60"/>
              <w:rPr>
                <w:rFonts w:cs="Tahoma"/>
                <w:lang w:val="sl-SI" w:eastAsia="en-GB"/>
              </w:rPr>
            </w:pPr>
            <w:r w:rsidRPr="00F769E0">
              <w:rPr>
                <w:rFonts w:cs="Tahoma"/>
                <w:lang w:val="sl-SI" w:eastAsia="en-GB"/>
              </w:rPr>
              <w:t>1 do 2 leti. Prijavitelj mora izbrati trajanje projekta ob prijavi na podlagi cilja projekta in vrste aktivnosti, ki so načrtovane v tem času.</w:t>
            </w:r>
          </w:p>
        </w:tc>
      </w:tr>
      <w:tr w:rsidR="00E03711" w:rsidRPr="00A6094F" w14:paraId="7D398BF8" w14:textId="77777777" w:rsidTr="00395FEF">
        <w:trPr>
          <w:cantSplit/>
          <w:trHeight w:val="77"/>
        </w:trPr>
        <w:tc>
          <w:tcPr>
            <w:tcW w:w="1116" w:type="pct"/>
            <w:shd w:val="clear" w:color="auto" w:fill="FFFFFF"/>
            <w:vAlign w:val="center"/>
          </w:tcPr>
          <w:p w14:paraId="7D398BF5" w14:textId="77777777" w:rsidR="00E03711" w:rsidRPr="00F769E0" w:rsidRDefault="00E03711" w:rsidP="007226AD">
            <w:pPr>
              <w:pStyle w:val="Guide-Table"/>
              <w:spacing w:before="60" w:after="60"/>
              <w:jc w:val="left"/>
              <w:rPr>
                <w:rFonts w:cs="Tahoma"/>
                <w:b/>
                <w:lang w:val="sl-SI" w:eastAsia="en-GB"/>
              </w:rPr>
            </w:pPr>
            <w:r w:rsidRPr="00F769E0">
              <w:rPr>
                <w:rFonts w:cs="Tahoma"/>
                <w:b/>
                <w:lang w:val="sl-SI" w:eastAsia="en-GB"/>
              </w:rPr>
              <w:t>Trajanje aktivnosti</w:t>
            </w:r>
          </w:p>
        </w:tc>
        <w:tc>
          <w:tcPr>
            <w:tcW w:w="3884" w:type="pct"/>
            <w:shd w:val="clear" w:color="auto" w:fill="FFFFFF"/>
          </w:tcPr>
          <w:p w14:paraId="7D398BF6" w14:textId="77777777" w:rsidR="00E03711" w:rsidRPr="00F769E0" w:rsidRDefault="00E03711" w:rsidP="007226AD">
            <w:pPr>
              <w:pStyle w:val="GUIDE-NORMAL"/>
              <w:spacing w:before="60" w:after="60"/>
              <w:rPr>
                <w:rFonts w:cs="Tahoma"/>
                <w:lang w:val="sl-SI" w:eastAsia="en-GB"/>
              </w:rPr>
            </w:pPr>
            <w:r w:rsidRPr="00F769E0">
              <w:rPr>
                <w:rFonts w:cs="Tahoma"/>
                <w:lang w:val="sl-SI" w:eastAsia="en-GB"/>
              </w:rPr>
              <w:t>Od 2 dni do 2 mesecev, v kar ni zajet čas poti.</w:t>
            </w:r>
          </w:p>
          <w:p w14:paraId="7D398BF7" w14:textId="77777777" w:rsidR="00E03711" w:rsidRPr="00F769E0" w:rsidRDefault="00E03711" w:rsidP="007226AD">
            <w:pPr>
              <w:pStyle w:val="GUIDE-NORMAL"/>
              <w:spacing w:before="60" w:after="60"/>
              <w:rPr>
                <w:rFonts w:cs="Tahoma"/>
                <w:lang w:val="sl-SI" w:eastAsia="en-GB"/>
              </w:rPr>
            </w:pPr>
            <w:r w:rsidRPr="00F769E0">
              <w:rPr>
                <w:rFonts w:cs="Tahoma"/>
                <w:lang w:val="sl-SI" w:eastAsia="en-GB"/>
              </w:rPr>
              <w:t>Od tega morata biti najmanj 2 zaporedna dneva.</w:t>
            </w:r>
          </w:p>
        </w:tc>
      </w:tr>
      <w:tr w:rsidR="00E03711" w:rsidRPr="00A6094F" w14:paraId="7D398BFB" w14:textId="77777777" w:rsidTr="00395FEF">
        <w:trPr>
          <w:cantSplit/>
          <w:trHeight w:val="77"/>
        </w:trPr>
        <w:tc>
          <w:tcPr>
            <w:tcW w:w="1116" w:type="pct"/>
            <w:shd w:val="clear" w:color="auto" w:fill="FFFFFF"/>
            <w:vAlign w:val="center"/>
          </w:tcPr>
          <w:p w14:paraId="7D398BF9" w14:textId="77777777" w:rsidR="00E03711" w:rsidRPr="00F769E0" w:rsidRDefault="00E03711" w:rsidP="007226AD">
            <w:pPr>
              <w:pStyle w:val="Guide-Table"/>
              <w:spacing w:before="60" w:after="60"/>
              <w:jc w:val="left"/>
              <w:rPr>
                <w:rFonts w:cs="Tahoma"/>
                <w:b/>
                <w:lang w:val="sl-SI" w:eastAsia="en-GB"/>
              </w:rPr>
            </w:pPr>
            <w:r w:rsidRPr="00F769E0">
              <w:rPr>
                <w:rFonts w:cs="Tahoma"/>
                <w:b/>
                <w:lang w:val="sl-SI" w:eastAsia="en-GB"/>
              </w:rPr>
              <w:t>Kraji izvajanja aktivnosti</w:t>
            </w:r>
          </w:p>
        </w:tc>
        <w:tc>
          <w:tcPr>
            <w:tcW w:w="3884" w:type="pct"/>
            <w:shd w:val="clear" w:color="auto" w:fill="FFFFFF"/>
          </w:tcPr>
          <w:p w14:paraId="7D398BFA" w14:textId="77777777" w:rsidR="00E03711" w:rsidRPr="00F769E0" w:rsidRDefault="00E03711" w:rsidP="007226AD">
            <w:pPr>
              <w:pStyle w:val="GUIDE-NORMAL"/>
              <w:spacing w:before="60" w:after="60"/>
              <w:rPr>
                <w:rFonts w:cs="Tahoma"/>
                <w:lang w:val="sl-SI" w:eastAsia="en-GB"/>
              </w:rPr>
            </w:pPr>
            <w:r w:rsidRPr="00F769E0">
              <w:rPr>
                <w:rFonts w:cs="Tahoma"/>
                <w:lang w:val="sl-SI" w:eastAsia="en-GB"/>
              </w:rPr>
              <w:t>Aktivnosti mobilnosti se morajo izvajati v tujini, v drugi državi Programa.</w:t>
            </w:r>
          </w:p>
        </w:tc>
      </w:tr>
      <w:tr w:rsidR="00E03711" w:rsidRPr="00A6094F" w14:paraId="7D398C00" w14:textId="77777777" w:rsidTr="00395FEF">
        <w:trPr>
          <w:cantSplit/>
          <w:trHeight w:val="77"/>
        </w:trPr>
        <w:tc>
          <w:tcPr>
            <w:tcW w:w="1116" w:type="pct"/>
            <w:shd w:val="clear" w:color="auto" w:fill="FFFFFF"/>
            <w:vAlign w:val="center"/>
          </w:tcPr>
          <w:p w14:paraId="7D398BFC" w14:textId="77777777" w:rsidR="00E03711" w:rsidRPr="00F769E0" w:rsidRDefault="00E03711" w:rsidP="007226AD">
            <w:pPr>
              <w:pStyle w:val="Guide-Table"/>
              <w:spacing w:before="60" w:after="60"/>
              <w:jc w:val="left"/>
              <w:rPr>
                <w:rFonts w:cs="Tahoma"/>
                <w:b/>
                <w:lang w:val="sl-SI" w:eastAsia="en-GB"/>
              </w:rPr>
            </w:pPr>
            <w:r w:rsidRPr="00F769E0">
              <w:rPr>
                <w:rFonts w:cs="Tahoma"/>
                <w:b/>
                <w:lang w:val="sl-SI" w:eastAsia="en-GB"/>
              </w:rPr>
              <w:t>Upravičeni udeleženci</w:t>
            </w:r>
          </w:p>
        </w:tc>
        <w:tc>
          <w:tcPr>
            <w:tcW w:w="3884" w:type="pct"/>
            <w:shd w:val="clear" w:color="auto" w:fill="FFFFFF"/>
          </w:tcPr>
          <w:p w14:paraId="7D398BFD" w14:textId="77777777" w:rsidR="00E03711" w:rsidRPr="00F769E0" w:rsidRDefault="00E03711" w:rsidP="007226AD">
            <w:pPr>
              <w:pStyle w:val="GUIDE-NORMAL"/>
              <w:spacing w:before="60" w:after="60"/>
              <w:rPr>
                <w:rFonts w:cs="Tahoma"/>
                <w:lang w:val="sl-SI" w:eastAsia="en-GB"/>
              </w:rPr>
            </w:pPr>
            <w:r w:rsidRPr="00F769E0">
              <w:rPr>
                <w:rFonts w:cs="Tahoma"/>
                <w:lang w:val="sl-SI" w:eastAsia="en-GB"/>
              </w:rPr>
              <w:t>Osebje, ki je pristojno za šolsko izobraževanje (ki poučuje ali ne, vključno z vodstvom šole, ravnatelji itd.), ki je v delovnem oz. pogodbenem razmerju s šolami pošiljateljicami, ter drugo izobraževalno osebje (šolski inšpektorji, šolski svetovalci, pedagoški svetovalci, psihologi itd.), vključeno v strateški razvoj šol pošiljateljic.</w:t>
            </w:r>
          </w:p>
          <w:p w14:paraId="7D398BFE" w14:textId="77777777" w:rsidR="00E03711" w:rsidRPr="00FC4A70" w:rsidRDefault="00E03711" w:rsidP="00A13051">
            <w:pPr>
              <w:spacing w:beforeLines="40" w:before="96" w:afterLines="40" w:after="96"/>
              <w:jc w:val="both"/>
              <w:rPr>
                <w:sz w:val="18"/>
                <w:szCs w:val="18"/>
                <w:lang w:val="sl-SI"/>
              </w:rPr>
            </w:pPr>
            <w:r w:rsidRPr="00FC4A70">
              <w:rPr>
                <w:rFonts w:eastAsia="Calibri" w:cs="Calibri"/>
                <w:sz w:val="18"/>
                <w:szCs w:val="18"/>
                <w:bdr w:val="nil"/>
                <w:lang w:val="sl-SI"/>
              </w:rPr>
              <w:t>Osebje lokalnih ali regionalnih šolskih organov ali šolskih koordinacijskih organov, ki vodi nacionalni konzorcij mobilnosti, ki sodeluje pri šolski politiki, razvoju šole in drugih dejavnostih, ki so strateškega pomena za šolski izobraževalni sektor.</w:t>
            </w:r>
          </w:p>
          <w:p w14:paraId="7D398BFF" w14:textId="77777777" w:rsidR="00E03711" w:rsidRPr="00F769E0" w:rsidRDefault="00E03711" w:rsidP="002E532B">
            <w:pPr>
              <w:pStyle w:val="GUIDE-NORMAL"/>
              <w:spacing w:before="60" w:after="60"/>
              <w:rPr>
                <w:rFonts w:cs="Tahoma"/>
                <w:lang w:val="sl-SI" w:eastAsia="en-GB"/>
              </w:rPr>
            </w:pPr>
            <w:r w:rsidRPr="00FC4A70">
              <w:rPr>
                <w:rFonts w:eastAsia="Calibri" w:cs="Calibri"/>
                <w:bdr w:val="nil"/>
                <w:shd w:val="clear" w:color="auto" w:fill="auto"/>
                <w:lang w:val="sl-SI"/>
              </w:rPr>
              <w:t>Vsi udeleženci morajo biti v delovnem razmerju z organizacijo pošiljateljico.</w:t>
            </w:r>
          </w:p>
        </w:tc>
      </w:tr>
      <w:tr w:rsidR="00E03711" w:rsidRPr="00654F6A" w14:paraId="7D398C03" w14:textId="77777777" w:rsidTr="004A5D6B">
        <w:trPr>
          <w:cantSplit/>
          <w:trHeight w:val="77"/>
        </w:trPr>
        <w:tc>
          <w:tcPr>
            <w:tcW w:w="1116" w:type="pct"/>
            <w:shd w:val="clear" w:color="auto" w:fill="FFFFFF"/>
            <w:vAlign w:val="center"/>
          </w:tcPr>
          <w:p w14:paraId="7D398C01" w14:textId="77777777" w:rsidR="00E03711" w:rsidRPr="00F769E0" w:rsidRDefault="00E03711" w:rsidP="007226AD">
            <w:pPr>
              <w:pStyle w:val="Guide-Table"/>
              <w:spacing w:before="60" w:after="60"/>
              <w:jc w:val="left"/>
              <w:rPr>
                <w:rFonts w:cs="Tahoma"/>
                <w:b/>
                <w:lang w:val="sl-SI" w:eastAsia="en-GB"/>
              </w:rPr>
            </w:pPr>
            <w:r w:rsidRPr="00F769E0">
              <w:rPr>
                <w:rFonts w:cs="Tahoma"/>
                <w:b/>
                <w:lang w:val="sl-SI" w:eastAsia="en-GB"/>
              </w:rPr>
              <w:t>Kje se prijaviti?</w:t>
            </w:r>
          </w:p>
        </w:tc>
        <w:tc>
          <w:tcPr>
            <w:tcW w:w="3884" w:type="pct"/>
            <w:shd w:val="clear" w:color="auto" w:fill="FFFFFF"/>
            <w:vAlign w:val="center"/>
          </w:tcPr>
          <w:p w14:paraId="7D398C02" w14:textId="77777777" w:rsidR="00E03711" w:rsidRPr="00F769E0" w:rsidRDefault="00E03711" w:rsidP="000D4E5B">
            <w:pPr>
              <w:pStyle w:val="GUIDE-NORMAL"/>
              <w:spacing w:before="60" w:after="60"/>
              <w:rPr>
                <w:rFonts w:cs="Tahoma"/>
                <w:lang w:val="sl-SI" w:eastAsia="en-GB"/>
              </w:rPr>
            </w:pPr>
            <w:r w:rsidRPr="00F769E0">
              <w:rPr>
                <w:rFonts w:cs="Tahoma"/>
                <w:lang w:val="sl-SI" w:eastAsia="en-GB"/>
              </w:rPr>
              <w:t>Pri nacionalni agenciji v državi, v kateri ima organizacija prijaviteljica sedež.</w:t>
            </w:r>
            <w:r w:rsidRPr="00F769E0">
              <w:rPr>
                <w:rStyle w:val="FootnoteReference"/>
                <w:rFonts w:cs="Tahoma"/>
                <w:lang w:val="sl-SI" w:eastAsia="en-GB"/>
              </w:rPr>
              <w:footnoteReference w:id="46"/>
            </w:r>
          </w:p>
        </w:tc>
      </w:tr>
      <w:tr w:rsidR="00E03711" w:rsidRPr="00A6094F" w14:paraId="7D398C08" w14:textId="77777777" w:rsidTr="00395FEF">
        <w:trPr>
          <w:cantSplit/>
          <w:trHeight w:val="77"/>
        </w:trPr>
        <w:tc>
          <w:tcPr>
            <w:tcW w:w="1116" w:type="pct"/>
            <w:shd w:val="clear" w:color="auto" w:fill="FFFFFF"/>
            <w:vAlign w:val="center"/>
          </w:tcPr>
          <w:p w14:paraId="7D398C04" w14:textId="77777777" w:rsidR="00E03711" w:rsidRPr="00F769E0" w:rsidRDefault="00E03711" w:rsidP="007226AD">
            <w:pPr>
              <w:pStyle w:val="Guide-Table"/>
              <w:spacing w:before="60" w:after="60"/>
              <w:jc w:val="left"/>
              <w:rPr>
                <w:rFonts w:cs="Tahoma"/>
                <w:b/>
                <w:lang w:val="sl-SI" w:eastAsia="en-GB"/>
              </w:rPr>
            </w:pPr>
            <w:r w:rsidRPr="00F769E0">
              <w:rPr>
                <w:rFonts w:cs="Tahoma"/>
                <w:b/>
                <w:lang w:val="sl-SI" w:eastAsia="en-GB"/>
              </w:rPr>
              <w:t>Kdaj se prijaviti?</w:t>
            </w:r>
          </w:p>
        </w:tc>
        <w:tc>
          <w:tcPr>
            <w:tcW w:w="3884" w:type="pct"/>
            <w:shd w:val="clear" w:color="auto" w:fill="FFFFFF"/>
          </w:tcPr>
          <w:p w14:paraId="7D398C05" w14:textId="77777777" w:rsidR="00E03711" w:rsidRPr="00F769E0" w:rsidRDefault="00E03711" w:rsidP="007226AD">
            <w:pPr>
              <w:pStyle w:val="GUIDE-NORMAL"/>
              <w:spacing w:before="60" w:after="60"/>
              <w:rPr>
                <w:rFonts w:cs="Tahoma"/>
                <w:lang w:val="sl-SI" w:eastAsia="en-GB"/>
              </w:rPr>
            </w:pPr>
            <w:r w:rsidRPr="00F769E0">
              <w:rPr>
                <w:rFonts w:cs="Tahoma"/>
                <w:lang w:val="sl-SI" w:eastAsia="en-GB"/>
              </w:rPr>
              <w:t xml:space="preserve">Prijavitelji morajo vlogo za nepovratna sredstva oddati do </w:t>
            </w:r>
            <w:r w:rsidRPr="00F769E0">
              <w:rPr>
                <w:rFonts w:cs="Tahoma"/>
                <w:b/>
                <w:lang w:val="sl-SI" w:eastAsia="en-GB"/>
              </w:rPr>
              <w:t>5. februarja do 12. ure (opoldne po bruseljskem času)</w:t>
            </w:r>
            <w:r w:rsidRPr="00F769E0">
              <w:rPr>
                <w:rFonts w:cs="Tahoma"/>
                <w:lang w:val="sl-SI" w:eastAsia="en-GB"/>
              </w:rPr>
              <w:t xml:space="preserve"> za projekte, ki se začnejo med 1. junijem in 31. decembrom istega leta.</w:t>
            </w:r>
          </w:p>
          <w:p w14:paraId="7D398C06" w14:textId="77777777" w:rsidR="00E03711" w:rsidRPr="00F769E0" w:rsidRDefault="00E03711" w:rsidP="007226AD">
            <w:pPr>
              <w:pStyle w:val="GUIDE-NORMAL"/>
              <w:spacing w:before="60" w:after="60"/>
              <w:rPr>
                <w:rFonts w:cs="Tahoma"/>
                <w:b/>
                <w:lang w:val="sl-SI" w:eastAsia="en-GB"/>
              </w:rPr>
            </w:pPr>
            <w:r w:rsidRPr="00F769E0">
              <w:rPr>
                <w:rFonts w:cs="Tahoma"/>
                <w:b/>
                <w:lang w:val="sl-SI" w:eastAsia="en-GB"/>
              </w:rPr>
              <w:t>Možen dodatni rok:</w:t>
            </w:r>
          </w:p>
          <w:p w14:paraId="7D398C07" w14:textId="77777777" w:rsidR="00E03711" w:rsidRPr="00F769E0" w:rsidRDefault="00E03711" w:rsidP="007226AD">
            <w:pPr>
              <w:pStyle w:val="GUIDE-NORMAL"/>
              <w:spacing w:before="60" w:after="60"/>
              <w:rPr>
                <w:rFonts w:cs="Tahoma"/>
                <w:lang w:val="sl-SI" w:eastAsia="en-GB"/>
              </w:rPr>
            </w:pPr>
            <w:r w:rsidRPr="00F769E0">
              <w:rPr>
                <w:rFonts w:cs="Tahoma"/>
                <w:lang w:val="sl-SI" w:eastAsia="en-GB"/>
              </w:rPr>
              <w:t xml:space="preserve">Nacionalne agencije lahko organizirajo drugi krog prijav, če ostanejo neporabljena sredstva, za katerega tudi veljajo pravila iz tega vodnika. Nacionalne agencije bodo možnosti za to objavile na svojih spletnih straneh. Če je organiziran drugi krog, morajo prijavitelji oddati svojo vlogo za nepovratna sredstva do </w:t>
            </w:r>
            <w:r w:rsidRPr="00F769E0">
              <w:rPr>
                <w:rFonts w:cs="Tahoma"/>
                <w:b/>
                <w:lang w:val="sl-SI" w:eastAsia="en-GB"/>
              </w:rPr>
              <w:t>1. oktobra do 12. ure (opoldne po bruseljskem času)</w:t>
            </w:r>
            <w:r w:rsidRPr="00F769E0">
              <w:rPr>
                <w:rFonts w:cs="Tahoma"/>
                <w:lang w:val="sl-SI" w:eastAsia="en-GB"/>
              </w:rPr>
              <w:t xml:space="preserve"> za projekte, ki se začnejo med 1. januarjem in 31. majem naslednjega leta.</w:t>
            </w:r>
          </w:p>
        </w:tc>
      </w:tr>
      <w:tr w:rsidR="00E03711" w:rsidRPr="00A6094F" w14:paraId="7D398C0B" w14:textId="77777777" w:rsidTr="00395FEF">
        <w:trPr>
          <w:cantSplit/>
          <w:trHeight w:val="77"/>
        </w:trPr>
        <w:tc>
          <w:tcPr>
            <w:tcW w:w="1116" w:type="pct"/>
            <w:shd w:val="clear" w:color="auto" w:fill="FFFFFF"/>
            <w:vAlign w:val="center"/>
          </w:tcPr>
          <w:p w14:paraId="7D398C09" w14:textId="77777777" w:rsidR="00E03711" w:rsidRPr="00F769E0" w:rsidRDefault="00E03711" w:rsidP="007226AD">
            <w:pPr>
              <w:pStyle w:val="Guide-Table"/>
              <w:spacing w:before="60" w:after="60"/>
              <w:jc w:val="left"/>
              <w:rPr>
                <w:rFonts w:cs="Tahoma"/>
                <w:b/>
                <w:lang w:val="sl-SI" w:eastAsia="en-GB"/>
              </w:rPr>
            </w:pPr>
            <w:r w:rsidRPr="00F769E0">
              <w:rPr>
                <w:rFonts w:cs="Tahoma"/>
                <w:b/>
                <w:lang w:val="sl-SI" w:eastAsia="en-GB"/>
              </w:rPr>
              <w:t>Kako se prijaviti?</w:t>
            </w:r>
          </w:p>
        </w:tc>
        <w:tc>
          <w:tcPr>
            <w:tcW w:w="3884" w:type="pct"/>
            <w:shd w:val="clear" w:color="auto" w:fill="FFFFFF"/>
          </w:tcPr>
          <w:p w14:paraId="7D398C0A" w14:textId="77777777" w:rsidR="00E03711" w:rsidRPr="00F769E0" w:rsidRDefault="00E03711" w:rsidP="007226AD">
            <w:pPr>
              <w:pStyle w:val="GUIDE-NORMAL"/>
              <w:spacing w:before="60" w:after="60"/>
              <w:rPr>
                <w:rFonts w:cs="Tahoma"/>
                <w:lang w:val="sl-SI" w:eastAsia="en-GB"/>
              </w:rPr>
            </w:pPr>
            <w:r w:rsidRPr="00F769E0">
              <w:rPr>
                <w:rFonts w:cs="Tahoma"/>
                <w:lang w:val="sl-SI" w:eastAsia="en-GB"/>
              </w:rPr>
              <w:t>Za podrobnosti o postopku prijave glej del C tega vodnika.</w:t>
            </w:r>
          </w:p>
        </w:tc>
      </w:tr>
      <w:tr w:rsidR="00E03711" w:rsidRPr="00A6094F" w14:paraId="7D398C0E" w14:textId="77777777" w:rsidTr="00395FEF">
        <w:trPr>
          <w:cantSplit/>
          <w:trHeight w:val="77"/>
        </w:trPr>
        <w:tc>
          <w:tcPr>
            <w:tcW w:w="1116" w:type="pct"/>
            <w:shd w:val="clear" w:color="auto" w:fill="FFFFFF"/>
            <w:vAlign w:val="center"/>
          </w:tcPr>
          <w:p w14:paraId="7D398C0C" w14:textId="77777777" w:rsidR="00E03711" w:rsidRPr="00F769E0" w:rsidRDefault="00E03711" w:rsidP="007226AD">
            <w:pPr>
              <w:pStyle w:val="Guide-Table"/>
              <w:spacing w:before="60" w:after="60"/>
              <w:jc w:val="left"/>
              <w:rPr>
                <w:rFonts w:cs="Tahoma"/>
                <w:b/>
                <w:lang w:val="sl-SI" w:eastAsia="en-GB"/>
              </w:rPr>
            </w:pPr>
            <w:r w:rsidRPr="00F769E0">
              <w:rPr>
                <w:rFonts w:cs="Tahoma"/>
                <w:b/>
                <w:lang w:val="sl-SI" w:eastAsia="en-GB"/>
              </w:rPr>
              <w:t>Druga merila</w:t>
            </w:r>
          </w:p>
        </w:tc>
        <w:tc>
          <w:tcPr>
            <w:tcW w:w="3884" w:type="pct"/>
            <w:shd w:val="clear" w:color="auto" w:fill="FFFFFF"/>
          </w:tcPr>
          <w:p w14:paraId="7D398C0D" w14:textId="77777777" w:rsidR="00E03711" w:rsidRPr="00F769E0" w:rsidRDefault="00E03711" w:rsidP="007226AD">
            <w:pPr>
              <w:pStyle w:val="GUIDE-NORMAL"/>
              <w:spacing w:before="60" w:after="60"/>
              <w:rPr>
                <w:rFonts w:cs="Tahoma"/>
                <w:lang w:val="sl-SI" w:eastAsia="en-GB"/>
              </w:rPr>
            </w:pPr>
            <w:r w:rsidRPr="00F769E0">
              <w:rPr>
                <w:rFonts w:cs="Tahoma"/>
                <w:lang w:val="sl-SI" w:eastAsia="en-GB"/>
              </w:rPr>
              <w:t>Organizacija ali nacionalni konzorcij za mobilnost se lahko prijavi samo enkrat v posameznem krogu izbirnega postopka. Vendar je lahko organizacija članica oziroma koordinira več različnih nacionalnih konzorcijev za mobilnost, ki se prijavljajo hkrati.</w:t>
            </w:r>
          </w:p>
        </w:tc>
      </w:tr>
    </w:tbl>
    <w:p w14:paraId="7D398C0F" w14:textId="77777777" w:rsidR="00E03711" w:rsidRPr="001048FE" w:rsidRDefault="00E03711" w:rsidP="002904AD">
      <w:pPr>
        <w:pStyle w:val="GUIDE-NORMAL"/>
        <w:rPr>
          <w:sz w:val="22"/>
          <w:lang w:val="sl-SI"/>
        </w:rPr>
      </w:pPr>
      <w:r w:rsidRPr="001048FE">
        <w:rPr>
          <w:lang w:val="sl-SI"/>
        </w:rPr>
        <w:t xml:space="preserve">Organizacije prijaviteljice bodo ocenjene z ustreznimi </w:t>
      </w:r>
      <w:r w:rsidRPr="001048FE">
        <w:rPr>
          <w:b/>
          <w:lang w:val="sl-SI"/>
        </w:rPr>
        <w:t>merili za izključitev in izbor</w:t>
      </w:r>
      <w:r w:rsidRPr="001048FE">
        <w:rPr>
          <w:lang w:val="sl-SI"/>
        </w:rPr>
        <w:t>. Za več informacij glej del C tega vodnika.</w:t>
      </w:r>
    </w:p>
    <w:p w14:paraId="7D398C10" w14:textId="77777777" w:rsidR="00E03711" w:rsidRPr="001048FE" w:rsidRDefault="00E03711" w:rsidP="002904AD">
      <w:pPr>
        <w:pStyle w:val="Guide-Heading6"/>
        <w:rPr>
          <w:lang w:val="sl-SI"/>
        </w:rPr>
      </w:pPr>
      <w:r w:rsidRPr="001048FE">
        <w:rPr>
          <w:lang w:val="sl-SI"/>
        </w:rPr>
        <w:t>Merila za dodelitev</w:t>
      </w:r>
    </w:p>
    <w:p w14:paraId="7D398C11" w14:textId="77777777" w:rsidR="00E03711" w:rsidRPr="001048FE" w:rsidRDefault="00E03711" w:rsidP="002904AD">
      <w:pPr>
        <w:pStyle w:val="GUIDE-NORMAL"/>
        <w:rPr>
          <w:lang w:val="sl-SI"/>
        </w:rPr>
      </w:pPr>
      <w:r w:rsidRPr="001048FE">
        <w:rPr>
          <w:lang w:val="sl-SI"/>
        </w:rPr>
        <w:t>Projekti bodo ocenjeni z naslednjimi merili:</w:t>
      </w:r>
    </w:p>
    <w:tbl>
      <w:tblPr>
        <w:tblW w:w="5000" w:type="pct"/>
        <w:shd w:val="clear" w:color="auto" w:fill="FFFFFF"/>
        <w:tblLook w:val="0000" w:firstRow="0" w:lastRow="0" w:firstColumn="0" w:lastColumn="0" w:noHBand="0" w:noVBand="0"/>
      </w:tblPr>
      <w:tblGrid>
        <w:gridCol w:w="1566"/>
        <w:gridCol w:w="7724"/>
      </w:tblGrid>
      <w:tr w:rsidR="00E03711" w:rsidRPr="00A6094F" w14:paraId="7D398C19" w14:textId="77777777" w:rsidTr="0087173A">
        <w:trPr>
          <w:cantSplit/>
        </w:trPr>
        <w:tc>
          <w:tcPr>
            <w:tcW w:w="843" w:type="pct"/>
            <w:tcBorders>
              <w:top w:val="single" w:sz="8" w:space="0" w:color="auto"/>
              <w:left w:val="single" w:sz="4" w:space="0" w:color="auto"/>
              <w:bottom w:val="dashed" w:sz="4" w:space="0" w:color="auto"/>
              <w:right w:val="single" w:sz="8" w:space="0" w:color="auto"/>
            </w:tcBorders>
            <w:shd w:val="clear" w:color="auto" w:fill="FFFFFF"/>
            <w:vAlign w:val="center"/>
          </w:tcPr>
          <w:p w14:paraId="7D398C12" w14:textId="77777777" w:rsidR="00E03711" w:rsidRPr="00F769E0" w:rsidRDefault="00E03711" w:rsidP="00FB7E6F">
            <w:pPr>
              <w:pStyle w:val="GUIDE-NORMAL"/>
              <w:spacing w:before="60" w:after="60"/>
              <w:jc w:val="left"/>
              <w:rPr>
                <w:rFonts w:cs="Tahoma"/>
                <w:b/>
                <w:lang w:val="sl-SI" w:eastAsia="en-GB"/>
              </w:rPr>
            </w:pPr>
            <w:r w:rsidRPr="00F769E0">
              <w:rPr>
                <w:rFonts w:cs="Tahoma"/>
                <w:b/>
                <w:lang w:val="sl-SI" w:eastAsia="en-GB"/>
              </w:rPr>
              <w:t xml:space="preserve">Ustreznost projekta </w:t>
            </w:r>
            <w:r w:rsidRPr="00F769E0">
              <w:rPr>
                <w:rFonts w:cs="Tahoma"/>
                <w:b/>
                <w:lang w:val="sl-SI" w:eastAsia="en-GB"/>
              </w:rPr>
              <w:br/>
              <w:t>(največ 30 točk):</w:t>
            </w:r>
          </w:p>
        </w:tc>
        <w:tc>
          <w:tcPr>
            <w:tcW w:w="4157" w:type="pct"/>
            <w:tcBorders>
              <w:top w:val="single" w:sz="8" w:space="0" w:color="auto"/>
              <w:left w:val="nil"/>
              <w:bottom w:val="dashed" w:sz="4" w:space="0" w:color="auto"/>
              <w:right w:val="single" w:sz="8" w:space="0" w:color="auto"/>
            </w:tcBorders>
            <w:shd w:val="clear" w:color="auto" w:fill="FFFFFF"/>
          </w:tcPr>
          <w:p w14:paraId="7D398C13" w14:textId="77777777" w:rsidR="00E03711" w:rsidRPr="0030441A" w:rsidRDefault="00E03711" w:rsidP="005115F2">
            <w:pPr>
              <w:pStyle w:val="Guide-NormalBulletpoints"/>
              <w:numPr>
                <w:ilvl w:val="0"/>
                <w:numId w:val="121"/>
              </w:numPr>
              <w:rPr>
                <w:lang w:val="pl-PL"/>
              </w:rPr>
            </w:pPr>
            <w:r w:rsidRPr="0030441A">
              <w:rPr>
                <w:lang w:val="pl-PL"/>
              </w:rPr>
              <w:t>ustreznost predloga v zvezi s:</w:t>
            </w:r>
          </w:p>
          <w:p w14:paraId="7D398C14" w14:textId="77777777" w:rsidR="00E03711" w:rsidRPr="001048FE" w:rsidRDefault="00E03711" w:rsidP="00FB7E6F">
            <w:pPr>
              <w:pStyle w:val="Guide-ListDash"/>
              <w:spacing w:before="60" w:after="60"/>
              <w:rPr>
                <w:lang w:val="sl-SI"/>
              </w:rPr>
            </w:pPr>
            <w:r w:rsidRPr="001048FE">
              <w:rPr>
                <w:lang w:val="sl-SI"/>
              </w:rPr>
              <w:t>cilji ukrepa (glej poglavje „Kakšni so cilji projekta mobilnosti?“);</w:t>
            </w:r>
          </w:p>
          <w:p w14:paraId="7D398C15" w14:textId="77777777" w:rsidR="00E03711" w:rsidRPr="001048FE" w:rsidRDefault="00E03711" w:rsidP="00FB7E6F">
            <w:pPr>
              <w:pStyle w:val="Guide-ListDash"/>
              <w:spacing w:before="60" w:after="60"/>
              <w:rPr>
                <w:lang w:val="sl-SI"/>
              </w:rPr>
            </w:pPr>
            <w:r w:rsidRPr="001048FE">
              <w:rPr>
                <w:lang w:val="sl-SI"/>
              </w:rPr>
              <w:t>potrebami in cilji sodelujočih organizacij in posameznih udeležencev, kot so opredeljeni v evropskem razvojnem načrtu;</w:t>
            </w:r>
          </w:p>
          <w:p w14:paraId="7D398C16" w14:textId="77777777" w:rsidR="00E03711" w:rsidRPr="001048FE" w:rsidRDefault="00E03711" w:rsidP="005115F2">
            <w:pPr>
              <w:pStyle w:val="Guide-NormalBulletpoints"/>
              <w:numPr>
                <w:ilvl w:val="0"/>
                <w:numId w:val="121"/>
              </w:numPr>
              <w:spacing w:before="60"/>
              <w:rPr>
                <w:lang w:val="sl-SI"/>
              </w:rPr>
            </w:pPr>
            <w:r w:rsidRPr="001048FE">
              <w:rPr>
                <w:lang w:val="sl-SI"/>
              </w:rPr>
              <w:t>v kolikšni meri je predlog primeren za:</w:t>
            </w:r>
          </w:p>
          <w:p w14:paraId="7D398C17" w14:textId="77777777" w:rsidR="00E03711" w:rsidRPr="001048FE" w:rsidRDefault="00E03711" w:rsidP="00FB7E6F">
            <w:pPr>
              <w:pStyle w:val="Guide-ListDash"/>
              <w:spacing w:before="60" w:after="60"/>
              <w:rPr>
                <w:lang w:val="sl-SI"/>
              </w:rPr>
            </w:pPr>
            <w:r w:rsidRPr="001048FE">
              <w:rPr>
                <w:lang w:val="sl-SI"/>
              </w:rPr>
              <w:t>doseganje visokokakovostnih učnih izidov za udeležence;</w:t>
            </w:r>
          </w:p>
          <w:p w14:paraId="7D398C18" w14:textId="77777777" w:rsidR="00E03711" w:rsidRPr="001048FE" w:rsidRDefault="00E03711" w:rsidP="00FB7E6F">
            <w:pPr>
              <w:pStyle w:val="Guide-ListDash"/>
              <w:spacing w:before="60" w:after="60"/>
              <w:rPr>
                <w:lang w:val="sl-SI"/>
              </w:rPr>
            </w:pPr>
            <w:r w:rsidRPr="001048FE">
              <w:rPr>
                <w:lang w:val="sl-SI"/>
              </w:rPr>
              <w:t>krepitev zmogljivosti in mednarodne razsežnosti sodelujočih organizacij.</w:t>
            </w:r>
          </w:p>
        </w:tc>
      </w:tr>
      <w:tr w:rsidR="00E03711" w:rsidRPr="00A6094F" w14:paraId="7D398C23" w14:textId="77777777" w:rsidTr="0087173A">
        <w:trPr>
          <w:cantSplit/>
        </w:trPr>
        <w:tc>
          <w:tcPr>
            <w:tcW w:w="843" w:type="pct"/>
            <w:tcBorders>
              <w:top w:val="dashed" w:sz="4" w:space="0" w:color="auto"/>
              <w:left w:val="single" w:sz="4" w:space="0" w:color="auto"/>
              <w:bottom w:val="dashed" w:sz="4" w:space="0" w:color="auto"/>
              <w:right w:val="single" w:sz="8" w:space="0" w:color="auto"/>
            </w:tcBorders>
            <w:shd w:val="clear" w:color="auto" w:fill="FFFFFF"/>
            <w:vAlign w:val="center"/>
          </w:tcPr>
          <w:p w14:paraId="7D398C1A" w14:textId="77777777" w:rsidR="00E03711" w:rsidRPr="00F769E0" w:rsidRDefault="00E03711" w:rsidP="00FB7E6F">
            <w:pPr>
              <w:pStyle w:val="GUIDE-NORMAL"/>
              <w:spacing w:before="60" w:after="60"/>
              <w:jc w:val="left"/>
              <w:rPr>
                <w:rFonts w:cs="Tahoma"/>
                <w:b/>
                <w:lang w:val="sl-SI" w:eastAsia="en-GB"/>
              </w:rPr>
            </w:pPr>
            <w:r w:rsidRPr="00F769E0">
              <w:rPr>
                <w:rFonts w:cs="Tahoma"/>
                <w:b/>
                <w:lang w:val="sl-SI" w:eastAsia="en-GB"/>
              </w:rPr>
              <w:t>Kakovost zasnove in izvedbe projekta</w:t>
            </w:r>
            <w:r w:rsidRPr="00F769E0">
              <w:rPr>
                <w:rFonts w:cs="Tahoma"/>
                <w:b/>
                <w:lang w:val="sl-SI" w:eastAsia="en-GB"/>
              </w:rPr>
              <w:br/>
              <w:t>(največ 40 točk):</w:t>
            </w:r>
          </w:p>
        </w:tc>
        <w:tc>
          <w:tcPr>
            <w:tcW w:w="4157" w:type="pct"/>
            <w:tcBorders>
              <w:top w:val="dashed" w:sz="4" w:space="0" w:color="auto"/>
              <w:left w:val="nil"/>
              <w:bottom w:val="dashed" w:sz="4" w:space="0" w:color="auto"/>
              <w:right w:val="single" w:sz="8" w:space="0" w:color="auto"/>
            </w:tcBorders>
            <w:shd w:val="clear" w:color="auto" w:fill="FFFFFF"/>
          </w:tcPr>
          <w:p w14:paraId="7D398C1B" w14:textId="77777777" w:rsidR="00E03711" w:rsidRPr="001048FE" w:rsidRDefault="00E03711" w:rsidP="005115F2">
            <w:pPr>
              <w:pStyle w:val="Guide-NormalBulletpoints"/>
              <w:numPr>
                <w:ilvl w:val="0"/>
                <w:numId w:val="235"/>
              </w:numPr>
              <w:spacing w:before="60"/>
              <w:rPr>
                <w:lang w:val="sl-SI"/>
              </w:rPr>
            </w:pPr>
            <w:r w:rsidRPr="001048FE">
              <w:rPr>
                <w:lang w:val="sl-SI"/>
              </w:rPr>
              <w:t>jasnost, celovitost in kakovost vseh faz predloga projekta (priprava, izvajanje mobilnosti in nadaljnje spremljanje);</w:t>
            </w:r>
          </w:p>
          <w:p w14:paraId="7D398C1C" w14:textId="77777777" w:rsidR="00E03711" w:rsidRPr="001048FE" w:rsidRDefault="00E03711" w:rsidP="005115F2">
            <w:pPr>
              <w:pStyle w:val="Guide-NormalBulletpoints"/>
              <w:numPr>
                <w:ilvl w:val="0"/>
                <w:numId w:val="235"/>
              </w:numPr>
              <w:spacing w:before="60"/>
              <w:rPr>
                <w:lang w:val="sl-SI"/>
              </w:rPr>
            </w:pPr>
            <w:r w:rsidRPr="001048FE">
              <w:rPr>
                <w:lang w:val="sl-SI"/>
              </w:rPr>
              <w:t>usklajenost ciljev projekta in predlaganih aktivnosti;</w:t>
            </w:r>
          </w:p>
          <w:p w14:paraId="7D398C1D" w14:textId="77777777" w:rsidR="00E03711" w:rsidRPr="001048FE" w:rsidRDefault="00E03711" w:rsidP="005115F2">
            <w:pPr>
              <w:pStyle w:val="Guide-NormalBulletpoints"/>
              <w:numPr>
                <w:ilvl w:val="0"/>
                <w:numId w:val="235"/>
              </w:numPr>
              <w:spacing w:before="60"/>
              <w:rPr>
                <w:lang w:val="sl-SI"/>
              </w:rPr>
            </w:pPr>
            <w:r w:rsidRPr="001048FE">
              <w:rPr>
                <w:lang w:val="sl-SI"/>
              </w:rPr>
              <w:t>kakovost evropskega razvojnega načrta organizacije prijaviteljice;</w:t>
            </w:r>
          </w:p>
          <w:p w14:paraId="7D398C1E" w14:textId="77777777" w:rsidR="00E03711" w:rsidRPr="001048FE" w:rsidRDefault="00E03711" w:rsidP="005115F2">
            <w:pPr>
              <w:pStyle w:val="Guide-NormalBulletpoints"/>
              <w:numPr>
                <w:ilvl w:val="0"/>
                <w:numId w:val="235"/>
              </w:numPr>
              <w:spacing w:before="60"/>
              <w:rPr>
                <w:lang w:val="sl-SI"/>
              </w:rPr>
            </w:pPr>
            <w:r w:rsidRPr="001048FE">
              <w:rPr>
                <w:lang w:val="sl-SI"/>
              </w:rPr>
              <w:t>ustreznost ukrepov za izbor in/ali vključevanje udeležencev v aktivnosti mobilnosti;</w:t>
            </w:r>
          </w:p>
          <w:p w14:paraId="7D398C1F" w14:textId="77777777" w:rsidR="00E03711" w:rsidRDefault="00E03711" w:rsidP="005115F2">
            <w:pPr>
              <w:pStyle w:val="Guide-NormalBulletpoints"/>
              <w:numPr>
                <w:ilvl w:val="0"/>
                <w:numId w:val="235"/>
              </w:numPr>
              <w:spacing w:before="60"/>
              <w:rPr>
                <w:lang w:val="sl-SI"/>
              </w:rPr>
            </w:pPr>
            <w:r w:rsidRPr="001048FE">
              <w:rPr>
                <w:lang w:val="sl-SI"/>
              </w:rPr>
              <w:t>kakovost praktičnih ureditev, načinov upravljanja in podpore;</w:t>
            </w:r>
          </w:p>
          <w:p w14:paraId="7D398C20" w14:textId="77777777" w:rsidR="00E03711" w:rsidRPr="009F5FA0" w:rsidRDefault="00E03711" w:rsidP="005115F2">
            <w:pPr>
              <w:pStyle w:val="Guide-NormalBulletpoints"/>
              <w:numPr>
                <w:ilvl w:val="0"/>
                <w:numId w:val="235"/>
              </w:numPr>
              <w:spacing w:before="60"/>
              <w:rPr>
                <w:lang w:val="sl-SI"/>
              </w:rPr>
            </w:pPr>
            <w:r w:rsidRPr="00FC4A70">
              <w:rPr>
                <w:rFonts w:eastAsia="Calibri" w:cs="Calibri"/>
                <w:bdr w:val="nil"/>
                <w:shd w:val="clear" w:color="auto" w:fill="auto"/>
                <w:lang w:val="sl-SI" w:eastAsia="zh-CN"/>
              </w:rPr>
              <w:t>v primeru nacionalnega konzorcija za mobilnost: ustreznost sestave konzorcija, potencialne sinergije znotraj konzorcija in kapacitete koordinatorja za vodenje projekta;</w:t>
            </w:r>
          </w:p>
          <w:p w14:paraId="7D398C21" w14:textId="77777777" w:rsidR="00E03711" w:rsidRPr="001048FE" w:rsidRDefault="00E03711" w:rsidP="005115F2">
            <w:pPr>
              <w:pStyle w:val="Guide-NormalBulletpoints"/>
              <w:numPr>
                <w:ilvl w:val="0"/>
                <w:numId w:val="235"/>
              </w:numPr>
              <w:spacing w:before="60"/>
              <w:rPr>
                <w:lang w:val="sl-SI"/>
              </w:rPr>
            </w:pPr>
            <w:r w:rsidRPr="001048FE">
              <w:rPr>
                <w:lang w:val="sl-SI"/>
              </w:rPr>
              <w:t>kakovost priprav, ki so zagotovljene za udeležence;</w:t>
            </w:r>
          </w:p>
          <w:p w14:paraId="7D398C22" w14:textId="77777777" w:rsidR="00E03711" w:rsidRPr="001048FE" w:rsidRDefault="00E03711" w:rsidP="005115F2">
            <w:pPr>
              <w:pStyle w:val="Guide-NormalBulletpoints"/>
              <w:numPr>
                <w:ilvl w:val="0"/>
                <w:numId w:val="235"/>
              </w:numPr>
              <w:spacing w:before="60"/>
              <w:rPr>
                <w:lang w:val="sl-SI"/>
              </w:rPr>
            </w:pPr>
            <w:r w:rsidRPr="001048FE">
              <w:rPr>
                <w:lang w:val="sl-SI"/>
              </w:rPr>
              <w:t>kakovost ureditev za priznavanje in potrjevanje učnih izidov udeležencev ter dosledna uporaba evropskih orodij za preglednost in priznavanje.</w:t>
            </w:r>
          </w:p>
        </w:tc>
      </w:tr>
      <w:tr w:rsidR="00E03711" w:rsidRPr="00A6094F" w14:paraId="7D398C2A" w14:textId="77777777" w:rsidTr="0087173A">
        <w:trPr>
          <w:cantSplit/>
        </w:trPr>
        <w:tc>
          <w:tcPr>
            <w:tcW w:w="843" w:type="pct"/>
            <w:tcBorders>
              <w:top w:val="dashed" w:sz="4" w:space="0" w:color="auto"/>
              <w:left w:val="single" w:sz="4" w:space="0" w:color="auto"/>
              <w:bottom w:val="single" w:sz="8" w:space="0" w:color="auto"/>
              <w:right w:val="single" w:sz="8" w:space="0" w:color="auto"/>
            </w:tcBorders>
            <w:shd w:val="clear" w:color="auto" w:fill="FFFFFF"/>
            <w:vAlign w:val="center"/>
          </w:tcPr>
          <w:p w14:paraId="7D398C24" w14:textId="77777777" w:rsidR="00E03711" w:rsidRPr="00F769E0" w:rsidRDefault="00E03711" w:rsidP="00FB7E6F">
            <w:pPr>
              <w:pStyle w:val="GUIDE-NORMAL"/>
              <w:spacing w:before="60" w:after="60"/>
              <w:jc w:val="left"/>
              <w:rPr>
                <w:rFonts w:cs="Tahoma"/>
                <w:b/>
                <w:lang w:val="sl-SI" w:eastAsia="en-GB"/>
              </w:rPr>
            </w:pPr>
            <w:r w:rsidRPr="00F769E0">
              <w:rPr>
                <w:rFonts w:cs="Tahoma"/>
                <w:b/>
                <w:lang w:val="sl-SI" w:eastAsia="en-GB"/>
              </w:rPr>
              <w:t>Učinek in razširjanje (največ 30 točk):</w:t>
            </w:r>
          </w:p>
        </w:tc>
        <w:tc>
          <w:tcPr>
            <w:tcW w:w="4157" w:type="pct"/>
            <w:tcBorders>
              <w:top w:val="dashed" w:sz="4" w:space="0" w:color="auto"/>
              <w:left w:val="nil"/>
              <w:bottom w:val="single" w:sz="8" w:space="0" w:color="auto"/>
              <w:right w:val="single" w:sz="8" w:space="0" w:color="auto"/>
            </w:tcBorders>
            <w:shd w:val="clear" w:color="auto" w:fill="FFFFFF"/>
          </w:tcPr>
          <w:p w14:paraId="7D398C25" w14:textId="77777777" w:rsidR="00E03711" w:rsidRPr="001048FE" w:rsidRDefault="00E03711" w:rsidP="005115F2">
            <w:pPr>
              <w:pStyle w:val="Guide-NormalBulletpoints"/>
              <w:numPr>
                <w:ilvl w:val="0"/>
                <w:numId w:val="236"/>
              </w:numPr>
              <w:spacing w:before="60"/>
              <w:rPr>
                <w:lang w:val="sl-SI"/>
              </w:rPr>
            </w:pPr>
            <w:r w:rsidRPr="001048FE">
              <w:rPr>
                <w:lang w:val="sl-SI"/>
              </w:rPr>
              <w:t>kakovost ukrepov za ocenjevanje rezultatov projekta;</w:t>
            </w:r>
          </w:p>
          <w:p w14:paraId="7D398C26" w14:textId="77777777" w:rsidR="00E03711" w:rsidRPr="001048FE" w:rsidRDefault="00E03711" w:rsidP="005115F2">
            <w:pPr>
              <w:pStyle w:val="Guide-NormalBulletpoints"/>
              <w:numPr>
                <w:ilvl w:val="0"/>
                <w:numId w:val="236"/>
              </w:numPr>
              <w:spacing w:before="60"/>
              <w:rPr>
                <w:lang w:val="sl-SI"/>
              </w:rPr>
            </w:pPr>
            <w:r w:rsidRPr="001048FE">
              <w:rPr>
                <w:lang w:val="sl-SI"/>
              </w:rPr>
              <w:t>morebitni učinek projekta:</w:t>
            </w:r>
          </w:p>
          <w:p w14:paraId="7D398C27" w14:textId="77777777" w:rsidR="00E03711" w:rsidRPr="001048FE" w:rsidRDefault="00E03711" w:rsidP="005115F2">
            <w:pPr>
              <w:pStyle w:val="Guide-ListDash"/>
              <w:numPr>
                <w:ilvl w:val="1"/>
                <w:numId w:val="122"/>
              </w:numPr>
              <w:spacing w:before="60" w:after="60"/>
              <w:rPr>
                <w:lang w:val="sl-SI"/>
              </w:rPr>
            </w:pPr>
            <w:r w:rsidRPr="001048FE">
              <w:rPr>
                <w:lang w:val="sl-SI"/>
              </w:rPr>
              <w:t>na posamezne udeležence in sodelujoče organizacije med življenjskim ciklom projekta in po njem;</w:t>
            </w:r>
          </w:p>
          <w:p w14:paraId="7D398C28" w14:textId="77777777" w:rsidR="00E03711" w:rsidRPr="001048FE" w:rsidRDefault="00E03711" w:rsidP="005115F2">
            <w:pPr>
              <w:pStyle w:val="Guide-ListDash"/>
              <w:numPr>
                <w:ilvl w:val="1"/>
                <w:numId w:val="122"/>
              </w:numPr>
              <w:spacing w:before="60" w:after="60"/>
              <w:rPr>
                <w:lang w:val="sl-SI"/>
              </w:rPr>
            </w:pPr>
            <w:r w:rsidRPr="001048FE">
              <w:rPr>
                <w:lang w:val="sl-SI"/>
              </w:rPr>
              <w:t>na druga področja, poleg organizacij in posameznikov, ki neposredno sodelujejo v projektu, na lokalni, regionalni, nacionalni in/ali evropski ravni;</w:t>
            </w:r>
          </w:p>
          <w:p w14:paraId="7D398C29" w14:textId="77777777" w:rsidR="00E03711" w:rsidRPr="001048FE" w:rsidRDefault="00E03711" w:rsidP="005115F2">
            <w:pPr>
              <w:pStyle w:val="Guide-NormalBulletpoints"/>
              <w:numPr>
                <w:ilvl w:val="0"/>
                <w:numId w:val="122"/>
              </w:numPr>
              <w:spacing w:before="60"/>
              <w:rPr>
                <w:lang w:val="sl-SI"/>
              </w:rPr>
            </w:pPr>
            <w:r w:rsidRPr="001048FE">
              <w:rPr>
                <w:lang w:val="sl-SI"/>
              </w:rPr>
              <w:t>ustreznost in kakovost ukrepov, katerih cilj je razširjanje rezultatov projekta v sodelujočih organizacijah in drugod.</w:t>
            </w:r>
          </w:p>
        </w:tc>
      </w:tr>
    </w:tbl>
    <w:p w14:paraId="7D398C2B" w14:textId="77777777" w:rsidR="00E03711" w:rsidRPr="001048FE" w:rsidRDefault="00E03711" w:rsidP="00FB7E6F">
      <w:pPr>
        <w:pStyle w:val="GUIDE-NORMAL"/>
        <w:rPr>
          <w:lang w:val="sl-SI"/>
        </w:rPr>
      </w:pPr>
      <w:r w:rsidRPr="001048FE">
        <w:rPr>
          <w:lang w:val="sl-SI"/>
        </w:rPr>
        <w:t>Za upoštevanje pri dodeljevanju sredstev morajo predlogi doseči vsaj 60 točk. Poleg tega morajo doseči vsaj polovico vseh možnih točk v vsaki od navedenih kategorij meril za dodelitev (tj. vsaj 15 točk za kategoriji „Ustreznost projekta“ ter „Učinek in razširjanje“; 20 točk za kategorijo „Kakovost zasnove in izvedbe projekta“).</w:t>
      </w:r>
    </w:p>
    <w:p w14:paraId="7D398C2C" w14:textId="77777777" w:rsidR="00E03711" w:rsidRPr="001048FE" w:rsidRDefault="00E03711" w:rsidP="00FB7E6F">
      <w:pPr>
        <w:pStyle w:val="Guide-Heading5"/>
        <w:rPr>
          <w:sz w:val="25"/>
          <w:lang w:val="sl-SI"/>
        </w:rPr>
      </w:pPr>
      <w:r w:rsidRPr="001048FE">
        <w:rPr>
          <w:lang w:val="sl-SI"/>
        </w:rPr>
        <w:t>Kaj je še treba vedeti o tem ukrepu?</w:t>
      </w:r>
    </w:p>
    <w:p w14:paraId="7D398C2D" w14:textId="77777777" w:rsidR="00E03711" w:rsidRPr="00FC4A70" w:rsidRDefault="00E03711" w:rsidP="004A6272">
      <w:pPr>
        <w:pStyle w:val="Guide-Heading6"/>
        <w:rPr>
          <w:lang w:val="sl-SI"/>
        </w:rPr>
      </w:pPr>
      <w:r w:rsidRPr="00FC4A70">
        <w:rPr>
          <w:rFonts w:eastAsia="Calibri" w:cs="Calibri"/>
          <w:bCs/>
          <w:szCs w:val="20"/>
          <w:bdr w:val="nil"/>
          <w:lang w:val="sl-SI"/>
        </w:rPr>
        <w:t>Izredni stroški za drago potovanje</w:t>
      </w:r>
    </w:p>
    <w:p w14:paraId="7D398C2E" w14:textId="77777777" w:rsidR="00E03711" w:rsidRPr="001048FE" w:rsidRDefault="00E03711" w:rsidP="00FB7E6F">
      <w:pPr>
        <w:pStyle w:val="GUIDE-NORMAL"/>
        <w:rPr>
          <w:rStyle w:val="Guide-Condensed-01"/>
          <w:lang w:val="sl-SI"/>
        </w:rPr>
      </w:pPr>
      <w:r w:rsidRPr="00FC4A70">
        <w:rPr>
          <w:rFonts w:eastAsia="Calibri" w:cs="Calibri"/>
          <w:bdr w:val="nil"/>
          <w:lang w:val="sl-SI"/>
        </w:rPr>
        <w:t>Prijavitelji projektov mobilnosti lahko zahtevajo finančno podporo za višje potne stroške udeležencev pod proračunsko postavko „izredni stroški“ (do največ 80 % vseh upravičenih stroškov: glejte „Kakšna so pravila za dodelitev sredstev?“)</w:t>
      </w:r>
      <w:r>
        <w:rPr>
          <w:rFonts w:eastAsia="Calibri" w:cs="Calibri"/>
          <w:bdr w:val="nil"/>
          <w:lang w:val="sl-SI"/>
        </w:rPr>
        <w:t>, vključno s primeri, ko se udeleženci odločijo za čistejša prevozna sredstva,z manj emisij ogljika (npr. vlak), kar vodi do višjih stroškov potovanja</w:t>
      </w:r>
      <w:r w:rsidRPr="00FC4A70">
        <w:rPr>
          <w:rFonts w:eastAsia="Calibri" w:cs="Calibri"/>
          <w:bdr w:val="nil"/>
          <w:lang w:val="sl-SI"/>
        </w:rPr>
        <w:t>. To je dovoljeno pod pogojem, da lahko prijavitelji utemeljijo, da običajna pravila financiranja (na podlagi stroškov na enoto za pas oddaljenosti) ne krijejo vsaj 70 % potnih stroškov udeležencev. Če so dodeljena, se namesto standardnih potnih stroškov upoštevajo izredni stroški za drago potovanje.</w:t>
      </w:r>
    </w:p>
    <w:p w14:paraId="7D398C2F" w14:textId="77777777" w:rsidR="00E03711" w:rsidRPr="001048FE" w:rsidRDefault="00E03711" w:rsidP="00FB7E6F">
      <w:pPr>
        <w:pStyle w:val="Guide-Heading6"/>
        <w:rPr>
          <w:lang w:val="sl-SI"/>
        </w:rPr>
      </w:pPr>
      <w:r w:rsidRPr="001048FE">
        <w:rPr>
          <w:lang w:val="sl-SI"/>
        </w:rPr>
        <w:t>Druge informacije</w:t>
      </w:r>
    </w:p>
    <w:p w14:paraId="7D398C30" w14:textId="77777777" w:rsidR="00E03711" w:rsidRPr="001048FE" w:rsidRDefault="00E03711" w:rsidP="00FB7E6F">
      <w:pPr>
        <w:pStyle w:val="GUIDE-NORMAL"/>
        <w:rPr>
          <w:lang w:val="sl-SI"/>
        </w:rPr>
      </w:pPr>
      <w:r w:rsidRPr="001048FE">
        <w:rPr>
          <w:lang w:val="sl-SI"/>
        </w:rPr>
        <w:t>Za obvezna merila ter dodatne koristne informacije v zvezi s tem ukrepom glej Prilogo I k temu vodniku. Zainteresirane organizacije naj pred oddajo vloge za finančno podporo skrbno preberejo ustrezna poglavja te priloge.</w:t>
      </w:r>
    </w:p>
    <w:p w14:paraId="7D398C31" w14:textId="77777777" w:rsidR="00E03711" w:rsidRDefault="00E03711" w:rsidP="00FB7E6F">
      <w:pPr>
        <w:pStyle w:val="Guide-Heading5"/>
        <w:rPr>
          <w:lang w:val="sl-SI"/>
        </w:rPr>
        <w:sectPr w:rsidR="00E03711" w:rsidSect="007F4890">
          <w:headerReference w:type="even" r:id="rId72"/>
          <w:headerReference w:type="default" r:id="rId73"/>
          <w:endnotePr>
            <w:numFmt w:val="decimal"/>
          </w:endnotePr>
          <w:pgSz w:w="11910" w:h="16840" w:code="9"/>
          <w:pgMar w:top="1134" w:right="1418" w:bottom="1134" w:left="1418" w:header="283" w:footer="567" w:gutter="0"/>
          <w:cols w:space="720"/>
          <w:docGrid w:linePitch="326"/>
        </w:sectPr>
      </w:pPr>
    </w:p>
    <w:p w14:paraId="7D398C32" w14:textId="77777777" w:rsidR="00E03711" w:rsidRPr="001048FE" w:rsidRDefault="00E03711" w:rsidP="00FB7E6F">
      <w:pPr>
        <w:pStyle w:val="Guide-Heading5"/>
        <w:rPr>
          <w:lang w:val="sl-SI"/>
        </w:rPr>
      </w:pPr>
      <w:r w:rsidRPr="001048FE">
        <w:rPr>
          <w:lang w:val="sl-SI"/>
        </w:rPr>
        <w:t>Kakšna so pravila za dodelitev sredstev?</w:t>
      </w:r>
    </w:p>
    <w:p w14:paraId="7D398C33" w14:textId="77777777" w:rsidR="00E03711" w:rsidRPr="001048FE" w:rsidRDefault="00E03711" w:rsidP="00FB7E6F">
      <w:pPr>
        <w:pStyle w:val="GUIDE-NORMAL"/>
        <w:rPr>
          <w:lang w:val="sl-SI"/>
        </w:rPr>
      </w:pPr>
      <w:r w:rsidRPr="001048FE">
        <w:rPr>
          <w:lang w:val="sl-SI"/>
        </w:rPr>
        <w:t>Proračun projekta mobilnosti je treba pripraviti v skladu z naslednjimi pravili za dodelitev sredstev (v EUR):</w:t>
      </w:r>
    </w:p>
    <w:tbl>
      <w:tblPr>
        <w:tblW w:w="5000" w:type="pct"/>
        <w:tblLook w:val="0000" w:firstRow="0" w:lastRow="0" w:firstColumn="0" w:lastColumn="0" w:noHBand="0" w:noVBand="0"/>
      </w:tblPr>
      <w:tblGrid>
        <w:gridCol w:w="2277"/>
        <w:gridCol w:w="4067"/>
        <w:gridCol w:w="2215"/>
        <w:gridCol w:w="3721"/>
        <w:gridCol w:w="2508"/>
      </w:tblGrid>
      <w:tr w:rsidR="00E03711" w:rsidRPr="008C6F8C" w14:paraId="7D398C38" w14:textId="77777777" w:rsidTr="00F05D26">
        <w:trPr>
          <w:trHeight w:val="20"/>
        </w:trPr>
        <w:tc>
          <w:tcPr>
            <w:tcW w:w="214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8C34" w14:textId="77777777" w:rsidR="00E03711" w:rsidRPr="00F769E0" w:rsidRDefault="00E03711" w:rsidP="004A5D6B">
            <w:pPr>
              <w:pStyle w:val="Guide-Table"/>
              <w:spacing w:before="20" w:after="20"/>
              <w:rPr>
                <w:rFonts w:cs="Tahoma"/>
                <w:b/>
                <w:lang w:val="sl-SI" w:eastAsia="en-GB"/>
              </w:rPr>
            </w:pPr>
            <w:r w:rsidRPr="00F769E0">
              <w:rPr>
                <w:rFonts w:cs="Tahoma"/>
                <w:b/>
                <w:lang w:val="sl-SI" w:eastAsia="en-GB"/>
              </w:rPr>
              <w:t>Upravičeni stroški</w:t>
            </w:r>
          </w:p>
        </w:tc>
        <w:tc>
          <w:tcPr>
            <w:tcW w:w="7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35" w14:textId="77777777" w:rsidR="00E03711" w:rsidRPr="00F769E0" w:rsidRDefault="00E03711" w:rsidP="004A5D6B">
            <w:pPr>
              <w:pStyle w:val="Guide-Table"/>
              <w:spacing w:before="20" w:after="20"/>
              <w:rPr>
                <w:rFonts w:cs="Tahoma"/>
                <w:b/>
                <w:lang w:val="sl-SI" w:eastAsia="en-GB"/>
              </w:rPr>
            </w:pPr>
            <w:r w:rsidRPr="00F769E0">
              <w:rPr>
                <w:rFonts w:cs="Tahoma"/>
                <w:b/>
                <w:lang w:val="sl-SI" w:eastAsia="en-GB"/>
              </w:rPr>
              <w:t>Mehanizem financiranja</w:t>
            </w:r>
          </w:p>
        </w:tc>
        <w:tc>
          <w:tcPr>
            <w:tcW w:w="1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36" w14:textId="77777777" w:rsidR="00E03711" w:rsidRPr="00F769E0" w:rsidRDefault="00E03711" w:rsidP="004A5D6B">
            <w:pPr>
              <w:pStyle w:val="Guide-Table"/>
              <w:spacing w:before="20" w:after="20"/>
              <w:rPr>
                <w:rFonts w:cs="Tahoma"/>
                <w:b/>
                <w:lang w:val="sl-SI" w:eastAsia="en-GB"/>
              </w:rPr>
            </w:pPr>
            <w:r w:rsidRPr="00F769E0">
              <w:rPr>
                <w:rFonts w:cs="Tahoma"/>
                <w:b/>
                <w:lang w:val="sl-SI" w:eastAsia="en-GB"/>
              </w:rPr>
              <w:t>Znesek</w:t>
            </w:r>
          </w:p>
        </w:tc>
        <w:tc>
          <w:tcPr>
            <w:tcW w:w="8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37" w14:textId="77777777" w:rsidR="00E03711" w:rsidRPr="00F769E0" w:rsidRDefault="00E03711" w:rsidP="004A5D6B">
            <w:pPr>
              <w:pStyle w:val="Guide-Table"/>
              <w:spacing w:before="20" w:after="20"/>
              <w:rPr>
                <w:rFonts w:cs="Tahoma"/>
                <w:b/>
                <w:lang w:val="sl-SI" w:eastAsia="en-GB"/>
              </w:rPr>
            </w:pPr>
            <w:r w:rsidRPr="00F769E0">
              <w:rPr>
                <w:rFonts w:cs="Tahoma"/>
                <w:b/>
                <w:lang w:val="sl-SI" w:eastAsia="en-GB"/>
              </w:rPr>
              <w:t>Pravilo dodelitve</w:t>
            </w:r>
          </w:p>
        </w:tc>
      </w:tr>
      <w:tr w:rsidR="00E03711" w:rsidRPr="00A6094F" w14:paraId="7D398C3E" w14:textId="77777777" w:rsidTr="00F05D26">
        <w:trPr>
          <w:trHeight w:val="781"/>
        </w:trPr>
        <w:tc>
          <w:tcPr>
            <w:tcW w:w="7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8C39" w14:textId="77777777" w:rsidR="00E03711" w:rsidRPr="00F769E0" w:rsidRDefault="00E03711" w:rsidP="007B6E37">
            <w:pPr>
              <w:pStyle w:val="Guide-Table"/>
              <w:spacing w:before="60" w:after="60"/>
              <w:jc w:val="left"/>
              <w:rPr>
                <w:rFonts w:cs="Tahoma"/>
                <w:b/>
                <w:lang w:val="sl-SI" w:eastAsia="en-GB"/>
              </w:rPr>
            </w:pPr>
            <w:r w:rsidRPr="00F769E0">
              <w:rPr>
                <w:rFonts w:cs="Tahoma"/>
                <w:b/>
                <w:lang w:val="sl-SI" w:eastAsia="en-GB"/>
              </w:rPr>
              <w:t>Pot</w:t>
            </w:r>
          </w:p>
        </w:tc>
        <w:tc>
          <w:tcPr>
            <w:tcW w:w="13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8C3A"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Prispevek za potne stroške udeležencev, vključno s spremljevalci, od njihovega kraja izvora do kraja izvajanja aktivnosti in nazaj.</w:t>
            </w:r>
          </w:p>
        </w:tc>
        <w:tc>
          <w:tcPr>
            <w:tcW w:w="74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8C3B"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3C"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Za razdalje od 10 do 99 km: 20 EUR na udeleženca.</w:t>
            </w:r>
          </w:p>
        </w:tc>
        <w:tc>
          <w:tcPr>
            <w:tcW w:w="84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8C3D" w14:textId="77777777" w:rsidR="00E03711" w:rsidRPr="00F769E0" w:rsidRDefault="00E03711" w:rsidP="000D4E5B">
            <w:pPr>
              <w:pStyle w:val="GUIDE-NORMAL"/>
              <w:spacing w:before="60" w:after="60"/>
              <w:jc w:val="left"/>
              <w:rPr>
                <w:rFonts w:cs="Tahoma"/>
                <w:lang w:val="sl-SI" w:eastAsia="en-GB"/>
              </w:rPr>
            </w:pPr>
            <w:r w:rsidRPr="00F769E0">
              <w:rPr>
                <w:rFonts w:cs="Tahoma"/>
                <w:lang w:val="sl-SI" w:eastAsia="en-GB"/>
              </w:rPr>
              <w:t>Glede na razdaljo poti na udeleženca. Razdaljo je treba izračunati s kalkulatorjem razdalje, ki ga podpira Evropska komisija</w:t>
            </w:r>
            <w:r w:rsidRPr="00F769E0">
              <w:rPr>
                <w:rStyle w:val="FootnoteReference"/>
                <w:rFonts w:cs="Tahoma"/>
                <w:lang w:val="sl-SI" w:eastAsia="en-GB"/>
              </w:rPr>
              <w:footnoteReference w:id="47"/>
            </w:r>
            <w:r w:rsidRPr="00F769E0">
              <w:rPr>
                <w:rFonts w:cs="Tahoma"/>
                <w:lang w:val="sl-SI" w:eastAsia="en-GB"/>
              </w:rPr>
              <w:t>. Prijavitelj mora navesti razdaljo enosmerne poti za izračun zneska nepovratnih sredstev EU za kritje povratne poti</w:t>
            </w:r>
            <w:r w:rsidRPr="00F769E0">
              <w:rPr>
                <w:rStyle w:val="FootnoteReference"/>
                <w:rFonts w:cs="Tahoma"/>
                <w:lang w:val="sl-SI" w:eastAsia="en-GB"/>
              </w:rPr>
              <w:footnoteReference w:id="48"/>
            </w:r>
            <w:r w:rsidRPr="00F769E0">
              <w:rPr>
                <w:rFonts w:cs="Tahoma"/>
                <w:lang w:val="sl-SI" w:eastAsia="en-GB"/>
              </w:rPr>
              <w:t>.</w:t>
            </w:r>
          </w:p>
        </w:tc>
      </w:tr>
      <w:tr w:rsidR="00E03711" w:rsidRPr="00A6094F" w14:paraId="7D398C44" w14:textId="77777777" w:rsidTr="00F05D26">
        <w:trPr>
          <w:trHeight w:val="782"/>
        </w:trPr>
        <w:tc>
          <w:tcPr>
            <w:tcW w:w="770" w:type="pct"/>
            <w:vMerge/>
            <w:tcBorders>
              <w:top w:val="nil"/>
              <w:left w:val="single" w:sz="4" w:space="0" w:color="000000"/>
              <w:bottom w:val="single" w:sz="4" w:space="0" w:color="000000"/>
              <w:right w:val="single" w:sz="4" w:space="0" w:color="000000"/>
            </w:tcBorders>
            <w:shd w:val="clear" w:color="auto" w:fill="auto"/>
            <w:vAlign w:val="center"/>
          </w:tcPr>
          <w:p w14:paraId="7D398C3F" w14:textId="77777777" w:rsidR="00E03711" w:rsidRPr="00F769E0" w:rsidRDefault="00E03711" w:rsidP="004A5D6B">
            <w:pPr>
              <w:pStyle w:val="Guide-Table"/>
              <w:spacing w:before="20" w:after="20"/>
              <w:jc w:val="left"/>
              <w:rPr>
                <w:rFonts w:cs="Tahoma"/>
                <w:b/>
                <w:sz w:val="2"/>
                <w:szCs w:val="2"/>
                <w:lang w:val="sl-SI" w:eastAsia="en-GB"/>
              </w:rPr>
            </w:pPr>
          </w:p>
        </w:tc>
        <w:tc>
          <w:tcPr>
            <w:tcW w:w="1375" w:type="pct"/>
            <w:vMerge/>
            <w:tcBorders>
              <w:top w:val="nil"/>
              <w:left w:val="single" w:sz="4" w:space="0" w:color="000000"/>
              <w:bottom w:val="single" w:sz="4" w:space="0" w:color="000000"/>
              <w:right w:val="single" w:sz="4" w:space="0" w:color="000000"/>
            </w:tcBorders>
            <w:shd w:val="clear" w:color="auto" w:fill="auto"/>
            <w:vAlign w:val="center"/>
          </w:tcPr>
          <w:p w14:paraId="7D398C40" w14:textId="77777777" w:rsidR="00E03711" w:rsidRPr="00F769E0" w:rsidRDefault="00E03711" w:rsidP="004A5D6B">
            <w:pPr>
              <w:pStyle w:val="Guide-Table"/>
              <w:spacing w:before="20" w:after="20"/>
              <w:jc w:val="left"/>
              <w:rPr>
                <w:rFonts w:cs="Tahoma"/>
                <w:sz w:val="2"/>
                <w:szCs w:val="2"/>
                <w:lang w:val="sl-SI" w:eastAsia="en-GB"/>
              </w:rPr>
            </w:pPr>
          </w:p>
        </w:tc>
        <w:tc>
          <w:tcPr>
            <w:tcW w:w="749" w:type="pct"/>
            <w:vMerge/>
            <w:tcBorders>
              <w:top w:val="nil"/>
              <w:left w:val="single" w:sz="4" w:space="0" w:color="000000"/>
              <w:bottom w:val="single" w:sz="4" w:space="0" w:color="000000"/>
              <w:right w:val="single" w:sz="4" w:space="0" w:color="000000"/>
            </w:tcBorders>
            <w:shd w:val="clear" w:color="auto" w:fill="auto"/>
            <w:vAlign w:val="center"/>
          </w:tcPr>
          <w:p w14:paraId="7D398C41" w14:textId="77777777" w:rsidR="00E03711" w:rsidRPr="00F769E0" w:rsidRDefault="00E03711" w:rsidP="004A5D6B">
            <w:pPr>
              <w:pStyle w:val="Guide-Table"/>
              <w:spacing w:before="20" w:after="20"/>
              <w:jc w:val="left"/>
              <w:rPr>
                <w:rFonts w:cs="Tahoma"/>
                <w:sz w:val="2"/>
                <w:szCs w:val="2"/>
                <w:lang w:val="sl-SI" w:eastAsia="en-GB"/>
              </w:rPr>
            </w:pPr>
          </w:p>
        </w:tc>
        <w:tc>
          <w:tcPr>
            <w:tcW w:w="1258" w:type="pct"/>
            <w:tcBorders>
              <w:top w:val="single" w:sz="4" w:space="0" w:color="000000"/>
              <w:left w:val="single" w:sz="4" w:space="0" w:color="000000"/>
              <w:bottom w:val="single" w:sz="4" w:space="0" w:color="000000"/>
              <w:right w:val="single" w:sz="4" w:space="0" w:color="000000"/>
            </w:tcBorders>
            <w:shd w:val="clear" w:color="auto" w:fill="auto"/>
          </w:tcPr>
          <w:p w14:paraId="7D398C42"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 xml:space="preserve">Za razdalje od 100 </w:t>
            </w:r>
            <w:r w:rsidRPr="00F769E0">
              <w:rPr>
                <w:rFonts w:cs="Tahoma"/>
                <w:lang w:val="sl-SI" w:eastAsia="en-GB"/>
              </w:rPr>
              <w:br/>
              <w:t xml:space="preserve">do 499 km: 180 EUR </w:t>
            </w:r>
            <w:r w:rsidRPr="00F769E0">
              <w:rPr>
                <w:rFonts w:cs="Tahoma"/>
                <w:lang w:val="sl-SI" w:eastAsia="en-GB"/>
              </w:rPr>
              <w:br/>
              <w:t>na udeleženca.</w:t>
            </w:r>
          </w:p>
        </w:tc>
        <w:tc>
          <w:tcPr>
            <w:tcW w:w="848" w:type="pct"/>
            <w:vMerge/>
            <w:tcBorders>
              <w:top w:val="nil"/>
              <w:left w:val="single" w:sz="4" w:space="0" w:color="000000"/>
              <w:bottom w:val="single" w:sz="4" w:space="0" w:color="000000"/>
              <w:right w:val="single" w:sz="4" w:space="0" w:color="000000"/>
            </w:tcBorders>
            <w:shd w:val="clear" w:color="auto" w:fill="auto"/>
            <w:vAlign w:val="center"/>
          </w:tcPr>
          <w:p w14:paraId="7D398C43" w14:textId="77777777" w:rsidR="00E03711" w:rsidRPr="00F769E0" w:rsidRDefault="00E03711" w:rsidP="007B6E37">
            <w:pPr>
              <w:pStyle w:val="GUIDE-NORMAL"/>
              <w:jc w:val="left"/>
              <w:rPr>
                <w:rFonts w:cs="Tahoma"/>
                <w:lang w:val="sl-SI" w:eastAsia="en-GB"/>
              </w:rPr>
            </w:pPr>
          </w:p>
        </w:tc>
      </w:tr>
      <w:tr w:rsidR="00E03711" w:rsidRPr="00A6094F" w14:paraId="7D398C4A" w14:textId="77777777" w:rsidTr="00F05D26">
        <w:trPr>
          <w:trHeight w:val="782"/>
        </w:trPr>
        <w:tc>
          <w:tcPr>
            <w:tcW w:w="770" w:type="pct"/>
            <w:vMerge/>
            <w:tcBorders>
              <w:top w:val="nil"/>
              <w:left w:val="single" w:sz="4" w:space="0" w:color="000000"/>
              <w:bottom w:val="single" w:sz="4" w:space="0" w:color="000000"/>
              <w:right w:val="single" w:sz="4" w:space="0" w:color="000000"/>
            </w:tcBorders>
            <w:shd w:val="clear" w:color="auto" w:fill="auto"/>
            <w:vAlign w:val="center"/>
          </w:tcPr>
          <w:p w14:paraId="7D398C45" w14:textId="77777777" w:rsidR="00E03711" w:rsidRPr="00F769E0" w:rsidRDefault="00E03711" w:rsidP="004A5D6B">
            <w:pPr>
              <w:pStyle w:val="Guide-Table"/>
              <w:spacing w:before="20" w:after="20"/>
              <w:jc w:val="left"/>
              <w:rPr>
                <w:rFonts w:cs="Tahoma"/>
                <w:b/>
                <w:sz w:val="2"/>
                <w:szCs w:val="2"/>
                <w:lang w:val="sl-SI" w:eastAsia="en-GB"/>
              </w:rPr>
            </w:pPr>
          </w:p>
        </w:tc>
        <w:tc>
          <w:tcPr>
            <w:tcW w:w="1375" w:type="pct"/>
            <w:vMerge/>
            <w:tcBorders>
              <w:top w:val="nil"/>
              <w:left w:val="single" w:sz="4" w:space="0" w:color="000000"/>
              <w:bottom w:val="single" w:sz="4" w:space="0" w:color="000000"/>
              <w:right w:val="single" w:sz="4" w:space="0" w:color="000000"/>
            </w:tcBorders>
            <w:shd w:val="clear" w:color="auto" w:fill="auto"/>
            <w:vAlign w:val="center"/>
          </w:tcPr>
          <w:p w14:paraId="7D398C46" w14:textId="77777777" w:rsidR="00E03711" w:rsidRPr="00F769E0" w:rsidRDefault="00E03711" w:rsidP="004A5D6B">
            <w:pPr>
              <w:pStyle w:val="Guide-Table"/>
              <w:spacing w:before="20" w:after="20"/>
              <w:jc w:val="left"/>
              <w:rPr>
                <w:rFonts w:cs="Tahoma"/>
                <w:sz w:val="2"/>
                <w:szCs w:val="2"/>
                <w:lang w:val="sl-SI" w:eastAsia="en-GB"/>
              </w:rPr>
            </w:pPr>
          </w:p>
        </w:tc>
        <w:tc>
          <w:tcPr>
            <w:tcW w:w="749" w:type="pct"/>
            <w:vMerge/>
            <w:tcBorders>
              <w:top w:val="nil"/>
              <w:left w:val="single" w:sz="4" w:space="0" w:color="000000"/>
              <w:bottom w:val="single" w:sz="4" w:space="0" w:color="000000"/>
              <w:right w:val="single" w:sz="4" w:space="0" w:color="000000"/>
            </w:tcBorders>
            <w:shd w:val="clear" w:color="auto" w:fill="auto"/>
            <w:vAlign w:val="center"/>
          </w:tcPr>
          <w:p w14:paraId="7D398C47" w14:textId="77777777" w:rsidR="00E03711" w:rsidRPr="00F769E0" w:rsidRDefault="00E03711" w:rsidP="004A5D6B">
            <w:pPr>
              <w:pStyle w:val="Guide-Table"/>
              <w:spacing w:before="20" w:after="20"/>
              <w:jc w:val="left"/>
              <w:rPr>
                <w:rFonts w:cs="Tahoma"/>
                <w:sz w:val="2"/>
                <w:szCs w:val="2"/>
                <w:lang w:val="sl-SI" w:eastAsia="en-GB"/>
              </w:rPr>
            </w:pPr>
          </w:p>
        </w:tc>
        <w:tc>
          <w:tcPr>
            <w:tcW w:w="1258" w:type="pct"/>
            <w:tcBorders>
              <w:top w:val="single" w:sz="4" w:space="0" w:color="000000"/>
              <w:left w:val="single" w:sz="4" w:space="0" w:color="000000"/>
              <w:bottom w:val="single" w:sz="4" w:space="0" w:color="000000"/>
              <w:right w:val="single" w:sz="4" w:space="0" w:color="000000"/>
            </w:tcBorders>
            <w:shd w:val="clear" w:color="auto" w:fill="auto"/>
          </w:tcPr>
          <w:p w14:paraId="7D398C48"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 xml:space="preserve">Za razdalje od 500 </w:t>
            </w:r>
            <w:r w:rsidRPr="00F769E0">
              <w:rPr>
                <w:rFonts w:cs="Tahoma"/>
                <w:lang w:val="sl-SI" w:eastAsia="en-GB"/>
              </w:rPr>
              <w:br/>
              <w:t xml:space="preserve">do 1 999 km: 275 EUR </w:t>
            </w:r>
            <w:r w:rsidRPr="00F769E0">
              <w:rPr>
                <w:rFonts w:cs="Tahoma"/>
                <w:lang w:val="sl-SI" w:eastAsia="en-GB"/>
              </w:rPr>
              <w:br/>
              <w:t>na udeleženca.</w:t>
            </w:r>
          </w:p>
        </w:tc>
        <w:tc>
          <w:tcPr>
            <w:tcW w:w="848" w:type="pct"/>
            <w:vMerge/>
            <w:tcBorders>
              <w:top w:val="nil"/>
              <w:left w:val="single" w:sz="4" w:space="0" w:color="000000"/>
              <w:bottom w:val="single" w:sz="4" w:space="0" w:color="000000"/>
              <w:right w:val="single" w:sz="4" w:space="0" w:color="000000"/>
            </w:tcBorders>
            <w:shd w:val="clear" w:color="auto" w:fill="auto"/>
            <w:vAlign w:val="center"/>
          </w:tcPr>
          <w:p w14:paraId="7D398C49" w14:textId="77777777" w:rsidR="00E03711" w:rsidRPr="00F769E0" w:rsidRDefault="00E03711" w:rsidP="004A5D6B">
            <w:pPr>
              <w:pStyle w:val="Guide-Table"/>
              <w:spacing w:before="20" w:after="20"/>
              <w:jc w:val="left"/>
              <w:rPr>
                <w:rFonts w:cs="Tahoma"/>
                <w:sz w:val="2"/>
                <w:szCs w:val="2"/>
                <w:lang w:val="sl-SI" w:eastAsia="en-GB"/>
              </w:rPr>
            </w:pPr>
          </w:p>
        </w:tc>
      </w:tr>
      <w:tr w:rsidR="00E03711" w:rsidRPr="00A6094F" w14:paraId="7D398C50" w14:textId="77777777" w:rsidTr="00F05D26">
        <w:trPr>
          <w:trHeight w:val="782"/>
        </w:trPr>
        <w:tc>
          <w:tcPr>
            <w:tcW w:w="770" w:type="pct"/>
            <w:vMerge/>
            <w:tcBorders>
              <w:top w:val="nil"/>
              <w:left w:val="single" w:sz="4" w:space="0" w:color="000000"/>
              <w:bottom w:val="single" w:sz="4" w:space="0" w:color="000000"/>
              <w:right w:val="single" w:sz="4" w:space="0" w:color="000000"/>
            </w:tcBorders>
            <w:shd w:val="clear" w:color="auto" w:fill="auto"/>
            <w:vAlign w:val="center"/>
          </w:tcPr>
          <w:p w14:paraId="7D398C4B" w14:textId="77777777" w:rsidR="00E03711" w:rsidRPr="00F769E0" w:rsidRDefault="00E03711" w:rsidP="004A5D6B">
            <w:pPr>
              <w:pStyle w:val="Guide-Table"/>
              <w:spacing w:before="20" w:after="20"/>
              <w:jc w:val="left"/>
              <w:rPr>
                <w:rFonts w:cs="Tahoma"/>
                <w:b/>
                <w:sz w:val="2"/>
                <w:szCs w:val="2"/>
                <w:lang w:val="sl-SI" w:eastAsia="en-GB"/>
              </w:rPr>
            </w:pPr>
          </w:p>
        </w:tc>
        <w:tc>
          <w:tcPr>
            <w:tcW w:w="1375" w:type="pct"/>
            <w:vMerge/>
            <w:tcBorders>
              <w:top w:val="nil"/>
              <w:left w:val="single" w:sz="4" w:space="0" w:color="000000"/>
              <w:bottom w:val="single" w:sz="4" w:space="0" w:color="000000"/>
              <w:right w:val="single" w:sz="4" w:space="0" w:color="000000"/>
            </w:tcBorders>
            <w:shd w:val="clear" w:color="auto" w:fill="auto"/>
            <w:vAlign w:val="center"/>
          </w:tcPr>
          <w:p w14:paraId="7D398C4C" w14:textId="77777777" w:rsidR="00E03711" w:rsidRPr="00F769E0" w:rsidRDefault="00E03711" w:rsidP="004A5D6B">
            <w:pPr>
              <w:pStyle w:val="Guide-Table"/>
              <w:spacing w:before="20" w:after="20"/>
              <w:jc w:val="left"/>
              <w:rPr>
                <w:rFonts w:cs="Tahoma"/>
                <w:sz w:val="2"/>
                <w:szCs w:val="2"/>
                <w:lang w:val="sl-SI" w:eastAsia="en-GB"/>
              </w:rPr>
            </w:pPr>
          </w:p>
        </w:tc>
        <w:tc>
          <w:tcPr>
            <w:tcW w:w="749" w:type="pct"/>
            <w:vMerge/>
            <w:tcBorders>
              <w:top w:val="nil"/>
              <w:left w:val="single" w:sz="4" w:space="0" w:color="000000"/>
              <w:bottom w:val="single" w:sz="4" w:space="0" w:color="000000"/>
              <w:right w:val="single" w:sz="4" w:space="0" w:color="000000"/>
            </w:tcBorders>
            <w:shd w:val="clear" w:color="auto" w:fill="auto"/>
            <w:vAlign w:val="center"/>
          </w:tcPr>
          <w:p w14:paraId="7D398C4D" w14:textId="77777777" w:rsidR="00E03711" w:rsidRPr="00F769E0" w:rsidRDefault="00E03711" w:rsidP="004A5D6B">
            <w:pPr>
              <w:pStyle w:val="Guide-Table"/>
              <w:spacing w:before="20" w:after="20"/>
              <w:jc w:val="left"/>
              <w:rPr>
                <w:rFonts w:cs="Tahoma"/>
                <w:sz w:val="2"/>
                <w:szCs w:val="2"/>
                <w:lang w:val="sl-SI" w:eastAsia="en-GB"/>
              </w:rPr>
            </w:pPr>
          </w:p>
        </w:tc>
        <w:tc>
          <w:tcPr>
            <w:tcW w:w="1258" w:type="pct"/>
            <w:tcBorders>
              <w:top w:val="single" w:sz="4" w:space="0" w:color="000000"/>
              <w:left w:val="single" w:sz="4" w:space="0" w:color="000000"/>
              <w:bottom w:val="single" w:sz="4" w:space="0" w:color="000000"/>
              <w:right w:val="single" w:sz="4" w:space="0" w:color="000000"/>
            </w:tcBorders>
            <w:shd w:val="clear" w:color="auto" w:fill="auto"/>
          </w:tcPr>
          <w:p w14:paraId="7D398C4E"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 xml:space="preserve">Za razdalje od 2 000 </w:t>
            </w:r>
            <w:r w:rsidRPr="00F769E0">
              <w:rPr>
                <w:rFonts w:cs="Tahoma"/>
                <w:lang w:val="sl-SI" w:eastAsia="en-GB"/>
              </w:rPr>
              <w:br/>
              <w:t xml:space="preserve">do 2 999 km: 360 EUR </w:t>
            </w:r>
            <w:r w:rsidRPr="00F769E0">
              <w:rPr>
                <w:rFonts w:cs="Tahoma"/>
                <w:lang w:val="sl-SI" w:eastAsia="en-GB"/>
              </w:rPr>
              <w:br/>
              <w:t>na udeleženca.</w:t>
            </w:r>
          </w:p>
        </w:tc>
        <w:tc>
          <w:tcPr>
            <w:tcW w:w="848" w:type="pct"/>
            <w:vMerge/>
            <w:tcBorders>
              <w:top w:val="nil"/>
              <w:left w:val="single" w:sz="4" w:space="0" w:color="000000"/>
              <w:bottom w:val="single" w:sz="4" w:space="0" w:color="000000"/>
              <w:right w:val="single" w:sz="4" w:space="0" w:color="000000"/>
            </w:tcBorders>
            <w:shd w:val="clear" w:color="auto" w:fill="auto"/>
            <w:vAlign w:val="center"/>
          </w:tcPr>
          <w:p w14:paraId="7D398C4F" w14:textId="77777777" w:rsidR="00E03711" w:rsidRPr="00F769E0" w:rsidRDefault="00E03711" w:rsidP="004A5D6B">
            <w:pPr>
              <w:pStyle w:val="Guide-Table"/>
              <w:spacing w:before="20" w:after="20"/>
              <w:jc w:val="left"/>
              <w:rPr>
                <w:rFonts w:cs="Tahoma"/>
                <w:sz w:val="2"/>
                <w:szCs w:val="2"/>
                <w:lang w:val="sl-SI" w:eastAsia="en-GB"/>
              </w:rPr>
            </w:pPr>
          </w:p>
        </w:tc>
      </w:tr>
      <w:tr w:rsidR="00E03711" w:rsidRPr="00A6094F" w14:paraId="7D398C56" w14:textId="77777777" w:rsidTr="00F05D26">
        <w:trPr>
          <w:trHeight w:val="782"/>
        </w:trPr>
        <w:tc>
          <w:tcPr>
            <w:tcW w:w="770" w:type="pct"/>
            <w:vMerge/>
            <w:tcBorders>
              <w:top w:val="nil"/>
              <w:left w:val="single" w:sz="4" w:space="0" w:color="000000"/>
              <w:bottom w:val="single" w:sz="4" w:space="0" w:color="000000"/>
              <w:right w:val="single" w:sz="4" w:space="0" w:color="000000"/>
            </w:tcBorders>
            <w:shd w:val="clear" w:color="auto" w:fill="auto"/>
            <w:vAlign w:val="center"/>
          </w:tcPr>
          <w:p w14:paraId="7D398C51" w14:textId="77777777" w:rsidR="00E03711" w:rsidRPr="00F769E0" w:rsidRDefault="00E03711" w:rsidP="004A5D6B">
            <w:pPr>
              <w:pStyle w:val="Guide-Table"/>
              <w:spacing w:before="20" w:after="20"/>
              <w:jc w:val="left"/>
              <w:rPr>
                <w:rFonts w:cs="Tahoma"/>
                <w:b/>
                <w:sz w:val="2"/>
                <w:szCs w:val="2"/>
                <w:lang w:val="sl-SI" w:eastAsia="en-GB"/>
              </w:rPr>
            </w:pPr>
          </w:p>
        </w:tc>
        <w:tc>
          <w:tcPr>
            <w:tcW w:w="1375" w:type="pct"/>
            <w:vMerge/>
            <w:tcBorders>
              <w:top w:val="nil"/>
              <w:left w:val="single" w:sz="4" w:space="0" w:color="000000"/>
              <w:bottom w:val="single" w:sz="4" w:space="0" w:color="000000"/>
              <w:right w:val="single" w:sz="4" w:space="0" w:color="000000"/>
            </w:tcBorders>
            <w:shd w:val="clear" w:color="auto" w:fill="auto"/>
            <w:vAlign w:val="center"/>
          </w:tcPr>
          <w:p w14:paraId="7D398C52" w14:textId="77777777" w:rsidR="00E03711" w:rsidRPr="00F769E0" w:rsidRDefault="00E03711" w:rsidP="004A5D6B">
            <w:pPr>
              <w:pStyle w:val="Guide-Table"/>
              <w:spacing w:before="20" w:after="20"/>
              <w:jc w:val="left"/>
              <w:rPr>
                <w:rFonts w:cs="Tahoma"/>
                <w:sz w:val="2"/>
                <w:szCs w:val="2"/>
                <w:lang w:val="sl-SI" w:eastAsia="en-GB"/>
              </w:rPr>
            </w:pPr>
          </w:p>
        </w:tc>
        <w:tc>
          <w:tcPr>
            <w:tcW w:w="749" w:type="pct"/>
            <w:vMerge/>
            <w:tcBorders>
              <w:top w:val="nil"/>
              <w:left w:val="single" w:sz="4" w:space="0" w:color="000000"/>
              <w:bottom w:val="single" w:sz="4" w:space="0" w:color="000000"/>
              <w:right w:val="single" w:sz="4" w:space="0" w:color="000000"/>
            </w:tcBorders>
            <w:shd w:val="clear" w:color="auto" w:fill="auto"/>
            <w:vAlign w:val="center"/>
          </w:tcPr>
          <w:p w14:paraId="7D398C53" w14:textId="77777777" w:rsidR="00E03711" w:rsidRPr="00F769E0" w:rsidRDefault="00E03711" w:rsidP="004A5D6B">
            <w:pPr>
              <w:pStyle w:val="Guide-Table"/>
              <w:spacing w:before="20" w:after="20"/>
              <w:jc w:val="left"/>
              <w:rPr>
                <w:rFonts w:cs="Tahoma"/>
                <w:sz w:val="2"/>
                <w:szCs w:val="2"/>
                <w:lang w:val="sl-SI" w:eastAsia="en-GB"/>
              </w:rPr>
            </w:pPr>
          </w:p>
        </w:tc>
        <w:tc>
          <w:tcPr>
            <w:tcW w:w="1258" w:type="pct"/>
            <w:tcBorders>
              <w:top w:val="single" w:sz="4" w:space="0" w:color="000000"/>
              <w:left w:val="single" w:sz="4" w:space="0" w:color="000000"/>
              <w:bottom w:val="single" w:sz="4" w:space="0" w:color="000000"/>
              <w:right w:val="single" w:sz="4" w:space="0" w:color="000000"/>
            </w:tcBorders>
            <w:shd w:val="clear" w:color="auto" w:fill="auto"/>
          </w:tcPr>
          <w:p w14:paraId="7D398C54"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 xml:space="preserve">Za razdalje od 3 000 </w:t>
            </w:r>
            <w:r w:rsidRPr="00F769E0">
              <w:rPr>
                <w:rFonts w:cs="Tahoma"/>
                <w:lang w:val="sl-SI" w:eastAsia="en-GB"/>
              </w:rPr>
              <w:br/>
              <w:t xml:space="preserve">do 3 999 km: 530 EUR </w:t>
            </w:r>
            <w:r w:rsidRPr="00F769E0">
              <w:rPr>
                <w:rFonts w:cs="Tahoma"/>
                <w:lang w:val="sl-SI" w:eastAsia="en-GB"/>
              </w:rPr>
              <w:br/>
              <w:t>na udeleženca.</w:t>
            </w:r>
          </w:p>
        </w:tc>
        <w:tc>
          <w:tcPr>
            <w:tcW w:w="848" w:type="pct"/>
            <w:vMerge/>
            <w:tcBorders>
              <w:top w:val="nil"/>
              <w:left w:val="single" w:sz="4" w:space="0" w:color="000000"/>
              <w:bottom w:val="single" w:sz="4" w:space="0" w:color="000000"/>
              <w:right w:val="single" w:sz="4" w:space="0" w:color="000000"/>
            </w:tcBorders>
            <w:shd w:val="clear" w:color="auto" w:fill="auto"/>
            <w:vAlign w:val="center"/>
          </w:tcPr>
          <w:p w14:paraId="7D398C55" w14:textId="77777777" w:rsidR="00E03711" w:rsidRPr="00F769E0" w:rsidRDefault="00E03711" w:rsidP="004A5D6B">
            <w:pPr>
              <w:pStyle w:val="Guide-Table"/>
              <w:spacing w:before="20" w:after="20"/>
              <w:jc w:val="left"/>
              <w:rPr>
                <w:rFonts w:cs="Tahoma"/>
                <w:sz w:val="2"/>
                <w:szCs w:val="2"/>
                <w:lang w:val="sl-SI" w:eastAsia="en-GB"/>
              </w:rPr>
            </w:pPr>
          </w:p>
        </w:tc>
      </w:tr>
      <w:tr w:rsidR="00E03711" w:rsidRPr="00A6094F" w14:paraId="7D398C5C" w14:textId="77777777" w:rsidTr="00F05D26">
        <w:trPr>
          <w:trHeight w:val="782"/>
        </w:trPr>
        <w:tc>
          <w:tcPr>
            <w:tcW w:w="770" w:type="pct"/>
            <w:vMerge/>
            <w:tcBorders>
              <w:top w:val="nil"/>
              <w:left w:val="single" w:sz="4" w:space="0" w:color="000000"/>
              <w:bottom w:val="single" w:sz="4" w:space="0" w:color="000000"/>
              <w:right w:val="single" w:sz="4" w:space="0" w:color="000000"/>
            </w:tcBorders>
            <w:shd w:val="clear" w:color="auto" w:fill="auto"/>
            <w:vAlign w:val="center"/>
          </w:tcPr>
          <w:p w14:paraId="7D398C57" w14:textId="77777777" w:rsidR="00E03711" w:rsidRPr="00F769E0" w:rsidRDefault="00E03711" w:rsidP="004A5D6B">
            <w:pPr>
              <w:pStyle w:val="Guide-Table"/>
              <w:spacing w:before="20" w:after="20"/>
              <w:jc w:val="left"/>
              <w:rPr>
                <w:rFonts w:cs="Tahoma"/>
                <w:b/>
                <w:sz w:val="2"/>
                <w:szCs w:val="2"/>
                <w:lang w:val="sl-SI" w:eastAsia="en-GB"/>
              </w:rPr>
            </w:pPr>
          </w:p>
        </w:tc>
        <w:tc>
          <w:tcPr>
            <w:tcW w:w="1375" w:type="pct"/>
            <w:vMerge/>
            <w:tcBorders>
              <w:top w:val="nil"/>
              <w:left w:val="single" w:sz="4" w:space="0" w:color="000000"/>
              <w:bottom w:val="single" w:sz="4" w:space="0" w:color="000000"/>
              <w:right w:val="single" w:sz="4" w:space="0" w:color="000000"/>
            </w:tcBorders>
            <w:shd w:val="clear" w:color="auto" w:fill="auto"/>
            <w:vAlign w:val="center"/>
          </w:tcPr>
          <w:p w14:paraId="7D398C58" w14:textId="77777777" w:rsidR="00E03711" w:rsidRPr="00F769E0" w:rsidRDefault="00E03711" w:rsidP="004A5D6B">
            <w:pPr>
              <w:pStyle w:val="Guide-Table"/>
              <w:spacing w:before="20" w:after="20"/>
              <w:jc w:val="left"/>
              <w:rPr>
                <w:rFonts w:cs="Tahoma"/>
                <w:sz w:val="2"/>
                <w:szCs w:val="2"/>
                <w:lang w:val="sl-SI" w:eastAsia="en-GB"/>
              </w:rPr>
            </w:pPr>
          </w:p>
        </w:tc>
        <w:tc>
          <w:tcPr>
            <w:tcW w:w="749" w:type="pct"/>
            <w:vMerge/>
            <w:tcBorders>
              <w:top w:val="nil"/>
              <w:left w:val="single" w:sz="4" w:space="0" w:color="000000"/>
              <w:bottom w:val="single" w:sz="4" w:space="0" w:color="000000"/>
              <w:right w:val="single" w:sz="4" w:space="0" w:color="000000"/>
            </w:tcBorders>
            <w:shd w:val="clear" w:color="auto" w:fill="auto"/>
            <w:vAlign w:val="center"/>
          </w:tcPr>
          <w:p w14:paraId="7D398C59" w14:textId="77777777" w:rsidR="00E03711" w:rsidRPr="00F769E0" w:rsidRDefault="00E03711" w:rsidP="004A5D6B">
            <w:pPr>
              <w:pStyle w:val="Guide-Table"/>
              <w:spacing w:before="20" w:after="20"/>
              <w:jc w:val="left"/>
              <w:rPr>
                <w:rFonts w:cs="Tahoma"/>
                <w:sz w:val="2"/>
                <w:szCs w:val="2"/>
                <w:lang w:val="sl-SI" w:eastAsia="en-GB"/>
              </w:rPr>
            </w:pPr>
          </w:p>
        </w:tc>
        <w:tc>
          <w:tcPr>
            <w:tcW w:w="1258" w:type="pct"/>
            <w:tcBorders>
              <w:top w:val="single" w:sz="4" w:space="0" w:color="000000"/>
              <w:left w:val="single" w:sz="4" w:space="0" w:color="000000"/>
              <w:bottom w:val="single" w:sz="4" w:space="0" w:color="000000"/>
              <w:right w:val="single" w:sz="4" w:space="0" w:color="000000"/>
            </w:tcBorders>
            <w:shd w:val="clear" w:color="auto" w:fill="auto"/>
          </w:tcPr>
          <w:p w14:paraId="7D398C5A"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 xml:space="preserve">Za razdalje od 4 000 </w:t>
            </w:r>
            <w:r w:rsidRPr="00F769E0">
              <w:rPr>
                <w:rFonts w:cs="Tahoma"/>
                <w:lang w:val="sl-SI" w:eastAsia="en-GB"/>
              </w:rPr>
              <w:br/>
              <w:t xml:space="preserve">do 7 999 km: 820 EUR </w:t>
            </w:r>
            <w:r w:rsidRPr="00F769E0">
              <w:rPr>
                <w:rFonts w:cs="Tahoma"/>
                <w:lang w:val="sl-SI" w:eastAsia="en-GB"/>
              </w:rPr>
              <w:br/>
              <w:t>na udeleženca.</w:t>
            </w:r>
          </w:p>
        </w:tc>
        <w:tc>
          <w:tcPr>
            <w:tcW w:w="848" w:type="pct"/>
            <w:vMerge/>
            <w:tcBorders>
              <w:top w:val="nil"/>
              <w:left w:val="single" w:sz="4" w:space="0" w:color="000000"/>
              <w:bottom w:val="single" w:sz="4" w:space="0" w:color="000000"/>
              <w:right w:val="single" w:sz="4" w:space="0" w:color="000000"/>
            </w:tcBorders>
            <w:shd w:val="clear" w:color="auto" w:fill="auto"/>
            <w:vAlign w:val="center"/>
          </w:tcPr>
          <w:p w14:paraId="7D398C5B" w14:textId="77777777" w:rsidR="00E03711" w:rsidRPr="00F769E0" w:rsidRDefault="00E03711" w:rsidP="004A5D6B">
            <w:pPr>
              <w:pStyle w:val="Guide-Table"/>
              <w:spacing w:before="20" w:after="20"/>
              <w:jc w:val="left"/>
              <w:rPr>
                <w:rFonts w:cs="Tahoma"/>
                <w:sz w:val="2"/>
                <w:szCs w:val="2"/>
                <w:lang w:val="sl-SI" w:eastAsia="en-GB"/>
              </w:rPr>
            </w:pPr>
          </w:p>
        </w:tc>
      </w:tr>
      <w:tr w:rsidR="00E03711" w:rsidRPr="00A6094F" w14:paraId="7D398C62" w14:textId="77777777" w:rsidTr="00F05D26">
        <w:trPr>
          <w:trHeight w:val="782"/>
        </w:trPr>
        <w:tc>
          <w:tcPr>
            <w:tcW w:w="770" w:type="pct"/>
            <w:vMerge/>
            <w:tcBorders>
              <w:top w:val="nil"/>
              <w:left w:val="single" w:sz="4" w:space="0" w:color="000000"/>
              <w:bottom w:val="single" w:sz="4" w:space="0" w:color="000000"/>
              <w:right w:val="single" w:sz="4" w:space="0" w:color="000000"/>
            </w:tcBorders>
            <w:shd w:val="clear" w:color="auto" w:fill="auto"/>
            <w:vAlign w:val="center"/>
          </w:tcPr>
          <w:p w14:paraId="7D398C5D" w14:textId="77777777" w:rsidR="00E03711" w:rsidRPr="00F769E0" w:rsidRDefault="00E03711" w:rsidP="004A5D6B">
            <w:pPr>
              <w:pStyle w:val="Guide-Table"/>
              <w:spacing w:before="20" w:after="20"/>
              <w:jc w:val="left"/>
              <w:rPr>
                <w:rFonts w:cs="Tahoma"/>
                <w:b/>
                <w:sz w:val="2"/>
                <w:szCs w:val="2"/>
                <w:lang w:val="sl-SI" w:eastAsia="en-GB"/>
              </w:rPr>
            </w:pPr>
          </w:p>
        </w:tc>
        <w:tc>
          <w:tcPr>
            <w:tcW w:w="1375" w:type="pct"/>
            <w:vMerge/>
            <w:tcBorders>
              <w:top w:val="nil"/>
              <w:left w:val="single" w:sz="4" w:space="0" w:color="000000"/>
              <w:bottom w:val="single" w:sz="4" w:space="0" w:color="000000"/>
              <w:right w:val="single" w:sz="4" w:space="0" w:color="000000"/>
            </w:tcBorders>
            <w:shd w:val="clear" w:color="auto" w:fill="auto"/>
            <w:vAlign w:val="center"/>
          </w:tcPr>
          <w:p w14:paraId="7D398C5E" w14:textId="77777777" w:rsidR="00E03711" w:rsidRPr="00F769E0" w:rsidRDefault="00E03711" w:rsidP="004A5D6B">
            <w:pPr>
              <w:pStyle w:val="Guide-Table"/>
              <w:spacing w:before="20" w:after="20"/>
              <w:jc w:val="left"/>
              <w:rPr>
                <w:rFonts w:cs="Tahoma"/>
                <w:sz w:val="2"/>
                <w:szCs w:val="2"/>
                <w:lang w:val="sl-SI" w:eastAsia="en-GB"/>
              </w:rPr>
            </w:pPr>
          </w:p>
        </w:tc>
        <w:tc>
          <w:tcPr>
            <w:tcW w:w="749" w:type="pct"/>
            <w:vMerge/>
            <w:tcBorders>
              <w:top w:val="nil"/>
              <w:left w:val="single" w:sz="4" w:space="0" w:color="000000"/>
              <w:bottom w:val="single" w:sz="4" w:space="0" w:color="000000"/>
              <w:right w:val="single" w:sz="4" w:space="0" w:color="000000"/>
            </w:tcBorders>
            <w:shd w:val="clear" w:color="auto" w:fill="auto"/>
            <w:vAlign w:val="center"/>
          </w:tcPr>
          <w:p w14:paraId="7D398C5F" w14:textId="77777777" w:rsidR="00E03711" w:rsidRPr="00F769E0" w:rsidRDefault="00E03711" w:rsidP="004A5D6B">
            <w:pPr>
              <w:pStyle w:val="Guide-Table"/>
              <w:spacing w:before="20" w:after="20"/>
              <w:jc w:val="left"/>
              <w:rPr>
                <w:rFonts w:cs="Tahoma"/>
                <w:sz w:val="2"/>
                <w:szCs w:val="2"/>
                <w:lang w:val="sl-SI" w:eastAsia="en-GB"/>
              </w:rPr>
            </w:pPr>
          </w:p>
        </w:tc>
        <w:tc>
          <w:tcPr>
            <w:tcW w:w="1258" w:type="pct"/>
            <w:tcBorders>
              <w:top w:val="single" w:sz="4" w:space="0" w:color="000000"/>
              <w:left w:val="single" w:sz="4" w:space="0" w:color="000000"/>
              <w:bottom w:val="single" w:sz="4" w:space="0" w:color="000000"/>
              <w:right w:val="single" w:sz="4" w:space="0" w:color="000000"/>
            </w:tcBorders>
            <w:shd w:val="clear" w:color="auto" w:fill="auto"/>
          </w:tcPr>
          <w:p w14:paraId="7D398C60" w14:textId="77777777" w:rsidR="00E03711" w:rsidRPr="00F769E0" w:rsidRDefault="00E03711" w:rsidP="007B6E37">
            <w:pPr>
              <w:pStyle w:val="GUIDE-NORMAL"/>
              <w:spacing w:before="60" w:after="60"/>
              <w:rPr>
                <w:rFonts w:cs="Tahoma"/>
                <w:lang w:val="sl-SI" w:eastAsia="en-GB"/>
              </w:rPr>
            </w:pPr>
            <w:r w:rsidRPr="00F769E0">
              <w:rPr>
                <w:rFonts w:cs="Tahoma"/>
                <w:lang w:val="sl-SI" w:eastAsia="en-GB"/>
              </w:rPr>
              <w:t>Za razdalje 8 000 km ali več: 1500 EUR na udeleženca.</w:t>
            </w:r>
          </w:p>
        </w:tc>
        <w:tc>
          <w:tcPr>
            <w:tcW w:w="848" w:type="pct"/>
            <w:vMerge/>
            <w:tcBorders>
              <w:top w:val="nil"/>
              <w:left w:val="single" w:sz="4" w:space="0" w:color="000000"/>
              <w:bottom w:val="single" w:sz="4" w:space="0" w:color="000000"/>
              <w:right w:val="single" w:sz="4" w:space="0" w:color="000000"/>
            </w:tcBorders>
            <w:shd w:val="clear" w:color="auto" w:fill="auto"/>
            <w:vAlign w:val="center"/>
          </w:tcPr>
          <w:p w14:paraId="7D398C61" w14:textId="77777777" w:rsidR="00E03711" w:rsidRPr="00F769E0" w:rsidRDefault="00E03711" w:rsidP="004A5D6B">
            <w:pPr>
              <w:pStyle w:val="Guide-Table"/>
              <w:spacing w:before="20" w:after="20"/>
              <w:jc w:val="left"/>
              <w:rPr>
                <w:rFonts w:cs="Tahoma"/>
                <w:sz w:val="2"/>
                <w:szCs w:val="2"/>
                <w:lang w:val="sl-SI" w:eastAsia="en-GB"/>
              </w:rPr>
            </w:pPr>
          </w:p>
        </w:tc>
      </w:tr>
      <w:tr w:rsidR="00E03711" w:rsidRPr="008C6F8C" w14:paraId="7D398C6A" w14:textId="77777777" w:rsidTr="00F05D26">
        <w:trPr>
          <w:trHeight w:val="20"/>
        </w:trPr>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63" w14:textId="77777777" w:rsidR="00E03711" w:rsidRPr="00F769E0" w:rsidRDefault="00E03711" w:rsidP="007B6E37">
            <w:pPr>
              <w:pStyle w:val="Guide-Table"/>
              <w:spacing w:before="60" w:after="60"/>
              <w:jc w:val="left"/>
              <w:rPr>
                <w:rFonts w:cs="Tahoma"/>
                <w:b/>
                <w:lang w:val="sl-SI" w:eastAsia="en-GB"/>
              </w:rPr>
            </w:pPr>
            <w:r w:rsidRPr="00F769E0">
              <w:rPr>
                <w:rFonts w:cs="Tahoma"/>
                <w:b/>
                <w:lang w:val="sl-SI" w:eastAsia="en-GB"/>
              </w:rPr>
              <w:t>Organizacijska podpora</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64"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 xml:space="preserve">Stroški, neposredno povezani </w:t>
            </w:r>
            <w:r w:rsidRPr="00F769E0">
              <w:rPr>
                <w:rFonts w:cs="Tahoma"/>
                <w:lang w:val="sl-SI" w:eastAsia="en-GB"/>
              </w:rPr>
              <w:br/>
              <w:t>z izvajanjem mobilnosti (razen stroški bivanja za udeležence), vključno s pripravo (pedagoško, medkulturno, jezikovno), spremljanjem udeležencev in podporo zanje v času mobilnosti, potrjevanjem učnih izidov in aktivnostmi razširjanja.</w:t>
            </w:r>
          </w:p>
        </w:tc>
        <w:tc>
          <w:tcPr>
            <w:tcW w:w="7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65"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Prispevek za stroške na enoto</w:t>
            </w:r>
          </w:p>
        </w:tc>
        <w:tc>
          <w:tcPr>
            <w:tcW w:w="1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66"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 xml:space="preserve">Do 100. udeleženca: </w:t>
            </w:r>
            <w:r w:rsidRPr="00F769E0">
              <w:rPr>
                <w:rFonts w:cs="Tahoma"/>
                <w:lang w:val="sl-SI" w:eastAsia="en-GB"/>
              </w:rPr>
              <w:br/>
              <w:t>350 EUR na udeleženca.</w:t>
            </w:r>
          </w:p>
          <w:p w14:paraId="7D398C67"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w:t>
            </w:r>
          </w:p>
          <w:p w14:paraId="7D398C68"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 xml:space="preserve">po 100. udeležencu: </w:t>
            </w:r>
            <w:r w:rsidRPr="00F769E0">
              <w:rPr>
                <w:rFonts w:cs="Tahoma"/>
                <w:lang w:val="sl-SI" w:eastAsia="en-GB"/>
              </w:rPr>
              <w:br/>
              <w:t>200 EUR na dodatnega udeleženca.</w:t>
            </w:r>
          </w:p>
        </w:tc>
        <w:tc>
          <w:tcPr>
            <w:tcW w:w="8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69"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Glede na število udeležencev.</w:t>
            </w:r>
          </w:p>
        </w:tc>
      </w:tr>
      <w:tr w:rsidR="00E03711" w:rsidRPr="00A6094F" w14:paraId="7D398C72" w14:textId="77777777" w:rsidTr="00F05D26">
        <w:trPr>
          <w:trHeight w:val="2348"/>
        </w:trPr>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6B" w14:textId="77777777" w:rsidR="00E03711" w:rsidRPr="00F769E0" w:rsidRDefault="00E03711" w:rsidP="007B6E37">
            <w:pPr>
              <w:pStyle w:val="Guide-Table"/>
              <w:spacing w:before="60" w:after="60"/>
              <w:jc w:val="left"/>
              <w:rPr>
                <w:rFonts w:cs="Tahoma"/>
                <w:b/>
                <w:lang w:val="sl-SI" w:eastAsia="en-GB"/>
              </w:rPr>
            </w:pPr>
            <w:r w:rsidRPr="00F769E0">
              <w:rPr>
                <w:rFonts w:cs="Tahoma"/>
                <w:b/>
                <w:lang w:val="sl-SI" w:eastAsia="en-GB"/>
              </w:rPr>
              <w:t>Individualna podpora</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6C"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 xml:space="preserve">Stroški, neposredno povezani </w:t>
            </w:r>
            <w:r w:rsidRPr="00F769E0">
              <w:rPr>
                <w:rFonts w:cs="Tahoma"/>
                <w:lang w:val="sl-SI" w:eastAsia="en-GB"/>
              </w:rPr>
              <w:br/>
              <w:t>z bivanjem udeležencev, vključno s spremljevalci, med aktivnostjo.</w:t>
            </w:r>
          </w:p>
        </w:tc>
        <w:tc>
          <w:tcPr>
            <w:tcW w:w="7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6D"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Prispevek za stroške na enoto</w:t>
            </w:r>
          </w:p>
        </w:tc>
        <w:tc>
          <w:tcPr>
            <w:tcW w:w="1258" w:type="pct"/>
            <w:tcBorders>
              <w:top w:val="single" w:sz="4" w:space="0" w:color="000000"/>
              <w:left w:val="single" w:sz="4" w:space="0" w:color="000000"/>
              <w:right w:val="single" w:sz="4" w:space="0" w:color="000000"/>
            </w:tcBorders>
            <w:shd w:val="clear" w:color="auto" w:fill="auto"/>
            <w:vAlign w:val="center"/>
          </w:tcPr>
          <w:p w14:paraId="7D398C6E" w14:textId="77777777" w:rsidR="00E03711" w:rsidRPr="00F769E0" w:rsidRDefault="00E03711" w:rsidP="003373DC">
            <w:pPr>
              <w:pStyle w:val="Guide-Table"/>
              <w:jc w:val="left"/>
              <w:rPr>
                <w:rFonts w:cs="Tahoma"/>
                <w:lang w:val="sl-SI" w:eastAsia="en-GB"/>
              </w:rPr>
            </w:pPr>
            <w:r w:rsidRPr="00F769E0">
              <w:rPr>
                <w:rFonts w:cs="Tahoma"/>
                <w:lang w:val="sl-SI" w:eastAsia="en-GB"/>
              </w:rPr>
              <w:t xml:space="preserve">do 14. dneva aktivnosti: </w:t>
            </w:r>
            <w:r w:rsidRPr="00237696">
              <w:rPr>
                <w:rStyle w:val="Guide-tableChar"/>
                <w:lang w:val="sl-SI"/>
              </w:rPr>
              <w:t>A3.1</w:t>
            </w:r>
            <w:r w:rsidRPr="00F769E0">
              <w:rPr>
                <w:rFonts w:cs="Tahoma"/>
                <w:lang w:val="sl-SI" w:eastAsia="en-GB"/>
              </w:rPr>
              <w:t xml:space="preserve"> na dan na udeleženca</w:t>
            </w:r>
          </w:p>
          <w:p w14:paraId="7D398C6F" w14:textId="77777777" w:rsidR="00E03711" w:rsidRPr="00F769E0" w:rsidRDefault="00E03711" w:rsidP="003373DC">
            <w:pPr>
              <w:pStyle w:val="GUIDE-NORMAL"/>
              <w:spacing w:before="60" w:after="60"/>
              <w:jc w:val="left"/>
              <w:rPr>
                <w:rFonts w:cs="Tahoma"/>
                <w:lang w:val="sl-SI" w:eastAsia="en-GB"/>
              </w:rPr>
            </w:pPr>
            <w:r w:rsidRPr="00F769E0">
              <w:rPr>
                <w:rFonts w:cs="Tahoma"/>
                <w:lang w:val="sl-SI" w:eastAsia="en-GB"/>
              </w:rPr>
              <w:t>+</w:t>
            </w:r>
          </w:p>
          <w:p w14:paraId="7D398C70" w14:textId="77777777" w:rsidR="00E03711" w:rsidRPr="00F769E0" w:rsidRDefault="00E03711" w:rsidP="003373DC">
            <w:pPr>
              <w:pStyle w:val="GUIDE-NORMAL"/>
              <w:spacing w:before="60" w:after="60"/>
              <w:jc w:val="left"/>
              <w:rPr>
                <w:rFonts w:cs="Tahoma"/>
                <w:lang w:val="sl-SI" w:eastAsia="en-GB"/>
              </w:rPr>
            </w:pPr>
            <w:r w:rsidRPr="00F769E0">
              <w:rPr>
                <w:rFonts w:cs="Tahoma"/>
                <w:lang w:val="sl-SI" w:eastAsia="en-GB"/>
              </w:rPr>
              <w:t xml:space="preserve">od 15. do 60. dneva aktivnosti: 70 % A3.1 </w:t>
            </w:r>
            <w:r w:rsidRPr="00F769E0">
              <w:rPr>
                <w:rFonts w:cs="Tahoma"/>
                <w:lang w:val="sl-SI" w:eastAsia="en-GB"/>
              </w:rPr>
              <w:br/>
              <w:t>na dan na udeleženca.</w:t>
            </w:r>
          </w:p>
        </w:tc>
        <w:tc>
          <w:tcPr>
            <w:tcW w:w="8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71"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 xml:space="preserve">Glede na trajanje bivanja na udeleženca (po potrebi vključno </w:t>
            </w:r>
            <w:r w:rsidRPr="00F769E0">
              <w:rPr>
                <w:rFonts w:cs="Tahoma"/>
                <w:lang w:val="sl-SI" w:eastAsia="en-GB"/>
              </w:rPr>
              <w:br/>
              <w:t xml:space="preserve">z enim dnem poti pred aktivnostjo in enim dnem poti po aktivnosti). </w:t>
            </w:r>
          </w:p>
        </w:tc>
      </w:tr>
      <w:tr w:rsidR="00E03711" w:rsidRPr="00A6094F" w14:paraId="7D398C79" w14:textId="77777777" w:rsidTr="00F05D26">
        <w:trPr>
          <w:trHeight w:val="20"/>
        </w:trPr>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73" w14:textId="77777777" w:rsidR="00E03711" w:rsidRPr="00F769E0" w:rsidRDefault="00E03711" w:rsidP="007B6E37">
            <w:pPr>
              <w:pStyle w:val="GUIDE-NORMAL"/>
              <w:spacing w:before="60" w:after="60"/>
              <w:rPr>
                <w:rFonts w:cs="Tahoma"/>
                <w:b/>
                <w:lang w:val="sl-SI" w:eastAsia="en-GB"/>
              </w:rPr>
            </w:pPr>
            <w:r w:rsidRPr="00F769E0">
              <w:rPr>
                <w:rFonts w:cs="Tahoma"/>
                <w:b/>
                <w:lang w:val="sl-SI" w:eastAsia="en-GB"/>
              </w:rPr>
              <w:t>Kotizacije</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74"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 xml:space="preserve">Stroški, neposredno povezani </w:t>
            </w:r>
            <w:r w:rsidRPr="00F769E0">
              <w:rPr>
                <w:rFonts w:cs="Tahoma"/>
                <w:lang w:val="sl-SI" w:eastAsia="en-GB"/>
              </w:rPr>
              <w:br/>
              <w:t xml:space="preserve">s plačilom kotizacije za vpis </w:t>
            </w:r>
            <w:r w:rsidRPr="00F769E0">
              <w:rPr>
                <w:rFonts w:cs="Tahoma"/>
                <w:lang w:val="sl-SI" w:eastAsia="en-GB"/>
              </w:rPr>
              <w:br/>
              <w:t>v tečaje.</w:t>
            </w:r>
          </w:p>
        </w:tc>
        <w:tc>
          <w:tcPr>
            <w:tcW w:w="7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75"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Prispevek za stroške na enoto</w:t>
            </w:r>
          </w:p>
        </w:tc>
        <w:tc>
          <w:tcPr>
            <w:tcW w:w="1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76"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70 EUR na udeleženca na dan;</w:t>
            </w:r>
          </w:p>
          <w:p w14:paraId="7D398C77"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največ 700 EUR na udeleženca v projektu mobilnosti.</w:t>
            </w:r>
          </w:p>
        </w:tc>
        <w:tc>
          <w:tcPr>
            <w:tcW w:w="84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8C78"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Pogoj: zahtevek za finančno podporo za kritje kotizacij, podpore udeležencem s posebnimi potrebami in izrednih stroškov mora biti utemeljen v prijavnem obrazcu.</w:t>
            </w:r>
          </w:p>
        </w:tc>
      </w:tr>
      <w:tr w:rsidR="00E03711" w:rsidRPr="008C6F8C" w14:paraId="7D398C7F" w14:textId="77777777" w:rsidTr="00F05D26">
        <w:trPr>
          <w:trHeight w:val="20"/>
        </w:trPr>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7A" w14:textId="77777777" w:rsidR="00E03711" w:rsidRPr="00F769E0" w:rsidRDefault="00E03711" w:rsidP="007B6E37">
            <w:pPr>
              <w:pStyle w:val="Guide-Table"/>
              <w:spacing w:before="60" w:after="60"/>
              <w:jc w:val="left"/>
              <w:rPr>
                <w:rFonts w:cs="Tahoma"/>
                <w:b/>
                <w:lang w:val="sl-SI" w:eastAsia="en-GB"/>
              </w:rPr>
            </w:pPr>
            <w:r w:rsidRPr="00F769E0">
              <w:rPr>
                <w:rFonts w:cs="Tahoma"/>
                <w:b/>
                <w:lang w:val="sl-SI" w:eastAsia="en-GB"/>
              </w:rPr>
              <w:t>Podpora za posebne potrebe</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7B"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Dodatni stroški, neposredno povezani z invalidnimi udeleženci in spremljevalci (vključno s stroški poti in bivanja, če so utemeljeni in če nepovratna sredstva za te udeležence niso zahtevana prek proračunskih kategorij „Pot“ in „Individualna podpora“).</w:t>
            </w:r>
          </w:p>
        </w:tc>
        <w:tc>
          <w:tcPr>
            <w:tcW w:w="7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7C"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Dejanski stroški</w:t>
            </w:r>
          </w:p>
        </w:tc>
        <w:tc>
          <w:tcPr>
            <w:tcW w:w="1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7D"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100 % upravičenih stroškov.</w:t>
            </w:r>
          </w:p>
        </w:tc>
        <w:tc>
          <w:tcPr>
            <w:tcW w:w="848" w:type="pct"/>
            <w:vMerge/>
            <w:tcBorders>
              <w:top w:val="nil"/>
              <w:left w:val="single" w:sz="4" w:space="0" w:color="000000"/>
              <w:bottom w:val="single" w:sz="4" w:space="0" w:color="000000"/>
              <w:right w:val="single" w:sz="4" w:space="0" w:color="000000"/>
            </w:tcBorders>
            <w:shd w:val="clear" w:color="auto" w:fill="auto"/>
            <w:vAlign w:val="center"/>
          </w:tcPr>
          <w:p w14:paraId="7D398C7E" w14:textId="77777777" w:rsidR="00E03711" w:rsidRPr="00F769E0" w:rsidRDefault="00E03711" w:rsidP="007B6E37">
            <w:pPr>
              <w:pStyle w:val="Guide-Table"/>
              <w:spacing w:before="60" w:after="60"/>
              <w:jc w:val="left"/>
              <w:rPr>
                <w:rFonts w:cs="Tahoma"/>
                <w:sz w:val="2"/>
                <w:szCs w:val="2"/>
                <w:lang w:val="sl-SI" w:eastAsia="en-GB"/>
              </w:rPr>
            </w:pPr>
          </w:p>
        </w:tc>
      </w:tr>
      <w:tr w:rsidR="00E03711" w:rsidRPr="00A6094F" w14:paraId="7D398C87" w14:textId="77777777" w:rsidTr="00F05D26">
        <w:trPr>
          <w:trHeight w:val="20"/>
        </w:trPr>
        <w:tc>
          <w:tcPr>
            <w:tcW w:w="7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80" w14:textId="77777777" w:rsidR="00E03711" w:rsidRPr="00F769E0" w:rsidRDefault="00E03711" w:rsidP="007B6E37">
            <w:pPr>
              <w:pStyle w:val="Guide-Table"/>
              <w:spacing w:before="60" w:after="60"/>
              <w:jc w:val="left"/>
              <w:rPr>
                <w:rFonts w:cs="Tahoma"/>
                <w:b/>
                <w:lang w:val="sl-SI" w:eastAsia="en-GB"/>
              </w:rPr>
            </w:pPr>
            <w:r w:rsidRPr="00F769E0">
              <w:rPr>
                <w:rFonts w:cs="Tahoma"/>
                <w:b/>
                <w:lang w:val="sl-SI" w:eastAsia="en-GB"/>
              </w:rPr>
              <w:t>Izredni stroški</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81"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Stroški zagotavljanja finančnega jamstva, če ga zahteva nacionalna agencija.</w:t>
            </w:r>
          </w:p>
          <w:p w14:paraId="7D398C82" w14:textId="77777777" w:rsidR="00E03711" w:rsidRPr="00F769E0" w:rsidRDefault="00E03711">
            <w:pPr>
              <w:pStyle w:val="GUIDE-NORMAL"/>
              <w:spacing w:before="60" w:after="60"/>
              <w:jc w:val="left"/>
              <w:rPr>
                <w:rFonts w:cs="Tahoma"/>
                <w:lang w:val="sl-SI" w:eastAsia="en-GB"/>
              </w:rPr>
            </w:pPr>
            <w:r w:rsidRPr="00F769E0">
              <w:rPr>
                <w:rFonts w:cs="Tahoma"/>
                <w:lang w:val="sl-SI" w:eastAsia="en-GB"/>
              </w:rPr>
              <w:t>Dragi potni stroški udeležencev</w:t>
            </w:r>
            <w:r>
              <w:rPr>
                <w:rFonts w:cs="Tahoma"/>
                <w:lang w:val="sl-SI" w:eastAsia="en-GB"/>
              </w:rPr>
              <w:t>, vključno z uporabo čistejših prevoznih sredstev, z manj emisijami ogljika</w:t>
            </w:r>
            <w:r w:rsidRPr="00F769E0">
              <w:rPr>
                <w:rFonts w:cs="Tahoma"/>
                <w:lang w:val="sl-SI" w:eastAsia="en-GB"/>
              </w:rPr>
              <w:t xml:space="preserve"> (za podrobnosti glej poglavje „Kaj je še treba vedeti o tem ukrepu?“).</w:t>
            </w:r>
          </w:p>
        </w:tc>
        <w:tc>
          <w:tcPr>
            <w:tcW w:w="7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83"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Dejanski stroški</w:t>
            </w:r>
          </w:p>
        </w:tc>
        <w:tc>
          <w:tcPr>
            <w:tcW w:w="1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8C84"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75 % upravičenih stroškov.</w:t>
            </w:r>
          </w:p>
          <w:p w14:paraId="7D398C85" w14:textId="77777777" w:rsidR="00E03711" w:rsidRPr="00F769E0" w:rsidRDefault="00E03711" w:rsidP="007B6E37">
            <w:pPr>
              <w:pStyle w:val="GUIDE-NORMAL"/>
              <w:spacing w:before="60" w:after="60"/>
              <w:jc w:val="left"/>
              <w:rPr>
                <w:rFonts w:cs="Tahoma"/>
                <w:lang w:val="sl-SI" w:eastAsia="en-GB"/>
              </w:rPr>
            </w:pPr>
            <w:r w:rsidRPr="00F769E0">
              <w:rPr>
                <w:rFonts w:cs="Tahoma"/>
                <w:lang w:val="sl-SI" w:eastAsia="en-GB"/>
              </w:rPr>
              <w:t>Dragi potni stroški: do največ 80 % upravičenih stroškov</w:t>
            </w:r>
          </w:p>
        </w:tc>
        <w:tc>
          <w:tcPr>
            <w:tcW w:w="848" w:type="pct"/>
            <w:vMerge/>
            <w:tcBorders>
              <w:top w:val="nil"/>
              <w:left w:val="single" w:sz="4" w:space="0" w:color="000000"/>
              <w:bottom w:val="single" w:sz="4" w:space="0" w:color="000000"/>
              <w:right w:val="single" w:sz="4" w:space="0" w:color="000000"/>
            </w:tcBorders>
            <w:shd w:val="clear" w:color="auto" w:fill="auto"/>
            <w:vAlign w:val="center"/>
          </w:tcPr>
          <w:p w14:paraId="7D398C86" w14:textId="77777777" w:rsidR="00E03711" w:rsidRPr="00F769E0" w:rsidRDefault="00E03711" w:rsidP="007B6E37">
            <w:pPr>
              <w:pStyle w:val="Guide-Table"/>
              <w:spacing w:before="60" w:after="60"/>
              <w:jc w:val="left"/>
              <w:rPr>
                <w:rFonts w:cs="Tahoma"/>
                <w:sz w:val="2"/>
                <w:szCs w:val="2"/>
                <w:lang w:val="sl-SI" w:eastAsia="en-GB"/>
              </w:rPr>
            </w:pPr>
          </w:p>
        </w:tc>
      </w:tr>
    </w:tbl>
    <w:p w14:paraId="7D398C88" w14:textId="77777777" w:rsidR="00E03711" w:rsidRPr="001048FE" w:rsidRDefault="00E03711" w:rsidP="007B6E37">
      <w:pPr>
        <w:pStyle w:val="GUIDE-NORMAL"/>
        <w:rPr>
          <w:b/>
          <w:lang w:val="sl-SI"/>
        </w:rPr>
        <w:sectPr w:rsidR="00E03711" w:rsidRPr="001048FE" w:rsidSect="00F05D26">
          <w:endnotePr>
            <w:numFmt w:val="decimal"/>
          </w:endnotePr>
          <w:pgSz w:w="16840" w:h="11910" w:orient="landscape" w:code="9"/>
          <w:pgMar w:top="1418" w:right="1134" w:bottom="1418" w:left="1134" w:header="283" w:footer="567" w:gutter="0"/>
          <w:cols w:space="720"/>
          <w:docGrid w:linePitch="326"/>
        </w:sectPr>
      </w:pPr>
    </w:p>
    <w:p w14:paraId="7D398C89" w14:textId="77777777" w:rsidR="00E03711" w:rsidRPr="001048FE" w:rsidRDefault="00E03711" w:rsidP="002B5605">
      <w:pPr>
        <w:pStyle w:val="GUIDE-NORMAL"/>
        <w:rPr>
          <w:b/>
          <w:lang w:val="sl-SI"/>
        </w:rPr>
      </w:pPr>
      <w:bookmarkStart w:id="173" w:name="Projets_de_mobilité_pour_le_personnel_de"/>
      <w:bookmarkStart w:id="174" w:name="_bookmark35"/>
      <w:bookmarkEnd w:id="173"/>
      <w:bookmarkEnd w:id="174"/>
      <w:r w:rsidRPr="001048FE">
        <w:rPr>
          <w:b/>
          <w:lang w:val="sl-SI"/>
        </w:rPr>
        <w:t>Preglednica 1 – Individualna podpora (zneski v EUR na dan)</w:t>
      </w:r>
    </w:p>
    <w:p w14:paraId="7D398C8A" w14:textId="77777777" w:rsidR="00E03711" w:rsidRPr="001048FE" w:rsidRDefault="00E03711" w:rsidP="002B5605">
      <w:pPr>
        <w:pStyle w:val="GUIDE-NORMAL"/>
        <w:rPr>
          <w:rStyle w:val="Guide-Condensed-01"/>
          <w:spacing w:val="0"/>
          <w:lang w:val="sl-SI"/>
        </w:rPr>
      </w:pPr>
      <w:r w:rsidRPr="001048FE">
        <w:rPr>
          <w:lang w:val="sl-SI"/>
        </w:rPr>
        <w:t>Zneski so odvisni od države, kjer se izvaja aktivnost. Vsaka nacionalna agencija bo opredelila – na podlagi nepristranskih in preglednih meril – zneske, ki se dodelijo projektom, prijavljenim v njihovi državi. Ti zneski bodo opredeljeni v okviru najmanjših in največjih vrednosti, ki so navedene v spodnji preglednici. Točni zneski bodo objavljeni na spletiščih posameznih nacionalnih agencij.</w:t>
      </w:r>
    </w:p>
    <w:tbl>
      <w:tblPr>
        <w:tblW w:w="5000" w:type="pct"/>
        <w:jc w:val="center"/>
        <w:tblLook w:val="0000" w:firstRow="0" w:lastRow="0" w:firstColumn="0" w:lastColumn="0" w:noHBand="0" w:noVBand="0"/>
      </w:tblPr>
      <w:tblGrid>
        <w:gridCol w:w="6971"/>
        <w:gridCol w:w="2319"/>
      </w:tblGrid>
      <w:tr w:rsidR="00E03711" w:rsidRPr="008C6F8C" w14:paraId="7D398C8D" w14:textId="77777777" w:rsidTr="00860232">
        <w:trPr>
          <w:cantSplit/>
          <w:trHeight w:val="20"/>
          <w:jc w:val="center"/>
        </w:trPr>
        <w:tc>
          <w:tcPr>
            <w:tcW w:w="3752" w:type="pct"/>
            <w:tcBorders>
              <w:top w:val="single" w:sz="4" w:space="0" w:color="auto"/>
              <w:left w:val="single" w:sz="4" w:space="0" w:color="auto"/>
              <w:bottom w:val="nil"/>
              <w:right w:val="nil"/>
            </w:tcBorders>
            <w:shd w:val="clear" w:color="auto" w:fill="auto"/>
            <w:vAlign w:val="center"/>
          </w:tcPr>
          <w:p w14:paraId="7D398C8B" w14:textId="77777777" w:rsidR="00E03711" w:rsidRPr="00F769E0" w:rsidRDefault="00E03711" w:rsidP="005D6A67">
            <w:pPr>
              <w:pStyle w:val="Guide-Table"/>
              <w:spacing w:before="60" w:after="60"/>
              <w:rPr>
                <w:rFonts w:cs="Tahoma"/>
                <w:lang w:val="sl-SI" w:eastAsia="en-GB"/>
              </w:rPr>
            </w:pPr>
          </w:p>
        </w:tc>
        <w:tc>
          <w:tcPr>
            <w:tcW w:w="1248" w:type="pct"/>
            <w:tcBorders>
              <w:top w:val="single" w:sz="6" w:space="0" w:color="auto"/>
              <w:left w:val="single" w:sz="6" w:space="0" w:color="auto"/>
              <w:bottom w:val="single" w:sz="6" w:space="0" w:color="auto"/>
              <w:right w:val="single" w:sz="6" w:space="0" w:color="auto"/>
            </w:tcBorders>
            <w:shd w:val="clear" w:color="auto" w:fill="auto"/>
            <w:vAlign w:val="center"/>
          </w:tcPr>
          <w:p w14:paraId="7D398C8C" w14:textId="77777777" w:rsidR="00E03711" w:rsidRPr="00F769E0" w:rsidRDefault="00E03711" w:rsidP="005D6A67">
            <w:pPr>
              <w:pStyle w:val="Guide-Table"/>
              <w:spacing w:before="60" w:after="60"/>
              <w:rPr>
                <w:rFonts w:cs="Tahoma"/>
                <w:b/>
                <w:lang w:val="sl-SI" w:eastAsia="en-GB"/>
              </w:rPr>
            </w:pPr>
            <w:r w:rsidRPr="00F769E0">
              <w:rPr>
                <w:rFonts w:cs="Tahoma"/>
                <w:b/>
                <w:bCs/>
                <w:lang w:val="sl-SI" w:eastAsia="en-GB"/>
              </w:rPr>
              <w:t>Mobilnost osebja</w:t>
            </w:r>
          </w:p>
        </w:tc>
      </w:tr>
      <w:tr w:rsidR="00E03711" w:rsidRPr="00A6094F" w14:paraId="7D398C90" w14:textId="77777777" w:rsidTr="00860232">
        <w:trPr>
          <w:cantSplit/>
          <w:trHeight w:val="20"/>
          <w:jc w:val="center"/>
        </w:trPr>
        <w:tc>
          <w:tcPr>
            <w:tcW w:w="3752" w:type="pct"/>
            <w:tcBorders>
              <w:top w:val="nil"/>
              <w:left w:val="single" w:sz="4" w:space="0" w:color="auto"/>
              <w:bottom w:val="nil"/>
              <w:right w:val="nil"/>
            </w:tcBorders>
            <w:shd w:val="clear" w:color="auto" w:fill="auto"/>
            <w:vAlign w:val="center"/>
          </w:tcPr>
          <w:p w14:paraId="7D398C8E" w14:textId="77777777" w:rsidR="00E03711" w:rsidRPr="00F769E0" w:rsidRDefault="00E03711" w:rsidP="005D6A67">
            <w:pPr>
              <w:pStyle w:val="Guide-Table"/>
              <w:spacing w:before="60" w:after="60"/>
              <w:rPr>
                <w:rFonts w:cs="Tahoma"/>
                <w:b/>
                <w:lang w:val="sl-SI" w:eastAsia="en-GB"/>
              </w:rPr>
            </w:pPr>
            <w:r w:rsidRPr="00F769E0">
              <w:rPr>
                <w:rFonts w:cs="Tahoma"/>
                <w:b/>
                <w:lang w:val="sl-SI" w:eastAsia="en-GB"/>
              </w:rPr>
              <w:t>Država gostiteljica</w:t>
            </w:r>
          </w:p>
        </w:tc>
        <w:tc>
          <w:tcPr>
            <w:tcW w:w="1248" w:type="pct"/>
            <w:tcBorders>
              <w:top w:val="single" w:sz="6" w:space="0" w:color="auto"/>
              <w:left w:val="single" w:sz="6" w:space="0" w:color="auto"/>
              <w:bottom w:val="single" w:sz="6" w:space="0" w:color="auto"/>
              <w:right w:val="single" w:sz="6" w:space="0" w:color="auto"/>
            </w:tcBorders>
            <w:shd w:val="clear" w:color="auto" w:fill="auto"/>
            <w:vAlign w:val="center"/>
          </w:tcPr>
          <w:p w14:paraId="7D398C8F" w14:textId="77777777" w:rsidR="00E03711" w:rsidRPr="00F769E0" w:rsidRDefault="00E03711" w:rsidP="005D6A67">
            <w:pPr>
              <w:pStyle w:val="Guide-Table"/>
              <w:spacing w:before="60" w:after="60"/>
              <w:rPr>
                <w:rFonts w:cs="Tahoma"/>
                <w:b/>
                <w:lang w:val="sl-SI" w:eastAsia="en-GB"/>
              </w:rPr>
            </w:pPr>
            <w:r w:rsidRPr="00F769E0">
              <w:rPr>
                <w:rFonts w:cs="Tahoma"/>
                <w:b/>
                <w:lang w:val="sl-SI" w:eastAsia="en-GB"/>
              </w:rPr>
              <w:t xml:space="preserve">Najnižji–najvišji znesek </w:t>
            </w:r>
            <w:r w:rsidRPr="00F769E0">
              <w:rPr>
                <w:rFonts w:cs="Tahoma"/>
                <w:b/>
                <w:lang w:val="sl-SI" w:eastAsia="en-GB"/>
              </w:rPr>
              <w:br/>
              <w:t>(na dan)</w:t>
            </w:r>
          </w:p>
        </w:tc>
      </w:tr>
      <w:tr w:rsidR="00E03711" w:rsidRPr="008C6F8C" w14:paraId="7D398C93" w14:textId="77777777" w:rsidTr="00860232">
        <w:trPr>
          <w:trHeight w:val="20"/>
          <w:jc w:val="center"/>
        </w:trPr>
        <w:tc>
          <w:tcPr>
            <w:tcW w:w="3752" w:type="pct"/>
            <w:tcBorders>
              <w:top w:val="nil"/>
              <w:left w:val="single" w:sz="4" w:space="0" w:color="auto"/>
              <w:bottom w:val="single" w:sz="6" w:space="0" w:color="auto"/>
              <w:right w:val="nil"/>
            </w:tcBorders>
            <w:shd w:val="clear" w:color="auto" w:fill="auto"/>
            <w:vAlign w:val="center"/>
          </w:tcPr>
          <w:p w14:paraId="7D398C91" w14:textId="77777777" w:rsidR="00E03711" w:rsidRPr="00F769E0" w:rsidRDefault="00E03711" w:rsidP="005D6A67">
            <w:pPr>
              <w:pStyle w:val="Guide-Table"/>
              <w:spacing w:before="60" w:after="60"/>
              <w:rPr>
                <w:rFonts w:cs="Tahoma"/>
                <w:lang w:val="sl-SI" w:eastAsia="en-GB"/>
              </w:rPr>
            </w:pPr>
          </w:p>
        </w:tc>
        <w:tc>
          <w:tcPr>
            <w:tcW w:w="1248" w:type="pct"/>
            <w:tcBorders>
              <w:top w:val="single" w:sz="6" w:space="0" w:color="auto"/>
              <w:left w:val="single" w:sz="6" w:space="0" w:color="auto"/>
              <w:bottom w:val="single" w:sz="6" w:space="0" w:color="auto"/>
              <w:right w:val="single" w:sz="6" w:space="0" w:color="auto"/>
            </w:tcBorders>
            <w:shd w:val="clear" w:color="auto" w:fill="auto"/>
            <w:vAlign w:val="center"/>
          </w:tcPr>
          <w:p w14:paraId="7D398C92" w14:textId="77777777" w:rsidR="00E03711" w:rsidRPr="00F769E0" w:rsidRDefault="00E03711" w:rsidP="002B5605">
            <w:pPr>
              <w:pStyle w:val="Guide-Table"/>
              <w:spacing w:before="60" w:after="60"/>
              <w:rPr>
                <w:rFonts w:cs="Tahoma"/>
                <w:b/>
                <w:lang w:val="sl-SI" w:eastAsia="en-GB"/>
              </w:rPr>
            </w:pPr>
            <w:r w:rsidRPr="00F769E0">
              <w:rPr>
                <w:rFonts w:cs="Tahoma"/>
                <w:b/>
                <w:lang w:val="sl-SI" w:eastAsia="en-GB"/>
              </w:rPr>
              <w:t>A3.1</w:t>
            </w:r>
          </w:p>
        </w:tc>
      </w:tr>
      <w:tr w:rsidR="00E03711" w:rsidRPr="008C6F8C" w14:paraId="7D398C97" w14:textId="77777777" w:rsidTr="00860232">
        <w:trPr>
          <w:trHeight w:val="20"/>
          <w:jc w:val="center"/>
        </w:trPr>
        <w:tc>
          <w:tcPr>
            <w:tcW w:w="3752" w:type="pct"/>
            <w:tcBorders>
              <w:top w:val="single" w:sz="4" w:space="0" w:color="auto"/>
              <w:left w:val="single" w:sz="6" w:space="0" w:color="auto"/>
              <w:bottom w:val="single" w:sz="6" w:space="0" w:color="auto"/>
              <w:right w:val="single" w:sz="6" w:space="0" w:color="auto"/>
            </w:tcBorders>
            <w:shd w:val="clear" w:color="auto" w:fill="auto"/>
            <w:vAlign w:val="center"/>
          </w:tcPr>
          <w:p w14:paraId="7D398C94" w14:textId="77777777" w:rsidR="00E03711" w:rsidRDefault="00E03711" w:rsidP="00C12952">
            <w:pPr>
              <w:pStyle w:val="GUIDE-NORMAL"/>
              <w:spacing w:before="60" w:after="60"/>
              <w:jc w:val="center"/>
              <w:rPr>
                <w:rFonts w:cs="Tahoma"/>
                <w:b/>
                <w:lang w:val="sl-SI" w:eastAsia="en-GB"/>
              </w:rPr>
            </w:pPr>
            <w:r>
              <w:rPr>
                <w:rFonts w:cs="Tahoma"/>
                <w:b/>
                <w:lang w:val="sl-SI" w:eastAsia="en-GB"/>
              </w:rPr>
              <w:t>Skupina 1</w:t>
            </w:r>
          </w:p>
          <w:p w14:paraId="7D398C95" w14:textId="77777777" w:rsidR="00E03711" w:rsidRPr="00F769E0" w:rsidRDefault="00E03711" w:rsidP="005D6A67">
            <w:pPr>
              <w:pStyle w:val="GUIDE-NORMAL"/>
              <w:spacing w:before="60" w:after="60"/>
              <w:jc w:val="left"/>
              <w:rPr>
                <w:rFonts w:cs="Tahoma"/>
                <w:b/>
                <w:lang w:val="sl-SI" w:eastAsia="en-GB"/>
              </w:rPr>
            </w:pPr>
            <w:r w:rsidRPr="00F769E0">
              <w:rPr>
                <w:rFonts w:cs="Tahoma"/>
                <w:b/>
                <w:lang w:val="sl-SI" w:eastAsia="en-GB"/>
              </w:rPr>
              <w:t>Norveška, Danska, Luksemburg, Združeno kraljestvo, Islandija, Švedska, Irska, Finska, Lihtenštajn</w:t>
            </w:r>
          </w:p>
        </w:tc>
        <w:tc>
          <w:tcPr>
            <w:tcW w:w="1248" w:type="pct"/>
            <w:tcBorders>
              <w:top w:val="single" w:sz="6" w:space="0" w:color="auto"/>
              <w:left w:val="single" w:sz="6" w:space="0" w:color="auto"/>
              <w:bottom w:val="single" w:sz="6" w:space="0" w:color="auto"/>
              <w:right w:val="single" w:sz="6" w:space="0" w:color="auto"/>
            </w:tcBorders>
            <w:shd w:val="clear" w:color="auto" w:fill="auto"/>
            <w:vAlign w:val="center"/>
          </w:tcPr>
          <w:p w14:paraId="7D398C96" w14:textId="77777777" w:rsidR="00E03711" w:rsidRPr="00F769E0" w:rsidRDefault="00E03711" w:rsidP="005D6A67">
            <w:pPr>
              <w:pStyle w:val="Guide-Table"/>
              <w:spacing w:before="60" w:after="60"/>
              <w:rPr>
                <w:rFonts w:cs="Tahoma"/>
                <w:lang w:val="sl-SI" w:eastAsia="en-GB"/>
              </w:rPr>
            </w:pPr>
            <w:r w:rsidRPr="00F769E0">
              <w:rPr>
                <w:rFonts w:cs="Tahoma"/>
                <w:lang w:val="sl-SI" w:eastAsia="en-GB"/>
              </w:rPr>
              <w:t>80-180</w:t>
            </w:r>
          </w:p>
        </w:tc>
      </w:tr>
      <w:tr w:rsidR="00E03711" w:rsidRPr="008C6F8C" w14:paraId="7D398C9B" w14:textId="77777777" w:rsidTr="00860232">
        <w:trPr>
          <w:trHeight w:val="20"/>
          <w:jc w:val="center"/>
        </w:trPr>
        <w:tc>
          <w:tcPr>
            <w:tcW w:w="3752" w:type="pct"/>
            <w:tcBorders>
              <w:top w:val="single" w:sz="6" w:space="0" w:color="auto"/>
              <w:left w:val="single" w:sz="6" w:space="0" w:color="auto"/>
              <w:bottom w:val="single" w:sz="6" w:space="0" w:color="auto"/>
              <w:right w:val="single" w:sz="6" w:space="0" w:color="auto"/>
            </w:tcBorders>
            <w:shd w:val="clear" w:color="auto" w:fill="auto"/>
            <w:vAlign w:val="center"/>
          </w:tcPr>
          <w:p w14:paraId="7D398C98" w14:textId="77777777" w:rsidR="00E03711" w:rsidRDefault="00E03711" w:rsidP="00176DA7">
            <w:pPr>
              <w:pStyle w:val="GUIDE-NORMAL"/>
              <w:spacing w:before="60" w:after="60"/>
              <w:jc w:val="center"/>
              <w:rPr>
                <w:rFonts w:cs="Tahoma"/>
                <w:b/>
                <w:lang w:val="sl-SI" w:eastAsia="en-GB"/>
              </w:rPr>
            </w:pPr>
            <w:r>
              <w:rPr>
                <w:rFonts w:cs="Tahoma"/>
                <w:b/>
                <w:lang w:val="sl-SI" w:eastAsia="en-GB"/>
              </w:rPr>
              <w:t>Skupina 2</w:t>
            </w:r>
          </w:p>
          <w:p w14:paraId="7D398C99" w14:textId="77777777" w:rsidR="00E03711" w:rsidRPr="00F769E0" w:rsidRDefault="00E03711" w:rsidP="005D6A67">
            <w:pPr>
              <w:pStyle w:val="GUIDE-NORMAL"/>
              <w:spacing w:before="60" w:after="60"/>
              <w:jc w:val="left"/>
              <w:rPr>
                <w:rFonts w:cs="Tahoma"/>
                <w:b/>
                <w:lang w:val="sl-SI" w:eastAsia="en-GB"/>
              </w:rPr>
            </w:pPr>
            <w:r w:rsidRPr="00F769E0">
              <w:rPr>
                <w:rFonts w:cs="Tahoma"/>
                <w:b/>
                <w:lang w:val="sl-SI" w:eastAsia="en-GB"/>
              </w:rPr>
              <w:t>Nizozemska, Avstrija, Belgija, Francija, Nemčija, Italija, Španija, Ciper, Grčija, Malta, Portugalska</w:t>
            </w:r>
          </w:p>
        </w:tc>
        <w:tc>
          <w:tcPr>
            <w:tcW w:w="1248" w:type="pct"/>
            <w:tcBorders>
              <w:top w:val="single" w:sz="6" w:space="0" w:color="auto"/>
              <w:left w:val="single" w:sz="6" w:space="0" w:color="auto"/>
              <w:bottom w:val="single" w:sz="6" w:space="0" w:color="auto"/>
              <w:right w:val="single" w:sz="6" w:space="0" w:color="auto"/>
            </w:tcBorders>
            <w:shd w:val="clear" w:color="auto" w:fill="auto"/>
            <w:vAlign w:val="center"/>
          </w:tcPr>
          <w:p w14:paraId="7D398C9A" w14:textId="77777777" w:rsidR="00E03711" w:rsidRPr="00F769E0" w:rsidRDefault="00E03711" w:rsidP="005D6A67">
            <w:pPr>
              <w:pStyle w:val="Guide-Table"/>
              <w:spacing w:before="60" w:after="60"/>
              <w:rPr>
                <w:rFonts w:cs="Tahoma"/>
                <w:lang w:val="sl-SI" w:eastAsia="en-GB"/>
              </w:rPr>
            </w:pPr>
            <w:r w:rsidRPr="00F769E0">
              <w:rPr>
                <w:rFonts w:cs="Tahoma"/>
                <w:lang w:val="sl-SI" w:eastAsia="en-GB"/>
              </w:rPr>
              <w:t>70-160</w:t>
            </w:r>
          </w:p>
        </w:tc>
      </w:tr>
      <w:tr w:rsidR="00E03711" w:rsidRPr="008C6F8C" w14:paraId="7D398C9F" w14:textId="77777777" w:rsidTr="00860232">
        <w:trPr>
          <w:trHeight w:val="20"/>
          <w:jc w:val="center"/>
        </w:trPr>
        <w:tc>
          <w:tcPr>
            <w:tcW w:w="3752" w:type="pct"/>
            <w:tcBorders>
              <w:top w:val="single" w:sz="6" w:space="0" w:color="auto"/>
              <w:left w:val="single" w:sz="6" w:space="0" w:color="auto"/>
              <w:bottom w:val="single" w:sz="4" w:space="0" w:color="auto"/>
              <w:right w:val="single" w:sz="6" w:space="0" w:color="auto"/>
            </w:tcBorders>
            <w:shd w:val="clear" w:color="auto" w:fill="auto"/>
            <w:vAlign w:val="center"/>
          </w:tcPr>
          <w:p w14:paraId="7D398C9C" w14:textId="77777777" w:rsidR="00E03711" w:rsidRDefault="00E03711" w:rsidP="00176DA7">
            <w:pPr>
              <w:pStyle w:val="GUIDE-NORMAL"/>
              <w:spacing w:before="60" w:after="60"/>
              <w:jc w:val="center"/>
              <w:rPr>
                <w:rFonts w:cs="Tahoma"/>
                <w:b/>
                <w:lang w:val="sl-SI" w:eastAsia="en-GB"/>
              </w:rPr>
            </w:pPr>
            <w:r>
              <w:rPr>
                <w:rFonts w:cs="Tahoma"/>
                <w:b/>
                <w:lang w:val="sl-SI" w:eastAsia="en-GB"/>
              </w:rPr>
              <w:t>Skupina 3</w:t>
            </w:r>
          </w:p>
          <w:p w14:paraId="7D398C9D" w14:textId="77777777" w:rsidR="00E03711" w:rsidRPr="00F769E0" w:rsidRDefault="00E03711">
            <w:pPr>
              <w:pStyle w:val="GUIDE-NORMAL"/>
              <w:spacing w:before="60" w:after="60"/>
              <w:jc w:val="left"/>
              <w:rPr>
                <w:rFonts w:cs="Tahoma"/>
                <w:b/>
                <w:lang w:val="sl-SI" w:eastAsia="en-GB"/>
              </w:rPr>
            </w:pPr>
            <w:r w:rsidRPr="00F769E0">
              <w:rPr>
                <w:rFonts w:cs="Tahoma"/>
                <w:b/>
                <w:lang w:val="sl-SI" w:eastAsia="en-GB"/>
              </w:rPr>
              <w:t xml:space="preserve">Slovenija, Estonija, Latvija, Hrvaška, Slovaška, Češka, Litva, Turčija, Madžarska, Poljska, Romunija, Bolgarija, </w:t>
            </w:r>
            <w:r>
              <w:rPr>
                <w:rFonts w:cs="Tahoma"/>
                <w:b/>
                <w:lang w:val="sl-SI" w:eastAsia="en-GB"/>
              </w:rPr>
              <w:t>R</w:t>
            </w:r>
            <w:r w:rsidRPr="00F769E0">
              <w:rPr>
                <w:rFonts w:cs="Tahoma"/>
                <w:b/>
                <w:lang w:val="sl-SI" w:eastAsia="en-GB"/>
              </w:rPr>
              <w:t xml:space="preserve">epublika </w:t>
            </w:r>
            <w:r>
              <w:rPr>
                <w:rFonts w:cs="Tahoma"/>
                <w:b/>
                <w:lang w:val="sl-SI" w:eastAsia="en-GB"/>
              </w:rPr>
              <w:t xml:space="preserve">Severna </w:t>
            </w:r>
            <w:r w:rsidRPr="00F769E0">
              <w:rPr>
                <w:rFonts w:cs="Tahoma"/>
                <w:b/>
                <w:lang w:val="sl-SI" w:eastAsia="en-GB"/>
              </w:rPr>
              <w:t>Makedonija, Srbija</w:t>
            </w:r>
          </w:p>
        </w:tc>
        <w:tc>
          <w:tcPr>
            <w:tcW w:w="1248" w:type="pct"/>
            <w:tcBorders>
              <w:top w:val="single" w:sz="6" w:space="0" w:color="auto"/>
              <w:left w:val="single" w:sz="6" w:space="0" w:color="auto"/>
              <w:bottom w:val="single" w:sz="4" w:space="0" w:color="auto"/>
              <w:right w:val="single" w:sz="6" w:space="0" w:color="auto"/>
            </w:tcBorders>
            <w:shd w:val="clear" w:color="auto" w:fill="auto"/>
            <w:vAlign w:val="center"/>
          </w:tcPr>
          <w:p w14:paraId="7D398C9E" w14:textId="77777777" w:rsidR="00E03711" w:rsidRPr="00F769E0" w:rsidRDefault="00E03711" w:rsidP="005D6A67">
            <w:pPr>
              <w:pStyle w:val="Guide-Table"/>
              <w:spacing w:before="60" w:after="60"/>
              <w:rPr>
                <w:rFonts w:cs="Tahoma"/>
                <w:lang w:val="sl-SI" w:eastAsia="en-GB"/>
              </w:rPr>
            </w:pPr>
            <w:r w:rsidRPr="00F769E0">
              <w:rPr>
                <w:rFonts w:cs="Tahoma"/>
                <w:lang w:val="sl-SI" w:eastAsia="en-GB"/>
              </w:rPr>
              <w:t>60-140</w:t>
            </w:r>
          </w:p>
        </w:tc>
      </w:tr>
    </w:tbl>
    <w:p w14:paraId="7D398CA0" w14:textId="77777777" w:rsidR="00E03711" w:rsidRDefault="00E03711" w:rsidP="00D83497">
      <w:pPr>
        <w:pStyle w:val="Guide-Heading4TOC"/>
        <w:rPr>
          <w:lang w:val="sl-SI"/>
        </w:rPr>
        <w:sectPr w:rsidR="00E03711" w:rsidSect="007F4890">
          <w:endnotePr>
            <w:numFmt w:val="decimal"/>
          </w:endnotePr>
          <w:pgSz w:w="11910" w:h="16840" w:code="9"/>
          <w:pgMar w:top="1134" w:right="1418" w:bottom="1134" w:left="1418" w:header="283" w:footer="567" w:gutter="0"/>
          <w:cols w:space="720"/>
          <w:docGrid w:linePitch="326"/>
        </w:sectPr>
      </w:pPr>
      <w:r w:rsidRPr="001048FE">
        <w:rPr>
          <w:lang w:val="sl-SI"/>
        </w:rPr>
        <w:br w:type="page"/>
      </w:r>
    </w:p>
    <w:p w14:paraId="7D398CA1" w14:textId="77777777" w:rsidR="00E03711" w:rsidRDefault="00E03711">
      <w:pPr>
        <w:pStyle w:val="Guide-Heading4TOC"/>
        <w:rPr>
          <w:lang w:val="sl-SI"/>
        </w:rPr>
      </w:pPr>
      <w:bookmarkStart w:id="175" w:name="_Toc527401142"/>
      <w:r w:rsidRPr="001048FE">
        <w:rPr>
          <w:lang w:val="sl-SI"/>
        </w:rPr>
        <w:t>Projekt mobilnosti za osebje v izobraževanju odraslih</w:t>
      </w:r>
      <w:bookmarkEnd w:id="175"/>
    </w:p>
    <w:p w14:paraId="7D398CA2" w14:textId="77777777" w:rsidR="00E03711" w:rsidRPr="001048FE" w:rsidRDefault="00E03711" w:rsidP="00D83497">
      <w:pPr>
        <w:pStyle w:val="GUIDE-NORMAL"/>
        <w:rPr>
          <w:lang w:val="sl-SI"/>
        </w:rPr>
      </w:pPr>
      <w:r w:rsidRPr="001048FE">
        <w:rPr>
          <w:lang w:val="sl-SI"/>
        </w:rPr>
        <w:t>Ta projekt mobilnosti lahko zajema eno ali več naslednjih aktivnosti: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E03711" w:rsidRPr="00A6094F" w14:paraId="7D398CA8" w14:textId="77777777" w:rsidTr="00237696">
        <w:trPr>
          <w:trHeight w:val="283"/>
        </w:trPr>
        <w:tc>
          <w:tcPr>
            <w:tcW w:w="9064" w:type="dxa"/>
            <w:shd w:val="clear" w:color="auto" w:fill="auto"/>
          </w:tcPr>
          <w:p w14:paraId="7D398CA3" w14:textId="77777777" w:rsidR="00E03711" w:rsidRPr="00F769E0" w:rsidRDefault="00E03711" w:rsidP="00D83497">
            <w:pPr>
              <w:pStyle w:val="Guide-Heading7"/>
              <w:rPr>
                <w:rFonts w:cs="Tahoma"/>
                <w:lang w:val="sl-SI"/>
              </w:rPr>
            </w:pPr>
            <w:r w:rsidRPr="00F769E0">
              <w:rPr>
                <w:rFonts w:cs="Tahoma"/>
                <w:lang w:val="sl-SI"/>
              </w:rPr>
              <w:t>Mobilnost osebja:</w:t>
            </w:r>
          </w:p>
          <w:p w14:paraId="7D398CA4" w14:textId="77777777" w:rsidR="00E03711" w:rsidRPr="00237696" w:rsidRDefault="00E03711" w:rsidP="005115F2">
            <w:pPr>
              <w:pStyle w:val="Guide-NormalBulletpoints"/>
              <w:numPr>
                <w:ilvl w:val="0"/>
                <w:numId w:val="350"/>
              </w:numPr>
              <w:rPr>
                <w:rFonts w:cs="Times New Roman"/>
                <w:lang w:val="sl-SI"/>
              </w:rPr>
            </w:pPr>
            <w:r w:rsidRPr="00237696">
              <w:rPr>
                <w:rFonts w:cs="Times New Roman"/>
                <w:b/>
                <w:lang w:val="sl-SI"/>
              </w:rPr>
              <w:t xml:space="preserve">poučevanje/usposabljanje: </w:t>
            </w:r>
            <w:r w:rsidRPr="00237696">
              <w:rPr>
                <w:rFonts w:cs="Times New Roman"/>
                <w:lang w:val="sl-SI"/>
              </w:rPr>
              <w:t>ta aktivnost osebju organizacij za izobraževanje odraslih</w:t>
            </w:r>
            <w:r w:rsidRPr="00237696">
              <w:rPr>
                <w:rFonts w:cs="Times New Roman"/>
                <w:spacing w:val="-12"/>
                <w:lang w:val="sl-SI"/>
              </w:rPr>
              <w:t xml:space="preserve"> </w:t>
            </w:r>
            <w:r w:rsidRPr="00237696">
              <w:rPr>
                <w:rFonts w:cs="Times New Roman"/>
                <w:lang w:val="sl-SI"/>
              </w:rPr>
              <w:t>omogoča</w:t>
            </w:r>
            <w:r w:rsidRPr="00237696">
              <w:rPr>
                <w:rFonts w:cs="Times New Roman"/>
                <w:spacing w:val="-12"/>
                <w:lang w:val="sl-SI"/>
              </w:rPr>
              <w:t xml:space="preserve"> </w:t>
            </w:r>
            <w:r w:rsidRPr="00237696">
              <w:rPr>
                <w:rFonts w:cs="Times New Roman"/>
                <w:lang w:val="sl-SI"/>
              </w:rPr>
              <w:t>poučevanje</w:t>
            </w:r>
            <w:r w:rsidRPr="00237696">
              <w:rPr>
                <w:rFonts w:cs="Times New Roman"/>
                <w:spacing w:val="-13"/>
                <w:lang w:val="sl-SI"/>
              </w:rPr>
              <w:t xml:space="preserve"> </w:t>
            </w:r>
            <w:r w:rsidRPr="00237696">
              <w:rPr>
                <w:rFonts w:cs="Times New Roman"/>
                <w:lang w:val="sl-SI"/>
              </w:rPr>
              <w:t>ali</w:t>
            </w:r>
            <w:r w:rsidRPr="00237696">
              <w:rPr>
                <w:rFonts w:cs="Times New Roman"/>
                <w:spacing w:val="-13"/>
                <w:lang w:val="sl-SI"/>
              </w:rPr>
              <w:t xml:space="preserve"> </w:t>
            </w:r>
            <w:r w:rsidRPr="00237696">
              <w:rPr>
                <w:rFonts w:cs="Times New Roman"/>
                <w:lang w:val="sl-SI"/>
              </w:rPr>
              <w:t>izvajanje</w:t>
            </w:r>
            <w:r w:rsidRPr="00237696">
              <w:rPr>
                <w:rFonts w:cs="Times New Roman"/>
                <w:spacing w:val="-13"/>
                <w:lang w:val="sl-SI"/>
              </w:rPr>
              <w:t xml:space="preserve"> </w:t>
            </w:r>
            <w:r w:rsidRPr="00237696">
              <w:rPr>
                <w:rFonts w:cs="Times New Roman"/>
                <w:lang w:val="sl-SI"/>
              </w:rPr>
              <w:t>usposabljanj</w:t>
            </w:r>
            <w:r w:rsidRPr="00237696">
              <w:rPr>
                <w:rFonts w:cs="Times New Roman"/>
                <w:spacing w:val="-13"/>
                <w:lang w:val="sl-SI"/>
              </w:rPr>
              <w:t xml:space="preserve"> </w:t>
            </w:r>
            <w:r w:rsidRPr="00237696">
              <w:rPr>
                <w:rFonts w:cs="Times New Roman"/>
                <w:lang w:val="sl-SI"/>
              </w:rPr>
              <w:t>na</w:t>
            </w:r>
            <w:r w:rsidRPr="00237696">
              <w:rPr>
                <w:rFonts w:cs="Times New Roman"/>
                <w:spacing w:val="-13"/>
                <w:lang w:val="sl-SI"/>
              </w:rPr>
              <w:t xml:space="preserve"> </w:t>
            </w:r>
            <w:r w:rsidRPr="00237696">
              <w:rPr>
                <w:rFonts w:cs="Times New Roman"/>
                <w:lang w:val="sl-SI"/>
              </w:rPr>
              <w:t>partnerski</w:t>
            </w:r>
            <w:r w:rsidRPr="00237696">
              <w:rPr>
                <w:rFonts w:cs="Times New Roman"/>
                <w:spacing w:val="-13"/>
                <w:lang w:val="sl-SI"/>
              </w:rPr>
              <w:t xml:space="preserve"> </w:t>
            </w:r>
            <w:r w:rsidRPr="00237696">
              <w:rPr>
                <w:rFonts w:cs="Times New Roman"/>
                <w:lang w:val="sl-SI"/>
              </w:rPr>
              <w:t>organizaciji</w:t>
            </w:r>
            <w:r w:rsidRPr="00237696">
              <w:rPr>
                <w:rFonts w:cs="Times New Roman"/>
                <w:spacing w:val="-12"/>
                <w:lang w:val="sl-SI"/>
              </w:rPr>
              <w:t xml:space="preserve"> </w:t>
            </w:r>
            <w:r w:rsidRPr="00237696">
              <w:rPr>
                <w:rFonts w:cs="Times New Roman"/>
                <w:lang w:val="sl-SI"/>
              </w:rPr>
              <w:t>v tujini;</w:t>
            </w:r>
          </w:p>
          <w:p w14:paraId="7D398CA5" w14:textId="77777777" w:rsidR="00E03711" w:rsidRPr="00237696" w:rsidRDefault="00E03711" w:rsidP="005115F2">
            <w:pPr>
              <w:pStyle w:val="Guide-NormalBulletpoints"/>
              <w:numPr>
                <w:ilvl w:val="0"/>
                <w:numId w:val="350"/>
              </w:numPr>
              <w:rPr>
                <w:rFonts w:cs="Times New Roman"/>
                <w:lang w:val="sl-SI"/>
              </w:rPr>
            </w:pPr>
            <w:r w:rsidRPr="00237696">
              <w:rPr>
                <w:rFonts w:cs="Times New Roman"/>
                <w:b/>
                <w:lang w:val="sl-SI"/>
              </w:rPr>
              <w:t xml:space="preserve">strukturirani tečaji ali usposabljanje v tujini: </w:t>
            </w:r>
            <w:r w:rsidRPr="00237696">
              <w:rPr>
                <w:rFonts w:cs="Times New Roman"/>
                <w:lang w:val="sl-SI"/>
              </w:rPr>
              <w:t>ta aktivnost podpira poklicni razvoj osebja v izobraževanju odraslih;</w:t>
            </w:r>
          </w:p>
          <w:p w14:paraId="7D398CA6" w14:textId="77777777" w:rsidR="00E03711" w:rsidRPr="00237696" w:rsidRDefault="00E03711" w:rsidP="005115F2">
            <w:pPr>
              <w:pStyle w:val="Guide-NormalBulletpoints"/>
              <w:numPr>
                <w:ilvl w:val="0"/>
                <w:numId w:val="350"/>
              </w:numPr>
              <w:rPr>
                <w:rFonts w:cs="Times New Roman"/>
                <w:lang w:val="sl-SI"/>
              </w:rPr>
            </w:pPr>
            <w:r w:rsidRPr="00237696">
              <w:rPr>
                <w:rFonts w:cs="Times New Roman"/>
                <w:b/>
                <w:lang w:val="sl-SI"/>
              </w:rPr>
              <w:t xml:space="preserve">izobraževalni obisk na delovnem mestu: </w:t>
            </w:r>
            <w:r w:rsidRPr="00237696">
              <w:rPr>
                <w:rFonts w:cs="Times New Roman"/>
                <w:lang w:val="sl-SI"/>
              </w:rPr>
              <w:t>ta aktivnost osebju v izobraževanju odraslih omogoča, da preživijo neko obdobje v tujini v organizaciji, ki je aktivna na področju izobraževanja odraslih.</w:t>
            </w:r>
          </w:p>
          <w:p w14:paraId="7D398CA7" w14:textId="77777777" w:rsidR="00E03711" w:rsidRPr="00237696" w:rsidRDefault="00E03711" w:rsidP="00D83497">
            <w:pPr>
              <w:pStyle w:val="GUIDE-NORMAL"/>
              <w:rPr>
                <w:rStyle w:val="Guide-Condensed-02"/>
                <w:spacing w:val="-6"/>
                <w:lang w:val="sl-SI" w:eastAsia="en-GB"/>
              </w:rPr>
            </w:pPr>
            <w:r w:rsidRPr="00237696">
              <w:rPr>
                <w:lang w:val="sl-SI" w:eastAsia="en-GB"/>
              </w:rPr>
              <w:t>Te aktivnosti so tudi priložnost, da osebje organizacij za izobraževanje odraslih pridobi kompetence za obravnavo potreb učečih se odraslih iz okolij z manj možnostmi. Glede na trenutne okoliščine v zvezi z mladimi migranti, begunci in prosilci za azil bo posebna pozornost namenjena tudi podpori projektom, ki osebje organizacij za izobraževanje odraslih usposabljajo za področja, kot so usposabljanje učečih se odraslih beguncev, medkulturni razredi, poučevanje učečih se odraslih v njihovem drugem jeziku ter strpnost in različnost v</w:t>
            </w:r>
            <w:r w:rsidRPr="00237696">
              <w:rPr>
                <w:spacing w:val="8"/>
                <w:lang w:val="sl-SI" w:eastAsia="en-GB"/>
              </w:rPr>
              <w:t xml:space="preserve"> </w:t>
            </w:r>
            <w:r w:rsidRPr="00237696">
              <w:rPr>
                <w:lang w:val="sl-SI" w:eastAsia="en-GB"/>
              </w:rPr>
              <w:t>razredu.</w:t>
            </w:r>
          </w:p>
        </w:tc>
      </w:tr>
    </w:tbl>
    <w:p w14:paraId="7D398CA9" w14:textId="77777777" w:rsidR="00E03711" w:rsidRPr="001048FE" w:rsidRDefault="00E03711" w:rsidP="00D83497">
      <w:pPr>
        <w:pStyle w:val="Guide-Heading5"/>
        <w:rPr>
          <w:lang w:val="sl-SI"/>
        </w:rPr>
      </w:pPr>
      <w:r w:rsidRPr="001048FE">
        <w:rPr>
          <w:lang w:val="sl-SI"/>
        </w:rPr>
        <w:t>Kakšna je vloga organizacij, ki sodelujejo v tem projektu?</w:t>
      </w:r>
    </w:p>
    <w:p w14:paraId="7D398CAA" w14:textId="77777777" w:rsidR="00E03711" w:rsidRPr="001048FE" w:rsidRDefault="00E03711" w:rsidP="00D83497">
      <w:pPr>
        <w:pStyle w:val="GUIDE-NORMAL"/>
        <w:rPr>
          <w:lang w:val="sl-SI"/>
        </w:rPr>
      </w:pPr>
      <w:r w:rsidRPr="001048FE">
        <w:rPr>
          <w:lang w:val="sl-SI"/>
        </w:rPr>
        <w:t>Sodelujoče organizacije, ki so vključene v projekt mobilnosti, prevzamejo naslednje vloge in naloge:</w:t>
      </w:r>
    </w:p>
    <w:p w14:paraId="7D398CAB" w14:textId="77777777" w:rsidR="00E03711" w:rsidRPr="00237696" w:rsidRDefault="00E03711" w:rsidP="00D83497">
      <w:pPr>
        <w:pStyle w:val="BodyText"/>
        <w:spacing w:before="5"/>
        <w:rPr>
          <w:rFonts w:ascii="Calibri" w:hAnsi="Calibri"/>
          <w:color w:val="FF0000"/>
          <w:sz w:val="18"/>
          <w:lang w:val="sl-SI"/>
        </w:rPr>
      </w:pPr>
    </w:p>
    <w:p w14:paraId="7D398CAC" w14:textId="77777777" w:rsidR="00E03711" w:rsidRPr="001048FE" w:rsidRDefault="00E03711" w:rsidP="005115F2">
      <w:pPr>
        <w:pStyle w:val="Guide-NormalBulletpoints"/>
        <w:numPr>
          <w:ilvl w:val="0"/>
          <w:numId w:val="237"/>
        </w:numPr>
        <w:rPr>
          <w:lang w:val="sl-SI"/>
        </w:rPr>
      </w:pPr>
      <w:r w:rsidRPr="001048FE">
        <w:rPr>
          <w:lang w:val="sl-SI"/>
        </w:rPr>
        <w:t>organizacija prijaviteljica: odgovorna je za to, da se prijavi na projekt mobilnosti, podpiše in upravlja sporazum o nepovratnih sredstvih ter poroča o projektu. Prijavitelj je lahko koordinator konzorcija: vodi nacionalni konzorcij za mobilnost, ki je sestavljen iz partnerskih organizacij iz iste države in katerega cilj je napotiti osebje v izobraževanju odraslih na aktivnosti v tujini. Koordinator konzorcija lahko tudi – vendar ne nujno – deluje kot organizacija pošiljateljica;</w:t>
      </w:r>
    </w:p>
    <w:p w14:paraId="7D398CAD" w14:textId="77777777" w:rsidR="00E03711" w:rsidRPr="001048FE" w:rsidRDefault="00E03711" w:rsidP="005115F2">
      <w:pPr>
        <w:pStyle w:val="Guide-NormalBulletpoints"/>
        <w:numPr>
          <w:ilvl w:val="0"/>
          <w:numId w:val="237"/>
        </w:numPr>
        <w:rPr>
          <w:lang w:val="sl-SI"/>
        </w:rPr>
      </w:pPr>
      <w:r w:rsidRPr="001048FE">
        <w:rPr>
          <w:lang w:val="sl-SI"/>
        </w:rPr>
        <w:t>organizacija</w:t>
      </w:r>
      <w:r w:rsidRPr="001048FE">
        <w:rPr>
          <w:spacing w:val="-8"/>
          <w:lang w:val="sl-SI"/>
        </w:rPr>
        <w:t xml:space="preserve"> </w:t>
      </w:r>
      <w:r w:rsidRPr="001048FE">
        <w:rPr>
          <w:lang w:val="sl-SI"/>
        </w:rPr>
        <w:t>pošiljateljica:</w:t>
      </w:r>
      <w:r w:rsidRPr="001048FE">
        <w:rPr>
          <w:spacing w:val="-9"/>
          <w:lang w:val="sl-SI"/>
        </w:rPr>
        <w:t xml:space="preserve"> </w:t>
      </w:r>
      <w:r w:rsidRPr="001048FE">
        <w:rPr>
          <w:lang w:val="sl-SI"/>
        </w:rPr>
        <w:t>odgovorna</w:t>
      </w:r>
      <w:r w:rsidRPr="001048FE">
        <w:rPr>
          <w:spacing w:val="-8"/>
          <w:lang w:val="sl-SI"/>
        </w:rPr>
        <w:t xml:space="preserve"> </w:t>
      </w:r>
      <w:r w:rsidRPr="001048FE">
        <w:rPr>
          <w:lang w:val="sl-SI"/>
        </w:rPr>
        <w:t>je</w:t>
      </w:r>
      <w:r w:rsidRPr="001048FE">
        <w:rPr>
          <w:spacing w:val="-9"/>
          <w:lang w:val="sl-SI"/>
        </w:rPr>
        <w:t xml:space="preserve"> </w:t>
      </w:r>
      <w:r w:rsidRPr="001048FE">
        <w:rPr>
          <w:lang w:val="sl-SI"/>
        </w:rPr>
        <w:t>za</w:t>
      </w:r>
      <w:r w:rsidRPr="001048FE">
        <w:rPr>
          <w:spacing w:val="-9"/>
          <w:lang w:val="sl-SI"/>
        </w:rPr>
        <w:t xml:space="preserve"> </w:t>
      </w:r>
      <w:r w:rsidRPr="001048FE">
        <w:rPr>
          <w:lang w:val="sl-SI"/>
        </w:rPr>
        <w:t>to,</w:t>
      </w:r>
      <w:r w:rsidRPr="001048FE">
        <w:rPr>
          <w:spacing w:val="-9"/>
          <w:lang w:val="sl-SI"/>
        </w:rPr>
        <w:t xml:space="preserve"> </w:t>
      </w:r>
      <w:r w:rsidRPr="001048FE">
        <w:rPr>
          <w:lang w:val="sl-SI"/>
        </w:rPr>
        <w:t>da</w:t>
      </w:r>
      <w:r w:rsidRPr="001048FE">
        <w:rPr>
          <w:spacing w:val="-9"/>
          <w:lang w:val="sl-SI"/>
        </w:rPr>
        <w:t xml:space="preserve"> </w:t>
      </w:r>
      <w:r w:rsidRPr="001048FE">
        <w:rPr>
          <w:lang w:val="sl-SI"/>
        </w:rPr>
        <w:t>izbere</w:t>
      </w:r>
      <w:r w:rsidRPr="001048FE">
        <w:rPr>
          <w:spacing w:val="-9"/>
          <w:lang w:val="sl-SI"/>
        </w:rPr>
        <w:t xml:space="preserve"> </w:t>
      </w:r>
      <w:r w:rsidRPr="001048FE">
        <w:rPr>
          <w:lang w:val="sl-SI"/>
        </w:rPr>
        <w:t>osebje</w:t>
      </w:r>
      <w:r w:rsidRPr="001048FE">
        <w:rPr>
          <w:spacing w:val="-8"/>
          <w:lang w:val="sl-SI"/>
        </w:rPr>
        <w:t xml:space="preserve"> </w:t>
      </w:r>
      <w:r w:rsidRPr="001048FE">
        <w:rPr>
          <w:lang w:val="sl-SI"/>
        </w:rPr>
        <w:t>in</w:t>
      </w:r>
      <w:r w:rsidRPr="001048FE">
        <w:rPr>
          <w:spacing w:val="-9"/>
          <w:lang w:val="sl-SI"/>
        </w:rPr>
        <w:t xml:space="preserve"> </w:t>
      </w:r>
      <w:r w:rsidRPr="001048FE">
        <w:rPr>
          <w:lang w:val="sl-SI"/>
        </w:rPr>
        <w:t>strokovnjake,</w:t>
      </w:r>
      <w:r w:rsidRPr="001048FE">
        <w:rPr>
          <w:spacing w:val="-9"/>
          <w:lang w:val="sl-SI"/>
        </w:rPr>
        <w:t xml:space="preserve"> </w:t>
      </w:r>
      <w:r w:rsidRPr="001048FE">
        <w:rPr>
          <w:lang w:val="sl-SI"/>
        </w:rPr>
        <w:t>ki</w:t>
      </w:r>
      <w:r w:rsidRPr="001048FE">
        <w:rPr>
          <w:spacing w:val="-9"/>
          <w:lang w:val="sl-SI"/>
        </w:rPr>
        <w:t xml:space="preserve"> </w:t>
      </w:r>
      <w:r w:rsidRPr="001048FE">
        <w:rPr>
          <w:lang w:val="sl-SI"/>
        </w:rPr>
        <w:t>so</w:t>
      </w:r>
      <w:r w:rsidRPr="001048FE">
        <w:rPr>
          <w:spacing w:val="-9"/>
          <w:lang w:val="sl-SI"/>
        </w:rPr>
        <w:t xml:space="preserve"> </w:t>
      </w:r>
      <w:r w:rsidRPr="001048FE">
        <w:rPr>
          <w:lang w:val="sl-SI"/>
        </w:rPr>
        <w:t>aktivni</w:t>
      </w:r>
      <w:r w:rsidRPr="001048FE">
        <w:rPr>
          <w:spacing w:val="-9"/>
          <w:lang w:val="sl-SI"/>
        </w:rPr>
        <w:t xml:space="preserve"> </w:t>
      </w:r>
      <w:r w:rsidRPr="001048FE">
        <w:rPr>
          <w:lang w:val="sl-SI"/>
        </w:rPr>
        <w:t xml:space="preserve">na področju izobraževanja odraslih, ter jih napoti v tujino. Organizacija pošiljateljica je bodisi organizacija prijaviteljica bodisi partnerka v nacionalnem konzorciju za mobilnost; </w:t>
      </w:r>
    </w:p>
    <w:p w14:paraId="7D398CAE" w14:textId="77777777" w:rsidR="00E03711" w:rsidRPr="001048FE" w:rsidRDefault="00E03711" w:rsidP="005115F2">
      <w:pPr>
        <w:pStyle w:val="Guide-NormalBulletpoints"/>
        <w:numPr>
          <w:ilvl w:val="0"/>
          <w:numId w:val="237"/>
        </w:numPr>
        <w:rPr>
          <w:lang w:val="sl-SI"/>
        </w:rPr>
      </w:pPr>
      <w:r w:rsidRPr="001048FE">
        <w:rPr>
          <w:lang w:val="sl-SI"/>
        </w:rPr>
        <w:t>organizacija</w:t>
      </w:r>
      <w:r w:rsidRPr="001048FE">
        <w:rPr>
          <w:spacing w:val="-10"/>
          <w:lang w:val="sl-SI"/>
        </w:rPr>
        <w:t xml:space="preserve"> </w:t>
      </w:r>
      <w:r w:rsidRPr="001048FE">
        <w:rPr>
          <w:lang w:val="sl-SI"/>
        </w:rPr>
        <w:t>gostiteljica:</w:t>
      </w:r>
      <w:r w:rsidRPr="001048FE">
        <w:rPr>
          <w:spacing w:val="-11"/>
          <w:lang w:val="sl-SI"/>
        </w:rPr>
        <w:t xml:space="preserve"> </w:t>
      </w:r>
      <w:r w:rsidRPr="001048FE">
        <w:rPr>
          <w:lang w:val="sl-SI"/>
        </w:rPr>
        <w:t>odgovorna</w:t>
      </w:r>
      <w:r w:rsidRPr="001048FE">
        <w:rPr>
          <w:spacing w:val="-10"/>
          <w:lang w:val="sl-SI"/>
        </w:rPr>
        <w:t xml:space="preserve"> </w:t>
      </w:r>
      <w:r w:rsidRPr="001048FE">
        <w:rPr>
          <w:lang w:val="sl-SI"/>
        </w:rPr>
        <w:t>je</w:t>
      </w:r>
      <w:r w:rsidRPr="001048FE">
        <w:rPr>
          <w:spacing w:val="-11"/>
          <w:lang w:val="sl-SI"/>
        </w:rPr>
        <w:t xml:space="preserve"> </w:t>
      </w:r>
      <w:r w:rsidRPr="001048FE">
        <w:rPr>
          <w:lang w:val="sl-SI"/>
        </w:rPr>
        <w:t>za</w:t>
      </w:r>
      <w:r w:rsidRPr="001048FE">
        <w:rPr>
          <w:spacing w:val="-11"/>
          <w:lang w:val="sl-SI"/>
        </w:rPr>
        <w:t xml:space="preserve"> </w:t>
      </w:r>
      <w:r w:rsidRPr="001048FE">
        <w:rPr>
          <w:lang w:val="sl-SI"/>
        </w:rPr>
        <w:t>to,</w:t>
      </w:r>
      <w:r w:rsidRPr="001048FE">
        <w:rPr>
          <w:spacing w:val="-11"/>
          <w:lang w:val="sl-SI"/>
        </w:rPr>
        <w:t xml:space="preserve"> </w:t>
      </w:r>
      <w:r w:rsidRPr="001048FE">
        <w:rPr>
          <w:lang w:val="sl-SI"/>
        </w:rPr>
        <w:t>da</w:t>
      </w:r>
      <w:r w:rsidRPr="001048FE">
        <w:rPr>
          <w:spacing w:val="-11"/>
          <w:lang w:val="sl-SI"/>
        </w:rPr>
        <w:t xml:space="preserve"> </w:t>
      </w:r>
      <w:r w:rsidRPr="001048FE">
        <w:rPr>
          <w:lang w:val="sl-SI"/>
        </w:rPr>
        <w:t>sprejme</w:t>
      </w:r>
      <w:r w:rsidRPr="001048FE">
        <w:rPr>
          <w:spacing w:val="-11"/>
          <w:lang w:val="sl-SI"/>
        </w:rPr>
        <w:t xml:space="preserve"> </w:t>
      </w:r>
      <w:r w:rsidRPr="001048FE">
        <w:rPr>
          <w:lang w:val="sl-SI"/>
        </w:rPr>
        <w:t>tuje</w:t>
      </w:r>
      <w:r w:rsidRPr="001048FE">
        <w:rPr>
          <w:spacing w:val="-11"/>
          <w:lang w:val="sl-SI"/>
        </w:rPr>
        <w:t xml:space="preserve"> </w:t>
      </w:r>
      <w:r w:rsidRPr="001048FE">
        <w:rPr>
          <w:lang w:val="sl-SI"/>
        </w:rPr>
        <w:t>osebje</w:t>
      </w:r>
      <w:r w:rsidRPr="001048FE">
        <w:rPr>
          <w:spacing w:val="-10"/>
          <w:lang w:val="sl-SI"/>
        </w:rPr>
        <w:t xml:space="preserve"> </w:t>
      </w:r>
      <w:r w:rsidRPr="001048FE">
        <w:rPr>
          <w:lang w:val="sl-SI"/>
        </w:rPr>
        <w:t>v</w:t>
      </w:r>
      <w:r w:rsidRPr="001048FE">
        <w:rPr>
          <w:spacing w:val="-11"/>
          <w:lang w:val="sl-SI"/>
        </w:rPr>
        <w:t xml:space="preserve"> </w:t>
      </w:r>
      <w:r w:rsidRPr="001048FE">
        <w:rPr>
          <w:lang w:val="sl-SI"/>
        </w:rPr>
        <w:t>izobraževanju</w:t>
      </w:r>
      <w:r w:rsidRPr="001048FE">
        <w:rPr>
          <w:spacing w:val="-11"/>
          <w:lang w:val="sl-SI"/>
        </w:rPr>
        <w:t xml:space="preserve"> </w:t>
      </w:r>
      <w:r w:rsidRPr="001048FE">
        <w:rPr>
          <w:lang w:val="sl-SI"/>
        </w:rPr>
        <w:t>odraslih</w:t>
      </w:r>
      <w:r w:rsidRPr="001048FE">
        <w:rPr>
          <w:spacing w:val="-10"/>
          <w:lang w:val="sl-SI"/>
        </w:rPr>
        <w:t xml:space="preserve"> </w:t>
      </w:r>
      <w:r w:rsidRPr="001048FE">
        <w:rPr>
          <w:lang w:val="sl-SI"/>
        </w:rPr>
        <w:t>in mu ponudi program aktivnosti ali pa koristi usposabljanje, ki ga izvaja to</w:t>
      </w:r>
      <w:r w:rsidRPr="001048FE">
        <w:rPr>
          <w:spacing w:val="-39"/>
          <w:lang w:val="sl-SI"/>
        </w:rPr>
        <w:t xml:space="preserve"> </w:t>
      </w:r>
      <w:r w:rsidRPr="001048FE">
        <w:rPr>
          <w:lang w:val="sl-SI"/>
        </w:rPr>
        <w:t>osebje.</w:t>
      </w:r>
    </w:p>
    <w:p w14:paraId="7D398CAF" w14:textId="77777777" w:rsidR="00E03711" w:rsidRPr="001048FE" w:rsidRDefault="00E03711" w:rsidP="00D83497">
      <w:pPr>
        <w:pStyle w:val="GUIDE-NORMAL"/>
        <w:rPr>
          <w:lang w:val="sl-SI"/>
        </w:rPr>
      </w:pPr>
      <w:r w:rsidRPr="001048FE">
        <w:rPr>
          <w:lang w:val="sl-SI"/>
        </w:rPr>
        <w:t>Natančna</w:t>
      </w:r>
      <w:r w:rsidRPr="001048FE">
        <w:rPr>
          <w:spacing w:val="-11"/>
          <w:lang w:val="sl-SI"/>
        </w:rPr>
        <w:t xml:space="preserve"> </w:t>
      </w:r>
      <w:r w:rsidRPr="001048FE">
        <w:rPr>
          <w:lang w:val="sl-SI"/>
        </w:rPr>
        <w:t>vloga</w:t>
      </w:r>
      <w:r w:rsidRPr="001048FE">
        <w:rPr>
          <w:spacing w:val="-11"/>
          <w:lang w:val="sl-SI"/>
        </w:rPr>
        <w:t xml:space="preserve"> </w:t>
      </w:r>
      <w:r w:rsidRPr="001048FE">
        <w:rPr>
          <w:lang w:val="sl-SI"/>
        </w:rPr>
        <w:t>organizacije</w:t>
      </w:r>
      <w:r w:rsidRPr="001048FE">
        <w:rPr>
          <w:spacing w:val="-10"/>
          <w:lang w:val="sl-SI"/>
        </w:rPr>
        <w:t xml:space="preserve"> </w:t>
      </w:r>
      <w:r w:rsidRPr="001048FE">
        <w:rPr>
          <w:lang w:val="sl-SI"/>
        </w:rPr>
        <w:t>gostiteljice</w:t>
      </w:r>
      <w:r w:rsidRPr="001048FE">
        <w:rPr>
          <w:spacing w:val="-11"/>
          <w:lang w:val="sl-SI"/>
        </w:rPr>
        <w:t xml:space="preserve"> </w:t>
      </w:r>
      <w:r w:rsidRPr="001048FE">
        <w:rPr>
          <w:lang w:val="sl-SI"/>
        </w:rPr>
        <w:t>je</w:t>
      </w:r>
      <w:r w:rsidRPr="001048FE">
        <w:rPr>
          <w:spacing w:val="-11"/>
          <w:lang w:val="sl-SI"/>
        </w:rPr>
        <w:t xml:space="preserve"> </w:t>
      </w:r>
      <w:r w:rsidRPr="001048FE">
        <w:rPr>
          <w:lang w:val="sl-SI"/>
        </w:rPr>
        <w:t>odvisna</w:t>
      </w:r>
      <w:r w:rsidRPr="001048FE">
        <w:rPr>
          <w:spacing w:val="-10"/>
          <w:lang w:val="sl-SI"/>
        </w:rPr>
        <w:t xml:space="preserve"> </w:t>
      </w:r>
      <w:r w:rsidRPr="001048FE">
        <w:rPr>
          <w:lang w:val="sl-SI"/>
        </w:rPr>
        <w:t>od</w:t>
      </w:r>
      <w:r w:rsidRPr="001048FE">
        <w:rPr>
          <w:spacing w:val="-10"/>
          <w:lang w:val="sl-SI"/>
        </w:rPr>
        <w:t xml:space="preserve"> </w:t>
      </w:r>
      <w:r w:rsidRPr="001048FE">
        <w:rPr>
          <w:lang w:val="sl-SI"/>
        </w:rPr>
        <w:t>vrste</w:t>
      </w:r>
      <w:r w:rsidRPr="001048FE">
        <w:rPr>
          <w:spacing w:val="-11"/>
          <w:lang w:val="sl-SI"/>
        </w:rPr>
        <w:t xml:space="preserve"> </w:t>
      </w:r>
      <w:r w:rsidRPr="001048FE">
        <w:rPr>
          <w:lang w:val="sl-SI"/>
        </w:rPr>
        <w:t>aktivnosti</w:t>
      </w:r>
      <w:r w:rsidRPr="001048FE">
        <w:rPr>
          <w:spacing w:val="-11"/>
          <w:lang w:val="sl-SI"/>
        </w:rPr>
        <w:t xml:space="preserve"> </w:t>
      </w:r>
      <w:r w:rsidRPr="001048FE">
        <w:rPr>
          <w:lang w:val="sl-SI"/>
        </w:rPr>
        <w:t>in</w:t>
      </w:r>
      <w:r w:rsidRPr="001048FE">
        <w:rPr>
          <w:spacing w:val="-11"/>
          <w:lang w:val="sl-SI"/>
        </w:rPr>
        <w:t xml:space="preserve"> </w:t>
      </w:r>
      <w:r w:rsidRPr="001048FE">
        <w:rPr>
          <w:lang w:val="sl-SI"/>
        </w:rPr>
        <w:t>odnosa</w:t>
      </w:r>
      <w:r w:rsidRPr="001048FE">
        <w:rPr>
          <w:spacing w:val="-10"/>
          <w:lang w:val="sl-SI"/>
        </w:rPr>
        <w:t xml:space="preserve"> </w:t>
      </w:r>
      <w:r w:rsidRPr="001048FE">
        <w:rPr>
          <w:lang w:val="sl-SI"/>
        </w:rPr>
        <w:t>z</w:t>
      </w:r>
      <w:r w:rsidRPr="001048FE">
        <w:rPr>
          <w:spacing w:val="-11"/>
          <w:lang w:val="sl-SI"/>
        </w:rPr>
        <w:t xml:space="preserve"> </w:t>
      </w:r>
      <w:r w:rsidRPr="001048FE">
        <w:rPr>
          <w:lang w:val="sl-SI"/>
        </w:rPr>
        <w:t>organizacijo pošiljateljico. Organizacija gostiteljica je</w:t>
      </w:r>
      <w:r w:rsidRPr="001048FE">
        <w:rPr>
          <w:spacing w:val="-7"/>
          <w:lang w:val="sl-SI"/>
        </w:rPr>
        <w:t xml:space="preserve"> </w:t>
      </w:r>
      <w:r w:rsidRPr="001048FE">
        <w:rPr>
          <w:lang w:val="sl-SI"/>
        </w:rPr>
        <w:t>lahko:</w:t>
      </w:r>
    </w:p>
    <w:p w14:paraId="7D398CB0" w14:textId="77777777" w:rsidR="00E03711" w:rsidRPr="001048FE" w:rsidRDefault="00E03711" w:rsidP="005115F2">
      <w:pPr>
        <w:pStyle w:val="Guide-NormalBulletpoints"/>
        <w:numPr>
          <w:ilvl w:val="0"/>
          <w:numId w:val="238"/>
        </w:numPr>
        <w:rPr>
          <w:lang w:val="sl-SI"/>
        </w:rPr>
      </w:pPr>
      <w:r w:rsidRPr="001048FE">
        <w:rPr>
          <w:lang w:val="sl-SI"/>
        </w:rPr>
        <w:t>izvajalka tečaja (v primeru udeležbe v strukturiranem tečaju ali usposabljanju);</w:t>
      </w:r>
    </w:p>
    <w:p w14:paraId="7D398CB1" w14:textId="77777777" w:rsidR="00E03711" w:rsidRPr="001048FE" w:rsidRDefault="00E03711" w:rsidP="005115F2">
      <w:pPr>
        <w:pStyle w:val="Guide-NormalBulletpoints"/>
        <w:numPr>
          <w:ilvl w:val="0"/>
          <w:numId w:val="238"/>
        </w:numPr>
        <w:rPr>
          <w:lang w:val="sl-SI"/>
        </w:rPr>
      </w:pPr>
      <w:r w:rsidRPr="001048FE">
        <w:rPr>
          <w:lang w:val="sl-SI"/>
        </w:rPr>
        <w:t>partnerska ali katera koli druga ustrezna organizacija, ki je aktivna na področju izobraževanja odraslih (npr. v primeru izobraževalnega obiska na delovnem mestu ali programov poučevanja).</w:t>
      </w:r>
      <w:r w:rsidRPr="001048FE">
        <w:rPr>
          <w:spacing w:val="-11"/>
          <w:lang w:val="sl-SI"/>
        </w:rPr>
        <w:t xml:space="preserve"> </w:t>
      </w:r>
      <w:r w:rsidRPr="001048FE">
        <w:rPr>
          <w:lang w:val="sl-SI"/>
        </w:rPr>
        <w:t>V</w:t>
      </w:r>
      <w:r w:rsidRPr="001048FE">
        <w:rPr>
          <w:spacing w:val="-11"/>
          <w:lang w:val="sl-SI"/>
        </w:rPr>
        <w:t xml:space="preserve"> </w:t>
      </w:r>
      <w:r w:rsidRPr="001048FE">
        <w:rPr>
          <w:lang w:val="sl-SI"/>
        </w:rPr>
        <w:t>tem</w:t>
      </w:r>
      <w:r w:rsidRPr="001048FE">
        <w:rPr>
          <w:spacing w:val="-11"/>
          <w:lang w:val="sl-SI"/>
        </w:rPr>
        <w:t xml:space="preserve"> </w:t>
      </w:r>
      <w:r w:rsidRPr="001048FE">
        <w:rPr>
          <w:lang w:val="sl-SI"/>
        </w:rPr>
        <w:t>primeru</w:t>
      </w:r>
      <w:r w:rsidRPr="001048FE">
        <w:rPr>
          <w:spacing w:val="-11"/>
          <w:lang w:val="sl-SI"/>
        </w:rPr>
        <w:t xml:space="preserve"> </w:t>
      </w:r>
      <w:r w:rsidRPr="001048FE">
        <w:rPr>
          <w:lang w:val="sl-SI"/>
        </w:rPr>
        <w:t>se</w:t>
      </w:r>
      <w:r w:rsidRPr="001048FE">
        <w:rPr>
          <w:spacing w:val="-11"/>
          <w:lang w:val="sl-SI"/>
        </w:rPr>
        <w:t xml:space="preserve"> </w:t>
      </w:r>
      <w:r w:rsidRPr="001048FE">
        <w:rPr>
          <w:lang w:val="sl-SI"/>
        </w:rPr>
        <w:t>mora</w:t>
      </w:r>
      <w:r w:rsidRPr="001048FE">
        <w:rPr>
          <w:spacing w:val="-11"/>
          <w:lang w:val="sl-SI"/>
        </w:rPr>
        <w:t xml:space="preserve"> </w:t>
      </w:r>
      <w:r w:rsidRPr="001048FE">
        <w:rPr>
          <w:lang w:val="sl-SI"/>
        </w:rPr>
        <w:t>organizacija</w:t>
      </w:r>
      <w:r w:rsidRPr="001048FE">
        <w:rPr>
          <w:spacing w:val="-10"/>
          <w:lang w:val="sl-SI"/>
        </w:rPr>
        <w:t xml:space="preserve"> </w:t>
      </w:r>
      <w:r w:rsidRPr="001048FE">
        <w:rPr>
          <w:lang w:val="sl-SI"/>
        </w:rPr>
        <w:t>pošiljateljica</w:t>
      </w:r>
      <w:r w:rsidRPr="001048FE">
        <w:rPr>
          <w:spacing w:val="-11"/>
          <w:lang w:val="sl-SI"/>
        </w:rPr>
        <w:t xml:space="preserve"> </w:t>
      </w:r>
      <w:r w:rsidRPr="001048FE">
        <w:rPr>
          <w:lang w:val="sl-SI"/>
        </w:rPr>
        <w:t>skupaj</w:t>
      </w:r>
      <w:r w:rsidRPr="001048FE">
        <w:rPr>
          <w:spacing w:val="-11"/>
          <w:lang w:val="sl-SI"/>
        </w:rPr>
        <w:t xml:space="preserve"> </w:t>
      </w:r>
      <w:r w:rsidRPr="001048FE">
        <w:rPr>
          <w:lang w:val="sl-SI"/>
        </w:rPr>
        <w:t>z</w:t>
      </w:r>
      <w:r w:rsidRPr="001048FE">
        <w:rPr>
          <w:spacing w:val="-11"/>
          <w:lang w:val="sl-SI"/>
        </w:rPr>
        <w:t xml:space="preserve"> </w:t>
      </w:r>
      <w:r w:rsidRPr="001048FE">
        <w:rPr>
          <w:lang w:val="sl-SI"/>
        </w:rPr>
        <w:t>udeleženci</w:t>
      </w:r>
      <w:r w:rsidRPr="001048FE">
        <w:rPr>
          <w:spacing w:val="-11"/>
          <w:lang w:val="sl-SI"/>
        </w:rPr>
        <w:t xml:space="preserve"> </w:t>
      </w:r>
      <w:r w:rsidRPr="001048FE">
        <w:rPr>
          <w:lang w:val="sl-SI"/>
        </w:rPr>
        <w:t>dogovoriti</w:t>
      </w:r>
      <w:r w:rsidRPr="001048FE">
        <w:rPr>
          <w:spacing w:val="-11"/>
          <w:lang w:val="sl-SI"/>
        </w:rPr>
        <w:t xml:space="preserve"> </w:t>
      </w:r>
      <w:r w:rsidRPr="001048FE">
        <w:rPr>
          <w:lang w:val="sl-SI"/>
        </w:rPr>
        <w:t>o ciljih in aktivnostih za obdobje v tujini ter opredeliti pravice in obveznosti obeh strani pred začetkom</w:t>
      </w:r>
      <w:r w:rsidRPr="001048FE">
        <w:rPr>
          <w:spacing w:val="-3"/>
          <w:lang w:val="sl-SI"/>
        </w:rPr>
        <w:t xml:space="preserve"> </w:t>
      </w:r>
      <w:r w:rsidRPr="001048FE">
        <w:rPr>
          <w:lang w:val="sl-SI"/>
        </w:rPr>
        <w:t>aktivnosti.</w:t>
      </w:r>
    </w:p>
    <w:p w14:paraId="7D398CB2" w14:textId="77777777" w:rsidR="00E03711" w:rsidRPr="001048FE" w:rsidRDefault="00E03711" w:rsidP="00D83497">
      <w:pPr>
        <w:pStyle w:val="GUIDE-NORMAL"/>
        <w:rPr>
          <w:sz w:val="22"/>
          <w:lang w:val="sl-SI"/>
        </w:rPr>
      </w:pPr>
      <w:r w:rsidRPr="001048FE">
        <w:rPr>
          <w:lang w:val="sl-SI"/>
        </w:rPr>
        <w:t>Erasmus+ podpira učno mobilnost osebja, ki:</w:t>
      </w:r>
    </w:p>
    <w:p w14:paraId="7D398CB3" w14:textId="77777777" w:rsidR="00E03711" w:rsidRPr="001048FE" w:rsidRDefault="00E03711" w:rsidP="005115F2">
      <w:pPr>
        <w:pStyle w:val="Guide-NormalBulletpoints"/>
        <w:numPr>
          <w:ilvl w:val="0"/>
          <w:numId w:val="239"/>
        </w:numPr>
        <w:rPr>
          <w:lang w:val="sl-SI"/>
        </w:rPr>
      </w:pPr>
      <w:r w:rsidRPr="001048FE">
        <w:rPr>
          <w:lang w:val="sl-SI"/>
        </w:rPr>
        <w:t>je oblikovana v okviru evropskega razvojnega načrta organizacij pošiljateljic (s ciljem posodobiti in internacionalizirati njihovo poslanstvo);</w:t>
      </w:r>
    </w:p>
    <w:p w14:paraId="7D398CB4" w14:textId="77777777" w:rsidR="00E03711" w:rsidRPr="001048FE" w:rsidRDefault="00E03711" w:rsidP="005115F2">
      <w:pPr>
        <w:pStyle w:val="Guide-NormalBulletpoints"/>
        <w:numPr>
          <w:ilvl w:val="0"/>
          <w:numId w:val="239"/>
        </w:numPr>
        <w:rPr>
          <w:lang w:val="sl-SI"/>
        </w:rPr>
      </w:pPr>
      <w:r w:rsidRPr="001048FE">
        <w:rPr>
          <w:lang w:val="sl-SI"/>
        </w:rPr>
        <w:t>se odziva na jasno opredeljene potrebe po usposabljanju osebja;</w:t>
      </w:r>
    </w:p>
    <w:p w14:paraId="7D398CB5" w14:textId="77777777" w:rsidR="00E03711" w:rsidRPr="001048FE" w:rsidRDefault="00E03711" w:rsidP="005115F2">
      <w:pPr>
        <w:pStyle w:val="Guide-NormalBulletpoints"/>
        <w:numPr>
          <w:ilvl w:val="0"/>
          <w:numId w:val="239"/>
        </w:numPr>
        <w:rPr>
          <w:lang w:val="sl-SI"/>
        </w:rPr>
      </w:pPr>
      <w:r w:rsidRPr="001048FE">
        <w:rPr>
          <w:lang w:val="sl-SI"/>
        </w:rPr>
        <w:t xml:space="preserve">je podprta z ustreznimi ukrepi za izbor, pripravo in nadaljnje spremljanje; </w:t>
      </w:r>
    </w:p>
    <w:p w14:paraId="7D398CB6" w14:textId="77777777" w:rsidR="00E03711" w:rsidRPr="001048FE" w:rsidRDefault="00E03711" w:rsidP="005115F2">
      <w:pPr>
        <w:pStyle w:val="Guide-NormalBulletpoints"/>
        <w:numPr>
          <w:ilvl w:val="0"/>
          <w:numId w:val="239"/>
        </w:numPr>
        <w:rPr>
          <w:lang w:val="sl-SI"/>
        </w:rPr>
      </w:pPr>
      <w:r w:rsidRPr="001048FE">
        <w:rPr>
          <w:lang w:val="sl-SI"/>
        </w:rPr>
        <w:t xml:space="preserve">zagotavlja, da so učni izidi sodelujočega osebja ustrezno priznani, ter </w:t>
      </w:r>
    </w:p>
    <w:p w14:paraId="7D398CB7" w14:textId="77777777" w:rsidR="00E03711" w:rsidRPr="001048FE" w:rsidRDefault="00E03711" w:rsidP="005115F2">
      <w:pPr>
        <w:pStyle w:val="Guide-NormalBulletpoints"/>
        <w:numPr>
          <w:ilvl w:val="0"/>
          <w:numId w:val="239"/>
        </w:numPr>
        <w:rPr>
          <w:lang w:val="sl-SI"/>
        </w:rPr>
      </w:pPr>
      <w:r w:rsidRPr="001048FE">
        <w:rPr>
          <w:lang w:val="sl-SI"/>
        </w:rPr>
        <w:t>zagotavlja, da se učni izidi razširjajo in na splošno uporabljajo v organizaciji.</w:t>
      </w:r>
    </w:p>
    <w:p w14:paraId="7D398CB8" w14:textId="77777777" w:rsidR="00E03711" w:rsidRPr="001048FE" w:rsidRDefault="00E03711" w:rsidP="00D83497">
      <w:pPr>
        <w:pStyle w:val="Guide-Heading5"/>
        <w:rPr>
          <w:lang w:val="sl-SI"/>
        </w:rPr>
        <w:sectPr w:rsidR="00E03711" w:rsidRPr="001048FE" w:rsidSect="007F4890">
          <w:headerReference w:type="default" r:id="rId74"/>
          <w:endnotePr>
            <w:numFmt w:val="decimal"/>
          </w:endnotePr>
          <w:pgSz w:w="11910" w:h="16840" w:code="9"/>
          <w:pgMar w:top="1134" w:right="1418" w:bottom="1134" w:left="1418" w:header="283" w:footer="567" w:gutter="0"/>
          <w:cols w:space="720"/>
          <w:docGrid w:linePitch="326"/>
        </w:sectPr>
      </w:pPr>
    </w:p>
    <w:p w14:paraId="7D398CB9" w14:textId="77777777" w:rsidR="00E03711" w:rsidRPr="001048FE" w:rsidRDefault="00E03711" w:rsidP="00D83497">
      <w:pPr>
        <w:pStyle w:val="Guide-Heading5"/>
        <w:rPr>
          <w:lang w:val="sl-SI"/>
        </w:rPr>
      </w:pPr>
      <w:r w:rsidRPr="001048FE">
        <w:rPr>
          <w:lang w:val="sl-SI"/>
        </w:rPr>
        <w:t>Kakšna so merila za oceno tega projekta?</w:t>
      </w:r>
    </w:p>
    <w:p w14:paraId="7D398CBA" w14:textId="77777777" w:rsidR="00E03711" w:rsidRPr="001048FE" w:rsidRDefault="00E03711" w:rsidP="00D83497">
      <w:pPr>
        <w:pStyle w:val="GUIDE-NORMAL"/>
        <w:rPr>
          <w:lang w:val="sl-SI"/>
        </w:rPr>
      </w:pPr>
      <w:r w:rsidRPr="001048FE">
        <w:rPr>
          <w:lang w:val="sl-SI"/>
        </w:rPr>
        <w:t>V nadaljevanju so navedena uradna merila, ki jih mora upoštevati projekt mobilnosti na področju izobraževanja odraslih za upravičenost do nepovratnih sredstev Erasmus+:</w:t>
      </w:r>
    </w:p>
    <w:p w14:paraId="7D398CBB" w14:textId="77777777" w:rsidR="00E03711" w:rsidRPr="001048FE" w:rsidRDefault="00E03711" w:rsidP="00D83497">
      <w:pPr>
        <w:pStyle w:val="Guide-Heading6"/>
        <w:rPr>
          <w:lang w:val="sl-SI"/>
        </w:rPr>
      </w:pPr>
      <w:r w:rsidRPr="001048FE">
        <w:rPr>
          <w:lang w:val="sl-SI"/>
        </w:rPr>
        <w:t>Merila za upravičenost</w:t>
      </w:r>
    </w:p>
    <w:tbl>
      <w:tblPr>
        <w:tblW w:w="5000" w:type="pct"/>
        <w:tblBorders>
          <w:top w:val="single" w:sz="4" w:space="0" w:color="auto"/>
          <w:left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68"/>
        <w:gridCol w:w="7722"/>
      </w:tblGrid>
      <w:tr w:rsidR="00E03711" w:rsidRPr="00A6094F" w14:paraId="7D398CC1" w14:textId="77777777" w:rsidTr="00321D17">
        <w:trPr>
          <w:trHeight w:val="57"/>
        </w:trPr>
        <w:tc>
          <w:tcPr>
            <w:tcW w:w="844" w:type="pct"/>
            <w:shd w:val="clear" w:color="auto" w:fill="FFFFFF"/>
            <w:vAlign w:val="center"/>
          </w:tcPr>
          <w:p w14:paraId="7D398CBC" w14:textId="77777777" w:rsidR="00E03711" w:rsidRPr="00F769E0" w:rsidRDefault="00E03711" w:rsidP="0018158A">
            <w:pPr>
              <w:pStyle w:val="Guide-Table"/>
              <w:spacing w:before="60" w:after="60"/>
              <w:jc w:val="left"/>
              <w:rPr>
                <w:rFonts w:cs="Tahoma"/>
                <w:b/>
                <w:lang w:val="sl-SI" w:eastAsia="en-GB"/>
              </w:rPr>
            </w:pPr>
            <w:r w:rsidRPr="00F769E0">
              <w:rPr>
                <w:rFonts w:cs="Tahoma"/>
                <w:b/>
                <w:lang w:val="sl-SI" w:eastAsia="en-GB"/>
              </w:rPr>
              <w:t>Upravičene aktivnosti</w:t>
            </w:r>
          </w:p>
        </w:tc>
        <w:tc>
          <w:tcPr>
            <w:tcW w:w="4156" w:type="pct"/>
            <w:shd w:val="clear" w:color="auto" w:fill="FFFFFF"/>
            <w:vAlign w:val="center"/>
          </w:tcPr>
          <w:p w14:paraId="7D398CBD" w14:textId="77777777" w:rsidR="00E03711" w:rsidRPr="00F769E0" w:rsidRDefault="00E03711" w:rsidP="0018158A">
            <w:pPr>
              <w:pStyle w:val="GUIDE-NORMAL"/>
              <w:spacing w:before="60" w:after="60"/>
              <w:rPr>
                <w:rFonts w:cs="Tahoma"/>
                <w:lang w:val="sl-SI" w:eastAsia="en-GB"/>
              </w:rPr>
            </w:pPr>
            <w:r w:rsidRPr="00F769E0">
              <w:rPr>
                <w:rFonts w:cs="Tahoma"/>
                <w:lang w:val="sl-SI" w:eastAsia="en-GB"/>
              </w:rPr>
              <w:t>Projekt mobilnosti na področju izobraževanja odraslih mora zajeti eno ali več naslednjih aktivnosti:</w:t>
            </w:r>
          </w:p>
          <w:p w14:paraId="7D398CBE" w14:textId="77777777" w:rsidR="00E03711" w:rsidRPr="001048FE" w:rsidRDefault="00E03711" w:rsidP="005115F2">
            <w:pPr>
              <w:pStyle w:val="Guide-NormalBulletpoints"/>
              <w:numPr>
                <w:ilvl w:val="0"/>
                <w:numId w:val="240"/>
              </w:numPr>
              <w:spacing w:before="60"/>
              <w:rPr>
                <w:lang w:val="sl-SI"/>
              </w:rPr>
            </w:pPr>
            <w:r w:rsidRPr="001048FE">
              <w:rPr>
                <w:lang w:val="sl-SI"/>
              </w:rPr>
              <w:t>poučevanje,</w:t>
            </w:r>
          </w:p>
          <w:p w14:paraId="7D398CBF" w14:textId="77777777" w:rsidR="00E03711" w:rsidRPr="001048FE" w:rsidRDefault="00E03711" w:rsidP="005115F2">
            <w:pPr>
              <w:pStyle w:val="Guide-NormalBulletpoints"/>
              <w:numPr>
                <w:ilvl w:val="0"/>
                <w:numId w:val="240"/>
              </w:numPr>
              <w:spacing w:before="60"/>
              <w:rPr>
                <w:lang w:val="sl-SI"/>
              </w:rPr>
            </w:pPr>
            <w:r w:rsidRPr="001048FE">
              <w:rPr>
                <w:lang w:val="sl-SI"/>
              </w:rPr>
              <w:t>strukturirane tečaje ali usposabljanja v tujini,</w:t>
            </w:r>
          </w:p>
          <w:p w14:paraId="7D398CC0" w14:textId="77777777" w:rsidR="00E03711" w:rsidRPr="001048FE" w:rsidRDefault="00E03711" w:rsidP="005115F2">
            <w:pPr>
              <w:pStyle w:val="Guide-NormalBulletpoints"/>
              <w:numPr>
                <w:ilvl w:val="0"/>
                <w:numId w:val="240"/>
              </w:numPr>
              <w:spacing w:before="60"/>
              <w:rPr>
                <w:lang w:val="sl-SI"/>
              </w:rPr>
            </w:pPr>
            <w:r w:rsidRPr="001048FE">
              <w:rPr>
                <w:lang w:val="sl-SI"/>
              </w:rPr>
              <w:t>izobraževalne obiske na delovnem mestu.</w:t>
            </w:r>
          </w:p>
        </w:tc>
      </w:tr>
      <w:tr w:rsidR="00E03711" w:rsidRPr="00A6094F" w14:paraId="7D398CD5" w14:textId="77777777" w:rsidTr="00321D17">
        <w:trPr>
          <w:trHeight w:val="57"/>
        </w:trPr>
        <w:tc>
          <w:tcPr>
            <w:tcW w:w="844" w:type="pct"/>
            <w:shd w:val="clear" w:color="auto" w:fill="FFFFFF"/>
            <w:vAlign w:val="center"/>
          </w:tcPr>
          <w:p w14:paraId="7D398CC2" w14:textId="77777777" w:rsidR="00E03711" w:rsidRPr="00F769E0" w:rsidRDefault="00E03711" w:rsidP="0018158A">
            <w:pPr>
              <w:pStyle w:val="Guide-Table"/>
              <w:spacing w:before="60" w:after="60"/>
              <w:jc w:val="left"/>
              <w:rPr>
                <w:rFonts w:cs="Tahoma"/>
                <w:b/>
                <w:lang w:val="sl-SI" w:eastAsia="en-GB"/>
              </w:rPr>
            </w:pPr>
            <w:r w:rsidRPr="00F769E0">
              <w:rPr>
                <w:rFonts w:cs="Tahoma"/>
                <w:b/>
                <w:lang w:val="sl-SI" w:eastAsia="en-GB"/>
              </w:rPr>
              <w:t>Upravičene sodelujoče organizacije</w:t>
            </w:r>
          </w:p>
        </w:tc>
        <w:tc>
          <w:tcPr>
            <w:tcW w:w="4156" w:type="pct"/>
            <w:shd w:val="clear" w:color="auto" w:fill="FFFFFF"/>
            <w:vAlign w:val="center"/>
          </w:tcPr>
          <w:p w14:paraId="7D398CC3" w14:textId="77777777" w:rsidR="00E03711" w:rsidRPr="00F769E0" w:rsidRDefault="00E03711" w:rsidP="0018158A">
            <w:pPr>
              <w:pStyle w:val="GUIDE-NORMAL"/>
              <w:spacing w:before="60" w:after="60"/>
              <w:rPr>
                <w:rFonts w:cs="Tahoma"/>
                <w:lang w:val="sl-SI" w:eastAsia="en-GB"/>
              </w:rPr>
            </w:pPr>
            <w:r w:rsidRPr="00F769E0">
              <w:rPr>
                <w:rFonts w:cs="Tahoma"/>
                <w:lang w:val="sl-SI" w:eastAsia="en-GB"/>
              </w:rPr>
              <w:t>Sodelujoča organizacija je lahko:</w:t>
            </w:r>
          </w:p>
          <w:p w14:paraId="7D398CC4" w14:textId="77777777" w:rsidR="00E03711" w:rsidRPr="001048FE" w:rsidRDefault="00E03711" w:rsidP="005115F2">
            <w:pPr>
              <w:pStyle w:val="Guide-NormalBulletpoints"/>
              <w:numPr>
                <w:ilvl w:val="0"/>
                <w:numId w:val="241"/>
              </w:numPr>
              <w:spacing w:before="60"/>
              <w:rPr>
                <w:lang w:val="sl-SI"/>
              </w:rPr>
            </w:pPr>
            <w:r w:rsidRPr="001048FE">
              <w:rPr>
                <w:lang w:val="sl-SI"/>
              </w:rPr>
              <w:t>katera koli javna ali zasebna organizacija, ki je aktivna na področju nepoklicnega izobraževanja odraslih (opredeljena kot organizacija za izobraževanje odraslih),</w:t>
            </w:r>
          </w:p>
          <w:p w14:paraId="7D398CC5" w14:textId="77777777" w:rsidR="00E03711" w:rsidRPr="00F769E0" w:rsidRDefault="00E03711" w:rsidP="0018158A">
            <w:pPr>
              <w:pStyle w:val="GUIDE-NORMAL"/>
              <w:spacing w:before="60" w:after="60"/>
              <w:rPr>
                <w:rFonts w:cs="Tahoma"/>
                <w:lang w:val="sl-SI" w:eastAsia="en-GB"/>
              </w:rPr>
            </w:pPr>
            <w:r w:rsidRPr="00F769E0">
              <w:rPr>
                <w:rFonts w:cs="Tahoma"/>
                <w:lang w:val="sl-SI" w:eastAsia="en-GB"/>
              </w:rPr>
              <w:t>ali</w:t>
            </w:r>
          </w:p>
          <w:p w14:paraId="7D398CC6" w14:textId="77777777" w:rsidR="00E03711" w:rsidRPr="001048FE" w:rsidRDefault="00E03711" w:rsidP="005115F2">
            <w:pPr>
              <w:pStyle w:val="Guide-NormalBulletpoints"/>
              <w:numPr>
                <w:ilvl w:val="0"/>
                <w:numId w:val="241"/>
              </w:numPr>
              <w:spacing w:before="60"/>
              <w:rPr>
                <w:lang w:val="sl-SI"/>
              </w:rPr>
            </w:pPr>
            <w:r w:rsidRPr="001048FE">
              <w:rPr>
                <w:lang w:val="sl-SI"/>
              </w:rPr>
              <w:t>javna ali zasebna organizacija, ki je aktivna na trgu dela ali v izobraževanju, usposabljanju in na področju mladine.</w:t>
            </w:r>
          </w:p>
          <w:p w14:paraId="7D398CC7" w14:textId="77777777" w:rsidR="00E03711" w:rsidRPr="00F769E0" w:rsidRDefault="00E03711" w:rsidP="0018158A">
            <w:pPr>
              <w:pStyle w:val="GUIDE-NORMAL"/>
              <w:spacing w:before="60" w:after="60"/>
              <w:rPr>
                <w:rFonts w:cs="Tahoma"/>
                <w:lang w:val="sl-SI" w:eastAsia="en-GB"/>
              </w:rPr>
            </w:pPr>
            <w:r w:rsidRPr="00F769E0">
              <w:rPr>
                <w:rFonts w:cs="Tahoma"/>
                <w:lang w:val="sl-SI" w:eastAsia="en-GB"/>
              </w:rPr>
              <w:t>Take organizacije so lahko na primer:</w:t>
            </w:r>
          </w:p>
          <w:p w14:paraId="7D398CC8" w14:textId="77777777" w:rsidR="00E03711" w:rsidRPr="001048FE" w:rsidRDefault="00E03711" w:rsidP="0018158A">
            <w:pPr>
              <w:pStyle w:val="Guide-ListDash"/>
              <w:spacing w:before="60" w:after="60"/>
              <w:rPr>
                <w:lang w:val="sl-SI"/>
              </w:rPr>
            </w:pPr>
            <w:r w:rsidRPr="001048FE">
              <w:rPr>
                <w:lang w:val="sl-SI"/>
              </w:rPr>
              <w:t>šola/zavod/center za izobraževanje odraslih;</w:t>
            </w:r>
          </w:p>
          <w:p w14:paraId="7D398CC9" w14:textId="77777777" w:rsidR="00E03711" w:rsidRPr="001048FE" w:rsidRDefault="00E03711" w:rsidP="0018158A">
            <w:pPr>
              <w:pStyle w:val="Guide-ListDash"/>
              <w:spacing w:before="60" w:after="60"/>
              <w:rPr>
                <w:lang w:val="sl-SI"/>
              </w:rPr>
            </w:pPr>
            <w:r w:rsidRPr="001048FE">
              <w:rPr>
                <w:lang w:val="sl-SI"/>
              </w:rPr>
              <w:t>ustanova za učeče se odrasle s posebnimi potrebami;</w:t>
            </w:r>
          </w:p>
          <w:p w14:paraId="7D398CCA" w14:textId="77777777" w:rsidR="00E03711" w:rsidRPr="001048FE" w:rsidRDefault="00E03711" w:rsidP="0018158A">
            <w:pPr>
              <w:pStyle w:val="Guide-ListDash"/>
              <w:spacing w:before="60" w:after="60"/>
              <w:rPr>
                <w:lang w:val="sl-SI"/>
              </w:rPr>
            </w:pPr>
            <w:r w:rsidRPr="001048FE">
              <w:rPr>
                <w:lang w:val="sl-SI"/>
              </w:rPr>
              <w:t>visokošolska institucija (tudi tiste, ki zagotavljajo priložnosti za izobraževanje odraslih);</w:t>
            </w:r>
          </w:p>
          <w:p w14:paraId="7D398CCB" w14:textId="77777777" w:rsidR="00E03711" w:rsidRPr="001048FE" w:rsidRDefault="00E03711" w:rsidP="0018158A">
            <w:pPr>
              <w:pStyle w:val="Guide-ListDash"/>
              <w:spacing w:before="60" w:after="60"/>
              <w:rPr>
                <w:lang w:val="sl-SI"/>
              </w:rPr>
            </w:pPr>
            <w:r w:rsidRPr="001048FE">
              <w:rPr>
                <w:lang w:val="sl-SI"/>
              </w:rPr>
              <w:t>javno ali zasebno malo, srednje ali veliko podjetje (vključno s socialnimi podjetji);</w:t>
            </w:r>
          </w:p>
          <w:p w14:paraId="7D398CCC" w14:textId="77777777" w:rsidR="00E03711" w:rsidRPr="001048FE" w:rsidRDefault="00E03711" w:rsidP="0018158A">
            <w:pPr>
              <w:pStyle w:val="Guide-ListDash"/>
              <w:spacing w:before="60" w:after="60"/>
              <w:rPr>
                <w:lang w:val="sl-SI"/>
              </w:rPr>
            </w:pPr>
            <w:r w:rsidRPr="001048FE">
              <w:rPr>
                <w:lang w:val="sl-SI"/>
              </w:rPr>
              <w:t>socialni partner ali drug predstavnik sveta dela, tudi gospodarske zbornice, obrtna/poklicna združenja in sindikati;</w:t>
            </w:r>
          </w:p>
          <w:p w14:paraId="7D398CCD" w14:textId="77777777" w:rsidR="00E03711" w:rsidRPr="001048FE" w:rsidRDefault="00E03711" w:rsidP="0018158A">
            <w:pPr>
              <w:pStyle w:val="Guide-ListDash"/>
              <w:spacing w:before="60" w:after="60"/>
              <w:rPr>
                <w:lang w:val="sl-SI"/>
              </w:rPr>
            </w:pPr>
            <w:r w:rsidRPr="001048FE">
              <w:rPr>
                <w:lang w:val="sl-SI"/>
              </w:rPr>
              <w:t>javni organ na lokalni, regionalni ali nacionalni ravni;</w:t>
            </w:r>
          </w:p>
          <w:p w14:paraId="7D398CCE" w14:textId="77777777" w:rsidR="00E03711" w:rsidRPr="001048FE" w:rsidRDefault="00E03711" w:rsidP="0018158A">
            <w:pPr>
              <w:pStyle w:val="Guide-ListDash"/>
              <w:spacing w:before="60" w:after="60"/>
              <w:rPr>
                <w:lang w:val="sl-SI"/>
              </w:rPr>
            </w:pPr>
            <w:r w:rsidRPr="001048FE">
              <w:rPr>
                <w:lang w:val="sl-SI"/>
              </w:rPr>
              <w:t>raziskovalni inštitut;</w:t>
            </w:r>
          </w:p>
          <w:p w14:paraId="7D398CCF" w14:textId="77777777" w:rsidR="00E03711" w:rsidRPr="001048FE" w:rsidRDefault="00E03711" w:rsidP="0018158A">
            <w:pPr>
              <w:pStyle w:val="Guide-ListDash"/>
              <w:spacing w:before="60" w:after="60"/>
              <w:rPr>
                <w:lang w:val="sl-SI"/>
              </w:rPr>
            </w:pPr>
            <w:r w:rsidRPr="001048FE">
              <w:rPr>
                <w:lang w:val="sl-SI"/>
              </w:rPr>
              <w:t>fundacija;</w:t>
            </w:r>
          </w:p>
          <w:p w14:paraId="7D398CD0" w14:textId="77777777" w:rsidR="00E03711" w:rsidRPr="001048FE" w:rsidRDefault="00E03711" w:rsidP="0018158A">
            <w:pPr>
              <w:pStyle w:val="Guide-ListDash"/>
              <w:spacing w:before="60" w:after="60"/>
              <w:rPr>
                <w:lang w:val="sl-SI"/>
              </w:rPr>
            </w:pPr>
            <w:r w:rsidRPr="001048FE">
              <w:rPr>
                <w:lang w:val="sl-SI"/>
              </w:rPr>
              <w:t>šola/zavod/center za izobraževanje;</w:t>
            </w:r>
          </w:p>
          <w:p w14:paraId="7D398CD1" w14:textId="77777777" w:rsidR="00E03711" w:rsidRPr="001048FE" w:rsidRDefault="00E03711" w:rsidP="0018158A">
            <w:pPr>
              <w:pStyle w:val="Guide-ListDash"/>
              <w:spacing w:before="60" w:after="60"/>
              <w:rPr>
                <w:lang w:val="sl-SI"/>
              </w:rPr>
            </w:pPr>
            <w:r w:rsidRPr="001048FE">
              <w:rPr>
                <w:lang w:val="sl-SI"/>
              </w:rPr>
              <w:t>neprofitna organizacija, združenje, nevladna organizacija;</w:t>
            </w:r>
          </w:p>
          <w:p w14:paraId="7D398CD2" w14:textId="77777777" w:rsidR="00E03711" w:rsidRPr="001048FE" w:rsidRDefault="00E03711" w:rsidP="0018158A">
            <w:pPr>
              <w:pStyle w:val="Guide-ListDash"/>
              <w:spacing w:before="60" w:after="60"/>
              <w:rPr>
                <w:lang w:val="sl-SI"/>
              </w:rPr>
            </w:pPr>
            <w:r w:rsidRPr="001048FE">
              <w:rPr>
                <w:lang w:val="sl-SI"/>
              </w:rPr>
              <w:t>kulturna organizacija, knjižnica, muzej;</w:t>
            </w:r>
          </w:p>
          <w:p w14:paraId="7D398CD3" w14:textId="77777777" w:rsidR="00E03711" w:rsidRPr="001048FE" w:rsidRDefault="00E03711" w:rsidP="0018158A">
            <w:pPr>
              <w:pStyle w:val="Guide-ListDash"/>
              <w:spacing w:before="60" w:after="60"/>
              <w:rPr>
                <w:lang w:val="sl-SI"/>
              </w:rPr>
            </w:pPr>
            <w:r w:rsidRPr="001048FE">
              <w:rPr>
                <w:lang w:val="sl-SI"/>
              </w:rPr>
              <w:t>organ, ki zagotavlja karierno orientacijo, poklicno svetovanje in informiranje.</w:t>
            </w:r>
          </w:p>
          <w:p w14:paraId="7D398CD4" w14:textId="77777777" w:rsidR="00E03711" w:rsidRPr="00F769E0" w:rsidRDefault="00E03711" w:rsidP="0018158A">
            <w:pPr>
              <w:pStyle w:val="GUIDE-NORMAL"/>
              <w:spacing w:before="60" w:after="60"/>
              <w:rPr>
                <w:rFonts w:cs="Tahoma"/>
                <w:lang w:val="sl-SI" w:eastAsia="en-GB"/>
              </w:rPr>
            </w:pPr>
            <w:r w:rsidRPr="00F769E0">
              <w:rPr>
                <w:rFonts w:cs="Tahoma"/>
                <w:lang w:val="sl-SI" w:eastAsia="en-GB"/>
              </w:rPr>
              <w:t>Vse organizacije morajo imeti sedež v državi Programa.</w:t>
            </w:r>
          </w:p>
        </w:tc>
      </w:tr>
      <w:tr w:rsidR="00E03711" w:rsidRPr="00A6094F" w14:paraId="7D398CDA" w14:textId="77777777" w:rsidTr="00321D17">
        <w:trPr>
          <w:trHeight w:val="57"/>
        </w:trPr>
        <w:tc>
          <w:tcPr>
            <w:tcW w:w="844" w:type="pct"/>
            <w:shd w:val="clear" w:color="auto" w:fill="FFFFFF"/>
            <w:vAlign w:val="center"/>
          </w:tcPr>
          <w:p w14:paraId="7D398CD6" w14:textId="77777777" w:rsidR="00E03711" w:rsidRPr="00F769E0" w:rsidRDefault="00E03711" w:rsidP="0018158A">
            <w:pPr>
              <w:pStyle w:val="Guide-Table"/>
              <w:spacing w:before="60" w:after="60"/>
              <w:jc w:val="left"/>
              <w:rPr>
                <w:rFonts w:cs="Tahoma"/>
                <w:b/>
                <w:lang w:val="sl-SI" w:eastAsia="en-GB"/>
              </w:rPr>
            </w:pPr>
            <w:r w:rsidRPr="00F769E0">
              <w:rPr>
                <w:rFonts w:cs="Tahoma"/>
                <w:b/>
                <w:lang w:val="sl-SI" w:eastAsia="en-GB"/>
              </w:rPr>
              <w:t>Kdo se lahko prijavi?</w:t>
            </w:r>
          </w:p>
        </w:tc>
        <w:tc>
          <w:tcPr>
            <w:tcW w:w="4156" w:type="pct"/>
            <w:shd w:val="clear" w:color="auto" w:fill="FFFFFF"/>
            <w:vAlign w:val="center"/>
          </w:tcPr>
          <w:p w14:paraId="7D398CD7" w14:textId="77777777" w:rsidR="00E03711" w:rsidRPr="001048FE" w:rsidRDefault="00E03711" w:rsidP="005115F2">
            <w:pPr>
              <w:pStyle w:val="Guide-NormalBulletpoints"/>
              <w:numPr>
                <w:ilvl w:val="0"/>
                <w:numId w:val="241"/>
              </w:numPr>
              <w:spacing w:before="60"/>
              <w:rPr>
                <w:lang w:val="sl-SI"/>
              </w:rPr>
            </w:pPr>
            <w:r w:rsidRPr="001048FE">
              <w:rPr>
                <w:lang w:val="sl-SI"/>
              </w:rPr>
              <w:t>Organizacija za nepoklicno izobraževanje odraslih, ki pošilja svoje osebje v tujino;</w:t>
            </w:r>
          </w:p>
          <w:p w14:paraId="7D398CD8" w14:textId="77777777" w:rsidR="00E03711" w:rsidRPr="001048FE" w:rsidRDefault="00E03711" w:rsidP="005115F2">
            <w:pPr>
              <w:pStyle w:val="Guide-NormalBulletpoints"/>
              <w:numPr>
                <w:ilvl w:val="0"/>
                <w:numId w:val="241"/>
              </w:numPr>
              <w:spacing w:before="60"/>
              <w:rPr>
                <w:lang w:val="sl-SI"/>
              </w:rPr>
            </w:pPr>
            <w:r w:rsidRPr="001048FE">
              <w:rPr>
                <w:lang w:val="sl-SI"/>
              </w:rPr>
              <w:t>Organizacija za nepoklicno izobraževanje odraslih, ki deluje kot koordinator nacionalnega konzorcija za mobilnost, sestavljenega iz organizacij za nepoklicno izobraževanje odraslih.</w:t>
            </w:r>
          </w:p>
          <w:p w14:paraId="7D398CD9" w14:textId="77777777" w:rsidR="00E03711" w:rsidRPr="00F769E0" w:rsidRDefault="00E03711" w:rsidP="0018158A">
            <w:pPr>
              <w:pStyle w:val="GUIDE-NORMAL"/>
              <w:spacing w:before="60" w:after="60"/>
              <w:rPr>
                <w:rFonts w:cs="Tahoma"/>
                <w:lang w:val="sl-SI" w:eastAsia="en-GB"/>
              </w:rPr>
            </w:pPr>
            <w:r w:rsidRPr="00F769E0">
              <w:rPr>
                <w:rFonts w:cs="Tahoma"/>
                <w:lang w:val="sl-SI" w:eastAsia="en-GB"/>
              </w:rPr>
              <w:t>Posamezniki ne morejo neposredno oddati vloge za nepovratna sredstva.</w:t>
            </w:r>
          </w:p>
        </w:tc>
      </w:tr>
      <w:tr w:rsidR="00E03711" w:rsidRPr="00A6094F" w14:paraId="7D398CDF" w14:textId="77777777" w:rsidTr="00321D17">
        <w:trPr>
          <w:trHeight w:val="57"/>
        </w:trPr>
        <w:tc>
          <w:tcPr>
            <w:tcW w:w="844" w:type="pct"/>
            <w:shd w:val="clear" w:color="auto" w:fill="FFFFFF"/>
            <w:vAlign w:val="center"/>
          </w:tcPr>
          <w:p w14:paraId="7D398CDB" w14:textId="77777777" w:rsidR="00E03711" w:rsidRPr="00F769E0" w:rsidRDefault="00E03711" w:rsidP="0018158A">
            <w:pPr>
              <w:pStyle w:val="Guide-Table"/>
              <w:spacing w:before="60" w:after="60"/>
              <w:jc w:val="left"/>
              <w:rPr>
                <w:rFonts w:cs="Tahoma"/>
                <w:b/>
                <w:lang w:val="sl-SI" w:eastAsia="en-GB"/>
              </w:rPr>
            </w:pPr>
            <w:r w:rsidRPr="00F769E0">
              <w:rPr>
                <w:rFonts w:cs="Tahoma"/>
                <w:b/>
                <w:lang w:val="sl-SI" w:eastAsia="en-GB"/>
              </w:rPr>
              <w:t>Število sodelujočih organizacij</w:t>
            </w:r>
          </w:p>
        </w:tc>
        <w:tc>
          <w:tcPr>
            <w:tcW w:w="4156" w:type="pct"/>
            <w:shd w:val="clear" w:color="auto" w:fill="FFFFFF"/>
            <w:vAlign w:val="center"/>
          </w:tcPr>
          <w:p w14:paraId="7D398CDC" w14:textId="77777777" w:rsidR="00E03711" w:rsidRPr="00F769E0" w:rsidRDefault="00E03711" w:rsidP="0018158A">
            <w:pPr>
              <w:pStyle w:val="GUIDE-NORMAL"/>
              <w:spacing w:before="60" w:after="60"/>
              <w:rPr>
                <w:rFonts w:cs="Tahoma"/>
                <w:lang w:val="sl-SI" w:eastAsia="en-GB"/>
              </w:rPr>
            </w:pPr>
            <w:r w:rsidRPr="00F769E0">
              <w:rPr>
                <w:rFonts w:cs="Tahoma"/>
                <w:lang w:val="sl-SI" w:eastAsia="en-GB"/>
              </w:rPr>
              <w:t>Ob oddaji vloge za nepovratna sredstva mora biti opredeljena samo organizacija pošiljateljica.</w:t>
            </w:r>
          </w:p>
          <w:p w14:paraId="7D398CDD" w14:textId="77777777" w:rsidR="00E03711" w:rsidRPr="00F769E0" w:rsidRDefault="00E03711" w:rsidP="0018158A">
            <w:pPr>
              <w:pStyle w:val="GUIDE-NORMAL"/>
              <w:spacing w:before="60" w:after="60"/>
              <w:rPr>
                <w:rFonts w:cs="Tahoma"/>
                <w:lang w:val="sl-SI" w:eastAsia="en-GB"/>
              </w:rPr>
            </w:pPr>
            <w:r w:rsidRPr="00F769E0">
              <w:rPr>
                <w:rFonts w:cs="Tahoma"/>
                <w:lang w:val="sl-SI" w:eastAsia="en-GB"/>
              </w:rPr>
              <w:t>V primeru projektov, ki jih prijavi nacionalni konzorcij za mobilnost, morajo biti vsi člani konzorcija iz iste države Programa in opredeljeni ob oddaji vloge za nepovratna sredstva. Konzorcij mora biti sestavljen iz vsaj treh organizacij za izobraževanje odraslih.</w:t>
            </w:r>
          </w:p>
          <w:p w14:paraId="7D398CDE" w14:textId="77777777" w:rsidR="00E03711" w:rsidRPr="00F769E0" w:rsidRDefault="00E03711" w:rsidP="0018158A">
            <w:pPr>
              <w:pStyle w:val="GUIDE-NORMAL"/>
              <w:spacing w:before="60" w:after="60"/>
              <w:rPr>
                <w:rFonts w:cs="Tahoma"/>
                <w:lang w:val="sl-SI" w:eastAsia="en-GB"/>
              </w:rPr>
            </w:pPr>
            <w:r w:rsidRPr="00F769E0">
              <w:rPr>
                <w:rFonts w:cs="Tahoma"/>
                <w:lang w:val="sl-SI" w:eastAsia="en-GB"/>
              </w:rPr>
              <w:t>Med izvajanjem projekta mobilnosti morata sodelovati vsaj dve organizaciji (vsaj ena pošiljateljica in vsaj ena gostiteljica) iz različnih držav Programa.</w:t>
            </w:r>
          </w:p>
        </w:tc>
      </w:tr>
      <w:tr w:rsidR="00E03711" w:rsidRPr="00A6094F" w14:paraId="7D398CE2" w14:textId="77777777" w:rsidTr="00321D17">
        <w:trPr>
          <w:trHeight w:val="57"/>
        </w:trPr>
        <w:tc>
          <w:tcPr>
            <w:tcW w:w="844" w:type="pct"/>
            <w:shd w:val="clear" w:color="auto" w:fill="FFFFFF"/>
            <w:vAlign w:val="center"/>
          </w:tcPr>
          <w:p w14:paraId="7D398CE0" w14:textId="77777777" w:rsidR="00E03711" w:rsidRPr="00F769E0" w:rsidRDefault="00E03711" w:rsidP="0018158A">
            <w:pPr>
              <w:pStyle w:val="Guide-Table"/>
              <w:spacing w:before="60" w:after="60"/>
              <w:jc w:val="left"/>
              <w:rPr>
                <w:rFonts w:cs="Tahoma"/>
                <w:b/>
                <w:lang w:val="sl-SI" w:eastAsia="en-GB"/>
              </w:rPr>
            </w:pPr>
            <w:r w:rsidRPr="00F769E0">
              <w:rPr>
                <w:rFonts w:cs="Tahoma"/>
                <w:b/>
                <w:lang w:val="sl-SI" w:eastAsia="en-GB"/>
              </w:rPr>
              <w:t>Trajanje projekta</w:t>
            </w:r>
          </w:p>
        </w:tc>
        <w:tc>
          <w:tcPr>
            <w:tcW w:w="4156" w:type="pct"/>
            <w:shd w:val="clear" w:color="auto" w:fill="FFFFFF"/>
            <w:vAlign w:val="center"/>
          </w:tcPr>
          <w:p w14:paraId="7D398CE1" w14:textId="77777777" w:rsidR="00E03711" w:rsidRPr="00F769E0" w:rsidRDefault="00E03711" w:rsidP="0018158A">
            <w:pPr>
              <w:pStyle w:val="GUIDE-NORMAL"/>
              <w:spacing w:before="60" w:after="60"/>
              <w:rPr>
                <w:rFonts w:cs="Tahoma"/>
                <w:lang w:val="sl-SI" w:eastAsia="en-GB"/>
              </w:rPr>
            </w:pPr>
            <w:r w:rsidRPr="00F769E0">
              <w:rPr>
                <w:rFonts w:cs="Tahoma"/>
                <w:lang w:val="sl-SI" w:eastAsia="en-GB"/>
              </w:rPr>
              <w:t>1 do 2 leti. Prijavitelj mora izbrati trajanje projekta ob prijavi na podlagi cilja projekta in vrste aktivnosti, ki so načrtovane v tem času.</w:t>
            </w:r>
          </w:p>
        </w:tc>
      </w:tr>
      <w:tr w:rsidR="00E03711" w:rsidRPr="00A6094F" w14:paraId="7D398CE6" w14:textId="77777777" w:rsidTr="00321D17">
        <w:trPr>
          <w:trHeight w:val="57"/>
        </w:trPr>
        <w:tc>
          <w:tcPr>
            <w:tcW w:w="844" w:type="pct"/>
            <w:shd w:val="clear" w:color="auto" w:fill="FFFFFF"/>
            <w:vAlign w:val="center"/>
          </w:tcPr>
          <w:p w14:paraId="7D398CE3" w14:textId="77777777" w:rsidR="00E03711" w:rsidRPr="00F769E0" w:rsidRDefault="00E03711" w:rsidP="0018158A">
            <w:pPr>
              <w:pStyle w:val="Guide-Table"/>
              <w:spacing w:before="60" w:after="60"/>
              <w:jc w:val="left"/>
              <w:rPr>
                <w:rFonts w:cs="Tahoma"/>
                <w:b/>
                <w:lang w:val="sl-SI" w:eastAsia="en-GB"/>
              </w:rPr>
            </w:pPr>
            <w:r w:rsidRPr="00F769E0">
              <w:rPr>
                <w:rFonts w:cs="Tahoma"/>
                <w:b/>
                <w:lang w:val="sl-SI" w:eastAsia="en-GB"/>
              </w:rPr>
              <w:t>Trajanje aktivnosti</w:t>
            </w:r>
          </w:p>
        </w:tc>
        <w:tc>
          <w:tcPr>
            <w:tcW w:w="4156" w:type="pct"/>
            <w:shd w:val="clear" w:color="auto" w:fill="FFFFFF"/>
            <w:vAlign w:val="center"/>
          </w:tcPr>
          <w:p w14:paraId="7D398CE4" w14:textId="77777777" w:rsidR="00E03711" w:rsidRPr="00F769E0" w:rsidRDefault="00E03711" w:rsidP="0018158A">
            <w:pPr>
              <w:pStyle w:val="GUIDE-NORMAL"/>
              <w:spacing w:before="60" w:after="60"/>
              <w:rPr>
                <w:rFonts w:cs="Tahoma"/>
                <w:lang w:val="sl-SI" w:eastAsia="en-GB"/>
              </w:rPr>
            </w:pPr>
            <w:r w:rsidRPr="00F769E0">
              <w:rPr>
                <w:rFonts w:cs="Tahoma"/>
                <w:lang w:val="sl-SI" w:eastAsia="en-GB"/>
              </w:rPr>
              <w:t>Od 2 dni do 2 mesecev, v kar ni zajet čas poti.</w:t>
            </w:r>
          </w:p>
          <w:p w14:paraId="7D398CE5" w14:textId="77777777" w:rsidR="00E03711" w:rsidRPr="00F769E0" w:rsidRDefault="00E03711" w:rsidP="0018158A">
            <w:pPr>
              <w:pStyle w:val="GUIDE-NORMAL"/>
              <w:spacing w:before="60" w:after="60"/>
              <w:rPr>
                <w:rFonts w:cs="Tahoma"/>
                <w:lang w:val="sl-SI" w:eastAsia="en-GB"/>
              </w:rPr>
            </w:pPr>
            <w:r w:rsidRPr="00F769E0">
              <w:rPr>
                <w:rFonts w:cs="Tahoma"/>
                <w:lang w:val="sl-SI" w:eastAsia="en-GB"/>
              </w:rPr>
              <w:t>Od tega morata biti najmanj 2 zaporedna dneva.</w:t>
            </w:r>
          </w:p>
        </w:tc>
      </w:tr>
      <w:tr w:rsidR="00E03711" w:rsidRPr="00A6094F" w14:paraId="7D398CE9" w14:textId="77777777" w:rsidTr="00321D17">
        <w:trPr>
          <w:trHeight w:val="57"/>
        </w:trPr>
        <w:tc>
          <w:tcPr>
            <w:tcW w:w="844" w:type="pct"/>
            <w:shd w:val="clear" w:color="auto" w:fill="FFFFFF"/>
            <w:vAlign w:val="center"/>
          </w:tcPr>
          <w:p w14:paraId="7D398CE7" w14:textId="77777777" w:rsidR="00E03711" w:rsidRPr="00F769E0" w:rsidRDefault="00E03711" w:rsidP="0018158A">
            <w:pPr>
              <w:pStyle w:val="Guide-Table"/>
              <w:spacing w:before="60" w:after="60"/>
              <w:jc w:val="left"/>
              <w:rPr>
                <w:rFonts w:cs="Tahoma"/>
                <w:b/>
                <w:lang w:val="sl-SI" w:eastAsia="en-GB"/>
              </w:rPr>
            </w:pPr>
            <w:r w:rsidRPr="00F769E0">
              <w:rPr>
                <w:rFonts w:cs="Tahoma"/>
                <w:b/>
                <w:lang w:val="sl-SI" w:eastAsia="en-GB"/>
              </w:rPr>
              <w:t>Kraji izvajanja aktivnosti</w:t>
            </w:r>
          </w:p>
        </w:tc>
        <w:tc>
          <w:tcPr>
            <w:tcW w:w="4156" w:type="pct"/>
            <w:shd w:val="clear" w:color="auto" w:fill="FFFFFF"/>
            <w:vAlign w:val="center"/>
          </w:tcPr>
          <w:p w14:paraId="7D398CE8" w14:textId="77777777" w:rsidR="00E03711" w:rsidRPr="00F769E0" w:rsidRDefault="00E03711" w:rsidP="0018158A">
            <w:pPr>
              <w:pStyle w:val="GUIDE-NORMAL"/>
              <w:spacing w:before="60" w:after="60"/>
              <w:rPr>
                <w:rFonts w:cs="Tahoma"/>
                <w:lang w:val="sl-SI" w:eastAsia="en-GB"/>
              </w:rPr>
            </w:pPr>
            <w:r w:rsidRPr="00F769E0">
              <w:rPr>
                <w:rFonts w:cs="Tahoma"/>
                <w:lang w:val="sl-SI" w:eastAsia="en-GB"/>
              </w:rPr>
              <w:t>Udeleženci morajo opraviti aktivnost mobilnosti v tujini, v drugi državi Programa.</w:t>
            </w:r>
          </w:p>
        </w:tc>
      </w:tr>
      <w:tr w:rsidR="00E03711" w:rsidRPr="00A6094F" w14:paraId="7D398CEC" w14:textId="77777777" w:rsidTr="00977659">
        <w:trPr>
          <w:trHeight w:val="57"/>
        </w:trPr>
        <w:tc>
          <w:tcPr>
            <w:tcW w:w="844" w:type="pct"/>
            <w:tcBorders>
              <w:bottom w:val="single" w:sz="4" w:space="0" w:color="auto"/>
            </w:tcBorders>
            <w:shd w:val="clear" w:color="auto" w:fill="FFFFFF"/>
            <w:vAlign w:val="center"/>
          </w:tcPr>
          <w:p w14:paraId="7D398CEA" w14:textId="77777777" w:rsidR="00E03711" w:rsidRPr="00F769E0" w:rsidRDefault="00E03711" w:rsidP="0018158A">
            <w:pPr>
              <w:pStyle w:val="Guide-Table"/>
              <w:spacing w:before="60" w:after="60"/>
              <w:jc w:val="left"/>
              <w:rPr>
                <w:rFonts w:cs="Tahoma"/>
                <w:b/>
                <w:lang w:val="sl-SI" w:eastAsia="en-GB"/>
              </w:rPr>
            </w:pPr>
            <w:r w:rsidRPr="00F769E0">
              <w:rPr>
                <w:rFonts w:cs="Tahoma"/>
                <w:b/>
                <w:lang w:val="sl-SI" w:eastAsia="en-GB"/>
              </w:rPr>
              <w:t>Upravičeni udeleženci</w:t>
            </w:r>
          </w:p>
        </w:tc>
        <w:tc>
          <w:tcPr>
            <w:tcW w:w="4156" w:type="pct"/>
            <w:tcBorders>
              <w:bottom w:val="single" w:sz="4" w:space="0" w:color="auto"/>
            </w:tcBorders>
            <w:shd w:val="clear" w:color="auto" w:fill="FFFFFF"/>
            <w:vAlign w:val="center"/>
          </w:tcPr>
          <w:p w14:paraId="7D398CEB" w14:textId="77777777" w:rsidR="00E03711" w:rsidRPr="00F769E0" w:rsidRDefault="00E03711" w:rsidP="0018158A">
            <w:pPr>
              <w:pStyle w:val="GUIDE-NORMAL"/>
              <w:spacing w:before="60" w:after="60"/>
              <w:rPr>
                <w:rFonts w:cs="Tahoma"/>
                <w:lang w:val="sl-SI" w:eastAsia="en-GB"/>
              </w:rPr>
            </w:pPr>
            <w:r w:rsidRPr="00F769E0">
              <w:rPr>
                <w:rFonts w:cs="Tahoma"/>
                <w:lang w:val="sl-SI" w:eastAsia="en-GB"/>
              </w:rPr>
              <w:t>Osebje, ki izvaja izobraževanje odraslih in v delovnem oz. pogodbenem razmerju z organizacijo pošiljateljico, ki deluje na področju izobraževanja odraslih, kot tudi osebje, ki je vključeno v strateški razvoj organizacije.</w:t>
            </w:r>
          </w:p>
        </w:tc>
      </w:tr>
      <w:tr w:rsidR="00E03711" w:rsidRPr="00654F6A" w14:paraId="7D398CEF" w14:textId="77777777" w:rsidTr="00977659">
        <w:trPr>
          <w:trHeight w:val="57"/>
        </w:trPr>
        <w:tc>
          <w:tcPr>
            <w:tcW w:w="844" w:type="pct"/>
            <w:tcBorders>
              <w:top w:val="single" w:sz="4" w:space="0" w:color="auto"/>
              <w:bottom w:val="single" w:sz="4" w:space="0" w:color="auto"/>
            </w:tcBorders>
            <w:shd w:val="clear" w:color="auto" w:fill="FFFFFF"/>
            <w:vAlign w:val="center"/>
          </w:tcPr>
          <w:p w14:paraId="7D398CED" w14:textId="77777777" w:rsidR="00E03711" w:rsidRPr="00F769E0" w:rsidRDefault="00E03711" w:rsidP="0018158A">
            <w:pPr>
              <w:pStyle w:val="Guide-Table"/>
              <w:spacing w:before="60" w:after="60"/>
              <w:jc w:val="left"/>
              <w:rPr>
                <w:rFonts w:cs="Tahoma"/>
                <w:b/>
                <w:lang w:val="sl-SI" w:eastAsia="en-GB"/>
              </w:rPr>
            </w:pPr>
            <w:r w:rsidRPr="00F769E0">
              <w:rPr>
                <w:rFonts w:cs="Tahoma"/>
                <w:b/>
                <w:lang w:val="sl-SI" w:eastAsia="en-GB"/>
              </w:rPr>
              <w:t>Kje se prijaviti?</w:t>
            </w:r>
          </w:p>
        </w:tc>
        <w:tc>
          <w:tcPr>
            <w:tcW w:w="4156" w:type="pct"/>
            <w:tcBorders>
              <w:top w:val="single" w:sz="4" w:space="0" w:color="auto"/>
              <w:bottom w:val="single" w:sz="4" w:space="0" w:color="auto"/>
            </w:tcBorders>
            <w:shd w:val="clear" w:color="auto" w:fill="FFFFFF"/>
            <w:vAlign w:val="center"/>
          </w:tcPr>
          <w:p w14:paraId="7D398CEE" w14:textId="77777777" w:rsidR="00E03711" w:rsidRPr="00F769E0" w:rsidRDefault="00E03711" w:rsidP="0018158A">
            <w:pPr>
              <w:pStyle w:val="GUIDE-NORMAL"/>
              <w:spacing w:before="60" w:after="60"/>
              <w:rPr>
                <w:rFonts w:cs="Tahoma"/>
                <w:lang w:val="sl-SI" w:eastAsia="en-GB"/>
              </w:rPr>
            </w:pPr>
            <w:r w:rsidRPr="00F769E0">
              <w:rPr>
                <w:rFonts w:cs="Tahoma"/>
                <w:lang w:val="sl-SI" w:eastAsia="en-GB"/>
              </w:rPr>
              <w:t>Pri nacionalni agenciji v državi, v kateri ima organizacija prijaviteljica sedež.</w:t>
            </w:r>
          </w:p>
        </w:tc>
      </w:tr>
      <w:tr w:rsidR="00E03711" w:rsidRPr="00A6094F" w14:paraId="7D398CF5" w14:textId="77777777" w:rsidTr="00977659">
        <w:trPr>
          <w:trHeight w:val="57"/>
        </w:trPr>
        <w:tc>
          <w:tcPr>
            <w:tcW w:w="844" w:type="pct"/>
            <w:tcBorders>
              <w:top w:val="single" w:sz="4" w:space="0" w:color="auto"/>
            </w:tcBorders>
            <w:shd w:val="clear" w:color="auto" w:fill="FFFFFF"/>
            <w:vAlign w:val="center"/>
          </w:tcPr>
          <w:p w14:paraId="7D398CF0" w14:textId="77777777" w:rsidR="00E03711" w:rsidRPr="00F769E0" w:rsidRDefault="00E03711" w:rsidP="0018158A">
            <w:pPr>
              <w:pStyle w:val="Guide-Table"/>
              <w:spacing w:before="60" w:after="60"/>
              <w:jc w:val="left"/>
              <w:rPr>
                <w:rFonts w:cs="Tahoma"/>
                <w:b/>
                <w:lang w:val="sl-SI" w:eastAsia="en-GB"/>
              </w:rPr>
            </w:pPr>
            <w:r w:rsidRPr="00F769E0">
              <w:rPr>
                <w:rFonts w:cs="Tahoma"/>
                <w:b/>
                <w:lang w:val="sl-SI" w:eastAsia="en-GB"/>
              </w:rPr>
              <w:t>Kdaj se prijaviti?</w:t>
            </w:r>
          </w:p>
        </w:tc>
        <w:tc>
          <w:tcPr>
            <w:tcW w:w="4156" w:type="pct"/>
            <w:tcBorders>
              <w:top w:val="single" w:sz="4" w:space="0" w:color="auto"/>
            </w:tcBorders>
            <w:shd w:val="clear" w:color="auto" w:fill="FFFFFF"/>
            <w:vAlign w:val="center"/>
          </w:tcPr>
          <w:p w14:paraId="7D398CF1" w14:textId="77777777" w:rsidR="00E03711" w:rsidRPr="00F769E0" w:rsidRDefault="00E03711" w:rsidP="0018158A">
            <w:pPr>
              <w:pStyle w:val="GUIDE-NORMAL"/>
              <w:spacing w:before="60" w:after="60"/>
              <w:rPr>
                <w:rFonts w:cs="Tahoma"/>
                <w:lang w:val="sl-SI" w:eastAsia="en-GB"/>
              </w:rPr>
            </w:pPr>
            <w:r w:rsidRPr="00F769E0">
              <w:rPr>
                <w:rFonts w:cs="Tahoma"/>
                <w:lang w:val="sl-SI" w:eastAsia="en-GB"/>
              </w:rPr>
              <w:t xml:space="preserve">Prijavitelji morajo vlogo za nepovratna sredstva oddati do </w:t>
            </w:r>
            <w:r w:rsidRPr="00F769E0">
              <w:rPr>
                <w:rFonts w:cs="Tahoma"/>
                <w:b/>
                <w:lang w:val="sl-SI" w:eastAsia="en-GB"/>
              </w:rPr>
              <w:t>5. februarja do 12. ure (opoldne po bruseljskem času)</w:t>
            </w:r>
            <w:r w:rsidRPr="00F769E0">
              <w:rPr>
                <w:rFonts w:cs="Tahoma"/>
                <w:lang w:val="sl-SI" w:eastAsia="en-GB"/>
              </w:rPr>
              <w:t xml:space="preserve"> za projekte, ki se začnejo med 1. junijem in 31. decembrom istega leta.</w:t>
            </w:r>
          </w:p>
          <w:p w14:paraId="7D398CF2" w14:textId="77777777" w:rsidR="00E03711" w:rsidRPr="00F769E0" w:rsidRDefault="00E03711" w:rsidP="0018158A">
            <w:pPr>
              <w:pStyle w:val="GUIDE-NORMAL"/>
              <w:spacing w:before="60" w:after="60"/>
              <w:rPr>
                <w:rFonts w:cs="Tahoma"/>
                <w:b/>
                <w:lang w:val="sl-SI" w:eastAsia="en-GB"/>
              </w:rPr>
            </w:pPr>
            <w:r w:rsidRPr="00F769E0">
              <w:rPr>
                <w:rFonts w:cs="Tahoma"/>
                <w:b/>
                <w:lang w:val="sl-SI" w:eastAsia="en-GB"/>
              </w:rPr>
              <w:t>Možen dodatni rok:</w:t>
            </w:r>
          </w:p>
          <w:p w14:paraId="7D398CF3" w14:textId="77777777" w:rsidR="00E03711" w:rsidRPr="00F769E0" w:rsidRDefault="00E03711" w:rsidP="0018158A">
            <w:pPr>
              <w:pStyle w:val="GUIDE-NORMAL"/>
              <w:spacing w:before="60" w:after="60"/>
              <w:rPr>
                <w:rFonts w:cs="Tahoma"/>
                <w:lang w:val="sl-SI" w:eastAsia="en-GB"/>
              </w:rPr>
            </w:pPr>
            <w:r w:rsidRPr="00F769E0">
              <w:rPr>
                <w:rFonts w:cs="Tahoma"/>
                <w:lang w:val="sl-SI" w:eastAsia="en-GB"/>
              </w:rPr>
              <w:t xml:space="preserve">Nacionalne agencije lahko organizirajo drugi krog prijav, če ostanejo neporabljena sredstva, za katerega tudi veljajo pravila iz tega vodnika. Nacionalne agencije bodo možnosti za to objavile na svojih spletnih straneh. </w:t>
            </w:r>
          </w:p>
          <w:p w14:paraId="7D398CF4" w14:textId="77777777" w:rsidR="00E03711" w:rsidRPr="00F769E0" w:rsidRDefault="00E03711" w:rsidP="0018158A">
            <w:pPr>
              <w:pStyle w:val="GUIDE-NORMAL"/>
              <w:spacing w:before="60" w:after="60"/>
              <w:rPr>
                <w:rFonts w:cs="Tahoma"/>
                <w:lang w:val="sl-SI" w:eastAsia="en-GB"/>
              </w:rPr>
            </w:pPr>
            <w:r w:rsidRPr="00F769E0">
              <w:rPr>
                <w:rFonts w:cs="Tahoma"/>
                <w:lang w:val="sl-SI" w:eastAsia="en-GB"/>
              </w:rPr>
              <w:t xml:space="preserve">Če je organiziran drugi krog, morajo prijavitelji oddati svojo vlogo za nepovratna sredstva do </w:t>
            </w:r>
            <w:r w:rsidRPr="00F769E0">
              <w:rPr>
                <w:rFonts w:cs="Tahoma"/>
                <w:b/>
                <w:lang w:val="sl-SI" w:eastAsia="en-GB"/>
              </w:rPr>
              <w:t>1. oktobra do 12. ure (opoldne po bruseljskem času)</w:t>
            </w:r>
            <w:r w:rsidRPr="00F769E0">
              <w:rPr>
                <w:rFonts w:cs="Tahoma"/>
                <w:lang w:val="sl-SI" w:eastAsia="en-GB"/>
              </w:rPr>
              <w:t xml:space="preserve"> za projekte, ki se začnejo med 1. januarjem in 31. majem naslednjega leta.</w:t>
            </w:r>
          </w:p>
        </w:tc>
      </w:tr>
      <w:tr w:rsidR="00E03711" w:rsidRPr="00A6094F" w14:paraId="7D398CF8" w14:textId="77777777" w:rsidTr="00321D17">
        <w:trPr>
          <w:trHeight w:val="57"/>
        </w:trPr>
        <w:tc>
          <w:tcPr>
            <w:tcW w:w="844" w:type="pct"/>
            <w:tcBorders>
              <w:bottom w:val="dashed" w:sz="4" w:space="0" w:color="auto"/>
            </w:tcBorders>
            <w:shd w:val="clear" w:color="auto" w:fill="FFFFFF"/>
            <w:vAlign w:val="center"/>
          </w:tcPr>
          <w:p w14:paraId="7D398CF6" w14:textId="77777777" w:rsidR="00E03711" w:rsidRPr="00F769E0" w:rsidRDefault="00E03711" w:rsidP="0018158A">
            <w:pPr>
              <w:pStyle w:val="Guide-Table"/>
              <w:spacing w:before="60" w:after="60"/>
              <w:jc w:val="left"/>
              <w:rPr>
                <w:rFonts w:cs="Tahoma"/>
                <w:b/>
                <w:lang w:val="sl-SI" w:eastAsia="en-GB"/>
              </w:rPr>
            </w:pPr>
            <w:r w:rsidRPr="00F769E0">
              <w:rPr>
                <w:rFonts w:cs="Tahoma"/>
                <w:b/>
                <w:lang w:val="sl-SI" w:eastAsia="en-GB"/>
              </w:rPr>
              <w:t>Kako se prijaviti?</w:t>
            </w:r>
          </w:p>
        </w:tc>
        <w:tc>
          <w:tcPr>
            <w:tcW w:w="4156" w:type="pct"/>
            <w:tcBorders>
              <w:bottom w:val="dashed" w:sz="4" w:space="0" w:color="auto"/>
            </w:tcBorders>
            <w:shd w:val="clear" w:color="auto" w:fill="FFFFFF"/>
            <w:vAlign w:val="center"/>
          </w:tcPr>
          <w:p w14:paraId="7D398CF7" w14:textId="77777777" w:rsidR="00E03711" w:rsidRPr="00F769E0" w:rsidRDefault="00E03711" w:rsidP="0018158A">
            <w:pPr>
              <w:pStyle w:val="GUIDE-NORMAL"/>
              <w:spacing w:before="60" w:after="60"/>
              <w:rPr>
                <w:rFonts w:cs="Tahoma"/>
                <w:lang w:val="sl-SI" w:eastAsia="en-GB"/>
              </w:rPr>
            </w:pPr>
            <w:r w:rsidRPr="00F769E0">
              <w:rPr>
                <w:rFonts w:cs="Tahoma"/>
                <w:lang w:val="sl-SI" w:eastAsia="en-GB"/>
              </w:rPr>
              <w:t>Za podrobnosti o postopku prijave glej del C tega vodnika..</w:t>
            </w:r>
          </w:p>
        </w:tc>
      </w:tr>
      <w:tr w:rsidR="00E03711" w:rsidRPr="00A6094F" w14:paraId="7D398CFB" w14:textId="77777777" w:rsidTr="00321D17">
        <w:trPr>
          <w:trHeight w:val="57"/>
        </w:trPr>
        <w:tc>
          <w:tcPr>
            <w:tcW w:w="844" w:type="pct"/>
            <w:tcBorders>
              <w:top w:val="dashed" w:sz="4" w:space="0" w:color="auto"/>
              <w:bottom w:val="single" w:sz="4" w:space="0" w:color="auto"/>
            </w:tcBorders>
            <w:shd w:val="clear" w:color="auto" w:fill="FFFFFF"/>
            <w:vAlign w:val="center"/>
          </w:tcPr>
          <w:p w14:paraId="7D398CF9" w14:textId="77777777" w:rsidR="00E03711" w:rsidRPr="00F769E0" w:rsidRDefault="00E03711" w:rsidP="0018158A">
            <w:pPr>
              <w:pStyle w:val="Guide-Table"/>
              <w:spacing w:before="60" w:after="60"/>
              <w:jc w:val="left"/>
              <w:rPr>
                <w:rFonts w:cs="Tahoma"/>
                <w:b/>
                <w:lang w:val="sl-SI" w:eastAsia="en-GB"/>
              </w:rPr>
            </w:pPr>
            <w:r w:rsidRPr="00F769E0">
              <w:rPr>
                <w:rFonts w:cs="Tahoma"/>
                <w:b/>
                <w:lang w:val="sl-SI" w:eastAsia="en-GB"/>
              </w:rPr>
              <w:t>Druga merila</w:t>
            </w:r>
          </w:p>
        </w:tc>
        <w:tc>
          <w:tcPr>
            <w:tcW w:w="4156" w:type="pct"/>
            <w:tcBorders>
              <w:top w:val="dashed" w:sz="4" w:space="0" w:color="auto"/>
              <w:bottom w:val="single" w:sz="4" w:space="0" w:color="auto"/>
            </w:tcBorders>
            <w:shd w:val="clear" w:color="auto" w:fill="FFFFFF"/>
            <w:vAlign w:val="center"/>
          </w:tcPr>
          <w:p w14:paraId="7D398CFA" w14:textId="77777777" w:rsidR="00E03711" w:rsidRPr="00F769E0" w:rsidRDefault="00E03711" w:rsidP="0018158A">
            <w:pPr>
              <w:pStyle w:val="GUIDE-NORMAL"/>
              <w:spacing w:before="60" w:after="60"/>
              <w:rPr>
                <w:rFonts w:cs="Tahoma"/>
                <w:lang w:val="sl-SI" w:eastAsia="en-GB"/>
              </w:rPr>
            </w:pPr>
            <w:r w:rsidRPr="00F769E0">
              <w:rPr>
                <w:rFonts w:cs="Tahoma"/>
                <w:lang w:val="sl-SI" w:eastAsia="en-GB"/>
              </w:rPr>
              <w:t>Organizacija za izobraževanje odraslih ali nacionalni konzorcij za mobilnost, sestavljen iz organizacij za izobraževanje odraslih, se lahko prijavi samo enkrat v posameznem krogu izbirnega postopka. Vendar je lahko organizacija za izobraževanje odraslih članica več različnih konzorcijev, ki se hkrati prijavljajo, ali jih koordinira.</w:t>
            </w:r>
          </w:p>
        </w:tc>
      </w:tr>
    </w:tbl>
    <w:p w14:paraId="7D398CFC" w14:textId="77777777" w:rsidR="00E03711" w:rsidRPr="001048FE" w:rsidRDefault="00E03711" w:rsidP="005A06AE">
      <w:pPr>
        <w:pStyle w:val="GUIDE-NORMAL"/>
        <w:rPr>
          <w:lang w:val="sl-SI"/>
        </w:rPr>
      </w:pPr>
      <w:r w:rsidRPr="001048FE">
        <w:rPr>
          <w:lang w:val="sl-SI"/>
        </w:rPr>
        <w:t>Organizacije prijaviteljice bodo ocenjene z ustreznimi merili za izključitev in izbor. Za več informacij glej del C tega vodnika.</w:t>
      </w:r>
    </w:p>
    <w:p w14:paraId="7D398CFD" w14:textId="77777777" w:rsidR="00E03711" w:rsidRPr="001048FE" w:rsidRDefault="00E03711" w:rsidP="00E23D2D">
      <w:pPr>
        <w:pStyle w:val="Guide-Heading6"/>
        <w:rPr>
          <w:lang w:val="sl-SI"/>
        </w:rPr>
      </w:pPr>
      <w:r w:rsidRPr="001048FE">
        <w:rPr>
          <w:lang w:val="sl-SI"/>
        </w:rPr>
        <w:t>Merila za dodelitev</w:t>
      </w:r>
    </w:p>
    <w:p w14:paraId="7D398CFE" w14:textId="77777777" w:rsidR="00E03711" w:rsidRPr="001048FE" w:rsidRDefault="00E03711" w:rsidP="005A06AE">
      <w:pPr>
        <w:pStyle w:val="GUIDE-NORMAL"/>
        <w:rPr>
          <w:lang w:val="sl-SI"/>
        </w:rPr>
      </w:pPr>
      <w:r w:rsidRPr="001048FE">
        <w:rPr>
          <w:lang w:val="sl-SI"/>
        </w:rPr>
        <w:t>Projekti bodo ocenjeni z naslednjimi merili:</w:t>
      </w:r>
    </w:p>
    <w:tbl>
      <w:tblPr>
        <w:tblW w:w="5008" w:type="pct"/>
        <w:shd w:val="clear" w:color="auto" w:fill="FFFFFF"/>
        <w:tblLook w:val="0000" w:firstRow="0" w:lastRow="0" w:firstColumn="0" w:lastColumn="0" w:noHBand="0" w:noVBand="0"/>
      </w:tblPr>
      <w:tblGrid>
        <w:gridCol w:w="1571"/>
        <w:gridCol w:w="7734"/>
      </w:tblGrid>
      <w:tr w:rsidR="00E03711" w:rsidRPr="00A6094F" w14:paraId="7D398D06" w14:textId="77777777" w:rsidTr="00321D17">
        <w:trPr>
          <w:trHeight w:val="340"/>
        </w:trPr>
        <w:tc>
          <w:tcPr>
            <w:tcW w:w="844" w:type="pct"/>
            <w:tcBorders>
              <w:top w:val="single" w:sz="4" w:space="0" w:color="auto"/>
              <w:left w:val="single" w:sz="4" w:space="0" w:color="auto"/>
              <w:bottom w:val="dashed" w:sz="4" w:space="0" w:color="auto"/>
              <w:right w:val="single" w:sz="8" w:space="0" w:color="auto"/>
            </w:tcBorders>
            <w:shd w:val="clear" w:color="auto" w:fill="FFFFFF"/>
            <w:vAlign w:val="center"/>
          </w:tcPr>
          <w:p w14:paraId="7D398CFF" w14:textId="77777777" w:rsidR="00E03711" w:rsidRPr="00F769E0" w:rsidRDefault="00E03711" w:rsidP="007A0466">
            <w:pPr>
              <w:pStyle w:val="GUIDE-NORMAL"/>
              <w:spacing w:before="60" w:after="60"/>
              <w:jc w:val="left"/>
              <w:rPr>
                <w:rFonts w:cs="Tahoma"/>
                <w:b/>
                <w:lang w:val="sl-SI" w:eastAsia="en-GB"/>
              </w:rPr>
            </w:pPr>
            <w:r w:rsidRPr="00F769E0">
              <w:rPr>
                <w:rFonts w:cs="Tahoma"/>
                <w:b/>
                <w:lang w:val="sl-SI" w:eastAsia="en-GB"/>
              </w:rPr>
              <w:t xml:space="preserve">Ustreznost projekta </w:t>
            </w:r>
            <w:r w:rsidRPr="00F769E0">
              <w:rPr>
                <w:rFonts w:cs="Tahoma"/>
                <w:b/>
                <w:lang w:val="sl-SI" w:eastAsia="en-GB"/>
              </w:rPr>
              <w:br/>
              <w:t>(največ 30 točk)</w:t>
            </w:r>
          </w:p>
        </w:tc>
        <w:tc>
          <w:tcPr>
            <w:tcW w:w="4156" w:type="pct"/>
            <w:tcBorders>
              <w:top w:val="single" w:sz="4" w:space="0" w:color="auto"/>
              <w:left w:val="nil"/>
              <w:bottom w:val="dashed" w:sz="4" w:space="0" w:color="auto"/>
              <w:right w:val="single" w:sz="8" w:space="0" w:color="auto"/>
            </w:tcBorders>
            <w:shd w:val="clear" w:color="auto" w:fill="FFFFFF"/>
          </w:tcPr>
          <w:p w14:paraId="7D398D00" w14:textId="77777777" w:rsidR="00E03711" w:rsidRPr="0030441A" w:rsidRDefault="00E03711" w:rsidP="005115F2">
            <w:pPr>
              <w:pStyle w:val="Guide-NormalBulletpoints"/>
              <w:numPr>
                <w:ilvl w:val="0"/>
                <w:numId w:val="123"/>
              </w:numPr>
              <w:rPr>
                <w:lang w:val="pl-PL"/>
              </w:rPr>
            </w:pPr>
            <w:r w:rsidRPr="0030441A">
              <w:rPr>
                <w:lang w:val="pl-PL"/>
              </w:rPr>
              <w:t>Ustreznost predloga v zvezi</w:t>
            </w:r>
            <w:r w:rsidRPr="0030441A">
              <w:rPr>
                <w:spacing w:val="6"/>
                <w:lang w:val="pl-PL"/>
              </w:rPr>
              <w:t xml:space="preserve"> </w:t>
            </w:r>
            <w:r w:rsidRPr="0030441A">
              <w:rPr>
                <w:lang w:val="pl-PL"/>
              </w:rPr>
              <w:t>s:</w:t>
            </w:r>
          </w:p>
          <w:p w14:paraId="7D398D01" w14:textId="77777777" w:rsidR="00E03711" w:rsidRPr="001048FE" w:rsidRDefault="00E03711" w:rsidP="007A0466">
            <w:pPr>
              <w:pStyle w:val="Guide-ListDash"/>
              <w:spacing w:before="60" w:after="60"/>
              <w:rPr>
                <w:lang w:val="sl-SI"/>
              </w:rPr>
            </w:pPr>
            <w:r w:rsidRPr="001048FE">
              <w:rPr>
                <w:lang w:val="sl-SI"/>
              </w:rPr>
              <w:t>cilji ukrepa (glej poglavje „Kakšni so cilji projekta mobilnosti?“);</w:t>
            </w:r>
          </w:p>
          <w:p w14:paraId="7D398D02" w14:textId="77777777" w:rsidR="00E03711" w:rsidRPr="001048FE" w:rsidRDefault="00E03711" w:rsidP="007A0466">
            <w:pPr>
              <w:pStyle w:val="Guide-ListDash"/>
              <w:spacing w:before="60" w:after="60"/>
              <w:rPr>
                <w:lang w:val="sl-SI"/>
              </w:rPr>
            </w:pPr>
            <w:r w:rsidRPr="001048FE">
              <w:rPr>
                <w:lang w:val="sl-SI"/>
              </w:rPr>
              <w:t>potrebami in cilji sodelujočih organizacij in posameznih udeležencev.</w:t>
            </w:r>
          </w:p>
          <w:p w14:paraId="7D398D03" w14:textId="77777777" w:rsidR="00E03711" w:rsidRPr="0030441A" w:rsidRDefault="00E03711" w:rsidP="005115F2">
            <w:pPr>
              <w:pStyle w:val="Guide-NormalBulletpoints"/>
              <w:numPr>
                <w:ilvl w:val="0"/>
                <w:numId w:val="124"/>
              </w:numPr>
              <w:rPr>
                <w:lang w:val="pl-PL"/>
              </w:rPr>
            </w:pPr>
            <w:r w:rsidRPr="0030441A">
              <w:rPr>
                <w:lang w:val="pl-PL"/>
              </w:rPr>
              <w:t>V kolikšni meri je predlog primeren</w:t>
            </w:r>
            <w:r w:rsidRPr="0030441A">
              <w:rPr>
                <w:spacing w:val="-11"/>
                <w:lang w:val="pl-PL"/>
              </w:rPr>
              <w:t xml:space="preserve"> </w:t>
            </w:r>
            <w:r w:rsidRPr="0030441A">
              <w:rPr>
                <w:lang w:val="pl-PL"/>
              </w:rPr>
              <w:t>za:</w:t>
            </w:r>
          </w:p>
          <w:p w14:paraId="7D398D04" w14:textId="77777777" w:rsidR="00E03711" w:rsidRPr="001048FE" w:rsidRDefault="00E03711" w:rsidP="007A0466">
            <w:pPr>
              <w:pStyle w:val="Guide-ListDash"/>
              <w:spacing w:before="60" w:after="60"/>
              <w:rPr>
                <w:lang w:val="sl-SI"/>
              </w:rPr>
            </w:pPr>
            <w:r w:rsidRPr="001048FE">
              <w:rPr>
                <w:lang w:val="sl-SI"/>
              </w:rPr>
              <w:t>doseganje visokokakovostnih učnih izidov za</w:t>
            </w:r>
            <w:r w:rsidRPr="001048FE">
              <w:rPr>
                <w:spacing w:val="25"/>
                <w:lang w:val="sl-SI"/>
              </w:rPr>
              <w:t xml:space="preserve"> </w:t>
            </w:r>
            <w:r w:rsidRPr="001048FE">
              <w:rPr>
                <w:lang w:val="sl-SI"/>
              </w:rPr>
              <w:t>udeležence;</w:t>
            </w:r>
          </w:p>
          <w:p w14:paraId="7D398D05" w14:textId="77777777" w:rsidR="00E03711" w:rsidRPr="00237696" w:rsidRDefault="00E03711" w:rsidP="007A0466">
            <w:pPr>
              <w:pStyle w:val="Guide-ListDash"/>
              <w:spacing w:before="60" w:after="60"/>
              <w:rPr>
                <w:rStyle w:val="Guide-Condensed-02"/>
                <w:spacing w:val="-6"/>
                <w:lang w:val="sl-SI"/>
              </w:rPr>
            </w:pPr>
            <w:r w:rsidRPr="001048FE">
              <w:rPr>
                <w:lang w:val="sl-SI"/>
              </w:rPr>
              <w:t>krepitev</w:t>
            </w:r>
            <w:r w:rsidRPr="001048FE">
              <w:rPr>
                <w:spacing w:val="-19"/>
                <w:lang w:val="sl-SI"/>
              </w:rPr>
              <w:t xml:space="preserve"> </w:t>
            </w:r>
            <w:r w:rsidRPr="001048FE">
              <w:rPr>
                <w:lang w:val="sl-SI"/>
              </w:rPr>
              <w:t>zmogljivosti</w:t>
            </w:r>
            <w:r w:rsidRPr="001048FE">
              <w:rPr>
                <w:spacing w:val="-19"/>
                <w:lang w:val="sl-SI"/>
              </w:rPr>
              <w:t xml:space="preserve"> </w:t>
            </w:r>
            <w:r w:rsidRPr="001048FE">
              <w:rPr>
                <w:lang w:val="sl-SI"/>
              </w:rPr>
              <w:t>in</w:t>
            </w:r>
            <w:r w:rsidRPr="001048FE">
              <w:rPr>
                <w:spacing w:val="-19"/>
                <w:lang w:val="sl-SI"/>
              </w:rPr>
              <w:t xml:space="preserve"> </w:t>
            </w:r>
            <w:r w:rsidRPr="001048FE">
              <w:rPr>
                <w:lang w:val="sl-SI"/>
              </w:rPr>
              <w:t>mednarodne</w:t>
            </w:r>
            <w:r w:rsidRPr="001048FE">
              <w:rPr>
                <w:spacing w:val="-19"/>
                <w:lang w:val="sl-SI"/>
              </w:rPr>
              <w:t xml:space="preserve"> </w:t>
            </w:r>
            <w:r w:rsidRPr="001048FE">
              <w:rPr>
                <w:lang w:val="sl-SI"/>
              </w:rPr>
              <w:t>razsežnosti</w:t>
            </w:r>
            <w:r w:rsidRPr="001048FE">
              <w:rPr>
                <w:spacing w:val="-19"/>
                <w:lang w:val="sl-SI"/>
              </w:rPr>
              <w:t xml:space="preserve"> </w:t>
            </w:r>
            <w:r w:rsidRPr="001048FE">
              <w:rPr>
                <w:lang w:val="sl-SI"/>
              </w:rPr>
              <w:t>sodelujočih organizacij.</w:t>
            </w:r>
          </w:p>
        </w:tc>
      </w:tr>
      <w:tr w:rsidR="00E03711" w:rsidRPr="00A6094F" w14:paraId="7D398D10" w14:textId="77777777" w:rsidTr="00321D17">
        <w:trPr>
          <w:trHeight w:val="340"/>
        </w:trPr>
        <w:tc>
          <w:tcPr>
            <w:tcW w:w="844" w:type="pct"/>
            <w:tcBorders>
              <w:top w:val="dashed" w:sz="4" w:space="0" w:color="auto"/>
              <w:left w:val="single" w:sz="4" w:space="0" w:color="auto"/>
              <w:bottom w:val="dashed" w:sz="4" w:space="0" w:color="auto"/>
              <w:right w:val="single" w:sz="8" w:space="0" w:color="auto"/>
            </w:tcBorders>
            <w:shd w:val="clear" w:color="auto" w:fill="FFFFFF"/>
            <w:vAlign w:val="center"/>
          </w:tcPr>
          <w:p w14:paraId="7D398D07" w14:textId="77777777" w:rsidR="00E03711" w:rsidRPr="00F769E0" w:rsidRDefault="00E03711" w:rsidP="007A0466">
            <w:pPr>
              <w:pStyle w:val="GUIDE-NORMAL"/>
              <w:spacing w:before="60" w:after="60"/>
              <w:jc w:val="left"/>
              <w:rPr>
                <w:rFonts w:cs="Tahoma"/>
                <w:b/>
                <w:lang w:val="sl-SI" w:eastAsia="en-GB"/>
              </w:rPr>
            </w:pPr>
            <w:r w:rsidRPr="00F769E0">
              <w:rPr>
                <w:rFonts w:cs="Tahoma"/>
                <w:b/>
                <w:lang w:val="sl-SI" w:eastAsia="en-GB"/>
              </w:rPr>
              <w:t xml:space="preserve">Kakovost </w:t>
            </w:r>
            <w:r w:rsidRPr="00F769E0">
              <w:rPr>
                <w:rFonts w:cs="Tahoma"/>
                <w:b/>
                <w:lang w:val="sl-SI" w:eastAsia="en-GB"/>
              </w:rPr>
              <w:br/>
              <w:t>zasnove in izvedbe projekta</w:t>
            </w:r>
            <w:r w:rsidRPr="00F769E0">
              <w:rPr>
                <w:rFonts w:cs="Tahoma"/>
                <w:b/>
                <w:lang w:val="sl-SI" w:eastAsia="en-GB"/>
              </w:rPr>
              <w:br/>
              <w:t>(največ 40 točk)</w:t>
            </w:r>
          </w:p>
        </w:tc>
        <w:tc>
          <w:tcPr>
            <w:tcW w:w="4156" w:type="pct"/>
            <w:tcBorders>
              <w:top w:val="dashed" w:sz="4" w:space="0" w:color="auto"/>
              <w:left w:val="nil"/>
              <w:bottom w:val="dashed" w:sz="4" w:space="0" w:color="auto"/>
              <w:right w:val="single" w:sz="8" w:space="0" w:color="auto"/>
            </w:tcBorders>
            <w:shd w:val="clear" w:color="auto" w:fill="FFFFFF"/>
          </w:tcPr>
          <w:p w14:paraId="7D398D08" w14:textId="77777777" w:rsidR="00E03711" w:rsidRPr="006E61F8" w:rsidRDefault="00E03711" w:rsidP="005115F2">
            <w:pPr>
              <w:pStyle w:val="Guide-NormalBulletpoints"/>
              <w:numPr>
                <w:ilvl w:val="0"/>
                <w:numId w:val="242"/>
              </w:numPr>
              <w:rPr>
                <w:lang w:val="sl-SI"/>
              </w:rPr>
            </w:pPr>
            <w:r w:rsidRPr="006E61F8">
              <w:rPr>
                <w:lang w:val="sl-SI"/>
              </w:rPr>
              <w:t>jasnost,</w:t>
            </w:r>
            <w:r w:rsidRPr="006E61F8">
              <w:rPr>
                <w:spacing w:val="-13"/>
                <w:lang w:val="sl-SI"/>
              </w:rPr>
              <w:t xml:space="preserve"> </w:t>
            </w:r>
            <w:r w:rsidRPr="006E61F8">
              <w:rPr>
                <w:lang w:val="sl-SI"/>
              </w:rPr>
              <w:t>celovitost</w:t>
            </w:r>
            <w:r w:rsidRPr="006E61F8">
              <w:rPr>
                <w:spacing w:val="-13"/>
                <w:lang w:val="sl-SI"/>
              </w:rPr>
              <w:t xml:space="preserve"> </w:t>
            </w:r>
            <w:r w:rsidRPr="006E61F8">
              <w:rPr>
                <w:lang w:val="sl-SI"/>
              </w:rPr>
              <w:t>in</w:t>
            </w:r>
            <w:r w:rsidRPr="006E61F8">
              <w:rPr>
                <w:spacing w:val="-13"/>
                <w:lang w:val="sl-SI"/>
              </w:rPr>
              <w:t xml:space="preserve"> </w:t>
            </w:r>
            <w:r w:rsidRPr="006E61F8">
              <w:rPr>
                <w:lang w:val="sl-SI"/>
              </w:rPr>
              <w:t>kakovost</w:t>
            </w:r>
            <w:r w:rsidRPr="006E61F8">
              <w:rPr>
                <w:spacing w:val="-13"/>
                <w:lang w:val="sl-SI"/>
              </w:rPr>
              <w:t xml:space="preserve"> </w:t>
            </w:r>
            <w:r w:rsidRPr="006E61F8">
              <w:rPr>
                <w:lang w:val="sl-SI"/>
              </w:rPr>
              <w:t>vseh</w:t>
            </w:r>
            <w:r w:rsidRPr="006E61F8">
              <w:rPr>
                <w:spacing w:val="-13"/>
                <w:lang w:val="sl-SI"/>
              </w:rPr>
              <w:t xml:space="preserve"> </w:t>
            </w:r>
            <w:r w:rsidRPr="006E61F8">
              <w:rPr>
                <w:lang w:val="sl-SI"/>
              </w:rPr>
              <w:t>faz</w:t>
            </w:r>
            <w:r w:rsidRPr="006E61F8">
              <w:rPr>
                <w:spacing w:val="-13"/>
                <w:lang w:val="sl-SI"/>
              </w:rPr>
              <w:t xml:space="preserve"> </w:t>
            </w:r>
            <w:r w:rsidRPr="006E61F8">
              <w:rPr>
                <w:lang w:val="sl-SI"/>
              </w:rPr>
              <w:t>predloga</w:t>
            </w:r>
            <w:r w:rsidRPr="006E61F8">
              <w:rPr>
                <w:spacing w:val="-13"/>
                <w:lang w:val="sl-SI"/>
              </w:rPr>
              <w:t xml:space="preserve"> </w:t>
            </w:r>
            <w:r w:rsidRPr="006E61F8">
              <w:rPr>
                <w:lang w:val="sl-SI"/>
              </w:rPr>
              <w:t>projekta (priprava, izvajanje mobilnosti in nadaljnje</w:t>
            </w:r>
            <w:r w:rsidRPr="006E61F8">
              <w:rPr>
                <w:spacing w:val="-18"/>
                <w:lang w:val="sl-SI"/>
              </w:rPr>
              <w:t xml:space="preserve"> </w:t>
            </w:r>
            <w:r w:rsidRPr="006E61F8">
              <w:rPr>
                <w:lang w:val="sl-SI"/>
              </w:rPr>
              <w:t>spremljanje);</w:t>
            </w:r>
          </w:p>
          <w:p w14:paraId="7D398D09" w14:textId="77777777" w:rsidR="00E03711" w:rsidRPr="006E61F8" w:rsidRDefault="00E03711" w:rsidP="005115F2">
            <w:pPr>
              <w:pStyle w:val="Guide-NormalBulletpoints"/>
              <w:numPr>
                <w:ilvl w:val="0"/>
                <w:numId w:val="242"/>
              </w:numPr>
              <w:rPr>
                <w:lang w:val="sl-SI"/>
              </w:rPr>
            </w:pPr>
            <w:r w:rsidRPr="006E61F8">
              <w:rPr>
                <w:lang w:val="sl-SI"/>
              </w:rPr>
              <w:t>usklajenost ciljev projekta in predlaganih</w:t>
            </w:r>
            <w:r w:rsidRPr="006E61F8">
              <w:rPr>
                <w:spacing w:val="-5"/>
                <w:lang w:val="sl-SI"/>
              </w:rPr>
              <w:t xml:space="preserve"> </w:t>
            </w:r>
            <w:r w:rsidRPr="006E61F8">
              <w:rPr>
                <w:lang w:val="sl-SI"/>
              </w:rPr>
              <w:t>aktivnosti;</w:t>
            </w:r>
          </w:p>
          <w:p w14:paraId="7D398D0A" w14:textId="77777777" w:rsidR="00E03711" w:rsidRPr="006E61F8" w:rsidRDefault="00E03711" w:rsidP="005115F2">
            <w:pPr>
              <w:pStyle w:val="Guide-NormalBulletpoints"/>
              <w:numPr>
                <w:ilvl w:val="0"/>
                <w:numId w:val="242"/>
              </w:numPr>
              <w:rPr>
                <w:lang w:val="sl-SI"/>
              </w:rPr>
            </w:pPr>
            <w:r w:rsidRPr="006E61F8">
              <w:rPr>
                <w:lang w:val="sl-SI"/>
              </w:rPr>
              <w:t>kakovost</w:t>
            </w:r>
            <w:r w:rsidRPr="006E61F8">
              <w:rPr>
                <w:spacing w:val="-29"/>
                <w:lang w:val="sl-SI"/>
              </w:rPr>
              <w:t xml:space="preserve"> </w:t>
            </w:r>
            <w:r w:rsidRPr="006E61F8">
              <w:rPr>
                <w:lang w:val="sl-SI"/>
              </w:rPr>
              <w:t>evropskega</w:t>
            </w:r>
            <w:r w:rsidRPr="006E61F8">
              <w:rPr>
                <w:spacing w:val="-29"/>
                <w:lang w:val="sl-SI"/>
              </w:rPr>
              <w:t xml:space="preserve"> </w:t>
            </w:r>
            <w:r w:rsidRPr="006E61F8">
              <w:rPr>
                <w:lang w:val="sl-SI"/>
              </w:rPr>
              <w:t>razvojnega</w:t>
            </w:r>
            <w:r w:rsidRPr="006E61F8">
              <w:rPr>
                <w:spacing w:val="-29"/>
                <w:lang w:val="sl-SI"/>
              </w:rPr>
              <w:t xml:space="preserve"> </w:t>
            </w:r>
            <w:r w:rsidRPr="006E61F8">
              <w:rPr>
                <w:lang w:val="sl-SI"/>
              </w:rPr>
              <w:t>načrta</w:t>
            </w:r>
            <w:r w:rsidRPr="006E61F8">
              <w:rPr>
                <w:spacing w:val="-29"/>
                <w:lang w:val="sl-SI"/>
              </w:rPr>
              <w:t xml:space="preserve"> </w:t>
            </w:r>
            <w:r w:rsidRPr="006E61F8">
              <w:rPr>
                <w:lang w:val="sl-SI"/>
              </w:rPr>
              <w:t>organizacije prijaviteljice;</w:t>
            </w:r>
          </w:p>
          <w:p w14:paraId="7D398D0B" w14:textId="77777777" w:rsidR="00E03711" w:rsidRPr="006E61F8" w:rsidRDefault="00E03711" w:rsidP="005115F2">
            <w:pPr>
              <w:pStyle w:val="Guide-NormalBulletpoints"/>
              <w:numPr>
                <w:ilvl w:val="0"/>
                <w:numId w:val="242"/>
              </w:numPr>
              <w:rPr>
                <w:lang w:val="sl-SI"/>
              </w:rPr>
            </w:pPr>
            <w:r w:rsidRPr="006E61F8">
              <w:rPr>
                <w:lang w:val="sl-SI"/>
              </w:rPr>
              <w:t>kakovost praktičnih ureditev, načinov upravljanja in</w:t>
            </w:r>
            <w:r w:rsidRPr="006E61F8">
              <w:rPr>
                <w:spacing w:val="-5"/>
                <w:lang w:val="sl-SI"/>
              </w:rPr>
              <w:t xml:space="preserve"> </w:t>
            </w:r>
            <w:r w:rsidRPr="006E61F8">
              <w:rPr>
                <w:lang w:val="sl-SI"/>
              </w:rPr>
              <w:t>podpore;</w:t>
            </w:r>
          </w:p>
          <w:p w14:paraId="7D398D0C" w14:textId="77777777" w:rsidR="00E03711" w:rsidRPr="006E61F8" w:rsidRDefault="00E03711" w:rsidP="005115F2">
            <w:pPr>
              <w:pStyle w:val="Guide-NormalBulletpoints"/>
              <w:numPr>
                <w:ilvl w:val="0"/>
                <w:numId w:val="242"/>
              </w:numPr>
              <w:rPr>
                <w:lang w:val="sl-SI"/>
              </w:rPr>
            </w:pPr>
            <w:r w:rsidRPr="006E61F8">
              <w:rPr>
                <w:lang w:val="sl-SI"/>
              </w:rPr>
              <w:t>kakovost priprav, ki so zagotovljene za</w:t>
            </w:r>
            <w:r w:rsidRPr="006E61F8">
              <w:rPr>
                <w:spacing w:val="-34"/>
                <w:lang w:val="sl-SI"/>
              </w:rPr>
              <w:t xml:space="preserve"> </w:t>
            </w:r>
            <w:r w:rsidRPr="006E61F8">
              <w:rPr>
                <w:lang w:val="sl-SI"/>
              </w:rPr>
              <w:t>udeležence;</w:t>
            </w:r>
          </w:p>
          <w:p w14:paraId="7D398D0D" w14:textId="77777777" w:rsidR="00E03711" w:rsidRPr="006E61F8" w:rsidRDefault="00E03711" w:rsidP="005115F2">
            <w:pPr>
              <w:pStyle w:val="Guide-NormalBulletpoints"/>
              <w:numPr>
                <w:ilvl w:val="0"/>
                <w:numId w:val="242"/>
              </w:numPr>
              <w:rPr>
                <w:lang w:val="sl-SI"/>
              </w:rPr>
            </w:pPr>
            <w:r w:rsidRPr="006E61F8">
              <w:rPr>
                <w:lang w:val="sl-SI"/>
              </w:rPr>
              <w:t>kakovost ureditev za priznavanje in potrjevanje učnih</w:t>
            </w:r>
            <w:r w:rsidRPr="006E61F8">
              <w:rPr>
                <w:spacing w:val="-38"/>
                <w:lang w:val="sl-SI"/>
              </w:rPr>
              <w:t xml:space="preserve"> </w:t>
            </w:r>
            <w:r w:rsidRPr="006E61F8">
              <w:rPr>
                <w:lang w:val="sl-SI"/>
              </w:rPr>
              <w:t>izidov udeležencev ter dosledna uporaba evropskih orodij za preglednost in</w:t>
            </w:r>
            <w:r w:rsidRPr="006E61F8">
              <w:rPr>
                <w:spacing w:val="-5"/>
                <w:lang w:val="sl-SI"/>
              </w:rPr>
              <w:t xml:space="preserve"> </w:t>
            </w:r>
            <w:r w:rsidRPr="006E61F8">
              <w:rPr>
                <w:lang w:val="sl-SI"/>
              </w:rPr>
              <w:t>priznavanje;</w:t>
            </w:r>
          </w:p>
          <w:p w14:paraId="7D398D0E" w14:textId="77777777" w:rsidR="00E03711" w:rsidRPr="006E61F8" w:rsidRDefault="00E03711" w:rsidP="005115F2">
            <w:pPr>
              <w:pStyle w:val="Guide-NormalBulletpoints"/>
              <w:numPr>
                <w:ilvl w:val="0"/>
                <w:numId w:val="242"/>
              </w:numPr>
              <w:rPr>
                <w:lang w:val="sl-SI"/>
              </w:rPr>
            </w:pPr>
            <w:r w:rsidRPr="006E61F8">
              <w:rPr>
                <w:lang w:val="sl-SI"/>
              </w:rPr>
              <w:t>ustreznost</w:t>
            </w:r>
            <w:r w:rsidRPr="006E61F8">
              <w:rPr>
                <w:spacing w:val="-14"/>
                <w:lang w:val="sl-SI"/>
              </w:rPr>
              <w:t xml:space="preserve"> </w:t>
            </w:r>
            <w:r w:rsidRPr="006E61F8">
              <w:rPr>
                <w:lang w:val="sl-SI"/>
              </w:rPr>
              <w:t>ukrepov</w:t>
            </w:r>
            <w:r w:rsidRPr="006E61F8">
              <w:rPr>
                <w:spacing w:val="-14"/>
                <w:lang w:val="sl-SI"/>
              </w:rPr>
              <w:t xml:space="preserve"> </w:t>
            </w:r>
            <w:r w:rsidRPr="006E61F8">
              <w:rPr>
                <w:lang w:val="sl-SI"/>
              </w:rPr>
              <w:t>za</w:t>
            </w:r>
            <w:r w:rsidRPr="006E61F8">
              <w:rPr>
                <w:spacing w:val="-14"/>
                <w:lang w:val="sl-SI"/>
              </w:rPr>
              <w:t xml:space="preserve"> </w:t>
            </w:r>
            <w:r w:rsidRPr="006E61F8">
              <w:rPr>
                <w:lang w:val="sl-SI"/>
              </w:rPr>
              <w:t>izbor</w:t>
            </w:r>
            <w:r w:rsidRPr="006E61F8">
              <w:rPr>
                <w:spacing w:val="-14"/>
                <w:lang w:val="sl-SI"/>
              </w:rPr>
              <w:t xml:space="preserve"> </w:t>
            </w:r>
            <w:r w:rsidRPr="006E61F8">
              <w:rPr>
                <w:lang w:val="sl-SI"/>
              </w:rPr>
              <w:t>in/ali</w:t>
            </w:r>
            <w:r w:rsidRPr="006E61F8">
              <w:rPr>
                <w:spacing w:val="-14"/>
                <w:lang w:val="sl-SI"/>
              </w:rPr>
              <w:t xml:space="preserve"> </w:t>
            </w:r>
            <w:r w:rsidRPr="006E61F8">
              <w:rPr>
                <w:lang w:val="sl-SI"/>
              </w:rPr>
              <w:t>vključevanje</w:t>
            </w:r>
            <w:r w:rsidRPr="006E61F8">
              <w:rPr>
                <w:spacing w:val="-14"/>
                <w:lang w:val="sl-SI"/>
              </w:rPr>
              <w:t xml:space="preserve"> </w:t>
            </w:r>
            <w:r w:rsidRPr="006E61F8">
              <w:rPr>
                <w:lang w:val="sl-SI"/>
              </w:rPr>
              <w:t>udeležencev</w:t>
            </w:r>
            <w:r w:rsidRPr="006E61F8">
              <w:rPr>
                <w:spacing w:val="-14"/>
                <w:lang w:val="sl-SI"/>
              </w:rPr>
              <w:t xml:space="preserve"> </w:t>
            </w:r>
            <w:r w:rsidRPr="006E61F8">
              <w:rPr>
                <w:lang w:val="sl-SI"/>
              </w:rPr>
              <w:t>v aktivnosti</w:t>
            </w:r>
            <w:r w:rsidRPr="006E61F8">
              <w:rPr>
                <w:spacing w:val="-2"/>
                <w:lang w:val="sl-SI"/>
              </w:rPr>
              <w:t xml:space="preserve"> </w:t>
            </w:r>
            <w:r w:rsidRPr="006E61F8">
              <w:rPr>
                <w:lang w:val="sl-SI"/>
              </w:rPr>
              <w:t>mobilnosti;</w:t>
            </w:r>
          </w:p>
          <w:p w14:paraId="7D398D0F" w14:textId="77777777" w:rsidR="00E03711" w:rsidRPr="006E61F8" w:rsidRDefault="00E03711" w:rsidP="005115F2">
            <w:pPr>
              <w:pStyle w:val="Guide-NormalBulletpoints"/>
              <w:numPr>
                <w:ilvl w:val="0"/>
                <w:numId w:val="242"/>
              </w:numPr>
              <w:rPr>
                <w:lang w:val="sl-SI"/>
              </w:rPr>
            </w:pPr>
            <w:r w:rsidRPr="006E61F8">
              <w:rPr>
                <w:lang w:val="sl-SI"/>
              </w:rPr>
              <w:t>po potrebi kakovost sodelovanja in obveščanja med sodelujočimi organizacijami in drugimi pomembnimi</w:t>
            </w:r>
            <w:r w:rsidRPr="006E61F8">
              <w:rPr>
                <w:spacing w:val="-3"/>
                <w:lang w:val="sl-SI"/>
              </w:rPr>
              <w:t xml:space="preserve"> </w:t>
            </w:r>
            <w:r w:rsidRPr="006E61F8">
              <w:rPr>
                <w:lang w:val="sl-SI"/>
              </w:rPr>
              <w:t>deležniki.</w:t>
            </w:r>
          </w:p>
        </w:tc>
      </w:tr>
      <w:tr w:rsidR="00E03711" w:rsidRPr="00A6094F" w14:paraId="7D398D17" w14:textId="77777777" w:rsidTr="00321D17">
        <w:trPr>
          <w:trHeight w:val="340"/>
        </w:trPr>
        <w:tc>
          <w:tcPr>
            <w:tcW w:w="844" w:type="pct"/>
            <w:tcBorders>
              <w:top w:val="dashed" w:sz="4" w:space="0" w:color="auto"/>
              <w:left w:val="single" w:sz="4" w:space="0" w:color="auto"/>
              <w:bottom w:val="single" w:sz="8" w:space="0" w:color="auto"/>
              <w:right w:val="single" w:sz="8" w:space="0" w:color="auto"/>
            </w:tcBorders>
            <w:shd w:val="clear" w:color="auto" w:fill="FFFFFF"/>
            <w:vAlign w:val="center"/>
          </w:tcPr>
          <w:p w14:paraId="7D398D11" w14:textId="77777777" w:rsidR="00E03711" w:rsidRPr="00F769E0" w:rsidRDefault="00E03711" w:rsidP="007A0466">
            <w:pPr>
              <w:pStyle w:val="GUIDE-NORMAL"/>
              <w:spacing w:before="60" w:after="60"/>
              <w:jc w:val="left"/>
              <w:rPr>
                <w:rFonts w:cs="Tahoma"/>
                <w:b/>
                <w:lang w:val="sl-SI" w:eastAsia="en-GB"/>
              </w:rPr>
            </w:pPr>
            <w:r w:rsidRPr="00F769E0">
              <w:rPr>
                <w:rFonts w:cs="Tahoma"/>
                <w:b/>
                <w:lang w:val="sl-SI" w:eastAsia="en-GB"/>
              </w:rPr>
              <w:t>Učinek in razširjanje (največ 30 točk)</w:t>
            </w:r>
          </w:p>
        </w:tc>
        <w:tc>
          <w:tcPr>
            <w:tcW w:w="4156" w:type="pct"/>
            <w:tcBorders>
              <w:top w:val="dashed" w:sz="4" w:space="0" w:color="auto"/>
              <w:left w:val="nil"/>
              <w:bottom w:val="single" w:sz="8" w:space="0" w:color="auto"/>
              <w:right w:val="single" w:sz="8" w:space="0" w:color="auto"/>
            </w:tcBorders>
            <w:shd w:val="clear" w:color="auto" w:fill="FFFFFF"/>
          </w:tcPr>
          <w:p w14:paraId="7D398D12" w14:textId="77777777" w:rsidR="00E03711" w:rsidRPr="001048FE" w:rsidRDefault="00E03711" w:rsidP="005115F2">
            <w:pPr>
              <w:pStyle w:val="Guide-NormalBulletpoints"/>
              <w:numPr>
                <w:ilvl w:val="0"/>
                <w:numId w:val="125"/>
              </w:numPr>
              <w:spacing w:before="60"/>
              <w:rPr>
                <w:lang w:val="sl-SI"/>
              </w:rPr>
            </w:pPr>
            <w:r w:rsidRPr="001048FE">
              <w:rPr>
                <w:lang w:val="sl-SI"/>
              </w:rPr>
              <w:t>kakovost ukrepov za ocenjevanje rezultatov projekta;</w:t>
            </w:r>
          </w:p>
          <w:p w14:paraId="7D398D13" w14:textId="77777777" w:rsidR="00E03711" w:rsidRPr="001048FE" w:rsidRDefault="00E03711" w:rsidP="005115F2">
            <w:pPr>
              <w:pStyle w:val="Guide-NormalBulletpoints"/>
              <w:numPr>
                <w:ilvl w:val="0"/>
                <w:numId w:val="125"/>
              </w:numPr>
            </w:pPr>
            <w:r w:rsidRPr="001048FE">
              <w:t>morebitni učinek projekta:</w:t>
            </w:r>
          </w:p>
          <w:p w14:paraId="7D398D14" w14:textId="77777777" w:rsidR="00E03711" w:rsidRPr="001048FE" w:rsidRDefault="00E03711" w:rsidP="007A0466">
            <w:pPr>
              <w:pStyle w:val="Guide-ListDash"/>
              <w:spacing w:before="60" w:after="60"/>
              <w:rPr>
                <w:lang w:val="sl-SI"/>
              </w:rPr>
            </w:pPr>
            <w:r w:rsidRPr="001048FE">
              <w:rPr>
                <w:lang w:val="sl-SI"/>
              </w:rPr>
              <w:t>na udeležence in sodelujoče organizacije med življenjskim ciklom projekta in po njem;</w:t>
            </w:r>
          </w:p>
          <w:p w14:paraId="7D398D15" w14:textId="77777777" w:rsidR="00E03711" w:rsidRDefault="00E03711" w:rsidP="00092BE2">
            <w:pPr>
              <w:pStyle w:val="Guide-ListDash"/>
              <w:spacing w:before="60" w:after="60"/>
              <w:rPr>
                <w:lang w:val="sl-SI"/>
              </w:rPr>
            </w:pPr>
            <w:r w:rsidRPr="001048FE">
              <w:rPr>
                <w:lang w:val="sl-SI"/>
              </w:rPr>
              <w:t>na druga področja, poleg organizacij in posameznikov, ki neposredno sodelujejo v projektu, na lokalni, regionalni, nacionalni in/ali evropski ravni;</w:t>
            </w:r>
            <w:r>
              <w:rPr>
                <w:lang w:val="sl-SI"/>
              </w:rPr>
              <w:t xml:space="preserve"> </w:t>
            </w:r>
          </w:p>
          <w:p w14:paraId="7D398D16" w14:textId="77777777" w:rsidR="00E03711" w:rsidRPr="004E4C36" w:rsidRDefault="00E03711" w:rsidP="005115F2">
            <w:pPr>
              <w:pStyle w:val="Guide-NormalBulletpoints"/>
              <w:numPr>
                <w:ilvl w:val="0"/>
                <w:numId w:val="125"/>
              </w:numPr>
              <w:spacing w:before="60"/>
              <w:rPr>
                <w:lang w:val="sl-SI"/>
              </w:rPr>
            </w:pPr>
            <w:r w:rsidRPr="004E4C36">
              <w:rPr>
                <w:lang w:val="sl-SI"/>
              </w:rPr>
              <w:t>ustreznost in kakovost ukrepov, katerih cilj je razširjanje rezultatov projekta v sodelujočih organizacijah in drugod (vključno z uporabo EPALE, če je ustrezno).</w:t>
            </w:r>
          </w:p>
        </w:tc>
      </w:tr>
    </w:tbl>
    <w:p w14:paraId="7D398D18" w14:textId="77777777" w:rsidR="00E03711" w:rsidRPr="001048FE" w:rsidRDefault="00E03711" w:rsidP="006F6C8B">
      <w:pPr>
        <w:pStyle w:val="GUIDE-NORMAL"/>
        <w:rPr>
          <w:lang w:val="sl-SI"/>
        </w:rPr>
      </w:pPr>
      <w:r w:rsidRPr="001048FE">
        <w:rPr>
          <w:lang w:val="sl-SI"/>
        </w:rPr>
        <w:t>Za upoštevanje pri dodeljevanju sredstev morajo predlogi doseči vsaj 60 točk. Poleg tega morajo doseči vsaj polovico vseh možnih točk v vsaki od navedenih kategorij meril za dodelitev (tj. vsaj 15 točk za kategoriji „Ustreznost projekta“ ter „Učinek in razširjanje“; 20 točk za kategorijo „Kakovost zasnove in izvedbe projekta“).</w:t>
      </w:r>
    </w:p>
    <w:p w14:paraId="7D398D19" w14:textId="77777777" w:rsidR="00E03711" w:rsidRPr="001048FE" w:rsidRDefault="00E03711" w:rsidP="007A0466">
      <w:pPr>
        <w:pStyle w:val="Guide-Heading5"/>
        <w:rPr>
          <w:lang w:val="sl-SI"/>
        </w:rPr>
      </w:pPr>
      <w:r w:rsidRPr="001048FE">
        <w:rPr>
          <w:lang w:val="sl-SI"/>
        </w:rPr>
        <w:t>Kaj je še treba vedeti o tem ukrepu?</w:t>
      </w:r>
    </w:p>
    <w:p w14:paraId="7D398D1A" w14:textId="77777777" w:rsidR="00E03711" w:rsidRPr="00FC4A70" w:rsidRDefault="00E03711" w:rsidP="008F37AC">
      <w:pPr>
        <w:pStyle w:val="Guide-Heading6"/>
        <w:rPr>
          <w:lang w:val="sl-SI"/>
        </w:rPr>
      </w:pPr>
      <w:r w:rsidRPr="00FC4A70">
        <w:rPr>
          <w:rFonts w:eastAsia="Calibri" w:cs="Calibri"/>
          <w:bCs/>
          <w:szCs w:val="20"/>
          <w:bdr w:val="nil"/>
          <w:lang w:val="sl-SI"/>
        </w:rPr>
        <w:t>Izredni stroški za drago potovanje</w:t>
      </w:r>
    </w:p>
    <w:p w14:paraId="7D398D1B" w14:textId="77777777" w:rsidR="00E03711" w:rsidRPr="001048FE" w:rsidRDefault="00E03711" w:rsidP="007A0466">
      <w:pPr>
        <w:pStyle w:val="GUIDE-NORMAL"/>
        <w:rPr>
          <w:sz w:val="22"/>
          <w:lang w:val="sl-SI"/>
        </w:rPr>
      </w:pPr>
      <w:r w:rsidRPr="00FC4A70">
        <w:rPr>
          <w:rFonts w:eastAsia="Calibri" w:cs="Calibri"/>
          <w:bdr w:val="nil"/>
          <w:lang w:val="sl-SI"/>
        </w:rPr>
        <w:t>Prijavitelji projektov mobilnosti lahko zahtevajo finančno podporo za višje potne stroške udeležencev pod proračunsko postavko „izredni stroški“ (do največ 80 % vseh upravičenih stroškov: glejte „Kakšna so pravila za dodelitev sredstev?“)</w:t>
      </w:r>
      <w:r>
        <w:rPr>
          <w:rFonts w:eastAsia="Calibri" w:cs="Calibri"/>
          <w:bdr w:val="nil"/>
          <w:lang w:val="sl-SI"/>
        </w:rPr>
        <w:t>, vključno s primeri, ko se udeleženci odločijo za čistejša prevozna sredstva, z manj emisijami ogljika (npr. vlak), kar vodi do višjih stroškov potovanja</w:t>
      </w:r>
      <w:r w:rsidRPr="00FC4A70">
        <w:rPr>
          <w:rFonts w:eastAsia="Calibri" w:cs="Calibri"/>
          <w:bdr w:val="nil"/>
          <w:lang w:val="sl-SI"/>
        </w:rPr>
        <w:t>. To je dovoljeno pod pogojem, da lahko prijavitelji utemeljijo, da običajna pravila financiranja (na podlagi stroškov na enoto za pas oddaljenosti) ne krijejo vsaj 70 % potnih stroškov udeležencev. Če so dodeljena, se namesto standardnih potnih stroškov upoštevajo izredni stroški za drago potovanje.</w:t>
      </w:r>
    </w:p>
    <w:p w14:paraId="7D398D1C" w14:textId="77777777" w:rsidR="00E03711" w:rsidRPr="001048FE" w:rsidRDefault="00E03711" w:rsidP="007A0466">
      <w:pPr>
        <w:pStyle w:val="Guide-Heading6"/>
        <w:rPr>
          <w:lang w:val="sl-SI"/>
        </w:rPr>
      </w:pPr>
      <w:r w:rsidRPr="001048FE">
        <w:rPr>
          <w:lang w:val="sl-SI"/>
        </w:rPr>
        <w:t>Druge informacije</w:t>
      </w:r>
    </w:p>
    <w:p w14:paraId="7D398D1D" w14:textId="77777777" w:rsidR="00E03711" w:rsidRPr="001048FE" w:rsidRDefault="00E03711" w:rsidP="007A0466">
      <w:pPr>
        <w:pStyle w:val="GUIDE-NORMAL"/>
        <w:rPr>
          <w:sz w:val="22"/>
          <w:lang w:val="sl-SI"/>
        </w:rPr>
      </w:pPr>
      <w:r w:rsidRPr="001048FE">
        <w:rPr>
          <w:lang w:val="sl-SI"/>
        </w:rPr>
        <w:t>Za obvezna merila ter dodatne koristne informacije v zvezi s tem ukrepom glej Prilogo I k temu vodniku.</w:t>
      </w:r>
      <w:r w:rsidRPr="001048FE">
        <w:rPr>
          <w:spacing w:val="-13"/>
          <w:lang w:val="sl-SI"/>
        </w:rPr>
        <w:t xml:space="preserve"> </w:t>
      </w:r>
      <w:r w:rsidRPr="001048FE">
        <w:rPr>
          <w:lang w:val="sl-SI"/>
        </w:rPr>
        <w:t>Zainteresirane</w:t>
      </w:r>
      <w:r w:rsidRPr="001048FE">
        <w:rPr>
          <w:spacing w:val="-13"/>
          <w:lang w:val="sl-SI"/>
        </w:rPr>
        <w:t xml:space="preserve"> </w:t>
      </w:r>
      <w:r w:rsidRPr="001048FE">
        <w:rPr>
          <w:lang w:val="sl-SI"/>
        </w:rPr>
        <w:t>organizacije</w:t>
      </w:r>
      <w:r w:rsidRPr="001048FE">
        <w:rPr>
          <w:spacing w:val="-12"/>
          <w:lang w:val="sl-SI"/>
        </w:rPr>
        <w:t xml:space="preserve"> </w:t>
      </w:r>
      <w:r w:rsidRPr="001048FE">
        <w:rPr>
          <w:lang w:val="sl-SI"/>
        </w:rPr>
        <w:t>naj</w:t>
      </w:r>
      <w:r w:rsidRPr="001048FE">
        <w:rPr>
          <w:spacing w:val="-13"/>
          <w:lang w:val="sl-SI"/>
        </w:rPr>
        <w:t xml:space="preserve"> </w:t>
      </w:r>
      <w:r w:rsidRPr="001048FE">
        <w:rPr>
          <w:lang w:val="sl-SI"/>
        </w:rPr>
        <w:t>pred</w:t>
      </w:r>
      <w:r w:rsidRPr="001048FE">
        <w:rPr>
          <w:spacing w:val="-13"/>
          <w:lang w:val="sl-SI"/>
        </w:rPr>
        <w:t xml:space="preserve"> </w:t>
      </w:r>
      <w:r w:rsidRPr="001048FE">
        <w:rPr>
          <w:lang w:val="sl-SI"/>
        </w:rPr>
        <w:t>oddajo</w:t>
      </w:r>
      <w:r w:rsidRPr="001048FE">
        <w:rPr>
          <w:spacing w:val="-12"/>
          <w:lang w:val="sl-SI"/>
        </w:rPr>
        <w:t xml:space="preserve"> </w:t>
      </w:r>
      <w:r w:rsidRPr="001048FE">
        <w:rPr>
          <w:lang w:val="sl-SI"/>
        </w:rPr>
        <w:t>vloge</w:t>
      </w:r>
      <w:r w:rsidRPr="001048FE">
        <w:rPr>
          <w:spacing w:val="-13"/>
          <w:lang w:val="sl-SI"/>
        </w:rPr>
        <w:t xml:space="preserve"> </w:t>
      </w:r>
      <w:r w:rsidRPr="001048FE">
        <w:rPr>
          <w:lang w:val="sl-SI"/>
        </w:rPr>
        <w:t>za</w:t>
      </w:r>
      <w:r w:rsidRPr="001048FE">
        <w:rPr>
          <w:spacing w:val="-13"/>
          <w:lang w:val="sl-SI"/>
        </w:rPr>
        <w:t xml:space="preserve"> </w:t>
      </w:r>
      <w:r w:rsidRPr="001048FE">
        <w:rPr>
          <w:lang w:val="sl-SI"/>
        </w:rPr>
        <w:t>finančno</w:t>
      </w:r>
      <w:r w:rsidRPr="001048FE">
        <w:rPr>
          <w:spacing w:val="-13"/>
          <w:lang w:val="sl-SI"/>
        </w:rPr>
        <w:t xml:space="preserve"> </w:t>
      </w:r>
      <w:r w:rsidRPr="001048FE">
        <w:rPr>
          <w:lang w:val="sl-SI"/>
        </w:rPr>
        <w:t>podporo</w:t>
      </w:r>
      <w:r w:rsidRPr="001048FE">
        <w:rPr>
          <w:spacing w:val="-13"/>
          <w:lang w:val="sl-SI"/>
        </w:rPr>
        <w:t xml:space="preserve"> </w:t>
      </w:r>
      <w:r w:rsidRPr="001048FE">
        <w:rPr>
          <w:lang w:val="sl-SI"/>
        </w:rPr>
        <w:t>skrbno</w:t>
      </w:r>
      <w:r w:rsidRPr="001048FE">
        <w:rPr>
          <w:spacing w:val="-13"/>
          <w:lang w:val="sl-SI"/>
        </w:rPr>
        <w:t xml:space="preserve"> </w:t>
      </w:r>
      <w:r w:rsidRPr="001048FE">
        <w:rPr>
          <w:lang w:val="sl-SI"/>
        </w:rPr>
        <w:t>preberejo ustrezna poglavja te</w:t>
      </w:r>
      <w:r w:rsidRPr="001048FE">
        <w:rPr>
          <w:spacing w:val="-7"/>
          <w:lang w:val="sl-SI"/>
        </w:rPr>
        <w:t xml:space="preserve"> </w:t>
      </w:r>
      <w:r w:rsidRPr="001048FE">
        <w:rPr>
          <w:lang w:val="sl-SI"/>
        </w:rPr>
        <w:t>priloge.</w:t>
      </w:r>
    </w:p>
    <w:p w14:paraId="7D398D1E" w14:textId="77777777" w:rsidR="00E03711" w:rsidRDefault="00E03711" w:rsidP="007A0466">
      <w:pPr>
        <w:pStyle w:val="Guide-Heading5"/>
        <w:rPr>
          <w:lang w:val="sl-SI"/>
        </w:rPr>
        <w:sectPr w:rsidR="00E03711" w:rsidSect="007F4890">
          <w:endnotePr>
            <w:numFmt w:val="decimal"/>
          </w:endnotePr>
          <w:pgSz w:w="11910" w:h="16840" w:code="9"/>
          <w:pgMar w:top="1134" w:right="1418" w:bottom="1134" w:left="1418" w:header="283" w:footer="567" w:gutter="0"/>
          <w:cols w:space="720"/>
          <w:docGrid w:linePitch="326"/>
        </w:sectPr>
      </w:pPr>
    </w:p>
    <w:p w14:paraId="7D398D1F" w14:textId="77777777" w:rsidR="00E03711" w:rsidRPr="001048FE" w:rsidRDefault="00E03711" w:rsidP="007A0466">
      <w:pPr>
        <w:pStyle w:val="Guide-Heading5"/>
        <w:rPr>
          <w:lang w:val="sl-SI"/>
        </w:rPr>
      </w:pPr>
      <w:r w:rsidRPr="001048FE">
        <w:rPr>
          <w:lang w:val="sl-SI"/>
        </w:rPr>
        <w:t>Kakšna so pravila za dodelitev sredstev?</w:t>
      </w:r>
    </w:p>
    <w:p w14:paraId="7D398D20" w14:textId="77777777" w:rsidR="00E03711" w:rsidRPr="001048FE" w:rsidRDefault="00E03711" w:rsidP="007A0466">
      <w:pPr>
        <w:pStyle w:val="GUIDE-NORMAL"/>
        <w:rPr>
          <w:lang w:val="sl-SI"/>
        </w:rPr>
      </w:pPr>
      <w:r w:rsidRPr="001048FE">
        <w:rPr>
          <w:lang w:val="sl-SI"/>
        </w:rPr>
        <w:t>Proračun projekta mobilnosti je treba pripraviti v skladu z naslednjimi pravili za dodelitev sredstev (v EUR):</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7"/>
        <w:gridCol w:w="4318"/>
        <w:gridCol w:w="2168"/>
        <w:gridCol w:w="3233"/>
        <w:gridCol w:w="2762"/>
      </w:tblGrid>
      <w:tr w:rsidR="00E03711" w:rsidRPr="008C6F8C" w14:paraId="7D398D25" w14:textId="77777777" w:rsidTr="007121FF">
        <w:trPr>
          <w:trHeight w:val="20"/>
        </w:trPr>
        <w:tc>
          <w:tcPr>
            <w:tcW w:w="2240" w:type="pct"/>
            <w:gridSpan w:val="2"/>
            <w:shd w:val="clear" w:color="auto" w:fill="auto"/>
            <w:vAlign w:val="center"/>
          </w:tcPr>
          <w:p w14:paraId="7D398D21" w14:textId="77777777" w:rsidR="00E03711" w:rsidRPr="00F769E0" w:rsidRDefault="00E03711" w:rsidP="004A5D6B">
            <w:pPr>
              <w:pStyle w:val="GUIDE-NORMAL"/>
              <w:spacing w:before="20" w:after="20"/>
              <w:jc w:val="center"/>
              <w:rPr>
                <w:rFonts w:cs="Tahoma"/>
                <w:b/>
                <w:lang w:val="sl-SI" w:eastAsia="en-GB"/>
              </w:rPr>
            </w:pPr>
            <w:r w:rsidRPr="00F769E0">
              <w:rPr>
                <w:rFonts w:cs="Tahoma"/>
                <w:b/>
                <w:lang w:val="sl-SI" w:eastAsia="en-GB"/>
              </w:rPr>
              <w:t>Upravičeni stroški</w:t>
            </w:r>
          </w:p>
        </w:tc>
        <w:tc>
          <w:tcPr>
            <w:tcW w:w="733" w:type="pct"/>
            <w:shd w:val="clear" w:color="auto" w:fill="auto"/>
            <w:vAlign w:val="center"/>
          </w:tcPr>
          <w:p w14:paraId="7D398D22" w14:textId="77777777" w:rsidR="00E03711" w:rsidRPr="00F769E0" w:rsidRDefault="00E03711" w:rsidP="004A5D6B">
            <w:pPr>
              <w:pStyle w:val="GUIDE-NORMAL"/>
              <w:spacing w:before="20" w:after="20"/>
              <w:jc w:val="center"/>
              <w:rPr>
                <w:rFonts w:cs="Tahoma"/>
                <w:b/>
                <w:lang w:val="sl-SI" w:eastAsia="en-GB"/>
              </w:rPr>
            </w:pPr>
            <w:r w:rsidRPr="00F769E0">
              <w:rPr>
                <w:rFonts w:cs="Tahoma"/>
                <w:b/>
                <w:lang w:val="sl-SI" w:eastAsia="en-GB"/>
              </w:rPr>
              <w:t>Mehanizem financiranja</w:t>
            </w:r>
          </w:p>
        </w:tc>
        <w:tc>
          <w:tcPr>
            <w:tcW w:w="1093" w:type="pct"/>
            <w:shd w:val="clear" w:color="auto" w:fill="auto"/>
            <w:vAlign w:val="center"/>
          </w:tcPr>
          <w:p w14:paraId="7D398D23" w14:textId="77777777" w:rsidR="00E03711" w:rsidRPr="00F769E0" w:rsidRDefault="00E03711" w:rsidP="004A5D6B">
            <w:pPr>
              <w:pStyle w:val="GUIDE-NORMAL"/>
              <w:spacing w:before="20" w:after="20"/>
              <w:jc w:val="center"/>
              <w:rPr>
                <w:rFonts w:cs="Tahoma"/>
                <w:b/>
                <w:lang w:val="sl-SI" w:eastAsia="en-GB"/>
              </w:rPr>
            </w:pPr>
            <w:r w:rsidRPr="00F769E0">
              <w:rPr>
                <w:rFonts w:cs="Tahoma"/>
                <w:b/>
                <w:lang w:val="sl-SI" w:eastAsia="en-GB"/>
              </w:rPr>
              <w:t>Znesek</w:t>
            </w:r>
          </w:p>
        </w:tc>
        <w:tc>
          <w:tcPr>
            <w:tcW w:w="934" w:type="pct"/>
            <w:shd w:val="clear" w:color="auto" w:fill="auto"/>
            <w:vAlign w:val="center"/>
          </w:tcPr>
          <w:p w14:paraId="7D398D24" w14:textId="77777777" w:rsidR="00E03711" w:rsidRPr="00F769E0" w:rsidRDefault="00E03711" w:rsidP="004A5D6B">
            <w:pPr>
              <w:pStyle w:val="GUIDE-NORMAL"/>
              <w:spacing w:before="20" w:after="20"/>
              <w:jc w:val="center"/>
              <w:rPr>
                <w:rFonts w:cs="Tahoma"/>
                <w:b/>
                <w:lang w:val="sl-SI" w:eastAsia="en-GB"/>
              </w:rPr>
            </w:pPr>
            <w:r w:rsidRPr="00F769E0">
              <w:rPr>
                <w:rFonts w:cs="Tahoma"/>
                <w:b/>
                <w:lang w:val="sl-SI" w:eastAsia="en-GB"/>
              </w:rPr>
              <w:t>Pravilo dodelitve</w:t>
            </w:r>
          </w:p>
        </w:tc>
      </w:tr>
      <w:tr w:rsidR="00E03711" w:rsidRPr="00A6094F" w14:paraId="7D398D2B" w14:textId="77777777" w:rsidTr="007121FF">
        <w:trPr>
          <w:trHeight w:val="20"/>
        </w:trPr>
        <w:tc>
          <w:tcPr>
            <w:tcW w:w="780" w:type="pct"/>
            <w:vMerge w:val="restart"/>
            <w:vAlign w:val="center"/>
          </w:tcPr>
          <w:p w14:paraId="7D398D26" w14:textId="77777777" w:rsidR="00E03711" w:rsidRPr="00F769E0" w:rsidRDefault="00E03711" w:rsidP="004A5D6B">
            <w:pPr>
              <w:pStyle w:val="GUIDE-NORMAL"/>
              <w:spacing w:before="20" w:after="20"/>
              <w:jc w:val="left"/>
              <w:rPr>
                <w:rFonts w:cs="Tahoma"/>
                <w:b/>
                <w:lang w:val="sl-SI" w:eastAsia="en-GB"/>
              </w:rPr>
            </w:pPr>
            <w:r w:rsidRPr="00F769E0">
              <w:rPr>
                <w:rFonts w:cs="Tahoma"/>
                <w:b/>
                <w:lang w:val="sl-SI" w:eastAsia="en-GB"/>
              </w:rPr>
              <w:t>Pot</w:t>
            </w:r>
          </w:p>
        </w:tc>
        <w:tc>
          <w:tcPr>
            <w:tcW w:w="1460" w:type="pct"/>
            <w:vMerge w:val="restart"/>
            <w:vAlign w:val="center"/>
          </w:tcPr>
          <w:p w14:paraId="7D398D27"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Prispevek za potne stroške udeležencev, vključno s spremljevalci, od njihovega kraja izvora do kraja izvajanja aktivnosti in nazaj.</w:t>
            </w:r>
          </w:p>
        </w:tc>
        <w:tc>
          <w:tcPr>
            <w:tcW w:w="733" w:type="pct"/>
            <w:vMerge w:val="restart"/>
            <w:vAlign w:val="center"/>
          </w:tcPr>
          <w:p w14:paraId="7D398D28"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093" w:type="pct"/>
            <w:vAlign w:val="center"/>
          </w:tcPr>
          <w:p w14:paraId="7D398D29"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Za razdalje od 10 do 99 km: 20 EUR na udeleženca.</w:t>
            </w:r>
          </w:p>
        </w:tc>
        <w:tc>
          <w:tcPr>
            <w:tcW w:w="934" w:type="pct"/>
            <w:vMerge w:val="restart"/>
            <w:vAlign w:val="center"/>
          </w:tcPr>
          <w:p w14:paraId="7D398D2A" w14:textId="77777777" w:rsidR="00E03711" w:rsidRPr="00F769E0" w:rsidRDefault="00E03711" w:rsidP="000C0F8E">
            <w:pPr>
              <w:pStyle w:val="GUIDE-NORMAL"/>
              <w:jc w:val="left"/>
              <w:rPr>
                <w:rFonts w:cs="Tahoma"/>
                <w:lang w:val="sl-SI" w:eastAsia="en-GB"/>
              </w:rPr>
            </w:pPr>
            <w:r w:rsidRPr="00F769E0">
              <w:rPr>
                <w:rFonts w:cs="Tahoma"/>
                <w:lang w:val="sl-SI" w:eastAsia="en-GB"/>
              </w:rPr>
              <w:t>Glede na razdaljo poti na udeleženca. Razdaljo je treba izračunati s kalkulatorjem razdalje, ki ga podpira Evropska komisija</w:t>
            </w:r>
            <w:hyperlink r:id="rId75">
              <w:r w:rsidRPr="00F769E0">
                <w:rPr>
                  <w:rFonts w:cs="Tahoma"/>
                  <w:sz w:val="13"/>
                  <w:lang w:val="sl-SI" w:eastAsia="en-GB"/>
                </w:rPr>
                <w:t>1</w:t>
              </w:r>
            </w:hyperlink>
            <w:r w:rsidRPr="00F769E0">
              <w:rPr>
                <w:rStyle w:val="FootnoteReference"/>
                <w:rFonts w:cs="Tahoma"/>
                <w:lang w:val="sl-SI" w:eastAsia="en-GB"/>
              </w:rPr>
              <w:footnoteReference w:id="49"/>
            </w:r>
            <w:r w:rsidRPr="00F769E0">
              <w:rPr>
                <w:rFonts w:cs="Tahoma"/>
                <w:lang w:val="sl-SI" w:eastAsia="en-GB"/>
              </w:rPr>
              <w:t>. Prijavitelj mora navesti razdaljo enosmerne poti za izračun zneska nepovratnih sredstev EU za kritje povratne poti</w:t>
            </w:r>
            <w:hyperlink r:id="rId76">
              <w:r w:rsidRPr="00F769E0">
                <w:rPr>
                  <w:rFonts w:cs="Tahoma"/>
                  <w:sz w:val="13"/>
                  <w:lang w:val="sl-SI" w:eastAsia="en-GB"/>
                </w:rPr>
                <w:t>2</w:t>
              </w:r>
            </w:hyperlink>
            <w:r w:rsidRPr="00F769E0">
              <w:rPr>
                <w:rStyle w:val="FootnoteReference"/>
                <w:rFonts w:cs="Tahoma"/>
                <w:lang w:val="sl-SI" w:eastAsia="en-GB"/>
              </w:rPr>
              <w:footnoteReference w:id="50"/>
            </w:r>
            <w:r w:rsidRPr="00F769E0">
              <w:rPr>
                <w:rFonts w:cs="Tahoma"/>
                <w:lang w:val="sl-SI" w:eastAsia="en-GB"/>
              </w:rPr>
              <w:t>.</w:t>
            </w:r>
          </w:p>
        </w:tc>
      </w:tr>
      <w:tr w:rsidR="00E03711" w:rsidRPr="00A6094F" w14:paraId="7D398D31" w14:textId="77777777" w:rsidTr="007121FF">
        <w:trPr>
          <w:trHeight w:val="20"/>
        </w:trPr>
        <w:tc>
          <w:tcPr>
            <w:tcW w:w="780" w:type="pct"/>
            <w:vMerge/>
            <w:vAlign w:val="center"/>
          </w:tcPr>
          <w:p w14:paraId="7D398D2C" w14:textId="77777777" w:rsidR="00E03711" w:rsidRPr="00F769E0" w:rsidRDefault="00E03711" w:rsidP="004A5D6B">
            <w:pPr>
              <w:pStyle w:val="GUIDE-NORMAL"/>
              <w:spacing w:before="20" w:after="20"/>
              <w:jc w:val="left"/>
              <w:rPr>
                <w:rFonts w:cs="Tahoma"/>
                <w:b/>
                <w:sz w:val="2"/>
                <w:szCs w:val="2"/>
                <w:lang w:val="sl-SI" w:eastAsia="en-GB"/>
              </w:rPr>
            </w:pPr>
          </w:p>
        </w:tc>
        <w:tc>
          <w:tcPr>
            <w:tcW w:w="1460" w:type="pct"/>
            <w:vMerge/>
            <w:vAlign w:val="center"/>
          </w:tcPr>
          <w:p w14:paraId="7D398D2D" w14:textId="77777777" w:rsidR="00E03711" w:rsidRPr="00F769E0" w:rsidRDefault="00E03711" w:rsidP="000C0F8E">
            <w:pPr>
              <w:pStyle w:val="GUIDE-NORMAL"/>
              <w:spacing w:before="60" w:after="60"/>
              <w:jc w:val="left"/>
              <w:rPr>
                <w:rFonts w:cs="Tahoma"/>
                <w:lang w:val="sl-SI" w:eastAsia="en-GB"/>
              </w:rPr>
            </w:pPr>
          </w:p>
        </w:tc>
        <w:tc>
          <w:tcPr>
            <w:tcW w:w="733" w:type="pct"/>
            <w:vMerge/>
            <w:vAlign w:val="center"/>
          </w:tcPr>
          <w:p w14:paraId="7D398D2E" w14:textId="77777777" w:rsidR="00E03711" w:rsidRPr="00F769E0" w:rsidRDefault="00E03711" w:rsidP="000C0F8E">
            <w:pPr>
              <w:pStyle w:val="GUIDE-NORMAL"/>
              <w:spacing w:before="60" w:after="60"/>
              <w:jc w:val="left"/>
              <w:rPr>
                <w:rFonts w:cs="Tahoma"/>
                <w:lang w:val="sl-SI" w:eastAsia="en-GB"/>
              </w:rPr>
            </w:pPr>
          </w:p>
        </w:tc>
        <w:tc>
          <w:tcPr>
            <w:tcW w:w="1093" w:type="pct"/>
          </w:tcPr>
          <w:p w14:paraId="7D398D2F"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Za razdalje od 100 do 499 km: 180 EUR na udeleženca.</w:t>
            </w:r>
          </w:p>
        </w:tc>
        <w:tc>
          <w:tcPr>
            <w:tcW w:w="934" w:type="pct"/>
            <w:vMerge/>
            <w:vAlign w:val="center"/>
          </w:tcPr>
          <w:p w14:paraId="7D398D30" w14:textId="77777777" w:rsidR="00E03711" w:rsidRPr="00F769E0" w:rsidRDefault="00E03711" w:rsidP="004A5D6B">
            <w:pPr>
              <w:pStyle w:val="Guide-Table"/>
              <w:spacing w:before="20" w:after="20"/>
              <w:jc w:val="left"/>
              <w:rPr>
                <w:rFonts w:cs="Tahoma"/>
                <w:sz w:val="2"/>
                <w:szCs w:val="2"/>
                <w:lang w:val="sl-SI" w:eastAsia="en-GB"/>
              </w:rPr>
            </w:pPr>
          </w:p>
        </w:tc>
      </w:tr>
      <w:tr w:rsidR="00E03711" w:rsidRPr="00A6094F" w14:paraId="7D398D37" w14:textId="77777777" w:rsidTr="007121FF">
        <w:trPr>
          <w:trHeight w:val="20"/>
        </w:trPr>
        <w:tc>
          <w:tcPr>
            <w:tcW w:w="780" w:type="pct"/>
            <w:vMerge/>
            <w:vAlign w:val="center"/>
          </w:tcPr>
          <w:p w14:paraId="7D398D32" w14:textId="77777777" w:rsidR="00E03711" w:rsidRPr="00F769E0" w:rsidRDefault="00E03711" w:rsidP="004A5D6B">
            <w:pPr>
              <w:pStyle w:val="GUIDE-NORMAL"/>
              <w:spacing w:before="20" w:after="20"/>
              <w:jc w:val="left"/>
              <w:rPr>
                <w:rFonts w:cs="Tahoma"/>
                <w:b/>
                <w:sz w:val="2"/>
                <w:szCs w:val="2"/>
                <w:lang w:val="sl-SI" w:eastAsia="en-GB"/>
              </w:rPr>
            </w:pPr>
          </w:p>
        </w:tc>
        <w:tc>
          <w:tcPr>
            <w:tcW w:w="1460" w:type="pct"/>
            <w:vMerge/>
            <w:vAlign w:val="center"/>
          </w:tcPr>
          <w:p w14:paraId="7D398D33" w14:textId="77777777" w:rsidR="00E03711" w:rsidRPr="00F769E0" w:rsidRDefault="00E03711" w:rsidP="000C0F8E">
            <w:pPr>
              <w:pStyle w:val="GUIDE-NORMAL"/>
              <w:spacing w:before="60" w:after="60"/>
              <w:jc w:val="left"/>
              <w:rPr>
                <w:rFonts w:cs="Tahoma"/>
                <w:lang w:val="sl-SI" w:eastAsia="en-GB"/>
              </w:rPr>
            </w:pPr>
          </w:p>
        </w:tc>
        <w:tc>
          <w:tcPr>
            <w:tcW w:w="733" w:type="pct"/>
            <w:vMerge/>
            <w:vAlign w:val="center"/>
          </w:tcPr>
          <w:p w14:paraId="7D398D34" w14:textId="77777777" w:rsidR="00E03711" w:rsidRPr="00F769E0" w:rsidRDefault="00E03711" w:rsidP="000C0F8E">
            <w:pPr>
              <w:pStyle w:val="GUIDE-NORMAL"/>
              <w:spacing w:before="60" w:after="60"/>
              <w:jc w:val="left"/>
              <w:rPr>
                <w:rFonts w:cs="Tahoma"/>
                <w:lang w:val="sl-SI" w:eastAsia="en-GB"/>
              </w:rPr>
            </w:pPr>
          </w:p>
        </w:tc>
        <w:tc>
          <w:tcPr>
            <w:tcW w:w="1093" w:type="pct"/>
          </w:tcPr>
          <w:p w14:paraId="7D398D35"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Za razdalje od 500 do 1 999 km: 275 EUR na udeleženca.</w:t>
            </w:r>
          </w:p>
        </w:tc>
        <w:tc>
          <w:tcPr>
            <w:tcW w:w="934" w:type="pct"/>
            <w:vMerge/>
            <w:vAlign w:val="center"/>
          </w:tcPr>
          <w:p w14:paraId="7D398D36" w14:textId="77777777" w:rsidR="00E03711" w:rsidRPr="00F769E0" w:rsidRDefault="00E03711" w:rsidP="004A5D6B">
            <w:pPr>
              <w:pStyle w:val="Guide-Table"/>
              <w:spacing w:before="20" w:after="20"/>
              <w:jc w:val="left"/>
              <w:rPr>
                <w:rFonts w:cs="Tahoma"/>
                <w:sz w:val="2"/>
                <w:szCs w:val="2"/>
                <w:lang w:val="sl-SI" w:eastAsia="en-GB"/>
              </w:rPr>
            </w:pPr>
          </w:p>
        </w:tc>
      </w:tr>
      <w:tr w:rsidR="00E03711" w:rsidRPr="00A6094F" w14:paraId="7D398D3D" w14:textId="77777777" w:rsidTr="007121FF">
        <w:trPr>
          <w:trHeight w:val="20"/>
        </w:trPr>
        <w:tc>
          <w:tcPr>
            <w:tcW w:w="780" w:type="pct"/>
            <w:vMerge/>
            <w:vAlign w:val="center"/>
          </w:tcPr>
          <w:p w14:paraId="7D398D38" w14:textId="77777777" w:rsidR="00E03711" w:rsidRPr="00F769E0" w:rsidRDefault="00E03711" w:rsidP="004A5D6B">
            <w:pPr>
              <w:pStyle w:val="GUIDE-NORMAL"/>
              <w:spacing w:before="20" w:after="20"/>
              <w:jc w:val="left"/>
              <w:rPr>
                <w:rFonts w:cs="Tahoma"/>
                <w:b/>
                <w:sz w:val="2"/>
                <w:szCs w:val="2"/>
                <w:lang w:val="sl-SI" w:eastAsia="en-GB"/>
              </w:rPr>
            </w:pPr>
          </w:p>
        </w:tc>
        <w:tc>
          <w:tcPr>
            <w:tcW w:w="1460" w:type="pct"/>
            <w:vMerge/>
            <w:vAlign w:val="center"/>
          </w:tcPr>
          <w:p w14:paraId="7D398D39" w14:textId="77777777" w:rsidR="00E03711" w:rsidRPr="00F769E0" w:rsidRDefault="00E03711" w:rsidP="000C0F8E">
            <w:pPr>
              <w:pStyle w:val="GUIDE-NORMAL"/>
              <w:spacing w:before="60" w:after="60"/>
              <w:jc w:val="left"/>
              <w:rPr>
                <w:rFonts w:cs="Tahoma"/>
                <w:lang w:val="sl-SI" w:eastAsia="en-GB"/>
              </w:rPr>
            </w:pPr>
          </w:p>
        </w:tc>
        <w:tc>
          <w:tcPr>
            <w:tcW w:w="733" w:type="pct"/>
            <w:vMerge/>
            <w:vAlign w:val="center"/>
          </w:tcPr>
          <w:p w14:paraId="7D398D3A" w14:textId="77777777" w:rsidR="00E03711" w:rsidRPr="00F769E0" w:rsidRDefault="00E03711" w:rsidP="000C0F8E">
            <w:pPr>
              <w:pStyle w:val="GUIDE-NORMAL"/>
              <w:spacing w:before="60" w:after="60"/>
              <w:jc w:val="left"/>
              <w:rPr>
                <w:rFonts w:cs="Tahoma"/>
                <w:lang w:val="sl-SI" w:eastAsia="en-GB"/>
              </w:rPr>
            </w:pPr>
          </w:p>
        </w:tc>
        <w:tc>
          <w:tcPr>
            <w:tcW w:w="1093" w:type="pct"/>
          </w:tcPr>
          <w:p w14:paraId="7D398D3B"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Za razdalje od 2 000 do 2 999 km: 360 EUR na udeleženca.</w:t>
            </w:r>
          </w:p>
        </w:tc>
        <w:tc>
          <w:tcPr>
            <w:tcW w:w="934" w:type="pct"/>
            <w:vMerge/>
            <w:vAlign w:val="center"/>
          </w:tcPr>
          <w:p w14:paraId="7D398D3C" w14:textId="77777777" w:rsidR="00E03711" w:rsidRPr="00F769E0" w:rsidRDefault="00E03711" w:rsidP="004A5D6B">
            <w:pPr>
              <w:pStyle w:val="Guide-Table"/>
              <w:spacing w:before="20" w:after="20"/>
              <w:jc w:val="left"/>
              <w:rPr>
                <w:rFonts w:cs="Tahoma"/>
                <w:sz w:val="2"/>
                <w:szCs w:val="2"/>
                <w:lang w:val="sl-SI" w:eastAsia="en-GB"/>
              </w:rPr>
            </w:pPr>
          </w:p>
        </w:tc>
      </w:tr>
      <w:tr w:rsidR="00E03711" w:rsidRPr="00A6094F" w14:paraId="7D398D43" w14:textId="77777777" w:rsidTr="007121FF">
        <w:trPr>
          <w:trHeight w:val="20"/>
        </w:trPr>
        <w:tc>
          <w:tcPr>
            <w:tcW w:w="780" w:type="pct"/>
            <w:vMerge/>
            <w:vAlign w:val="center"/>
          </w:tcPr>
          <w:p w14:paraId="7D398D3E" w14:textId="77777777" w:rsidR="00E03711" w:rsidRPr="00F769E0" w:rsidRDefault="00E03711" w:rsidP="004A5D6B">
            <w:pPr>
              <w:pStyle w:val="GUIDE-NORMAL"/>
              <w:spacing w:before="20" w:after="20"/>
              <w:jc w:val="left"/>
              <w:rPr>
                <w:rFonts w:cs="Tahoma"/>
                <w:b/>
                <w:sz w:val="2"/>
                <w:szCs w:val="2"/>
                <w:lang w:val="sl-SI" w:eastAsia="en-GB"/>
              </w:rPr>
            </w:pPr>
          </w:p>
        </w:tc>
        <w:tc>
          <w:tcPr>
            <w:tcW w:w="1460" w:type="pct"/>
            <w:vMerge/>
            <w:vAlign w:val="center"/>
          </w:tcPr>
          <w:p w14:paraId="7D398D3F" w14:textId="77777777" w:rsidR="00E03711" w:rsidRPr="00F769E0" w:rsidRDefault="00E03711" w:rsidP="000C0F8E">
            <w:pPr>
              <w:pStyle w:val="GUIDE-NORMAL"/>
              <w:spacing w:before="60" w:after="60"/>
              <w:jc w:val="left"/>
              <w:rPr>
                <w:rFonts w:cs="Tahoma"/>
                <w:lang w:val="sl-SI" w:eastAsia="en-GB"/>
              </w:rPr>
            </w:pPr>
          </w:p>
        </w:tc>
        <w:tc>
          <w:tcPr>
            <w:tcW w:w="733" w:type="pct"/>
            <w:vMerge/>
            <w:vAlign w:val="center"/>
          </w:tcPr>
          <w:p w14:paraId="7D398D40" w14:textId="77777777" w:rsidR="00E03711" w:rsidRPr="00F769E0" w:rsidRDefault="00E03711" w:rsidP="000C0F8E">
            <w:pPr>
              <w:pStyle w:val="GUIDE-NORMAL"/>
              <w:spacing w:before="60" w:after="60"/>
              <w:jc w:val="left"/>
              <w:rPr>
                <w:rFonts w:cs="Tahoma"/>
                <w:lang w:val="sl-SI" w:eastAsia="en-GB"/>
              </w:rPr>
            </w:pPr>
          </w:p>
        </w:tc>
        <w:tc>
          <w:tcPr>
            <w:tcW w:w="1093" w:type="pct"/>
          </w:tcPr>
          <w:p w14:paraId="7D398D41"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Za razdalje od 3 000 do 3 999 km: 530 EUR na udeleženca.</w:t>
            </w:r>
          </w:p>
        </w:tc>
        <w:tc>
          <w:tcPr>
            <w:tcW w:w="934" w:type="pct"/>
            <w:vMerge/>
            <w:vAlign w:val="center"/>
          </w:tcPr>
          <w:p w14:paraId="7D398D42" w14:textId="77777777" w:rsidR="00E03711" w:rsidRPr="00F769E0" w:rsidRDefault="00E03711" w:rsidP="004A5D6B">
            <w:pPr>
              <w:pStyle w:val="Guide-Table"/>
              <w:spacing w:before="20" w:after="20"/>
              <w:jc w:val="left"/>
              <w:rPr>
                <w:rFonts w:cs="Tahoma"/>
                <w:sz w:val="2"/>
                <w:szCs w:val="2"/>
                <w:lang w:val="sl-SI" w:eastAsia="en-GB"/>
              </w:rPr>
            </w:pPr>
          </w:p>
        </w:tc>
      </w:tr>
      <w:tr w:rsidR="00E03711" w:rsidRPr="00A6094F" w14:paraId="7D398D49" w14:textId="77777777" w:rsidTr="007121FF">
        <w:trPr>
          <w:trHeight w:val="20"/>
        </w:trPr>
        <w:tc>
          <w:tcPr>
            <w:tcW w:w="780" w:type="pct"/>
            <w:vMerge/>
            <w:vAlign w:val="center"/>
          </w:tcPr>
          <w:p w14:paraId="7D398D44" w14:textId="77777777" w:rsidR="00E03711" w:rsidRPr="00F769E0" w:rsidRDefault="00E03711" w:rsidP="004A5D6B">
            <w:pPr>
              <w:pStyle w:val="GUIDE-NORMAL"/>
              <w:spacing w:before="20" w:after="20"/>
              <w:jc w:val="left"/>
              <w:rPr>
                <w:rFonts w:cs="Tahoma"/>
                <w:b/>
                <w:sz w:val="2"/>
                <w:szCs w:val="2"/>
                <w:lang w:val="sl-SI" w:eastAsia="en-GB"/>
              </w:rPr>
            </w:pPr>
          </w:p>
        </w:tc>
        <w:tc>
          <w:tcPr>
            <w:tcW w:w="1460" w:type="pct"/>
            <w:vMerge/>
            <w:vAlign w:val="center"/>
          </w:tcPr>
          <w:p w14:paraId="7D398D45" w14:textId="77777777" w:rsidR="00E03711" w:rsidRPr="00F769E0" w:rsidRDefault="00E03711" w:rsidP="000C0F8E">
            <w:pPr>
              <w:pStyle w:val="GUIDE-NORMAL"/>
              <w:spacing w:before="60" w:after="60"/>
              <w:jc w:val="left"/>
              <w:rPr>
                <w:rFonts w:cs="Tahoma"/>
                <w:lang w:val="sl-SI" w:eastAsia="en-GB"/>
              </w:rPr>
            </w:pPr>
          </w:p>
        </w:tc>
        <w:tc>
          <w:tcPr>
            <w:tcW w:w="733" w:type="pct"/>
            <w:vMerge/>
            <w:vAlign w:val="center"/>
          </w:tcPr>
          <w:p w14:paraId="7D398D46" w14:textId="77777777" w:rsidR="00E03711" w:rsidRPr="00F769E0" w:rsidRDefault="00E03711" w:rsidP="000C0F8E">
            <w:pPr>
              <w:pStyle w:val="GUIDE-NORMAL"/>
              <w:spacing w:before="60" w:after="60"/>
              <w:jc w:val="left"/>
              <w:rPr>
                <w:rFonts w:cs="Tahoma"/>
                <w:lang w:val="sl-SI" w:eastAsia="en-GB"/>
              </w:rPr>
            </w:pPr>
          </w:p>
        </w:tc>
        <w:tc>
          <w:tcPr>
            <w:tcW w:w="1093" w:type="pct"/>
          </w:tcPr>
          <w:p w14:paraId="7D398D47"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Za razdalje od 4 000 do 7 999 km: 820 EUR na udeleženca.</w:t>
            </w:r>
          </w:p>
        </w:tc>
        <w:tc>
          <w:tcPr>
            <w:tcW w:w="934" w:type="pct"/>
            <w:vMerge/>
            <w:vAlign w:val="center"/>
          </w:tcPr>
          <w:p w14:paraId="7D398D48" w14:textId="77777777" w:rsidR="00E03711" w:rsidRPr="00F769E0" w:rsidRDefault="00E03711" w:rsidP="004A5D6B">
            <w:pPr>
              <w:pStyle w:val="Guide-Table"/>
              <w:spacing w:before="20" w:after="20"/>
              <w:jc w:val="left"/>
              <w:rPr>
                <w:rFonts w:cs="Tahoma"/>
                <w:sz w:val="2"/>
                <w:szCs w:val="2"/>
                <w:lang w:val="sl-SI" w:eastAsia="en-GB"/>
              </w:rPr>
            </w:pPr>
          </w:p>
        </w:tc>
      </w:tr>
      <w:tr w:rsidR="00E03711" w:rsidRPr="00A6094F" w14:paraId="7D398D4F" w14:textId="77777777" w:rsidTr="007121FF">
        <w:trPr>
          <w:trHeight w:val="20"/>
        </w:trPr>
        <w:tc>
          <w:tcPr>
            <w:tcW w:w="780" w:type="pct"/>
            <w:vMerge/>
            <w:vAlign w:val="center"/>
          </w:tcPr>
          <w:p w14:paraId="7D398D4A" w14:textId="77777777" w:rsidR="00E03711" w:rsidRPr="00F769E0" w:rsidRDefault="00E03711" w:rsidP="004A5D6B">
            <w:pPr>
              <w:pStyle w:val="GUIDE-NORMAL"/>
              <w:spacing w:before="20" w:after="20"/>
              <w:jc w:val="left"/>
              <w:rPr>
                <w:rFonts w:cs="Tahoma"/>
                <w:b/>
                <w:sz w:val="2"/>
                <w:szCs w:val="2"/>
                <w:lang w:val="sl-SI" w:eastAsia="en-GB"/>
              </w:rPr>
            </w:pPr>
          </w:p>
        </w:tc>
        <w:tc>
          <w:tcPr>
            <w:tcW w:w="1460" w:type="pct"/>
            <w:vMerge/>
            <w:vAlign w:val="center"/>
          </w:tcPr>
          <w:p w14:paraId="7D398D4B" w14:textId="77777777" w:rsidR="00E03711" w:rsidRPr="00F769E0" w:rsidRDefault="00E03711" w:rsidP="000C0F8E">
            <w:pPr>
              <w:pStyle w:val="GUIDE-NORMAL"/>
              <w:spacing w:before="60" w:after="60"/>
              <w:jc w:val="left"/>
              <w:rPr>
                <w:rFonts w:cs="Tahoma"/>
                <w:lang w:val="sl-SI" w:eastAsia="en-GB"/>
              </w:rPr>
            </w:pPr>
          </w:p>
        </w:tc>
        <w:tc>
          <w:tcPr>
            <w:tcW w:w="733" w:type="pct"/>
            <w:vMerge/>
            <w:vAlign w:val="center"/>
          </w:tcPr>
          <w:p w14:paraId="7D398D4C" w14:textId="77777777" w:rsidR="00E03711" w:rsidRPr="00F769E0" w:rsidRDefault="00E03711" w:rsidP="000C0F8E">
            <w:pPr>
              <w:pStyle w:val="GUIDE-NORMAL"/>
              <w:spacing w:before="60" w:after="60"/>
              <w:jc w:val="left"/>
              <w:rPr>
                <w:rFonts w:cs="Tahoma"/>
                <w:lang w:val="sl-SI" w:eastAsia="en-GB"/>
              </w:rPr>
            </w:pPr>
          </w:p>
        </w:tc>
        <w:tc>
          <w:tcPr>
            <w:tcW w:w="1093" w:type="pct"/>
          </w:tcPr>
          <w:p w14:paraId="7D398D4D"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Za razdalje 8 000 km ali več: 1 500 EUR na udeleženca.</w:t>
            </w:r>
          </w:p>
        </w:tc>
        <w:tc>
          <w:tcPr>
            <w:tcW w:w="934" w:type="pct"/>
            <w:vMerge/>
            <w:vAlign w:val="center"/>
          </w:tcPr>
          <w:p w14:paraId="7D398D4E" w14:textId="77777777" w:rsidR="00E03711" w:rsidRPr="00F769E0" w:rsidRDefault="00E03711" w:rsidP="004A5D6B">
            <w:pPr>
              <w:pStyle w:val="Guide-Table"/>
              <w:spacing w:before="20" w:after="20"/>
              <w:jc w:val="left"/>
              <w:rPr>
                <w:rFonts w:cs="Tahoma"/>
                <w:sz w:val="2"/>
                <w:szCs w:val="2"/>
                <w:lang w:val="sl-SI" w:eastAsia="en-GB"/>
              </w:rPr>
            </w:pPr>
          </w:p>
        </w:tc>
      </w:tr>
      <w:tr w:rsidR="00E03711" w:rsidRPr="008C6F8C" w14:paraId="7D398D55" w14:textId="77777777" w:rsidTr="007121FF">
        <w:trPr>
          <w:trHeight w:val="20"/>
        </w:trPr>
        <w:tc>
          <w:tcPr>
            <w:tcW w:w="780" w:type="pct"/>
            <w:vAlign w:val="center"/>
          </w:tcPr>
          <w:p w14:paraId="7D398D50" w14:textId="77777777" w:rsidR="00E03711" w:rsidRPr="00F769E0" w:rsidRDefault="00E03711" w:rsidP="004A5D6B">
            <w:pPr>
              <w:pStyle w:val="GUIDE-NORMAL"/>
              <w:spacing w:before="20" w:after="20"/>
              <w:jc w:val="left"/>
              <w:rPr>
                <w:rFonts w:cs="Tahoma"/>
                <w:b/>
                <w:lang w:val="sl-SI" w:eastAsia="en-GB"/>
              </w:rPr>
            </w:pPr>
            <w:r w:rsidRPr="00F769E0">
              <w:rPr>
                <w:rFonts w:cs="Tahoma"/>
                <w:b/>
                <w:lang w:val="sl-SI" w:eastAsia="en-GB"/>
              </w:rPr>
              <w:t>Organizacijska podpora</w:t>
            </w:r>
          </w:p>
        </w:tc>
        <w:tc>
          <w:tcPr>
            <w:tcW w:w="1460" w:type="pct"/>
            <w:vAlign w:val="center"/>
          </w:tcPr>
          <w:p w14:paraId="7D398D51"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 xml:space="preserve">Stroški, neposredno povezani </w:t>
            </w:r>
            <w:r w:rsidRPr="00F769E0">
              <w:rPr>
                <w:rFonts w:cs="Tahoma"/>
                <w:lang w:val="sl-SI" w:eastAsia="en-GB"/>
              </w:rPr>
              <w:br/>
              <w:t xml:space="preserve">z izvajanjem mobilnosti (razen stroški bivanja za udeležence), vključno s pripravo (pedagoško, medkulturno, jezikovno), spremljanjem udeležencev </w:t>
            </w:r>
            <w:r w:rsidRPr="00F769E0">
              <w:rPr>
                <w:rFonts w:cs="Tahoma"/>
                <w:lang w:val="sl-SI" w:eastAsia="en-GB"/>
              </w:rPr>
              <w:br/>
              <w:t xml:space="preserve">in podporo zanje v času mobilnosti, potrjevanjem </w:t>
            </w:r>
            <w:r w:rsidRPr="00F769E0">
              <w:rPr>
                <w:rFonts w:cs="Tahoma"/>
                <w:lang w:val="sl-SI" w:eastAsia="en-GB"/>
              </w:rPr>
              <w:br/>
              <w:t>učnih izidov in aktivnostmi razširjanja.</w:t>
            </w:r>
          </w:p>
        </w:tc>
        <w:tc>
          <w:tcPr>
            <w:tcW w:w="733" w:type="pct"/>
            <w:vAlign w:val="center"/>
          </w:tcPr>
          <w:p w14:paraId="7D398D52"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093" w:type="pct"/>
            <w:vAlign w:val="center"/>
          </w:tcPr>
          <w:p w14:paraId="7D398D53"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Do 100. udeleženca: 350 EUR na udeleženca</w:t>
            </w:r>
            <w:r w:rsidRPr="00F769E0">
              <w:rPr>
                <w:rFonts w:cs="Tahoma"/>
                <w:lang w:val="sl-SI" w:eastAsia="en-GB"/>
              </w:rPr>
              <w:br/>
              <w:t>+</w:t>
            </w:r>
            <w:r w:rsidRPr="00F769E0">
              <w:rPr>
                <w:rFonts w:cs="Tahoma"/>
                <w:lang w:val="sl-SI" w:eastAsia="en-GB"/>
              </w:rPr>
              <w:br/>
              <w:t>po 100. udeležencu: 200 EUR na dodatnega udeleženca</w:t>
            </w:r>
          </w:p>
        </w:tc>
        <w:tc>
          <w:tcPr>
            <w:tcW w:w="934" w:type="pct"/>
            <w:vAlign w:val="center"/>
          </w:tcPr>
          <w:p w14:paraId="7D398D54" w14:textId="77777777" w:rsidR="00E03711" w:rsidRPr="00F769E0" w:rsidRDefault="00E03711" w:rsidP="000C0F8E">
            <w:pPr>
              <w:pStyle w:val="GUIDE-NORMAL"/>
              <w:jc w:val="left"/>
              <w:rPr>
                <w:rFonts w:cs="Tahoma"/>
                <w:lang w:val="sl-SI" w:eastAsia="en-GB"/>
              </w:rPr>
            </w:pPr>
            <w:r w:rsidRPr="00F769E0">
              <w:rPr>
                <w:rFonts w:cs="Tahoma"/>
                <w:lang w:val="sl-SI" w:eastAsia="en-GB"/>
              </w:rPr>
              <w:t>Glede na število udeležencev.</w:t>
            </w:r>
          </w:p>
        </w:tc>
      </w:tr>
      <w:tr w:rsidR="00E03711" w:rsidRPr="00A6094F" w14:paraId="7D398D5D" w14:textId="77777777" w:rsidTr="007121FF">
        <w:trPr>
          <w:trHeight w:val="20"/>
        </w:trPr>
        <w:tc>
          <w:tcPr>
            <w:tcW w:w="780" w:type="pct"/>
            <w:vAlign w:val="center"/>
          </w:tcPr>
          <w:p w14:paraId="7D398D56" w14:textId="77777777" w:rsidR="00E03711" w:rsidRPr="00F769E0" w:rsidRDefault="00E03711" w:rsidP="000C0F8E">
            <w:pPr>
              <w:pStyle w:val="GUIDE-NORMAL"/>
              <w:spacing w:before="60" w:after="60"/>
              <w:jc w:val="left"/>
              <w:rPr>
                <w:rFonts w:cs="Tahoma"/>
                <w:b/>
                <w:lang w:val="sl-SI" w:eastAsia="en-GB"/>
              </w:rPr>
            </w:pPr>
            <w:r w:rsidRPr="00F769E0">
              <w:rPr>
                <w:rFonts w:cs="Tahoma"/>
                <w:b/>
                <w:lang w:val="sl-SI" w:eastAsia="en-GB"/>
              </w:rPr>
              <w:t>Individualna podpora</w:t>
            </w:r>
          </w:p>
        </w:tc>
        <w:tc>
          <w:tcPr>
            <w:tcW w:w="1460" w:type="pct"/>
            <w:vAlign w:val="center"/>
          </w:tcPr>
          <w:p w14:paraId="7D398D57"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Stroški, neposredno povezani z bivanjem udeležencev, vključno s spremljevalci, med aktivnostjo.</w:t>
            </w:r>
          </w:p>
        </w:tc>
        <w:tc>
          <w:tcPr>
            <w:tcW w:w="733" w:type="pct"/>
            <w:vAlign w:val="center"/>
          </w:tcPr>
          <w:p w14:paraId="7D398D58"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093" w:type="pct"/>
            <w:vAlign w:val="center"/>
          </w:tcPr>
          <w:p w14:paraId="7D398D59"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do 14. dneva aktivnosti: A4.1 na dan na udeleženca</w:t>
            </w:r>
          </w:p>
          <w:p w14:paraId="7D398D5A"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w:t>
            </w:r>
          </w:p>
          <w:p w14:paraId="7D398D5B"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od 15. do 60. dneva aktivnosti: 70 % A4.1 na dan na udeleženca.</w:t>
            </w:r>
          </w:p>
        </w:tc>
        <w:tc>
          <w:tcPr>
            <w:tcW w:w="934" w:type="pct"/>
            <w:vAlign w:val="center"/>
          </w:tcPr>
          <w:p w14:paraId="7D398D5C" w14:textId="77777777" w:rsidR="00E03711" w:rsidRPr="00F769E0" w:rsidRDefault="00E03711" w:rsidP="000C0F8E">
            <w:pPr>
              <w:pStyle w:val="GUIDE-NORMAL"/>
              <w:spacing w:before="60" w:after="60"/>
              <w:jc w:val="left"/>
              <w:rPr>
                <w:rStyle w:val="Guide-Condensed-02"/>
                <w:rFonts w:cs="Tahoma"/>
                <w:spacing w:val="0"/>
                <w:lang w:val="sl-SI" w:eastAsia="en-GB"/>
              </w:rPr>
            </w:pPr>
            <w:r w:rsidRPr="00F769E0">
              <w:rPr>
                <w:rFonts w:cs="Tahoma"/>
                <w:lang w:val="sl-SI" w:eastAsia="en-GB"/>
              </w:rPr>
              <w:t xml:space="preserve">Glede na trajanje bivanja na udeleženca </w:t>
            </w:r>
            <w:r w:rsidRPr="00F769E0">
              <w:rPr>
                <w:rFonts w:cs="Tahoma"/>
                <w:lang w:val="sl-SI" w:eastAsia="en-GB"/>
              </w:rPr>
              <w:br/>
              <w:t>(po potrebi vključno z enim dnem poti pred aktivnostjo in enim dnem poti po aktivnosti).</w:t>
            </w:r>
          </w:p>
        </w:tc>
      </w:tr>
      <w:tr w:rsidR="00E03711" w:rsidRPr="00A6094F" w14:paraId="7D398D64" w14:textId="77777777" w:rsidTr="007121FF">
        <w:trPr>
          <w:trHeight w:val="20"/>
        </w:trPr>
        <w:tc>
          <w:tcPr>
            <w:tcW w:w="780" w:type="pct"/>
            <w:vAlign w:val="center"/>
          </w:tcPr>
          <w:p w14:paraId="7D398D5E" w14:textId="77777777" w:rsidR="00E03711" w:rsidRPr="00F769E0" w:rsidRDefault="00E03711" w:rsidP="004A5D6B">
            <w:pPr>
              <w:pStyle w:val="GUIDE-NORMAL"/>
              <w:spacing w:before="20" w:after="20"/>
              <w:jc w:val="left"/>
              <w:rPr>
                <w:rFonts w:cs="Tahoma"/>
                <w:b/>
                <w:lang w:val="sl-SI" w:eastAsia="en-GB"/>
              </w:rPr>
            </w:pPr>
          </w:p>
          <w:p w14:paraId="7D398D5F" w14:textId="77777777" w:rsidR="00E03711" w:rsidRPr="00F769E0" w:rsidRDefault="00E03711" w:rsidP="004A5D6B">
            <w:pPr>
              <w:pStyle w:val="GUIDE-NORMAL"/>
              <w:spacing w:before="20" w:after="20"/>
              <w:jc w:val="left"/>
              <w:rPr>
                <w:rFonts w:cs="Tahoma"/>
                <w:b/>
                <w:lang w:val="sl-SI" w:eastAsia="en-GB"/>
              </w:rPr>
            </w:pPr>
            <w:r w:rsidRPr="00F769E0">
              <w:rPr>
                <w:rFonts w:cs="Tahoma"/>
                <w:b/>
                <w:lang w:val="sl-SI" w:eastAsia="en-GB"/>
              </w:rPr>
              <w:t>Kotizacije</w:t>
            </w:r>
          </w:p>
        </w:tc>
        <w:tc>
          <w:tcPr>
            <w:tcW w:w="1460" w:type="pct"/>
            <w:vAlign w:val="center"/>
          </w:tcPr>
          <w:p w14:paraId="7D398D60"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Stroški, neposredno povezani s plačilom kotizacije za vpis v tečaje.</w:t>
            </w:r>
          </w:p>
        </w:tc>
        <w:tc>
          <w:tcPr>
            <w:tcW w:w="733" w:type="pct"/>
            <w:vAlign w:val="center"/>
          </w:tcPr>
          <w:p w14:paraId="7D398D61"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093" w:type="pct"/>
            <w:vAlign w:val="center"/>
          </w:tcPr>
          <w:p w14:paraId="7D398D62"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70 EUR na udeleženca na dan; največ 700 EUR na udeleženca v projektu mobilnosti.</w:t>
            </w:r>
          </w:p>
        </w:tc>
        <w:tc>
          <w:tcPr>
            <w:tcW w:w="934" w:type="pct"/>
            <w:vMerge w:val="restart"/>
            <w:vAlign w:val="center"/>
          </w:tcPr>
          <w:p w14:paraId="7D398D63" w14:textId="77777777" w:rsidR="00E03711" w:rsidRPr="00F769E0" w:rsidRDefault="00E03711" w:rsidP="000C0F8E">
            <w:pPr>
              <w:pStyle w:val="GUIDE-NORMAL"/>
              <w:jc w:val="left"/>
              <w:rPr>
                <w:rFonts w:cs="Tahoma"/>
                <w:lang w:val="sl-SI" w:eastAsia="en-GB"/>
              </w:rPr>
            </w:pPr>
            <w:r w:rsidRPr="00F769E0">
              <w:rPr>
                <w:rFonts w:cs="Tahoma"/>
                <w:lang w:val="sl-SI" w:eastAsia="en-GB"/>
              </w:rPr>
              <w:t>Pogoj: zahtevek za finančno podporo za kritje kotizacij, podpore udeležencem s posebnimi potrebami in izrednih stroškov mora biti utemeljen v prijavnem obrazcu.</w:t>
            </w:r>
          </w:p>
        </w:tc>
      </w:tr>
      <w:tr w:rsidR="00E03711" w:rsidRPr="008C6F8C" w14:paraId="7D398D6B" w14:textId="77777777" w:rsidTr="007121FF">
        <w:trPr>
          <w:trHeight w:val="20"/>
        </w:trPr>
        <w:tc>
          <w:tcPr>
            <w:tcW w:w="780" w:type="pct"/>
            <w:vAlign w:val="center"/>
          </w:tcPr>
          <w:p w14:paraId="7D398D65" w14:textId="77777777" w:rsidR="00E03711" w:rsidRPr="00F769E0" w:rsidRDefault="00E03711" w:rsidP="004A5D6B">
            <w:pPr>
              <w:pStyle w:val="GUIDE-NORMAL"/>
              <w:spacing w:before="20" w:after="20"/>
              <w:jc w:val="left"/>
              <w:rPr>
                <w:rFonts w:cs="Tahoma"/>
                <w:b/>
                <w:lang w:val="sl-SI" w:eastAsia="en-GB"/>
              </w:rPr>
            </w:pPr>
            <w:r w:rsidRPr="00F769E0">
              <w:rPr>
                <w:rFonts w:cs="Tahoma"/>
                <w:b/>
                <w:lang w:val="sl-SI" w:eastAsia="en-GB"/>
              </w:rPr>
              <w:t>Podpora za posebne potrebe</w:t>
            </w:r>
          </w:p>
        </w:tc>
        <w:tc>
          <w:tcPr>
            <w:tcW w:w="1460" w:type="pct"/>
            <w:vAlign w:val="center"/>
          </w:tcPr>
          <w:p w14:paraId="7D398D66"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Dodatni stroški, neposredno povezani z invalidnimi udeleženci in spremljevalci (vključno s stroški poti in bivanja, če so utemeljeni in če nepovratna sredstva za te udeležence niso zahtevana prek proračunskih kategorij „Pot“ in „Individualna podpora“).</w:t>
            </w:r>
          </w:p>
          <w:p w14:paraId="7D398D67" w14:textId="77777777" w:rsidR="00E03711" w:rsidRPr="00F769E0" w:rsidRDefault="00E03711" w:rsidP="000C0F8E">
            <w:pPr>
              <w:pStyle w:val="GUIDE-NORMAL"/>
              <w:spacing w:before="60" w:after="60"/>
              <w:jc w:val="left"/>
              <w:rPr>
                <w:rFonts w:cs="Tahoma"/>
                <w:lang w:val="sl-SI" w:eastAsia="en-GB"/>
              </w:rPr>
            </w:pPr>
          </w:p>
        </w:tc>
        <w:tc>
          <w:tcPr>
            <w:tcW w:w="733" w:type="pct"/>
            <w:vAlign w:val="center"/>
          </w:tcPr>
          <w:p w14:paraId="7D398D68"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Dejanski stroški</w:t>
            </w:r>
          </w:p>
        </w:tc>
        <w:tc>
          <w:tcPr>
            <w:tcW w:w="1093" w:type="pct"/>
            <w:vAlign w:val="center"/>
          </w:tcPr>
          <w:p w14:paraId="7D398D69"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100 % upravičenih stroškov</w:t>
            </w:r>
          </w:p>
        </w:tc>
        <w:tc>
          <w:tcPr>
            <w:tcW w:w="934" w:type="pct"/>
            <w:vMerge/>
            <w:vAlign w:val="center"/>
          </w:tcPr>
          <w:p w14:paraId="7D398D6A" w14:textId="77777777" w:rsidR="00E03711" w:rsidRPr="00F769E0" w:rsidRDefault="00E03711" w:rsidP="004A5D6B">
            <w:pPr>
              <w:pStyle w:val="Guide-Table"/>
              <w:spacing w:before="20" w:after="20"/>
              <w:jc w:val="left"/>
              <w:rPr>
                <w:rFonts w:cs="Tahoma"/>
                <w:lang w:val="sl-SI" w:eastAsia="en-GB"/>
              </w:rPr>
            </w:pPr>
          </w:p>
        </w:tc>
      </w:tr>
      <w:tr w:rsidR="00E03711" w:rsidRPr="00A6094F" w14:paraId="7D398D73" w14:textId="77777777" w:rsidTr="007121FF">
        <w:trPr>
          <w:trHeight w:val="20"/>
        </w:trPr>
        <w:tc>
          <w:tcPr>
            <w:tcW w:w="780" w:type="pct"/>
            <w:vAlign w:val="center"/>
          </w:tcPr>
          <w:p w14:paraId="7D398D6C" w14:textId="77777777" w:rsidR="00E03711" w:rsidRPr="00F769E0" w:rsidRDefault="00E03711" w:rsidP="004A5D6B">
            <w:pPr>
              <w:pStyle w:val="GUIDE-NORMAL"/>
              <w:spacing w:before="20" w:after="20"/>
              <w:jc w:val="left"/>
              <w:rPr>
                <w:rFonts w:cs="Tahoma"/>
                <w:b/>
                <w:lang w:val="sl-SI" w:eastAsia="en-GB"/>
              </w:rPr>
            </w:pPr>
            <w:r w:rsidRPr="00F769E0">
              <w:rPr>
                <w:rFonts w:cs="Tahoma"/>
                <w:b/>
                <w:lang w:val="sl-SI" w:eastAsia="en-GB"/>
              </w:rPr>
              <w:t>Izredni stroški</w:t>
            </w:r>
          </w:p>
        </w:tc>
        <w:tc>
          <w:tcPr>
            <w:tcW w:w="1460" w:type="pct"/>
            <w:vAlign w:val="center"/>
          </w:tcPr>
          <w:p w14:paraId="7D398D6D"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Stroški zagotavljanja finančnega jamstva, če ga zahteva nacionalna agencija.</w:t>
            </w:r>
          </w:p>
          <w:p w14:paraId="7D398D6E" w14:textId="77777777" w:rsidR="00E03711" w:rsidRPr="00F769E0" w:rsidRDefault="00E03711">
            <w:pPr>
              <w:pStyle w:val="GUIDE-NORMAL"/>
              <w:spacing w:before="60" w:after="60"/>
              <w:jc w:val="left"/>
              <w:rPr>
                <w:rFonts w:cs="Tahoma"/>
                <w:lang w:val="sl-SI" w:eastAsia="en-GB"/>
              </w:rPr>
            </w:pPr>
            <w:r w:rsidRPr="00F769E0">
              <w:rPr>
                <w:rFonts w:cs="Tahoma"/>
                <w:lang w:val="sl-SI" w:eastAsia="en-GB"/>
              </w:rPr>
              <w:t>Dragi potni stroški udeležencev</w:t>
            </w:r>
            <w:r>
              <w:rPr>
                <w:rFonts w:cs="Tahoma"/>
                <w:lang w:val="sl-SI" w:eastAsia="en-GB"/>
              </w:rPr>
              <w:t>, vključno z uporabo čistejših prevoznih sredstev, z manj emisijami ogljika</w:t>
            </w:r>
            <w:r w:rsidRPr="00F769E0">
              <w:rPr>
                <w:rFonts w:cs="Tahoma"/>
                <w:lang w:val="sl-SI" w:eastAsia="en-GB"/>
              </w:rPr>
              <w:t xml:space="preserve"> (za podrobnosti glej poglavje „Kaj je še treba vedeti o tem ukrepu?“).</w:t>
            </w:r>
          </w:p>
        </w:tc>
        <w:tc>
          <w:tcPr>
            <w:tcW w:w="733" w:type="pct"/>
            <w:vAlign w:val="center"/>
          </w:tcPr>
          <w:p w14:paraId="7D398D6F"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Dejanski stroški</w:t>
            </w:r>
          </w:p>
        </w:tc>
        <w:tc>
          <w:tcPr>
            <w:tcW w:w="1093" w:type="pct"/>
            <w:vAlign w:val="center"/>
          </w:tcPr>
          <w:p w14:paraId="7D398D70"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75 % upravičenih stroškov</w:t>
            </w:r>
          </w:p>
          <w:p w14:paraId="7D398D71" w14:textId="77777777" w:rsidR="00E03711" w:rsidRPr="00F769E0" w:rsidRDefault="00E03711" w:rsidP="000C0F8E">
            <w:pPr>
              <w:pStyle w:val="GUIDE-NORMAL"/>
              <w:spacing w:before="60" w:after="60"/>
              <w:jc w:val="left"/>
              <w:rPr>
                <w:rFonts w:cs="Tahoma"/>
                <w:lang w:val="sl-SI" w:eastAsia="en-GB"/>
              </w:rPr>
            </w:pPr>
            <w:r w:rsidRPr="00F769E0">
              <w:rPr>
                <w:rFonts w:cs="Tahoma"/>
                <w:lang w:val="sl-SI" w:eastAsia="en-GB"/>
              </w:rPr>
              <w:t xml:space="preserve">Dragi potni stroški: </w:t>
            </w:r>
            <w:r w:rsidRPr="00F769E0">
              <w:rPr>
                <w:rFonts w:cs="Tahoma"/>
                <w:lang w:val="sl-SI" w:eastAsia="en-GB"/>
              </w:rPr>
              <w:br/>
              <w:t>Do največ 80 % upravičenih stroškov</w:t>
            </w:r>
          </w:p>
        </w:tc>
        <w:tc>
          <w:tcPr>
            <w:tcW w:w="934" w:type="pct"/>
            <w:vMerge/>
            <w:vAlign w:val="center"/>
          </w:tcPr>
          <w:p w14:paraId="7D398D72" w14:textId="77777777" w:rsidR="00E03711" w:rsidRPr="00F769E0" w:rsidRDefault="00E03711" w:rsidP="004A5D6B">
            <w:pPr>
              <w:pStyle w:val="Guide-Table"/>
              <w:spacing w:before="20" w:after="20"/>
              <w:jc w:val="left"/>
              <w:rPr>
                <w:rFonts w:cs="Tahoma"/>
                <w:lang w:val="sl-SI" w:eastAsia="en-GB"/>
              </w:rPr>
            </w:pPr>
          </w:p>
        </w:tc>
      </w:tr>
    </w:tbl>
    <w:p w14:paraId="7D398D74" w14:textId="77777777" w:rsidR="00E03711" w:rsidRDefault="00E03711" w:rsidP="00114F11">
      <w:pPr>
        <w:pStyle w:val="GUIDE-NORMAL"/>
        <w:rPr>
          <w:b/>
          <w:lang w:val="sl-SI"/>
        </w:rPr>
        <w:sectPr w:rsidR="00E03711" w:rsidSect="00F05D26">
          <w:endnotePr>
            <w:numFmt w:val="decimal"/>
          </w:endnotePr>
          <w:pgSz w:w="16840" w:h="11910" w:orient="landscape" w:code="9"/>
          <w:pgMar w:top="1418" w:right="1134" w:bottom="1418" w:left="1134" w:header="283" w:footer="567" w:gutter="0"/>
          <w:cols w:space="720"/>
          <w:docGrid w:linePitch="326"/>
        </w:sectPr>
      </w:pPr>
    </w:p>
    <w:p w14:paraId="7D398D75" w14:textId="77777777" w:rsidR="00E03711" w:rsidRPr="001048FE" w:rsidRDefault="00E03711" w:rsidP="00114F11">
      <w:pPr>
        <w:pStyle w:val="GUIDE-NORMAL"/>
        <w:rPr>
          <w:b/>
          <w:lang w:val="sl-SI"/>
        </w:rPr>
      </w:pPr>
      <w:r w:rsidRPr="001048FE">
        <w:rPr>
          <w:b/>
          <w:lang w:val="sl-SI"/>
        </w:rPr>
        <w:t>Preglednica 1 – Individualna podpora (zneski v EUR na dan)</w:t>
      </w:r>
    </w:p>
    <w:p w14:paraId="7D398D76" w14:textId="77777777" w:rsidR="00E03711" w:rsidRPr="001048FE" w:rsidRDefault="00E03711" w:rsidP="00114F11">
      <w:pPr>
        <w:pStyle w:val="GUIDE-NORMAL"/>
        <w:rPr>
          <w:rStyle w:val="Guide-Condensed-01"/>
          <w:lang w:val="sl-SI"/>
        </w:rPr>
      </w:pPr>
      <w:r w:rsidRPr="001048FE">
        <w:rPr>
          <w:lang w:val="sl-SI"/>
        </w:rPr>
        <w:t>Zneski</w:t>
      </w:r>
      <w:r w:rsidRPr="001048FE">
        <w:rPr>
          <w:spacing w:val="-15"/>
          <w:lang w:val="sl-SI"/>
        </w:rPr>
        <w:t xml:space="preserve"> </w:t>
      </w:r>
      <w:r w:rsidRPr="001048FE">
        <w:rPr>
          <w:lang w:val="sl-SI"/>
        </w:rPr>
        <w:t>so</w:t>
      </w:r>
      <w:r w:rsidRPr="001048FE">
        <w:rPr>
          <w:spacing w:val="-15"/>
          <w:lang w:val="sl-SI"/>
        </w:rPr>
        <w:t xml:space="preserve"> </w:t>
      </w:r>
      <w:r w:rsidRPr="001048FE">
        <w:rPr>
          <w:lang w:val="sl-SI"/>
        </w:rPr>
        <w:t>odvisni</w:t>
      </w:r>
      <w:r w:rsidRPr="001048FE">
        <w:rPr>
          <w:spacing w:val="-14"/>
          <w:lang w:val="sl-SI"/>
        </w:rPr>
        <w:t xml:space="preserve"> </w:t>
      </w:r>
      <w:r w:rsidRPr="001048FE">
        <w:rPr>
          <w:lang w:val="sl-SI"/>
        </w:rPr>
        <w:t>od</w:t>
      </w:r>
      <w:r w:rsidRPr="001048FE">
        <w:rPr>
          <w:spacing w:val="-14"/>
          <w:lang w:val="sl-SI"/>
        </w:rPr>
        <w:t xml:space="preserve"> </w:t>
      </w:r>
      <w:r w:rsidRPr="001048FE">
        <w:rPr>
          <w:lang w:val="sl-SI"/>
        </w:rPr>
        <w:t>države,</w:t>
      </w:r>
      <w:r w:rsidRPr="001048FE">
        <w:rPr>
          <w:spacing w:val="-15"/>
          <w:lang w:val="sl-SI"/>
        </w:rPr>
        <w:t xml:space="preserve"> </w:t>
      </w:r>
      <w:r w:rsidRPr="001048FE">
        <w:rPr>
          <w:lang w:val="sl-SI"/>
        </w:rPr>
        <w:t>kjer</w:t>
      </w:r>
      <w:r w:rsidRPr="001048FE">
        <w:rPr>
          <w:spacing w:val="-15"/>
          <w:lang w:val="sl-SI"/>
        </w:rPr>
        <w:t xml:space="preserve"> </w:t>
      </w:r>
      <w:r w:rsidRPr="001048FE">
        <w:rPr>
          <w:lang w:val="sl-SI"/>
        </w:rPr>
        <w:t>se</w:t>
      </w:r>
      <w:r w:rsidRPr="001048FE">
        <w:rPr>
          <w:spacing w:val="-15"/>
          <w:lang w:val="sl-SI"/>
        </w:rPr>
        <w:t xml:space="preserve"> </w:t>
      </w:r>
      <w:r w:rsidRPr="001048FE">
        <w:rPr>
          <w:lang w:val="sl-SI"/>
        </w:rPr>
        <w:t>izvaja</w:t>
      </w:r>
      <w:r w:rsidRPr="001048FE">
        <w:rPr>
          <w:spacing w:val="-15"/>
          <w:lang w:val="sl-SI"/>
        </w:rPr>
        <w:t xml:space="preserve"> </w:t>
      </w:r>
      <w:r w:rsidRPr="001048FE">
        <w:rPr>
          <w:lang w:val="sl-SI"/>
        </w:rPr>
        <w:t>aktivnost.</w:t>
      </w:r>
      <w:r w:rsidRPr="001048FE">
        <w:rPr>
          <w:spacing w:val="-15"/>
          <w:lang w:val="sl-SI"/>
        </w:rPr>
        <w:t xml:space="preserve"> </w:t>
      </w:r>
      <w:r w:rsidRPr="001048FE">
        <w:rPr>
          <w:lang w:val="sl-SI"/>
        </w:rPr>
        <w:t>Vsaka</w:t>
      </w:r>
      <w:r w:rsidRPr="001048FE">
        <w:rPr>
          <w:spacing w:val="-15"/>
          <w:lang w:val="sl-SI"/>
        </w:rPr>
        <w:t xml:space="preserve"> </w:t>
      </w:r>
      <w:r w:rsidRPr="001048FE">
        <w:rPr>
          <w:lang w:val="sl-SI"/>
        </w:rPr>
        <w:t>nacionalna</w:t>
      </w:r>
      <w:r w:rsidRPr="001048FE">
        <w:rPr>
          <w:spacing w:val="-15"/>
          <w:lang w:val="sl-SI"/>
        </w:rPr>
        <w:t xml:space="preserve"> </w:t>
      </w:r>
      <w:r w:rsidRPr="001048FE">
        <w:rPr>
          <w:lang w:val="sl-SI"/>
        </w:rPr>
        <w:t>agencija</w:t>
      </w:r>
      <w:r w:rsidRPr="001048FE">
        <w:rPr>
          <w:spacing w:val="-15"/>
          <w:lang w:val="sl-SI"/>
        </w:rPr>
        <w:t xml:space="preserve"> </w:t>
      </w:r>
      <w:r w:rsidRPr="001048FE">
        <w:rPr>
          <w:lang w:val="sl-SI"/>
        </w:rPr>
        <w:t>bo</w:t>
      </w:r>
      <w:r w:rsidRPr="001048FE">
        <w:rPr>
          <w:spacing w:val="-15"/>
          <w:lang w:val="sl-SI"/>
        </w:rPr>
        <w:t xml:space="preserve"> </w:t>
      </w:r>
      <w:r w:rsidRPr="001048FE">
        <w:rPr>
          <w:lang w:val="sl-SI"/>
        </w:rPr>
        <w:t>opredelila</w:t>
      </w:r>
      <w:r w:rsidRPr="001048FE">
        <w:rPr>
          <w:spacing w:val="-14"/>
          <w:lang w:val="sl-SI"/>
        </w:rPr>
        <w:t xml:space="preserve"> </w:t>
      </w:r>
      <w:r w:rsidRPr="001048FE">
        <w:rPr>
          <w:lang w:val="sl-SI"/>
        </w:rPr>
        <w:t>–</w:t>
      </w:r>
      <w:r w:rsidRPr="001048FE">
        <w:rPr>
          <w:spacing w:val="-15"/>
          <w:lang w:val="sl-SI"/>
        </w:rPr>
        <w:t xml:space="preserve"> </w:t>
      </w:r>
      <w:r w:rsidRPr="001048FE">
        <w:rPr>
          <w:lang w:val="sl-SI"/>
        </w:rPr>
        <w:t>na podlagi nepristranskih in preglednih meril – zneske, ki se dodelijo projektom, prijavljenim v njihovi državi. Ti zneski bodo opredeljeni v okviru najmanjših in največjih vrednosti, ki so navedene v spodnji</w:t>
      </w:r>
      <w:r w:rsidRPr="001048FE">
        <w:rPr>
          <w:spacing w:val="-11"/>
          <w:lang w:val="sl-SI"/>
        </w:rPr>
        <w:t xml:space="preserve"> </w:t>
      </w:r>
      <w:r w:rsidRPr="001048FE">
        <w:rPr>
          <w:lang w:val="sl-SI"/>
        </w:rPr>
        <w:t>preglednici.</w:t>
      </w:r>
      <w:r w:rsidRPr="001048FE">
        <w:rPr>
          <w:spacing w:val="-11"/>
          <w:lang w:val="sl-SI"/>
        </w:rPr>
        <w:t xml:space="preserve"> </w:t>
      </w:r>
      <w:r w:rsidRPr="001048FE">
        <w:rPr>
          <w:lang w:val="sl-SI"/>
        </w:rPr>
        <w:t>Točni</w:t>
      </w:r>
      <w:r w:rsidRPr="001048FE">
        <w:rPr>
          <w:spacing w:val="-11"/>
          <w:lang w:val="sl-SI"/>
        </w:rPr>
        <w:t xml:space="preserve"> </w:t>
      </w:r>
      <w:r w:rsidRPr="001048FE">
        <w:rPr>
          <w:lang w:val="sl-SI"/>
        </w:rPr>
        <w:t>zneski</w:t>
      </w:r>
      <w:r w:rsidRPr="001048FE">
        <w:rPr>
          <w:spacing w:val="-11"/>
          <w:lang w:val="sl-SI"/>
        </w:rPr>
        <w:t xml:space="preserve"> </w:t>
      </w:r>
      <w:r w:rsidRPr="001048FE">
        <w:rPr>
          <w:lang w:val="sl-SI"/>
        </w:rPr>
        <w:t>bodo</w:t>
      </w:r>
      <w:r w:rsidRPr="001048FE">
        <w:rPr>
          <w:spacing w:val="-11"/>
          <w:lang w:val="sl-SI"/>
        </w:rPr>
        <w:t xml:space="preserve"> </w:t>
      </w:r>
      <w:r w:rsidRPr="001048FE">
        <w:rPr>
          <w:lang w:val="sl-SI"/>
        </w:rPr>
        <w:t>objavljeni</w:t>
      </w:r>
      <w:r w:rsidRPr="001048FE">
        <w:rPr>
          <w:spacing w:val="-10"/>
          <w:lang w:val="sl-SI"/>
        </w:rPr>
        <w:t xml:space="preserve"> </w:t>
      </w:r>
      <w:r w:rsidRPr="001048FE">
        <w:rPr>
          <w:lang w:val="sl-SI"/>
        </w:rPr>
        <w:t>na</w:t>
      </w:r>
      <w:r w:rsidRPr="001048FE">
        <w:rPr>
          <w:spacing w:val="-11"/>
          <w:lang w:val="sl-SI"/>
        </w:rPr>
        <w:t xml:space="preserve"> </w:t>
      </w:r>
      <w:r w:rsidRPr="001048FE">
        <w:rPr>
          <w:lang w:val="sl-SI"/>
        </w:rPr>
        <w:t>spletiščih</w:t>
      </w:r>
      <w:r w:rsidRPr="001048FE">
        <w:rPr>
          <w:spacing w:val="-11"/>
          <w:lang w:val="sl-SI"/>
        </w:rPr>
        <w:t xml:space="preserve"> </w:t>
      </w:r>
      <w:r w:rsidRPr="001048FE">
        <w:rPr>
          <w:lang w:val="sl-SI"/>
        </w:rPr>
        <w:t>posameznih</w:t>
      </w:r>
      <w:r w:rsidRPr="001048FE">
        <w:rPr>
          <w:spacing w:val="-11"/>
          <w:lang w:val="sl-SI"/>
        </w:rPr>
        <w:t xml:space="preserve"> </w:t>
      </w:r>
      <w:r w:rsidRPr="001048FE">
        <w:rPr>
          <w:lang w:val="sl-SI"/>
        </w:rPr>
        <w:t>nacionalnih</w:t>
      </w:r>
      <w:r w:rsidRPr="001048FE">
        <w:rPr>
          <w:spacing w:val="-11"/>
          <w:lang w:val="sl-SI"/>
        </w:rPr>
        <w:t xml:space="preserve"> </w:t>
      </w:r>
      <w:r w:rsidRPr="001048FE">
        <w:rPr>
          <w:lang w:val="sl-SI"/>
        </w:rPr>
        <w:t>agencij.</w:t>
      </w:r>
    </w:p>
    <w:tbl>
      <w:tblPr>
        <w:tblW w:w="5000" w:type="pct"/>
        <w:jc w:val="center"/>
        <w:tblLook w:val="0000" w:firstRow="0" w:lastRow="0" w:firstColumn="0" w:lastColumn="0" w:noHBand="0" w:noVBand="0"/>
      </w:tblPr>
      <w:tblGrid>
        <w:gridCol w:w="6971"/>
        <w:gridCol w:w="2319"/>
      </w:tblGrid>
      <w:tr w:rsidR="00E03711" w:rsidRPr="008C6F8C" w14:paraId="7D398D79" w14:textId="77777777" w:rsidTr="00860232">
        <w:trPr>
          <w:cantSplit/>
          <w:trHeight w:val="20"/>
          <w:jc w:val="center"/>
        </w:trPr>
        <w:tc>
          <w:tcPr>
            <w:tcW w:w="3752" w:type="pct"/>
            <w:tcBorders>
              <w:top w:val="single" w:sz="4" w:space="0" w:color="auto"/>
              <w:left w:val="single" w:sz="4" w:space="0" w:color="auto"/>
              <w:bottom w:val="nil"/>
              <w:right w:val="nil"/>
            </w:tcBorders>
            <w:shd w:val="clear" w:color="auto" w:fill="auto"/>
            <w:vAlign w:val="center"/>
          </w:tcPr>
          <w:p w14:paraId="7D398D77" w14:textId="77777777" w:rsidR="00E03711" w:rsidRPr="00F769E0" w:rsidRDefault="00E03711" w:rsidP="00247250">
            <w:pPr>
              <w:pStyle w:val="Guide-Table"/>
              <w:spacing w:before="60" w:after="60"/>
              <w:rPr>
                <w:rFonts w:cs="Tahoma"/>
                <w:lang w:val="sl-SI" w:eastAsia="en-GB"/>
              </w:rPr>
            </w:pPr>
            <w:bookmarkStart w:id="176" w:name="Projet_de_mobilité_pour_les_jeunes_et_le"/>
            <w:bookmarkStart w:id="177" w:name="_bookmark36"/>
            <w:bookmarkEnd w:id="176"/>
            <w:bookmarkEnd w:id="177"/>
          </w:p>
        </w:tc>
        <w:tc>
          <w:tcPr>
            <w:tcW w:w="1248" w:type="pct"/>
            <w:tcBorders>
              <w:top w:val="single" w:sz="6" w:space="0" w:color="auto"/>
              <w:left w:val="single" w:sz="6" w:space="0" w:color="auto"/>
              <w:bottom w:val="single" w:sz="6" w:space="0" w:color="auto"/>
              <w:right w:val="single" w:sz="6" w:space="0" w:color="auto"/>
            </w:tcBorders>
            <w:shd w:val="clear" w:color="auto" w:fill="auto"/>
            <w:vAlign w:val="center"/>
          </w:tcPr>
          <w:p w14:paraId="7D398D78" w14:textId="77777777" w:rsidR="00E03711" w:rsidRPr="00F769E0" w:rsidRDefault="00E03711" w:rsidP="00321D17">
            <w:pPr>
              <w:pStyle w:val="Guide-Table"/>
              <w:spacing w:before="60" w:after="60"/>
              <w:rPr>
                <w:rFonts w:cs="Tahoma"/>
                <w:b/>
                <w:lang w:val="sl-SI" w:eastAsia="en-GB"/>
              </w:rPr>
            </w:pPr>
            <w:r w:rsidRPr="00F769E0">
              <w:rPr>
                <w:rFonts w:cs="Tahoma"/>
                <w:b/>
                <w:bCs/>
                <w:lang w:val="sl-SI" w:eastAsia="en-GB"/>
              </w:rPr>
              <w:t>Mobilnost osebja</w:t>
            </w:r>
          </w:p>
        </w:tc>
      </w:tr>
      <w:tr w:rsidR="00E03711" w:rsidRPr="00A6094F" w14:paraId="7D398D7C" w14:textId="77777777" w:rsidTr="00860232">
        <w:trPr>
          <w:cantSplit/>
          <w:trHeight w:val="20"/>
          <w:jc w:val="center"/>
        </w:trPr>
        <w:tc>
          <w:tcPr>
            <w:tcW w:w="3752" w:type="pct"/>
            <w:tcBorders>
              <w:top w:val="nil"/>
              <w:left w:val="single" w:sz="4" w:space="0" w:color="auto"/>
              <w:bottom w:val="nil"/>
              <w:right w:val="nil"/>
            </w:tcBorders>
            <w:shd w:val="clear" w:color="auto" w:fill="auto"/>
            <w:vAlign w:val="center"/>
          </w:tcPr>
          <w:p w14:paraId="7D398D7A" w14:textId="77777777" w:rsidR="00E03711" w:rsidRPr="00F769E0" w:rsidRDefault="00E03711" w:rsidP="00247250">
            <w:pPr>
              <w:pStyle w:val="Guide-Table"/>
              <w:spacing w:before="60" w:after="60"/>
              <w:rPr>
                <w:rFonts w:cs="Tahoma"/>
                <w:b/>
                <w:lang w:val="sl-SI" w:eastAsia="en-GB"/>
              </w:rPr>
            </w:pPr>
            <w:r w:rsidRPr="00F769E0">
              <w:rPr>
                <w:rFonts w:cs="Tahoma"/>
                <w:b/>
                <w:lang w:val="sl-SI" w:eastAsia="en-GB"/>
              </w:rPr>
              <w:t>Država gostiteljica</w:t>
            </w:r>
          </w:p>
        </w:tc>
        <w:tc>
          <w:tcPr>
            <w:tcW w:w="1248" w:type="pct"/>
            <w:tcBorders>
              <w:top w:val="single" w:sz="6" w:space="0" w:color="auto"/>
              <w:left w:val="single" w:sz="6" w:space="0" w:color="auto"/>
              <w:bottom w:val="single" w:sz="6" w:space="0" w:color="auto"/>
              <w:right w:val="single" w:sz="6" w:space="0" w:color="auto"/>
            </w:tcBorders>
            <w:shd w:val="clear" w:color="auto" w:fill="auto"/>
            <w:vAlign w:val="center"/>
          </w:tcPr>
          <w:p w14:paraId="7D398D7B" w14:textId="77777777" w:rsidR="00E03711" w:rsidRPr="00F769E0" w:rsidRDefault="00E03711" w:rsidP="00247250">
            <w:pPr>
              <w:pStyle w:val="Guide-Table"/>
              <w:spacing w:before="60" w:after="60"/>
              <w:rPr>
                <w:rFonts w:cs="Tahoma"/>
                <w:b/>
                <w:lang w:val="sl-SI" w:eastAsia="en-GB"/>
              </w:rPr>
            </w:pPr>
            <w:r w:rsidRPr="00F769E0">
              <w:rPr>
                <w:rFonts w:cs="Tahoma"/>
                <w:b/>
                <w:lang w:val="sl-SI" w:eastAsia="en-GB"/>
              </w:rPr>
              <w:t xml:space="preserve">Najnižji–najvišji znesek </w:t>
            </w:r>
            <w:r w:rsidRPr="00F769E0">
              <w:rPr>
                <w:rFonts w:cs="Tahoma"/>
                <w:b/>
                <w:lang w:val="sl-SI" w:eastAsia="en-GB"/>
              </w:rPr>
              <w:br/>
              <w:t>(na dan)</w:t>
            </w:r>
          </w:p>
        </w:tc>
      </w:tr>
      <w:tr w:rsidR="00E03711" w:rsidRPr="008C6F8C" w14:paraId="7D398D7F" w14:textId="77777777" w:rsidTr="00860232">
        <w:trPr>
          <w:trHeight w:val="20"/>
          <w:jc w:val="center"/>
        </w:trPr>
        <w:tc>
          <w:tcPr>
            <w:tcW w:w="3752" w:type="pct"/>
            <w:tcBorders>
              <w:top w:val="nil"/>
              <w:left w:val="single" w:sz="4" w:space="0" w:color="auto"/>
              <w:bottom w:val="single" w:sz="6" w:space="0" w:color="auto"/>
              <w:right w:val="nil"/>
            </w:tcBorders>
            <w:shd w:val="clear" w:color="auto" w:fill="auto"/>
            <w:vAlign w:val="center"/>
          </w:tcPr>
          <w:p w14:paraId="7D398D7D" w14:textId="77777777" w:rsidR="00E03711" w:rsidRPr="00F769E0" w:rsidRDefault="00E03711" w:rsidP="00247250">
            <w:pPr>
              <w:pStyle w:val="Guide-Table"/>
              <w:spacing w:before="60" w:after="60"/>
              <w:rPr>
                <w:rFonts w:cs="Tahoma"/>
                <w:lang w:val="sl-SI" w:eastAsia="en-GB"/>
              </w:rPr>
            </w:pPr>
          </w:p>
        </w:tc>
        <w:tc>
          <w:tcPr>
            <w:tcW w:w="1248" w:type="pct"/>
            <w:tcBorders>
              <w:top w:val="single" w:sz="6" w:space="0" w:color="auto"/>
              <w:left w:val="single" w:sz="6" w:space="0" w:color="auto"/>
              <w:bottom w:val="single" w:sz="6" w:space="0" w:color="auto"/>
              <w:right w:val="single" w:sz="6" w:space="0" w:color="auto"/>
            </w:tcBorders>
            <w:shd w:val="clear" w:color="auto" w:fill="auto"/>
            <w:vAlign w:val="center"/>
          </w:tcPr>
          <w:p w14:paraId="7D398D7E" w14:textId="77777777" w:rsidR="00E03711" w:rsidRPr="00F769E0" w:rsidRDefault="00E03711" w:rsidP="00247250">
            <w:pPr>
              <w:pStyle w:val="Guide-Table"/>
              <w:spacing w:before="60" w:after="60"/>
              <w:rPr>
                <w:rFonts w:cs="Tahoma"/>
                <w:b/>
                <w:lang w:val="sl-SI" w:eastAsia="en-GB"/>
              </w:rPr>
            </w:pPr>
            <w:r w:rsidRPr="00F769E0">
              <w:rPr>
                <w:rFonts w:cs="Tahoma"/>
                <w:b/>
                <w:lang w:val="sl-SI" w:eastAsia="en-GB"/>
              </w:rPr>
              <w:t>A4.1</w:t>
            </w:r>
          </w:p>
        </w:tc>
      </w:tr>
      <w:tr w:rsidR="00E03711" w:rsidRPr="008C6F8C" w14:paraId="7D398D83" w14:textId="77777777" w:rsidTr="00860232">
        <w:trPr>
          <w:trHeight w:val="20"/>
          <w:jc w:val="center"/>
        </w:trPr>
        <w:tc>
          <w:tcPr>
            <w:tcW w:w="3752" w:type="pct"/>
            <w:tcBorders>
              <w:top w:val="single" w:sz="4" w:space="0" w:color="auto"/>
              <w:left w:val="single" w:sz="6" w:space="0" w:color="auto"/>
              <w:bottom w:val="single" w:sz="6" w:space="0" w:color="auto"/>
              <w:right w:val="single" w:sz="6" w:space="0" w:color="auto"/>
            </w:tcBorders>
            <w:shd w:val="clear" w:color="auto" w:fill="auto"/>
            <w:vAlign w:val="center"/>
          </w:tcPr>
          <w:p w14:paraId="7D398D80" w14:textId="77777777" w:rsidR="00E03711" w:rsidRDefault="00E03711" w:rsidP="00C12952">
            <w:pPr>
              <w:pStyle w:val="GUIDE-NORMAL"/>
              <w:spacing w:before="60" w:after="60"/>
              <w:jc w:val="center"/>
              <w:rPr>
                <w:rFonts w:cs="Tahoma"/>
                <w:b/>
                <w:lang w:val="sl-SI" w:eastAsia="en-GB"/>
              </w:rPr>
            </w:pPr>
            <w:r>
              <w:rPr>
                <w:rFonts w:cs="Tahoma"/>
                <w:b/>
                <w:lang w:val="sl-SI" w:eastAsia="en-GB"/>
              </w:rPr>
              <w:t>Skupina 1</w:t>
            </w:r>
          </w:p>
          <w:p w14:paraId="7D398D81" w14:textId="77777777" w:rsidR="00E03711" w:rsidRPr="00F769E0" w:rsidRDefault="00E03711" w:rsidP="00114F11">
            <w:pPr>
              <w:pStyle w:val="GUIDE-NORMAL"/>
              <w:spacing w:before="60" w:after="60"/>
              <w:jc w:val="left"/>
              <w:rPr>
                <w:rFonts w:cs="Tahoma"/>
                <w:b/>
                <w:lang w:val="sl-SI" w:eastAsia="en-GB"/>
              </w:rPr>
            </w:pPr>
            <w:r w:rsidRPr="00F769E0">
              <w:rPr>
                <w:rFonts w:cs="Tahoma"/>
                <w:b/>
                <w:lang w:val="sl-SI" w:eastAsia="en-GB"/>
              </w:rPr>
              <w:t>Norveška, Danska, Luksemburg, Združeno kraljestvo, Islandija, Švedska, Irska, Finska, Lihtenštajn</w:t>
            </w:r>
          </w:p>
        </w:tc>
        <w:tc>
          <w:tcPr>
            <w:tcW w:w="1248" w:type="pct"/>
            <w:tcBorders>
              <w:top w:val="single" w:sz="6" w:space="0" w:color="auto"/>
              <w:left w:val="single" w:sz="6" w:space="0" w:color="auto"/>
              <w:bottom w:val="single" w:sz="6" w:space="0" w:color="auto"/>
              <w:right w:val="single" w:sz="6" w:space="0" w:color="auto"/>
            </w:tcBorders>
            <w:shd w:val="clear" w:color="auto" w:fill="auto"/>
            <w:vAlign w:val="center"/>
          </w:tcPr>
          <w:p w14:paraId="7D398D82" w14:textId="77777777" w:rsidR="00E03711" w:rsidRPr="00F769E0" w:rsidRDefault="00E03711" w:rsidP="00114F11">
            <w:pPr>
              <w:pStyle w:val="Guide-Table"/>
              <w:spacing w:before="60" w:after="60"/>
              <w:rPr>
                <w:rFonts w:cs="Tahoma"/>
                <w:lang w:val="sl-SI" w:eastAsia="en-GB"/>
              </w:rPr>
            </w:pPr>
            <w:r w:rsidRPr="00F769E0">
              <w:rPr>
                <w:rFonts w:cs="Tahoma"/>
                <w:lang w:val="sl-SI" w:eastAsia="en-GB"/>
              </w:rPr>
              <w:t>80-180</w:t>
            </w:r>
          </w:p>
        </w:tc>
      </w:tr>
      <w:tr w:rsidR="00E03711" w:rsidRPr="008C6F8C" w14:paraId="7D398D87" w14:textId="77777777" w:rsidTr="00860232">
        <w:trPr>
          <w:trHeight w:val="20"/>
          <w:jc w:val="center"/>
        </w:trPr>
        <w:tc>
          <w:tcPr>
            <w:tcW w:w="3752" w:type="pct"/>
            <w:tcBorders>
              <w:top w:val="single" w:sz="6" w:space="0" w:color="auto"/>
              <w:left w:val="single" w:sz="6" w:space="0" w:color="auto"/>
              <w:bottom w:val="single" w:sz="6" w:space="0" w:color="auto"/>
              <w:right w:val="single" w:sz="6" w:space="0" w:color="auto"/>
            </w:tcBorders>
            <w:shd w:val="clear" w:color="auto" w:fill="auto"/>
            <w:vAlign w:val="center"/>
          </w:tcPr>
          <w:p w14:paraId="7D398D84" w14:textId="77777777" w:rsidR="00E03711" w:rsidRDefault="00E03711" w:rsidP="00457F35">
            <w:pPr>
              <w:pStyle w:val="GUIDE-NORMAL"/>
              <w:spacing w:before="60" w:after="60"/>
              <w:jc w:val="center"/>
              <w:rPr>
                <w:rFonts w:cs="Tahoma"/>
                <w:b/>
                <w:lang w:val="sl-SI" w:eastAsia="en-GB"/>
              </w:rPr>
            </w:pPr>
            <w:r>
              <w:rPr>
                <w:rFonts w:cs="Tahoma"/>
                <w:b/>
                <w:lang w:val="sl-SI" w:eastAsia="en-GB"/>
              </w:rPr>
              <w:t>Skupina 2</w:t>
            </w:r>
          </w:p>
          <w:p w14:paraId="7D398D85" w14:textId="77777777" w:rsidR="00E03711" w:rsidRPr="00F769E0" w:rsidRDefault="00E03711" w:rsidP="00114F11">
            <w:pPr>
              <w:pStyle w:val="GUIDE-NORMAL"/>
              <w:spacing w:before="60" w:after="60"/>
              <w:jc w:val="left"/>
              <w:rPr>
                <w:rFonts w:cs="Tahoma"/>
                <w:b/>
                <w:lang w:val="sl-SI" w:eastAsia="en-GB"/>
              </w:rPr>
            </w:pPr>
            <w:r w:rsidRPr="00F769E0">
              <w:rPr>
                <w:rFonts w:cs="Tahoma"/>
                <w:b/>
                <w:lang w:val="sl-SI" w:eastAsia="en-GB"/>
              </w:rPr>
              <w:t>Nizozemska, Avstrija, Belgija, Francija, Nemčija, Italija, Španija, Ciper, Grčija, Malta, Portugalska</w:t>
            </w:r>
          </w:p>
        </w:tc>
        <w:tc>
          <w:tcPr>
            <w:tcW w:w="1248" w:type="pct"/>
            <w:tcBorders>
              <w:top w:val="single" w:sz="6" w:space="0" w:color="auto"/>
              <w:left w:val="single" w:sz="6" w:space="0" w:color="auto"/>
              <w:bottom w:val="single" w:sz="6" w:space="0" w:color="auto"/>
              <w:right w:val="single" w:sz="6" w:space="0" w:color="auto"/>
            </w:tcBorders>
            <w:shd w:val="clear" w:color="auto" w:fill="auto"/>
            <w:vAlign w:val="center"/>
          </w:tcPr>
          <w:p w14:paraId="7D398D86" w14:textId="77777777" w:rsidR="00E03711" w:rsidRPr="00F769E0" w:rsidRDefault="00E03711" w:rsidP="00114F11">
            <w:pPr>
              <w:pStyle w:val="Guide-Table"/>
              <w:spacing w:before="60" w:after="60"/>
              <w:rPr>
                <w:rFonts w:cs="Tahoma"/>
                <w:lang w:val="sl-SI" w:eastAsia="en-GB"/>
              </w:rPr>
            </w:pPr>
            <w:r w:rsidRPr="00F769E0">
              <w:rPr>
                <w:rFonts w:cs="Tahoma"/>
                <w:lang w:val="sl-SI" w:eastAsia="en-GB"/>
              </w:rPr>
              <w:t>70-160</w:t>
            </w:r>
          </w:p>
        </w:tc>
      </w:tr>
      <w:tr w:rsidR="00E03711" w:rsidRPr="008C6F8C" w14:paraId="7D398D8B" w14:textId="77777777" w:rsidTr="00860232">
        <w:trPr>
          <w:trHeight w:val="20"/>
          <w:jc w:val="center"/>
        </w:trPr>
        <w:tc>
          <w:tcPr>
            <w:tcW w:w="3752" w:type="pct"/>
            <w:tcBorders>
              <w:top w:val="single" w:sz="6" w:space="0" w:color="auto"/>
              <w:left w:val="single" w:sz="6" w:space="0" w:color="auto"/>
              <w:bottom w:val="single" w:sz="4" w:space="0" w:color="auto"/>
              <w:right w:val="single" w:sz="6" w:space="0" w:color="auto"/>
            </w:tcBorders>
            <w:shd w:val="clear" w:color="auto" w:fill="auto"/>
            <w:vAlign w:val="center"/>
          </w:tcPr>
          <w:p w14:paraId="7D398D88" w14:textId="77777777" w:rsidR="00E03711" w:rsidRDefault="00E03711" w:rsidP="00457F35">
            <w:pPr>
              <w:pStyle w:val="GUIDE-NORMAL"/>
              <w:spacing w:before="60" w:after="60"/>
              <w:jc w:val="center"/>
              <w:rPr>
                <w:rFonts w:cs="Tahoma"/>
                <w:b/>
                <w:lang w:val="sl-SI" w:eastAsia="en-GB"/>
              </w:rPr>
            </w:pPr>
            <w:r>
              <w:rPr>
                <w:rFonts w:cs="Tahoma"/>
                <w:b/>
                <w:lang w:val="sl-SI" w:eastAsia="en-GB"/>
              </w:rPr>
              <w:t>Skupina 3</w:t>
            </w:r>
          </w:p>
          <w:p w14:paraId="7D398D89" w14:textId="77777777" w:rsidR="00E03711" w:rsidRPr="00F769E0" w:rsidRDefault="00E03711">
            <w:pPr>
              <w:pStyle w:val="GUIDE-NORMAL"/>
              <w:spacing w:before="60" w:after="60"/>
              <w:jc w:val="left"/>
              <w:rPr>
                <w:rFonts w:cs="Tahoma"/>
                <w:b/>
                <w:lang w:val="sl-SI" w:eastAsia="en-GB"/>
              </w:rPr>
            </w:pPr>
            <w:r w:rsidRPr="00F769E0">
              <w:rPr>
                <w:rFonts w:cs="Tahoma"/>
                <w:b/>
                <w:lang w:val="sl-SI" w:eastAsia="en-GB"/>
              </w:rPr>
              <w:t xml:space="preserve">Slovenija, Estonija, Latvija, Hrvaška, Slovaška, Češka, Litva, Turčija, Madžarska, Poljska, Romunija, Bolgarija, </w:t>
            </w:r>
            <w:r>
              <w:rPr>
                <w:rFonts w:cs="Tahoma"/>
                <w:b/>
                <w:lang w:val="sl-SI" w:eastAsia="en-GB"/>
              </w:rPr>
              <w:t>R</w:t>
            </w:r>
            <w:r w:rsidRPr="00F769E0">
              <w:rPr>
                <w:rFonts w:cs="Tahoma"/>
                <w:b/>
                <w:lang w:val="sl-SI" w:eastAsia="en-GB"/>
              </w:rPr>
              <w:t xml:space="preserve">epublika </w:t>
            </w:r>
            <w:r>
              <w:rPr>
                <w:rFonts w:cs="Tahoma"/>
                <w:b/>
                <w:lang w:val="sl-SI" w:eastAsia="en-GB"/>
              </w:rPr>
              <w:t xml:space="preserve">Severna </w:t>
            </w:r>
            <w:r w:rsidRPr="00F769E0">
              <w:rPr>
                <w:rFonts w:cs="Tahoma"/>
                <w:b/>
                <w:lang w:val="sl-SI" w:eastAsia="en-GB"/>
              </w:rPr>
              <w:t>Makedonija, Srbija</w:t>
            </w:r>
          </w:p>
        </w:tc>
        <w:tc>
          <w:tcPr>
            <w:tcW w:w="1248" w:type="pct"/>
            <w:tcBorders>
              <w:top w:val="single" w:sz="6" w:space="0" w:color="auto"/>
              <w:left w:val="single" w:sz="6" w:space="0" w:color="auto"/>
              <w:bottom w:val="single" w:sz="4" w:space="0" w:color="auto"/>
              <w:right w:val="single" w:sz="6" w:space="0" w:color="auto"/>
            </w:tcBorders>
            <w:shd w:val="clear" w:color="auto" w:fill="auto"/>
            <w:vAlign w:val="center"/>
          </w:tcPr>
          <w:p w14:paraId="7D398D8A" w14:textId="77777777" w:rsidR="00E03711" w:rsidRPr="00F769E0" w:rsidRDefault="00E03711" w:rsidP="00114F11">
            <w:pPr>
              <w:pStyle w:val="Guide-Table"/>
              <w:spacing w:before="60" w:after="60"/>
              <w:rPr>
                <w:rFonts w:cs="Tahoma"/>
                <w:lang w:val="sl-SI" w:eastAsia="en-GB"/>
              </w:rPr>
            </w:pPr>
            <w:r w:rsidRPr="00F769E0">
              <w:rPr>
                <w:rFonts w:cs="Tahoma"/>
                <w:lang w:val="sl-SI" w:eastAsia="en-GB"/>
              </w:rPr>
              <w:t>60-140</w:t>
            </w:r>
          </w:p>
        </w:tc>
      </w:tr>
    </w:tbl>
    <w:p w14:paraId="7D398D8C" w14:textId="77777777" w:rsidR="00E03711" w:rsidRDefault="00E03711">
      <w:pPr>
        <w:widowControl/>
        <w:suppressAutoHyphens w:val="0"/>
        <w:autoSpaceDN/>
        <w:textAlignment w:val="auto"/>
        <w:rPr>
          <w:lang w:val="sl-SI"/>
        </w:rPr>
        <w:sectPr w:rsidR="00E03711" w:rsidSect="007F4890">
          <w:endnotePr>
            <w:numFmt w:val="decimal"/>
          </w:endnotePr>
          <w:pgSz w:w="11910" w:h="16840" w:code="9"/>
          <w:pgMar w:top="1134" w:right="1418" w:bottom="1134" w:left="1418" w:header="283" w:footer="567" w:gutter="0"/>
          <w:cols w:space="720"/>
          <w:docGrid w:linePitch="326"/>
        </w:sectPr>
      </w:pPr>
      <w:r w:rsidRPr="001048FE">
        <w:rPr>
          <w:lang w:val="sl-SI"/>
        </w:rPr>
        <w:br w:type="page"/>
      </w:r>
    </w:p>
    <w:p w14:paraId="7D398D8D" w14:textId="77777777" w:rsidR="00E03711" w:rsidRDefault="00E03711">
      <w:pPr>
        <w:pStyle w:val="Guide-Heading4TOC"/>
        <w:rPr>
          <w:lang w:val="sl-SI"/>
        </w:rPr>
      </w:pPr>
      <w:bookmarkStart w:id="178" w:name="_Toc527401143"/>
      <w:r w:rsidRPr="001048FE">
        <w:rPr>
          <w:lang w:val="sl-SI"/>
        </w:rPr>
        <w:t>Projekt mobilnosti za mlade in mladinske delavce</w:t>
      </w:r>
      <w:r>
        <w:rPr>
          <w:rStyle w:val="FootnoteReference"/>
          <w:lang w:val="sl-SI"/>
        </w:rPr>
        <w:footnoteReference w:id="51"/>
      </w:r>
      <w:bookmarkEnd w:id="178"/>
    </w:p>
    <w:p w14:paraId="7D398D8E" w14:textId="77777777" w:rsidR="00E03711" w:rsidRPr="001048FE" w:rsidRDefault="00E03711" w:rsidP="00E06145">
      <w:pPr>
        <w:pStyle w:val="GUIDE-NORMAL"/>
        <w:rPr>
          <w:lang w:val="sl-SI"/>
        </w:rPr>
      </w:pPr>
      <w:r w:rsidRPr="001048FE">
        <w:rPr>
          <w:lang w:val="sl-SI"/>
        </w:rPr>
        <w:t>Leta 201</w:t>
      </w:r>
      <w:r>
        <w:rPr>
          <w:lang w:val="sl-SI"/>
        </w:rPr>
        <w:t>9</w:t>
      </w:r>
      <w:r w:rsidRPr="001048FE">
        <w:rPr>
          <w:lang w:val="sl-SI"/>
        </w:rPr>
        <w:t xml:space="preserve"> bo pri izboru projektov poudarek na:</w:t>
      </w:r>
    </w:p>
    <w:p w14:paraId="7D398D8F" w14:textId="77777777" w:rsidR="00E03711" w:rsidRPr="004E4C36" w:rsidRDefault="00E03711" w:rsidP="00860232">
      <w:pPr>
        <w:pStyle w:val="Guide-ListDash"/>
        <w:rPr>
          <w:lang w:val="sl-SI"/>
        </w:rPr>
      </w:pPr>
      <w:r w:rsidRPr="004E4C36">
        <w:rPr>
          <w:lang w:val="sl-SI"/>
        </w:rPr>
        <w:t>doseganju marginaliziranih mladih, spodbujanju raznolikosti, medkulturnega in medverskega dialoga, skupnih vrednotah svobode, strpnosti in spoštovanju človekovih pravic ter na projektih za izboljšanje medijske pismenosti, kritičnega razmišljanja in smisla za pobudo pri mladih, pa tudi na</w:t>
      </w:r>
    </w:p>
    <w:p w14:paraId="7D398D90" w14:textId="77777777" w:rsidR="00E03711" w:rsidRPr="004E4C36" w:rsidRDefault="00E03711" w:rsidP="00860232">
      <w:pPr>
        <w:pStyle w:val="Guide-ListDash"/>
        <w:rPr>
          <w:lang w:val="sl-SI"/>
        </w:rPr>
      </w:pPr>
      <w:r w:rsidRPr="004E4C36">
        <w:rPr>
          <w:lang w:val="sl-SI"/>
        </w:rPr>
        <w:t>opremljanju</w:t>
      </w:r>
      <w:r w:rsidRPr="004E4C36">
        <w:rPr>
          <w:spacing w:val="-13"/>
          <w:lang w:val="sl-SI"/>
        </w:rPr>
        <w:t xml:space="preserve"> </w:t>
      </w:r>
      <w:r w:rsidRPr="004E4C36">
        <w:rPr>
          <w:lang w:val="sl-SI"/>
        </w:rPr>
        <w:t>mladinskih</w:t>
      </w:r>
      <w:r w:rsidRPr="004E4C36">
        <w:rPr>
          <w:spacing w:val="-14"/>
          <w:lang w:val="sl-SI"/>
        </w:rPr>
        <w:t xml:space="preserve"> </w:t>
      </w:r>
      <w:r w:rsidRPr="004E4C36">
        <w:rPr>
          <w:lang w:val="sl-SI"/>
        </w:rPr>
        <w:t>delavcev</w:t>
      </w:r>
      <w:r w:rsidRPr="004E4C36">
        <w:rPr>
          <w:spacing w:val="-14"/>
          <w:lang w:val="sl-SI"/>
        </w:rPr>
        <w:t xml:space="preserve"> </w:t>
      </w:r>
      <w:r w:rsidRPr="004E4C36">
        <w:rPr>
          <w:lang w:val="sl-SI"/>
        </w:rPr>
        <w:t>s</w:t>
      </w:r>
      <w:r w:rsidRPr="004E4C36">
        <w:rPr>
          <w:spacing w:val="-14"/>
          <w:lang w:val="sl-SI"/>
        </w:rPr>
        <w:t xml:space="preserve"> </w:t>
      </w:r>
      <w:r w:rsidRPr="004E4C36">
        <w:rPr>
          <w:lang w:val="sl-SI"/>
        </w:rPr>
        <w:t>kompetencami</w:t>
      </w:r>
      <w:r w:rsidRPr="004E4C36">
        <w:rPr>
          <w:spacing w:val="-14"/>
          <w:lang w:val="sl-SI"/>
        </w:rPr>
        <w:t xml:space="preserve"> </w:t>
      </w:r>
      <w:r w:rsidRPr="004E4C36">
        <w:rPr>
          <w:lang w:val="sl-SI"/>
        </w:rPr>
        <w:t>in</w:t>
      </w:r>
      <w:r w:rsidRPr="004E4C36">
        <w:rPr>
          <w:spacing w:val="-14"/>
          <w:lang w:val="sl-SI"/>
        </w:rPr>
        <w:t xml:space="preserve"> </w:t>
      </w:r>
      <w:r w:rsidRPr="004E4C36">
        <w:rPr>
          <w:lang w:val="sl-SI"/>
        </w:rPr>
        <w:t>metodami,</w:t>
      </w:r>
      <w:r w:rsidRPr="004E4C36">
        <w:rPr>
          <w:spacing w:val="-14"/>
          <w:lang w:val="sl-SI"/>
        </w:rPr>
        <w:t xml:space="preserve"> </w:t>
      </w:r>
      <w:r w:rsidRPr="004E4C36">
        <w:rPr>
          <w:lang w:val="sl-SI"/>
        </w:rPr>
        <w:t>ki</w:t>
      </w:r>
      <w:r w:rsidRPr="004E4C36">
        <w:rPr>
          <w:spacing w:val="-14"/>
          <w:lang w:val="sl-SI"/>
        </w:rPr>
        <w:t xml:space="preserve"> </w:t>
      </w:r>
      <w:r w:rsidRPr="004E4C36">
        <w:rPr>
          <w:lang w:val="sl-SI"/>
        </w:rPr>
        <w:t>so</w:t>
      </w:r>
      <w:r w:rsidRPr="004E4C36">
        <w:rPr>
          <w:spacing w:val="-14"/>
          <w:lang w:val="sl-SI"/>
        </w:rPr>
        <w:t xml:space="preserve"> </w:t>
      </w:r>
      <w:r w:rsidRPr="004E4C36">
        <w:rPr>
          <w:lang w:val="sl-SI"/>
        </w:rPr>
        <w:t>potrebne</w:t>
      </w:r>
      <w:r w:rsidRPr="004E4C36">
        <w:rPr>
          <w:spacing w:val="-14"/>
          <w:lang w:val="sl-SI"/>
        </w:rPr>
        <w:t xml:space="preserve"> </w:t>
      </w:r>
      <w:r w:rsidRPr="004E4C36">
        <w:rPr>
          <w:lang w:val="sl-SI"/>
        </w:rPr>
        <w:t>za</w:t>
      </w:r>
      <w:r w:rsidRPr="004E4C36">
        <w:rPr>
          <w:spacing w:val="-14"/>
          <w:lang w:val="sl-SI"/>
        </w:rPr>
        <w:t xml:space="preserve"> poklicni razvoj, vključno z digitalnim mladinskim delom, in </w:t>
      </w:r>
      <w:r w:rsidRPr="004E4C36">
        <w:rPr>
          <w:lang w:val="sl-SI"/>
        </w:rPr>
        <w:t>prenos skupnih temeljnih vrednot naše družbe zlasti na tiste mlade, ki jih je težko doseči, in preprečevanju nasilne radikalizacije</w:t>
      </w:r>
      <w:r w:rsidRPr="004E4C36">
        <w:rPr>
          <w:spacing w:val="-8"/>
          <w:lang w:val="sl-SI"/>
        </w:rPr>
        <w:t xml:space="preserve"> </w:t>
      </w:r>
      <w:r w:rsidRPr="004E4C36">
        <w:rPr>
          <w:lang w:val="sl-SI"/>
        </w:rPr>
        <w:t>mladih.</w:t>
      </w:r>
    </w:p>
    <w:p w14:paraId="7D398D91" w14:textId="77777777" w:rsidR="00E03711" w:rsidRDefault="00E03711" w:rsidP="001A637D">
      <w:pPr>
        <w:pStyle w:val="GUIDE-NORMAL"/>
        <w:rPr>
          <w:lang w:val="sl-SI"/>
        </w:rPr>
      </w:pPr>
      <w:r w:rsidRPr="001048FE">
        <w:rPr>
          <w:lang w:val="sl-SI"/>
        </w:rPr>
        <w:t>V zvezi s tem in ob upoštevanju kritičnih okoliščin v Evropi – ter ob upoštevanju dejstva, da lahko mladinsko delo, aktivnosti neformalnega učenja pomembno prispevajo k obravnavanju</w:t>
      </w:r>
      <w:r w:rsidRPr="001048FE">
        <w:rPr>
          <w:spacing w:val="-11"/>
          <w:lang w:val="sl-SI"/>
        </w:rPr>
        <w:t xml:space="preserve"> </w:t>
      </w:r>
      <w:r w:rsidRPr="001048FE">
        <w:rPr>
          <w:lang w:val="sl-SI"/>
        </w:rPr>
        <w:t>potreb</w:t>
      </w:r>
      <w:r w:rsidRPr="001048FE">
        <w:rPr>
          <w:spacing w:val="-12"/>
          <w:lang w:val="sl-SI"/>
        </w:rPr>
        <w:t xml:space="preserve"> </w:t>
      </w:r>
      <w:r w:rsidRPr="001048FE">
        <w:rPr>
          <w:lang w:val="sl-SI"/>
        </w:rPr>
        <w:t>beguncev,</w:t>
      </w:r>
      <w:r w:rsidRPr="001048FE">
        <w:rPr>
          <w:spacing w:val="-12"/>
          <w:lang w:val="sl-SI"/>
        </w:rPr>
        <w:t xml:space="preserve"> </w:t>
      </w:r>
      <w:r w:rsidRPr="001048FE">
        <w:rPr>
          <w:lang w:val="sl-SI"/>
        </w:rPr>
        <w:t>prosilcev</w:t>
      </w:r>
      <w:r w:rsidRPr="001048FE">
        <w:rPr>
          <w:spacing w:val="-12"/>
          <w:lang w:val="sl-SI"/>
        </w:rPr>
        <w:t xml:space="preserve"> </w:t>
      </w:r>
      <w:r w:rsidRPr="001048FE">
        <w:rPr>
          <w:lang w:val="sl-SI"/>
        </w:rPr>
        <w:t>za</w:t>
      </w:r>
      <w:r w:rsidRPr="001048FE">
        <w:rPr>
          <w:spacing w:val="-12"/>
          <w:lang w:val="sl-SI"/>
        </w:rPr>
        <w:t xml:space="preserve"> </w:t>
      </w:r>
      <w:r w:rsidRPr="001048FE">
        <w:rPr>
          <w:lang w:val="sl-SI"/>
        </w:rPr>
        <w:t>azil</w:t>
      </w:r>
      <w:r w:rsidRPr="001048FE">
        <w:rPr>
          <w:spacing w:val="-12"/>
          <w:lang w:val="sl-SI"/>
        </w:rPr>
        <w:t xml:space="preserve"> </w:t>
      </w:r>
      <w:r w:rsidRPr="001048FE">
        <w:rPr>
          <w:lang w:val="sl-SI"/>
        </w:rPr>
        <w:t>in</w:t>
      </w:r>
      <w:r w:rsidRPr="001048FE">
        <w:rPr>
          <w:spacing w:val="-12"/>
          <w:lang w:val="sl-SI"/>
        </w:rPr>
        <w:t xml:space="preserve"> </w:t>
      </w:r>
      <w:r w:rsidRPr="001048FE">
        <w:rPr>
          <w:lang w:val="sl-SI"/>
        </w:rPr>
        <w:t>migrantov</w:t>
      </w:r>
      <w:r w:rsidRPr="001048FE">
        <w:rPr>
          <w:spacing w:val="-12"/>
          <w:lang w:val="sl-SI"/>
        </w:rPr>
        <w:t xml:space="preserve"> </w:t>
      </w:r>
      <w:r w:rsidRPr="001048FE">
        <w:rPr>
          <w:lang w:val="sl-SI"/>
        </w:rPr>
        <w:t>in/ali</w:t>
      </w:r>
      <w:r w:rsidRPr="001048FE">
        <w:rPr>
          <w:spacing w:val="-12"/>
          <w:lang w:val="sl-SI"/>
        </w:rPr>
        <w:t xml:space="preserve"> </w:t>
      </w:r>
      <w:r w:rsidRPr="001048FE">
        <w:rPr>
          <w:lang w:val="sl-SI"/>
        </w:rPr>
        <w:t>izboljšajo</w:t>
      </w:r>
      <w:r w:rsidRPr="001048FE">
        <w:rPr>
          <w:spacing w:val="-12"/>
          <w:lang w:val="sl-SI"/>
        </w:rPr>
        <w:t xml:space="preserve"> </w:t>
      </w:r>
      <w:r w:rsidRPr="001048FE">
        <w:rPr>
          <w:lang w:val="sl-SI"/>
        </w:rPr>
        <w:t>ozaveščenost</w:t>
      </w:r>
      <w:r w:rsidRPr="001048FE">
        <w:rPr>
          <w:spacing w:val="-11"/>
          <w:lang w:val="sl-SI"/>
        </w:rPr>
        <w:t xml:space="preserve"> </w:t>
      </w:r>
      <w:r w:rsidRPr="001048FE">
        <w:rPr>
          <w:lang w:val="sl-SI"/>
        </w:rPr>
        <w:t>o</w:t>
      </w:r>
      <w:r w:rsidRPr="001048FE">
        <w:rPr>
          <w:spacing w:val="-11"/>
          <w:lang w:val="sl-SI"/>
        </w:rPr>
        <w:t xml:space="preserve"> </w:t>
      </w:r>
      <w:r w:rsidRPr="001048FE">
        <w:rPr>
          <w:lang w:val="sl-SI"/>
        </w:rPr>
        <w:t>tej</w:t>
      </w:r>
      <w:r w:rsidRPr="001048FE">
        <w:rPr>
          <w:spacing w:val="-12"/>
          <w:lang w:val="sl-SI"/>
        </w:rPr>
        <w:t xml:space="preserve"> </w:t>
      </w:r>
      <w:r w:rsidRPr="001048FE">
        <w:rPr>
          <w:lang w:val="sl-SI"/>
        </w:rPr>
        <w:t>temi znotraj lokalnih skupnosti – bo poseben poudarek tudi na podpori projektov mobilnosti mladih, ki vključujejo ali se osredotočajo na begunce, prosilce za azil in</w:t>
      </w:r>
      <w:r w:rsidRPr="001048FE">
        <w:rPr>
          <w:spacing w:val="-37"/>
          <w:lang w:val="sl-SI"/>
        </w:rPr>
        <w:t xml:space="preserve"> </w:t>
      </w:r>
      <w:r w:rsidRPr="001048FE">
        <w:rPr>
          <w:lang w:val="sl-SI"/>
        </w:rPr>
        <w:t>migrante</w:t>
      </w:r>
      <w:r>
        <w:rPr>
          <w:lang w:val="sl-SI"/>
        </w:rPr>
        <w:t xml:space="preserve">. </w:t>
      </w:r>
    </w:p>
    <w:p w14:paraId="7D398D92" w14:textId="77777777" w:rsidR="00E03711" w:rsidRPr="001048FE" w:rsidRDefault="00E03711" w:rsidP="005A0368">
      <w:pPr>
        <w:pStyle w:val="GUIDE-NORMAL"/>
        <w:rPr>
          <w:lang w:val="sl-SI"/>
        </w:rPr>
      </w:pPr>
      <w:r w:rsidRPr="001048FE">
        <w:rPr>
          <w:lang w:val="sl-SI"/>
        </w:rPr>
        <w:t>Projekt mobilnosti lahko združuje eno ali več naslednjih aktivnosti: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E03711" w:rsidRPr="00A6094F" w14:paraId="7D398D98" w14:textId="77777777" w:rsidTr="00237696">
        <w:trPr>
          <w:trHeight w:val="397"/>
        </w:trPr>
        <w:tc>
          <w:tcPr>
            <w:tcW w:w="9064" w:type="dxa"/>
            <w:shd w:val="clear" w:color="auto" w:fill="auto"/>
          </w:tcPr>
          <w:p w14:paraId="7D398D93" w14:textId="77777777" w:rsidR="00E03711" w:rsidRPr="00F769E0" w:rsidRDefault="00E03711" w:rsidP="005115F2">
            <w:pPr>
              <w:pStyle w:val="Guide-Heading7"/>
              <w:numPr>
                <w:ilvl w:val="0"/>
                <w:numId w:val="351"/>
              </w:numPr>
              <w:spacing w:before="60" w:after="60"/>
              <w:rPr>
                <w:rFonts w:cs="Tahoma"/>
                <w:lang w:val="sl-SI"/>
              </w:rPr>
            </w:pPr>
            <w:r w:rsidRPr="00F769E0">
              <w:rPr>
                <w:rFonts w:cs="Tahoma"/>
                <w:lang w:val="sl-SI"/>
              </w:rPr>
              <w:t>Mobilnost mladih: mladinske izmenjave</w:t>
            </w:r>
          </w:p>
          <w:p w14:paraId="7D398D94" w14:textId="77777777" w:rsidR="00E03711" w:rsidRPr="00237696" w:rsidRDefault="00E03711" w:rsidP="00237696">
            <w:pPr>
              <w:pStyle w:val="GUIDE-NORMAL"/>
              <w:spacing w:before="60" w:after="60"/>
              <w:rPr>
                <w:lang w:val="sl-SI" w:eastAsia="en-GB"/>
              </w:rPr>
            </w:pPr>
            <w:r w:rsidRPr="00237696">
              <w:rPr>
                <w:lang w:val="sl-SI" w:eastAsia="en-GB"/>
              </w:rPr>
              <w:t xml:space="preserve">Mladinske izmenjave omogočajo skupinam mladih iz najmanj dveh različnih držav, da se spoznajo in skupaj živijo največ 21 dni. Med mladinsko izmenjavo udeleženci, ki jih podpirajo vodje skupin, skupaj izvajajo delovni program (nabor delavnic, vaj, razprav, igranja vlog, simulacij, aktivnosti na prostem itd.), ki jih načrtujejo in pripravijo sami pred izmenjavo. Mladinske izmenjave mladim omogočijo, da: razvijejo spretnosti; se seznanijo z družbeno pomembnimi temami/tematskimi področji; odkrijejo nove kulture, navade in življenjske sloge, predvsem z vzajemnim učenjem; okrepijo vrednote, kot so solidarnost, demokracija, prijateljstvo itd. Učni proces v mladinskih izmenjavah se spodbuja z metodami neformalnega izobraževanja. Zaradi razmeroma kratkega trajanja je sodelovanje mladih z manj priložnostmi primerno; kot take, mladinske izmenjave nudijo izkušnjo mednarodne mobilnosti v varnem okolju skupine, z možnostjo zadostnega števila vodij skupine, da skrbijo za udeležence. Mladinske izmenjave lahko predstavljajo tudi dobro okolje za razpravljanje in učenje o vprašanjih vključevanja in raznolikosti. Mladinske izmenjave temeljijo na mednarodnem sodelovanju med dvema ali več sodelujočimi organizacijami iz različnih držav v Evropski uniji in po svetu. </w:t>
            </w:r>
          </w:p>
          <w:p w14:paraId="7D398D95" w14:textId="77777777" w:rsidR="00E03711" w:rsidRPr="00237696" w:rsidRDefault="00E03711" w:rsidP="00237696">
            <w:pPr>
              <w:pStyle w:val="GUIDE-NORMAL"/>
              <w:spacing w:before="60" w:after="60"/>
              <w:rPr>
                <w:lang w:val="sl-SI" w:eastAsia="en-GB"/>
              </w:rPr>
            </w:pPr>
            <w:r w:rsidRPr="00237696">
              <w:rPr>
                <w:lang w:val="sl-SI" w:eastAsia="en-GB"/>
              </w:rPr>
              <w:t>Do</w:t>
            </w:r>
            <w:r w:rsidRPr="00237696">
              <w:rPr>
                <w:spacing w:val="-11"/>
                <w:lang w:val="sl-SI" w:eastAsia="en-GB"/>
              </w:rPr>
              <w:t xml:space="preserve"> </w:t>
            </w:r>
            <w:r w:rsidRPr="00237696">
              <w:rPr>
                <w:lang w:val="sl-SI" w:eastAsia="en-GB"/>
              </w:rPr>
              <w:t>nepovratnih</w:t>
            </w:r>
            <w:r w:rsidRPr="00237696">
              <w:rPr>
                <w:spacing w:val="-11"/>
                <w:lang w:val="sl-SI" w:eastAsia="en-GB"/>
              </w:rPr>
              <w:t xml:space="preserve"> </w:t>
            </w:r>
            <w:r w:rsidRPr="00237696">
              <w:rPr>
                <w:lang w:val="sl-SI" w:eastAsia="en-GB"/>
              </w:rPr>
              <w:t>sredstev</w:t>
            </w:r>
            <w:r w:rsidRPr="00237696">
              <w:rPr>
                <w:spacing w:val="-11"/>
                <w:lang w:val="sl-SI" w:eastAsia="en-GB"/>
              </w:rPr>
              <w:t xml:space="preserve"> </w:t>
            </w:r>
            <w:r w:rsidRPr="00237696">
              <w:rPr>
                <w:lang w:val="sl-SI" w:eastAsia="en-GB"/>
              </w:rPr>
              <w:t>v</w:t>
            </w:r>
            <w:r w:rsidRPr="00237696">
              <w:rPr>
                <w:spacing w:val="-11"/>
                <w:lang w:val="sl-SI" w:eastAsia="en-GB"/>
              </w:rPr>
              <w:t xml:space="preserve"> </w:t>
            </w:r>
            <w:r w:rsidRPr="00237696">
              <w:rPr>
                <w:lang w:val="sl-SI" w:eastAsia="en-GB"/>
              </w:rPr>
              <w:t>okviru</w:t>
            </w:r>
            <w:r w:rsidRPr="00237696">
              <w:rPr>
                <w:spacing w:val="-10"/>
                <w:lang w:val="sl-SI" w:eastAsia="en-GB"/>
              </w:rPr>
              <w:t xml:space="preserve"> </w:t>
            </w:r>
            <w:r w:rsidRPr="00237696">
              <w:rPr>
                <w:lang w:val="sl-SI" w:eastAsia="en-GB"/>
              </w:rPr>
              <w:t>mladinskih</w:t>
            </w:r>
            <w:r w:rsidRPr="00237696">
              <w:rPr>
                <w:spacing w:val="-11"/>
                <w:lang w:val="sl-SI" w:eastAsia="en-GB"/>
              </w:rPr>
              <w:t xml:space="preserve"> </w:t>
            </w:r>
            <w:r w:rsidRPr="00237696">
              <w:rPr>
                <w:lang w:val="sl-SI" w:eastAsia="en-GB"/>
              </w:rPr>
              <w:t>izmenjav</w:t>
            </w:r>
            <w:r w:rsidRPr="00237696">
              <w:rPr>
                <w:spacing w:val="-11"/>
                <w:lang w:val="sl-SI" w:eastAsia="en-GB"/>
              </w:rPr>
              <w:t xml:space="preserve"> </w:t>
            </w:r>
            <w:r w:rsidRPr="00237696">
              <w:rPr>
                <w:lang w:val="sl-SI" w:eastAsia="en-GB"/>
              </w:rPr>
              <w:t>niso</w:t>
            </w:r>
            <w:r w:rsidRPr="00237696">
              <w:rPr>
                <w:spacing w:val="-11"/>
                <w:lang w:val="sl-SI" w:eastAsia="en-GB"/>
              </w:rPr>
              <w:t xml:space="preserve"> </w:t>
            </w:r>
            <w:r w:rsidRPr="00237696">
              <w:rPr>
                <w:lang w:val="sl-SI" w:eastAsia="en-GB"/>
              </w:rPr>
              <w:t>upravičene</w:t>
            </w:r>
            <w:r w:rsidRPr="00237696">
              <w:rPr>
                <w:spacing w:val="-11"/>
                <w:lang w:val="sl-SI" w:eastAsia="en-GB"/>
              </w:rPr>
              <w:t xml:space="preserve"> </w:t>
            </w:r>
            <w:r w:rsidRPr="00237696">
              <w:rPr>
                <w:lang w:val="sl-SI" w:eastAsia="en-GB"/>
              </w:rPr>
              <w:t>naslednje</w:t>
            </w:r>
            <w:r w:rsidRPr="00237696">
              <w:rPr>
                <w:spacing w:val="-11"/>
                <w:lang w:val="sl-SI" w:eastAsia="en-GB"/>
              </w:rPr>
              <w:t xml:space="preserve"> </w:t>
            </w:r>
            <w:r w:rsidRPr="00237696">
              <w:rPr>
                <w:lang w:val="sl-SI" w:eastAsia="en-GB"/>
              </w:rPr>
              <w:t>aktivnosti: akademski študijski obiski; izmenjave, katerih cilj je finančni dobiček; izmenjave, ki sodijo v aktivnost turizma; festivali; počitniška potovanja;</w:t>
            </w:r>
            <w:r w:rsidRPr="00237696">
              <w:rPr>
                <w:spacing w:val="-9"/>
                <w:lang w:val="sl-SI" w:eastAsia="en-GB"/>
              </w:rPr>
              <w:t xml:space="preserve"> </w:t>
            </w:r>
            <w:r w:rsidRPr="00237696">
              <w:rPr>
                <w:lang w:val="sl-SI" w:eastAsia="en-GB"/>
              </w:rPr>
              <w:t>turneje.</w:t>
            </w:r>
          </w:p>
          <w:p w14:paraId="7D398D96" w14:textId="77777777" w:rsidR="00E03711" w:rsidRPr="00F769E0" w:rsidRDefault="00E03711" w:rsidP="005115F2">
            <w:pPr>
              <w:pStyle w:val="Guide-Heading7"/>
              <w:numPr>
                <w:ilvl w:val="0"/>
                <w:numId w:val="351"/>
              </w:numPr>
              <w:spacing w:before="60" w:after="60"/>
              <w:rPr>
                <w:rFonts w:cs="Tahoma"/>
                <w:lang w:val="sl-SI"/>
              </w:rPr>
            </w:pPr>
            <w:r w:rsidRPr="00F769E0">
              <w:rPr>
                <w:rFonts w:cs="Tahoma"/>
                <w:lang w:val="sl-SI"/>
              </w:rPr>
              <w:t>Mobilnost mladinskih delavcev:</w:t>
            </w:r>
          </w:p>
          <w:p w14:paraId="7D398D97" w14:textId="77777777" w:rsidR="00E03711" w:rsidRPr="00237696" w:rsidRDefault="00E03711" w:rsidP="00237696">
            <w:pPr>
              <w:pStyle w:val="GUIDE-NORMAL"/>
              <w:spacing w:before="60" w:after="60"/>
              <w:rPr>
                <w:lang w:val="sl-SI" w:eastAsia="en-GB"/>
              </w:rPr>
            </w:pPr>
            <w:r w:rsidRPr="00237696">
              <w:rPr>
                <w:lang w:val="sl-SI" w:eastAsia="en-GB"/>
              </w:rPr>
              <w:t>Ta aktivnost podpira profesionalni razvoj mladinskih delavcev z izvajanjem aktivnosti, kot so mednarodni</w:t>
            </w:r>
            <w:r w:rsidRPr="00237696">
              <w:rPr>
                <w:spacing w:val="-18"/>
                <w:lang w:val="sl-SI" w:eastAsia="en-GB"/>
              </w:rPr>
              <w:t xml:space="preserve"> </w:t>
            </w:r>
            <w:r w:rsidRPr="00237696">
              <w:rPr>
                <w:lang w:val="sl-SI" w:eastAsia="en-GB"/>
              </w:rPr>
              <w:t>seminarji,</w:t>
            </w:r>
            <w:r w:rsidRPr="00237696">
              <w:rPr>
                <w:spacing w:val="-18"/>
                <w:lang w:val="sl-SI" w:eastAsia="en-GB"/>
              </w:rPr>
              <w:t xml:space="preserve"> </w:t>
            </w:r>
            <w:r w:rsidRPr="00237696">
              <w:rPr>
                <w:lang w:val="sl-SI" w:eastAsia="en-GB"/>
              </w:rPr>
              <w:t>usposabljanja,</w:t>
            </w:r>
            <w:r w:rsidRPr="00237696">
              <w:rPr>
                <w:spacing w:val="-18"/>
                <w:lang w:val="sl-SI" w:eastAsia="en-GB"/>
              </w:rPr>
              <w:t xml:space="preserve"> </w:t>
            </w:r>
            <w:r w:rsidRPr="00237696">
              <w:rPr>
                <w:lang w:val="sl-SI" w:eastAsia="en-GB"/>
              </w:rPr>
              <w:t>dogodki</w:t>
            </w:r>
            <w:r w:rsidRPr="00237696">
              <w:rPr>
                <w:spacing w:val="-18"/>
                <w:lang w:val="sl-SI" w:eastAsia="en-GB"/>
              </w:rPr>
              <w:t xml:space="preserve"> </w:t>
            </w:r>
            <w:r w:rsidRPr="00237696">
              <w:rPr>
                <w:lang w:val="sl-SI" w:eastAsia="en-GB"/>
              </w:rPr>
              <w:t>za</w:t>
            </w:r>
            <w:r w:rsidRPr="00237696">
              <w:rPr>
                <w:spacing w:val="-18"/>
                <w:lang w:val="sl-SI" w:eastAsia="en-GB"/>
              </w:rPr>
              <w:t xml:space="preserve"> </w:t>
            </w:r>
            <w:r w:rsidRPr="00237696">
              <w:rPr>
                <w:lang w:val="sl-SI" w:eastAsia="en-GB"/>
              </w:rPr>
              <w:t>vzpostavljanje</w:t>
            </w:r>
            <w:r w:rsidRPr="00237696">
              <w:rPr>
                <w:spacing w:val="-18"/>
                <w:lang w:val="sl-SI" w:eastAsia="en-GB"/>
              </w:rPr>
              <w:t xml:space="preserve"> </w:t>
            </w:r>
            <w:r w:rsidRPr="00237696">
              <w:rPr>
                <w:lang w:val="sl-SI" w:eastAsia="en-GB"/>
              </w:rPr>
              <w:t>stikov,</w:t>
            </w:r>
            <w:r w:rsidRPr="00237696">
              <w:rPr>
                <w:spacing w:val="-18"/>
                <w:lang w:val="sl-SI" w:eastAsia="en-GB"/>
              </w:rPr>
              <w:t xml:space="preserve"> </w:t>
            </w:r>
            <w:r w:rsidRPr="00237696">
              <w:rPr>
                <w:lang w:val="sl-SI" w:eastAsia="en-GB"/>
              </w:rPr>
              <w:t>obiski</w:t>
            </w:r>
            <w:r w:rsidRPr="00237696">
              <w:rPr>
                <w:spacing w:val="-17"/>
                <w:lang w:val="sl-SI" w:eastAsia="en-GB"/>
              </w:rPr>
              <w:t xml:space="preserve"> </w:t>
            </w:r>
            <w:r w:rsidRPr="00237696">
              <w:rPr>
                <w:lang w:val="sl-SI" w:eastAsia="en-GB"/>
              </w:rPr>
              <w:t>za</w:t>
            </w:r>
            <w:r w:rsidRPr="00237696">
              <w:rPr>
                <w:spacing w:val="-18"/>
                <w:lang w:val="sl-SI" w:eastAsia="en-GB"/>
              </w:rPr>
              <w:t xml:space="preserve"> </w:t>
            </w:r>
            <w:r w:rsidRPr="00237696">
              <w:rPr>
                <w:lang w:val="sl-SI" w:eastAsia="en-GB"/>
              </w:rPr>
              <w:t>usposabljanje</w:t>
            </w:r>
            <w:r w:rsidRPr="00237696">
              <w:rPr>
                <w:spacing w:val="-18"/>
                <w:lang w:val="sl-SI" w:eastAsia="en-GB"/>
              </w:rPr>
              <w:t xml:space="preserve"> </w:t>
            </w:r>
            <w:r w:rsidRPr="00237696">
              <w:rPr>
                <w:lang w:val="sl-SI" w:eastAsia="en-GB"/>
              </w:rPr>
              <w:t>itd. ali</w:t>
            </w:r>
            <w:r w:rsidRPr="00237696">
              <w:rPr>
                <w:spacing w:val="-11"/>
                <w:lang w:val="sl-SI" w:eastAsia="en-GB"/>
              </w:rPr>
              <w:t xml:space="preserve"> </w:t>
            </w:r>
            <w:r w:rsidRPr="00237696">
              <w:rPr>
                <w:lang w:val="sl-SI" w:eastAsia="en-GB"/>
              </w:rPr>
              <w:t>izobraževalni</w:t>
            </w:r>
            <w:r w:rsidRPr="00237696">
              <w:rPr>
                <w:spacing w:val="-11"/>
                <w:lang w:val="sl-SI" w:eastAsia="en-GB"/>
              </w:rPr>
              <w:t xml:space="preserve"> </w:t>
            </w:r>
            <w:r w:rsidRPr="00237696">
              <w:rPr>
                <w:lang w:val="sl-SI" w:eastAsia="en-GB"/>
              </w:rPr>
              <w:t>obiski</w:t>
            </w:r>
            <w:r w:rsidRPr="00237696">
              <w:rPr>
                <w:spacing w:val="-10"/>
                <w:lang w:val="sl-SI" w:eastAsia="en-GB"/>
              </w:rPr>
              <w:t xml:space="preserve"> </w:t>
            </w:r>
            <w:r w:rsidRPr="00237696">
              <w:rPr>
                <w:lang w:val="sl-SI" w:eastAsia="en-GB"/>
              </w:rPr>
              <w:t>na</w:t>
            </w:r>
            <w:r w:rsidRPr="00237696">
              <w:rPr>
                <w:spacing w:val="-11"/>
                <w:lang w:val="sl-SI" w:eastAsia="en-GB"/>
              </w:rPr>
              <w:t xml:space="preserve"> </w:t>
            </w:r>
            <w:r w:rsidRPr="00237696">
              <w:rPr>
                <w:lang w:val="sl-SI" w:eastAsia="en-GB"/>
              </w:rPr>
              <w:t>delovnem</w:t>
            </w:r>
            <w:r w:rsidRPr="00237696">
              <w:rPr>
                <w:spacing w:val="-11"/>
                <w:lang w:val="sl-SI" w:eastAsia="en-GB"/>
              </w:rPr>
              <w:t xml:space="preserve"> </w:t>
            </w:r>
            <w:r w:rsidRPr="00237696">
              <w:rPr>
                <w:lang w:val="sl-SI" w:eastAsia="en-GB"/>
              </w:rPr>
              <w:t>mestu/obdobja</w:t>
            </w:r>
            <w:r w:rsidRPr="00237696">
              <w:rPr>
                <w:spacing w:val="-11"/>
                <w:lang w:val="sl-SI" w:eastAsia="en-GB"/>
              </w:rPr>
              <w:t xml:space="preserve"> </w:t>
            </w:r>
            <w:r w:rsidRPr="00237696">
              <w:rPr>
                <w:lang w:val="sl-SI" w:eastAsia="en-GB"/>
              </w:rPr>
              <w:t>opazovanja</w:t>
            </w:r>
            <w:r w:rsidRPr="00237696">
              <w:rPr>
                <w:spacing w:val="-10"/>
                <w:lang w:val="sl-SI" w:eastAsia="en-GB"/>
              </w:rPr>
              <w:t xml:space="preserve"> </w:t>
            </w:r>
            <w:r w:rsidRPr="00237696">
              <w:rPr>
                <w:lang w:val="sl-SI" w:eastAsia="en-GB"/>
              </w:rPr>
              <w:t>v</w:t>
            </w:r>
            <w:r w:rsidRPr="00237696">
              <w:rPr>
                <w:spacing w:val="-11"/>
                <w:lang w:val="sl-SI" w:eastAsia="en-GB"/>
              </w:rPr>
              <w:t xml:space="preserve"> </w:t>
            </w:r>
            <w:r w:rsidRPr="00237696">
              <w:rPr>
                <w:lang w:val="sl-SI" w:eastAsia="en-GB"/>
              </w:rPr>
              <w:t>tujini</w:t>
            </w:r>
            <w:r w:rsidRPr="00237696">
              <w:rPr>
                <w:spacing w:val="-11"/>
                <w:lang w:val="sl-SI" w:eastAsia="en-GB"/>
              </w:rPr>
              <w:t xml:space="preserve"> </w:t>
            </w:r>
            <w:r w:rsidRPr="00237696">
              <w:rPr>
                <w:lang w:val="sl-SI" w:eastAsia="en-GB"/>
              </w:rPr>
              <w:t>v</w:t>
            </w:r>
            <w:r w:rsidRPr="00237696">
              <w:rPr>
                <w:spacing w:val="-11"/>
                <w:lang w:val="sl-SI" w:eastAsia="en-GB"/>
              </w:rPr>
              <w:t xml:space="preserve"> </w:t>
            </w:r>
            <w:r w:rsidRPr="00237696">
              <w:rPr>
                <w:lang w:val="sl-SI" w:eastAsia="en-GB"/>
              </w:rPr>
              <w:t>organizaciji,</w:t>
            </w:r>
            <w:r w:rsidRPr="00237696">
              <w:rPr>
                <w:spacing w:val="-10"/>
                <w:lang w:val="sl-SI" w:eastAsia="en-GB"/>
              </w:rPr>
              <w:t xml:space="preserve"> </w:t>
            </w:r>
            <w:r w:rsidRPr="00237696">
              <w:rPr>
                <w:lang w:val="sl-SI" w:eastAsia="en-GB"/>
              </w:rPr>
              <w:t>ki</w:t>
            </w:r>
            <w:r w:rsidRPr="00237696">
              <w:rPr>
                <w:spacing w:val="-11"/>
                <w:lang w:val="sl-SI" w:eastAsia="en-GB"/>
              </w:rPr>
              <w:t xml:space="preserve"> </w:t>
            </w:r>
            <w:r w:rsidRPr="00237696">
              <w:rPr>
                <w:lang w:val="sl-SI" w:eastAsia="en-GB"/>
              </w:rPr>
              <w:t>je</w:t>
            </w:r>
            <w:r w:rsidRPr="00237696">
              <w:rPr>
                <w:spacing w:val="-11"/>
                <w:lang w:val="sl-SI" w:eastAsia="en-GB"/>
              </w:rPr>
              <w:t xml:space="preserve"> </w:t>
            </w:r>
            <w:r w:rsidRPr="00237696">
              <w:rPr>
                <w:lang w:val="sl-SI" w:eastAsia="en-GB"/>
              </w:rPr>
              <w:t xml:space="preserve">dejavna na področju mladine. </w:t>
            </w:r>
            <w:r w:rsidRPr="00237696">
              <w:rPr>
                <w:rFonts w:eastAsia="Calibri" w:cs="Calibri"/>
                <w:bdr w:val="nil"/>
                <w:shd w:val="clear" w:color="auto" w:fill="auto"/>
                <w:lang w:val="sl-SI"/>
              </w:rPr>
              <w:t>Vse te aktivnosti se lahko prilagajajo in povezujejo, da so prilagojene potrebam in želenemu cilju, kot ga definira sodelujoča organizacija, ko pripravlja projekt. Profesionalni razvoj sodelujočih mladinskih delavcev mora prispevati h krepitvi zmogljivosti za kakovostno mladinsko delo njihove organizacije in mora jasno pokazati vpliv na redno delo z mladimi, ki ga opravljajo sodelujoči mladinski delavci. Učni izidi, vključno z gradivi in inovativnimi načini in orodji, je treba nadalje razširjati na področju mladine, da se prispeva k povečevanju kakovosti mladinskega dela in/ali goji razvoj mladinske politike in sodelovanje</w:t>
            </w:r>
            <w:r w:rsidRPr="00553EB8">
              <w:rPr>
                <w:rFonts w:eastAsia="Calibri" w:cs="Calibri"/>
                <w:bdr w:val="nil"/>
                <w:shd w:val="clear" w:color="auto" w:fill="auto"/>
                <w:lang w:val="sl-SI"/>
              </w:rPr>
              <w:t>.</w:t>
            </w:r>
          </w:p>
        </w:tc>
      </w:tr>
    </w:tbl>
    <w:p w14:paraId="7D398D99" w14:textId="77777777" w:rsidR="00E03711" w:rsidRPr="001048FE" w:rsidRDefault="00E03711">
      <w:pPr>
        <w:widowControl/>
        <w:suppressAutoHyphens w:val="0"/>
        <w:autoSpaceDN/>
        <w:textAlignment w:val="auto"/>
        <w:rPr>
          <w:rFonts w:eastAsia="Times New Roman"/>
          <w:b/>
          <w:smallCaps/>
          <w:sz w:val="20"/>
          <w:szCs w:val="28"/>
          <w:lang w:val="sl-SI"/>
        </w:rPr>
      </w:pPr>
    </w:p>
    <w:p w14:paraId="7D398D9A" w14:textId="77777777" w:rsidR="00E03711" w:rsidRPr="001048FE" w:rsidRDefault="00E03711" w:rsidP="004F56A3">
      <w:pPr>
        <w:pStyle w:val="Guide-Heading6"/>
        <w:rPr>
          <w:lang w:val="sl-SI"/>
        </w:rPr>
      </w:pPr>
      <w:r w:rsidRPr="001048FE">
        <w:rPr>
          <w:lang w:val="sl-SI"/>
        </w:rPr>
        <w:t>Kakšna je vloga organizacij, ki sodelujejo v tem projektu?</w:t>
      </w:r>
    </w:p>
    <w:p w14:paraId="7D398D9B" w14:textId="77777777" w:rsidR="00E03711" w:rsidRPr="001048FE" w:rsidRDefault="00E03711" w:rsidP="004F56A3">
      <w:pPr>
        <w:pStyle w:val="GUIDE-NORMAL"/>
        <w:rPr>
          <w:lang w:val="sl-SI"/>
        </w:rPr>
      </w:pPr>
      <w:r w:rsidRPr="001048FE">
        <w:rPr>
          <w:lang w:val="sl-SI"/>
        </w:rPr>
        <w:t>Sodelujoče organizacije, ki so vključene v projekt mobilnosti, prevzamejo naslednje vloge in naloge:</w:t>
      </w:r>
    </w:p>
    <w:p w14:paraId="7D398D9C" w14:textId="77777777" w:rsidR="00E03711" w:rsidRPr="004E4C36" w:rsidRDefault="00E03711" w:rsidP="00860232">
      <w:pPr>
        <w:pStyle w:val="Guide-ListDash"/>
        <w:rPr>
          <w:lang w:val="sl-SI"/>
        </w:rPr>
      </w:pPr>
      <w:r w:rsidRPr="004E4C36">
        <w:rPr>
          <w:lang w:val="sl-SI"/>
        </w:rPr>
        <w:t>koordinator projekta mobilnosti mladih: prijavi celotni projekt v imenu vseh partnerskih organizacij;</w:t>
      </w:r>
    </w:p>
    <w:p w14:paraId="7D398D9D" w14:textId="77777777" w:rsidR="00E03711" w:rsidRPr="004E4C36" w:rsidRDefault="00E03711" w:rsidP="00860232">
      <w:pPr>
        <w:pStyle w:val="Guide-ListDash"/>
        <w:rPr>
          <w:lang w:val="sl-SI"/>
        </w:rPr>
      </w:pPr>
      <w:r w:rsidRPr="004E4C36">
        <w:rPr>
          <w:lang w:val="sl-SI"/>
        </w:rPr>
        <w:t>organizacija</w:t>
      </w:r>
      <w:r w:rsidRPr="004E4C36">
        <w:rPr>
          <w:spacing w:val="-5"/>
          <w:lang w:val="sl-SI"/>
        </w:rPr>
        <w:t xml:space="preserve"> </w:t>
      </w:r>
      <w:r w:rsidRPr="004E4C36">
        <w:rPr>
          <w:lang w:val="sl-SI"/>
        </w:rPr>
        <w:t>pošiljateljica:</w:t>
      </w:r>
      <w:r w:rsidRPr="004E4C36">
        <w:rPr>
          <w:spacing w:val="-6"/>
          <w:lang w:val="sl-SI"/>
        </w:rPr>
        <w:t xml:space="preserve"> </w:t>
      </w:r>
      <w:r w:rsidRPr="004E4C36">
        <w:rPr>
          <w:lang w:val="sl-SI"/>
        </w:rPr>
        <w:t>odgovorna</w:t>
      </w:r>
      <w:r w:rsidRPr="004E4C36">
        <w:rPr>
          <w:spacing w:val="-5"/>
          <w:lang w:val="sl-SI"/>
        </w:rPr>
        <w:t xml:space="preserve"> </w:t>
      </w:r>
      <w:r w:rsidRPr="004E4C36">
        <w:rPr>
          <w:lang w:val="sl-SI"/>
        </w:rPr>
        <w:t>je</w:t>
      </w:r>
      <w:r w:rsidRPr="004E4C36">
        <w:rPr>
          <w:spacing w:val="-6"/>
          <w:lang w:val="sl-SI"/>
        </w:rPr>
        <w:t xml:space="preserve"> </w:t>
      </w:r>
      <w:r w:rsidRPr="004E4C36">
        <w:rPr>
          <w:lang w:val="sl-SI"/>
        </w:rPr>
        <w:t>za</w:t>
      </w:r>
      <w:r w:rsidRPr="004E4C36">
        <w:rPr>
          <w:spacing w:val="-6"/>
          <w:lang w:val="sl-SI"/>
        </w:rPr>
        <w:t xml:space="preserve"> </w:t>
      </w:r>
      <w:r w:rsidRPr="004E4C36">
        <w:rPr>
          <w:lang w:val="sl-SI"/>
        </w:rPr>
        <w:t>pošiljanje</w:t>
      </w:r>
      <w:r w:rsidRPr="004E4C36">
        <w:rPr>
          <w:spacing w:val="-6"/>
          <w:lang w:val="sl-SI"/>
        </w:rPr>
        <w:t xml:space="preserve"> </w:t>
      </w:r>
      <w:r w:rsidRPr="004E4C36">
        <w:rPr>
          <w:lang w:val="sl-SI"/>
        </w:rPr>
        <w:t>mladih</w:t>
      </w:r>
      <w:r w:rsidRPr="004E4C36">
        <w:rPr>
          <w:spacing w:val="-6"/>
          <w:lang w:val="sl-SI"/>
        </w:rPr>
        <w:t xml:space="preserve"> </w:t>
      </w:r>
      <w:r w:rsidRPr="004E4C36">
        <w:rPr>
          <w:lang w:val="sl-SI"/>
        </w:rPr>
        <w:t>in</w:t>
      </w:r>
      <w:r w:rsidRPr="004E4C36">
        <w:rPr>
          <w:spacing w:val="-6"/>
          <w:lang w:val="sl-SI"/>
        </w:rPr>
        <w:t xml:space="preserve"> </w:t>
      </w:r>
      <w:r w:rsidRPr="004E4C36">
        <w:rPr>
          <w:lang w:val="sl-SI"/>
        </w:rPr>
        <w:t>mladinskih</w:t>
      </w:r>
      <w:r w:rsidRPr="004E4C36">
        <w:rPr>
          <w:spacing w:val="-6"/>
          <w:lang w:val="sl-SI"/>
        </w:rPr>
        <w:t xml:space="preserve"> </w:t>
      </w:r>
      <w:r w:rsidRPr="004E4C36">
        <w:rPr>
          <w:lang w:val="sl-SI"/>
        </w:rPr>
        <w:t>delavcev</w:t>
      </w:r>
      <w:r w:rsidRPr="004E4C36">
        <w:rPr>
          <w:spacing w:val="-6"/>
          <w:lang w:val="sl-SI"/>
        </w:rPr>
        <w:t xml:space="preserve"> </w:t>
      </w:r>
      <w:r w:rsidRPr="004E4C36">
        <w:rPr>
          <w:lang w:val="sl-SI"/>
        </w:rPr>
        <w:t>v</w:t>
      </w:r>
      <w:r w:rsidRPr="004E4C36">
        <w:rPr>
          <w:spacing w:val="-6"/>
          <w:lang w:val="sl-SI"/>
        </w:rPr>
        <w:t xml:space="preserve"> </w:t>
      </w:r>
      <w:r w:rsidRPr="004E4C36">
        <w:rPr>
          <w:lang w:val="sl-SI"/>
        </w:rPr>
        <w:t>tujino</w:t>
      </w:r>
      <w:r w:rsidRPr="004E4C36">
        <w:rPr>
          <w:spacing w:val="-6"/>
          <w:lang w:val="sl-SI"/>
        </w:rPr>
        <w:t xml:space="preserve"> </w:t>
      </w:r>
      <w:r w:rsidRPr="004E4C36">
        <w:rPr>
          <w:lang w:val="sl-SI"/>
        </w:rPr>
        <w:t>(to vključuje: organiziranje praktičnih ureditev; pripravo udeležencev pred odhodom; zagotavljanje podpore udeležencem v vseh fazah</w:t>
      </w:r>
      <w:r w:rsidRPr="004E4C36">
        <w:rPr>
          <w:spacing w:val="-27"/>
          <w:lang w:val="sl-SI"/>
        </w:rPr>
        <w:t xml:space="preserve"> </w:t>
      </w:r>
      <w:r w:rsidRPr="004E4C36">
        <w:rPr>
          <w:lang w:val="sl-SI"/>
        </w:rPr>
        <w:t>projekta);</w:t>
      </w:r>
    </w:p>
    <w:p w14:paraId="7D398D9E" w14:textId="77777777" w:rsidR="00E03711" w:rsidRPr="004E4C36" w:rsidRDefault="00E03711" w:rsidP="00860232">
      <w:pPr>
        <w:pStyle w:val="Guide-ListDash"/>
        <w:rPr>
          <w:lang w:val="sl-SI"/>
        </w:rPr>
      </w:pPr>
      <w:r w:rsidRPr="004E4C36">
        <w:rPr>
          <w:lang w:val="sl-SI"/>
        </w:rPr>
        <w:t>organizacija gostiteljica: odgovorna je za to, da gosti aktivnost, oblikuje program aktivnosti za udeležence v sodelovanju z udeleženci in partnerskimi organizacijami ter zagotavlja podporo udeležencem v vseh fazah projekta.</w:t>
      </w:r>
    </w:p>
    <w:p w14:paraId="7D398D9F" w14:textId="77777777" w:rsidR="00E03711" w:rsidRPr="001048FE" w:rsidRDefault="00E03711" w:rsidP="004F56A3">
      <w:pPr>
        <w:pStyle w:val="Guide-Heading6"/>
        <w:rPr>
          <w:lang w:val="sl-SI"/>
        </w:rPr>
      </w:pPr>
      <w:r w:rsidRPr="001048FE">
        <w:rPr>
          <w:lang w:val="sl-SI"/>
        </w:rPr>
        <w:t>Kakšna so merila za oceno tega projekta?</w:t>
      </w:r>
    </w:p>
    <w:p w14:paraId="7D398DA0" w14:textId="77777777" w:rsidR="00E03711" w:rsidRPr="001048FE" w:rsidRDefault="00E03711" w:rsidP="004F56A3">
      <w:pPr>
        <w:pStyle w:val="GUIDE-NORMAL"/>
        <w:rPr>
          <w:lang w:val="sl-SI"/>
        </w:rPr>
      </w:pPr>
      <w:r w:rsidRPr="001048FE">
        <w:rPr>
          <w:lang w:val="sl-SI"/>
        </w:rPr>
        <w:t>V nadaljevanju so navedena formalna merila, ki jih mora projekt mobilnosti izpolnjevati za upravičenost do nepovratnih sredstev Erasmus+:</w:t>
      </w:r>
    </w:p>
    <w:p w14:paraId="7D398DA1" w14:textId="77777777" w:rsidR="00E03711" w:rsidRPr="001048FE" w:rsidRDefault="00E03711" w:rsidP="004F56A3">
      <w:pPr>
        <w:pStyle w:val="Guide-Heading7"/>
        <w:rPr>
          <w:lang w:val="sl-SI"/>
        </w:rPr>
      </w:pPr>
      <w:r w:rsidRPr="001048FE">
        <w:rPr>
          <w:lang w:val="sl-SI"/>
        </w:rPr>
        <w:t>Splošna merila za upravičenost</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66"/>
        <w:gridCol w:w="7724"/>
      </w:tblGrid>
      <w:tr w:rsidR="00E03711" w:rsidRPr="008C6F8C" w14:paraId="7D398DA6" w14:textId="77777777" w:rsidTr="00EA7BBF">
        <w:trPr>
          <w:trHeight w:val="20"/>
        </w:trPr>
        <w:tc>
          <w:tcPr>
            <w:tcW w:w="843" w:type="pct"/>
            <w:tcBorders>
              <w:top w:val="single" w:sz="4" w:space="0" w:color="auto"/>
              <w:left w:val="single" w:sz="4" w:space="0" w:color="auto"/>
              <w:bottom w:val="dashed" w:sz="4" w:space="0" w:color="auto"/>
              <w:right w:val="dashed" w:sz="4" w:space="0" w:color="auto"/>
            </w:tcBorders>
            <w:shd w:val="clear" w:color="auto" w:fill="FFFFFF"/>
            <w:vAlign w:val="center"/>
          </w:tcPr>
          <w:p w14:paraId="7D398DA2" w14:textId="77777777" w:rsidR="00E03711" w:rsidRPr="00F769E0" w:rsidRDefault="00E03711" w:rsidP="00DD0E20">
            <w:pPr>
              <w:pStyle w:val="Guide-Table"/>
              <w:spacing w:before="60" w:after="60"/>
              <w:jc w:val="left"/>
              <w:rPr>
                <w:rFonts w:cs="Tahoma"/>
                <w:b/>
                <w:lang w:val="sl-SI" w:eastAsia="en-GB"/>
              </w:rPr>
            </w:pPr>
            <w:r w:rsidRPr="00F769E0">
              <w:rPr>
                <w:rFonts w:cs="Tahoma"/>
                <w:b/>
                <w:lang w:val="sl-SI" w:eastAsia="en-GB"/>
              </w:rPr>
              <w:t>Upravičene aktivnosti</w:t>
            </w:r>
          </w:p>
        </w:tc>
        <w:tc>
          <w:tcPr>
            <w:tcW w:w="4157" w:type="pct"/>
            <w:tcBorders>
              <w:top w:val="single" w:sz="4" w:space="0" w:color="auto"/>
              <w:left w:val="single" w:sz="8" w:space="0" w:color="000000"/>
              <w:bottom w:val="dashed" w:sz="4" w:space="0" w:color="auto"/>
              <w:right w:val="single" w:sz="4" w:space="0" w:color="auto"/>
            </w:tcBorders>
            <w:shd w:val="clear" w:color="auto" w:fill="FFFFFF"/>
            <w:vAlign w:val="center"/>
          </w:tcPr>
          <w:p w14:paraId="7D398DA3" w14:textId="77777777" w:rsidR="00E03711" w:rsidRPr="00F769E0" w:rsidRDefault="00E03711" w:rsidP="00DD0E20">
            <w:pPr>
              <w:pStyle w:val="GUIDE-NORMAL"/>
              <w:spacing w:before="60" w:after="60"/>
              <w:rPr>
                <w:rFonts w:cs="Tahoma"/>
                <w:lang w:val="sl-SI" w:eastAsia="en-GB"/>
              </w:rPr>
            </w:pPr>
            <w:r w:rsidRPr="00F769E0">
              <w:rPr>
                <w:rFonts w:cs="Tahoma"/>
                <w:lang w:val="sl-SI" w:eastAsia="en-GB"/>
              </w:rPr>
              <w:t>Projekt mobilnosti mladih mora zajemati eno ali več naslednjih aktivnosti:</w:t>
            </w:r>
          </w:p>
          <w:p w14:paraId="7D398DA4" w14:textId="77777777" w:rsidR="00E03711" w:rsidRPr="001048FE" w:rsidRDefault="00E03711" w:rsidP="00860232">
            <w:pPr>
              <w:pStyle w:val="Guide-ListDash"/>
            </w:pPr>
            <w:r w:rsidRPr="001048FE">
              <w:t>mladinske</w:t>
            </w:r>
            <w:r w:rsidRPr="001048FE">
              <w:rPr>
                <w:spacing w:val="-3"/>
              </w:rPr>
              <w:t xml:space="preserve"> </w:t>
            </w:r>
            <w:r w:rsidRPr="001048FE">
              <w:t>izmenjave;</w:t>
            </w:r>
          </w:p>
          <w:p w14:paraId="7D398DA5" w14:textId="77777777" w:rsidR="00E03711" w:rsidRPr="001048FE" w:rsidRDefault="00E03711" w:rsidP="00860232">
            <w:pPr>
              <w:pStyle w:val="Guide-ListDash"/>
            </w:pPr>
            <w:r w:rsidRPr="001048FE">
              <w:t>mobilnost mladinskih</w:t>
            </w:r>
            <w:r w:rsidRPr="001048FE">
              <w:rPr>
                <w:spacing w:val="-6"/>
              </w:rPr>
              <w:t xml:space="preserve"> </w:t>
            </w:r>
            <w:r w:rsidRPr="001048FE">
              <w:t>delavcev.</w:t>
            </w:r>
          </w:p>
        </w:tc>
      </w:tr>
      <w:tr w:rsidR="00E03711" w:rsidRPr="00A6094F" w14:paraId="7D398DB4" w14:textId="77777777" w:rsidTr="00EA7BBF">
        <w:trPr>
          <w:trHeight w:val="20"/>
        </w:trPr>
        <w:tc>
          <w:tcPr>
            <w:tcW w:w="843" w:type="pct"/>
            <w:tcBorders>
              <w:top w:val="dashed" w:sz="4" w:space="0" w:color="auto"/>
              <w:left w:val="single" w:sz="4" w:space="0" w:color="auto"/>
              <w:bottom w:val="dashed" w:sz="4" w:space="0" w:color="auto"/>
              <w:right w:val="dashed" w:sz="4" w:space="0" w:color="auto"/>
            </w:tcBorders>
            <w:shd w:val="clear" w:color="auto" w:fill="FFFFFF"/>
            <w:vAlign w:val="center"/>
          </w:tcPr>
          <w:p w14:paraId="7D398DA7" w14:textId="77777777" w:rsidR="00E03711" w:rsidRPr="00F769E0" w:rsidRDefault="00E03711" w:rsidP="00DD0E20">
            <w:pPr>
              <w:pStyle w:val="Guide-Table"/>
              <w:spacing w:before="60" w:after="60"/>
              <w:jc w:val="left"/>
              <w:rPr>
                <w:rFonts w:cs="Tahoma"/>
                <w:b/>
                <w:lang w:val="sl-SI" w:eastAsia="en-GB"/>
              </w:rPr>
            </w:pPr>
            <w:r w:rsidRPr="00F769E0">
              <w:rPr>
                <w:rFonts w:cs="Tahoma"/>
                <w:b/>
                <w:lang w:val="sl-SI" w:eastAsia="en-GB"/>
              </w:rPr>
              <w:t>Upravičene sodelujoče organizacije</w:t>
            </w:r>
          </w:p>
        </w:tc>
        <w:tc>
          <w:tcPr>
            <w:tcW w:w="4157" w:type="pct"/>
            <w:tcBorders>
              <w:top w:val="dashed" w:sz="4" w:space="0" w:color="auto"/>
              <w:left w:val="single" w:sz="8" w:space="0" w:color="000000"/>
              <w:bottom w:val="dashed" w:sz="4" w:space="0" w:color="auto"/>
              <w:right w:val="single" w:sz="4" w:space="0" w:color="auto"/>
            </w:tcBorders>
            <w:shd w:val="clear" w:color="auto" w:fill="FFFFFF"/>
            <w:vAlign w:val="center"/>
          </w:tcPr>
          <w:p w14:paraId="7D398DA8" w14:textId="77777777" w:rsidR="00E03711" w:rsidRPr="00F769E0" w:rsidRDefault="00E03711" w:rsidP="00DD0E20">
            <w:pPr>
              <w:pStyle w:val="GUIDE-NORMAL"/>
              <w:spacing w:before="60" w:after="60"/>
              <w:rPr>
                <w:rFonts w:cs="Tahoma"/>
                <w:lang w:val="sl-SI" w:eastAsia="en-GB"/>
              </w:rPr>
            </w:pPr>
            <w:r w:rsidRPr="00F769E0">
              <w:rPr>
                <w:rFonts w:cs="Tahoma"/>
                <w:lang w:val="sl-SI" w:eastAsia="en-GB"/>
              </w:rPr>
              <w:t>Sodelujoča organizacija je lahko:</w:t>
            </w:r>
          </w:p>
          <w:p w14:paraId="7D398DA9" w14:textId="77777777" w:rsidR="00E03711" w:rsidRPr="004E4C36" w:rsidRDefault="00E03711" w:rsidP="00860232">
            <w:pPr>
              <w:pStyle w:val="Guide-ListDash"/>
              <w:rPr>
                <w:lang w:val="es-ES"/>
              </w:rPr>
            </w:pPr>
            <w:r w:rsidRPr="004E4C36">
              <w:rPr>
                <w:lang w:val="es-ES"/>
              </w:rPr>
              <w:t>neprofitna organizacija, združenje, nevladna</w:t>
            </w:r>
            <w:r w:rsidRPr="004E4C36">
              <w:rPr>
                <w:spacing w:val="-13"/>
                <w:lang w:val="es-ES"/>
              </w:rPr>
              <w:t xml:space="preserve"> </w:t>
            </w:r>
            <w:r w:rsidRPr="004E4C36">
              <w:rPr>
                <w:lang w:val="es-ES"/>
              </w:rPr>
              <w:t>organizacija;</w:t>
            </w:r>
          </w:p>
          <w:p w14:paraId="7D398DAA" w14:textId="77777777" w:rsidR="00E03711" w:rsidRPr="001048FE" w:rsidRDefault="00E03711" w:rsidP="00860232">
            <w:pPr>
              <w:pStyle w:val="Guide-ListDash"/>
            </w:pPr>
            <w:r w:rsidRPr="001048FE">
              <w:t>evropska mladinska nevladna</w:t>
            </w:r>
            <w:r w:rsidRPr="001048FE">
              <w:rPr>
                <w:spacing w:val="-11"/>
              </w:rPr>
              <w:t xml:space="preserve"> </w:t>
            </w:r>
            <w:r w:rsidRPr="001048FE">
              <w:t>organizacija;</w:t>
            </w:r>
          </w:p>
          <w:p w14:paraId="7D398DAB" w14:textId="77777777" w:rsidR="00E03711" w:rsidRPr="001048FE" w:rsidRDefault="00E03711" w:rsidP="00860232">
            <w:pPr>
              <w:pStyle w:val="Guide-ListDash"/>
            </w:pPr>
            <w:r w:rsidRPr="001048FE">
              <w:t>socialno</w:t>
            </w:r>
            <w:r w:rsidRPr="001048FE">
              <w:rPr>
                <w:spacing w:val="-3"/>
              </w:rPr>
              <w:t xml:space="preserve"> </w:t>
            </w:r>
            <w:r w:rsidRPr="001048FE">
              <w:t>podjetje;</w:t>
            </w:r>
          </w:p>
          <w:p w14:paraId="7D398DAC" w14:textId="77777777" w:rsidR="00E03711" w:rsidRPr="00C1426B" w:rsidRDefault="00E03711" w:rsidP="00860232">
            <w:pPr>
              <w:pStyle w:val="Guide-ListDash"/>
              <w:rPr>
                <w:lang w:val="nl-NL"/>
              </w:rPr>
            </w:pPr>
            <w:r w:rsidRPr="00C1426B">
              <w:rPr>
                <w:lang w:val="nl-NL"/>
              </w:rPr>
              <w:t>javni organ na lokalni</w:t>
            </w:r>
            <w:r w:rsidRPr="00C1426B">
              <w:rPr>
                <w:spacing w:val="-7"/>
                <w:lang w:val="nl-NL"/>
              </w:rPr>
              <w:t xml:space="preserve"> </w:t>
            </w:r>
            <w:r w:rsidRPr="00C1426B">
              <w:rPr>
                <w:lang w:val="nl-NL"/>
              </w:rPr>
              <w:t>ravni;</w:t>
            </w:r>
          </w:p>
          <w:p w14:paraId="7D398DAD" w14:textId="77777777" w:rsidR="00E03711" w:rsidRPr="00C1426B" w:rsidRDefault="00E03711" w:rsidP="00860232">
            <w:pPr>
              <w:pStyle w:val="Guide-ListDash"/>
              <w:rPr>
                <w:lang w:val="nl-NL" w:eastAsia="en-GB"/>
              </w:rPr>
            </w:pPr>
            <w:r w:rsidRPr="00C1426B">
              <w:rPr>
                <w:lang w:val="nl-NL" w:eastAsia="en-GB"/>
              </w:rPr>
              <w:t>skupina</w:t>
            </w:r>
            <w:r w:rsidRPr="00C1426B">
              <w:rPr>
                <w:spacing w:val="-14"/>
                <w:lang w:val="nl-NL" w:eastAsia="en-GB"/>
              </w:rPr>
              <w:t xml:space="preserve"> </w:t>
            </w:r>
            <w:r w:rsidRPr="00C1426B">
              <w:rPr>
                <w:lang w:val="nl-NL" w:eastAsia="en-GB"/>
              </w:rPr>
              <w:t>mladih,</w:t>
            </w:r>
            <w:r w:rsidRPr="00C1426B">
              <w:rPr>
                <w:spacing w:val="-14"/>
                <w:lang w:val="nl-NL" w:eastAsia="en-GB"/>
              </w:rPr>
              <w:t xml:space="preserve"> </w:t>
            </w:r>
            <w:r w:rsidRPr="00C1426B">
              <w:rPr>
                <w:lang w:val="nl-NL" w:eastAsia="en-GB"/>
              </w:rPr>
              <w:t>ki</w:t>
            </w:r>
            <w:r w:rsidRPr="00C1426B">
              <w:rPr>
                <w:spacing w:val="-14"/>
                <w:lang w:val="nl-NL" w:eastAsia="en-GB"/>
              </w:rPr>
              <w:t xml:space="preserve"> </w:t>
            </w:r>
            <w:r w:rsidRPr="00C1426B">
              <w:rPr>
                <w:lang w:val="nl-NL" w:eastAsia="en-GB"/>
              </w:rPr>
              <w:t>je</w:t>
            </w:r>
            <w:r w:rsidRPr="00C1426B">
              <w:rPr>
                <w:spacing w:val="-14"/>
                <w:lang w:val="nl-NL" w:eastAsia="en-GB"/>
              </w:rPr>
              <w:t xml:space="preserve"> </w:t>
            </w:r>
            <w:r w:rsidRPr="00C1426B">
              <w:rPr>
                <w:lang w:val="nl-NL" w:eastAsia="en-GB"/>
              </w:rPr>
              <w:t>dejavna</w:t>
            </w:r>
            <w:r w:rsidRPr="00C1426B">
              <w:rPr>
                <w:spacing w:val="-14"/>
                <w:lang w:val="nl-NL" w:eastAsia="en-GB"/>
              </w:rPr>
              <w:t xml:space="preserve"> </w:t>
            </w:r>
            <w:r w:rsidRPr="00C1426B">
              <w:rPr>
                <w:lang w:val="nl-NL" w:eastAsia="en-GB"/>
              </w:rPr>
              <w:t>na</w:t>
            </w:r>
            <w:r w:rsidRPr="00C1426B">
              <w:rPr>
                <w:spacing w:val="-14"/>
                <w:lang w:val="nl-NL" w:eastAsia="en-GB"/>
              </w:rPr>
              <w:t xml:space="preserve"> </w:t>
            </w:r>
            <w:r w:rsidRPr="00C1426B">
              <w:rPr>
                <w:lang w:val="nl-NL" w:eastAsia="en-GB"/>
              </w:rPr>
              <w:t>področju</w:t>
            </w:r>
            <w:r w:rsidRPr="00C1426B">
              <w:rPr>
                <w:spacing w:val="-14"/>
                <w:lang w:val="nl-NL" w:eastAsia="en-GB"/>
              </w:rPr>
              <w:t xml:space="preserve"> </w:t>
            </w:r>
            <w:r w:rsidRPr="00C1426B">
              <w:rPr>
                <w:lang w:val="nl-NL" w:eastAsia="en-GB"/>
              </w:rPr>
              <w:t>mladinskega</w:t>
            </w:r>
            <w:r w:rsidRPr="00C1426B">
              <w:rPr>
                <w:spacing w:val="-14"/>
                <w:lang w:val="nl-NL" w:eastAsia="en-GB"/>
              </w:rPr>
              <w:t xml:space="preserve"> </w:t>
            </w:r>
            <w:r w:rsidRPr="00C1426B">
              <w:rPr>
                <w:lang w:val="nl-NL" w:eastAsia="en-GB"/>
              </w:rPr>
              <w:t>dela,</w:t>
            </w:r>
            <w:r w:rsidRPr="00C1426B">
              <w:rPr>
                <w:spacing w:val="-14"/>
                <w:lang w:val="nl-NL" w:eastAsia="en-GB"/>
              </w:rPr>
              <w:t xml:space="preserve"> </w:t>
            </w:r>
            <w:r w:rsidRPr="00C1426B">
              <w:rPr>
                <w:lang w:val="nl-NL" w:eastAsia="en-GB"/>
              </w:rPr>
              <w:t>vendar</w:t>
            </w:r>
            <w:r w:rsidRPr="00C1426B">
              <w:rPr>
                <w:spacing w:val="-14"/>
                <w:lang w:val="nl-NL" w:eastAsia="en-GB"/>
              </w:rPr>
              <w:t xml:space="preserve"> </w:t>
            </w:r>
            <w:r w:rsidRPr="00C1426B">
              <w:rPr>
                <w:lang w:val="nl-NL" w:eastAsia="en-GB"/>
              </w:rPr>
              <w:t xml:space="preserve">ne nujno v okviru mladinske organizacije (tj. neformalna skupina mladih); </w:t>
            </w:r>
          </w:p>
          <w:p w14:paraId="7D398DAE" w14:textId="77777777" w:rsidR="00E03711" w:rsidRPr="00F769E0" w:rsidRDefault="00E03711" w:rsidP="00DD0E20">
            <w:pPr>
              <w:pStyle w:val="GUIDE-NORMAL"/>
              <w:spacing w:before="60" w:after="60"/>
              <w:rPr>
                <w:rFonts w:cs="Tahoma"/>
                <w:lang w:val="sl-SI" w:eastAsia="en-GB"/>
              </w:rPr>
            </w:pPr>
            <w:r w:rsidRPr="00F769E0">
              <w:rPr>
                <w:rFonts w:cs="Tahoma"/>
                <w:lang w:val="sl-SI" w:eastAsia="en-GB"/>
              </w:rPr>
              <w:t>pa</w:t>
            </w:r>
            <w:r w:rsidRPr="00F769E0">
              <w:rPr>
                <w:rFonts w:cs="Tahoma"/>
                <w:spacing w:val="-2"/>
                <w:lang w:val="sl-SI" w:eastAsia="en-GB"/>
              </w:rPr>
              <w:t xml:space="preserve"> </w:t>
            </w:r>
            <w:r w:rsidRPr="00F769E0">
              <w:rPr>
                <w:rFonts w:cs="Tahoma"/>
                <w:lang w:val="sl-SI" w:eastAsia="en-GB"/>
              </w:rPr>
              <w:t>tudi:</w:t>
            </w:r>
          </w:p>
          <w:p w14:paraId="7D398DAF" w14:textId="77777777" w:rsidR="00E03711" w:rsidRPr="004E4C36" w:rsidRDefault="00E03711" w:rsidP="00860232">
            <w:pPr>
              <w:pStyle w:val="Guide-ListDash"/>
              <w:rPr>
                <w:lang w:val="pt-PT"/>
              </w:rPr>
            </w:pPr>
            <w:r w:rsidRPr="004E4C36">
              <w:rPr>
                <w:lang w:val="pt-PT"/>
              </w:rPr>
              <w:t>javni organ na regionalni ali nacionalni ravni</w:t>
            </w:r>
            <w:r w:rsidRPr="001048FE">
              <w:rPr>
                <w:rStyle w:val="FootnoteReference"/>
                <w:lang w:val="sl-SI"/>
              </w:rPr>
              <w:footnoteReference w:id="52"/>
            </w:r>
            <w:r w:rsidRPr="004E4C36">
              <w:rPr>
                <w:lang w:val="pt-PT"/>
              </w:rPr>
              <w:t>;</w:t>
            </w:r>
          </w:p>
          <w:p w14:paraId="7D398DB0" w14:textId="77777777" w:rsidR="00E03711" w:rsidRPr="001048FE" w:rsidRDefault="00E03711" w:rsidP="00860232">
            <w:pPr>
              <w:pStyle w:val="Guide-ListDash"/>
            </w:pPr>
            <w:r w:rsidRPr="001048FE">
              <w:t>združenje regij;</w:t>
            </w:r>
          </w:p>
          <w:p w14:paraId="7D398DB1" w14:textId="77777777" w:rsidR="00E03711" w:rsidRPr="00C60205" w:rsidRDefault="00E03711" w:rsidP="00860232">
            <w:pPr>
              <w:pStyle w:val="Guide-ListDash"/>
              <w:rPr>
                <w:lang w:val="it-IT"/>
              </w:rPr>
            </w:pPr>
            <w:r w:rsidRPr="00C60205">
              <w:rPr>
                <w:lang w:val="it-IT"/>
              </w:rPr>
              <w:t>evropsko združenje za teritorialno sodelovanje;</w:t>
            </w:r>
          </w:p>
          <w:p w14:paraId="7D398DB2" w14:textId="77777777" w:rsidR="00E03711" w:rsidRPr="00C60205" w:rsidRDefault="00E03711" w:rsidP="00860232">
            <w:pPr>
              <w:pStyle w:val="Guide-ListDash"/>
              <w:rPr>
                <w:lang w:val="it-IT"/>
              </w:rPr>
            </w:pPr>
            <w:r w:rsidRPr="00C60205">
              <w:rPr>
                <w:lang w:val="it-IT"/>
              </w:rPr>
              <w:t>profitna organizacija, ki je dejavna na področju družbene odgovornosti gospodarskih družb;</w:t>
            </w:r>
          </w:p>
          <w:p w14:paraId="7D398DB3" w14:textId="77777777" w:rsidR="00E03711" w:rsidRPr="00FC4A70" w:rsidRDefault="00E03711" w:rsidP="00FC4A70">
            <w:pPr>
              <w:pStyle w:val="Guide-NormalBulletpoints"/>
              <w:rPr>
                <w:lang w:val="sl-SI"/>
              </w:rPr>
            </w:pPr>
            <w:r w:rsidRPr="00FC4A70">
              <w:rPr>
                <w:lang w:val="sl-SI"/>
              </w:rPr>
              <w:t>s sedežem v državi Programa ali sosedski partnerski državi EU (regije od 1 do 4; glej poglavje „Upravičene države“ v delu A tega vodnika).</w:t>
            </w:r>
          </w:p>
        </w:tc>
      </w:tr>
      <w:tr w:rsidR="00E03711" w:rsidRPr="00A6094F" w14:paraId="7D398DBC" w14:textId="77777777" w:rsidTr="00EA7BBF">
        <w:trPr>
          <w:trHeight w:val="20"/>
        </w:trPr>
        <w:tc>
          <w:tcPr>
            <w:tcW w:w="843" w:type="pct"/>
            <w:tcBorders>
              <w:top w:val="dashed" w:sz="4" w:space="0" w:color="auto"/>
              <w:left w:val="single" w:sz="4" w:space="0" w:color="auto"/>
              <w:bottom w:val="dashed" w:sz="4" w:space="0" w:color="auto"/>
              <w:right w:val="dashed" w:sz="4" w:space="0" w:color="auto"/>
            </w:tcBorders>
            <w:shd w:val="clear" w:color="auto" w:fill="FFFFFF"/>
            <w:vAlign w:val="center"/>
          </w:tcPr>
          <w:p w14:paraId="7D398DB5" w14:textId="77777777" w:rsidR="00E03711" w:rsidRPr="00F769E0" w:rsidRDefault="00E03711" w:rsidP="00DD0E20">
            <w:pPr>
              <w:pStyle w:val="Guide-Table"/>
              <w:spacing w:before="60" w:after="60"/>
              <w:jc w:val="left"/>
              <w:rPr>
                <w:rFonts w:cs="Tahoma"/>
                <w:b/>
                <w:lang w:val="sl-SI" w:eastAsia="en-GB"/>
              </w:rPr>
            </w:pPr>
            <w:r w:rsidRPr="00F769E0">
              <w:rPr>
                <w:rFonts w:cs="Tahoma"/>
                <w:b/>
                <w:lang w:val="sl-SI" w:eastAsia="en-GB"/>
              </w:rPr>
              <w:t>Kdo se lahko prijavi?</w:t>
            </w:r>
          </w:p>
        </w:tc>
        <w:tc>
          <w:tcPr>
            <w:tcW w:w="4157" w:type="pct"/>
            <w:tcBorders>
              <w:top w:val="dashed" w:sz="4" w:space="0" w:color="auto"/>
              <w:left w:val="single" w:sz="8" w:space="0" w:color="000000"/>
              <w:bottom w:val="dashed" w:sz="4" w:space="0" w:color="auto"/>
              <w:right w:val="single" w:sz="4" w:space="0" w:color="auto"/>
            </w:tcBorders>
            <w:shd w:val="clear" w:color="auto" w:fill="FFFFFF"/>
            <w:vAlign w:val="center"/>
          </w:tcPr>
          <w:p w14:paraId="7D398DB6" w14:textId="77777777" w:rsidR="00E03711" w:rsidRPr="00F769E0" w:rsidRDefault="00E03711" w:rsidP="00DD0E20">
            <w:pPr>
              <w:pStyle w:val="GUIDE-NORMAL"/>
              <w:spacing w:before="60" w:after="60"/>
              <w:rPr>
                <w:rFonts w:cs="Tahoma"/>
                <w:lang w:val="sl-SI" w:eastAsia="en-GB"/>
              </w:rPr>
            </w:pPr>
            <w:r w:rsidRPr="00F769E0">
              <w:rPr>
                <w:rFonts w:cs="Tahoma"/>
                <w:lang w:val="sl-SI" w:eastAsia="en-GB"/>
              </w:rPr>
              <w:t>Prijavitelj je lahko katera koli sodelujoča organizacija ali skupina</w:t>
            </w:r>
            <w:hyperlink r:id="rId77">
              <w:r w:rsidRPr="00F769E0">
                <w:rPr>
                  <w:rStyle w:val="FootnoteReference"/>
                  <w:rFonts w:cs="Tahoma"/>
                  <w:lang w:val="sl-SI" w:eastAsia="en-GB"/>
                </w:rPr>
                <w:footnoteReference w:id="53"/>
              </w:r>
              <w:r w:rsidRPr="00F769E0">
                <w:rPr>
                  <w:rFonts w:cs="Tahoma"/>
                  <w:lang w:val="sl-SI" w:eastAsia="en-GB"/>
                </w:rPr>
                <w:t xml:space="preserve"> </w:t>
              </w:r>
            </w:hyperlink>
            <w:r w:rsidRPr="00F769E0">
              <w:rPr>
                <w:rFonts w:cs="Tahoma"/>
                <w:lang w:val="sl-SI" w:eastAsia="en-GB"/>
              </w:rPr>
              <w:t>s sedežem v državi Programa. Ta organizacija se prijavi v imenu vseh sodelujočih organizacij, ki so vključene v projekt.</w:t>
            </w:r>
          </w:p>
          <w:p w14:paraId="7D398DB7" w14:textId="77777777" w:rsidR="00E03711" w:rsidRPr="00F769E0" w:rsidRDefault="00E03711" w:rsidP="00DD0E20">
            <w:pPr>
              <w:pStyle w:val="GUIDE-NORMAL"/>
              <w:spacing w:before="60" w:after="60"/>
              <w:rPr>
                <w:rFonts w:cs="Tahoma"/>
                <w:lang w:val="sl-SI" w:eastAsia="en-GB"/>
              </w:rPr>
            </w:pPr>
            <w:r w:rsidRPr="00F769E0">
              <w:rPr>
                <w:rFonts w:cs="Tahoma"/>
                <w:lang w:val="sl-SI" w:eastAsia="en-GB"/>
              </w:rPr>
              <w:t>Projektu mobilnosti mladih se sredstva dodelijo na poseben način (glej poglavje „Pravila za dodelitev sredstev“), če je prijavitelj:</w:t>
            </w:r>
          </w:p>
          <w:p w14:paraId="7D398DB8" w14:textId="77777777" w:rsidR="00E03711" w:rsidRPr="004E4C36" w:rsidRDefault="00E03711" w:rsidP="00860232">
            <w:pPr>
              <w:pStyle w:val="Guide-ListDash"/>
              <w:rPr>
                <w:lang w:val="pt-PT"/>
              </w:rPr>
            </w:pPr>
            <w:r w:rsidRPr="004E4C36">
              <w:rPr>
                <w:lang w:val="pt-PT"/>
              </w:rPr>
              <w:t>javni organ na regionalni ali nacionalni ravni</w:t>
            </w:r>
            <w:r w:rsidRPr="001048FE">
              <w:rPr>
                <w:rStyle w:val="FootnoteReference"/>
                <w:lang w:val="sl-SI"/>
              </w:rPr>
              <w:footnoteReference w:id="54"/>
            </w:r>
            <w:r w:rsidRPr="004E4C36">
              <w:rPr>
                <w:lang w:val="pt-PT"/>
              </w:rPr>
              <w:t>;</w:t>
            </w:r>
          </w:p>
          <w:p w14:paraId="7D398DB9" w14:textId="77777777" w:rsidR="00E03711" w:rsidRPr="001048FE" w:rsidRDefault="00E03711" w:rsidP="00860232">
            <w:pPr>
              <w:pStyle w:val="Guide-ListDash"/>
            </w:pPr>
            <w:r w:rsidRPr="001048FE">
              <w:t>združenje regij;</w:t>
            </w:r>
          </w:p>
          <w:p w14:paraId="7D398DBA" w14:textId="77777777" w:rsidR="00E03711" w:rsidRPr="00C60205" w:rsidRDefault="00E03711" w:rsidP="00860232">
            <w:pPr>
              <w:pStyle w:val="Guide-ListDash"/>
              <w:rPr>
                <w:lang w:val="it-IT"/>
              </w:rPr>
            </w:pPr>
            <w:r w:rsidRPr="00C60205">
              <w:rPr>
                <w:lang w:val="it-IT"/>
              </w:rPr>
              <w:t>evropsko združenje za teritorialno sodelovanje;</w:t>
            </w:r>
          </w:p>
          <w:p w14:paraId="7D398DBB" w14:textId="77777777" w:rsidR="00E03711" w:rsidRPr="00C60205" w:rsidRDefault="00E03711" w:rsidP="00860232">
            <w:pPr>
              <w:pStyle w:val="Guide-ListDash"/>
              <w:rPr>
                <w:lang w:val="it-IT"/>
              </w:rPr>
            </w:pPr>
            <w:r w:rsidRPr="00C60205">
              <w:rPr>
                <w:lang w:val="it-IT"/>
              </w:rPr>
              <w:t>profitna organizacija, ki je dejavna na področju družbene odgovornosti gospodarskih družb.</w:t>
            </w:r>
          </w:p>
        </w:tc>
      </w:tr>
      <w:tr w:rsidR="00E03711" w:rsidRPr="00A6094F" w14:paraId="7D398DC1" w14:textId="77777777" w:rsidTr="00EA7BBF">
        <w:trPr>
          <w:trHeight w:val="20"/>
        </w:trPr>
        <w:tc>
          <w:tcPr>
            <w:tcW w:w="843" w:type="pct"/>
            <w:tcBorders>
              <w:top w:val="dashed" w:sz="4" w:space="0" w:color="auto"/>
              <w:left w:val="single" w:sz="4" w:space="0" w:color="auto"/>
              <w:bottom w:val="dashed" w:sz="4" w:space="0" w:color="auto"/>
              <w:right w:val="dashed" w:sz="4" w:space="0" w:color="auto"/>
            </w:tcBorders>
            <w:shd w:val="clear" w:color="auto" w:fill="FFFFFF"/>
            <w:vAlign w:val="center"/>
          </w:tcPr>
          <w:p w14:paraId="7D398DBD" w14:textId="77777777" w:rsidR="00E03711" w:rsidRPr="00F769E0" w:rsidRDefault="00E03711" w:rsidP="00DD0E20">
            <w:pPr>
              <w:pStyle w:val="GUIDE-NORMAL"/>
              <w:spacing w:before="60" w:after="60"/>
              <w:jc w:val="left"/>
              <w:rPr>
                <w:rFonts w:cs="Tahoma"/>
                <w:b/>
                <w:lang w:val="sl-SI" w:eastAsia="en-GB"/>
              </w:rPr>
            </w:pPr>
            <w:r w:rsidRPr="00F769E0">
              <w:rPr>
                <w:rFonts w:cs="Tahoma"/>
                <w:b/>
                <w:lang w:val="sl-SI" w:eastAsia="en-GB"/>
              </w:rPr>
              <w:t>Število in profil sodelujočih organizacij</w:t>
            </w:r>
          </w:p>
        </w:tc>
        <w:tc>
          <w:tcPr>
            <w:tcW w:w="4157" w:type="pct"/>
            <w:tcBorders>
              <w:top w:val="dashed" w:sz="4" w:space="0" w:color="auto"/>
              <w:left w:val="single" w:sz="8" w:space="0" w:color="000000"/>
              <w:bottom w:val="dashed" w:sz="4" w:space="0" w:color="auto"/>
              <w:right w:val="single" w:sz="4" w:space="0" w:color="auto"/>
            </w:tcBorders>
            <w:shd w:val="clear" w:color="auto" w:fill="FFFFFF"/>
            <w:vAlign w:val="center"/>
          </w:tcPr>
          <w:p w14:paraId="7D398DBE" w14:textId="77777777" w:rsidR="00E03711" w:rsidRPr="00F769E0" w:rsidRDefault="00E03711" w:rsidP="00DD0E20">
            <w:pPr>
              <w:pStyle w:val="GUIDE-NORMAL"/>
              <w:spacing w:before="60" w:after="60"/>
              <w:rPr>
                <w:rFonts w:cs="Tahoma"/>
                <w:lang w:val="sl-SI" w:eastAsia="en-GB"/>
              </w:rPr>
            </w:pPr>
            <w:r w:rsidRPr="00F769E0">
              <w:rPr>
                <w:rFonts w:cs="Tahoma"/>
                <w:lang w:val="sl-SI" w:eastAsia="en-GB"/>
              </w:rPr>
              <w:t>Aktivnost mobilnosti je mednarodna in v njej sodelujeta vsaj dve sodelujoči organizaciji (pošiljateljica in gostiteljica) iz različnih držav. Če je v projektu mobilnosti mladih predvidena samo ena aktivnost, mora koordinator delovati tudi kot organizacija pošiljateljica ali organizacija gostiteljica. Če je v projektu mobilnosti mladih predvidena več kot ena aktivnost, koordinator projekta lahko – vendar ne nujno – deluje kot organizacija pošiljateljica ali organizacija gostiteljica. Koordinator nikakor ne sme biti organizacija iz sosedske partnerske države EU.</w:t>
            </w:r>
          </w:p>
          <w:p w14:paraId="7D398DBF" w14:textId="77777777" w:rsidR="00E03711" w:rsidRPr="00F769E0" w:rsidRDefault="00E03711" w:rsidP="00DD0E20">
            <w:pPr>
              <w:pStyle w:val="GUIDE-NORMAL"/>
              <w:spacing w:before="60" w:after="60"/>
              <w:rPr>
                <w:rFonts w:cs="Tahoma"/>
                <w:lang w:val="sl-SI" w:eastAsia="en-GB"/>
              </w:rPr>
            </w:pPr>
            <w:r w:rsidRPr="00F769E0">
              <w:rPr>
                <w:rFonts w:cs="Tahoma"/>
                <w:b/>
                <w:lang w:val="sl-SI" w:eastAsia="en-GB"/>
              </w:rPr>
              <w:t>Aktivnosti v državah Programa:</w:t>
            </w:r>
            <w:r w:rsidRPr="00F769E0">
              <w:rPr>
                <w:rFonts w:cs="Tahoma"/>
                <w:lang w:val="sl-SI" w:eastAsia="en-GB"/>
              </w:rPr>
              <w:t xml:space="preserve"> vse sodelujoče organizacije morajo imeti sedež v državi Programa.</w:t>
            </w:r>
          </w:p>
          <w:p w14:paraId="7D398DC0" w14:textId="77777777" w:rsidR="00E03711" w:rsidRPr="00F769E0" w:rsidRDefault="00E03711" w:rsidP="00DD0E20">
            <w:pPr>
              <w:pStyle w:val="GUIDE-NORMAL"/>
              <w:spacing w:before="60" w:after="60"/>
              <w:rPr>
                <w:rFonts w:cs="Tahoma"/>
                <w:lang w:val="sl-SI" w:eastAsia="en-GB"/>
              </w:rPr>
            </w:pPr>
            <w:r w:rsidRPr="00F769E0">
              <w:rPr>
                <w:rFonts w:cs="Tahoma"/>
                <w:b/>
                <w:lang w:val="sl-SI" w:eastAsia="en-GB"/>
              </w:rPr>
              <w:t xml:space="preserve">Aktivnosti s sosedskimi partnerskimi državami EU: </w:t>
            </w:r>
            <w:r w:rsidRPr="00F769E0">
              <w:rPr>
                <w:rFonts w:cs="Tahoma"/>
                <w:lang w:val="sl-SI" w:eastAsia="en-GB"/>
              </w:rPr>
              <w:t>aktivnost morata izvajati vsaj ena sodelujoča organizacija iz države Programa in ena sodelujoča organizacija iz sosedske partnerske države EU.</w:t>
            </w:r>
          </w:p>
        </w:tc>
      </w:tr>
      <w:tr w:rsidR="00E03711" w:rsidRPr="008C6F8C" w14:paraId="7D398DC4" w14:textId="77777777" w:rsidTr="00EA7BBF">
        <w:trPr>
          <w:trHeight w:val="20"/>
        </w:trPr>
        <w:tc>
          <w:tcPr>
            <w:tcW w:w="843" w:type="pct"/>
            <w:tcBorders>
              <w:top w:val="dashed" w:sz="4" w:space="0" w:color="auto"/>
              <w:left w:val="single" w:sz="4" w:space="0" w:color="auto"/>
              <w:bottom w:val="dashed" w:sz="4" w:space="0" w:color="auto"/>
              <w:right w:val="dashed" w:sz="4" w:space="0" w:color="auto"/>
            </w:tcBorders>
            <w:shd w:val="clear" w:color="auto" w:fill="FFFFFF"/>
            <w:vAlign w:val="center"/>
          </w:tcPr>
          <w:p w14:paraId="7D398DC2" w14:textId="77777777" w:rsidR="00E03711" w:rsidRPr="00F769E0" w:rsidRDefault="00E03711" w:rsidP="00DD0E20">
            <w:pPr>
              <w:pStyle w:val="GUIDE-NORMAL"/>
              <w:spacing w:before="60" w:after="60"/>
              <w:jc w:val="left"/>
              <w:rPr>
                <w:rFonts w:cs="Tahoma"/>
                <w:b/>
                <w:lang w:val="sl-SI" w:eastAsia="en-GB"/>
              </w:rPr>
            </w:pPr>
            <w:r w:rsidRPr="00F769E0">
              <w:rPr>
                <w:rFonts w:cs="Tahoma"/>
                <w:b/>
                <w:lang w:val="sl-SI" w:eastAsia="en-GB"/>
              </w:rPr>
              <w:t>Trajanje projekta</w:t>
            </w:r>
          </w:p>
        </w:tc>
        <w:tc>
          <w:tcPr>
            <w:tcW w:w="4157" w:type="pct"/>
            <w:tcBorders>
              <w:top w:val="dashed" w:sz="4" w:space="0" w:color="auto"/>
              <w:left w:val="single" w:sz="8" w:space="0" w:color="000000"/>
              <w:bottom w:val="dashed" w:sz="4" w:space="0" w:color="auto"/>
              <w:right w:val="single" w:sz="4" w:space="0" w:color="auto"/>
            </w:tcBorders>
            <w:shd w:val="clear" w:color="auto" w:fill="FFFFFF"/>
            <w:vAlign w:val="center"/>
          </w:tcPr>
          <w:p w14:paraId="7D398DC3" w14:textId="77777777" w:rsidR="00E03711" w:rsidRPr="00F769E0" w:rsidRDefault="00E03711" w:rsidP="00DD0E20">
            <w:pPr>
              <w:pStyle w:val="GUIDE-NORMAL"/>
              <w:spacing w:before="60" w:after="60"/>
              <w:rPr>
                <w:rFonts w:cs="Tahoma"/>
                <w:lang w:val="sl-SI" w:eastAsia="en-GB"/>
              </w:rPr>
            </w:pPr>
            <w:r w:rsidRPr="00F769E0">
              <w:rPr>
                <w:rFonts w:cs="Tahoma"/>
                <w:lang w:val="sl-SI" w:eastAsia="en-GB"/>
              </w:rPr>
              <w:t>Od 3 do 24 mesecev.</w:t>
            </w:r>
          </w:p>
        </w:tc>
      </w:tr>
      <w:tr w:rsidR="00E03711" w:rsidRPr="00A6094F" w14:paraId="7D398DC7" w14:textId="77777777" w:rsidTr="00EA7BBF">
        <w:trPr>
          <w:trHeight w:val="20"/>
        </w:trPr>
        <w:tc>
          <w:tcPr>
            <w:tcW w:w="843" w:type="pct"/>
            <w:tcBorders>
              <w:top w:val="dashed" w:sz="4" w:space="0" w:color="auto"/>
              <w:left w:val="single" w:sz="4" w:space="0" w:color="auto"/>
              <w:bottom w:val="dashed" w:sz="4" w:space="0" w:color="auto"/>
              <w:right w:val="dashed" w:sz="4" w:space="0" w:color="auto"/>
            </w:tcBorders>
            <w:shd w:val="clear" w:color="auto" w:fill="FFFFFF"/>
            <w:vAlign w:val="center"/>
          </w:tcPr>
          <w:p w14:paraId="7D398DC5" w14:textId="77777777" w:rsidR="00E03711" w:rsidRPr="00F769E0" w:rsidRDefault="00E03711" w:rsidP="00DD0E20">
            <w:pPr>
              <w:pStyle w:val="GUIDE-NORMAL"/>
              <w:spacing w:before="60" w:after="60"/>
              <w:jc w:val="left"/>
              <w:rPr>
                <w:rFonts w:cs="Tahoma"/>
                <w:b/>
                <w:lang w:val="sl-SI" w:eastAsia="en-GB"/>
              </w:rPr>
            </w:pPr>
            <w:r w:rsidRPr="00F769E0">
              <w:rPr>
                <w:rFonts w:cs="Tahoma"/>
                <w:b/>
                <w:lang w:val="sl-SI" w:eastAsia="en-GB"/>
              </w:rPr>
              <w:t>Kje se prijaviti?</w:t>
            </w:r>
          </w:p>
        </w:tc>
        <w:tc>
          <w:tcPr>
            <w:tcW w:w="4157" w:type="pct"/>
            <w:tcBorders>
              <w:top w:val="dashed" w:sz="4" w:space="0" w:color="auto"/>
              <w:left w:val="single" w:sz="8" w:space="0" w:color="000000"/>
              <w:bottom w:val="dashed" w:sz="4" w:space="0" w:color="auto"/>
              <w:right w:val="single" w:sz="4" w:space="0" w:color="auto"/>
            </w:tcBorders>
            <w:shd w:val="clear" w:color="auto" w:fill="FFFFFF"/>
            <w:vAlign w:val="center"/>
          </w:tcPr>
          <w:p w14:paraId="7D398DC6" w14:textId="77777777" w:rsidR="00E03711" w:rsidRPr="00F769E0" w:rsidRDefault="00E03711" w:rsidP="00DD0E20">
            <w:pPr>
              <w:pStyle w:val="GUIDE-NORMAL"/>
              <w:spacing w:before="60" w:after="60"/>
              <w:rPr>
                <w:rFonts w:cs="Tahoma"/>
                <w:lang w:val="sl-SI" w:eastAsia="en-GB"/>
              </w:rPr>
            </w:pPr>
            <w:r w:rsidRPr="00F769E0">
              <w:rPr>
                <w:rFonts w:cs="Tahoma"/>
                <w:lang w:val="sl-SI" w:eastAsia="en-GB"/>
              </w:rPr>
              <w:t>Pri nacionalni agenciji v državi, kjer ima organizacija prijaviteljica sedež.</w:t>
            </w:r>
          </w:p>
        </w:tc>
      </w:tr>
      <w:tr w:rsidR="00E03711" w:rsidRPr="00A6094F" w14:paraId="7D398DCD" w14:textId="77777777" w:rsidTr="00EA7BBF">
        <w:trPr>
          <w:trHeight w:val="20"/>
        </w:trPr>
        <w:tc>
          <w:tcPr>
            <w:tcW w:w="843" w:type="pct"/>
            <w:tcBorders>
              <w:top w:val="dashed" w:sz="4" w:space="0" w:color="auto"/>
              <w:left w:val="single" w:sz="4" w:space="0" w:color="auto"/>
              <w:bottom w:val="dashed" w:sz="4" w:space="0" w:color="auto"/>
              <w:right w:val="dashed" w:sz="4" w:space="0" w:color="auto"/>
            </w:tcBorders>
            <w:shd w:val="clear" w:color="auto" w:fill="FFFFFF"/>
            <w:vAlign w:val="center"/>
          </w:tcPr>
          <w:p w14:paraId="7D398DC8" w14:textId="77777777" w:rsidR="00E03711" w:rsidRPr="00F769E0" w:rsidRDefault="00E03711" w:rsidP="00DD0E20">
            <w:pPr>
              <w:pStyle w:val="GUIDE-NORMAL"/>
              <w:spacing w:before="60" w:after="60"/>
              <w:jc w:val="left"/>
              <w:rPr>
                <w:rFonts w:cs="Tahoma"/>
                <w:b/>
                <w:lang w:val="sl-SI" w:eastAsia="en-GB"/>
              </w:rPr>
            </w:pPr>
            <w:r w:rsidRPr="00F769E0">
              <w:rPr>
                <w:rFonts w:cs="Tahoma"/>
                <w:b/>
                <w:lang w:val="sl-SI" w:eastAsia="en-GB"/>
              </w:rPr>
              <w:t>Kdaj se prijaviti?</w:t>
            </w:r>
          </w:p>
        </w:tc>
        <w:tc>
          <w:tcPr>
            <w:tcW w:w="4157" w:type="pct"/>
            <w:tcBorders>
              <w:top w:val="dashed" w:sz="4" w:space="0" w:color="auto"/>
              <w:left w:val="single" w:sz="8" w:space="0" w:color="000000"/>
              <w:bottom w:val="dashed" w:sz="4" w:space="0" w:color="auto"/>
              <w:right w:val="single" w:sz="4" w:space="0" w:color="auto"/>
            </w:tcBorders>
            <w:shd w:val="clear" w:color="auto" w:fill="FFFFFF"/>
            <w:vAlign w:val="center"/>
          </w:tcPr>
          <w:p w14:paraId="7D398DC9" w14:textId="77777777" w:rsidR="00E03711" w:rsidRPr="00F769E0" w:rsidRDefault="00E03711" w:rsidP="00DD0E20">
            <w:pPr>
              <w:pStyle w:val="GUIDE-NORMAL"/>
              <w:spacing w:before="60" w:after="60"/>
              <w:rPr>
                <w:rFonts w:cs="Tahoma"/>
                <w:lang w:val="sl-SI" w:eastAsia="en-GB"/>
              </w:rPr>
            </w:pPr>
            <w:r w:rsidRPr="00F769E0">
              <w:rPr>
                <w:rFonts w:cs="Tahoma"/>
                <w:lang w:val="sl-SI" w:eastAsia="en-GB"/>
              </w:rPr>
              <w:t>Prijavitelji morajo vlogo za nepovratna sredstva oddati do naslednjih datumov:</w:t>
            </w:r>
          </w:p>
          <w:p w14:paraId="7D398DCA" w14:textId="77777777" w:rsidR="00E03711" w:rsidRPr="004E4C36" w:rsidRDefault="00E03711" w:rsidP="00860232">
            <w:pPr>
              <w:pStyle w:val="Guide-ListDash"/>
              <w:rPr>
                <w:lang w:val="sl-SI"/>
              </w:rPr>
            </w:pPr>
            <w:r w:rsidRPr="004E4C36">
              <w:rPr>
                <w:lang w:val="sl-SI"/>
              </w:rPr>
              <w:t xml:space="preserve">do </w:t>
            </w:r>
            <w:r w:rsidRPr="004E4C36">
              <w:rPr>
                <w:b/>
                <w:lang w:val="sl-SI"/>
              </w:rPr>
              <w:t>5. februarja do 12. ure (opoldne po bruseljskem času)</w:t>
            </w:r>
            <w:r w:rsidRPr="004E4C36">
              <w:rPr>
                <w:lang w:val="sl-SI"/>
              </w:rPr>
              <w:t xml:space="preserve"> za projekte, ki se začnejo med </w:t>
            </w:r>
            <w:r w:rsidRPr="004E4C36">
              <w:rPr>
                <w:lang w:val="sl-SI"/>
              </w:rPr>
              <w:br/>
              <w:t>1. majem in 30. septembrom istega leta;</w:t>
            </w:r>
          </w:p>
          <w:p w14:paraId="7D398DCB" w14:textId="77777777" w:rsidR="00E03711" w:rsidRPr="004E4C36" w:rsidRDefault="00E03711" w:rsidP="00860232">
            <w:pPr>
              <w:pStyle w:val="Guide-ListDash"/>
              <w:rPr>
                <w:lang w:val="sl-SI"/>
              </w:rPr>
            </w:pPr>
            <w:r w:rsidRPr="004E4C36">
              <w:rPr>
                <w:lang w:val="sl-SI"/>
              </w:rPr>
              <w:t xml:space="preserve">do </w:t>
            </w:r>
            <w:r w:rsidRPr="004E4C36">
              <w:rPr>
                <w:b/>
                <w:lang w:val="sl-SI"/>
              </w:rPr>
              <w:t xml:space="preserve">30. aprila do 12. ure (opoldne po bruseljskem času) </w:t>
            </w:r>
            <w:r w:rsidRPr="004E4C36">
              <w:rPr>
                <w:lang w:val="sl-SI"/>
              </w:rPr>
              <w:t>za projekte, ki se začnejo med 1. avgustom in 31. decembrom istega leta;</w:t>
            </w:r>
          </w:p>
          <w:p w14:paraId="7D398DCC" w14:textId="77777777" w:rsidR="00E03711" w:rsidRPr="00C1426B" w:rsidRDefault="00E03711" w:rsidP="00860232">
            <w:pPr>
              <w:pStyle w:val="Guide-ListDash"/>
              <w:rPr>
                <w:lang w:val="sl-SI"/>
              </w:rPr>
            </w:pPr>
            <w:r w:rsidRPr="00C1426B">
              <w:rPr>
                <w:lang w:val="sl-SI"/>
              </w:rPr>
              <w:t xml:space="preserve">do </w:t>
            </w:r>
            <w:r w:rsidRPr="00C1426B">
              <w:rPr>
                <w:b/>
                <w:lang w:val="sl-SI"/>
              </w:rPr>
              <w:t>1. oktobra do 12. ure (opoldne po bruseljskem času)</w:t>
            </w:r>
            <w:r w:rsidRPr="00C1426B">
              <w:rPr>
                <w:lang w:val="sl-SI"/>
              </w:rPr>
              <w:t xml:space="preserve"> za projekte, ki se začnejo med 1. januarjem in 31. majem naslednjega leta.</w:t>
            </w:r>
          </w:p>
        </w:tc>
      </w:tr>
      <w:tr w:rsidR="00E03711" w:rsidRPr="00A6094F" w14:paraId="7D398DD0" w14:textId="77777777" w:rsidTr="00EA7BBF">
        <w:trPr>
          <w:trHeight w:val="20"/>
        </w:trPr>
        <w:tc>
          <w:tcPr>
            <w:tcW w:w="843" w:type="pct"/>
            <w:tcBorders>
              <w:top w:val="dashed" w:sz="4" w:space="0" w:color="auto"/>
              <w:left w:val="single" w:sz="4" w:space="0" w:color="auto"/>
              <w:bottom w:val="dashed" w:sz="4" w:space="0" w:color="auto"/>
              <w:right w:val="dashed" w:sz="4" w:space="0" w:color="auto"/>
            </w:tcBorders>
            <w:shd w:val="clear" w:color="auto" w:fill="FFFFFF"/>
            <w:vAlign w:val="center"/>
          </w:tcPr>
          <w:p w14:paraId="7D398DCE" w14:textId="77777777" w:rsidR="00E03711" w:rsidRPr="00F769E0" w:rsidRDefault="00E03711" w:rsidP="00DD0E20">
            <w:pPr>
              <w:pStyle w:val="GUIDE-NORMAL"/>
              <w:spacing w:before="60" w:after="60"/>
              <w:jc w:val="left"/>
              <w:rPr>
                <w:rFonts w:cs="Tahoma"/>
                <w:b/>
                <w:lang w:val="sl-SI" w:eastAsia="en-GB"/>
              </w:rPr>
            </w:pPr>
            <w:r w:rsidRPr="00F769E0">
              <w:rPr>
                <w:rFonts w:cs="Tahoma"/>
                <w:b/>
                <w:lang w:val="sl-SI" w:eastAsia="en-GB"/>
              </w:rPr>
              <w:t>Kako se prijaviti?</w:t>
            </w:r>
          </w:p>
        </w:tc>
        <w:tc>
          <w:tcPr>
            <w:tcW w:w="4157" w:type="pct"/>
            <w:tcBorders>
              <w:top w:val="dashed" w:sz="4" w:space="0" w:color="auto"/>
              <w:left w:val="single" w:sz="8" w:space="0" w:color="000000"/>
              <w:bottom w:val="dashed" w:sz="4" w:space="0" w:color="auto"/>
              <w:right w:val="single" w:sz="4" w:space="0" w:color="auto"/>
            </w:tcBorders>
            <w:shd w:val="clear" w:color="auto" w:fill="FFFFFF"/>
            <w:vAlign w:val="center"/>
          </w:tcPr>
          <w:p w14:paraId="7D398DCF" w14:textId="77777777" w:rsidR="00E03711" w:rsidRPr="00F769E0" w:rsidRDefault="00E03711" w:rsidP="00DD0E20">
            <w:pPr>
              <w:pStyle w:val="GUIDE-NORMAL"/>
              <w:spacing w:before="60" w:after="60"/>
              <w:rPr>
                <w:rFonts w:cs="Tahoma"/>
                <w:lang w:val="sl-SI" w:eastAsia="en-GB"/>
              </w:rPr>
            </w:pPr>
            <w:r w:rsidRPr="00F769E0">
              <w:rPr>
                <w:rFonts w:cs="Tahoma"/>
                <w:lang w:val="sl-SI" w:eastAsia="en-GB"/>
              </w:rPr>
              <w:t>Za podrobnosti o postopku prijave glej del C tega vodnika.</w:t>
            </w:r>
          </w:p>
        </w:tc>
      </w:tr>
      <w:tr w:rsidR="00E03711" w:rsidRPr="00A6094F" w14:paraId="7D398DD4" w14:textId="77777777" w:rsidTr="00EA7BBF">
        <w:trPr>
          <w:trHeight w:val="20"/>
        </w:trPr>
        <w:tc>
          <w:tcPr>
            <w:tcW w:w="843" w:type="pct"/>
            <w:tcBorders>
              <w:top w:val="dashed" w:sz="4" w:space="0" w:color="auto"/>
              <w:left w:val="single" w:sz="4" w:space="0" w:color="auto"/>
              <w:bottom w:val="single" w:sz="4" w:space="0" w:color="auto"/>
              <w:right w:val="dashed" w:sz="4" w:space="0" w:color="auto"/>
            </w:tcBorders>
            <w:shd w:val="clear" w:color="auto" w:fill="FFFFFF"/>
            <w:vAlign w:val="center"/>
          </w:tcPr>
          <w:p w14:paraId="7D398DD1" w14:textId="77777777" w:rsidR="00E03711" w:rsidRPr="00F769E0" w:rsidRDefault="00E03711" w:rsidP="00DD0E20">
            <w:pPr>
              <w:pStyle w:val="GUIDE-NORMAL"/>
              <w:spacing w:before="60" w:after="60"/>
              <w:jc w:val="left"/>
              <w:rPr>
                <w:rFonts w:cs="Tahoma"/>
                <w:b/>
                <w:lang w:val="sl-SI" w:eastAsia="en-GB"/>
              </w:rPr>
            </w:pPr>
            <w:r w:rsidRPr="00F769E0">
              <w:rPr>
                <w:rFonts w:cs="Tahoma"/>
                <w:b/>
                <w:lang w:val="sl-SI" w:eastAsia="en-GB"/>
              </w:rPr>
              <w:t>Druga merila</w:t>
            </w:r>
          </w:p>
        </w:tc>
        <w:tc>
          <w:tcPr>
            <w:tcW w:w="4157" w:type="pct"/>
            <w:tcBorders>
              <w:top w:val="dashed" w:sz="4" w:space="0" w:color="auto"/>
              <w:left w:val="single" w:sz="8" w:space="0" w:color="000000"/>
              <w:bottom w:val="single" w:sz="4" w:space="0" w:color="auto"/>
              <w:right w:val="single" w:sz="4" w:space="0" w:color="auto"/>
            </w:tcBorders>
            <w:shd w:val="clear" w:color="auto" w:fill="FFFFFF"/>
            <w:vAlign w:val="center"/>
          </w:tcPr>
          <w:p w14:paraId="7D398DD2" w14:textId="77777777" w:rsidR="00E03711" w:rsidRPr="00F769E0" w:rsidRDefault="00E03711" w:rsidP="00DD0E20">
            <w:pPr>
              <w:pStyle w:val="GUIDE-NORMAL"/>
              <w:spacing w:before="60" w:after="60"/>
              <w:rPr>
                <w:rFonts w:cs="Tahoma"/>
                <w:lang w:val="sl-SI" w:eastAsia="en-GB"/>
              </w:rPr>
            </w:pPr>
            <w:r w:rsidRPr="00F769E0">
              <w:rPr>
                <w:rFonts w:cs="Tahoma"/>
                <w:lang w:val="sl-SI" w:eastAsia="en-GB"/>
              </w:rPr>
              <w:t>Prijavnemu obrazcu mora biti priložen časovni razpored za vsako aktivnost</w:t>
            </w:r>
            <w:r>
              <w:rPr>
                <w:rFonts w:cs="Tahoma"/>
                <w:lang w:val="sl-SI" w:eastAsia="en-GB"/>
              </w:rPr>
              <w:t xml:space="preserve"> za izmenjavo mladih in mobilnost mladinskih delavcev</w:t>
            </w:r>
            <w:r w:rsidRPr="00F769E0">
              <w:rPr>
                <w:rFonts w:cs="Tahoma"/>
                <w:lang w:val="sl-SI" w:eastAsia="en-GB"/>
              </w:rPr>
              <w:t>, načrtovano v projektu.</w:t>
            </w:r>
          </w:p>
          <w:p w14:paraId="7D398DD3" w14:textId="77777777" w:rsidR="00E03711" w:rsidRPr="00F769E0" w:rsidRDefault="00E03711" w:rsidP="00DD0E20">
            <w:pPr>
              <w:pStyle w:val="GUIDE-NORMAL"/>
              <w:spacing w:before="60" w:after="60"/>
              <w:rPr>
                <w:rFonts w:cs="Tahoma"/>
                <w:lang w:val="sl-SI" w:eastAsia="en-GB"/>
              </w:rPr>
            </w:pPr>
            <w:r w:rsidRPr="00F769E0">
              <w:rPr>
                <w:rFonts w:cs="Tahoma"/>
                <w:lang w:val="sl-SI" w:eastAsia="en-GB"/>
              </w:rPr>
              <w:t>Prijavnemu obrazcu mora biti priložena častna izjava zakonitega zastopnika.</w:t>
            </w:r>
          </w:p>
        </w:tc>
      </w:tr>
    </w:tbl>
    <w:p w14:paraId="7D398DD5" w14:textId="77777777" w:rsidR="00E03711" w:rsidRPr="001048FE" w:rsidRDefault="00E03711" w:rsidP="009874E3">
      <w:pPr>
        <w:pStyle w:val="Guide-Heading7"/>
        <w:rPr>
          <w:lang w:val="sl-SI"/>
        </w:rPr>
      </w:pPr>
      <w:r w:rsidRPr="001048FE">
        <w:rPr>
          <w:lang w:val="sl-SI"/>
        </w:rPr>
        <w:t>Dodatna merila za upravičenost za mladinske izmenjave</w:t>
      </w:r>
    </w:p>
    <w:tbl>
      <w:tblPr>
        <w:tblW w:w="5006"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745"/>
        <w:gridCol w:w="7556"/>
      </w:tblGrid>
      <w:tr w:rsidR="00E03711" w:rsidRPr="00A6094F" w14:paraId="7D398DD8" w14:textId="77777777" w:rsidTr="009874E3">
        <w:trPr>
          <w:cantSplit/>
          <w:trHeight w:val="77"/>
        </w:trPr>
        <w:tc>
          <w:tcPr>
            <w:tcW w:w="938" w:type="pct"/>
            <w:tcBorders>
              <w:top w:val="single" w:sz="4" w:space="0" w:color="auto"/>
              <w:left w:val="single" w:sz="4" w:space="0" w:color="auto"/>
              <w:bottom w:val="dashed" w:sz="4" w:space="0" w:color="auto"/>
              <w:right w:val="dashed" w:sz="4" w:space="0" w:color="auto"/>
            </w:tcBorders>
            <w:shd w:val="clear" w:color="auto" w:fill="FFFFFF"/>
            <w:vAlign w:val="center"/>
          </w:tcPr>
          <w:p w14:paraId="7D398DD6" w14:textId="77777777" w:rsidR="00E03711" w:rsidRPr="00F769E0" w:rsidRDefault="00E03711" w:rsidP="00EF2F16">
            <w:pPr>
              <w:pStyle w:val="Guide-Table"/>
              <w:spacing w:before="60" w:after="60"/>
              <w:jc w:val="left"/>
              <w:rPr>
                <w:rFonts w:cs="Tahoma"/>
                <w:b/>
                <w:lang w:val="sl-SI" w:eastAsia="en-GB"/>
              </w:rPr>
            </w:pPr>
            <w:r w:rsidRPr="00F769E0">
              <w:rPr>
                <w:rFonts w:cs="Tahoma"/>
                <w:b/>
                <w:lang w:val="sl-SI" w:eastAsia="en-GB"/>
              </w:rPr>
              <w:t>Trajanje aktivnosti</w:t>
            </w:r>
          </w:p>
        </w:tc>
        <w:tc>
          <w:tcPr>
            <w:tcW w:w="4062" w:type="pct"/>
            <w:tcBorders>
              <w:top w:val="single" w:sz="4" w:space="0" w:color="auto"/>
              <w:left w:val="single" w:sz="8" w:space="0" w:color="000000"/>
              <w:bottom w:val="dashed" w:sz="4" w:space="0" w:color="auto"/>
              <w:right w:val="single" w:sz="4" w:space="0" w:color="auto"/>
            </w:tcBorders>
            <w:shd w:val="clear" w:color="auto" w:fill="FFFFFF"/>
            <w:vAlign w:val="center"/>
          </w:tcPr>
          <w:p w14:paraId="7D398DD7" w14:textId="77777777" w:rsidR="00E03711" w:rsidRPr="00F769E0" w:rsidRDefault="00E03711" w:rsidP="00EF2F16">
            <w:pPr>
              <w:pStyle w:val="GUIDE-NORMAL"/>
              <w:spacing w:before="60" w:after="60"/>
              <w:rPr>
                <w:rFonts w:cs="Tahoma"/>
                <w:lang w:val="sl-SI" w:eastAsia="en-GB"/>
              </w:rPr>
            </w:pPr>
            <w:r w:rsidRPr="00F769E0">
              <w:rPr>
                <w:rFonts w:cs="Tahoma"/>
                <w:lang w:val="sl-SI" w:eastAsia="en-GB"/>
              </w:rPr>
              <w:t>Od 5 do 21 dni, v kar ni zajet čas poti.</w:t>
            </w:r>
          </w:p>
        </w:tc>
      </w:tr>
      <w:tr w:rsidR="00E03711" w:rsidRPr="00A6094F" w14:paraId="7D398DDB" w14:textId="77777777" w:rsidTr="009874E3">
        <w:trPr>
          <w:cantSplit/>
          <w:trHeight w:val="77"/>
        </w:trPr>
        <w:tc>
          <w:tcPr>
            <w:tcW w:w="938" w:type="pct"/>
            <w:tcBorders>
              <w:top w:val="dashed" w:sz="4" w:space="0" w:color="auto"/>
              <w:left w:val="single" w:sz="4" w:space="0" w:color="auto"/>
              <w:bottom w:val="dashed" w:sz="4" w:space="0" w:color="auto"/>
              <w:right w:val="dashed" w:sz="4" w:space="0" w:color="auto"/>
            </w:tcBorders>
            <w:shd w:val="clear" w:color="auto" w:fill="FFFFFF"/>
            <w:vAlign w:val="center"/>
          </w:tcPr>
          <w:p w14:paraId="7D398DD9" w14:textId="77777777" w:rsidR="00E03711" w:rsidRPr="00F769E0" w:rsidRDefault="00E03711" w:rsidP="00EF2F16">
            <w:pPr>
              <w:pStyle w:val="Guide-Table"/>
              <w:spacing w:before="60" w:after="60"/>
              <w:jc w:val="left"/>
              <w:rPr>
                <w:rFonts w:cs="Tahoma"/>
                <w:b/>
                <w:lang w:val="sl-SI" w:eastAsia="en-GB"/>
              </w:rPr>
            </w:pPr>
            <w:r w:rsidRPr="00F769E0">
              <w:rPr>
                <w:rFonts w:cs="Tahoma"/>
                <w:b/>
                <w:lang w:val="sl-SI" w:eastAsia="en-GB"/>
              </w:rPr>
              <w:t>Kraji izvajanja aktivnosti</w:t>
            </w:r>
          </w:p>
        </w:tc>
        <w:tc>
          <w:tcPr>
            <w:tcW w:w="4062" w:type="pct"/>
            <w:tcBorders>
              <w:top w:val="dashed" w:sz="4" w:space="0" w:color="auto"/>
              <w:left w:val="single" w:sz="8" w:space="0" w:color="000000"/>
              <w:bottom w:val="dashed" w:sz="4" w:space="0" w:color="auto"/>
              <w:right w:val="single" w:sz="4" w:space="0" w:color="auto"/>
            </w:tcBorders>
            <w:shd w:val="clear" w:color="auto" w:fill="FFFFFF"/>
            <w:vAlign w:val="center"/>
          </w:tcPr>
          <w:p w14:paraId="7D398DDA" w14:textId="77777777" w:rsidR="00E03711" w:rsidRPr="00F769E0" w:rsidRDefault="00E03711" w:rsidP="00EF2F16">
            <w:pPr>
              <w:pStyle w:val="GUIDE-NORMAL"/>
              <w:spacing w:before="60" w:after="60"/>
              <w:rPr>
                <w:rFonts w:cs="Tahoma"/>
                <w:lang w:val="sl-SI" w:eastAsia="en-GB"/>
              </w:rPr>
            </w:pPr>
            <w:r w:rsidRPr="00F769E0">
              <w:rPr>
                <w:rFonts w:cs="Tahoma"/>
                <w:lang w:val="sl-SI" w:eastAsia="en-GB"/>
              </w:rPr>
              <w:t>Aktivnost se mora izvajati v državi ene od organizacij, ki sodelujejo v aktivnosti.</w:t>
            </w:r>
          </w:p>
        </w:tc>
      </w:tr>
      <w:tr w:rsidR="00E03711" w:rsidRPr="00A6094F" w14:paraId="7D398DDE" w14:textId="77777777" w:rsidTr="009874E3">
        <w:trPr>
          <w:cantSplit/>
          <w:trHeight w:val="77"/>
        </w:trPr>
        <w:tc>
          <w:tcPr>
            <w:tcW w:w="938" w:type="pct"/>
            <w:tcBorders>
              <w:top w:val="dashed" w:sz="4" w:space="0" w:color="auto"/>
              <w:left w:val="single" w:sz="4" w:space="0" w:color="auto"/>
              <w:bottom w:val="dashed" w:sz="4" w:space="0" w:color="auto"/>
              <w:right w:val="dashed" w:sz="4" w:space="0" w:color="auto"/>
            </w:tcBorders>
            <w:shd w:val="clear" w:color="auto" w:fill="FFFFFF"/>
            <w:vAlign w:val="center"/>
          </w:tcPr>
          <w:p w14:paraId="7D398DDC" w14:textId="77777777" w:rsidR="00E03711" w:rsidRPr="00F769E0" w:rsidRDefault="00E03711" w:rsidP="00EF2F16">
            <w:pPr>
              <w:pStyle w:val="Guide-Table"/>
              <w:spacing w:before="60" w:after="60"/>
              <w:jc w:val="left"/>
              <w:rPr>
                <w:rFonts w:cs="Tahoma"/>
                <w:b/>
                <w:lang w:val="sl-SI" w:eastAsia="en-GB"/>
              </w:rPr>
            </w:pPr>
            <w:r w:rsidRPr="00F769E0">
              <w:rPr>
                <w:rFonts w:cs="Tahoma"/>
                <w:b/>
                <w:lang w:val="sl-SI" w:eastAsia="en-GB"/>
              </w:rPr>
              <w:t>Upravičeni udeleženci</w:t>
            </w:r>
          </w:p>
        </w:tc>
        <w:tc>
          <w:tcPr>
            <w:tcW w:w="4062" w:type="pct"/>
            <w:tcBorders>
              <w:top w:val="dashed" w:sz="4" w:space="0" w:color="auto"/>
              <w:left w:val="single" w:sz="8" w:space="0" w:color="000000"/>
              <w:bottom w:val="dashed" w:sz="4" w:space="0" w:color="auto"/>
              <w:right w:val="single" w:sz="4" w:space="0" w:color="auto"/>
            </w:tcBorders>
            <w:shd w:val="clear" w:color="auto" w:fill="FFFFFF"/>
            <w:vAlign w:val="center"/>
          </w:tcPr>
          <w:p w14:paraId="7D398DDD" w14:textId="77777777" w:rsidR="00E03711" w:rsidRPr="00F769E0" w:rsidRDefault="00E03711" w:rsidP="008E1BD9">
            <w:pPr>
              <w:pStyle w:val="GUIDE-NORMAL"/>
              <w:spacing w:before="60" w:after="60"/>
              <w:rPr>
                <w:rFonts w:cs="Tahoma"/>
                <w:lang w:val="sl-SI" w:eastAsia="en-GB"/>
              </w:rPr>
            </w:pPr>
            <w:r w:rsidRPr="00F769E0">
              <w:rPr>
                <w:rFonts w:cs="Tahoma"/>
                <w:lang w:val="sl-SI" w:eastAsia="en-GB"/>
              </w:rPr>
              <w:t>Mladi, stari od 13 do 30 let</w:t>
            </w:r>
            <w:r w:rsidRPr="00F769E0">
              <w:rPr>
                <w:rStyle w:val="FootnoteReference"/>
                <w:rFonts w:cs="Tahoma"/>
                <w:lang w:val="sl-SI" w:eastAsia="en-GB"/>
              </w:rPr>
              <w:footnoteReference w:id="55"/>
            </w:r>
            <w:r w:rsidRPr="00F769E0">
              <w:rPr>
                <w:rFonts w:cs="Tahoma"/>
                <w:lang w:val="sl-SI" w:eastAsia="en-GB"/>
              </w:rPr>
              <w:t>, ki živijo v državah organizacije pošiljateljice ali gostiteljice. Vodje skupin</w:t>
            </w:r>
            <w:r w:rsidRPr="00F769E0">
              <w:rPr>
                <w:rStyle w:val="FootnoteReference"/>
                <w:rFonts w:cs="Tahoma"/>
                <w:lang w:val="sl-SI" w:eastAsia="en-GB"/>
              </w:rPr>
              <w:footnoteReference w:id="56"/>
            </w:r>
            <w:r w:rsidRPr="00F769E0">
              <w:rPr>
                <w:rFonts w:cs="Tahoma"/>
                <w:lang w:val="sl-SI" w:eastAsia="en-GB"/>
              </w:rPr>
              <w:t>, vključeni v mladinsko izmenjavo, morajo biti stari vsaj 18 let.</w:t>
            </w:r>
          </w:p>
        </w:tc>
      </w:tr>
      <w:tr w:rsidR="00E03711" w:rsidRPr="00A6094F" w14:paraId="7D398DE4" w14:textId="77777777" w:rsidTr="009874E3">
        <w:trPr>
          <w:cantSplit/>
          <w:trHeight w:val="77"/>
        </w:trPr>
        <w:tc>
          <w:tcPr>
            <w:tcW w:w="938" w:type="pct"/>
            <w:tcBorders>
              <w:top w:val="dashed" w:sz="4" w:space="0" w:color="auto"/>
              <w:left w:val="single" w:sz="4" w:space="0" w:color="auto"/>
              <w:bottom w:val="dashed" w:sz="4" w:space="0" w:color="auto"/>
              <w:right w:val="dashed" w:sz="4" w:space="0" w:color="auto"/>
            </w:tcBorders>
            <w:shd w:val="clear" w:color="auto" w:fill="FFFFFF"/>
            <w:vAlign w:val="center"/>
          </w:tcPr>
          <w:p w14:paraId="7D398DDF" w14:textId="77777777" w:rsidR="00E03711" w:rsidRPr="00F769E0" w:rsidRDefault="00E03711" w:rsidP="00EF2F16">
            <w:pPr>
              <w:pStyle w:val="GUIDE-NORMAL"/>
              <w:spacing w:before="60" w:after="60"/>
              <w:jc w:val="left"/>
              <w:rPr>
                <w:rFonts w:cs="Tahoma"/>
                <w:b/>
                <w:lang w:val="sl-SI" w:eastAsia="en-GB"/>
              </w:rPr>
            </w:pPr>
            <w:r w:rsidRPr="00F769E0">
              <w:rPr>
                <w:rFonts w:cs="Tahoma"/>
                <w:b/>
                <w:lang w:val="sl-SI" w:eastAsia="en-GB"/>
              </w:rPr>
              <w:t>Število udeležencev in sestava nacionalnih skupin</w:t>
            </w:r>
          </w:p>
        </w:tc>
        <w:tc>
          <w:tcPr>
            <w:tcW w:w="4062" w:type="pct"/>
            <w:tcBorders>
              <w:top w:val="dashed" w:sz="4" w:space="0" w:color="auto"/>
              <w:left w:val="single" w:sz="8" w:space="0" w:color="000000"/>
              <w:bottom w:val="dashed" w:sz="4" w:space="0" w:color="auto"/>
              <w:right w:val="single" w:sz="4" w:space="0" w:color="auto"/>
            </w:tcBorders>
            <w:shd w:val="clear" w:color="auto" w:fill="FFFFFF"/>
            <w:vAlign w:val="center"/>
          </w:tcPr>
          <w:p w14:paraId="7D398DE0" w14:textId="77777777" w:rsidR="00E03711" w:rsidRPr="00F769E0" w:rsidRDefault="00E03711" w:rsidP="00EF2F16">
            <w:pPr>
              <w:pStyle w:val="GUIDE-NORMAL"/>
              <w:spacing w:before="60" w:after="60"/>
              <w:rPr>
                <w:rFonts w:cs="Tahoma"/>
                <w:lang w:val="sl-SI" w:eastAsia="en-GB"/>
              </w:rPr>
            </w:pPr>
            <w:r w:rsidRPr="00F769E0">
              <w:rPr>
                <w:rFonts w:cs="Tahoma"/>
                <w:lang w:val="sl-SI" w:eastAsia="en-GB"/>
              </w:rPr>
              <w:t>Vsaj 16 in največ 60 udeležencev (vodje skupin niso zajeti) na aktivnost.</w:t>
            </w:r>
          </w:p>
          <w:p w14:paraId="7D398DE1" w14:textId="77777777" w:rsidR="00E03711" w:rsidRPr="00F769E0" w:rsidRDefault="00E03711" w:rsidP="00EF2F16">
            <w:pPr>
              <w:pStyle w:val="GUIDE-NORMAL"/>
              <w:spacing w:before="60" w:after="60"/>
              <w:rPr>
                <w:rFonts w:cs="Tahoma"/>
                <w:lang w:val="sl-SI" w:eastAsia="en-GB"/>
              </w:rPr>
            </w:pPr>
            <w:r w:rsidRPr="00F769E0">
              <w:rPr>
                <w:rFonts w:cs="Tahoma"/>
                <w:lang w:val="sl-SI" w:eastAsia="en-GB"/>
              </w:rPr>
              <w:t>Vsaj 4 udeleženci na skupino (vodje skupin niso zajeti) na aktivnost.</w:t>
            </w:r>
          </w:p>
          <w:p w14:paraId="7D398DE2" w14:textId="77777777" w:rsidR="00E03711" w:rsidRPr="00F769E0" w:rsidRDefault="00E03711" w:rsidP="00EF2F16">
            <w:pPr>
              <w:pStyle w:val="GUIDE-NORMAL"/>
              <w:spacing w:before="60" w:after="60"/>
              <w:rPr>
                <w:rFonts w:cs="Tahoma"/>
                <w:lang w:val="sl-SI" w:eastAsia="en-GB"/>
              </w:rPr>
            </w:pPr>
            <w:r w:rsidRPr="00F769E0">
              <w:rPr>
                <w:rFonts w:cs="Tahoma"/>
                <w:lang w:val="sl-SI" w:eastAsia="en-GB"/>
              </w:rPr>
              <w:t>Vsaka nacionalna skupina mora imeti vsaj enega vodjo skupine.</w:t>
            </w:r>
          </w:p>
          <w:p w14:paraId="7D398DE3" w14:textId="77777777" w:rsidR="00E03711" w:rsidRPr="00F769E0" w:rsidRDefault="00E03711" w:rsidP="00EF2F16">
            <w:pPr>
              <w:pStyle w:val="GUIDE-NORMAL"/>
              <w:spacing w:before="60" w:after="60"/>
              <w:rPr>
                <w:rFonts w:cs="Tahoma"/>
                <w:lang w:val="sl-SI" w:eastAsia="en-GB"/>
              </w:rPr>
            </w:pPr>
            <w:r w:rsidRPr="00F769E0">
              <w:rPr>
                <w:rFonts w:cs="Tahoma"/>
                <w:lang w:val="sl-SI" w:eastAsia="en-GB"/>
              </w:rPr>
              <w:t>Skupina udeležencev iz države organizacije gostiteljice mora biti udeležena v vsaki aktivnosti.</w:t>
            </w:r>
          </w:p>
        </w:tc>
      </w:tr>
      <w:tr w:rsidR="00E03711" w:rsidRPr="00A6094F" w14:paraId="7D398DEA" w14:textId="77777777" w:rsidTr="009874E3">
        <w:trPr>
          <w:cantSplit/>
          <w:trHeight w:val="77"/>
        </w:trPr>
        <w:tc>
          <w:tcPr>
            <w:tcW w:w="938" w:type="pct"/>
            <w:tcBorders>
              <w:top w:val="dashed" w:sz="4" w:space="0" w:color="auto"/>
              <w:left w:val="single" w:sz="4" w:space="0" w:color="auto"/>
              <w:bottom w:val="single" w:sz="4" w:space="0" w:color="auto"/>
              <w:right w:val="dashed" w:sz="4" w:space="0" w:color="auto"/>
            </w:tcBorders>
            <w:shd w:val="clear" w:color="auto" w:fill="FFFFFF"/>
            <w:vAlign w:val="center"/>
          </w:tcPr>
          <w:p w14:paraId="7D398DE5" w14:textId="77777777" w:rsidR="00E03711" w:rsidRPr="00F769E0" w:rsidRDefault="00E03711" w:rsidP="00EF2F16">
            <w:pPr>
              <w:pStyle w:val="Guide-Table"/>
              <w:spacing w:before="60" w:after="60"/>
              <w:jc w:val="left"/>
              <w:rPr>
                <w:rFonts w:cs="Tahoma"/>
                <w:b/>
                <w:lang w:val="sl-SI" w:eastAsia="en-GB"/>
              </w:rPr>
            </w:pPr>
            <w:r w:rsidRPr="00F769E0">
              <w:rPr>
                <w:rFonts w:cs="Tahoma"/>
                <w:b/>
                <w:lang w:val="sl-SI" w:eastAsia="en-GB"/>
              </w:rPr>
              <w:t>Druga merila</w:t>
            </w:r>
          </w:p>
        </w:tc>
        <w:tc>
          <w:tcPr>
            <w:tcW w:w="4062" w:type="pct"/>
            <w:tcBorders>
              <w:top w:val="dashed" w:sz="4" w:space="0" w:color="auto"/>
              <w:left w:val="single" w:sz="8" w:space="0" w:color="000000"/>
              <w:bottom w:val="single" w:sz="4" w:space="0" w:color="auto"/>
              <w:right w:val="single" w:sz="4" w:space="0" w:color="auto"/>
            </w:tcBorders>
            <w:shd w:val="clear" w:color="auto" w:fill="FFFFFF"/>
            <w:vAlign w:val="center"/>
          </w:tcPr>
          <w:p w14:paraId="7D398DE6" w14:textId="77777777" w:rsidR="00E03711" w:rsidRPr="00F769E0" w:rsidRDefault="00E03711" w:rsidP="00EF2F16">
            <w:pPr>
              <w:pStyle w:val="GUIDE-NORMAL"/>
              <w:spacing w:before="60" w:after="60"/>
              <w:rPr>
                <w:rFonts w:cs="Tahoma"/>
                <w:lang w:val="sl-SI" w:eastAsia="en-GB"/>
              </w:rPr>
            </w:pPr>
            <w:r w:rsidRPr="00F769E0">
              <w:rPr>
                <w:rFonts w:cs="Tahoma"/>
                <w:lang w:val="sl-SI" w:eastAsia="en-GB"/>
              </w:rPr>
              <w:t>Za ohranjanje jasne povezave z državo, v kateri ima nacionalna agencija sedež, mora imeti vsaj ena od organizacij pošiljateljic ali organizacija gostiteljica za posamezno aktivnost sedež v državi nacionalne agencije, ki prejme prijavo. Pripravljalni obisk:</w:t>
            </w:r>
          </w:p>
          <w:p w14:paraId="7D398DE7" w14:textId="77777777" w:rsidR="00E03711" w:rsidRPr="00F769E0" w:rsidRDefault="00E03711" w:rsidP="00EF2F16">
            <w:pPr>
              <w:pStyle w:val="GUIDE-NORMAL"/>
              <w:spacing w:before="60" w:after="60"/>
              <w:rPr>
                <w:rFonts w:cs="Tahoma"/>
                <w:lang w:val="sl-SI" w:eastAsia="en-GB"/>
              </w:rPr>
            </w:pPr>
            <w:r w:rsidRPr="00F769E0">
              <w:rPr>
                <w:rFonts w:cs="Tahoma"/>
                <w:lang w:val="sl-SI" w:eastAsia="en-GB"/>
              </w:rPr>
              <w:t>Če je za projekt predviden pripravljalni obisk, je treba upoštevati naslednja merila za upravičenost:</w:t>
            </w:r>
          </w:p>
          <w:p w14:paraId="7D398DE8" w14:textId="77777777" w:rsidR="00E03711" w:rsidRPr="001048FE" w:rsidRDefault="00E03711" w:rsidP="00EF2F16">
            <w:pPr>
              <w:pStyle w:val="Guide-NormalBulletpoints"/>
              <w:spacing w:before="60"/>
              <w:rPr>
                <w:lang w:val="sl-SI"/>
              </w:rPr>
            </w:pPr>
            <w:r w:rsidRPr="001048FE">
              <w:rPr>
                <w:lang w:val="sl-SI"/>
              </w:rPr>
              <w:t>trajanje pripravljalnega obiska: največ dva dneva (dnevi poti niso zajeti);</w:t>
            </w:r>
          </w:p>
          <w:p w14:paraId="7D398DE9" w14:textId="77777777" w:rsidR="00E03711" w:rsidRPr="001048FE" w:rsidRDefault="00E03711" w:rsidP="00EF2F16">
            <w:pPr>
              <w:pStyle w:val="Guide-NormalBulletpoints"/>
              <w:spacing w:before="60"/>
              <w:rPr>
                <w:lang w:val="sl-SI"/>
              </w:rPr>
            </w:pPr>
            <w:r w:rsidRPr="001048FE">
              <w:rPr>
                <w:lang w:val="sl-SI"/>
              </w:rPr>
              <w:t>število udeležencev: en udeleženec na skupino</w:t>
            </w:r>
            <w:r>
              <w:rPr>
                <w:rStyle w:val="FootnoteReference"/>
                <w:lang w:val="sl-SI"/>
              </w:rPr>
              <w:footnoteReference w:id="57"/>
            </w:r>
            <w:r w:rsidRPr="001048FE">
              <w:rPr>
                <w:lang w:val="sl-SI"/>
              </w:rPr>
              <w:t>. Udeleženca sta lahko tudi dva, če je drugi udeleženec mlada oseba, ki sodeluje v aktivnosti, vendar ne kot vodja skupine ali vodja usposabljanja.</w:t>
            </w:r>
          </w:p>
        </w:tc>
      </w:tr>
    </w:tbl>
    <w:p w14:paraId="7D398DEB" w14:textId="77777777" w:rsidR="00E03711" w:rsidRPr="001048FE" w:rsidRDefault="00E03711" w:rsidP="009874E3">
      <w:pPr>
        <w:pStyle w:val="Guide-Heading7"/>
        <w:rPr>
          <w:lang w:val="sl-SI"/>
        </w:rPr>
      </w:pPr>
      <w:r w:rsidRPr="001048FE">
        <w:rPr>
          <w:lang w:val="sl-SI"/>
        </w:rPr>
        <w:t>Dodatna merila za upravičenost za mobilnost mladinskih delavcev</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743"/>
        <w:gridCol w:w="7547"/>
      </w:tblGrid>
      <w:tr w:rsidR="00E03711" w:rsidRPr="00A6094F" w14:paraId="7D398DEF" w14:textId="77777777" w:rsidTr="009874E3">
        <w:trPr>
          <w:cantSplit/>
          <w:trHeight w:val="159"/>
        </w:trPr>
        <w:tc>
          <w:tcPr>
            <w:tcW w:w="938" w:type="pct"/>
            <w:shd w:val="clear" w:color="auto" w:fill="FFFFFF"/>
            <w:vAlign w:val="center"/>
          </w:tcPr>
          <w:p w14:paraId="7D398DEC" w14:textId="77777777" w:rsidR="00E03711" w:rsidRPr="00F769E0" w:rsidRDefault="00E03711" w:rsidP="006F22C8">
            <w:pPr>
              <w:pStyle w:val="Guide-Table"/>
              <w:spacing w:before="60" w:after="60"/>
              <w:jc w:val="left"/>
              <w:rPr>
                <w:rFonts w:cs="Tahoma"/>
                <w:b/>
                <w:lang w:val="sl-SI" w:eastAsia="en-GB"/>
              </w:rPr>
            </w:pPr>
            <w:r w:rsidRPr="00F769E0">
              <w:rPr>
                <w:rFonts w:cs="Tahoma"/>
                <w:b/>
                <w:lang w:val="sl-SI" w:eastAsia="en-GB"/>
              </w:rPr>
              <w:t>Trajanje aktivnosti</w:t>
            </w:r>
          </w:p>
        </w:tc>
        <w:tc>
          <w:tcPr>
            <w:tcW w:w="4062" w:type="pct"/>
            <w:shd w:val="clear" w:color="auto" w:fill="FFFFFF"/>
            <w:vAlign w:val="center"/>
          </w:tcPr>
          <w:p w14:paraId="7D398DED" w14:textId="77777777" w:rsidR="00E03711" w:rsidRPr="00F769E0" w:rsidRDefault="00E03711" w:rsidP="006F22C8">
            <w:pPr>
              <w:pStyle w:val="GUIDE-NORMAL"/>
              <w:spacing w:before="60" w:after="60"/>
              <w:rPr>
                <w:rFonts w:cs="Tahoma"/>
                <w:lang w:val="sl-SI" w:eastAsia="en-GB"/>
              </w:rPr>
            </w:pPr>
            <w:r w:rsidRPr="00F769E0">
              <w:rPr>
                <w:rFonts w:cs="Tahoma"/>
                <w:lang w:val="sl-SI" w:eastAsia="en-GB"/>
              </w:rPr>
              <w:t xml:space="preserve">Od 2 dni do 2 mesecev, v kar ni zajet čas poti. </w:t>
            </w:r>
          </w:p>
          <w:p w14:paraId="7D398DEE" w14:textId="77777777" w:rsidR="00E03711" w:rsidRPr="00F769E0" w:rsidRDefault="00E03711" w:rsidP="006F22C8">
            <w:pPr>
              <w:pStyle w:val="GUIDE-NORMAL"/>
              <w:spacing w:before="60" w:after="60"/>
              <w:rPr>
                <w:rFonts w:cs="Tahoma"/>
                <w:lang w:val="sl-SI" w:eastAsia="en-GB"/>
              </w:rPr>
            </w:pPr>
            <w:r w:rsidRPr="00F769E0">
              <w:rPr>
                <w:rFonts w:cs="Tahoma"/>
                <w:lang w:val="sl-SI" w:eastAsia="en-GB"/>
              </w:rPr>
              <w:t>Od tega morata biti vsaj dva zaporedna dneva.</w:t>
            </w:r>
          </w:p>
        </w:tc>
      </w:tr>
      <w:tr w:rsidR="00E03711" w:rsidRPr="00A6094F" w14:paraId="7D398DF2" w14:textId="77777777" w:rsidTr="009874E3">
        <w:trPr>
          <w:cantSplit/>
          <w:trHeight w:val="159"/>
        </w:trPr>
        <w:tc>
          <w:tcPr>
            <w:tcW w:w="938" w:type="pct"/>
            <w:shd w:val="clear" w:color="auto" w:fill="FFFFFF"/>
            <w:vAlign w:val="center"/>
          </w:tcPr>
          <w:p w14:paraId="7D398DF0" w14:textId="77777777" w:rsidR="00E03711" w:rsidRPr="00F769E0" w:rsidRDefault="00E03711" w:rsidP="006F22C8">
            <w:pPr>
              <w:pStyle w:val="Guide-Table"/>
              <w:spacing w:before="60" w:after="60"/>
              <w:jc w:val="left"/>
              <w:rPr>
                <w:rFonts w:cs="Tahoma"/>
                <w:b/>
                <w:lang w:val="sl-SI" w:eastAsia="en-GB"/>
              </w:rPr>
            </w:pPr>
            <w:r w:rsidRPr="00F769E0">
              <w:rPr>
                <w:rFonts w:cs="Tahoma"/>
                <w:b/>
                <w:lang w:val="sl-SI" w:eastAsia="en-GB"/>
              </w:rPr>
              <w:t>Kraji izvajanja aktivnosti</w:t>
            </w:r>
          </w:p>
        </w:tc>
        <w:tc>
          <w:tcPr>
            <w:tcW w:w="4062" w:type="pct"/>
            <w:shd w:val="clear" w:color="auto" w:fill="FFFFFF"/>
            <w:vAlign w:val="center"/>
          </w:tcPr>
          <w:p w14:paraId="7D398DF1" w14:textId="77777777" w:rsidR="00E03711" w:rsidRPr="00F769E0" w:rsidRDefault="00E03711" w:rsidP="006F22C8">
            <w:pPr>
              <w:pStyle w:val="GUIDE-NORMAL"/>
              <w:spacing w:before="60" w:after="60"/>
              <w:rPr>
                <w:rFonts w:cs="Tahoma"/>
                <w:lang w:val="sl-SI" w:eastAsia="en-GB"/>
              </w:rPr>
            </w:pPr>
            <w:r w:rsidRPr="00F769E0">
              <w:rPr>
                <w:rFonts w:cs="Tahoma"/>
                <w:lang w:val="sl-SI" w:eastAsia="en-GB"/>
              </w:rPr>
              <w:t>Aktivnost se mora izvajati v državi ene od organizacij, ki sodelujejo v aktivnosti.</w:t>
            </w:r>
          </w:p>
        </w:tc>
      </w:tr>
      <w:tr w:rsidR="00E03711" w:rsidRPr="00A6094F" w14:paraId="7D398DF5" w14:textId="77777777" w:rsidTr="009874E3">
        <w:trPr>
          <w:cantSplit/>
          <w:trHeight w:val="159"/>
        </w:trPr>
        <w:tc>
          <w:tcPr>
            <w:tcW w:w="938" w:type="pct"/>
            <w:shd w:val="clear" w:color="auto" w:fill="FFFFFF"/>
            <w:vAlign w:val="center"/>
          </w:tcPr>
          <w:p w14:paraId="7D398DF3" w14:textId="77777777" w:rsidR="00E03711" w:rsidRPr="00F769E0" w:rsidRDefault="00E03711" w:rsidP="006F22C8">
            <w:pPr>
              <w:pStyle w:val="Guide-Table"/>
              <w:spacing w:before="60" w:after="60"/>
              <w:jc w:val="left"/>
              <w:rPr>
                <w:rFonts w:cs="Tahoma"/>
                <w:b/>
                <w:lang w:val="sl-SI" w:eastAsia="en-GB"/>
              </w:rPr>
            </w:pPr>
            <w:r w:rsidRPr="00F769E0">
              <w:rPr>
                <w:rFonts w:cs="Tahoma"/>
                <w:b/>
                <w:lang w:val="sl-SI" w:eastAsia="en-GB"/>
              </w:rPr>
              <w:t>Upravičeni udeleženci</w:t>
            </w:r>
          </w:p>
        </w:tc>
        <w:tc>
          <w:tcPr>
            <w:tcW w:w="4062" w:type="pct"/>
            <w:shd w:val="clear" w:color="auto" w:fill="FFFFFF"/>
            <w:vAlign w:val="center"/>
          </w:tcPr>
          <w:p w14:paraId="7D398DF4" w14:textId="77777777" w:rsidR="00E03711" w:rsidRPr="00F769E0" w:rsidRDefault="00E03711" w:rsidP="006F22C8">
            <w:pPr>
              <w:pStyle w:val="GUIDE-NORMAL"/>
              <w:spacing w:before="60" w:after="60"/>
              <w:rPr>
                <w:rFonts w:cs="Tahoma"/>
                <w:lang w:val="sl-SI" w:eastAsia="en-GB"/>
              </w:rPr>
            </w:pPr>
            <w:r w:rsidRPr="00F769E0">
              <w:rPr>
                <w:rFonts w:cs="Tahoma"/>
                <w:lang w:val="sl-SI" w:eastAsia="en-GB"/>
              </w:rPr>
              <w:t>Ni starostnih omejitev. Udeleženci, razen vodij usposabljanja in pomočnikov, morajo biti iz države njihove organizacije pošiljateljice ali gostiteljice.</w:t>
            </w:r>
          </w:p>
        </w:tc>
      </w:tr>
      <w:tr w:rsidR="00E03711" w:rsidRPr="00A6094F" w14:paraId="7D398DF9" w14:textId="77777777" w:rsidTr="009874E3">
        <w:trPr>
          <w:cantSplit/>
          <w:trHeight w:val="159"/>
        </w:trPr>
        <w:tc>
          <w:tcPr>
            <w:tcW w:w="938" w:type="pct"/>
            <w:shd w:val="clear" w:color="auto" w:fill="FFFFFF"/>
            <w:vAlign w:val="center"/>
          </w:tcPr>
          <w:p w14:paraId="7D398DF6" w14:textId="77777777" w:rsidR="00E03711" w:rsidRPr="00F769E0" w:rsidRDefault="00E03711" w:rsidP="006F22C8">
            <w:pPr>
              <w:pStyle w:val="GUIDE-NORMAL"/>
              <w:spacing w:before="60" w:after="60"/>
              <w:rPr>
                <w:rFonts w:cs="Tahoma"/>
                <w:b/>
                <w:lang w:val="sl-SI" w:eastAsia="en-GB"/>
              </w:rPr>
            </w:pPr>
            <w:r w:rsidRPr="00F769E0">
              <w:rPr>
                <w:rFonts w:cs="Tahoma"/>
                <w:b/>
                <w:lang w:val="sl-SI" w:eastAsia="en-GB"/>
              </w:rPr>
              <w:t xml:space="preserve">Število </w:t>
            </w:r>
            <w:r w:rsidRPr="00F769E0">
              <w:rPr>
                <w:rFonts w:cs="Tahoma"/>
                <w:b/>
                <w:lang w:val="sl-SI" w:eastAsia="en-GB"/>
              </w:rPr>
              <w:br/>
              <w:t>udeležencev</w:t>
            </w:r>
          </w:p>
        </w:tc>
        <w:tc>
          <w:tcPr>
            <w:tcW w:w="4062" w:type="pct"/>
            <w:shd w:val="clear" w:color="auto" w:fill="FFFFFF"/>
            <w:vAlign w:val="center"/>
          </w:tcPr>
          <w:p w14:paraId="7D398DF7" w14:textId="77777777" w:rsidR="00E03711" w:rsidRPr="00F769E0" w:rsidRDefault="00E03711" w:rsidP="006F22C8">
            <w:pPr>
              <w:pStyle w:val="GUIDE-NORMAL"/>
              <w:spacing w:before="60" w:after="60"/>
              <w:rPr>
                <w:rFonts w:cs="Tahoma"/>
                <w:lang w:val="sl-SI" w:eastAsia="en-GB"/>
              </w:rPr>
            </w:pPr>
            <w:r w:rsidRPr="00F769E0">
              <w:rPr>
                <w:rFonts w:cs="Tahoma"/>
                <w:lang w:val="sl-SI" w:eastAsia="en-GB"/>
              </w:rPr>
              <w:t>Največ 50 udeležencev (kamor so po potrebi zajeti vodje usposabljanja in pomočniki) v posamezni aktivnosti, ki je načrtovana za projekt.</w:t>
            </w:r>
          </w:p>
          <w:p w14:paraId="7D398DF8" w14:textId="77777777" w:rsidR="00E03711" w:rsidRPr="00F769E0" w:rsidRDefault="00E03711" w:rsidP="006F22C8">
            <w:pPr>
              <w:pStyle w:val="GUIDE-NORMAL"/>
              <w:spacing w:before="60" w:after="60"/>
              <w:rPr>
                <w:rFonts w:cs="Tahoma"/>
                <w:lang w:val="sl-SI" w:eastAsia="en-GB"/>
              </w:rPr>
            </w:pPr>
            <w:r w:rsidRPr="00F769E0">
              <w:rPr>
                <w:rFonts w:cs="Tahoma"/>
                <w:lang w:val="sl-SI" w:eastAsia="en-GB"/>
              </w:rPr>
              <w:t>Udeleženci iz države organizacije gostiteljice morajo biti udeleženi v vsaki aktivnosti.</w:t>
            </w:r>
          </w:p>
        </w:tc>
      </w:tr>
      <w:tr w:rsidR="00E03711" w:rsidRPr="00A6094F" w14:paraId="7D398DFC" w14:textId="77777777" w:rsidTr="009874E3">
        <w:trPr>
          <w:cantSplit/>
          <w:trHeight w:val="159"/>
        </w:trPr>
        <w:tc>
          <w:tcPr>
            <w:tcW w:w="938" w:type="pct"/>
            <w:shd w:val="clear" w:color="auto" w:fill="FFFFFF"/>
            <w:vAlign w:val="center"/>
          </w:tcPr>
          <w:p w14:paraId="7D398DFA" w14:textId="77777777" w:rsidR="00E03711" w:rsidRPr="00F769E0" w:rsidRDefault="00E03711" w:rsidP="006F22C8">
            <w:pPr>
              <w:pStyle w:val="Guide-Table"/>
              <w:spacing w:before="60" w:after="60"/>
              <w:jc w:val="left"/>
              <w:rPr>
                <w:rFonts w:cs="Tahoma"/>
                <w:b/>
                <w:lang w:val="sl-SI" w:eastAsia="en-GB"/>
              </w:rPr>
            </w:pPr>
            <w:r w:rsidRPr="00F769E0">
              <w:rPr>
                <w:rFonts w:cs="Tahoma"/>
                <w:b/>
                <w:lang w:val="sl-SI" w:eastAsia="en-GB"/>
              </w:rPr>
              <w:t>Druga merila</w:t>
            </w:r>
          </w:p>
        </w:tc>
        <w:tc>
          <w:tcPr>
            <w:tcW w:w="4062" w:type="pct"/>
            <w:shd w:val="clear" w:color="auto" w:fill="FFFFFF"/>
            <w:vAlign w:val="center"/>
          </w:tcPr>
          <w:p w14:paraId="7D398DFB" w14:textId="77777777" w:rsidR="00E03711" w:rsidRPr="00F769E0" w:rsidRDefault="00E03711" w:rsidP="006F22C8">
            <w:pPr>
              <w:pStyle w:val="GUIDE-NORMAL"/>
              <w:spacing w:before="60" w:after="60"/>
              <w:rPr>
                <w:rFonts w:cs="Tahoma"/>
                <w:lang w:val="sl-SI" w:eastAsia="en-GB"/>
              </w:rPr>
            </w:pPr>
            <w:r w:rsidRPr="00F769E0">
              <w:rPr>
                <w:rFonts w:cs="Tahoma"/>
                <w:lang w:val="sl-SI" w:eastAsia="en-GB"/>
              </w:rPr>
              <w:t>Za ohranjanje jasne povezave z državo, v kateri ima nacionalna agencija sedež, mora imeti vsaj ena od organizacij pošiljateljic ali organizacija gostiteljica</w:t>
            </w:r>
            <w:r w:rsidRPr="00F769E0">
              <w:rPr>
                <w:rFonts w:cs="Tahoma"/>
                <w:spacing w:val="-19"/>
                <w:lang w:val="sl-SI" w:eastAsia="en-GB"/>
              </w:rPr>
              <w:t xml:space="preserve"> </w:t>
            </w:r>
            <w:r w:rsidRPr="00F769E0">
              <w:rPr>
                <w:rFonts w:cs="Tahoma"/>
                <w:lang w:val="sl-SI" w:eastAsia="en-GB"/>
              </w:rPr>
              <w:t>za</w:t>
            </w:r>
            <w:r w:rsidRPr="00F769E0">
              <w:rPr>
                <w:rFonts w:cs="Tahoma"/>
                <w:spacing w:val="-19"/>
                <w:lang w:val="sl-SI" w:eastAsia="en-GB"/>
              </w:rPr>
              <w:t xml:space="preserve"> </w:t>
            </w:r>
            <w:r w:rsidRPr="00F769E0">
              <w:rPr>
                <w:rFonts w:cs="Tahoma"/>
                <w:lang w:val="sl-SI" w:eastAsia="en-GB"/>
              </w:rPr>
              <w:t>posamezno</w:t>
            </w:r>
            <w:r w:rsidRPr="00F769E0">
              <w:rPr>
                <w:rFonts w:cs="Tahoma"/>
                <w:spacing w:val="-19"/>
                <w:lang w:val="sl-SI" w:eastAsia="en-GB"/>
              </w:rPr>
              <w:t xml:space="preserve"> </w:t>
            </w:r>
            <w:r w:rsidRPr="00F769E0">
              <w:rPr>
                <w:rFonts w:cs="Tahoma"/>
                <w:lang w:val="sl-SI" w:eastAsia="en-GB"/>
              </w:rPr>
              <w:t>aktivnost</w:t>
            </w:r>
            <w:r w:rsidRPr="00F769E0">
              <w:rPr>
                <w:rFonts w:cs="Tahoma"/>
                <w:spacing w:val="-19"/>
                <w:lang w:val="sl-SI" w:eastAsia="en-GB"/>
              </w:rPr>
              <w:t xml:space="preserve"> </w:t>
            </w:r>
            <w:r w:rsidRPr="00F769E0">
              <w:rPr>
                <w:rFonts w:cs="Tahoma"/>
                <w:lang w:val="sl-SI" w:eastAsia="en-GB"/>
              </w:rPr>
              <w:t>sedež</w:t>
            </w:r>
            <w:r w:rsidRPr="00F769E0">
              <w:rPr>
                <w:rFonts w:cs="Tahoma"/>
                <w:spacing w:val="-19"/>
                <w:lang w:val="sl-SI" w:eastAsia="en-GB"/>
              </w:rPr>
              <w:t xml:space="preserve"> </w:t>
            </w:r>
            <w:r w:rsidRPr="00F769E0">
              <w:rPr>
                <w:rFonts w:cs="Tahoma"/>
                <w:lang w:val="sl-SI" w:eastAsia="en-GB"/>
              </w:rPr>
              <w:t>v</w:t>
            </w:r>
            <w:r w:rsidRPr="00F769E0">
              <w:rPr>
                <w:rFonts w:cs="Tahoma"/>
                <w:spacing w:val="-19"/>
                <w:lang w:val="sl-SI" w:eastAsia="en-GB"/>
              </w:rPr>
              <w:t xml:space="preserve"> </w:t>
            </w:r>
            <w:r w:rsidRPr="00F769E0">
              <w:rPr>
                <w:rFonts w:cs="Tahoma"/>
                <w:lang w:val="sl-SI" w:eastAsia="en-GB"/>
              </w:rPr>
              <w:t>državi</w:t>
            </w:r>
            <w:r w:rsidRPr="00F769E0">
              <w:rPr>
                <w:rFonts w:cs="Tahoma"/>
                <w:spacing w:val="-19"/>
                <w:lang w:val="sl-SI" w:eastAsia="en-GB"/>
              </w:rPr>
              <w:t xml:space="preserve"> </w:t>
            </w:r>
            <w:r w:rsidRPr="00F769E0">
              <w:rPr>
                <w:rFonts w:cs="Tahoma"/>
                <w:lang w:val="sl-SI" w:eastAsia="en-GB"/>
              </w:rPr>
              <w:t>nacionalne</w:t>
            </w:r>
            <w:r w:rsidRPr="00F769E0">
              <w:rPr>
                <w:rFonts w:cs="Tahoma"/>
                <w:spacing w:val="-19"/>
                <w:lang w:val="sl-SI" w:eastAsia="en-GB"/>
              </w:rPr>
              <w:t xml:space="preserve"> </w:t>
            </w:r>
            <w:r w:rsidRPr="00F769E0">
              <w:rPr>
                <w:rFonts w:cs="Tahoma"/>
                <w:lang w:val="sl-SI" w:eastAsia="en-GB"/>
              </w:rPr>
              <w:t>agencije,</w:t>
            </w:r>
            <w:r w:rsidRPr="00F769E0">
              <w:rPr>
                <w:rFonts w:cs="Tahoma"/>
                <w:spacing w:val="-19"/>
                <w:lang w:val="sl-SI" w:eastAsia="en-GB"/>
              </w:rPr>
              <w:t xml:space="preserve"> </w:t>
            </w:r>
            <w:r w:rsidRPr="00F769E0">
              <w:rPr>
                <w:rFonts w:cs="Tahoma"/>
                <w:lang w:val="sl-SI" w:eastAsia="en-GB"/>
              </w:rPr>
              <w:t>ki prejme</w:t>
            </w:r>
            <w:r w:rsidRPr="00F769E0">
              <w:rPr>
                <w:rFonts w:cs="Tahoma"/>
                <w:spacing w:val="-2"/>
                <w:lang w:val="sl-SI" w:eastAsia="en-GB"/>
              </w:rPr>
              <w:t xml:space="preserve"> </w:t>
            </w:r>
            <w:r w:rsidRPr="00F769E0">
              <w:rPr>
                <w:rFonts w:cs="Tahoma"/>
                <w:lang w:val="sl-SI" w:eastAsia="en-GB"/>
              </w:rPr>
              <w:t>prijavo.</w:t>
            </w:r>
          </w:p>
        </w:tc>
      </w:tr>
    </w:tbl>
    <w:p w14:paraId="7D398DFD" w14:textId="77777777" w:rsidR="00E03711" w:rsidRPr="001048FE" w:rsidRDefault="00E03711" w:rsidP="006F22C8">
      <w:pPr>
        <w:pStyle w:val="GUIDE-NORMAL"/>
        <w:rPr>
          <w:lang w:val="sl-SI"/>
        </w:rPr>
      </w:pPr>
      <w:r w:rsidRPr="001048FE">
        <w:rPr>
          <w:lang w:val="sl-SI"/>
        </w:rPr>
        <w:t>Organizacije prijaviteljice bodo ocenjene z ustreznimi merili za izključitev in izbor. Za več informacij glej del C tega vodnika.</w:t>
      </w:r>
    </w:p>
    <w:p w14:paraId="7D398DFE" w14:textId="77777777" w:rsidR="00E03711" w:rsidRPr="001048FE" w:rsidRDefault="00E03711" w:rsidP="006F22C8">
      <w:pPr>
        <w:pStyle w:val="Guide-Heading7"/>
        <w:rPr>
          <w:lang w:val="sl-SI"/>
        </w:rPr>
      </w:pPr>
      <w:r w:rsidRPr="001048FE">
        <w:rPr>
          <w:lang w:val="sl-SI"/>
        </w:rPr>
        <w:t>Merila za dodelitev</w:t>
      </w:r>
    </w:p>
    <w:p w14:paraId="7D398DFF" w14:textId="77777777" w:rsidR="00E03711" w:rsidRPr="001048FE" w:rsidRDefault="00E03711" w:rsidP="006F22C8">
      <w:pPr>
        <w:pStyle w:val="GUIDE-NORMAL"/>
        <w:rPr>
          <w:lang w:val="sl-SI"/>
        </w:rPr>
      </w:pPr>
      <w:r w:rsidRPr="001048FE">
        <w:rPr>
          <w:lang w:val="sl-SI"/>
        </w:rPr>
        <w:t>Projekti bodo ocenjeni z naslednjimi merili:</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Look w:val="0000" w:firstRow="0" w:lastRow="0" w:firstColumn="0" w:lastColumn="0" w:noHBand="0" w:noVBand="0"/>
      </w:tblPr>
      <w:tblGrid>
        <w:gridCol w:w="1566"/>
        <w:gridCol w:w="7724"/>
      </w:tblGrid>
      <w:tr w:rsidR="00E03711" w:rsidRPr="00A6094F" w14:paraId="7D398E0D" w14:textId="77777777" w:rsidTr="00247250">
        <w:trPr>
          <w:cantSplit/>
          <w:trHeight w:val="454"/>
        </w:trPr>
        <w:tc>
          <w:tcPr>
            <w:tcW w:w="843" w:type="pct"/>
            <w:shd w:val="clear" w:color="auto" w:fill="FFFFFF"/>
            <w:vAlign w:val="center"/>
          </w:tcPr>
          <w:p w14:paraId="7D398E00" w14:textId="77777777" w:rsidR="00E03711" w:rsidRPr="00F769E0" w:rsidRDefault="00E03711" w:rsidP="00587110">
            <w:pPr>
              <w:pStyle w:val="GUIDE-NORMAL"/>
              <w:spacing w:before="60" w:after="60"/>
              <w:jc w:val="left"/>
              <w:rPr>
                <w:rFonts w:cs="Tahoma"/>
                <w:b/>
                <w:lang w:val="sl-SI" w:eastAsia="en-GB"/>
              </w:rPr>
            </w:pPr>
            <w:r w:rsidRPr="00F769E0">
              <w:rPr>
                <w:rFonts w:cs="Tahoma"/>
                <w:b/>
                <w:lang w:val="sl-SI" w:eastAsia="en-GB"/>
              </w:rPr>
              <w:t xml:space="preserve">Ustreznost projekta </w:t>
            </w:r>
            <w:r w:rsidRPr="00F769E0">
              <w:rPr>
                <w:rFonts w:cs="Tahoma"/>
                <w:b/>
                <w:lang w:val="sl-SI" w:eastAsia="en-GB"/>
              </w:rPr>
              <w:br/>
              <w:t>(največ 30 točk)</w:t>
            </w:r>
          </w:p>
        </w:tc>
        <w:tc>
          <w:tcPr>
            <w:tcW w:w="4157" w:type="pct"/>
            <w:shd w:val="clear" w:color="auto" w:fill="FFFFFF"/>
          </w:tcPr>
          <w:p w14:paraId="7D398E01" w14:textId="77777777" w:rsidR="00E03711" w:rsidRPr="001048FE" w:rsidRDefault="00E03711" w:rsidP="005115F2">
            <w:pPr>
              <w:pStyle w:val="Guide-NormalBulletpoints"/>
              <w:numPr>
                <w:ilvl w:val="0"/>
                <w:numId w:val="126"/>
              </w:numPr>
              <w:spacing w:before="60"/>
              <w:rPr>
                <w:lang w:val="sl-SI"/>
              </w:rPr>
            </w:pPr>
            <w:r w:rsidRPr="001048FE">
              <w:rPr>
                <w:lang w:val="sl-SI"/>
              </w:rPr>
              <w:t>Ustreznost predloga v zvezi s:</w:t>
            </w:r>
          </w:p>
          <w:p w14:paraId="7D398E02" w14:textId="77777777" w:rsidR="00E03711" w:rsidRPr="001048FE" w:rsidRDefault="00E03711" w:rsidP="00587110">
            <w:pPr>
              <w:pStyle w:val="Guide-ListDash"/>
              <w:spacing w:before="60" w:after="60"/>
              <w:rPr>
                <w:lang w:val="sl-SI"/>
              </w:rPr>
            </w:pPr>
            <w:r w:rsidRPr="001048FE">
              <w:rPr>
                <w:lang w:val="sl-SI"/>
              </w:rPr>
              <w:t>cilji ukrepa (glej poglavje „Kakšni so cilji projekta mobilnosti?“);</w:t>
            </w:r>
          </w:p>
          <w:p w14:paraId="7D398E03" w14:textId="77777777" w:rsidR="00E03711" w:rsidRPr="001048FE" w:rsidRDefault="00E03711" w:rsidP="00587110">
            <w:pPr>
              <w:pStyle w:val="Guide-ListDash"/>
              <w:spacing w:before="60" w:after="60"/>
              <w:rPr>
                <w:lang w:val="sl-SI"/>
              </w:rPr>
            </w:pPr>
            <w:r w:rsidRPr="001048FE">
              <w:rPr>
                <w:lang w:val="sl-SI"/>
              </w:rPr>
              <w:t>potrebami in cilji sodelujočih organizacij in posameznih udeležencev;</w:t>
            </w:r>
          </w:p>
          <w:p w14:paraId="7D398E04" w14:textId="77777777" w:rsidR="00E03711" w:rsidRPr="001048FE" w:rsidRDefault="00E03711" w:rsidP="005115F2">
            <w:pPr>
              <w:pStyle w:val="Guide-NormalBulletpoints"/>
              <w:numPr>
                <w:ilvl w:val="0"/>
                <w:numId w:val="127"/>
              </w:numPr>
              <w:spacing w:before="60"/>
              <w:rPr>
                <w:lang w:val="sl-SI"/>
              </w:rPr>
            </w:pPr>
            <w:r w:rsidRPr="001048FE">
              <w:rPr>
                <w:lang w:val="sl-SI"/>
              </w:rPr>
              <w:t>v kolikšni meri je predlog primeren za:</w:t>
            </w:r>
          </w:p>
          <w:p w14:paraId="7D398E05" w14:textId="77777777" w:rsidR="00E03711" w:rsidRPr="001048FE" w:rsidRDefault="00E03711" w:rsidP="00587110">
            <w:pPr>
              <w:pStyle w:val="Guide-ListDash"/>
              <w:spacing w:before="60" w:after="60"/>
              <w:rPr>
                <w:lang w:val="sl-SI"/>
              </w:rPr>
            </w:pPr>
            <w:r w:rsidRPr="001048FE">
              <w:rPr>
                <w:lang w:val="sl-SI"/>
              </w:rPr>
              <w:t>doseganje mladih z manj priložnostmi, vključno z begunci, prosilci za azil in migranti;</w:t>
            </w:r>
          </w:p>
          <w:p w14:paraId="7D398E06" w14:textId="77777777" w:rsidR="00E03711" w:rsidRPr="001048FE" w:rsidRDefault="00E03711" w:rsidP="00587110">
            <w:pPr>
              <w:pStyle w:val="Guide-ListDash"/>
              <w:spacing w:before="60" w:after="60"/>
              <w:rPr>
                <w:lang w:val="sl-SI"/>
              </w:rPr>
            </w:pPr>
            <w:r w:rsidRPr="001048FE">
              <w:rPr>
                <w:lang w:val="sl-SI"/>
              </w:rPr>
              <w:t>spodbujanje raznolikosti, medkulturnega in medverskega dialoga, skupnih vrednot svobode, strpnosti in spoštovanja človekovih pravic kot tudi za projekte za izboljšanje medijske pismenosti, kritičnega razmišljanja in smisla za pobudo med mladimi;</w:t>
            </w:r>
          </w:p>
          <w:p w14:paraId="7D398E07" w14:textId="77777777" w:rsidR="00E03711" w:rsidRPr="001048FE" w:rsidRDefault="00E03711" w:rsidP="00587110">
            <w:pPr>
              <w:pStyle w:val="Guide-ListDash"/>
              <w:spacing w:before="60" w:after="60"/>
              <w:rPr>
                <w:lang w:val="sl-SI"/>
              </w:rPr>
            </w:pPr>
            <w:r w:rsidRPr="00FC4A70">
              <w:rPr>
                <w:rFonts w:eastAsia="Calibri" w:cs="Calibri"/>
                <w:bdr w:val="nil"/>
                <w:lang w:val="sl-SI"/>
              </w:rPr>
              <w:t>opremljanje mladinskih delavcev s kompetencami in metodami za njihov profesionalni razvoj, vključno za digitalno mladinsko delo, ki so potrebne za prenos skupnih temeljnih vrednot naše družbe zlasti na tiste mlade, ki jih je težko doseči, in za preprečevanje nasilne radikalizacije mladih</w:t>
            </w:r>
            <w:r w:rsidRPr="001048FE">
              <w:rPr>
                <w:lang w:val="sl-SI"/>
              </w:rPr>
              <w:t>;</w:t>
            </w:r>
          </w:p>
          <w:p w14:paraId="7D398E08" w14:textId="77777777" w:rsidR="00E03711" w:rsidRPr="001048FE" w:rsidRDefault="00E03711" w:rsidP="005115F2">
            <w:pPr>
              <w:pStyle w:val="Guide-NormalBulletpoints"/>
              <w:numPr>
                <w:ilvl w:val="0"/>
                <w:numId w:val="127"/>
              </w:numPr>
              <w:spacing w:before="60"/>
              <w:rPr>
                <w:lang w:val="sl-SI"/>
              </w:rPr>
            </w:pPr>
            <w:r w:rsidRPr="001048FE">
              <w:rPr>
                <w:lang w:val="sl-SI"/>
              </w:rPr>
              <w:t>v kolikšni meri je predlog primeren za:</w:t>
            </w:r>
          </w:p>
          <w:p w14:paraId="7D398E09" w14:textId="77777777" w:rsidR="00E03711" w:rsidRPr="001048FE" w:rsidRDefault="00E03711" w:rsidP="00587110">
            <w:pPr>
              <w:pStyle w:val="Guide-ListDash"/>
              <w:spacing w:before="60" w:after="60"/>
              <w:rPr>
                <w:lang w:val="sl-SI"/>
              </w:rPr>
            </w:pPr>
            <w:r w:rsidRPr="001048FE">
              <w:rPr>
                <w:lang w:val="sl-SI"/>
              </w:rPr>
              <w:t>doseganje visokokakovostnih učnih izidov za udeležence;</w:t>
            </w:r>
          </w:p>
          <w:p w14:paraId="7D398E0A" w14:textId="77777777" w:rsidR="00E03711" w:rsidRDefault="00E03711" w:rsidP="00587110">
            <w:pPr>
              <w:pStyle w:val="Guide-ListDash"/>
              <w:spacing w:before="60" w:after="60"/>
              <w:rPr>
                <w:lang w:val="sl-SI"/>
              </w:rPr>
            </w:pPr>
            <w:r w:rsidRPr="001048FE">
              <w:rPr>
                <w:lang w:val="sl-SI"/>
              </w:rPr>
              <w:t>krepitev zmogljivosti in mednarodne razsežnosti sodelujočih organizacij;</w:t>
            </w:r>
          </w:p>
          <w:p w14:paraId="7D398E0B" w14:textId="77777777" w:rsidR="00E03711" w:rsidRPr="002B5777" w:rsidRDefault="00E03711" w:rsidP="00587110">
            <w:pPr>
              <w:pStyle w:val="Guide-ListDash"/>
              <w:spacing w:before="60" w:after="60"/>
              <w:rPr>
                <w:lang w:val="sl-SI"/>
              </w:rPr>
            </w:pPr>
            <w:r w:rsidRPr="00FC4A70">
              <w:rPr>
                <w:rFonts w:eastAsia="Calibri" w:cs="Calibri"/>
                <w:bdr w:val="nil"/>
                <w:lang w:val="sl-SI"/>
              </w:rPr>
              <w:t>vodi v izboljšanje kakovosti mladinskega dela sodelujoče organizacije</w:t>
            </w:r>
            <w:r w:rsidRPr="002B5777">
              <w:rPr>
                <w:rFonts w:eastAsia="Calibri" w:cs="Calibri"/>
                <w:bdr w:val="nil"/>
                <w:lang w:val="sl-SI"/>
              </w:rPr>
              <w:t>;</w:t>
            </w:r>
          </w:p>
          <w:p w14:paraId="7D398E0C" w14:textId="77777777" w:rsidR="00E03711" w:rsidRPr="001048FE" w:rsidRDefault="00E03711" w:rsidP="005115F2">
            <w:pPr>
              <w:pStyle w:val="Guide-NormalBulletpoints"/>
              <w:numPr>
                <w:ilvl w:val="0"/>
                <w:numId w:val="127"/>
              </w:numPr>
              <w:spacing w:before="60"/>
              <w:rPr>
                <w:lang w:val="sl-SI"/>
              </w:rPr>
            </w:pPr>
            <w:r w:rsidRPr="001048FE">
              <w:rPr>
                <w:lang w:val="sl-SI"/>
              </w:rPr>
              <w:t>v kolikšni meri projekt v ukrep vključuje nove udeležence.</w:t>
            </w:r>
          </w:p>
        </w:tc>
      </w:tr>
      <w:tr w:rsidR="00E03711" w:rsidRPr="00A6094F" w14:paraId="7D398E19" w14:textId="77777777" w:rsidTr="001610AB">
        <w:trPr>
          <w:cantSplit/>
          <w:trHeight w:val="454"/>
        </w:trPr>
        <w:tc>
          <w:tcPr>
            <w:tcW w:w="843" w:type="pct"/>
            <w:tcBorders>
              <w:bottom w:val="dashed" w:sz="4" w:space="0" w:color="auto"/>
            </w:tcBorders>
            <w:shd w:val="clear" w:color="auto" w:fill="FFFFFF"/>
            <w:vAlign w:val="center"/>
          </w:tcPr>
          <w:p w14:paraId="7D398E0E" w14:textId="77777777" w:rsidR="00E03711" w:rsidRPr="00F769E0" w:rsidRDefault="00E03711" w:rsidP="00587110">
            <w:pPr>
              <w:pStyle w:val="GUIDE-NORMAL"/>
              <w:spacing w:before="60" w:after="60"/>
              <w:jc w:val="left"/>
              <w:rPr>
                <w:rFonts w:cs="Tahoma"/>
                <w:b/>
                <w:lang w:val="sl-SI" w:eastAsia="en-GB"/>
              </w:rPr>
            </w:pPr>
            <w:r w:rsidRPr="00F769E0">
              <w:rPr>
                <w:rFonts w:cs="Tahoma"/>
                <w:b/>
                <w:lang w:val="sl-SI" w:eastAsia="en-GB"/>
              </w:rPr>
              <w:t>Kakovost zasnove in izvedbe projekta (največ 40 točk)</w:t>
            </w:r>
          </w:p>
        </w:tc>
        <w:tc>
          <w:tcPr>
            <w:tcW w:w="4157" w:type="pct"/>
            <w:tcBorders>
              <w:bottom w:val="dashed" w:sz="4" w:space="0" w:color="auto"/>
            </w:tcBorders>
            <w:shd w:val="clear" w:color="auto" w:fill="FFFFFF"/>
          </w:tcPr>
          <w:p w14:paraId="7D398E0F" w14:textId="77777777" w:rsidR="00E03711" w:rsidRPr="004E4C36" w:rsidRDefault="00E03711" w:rsidP="00860232">
            <w:pPr>
              <w:pStyle w:val="Guide-ListDash"/>
              <w:rPr>
                <w:lang w:val="sl-SI"/>
              </w:rPr>
            </w:pPr>
            <w:r w:rsidRPr="004E4C36">
              <w:rPr>
                <w:lang w:val="sl-SI"/>
              </w:rPr>
              <w:t>Jasnost, celovitost in kakovost vseh faz predloga projekta (priprava, izvajanje aktivnosti mobilnosti in nadaljnje spremljanje);</w:t>
            </w:r>
          </w:p>
          <w:p w14:paraId="7D398E10" w14:textId="77777777" w:rsidR="00E03711" w:rsidRPr="004E4C36" w:rsidRDefault="00E03711" w:rsidP="00860232">
            <w:pPr>
              <w:pStyle w:val="Guide-ListDash"/>
              <w:rPr>
                <w:lang w:val="sl-SI"/>
              </w:rPr>
            </w:pPr>
            <w:r w:rsidRPr="004E4C36">
              <w:rPr>
                <w:bdr w:val="nil"/>
                <w:lang w:val="sl-SI"/>
              </w:rPr>
              <w:t>usklajenost prepoznanih potreb, ciljev projekta, profilov sodelujočih in izobraževalnih vsebin predlaganih aktivnosti;</w:t>
            </w:r>
          </w:p>
          <w:p w14:paraId="7D398E11" w14:textId="77777777" w:rsidR="00E03711" w:rsidRPr="004E4C36" w:rsidRDefault="00E03711" w:rsidP="00860232">
            <w:pPr>
              <w:pStyle w:val="Guide-ListDash"/>
              <w:rPr>
                <w:lang w:val="sl-SI"/>
              </w:rPr>
            </w:pPr>
            <w:r w:rsidRPr="004E4C36">
              <w:rPr>
                <w:lang w:val="sl-SI"/>
              </w:rPr>
              <w:t>kakovost praktičnih ureditev, načinov upravljanja in podpore;</w:t>
            </w:r>
          </w:p>
          <w:p w14:paraId="7D398E12" w14:textId="77777777" w:rsidR="00E03711" w:rsidRPr="004E4C36" w:rsidRDefault="00E03711" w:rsidP="00860232">
            <w:pPr>
              <w:pStyle w:val="Guide-ListDash"/>
              <w:rPr>
                <w:lang w:val="sl-SI"/>
              </w:rPr>
            </w:pPr>
            <w:r w:rsidRPr="004E4C36">
              <w:rPr>
                <w:lang w:val="sl-SI"/>
              </w:rPr>
              <w:t>kakovost priprav, ki so zagotovljene udeležencem;</w:t>
            </w:r>
          </w:p>
          <w:p w14:paraId="7D398E13" w14:textId="77777777" w:rsidR="00E03711" w:rsidRPr="004E4C36" w:rsidRDefault="00E03711" w:rsidP="00860232">
            <w:pPr>
              <w:pStyle w:val="Guide-ListDash"/>
              <w:rPr>
                <w:lang w:val="sl-SI"/>
              </w:rPr>
            </w:pPr>
            <w:r w:rsidRPr="004E4C36">
              <w:rPr>
                <w:lang w:val="sl-SI"/>
              </w:rPr>
              <w:t>kakovost predlaganih participativnih metod neformalnega učenja;</w:t>
            </w:r>
          </w:p>
          <w:p w14:paraId="7D398E14" w14:textId="77777777" w:rsidR="00E03711" w:rsidRPr="004E4C36" w:rsidRDefault="00E03711" w:rsidP="00860232">
            <w:pPr>
              <w:pStyle w:val="Guide-ListDash"/>
              <w:rPr>
                <w:lang w:val="sl-SI"/>
              </w:rPr>
            </w:pPr>
            <w:r w:rsidRPr="004E4C36">
              <w:rPr>
                <w:bdr w:val="nil"/>
                <w:lang w:val="sl-SI"/>
              </w:rPr>
              <w:t>v kolikšni meri so mladi ali mladinski delavci dejavno udeleženi v vseh fazah projekta;</w:t>
            </w:r>
          </w:p>
          <w:p w14:paraId="7D398E15" w14:textId="77777777" w:rsidR="00E03711" w:rsidRPr="004E4C36" w:rsidRDefault="00E03711" w:rsidP="00860232">
            <w:pPr>
              <w:pStyle w:val="Guide-ListDash"/>
              <w:rPr>
                <w:lang w:val="sl-SI"/>
              </w:rPr>
            </w:pPr>
            <w:r w:rsidRPr="004E4C36">
              <w:rPr>
                <w:lang w:val="sl-SI"/>
              </w:rPr>
              <w:t>kakovost ureditev za priznavanje in potrjevanje učnih izidov udeležencev ter dosledna uporaba evropskih orodij za preglednost in priznavanje;</w:t>
            </w:r>
          </w:p>
          <w:p w14:paraId="7D398E16" w14:textId="77777777" w:rsidR="00E03711" w:rsidRPr="004E4C36" w:rsidRDefault="00E03711" w:rsidP="00860232">
            <w:pPr>
              <w:pStyle w:val="Guide-ListDash"/>
              <w:rPr>
                <w:lang w:val="sl-SI"/>
              </w:rPr>
            </w:pPr>
            <w:r w:rsidRPr="004E4C36">
              <w:rPr>
                <w:lang w:val="sl-SI"/>
              </w:rPr>
              <w:t>ustreznost ukrepov za izbor in/ali vključevanje udeležencev v aktivnosti mobilnosti;</w:t>
            </w:r>
          </w:p>
          <w:p w14:paraId="7D398E17" w14:textId="77777777" w:rsidR="00E03711" w:rsidRPr="004E4C36" w:rsidRDefault="00E03711" w:rsidP="00860232">
            <w:pPr>
              <w:pStyle w:val="Guide-ListDash"/>
              <w:rPr>
                <w:lang w:val="sl-SI"/>
              </w:rPr>
            </w:pPr>
            <w:r w:rsidRPr="004E4C36">
              <w:rPr>
                <w:lang w:val="sl-SI"/>
              </w:rPr>
              <w:t>v primeru aktivnosti s sosedskimi partnerskimi državami EU uravnotežena zastopanost organizacij iz držav Programa in partnerskih držav;</w:t>
            </w:r>
          </w:p>
          <w:p w14:paraId="7D398E18" w14:textId="77777777" w:rsidR="00E03711" w:rsidRPr="004E4C36" w:rsidRDefault="00E03711" w:rsidP="00860232">
            <w:pPr>
              <w:pStyle w:val="Guide-ListDash"/>
              <w:rPr>
                <w:lang w:val="sl-SI"/>
              </w:rPr>
            </w:pPr>
            <w:r w:rsidRPr="004E4C36">
              <w:rPr>
                <w:lang w:val="sl-SI"/>
              </w:rPr>
              <w:t>kakovost sodelovanja in obveščanja med sodelujočimi organizacijami in drugimi zadevnimi deležniki.</w:t>
            </w:r>
          </w:p>
        </w:tc>
      </w:tr>
      <w:tr w:rsidR="00E03711" w:rsidRPr="00A6094F" w14:paraId="7D398E20" w14:textId="77777777" w:rsidTr="001610AB">
        <w:trPr>
          <w:cantSplit/>
          <w:trHeight w:val="454"/>
        </w:trPr>
        <w:tc>
          <w:tcPr>
            <w:tcW w:w="843" w:type="pct"/>
            <w:tcBorders>
              <w:top w:val="dashed" w:sz="4" w:space="0" w:color="auto"/>
              <w:bottom w:val="single" w:sz="4" w:space="0" w:color="auto"/>
            </w:tcBorders>
            <w:shd w:val="clear" w:color="auto" w:fill="FFFFFF"/>
            <w:vAlign w:val="center"/>
          </w:tcPr>
          <w:p w14:paraId="7D398E1A" w14:textId="77777777" w:rsidR="00E03711" w:rsidRPr="00F769E0" w:rsidRDefault="00E03711" w:rsidP="00587110">
            <w:pPr>
              <w:pStyle w:val="GUIDE-NORMAL"/>
              <w:spacing w:before="60" w:after="60"/>
              <w:jc w:val="left"/>
              <w:rPr>
                <w:rFonts w:cs="Tahoma"/>
                <w:b/>
                <w:lang w:val="sl-SI" w:eastAsia="en-GB"/>
              </w:rPr>
            </w:pPr>
            <w:r w:rsidRPr="00F769E0">
              <w:rPr>
                <w:rFonts w:cs="Tahoma"/>
                <w:b/>
                <w:lang w:val="sl-SI" w:eastAsia="en-GB"/>
              </w:rPr>
              <w:t>Učinek in razširjanje (največ 30 točk)</w:t>
            </w:r>
          </w:p>
        </w:tc>
        <w:tc>
          <w:tcPr>
            <w:tcW w:w="4157" w:type="pct"/>
            <w:tcBorders>
              <w:top w:val="dashed" w:sz="4" w:space="0" w:color="auto"/>
              <w:bottom w:val="single" w:sz="4" w:space="0" w:color="auto"/>
            </w:tcBorders>
            <w:shd w:val="clear" w:color="auto" w:fill="FFFFFF"/>
          </w:tcPr>
          <w:p w14:paraId="7D398E1B" w14:textId="77777777" w:rsidR="00E03711" w:rsidRPr="001048FE" w:rsidRDefault="00E03711" w:rsidP="005115F2">
            <w:pPr>
              <w:pStyle w:val="Guide-NormalBulletpoints"/>
              <w:numPr>
                <w:ilvl w:val="0"/>
                <w:numId w:val="128"/>
              </w:numPr>
              <w:spacing w:before="60"/>
              <w:rPr>
                <w:lang w:val="sl-SI"/>
              </w:rPr>
            </w:pPr>
            <w:r w:rsidRPr="001048FE">
              <w:rPr>
                <w:lang w:val="sl-SI"/>
              </w:rPr>
              <w:t>Kakovost ukrepov za ocenjevanje rezultatov projekta;</w:t>
            </w:r>
          </w:p>
          <w:p w14:paraId="7D398E1C" w14:textId="77777777" w:rsidR="00E03711" w:rsidRPr="001048FE" w:rsidRDefault="00E03711" w:rsidP="005115F2">
            <w:pPr>
              <w:pStyle w:val="Guide-NormalBulletpoints"/>
              <w:numPr>
                <w:ilvl w:val="0"/>
                <w:numId w:val="128"/>
              </w:numPr>
              <w:spacing w:before="60"/>
              <w:rPr>
                <w:lang w:val="sl-SI"/>
              </w:rPr>
            </w:pPr>
            <w:r w:rsidRPr="001048FE">
              <w:rPr>
                <w:lang w:val="sl-SI"/>
              </w:rPr>
              <w:t>morebitni učinek projekta:</w:t>
            </w:r>
          </w:p>
          <w:p w14:paraId="7D398E1D" w14:textId="77777777" w:rsidR="00E03711" w:rsidRPr="001048FE" w:rsidRDefault="00E03711" w:rsidP="005115F2">
            <w:pPr>
              <w:pStyle w:val="Guide-ListDash"/>
              <w:numPr>
                <w:ilvl w:val="1"/>
                <w:numId w:val="129"/>
              </w:numPr>
              <w:spacing w:before="60" w:after="60"/>
              <w:rPr>
                <w:lang w:val="sl-SI"/>
              </w:rPr>
            </w:pPr>
            <w:r w:rsidRPr="001048FE">
              <w:rPr>
                <w:lang w:val="sl-SI"/>
              </w:rPr>
              <w:t>na udeležence in sodelujoče organizacije med življenjskim ciklom projekta in po njem;</w:t>
            </w:r>
          </w:p>
          <w:p w14:paraId="7D398E1E" w14:textId="77777777" w:rsidR="00E03711" w:rsidRPr="001048FE" w:rsidRDefault="00E03711" w:rsidP="005115F2">
            <w:pPr>
              <w:pStyle w:val="Guide-ListDash"/>
              <w:numPr>
                <w:ilvl w:val="1"/>
                <w:numId w:val="129"/>
              </w:numPr>
              <w:spacing w:before="60" w:after="60"/>
              <w:rPr>
                <w:lang w:val="sl-SI"/>
              </w:rPr>
            </w:pPr>
            <w:r w:rsidRPr="001048FE">
              <w:rPr>
                <w:lang w:val="sl-SI"/>
              </w:rPr>
              <w:t>na druga področja, poleg organizacij in posameznikov, ki neposredno sodelujejo v projektu, na lokalni, regionalni, nacionalni in/ali evropski ravni;</w:t>
            </w:r>
          </w:p>
          <w:p w14:paraId="7D398E1F" w14:textId="77777777" w:rsidR="00E03711" w:rsidRPr="001048FE" w:rsidRDefault="00E03711" w:rsidP="005115F2">
            <w:pPr>
              <w:pStyle w:val="Guide-NormalBulletpoints"/>
              <w:numPr>
                <w:ilvl w:val="0"/>
                <w:numId w:val="128"/>
              </w:numPr>
              <w:spacing w:before="60"/>
              <w:rPr>
                <w:lang w:val="sl-SI"/>
              </w:rPr>
            </w:pPr>
            <w:r w:rsidRPr="001048FE">
              <w:rPr>
                <w:lang w:val="sl-SI"/>
              </w:rPr>
              <w:t>ustreznost in kakovost ukrepov, katerih cilj je razširjanje rezultatov projekta v sodelujočih organizacijah in drugod.</w:t>
            </w:r>
          </w:p>
        </w:tc>
      </w:tr>
    </w:tbl>
    <w:p w14:paraId="7D398E21" w14:textId="77777777" w:rsidR="00E03711" w:rsidRDefault="00E03711" w:rsidP="00041D70">
      <w:pPr>
        <w:pStyle w:val="GUIDE-NORMAL"/>
        <w:rPr>
          <w:lang w:val="sl-SI"/>
        </w:rPr>
      </w:pPr>
      <w:r w:rsidRPr="001048FE">
        <w:rPr>
          <w:lang w:val="sl-SI"/>
        </w:rPr>
        <w:t>Za</w:t>
      </w:r>
      <w:r w:rsidRPr="001048FE">
        <w:rPr>
          <w:spacing w:val="-16"/>
          <w:lang w:val="sl-SI"/>
        </w:rPr>
        <w:t xml:space="preserve"> </w:t>
      </w:r>
      <w:r w:rsidRPr="001048FE">
        <w:rPr>
          <w:lang w:val="sl-SI"/>
        </w:rPr>
        <w:t>upoštevanje</w:t>
      </w:r>
      <w:r w:rsidRPr="001048FE">
        <w:rPr>
          <w:spacing w:val="-16"/>
          <w:lang w:val="sl-SI"/>
        </w:rPr>
        <w:t xml:space="preserve"> </w:t>
      </w:r>
      <w:r w:rsidRPr="001048FE">
        <w:rPr>
          <w:lang w:val="sl-SI"/>
        </w:rPr>
        <w:t>pri</w:t>
      </w:r>
      <w:r w:rsidRPr="001048FE">
        <w:rPr>
          <w:spacing w:val="-16"/>
          <w:lang w:val="sl-SI"/>
        </w:rPr>
        <w:t xml:space="preserve"> </w:t>
      </w:r>
      <w:r w:rsidRPr="001048FE">
        <w:rPr>
          <w:lang w:val="sl-SI"/>
        </w:rPr>
        <w:t>dodeljevanju</w:t>
      </w:r>
      <w:r w:rsidRPr="001048FE">
        <w:rPr>
          <w:spacing w:val="-16"/>
          <w:lang w:val="sl-SI"/>
        </w:rPr>
        <w:t xml:space="preserve"> </w:t>
      </w:r>
      <w:r w:rsidRPr="001048FE">
        <w:rPr>
          <w:lang w:val="sl-SI"/>
        </w:rPr>
        <w:t>sredstev</w:t>
      </w:r>
      <w:r w:rsidRPr="001048FE">
        <w:rPr>
          <w:spacing w:val="-16"/>
          <w:lang w:val="sl-SI"/>
        </w:rPr>
        <w:t xml:space="preserve"> </w:t>
      </w:r>
      <w:r w:rsidRPr="001048FE">
        <w:rPr>
          <w:lang w:val="sl-SI"/>
        </w:rPr>
        <w:t>morajo</w:t>
      </w:r>
      <w:r w:rsidRPr="001048FE">
        <w:rPr>
          <w:spacing w:val="-16"/>
          <w:lang w:val="sl-SI"/>
        </w:rPr>
        <w:t xml:space="preserve"> </w:t>
      </w:r>
      <w:r w:rsidRPr="001048FE">
        <w:rPr>
          <w:lang w:val="sl-SI"/>
        </w:rPr>
        <w:t>predlogi</w:t>
      </w:r>
      <w:r w:rsidRPr="001048FE">
        <w:rPr>
          <w:spacing w:val="-16"/>
          <w:lang w:val="sl-SI"/>
        </w:rPr>
        <w:t xml:space="preserve"> </w:t>
      </w:r>
      <w:r w:rsidRPr="001048FE">
        <w:rPr>
          <w:lang w:val="sl-SI"/>
        </w:rPr>
        <w:t>doseči</w:t>
      </w:r>
      <w:r w:rsidRPr="001048FE">
        <w:rPr>
          <w:spacing w:val="-16"/>
          <w:lang w:val="sl-SI"/>
        </w:rPr>
        <w:t xml:space="preserve"> </w:t>
      </w:r>
      <w:r w:rsidRPr="001048FE">
        <w:rPr>
          <w:lang w:val="sl-SI"/>
        </w:rPr>
        <w:t>vsaj</w:t>
      </w:r>
      <w:r w:rsidRPr="001048FE">
        <w:rPr>
          <w:spacing w:val="-16"/>
          <w:lang w:val="sl-SI"/>
        </w:rPr>
        <w:t xml:space="preserve"> </w:t>
      </w:r>
      <w:r w:rsidRPr="001048FE">
        <w:rPr>
          <w:lang w:val="sl-SI"/>
        </w:rPr>
        <w:t>60</w:t>
      </w:r>
      <w:r w:rsidRPr="001048FE">
        <w:rPr>
          <w:spacing w:val="-16"/>
          <w:lang w:val="sl-SI"/>
        </w:rPr>
        <w:t xml:space="preserve"> </w:t>
      </w:r>
      <w:r w:rsidRPr="001048FE">
        <w:rPr>
          <w:lang w:val="sl-SI"/>
        </w:rPr>
        <w:t>točk.</w:t>
      </w:r>
      <w:r w:rsidRPr="001048FE">
        <w:rPr>
          <w:spacing w:val="-16"/>
          <w:lang w:val="sl-SI"/>
        </w:rPr>
        <w:t xml:space="preserve"> </w:t>
      </w:r>
      <w:r w:rsidRPr="001048FE">
        <w:rPr>
          <w:lang w:val="sl-SI"/>
        </w:rPr>
        <w:t>Poleg</w:t>
      </w:r>
      <w:r w:rsidRPr="001048FE">
        <w:rPr>
          <w:spacing w:val="-16"/>
          <w:lang w:val="sl-SI"/>
        </w:rPr>
        <w:t xml:space="preserve"> </w:t>
      </w:r>
      <w:r w:rsidRPr="001048FE">
        <w:rPr>
          <w:lang w:val="sl-SI"/>
        </w:rPr>
        <w:t>tega</w:t>
      </w:r>
      <w:r w:rsidRPr="001048FE">
        <w:rPr>
          <w:spacing w:val="-16"/>
          <w:lang w:val="sl-SI"/>
        </w:rPr>
        <w:t xml:space="preserve"> </w:t>
      </w:r>
      <w:r w:rsidRPr="001048FE">
        <w:rPr>
          <w:lang w:val="sl-SI"/>
        </w:rPr>
        <w:t>morajo doseči</w:t>
      </w:r>
      <w:r w:rsidRPr="001048FE">
        <w:rPr>
          <w:spacing w:val="-11"/>
          <w:lang w:val="sl-SI"/>
        </w:rPr>
        <w:t xml:space="preserve"> </w:t>
      </w:r>
      <w:r w:rsidRPr="001048FE">
        <w:rPr>
          <w:lang w:val="sl-SI"/>
        </w:rPr>
        <w:t>vsaj</w:t>
      </w:r>
      <w:r w:rsidRPr="001048FE">
        <w:rPr>
          <w:spacing w:val="-11"/>
          <w:lang w:val="sl-SI"/>
        </w:rPr>
        <w:t xml:space="preserve"> </w:t>
      </w:r>
      <w:r w:rsidRPr="001048FE">
        <w:rPr>
          <w:lang w:val="sl-SI"/>
        </w:rPr>
        <w:t>polovico</w:t>
      </w:r>
      <w:r w:rsidRPr="001048FE">
        <w:rPr>
          <w:spacing w:val="-11"/>
          <w:lang w:val="sl-SI"/>
        </w:rPr>
        <w:t xml:space="preserve"> </w:t>
      </w:r>
      <w:r w:rsidRPr="001048FE">
        <w:rPr>
          <w:lang w:val="sl-SI"/>
        </w:rPr>
        <w:t>vseh</w:t>
      </w:r>
      <w:r w:rsidRPr="001048FE">
        <w:rPr>
          <w:spacing w:val="-11"/>
          <w:lang w:val="sl-SI"/>
        </w:rPr>
        <w:t xml:space="preserve"> </w:t>
      </w:r>
      <w:r w:rsidRPr="001048FE">
        <w:rPr>
          <w:lang w:val="sl-SI"/>
        </w:rPr>
        <w:t>možnih</w:t>
      </w:r>
      <w:r w:rsidRPr="001048FE">
        <w:rPr>
          <w:spacing w:val="-11"/>
          <w:lang w:val="sl-SI"/>
        </w:rPr>
        <w:t xml:space="preserve"> </w:t>
      </w:r>
      <w:r w:rsidRPr="001048FE">
        <w:rPr>
          <w:lang w:val="sl-SI"/>
        </w:rPr>
        <w:t>točk</w:t>
      </w:r>
      <w:r w:rsidRPr="001048FE">
        <w:rPr>
          <w:spacing w:val="-11"/>
          <w:lang w:val="sl-SI"/>
        </w:rPr>
        <w:t xml:space="preserve"> </w:t>
      </w:r>
      <w:r w:rsidRPr="001048FE">
        <w:rPr>
          <w:lang w:val="sl-SI"/>
        </w:rPr>
        <w:t>v</w:t>
      </w:r>
      <w:r w:rsidRPr="001048FE">
        <w:rPr>
          <w:spacing w:val="-11"/>
          <w:lang w:val="sl-SI"/>
        </w:rPr>
        <w:t xml:space="preserve"> </w:t>
      </w:r>
      <w:r w:rsidRPr="001048FE">
        <w:rPr>
          <w:lang w:val="sl-SI"/>
        </w:rPr>
        <w:t>vsaki</w:t>
      </w:r>
      <w:r w:rsidRPr="001048FE">
        <w:rPr>
          <w:spacing w:val="-11"/>
          <w:lang w:val="sl-SI"/>
        </w:rPr>
        <w:t xml:space="preserve"> </w:t>
      </w:r>
      <w:r w:rsidRPr="001048FE">
        <w:rPr>
          <w:lang w:val="sl-SI"/>
        </w:rPr>
        <w:t>od</w:t>
      </w:r>
      <w:r w:rsidRPr="001048FE">
        <w:rPr>
          <w:spacing w:val="-10"/>
          <w:lang w:val="sl-SI"/>
        </w:rPr>
        <w:t xml:space="preserve"> </w:t>
      </w:r>
      <w:r w:rsidRPr="001048FE">
        <w:rPr>
          <w:lang w:val="sl-SI"/>
        </w:rPr>
        <w:t>navedenih</w:t>
      </w:r>
      <w:r w:rsidRPr="001048FE">
        <w:rPr>
          <w:spacing w:val="-11"/>
          <w:lang w:val="sl-SI"/>
        </w:rPr>
        <w:t xml:space="preserve"> </w:t>
      </w:r>
      <w:r w:rsidRPr="001048FE">
        <w:rPr>
          <w:lang w:val="sl-SI"/>
        </w:rPr>
        <w:t>kategorij</w:t>
      </w:r>
      <w:r w:rsidRPr="001048FE">
        <w:rPr>
          <w:spacing w:val="-11"/>
          <w:lang w:val="sl-SI"/>
        </w:rPr>
        <w:t xml:space="preserve"> </w:t>
      </w:r>
      <w:r w:rsidRPr="001048FE">
        <w:rPr>
          <w:lang w:val="sl-SI"/>
        </w:rPr>
        <w:t>meril</w:t>
      </w:r>
      <w:r w:rsidRPr="001048FE">
        <w:rPr>
          <w:spacing w:val="-11"/>
          <w:lang w:val="sl-SI"/>
        </w:rPr>
        <w:t xml:space="preserve"> </w:t>
      </w:r>
      <w:r w:rsidRPr="001048FE">
        <w:rPr>
          <w:lang w:val="sl-SI"/>
        </w:rPr>
        <w:t>za</w:t>
      </w:r>
      <w:r w:rsidRPr="001048FE">
        <w:rPr>
          <w:spacing w:val="-11"/>
          <w:lang w:val="sl-SI"/>
        </w:rPr>
        <w:t xml:space="preserve"> </w:t>
      </w:r>
      <w:r w:rsidRPr="001048FE">
        <w:rPr>
          <w:lang w:val="sl-SI"/>
        </w:rPr>
        <w:t>dodelitev</w:t>
      </w:r>
      <w:r w:rsidRPr="001048FE">
        <w:rPr>
          <w:spacing w:val="-11"/>
          <w:lang w:val="sl-SI"/>
        </w:rPr>
        <w:t xml:space="preserve"> </w:t>
      </w:r>
      <w:r w:rsidRPr="001048FE">
        <w:rPr>
          <w:lang w:val="sl-SI"/>
        </w:rPr>
        <w:t>(tj.</w:t>
      </w:r>
      <w:r w:rsidRPr="001048FE">
        <w:rPr>
          <w:spacing w:val="-11"/>
          <w:lang w:val="sl-SI"/>
        </w:rPr>
        <w:t xml:space="preserve"> </w:t>
      </w:r>
      <w:r w:rsidRPr="001048FE">
        <w:rPr>
          <w:lang w:val="sl-SI"/>
        </w:rPr>
        <w:t>vsaj 15 točk za kategoriji „Ustreznost projekta“ ter „Učinek in razširjanje“; 20 točk za</w:t>
      </w:r>
      <w:r w:rsidRPr="001048FE">
        <w:rPr>
          <w:spacing w:val="55"/>
          <w:lang w:val="sl-SI"/>
        </w:rPr>
        <w:t xml:space="preserve"> </w:t>
      </w:r>
      <w:r w:rsidRPr="001048FE">
        <w:rPr>
          <w:lang w:val="sl-SI"/>
        </w:rPr>
        <w:t>kategorijo „Kakovost zasnove in izvedbe projekta“).</w:t>
      </w:r>
    </w:p>
    <w:p w14:paraId="7D398E22" w14:textId="77777777" w:rsidR="00E03711" w:rsidRPr="001048FE" w:rsidRDefault="00E03711" w:rsidP="000503EB">
      <w:pPr>
        <w:pStyle w:val="Guide-Heading6"/>
        <w:rPr>
          <w:lang w:val="sl-SI"/>
        </w:rPr>
      </w:pPr>
      <w:r w:rsidRPr="001048FE">
        <w:rPr>
          <w:lang w:val="sl-SI"/>
        </w:rPr>
        <w:t>Kaj je še treba vedeti o tem ukrepu?</w:t>
      </w:r>
    </w:p>
    <w:p w14:paraId="7D398E23" w14:textId="77777777" w:rsidR="00E03711" w:rsidRPr="001048FE" w:rsidRDefault="00E03711" w:rsidP="000503EB">
      <w:pPr>
        <w:pStyle w:val="Guide-Heading7"/>
        <w:rPr>
          <w:lang w:val="sl-SI"/>
        </w:rPr>
      </w:pPr>
      <w:r>
        <w:rPr>
          <w:lang w:val="sl-SI"/>
        </w:rPr>
        <w:t>Izredni stroški za drago potovanje</w:t>
      </w:r>
    </w:p>
    <w:p w14:paraId="7D398E24" w14:textId="77777777" w:rsidR="00E03711" w:rsidRPr="001048FE" w:rsidRDefault="00E03711" w:rsidP="000503EB">
      <w:pPr>
        <w:pStyle w:val="GUIDE-NORMAL"/>
        <w:rPr>
          <w:sz w:val="22"/>
          <w:lang w:val="sl-SI"/>
        </w:rPr>
      </w:pPr>
      <w:r w:rsidRPr="001048FE">
        <w:rPr>
          <w:lang w:val="sl-SI"/>
        </w:rPr>
        <w:t>Prijavitelji</w:t>
      </w:r>
      <w:r w:rsidRPr="001048FE">
        <w:rPr>
          <w:spacing w:val="-14"/>
          <w:lang w:val="sl-SI"/>
        </w:rPr>
        <w:t xml:space="preserve"> </w:t>
      </w:r>
      <w:r w:rsidRPr="001048FE">
        <w:rPr>
          <w:lang w:val="sl-SI"/>
        </w:rPr>
        <w:t>projektov</w:t>
      </w:r>
      <w:r w:rsidRPr="001048FE">
        <w:rPr>
          <w:spacing w:val="-14"/>
          <w:lang w:val="sl-SI"/>
        </w:rPr>
        <w:t xml:space="preserve"> </w:t>
      </w:r>
      <w:r w:rsidRPr="001048FE">
        <w:rPr>
          <w:lang w:val="sl-SI"/>
        </w:rPr>
        <w:t>mobilnosti</w:t>
      </w:r>
      <w:r w:rsidRPr="001048FE">
        <w:rPr>
          <w:spacing w:val="-14"/>
          <w:lang w:val="sl-SI"/>
        </w:rPr>
        <w:t xml:space="preserve"> </w:t>
      </w:r>
      <w:r w:rsidRPr="001048FE">
        <w:rPr>
          <w:lang w:val="sl-SI"/>
        </w:rPr>
        <w:t>lahko</w:t>
      </w:r>
      <w:r w:rsidRPr="001048FE">
        <w:rPr>
          <w:spacing w:val="-14"/>
          <w:lang w:val="sl-SI"/>
        </w:rPr>
        <w:t xml:space="preserve"> </w:t>
      </w:r>
      <w:r w:rsidRPr="001048FE">
        <w:rPr>
          <w:lang w:val="sl-SI"/>
        </w:rPr>
        <w:t>zahtevajo</w:t>
      </w:r>
      <w:r w:rsidRPr="001048FE">
        <w:rPr>
          <w:spacing w:val="-14"/>
          <w:lang w:val="sl-SI"/>
        </w:rPr>
        <w:t xml:space="preserve"> </w:t>
      </w:r>
      <w:r w:rsidRPr="001048FE">
        <w:rPr>
          <w:lang w:val="sl-SI"/>
        </w:rPr>
        <w:t>finančno</w:t>
      </w:r>
      <w:r w:rsidRPr="001048FE">
        <w:rPr>
          <w:spacing w:val="-14"/>
          <w:lang w:val="sl-SI"/>
        </w:rPr>
        <w:t xml:space="preserve"> </w:t>
      </w:r>
      <w:r w:rsidRPr="001048FE">
        <w:rPr>
          <w:lang w:val="sl-SI"/>
        </w:rPr>
        <w:t>podporo</w:t>
      </w:r>
      <w:r w:rsidRPr="001048FE">
        <w:rPr>
          <w:spacing w:val="-14"/>
          <w:lang w:val="sl-SI"/>
        </w:rPr>
        <w:t xml:space="preserve"> </w:t>
      </w:r>
      <w:r w:rsidRPr="001048FE">
        <w:rPr>
          <w:lang w:val="sl-SI"/>
        </w:rPr>
        <w:t>za</w:t>
      </w:r>
      <w:r w:rsidRPr="001048FE">
        <w:rPr>
          <w:spacing w:val="-14"/>
          <w:lang w:val="sl-SI"/>
        </w:rPr>
        <w:t xml:space="preserve"> </w:t>
      </w:r>
      <w:r w:rsidRPr="001048FE">
        <w:rPr>
          <w:lang w:val="sl-SI"/>
        </w:rPr>
        <w:t>potne</w:t>
      </w:r>
      <w:r w:rsidRPr="001048FE">
        <w:rPr>
          <w:spacing w:val="-14"/>
          <w:lang w:val="sl-SI"/>
        </w:rPr>
        <w:t xml:space="preserve"> </w:t>
      </w:r>
      <w:r w:rsidRPr="001048FE">
        <w:rPr>
          <w:lang w:val="sl-SI"/>
        </w:rPr>
        <w:t>stroške</w:t>
      </w:r>
      <w:r w:rsidRPr="001048FE">
        <w:rPr>
          <w:spacing w:val="-14"/>
          <w:lang w:val="sl-SI"/>
        </w:rPr>
        <w:t xml:space="preserve"> </w:t>
      </w:r>
      <w:r w:rsidRPr="001048FE">
        <w:rPr>
          <w:lang w:val="sl-SI"/>
        </w:rPr>
        <w:t>udeležencev</w:t>
      </w:r>
      <w:r w:rsidRPr="001048FE">
        <w:rPr>
          <w:spacing w:val="-14"/>
          <w:lang w:val="sl-SI"/>
        </w:rPr>
        <w:t xml:space="preserve"> </w:t>
      </w:r>
      <w:r w:rsidRPr="001048FE">
        <w:rPr>
          <w:lang w:val="sl-SI"/>
        </w:rPr>
        <w:t>pod proračunsko postavko „Izredni stroški“ (do največ 80 % vseh upravičenih stroškov: glej „Kakšna so pravila za dodelitev sredstev?“)</w:t>
      </w:r>
      <w:r>
        <w:rPr>
          <w:lang w:val="sl-SI"/>
        </w:rPr>
        <w:t>, vključno s primeri, ko se udeleženci odločijo za čistejša prevozna sredstva, z manj emisijami ogljika (npr. vlak), kar vodi do višjih stroškov potovanja</w:t>
      </w:r>
      <w:r w:rsidRPr="001048FE">
        <w:rPr>
          <w:lang w:val="sl-SI"/>
        </w:rPr>
        <w:t>. To je dovoljeno, če lahko prijavitelji utemeljijo, da običajna pravila financiranja (na podlagi prispevka za stroške na enoto za pas oddaljenosti) ne krijejo vsaj 70 % potnih stroškov</w:t>
      </w:r>
      <w:r w:rsidRPr="001048FE">
        <w:rPr>
          <w:spacing w:val="-6"/>
          <w:lang w:val="sl-SI"/>
        </w:rPr>
        <w:t xml:space="preserve"> </w:t>
      </w:r>
      <w:r w:rsidRPr="001048FE">
        <w:rPr>
          <w:lang w:val="sl-SI"/>
        </w:rPr>
        <w:t>udeležencev.</w:t>
      </w:r>
      <w:r>
        <w:rPr>
          <w:lang w:val="sl-SI"/>
        </w:rPr>
        <w:t xml:space="preserve"> </w:t>
      </w:r>
      <w:r w:rsidRPr="002E693E">
        <w:rPr>
          <w:rFonts w:eastAsia="Calibri" w:cs="Calibri"/>
          <w:bdr w:val="nil"/>
          <w:lang w:val="sl-SI"/>
        </w:rPr>
        <w:t>Če so dodeljena, se namesto standardnih potnih stroškov upoštevajo izredni stroški za drago potovanje.</w:t>
      </w:r>
    </w:p>
    <w:p w14:paraId="7D398E25" w14:textId="77777777" w:rsidR="00E03711" w:rsidRPr="001048FE" w:rsidRDefault="00E03711" w:rsidP="000503EB">
      <w:pPr>
        <w:pStyle w:val="Guide-Heading7"/>
        <w:rPr>
          <w:lang w:val="sl-SI"/>
        </w:rPr>
      </w:pPr>
      <w:r w:rsidRPr="001048FE">
        <w:rPr>
          <w:lang w:val="sl-SI"/>
        </w:rPr>
        <w:t>Druge informacije</w:t>
      </w:r>
    </w:p>
    <w:p w14:paraId="7D398E26" w14:textId="77777777" w:rsidR="00E03711" w:rsidRPr="001048FE" w:rsidRDefault="00E03711" w:rsidP="000503EB">
      <w:pPr>
        <w:pStyle w:val="GUIDE-NORMAL"/>
        <w:rPr>
          <w:lang w:val="sl-SI"/>
        </w:rPr>
      </w:pPr>
      <w:r w:rsidRPr="001048FE">
        <w:rPr>
          <w:lang w:val="sl-SI"/>
        </w:rPr>
        <w:t>Za obvezna merila in dodatne koristne informacije v zvezi s tem ukrepom glejte Prilogo I k temu vodniku.</w:t>
      </w:r>
      <w:r w:rsidRPr="001048FE">
        <w:rPr>
          <w:spacing w:val="-13"/>
          <w:lang w:val="sl-SI"/>
        </w:rPr>
        <w:t xml:space="preserve"> </w:t>
      </w:r>
      <w:r w:rsidRPr="001048FE">
        <w:rPr>
          <w:lang w:val="sl-SI"/>
        </w:rPr>
        <w:t>Zainteresirane</w:t>
      </w:r>
      <w:r w:rsidRPr="001048FE">
        <w:rPr>
          <w:spacing w:val="-13"/>
          <w:lang w:val="sl-SI"/>
        </w:rPr>
        <w:t xml:space="preserve"> </w:t>
      </w:r>
      <w:r w:rsidRPr="001048FE">
        <w:rPr>
          <w:lang w:val="sl-SI"/>
        </w:rPr>
        <w:t>organizacije</w:t>
      </w:r>
      <w:r w:rsidRPr="001048FE">
        <w:rPr>
          <w:spacing w:val="-12"/>
          <w:lang w:val="sl-SI"/>
        </w:rPr>
        <w:t xml:space="preserve"> </w:t>
      </w:r>
      <w:r w:rsidRPr="001048FE">
        <w:rPr>
          <w:lang w:val="sl-SI"/>
        </w:rPr>
        <w:t>naj</w:t>
      </w:r>
      <w:r w:rsidRPr="001048FE">
        <w:rPr>
          <w:spacing w:val="-13"/>
          <w:lang w:val="sl-SI"/>
        </w:rPr>
        <w:t xml:space="preserve"> </w:t>
      </w:r>
      <w:r w:rsidRPr="001048FE">
        <w:rPr>
          <w:lang w:val="sl-SI"/>
        </w:rPr>
        <w:t>pred</w:t>
      </w:r>
      <w:r w:rsidRPr="001048FE">
        <w:rPr>
          <w:spacing w:val="-13"/>
          <w:lang w:val="sl-SI"/>
        </w:rPr>
        <w:t xml:space="preserve"> </w:t>
      </w:r>
      <w:r w:rsidRPr="001048FE">
        <w:rPr>
          <w:lang w:val="sl-SI"/>
        </w:rPr>
        <w:t>oddajo</w:t>
      </w:r>
      <w:r w:rsidRPr="001048FE">
        <w:rPr>
          <w:spacing w:val="-12"/>
          <w:lang w:val="sl-SI"/>
        </w:rPr>
        <w:t xml:space="preserve"> </w:t>
      </w:r>
      <w:r w:rsidRPr="001048FE">
        <w:rPr>
          <w:lang w:val="sl-SI"/>
        </w:rPr>
        <w:t>vloge</w:t>
      </w:r>
      <w:r w:rsidRPr="001048FE">
        <w:rPr>
          <w:spacing w:val="-13"/>
          <w:lang w:val="sl-SI"/>
        </w:rPr>
        <w:t xml:space="preserve"> </w:t>
      </w:r>
      <w:r w:rsidRPr="001048FE">
        <w:rPr>
          <w:lang w:val="sl-SI"/>
        </w:rPr>
        <w:t>za</w:t>
      </w:r>
      <w:r w:rsidRPr="001048FE">
        <w:rPr>
          <w:spacing w:val="-13"/>
          <w:lang w:val="sl-SI"/>
        </w:rPr>
        <w:t xml:space="preserve"> </w:t>
      </w:r>
      <w:r w:rsidRPr="001048FE">
        <w:rPr>
          <w:lang w:val="sl-SI"/>
        </w:rPr>
        <w:t>finančno</w:t>
      </w:r>
      <w:r w:rsidRPr="001048FE">
        <w:rPr>
          <w:spacing w:val="-13"/>
          <w:lang w:val="sl-SI"/>
        </w:rPr>
        <w:t xml:space="preserve"> </w:t>
      </w:r>
      <w:r w:rsidRPr="001048FE">
        <w:rPr>
          <w:lang w:val="sl-SI"/>
        </w:rPr>
        <w:t>podporo</w:t>
      </w:r>
      <w:r w:rsidRPr="001048FE">
        <w:rPr>
          <w:spacing w:val="-13"/>
          <w:lang w:val="sl-SI"/>
        </w:rPr>
        <w:t xml:space="preserve"> </w:t>
      </w:r>
      <w:r w:rsidRPr="001048FE">
        <w:rPr>
          <w:lang w:val="sl-SI"/>
        </w:rPr>
        <w:t>skrbno</w:t>
      </w:r>
      <w:r w:rsidRPr="001048FE">
        <w:rPr>
          <w:spacing w:val="-13"/>
          <w:lang w:val="sl-SI"/>
        </w:rPr>
        <w:t xml:space="preserve"> </w:t>
      </w:r>
      <w:r w:rsidRPr="001048FE">
        <w:rPr>
          <w:lang w:val="sl-SI"/>
        </w:rPr>
        <w:t>preberejo ustrezna poglavja te</w:t>
      </w:r>
      <w:r w:rsidRPr="001048FE">
        <w:rPr>
          <w:spacing w:val="-7"/>
          <w:lang w:val="sl-SI"/>
        </w:rPr>
        <w:t xml:space="preserve"> </w:t>
      </w:r>
      <w:r w:rsidRPr="001048FE">
        <w:rPr>
          <w:lang w:val="sl-SI"/>
        </w:rPr>
        <w:t>priloge.</w:t>
      </w:r>
    </w:p>
    <w:p w14:paraId="7D398E27" w14:textId="77777777" w:rsidR="00E03711" w:rsidRPr="001048FE" w:rsidRDefault="00E03711" w:rsidP="00041D70">
      <w:pPr>
        <w:pStyle w:val="GUIDE-NORMAL"/>
        <w:rPr>
          <w:lang w:val="sl-SI"/>
        </w:rPr>
      </w:pPr>
    </w:p>
    <w:p w14:paraId="7D398E28" w14:textId="77777777" w:rsidR="00E03711" w:rsidRPr="001048FE" w:rsidRDefault="00E03711" w:rsidP="00041D70">
      <w:pPr>
        <w:pStyle w:val="Guide-Heading5"/>
        <w:rPr>
          <w:lang w:val="sl-SI"/>
        </w:rPr>
        <w:sectPr w:rsidR="00E03711" w:rsidRPr="001048FE" w:rsidSect="007F4890">
          <w:headerReference w:type="default" r:id="rId78"/>
          <w:endnotePr>
            <w:numFmt w:val="decimal"/>
          </w:endnotePr>
          <w:pgSz w:w="11910" w:h="16840" w:code="9"/>
          <w:pgMar w:top="1134" w:right="1418" w:bottom="1134" w:left="1418" w:header="283" w:footer="567" w:gutter="0"/>
          <w:cols w:space="720"/>
          <w:docGrid w:linePitch="326"/>
        </w:sectPr>
      </w:pPr>
    </w:p>
    <w:p w14:paraId="7D398E29" w14:textId="77777777" w:rsidR="00E03711" w:rsidRPr="001048FE" w:rsidRDefault="00E03711" w:rsidP="00041D70">
      <w:pPr>
        <w:pStyle w:val="Guide-Heading5"/>
        <w:rPr>
          <w:lang w:val="sl-SI"/>
        </w:rPr>
      </w:pPr>
      <w:r w:rsidRPr="001048FE">
        <w:rPr>
          <w:lang w:val="sl-SI"/>
        </w:rPr>
        <w:t>Kakšna so pravila za dodelitev sredstev?</w:t>
      </w:r>
    </w:p>
    <w:p w14:paraId="7D398E2A" w14:textId="77777777" w:rsidR="00E03711" w:rsidRPr="001048FE" w:rsidRDefault="00E03711" w:rsidP="00041D70">
      <w:pPr>
        <w:pStyle w:val="GUIDE-NORMAL"/>
        <w:rPr>
          <w:lang w:val="sl-SI"/>
        </w:rPr>
      </w:pPr>
      <w:r w:rsidRPr="001048FE">
        <w:rPr>
          <w:lang w:val="sl-SI"/>
        </w:rPr>
        <w:t>Proračun projekta mobilnosti je treba pripraviti v skladu z naslednjimi pravili za dodelitev sredstev (v EUR):</w:t>
      </w:r>
    </w:p>
    <w:p w14:paraId="7D398E2B" w14:textId="77777777" w:rsidR="00E03711" w:rsidRPr="001048FE" w:rsidRDefault="00E03711" w:rsidP="0048106A">
      <w:pPr>
        <w:pStyle w:val="Guide-Heading6"/>
        <w:rPr>
          <w:lang w:val="sl-SI"/>
        </w:rPr>
      </w:pPr>
      <w:r w:rsidRPr="001048FE">
        <w:rPr>
          <w:lang w:val="sl-SI"/>
        </w:rPr>
        <w:t>a)  Mladinske izmenjave</w:t>
      </w:r>
    </w:p>
    <w:tbl>
      <w:tblPr>
        <w:tblW w:w="5000" w:type="pct"/>
        <w:tblLayout w:type="fixed"/>
        <w:tblLook w:val="0000" w:firstRow="0" w:lastRow="0" w:firstColumn="0" w:lastColumn="0" w:noHBand="0" w:noVBand="0"/>
      </w:tblPr>
      <w:tblGrid>
        <w:gridCol w:w="2253"/>
        <w:gridCol w:w="4226"/>
        <w:gridCol w:w="1896"/>
        <w:gridCol w:w="3721"/>
        <w:gridCol w:w="2692"/>
      </w:tblGrid>
      <w:tr w:rsidR="00E03711" w:rsidRPr="008C6F8C" w14:paraId="7D398E30" w14:textId="77777777" w:rsidTr="004A5D6B">
        <w:trPr>
          <w:trHeight w:val="20"/>
        </w:trPr>
        <w:tc>
          <w:tcPr>
            <w:tcW w:w="3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8E2C" w14:textId="77777777" w:rsidR="00E03711" w:rsidRPr="00F769E0" w:rsidRDefault="00E03711" w:rsidP="004A5D6B">
            <w:pPr>
              <w:pStyle w:val="Guide-Table"/>
              <w:spacing w:before="20" w:after="20"/>
              <w:rPr>
                <w:rFonts w:cs="Tahoma"/>
                <w:b/>
                <w:lang w:val="sl-SI" w:eastAsia="en-GB"/>
              </w:rPr>
            </w:pPr>
            <w:r w:rsidRPr="00F769E0">
              <w:rPr>
                <w:rFonts w:cs="Tahoma"/>
                <w:b/>
                <w:lang w:val="sl-SI" w:eastAsia="en-GB"/>
              </w:rPr>
              <w:t>Upravičeni stroški</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2D" w14:textId="77777777" w:rsidR="00E03711" w:rsidRPr="00F769E0" w:rsidRDefault="00E03711" w:rsidP="004A5D6B">
            <w:pPr>
              <w:pStyle w:val="Guide-Table"/>
              <w:spacing w:before="20" w:after="20"/>
              <w:rPr>
                <w:rFonts w:cs="Tahoma"/>
                <w:b/>
                <w:lang w:val="sl-SI" w:eastAsia="en-GB"/>
              </w:rPr>
            </w:pPr>
            <w:r w:rsidRPr="00F769E0">
              <w:rPr>
                <w:rFonts w:cs="Tahoma"/>
                <w:b/>
                <w:lang w:val="sl-SI" w:eastAsia="en-GB"/>
              </w:rPr>
              <w:t>Mehanizem financiranja</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2E" w14:textId="77777777" w:rsidR="00E03711" w:rsidRPr="00F769E0" w:rsidRDefault="00E03711" w:rsidP="004A5D6B">
            <w:pPr>
              <w:pStyle w:val="Guide-Table"/>
              <w:spacing w:before="20" w:after="20"/>
              <w:rPr>
                <w:rFonts w:cs="Tahoma"/>
                <w:b/>
                <w:lang w:val="sl-SI" w:eastAsia="en-GB"/>
              </w:rPr>
            </w:pPr>
            <w:r w:rsidRPr="00F769E0">
              <w:rPr>
                <w:rFonts w:cs="Tahoma"/>
                <w:b/>
                <w:lang w:val="sl-SI" w:eastAsia="en-GB"/>
              </w:rPr>
              <w:t>Znesek</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2F" w14:textId="77777777" w:rsidR="00E03711" w:rsidRPr="00F769E0" w:rsidRDefault="00E03711" w:rsidP="004A5D6B">
            <w:pPr>
              <w:pStyle w:val="Guide-Table"/>
              <w:spacing w:before="20" w:after="20"/>
              <w:rPr>
                <w:rFonts w:cs="Tahoma"/>
                <w:b/>
                <w:lang w:val="sl-SI" w:eastAsia="en-GB"/>
              </w:rPr>
            </w:pPr>
            <w:r w:rsidRPr="00F769E0">
              <w:rPr>
                <w:rFonts w:cs="Tahoma"/>
                <w:b/>
                <w:lang w:val="sl-SI" w:eastAsia="en-GB"/>
              </w:rPr>
              <w:t>Pravilo dodelitve</w:t>
            </w:r>
          </w:p>
        </w:tc>
      </w:tr>
      <w:tr w:rsidR="00E03711" w:rsidRPr="00A6094F" w14:paraId="7D398E37" w14:textId="77777777" w:rsidTr="004A5D6B">
        <w:trPr>
          <w:trHeight w:val="20"/>
        </w:trPr>
        <w:tc>
          <w:tcPr>
            <w:tcW w:w="13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8E31" w14:textId="77777777" w:rsidR="00E03711" w:rsidRPr="00F769E0" w:rsidRDefault="00E03711" w:rsidP="004A5D6B">
            <w:pPr>
              <w:pStyle w:val="Guide-Table"/>
              <w:spacing w:before="20" w:after="20"/>
              <w:jc w:val="left"/>
              <w:rPr>
                <w:rFonts w:cs="Tahoma"/>
                <w:b/>
                <w:lang w:val="sl-SI" w:eastAsia="en-GB"/>
              </w:rPr>
            </w:pPr>
            <w:r w:rsidRPr="00F769E0">
              <w:rPr>
                <w:rFonts w:cs="Tahoma"/>
                <w:b/>
                <w:lang w:val="sl-SI" w:eastAsia="en-GB"/>
              </w:rPr>
              <w:t>Pot</w:t>
            </w:r>
          </w:p>
        </w:tc>
        <w:tc>
          <w:tcPr>
            <w:tcW w:w="25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8E32" w14:textId="77777777" w:rsidR="00E03711" w:rsidRPr="00F769E0" w:rsidRDefault="00E03711" w:rsidP="006A5E4B">
            <w:pPr>
              <w:pStyle w:val="GUIDE-NORMAL"/>
              <w:jc w:val="left"/>
              <w:rPr>
                <w:rFonts w:cs="Tahoma"/>
                <w:lang w:val="sl-SI" w:eastAsia="en-GB"/>
              </w:rPr>
            </w:pPr>
            <w:r w:rsidRPr="00F769E0">
              <w:rPr>
                <w:rFonts w:cs="Tahoma"/>
                <w:lang w:val="sl-SI" w:eastAsia="en-GB"/>
              </w:rPr>
              <w:t>Prispevek za potne stroške udeležencev, vključno</w:t>
            </w:r>
            <w:r>
              <w:rPr>
                <w:rFonts w:cs="Tahoma"/>
                <w:lang w:val="sl-SI" w:eastAsia="en-GB"/>
              </w:rPr>
              <w:t xml:space="preserve"> z vodji skupin in</w:t>
            </w:r>
            <w:r w:rsidRPr="00F769E0">
              <w:rPr>
                <w:rFonts w:cs="Tahoma"/>
                <w:lang w:val="sl-SI" w:eastAsia="en-GB"/>
              </w:rPr>
              <w:t xml:space="preserve"> spremljevalci, od njihovega </w:t>
            </w:r>
            <w:r w:rsidRPr="00F769E0">
              <w:rPr>
                <w:rFonts w:cs="Tahoma"/>
                <w:lang w:val="sl-SI" w:eastAsia="en-GB"/>
              </w:rPr>
              <w:br/>
              <w:t>kraja izvora do kraja izvajanja aktivnosti in nazaj.</w:t>
            </w:r>
          </w:p>
          <w:p w14:paraId="7D398E33" w14:textId="77777777" w:rsidR="00E03711" w:rsidRPr="00F769E0" w:rsidRDefault="00E03711" w:rsidP="006A5E4B">
            <w:pPr>
              <w:pStyle w:val="GUIDE-NORMAL"/>
              <w:jc w:val="left"/>
              <w:rPr>
                <w:rFonts w:cs="Tahoma"/>
                <w:lang w:val="sl-SI" w:eastAsia="en-GB"/>
              </w:rPr>
            </w:pPr>
            <w:r w:rsidRPr="00F769E0">
              <w:rPr>
                <w:rFonts w:cs="Tahoma"/>
                <w:lang w:val="sl-SI" w:eastAsia="en-GB"/>
              </w:rPr>
              <w:t>Poleg tega, kadar je to ustrezno, potni stroški morebitnega pripravljalnega obiska.</w:t>
            </w:r>
          </w:p>
        </w:tc>
        <w:tc>
          <w:tcPr>
            <w:tcW w:w="11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8E34" w14:textId="77777777" w:rsidR="00E03711" w:rsidRPr="00F769E0" w:rsidRDefault="00E03711" w:rsidP="006A5E4B">
            <w:pPr>
              <w:pStyle w:val="GUIDE-NORMAL"/>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35" w14:textId="77777777" w:rsidR="00E03711" w:rsidRPr="00F769E0" w:rsidRDefault="00E03711" w:rsidP="006A5E4B">
            <w:pPr>
              <w:pStyle w:val="GUIDE-NORMAL"/>
              <w:spacing w:before="60" w:after="60"/>
              <w:jc w:val="left"/>
              <w:rPr>
                <w:rFonts w:cs="Tahoma"/>
                <w:lang w:val="sl-SI" w:eastAsia="en-GB"/>
              </w:rPr>
            </w:pPr>
            <w:r w:rsidRPr="00F769E0">
              <w:rPr>
                <w:rFonts w:cs="Tahoma"/>
                <w:lang w:val="sl-SI" w:eastAsia="en-GB"/>
              </w:rPr>
              <w:t>Za razdalje od 10 do 99 km: 20 EUR na udeleženca</w:t>
            </w:r>
          </w:p>
        </w:tc>
        <w:tc>
          <w:tcPr>
            <w:tcW w:w="16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8E36" w14:textId="77777777" w:rsidR="00E03711" w:rsidRPr="00F769E0" w:rsidRDefault="00E03711" w:rsidP="008E1BD9">
            <w:pPr>
              <w:pStyle w:val="GUIDE-NORMAL"/>
              <w:jc w:val="left"/>
              <w:rPr>
                <w:rFonts w:cs="Tahoma"/>
                <w:lang w:val="sl-SI" w:eastAsia="en-GB"/>
              </w:rPr>
            </w:pPr>
            <w:r w:rsidRPr="00F769E0">
              <w:rPr>
                <w:rFonts w:cs="Tahoma"/>
                <w:lang w:val="sl-SI" w:eastAsia="en-GB"/>
              </w:rPr>
              <w:t>Glede na razdaljo poti na udeleženca. Razdaljo je treba izračunati s kalkulatorjem razdalje, ki ga podpira Evropska komisija</w:t>
            </w:r>
            <w:r w:rsidRPr="00F769E0">
              <w:rPr>
                <w:rStyle w:val="FootnoteReference"/>
                <w:rFonts w:cs="Tahoma"/>
                <w:lang w:val="sl-SI" w:eastAsia="en-GB"/>
              </w:rPr>
              <w:footnoteReference w:id="58"/>
            </w:r>
            <w:r w:rsidRPr="00F769E0">
              <w:rPr>
                <w:rFonts w:cs="Tahoma"/>
                <w:lang w:val="sl-SI" w:eastAsia="en-GB"/>
              </w:rPr>
              <w:t>. Prijavitelj mora navesti razdaljo enosmerne poti za izračun zneska nepovratnih sredstev EU za kritje povratne poti</w:t>
            </w:r>
            <w:r w:rsidRPr="00F769E0">
              <w:rPr>
                <w:rStyle w:val="FootnoteReference"/>
                <w:rFonts w:cs="Tahoma"/>
                <w:lang w:val="sl-SI" w:eastAsia="en-GB"/>
              </w:rPr>
              <w:footnoteReference w:id="59"/>
            </w:r>
            <w:r w:rsidRPr="00F769E0">
              <w:rPr>
                <w:rFonts w:cs="Tahoma"/>
                <w:lang w:val="sl-SI" w:eastAsia="en-GB"/>
              </w:rPr>
              <w:t>.</w:t>
            </w:r>
          </w:p>
        </w:tc>
      </w:tr>
      <w:tr w:rsidR="00E03711" w:rsidRPr="00A6094F" w14:paraId="7D398E3D" w14:textId="77777777" w:rsidTr="006A5E4B">
        <w:trPr>
          <w:trHeight w:val="20"/>
        </w:trPr>
        <w:tc>
          <w:tcPr>
            <w:tcW w:w="1381" w:type="dxa"/>
            <w:vMerge/>
            <w:tcBorders>
              <w:top w:val="nil"/>
              <w:left w:val="single" w:sz="4" w:space="0" w:color="000000"/>
              <w:bottom w:val="single" w:sz="4" w:space="0" w:color="000000"/>
              <w:right w:val="single" w:sz="4" w:space="0" w:color="000000"/>
            </w:tcBorders>
            <w:shd w:val="clear" w:color="auto" w:fill="auto"/>
            <w:vAlign w:val="center"/>
          </w:tcPr>
          <w:p w14:paraId="7D398E38" w14:textId="77777777" w:rsidR="00E03711" w:rsidRPr="00F769E0" w:rsidRDefault="00E03711" w:rsidP="004A5D6B">
            <w:pPr>
              <w:pStyle w:val="Guide-Table"/>
              <w:spacing w:before="20" w:after="20"/>
              <w:jc w:val="left"/>
              <w:rPr>
                <w:rFonts w:cs="Tahoma"/>
                <w:b/>
                <w:bCs/>
                <w:sz w:val="2"/>
                <w:szCs w:val="2"/>
                <w:lang w:val="sl-SI" w:eastAsia="en-GB"/>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tcPr>
          <w:p w14:paraId="7D398E39" w14:textId="77777777" w:rsidR="00E03711" w:rsidRPr="00F769E0" w:rsidRDefault="00E03711" w:rsidP="006A5E4B">
            <w:pPr>
              <w:pStyle w:val="GUIDE-NORMAL"/>
              <w:jc w:val="left"/>
              <w:rPr>
                <w:rFonts w:cs="Tahoma"/>
                <w:lang w:val="sl-SI" w:eastAsia="en-GB"/>
              </w:rPr>
            </w:pPr>
          </w:p>
        </w:tc>
        <w:tc>
          <w:tcPr>
            <w:tcW w:w="1162" w:type="dxa"/>
            <w:vMerge/>
            <w:tcBorders>
              <w:top w:val="nil"/>
              <w:left w:val="single" w:sz="4" w:space="0" w:color="000000"/>
              <w:bottom w:val="single" w:sz="4" w:space="0" w:color="000000"/>
              <w:right w:val="single" w:sz="4" w:space="0" w:color="000000"/>
            </w:tcBorders>
            <w:shd w:val="clear" w:color="auto" w:fill="auto"/>
            <w:vAlign w:val="center"/>
          </w:tcPr>
          <w:p w14:paraId="7D398E3A" w14:textId="77777777" w:rsidR="00E03711" w:rsidRPr="00F769E0" w:rsidRDefault="00E03711" w:rsidP="006A5E4B">
            <w:pPr>
              <w:pStyle w:val="GUIDE-NORMAL"/>
              <w:jc w:val="left"/>
              <w:rPr>
                <w:rFonts w:cs="Tahoma"/>
                <w:lang w:val="sl-SI" w:eastAsia="en-GB"/>
              </w:rPr>
            </w:pPr>
          </w:p>
        </w:tc>
        <w:tc>
          <w:tcPr>
            <w:tcW w:w="2281" w:type="dxa"/>
            <w:tcBorders>
              <w:top w:val="single" w:sz="4" w:space="0" w:color="000000"/>
              <w:left w:val="single" w:sz="4" w:space="0" w:color="000000"/>
              <w:bottom w:val="single" w:sz="4" w:space="0" w:color="000000"/>
              <w:right w:val="single" w:sz="4" w:space="0" w:color="000000"/>
            </w:tcBorders>
            <w:shd w:val="clear" w:color="auto" w:fill="auto"/>
          </w:tcPr>
          <w:p w14:paraId="7D398E3B" w14:textId="77777777" w:rsidR="00E03711" w:rsidRPr="00F769E0" w:rsidRDefault="00E03711" w:rsidP="006A5E4B">
            <w:pPr>
              <w:pStyle w:val="GUIDE-NORMAL"/>
              <w:spacing w:before="60" w:after="60"/>
              <w:jc w:val="left"/>
              <w:rPr>
                <w:rStyle w:val="Guide-Condensed-01"/>
                <w:rFonts w:cs="Tahoma"/>
                <w:lang w:val="sl-SI" w:eastAsia="en-GB"/>
              </w:rPr>
            </w:pPr>
            <w:r w:rsidRPr="00F769E0">
              <w:rPr>
                <w:rStyle w:val="Guide-Condensed-01"/>
                <w:rFonts w:cs="Tahoma"/>
                <w:lang w:val="sl-SI" w:eastAsia="en-GB"/>
              </w:rPr>
              <w:t xml:space="preserve">Za razdalje od 100 do </w:t>
            </w:r>
            <w:r w:rsidRPr="00F769E0">
              <w:rPr>
                <w:rStyle w:val="Guide-Condensed-01"/>
                <w:rFonts w:cs="Tahoma"/>
                <w:lang w:val="sl-SI" w:eastAsia="en-GB"/>
              </w:rPr>
              <w:br/>
              <w:t>499 km: 180 EUR na udeleženca</w:t>
            </w:r>
          </w:p>
        </w:tc>
        <w:tc>
          <w:tcPr>
            <w:tcW w:w="1650" w:type="dxa"/>
            <w:vMerge/>
            <w:tcBorders>
              <w:top w:val="nil"/>
              <w:left w:val="single" w:sz="4" w:space="0" w:color="000000"/>
              <w:bottom w:val="single" w:sz="4" w:space="0" w:color="000000"/>
              <w:right w:val="single" w:sz="4" w:space="0" w:color="000000"/>
            </w:tcBorders>
            <w:shd w:val="clear" w:color="auto" w:fill="auto"/>
            <w:vAlign w:val="center"/>
          </w:tcPr>
          <w:p w14:paraId="7D398E3C" w14:textId="77777777" w:rsidR="00E03711" w:rsidRPr="00F769E0" w:rsidRDefault="00E03711" w:rsidP="006A5E4B">
            <w:pPr>
              <w:pStyle w:val="GUIDE-NORMAL"/>
              <w:jc w:val="left"/>
              <w:rPr>
                <w:rFonts w:cs="Tahoma"/>
                <w:lang w:val="sl-SI" w:eastAsia="en-GB"/>
              </w:rPr>
            </w:pPr>
          </w:p>
        </w:tc>
      </w:tr>
      <w:tr w:rsidR="00E03711" w:rsidRPr="00A6094F" w14:paraId="7D398E43" w14:textId="77777777" w:rsidTr="006A5E4B">
        <w:trPr>
          <w:trHeight w:val="20"/>
        </w:trPr>
        <w:tc>
          <w:tcPr>
            <w:tcW w:w="1381" w:type="dxa"/>
            <w:vMerge/>
            <w:tcBorders>
              <w:top w:val="nil"/>
              <w:left w:val="single" w:sz="4" w:space="0" w:color="000000"/>
              <w:bottom w:val="single" w:sz="4" w:space="0" w:color="000000"/>
              <w:right w:val="single" w:sz="4" w:space="0" w:color="000000"/>
            </w:tcBorders>
            <w:shd w:val="clear" w:color="auto" w:fill="auto"/>
            <w:vAlign w:val="center"/>
          </w:tcPr>
          <w:p w14:paraId="7D398E3E" w14:textId="77777777" w:rsidR="00E03711" w:rsidRPr="00F769E0" w:rsidRDefault="00E03711" w:rsidP="004A5D6B">
            <w:pPr>
              <w:pStyle w:val="Guide-Table"/>
              <w:spacing w:before="20" w:after="20"/>
              <w:jc w:val="left"/>
              <w:rPr>
                <w:rFonts w:cs="Tahoma"/>
                <w:b/>
                <w:bCs/>
                <w:sz w:val="2"/>
                <w:szCs w:val="2"/>
                <w:lang w:val="sl-SI" w:eastAsia="en-GB"/>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tcPr>
          <w:p w14:paraId="7D398E3F" w14:textId="77777777" w:rsidR="00E03711" w:rsidRPr="00F769E0" w:rsidRDefault="00E03711" w:rsidP="006A5E4B">
            <w:pPr>
              <w:pStyle w:val="GUIDE-NORMAL"/>
              <w:jc w:val="left"/>
              <w:rPr>
                <w:rFonts w:cs="Tahoma"/>
                <w:lang w:val="sl-SI" w:eastAsia="en-GB"/>
              </w:rPr>
            </w:pPr>
          </w:p>
        </w:tc>
        <w:tc>
          <w:tcPr>
            <w:tcW w:w="1162" w:type="dxa"/>
            <w:vMerge/>
            <w:tcBorders>
              <w:top w:val="nil"/>
              <w:left w:val="single" w:sz="4" w:space="0" w:color="000000"/>
              <w:bottom w:val="single" w:sz="4" w:space="0" w:color="000000"/>
              <w:right w:val="single" w:sz="4" w:space="0" w:color="000000"/>
            </w:tcBorders>
            <w:shd w:val="clear" w:color="auto" w:fill="auto"/>
            <w:vAlign w:val="center"/>
          </w:tcPr>
          <w:p w14:paraId="7D398E40" w14:textId="77777777" w:rsidR="00E03711" w:rsidRPr="00F769E0" w:rsidRDefault="00E03711" w:rsidP="006A5E4B">
            <w:pPr>
              <w:pStyle w:val="GUIDE-NORMAL"/>
              <w:jc w:val="left"/>
              <w:rPr>
                <w:rFonts w:cs="Tahoma"/>
                <w:lang w:val="sl-SI" w:eastAsia="en-GB"/>
              </w:rPr>
            </w:pPr>
          </w:p>
        </w:tc>
        <w:tc>
          <w:tcPr>
            <w:tcW w:w="2281" w:type="dxa"/>
            <w:tcBorders>
              <w:top w:val="single" w:sz="4" w:space="0" w:color="000000"/>
              <w:left w:val="single" w:sz="4" w:space="0" w:color="000000"/>
              <w:bottom w:val="single" w:sz="4" w:space="0" w:color="000000"/>
              <w:right w:val="single" w:sz="4" w:space="0" w:color="000000"/>
            </w:tcBorders>
            <w:shd w:val="clear" w:color="auto" w:fill="auto"/>
          </w:tcPr>
          <w:p w14:paraId="7D398E41" w14:textId="77777777" w:rsidR="00E03711" w:rsidRPr="00F769E0" w:rsidRDefault="00E03711" w:rsidP="006A5E4B">
            <w:pPr>
              <w:pStyle w:val="GUIDE-NORMAL"/>
              <w:spacing w:before="60" w:after="60"/>
              <w:jc w:val="left"/>
              <w:rPr>
                <w:rFonts w:cs="Tahoma"/>
                <w:lang w:val="sl-SI" w:eastAsia="en-GB"/>
              </w:rPr>
            </w:pPr>
            <w:r w:rsidRPr="00F769E0">
              <w:rPr>
                <w:rFonts w:cs="Tahoma"/>
                <w:lang w:val="sl-SI" w:eastAsia="en-GB"/>
              </w:rPr>
              <w:t xml:space="preserve">Za razdalje od 500 </w:t>
            </w:r>
            <w:r w:rsidRPr="00F769E0">
              <w:rPr>
                <w:rFonts w:cs="Tahoma"/>
                <w:lang w:val="sl-SI" w:eastAsia="en-GB"/>
              </w:rPr>
              <w:br/>
              <w:t xml:space="preserve">do 1 999 km: 275 EUR </w:t>
            </w:r>
            <w:r w:rsidRPr="00F769E0">
              <w:rPr>
                <w:rFonts w:cs="Tahoma"/>
                <w:lang w:val="sl-SI" w:eastAsia="en-GB"/>
              </w:rPr>
              <w:br/>
              <w:t>na udeleženca</w:t>
            </w:r>
          </w:p>
        </w:tc>
        <w:tc>
          <w:tcPr>
            <w:tcW w:w="1650" w:type="dxa"/>
            <w:vMerge/>
            <w:tcBorders>
              <w:top w:val="nil"/>
              <w:left w:val="single" w:sz="4" w:space="0" w:color="000000"/>
              <w:bottom w:val="single" w:sz="4" w:space="0" w:color="000000"/>
              <w:right w:val="single" w:sz="4" w:space="0" w:color="000000"/>
            </w:tcBorders>
            <w:shd w:val="clear" w:color="auto" w:fill="auto"/>
            <w:vAlign w:val="center"/>
          </w:tcPr>
          <w:p w14:paraId="7D398E42" w14:textId="77777777" w:rsidR="00E03711" w:rsidRPr="00F769E0" w:rsidRDefault="00E03711" w:rsidP="006A5E4B">
            <w:pPr>
              <w:pStyle w:val="GUIDE-NORMAL"/>
              <w:jc w:val="left"/>
              <w:rPr>
                <w:rFonts w:cs="Tahoma"/>
                <w:lang w:val="sl-SI" w:eastAsia="en-GB"/>
              </w:rPr>
            </w:pPr>
          </w:p>
        </w:tc>
      </w:tr>
      <w:tr w:rsidR="00E03711" w:rsidRPr="00A6094F" w14:paraId="7D398E49" w14:textId="77777777" w:rsidTr="006A5E4B">
        <w:trPr>
          <w:trHeight w:val="20"/>
        </w:trPr>
        <w:tc>
          <w:tcPr>
            <w:tcW w:w="1381" w:type="dxa"/>
            <w:vMerge/>
            <w:tcBorders>
              <w:top w:val="nil"/>
              <w:left w:val="single" w:sz="4" w:space="0" w:color="000000"/>
              <w:bottom w:val="single" w:sz="4" w:space="0" w:color="000000"/>
              <w:right w:val="single" w:sz="4" w:space="0" w:color="000000"/>
            </w:tcBorders>
            <w:shd w:val="clear" w:color="auto" w:fill="auto"/>
            <w:vAlign w:val="center"/>
          </w:tcPr>
          <w:p w14:paraId="7D398E44" w14:textId="77777777" w:rsidR="00E03711" w:rsidRPr="00F769E0" w:rsidRDefault="00E03711" w:rsidP="004A5D6B">
            <w:pPr>
              <w:pStyle w:val="Guide-Table"/>
              <w:spacing w:before="20" w:after="20"/>
              <w:jc w:val="left"/>
              <w:rPr>
                <w:rFonts w:cs="Tahoma"/>
                <w:b/>
                <w:bCs/>
                <w:sz w:val="2"/>
                <w:szCs w:val="2"/>
                <w:lang w:val="sl-SI" w:eastAsia="en-GB"/>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tcPr>
          <w:p w14:paraId="7D398E45" w14:textId="77777777" w:rsidR="00E03711" w:rsidRPr="00F769E0" w:rsidRDefault="00E03711" w:rsidP="006A5E4B">
            <w:pPr>
              <w:pStyle w:val="GUIDE-NORMAL"/>
              <w:jc w:val="left"/>
              <w:rPr>
                <w:rFonts w:cs="Tahoma"/>
                <w:lang w:val="sl-SI" w:eastAsia="en-GB"/>
              </w:rPr>
            </w:pPr>
          </w:p>
        </w:tc>
        <w:tc>
          <w:tcPr>
            <w:tcW w:w="1162" w:type="dxa"/>
            <w:vMerge/>
            <w:tcBorders>
              <w:top w:val="nil"/>
              <w:left w:val="single" w:sz="4" w:space="0" w:color="000000"/>
              <w:bottom w:val="single" w:sz="4" w:space="0" w:color="000000"/>
              <w:right w:val="single" w:sz="4" w:space="0" w:color="000000"/>
            </w:tcBorders>
            <w:shd w:val="clear" w:color="auto" w:fill="auto"/>
            <w:vAlign w:val="center"/>
          </w:tcPr>
          <w:p w14:paraId="7D398E46" w14:textId="77777777" w:rsidR="00E03711" w:rsidRPr="00F769E0" w:rsidRDefault="00E03711" w:rsidP="006A5E4B">
            <w:pPr>
              <w:pStyle w:val="GUIDE-NORMAL"/>
              <w:jc w:val="left"/>
              <w:rPr>
                <w:rFonts w:cs="Tahoma"/>
                <w:lang w:val="sl-SI" w:eastAsia="en-GB"/>
              </w:rPr>
            </w:pPr>
          </w:p>
        </w:tc>
        <w:tc>
          <w:tcPr>
            <w:tcW w:w="2281" w:type="dxa"/>
            <w:tcBorders>
              <w:top w:val="single" w:sz="4" w:space="0" w:color="000000"/>
              <w:left w:val="single" w:sz="4" w:space="0" w:color="000000"/>
              <w:bottom w:val="single" w:sz="4" w:space="0" w:color="000000"/>
              <w:right w:val="single" w:sz="4" w:space="0" w:color="000000"/>
            </w:tcBorders>
            <w:shd w:val="clear" w:color="auto" w:fill="auto"/>
          </w:tcPr>
          <w:p w14:paraId="7D398E47" w14:textId="77777777" w:rsidR="00E03711" w:rsidRPr="00F769E0" w:rsidRDefault="00E03711" w:rsidP="006A5E4B">
            <w:pPr>
              <w:pStyle w:val="GUIDE-NORMAL"/>
              <w:spacing w:before="60" w:after="60"/>
              <w:jc w:val="left"/>
              <w:rPr>
                <w:rFonts w:cs="Tahoma"/>
                <w:lang w:val="sl-SI" w:eastAsia="en-GB"/>
              </w:rPr>
            </w:pPr>
            <w:r w:rsidRPr="00F769E0">
              <w:rPr>
                <w:rFonts w:cs="Tahoma"/>
                <w:lang w:val="sl-SI" w:eastAsia="en-GB"/>
              </w:rPr>
              <w:t xml:space="preserve">Za razdalje od 2 000 </w:t>
            </w:r>
            <w:r w:rsidRPr="00F769E0">
              <w:rPr>
                <w:rFonts w:cs="Tahoma"/>
                <w:lang w:val="sl-SI" w:eastAsia="en-GB"/>
              </w:rPr>
              <w:br/>
              <w:t xml:space="preserve">do 2 999 km: 360 EUR </w:t>
            </w:r>
            <w:r w:rsidRPr="00F769E0">
              <w:rPr>
                <w:rFonts w:cs="Tahoma"/>
                <w:lang w:val="sl-SI" w:eastAsia="en-GB"/>
              </w:rPr>
              <w:br/>
              <w:t>na udeleženca</w:t>
            </w:r>
          </w:p>
        </w:tc>
        <w:tc>
          <w:tcPr>
            <w:tcW w:w="1650" w:type="dxa"/>
            <w:vMerge/>
            <w:tcBorders>
              <w:top w:val="nil"/>
              <w:left w:val="single" w:sz="4" w:space="0" w:color="000000"/>
              <w:bottom w:val="single" w:sz="4" w:space="0" w:color="000000"/>
              <w:right w:val="single" w:sz="4" w:space="0" w:color="000000"/>
            </w:tcBorders>
            <w:shd w:val="clear" w:color="auto" w:fill="auto"/>
            <w:vAlign w:val="center"/>
          </w:tcPr>
          <w:p w14:paraId="7D398E48" w14:textId="77777777" w:rsidR="00E03711" w:rsidRPr="00F769E0" w:rsidRDefault="00E03711" w:rsidP="006A5E4B">
            <w:pPr>
              <w:pStyle w:val="GUIDE-NORMAL"/>
              <w:jc w:val="left"/>
              <w:rPr>
                <w:rFonts w:cs="Tahoma"/>
                <w:lang w:val="sl-SI" w:eastAsia="en-GB"/>
              </w:rPr>
            </w:pPr>
          </w:p>
        </w:tc>
      </w:tr>
      <w:tr w:rsidR="00E03711" w:rsidRPr="00A6094F" w14:paraId="7D398E4F" w14:textId="77777777" w:rsidTr="006A5E4B">
        <w:trPr>
          <w:trHeight w:val="20"/>
        </w:trPr>
        <w:tc>
          <w:tcPr>
            <w:tcW w:w="1381" w:type="dxa"/>
            <w:vMerge/>
            <w:tcBorders>
              <w:top w:val="nil"/>
              <w:left w:val="single" w:sz="4" w:space="0" w:color="000000"/>
              <w:bottom w:val="single" w:sz="4" w:space="0" w:color="000000"/>
              <w:right w:val="single" w:sz="4" w:space="0" w:color="000000"/>
            </w:tcBorders>
            <w:shd w:val="clear" w:color="auto" w:fill="auto"/>
            <w:vAlign w:val="center"/>
          </w:tcPr>
          <w:p w14:paraId="7D398E4A" w14:textId="77777777" w:rsidR="00E03711" w:rsidRPr="00F769E0" w:rsidRDefault="00E03711" w:rsidP="004A5D6B">
            <w:pPr>
              <w:pStyle w:val="Guide-Table"/>
              <w:spacing w:before="20" w:after="20"/>
              <w:jc w:val="left"/>
              <w:rPr>
                <w:rFonts w:cs="Tahoma"/>
                <w:b/>
                <w:bCs/>
                <w:sz w:val="2"/>
                <w:szCs w:val="2"/>
                <w:lang w:val="sl-SI" w:eastAsia="en-GB"/>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tcPr>
          <w:p w14:paraId="7D398E4B" w14:textId="77777777" w:rsidR="00E03711" w:rsidRPr="00F769E0" w:rsidRDefault="00E03711" w:rsidP="006A5E4B">
            <w:pPr>
              <w:pStyle w:val="GUIDE-NORMAL"/>
              <w:jc w:val="left"/>
              <w:rPr>
                <w:rFonts w:cs="Tahoma"/>
                <w:lang w:val="sl-SI" w:eastAsia="en-GB"/>
              </w:rPr>
            </w:pPr>
          </w:p>
        </w:tc>
        <w:tc>
          <w:tcPr>
            <w:tcW w:w="1162" w:type="dxa"/>
            <w:vMerge/>
            <w:tcBorders>
              <w:top w:val="nil"/>
              <w:left w:val="single" w:sz="4" w:space="0" w:color="000000"/>
              <w:bottom w:val="single" w:sz="4" w:space="0" w:color="000000"/>
              <w:right w:val="single" w:sz="4" w:space="0" w:color="000000"/>
            </w:tcBorders>
            <w:shd w:val="clear" w:color="auto" w:fill="auto"/>
            <w:vAlign w:val="center"/>
          </w:tcPr>
          <w:p w14:paraId="7D398E4C" w14:textId="77777777" w:rsidR="00E03711" w:rsidRPr="00F769E0" w:rsidRDefault="00E03711" w:rsidP="006A5E4B">
            <w:pPr>
              <w:pStyle w:val="GUIDE-NORMAL"/>
              <w:jc w:val="left"/>
              <w:rPr>
                <w:rFonts w:cs="Tahoma"/>
                <w:lang w:val="sl-SI" w:eastAsia="en-GB"/>
              </w:rPr>
            </w:pPr>
          </w:p>
        </w:tc>
        <w:tc>
          <w:tcPr>
            <w:tcW w:w="2281" w:type="dxa"/>
            <w:tcBorders>
              <w:top w:val="single" w:sz="4" w:space="0" w:color="000000"/>
              <w:left w:val="single" w:sz="4" w:space="0" w:color="000000"/>
              <w:bottom w:val="single" w:sz="4" w:space="0" w:color="000000"/>
              <w:right w:val="single" w:sz="4" w:space="0" w:color="000000"/>
            </w:tcBorders>
            <w:shd w:val="clear" w:color="auto" w:fill="auto"/>
          </w:tcPr>
          <w:p w14:paraId="7D398E4D" w14:textId="77777777" w:rsidR="00E03711" w:rsidRPr="00F769E0" w:rsidRDefault="00E03711" w:rsidP="006A5E4B">
            <w:pPr>
              <w:pStyle w:val="GUIDE-NORMAL"/>
              <w:spacing w:before="60" w:after="60"/>
              <w:jc w:val="left"/>
              <w:rPr>
                <w:rFonts w:cs="Tahoma"/>
                <w:lang w:val="sl-SI" w:eastAsia="en-GB"/>
              </w:rPr>
            </w:pPr>
            <w:r w:rsidRPr="00F769E0">
              <w:rPr>
                <w:rFonts w:cs="Tahoma"/>
                <w:lang w:val="sl-SI" w:eastAsia="en-GB"/>
              </w:rPr>
              <w:t xml:space="preserve">Za razdalje od 3 000 </w:t>
            </w:r>
            <w:r w:rsidRPr="00F769E0">
              <w:rPr>
                <w:rFonts w:cs="Tahoma"/>
                <w:lang w:val="sl-SI" w:eastAsia="en-GB"/>
              </w:rPr>
              <w:br/>
              <w:t xml:space="preserve">do 3 999 km: 530 EUR </w:t>
            </w:r>
            <w:r w:rsidRPr="00F769E0">
              <w:rPr>
                <w:rFonts w:cs="Tahoma"/>
                <w:lang w:val="sl-SI" w:eastAsia="en-GB"/>
              </w:rPr>
              <w:br/>
              <w:t>na udeleženca</w:t>
            </w:r>
          </w:p>
        </w:tc>
        <w:tc>
          <w:tcPr>
            <w:tcW w:w="1650" w:type="dxa"/>
            <w:vMerge/>
            <w:tcBorders>
              <w:top w:val="nil"/>
              <w:left w:val="single" w:sz="4" w:space="0" w:color="000000"/>
              <w:bottom w:val="single" w:sz="4" w:space="0" w:color="000000"/>
              <w:right w:val="single" w:sz="4" w:space="0" w:color="000000"/>
            </w:tcBorders>
            <w:shd w:val="clear" w:color="auto" w:fill="auto"/>
            <w:vAlign w:val="center"/>
          </w:tcPr>
          <w:p w14:paraId="7D398E4E" w14:textId="77777777" w:rsidR="00E03711" w:rsidRPr="00F769E0" w:rsidRDefault="00E03711" w:rsidP="006A5E4B">
            <w:pPr>
              <w:pStyle w:val="GUIDE-NORMAL"/>
              <w:jc w:val="left"/>
              <w:rPr>
                <w:rFonts w:cs="Tahoma"/>
                <w:lang w:val="sl-SI" w:eastAsia="en-GB"/>
              </w:rPr>
            </w:pPr>
          </w:p>
        </w:tc>
      </w:tr>
      <w:tr w:rsidR="00E03711" w:rsidRPr="00A6094F" w14:paraId="7D398E55" w14:textId="77777777" w:rsidTr="006A5E4B">
        <w:trPr>
          <w:trHeight w:val="20"/>
        </w:trPr>
        <w:tc>
          <w:tcPr>
            <w:tcW w:w="1381" w:type="dxa"/>
            <w:vMerge/>
            <w:tcBorders>
              <w:top w:val="nil"/>
              <w:left w:val="single" w:sz="4" w:space="0" w:color="000000"/>
              <w:bottom w:val="single" w:sz="4" w:space="0" w:color="000000"/>
              <w:right w:val="single" w:sz="4" w:space="0" w:color="000000"/>
            </w:tcBorders>
            <w:shd w:val="clear" w:color="auto" w:fill="auto"/>
            <w:vAlign w:val="center"/>
          </w:tcPr>
          <w:p w14:paraId="7D398E50" w14:textId="77777777" w:rsidR="00E03711" w:rsidRPr="00F769E0" w:rsidRDefault="00E03711" w:rsidP="004A5D6B">
            <w:pPr>
              <w:pStyle w:val="Guide-Table"/>
              <w:spacing w:before="20" w:after="20"/>
              <w:jc w:val="left"/>
              <w:rPr>
                <w:rFonts w:cs="Tahoma"/>
                <w:b/>
                <w:bCs/>
                <w:sz w:val="2"/>
                <w:szCs w:val="2"/>
                <w:lang w:val="sl-SI" w:eastAsia="en-GB"/>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tcPr>
          <w:p w14:paraId="7D398E51" w14:textId="77777777" w:rsidR="00E03711" w:rsidRPr="00F769E0" w:rsidRDefault="00E03711" w:rsidP="006A5E4B">
            <w:pPr>
              <w:pStyle w:val="GUIDE-NORMAL"/>
              <w:jc w:val="left"/>
              <w:rPr>
                <w:rFonts w:cs="Tahoma"/>
                <w:lang w:val="sl-SI" w:eastAsia="en-GB"/>
              </w:rPr>
            </w:pPr>
          </w:p>
        </w:tc>
        <w:tc>
          <w:tcPr>
            <w:tcW w:w="1162" w:type="dxa"/>
            <w:vMerge/>
            <w:tcBorders>
              <w:top w:val="nil"/>
              <w:left w:val="single" w:sz="4" w:space="0" w:color="000000"/>
              <w:bottom w:val="single" w:sz="4" w:space="0" w:color="000000"/>
              <w:right w:val="single" w:sz="4" w:space="0" w:color="000000"/>
            </w:tcBorders>
            <w:shd w:val="clear" w:color="auto" w:fill="auto"/>
            <w:vAlign w:val="center"/>
          </w:tcPr>
          <w:p w14:paraId="7D398E52" w14:textId="77777777" w:rsidR="00E03711" w:rsidRPr="00F769E0" w:rsidRDefault="00E03711" w:rsidP="006A5E4B">
            <w:pPr>
              <w:pStyle w:val="GUIDE-NORMAL"/>
              <w:jc w:val="left"/>
              <w:rPr>
                <w:rFonts w:cs="Tahoma"/>
                <w:lang w:val="sl-SI" w:eastAsia="en-GB"/>
              </w:rPr>
            </w:pPr>
          </w:p>
        </w:tc>
        <w:tc>
          <w:tcPr>
            <w:tcW w:w="2281" w:type="dxa"/>
            <w:tcBorders>
              <w:top w:val="single" w:sz="4" w:space="0" w:color="000000"/>
              <w:left w:val="single" w:sz="4" w:space="0" w:color="000000"/>
              <w:bottom w:val="single" w:sz="4" w:space="0" w:color="000000"/>
              <w:right w:val="single" w:sz="4" w:space="0" w:color="000000"/>
            </w:tcBorders>
            <w:shd w:val="clear" w:color="auto" w:fill="auto"/>
          </w:tcPr>
          <w:p w14:paraId="7D398E53" w14:textId="77777777" w:rsidR="00E03711" w:rsidRPr="00F769E0" w:rsidRDefault="00E03711" w:rsidP="006A5E4B">
            <w:pPr>
              <w:pStyle w:val="GUIDE-NORMAL"/>
              <w:spacing w:before="60" w:after="60"/>
              <w:jc w:val="left"/>
              <w:rPr>
                <w:rFonts w:cs="Tahoma"/>
                <w:lang w:val="sl-SI" w:eastAsia="en-GB"/>
              </w:rPr>
            </w:pPr>
            <w:r w:rsidRPr="00F769E0">
              <w:rPr>
                <w:rFonts w:cs="Tahoma"/>
                <w:lang w:val="sl-SI" w:eastAsia="en-GB"/>
              </w:rPr>
              <w:t xml:space="preserve">Za razdalje od 4 000 </w:t>
            </w:r>
            <w:r w:rsidRPr="00F769E0">
              <w:rPr>
                <w:rFonts w:cs="Tahoma"/>
                <w:lang w:val="sl-SI" w:eastAsia="en-GB"/>
              </w:rPr>
              <w:br/>
              <w:t xml:space="preserve">do 7 999 km: 820 EUR </w:t>
            </w:r>
            <w:r w:rsidRPr="00F769E0">
              <w:rPr>
                <w:rFonts w:cs="Tahoma"/>
                <w:lang w:val="sl-SI" w:eastAsia="en-GB"/>
              </w:rPr>
              <w:br/>
              <w:t>na udeleženca</w:t>
            </w:r>
          </w:p>
        </w:tc>
        <w:tc>
          <w:tcPr>
            <w:tcW w:w="1650" w:type="dxa"/>
            <w:vMerge/>
            <w:tcBorders>
              <w:top w:val="nil"/>
              <w:left w:val="single" w:sz="4" w:space="0" w:color="000000"/>
              <w:bottom w:val="single" w:sz="4" w:space="0" w:color="000000"/>
              <w:right w:val="single" w:sz="4" w:space="0" w:color="000000"/>
            </w:tcBorders>
            <w:shd w:val="clear" w:color="auto" w:fill="auto"/>
            <w:vAlign w:val="center"/>
          </w:tcPr>
          <w:p w14:paraId="7D398E54" w14:textId="77777777" w:rsidR="00E03711" w:rsidRPr="00F769E0" w:rsidRDefault="00E03711" w:rsidP="006A5E4B">
            <w:pPr>
              <w:pStyle w:val="GUIDE-NORMAL"/>
              <w:jc w:val="left"/>
              <w:rPr>
                <w:rFonts w:cs="Tahoma"/>
                <w:lang w:val="sl-SI" w:eastAsia="en-GB"/>
              </w:rPr>
            </w:pPr>
          </w:p>
        </w:tc>
      </w:tr>
      <w:tr w:rsidR="00E03711" w:rsidRPr="00A6094F" w14:paraId="7D398E5B" w14:textId="77777777" w:rsidTr="006A5E4B">
        <w:trPr>
          <w:trHeight w:val="20"/>
        </w:trPr>
        <w:tc>
          <w:tcPr>
            <w:tcW w:w="1381" w:type="dxa"/>
            <w:vMerge/>
            <w:tcBorders>
              <w:top w:val="nil"/>
              <w:left w:val="single" w:sz="4" w:space="0" w:color="000000"/>
              <w:bottom w:val="single" w:sz="4" w:space="0" w:color="000000"/>
              <w:right w:val="single" w:sz="4" w:space="0" w:color="000000"/>
            </w:tcBorders>
            <w:shd w:val="clear" w:color="auto" w:fill="auto"/>
            <w:vAlign w:val="center"/>
          </w:tcPr>
          <w:p w14:paraId="7D398E56" w14:textId="77777777" w:rsidR="00E03711" w:rsidRPr="00F769E0" w:rsidRDefault="00E03711" w:rsidP="004A5D6B">
            <w:pPr>
              <w:pStyle w:val="Guide-Table"/>
              <w:spacing w:before="20" w:after="20"/>
              <w:jc w:val="left"/>
              <w:rPr>
                <w:rFonts w:cs="Tahoma"/>
                <w:b/>
                <w:bCs/>
                <w:sz w:val="2"/>
                <w:szCs w:val="2"/>
                <w:lang w:val="sl-SI" w:eastAsia="en-GB"/>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tcPr>
          <w:p w14:paraId="7D398E57" w14:textId="77777777" w:rsidR="00E03711" w:rsidRPr="00F769E0" w:rsidRDefault="00E03711" w:rsidP="006A5E4B">
            <w:pPr>
              <w:pStyle w:val="GUIDE-NORMAL"/>
              <w:jc w:val="left"/>
              <w:rPr>
                <w:rFonts w:cs="Tahoma"/>
                <w:lang w:val="sl-SI" w:eastAsia="en-GB"/>
              </w:rPr>
            </w:pPr>
          </w:p>
        </w:tc>
        <w:tc>
          <w:tcPr>
            <w:tcW w:w="1162" w:type="dxa"/>
            <w:vMerge/>
            <w:tcBorders>
              <w:top w:val="nil"/>
              <w:left w:val="single" w:sz="4" w:space="0" w:color="000000"/>
              <w:bottom w:val="single" w:sz="4" w:space="0" w:color="000000"/>
              <w:right w:val="single" w:sz="4" w:space="0" w:color="000000"/>
            </w:tcBorders>
            <w:shd w:val="clear" w:color="auto" w:fill="auto"/>
            <w:vAlign w:val="center"/>
          </w:tcPr>
          <w:p w14:paraId="7D398E58" w14:textId="77777777" w:rsidR="00E03711" w:rsidRPr="00F769E0" w:rsidRDefault="00E03711" w:rsidP="006A5E4B">
            <w:pPr>
              <w:pStyle w:val="GUIDE-NORMAL"/>
              <w:jc w:val="left"/>
              <w:rPr>
                <w:rFonts w:cs="Tahoma"/>
                <w:lang w:val="sl-SI" w:eastAsia="en-GB"/>
              </w:rPr>
            </w:pPr>
          </w:p>
        </w:tc>
        <w:tc>
          <w:tcPr>
            <w:tcW w:w="2281" w:type="dxa"/>
            <w:tcBorders>
              <w:top w:val="single" w:sz="4" w:space="0" w:color="000000"/>
              <w:left w:val="single" w:sz="4" w:space="0" w:color="000000"/>
              <w:bottom w:val="single" w:sz="4" w:space="0" w:color="000000"/>
              <w:right w:val="single" w:sz="4" w:space="0" w:color="000000"/>
            </w:tcBorders>
            <w:shd w:val="clear" w:color="auto" w:fill="auto"/>
          </w:tcPr>
          <w:p w14:paraId="7D398E59" w14:textId="77777777" w:rsidR="00E03711" w:rsidRPr="00F769E0" w:rsidRDefault="00E03711" w:rsidP="006A5E4B">
            <w:pPr>
              <w:pStyle w:val="GUIDE-NORMAL"/>
              <w:spacing w:before="60" w:after="60"/>
              <w:jc w:val="left"/>
              <w:rPr>
                <w:rFonts w:cs="Tahoma"/>
                <w:lang w:val="sl-SI" w:eastAsia="en-GB"/>
              </w:rPr>
            </w:pPr>
            <w:r w:rsidRPr="00F769E0">
              <w:rPr>
                <w:rFonts w:cs="Tahoma"/>
                <w:lang w:val="sl-SI" w:eastAsia="en-GB"/>
              </w:rPr>
              <w:t>Za razdalje 8 000 km ali več: 1 500 EUR na udeleženca</w:t>
            </w:r>
          </w:p>
        </w:tc>
        <w:tc>
          <w:tcPr>
            <w:tcW w:w="1650" w:type="dxa"/>
            <w:vMerge/>
            <w:tcBorders>
              <w:top w:val="nil"/>
              <w:left w:val="single" w:sz="4" w:space="0" w:color="000000"/>
              <w:bottom w:val="single" w:sz="4" w:space="0" w:color="000000"/>
              <w:right w:val="single" w:sz="4" w:space="0" w:color="000000"/>
            </w:tcBorders>
            <w:shd w:val="clear" w:color="auto" w:fill="auto"/>
            <w:vAlign w:val="center"/>
          </w:tcPr>
          <w:p w14:paraId="7D398E5A" w14:textId="77777777" w:rsidR="00E03711" w:rsidRPr="00F769E0" w:rsidRDefault="00E03711" w:rsidP="006A5E4B">
            <w:pPr>
              <w:pStyle w:val="GUIDE-NORMAL"/>
              <w:jc w:val="left"/>
              <w:rPr>
                <w:rFonts w:cs="Tahoma"/>
                <w:lang w:val="sl-SI" w:eastAsia="en-GB"/>
              </w:rPr>
            </w:pPr>
          </w:p>
        </w:tc>
      </w:tr>
      <w:tr w:rsidR="00E03711" w:rsidRPr="00A6094F" w14:paraId="7D398E61" w14:textId="77777777" w:rsidTr="004A5D6B">
        <w:trPr>
          <w:trHeight w:val="20"/>
        </w:trPr>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5C" w14:textId="77777777" w:rsidR="00E03711" w:rsidRPr="00F769E0" w:rsidRDefault="00E03711" w:rsidP="00956DA9">
            <w:pPr>
              <w:pStyle w:val="Guide-Table"/>
              <w:spacing w:before="60" w:after="60"/>
              <w:jc w:val="left"/>
              <w:rPr>
                <w:rFonts w:cs="Tahoma"/>
                <w:b/>
                <w:lang w:val="sl-SI" w:eastAsia="en-GB"/>
              </w:rPr>
            </w:pPr>
            <w:r w:rsidRPr="00F769E0">
              <w:rPr>
                <w:rFonts w:cs="Tahoma"/>
                <w:b/>
                <w:lang w:val="sl-SI" w:eastAsia="en-GB"/>
              </w:rPr>
              <w:t>Organizacijska podpora</w:t>
            </w:r>
          </w:p>
        </w:tc>
        <w:tc>
          <w:tcPr>
            <w:tcW w:w="2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5D" w14:textId="77777777" w:rsidR="00E03711" w:rsidRPr="00F769E0" w:rsidRDefault="00E03711" w:rsidP="00956DA9">
            <w:pPr>
              <w:pStyle w:val="GUIDE-NORMAL"/>
              <w:spacing w:before="60" w:after="60"/>
              <w:jc w:val="left"/>
              <w:rPr>
                <w:rFonts w:cs="Tahoma"/>
                <w:lang w:val="sl-SI" w:eastAsia="en-GB"/>
              </w:rPr>
            </w:pPr>
            <w:r w:rsidRPr="00FC4A70">
              <w:rPr>
                <w:rFonts w:eastAsia="Calibri" w:cs="Calibri"/>
                <w:bdr w:val="nil"/>
                <w:shd w:val="clear" w:color="auto" w:fill="auto"/>
                <w:lang w:val="sl-SI"/>
              </w:rPr>
              <w:t>Stroški, neposredno povezani z izvajanjem mobilnosti (vključno s pripravo, spremljanjem in podporo udeležencem v času mobilnosti, podporo potrjevanju učnih izidov in aktivnostmi razširjanja).</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5E" w14:textId="77777777" w:rsidR="00E03711" w:rsidRPr="00F769E0" w:rsidRDefault="00E03711" w:rsidP="00956DA9">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5F" w14:textId="77777777" w:rsidR="00E03711" w:rsidRPr="00F769E0" w:rsidRDefault="00E03711" w:rsidP="00956DA9">
            <w:pPr>
              <w:pStyle w:val="GUIDE-NORMAL"/>
              <w:spacing w:before="60" w:after="60"/>
              <w:jc w:val="left"/>
              <w:rPr>
                <w:rFonts w:cs="Tahoma"/>
                <w:lang w:val="sl-SI" w:eastAsia="en-GB"/>
              </w:rPr>
            </w:pPr>
            <w:r w:rsidRPr="00F769E0">
              <w:rPr>
                <w:rFonts w:cs="Tahoma"/>
                <w:lang w:val="sl-SI" w:eastAsia="en-GB"/>
              </w:rPr>
              <w:t xml:space="preserve">A5.1 na dan aktivnosti </w:t>
            </w:r>
            <w:r w:rsidRPr="00F769E0">
              <w:rPr>
                <w:rFonts w:cs="Tahoma"/>
                <w:lang w:val="sl-SI" w:eastAsia="en-GB"/>
              </w:rPr>
              <w:br/>
              <w:t>na udeleženca</w:t>
            </w:r>
            <w:r w:rsidRPr="00F769E0">
              <w:rPr>
                <w:rStyle w:val="FootnoteReference"/>
                <w:rFonts w:cs="Tahoma"/>
                <w:lang w:val="sl-SI" w:eastAsia="en-GB"/>
              </w:rPr>
              <w:footnoteReference w:id="60"/>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60" w14:textId="77777777" w:rsidR="00E03711" w:rsidRPr="00F769E0" w:rsidRDefault="00E03711" w:rsidP="00956DA9">
            <w:pPr>
              <w:pStyle w:val="GUIDE-NORMAL"/>
              <w:spacing w:before="60" w:after="60"/>
              <w:jc w:val="left"/>
              <w:rPr>
                <w:rFonts w:cs="Tahoma"/>
                <w:lang w:val="sl-SI" w:eastAsia="en-GB"/>
              </w:rPr>
            </w:pPr>
            <w:r w:rsidRPr="00F769E0">
              <w:rPr>
                <w:rFonts w:cs="Tahoma"/>
                <w:lang w:val="sl-SI" w:eastAsia="en-GB"/>
              </w:rPr>
              <w:t xml:space="preserve">Glede na trajanje aktivnosti na udeleženca </w:t>
            </w:r>
            <w:r w:rsidRPr="00F769E0">
              <w:rPr>
                <w:rFonts w:cs="Tahoma"/>
                <w:lang w:val="sl-SI" w:eastAsia="en-GB"/>
              </w:rPr>
              <w:br/>
              <w:t>(po potrebi vključno z enim dnem poti pred aktivnostjo in enim dnem poti po njej).</w:t>
            </w:r>
          </w:p>
        </w:tc>
      </w:tr>
      <w:tr w:rsidR="00E03711" w:rsidRPr="00A6094F" w14:paraId="7D398E67" w14:textId="77777777" w:rsidTr="004A5D6B">
        <w:trPr>
          <w:trHeight w:val="20"/>
        </w:trPr>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62" w14:textId="77777777" w:rsidR="00E03711" w:rsidRPr="00F769E0" w:rsidRDefault="00E03711" w:rsidP="00956DA9">
            <w:pPr>
              <w:pStyle w:val="Guide-Table"/>
              <w:spacing w:before="60" w:after="60"/>
              <w:jc w:val="left"/>
              <w:rPr>
                <w:rFonts w:cs="Tahoma"/>
                <w:b/>
                <w:lang w:val="sl-SI" w:eastAsia="en-GB"/>
              </w:rPr>
            </w:pPr>
            <w:r w:rsidRPr="00F769E0">
              <w:rPr>
                <w:rFonts w:cs="Tahoma"/>
                <w:b/>
                <w:lang w:val="sl-SI" w:eastAsia="en-GB"/>
              </w:rPr>
              <w:t xml:space="preserve">Podpora </w:t>
            </w:r>
            <w:r w:rsidRPr="00F769E0">
              <w:rPr>
                <w:rFonts w:cs="Tahoma"/>
                <w:b/>
                <w:lang w:val="sl-SI" w:eastAsia="en-GB"/>
              </w:rPr>
              <w:br/>
              <w:t>za posebne potrebe</w:t>
            </w:r>
          </w:p>
        </w:tc>
        <w:tc>
          <w:tcPr>
            <w:tcW w:w="2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63" w14:textId="77777777" w:rsidR="00E03711" w:rsidRPr="00F769E0" w:rsidRDefault="00E03711" w:rsidP="00956DA9">
            <w:pPr>
              <w:pStyle w:val="GUIDE-NORMAL"/>
              <w:spacing w:before="60" w:after="60"/>
              <w:jc w:val="left"/>
              <w:rPr>
                <w:rFonts w:cs="Tahoma"/>
                <w:lang w:val="sl-SI" w:eastAsia="en-GB"/>
              </w:rPr>
            </w:pPr>
            <w:r w:rsidRPr="00F769E0">
              <w:rPr>
                <w:rFonts w:cs="Tahoma"/>
                <w:lang w:val="sl-SI" w:eastAsia="en-GB"/>
              </w:rPr>
              <w:t>Dodatni stroški, neposredno povezani z udeleženci, ki imajo posebne potrebe, in spremljevalci (vključno s stroški za pot in bivanje, če so utemeljeni in se nepovratna sredstva za te udeležence ne zahtevajo prek proračunskih kategorij „Pot“ in „Organizacijska podpora“).</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64" w14:textId="77777777" w:rsidR="00E03711" w:rsidRPr="00F769E0" w:rsidRDefault="00E03711" w:rsidP="00956DA9">
            <w:pPr>
              <w:pStyle w:val="GUIDE-NORMAL"/>
              <w:spacing w:before="60" w:after="60"/>
              <w:jc w:val="left"/>
              <w:rPr>
                <w:rFonts w:cs="Tahoma"/>
                <w:lang w:val="sl-SI" w:eastAsia="en-GB"/>
              </w:rPr>
            </w:pPr>
            <w:r w:rsidRPr="00F769E0">
              <w:rPr>
                <w:rFonts w:cs="Tahoma"/>
                <w:lang w:val="sl-SI" w:eastAsia="en-GB"/>
              </w:rPr>
              <w:t>Dejanski stroški</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65" w14:textId="77777777" w:rsidR="00E03711" w:rsidRPr="00F769E0" w:rsidRDefault="00E03711" w:rsidP="00956DA9">
            <w:pPr>
              <w:pStyle w:val="GUIDE-NORMAL"/>
              <w:spacing w:before="60" w:after="60"/>
              <w:jc w:val="left"/>
              <w:rPr>
                <w:rFonts w:cs="Tahoma"/>
                <w:lang w:val="sl-SI" w:eastAsia="en-GB"/>
              </w:rPr>
            </w:pPr>
            <w:r w:rsidRPr="00F769E0">
              <w:rPr>
                <w:rFonts w:cs="Tahoma"/>
                <w:lang w:val="sl-SI" w:eastAsia="en-GB"/>
              </w:rPr>
              <w:t>100 % upravičenih stroškov</w:t>
            </w:r>
          </w:p>
        </w:tc>
        <w:tc>
          <w:tcPr>
            <w:tcW w:w="16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8E66" w14:textId="77777777" w:rsidR="00E03711" w:rsidRPr="00F769E0" w:rsidRDefault="00E03711" w:rsidP="006A5E4B">
            <w:pPr>
              <w:pStyle w:val="GUIDE-NORMAL"/>
              <w:jc w:val="left"/>
              <w:rPr>
                <w:rFonts w:cs="Tahoma"/>
                <w:lang w:val="sl-SI" w:eastAsia="en-GB"/>
              </w:rPr>
            </w:pPr>
            <w:r w:rsidRPr="00F769E0">
              <w:rPr>
                <w:rFonts w:cs="Tahoma"/>
                <w:lang w:val="sl-SI" w:eastAsia="en-GB"/>
              </w:rPr>
              <w:t xml:space="preserve">Pogoj: zahtevek </w:t>
            </w:r>
            <w:r w:rsidRPr="00F769E0">
              <w:rPr>
                <w:rFonts w:cs="Tahoma"/>
                <w:lang w:val="sl-SI" w:eastAsia="en-GB"/>
              </w:rPr>
              <w:br/>
              <w:t xml:space="preserve">za finančno podporo za kritje podpore udeležencem </w:t>
            </w:r>
            <w:r w:rsidRPr="00F769E0">
              <w:rPr>
                <w:rFonts w:cs="Tahoma"/>
                <w:lang w:val="sl-SI" w:eastAsia="en-GB"/>
              </w:rPr>
              <w:br/>
              <w:t xml:space="preserve">s posebnimi potrebami in izrednih stroškov mora biti utemeljen </w:t>
            </w:r>
            <w:r w:rsidRPr="00F769E0">
              <w:rPr>
                <w:rFonts w:cs="Tahoma"/>
                <w:lang w:val="sl-SI" w:eastAsia="en-GB"/>
              </w:rPr>
              <w:br/>
              <w:t>v prijavnem obrazcu.</w:t>
            </w:r>
          </w:p>
        </w:tc>
      </w:tr>
      <w:tr w:rsidR="00E03711" w:rsidRPr="008C6F8C" w14:paraId="7D398E6F" w14:textId="77777777" w:rsidTr="004A5D6B">
        <w:trPr>
          <w:trHeight w:val="20"/>
        </w:trPr>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68" w14:textId="77777777" w:rsidR="00E03711" w:rsidRPr="00F769E0" w:rsidRDefault="00E03711" w:rsidP="00956DA9">
            <w:pPr>
              <w:pStyle w:val="Guide-Table"/>
              <w:spacing w:before="60" w:after="60"/>
              <w:jc w:val="left"/>
              <w:rPr>
                <w:rFonts w:cs="Tahoma"/>
                <w:b/>
                <w:lang w:val="sl-SI" w:eastAsia="en-GB"/>
              </w:rPr>
            </w:pPr>
            <w:r w:rsidRPr="00F769E0">
              <w:rPr>
                <w:rFonts w:cs="Tahoma"/>
                <w:b/>
                <w:lang w:val="sl-SI" w:eastAsia="en-GB"/>
              </w:rPr>
              <w:t>Izredni stroški</w:t>
            </w:r>
          </w:p>
        </w:tc>
        <w:tc>
          <w:tcPr>
            <w:tcW w:w="2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69" w14:textId="77777777" w:rsidR="00E03711" w:rsidRPr="00F769E0" w:rsidRDefault="00E03711">
            <w:pPr>
              <w:pStyle w:val="GUIDE-NORMAL"/>
              <w:spacing w:before="60" w:after="60"/>
              <w:jc w:val="left"/>
              <w:rPr>
                <w:rFonts w:cs="Tahoma"/>
                <w:lang w:val="sl-SI" w:eastAsia="en-GB"/>
              </w:rPr>
            </w:pPr>
            <w:r w:rsidRPr="00F769E0">
              <w:rPr>
                <w:rFonts w:cs="Tahoma"/>
                <w:lang w:val="sl-SI" w:eastAsia="en-GB"/>
              </w:rPr>
              <w:t xml:space="preserve">Vizumi in z njimi povezani stroški, dovoljenja za prebivanje, cepljenja, zdravniška spričevala. Stroški za podporo </w:t>
            </w:r>
            <w:r w:rsidRPr="00F769E0">
              <w:rPr>
                <w:rFonts w:cs="Tahoma"/>
                <w:lang w:val="sl-SI" w:eastAsia="en-GB"/>
              </w:rPr>
              <w:br/>
              <w:t xml:space="preserve">za udeležbo mladih z manj </w:t>
            </w:r>
            <w:r w:rsidRPr="00F769E0">
              <w:rPr>
                <w:rStyle w:val="Guide-Condensed-02"/>
                <w:rFonts w:cs="Tahoma"/>
                <w:lang w:val="sl-SI" w:eastAsia="en-GB"/>
              </w:rPr>
              <w:t>priložnostmi pod enakimi pogoji, kot veljajo za druge (razen potnih stroškov in stroškov za organizacijsko podporo za udeležence). Stroški, povezani s hrano in nastanitvijo udeležencev med pripravljalnim obiskom. Stroški zagotavljanja finančnega jamstva, če ga zahteva nacionalna agencija. Dragi potni stroški udeležencev</w:t>
            </w:r>
            <w:r>
              <w:rPr>
                <w:rStyle w:val="Guide-Condensed-02"/>
                <w:rFonts w:cs="Tahoma"/>
                <w:lang w:val="sl-SI" w:eastAsia="en-GB"/>
              </w:rPr>
              <w:t>, vključno z uporabo čistejših prevoznih sredstev, z  manj emisijami ogljika</w:t>
            </w:r>
            <w:r w:rsidRPr="00F769E0">
              <w:rPr>
                <w:rStyle w:val="Guide-Condensed-02"/>
                <w:rFonts w:cs="Tahoma"/>
                <w:lang w:val="sl-SI" w:eastAsia="en-GB"/>
              </w:rPr>
              <w:t xml:space="preserve"> (za podrobnosti glej poglavje „Kaj je še treba vedeti o tem ukrepu?“).</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6A" w14:textId="77777777" w:rsidR="00E03711" w:rsidRPr="00F769E0" w:rsidRDefault="00E03711" w:rsidP="00956DA9">
            <w:pPr>
              <w:pStyle w:val="GUIDE-NORMAL"/>
              <w:spacing w:before="60" w:after="60"/>
              <w:jc w:val="left"/>
              <w:rPr>
                <w:rFonts w:cs="Tahoma"/>
                <w:lang w:val="sl-SI" w:eastAsia="en-GB"/>
              </w:rPr>
            </w:pPr>
            <w:r w:rsidRPr="00F769E0">
              <w:rPr>
                <w:rFonts w:cs="Tahoma"/>
                <w:lang w:val="sl-SI" w:eastAsia="en-GB"/>
              </w:rPr>
              <w:t>Dejanski stroški</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6B" w14:textId="77777777" w:rsidR="00E03711" w:rsidRPr="00F769E0" w:rsidRDefault="00E03711" w:rsidP="00956DA9">
            <w:pPr>
              <w:pStyle w:val="GUIDE-NORMAL"/>
              <w:spacing w:before="160" w:after="160"/>
              <w:jc w:val="left"/>
              <w:rPr>
                <w:rStyle w:val="Guide-Condensed-02"/>
                <w:rFonts w:cs="Tahoma"/>
                <w:lang w:val="sl-SI" w:eastAsia="en-GB"/>
              </w:rPr>
            </w:pPr>
            <w:r w:rsidRPr="00F769E0">
              <w:rPr>
                <w:rStyle w:val="Guide-Condensed-02"/>
                <w:rFonts w:cs="Tahoma"/>
                <w:lang w:val="sl-SI" w:eastAsia="en-GB"/>
              </w:rPr>
              <w:t xml:space="preserve">Stroški finančnega jamstva: 75 % upravičenih stroškov Dragi potni stroški: do največ 80 % upravičenih stroškov </w:t>
            </w:r>
          </w:p>
          <w:p w14:paraId="7D398E6C" w14:textId="77777777" w:rsidR="00E03711" w:rsidRPr="00F769E0" w:rsidRDefault="00E03711" w:rsidP="00956DA9">
            <w:pPr>
              <w:pStyle w:val="GUIDE-NORMAL"/>
              <w:spacing w:before="160" w:after="160"/>
              <w:jc w:val="left"/>
              <w:rPr>
                <w:rFonts w:cs="Tahoma"/>
                <w:lang w:val="sl-SI" w:eastAsia="en-GB"/>
              </w:rPr>
            </w:pPr>
          </w:p>
          <w:p w14:paraId="7D398E6D" w14:textId="77777777" w:rsidR="00E03711" w:rsidRPr="00F769E0" w:rsidRDefault="00E03711" w:rsidP="00956DA9">
            <w:pPr>
              <w:pStyle w:val="GUIDE-NORMAL"/>
              <w:spacing w:before="160" w:after="160"/>
              <w:jc w:val="left"/>
              <w:rPr>
                <w:rFonts w:cs="Tahoma"/>
                <w:lang w:val="sl-SI" w:eastAsia="en-GB"/>
              </w:rPr>
            </w:pPr>
            <w:r w:rsidRPr="00F769E0">
              <w:rPr>
                <w:rFonts w:cs="Tahoma"/>
                <w:lang w:val="sl-SI" w:eastAsia="en-GB"/>
              </w:rPr>
              <w:t xml:space="preserve">Drugi stroški: </w:t>
            </w:r>
            <w:r w:rsidRPr="00F769E0">
              <w:rPr>
                <w:rFonts w:cs="Tahoma"/>
                <w:lang w:val="sl-SI" w:eastAsia="en-GB"/>
              </w:rPr>
              <w:br/>
              <w:t>100 % upravičenih stroškov</w:t>
            </w:r>
          </w:p>
        </w:tc>
        <w:tc>
          <w:tcPr>
            <w:tcW w:w="1650" w:type="dxa"/>
            <w:vMerge/>
            <w:tcBorders>
              <w:top w:val="nil"/>
              <w:left w:val="single" w:sz="4" w:space="0" w:color="000000"/>
              <w:bottom w:val="single" w:sz="4" w:space="0" w:color="000000"/>
              <w:right w:val="single" w:sz="4" w:space="0" w:color="000000"/>
            </w:tcBorders>
            <w:shd w:val="clear" w:color="auto" w:fill="auto"/>
            <w:vAlign w:val="center"/>
          </w:tcPr>
          <w:p w14:paraId="7D398E6E" w14:textId="77777777" w:rsidR="00E03711" w:rsidRPr="00237696" w:rsidRDefault="00E03711" w:rsidP="004A5D6B">
            <w:pPr>
              <w:pStyle w:val="Guide-Table"/>
              <w:spacing w:before="20" w:after="20"/>
              <w:jc w:val="left"/>
              <w:rPr>
                <w:rFonts w:ascii="Times New Roman" w:hAnsi="Times New Roman"/>
                <w:sz w:val="2"/>
                <w:szCs w:val="2"/>
                <w:lang w:val="sl-SI" w:eastAsia="en-GB"/>
              </w:rPr>
            </w:pPr>
          </w:p>
        </w:tc>
      </w:tr>
    </w:tbl>
    <w:p w14:paraId="7D398E70" w14:textId="77777777" w:rsidR="00E03711" w:rsidRDefault="00E03711" w:rsidP="0048106A">
      <w:pPr>
        <w:pStyle w:val="Guide-Heading6"/>
        <w:rPr>
          <w:lang w:val="sl-SI"/>
        </w:rPr>
      </w:pPr>
    </w:p>
    <w:p w14:paraId="7D398E71" w14:textId="77777777" w:rsidR="00E03711" w:rsidRDefault="00E03711">
      <w:pPr>
        <w:widowControl/>
        <w:suppressAutoHyphens w:val="0"/>
        <w:autoSpaceDN/>
        <w:textAlignment w:val="auto"/>
        <w:rPr>
          <w:rFonts w:eastAsia="Times New Roman" w:cs="Times New Roman"/>
          <w:b/>
          <w:smallCaps/>
          <w:sz w:val="20"/>
          <w:szCs w:val="28"/>
          <w:lang w:val="sl-SI"/>
        </w:rPr>
      </w:pPr>
      <w:r>
        <w:rPr>
          <w:lang w:val="sl-SI"/>
        </w:rPr>
        <w:br w:type="page"/>
      </w:r>
    </w:p>
    <w:p w14:paraId="7D398E72" w14:textId="77777777" w:rsidR="00E03711" w:rsidRPr="001048FE" w:rsidRDefault="00E03711" w:rsidP="0048106A">
      <w:pPr>
        <w:pStyle w:val="Guide-Heading6"/>
        <w:rPr>
          <w:lang w:val="sl-SI"/>
        </w:rPr>
      </w:pPr>
      <w:r w:rsidRPr="001048FE">
        <w:rPr>
          <w:lang w:val="sl-SI"/>
        </w:rPr>
        <w:t>b)  Mobilnost mladinskih delavcev</w:t>
      </w:r>
    </w:p>
    <w:tbl>
      <w:tblPr>
        <w:tblW w:w="5000" w:type="pct"/>
        <w:tblLayout w:type="fixed"/>
        <w:tblLook w:val="0000" w:firstRow="0" w:lastRow="0" w:firstColumn="0" w:lastColumn="0" w:noHBand="0" w:noVBand="0"/>
      </w:tblPr>
      <w:tblGrid>
        <w:gridCol w:w="2305"/>
        <w:gridCol w:w="4196"/>
        <w:gridCol w:w="1896"/>
        <w:gridCol w:w="3676"/>
        <w:gridCol w:w="2715"/>
      </w:tblGrid>
      <w:tr w:rsidR="00E03711" w:rsidRPr="008C6F8C" w14:paraId="7D398E77" w14:textId="77777777" w:rsidTr="004A5D6B">
        <w:trPr>
          <w:trHeight w:val="20"/>
        </w:trPr>
        <w:tc>
          <w:tcPr>
            <w:tcW w:w="3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8E73" w14:textId="77777777" w:rsidR="00E03711" w:rsidRPr="00F769E0" w:rsidRDefault="00E03711" w:rsidP="004A5D6B">
            <w:pPr>
              <w:pStyle w:val="GUIDE-NORMAL"/>
              <w:spacing w:before="20" w:after="20"/>
              <w:jc w:val="center"/>
              <w:rPr>
                <w:rFonts w:cs="Tahoma"/>
                <w:b/>
                <w:lang w:val="sl-SI" w:eastAsia="en-GB"/>
              </w:rPr>
            </w:pPr>
            <w:r w:rsidRPr="00F769E0">
              <w:rPr>
                <w:rFonts w:cs="Tahoma"/>
                <w:b/>
                <w:lang w:val="sl-SI" w:eastAsia="en-GB"/>
              </w:rPr>
              <w:t>Upravičeni stroški</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74" w14:textId="77777777" w:rsidR="00E03711" w:rsidRPr="00F769E0" w:rsidRDefault="00E03711" w:rsidP="004A5D6B">
            <w:pPr>
              <w:pStyle w:val="GUIDE-NORMAL"/>
              <w:spacing w:before="20" w:after="20"/>
              <w:jc w:val="center"/>
              <w:rPr>
                <w:rFonts w:cs="Tahoma"/>
                <w:b/>
                <w:lang w:val="sl-SI" w:eastAsia="en-GB"/>
              </w:rPr>
            </w:pPr>
            <w:r w:rsidRPr="00F769E0">
              <w:rPr>
                <w:rFonts w:cs="Tahoma"/>
                <w:b/>
                <w:lang w:val="sl-SI" w:eastAsia="en-GB"/>
              </w:rPr>
              <w:t>Mehanizem financiranja</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75" w14:textId="77777777" w:rsidR="00E03711" w:rsidRPr="00F769E0" w:rsidRDefault="00E03711" w:rsidP="004A5D6B">
            <w:pPr>
              <w:pStyle w:val="GUIDE-NORMAL"/>
              <w:spacing w:before="20" w:after="20"/>
              <w:jc w:val="center"/>
              <w:rPr>
                <w:rFonts w:cs="Tahoma"/>
                <w:b/>
                <w:lang w:val="sl-SI" w:eastAsia="en-GB"/>
              </w:rPr>
            </w:pPr>
            <w:r w:rsidRPr="00F769E0">
              <w:rPr>
                <w:rFonts w:cs="Tahoma"/>
                <w:b/>
                <w:lang w:val="sl-SI" w:eastAsia="en-GB"/>
              </w:rPr>
              <w:t>Znesek</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76" w14:textId="77777777" w:rsidR="00E03711" w:rsidRPr="00F769E0" w:rsidRDefault="00E03711" w:rsidP="004A5D6B">
            <w:pPr>
              <w:pStyle w:val="GUIDE-NORMAL"/>
              <w:spacing w:before="20" w:after="20"/>
              <w:jc w:val="center"/>
              <w:rPr>
                <w:rFonts w:cs="Tahoma"/>
                <w:b/>
                <w:lang w:val="sl-SI" w:eastAsia="en-GB"/>
              </w:rPr>
            </w:pPr>
            <w:r w:rsidRPr="00F769E0">
              <w:rPr>
                <w:rFonts w:cs="Tahoma"/>
                <w:b/>
                <w:lang w:val="sl-SI" w:eastAsia="en-GB"/>
              </w:rPr>
              <w:t>Pravilo dodelitve</w:t>
            </w:r>
          </w:p>
        </w:tc>
      </w:tr>
      <w:tr w:rsidR="00E03711" w:rsidRPr="00A6094F" w14:paraId="7D398E7D" w14:textId="77777777" w:rsidTr="00F51E6B">
        <w:trPr>
          <w:trHeight w:val="20"/>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8E78" w14:textId="77777777" w:rsidR="00E03711" w:rsidRPr="00F769E0" w:rsidRDefault="00E03711" w:rsidP="00D27739">
            <w:pPr>
              <w:pStyle w:val="GUIDE-NORMAL"/>
              <w:spacing w:before="60" w:after="60"/>
              <w:jc w:val="left"/>
              <w:rPr>
                <w:rFonts w:cs="Tahoma"/>
                <w:b/>
                <w:lang w:val="sl-SI" w:eastAsia="en-GB"/>
              </w:rPr>
            </w:pPr>
            <w:r w:rsidRPr="00F769E0">
              <w:rPr>
                <w:rFonts w:cs="Tahoma"/>
                <w:b/>
                <w:lang w:val="sl-SI" w:eastAsia="en-GB"/>
              </w:rPr>
              <w:t>Pot</w:t>
            </w:r>
          </w:p>
        </w:tc>
        <w:tc>
          <w:tcPr>
            <w:tcW w:w="25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8E79" w14:textId="77777777" w:rsidR="00E03711" w:rsidRPr="00F769E0" w:rsidRDefault="00E03711">
            <w:pPr>
              <w:pStyle w:val="GUIDE-NORMAL"/>
              <w:spacing w:before="60" w:after="60"/>
              <w:jc w:val="left"/>
              <w:rPr>
                <w:rFonts w:cs="Tahoma"/>
                <w:lang w:val="sl-SI" w:eastAsia="en-GB"/>
              </w:rPr>
            </w:pPr>
            <w:r w:rsidRPr="00F769E0">
              <w:rPr>
                <w:rFonts w:cs="Tahoma"/>
                <w:lang w:val="sl-SI" w:eastAsia="en-GB"/>
              </w:rPr>
              <w:t>Prispevek za potne stroške udeležencev, vključno</w:t>
            </w:r>
            <w:r>
              <w:rPr>
                <w:rFonts w:cs="Tahoma"/>
                <w:lang w:val="sl-SI" w:eastAsia="en-GB"/>
              </w:rPr>
              <w:t xml:space="preserve"> z vodji usposabljanja,</w:t>
            </w:r>
            <w:r w:rsidRPr="00F769E0">
              <w:rPr>
                <w:rFonts w:cs="Tahoma"/>
                <w:lang w:val="sl-SI" w:eastAsia="en-GB"/>
              </w:rPr>
              <w:t xml:space="preserve"> </w:t>
            </w:r>
            <w:r>
              <w:rPr>
                <w:rFonts w:cs="Tahoma"/>
                <w:lang w:val="sl-SI" w:eastAsia="en-GB"/>
              </w:rPr>
              <w:t>pomočniki in</w:t>
            </w:r>
            <w:r w:rsidRPr="00F769E0">
              <w:rPr>
                <w:rFonts w:cs="Tahoma"/>
                <w:lang w:val="sl-SI" w:eastAsia="en-GB"/>
              </w:rPr>
              <w:t xml:space="preserve"> spremljevalci, od njihovega kraja izvora do kraja izvajanja aktivnosti in nazaj. Poleg tega, kadar je to ustrezno, potni stroški morebitnega pripravljalnega obiska.</w:t>
            </w:r>
            <w:r w:rsidRPr="00F769E0">
              <w:rPr>
                <w:rFonts w:eastAsia="SimSun" w:cs="Tahoma"/>
                <w:lang w:val="sl-SI" w:eastAsia="en-GB"/>
              </w:rPr>
              <w:t xml:space="preserve"> </w:t>
            </w:r>
          </w:p>
        </w:tc>
        <w:tc>
          <w:tcPr>
            <w:tcW w:w="11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8E7A" w14:textId="77777777" w:rsidR="00E03711" w:rsidRPr="00F769E0" w:rsidRDefault="00E03711" w:rsidP="00D27739">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14:paraId="7D398E7B" w14:textId="77777777" w:rsidR="00E03711" w:rsidRPr="00F769E0" w:rsidRDefault="00E03711" w:rsidP="00D27739">
            <w:pPr>
              <w:pStyle w:val="GUIDE-NORMAL"/>
              <w:spacing w:before="60" w:after="60"/>
              <w:jc w:val="left"/>
              <w:rPr>
                <w:rFonts w:cs="Tahoma"/>
                <w:lang w:val="sl-SI" w:eastAsia="en-GB"/>
              </w:rPr>
            </w:pPr>
            <w:r w:rsidRPr="00F769E0">
              <w:rPr>
                <w:rFonts w:cs="Tahoma"/>
                <w:lang w:val="sl-SI" w:eastAsia="en-GB"/>
              </w:rPr>
              <w:t xml:space="preserve">Za razdalje od 10 </w:t>
            </w:r>
            <w:r w:rsidRPr="00F769E0">
              <w:rPr>
                <w:rFonts w:cs="Tahoma"/>
                <w:lang w:val="sl-SI" w:eastAsia="en-GB"/>
              </w:rPr>
              <w:br/>
              <w:t xml:space="preserve">do 99 km: 20 EUR </w:t>
            </w:r>
            <w:r w:rsidRPr="00F769E0">
              <w:rPr>
                <w:rFonts w:cs="Tahoma"/>
                <w:lang w:val="sl-SI" w:eastAsia="en-GB"/>
              </w:rPr>
              <w:br/>
              <w:t>na udeleženca</w:t>
            </w:r>
          </w:p>
        </w:tc>
        <w:tc>
          <w:tcPr>
            <w:tcW w:w="16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8E7C" w14:textId="77777777" w:rsidR="00E03711" w:rsidRPr="00F769E0" w:rsidRDefault="00E03711" w:rsidP="00D27739">
            <w:pPr>
              <w:pStyle w:val="GUIDE-NORMAL"/>
              <w:spacing w:before="60" w:after="60"/>
              <w:jc w:val="left"/>
              <w:rPr>
                <w:rFonts w:cs="Tahoma"/>
                <w:lang w:val="sl-SI" w:eastAsia="en-GB"/>
              </w:rPr>
            </w:pPr>
            <w:r w:rsidRPr="00F769E0">
              <w:rPr>
                <w:rFonts w:cs="Tahoma"/>
                <w:lang w:val="sl-SI" w:eastAsia="en-GB"/>
              </w:rPr>
              <w:t>Glede na razdaljo poti na udeleženca. Razdaljo je treba izračunati s kalkulatorjem razdalje, ki ga podpira Evropska komisija</w:t>
            </w:r>
            <w:r w:rsidRPr="00F769E0">
              <w:rPr>
                <w:rStyle w:val="FootnoteReference"/>
                <w:rFonts w:cs="Tahoma"/>
                <w:lang w:val="sl-SI" w:eastAsia="en-GB"/>
              </w:rPr>
              <w:footnoteReference w:id="61"/>
            </w:r>
            <w:r w:rsidRPr="00F769E0">
              <w:rPr>
                <w:rFonts w:cs="Tahoma"/>
                <w:lang w:val="sl-SI" w:eastAsia="en-GB"/>
              </w:rPr>
              <w:t>. Prijavitelj mora navesti razdaljo enosmerne poti za izračun zneska nepovratnih sredstev EU za kritje povratne poti</w:t>
            </w:r>
            <w:r w:rsidRPr="00F769E0">
              <w:rPr>
                <w:rStyle w:val="FootnoteReference"/>
                <w:rFonts w:cs="Tahoma"/>
                <w:lang w:val="sl-SI" w:eastAsia="en-GB"/>
              </w:rPr>
              <w:footnoteReference w:id="62"/>
            </w:r>
            <w:r w:rsidRPr="00F769E0">
              <w:rPr>
                <w:rFonts w:cs="Tahoma"/>
                <w:lang w:val="sl-SI" w:eastAsia="en-GB"/>
              </w:rPr>
              <w:t>.</w:t>
            </w:r>
            <w:r w:rsidRPr="00F769E0">
              <w:rPr>
                <w:rFonts w:eastAsia="SimSun" w:cs="Tahoma"/>
                <w:shd w:val="clear" w:color="auto" w:fill="auto"/>
                <w:lang w:val="sl-SI" w:eastAsia="en-GB"/>
              </w:rPr>
              <w:t xml:space="preserve"> </w:t>
            </w:r>
          </w:p>
        </w:tc>
      </w:tr>
      <w:tr w:rsidR="00E03711" w:rsidRPr="00A6094F" w14:paraId="7D398E83" w14:textId="77777777" w:rsidTr="00F51E6B">
        <w:trPr>
          <w:trHeight w:val="20"/>
        </w:trPr>
        <w:tc>
          <w:tcPr>
            <w:tcW w:w="1413" w:type="dxa"/>
            <w:vMerge/>
            <w:tcBorders>
              <w:top w:val="nil"/>
              <w:left w:val="single" w:sz="4" w:space="0" w:color="000000"/>
              <w:bottom w:val="single" w:sz="4" w:space="0" w:color="000000"/>
              <w:right w:val="single" w:sz="4" w:space="0" w:color="000000"/>
            </w:tcBorders>
            <w:shd w:val="clear" w:color="auto" w:fill="auto"/>
            <w:vAlign w:val="center"/>
          </w:tcPr>
          <w:p w14:paraId="7D398E7E" w14:textId="77777777" w:rsidR="00E03711" w:rsidRPr="00F769E0" w:rsidRDefault="00E03711" w:rsidP="00D27739">
            <w:pPr>
              <w:pStyle w:val="GUIDE-NORMAL"/>
              <w:spacing w:before="60" w:after="60"/>
              <w:jc w:val="left"/>
              <w:rPr>
                <w:rFonts w:cs="Tahoma"/>
                <w:b/>
                <w:bCs/>
                <w:sz w:val="2"/>
                <w:szCs w:val="2"/>
                <w:lang w:val="sl-SI" w:eastAsia="en-GB"/>
              </w:rPr>
            </w:pPr>
          </w:p>
        </w:tc>
        <w:tc>
          <w:tcPr>
            <w:tcW w:w="2572" w:type="dxa"/>
            <w:vMerge/>
            <w:tcBorders>
              <w:top w:val="nil"/>
              <w:left w:val="single" w:sz="4" w:space="0" w:color="000000"/>
              <w:bottom w:val="single" w:sz="4" w:space="0" w:color="000000"/>
              <w:right w:val="single" w:sz="4" w:space="0" w:color="000000"/>
            </w:tcBorders>
            <w:shd w:val="clear" w:color="auto" w:fill="auto"/>
            <w:vAlign w:val="center"/>
          </w:tcPr>
          <w:p w14:paraId="7D398E7F" w14:textId="77777777" w:rsidR="00E03711" w:rsidRPr="00F769E0" w:rsidRDefault="00E03711" w:rsidP="00D27739">
            <w:pPr>
              <w:pStyle w:val="GUIDE-NORMAL"/>
              <w:spacing w:before="60" w:after="60"/>
              <w:jc w:val="left"/>
              <w:rPr>
                <w:rFonts w:cs="Tahoma"/>
                <w:b/>
                <w:bCs/>
                <w:sz w:val="2"/>
                <w:szCs w:val="2"/>
                <w:lang w:val="sl-SI" w:eastAsia="en-GB"/>
              </w:rPr>
            </w:pPr>
          </w:p>
        </w:tc>
        <w:tc>
          <w:tcPr>
            <w:tcW w:w="1162" w:type="dxa"/>
            <w:vMerge/>
            <w:tcBorders>
              <w:top w:val="nil"/>
              <w:left w:val="single" w:sz="4" w:space="0" w:color="000000"/>
              <w:bottom w:val="single" w:sz="4" w:space="0" w:color="000000"/>
              <w:right w:val="single" w:sz="4" w:space="0" w:color="000000"/>
            </w:tcBorders>
            <w:shd w:val="clear" w:color="auto" w:fill="auto"/>
            <w:vAlign w:val="center"/>
          </w:tcPr>
          <w:p w14:paraId="7D398E80" w14:textId="77777777" w:rsidR="00E03711" w:rsidRPr="00F769E0" w:rsidRDefault="00E03711" w:rsidP="00D27739">
            <w:pPr>
              <w:pStyle w:val="GUIDE-NORMAL"/>
              <w:spacing w:before="60" w:after="60"/>
              <w:jc w:val="left"/>
              <w:rPr>
                <w:rFonts w:cs="Tahoma"/>
                <w:b/>
                <w:bCs/>
                <w:sz w:val="2"/>
                <w:szCs w:val="2"/>
                <w:lang w:val="sl-SI" w:eastAsia="en-GB"/>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14:paraId="7D398E81" w14:textId="77777777" w:rsidR="00E03711" w:rsidRPr="00F769E0" w:rsidRDefault="00E03711" w:rsidP="00D27739">
            <w:pPr>
              <w:pStyle w:val="GUIDE-NORMAL"/>
              <w:spacing w:before="60" w:after="60"/>
              <w:jc w:val="left"/>
              <w:rPr>
                <w:rFonts w:cs="Tahoma"/>
                <w:lang w:val="sl-SI" w:eastAsia="en-GB"/>
              </w:rPr>
            </w:pPr>
            <w:r w:rsidRPr="00F769E0">
              <w:rPr>
                <w:rFonts w:cs="Tahoma"/>
                <w:lang w:val="sl-SI" w:eastAsia="en-GB"/>
              </w:rPr>
              <w:t xml:space="preserve">Za razdalje od 100 </w:t>
            </w:r>
            <w:r w:rsidRPr="00F769E0">
              <w:rPr>
                <w:rFonts w:cs="Tahoma"/>
                <w:lang w:val="sl-SI" w:eastAsia="en-GB"/>
              </w:rPr>
              <w:br/>
              <w:t xml:space="preserve">do 499 km: 180 EUR </w:t>
            </w:r>
            <w:r w:rsidRPr="00F769E0">
              <w:rPr>
                <w:rFonts w:cs="Tahoma"/>
                <w:lang w:val="sl-SI" w:eastAsia="en-GB"/>
              </w:rPr>
              <w:br/>
              <w:t>na udeleženca</w:t>
            </w:r>
          </w:p>
        </w:tc>
        <w:tc>
          <w:tcPr>
            <w:tcW w:w="1664" w:type="dxa"/>
            <w:vMerge/>
            <w:tcBorders>
              <w:top w:val="nil"/>
              <w:left w:val="single" w:sz="4" w:space="0" w:color="000000"/>
              <w:bottom w:val="single" w:sz="4" w:space="0" w:color="000000"/>
              <w:right w:val="single" w:sz="4" w:space="0" w:color="000000"/>
            </w:tcBorders>
            <w:shd w:val="clear" w:color="auto" w:fill="auto"/>
            <w:vAlign w:val="center"/>
          </w:tcPr>
          <w:p w14:paraId="7D398E82" w14:textId="77777777" w:rsidR="00E03711" w:rsidRPr="00F769E0" w:rsidRDefault="00E03711" w:rsidP="00D27739">
            <w:pPr>
              <w:pStyle w:val="GUIDE-NORMAL"/>
              <w:spacing w:before="60" w:after="60"/>
              <w:jc w:val="left"/>
              <w:rPr>
                <w:rFonts w:cs="Tahoma"/>
                <w:b/>
                <w:bCs/>
                <w:sz w:val="2"/>
                <w:szCs w:val="2"/>
                <w:lang w:val="sl-SI" w:eastAsia="en-GB"/>
              </w:rPr>
            </w:pPr>
          </w:p>
        </w:tc>
      </w:tr>
      <w:tr w:rsidR="00E03711" w:rsidRPr="00A6094F" w14:paraId="7D398E89" w14:textId="77777777" w:rsidTr="00F51E6B">
        <w:trPr>
          <w:trHeight w:val="20"/>
        </w:trPr>
        <w:tc>
          <w:tcPr>
            <w:tcW w:w="1413" w:type="dxa"/>
            <w:vMerge/>
            <w:tcBorders>
              <w:top w:val="nil"/>
              <w:left w:val="single" w:sz="4" w:space="0" w:color="000000"/>
              <w:bottom w:val="single" w:sz="4" w:space="0" w:color="000000"/>
              <w:right w:val="single" w:sz="4" w:space="0" w:color="000000"/>
            </w:tcBorders>
            <w:shd w:val="clear" w:color="auto" w:fill="auto"/>
            <w:vAlign w:val="center"/>
          </w:tcPr>
          <w:p w14:paraId="7D398E84" w14:textId="77777777" w:rsidR="00E03711" w:rsidRPr="00F769E0" w:rsidRDefault="00E03711" w:rsidP="00D27739">
            <w:pPr>
              <w:pStyle w:val="GUIDE-NORMAL"/>
              <w:spacing w:before="60" w:after="60"/>
              <w:jc w:val="left"/>
              <w:rPr>
                <w:rFonts w:cs="Tahoma"/>
                <w:b/>
                <w:bCs/>
                <w:sz w:val="2"/>
                <w:szCs w:val="2"/>
                <w:lang w:val="sl-SI" w:eastAsia="en-GB"/>
              </w:rPr>
            </w:pPr>
          </w:p>
        </w:tc>
        <w:tc>
          <w:tcPr>
            <w:tcW w:w="2572" w:type="dxa"/>
            <w:vMerge/>
            <w:tcBorders>
              <w:top w:val="nil"/>
              <w:left w:val="single" w:sz="4" w:space="0" w:color="000000"/>
              <w:bottom w:val="single" w:sz="4" w:space="0" w:color="000000"/>
              <w:right w:val="single" w:sz="4" w:space="0" w:color="000000"/>
            </w:tcBorders>
            <w:shd w:val="clear" w:color="auto" w:fill="auto"/>
            <w:vAlign w:val="center"/>
          </w:tcPr>
          <w:p w14:paraId="7D398E85" w14:textId="77777777" w:rsidR="00E03711" w:rsidRPr="00F769E0" w:rsidRDefault="00E03711" w:rsidP="00D27739">
            <w:pPr>
              <w:pStyle w:val="GUIDE-NORMAL"/>
              <w:spacing w:before="60" w:after="60"/>
              <w:jc w:val="left"/>
              <w:rPr>
                <w:rFonts w:cs="Tahoma"/>
                <w:b/>
                <w:bCs/>
                <w:sz w:val="2"/>
                <w:szCs w:val="2"/>
                <w:lang w:val="sl-SI" w:eastAsia="en-GB"/>
              </w:rPr>
            </w:pPr>
          </w:p>
        </w:tc>
        <w:tc>
          <w:tcPr>
            <w:tcW w:w="1162" w:type="dxa"/>
            <w:vMerge/>
            <w:tcBorders>
              <w:top w:val="nil"/>
              <w:left w:val="single" w:sz="4" w:space="0" w:color="000000"/>
              <w:bottom w:val="single" w:sz="4" w:space="0" w:color="000000"/>
              <w:right w:val="single" w:sz="4" w:space="0" w:color="000000"/>
            </w:tcBorders>
            <w:shd w:val="clear" w:color="auto" w:fill="auto"/>
            <w:vAlign w:val="center"/>
          </w:tcPr>
          <w:p w14:paraId="7D398E86" w14:textId="77777777" w:rsidR="00E03711" w:rsidRPr="00F769E0" w:rsidRDefault="00E03711" w:rsidP="00D27739">
            <w:pPr>
              <w:pStyle w:val="GUIDE-NORMAL"/>
              <w:spacing w:before="60" w:after="60"/>
              <w:jc w:val="left"/>
              <w:rPr>
                <w:rFonts w:cs="Tahoma"/>
                <w:b/>
                <w:bCs/>
                <w:sz w:val="2"/>
                <w:szCs w:val="2"/>
                <w:lang w:val="sl-SI" w:eastAsia="en-GB"/>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14:paraId="7D398E87" w14:textId="77777777" w:rsidR="00E03711" w:rsidRPr="00F769E0" w:rsidRDefault="00E03711" w:rsidP="00D27739">
            <w:pPr>
              <w:pStyle w:val="GUIDE-NORMAL"/>
              <w:spacing w:before="60" w:after="60"/>
              <w:jc w:val="left"/>
              <w:rPr>
                <w:rFonts w:cs="Tahoma"/>
                <w:lang w:val="sl-SI" w:eastAsia="en-GB"/>
              </w:rPr>
            </w:pPr>
            <w:r w:rsidRPr="00F769E0">
              <w:rPr>
                <w:rFonts w:cs="Tahoma"/>
                <w:lang w:val="sl-SI" w:eastAsia="en-GB"/>
              </w:rPr>
              <w:t xml:space="preserve">Za razdalje od 500 </w:t>
            </w:r>
            <w:r w:rsidRPr="00F769E0">
              <w:rPr>
                <w:rFonts w:cs="Tahoma"/>
                <w:lang w:val="sl-SI" w:eastAsia="en-GB"/>
              </w:rPr>
              <w:br/>
              <w:t xml:space="preserve">do 1 999 km: 275 EUR </w:t>
            </w:r>
            <w:r w:rsidRPr="00F769E0">
              <w:rPr>
                <w:rFonts w:cs="Tahoma"/>
                <w:lang w:val="sl-SI" w:eastAsia="en-GB"/>
              </w:rPr>
              <w:br/>
              <w:t>na udeleženca</w:t>
            </w:r>
          </w:p>
        </w:tc>
        <w:tc>
          <w:tcPr>
            <w:tcW w:w="1664" w:type="dxa"/>
            <w:vMerge/>
            <w:tcBorders>
              <w:top w:val="nil"/>
              <w:left w:val="single" w:sz="4" w:space="0" w:color="000000"/>
              <w:bottom w:val="single" w:sz="4" w:space="0" w:color="000000"/>
              <w:right w:val="single" w:sz="4" w:space="0" w:color="000000"/>
            </w:tcBorders>
            <w:shd w:val="clear" w:color="auto" w:fill="auto"/>
            <w:vAlign w:val="center"/>
          </w:tcPr>
          <w:p w14:paraId="7D398E88" w14:textId="77777777" w:rsidR="00E03711" w:rsidRPr="00F769E0" w:rsidRDefault="00E03711" w:rsidP="00D27739">
            <w:pPr>
              <w:pStyle w:val="GUIDE-NORMAL"/>
              <w:spacing w:before="60" w:after="60"/>
              <w:jc w:val="left"/>
              <w:rPr>
                <w:rFonts w:cs="Tahoma"/>
                <w:b/>
                <w:bCs/>
                <w:sz w:val="2"/>
                <w:szCs w:val="2"/>
                <w:lang w:val="sl-SI" w:eastAsia="en-GB"/>
              </w:rPr>
            </w:pPr>
          </w:p>
        </w:tc>
      </w:tr>
      <w:tr w:rsidR="00E03711" w:rsidRPr="00A6094F" w14:paraId="7D398E8F" w14:textId="77777777" w:rsidTr="00F51E6B">
        <w:trPr>
          <w:trHeight w:val="20"/>
        </w:trPr>
        <w:tc>
          <w:tcPr>
            <w:tcW w:w="1413" w:type="dxa"/>
            <w:vMerge/>
            <w:tcBorders>
              <w:top w:val="nil"/>
              <w:left w:val="single" w:sz="4" w:space="0" w:color="000000"/>
              <w:bottom w:val="single" w:sz="4" w:space="0" w:color="000000"/>
              <w:right w:val="single" w:sz="4" w:space="0" w:color="000000"/>
            </w:tcBorders>
            <w:shd w:val="clear" w:color="auto" w:fill="auto"/>
            <w:vAlign w:val="center"/>
          </w:tcPr>
          <w:p w14:paraId="7D398E8A" w14:textId="77777777" w:rsidR="00E03711" w:rsidRPr="00F769E0" w:rsidRDefault="00E03711" w:rsidP="00D27739">
            <w:pPr>
              <w:pStyle w:val="GUIDE-NORMAL"/>
              <w:spacing w:before="60" w:after="60"/>
              <w:jc w:val="left"/>
              <w:rPr>
                <w:rFonts w:cs="Tahoma"/>
                <w:b/>
                <w:bCs/>
                <w:sz w:val="2"/>
                <w:szCs w:val="2"/>
                <w:lang w:val="sl-SI" w:eastAsia="en-GB"/>
              </w:rPr>
            </w:pPr>
          </w:p>
        </w:tc>
        <w:tc>
          <w:tcPr>
            <w:tcW w:w="2572" w:type="dxa"/>
            <w:vMerge/>
            <w:tcBorders>
              <w:top w:val="nil"/>
              <w:left w:val="single" w:sz="4" w:space="0" w:color="000000"/>
              <w:bottom w:val="single" w:sz="4" w:space="0" w:color="000000"/>
              <w:right w:val="single" w:sz="4" w:space="0" w:color="000000"/>
            </w:tcBorders>
            <w:shd w:val="clear" w:color="auto" w:fill="auto"/>
            <w:vAlign w:val="center"/>
          </w:tcPr>
          <w:p w14:paraId="7D398E8B" w14:textId="77777777" w:rsidR="00E03711" w:rsidRPr="00F769E0" w:rsidRDefault="00E03711" w:rsidP="00D27739">
            <w:pPr>
              <w:pStyle w:val="GUIDE-NORMAL"/>
              <w:spacing w:before="60" w:after="60"/>
              <w:jc w:val="left"/>
              <w:rPr>
                <w:rFonts w:cs="Tahoma"/>
                <w:b/>
                <w:bCs/>
                <w:sz w:val="2"/>
                <w:szCs w:val="2"/>
                <w:lang w:val="sl-SI" w:eastAsia="en-GB"/>
              </w:rPr>
            </w:pPr>
          </w:p>
        </w:tc>
        <w:tc>
          <w:tcPr>
            <w:tcW w:w="1162" w:type="dxa"/>
            <w:vMerge/>
            <w:tcBorders>
              <w:top w:val="nil"/>
              <w:left w:val="single" w:sz="4" w:space="0" w:color="000000"/>
              <w:bottom w:val="single" w:sz="4" w:space="0" w:color="000000"/>
              <w:right w:val="single" w:sz="4" w:space="0" w:color="000000"/>
            </w:tcBorders>
            <w:shd w:val="clear" w:color="auto" w:fill="auto"/>
            <w:vAlign w:val="center"/>
          </w:tcPr>
          <w:p w14:paraId="7D398E8C" w14:textId="77777777" w:rsidR="00E03711" w:rsidRPr="00F769E0" w:rsidRDefault="00E03711" w:rsidP="00D27739">
            <w:pPr>
              <w:pStyle w:val="GUIDE-NORMAL"/>
              <w:spacing w:before="60" w:after="60"/>
              <w:jc w:val="left"/>
              <w:rPr>
                <w:rFonts w:cs="Tahoma"/>
                <w:b/>
                <w:bCs/>
                <w:sz w:val="2"/>
                <w:szCs w:val="2"/>
                <w:lang w:val="sl-SI" w:eastAsia="en-GB"/>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14:paraId="7D398E8D" w14:textId="77777777" w:rsidR="00E03711" w:rsidRPr="00F769E0" w:rsidRDefault="00E03711" w:rsidP="00D27739">
            <w:pPr>
              <w:pStyle w:val="GUIDE-NORMAL"/>
              <w:spacing w:before="60" w:after="60"/>
              <w:jc w:val="left"/>
              <w:rPr>
                <w:rFonts w:cs="Tahoma"/>
                <w:lang w:val="sl-SI" w:eastAsia="en-GB"/>
              </w:rPr>
            </w:pPr>
            <w:r w:rsidRPr="00F769E0">
              <w:rPr>
                <w:rFonts w:cs="Tahoma"/>
                <w:lang w:val="sl-SI" w:eastAsia="en-GB"/>
              </w:rPr>
              <w:t xml:space="preserve">Za razdalje od 2 000 </w:t>
            </w:r>
            <w:r w:rsidRPr="00F769E0">
              <w:rPr>
                <w:rFonts w:cs="Tahoma"/>
                <w:lang w:val="sl-SI" w:eastAsia="en-GB"/>
              </w:rPr>
              <w:br/>
              <w:t xml:space="preserve">do 2 999 km: 360 EUR </w:t>
            </w:r>
            <w:r w:rsidRPr="00F769E0">
              <w:rPr>
                <w:rFonts w:cs="Tahoma"/>
                <w:lang w:val="sl-SI" w:eastAsia="en-GB"/>
              </w:rPr>
              <w:br/>
              <w:t>na udeleženca</w:t>
            </w:r>
          </w:p>
        </w:tc>
        <w:tc>
          <w:tcPr>
            <w:tcW w:w="1664" w:type="dxa"/>
            <w:vMerge/>
            <w:tcBorders>
              <w:top w:val="nil"/>
              <w:left w:val="single" w:sz="4" w:space="0" w:color="000000"/>
              <w:bottom w:val="single" w:sz="4" w:space="0" w:color="000000"/>
              <w:right w:val="single" w:sz="4" w:space="0" w:color="000000"/>
            </w:tcBorders>
            <w:shd w:val="clear" w:color="auto" w:fill="auto"/>
            <w:vAlign w:val="center"/>
          </w:tcPr>
          <w:p w14:paraId="7D398E8E" w14:textId="77777777" w:rsidR="00E03711" w:rsidRPr="00F769E0" w:rsidRDefault="00E03711" w:rsidP="00D27739">
            <w:pPr>
              <w:pStyle w:val="GUIDE-NORMAL"/>
              <w:spacing w:before="60" w:after="60"/>
              <w:jc w:val="left"/>
              <w:rPr>
                <w:rFonts w:cs="Tahoma"/>
                <w:b/>
                <w:bCs/>
                <w:sz w:val="2"/>
                <w:szCs w:val="2"/>
                <w:lang w:val="sl-SI" w:eastAsia="en-GB"/>
              </w:rPr>
            </w:pPr>
          </w:p>
        </w:tc>
      </w:tr>
      <w:tr w:rsidR="00E03711" w:rsidRPr="00A6094F" w14:paraId="7D398E95" w14:textId="77777777" w:rsidTr="00F51E6B">
        <w:trPr>
          <w:trHeight w:val="20"/>
        </w:trPr>
        <w:tc>
          <w:tcPr>
            <w:tcW w:w="1413" w:type="dxa"/>
            <w:vMerge/>
            <w:tcBorders>
              <w:top w:val="nil"/>
              <w:left w:val="single" w:sz="4" w:space="0" w:color="000000"/>
              <w:bottom w:val="single" w:sz="4" w:space="0" w:color="000000"/>
              <w:right w:val="single" w:sz="4" w:space="0" w:color="000000"/>
            </w:tcBorders>
            <w:shd w:val="clear" w:color="auto" w:fill="auto"/>
            <w:vAlign w:val="center"/>
          </w:tcPr>
          <w:p w14:paraId="7D398E90" w14:textId="77777777" w:rsidR="00E03711" w:rsidRPr="00F769E0" w:rsidRDefault="00E03711" w:rsidP="00D27739">
            <w:pPr>
              <w:pStyle w:val="GUIDE-NORMAL"/>
              <w:spacing w:before="60" w:after="60"/>
              <w:jc w:val="left"/>
              <w:rPr>
                <w:rFonts w:cs="Tahoma"/>
                <w:b/>
                <w:bCs/>
                <w:sz w:val="2"/>
                <w:szCs w:val="2"/>
                <w:lang w:val="sl-SI" w:eastAsia="en-GB"/>
              </w:rPr>
            </w:pPr>
          </w:p>
        </w:tc>
        <w:tc>
          <w:tcPr>
            <w:tcW w:w="2572" w:type="dxa"/>
            <w:vMerge/>
            <w:tcBorders>
              <w:top w:val="nil"/>
              <w:left w:val="single" w:sz="4" w:space="0" w:color="000000"/>
              <w:bottom w:val="single" w:sz="4" w:space="0" w:color="000000"/>
              <w:right w:val="single" w:sz="4" w:space="0" w:color="000000"/>
            </w:tcBorders>
            <w:shd w:val="clear" w:color="auto" w:fill="auto"/>
            <w:vAlign w:val="center"/>
          </w:tcPr>
          <w:p w14:paraId="7D398E91" w14:textId="77777777" w:rsidR="00E03711" w:rsidRPr="00F769E0" w:rsidRDefault="00E03711" w:rsidP="00D27739">
            <w:pPr>
              <w:pStyle w:val="GUIDE-NORMAL"/>
              <w:spacing w:before="60" w:after="60"/>
              <w:jc w:val="left"/>
              <w:rPr>
                <w:rFonts w:cs="Tahoma"/>
                <w:b/>
                <w:bCs/>
                <w:sz w:val="2"/>
                <w:szCs w:val="2"/>
                <w:lang w:val="sl-SI" w:eastAsia="en-GB"/>
              </w:rPr>
            </w:pPr>
          </w:p>
        </w:tc>
        <w:tc>
          <w:tcPr>
            <w:tcW w:w="1162" w:type="dxa"/>
            <w:vMerge/>
            <w:tcBorders>
              <w:top w:val="nil"/>
              <w:left w:val="single" w:sz="4" w:space="0" w:color="000000"/>
              <w:bottom w:val="single" w:sz="4" w:space="0" w:color="000000"/>
              <w:right w:val="single" w:sz="4" w:space="0" w:color="000000"/>
            </w:tcBorders>
            <w:shd w:val="clear" w:color="auto" w:fill="auto"/>
            <w:vAlign w:val="center"/>
          </w:tcPr>
          <w:p w14:paraId="7D398E92" w14:textId="77777777" w:rsidR="00E03711" w:rsidRPr="00F769E0" w:rsidRDefault="00E03711" w:rsidP="00D27739">
            <w:pPr>
              <w:pStyle w:val="GUIDE-NORMAL"/>
              <w:spacing w:before="60" w:after="60"/>
              <w:jc w:val="left"/>
              <w:rPr>
                <w:rFonts w:cs="Tahoma"/>
                <w:b/>
                <w:bCs/>
                <w:sz w:val="2"/>
                <w:szCs w:val="2"/>
                <w:lang w:val="sl-SI" w:eastAsia="en-GB"/>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14:paraId="7D398E93" w14:textId="77777777" w:rsidR="00E03711" w:rsidRPr="00F769E0" w:rsidRDefault="00E03711" w:rsidP="00D27739">
            <w:pPr>
              <w:pStyle w:val="GUIDE-NORMAL"/>
              <w:spacing w:before="60" w:after="60"/>
              <w:jc w:val="left"/>
              <w:rPr>
                <w:rFonts w:cs="Tahoma"/>
                <w:lang w:val="sl-SI" w:eastAsia="en-GB"/>
              </w:rPr>
            </w:pPr>
            <w:r w:rsidRPr="00F769E0">
              <w:rPr>
                <w:rFonts w:cs="Tahoma"/>
                <w:lang w:val="sl-SI" w:eastAsia="en-GB"/>
              </w:rPr>
              <w:t xml:space="preserve">Za razdalje od 3 000 </w:t>
            </w:r>
            <w:r w:rsidRPr="00F769E0">
              <w:rPr>
                <w:rFonts w:cs="Tahoma"/>
                <w:lang w:val="sl-SI" w:eastAsia="en-GB"/>
              </w:rPr>
              <w:br/>
              <w:t xml:space="preserve">do 3 999 km: 530 EUR </w:t>
            </w:r>
            <w:r w:rsidRPr="00F769E0">
              <w:rPr>
                <w:rFonts w:cs="Tahoma"/>
                <w:lang w:val="sl-SI" w:eastAsia="en-GB"/>
              </w:rPr>
              <w:br/>
              <w:t>na udeleženca</w:t>
            </w:r>
          </w:p>
        </w:tc>
        <w:tc>
          <w:tcPr>
            <w:tcW w:w="1664" w:type="dxa"/>
            <w:vMerge/>
            <w:tcBorders>
              <w:top w:val="nil"/>
              <w:left w:val="single" w:sz="4" w:space="0" w:color="000000"/>
              <w:bottom w:val="single" w:sz="4" w:space="0" w:color="000000"/>
              <w:right w:val="single" w:sz="4" w:space="0" w:color="000000"/>
            </w:tcBorders>
            <w:shd w:val="clear" w:color="auto" w:fill="auto"/>
            <w:vAlign w:val="center"/>
          </w:tcPr>
          <w:p w14:paraId="7D398E94" w14:textId="77777777" w:rsidR="00E03711" w:rsidRPr="00F769E0" w:rsidRDefault="00E03711" w:rsidP="00D27739">
            <w:pPr>
              <w:pStyle w:val="GUIDE-NORMAL"/>
              <w:spacing w:before="60" w:after="60"/>
              <w:jc w:val="left"/>
              <w:rPr>
                <w:rFonts w:cs="Tahoma"/>
                <w:b/>
                <w:bCs/>
                <w:sz w:val="2"/>
                <w:szCs w:val="2"/>
                <w:lang w:val="sl-SI" w:eastAsia="en-GB"/>
              </w:rPr>
            </w:pPr>
          </w:p>
        </w:tc>
      </w:tr>
      <w:tr w:rsidR="00E03711" w:rsidRPr="00A6094F" w14:paraId="7D398E9B" w14:textId="77777777" w:rsidTr="00F51E6B">
        <w:trPr>
          <w:trHeight w:val="20"/>
        </w:trPr>
        <w:tc>
          <w:tcPr>
            <w:tcW w:w="1413" w:type="dxa"/>
            <w:vMerge/>
            <w:tcBorders>
              <w:top w:val="nil"/>
              <w:left w:val="single" w:sz="4" w:space="0" w:color="000000"/>
              <w:bottom w:val="single" w:sz="4" w:space="0" w:color="000000"/>
              <w:right w:val="single" w:sz="4" w:space="0" w:color="000000"/>
            </w:tcBorders>
            <w:shd w:val="clear" w:color="auto" w:fill="auto"/>
            <w:vAlign w:val="center"/>
          </w:tcPr>
          <w:p w14:paraId="7D398E96" w14:textId="77777777" w:rsidR="00E03711" w:rsidRPr="00F769E0" w:rsidRDefault="00E03711" w:rsidP="00D27739">
            <w:pPr>
              <w:pStyle w:val="GUIDE-NORMAL"/>
              <w:spacing w:before="60" w:after="60"/>
              <w:jc w:val="left"/>
              <w:rPr>
                <w:rFonts w:cs="Tahoma"/>
                <w:b/>
                <w:bCs/>
                <w:sz w:val="2"/>
                <w:szCs w:val="2"/>
                <w:lang w:val="sl-SI" w:eastAsia="en-GB"/>
              </w:rPr>
            </w:pPr>
          </w:p>
        </w:tc>
        <w:tc>
          <w:tcPr>
            <w:tcW w:w="2572" w:type="dxa"/>
            <w:vMerge/>
            <w:tcBorders>
              <w:top w:val="nil"/>
              <w:left w:val="single" w:sz="4" w:space="0" w:color="000000"/>
              <w:bottom w:val="single" w:sz="4" w:space="0" w:color="000000"/>
              <w:right w:val="single" w:sz="4" w:space="0" w:color="000000"/>
            </w:tcBorders>
            <w:shd w:val="clear" w:color="auto" w:fill="auto"/>
            <w:vAlign w:val="center"/>
          </w:tcPr>
          <w:p w14:paraId="7D398E97" w14:textId="77777777" w:rsidR="00E03711" w:rsidRPr="00F769E0" w:rsidRDefault="00E03711" w:rsidP="00D27739">
            <w:pPr>
              <w:pStyle w:val="GUIDE-NORMAL"/>
              <w:spacing w:before="60" w:after="60"/>
              <w:jc w:val="left"/>
              <w:rPr>
                <w:rFonts w:cs="Tahoma"/>
                <w:b/>
                <w:bCs/>
                <w:sz w:val="2"/>
                <w:szCs w:val="2"/>
                <w:lang w:val="sl-SI" w:eastAsia="en-GB"/>
              </w:rPr>
            </w:pPr>
          </w:p>
        </w:tc>
        <w:tc>
          <w:tcPr>
            <w:tcW w:w="1162" w:type="dxa"/>
            <w:vMerge/>
            <w:tcBorders>
              <w:top w:val="nil"/>
              <w:left w:val="single" w:sz="4" w:space="0" w:color="000000"/>
              <w:bottom w:val="single" w:sz="4" w:space="0" w:color="000000"/>
              <w:right w:val="single" w:sz="4" w:space="0" w:color="000000"/>
            </w:tcBorders>
            <w:shd w:val="clear" w:color="auto" w:fill="auto"/>
            <w:vAlign w:val="center"/>
          </w:tcPr>
          <w:p w14:paraId="7D398E98" w14:textId="77777777" w:rsidR="00E03711" w:rsidRPr="00F769E0" w:rsidRDefault="00E03711" w:rsidP="00D27739">
            <w:pPr>
              <w:pStyle w:val="GUIDE-NORMAL"/>
              <w:spacing w:before="60" w:after="60"/>
              <w:jc w:val="left"/>
              <w:rPr>
                <w:rFonts w:cs="Tahoma"/>
                <w:b/>
                <w:bCs/>
                <w:sz w:val="2"/>
                <w:szCs w:val="2"/>
                <w:lang w:val="sl-SI" w:eastAsia="en-GB"/>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14:paraId="7D398E99" w14:textId="77777777" w:rsidR="00E03711" w:rsidRPr="00F769E0" w:rsidRDefault="00E03711" w:rsidP="00D27739">
            <w:pPr>
              <w:pStyle w:val="GUIDE-NORMAL"/>
              <w:spacing w:before="60" w:after="60"/>
              <w:jc w:val="left"/>
              <w:rPr>
                <w:rFonts w:cs="Tahoma"/>
                <w:lang w:val="sl-SI" w:eastAsia="en-GB"/>
              </w:rPr>
            </w:pPr>
            <w:r w:rsidRPr="00F769E0">
              <w:rPr>
                <w:rFonts w:cs="Tahoma"/>
                <w:lang w:val="sl-SI" w:eastAsia="en-GB"/>
              </w:rPr>
              <w:t xml:space="preserve">Za razdalje od 4 000 </w:t>
            </w:r>
            <w:r w:rsidRPr="00F769E0">
              <w:rPr>
                <w:rFonts w:cs="Tahoma"/>
                <w:lang w:val="sl-SI" w:eastAsia="en-GB"/>
              </w:rPr>
              <w:br/>
              <w:t xml:space="preserve">do 7 999 km: 820 EUR </w:t>
            </w:r>
            <w:r w:rsidRPr="00F769E0">
              <w:rPr>
                <w:rFonts w:cs="Tahoma"/>
                <w:lang w:val="sl-SI" w:eastAsia="en-GB"/>
              </w:rPr>
              <w:br/>
              <w:t>na udeleženca</w:t>
            </w:r>
          </w:p>
        </w:tc>
        <w:tc>
          <w:tcPr>
            <w:tcW w:w="1664" w:type="dxa"/>
            <w:vMerge/>
            <w:tcBorders>
              <w:top w:val="nil"/>
              <w:left w:val="single" w:sz="4" w:space="0" w:color="000000"/>
              <w:bottom w:val="single" w:sz="4" w:space="0" w:color="000000"/>
              <w:right w:val="single" w:sz="4" w:space="0" w:color="000000"/>
            </w:tcBorders>
            <w:shd w:val="clear" w:color="auto" w:fill="auto"/>
            <w:vAlign w:val="center"/>
          </w:tcPr>
          <w:p w14:paraId="7D398E9A" w14:textId="77777777" w:rsidR="00E03711" w:rsidRPr="00F769E0" w:rsidRDefault="00E03711" w:rsidP="00D27739">
            <w:pPr>
              <w:pStyle w:val="GUIDE-NORMAL"/>
              <w:spacing w:before="60" w:after="60"/>
              <w:jc w:val="left"/>
              <w:rPr>
                <w:rFonts w:cs="Tahoma"/>
                <w:b/>
                <w:bCs/>
                <w:sz w:val="2"/>
                <w:szCs w:val="2"/>
                <w:lang w:val="sl-SI" w:eastAsia="en-GB"/>
              </w:rPr>
            </w:pPr>
          </w:p>
        </w:tc>
      </w:tr>
      <w:tr w:rsidR="00E03711" w:rsidRPr="00A6094F" w14:paraId="7D398EA1" w14:textId="77777777" w:rsidTr="00F51E6B">
        <w:trPr>
          <w:trHeight w:val="20"/>
        </w:trPr>
        <w:tc>
          <w:tcPr>
            <w:tcW w:w="1413" w:type="dxa"/>
            <w:vMerge/>
            <w:tcBorders>
              <w:top w:val="nil"/>
              <w:left w:val="single" w:sz="4" w:space="0" w:color="000000"/>
              <w:bottom w:val="single" w:sz="4" w:space="0" w:color="000000"/>
              <w:right w:val="single" w:sz="4" w:space="0" w:color="000000"/>
            </w:tcBorders>
            <w:shd w:val="clear" w:color="auto" w:fill="auto"/>
            <w:vAlign w:val="center"/>
          </w:tcPr>
          <w:p w14:paraId="7D398E9C" w14:textId="77777777" w:rsidR="00E03711" w:rsidRPr="00F769E0" w:rsidRDefault="00E03711" w:rsidP="00D27739">
            <w:pPr>
              <w:pStyle w:val="GUIDE-NORMAL"/>
              <w:spacing w:before="60" w:after="60"/>
              <w:jc w:val="left"/>
              <w:rPr>
                <w:rFonts w:cs="Tahoma"/>
                <w:b/>
                <w:bCs/>
                <w:sz w:val="2"/>
                <w:szCs w:val="2"/>
                <w:lang w:val="sl-SI" w:eastAsia="en-GB"/>
              </w:rPr>
            </w:pPr>
          </w:p>
        </w:tc>
        <w:tc>
          <w:tcPr>
            <w:tcW w:w="2572" w:type="dxa"/>
            <w:vMerge/>
            <w:tcBorders>
              <w:top w:val="nil"/>
              <w:left w:val="single" w:sz="4" w:space="0" w:color="000000"/>
              <w:bottom w:val="single" w:sz="4" w:space="0" w:color="000000"/>
              <w:right w:val="single" w:sz="4" w:space="0" w:color="000000"/>
            </w:tcBorders>
            <w:shd w:val="clear" w:color="auto" w:fill="auto"/>
            <w:vAlign w:val="center"/>
          </w:tcPr>
          <w:p w14:paraId="7D398E9D" w14:textId="77777777" w:rsidR="00E03711" w:rsidRPr="00F769E0" w:rsidRDefault="00E03711" w:rsidP="00D27739">
            <w:pPr>
              <w:pStyle w:val="GUIDE-NORMAL"/>
              <w:spacing w:before="60" w:after="60"/>
              <w:jc w:val="left"/>
              <w:rPr>
                <w:rFonts w:cs="Tahoma"/>
                <w:b/>
                <w:bCs/>
                <w:sz w:val="2"/>
                <w:szCs w:val="2"/>
                <w:lang w:val="sl-SI" w:eastAsia="en-GB"/>
              </w:rPr>
            </w:pPr>
          </w:p>
        </w:tc>
        <w:tc>
          <w:tcPr>
            <w:tcW w:w="1162" w:type="dxa"/>
            <w:vMerge/>
            <w:tcBorders>
              <w:top w:val="nil"/>
              <w:left w:val="single" w:sz="4" w:space="0" w:color="000000"/>
              <w:bottom w:val="single" w:sz="4" w:space="0" w:color="000000"/>
              <w:right w:val="single" w:sz="4" w:space="0" w:color="000000"/>
            </w:tcBorders>
            <w:shd w:val="clear" w:color="auto" w:fill="auto"/>
            <w:vAlign w:val="center"/>
          </w:tcPr>
          <w:p w14:paraId="7D398E9E" w14:textId="77777777" w:rsidR="00E03711" w:rsidRPr="00F769E0" w:rsidRDefault="00E03711" w:rsidP="00D27739">
            <w:pPr>
              <w:pStyle w:val="GUIDE-NORMAL"/>
              <w:spacing w:before="60" w:after="60"/>
              <w:jc w:val="left"/>
              <w:rPr>
                <w:rFonts w:cs="Tahoma"/>
                <w:b/>
                <w:bCs/>
                <w:sz w:val="2"/>
                <w:szCs w:val="2"/>
                <w:lang w:val="sl-SI" w:eastAsia="en-GB"/>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14:paraId="7D398E9F" w14:textId="77777777" w:rsidR="00E03711" w:rsidRPr="00F769E0" w:rsidRDefault="00E03711" w:rsidP="00D27739">
            <w:pPr>
              <w:pStyle w:val="GUIDE-NORMAL"/>
              <w:spacing w:before="60" w:after="60"/>
              <w:jc w:val="left"/>
              <w:rPr>
                <w:rFonts w:cs="Tahoma"/>
                <w:lang w:val="sl-SI" w:eastAsia="en-GB"/>
              </w:rPr>
            </w:pPr>
            <w:r w:rsidRPr="00F769E0">
              <w:rPr>
                <w:rFonts w:cs="Tahoma"/>
                <w:lang w:val="sl-SI" w:eastAsia="en-GB"/>
              </w:rPr>
              <w:t>Za razdalje 8 000 km ali več: 1 500 EUR na udeleženca</w:t>
            </w:r>
          </w:p>
        </w:tc>
        <w:tc>
          <w:tcPr>
            <w:tcW w:w="1664" w:type="dxa"/>
            <w:vMerge/>
            <w:tcBorders>
              <w:top w:val="nil"/>
              <w:left w:val="single" w:sz="4" w:space="0" w:color="000000"/>
              <w:bottom w:val="single" w:sz="4" w:space="0" w:color="000000"/>
              <w:right w:val="single" w:sz="4" w:space="0" w:color="000000"/>
            </w:tcBorders>
            <w:shd w:val="clear" w:color="auto" w:fill="auto"/>
            <w:vAlign w:val="center"/>
          </w:tcPr>
          <w:p w14:paraId="7D398EA0" w14:textId="77777777" w:rsidR="00E03711" w:rsidRPr="00F769E0" w:rsidRDefault="00E03711" w:rsidP="00D27739">
            <w:pPr>
              <w:pStyle w:val="GUIDE-NORMAL"/>
              <w:spacing w:before="60" w:after="60"/>
              <w:jc w:val="left"/>
              <w:rPr>
                <w:rFonts w:cs="Tahoma"/>
                <w:b/>
                <w:bCs/>
                <w:sz w:val="2"/>
                <w:szCs w:val="2"/>
                <w:lang w:val="sl-SI" w:eastAsia="en-GB"/>
              </w:rPr>
            </w:pPr>
          </w:p>
        </w:tc>
      </w:tr>
      <w:tr w:rsidR="00E03711" w:rsidRPr="00A6094F" w14:paraId="7D398EA8" w14:textId="77777777" w:rsidTr="004A5D6B">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A2" w14:textId="77777777" w:rsidR="00E03711" w:rsidRPr="00F769E0" w:rsidRDefault="00E03711" w:rsidP="00D27739">
            <w:pPr>
              <w:pStyle w:val="GUIDE-NORMAL"/>
              <w:spacing w:before="60" w:after="60"/>
              <w:jc w:val="left"/>
              <w:rPr>
                <w:rFonts w:cs="Tahoma"/>
                <w:b/>
                <w:lang w:val="sl-SI" w:eastAsia="en-GB"/>
              </w:rPr>
            </w:pPr>
            <w:r w:rsidRPr="00F769E0">
              <w:rPr>
                <w:rFonts w:cs="Tahoma"/>
                <w:b/>
                <w:lang w:val="sl-SI" w:eastAsia="en-GB"/>
              </w:rPr>
              <w:t>Organizacijska podpora</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A3" w14:textId="77777777" w:rsidR="00E03711" w:rsidRPr="00F769E0" w:rsidRDefault="00E03711" w:rsidP="00D27739">
            <w:pPr>
              <w:pStyle w:val="GUIDE-NORMAL"/>
              <w:spacing w:before="60" w:after="60"/>
              <w:jc w:val="left"/>
              <w:rPr>
                <w:rFonts w:cs="Tahoma"/>
                <w:lang w:val="sl-SI" w:eastAsia="en-GB"/>
              </w:rPr>
            </w:pPr>
            <w:r w:rsidRPr="00F769E0">
              <w:rPr>
                <w:rFonts w:cs="Tahoma"/>
                <w:lang w:val="sl-SI" w:eastAsia="en-GB"/>
              </w:rPr>
              <w:t xml:space="preserve">Stroški, neposredno povezani </w:t>
            </w:r>
            <w:r w:rsidRPr="00F769E0">
              <w:rPr>
                <w:rFonts w:cs="Tahoma"/>
                <w:lang w:val="sl-SI" w:eastAsia="en-GB"/>
              </w:rPr>
              <w:br/>
              <w:t xml:space="preserve">z izvajanjem aktivnosti mobilnosti </w:t>
            </w:r>
            <w:r w:rsidRPr="00FC4A70">
              <w:rPr>
                <w:rFonts w:eastAsia="Calibri" w:cs="Calibri"/>
                <w:bdr w:val="nil"/>
                <w:shd w:val="clear" w:color="auto" w:fill="auto"/>
                <w:lang w:val="sl-SI"/>
              </w:rPr>
              <w:t>(vključno s pripravo, spremljanjem in podporo udeležencem v času mobilnosti, podporo potrjevanju učnih izidov in aktivnostmi razširjanja)</w:t>
            </w:r>
            <w:r w:rsidRPr="00F769E0">
              <w:rPr>
                <w:rFonts w:cs="Tahoma"/>
                <w:lang w:val="sl-SI" w:eastAsia="en-GB"/>
              </w:rPr>
              <w:t>.</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A4" w14:textId="77777777" w:rsidR="00E03711" w:rsidRPr="00F769E0" w:rsidRDefault="00E03711" w:rsidP="00D27739">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A5" w14:textId="77777777" w:rsidR="00E03711" w:rsidRPr="00F769E0" w:rsidRDefault="00E03711" w:rsidP="008E1BD9">
            <w:pPr>
              <w:pStyle w:val="GUIDE-NORMAL"/>
              <w:spacing w:before="60" w:after="60"/>
              <w:jc w:val="left"/>
              <w:rPr>
                <w:rFonts w:cs="Tahoma"/>
                <w:lang w:val="sl-SI" w:eastAsia="en-GB"/>
              </w:rPr>
            </w:pPr>
            <w:r w:rsidRPr="00F769E0">
              <w:rPr>
                <w:rFonts w:cs="Tahoma"/>
                <w:lang w:val="sl-SI" w:eastAsia="en-GB"/>
              </w:rPr>
              <w:t>A5.2 na dan na prostovoljca</w:t>
            </w:r>
            <w:r w:rsidRPr="00F769E0">
              <w:rPr>
                <w:rStyle w:val="FootnoteReference"/>
                <w:rFonts w:cs="Tahoma"/>
                <w:lang w:val="sl-SI" w:eastAsia="en-GB"/>
              </w:rPr>
              <w:footnoteReference w:id="63"/>
            </w:r>
            <w:r w:rsidRPr="00F769E0">
              <w:rPr>
                <w:rFonts w:cs="Tahoma"/>
                <w:lang w:val="sl-SI" w:eastAsia="en-GB"/>
              </w:rPr>
              <w:t xml:space="preserve"> </w:t>
            </w:r>
          </w:p>
          <w:p w14:paraId="7D398EA6" w14:textId="77777777" w:rsidR="00E03711" w:rsidRPr="00F769E0" w:rsidRDefault="00E03711" w:rsidP="008E1BD9">
            <w:pPr>
              <w:pStyle w:val="GUIDE-NORMAL"/>
              <w:spacing w:before="60" w:after="60"/>
              <w:jc w:val="left"/>
              <w:rPr>
                <w:rFonts w:cs="Tahoma"/>
                <w:lang w:val="sl-SI" w:eastAsia="en-GB"/>
              </w:rPr>
            </w:pPr>
            <w:r w:rsidRPr="00F769E0">
              <w:rPr>
                <w:rFonts w:cs="Tahoma"/>
                <w:lang w:val="sl-SI" w:eastAsia="en-GB"/>
              </w:rPr>
              <w:t xml:space="preserve">Največ 1 100 EUR </w:t>
            </w:r>
            <w:r w:rsidRPr="00F769E0">
              <w:rPr>
                <w:rFonts w:cs="Tahoma"/>
                <w:lang w:val="sl-SI" w:eastAsia="en-GB"/>
              </w:rPr>
              <w:br/>
              <w:t>na udeleženca</w:t>
            </w:r>
            <w:r w:rsidRPr="00F769E0">
              <w:rPr>
                <w:rStyle w:val="FootnoteReference"/>
                <w:rFonts w:cs="Tahoma"/>
                <w:lang w:val="sl-SI" w:eastAsia="en-GB"/>
              </w:rPr>
              <w:footnoteReference w:id="64"/>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A7" w14:textId="77777777" w:rsidR="00E03711" w:rsidRPr="00F769E0" w:rsidRDefault="00E03711" w:rsidP="00D27739">
            <w:pPr>
              <w:pStyle w:val="GUIDE-NORMAL"/>
              <w:spacing w:before="60" w:after="60"/>
              <w:jc w:val="left"/>
              <w:rPr>
                <w:rFonts w:cs="Tahoma"/>
                <w:lang w:val="sl-SI" w:eastAsia="en-GB"/>
              </w:rPr>
            </w:pPr>
            <w:r w:rsidRPr="00F769E0">
              <w:rPr>
                <w:rFonts w:cs="Tahoma"/>
                <w:lang w:val="sl-SI" w:eastAsia="en-GB"/>
              </w:rPr>
              <w:t>Glede na trajanje bivanja udeleženca (po potrebi vključno z enim dnem poti pred aktivnostjo in enim dnem poti po njej).</w:t>
            </w:r>
          </w:p>
        </w:tc>
      </w:tr>
      <w:tr w:rsidR="00E03711" w:rsidRPr="00A6094F" w14:paraId="7D398EAF" w14:textId="77777777" w:rsidTr="004A5D6B">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A9" w14:textId="77777777" w:rsidR="00E03711" w:rsidRPr="00F769E0" w:rsidRDefault="00E03711" w:rsidP="00D27739">
            <w:pPr>
              <w:pStyle w:val="GUIDE-NORMAL"/>
              <w:spacing w:before="60" w:after="60"/>
              <w:jc w:val="left"/>
              <w:rPr>
                <w:rFonts w:cs="Tahoma"/>
                <w:b/>
                <w:lang w:val="sl-SI" w:eastAsia="en-GB"/>
              </w:rPr>
            </w:pPr>
            <w:r w:rsidRPr="00F769E0">
              <w:rPr>
                <w:rFonts w:cs="Tahoma"/>
                <w:b/>
                <w:lang w:val="sl-SI" w:eastAsia="en-GB"/>
              </w:rPr>
              <w:t>Podpora za posebne potrebe</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AA" w14:textId="77777777" w:rsidR="00E03711" w:rsidRPr="00F769E0" w:rsidRDefault="00E03711" w:rsidP="00D27739">
            <w:pPr>
              <w:pStyle w:val="GUIDE-NORMAL"/>
              <w:spacing w:before="60" w:after="60"/>
              <w:jc w:val="left"/>
              <w:rPr>
                <w:rFonts w:cs="Tahoma"/>
                <w:lang w:val="sl-SI" w:eastAsia="en-GB"/>
              </w:rPr>
            </w:pPr>
            <w:r w:rsidRPr="00F769E0">
              <w:rPr>
                <w:rFonts w:cs="Tahoma"/>
                <w:lang w:val="sl-SI" w:eastAsia="en-GB"/>
              </w:rPr>
              <w:t>Dodatni stroški, neposredno povezani z udeleženci, ki imajo posebne potrebe, in spremljevalci (vključno s stroški za pot in bivanje, če so utemeljeni in se nepovratna sredstva za te udeležence ne zahtevajo prek proračunskih kategorij „Pot“ in „Organizacijska podpora“).</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AB" w14:textId="77777777" w:rsidR="00E03711" w:rsidRPr="00F769E0" w:rsidRDefault="00E03711" w:rsidP="00D27739">
            <w:pPr>
              <w:pStyle w:val="GUIDE-NORMAL"/>
              <w:spacing w:before="60" w:after="60"/>
              <w:jc w:val="left"/>
              <w:rPr>
                <w:rFonts w:cs="Tahoma"/>
                <w:lang w:val="sl-SI" w:eastAsia="en-GB"/>
              </w:rPr>
            </w:pPr>
            <w:r w:rsidRPr="00F769E0">
              <w:rPr>
                <w:rFonts w:cs="Tahoma"/>
                <w:lang w:val="sl-SI" w:eastAsia="en-GB"/>
              </w:rPr>
              <w:t>Dejanski stroški</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AC" w14:textId="77777777" w:rsidR="00E03711" w:rsidRPr="00F769E0" w:rsidRDefault="00E03711" w:rsidP="00D27739">
            <w:pPr>
              <w:pStyle w:val="GUIDE-NORMAL"/>
              <w:spacing w:before="60" w:after="60"/>
              <w:jc w:val="left"/>
              <w:rPr>
                <w:rFonts w:cs="Tahoma"/>
                <w:lang w:val="sl-SI" w:eastAsia="en-GB"/>
              </w:rPr>
            </w:pPr>
            <w:r w:rsidRPr="00F769E0">
              <w:rPr>
                <w:rFonts w:cs="Tahoma"/>
                <w:lang w:val="sl-SI" w:eastAsia="en-GB"/>
              </w:rPr>
              <w:t>100 % upravičenih stroškov</w:t>
            </w:r>
          </w:p>
          <w:p w14:paraId="7D398EAD" w14:textId="77777777" w:rsidR="00E03711" w:rsidRPr="00F769E0" w:rsidRDefault="00E03711" w:rsidP="00D27739">
            <w:pPr>
              <w:pStyle w:val="GUIDE-NORMAL"/>
              <w:spacing w:before="60" w:after="60"/>
              <w:jc w:val="left"/>
              <w:rPr>
                <w:rFonts w:cs="Tahoma"/>
                <w:lang w:val="sl-SI" w:eastAsia="en-GB"/>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AE" w14:textId="77777777" w:rsidR="00E03711" w:rsidRPr="00F769E0" w:rsidRDefault="00E03711" w:rsidP="00D27739">
            <w:pPr>
              <w:pStyle w:val="GUIDE-NORMAL"/>
              <w:spacing w:before="60" w:after="60"/>
              <w:jc w:val="left"/>
              <w:rPr>
                <w:rFonts w:cs="Tahoma"/>
                <w:lang w:val="sl-SI" w:eastAsia="en-GB"/>
              </w:rPr>
            </w:pPr>
            <w:r w:rsidRPr="00F769E0">
              <w:rPr>
                <w:rFonts w:cs="Tahoma"/>
                <w:lang w:val="sl-SI" w:eastAsia="en-GB"/>
              </w:rPr>
              <w:t>Pogoj: zahtevek za finančno podporo za kritje podpore udeležencem s posebnimi potrebami in izrednih stroškov mora biti utemeljen v prijavnem obrazcu.</w:t>
            </w:r>
          </w:p>
        </w:tc>
      </w:tr>
      <w:tr w:rsidR="00E03711" w:rsidRPr="008C6F8C" w14:paraId="7D398EBA" w14:textId="77777777" w:rsidTr="004A5D6B">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B0" w14:textId="77777777" w:rsidR="00E03711" w:rsidRPr="00F769E0" w:rsidRDefault="00E03711" w:rsidP="00D27739">
            <w:pPr>
              <w:pStyle w:val="GUIDE-NORMAL"/>
              <w:spacing w:before="60" w:after="60"/>
              <w:jc w:val="left"/>
              <w:rPr>
                <w:rFonts w:cs="Tahoma"/>
                <w:b/>
                <w:lang w:val="sl-SI" w:eastAsia="en-GB"/>
              </w:rPr>
            </w:pPr>
            <w:r w:rsidRPr="00F769E0">
              <w:rPr>
                <w:rFonts w:cs="Tahoma"/>
                <w:b/>
                <w:lang w:val="sl-SI" w:eastAsia="en-GB"/>
              </w:rPr>
              <w:t>Izredni stroški</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B1" w14:textId="77777777" w:rsidR="00E03711" w:rsidRPr="00F769E0" w:rsidRDefault="00E03711" w:rsidP="00D27739">
            <w:pPr>
              <w:pStyle w:val="GUIDE-NORMAL"/>
              <w:spacing w:before="60" w:after="60"/>
              <w:jc w:val="left"/>
              <w:rPr>
                <w:rStyle w:val="Guide-Condensed-02"/>
                <w:rFonts w:cs="Tahoma"/>
                <w:lang w:val="sl-SI" w:eastAsia="en-GB"/>
              </w:rPr>
            </w:pPr>
            <w:r w:rsidRPr="00F769E0">
              <w:rPr>
                <w:rStyle w:val="Guide-Condensed-02"/>
                <w:rFonts w:cs="Tahoma"/>
                <w:lang w:val="sl-SI" w:eastAsia="en-GB"/>
              </w:rPr>
              <w:t>Vizumi in z njimi povezani stroški, dovoljenja za prebivanje, cepljenja. Stroški zagotavljanja finančnega jamstva, če ga zahteva nacionalna agencija.</w:t>
            </w:r>
          </w:p>
          <w:p w14:paraId="7D398EB2" w14:textId="77777777" w:rsidR="00E03711" w:rsidRPr="00F769E0" w:rsidRDefault="00E03711" w:rsidP="00D27739">
            <w:pPr>
              <w:pStyle w:val="GUIDE-NORMAL"/>
              <w:spacing w:before="60" w:after="60"/>
              <w:jc w:val="left"/>
              <w:rPr>
                <w:rStyle w:val="Guide-Condensed-02"/>
                <w:rFonts w:cs="Tahoma"/>
                <w:lang w:val="sl-SI" w:eastAsia="en-GB"/>
              </w:rPr>
            </w:pPr>
            <w:r w:rsidRPr="00F769E0">
              <w:rPr>
                <w:rStyle w:val="Guide-Condensed-02"/>
                <w:rFonts w:cs="Tahoma"/>
                <w:lang w:val="sl-SI" w:eastAsia="en-GB"/>
              </w:rPr>
              <w:t>Dragi potni stroški udeležencev</w:t>
            </w:r>
            <w:r>
              <w:rPr>
                <w:rStyle w:val="Guide-Condensed-02"/>
                <w:rFonts w:cs="Tahoma"/>
                <w:lang w:val="sl-SI" w:eastAsia="en-GB"/>
              </w:rPr>
              <w:t>, vključno z uporabo čistejših prevoznih sredstev, z manj emisijami ogljika</w:t>
            </w:r>
            <w:r w:rsidRPr="00F769E0">
              <w:rPr>
                <w:rStyle w:val="Guide-Condensed-02"/>
                <w:rFonts w:cs="Tahoma"/>
                <w:lang w:val="sl-SI" w:eastAsia="en-GB"/>
              </w:rPr>
              <w:t xml:space="preserve"> (za podrobnosti glej poglavje „Kaj je še treba vedeti o tem ukrepu?“).</w:t>
            </w:r>
          </w:p>
          <w:p w14:paraId="7D398EB3" w14:textId="77777777" w:rsidR="00E03711" w:rsidRPr="00F769E0" w:rsidRDefault="00E03711" w:rsidP="00D27739">
            <w:pPr>
              <w:pStyle w:val="GUIDE-NORMAL"/>
              <w:spacing w:before="60" w:after="60"/>
              <w:jc w:val="left"/>
              <w:rPr>
                <w:rStyle w:val="Guide-Condensed-02"/>
                <w:rFonts w:cs="Tahoma"/>
                <w:lang w:val="sl-SI" w:eastAsia="en-GB"/>
              </w:rPr>
            </w:pPr>
            <w:r w:rsidRPr="00FC4A70">
              <w:rPr>
                <w:rFonts w:eastAsia="Calibri" w:cs="Calibri"/>
                <w:bdr w:val="nil"/>
                <w:shd w:val="clear" w:color="auto" w:fill="auto"/>
                <w:lang w:val="sl-SI"/>
              </w:rPr>
              <w:t>Stroški za podporo za udeležbo mladinskih delavcev z manj priložnostmi pod enakimi pogoji, kot veljajo za druge (razen potnih stroškov in stroškov za organizacijsko podporo za udeležence).</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B4" w14:textId="77777777" w:rsidR="00E03711" w:rsidRPr="00F769E0" w:rsidRDefault="00E03711" w:rsidP="00D27739">
            <w:pPr>
              <w:pStyle w:val="GUIDE-NORMAL"/>
              <w:spacing w:before="60" w:after="60"/>
              <w:jc w:val="left"/>
              <w:rPr>
                <w:rFonts w:cs="Tahoma"/>
                <w:lang w:val="sl-SI" w:eastAsia="en-GB"/>
              </w:rPr>
            </w:pPr>
            <w:r w:rsidRPr="00F769E0">
              <w:rPr>
                <w:rFonts w:cs="Tahoma"/>
                <w:lang w:val="sl-SI" w:eastAsia="en-GB"/>
              </w:rPr>
              <w:t>Dejanski stroški</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B5" w14:textId="77777777" w:rsidR="00E03711" w:rsidRPr="00F769E0" w:rsidRDefault="00E03711" w:rsidP="00D27739">
            <w:pPr>
              <w:pStyle w:val="GUIDE-NORMAL"/>
              <w:spacing w:before="60" w:after="60"/>
              <w:jc w:val="left"/>
              <w:rPr>
                <w:rFonts w:cs="Tahoma"/>
                <w:lang w:val="sl-SI" w:eastAsia="en-GB"/>
              </w:rPr>
            </w:pPr>
            <w:r w:rsidRPr="00F769E0">
              <w:rPr>
                <w:rFonts w:cs="Tahoma"/>
                <w:lang w:val="sl-SI" w:eastAsia="en-GB"/>
              </w:rPr>
              <w:t>Stroški finančnega jamstva: 75 % upravičenih stroškov</w:t>
            </w:r>
          </w:p>
          <w:p w14:paraId="7D398EB6" w14:textId="77777777" w:rsidR="00E03711" w:rsidRPr="00F769E0" w:rsidRDefault="00E03711" w:rsidP="00D27739">
            <w:pPr>
              <w:pStyle w:val="GUIDE-NORMAL"/>
              <w:spacing w:before="60" w:after="60"/>
              <w:jc w:val="left"/>
              <w:rPr>
                <w:rFonts w:cs="Tahoma"/>
                <w:lang w:val="sl-SI" w:eastAsia="en-GB"/>
              </w:rPr>
            </w:pPr>
            <w:r w:rsidRPr="00F769E0">
              <w:rPr>
                <w:rFonts w:cs="Tahoma"/>
                <w:lang w:val="sl-SI" w:eastAsia="en-GB"/>
              </w:rPr>
              <w:t>Dragi potni stroški: do največ 80 % upravičenih stroškov</w:t>
            </w:r>
          </w:p>
          <w:p w14:paraId="7D398EB7" w14:textId="77777777" w:rsidR="00E03711" w:rsidRPr="00F769E0" w:rsidRDefault="00E03711" w:rsidP="00D27739">
            <w:pPr>
              <w:pStyle w:val="GUIDE-NORMAL"/>
              <w:spacing w:before="60" w:after="60"/>
              <w:jc w:val="left"/>
              <w:rPr>
                <w:rFonts w:cs="Tahoma"/>
                <w:lang w:val="sl-SI" w:eastAsia="en-GB"/>
              </w:rPr>
            </w:pPr>
            <w:r w:rsidRPr="00F769E0">
              <w:rPr>
                <w:rFonts w:cs="Tahoma"/>
                <w:lang w:val="sl-SI" w:eastAsia="en-GB"/>
              </w:rPr>
              <w:t>Drugi stroški: 100 % upravičenih stroškov</w:t>
            </w:r>
          </w:p>
          <w:p w14:paraId="7D398EB8" w14:textId="77777777" w:rsidR="00E03711" w:rsidRPr="00F769E0" w:rsidRDefault="00E03711" w:rsidP="00D27739">
            <w:pPr>
              <w:pStyle w:val="GUIDE-NORMAL"/>
              <w:spacing w:before="60" w:after="60"/>
              <w:jc w:val="left"/>
              <w:rPr>
                <w:rFonts w:cs="Tahoma"/>
                <w:lang w:val="sl-SI" w:eastAsia="en-GB"/>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8EB9" w14:textId="77777777" w:rsidR="00E03711" w:rsidRPr="001048FE" w:rsidRDefault="00E03711" w:rsidP="00D27739">
            <w:pPr>
              <w:pStyle w:val="GUIDE-NORMAL"/>
              <w:spacing w:before="60" w:after="60"/>
              <w:jc w:val="left"/>
              <w:rPr>
                <w:rFonts w:ascii="Times New Roman" w:hAnsi="Times New Roman"/>
                <w:lang w:val="sl-SI" w:eastAsia="en-GB"/>
              </w:rPr>
            </w:pPr>
          </w:p>
        </w:tc>
      </w:tr>
    </w:tbl>
    <w:p w14:paraId="7D398EBB" w14:textId="77777777" w:rsidR="00E03711" w:rsidRDefault="00E03711" w:rsidP="00E23D2D">
      <w:pPr>
        <w:pStyle w:val="Guide-Heading6"/>
        <w:rPr>
          <w:lang w:val="sl-SI"/>
        </w:rPr>
        <w:sectPr w:rsidR="00E03711" w:rsidSect="00F05D26">
          <w:headerReference w:type="default" r:id="rId79"/>
          <w:endnotePr>
            <w:numFmt w:val="decimal"/>
          </w:endnotePr>
          <w:pgSz w:w="16840" w:h="11910" w:orient="landscape" w:code="9"/>
          <w:pgMar w:top="1418" w:right="1134" w:bottom="1418" w:left="1134" w:header="283" w:footer="567" w:gutter="0"/>
          <w:cols w:space="720"/>
          <w:docGrid w:linePitch="326"/>
        </w:sectPr>
      </w:pPr>
      <w:bookmarkStart w:id="179" w:name="C)_Soutien_organisationnel"/>
      <w:bookmarkEnd w:id="179"/>
    </w:p>
    <w:p w14:paraId="7D398EBC" w14:textId="77777777" w:rsidR="00E03711" w:rsidRPr="001048FE" w:rsidRDefault="00E03711" w:rsidP="00E23D2D">
      <w:pPr>
        <w:pStyle w:val="Guide-Heading6"/>
        <w:rPr>
          <w:lang w:val="sl-SI"/>
        </w:rPr>
      </w:pPr>
      <w:r w:rsidRPr="001048FE">
        <w:rPr>
          <w:lang w:val="sl-SI"/>
        </w:rPr>
        <w:t>c)  Organizacijska podpora</w:t>
      </w:r>
    </w:p>
    <w:p w14:paraId="7D398EBD" w14:textId="77777777" w:rsidR="00E03711" w:rsidRPr="001048FE" w:rsidRDefault="00E03711" w:rsidP="006F6C8B">
      <w:pPr>
        <w:pStyle w:val="GUIDE-NORMAL"/>
        <w:rPr>
          <w:lang w:val="sl-SI"/>
        </w:rPr>
      </w:pPr>
      <w:r w:rsidRPr="001048FE">
        <w:rPr>
          <w:lang w:val="sl-SI"/>
        </w:rPr>
        <w:t>Zneski so odvisni od države, v kateri poteka aktivnost mobilnosti. Za projekte, ki jih oddajo: javni organ na regionalni ali nacionalni ravni; združenje regij; evropsko združenje za teritorialno sodelovanje;</w:t>
      </w:r>
      <w:r w:rsidRPr="001048FE">
        <w:rPr>
          <w:spacing w:val="-15"/>
          <w:lang w:val="sl-SI"/>
        </w:rPr>
        <w:t xml:space="preserve"> </w:t>
      </w:r>
      <w:r w:rsidRPr="001048FE">
        <w:rPr>
          <w:lang w:val="sl-SI"/>
        </w:rPr>
        <w:t>profitna</w:t>
      </w:r>
      <w:r w:rsidRPr="001048FE">
        <w:rPr>
          <w:spacing w:val="-15"/>
          <w:lang w:val="sl-SI"/>
        </w:rPr>
        <w:t xml:space="preserve"> </w:t>
      </w:r>
      <w:r w:rsidRPr="001048FE">
        <w:rPr>
          <w:lang w:val="sl-SI"/>
        </w:rPr>
        <w:t>organizacija,</w:t>
      </w:r>
      <w:r w:rsidRPr="001048FE">
        <w:rPr>
          <w:spacing w:val="-14"/>
          <w:lang w:val="sl-SI"/>
        </w:rPr>
        <w:t xml:space="preserve"> </w:t>
      </w:r>
      <w:r w:rsidRPr="001048FE">
        <w:rPr>
          <w:lang w:val="sl-SI"/>
        </w:rPr>
        <w:t>ki</w:t>
      </w:r>
      <w:r w:rsidRPr="001048FE">
        <w:rPr>
          <w:spacing w:val="-15"/>
          <w:lang w:val="sl-SI"/>
        </w:rPr>
        <w:t xml:space="preserve"> </w:t>
      </w:r>
      <w:r w:rsidRPr="001048FE">
        <w:rPr>
          <w:lang w:val="sl-SI"/>
        </w:rPr>
        <w:t>je</w:t>
      </w:r>
      <w:r w:rsidRPr="001048FE">
        <w:rPr>
          <w:spacing w:val="-15"/>
          <w:lang w:val="sl-SI"/>
        </w:rPr>
        <w:t xml:space="preserve"> </w:t>
      </w:r>
      <w:r w:rsidRPr="001048FE">
        <w:rPr>
          <w:lang w:val="sl-SI"/>
        </w:rPr>
        <w:t>dejavna</w:t>
      </w:r>
      <w:r w:rsidRPr="001048FE">
        <w:rPr>
          <w:spacing w:val="-15"/>
          <w:lang w:val="sl-SI"/>
        </w:rPr>
        <w:t xml:space="preserve"> </w:t>
      </w:r>
      <w:r w:rsidRPr="001048FE">
        <w:rPr>
          <w:lang w:val="sl-SI"/>
        </w:rPr>
        <w:t>na</w:t>
      </w:r>
      <w:r w:rsidRPr="001048FE">
        <w:rPr>
          <w:spacing w:val="-15"/>
          <w:lang w:val="sl-SI"/>
        </w:rPr>
        <w:t xml:space="preserve"> </w:t>
      </w:r>
      <w:r w:rsidRPr="001048FE">
        <w:rPr>
          <w:lang w:val="sl-SI"/>
        </w:rPr>
        <w:t>področju</w:t>
      </w:r>
      <w:r w:rsidRPr="001048FE">
        <w:rPr>
          <w:spacing w:val="-15"/>
          <w:lang w:val="sl-SI"/>
        </w:rPr>
        <w:t xml:space="preserve"> </w:t>
      </w:r>
      <w:r w:rsidRPr="001048FE">
        <w:rPr>
          <w:lang w:val="sl-SI"/>
        </w:rPr>
        <w:t>družbene</w:t>
      </w:r>
      <w:r w:rsidRPr="001048FE">
        <w:rPr>
          <w:spacing w:val="-15"/>
          <w:lang w:val="sl-SI"/>
        </w:rPr>
        <w:t xml:space="preserve"> </w:t>
      </w:r>
      <w:r w:rsidRPr="001048FE">
        <w:rPr>
          <w:lang w:val="sl-SI"/>
        </w:rPr>
        <w:t>odgovornosti</w:t>
      </w:r>
      <w:r w:rsidRPr="001048FE">
        <w:rPr>
          <w:spacing w:val="-14"/>
          <w:lang w:val="sl-SI"/>
        </w:rPr>
        <w:t xml:space="preserve"> </w:t>
      </w:r>
      <w:r w:rsidRPr="001048FE">
        <w:rPr>
          <w:lang w:val="sl-SI"/>
        </w:rPr>
        <w:t>gospodarskih družb, so spodnji zneski znižani za 50</w:t>
      </w:r>
      <w:r w:rsidRPr="001048FE">
        <w:rPr>
          <w:spacing w:val="-24"/>
          <w:lang w:val="sl-SI"/>
        </w:rPr>
        <w:t xml:space="preserve"> </w:t>
      </w:r>
      <w:r w:rsidRPr="001048FE">
        <w:rPr>
          <w:lang w:val="sl-SI"/>
        </w:rPr>
        <w:t>%.</w:t>
      </w:r>
    </w:p>
    <w:tbl>
      <w:tblPr>
        <w:tblW w:w="5003" w:type="pct"/>
        <w:jc w:val="center"/>
        <w:tblLayout w:type="fixed"/>
        <w:tblLook w:val="0000" w:firstRow="0" w:lastRow="0" w:firstColumn="0" w:lastColumn="0" w:noHBand="0" w:noVBand="0"/>
      </w:tblPr>
      <w:tblGrid>
        <w:gridCol w:w="4068"/>
        <w:gridCol w:w="2614"/>
        <w:gridCol w:w="2614"/>
      </w:tblGrid>
      <w:tr w:rsidR="00E03711" w:rsidRPr="00383EF8" w14:paraId="7D398EC2" w14:textId="77777777" w:rsidTr="00CC02CC">
        <w:trPr>
          <w:trHeight w:val="20"/>
          <w:jc w:val="center"/>
        </w:trPr>
        <w:tc>
          <w:tcPr>
            <w:tcW w:w="3969" w:type="dxa"/>
            <w:vMerge w:val="restart"/>
            <w:tcBorders>
              <w:top w:val="none" w:sz="6" w:space="0" w:color="auto"/>
              <w:left w:val="none" w:sz="6" w:space="0" w:color="auto"/>
              <w:bottom w:val="single" w:sz="6" w:space="0" w:color="000000"/>
              <w:right w:val="single" w:sz="6" w:space="0" w:color="000000"/>
            </w:tcBorders>
            <w:shd w:val="clear" w:color="auto" w:fill="auto"/>
          </w:tcPr>
          <w:p w14:paraId="7D398EBE" w14:textId="77777777" w:rsidR="00E03711" w:rsidRPr="001048FE" w:rsidRDefault="00E03711" w:rsidP="001610AB">
            <w:pPr>
              <w:pStyle w:val="GUIDE-NORMAL"/>
              <w:spacing w:before="20" w:after="20"/>
              <w:rPr>
                <w:rFonts w:ascii="Times New Roman" w:hAnsi="Times New Roman"/>
                <w:sz w:val="22"/>
                <w:szCs w:val="22"/>
                <w:lang w:val="sl-SI" w:eastAsia="en-GB"/>
              </w:rPr>
            </w:pPr>
          </w:p>
          <w:p w14:paraId="7D398EBF" w14:textId="77777777" w:rsidR="00E03711" w:rsidRPr="001048FE" w:rsidRDefault="00E03711" w:rsidP="00CC02CC">
            <w:pPr>
              <w:rPr>
                <w:lang w:val="sl-SI" w:eastAsia="en-GB"/>
              </w:rPr>
            </w:pP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C0" w14:textId="77777777" w:rsidR="00E03711" w:rsidRPr="00F769E0" w:rsidRDefault="00E03711" w:rsidP="0037598E">
            <w:pPr>
              <w:pStyle w:val="GUIDE-NORMAL"/>
              <w:spacing w:before="0" w:after="0"/>
              <w:jc w:val="center"/>
              <w:rPr>
                <w:rFonts w:cs="Tahoma"/>
                <w:b/>
                <w:lang w:val="sl-SI" w:eastAsia="en-GB"/>
              </w:rPr>
            </w:pPr>
            <w:r w:rsidRPr="00F769E0">
              <w:rPr>
                <w:rFonts w:cs="Tahoma"/>
                <w:b/>
                <w:lang w:val="sl-SI" w:eastAsia="en-GB"/>
              </w:rPr>
              <w:t xml:space="preserve">Mladinske izmenjave </w:t>
            </w:r>
            <w:r w:rsidRPr="00F769E0">
              <w:rPr>
                <w:rFonts w:cs="Tahoma"/>
                <w:b/>
                <w:lang w:val="sl-SI" w:eastAsia="en-GB"/>
              </w:rPr>
              <w:br/>
              <w:t>(zneski v EUR na dan)</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C1" w14:textId="77777777" w:rsidR="00E03711" w:rsidRPr="00F769E0" w:rsidRDefault="00E03711" w:rsidP="0037598E">
            <w:pPr>
              <w:pStyle w:val="GUIDE-NORMAL"/>
              <w:spacing w:before="0" w:after="0"/>
              <w:jc w:val="center"/>
              <w:rPr>
                <w:rFonts w:cs="Tahoma"/>
                <w:b/>
                <w:lang w:val="sl-SI" w:eastAsia="en-GB"/>
              </w:rPr>
            </w:pPr>
            <w:r w:rsidRPr="00F769E0">
              <w:rPr>
                <w:rFonts w:cs="Tahoma"/>
                <w:b/>
                <w:lang w:val="sl-SI" w:eastAsia="en-GB"/>
              </w:rPr>
              <w:t>Mobilnost mladinskih delavcev (zneski v EUR na dan)</w:t>
            </w:r>
          </w:p>
        </w:tc>
      </w:tr>
      <w:tr w:rsidR="00E03711" w:rsidRPr="008C6F8C" w14:paraId="7D398EC6" w14:textId="77777777" w:rsidTr="00CC02CC">
        <w:trPr>
          <w:trHeight w:val="20"/>
          <w:jc w:val="center"/>
        </w:trPr>
        <w:tc>
          <w:tcPr>
            <w:tcW w:w="3969" w:type="dxa"/>
            <w:vMerge/>
            <w:tcBorders>
              <w:top w:val="nil"/>
              <w:left w:val="none" w:sz="6" w:space="0" w:color="auto"/>
              <w:bottom w:val="single" w:sz="6" w:space="0" w:color="000000"/>
              <w:right w:val="single" w:sz="6" w:space="0" w:color="000000"/>
            </w:tcBorders>
            <w:shd w:val="clear" w:color="auto" w:fill="auto"/>
          </w:tcPr>
          <w:p w14:paraId="7D398EC3" w14:textId="77777777" w:rsidR="00E03711" w:rsidRPr="00F769E0" w:rsidRDefault="00E03711" w:rsidP="001610AB">
            <w:pPr>
              <w:pStyle w:val="GUIDE-NORMAL"/>
              <w:spacing w:before="20" w:after="20"/>
              <w:rPr>
                <w:rFonts w:cs="Tahoma"/>
                <w:sz w:val="2"/>
                <w:szCs w:val="2"/>
                <w:lang w:val="sl-SI" w:eastAsia="en-GB"/>
              </w:rPr>
            </w:pP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C4" w14:textId="77777777" w:rsidR="00E03711" w:rsidRPr="00F769E0" w:rsidRDefault="00E03711" w:rsidP="001610AB">
            <w:pPr>
              <w:pStyle w:val="GUIDE-NORMAL"/>
              <w:spacing w:before="20" w:after="20"/>
              <w:jc w:val="center"/>
              <w:rPr>
                <w:rFonts w:cs="Tahoma"/>
                <w:b/>
                <w:lang w:val="sl-SI" w:eastAsia="en-GB"/>
              </w:rPr>
            </w:pPr>
            <w:r w:rsidRPr="00F769E0">
              <w:rPr>
                <w:rFonts w:cs="Tahoma"/>
                <w:b/>
                <w:lang w:val="sl-SI" w:eastAsia="en-GB"/>
              </w:rPr>
              <w:t>A5.1</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C5" w14:textId="77777777" w:rsidR="00E03711" w:rsidRPr="00F769E0" w:rsidRDefault="00E03711" w:rsidP="001610AB">
            <w:pPr>
              <w:pStyle w:val="GUIDE-NORMAL"/>
              <w:spacing w:before="20" w:after="20"/>
              <w:jc w:val="center"/>
              <w:rPr>
                <w:rFonts w:cs="Tahoma"/>
                <w:b/>
                <w:lang w:val="sl-SI" w:eastAsia="en-GB"/>
              </w:rPr>
            </w:pPr>
            <w:r w:rsidRPr="00F769E0">
              <w:rPr>
                <w:rFonts w:cs="Tahoma"/>
                <w:b/>
                <w:lang w:val="sl-SI" w:eastAsia="en-GB"/>
              </w:rPr>
              <w:t>A5.2</w:t>
            </w:r>
          </w:p>
        </w:tc>
      </w:tr>
      <w:tr w:rsidR="00E03711" w:rsidRPr="008C6F8C" w14:paraId="7D398ECA"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EC7"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Belgija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C8"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42</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C9"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65</w:t>
            </w:r>
          </w:p>
        </w:tc>
      </w:tr>
      <w:tr w:rsidR="00E03711" w:rsidRPr="008C6F8C" w14:paraId="7D398ECE"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ECB"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Bolgarija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CC"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32</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CD"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53</w:t>
            </w:r>
          </w:p>
        </w:tc>
      </w:tr>
      <w:tr w:rsidR="00E03711" w:rsidRPr="008C6F8C" w14:paraId="7D398ED2"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ECF"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Češka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D0"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32</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D1"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54</w:t>
            </w:r>
          </w:p>
        </w:tc>
      </w:tr>
      <w:tr w:rsidR="00E03711" w:rsidRPr="008C6F8C" w14:paraId="7D398ED6"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ED3"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Danska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D4"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45</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D5"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72</w:t>
            </w:r>
          </w:p>
        </w:tc>
      </w:tr>
      <w:tr w:rsidR="00E03711" w:rsidRPr="008C6F8C" w14:paraId="7D398EDA"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ED7"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Nemčija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D8"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41</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D9"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58</w:t>
            </w:r>
          </w:p>
        </w:tc>
      </w:tr>
      <w:tr w:rsidR="00E03711" w:rsidRPr="008C6F8C" w14:paraId="7D398EDE"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EDB"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Estonija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DC"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33</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DD"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56</w:t>
            </w:r>
          </w:p>
        </w:tc>
      </w:tr>
      <w:tr w:rsidR="00E03711" w:rsidRPr="008C6F8C" w14:paraId="7D398EE2"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EDF"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Irska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E0"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49</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E1"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74</w:t>
            </w:r>
          </w:p>
        </w:tc>
      </w:tr>
      <w:tr w:rsidR="00E03711" w:rsidRPr="008C6F8C" w14:paraId="7D398EE6"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EE3"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Grčija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E4"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38</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E5"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71</w:t>
            </w:r>
          </w:p>
        </w:tc>
      </w:tr>
      <w:tr w:rsidR="00E03711" w:rsidRPr="008C6F8C" w14:paraId="7D398EEA"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EE7"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Španija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E8"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34</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E9"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61</w:t>
            </w:r>
          </w:p>
        </w:tc>
      </w:tr>
      <w:tr w:rsidR="00E03711" w:rsidRPr="008C6F8C" w14:paraId="7D398EEE"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EEB"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Francija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EC"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38</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ED"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66</w:t>
            </w:r>
          </w:p>
        </w:tc>
      </w:tr>
      <w:tr w:rsidR="00E03711" w:rsidRPr="008C6F8C" w14:paraId="7D398EF2"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EEF"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Hrvaška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F0"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35</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F1"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62</w:t>
            </w:r>
          </w:p>
        </w:tc>
      </w:tr>
      <w:tr w:rsidR="00E03711" w:rsidRPr="008C6F8C" w14:paraId="7D398EF6"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EF3"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Italija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F4"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39</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F5"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66</w:t>
            </w:r>
          </w:p>
        </w:tc>
      </w:tr>
      <w:tr w:rsidR="00E03711" w:rsidRPr="008C6F8C" w14:paraId="7D398EFA"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EF7"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Ciper</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F8"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32</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F9"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58</w:t>
            </w:r>
          </w:p>
        </w:tc>
      </w:tr>
      <w:tr w:rsidR="00E03711" w:rsidRPr="008C6F8C" w14:paraId="7D398EFE"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EFB"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Latvija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FC"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34</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EFD"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59</w:t>
            </w:r>
          </w:p>
        </w:tc>
      </w:tr>
      <w:tr w:rsidR="00E03711" w:rsidRPr="008C6F8C" w14:paraId="7D398F02"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EFF"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Litva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00"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34</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01"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58</w:t>
            </w:r>
          </w:p>
        </w:tc>
      </w:tr>
      <w:tr w:rsidR="00E03711" w:rsidRPr="008C6F8C" w14:paraId="7D398F06"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F03"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Luksemburg</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04"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45</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05"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66</w:t>
            </w:r>
          </w:p>
        </w:tc>
      </w:tr>
      <w:tr w:rsidR="00E03711" w:rsidRPr="008C6F8C" w14:paraId="7D398F0A"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F07"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Madžarska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08"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33</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09"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55</w:t>
            </w:r>
          </w:p>
        </w:tc>
      </w:tr>
      <w:tr w:rsidR="00E03711" w:rsidRPr="008C6F8C" w14:paraId="7D398F0E"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F0B"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Malta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0C"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39</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0D"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65</w:t>
            </w:r>
          </w:p>
        </w:tc>
      </w:tr>
      <w:tr w:rsidR="00E03711" w:rsidRPr="008C6F8C" w14:paraId="7D398F12"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F0F"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Nizozemska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10"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45</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11"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69</w:t>
            </w:r>
          </w:p>
        </w:tc>
      </w:tr>
      <w:tr w:rsidR="00E03711" w:rsidRPr="008C6F8C" w14:paraId="7D398F16"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F13"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Avstrija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14"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45</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15"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61</w:t>
            </w:r>
          </w:p>
        </w:tc>
      </w:tr>
      <w:tr w:rsidR="00E03711" w:rsidRPr="008C6F8C" w14:paraId="7D398F1A"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F17"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Poljska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18"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34</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19"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59</w:t>
            </w:r>
          </w:p>
        </w:tc>
      </w:tr>
      <w:tr w:rsidR="00E03711" w:rsidRPr="008C6F8C" w14:paraId="7D398F1E"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F1B"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Portugalska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1C"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37</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1D"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65</w:t>
            </w:r>
          </w:p>
        </w:tc>
      </w:tr>
      <w:tr w:rsidR="00E03711" w:rsidRPr="008C6F8C" w14:paraId="7D398F22"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F1F"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Romunija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20"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32</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21"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54</w:t>
            </w:r>
          </w:p>
        </w:tc>
      </w:tr>
      <w:tr w:rsidR="00E03711" w:rsidRPr="008C6F8C" w14:paraId="7D398F26"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F23"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Slovenija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24"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34</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25"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60</w:t>
            </w:r>
          </w:p>
        </w:tc>
      </w:tr>
      <w:tr w:rsidR="00E03711" w:rsidRPr="008C6F8C" w14:paraId="7D398F2A"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F27"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Slovaška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28"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35</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29"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60</w:t>
            </w:r>
          </w:p>
        </w:tc>
      </w:tr>
      <w:tr w:rsidR="00E03711" w:rsidRPr="008C6F8C" w14:paraId="7D398F2E"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F2B"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Finska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2C"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45</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2D"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71</w:t>
            </w:r>
          </w:p>
        </w:tc>
      </w:tr>
      <w:tr w:rsidR="00E03711" w:rsidRPr="008C6F8C" w14:paraId="7D398F32" w14:textId="77777777" w:rsidTr="00D27739">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tcPr>
          <w:p w14:paraId="7D398F2F"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Švedska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30"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45</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31"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70</w:t>
            </w:r>
          </w:p>
        </w:tc>
      </w:tr>
      <w:tr w:rsidR="00E03711" w:rsidRPr="008C6F8C" w14:paraId="7D398F36" w14:textId="77777777" w:rsidTr="00CC02CC">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33"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Združeno kraljestvo</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34"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45</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35"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76</w:t>
            </w:r>
          </w:p>
        </w:tc>
      </w:tr>
      <w:tr w:rsidR="00E03711" w:rsidRPr="008C6F8C" w14:paraId="7D398F3A" w14:textId="77777777" w:rsidTr="00CC02CC">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37" w14:textId="77777777" w:rsidR="00E03711" w:rsidRPr="00F769E0" w:rsidRDefault="00E03711" w:rsidP="0037598E">
            <w:pPr>
              <w:pStyle w:val="GUIDE-NORMAL"/>
              <w:spacing w:before="0" w:after="0"/>
              <w:rPr>
                <w:rFonts w:cs="Tahoma"/>
                <w:b/>
                <w:lang w:val="sl-SI" w:eastAsia="en-GB"/>
              </w:rPr>
            </w:pPr>
            <w:r>
              <w:rPr>
                <w:rFonts w:cs="Tahoma"/>
                <w:b/>
                <w:lang w:val="sl-SI" w:eastAsia="en-GB"/>
              </w:rPr>
              <w:t>R</w:t>
            </w:r>
            <w:r w:rsidRPr="00F769E0">
              <w:rPr>
                <w:rFonts w:cs="Tahoma"/>
                <w:b/>
                <w:lang w:val="sl-SI" w:eastAsia="en-GB"/>
              </w:rPr>
              <w:t xml:space="preserve">epublika </w:t>
            </w:r>
            <w:r>
              <w:rPr>
                <w:rFonts w:cs="Tahoma"/>
                <w:b/>
                <w:lang w:val="sl-SI" w:eastAsia="en-GB"/>
              </w:rPr>
              <w:t xml:space="preserve">Severna </w:t>
            </w:r>
            <w:r w:rsidRPr="00F769E0">
              <w:rPr>
                <w:rFonts w:cs="Tahoma"/>
                <w:b/>
                <w:lang w:val="sl-SI" w:eastAsia="en-GB"/>
              </w:rPr>
              <w:t>Makedonija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38"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28</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39"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45</w:t>
            </w:r>
          </w:p>
        </w:tc>
      </w:tr>
      <w:tr w:rsidR="00E03711" w:rsidRPr="008C6F8C" w14:paraId="7D398F3E" w14:textId="77777777" w:rsidTr="00CC02CC">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3B"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Islandija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3C"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45</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3D"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71</w:t>
            </w:r>
          </w:p>
        </w:tc>
      </w:tr>
      <w:tr w:rsidR="00E03711" w:rsidRPr="008C6F8C" w14:paraId="7D398F42" w14:textId="77777777" w:rsidTr="00CC02CC">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3F"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Lihtenštajn</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40"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45</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41"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74</w:t>
            </w:r>
          </w:p>
        </w:tc>
      </w:tr>
      <w:tr w:rsidR="00E03711" w:rsidRPr="008C6F8C" w14:paraId="7D398F46" w14:textId="77777777" w:rsidTr="00CC02CC">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43"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Norveška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44"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50</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45"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74</w:t>
            </w:r>
          </w:p>
        </w:tc>
      </w:tr>
      <w:tr w:rsidR="00E03711" w:rsidRPr="008C6F8C" w14:paraId="7D398F4A" w14:textId="77777777" w:rsidTr="00CC02CC">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47"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Turčija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48"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32</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49"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54</w:t>
            </w:r>
          </w:p>
        </w:tc>
      </w:tr>
      <w:tr w:rsidR="00E03711" w:rsidRPr="008C6F8C" w14:paraId="7D398F4E" w14:textId="77777777" w:rsidTr="00CC02CC">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4B"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Srbija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4C"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29</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4D"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48</w:t>
            </w:r>
          </w:p>
        </w:tc>
      </w:tr>
      <w:tr w:rsidR="00E03711" w:rsidRPr="008C6F8C" w14:paraId="7D398F52" w14:textId="77777777" w:rsidTr="00CC02CC">
        <w:trPr>
          <w:trHeight w:val="20"/>
          <w:jc w:val="center"/>
        </w:trPr>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4F" w14:textId="77777777" w:rsidR="00E03711" w:rsidRPr="00F769E0" w:rsidRDefault="00E03711" w:rsidP="0037598E">
            <w:pPr>
              <w:pStyle w:val="GUIDE-NORMAL"/>
              <w:spacing w:before="0" w:after="0"/>
              <w:rPr>
                <w:rFonts w:cs="Tahoma"/>
                <w:b/>
                <w:lang w:val="sl-SI" w:eastAsia="en-GB"/>
              </w:rPr>
            </w:pPr>
            <w:r w:rsidRPr="00F769E0">
              <w:rPr>
                <w:rFonts w:cs="Tahoma"/>
                <w:b/>
                <w:lang w:val="sl-SI" w:eastAsia="en-GB"/>
              </w:rPr>
              <w:t>partnerska država</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50"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29</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8F51" w14:textId="77777777" w:rsidR="00E03711" w:rsidRPr="00F769E0" w:rsidRDefault="00E03711" w:rsidP="0037598E">
            <w:pPr>
              <w:pStyle w:val="GUIDE-NORMAL"/>
              <w:spacing w:before="0" w:after="0"/>
              <w:jc w:val="center"/>
              <w:rPr>
                <w:rFonts w:cs="Tahoma"/>
                <w:lang w:val="sl-SI" w:eastAsia="en-GB"/>
              </w:rPr>
            </w:pPr>
            <w:r w:rsidRPr="00F769E0">
              <w:rPr>
                <w:rFonts w:cs="Tahoma"/>
                <w:lang w:val="sl-SI" w:eastAsia="en-GB"/>
              </w:rPr>
              <w:t>48</w:t>
            </w:r>
          </w:p>
        </w:tc>
      </w:tr>
    </w:tbl>
    <w:p w14:paraId="7D398F53" w14:textId="77777777" w:rsidR="00E03711" w:rsidRPr="001048FE" w:rsidRDefault="00E03711">
      <w:pPr>
        <w:widowControl/>
        <w:suppressAutoHyphens w:val="0"/>
        <w:autoSpaceDN/>
        <w:textAlignment w:val="auto"/>
        <w:rPr>
          <w:rFonts w:eastAsia="Times New Roman"/>
          <w:b/>
          <w:smallCaps/>
          <w:sz w:val="20"/>
          <w:szCs w:val="28"/>
          <w:lang w:val="sl-SI"/>
        </w:rPr>
      </w:pPr>
      <w:bookmarkStart w:id="180" w:name="Projets_de_mobilité_en_faveur_des_jeunes"/>
      <w:bookmarkEnd w:id="180"/>
    </w:p>
    <w:p w14:paraId="7D398F54" w14:textId="77777777" w:rsidR="00E03711" w:rsidRPr="001048FE" w:rsidRDefault="00E03711" w:rsidP="00C15888">
      <w:pPr>
        <w:pStyle w:val="Guide-Footnote"/>
        <w:rPr>
          <w:lang w:val="sl-SI"/>
        </w:rPr>
      </w:pPr>
      <w:bookmarkStart w:id="181" w:name="B)_Mobilité_des_animateurs_de_jeunes"/>
      <w:bookmarkStart w:id="182" w:name="D)_Soutien_organisationnel"/>
      <w:bookmarkEnd w:id="181"/>
      <w:bookmarkEnd w:id="182"/>
    </w:p>
    <w:p w14:paraId="7D398F55" w14:textId="77777777" w:rsidR="00E03711" w:rsidRDefault="00E03711">
      <w:pPr>
        <w:widowControl/>
        <w:suppressAutoHyphens w:val="0"/>
        <w:autoSpaceDN/>
        <w:textAlignment w:val="auto"/>
        <w:rPr>
          <w:lang w:val="sl-SI"/>
        </w:rPr>
        <w:sectPr w:rsidR="00E03711" w:rsidSect="007F4890">
          <w:endnotePr>
            <w:numFmt w:val="decimal"/>
          </w:endnotePr>
          <w:pgSz w:w="11910" w:h="16840" w:code="9"/>
          <w:pgMar w:top="1134" w:right="1418" w:bottom="1134" w:left="1418" w:header="283" w:footer="567" w:gutter="0"/>
          <w:cols w:space="720"/>
          <w:docGrid w:linePitch="326"/>
        </w:sectPr>
      </w:pPr>
      <w:bookmarkStart w:id="183" w:name="Soutien_individuel"/>
      <w:bookmarkStart w:id="184" w:name="_bookmark37"/>
      <w:bookmarkEnd w:id="183"/>
      <w:bookmarkEnd w:id="184"/>
      <w:r w:rsidRPr="001048FE">
        <w:rPr>
          <w:lang w:val="sl-SI"/>
        </w:rPr>
        <w:br w:type="page"/>
      </w:r>
    </w:p>
    <w:p w14:paraId="7D398F56" w14:textId="77777777" w:rsidR="00E03711" w:rsidRDefault="00E03711">
      <w:pPr>
        <w:pStyle w:val="Guide-Heading4TOC"/>
        <w:rPr>
          <w:lang w:val="sl-SI"/>
        </w:rPr>
      </w:pPr>
      <w:bookmarkStart w:id="185" w:name="_Toc527401144"/>
      <w:r w:rsidRPr="001048FE">
        <w:rPr>
          <w:lang w:val="sl-SI"/>
        </w:rPr>
        <w:t>Skupni magistrski programi Erasmus Mundus</w:t>
      </w:r>
      <w:bookmarkEnd w:id="185"/>
    </w:p>
    <w:p w14:paraId="7D398F57" w14:textId="77777777" w:rsidR="00E03711" w:rsidRPr="001048FE" w:rsidRDefault="00E03711" w:rsidP="0048106A">
      <w:pPr>
        <w:pStyle w:val="Guide-Heading5"/>
        <w:rPr>
          <w:lang w:val="sl-SI"/>
        </w:rPr>
      </w:pPr>
      <w:r w:rsidRPr="001048FE">
        <w:rPr>
          <w:lang w:val="sl-SI"/>
        </w:rPr>
        <w:t>Kakšni so cilji skupnega magistrskega študija Erasmus Mundus?</w:t>
      </w:r>
    </w:p>
    <w:p w14:paraId="7D398F58" w14:textId="77777777" w:rsidR="00E03711" w:rsidRPr="001048FE" w:rsidRDefault="00E03711" w:rsidP="005E4295">
      <w:pPr>
        <w:pStyle w:val="GUIDE-NORMAL"/>
        <w:rPr>
          <w:lang w:val="sl-SI"/>
        </w:rPr>
      </w:pPr>
      <w:r w:rsidRPr="001048FE">
        <w:rPr>
          <w:lang w:val="sl-SI"/>
        </w:rPr>
        <w:t>Cilji skupnih magistrskih študijev Erasmus Mundus (EMJMD) so:</w:t>
      </w:r>
    </w:p>
    <w:p w14:paraId="7D398F59" w14:textId="77777777" w:rsidR="00E03711" w:rsidRPr="004E4C36" w:rsidRDefault="00E03711" w:rsidP="00860232">
      <w:pPr>
        <w:pStyle w:val="Guide-ListDash"/>
        <w:rPr>
          <w:lang w:val="sl-SI"/>
        </w:rPr>
      </w:pPr>
      <w:r w:rsidRPr="004E4C36">
        <w:rPr>
          <w:lang w:val="sl-SI"/>
        </w:rPr>
        <w:t>spodbujati izboljšave kakovosti, inovacije, odličnost in internacionalizacijo visokošolskih institucij;</w:t>
      </w:r>
    </w:p>
    <w:p w14:paraId="7D398F5A" w14:textId="77777777" w:rsidR="00E03711" w:rsidRPr="004E4C36" w:rsidRDefault="00E03711" w:rsidP="00860232">
      <w:pPr>
        <w:pStyle w:val="Guide-ListDash"/>
        <w:rPr>
          <w:lang w:val="sl-SI"/>
        </w:rPr>
      </w:pPr>
      <w:r w:rsidRPr="004E4C36">
        <w:rPr>
          <w:lang w:val="sl-SI"/>
        </w:rPr>
        <w:t xml:space="preserve">okrepiti kakovost in privlačnost evropskega visokošolskega prostora (EHEA) ter podpirati zunanje delovanje EU na področju visokošolskega izobraževanja, tako da se najboljšim študentom magistrskih programov po vsem svetu ponudijo štipendije za celotni študij; </w:t>
      </w:r>
    </w:p>
    <w:p w14:paraId="7D398F5B" w14:textId="77777777" w:rsidR="00E03711" w:rsidRPr="004E4C36" w:rsidRDefault="00E03711" w:rsidP="00860232">
      <w:pPr>
        <w:pStyle w:val="Guide-ListDash"/>
        <w:rPr>
          <w:lang w:val="sl-SI"/>
        </w:rPr>
      </w:pPr>
      <w:r w:rsidRPr="004E4C36">
        <w:rPr>
          <w:lang w:val="sl-SI"/>
        </w:rPr>
        <w:t>izboljšati</w:t>
      </w:r>
      <w:r w:rsidRPr="004E4C36">
        <w:rPr>
          <w:spacing w:val="-10"/>
          <w:lang w:val="sl-SI"/>
        </w:rPr>
        <w:t xml:space="preserve"> </w:t>
      </w:r>
      <w:r w:rsidRPr="004E4C36">
        <w:rPr>
          <w:lang w:val="sl-SI"/>
        </w:rPr>
        <w:t>raven</w:t>
      </w:r>
      <w:r w:rsidRPr="004E4C36">
        <w:rPr>
          <w:spacing w:val="-10"/>
          <w:lang w:val="sl-SI"/>
        </w:rPr>
        <w:t xml:space="preserve"> </w:t>
      </w:r>
      <w:r w:rsidRPr="004E4C36">
        <w:rPr>
          <w:lang w:val="sl-SI"/>
        </w:rPr>
        <w:t>kompetenc</w:t>
      </w:r>
      <w:r w:rsidRPr="004E4C36">
        <w:rPr>
          <w:spacing w:val="-10"/>
          <w:lang w:val="sl-SI"/>
        </w:rPr>
        <w:t xml:space="preserve"> </w:t>
      </w:r>
      <w:r w:rsidRPr="004E4C36">
        <w:rPr>
          <w:lang w:val="sl-SI"/>
        </w:rPr>
        <w:t>in</w:t>
      </w:r>
      <w:r w:rsidRPr="004E4C36">
        <w:rPr>
          <w:spacing w:val="-10"/>
          <w:lang w:val="sl-SI"/>
        </w:rPr>
        <w:t xml:space="preserve"> </w:t>
      </w:r>
      <w:r w:rsidRPr="004E4C36">
        <w:rPr>
          <w:lang w:val="sl-SI"/>
        </w:rPr>
        <w:t>spretnosti</w:t>
      </w:r>
      <w:r w:rsidRPr="004E4C36">
        <w:rPr>
          <w:spacing w:val="-10"/>
          <w:lang w:val="sl-SI"/>
        </w:rPr>
        <w:t xml:space="preserve"> </w:t>
      </w:r>
      <w:r w:rsidRPr="004E4C36">
        <w:rPr>
          <w:lang w:val="sl-SI"/>
        </w:rPr>
        <w:t>diplomantov</w:t>
      </w:r>
      <w:r w:rsidRPr="004E4C36">
        <w:rPr>
          <w:spacing w:val="-10"/>
          <w:lang w:val="sl-SI"/>
        </w:rPr>
        <w:t xml:space="preserve"> </w:t>
      </w:r>
      <w:r w:rsidRPr="004E4C36">
        <w:rPr>
          <w:lang w:val="sl-SI"/>
        </w:rPr>
        <w:t>magistrskega</w:t>
      </w:r>
      <w:r w:rsidRPr="004E4C36">
        <w:rPr>
          <w:spacing w:val="-10"/>
          <w:lang w:val="sl-SI"/>
        </w:rPr>
        <w:t xml:space="preserve"> </w:t>
      </w:r>
      <w:r w:rsidRPr="004E4C36">
        <w:rPr>
          <w:lang w:val="sl-SI"/>
        </w:rPr>
        <w:t>študija,</w:t>
      </w:r>
      <w:r w:rsidRPr="004E4C36">
        <w:rPr>
          <w:spacing w:val="-10"/>
          <w:lang w:val="sl-SI"/>
        </w:rPr>
        <w:t xml:space="preserve"> </w:t>
      </w:r>
      <w:r w:rsidRPr="004E4C36">
        <w:rPr>
          <w:lang w:val="sl-SI"/>
        </w:rPr>
        <w:t>zlasti</w:t>
      </w:r>
      <w:r w:rsidRPr="004E4C36">
        <w:rPr>
          <w:spacing w:val="-10"/>
          <w:lang w:val="sl-SI"/>
        </w:rPr>
        <w:t xml:space="preserve"> </w:t>
      </w:r>
      <w:r w:rsidRPr="004E4C36">
        <w:rPr>
          <w:lang w:val="sl-SI"/>
        </w:rPr>
        <w:t>tako,</w:t>
      </w:r>
      <w:r w:rsidRPr="004E4C36">
        <w:rPr>
          <w:spacing w:val="-10"/>
          <w:lang w:val="sl-SI"/>
        </w:rPr>
        <w:t xml:space="preserve"> </w:t>
      </w:r>
      <w:r w:rsidRPr="004E4C36">
        <w:rPr>
          <w:lang w:val="sl-SI"/>
        </w:rPr>
        <w:t>da</w:t>
      </w:r>
      <w:r w:rsidRPr="004E4C36">
        <w:rPr>
          <w:spacing w:val="-10"/>
          <w:lang w:val="sl-SI"/>
        </w:rPr>
        <w:t xml:space="preserve"> </w:t>
      </w:r>
      <w:r w:rsidRPr="004E4C36">
        <w:rPr>
          <w:lang w:val="sl-SI"/>
        </w:rPr>
        <w:t>bodo skupni magistrski študiji ustrezali trgu dela, s povečanim vključevanjem</w:t>
      </w:r>
      <w:r w:rsidRPr="004E4C36">
        <w:rPr>
          <w:spacing w:val="-40"/>
          <w:lang w:val="sl-SI"/>
        </w:rPr>
        <w:t xml:space="preserve"> </w:t>
      </w:r>
      <w:r w:rsidRPr="004E4C36">
        <w:rPr>
          <w:lang w:val="sl-SI"/>
        </w:rPr>
        <w:t>delodajalcev.</w:t>
      </w:r>
    </w:p>
    <w:p w14:paraId="7D398F5C" w14:textId="77777777" w:rsidR="00E03711" w:rsidRPr="001048FE" w:rsidRDefault="00E03711" w:rsidP="005E4295">
      <w:pPr>
        <w:pStyle w:val="GUIDE-NORMAL"/>
        <w:rPr>
          <w:lang w:val="sl-SI"/>
        </w:rPr>
      </w:pPr>
      <w:r w:rsidRPr="001048FE">
        <w:rPr>
          <w:lang w:val="sl-SI"/>
        </w:rPr>
        <w:t>V zvezi s tem bodo EMJMD predvidoma prispevali k ciljem strategije Evropa 2020 in strateškega okvira za izobraževanje in usposabljanje 2020 (ET 2020), vključno z ustreznimi merili uspešnosti, opredeljenimi v navedenih politikah.</w:t>
      </w:r>
    </w:p>
    <w:p w14:paraId="7D398F5D" w14:textId="77777777" w:rsidR="00E03711" w:rsidRPr="00FC4A70" w:rsidRDefault="00E03711" w:rsidP="00517FC3">
      <w:pPr>
        <w:pStyle w:val="Guide-Normal0"/>
        <w:rPr>
          <w:lang w:val="sl-SI"/>
        </w:rPr>
      </w:pPr>
      <w:r w:rsidRPr="00FC4A70">
        <w:rPr>
          <w:rFonts w:eastAsia="Calibri" w:cs="Calibri"/>
          <w:kern w:val="3"/>
          <w:sz w:val="18"/>
          <w:szCs w:val="18"/>
          <w:bdr w:val="nil"/>
          <w:shd w:val="clear" w:color="auto" w:fill="FFFFFF"/>
          <w:lang w:val="sl-SI"/>
        </w:rPr>
        <w:t>Vse države programa Erasmus+, ki so v okviru bolonjskega procesa zavezane splošnim standardom in smernicam zagotavljanja kakovosti, kot tudi splošnemu sistemu pridobivanja diplome in kreditnemu sistemu.  Te imajo cilj zagotoviti medsebojno zaupanje v sisteme visokošolskega izobraževanja, omogočiti mednarodno mobilnost študentov in diplomantov ter čezmejno sodelovanje med univerzami kot tudi priznavanje kvalifikacij in časa študija v tujini.  V sporočilu "Krepitev evropske identitete z izobraževanjem in kulturo" je Evropska komisija orisala svojo vizijo za evropski izobraževalni prostor do leta 2025 "za Evropo, v kateri učenje, izobraževanje in raziskovanje ne bodo ovirale meje.  Čezmejno zagotavljanje kakovosti je ključni element pri oblikovanju evropskega izobraževalnega prostora.  Na Bolonjski ministrski konferenci leta 2015 v Erevanu je bil sprejet "Evropski pristop k zagotavljanju kakovosti skupnih programov</w:t>
      </w:r>
      <w:r w:rsidRPr="00FC4A70">
        <w:rPr>
          <w:rStyle w:val="FootnoteReference"/>
        </w:rPr>
        <w:footnoteReference w:id="65"/>
      </w:r>
      <w:r w:rsidRPr="00FC4A70">
        <w:rPr>
          <w:rFonts w:eastAsia="Calibri" w:cs="Calibri"/>
          <w:kern w:val="3"/>
          <w:sz w:val="18"/>
          <w:szCs w:val="18"/>
          <w:bdr w:val="nil"/>
          <w:shd w:val="clear" w:color="auto" w:fill="FFFFFF"/>
          <w:lang w:val="sl-SI"/>
        </w:rPr>
        <w:t>", da se zagotovi zunanje zagotavljanje kakovosti programov: ta določa standarde, ki temeljijo na dogovorjenih orodjih EHEA (European Higher Education Area [evropskega visokošolskega prostora]), brez uporabe dodatnih nacionalnih meril.  Pričakuje se, da bo to omogočilo celostne pristope za zagotavljanje kakovosti skupnih programov, ki bodo dejansko odražali skupni karakter.</w:t>
      </w:r>
    </w:p>
    <w:p w14:paraId="7D398F5E" w14:textId="77777777" w:rsidR="00E03711" w:rsidRPr="00FC4A70" w:rsidRDefault="00E03711" w:rsidP="00517FC3">
      <w:pPr>
        <w:pStyle w:val="Guide-Normal0"/>
        <w:rPr>
          <w:lang w:val="sl-SI"/>
        </w:rPr>
      </w:pPr>
    </w:p>
    <w:p w14:paraId="7D398F5F" w14:textId="77777777" w:rsidR="00E03711" w:rsidRPr="00FC4A70" w:rsidRDefault="00E03711" w:rsidP="00517FC3">
      <w:pPr>
        <w:pStyle w:val="Guide-Normal0"/>
        <w:rPr>
          <w:vanish/>
          <w:lang w:val="sl-SI"/>
        </w:rPr>
      </w:pPr>
      <w:r w:rsidRPr="00FC4A70">
        <w:rPr>
          <w:rFonts w:eastAsia="Calibri" w:cs="Calibri"/>
          <w:kern w:val="3"/>
          <w:sz w:val="18"/>
          <w:szCs w:val="18"/>
          <w:bdr w:val="nil"/>
          <w:shd w:val="clear" w:color="auto" w:fill="FFFFFF"/>
          <w:lang w:val="sl-SI"/>
        </w:rPr>
        <w:t>EMJMD (Erasmus Mundus Joint Master Degrees [Skupni magistrski programi Erasmus Mundus]) temeljijo na Evropskem pristopu k zagotavljanju kakovosti skupnih programov kot temelju za zunanje zagotavljanje kakovosti študijskega programa, če to dopušča nacionalna zakonodaja.</w:t>
      </w:r>
    </w:p>
    <w:p w14:paraId="7D398F60" w14:textId="77777777" w:rsidR="00E03711" w:rsidRPr="001048FE" w:rsidRDefault="00E03711" w:rsidP="005E4295">
      <w:pPr>
        <w:pStyle w:val="GUIDE-NORMAL"/>
        <w:rPr>
          <w:lang w:val="sl-SI"/>
        </w:rPr>
      </w:pPr>
      <w:r w:rsidRPr="001048FE">
        <w:rPr>
          <w:lang w:val="sl-SI"/>
        </w:rPr>
        <w:t>EMJMD</w:t>
      </w:r>
      <w:r w:rsidRPr="001048FE">
        <w:rPr>
          <w:spacing w:val="-19"/>
          <w:lang w:val="sl-SI"/>
        </w:rPr>
        <w:t xml:space="preserve"> </w:t>
      </w:r>
      <w:r w:rsidRPr="001048FE">
        <w:rPr>
          <w:lang w:val="sl-SI"/>
        </w:rPr>
        <w:t>prispevajo</w:t>
      </w:r>
      <w:r w:rsidRPr="001048FE">
        <w:rPr>
          <w:spacing w:val="-19"/>
          <w:lang w:val="sl-SI"/>
        </w:rPr>
        <w:t xml:space="preserve"> </w:t>
      </w:r>
      <w:r w:rsidRPr="001048FE">
        <w:rPr>
          <w:lang w:val="sl-SI"/>
        </w:rPr>
        <w:t>k</w:t>
      </w:r>
      <w:r w:rsidRPr="001048FE">
        <w:rPr>
          <w:spacing w:val="-19"/>
          <w:lang w:val="sl-SI"/>
        </w:rPr>
        <w:t xml:space="preserve"> </w:t>
      </w:r>
      <w:r w:rsidRPr="001048FE">
        <w:rPr>
          <w:lang w:val="sl-SI"/>
        </w:rPr>
        <w:t>izboljšanju</w:t>
      </w:r>
      <w:r w:rsidRPr="001048FE">
        <w:rPr>
          <w:spacing w:val="-19"/>
          <w:lang w:val="sl-SI"/>
        </w:rPr>
        <w:t xml:space="preserve"> </w:t>
      </w:r>
      <w:r w:rsidRPr="001048FE">
        <w:rPr>
          <w:lang w:val="sl-SI"/>
        </w:rPr>
        <w:t>privlačnosti</w:t>
      </w:r>
      <w:r w:rsidRPr="001048FE">
        <w:rPr>
          <w:spacing w:val="-19"/>
          <w:lang w:val="sl-SI"/>
        </w:rPr>
        <w:t xml:space="preserve"> </w:t>
      </w:r>
      <w:r w:rsidRPr="001048FE">
        <w:rPr>
          <w:lang w:val="sl-SI"/>
        </w:rPr>
        <w:t>evropskega</w:t>
      </w:r>
      <w:r w:rsidRPr="001048FE">
        <w:rPr>
          <w:spacing w:val="-19"/>
          <w:lang w:val="sl-SI"/>
        </w:rPr>
        <w:t xml:space="preserve"> </w:t>
      </w:r>
      <w:r w:rsidRPr="001048FE">
        <w:rPr>
          <w:lang w:val="sl-SI"/>
        </w:rPr>
        <w:t>visokošolskega</w:t>
      </w:r>
      <w:r w:rsidRPr="001048FE">
        <w:rPr>
          <w:spacing w:val="-19"/>
          <w:lang w:val="sl-SI"/>
        </w:rPr>
        <w:t xml:space="preserve"> </w:t>
      </w:r>
      <w:r w:rsidRPr="001048FE">
        <w:rPr>
          <w:lang w:val="sl-SI"/>
        </w:rPr>
        <w:t>prostora</w:t>
      </w:r>
      <w:r w:rsidRPr="001048FE">
        <w:rPr>
          <w:spacing w:val="-19"/>
          <w:lang w:val="sl-SI"/>
        </w:rPr>
        <w:t xml:space="preserve"> </w:t>
      </w:r>
      <w:r w:rsidRPr="001048FE">
        <w:rPr>
          <w:lang w:val="sl-SI"/>
        </w:rPr>
        <w:t>po</w:t>
      </w:r>
      <w:r w:rsidRPr="001048FE">
        <w:rPr>
          <w:spacing w:val="-19"/>
          <w:lang w:val="sl-SI"/>
        </w:rPr>
        <w:t xml:space="preserve"> </w:t>
      </w:r>
      <w:r w:rsidRPr="001048FE">
        <w:rPr>
          <w:lang w:val="sl-SI"/>
        </w:rPr>
        <w:t>vsem</w:t>
      </w:r>
      <w:r w:rsidRPr="001048FE">
        <w:rPr>
          <w:spacing w:val="-19"/>
          <w:lang w:val="sl-SI"/>
        </w:rPr>
        <w:t xml:space="preserve"> </w:t>
      </w:r>
      <w:r w:rsidRPr="001048FE">
        <w:rPr>
          <w:lang w:val="sl-SI"/>
        </w:rPr>
        <w:t>svetu</w:t>
      </w:r>
      <w:r w:rsidRPr="001048FE">
        <w:rPr>
          <w:spacing w:val="-19"/>
          <w:lang w:val="sl-SI"/>
        </w:rPr>
        <w:t xml:space="preserve"> </w:t>
      </w:r>
      <w:r w:rsidRPr="001048FE">
        <w:rPr>
          <w:lang w:val="sl-SI"/>
        </w:rPr>
        <w:t>ter predstavljajo odličnost in visoko raven integracije skupnih študijskih programov, ki jih izvajajo evropske visokošolske</w:t>
      </w:r>
      <w:r w:rsidRPr="001048FE">
        <w:rPr>
          <w:spacing w:val="-6"/>
          <w:lang w:val="sl-SI"/>
        </w:rPr>
        <w:t xml:space="preserve"> </w:t>
      </w:r>
      <w:r w:rsidRPr="001048FE">
        <w:rPr>
          <w:lang w:val="sl-SI"/>
        </w:rPr>
        <w:t>institucije.</w:t>
      </w:r>
    </w:p>
    <w:p w14:paraId="7D398F61" w14:textId="77777777" w:rsidR="00E03711" w:rsidRDefault="00E03711" w:rsidP="005E4295">
      <w:pPr>
        <w:pStyle w:val="GUIDE-NORMAL"/>
        <w:rPr>
          <w:lang w:val="sl-SI"/>
        </w:rPr>
      </w:pPr>
      <w:r w:rsidRPr="001048FE">
        <w:rPr>
          <w:lang w:val="sl-SI"/>
        </w:rPr>
        <w:t>Ta ukrep v različnih vidikih podpira tudi zunanje delovanje EU ter cilje in prednostne naloge na področju visokošolskega izobraževanja.</w:t>
      </w:r>
    </w:p>
    <w:p w14:paraId="7D398F62" w14:textId="77777777" w:rsidR="00E03711" w:rsidRPr="001048FE" w:rsidRDefault="00E03711" w:rsidP="0048106A">
      <w:pPr>
        <w:pStyle w:val="Guide-Heading5"/>
        <w:rPr>
          <w:lang w:val="sl-SI"/>
        </w:rPr>
      </w:pPr>
      <w:r w:rsidRPr="001048FE">
        <w:rPr>
          <w:lang w:val="sl-SI"/>
        </w:rPr>
        <w:t>Kaj je skupni magistrski študij Erasmus Mundus?</w:t>
      </w:r>
    </w:p>
    <w:p w14:paraId="7D398F63" w14:textId="77777777" w:rsidR="00E03711" w:rsidRPr="001048FE" w:rsidRDefault="00E03711" w:rsidP="005E4295">
      <w:pPr>
        <w:pStyle w:val="GUIDE-NORMAL"/>
        <w:rPr>
          <w:lang w:val="sl-SI"/>
        </w:rPr>
      </w:pPr>
      <w:r w:rsidRPr="001048FE">
        <w:rPr>
          <w:lang w:val="sl-SI"/>
        </w:rPr>
        <w:t>Skupni magistrski študij Erasmus Mundus (EMJMD) je celosten mednarodni študijski program na visoki ravni, ovrednoten s 60, 90 ali 120 kreditnimi točkami ECTS, ki ga izvaja mednarodni konzorcij visokošolskih institucij in, kadar je to ustrezno, drugi partnerji s področja izobraževanja in/ali drugih področij</w:t>
      </w:r>
      <w:r w:rsidRPr="001048FE">
        <w:rPr>
          <w:spacing w:val="-17"/>
          <w:lang w:val="sl-SI"/>
        </w:rPr>
        <w:t xml:space="preserve"> </w:t>
      </w:r>
      <w:r w:rsidRPr="001048FE">
        <w:rPr>
          <w:lang w:val="sl-SI"/>
        </w:rPr>
        <w:t>s</w:t>
      </w:r>
      <w:r w:rsidRPr="001048FE">
        <w:rPr>
          <w:spacing w:val="-17"/>
          <w:lang w:val="sl-SI"/>
        </w:rPr>
        <w:t xml:space="preserve"> </w:t>
      </w:r>
      <w:r w:rsidRPr="001048FE">
        <w:rPr>
          <w:lang w:val="sl-SI"/>
        </w:rPr>
        <w:t>posebnim</w:t>
      </w:r>
      <w:r w:rsidRPr="001048FE">
        <w:rPr>
          <w:spacing w:val="-17"/>
          <w:lang w:val="sl-SI"/>
        </w:rPr>
        <w:t xml:space="preserve"> </w:t>
      </w:r>
      <w:r w:rsidRPr="001048FE">
        <w:rPr>
          <w:lang w:val="sl-SI"/>
        </w:rPr>
        <w:t>strokovnim</w:t>
      </w:r>
      <w:r w:rsidRPr="001048FE">
        <w:rPr>
          <w:spacing w:val="-17"/>
          <w:lang w:val="sl-SI"/>
        </w:rPr>
        <w:t xml:space="preserve"> </w:t>
      </w:r>
      <w:r w:rsidRPr="001048FE">
        <w:rPr>
          <w:lang w:val="sl-SI"/>
        </w:rPr>
        <w:t>znanjem</w:t>
      </w:r>
      <w:r w:rsidRPr="001048FE">
        <w:rPr>
          <w:spacing w:val="-17"/>
          <w:lang w:val="sl-SI"/>
        </w:rPr>
        <w:t xml:space="preserve"> </w:t>
      </w:r>
      <w:r w:rsidRPr="001048FE">
        <w:rPr>
          <w:lang w:val="sl-SI"/>
        </w:rPr>
        <w:t>in</w:t>
      </w:r>
      <w:r w:rsidRPr="001048FE">
        <w:rPr>
          <w:spacing w:val="-17"/>
          <w:lang w:val="sl-SI"/>
        </w:rPr>
        <w:t xml:space="preserve"> </w:t>
      </w:r>
      <w:r w:rsidRPr="001048FE">
        <w:rPr>
          <w:lang w:val="sl-SI"/>
        </w:rPr>
        <w:t>zanimanjem</w:t>
      </w:r>
      <w:r w:rsidRPr="001048FE">
        <w:rPr>
          <w:spacing w:val="-17"/>
          <w:lang w:val="sl-SI"/>
        </w:rPr>
        <w:t xml:space="preserve"> </w:t>
      </w:r>
      <w:r w:rsidRPr="001048FE">
        <w:rPr>
          <w:lang w:val="sl-SI"/>
        </w:rPr>
        <w:t>za</w:t>
      </w:r>
      <w:r w:rsidRPr="001048FE">
        <w:rPr>
          <w:spacing w:val="-17"/>
          <w:lang w:val="sl-SI"/>
        </w:rPr>
        <w:t xml:space="preserve"> </w:t>
      </w:r>
      <w:r w:rsidRPr="001048FE">
        <w:rPr>
          <w:lang w:val="sl-SI"/>
        </w:rPr>
        <w:t>študijska/strokovna</w:t>
      </w:r>
      <w:r w:rsidRPr="001048FE">
        <w:rPr>
          <w:spacing w:val="-17"/>
          <w:lang w:val="sl-SI"/>
        </w:rPr>
        <w:t xml:space="preserve"> </w:t>
      </w:r>
      <w:r w:rsidRPr="001048FE">
        <w:rPr>
          <w:lang w:val="sl-SI"/>
        </w:rPr>
        <w:t>področja,</w:t>
      </w:r>
      <w:r w:rsidRPr="001048FE">
        <w:rPr>
          <w:spacing w:val="-17"/>
          <w:lang w:val="sl-SI"/>
        </w:rPr>
        <w:t xml:space="preserve"> </w:t>
      </w:r>
      <w:r w:rsidRPr="001048FE">
        <w:rPr>
          <w:lang w:val="sl-SI"/>
        </w:rPr>
        <w:t>ki</w:t>
      </w:r>
      <w:r w:rsidRPr="001048FE">
        <w:rPr>
          <w:spacing w:val="-17"/>
          <w:lang w:val="sl-SI"/>
        </w:rPr>
        <w:t xml:space="preserve"> </w:t>
      </w:r>
      <w:r w:rsidRPr="001048FE">
        <w:rPr>
          <w:lang w:val="sl-SI"/>
        </w:rPr>
        <w:t>so</w:t>
      </w:r>
      <w:r w:rsidRPr="001048FE">
        <w:rPr>
          <w:spacing w:val="-17"/>
          <w:lang w:val="sl-SI"/>
        </w:rPr>
        <w:t xml:space="preserve"> </w:t>
      </w:r>
      <w:r w:rsidRPr="001048FE">
        <w:rPr>
          <w:lang w:val="sl-SI"/>
        </w:rPr>
        <w:t>zajeta v skupni program. Njihove posebnosti so visoka stopnja integracije/skupnega izvajanja</w:t>
      </w:r>
      <w:hyperlink r:id="rId80">
        <w:r w:rsidRPr="001048FE">
          <w:rPr>
            <w:rStyle w:val="FootnoteReference"/>
            <w:lang w:val="sl-SI"/>
          </w:rPr>
          <w:footnoteReference w:id="66"/>
        </w:r>
        <w:r w:rsidRPr="001048FE">
          <w:rPr>
            <w:sz w:val="20"/>
            <w:lang w:val="sl-SI"/>
          </w:rPr>
          <w:t xml:space="preserve"> </w:t>
        </w:r>
      </w:hyperlink>
      <w:r w:rsidRPr="001048FE">
        <w:rPr>
          <w:lang w:val="sl-SI"/>
        </w:rPr>
        <w:t>ter odlične akademske vsebine in metodologija, ki jih nudijo. Glede področij ni nobenih omejitev. Seznam skupnih</w:t>
      </w:r>
      <w:r w:rsidRPr="001048FE">
        <w:rPr>
          <w:spacing w:val="-8"/>
          <w:lang w:val="sl-SI"/>
        </w:rPr>
        <w:t xml:space="preserve"> </w:t>
      </w:r>
      <w:r w:rsidRPr="001048FE">
        <w:rPr>
          <w:lang w:val="sl-SI"/>
        </w:rPr>
        <w:t>programov,</w:t>
      </w:r>
      <w:r w:rsidRPr="001048FE">
        <w:rPr>
          <w:spacing w:val="-8"/>
          <w:lang w:val="sl-SI"/>
        </w:rPr>
        <w:t xml:space="preserve"> </w:t>
      </w:r>
      <w:r w:rsidRPr="001048FE">
        <w:rPr>
          <w:lang w:val="sl-SI"/>
        </w:rPr>
        <w:t>ki</w:t>
      </w:r>
      <w:r w:rsidRPr="001048FE">
        <w:rPr>
          <w:spacing w:val="-8"/>
          <w:lang w:val="sl-SI"/>
        </w:rPr>
        <w:t xml:space="preserve"> </w:t>
      </w:r>
      <w:r w:rsidRPr="001048FE">
        <w:rPr>
          <w:lang w:val="sl-SI"/>
        </w:rPr>
        <w:t>se</w:t>
      </w:r>
      <w:r w:rsidRPr="001048FE">
        <w:rPr>
          <w:spacing w:val="-8"/>
          <w:lang w:val="sl-SI"/>
        </w:rPr>
        <w:t xml:space="preserve"> </w:t>
      </w:r>
      <w:r w:rsidRPr="001048FE">
        <w:rPr>
          <w:lang w:val="sl-SI"/>
        </w:rPr>
        <w:t>financirajo</w:t>
      </w:r>
      <w:r w:rsidRPr="001048FE">
        <w:rPr>
          <w:spacing w:val="-8"/>
          <w:lang w:val="sl-SI"/>
        </w:rPr>
        <w:t xml:space="preserve"> </w:t>
      </w:r>
      <w:r w:rsidRPr="001048FE">
        <w:rPr>
          <w:lang w:val="sl-SI"/>
        </w:rPr>
        <w:t>v</w:t>
      </w:r>
      <w:r w:rsidRPr="001048FE">
        <w:rPr>
          <w:spacing w:val="-8"/>
          <w:lang w:val="sl-SI"/>
        </w:rPr>
        <w:t xml:space="preserve"> </w:t>
      </w:r>
      <w:r w:rsidRPr="001048FE">
        <w:rPr>
          <w:lang w:val="sl-SI"/>
        </w:rPr>
        <w:t>okviru</w:t>
      </w:r>
      <w:r w:rsidRPr="001048FE">
        <w:rPr>
          <w:spacing w:val="-7"/>
          <w:lang w:val="sl-SI"/>
        </w:rPr>
        <w:t xml:space="preserve"> </w:t>
      </w:r>
      <w:r w:rsidRPr="001048FE">
        <w:rPr>
          <w:lang w:val="sl-SI"/>
        </w:rPr>
        <w:t>programa</w:t>
      </w:r>
      <w:r w:rsidRPr="001048FE">
        <w:rPr>
          <w:spacing w:val="-8"/>
          <w:lang w:val="sl-SI"/>
        </w:rPr>
        <w:t xml:space="preserve"> </w:t>
      </w:r>
      <w:r w:rsidRPr="001048FE">
        <w:rPr>
          <w:lang w:val="sl-SI"/>
        </w:rPr>
        <w:t>Erasmus+,</w:t>
      </w:r>
      <w:r w:rsidRPr="001048FE">
        <w:rPr>
          <w:spacing w:val="-8"/>
          <w:lang w:val="sl-SI"/>
        </w:rPr>
        <w:t xml:space="preserve"> </w:t>
      </w:r>
      <w:r w:rsidRPr="001048FE">
        <w:rPr>
          <w:lang w:val="sl-SI"/>
        </w:rPr>
        <w:t>je</w:t>
      </w:r>
      <w:r w:rsidRPr="001048FE">
        <w:rPr>
          <w:spacing w:val="-8"/>
          <w:lang w:val="sl-SI"/>
        </w:rPr>
        <w:t xml:space="preserve"> </w:t>
      </w:r>
      <w:r w:rsidRPr="001048FE">
        <w:rPr>
          <w:lang w:val="sl-SI"/>
        </w:rPr>
        <w:t>na</w:t>
      </w:r>
      <w:r w:rsidRPr="001048FE">
        <w:rPr>
          <w:spacing w:val="-8"/>
          <w:lang w:val="sl-SI"/>
        </w:rPr>
        <w:t xml:space="preserve"> </w:t>
      </w:r>
      <w:r w:rsidRPr="001048FE">
        <w:rPr>
          <w:lang w:val="sl-SI"/>
        </w:rPr>
        <w:t>voljo</w:t>
      </w:r>
      <w:r w:rsidRPr="001048FE">
        <w:rPr>
          <w:spacing w:val="-8"/>
          <w:lang w:val="sl-SI"/>
        </w:rPr>
        <w:t xml:space="preserve"> </w:t>
      </w:r>
      <w:r w:rsidRPr="001048FE">
        <w:rPr>
          <w:lang w:val="sl-SI"/>
        </w:rPr>
        <w:t>na</w:t>
      </w:r>
      <w:r w:rsidRPr="001048FE">
        <w:rPr>
          <w:spacing w:val="-8"/>
          <w:lang w:val="sl-SI"/>
        </w:rPr>
        <w:t xml:space="preserve"> </w:t>
      </w:r>
      <w:r w:rsidRPr="001048FE">
        <w:rPr>
          <w:lang w:val="sl-SI"/>
        </w:rPr>
        <w:t>spletišču</w:t>
      </w:r>
      <w:r w:rsidRPr="001048FE">
        <w:rPr>
          <w:spacing w:val="-8"/>
          <w:lang w:val="sl-SI"/>
        </w:rPr>
        <w:t xml:space="preserve"> </w:t>
      </w:r>
      <w:r w:rsidRPr="001048FE">
        <w:rPr>
          <w:lang w:val="sl-SI"/>
        </w:rPr>
        <w:t>Izvajalske agencije.</w:t>
      </w:r>
      <w:r w:rsidRPr="001048FE">
        <w:rPr>
          <w:rStyle w:val="FootnoteReference"/>
          <w:lang w:val="sl-SI"/>
        </w:rPr>
        <w:footnoteReference w:id="67"/>
      </w:r>
      <w:r w:rsidRPr="001048FE">
        <w:rPr>
          <w:lang w:val="sl-SI"/>
        </w:rPr>
        <w:t>.</w:t>
      </w:r>
    </w:p>
    <w:p w14:paraId="7D398F64" w14:textId="77777777" w:rsidR="00E03711" w:rsidRPr="001048FE" w:rsidRDefault="00E03711" w:rsidP="005E4295">
      <w:pPr>
        <w:pStyle w:val="GUIDE-NORMAL"/>
        <w:rPr>
          <w:lang w:val="sl-SI"/>
        </w:rPr>
      </w:pPr>
      <w:r w:rsidRPr="001048FE">
        <w:rPr>
          <w:lang w:val="sl-SI"/>
        </w:rPr>
        <w:t>Vse sodelujoče visokošolske institucije s sedežem v državi Programa morajo biti institucije, ki podeljujejo magistrske diplome</w:t>
      </w:r>
      <w:r>
        <w:rPr>
          <w:lang w:val="sl-SI"/>
        </w:rPr>
        <w:t>.</w:t>
      </w:r>
      <w:r w:rsidRPr="001048FE">
        <w:rPr>
          <w:lang w:val="sl-SI"/>
        </w:rPr>
        <w:t xml:space="preserve"> Ob</w:t>
      </w:r>
      <w:r w:rsidRPr="001048FE">
        <w:rPr>
          <w:spacing w:val="-22"/>
          <w:lang w:val="sl-SI"/>
        </w:rPr>
        <w:t xml:space="preserve"> </w:t>
      </w:r>
      <w:r w:rsidRPr="001048FE">
        <w:rPr>
          <w:lang w:val="sl-SI"/>
        </w:rPr>
        <w:t>uspešnem</w:t>
      </w:r>
      <w:r w:rsidRPr="001048FE">
        <w:rPr>
          <w:spacing w:val="-22"/>
          <w:lang w:val="sl-SI"/>
        </w:rPr>
        <w:t xml:space="preserve"> </w:t>
      </w:r>
      <w:r w:rsidRPr="001048FE">
        <w:rPr>
          <w:lang w:val="sl-SI"/>
        </w:rPr>
        <w:t>zaključku</w:t>
      </w:r>
      <w:r w:rsidRPr="001048FE">
        <w:rPr>
          <w:spacing w:val="-22"/>
          <w:lang w:val="sl-SI"/>
        </w:rPr>
        <w:t xml:space="preserve"> </w:t>
      </w:r>
      <w:r w:rsidRPr="001048FE">
        <w:rPr>
          <w:lang w:val="sl-SI"/>
        </w:rPr>
        <w:t>skupnega</w:t>
      </w:r>
      <w:r w:rsidRPr="001048FE">
        <w:rPr>
          <w:spacing w:val="-22"/>
          <w:lang w:val="sl-SI"/>
        </w:rPr>
        <w:t xml:space="preserve"> </w:t>
      </w:r>
      <w:r w:rsidRPr="001048FE">
        <w:rPr>
          <w:lang w:val="sl-SI"/>
        </w:rPr>
        <w:t>magistrskega programa EMJMD mora biti podeljena skupna diploma (tj. enotno potrdilo o diplomi, ki je izdano v imenu vsaj dveh visokošolskih institucij iz različnih držav Programa) ali večkratne diplome (tj. vsaj dve potrdili o diplomi, ki ju izdata dve visokošolski instituciji iz različnih držav Programa). Če nacionalna zakonodaja</w:t>
      </w:r>
      <w:r w:rsidRPr="001048FE">
        <w:rPr>
          <w:spacing w:val="-20"/>
          <w:lang w:val="sl-SI"/>
        </w:rPr>
        <w:t xml:space="preserve"> </w:t>
      </w:r>
      <w:r w:rsidRPr="001048FE">
        <w:rPr>
          <w:lang w:val="sl-SI"/>
        </w:rPr>
        <w:t>to</w:t>
      </w:r>
      <w:r w:rsidRPr="001048FE">
        <w:rPr>
          <w:spacing w:val="-20"/>
          <w:lang w:val="sl-SI"/>
        </w:rPr>
        <w:t xml:space="preserve"> </w:t>
      </w:r>
      <w:r w:rsidRPr="001048FE">
        <w:rPr>
          <w:lang w:val="sl-SI"/>
        </w:rPr>
        <w:t>dovoljuje,</w:t>
      </w:r>
      <w:r w:rsidRPr="001048FE">
        <w:rPr>
          <w:spacing w:val="-20"/>
          <w:lang w:val="sl-SI"/>
        </w:rPr>
        <w:t xml:space="preserve"> </w:t>
      </w:r>
      <w:r w:rsidRPr="001048FE">
        <w:rPr>
          <w:lang w:val="sl-SI"/>
        </w:rPr>
        <w:t>se</w:t>
      </w:r>
      <w:r w:rsidRPr="001048FE">
        <w:rPr>
          <w:spacing w:val="-20"/>
          <w:lang w:val="sl-SI"/>
        </w:rPr>
        <w:t xml:space="preserve"> </w:t>
      </w:r>
      <w:r w:rsidRPr="001048FE">
        <w:rPr>
          <w:lang w:val="sl-SI"/>
        </w:rPr>
        <w:t>skupne</w:t>
      </w:r>
      <w:r w:rsidRPr="001048FE">
        <w:rPr>
          <w:spacing w:val="-20"/>
          <w:lang w:val="sl-SI"/>
        </w:rPr>
        <w:t xml:space="preserve"> </w:t>
      </w:r>
      <w:r w:rsidRPr="001048FE">
        <w:rPr>
          <w:lang w:val="sl-SI"/>
        </w:rPr>
        <w:t>diplome</w:t>
      </w:r>
      <w:r w:rsidRPr="001048FE">
        <w:rPr>
          <w:spacing w:val="-20"/>
          <w:lang w:val="sl-SI"/>
        </w:rPr>
        <w:t xml:space="preserve"> </w:t>
      </w:r>
      <w:r w:rsidRPr="001048FE">
        <w:rPr>
          <w:lang w:val="sl-SI"/>
        </w:rPr>
        <w:t>spodbujajo,</w:t>
      </w:r>
      <w:r w:rsidRPr="001048FE">
        <w:rPr>
          <w:spacing w:val="-20"/>
          <w:lang w:val="sl-SI"/>
        </w:rPr>
        <w:t xml:space="preserve"> </w:t>
      </w:r>
      <w:r w:rsidRPr="001048FE">
        <w:rPr>
          <w:lang w:val="sl-SI"/>
        </w:rPr>
        <w:t>saj</w:t>
      </w:r>
      <w:r w:rsidRPr="001048FE">
        <w:rPr>
          <w:spacing w:val="-20"/>
          <w:lang w:val="sl-SI"/>
        </w:rPr>
        <w:t xml:space="preserve"> </w:t>
      </w:r>
      <w:r w:rsidRPr="001048FE">
        <w:rPr>
          <w:lang w:val="sl-SI"/>
        </w:rPr>
        <w:t>predstavljajo</w:t>
      </w:r>
      <w:r w:rsidRPr="001048FE">
        <w:rPr>
          <w:spacing w:val="-20"/>
          <w:lang w:val="sl-SI"/>
        </w:rPr>
        <w:t xml:space="preserve"> </w:t>
      </w:r>
      <w:r w:rsidRPr="001048FE">
        <w:rPr>
          <w:lang w:val="sl-SI"/>
        </w:rPr>
        <w:t>popolno</w:t>
      </w:r>
      <w:r w:rsidRPr="001048FE">
        <w:rPr>
          <w:spacing w:val="-20"/>
          <w:lang w:val="sl-SI"/>
        </w:rPr>
        <w:t xml:space="preserve"> </w:t>
      </w:r>
      <w:r w:rsidRPr="001048FE">
        <w:rPr>
          <w:lang w:val="sl-SI"/>
        </w:rPr>
        <w:t>integracijo</w:t>
      </w:r>
      <w:r w:rsidRPr="001048FE">
        <w:rPr>
          <w:spacing w:val="-20"/>
          <w:lang w:val="sl-SI"/>
        </w:rPr>
        <w:t xml:space="preserve"> </w:t>
      </w:r>
      <w:r w:rsidRPr="001048FE">
        <w:rPr>
          <w:lang w:val="sl-SI"/>
        </w:rPr>
        <w:t>procesa učenja</w:t>
      </w:r>
      <w:r w:rsidRPr="001048FE">
        <w:rPr>
          <w:spacing w:val="-11"/>
          <w:lang w:val="sl-SI"/>
        </w:rPr>
        <w:t xml:space="preserve"> </w:t>
      </w:r>
      <w:r w:rsidRPr="001048FE">
        <w:rPr>
          <w:lang w:val="sl-SI"/>
        </w:rPr>
        <w:t>in</w:t>
      </w:r>
      <w:r w:rsidRPr="001048FE">
        <w:rPr>
          <w:spacing w:val="-11"/>
          <w:lang w:val="sl-SI"/>
        </w:rPr>
        <w:t xml:space="preserve"> </w:t>
      </w:r>
      <w:r w:rsidRPr="001048FE">
        <w:rPr>
          <w:lang w:val="sl-SI"/>
        </w:rPr>
        <w:t>poučevanja.</w:t>
      </w:r>
      <w:r w:rsidRPr="001048FE">
        <w:rPr>
          <w:spacing w:val="-11"/>
          <w:lang w:val="sl-SI"/>
        </w:rPr>
        <w:t xml:space="preserve"> </w:t>
      </w:r>
      <w:r w:rsidRPr="001048FE">
        <w:rPr>
          <w:lang w:val="sl-SI"/>
        </w:rPr>
        <w:t>Poleg</w:t>
      </w:r>
      <w:r w:rsidRPr="001048FE">
        <w:rPr>
          <w:spacing w:val="-11"/>
          <w:lang w:val="sl-SI"/>
        </w:rPr>
        <w:t xml:space="preserve"> </w:t>
      </w:r>
      <w:r w:rsidRPr="001048FE">
        <w:rPr>
          <w:lang w:val="sl-SI"/>
        </w:rPr>
        <w:t>visokošolskih</w:t>
      </w:r>
      <w:r w:rsidRPr="001048FE">
        <w:rPr>
          <w:spacing w:val="-11"/>
          <w:lang w:val="sl-SI"/>
        </w:rPr>
        <w:t xml:space="preserve"> </w:t>
      </w:r>
      <w:r w:rsidRPr="001048FE">
        <w:rPr>
          <w:lang w:val="sl-SI"/>
        </w:rPr>
        <w:t>institucij</w:t>
      </w:r>
      <w:r w:rsidRPr="001048FE">
        <w:rPr>
          <w:spacing w:val="-11"/>
          <w:lang w:val="sl-SI"/>
        </w:rPr>
        <w:t xml:space="preserve"> </w:t>
      </w:r>
      <w:r w:rsidRPr="001048FE">
        <w:rPr>
          <w:lang w:val="sl-SI"/>
        </w:rPr>
        <w:t>iz</w:t>
      </w:r>
      <w:r w:rsidRPr="001048FE">
        <w:rPr>
          <w:spacing w:val="-11"/>
          <w:lang w:val="sl-SI"/>
        </w:rPr>
        <w:t xml:space="preserve"> </w:t>
      </w:r>
      <w:r w:rsidRPr="001048FE">
        <w:rPr>
          <w:lang w:val="sl-SI"/>
        </w:rPr>
        <w:t>držav</w:t>
      </w:r>
      <w:r w:rsidRPr="001048FE">
        <w:rPr>
          <w:spacing w:val="-11"/>
          <w:lang w:val="sl-SI"/>
        </w:rPr>
        <w:t xml:space="preserve"> </w:t>
      </w:r>
      <w:r w:rsidRPr="001048FE">
        <w:rPr>
          <w:lang w:val="sl-SI"/>
        </w:rPr>
        <w:t>Programa,</w:t>
      </w:r>
      <w:r w:rsidRPr="001048FE">
        <w:rPr>
          <w:spacing w:val="-11"/>
          <w:lang w:val="sl-SI"/>
        </w:rPr>
        <w:t xml:space="preserve"> </w:t>
      </w:r>
      <w:r w:rsidRPr="001048FE">
        <w:rPr>
          <w:lang w:val="sl-SI"/>
        </w:rPr>
        <w:t>ki</w:t>
      </w:r>
      <w:r w:rsidRPr="001048FE">
        <w:rPr>
          <w:spacing w:val="-11"/>
          <w:lang w:val="sl-SI"/>
        </w:rPr>
        <w:t xml:space="preserve"> </w:t>
      </w:r>
      <w:r w:rsidRPr="001048FE">
        <w:rPr>
          <w:lang w:val="sl-SI"/>
        </w:rPr>
        <w:t>dodeljujejo</w:t>
      </w:r>
      <w:r w:rsidRPr="001048FE">
        <w:rPr>
          <w:spacing w:val="-11"/>
          <w:lang w:val="sl-SI"/>
        </w:rPr>
        <w:t xml:space="preserve"> </w:t>
      </w:r>
      <w:r w:rsidRPr="001048FE">
        <w:rPr>
          <w:lang w:val="sl-SI"/>
        </w:rPr>
        <w:t>diplome,</w:t>
      </w:r>
      <w:r w:rsidRPr="001048FE">
        <w:rPr>
          <w:spacing w:val="-11"/>
          <w:lang w:val="sl-SI"/>
        </w:rPr>
        <w:t xml:space="preserve"> </w:t>
      </w:r>
      <w:r w:rsidRPr="001048FE">
        <w:rPr>
          <w:lang w:val="sl-SI"/>
        </w:rPr>
        <w:t>lahko pri podeljevanju skupnih ali večkratnih diplom sodelujejo tudi druge partnerske visokošolske institucije iz partnerskih</w:t>
      </w:r>
      <w:r w:rsidRPr="001048FE">
        <w:rPr>
          <w:spacing w:val="-5"/>
          <w:lang w:val="sl-SI"/>
        </w:rPr>
        <w:t xml:space="preserve"> </w:t>
      </w:r>
      <w:r w:rsidRPr="001048FE">
        <w:rPr>
          <w:lang w:val="sl-SI"/>
        </w:rPr>
        <w:t>držav.</w:t>
      </w:r>
    </w:p>
    <w:p w14:paraId="7D398F65" w14:textId="77777777" w:rsidR="00E03711" w:rsidRDefault="00E03711" w:rsidP="005E4295">
      <w:pPr>
        <w:pStyle w:val="GUIDE-NORMAL"/>
        <w:rPr>
          <w:lang w:val="sl-SI"/>
        </w:rPr>
      </w:pPr>
      <w:r w:rsidRPr="001048FE">
        <w:rPr>
          <w:lang w:val="sl-SI"/>
        </w:rPr>
        <w:t>Predlogi programov EMJMD morajo ob prijavi predstavljati dokončno razvite skupne študijske programe,</w:t>
      </w:r>
      <w:r w:rsidRPr="001048FE">
        <w:rPr>
          <w:spacing w:val="-7"/>
          <w:lang w:val="sl-SI"/>
        </w:rPr>
        <w:t xml:space="preserve"> </w:t>
      </w:r>
      <w:r w:rsidRPr="001048FE">
        <w:rPr>
          <w:lang w:val="sl-SI"/>
        </w:rPr>
        <w:t>ki</w:t>
      </w:r>
      <w:r w:rsidRPr="001048FE">
        <w:rPr>
          <w:spacing w:val="-7"/>
          <w:lang w:val="sl-SI"/>
        </w:rPr>
        <w:t xml:space="preserve"> </w:t>
      </w:r>
      <w:r w:rsidRPr="001048FE">
        <w:rPr>
          <w:lang w:val="sl-SI"/>
        </w:rPr>
        <w:t>so</w:t>
      </w:r>
      <w:r w:rsidRPr="001048FE">
        <w:rPr>
          <w:spacing w:val="-7"/>
          <w:lang w:val="sl-SI"/>
        </w:rPr>
        <w:t xml:space="preserve"> </w:t>
      </w:r>
      <w:r w:rsidRPr="001048FE">
        <w:rPr>
          <w:lang w:val="sl-SI"/>
        </w:rPr>
        <w:t>pripravljeni</w:t>
      </w:r>
      <w:r w:rsidRPr="001048FE">
        <w:rPr>
          <w:spacing w:val="-7"/>
          <w:lang w:val="sl-SI"/>
        </w:rPr>
        <w:t xml:space="preserve"> </w:t>
      </w:r>
      <w:r w:rsidRPr="001048FE">
        <w:rPr>
          <w:lang w:val="sl-SI"/>
        </w:rPr>
        <w:t>na</w:t>
      </w:r>
      <w:r w:rsidRPr="001048FE">
        <w:rPr>
          <w:spacing w:val="-7"/>
          <w:lang w:val="sl-SI"/>
        </w:rPr>
        <w:t xml:space="preserve"> </w:t>
      </w:r>
      <w:r w:rsidRPr="001048FE">
        <w:rPr>
          <w:lang w:val="sl-SI"/>
        </w:rPr>
        <w:t>izvajanje</w:t>
      </w:r>
      <w:r w:rsidRPr="001048FE">
        <w:rPr>
          <w:spacing w:val="-7"/>
          <w:lang w:val="sl-SI"/>
        </w:rPr>
        <w:t xml:space="preserve"> </w:t>
      </w:r>
      <w:r w:rsidRPr="001048FE">
        <w:rPr>
          <w:lang w:val="sl-SI"/>
        </w:rPr>
        <w:t>in</w:t>
      </w:r>
      <w:r w:rsidRPr="001048FE">
        <w:rPr>
          <w:spacing w:val="-7"/>
          <w:lang w:val="sl-SI"/>
        </w:rPr>
        <w:t xml:space="preserve"> </w:t>
      </w:r>
      <w:r w:rsidRPr="001048FE">
        <w:rPr>
          <w:lang w:val="sl-SI"/>
        </w:rPr>
        <w:t>objavo</w:t>
      </w:r>
      <w:r w:rsidRPr="001048FE">
        <w:rPr>
          <w:spacing w:val="-6"/>
          <w:lang w:val="sl-SI"/>
        </w:rPr>
        <w:t xml:space="preserve"> </w:t>
      </w:r>
      <w:r w:rsidRPr="001048FE">
        <w:rPr>
          <w:lang w:val="sl-SI"/>
        </w:rPr>
        <w:t>po</w:t>
      </w:r>
      <w:r w:rsidRPr="001048FE">
        <w:rPr>
          <w:spacing w:val="-7"/>
          <w:lang w:val="sl-SI"/>
        </w:rPr>
        <w:t xml:space="preserve"> </w:t>
      </w:r>
      <w:r w:rsidRPr="001048FE">
        <w:rPr>
          <w:lang w:val="sl-SI"/>
        </w:rPr>
        <w:t>vsem</w:t>
      </w:r>
      <w:r w:rsidRPr="001048FE">
        <w:rPr>
          <w:spacing w:val="-7"/>
          <w:lang w:val="sl-SI"/>
        </w:rPr>
        <w:t xml:space="preserve"> </w:t>
      </w:r>
      <w:r w:rsidRPr="001048FE">
        <w:rPr>
          <w:lang w:val="sl-SI"/>
        </w:rPr>
        <w:t>svetu,</w:t>
      </w:r>
      <w:r w:rsidRPr="001048FE">
        <w:rPr>
          <w:spacing w:val="-7"/>
          <w:lang w:val="sl-SI"/>
        </w:rPr>
        <w:t xml:space="preserve"> </w:t>
      </w:r>
      <w:r w:rsidRPr="001048FE">
        <w:rPr>
          <w:lang w:val="sl-SI"/>
        </w:rPr>
        <w:t>takoj</w:t>
      </w:r>
      <w:r w:rsidRPr="001048FE">
        <w:rPr>
          <w:spacing w:val="-7"/>
          <w:lang w:val="sl-SI"/>
        </w:rPr>
        <w:t xml:space="preserve"> </w:t>
      </w:r>
      <w:r w:rsidRPr="001048FE">
        <w:rPr>
          <w:lang w:val="sl-SI"/>
        </w:rPr>
        <w:t>ko</w:t>
      </w:r>
      <w:r w:rsidRPr="001048FE">
        <w:rPr>
          <w:spacing w:val="-7"/>
          <w:lang w:val="sl-SI"/>
        </w:rPr>
        <w:t xml:space="preserve"> </w:t>
      </w:r>
      <w:r w:rsidRPr="001048FE">
        <w:rPr>
          <w:lang w:val="sl-SI"/>
        </w:rPr>
        <w:t>so</w:t>
      </w:r>
      <w:r w:rsidRPr="001048FE">
        <w:rPr>
          <w:spacing w:val="-7"/>
          <w:lang w:val="sl-SI"/>
        </w:rPr>
        <w:t xml:space="preserve"> </w:t>
      </w:r>
      <w:r w:rsidRPr="001048FE">
        <w:rPr>
          <w:lang w:val="sl-SI"/>
        </w:rPr>
        <w:t>izbrani.</w:t>
      </w:r>
      <w:r w:rsidRPr="001048FE">
        <w:rPr>
          <w:spacing w:val="-7"/>
          <w:lang w:val="sl-SI"/>
        </w:rPr>
        <w:t xml:space="preserve"> </w:t>
      </w:r>
      <w:r w:rsidRPr="001048FE">
        <w:rPr>
          <w:lang w:val="sl-SI"/>
        </w:rPr>
        <w:t>V</w:t>
      </w:r>
      <w:r w:rsidRPr="001048FE">
        <w:rPr>
          <w:spacing w:val="-7"/>
          <w:lang w:val="sl-SI"/>
        </w:rPr>
        <w:t xml:space="preserve"> </w:t>
      </w:r>
      <w:r w:rsidRPr="001048FE">
        <w:rPr>
          <w:lang w:val="sl-SI"/>
        </w:rPr>
        <w:t>tem</w:t>
      </w:r>
      <w:r w:rsidRPr="001048FE">
        <w:rPr>
          <w:spacing w:val="-7"/>
          <w:lang w:val="sl-SI"/>
        </w:rPr>
        <w:t xml:space="preserve"> </w:t>
      </w:r>
      <w:r w:rsidRPr="001048FE">
        <w:rPr>
          <w:lang w:val="sl-SI"/>
        </w:rPr>
        <w:t>okviru bo</w:t>
      </w:r>
      <w:r w:rsidRPr="001048FE">
        <w:rPr>
          <w:spacing w:val="-21"/>
          <w:lang w:val="sl-SI"/>
        </w:rPr>
        <w:t xml:space="preserve"> </w:t>
      </w:r>
      <w:r w:rsidRPr="001048FE">
        <w:rPr>
          <w:lang w:val="sl-SI"/>
        </w:rPr>
        <w:t>postopek</w:t>
      </w:r>
      <w:r w:rsidRPr="001048FE">
        <w:rPr>
          <w:spacing w:val="-21"/>
          <w:lang w:val="sl-SI"/>
        </w:rPr>
        <w:t xml:space="preserve"> </w:t>
      </w:r>
      <w:r w:rsidRPr="001048FE">
        <w:rPr>
          <w:lang w:val="sl-SI"/>
        </w:rPr>
        <w:t>izbora</w:t>
      </w:r>
      <w:r w:rsidRPr="001048FE">
        <w:rPr>
          <w:spacing w:val="-21"/>
          <w:lang w:val="sl-SI"/>
        </w:rPr>
        <w:t xml:space="preserve"> </w:t>
      </w:r>
      <w:r w:rsidRPr="001048FE">
        <w:rPr>
          <w:lang w:val="sl-SI"/>
        </w:rPr>
        <w:t>programov</w:t>
      </w:r>
      <w:r w:rsidRPr="001048FE">
        <w:rPr>
          <w:spacing w:val="-21"/>
          <w:lang w:val="sl-SI"/>
        </w:rPr>
        <w:t xml:space="preserve"> </w:t>
      </w:r>
      <w:r w:rsidRPr="001048FE">
        <w:rPr>
          <w:lang w:val="sl-SI"/>
        </w:rPr>
        <w:t>EMJMD</w:t>
      </w:r>
      <w:r w:rsidRPr="001048FE">
        <w:rPr>
          <w:spacing w:val="-21"/>
          <w:lang w:val="sl-SI"/>
        </w:rPr>
        <w:t xml:space="preserve"> </w:t>
      </w:r>
      <w:r w:rsidRPr="001048FE">
        <w:rPr>
          <w:lang w:val="sl-SI"/>
        </w:rPr>
        <w:t>zelo</w:t>
      </w:r>
      <w:r w:rsidRPr="001048FE">
        <w:rPr>
          <w:spacing w:val="-21"/>
          <w:lang w:val="sl-SI"/>
        </w:rPr>
        <w:t xml:space="preserve"> </w:t>
      </w:r>
      <w:r w:rsidRPr="001048FE">
        <w:rPr>
          <w:lang w:val="sl-SI"/>
        </w:rPr>
        <w:t>selektiven,</w:t>
      </w:r>
      <w:r w:rsidRPr="001048FE">
        <w:rPr>
          <w:spacing w:val="-21"/>
          <w:lang w:val="sl-SI"/>
        </w:rPr>
        <w:t xml:space="preserve"> </w:t>
      </w:r>
      <w:r w:rsidRPr="001048FE">
        <w:rPr>
          <w:lang w:val="sl-SI"/>
        </w:rPr>
        <w:t>zato</w:t>
      </w:r>
      <w:r w:rsidRPr="001048FE">
        <w:rPr>
          <w:spacing w:val="-21"/>
          <w:lang w:val="sl-SI"/>
        </w:rPr>
        <w:t xml:space="preserve"> </w:t>
      </w:r>
      <w:r w:rsidRPr="001048FE">
        <w:rPr>
          <w:lang w:val="sl-SI"/>
        </w:rPr>
        <w:t>da</w:t>
      </w:r>
      <w:r w:rsidRPr="001048FE">
        <w:rPr>
          <w:spacing w:val="-21"/>
          <w:lang w:val="sl-SI"/>
        </w:rPr>
        <w:t xml:space="preserve"> </w:t>
      </w:r>
      <w:r w:rsidRPr="001048FE">
        <w:rPr>
          <w:lang w:val="sl-SI"/>
        </w:rPr>
        <w:t>se</w:t>
      </w:r>
      <w:r w:rsidRPr="001048FE">
        <w:rPr>
          <w:spacing w:val="-21"/>
          <w:lang w:val="sl-SI"/>
        </w:rPr>
        <w:t xml:space="preserve"> </w:t>
      </w:r>
      <w:r w:rsidRPr="001048FE">
        <w:rPr>
          <w:lang w:val="sl-SI"/>
        </w:rPr>
        <w:t>podpre</w:t>
      </w:r>
      <w:r w:rsidRPr="001048FE">
        <w:rPr>
          <w:spacing w:val="-21"/>
          <w:lang w:val="sl-SI"/>
        </w:rPr>
        <w:t xml:space="preserve"> </w:t>
      </w:r>
      <w:r w:rsidRPr="001048FE">
        <w:rPr>
          <w:lang w:val="sl-SI"/>
        </w:rPr>
        <w:t>samo</w:t>
      </w:r>
      <w:r w:rsidRPr="001048FE">
        <w:rPr>
          <w:spacing w:val="-21"/>
          <w:lang w:val="sl-SI"/>
        </w:rPr>
        <w:t xml:space="preserve"> </w:t>
      </w:r>
      <w:r w:rsidRPr="001048FE">
        <w:rPr>
          <w:lang w:val="sl-SI"/>
        </w:rPr>
        <w:t>najboljše</w:t>
      </w:r>
      <w:r w:rsidRPr="001048FE">
        <w:rPr>
          <w:spacing w:val="-21"/>
          <w:lang w:val="sl-SI"/>
        </w:rPr>
        <w:t xml:space="preserve"> </w:t>
      </w:r>
      <w:r w:rsidRPr="001048FE">
        <w:rPr>
          <w:lang w:val="sl-SI"/>
        </w:rPr>
        <w:t>predloge.</w:t>
      </w:r>
    </w:p>
    <w:p w14:paraId="7D398F66" w14:textId="77777777" w:rsidR="00E03711" w:rsidRPr="001048FE" w:rsidRDefault="00E03711" w:rsidP="005E4295">
      <w:pPr>
        <w:pStyle w:val="GUIDE-NORMAL"/>
        <w:rPr>
          <w:lang w:val="sl-SI"/>
        </w:rPr>
      </w:pPr>
      <w:r w:rsidRPr="001048FE">
        <w:rPr>
          <w:lang w:val="sl-SI"/>
        </w:rPr>
        <w:t>Izbrani programi EMJMD bodo v zameno prejeli visoko raven financiranja za štiri vpise študentov, da bodo lahko okrepili svojo prepoznavnost po vsem svetu in zagotovili svojo trajnost.</w:t>
      </w:r>
    </w:p>
    <w:p w14:paraId="7D398F67" w14:textId="77777777" w:rsidR="00E03711" w:rsidRPr="001048FE" w:rsidRDefault="00E03711" w:rsidP="005E4295">
      <w:pPr>
        <w:pStyle w:val="GUIDE-NORMAL"/>
        <w:rPr>
          <w:lang w:val="sl-SI"/>
        </w:rPr>
      </w:pPr>
      <w:r w:rsidRPr="001048FE">
        <w:rPr>
          <w:lang w:val="sl-SI"/>
        </w:rPr>
        <w:t>Poglavja</w:t>
      </w:r>
      <w:r w:rsidRPr="001048FE">
        <w:rPr>
          <w:spacing w:val="-13"/>
          <w:lang w:val="sl-SI"/>
        </w:rPr>
        <w:t xml:space="preserve"> </w:t>
      </w:r>
      <w:r w:rsidRPr="001048FE">
        <w:rPr>
          <w:lang w:val="sl-SI"/>
        </w:rPr>
        <w:t>v</w:t>
      </w:r>
      <w:r w:rsidRPr="001048FE">
        <w:rPr>
          <w:spacing w:val="-13"/>
          <w:lang w:val="sl-SI"/>
        </w:rPr>
        <w:t xml:space="preserve"> </w:t>
      </w:r>
      <w:r w:rsidRPr="001048FE">
        <w:rPr>
          <w:lang w:val="sl-SI"/>
        </w:rPr>
        <w:t>nadaljevanju</w:t>
      </w:r>
      <w:r w:rsidRPr="001048FE">
        <w:rPr>
          <w:spacing w:val="-13"/>
          <w:lang w:val="sl-SI"/>
        </w:rPr>
        <w:t xml:space="preserve"> </w:t>
      </w:r>
      <w:r w:rsidRPr="001048FE">
        <w:rPr>
          <w:lang w:val="sl-SI"/>
        </w:rPr>
        <w:t>opisujejo</w:t>
      </w:r>
      <w:r w:rsidRPr="001048FE">
        <w:rPr>
          <w:spacing w:val="-12"/>
          <w:lang w:val="sl-SI"/>
        </w:rPr>
        <w:t xml:space="preserve"> </w:t>
      </w:r>
      <w:r w:rsidRPr="001048FE">
        <w:rPr>
          <w:lang w:val="sl-SI"/>
        </w:rPr>
        <w:t>značilnosti,</w:t>
      </w:r>
      <w:r w:rsidRPr="001048FE">
        <w:rPr>
          <w:spacing w:val="-13"/>
          <w:lang w:val="sl-SI"/>
        </w:rPr>
        <w:t xml:space="preserve"> </w:t>
      </w:r>
      <w:r w:rsidRPr="001048FE">
        <w:rPr>
          <w:lang w:val="sl-SI"/>
        </w:rPr>
        <w:t>pogoje</w:t>
      </w:r>
      <w:r w:rsidRPr="001048FE">
        <w:rPr>
          <w:spacing w:val="-13"/>
          <w:lang w:val="sl-SI"/>
        </w:rPr>
        <w:t xml:space="preserve"> </w:t>
      </w:r>
      <w:r w:rsidRPr="001048FE">
        <w:rPr>
          <w:lang w:val="sl-SI"/>
        </w:rPr>
        <w:t>za</w:t>
      </w:r>
      <w:r w:rsidRPr="001048FE">
        <w:rPr>
          <w:spacing w:val="-13"/>
          <w:lang w:val="sl-SI"/>
        </w:rPr>
        <w:t xml:space="preserve"> </w:t>
      </w:r>
      <w:r w:rsidRPr="001048FE">
        <w:rPr>
          <w:lang w:val="sl-SI"/>
        </w:rPr>
        <w:t>izbor</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financiranje</w:t>
      </w:r>
      <w:r w:rsidRPr="001048FE">
        <w:rPr>
          <w:spacing w:val="-13"/>
          <w:lang w:val="sl-SI"/>
        </w:rPr>
        <w:t xml:space="preserve"> </w:t>
      </w:r>
      <w:r w:rsidRPr="001048FE">
        <w:rPr>
          <w:lang w:val="sl-SI"/>
        </w:rPr>
        <w:t>na</w:t>
      </w:r>
      <w:r w:rsidRPr="001048FE">
        <w:rPr>
          <w:spacing w:val="-13"/>
          <w:lang w:val="sl-SI"/>
        </w:rPr>
        <w:t xml:space="preserve"> </w:t>
      </w:r>
      <w:r w:rsidRPr="001048FE">
        <w:rPr>
          <w:lang w:val="sl-SI"/>
        </w:rPr>
        <w:t>novo</w:t>
      </w:r>
      <w:r w:rsidRPr="001048FE">
        <w:rPr>
          <w:spacing w:val="-13"/>
          <w:lang w:val="sl-SI"/>
        </w:rPr>
        <w:t xml:space="preserve"> </w:t>
      </w:r>
      <w:r w:rsidRPr="001048FE">
        <w:rPr>
          <w:lang w:val="sl-SI"/>
        </w:rPr>
        <w:t>izbranih programov</w:t>
      </w:r>
      <w:r w:rsidRPr="001048FE">
        <w:rPr>
          <w:spacing w:val="-3"/>
          <w:lang w:val="sl-SI"/>
        </w:rPr>
        <w:t xml:space="preserve"> </w:t>
      </w:r>
      <w:r w:rsidRPr="001048FE">
        <w:rPr>
          <w:lang w:val="sl-SI"/>
        </w:rPr>
        <w:t>EMJMD.</w:t>
      </w:r>
    </w:p>
    <w:p w14:paraId="7D398F68" w14:textId="77777777" w:rsidR="00E03711" w:rsidRPr="001048FE" w:rsidRDefault="00E03711" w:rsidP="0048106A">
      <w:pPr>
        <w:pStyle w:val="Guide-Heading5"/>
        <w:rPr>
          <w:lang w:val="sl-SI"/>
        </w:rPr>
      </w:pPr>
      <w:r w:rsidRPr="001048FE">
        <w:rPr>
          <w:lang w:val="sl-SI"/>
        </w:rPr>
        <w:t>Katere aktivnosti so podprte v okviru tega ukrepa?</w:t>
      </w:r>
    </w:p>
    <w:p w14:paraId="7D398F69" w14:textId="77777777" w:rsidR="00E03711" w:rsidRPr="001048FE" w:rsidRDefault="00E03711" w:rsidP="005E4295">
      <w:pPr>
        <w:pStyle w:val="GUIDE-NORMAL"/>
        <w:rPr>
          <w:lang w:val="sl-SI"/>
        </w:rPr>
      </w:pPr>
      <w:r w:rsidRPr="001048FE">
        <w:rPr>
          <w:lang w:val="sl-SI"/>
        </w:rPr>
        <w:t>Ta ukrep bo podpiral naslednje aktivnosti:</w:t>
      </w:r>
    </w:p>
    <w:p w14:paraId="7D398F6A" w14:textId="77777777" w:rsidR="00E03711" w:rsidRPr="004E4C36" w:rsidRDefault="00E03711" w:rsidP="00860232">
      <w:pPr>
        <w:pStyle w:val="Guide-ListDash"/>
        <w:rPr>
          <w:lang w:val="sl-SI"/>
        </w:rPr>
      </w:pPr>
      <w:r w:rsidRPr="004E4C36">
        <w:rPr>
          <w:lang w:val="sl-SI"/>
        </w:rPr>
        <w:t>izvajanje</w:t>
      </w:r>
      <w:r w:rsidRPr="004E4C36">
        <w:rPr>
          <w:spacing w:val="-11"/>
          <w:lang w:val="sl-SI"/>
        </w:rPr>
        <w:t xml:space="preserve"> </w:t>
      </w:r>
      <w:r w:rsidRPr="004E4C36">
        <w:rPr>
          <w:lang w:val="sl-SI"/>
        </w:rPr>
        <w:t>programa</w:t>
      </w:r>
      <w:r w:rsidRPr="004E4C36">
        <w:rPr>
          <w:spacing w:val="-11"/>
          <w:lang w:val="sl-SI"/>
        </w:rPr>
        <w:t xml:space="preserve"> </w:t>
      </w:r>
      <w:r w:rsidRPr="004E4C36">
        <w:rPr>
          <w:lang w:val="sl-SI"/>
        </w:rPr>
        <w:t>EMJMD,</w:t>
      </w:r>
      <w:r w:rsidRPr="004E4C36">
        <w:rPr>
          <w:spacing w:val="-11"/>
          <w:lang w:val="sl-SI"/>
        </w:rPr>
        <w:t xml:space="preserve"> </w:t>
      </w:r>
      <w:r w:rsidRPr="004E4C36">
        <w:rPr>
          <w:lang w:val="sl-SI"/>
        </w:rPr>
        <w:t>ovrednotenega</w:t>
      </w:r>
      <w:r w:rsidRPr="004E4C36">
        <w:rPr>
          <w:spacing w:val="-11"/>
          <w:lang w:val="sl-SI"/>
        </w:rPr>
        <w:t xml:space="preserve"> </w:t>
      </w:r>
      <w:r w:rsidRPr="004E4C36">
        <w:rPr>
          <w:lang w:val="sl-SI"/>
        </w:rPr>
        <w:t>s</w:t>
      </w:r>
      <w:r w:rsidRPr="004E4C36">
        <w:rPr>
          <w:spacing w:val="-11"/>
          <w:lang w:val="sl-SI"/>
        </w:rPr>
        <w:t xml:space="preserve"> </w:t>
      </w:r>
      <w:r w:rsidRPr="004E4C36">
        <w:rPr>
          <w:lang w:val="sl-SI"/>
        </w:rPr>
        <w:t>60,</w:t>
      </w:r>
      <w:r w:rsidRPr="004E4C36">
        <w:rPr>
          <w:spacing w:val="-11"/>
          <w:lang w:val="sl-SI"/>
        </w:rPr>
        <w:t xml:space="preserve"> </w:t>
      </w:r>
      <w:r w:rsidRPr="004E4C36">
        <w:rPr>
          <w:lang w:val="sl-SI"/>
        </w:rPr>
        <w:t>90</w:t>
      </w:r>
      <w:r w:rsidRPr="004E4C36">
        <w:rPr>
          <w:spacing w:val="-11"/>
          <w:lang w:val="sl-SI"/>
        </w:rPr>
        <w:t xml:space="preserve"> </w:t>
      </w:r>
      <w:r w:rsidRPr="004E4C36">
        <w:rPr>
          <w:lang w:val="sl-SI"/>
        </w:rPr>
        <w:t>ali</w:t>
      </w:r>
      <w:r w:rsidRPr="004E4C36">
        <w:rPr>
          <w:spacing w:val="-11"/>
          <w:lang w:val="sl-SI"/>
        </w:rPr>
        <w:t xml:space="preserve"> </w:t>
      </w:r>
      <w:r w:rsidRPr="004E4C36">
        <w:rPr>
          <w:lang w:val="sl-SI"/>
        </w:rPr>
        <w:t>120</w:t>
      </w:r>
      <w:r w:rsidRPr="004E4C36">
        <w:rPr>
          <w:spacing w:val="-11"/>
          <w:lang w:val="sl-SI"/>
        </w:rPr>
        <w:t xml:space="preserve"> </w:t>
      </w:r>
      <w:r w:rsidRPr="004E4C36">
        <w:rPr>
          <w:lang w:val="sl-SI"/>
        </w:rPr>
        <w:t>kreditnimi</w:t>
      </w:r>
      <w:r w:rsidRPr="004E4C36">
        <w:rPr>
          <w:spacing w:val="-11"/>
          <w:lang w:val="sl-SI"/>
        </w:rPr>
        <w:t xml:space="preserve"> </w:t>
      </w:r>
      <w:r w:rsidRPr="004E4C36">
        <w:rPr>
          <w:lang w:val="sl-SI"/>
        </w:rPr>
        <w:t>točkami</w:t>
      </w:r>
      <w:r w:rsidRPr="004E4C36">
        <w:rPr>
          <w:spacing w:val="-11"/>
          <w:lang w:val="sl-SI"/>
        </w:rPr>
        <w:t xml:space="preserve"> </w:t>
      </w:r>
      <w:r w:rsidRPr="004E4C36">
        <w:rPr>
          <w:lang w:val="sl-SI"/>
        </w:rPr>
        <w:t>ECTS,</w:t>
      </w:r>
      <w:r w:rsidRPr="004E4C36">
        <w:rPr>
          <w:spacing w:val="-11"/>
          <w:lang w:val="sl-SI"/>
        </w:rPr>
        <w:t xml:space="preserve"> </w:t>
      </w:r>
      <w:r w:rsidRPr="004E4C36">
        <w:rPr>
          <w:lang w:val="sl-SI"/>
        </w:rPr>
        <w:t>ki</w:t>
      </w:r>
      <w:r w:rsidRPr="004E4C36">
        <w:rPr>
          <w:spacing w:val="-11"/>
          <w:lang w:val="sl-SI"/>
        </w:rPr>
        <w:t xml:space="preserve"> </w:t>
      </w:r>
      <w:r w:rsidRPr="004E4C36">
        <w:rPr>
          <w:lang w:val="sl-SI"/>
        </w:rPr>
        <w:t>ga organizira mednarodni konzorcij visokošolskih institucij s sodelovanjem vabljenih znanstvenikov (gostujoči predavatelji) za namene poučevanja, usposabljanja in/ali raziskovanja;</w:t>
      </w:r>
    </w:p>
    <w:p w14:paraId="7D398F6B" w14:textId="77777777" w:rsidR="00E03711" w:rsidRPr="004E4C36" w:rsidRDefault="00E03711" w:rsidP="00860232">
      <w:pPr>
        <w:pStyle w:val="Guide-ListDash"/>
        <w:rPr>
          <w:lang w:val="sl-SI"/>
        </w:rPr>
      </w:pPr>
      <w:r w:rsidRPr="004E4C36">
        <w:rPr>
          <w:lang w:val="sl-SI"/>
        </w:rPr>
        <w:t>dodeljevanje štipendij odličnim študentom po vsem svetu za njihovo udeležbo v enem od teh programov EMJMD.</w:t>
      </w:r>
    </w:p>
    <w:p w14:paraId="7D398F6C" w14:textId="77777777" w:rsidR="00E03711" w:rsidRPr="001048FE" w:rsidRDefault="00E03711" w:rsidP="0048106A">
      <w:pPr>
        <w:pStyle w:val="Guide-Heading5"/>
        <w:rPr>
          <w:lang w:val="sl-SI"/>
        </w:rPr>
      </w:pPr>
      <w:r w:rsidRPr="001048FE">
        <w:rPr>
          <w:lang w:val="sl-SI"/>
        </w:rPr>
        <w:t>Kakšna je vloga organizacij, ki sodelujejo v skupnem magistrskem študiju Erasmus Mundus?</w:t>
      </w:r>
    </w:p>
    <w:p w14:paraId="7D398F6D" w14:textId="77777777" w:rsidR="00E03711" w:rsidRPr="001048FE" w:rsidRDefault="00E03711" w:rsidP="005E4295">
      <w:pPr>
        <w:pStyle w:val="GUIDE-NORMAL"/>
        <w:rPr>
          <w:lang w:val="sl-SI"/>
        </w:rPr>
      </w:pPr>
      <w:r w:rsidRPr="001048FE">
        <w:rPr>
          <w:lang w:val="sl-SI"/>
        </w:rPr>
        <w:t>Programe EMJMD izvaja mednarodni konzorcij visokošolskih institucij in, kadar je to ustrezno, druge vrste organizacij (podjetja, javni organi, raziskovalne organizacije itd.), ki prispevajo k izvajanju EMJMD.</w:t>
      </w:r>
    </w:p>
    <w:p w14:paraId="7D398F6E" w14:textId="77777777" w:rsidR="00E03711" w:rsidRPr="001048FE" w:rsidRDefault="00E03711" w:rsidP="005E4295">
      <w:pPr>
        <w:pStyle w:val="GUIDE-NORMAL"/>
        <w:rPr>
          <w:lang w:val="sl-SI"/>
        </w:rPr>
      </w:pPr>
      <w:r w:rsidRPr="001048FE">
        <w:rPr>
          <w:lang w:val="sl-SI"/>
        </w:rPr>
        <w:t>Konzorcij EMJMD je sestavljen iz:</w:t>
      </w:r>
    </w:p>
    <w:p w14:paraId="7D398F6F" w14:textId="77777777" w:rsidR="00E03711" w:rsidRPr="001048FE" w:rsidRDefault="00E03711" w:rsidP="005115F2">
      <w:pPr>
        <w:pStyle w:val="Guide-NormalBulletpoints"/>
        <w:numPr>
          <w:ilvl w:val="0"/>
          <w:numId w:val="243"/>
        </w:numPr>
        <w:rPr>
          <w:lang w:val="sl-SI"/>
        </w:rPr>
      </w:pPr>
      <w:r w:rsidRPr="001048FE">
        <w:rPr>
          <w:lang w:val="sl-SI"/>
        </w:rPr>
        <w:t>prijavitelja/koordinatorja: visokošolska institucija s sedežem v državi Programa, ki odda predlog projekta v imenu vseh partnerjev. Ko je EMJMD odobren, prijavitelj/koordinator postane</w:t>
      </w:r>
      <w:r w:rsidRPr="001048FE">
        <w:rPr>
          <w:spacing w:val="-15"/>
          <w:lang w:val="sl-SI"/>
        </w:rPr>
        <w:t xml:space="preserve"> </w:t>
      </w:r>
      <w:r w:rsidRPr="001048FE">
        <w:rPr>
          <w:lang w:val="sl-SI"/>
        </w:rPr>
        <w:t>glavni</w:t>
      </w:r>
      <w:r w:rsidRPr="001048FE">
        <w:rPr>
          <w:spacing w:val="-15"/>
          <w:lang w:val="sl-SI"/>
        </w:rPr>
        <w:t xml:space="preserve"> </w:t>
      </w:r>
      <w:r w:rsidRPr="001048FE">
        <w:rPr>
          <w:lang w:val="sl-SI"/>
        </w:rPr>
        <w:t>upravičenec</w:t>
      </w:r>
      <w:r w:rsidRPr="001048FE">
        <w:rPr>
          <w:spacing w:val="-15"/>
          <w:lang w:val="sl-SI"/>
        </w:rPr>
        <w:t xml:space="preserve"> </w:t>
      </w:r>
      <w:r w:rsidRPr="001048FE">
        <w:rPr>
          <w:lang w:val="sl-SI"/>
        </w:rPr>
        <w:t>nepovratnih</w:t>
      </w:r>
      <w:r w:rsidRPr="001048FE">
        <w:rPr>
          <w:spacing w:val="-15"/>
          <w:lang w:val="sl-SI"/>
        </w:rPr>
        <w:t xml:space="preserve"> </w:t>
      </w:r>
      <w:r w:rsidRPr="001048FE">
        <w:rPr>
          <w:lang w:val="sl-SI"/>
        </w:rPr>
        <w:t>sredstev</w:t>
      </w:r>
      <w:r w:rsidRPr="001048FE">
        <w:rPr>
          <w:spacing w:val="-15"/>
          <w:lang w:val="sl-SI"/>
        </w:rPr>
        <w:t xml:space="preserve"> </w:t>
      </w:r>
      <w:r w:rsidRPr="001048FE">
        <w:rPr>
          <w:lang w:val="sl-SI"/>
        </w:rPr>
        <w:t>EU</w:t>
      </w:r>
      <w:r w:rsidRPr="001048FE">
        <w:rPr>
          <w:spacing w:val="-15"/>
          <w:lang w:val="sl-SI"/>
        </w:rPr>
        <w:t xml:space="preserve"> </w:t>
      </w:r>
      <w:r w:rsidRPr="001048FE">
        <w:rPr>
          <w:lang w:val="sl-SI"/>
        </w:rPr>
        <w:t>in</w:t>
      </w:r>
      <w:r w:rsidRPr="001048FE">
        <w:rPr>
          <w:spacing w:val="-15"/>
          <w:lang w:val="sl-SI"/>
        </w:rPr>
        <w:t xml:space="preserve"> </w:t>
      </w:r>
      <w:r w:rsidRPr="001048FE">
        <w:rPr>
          <w:lang w:val="sl-SI"/>
        </w:rPr>
        <w:t>podpiše</w:t>
      </w:r>
      <w:r w:rsidRPr="001048FE">
        <w:rPr>
          <w:spacing w:val="-15"/>
          <w:lang w:val="sl-SI"/>
        </w:rPr>
        <w:t xml:space="preserve"> </w:t>
      </w:r>
      <w:r w:rsidRPr="001048FE">
        <w:rPr>
          <w:lang w:val="sl-SI"/>
        </w:rPr>
        <w:t>sporazum</w:t>
      </w:r>
      <w:r w:rsidRPr="001048FE">
        <w:rPr>
          <w:spacing w:val="-15"/>
          <w:lang w:val="sl-SI"/>
        </w:rPr>
        <w:t xml:space="preserve"> </w:t>
      </w:r>
      <w:r w:rsidRPr="001048FE">
        <w:rPr>
          <w:lang w:val="sl-SI"/>
        </w:rPr>
        <w:t>o</w:t>
      </w:r>
      <w:r w:rsidRPr="001048FE">
        <w:rPr>
          <w:spacing w:val="-14"/>
          <w:lang w:val="sl-SI"/>
        </w:rPr>
        <w:t xml:space="preserve"> </w:t>
      </w:r>
      <w:r w:rsidRPr="001048FE">
        <w:rPr>
          <w:lang w:val="sl-SI"/>
        </w:rPr>
        <w:t>nepovratnih sredstvih</w:t>
      </w:r>
      <w:r w:rsidRPr="001048FE">
        <w:rPr>
          <w:spacing w:val="-18"/>
          <w:lang w:val="sl-SI"/>
        </w:rPr>
        <w:t xml:space="preserve"> </w:t>
      </w:r>
      <w:r w:rsidRPr="001048FE">
        <w:rPr>
          <w:lang w:val="sl-SI"/>
        </w:rPr>
        <w:t>za</w:t>
      </w:r>
      <w:r w:rsidRPr="001048FE">
        <w:rPr>
          <w:spacing w:val="-18"/>
          <w:lang w:val="sl-SI"/>
        </w:rPr>
        <w:t xml:space="preserve"> </w:t>
      </w:r>
      <w:r w:rsidRPr="001048FE">
        <w:rPr>
          <w:lang w:val="sl-SI"/>
        </w:rPr>
        <w:t>več</w:t>
      </w:r>
      <w:r w:rsidRPr="001048FE">
        <w:rPr>
          <w:spacing w:val="-18"/>
          <w:lang w:val="sl-SI"/>
        </w:rPr>
        <w:t xml:space="preserve"> </w:t>
      </w:r>
      <w:r w:rsidRPr="001048FE">
        <w:rPr>
          <w:lang w:val="sl-SI"/>
        </w:rPr>
        <w:t>upravičencev</w:t>
      </w:r>
      <w:r w:rsidRPr="001048FE">
        <w:rPr>
          <w:spacing w:val="-18"/>
          <w:lang w:val="sl-SI"/>
        </w:rPr>
        <w:t xml:space="preserve"> </w:t>
      </w:r>
      <w:r w:rsidRPr="001048FE">
        <w:rPr>
          <w:lang w:val="sl-SI"/>
        </w:rPr>
        <w:t>v</w:t>
      </w:r>
      <w:r w:rsidRPr="001048FE">
        <w:rPr>
          <w:spacing w:val="-18"/>
          <w:lang w:val="sl-SI"/>
        </w:rPr>
        <w:t xml:space="preserve"> </w:t>
      </w:r>
      <w:r w:rsidRPr="001048FE">
        <w:rPr>
          <w:lang w:val="sl-SI"/>
        </w:rPr>
        <w:t>imenu</w:t>
      </w:r>
      <w:r w:rsidRPr="001048FE">
        <w:rPr>
          <w:spacing w:val="-18"/>
          <w:lang w:val="sl-SI"/>
        </w:rPr>
        <w:t xml:space="preserve"> </w:t>
      </w:r>
      <w:r w:rsidRPr="001048FE">
        <w:rPr>
          <w:lang w:val="sl-SI"/>
        </w:rPr>
        <w:t>konzorcija</w:t>
      </w:r>
      <w:r w:rsidRPr="001048FE">
        <w:rPr>
          <w:spacing w:val="-18"/>
          <w:lang w:val="sl-SI"/>
        </w:rPr>
        <w:t xml:space="preserve"> </w:t>
      </w:r>
      <w:r w:rsidRPr="001048FE">
        <w:rPr>
          <w:lang w:val="sl-SI"/>
        </w:rPr>
        <w:t>EMJMD.</w:t>
      </w:r>
      <w:r w:rsidRPr="001048FE">
        <w:rPr>
          <w:spacing w:val="-18"/>
          <w:lang w:val="sl-SI"/>
        </w:rPr>
        <w:t xml:space="preserve"> </w:t>
      </w:r>
      <w:r w:rsidRPr="001048FE">
        <w:rPr>
          <w:lang w:val="sl-SI"/>
        </w:rPr>
        <w:t>Njegovo</w:t>
      </w:r>
      <w:r w:rsidRPr="001048FE">
        <w:rPr>
          <w:spacing w:val="-18"/>
          <w:lang w:val="sl-SI"/>
        </w:rPr>
        <w:t xml:space="preserve"> </w:t>
      </w:r>
      <w:r w:rsidRPr="001048FE">
        <w:rPr>
          <w:lang w:val="sl-SI"/>
        </w:rPr>
        <w:t>koordiniranje</w:t>
      </w:r>
      <w:r w:rsidRPr="001048FE">
        <w:rPr>
          <w:spacing w:val="-18"/>
          <w:lang w:val="sl-SI"/>
        </w:rPr>
        <w:t xml:space="preserve"> </w:t>
      </w:r>
      <w:r w:rsidRPr="001048FE">
        <w:rPr>
          <w:lang w:val="sl-SI"/>
        </w:rPr>
        <w:t>zajema naslednje</w:t>
      </w:r>
      <w:r w:rsidRPr="001048FE">
        <w:rPr>
          <w:spacing w:val="-3"/>
          <w:lang w:val="sl-SI"/>
        </w:rPr>
        <w:t xml:space="preserve"> </w:t>
      </w:r>
      <w:r w:rsidRPr="001048FE">
        <w:rPr>
          <w:lang w:val="sl-SI"/>
        </w:rPr>
        <w:t>dolžnosti:</w:t>
      </w:r>
    </w:p>
    <w:p w14:paraId="7D398F70" w14:textId="77777777" w:rsidR="00E03711" w:rsidRPr="001048FE" w:rsidRDefault="00E03711" w:rsidP="00965051">
      <w:pPr>
        <w:pStyle w:val="Guide-ListDash"/>
        <w:numPr>
          <w:ilvl w:val="1"/>
          <w:numId w:val="52"/>
        </w:numPr>
        <w:rPr>
          <w:lang w:val="sl-SI"/>
        </w:rPr>
      </w:pPr>
      <w:r w:rsidRPr="001048FE">
        <w:rPr>
          <w:lang w:val="sl-SI"/>
        </w:rPr>
        <w:t>predstavlja skupino sodelujočih organizacij in deluje v njenem imenu v razmerju do Evropske komisije;</w:t>
      </w:r>
    </w:p>
    <w:p w14:paraId="7D398F71" w14:textId="77777777" w:rsidR="00E03711" w:rsidRPr="001048FE" w:rsidRDefault="00E03711" w:rsidP="00965051">
      <w:pPr>
        <w:pStyle w:val="Guide-ListDash"/>
        <w:numPr>
          <w:ilvl w:val="1"/>
          <w:numId w:val="52"/>
        </w:numPr>
        <w:rPr>
          <w:lang w:val="sl-SI"/>
        </w:rPr>
      </w:pPr>
      <w:r w:rsidRPr="001048FE">
        <w:rPr>
          <w:lang w:val="sl-SI"/>
        </w:rPr>
        <w:t>nosi finančno in pravno odgovornost za primerno operativno, administrativno in finančno izvajanje celotnega projekta;</w:t>
      </w:r>
    </w:p>
    <w:p w14:paraId="7D398F72" w14:textId="77777777" w:rsidR="00E03711" w:rsidRPr="001048FE" w:rsidRDefault="00E03711" w:rsidP="00965051">
      <w:pPr>
        <w:pStyle w:val="Guide-ListDash"/>
        <w:numPr>
          <w:ilvl w:val="1"/>
          <w:numId w:val="52"/>
        </w:numPr>
        <w:rPr>
          <w:lang w:val="sl-SI"/>
        </w:rPr>
      </w:pPr>
      <w:r w:rsidRPr="001048FE">
        <w:rPr>
          <w:lang w:val="sl-SI"/>
        </w:rPr>
        <w:t>koordinira EMJMD v sodelovanju z vsemi drugimi partnerji</w:t>
      </w:r>
      <w:r w:rsidRPr="001048FE">
        <w:rPr>
          <w:spacing w:val="57"/>
          <w:lang w:val="sl-SI"/>
        </w:rPr>
        <w:t xml:space="preserve"> </w:t>
      </w:r>
      <w:r w:rsidRPr="001048FE">
        <w:rPr>
          <w:lang w:val="sl-SI"/>
        </w:rPr>
        <w:t>projekta;</w:t>
      </w:r>
    </w:p>
    <w:p w14:paraId="7D398F73" w14:textId="77777777" w:rsidR="00E03711" w:rsidRPr="004E4C36" w:rsidRDefault="00E03711" w:rsidP="005115F2">
      <w:pPr>
        <w:pStyle w:val="Guide-NormalBulletpoints"/>
        <w:numPr>
          <w:ilvl w:val="0"/>
          <w:numId w:val="243"/>
        </w:numPr>
        <w:rPr>
          <w:lang w:val="sl-SI"/>
        </w:rPr>
      </w:pPr>
      <w:r w:rsidRPr="00860232">
        <w:rPr>
          <w:lang w:val="sl-SI"/>
        </w:rPr>
        <w:t>partnerjev</w:t>
      </w:r>
      <w:r w:rsidRPr="004E4C36">
        <w:rPr>
          <w:lang w:val="sl-SI"/>
        </w:rPr>
        <w:t>: visokošolske institucije, ki podeljujejo diplome, in jih kot take priznavajo ustrezni organi države Programa ali partnerske države, v kateri imajo te institucije sedež, in kakršne koli zasebne ali javne organizacije, ki aktivno prispevajo k pripravi, izvajanju in ocenjevanju programa EMJMD. Vsak partner mora podpisati mandat (pooblastilo), s katerim podpisnik pooblasti koordinatorja, da med izvajanjem projekta deluje v njegovem imenu;</w:t>
      </w:r>
    </w:p>
    <w:p w14:paraId="7D398F74" w14:textId="77777777" w:rsidR="00E03711" w:rsidRPr="001048FE" w:rsidRDefault="00E03711" w:rsidP="005115F2">
      <w:pPr>
        <w:pStyle w:val="Guide-NormalBulletpoints"/>
        <w:numPr>
          <w:ilvl w:val="0"/>
          <w:numId w:val="243"/>
        </w:numPr>
        <w:rPr>
          <w:lang w:val="sl-SI"/>
        </w:rPr>
      </w:pPr>
      <w:r w:rsidRPr="001048FE">
        <w:rPr>
          <w:lang w:val="sl-SI"/>
        </w:rPr>
        <w:t>pridruženih partnerjev (izbirno): poleg tega lahko študijski program EMJMD izkoristi tudi sodelovanje s pridruženimi partnerji. Te organizacije posredno prispevajo k izvajanju posebnih nalog/aktivnosti in/ali podpirajo razširjanje in trajnost programa EMJMD. Njihov prispevek je lahko v obliki prenosa spretnosti in znanj, zagotavljanja dopolnilnih programov ali podpiranja možnosti za napotitev ali prakso. Za vprašanja glede upravljanja sporazuma se „pridruženi partnerji“ ne štejejo za del konzorcija EMJMD, ker imajo bolj omejeno vlogo pri izvajanju programa EMJMD, saj se njihovo strokovno znanje uporablja priložnostno;</w:t>
      </w:r>
    </w:p>
    <w:p w14:paraId="7D398F75" w14:textId="77777777" w:rsidR="00E03711" w:rsidRPr="001048FE" w:rsidRDefault="00E03711" w:rsidP="005115F2">
      <w:pPr>
        <w:pStyle w:val="Guide-NormalBulletpoints"/>
        <w:numPr>
          <w:ilvl w:val="0"/>
          <w:numId w:val="243"/>
        </w:numPr>
        <w:rPr>
          <w:lang w:val="sl-SI"/>
        </w:rPr>
      </w:pPr>
      <w:r w:rsidRPr="001048FE">
        <w:rPr>
          <w:lang w:val="sl-SI"/>
        </w:rPr>
        <w:t>povezanih subjektov (izbirno): organizacije, ki prispevajo k doseganju ciljev in izvajanju aktivnosti projekta. Povezani subjekti morajo biti opredeljeni v vlogi za nepovratna sredstva in morajo izpolnjevati zahteve iz Priloge III (Glosar pojmov) tega vodnika za prijavitelje.</w:t>
      </w:r>
    </w:p>
    <w:p w14:paraId="7D398F76" w14:textId="77777777" w:rsidR="00E03711" w:rsidRPr="00FC4A70" w:rsidRDefault="00E03711" w:rsidP="00FC4A70">
      <w:pPr>
        <w:pStyle w:val="Guide-NormalBulletpoints"/>
        <w:ind w:left="720"/>
        <w:rPr>
          <w:rFonts w:eastAsia="Calibri"/>
          <w:bdr w:val="nil"/>
          <w:lang w:val="sl-SI"/>
        </w:rPr>
      </w:pPr>
    </w:p>
    <w:p w14:paraId="7D398F77" w14:textId="77777777" w:rsidR="00E03711" w:rsidRPr="00FC4A70" w:rsidRDefault="00E03711" w:rsidP="00FC4A70">
      <w:pPr>
        <w:pStyle w:val="Guide-NormalBulletpoints"/>
        <w:rPr>
          <w:rFonts w:eastAsia="Calibri"/>
          <w:vanish/>
          <w:bdr w:val="nil"/>
          <w:lang w:val="sl-SI"/>
        </w:rPr>
      </w:pPr>
      <w:r>
        <w:rPr>
          <w:rFonts w:eastAsia="Calibri" w:cs="Calibri"/>
          <w:bdr w:val="nil"/>
          <w:lang w:val="sl-SI"/>
        </w:rPr>
        <w:t>Visokošolske institucije iz držav Programa morajo biti sposobne fizično gostiti študente programa EMJMD in zagotoviti vsaj najmanjše število kreditnih točk ECTS (European Credit Transfer and Accumulation System [evropski sistem prenašanja kreditnih točk]) za obdobje študija, ki ga študenti preživijo v njihovi instituciji.</w:t>
      </w:r>
    </w:p>
    <w:p w14:paraId="7D398F78" w14:textId="77777777" w:rsidR="00E03711" w:rsidRPr="006E61F8" w:rsidRDefault="00E03711" w:rsidP="00FC4A70">
      <w:pPr>
        <w:pStyle w:val="Guide-NormalBulletpoints"/>
        <w:rPr>
          <w:lang w:val="sl-SI"/>
        </w:rPr>
      </w:pPr>
      <w:r w:rsidRPr="006E61F8">
        <w:rPr>
          <w:rFonts w:eastAsia="Calibri"/>
          <w:bdr w:val="nil"/>
          <w:lang w:val="sl-SI"/>
        </w:rPr>
        <w:t>Vse partnerske organizacije Programa ali partnerskih držav morajo biti identificirane ob prijavi za nepovratna sredstva.</w:t>
      </w:r>
    </w:p>
    <w:p w14:paraId="7D398F79" w14:textId="77777777" w:rsidR="00E03711" w:rsidRPr="001048FE" w:rsidRDefault="00E03711" w:rsidP="005E4295">
      <w:pPr>
        <w:pStyle w:val="GUIDE-NORMAL"/>
        <w:rPr>
          <w:lang w:val="sl-SI"/>
        </w:rPr>
      </w:pPr>
      <w:r w:rsidRPr="001048FE">
        <w:rPr>
          <w:lang w:val="sl-SI"/>
        </w:rPr>
        <w:t>Zahtevana</w:t>
      </w:r>
      <w:r w:rsidRPr="001048FE">
        <w:rPr>
          <w:spacing w:val="-14"/>
          <w:lang w:val="sl-SI"/>
        </w:rPr>
        <w:t xml:space="preserve"> </w:t>
      </w:r>
      <w:r w:rsidRPr="001048FE">
        <w:rPr>
          <w:lang w:val="sl-SI"/>
        </w:rPr>
        <w:t>institucionalna</w:t>
      </w:r>
      <w:r w:rsidRPr="001048FE">
        <w:rPr>
          <w:spacing w:val="-14"/>
          <w:lang w:val="sl-SI"/>
        </w:rPr>
        <w:t xml:space="preserve"> </w:t>
      </w:r>
      <w:r w:rsidRPr="001048FE">
        <w:rPr>
          <w:lang w:val="sl-SI"/>
        </w:rPr>
        <w:t>zavezanost</w:t>
      </w:r>
      <w:r w:rsidRPr="001048FE">
        <w:rPr>
          <w:spacing w:val="-14"/>
          <w:lang w:val="sl-SI"/>
        </w:rPr>
        <w:t xml:space="preserve"> </w:t>
      </w:r>
      <w:r w:rsidRPr="001048FE">
        <w:rPr>
          <w:lang w:val="sl-SI"/>
        </w:rPr>
        <w:t>vseh</w:t>
      </w:r>
      <w:r w:rsidRPr="001048FE">
        <w:rPr>
          <w:spacing w:val="-14"/>
          <w:lang w:val="sl-SI"/>
        </w:rPr>
        <w:t xml:space="preserve"> </w:t>
      </w:r>
      <w:r w:rsidRPr="001048FE">
        <w:rPr>
          <w:lang w:val="sl-SI"/>
        </w:rPr>
        <w:t>organizacij,</w:t>
      </w:r>
      <w:r w:rsidRPr="001048FE">
        <w:rPr>
          <w:spacing w:val="-13"/>
          <w:lang w:val="sl-SI"/>
        </w:rPr>
        <w:t xml:space="preserve"> </w:t>
      </w:r>
      <w:r w:rsidRPr="001048FE">
        <w:rPr>
          <w:lang w:val="sl-SI"/>
        </w:rPr>
        <w:t>ki</w:t>
      </w:r>
      <w:r w:rsidRPr="001048FE">
        <w:rPr>
          <w:spacing w:val="-14"/>
          <w:lang w:val="sl-SI"/>
        </w:rPr>
        <w:t xml:space="preserve"> </w:t>
      </w:r>
      <w:r w:rsidRPr="001048FE">
        <w:rPr>
          <w:lang w:val="sl-SI"/>
        </w:rPr>
        <w:t>sodelujejo</w:t>
      </w:r>
      <w:r w:rsidRPr="001048FE">
        <w:rPr>
          <w:spacing w:val="-14"/>
          <w:lang w:val="sl-SI"/>
        </w:rPr>
        <w:t xml:space="preserve"> </w:t>
      </w:r>
      <w:r w:rsidRPr="001048FE">
        <w:rPr>
          <w:lang w:val="sl-SI"/>
        </w:rPr>
        <w:t>v</w:t>
      </w:r>
      <w:r w:rsidRPr="001048FE">
        <w:rPr>
          <w:spacing w:val="-14"/>
          <w:lang w:val="sl-SI"/>
        </w:rPr>
        <w:t xml:space="preserve"> </w:t>
      </w:r>
      <w:r w:rsidRPr="001048FE">
        <w:rPr>
          <w:lang w:val="sl-SI"/>
        </w:rPr>
        <w:t>konzorciju</w:t>
      </w:r>
      <w:r w:rsidRPr="001048FE">
        <w:rPr>
          <w:spacing w:val="-14"/>
          <w:lang w:val="sl-SI"/>
        </w:rPr>
        <w:t xml:space="preserve"> </w:t>
      </w:r>
      <w:r w:rsidRPr="001048FE">
        <w:rPr>
          <w:lang w:val="sl-SI"/>
        </w:rPr>
        <w:t>EMJMD,</w:t>
      </w:r>
      <w:r w:rsidRPr="001048FE">
        <w:rPr>
          <w:spacing w:val="-14"/>
          <w:lang w:val="sl-SI"/>
        </w:rPr>
        <w:t xml:space="preserve"> </w:t>
      </w:r>
      <w:r w:rsidRPr="001048FE">
        <w:rPr>
          <w:lang w:val="sl-SI"/>
        </w:rPr>
        <w:t>mora</w:t>
      </w:r>
      <w:r w:rsidRPr="001048FE">
        <w:rPr>
          <w:spacing w:val="-14"/>
          <w:lang w:val="sl-SI"/>
        </w:rPr>
        <w:t xml:space="preserve"> </w:t>
      </w:r>
      <w:r w:rsidRPr="001048FE">
        <w:rPr>
          <w:lang w:val="sl-SI"/>
        </w:rPr>
        <w:t>biti zagotovljena</w:t>
      </w:r>
      <w:r w:rsidRPr="001048FE">
        <w:rPr>
          <w:spacing w:val="-11"/>
          <w:lang w:val="sl-SI"/>
        </w:rPr>
        <w:t xml:space="preserve"> </w:t>
      </w:r>
      <w:r w:rsidRPr="001048FE">
        <w:rPr>
          <w:lang w:val="sl-SI"/>
        </w:rPr>
        <w:t>pred</w:t>
      </w:r>
      <w:r w:rsidRPr="001048FE">
        <w:rPr>
          <w:spacing w:val="-11"/>
          <w:lang w:val="sl-SI"/>
        </w:rPr>
        <w:t xml:space="preserve"> </w:t>
      </w:r>
      <w:r w:rsidRPr="001048FE">
        <w:rPr>
          <w:lang w:val="sl-SI"/>
        </w:rPr>
        <w:t>vpisom</w:t>
      </w:r>
      <w:r w:rsidRPr="001048FE">
        <w:rPr>
          <w:spacing w:val="-11"/>
          <w:lang w:val="sl-SI"/>
        </w:rPr>
        <w:t xml:space="preserve"> </w:t>
      </w:r>
      <w:r w:rsidRPr="001048FE">
        <w:rPr>
          <w:lang w:val="sl-SI"/>
        </w:rPr>
        <w:t>prvih</w:t>
      </w:r>
      <w:r w:rsidRPr="001048FE">
        <w:rPr>
          <w:spacing w:val="-11"/>
          <w:lang w:val="sl-SI"/>
        </w:rPr>
        <w:t xml:space="preserve"> </w:t>
      </w:r>
      <w:r w:rsidRPr="001048FE">
        <w:rPr>
          <w:lang w:val="sl-SI"/>
        </w:rPr>
        <w:t>študentov</w:t>
      </w:r>
      <w:r w:rsidRPr="001048FE">
        <w:rPr>
          <w:spacing w:val="-11"/>
          <w:lang w:val="sl-SI"/>
        </w:rPr>
        <w:t xml:space="preserve"> </w:t>
      </w:r>
      <w:r w:rsidRPr="001048FE">
        <w:rPr>
          <w:lang w:val="sl-SI"/>
        </w:rPr>
        <w:t>v</w:t>
      </w:r>
      <w:r w:rsidRPr="001048FE">
        <w:rPr>
          <w:spacing w:val="-11"/>
          <w:lang w:val="sl-SI"/>
        </w:rPr>
        <w:t xml:space="preserve"> </w:t>
      </w:r>
      <w:r w:rsidRPr="001048FE">
        <w:rPr>
          <w:lang w:val="sl-SI"/>
        </w:rPr>
        <w:t>program</w:t>
      </w:r>
      <w:r w:rsidRPr="001048FE">
        <w:rPr>
          <w:spacing w:val="-11"/>
          <w:lang w:val="sl-SI"/>
        </w:rPr>
        <w:t xml:space="preserve"> </w:t>
      </w:r>
      <w:r w:rsidRPr="001048FE">
        <w:rPr>
          <w:lang w:val="sl-SI"/>
        </w:rPr>
        <w:t>EMJMD,</w:t>
      </w:r>
      <w:r w:rsidRPr="001048FE">
        <w:rPr>
          <w:spacing w:val="-11"/>
          <w:lang w:val="sl-SI"/>
        </w:rPr>
        <w:t xml:space="preserve"> </w:t>
      </w:r>
      <w:r w:rsidRPr="001048FE">
        <w:rPr>
          <w:lang w:val="sl-SI"/>
        </w:rPr>
        <w:t>da</w:t>
      </w:r>
      <w:r w:rsidRPr="001048FE">
        <w:rPr>
          <w:spacing w:val="-11"/>
          <w:lang w:val="sl-SI"/>
        </w:rPr>
        <w:t xml:space="preserve"> </w:t>
      </w:r>
      <w:r w:rsidRPr="001048FE">
        <w:rPr>
          <w:lang w:val="sl-SI"/>
        </w:rPr>
        <w:t>se</w:t>
      </w:r>
      <w:r w:rsidRPr="001048FE">
        <w:rPr>
          <w:spacing w:val="-11"/>
          <w:lang w:val="sl-SI"/>
        </w:rPr>
        <w:t xml:space="preserve"> </w:t>
      </w:r>
      <w:r w:rsidRPr="001048FE">
        <w:rPr>
          <w:lang w:val="sl-SI"/>
        </w:rPr>
        <w:t>zagotovita</w:t>
      </w:r>
      <w:r w:rsidRPr="001048FE">
        <w:rPr>
          <w:spacing w:val="-11"/>
          <w:lang w:val="sl-SI"/>
        </w:rPr>
        <w:t xml:space="preserve"> </w:t>
      </w:r>
      <w:r w:rsidRPr="001048FE">
        <w:rPr>
          <w:lang w:val="sl-SI"/>
        </w:rPr>
        <w:t>trdna</w:t>
      </w:r>
      <w:r w:rsidRPr="001048FE">
        <w:rPr>
          <w:spacing w:val="-11"/>
          <w:lang w:val="sl-SI"/>
        </w:rPr>
        <w:t xml:space="preserve"> </w:t>
      </w:r>
      <w:r w:rsidRPr="001048FE">
        <w:rPr>
          <w:lang w:val="sl-SI"/>
        </w:rPr>
        <w:t>institucionalna vključenost in podpora. Ključni instrument pri tem bo konzorcijski sporazum EMJMD (glej navodila in vzorce, ki so na voljo na spletišču Izvajalske agencije), ki ga morajo podpisati vse partnerske institucije pred začetkom oddaje prvih vlog za štipendijo in postopkom izbora. Ta konzorcijski sporazum EMJMD bo moral čim natančneje zajeti vse akademske, operativne, administrativne in finančne</w:t>
      </w:r>
      <w:r w:rsidRPr="001048FE">
        <w:rPr>
          <w:spacing w:val="-6"/>
          <w:lang w:val="sl-SI"/>
        </w:rPr>
        <w:t xml:space="preserve"> </w:t>
      </w:r>
      <w:r w:rsidRPr="001048FE">
        <w:rPr>
          <w:lang w:val="sl-SI"/>
        </w:rPr>
        <w:t>vidike,</w:t>
      </w:r>
      <w:r w:rsidRPr="001048FE">
        <w:rPr>
          <w:spacing w:val="-6"/>
          <w:lang w:val="sl-SI"/>
        </w:rPr>
        <w:t xml:space="preserve"> </w:t>
      </w:r>
      <w:r w:rsidRPr="001048FE">
        <w:rPr>
          <w:lang w:val="sl-SI"/>
        </w:rPr>
        <w:t>povezane</w:t>
      </w:r>
      <w:r w:rsidRPr="001048FE">
        <w:rPr>
          <w:spacing w:val="-6"/>
          <w:lang w:val="sl-SI"/>
        </w:rPr>
        <w:t xml:space="preserve"> </w:t>
      </w:r>
      <w:r w:rsidRPr="001048FE">
        <w:rPr>
          <w:lang w:val="sl-SI"/>
        </w:rPr>
        <w:t>z</w:t>
      </w:r>
      <w:r w:rsidRPr="001048FE">
        <w:rPr>
          <w:spacing w:val="-6"/>
          <w:lang w:val="sl-SI"/>
        </w:rPr>
        <w:t xml:space="preserve"> </w:t>
      </w:r>
      <w:r w:rsidRPr="001048FE">
        <w:rPr>
          <w:lang w:val="sl-SI"/>
        </w:rPr>
        <w:t>izvajanjem</w:t>
      </w:r>
      <w:r w:rsidRPr="001048FE">
        <w:rPr>
          <w:spacing w:val="-6"/>
          <w:lang w:val="sl-SI"/>
        </w:rPr>
        <w:t xml:space="preserve"> </w:t>
      </w:r>
      <w:r w:rsidRPr="001048FE">
        <w:rPr>
          <w:lang w:val="sl-SI"/>
        </w:rPr>
        <w:t>in</w:t>
      </w:r>
      <w:r w:rsidRPr="001048FE">
        <w:rPr>
          <w:spacing w:val="-6"/>
          <w:lang w:val="sl-SI"/>
        </w:rPr>
        <w:t xml:space="preserve"> </w:t>
      </w:r>
      <w:r w:rsidRPr="001048FE">
        <w:rPr>
          <w:lang w:val="sl-SI"/>
        </w:rPr>
        <w:t>upravljanjem</w:t>
      </w:r>
      <w:r w:rsidRPr="001048FE">
        <w:rPr>
          <w:spacing w:val="-6"/>
          <w:lang w:val="sl-SI"/>
        </w:rPr>
        <w:t xml:space="preserve"> </w:t>
      </w:r>
      <w:r w:rsidRPr="001048FE">
        <w:rPr>
          <w:lang w:val="sl-SI"/>
        </w:rPr>
        <w:t>štipendij</w:t>
      </w:r>
      <w:r w:rsidRPr="001048FE">
        <w:rPr>
          <w:spacing w:val="-6"/>
          <w:lang w:val="sl-SI"/>
        </w:rPr>
        <w:t xml:space="preserve"> </w:t>
      </w:r>
      <w:r w:rsidRPr="001048FE">
        <w:rPr>
          <w:lang w:val="sl-SI"/>
        </w:rPr>
        <w:t>programa</w:t>
      </w:r>
      <w:r w:rsidRPr="001048FE">
        <w:rPr>
          <w:spacing w:val="-6"/>
          <w:lang w:val="sl-SI"/>
        </w:rPr>
        <w:t xml:space="preserve"> </w:t>
      </w:r>
      <w:r w:rsidRPr="001048FE">
        <w:rPr>
          <w:lang w:val="sl-SI"/>
        </w:rPr>
        <w:t>EMJMD.</w:t>
      </w:r>
    </w:p>
    <w:p w14:paraId="7D398F7A" w14:textId="77777777" w:rsidR="00E03711" w:rsidRPr="001048FE" w:rsidRDefault="00E03711" w:rsidP="005E4295">
      <w:pPr>
        <w:pStyle w:val="Guide-Heading5"/>
        <w:rPr>
          <w:lang w:val="sl-SI"/>
        </w:rPr>
        <w:sectPr w:rsidR="00E03711" w:rsidRPr="001048FE" w:rsidSect="007F4890">
          <w:headerReference w:type="default" r:id="rId81"/>
          <w:endnotePr>
            <w:numFmt w:val="decimal"/>
          </w:endnotePr>
          <w:pgSz w:w="11910" w:h="16840" w:code="9"/>
          <w:pgMar w:top="1134" w:right="1418" w:bottom="1134" w:left="1418" w:header="283" w:footer="567" w:gutter="0"/>
          <w:cols w:space="720"/>
          <w:docGrid w:linePitch="326"/>
        </w:sectPr>
      </w:pPr>
    </w:p>
    <w:p w14:paraId="7D398F7B" w14:textId="77777777" w:rsidR="00E03711" w:rsidRPr="001048FE" w:rsidRDefault="00E03711" w:rsidP="005E4295">
      <w:pPr>
        <w:pStyle w:val="Guide-Heading5"/>
        <w:rPr>
          <w:lang w:val="sl-SI"/>
        </w:rPr>
      </w:pPr>
      <w:r w:rsidRPr="001048FE">
        <w:rPr>
          <w:lang w:val="sl-SI"/>
        </w:rPr>
        <w:t>Kakšna so merila za oceno skupnega magistrskega študija Erasmus Mundus?</w:t>
      </w:r>
    </w:p>
    <w:p w14:paraId="7D398F7C" w14:textId="77777777" w:rsidR="00E03711" w:rsidRPr="001048FE" w:rsidRDefault="00E03711" w:rsidP="005E4295">
      <w:pPr>
        <w:pStyle w:val="GUIDE-NORMAL"/>
        <w:rPr>
          <w:lang w:val="sl-SI"/>
        </w:rPr>
      </w:pPr>
      <w:r w:rsidRPr="001048FE">
        <w:rPr>
          <w:lang w:val="sl-SI"/>
        </w:rPr>
        <w:t>V</w:t>
      </w:r>
      <w:r w:rsidRPr="001048FE">
        <w:rPr>
          <w:spacing w:val="-11"/>
          <w:lang w:val="sl-SI"/>
        </w:rPr>
        <w:t xml:space="preserve"> </w:t>
      </w:r>
      <w:r w:rsidRPr="001048FE">
        <w:rPr>
          <w:lang w:val="sl-SI"/>
        </w:rPr>
        <w:t>nadaljevanju</w:t>
      </w:r>
      <w:r w:rsidRPr="001048FE">
        <w:rPr>
          <w:spacing w:val="-11"/>
          <w:lang w:val="sl-SI"/>
        </w:rPr>
        <w:t xml:space="preserve"> </w:t>
      </w:r>
      <w:r w:rsidRPr="001048FE">
        <w:rPr>
          <w:lang w:val="sl-SI"/>
        </w:rPr>
        <w:t>so</w:t>
      </w:r>
      <w:r w:rsidRPr="001048FE">
        <w:rPr>
          <w:spacing w:val="-11"/>
          <w:lang w:val="sl-SI"/>
        </w:rPr>
        <w:t xml:space="preserve"> </w:t>
      </w:r>
      <w:r w:rsidRPr="001048FE">
        <w:rPr>
          <w:lang w:val="sl-SI"/>
        </w:rPr>
        <w:t>navedena</w:t>
      </w:r>
      <w:r w:rsidRPr="001048FE">
        <w:rPr>
          <w:spacing w:val="-11"/>
          <w:lang w:val="sl-SI"/>
        </w:rPr>
        <w:t xml:space="preserve"> </w:t>
      </w:r>
      <w:r w:rsidRPr="001048FE">
        <w:rPr>
          <w:lang w:val="sl-SI"/>
        </w:rPr>
        <w:t>formalna</w:t>
      </w:r>
      <w:r w:rsidRPr="001048FE">
        <w:rPr>
          <w:spacing w:val="-11"/>
          <w:lang w:val="sl-SI"/>
        </w:rPr>
        <w:t xml:space="preserve"> </w:t>
      </w:r>
      <w:r w:rsidRPr="001048FE">
        <w:rPr>
          <w:lang w:val="sl-SI"/>
        </w:rPr>
        <w:t>merila,</w:t>
      </w:r>
      <w:r w:rsidRPr="001048FE">
        <w:rPr>
          <w:spacing w:val="-11"/>
          <w:lang w:val="sl-SI"/>
        </w:rPr>
        <w:t xml:space="preserve"> </w:t>
      </w:r>
      <w:r w:rsidRPr="001048FE">
        <w:rPr>
          <w:lang w:val="sl-SI"/>
        </w:rPr>
        <w:t>ki</w:t>
      </w:r>
      <w:r w:rsidRPr="001048FE">
        <w:rPr>
          <w:spacing w:val="-11"/>
          <w:lang w:val="sl-SI"/>
        </w:rPr>
        <w:t xml:space="preserve"> </w:t>
      </w:r>
      <w:r w:rsidRPr="001048FE">
        <w:rPr>
          <w:lang w:val="sl-SI"/>
        </w:rPr>
        <w:t>jih</w:t>
      </w:r>
      <w:r w:rsidRPr="001048FE">
        <w:rPr>
          <w:spacing w:val="-11"/>
          <w:lang w:val="sl-SI"/>
        </w:rPr>
        <w:t xml:space="preserve"> </w:t>
      </w:r>
      <w:r w:rsidRPr="001048FE">
        <w:rPr>
          <w:lang w:val="sl-SI"/>
        </w:rPr>
        <w:t>mora</w:t>
      </w:r>
      <w:r w:rsidRPr="001048FE">
        <w:rPr>
          <w:spacing w:val="-11"/>
          <w:lang w:val="sl-SI"/>
        </w:rPr>
        <w:t xml:space="preserve"> </w:t>
      </w:r>
      <w:r w:rsidRPr="001048FE">
        <w:rPr>
          <w:lang w:val="sl-SI"/>
        </w:rPr>
        <w:t>izpolniti</w:t>
      </w:r>
      <w:r w:rsidRPr="001048FE">
        <w:rPr>
          <w:spacing w:val="-11"/>
          <w:lang w:val="sl-SI"/>
        </w:rPr>
        <w:t xml:space="preserve"> </w:t>
      </w:r>
      <w:r w:rsidRPr="001048FE">
        <w:rPr>
          <w:lang w:val="sl-SI"/>
        </w:rPr>
        <w:t>EMJMD</w:t>
      </w:r>
      <w:r w:rsidRPr="001048FE">
        <w:rPr>
          <w:spacing w:val="-11"/>
          <w:lang w:val="sl-SI"/>
        </w:rPr>
        <w:t xml:space="preserve"> </w:t>
      </w:r>
      <w:r w:rsidRPr="001048FE">
        <w:rPr>
          <w:lang w:val="sl-SI"/>
        </w:rPr>
        <w:t>za</w:t>
      </w:r>
      <w:r w:rsidRPr="001048FE">
        <w:rPr>
          <w:spacing w:val="-11"/>
          <w:lang w:val="sl-SI"/>
        </w:rPr>
        <w:t xml:space="preserve"> </w:t>
      </w:r>
      <w:r w:rsidRPr="001048FE">
        <w:rPr>
          <w:lang w:val="sl-SI"/>
        </w:rPr>
        <w:t>upravičenost</w:t>
      </w:r>
      <w:r w:rsidRPr="001048FE">
        <w:rPr>
          <w:spacing w:val="-11"/>
          <w:lang w:val="sl-SI"/>
        </w:rPr>
        <w:t xml:space="preserve"> </w:t>
      </w:r>
      <w:r w:rsidRPr="001048FE">
        <w:rPr>
          <w:lang w:val="sl-SI"/>
        </w:rPr>
        <w:t>do nepovratnih sredstev</w:t>
      </w:r>
      <w:r w:rsidRPr="001048FE">
        <w:rPr>
          <w:spacing w:val="-5"/>
          <w:lang w:val="sl-SI"/>
        </w:rPr>
        <w:t xml:space="preserve"> </w:t>
      </w:r>
      <w:r w:rsidRPr="001048FE">
        <w:rPr>
          <w:lang w:val="sl-SI"/>
        </w:rPr>
        <w:t>Erasmus+:</w:t>
      </w:r>
    </w:p>
    <w:p w14:paraId="7D398F7D" w14:textId="77777777" w:rsidR="00E03711" w:rsidRPr="00FC4A70" w:rsidRDefault="00E03711" w:rsidP="00F15339">
      <w:pPr>
        <w:pStyle w:val="Guide-Heading6"/>
      </w:pPr>
      <w:r w:rsidRPr="00FC4A70">
        <w:rPr>
          <w:rFonts w:eastAsia="Calibri" w:cs="Calibri"/>
          <w:bCs/>
          <w:szCs w:val="20"/>
          <w:bdr w:val="nil"/>
          <w:lang w:val="sl-SI"/>
        </w:rPr>
        <w:t>Merila za upravičenost</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4"/>
        <w:gridCol w:w="7218"/>
      </w:tblGrid>
      <w:tr w:rsidR="00E03711" w:rsidRPr="00383EF8" w14:paraId="7D398F89" w14:textId="77777777" w:rsidTr="00205B48">
        <w:trPr>
          <w:cantSplit/>
        </w:trPr>
        <w:tc>
          <w:tcPr>
            <w:tcW w:w="1116" w:type="pct"/>
            <w:shd w:val="clear" w:color="auto" w:fill="FFFFFF"/>
            <w:vAlign w:val="center"/>
          </w:tcPr>
          <w:p w14:paraId="7D398F7E" w14:textId="77777777" w:rsidR="00E03711" w:rsidRPr="00FC4A70" w:rsidRDefault="00E03711" w:rsidP="00205B48">
            <w:pPr>
              <w:spacing w:before="40" w:after="40"/>
              <w:rPr>
                <w:b/>
                <w:sz w:val="18"/>
                <w:szCs w:val="18"/>
                <w:lang w:val="en-GB"/>
              </w:rPr>
            </w:pPr>
            <w:r w:rsidRPr="00FC4A70">
              <w:rPr>
                <w:rFonts w:eastAsia="Calibri" w:cs="Calibri"/>
                <w:b/>
                <w:bCs/>
                <w:sz w:val="18"/>
                <w:szCs w:val="18"/>
                <w:bdr w:val="nil"/>
                <w:lang w:val="sl-SI"/>
              </w:rPr>
              <w:t>Upravičene sodelujoče organizacije</w:t>
            </w:r>
          </w:p>
        </w:tc>
        <w:tc>
          <w:tcPr>
            <w:tcW w:w="3884" w:type="pct"/>
            <w:shd w:val="clear" w:color="auto" w:fill="FFFFFF"/>
          </w:tcPr>
          <w:p w14:paraId="7D398F7F" w14:textId="77777777" w:rsidR="00E03711" w:rsidRPr="00FC4A70" w:rsidRDefault="00E03711" w:rsidP="00A13051">
            <w:pPr>
              <w:spacing w:beforeLines="40" w:before="96" w:afterLines="40" w:after="96"/>
              <w:jc w:val="both"/>
              <w:rPr>
                <w:bCs/>
                <w:sz w:val="18"/>
                <w:szCs w:val="18"/>
                <w:lang w:val="en-GB"/>
              </w:rPr>
            </w:pPr>
            <w:r w:rsidRPr="00FC4A70">
              <w:rPr>
                <w:rFonts w:eastAsia="Calibri" w:cs="Calibri"/>
                <w:sz w:val="18"/>
                <w:szCs w:val="18"/>
                <w:bdr w:val="nil"/>
                <w:lang w:val="sl-SI"/>
              </w:rPr>
              <w:t xml:space="preserve">Sodelujoča organizacija je lahko katera koli javna ali zasebna organizacija s povezanimi subjekti (če obstajajo), ki ima sedež v državi Programa ali partnerski državi, ki neposredno in aktivno prispeva k izvajanju programa EMJMD. </w:t>
            </w:r>
          </w:p>
          <w:p w14:paraId="7D398F80" w14:textId="77777777" w:rsidR="00E03711" w:rsidRPr="0030441A" w:rsidRDefault="00E03711" w:rsidP="00A13051">
            <w:pPr>
              <w:spacing w:beforeLines="40" w:before="96" w:afterLines="40" w:after="96"/>
              <w:jc w:val="both"/>
              <w:rPr>
                <w:iCs/>
                <w:sz w:val="18"/>
                <w:szCs w:val="18"/>
                <w:lang w:val="pl-PL"/>
              </w:rPr>
            </w:pPr>
            <w:r w:rsidRPr="00FC4A70">
              <w:rPr>
                <w:rFonts w:eastAsia="Calibri" w:cs="Calibri"/>
                <w:bCs/>
                <w:sz w:val="18"/>
                <w:szCs w:val="18"/>
                <w:bdr w:val="nil"/>
                <w:lang w:val="sl-SI"/>
              </w:rPr>
              <w:t>Taka organizacija je lahko na primer:</w:t>
            </w:r>
          </w:p>
          <w:p w14:paraId="7D398F81" w14:textId="77777777" w:rsidR="00E03711" w:rsidRPr="00FC4A70" w:rsidRDefault="00E03711" w:rsidP="002D7FF4">
            <w:pPr>
              <w:numPr>
                <w:ilvl w:val="0"/>
                <w:numId w:val="79"/>
              </w:numPr>
              <w:spacing w:before="40" w:after="40"/>
              <w:jc w:val="both"/>
              <w:rPr>
                <w:sz w:val="18"/>
                <w:szCs w:val="18"/>
                <w:lang w:val="en-GB"/>
              </w:rPr>
            </w:pPr>
            <w:r w:rsidRPr="00FC4A70">
              <w:rPr>
                <w:rFonts w:eastAsia="Calibri" w:cs="Calibri"/>
                <w:sz w:val="18"/>
                <w:szCs w:val="18"/>
                <w:bdr w:val="nil"/>
                <w:lang w:val="sl-SI"/>
              </w:rPr>
              <w:t>visokošolska institucija (HEI, higher education institution);</w:t>
            </w:r>
          </w:p>
          <w:p w14:paraId="7D398F82" w14:textId="77777777" w:rsidR="00E03711" w:rsidRPr="00B36F01" w:rsidRDefault="00E03711" w:rsidP="002D7FF4">
            <w:pPr>
              <w:numPr>
                <w:ilvl w:val="0"/>
                <w:numId w:val="79"/>
              </w:numPr>
              <w:spacing w:before="40" w:after="40"/>
              <w:jc w:val="both"/>
              <w:rPr>
                <w:sz w:val="18"/>
                <w:szCs w:val="18"/>
                <w:lang w:val="en-GB"/>
              </w:rPr>
            </w:pPr>
            <w:r w:rsidRPr="00FC4A70">
              <w:rPr>
                <w:rFonts w:eastAsia="Calibri" w:cs="Calibri"/>
                <w:sz w:val="18"/>
                <w:szCs w:val="18"/>
                <w:bdr w:val="nil"/>
                <w:lang w:val="sl-SI"/>
              </w:rPr>
              <w:t>javno ali zasebno malo, srednje ali veliko podjetje (vključno s socialnimi podjetji);</w:t>
            </w:r>
          </w:p>
          <w:p w14:paraId="7D398F83" w14:textId="77777777" w:rsidR="00E03711" w:rsidRPr="0030441A" w:rsidRDefault="00E03711" w:rsidP="002D7FF4">
            <w:pPr>
              <w:numPr>
                <w:ilvl w:val="0"/>
                <w:numId w:val="79"/>
              </w:numPr>
              <w:spacing w:before="40" w:after="40"/>
              <w:jc w:val="both"/>
              <w:rPr>
                <w:sz w:val="18"/>
                <w:szCs w:val="18"/>
                <w:lang w:val="pl-PL"/>
              </w:rPr>
            </w:pPr>
            <w:r w:rsidRPr="00FC4A70">
              <w:rPr>
                <w:rFonts w:eastAsia="Calibri" w:cs="Calibri"/>
                <w:sz w:val="18"/>
                <w:szCs w:val="18"/>
                <w:bdr w:val="nil"/>
                <w:lang w:val="sl-SI"/>
              </w:rPr>
              <w:t>javni organ na lokalni, regionalni ali nacionalni ravni;</w:t>
            </w:r>
          </w:p>
          <w:p w14:paraId="7D398F84" w14:textId="77777777" w:rsidR="00E03711" w:rsidRPr="0030441A" w:rsidRDefault="00E03711" w:rsidP="002D7FF4">
            <w:pPr>
              <w:numPr>
                <w:ilvl w:val="0"/>
                <w:numId w:val="79"/>
              </w:numPr>
              <w:spacing w:before="40" w:after="40"/>
              <w:jc w:val="both"/>
              <w:rPr>
                <w:sz w:val="18"/>
                <w:szCs w:val="18"/>
                <w:lang w:val="pl-PL"/>
              </w:rPr>
            </w:pPr>
            <w:r w:rsidRPr="00FC4A70">
              <w:rPr>
                <w:rFonts w:eastAsia="Calibri" w:cs="Calibri"/>
                <w:sz w:val="18"/>
                <w:szCs w:val="18"/>
                <w:bdr w:val="nil"/>
                <w:lang w:val="sl-SI"/>
              </w:rPr>
              <w:t>neprofitna organizacija, združenje, nevladna organizacija;</w:t>
            </w:r>
          </w:p>
          <w:p w14:paraId="7D398F85" w14:textId="77777777" w:rsidR="00E03711" w:rsidRPr="00FC4A70" w:rsidRDefault="00E03711" w:rsidP="002D7FF4">
            <w:pPr>
              <w:numPr>
                <w:ilvl w:val="0"/>
                <w:numId w:val="79"/>
              </w:numPr>
              <w:spacing w:before="40" w:after="40"/>
              <w:jc w:val="both"/>
              <w:rPr>
                <w:sz w:val="18"/>
                <w:szCs w:val="18"/>
                <w:lang w:val="en-GB"/>
              </w:rPr>
            </w:pPr>
            <w:r w:rsidRPr="00FC4A70">
              <w:rPr>
                <w:rFonts w:eastAsia="Calibri" w:cs="Calibri"/>
                <w:sz w:val="18"/>
                <w:szCs w:val="18"/>
                <w:bdr w:val="nil"/>
                <w:lang w:val="sl-SI"/>
              </w:rPr>
              <w:t>raziskovalni inštitut.</w:t>
            </w:r>
          </w:p>
          <w:p w14:paraId="7D398F86" w14:textId="77777777" w:rsidR="00E03711" w:rsidRPr="00FC4A70" w:rsidRDefault="00E03711" w:rsidP="00205B48">
            <w:pPr>
              <w:pStyle w:val="Default"/>
              <w:jc w:val="both"/>
              <w:rPr>
                <w:sz w:val="18"/>
                <w:szCs w:val="18"/>
              </w:rPr>
            </w:pPr>
          </w:p>
          <w:p w14:paraId="7D398F87" w14:textId="77777777" w:rsidR="00E03711" w:rsidRPr="00FC4A70" w:rsidRDefault="00E03711" w:rsidP="00A13051">
            <w:pPr>
              <w:shd w:val="clear" w:color="auto" w:fill="FFFFFF"/>
              <w:spacing w:beforeLines="40" w:before="96" w:afterLines="40" w:after="96"/>
              <w:jc w:val="both"/>
              <w:rPr>
                <w:sz w:val="18"/>
                <w:szCs w:val="18"/>
                <w:lang w:val="sl-SI"/>
              </w:rPr>
            </w:pPr>
            <w:r w:rsidRPr="00FC4A70">
              <w:rPr>
                <w:rFonts w:eastAsia="Calibri" w:cs="Calibri"/>
                <w:sz w:val="18"/>
                <w:szCs w:val="18"/>
                <w:bdr w:val="nil"/>
                <w:lang w:val="sl-SI"/>
              </w:rPr>
              <w:t>Visokošolske institucije s sedežem v državi Programa morajo biti nosilke veljavne Listine Erasmus za terciarno izobraževanje (ECHE, Erasmus Charter for Higher Education). Listina ECHE ni zahtevana za sodelujoče visokošolske institucije iz partnerskih držav.</w:t>
            </w:r>
          </w:p>
          <w:p w14:paraId="7D398F88" w14:textId="77777777" w:rsidR="00E03711" w:rsidRPr="00FC4A70" w:rsidRDefault="00E03711" w:rsidP="00A13051">
            <w:pPr>
              <w:shd w:val="clear" w:color="auto" w:fill="FFFFFF"/>
              <w:spacing w:beforeLines="40" w:before="96" w:afterLines="40" w:after="96"/>
              <w:jc w:val="both"/>
              <w:rPr>
                <w:sz w:val="18"/>
                <w:szCs w:val="18"/>
                <w:lang w:val="sl-SI"/>
              </w:rPr>
            </w:pPr>
            <w:r w:rsidRPr="00FC4A70">
              <w:rPr>
                <w:rFonts w:eastAsia="Calibri" w:cs="Calibri"/>
                <w:sz w:val="18"/>
                <w:szCs w:val="18"/>
                <w:bdr w:val="nil"/>
                <w:lang w:val="sl-SI"/>
              </w:rPr>
              <w:t>Visokošolska institucija s sedežem v državi Programa mora ob prijavi dokazati, da za skupni program izpolnjuje zahteve zunanjega preverjanja kakovosti v svoji jurisdikciji (npr. akreditacija ali evalvacija). To temelji na uspešni uveljavitvi evropskega pristopa k zagotavljanju kakovosti skupnih programov (če to dopušča nacionalna zakonodaja) ali pa na posameznih odločitvah o akreditaciji za vsako nacionalno komponento v skupnem magistrskem študiju Erasmus Mundus (EMJMD).</w:t>
            </w:r>
          </w:p>
        </w:tc>
      </w:tr>
      <w:tr w:rsidR="00E03711" w:rsidRPr="00383EF8" w14:paraId="7D398F8C" w14:textId="77777777" w:rsidTr="00205B48">
        <w:trPr>
          <w:cantSplit/>
        </w:trPr>
        <w:tc>
          <w:tcPr>
            <w:tcW w:w="1116" w:type="pct"/>
            <w:shd w:val="clear" w:color="auto" w:fill="FFFFFF"/>
            <w:vAlign w:val="center"/>
          </w:tcPr>
          <w:p w14:paraId="7D398F8A" w14:textId="77777777" w:rsidR="00E03711" w:rsidRPr="00FC4A70" w:rsidRDefault="00E03711" w:rsidP="00205B48">
            <w:pPr>
              <w:spacing w:before="40" w:after="40"/>
              <w:rPr>
                <w:b/>
                <w:sz w:val="18"/>
                <w:szCs w:val="18"/>
                <w:lang w:val="en-GB"/>
              </w:rPr>
            </w:pPr>
            <w:r w:rsidRPr="00FC4A70">
              <w:rPr>
                <w:rFonts w:eastAsia="Calibri" w:cs="Calibri"/>
                <w:b/>
                <w:bCs/>
                <w:sz w:val="18"/>
                <w:szCs w:val="18"/>
                <w:bdr w:val="nil"/>
                <w:lang w:val="sl-SI"/>
              </w:rPr>
              <w:t>Kdo se lahko prijavi?</w:t>
            </w:r>
          </w:p>
        </w:tc>
        <w:tc>
          <w:tcPr>
            <w:tcW w:w="3884" w:type="pct"/>
            <w:shd w:val="clear" w:color="auto" w:fill="FFFFFF"/>
          </w:tcPr>
          <w:p w14:paraId="7D398F8B" w14:textId="77777777" w:rsidR="00E03711" w:rsidRPr="00FC4A70" w:rsidRDefault="00E03711">
            <w:pPr>
              <w:spacing w:beforeLines="40" w:before="96" w:afterLines="40" w:after="96"/>
              <w:jc w:val="both"/>
              <w:rPr>
                <w:sz w:val="18"/>
                <w:szCs w:val="18"/>
                <w:lang w:val="sl-SI"/>
              </w:rPr>
            </w:pPr>
            <w:r w:rsidRPr="00FC4A70">
              <w:rPr>
                <w:rFonts w:eastAsia="Calibri" w:cs="Calibri"/>
                <w:sz w:val="18"/>
                <w:szCs w:val="18"/>
                <w:bdr w:val="nil"/>
                <w:lang w:val="sl-SI"/>
              </w:rPr>
              <w:t>Visokošolska institucija s sedežem v državi Programa. Visokošolska organizacija se prijavi v imenu konzorcija EMJMD. Podružnice visokošolskih institucij partnerskih držav s sedežem v državi Programa ali podružnice visokošolskih institucij držav Programa s sedežem v partnerski državi niso upravičene do prijave.</w:t>
            </w:r>
          </w:p>
        </w:tc>
      </w:tr>
      <w:tr w:rsidR="00E03711" w:rsidRPr="00383EF8" w14:paraId="7D398F90" w14:textId="77777777" w:rsidTr="00205B48">
        <w:trPr>
          <w:cantSplit/>
        </w:trPr>
        <w:tc>
          <w:tcPr>
            <w:tcW w:w="1116" w:type="pct"/>
            <w:shd w:val="clear" w:color="auto" w:fill="auto"/>
            <w:vAlign w:val="center"/>
          </w:tcPr>
          <w:p w14:paraId="7D398F8D" w14:textId="77777777" w:rsidR="00E03711" w:rsidRPr="00FC4A70" w:rsidRDefault="00E03711" w:rsidP="00205B48">
            <w:pPr>
              <w:spacing w:before="40" w:after="40"/>
              <w:rPr>
                <w:b/>
                <w:sz w:val="18"/>
                <w:szCs w:val="18"/>
                <w:lang w:val="it-IT"/>
              </w:rPr>
            </w:pPr>
            <w:r w:rsidRPr="00FC4A70">
              <w:rPr>
                <w:rFonts w:eastAsia="Calibri" w:cs="Calibri"/>
                <w:b/>
                <w:bCs/>
                <w:sz w:val="18"/>
                <w:szCs w:val="18"/>
                <w:bdr w:val="nil"/>
                <w:lang w:val="sl-SI"/>
              </w:rPr>
              <w:t>Število in profil sodelujočih organizacij</w:t>
            </w:r>
          </w:p>
        </w:tc>
        <w:tc>
          <w:tcPr>
            <w:tcW w:w="3884" w:type="pct"/>
            <w:shd w:val="clear" w:color="auto" w:fill="FFFFFF"/>
          </w:tcPr>
          <w:p w14:paraId="7D398F8E" w14:textId="77777777" w:rsidR="00E03711" w:rsidRPr="00FC4A70" w:rsidRDefault="00E03711" w:rsidP="00A13051">
            <w:pPr>
              <w:spacing w:beforeLines="40" w:before="96" w:afterLines="40" w:after="96"/>
              <w:jc w:val="both"/>
              <w:rPr>
                <w:sz w:val="18"/>
                <w:lang w:val="it-IT"/>
              </w:rPr>
            </w:pPr>
            <w:r w:rsidRPr="00FC4A70">
              <w:rPr>
                <w:rFonts w:eastAsia="Calibri" w:cs="Calibri"/>
                <w:sz w:val="18"/>
                <w:szCs w:val="18"/>
                <w:bdr w:val="nil"/>
                <w:lang w:val="sl-SI"/>
              </w:rPr>
              <w:t xml:space="preserve">EMJMD je mednarodni program in vključuje partnerske visokošolske institucije iz vsaj treh različnih držav Programa. </w:t>
            </w:r>
          </w:p>
          <w:p w14:paraId="7D398F8F" w14:textId="77777777" w:rsidR="00E03711" w:rsidRPr="00FC4A70" w:rsidRDefault="00E03711" w:rsidP="00A13051">
            <w:pPr>
              <w:spacing w:beforeLines="40" w:before="96" w:afterLines="40" w:after="96"/>
              <w:jc w:val="both"/>
              <w:rPr>
                <w:bCs/>
                <w:sz w:val="18"/>
                <w:szCs w:val="18"/>
                <w:lang w:val="it-IT"/>
              </w:rPr>
            </w:pPr>
          </w:p>
        </w:tc>
      </w:tr>
      <w:tr w:rsidR="00E03711" w:rsidRPr="00383EF8" w14:paraId="7D398F94" w14:textId="77777777" w:rsidTr="00205B48">
        <w:trPr>
          <w:cantSplit/>
        </w:trPr>
        <w:tc>
          <w:tcPr>
            <w:tcW w:w="1116" w:type="pct"/>
            <w:tcBorders>
              <w:top w:val="dashed" w:sz="4" w:space="0" w:color="auto"/>
              <w:left w:val="single" w:sz="4" w:space="0" w:color="auto"/>
              <w:bottom w:val="dashed" w:sz="4" w:space="0" w:color="auto"/>
              <w:right w:val="dashed" w:sz="4" w:space="0" w:color="auto"/>
            </w:tcBorders>
            <w:shd w:val="clear" w:color="auto" w:fill="auto"/>
            <w:vAlign w:val="center"/>
          </w:tcPr>
          <w:p w14:paraId="7D398F91" w14:textId="77777777" w:rsidR="00E03711" w:rsidRPr="00FC4A70" w:rsidRDefault="00E03711" w:rsidP="00205B48">
            <w:pPr>
              <w:spacing w:before="40" w:after="40"/>
              <w:rPr>
                <w:b/>
                <w:sz w:val="18"/>
                <w:szCs w:val="18"/>
                <w:lang w:val="en-GB"/>
              </w:rPr>
            </w:pPr>
            <w:r w:rsidRPr="00FC4A70">
              <w:rPr>
                <w:rFonts w:eastAsia="Calibri" w:cs="Calibri"/>
                <w:b/>
                <w:bCs/>
                <w:sz w:val="18"/>
                <w:szCs w:val="18"/>
                <w:bdr w:val="nil"/>
                <w:lang w:val="sl-SI"/>
              </w:rPr>
              <w:t>Število udeležencev</w:t>
            </w:r>
          </w:p>
        </w:tc>
        <w:tc>
          <w:tcPr>
            <w:tcW w:w="3884" w:type="pct"/>
            <w:tcBorders>
              <w:top w:val="dashed" w:sz="4" w:space="0" w:color="auto"/>
              <w:left w:val="single" w:sz="8" w:space="0" w:color="000000"/>
              <w:bottom w:val="dashed" w:sz="4" w:space="0" w:color="auto"/>
              <w:right w:val="single" w:sz="4" w:space="0" w:color="auto"/>
            </w:tcBorders>
            <w:shd w:val="clear" w:color="auto" w:fill="FFFFFF"/>
          </w:tcPr>
          <w:p w14:paraId="7D398F92" w14:textId="77777777" w:rsidR="00E03711" w:rsidRPr="00FC4A70" w:rsidRDefault="00E03711" w:rsidP="00A13051">
            <w:pPr>
              <w:pStyle w:val="Bullet-Dot"/>
              <w:numPr>
                <w:ilvl w:val="0"/>
                <w:numId w:val="0"/>
              </w:numPr>
              <w:spacing w:beforeLines="40" w:before="96" w:afterLines="40" w:after="96"/>
              <w:jc w:val="both"/>
              <w:rPr>
                <w:rFonts w:ascii="Calibri" w:eastAsia="SimSun" w:hAnsi="Calibri" w:cs="Tahoma"/>
                <w:color w:val="auto"/>
                <w:kern w:val="3"/>
                <w:sz w:val="18"/>
                <w:szCs w:val="18"/>
                <w:lang w:val="sl-SI" w:eastAsia="zh-CN"/>
              </w:rPr>
            </w:pPr>
            <w:r w:rsidRPr="00FC4A70">
              <w:rPr>
                <w:rFonts w:ascii="Calibri" w:eastAsia="Calibri" w:hAnsi="Calibri" w:cs="Calibri"/>
                <w:color w:val="auto"/>
                <w:kern w:val="3"/>
                <w:sz w:val="18"/>
                <w:szCs w:val="18"/>
                <w:bdr w:val="nil"/>
                <w:lang w:val="sl-SI" w:eastAsia="zh-CN"/>
              </w:rPr>
              <w:t xml:space="preserve">Iz nepovratnih sredstev EMJMD se bo zagotovil največ 60 študentskih štipendij za štiri vpise.  Poleg tega lahko konzorciji EMJMD zaprosijo za največ 28 dodatnih študentskih štipendij za štiri vpise za ciljne regije/države sveta. </w:t>
            </w:r>
          </w:p>
          <w:p w14:paraId="7D398F93" w14:textId="77777777" w:rsidR="00E03711" w:rsidRPr="00FC4A70" w:rsidRDefault="00E03711" w:rsidP="00A13051">
            <w:pPr>
              <w:pStyle w:val="Bullet-Dot"/>
              <w:numPr>
                <w:ilvl w:val="0"/>
                <w:numId w:val="0"/>
              </w:numPr>
              <w:spacing w:beforeLines="40" w:before="96" w:afterLines="40" w:after="96"/>
              <w:jc w:val="both"/>
              <w:rPr>
                <w:rFonts w:ascii="Calibri" w:eastAsia="SimSun" w:hAnsi="Calibri" w:cs="Tahoma"/>
                <w:color w:val="auto"/>
                <w:kern w:val="3"/>
                <w:sz w:val="18"/>
                <w:szCs w:val="18"/>
                <w:lang w:val="sl-SI" w:eastAsia="zh-CN"/>
              </w:rPr>
            </w:pPr>
          </w:p>
        </w:tc>
      </w:tr>
      <w:tr w:rsidR="00E03711" w:rsidRPr="00383EF8" w14:paraId="7D398F99" w14:textId="77777777" w:rsidTr="00205B48">
        <w:trPr>
          <w:cantSplit/>
        </w:trPr>
        <w:tc>
          <w:tcPr>
            <w:tcW w:w="1116" w:type="pct"/>
            <w:tcBorders>
              <w:top w:val="dashed" w:sz="4" w:space="0" w:color="auto"/>
              <w:left w:val="single" w:sz="4" w:space="0" w:color="auto"/>
              <w:bottom w:val="dashed" w:sz="4" w:space="0" w:color="auto"/>
              <w:right w:val="dashed" w:sz="4" w:space="0" w:color="auto"/>
            </w:tcBorders>
            <w:shd w:val="clear" w:color="auto" w:fill="auto"/>
            <w:vAlign w:val="center"/>
          </w:tcPr>
          <w:p w14:paraId="7D398F95" w14:textId="77777777" w:rsidR="00E03711" w:rsidRPr="00FC4A70" w:rsidRDefault="00E03711" w:rsidP="00205B48">
            <w:pPr>
              <w:spacing w:before="40" w:after="40"/>
              <w:rPr>
                <w:b/>
                <w:sz w:val="18"/>
                <w:szCs w:val="18"/>
                <w:lang w:val="en-GB"/>
              </w:rPr>
            </w:pPr>
            <w:r w:rsidRPr="00FC4A70">
              <w:rPr>
                <w:rFonts w:eastAsia="Calibri" w:cs="Calibri"/>
                <w:b/>
                <w:bCs/>
                <w:sz w:val="18"/>
                <w:szCs w:val="18"/>
                <w:bdr w:val="nil"/>
                <w:lang w:val="sl-SI"/>
              </w:rPr>
              <w:t xml:space="preserve">Kraj izvajanja </w:t>
            </w:r>
          </w:p>
        </w:tc>
        <w:tc>
          <w:tcPr>
            <w:tcW w:w="3884" w:type="pct"/>
            <w:tcBorders>
              <w:top w:val="dashed" w:sz="4" w:space="0" w:color="auto"/>
              <w:left w:val="single" w:sz="8" w:space="0" w:color="000000"/>
              <w:bottom w:val="dashed" w:sz="4" w:space="0" w:color="auto"/>
              <w:right w:val="single" w:sz="4" w:space="0" w:color="auto"/>
            </w:tcBorders>
            <w:shd w:val="clear" w:color="auto" w:fill="FFFFFF"/>
          </w:tcPr>
          <w:p w14:paraId="7D398F96" w14:textId="77777777" w:rsidR="00E03711" w:rsidRPr="00FC4A70" w:rsidRDefault="00E03711" w:rsidP="00A13051">
            <w:pPr>
              <w:spacing w:beforeLines="40" w:before="96" w:afterLines="40" w:after="96"/>
              <w:jc w:val="both"/>
              <w:rPr>
                <w:sz w:val="18"/>
                <w:szCs w:val="18"/>
                <w:lang w:val="en-GB"/>
              </w:rPr>
            </w:pPr>
            <w:r w:rsidRPr="00FC4A70">
              <w:rPr>
                <w:rFonts w:eastAsia="Calibri" w:cs="Calibri"/>
                <w:sz w:val="18"/>
                <w:szCs w:val="18"/>
                <w:bdr w:val="nil"/>
                <w:lang w:val="sl-SI"/>
              </w:rPr>
              <w:t xml:space="preserve">Obdobje študija EMJMD se mora izvajati v vsaj dveh državah Programa, ki sta zastopani v konzorciju (tj. vsaj dve obdobji mobilnosti za vse študente, ki se razlikuje od države prebivališča študenta). </w:t>
            </w:r>
          </w:p>
          <w:p w14:paraId="7D398F97" w14:textId="77777777" w:rsidR="00E03711" w:rsidRPr="00FC4A70" w:rsidRDefault="00E03711" w:rsidP="00A13051">
            <w:pPr>
              <w:spacing w:beforeLines="40" w:before="96" w:afterLines="40" w:after="96"/>
              <w:jc w:val="both"/>
              <w:rPr>
                <w:sz w:val="18"/>
                <w:szCs w:val="18"/>
                <w:lang w:val="en-GB"/>
              </w:rPr>
            </w:pPr>
          </w:p>
          <w:p w14:paraId="7D398F98" w14:textId="77777777" w:rsidR="00E03711" w:rsidRPr="00FC4A70" w:rsidRDefault="00E03711" w:rsidP="00205B48">
            <w:pPr>
              <w:widowControl/>
              <w:suppressAutoHyphens w:val="0"/>
              <w:autoSpaceDN/>
              <w:textAlignment w:val="auto"/>
              <w:rPr>
                <w:lang w:val="en-GB"/>
              </w:rPr>
            </w:pPr>
          </w:p>
        </w:tc>
      </w:tr>
      <w:tr w:rsidR="00E03711" w:rsidRPr="00383EF8" w14:paraId="7D398F9D" w14:textId="77777777" w:rsidTr="00205B48">
        <w:trPr>
          <w:cantSplit/>
        </w:trPr>
        <w:tc>
          <w:tcPr>
            <w:tcW w:w="1116" w:type="pct"/>
            <w:shd w:val="clear" w:color="auto" w:fill="auto"/>
            <w:vAlign w:val="center"/>
          </w:tcPr>
          <w:p w14:paraId="7D398F9A" w14:textId="77777777" w:rsidR="00E03711" w:rsidRPr="00FC4A70" w:rsidRDefault="00E03711" w:rsidP="00205B48">
            <w:pPr>
              <w:spacing w:before="40" w:after="40"/>
              <w:rPr>
                <w:b/>
                <w:sz w:val="18"/>
                <w:szCs w:val="18"/>
                <w:lang w:val="en-GB"/>
              </w:rPr>
            </w:pPr>
            <w:r w:rsidRPr="00FC4A70">
              <w:rPr>
                <w:rFonts w:eastAsia="Calibri" w:cs="Calibri"/>
                <w:b/>
                <w:bCs/>
                <w:sz w:val="18"/>
                <w:szCs w:val="18"/>
                <w:bdr w:val="nil"/>
                <w:lang w:val="sl-SI"/>
              </w:rPr>
              <w:t>Trajanje projekta</w:t>
            </w:r>
          </w:p>
        </w:tc>
        <w:tc>
          <w:tcPr>
            <w:tcW w:w="3884" w:type="pct"/>
            <w:shd w:val="clear" w:color="auto" w:fill="FFFFFF"/>
            <w:vAlign w:val="center"/>
          </w:tcPr>
          <w:p w14:paraId="7D398F9B" w14:textId="77777777" w:rsidR="00E03711" w:rsidRPr="00FC4A70" w:rsidRDefault="00E03711" w:rsidP="00A13051">
            <w:pPr>
              <w:spacing w:beforeLines="40" w:before="96" w:afterLines="40" w:after="96"/>
              <w:jc w:val="both"/>
              <w:rPr>
                <w:sz w:val="18"/>
                <w:szCs w:val="18"/>
                <w:lang w:val="en-GB"/>
              </w:rPr>
            </w:pPr>
            <w:r w:rsidRPr="00FC4A70">
              <w:rPr>
                <w:rFonts w:eastAsia="Calibri" w:cs="Calibri"/>
                <w:sz w:val="18"/>
                <w:szCs w:val="18"/>
                <w:bdr w:val="nil"/>
                <w:lang w:val="sl-SI"/>
              </w:rPr>
              <w:t>Glede na trajanje EMJMD (od 1 do 2 študijski leti) in odvisno od tega, ali se konzorcij odloči za pripravljalno leto, bo konzorcij prejel sporazum o nepovratnih sredstvih za najmanj 4 in največ 6 študijskih let za financiranje 4 zaporednih vpisov študentov.</w:t>
            </w:r>
          </w:p>
          <w:p w14:paraId="7D398F9C" w14:textId="77777777" w:rsidR="00E03711" w:rsidRPr="00C12952" w:rsidRDefault="00E03711" w:rsidP="00A13051">
            <w:pPr>
              <w:spacing w:beforeLines="40" w:before="96" w:afterLines="40" w:after="96"/>
              <w:jc w:val="both"/>
              <w:rPr>
                <w:sz w:val="18"/>
                <w:szCs w:val="18"/>
                <w:lang w:val="sl-SI"/>
              </w:rPr>
            </w:pPr>
            <w:r w:rsidRPr="00FC4A70">
              <w:rPr>
                <w:rFonts w:eastAsia="Calibri" w:cs="Calibri"/>
                <w:sz w:val="18"/>
                <w:szCs w:val="18"/>
                <w:bdr w:val="nil"/>
                <w:lang w:val="sl-SI"/>
              </w:rPr>
              <w:t>V izjemnih primerih se lahko trajanje EMJMD na prošnjo upravičenca in s soglasjem Izvajalske agencije podaljša za največ 12 mesecev. V tem primeru se znesek skupnih nepovratnih sredstev ne spremeni.</w:t>
            </w:r>
          </w:p>
        </w:tc>
      </w:tr>
      <w:tr w:rsidR="00E03711" w:rsidRPr="00383EF8" w14:paraId="7D398FA1" w14:textId="77777777" w:rsidTr="00205B48">
        <w:trPr>
          <w:cantSplit/>
        </w:trPr>
        <w:tc>
          <w:tcPr>
            <w:tcW w:w="1116" w:type="pct"/>
            <w:tcBorders>
              <w:top w:val="dashed" w:sz="4" w:space="0" w:color="auto"/>
              <w:left w:val="single" w:sz="4" w:space="0" w:color="auto"/>
              <w:bottom w:val="dashed" w:sz="4" w:space="0" w:color="auto"/>
              <w:right w:val="dashed" w:sz="4" w:space="0" w:color="auto"/>
            </w:tcBorders>
            <w:shd w:val="clear" w:color="auto" w:fill="auto"/>
            <w:vAlign w:val="center"/>
          </w:tcPr>
          <w:p w14:paraId="7D398F9E" w14:textId="77777777" w:rsidR="00E03711" w:rsidRPr="00FC4A70" w:rsidRDefault="00E03711" w:rsidP="00205B48">
            <w:pPr>
              <w:spacing w:before="40" w:after="40"/>
              <w:rPr>
                <w:b/>
                <w:sz w:val="18"/>
                <w:szCs w:val="18"/>
                <w:lang w:val="en-GB"/>
              </w:rPr>
            </w:pPr>
            <w:r w:rsidRPr="00FC4A70">
              <w:rPr>
                <w:rFonts w:eastAsia="Calibri" w:cs="Calibri"/>
                <w:b/>
                <w:bCs/>
                <w:sz w:val="18"/>
                <w:szCs w:val="18"/>
                <w:bdr w:val="nil"/>
                <w:lang w:val="sl-SI"/>
              </w:rPr>
              <w:t>Trajanje aktivnosti</w:t>
            </w:r>
          </w:p>
        </w:tc>
        <w:tc>
          <w:tcPr>
            <w:tcW w:w="3884" w:type="pct"/>
            <w:tcBorders>
              <w:top w:val="dashed" w:sz="4" w:space="0" w:color="auto"/>
              <w:left w:val="single" w:sz="8" w:space="0" w:color="000000"/>
              <w:bottom w:val="dashed" w:sz="4" w:space="0" w:color="auto"/>
              <w:right w:val="single" w:sz="4" w:space="0" w:color="auto"/>
            </w:tcBorders>
            <w:shd w:val="clear" w:color="auto" w:fill="FFFFFF"/>
            <w:vAlign w:val="center"/>
          </w:tcPr>
          <w:p w14:paraId="7D398F9F" w14:textId="77777777" w:rsidR="00E03711" w:rsidRPr="00FC4A70" w:rsidRDefault="00E03711" w:rsidP="00A13051">
            <w:pPr>
              <w:pStyle w:val="Bullet-Dot"/>
              <w:numPr>
                <w:ilvl w:val="0"/>
                <w:numId w:val="0"/>
              </w:numPr>
              <w:spacing w:beforeLines="40" w:before="96" w:afterLines="40" w:after="96"/>
              <w:jc w:val="both"/>
              <w:rPr>
                <w:rFonts w:ascii="Calibri" w:eastAsia="SimSun" w:hAnsi="Calibri" w:cs="Tahoma"/>
                <w:color w:val="auto"/>
                <w:kern w:val="3"/>
                <w:sz w:val="18"/>
                <w:szCs w:val="18"/>
                <w:lang w:eastAsia="zh-CN"/>
              </w:rPr>
            </w:pPr>
            <w:r w:rsidRPr="00FC4A70">
              <w:rPr>
                <w:rFonts w:ascii="Calibri" w:eastAsia="Calibri" w:hAnsi="Calibri" w:cs="Calibri"/>
                <w:color w:val="auto"/>
                <w:kern w:val="3"/>
                <w:sz w:val="18"/>
                <w:szCs w:val="18"/>
                <w:bdr w:val="nil"/>
                <w:lang w:val="sl-SI" w:eastAsia="zh-CN"/>
              </w:rPr>
              <w:t xml:space="preserve">Pripravljalno leto (neobvezno): 1 študijsko leto.  </w:t>
            </w:r>
          </w:p>
          <w:p w14:paraId="7D398FA0" w14:textId="77777777" w:rsidR="00E03711" w:rsidRPr="00FC4A70" w:rsidRDefault="00E03711" w:rsidP="00A13051">
            <w:pPr>
              <w:pStyle w:val="Bullet-Dot"/>
              <w:numPr>
                <w:ilvl w:val="0"/>
                <w:numId w:val="0"/>
              </w:numPr>
              <w:spacing w:beforeLines="40" w:before="96" w:afterLines="40" w:after="96"/>
              <w:jc w:val="both"/>
              <w:rPr>
                <w:rFonts w:ascii="Calibri" w:eastAsia="SimSun" w:hAnsi="Calibri" w:cs="Tahoma"/>
                <w:color w:val="auto"/>
                <w:kern w:val="3"/>
                <w:sz w:val="18"/>
                <w:szCs w:val="18"/>
                <w:lang w:eastAsia="zh-CN"/>
              </w:rPr>
            </w:pPr>
            <w:r w:rsidRPr="00FC4A70">
              <w:rPr>
                <w:rFonts w:ascii="Calibri" w:eastAsia="Calibri" w:hAnsi="Calibri" w:cs="Calibri"/>
                <w:color w:val="auto"/>
                <w:kern w:val="3"/>
                <w:sz w:val="18"/>
                <w:szCs w:val="18"/>
                <w:bdr w:val="nil"/>
                <w:lang w:val="sl-SI" w:eastAsia="zh-CN"/>
              </w:rPr>
              <w:t>Izvajanje programa EMJMD: 4 zaporedni vpisi v 1 do 2 študijskih letih (60/90/120 kreditnih točk ECTS).</w:t>
            </w:r>
          </w:p>
        </w:tc>
      </w:tr>
      <w:tr w:rsidR="00E03711" w:rsidRPr="00383EF8" w14:paraId="7D398FA4" w14:textId="77777777" w:rsidTr="00205B48">
        <w:trPr>
          <w:cantSplit/>
        </w:trPr>
        <w:tc>
          <w:tcPr>
            <w:tcW w:w="1116" w:type="pct"/>
            <w:shd w:val="clear" w:color="auto" w:fill="FFFFFF"/>
            <w:vAlign w:val="center"/>
          </w:tcPr>
          <w:p w14:paraId="7D398FA2" w14:textId="77777777" w:rsidR="00E03711" w:rsidRPr="00FC4A70" w:rsidRDefault="00E03711" w:rsidP="00205B48">
            <w:pPr>
              <w:spacing w:before="40" w:after="40"/>
              <w:rPr>
                <w:b/>
                <w:sz w:val="18"/>
                <w:szCs w:val="18"/>
                <w:lang w:val="en-GB"/>
              </w:rPr>
            </w:pPr>
            <w:r w:rsidRPr="00FC4A70">
              <w:rPr>
                <w:rFonts w:eastAsia="Calibri" w:cs="Calibri"/>
                <w:b/>
                <w:bCs/>
                <w:sz w:val="18"/>
                <w:szCs w:val="18"/>
                <w:bdr w:val="nil"/>
                <w:lang w:val="sl-SI"/>
              </w:rPr>
              <w:t xml:space="preserve">Kje se prijaviti? </w:t>
            </w:r>
          </w:p>
        </w:tc>
        <w:tc>
          <w:tcPr>
            <w:tcW w:w="3884" w:type="pct"/>
            <w:shd w:val="clear" w:color="auto" w:fill="FFFFFF"/>
          </w:tcPr>
          <w:p w14:paraId="7D398FA3" w14:textId="77777777" w:rsidR="00E03711" w:rsidRPr="00FC4A70" w:rsidRDefault="00E03711" w:rsidP="00A13051">
            <w:pPr>
              <w:spacing w:beforeLines="40" w:before="96" w:afterLines="40" w:after="96"/>
              <w:jc w:val="both"/>
              <w:rPr>
                <w:sz w:val="18"/>
                <w:szCs w:val="18"/>
                <w:lang w:val="en-GB"/>
              </w:rPr>
            </w:pPr>
            <w:r w:rsidRPr="00FC4A70">
              <w:rPr>
                <w:rFonts w:eastAsia="Calibri" w:cs="Calibri"/>
                <w:sz w:val="18"/>
                <w:szCs w:val="18"/>
                <w:bdr w:val="nil"/>
                <w:lang w:val="sl-SI"/>
              </w:rPr>
              <w:t>Pri Izvajalski agenciji za izobraževanje, avdiovizualno področje in kulturo v Bruslju.</w:t>
            </w:r>
          </w:p>
        </w:tc>
      </w:tr>
      <w:tr w:rsidR="00E03711" w:rsidRPr="00383EF8" w14:paraId="7D398FA9" w14:textId="77777777" w:rsidTr="00205B48">
        <w:trPr>
          <w:cantSplit/>
        </w:trPr>
        <w:tc>
          <w:tcPr>
            <w:tcW w:w="1116" w:type="pct"/>
            <w:shd w:val="clear" w:color="auto" w:fill="FFFFFF"/>
            <w:vAlign w:val="center"/>
          </w:tcPr>
          <w:p w14:paraId="7D398FA5" w14:textId="77777777" w:rsidR="00E03711" w:rsidRPr="00965051" w:rsidRDefault="00E03711" w:rsidP="00205B48">
            <w:pPr>
              <w:spacing w:before="40" w:after="40"/>
              <w:rPr>
                <w:b/>
                <w:sz w:val="18"/>
                <w:szCs w:val="18"/>
                <w:lang w:val="en-GB"/>
              </w:rPr>
            </w:pPr>
            <w:r w:rsidRPr="00965051">
              <w:rPr>
                <w:rFonts w:eastAsia="Calibri" w:cs="Calibri"/>
                <w:b/>
                <w:sz w:val="18"/>
                <w:szCs w:val="18"/>
                <w:bdr w:val="nil"/>
                <w:lang w:val="sl-SI"/>
              </w:rPr>
              <w:t>Kdaj se prijaviti?</w:t>
            </w:r>
          </w:p>
        </w:tc>
        <w:tc>
          <w:tcPr>
            <w:tcW w:w="3884" w:type="pct"/>
            <w:shd w:val="clear" w:color="auto" w:fill="FFFFFF"/>
            <w:vAlign w:val="center"/>
          </w:tcPr>
          <w:p w14:paraId="7D398FA6" w14:textId="77777777" w:rsidR="00E03711" w:rsidRPr="00FC4A70" w:rsidRDefault="00E03711" w:rsidP="00A13051">
            <w:pPr>
              <w:snapToGrid w:val="0"/>
              <w:spacing w:beforeLines="40" w:before="96" w:afterLines="40" w:after="96" w:line="276" w:lineRule="auto"/>
              <w:jc w:val="both"/>
              <w:rPr>
                <w:bCs/>
                <w:sz w:val="18"/>
                <w:szCs w:val="18"/>
                <w:lang w:val="en-GB"/>
              </w:rPr>
            </w:pPr>
            <w:r w:rsidRPr="00FC4A70">
              <w:rPr>
                <w:rFonts w:eastAsia="Calibri" w:cs="Calibri"/>
                <w:bCs/>
                <w:sz w:val="18"/>
                <w:szCs w:val="18"/>
                <w:bdr w:val="nil"/>
                <w:lang w:val="sl-SI"/>
              </w:rPr>
              <w:t xml:space="preserve">Prijavitelji morajo vlogo za nepovratna sredstva oddati do </w:t>
            </w:r>
            <w:r w:rsidRPr="00860232">
              <w:rPr>
                <w:rFonts w:eastAsia="Calibri" w:cs="Calibri"/>
                <w:b/>
                <w:sz w:val="18"/>
                <w:szCs w:val="18"/>
                <w:bdr w:val="nil"/>
                <w:lang w:val="sl-SI"/>
              </w:rPr>
              <w:t>13. februarja do 17. ure (po bruseljskem času)</w:t>
            </w:r>
            <w:r w:rsidRPr="00FC4A70">
              <w:rPr>
                <w:rFonts w:eastAsia="Calibri" w:cs="Calibri"/>
                <w:bCs/>
                <w:sz w:val="18"/>
                <w:szCs w:val="18"/>
                <w:bdr w:val="nil"/>
                <w:lang w:val="sl-SI"/>
              </w:rPr>
              <w:t xml:space="preserve"> za projekte, ki se začnejo med 1. avgustom in 31. oktobrom istega leta.</w:t>
            </w:r>
          </w:p>
          <w:p w14:paraId="7D398FA7" w14:textId="77777777" w:rsidR="00E03711" w:rsidRPr="00FC4A70" w:rsidRDefault="00E03711" w:rsidP="00A13051">
            <w:pPr>
              <w:snapToGrid w:val="0"/>
              <w:spacing w:beforeLines="40" w:before="96" w:afterLines="40" w:after="96" w:line="276" w:lineRule="auto"/>
              <w:jc w:val="both"/>
              <w:rPr>
                <w:bCs/>
                <w:sz w:val="18"/>
                <w:lang w:val="en-GB"/>
              </w:rPr>
            </w:pPr>
          </w:p>
          <w:p w14:paraId="7D398FA8" w14:textId="77777777" w:rsidR="00E03711" w:rsidRPr="00FC4A70" w:rsidRDefault="00E03711">
            <w:pPr>
              <w:snapToGrid w:val="0"/>
              <w:spacing w:beforeLines="40" w:before="96" w:afterLines="40" w:after="96" w:line="276" w:lineRule="auto"/>
              <w:jc w:val="both"/>
              <w:rPr>
                <w:bCs/>
                <w:sz w:val="18"/>
                <w:lang w:val="sl-SI"/>
              </w:rPr>
            </w:pPr>
          </w:p>
        </w:tc>
      </w:tr>
      <w:tr w:rsidR="00E03711" w:rsidRPr="00383EF8" w14:paraId="7D398FAC" w14:textId="77777777" w:rsidTr="00205B48">
        <w:trPr>
          <w:cantSplit/>
        </w:trPr>
        <w:tc>
          <w:tcPr>
            <w:tcW w:w="1116" w:type="pct"/>
            <w:shd w:val="clear" w:color="auto" w:fill="FFFFFF"/>
            <w:vAlign w:val="center"/>
          </w:tcPr>
          <w:p w14:paraId="7D398FAA" w14:textId="77777777" w:rsidR="00E03711" w:rsidRPr="00965051" w:rsidRDefault="00E03711" w:rsidP="00205B48">
            <w:pPr>
              <w:spacing w:before="40" w:after="40"/>
              <w:rPr>
                <w:b/>
                <w:sz w:val="18"/>
                <w:szCs w:val="18"/>
                <w:lang w:val="en-GB"/>
              </w:rPr>
            </w:pPr>
            <w:r w:rsidRPr="00965051">
              <w:rPr>
                <w:rFonts w:eastAsia="Calibri" w:cs="Calibri"/>
                <w:b/>
                <w:sz w:val="18"/>
                <w:szCs w:val="18"/>
                <w:bdr w:val="nil"/>
                <w:lang w:val="sl-SI"/>
              </w:rPr>
              <w:t>Kako se prijaviti?</w:t>
            </w:r>
          </w:p>
        </w:tc>
        <w:tc>
          <w:tcPr>
            <w:tcW w:w="3884" w:type="pct"/>
            <w:shd w:val="clear" w:color="auto" w:fill="FFFFFF"/>
          </w:tcPr>
          <w:p w14:paraId="7D398FAB" w14:textId="77777777" w:rsidR="00E03711" w:rsidRPr="0030441A" w:rsidRDefault="00E03711" w:rsidP="00A13051">
            <w:pPr>
              <w:spacing w:beforeLines="40" w:before="96" w:afterLines="40" w:after="96"/>
              <w:jc w:val="both"/>
              <w:rPr>
                <w:bCs/>
                <w:vanish/>
                <w:sz w:val="18"/>
                <w:szCs w:val="18"/>
                <w:lang w:val="pl-PL"/>
              </w:rPr>
            </w:pPr>
            <w:r w:rsidRPr="00FC4A70">
              <w:rPr>
                <w:rFonts w:eastAsia="Calibri" w:cs="Calibri"/>
                <w:bCs/>
                <w:sz w:val="18"/>
                <w:szCs w:val="18"/>
                <w:bdr w:val="nil"/>
                <w:lang w:val="sl-SI"/>
              </w:rPr>
              <w:t>Za podrobnosti o postopku prijave glejte del C tega vodnika.</w:t>
            </w:r>
          </w:p>
        </w:tc>
      </w:tr>
    </w:tbl>
    <w:p w14:paraId="7D398FAD" w14:textId="77777777" w:rsidR="00E03711" w:rsidRPr="001048FE" w:rsidRDefault="00E03711" w:rsidP="00F91D63">
      <w:pPr>
        <w:pStyle w:val="GUIDE-NORMAL"/>
        <w:rPr>
          <w:lang w:val="sl-SI"/>
        </w:rPr>
      </w:pPr>
      <w:r w:rsidRPr="001048FE">
        <w:rPr>
          <w:lang w:val="sl-SI"/>
        </w:rPr>
        <w:t xml:space="preserve">Organizacije prijaviteljice bodo ocenjene tudi z </w:t>
      </w:r>
      <w:r w:rsidRPr="00860232">
        <w:rPr>
          <w:b/>
          <w:bCs/>
          <w:lang w:val="sl-SI"/>
        </w:rPr>
        <w:t>merili za izključitev in izbor</w:t>
      </w:r>
      <w:r w:rsidRPr="001048FE">
        <w:rPr>
          <w:lang w:val="sl-SI"/>
        </w:rPr>
        <w:t>. Za več informacij glej del C tega vodnika.</w:t>
      </w:r>
    </w:p>
    <w:p w14:paraId="7D398FAE" w14:textId="77777777" w:rsidR="00E03711" w:rsidRPr="001048FE" w:rsidRDefault="00E03711" w:rsidP="00F91D63">
      <w:pPr>
        <w:pStyle w:val="Guide-Heading6"/>
        <w:spacing w:after="120"/>
        <w:rPr>
          <w:lang w:val="sl-SI"/>
        </w:rPr>
      </w:pPr>
      <w:r w:rsidRPr="00FC4A70">
        <w:rPr>
          <w:rFonts w:eastAsia="Calibri" w:cs="Calibri"/>
          <w:bCs/>
          <w:szCs w:val="20"/>
          <w:bdr w:val="nil"/>
          <w:lang w:val="sl-SI"/>
        </w:rPr>
        <w:t>Dodatna merila za upravičenost za študente</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94"/>
        <w:gridCol w:w="7196"/>
      </w:tblGrid>
      <w:tr w:rsidR="00E03711" w:rsidRPr="00383EF8" w14:paraId="7D398FB6" w14:textId="77777777" w:rsidTr="00A34471">
        <w:trPr>
          <w:trHeight w:val="283"/>
        </w:trPr>
        <w:tc>
          <w:tcPr>
            <w:tcW w:w="1127" w:type="pct"/>
            <w:shd w:val="clear" w:color="auto" w:fill="FFFFFF"/>
            <w:vAlign w:val="center"/>
          </w:tcPr>
          <w:p w14:paraId="7D398FAF" w14:textId="77777777" w:rsidR="00E03711" w:rsidRPr="00F769E0" w:rsidRDefault="00E03711" w:rsidP="00F91D63">
            <w:pPr>
              <w:pStyle w:val="Guide-Table"/>
              <w:spacing w:before="60" w:after="60"/>
              <w:jc w:val="left"/>
              <w:rPr>
                <w:rFonts w:cs="Tahoma"/>
                <w:b/>
                <w:lang w:val="sl-SI" w:eastAsia="en-GB"/>
              </w:rPr>
            </w:pPr>
            <w:r w:rsidRPr="00F769E0">
              <w:rPr>
                <w:rFonts w:cs="Tahoma"/>
                <w:b/>
                <w:lang w:val="sl-SI" w:eastAsia="en-GB"/>
              </w:rPr>
              <w:t>Upravičeni udeleženci</w:t>
            </w:r>
          </w:p>
        </w:tc>
        <w:tc>
          <w:tcPr>
            <w:tcW w:w="3873" w:type="pct"/>
            <w:shd w:val="clear" w:color="auto" w:fill="FFFFFF"/>
            <w:vAlign w:val="center"/>
          </w:tcPr>
          <w:p w14:paraId="7D398FB0" w14:textId="77777777" w:rsidR="00E03711" w:rsidRPr="00FC4A70" w:rsidRDefault="00E03711" w:rsidP="00A13051">
            <w:pPr>
              <w:keepNext/>
              <w:keepLines/>
              <w:widowControl/>
              <w:suppressAutoHyphens w:val="0"/>
              <w:spacing w:beforeLines="40" w:before="96" w:afterLines="40" w:after="96"/>
              <w:jc w:val="both"/>
              <w:textAlignment w:val="auto"/>
              <w:rPr>
                <w:rFonts w:eastAsia="Calibri"/>
                <w:sz w:val="18"/>
                <w:lang w:val="sl-SI" w:eastAsia="en-US"/>
              </w:rPr>
            </w:pPr>
            <w:r w:rsidRPr="00FC4A70">
              <w:rPr>
                <w:rFonts w:eastAsia="Calibri" w:cs="Calibri"/>
                <w:sz w:val="18"/>
                <w:szCs w:val="18"/>
                <w:bdr w:val="nil"/>
                <w:lang w:val="sl-SI"/>
              </w:rPr>
              <w:t>Študenti na magistrski ravni, ki so pridobili prvo visokošolsko diplomo ali lahko dokažejo priznano enakovredno stopnjo izobrazbe v skladu z nacionalno zakonodajo in prakso v državah, ki podeljujejo diplome, so upravičeni.</w:t>
            </w:r>
          </w:p>
          <w:p w14:paraId="7D398FB1" w14:textId="77777777" w:rsidR="00E03711" w:rsidRPr="00FC4A70" w:rsidRDefault="00E03711" w:rsidP="00A13051">
            <w:pPr>
              <w:keepNext/>
              <w:keepLines/>
              <w:widowControl/>
              <w:suppressAutoHyphens w:val="0"/>
              <w:spacing w:beforeLines="40" w:before="96" w:afterLines="40" w:after="96"/>
              <w:jc w:val="both"/>
              <w:textAlignment w:val="auto"/>
              <w:rPr>
                <w:rFonts w:eastAsia="Calibri"/>
                <w:sz w:val="18"/>
                <w:lang w:val="sl-SI" w:eastAsia="en-US"/>
              </w:rPr>
            </w:pPr>
            <w:r w:rsidRPr="00FC4A70">
              <w:rPr>
                <w:rFonts w:eastAsia="Calibri" w:cs="Calibri"/>
                <w:sz w:val="18"/>
                <w:szCs w:val="18"/>
                <w:bdr w:val="nil"/>
                <w:lang w:val="sl-SI" w:eastAsia="en-US"/>
              </w:rPr>
              <w:t>Študenti, ki so predhodno prejeli štipendijo za program EMJMD ali štipendijo za magistrski/skupni doktorski program Erasmus Mundus, niso upravičeni do prijave za dodatno štipendijo v okviru ukrepa EMJMD.</w:t>
            </w:r>
          </w:p>
          <w:p w14:paraId="7D398FB2" w14:textId="77777777" w:rsidR="00E03711" w:rsidRPr="00FC4A70" w:rsidRDefault="00E03711" w:rsidP="00A13051">
            <w:pPr>
              <w:keepNext/>
              <w:keepLines/>
              <w:widowControl/>
              <w:suppressAutoHyphens w:val="0"/>
              <w:spacing w:beforeLines="40" w:before="96" w:afterLines="40" w:after="96"/>
              <w:jc w:val="both"/>
              <w:textAlignment w:val="auto"/>
              <w:rPr>
                <w:rFonts w:eastAsia="Calibri"/>
                <w:sz w:val="18"/>
                <w:lang w:val="sl-SI" w:eastAsia="en-US"/>
              </w:rPr>
            </w:pPr>
            <w:r w:rsidRPr="00FC4A70">
              <w:rPr>
                <w:rFonts w:eastAsia="Calibri" w:cs="Calibri"/>
                <w:sz w:val="18"/>
                <w:szCs w:val="18"/>
                <w:bdr w:val="nil"/>
                <w:lang w:val="sl-SI" w:eastAsia="en-US"/>
              </w:rPr>
              <w:t xml:space="preserve">Prejemniki štipendije EMJMD za udeležbo v istem programu EMJMD ne morejo koristiti drugega programa štipendiranja, ki ga financira EU, kar velja za celotno obdobje programa. </w:t>
            </w:r>
          </w:p>
          <w:p w14:paraId="7D398FB3" w14:textId="77777777" w:rsidR="00E03711" w:rsidRPr="00FC4A70" w:rsidRDefault="00E03711" w:rsidP="00A13051">
            <w:pPr>
              <w:keepNext/>
              <w:keepLines/>
              <w:spacing w:beforeLines="40" w:before="96" w:afterLines="40" w:after="96"/>
              <w:rPr>
                <w:rFonts w:eastAsia="Calibri"/>
                <w:sz w:val="18"/>
                <w:lang w:val="sl-SI" w:eastAsia="en-US"/>
              </w:rPr>
            </w:pPr>
            <w:r w:rsidRPr="00FC4A70">
              <w:rPr>
                <w:rFonts w:eastAsia="Calibri" w:cs="Calibri"/>
                <w:sz w:val="18"/>
                <w:szCs w:val="18"/>
                <w:bdr w:val="nil"/>
                <w:lang w:val="sl-SI" w:eastAsia="en-US"/>
              </w:rPr>
              <w:t>Vsaj 75 % štipendij EMJMD</w:t>
            </w:r>
            <w:r w:rsidRPr="00FC4A70">
              <w:rPr>
                <w:rStyle w:val="FootnoteReference"/>
                <w:rFonts w:eastAsia="Calibri"/>
                <w:sz w:val="18"/>
                <w:lang w:val="en-GB" w:eastAsia="en-US"/>
              </w:rPr>
              <w:footnoteReference w:id="68"/>
            </w:r>
            <w:r w:rsidRPr="00FC4A70">
              <w:rPr>
                <w:rFonts w:eastAsia="Calibri" w:cs="Calibri"/>
                <w:sz w:val="18"/>
                <w:szCs w:val="18"/>
                <w:bdr w:val="nil"/>
                <w:lang w:val="sl-SI" w:eastAsia="en-US"/>
              </w:rPr>
              <w:t xml:space="preserve"> bo namenjenih kandidatom iz partnerskih držav.  </w:t>
            </w:r>
          </w:p>
          <w:p w14:paraId="7D398FB4" w14:textId="77777777" w:rsidR="00E03711" w:rsidRPr="00FC4A70" w:rsidRDefault="00E03711" w:rsidP="00A13051">
            <w:pPr>
              <w:keepNext/>
              <w:keepLines/>
              <w:spacing w:beforeLines="40" w:before="96" w:afterLines="40" w:after="96"/>
              <w:rPr>
                <w:sz w:val="18"/>
                <w:szCs w:val="18"/>
                <w:lang w:val="sl-SI"/>
              </w:rPr>
            </w:pPr>
            <w:r w:rsidRPr="00FC4A70">
              <w:rPr>
                <w:rFonts w:eastAsia="Calibri" w:cs="Calibri"/>
                <w:sz w:val="18"/>
                <w:szCs w:val="18"/>
                <w:bdr w:val="nil"/>
                <w:lang w:val="sl-SI"/>
              </w:rPr>
              <w:t>Študenti oddajo vlogo za štipendijo neposredno pri konzorciju EMJMD po svoji izbiri in se udeležijo konkurenčnega postopka izbora, ki ga organizira konzorcij visokošolskih institucij.</w:t>
            </w:r>
          </w:p>
          <w:p w14:paraId="7D398FB5" w14:textId="77777777" w:rsidR="00E03711" w:rsidRPr="00F769E0" w:rsidRDefault="00E03711" w:rsidP="00F91D63">
            <w:pPr>
              <w:pStyle w:val="GUIDE-NORMAL"/>
              <w:spacing w:before="60" w:after="60"/>
              <w:rPr>
                <w:rFonts w:cs="Tahoma"/>
                <w:lang w:val="sl-SI" w:eastAsia="en-GB"/>
              </w:rPr>
            </w:pPr>
            <w:r w:rsidRPr="00FC4A70">
              <w:rPr>
                <w:rFonts w:eastAsia="Calibri" w:cs="Calibri"/>
                <w:bdr w:val="nil"/>
                <w:lang w:val="sl-SI" w:eastAsia="en-GB"/>
              </w:rPr>
              <w:t>Za izbor, zaposlovanje in spremljanje posameznih študentov je odgovoren konzorcij EMJMD.</w:t>
            </w:r>
          </w:p>
        </w:tc>
      </w:tr>
      <w:tr w:rsidR="00E03711" w:rsidRPr="00383EF8" w14:paraId="7D398FB9" w14:textId="77777777" w:rsidTr="00A34471">
        <w:trPr>
          <w:trHeight w:val="283"/>
        </w:trPr>
        <w:tc>
          <w:tcPr>
            <w:tcW w:w="1127" w:type="pct"/>
            <w:shd w:val="clear" w:color="auto" w:fill="FFFFFF"/>
            <w:vAlign w:val="center"/>
          </w:tcPr>
          <w:p w14:paraId="7D398FB7" w14:textId="77777777" w:rsidR="00E03711" w:rsidRPr="00F769E0" w:rsidRDefault="00E03711" w:rsidP="00F91D63">
            <w:pPr>
              <w:pStyle w:val="Guide-Table"/>
              <w:spacing w:before="60" w:after="60"/>
              <w:jc w:val="left"/>
              <w:rPr>
                <w:rFonts w:cs="Tahoma"/>
                <w:b/>
                <w:lang w:val="sl-SI" w:eastAsia="en-GB"/>
              </w:rPr>
            </w:pPr>
            <w:r w:rsidRPr="00F769E0">
              <w:rPr>
                <w:rFonts w:cs="Tahoma"/>
                <w:b/>
                <w:lang w:val="sl-SI" w:eastAsia="en-GB"/>
              </w:rPr>
              <w:t>Trajanje aktivnosti</w:t>
            </w:r>
          </w:p>
        </w:tc>
        <w:tc>
          <w:tcPr>
            <w:tcW w:w="3873" w:type="pct"/>
            <w:shd w:val="clear" w:color="auto" w:fill="FFFFFF"/>
            <w:vAlign w:val="center"/>
          </w:tcPr>
          <w:p w14:paraId="7D398FB8" w14:textId="77777777" w:rsidR="00E03711" w:rsidRPr="00F769E0" w:rsidRDefault="00E03711" w:rsidP="00F91D63">
            <w:pPr>
              <w:pStyle w:val="GUIDE-NORMAL"/>
              <w:spacing w:before="60" w:after="60"/>
              <w:rPr>
                <w:rFonts w:cs="Tahoma"/>
                <w:lang w:val="sl-SI" w:eastAsia="en-GB"/>
              </w:rPr>
            </w:pPr>
            <w:r w:rsidRPr="00F769E0">
              <w:rPr>
                <w:rFonts w:cs="Tahoma"/>
                <w:lang w:val="sl-SI" w:eastAsia="en-GB"/>
              </w:rPr>
              <w:t>Štipendije za študente se dodelijo izključno za redni vpis na enega od magistrskih programov in krijejo celotno trajanje študijskega programa EMJMD.</w:t>
            </w:r>
          </w:p>
        </w:tc>
      </w:tr>
      <w:tr w:rsidR="00E03711" w:rsidRPr="00383EF8" w14:paraId="7D398FBC" w14:textId="77777777" w:rsidTr="00A34471">
        <w:trPr>
          <w:trHeight w:val="283"/>
        </w:trPr>
        <w:tc>
          <w:tcPr>
            <w:tcW w:w="1127" w:type="pct"/>
            <w:shd w:val="clear" w:color="auto" w:fill="FFFFFF"/>
            <w:vAlign w:val="center"/>
          </w:tcPr>
          <w:p w14:paraId="7D398FBA" w14:textId="77777777" w:rsidR="00E03711" w:rsidRPr="00F769E0" w:rsidRDefault="00E03711" w:rsidP="00F91D63">
            <w:pPr>
              <w:pStyle w:val="GUIDE-NORMAL"/>
              <w:spacing w:before="60" w:after="60"/>
              <w:rPr>
                <w:rFonts w:cs="Tahoma"/>
                <w:b/>
                <w:lang w:val="sl-SI" w:eastAsia="en-GB"/>
              </w:rPr>
            </w:pPr>
            <w:r w:rsidRPr="00FC4A70">
              <w:rPr>
                <w:rFonts w:eastAsia="Calibri" w:cs="Calibri"/>
                <w:b/>
                <w:bCs/>
                <w:bdr w:val="nil"/>
                <w:shd w:val="clear" w:color="auto" w:fill="auto"/>
                <w:lang w:val="sl-SI"/>
              </w:rPr>
              <w:t xml:space="preserve">Kraj izvajanja </w:t>
            </w:r>
          </w:p>
        </w:tc>
        <w:tc>
          <w:tcPr>
            <w:tcW w:w="3873" w:type="pct"/>
            <w:shd w:val="clear" w:color="auto" w:fill="FFFFFF"/>
            <w:vAlign w:val="center"/>
          </w:tcPr>
          <w:p w14:paraId="7D398FBB" w14:textId="77777777" w:rsidR="00E03711" w:rsidRPr="00F769E0" w:rsidRDefault="00E03711" w:rsidP="00F91D63">
            <w:pPr>
              <w:pStyle w:val="GUIDE-NORMAL"/>
              <w:spacing w:before="60" w:after="60"/>
              <w:rPr>
                <w:rFonts w:cs="Tahoma"/>
                <w:lang w:val="sl-SI" w:eastAsia="en-GB"/>
              </w:rPr>
            </w:pPr>
            <w:r>
              <w:rPr>
                <w:rFonts w:eastAsia="Calibri" w:cs="Calibri"/>
                <w:bdr w:val="nil"/>
                <w:shd w:val="clear" w:color="auto" w:fill="auto"/>
                <w:lang w:val="sl-SI"/>
              </w:rPr>
              <w:t>O</w:t>
            </w:r>
            <w:r w:rsidRPr="00FC4A70">
              <w:rPr>
                <w:rFonts w:eastAsia="Calibri" w:cs="Calibri"/>
                <w:bdr w:val="nil"/>
                <w:shd w:val="clear" w:color="auto" w:fill="auto"/>
                <w:lang w:val="sl-SI"/>
              </w:rPr>
              <w:t xml:space="preserve">bdobja študija (npr. </w:t>
            </w:r>
            <w:r>
              <w:rPr>
                <w:rFonts w:eastAsia="Calibri" w:cs="Calibri"/>
                <w:bdr w:val="nil"/>
                <w:shd w:val="clear" w:color="auto" w:fill="auto"/>
                <w:lang w:val="sl-SI"/>
              </w:rPr>
              <w:t xml:space="preserve">poučevanje, </w:t>
            </w:r>
            <w:r w:rsidRPr="00FC4A70">
              <w:rPr>
                <w:rFonts w:eastAsia="Calibri" w:cs="Calibri"/>
                <w:bdr w:val="nil"/>
                <w:shd w:val="clear" w:color="auto" w:fill="auto"/>
                <w:lang w:val="sl-SI"/>
              </w:rPr>
              <w:t>raziskave, praksa, priprava magistrske naloge), kot razširitev najkrajšega zahtevanega obdobja, se lahko izvajajo v drugih sodelujočih organizacijah v državah Programa ali partnerskih držav, če se zadevne aktivnosti izvajajo pod neposrednim nadzorom ene od partnerskih visokošolskih institucij konzorcija.</w:t>
            </w:r>
          </w:p>
        </w:tc>
      </w:tr>
      <w:tr w:rsidR="00E03711" w:rsidRPr="00383EF8" w14:paraId="7D398FC0" w14:textId="77777777" w:rsidTr="00A34471">
        <w:trPr>
          <w:trHeight w:val="283"/>
        </w:trPr>
        <w:tc>
          <w:tcPr>
            <w:tcW w:w="1127" w:type="pct"/>
            <w:shd w:val="clear" w:color="auto" w:fill="FFFFFF"/>
            <w:vAlign w:val="center"/>
          </w:tcPr>
          <w:p w14:paraId="7D398FBD" w14:textId="77777777" w:rsidR="00E03711" w:rsidRPr="00F769E0" w:rsidRDefault="00E03711" w:rsidP="00F91D63">
            <w:pPr>
              <w:pStyle w:val="GUIDE-NORMAL"/>
              <w:spacing w:before="60" w:after="60"/>
              <w:rPr>
                <w:rFonts w:cs="Tahoma"/>
                <w:b/>
                <w:lang w:val="sl-SI" w:eastAsia="en-GB"/>
              </w:rPr>
            </w:pPr>
            <w:r w:rsidRPr="00F769E0">
              <w:rPr>
                <w:rFonts w:cs="Tahoma"/>
                <w:b/>
                <w:lang w:val="sl-SI" w:eastAsia="en-GB"/>
              </w:rPr>
              <w:t>Učni izidi</w:t>
            </w:r>
          </w:p>
        </w:tc>
        <w:tc>
          <w:tcPr>
            <w:tcW w:w="3873" w:type="pct"/>
            <w:shd w:val="clear" w:color="auto" w:fill="FFFFFF"/>
            <w:vAlign w:val="center"/>
          </w:tcPr>
          <w:p w14:paraId="7D398FBE" w14:textId="77777777" w:rsidR="00E03711" w:rsidRPr="00F769E0" w:rsidRDefault="00E03711" w:rsidP="00F91D63">
            <w:pPr>
              <w:pStyle w:val="GUIDE-NORMAL"/>
              <w:spacing w:before="60" w:after="60"/>
              <w:rPr>
                <w:rFonts w:cs="Tahoma"/>
                <w:lang w:val="sl-SI" w:eastAsia="en-GB"/>
              </w:rPr>
            </w:pPr>
            <w:r w:rsidRPr="00F769E0">
              <w:rPr>
                <w:rFonts w:cs="Tahoma"/>
                <w:lang w:val="sl-SI" w:eastAsia="en-GB"/>
              </w:rPr>
              <w:t>Študenti bodo morali pridobiti vse možne kreditne točke ECTS, ki so zajete v EMJMD (60, 90 ali 120). Poleg tega bodo za vsako obvezno študijsko obdobje v vsaj dveh državah Programa morali pridobiti vsaj 20 kreditnih točk ECTS (za študijske programe s 60 kreditnimi točkami ECTS) ali 30 kreditnih točk ECTS (za študijske programe z 90 ali s 120 kreditnimi točkami ECTS).</w:t>
            </w:r>
          </w:p>
          <w:p w14:paraId="7D398FBF" w14:textId="77777777" w:rsidR="00E03711" w:rsidRPr="00F769E0" w:rsidRDefault="00E03711" w:rsidP="00F91D63">
            <w:pPr>
              <w:pStyle w:val="GUIDE-NORMAL"/>
              <w:spacing w:before="60" w:after="60"/>
              <w:rPr>
                <w:rStyle w:val="Guide-Condensed-02"/>
                <w:rFonts w:cs="Tahoma"/>
                <w:spacing w:val="-6"/>
                <w:lang w:val="sl-SI" w:eastAsia="en-GB"/>
              </w:rPr>
            </w:pPr>
            <w:r w:rsidRPr="00F769E0">
              <w:rPr>
                <w:rFonts w:cs="Tahoma"/>
                <w:lang w:val="sl-SI" w:eastAsia="en-GB"/>
              </w:rPr>
              <w:t>Obdobja mobilnosti ni mogoče nadomestiti z virtualno mobilnostjo (učenje na daljavo), saj je potrebna fizična prisotnost študentov za ves čas magistrskega študija. Poleg tega se ne morejo izvajati v institucijah zunaj konzorcija EMJMD (tj. partnerjev in/ali pridruženih partnerjev).</w:t>
            </w:r>
          </w:p>
        </w:tc>
      </w:tr>
    </w:tbl>
    <w:p w14:paraId="7D398FC1" w14:textId="77777777" w:rsidR="00E03711" w:rsidRPr="00906A9D" w:rsidRDefault="00E03711" w:rsidP="004875C9">
      <w:pPr>
        <w:pStyle w:val="Guide-Heading6"/>
        <w:rPr>
          <w:rFonts w:eastAsia="Calibri"/>
          <w:lang w:val="sl-SI" w:eastAsia="en-US"/>
        </w:rPr>
      </w:pPr>
      <w:r w:rsidRPr="00622434">
        <w:rPr>
          <w:rFonts w:eastAsia="Calibri" w:cs="Calibri"/>
          <w:b w:val="0"/>
          <w:bCs/>
          <w:smallCaps w:val="0"/>
          <w:szCs w:val="20"/>
          <w:bdr w:val="nil"/>
          <w:lang w:val="sl-SI"/>
        </w:rPr>
        <w:t xml:space="preserve"> </w:t>
      </w:r>
      <w:r>
        <w:rPr>
          <w:rFonts w:eastAsia="Calibri" w:cs="Calibri"/>
          <w:bCs/>
          <w:szCs w:val="20"/>
          <w:bdr w:val="nil"/>
          <w:lang w:val="sl-SI"/>
        </w:rPr>
        <w:t xml:space="preserve">Dodatna merila za upravičenost za osebje/znanstvenike/gostujoče predavatelje </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94"/>
        <w:gridCol w:w="7196"/>
      </w:tblGrid>
      <w:tr w:rsidR="00E03711" w:rsidRPr="00383EF8" w14:paraId="7D398FC6" w14:textId="77777777" w:rsidTr="006C5501">
        <w:trPr>
          <w:cantSplit/>
        </w:trPr>
        <w:tc>
          <w:tcPr>
            <w:tcW w:w="1127" w:type="pct"/>
            <w:tcBorders>
              <w:top w:val="single" w:sz="4" w:space="0" w:color="auto"/>
              <w:bottom w:val="dashed" w:sz="4" w:space="0" w:color="auto"/>
            </w:tcBorders>
            <w:shd w:val="clear" w:color="auto" w:fill="FFFFFF"/>
            <w:vAlign w:val="center"/>
          </w:tcPr>
          <w:p w14:paraId="7D398FC2" w14:textId="77777777" w:rsidR="00E03711" w:rsidRPr="0019773D" w:rsidRDefault="00E03711" w:rsidP="006C5501">
            <w:pPr>
              <w:keepNext/>
              <w:keepLines/>
              <w:rPr>
                <w:b/>
                <w:sz w:val="18"/>
                <w:szCs w:val="18"/>
                <w:lang w:val="en-GB"/>
              </w:rPr>
            </w:pPr>
            <w:r>
              <w:rPr>
                <w:rFonts w:eastAsia="Calibri" w:cs="Calibri"/>
                <w:b/>
                <w:bCs/>
                <w:sz w:val="18"/>
                <w:szCs w:val="18"/>
                <w:bdr w:val="nil"/>
                <w:lang w:val="sl-SI"/>
              </w:rPr>
              <w:t>Upravičeni udeleženci</w:t>
            </w:r>
          </w:p>
        </w:tc>
        <w:tc>
          <w:tcPr>
            <w:tcW w:w="3873" w:type="pct"/>
            <w:tcBorders>
              <w:top w:val="single" w:sz="4" w:space="0" w:color="auto"/>
              <w:bottom w:val="dashed" w:sz="4" w:space="0" w:color="auto"/>
            </w:tcBorders>
            <w:shd w:val="clear" w:color="auto" w:fill="FFFFFF"/>
          </w:tcPr>
          <w:p w14:paraId="7D398FC3" w14:textId="77777777" w:rsidR="00E03711" w:rsidRPr="007121FF" w:rsidRDefault="00E03711" w:rsidP="00A13051">
            <w:pPr>
              <w:pStyle w:val="Bullet-Dot"/>
              <w:numPr>
                <w:ilvl w:val="0"/>
                <w:numId w:val="0"/>
              </w:numPr>
              <w:spacing w:beforeLines="40" w:before="96" w:afterLines="40" w:after="96"/>
              <w:jc w:val="both"/>
              <w:rPr>
                <w:rFonts w:ascii="Calibri" w:hAnsi="Calibri"/>
                <w:color w:val="auto"/>
                <w:sz w:val="18"/>
                <w:szCs w:val="18"/>
              </w:rPr>
            </w:pPr>
            <w:r>
              <w:rPr>
                <w:rFonts w:ascii="Calibri" w:eastAsia="Calibri" w:hAnsi="Calibri" w:cs="Calibri"/>
                <w:color w:val="auto"/>
                <w:sz w:val="18"/>
                <w:szCs w:val="18"/>
                <w:bdr w:val="nil"/>
                <w:lang w:val="sl-SI"/>
              </w:rPr>
              <w:t>1</w:t>
            </w:r>
            <w:r w:rsidRPr="007121FF">
              <w:rPr>
                <w:rFonts w:ascii="Calibri" w:eastAsia="Calibri" w:hAnsi="Calibri" w:cs="Calibri"/>
                <w:color w:val="auto"/>
                <w:sz w:val="18"/>
                <w:szCs w:val="18"/>
                <w:bdr w:val="nil"/>
                <w:lang w:val="sl-SI"/>
              </w:rPr>
              <w:t>) Osebje sodelujočih organizacij;</w:t>
            </w:r>
          </w:p>
          <w:p w14:paraId="7D398FC4" w14:textId="77777777" w:rsidR="00E03711" w:rsidRPr="007121FF" w:rsidRDefault="00E03711" w:rsidP="00A13051">
            <w:pPr>
              <w:pStyle w:val="Bullet-Dot"/>
              <w:numPr>
                <w:ilvl w:val="0"/>
                <w:numId w:val="0"/>
              </w:numPr>
              <w:spacing w:beforeLines="40" w:before="96" w:afterLines="40" w:after="96"/>
              <w:jc w:val="both"/>
              <w:rPr>
                <w:rFonts w:ascii="Calibri" w:eastAsia="SimSun" w:hAnsi="Calibri" w:cs="Tahoma"/>
                <w:color w:val="auto"/>
                <w:kern w:val="3"/>
                <w:sz w:val="18"/>
                <w:szCs w:val="18"/>
                <w:lang w:eastAsia="zh-CN"/>
              </w:rPr>
            </w:pPr>
            <w:r w:rsidRPr="007121FF">
              <w:rPr>
                <w:rFonts w:ascii="Calibri" w:eastAsia="Calibri" w:hAnsi="Calibri" w:cs="Calibri"/>
                <w:color w:val="auto"/>
                <w:sz w:val="18"/>
                <w:szCs w:val="18"/>
                <w:bdr w:val="nil"/>
                <w:lang w:val="sl-SI"/>
              </w:rPr>
              <w:t xml:space="preserve">2) Povabljeni znanstveniki (/gostujoči predavatelji) iz držav programa in partnerskih držav Najmanj štirje povabljeni znanstveniki/gostujoči predavatelji na vpis </w:t>
            </w:r>
            <w:r w:rsidRPr="007121FF">
              <w:rPr>
                <w:rFonts w:asciiTheme="minorHAnsi" w:eastAsia="Calibri" w:hAnsiTheme="minorHAnsi" w:cstheme="minorHAnsi"/>
                <w:color w:val="auto"/>
                <w:sz w:val="18"/>
                <w:szCs w:val="18"/>
                <w:bdr w:val="nil"/>
              </w:rPr>
              <w:t>morajo</w:t>
            </w:r>
            <w:r w:rsidRPr="007121FF">
              <w:rPr>
                <w:rFonts w:eastAsia="Calibri" w:cs="Calibri"/>
                <w:color w:val="auto"/>
                <w:sz w:val="18"/>
                <w:szCs w:val="18"/>
                <w:bdr w:val="nil"/>
              </w:rPr>
              <w:t xml:space="preserve"> </w:t>
            </w:r>
            <w:r w:rsidRPr="007121FF">
              <w:rPr>
                <w:rFonts w:ascii="Calibri" w:eastAsia="Calibri" w:hAnsi="Calibri" w:cs="Calibri"/>
                <w:color w:val="auto"/>
                <w:sz w:val="18"/>
                <w:szCs w:val="18"/>
                <w:bdr w:val="nil"/>
                <w:lang w:val="sl-SI"/>
              </w:rPr>
              <w:t xml:space="preserve">skupno vsaj 8 tednov </w:t>
            </w:r>
            <w:r w:rsidRPr="007121FF">
              <w:rPr>
                <w:rFonts w:asciiTheme="minorHAnsi" w:eastAsia="Calibri" w:hAnsiTheme="minorHAnsi" w:cstheme="minorHAnsi"/>
                <w:color w:val="auto"/>
                <w:sz w:val="18"/>
                <w:szCs w:val="18"/>
                <w:bdr w:val="nil"/>
                <w:lang w:val="sl-SI"/>
              </w:rPr>
              <w:t>sod</w:t>
            </w:r>
            <w:r w:rsidRPr="007121FF">
              <w:rPr>
                <w:rFonts w:asciiTheme="minorHAnsi" w:eastAsia="Calibri" w:hAnsiTheme="minorHAnsi" w:cstheme="minorHAnsi"/>
                <w:color w:val="auto"/>
                <w:sz w:val="18"/>
                <w:szCs w:val="18"/>
                <w:bdr w:val="nil"/>
              </w:rPr>
              <w:t>elovati</w:t>
            </w:r>
            <w:r w:rsidRPr="007121FF">
              <w:rPr>
                <w:rFonts w:ascii="Calibri" w:eastAsia="Calibri" w:hAnsi="Calibri" w:cs="Calibri"/>
                <w:color w:val="auto"/>
                <w:sz w:val="18"/>
                <w:szCs w:val="18"/>
                <w:bdr w:val="nil"/>
                <w:lang w:val="sl-SI"/>
              </w:rPr>
              <w:t xml:space="preserve"> v aktivnostih EMJMD.</w:t>
            </w:r>
          </w:p>
          <w:p w14:paraId="7D398FC5" w14:textId="77777777" w:rsidR="00E03711" w:rsidRPr="00B73397" w:rsidRDefault="00E03711" w:rsidP="00A13051">
            <w:pPr>
              <w:pStyle w:val="Bullet-Dot"/>
              <w:numPr>
                <w:ilvl w:val="0"/>
                <w:numId w:val="0"/>
              </w:numPr>
              <w:spacing w:beforeLines="40" w:before="96" w:afterLines="40" w:after="96"/>
              <w:jc w:val="both"/>
              <w:rPr>
                <w:rFonts w:ascii="Calibri" w:hAnsi="Calibri"/>
                <w:sz w:val="18"/>
                <w:szCs w:val="18"/>
              </w:rPr>
            </w:pPr>
            <w:r w:rsidRPr="007121FF">
              <w:rPr>
                <w:rFonts w:ascii="Calibri" w:eastAsia="Calibri" w:hAnsi="Calibri" w:cs="Calibri"/>
                <w:color w:val="auto"/>
                <w:kern w:val="3"/>
                <w:sz w:val="18"/>
                <w:szCs w:val="18"/>
                <w:bdr w:val="nil"/>
                <w:lang w:val="sl-SI" w:eastAsia="zh-CN"/>
              </w:rPr>
              <w:t xml:space="preserve">Povabljeni znanstveniki/gostujoči predavatelji morajo biti izbrani v skladu s posebnimi merili konzorcija za izbor znanstvenikov in prispevati dejansko dodano vrednost za izvajanje EMJMD. </w:t>
            </w:r>
          </w:p>
        </w:tc>
      </w:tr>
    </w:tbl>
    <w:p w14:paraId="7D398FC7" w14:textId="77777777" w:rsidR="00E03711" w:rsidRPr="001048FE" w:rsidRDefault="00E03711" w:rsidP="004875C9">
      <w:pPr>
        <w:pStyle w:val="Guide-Heading6"/>
        <w:rPr>
          <w:lang w:val="sl-SI"/>
        </w:rPr>
      </w:pPr>
      <w:r w:rsidRPr="001048FE">
        <w:rPr>
          <w:lang w:val="sl-SI"/>
        </w:rPr>
        <w:t>Merila za dodelitev</w:t>
      </w:r>
    </w:p>
    <w:p w14:paraId="7D398FC8" w14:textId="77777777" w:rsidR="00E03711" w:rsidRPr="001048FE" w:rsidRDefault="00E03711" w:rsidP="004875C9">
      <w:pPr>
        <w:pStyle w:val="GUIDE-NORMAL"/>
        <w:rPr>
          <w:lang w:val="sl-SI"/>
        </w:rPr>
      </w:pPr>
      <w:r w:rsidRPr="001048FE">
        <w:rPr>
          <w:lang w:val="sl-SI"/>
        </w:rPr>
        <w:t>Projekti bodo ocenjeni z naslednjimi merili:</w:t>
      </w:r>
    </w:p>
    <w:tbl>
      <w:tblPr>
        <w:tblW w:w="5000" w:type="pct"/>
        <w:tblInd w:w="7" w:type="dxa"/>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CellMar>
          <w:top w:w="86" w:type="dxa"/>
          <w:left w:w="115" w:type="dxa"/>
          <w:bottom w:w="86" w:type="dxa"/>
          <w:right w:w="115" w:type="dxa"/>
        </w:tblCellMar>
        <w:tblLook w:val="0000" w:firstRow="0" w:lastRow="0" w:firstColumn="0" w:lastColumn="0" w:noHBand="0" w:noVBand="0"/>
      </w:tblPr>
      <w:tblGrid>
        <w:gridCol w:w="1571"/>
        <w:gridCol w:w="7733"/>
      </w:tblGrid>
      <w:tr w:rsidR="00E03711" w:rsidRPr="00383EF8" w14:paraId="7D398FCF" w14:textId="77777777" w:rsidTr="00CD63C4">
        <w:trPr>
          <w:trHeight w:val="113"/>
        </w:trPr>
        <w:tc>
          <w:tcPr>
            <w:tcW w:w="844" w:type="pct"/>
            <w:shd w:val="clear" w:color="auto" w:fill="FFFFFF"/>
            <w:vAlign w:val="center"/>
          </w:tcPr>
          <w:p w14:paraId="7D398FC9" w14:textId="77777777" w:rsidR="00E03711" w:rsidRPr="00F769E0" w:rsidRDefault="00E03711" w:rsidP="00B2031E">
            <w:pPr>
              <w:pStyle w:val="GUIDE-NORMAL"/>
              <w:spacing w:before="60" w:after="60"/>
              <w:jc w:val="left"/>
              <w:rPr>
                <w:rFonts w:cs="Tahoma"/>
                <w:b/>
                <w:lang w:val="sl-SI" w:eastAsia="en-GB"/>
              </w:rPr>
            </w:pPr>
            <w:r w:rsidRPr="00F769E0">
              <w:rPr>
                <w:rFonts w:cs="Tahoma"/>
                <w:b/>
                <w:lang w:val="sl-SI" w:eastAsia="en-GB"/>
              </w:rPr>
              <w:t xml:space="preserve">Ustreznost projekta </w:t>
            </w:r>
            <w:r w:rsidRPr="00F769E0">
              <w:rPr>
                <w:rFonts w:cs="Tahoma"/>
                <w:b/>
                <w:lang w:val="sl-SI" w:eastAsia="en-GB"/>
              </w:rPr>
              <w:br/>
              <w:t>(največ 40 točk):</w:t>
            </w:r>
          </w:p>
        </w:tc>
        <w:tc>
          <w:tcPr>
            <w:tcW w:w="4156" w:type="pct"/>
            <w:shd w:val="clear" w:color="auto" w:fill="FFFFFF"/>
          </w:tcPr>
          <w:p w14:paraId="7D398FCA" w14:textId="77777777" w:rsidR="00E03711" w:rsidRPr="001048FE" w:rsidRDefault="00E03711" w:rsidP="005115F2">
            <w:pPr>
              <w:pStyle w:val="Guide-NormalBulletpoints"/>
              <w:numPr>
                <w:ilvl w:val="0"/>
                <w:numId w:val="244"/>
              </w:numPr>
              <w:spacing w:before="60"/>
              <w:rPr>
                <w:lang w:val="sl-SI"/>
              </w:rPr>
            </w:pPr>
            <w:r w:rsidRPr="001048FE">
              <w:rPr>
                <w:lang w:val="sl-SI"/>
              </w:rPr>
              <w:t>elementi predloga o skupnem izvajanju/integriranju, zasnovi in strukturi (vključno s sestavo konzorcija) so oblikovani tako, da učinkovito dosegajo cilje programa EMJMD;</w:t>
            </w:r>
          </w:p>
          <w:p w14:paraId="7D398FCB" w14:textId="77777777" w:rsidR="00E03711" w:rsidRPr="001048FE" w:rsidRDefault="00E03711" w:rsidP="005115F2">
            <w:pPr>
              <w:pStyle w:val="Guide-NormalBulletpoints"/>
              <w:numPr>
                <w:ilvl w:val="0"/>
                <w:numId w:val="244"/>
              </w:numPr>
              <w:spacing w:before="60"/>
              <w:rPr>
                <w:lang w:val="sl-SI"/>
              </w:rPr>
            </w:pPr>
            <w:r w:rsidRPr="001048FE">
              <w:rPr>
                <w:lang w:val="sl-SI"/>
              </w:rPr>
              <w:t>predlog opisuje, kako je EMJMD vključen v katalog študijskih programov pri partnerju, in določa pričakovano izobrazbo, zlasti podelitev skupne izobrazbe EMJMD, če to dovoljuje nacionalna zakonodaja;</w:t>
            </w:r>
          </w:p>
          <w:p w14:paraId="7D398FCC" w14:textId="77777777" w:rsidR="00E03711" w:rsidRPr="001048FE" w:rsidRDefault="00E03711" w:rsidP="005115F2">
            <w:pPr>
              <w:pStyle w:val="Guide-NormalBulletpoints"/>
              <w:numPr>
                <w:ilvl w:val="0"/>
                <w:numId w:val="244"/>
              </w:numPr>
              <w:spacing w:before="60"/>
              <w:rPr>
                <w:lang w:val="sl-SI"/>
              </w:rPr>
            </w:pPr>
            <w:r w:rsidRPr="001048FE">
              <w:rPr>
                <w:lang w:val="sl-SI"/>
              </w:rPr>
              <w:t>predlagan EMJMD je odgovor na jasno določene potrebe na študijskem področju;</w:t>
            </w:r>
          </w:p>
          <w:p w14:paraId="7D398FCD" w14:textId="77777777" w:rsidR="00E03711" w:rsidRDefault="00E03711" w:rsidP="005115F2">
            <w:pPr>
              <w:pStyle w:val="Guide-NormalBulletpoints"/>
              <w:numPr>
                <w:ilvl w:val="0"/>
                <w:numId w:val="244"/>
              </w:numPr>
              <w:spacing w:before="60"/>
              <w:rPr>
                <w:lang w:val="sl-SI"/>
              </w:rPr>
            </w:pPr>
            <w:r w:rsidRPr="001048FE">
              <w:rPr>
                <w:lang w:val="sl-SI"/>
              </w:rPr>
              <w:t>predlog določa, kako namerava EMJMD povečati privlačnost evropskega visokošolskega prostora</w:t>
            </w:r>
            <w:r>
              <w:rPr>
                <w:lang w:val="sl-SI"/>
              </w:rPr>
              <w:t xml:space="preserve"> </w:t>
            </w:r>
            <w:r w:rsidRPr="001048FE">
              <w:rPr>
                <w:lang w:val="sl-SI"/>
              </w:rPr>
              <w:t xml:space="preserve"> ter spodbujati odličnost evropskih univerz, inovacije in konkurenčnost z vidika ciljnih študijskih področij/predmetov;</w:t>
            </w:r>
          </w:p>
          <w:p w14:paraId="7D398FCE" w14:textId="77777777" w:rsidR="00E03711" w:rsidRPr="001048FE" w:rsidRDefault="00E03711" w:rsidP="005115F2">
            <w:pPr>
              <w:pStyle w:val="Guide-NormalBulletpoints"/>
              <w:numPr>
                <w:ilvl w:val="0"/>
                <w:numId w:val="244"/>
              </w:numPr>
              <w:spacing w:before="60"/>
              <w:rPr>
                <w:lang w:val="sl-SI"/>
              </w:rPr>
            </w:pPr>
            <w:r w:rsidRPr="001048FE">
              <w:rPr>
                <w:lang w:val="sl-SI"/>
              </w:rPr>
              <w:t>predlagan konzorcij EMJMD je zelo pomemben zaradi internacionalizacije visokošolskega izobraževanja in je bil oblikovan, da prinese največ koristi za mobilnost študentov in osebja.</w:t>
            </w:r>
          </w:p>
        </w:tc>
      </w:tr>
      <w:tr w:rsidR="00E03711" w:rsidRPr="00383EF8" w14:paraId="7D398FD8" w14:textId="77777777" w:rsidTr="00CD63C4">
        <w:trPr>
          <w:trHeight w:val="113"/>
        </w:trPr>
        <w:tc>
          <w:tcPr>
            <w:tcW w:w="844" w:type="pct"/>
            <w:shd w:val="clear" w:color="auto" w:fill="FFFFFF"/>
            <w:vAlign w:val="center"/>
          </w:tcPr>
          <w:p w14:paraId="7D398FD0" w14:textId="77777777" w:rsidR="00E03711" w:rsidRPr="00F769E0" w:rsidRDefault="00E03711" w:rsidP="00B2031E">
            <w:pPr>
              <w:pStyle w:val="GUIDE-NORMAL"/>
              <w:spacing w:before="60" w:after="60"/>
              <w:jc w:val="left"/>
              <w:rPr>
                <w:rFonts w:cs="Tahoma"/>
                <w:b/>
                <w:lang w:val="sl-SI" w:eastAsia="en-GB"/>
              </w:rPr>
            </w:pPr>
            <w:r w:rsidRPr="00F769E0">
              <w:rPr>
                <w:rFonts w:cs="Tahoma"/>
                <w:b/>
                <w:lang w:val="sl-SI" w:eastAsia="en-GB"/>
              </w:rPr>
              <w:t>Kakovost zasnove in izvedbe projekta (največ 20 točk):</w:t>
            </w:r>
          </w:p>
        </w:tc>
        <w:tc>
          <w:tcPr>
            <w:tcW w:w="4156" w:type="pct"/>
            <w:shd w:val="clear" w:color="auto" w:fill="FFFFFF"/>
          </w:tcPr>
          <w:p w14:paraId="7D398FD1" w14:textId="77777777" w:rsidR="00E03711" w:rsidRPr="001048FE" w:rsidRDefault="00E03711" w:rsidP="005115F2">
            <w:pPr>
              <w:pStyle w:val="Guide-NormalBulletpoints"/>
              <w:numPr>
                <w:ilvl w:val="0"/>
                <w:numId w:val="245"/>
              </w:numPr>
              <w:spacing w:before="60"/>
              <w:rPr>
                <w:lang w:val="sl-SI"/>
              </w:rPr>
            </w:pPr>
            <w:r w:rsidRPr="001048FE">
              <w:rPr>
                <w:lang w:val="sl-SI"/>
              </w:rPr>
              <w:t xml:space="preserve">predlog določa študijski program in učne izide ter podrobno opisuje, kako bo </w:t>
            </w:r>
            <w:r>
              <w:rPr>
                <w:lang w:val="sl-SI"/>
              </w:rPr>
              <w:t xml:space="preserve">zagotovljena </w:t>
            </w:r>
            <w:r w:rsidRPr="001048FE">
              <w:rPr>
                <w:lang w:val="sl-SI"/>
              </w:rPr>
              <w:t>odličn</w:t>
            </w:r>
            <w:r>
              <w:rPr>
                <w:lang w:val="sl-SI"/>
              </w:rPr>
              <w:t>ost</w:t>
            </w:r>
            <w:r w:rsidRPr="001048FE">
              <w:rPr>
                <w:lang w:val="sl-SI"/>
              </w:rPr>
              <w:t xml:space="preserve"> študijsk</w:t>
            </w:r>
            <w:r>
              <w:rPr>
                <w:lang w:val="sl-SI"/>
              </w:rPr>
              <w:t>e</w:t>
            </w:r>
            <w:r w:rsidRPr="001048FE">
              <w:rPr>
                <w:lang w:val="sl-SI"/>
              </w:rPr>
              <w:t xml:space="preserve"> vsebin</w:t>
            </w:r>
            <w:r>
              <w:rPr>
                <w:lang w:val="sl-SI"/>
              </w:rPr>
              <w:t>e</w:t>
            </w:r>
            <w:r w:rsidRPr="001048FE">
              <w:rPr>
                <w:lang w:val="sl-SI"/>
              </w:rPr>
              <w:t>;</w:t>
            </w:r>
          </w:p>
          <w:p w14:paraId="7D398FD2" w14:textId="77777777" w:rsidR="00E03711" w:rsidRPr="001048FE" w:rsidRDefault="00E03711" w:rsidP="005115F2">
            <w:pPr>
              <w:pStyle w:val="Guide-NormalBulletpoints"/>
              <w:numPr>
                <w:ilvl w:val="0"/>
                <w:numId w:val="245"/>
              </w:numPr>
              <w:spacing w:before="60"/>
              <w:rPr>
                <w:lang w:val="sl-SI"/>
              </w:rPr>
            </w:pPr>
            <w:r w:rsidRPr="001048FE">
              <w:rPr>
                <w:lang w:val="sl-SI"/>
              </w:rPr>
              <w:t>predlog podrobno opisuje nabor metod za notranje in zunanje ocenjevanje EMJMD ter pojasnjuje, kako bodo te metode izpeljane v praksi in uporabljene za spremljanje, nadgradnjo in izboljšanje kakovosti programa;</w:t>
            </w:r>
          </w:p>
          <w:p w14:paraId="7D398FD3" w14:textId="77777777" w:rsidR="00E03711" w:rsidRPr="001048FE" w:rsidRDefault="00E03711" w:rsidP="005115F2">
            <w:pPr>
              <w:pStyle w:val="Guide-NormalBulletpoints"/>
              <w:numPr>
                <w:ilvl w:val="0"/>
                <w:numId w:val="245"/>
              </w:numPr>
              <w:spacing w:before="60"/>
              <w:rPr>
                <w:lang w:val="sl-SI"/>
              </w:rPr>
            </w:pPr>
            <w:r w:rsidRPr="001048FE">
              <w:rPr>
                <w:lang w:val="sl-SI"/>
              </w:rPr>
              <w:t xml:space="preserve">predlog določa, kako je organizirana mobilnost študentov in kako prispeva k ciljem programa, ter predstavlja osnutek strategije/načrtovanja za učinkovito vključevanje </w:t>
            </w:r>
            <w:r>
              <w:rPr>
                <w:lang w:val="sl-SI"/>
              </w:rPr>
              <w:t xml:space="preserve">povabljenih </w:t>
            </w:r>
            <w:r w:rsidRPr="001048FE">
              <w:rPr>
                <w:lang w:val="sl-SI"/>
              </w:rPr>
              <w:t>znanstvenikov/gostujočih predavateljev;</w:t>
            </w:r>
          </w:p>
          <w:p w14:paraId="7D398FD4" w14:textId="77777777" w:rsidR="00E03711" w:rsidRPr="001048FE" w:rsidRDefault="00E03711" w:rsidP="005115F2">
            <w:pPr>
              <w:pStyle w:val="Guide-NormalBulletpoints"/>
              <w:numPr>
                <w:ilvl w:val="0"/>
                <w:numId w:val="245"/>
              </w:numPr>
              <w:spacing w:before="60"/>
              <w:rPr>
                <w:lang w:val="sl-SI"/>
              </w:rPr>
            </w:pPr>
            <w:r w:rsidRPr="001048FE">
              <w:rPr>
                <w:lang w:val="sl-SI"/>
              </w:rPr>
              <w:t>predlog podrobno pojasni vse pomembne informacije, ki jih študenti/akademsko osebje prejmejo pred vpisom v program, in storitve, ki so na voljo v zvezi s podporo za nastanitev, jezikovno usposabljanje, administrativne formalnosti (npr. podpora za vizume) in zavarovanje;</w:t>
            </w:r>
          </w:p>
          <w:p w14:paraId="7D398FD5" w14:textId="77777777" w:rsidR="00E03711" w:rsidRPr="001048FE" w:rsidRDefault="00E03711" w:rsidP="005115F2">
            <w:pPr>
              <w:pStyle w:val="Guide-NormalBulletpoints"/>
              <w:numPr>
                <w:ilvl w:val="0"/>
                <w:numId w:val="245"/>
              </w:numPr>
              <w:spacing w:before="60"/>
              <w:rPr>
                <w:lang w:val="sl-SI"/>
              </w:rPr>
            </w:pPr>
            <w:r w:rsidRPr="001048FE">
              <w:rPr>
                <w:lang w:val="sl-SI"/>
              </w:rPr>
              <w:t>predlog jasno začrta pravila programa ter pravice in obveznosti študentov v zvezi z akademskimi, administrativnimi in finančnimi vidiki izvajanja EMJMD;</w:t>
            </w:r>
          </w:p>
          <w:p w14:paraId="7D398FD6" w14:textId="77777777" w:rsidR="00E03711" w:rsidRPr="001048FE" w:rsidRDefault="00E03711" w:rsidP="005115F2">
            <w:pPr>
              <w:pStyle w:val="Guide-NormalBulletpoints"/>
              <w:numPr>
                <w:ilvl w:val="0"/>
                <w:numId w:val="245"/>
              </w:numPr>
              <w:spacing w:before="60"/>
              <w:rPr>
                <w:lang w:val="sl-SI"/>
              </w:rPr>
            </w:pPr>
            <w:r w:rsidRPr="001048FE">
              <w:rPr>
                <w:lang w:val="sl-SI"/>
              </w:rPr>
              <w:t>predlog opisuje predvidene aktivnosti/zmogljivosti za zagotavljanje učinkovitega integriranja/mreženja študentov programa EMJMD v njihovem družbeno-kulturnem in strokovnem okolju;</w:t>
            </w:r>
          </w:p>
          <w:p w14:paraId="7D398FD7" w14:textId="77777777" w:rsidR="00E03711" w:rsidRPr="001048FE" w:rsidRDefault="00E03711" w:rsidP="005115F2">
            <w:pPr>
              <w:pStyle w:val="Guide-NormalBulletpoints"/>
              <w:numPr>
                <w:ilvl w:val="0"/>
                <w:numId w:val="245"/>
              </w:numPr>
              <w:spacing w:before="60"/>
              <w:rPr>
                <w:lang w:val="sl-SI"/>
              </w:rPr>
            </w:pPr>
            <w:r w:rsidRPr="001048FE">
              <w:rPr>
                <w:lang w:val="sl-SI"/>
              </w:rPr>
              <w:t>predlog jasno opisuje interakcijo med dejavniki EMJMD in dejavniki izven izobraževanja, ki vplivajo na izvajanje programa.</w:t>
            </w:r>
          </w:p>
        </w:tc>
      </w:tr>
      <w:tr w:rsidR="00E03711" w:rsidRPr="00383EF8" w14:paraId="7D398FDE" w14:textId="77777777" w:rsidTr="00CD63C4">
        <w:trPr>
          <w:trHeight w:val="113"/>
        </w:trPr>
        <w:tc>
          <w:tcPr>
            <w:tcW w:w="844" w:type="pct"/>
            <w:shd w:val="clear" w:color="auto" w:fill="FFFFFF"/>
            <w:vAlign w:val="center"/>
          </w:tcPr>
          <w:p w14:paraId="7D398FD9" w14:textId="77777777" w:rsidR="00E03711" w:rsidRPr="00F769E0" w:rsidRDefault="00E03711" w:rsidP="00B2031E">
            <w:pPr>
              <w:pStyle w:val="GUIDE-NORMAL"/>
              <w:spacing w:before="60" w:after="60"/>
              <w:jc w:val="left"/>
              <w:rPr>
                <w:rFonts w:cs="Tahoma"/>
                <w:b/>
                <w:lang w:val="sl-SI" w:eastAsia="en-GB"/>
              </w:rPr>
            </w:pPr>
            <w:r w:rsidRPr="00F769E0">
              <w:rPr>
                <w:rFonts w:cs="Tahoma"/>
                <w:b/>
                <w:lang w:val="sl-SI" w:eastAsia="en-GB"/>
              </w:rPr>
              <w:t>Kakovost projektne skupine in dogovorov o sodelovanju (največ 20 točk):</w:t>
            </w:r>
          </w:p>
        </w:tc>
        <w:tc>
          <w:tcPr>
            <w:tcW w:w="4156" w:type="pct"/>
            <w:shd w:val="clear" w:color="auto" w:fill="FFFFFF"/>
          </w:tcPr>
          <w:p w14:paraId="7D398FDA" w14:textId="77777777" w:rsidR="00E03711" w:rsidRPr="001048FE" w:rsidRDefault="00E03711" w:rsidP="005115F2">
            <w:pPr>
              <w:pStyle w:val="Guide-NormalBulletpoints"/>
              <w:numPr>
                <w:ilvl w:val="0"/>
                <w:numId w:val="246"/>
              </w:numPr>
              <w:spacing w:before="60"/>
              <w:rPr>
                <w:lang w:val="sl-SI"/>
              </w:rPr>
            </w:pPr>
            <w:r w:rsidRPr="001048FE">
              <w:rPr>
                <w:lang w:val="sl-SI"/>
              </w:rPr>
              <w:t>predlog jasno prikazuje</w:t>
            </w:r>
            <w:r>
              <w:rPr>
                <w:lang w:val="sl-SI"/>
              </w:rPr>
              <w:t>, kako</w:t>
            </w:r>
            <w:r w:rsidRPr="001048FE">
              <w:rPr>
                <w:lang w:val="sl-SI"/>
              </w:rPr>
              <w:t xml:space="preserve"> področja strokovnega znanja sodelujočih partneric/osebja </w:t>
            </w:r>
            <w:r>
              <w:rPr>
                <w:lang w:val="sl-SI"/>
              </w:rPr>
              <w:t>tvorijo</w:t>
            </w:r>
            <w:r w:rsidRPr="001048FE">
              <w:rPr>
                <w:lang w:val="sl-SI"/>
              </w:rPr>
              <w:t xml:space="preserve"> dopolnilno ali dodano vrednost teh področij pri izvajanju programa EMJMD. Predlog po potrebi navede, kako so bili obstoječi sporazumi o sodelovanju izboljšani, da bi izpolnili cilje EMJMD;</w:t>
            </w:r>
          </w:p>
          <w:p w14:paraId="7D398FDB" w14:textId="77777777" w:rsidR="00E03711" w:rsidRPr="001048FE" w:rsidRDefault="00E03711" w:rsidP="005115F2">
            <w:pPr>
              <w:pStyle w:val="Guide-NormalBulletpoints"/>
              <w:numPr>
                <w:ilvl w:val="0"/>
                <w:numId w:val="246"/>
              </w:numPr>
              <w:spacing w:before="60"/>
              <w:rPr>
                <w:lang w:val="sl-SI"/>
              </w:rPr>
            </w:pPr>
            <w:r w:rsidRPr="001048FE">
              <w:rPr>
                <w:lang w:val="sl-SI"/>
              </w:rPr>
              <w:t>predlog opisuje institucionalno zavezanost vseh partnerjev, določa njihove vloge in naloge pri izvajanju programa EMJMD in orisuje delovne mehanizme vodstvenih organov ter vzpostavljena orodja za upravljanje;</w:t>
            </w:r>
          </w:p>
          <w:p w14:paraId="7D398FDC" w14:textId="77777777" w:rsidR="00E03711" w:rsidRPr="001048FE" w:rsidRDefault="00E03711" w:rsidP="005115F2">
            <w:pPr>
              <w:pStyle w:val="Guide-NormalBulletpoints"/>
              <w:numPr>
                <w:ilvl w:val="0"/>
                <w:numId w:val="246"/>
              </w:numPr>
              <w:spacing w:before="60"/>
              <w:rPr>
                <w:lang w:val="sl-SI"/>
              </w:rPr>
            </w:pPr>
            <w:r w:rsidRPr="001048FE">
              <w:rPr>
                <w:lang w:val="sl-SI"/>
              </w:rPr>
              <w:t>predlog med drugim opisuje skupna merila, načela in pogoje za prijavo, izbor in vpis študentov, preverjanje njihovega znanja in oceno njihove uspešnosti;</w:t>
            </w:r>
          </w:p>
          <w:p w14:paraId="7D398FDD" w14:textId="77777777" w:rsidR="00E03711" w:rsidRPr="001048FE" w:rsidRDefault="00E03711" w:rsidP="005115F2">
            <w:pPr>
              <w:pStyle w:val="Guide-NormalBulletpoints"/>
              <w:numPr>
                <w:ilvl w:val="0"/>
                <w:numId w:val="246"/>
              </w:numPr>
              <w:spacing w:before="60"/>
              <w:rPr>
                <w:lang w:val="sl-SI"/>
              </w:rPr>
            </w:pPr>
            <w:r w:rsidRPr="001048FE">
              <w:rPr>
                <w:lang w:val="sl-SI"/>
              </w:rPr>
              <w:t>predlog pojasni, kako so bili izračunani stroški udeležbe študentov, ter vsebuje opis, kako se bodo v partnerstvu zbirala, dodeljevala in upravljala finančna sredstva, vključno z dodatnimi sredstvi.</w:t>
            </w:r>
          </w:p>
        </w:tc>
      </w:tr>
      <w:tr w:rsidR="00E03711" w:rsidRPr="00383EF8" w14:paraId="7D398FE5" w14:textId="77777777" w:rsidTr="00CD63C4">
        <w:trPr>
          <w:trHeight w:val="113"/>
        </w:trPr>
        <w:tc>
          <w:tcPr>
            <w:tcW w:w="844" w:type="pct"/>
            <w:shd w:val="clear" w:color="auto" w:fill="FFFFFF"/>
            <w:vAlign w:val="center"/>
          </w:tcPr>
          <w:p w14:paraId="7D398FDF" w14:textId="77777777" w:rsidR="00E03711" w:rsidRPr="00F769E0" w:rsidRDefault="00E03711" w:rsidP="00B2031E">
            <w:pPr>
              <w:pStyle w:val="GUIDE-NORMAL"/>
              <w:spacing w:before="60" w:after="60"/>
              <w:jc w:val="left"/>
              <w:rPr>
                <w:rFonts w:cs="Tahoma"/>
                <w:b/>
                <w:lang w:val="sl-SI" w:eastAsia="en-GB"/>
              </w:rPr>
            </w:pPr>
            <w:r w:rsidRPr="00F769E0">
              <w:rPr>
                <w:rFonts w:cs="Tahoma"/>
                <w:b/>
                <w:lang w:val="sl-SI" w:eastAsia="en-GB"/>
              </w:rPr>
              <w:t>Učinek in razširjanje</w:t>
            </w:r>
            <w:r w:rsidRPr="00F769E0">
              <w:rPr>
                <w:rFonts w:cs="Tahoma"/>
                <w:b/>
                <w:lang w:val="sl-SI" w:eastAsia="en-GB"/>
              </w:rPr>
              <w:br/>
              <w:t>(največ 20 točk):</w:t>
            </w:r>
          </w:p>
        </w:tc>
        <w:tc>
          <w:tcPr>
            <w:tcW w:w="4156" w:type="pct"/>
            <w:shd w:val="clear" w:color="auto" w:fill="FFFFFF"/>
          </w:tcPr>
          <w:p w14:paraId="7D398FE0" w14:textId="77777777" w:rsidR="00E03711" w:rsidRPr="001048FE" w:rsidRDefault="00E03711" w:rsidP="005115F2">
            <w:pPr>
              <w:pStyle w:val="Guide-NormalBulletpoints"/>
              <w:numPr>
                <w:ilvl w:val="0"/>
                <w:numId w:val="247"/>
              </w:numPr>
              <w:spacing w:before="60"/>
              <w:rPr>
                <w:lang w:val="sl-SI"/>
              </w:rPr>
            </w:pPr>
            <w:r w:rsidRPr="001048FE">
              <w:rPr>
                <w:lang w:val="sl-SI"/>
              </w:rPr>
              <w:t>predlog ponudi prepričljivo srednjeročno/dolgoročno strategijo za razvoj/trajnost in vsebuje realistične napovedi za prihodnost po izteku obdobja evropskega financiranja in načine za mobilizacijo drugih virov financiranja za štipendije in študente samoplačnike;</w:t>
            </w:r>
          </w:p>
          <w:p w14:paraId="7D398FE1" w14:textId="77777777" w:rsidR="00E03711" w:rsidRPr="001048FE" w:rsidRDefault="00E03711" w:rsidP="005115F2">
            <w:pPr>
              <w:pStyle w:val="Guide-NormalBulletpoints"/>
              <w:numPr>
                <w:ilvl w:val="0"/>
                <w:numId w:val="247"/>
              </w:numPr>
              <w:spacing w:before="60"/>
              <w:rPr>
                <w:lang w:val="sl-SI"/>
              </w:rPr>
            </w:pPr>
            <w:r w:rsidRPr="001048FE">
              <w:rPr>
                <w:lang w:val="sl-SI"/>
              </w:rPr>
              <w:t>predlog pojasni, kako bo EMJMD ustvarjal učinek na institucionalni ravni (fakultetni/univerzitetni) in kako bo izboljševal/izboljšal strategijo internacionalizacije partnerjev konzorcija in spodbujal njihovo sodelovanje z ustreznimi deležniki na nacionalni/evropski/mednarodni ravni;</w:t>
            </w:r>
          </w:p>
          <w:p w14:paraId="7D398FE2" w14:textId="77777777" w:rsidR="00E03711" w:rsidRPr="001048FE" w:rsidRDefault="00E03711" w:rsidP="005115F2">
            <w:pPr>
              <w:pStyle w:val="Guide-NormalBulletpoints"/>
              <w:numPr>
                <w:ilvl w:val="0"/>
                <w:numId w:val="247"/>
              </w:numPr>
              <w:spacing w:before="60"/>
              <w:rPr>
                <w:lang w:val="sl-SI"/>
              </w:rPr>
            </w:pPr>
            <w:r w:rsidRPr="001048FE">
              <w:rPr>
                <w:lang w:val="sl-SI"/>
              </w:rPr>
              <w:t>predlog opisuje, kako predlagan EMJMD spodbuja podjetništvo in smisel za pobudo ter kako bodo v izvajanje programa vključeni delodajalci, da se izboljša kompetence in spretnosti študentov, da se s tem izboljša zaposljivost diplomantov;</w:t>
            </w:r>
          </w:p>
          <w:p w14:paraId="7D398FE3" w14:textId="77777777" w:rsidR="00E03711" w:rsidRPr="001048FE" w:rsidRDefault="00E03711" w:rsidP="005115F2">
            <w:pPr>
              <w:pStyle w:val="Guide-NormalBulletpoints"/>
              <w:numPr>
                <w:ilvl w:val="0"/>
                <w:numId w:val="247"/>
              </w:numPr>
              <w:spacing w:before="60"/>
              <w:rPr>
                <w:lang w:val="sl-SI"/>
              </w:rPr>
            </w:pPr>
            <w:r w:rsidRPr="001048FE">
              <w:rPr>
                <w:lang w:val="sl-SI"/>
              </w:rPr>
              <w:t>predlog pojasni vrste in metode mehanizmov obveščanja/razširjanja, svoje ciljne skupine in konkretne naloge partnerjev v zvezi s strategijo osveščanja programa EMJMD. Pojasni, kako namerava privabiti odlične študente iz celega sveta;</w:t>
            </w:r>
          </w:p>
          <w:p w14:paraId="7D398FE4" w14:textId="77777777" w:rsidR="00E03711" w:rsidRPr="001048FE" w:rsidRDefault="00E03711" w:rsidP="005115F2">
            <w:pPr>
              <w:pStyle w:val="Guide-NormalBulletpoints"/>
              <w:numPr>
                <w:ilvl w:val="0"/>
                <w:numId w:val="247"/>
              </w:numPr>
              <w:spacing w:before="60"/>
              <w:rPr>
                <w:lang w:val="sl-SI"/>
              </w:rPr>
            </w:pPr>
            <w:r>
              <w:rPr>
                <w:lang w:val="sl-SI"/>
              </w:rPr>
              <w:t>p</w:t>
            </w:r>
            <w:r w:rsidRPr="001048FE">
              <w:rPr>
                <w:lang w:val="sl-SI"/>
              </w:rPr>
              <w:t>redlog po potrebi opiše, kako se bo omogočil prost dostop z odprtimi licencami do ustvarjenih gradiv, dokumentov in nosilcev podatkov ter kako se bo o njih obveščalo, in ne vsebuje nesorazmernih omejitev.</w:t>
            </w:r>
          </w:p>
        </w:tc>
      </w:tr>
    </w:tbl>
    <w:p w14:paraId="7D398FE6" w14:textId="77777777" w:rsidR="00E03711" w:rsidRDefault="00E03711" w:rsidP="002B300E">
      <w:pPr>
        <w:pStyle w:val="GUIDE-NORMAL"/>
        <w:rPr>
          <w:lang w:val="sl-SI"/>
        </w:rPr>
      </w:pPr>
      <w:r w:rsidRPr="001048FE">
        <w:rPr>
          <w:lang w:val="sl-SI"/>
        </w:rPr>
        <w:t>Za upoštevanje pri dodeljevanju sredstev morajo predlogi doseči vsaj 70 od skupno 100 točk. Poleg tega morajo doseči vsaj 75 % vseh možnih dodeljenih točk v okviru merila za dodelitev „Ustreznost projekta“ (tj. najmanj 30 točk od 40). V primeru ex aequo bodo prednost imeli projekti z največ točkami v skladu z merilom „Ustreznost projekta“.</w:t>
      </w:r>
    </w:p>
    <w:p w14:paraId="7D398FE7" w14:textId="77777777" w:rsidR="00E03711" w:rsidRPr="001048FE" w:rsidRDefault="00E03711" w:rsidP="002B300E">
      <w:pPr>
        <w:pStyle w:val="GUIDE-NORMAL"/>
        <w:rPr>
          <w:lang w:val="sl-SI"/>
        </w:rPr>
      </w:pPr>
    </w:p>
    <w:p w14:paraId="7D398FE8" w14:textId="77777777" w:rsidR="00E03711" w:rsidRPr="001048FE" w:rsidRDefault="00E03711" w:rsidP="00B2031E">
      <w:pPr>
        <w:pStyle w:val="Guide-Heading5"/>
        <w:rPr>
          <w:lang w:val="sl-SI"/>
        </w:rPr>
      </w:pPr>
      <w:r w:rsidRPr="001048FE">
        <w:rPr>
          <w:lang w:val="sl-SI"/>
        </w:rPr>
        <w:t>Dodatne štipendije za študente iz ciljnih regij sveta</w:t>
      </w:r>
    </w:p>
    <w:p w14:paraId="7D398FE9" w14:textId="77777777" w:rsidR="00E03711" w:rsidRPr="00237696" w:rsidRDefault="00E03711" w:rsidP="00B2031E">
      <w:pPr>
        <w:pStyle w:val="GUIDE-NORMAL"/>
        <w:rPr>
          <w:color w:val="000000"/>
          <w:lang w:val="sl-SI"/>
        </w:rPr>
      </w:pPr>
      <w:r w:rsidRPr="00237696">
        <w:rPr>
          <w:color w:val="000000"/>
          <w:lang w:val="sl-SI"/>
        </w:rPr>
        <w:t>Prijavitelji lahko zaprosijo za dodatne štipendije za regije partnerskih držav sveta, ki se financirajo z naslednjimi instrumenti EU za zunanje financiranje:</w:t>
      </w:r>
    </w:p>
    <w:p w14:paraId="7D398FEA" w14:textId="77777777" w:rsidR="00E03711" w:rsidRDefault="00E03711" w:rsidP="005115F2">
      <w:pPr>
        <w:pStyle w:val="Guide-NormalBulletpoints"/>
        <w:numPr>
          <w:ilvl w:val="0"/>
          <w:numId w:val="248"/>
        </w:numPr>
        <w:rPr>
          <w:color w:val="000000"/>
          <w:lang w:val="sl-SI"/>
        </w:rPr>
      </w:pPr>
      <w:r>
        <w:rPr>
          <w:rFonts w:eastAsia="Calibri" w:cs="Calibri"/>
          <w:bdr w:val="nil"/>
          <w:shd w:val="clear" w:color="auto" w:fill="auto"/>
          <w:lang w:val="sl-SI" w:eastAsia="zh-CN"/>
        </w:rPr>
        <w:t>instrumentu za predpristopno pomoč</w:t>
      </w:r>
      <w:r>
        <w:rPr>
          <w:rStyle w:val="FootnoteReference"/>
          <w:rFonts w:eastAsia="Calibri" w:cs="Calibri"/>
          <w:bdr w:val="nil"/>
          <w:shd w:val="clear" w:color="auto" w:fill="auto"/>
          <w:lang w:val="sl-SI" w:eastAsia="zh-CN"/>
        </w:rPr>
        <w:footnoteReference w:id="69"/>
      </w:r>
      <w:r>
        <w:rPr>
          <w:rFonts w:eastAsia="Calibri" w:cs="Calibri"/>
          <w:bdr w:val="nil"/>
          <w:shd w:val="clear" w:color="auto" w:fill="auto"/>
          <w:lang w:val="sl-SI" w:eastAsia="zh-CN"/>
        </w:rPr>
        <w:t>,</w:t>
      </w:r>
    </w:p>
    <w:p w14:paraId="7D398FEB" w14:textId="77777777" w:rsidR="00E03711" w:rsidRPr="00237696" w:rsidRDefault="00E03711" w:rsidP="005115F2">
      <w:pPr>
        <w:pStyle w:val="Guide-NormalBulletpoints"/>
        <w:numPr>
          <w:ilvl w:val="0"/>
          <w:numId w:val="248"/>
        </w:numPr>
        <w:rPr>
          <w:color w:val="000000"/>
          <w:lang w:val="sl-SI"/>
        </w:rPr>
      </w:pPr>
      <w:r w:rsidRPr="00237696">
        <w:rPr>
          <w:color w:val="000000"/>
          <w:lang w:val="sl-SI"/>
        </w:rPr>
        <w:t>instrumenti za razvojno sodelovanje</w:t>
      </w:r>
      <w:r w:rsidRPr="00237696">
        <w:rPr>
          <w:rStyle w:val="FootnoteReference"/>
          <w:color w:val="000000"/>
          <w:lang w:val="sl-SI"/>
        </w:rPr>
        <w:footnoteReference w:id="70"/>
      </w:r>
      <w:r w:rsidRPr="00237696">
        <w:rPr>
          <w:color w:val="000000"/>
          <w:lang w:val="sl-SI"/>
        </w:rPr>
        <w:t xml:space="preserve">, </w:t>
      </w:r>
    </w:p>
    <w:p w14:paraId="7D398FEC" w14:textId="77777777" w:rsidR="00E03711" w:rsidRPr="00237696" w:rsidRDefault="00E03711" w:rsidP="005115F2">
      <w:pPr>
        <w:pStyle w:val="Guide-NormalBulletpoints"/>
        <w:numPr>
          <w:ilvl w:val="0"/>
          <w:numId w:val="248"/>
        </w:numPr>
        <w:rPr>
          <w:color w:val="000000"/>
          <w:lang w:val="sl-SI"/>
        </w:rPr>
      </w:pPr>
      <w:r w:rsidRPr="00237696">
        <w:rPr>
          <w:color w:val="000000"/>
          <w:lang w:val="sl-SI"/>
        </w:rPr>
        <w:t>Evropski instrument sosedstva</w:t>
      </w:r>
      <w:r w:rsidRPr="00237696">
        <w:rPr>
          <w:rStyle w:val="FootnoteReference"/>
          <w:color w:val="000000"/>
          <w:lang w:val="sl-SI"/>
        </w:rPr>
        <w:footnoteReference w:id="71"/>
      </w:r>
      <w:r w:rsidRPr="00237696">
        <w:rPr>
          <w:color w:val="000000"/>
          <w:lang w:val="sl-SI"/>
        </w:rPr>
        <w:t xml:space="preserve">, </w:t>
      </w:r>
    </w:p>
    <w:p w14:paraId="7D398FED" w14:textId="77777777" w:rsidR="00E03711" w:rsidRPr="00237696" w:rsidRDefault="00E03711" w:rsidP="005115F2">
      <w:pPr>
        <w:pStyle w:val="Guide-NormalBulletpoints"/>
        <w:numPr>
          <w:ilvl w:val="0"/>
          <w:numId w:val="248"/>
        </w:numPr>
        <w:rPr>
          <w:color w:val="000000"/>
          <w:lang w:val="sl-SI"/>
        </w:rPr>
      </w:pPr>
      <w:r w:rsidRPr="00237696">
        <w:rPr>
          <w:color w:val="000000"/>
          <w:lang w:val="sl-SI"/>
        </w:rPr>
        <w:t>instrument partnerstva</w:t>
      </w:r>
      <w:r w:rsidRPr="00237696">
        <w:rPr>
          <w:rStyle w:val="FootnoteReference"/>
          <w:color w:val="000000"/>
          <w:lang w:val="sl-SI"/>
        </w:rPr>
        <w:footnoteReference w:id="72"/>
      </w:r>
      <w:r w:rsidRPr="00237696">
        <w:rPr>
          <w:color w:val="000000"/>
          <w:lang w:val="sl-SI"/>
        </w:rPr>
        <w:t>,</w:t>
      </w:r>
    </w:p>
    <w:p w14:paraId="7D398FEE" w14:textId="77777777" w:rsidR="00E03711" w:rsidRPr="00237696" w:rsidRDefault="00E03711" w:rsidP="005115F2">
      <w:pPr>
        <w:pStyle w:val="Guide-NormalBulletpoints"/>
        <w:numPr>
          <w:ilvl w:val="0"/>
          <w:numId w:val="248"/>
        </w:numPr>
        <w:rPr>
          <w:color w:val="000000"/>
          <w:lang w:val="sl-SI"/>
        </w:rPr>
      </w:pPr>
      <w:r w:rsidRPr="00237696">
        <w:rPr>
          <w:color w:val="000000"/>
          <w:lang w:val="sl-SI"/>
        </w:rPr>
        <w:t>Evropski razvojni sklad (ERS).</w:t>
      </w:r>
    </w:p>
    <w:p w14:paraId="7D398FEF" w14:textId="77777777" w:rsidR="00E03711" w:rsidRPr="00237696" w:rsidRDefault="00E03711" w:rsidP="00B2031E">
      <w:pPr>
        <w:pStyle w:val="GUIDE-NORMAL"/>
        <w:rPr>
          <w:color w:val="000000"/>
          <w:lang w:val="sl-SI"/>
        </w:rPr>
      </w:pPr>
      <w:r w:rsidRPr="00237696">
        <w:rPr>
          <w:color w:val="000000"/>
          <w:lang w:val="sl-SI"/>
        </w:rPr>
        <w:t xml:space="preserve">EMJMD, predlagani za financiranje, lahko v celotnem trajanju magistrskega programa (štirje vpisi) prejmejo največ 28 dodatnih študentskih štipendij. Te dodatne štipendije se ponudijo kot odziv na prednostne naloge zunanje politike EU v zvezi z visokošolskim izobraževanjem ter upoštevajo različne stopnje gospodarskega in družbenega razvoja v zadevnih partnerskih državah. </w:t>
      </w:r>
      <w:r w:rsidRPr="00FC4A70">
        <w:rPr>
          <w:rFonts w:eastAsia="Calibri" w:cs="Calibri"/>
          <w:kern w:val="0"/>
          <w:bdr w:val="nil"/>
          <w:shd w:val="clear" w:color="auto" w:fill="auto"/>
          <w:lang w:val="sl-SI" w:eastAsia="en-US"/>
        </w:rPr>
        <w:t>Financirajo se na podlagi devetih regionalnih okvirov spodaj:</w:t>
      </w:r>
    </w:p>
    <w:p w14:paraId="7D398FF0" w14:textId="77777777" w:rsidR="00E03711" w:rsidRPr="00237696" w:rsidRDefault="00E03711" w:rsidP="005115F2">
      <w:pPr>
        <w:pStyle w:val="Guide-NormalBulletpoints"/>
        <w:numPr>
          <w:ilvl w:val="0"/>
          <w:numId w:val="249"/>
        </w:numPr>
        <w:rPr>
          <w:color w:val="000000"/>
          <w:lang w:val="sl-SI"/>
        </w:rPr>
      </w:pPr>
      <w:r w:rsidRPr="00FC4A70">
        <w:rPr>
          <w:rFonts w:eastAsia="Calibri" w:cs="Calibri"/>
          <w:iCs/>
          <w:bdr w:val="nil"/>
          <w:lang w:val="sl-SI" w:eastAsia="zh-CN"/>
        </w:rPr>
        <w:t>Zahodni Balkan (regija 1)</w:t>
      </w:r>
      <w:r w:rsidRPr="00FC4A70">
        <w:rPr>
          <w:rStyle w:val="FootnoteReference"/>
          <w:iCs/>
        </w:rPr>
        <w:footnoteReference w:id="73"/>
      </w:r>
      <w:r w:rsidRPr="00FC4A70">
        <w:rPr>
          <w:rFonts w:eastAsia="Calibri" w:cs="Calibri"/>
          <w:iCs/>
          <w:bdr w:val="nil"/>
          <w:lang w:val="sl-SI" w:eastAsia="zh-CN"/>
        </w:rPr>
        <w:t>;</w:t>
      </w:r>
    </w:p>
    <w:p w14:paraId="7D398FF1" w14:textId="77777777" w:rsidR="00E03711" w:rsidRPr="00237696" w:rsidRDefault="00E03711" w:rsidP="005115F2">
      <w:pPr>
        <w:pStyle w:val="Guide-NormalBulletpoints"/>
        <w:numPr>
          <w:ilvl w:val="0"/>
          <w:numId w:val="249"/>
        </w:numPr>
        <w:rPr>
          <w:color w:val="000000"/>
          <w:lang w:val="sl-SI"/>
        </w:rPr>
      </w:pPr>
      <w:r w:rsidRPr="00237696">
        <w:rPr>
          <w:color w:val="000000"/>
          <w:lang w:val="sl-SI"/>
        </w:rPr>
        <w:t xml:space="preserve">države vzhodnega partnerstva (regija 2); </w:t>
      </w:r>
    </w:p>
    <w:p w14:paraId="7D398FF2" w14:textId="77777777" w:rsidR="00E03711" w:rsidRPr="00237696" w:rsidRDefault="00E03711" w:rsidP="005115F2">
      <w:pPr>
        <w:pStyle w:val="Guide-NormalBulletpoints"/>
        <w:numPr>
          <w:ilvl w:val="0"/>
          <w:numId w:val="249"/>
        </w:numPr>
        <w:rPr>
          <w:color w:val="000000"/>
          <w:lang w:val="sl-SI"/>
        </w:rPr>
      </w:pPr>
      <w:r w:rsidRPr="00237696">
        <w:rPr>
          <w:color w:val="000000"/>
          <w:lang w:val="sl-SI"/>
        </w:rPr>
        <w:t>države južnega Sredozemlja (regija 3);</w:t>
      </w:r>
    </w:p>
    <w:p w14:paraId="7D398FF3" w14:textId="77777777" w:rsidR="00E03711" w:rsidRPr="00237696" w:rsidRDefault="00E03711" w:rsidP="005115F2">
      <w:pPr>
        <w:pStyle w:val="Guide-NormalBulletpoints"/>
        <w:numPr>
          <w:ilvl w:val="0"/>
          <w:numId w:val="249"/>
        </w:numPr>
        <w:rPr>
          <w:color w:val="000000"/>
          <w:lang w:val="sl-SI"/>
        </w:rPr>
      </w:pPr>
      <w:r w:rsidRPr="00237696">
        <w:rPr>
          <w:color w:val="000000"/>
          <w:lang w:val="sl-SI"/>
        </w:rPr>
        <w:t>Azija (regija 6) s posebno dodelitvijo štipendij najmanj razvitim</w:t>
      </w:r>
      <w:r w:rsidRPr="00237696">
        <w:rPr>
          <w:color w:val="000000"/>
          <w:spacing w:val="57"/>
          <w:lang w:val="sl-SI"/>
        </w:rPr>
        <w:t xml:space="preserve"> </w:t>
      </w:r>
      <w:r w:rsidRPr="00237696">
        <w:rPr>
          <w:color w:val="000000"/>
          <w:lang w:val="sl-SI"/>
        </w:rPr>
        <w:t>državam</w:t>
      </w:r>
      <w:r w:rsidRPr="00237696">
        <w:rPr>
          <w:rStyle w:val="FootnoteReference"/>
          <w:color w:val="000000"/>
          <w:lang w:val="sl-SI"/>
        </w:rPr>
        <w:footnoteReference w:id="74"/>
      </w:r>
      <w:r w:rsidRPr="00237696">
        <w:rPr>
          <w:color w:val="000000"/>
          <w:lang w:val="sl-SI"/>
        </w:rPr>
        <w:t>;</w:t>
      </w:r>
    </w:p>
    <w:p w14:paraId="7D398FF4" w14:textId="77777777" w:rsidR="00E03711" w:rsidRPr="00237696" w:rsidRDefault="00E03711" w:rsidP="005115F2">
      <w:pPr>
        <w:pStyle w:val="Guide-NormalBulletpoints"/>
        <w:numPr>
          <w:ilvl w:val="0"/>
          <w:numId w:val="249"/>
        </w:numPr>
        <w:rPr>
          <w:color w:val="000000"/>
          <w:lang w:val="sl-SI"/>
        </w:rPr>
      </w:pPr>
      <w:r w:rsidRPr="00237696">
        <w:rPr>
          <w:color w:val="000000"/>
          <w:lang w:val="sl-SI"/>
        </w:rPr>
        <w:t>osrednja Azija (regija 7) s posebno dodelitvijo štipendij državam z nizkim ali nizkim srednjim dohodkom</w:t>
      </w:r>
      <w:r w:rsidRPr="00237696">
        <w:rPr>
          <w:rStyle w:val="FootnoteReference"/>
          <w:color w:val="000000"/>
          <w:lang w:val="sl-SI"/>
        </w:rPr>
        <w:footnoteReference w:id="75"/>
      </w:r>
      <w:r w:rsidRPr="00237696">
        <w:rPr>
          <w:color w:val="000000"/>
          <w:lang w:val="sl-SI"/>
        </w:rPr>
        <w:t>;</w:t>
      </w:r>
    </w:p>
    <w:p w14:paraId="7D398FF5" w14:textId="77777777" w:rsidR="00E03711" w:rsidRPr="00237696" w:rsidRDefault="00E03711" w:rsidP="005115F2">
      <w:pPr>
        <w:pStyle w:val="Guide-NormalBulletpoints"/>
        <w:numPr>
          <w:ilvl w:val="0"/>
          <w:numId w:val="249"/>
        </w:numPr>
        <w:rPr>
          <w:color w:val="000000"/>
          <w:lang w:val="sl-SI"/>
        </w:rPr>
      </w:pPr>
      <w:r w:rsidRPr="00237696">
        <w:rPr>
          <w:color w:val="000000"/>
          <w:lang w:val="sl-SI"/>
        </w:rPr>
        <w:t>Latinska Amerika (regija 8) s posebno dodelitvijo štipendij državam z nizkim srednjim dohodkom</w:t>
      </w:r>
      <w:hyperlink r:id="rId82">
        <w:r w:rsidRPr="00237696">
          <w:rPr>
            <w:rStyle w:val="FootnoteReference"/>
            <w:color w:val="000000"/>
            <w:lang w:val="sl-SI"/>
          </w:rPr>
          <w:footnoteReference w:id="76"/>
        </w:r>
        <w:r w:rsidRPr="00237696">
          <w:rPr>
            <w:color w:val="000000"/>
            <w:sz w:val="20"/>
            <w:lang w:val="sl-SI"/>
          </w:rPr>
          <w:t xml:space="preserve"> </w:t>
        </w:r>
      </w:hyperlink>
      <w:r w:rsidRPr="00237696">
        <w:rPr>
          <w:color w:val="000000"/>
          <w:lang w:val="sl-SI"/>
        </w:rPr>
        <w:t>in maksimalno dodelitvijo Braziliji/Mehiki;</w:t>
      </w:r>
    </w:p>
    <w:p w14:paraId="7D398FF6" w14:textId="77777777" w:rsidR="00E03711" w:rsidRPr="00237696" w:rsidRDefault="00E03711" w:rsidP="005115F2">
      <w:pPr>
        <w:pStyle w:val="Guide-NormalBulletpoints"/>
        <w:numPr>
          <w:ilvl w:val="0"/>
          <w:numId w:val="249"/>
        </w:numPr>
        <w:rPr>
          <w:color w:val="000000"/>
          <w:lang w:val="sl-SI"/>
        </w:rPr>
      </w:pPr>
      <w:r w:rsidRPr="00237696">
        <w:rPr>
          <w:color w:val="000000"/>
          <w:lang w:val="sl-SI"/>
        </w:rPr>
        <w:t>Južna Afrika (regija 10);</w:t>
      </w:r>
    </w:p>
    <w:p w14:paraId="7D398FF7" w14:textId="77777777" w:rsidR="00E03711" w:rsidRPr="001048FE" w:rsidRDefault="00E03711" w:rsidP="005115F2">
      <w:pPr>
        <w:pStyle w:val="Guide-NormalBulletpoints"/>
        <w:numPr>
          <w:ilvl w:val="0"/>
          <w:numId w:val="249"/>
        </w:numPr>
        <w:rPr>
          <w:lang w:val="sl-SI"/>
        </w:rPr>
      </w:pPr>
      <w:r w:rsidRPr="00237696">
        <w:rPr>
          <w:color w:val="000000"/>
          <w:lang w:val="sl-SI"/>
        </w:rPr>
        <w:t xml:space="preserve">afriške, karibske in pacifiške države (regija 11) ter </w:t>
      </w:r>
    </w:p>
    <w:p w14:paraId="7D398FF8" w14:textId="77777777" w:rsidR="00E03711" w:rsidRPr="001048FE" w:rsidRDefault="00E03711" w:rsidP="005115F2">
      <w:pPr>
        <w:pStyle w:val="Guide-NormalBulletpoints"/>
        <w:numPr>
          <w:ilvl w:val="0"/>
          <w:numId w:val="249"/>
        </w:numPr>
        <w:rPr>
          <w:lang w:val="sl-SI"/>
        </w:rPr>
      </w:pPr>
      <w:r w:rsidRPr="00237696">
        <w:rPr>
          <w:color w:val="000000"/>
          <w:lang w:val="sl-SI"/>
        </w:rPr>
        <w:t>države Sveta za sodelovanje v Zalivu (regija 12).</w:t>
      </w:r>
    </w:p>
    <w:p w14:paraId="7D398FF9" w14:textId="77777777" w:rsidR="00E03711" w:rsidRPr="001048FE" w:rsidRDefault="00E03711" w:rsidP="00B2031E">
      <w:pPr>
        <w:pStyle w:val="GUIDE-NORMAL"/>
        <w:rPr>
          <w:lang w:val="sl-SI"/>
        </w:rPr>
      </w:pPr>
      <w:r w:rsidRPr="00FC4A70">
        <w:rPr>
          <w:rFonts w:eastAsia="Calibri" w:cs="Calibri"/>
          <w:kern w:val="0"/>
          <w:bdr w:val="nil"/>
          <w:shd w:val="clear" w:color="auto" w:fill="auto"/>
          <w:lang w:val="sl-SI" w:eastAsia="en-US"/>
        </w:rPr>
        <w:t>Štipendije bodo dodeljene izbranim EMJMD glede na njihovo razvrstitev v padajočem vrstnem redu, na podlagi razpoložljivega proračuna.  Od predloga, ki je uvrščen na prvo mesto, se skupno zahtevano število dodatnih štipendij dodeli sorazmerno po regionalnih proračunskih ovojnicah in v okviru razpoložljivih sredstev.</w:t>
      </w:r>
    </w:p>
    <w:p w14:paraId="7D398FFA" w14:textId="77777777" w:rsidR="00E03711" w:rsidRPr="001048FE" w:rsidRDefault="00E03711" w:rsidP="0048106A">
      <w:pPr>
        <w:pStyle w:val="Guide-Heading6"/>
        <w:rPr>
          <w:lang w:val="sl-SI"/>
        </w:rPr>
      </w:pPr>
      <w:bookmarkStart w:id="186" w:name="Critère_d’attribution_supplémentaire"/>
      <w:bookmarkEnd w:id="186"/>
      <w:r w:rsidRPr="001048FE">
        <w:rPr>
          <w:lang w:val="sl-SI"/>
        </w:rPr>
        <w:t>Dodatna merila za dodelitev</w:t>
      </w:r>
    </w:p>
    <w:p w14:paraId="7D398FFB" w14:textId="77777777" w:rsidR="00E03711" w:rsidRPr="001048FE" w:rsidRDefault="00E03711" w:rsidP="00B2031E">
      <w:pPr>
        <w:pStyle w:val="GUIDE-NORMAL"/>
        <w:rPr>
          <w:lang w:val="sl-SI"/>
        </w:rPr>
      </w:pPr>
      <w:r w:rsidRPr="001048FE">
        <w:rPr>
          <w:lang w:val="sl-SI"/>
        </w:rPr>
        <w:t>Predlogi, ki bodo izpolnili minimalni prag merila „Ustreznost projekta“ in prejeli skupaj najmanj 70 točk (splošni prag za financiranje), bodo ocenjeni za dodatne štipendije za ciljne regije na podlagi spodnjega merila</w:t>
      </w:r>
      <w:r w:rsidRPr="00D53834">
        <w:rPr>
          <w:lang w:val="sl-SI"/>
        </w:rPr>
        <w:t xml:space="preserve">. </w:t>
      </w:r>
    </w:p>
    <w:tbl>
      <w:tblPr>
        <w:tblW w:w="5008" w:type="pct"/>
        <w:tblInd w:w="7" w:type="dxa"/>
        <w:tblBorders>
          <w:top w:val="single" w:sz="8" w:space="0" w:color="auto"/>
          <w:left w:val="single" w:sz="4" w:space="0" w:color="auto"/>
          <w:bottom w:val="single" w:sz="4" w:space="0" w:color="auto"/>
          <w:right w:val="single" w:sz="8" w:space="0" w:color="auto"/>
          <w:insideH w:val="single" w:sz="8" w:space="0" w:color="auto"/>
          <w:insideV w:val="single" w:sz="8" w:space="0" w:color="auto"/>
        </w:tblBorders>
        <w:tblCellMar>
          <w:top w:w="86" w:type="dxa"/>
          <w:left w:w="115" w:type="dxa"/>
          <w:bottom w:w="86" w:type="dxa"/>
          <w:right w:w="115" w:type="dxa"/>
        </w:tblCellMar>
        <w:tblLook w:val="0000" w:firstRow="0" w:lastRow="0" w:firstColumn="0" w:lastColumn="0" w:noHBand="0" w:noVBand="0"/>
      </w:tblPr>
      <w:tblGrid>
        <w:gridCol w:w="2155"/>
        <w:gridCol w:w="7164"/>
      </w:tblGrid>
      <w:tr w:rsidR="00E03711" w:rsidRPr="00383EF8" w14:paraId="7D398FFF" w14:textId="77777777" w:rsidTr="00410504">
        <w:trPr>
          <w:cantSplit/>
          <w:trHeight w:val="545"/>
        </w:trPr>
        <w:tc>
          <w:tcPr>
            <w:tcW w:w="1156" w:type="pct"/>
            <w:shd w:val="clear" w:color="auto" w:fill="auto"/>
            <w:vAlign w:val="center"/>
          </w:tcPr>
          <w:p w14:paraId="7D398FFC" w14:textId="77777777" w:rsidR="00E03711" w:rsidRPr="00F769E0" w:rsidRDefault="00E03711" w:rsidP="00B2031E">
            <w:pPr>
              <w:pStyle w:val="GUIDE-NORMAL"/>
              <w:jc w:val="left"/>
              <w:rPr>
                <w:rFonts w:cs="Tahoma"/>
                <w:b/>
                <w:lang w:val="sl-SI" w:eastAsia="en-GB"/>
              </w:rPr>
            </w:pPr>
            <w:r w:rsidRPr="00F769E0">
              <w:rPr>
                <w:rFonts w:cs="Tahoma"/>
                <w:b/>
                <w:lang w:val="sl-SI" w:eastAsia="en-GB"/>
              </w:rPr>
              <w:t xml:space="preserve">Ustreznost projekta </w:t>
            </w:r>
            <w:r w:rsidRPr="00F769E0">
              <w:rPr>
                <w:rFonts w:cs="Tahoma"/>
                <w:b/>
                <w:lang w:val="sl-SI" w:eastAsia="en-GB"/>
              </w:rPr>
              <w:br/>
              <w:t xml:space="preserve">v ciljnih regijah </w:t>
            </w:r>
            <w:r w:rsidRPr="00F769E0">
              <w:rPr>
                <w:rFonts w:cs="Tahoma"/>
                <w:b/>
                <w:lang w:val="sl-SI" w:eastAsia="en-GB"/>
              </w:rPr>
              <w:br/>
              <w:t>(da/ne)</w:t>
            </w:r>
          </w:p>
        </w:tc>
        <w:tc>
          <w:tcPr>
            <w:tcW w:w="3844" w:type="pct"/>
            <w:shd w:val="clear" w:color="auto" w:fill="auto"/>
          </w:tcPr>
          <w:p w14:paraId="7D398FFD" w14:textId="77777777" w:rsidR="00E03711" w:rsidRPr="001048FE" w:rsidRDefault="00E03711" w:rsidP="005115F2">
            <w:pPr>
              <w:pStyle w:val="Guide-NormalBulletpoints"/>
              <w:numPr>
                <w:ilvl w:val="0"/>
                <w:numId w:val="250"/>
              </w:numPr>
              <w:rPr>
                <w:lang w:val="sl-SI"/>
              </w:rPr>
            </w:pPr>
            <w:r w:rsidRPr="001048FE">
              <w:rPr>
                <w:lang w:val="sl-SI"/>
              </w:rPr>
              <w:t>V predlogu so opisane metode, ki se uporabljajo za privabljanje zelo nadarjenih študentov iz ciljnih regij.</w:t>
            </w:r>
          </w:p>
          <w:p w14:paraId="7D398FFE" w14:textId="77777777" w:rsidR="00E03711" w:rsidRPr="001048FE" w:rsidRDefault="00E03711" w:rsidP="005115F2">
            <w:pPr>
              <w:pStyle w:val="Guide-NormalBulletpoints"/>
              <w:numPr>
                <w:ilvl w:val="0"/>
                <w:numId w:val="250"/>
              </w:numPr>
              <w:rPr>
                <w:lang w:val="sl-SI"/>
              </w:rPr>
            </w:pPr>
            <w:r w:rsidRPr="001048FE">
              <w:rPr>
                <w:lang w:val="sl-SI"/>
              </w:rPr>
              <w:t>Predlog spodbuja sodelovanje z visokošolskimi institucijami in/ali drugimi upravičenimi sodelujočimi organizacijami iz partnerskih držav v ciljnih regijah. Jasno je pojasnjena dodana vrednost takšnega sodelovanja za program EMJMD.</w:t>
            </w:r>
          </w:p>
        </w:tc>
      </w:tr>
    </w:tbl>
    <w:p w14:paraId="7D399000" w14:textId="77777777" w:rsidR="00E03711" w:rsidRPr="001048FE" w:rsidRDefault="00E03711" w:rsidP="00B2031E">
      <w:pPr>
        <w:pStyle w:val="Guide-Heading5"/>
        <w:rPr>
          <w:lang w:val="sl-SI"/>
        </w:rPr>
      </w:pPr>
      <w:r w:rsidRPr="001048FE">
        <w:rPr>
          <w:lang w:val="sl-SI"/>
        </w:rPr>
        <w:t>Kaj je še treba vedeti o tem ukrepu?</w:t>
      </w:r>
    </w:p>
    <w:p w14:paraId="7D399001" w14:textId="77777777" w:rsidR="00E03711" w:rsidRPr="001048FE" w:rsidRDefault="00E03711" w:rsidP="00B2031E">
      <w:pPr>
        <w:pStyle w:val="GUIDE-NORMAL"/>
        <w:rPr>
          <w:lang w:val="sl-SI"/>
        </w:rPr>
      </w:pPr>
      <w:r w:rsidRPr="001048FE">
        <w:rPr>
          <w:lang w:val="sl-SI"/>
        </w:rPr>
        <w:t>Za obvezna merila ter dodatne koristne informacije v zvezi s tem ukrepom glej Prilogo I k temu vodniku. Priloga vključuje:</w:t>
      </w:r>
    </w:p>
    <w:p w14:paraId="7D399002" w14:textId="77777777" w:rsidR="00E03711" w:rsidRPr="001048FE" w:rsidRDefault="00E03711" w:rsidP="005115F2">
      <w:pPr>
        <w:pStyle w:val="Guide-NormalBulletpoints"/>
        <w:numPr>
          <w:ilvl w:val="0"/>
          <w:numId w:val="251"/>
        </w:numPr>
        <w:rPr>
          <w:lang w:val="sl-SI"/>
        </w:rPr>
      </w:pPr>
      <w:r w:rsidRPr="001048FE">
        <w:rPr>
          <w:lang w:val="sl-SI"/>
        </w:rPr>
        <w:t xml:space="preserve">pogoje v zvezi z zasnovo skupnega magistrskega študija Erasmus Mundus, </w:t>
      </w:r>
    </w:p>
    <w:p w14:paraId="7D399003" w14:textId="77777777" w:rsidR="00E03711" w:rsidRPr="001048FE" w:rsidRDefault="00E03711" w:rsidP="005115F2">
      <w:pPr>
        <w:pStyle w:val="Guide-NormalBulletpoints"/>
        <w:numPr>
          <w:ilvl w:val="0"/>
          <w:numId w:val="251"/>
        </w:numPr>
        <w:rPr>
          <w:lang w:val="sl-SI"/>
        </w:rPr>
      </w:pPr>
      <w:r w:rsidRPr="001048FE">
        <w:rPr>
          <w:lang w:val="sl-SI"/>
        </w:rPr>
        <w:t>pogoje v zvezi s študenti magistrskega študija,</w:t>
      </w:r>
    </w:p>
    <w:p w14:paraId="7D399004" w14:textId="77777777" w:rsidR="00E03711" w:rsidRPr="001048FE" w:rsidRDefault="00E03711" w:rsidP="005115F2">
      <w:pPr>
        <w:pStyle w:val="Guide-NormalBulletpoints"/>
        <w:numPr>
          <w:ilvl w:val="0"/>
          <w:numId w:val="251"/>
        </w:numPr>
        <w:rPr>
          <w:lang w:val="sl-SI"/>
        </w:rPr>
      </w:pPr>
      <w:r w:rsidRPr="001048FE">
        <w:rPr>
          <w:lang w:val="sl-SI"/>
        </w:rPr>
        <w:t xml:space="preserve">pogoje v zvezi s spremljanjem in zagotavljanjem kakovosti, </w:t>
      </w:r>
    </w:p>
    <w:p w14:paraId="7D399005" w14:textId="77777777" w:rsidR="00E03711" w:rsidRPr="001048FE" w:rsidRDefault="00E03711" w:rsidP="005115F2">
      <w:pPr>
        <w:pStyle w:val="Guide-NormalBulletpoints"/>
        <w:numPr>
          <w:ilvl w:val="0"/>
          <w:numId w:val="251"/>
        </w:numPr>
        <w:rPr>
          <w:lang w:val="sl-SI"/>
        </w:rPr>
      </w:pPr>
      <w:r w:rsidRPr="001048FE">
        <w:rPr>
          <w:lang w:val="sl-SI"/>
        </w:rPr>
        <w:t>postopek izbora konzorcijev EMJMD.</w:t>
      </w:r>
    </w:p>
    <w:p w14:paraId="7D399006" w14:textId="77777777" w:rsidR="00381E74" w:rsidRDefault="00E03711" w:rsidP="00B2031E">
      <w:pPr>
        <w:pStyle w:val="GUIDE-NORMAL"/>
        <w:rPr>
          <w:lang w:val="sl-SI"/>
        </w:rPr>
        <w:sectPr w:rsidR="00381E74" w:rsidSect="007F4890">
          <w:endnotePr>
            <w:numFmt w:val="decimal"/>
          </w:endnotePr>
          <w:pgSz w:w="11910" w:h="16840" w:code="9"/>
          <w:pgMar w:top="1134" w:right="1418" w:bottom="1134" w:left="1418" w:header="283" w:footer="567" w:gutter="0"/>
          <w:cols w:space="720"/>
          <w:docGrid w:linePitch="326"/>
        </w:sectPr>
      </w:pPr>
      <w:r w:rsidRPr="001048FE">
        <w:rPr>
          <w:lang w:val="sl-SI"/>
        </w:rPr>
        <w:t>Zainteresirane organizacije naj pred oddajo vloge za finančno podporo skrbno preberejo ustrezna poglavja te priloge.</w:t>
      </w:r>
    </w:p>
    <w:p w14:paraId="7D399007" w14:textId="77777777" w:rsidR="00E03711" w:rsidRPr="001048FE" w:rsidRDefault="00E03711" w:rsidP="0048106A">
      <w:pPr>
        <w:pStyle w:val="Guide-Heading6"/>
        <w:rPr>
          <w:lang w:val="sl-SI"/>
        </w:rPr>
      </w:pPr>
      <w:bookmarkStart w:id="187" w:name="Catalogue_des_masters_communs_Erasmus_Mu"/>
      <w:bookmarkEnd w:id="187"/>
      <w:r w:rsidRPr="001048FE">
        <w:rPr>
          <w:lang w:val="sl-SI"/>
        </w:rPr>
        <w:t>Katalog skupnega magistrskega študija Erasmus Mundus</w:t>
      </w:r>
    </w:p>
    <w:p w14:paraId="7D399008" w14:textId="77777777" w:rsidR="00E03711" w:rsidRPr="001048FE" w:rsidRDefault="00E03711" w:rsidP="00B2031E">
      <w:pPr>
        <w:pStyle w:val="GUIDE-NORMAL"/>
        <w:rPr>
          <w:lang w:val="sl-SI"/>
        </w:rPr>
      </w:pPr>
      <w:r w:rsidRPr="001048FE">
        <w:rPr>
          <w:lang w:val="sl-SI"/>
        </w:rPr>
        <w:t>Za</w:t>
      </w:r>
      <w:r w:rsidRPr="001048FE">
        <w:rPr>
          <w:spacing w:val="-14"/>
          <w:lang w:val="sl-SI"/>
        </w:rPr>
        <w:t xml:space="preserve"> </w:t>
      </w:r>
      <w:r w:rsidRPr="001048FE">
        <w:rPr>
          <w:lang w:val="sl-SI"/>
        </w:rPr>
        <w:t>spodbujanje</w:t>
      </w:r>
      <w:r w:rsidRPr="001048FE">
        <w:rPr>
          <w:spacing w:val="-14"/>
          <w:lang w:val="sl-SI"/>
        </w:rPr>
        <w:t xml:space="preserve"> </w:t>
      </w:r>
      <w:r w:rsidRPr="001048FE">
        <w:rPr>
          <w:lang w:val="sl-SI"/>
        </w:rPr>
        <w:t>promocije,</w:t>
      </w:r>
      <w:r w:rsidRPr="001048FE">
        <w:rPr>
          <w:spacing w:val="-14"/>
          <w:lang w:val="sl-SI"/>
        </w:rPr>
        <w:t xml:space="preserve"> </w:t>
      </w:r>
      <w:r w:rsidRPr="001048FE">
        <w:rPr>
          <w:lang w:val="sl-SI"/>
        </w:rPr>
        <w:t>prepoznavnosti</w:t>
      </w:r>
      <w:r w:rsidRPr="001048FE">
        <w:rPr>
          <w:spacing w:val="-14"/>
          <w:lang w:val="sl-SI"/>
        </w:rPr>
        <w:t xml:space="preserve"> </w:t>
      </w:r>
      <w:r w:rsidRPr="001048FE">
        <w:rPr>
          <w:lang w:val="sl-SI"/>
        </w:rPr>
        <w:t>in</w:t>
      </w:r>
      <w:r w:rsidRPr="001048FE">
        <w:rPr>
          <w:spacing w:val="-14"/>
          <w:lang w:val="sl-SI"/>
        </w:rPr>
        <w:t xml:space="preserve"> </w:t>
      </w:r>
      <w:r w:rsidRPr="001048FE">
        <w:rPr>
          <w:lang w:val="sl-SI"/>
        </w:rPr>
        <w:t>dostopnosti</w:t>
      </w:r>
      <w:r w:rsidRPr="001048FE">
        <w:rPr>
          <w:spacing w:val="-14"/>
          <w:lang w:val="sl-SI"/>
        </w:rPr>
        <w:t xml:space="preserve"> </w:t>
      </w:r>
      <w:r w:rsidRPr="001048FE">
        <w:rPr>
          <w:lang w:val="sl-SI"/>
        </w:rPr>
        <w:t>študentskih</w:t>
      </w:r>
      <w:r w:rsidRPr="001048FE">
        <w:rPr>
          <w:spacing w:val="-14"/>
          <w:lang w:val="sl-SI"/>
        </w:rPr>
        <w:t xml:space="preserve"> </w:t>
      </w:r>
      <w:r w:rsidRPr="001048FE">
        <w:rPr>
          <w:lang w:val="sl-SI"/>
        </w:rPr>
        <w:t>štipendij</w:t>
      </w:r>
      <w:r w:rsidRPr="001048FE">
        <w:rPr>
          <w:spacing w:val="-14"/>
          <w:lang w:val="sl-SI"/>
        </w:rPr>
        <w:t xml:space="preserve"> </w:t>
      </w:r>
      <w:r w:rsidRPr="001048FE">
        <w:rPr>
          <w:lang w:val="sl-SI"/>
        </w:rPr>
        <w:t>Erasmus+,</w:t>
      </w:r>
      <w:r w:rsidRPr="001048FE">
        <w:rPr>
          <w:spacing w:val="-14"/>
          <w:lang w:val="sl-SI"/>
        </w:rPr>
        <w:t xml:space="preserve"> </w:t>
      </w:r>
      <w:r w:rsidRPr="001048FE">
        <w:rPr>
          <w:lang w:val="sl-SI"/>
        </w:rPr>
        <w:t>ki</w:t>
      </w:r>
      <w:r w:rsidRPr="001048FE">
        <w:rPr>
          <w:spacing w:val="-14"/>
          <w:lang w:val="sl-SI"/>
        </w:rPr>
        <w:t xml:space="preserve"> </w:t>
      </w:r>
      <w:r w:rsidRPr="001048FE">
        <w:rPr>
          <w:lang w:val="sl-SI"/>
        </w:rPr>
        <w:t>se</w:t>
      </w:r>
      <w:r w:rsidRPr="001048FE">
        <w:rPr>
          <w:spacing w:val="-14"/>
          <w:lang w:val="sl-SI"/>
        </w:rPr>
        <w:t xml:space="preserve"> </w:t>
      </w:r>
      <w:r w:rsidRPr="001048FE">
        <w:rPr>
          <w:lang w:val="sl-SI"/>
        </w:rPr>
        <w:t>bodo z že potekajočimi programi EMJMD zagotovile za najboljše študente magistrskih študijev po vsem svetu,</w:t>
      </w:r>
      <w:r w:rsidRPr="001048FE">
        <w:rPr>
          <w:spacing w:val="-6"/>
          <w:lang w:val="sl-SI"/>
        </w:rPr>
        <w:t xml:space="preserve"> </w:t>
      </w:r>
      <w:r w:rsidRPr="001048FE">
        <w:rPr>
          <w:lang w:val="sl-SI"/>
        </w:rPr>
        <w:t>bodo</w:t>
      </w:r>
      <w:r w:rsidRPr="001048FE">
        <w:rPr>
          <w:spacing w:val="-6"/>
          <w:lang w:val="sl-SI"/>
        </w:rPr>
        <w:t xml:space="preserve"> </w:t>
      </w:r>
      <w:r w:rsidRPr="001048FE">
        <w:rPr>
          <w:lang w:val="sl-SI"/>
        </w:rPr>
        <w:t>EMJMD</w:t>
      </w:r>
      <w:r w:rsidRPr="001048FE">
        <w:rPr>
          <w:spacing w:val="-6"/>
          <w:lang w:val="sl-SI"/>
        </w:rPr>
        <w:t xml:space="preserve"> </w:t>
      </w:r>
      <w:r w:rsidRPr="001048FE">
        <w:rPr>
          <w:lang w:val="sl-SI"/>
        </w:rPr>
        <w:t>vključeni</w:t>
      </w:r>
      <w:r w:rsidRPr="001048FE">
        <w:rPr>
          <w:spacing w:val="-6"/>
          <w:lang w:val="sl-SI"/>
        </w:rPr>
        <w:t xml:space="preserve"> </w:t>
      </w:r>
      <w:r w:rsidRPr="001048FE">
        <w:rPr>
          <w:lang w:val="sl-SI"/>
        </w:rPr>
        <w:t>v</w:t>
      </w:r>
      <w:r w:rsidRPr="001048FE">
        <w:rPr>
          <w:spacing w:val="-6"/>
          <w:lang w:val="sl-SI"/>
        </w:rPr>
        <w:t xml:space="preserve"> </w:t>
      </w:r>
      <w:r w:rsidRPr="001048FE">
        <w:rPr>
          <w:lang w:val="sl-SI"/>
        </w:rPr>
        <w:t>spletni</w:t>
      </w:r>
      <w:r w:rsidRPr="001048FE">
        <w:rPr>
          <w:spacing w:val="-6"/>
          <w:lang w:val="sl-SI"/>
        </w:rPr>
        <w:t xml:space="preserve"> </w:t>
      </w:r>
      <w:r w:rsidRPr="001048FE">
        <w:rPr>
          <w:lang w:val="sl-SI"/>
        </w:rPr>
        <w:t>katalog</w:t>
      </w:r>
      <w:r w:rsidRPr="001048FE">
        <w:rPr>
          <w:spacing w:val="-6"/>
          <w:lang w:val="sl-SI"/>
        </w:rPr>
        <w:t xml:space="preserve"> </w:t>
      </w:r>
      <w:r w:rsidRPr="001048FE">
        <w:rPr>
          <w:lang w:val="sl-SI"/>
        </w:rPr>
        <w:t>na</w:t>
      </w:r>
      <w:r w:rsidRPr="001048FE">
        <w:rPr>
          <w:spacing w:val="-6"/>
          <w:lang w:val="sl-SI"/>
        </w:rPr>
        <w:t xml:space="preserve"> </w:t>
      </w:r>
      <w:r w:rsidRPr="001048FE">
        <w:rPr>
          <w:lang w:val="sl-SI"/>
        </w:rPr>
        <w:t>spletišču</w:t>
      </w:r>
      <w:r w:rsidRPr="001048FE">
        <w:rPr>
          <w:spacing w:val="-6"/>
          <w:lang w:val="sl-SI"/>
        </w:rPr>
        <w:t xml:space="preserve"> </w:t>
      </w:r>
      <w:r w:rsidRPr="001048FE">
        <w:rPr>
          <w:lang w:val="sl-SI"/>
        </w:rPr>
        <w:t>Izvajalske</w:t>
      </w:r>
      <w:r w:rsidRPr="001048FE">
        <w:rPr>
          <w:spacing w:val="-6"/>
          <w:lang w:val="sl-SI"/>
        </w:rPr>
        <w:t xml:space="preserve"> </w:t>
      </w:r>
      <w:r w:rsidRPr="001048FE">
        <w:rPr>
          <w:lang w:val="sl-SI"/>
        </w:rPr>
        <w:t>agencije.</w:t>
      </w:r>
    </w:p>
    <w:p w14:paraId="7D399009" w14:textId="77777777" w:rsidR="00E03711" w:rsidRPr="001048FE" w:rsidRDefault="00E03711" w:rsidP="00B2031E">
      <w:pPr>
        <w:pStyle w:val="GUIDE-NORMAL"/>
        <w:rPr>
          <w:lang w:val="sl-SI"/>
        </w:rPr>
      </w:pPr>
      <w:r w:rsidRPr="001048FE">
        <w:rPr>
          <w:lang w:val="sl-SI"/>
        </w:rPr>
        <w:t>Katalog</w:t>
      </w:r>
      <w:r w:rsidRPr="001048FE">
        <w:rPr>
          <w:spacing w:val="-19"/>
          <w:lang w:val="sl-SI"/>
        </w:rPr>
        <w:t xml:space="preserve"> </w:t>
      </w:r>
      <w:r w:rsidRPr="001048FE">
        <w:rPr>
          <w:lang w:val="sl-SI"/>
        </w:rPr>
        <w:t>EMJMD</w:t>
      </w:r>
      <w:r w:rsidRPr="001048FE">
        <w:rPr>
          <w:spacing w:val="-19"/>
          <w:lang w:val="sl-SI"/>
        </w:rPr>
        <w:t xml:space="preserve"> </w:t>
      </w:r>
      <w:r w:rsidRPr="001048FE">
        <w:rPr>
          <w:lang w:val="sl-SI"/>
        </w:rPr>
        <w:t>bo</w:t>
      </w:r>
      <w:r w:rsidRPr="001048FE">
        <w:rPr>
          <w:spacing w:val="-19"/>
          <w:lang w:val="sl-SI"/>
        </w:rPr>
        <w:t xml:space="preserve"> </w:t>
      </w:r>
      <w:r w:rsidRPr="001048FE">
        <w:rPr>
          <w:lang w:val="sl-SI"/>
        </w:rPr>
        <w:t>oglaševal</w:t>
      </w:r>
      <w:r w:rsidRPr="001048FE">
        <w:rPr>
          <w:spacing w:val="-18"/>
          <w:lang w:val="sl-SI"/>
        </w:rPr>
        <w:t xml:space="preserve"> </w:t>
      </w:r>
      <w:r w:rsidRPr="001048FE">
        <w:rPr>
          <w:lang w:val="sl-SI"/>
        </w:rPr>
        <w:t>vse</w:t>
      </w:r>
      <w:r w:rsidRPr="001048FE">
        <w:rPr>
          <w:spacing w:val="-19"/>
          <w:lang w:val="sl-SI"/>
        </w:rPr>
        <w:t xml:space="preserve"> </w:t>
      </w:r>
      <w:r w:rsidRPr="001048FE">
        <w:rPr>
          <w:lang w:val="sl-SI"/>
        </w:rPr>
        <w:t>skupne</w:t>
      </w:r>
      <w:r w:rsidRPr="001048FE">
        <w:rPr>
          <w:spacing w:val="-19"/>
          <w:lang w:val="sl-SI"/>
        </w:rPr>
        <w:t xml:space="preserve"> </w:t>
      </w:r>
      <w:r w:rsidRPr="001048FE">
        <w:rPr>
          <w:lang w:val="sl-SI"/>
        </w:rPr>
        <w:t>magistrske</w:t>
      </w:r>
      <w:r w:rsidRPr="001048FE">
        <w:rPr>
          <w:spacing w:val="-19"/>
          <w:lang w:val="sl-SI"/>
        </w:rPr>
        <w:t xml:space="preserve"> </w:t>
      </w:r>
      <w:r w:rsidRPr="001048FE">
        <w:rPr>
          <w:lang w:val="sl-SI"/>
        </w:rPr>
        <w:t>programe,</w:t>
      </w:r>
      <w:r w:rsidRPr="001048FE">
        <w:rPr>
          <w:spacing w:val="-19"/>
          <w:lang w:val="sl-SI"/>
        </w:rPr>
        <w:t xml:space="preserve"> </w:t>
      </w:r>
      <w:r w:rsidRPr="001048FE">
        <w:rPr>
          <w:lang w:val="sl-SI"/>
        </w:rPr>
        <w:t>ki</w:t>
      </w:r>
      <w:r w:rsidRPr="001048FE">
        <w:rPr>
          <w:spacing w:val="-19"/>
          <w:lang w:val="sl-SI"/>
        </w:rPr>
        <w:t xml:space="preserve"> </w:t>
      </w:r>
      <w:r w:rsidRPr="001048FE">
        <w:rPr>
          <w:lang w:val="sl-SI"/>
        </w:rPr>
        <w:t>ponujajo</w:t>
      </w:r>
      <w:r w:rsidRPr="001048FE">
        <w:rPr>
          <w:spacing w:val="-19"/>
          <w:lang w:val="sl-SI"/>
        </w:rPr>
        <w:t xml:space="preserve"> </w:t>
      </w:r>
      <w:r w:rsidRPr="001048FE">
        <w:rPr>
          <w:lang w:val="sl-SI"/>
        </w:rPr>
        <w:t>štipendije</w:t>
      </w:r>
      <w:r w:rsidRPr="001048FE">
        <w:rPr>
          <w:spacing w:val="-19"/>
          <w:lang w:val="sl-SI"/>
        </w:rPr>
        <w:t xml:space="preserve"> </w:t>
      </w:r>
      <w:r w:rsidRPr="001048FE">
        <w:rPr>
          <w:lang w:val="sl-SI"/>
        </w:rPr>
        <w:t>Erasmus+</w:t>
      </w:r>
      <w:r w:rsidRPr="001048FE">
        <w:rPr>
          <w:spacing w:val="-19"/>
          <w:lang w:val="sl-SI"/>
        </w:rPr>
        <w:t xml:space="preserve"> </w:t>
      </w:r>
      <w:r w:rsidRPr="001048FE">
        <w:rPr>
          <w:lang w:val="sl-SI"/>
        </w:rPr>
        <w:t>za naslednje akademsko</w:t>
      </w:r>
      <w:r w:rsidRPr="001048FE">
        <w:rPr>
          <w:spacing w:val="-6"/>
          <w:lang w:val="sl-SI"/>
        </w:rPr>
        <w:t xml:space="preserve"> </w:t>
      </w:r>
      <w:r w:rsidRPr="001048FE">
        <w:rPr>
          <w:lang w:val="sl-SI"/>
        </w:rPr>
        <w:t>leto.</w:t>
      </w:r>
    </w:p>
    <w:p w14:paraId="7D39900A" w14:textId="77777777" w:rsidR="00E03711" w:rsidRPr="001048FE" w:rsidRDefault="00E03711" w:rsidP="00B2031E">
      <w:pPr>
        <w:pStyle w:val="GUIDE-NORMAL"/>
        <w:rPr>
          <w:lang w:val="sl-SI"/>
        </w:rPr>
      </w:pPr>
      <w:r w:rsidRPr="001048FE">
        <w:rPr>
          <w:lang w:val="sl-SI"/>
        </w:rPr>
        <w:t>Katalog</w:t>
      </w:r>
      <w:r w:rsidRPr="001048FE">
        <w:rPr>
          <w:spacing w:val="-17"/>
          <w:lang w:val="sl-SI"/>
        </w:rPr>
        <w:t xml:space="preserve"> </w:t>
      </w:r>
      <w:r w:rsidRPr="001048FE">
        <w:rPr>
          <w:lang w:val="sl-SI"/>
        </w:rPr>
        <w:t>bo</w:t>
      </w:r>
      <w:r w:rsidRPr="001048FE">
        <w:rPr>
          <w:spacing w:val="-17"/>
          <w:lang w:val="sl-SI"/>
        </w:rPr>
        <w:t xml:space="preserve"> </w:t>
      </w:r>
      <w:r w:rsidRPr="001048FE">
        <w:rPr>
          <w:lang w:val="sl-SI"/>
        </w:rPr>
        <w:t>omogočil</w:t>
      </w:r>
      <w:r w:rsidRPr="001048FE">
        <w:rPr>
          <w:spacing w:val="-16"/>
          <w:lang w:val="sl-SI"/>
        </w:rPr>
        <w:t xml:space="preserve"> </w:t>
      </w:r>
      <w:r w:rsidRPr="001048FE">
        <w:rPr>
          <w:lang w:val="sl-SI"/>
        </w:rPr>
        <w:t>potencialnim</w:t>
      </w:r>
      <w:r w:rsidRPr="001048FE">
        <w:rPr>
          <w:spacing w:val="-17"/>
          <w:lang w:val="sl-SI"/>
        </w:rPr>
        <w:t xml:space="preserve"> </w:t>
      </w:r>
      <w:r w:rsidRPr="001048FE">
        <w:rPr>
          <w:lang w:val="sl-SI"/>
        </w:rPr>
        <w:t>študentom,</w:t>
      </w:r>
      <w:r w:rsidRPr="001048FE">
        <w:rPr>
          <w:spacing w:val="-17"/>
          <w:lang w:val="sl-SI"/>
        </w:rPr>
        <w:t xml:space="preserve"> </w:t>
      </w:r>
      <w:r w:rsidRPr="001048FE">
        <w:rPr>
          <w:lang w:val="sl-SI"/>
        </w:rPr>
        <w:t>da</w:t>
      </w:r>
      <w:r w:rsidRPr="001048FE">
        <w:rPr>
          <w:spacing w:val="-17"/>
          <w:lang w:val="sl-SI"/>
        </w:rPr>
        <w:t xml:space="preserve"> </w:t>
      </w:r>
      <w:r w:rsidRPr="001048FE">
        <w:rPr>
          <w:lang w:val="sl-SI"/>
        </w:rPr>
        <w:t>izberejo</w:t>
      </w:r>
      <w:r w:rsidRPr="001048FE">
        <w:rPr>
          <w:spacing w:val="-17"/>
          <w:lang w:val="sl-SI"/>
        </w:rPr>
        <w:t xml:space="preserve"> </w:t>
      </w:r>
      <w:r w:rsidRPr="001048FE">
        <w:rPr>
          <w:lang w:val="sl-SI"/>
        </w:rPr>
        <w:t>želene</w:t>
      </w:r>
      <w:r w:rsidRPr="001048FE">
        <w:rPr>
          <w:spacing w:val="-17"/>
          <w:lang w:val="sl-SI"/>
        </w:rPr>
        <w:t xml:space="preserve"> </w:t>
      </w:r>
      <w:r w:rsidRPr="001048FE">
        <w:rPr>
          <w:lang w:val="sl-SI"/>
        </w:rPr>
        <w:t>programe</w:t>
      </w:r>
      <w:r w:rsidRPr="001048FE">
        <w:rPr>
          <w:spacing w:val="-17"/>
          <w:lang w:val="sl-SI"/>
        </w:rPr>
        <w:t xml:space="preserve"> </w:t>
      </w:r>
      <w:r w:rsidRPr="001048FE">
        <w:rPr>
          <w:lang w:val="sl-SI"/>
        </w:rPr>
        <w:t>EMJMD</w:t>
      </w:r>
      <w:r w:rsidRPr="001048FE">
        <w:rPr>
          <w:spacing w:val="-17"/>
          <w:lang w:val="sl-SI"/>
        </w:rPr>
        <w:t xml:space="preserve"> </w:t>
      </w:r>
      <w:r w:rsidRPr="001048FE">
        <w:rPr>
          <w:lang w:val="sl-SI"/>
        </w:rPr>
        <w:t>in</w:t>
      </w:r>
      <w:r w:rsidRPr="001048FE">
        <w:rPr>
          <w:spacing w:val="-17"/>
          <w:lang w:val="sl-SI"/>
        </w:rPr>
        <w:t xml:space="preserve"> </w:t>
      </w:r>
      <w:r w:rsidRPr="001048FE">
        <w:rPr>
          <w:lang w:val="sl-SI"/>
        </w:rPr>
        <w:t>oddajo</w:t>
      </w:r>
      <w:r w:rsidRPr="001048FE">
        <w:rPr>
          <w:spacing w:val="-16"/>
          <w:lang w:val="sl-SI"/>
        </w:rPr>
        <w:t xml:space="preserve"> </w:t>
      </w:r>
      <w:r w:rsidRPr="001048FE">
        <w:rPr>
          <w:lang w:val="sl-SI"/>
        </w:rPr>
        <w:t>vlogo za štipendijo Erasmus+ neposredno pri zadevnih</w:t>
      </w:r>
      <w:r w:rsidRPr="001048FE">
        <w:rPr>
          <w:spacing w:val="-18"/>
          <w:lang w:val="sl-SI"/>
        </w:rPr>
        <w:t xml:space="preserve"> </w:t>
      </w:r>
      <w:r w:rsidRPr="001048FE">
        <w:rPr>
          <w:lang w:val="sl-SI"/>
        </w:rPr>
        <w:t>konzorcijih.</w:t>
      </w:r>
    </w:p>
    <w:p w14:paraId="7D39900B" w14:textId="77777777" w:rsidR="00E03711" w:rsidRPr="001048FE" w:rsidRDefault="00E03711" w:rsidP="0048106A">
      <w:pPr>
        <w:pStyle w:val="Guide-Heading5"/>
        <w:rPr>
          <w:lang w:val="sl-SI"/>
        </w:rPr>
      </w:pPr>
      <w:r w:rsidRPr="001048FE">
        <w:rPr>
          <w:lang w:val="sl-SI"/>
        </w:rPr>
        <w:t>Kakšna so pravila za dodelitev sredstev?</w:t>
      </w:r>
    </w:p>
    <w:p w14:paraId="7D39900C" w14:textId="77777777" w:rsidR="00E03711" w:rsidRPr="001048FE" w:rsidRDefault="00E03711" w:rsidP="00B2031E">
      <w:pPr>
        <w:pStyle w:val="GUIDE-NORMAL"/>
        <w:rPr>
          <w:sz w:val="22"/>
          <w:lang w:val="sl-SI"/>
        </w:rPr>
      </w:pPr>
      <w:r w:rsidRPr="001048FE">
        <w:rPr>
          <w:lang w:val="sl-SI"/>
        </w:rPr>
        <w:t>Izbrani programi EMJMD bodo podprti s sporazumom o nepovratnih sredstvih, ki bo zajel eno pripravljalno leto (če se prijavitelj odloči, da se prijavi za pripravljalno leto) in štiri zaporedne vpise študentov.</w:t>
      </w:r>
      <w:r>
        <w:rPr>
          <w:lang w:val="sl-SI"/>
        </w:rPr>
        <w:t xml:space="preserve"> </w:t>
      </w:r>
    </w:p>
    <w:p w14:paraId="7D39900D" w14:textId="77777777" w:rsidR="00E03711" w:rsidRPr="001048FE" w:rsidRDefault="00E03711" w:rsidP="00B2031E">
      <w:pPr>
        <w:pStyle w:val="GUIDE-NORMAL"/>
        <w:rPr>
          <w:sz w:val="22"/>
          <w:lang w:val="sl-SI"/>
        </w:rPr>
      </w:pPr>
      <w:r w:rsidRPr="001048FE">
        <w:rPr>
          <w:lang w:val="sl-SI"/>
        </w:rPr>
        <w:t>Nepovratna sredstva EMJMD se izračunajo v skladu z naslednjimi načeli financiranja:</w:t>
      </w:r>
    </w:p>
    <w:p w14:paraId="7D39900E" w14:textId="77777777" w:rsidR="00E03711" w:rsidRPr="001048FE" w:rsidRDefault="00E03711" w:rsidP="005115F2">
      <w:pPr>
        <w:pStyle w:val="Guide-NormalBulletpoints"/>
        <w:numPr>
          <w:ilvl w:val="0"/>
          <w:numId w:val="252"/>
        </w:numPr>
        <w:rPr>
          <w:lang w:val="sl-SI"/>
        </w:rPr>
      </w:pPr>
      <w:r w:rsidRPr="001048FE">
        <w:rPr>
          <w:lang w:val="sl-SI"/>
        </w:rPr>
        <w:t>nepovratna</w:t>
      </w:r>
      <w:r w:rsidRPr="001048FE">
        <w:rPr>
          <w:spacing w:val="-22"/>
          <w:lang w:val="sl-SI"/>
        </w:rPr>
        <w:t xml:space="preserve"> </w:t>
      </w:r>
      <w:r w:rsidRPr="001048FE">
        <w:rPr>
          <w:lang w:val="sl-SI"/>
        </w:rPr>
        <w:t>sredstva</w:t>
      </w:r>
      <w:r w:rsidRPr="001048FE">
        <w:rPr>
          <w:spacing w:val="-22"/>
          <w:lang w:val="sl-SI"/>
        </w:rPr>
        <w:t xml:space="preserve"> </w:t>
      </w:r>
      <w:r w:rsidRPr="001048FE">
        <w:rPr>
          <w:lang w:val="sl-SI"/>
        </w:rPr>
        <w:t>za</w:t>
      </w:r>
      <w:r w:rsidRPr="001048FE">
        <w:rPr>
          <w:spacing w:val="-22"/>
          <w:lang w:val="sl-SI"/>
        </w:rPr>
        <w:t xml:space="preserve"> </w:t>
      </w:r>
      <w:r w:rsidRPr="001048FE">
        <w:rPr>
          <w:lang w:val="sl-SI"/>
        </w:rPr>
        <w:t>stroške</w:t>
      </w:r>
      <w:r w:rsidRPr="001048FE">
        <w:rPr>
          <w:spacing w:val="-22"/>
          <w:lang w:val="sl-SI"/>
        </w:rPr>
        <w:t xml:space="preserve"> </w:t>
      </w:r>
      <w:r w:rsidRPr="001048FE">
        <w:rPr>
          <w:lang w:val="sl-SI"/>
        </w:rPr>
        <w:t>upravljanja</w:t>
      </w:r>
      <w:r w:rsidRPr="001048FE">
        <w:rPr>
          <w:spacing w:val="-22"/>
          <w:lang w:val="sl-SI"/>
        </w:rPr>
        <w:t xml:space="preserve"> </w:t>
      </w:r>
      <w:r w:rsidRPr="001048FE">
        <w:rPr>
          <w:lang w:val="sl-SI"/>
        </w:rPr>
        <w:t>konzorcija</w:t>
      </w:r>
      <w:r w:rsidRPr="001048FE">
        <w:rPr>
          <w:spacing w:val="-22"/>
          <w:lang w:val="sl-SI"/>
        </w:rPr>
        <w:t xml:space="preserve"> </w:t>
      </w:r>
      <w:r w:rsidRPr="001048FE">
        <w:rPr>
          <w:lang w:val="sl-SI"/>
        </w:rPr>
        <w:t>in</w:t>
      </w:r>
      <w:r w:rsidRPr="001048FE">
        <w:rPr>
          <w:spacing w:val="-22"/>
          <w:lang w:val="sl-SI"/>
        </w:rPr>
        <w:t xml:space="preserve"> </w:t>
      </w:r>
      <w:r w:rsidRPr="001048FE">
        <w:rPr>
          <w:lang w:val="sl-SI"/>
        </w:rPr>
        <w:t>mobilnost</w:t>
      </w:r>
      <w:r w:rsidRPr="001048FE">
        <w:rPr>
          <w:spacing w:val="-22"/>
          <w:lang w:val="sl-SI"/>
        </w:rPr>
        <w:t xml:space="preserve"> </w:t>
      </w:r>
      <w:r w:rsidRPr="001048FE">
        <w:rPr>
          <w:lang w:val="sl-SI"/>
        </w:rPr>
        <w:t>akademskega</w:t>
      </w:r>
      <w:r w:rsidRPr="001048FE">
        <w:rPr>
          <w:spacing w:val="-22"/>
          <w:lang w:val="sl-SI"/>
        </w:rPr>
        <w:t xml:space="preserve"> </w:t>
      </w:r>
      <w:r w:rsidRPr="001048FE">
        <w:rPr>
          <w:lang w:val="sl-SI"/>
        </w:rPr>
        <w:t xml:space="preserve">osebja; </w:t>
      </w:r>
    </w:p>
    <w:p w14:paraId="7D39900F" w14:textId="77777777" w:rsidR="00E03711" w:rsidRPr="001048FE" w:rsidRDefault="00E03711" w:rsidP="005115F2">
      <w:pPr>
        <w:pStyle w:val="Guide-NormalBulletpoints"/>
        <w:numPr>
          <w:ilvl w:val="0"/>
          <w:numId w:val="252"/>
        </w:numPr>
        <w:rPr>
          <w:lang w:val="sl-SI"/>
        </w:rPr>
      </w:pPr>
      <w:r w:rsidRPr="001048FE">
        <w:rPr>
          <w:lang w:val="sl-SI"/>
        </w:rPr>
        <w:t>različno število študentskih štipendij, v višini največ 25 000 EUR na leto,</w:t>
      </w:r>
      <w:r w:rsidRPr="001048FE">
        <w:rPr>
          <w:spacing w:val="-43"/>
          <w:lang w:val="sl-SI"/>
        </w:rPr>
        <w:t xml:space="preserve"> </w:t>
      </w:r>
      <w:r w:rsidRPr="001048FE">
        <w:rPr>
          <w:lang w:val="sl-SI"/>
        </w:rPr>
        <w:t>ter</w:t>
      </w:r>
    </w:p>
    <w:p w14:paraId="7D399010" w14:textId="77777777" w:rsidR="00E03711" w:rsidRPr="001048FE" w:rsidRDefault="00E03711" w:rsidP="005115F2">
      <w:pPr>
        <w:pStyle w:val="Guide-NormalBulletpoints"/>
        <w:numPr>
          <w:ilvl w:val="0"/>
          <w:numId w:val="252"/>
        </w:numPr>
        <w:rPr>
          <w:sz w:val="22"/>
          <w:lang w:val="sl-SI"/>
        </w:rPr>
      </w:pPr>
      <w:r w:rsidRPr="001048FE">
        <w:rPr>
          <w:lang w:val="sl-SI"/>
        </w:rPr>
        <w:t>različno število dodatnih študentskih štipendij, v višini največ 25 000 EUR na leto za ciljne regije sveta.</w:t>
      </w:r>
    </w:p>
    <w:p w14:paraId="7D399011" w14:textId="77777777" w:rsidR="00E03711" w:rsidRPr="001048FE" w:rsidRDefault="00E03711" w:rsidP="00B2031E">
      <w:pPr>
        <w:pStyle w:val="GUIDE-NORMAL"/>
        <w:rPr>
          <w:lang w:val="sl-SI"/>
        </w:rPr>
      </w:pPr>
      <w:r w:rsidRPr="001048FE">
        <w:rPr>
          <w:lang w:val="sl-SI"/>
        </w:rPr>
        <w:t>Proračun</w:t>
      </w:r>
      <w:r w:rsidRPr="001048FE">
        <w:rPr>
          <w:spacing w:val="-10"/>
          <w:lang w:val="sl-SI"/>
        </w:rPr>
        <w:t xml:space="preserve"> </w:t>
      </w:r>
      <w:r w:rsidRPr="001048FE">
        <w:rPr>
          <w:lang w:val="sl-SI"/>
        </w:rPr>
        <w:t>programa</w:t>
      </w:r>
      <w:r w:rsidRPr="001048FE">
        <w:rPr>
          <w:spacing w:val="-10"/>
          <w:lang w:val="sl-SI"/>
        </w:rPr>
        <w:t xml:space="preserve"> </w:t>
      </w:r>
      <w:r w:rsidRPr="001048FE">
        <w:rPr>
          <w:lang w:val="sl-SI"/>
        </w:rPr>
        <w:t>EMJMD</w:t>
      </w:r>
      <w:r w:rsidRPr="001048FE">
        <w:rPr>
          <w:spacing w:val="-10"/>
          <w:lang w:val="sl-SI"/>
        </w:rPr>
        <w:t xml:space="preserve"> </w:t>
      </w:r>
      <w:r w:rsidRPr="001048FE">
        <w:rPr>
          <w:lang w:val="sl-SI"/>
        </w:rPr>
        <w:t>se</w:t>
      </w:r>
      <w:r w:rsidRPr="001048FE">
        <w:rPr>
          <w:spacing w:val="-10"/>
          <w:lang w:val="sl-SI"/>
        </w:rPr>
        <w:t xml:space="preserve"> </w:t>
      </w:r>
      <w:r w:rsidRPr="001048FE">
        <w:rPr>
          <w:lang w:val="sl-SI"/>
        </w:rPr>
        <w:t>podrobno</w:t>
      </w:r>
      <w:r w:rsidRPr="001048FE">
        <w:rPr>
          <w:spacing w:val="-10"/>
          <w:lang w:val="sl-SI"/>
        </w:rPr>
        <w:t xml:space="preserve"> </w:t>
      </w:r>
      <w:r w:rsidRPr="001048FE">
        <w:rPr>
          <w:lang w:val="sl-SI"/>
        </w:rPr>
        <w:t>pripravi</w:t>
      </w:r>
      <w:r w:rsidRPr="001048FE">
        <w:rPr>
          <w:spacing w:val="-10"/>
          <w:lang w:val="sl-SI"/>
        </w:rPr>
        <w:t xml:space="preserve"> </w:t>
      </w:r>
      <w:r w:rsidRPr="001048FE">
        <w:rPr>
          <w:lang w:val="sl-SI"/>
        </w:rPr>
        <w:t>v</w:t>
      </w:r>
      <w:r w:rsidRPr="001048FE">
        <w:rPr>
          <w:spacing w:val="-10"/>
          <w:lang w:val="sl-SI"/>
        </w:rPr>
        <w:t xml:space="preserve"> </w:t>
      </w:r>
      <w:r w:rsidRPr="001048FE">
        <w:rPr>
          <w:lang w:val="sl-SI"/>
        </w:rPr>
        <w:t>skladu</w:t>
      </w:r>
      <w:r w:rsidRPr="001048FE">
        <w:rPr>
          <w:spacing w:val="-10"/>
          <w:lang w:val="sl-SI"/>
        </w:rPr>
        <w:t xml:space="preserve"> </w:t>
      </w:r>
      <w:r w:rsidRPr="001048FE">
        <w:rPr>
          <w:lang w:val="sl-SI"/>
        </w:rPr>
        <w:t>z</w:t>
      </w:r>
      <w:r w:rsidRPr="001048FE">
        <w:rPr>
          <w:spacing w:val="-10"/>
          <w:lang w:val="sl-SI"/>
        </w:rPr>
        <w:t xml:space="preserve"> </w:t>
      </w:r>
      <w:r w:rsidRPr="001048FE">
        <w:rPr>
          <w:lang w:val="sl-SI"/>
        </w:rPr>
        <w:t>naslednjimi</w:t>
      </w:r>
      <w:r w:rsidRPr="001048FE">
        <w:rPr>
          <w:spacing w:val="-10"/>
          <w:lang w:val="sl-SI"/>
        </w:rPr>
        <w:t xml:space="preserve"> </w:t>
      </w:r>
      <w:r w:rsidRPr="001048FE">
        <w:rPr>
          <w:lang w:val="sl-SI"/>
        </w:rPr>
        <w:t>pravili</w:t>
      </w:r>
      <w:r w:rsidRPr="001048FE">
        <w:rPr>
          <w:spacing w:val="-10"/>
          <w:lang w:val="sl-SI"/>
        </w:rPr>
        <w:t xml:space="preserve"> </w:t>
      </w:r>
      <w:r w:rsidRPr="001048FE">
        <w:rPr>
          <w:lang w:val="sl-SI"/>
        </w:rPr>
        <w:t>za</w:t>
      </w:r>
      <w:r w:rsidRPr="001048FE">
        <w:rPr>
          <w:spacing w:val="-10"/>
          <w:lang w:val="sl-SI"/>
        </w:rPr>
        <w:t xml:space="preserve"> </w:t>
      </w:r>
      <w:r w:rsidRPr="001048FE">
        <w:rPr>
          <w:lang w:val="sl-SI"/>
        </w:rPr>
        <w:t>dodelitev</w:t>
      </w:r>
      <w:r w:rsidRPr="001048FE">
        <w:rPr>
          <w:spacing w:val="-10"/>
          <w:lang w:val="sl-SI"/>
        </w:rPr>
        <w:t xml:space="preserve"> </w:t>
      </w:r>
      <w:r w:rsidRPr="001048FE">
        <w:rPr>
          <w:lang w:val="sl-SI"/>
        </w:rPr>
        <w:t>sredstev (v</w:t>
      </w:r>
      <w:r w:rsidRPr="001048FE">
        <w:rPr>
          <w:spacing w:val="-3"/>
          <w:lang w:val="sl-SI"/>
        </w:rPr>
        <w:t xml:space="preserve"> </w:t>
      </w:r>
      <w:r w:rsidRPr="001048FE">
        <w:rPr>
          <w:lang w:val="sl-SI"/>
        </w:rPr>
        <w:t>EUR):</w:t>
      </w:r>
    </w:p>
    <w:p w14:paraId="7D399012" w14:textId="77777777" w:rsidR="00E03711" w:rsidRPr="001048FE" w:rsidRDefault="00E03711" w:rsidP="00B2031E">
      <w:pPr>
        <w:pStyle w:val="Guide-Heading7"/>
        <w:rPr>
          <w:lang w:val="sl-SI"/>
        </w:rPr>
      </w:pPr>
      <w:r w:rsidRPr="001048FE">
        <w:rPr>
          <w:lang w:val="sl-SI"/>
        </w:rPr>
        <w:t>A)  skupni magistrski program Erasmus Mundus</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5960"/>
      </w:tblGrid>
      <w:tr w:rsidR="00E03711" w:rsidRPr="00C80136" w14:paraId="7D399016" w14:textId="77777777" w:rsidTr="00904BD1">
        <w:trPr>
          <w:trHeight w:val="510"/>
        </w:trPr>
        <w:tc>
          <w:tcPr>
            <w:tcW w:w="3256"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D399013" w14:textId="77777777" w:rsidR="00E03711" w:rsidRPr="00F769E0" w:rsidRDefault="00E03711" w:rsidP="00334CDD">
            <w:pPr>
              <w:pStyle w:val="GUIDE-NORMAL"/>
              <w:spacing w:before="60" w:after="60"/>
              <w:jc w:val="left"/>
              <w:rPr>
                <w:rFonts w:eastAsia="SimSun" w:cs="Tahoma"/>
                <w:b/>
                <w:lang w:val="sl-SI" w:eastAsia="en-GB"/>
              </w:rPr>
            </w:pPr>
            <w:r w:rsidRPr="00F769E0">
              <w:rPr>
                <w:rFonts w:cs="Tahoma"/>
                <w:b/>
                <w:lang w:val="sl-SI" w:eastAsia="en-GB"/>
              </w:rPr>
              <w:t>Prispevek za stroške upravljanja konzorcija in stroške</w:t>
            </w:r>
            <w:r w:rsidRPr="00F769E0">
              <w:rPr>
                <w:rStyle w:val="FootnoteReference"/>
                <w:rFonts w:cs="Tahoma"/>
                <w:b/>
                <w:lang w:val="sl-SI" w:eastAsia="en-GB"/>
              </w:rPr>
              <w:footnoteReference w:id="77"/>
            </w:r>
            <w:r w:rsidRPr="00F769E0">
              <w:rPr>
                <w:rFonts w:cs="Tahoma"/>
                <w:b/>
                <w:lang w:val="sl-SI" w:eastAsia="en-GB"/>
              </w:rPr>
              <w:t xml:space="preserve"> povabljenih znanstvenikov in gostujočih predavateljev</w:t>
            </w:r>
          </w:p>
        </w:tc>
        <w:tc>
          <w:tcPr>
            <w:tcW w:w="5815"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D399014" w14:textId="77777777" w:rsidR="00E03711" w:rsidRPr="001048FE" w:rsidRDefault="00E03711" w:rsidP="00334CDD">
            <w:pPr>
              <w:pStyle w:val="Guide-NormalBulletpoints"/>
              <w:spacing w:before="60"/>
              <w:rPr>
                <w:lang w:val="sl-SI"/>
              </w:rPr>
            </w:pPr>
            <w:r w:rsidRPr="001048FE">
              <w:rPr>
                <w:lang w:val="sl-SI"/>
              </w:rPr>
              <w:t>20 000 EUR za neobvezno pripravljalno leto.</w:t>
            </w:r>
          </w:p>
          <w:p w14:paraId="7D399015" w14:textId="77777777" w:rsidR="00E03711" w:rsidRPr="001048FE" w:rsidRDefault="00E03711" w:rsidP="00334CDD">
            <w:pPr>
              <w:pStyle w:val="Guide-NormalBulletpoints"/>
              <w:spacing w:before="60"/>
              <w:rPr>
                <w:rFonts w:eastAsia="SimSun"/>
                <w:lang w:val="sl-SI"/>
              </w:rPr>
            </w:pPr>
            <w:r w:rsidRPr="001048FE">
              <w:rPr>
                <w:lang w:val="sl-SI"/>
              </w:rPr>
              <w:t>50 000 EUR na vpis programa EMJMD.</w:t>
            </w:r>
          </w:p>
        </w:tc>
      </w:tr>
    </w:tbl>
    <w:p w14:paraId="7D399017" w14:textId="77777777" w:rsidR="00E03711" w:rsidRPr="001048FE" w:rsidRDefault="00E03711" w:rsidP="00B2031E">
      <w:pPr>
        <w:pStyle w:val="Guide-Heading7"/>
        <w:rPr>
          <w:lang w:val="sl-SI"/>
        </w:rPr>
      </w:pPr>
      <w:bookmarkStart w:id="188" w:name="Bourses_d’étudiants_en_master_commun_Era"/>
      <w:bookmarkEnd w:id="188"/>
      <w:r w:rsidRPr="001048FE">
        <w:rPr>
          <w:lang w:val="sl-SI"/>
        </w:rPr>
        <w:t>B)  Študentske štipendije skupnega magistrskega študija Erasmus</w:t>
      </w:r>
      <w:r w:rsidRPr="001048FE">
        <w:rPr>
          <w:spacing w:val="22"/>
          <w:lang w:val="sl-SI"/>
        </w:rPr>
        <w:t xml:space="preserve"> </w:t>
      </w:r>
      <w:r w:rsidRPr="001048FE">
        <w:rPr>
          <w:lang w:val="sl-SI"/>
        </w:rPr>
        <w:t>Mundus:</w:t>
      </w:r>
    </w:p>
    <w:p w14:paraId="7D399018" w14:textId="77777777" w:rsidR="00E03711" w:rsidRPr="001048FE" w:rsidRDefault="00E03711" w:rsidP="006F6C8B">
      <w:pPr>
        <w:pStyle w:val="GUIDE-NORMAL"/>
        <w:rPr>
          <w:lang w:val="sl-SI"/>
        </w:rPr>
      </w:pPr>
      <w:r w:rsidRPr="001048FE">
        <w:rPr>
          <w:lang w:val="sl-SI"/>
        </w:rPr>
        <w:t>V študentske štipendije EMJMD bodo zajeti stroški udeležbe študentov (vključno s šolnino, kritjem polnega zavarovanja in kakršnih koli drugih obveznih stroškov, povezanih z udeležbo študentov v programu),</w:t>
      </w:r>
      <w:r w:rsidRPr="001048FE">
        <w:rPr>
          <w:spacing w:val="-9"/>
          <w:lang w:val="sl-SI"/>
        </w:rPr>
        <w:t xml:space="preserve"> </w:t>
      </w:r>
      <w:r w:rsidRPr="001048FE">
        <w:rPr>
          <w:lang w:val="sl-SI"/>
        </w:rPr>
        <w:t>prispevek</w:t>
      </w:r>
      <w:r w:rsidRPr="001048FE">
        <w:rPr>
          <w:spacing w:val="-9"/>
          <w:lang w:val="sl-SI"/>
        </w:rPr>
        <w:t xml:space="preserve"> </w:t>
      </w:r>
      <w:r w:rsidRPr="001048FE">
        <w:rPr>
          <w:lang w:val="sl-SI"/>
        </w:rPr>
        <w:t>za</w:t>
      </w:r>
      <w:r w:rsidRPr="001048FE">
        <w:rPr>
          <w:spacing w:val="-9"/>
          <w:lang w:val="sl-SI"/>
        </w:rPr>
        <w:t xml:space="preserve"> </w:t>
      </w:r>
      <w:r w:rsidRPr="001048FE">
        <w:rPr>
          <w:lang w:val="sl-SI"/>
        </w:rPr>
        <w:t>potne</w:t>
      </w:r>
      <w:r w:rsidRPr="001048FE">
        <w:rPr>
          <w:spacing w:val="-9"/>
          <w:lang w:val="sl-SI"/>
        </w:rPr>
        <w:t xml:space="preserve"> </w:t>
      </w:r>
      <w:r w:rsidRPr="001048FE">
        <w:rPr>
          <w:lang w:val="sl-SI"/>
        </w:rPr>
        <w:t>stroške</w:t>
      </w:r>
      <w:r w:rsidRPr="001048FE">
        <w:rPr>
          <w:spacing w:val="-9"/>
          <w:lang w:val="sl-SI"/>
        </w:rPr>
        <w:t xml:space="preserve"> </w:t>
      </w:r>
      <w:r w:rsidRPr="001048FE">
        <w:rPr>
          <w:lang w:val="sl-SI"/>
        </w:rPr>
        <w:t>ter</w:t>
      </w:r>
      <w:r w:rsidRPr="001048FE">
        <w:rPr>
          <w:spacing w:val="-9"/>
          <w:lang w:val="sl-SI"/>
        </w:rPr>
        <w:t xml:space="preserve"> </w:t>
      </w:r>
      <w:r w:rsidRPr="001048FE">
        <w:rPr>
          <w:lang w:val="sl-SI"/>
        </w:rPr>
        <w:t>stroške</w:t>
      </w:r>
      <w:r w:rsidRPr="001048FE">
        <w:rPr>
          <w:spacing w:val="-9"/>
          <w:lang w:val="sl-SI"/>
        </w:rPr>
        <w:t xml:space="preserve"> </w:t>
      </w:r>
      <w:r w:rsidRPr="001048FE">
        <w:rPr>
          <w:lang w:val="sl-SI"/>
        </w:rPr>
        <w:t>nastanitve</w:t>
      </w:r>
      <w:r w:rsidRPr="001048FE">
        <w:rPr>
          <w:spacing w:val="-9"/>
          <w:lang w:val="sl-SI"/>
        </w:rPr>
        <w:t xml:space="preserve"> </w:t>
      </w:r>
      <w:r w:rsidRPr="001048FE">
        <w:rPr>
          <w:lang w:val="sl-SI"/>
        </w:rPr>
        <w:t>in</w:t>
      </w:r>
      <w:r w:rsidRPr="001048FE">
        <w:rPr>
          <w:spacing w:val="-9"/>
          <w:lang w:val="sl-SI"/>
        </w:rPr>
        <w:t xml:space="preserve"> </w:t>
      </w:r>
      <w:r w:rsidRPr="001048FE">
        <w:rPr>
          <w:lang w:val="sl-SI"/>
        </w:rPr>
        <w:t>bivanja</w:t>
      </w:r>
      <w:r w:rsidRPr="001048FE">
        <w:rPr>
          <w:spacing w:val="-9"/>
          <w:lang w:val="sl-SI"/>
        </w:rPr>
        <w:t xml:space="preserve"> </w:t>
      </w:r>
      <w:r w:rsidRPr="001048FE">
        <w:rPr>
          <w:lang w:val="sl-SI"/>
        </w:rPr>
        <w:t>študenta</w:t>
      </w:r>
      <w:r w:rsidRPr="001048FE">
        <w:rPr>
          <w:spacing w:val="-9"/>
          <w:lang w:val="sl-SI"/>
        </w:rPr>
        <w:t xml:space="preserve"> </w:t>
      </w:r>
      <w:r w:rsidRPr="001048FE">
        <w:rPr>
          <w:lang w:val="sl-SI"/>
        </w:rPr>
        <w:t>za</w:t>
      </w:r>
      <w:r w:rsidRPr="001048FE">
        <w:rPr>
          <w:spacing w:val="-9"/>
          <w:lang w:val="sl-SI"/>
        </w:rPr>
        <w:t xml:space="preserve"> </w:t>
      </w:r>
      <w:r w:rsidRPr="001048FE">
        <w:rPr>
          <w:lang w:val="sl-SI"/>
        </w:rPr>
        <w:t>celotno</w:t>
      </w:r>
      <w:r w:rsidRPr="001048FE">
        <w:rPr>
          <w:spacing w:val="-9"/>
          <w:lang w:val="sl-SI"/>
        </w:rPr>
        <w:t xml:space="preserve"> </w:t>
      </w:r>
      <w:r w:rsidRPr="001048FE">
        <w:rPr>
          <w:lang w:val="sl-SI"/>
        </w:rPr>
        <w:t>trajanje študijskega</w:t>
      </w:r>
      <w:r w:rsidRPr="001048FE">
        <w:rPr>
          <w:spacing w:val="-26"/>
          <w:lang w:val="sl-SI"/>
        </w:rPr>
        <w:t xml:space="preserve"> </w:t>
      </w:r>
      <w:r w:rsidRPr="001048FE">
        <w:rPr>
          <w:lang w:val="sl-SI"/>
        </w:rPr>
        <w:t>programa</w:t>
      </w:r>
      <w:r w:rsidRPr="001048FE">
        <w:rPr>
          <w:spacing w:val="-26"/>
          <w:lang w:val="sl-SI"/>
        </w:rPr>
        <w:t xml:space="preserve"> </w:t>
      </w:r>
      <w:r w:rsidRPr="001048FE">
        <w:rPr>
          <w:lang w:val="sl-SI"/>
        </w:rPr>
        <w:t>EMJMD.</w:t>
      </w:r>
      <w:r w:rsidRPr="001048FE">
        <w:rPr>
          <w:spacing w:val="-26"/>
          <w:lang w:val="sl-SI"/>
        </w:rPr>
        <w:t xml:space="preserve"> </w:t>
      </w:r>
      <w:r w:rsidRPr="001048FE">
        <w:rPr>
          <w:lang w:val="sl-SI"/>
        </w:rPr>
        <w:t>Podrobnosti</w:t>
      </w:r>
      <w:r w:rsidRPr="001048FE">
        <w:rPr>
          <w:spacing w:val="-26"/>
          <w:lang w:val="sl-SI"/>
        </w:rPr>
        <w:t xml:space="preserve"> </w:t>
      </w:r>
      <w:r w:rsidRPr="001048FE">
        <w:rPr>
          <w:lang w:val="sl-SI"/>
        </w:rPr>
        <w:t>o</w:t>
      </w:r>
      <w:r w:rsidRPr="001048FE">
        <w:rPr>
          <w:spacing w:val="-26"/>
          <w:lang w:val="sl-SI"/>
        </w:rPr>
        <w:t xml:space="preserve"> </w:t>
      </w:r>
      <w:r w:rsidRPr="001048FE">
        <w:rPr>
          <w:lang w:val="sl-SI"/>
        </w:rPr>
        <w:t>zneskih</w:t>
      </w:r>
      <w:r w:rsidRPr="001048FE">
        <w:rPr>
          <w:spacing w:val="-26"/>
          <w:lang w:val="sl-SI"/>
        </w:rPr>
        <w:t xml:space="preserve"> </w:t>
      </w:r>
      <w:r w:rsidRPr="001048FE">
        <w:rPr>
          <w:lang w:val="sl-SI"/>
        </w:rPr>
        <w:t>za</w:t>
      </w:r>
      <w:r w:rsidRPr="001048FE">
        <w:rPr>
          <w:spacing w:val="-26"/>
          <w:lang w:val="sl-SI"/>
        </w:rPr>
        <w:t xml:space="preserve"> </w:t>
      </w:r>
      <w:r w:rsidRPr="001048FE">
        <w:rPr>
          <w:lang w:val="sl-SI"/>
        </w:rPr>
        <w:t>študentske</w:t>
      </w:r>
      <w:r w:rsidRPr="001048FE">
        <w:rPr>
          <w:spacing w:val="-26"/>
          <w:lang w:val="sl-SI"/>
        </w:rPr>
        <w:t xml:space="preserve"> </w:t>
      </w:r>
      <w:r w:rsidRPr="001048FE">
        <w:rPr>
          <w:lang w:val="sl-SI"/>
        </w:rPr>
        <w:t>štipendije</w:t>
      </w:r>
      <w:r w:rsidRPr="001048FE">
        <w:rPr>
          <w:spacing w:val="-26"/>
          <w:lang w:val="sl-SI"/>
        </w:rPr>
        <w:t xml:space="preserve"> </w:t>
      </w:r>
      <w:r w:rsidRPr="001048FE">
        <w:rPr>
          <w:lang w:val="sl-SI"/>
        </w:rPr>
        <w:t>EMJMD</w:t>
      </w:r>
      <w:r w:rsidRPr="001048FE">
        <w:rPr>
          <w:spacing w:val="-26"/>
          <w:lang w:val="sl-SI"/>
        </w:rPr>
        <w:t xml:space="preserve"> </w:t>
      </w:r>
      <w:r w:rsidRPr="001048FE">
        <w:rPr>
          <w:lang w:val="sl-SI"/>
        </w:rPr>
        <w:t>so</w:t>
      </w:r>
      <w:r w:rsidRPr="001048FE">
        <w:rPr>
          <w:spacing w:val="-26"/>
          <w:lang w:val="sl-SI"/>
        </w:rPr>
        <w:t xml:space="preserve"> </w:t>
      </w:r>
      <w:r w:rsidRPr="001048FE">
        <w:rPr>
          <w:lang w:val="sl-SI"/>
        </w:rPr>
        <w:t>navedene v spodnji</w:t>
      </w:r>
      <w:r w:rsidRPr="001048FE">
        <w:rPr>
          <w:spacing w:val="-5"/>
          <w:lang w:val="sl-SI"/>
        </w:rPr>
        <w:t xml:space="preserve"> </w:t>
      </w:r>
      <w:r w:rsidRPr="001048FE">
        <w:rPr>
          <w:lang w:val="sl-SI"/>
        </w:rPr>
        <w:t>preglednici:</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7767"/>
      </w:tblGrid>
      <w:tr w:rsidR="00E03711" w:rsidRPr="00383EF8" w14:paraId="7D39901D" w14:textId="77777777" w:rsidTr="00904BD1">
        <w:trPr>
          <w:trHeight w:val="737"/>
        </w:trPr>
        <w:tc>
          <w:tcPr>
            <w:tcW w:w="153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D399019" w14:textId="77777777" w:rsidR="00E03711" w:rsidRPr="00F769E0" w:rsidRDefault="00E03711" w:rsidP="00B2031E">
            <w:pPr>
              <w:pStyle w:val="GUIDE-NORMAL"/>
              <w:jc w:val="left"/>
              <w:rPr>
                <w:rFonts w:eastAsia="SimSun" w:cs="Tahoma"/>
                <w:b/>
                <w:lang w:val="sl-SI" w:eastAsia="en-GB"/>
              </w:rPr>
            </w:pPr>
            <w:r w:rsidRPr="00F769E0">
              <w:rPr>
                <w:rFonts w:cs="Tahoma"/>
                <w:b/>
                <w:lang w:val="sl-SI" w:eastAsia="en-GB"/>
              </w:rPr>
              <w:t>Prispevek za stroške udeležbe</w:t>
            </w:r>
          </w:p>
        </w:tc>
        <w:tc>
          <w:tcPr>
            <w:tcW w:w="7767"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D39901A" w14:textId="77777777" w:rsidR="00E03711" w:rsidRPr="001048FE" w:rsidRDefault="00E03711" w:rsidP="00B2031E">
            <w:pPr>
              <w:pStyle w:val="Guide-NormalBulletpoints"/>
              <w:rPr>
                <w:lang w:val="sl-SI"/>
              </w:rPr>
            </w:pPr>
            <w:r w:rsidRPr="001048FE">
              <w:rPr>
                <w:lang w:val="sl-SI"/>
              </w:rPr>
              <w:t>Do 9 000 EUR na leto na prejemnika štipendije iz partnerske države</w:t>
            </w:r>
            <w:r w:rsidRPr="001048FE">
              <w:rPr>
                <w:rStyle w:val="FootnoteReference"/>
                <w:lang w:val="sl-SI"/>
              </w:rPr>
              <w:footnoteReference w:id="78"/>
            </w:r>
            <w:r w:rsidRPr="001048FE">
              <w:rPr>
                <w:lang w:val="sl-SI"/>
              </w:rPr>
              <w:t>.</w:t>
            </w:r>
          </w:p>
          <w:p w14:paraId="7D39901B" w14:textId="77777777" w:rsidR="00E03711" w:rsidRPr="001048FE" w:rsidRDefault="00E03711" w:rsidP="00B2031E">
            <w:pPr>
              <w:pStyle w:val="Guide-NormalBulletpoints"/>
              <w:rPr>
                <w:lang w:val="sl-SI"/>
              </w:rPr>
            </w:pPr>
            <w:r w:rsidRPr="001048FE">
              <w:rPr>
                <w:lang w:val="sl-SI"/>
              </w:rPr>
              <w:t>Do 4 500 EUR na leto na prejemnika štipendije iz države Programa.</w:t>
            </w:r>
          </w:p>
          <w:p w14:paraId="7D39901C" w14:textId="77777777" w:rsidR="00E03711" w:rsidRPr="001048FE" w:rsidRDefault="00E03711" w:rsidP="00B2031E">
            <w:pPr>
              <w:pStyle w:val="Guide-NormalBulletpoints"/>
              <w:rPr>
                <w:rFonts w:eastAsia="SimSun"/>
                <w:lang w:val="sl-SI"/>
              </w:rPr>
            </w:pPr>
            <w:r w:rsidRPr="001048FE">
              <w:rPr>
                <w:lang w:val="sl-SI"/>
              </w:rPr>
              <w:t>Kakršen koli znesek, ki presega te najvišje zneske prispevkov, morajo kriti sodelujoče organizacije in ga ne smejo zaračunati prejemniku štipendije.</w:t>
            </w:r>
          </w:p>
        </w:tc>
      </w:tr>
      <w:tr w:rsidR="00E03711" w:rsidRPr="00383EF8" w14:paraId="7D399022" w14:textId="77777777" w:rsidTr="00904BD1">
        <w:trPr>
          <w:trHeight w:val="737"/>
        </w:trPr>
        <w:tc>
          <w:tcPr>
            <w:tcW w:w="153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D39901E" w14:textId="77777777" w:rsidR="00E03711" w:rsidRPr="00F769E0" w:rsidRDefault="00E03711" w:rsidP="00B2031E">
            <w:pPr>
              <w:pStyle w:val="GUIDE-NORMAL"/>
              <w:jc w:val="left"/>
              <w:rPr>
                <w:rFonts w:eastAsia="SimSun" w:cs="Tahoma"/>
                <w:b/>
                <w:lang w:val="sl-SI" w:eastAsia="en-GB"/>
              </w:rPr>
            </w:pPr>
            <w:r w:rsidRPr="00F769E0">
              <w:rPr>
                <w:rFonts w:cs="Tahoma"/>
                <w:b/>
                <w:lang w:val="sl-SI" w:eastAsia="en-GB"/>
              </w:rPr>
              <w:t xml:space="preserve">Prispevek za potne stroške </w:t>
            </w:r>
            <w:r w:rsidRPr="00F769E0">
              <w:rPr>
                <w:rFonts w:cs="Tahoma"/>
                <w:b/>
                <w:lang w:val="sl-SI" w:eastAsia="en-GB"/>
              </w:rPr>
              <w:br/>
              <w:t>in stroške nastanitve</w:t>
            </w:r>
          </w:p>
        </w:tc>
        <w:tc>
          <w:tcPr>
            <w:tcW w:w="7767"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D39901F" w14:textId="77777777" w:rsidR="00E03711" w:rsidRPr="001048FE" w:rsidRDefault="00E03711" w:rsidP="00B2031E">
            <w:pPr>
              <w:pStyle w:val="Guide-NormalBulletpoints"/>
              <w:rPr>
                <w:lang w:val="sl-SI"/>
              </w:rPr>
            </w:pPr>
            <w:r w:rsidRPr="001048FE">
              <w:rPr>
                <w:lang w:val="sl-SI"/>
              </w:rPr>
              <w:t>1 000 EUR na leto na prejemnika štipendije, ki prebiva v državi Programa, za potne stroške.</w:t>
            </w:r>
          </w:p>
          <w:p w14:paraId="7D399020" w14:textId="77777777" w:rsidR="00E03711" w:rsidRPr="001048FE" w:rsidRDefault="00E03711" w:rsidP="00B2031E">
            <w:pPr>
              <w:pStyle w:val="Guide-NormalBulletpoints"/>
              <w:rPr>
                <w:lang w:val="sl-SI"/>
              </w:rPr>
            </w:pPr>
            <w:r w:rsidRPr="001048FE">
              <w:rPr>
                <w:lang w:val="sl-SI"/>
              </w:rPr>
              <w:t>2000 EUR na leto za potne stroške + 1 000 EUR za stroške nastanitve za prejemnika štipendije, ki prebiva v partnerski državi, ki od koordinatorske visokošolske institucije EMJMD ni oddaljena več kot 4 000 km.</w:t>
            </w:r>
          </w:p>
          <w:p w14:paraId="7D399021" w14:textId="77777777" w:rsidR="00E03711" w:rsidRPr="001048FE" w:rsidRDefault="00E03711" w:rsidP="00B2031E">
            <w:pPr>
              <w:pStyle w:val="Guide-NormalBulletpoints"/>
              <w:rPr>
                <w:lang w:val="sl-SI"/>
              </w:rPr>
            </w:pPr>
            <w:r w:rsidRPr="001048FE">
              <w:rPr>
                <w:lang w:val="sl-SI"/>
              </w:rPr>
              <w:t>3000 EUR na leto za potne stroške + 1 000 EUR za stroške nastanitve na prejemnika štipendije, ki prebiva v partnerski državi, ki je od koordinatorske visokošolske institucije EMJMD oddaljena več kot 4 000 km.</w:t>
            </w:r>
          </w:p>
        </w:tc>
      </w:tr>
      <w:tr w:rsidR="00E03711" w:rsidRPr="00383EF8" w14:paraId="7D399026" w14:textId="77777777" w:rsidTr="00904BD1">
        <w:trPr>
          <w:trHeight w:val="737"/>
        </w:trPr>
        <w:tc>
          <w:tcPr>
            <w:tcW w:w="153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D399023" w14:textId="77777777" w:rsidR="00E03711" w:rsidRPr="00F769E0" w:rsidRDefault="00E03711" w:rsidP="00B2031E">
            <w:pPr>
              <w:pStyle w:val="GUIDE-NORMAL"/>
              <w:jc w:val="left"/>
              <w:rPr>
                <w:rFonts w:eastAsia="SimSun" w:cs="Tahoma"/>
                <w:b/>
                <w:lang w:val="sl-SI" w:eastAsia="en-GB"/>
              </w:rPr>
            </w:pPr>
            <w:r w:rsidRPr="00F769E0">
              <w:rPr>
                <w:rFonts w:cs="Tahoma"/>
                <w:b/>
                <w:lang w:val="sl-SI" w:eastAsia="en-GB"/>
              </w:rPr>
              <w:t>Prispevek za stroške bivanja</w:t>
            </w:r>
          </w:p>
        </w:tc>
        <w:tc>
          <w:tcPr>
            <w:tcW w:w="7767"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D399024" w14:textId="77777777" w:rsidR="00E03711" w:rsidRDefault="00E03711" w:rsidP="006E61F8">
            <w:pPr>
              <w:pStyle w:val="Guide-NormalBulletpoints"/>
              <w:rPr>
                <w:lang w:val="sl-SI"/>
              </w:rPr>
            </w:pPr>
            <w:r w:rsidRPr="001048FE">
              <w:rPr>
                <w:lang w:val="sl-SI"/>
              </w:rPr>
              <w:t>1 000 EUR na mesec za celotno trajanje študijskega programa EMJMD</w:t>
            </w:r>
            <w:r w:rsidRPr="001048FE">
              <w:rPr>
                <w:spacing w:val="-20"/>
                <w:lang w:val="sl-SI"/>
              </w:rPr>
              <w:t xml:space="preserve"> </w:t>
            </w:r>
            <w:r w:rsidRPr="001048FE">
              <w:rPr>
                <w:lang w:val="sl-SI"/>
              </w:rPr>
              <w:t>(največ</w:t>
            </w:r>
            <w:r w:rsidRPr="001048FE">
              <w:rPr>
                <w:spacing w:val="-20"/>
                <w:lang w:val="sl-SI"/>
              </w:rPr>
              <w:t xml:space="preserve"> </w:t>
            </w:r>
            <w:r w:rsidRPr="001048FE">
              <w:rPr>
                <w:lang w:val="sl-SI"/>
              </w:rPr>
              <w:t>24</w:t>
            </w:r>
            <w:r w:rsidRPr="001048FE">
              <w:rPr>
                <w:spacing w:val="-20"/>
                <w:lang w:val="sl-SI"/>
              </w:rPr>
              <w:t xml:space="preserve"> </w:t>
            </w:r>
            <w:r w:rsidRPr="001048FE">
              <w:rPr>
                <w:lang w:val="sl-SI"/>
              </w:rPr>
              <w:t>mesecev).</w:t>
            </w:r>
            <w:r w:rsidRPr="001048FE">
              <w:rPr>
                <w:spacing w:val="-20"/>
                <w:lang w:val="sl-SI"/>
              </w:rPr>
              <w:t xml:space="preserve"> </w:t>
            </w:r>
            <w:r w:rsidRPr="001048FE">
              <w:rPr>
                <w:lang w:val="sl-SI"/>
              </w:rPr>
              <w:t>Prejemniki</w:t>
            </w:r>
            <w:r w:rsidRPr="001048FE">
              <w:rPr>
                <w:spacing w:val="-20"/>
                <w:lang w:val="sl-SI"/>
              </w:rPr>
              <w:t xml:space="preserve"> </w:t>
            </w:r>
            <w:r w:rsidRPr="001048FE">
              <w:rPr>
                <w:lang w:val="sl-SI"/>
              </w:rPr>
              <w:t>štipendije</w:t>
            </w:r>
            <w:r w:rsidRPr="001048FE">
              <w:rPr>
                <w:spacing w:val="-20"/>
                <w:lang w:val="sl-SI"/>
              </w:rPr>
              <w:t xml:space="preserve"> </w:t>
            </w:r>
            <w:r w:rsidRPr="001048FE">
              <w:rPr>
                <w:lang w:val="sl-SI"/>
              </w:rPr>
              <w:t>ne</w:t>
            </w:r>
            <w:r w:rsidRPr="001048FE">
              <w:rPr>
                <w:spacing w:val="-20"/>
                <w:lang w:val="sl-SI"/>
              </w:rPr>
              <w:t xml:space="preserve"> </w:t>
            </w:r>
            <w:r w:rsidRPr="001048FE">
              <w:rPr>
                <w:lang w:val="sl-SI"/>
              </w:rPr>
              <w:t>bodo</w:t>
            </w:r>
            <w:r w:rsidRPr="001048FE">
              <w:rPr>
                <w:spacing w:val="-20"/>
                <w:lang w:val="sl-SI"/>
              </w:rPr>
              <w:t xml:space="preserve"> </w:t>
            </w:r>
            <w:r w:rsidRPr="001048FE">
              <w:rPr>
                <w:lang w:val="sl-SI"/>
              </w:rPr>
              <w:t>prejeli prispevka za stroške bivanja za obdobja programa EMJMD (študij/raziskave/praksa/priprava magistrske naloge), ki</w:t>
            </w:r>
            <w:r w:rsidRPr="001048FE">
              <w:rPr>
                <w:spacing w:val="-15"/>
                <w:lang w:val="sl-SI"/>
              </w:rPr>
              <w:t xml:space="preserve"> </w:t>
            </w:r>
            <w:r w:rsidRPr="001048FE">
              <w:rPr>
                <w:lang w:val="sl-SI"/>
              </w:rPr>
              <w:t>jih preživijo v svoji državi stalnega prebivališča. Prav tako tega prispevka ne bodo prejeli prejemniki štipendije iz partnerske države za obdobja programa EMJMD, ki jih preživijo v kateri koli partnerski državi in ki presegajo obdobje enega trimestra (tj. 3 mesece ali vrednost 15 kreditnih točk ECTS), preživetega v kateri koli partnerski državi.</w:t>
            </w:r>
          </w:p>
          <w:p w14:paraId="7D399025" w14:textId="77777777" w:rsidR="00E03711" w:rsidRPr="006E61F8" w:rsidRDefault="00E03711" w:rsidP="006E61F8">
            <w:pPr>
              <w:pStyle w:val="Guide-NormalBulletpoints"/>
              <w:rPr>
                <w:lang w:val="sl-SI"/>
              </w:rPr>
            </w:pPr>
          </w:p>
        </w:tc>
      </w:tr>
    </w:tbl>
    <w:p w14:paraId="7D399027" w14:textId="77777777" w:rsidR="00E03711" w:rsidRPr="001048FE" w:rsidRDefault="00E03711">
      <w:pPr>
        <w:widowControl/>
        <w:suppressAutoHyphens w:val="0"/>
        <w:autoSpaceDN/>
        <w:textAlignment w:val="auto"/>
        <w:rPr>
          <w:lang w:val="sl-SI"/>
        </w:rPr>
      </w:pPr>
      <w:bookmarkStart w:id="189" w:name="Octroi_de_la_subvention"/>
      <w:bookmarkEnd w:id="189"/>
    </w:p>
    <w:p w14:paraId="7D399028" w14:textId="77777777" w:rsidR="00E03711" w:rsidRPr="001048FE" w:rsidRDefault="00E03711" w:rsidP="0048106A">
      <w:pPr>
        <w:pStyle w:val="Guide-Heading5"/>
        <w:rPr>
          <w:lang w:val="sl-SI"/>
        </w:rPr>
      </w:pPr>
      <w:r w:rsidRPr="001048FE">
        <w:rPr>
          <w:lang w:val="sl-SI"/>
        </w:rPr>
        <w:t>Dodelitev nepovratnih sredstev</w:t>
      </w:r>
    </w:p>
    <w:p w14:paraId="7D399029" w14:textId="77777777" w:rsidR="00E03711" w:rsidRPr="001048FE" w:rsidRDefault="00E03711" w:rsidP="00A17D17">
      <w:pPr>
        <w:pStyle w:val="GUIDE-NORMAL"/>
        <w:rPr>
          <w:lang w:val="sl-SI"/>
        </w:rPr>
      </w:pPr>
      <w:r w:rsidRPr="001048FE">
        <w:rPr>
          <w:lang w:val="sl-SI"/>
        </w:rPr>
        <w:t>Dejanski</w:t>
      </w:r>
      <w:r w:rsidRPr="001048FE">
        <w:rPr>
          <w:spacing w:val="-23"/>
          <w:lang w:val="sl-SI"/>
        </w:rPr>
        <w:t xml:space="preserve"> </w:t>
      </w:r>
      <w:r w:rsidRPr="001048FE">
        <w:rPr>
          <w:lang w:val="sl-SI"/>
        </w:rPr>
        <w:t>znesek</w:t>
      </w:r>
      <w:r w:rsidRPr="001048FE">
        <w:rPr>
          <w:spacing w:val="-23"/>
          <w:lang w:val="sl-SI"/>
        </w:rPr>
        <w:t xml:space="preserve"> </w:t>
      </w:r>
      <w:r w:rsidRPr="001048FE">
        <w:rPr>
          <w:lang w:val="sl-SI"/>
        </w:rPr>
        <w:t>posameznih</w:t>
      </w:r>
      <w:r w:rsidRPr="001048FE">
        <w:rPr>
          <w:spacing w:val="-23"/>
          <w:lang w:val="sl-SI"/>
        </w:rPr>
        <w:t xml:space="preserve"> </w:t>
      </w:r>
      <w:r w:rsidRPr="001048FE">
        <w:rPr>
          <w:lang w:val="sl-SI"/>
        </w:rPr>
        <w:t>štipendij</w:t>
      </w:r>
      <w:r w:rsidRPr="001048FE">
        <w:rPr>
          <w:spacing w:val="-23"/>
          <w:lang w:val="sl-SI"/>
        </w:rPr>
        <w:t xml:space="preserve"> </w:t>
      </w:r>
      <w:r w:rsidRPr="001048FE">
        <w:rPr>
          <w:lang w:val="sl-SI"/>
        </w:rPr>
        <w:t>oziroma</w:t>
      </w:r>
      <w:r w:rsidRPr="001048FE">
        <w:rPr>
          <w:spacing w:val="-22"/>
          <w:lang w:val="sl-SI"/>
        </w:rPr>
        <w:t xml:space="preserve"> </w:t>
      </w:r>
      <w:r w:rsidRPr="001048FE">
        <w:rPr>
          <w:lang w:val="sl-SI"/>
        </w:rPr>
        <w:t>najvišji</w:t>
      </w:r>
      <w:r w:rsidRPr="001048FE">
        <w:rPr>
          <w:spacing w:val="-23"/>
          <w:lang w:val="sl-SI"/>
        </w:rPr>
        <w:t xml:space="preserve"> </w:t>
      </w:r>
      <w:r w:rsidRPr="001048FE">
        <w:rPr>
          <w:lang w:val="sl-SI"/>
        </w:rPr>
        <w:t>znesek</w:t>
      </w:r>
      <w:r w:rsidRPr="001048FE">
        <w:rPr>
          <w:spacing w:val="-23"/>
          <w:lang w:val="sl-SI"/>
        </w:rPr>
        <w:t xml:space="preserve"> </w:t>
      </w:r>
      <w:r w:rsidRPr="001048FE">
        <w:rPr>
          <w:lang w:val="sl-SI"/>
        </w:rPr>
        <w:t>dodeljenih</w:t>
      </w:r>
      <w:r w:rsidRPr="001048FE">
        <w:rPr>
          <w:spacing w:val="-23"/>
          <w:lang w:val="sl-SI"/>
        </w:rPr>
        <w:t xml:space="preserve"> </w:t>
      </w:r>
      <w:r w:rsidRPr="001048FE">
        <w:rPr>
          <w:lang w:val="sl-SI"/>
        </w:rPr>
        <w:t>nepovratnih</w:t>
      </w:r>
      <w:r w:rsidRPr="001048FE">
        <w:rPr>
          <w:spacing w:val="-23"/>
          <w:lang w:val="sl-SI"/>
        </w:rPr>
        <w:t xml:space="preserve"> </w:t>
      </w:r>
      <w:r w:rsidRPr="001048FE">
        <w:rPr>
          <w:lang w:val="sl-SI"/>
        </w:rPr>
        <w:t>sredstev</w:t>
      </w:r>
      <w:r w:rsidRPr="001048FE">
        <w:rPr>
          <w:spacing w:val="-23"/>
          <w:lang w:val="sl-SI"/>
        </w:rPr>
        <w:t xml:space="preserve"> </w:t>
      </w:r>
      <w:r w:rsidRPr="001048FE">
        <w:rPr>
          <w:lang w:val="sl-SI"/>
        </w:rPr>
        <w:t>za izbrane projekte bo odvisen od številnih</w:t>
      </w:r>
      <w:r w:rsidRPr="001048FE">
        <w:rPr>
          <w:spacing w:val="-16"/>
          <w:lang w:val="sl-SI"/>
        </w:rPr>
        <w:t xml:space="preserve"> </w:t>
      </w:r>
      <w:r w:rsidRPr="001048FE">
        <w:rPr>
          <w:lang w:val="sl-SI"/>
        </w:rPr>
        <w:t>elementov:</w:t>
      </w:r>
    </w:p>
    <w:p w14:paraId="7D39902A" w14:textId="77777777" w:rsidR="00E03711" w:rsidRPr="001048FE" w:rsidRDefault="00E03711" w:rsidP="005115F2">
      <w:pPr>
        <w:pStyle w:val="Guide-NormalBulletpoints"/>
        <w:numPr>
          <w:ilvl w:val="0"/>
          <w:numId w:val="253"/>
        </w:numPr>
        <w:rPr>
          <w:lang w:val="sl-SI"/>
        </w:rPr>
      </w:pPr>
      <w:r w:rsidRPr="001048FE">
        <w:rPr>
          <w:lang w:val="sl-SI"/>
        </w:rPr>
        <w:t>trajanja programa EMJMD (60, 90 ali 120 kreditnih točk</w:t>
      </w:r>
      <w:r w:rsidRPr="001048FE">
        <w:rPr>
          <w:spacing w:val="-24"/>
          <w:lang w:val="sl-SI"/>
        </w:rPr>
        <w:t xml:space="preserve"> </w:t>
      </w:r>
      <w:r w:rsidRPr="001048FE">
        <w:rPr>
          <w:lang w:val="sl-SI"/>
        </w:rPr>
        <w:t>ECTS);</w:t>
      </w:r>
    </w:p>
    <w:p w14:paraId="7D39902B" w14:textId="77777777" w:rsidR="00E03711" w:rsidRPr="001048FE" w:rsidRDefault="00E03711" w:rsidP="005115F2">
      <w:pPr>
        <w:pStyle w:val="Guide-NormalBulletpoints"/>
        <w:numPr>
          <w:ilvl w:val="0"/>
          <w:numId w:val="253"/>
        </w:numPr>
        <w:rPr>
          <w:lang w:val="sl-SI"/>
        </w:rPr>
      </w:pPr>
      <w:r w:rsidRPr="001048FE">
        <w:rPr>
          <w:lang w:val="sl-SI"/>
        </w:rPr>
        <w:t>stroškov udeležbe v programu EMJMD, ki jih določijo</w:t>
      </w:r>
      <w:r w:rsidRPr="001048FE">
        <w:rPr>
          <w:spacing w:val="-21"/>
          <w:lang w:val="sl-SI"/>
        </w:rPr>
        <w:t xml:space="preserve"> </w:t>
      </w:r>
      <w:r w:rsidRPr="001048FE">
        <w:rPr>
          <w:lang w:val="sl-SI"/>
        </w:rPr>
        <w:t>konzorciji;</w:t>
      </w:r>
    </w:p>
    <w:p w14:paraId="7D39902C" w14:textId="77777777" w:rsidR="00E03711" w:rsidRPr="001048FE" w:rsidRDefault="00E03711" w:rsidP="005115F2">
      <w:pPr>
        <w:pStyle w:val="Guide-NormalBulletpoints"/>
        <w:numPr>
          <w:ilvl w:val="0"/>
          <w:numId w:val="253"/>
        </w:numPr>
        <w:rPr>
          <w:lang w:val="sl-SI"/>
        </w:rPr>
      </w:pPr>
      <w:r w:rsidRPr="001048FE">
        <w:rPr>
          <w:lang w:val="sl-SI"/>
        </w:rPr>
        <w:t>izvedbe neobveznega pripravljalnega</w:t>
      </w:r>
      <w:r w:rsidRPr="001048FE">
        <w:rPr>
          <w:spacing w:val="-9"/>
          <w:lang w:val="sl-SI"/>
        </w:rPr>
        <w:t xml:space="preserve"> </w:t>
      </w:r>
      <w:r w:rsidRPr="001048FE">
        <w:rPr>
          <w:lang w:val="sl-SI"/>
        </w:rPr>
        <w:t>leta;</w:t>
      </w:r>
    </w:p>
    <w:p w14:paraId="7D39902D" w14:textId="77777777" w:rsidR="00E03711" w:rsidRPr="001048FE" w:rsidRDefault="00E03711" w:rsidP="005115F2">
      <w:pPr>
        <w:pStyle w:val="Guide-NormalBulletpoints"/>
        <w:numPr>
          <w:ilvl w:val="0"/>
          <w:numId w:val="253"/>
        </w:numPr>
        <w:rPr>
          <w:lang w:val="sl-SI"/>
        </w:rPr>
      </w:pPr>
      <w:r w:rsidRPr="001048FE">
        <w:rPr>
          <w:lang w:val="sl-SI"/>
        </w:rPr>
        <w:t>števila štipendij države Programa/partnerske</w:t>
      </w:r>
      <w:r w:rsidRPr="001048FE">
        <w:rPr>
          <w:spacing w:val="-12"/>
          <w:lang w:val="sl-SI"/>
        </w:rPr>
        <w:t xml:space="preserve"> </w:t>
      </w:r>
      <w:r w:rsidRPr="001048FE">
        <w:rPr>
          <w:lang w:val="sl-SI"/>
        </w:rPr>
        <w:t>države.</w:t>
      </w:r>
    </w:p>
    <w:p w14:paraId="7D39902E" w14:textId="77777777" w:rsidR="00E03711" w:rsidRPr="001048FE" w:rsidRDefault="00E03711" w:rsidP="006E61F8">
      <w:pPr>
        <w:pStyle w:val="GUIDE-NORMAL"/>
        <w:rPr>
          <w:lang w:val="sl-SI"/>
        </w:rPr>
      </w:pPr>
      <w:r w:rsidRPr="001048FE">
        <w:rPr>
          <w:lang w:val="sl-SI"/>
        </w:rPr>
        <w:t xml:space="preserve">Glede na te parametre bodo nepovratna sredstva za program EMJMD za pripravljalno leto in štiri vpise študentov znašala največ </w:t>
      </w:r>
      <w:r>
        <w:rPr>
          <w:b/>
          <w:lang w:val="sl-SI"/>
        </w:rPr>
        <w:t>4</w:t>
      </w:r>
      <w:r w:rsidR="00381E74">
        <w:rPr>
          <w:b/>
          <w:lang w:val="sl-SI"/>
        </w:rPr>
        <w:t>,</w:t>
      </w:r>
      <w:r>
        <w:rPr>
          <w:b/>
          <w:lang w:val="sl-SI"/>
        </w:rPr>
        <w:t>532</w:t>
      </w:r>
      <w:r w:rsidRPr="001048FE">
        <w:rPr>
          <w:b/>
          <w:lang w:val="sl-SI"/>
        </w:rPr>
        <w:t xml:space="preserve"> milijona EUR</w:t>
      </w:r>
      <w:r w:rsidRPr="001048FE">
        <w:rPr>
          <w:rStyle w:val="FootnoteReference"/>
          <w:lang w:val="sl-SI"/>
        </w:rPr>
        <w:footnoteReference w:id="79"/>
      </w:r>
      <w:r w:rsidRPr="001048FE">
        <w:rPr>
          <w:lang w:val="sl-SI"/>
        </w:rPr>
        <w:t>.</w:t>
      </w:r>
      <w:r>
        <w:rPr>
          <w:lang w:val="sl-SI"/>
        </w:rPr>
        <w:t xml:space="preserve"> </w:t>
      </w:r>
    </w:p>
    <w:p w14:paraId="7D39902F" w14:textId="77777777" w:rsidR="00E03711" w:rsidRDefault="00E03711">
      <w:pPr>
        <w:widowControl/>
        <w:suppressAutoHyphens w:val="0"/>
        <w:autoSpaceDN/>
        <w:textAlignment w:val="auto"/>
        <w:rPr>
          <w:rFonts w:eastAsia="Times New Roman" w:cs="Times New Roman"/>
          <w:b/>
          <w:smallCaps/>
          <w:sz w:val="28"/>
          <w:szCs w:val="20"/>
          <w:lang w:val="sl-SI"/>
        </w:rPr>
      </w:pPr>
      <w:bookmarkStart w:id="190" w:name="Prêts_pour_masters"/>
      <w:bookmarkStart w:id="191" w:name="_bookmark38"/>
      <w:bookmarkEnd w:id="190"/>
      <w:bookmarkEnd w:id="191"/>
    </w:p>
    <w:p w14:paraId="7D399030" w14:textId="77777777" w:rsidR="00E03711" w:rsidRPr="001048FE" w:rsidRDefault="00E03711" w:rsidP="00334CDD">
      <w:pPr>
        <w:pStyle w:val="Guide-Heading4TOC"/>
        <w:rPr>
          <w:lang w:val="sl-SI"/>
        </w:rPr>
        <w:sectPr w:rsidR="00E03711" w:rsidRPr="001048FE" w:rsidSect="007F4890">
          <w:endnotePr>
            <w:numFmt w:val="decimal"/>
          </w:endnotePr>
          <w:pgSz w:w="11910" w:h="16840" w:code="9"/>
          <w:pgMar w:top="1134" w:right="1418" w:bottom="1134" w:left="1418" w:header="283" w:footer="567" w:gutter="0"/>
          <w:cols w:space="720"/>
          <w:docGrid w:linePitch="326"/>
        </w:sectPr>
      </w:pPr>
    </w:p>
    <w:p w14:paraId="7D399031" w14:textId="77777777" w:rsidR="00E03711" w:rsidRDefault="00E03711">
      <w:pPr>
        <w:pStyle w:val="Guide-Heading4TOC"/>
        <w:rPr>
          <w:lang w:val="sl-SI"/>
        </w:rPr>
      </w:pPr>
      <w:bookmarkStart w:id="192" w:name="_Toc527401145"/>
      <w:r w:rsidRPr="001048FE">
        <w:rPr>
          <w:lang w:val="sl-SI"/>
        </w:rPr>
        <w:t>Posojila Erasmus+ za magistrski študij</w:t>
      </w:r>
      <w:bookmarkEnd w:id="192"/>
    </w:p>
    <w:p w14:paraId="7D399032" w14:textId="77777777" w:rsidR="00E03711" w:rsidRPr="001048FE" w:rsidRDefault="00E03711" w:rsidP="00334CDD">
      <w:pPr>
        <w:pStyle w:val="GUIDE-NORMAL"/>
        <w:rPr>
          <w:lang w:val="sl-SI"/>
        </w:rPr>
      </w:pPr>
      <w:r w:rsidRPr="001048FE">
        <w:rPr>
          <w:lang w:val="sl-SI"/>
        </w:rPr>
        <w:t>Študenti, ki želijo opraviti cel študijski program na magistrski stopnji v drugi državi Programa, lahko zaprosijo za posojilo z jamstvom EU, ki bo krilo del njihovih stroškov.</w:t>
      </w:r>
    </w:p>
    <w:p w14:paraId="7D399033" w14:textId="77777777" w:rsidR="00E03711" w:rsidRPr="001048FE" w:rsidRDefault="00E03711" w:rsidP="00334CDD">
      <w:pPr>
        <w:pStyle w:val="GUIDE-NORMAL"/>
        <w:rPr>
          <w:lang w:val="sl-SI"/>
        </w:rPr>
      </w:pPr>
      <w:r w:rsidRPr="00FC4A70">
        <w:rPr>
          <w:rFonts w:eastAsia="Calibri" w:cs="Calibri"/>
          <w:bdr w:val="nil"/>
          <w:lang w:val="sl-SI"/>
        </w:rPr>
        <w:t>Posojila Erasmus+ za magistrski študij Erasmus+ bodo morebitnim študentom magistrskih programov omogočila dostop do posojil ali do ugodnosti odloženega plačila šolnine ali stroškov bivanja (ki jih zagotavljajo sodelujoče banke ali univerze, za njih pa jamči EU, prek svojega partnerskega Evropskega investicijskega sklada) za podporo njihovega študija v tujini v življenjskem ciklu programa Erasmus+. Za posojila (ali enakovredne storitve) mobilnim študentom magistrskega študija se bo pri dodelitvi proračunskih sredstev EU mobilnim študentom magistrskega študija z vzvodom financiral večkratni znesek iz bančnega sektorja ali iz visokošolske institucije.</w:t>
      </w:r>
    </w:p>
    <w:p w14:paraId="7D399034" w14:textId="77777777" w:rsidR="00E03711" w:rsidRPr="001048FE" w:rsidRDefault="00E03711" w:rsidP="00334CDD">
      <w:pPr>
        <w:pStyle w:val="GUIDE-NORMAL"/>
        <w:rPr>
          <w:lang w:val="sl-SI"/>
        </w:rPr>
      </w:pPr>
      <w:r w:rsidRPr="001048FE">
        <w:rPr>
          <w:lang w:val="sl-SI"/>
        </w:rPr>
        <w:t>Shema je začela delovati leta 2015, v prihodnjih letih pa bodo posojila Erasmus+ za magistrski študij na voljo v vedno več državah in vedno več študentom.</w:t>
      </w:r>
    </w:p>
    <w:p w14:paraId="7D399035" w14:textId="77777777" w:rsidR="00E03711" w:rsidRPr="001048FE" w:rsidRDefault="00E03711" w:rsidP="00334CDD">
      <w:pPr>
        <w:pStyle w:val="GUIDE-NORMAL"/>
        <w:jc w:val="left"/>
        <w:rPr>
          <w:lang w:val="sl-SI"/>
        </w:rPr>
      </w:pPr>
      <w:r w:rsidRPr="001048FE">
        <w:rPr>
          <w:lang w:val="sl-SI"/>
        </w:rPr>
        <w:t>Več</w:t>
      </w:r>
      <w:r w:rsidRPr="001048FE">
        <w:rPr>
          <w:spacing w:val="-13"/>
          <w:lang w:val="sl-SI"/>
        </w:rPr>
        <w:t xml:space="preserve"> </w:t>
      </w:r>
      <w:r w:rsidRPr="001048FE">
        <w:rPr>
          <w:lang w:val="sl-SI"/>
        </w:rPr>
        <w:t>informacij</w:t>
      </w:r>
      <w:r w:rsidRPr="001048FE">
        <w:rPr>
          <w:spacing w:val="-13"/>
          <w:lang w:val="sl-SI"/>
        </w:rPr>
        <w:t xml:space="preserve"> </w:t>
      </w:r>
      <w:r w:rsidRPr="001048FE">
        <w:rPr>
          <w:lang w:val="sl-SI"/>
        </w:rPr>
        <w:t>o</w:t>
      </w:r>
      <w:r w:rsidRPr="001048FE">
        <w:rPr>
          <w:spacing w:val="-12"/>
          <w:lang w:val="sl-SI"/>
        </w:rPr>
        <w:t xml:space="preserve"> </w:t>
      </w:r>
      <w:r w:rsidRPr="001048FE">
        <w:rPr>
          <w:lang w:val="sl-SI"/>
        </w:rPr>
        <w:t>shemi</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sodelujočih</w:t>
      </w:r>
      <w:r w:rsidRPr="001048FE">
        <w:rPr>
          <w:spacing w:val="-13"/>
          <w:lang w:val="sl-SI"/>
        </w:rPr>
        <w:t xml:space="preserve"> </w:t>
      </w:r>
      <w:r w:rsidRPr="001048FE">
        <w:rPr>
          <w:lang w:val="sl-SI"/>
        </w:rPr>
        <w:t>finančnih</w:t>
      </w:r>
      <w:r w:rsidRPr="001048FE">
        <w:rPr>
          <w:spacing w:val="-13"/>
          <w:lang w:val="sl-SI"/>
        </w:rPr>
        <w:t xml:space="preserve"> </w:t>
      </w:r>
      <w:r w:rsidRPr="001048FE">
        <w:rPr>
          <w:lang w:val="sl-SI"/>
        </w:rPr>
        <w:t>ustanovah</w:t>
      </w:r>
      <w:r w:rsidRPr="001048FE">
        <w:rPr>
          <w:spacing w:val="-13"/>
          <w:lang w:val="sl-SI"/>
        </w:rPr>
        <w:t xml:space="preserve"> </w:t>
      </w:r>
      <w:r w:rsidRPr="001048FE">
        <w:rPr>
          <w:lang w:val="sl-SI"/>
        </w:rPr>
        <w:t>je</w:t>
      </w:r>
      <w:r w:rsidRPr="001048FE">
        <w:rPr>
          <w:spacing w:val="-13"/>
          <w:lang w:val="sl-SI"/>
        </w:rPr>
        <w:t xml:space="preserve"> </w:t>
      </w:r>
      <w:r w:rsidRPr="001048FE">
        <w:rPr>
          <w:lang w:val="sl-SI"/>
        </w:rPr>
        <w:t>na</w:t>
      </w:r>
      <w:r w:rsidRPr="001048FE">
        <w:rPr>
          <w:spacing w:val="-13"/>
          <w:lang w:val="sl-SI"/>
        </w:rPr>
        <w:t xml:space="preserve"> </w:t>
      </w:r>
      <w:r w:rsidRPr="001048FE">
        <w:rPr>
          <w:lang w:val="sl-SI"/>
        </w:rPr>
        <w:t>voljo</w:t>
      </w:r>
      <w:r w:rsidRPr="001048FE">
        <w:rPr>
          <w:spacing w:val="-13"/>
          <w:lang w:val="sl-SI"/>
        </w:rPr>
        <w:t xml:space="preserve"> </w:t>
      </w:r>
      <w:r w:rsidRPr="001048FE">
        <w:rPr>
          <w:lang w:val="sl-SI"/>
        </w:rPr>
        <w:t>na</w:t>
      </w:r>
      <w:r w:rsidRPr="001048FE">
        <w:rPr>
          <w:spacing w:val="-13"/>
          <w:lang w:val="sl-SI"/>
        </w:rPr>
        <w:t xml:space="preserve"> </w:t>
      </w:r>
      <w:r w:rsidRPr="001048FE">
        <w:rPr>
          <w:lang w:val="sl-SI"/>
        </w:rPr>
        <w:t>spletišču</w:t>
      </w:r>
      <w:r w:rsidRPr="001048FE">
        <w:rPr>
          <w:spacing w:val="-13"/>
          <w:lang w:val="sl-SI"/>
        </w:rPr>
        <w:t xml:space="preserve"> </w:t>
      </w:r>
      <w:r w:rsidRPr="001048FE">
        <w:rPr>
          <w:lang w:val="sl-SI"/>
        </w:rPr>
        <w:t>Evropske komisije:</w:t>
      </w:r>
      <w:r w:rsidRPr="001048FE">
        <w:rPr>
          <w:spacing w:val="-6"/>
          <w:lang w:val="sl-SI"/>
        </w:rPr>
        <w:t xml:space="preserve"> </w:t>
      </w:r>
      <w:hyperlink r:id="rId83">
        <w:r w:rsidRPr="001048FE">
          <w:rPr>
            <w:rStyle w:val="Hyperlink"/>
            <w:lang w:val="sl-SI"/>
          </w:rPr>
          <w:t>https://ec.europa.eu/programmes/erasmus-plus/node/11_sl</w:t>
        </w:r>
      </w:hyperlink>
    </w:p>
    <w:tbl>
      <w:tblPr>
        <w:tblpPr w:leftFromText="180" w:rightFromText="180" w:vertAnchor="text"/>
        <w:tblW w:w="4988" w:type="pct"/>
        <w:tblCellMar>
          <w:left w:w="0" w:type="dxa"/>
          <w:right w:w="0" w:type="dxa"/>
        </w:tblCellMar>
        <w:tblLook w:val="04A0" w:firstRow="1" w:lastRow="0" w:firstColumn="1" w:lastColumn="0" w:noHBand="0" w:noVBand="1"/>
      </w:tblPr>
      <w:tblGrid>
        <w:gridCol w:w="1529"/>
        <w:gridCol w:w="7739"/>
      </w:tblGrid>
      <w:tr w:rsidR="00E03711" w:rsidRPr="00383EF8" w14:paraId="7D399039" w14:textId="77777777" w:rsidTr="00334CDD">
        <w:trPr>
          <w:trHeight w:val="20"/>
        </w:trPr>
        <w:tc>
          <w:tcPr>
            <w:tcW w:w="825" w:type="pct"/>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tcPr>
          <w:p w14:paraId="7D399036" w14:textId="77777777" w:rsidR="00E03711" w:rsidRPr="00F769E0" w:rsidRDefault="00E03711" w:rsidP="00334CDD">
            <w:pPr>
              <w:pStyle w:val="GUIDE-NORMAL"/>
              <w:spacing w:before="60" w:after="60"/>
              <w:jc w:val="left"/>
              <w:rPr>
                <w:rFonts w:cs="Tahoma"/>
                <w:b/>
                <w:lang w:val="sl-SI" w:eastAsia="en-GB"/>
              </w:rPr>
            </w:pPr>
            <w:r w:rsidRPr="00F769E0">
              <w:rPr>
                <w:rFonts w:cs="Tahoma"/>
                <w:b/>
                <w:lang w:val="sl-SI" w:eastAsia="en-GB"/>
              </w:rPr>
              <w:t>Zneski in cilj posojil</w:t>
            </w:r>
          </w:p>
        </w:tc>
        <w:tc>
          <w:tcPr>
            <w:tcW w:w="4175" w:type="pct"/>
            <w:tcBorders>
              <w:top w:val="single" w:sz="8" w:space="0" w:color="auto"/>
              <w:left w:val="nil"/>
              <w:bottom w:val="single" w:sz="8" w:space="0" w:color="auto"/>
              <w:right w:val="single" w:sz="8" w:space="0" w:color="auto"/>
            </w:tcBorders>
            <w:tcMar>
              <w:top w:w="57" w:type="dxa"/>
              <w:left w:w="108" w:type="dxa"/>
              <w:bottom w:w="57" w:type="dxa"/>
              <w:right w:w="108" w:type="dxa"/>
            </w:tcMar>
            <w:vAlign w:val="center"/>
          </w:tcPr>
          <w:p w14:paraId="7D399037" w14:textId="77777777" w:rsidR="00E03711" w:rsidRPr="00F769E0" w:rsidRDefault="00E03711" w:rsidP="00334CDD">
            <w:pPr>
              <w:pStyle w:val="GUIDE-NORMAL"/>
              <w:spacing w:before="60" w:after="60"/>
              <w:rPr>
                <w:rFonts w:cs="Tahoma"/>
                <w:lang w:val="sl-SI" w:eastAsia="en-GB"/>
              </w:rPr>
            </w:pPr>
            <w:r w:rsidRPr="00F769E0">
              <w:rPr>
                <w:rFonts w:cs="Tahoma"/>
                <w:lang w:val="sl-SI" w:eastAsia="en-GB"/>
              </w:rPr>
              <w:t xml:space="preserve">Posojila znašajo največ 12 000 EUR za enoletni magistrski program in največ 18 000 EUR za do dveletni magistrski program ter lahko krijejo življenjske stroške, stroške šolnine in druge s študijem povezane stroške v kateri koli izmed </w:t>
            </w:r>
            <w:r>
              <w:rPr>
                <w:rFonts w:cs="Tahoma"/>
                <w:lang w:val="sl-SI" w:eastAsia="en-GB"/>
              </w:rPr>
              <w:t>34</w:t>
            </w:r>
            <w:r w:rsidRPr="00F769E0">
              <w:rPr>
                <w:rFonts w:cs="Tahoma"/>
                <w:lang w:val="sl-SI" w:eastAsia="en-GB"/>
              </w:rPr>
              <w:t xml:space="preserve"> držav Programa Erasmus+.</w:t>
            </w:r>
          </w:p>
          <w:p w14:paraId="7D399038" w14:textId="77777777" w:rsidR="00E03711" w:rsidRPr="00F769E0" w:rsidRDefault="00E03711" w:rsidP="00334CDD">
            <w:pPr>
              <w:pStyle w:val="GUIDE-NORMAL"/>
              <w:spacing w:before="60" w:after="60"/>
              <w:rPr>
                <w:rFonts w:cs="Tahoma"/>
                <w:lang w:val="sl-SI" w:eastAsia="en-GB"/>
              </w:rPr>
            </w:pPr>
            <w:r w:rsidRPr="00F769E0">
              <w:rPr>
                <w:rFonts w:cs="Tahoma"/>
                <w:lang w:val="sl-SI" w:eastAsia="en-GB"/>
              </w:rPr>
              <w:t>Ključna socialna varovala vključujejo oprostitev študentov ali staršev za plačilo varščin, ugodno obrestno mero in ugodne pogoje vračila.</w:t>
            </w:r>
          </w:p>
        </w:tc>
      </w:tr>
      <w:tr w:rsidR="00E03711" w:rsidRPr="00383EF8" w14:paraId="7D399042" w14:textId="77777777" w:rsidTr="00334CDD">
        <w:trPr>
          <w:trHeight w:val="20"/>
        </w:trPr>
        <w:tc>
          <w:tcPr>
            <w:tcW w:w="825" w:type="pct"/>
            <w:tcBorders>
              <w:top w:val="nil"/>
              <w:left w:val="single" w:sz="8" w:space="0" w:color="auto"/>
              <w:bottom w:val="single" w:sz="8" w:space="0" w:color="auto"/>
              <w:right w:val="single" w:sz="8" w:space="0" w:color="auto"/>
            </w:tcBorders>
            <w:tcMar>
              <w:top w:w="57" w:type="dxa"/>
              <w:left w:w="108" w:type="dxa"/>
              <w:bottom w:w="57" w:type="dxa"/>
              <w:right w:w="108" w:type="dxa"/>
            </w:tcMar>
            <w:vAlign w:val="center"/>
          </w:tcPr>
          <w:p w14:paraId="7D39903A" w14:textId="77777777" w:rsidR="00E03711" w:rsidRPr="00F769E0" w:rsidRDefault="00E03711" w:rsidP="00334CDD">
            <w:pPr>
              <w:pStyle w:val="GUIDE-NORMAL"/>
              <w:spacing w:before="60" w:after="60"/>
              <w:jc w:val="left"/>
              <w:rPr>
                <w:rFonts w:cs="Tahoma"/>
                <w:b/>
                <w:lang w:val="sl-SI" w:eastAsia="en-GB"/>
              </w:rPr>
            </w:pPr>
            <w:r w:rsidRPr="00F769E0">
              <w:rPr>
                <w:rFonts w:cs="Tahoma"/>
                <w:b/>
                <w:lang w:val="sl-SI" w:eastAsia="en-GB"/>
              </w:rPr>
              <w:t>Merila za upravičenost</w:t>
            </w:r>
          </w:p>
        </w:tc>
        <w:tc>
          <w:tcPr>
            <w:tcW w:w="4175" w:type="pct"/>
            <w:tcBorders>
              <w:top w:val="nil"/>
              <w:left w:val="nil"/>
              <w:bottom w:val="single" w:sz="8" w:space="0" w:color="auto"/>
              <w:right w:val="single" w:sz="8" w:space="0" w:color="auto"/>
            </w:tcBorders>
            <w:tcMar>
              <w:top w:w="57" w:type="dxa"/>
              <w:left w:w="108" w:type="dxa"/>
              <w:bottom w:w="57" w:type="dxa"/>
              <w:right w:w="108" w:type="dxa"/>
            </w:tcMar>
            <w:vAlign w:val="center"/>
          </w:tcPr>
          <w:p w14:paraId="7D39903B" w14:textId="77777777" w:rsidR="00E03711" w:rsidRPr="00F769E0" w:rsidRDefault="00E03711" w:rsidP="00334CDD">
            <w:pPr>
              <w:pStyle w:val="GUIDE-NORMAL"/>
              <w:spacing w:before="60" w:after="60"/>
              <w:rPr>
                <w:rFonts w:cs="Tahoma"/>
                <w:lang w:val="sl-SI" w:eastAsia="en-GB"/>
              </w:rPr>
            </w:pPr>
            <w:r w:rsidRPr="00F769E0">
              <w:rPr>
                <w:rFonts w:cs="Tahoma"/>
                <w:lang w:val="sl-SI" w:eastAsia="en-GB"/>
              </w:rPr>
              <w:t>Pogoji za upravičenost študentov do posojila so:</w:t>
            </w:r>
          </w:p>
          <w:p w14:paraId="7D39903C" w14:textId="77777777" w:rsidR="00E03711" w:rsidRPr="001048FE" w:rsidRDefault="00E03711" w:rsidP="005115F2">
            <w:pPr>
              <w:pStyle w:val="Guide-NormalBulletpoints"/>
              <w:numPr>
                <w:ilvl w:val="0"/>
                <w:numId w:val="254"/>
              </w:numPr>
              <w:spacing w:before="60"/>
              <w:rPr>
                <w:lang w:val="sl-SI"/>
              </w:rPr>
            </w:pPr>
            <w:r w:rsidRPr="001048FE">
              <w:rPr>
                <w:lang w:val="sl-SI"/>
              </w:rPr>
              <w:t>biti morajo rezidenti ene od držav programa Erasmus+;</w:t>
            </w:r>
          </w:p>
          <w:p w14:paraId="7D39903D" w14:textId="77777777" w:rsidR="00E03711" w:rsidRPr="001048FE" w:rsidRDefault="00E03711" w:rsidP="005115F2">
            <w:pPr>
              <w:pStyle w:val="Guide-NormalBulletpoints"/>
              <w:numPr>
                <w:ilvl w:val="0"/>
                <w:numId w:val="254"/>
              </w:numPr>
              <w:spacing w:before="60"/>
              <w:rPr>
                <w:lang w:val="sl-SI"/>
              </w:rPr>
            </w:pPr>
            <w:r w:rsidRPr="001048FE">
              <w:rPr>
                <w:lang w:val="sl-SI"/>
              </w:rPr>
              <w:t>imeti morajo uspešno zaključeno prvo stopnjo visokošolskega študija (dodiplomski študij ali enakovredno);</w:t>
            </w:r>
          </w:p>
          <w:p w14:paraId="7D39903E" w14:textId="77777777" w:rsidR="00E03711" w:rsidRPr="001048FE" w:rsidRDefault="00E03711" w:rsidP="005115F2">
            <w:pPr>
              <w:pStyle w:val="Guide-NormalBulletpoints"/>
              <w:numPr>
                <w:ilvl w:val="0"/>
                <w:numId w:val="254"/>
              </w:numPr>
              <w:spacing w:before="60"/>
              <w:rPr>
                <w:lang w:val="sl-SI"/>
              </w:rPr>
            </w:pPr>
            <w:r w:rsidRPr="001048FE">
              <w:rPr>
                <w:lang w:val="sl-SI"/>
              </w:rPr>
              <w:t>biti morajo sprejeti na drugo stopnjo študija (magistrski študij ali enakovredno) na priznani visokošolski instituciji, ki je nosilka Listine Erasmus za terciarno izobraževanje (ECHE).</w:t>
            </w:r>
          </w:p>
          <w:p w14:paraId="7D39903F" w14:textId="77777777" w:rsidR="00E03711" w:rsidRPr="001048FE" w:rsidRDefault="00E03711" w:rsidP="00334CDD">
            <w:pPr>
              <w:pStyle w:val="Guide-NormalBulletpoints"/>
              <w:spacing w:before="60"/>
              <w:rPr>
                <w:lang w:val="sl-SI"/>
              </w:rPr>
            </w:pPr>
            <w:r w:rsidRPr="001048FE">
              <w:rPr>
                <w:lang w:val="sl-SI"/>
              </w:rPr>
              <w:t>Magistrski študij (ali enakovredno), ki ga nameravajo obiskovati:</w:t>
            </w:r>
          </w:p>
          <w:p w14:paraId="7D399040" w14:textId="77777777" w:rsidR="00E03711" w:rsidRDefault="00E03711" w:rsidP="005115F2">
            <w:pPr>
              <w:pStyle w:val="Guide-NormalBulletpoints"/>
              <w:numPr>
                <w:ilvl w:val="0"/>
                <w:numId w:val="255"/>
              </w:numPr>
              <w:spacing w:before="60"/>
              <w:rPr>
                <w:lang w:val="sl-SI"/>
              </w:rPr>
            </w:pPr>
            <w:r w:rsidRPr="001048FE">
              <w:rPr>
                <w:lang w:val="sl-SI"/>
              </w:rPr>
              <w:t>se mora izvajati v državi, ki ni država njihovega stalnega prebivališča in država, v kateri so pridobili diplomo dodiplomskega študija (ali enakovredno diplomo, ki jim omogoča dostop do magistrskega programa);</w:t>
            </w:r>
          </w:p>
          <w:p w14:paraId="7D399041" w14:textId="77777777" w:rsidR="00E03711" w:rsidRPr="001048FE" w:rsidRDefault="00E03711" w:rsidP="005115F2">
            <w:pPr>
              <w:pStyle w:val="Guide-NormalBulletpoints"/>
              <w:numPr>
                <w:ilvl w:val="0"/>
                <w:numId w:val="255"/>
              </w:numPr>
              <w:spacing w:before="60"/>
              <w:rPr>
                <w:lang w:val="sl-SI"/>
              </w:rPr>
            </w:pPr>
            <w:r>
              <w:rPr>
                <w:lang w:val="sl-SI"/>
              </w:rPr>
              <w:t>biti mora polni program, ki vodi do (magisterija ali enakovredne) diplome.</w:t>
            </w:r>
          </w:p>
        </w:tc>
      </w:tr>
      <w:tr w:rsidR="00E03711" w:rsidRPr="00383EF8" w14:paraId="7D399045" w14:textId="77777777" w:rsidTr="00334CDD">
        <w:trPr>
          <w:trHeight w:val="20"/>
        </w:trPr>
        <w:tc>
          <w:tcPr>
            <w:tcW w:w="825" w:type="pct"/>
            <w:tcBorders>
              <w:top w:val="nil"/>
              <w:left w:val="single" w:sz="8" w:space="0" w:color="auto"/>
              <w:bottom w:val="single" w:sz="8" w:space="0" w:color="auto"/>
              <w:right w:val="single" w:sz="8" w:space="0" w:color="auto"/>
            </w:tcBorders>
            <w:tcMar>
              <w:top w:w="57" w:type="dxa"/>
              <w:left w:w="108" w:type="dxa"/>
              <w:bottom w:w="57" w:type="dxa"/>
              <w:right w:w="108" w:type="dxa"/>
            </w:tcMar>
            <w:vAlign w:val="center"/>
          </w:tcPr>
          <w:p w14:paraId="7D399043" w14:textId="77777777" w:rsidR="00E03711" w:rsidRPr="00F769E0" w:rsidRDefault="00E03711" w:rsidP="00334CDD">
            <w:pPr>
              <w:pStyle w:val="GUIDE-NORMAL"/>
              <w:spacing w:before="60" w:after="60"/>
              <w:rPr>
                <w:rFonts w:cs="Tahoma"/>
                <w:b/>
                <w:lang w:val="sl-SI" w:eastAsia="en-GB"/>
              </w:rPr>
            </w:pPr>
            <w:r w:rsidRPr="00F769E0">
              <w:rPr>
                <w:rFonts w:cs="Tahoma"/>
                <w:b/>
                <w:lang w:val="sl-SI" w:eastAsia="en-GB"/>
              </w:rPr>
              <w:t>Kje</w:t>
            </w:r>
            <w:r w:rsidRPr="00F769E0">
              <w:rPr>
                <w:rFonts w:cs="Tahoma"/>
                <w:b/>
                <w:spacing w:val="6"/>
                <w:lang w:val="sl-SI" w:eastAsia="en-GB"/>
              </w:rPr>
              <w:t xml:space="preserve"> </w:t>
            </w:r>
            <w:r w:rsidRPr="00F769E0">
              <w:rPr>
                <w:rFonts w:cs="Tahoma"/>
                <w:b/>
                <w:lang w:val="sl-SI" w:eastAsia="en-GB"/>
              </w:rPr>
              <w:t>se</w:t>
            </w:r>
            <w:r w:rsidRPr="00F769E0">
              <w:rPr>
                <w:rFonts w:cs="Tahoma"/>
                <w:b/>
                <w:spacing w:val="6"/>
                <w:lang w:val="sl-SI" w:eastAsia="en-GB"/>
              </w:rPr>
              <w:t xml:space="preserve"> </w:t>
            </w:r>
            <w:r w:rsidRPr="00F769E0">
              <w:rPr>
                <w:rFonts w:cs="Tahoma"/>
                <w:b/>
                <w:lang w:val="sl-SI" w:eastAsia="en-GB"/>
              </w:rPr>
              <w:t>prijaviti?</w:t>
            </w:r>
          </w:p>
        </w:tc>
        <w:tc>
          <w:tcPr>
            <w:tcW w:w="4175" w:type="pct"/>
            <w:tcBorders>
              <w:top w:val="nil"/>
              <w:left w:val="nil"/>
              <w:bottom w:val="single" w:sz="8" w:space="0" w:color="auto"/>
              <w:right w:val="single" w:sz="8" w:space="0" w:color="auto"/>
            </w:tcBorders>
            <w:tcMar>
              <w:top w:w="57" w:type="dxa"/>
              <w:left w:w="108" w:type="dxa"/>
              <w:bottom w:w="57" w:type="dxa"/>
              <w:right w:w="108" w:type="dxa"/>
            </w:tcMar>
            <w:vAlign w:val="center"/>
          </w:tcPr>
          <w:p w14:paraId="7D399044" w14:textId="77777777" w:rsidR="00E03711" w:rsidRPr="00F769E0" w:rsidRDefault="00E03711" w:rsidP="00334CDD">
            <w:pPr>
              <w:pStyle w:val="GUIDE-NORMAL"/>
              <w:spacing w:before="60" w:after="60"/>
              <w:rPr>
                <w:rFonts w:cs="Tahoma"/>
                <w:lang w:val="sl-SI" w:eastAsia="en-GB"/>
              </w:rPr>
            </w:pPr>
            <w:r w:rsidRPr="00FC4A70">
              <w:rPr>
                <w:rFonts w:eastAsia="Calibri" w:cs="Calibri"/>
                <w:bdr w:val="nil"/>
                <w:lang w:val="sl-SI" w:eastAsia="en-GB"/>
              </w:rPr>
              <w:t>Neposredno pri sodelujočih bankah, visokošolskih institucijah ali družbah za študentska posojila</w:t>
            </w:r>
          </w:p>
        </w:tc>
      </w:tr>
    </w:tbl>
    <w:p w14:paraId="7D399046" w14:textId="77777777" w:rsidR="00E03711" w:rsidRPr="001048FE" w:rsidRDefault="00E03711" w:rsidP="008C1166">
      <w:pPr>
        <w:pStyle w:val="GUIDE-NORMAL"/>
        <w:rPr>
          <w:lang w:val="sl-SI"/>
        </w:rPr>
      </w:pPr>
      <w:bookmarkStart w:id="193" w:name="Action_clé_n__2:_Coopération_pour_l’inno"/>
      <w:bookmarkStart w:id="194" w:name="_bookmark39"/>
      <w:bookmarkEnd w:id="193"/>
      <w:bookmarkEnd w:id="194"/>
    </w:p>
    <w:p w14:paraId="7D399047" w14:textId="77777777" w:rsidR="00E03711" w:rsidRPr="001048FE" w:rsidRDefault="00E03711" w:rsidP="008C1166">
      <w:pPr>
        <w:pStyle w:val="GUIDE-NORMAL"/>
        <w:rPr>
          <w:lang w:val="sl-SI"/>
        </w:rPr>
      </w:pPr>
    </w:p>
    <w:p w14:paraId="7D399048" w14:textId="77777777" w:rsidR="00E03711" w:rsidRPr="001048FE" w:rsidRDefault="00E03711" w:rsidP="004453FF">
      <w:pPr>
        <w:pStyle w:val="GUIDE-NORMAL"/>
        <w:rPr>
          <w:lang w:val="sl-SI"/>
        </w:rPr>
        <w:sectPr w:rsidR="00E03711" w:rsidRPr="001048FE" w:rsidSect="007F4890">
          <w:headerReference w:type="default" r:id="rId84"/>
          <w:endnotePr>
            <w:numFmt w:val="decimal"/>
          </w:endnotePr>
          <w:pgSz w:w="11910" w:h="16840" w:code="9"/>
          <w:pgMar w:top="1134" w:right="1418" w:bottom="1134" w:left="1418" w:header="283" w:footer="567" w:gutter="0"/>
          <w:cols w:space="720"/>
          <w:docGrid w:linePitch="326"/>
        </w:sectPr>
      </w:pPr>
    </w:p>
    <w:p w14:paraId="7D399049" w14:textId="77777777" w:rsidR="00E03711" w:rsidRDefault="00E03711">
      <w:pPr>
        <w:pStyle w:val="Guide-Heading3"/>
        <w:rPr>
          <w:lang w:val="sl-SI"/>
        </w:rPr>
      </w:pPr>
      <w:bookmarkStart w:id="195" w:name="_Toc527400915"/>
      <w:bookmarkStart w:id="196" w:name="_Toc527401146"/>
      <w:r w:rsidRPr="001048FE">
        <w:rPr>
          <w:lang w:val="sl-SI"/>
        </w:rPr>
        <w:t>Ključni ukrep 2:</w:t>
      </w:r>
      <w:bookmarkEnd w:id="195"/>
      <w:bookmarkEnd w:id="196"/>
      <w:r w:rsidRPr="001048FE">
        <w:rPr>
          <w:lang w:val="sl-SI"/>
        </w:rPr>
        <w:t xml:space="preserve"> </w:t>
      </w:r>
    </w:p>
    <w:p w14:paraId="7D39904A" w14:textId="77777777" w:rsidR="00E03711" w:rsidRPr="001048FE" w:rsidRDefault="00E03711" w:rsidP="008373DE">
      <w:pPr>
        <w:pStyle w:val="Guide-Heading4TOC"/>
        <w:rPr>
          <w:lang w:val="sl-SI"/>
        </w:rPr>
      </w:pPr>
      <w:bookmarkStart w:id="197" w:name="_Toc527401147"/>
      <w:r w:rsidRPr="001048FE">
        <w:rPr>
          <w:lang w:val="sl-SI"/>
        </w:rPr>
        <w:t>Sodelovanje za inovacije in</w:t>
      </w:r>
      <w:bookmarkStart w:id="198" w:name="Ključni_ukrep_2:_Sodelovanje_za_inovacij"/>
      <w:bookmarkEnd w:id="198"/>
      <w:r w:rsidRPr="001048FE">
        <w:rPr>
          <w:lang w:val="sl-SI"/>
        </w:rPr>
        <w:t xml:space="preserve"> izmenjava dobrih praks</w:t>
      </w:r>
      <w:bookmarkEnd w:id="197"/>
    </w:p>
    <w:p w14:paraId="7D39904B" w14:textId="77777777" w:rsidR="00E03711" w:rsidRPr="001048FE" w:rsidRDefault="00E03711" w:rsidP="008373DE">
      <w:pPr>
        <w:pStyle w:val="Guide-Heading5"/>
        <w:rPr>
          <w:lang w:val="sl-SI"/>
        </w:rPr>
      </w:pPr>
      <w:r w:rsidRPr="001048FE">
        <w:rPr>
          <w:lang w:val="sl-SI"/>
        </w:rPr>
        <w:t>Kateri ukrepi so podprti?</w:t>
      </w:r>
    </w:p>
    <w:p w14:paraId="7D39904C" w14:textId="77777777" w:rsidR="00E03711" w:rsidRPr="001048FE" w:rsidRDefault="00E03711" w:rsidP="00475F6B">
      <w:pPr>
        <w:pStyle w:val="GUIDE-NORMAL"/>
        <w:rPr>
          <w:lang w:val="sl-SI"/>
        </w:rPr>
      </w:pPr>
      <w:r w:rsidRPr="001048FE">
        <w:rPr>
          <w:lang w:val="sl-SI"/>
        </w:rPr>
        <w:t>Ta ključni ukrep podpira:</w:t>
      </w:r>
    </w:p>
    <w:p w14:paraId="7D39904D" w14:textId="77777777" w:rsidR="00E03711" w:rsidRPr="001048FE" w:rsidRDefault="00E03711" w:rsidP="005115F2">
      <w:pPr>
        <w:pStyle w:val="Guide-NormalBulletpoints"/>
        <w:numPr>
          <w:ilvl w:val="0"/>
          <w:numId w:val="256"/>
        </w:numPr>
        <w:rPr>
          <w:lang w:val="sl-SI"/>
        </w:rPr>
      </w:pPr>
      <w:r w:rsidRPr="001048FE">
        <w:rPr>
          <w:lang w:val="sl-SI"/>
        </w:rPr>
        <w:t>strateška</w:t>
      </w:r>
      <w:r w:rsidRPr="001048FE">
        <w:rPr>
          <w:spacing w:val="-16"/>
          <w:lang w:val="sl-SI"/>
        </w:rPr>
        <w:t xml:space="preserve"> </w:t>
      </w:r>
      <w:r w:rsidRPr="001048FE">
        <w:rPr>
          <w:lang w:val="sl-SI"/>
        </w:rPr>
        <w:t>partnerstva</w:t>
      </w:r>
      <w:r w:rsidRPr="001048FE">
        <w:rPr>
          <w:spacing w:val="-16"/>
          <w:lang w:val="sl-SI"/>
        </w:rPr>
        <w:t xml:space="preserve"> </w:t>
      </w:r>
      <w:r w:rsidRPr="001048FE">
        <w:rPr>
          <w:lang w:val="sl-SI"/>
        </w:rPr>
        <w:t>na</w:t>
      </w:r>
      <w:r w:rsidRPr="001048FE">
        <w:rPr>
          <w:spacing w:val="-16"/>
          <w:lang w:val="sl-SI"/>
        </w:rPr>
        <w:t xml:space="preserve"> </w:t>
      </w:r>
      <w:r w:rsidRPr="001048FE">
        <w:rPr>
          <w:lang w:val="sl-SI"/>
        </w:rPr>
        <w:t>področju</w:t>
      </w:r>
      <w:r w:rsidRPr="001048FE">
        <w:rPr>
          <w:spacing w:val="-16"/>
          <w:lang w:val="sl-SI"/>
        </w:rPr>
        <w:t xml:space="preserve"> </w:t>
      </w:r>
      <w:r w:rsidRPr="001048FE">
        <w:rPr>
          <w:lang w:val="sl-SI"/>
        </w:rPr>
        <w:t>izobraževanja,</w:t>
      </w:r>
      <w:r w:rsidRPr="001048FE">
        <w:rPr>
          <w:spacing w:val="-16"/>
          <w:lang w:val="sl-SI"/>
        </w:rPr>
        <w:t xml:space="preserve"> </w:t>
      </w:r>
      <w:r w:rsidRPr="001048FE">
        <w:rPr>
          <w:lang w:val="sl-SI"/>
        </w:rPr>
        <w:t>usposabljanja</w:t>
      </w:r>
      <w:r w:rsidRPr="001048FE">
        <w:rPr>
          <w:spacing w:val="-16"/>
          <w:lang w:val="sl-SI"/>
        </w:rPr>
        <w:t xml:space="preserve"> </w:t>
      </w:r>
      <w:r w:rsidRPr="001048FE">
        <w:rPr>
          <w:lang w:val="sl-SI"/>
        </w:rPr>
        <w:t>in</w:t>
      </w:r>
      <w:r w:rsidRPr="001048FE">
        <w:rPr>
          <w:spacing w:val="-16"/>
          <w:lang w:val="sl-SI"/>
        </w:rPr>
        <w:t xml:space="preserve"> </w:t>
      </w:r>
      <w:r w:rsidRPr="001048FE">
        <w:rPr>
          <w:lang w:val="sl-SI"/>
        </w:rPr>
        <w:t xml:space="preserve">mladine, </w:t>
      </w:r>
    </w:p>
    <w:p w14:paraId="7D39904E" w14:textId="77777777" w:rsidR="00E03711" w:rsidRPr="001048FE" w:rsidRDefault="00E03711" w:rsidP="005115F2">
      <w:pPr>
        <w:pStyle w:val="Guide-NormalBulletpoints"/>
        <w:numPr>
          <w:ilvl w:val="0"/>
          <w:numId w:val="256"/>
        </w:numPr>
        <w:rPr>
          <w:lang w:val="sl-SI"/>
        </w:rPr>
      </w:pPr>
      <w:r w:rsidRPr="001048FE">
        <w:rPr>
          <w:lang w:val="sl-SI"/>
        </w:rPr>
        <w:t>koalicije</w:t>
      </w:r>
      <w:r w:rsidRPr="001048FE">
        <w:rPr>
          <w:spacing w:val="-3"/>
          <w:lang w:val="sl-SI"/>
        </w:rPr>
        <w:t xml:space="preserve"> </w:t>
      </w:r>
      <w:r w:rsidRPr="001048FE">
        <w:rPr>
          <w:lang w:val="sl-SI"/>
        </w:rPr>
        <w:t>znanja</w:t>
      </w:r>
      <w:r>
        <w:rPr>
          <w:lang w:val="sl-SI"/>
        </w:rPr>
        <w:t xml:space="preserve"> </w:t>
      </w:r>
      <w:r w:rsidRPr="00FC4A70">
        <w:rPr>
          <w:rFonts w:eastAsia="Calibri" w:cs="Calibri"/>
          <w:bdr w:val="nil"/>
          <w:lang w:val="sl-SI" w:eastAsia="en-US"/>
        </w:rPr>
        <w:t>– evropske univerze;</w:t>
      </w:r>
    </w:p>
    <w:p w14:paraId="7D39904F" w14:textId="77777777" w:rsidR="00E03711" w:rsidRPr="001048FE" w:rsidRDefault="00E03711" w:rsidP="005115F2">
      <w:pPr>
        <w:pStyle w:val="Guide-NormalBulletpoints"/>
        <w:numPr>
          <w:ilvl w:val="0"/>
          <w:numId w:val="256"/>
        </w:numPr>
        <w:rPr>
          <w:lang w:val="sl-SI"/>
        </w:rPr>
      </w:pPr>
      <w:r w:rsidRPr="001048FE">
        <w:rPr>
          <w:lang w:val="sl-SI"/>
        </w:rPr>
        <w:t xml:space="preserve">koalicije sektorskih spretnosti (izvedene s posebnim razpisom za zbiranje predlogov), </w:t>
      </w:r>
    </w:p>
    <w:p w14:paraId="7D399050" w14:textId="77777777" w:rsidR="00E03711" w:rsidRPr="001048FE" w:rsidRDefault="00E03711" w:rsidP="005115F2">
      <w:pPr>
        <w:pStyle w:val="Guide-NormalBulletpoints"/>
        <w:numPr>
          <w:ilvl w:val="0"/>
          <w:numId w:val="256"/>
        </w:numPr>
        <w:rPr>
          <w:lang w:val="sl-SI"/>
        </w:rPr>
      </w:pPr>
      <w:r w:rsidRPr="001048FE">
        <w:rPr>
          <w:lang w:val="sl-SI"/>
        </w:rPr>
        <w:t>krepitev zmogljivosti na področju visokošolskega izobraževanja,</w:t>
      </w:r>
    </w:p>
    <w:p w14:paraId="7D399051" w14:textId="77777777" w:rsidR="00E03711" w:rsidRPr="001048FE" w:rsidRDefault="00E03711" w:rsidP="005115F2">
      <w:pPr>
        <w:pStyle w:val="Guide-NormalBulletpoints"/>
        <w:numPr>
          <w:ilvl w:val="0"/>
          <w:numId w:val="256"/>
        </w:numPr>
        <w:rPr>
          <w:lang w:val="sl-SI"/>
        </w:rPr>
      </w:pPr>
      <w:r w:rsidRPr="001048FE">
        <w:rPr>
          <w:lang w:val="sl-SI"/>
        </w:rPr>
        <w:t>krepitev zmogljivosti na področju mladine.</w:t>
      </w:r>
    </w:p>
    <w:p w14:paraId="7D399052" w14:textId="77777777" w:rsidR="00E03711" w:rsidRPr="001048FE" w:rsidRDefault="00E03711" w:rsidP="00475F6B">
      <w:pPr>
        <w:pStyle w:val="GUIDE-NORMAL"/>
        <w:rPr>
          <w:lang w:val="sl-SI"/>
        </w:rPr>
      </w:pPr>
      <w:r w:rsidRPr="001048FE">
        <w:rPr>
          <w:lang w:val="sl-SI"/>
        </w:rPr>
        <w:t>Aktivnosti, ki jih podpira ta ključni ukrep, bodo predvidoma imele pozitiven in dolgotrajen učinek na sodelujoče organizacije, na sisteme politik, v katere so ti ukrepi umeščeni, in na osebe, ki so posredno ali neposredno vključene v organizirane aktivnosti.</w:t>
      </w:r>
    </w:p>
    <w:p w14:paraId="7D399053" w14:textId="77777777" w:rsidR="00E03711" w:rsidRPr="001048FE" w:rsidRDefault="00E03711" w:rsidP="00475F6B">
      <w:pPr>
        <w:pStyle w:val="GUIDE-NORMAL"/>
        <w:rPr>
          <w:lang w:val="sl-SI"/>
        </w:rPr>
      </w:pPr>
      <w:r w:rsidRPr="001048FE">
        <w:rPr>
          <w:lang w:val="sl-SI"/>
        </w:rPr>
        <w:t>Pričakovani rezultati tega ključnega ukrepa so razvoj, prenos in/ali izvajanje inovativnih praks na organizacijski, lokalni, regionalni, nacionalni ali evropski ravni.</w:t>
      </w:r>
    </w:p>
    <w:p w14:paraId="7D399054" w14:textId="77777777" w:rsidR="00E03711" w:rsidRPr="001048FE" w:rsidRDefault="00E03711" w:rsidP="00475F6B">
      <w:pPr>
        <w:pStyle w:val="GUIDE-NORMAL"/>
        <w:rPr>
          <w:lang w:val="sl-SI"/>
        </w:rPr>
      </w:pPr>
      <w:r w:rsidRPr="001048FE">
        <w:rPr>
          <w:lang w:val="sl-SI"/>
        </w:rPr>
        <w:t>V zvezi s sodelujočimi organizacijami se na podlagi projektov, ki jih podpira ta ključni ukrep, pričakujejo naslednji rezultati:</w:t>
      </w:r>
    </w:p>
    <w:p w14:paraId="7D399055" w14:textId="77777777" w:rsidR="00E03711" w:rsidRPr="001048FE" w:rsidRDefault="00E03711" w:rsidP="005115F2">
      <w:pPr>
        <w:pStyle w:val="Guide-NormalBulletpoints"/>
        <w:numPr>
          <w:ilvl w:val="0"/>
          <w:numId w:val="257"/>
        </w:numPr>
        <w:rPr>
          <w:lang w:val="sl-SI"/>
        </w:rPr>
      </w:pPr>
      <w:r w:rsidRPr="001048FE">
        <w:rPr>
          <w:lang w:val="sl-SI"/>
        </w:rPr>
        <w:t>inovativni pristopi za obravnavanje njihovih ciljnih skupin, na primer z zagotavljanjem: privlačnejših programov izobraževanja in usposabljanja, ki so v skladu s posameznimi potrebami in pričakovanji posameznikov; soudeležbe in metodologij, ki temeljijo na IKT; novih ali izboljšanih procesov priznavanja in potrjevanja kompetenc; učinkovitejših aktivnosti v korist lokalnih skupnosti; novih ali izboljšanih praks, ki obravnavajo potrebe skupin z manj priložnostmi, ter obravnavanja razlik v učnih rezultatih, povezanih z geografskimi in socialno- ekonomskimi razlikami; novih pristopov za obravnavanje družbene, jezikovne in kulturne raznolikosti; novih pristopov za boljšo podporo konkurenčnosti in zaposlovanju, zlasti na regionalni in lokalni ravni; priznanje odličnosti pri učenju in poučevanju jezikov z Evropskim jezikovnim priznanjem;</w:t>
      </w:r>
    </w:p>
    <w:p w14:paraId="7D399056" w14:textId="77777777" w:rsidR="00E03711" w:rsidRPr="001048FE" w:rsidRDefault="00E03711" w:rsidP="005115F2">
      <w:pPr>
        <w:pStyle w:val="Guide-NormalBulletpoints"/>
        <w:numPr>
          <w:ilvl w:val="0"/>
          <w:numId w:val="257"/>
        </w:numPr>
        <w:rPr>
          <w:lang w:val="sl-SI"/>
        </w:rPr>
      </w:pPr>
      <w:r w:rsidRPr="001048FE">
        <w:rPr>
          <w:lang w:val="sl-SI"/>
        </w:rPr>
        <w:t>bolj sodobno, dinamično, predano in strokovno okolje v organizaciji: pripravljenost za vključevanje dobrih praks in novih metod v vsakodnevne aktivnosti; odprtost do sinergij z organizacijami, ki so aktivne na drugih področjih ali v drugih socialno-ekonomskih sektorjih; strateško načrtovanje poklicnega razvoja osebja v skladu s potrebami posameznikov in cilji organizacije;</w:t>
      </w:r>
    </w:p>
    <w:p w14:paraId="7D399057" w14:textId="77777777" w:rsidR="00E03711" w:rsidRPr="001048FE" w:rsidRDefault="00E03711" w:rsidP="005115F2">
      <w:pPr>
        <w:pStyle w:val="Guide-NormalBulletpoints"/>
        <w:numPr>
          <w:ilvl w:val="0"/>
          <w:numId w:val="257"/>
        </w:numPr>
        <w:rPr>
          <w:rStyle w:val="Guide-Condensed-01"/>
          <w:spacing w:val="0"/>
          <w:lang w:val="sl-SI"/>
        </w:rPr>
      </w:pPr>
      <w:r w:rsidRPr="001048FE">
        <w:rPr>
          <w:lang w:val="sl-SI"/>
        </w:rPr>
        <w:t>okrepljena zmogljivost in strokovnost za delovanje na ravni EU/mednarodni ravni: boljše kompetence upravljanja in strategije internacionalizacije; okrepljeno sodelovanje s partnerji iz drugih držav, drugih področij izobraževanja, usposabljanja in mladine in/ali drugih socialno- ekonomskih sektorjev; dodeljevanje višjih finančnih sredstev (ne samo sredstev EU) za organizacijo projektov EU/mednarodnih projektov na področju izobraževanja, usposabljanja in mladine; večja kakovost pri pripravi, izvajanju, spremljanju in nadaljnjem spremljanju projektov EU/mednarodnih projektov.</w:t>
      </w:r>
    </w:p>
    <w:p w14:paraId="7D399058" w14:textId="77777777" w:rsidR="00E03711" w:rsidRPr="001048FE" w:rsidRDefault="00E03711" w:rsidP="00475F6B">
      <w:pPr>
        <w:pStyle w:val="GUIDE-NORMAL"/>
        <w:rPr>
          <w:lang w:val="sl-SI"/>
        </w:rPr>
      </w:pPr>
      <w:r w:rsidRPr="001048FE">
        <w:rPr>
          <w:lang w:val="sl-SI"/>
        </w:rPr>
        <w:t>Projekti, ki bodo financirani s tem ključnim ukrepom, bodo najverjetneje tudi pozitivno vplivali na osebe, ki bodo posredno ali neposredno vključene v aktivnosti, npr.:</w:t>
      </w:r>
    </w:p>
    <w:p w14:paraId="7D399059" w14:textId="77777777" w:rsidR="00E03711" w:rsidRPr="001048FE" w:rsidRDefault="00E03711" w:rsidP="005115F2">
      <w:pPr>
        <w:pStyle w:val="Guide-NormalBulletpoints"/>
        <w:numPr>
          <w:ilvl w:val="0"/>
          <w:numId w:val="258"/>
        </w:numPr>
        <w:rPr>
          <w:lang w:val="sl-SI"/>
        </w:rPr>
      </w:pPr>
      <w:r w:rsidRPr="001048FE">
        <w:rPr>
          <w:lang w:val="sl-SI"/>
        </w:rPr>
        <w:t xml:space="preserve">okrepljena samoiniciativnost in podjetništvo; </w:t>
      </w:r>
    </w:p>
    <w:p w14:paraId="7D39905A" w14:textId="77777777" w:rsidR="00E03711" w:rsidRPr="001048FE" w:rsidRDefault="00E03711" w:rsidP="005115F2">
      <w:pPr>
        <w:pStyle w:val="Guide-NormalBulletpoints"/>
        <w:numPr>
          <w:ilvl w:val="0"/>
          <w:numId w:val="258"/>
        </w:numPr>
        <w:rPr>
          <w:lang w:val="sl-SI"/>
        </w:rPr>
      </w:pPr>
      <w:r w:rsidRPr="001048FE">
        <w:rPr>
          <w:lang w:val="sl-SI"/>
        </w:rPr>
        <w:t>boljše znanje tujih jezikov;</w:t>
      </w:r>
    </w:p>
    <w:p w14:paraId="7D39905B" w14:textId="77777777" w:rsidR="00E03711" w:rsidRPr="001048FE" w:rsidRDefault="00E03711" w:rsidP="005115F2">
      <w:pPr>
        <w:pStyle w:val="Guide-NormalBulletpoints"/>
        <w:numPr>
          <w:ilvl w:val="0"/>
          <w:numId w:val="258"/>
        </w:numPr>
        <w:rPr>
          <w:lang w:val="sl-SI"/>
        </w:rPr>
      </w:pPr>
      <w:r w:rsidRPr="001048FE">
        <w:rPr>
          <w:lang w:val="sl-SI"/>
        </w:rPr>
        <w:t>višja raven digitalnih kompetenc;</w:t>
      </w:r>
    </w:p>
    <w:p w14:paraId="7D39905C" w14:textId="77777777" w:rsidR="00E03711" w:rsidRPr="001048FE" w:rsidRDefault="00E03711" w:rsidP="005115F2">
      <w:pPr>
        <w:pStyle w:val="Guide-NormalBulletpoints"/>
        <w:numPr>
          <w:ilvl w:val="0"/>
          <w:numId w:val="258"/>
        </w:numPr>
        <w:rPr>
          <w:lang w:val="sl-SI"/>
        </w:rPr>
      </w:pPr>
      <w:r w:rsidRPr="001048FE">
        <w:rPr>
          <w:lang w:val="sl-SI"/>
        </w:rPr>
        <w:t xml:space="preserve">boljše razumevanje družbene, etnične, jezikovne in kulturne raznolikosti ter odzivanje nanjo; </w:t>
      </w:r>
    </w:p>
    <w:p w14:paraId="7D39905D" w14:textId="77777777" w:rsidR="00E03711" w:rsidRPr="001048FE" w:rsidRDefault="00E03711" w:rsidP="005115F2">
      <w:pPr>
        <w:pStyle w:val="Guide-NormalBulletpoints"/>
        <w:numPr>
          <w:ilvl w:val="0"/>
          <w:numId w:val="258"/>
        </w:numPr>
        <w:rPr>
          <w:lang w:val="sl-SI"/>
        </w:rPr>
      </w:pPr>
      <w:r w:rsidRPr="001048FE">
        <w:rPr>
          <w:lang w:val="sl-SI"/>
        </w:rPr>
        <w:t>višje ravni spretnosti za zaposljivost in ustanavljanje novih podjetij (vključno s socialnim podjetništvom);</w:t>
      </w:r>
    </w:p>
    <w:p w14:paraId="7D39905E" w14:textId="77777777" w:rsidR="00E03711" w:rsidRPr="001048FE" w:rsidRDefault="00E03711" w:rsidP="005115F2">
      <w:pPr>
        <w:pStyle w:val="Guide-NormalBulletpoints"/>
        <w:numPr>
          <w:ilvl w:val="0"/>
          <w:numId w:val="258"/>
        </w:numPr>
        <w:rPr>
          <w:lang w:val="sl-SI"/>
        </w:rPr>
      </w:pPr>
      <w:r w:rsidRPr="001048FE">
        <w:rPr>
          <w:lang w:val="sl-SI"/>
        </w:rPr>
        <w:t>aktivnejša udeležba v družbi;</w:t>
      </w:r>
    </w:p>
    <w:p w14:paraId="7D39905F" w14:textId="77777777" w:rsidR="00E03711" w:rsidRPr="001048FE" w:rsidRDefault="00E03711" w:rsidP="005115F2">
      <w:pPr>
        <w:pStyle w:val="Guide-NormalBulletpoints"/>
        <w:numPr>
          <w:ilvl w:val="0"/>
          <w:numId w:val="258"/>
        </w:numPr>
        <w:rPr>
          <w:lang w:val="sl-SI"/>
        </w:rPr>
      </w:pPr>
      <w:r w:rsidRPr="001048FE">
        <w:rPr>
          <w:lang w:val="sl-SI"/>
        </w:rPr>
        <w:t>pozitivnejši odnos do evropskega projekta in vrednot EU;</w:t>
      </w:r>
    </w:p>
    <w:p w14:paraId="7D399060" w14:textId="77777777" w:rsidR="00E03711" w:rsidRPr="001048FE" w:rsidRDefault="00E03711" w:rsidP="005115F2">
      <w:pPr>
        <w:pStyle w:val="Guide-NormalBulletpoints"/>
        <w:numPr>
          <w:ilvl w:val="0"/>
          <w:numId w:val="258"/>
        </w:numPr>
        <w:rPr>
          <w:lang w:val="sl-SI"/>
        </w:rPr>
      </w:pPr>
      <w:r w:rsidRPr="001048FE">
        <w:rPr>
          <w:lang w:val="sl-SI"/>
        </w:rPr>
        <w:t xml:space="preserve">boljše razumevanje in priznavanje spretnosti in kvalifikacij v Evropi in drugod po svetu; </w:t>
      </w:r>
    </w:p>
    <w:p w14:paraId="7D399061" w14:textId="77777777" w:rsidR="00E03711" w:rsidRPr="001048FE" w:rsidRDefault="00E03711" w:rsidP="005115F2">
      <w:pPr>
        <w:pStyle w:val="Guide-NormalBulletpoints"/>
        <w:numPr>
          <w:ilvl w:val="0"/>
          <w:numId w:val="258"/>
        </w:numPr>
        <w:rPr>
          <w:lang w:val="sl-SI"/>
        </w:rPr>
      </w:pPr>
      <w:r w:rsidRPr="001048FE">
        <w:rPr>
          <w:lang w:val="sl-SI"/>
        </w:rPr>
        <w:t>boljše kompetence, povezane s strokovnimi profili (poučevanje, usposabljanje, mladinsko delo itd.);</w:t>
      </w:r>
    </w:p>
    <w:p w14:paraId="7D399062" w14:textId="77777777" w:rsidR="00E03711" w:rsidRPr="001048FE" w:rsidRDefault="00E03711" w:rsidP="005115F2">
      <w:pPr>
        <w:pStyle w:val="Guide-NormalBulletpoints"/>
        <w:numPr>
          <w:ilvl w:val="0"/>
          <w:numId w:val="258"/>
        </w:numPr>
        <w:rPr>
          <w:lang w:val="sl-SI"/>
        </w:rPr>
      </w:pPr>
      <w:r w:rsidRPr="001048FE">
        <w:rPr>
          <w:lang w:val="sl-SI"/>
        </w:rPr>
        <w:t>boljše razumevanje praks, politik in sistemov na področju izobraževanja, usposabljanja in mladine po vseh državah;</w:t>
      </w:r>
    </w:p>
    <w:p w14:paraId="7D399063" w14:textId="77777777" w:rsidR="00E03711" w:rsidRPr="001048FE" w:rsidRDefault="00E03711" w:rsidP="005115F2">
      <w:pPr>
        <w:pStyle w:val="Guide-NormalBulletpoints"/>
        <w:numPr>
          <w:ilvl w:val="0"/>
          <w:numId w:val="258"/>
        </w:numPr>
        <w:rPr>
          <w:lang w:val="sl-SI"/>
        </w:rPr>
      </w:pPr>
      <w:r w:rsidRPr="001048FE">
        <w:rPr>
          <w:lang w:val="sl-SI"/>
        </w:rPr>
        <w:t>boljše razumevanje medsebojne povezanosti med formalnim in neformalnim izobraževanjem, poklicnim usposabljanjem, drugimi oblikami učenja oziroma trgom dela;</w:t>
      </w:r>
    </w:p>
    <w:p w14:paraId="7D399064" w14:textId="77777777" w:rsidR="00E03711" w:rsidRPr="001048FE" w:rsidRDefault="00E03711" w:rsidP="005115F2">
      <w:pPr>
        <w:pStyle w:val="Guide-NormalBulletpoints"/>
        <w:numPr>
          <w:ilvl w:val="0"/>
          <w:numId w:val="258"/>
        </w:numPr>
        <w:rPr>
          <w:lang w:val="sl-SI"/>
        </w:rPr>
      </w:pPr>
      <w:r w:rsidRPr="001048FE">
        <w:rPr>
          <w:lang w:val="sl-SI"/>
        </w:rPr>
        <w:t>več priložnosti za poklicni razvoj;</w:t>
      </w:r>
    </w:p>
    <w:p w14:paraId="7D399065" w14:textId="77777777" w:rsidR="00E03711" w:rsidRPr="001048FE" w:rsidRDefault="00E03711" w:rsidP="005115F2">
      <w:pPr>
        <w:pStyle w:val="Guide-NormalBulletpoints"/>
        <w:numPr>
          <w:ilvl w:val="0"/>
          <w:numId w:val="258"/>
        </w:numPr>
        <w:rPr>
          <w:lang w:val="sl-SI"/>
        </w:rPr>
      </w:pPr>
      <w:r w:rsidRPr="001048FE">
        <w:rPr>
          <w:lang w:val="sl-SI"/>
        </w:rPr>
        <w:t>okrepljena motivacija in zadovoljstvo v njihovem vsakodnevnem delu.</w:t>
      </w:r>
    </w:p>
    <w:p w14:paraId="7D399066" w14:textId="77777777" w:rsidR="00E03711" w:rsidRPr="001048FE" w:rsidRDefault="00E03711" w:rsidP="00475F6B">
      <w:pPr>
        <w:pStyle w:val="GUIDE-NORMAL"/>
        <w:rPr>
          <w:lang w:val="sl-SI"/>
        </w:rPr>
      </w:pPr>
      <w:r w:rsidRPr="001048FE">
        <w:rPr>
          <w:lang w:val="sl-SI"/>
        </w:rPr>
        <w:t>Na sistemski ravni bodo ti projekti spodbudili posodabljanje in okrepili odzivanje sistemov izobraževanja in usposabljanja ter mladinske politike na glavne izzive današnjega sveta: zaposlovanje, gospodarska stabilnost in rast. Obenem morajo spodbujati tudi družbene, državljanske in medkulturne kompetence, medkulturni dialog, demokratične vrednote in temeljne pravice, socialno vključenost, nediskriminacijo in aktivno državljanstvo, kritično razmišljanje in medijsko pismenost.</w:t>
      </w:r>
    </w:p>
    <w:p w14:paraId="7D399067" w14:textId="77777777" w:rsidR="00E03711" w:rsidRPr="001048FE" w:rsidRDefault="00E03711" w:rsidP="00475F6B">
      <w:pPr>
        <w:pStyle w:val="GUIDE-NORMAL"/>
        <w:rPr>
          <w:lang w:val="sl-SI"/>
        </w:rPr>
      </w:pPr>
      <w:r w:rsidRPr="001048FE">
        <w:rPr>
          <w:lang w:val="sl-SI"/>
        </w:rPr>
        <w:t>Pričakovani učinki tega ključnega ukrepa so torej:</w:t>
      </w:r>
    </w:p>
    <w:p w14:paraId="7D399068" w14:textId="77777777" w:rsidR="00E03711" w:rsidRPr="001048FE" w:rsidRDefault="00E03711" w:rsidP="005115F2">
      <w:pPr>
        <w:pStyle w:val="Guide-NormalBulletpoints"/>
        <w:numPr>
          <w:ilvl w:val="0"/>
          <w:numId w:val="259"/>
        </w:numPr>
        <w:rPr>
          <w:lang w:val="sl-SI"/>
        </w:rPr>
      </w:pPr>
      <w:r w:rsidRPr="001048FE">
        <w:rPr>
          <w:lang w:val="sl-SI"/>
        </w:rPr>
        <w:t>višja kakovost izobraževanja, usposabljanja in mladinskega dela v Evropi in po svetu: združevanje višjih ravni odličnosti in privlačnosti z več priložnostmi za vse, tudi osebe z manj priložnostmi;</w:t>
      </w:r>
    </w:p>
    <w:p w14:paraId="7D399069" w14:textId="77777777" w:rsidR="00E03711" w:rsidRPr="001048FE" w:rsidRDefault="00E03711" w:rsidP="005115F2">
      <w:pPr>
        <w:pStyle w:val="Guide-NormalBulletpoints"/>
        <w:numPr>
          <w:ilvl w:val="0"/>
          <w:numId w:val="259"/>
        </w:numPr>
        <w:rPr>
          <w:lang w:val="sl-SI"/>
        </w:rPr>
      </w:pPr>
      <w:r w:rsidRPr="001048FE">
        <w:rPr>
          <w:lang w:val="sl-SI"/>
        </w:rPr>
        <w:t xml:space="preserve">večja usklajenost sistemov na področju izobraževanja, usposabljanja in mladine s potrebami trga dela in priložnostmi, ki ji ta ponuja, ter tesnejše povezave z gospodarstvom in skupnostjo; </w:t>
      </w:r>
    </w:p>
    <w:p w14:paraId="7D39906A" w14:textId="77777777" w:rsidR="00E03711" w:rsidRPr="001048FE" w:rsidRDefault="00E03711" w:rsidP="005115F2">
      <w:pPr>
        <w:pStyle w:val="Guide-NormalBulletpoints"/>
        <w:numPr>
          <w:ilvl w:val="0"/>
          <w:numId w:val="259"/>
        </w:numPr>
        <w:rPr>
          <w:lang w:val="sl-SI"/>
        </w:rPr>
      </w:pPr>
      <w:r w:rsidRPr="001048FE">
        <w:rPr>
          <w:lang w:val="sl-SI"/>
        </w:rPr>
        <w:t>izboljšano zagotavljanje in ocenjevanje osnovnih in prečnih spretnosti, zlasti podjetništva, socialnih, državljanskih, medkulturnih in jezikovnih kompetenc, kritičnega razmišljanja, digitalne spretnosti in medijske pismenosti;</w:t>
      </w:r>
    </w:p>
    <w:p w14:paraId="7D39906B" w14:textId="77777777" w:rsidR="00E03711" w:rsidRPr="001048FE" w:rsidRDefault="00E03711" w:rsidP="005115F2">
      <w:pPr>
        <w:pStyle w:val="Guide-NormalBulletpoints"/>
        <w:numPr>
          <w:ilvl w:val="0"/>
          <w:numId w:val="259"/>
        </w:numPr>
        <w:rPr>
          <w:lang w:val="sl-SI"/>
        </w:rPr>
      </w:pPr>
      <w:r w:rsidRPr="001048FE">
        <w:rPr>
          <w:lang w:val="sl-SI"/>
        </w:rPr>
        <w:t>okrepljene sinergije in povezave ter izboljšan prehod med različnimi področji; izobraževanjem, usposabljanjem in mladino na nacionalni ravni, z izboljšano uporabo evropskih referenčnih orodij za priznavanje, potrjevanje in preglednost kompetenc in kvalifikacij;</w:t>
      </w:r>
    </w:p>
    <w:p w14:paraId="7D39906C" w14:textId="77777777" w:rsidR="00E03711" w:rsidRPr="001048FE" w:rsidRDefault="00E03711" w:rsidP="005115F2">
      <w:pPr>
        <w:pStyle w:val="Guide-NormalBulletpoints"/>
        <w:numPr>
          <w:ilvl w:val="0"/>
          <w:numId w:val="259"/>
        </w:numPr>
        <w:rPr>
          <w:lang w:val="sl-SI"/>
        </w:rPr>
      </w:pPr>
      <w:r w:rsidRPr="001048FE">
        <w:rPr>
          <w:lang w:val="sl-SI"/>
        </w:rPr>
        <w:t>večja uporaba učnih rezultatov pri opisovanju in opredeljevanju kvalifikacij, delov kvalifikacij in učnih načrtov za podporo poučevanju, učenju in ocenjevanju;</w:t>
      </w:r>
    </w:p>
    <w:p w14:paraId="7D39906D" w14:textId="77777777" w:rsidR="00E03711" w:rsidRPr="001048FE" w:rsidRDefault="00E03711" w:rsidP="005115F2">
      <w:pPr>
        <w:pStyle w:val="Guide-NormalBulletpoints"/>
        <w:numPr>
          <w:ilvl w:val="0"/>
          <w:numId w:val="259"/>
        </w:numPr>
        <w:rPr>
          <w:lang w:val="sl-SI"/>
        </w:rPr>
      </w:pPr>
      <w:r w:rsidRPr="001048FE">
        <w:rPr>
          <w:lang w:val="sl-SI"/>
        </w:rPr>
        <w:t>novo in okrepljeno medregionalno in čezmejno sodelovanje javnih organov na področju izobraževanja, usposabljanja in mladine;</w:t>
      </w:r>
    </w:p>
    <w:p w14:paraId="7D39906E" w14:textId="77777777" w:rsidR="00E03711" w:rsidRPr="001048FE" w:rsidRDefault="00E03711" w:rsidP="005115F2">
      <w:pPr>
        <w:pStyle w:val="Guide-NormalBulletpoints"/>
        <w:numPr>
          <w:ilvl w:val="0"/>
          <w:numId w:val="259"/>
        </w:numPr>
        <w:rPr>
          <w:lang w:val="sl-SI"/>
        </w:rPr>
      </w:pPr>
      <w:r w:rsidRPr="001048FE">
        <w:rPr>
          <w:lang w:val="sl-SI"/>
        </w:rPr>
        <w:t>bolj strateška in celostna uporaba IKT ter prosto dostopnih učnih virov (PDUV) v sistemih na področju izobraževanja, usposabljanja in mladine;</w:t>
      </w:r>
    </w:p>
    <w:p w14:paraId="7D39906F" w14:textId="77777777" w:rsidR="00E03711" w:rsidRPr="001048FE" w:rsidRDefault="00E03711" w:rsidP="005115F2">
      <w:pPr>
        <w:pStyle w:val="Guide-NormalBulletpoints"/>
        <w:numPr>
          <w:ilvl w:val="0"/>
          <w:numId w:val="259"/>
        </w:numPr>
        <w:rPr>
          <w:lang w:val="sl-SI"/>
        </w:rPr>
      </w:pPr>
      <w:r w:rsidRPr="001048FE">
        <w:rPr>
          <w:lang w:val="sl-SI"/>
        </w:rPr>
        <w:t>večja motivacija za učenje jezikov z inovativnimi metodami poučevanja ali izboljšanimi povezavami s praktično uporabo znanja jezikov, ki jih zahteva trg dela;</w:t>
      </w:r>
    </w:p>
    <w:p w14:paraId="7D399070" w14:textId="77777777" w:rsidR="00E03711" w:rsidRPr="001048FE" w:rsidRDefault="00E03711" w:rsidP="005115F2">
      <w:pPr>
        <w:pStyle w:val="Guide-NormalBulletpoints"/>
        <w:numPr>
          <w:ilvl w:val="0"/>
          <w:numId w:val="259"/>
        </w:numPr>
        <w:rPr>
          <w:lang w:val="sl-SI"/>
        </w:rPr>
      </w:pPr>
      <w:r w:rsidRPr="001048FE">
        <w:rPr>
          <w:lang w:val="sl-SI"/>
        </w:rPr>
        <w:t>okrepljeno sodelovanje med prakso, raziskovanjem in politikami.</w:t>
      </w:r>
    </w:p>
    <w:p w14:paraId="7D399071" w14:textId="77777777" w:rsidR="00E03711" w:rsidRDefault="00E03711">
      <w:pPr>
        <w:widowControl/>
        <w:suppressAutoHyphens w:val="0"/>
        <w:autoSpaceDN/>
        <w:textAlignment w:val="auto"/>
        <w:rPr>
          <w:lang w:val="sl-SI"/>
        </w:rPr>
        <w:sectPr w:rsidR="00E03711" w:rsidSect="004453FF">
          <w:headerReference w:type="even" r:id="rId85"/>
          <w:headerReference w:type="default" r:id="rId86"/>
          <w:endnotePr>
            <w:numFmt w:val="decimal"/>
          </w:endnotePr>
          <w:pgSz w:w="11901" w:h="16817"/>
          <w:pgMar w:top="1134" w:right="1418" w:bottom="1134" w:left="1418" w:header="522" w:footer="448" w:gutter="0"/>
          <w:cols w:space="720"/>
          <w:docGrid w:linePitch="326"/>
        </w:sectPr>
      </w:pPr>
      <w:bookmarkStart w:id="199" w:name="Partenariats_stratégiques_dans_les_domai"/>
      <w:bookmarkStart w:id="200" w:name="_bookmark40"/>
      <w:bookmarkEnd w:id="199"/>
      <w:bookmarkEnd w:id="200"/>
    </w:p>
    <w:p w14:paraId="7D399072" w14:textId="77777777" w:rsidR="00E03711" w:rsidRDefault="00E03711">
      <w:pPr>
        <w:pStyle w:val="Guide-Heading4TOC"/>
        <w:rPr>
          <w:lang w:val="sl-SI"/>
        </w:rPr>
      </w:pPr>
      <w:bookmarkStart w:id="201" w:name="_Toc527401148"/>
      <w:r w:rsidRPr="001048FE">
        <w:rPr>
          <w:lang w:val="sl-SI"/>
        </w:rPr>
        <w:t>Strateška partnerstva na področju</w:t>
      </w:r>
      <w:bookmarkStart w:id="202" w:name="Strateška_partnerstva_na_področju_izobra"/>
      <w:bookmarkEnd w:id="202"/>
      <w:r w:rsidRPr="001048FE">
        <w:rPr>
          <w:lang w:val="sl-SI"/>
        </w:rPr>
        <w:t xml:space="preserve"> izobraževanja, usposabljanja in mladine</w:t>
      </w:r>
      <w:bookmarkEnd w:id="201"/>
    </w:p>
    <w:p w14:paraId="7D399073" w14:textId="77777777" w:rsidR="00E03711" w:rsidRPr="001048FE" w:rsidRDefault="00E03711" w:rsidP="00475F6B">
      <w:pPr>
        <w:pStyle w:val="Guide-Heading5"/>
        <w:rPr>
          <w:lang w:val="sl-SI"/>
        </w:rPr>
      </w:pPr>
      <w:r w:rsidRPr="001048FE">
        <w:rPr>
          <w:lang w:val="sl-SI"/>
        </w:rPr>
        <w:t>Kakšni so cilji in prednostne naloge strateškega partnerstva?</w:t>
      </w:r>
    </w:p>
    <w:p w14:paraId="7D399074" w14:textId="77777777" w:rsidR="00E03711" w:rsidRPr="001048FE" w:rsidRDefault="00E03711" w:rsidP="00475F6B">
      <w:pPr>
        <w:pStyle w:val="GUIDE-NORMAL"/>
        <w:rPr>
          <w:lang w:val="sl-SI"/>
        </w:rPr>
      </w:pPr>
      <w:r w:rsidRPr="001048FE">
        <w:rPr>
          <w:lang w:val="sl-SI"/>
        </w:rPr>
        <w:t>Namen strateških partnerstev je podpirati razvoj, prenos in/ali izvajanje inovativnih praks ter izvajanje skupnih pobud za spodbujanje sodelovanja, vzajemnega učenja in izmenjav izkušenj na evropski ravni.</w:t>
      </w:r>
    </w:p>
    <w:p w14:paraId="7D399075" w14:textId="77777777" w:rsidR="00E03711" w:rsidRPr="001048FE" w:rsidRDefault="00E03711" w:rsidP="00475F6B">
      <w:pPr>
        <w:pStyle w:val="GUIDE-NORMAL"/>
        <w:rPr>
          <w:lang w:val="sl-SI"/>
        </w:rPr>
      </w:pPr>
      <w:r w:rsidRPr="001048FE">
        <w:rPr>
          <w:lang w:val="sl-SI"/>
        </w:rPr>
        <w:t>Glede na cilje in sestavo strateškega partnerstva obstajata dve vrsti projektov: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E03711" w:rsidRPr="00C60205" w14:paraId="7D39907D" w14:textId="77777777" w:rsidTr="00237696">
        <w:trPr>
          <w:trHeight w:val="4616"/>
        </w:trPr>
        <w:tc>
          <w:tcPr>
            <w:tcW w:w="9064" w:type="dxa"/>
            <w:shd w:val="clear" w:color="auto" w:fill="auto"/>
          </w:tcPr>
          <w:p w14:paraId="7D399076" w14:textId="77777777" w:rsidR="00E03711" w:rsidRPr="00F769E0" w:rsidRDefault="00E03711" w:rsidP="00475F6B">
            <w:pPr>
              <w:pStyle w:val="Guide-Heading7"/>
              <w:rPr>
                <w:rFonts w:cs="Tahoma"/>
                <w:lang w:val="sl-SI"/>
              </w:rPr>
            </w:pPr>
            <w:r w:rsidRPr="00F769E0">
              <w:rPr>
                <w:rFonts w:cs="Tahoma"/>
                <w:lang w:val="sl-SI"/>
              </w:rPr>
              <w:t>Strateška partnerstva za inovacije:</w:t>
            </w:r>
          </w:p>
          <w:p w14:paraId="7D399077" w14:textId="77777777" w:rsidR="00E03711" w:rsidRPr="00237696" w:rsidRDefault="00E03711" w:rsidP="00475F6B">
            <w:pPr>
              <w:pStyle w:val="GUIDE-NORMAL"/>
              <w:rPr>
                <w:lang w:val="sl-SI" w:eastAsia="en-GB"/>
              </w:rPr>
            </w:pPr>
            <w:r w:rsidRPr="00237696">
              <w:rPr>
                <w:lang w:val="sl-SI" w:eastAsia="en-GB"/>
              </w:rPr>
              <w:t>Projekti bodo razvijali inovativne rezultate in/ali si intenzivno prizadevali razširjati in uporabljati obstoječe in na novo proizvedene rezultate ali inovativne ideje. Prijavitelji lahko zaprosijo za namenski proračun za intelektualne rezultate in multiplikativne dogodke, zato da se neposredno odgovori na inovacijski vidik ukrepa. Ta vrsta projektov je odprta za vsa področja izobraževanja, usposabljanja in mladine.</w:t>
            </w:r>
          </w:p>
          <w:p w14:paraId="7D399078" w14:textId="77777777" w:rsidR="00E03711" w:rsidRPr="00F769E0" w:rsidRDefault="00E03711" w:rsidP="00475F6B">
            <w:pPr>
              <w:pStyle w:val="Guide-Heading7"/>
              <w:rPr>
                <w:rFonts w:cs="Tahoma"/>
                <w:lang w:val="sl-SI"/>
              </w:rPr>
            </w:pPr>
            <w:r w:rsidRPr="00F769E0">
              <w:rPr>
                <w:rFonts w:cs="Tahoma"/>
                <w:lang w:val="sl-SI"/>
              </w:rPr>
              <w:t>Strateška partnerstva za izmenjavo dobrih praks:</w:t>
            </w:r>
          </w:p>
          <w:p w14:paraId="7D399079" w14:textId="77777777" w:rsidR="00E03711" w:rsidRPr="00237696" w:rsidRDefault="00E03711" w:rsidP="00475F6B">
            <w:pPr>
              <w:pStyle w:val="GUIDE-NORMAL"/>
              <w:rPr>
                <w:lang w:val="sl-SI" w:eastAsia="en-GB"/>
              </w:rPr>
            </w:pPr>
            <w:r w:rsidRPr="00237696">
              <w:rPr>
                <w:lang w:val="sl-SI" w:eastAsia="en-GB"/>
              </w:rPr>
              <w:t>Glavni cilj je organizacijam omogočiti, da razvijejo in krepijo mreže, povečajo zmogljivosti za delovanje na mednarodni ravni ter primerjajo in delijo ideje, prakse in metode. Izbrani projekti lahko tudi privedejo do otipljivih rezultatov in pričakuje se, da bodo razširjali rezultate svojih aktivnosti, čeprav na način, ki je sorazmeren z namenom in obsegom projekta. Ti rezultati in aktivnosti se sofinancirajo iz standardnega proračuna za vodenje in izvajanje projektov. Strateška partnerstva s področja visokošolskega izobraževanja ne podpirajo te vrste projektov.Poleg tega je mogoče v okviru te vrste partnerstev uresničiti nekatere posebne oblike strateškega partnerstva:</w:t>
            </w:r>
          </w:p>
          <w:p w14:paraId="7D39907A" w14:textId="77777777" w:rsidR="00E03711" w:rsidRPr="00237696" w:rsidRDefault="00E03711" w:rsidP="005115F2">
            <w:pPr>
              <w:pStyle w:val="Guide-NormalBulletpoints"/>
              <w:numPr>
                <w:ilvl w:val="0"/>
                <w:numId w:val="128"/>
              </w:numPr>
              <w:rPr>
                <w:rFonts w:cs="Times New Roman"/>
                <w:lang w:val="sl-SI"/>
              </w:rPr>
            </w:pPr>
            <w:r w:rsidRPr="00237696">
              <w:rPr>
                <w:rFonts w:cs="Times New Roman"/>
                <w:b/>
                <w:lang w:val="sl-SI"/>
              </w:rPr>
              <w:t>Partnerstva za izmenjavo med šolami:</w:t>
            </w:r>
            <w:r w:rsidRPr="00237696">
              <w:rPr>
                <w:rFonts w:cs="Times New Roman"/>
                <w:lang w:val="sl-SI"/>
              </w:rPr>
              <w:t xml:space="preserve"> v tej vrsti strateškega partnerstva lahko sodelujejo le šole. Projekti lahko s pomočjo priložnosti za mobilnost za učence/dijake in osebje sodelujočim šolam pomagajo, da se razvijejo kot organizacije in izboljšajo svojo zmožnost delovanja v mednarodnih projektih. </w:t>
            </w:r>
            <w:r w:rsidRPr="00237696">
              <w:rPr>
                <w:rFonts w:eastAsia="Calibri" w:cs="Calibri"/>
                <w:bdr w:val="nil"/>
                <w:shd w:val="clear" w:color="auto" w:fill="auto"/>
                <w:lang w:val="sl-SI" w:eastAsia="en-US"/>
              </w:rPr>
              <w:t>Poleg tega se zelo spodbuja združevanje mobilnosti in izmenjav z virtualnim sodelovanjem prek programa eTwinning.</w:t>
            </w:r>
          </w:p>
          <w:p w14:paraId="7D39907B" w14:textId="77777777" w:rsidR="00E03711" w:rsidRPr="00237696" w:rsidRDefault="00E03711" w:rsidP="005115F2">
            <w:pPr>
              <w:pStyle w:val="Guide-NormalBulletpoints"/>
              <w:numPr>
                <w:ilvl w:val="0"/>
                <w:numId w:val="128"/>
              </w:numPr>
              <w:rPr>
                <w:rFonts w:cs="Times New Roman"/>
                <w:lang w:val="sl-SI"/>
              </w:rPr>
            </w:pPr>
            <w:r w:rsidRPr="00237696">
              <w:rPr>
                <w:rFonts w:cs="Times New Roman"/>
                <w:b/>
                <w:lang w:val="sl-SI"/>
              </w:rPr>
              <w:t>Transnacionalne mladinske pobude:</w:t>
            </w:r>
            <w:r w:rsidRPr="00237696">
              <w:rPr>
                <w:rFonts w:cs="Times New Roman"/>
                <w:lang w:val="sl-SI"/>
              </w:rPr>
              <w:t xml:space="preserve"> namen teh strateških partnerstev na področju mladine je spodbujanje družbene predanosti in podjetniškega duha med mladimi. Posebna značilnost te oblike strateškega partnerstva je, da mladinske pobude sprožijo, vzpostavijo in izvajajo mladi sami.</w:t>
            </w:r>
          </w:p>
          <w:p w14:paraId="7D39907C" w14:textId="77777777" w:rsidR="00E03711" w:rsidRPr="00237696" w:rsidRDefault="00E03711" w:rsidP="00475F6B">
            <w:pPr>
              <w:pStyle w:val="GUIDE-NORMAL"/>
              <w:rPr>
                <w:lang w:val="sl-SI" w:eastAsia="en-GB"/>
              </w:rPr>
            </w:pPr>
            <w:r w:rsidRPr="00237696">
              <w:rPr>
                <w:lang w:val="sl-SI" w:eastAsia="en-GB"/>
              </w:rPr>
              <w:t xml:space="preserve">Več informacij o značilnostih teh posebnih oblik projektov najdete v poglavju „Posebne oblike </w:t>
            </w:r>
            <w:r w:rsidRPr="00237696">
              <w:rPr>
                <w:b/>
                <w:lang w:val="sl-SI" w:eastAsia="en-GB"/>
              </w:rPr>
              <w:t>strateških partnerstev</w:t>
            </w:r>
            <w:r w:rsidRPr="00237696">
              <w:rPr>
                <w:lang w:val="sl-SI" w:eastAsia="en-GB"/>
              </w:rPr>
              <w:t>“.</w:t>
            </w:r>
          </w:p>
        </w:tc>
      </w:tr>
    </w:tbl>
    <w:p w14:paraId="7D39907E" w14:textId="77777777" w:rsidR="00E03711" w:rsidRPr="001048FE" w:rsidRDefault="00E03711" w:rsidP="00475F6B">
      <w:pPr>
        <w:pStyle w:val="GUIDE-NORMAL"/>
        <w:rPr>
          <w:lang w:val="sl-SI"/>
        </w:rPr>
      </w:pPr>
      <w:r w:rsidRPr="001048FE">
        <w:rPr>
          <w:lang w:val="sl-SI"/>
        </w:rPr>
        <w:t>Ne glede na področje, na katero projekt vpliva, lahko v strateških partnerstvih sodeluje katera koli organizacija, ki je dejavna na katerem koli področju izobraževanja, usposabljanja in mladine ali v drugih socialno-ekonomskih sektorjih, in organizacije, ki izvajajo interdisciplinarne aktivnosti na različnih področjih (npr. lokalni in regionalni organi, centri za priznavanje in potrjevanje, gospodarske zbornice, trgovinske organizacije, centri za usmerjanje, kulturne organizacije). Glede na prednostno nalogo in cilje projekta bi v strateška partnerstva moral biti vključen najustreznejši in najbolj raznolik nabor partnerjev, da lahko ustvarijo vzajemne koristi na podlagi različnih izkušenj, profilov in specifičnega strokovnega znanja ter pomembne in visokokakovostne rezultate projekta.</w:t>
      </w:r>
    </w:p>
    <w:p w14:paraId="7D39907F" w14:textId="77777777" w:rsidR="00E03711" w:rsidRPr="001048FE" w:rsidRDefault="00E03711" w:rsidP="00475F6B">
      <w:pPr>
        <w:pStyle w:val="GUIDE-NORMAL"/>
        <w:rPr>
          <w:lang w:val="sl-SI"/>
        </w:rPr>
      </w:pPr>
      <w:r w:rsidRPr="001048FE">
        <w:rPr>
          <w:lang w:val="sl-SI"/>
        </w:rPr>
        <w:t>Za pridobitev sredstev morajo strateška partnerstva obravnavati (a) vsaj eno prečno prednostno nalogo ali (b) vsaj eno posebno prednostno nalogo, ki je pomembna za področje izobraževanja, usposabljanja in mladine, na katerem je učinek največji, kot je opisano v nadaljevanju. Med temi prednostnimi nalogami lahko nacionalne agencije večjo veljavo pripišejo tistim, ki so še posebno pomembne v njihovem nacionalnem okviru („Evropske prednostne naloge v nacionalnem okviru“). Nacionalne agencije morajo morebitne prijavitelje ustrezno obveščati prek svojih uradnih spletišč.</w:t>
      </w:r>
    </w:p>
    <w:p w14:paraId="7D399080" w14:textId="77777777" w:rsidR="00E03711" w:rsidRPr="001048FE" w:rsidRDefault="00E03711">
      <w:pPr>
        <w:widowControl/>
        <w:suppressAutoHyphens w:val="0"/>
        <w:autoSpaceDN/>
        <w:textAlignment w:val="auto"/>
        <w:rPr>
          <w:rFonts w:eastAsia="Times New Roman"/>
          <w:b/>
          <w:smallCaps/>
          <w:sz w:val="20"/>
          <w:szCs w:val="28"/>
          <w:lang w:val="sl-SI"/>
        </w:rPr>
      </w:pPr>
      <w:bookmarkStart w:id="203" w:name="Priorités_horizontales"/>
      <w:bookmarkEnd w:id="203"/>
      <w:r w:rsidRPr="001048FE">
        <w:rPr>
          <w:lang w:val="sl-SI"/>
        </w:rPr>
        <w:br w:type="page"/>
      </w:r>
    </w:p>
    <w:p w14:paraId="7D399081" w14:textId="77777777" w:rsidR="00E03711" w:rsidRPr="001048FE" w:rsidRDefault="00E03711" w:rsidP="004453FF">
      <w:pPr>
        <w:pStyle w:val="Guide-Heading6"/>
        <w:rPr>
          <w:lang w:val="sl-SI"/>
        </w:rPr>
      </w:pPr>
      <w:r w:rsidRPr="001048FE">
        <w:rPr>
          <w:lang w:val="sl-SI"/>
        </w:rPr>
        <w:t>Prečne prednostne naloge:</w:t>
      </w:r>
    </w:p>
    <w:p w14:paraId="7D399082" w14:textId="77777777" w:rsidR="00E03711" w:rsidRPr="00FC4A70" w:rsidRDefault="00E03711" w:rsidP="00E03711">
      <w:pPr>
        <w:widowControl/>
        <w:numPr>
          <w:ilvl w:val="0"/>
          <w:numId w:val="80"/>
        </w:numPr>
        <w:suppressAutoHyphens w:val="0"/>
        <w:autoSpaceDN/>
        <w:spacing w:before="120" w:after="120"/>
        <w:jc w:val="both"/>
        <w:textAlignment w:val="auto"/>
        <w:rPr>
          <w:lang w:val="sl-SI"/>
        </w:rPr>
      </w:pPr>
      <w:r w:rsidRPr="00FC4A70">
        <w:rPr>
          <w:rFonts w:eastAsia="Calibri" w:cs="Calibri"/>
          <w:b/>
          <w:bCs/>
          <w:sz w:val="18"/>
          <w:szCs w:val="18"/>
          <w:bdr w:val="nil"/>
          <w:lang w:val="sl-SI"/>
        </w:rPr>
        <w:t xml:space="preserve">Podpora </w:t>
      </w:r>
      <w:r>
        <w:rPr>
          <w:rFonts w:eastAsia="Calibri" w:cs="Calibri"/>
          <w:b/>
          <w:bCs/>
          <w:sz w:val="18"/>
          <w:szCs w:val="18"/>
          <w:bdr w:val="nil"/>
          <w:lang w:val="sl-SI"/>
        </w:rPr>
        <w:t>priložnostim za vse</w:t>
      </w:r>
      <w:r w:rsidRPr="00FC4A70">
        <w:rPr>
          <w:rFonts w:eastAsia="Calibri" w:cs="Calibri"/>
          <w:b/>
          <w:bCs/>
          <w:sz w:val="18"/>
          <w:szCs w:val="18"/>
          <w:bdr w:val="nil"/>
          <w:lang w:val="sl-SI"/>
        </w:rPr>
        <w:t xml:space="preserve"> pri pridobivanju in razvoju ključnih kompetenc</w:t>
      </w:r>
      <w:r>
        <w:rPr>
          <w:rFonts w:eastAsia="Calibri" w:cs="Calibri"/>
          <w:b/>
          <w:bCs/>
          <w:sz w:val="18"/>
          <w:szCs w:val="18"/>
          <w:bdr w:val="nil"/>
          <w:lang w:val="sl-SI"/>
        </w:rPr>
        <w:t>, vključno z osnovnimi znanji</w:t>
      </w:r>
      <w:r>
        <w:rPr>
          <w:rFonts w:eastAsia="Calibri" w:cs="Calibri"/>
          <w:sz w:val="18"/>
          <w:szCs w:val="18"/>
          <w:bdr w:val="nil"/>
          <w:lang w:val="sl-SI"/>
        </w:rPr>
        <w:t>:</w:t>
      </w:r>
      <w:r w:rsidRPr="00FC4A70">
        <w:rPr>
          <w:rFonts w:eastAsia="Calibri" w:cs="Calibri"/>
          <w:sz w:val="18"/>
          <w:szCs w:val="18"/>
          <w:bdr w:val="nil"/>
          <w:lang w:val="sl-SI"/>
        </w:rPr>
        <w:t xml:space="preserve"> </w:t>
      </w:r>
      <w:r>
        <w:rPr>
          <w:rFonts w:eastAsia="Calibri" w:cs="Calibri"/>
          <w:sz w:val="18"/>
          <w:szCs w:val="18"/>
          <w:bdr w:val="nil"/>
          <w:lang w:val="sl-SI"/>
        </w:rPr>
        <w:t>d</w:t>
      </w:r>
      <w:r w:rsidRPr="00FC4A70">
        <w:rPr>
          <w:rFonts w:eastAsia="Calibri" w:cs="Calibri"/>
          <w:sz w:val="18"/>
          <w:szCs w:val="18"/>
          <w:bdr w:val="nil"/>
          <w:lang w:val="sl-SI"/>
        </w:rPr>
        <w:t xml:space="preserve">a se spodbuja zaposljivost, </w:t>
      </w:r>
      <w:r>
        <w:rPr>
          <w:rFonts w:eastAsia="Calibri" w:cs="Calibri"/>
          <w:sz w:val="18"/>
          <w:szCs w:val="18"/>
          <w:bdr w:val="nil"/>
          <w:lang w:val="sl-SI"/>
        </w:rPr>
        <w:t xml:space="preserve">socio-izobraževalni in osebni razvoj, </w:t>
      </w:r>
      <w:r w:rsidRPr="00FC4A70">
        <w:rPr>
          <w:rFonts w:eastAsia="Calibri" w:cs="Calibri"/>
          <w:sz w:val="18"/>
          <w:szCs w:val="18"/>
          <w:bdr w:val="nil"/>
          <w:lang w:val="sl-SI"/>
        </w:rPr>
        <w:t>kot tudi sodelovanje v državljanskem in družbenem življenju</w:t>
      </w:r>
      <w:r>
        <w:rPr>
          <w:rFonts w:eastAsia="Calibri" w:cs="Calibri"/>
          <w:sz w:val="18"/>
          <w:szCs w:val="18"/>
          <w:bdr w:val="nil"/>
          <w:lang w:val="sl-SI"/>
        </w:rPr>
        <w:t>. Prednost bodo dobili projekti, ki spodbujajo in krepijo razvoj ključnih kompetenc za vse posameznike, od zgodnjega otroštva pa skozi vse življenje.</w:t>
      </w:r>
      <w:r w:rsidRPr="00FC4A70">
        <w:rPr>
          <w:rFonts w:eastAsia="Calibri" w:cs="Calibri"/>
          <w:sz w:val="18"/>
          <w:szCs w:val="18"/>
          <w:bdr w:val="nil"/>
          <w:lang w:val="sl-SI"/>
        </w:rPr>
        <w:t xml:space="preserve"> </w:t>
      </w:r>
      <w:r>
        <w:rPr>
          <w:rFonts w:eastAsia="Calibri" w:cs="Calibri"/>
          <w:sz w:val="18"/>
          <w:szCs w:val="18"/>
          <w:bdr w:val="nil"/>
          <w:lang w:val="sl-SI"/>
        </w:rPr>
        <w:t>V</w:t>
      </w:r>
      <w:r w:rsidRPr="00FC4A70">
        <w:rPr>
          <w:rFonts w:eastAsia="Calibri" w:cs="Calibri"/>
          <w:sz w:val="18"/>
          <w:szCs w:val="18"/>
          <w:bdr w:val="nil"/>
          <w:lang w:val="sl-SI"/>
        </w:rPr>
        <w:t xml:space="preserve"> hitro spreminjajočem se svetu to med drugim vključuje </w:t>
      </w:r>
      <w:r>
        <w:rPr>
          <w:rFonts w:eastAsia="Calibri" w:cs="Calibri"/>
          <w:sz w:val="18"/>
          <w:szCs w:val="18"/>
          <w:bdr w:val="nil"/>
          <w:lang w:val="sl-SI"/>
        </w:rPr>
        <w:t>večjezične kompetence</w:t>
      </w:r>
      <w:r w:rsidRPr="00FC4A70">
        <w:rPr>
          <w:rFonts w:eastAsia="Calibri" w:cs="Calibri"/>
          <w:sz w:val="18"/>
          <w:szCs w:val="18"/>
          <w:bdr w:val="nil"/>
          <w:lang w:val="sl-SI"/>
        </w:rPr>
        <w:t>, podjetniško miselnost, kritično mišljenje in kreativnost, sodelovanj</w:t>
      </w:r>
      <w:r>
        <w:rPr>
          <w:rFonts w:eastAsia="Calibri" w:cs="Calibri"/>
          <w:sz w:val="18"/>
          <w:szCs w:val="18"/>
          <w:bdr w:val="nil"/>
          <w:lang w:val="sl-SI"/>
        </w:rPr>
        <w:t>e</w:t>
      </w:r>
      <w:r w:rsidRPr="00FC4A70">
        <w:rPr>
          <w:rFonts w:eastAsia="Calibri" w:cs="Calibri"/>
          <w:sz w:val="18"/>
          <w:szCs w:val="18"/>
          <w:bdr w:val="nil"/>
          <w:lang w:val="sl-SI"/>
        </w:rPr>
        <w:t xml:space="preserve"> na področju znanosti, tehnologije, inženiringa, umetnosti in matematike (STE(A)M, science, technology, engineering, arts and maths)</w:t>
      </w:r>
      <w:r>
        <w:rPr>
          <w:rFonts w:eastAsia="Calibri" w:cs="Calibri"/>
          <w:sz w:val="18"/>
          <w:szCs w:val="18"/>
          <w:bdr w:val="nil"/>
          <w:lang w:val="sl-SI"/>
        </w:rPr>
        <w:t>, pa tudi spretnosti na področjih, kot so podnebni ukrepi, umetna inteligenca, vendar tudi družabne kompetence in učenje, kako se učiti. To naj bi vključevalo dejanja sodelovanja z akterji na področju raziskav in inovacij, civilne družbe ter zasebnega in javnega sektorja</w:t>
      </w:r>
      <w:r w:rsidRPr="00FC4A70">
        <w:rPr>
          <w:rFonts w:eastAsia="Calibri" w:cs="Calibri"/>
          <w:sz w:val="18"/>
          <w:szCs w:val="18"/>
          <w:bdr w:val="nil"/>
          <w:lang w:val="sl-SI"/>
        </w:rPr>
        <w:t>.</w:t>
      </w:r>
    </w:p>
    <w:p w14:paraId="7D399083" w14:textId="77777777" w:rsidR="00E03711" w:rsidRPr="00860232" w:rsidRDefault="00E03711" w:rsidP="002D7FF4">
      <w:pPr>
        <w:widowControl/>
        <w:numPr>
          <w:ilvl w:val="0"/>
          <w:numId w:val="80"/>
        </w:numPr>
        <w:suppressAutoHyphens w:val="0"/>
        <w:autoSpaceDN/>
        <w:spacing w:before="120" w:after="120"/>
        <w:ind w:left="357"/>
        <w:jc w:val="both"/>
        <w:textAlignment w:val="auto"/>
        <w:rPr>
          <w:lang w:val="sl-SI"/>
        </w:rPr>
      </w:pPr>
      <w:r w:rsidRPr="00FC4A70">
        <w:rPr>
          <w:rFonts w:eastAsia="Calibri" w:cs="Calibri"/>
          <w:b/>
          <w:bCs/>
          <w:sz w:val="18"/>
          <w:szCs w:val="18"/>
          <w:bdr w:val="nil"/>
          <w:lang w:val="sl-SI"/>
        </w:rPr>
        <w:t>Socialno vključevanje:</w:t>
      </w:r>
      <w:r w:rsidRPr="00FC4A70">
        <w:rPr>
          <w:rFonts w:eastAsia="Calibri" w:cs="Calibri"/>
          <w:sz w:val="18"/>
          <w:szCs w:val="18"/>
          <w:bdr w:val="nil"/>
          <w:lang w:val="sl-SI"/>
        </w:rPr>
        <w:t xml:space="preserve"> </w:t>
      </w:r>
      <w:r>
        <w:rPr>
          <w:rFonts w:eastAsia="Calibri" w:cs="Calibri"/>
          <w:sz w:val="18"/>
          <w:szCs w:val="18"/>
          <w:bdr w:val="nil"/>
          <w:lang w:val="sl-SI"/>
        </w:rPr>
        <w:t xml:space="preserve">socialno vključevanje je krovna </w:t>
      </w:r>
      <w:r w:rsidRPr="00FC4A70">
        <w:rPr>
          <w:rFonts w:eastAsia="Calibri" w:cs="Calibri"/>
          <w:sz w:val="18"/>
          <w:szCs w:val="18"/>
          <w:bdr w:val="nil"/>
          <w:lang w:val="sl-SI"/>
        </w:rPr>
        <w:t xml:space="preserve">prednost </w:t>
      </w:r>
      <w:r>
        <w:rPr>
          <w:rFonts w:eastAsia="Calibri" w:cs="Calibri"/>
          <w:sz w:val="18"/>
          <w:szCs w:val="18"/>
          <w:bdr w:val="nil"/>
          <w:lang w:val="sl-SI"/>
        </w:rPr>
        <w:t>v vseh sektorjih programa. S</w:t>
      </w:r>
      <w:r w:rsidRPr="00FC4A70">
        <w:rPr>
          <w:rFonts w:eastAsia="Calibri" w:cs="Calibri"/>
          <w:sz w:val="18"/>
          <w:szCs w:val="18"/>
          <w:bdr w:val="nil"/>
          <w:lang w:val="sl-SI"/>
        </w:rPr>
        <w:t>podbuja</w:t>
      </w:r>
      <w:r>
        <w:rPr>
          <w:rFonts w:eastAsia="Calibri" w:cs="Calibri"/>
          <w:sz w:val="18"/>
          <w:szCs w:val="18"/>
          <w:bdr w:val="nil"/>
          <w:lang w:val="sl-SI"/>
        </w:rPr>
        <w:t>nje</w:t>
      </w:r>
      <w:r w:rsidRPr="00FC4A70">
        <w:rPr>
          <w:rFonts w:eastAsia="Calibri" w:cs="Calibri"/>
          <w:sz w:val="18"/>
          <w:szCs w:val="18"/>
          <w:bdr w:val="nil"/>
          <w:lang w:val="sl-SI"/>
        </w:rPr>
        <w:t xml:space="preserve"> – zlasti z inovativnimi in celostnimi pristopi – posvajanj</w:t>
      </w:r>
      <w:r>
        <w:rPr>
          <w:rFonts w:eastAsia="Calibri" w:cs="Calibri"/>
          <w:sz w:val="18"/>
          <w:szCs w:val="18"/>
          <w:bdr w:val="nil"/>
          <w:lang w:val="sl-SI"/>
        </w:rPr>
        <w:t>a</w:t>
      </w:r>
      <w:r w:rsidRPr="00FC4A70">
        <w:rPr>
          <w:rFonts w:eastAsia="Calibri" w:cs="Calibri"/>
          <w:sz w:val="18"/>
          <w:szCs w:val="18"/>
          <w:bdr w:val="nil"/>
          <w:lang w:val="sl-SI"/>
        </w:rPr>
        <w:t xml:space="preserve"> skupnih vrednot, enakost</w:t>
      </w:r>
      <w:r>
        <w:rPr>
          <w:rFonts w:eastAsia="Calibri" w:cs="Calibri"/>
          <w:sz w:val="18"/>
          <w:szCs w:val="18"/>
          <w:bdr w:val="nil"/>
          <w:lang w:val="sl-SI"/>
        </w:rPr>
        <w:t>i</w:t>
      </w:r>
      <w:r w:rsidRPr="00FC4A70">
        <w:rPr>
          <w:rFonts w:eastAsia="Calibri" w:cs="Calibri"/>
          <w:sz w:val="18"/>
          <w:szCs w:val="18"/>
          <w:bdr w:val="nil"/>
          <w:lang w:val="sl-SI"/>
        </w:rPr>
        <w:t>,</w:t>
      </w:r>
      <w:r>
        <w:rPr>
          <w:rFonts w:eastAsia="Calibri" w:cs="Calibri"/>
          <w:sz w:val="18"/>
          <w:szCs w:val="18"/>
          <w:bdr w:val="nil"/>
          <w:lang w:val="sl-SI"/>
        </w:rPr>
        <w:t xml:space="preserve"> socialnega vključevanja, raznolikosti in</w:t>
      </w:r>
      <w:r w:rsidRPr="00FC4A70">
        <w:rPr>
          <w:rFonts w:eastAsia="Calibri" w:cs="Calibri"/>
          <w:sz w:val="18"/>
          <w:szCs w:val="18"/>
          <w:bdr w:val="nil"/>
          <w:lang w:val="sl-SI"/>
        </w:rPr>
        <w:t xml:space="preserve"> nediskriminacij</w:t>
      </w:r>
      <w:r>
        <w:rPr>
          <w:rFonts w:eastAsia="Calibri" w:cs="Calibri"/>
          <w:sz w:val="18"/>
          <w:szCs w:val="18"/>
          <w:bdr w:val="nil"/>
          <w:lang w:val="sl-SI"/>
        </w:rPr>
        <w:t>e. Prednost bodo dobili projekti, ki podpirajo</w:t>
      </w:r>
      <w:r w:rsidRPr="00FC4A70">
        <w:rPr>
          <w:rFonts w:eastAsia="Calibri" w:cs="Calibri"/>
          <w:sz w:val="18"/>
          <w:szCs w:val="18"/>
          <w:bdr w:val="nil"/>
          <w:lang w:val="sl-SI"/>
        </w:rPr>
        <w:t xml:space="preserve"> in </w:t>
      </w:r>
      <w:r>
        <w:rPr>
          <w:rFonts w:eastAsia="Calibri" w:cs="Calibri"/>
          <w:sz w:val="18"/>
          <w:szCs w:val="18"/>
          <w:bdr w:val="nil"/>
          <w:lang w:val="sl-SI"/>
        </w:rPr>
        <w:t xml:space="preserve">ocenjujejo </w:t>
      </w:r>
      <w:r w:rsidRPr="00FC4A70">
        <w:rPr>
          <w:rFonts w:eastAsia="Calibri" w:cs="Calibri"/>
          <w:sz w:val="18"/>
          <w:szCs w:val="18"/>
          <w:bdr w:val="nil"/>
          <w:lang w:val="sl-SI"/>
        </w:rPr>
        <w:t xml:space="preserve">nove pristope k zmanjševanju razlik pri dostopu in uporabi </w:t>
      </w:r>
      <w:r w:rsidRPr="00FC50F6">
        <w:rPr>
          <w:rFonts w:eastAsia="Calibri" w:cs="Calibri"/>
          <w:sz w:val="18"/>
          <w:szCs w:val="18"/>
          <w:bdr w:val="nil"/>
          <w:lang w:val="sl-SI"/>
        </w:rPr>
        <w:t>formalnega</w:t>
      </w:r>
      <w:r w:rsidRPr="00FC4A70">
        <w:rPr>
          <w:rFonts w:eastAsia="Calibri" w:cs="Calibri"/>
          <w:sz w:val="18"/>
          <w:szCs w:val="18"/>
          <w:bdr w:val="nil"/>
          <w:lang w:val="sl-SI"/>
        </w:rPr>
        <w:t xml:space="preserve"> in neformalne</w:t>
      </w:r>
      <w:r>
        <w:rPr>
          <w:rFonts w:eastAsia="Calibri" w:cs="Calibri"/>
          <w:sz w:val="18"/>
          <w:szCs w:val="18"/>
          <w:bdr w:val="nil"/>
          <w:lang w:val="sl-SI"/>
        </w:rPr>
        <w:t>ga</w:t>
      </w:r>
      <w:r w:rsidRPr="00FC4A70">
        <w:rPr>
          <w:rFonts w:eastAsia="Calibri" w:cs="Calibri"/>
          <w:sz w:val="18"/>
          <w:szCs w:val="18"/>
          <w:bdr w:val="nil"/>
          <w:lang w:val="sl-SI"/>
        </w:rPr>
        <w:t xml:space="preserve"> izobraževanj</w:t>
      </w:r>
      <w:r>
        <w:rPr>
          <w:rFonts w:eastAsia="Calibri" w:cs="Calibri"/>
          <w:sz w:val="18"/>
          <w:szCs w:val="18"/>
          <w:bdr w:val="nil"/>
          <w:lang w:val="sl-SI"/>
        </w:rPr>
        <w:t>a, pa tudi projekti, ki se ukvarjajo z diskriminacijo, segregacijo in rasizmom. Program bo podpiral integracijo ljudi z migrantsko preteklostjo, kar vključuje zbiranje in razširanje dobrih praks v zvezi s to temo. Prednost bodo dobili tudi projekti, ki spodbujajo vzpostavljanje trajnostnih povezav med organizacijami, ki delujejo na področju izobraževanja, usposabljanja, mladine in športa ter družbe nasploh, tudi na lokalnih in regijskih ravneh</w:t>
      </w:r>
      <w:r w:rsidRPr="00FC4A70">
        <w:rPr>
          <w:rFonts w:eastAsia="Calibri" w:cs="Calibri"/>
          <w:sz w:val="18"/>
          <w:szCs w:val="18"/>
          <w:bdr w:val="nil"/>
          <w:lang w:val="sl-SI"/>
        </w:rPr>
        <w:t>.</w:t>
      </w:r>
    </w:p>
    <w:p w14:paraId="7D399084" w14:textId="77777777" w:rsidR="00E03711" w:rsidRPr="00860232" w:rsidRDefault="00E03711" w:rsidP="002D7FF4">
      <w:pPr>
        <w:widowControl/>
        <w:numPr>
          <w:ilvl w:val="0"/>
          <w:numId w:val="80"/>
        </w:numPr>
        <w:suppressAutoHyphens w:val="0"/>
        <w:autoSpaceDN/>
        <w:spacing w:before="120" w:after="120"/>
        <w:ind w:left="357"/>
        <w:jc w:val="both"/>
        <w:textAlignment w:val="auto"/>
        <w:rPr>
          <w:lang w:val="sl-SI"/>
        </w:rPr>
      </w:pPr>
      <w:r>
        <w:rPr>
          <w:rFonts w:eastAsia="Calibri" w:cs="Calibri"/>
          <w:b/>
          <w:bCs/>
          <w:sz w:val="18"/>
          <w:szCs w:val="18"/>
          <w:bdr w:val="nil"/>
          <w:lang w:val="sl-SI"/>
        </w:rPr>
        <w:t xml:space="preserve">Skupne vrednote, angažiranost in sodelovanje državljanov: </w:t>
      </w:r>
      <w:r>
        <w:rPr>
          <w:rFonts w:eastAsia="Calibri" w:cs="Calibri"/>
          <w:sz w:val="18"/>
          <w:szCs w:val="18"/>
          <w:bdr w:val="nil"/>
          <w:lang w:val="sl-SI"/>
        </w:rPr>
        <w:t>program bo podpiral aktivno državljanstvo in etiko pri vseživljenjskem učenju; gojil bo razvijanje socialnih ter medkulturnih kompetenc, kritičnega razmišljanja in medijske pismenosti. Prednost bodo dobili tudi projekti, ki nudijo priložnosti za sodelovanje ljudi v demokratičnem življenju, socialno in državljansko udeleževanje tako v formalnih kot neformalnih učnih aktivnostih. Pozornost bo predvsem usmerjena v ozaveščanje in razumevanje konteksta Evropske unije, zlasti v zvezi s skupnimi vrednotami EU, načeli enotnosti in raznolikosti, kot tudi z njeno družbeno, kulturno in zgodovinsko dediščino.</w:t>
      </w:r>
    </w:p>
    <w:p w14:paraId="7D399085" w14:textId="77777777" w:rsidR="00E03711" w:rsidRPr="00860232" w:rsidRDefault="00E03711" w:rsidP="002D7FF4">
      <w:pPr>
        <w:widowControl/>
        <w:numPr>
          <w:ilvl w:val="0"/>
          <w:numId w:val="80"/>
        </w:numPr>
        <w:suppressAutoHyphens w:val="0"/>
        <w:autoSpaceDN/>
        <w:spacing w:before="120" w:after="120"/>
        <w:ind w:left="357"/>
        <w:jc w:val="both"/>
        <w:textAlignment w:val="auto"/>
        <w:rPr>
          <w:rFonts w:eastAsia="Calibri" w:cs="Calibri"/>
          <w:sz w:val="18"/>
          <w:szCs w:val="18"/>
          <w:bdr w:val="nil"/>
          <w:lang w:val="sl-SI"/>
        </w:rPr>
      </w:pPr>
      <w:r>
        <w:rPr>
          <w:rFonts w:eastAsia="Calibri" w:cs="Calibri"/>
          <w:b/>
          <w:bCs/>
          <w:sz w:val="18"/>
          <w:szCs w:val="18"/>
          <w:bdr w:val="nil"/>
          <w:lang w:val="sl-SI"/>
        </w:rPr>
        <w:t>Okoljski in podnebni cilji:</w:t>
      </w:r>
      <w:r>
        <w:rPr>
          <w:lang w:val="sl-SI"/>
        </w:rPr>
        <w:t xml:space="preserve"> </w:t>
      </w:r>
      <w:r w:rsidRPr="00860232">
        <w:rPr>
          <w:rFonts w:eastAsia="Calibri" w:cs="Calibri"/>
          <w:sz w:val="18"/>
          <w:szCs w:val="18"/>
          <w:bdr w:val="nil"/>
          <w:lang w:val="sl-SI"/>
        </w:rPr>
        <w:t>program</w:t>
      </w:r>
      <w:r>
        <w:rPr>
          <w:rFonts w:eastAsia="Calibri" w:cs="Calibri"/>
          <w:sz w:val="18"/>
          <w:szCs w:val="18"/>
          <w:bdr w:val="nil"/>
          <w:lang w:val="sl-SI"/>
        </w:rPr>
        <w:t xml:space="preserve"> ima namen v vseh sektorjih podpirati ozaveščanje o okoljskih izzivih inizzivih, povezanih s podnebnimi spremembami. Prednost bodo dobili projekti, ki so usmerjeni v razvijanje kompetenc v različnih sektorjih, relevantnih za trajnostnost, razvijanje zelenih sektorskih spretnosti, strategij in metodologij, pa tudi v prihodnost usmerjeni učni načrti, ki bolje izpolnjujejo potrebe posameznikov. Program bo podpiral tudi testiranje inovativnih praks, da pripravi učence, osebje in mladinske delavce na to, da postanejo resnični dejavniki sprememb (npr. varčevanje z viri, zmanjševanje porabe energije in potrate, nadomeščanje emisij ogljičnega odtisa, izbiranje trajnostne hrane in možnosti mobilnosti itd.). Prednost bodo dobili tudi projekti, ki s pomočjo izobraževanja, usposabljanja, mladinskih in športnih aktivnosti omogočajo spremembe vedenja pri prednostnih izbirah posameznikov, navadah potrošnikov in načinu življenja. </w:t>
      </w:r>
    </w:p>
    <w:p w14:paraId="7D399086" w14:textId="77777777" w:rsidR="00E03711" w:rsidRPr="00FC4A70" w:rsidRDefault="00E03711" w:rsidP="002D7FF4">
      <w:pPr>
        <w:widowControl/>
        <w:numPr>
          <w:ilvl w:val="0"/>
          <w:numId w:val="80"/>
        </w:numPr>
        <w:suppressAutoHyphens w:val="0"/>
        <w:autoSpaceDN/>
        <w:spacing w:before="120" w:after="120"/>
        <w:ind w:left="357"/>
        <w:jc w:val="both"/>
        <w:textAlignment w:val="auto"/>
        <w:rPr>
          <w:lang w:val="sl-SI"/>
        </w:rPr>
      </w:pPr>
      <w:r>
        <w:rPr>
          <w:rFonts w:eastAsia="Calibri" w:cs="Calibri"/>
          <w:b/>
          <w:bCs/>
          <w:sz w:val="18"/>
          <w:szCs w:val="18"/>
          <w:bdr w:val="nil"/>
          <w:lang w:val="sl-SI"/>
        </w:rPr>
        <w:t>I</w:t>
      </w:r>
      <w:r w:rsidRPr="00FC4A70">
        <w:rPr>
          <w:rFonts w:eastAsia="Calibri" w:cs="Calibri"/>
          <w:b/>
          <w:bCs/>
          <w:sz w:val="18"/>
          <w:szCs w:val="18"/>
          <w:bdr w:val="nil"/>
          <w:lang w:val="sl-SI"/>
        </w:rPr>
        <w:t>novativne prakse v digitalnem obdobju:</w:t>
      </w:r>
      <w:r w:rsidRPr="00FC4A70">
        <w:rPr>
          <w:rFonts w:eastAsia="Calibri" w:cs="Calibri"/>
          <w:sz w:val="18"/>
          <w:szCs w:val="18"/>
          <w:bdr w:val="nil"/>
          <w:lang w:val="sl-SI"/>
        </w:rPr>
        <w:t xml:space="preserve"> </w:t>
      </w:r>
      <w:r>
        <w:rPr>
          <w:rFonts w:eastAsia="Calibri" w:cs="Calibri"/>
          <w:sz w:val="18"/>
          <w:szCs w:val="18"/>
          <w:bdr w:val="nil"/>
          <w:lang w:val="sl-SI"/>
        </w:rPr>
        <w:t xml:space="preserve">program bo podpiral uvajanje digitalnih tennologij ter inovativne in odprte pedagogike </w:t>
      </w:r>
      <w:r w:rsidRPr="00FC4A70">
        <w:rPr>
          <w:rFonts w:eastAsia="Calibri" w:cs="Calibri"/>
          <w:sz w:val="18"/>
          <w:szCs w:val="18"/>
          <w:bdr w:val="nil"/>
          <w:lang w:val="sl-SI"/>
        </w:rPr>
        <w:t xml:space="preserve">na področju izobraževanja, usposabljanja, mladine in športa. </w:t>
      </w:r>
      <w:r>
        <w:rPr>
          <w:rFonts w:eastAsia="Calibri" w:cs="Calibri"/>
          <w:sz w:val="18"/>
          <w:szCs w:val="18"/>
          <w:bdr w:val="nil"/>
          <w:lang w:val="sl-SI"/>
        </w:rPr>
        <w:t>Posebna pozornost bo namenjena promociji enakosti med spoloma ter razlikam v zvezi z dostopom in uporabo le-teh s strani nezadostno zastopanih skupin. Program bo podpiral tudi uporabo Evropskega okvira za digitalno kompetenco izobraževalnega osebja, državljanov in organizacij, vključno z razvojem in uporabo prosto dostopnih izobraževalnih virov, prosto dostopnih učbenikov ter brezplačnega in odprtokodnega izobraževalnega programja. Prednost bodo dobile aktivnosti, ki spodbujajo inovativne metode in orodja za poučevanje, usposabljanje, učenje in ocenjevanje kot gonilnih sil izboljšav pri vseživljenjskem učenju.</w:t>
      </w:r>
    </w:p>
    <w:p w14:paraId="7D399087" w14:textId="77777777" w:rsidR="00E03711" w:rsidRPr="00FC4A70" w:rsidRDefault="00E03711" w:rsidP="002D7FF4">
      <w:pPr>
        <w:widowControl/>
        <w:numPr>
          <w:ilvl w:val="0"/>
          <w:numId w:val="82"/>
        </w:numPr>
        <w:suppressAutoHyphens w:val="0"/>
        <w:autoSpaceDN/>
        <w:spacing w:before="120" w:after="120"/>
        <w:jc w:val="both"/>
        <w:textAlignment w:val="auto"/>
        <w:rPr>
          <w:lang w:val="sl-SI"/>
        </w:rPr>
      </w:pPr>
      <w:r w:rsidRPr="00FC4A70">
        <w:rPr>
          <w:rFonts w:eastAsia="Calibri" w:cs="Calibri"/>
          <w:b/>
          <w:bCs/>
          <w:sz w:val="18"/>
          <w:szCs w:val="18"/>
          <w:bdr w:val="nil"/>
          <w:lang w:val="sl-SI"/>
        </w:rPr>
        <w:t>Podpora izobraževalnemu osebju</w:t>
      </w:r>
      <w:r>
        <w:rPr>
          <w:rFonts w:eastAsia="Calibri" w:cs="Calibri"/>
          <w:b/>
          <w:bCs/>
          <w:sz w:val="18"/>
          <w:szCs w:val="18"/>
          <w:bdr w:val="nil"/>
          <w:lang w:val="sl-SI"/>
        </w:rPr>
        <w:t>, mladinskim delavcem, vodjem izobraževanja in podpornemu osebju</w:t>
      </w:r>
      <w:r w:rsidRPr="00FC4A70">
        <w:rPr>
          <w:rFonts w:eastAsia="Calibri" w:cs="Calibri"/>
          <w:b/>
          <w:bCs/>
          <w:sz w:val="18"/>
          <w:szCs w:val="18"/>
          <w:bdr w:val="nil"/>
          <w:lang w:val="sl-SI"/>
        </w:rPr>
        <w:t>:</w:t>
      </w:r>
      <w:r w:rsidRPr="00FC4A70">
        <w:rPr>
          <w:rFonts w:eastAsia="Calibri" w:cs="Calibri"/>
          <w:sz w:val="18"/>
          <w:szCs w:val="18"/>
          <w:bdr w:val="nil"/>
          <w:lang w:val="sl-SI"/>
        </w:rPr>
        <w:t xml:space="preserve"> prednost bodo imeli ukrepi, ki utrjujejo angažiranje</w:t>
      </w:r>
      <w:r>
        <w:rPr>
          <w:rFonts w:eastAsia="Calibri" w:cs="Calibri"/>
          <w:sz w:val="18"/>
          <w:szCs w:val="18"/>
          <w:bdr w:val="nil"/>
          <w:lang w:val="sl-SI"/>
        </w:rPr>
        <w:t xml:space="preserve"> </w:t>
      </w:r>
      <w:r w:rsidRPr="00FC4A70">
        <w:rPr>
          <w:rFonts w:eastAsia="Calibri" w:cs="Calibri"/>
          <w:sz w:val="18"/>
          <w:szCs w:val="18"/>
          <w:bdr w:val="nil"/>
          <w:lang w:val="sl-SI"/>
        </w:rPr>
        <w:t>in profesionalni razvoj pedagogov (npr. učiteljev, vodij usposabljanj, profesorjev, tutorjev, mentorjev, trenerjev</w:t>
      </w:r>
      <w:r>
        <w:rPr>
          <w:rFonts w:eastAsia="Calibri" w:cs="Calibri"/>
          <w:sz w:val="18"/>
          <w:szCs w:val="18"/>
          <w:bdr w:val="nil"/>
          <w:lang w:val="sl-SI"/>
        </w:rPr>
        <w:t>, osebja pri izobraževanju in skrbi v zgodnjem otroštvu</w:t>
      </w:r>
      <w:r w:rsidRPr="00FC4A70">
        <w:rPr>
          <w:rFonts w:eastAsia="Calibri" w:cs="Calibri"/>
          <w:sz w:val="18"/>
          <w:szCs w:val="18"/>
          <w:bdr w:val="nil"/>
          <w:lang w:val="sl-SI"/>
        </w:rPr>
        <w:t>), mladinskih delavcev, izobraževalnih vodij (npr. ravnateljev, rektorjev, vodij oddelkov) in podpornega osebja (npr. asistentov, kariernih svetovalcev, kadrovskih specialistov v podjetjih)</w:t>
      </w:r>
      <w:r>
        <w:rPr>
          <w:rFonts w:eastAsia="Calibri" w:cs="Calibri"/>
          <w:sz w:val="18"/>
          <w:szCs w:val="18"/>
          <w:bdr w:val="nil"/>
          <w:lang w:val="sl-SI"/>
        </w:rPr>
        <w:t>. Posebna pozornost bo namenjena ukrepom, ki omogočajo boljšo obravnavo pri vključevanju in raznolikosti, tudi kulturni in jezikovni raznolikosti, z uporabo bolj raznolikega in prilagojenega poučevanja, usposabljanja in načina dela z mladino.</w:t>
      </w:r>
    </w:p>
    <w:p w14:paraId="7D399088" w14:textId="77777777" w:rsidR="00E03711" w:rsidRPr="00FC4A70" w:rsidRDefault="00E03711" w:rsidP="002D7FF4">
      <w:pPr>
        <w:widowControl/>
        <w:numPr>
          <w:ilvl w:val="0"/>
          <w:numId w:val="81"/>
        </w:numPr>
        <w:suppressAutoHyphens w:val="0"/>
        <w:autoSpaceDN/>
        <w:ind w:left="357" w:hanging="357"/>
        <w:jc w:val="both"/>
        <w:textAlignment w:val="auto"/>
        <w:rPr>
          <w:lang w:val="sl-SI"/>
        </w:rPr>
      </w:pPr>
      <w:r w:rsidRPr="00FC4A70">
        <w:rPr>
          <w:rFonts w:eastAsia="Calibri" w:cs="Calibri"/>
          <w:b/>
          <w:bCs/>
          <w:sz w:val="18"/>
          <w:szCs w:val="18"/>
          <w:bdr w:val="nil"/>
          <w:lang w:val="sl-SI"/>
        </w:rPr>
        <w:t xml:space="preserve">Preglednost in priznavanje spretnosti in kvalifikacij: </w:t>
      </w:r>
      <w:r w:rsidRPr="00FC4A70">
        <w:rPr>
          <w:rFonts w:eastAsia="Calibri" w:cs="Calibri"/>
          <w:sz w:val="18"/>
          <w:szCs w:val="18"/>
          <w:bdr w:val="nil"/>
          <w:lang w:val="sl-SI"/>
        </w:rPr>
        <w:t>prednost bodo imeli ukrepi, ki spodbujajo učno mobilnost in mobilnost delovne sile</w:t>
      </w:r>
      <w:r>
        <w:rPr>
          <w:rFonts w:eastAsia="Calibri" w:cs="Calibri"/>
          <w:sz w:val="18"/>
          <w:szCs w:val="18"/>
          <w:bdr w:val="nil"/>
          <w:lang w:val="sl-SI"/>
        </w:rPr>
        <w:t>,</w:t>
      </w:r>
      <w:r w:rsidRPr="00FC4A70">
        <w:rPr>
          <w:rFonts w:eastAsia="Calibri" w:cs="Calibri"/>
          <w:sz w:val="18"/>
          <w:szCs w:val="18"/>
          <w:bdr w:val="nil"/>
          <w:lang w:val="sl-SI"/>
        </w:rPr>
        <w:t xml:space="preserve"> ter </w:t>
      </w:r>
      <w:r>
        <w:rPr>
          <w:rFonts w:eastAsia="Calibri" w:cs="Calibri"/>
          <w:sz w:val="18"/>
          <w:szCs w:val="18"/>
          <w:bdr w:val="nil"/>
          <w:lang w:val="sl-SI"/>
        </w:rPr>
        <w:t xml:space="preserve">ukrepi, ki </w:t>
      </w:r>
      <w:r w:rsidRPr="00FC4A70">
        <w:rPr>
          <w:rFonts w:eastAsia="Calibri" w:cs="Calibri"/>
          <w:sz w:val="18"/>
          <w:szCs w:val="18"/>
          <w:bdr w:val="nil"/>
          <w:lang w:val="sl-SI"/>
        </w:rPr>
        <w:t xml:space="preserve">olajšujejo prehode med različnimi ravnmi in vrstami </w:t>
      </w:r>
      <w:r>
        <w:rPr>
          <w:rFonts w:eastAsia="Calibri" w:cs="Calibri"/>
          <w:sz w:val="18"/>
          <w:szCs w:val="18"/>
          <w:bdr w:val="nil"/>
          <w:lang w:val="sl-SI"/>
        </w:rPr>
        <w:t xml:space="preserve">učenja, prehode v </w:t>
      </w:r>
      <w:r w:rsidRPr="00FC4A70">
        <w:rPr>
          <w:rFonts w:eastAsia="Calibri" w:cs="Calibri"/>
          <w:sz w:val="18"/>
          <w:szCs w:val="18"/>
          <w:bdr w:val="nil"/>
          <w:lang w:val="sl-SI"/>
        </w:rPr>
        <w:t>svet dela ter med različnimi zaposlitvami.</w:t>
      </w:r>
      <w:r>
        <w:rPr>
          <w:rFonts w:eastAsia="Calibri" w:cs="Calibri"/>
          <w:sz w:val="18"/>
          <w:szCs w:val="18"/>
          <w:bdr w:val="nil"/>
          <w:lang w:val="sl-SI"/>
        </w:rPr>
        <w:t xml:space="preserve"> Program bo zlasti podpiral</w:t>
      </w:r>
      <w:r w:rsidRPr="00FC4A70">
        <w:rPr>
          <w:rFonts w:eastAsia="Calibri" w:cs="Calibri"/>
          <w:sz w:val="18"/>
          <w:szCs w:val="18"/>
          <w:bdr w:val="nil"/>
          <w:lang w:val="sl-SI"/>
        </w:rPr>
        <w:t xml:space="preserve"> boljš</w:t>
      </w:r>
      <w:r>
        <w:rPr>
          <w:rFonts w:eastAsia="Calibri" w:cs="Calibri"/>
          <w:sz w:val="18"/>
          <w:szCs w:val="18"/>
          <w:bdr w:val="nil"/>
          <w:lang w:val="sl-SI"/>
        </w:rPr>
        <w:t>e</w:t>
      </w:r>
      <w:r w:rsidRPr="00FC4A70">
        <w:rPr>
          <w:rFonts w:eastAsia="Calibri" w:cs="Calibri"/>
          <w:sz w:val="18"/>
          <w:szCs w:val="18"/>
          <w:bdr w:val="nil"/>
          <w:lang w:val="sl-SI"/>
        </w:rPr>
        <w:t xml:space="preserve"> storit</w:t>
      </w:r>
      <w:r>
        <w:rPr>
          <w:rFonts w:eastAsia="Calibri" w:cs="Calibri"/>
          <w:sz w:val="18"/>
          <w:szCs w:val="18"/>
          <w:bdr w:val="nil"/>
          <w:lang w:val="sl-SI"/>
        </w:rPr>
        <w:t>ve</w:t>
      </w:r>
      <w:r w:rsidRPr="00FC4A70">
        <w:rPr>
          <w:rFonts w:eastAsia="Calibri" w:cs="Calibri"/>
          <w:sz w:val="18"/>
          <w:szCs w:val="18"/>
          <w:bdr w:val="nil"/>
          <w:lang w:val="sl-SI"/>
        </w:rPr>
        <w:t xml:space="preserve"> in informacije</w:t>
      </w:r>
      <w:r>
        <w:rPr>
          <w:rFonts w:eastAsia="Calibri" w:cs="Calibri"/>
          <w:sz w:val="18"/>
          <w:szCs w:val="18"/>
          <w:bdr w:val="nil"/>
          <w:lang w:val="sl-SI"/>
        </w:rPr>
        <w:t xml:space="preserve"> ali </w:t>
      </w:r>
      <w:r w:rsidRPr="00FC4A70">
        <w:rPr>
          <w:rFonts w:eastAsia="Calibri" w:cs="Calibri"/>
          <w:sz w:val="18"/>
          <w:szCs w:val="18"/>
          <w:bdr w:val="nil"/>
          <w:lang w:val="sl-SI"/>
        </w:rPr>
        <w:t>usmerjanje</w:t>
      </w:r>
      <w:r>
        <w:rPr>
          <w:rFonts w:eastAsia="Calibri" w:cs="Calibri"/>
          <w:sz w:val="18"/>
          <w:szCs w:val="18"/>
          <w:bdr w:val="nil"/>
          <w:lang w:val="sl-SI"/>
        </w:rPr>
        <w:t xml:space="preserve"> za učence,</w:t>
      </w:r>
      <w:r w:rsidRPr="00FC4A70">
        <w:rPr>
          <w:rFonts w:eastAsia="Calibri" w:cs="Calibri"/>
          <w:sz w:val="18"/>
          <w:szCs w:val="18"/>
          <w:bdr w:val="nil"/>
          <w:lang w:val="sl-SI"/>
        </w:rPr>
        <w:t xml:space="preserve"> </w:t>
      </w:r>
      <w:r>
        <w:rPr>
          <w:rFonts w:eastAsia="Calibri" w:cs="Calibri"/>
          <w:sz w:val="18"/>
          <w:szCs w:val="18"/>
          <w:bdr w:val="nil"/>
          <w:lang w:val="sl-SI"/>
        </w:rPr>
        <w:t xml:space="preserve">raziskovanje potenciala digitalnih tehnologij za omogočanje samodejnega medsebojnega </w:t>
      </w:r>
      <w:r w:rsidRPr="00FC4A70">
        <w:rPr>
          <w:rFonts w:eastAsia="Calibri" w:cs="Calibri"/>
          <w:sz w:val="18"/>
          <w:szCs w:val="18"/>
          <w:bdr w:val="nil"/>
          <w:lang w:val="sl-SI"/>
        </w:rPr>
        <w:t>priznavanja in potrjevanja – na lokalni, regionalni, nacionalni</w:t>
      </w:r>
      <w:r>
        <w:rPr>
          <w:rFonts w:eastAsia="Calibri" w:cs="Calibri"/>
          <w:sz w:val="18"/>
          <w:szCs w:val="18"/>
          <w:bdr w:val="nil"/>
          <w:lang w:val="sl-SI"/>
        </w:rPr>
        <w:t>,</w:t>
      </w:r>
      <w:r w:rsidRPr="00FC4A70">
        <w:rPr>
          <w:rFonts w:eastAsia="Calibri" w:cs="Calibri"/>
          <w:sz w:val="18"/>
          <w:szCs w:val="18"/>
          <w:bdr w:val="nil"/>
          <w:lang w:val="sl-SI"/>
        </w:rPr>
        <w:t xml:space="preserve"> evropski</w:t>
      </w:r>
      <w:r>
        <w:rPr>
          <w:rFonts w:eastAsia="Calibri" w:cs="Calibri"/>
          <w:sz w:val="18"/>
          <w:szCs w:val="18"/>
          <w:bdr w:val="nil"/>
          <w:lang w:val="sl-SI"/>
        </w:rPr>
        <w:t xml:space="preserve"> ali </w:t>
      </w:r>
      <w:r w:rsidRPr="00FC4A70">
        <w:rPr>
          <w:rFonts w:eastAsia="Calibri" w:cs="Calibri"/>
          <w:sz w:val="18"/>
          <w:szCs w:val="18"/>
          <w:bdr w:val="nil"/>
          <w:lang w:val="sl-SI"/>
        </w:rPr>
        <w:t>mednarodni ravni – kompetenc, pridobljenih s priložnostnim in neformalnim učenjem.</w:t>
      </w:r>
      <w:r>
        <w:rPr>
          <w:rFonts w:eastAsia="Calibri" w:cs="Calibri"/>
          <w:sz w:val="18"/>
          <w:szCs w:val="18"/>
          <w:bdr w:val="nil"/>
          <w:lang w:val="sl-SI"/>
        </w:rPr>
        <w:t xml:space="preserve"> Program bo podpiral tudi učinkovito lansiranje in uvedbo novega okvira Europass ter dostopa do orodij in storitev za spretnosti in kvalifikacije.</w:t>
      </w:r>
    </w:p>
    <w:p w14:paraId="7D399089" w14:textId="77777777" w:rsidR="00E03711" w:rsidRPr="00FC4A70" w:rsidRDefault="00E03711" w:rsidP="00F93DC9">
      <w:pPr>
        <w:ind w:left="357"/>
        <w:jc w:val="both"/>
        <w:rPr>
          <w:lang w:val="sl-SI"/>
        </w:rPr>
      </w:pPr>
    </w:p>
    <w:p w14:paraId="7D39908A" w14:textId="77777777" w:rsidR="00E03711" w:rsidRPr="00FC4A70" w:rsidRDefault="00E03711" w:rsidP="002D7FF4">
      <w:pPr>
        <w:widowControl/>
        <w:numPr>
          <w:ilvl w:val="0"/>
          <w:numId w:val="81"/>
        </w:numPr>
        <w:suppressAutoHyphens w:val="0"/>
        <w:autoSpaceDN/>
        <w:jc w:val="both"/>
        <w:textAlignment w:val="auto"/>
        <w:rPr>
          <w:lang w:val="sl-SI"/>
        </w:rPr>
      </w:pPr>
      <w:r w:rsidRPr="00FC4A70">
        <w:rPr>
          <w:rFonts w:eastAsia="Calibri" w:cs="Calibri"/>
          <w:b/>
          <w:bCs/>
          <w:sz w:val="18"/>
          <w:szCs w:val="18"/>
          <w:bdr w:val="nil"/>
          <w:lang w:val="sl-SI"/>
        </w:rPr>
        <w:t xml:space="preserve">Trajnostno vlaganje, kakovost in učinkovitost izobraževanja, usposabljanja in mladinskih sistemov: </w:t>
      </w:r>
      <w:r w:rsidRPr="00FC4A70">
        <w:rPr>
          <w:rFonts w:eastAsia="Calibri" w:cs="Calibri"/>
          <w:sz w:val="18"/>
          <w:szCs w:val="18"/>
          <w:bdr w:val="nil"/>
          <w:lang w:val="sl-SI"/>
        </w:rPr>
        <w:t xml:space="preserve">prednost bodo imeli ukrepi, ki podpirajo </w:t>
      </w:r>
      <w:r>
        <w:rPr>
          <w:rFonts w:eastAsia="Calibri" w:cs="Calibri"/>
          <w:sz w:val="18"/>
          <w:szCs w:val="18"/>
          <w:bdr w:val="nil"/>
          <w:lang w:val="sl-SI"/>
        </w:rPr>
        <w:t xml:space="preserve">trajnostne </w:t>
      </w:r>
      <w:r w:rsidRPr="00FC4A70">
        <w:rPr>
          <w:rFonts w:eastAsia="Calibri" w:cs="Calibri"/>
          <w:sz w:val="18"/>
          <w:szCs w:val="18"/>
          <w:bdr w:val="nil"/>
          <w:lang w:val="sl-SI"/>
        </w:rPr>
        <w:t>model</w:t>
      </w:r>
      <w:r>
        <w:rPr>
          <w:rFonts w:eastAsia="Calibri" w:cs="Calibri"/>
          <w:sz w:val="18"/>
          <w:szCs w:val="18"/>
          <w:bdr w:val="nil"/>
          <w:lang w:val="sl-SI"/>
        </w:rPr>
        <w:t>e</w:t>
      </w:r>
      <w:r w:rsidRPr="00FC4A70">
        <w:rPr>
          <w:rFonts w:eastAsia="Calibri" w:cs="Calibri"/>
          <w:sz w:val="18"/>
          <w:szCs w:val="18"/>
          <w:bdr w:val="nil"/>
          <w:lang w:val="sl-SI"/>
        </w:rPr>
        <w:t xml:space="preserve"> financiranja, </w:t>
      </w:r>
      <w:r>
        <w:rPr>
          <w:rFonts w:eastAsia="Calibri" w:cs="Calibri"/>
          <w:sz w:val="18"/>
          <w:szCs w:val="18"/>
          <w:bdr w:val="nil"/>
          <w:lang w:val="sl-SI"/>
        </w:rPr>
        <w:t xml:space="preserve">vključno z </w:t>
      </w:r>
      <w:r w:rsidRPr="00FC4A70">
        <w:rPr>
          <w:rFonts w:eastAsia="Calibri" w:cs="Calibri"/>
          <w:sz w:val="18"/>
          <w:szCs w:val="18"/>
          <w:bdr w:val="nil"/>
          <w:lang w:val="sl-SI"/>
        </w:rPr>
        <w:t>raziskovanje</w:t>
      </w:r>
      <w:r>
        <w:rPr>
          <w:rFonts w:eastAsia="Calibri" w:cs="Calibri"/>
          <w:sz w:val="18"/>
          <w:szCs w:val="18"/>
          <w:bdr w:val="nil"/>
          <w:lang w:val="sl-SI"/>
        </w:rPr>
        <w:t>m</w:t>
      </w:r>
      <w:r w:rsidRPr="00FC4A70">
        <w:rPr>
          <w:rFonts w:eastAsia="Calibri" w:cs="Calibri"/>
          <w:sz w:val="18"/>
          <w:szCs w:val="18"/>
          <w:bdr w:val="nil"/>
          <w:lang w:val="sl-SI"/>
        </w:rPr>
        <w:t xml:space="preserve"> inovativnih </w:t>
      </w:r>
      <w:r>
        <w:rPr>
          <w:rFonts w:eastAsia="Calibri" w:cs="Calibri"/>
          <w:sz w:val="18"/>
          <w:szCs w:val="18"/>
          <w:bdr w:val="nil"/>
          <w:lang w:val="sl-SI"/>
        </w:rPr>
        <w:t xml:space="preserve">pristopov </w:t>
      </w:r>
      <w:r w:rsidRPr="00FC4A70">
        <w:rPr>
          <w:rFonts w:eastAsia="Calibri" w:cs="Calibri"/>
          <w:sz w:val="18"/>
          <w:szCs w:val="18"/>
          <w:bdr w:val="nil"/>
          <w:lang w:val="sl-SI"/>
        </w:rPr>
        <w:t xml:space="preserve">za zagotavljanje </w:t>
      </w:r>
      <w:r>
        <w:rPr>
          <w:rFonts w:eastAsia="Calibri" w:cs="Calibri"/>
          <w:sz w:val="18"/>
          <w:szCs w:val="18"/>
          <w:bdr w:val="nil"/>
          <w:lang w:val="sl-SI"/>
        </w:rPr>
        <w:t xml:space="preserve">zadostnega in </w:t>
      </w:r>
      <w:r w:rsidRPr="00FC4A70">
        <w:rPr>
          <w:rFonts w:eastAsia="Calibri" w:cs="Calibri"/>
          <w:sz w:val="18"/>
          <w:szCs w:val="18"/>
          <w:bdr w:val="nil"/>
          <w:lang w:val="sl-SI"/>
        </w:rPr>
        <w:t>trajnostnega vlaganja v izobraževanje, usposabljanje in mladino, vključno s financiranjem in delitvijo stroškov na podlagi dosežkov, kot je to primerno.</w:t>
      </w:r>
    </w:p>
    <w:p w14:paraId="7D39908B" w14:textId="77777777" w:rsidR="00E03711" w:rsidRPr="00FC4A70" w:rsidRDefault="00E03711" w:rsidP="00FC4A70">
      <w:pPr>
        <w:pStyle w:val="ListParagraph"/>
        <w:rPr>
          <w:rFonts w:eastAsia="Calibri" w:cs="Calibri"/>
          <w:b/>
          <w:bCs/>
          <w:sz w:val="18"/>
          <w:szCs w:val="18"/>
          <w:bdr w:val="nil"/>
          <w:lang w:val="sl-SI"/>
        </w:rPr>
      </w:pPr>
    </w:p>
    <w:p w14:paraId="7D39908C" w14:textId="77777777" w:rsidR="00E03711" w:rsidRPr="00FC4A70" w:rsidRDefault="00E03711" w:rsidP="002D7FF4">
      <w:pPr>
        <w:widowControl/>
        <w:numPr>
          <w:ilvl w:val="0"/>
          <w:numId w:val="81"/>
        </w:numPr>
        <w:suppressAutoHyphens w:val="0"/>
        <w:autoSpaceDN/>
        <w:jc w:val="both"/>
        <w:textAlignment w:val="auto"/>
        <w:rPr>
          <w:lang w:val="sl-SI"/>
        </w:rPr>
      </w:pPr>
      <w:r w:rsidRPr="00FC4A70">
        <w:rPr>
          <w:rFonts w:eastAsia="Calibri" w:cs="Calibri"/>
          <w:b/>
          <w:bCs/>
          <w:sz w:val="18"/>
          <w:szCs w:val="18"/>
          <w:bdr w:val="nil"/>
          <w:lang w:val="sl-SI"/>
        </w:rPr>
        <w:t>Družbena in izobraževalna vrednost evropske kulturne dediščine ter njen prispevek k ustvarjanju delovnih mest, gospodarski rasti in socialni koheziji</w:t>
      </w:r>
      <w:r w:rsidRPr="00FC4A70">
        <w:rPr>
          <w:rFonts w:eastAsia="Calibri" w:cs="Calibri"/>
          <w:sz w:val="18"/>
          <w:szCs w:val="18"/>
          <w:bdr w:val="nil"/>
          <w:lang w:val="sl-SI"/>
        </w:rPr>
        <w:t>: prednost bodo imeli ukrepi, ki prispevajo k ozaveščanju o pomembnosti evropske kulturne dediščine prek izobraževanja, vseživljenjskega učenja, priložnostnega in neformalnega učenja, mladine in športa, vključno z ukrepi, ki podpirajo razvoj spretnosti, socialno vključevanje, kritično razmišljanje in udeležbo mladih. Spodbujali se bodo novi participativni in medkulturni pristopi k dediščini ter izobraževalne pobude za omogočanje medkulturnih dialogov med učitelji in učenci že od zgodnjih let.</w:t>
      </w:r>
    </w:p>
    <w:p w14:paraId="7D39908D" w14:textId="77777777" w:rsidR="00E03711" w:rsidRPr="001048FE" w:rsidRDefault="00E03711" w:rsidP="008147A8">
      <w:pPr>
        <w:pStyle w:val="Guide-Heading6"/>
        <w:rPr>
          <w:lang w:val="sl-SI"/>
        </w:rPr>
      </w:pPr>
      <w:bookmarkStart w:id="204" w:name="Priorités_spéciﬁques_aux_diﬀérents_domai"/>
      <w:bookmarkEnd w:id="204"/>
      <w:r w:rsidRPr="001048FE">
        <w:rPr>
          <w:lang w:val="sl-SI"/>
        </w:rPr>
        <w:t>Prednostne naloge na posameznih področjih</w:t>
      </w:r>
    </w:p>
    <w:p w14:paraId="7D39908E" w14:textId="77777777" w:rsidR="00E03711" w:rsidRPr="00FC4A70" w:rsidRDefault="00E03711" w:rsidP="00215944">
      <w:pPr>
        <w:autoSpaceDE w:val="0"/>
        <w:spacing w:before="120" w:after="120"/>
        <w:jc w:val="both"/>
        <w:rPr>
          <w:color w:val="000000"/>
          <w:lang w:val="sl-SI"/>
        </w:rPr>
      </w:pPr>
      <w:r w:rsidRPr="00FC4A70">
        <w:rPr>
          <w:rFonts w:eastAsia="Calibri" w:cs="Calibri"/>
          <w:color w:val="000000"/>
          <w:sz w:val="18"/>
          <w:szCs w:val="18"/>
          <w:bdr w:val="nil"/>
          <w:lang w:val="sl-SI"/>
        </w:rPr>
        <w:t xml:space="preserve">Na področju </w:t>
      </w:r>
      <w:r w:rsidRPr="00FC4A70">
        <w:rPr>
          <w:rFonts w:eastAsia="Calibri" w:cs="Calibri"/>
          <w:b/>
          <w:bCs/>
          <w:color w:val="000000"/>
          <w:sz w:val="18"/>
          <w:szCs w:val="18"/>
          <w:bdr w:val="nil"/>
          <w:lang w:val="sl-SI"/>
        </w:rPr>
        <w:t>visokošolskega izobraževanja</w:t>
      </w:r>
      <w:r w:rsidRPr="00FC4A70">
        <w:rPr>
          <w:rFonts w:eastAsia="Calibri" w:cs="Calibri"/>
          <w:color w:val="000000"/>
          <w:sz w:val="18"/>
          <w:szCs w:val="18"/>
          <w:bdr w:val="nil"/>
          <w:lang w:val="sl-SI"/>
        </w:rPr>
        <w:t xml:space="preserve"> bodo imeli prednost ukrepi, ki</w:t>
      </w:r>
      <w:r>
        <w:rPr>
          <w:rFonts w:eastAsia="Calibri" w:cs="Calibri"/>
          <w:color w:val="000000"/>
          <w:sz w:val="18"/>
          <w:szCs w:val="18"/>
          <w:bdr w:val="nil"/>
          <w:lang w:val="sl-SI"/>
        </w:rPr>
        <w:t xml:space="preserve"> so ključni za doseganje ciljev Evropskega izobraževalnega prostora, in sicer zlasti nove pobude Evropskih univerz in Evropske študentske izkaznice. To med drugim pomeni utrjevanje </w:t>
      </w:r>
      <w:r w:rsidRPr="00FC4A70">
        <w:rPr>
          <w:rFonts w:eastAsia="Calibri" w:cs="Calibri"/>
          <w:color w:val="000000"/>
          <w:sz w:val="18"/>
          <w:szCs w:val="18"/>
          <w:bdr w:val="nil"/>
          <w:lang w:val="sl-SI"/>
        </w:rPr>
        <w:t>internacionalizacij</w:t>
      </w:r>
      <w:r>
        <w:rPr>
          <w:rFonts w:eastAsia="Calibri" w:cs="Calibri"/>
          <w:color w:val="000000"/>
          <w:sz w:val="18"/>
          <w:szCs w:val="18"/>
          <w:bdr w:val="nil"/>
          <w:lang w:val="sl-SI"/>
        </w:rPr>
        <w:t>e</w:t>
      </w:r>
      <w:r w:rsidRPr="00FC4A70">
        <w:rPr>
          <w:rFonts w:eastAsia="Calibri" w:cs="Calibri"/>
          <w:color w:val="000000"/>
          <w:sz w:val="18"/>
          <w:szCs w:val="18"/>
          <w:bdr w:val="nil"/>
          <w:lang w:val="sl-SI"/>
        </w:rPr>
        <w:t xml:space="preserve"> in mobilnost</w:t>
      </w:r>
      <w:r>
        <w:rPr>
          <w:rFonts w:eastAsia="Calibri" w:cs="Calibri"/>
          <w:color w:val="000000"/>
          <w:sz w:val="18"/>
          <w:szCs w:val="18"/>
          <w:bdr w:val="nil"/>
          <w:lang w:val="sl-SI"/>
        </w:rPr>
        <w:t>i</w:t>
      </w:r>
      <w:r w:rsidRPr="00FC4A70">
        <w:rPr>
          <w:rFonts w:eastAsia="Calibri" w:cs="Calibri"/>
          <w:color w:val="000000"/>
          <w:sz w:val="18"/>
          <w:szCs w:val="18"/>
          <w:bdr w:val="nil"/>
          <w:lang w:val="sl-SI"/>
        </w:rPr>
        <w:t xml:space="preserve">, </w:t>
      </w:r>
      <w:r>
        <w:rPr>
          <w:rFonts w:eastAsia="Calibri" w:cs="Calibri"/>
          <w:color w:val="000000"/>
          <w:sz w:val="18"/>
          <w:szCs w:val="18"/>
          <w:bdr w:val="nil"/>
          <w:lang w:val="sl-SI"/>
        </w:rPr>
        <w:t xml:space="preserve">krepitev </w:t>
      </w:r>
      <w:r w:rsidRPr="00FC4A70">
        <w:rPr>
          <w:rFonts w:eastAsia="Calibri" w:cs="Calibri"/>
          <w:color w:val="000000"/>
          <w:sz w:val="18"/>
          <w:szCs w:val="18"/>
          <w:bdr w:val="nil"/>
          <w:lang w:val="sl-SI"/>
        </w:rPr>
        <w:t xml:space="preserve">povezave med izobraževanjem, raziskavami in inovacijami, </w:t>
      </w:r>
      <w:r>
        <w:rPr>
          <w:rFonts w:eastAsia="Calibri" w:cs="Calibri"/>
          <w:color w:val="000000"/>
          <w:sz w:val="18"/>
          <w:szCs w:val="18"/>
          <w:bdr w:val="nil"/>
          <w:lang w:val="sl-SI"/>
        </w:rPr>
        <w:t>kjer je to smiselno, ter izvajanje priporočila Sveta o spodbujanju samodejnega medsebojnega priznavanja kvalifikacij. V</w:t>
      </w:r>
      <w:r w:rsidRPr="00FC4A70">
        <w:rPr>
          <w:rFonts w:eastAsia="Calibri" w:cs="Calibri"/>
          <w:color w:val="000000"/>
          <w:sz w:val="18"/>
          <w:szCs w:val="18"/>
          <w:bdr w:val="nil"/>
          <w:lang w:val="sl-SI"/>
        </w:rPr>
        <w:t xml:space="preserve"> skladu z izzivi, opredeljenimi v prenovljeni agendi EU za posodobitev visokega šolstva, </w:t>
      </w:r>
      <w:r>
        <w:rPr>
          <w:rFonts w:eastAsia="Calibri" w:cs="Calibri"/>
          <w:color w:val="000000"/>
          <w:sz w:val="18"/>
          <w:szCs w:val="18"/>
          <w:bdr w:val="nil"/>
          <w:lang w:val="sl-SI"/>
        </w:rPr>
        <w:t xml:space="preserve">bodo podprte pobude za izboljšanje učinkovitosti sistemov evropskega visokega šolstva, vključno z izvajanjem </w:t>
      </w:r>
      <w:r w:rsidRPr="00FC4A70">
        <w:rPr>
          <w:rFonts w:eastAsia="Calibri" w:cs="Calibri"/>
          <w:color w:val="000000"/>
          <w:sz w:val="18"/>
          <w:szCs w:val="18"/>
          <w:bdr w:val="nil"/>
          <w:lang w:val="sl-SI"/>
        </w:rPr>
        <w:t>priporočil</w:t>
      </w:r>
      <w:r>
        <w:rPr>
          <w:rFonts w:eastAsia="Calibri" w:cs="Calibri"/>
          <w:color w:val="000000"/>
          <w:sz w:val="18"/>
          <w:szCs w:val="18"/>
          <w:bdr w:val="nil"/>
          <w:lang w:val="sl-SI"/>
        </w:rPr>
        <w:t>a</w:t>
      </w:r>
      <w:r w:rsidRPr="00FC4A70">
        <w:rPr>
          <w:rFonts w:eastAsia="Calibri" w:cs="Calibri"/>
          <w:color w:val="000000"/>
          <w:sz w:val="18"/>
          <w:szCs w:val="18"/>
          <w:bdr w:val="nil"/>
          <w:lang w:val="sl-SI"/>
        </w:rPr>
        <w:t xml:space="preserve"> Sveta o spremljanju diplomantov</w:t>
      </w:r>
      <w:r>
        <w:rPr>
          <w:rFonts w:eastAsia="Calibri" w:cs="Calibri"/>
          <w:color w:val="000000"/>
          <w:sz w:val="18"/>
          <w:szCs w:val="18"/>
          <w:bdr w:val="nil"/>
          <w:lang w:val="sl-SI"/>
        </w:rPr>
        <w:t xml:space="preserve"> </w:t>
      </w:r>
      <w:r w:rsidRPr="00FC4A70">
        <w:rPr>
          <w:rFonts w:eastAsia="Calibri" w:cs="Calibri"/>
          <w:color w:val="000000"/>
          <w:sz w:val="18"/>
          <w:szCs w:val="18"/>
          <w:bdr w:val="nil"/>
          <w:lang w:val="sl-SI"/>
        </w:rPr>
        <w:t>in Akcijskim načrtom za digitalno izobraževanje</w:t>
      </w:r>
      <w:r>
        <w:rPr>
          <w:rFonts w:eastAsia="Calibri" w:cs="Calibri"/>
          <w:color w:val="000000"/>
          <w:sz w:val="18"/>
          <w:szCs w:val="18"/>
          <w:bdr w:val="nil"/>
          <w:lang w:val="sl-SI"/>
        </w:rPr>
        <w:t>. Program bo podpiral tudi izvajanje ministrskega sporočila bolonjskega procesa.</w:t>
      </w:r>
    </w:p>
    <w:p w14:paraId="7D39908F" w14:textId="77777777" w:rsidR="00E03711" w:rsidRPr="00FC4A70" w:rsidRDefault="00E03711" w:rsidP="002D7FF4">
      <w:pPr>
        <w:pStyle w:val="ListParagraph"/>
        <w:widowControl/>
        <w:numPr>
          <w:ilvl w:val="0"/>
          <w:numId w:val="86"/>
        </w:numPr>
        <w:suppressAutoHyphens w:val="0"/>
        <w:autoSpaceDN/>
        <w:spacing w:before="120" w:after="120"/>
        <w:ind w:left="1276" w:hanging="567"/>
        <w:jc w:val="both"/>
        <w:textAlignment w:val="auto"/>
        <w:rPr>
          <w:rFonts w:eastAsia="Calibri" w:cs="Times New Roman"/>
          <w:sz w:val="18"/>
          <w:szCs w:val="18"/>
          <w:lang w:val="sl-SI" w:eastAsia="en-GB"/>
        </w:rPr>
      </w:pPr>
      <w:r w:rsidRPr="00FC4A70">
        <w:rPr>
          <w:rFonts w:eastAsia="Calibri" w:cs="Calibri"/>
          <w:b/>
          <w:bCs/>
          <w:sz w:val="18"/>
          <w:szCs w:val="18"/>
          <w:bdr w:val="nil"/>
          <w:lang w:val="sl-SI" w:eastAsia="en-GB"/>
        </w:rPr>
        <w:t>Spodbujanje internacionalizacije</w:t>
      </w:r>
      <w:r>
        <w:rPr>
          <w:rFonts w:eastAsia="Calibri" w:cs="Calibri"/>
          <w:b/>
          <w:bCs/>
          <w:sz w:val="18"/>
          <w:szCs w:val="18"/>
          <w:bdr w:val="nil"/>
          <w:lang w:val="sl-SI" w:eastAsia="en-GB"/>
        </w:rPr>
        <w:t xml:space="preserve">: </w:t>
      </w:r>
      <w:r>
        <w:rPr>
          <w:rFonts w:eastAsia="Calibri" w:cs="Calibri"/>
          <w:sz w:val="18"/>
          <w:szCs w:val="18"/>
          <w:bdr w:val="nil"/>
          <w:lang w:val="sl-SI" w:eastAsia="en-GB"/>
        </w:rPr>
        <w:t>program ima namen okrepiti strateško in strukturirano sodelovanje med visokošolskimi institucijami</w:t>
      </w:r>
      <w:r w:rsidRPr="00FC4A70">
        <w:rPr>
          <w:rFonts w:eastAsia="Calibri" w:cs="Calibri"/>
          <w:sz w:val="18"/>
          <w:szCs w:val="18"/>
          <w:bdr w:val="nil"/>
          <w:lang w:val="sl-SI" w:eastAsia="en-GB"/>
        </w:rPr>
        <w:t xml:space="preserve">, </w:t>
      </w:r>
      <w:r>
        <w:rPr>
          <w:rFonts w:eastAsia="Calibri" w:cs="Calibri"/>
          <w:sz w:val="18"/>
          <w:szCs w:val="18"/>
          <w:bdr w:val="nil"/>
          <w:lang w:val="sl-SI" w:eastAsia="en-GB"/>
        </w:rPr>
        <w:t xml:space="preserve">in sicer: a) s podporo za različne vrste modelov sodelovanja, vključno z najbolj ambicioznimi, kot so Evropske univerze; b) s prispevanjem k odstranjevanju ovir za mobilnost z uvajanjem </w:t>
      </w:r>
      <w:r w:rsidRPr="00FC4A70">
        <w:rPr>
          <w:rFonts w:eastAsia="Calibri" w:cs="Calibri"/>
          <w:sz w:val="18"/>
          <w:szCs w:val="18"/>
          <w:bdr w:val="nil"/>
          <w:lang w:val="sl-SI" w:eastAsia="en-GB"/>
        </w:rPr>
        <w:t>samodejn</w:t>
      </w:r>
      <w:r>
        <w:rPr>
          <w:rFonts w:eastAsia="Calibri" w:cs="Calibri"/>
          <w:sz w:val="18"/>
          <w:szCs w:val="18"/>
          <w:bdr w:val="nil"/>
          <w:lang w:val="sl-SI" w:eastAsia="en-GB"/>
        </w:rPr>
        <w:t>ega</w:t>
      </w:r>
      <w:r w:rsidRPr="00FC4A70">
        <w:rPr>
          <w:rFonts w:eastAsia="Calibri" w:cs="Calibri"/>
          <w:sz w:val="18"/>
          <w:szCs w:val="18"/>
          <w:bdr w:val="nil"/>
          <w:lang w:val="sl-SI" w:eastAsia="en-GB"/>
        </w:rPr>
        <w:t xml:space="preserve"> medsebojn</w:t>
      </w:r>
      <w:r>
        <w:rPr>
          <w:rFonts w:eastAsia="Calibri" w:cs="Calibri"/>
          <w:sz w:val="18"/>
          <w:szCs w:val="18"/>
          <w:bdr w:val="nil"/>
          <w:lang w:val="sl-SI" w:eastAsia="en-GB"/>
        </w:rPr>
        <w:t>ega</w:t>
      </w:r>
      <w:r w:rsidRPr="00FC4A70">
        <w:rPr>
          <w:rFonts w:eastAsia="Calibri" w:cs="Calibri"/>
          <w:sz w:val="18"/>
          <w:szCs w:val="18"/>
          <w:bdr w:val="nil"/>
          <w:lang w:val="sl-SI" w:eastAsia="en-GB"/>
        </w:rPr>
        <w:t xml:space="preserve"> priznavanj</w:t>
      </w:r>
      <w:r>
        <w:rPr>
          <w:rFonts w:eastAsia="Calibri" w:cs="Calibri"/>
          <w:sz w:val="18"/>
          <w:szCs w:val="18"/>
          <w:bdr w:val="nil"/>
          <w:lang w:val="sl-SI" w:eastAsia="en-GB"/>
        </w:rPr>
        <w:t>a</w:t>
      </w:r>
      <w:r w:rsidRPr="00FC4A70">
        <w:rPr>
          <w:rFonts w:eastAsia="Calibri" w:cs="Calibri"/>
          <w:sz w:val="18"/>
          <w:szCs w:val="18"/>
          <w:bdr w:val="nil"/>
          <w:lang w:val="sl-SI" w:eastAsia="en-GB"/>
        </w:rPr>
        <w:t xml:space="preserve"> kvalifikacij in učnih izidov </w:t>
      </w:r>
      <w:r>
        <w:rPr>
          <w:rFonts w:eastAsia="Calibri" w:cs="Calibri"/>
          <w:sz w:val="18"/>
          <w:szCs w:val="18"/>
          <w:bdr w:val="nil"/>
          <w:lang w:val="sl-SI" w:eastAsia="en-GB"/>
        </w:rPr>
        <w:t xml:space="preserve">ter vključeanjem mobilnost že v učni načrt; c) </w:t>
      </w:r>
      <w:r w:rsidRPr="00FC4A70">
        <w:rPr>
          <w:rFonts w:eastAsia="Calibri" w:cs="Calibri"/>
          <w:sz w:val="18"/>
          <w:szCs w:val="18"/>
          <w:bdr w:val="nil"/>
          <w:lang w:val="sl-SI" w:eastAsia="en-GB"/>
        </w:rPr>
        <w:t xml:space="preserve">podporo visokošolskim institucijam pri uveljavljanju bolonjskih načel in orodij za spodbujanje mobilnosti za vse in </w:t>
      </w:r>
      <w:r>
        <w:rPr>
          <w:rFonts w:eastAsia="Calibri" w:cs="Calibri"/>
          <w:sz w:val="18"/>
          <w:szCs w:val="18"/>
          <w:bdr w:val="nil"/>
          <w:lang w:val="sl-SI" w:eastAsia="en-GB"/>
        </w:rPr>
        <w:t>pri</w:t>
      </w:r>
      <w:r w:rsidRPr="00FC4A70">
        <w:rPr>
          <w:rFonts w:eastAsia="Calibri" w:cs="Calibri"/>
          <w:sz w:val="18"/>
          <w:szCs w:val="18"/>
          <w:bdr w:val="nil"/>
          <w:lang w:val="sl-SI" w:eastAsia="en-GB"/>
        </w:rPr>
        <w:t>razvoj</w:t>
      </w:r>
      <w:r>
        <w:rPr>
          <w:rFonts w:eastAsia="Calibri" w:cs="Calibri"/>
          <w:sz w:val="18"/>
          <w:szCs w:val="18"/>
          <w:bdr w:val="nil"/>
          <w:lang w:val="sl-SI" w:eastAsia="en-GB"/>
        </w:rPr>
        <w:t>u</w:t>
      </w:r>
      <w:r w:rsidRPr="00FC4A70">
        <w:rPr>
          <w:rFonts w:eastAsia="Calibri" w:cs="Calibri"/>
          <w:sz w:val="18"/>
          <w:szCs w:val="18"/>
          <w:bdr w:val="nil"/>
          <w:lang w:val="sl-SI" w:eastAsia="en-GB"/>
        </w:rPr>
        <w:t xml:space="preserve"> uspešnega</w:t>
      </w:r>
      <w:r>
        <w:rPr>
          <w:rFonts w:eastAsia="Calibri" w:cs="Calibri"/>
          <w:sz w:val="18"/>
          <w:szCs w:val="18"/>
          <w:bdr w:val="nil"/>
          <w:lang w:val="sl-SI" w:eastAsia="en-GB"/>
        </w:rPr>
        <w:t xml:space="preserve"> večjezičnega</w:t>
      </w:r>
      <w:r w:rsidRPr="00FC4A70">
        <w:rPr>
          <w:rFonts w:eastAsia="Calibri" w:cs="Calibri"/>
          <w:sz w:val="18"/>
          <w:szCs w:val="18"/>
          <w:bdr w:val="nil"/>
          <w:lang w:val="sl-SI" w:eastAsia="en-GB"/>
        </w:rPr>
        <w:t xml:space="preserve"> evropskega izobraževalnega prostora</w:t>
      </w:r>
      <w:r>
        <w:rPr>
          <w:rFonts w:eastAsia="Calibri" w:cs="Calibri"/>
          <w:sz w:val="18"/>
          <w:szCs w:val="18"/>
          <w:bdr w:val="nil"/>
          <w:lang w:val="sl-SI" w:eastAsia="en-GB"/>
        </w:rPr>
        <w:t xml:space="preserve"> do leta 2025.</w:t>
      </w:r>
    </w:p>
    <w:p w14:paraId="7D399090" w14:textId="77777777" w:rsidR="00E03711" w:rsidRPr="00FC4A70" w:rsidRDefault="00E03711" w:rsidP="002D7FF4">
      <w:pPr>
        <w:widowControl/>
        <w:numPr>
          <w:ilvl w:val="1"/>
          <w:numId w:val="83"/>
        </w:numPr>
        <w:suppressAutoHyphens w:val="0"/>
        <w:autoSpaceDN/>
        <w:spacing w:before="120" w:after="120"/>
        <w:ind w:left="1276" w:hanging="567"/>
        <w:jc w:val="both"/>
        <w:textAlignment w:val="auto"/>
        <w:rPr>
          <w:lang w:val="sl-SI"/>
        </w:rPr>
      </w:pPr>
      <w:r w:rsidRPr="00FC4A70">
        <w:rPr>
          <w:rFonts w:eastAsia="Calibri" w:cs="Calibri"/>
          <w:b/>
          <w:bCs/>
          <w:sz w:val="18"/>
          <w:szCs w:val="18"/>
          <w:bdr w:val="nil"/>
          <w:lang w:val="sl-SI"/>
        </w:rPr>
        <w:t>Obravnava vrzeli in neusklajenosti v spretnostih</w:t>
      </w:r>
      <w:r w:rsidRPr="00FC4A70">
        <w:rPr>
          <w:rFonts w:eastAsia="Calibri" w:cs="Calibri"/>
          <w:sz w:val="18"/>
          <w:szCs w:val="18"/>
          <w:bdr w:val="nil"/>
          <w:lang w:val="sl-SI"/>
        </w:rPr>
        <w:t xml:space="preserve"> </w:t>
      </w:r>
      <w:r>
        <w:rPr>
          <w:rFonts w:eastAsia="Calibri" w:cs="Calibri"/>
          <w:sz w:val="18"/>
          <w:szCs w:val="18"/>
          <w:bdr w:val="nil"/>
          <w:lang w:val="sl-SI"/>
        </w:rPr>
        <w:t>s</w:t>
      </w:r>
      <w:r w:rsidRPr="00FC4A70">
        <w:rPr>
          <w:rFonts w:eastAsia="Calibri" w:cs="Calibri"/>
          <w:sz w:val="18"/>
          <w:szCs w:val="18"/>
          <w:bdr w:val="nil"/>
          <w:lang w:val="sl-SI"/>
        </w:rPr>
        <w:t xml:space="preserve">: a) podporo </w:t>
      </w:r>
      <w:r>
        <w:rPr>
          <w:rFonts w:eastAsia="Calibri" w:cs="Calibri"/>
          <w:sz w:val="18"/>
          <w:szCs w:val="18"/>
          <w:bdr w:val="nil"/>
          <w:lang w:val="sl-SI"/>
        </w:rPr>
        <w:t xml:space="preserve">razvoju </w:t>
      </w:r>
      <w:r w:rsidRPr="00FC4A70">
        <w:rPr>
          <w:rFonts w:eastAsia="Calibri" w:cs="Calibri"/>
          <w:sz w:val="18"/>
          <w:szCs w:val="18"/>
          <w:bdr w:val="nil"/>
          <w:lang w:val="sl-SI"/>
        </w:rPr>
        <w:t>učnih načrtov</w:t>
      </w:r>
      <w:r>
        <w:rPr>
          <w:rFonts w:eastAsia="Calibri" w:cs="Calibri"/>
          <w:sz w:val="18"/>
          <w:szCs w:val="18"/>
          <w:bdr w:val="nil"/>
          <w:lang w:val="sl-SI"/>
        </w:rPr>
        <w:t>, usmerjenih v</w:t>
      </w:r>
      <w:r w:rsidRPr="00FC4A70">
        <w:rPr>
          <w:rFonts w:eastAsia="Calibri" w:cs="Calibri"/>
          <w:sz w:val="18"/>
          <w:szCs w:val="18"/>
          <w:bdr w:val="nil"/>
          <w:lang w:val="sl-SI"/>
        </w:rPr>
        <w:t xml:space="preserve"> učne izide, ki </w:t>
      </w:r>
      <w:r>
        <w:rPr>
          <w:rFonts w:eastAsia="Calibri" w:cs="Calibri"/>
          <w:sz w:val="18"/>
          <w:szCs w:val="18"/>
          <w:bdr w:val="nil"/>
          <w:lang w:val="sl-SI"/>
        </w:rPr>
        <w:t xml:space="preserve">bolje </w:t>
      </w:r>
      <w:r w:rsidRPr="00FC4A70">
        <w:rPr>
          <w:rFonts w:eastAsia="Calibri" w:cs="Calibri"/>
          <w:sz w:val="18"/>
          <w:szCs w:val="18"/>
          <w:bdr w:val="nil"/>
          <w:lang w:val="sl-SI"/>
        </w:rPr>
        <w:t>izpolnjujejo izobraževalne potrebe študentov, hkrati pa so tudi relevantni za trg dela in</w:t>
      </w:r>
      <w:r>
        <w:rPr>
          <w:rFonts w:eastAsia="Calibri" w:cs="Calibri"/>
          <w:sz w:val="18"/>
          <w:szCs w:val="18"/>
          <w:bdr w:val="nil"/>
          <w:lang w:val="sl-SI"/>
        </w:rPr>
        <w:t xml:space="preserve"> širšo družbo; </w:t>
      </w:r>
      <w:r w:rsidRPr="00FC4A70">
        <w:rPr>
          <w:rFonts w:eastAsia="Calibri" w:cs="Calibri"/>
          <w:sz w:val="18"/>
          <w:szCs w:val="18"/>
          <w:bdr w:val="nil"/>
          <w:lang w:val="sl-SI"/>
        </w:rPr>
        <w:t>b)</w:t>
      </w:r>
      <w:r>
        <w:rPr>
          <w:rFonts w:eastAsia="Calibri" w:cs="Calibri"/>
          <w:sz w:val="18"/>
          <w:szCs w:val="18"/>
          <w:bdr w:val="nil"/>
          <w:lang w:val="sl-SI"/>
        </w:rPr>
        <w:t xml:space="preserve"> uvajanjem naddisciplinarnih pristopov in inovativne pedagogike, na primer na študente osredotočenega učenja, obrnjenega učenja in učenja, ki temelji na raziskovanju, kar </w:t>
      </w:r>
      <w:r w:rsidRPr="00FC4A70">
        <w:rPr>
          <w:rFonts w:eastAsia="Calibri" w:cs="Calibri"/>
          <w:sz w:val="18"/>
          <w:szCs w:val="18"/>
          <w:bdr w:val="nil"/>
          <w:lang w:val="sl-SI"/>
        </w:rPr>
        <w:t xml:space="preserve">podpira pridobivanje prenosljivih, </w:t>
      </w:r>
      <w:r>
        <w:rPr>
          <w:rFonts w:eastAsia="Calibri" w:cs="Calibri"/>
          <w:sz w:val="18"/>
          <w:szCs w:val="18"/>
          <w:bdr w:val="nil"/>
          <w:lang w:val="sl-SI"/>
        </w:rPr>
        <w:t>v prihodnost usmerjenih spretnosti; c) razvijanjem, testiranjem in uvajanjem prilagodljivih in modularnih tečajev (polovični čas, spletni ali kombinirani) ter primernih oblik ocenjevanja; d) povečanjem privlačnosti in reformiranjem učnih načrtov za STEM s pristopom STEAM, ki vključuje uporabo v resničnem svetu, učenje na osnovi poizvedovanja in obogateno z IKT, prakse sodelovanja, vključno s poslovnim sodelovanjem univerz</w:t>
      </w:r>
      <w:r w:rsidRPr="00FC4A70">
        <w:rPr>
          <w:rFonts w:eastAsia="Calibri" w:cs="Calibri"/>
          <w:sz w:val="18"/>
          <w:szCs w:val="18"/>
          <w:bdr w:val="nil"/>
          <w:lang w:val="sl-SI"/>
        </w:rPr>
        <w:t xml:space="preserve">; </w:t>
      </w:r>
    </w:p>
    <w:p w14:paraId="7D399091" w14:textId="77777777" w:rsidR="00E03711" w:rsidRPr="00FC4A70" w:rsidRDefault="00E03711" w:rsidP="002D7FF4">
      <w:pPr>
        <w:widowControl/>
        <w:numPr>
          <w:ilvl w:val="1"/>
          <w:numId w:val="83"/>
        </w:numPr>
        <w:suppressAutoHyphens w:val="0"/>
        <w:autoSpaceDN/>
        <w:spacing w:before="120" w:after="120"/>
        <w:ind w:left="1276" w:hanging="567"/>
        <w:jc w:val="both"/>
        <w:textAlignment w:val="auto"/>
        <w:rPr>
          <w:lang w:val="sl-SI"/>
        </w:rPr>
      </w:pPr>
      <w:r>
        <w:rPr>
          <w:rFonts w:eastAsia="Calibri" w:cs="Calibri"/>
          <w:b/>
          <w:bCs/>
          <w:sz w:val="18"/>
          <w:szCs w:val="18"/>
          <w:bdr w:val="nil"/>
          <w:lang w:val="sl-SI"/>
        </w:rPr>
        <w:t>N</w:t>
      </w:r>
      <w:r w:rsidRPr="00FC4A70">
        <w:rPr>
          <w:rFonts w:eastAsia="Calibri" w:cs="Calibri"/>
          <w:b/>
          <w:bCs/>
          <w:sz w:val="18"/>
          <w:szCs w:val="18"/>
          <w:bdr w:val="nil"/>
          <w:lang w:val="sl-SI"/>
        </w:rPr>
        <w:t xml:space="preserve">agrajevanje odličnosti pri </w:t>
      </w:r>
      <w:r>
        <w:rPr>
          <w:rFonts w:eastAsia="Calibri" w:cs="Calibri"/>
          <w:b/>
          <w:bCs/>
          <w:sz w:val="18"/>
          <w:szCs w:val="18"/>
          <w:bdr w:val="nil"/>
          <w:lang w:val="sl-SI"/>
        </w:rPr>
        <w:t xml:space="preserve">učenju, </w:t>
      </w:r>
      <w:r w:rsidRPr="00FC4A70">
        <w:rPr>
          <w:rFonts w:eastAsia="Calibri" w:cs="Calibri"/>
          <w:b/>
          <w:bCs/>
          <w:sz w:val="18"/>
          <w:szCs w:val="18"/>
          <w:bdr w:val="nil"/>
          <w:lang w:val="sl-SI"/>
        </w:rPr>
        <w:t>poučevanju in razvoju spretnosti</w:t>
      </w:r>
      <w:r w:rsidRPr="00FC4A70">
        <w:rPr>
          <w:rFonts w:eastAsia="Calibri" w:cs="Calibri"/>
          <w:sz w:val="18"/>
          <w:szCs w:val="18"/>
          <w:bdr w:val="nil"/>
          <w:lang w:val="sl-SI"/>
        </w:rPr>
        <w:t xml:space="preserve">, </w:t>
      </w:r>
      <w:r>
        <w:rPr>
          <w:rFonts w:eastAsia="Calibri" w:cs="Calibri"/>
          <w:sz w:val="18"/>
          <w:szCs w:val="18"/>
          <w:bdr w:val="nil"/>
          <w:lang w:val="sl-SI"/>
        </w:rPr>
        <w:t xml:space="preserve">in sicer </w:t>
      </w:r>
      <w:r w:rsidRPr="00FC4A70">
        <w:rPr>
          <w:rFonts w:eastAsia="Calibri" w:cs="Calibri"/>
          <w:sz w:val="18"/>
          <w:szCs w:val="18"/>
          <w:bdr w:val="nil"/>
          <w:lang w:val="sl-SI"/>
        </w:rPr>
        <w:t xml:space="preserve">z: a) </w:t>
      </w:r>
      <w:r>
        <w:rPr>
          <w:rFonts w:eastAsia="Calibri" w:cs="Calibri"/>
          <w:sz w:val="18"/>
          <w:szCs w:val="18"/>
          <w:bdr w:val="nil"/>
          <w:lang w:val="sl-SI"/>
        </w:rPr>
        <w:t>razvijanjem in uvajanjem strategij in kulture kakovosti, ki nagrajuje in daje pobudo za odličnost pri poučevanju</w:t>
      </w:r>
      <w:r w:rsidRPr="00FC4A70">
        <w:rPr>
          <w:rFonts w:eastAsia="Calibri" w:cs="Calibri"/>
          <w:sz w:val="18"/>
          <w:szCs w:val="18"/>
          <w:bdr w:val="nil"/>
          <w:lang w:val="sl-SI"/>
        </w:rPr>
        <w:t>; b) usposabljanj</w:t>
      </w:r>
      <w:r>
        <w:rPr>
          <w:rFonts w:eastAsia="Calibri" w:cs="Calibri"/>
          <w:sz w:val="18"/>
          <w:szCs w:val="18"/>
          <w:bdr w:val="nil"/>
          <w:lang w:val="sl-SI"/>
        </w:rPr>
        <w:t>em</w:t>
      </w:r>
      <w:r w:rsidRPr="00FC4A70">
        <w:rPr>
          <w:rFonts w:eastAsia="Calibri" w:cs="Calibri"/>
          <w:sz w:val="18"/>
          <w:szCs w:val="18"/>
          <w:bdr w:val="nil"/>
          <w:lang w:val="sl-SI"/>
        </w:rPr>
        <w:t xml:space="preserve"> akademikov na področju novih in inovativnih pedagoških pristopov, vključno </w:t>
      </w:r>
      <w:r>
        <w:rPr>
          <w:rFonts w:eastAsia="Calibri" w:cs="Calibri"/>
          <w:sz w:val="18"/>
          <w:szCs w:val="18"/>
          <w:bdr w:val="nil"/>
          <w:lang w:val="sl-SI"/>
        </w:rPr>
        <w:t>s nad</w:t>
      </w:r>
      <w:r w:rsidRPr="00FC4A70">
        <w:rPr>
          <w:rFonts w:eastAsia="Calibri" w:cs="Calibri"/>
          <w:sz w:val="18"/>
          <w:szCs w:val="18"/>
          <w:bdr w:val="nil"/>
          <w:lang w:val="sl-SI"/>
        </w:rPr>
        <w:t>disciplinarnimi pristopi, novimi učnimi načrti ter načini podajanja in ovrednotenja</w:t>
      </w:r>
      <w:r>
        <w:rPr>
          <w:rFonts w:eastAsia="Calibri" w:cs="Calibri"/>
          <w:sz w:val="18"/>
          <w:szCs w:val="18"/>
          <w:bdr w:val="nil"/>
          <w:lang w:val="sl-SI"/>
        </w:rPr>
        <w:t xml:space="preserve">, c) </w:t>
      </w:r>
      <w:r w:rsidRPr="00FC4A70">
        <w:rPr>
          <w:rFonts w:eastAsia="Calibri" w:cs="Calibri"/>
          <w:sz w:val="18"/>
          <w:szCs w:val="18"/>
          <w:bdr w:val="nil"/>
          <w:lang w:val="sl-SI"/>
        </w:rPr>
        <w:t>povezovanje</w:t>
      </w:r>
      <w:r>
        <w:rPr>
          <w:rFonts w:eastAsia="Calibri" w:cs="Calibri"/>
          <w:sz w:val="18"/>
          <w:szCs w:val="18"/>
          <w:bdr w:val="nil"/>
          <w:lang w:val="sl-SI"/>
        </w:rPr>
        <w:t>m</w:t>
      </w:r>
      <w:r w:rsidRPr="00FC4A70">
        <w:rPr>
          <w:rFonts w:eastAsia="Calibri" w:cs="Calibri"/>
          <w:sz w:val="18"/>
          <w:szCs w:val="18"/>
          <w:bdr w:val="nil"/>
          <w:lang w:val="sl-SI"/>
        </w:rPr>
        <w:t xml:space="preserve"> izobraževanja z raziskovanjem in inovacijami</w:t>
      </w:r>
      <w:r>
        <w:rPr>
          <w:rFonts w:eastAsia="Calibri" w:cs="Calibri"/>
          <w:sz w:val="18"/>
          <w:szCs w:val="18"/>
          <w:bdr w:val="nil"/>
          <w:lang w:val="sl-SI"/>
        </w:rPr>
        <w:t>, kjer je to relevantno; d</w:t>
      </w:r>
      <w:r w:rsidRPr="00A243DD">
        <w:rPr>
          <w:rFonts w:eastAsia="Calibri" w:cs="Calibri"/>
          <w:sz w:val="18"/>
          <w:szCs w:val="18"/>
          <w:bdr w:val="nil"/>
          <w:lang w:val="sl-SI"/>
        </w:rPr>
        <w:t>)</w:t>
      </w:r>
      <w:r w:rsidRPr="00FC4A70">
        <w:rPr>
          <w:rFonts w:eastAsia="Calibri" w:cs="Calibri"/>
          <w:sz w:val="18"/>
          <w:szCs w:val="18"/>
          <w:bdr w:val="nil"/>
          <w:lang w:val="sl-SI"/>
        </w:rPr>
        <w:t xml:space="preserve"> spodbujanje</w:t>
      </w:r>
      <w:r>
        <w:rPr>
          <w:rFonts w:eastAsia="Calibri" w:cs="Calibri"/>
          <w:sz w:val="18"/>
          <w:szCs w:val="18"/>
          <w:bdr w:val="nil"/>
          <w:lang w:val="sl-SI"/>
        </w:rPr>
        <w:t>m</w:t>
      </w:r>
      <w:r w:rsidRPr="00FC4A70">
        <w:rPr>
          <w:rFonts w:eastAsia="Calibri" w:cs="Calibri"/>
          <w:sz w:val="18"/>
          <w:szCs w:val="18"/>
          <w:bdr w:val="nil"/>
          <w:lang w:val="sl-SI"/>
        </w:rPr>
        <w:t xml:space="preserve"> podjetniškega, odprtega in inovativnega visokošolskega sektorja in </w:t>
      </w:r>
      <w:r>
        <w:rPr>
          <w:rFonts w:eastAsia="Calibri" w:cs="Calibri"/>
          <w:sz w:val="18"/>
          <w:szCs w:val="18"/>
          <w:bdr w:val="nil"/>
          <w:lang w:val="sl-SI"/>
        </w:rPr>
        <w:t>podpiranjem</w:t>
      </w:r>
      <w:r w:rsidRPr="00FC4A70">
        <w:rPr>
          <w:rFonts w:eastAsia="Calibri" w:cs="Calibri"/>
          <w:sz w:val="18"/>
          <w:szCs w:val="18"/>
          <w:bdr w:val="nil"/>
          <w:lang w:val="sl-SI"/>
        </w:rPr>
        <w:t xml:space="preserve"> partnerstva na področju izobraževanja in poučevanja s komercialnimi in nekomercialnimi </w:t>
      </w:r>
      <w:r>
        <w:rPr>
          <w:rFonts w:eastAsia="Calibri" w:cs="Calibri"/>
          <w:sz w:val="18"/>
          <w:szCs w:val="18"/>
          <w:bdr w:val="nil"/>
          <w:lang w:val="sl-SI"/>
        </w:rPr>
        <w:t xml:space="preserve">organizacijami </w:t>
      </w:r>
      <w:r w:rsidRPr="00FC4A70">
        <w:rPr>
          <w:rFonts w:eastAsia="Calibri" w:cs="Calibri"/>
          <w:sz w:val="18"/>
          <w:szCs w:val="18"/>
          <w:bdr w:val="nil"/>
          <w:lang w:val="sl-SI"/>
        </w:rPr>
        <w:t>v zasebnem sektorju;</w:t>
      </w:r>
      <w:r>
        <w:rPr>
          <w:rFonts w:eastAsia="Calibri" w:cs="Calibri"/>
          <w:sz w:val="18"/>
          <w:szCs w:val="18"/>
          <w:bdr w:val="nil"/>
          <w:lang w:val="sl-SI"/>
        </w:rPr>
        <w:t xml:space="preserve"> </w:t>
      </w:r>
      <w:r w:rsidRPr="00A243DD">
        <w:rPr>
          <w:rFonts w:eastAsia="Calibri" w:cs="Calibri"/>
          <w:sz w:val="18"/>
          <w:szCs w:val="18"/>
          <w:bdr w:val="nil"/>
          <w:lang w:val="sl-SI"/>
        </w:rPr>
        <w:t>e)</w:t>
      </w:r>
      <w:r>
        <w:rPr>
          <w:rFonts w:eastAsia="Calibri" w:cs="Calibri"/>
          <w:sz w:val="18"/>
          <w:szCs w:val="18"/>
          <w:bdr w:val="nil"/>
          <w:lang w:val="sl-SI"/>
        </w:rPr>
        <w:t xml:space="preserve"> razvijanjem novih praks na osnovi izobraževalnih raziskav in kreativnosti;</w:t>
      </w:r>
    </w:p>
    <w:p w14:paraId="7D399092" w14:textId="77777777" w:rsidR="00E03711" w:rsidRPr="00860232" w:rsidRDefault="00E03711" w:rsidP="002D7FF4">
      <w:pPr>
        <w:pStyle w:val="ListParagraph"/>
        <w:widowControl/>
        <w:numPr>
          <w:ilvl w:val="0"/>
          <w:numId w:val="85"/>
        </w:numPr>
        <w:suppressAutoHyphens w:val="0"/>
        <w:autoSpaceDN/>
        <w:spacing w:before="120" w:after="120"/>
        <w:ind w:left="1276" w:hanging="567"/>
        <w:jc w:val="both"/>
        <w:textAlignment w:val="auto"/>
        <w:rPr>
          <w:lang w:val="sl-SI"/>
        </w:rPr>
      </w:pPr>
      <w:r w:rsidRPr="00FC4A70">
        <w:rPr>
          <w:rFonts w:eastAsia="Calibri" w:cs="Calibri"/>
          <w:b/>
          <w:bCs/>
          <w:sz w:val="18"/>
          <w:szCs w:val="18"/>
          <w:bdr w:val="nil"/>
          <w:lang w:val="sl-SI"/>
        </w:rPr>
        <w:t>Oblikovanje vključujočih sistemov visokošolskega izobraževanja</w:t>
      </w:r>
      <w:r>
        <w:rPr>
          <w:rFonts w:eastAsia="Calibri" w:cs="Calibri"/>
          <w:b/>
          <w:bCs/>
          <w:sz w:val="18"/>
          <w:szCs w:val="18"/>
          <w:bdr w:val="nil"/>
          <w:lang w:val="sl-SI"/>
        </w:rPr>
        <w:t>:</w:t>
      </w:r>
      <w:r>
        <w:rPr>
          <w:rFonts w:eastAsia="Calibri" w:cs="Calibri"/>
          <w:sz w:val="18"/>
          <w:szCs w:val="18"/>
          <w:bdr w:val="nil"/>
          <w:lang w:val="sl-SI"/>
        </w:rPr>
        <w:t xml:space="preserve"> program bo gojil vključujoče pristope aktivnosti za mobilnost in sodelovanje, na primer: a) izboljšan </w:t>
      </w:r>
      <w:r w:rsidRPr="00FC4A70">
        <w:rPr>
          <w:rFonts w:eastAsia="Calibri" w:cs="Calibri"/>
          <w:sz w:val="18"/>
          <w:szCs w:val="18"/>
          <w:bdr w:val="nil"/>
          <w:lang w:val="sl-SI"/>
        </w:rPr>
        <w:t>dostop</w:t>
      </w:r>
      <w:r>
        <w:rPr>
          <w:rFonts w:eastAsia="Calibri" w:cs="Calibri"/>
          <w:sz w:val="18"/>
          <w:szCs w:val="18"/>
          <w:bdr w:val="nil"/>
          <w:lang w:val="sl-SI"/>
        </w:rPr>
        <w:t>,</w:t>
      </w:r>
      <w:r w:rsidRPr="00FC4A70">
        <w:rPr>
          <w:rFonts w:eastAsia="Calibri" w:cs="Calibri"/>
          <w:sz w:val="18"/>
          <w:szCs w:val="18"/>
          <w:bdr w:val="nil"/>
          <w:lang w:val="sl-SI"/>
        </w:rPr>
        <w:t xml:space="preserve"> sodelovanj</w:t>
      </w:r>
      <w:r>
        <w:rPr>
          <w:rFonts w:eastAsia="Calibri" w:cs="Calibri"/>
          <w:sz w:val="18"/>
          <w:szCs w:val="18"/>
          <w:bdr w:val="nil"/>
          <w:lang w:val="sl-SI"/>
        </w:rPr>
        <w:t>e</w:t>
      </w:r>
      <w:r w:rsidRPr="00FC4A70">
        <w:rPr>
          <w:rFonts w:eastAsia="Calibri" w:cs="Calibri"/>
          <w:sz w:val="18"/>
          <w:szCs w:val="18"/>
          <w:bdr w:val="nil"/>
          <w:lang w:val="sl-SI"/>
        </w:rPr>
        <w:t xml:space="preserve"> in izpolnjevanj</w:t>
      </w:r>
      <w:r>
        <w:rPr>
          <w:rFonts w:eastAsia="Calibri" w:cs="Calibri"/>
          <w:sz w:val="18"/>
          <w:szCs w:val="18"/>
          <w:bdr w:val="nil"/>
          <w:lang w:val="sl-SI"/>
        </w:rPr>
        <w:t>e</w:t>
      </w:r>
      <w:r w:rsidRPr="00FC4A70">
        <w:rPr>
          <w:rFonts w:eastAsia="Calibri" w:cs="Calibri"/>
          <w:sz w:val="18"/>
          <w:szCs w:val="18"/>
          <w:bdr w:val="nil"/>
          <w:lang w:val="sl-SI"/>
        </w:rPr>
        <w:t xml:space="preserve"> kvot za manj zastopane in depriviligirane skupine; </w:t>
      </w:r>
      <w:r>
        <w:rPr>
          <w:rFonts w:eastAsia="Calibri" w:cs="Calibri"/>
          <w:sz w:val="18"/>
          <w:szCs w:val="18"/>
          <w:bdr w:val="nil"/>
          <w:lang w:val="sl-SI"/>
        </w:rPr>
        <w:t xml:space="preserve">b) </w:t>
      </w:r>
      <w:r w:rsidRPr="00FC4A70">
        <w:rPr>
          <w:rFonts w:eastAsia="Calibri" w:cs="Calibri"/>
          <w:sz w:val="18"/>
          <w:szCs w:val="18"/>
          <w:bdr w:val="nil"/>
          <w:lang w:val="sl-SI"/>
        </w:rPr>
        <w:t>razvoj</w:t>
      </w:r>
      <w:r>
        <w:rPr>
          <w:rFonts w:eastAsia="Calibri" w:cs="Calibri"/>
          <w:sz w:val="18"/>
          <w:szCs w:val="18"/>
          <w:bdr w:val="nil"/>
          <w:lang w:val="sl-SI"/>
        </w:rPr>
        <w:t xml:space="preserve"> </w:t>
      </w:r>
      <w:r w:rsidRPr="00FC4A70">
        <w:rPr>
          <w:rFonts w:eastAsia="Calibri" w:cs="Calibri"/>
          <w:sz w:val="18"/>
          <w:szCs w:val="18"/>
          <w:bdr w:val="nil"/>
          <w:lang w:val="sl-SI"/>
        </w:rPr>
        <w:t xml:space="preserve">in uveljavljanje fleksibilnih </w:t>
      </w:r>
      <w:r>
        <w:rPr>
          <w:rFonts w:eastAsia="Calibri" w:cs="Calibri"/>
          <w:sz w:val="18"/>
          <w:szCs w:val="18"/>
          <w:bdr w:val="nil"/>
          <w:lang w:val="sl-SI"/>
        </w:rPr>
        <w:t xml:space="preserve">formatov mobilnosti </w:t>
      </w:r>
      <w:r w:rsidRPr="00FC4A70">
        <w:rPr>
          <w:rFonts w:eastAsia="Calibri" w:cs="Calibri"/>
          <w:sz w:val="18"/>
          <w:szCs w:val="18"/>
          <w:bdr w:val="nil"/>
          <w:lang w:val="sl-SI"/>
        </w:rPr>
        <w:t>(</w:t>
      </w:r>
      <w:r>
        <w:rPr>
          <w:rFonts w:eastAsia="Calibri" w:cs="Calibri"/>
          <w:sz w:val="18"/>
          <w:szCs w:val="18"/>
          <w:bdr w:val="nil"/>
          <w:lang w:val="sl-SI"/>
        </w:rPr>
        <w:t xml:space="preserve">kratko, virtualno in </w:t>
      </w:r>
      <w:r w:rsidRPr="00FC4A70">
        <w:rPr>
          <w:rFonts w:eastAsia="Calibri" w:cs="Calibri"/>
          <w:sz w:val="18"/>
          <w:szCs w:val="18"/>
          <w:bdr w:val="nil"/>
          <w:lang w:val="sl-SI"/>
        </w:rPr>
        <w:t xml:space="preserve">kombinirano učenje); </w:t>
      </w:r>
      <w:r>
        <w:rPr>
          <w:rFonts w:eastAsia="Calibri" w:cs="Calibri"/>
          <w:sz w:val="18"/>
          <w:szCs w:val="18"/>
          <w:bdr w:val="nil"/>
          <w:lang w:val="sl-SI"/>
        </w:rPr>
        <w:t xml:space="preserve">c) aktivna podpora prihajajočim mobilnim udeležencem skozi ves proces iskanja namestitve, kar vkjučuje sodelovanje z relevantnimi deležniki za nudenje ustreznih in ugodnih prenočišč. Posebna pozornost se posveča doseganju ustrezne uravnoteženosti spolov; </w:t>
      </w:r>
    </w:p>
    <w:p w14:paraId="7D399093" w14:textId="77777777" w:rsidR="00E03711" w:rsidRPr="00A243DD" w:rsidRDefault="00E03711" w:rsidP="002D7FF4">
      <w:pPr>
        <w:pStyle w:val="ListParagraph"/>
        <w:widowControl/>
        <w:numPr>
          <w:ilvl w:val="0"/>
          <w:numId w:val="85"/>
        </w:numPr>
        <w:suppressAutoHyphens w:val="0"/>
        <w:autoSpaceDN/>
        <w:spacing w:before="120" w:after="120"/>
        <w:ind w:left="1276" w:hanging="567"/>
        <w:jc w:val="both"/>
        <w:textAlignment w:val="auto"/>
        <w:rPr>
          <w:lang w:val="sl-SI"/>
        </w:rPr>
      </w:pPr>
      <w:r w:rsidRPr="00860232">
        <w:rPr>
          <w:rFonts w:eastAsia="Calibri" w:cs="Calibri"/>
          <w:b/>
          <w:bCs/>
          <w:sz w:val="18"/>
          <w:szCs w:val="18"/>
          <w:bdr w:val="nil"/>
          <w:lang w:val="sl-SI"/>
        </w:rPr>
        <w:t>Spodbujanje državljanske odgovornosti</w:t>
      </w:r>
      <w:r>
        <w:rPr>
          <w:rFonts w:eastAsia="Calibri" w:cs="Calibri"/>
          <w:sz w:val="18"/>
          <w:szCs w:val="18"/>
          <w:bdr w:val="nil"/>
          <w:lang w:val="sl-SI"/>
        </w:rPr>
        <w:t>:</w:t>
      </w:r>
      <w:r w:rsidRPr="00FC4A70">
        <w:rPr>
          <w:rFonts w:eastAsia="Calibri" w:cs="Calibri"/>
          <w:sz w:val="18"/>
          <w:szCs w:val="18"/>
          <w:bdr w:val="nil"/>
          <w:lang w:val="sl-SI"/>
        </w:rPr>
        <w:t xml:space="preserve"> </w:t>
      </w:r>
      <w:r>
        <w:rPr>
          <w:rFonts w:eastAsia="Calibri" w:cs="Calibri"/>
          <w:sz w:val="18"/>
          <w:szCs w:val="18"/>
          <w:bdr w:val="nil"/>
          <w:lang w:val="sl-SI"/>
        </w:rPr>
        <w:t xml:space="preserve">podpiranje državljanske in družbene odgovornosti </w:t>
      </w:r>
      <w:r w:rsidRPr="00FC4A70">
        <w:rPr>
          <w:rFonts w:eastAsia="Calibri" w:cs="Calibri"/>
          <w:sz w:val="18"/>
          <w:szCs w:val="18"/>
          <w:bdr w:val="nil"/>
          <w:lang w:val="sl-SI"/>
        </w:rPr>
        <w:t>študentov, raziskovalcev in univerz</w:t>
      </w:r>
      <w:r>
        <w:rPr>
          <w:rFonts w:eastAsia="Calibri" w:cs="Calibri"/>
          <w:sz w:val="18"/>
          <w:szCs w:val="18"/>
          <w:bdr w:val="nil"/>
          <w:lang w:val="sl-SI"/>
        </w:rPr>
        <w:t>, kar vključuje dejavnosti zunaj</w:t>
      </w:r>
      <w:r w:rsidRPr="00FC4A70">
        <w:rPr>
          <w:rFonts w:eastAsia="Calibri" w:cs="Calibri"/>
          <w:sz w:val="18"/>
          <w:szCs w:val="18"/>
          <w:bdr w:val="nil"/>
          <w:lang w:val="sl-SI"/>
        </w:rPr>
        <w:t xml:space="preserve"> </w:t>
      </w:r>
      <w:r>
        <w:rPr>
          <w:rFonts w:eastAsia="Calibri" w:cs="Calibri"/>
          <w:sz w:val="18"/>
          <w:szCs w:val="18"/>
          <w:bdr w:val="nil"/>
          <w:lang w:val="sl-SI"/>
        </w:rPr>
        <w:t xml:space="preserve">šolskega programa </w:t>
      </w:r>
      <w:r w:rsidRPr="00FC4A70">
        <w:rPr>
          <w:rFonts w:eastAsia="Calibri" w:cs="Calibri"/>
          <w:sz w:val="18"/>
          <w:szCs w:val="18"/>
          <w:bdr w:val="nil"/>
          <w:lang w:val="sl-SI"/>
        </w:rPr>
        <w:t>in priznavanje prostovoljskega dela in dela v korist skupnosti pri študijskih rezultatih</w:t>
      </w:r>
      <w:r>
        <w:rPr>
          <w:rFonts w:eastAsia="Calibri" w:cs="Calibri"/>
          <w:sz w:val="18"/>
          <w:szCs w:val="18"/>
          <w:bdr w:val="nil"/>
          <w:lang w:val="sl-SI"/>
        </w:rPr>
        <w:t>, kjer je to smiselno</w:t>
      </w:r>
      <w:r w:rsidRPr="00FC4A70">
        <w:rPr>
          <w:rFonts w:eastAsia="Calibri" w:cs="Calibri"/>
          <w:sz w:val="18"/>
          <w:szCs w:val="18"/>
          <w:bdr w:val="nil"/>
          <w:lang w:val="sl-SI"/>
        </w:rPr>
        <w:t>;</w:t>
      </w:r>
    </w:p>
    <w:p w14:paraId="7D399094" w14:textId="77777777" w:rsidR="00E03711" w:rsidRPr="004E4C36" w:rsidRDefault="00E03711" w:rsidP="002D7FF4">
      <w:pPr>
        <w:widowControl/>
        <w:numPr>
          <w:ilvl w:val="0"/>
          <w:numId w:val="84"/>
        </w:numPr>
        <w:suppressAutoHyphens w:val="0"/>
        <w:autoSpaceDN/>
        <w:spacing w:before="120" w:after="120"/>
        <w:ind w:left="1276" w:hanging="567"/>
        <w:contextualSpacing/>
        <w:jc w:val="both"/>
        <w:textAlignment w:val="auto"/>
        <w:rPr>
          <w:rFonts w:eastAsia="Calibri"/>
          <w:sz w:val="18"/>
          <w:szCs w:val="18"/>
          <w:lang w:val="sl-SI"/>
        </w:rPr>
      </w:pPr>
      <w:r w:rsidRPr="00FC4A70">
        <w:rPr>
          <w:rFonts w:eastAsia="Calibri" w:cs="Calibri"/>
          <w:b/>
          <w:bCs/>
          <w:sz w:val="18"/>
          <w:szCs w:val="18"/>
          <w:bdr w:val="nil"/>
          <w:lang w:val="sl-SI"/>
        </w:rPr>
        <w:t>Podpora</w:t>
      </w:r>
      <w:r>
        <w:rPr>
          <w:rFonts w:eastAsia="Calibri" w:cs="Calibri"/>
          <w:b/>
          <w:bCs/>
          <w:sz w:val="18"/>
          <w:szCs w:val="18"/>
          <w:bdr w:val="nil"/>
          <w:lang w:val="sl-SI"/>
        </w:rPr>
        <w:t xml:space="preserve"> pobudi za</w:t>
      </w:r>
      <w:r w:rsidRPr="00FC4A70">
        <w:rPr>
          <w:rFonts w:eastAsia="Calibri" w:cs="Calibri"/>
          <w:b/>
          <w:bCs/>
          <w:sz w:val="18"/>
          <w:szCs w:val="18"/>
          <w:bdr w:val="nil"/>
          <w:lang w:val="sl-SI"/>
        </w:rPr>
        <w:t xml:space="preserve"> uvedb</w:t>
      </w:r>
      <w:r>
        <w:rPr>
          <w:rFonts w:eastAsia="Calibri" w:cs="Calibri"/>
          <w:b/>
          <w:bCs/>
          <w:sz w:val="18"/>
          <w:szCs w:val="18"/>
          <w:bdr w:val="nil"/>
          <w:lang w:val="sl-SI"/>
        </w:rPr>
        <w:t>o</w:t>
      </w:r>
      <w:r w:rsidRPr="00FC4A70">
        <w:rPr>
          <w:rFonts w:eastAsia="Calibri" w:cs="Calibri"/>
          <w:b/>
          <w:bCs/>
          <w:sz w:val="18"/>
          <w:szCs w:val="18"/>
          <w:bdr w:val="nil"/>
          <w:lang w:val="sl-SI"/>
        </w:rPr>
        <w:t xml:space="preserve"> študentske izkaznice EU</w:t>
      </w:r>
      <w:r w:rsidRPr="00FC4A70">
        <w:rPr>
          <w:rFonts w:eastAsia="Calibri" w:cs="Calibri"/>
          <w:sz w:val="18"/>
          <w:szCs w:val="18"/>
          <w:bdr w:val="nil"/>
          <w:lang w:val="sl-SI"/>
        </w:rPr>
        <w:t xml:space="preserve"> </w:t>
      </w:r>
      <w:r>
        <w:rPr>
          <w:rFonts w:eastAsia="Calibri" w:cs="Calibri"/>
          <w:sz w:val="18"/>
          <w:szCs w:val="18"/>
          <w:bdr w:val="nil"/>
          <w:lang w:val="sl-SI"/>
        </w:rPr>
        <w:t>z varnim prenosom podatkov o študentih med visokošolskimi insitucijami, s polnim upoštevanjem varovanja osebnih podatkov in, kjer je mogoče, s povezavo z novim Europassom. Cilj je omogočiti študentom, da prek spleta upravljajo celoten administrativni postopek glede svoje mobilnosti v tujini (od izbora pa vse do priznavanja kreditnih točk ECTS), pri čemer se hkrati poenostavi dostop do cele vrste storitev za študente, vključno s knjižnicami, prehrano in namestitvijo – ko živijo na kampusu v tujini. Glavne komponente pobude za študentsko izkaznico EU se razvijajo v okviru projektov Erasmus+, ki se financirajo v skladu s ključnim ukrepom 2: strateška partnerstva, in ključnim ukrepom 3: v prihodnost usmerjeni projekti;</w:t>
      </w:r>
    </w:p>
    <w:p w14:paraId="7D399095" w14:textId="77777777" w:rsidR="00E03711" w:rsidRPr="00860232" w:rsidRDefault="00E03711" w:rsidP="004E4C36">
      <w:pPr>
        <w:widowControl/>
        <w:suppressAutoHyphens w:val="0"/>
        <w:autoSpaceDN/>
        <w:spacing w:before="120" w:after="120"/>
        <w:ind w:left="1276"/>
        <w:contextualSpacing/>
        <w:jc w:val="both"/>
        <w:textAlignment w:val="auto"/>
        <w:rPr>
          <w:rFonts w:eastAsia="Calibri"/>
          <w:sz w:val="18"/>
          <w:szCs w:val="18"/>
          <w:lang w:val="sl-SI"/>
        </w:rPr>
      </w:pPr>
    </w:p>
    <w:p w14:paraId="7D399096" w14:textId="77777777" w:rsidR="00E03711" w:rsidRPr="004E4C36" w:rsidRDefault="00E03711" w:rsidP="002D7FF4">
      <w:pPr>
        <w:widowControl/>
        <w:numPr>
          <w:ilvl w:val="0"/>
          <w:numId w:val="84"/>
        </w:numPr>
        <w:suppressAutoHyphens w:val="0"/>
        <w:autoSpaceDN/>
        <w:spacing w:before="120" w:after="120"/>
        <w:ind w:left="1276" w:hanging="567"/>
        <w:contextualSpacing/>
        <w:jc w:val="both"/>
        <w:textAlignment w:val="auto"/>
        <w:rPr>
          <w:rFonts w:eastAsia="Calibri"/>
          <w:sz w:val="18"/>
          <w:szCs w:val="18"/>
          <w:lang w:val="sl-SI"/>
        </w:rPr>
      </w:pPr>
      <w:r w:rsidRPr="00860232">
        <w:rPr>
          <w:rFonts w:eastAsia="Calibri" w:cs="Calibri"/>
          <w:bCs/>
          <w:sz w:val="18"/>
          <w:szCs w:val="18"/>
          <w:bdr w:val="nil"/>
          <w:lang w:val="sl-SI"/>
        </w:rPr>
        <w:t xml:space="preserve">Konsolidacija in nadaljnji razvoj </w:t>
      </w:r>
      <w:r w:rsidRPr="00A243DD">
        <w:rPr>
          <w:rFonts w:eastAsia="Calibri" w:cs="Calibri"/>
          <w:b/>
          <w:bCs/>
          <w:sz w:val="18"/>
          <w:szCs w:val="18"/>
          <w:bdr w:val="nil"/>
          <w:lang w:val="sl-SI"/>
        </w:rPr>
        <w:t>podatkovnih orodij in virov</w:t>
      </w:r>
      <w:r w:rsidRPr="000D4EA2">
        <w:rPr>
          <w:rStyle w:val="FootnoteReference"/>
          <w:rFonts w:eastAsia="Calibri" w:cs="Calibri"/>
          <w:b/>
          <w:bCs/>
          <w:sz w:val="18"/>
          <w:szCs w:val="18"/>
          <w:bdr w:val="nil"/>
          <w:lang w:val="sl-SI"/>
        </w:rPr>
        <w:footnoteReference w:id="80"/>
      </w:r>
      <w:r w:rsidRPr="00A243DD">
        <w:rPr>
          <w:rFonts w:eastAsia="Calibri" w:cs="Calibri"/>
          <w:b/>
          <w:bCs/>
          <w:sz w:val="18"/>
          <w:szCs w:val="18"/>
          <w:bdr w:val="nil"/>
          <w:lang w:val="sl-SI"/>
        </w:rPr>
        <w:t xml:space="preserve"> za visoko šolstvo</w:t>
      </w:r>
      <w:r w:rsidRPr="00860232">
        <w:rPr>
          <w:rFonts w:eastAsia="Calibri" w:cs="Calibri"/>
          <w:bCs/>
          <w:sz w:val="18"/>
          <w:szCs w:val="18"/>
          <w:bdr w:val="nil"/>
          <w:lang w:val="sl-SI"/>
        </w:rPr>
        <w:t xml:space="preserve"> za spremljanje napredka glede doseganja ciljev evropskega izobraževalnega območja in prenovljene agende EU za visoko šolstvo</w:t>
      </w:r>
      <w:r>
        <w:rPr>
          <w:rFonts w:eastAsia="Calibri" w:cs="Calibri"/>
          <w:bCs/>
          <w:sz w:val="18"/>
          <w:szCs w:val="18"/>
          <w:bdr w:val="nil"/>
          <w:lang w:val="sl-SI"/>
        </w:rPr>
        <w:t>;</w:t>
      </w:r>
    </w:p>
    <w:p w14:paraId="7D399097" w14:textId="77777777" w:rsidR="00E03711" w:rsidRPr="00860232" w:rsidRDefault="00E03711" w:rsidP="004E4C36">
      <w:pPr>
        <w:widowControl/>
        <w:suppressAutoHyphens w:val="0"/>
        <w:autoSpaceDN/>
        <w:spacing w:before="120" w:after="120"/>
        <w:ind w:left="1276"/>
        <w:contextualSpacing/>
        <w:jc w:val="both"/>
        <w:textAlignment w:val="auto"/>
        <w:rPr>
          <w:rFonts w:eastAsia="Calibri"/>
          <w:sz w:val="18"/>
          <w:szCs w:val="18"/>
          <w:lang w:val="sl-SI"/>
        </w:rPr>
      </w:pPr>
    </w:p>
    <w:p w14:paraId="7D399098" w14:textId="77777777" w:rsidR="00E03711" w:rsidRPr="00FC4A70" w:rsidRDefault="00E03711" w:rsidP="002D7FF4">
      <w:pPr>
        <w:widowControl/>
        <w:numPr>
          <w:ilvl w:val="0"/>
          <w:numId w:val="84"/>
        </w:numPr>
        <w:suppressAutoHyphens w:val="0"/>
        <w:autoSpaceDN/>
        <w:spacing w:before="120" w:after="120"/>
        <w:ind w:left="1276" w:hanging="567"/>
        <w:contextualSpacing/>
        <w:jc w:val="both"/>
        <w:textAlignment w:val="auto"/>
        <w:rPr>
          <w:lang w:val="sl-SI"/>
        </w:rPr>
      </w:pPr>
      <w:r w:rsidRPr="00FC4A70">
        <w:rPr>
          <w:rFonts w:eastAsia="Calibri" w:cs="Calibri"/>
          <w:b/>
          <w:bCs/>
          <w:sz w:val="18"/>
          <w:szCs w:val="18"/>
          <w:bdr w:val="nil"/>
          <w:lang w:val="sl-SI"/>
        </w:rPr>
        <w:t>Spodbujanje učinkovitih</w:t>
      </w:r>
      <w:r>
        <w:rPr>
          <w:rFonts w:eastAsia="Calibri" w:cs="Calibri"/>
          <w:b/>
          <w:bCs/>
          <w:sz w:val="18"/>
          <w:szCs w:val="18"/>
          <w:bdr w:val="nil"/>
          <w:lang w:val="sl-SI"/>
        </w:rPr>
        <w:t>,</w:t>
      </w:r>
      <w:r w:rsidRPr="00FC4A70">
        <w:rPr>
          <w:rFonts w:eastAsia="Calibri" w:cs="Calibri"/>
          <w:b/>
          <w:bCs/>
          <w:sz w:val="18"/>
          <w:szCs w:val="18"/>
          <w:bdr w:val="nil"/>
          <w:lang w:val="sl-SI"/>
        </w:rPr>
        <w:t xml:space="preserve"> uspešnih </w:t>
      </w:r>
      <w:r>
        <w:rPr>
          <w:rFonts w:eastAsia="Calibri" w:cs="Calibri"/>
          <w:b/>
          <w:bCs/>
          <w:sz w:val="18"/>
          <w:szCs w:val="18"/>
          <w:bdr w:val="nil"/>
          <w:lang w:val="sl-SI"/>
        </w:rPr>
        <w:t xml:space="preserve">in trajnostnih </w:t>
      </w:r>
      <w:r w:rsidRPr="00FC4A70">
        <w:rPr>
          <w:rFonts w:eastAsia="Calibri" w:cs="Calibri"/>
          <w:b/>
          <w:bCs/>
          <w:sz w:val="18"/>
          <w:szCs w:val="18"/>
          <w:bdr w:val="nil"/>
          <w:lang w:val="sl-SI"/>
        </w:rPr>
        <w:t>modelov financiranja na ravni sistema in modelov upravljanja</w:t>
      </w:r>
      <w:r w:rsidRPr="00FC4A70">
        <w:rPr>
          <w:rFonts w:eastAsia="Calibri" w:cs="Calibri"/>
          <w:sz w:val="18"/>
          <w:szCs w:val="18"/>
          <w:bdr w:val="nil"/>
          <w:lang w:val="sl-SI"/>
        </w:rPr>
        <w:t xml:space="preserve"> ter nagrajevanje </w:t>
      </w:r>
      <w:r>
        <w:rPr>
          <w:rFonts w:eastAsia="Calibri" w:cs="Calibri"/>
          <w:sz w:val="18"/>
          <w:szCs w:val="18"/>
          <w:bdr w:val="nil"/>
          <w:lang w:val="sl-SI"/>
        </w:rPr>
        <w:t xml:space="preserve">odličnega </w:t>
      </w:r>
      <w:r w:rsidRPr="00FC4A70">
        <w:rPr>
          <w:rFonts w:eastAsia="Calibri" w:cs="Calibri"/>
          <w:sz w:val="18"/>
          <w:szCs w:val="18"/>
          <w:bdr w:val="nil"/>
          <w:lang w:val="sl-SI"/>
        </w:rPr>
        <w:t>poučevanja, inovacij in pomembnosti za skupnost</w:t>
      </w:r>
      <w:r>
        <w:rPr>
          <w:rFonts w:eastAsia="Calibri" w:cs="Calibri"/>
          <w:sz w:val="18"/>
          <w:szCs w:val="18"/>
          <w:bdr w:val="nil"/>
          <w:lang w:val="sl-SI"/>
        </w:rPr>
        <w:t>.</w:t>
      </w:r>
    </w:p>
    <w:p w14:paraId="7D399099" w14:textId="77777777" w:rsidR="00E03711" w:rsidRPr="00FC4A70" w:rsidRDefault="00E03711" w:rsidP="004E4C36">
      <w:pPr>
        <w:widowControl/>
        <w:suppressAutoHyphens w:val="0"/>
        <w:autoSpaceDN/>
        <w:spacing w:before="120" w:after="120"/>
        <w:ind w:left="709"/>
        <w:contextualSpacing/>
        <w:jc w:val="both"/>
        <w:textAlignment w:val="auto"/>
        <w:rPr>
          <w:rFonts w:eastAsia="Calibri"/>
          <w:sz w:val="18"/>
          <w:szCs w:val="18"/>
          <w:lang w:val="sl-SI"/>
        </w:rPr>
      </w:pPr>
    </w:p>
    <w:p w14:paraId="7D39909A" w14:textId="77777777" w:rsidR="00E03711" w:rsidRPr="00FC4A70" w:rsidRDefault="00E03711" w:rsidP="00FC4A70">
      <w:pPr>
        <w:widowControl/>
        <w:suppressAutoHyphens w:val="0"/>
        <w:autoSpaceDN/>
        <w:spacing w:before="120" w:after="120"/>
        <w:ind w:left="709"/>
        <w:contextualSpacing/>
        <w:jc w:val="both"/>
        <w:textAlignment w:val="auto"/>
        <w:rPr>
          <w:rFonts w:eastAsia="Calibri"/>
          <w:sz w:val="18"/>
          <w:szCs w:val="18"/>
          <w:lang w:val="sl-SI"/>
        </w:rPr>
      </w:pPr>
    </w:p>
    <w:p w14:paraId="7D39909B" w14:textId="77777777" w:rsidR="00E03711" w:rsidRPr="00FC4A70" w:rsidRDefault="00E03711" w:rsidP="00215944">
      <w:pPr>
        <w:rPr>
          <w:sz w:val="18"/>
          <w:lang w:val="sl-SI"/>
        </w:rPr>
      </w:pPr>
      <w:r w:rsidRPr="00FC4A70">
        <w:rPr>
          <w:rFonts w:eastAsia="Calibri" w:cs="Calibri"/>
          <w:sz w:val="18"/>
          <w:szCs w:val="18"/>
          <w:bdr w:val="nil"/>
          <w:lang w:val="sl-SI"/>
        </w:rPr>
        <w:t xml:space="preserve">Na področju </w:t>
      </w:r>
      <w:r w:rsidRPr="00FC4A70">
        <w:rPr>
          <w:rFonts w:eastAsia="Calibri" w:cs="Calibri"/>
          <w:b/>
          <w:bCs/>
          <w:sz w:val="18"/>
          <w:szCs w:val="18"/>
          <w:bdr w:val="nil"/>
          <w:lang w:val="sl-SI"/>
        </w:rPr>
        <w:t>šolskega izobraževanja</w:t>
      </w:r>
      <w:r w:rsidRPr="00FC4A70">
        <w:rPr>
          <w:rFonts w:eastAsia="Calibri" w:cs="Calibri"/>
          <w:sz w:val="18"/>
          <w:szCs w:val="18"/>
          <w:bdr w:val="nil"/>
          <w:lang w:val="sl-SI"/>
        </w:rPr>
        <w:t xml:space="preserve"> bodo imeli prednost naslednji ukrepi:</w:t>
      </w:r>
    </w:p>
    <w:p w14:paraId="7D39909C" w14:textId="77777777" w:rsidR="00E03711" w:rsidRPr="00860232" w:rsidRDefault="00E03711" w:rsidP="002D7FF4">
      <w:pPr>
        <w:numPr>
          <w:ilvl w:val="0"/>
          <w:numId w:val="83"/>
        </w:numPr>
        <w:spacing w:before="120" w:after="120"/>
        <w:ind w:left="357" w:hanging="357"/>
        <w:jc w:val="both"/>
        <w:textAlignment w:val="auto"/>
        <w:rPr>
          <w:sz w:val="18"/>
          <w:lang w:val="sl-SI"/>
        </w:rPr>
      </w:pPr>
      <w:r w:rsidRPr="00860232">
        <w:rPr>
          <w:b/>
          <w:bCs/>
          <w:sz w:val="18"/>
          <w:lang w:val="sl-SI"/>
        </w:rPr>
        <w:t>Krepitev razvoja ključnih kompetenc (skladno s priporočilom Sveta o ključnih kompetencah za vseživljenjsko učenje)</w:t>
      </w:r>
      <w:r>
        <w:rPr>
          <w:sz w:val="18"/>
          <w:lang w:val="sl-SI"/>
        </w:rPr>
        <w:t>, na primer s spodbujanjem medsebojnega sodelovanja med različnimi učnimi načrti, spodbujanjem kreativnosti in inovativnih pristopov k učenju, inovativnih učnih okolij, sodelovanja z deležniki v lokalnih skupnostih in v tujini, podpiranjem učiteljev pri poučevanju na osnovi kompetenc in  razvijanju ocenjevanja in preverjanja ključnih kompetenc.</w:t>
      </w:r>
    </w:p>
    <w:p w14:paraId="7D39909D" w14:textId="77777777" w:rsidR="00E03711" w:rsidRPr="00FC4A70" w:rsidRDefault="00E03711" w:rsidP="002D7FF4">
      <w:pPr>
        <w:numPr>
          <w:ilvl w:val="0"/>
          <w:numId w:val="83"/>
        </w:numPr>
        <w:spacing w:before="120" w:after="120"/>
        <w:ind w:left="357" w:hanging="357"/>
        <w:jc w:val="both"/>
        <w:textAlignment w:val="auto"/>
        <w:rPr>
          <w:sz w:val="18"/>
          <w:lang w:val="sl-SI"/>
        </w:rPr>
      </w:pPr>
      <w:r w:rsidRPr="00FC4A70">
        <w:rPr>
          <w:rFonts w:eastAsia="Calibri" w:cs="Calibri"/>
          <w:b/>
          <w:bCs/>
          <w:sz w:val="18"/>
          <w:szCs w:val="18"/>
          <w:bdr w:val="nil"/>
          <w:lang w:val="sl-SI"/>
        </w:rPr>
        <w:t>Krepitev profil</w:t>
      </w:r>
      <w:r>
        <w:rPr>
          <w:rFonts w:eastAsia="Calibri" w:cs="Calibri"/>
          <w:b/>
          <w:bCs/>
          <w:sz w:val="18"/>
          <w:szCs w:val="18"/>
          <w:bdr w:val="nil"/>
          <w:lang w:val="sl-SI"/>
        </w:rPr>
        <w:t>ov</w:t>
      </w:r>
      <w:r w:rsidRPr="00FC4A70">
        <w:rPr>
          <w:rFonts w:eastAsia="Calibri" w:cs="Calibri"/>
          <w:b/>
          <w:bCs/>
          <w:sz w:val="18"/>
          <w:szCs w:val="18"/>
          <w:bdr w:val="nil"/>
          <w:lang w:val="sl-SI"/>
        </w:rPr>
        <w:t xml:space="preserve"> učiteljskih poklicev, </w:t>
      </w:r>
      <w:r w:rsidRPr="00FC4A70">
        <w:rPr>
          <w:rFonts w:eastAsia="Calibri" w:cs="Calibri"/>
          <w:sz w:val="18"/>
          <w:szCs w:val="18"/>
          <w:bdr w:val="nil"/>
          <w:lang w:val="sl-SI"/>
        </w:rPr>
        <w:t>vključno z učitelji, vodstvenimi delavci in izobraževalci učiteljev, na primer z ukrepi: narediti poklic privlačnejši in bolj raznolik; okrepiti izbor, zaposlovanje</w:t>
      </w:r>
      <w:r>
        <w:rPr>
          <w:rFonts w:eastAsia="Calibri" w:cs="Calibri"/>
          <w:sz w:val="18"/>
          <w:szCs w:val="18"/>
          <w:bdr w:val="nil"/>
          <w:lang w:val="sl-SI"/>
        </w:rPr>
        <w:t xml:space="preserve"> in ocenjevanje (modeli ovrednotenja zaposlenih, ocenjevanja in povratnih informacij)</w:t>
      </w:r>
      <w:r w:rsidRPr="00FC4A70">
        <w:rPr>
          <w:rFonts w:eastAsia="Calibri" w:cs="Calibri"/>
          <w:sz w:val="18"/>
          <w:szCs w:val="18"/>
          <w:bdr w:val="nil"/>
          <w:lang w:val="sl-SI"/>
        </w:rPr>
        <w:t xml:space="preserve">; okrepiti </w:t>
      </w:r>
      <w:r>
        <w:rPr>
          <w:rFonts w:eastAsia="Calibri" w:cs="Calibri"/>
          <w:sz w:val="18"/>
          <w:szCs w:val="18"/>
          <w:bdr w:val="nil"/>
          <w:lang w:val="sl-SI"/>
        </w:rPr>
        <w:t xml:space="preserve">začetno izobraževanje ter nadaljnji </w:t>
      </w:r>
      <w:r w:rsidRPr="00FC4A70">
        <w:rPr>
          <w:rFonts w:eastAsia="Calibri" w:cs="Calibri"/>
          <w:sz w:val="18"/>
          <w:szCs w:val="18"/>
          <w:bdr w:val="nil"/>
          <w:lang w:val="sl-SI"/>
        </w:rPr>
        <w:t xml:space="preserve">poklicni razvoj učiteljev in njegove različne faze neprekinjeno povezati; omogočanje </w:t>
      </w:r>
      <w:r>
        <w:rPr>
          <w:rFonts w:eastAsia="Calibri" w:cs="Calibri"/>
          <w:sz w:val="18"/>
          <w:szCs w:val="18"/>
          <w:bdr w:val="nil"/>
          <w:lang w:val="sl-SI"/>
        </w:rPr>
        <w:t xml:space="preserve">in znatno povečanje </w:t>
      </w:r>
      <w:r w:rsidRPr="00FC4A70">
        <w:rPr>
          <w:rFonts w:eastAsia="Calibri" w:cs="Calibri"/>
          <w:sz w:val="18"/>
          <w:szCs w:val="18"/>
          <w:bdr w:val="nil"/>
          <w:lang w:val="sl-SI"/>
        </w:rPr>
        <w:t>mobilnosti učiteljev</w:t>
      </w:r>
      <w:r>
        <w:rPr>
          <w:rFonts w:eastAsia="Calibri" w:cs="Calibri"/>
          <w:sz w:val="18"/>
          <w:szCs w:val="18"/>
          <w:bdr w:val="nil"/>
          <w:lang w:val="sl-SI"/>
        </w:rPr>
        <w:t>, vključno s premagovanjem preostalih ovir</w:t>
      </w:r>
      <w:r w:rsidRPr="00FC4A70">
        <w:rPr>
          <w:rFonts w:eastAsia="Calibri" w:cs="Calibri"/>
          <w:sz w:val="18"/>
          <w:szCs w:val="18"/>
          <w:bdr w:val="nil"/>
          <w:lang w:val="sl-SI"/>
        </w:rPr>
        <w:t xml:space="preserve">; podpora učiteljem pri </w:t>
      </w:r>
      <w:r>
        <w:rPr>
          <w:rFonts w:eastAsia="Calibri" w:cs="Calibri"/>
          <w:sz w:val="18"/>
          <w:szCs w:val="18"/>
          <w:bdr w:val="nil"/>
          <w:lang w:val="sl-SI"/>
        </w:rPr>
        <w:t xml:space="preserve">razvijanju </w:t>
      </w:r>
      <w:r w:rsidRPr="00FC4A70">
        <w:rPr>
          <w:rFonts w:eastAsia="Calibri" w:cs="Calibri"/>
          <w:sz w:val="18"/>
          <w:szCs w:val="18"/>
          <w:bdr w:val="nil"/>
          <w:lang w:val="sl-SI"/>
        </w:rPr>
        <w:t xml:space="preserve">inovativnih praks </w:t>
      </w:r>
      <w:r>
        <w:rPr>
          <w:rFonts w:eastAsia="Calibri" w:cs="Calibri"/>
          <w:sz w:val="18"/>
          <w:szCs w:val="18"/>
          <w:bdr w:val="nil"/>
          <w:lang w:val="sl-SI"/>
        </w:rPr>
        <w:t xml:space="preserve">poučevanja </w:t>
      </w:r>
      <w:r w:rsidRPr="00FC4A70">
        <w:rPr>
          <w:rFonts w:eastAsia="Calibri" w:cs="Calibri"/>
          <w:sz w:val="18"/>
          <w:szCs w:val="18"/>
          <w:bdr w:val="nil"/>
          <w:lang w:val="sl-SI"/>
        </w:rPr>
        <w:t>ter novih metod ocenjevanja</w:t>
      </w:r>
      <w:r>
        <w:rPr>
          <w:rFonts w:eastAsia="Calibri" w:cs="Calibri"/>
          <w:sz w:val="18"/>
          <w:szCs w:val="18"/>
          <w:bdr w:val="nil"/>
          <w:lang w:val="sl-SI"/>
        </w:rPr>
        <w:t>, zlasti za podpiranje učenja in poučevanja, ki je usmerjeno v kompetence</w:t>
      </w:r>
      <w:r w:rsidRPr="00FC4A70">
        <w:rPr>
          <w:rFonts w:eastAsia="Calibri" w:cs="Calibri"/>
          <w:sz w:val="18"/>
          <w:szCs w:val="18"/>
          <w:bdr w:val="nil"/>
          <w:lang w:val="sl-SI"/>
        </w:rPr>
        <w:t>; krepitev vodenja v izobraževanju, vključno s porazdeljenim vodenjem na šoli in vodenjem učiteljev.</w:t>
      </w:r>
    </w:p>
    <w:p w14:paraId="7D39909E" w14:textId="77777777" w:rsidR="00E03711" w:rsidRPr="00FC4A70" w:rsidRDefault="00E03711" w:rsidP="002D7FF4">
      <w:pPr>
        <w:numPr>
          <w:ilvl w:val="0"/>
          <w:numId w:val="83"/>
        </w:numPr>
        <w:spacing w:before="120" w:after="120"/>
        <w:jc w:val="both"/>
        <w:textAlignment w:val="auto"/>
        <w:rPr>
          <w:sz w:val="18"/>
          <w:szCs w:val="18"/>
          <w:lang w:val="sl-SI"/>
        </w:rPr>
      </w:pPr>
      <w:r w:rsidRPr="00860232">
        <w:rPr>
          <w:rFonts w:eastAsia="Calibri" w:cs="Calibri"/>
          <w:b/>
          <w:bCs/>
          <w:sz w:val="18"/>
          <w:szCs w:val="18"/>
          <w:bdr w:val="nil"/>
          <w:lang w:val="sl-SI"/>
        </w:rPr>
        <w:t xml:space="preserve">Spodbujanje celostnega pristopa pri poučevanju </w:t>
      </w:r>
      <w:r w:rsidRPr="00715A0B">
        <w:rPr>
          <w:rFonts w:eastAsia="Calibri" w:cs="Calibri"/>
          <w:b/>
          <w:bCs/>
          <w:sz w:val="18"/>
          <w:szCs w:val="18"/>
          <w:bdr w:val="nil"/>
          <w:lang w:val="sl-SI"/>
        </w:rPr>
        <w:t>in učenju</w:t>
      </w:r>
      <w:r>
        <w:rPr>
          <w:rFonts w:eastAsia="Calibri" w:cs="Calibri"/>
          <w:sz w:val="18"/>
          <w:szCs w:val="18"/>
          <w:bdr w:val="nil"/>
          <w:lang w:val="sl-SI"/>
        </w:rPr>
        <w:t xml:space="preserve"> </w:t>
      </w:r>
      <w:r w:rsidRPr="00860232">
        <w:rPr>
          <w:rFonts w:eastAsia="Calibri" w:cs="Calibri"/>
          <w:b/>
          <w:bCs/>
          <w:sz w:val="18"/>
          <w:szCs w:val="18"/>
          <w:bdr w:val="nil"/>
          <w:lang w:val="sl-SI"/>
        </w:rPr>
        <w:t xml:space="preserve">jezikov </w:t>
      </w:r>
      <w:r w:rsidRPr="00860232">
        <w:rPr>
          <w:rFonts w:eastAsia="Calibri" w:cs="Calibri"/>
          <w:b/>
          <w:sz w:val="18"/>
          <w:szCs w:val="18"/>
          <w:bdr w:val="nil"/>
          <w:lang w:val="sl-SI"/>
        </w:rPr>
        <w:t>(skladno s priporočilom Sveta o učenju in poučevanju jezikov)</w:t>
      </w:r>
      <w:r w:rsidRPr="00FC4A70">
        <w:rPr>
          <w:rFonts w:eastAsia="Calibri" w:cs="Calibri"/>
          <w:sz w:val="18"/>
          <w:szCs w:val="18"/>
          <w:bdr w:val="nil"/>
          <w:lang w:val="sl-SI"/>
        </w:rPr>
        <w:t>, oblikovanje večje jezikovne raznolikosti v šolah, na primer prek: spodbujanja zgodnjega učenja jezika in zavedanja jezika; možnosti dvojezičnega poučevanja, še posebej na mejnih območjih in/ali na območjih, kjer prebivalci uporabljajo več kot en jezik; prevladujoče usmeritve v uporabo novih tehnologij kot podpore učenja jezikov; podpiranje integracije učenja jezikov v učne načrte</w:t>
      </w:r>
      <w:r>
        <w:rPr>
          <w:rFonts w:eastAsia="Calibri" w:cs="Calibri"/>
          <w:sz w:val="18"/>
          <w:szCs w:val="18"/>
          <w:bdr w:val="nil"/>
          <w:lang w:val="sl-SI"/>
        </w:rPr>
        <w:t xml:space="preserve"> s poudarkom na doseganju zadostne ravni kompetence do konca obveznega izobraževanja; podpiranje ustvarjanja šol z zavedanjem jezika</w:t>
      </w:r>
      <w:r w:rsidRPr="00BD46E1">
        <w:rPr>
          <w:rStyle w:val="FootnoteReference"/>
          <w:rFonts w:asciiTheme="minorHAnsi" w:eastAsiaTheme="minorHAnsi" w:hAnsiTheme="minorHAnsi"/>
          <w:color w:val="000000"/>
          <w:sz w:val="18"/>
          <w:szCs w:val="18"/>
          <w:lang w:val="en-GB" w:eastAsia="en-US"/>
        </w:rPr>
        <w:footnoteReference w:id="81"/>
      </w:r>
      <w:r w:rsidRPr="00FC4A70">
        <w:rPr>
          <w:rFonts w:eastAsia="Calibri" w:cs="Calibri"/>
          <w:sz w:val="18"/>
          <w:szCs w:val="18"/>
          <w:bdr w:val="nil"/>
          <w:lang w:val="sl-SI"/>
        </w:rPr>
        <w:t>.</w:t>
      </w:r>
    </w:p>
    <w:p w14:paraId="7D39909F" w14:textId="77777777" w:rsidR="00E03711" w:rsidRPr="00860232" w:rsidRDefault="00E03711" w:rsidP="002D7FF4">
      <w:pPr>
        <w:widowControl/>
        <w:numPr>
          <w:ilvl w:val="0"/>
          <w:numId w:val="83"/>
        </w:numPr>
        <w:suppressAutoHyphens w:val="0"/>
        <w:autoSpaceDN/>
        <w:spacing w:before="120" w:after="120"/>
        <w:ind w:left="357" w:hanging="357"/>
        <w:jc w:val="both"/>
        <w:textAlignment w:val="auto"/>
        <w:rPr>
          <w:sz w:val="18"/>
          <w:lang w:val="sl-SI"/>
        </w:rPr>
      </w:pPr>
      <w:r w:rsidRPr="00860232">
        <w:rPr>
          <w:b/>
          <w:bCs/>
          <w:sz w:val="18"/>
          <w:lang w:val="sl-SI"/>
        </w:rPr>
        <w:t>Doseganje višje ravni dosežkov in zanimanja za znanost, tehnologijo, inženirstvo in matematiko</w:t>
      </w:r>
      <w:r>
        <w:rPr>
          <w:sz w:val="18"/>
          <w:lang w:val="sl-SI"/>
        </w:rPr>
        <w:t xml:space="preserve"> (STEM). Ta prednostna naloga bo med drugim vključevala: spodbujanje razvoja nacionalnih strategij za STEM; razvijanje partnerstev med šolami, podjetji, visokošolskimi institucijami, raziskovalnimi institucijami in širšo družbo; spodbujanje učinkovitega in inovativnega pedagoškega pristopa in ocenjevanja; spodbujanje pristopa STE(A)M k izobraževanju s pomočjo interdisciplinarnega poučevanja predmetov STEM v kulturnem, okoljskem, ekonomskem, oblikovalnem kontekstu in drugih kontekstih, z udeležbo vseh akademskih disciplin.</w:t>
      </w:r>
    </w:p>
    <w:p w14:paraId="7D3990A0" w14:textId="77777777" w:rsidR="00E03711" w:rsidRPr="00FC4A70" w:rsidRDefault="00E03711" w:rsidP="002D7FF4">
      <w:pPr>
        <w:widowControl/>
        <w:numPr>
          <w:ilvl w:val="0"/>
          <w:numId w:val="83"/>
        </w:numPr>
        <w:suppressAutoHyphens w:val="0"/>
        <w:autoSpaceDN/>
        <w:spacing w:before="120" w:after="120"/>
        <w:ind w:left="357" w:hanging="357"/>
        <w:jc w:val="both"/>
        <w:textAlignment w:val="auto"/>
        <w:rPr>
          <w:sz w:val="18"/>
          <w:lang w:val="sl-SI"/>
        </w:rPr>
      </w:pPr>
      <w:r w:rsidRPr="00FC4A70">
        <w:rPr>
          <w:rFonts w:eastAsia="Calibri" w:cs="Calibri"/>
          <w:b/>
          <w:bCs/>
          <w:sz w:val="18"/>
          <w:szCs w:val="18"/>
          <w:bdr w:val="nil"/>
          <w:lang w:val="sl-SI"/>
        </w:rPr>
        <w:t>Obravnavanje zgodnjega opuščanja šolanja in prikrajšanosti</w:t>
      </w:r>
      <w:r w:rsidRPr="00FC4A70">
        <w:rPr>
          <w:rFonts w:eastAsia="Calibri" w:cs="Calibri"/>
          <w:sz w:val="18"/>
          <w:szCs w:val="18"/>
          <w:bdr w:val="nil"/>
          <w:lang w:val="sl-SI"/>
        </w:rPr>
        <w:t xml:space="preserve"> ter omogočanje uspeha vsem učencem, vključno z otroki z migrantskim ozadjem, na primer prek: krepitve sodelovanja med vsemi akterji v šolah ter z družinami in drugimi zunanjimi deležniki; izboljšanja prehod</w:t>
      </w:r>
      <w:r>
        <w:rPr>
          <w:rFonts w:eastAsia="Calibri" w:cs="Calibri"/>
          <w:sz w:val="18"/>
          <w:szCs w:val="18"/>
          <w:bdr w:val="nil"/>
          <w:lang w:val="sl-SI"/>
        </w:rPr>
        <w:t>ov</w:t>
      </w:r>
      <w:r w:rsidRPr="00FC4A70">
        <w:rPr>
          <w:rFonts w:eastAsia="Calibri" w:cs="Calibri"/>
          <w:sz w:val="18"/>
          <w:szCs w:val="18"/>
          <w:bdr w:val="nil"/>
          <w:lang w:val="sl-SI"/>
        </w:rPr>
        <w:t xml:space="preserve"> med različnimi ravnmi izobraževanja;</w:t>
      </w:r>
      <w:r>
        <w:rPr>
          <w:rFonts w:eastAsia="Calibri" w:cs="Calibri"/>
          <w:sz w:val="18"/>
          <w:szCs w:val="18"/>
          <w:bdr w:val="nil"/>
          <w:lang w:val="sl-SI"/>
        </w:rPr>
        <w:t xml:space="preserve"> gojenja preventivnih pristopov in zgodnjega posredovanja;</w:t>
      </w:r>
      <w:r w:rsidRPr="00FC4A70">
        <w:rPr>
          <w:rFonts w:eastAsia="Calibri" w:cs="Calibri"/>
          <w:sz w:val="18"/>
          <w:szCs w:val="18"/>
          <w:bdr w:val="nil"/>
          <w:lang w:val="sl-SI"/>
        </w:rPr>
        <w:t xml:space="preserve"> podpiranja mreženja šol, ki spodbujajo sodelovalne in celovite pristope k poučevanju in učenju; izboljšanja evalvacije in zagotavljanja kakovosti.</w:t>
      </w:r>
    </w:p>
    <w:p w14:paraId="7D3990A1" w14:textId="77777777" w:rsidR="00E03711" w:rsidRPr="00FC4A70" w:rsidRDefault="00E03711" w:rsidP="002D7FF4">
      <w:pPr>
        <w:pStyle w:val="ListParagraph"/>
        <w:widowControl/>
        <w:numPr>
          <w:ilvl w:val="0"/>
          <w:numId w:val="83"/>
        </w:numPr>
        <w:suppressAutoHyphens w:val="0"/>
        <w:autoSpaceDN/>
        <w:spacing w:after="200" w:line="276" w:lineRule="auto"/>
        <w:contextualSpacing w:val="0"/>
        <w:jc w:val="both"/>
        <w:textAlignment w:val="auto"/>
        <w:rPr>
          <w:sz w:val="18"/>
          <w:lang w:val="sl-SI"/>
        </w:rPr>
      </w:pPr>
      <w:r>
        <w:rPr>
          <w:rFonts w:eastAsia="Calibri" w:cs="Calibri"/>
          <w:b/>
          <w:bCs/>
          <w:sz w:val="18"/>
          <w:szCs w:val="18"/>
          <w:bdr w:val="nil"/>
          <w:lang w:val="sl-SI"/>
        </w:rPr>
        <w:t xml:space="preserve">Razvijanje </w:t>
      </w:r>
      <w:r w:rsidRPr="00FC4A70">
        <w:rPr>
          <w:rFonts w:eastAsia="Calibri" w:cs="Calibri"/>
          <w:b/>
          <w:bCs/>
          <w:sz w:val="18"/>
          <w:szCs w:val="18"/>
          <w:bdr w:val="nil"/>
          <w:lang w:val="sl-SI"/>
        </w:rPr>
        <w:t>visoko kakovostnega zgodnjega izobraževanja in</w:t>
      </w:r>
      <w:r>
        <w:rPr>
          <w:rFonts w:eastAsia="Calibri" w:cs="Calibri"/>
          <w:b/>
          <w:bCs/>
          <w:sz w:val="18"/>
          <w:szCs w:val="18"/>
          <w:bdr w:val="nil"/>
          <w:lang w:val="sl-SI"/>
        </w:rPr>
        <w:t xml:space="preserve"> sistemov</w:t>
      </w:r>
      <w:r w:rsidRPr="00FC4A70">
        <w:rPr>
          <w:rFonts w:eastAsia="Calibri" w:cs="Calibri"/>
          <w:b/>
          <w:bCs/>
          <w:sz w:val="18"/>
          <w:szCs w:val="18"/>
          <w:bdr w:val="nil"/>
          <w:lang w:val="sl-SI"/>
        </w:rPr>
        <w:t xml:space="preserve"> nege</w:t>
      </w:r>
      <w:r w:rsidRPr="00FC4A70">
        <w:rPr>
          <w:rFonts w:eastAsia="Calibri" w:cs="Calibri"/>
          <w:sz w:val="18"/>
          <w:szCs w:val="18"/>
          <w:bdr w:val="nil"/>
          <w:lang w:val="sl-SI"/>
        </w:rPr>
        <w:t xml:space="preserve"> </w:t>
      </w:r>
      <w:r w:rsidRPr="00860232">
        <w:rPr>
          <w:rFonts w:eastAsia="Calibri" w:cs="Calibri"/>
          <w:b/>
          <w:bCs/>
          <w:sz w:val="18"/>
          <w:szCs w:val="18"/>
          <w:bdr w:val="nil"/>
          <w:lang w:val="sl-SI"/>
        </w:rPr>
        <w:t>(skladno s priporočilom sveta ECEC),</w:t>
      </w:r>
      <w:r>
        <w:rPr>
          <w:rFonts w:eastAsia="Calibri" w:cs="Calibri"/>
          <w:sz w:val="18"/>
          <w:szCs w:val="18"/>
          <w:bdr w:val="nil"/>
          <w:lang w:val="sl-SI"/>
        </w:rPr>
        <w:t xml:space="preserve"> na primer: podpiranje začetnega in nadaljnjega poklicnega razvoja vsega osebja, ki sodeluje pri organiziranju, vodenju in nudenju zgodnjega izobraževanja in nege; ustvarjanje, testiranje ali uvajanje strategij in praks za spodbujanje sodelovanja vseh otrok v zgodnjem izobraževanju in negi, vključno z otroki, ki potrebujejo posebno podporo (npr. invalidni otroci ali otroci iz socialno in ekonomsko depriviligiranih okolij,  otroci migrantov); podpiranje uvajanja okvira EU za kakovost zgodnjega izobraževanja in nege</w:t>
      </w:r>
      <w:r w:rsidRPr="00FC4A70">
        <w:rPr>
          <w:rFonts w:eastAsia="Calibri" w:cs="Calibri"/>
          <w:sz w:val="18"/>
          <w:szCs w:val="18"/>
          <w:bdr w:val="nil"/>
          <w:lang w:val="sl-SI"/>
        </w:rPr>
        <w:t>.</w:t>
      </w:r>
    </w:p>
    <w:p w14:paraId="7D3990A2" w14:textId="77777777" w:rsidR="00E03711" w:rsidRPr="00860232" w:rsidRDefault="00E03711" w:rsidP="002D7FF4">
      <w:pPr>
        <w:widowControl/>
        <w:numPr>
          <w:ilvl w:val="0"/>
          <w:numId w:val="83"/>
        </w:numPr>
        <w:suppressAutoHyphens w:val="0"/>
        <w:autoSpaceDN/>
        <w:spacing w:before="120" w:after="120" w:line="276" w:lineRule="auto"/>
        <w:contextualSpacing/>
        <w:jc w:val="both"/>
        <w:textAlignment w:val="auto"/>
        <w:rPr>
          <w:sz w:val="18"/>
          <w:szCs w:val="18"/>
          <w:lang w:val="sl-SI"/>
        </w:rPr>
      </w:pPr>
      <w:r w:rsidRPr="00FC4A70">
        <w:rPr>
          <w:rFonts w:eastAsia="Calibri" w:cs="Calibri"/>
          <w:b/>
          <w:bCs/>
          <w:sz w:val="18"/>
          <w:szCs w:val="18"/>
          <w:bdr w:val="nil"/>
          <w:lang w:val="sl-SI"/>
        </w:rPr>
        <w:t xml:space="preserve">Oblikovanje kapacitet za </w:t>
      </w:r>
      <w:r>
        <w:rPr>
          <w:rFonts w:eastAsia="Calibri" w:cs="Calibri"/>
          <w:b/>
          <w:bCs/>
          <w:sz w:val="18"/>
          <w:szCs w:val="18"/>
          <w:bdr w:val="nil"/>
          <w:lang w:val="sl-SI"/>
        </w:rPr>
        <w:t>spodbujanje</w:t>
      </w:r>
      <w:r w:rsidRPr="00FC4A70">
        <w:rPr>
          <w:rFonts w:eastAsia="Calibri" w:cs="Calibri"/>
          <w:b/>
          <w:bCs/>
          <w:sz w:val="18"/>
          <w:szCs w:val="18"/>
          <w:bdr w:val="nil"/>
          <w:lang w:val="sl-SI"/>
        </w:rPr>
        <w:t xml:space="preserve"> in </w:t>
      </w:r>
      <w:r>
        <w:rPr>
          <w:rFonts w:eastAsia="Calibri" w:cs="Calibri"/>
          <w:b/>
          <w:bCs/>
          <w:sz w:val="18"/>
          <w:szCs w:val="18"/>
          <w:bdr w:val="nil"/>
          <w:lang w:val="sl-SI"/>
        </w:rPr>
        <w:t xml:space="preserve">omogočanje </w:t>
      </w:r>
      <w:r w:rsidRPr="00FC4A70">
        <w:rPr>
          <w:rFonts w:eastAsia="Calibri" w:cs="Calibri"/>
          <w:b/>
          <w:bCs/>
          <w:sz w:val="18"/>
          <w:szCs w:val="18"/>
          <w:bdr w:val="nil"/>
          <w:lang w:val="sl-SI"/>
        </w:rPr>
        <w:t>priznavanj</w:t>
      </w:r>
      <w:r>
        <w:rPr>
          <w:rFonts w:eastAsia="Calibri" w:cs="Calibri"/>
          <w:b/>
          <w:bCs/>
          <w:sz w:val="18"/>
          <w:szCs w:val="18"/>
          <w:bdr w:val="nil"/>
          <w:lang w:val="sl-SI"/>
        </w:rPr>
        <w:t>a</w:t>
      </w:r>
      <w:r w:rsidRPr="00FC4A70">
        <w:rPr>
          <w:rFonts w:eastAsia="Calibri" w:cs="Calibri"/>
          <w:b/>
          <w:bCs/>
          <w:sz w:val="18"/>
          <w:szCs w:val="18"/>
          <w:bdr w:val="nil"/>
          <w:lang w:val="sl-SI"/>
        </w:rPr>
        <w:t xml:space="preserve"> obdobij učenja v tujini </w:t>
      </w:r>
      <w:r w:rsidRPr="00FF3D59">
        <w:rPr>
          <w:rFonts w:eastAsia="Calibri" w:cs="Calibri"/>
          <w:b/>
          <w:bCs/>
          <w:sz w:val="18"/>
          <w:szCs w:val="18"/>
          <w:bdr w:val="nil"/>
          <w:lang w:val="sl-SI"/>
        </w:rPr>
        <w:t>(</w:t>
      </w:r>
      <w:r w:rsidRPr="00860232">
        <w:rPr>
          <w:rFonts w:eastAsia="Calibri" w:cs="Calibri"/>
          <w:b/>
          <w:bCs/>
          <w:sz w:val="18"/>
          <w:szCs w:val="18"/>
          <w:bdr w:val="nil"/>
          <w:lang w:val="sl-SI"/>
        </w:rPr>
        <w:t xml:space="preserve">vključno </w:t>
      </w:r>
      <w:r>
        <w:rPr>
          <w:rFonts w:eastAsia="Calibri" w:cs="Calibri"/>
          <w:b/>
          <w:bCs/>
          <w:sz w:val="18"/>
          <w:szCs w:val="18"/>
          <w:bdr w:val="nil"/>
          <w:lang w:val="sl-SI"/>
        </w:rPr>
        <w:t>z vključevanjem</w:t>
      </w:r>
      <w:r w:rsidRPr="00860232">
        <w:rPr>
          <w:rFonts w:eastAsia="Calibri" w:cs="Calibri"/>
          <w:b/>
          <w:bCs/>
          <w:sz w:val="18"/>
          <w:szCs w:val="18"/>
          <w:bdr w:val="nil"/>
          <w:lang w:val="sl-SI"/>
        </w:rPr>
        <w:t xml:space="preserve"> priporočil Sveta v zvezi s samodejnim medsebojnim priznavanjem)</w:t>
      </w:r>
      <w:r>
        <w:rPr>
          <w:rFonts w:eastAsia="Calibri" w:cs="Calibri"/>
          <w:sz w:val="18"/>
          <w:szCs w:val="18"/>
          <w:bdr w:val="nil"/>
          <w:lang w:val="sl-SI"/>
        </w:rPr>
        <w:t xml:space="preserve">, vključno </w:t>
      </w:r>
      <w:r w:rsidRPr="00FC4A70">
        <w:rPr>
          <w:rFonts w:eastAsia="Calibri" w:cs="Calibri"/>
          <w:sz w:val="18"/>
          <w:szCs w:val="18"/>
          <w:bdr w:val="nil"/>
          <w:lang w:val="sl-SI"/>
        </w:rPr>
        <w:t xml:space="preserve">s </w:t>
      </w:r>
      <w:r>
        <w:rPr>
          <w:rFonts w:eastAsia="Calibri" w:cs="Calibri"/>
          <w:sz w:val="18"/>
          <w:szCs w:val="18"/>
          <w:bdr w:val="nil"/>
          <w:lang w:val="sl-SI"/>
        </w:rPr>
        <w:t xml:space="preserve">spodbujanjem </w:t>
      </w:r>
      <w:r w:rsidRPr="00FC4A70">
        <w:rPr>
          <w:rFonts w:eastAsia="Calibri" w:cs="Calibri"/>
          <w:sz w:val="18"/>
          <w:szCs w:val="18"/>
          <w:bdr w:val="nil"/>
          <w:lang w:val="sl-SI"/>
        </w:rPr>
        <w:t>priznavanj</w:t>
      </w:r>
      <w:r>
        <w:rPr>
          <w:rFonts w:eastAsia="Calibri" w:cs="Calibri"/>
          <w:sz w:val="18"/>
          <w:szCs w:val="18"/>
          <w:bdr w:val="nil"/>
          <w:lang w:val="sl-SI"/>
        </w:rPr>
        <w:t>a</w:t>
      </w:r>
      <w:r w:rsidRPr="00FC4A70">
        <w:rPr>
          <w:rFonts w:eastAsia="Calibri" w:cs="Calibri"/>
          <w:sz w:val="18"/>
          <w:szCs w:val="18"/>
          <w:bdr w:val="nil"/>
          <w:lang w:val="sl-SI"/>
        </w:rPr>
        <w:t xml:space="preserve"> formalne izobrazbe in prečnih kompetenc, ki se razvijajo prek neformalnega in priložnostnega učenja, na primer prek: oblikovanja administrativnih kapacitet šol v podporo sodelovanju učencev v mednarodnih projektih in vrstniških izmenjavah</w:t>
      </w:r>
      <w:r>
        <w:rPr>
          <w:rFonts w:eastAsia="Calibri" w:cs="Calibri"/>
          <w:sz w:val="18"/>
          <w:szCs w:val="18"/>
          <w:bdr w:val="nil"/>
          <w:lang w:val="sl-SI"/>
        </w:rPr>
        <w:t>, vključno z raziskovanjem potenciala posredniških organov, ki združujejo kapaciteto več šol</w:t>
      </w:r>
      <w:r w:rsidRPr="00FC4A70">
        <w:rPr>
          <w:rFonts w:eastAsia="Calibri" w:cs="Calibri"/>
          <w:sz w:val="18"/>
          <w:szCs w:val="18"/>
          <w:bdr w:val="nil"/>
          <w:lang w:val="sl-SI"/>
        </w:rPr>
        <w:t>; vzpostavljanj</w:t>
      </w:r>
      <w:r>
        <w:rPr>
          <w:rFonts w:eastAsia="Calibri" w:cs="Calibri"/>
          <w:sz w:val="18"/>
          <w:szCs w:val="18"/>
          <w:bdr w:val="nil"/>
          <w:lang w:val="sl-SI"/>
        </w:rPr>
        <w:t>e</w:t>
      </w:r>
      <w:r w:rsidRPr="00FC4A70">
        <w:rPr>
          <w:rFonts w:eastAsia="Calibri" w:cs="Calibri"/>
          <w:sz w:val="18"/>
          <w:szCs w:val="18"/>
          <w:bdr w:val="nil"/>
          <w:lang w:val="sl-SI"/>
        </w:rPr>
        <w:t xml:space="preserve"> trajnih partnerstev med organizacijami, ki </w:t>
      </w:r>
      <w:r>
        <w:rPr>
          <w:rFonts w:eastAsia="Calibri" w:cs="Calibri"/>
          <w:sz w:val="18"/>
          <w:szCs w:val="18"/>
          <w:bdr w:val="nil"/>
          <w:lang w:val="sl-SI"/>
        </w:rPr>
        <w:t xml:space="preserve">postavljajo </w:t>
      </w:r>
      <w:r w:rsidRPr="00FC4A70">
        <w:rPr>
          <w:rFonts w:eastAsia="Calibri" w:cs="Calibri"/>
          <w:sz w:val="18"/>
          <w:szCs w:val="18"/>
          <w:bdr w:val="nil"/>
          <w:lang w:val="sl-SI"/>
        </w:rPr>
        <w:t>čezmejne izobraževalne izmenjave v splošnem izobraževanju</w:t>
      </w:r>
      <w:r>
        <w:rPr>
          <w:rFonts w:eastAsia="Calibri" w:cs="Calibri"/>
          <w:sz w:val="18"/>
          <w:szCs w:val="18"/>
          <w:bdr w:val="nil"/>
          <w:lang w:val="sl-SI"/>
        </w:rPr>
        <w:t>; spodbujanje vdelanih razrednih izmenjav ali programov mobilnosti učencev kot del šolskih programov; razvijanje in razširanje orodij in mehanizmov za pripravo, spremljanje in priznavanje obdobij v tujini; ter deljenje in podpora dobrim praksam</w:t>
      </w:r>
      <w:r w:rsidRPr="00FC4A70">
        <w:rPr>
          <w:rFonts w:eastAsia="Calibri" w:cs="Calibri"/>
          <w:sz w:val="18"/>
          <w:szCs w:val="18"/>
          <w:bdr w:val="nil"/>
          <w:lang w:val="sl-SI"/>
        </w:rPr>
        <w:t>.</w:t>
      </w:r>
    </w:p>
    <w:p w14:paraId="7D3990A3" w14:textId="77777777" w:rsidR="00E03711" w:rsidRPr="00FC4A70" w:rsidRDefault="00E03711" w:rsidP="002D7FF4">
      <w:pPr>
        <w:widowControl/>
        <w:numPr>
          <w:ilvl w:val="0"/>
          <w:numId w:val="83"/>
        </w:numPr>
        <w:suppressAutoHyphens w:val="0"/>
        <w:autoSpaceDN/>
        <w:spacing w:before="120" w:after="120" w:line="276" w:lineRule="auto"/>
        <w:contextualSpacing/>
        <w:jc w:val="both"/>
        <w:textAlignment w:val="auto"/>
        <w:rPr>
          <w:sz w:val="18"/>
          <w:szCs w:val="18"/>
          <w:lang w:val="sl-SI"/>
        </w:rPr>
      </w:pPr>
      <w:r>
        <w:rPr>
          <w:rFonts w:eastAsia="Calibri" w:cs="Calibri"/>
          <w:b/>
          <w:bCs/>
          <w:sz w:val="18"/>
          <w:szCs w:val="18"/>
          <w:bdr w:val="nil"/>
          <w:lang w:val="sl-SI"/>
        </w:rPr>
        <w:t xml:space="preserve">Razvijanje močnih sistemov za zagotavljanje kakovosti </w:t>
      </w:r>
      <w:r>
        <w:rPr>
          <w:rFonts w:eastAsia="Calibri" w:cs="Calibri"/>
          <w:sz w:val="18"/>
          <w:szCs w:val="18"/>
          <w:bdr w:val="nil"/>
          <w:lang w:val="sl-SI"/>
        </w:rPr>
        <w:t>za doseganje visokokakovostnega vključujočega izobraževanja ter povečanje zaupanja med državami glede kakovosti njihovih posameznih šolskih izobraževalnih sistemov, na primer s podpiranjem držav pri razvijanju sinergij med notranjimi in zunanjimi ocenjevanji, pri angažiranju deležnikov v procesih zagotavljanja kakovosti ali pri oblikovanju njihovih strategij zagotavljanja kakovosti tako, da podpirajo širši razvoj kompetenc.</w:t>
      </w:r>
    </w:p>
    <w:p w14:paraId="7D3990A4" w14:textId="77777777" w:rsidR="00E03711" w:rsidRPr="00FC4A70" w:rsidRDefault="00E03711" w:rsidP="00FC4A70">
      <w:pPr>
        <w:widowControl/>
        <w:suppressAutoHyphens w:val="0"/>
        <w:autoSpaceDN/>
        <w:spacing w:before="120" w:after="120" w:line="276" w:lineRule="auto"/>
        <w:ind w:left="360"/>
        <w:contextualSpacing/>
        <w:jc w:val="both"/>
        <w:textAlignment w:val="auto"/>
        <w:rPr>
          <w:sz w:val="18"/>
          <w:szCs w:val="18"/>
          <w:lang w:val="sl-SI"/>
        </w:rPr>
      </w:pPr>
    </w:p>
    <w:p w14:paraId="7D3990A5" w14:textId="77777777" w:rsidR="00E03711" w:rsidRPr="00FC4A70" w:rsidRDefault="00E03711" w:rsidP="00215944">
      <w:pPr>
        <w:autoSpaceDE w:val="0"/>
        <w:adjustRightInd w:val="0"/>
        <w:spacing w:before="120" w:after="120"/>
        <w:jc w:val="both"/>
        <w:rPr>
          <w:sz w:val="18"/>
          <w:lang w:val="sl-SI"/>
        </w:rPr>
      </w:pPr>
      <w:r w:rsidRPr="00FC4A70">
        <w:rPr>
          <w:rFonts w:eastAsia="Calibri" w:cs="Calibri"/>
          <w:sz w:val="18"/>
          <w:szCs w:val="18"/>
          <w:bdr w:val="nil"/>
          <w:lang w:val="sl-SI"/>
        </w:rPr>
        <w:t xml:space="preserve">Na področju </w:t>
      </w:r>
      <w:r w:rsidRPr="00FC4A70">
        <w:rPr>
          <w:rFonts w:eastAsia="Calibri" w:cs="Calibri"/>
          <w:b/>
          <w:bCs/>
          <w:sz w:val="18"/>
          <w:szCs w:val="18"/>
          <w:bdr w:val="nil"/>
          <w:lang w:val="sl-SI"/>
        </w:rPr>
        <w:t>poklicnega izobraževanja in usposabljanja (tako začetnega kot nadaljevalnega)</w:t>
      </w:r>
      <w:r w:rsidRPr="00FC4A70">
        <w:rPr>
          <w:rFonts w:eastAsia="Calibri" w:cs="Calibri"/>
          <w:sz w:val="18"/>
          <w:szCs w:val="18"/>
          <w:bdr w:val="nil"/>
          <w:lang w:val="sl-SI"/>
        </w:rPr>
        <w:t xml:space="preserve"> bodo imeli prednost naslednji ukrepi:</w:t>
      </w:r>
    </w:p>
    <w:p w14:paraId="7D3990A6" w14:textId="77777777" w:rsidR="00E03711" w:rsidRPr="00FC4A70" w:rsidRDefault="00E03711" w:rsidP="002D7FF4">
      <w:pPr>
        <w:numPr>
          <w:ilvl w:val="0"/>
          <w:numId w:val="83"/>
        </w:numPr>
        <w:spacing w:before="120" w:after="120"/>
        <w:jc w:val="both"/>
        <w:textAlignment w:val="auto"/>
        <w:rPr>
          <w:sz w:val="18"/>
          <w:lang w:val="sl-SI"/>
        </w:rPr>
      </w:pPr>
      <w:r w:rsidRPr="00FC4A70">
        <w:rPr>
          <w:rFonts w:eastAsia="Calibri" w:cs="Calibri"/>
          <w:sz w:val="18"/>
          <w:szCs w:val="18"/>
          <w:bdr w:val="nil"/>
          <w:lang w:val="sl-SI"/>
        </w:rPr>
        <w:t xml:space="preserve">Razvoj partnerstev v podporo vzpostavitvi in uveljavitvi </w:t>
      </w:r>
      <w:r w:rsidRPr="00860232">
        <w:rPr>
          <w:rFonts w:eastAsia="Calibri" w:cs="Calibri"/>
          <w:b/>
          <w:bCs/>
          <w:sz w:val="18"/>
          <w:szCs w:val="18"/>
          <w:bdr w:val="nil"/>
          <w:lang w:val="sl-SI"/>
        </w:rPr>
        <w:t>strategij za internacionalizacijo izvajalcev PIU</w:t>
      </w:r>
      <w:r w:rsidRPr="00FC4A70">
        <w:rPr>
          <w:sz w:val="18"/>
          <w:szCs w:val="18"/>
          <w:vertAlign w:val="superscript"/>
          <w:lang w:val="en-GB"/>
        </w:rPr>
        <w:footnoteReference w:id="82"/>
      </w:r>
      <w:r w:rsidRPr="00FC4A70">
        <w:rPr>
          <w:rFonts w:eastAsia="Calibri" w:cs="Calibri"/>
          <w:sz w:val="18"/>
          <w:szCs w:val="18"/>
          <w:bdr w:val="nil"/>
          <w:lang w:val="sl-SI"/>
        </w:rPr>
        <w:t>, s ciljem oblikovanja potrebnih podpornih mehanizmov ter pogodbenih okvirov za spodbujanje kakovostne mobilnosti osebja in dijakov v PIU</w:t>
      </w:r>
      <w:r w:rsidRPr="00FC4A70">
        <w:rPr>
          <w:sz w:val="18"/>
          <w:szCs w:val="18"/>
          <w:vertAlign w:val="superscript"/>
          <w:lang w:val="en-GB"/>
        </w:rPr>
        <w:footnoteReference w:id="83"/>
      </w:r>
      <w:r w:rsidRPr="00FC4A70">
        <w:rPr>
          <w:rFonts w:eastAsia="Calibri" w:cs="Calibri"/>
          <w:sz w:val="18"/>
          <w:szCs w:val="18"/>
          <w:bdr w:val="nil"/>
          <w:lang w:val="sl-SI"/>
        </w:rPr>
        <w:t>, vključno s</w:t>
      </w:r>
      <w:r>
        <w:rPr>
          <w:rFonts w:eastAsia="Calibri" w:cs="Calibri"/>
          <w:sz w:val="18"/>
          <w:szCs w:val="18"/>
          <w:bdr w:val="nil"/>
          <w:lang w:val="sl-SI"/>
        </w:rPr>
        <w:t xml:space="preserve"> spodbujanjem</w:t>
      </w:r>
      <w:r w:rsidRPr="00FC4A70">
        <w:rPr>
          <w:rFonts w:eastAsia="Calibri" w:cs="Calibri"/>
          <w:sz w:val="18"/>
          <w:szCs w:val="18"/>
          <w:bdr w:val="nil"/>
          <w:lang w:val="sl-SI"/>
        </w:rPr>
        <w:t xml:space="preserve"> </w:t>
      </w:r>
      <w:r>
        <w:rPr>
          <w:rFonts w:eastAsia="Calibri" w:cs="Calibri"/>
          <w:sz w:val="18"/>
          <w:szCs w:val="18"/>
          <w:bdr w:val="nil"/>
          <w:lang w:val="sl-SI"/>
        </w:rPr>
        <w:t xml:space="preserve">samodejnega medsebojnega </w:t>
      </w:r>
      <w:r w:rsidRPr="00FC4A70">
        <w:rPr>
          <w:rFonts w:eastAsia="Calibri" w:cs="Calibri"/>
          <w:sz w:val="18"/>
          <w:szCs w:val="18"/>
          <w:bdr w:val="nil"/>
          <w:lang w:val="sl-SI"/>
        </w:rPr>
        <w:t>priznavanj</w:t>
      </w:r>
      <w:r>
        <w:rPr>
          <w:rFonts w:eastAsia="Calibri" w:cs="Calibri"/>
          <w:sz w:val="18"/>
          <w:szCs w:val="18"/>
          <w:bdr w:val="nil"/>
          <w:lang w:val="sl-SI"/>
        </w:rPr>
        <w:t>a</w:t>
      </w:r>
      <w:r w:rsidRPr="00FC4A70">
        <w:rPr>
          <w:rFonts w:eastAsia="Calibri" w:cs="Calibri"/>
          <w:sz w:val="18"/>
          <w:szCs w:val="18"/>
          <w:bdr w:val="nil"/>
          <w:lang w:val="sl-SI"/>
        </w:rPr>
        <w:t xml:space="preserve"> njihovih</w:t>
      </w:r>
      <w:r>
        <w:rPr>
          <w:rFonts w:eastAsia="Calibri" w:cs="Calibri"/>
          <w:sz w:val="18"/>
          <w:szCs w:val="18"/>
          <w:bdr w:val="nil"/>
          <w:lang w:val="sl-SI"/>
        </w:rPr>
        <w:t xml:space="preserve"> kvalifikacij in</w:t>
      </w:r>
      <w:r w:rsidRPr="00FC4A70">
        <w:rPr>
          <w:rFonts w:eastAsia="Calibri" w:cs="Calibri"/>
          <w:sz w:val="18"/>
          <w:szCs w:val="18"/>
          <w:bdr w:val="nil"/>
          <w:lang w:val="sl-SI"/>
        </w:rPr>
        <w:t xml:space="preserve"> učnih izidov; razvoj študentskih podpornih storitev za spodbujanje internacionalizacije in mobilnosti dijakov PIU prek ukrepov, ki so namenjeni informiranju, motiviranju, pripravi in omogočanju socialnega vključevanja dijakov PIU v državi gostiteljici, pri čemer se krepi medkulturna zavest in aktivno državljanstvo;</w:t>
      </w:r>
    </w:p>
    <w:p w14:paraId="7D3990A7" w14:textId="77777777" w:rsidR="00E03711" w:rsidRPr="00FC4A70" w:rsidRDefault="00E03711" w:rsidP="002D7FF4">
      <w:pPr>
        <w:widowControl/>
        <w:numPr>
          <w:ilvl w:val="0"/>
          <w:numId w:val="83"/>
        </w:numPr>
        <w:suppressAutoHyphens w:val="0"/>
        <w:autoSpaceDN/>
        <w:spacing w:before="120" w:after="120"/>
        <w:jc w:val="both"/>
        <w:textAlignment w:val="auto"/>
        <w:rPr>
          <w:sz w:val="18"/>
          <w:lang w:val="sl-SI"/>
        </w:rPr>
      </w:pPr>
      <w:r w:rsidRPr="00FC4A70">
        <w:rPr>
          <w:rFonts w:eastAsia="Calibri" w:cs="Calibri"/>
          <w:sz w:val="18"/>
          <w:szCs w:val="18"/>
          <w:bdr w:val="nil"/>
          <w:lang w:val="sl-SI"/>
        </w:rPr>
        <w:t xml:space="preserve">Razvoj partnerstev, ki so namenjena </w:t>
      </w:r>
      <w:r w:rsidRPr="00860232">
        <w:rPr>
          <w:rFonts w:eastAsia="Calibri" w:cs="Calibri"/>
          <w:b/>
          <w:bCs/>
          <w:sz w:val="18"/>
          <w:szCs w:val="18"/>
          <w:bdr w:val="nil"/>
          <w:lang w:val="sl-SI"/>
        </w:rPr>
        <w:t>spodbujanju izobraževanja na delovnem mestu v vseh oblikah</w:t>
      </w:r>
      <w:r w:rsidRPr="00FC4A70">
        <w:rPr>
          <w:rFonts w:eastAsia="Calibri" w:cs="Calibri"/>
          <w:sz w:val="18"/>
          <w:szCs w:val="18"/>
          <w:bdr w:val="nil"/>
          <w:lang w:val="sl-SI"/>
        </w:rPr>
        <w:t xml:space="preserve"> </w:t>
      </w:r>
      <w:r>
        <w:rPr>
          <w:rFonts w:eastAsia="Calibri" w:cs="Calibri"/>
          <w:sz w:val="18"/>
          <w:szCs w:val="18"/>
          <w:bdr w:val="nil"/>
          <w:lang w:val="sl-SI"/>
        </w:rPr>
        <w:t xml:space="preserve">tako za mladino kot za odrasle, </w:t>
      </w:r>
      <w:r w:rsidRPr="00FC4A70">
        <w:rPr>
          <w:rFonts w:eastAsia="Calibri" w:cs="Calibri"/>
          <w:sz w:val="18"/>
          <w:szCs w:val="18"/>
          <w:bdr w:val="nil"/>
          <w:lang w:val="sl-SI"/>
        </w:rPr>
        <w:t>in še posebej uveljavitev priporočila Sveta o evropskem okviru za kakovostno in učinkovito vajeništvo</w:t>
      </w:r>
      <w:r w:rsidRPr="00FC4A70">
        <w:rPr>
          <w:sz w:val="18"/>
          <w:szCs w:val="18"/>
          <w:vertAlign w:val="superscript"/>
          <w:lang w:val="en-GB"/>
        </w:rPr>
        <w:footnoteReference w:id="84"/>
      </w:r>
      <w:r w:rsidRPr="00FC4A70">
        <w:rPr>
          <w:rFonts w:eastAsia="Calibri" w:cs="Calibri"/>
          <w:sz w:val="18"/>
          <w:szCs w:val="18"/>
          <w:bdr w:val="nil"/>
          <w:lang w:val="sl-SI"/>
        </w:rPr>
        <w:t>. Ta partnerstva so lahko tudi namenjena razvoju novih izobraževalnih vsebin in skupnih kvalifikacij PIU, ki združujejo obdobja izobraževanja na delovnem mestu, vključno s priložnostmi za uporabo znanja v dejanskih situacijah na delovnem mestu, pri čemer se, kadar je mogoče, vključuje izkušnje mednarodne mobilnosti;</w:t>
      </w:r>
      <w:r w:rsidRPr="00215944">
        <w:rPr>
          <w:rFonts w:eastAsia="Calibri" w:cs="Calibri"/>
          <w:sz w:val="18"/>
          <w:szCs w:val="18"/>
          <w:bdr w:val="nil"/>
          <w:lang w:val="sl-SI"/>
        </w:rPr>
        <w:t xml:space="preserve"> </w:t>
      </w:r>
    </w:p>
    <w:p w14:paraId="7D3990A8" w14:textId="77777777" w:rsidR="00E03711" w:rsidRPr="00FC4A70" w:rsidRDefault="00E03711" w:rsidP="002D7FF4">
      <w:pPr>
        <w:widowControl/>
        <w:numPr>
          <w:ilvl w:val="0"/>
          <w:numId w:val="83"/>
        </w:numPr>
        <w:suppressAutoHyphens w:val="0"/>
        <w:autoSpaceDN/>
        <w:spacing w:before="120" w:after="120"/>
        <w:jc w:val="both"/>
        <w:textAlignment w:val="auto"/>
        <w:rPr>
          <w:sz w:val="18"/>
          <w:lang w:val="sl-SI"/>
        </w:rPr>
      </w:pPr>
      <w:r w:rsidRPr="00FC4A70">
        <w:rPr>
          <w:rFonts w:eastAsia="Calibri" w:cs="Calibri"/>
          <w:sz w:val="18"/>
          <w:szCs w:val="18"/>
          <w:bdr w:val="nil"/>
          <w:lang w:val="sl-SI"/>
        </w:rPr>
        <w:t xml:space="preserve">Izboljšanje </w:t>
      </w:r>
      <w:r w:rsidRPr="00860232">
        <w:rPr>
          <w:rFonts w:eastAsia="Calibri" w:cs="Calibri"/>
          <w:b/>
          <w:bCs/>
          <w:sz w:val="18"/>
          <w:szCs w:val="18"/>
          <w:bdr w:val="nil"/>
          <w:lang w:val="sl-SI"/>
        </w:rPr>
        <w:t>kakovosti v PIU</w:t>
      </w:r>
      <w:r w:rsidRPr="00FC4A70">
        <w:rPr>
          <w:rFonts w:eastAsia="Calibri" w:cs="Calibri"/>
          <w:sz w:val="18"/>
          <w:szCs w:val="18"/>
          <w:bdr w:val="nil"/>
          <w:lang w:val="sl-SI"/>
        </w:rPr>
        <w:t xml:space="preserve"> z vzpostavitvijo povratnih informacij za prilagoditev ponudbe PIU, vključno z vzpostavitvijo ali preskušanjem ureditev za spremljanje dijakov, ki so zaključili šolanje, kot del sistema za zagotavljanje kakovosti, v skladu s priporočilom Sveta o spremljanju dijakov, ki so zaključili šolanje, in priporočilom Evropskega referenčnega okvira za zagotavljanje kakovosti poklicnega izobraževanja in usposabljanja (EQAVET)</w:t>
      </w:r>
      <w:r w:rsidRPr="00FC4A70">
        <w:rPr>
          <w:sz w:val="18"/>
          <w:szCs w:val="18"/>
          <w:vertAlign w:val="superscript"/>
          <w:lang w:val="en-GB"/>
        </w:rPr>
        <w:footnoteReference w:id="85"/>
      </w:r>
      <w:r w:rsidRPr="00FC4A70">
        <w:rPr>
          <w:rFonts w:eastAsia="Calibri" w:cs="Calibri"/>
          <w:sz w:val="18"/>
          <w:szCs w:val="18"/>
          <w:bdr w:val="nil"/>
          <w:lang w:val="sl-SI"/>
        </w:rPr>
        <w:t>;</w:t>
      </w:r>
    </w:p>
    <w:p w14:paraId="7D3990A9" w14:textId="77777777" w:rsidR="00E03711" w:rsidRPr="00FC4A70" w:rsidRDefault="00E03711" w:rsidP="002D7FF4">
      <w:pPr>
        <w:widowControl/>
        <w:numPr>
          <w:ilvl w:val="0"/>
          <w:numId w:val="83"/>
        </w:numPr>
        <w:suppressAutoHyphens w:val="0"/>
        <w:autoSpaceDN/>
        <w:spacing w:before="120" w:after="120"/>
        <w:ind w:left="357" w:hanging="357"/>
        <w:jc w:val="both"/>
        <w:textAlignment w:val="auto"/>
        <w:rPr>
          <w:sz w:val="18"/>
          <w:lang w:val="sl-SI"/>
        </w:rPr>
      </w:pPr>
      <w:r w:rsidRPr="00FC4A70">
        <w:rPr>
          <w:rFonts w:eastAsia="Calibri" w:cs="Calibri"/>
          <w:sz w:val="18"/>
          <w:szCs w:val="18"/>
          <w:bdr w:val="nil"/>
          <w:lang w:val="sl-SI"/>
        </w:rPr>
        <w:t xml:space="preserve">Spodbujanje </w:t>
      </w:r>
      <w:r w:rsidRPr="00860232">
        <w:rPr>
          <w:rFonts w:eastAsia="Calibri" w:cs="Calibri"/>
          <w:b/>
          <w:bCs/>
          <w:sz w:val="18"/>
          <w:szCs w:val="18"/>
          <w:bdr w:val="nil"/>
          <w:lang w:val="sl-SI"/>
        </w:rPr>
        <w:t>dostopa do izobraževanja in usposabljanja za vse</w:t>
      </w:r>
      <w:r w:rsidRPr="00FC4A70">
        <w:rPr>
          <w:rFonts w:eastAsia="Calibri" w:cs="Calibri"/>
          <w:sz w:val="18"/>
          <w:szCs w:val="18"/>
          <w:bdr w:val="nil"/>
          <w:lang w:val="sl-SI"/>
        </w:rPr>
        <w:t xml:space="preserve"> prek nadaljevalnega PIU, s posebnim poudarkom na nizkokvalificiranih posameznikih, še posebej s povečanjem kakovosti, ponudbe in dostopnosti nadaljevalne PIU, potrjevanjem neformalnega izobraževanja in priložnostnega učenja, spodbujanjem izobraževanja na delovnem mestu, zagotavljanjem učinkovitih in celovitih svetovalnih storitev in fleksibilnih in prepustnih izobraževalnih poti; vključuje razvoj partnerstev med mikro, majhnimi in srednje velikimi podjetji in ponudniki PIU, z namenom spodbujanja centrov skupnih kompetenc, izobraževalnih omrežij, zbiranjem virov in zagotavljanjem začetnega in/ali nadaljevalnega usposabljanja njihovega osebja;</w:t>
      </w:r>
    </w:p>
    <w:p w14:paraId="7D3990AA" w14:textId="77777777" w:rsidR="00E03711" w:rsidRPr="00FC4A70" w:rsidRDefault="00E03711" w:rsidP="002D7FF4">
      <w:pPr>
        <w:widowControl/>
        <w:numPr>
          <w:ilvl w:val="0"/>
          <w:numId w:val="83"/>
        </w:numPr>
        <w:suppressAutoHyphens w:val="0"/>
        <w:autoSpaceDN/>
        <w:spacing w:before="120" w:after="120"/>
        <w:ind w:left="357" w:hanging="357"/>
        <w:jc w:val="both"/>
        <w:textAlignment w:val="auto"/>
        <w:rPr>
          <w:sz w:val="18"/>
          <w:szCs w:val="18"/>
          <w:lang w:val="sl-SI"/>
        </w:rPr>
      </w:pPr>
      <w:r w:rsidRPr="00FC4A70">
        <w:rPr>
          <w:rFonts w:eastAsia="Calibri" w:cs="Calibri"/>
          <w:sz w:val="18"/>
          <w:szCs w:val="18"/>
          <w:bdr w:val="nil"/>
          <w:lang w:val="sl-SI"/>
        </w:rPr>
        <w:t xml:space="preserve">Nadaljnje utrjevanje </w:t>
      </w:r>
      <w:r w:rsidRPr="00860232">
        <w:rPr>
          <w:rFonts w:eastAsia="Calibri" w:cs="Calibri"/>
          <w:b/>
          <w:bCs/>
          <w:sz w:val="18"/>
          <w:szCs w:val="18"/>
          <w:bdr w:val="nil"/>
          <w:lang w:val="sl-SI"/>
        </w:rPr>
        <w:t>ključnih kompetenc</w:t>
      </w:r>
      <w:r w:rsidRPr="00FC4A70">
        <w:rPr>
          <w:rFonts w:eastAsia="Calibri" w:cs="Calibri"/>
          <w:sz w:val="18"/>
          <w:szCs w:val="18"/>
          <w:bdr w:val="nil"/>
          <w:lang w:val="sl-SI"/>
        </w:rPr>
        <w:t xml:space="preserve"> v začetnem in nadaljevalnem PIU</w:t>
      </w:r>
      <w:r>
        <w:rPr>
          <w:rFonts w:eastAsia="Calibri" w:cs="Calibri"/>
          <w:sz w:val="18"/>
          <w:szCs w:val="18"/>
          <w:bdr w:val="nil"/>
          <w:lang w:val="sl-SI"/>
        </w:rPr>
        <w:t>,</w:t>
      </w:r>
      <w:r w:rsidRPr="00FC4A70">
        <w:rPr>
          <w:rFonts w:eastAsia="Calibri" w:cs="Calibri"/>
          <w:sz w:val="18"/>
          <w:szCs w:val="18"/>
          <w:bdr w:val="nil"/>
          <w:lang w:val="sl-SI"/>
        </w:rPr>
        <w:t xml:space="preserve"> še posebej bralna, matematična</w:t>
      </w:r>
      <w:r>
        <w:rPr>
          <w:rFonts w:eastAsia="Calibri" w:cs="Calibri"/>
          <w:sz w:val="18"/>
          <w:szCs w:val="18"/>
          <w:bdr w:val="nil"/>
          <w:lang w:val="sl-SI"/>
        </w:rPr>
        <w:t>,</w:t>
      </w:r>
      <w:r w:rsidRPr="00FC4A70">
        <w:rPr>
          <w:rFonts w:eastAsia="Calibri" w:cs="Calibri"/>
          <w:sz w:val="18"/>
          <w:szCs w:val="18"/>
          <w:bdr w:val="nil"/>
          <w:lang w:val="sl-SI"/>
        </w:rPr>
        <w:t xml:space="preserve"> digitalna </w:t>
      </w:r>
      <w:r>
        <w:rPr>
          <w:rFonts w:eastAsia="Calibri" w:cs="Calibri"/>
          <w:sz w:val="18"/>
          <w:szCs w:val="18"/>
          <w:bdr w:val="nil"/>
          <w:lang w:val="sl-SI"/>
        </w:rPr>
        <w:t xml:space="preserve">in podjetniška </w:t>
      </w:r>
      <w:r w:rsidRPr="00FC4A70">
        <w:rPr>
          <w:rFonts w:eastAsia="Calibri" w:cs="Calibri"/>
          <w:sz w:val="18"/>
          <w:szCs w:val="18"/>
          <w:bdr w:val="nil"/>
          <w:lang w:val="sl-SI"/>
        </w:rPr>
        <w:t xml:space="preserve">pismenost ter tuji jeziki), vključno s skupnimi metodologijami za uvajanje teh kompetenc v učne načrte, kot tudi za pridobivanje, podajanje in ocenjevanje učnih izidov teh učnih načrtov; </w:t>
      </w:r>
    </w:p>
    <w:p w14:paraId="7D3990AB" w14:textId="77777777" w:rsidR="00E03711" w:rsidRPr="00FC4A70" w:rsidRDefault="00E03711" w:rsidP="002D7FF4">
      <w:pPr>
        <w:widowControl/>
        <w:numPr>
          <w:ilvl w:val="0"/>
          <w:numId w:val="83"/>
        </w:numPr>
        <w:suppressAutoHyphens w:val="0"/>
        <w:autoSpaceDN/>
        <w:spacing w:before="120" w:after="120"/>
        <w:ind w:left="357" w:hanging="357"/>
        <w:jc w:val="both"/>
        <w:textAlignment w:val="auto"/>
        <w:rPr>
          <w:sz w:val="18"/>
          <w:szCs w:val="18"/>
          <w:lang w:val="sl-SI"/>
        </w:rPr>
      </w:pPr>
      <w:r w:rsidRPr="00FC4A70">
        <w:rPr>
          <w:rFonts w:eastAsia="Calibri" w:cs="Calibri"/>
          <w:sz w:val="18"/>
          <w:szCs w:val="18"/>
          <w:bdr w:val="nil"/>
          <w:lang w:val="sl-SI"/>
        </w:rPr>
        <w:t>Podpiranje uvedbe inovativnih pristopov in digitalnih tehnologij za poučevanje in izobraževanje, kot je navedeno v Akcijskem načrtu za digitalno izobraževanje, vključno z učinkovito rabo orodja za samorefleksijo SELFIE v podporo celovitemu pristopu k inovacijam in uporabi digitalnih tehnologij za pedagoške, administrativne, tehnične in organizacijske spremembe;</w:t>
      </w:r>
    </w:p>
    <w:p w14:paraId="7D3990AC" w14:textId="77777777" w:rsidR="00E03711" w:rsidRPr="00FC4A70" w:rsidRDefault="00E03711" w:rsidP="002D7FF4">
      <w:pPr>
        <w:widowControl/>
        <w:numPr>
          <w:ilvl w:val="0"/>
          <w:numId w:val="83"/>
        </w:numPr>
        <w:suppressAutoHyphens w:val="0"/>
        <w:autoSpaceDN/>
        <w:spacing w:before="120" w:after="120"/>
        <w:ind w:left="357" w:hanging="357"/>
        <w:jc w:val="both"/>
        <w:textAlignment w:val="auto"/>
        <w:rPr>
          <w:sz w:val="18"/>
          <w:lang w:val="sl-SI"/>
        </w:rPr>
      </w:pPr>
      <w:r w:rsidRPr="00FC4A70">
        <w:rPr>
          <w:rFonts w:eastAsia="Calibri" w:cs="Calibri"/>
          <w:sz w:val="18"/>
          <w:szCs w:val="18"/>
          <w:bdr w:val="nil"/>
          <w:lang w:val="sl-SI"/>
        </w:rPr>
        <w:t xml:space="preserve">Uvedba sistematičnih pristopov k začetnemu in stalnemu strokovnemu razvoju učiteljev, </w:t>
      </w:r>
      <w:r w:rsidRPr="00860232">
        <w:rPr>
          <w:rFonts w:eastAsia="Calibri" w:cs="Calibri"/>
          <w:b/>
          <w:bCs/>
          <w:sz w:val="18"/>
          <w:szCs w:val="18"/>
          <w:bdr w:val="nil"/>
          <w:lang w:val="sl-SI"/>
        </w:rPr>
        <w:t>vodij usposabljanja in mentorjev PIU</w:t>
      </w:r>
      <w:r w:rsidRPr="00FC4A70">
        <w:rPr>
          <w:rFonts w:eastAsia="Calibri" w:cs="Calibri"/>
          <w:sz w:val="18"/>
          <w:szCs w:val="18"/>
          <w:bdr w:val="nil"/>
          <w:lang w:val="sl-SI"/>
        </w:rPr>
        <w:t xml:space="preserve"> v šolah in delovnem okolju (vključno z vajeništvom), </w:t>
      </w:r>
      <w:r>
        <w:rPr>
          <w:rFonts w:eastAsia="Calibri" w:cs="Calibri"/>
          <w:sz w:val="18"/>
          <w:szCs w:val="18"/>
          <w:bdr w:val="nil"/>
          <w:lang w:val="sl-SI"/>
        </w:rPr>
        <w:t>ter</w:t>
      </w:r>
      <w:r w:rsidRPr="00FC4A70">
        <w:rPr>
          <w:rFonts w:eastAsia="Calibri" w:cs="Calibri"/>
          <w:sz w:val="18"/>
          <w:szCs w:val="18"/>
          <w:bdr w:val="nil"/>
          <w:lang w:val="sl-SI"/>
        </w:rPr>
        <w:t xml:space="preserve"> z razvojem učinkovitega digitalnega, odprtega in inovativnega izobraževanja in pedagogike, kot tudi praktičnih orodij; </w:t>
      </w:r>
      <w:r>
        <w:rPr>
          <w:rFonts w:eastAsia="Calibri" w:cs="Calibri"/>
          <w:sz w:val="18"/>
          <w:szCs w:val="18"/>
          <w:bdr w:val="nil"/>
          <w:lang w:val="sl-SI"/>
        </w:rPr>
        <w:t>povečanje privlačnosti poklicev za učitelje, vodje usposabljanja in mentorje  in vodje PIU;</w:t>
      </w:r>
    </w:p>
    <w:p w14:paraId="7D3990AD" w14:textId="77777777" w:rsidR="00E03711" w:rsidRPr="00FC4A70" w:rsidRDefault="00E03711" w:rsidP="002D7FF4">
      <w:pPr>
        <w:widowControl/>
        <w:numPr>
          <w:ilvl w:val="0"/>
          <w:numId w:val="83"/>
        </w:numPr>
        <w:suppressAutoHyphens w:val="0"/>
        <w:autoSpaceDN/>
        <w:spacing w:before="120" w:after="120"/>
        <w:jc w:val="both"/>
        <w:textAlignment w:val="auto"/>
        <w:rPr>
          <w:sz w:val="18"/>
          <w:szCs w:val="18"/>
          <w:lang w:val="sl-SI"/>
        </w:rPr>
      </w:pPr>
      <w:r w:rsidRPr="00FC4A70">
        <w:rPr>
          <w:rFonts w:eastAsia="Calibri" w:cs="Calibri"/>
          <w:sz w:val="18"/>
          <w:szCs w:val="18"/>
          <w:bdr w:val="nil"/>
          <w:lang w:val="sl-SI"/>
        </w:rPr>
        <w:t xml:space="preserve">Razvoj trajnega partnerstva za vzpostavitev in/ali nadaljnji razvoj </w:t>
      </w:r>
      <w:r w:rsidRPr="00860232">
        <w:rPr>
          <w:rFonts w:eastAsia="Calibri" w:cs="Calibri"/>
          <w:b/>
          <w:bCs/>
          <w:sz w:val="18"/>
          <w:szCs w:val="18"/>
          <w:bdr w:val="nil"/>
          <w:lang w:val="sl-SI"/>
        </w:rPr>
        <w:t>organiziranja državnih, regionalnih in področnih tekmovanj v znanju</w:t>
      </w:r>
      <w:r w:rsidRPr="00FC4A70">
        <w:rPr>
          <w:rFonts w:eastAsia="Calibri" w:cs="Calibri"/>
          <w:sz w:val="18"/>
          <w:szCs w:val="18"/>
          <w:bdr w:val="nil"/>
          <w:lang w:val="sl-SI"/>
        </w:rPr>
        <w:t>, kot obliki povečevanja privlačnosti in odličnosti v PIU. Ta partnerstva lahko razvijajo in podpirajo</w:t>
      </w:r>
      <w:r>
        <w:rPr>
          <w:rFonts w:eastAsia="Calibri" w:cs="Calibri"/>
          <w:sz w:val="18"/>
          <w:szCs w:val="18"/>
          <w:bdr w:val="nil"/>
          <w:lang w:val="sl-SI"/>
        </w:rPr>
        <w:t xml:space="preserve"> praktično</w:t>
      </w:r>
      <w:r w:rsidRPr="00FC4A70">
        <w:rPr>
          <w:rFonts w:eastAsia="Calibri" w:cs="Calibri"/>
          <w:sz w:val="18"/>
          <w:szCs w:val="18"/>
          <w:bdr w:val="nil"/>
          <w:lang w:val="sl-SI"/>
        </w:rPr>
        <w:t xml:space="preserve"> ureditev za pripravo, usposabljanje in udeležbo dijakov in osebja PIU na mednarodnih, državnih, regionalnih in področnih tekmovanj iz znanja, v tesnem sodelovanju s podjetji, ponudniki PIU, zbornicami in drugimi relevantnimi deležniki. </w:t>
      </w:r>
    </w:p>
    <w:p w14:paraId="7D3990AE" w14:textId="77777777" w:rsidR="00E03711" w:rsidRPr="00FC4A70" w:rsidRDefault="00E03711" w:rsidP="00A151BA">
      <w:pPr>
        <w:jc w:val="both"/>
        <w:rPr>
          <w:sz w:val="18"/>
          <w:lang w:val="sl-SI"/>
        </w:rPr>
      </w:pPr>
      <w:r w:rsidRPr="00FC4A70">
        <w:rPr>
          <w:rFonts w:eastAsia="Calibri" w:cs="Calibri"/>
          <w:sz w:val="18"/>
          <w:szCs w:val="18"/>
          <w:bdr w:val="nil"/>
          <w:lang w:val="sl-SI"/>
        </w:rPr>
        <w:t xml:space="preserve">Na področju </w:t>
      </w:r>
      <w:r w:rsidRPr="00FC4A70">
        <w:rPr>
          <w:rFonts w:eastAsia="Calibri" w:cs="Calibri"/>
          <w:b/>
          <w:bCs/>
          <w:sz w:val="18"/>
          <w:szCs w:val="18"/>
          <w:bdr w:val="nil"/>
          <w:lang w:val="sl-SI"/>
        </w:rPr>
        <w:t>izobraževanja odraslih</w:t>
      </w:r>
      <w:r w:rsidRPr="00FC4A70">
        <w:rPr>
          <w:rFonts w:eastAsia="Calibri" w:cs="Calibri"/>
          <w:sz w:val="18"/>
          <w:szCs w:val="18"/>
          <w:bdr w:val="nil"/>
          <w:lang w:val="sl-SI"/>
        </w:rPr>
        <w:t xml:space="preserve"> bodo prednost imeli naslednji ukrepi:</w:t>
      </w:r>
    </w:p>
    <w:p w14:paraId="7D3990AF" w14:textId="77777777" w:rsidR="00E03711" w:rsidRPr="00FC4A70" w:rsidRDefault="00E03711" w:rsidP="002D7FF4">
      <w:pPr>
        <w:widowControl/>
        <w:numPr>
          <w:ilvl w:val="0"/>
          <w:numId w:val="83"/>
        </w:numPr>
        <w:suppressAutoHyphens w:val="0"/>
        <w:autoSpaceDN/>
        <w:spacing w:before="120" w:after="120"/>
        <w:ind w:left="357" w:hanging="357"/>
        <w:jc w:val="both"/>
        <w:textAlignment w:val="auto"/>
        <w:rPr>
          <w:sz w:val="18"/>
          <w:lang w:val="sl-SI"/>
        </w:rPr>
      </w:pPr>
      <w:r w:rsidRPr="00FC4A70">
        <w:rPr>
          <w:rFonts w:eastAsia="Calibri" w:cs="Calibri"/>
          <w:sz w:val="18"/>
          <w:szCs w:val="18"/>
          <w:bdr w:val="nil"/>
          <w:lang w:val="sl-SI"/>
        </w:rPr>
        <w:t xml:space="preserve">Izboljšanje in razširitev </w:t>
      </w:r>
      <w:r w:rsidRPr="00FC4A70">
        <w:rPr>
          <w:rFonts w:eastAsia="Calibri" w:cs="Calibri"/>
          <w:b/>
          <w:bCs/>
          <w:sz w:val="18"/>
          <w:szCs w:val="18"/>
          <w:bdr w:val="nil"/>
          <w:lang w:val="sl-SI"/>
        </w:rPr>
        <w:t>nabora priložnosti za visokokakovostno učenje</w:t>
      </w:r>
      <w:r>
        <w:rPr>
          <w:rFonts w:eastAsia="Calibri" w:cs="Calibri"/>
          <w:b/>
          <w:bCs/>
          <w:sz w:val="18"/>
          <w:szCs w:val="18"/>
          <w:bdr w:val="nil"/>
          <w:lang w:val="sl-SI"/>
        </w:rPr>
        <w:t xml:space="preserve"> odraslih</w:t>
      </w:r>
      <w:r w:rsidRPr="00FC4A70">
        <w:rPr>
          <w:rFonts w:eastAsia="Calibri" w:cs="Calibri"/>
          <w:sz w:val="18"/>
          <w:szCs w:val="18"/>
          <w:bdr w:val="nil"/>
          <w:lang w:val="sl-SI"/>
        </w:rPr>
        <w:t xml:space="preserve">, </w:t>
      </w:r>
      <w:r>
        <w:rPr>
          <w:rFonts w:eastAsia="Calibri" w:cs="Calibri"/>
          <w:sz w:val="18"/>
          <w:szCs w:val="18"/>
          <w:bdr w:val="nil"/>
          <w:lang w:val="sl-SI"/>
        </w:rPr>
        <w:t xml:space="preserve">in sicer z omogočanjem fleksibilnih ponudb učenja, ki so prilagojene njihovim učnim potrebam (npr. kombinirano učenje, digitalno učenje in aplikacije), ter s potrjevanjem spretnosti, pridobljenih </w:t>
      </w:r>
      <w:r w:rsidRPr="00FC4A70">
        <w:rPr>
          <w:rFonts w:eastAsia="Calibri" w:cs="Calibri"/>
          <w:sz w:val="18"/>
          <w:szCs w:val="18"/>
          <w:bdr w:val="nil"/>
          <w:lang w:val="sl-SI"/>
        </w:rPr>
        <w:t>s priložnostnim in neformalnim učenjem</w:t>
      </w:r>
      <w:r>
        <w:rPr>
          <w:rFonts w:eastAsia="Calibri" w:cs="Calibri"/>
          <w:sz w:val="18"/>
          <w:szCs w:val="18"/>
          <w:bdr w:val="nil"/>
          <w:lang w:val="sl-SI"/>
        </w:rPr>
        <w:t>.</w:t>
      </w:r>
    </w:p>
    <w:p w14:paraId="7D3990B0" w14:textId="77777777" w:rsidR="00E03711" w:rsidRPr="0030441A" w:rsidRDefault="00E03711" w:rsidP="002D7FF4">
      <w:pPr>
        <w:widowControl/>
        <w:numPr>
          <w:ilvl w:val="0"/>
          <w:numId w:val="83"/>
        </w:numPr>
        <w:suppressAutoHyphens w:val="0"/>
        <w:autoSpaceDN/>
        <w:spacing w:before="120" w:after="120"/>
        <w:jc w:val="both"/>
        <w:textAlignment w:val="auto"/>
        <w:rPr>
          <w:sz w:val="18"/>
          <w:lang w:val="sl-SI"/>
        </w:rPr>
      </w:pPr>
      <w:r w:rsidRPr="00FC4A70">
        <w:rPr>
          <w:rFonts w:eastAsia="Calibri" w:cs="Calibri"/>
          <w:sz w:val="18"/>
          <w:szCs w:val="18"/>
          <w:bdr w:val="nil"/>
          <w:lang w:val="sl-SI"/>
        </w:rPr>
        <w:t xml:space="preserve">Podpora vzpostavitvi in </w:t>
      </w:r>
      <w:r w:rsidRPr="00FC4A70">
        <w:rPr>
          <w:rFonts w:eastAsia="Calibri" w:cs="Calibri"/>
          <w:b/>
          <w:bCs/>
          <w:sz w:val="18"/>
          <w:szCs w:val="18"/>
          <w:bdr w:val="nil"/>
          <w:lang w:val="sl-SI"/>
        </w:rPr>
        <w:t>dostopu do poti nadgrajevanja znanja</w:t>
      </w:r>
      <w:r w:rsidRPr="00FC4A70">
        <w:rPr>
          <w:rFonts w:eastAsia="Calibri" w:cs="Calibri"/>
          <w:sz w:val="18"/>
          <w:szCs w:val="18"/>
          <w:bdr w:val="nil"/>
          <w:lang w:val="sl-SI"/>
        </w:rPr>
        <w:t xml:space="preserve"> </w:t>
      </w:r>
      <w:r>
        <w:rPr>
          <w:rFonts w:eastAsia="Calibri" w:cs="Calibri"/>
          <w:sz w:val="18"/>
          <w:szCs w:val="18"/>
          <w:bdr w:val="nil"/>
          <w:lang w:val="sl-SI"/>
        </w:rPr>
        <w:t>za nizko usposobljene in nizko kvalificirane odrasle, kar jim omogoča izboljšati bralne, matematične in digitalne kompetence, kot tudi druge ključne kompetence, in napredovati v višje kvalifikacije, vključno s prepoznanimi spretnostmi in možnostjo presejanja ali prilagojenega učenja.</w:t>
      </w:r>
    </w:p>
    <w:p w14:paraId="7D3990B1" w14:textId="77777777" w:rsidR="00E03711" w:rsidRPr="0030441A" w:rsidRDefault="00E03711" w:rsidP="002D7FF4">
      <w:pPr>
        <w:widowControl/>
        <w:numPr>
          <w:ilvl w:val="0"/>
          <w:numId w:val="83"/>
        </w:numPr>
        <w:suppressAutoHyphens w:val="0"/>
        <w:autoSpaceDN/>
        <w:spacing w:before="120" w:after="120"/>
        <w:ind w:left="357" w:hanging="357"/>
        <w:jc w:val="both"/>
        <w:textAlignment w:val="auto"/>
        <w:rPr>
          <w:sz w:val="18"/>
          <w:lang w:val="sl-SI"/>
        </w:rPr>
      </w:pPr>
      <w:r w:rsidRPr="00FC4A70">
        <w:rPr>
          <w:rFonts w:eastAsia="Calibri" w:cs="Calibri"/>
          <w:sz w:val="18"/>
          <w:szCs w:val="18"/>
          <w:bdr w:val="nil"/>
          <w:lang w:val="sl-SI"/>
        </w:rPr>
        <w:t xml:space="preserve">Povečanje </w:t>
      </w:r>
      <w:r w:rsidRPr="00FC4A70">
        <w:rPr>
          <w:rFonts w:eastAsia="Calibri" w:cs="Calibri"/>
          <w:b/>
          <w:bCs/>
          <w:sz w:val="18"/>
          <w:szCs w:val="18"/>
          <w:bdr w:val="nil"/>
          <w:lang w:val="sl-SI"/>
        </w:rPr>
        <w:t xml:space="preserve">povpraševanja po izobraževanju in pristopa k izobraževanju </w:t>
      </w:r>
      <w:r w:rsidRPr="00FC4A70">
        <w:rPr>
          <w:rFonts w:eastAsia="Calibri" w:cs="Calibri"/>
          <w:sz w:val="18"/>
          <w:szCs w:val="18"/>
          <w:bdr w:val="nil"/>
          <w:lang w:val="sl-SI"/>
        </w:rPr>
        <w:t>z učinkovitimi strategijami doseganja, usmerjanja in motiviranja, ki</w:t>
      </w:r>
      <w:r>
        <w:rPr>
          <w:rFonts w:eastAsia="Calibri" w:cs="Calibri"/>
          <w:sz w:val="18"/>
          <w:szCs w:val="18"/>
          <w:bdr w:val="nil"/>
          <w:lang w:val="sl-SI"/>
        </w:rPr>
        <w:t xml:space="preserve"> podpirajo poti nadgrajevanja znanja s tem, da</w:t>
      </w:r>
      <w:r w:rsidRPr="00FC4A70">
        <w:rPr>
          <w:rFonts w:eastAsia="Calibri" w:cs="Calibri"/>
          <w:sz w:val="18"/>
          <w:szCs w:val="18"/>
          <w:bdr w:val="nil"/>
          <w:lang w:val="sl-SI"/>
        </w:rPr>
        <w:t xml:space="preserve"> nizko usposobljene </w:t>
      </w:r>
      <w:r>
        <w:rPr>
          <w:rFonts w:eastAsia="Calibri" w:cs="Calibri"/>
          <w:sz w:val="18"/>
          <w:szCs w:val="18"/>
          <w:bdr w:val="nil"/>
          <w:lang w:val="sl-SI"/>
        </w:rPr>
        <w:t>in/</w:t>
      </w:r>
      <w:r w:rsidRPr="00FC4A70">
        <w:rPr>
          <w:rFonts w:eastAsia="Calibri" w:cs="Calibri"/>
          <w:sz w:val="18"/>
          <w:szCs w:val="18"/>
          <w:bdr w:val="nil"/>
          <w:lang w:val="sl-SI"/>
        </w:rPr>
        <w:t>ali nizkokvalificirane odrasle spodbu</w:t>
      </w:r>
      <w:r>
        <w:rPr>
          <w:rFonts w:eastAsia="Calibri" w:cs="Calibri"/>
          <w:sz w:val="18"/>
          <w:szCs w:val="18"/>
          <w:bdr w:val="nil"/>
          <w:lang w:val="sl-SI"/>
        </w:rPr>
        <w:t>jajo in podpirajo, ali s tem, da razvijajo vodenje kot storitev, ki zagotavlja, da imajo odrasli dostop do relevantnega učenja skozi vse življenje.</w:t>
      </w:r>
    </w:p>
    <w:p w14:paraId="7D3990B2" w14:textId="77777777" w:rsidR="00E03711" w:rsidRPr="00553EB8" w:rsidRDefault="00E03711" w:rsidP="002D7FF4">
      <w:pPr>
        <w:widowControl/>
        <w:numPr>
          <w:ilvl w:val="0"/>
          <w:numId w:val="83"/>
        </w:numPr>
        <w:suppressAutoHyphens w:val="0"/>
        <w:autoSpaceDN/>
        <w:spacing w:before="120" w:after="120"/>
        <w:ind w:left="357" w:hanging="357"/>
        <w:jc w:val="both"/>
        <w:textAlignment w:val="auto"/>
        <w:rPr>
          <w:sz w:val="18"/>
          <w:lang w:val="sl-SI"/>
        </w:rPr>
      </w:pPr>
      <w:r w:rsidRPr="00FC4A70">
        <w:rPr>
          <w:rFonts w:eastAsia="Calibri" w:cs="Calibri"/>
          <w:sz w:val="18"/>
          <w:szCs w:val="18"/>
          <w:bdr w:val="nil"/>
          <w:lang w:val="sl-SI"/>
        </w:rPr>
        <w:t xml:space="preserve">Širjenje in razvoj </w:t>
      </w:r>
      <w:r w:rsidRPr="00FC4A70">
        <w:rPr>
          <w:rFonts w:eastAsia="Calibri" w:cs="Calibri"/>
          <w:b/>
          <w:bCs/>
          <w:sz w:val="18"/>
          <w:szCs w:val="18"/>
          <w:bdr w:val="nil"/>
          <w:lang w:val="sl-SI"/>
        </w:rPr>
        <w:t xml:space="preserve">kompetenc izobraževalnega </w:t>
      </w:r>
      <w:r w:rsidRPr="00FC4A70">
        <w:rPr>
          <w:rFonts w:eastAsia="Calibri" w:cs="Calibri"/>
          <w:sz w:val="18"/>
          <w:szCs w:val="18"/>
          <w:bdr w:val="nil"/>
          <w:lang w:val="sl-SI"/>
        </w:rPr>
        <w:t xml:space="preserve">in drugega osebja, ki podpira odrasle udeležence v izobraževanju, še zlasti </w:t>
      </w:r>
      <w:r>
        <w:rPr>
          <w:rFonts w:eastAsia="Calibri" w:cs="Calibri"/>
          <w:sz w:val="18"/>
          <w:szCs w:val="18"/>
          <w:bdr w:val="nil"/>
          <w:lang w:val="sl-SI"/>
        </w:rPr>
        <w:t xml:space="preserve">pri ocenjevanju njihovega predhodnega znanja in spretnosti ter pri </w:t>
      </w:r>
      <w:r w:rsidRPr="00FC4A70">
        <w:rPr>
          <w:rFonts w:eastAsia="Calibri" w:cs="Calibri"/>
          <w:sz w:val="18"/>
          <w:szCs w:val="18"/>
          <w:bdr w:val="nil"/>
          <w:lang w:val="sl-SI"/>
        </w:rPr>
        <w:t>motiviranj</w:t>
      </w:r>
      <w:r>
        <w:rPr>
          <w:rFonts w:eastAsia="Calibri" w:cs="Calibri"/>
          <w:sz w:val="18"/>
          <w:szCs w:val="18"/>
          <w:bdr w:val="nil"/>
          <w:lang w:val="sl-SI"/>
        </w:rPr>
        <w:t>u</w:t>
      </w:r>
      <w:r w:rsidRPr="00FC4A70">
        <w:rPr>
          <w:rFonts w:eastAsia="Calibri" w:cs="Calibri"/>
          <w:sz w:val="18"/>
          <w:szCs w:val="18"/>
          <w:bdr w:val="nil"/>
          <w:lang w:val="sl-SI"/>
        </w:rPr>
        <w:t xml:space="preserve"> odraslih, da </w:t>
      </w:r>
      <w:r>
        <w:rPr>
          <w:rFonts w:eastAsia="Calibri" w:cs="Calibri"/>
          <w:sz w:val="18"/>
          <w:szCs w:val="18"/>
          <w:bdr w:val="nil"/>
          <w:lang w:val="sl-SI"/>
        </w:rPr>
        <w:t>se učijo;  izboljševanje metod in orodij poučevanja</w:t>
      </w:r>
      <w:r w:rsidRPr="00FC4A70">
        <w:rPr>
          <w:rFonts w:eastAsia="Calibri" w:cs="Calibri"/>
          <w:sz w:val="18"/>
          <w:szCs w:val="18"/>
          <w:bdr w:val="nil"/>
          <w:lang w:val="sl-SI"/>
        </w:rPr>
        <w:t xml:space="preserve"> </w:t>
      </w:r>
      <w:r>
        <w:rPr>
          <w:rFonts w:eastAsia="Calibri" w:cs="Calibri"/>
          <w:sz w:val="18"/>
          <w:szCs w:val="18"/>
          <w:bdr w:val="nil"/>
          <w:lang w:val="sl-SI"/>
        </w:rPr>
        <w:t>z učinkovito uporabo inovativnih rešitev in digitalnih tehnologij.</w:t>
      </w:r>
    </w:p>
    <w:p w14:paraId="7D3990B3" w14:textId="6DA0EF4C" w:rsidR="00E03711" w:rsidRPr="00654F6A" w:rsidRDefault="00E03711" w:rsidP="002D7FF4">
      <w:pPr>
        <w:widowControl/>
        <w:numPr>
          <w:ilvl w:val="0"/>
          <w:numId w:val="83"/>
        </w:numPr>
        <w:suppressAutoHyphens w:val="0"/>
        <w:autoSpaceDN/>
        <w:spacing w:before="120" w:after="120"/>
        <w:ind w:left="357" w:hanging="357"/>
        <w:jc w:val="both"/>
        <w:textAlignment w:val="auto"/>
        <w:rPr>
          <w:sz w:val="18"/>
          <w:lang w:val="sl-SI"/>
        </w:rPr>
      </w:pPr>
      <w:r w:rsidRPr="00860232">
        <w:rPr>
          <w:rFonts w:eastAsia="Calibri" w:cs="Calibri"/>
          <w:b/>
          <w:bCs/>
          <w:sz w:val="18"/>
          <w:szCs w:val="18"/>
          <w:bdr w:val="nil"/>
          <w:lang w:val="sl-SI"/>
        </w:rPr>
        <w:t>Razvoj mehanizmov za spremljanje učinkovitosti</w:t>
      </w:r>
      <w:r w:rsidRPr="00553EB8">
        <w:rPr>
          <w:rFonts w:eastAsia="Calibri" w:cs="Calibri"/>
          <w:sz w:val="18"/>
          <w:szCs w:val="18"/>
          <w:bdr w:val="nil"/>
          <w:lang w:val="sl-SI"/>
        </w:rPr>
        <w:t xml:space="preserve"> </w:t>
      </w:r>
      <w:r>
        <w:rPr>
          <w:rFonts w:eastAsia="Calibri" w:cs="Calibri"/>
          <w:sz w:val="18"/>
          <w:szCs w:val="18"/>
          <w:bdr w:val="nil"/>
          <w:lang w:val="sl-SI"/>
        </w:rPr>
        <w:t xml:space="preserve">in izboljšanje zagotavljanja kakovosti </w:t>
      </w:r>
      <w:r w:rsidRPr="00553EB8">
        <w:rPr>
          <w:rFonts w:eastAsia="Calibri" w:cs="Calibri"/>
          <w:sz w:val="18"/>
          <w:szCs w:val="18"/>
          <w:bdr w:val="nil"/>
          <w:lang w:val="sl-SI"/>
        </w:rPr>
        <w:t xml:space="preserve">politik </w:t>
      </w:r>
      <w:r>
        <w:rPr>
          <w:rFonts w:eastAsia="Calibri" w:cs="Calibri"/>
          <w:sz w:val="18"/>
          <w:szCs w:val="18"/>
          <w:bdr w:val="nil"/>
          <w:lang w:val="sl-SI"/>
        </w:rPr>
        <w:t xml:space="preserve">in zagotavljanja </w:t>
      </w:r>
      <w:r w:rsidRPr="00553EB8">
        <w:rPr>
          <w:rFonts w:eastAsia="Calibri" w:cs="Calibri"/>
          <w:sz w:val="18"/>
          <w:szCs w:val="18"/>
          <w:bdr w:val="nil"/>
          <w:lang w:val="sl-SI"/>
        </w:rPr>
        <w:t>izobraževanja odraslih</w:t>
      </w:r>
      <w:r>
        <w:rPr>
          <w:rFonts w:eastAsia="Calibri" w:cs="Calibri"/>
          <w:sz w:val="18"/>
          <w:szCs w:val="18"/>
          <w:bdr w:val="nil"/>
          <w:lang w:val="sl-SI"/>
        </w:rPr>
        <w:t>,</w:t>
      </w:r>
      <w:r w:rsidRPr="00553EB8">
        <w:rPr>
          <w:rFonts w:eastAsia="Calibri" w:cs="Calibri"/>
          <w:sz w:val="18"/>
          <w:szCs w:val="18"/>
          <w:bdr w:val="nil"/>
          <w:lang w:val="sl-SI"/>
        </w:rPr>
        <w:t xml:space="preserve"> </w:t>
      </w:r>
      <w:r>
        <w:rPr>
          <w:rFonts w:eastAsia="Calibri" w:cs="Calibri"/>
          <w:sz w:val="18"/>
          <w:szCs w:val="18"/>
          <w:bdr w:val="nil"/>
          <w:lang w:val="sl-SI"/>
        </w:rPr>
        <w:t xml:space="preserve">ter </w:t>
      </w:r>
      <w:r w:rsidRPr="00553EB8">
        <w:rPr>
          <w:rFonts w:eastAsia="Calibri" w:cs="Calibri"/>
          <w:sz w:val="18"/>
          <w:szCs w:val="18"/>
          <w:bdr w:val="nil"/>
          <w:lang w:val="sl-SI"/>
        </w:rPr>
        <w:t>za sledenje in spremljanje napredka učečih se odraslih</w:t>
      </w:r>
      <w:r>
        <w:rPr>
          <w:rFonts w:eastAsia="Calibri" w:cs="Calibri"/>
          <w:sz w:val="18"/>
          <w:szCs w:val="18"/>
          <w:bdr w:val="nil"/>
          <w:lang w:val="sl-SI"/>
        </w:rPr>
        <w:t>.</w:t>
      </w:r>
    </w:p>
    <w:p w14:paraId="019346DB" w14:textId="5B514942" w:rsidR="00B760F2" w:rsidRPr="00654F6A" w:rsidRDefault="00B760F2" w:rsidP="00654F6A">
      <w:pPr>
        <w:pStyle w:val="ListParagraph"/>
        <w:numPr>
          <w:ilvl w:val="0"/>
          <w:numId w:val="83"/>
        </w:numPr>
        <w:rPr>
          <w:sz w:val="18"/>
          <w:szCs w:val="18"/>
          <w:lang w:val="sl-SI"/>
        </w:rPr>
      </w:pPr>
      <w:r w:rsidRPr="00654F6A">
        <w:rPr>
          <w:sz w:val="18"/>
          <w:szCs w:val="18"/>
          <w:lang w:val="sl-SI"/>
        </w:rPr>
        <w:t>Promoviranje programa Erasmus + med državljani vseh generacij, tudi s ponudbo dejavnosti izobraževanja in izmenjave izkušenj za starejše osebe, z namenom izgradnje in krepitve evropske identitete.</w:t>
      </w:r>
    </w:p>
    <w:p w14:paraId="7D3990B4" w14:textId="77777777" w:rsidR="00E03711" w:rsidRPr="00FC4A70" w:rsidRDefault="00E03711" w:rsidP="00B416CD">
      <w:pPr>
        <w:spacing w:before="120" w:after="120"/>
        <w:rPr>
          <w:sz w:val="18"/>
          <w:lang w:val="sl-SI"/>
        </w:rPr>
      </w:pPr>
      <w:r w:rsidRPr="00FC4A70">
        <w:rPr>
          <w:rFonts w:eastAsia="Calibri" w:cs="Calibri"/>
          <w:sz w:val="18"/>
          <w:szCs w:val="18"/>
          <w:bdr w:val="nil"/>
          <w:lang w:val="sl-SI"/>
        </w:rPr>
        <w:t xml:space="preserve">Na področju </w:t>
      </w:r>
      <w:r w:rsidRPr="00FC4A70">
        <w:rPr>
          <w:rFonts w:eastAsia="Calibri" w:cs="Calibri"/>
          <w:b/>
          <w:bCs/>
          <w:sz w:val="18"/>
          <w:szCs w:val="18"/>
          <w:bdr w:val="nil"/>
          <w:lang w:val="sl-SI"/>
        </w:rPr>
        <w:t>mladine</w:t>
      </w:r>
      <w:r w:rsidRPr="00FC4A70">
        <w:rPr>
          <w:rFonts w:eastAsia="Calibri" w:cs="Calibri"/>
          <w:sz w:val="18"/>
          <w:szCs w:val="18"/>
          <w:bdr w:val="nil"/>
          <w:lang w:val="sl-SI"/>
        </w:rPr>
        <w:t xml:space="preserve"> bodo v skladu s strategijo EU za mlade prednost imeli:</w:t>
      </w:r>
    </w:p>
    <w:p w14:paraId="7D3990B5" w14:textId="77777777" w:rsidR="00E03711" w:rsidRDefault="00E03711" w:rsidP="005115F2">
      <w:pPr>
        <w:pStyle w:val="ListParagraph"/>
        <w:numPr>
          <w:ilvl w:val="0"/>
          <w:numId w:val="128"/>
        </w:numPr>
        <w:jc w:val="both"/>
        <w:rPr>
          <w:rFonts w:eastAsia="Calibri" w:cs="Calibri"/>
          <w:sz w:val="18"/>
          <w:szCs w:val="18"/>
          <w:bdr w:val="nil"/>
          <w:lang w:val="sl-SI"/>
        </w:rPr>
      </w:pPr>
      <w:r>
        <w:rPr>
          <w:rFonts w:eastAsia="Calibri" w:cs="Calibri"/>
          <w:sz w:val="18"/>
          <w:szCs w:val="18"/>
          <w:bdr w:val="nil"/>
          <w:lang w:val="sl-SI"/>
        </w:rPr>
        <w:t>Projekti, ki angažirajo, povezujejo in opolnomočajo mlade: krepitev medsektorskega sodelovanja, omogočanje večje sinergije prek različnih področij delovanja, ki so mladim pomembna. Poseben poudarek bo na sodelovanju, vključno z alternativnimi in inovativnimi oblikami sodelovanja, in aktivnem državljanstvu mladih, zlasti kjer gre za mladino s tveganjem socialne izključenosti.</w:t>
      </w:r>
    </w:p>
    <w:p w14:paraId="7D3990B6" w14:textId="77777777" w:rsidR="00E03711" w:rsidRDefault="00E03711" w:rsidP="00860232">
      <w:pPr>
        <w:pStyle w:val="ListParagraph"/>
        <w:ind w:left="360"/>
        <w:jc w:val="both"/>
        <w:rPr>
          <w:rFonts w:eastAsia="Calibri" w:cs="Calibri"/>
          <w:sz w:val="18"/>
          <w:szCs w:val="18"/>
          <w:bdr w:val="nil"/>
          <w:lang w:val="sl-SI"/>
        </w:rPr>
      </w:pPr>
      <w:r>
        <w:rPr>
          <w:rFonts w:eastAsia="Calibri" w:cs="Calibri"/>
          <w:sz w:val="18"/>
          <w:szCs w:val="18"/>
          <w:bdr w:val="nil"/>
          <w:lang w:val="sl-SI"/>
        </w:rPr>
        <w:br/>
        <w:t>Prednost bodo imeli projekti, ki:</w:t>
      </w:r>
    </w:p>
    <w:p w14:paraId="7D3990B7" w14:textId="77777777" w:rsidR="00E03711" w:rsidRDefault="00E03711" w:rsidP="005115F2">
      <w:pPr>
        <w:pStyle w:val="ListParagraph"/>
        <w:numPr>
          <w:ilvl w:val="1"/>
          <w:numId w:val="128"/>
        </w:numPr>
        <w:jc w:val="both"/>
        <w:rPr>
          <w:rFonts w:eastAsia="Calibri" w:cs="Calibri"/>
          <w:sz w:val="18"/>
          <w:szCs w:val="18"/>
          <w:bdr w:val="nil"/>
          <w:lang w:val="sl-SI"/>
        </w:rPr>
      </w:pPr>
      <w:r>
        <w:rPr>
          <w:rFonts w:eastAsia="Calibri" w:cs="Calibri"/>
          <w:sz w:val="18"/>
          <w:szCs w:val="18"/>
          <w:bdr w:val="nil"/>
          <w:lang w:val="sl-SI"/>
        </w:rPr>
        <w:t>spodbujajo večjo udeležbo vseh mladih pri demokratičnem in državljanskem življenju v Evropi;</w:t>
      </w:r>
    </w:p>
    <w:p w14:paraId="7D3990B8" w14:textId="77777777" w:rsidR="00E03711" w:rsidRDefault="00E03711" w:rsidP="005115F2">
      <w:pPr>
        <w:pStyle w:val="ListParagraph"/>
        <w:numPr>
          <w:ilvl w:val="1"/>
          <w:numId w:val="128"/>
        </w:numPr>
        <w:jc w:val="both"/>
        <w:rPr>
          <w:rFonts w:eastAsia="Calibri" w:cs="Calibri"/>
          <w:sz w:val="18"/>
          <w:szCs w:val="18"/>
          <w:bdr w:val="nil"/>
          <w:lang w:val="sl-SI"/>
        </w:rPr>
      </w:pPr>
      <w:r w:rsidRPr="00860232">
        <w:rPr>
          <w:rFonts w:eastAsia="Calibri" w:cs="Calibri"/>
          <w:sz w:val="18"/>
          <w:szCs w:val="18"/>
          <w:bdr w:val="nil"/>
          <w:lang w:val="sl-SI"/>
        </w:rPr>
        <w:t>omogočajo mladim, da se povežejo z izvoljenimi oblikovalci politik, javnimi upravami, interesnimi skupinami, organizacijami civilne družbe ali posameznimi državljani v okviru katerega koli političnega ali družbenega procesa, ki vpliva na njihova življenja, jim izrazijo svoje mnenje in vplivajo</w:t>
      </w:r>
      <w:r w:rsidRPr="001048FE">
        <w:rPr>
          <w:lang w:val="sl-SI"/>
        </w:rPr>
        <w:t xml:space="preserve"> </w:t>
      </w:r>
      <w:r w:rsidRPr="00860232">
        <w:rPr>
          <w:rFonts w:eastAsia="Calibri" w:cs="Calibri"/>
          <w:sz w:val="18"/>
          <w:szCs w:val="18"/>
          <w:bdr w:val="nil"/>
          <w:lang w:val="sl-SI"/>
        </w:rPr>
        <w:t>nanje</w:t>
      </w:r>
      <w:r>
        <w:rPr>
          <w:rFonts w:eastAsia="Calibri" w:cs="Calibri"/>
          <w:sz w:val="18"/>
          <w:szCs w:val="18"/>
          <w:bdr w:val="nil"/>
          <w:lang w:val="sl-SI"/>
        </w:rPr>
        <w:t>;</w:t>
      </w:r>
    </w:p>
    <w:p w14:paraId="7D3990B9" w14:textId="77777777" w:rsidR="00E03711" w:rsidRDefault="00E03711" w:rsidP="005115F2">
      <w:pPr>
        <w:pStyle w:val="ListParagraph"/>
        <w:numPr>
          <w:ilvl w:val="1"/>
          <w:numId w:val="128"/>
        </w:numPr>
        <w:jc w:val="both"/>
        <w:rPr>
          <w:rFonts w:eastAsia="Calibri" w:cs="Calibri"/>
          <w:sz w:val="18"/>
          <w:szCs w:val="18"/>
          <w:bdr w:val="nil"/>
          <w:lang w:val="sl-SI"/>
        </w:rPr>
      </w:pPr>
      <w:r>
        <w:rPr>
          <w:rFonts w:eastAsia="Calibri" w:cs="Calibri"/>
          <w:sz w:val="18"/>
          <w:szCs w:val="18"/>
          <w:bdr w:val="nil"/>
          <w:lang w:val="sl-SI"/>
        </w:rPr>
        <w:t>spodbujajo kritično razmišljanje in medijsko pismenost med mladimi, da se krepi demokracija in nasprotuje manipulaciji, propagandi in dezinformacijam;</w:t>
      </w:r>
    </w:p>
    <w:p w14:paraId="7D3990BA" w14:textId="77777777" w:rsidR="00E03711" w:rsidRDefault="00E03711" w:rsidP="005115F2">
      <w:pPr>
        <w:pStyle w:val="ListParagraph"/>
        <w:numPr>
          <w:ilvl w:val="1"/>
          <w:numId w:val="128"/>
        </w:numPr>
        <w:jc w:val="both"/>
        <w:rPr>
          <w:rFonts w:eastAsia="Calibri" w:cs="Calibri"/>
          <w:sz w:val="18"/>
          <w:szCs w:val="18"/>
          <w:bdr w:val="nil"/>
          <w:lang w:val="sl-SI"/>
        </w:rPr>
      </w:pPr>
      <w:r>
        <w:rPr>
          <w:rFonts w:eastAsia="Calibri" w:cs="Calibri"/>
          <w:sz w:val="18"/>
          <w:szCs w:val="18"/>
          <w:bdr w:val="nil"/>
          <w:lang w:val="sl-SI"/>
        </w:rPr>
        <w:t>razširjajo in poglabljajo politično, civilno in družbeno sodelovanje mladih na lokalni, regijski, nacionalni, evropski ali globalni ravni;</w:t>
      </w:r>
    </w:p>
    <w:p w14:paraId="7D3990BB" w14:textId="77777777" w:rsidR="00E03711" w:rsidRDefault="00E03711" w:rsidP="005115F2">
      <w:pPr>
        <w:pStyle w:val="ListParagraph"/>
        <w:numPr>
          <w:ilvl w:val="1"/>
          <w:numId w:val="128"/>
        </w:numPr>
        <w:jc w:val="both"/>
        <w:rPr>
          <w:rFonts w:eastAsia="Calibri" w:cs="Calibri"/>
          <w:sz w:val="18"/>
          <w:szCs w:val="18"/>
          <w:bdr w:val="nil"/>
          <w:lang w:val="sl-SI"/>
        </w:rPr>
      </w:pPr>
      <w:r>
        <w:rPr>
          <w:rFonts w:eastAsia="Calibri" w:cs="Calibri"/>
          <w:sz w:val="18"/>
          <w:szCs w:val="18"/>
          <w:bdr w:val="nil"/>
          <w:lang w:val="sl-SI"/>
        </w:rPr>
        <w:t>gojijo aktivno državljanstvo in zlasti prostovoljstvo in solidarnost med mladimi;</w:t>
      </w:r>
    </w:p>
    <w:p w14:paraId="7D3990BC" w14:textId="77777777" w:rsidR="00E03711" w:rsidRDefault="00E03711" w:rsidP="005115F2">
      <w:pPr>
        <w:pStyle w:val="ListParagraph"/>
        <w:numPr>
          <w:ilvl w:val="1"/>
          <w:numId w:val="128"/>
        </w:numPr>
        <w:jc w:val="both"/>
        <w:rPr>
          <w:rFonts w:eastAsia="Calibri" w:cs="Calibri"/>
          <w:sz w:val="18"/>
          <w:szCs w:val="18"/>
          <w:bdr w:val="nil"/>
          <w:lang w:val="sl-SI"/>
        </w:rPr>
      </w:pPr>
      <w:r>
        <w:rPr>
          <w:rFonts w:eastAsia="Calibri" w:cs="Calibri"/>
          <w:sz w:val="18"/>
          <w:szCs w:val="18"/>
          <w:bdr w:val="nil"/>
          <w:lang w:val="sl-SI"/>
        </w:rPr>
        <w:t>spodbujajo socialno vključenost vseh mladih, pri čemer gradijo na evropskih vrednotah;</w:t>
      </w:r>
    </w:p>
    <w:p w14:paraId="7D3990BD" w14:textId="77777777" w:rsidR="00E03711" w:rsidRDefault="00E03711" w:rsidP="005115F2">
      <w:pPr>
        <w:pStyle w:val="ListParagraph"/>
        <w:numPr>
          <w:ilvl w:val="1"/>
          <w:numId w:val="128"/>
        </w:numPr>
        <w:jc w:val="both"/>
        <w:rPr>
          <w:rFonts w:eastAsia="Calibri" w:cs="Calibri"/>
          <w:sz w:val="18"/>
          <w:szCs w:val="18"/>
          <w:bdr w:val="nil"/>
          <w:lang w:val="sl-SI"/>
        </w:rPr>
      </w:pPr>
      <w:r>
        <w:rPr>
          <w:rFonts w:eastAsia="Calibri" w:cs="Calibri"/>
          <w:sz w:val="18"/>
          <w:szCs w:val="18"/>
          <w:bdr w:val="nil"/>
          <w:lang w:val="sl-SI"/>
        </w:rPr>
        <w:t>podpirajo medkulturni dialog in spodbujajo poznavanje in sprejemanje raznolikosti ter tolerantnosti v družbi;</w:t>
      </w:r>
    </w:p>
    <w:p w14:paraId="7D3990BE" w14:textId="77777777" w:rsidR="00E03711" w:rsidRDefault="00E03711" w:rsidP="005115F2">
      <w:pPr>
        <w:pStyle w:val="ListParagraph"/>
        <w:numPr>
          <w:ilvl w:val="1"/>
          <w:numId w:val="128"/>
        </w:numPr>
        <w:jc w:val="both"/>
        <w:rPr>
          <w:rFonts w:eastAsia="Calibri" w:cs="Calibri"/>
          <w:sz w:val="18"/>
          <w:szCs w:val="18"/>
          <w:bdr w:val="nil"/>
          <w:lang w:val="sl-SI"/>
        </w:rPr>
      </w:pPr>
      <w:r>
        <w:rPr>
          <w:rFonts w:eastAsia="Calibri" w:cs="Calibri"/>
          <w:sz w:val="18"/>
          <w:szCs w:val="18"/>
          <w:bdr w:val="nil"/>
          <w:lang w:val="sl-SI"/>
        </w:rPr>
        <w:t>krepijo občutek mladih za iniciativo, zlasti na družbenem področju in v podporo njihovim skupnostim;</w:t>
      </w:r>
    </w:p>
    <w:p w14:paraId="7D3990BF" w14:textId="77777777" w:rsidR="00E03711" w:rsidRDefault="00E03711" w:rsidP="005115F2">
      <w:pPr>
        <w:pStyle w:val="ListParagraph"/>
        <w:numPr>
          <w:ilvl w:val="1"/>
          <w:numId w:val="128"/>
        </w:numPr>
        <w:jc w:val="both"/>
        <w:rPr>
          <w:rFonts w:eastAsia="Calibri" w:cs="Calibri"/>
          <w:sz w:val="18"/>
          <w:szCs w:val="18"/>
          <w:bdr w:val="nil"/>
          <w:lang w:val="sl-SI"/>
        </w:rPr>
      </w:pPr>
      <w:r>
        <w:rPr>
          <w:rFonts w:eastAsia="Calibri" w:cs="Calibri"/>
          <w:sz w:val="18"/>
          <w:szCs w:val="18"/>
          <w:bdr w:val="nil"/>
          <w:lang w:val="sl-SI"/>
        </w:rPr>
        <w:t>ojačajo povezave med politiko, raziskovanjem in prakso ter spodbujajo boljše poznavanje situacije mladih in politike za mlade.</w:t>
      </w:r>
    </w:p>
    <w:p w14:paraId="7D3990C0" w14:textId="77777777" w:rsidR="00E03711" w:rsidRDefault="00E03711" w:rsidP="00860232">
      <w:pPr>
        <w:pStyle w:val="ListParagraph"/>
        <w:ind w:left="360"/>
        <w:jc w:val="both"/>
        <w:rPr>
          <w:rFonts w:eastAsia="Calibri" w:cs="Calibri"/>
          <w:sz w:val="18"/>
          <w:szCs w:val="18"/>
          <w:bdr w:val="nil"/>
          <w:lang w:val="sl-SI"/>
        </w:rPr>
      </w:pPr>
    </w:p>
    <w:p w14:paraId="7D3990C1" w14:textId="77777777" w:rsidR="00E03711" w:rsidRPr="00965051" w:rsidRDefault="00E03711" w:rsidP="005115F2">
      <w:pPr>
        <w:pStyle w:val="ListParagraph"/>
        <w:numPr>
          <w:ilvl w:val="0"/>
          <w:numId w:val="128"/>
        </w:numPr>
        <w:jc w:val="both"/>
        <w:rPr>
          <w:rFonts w:eastAsia="Calibri" w:cs="Calibri"/>
          <w:sz w:val="18"/>
          <w:szCs w:val="18"/>
          <w:bdr w:val="nil"/>
          <w:lang w:val="sl-SI"/>
        </w:rPr>
      </w:pPr>
      <w:r w:rsidRPr="00965051">
        <w:rPr>
          <w:rFonts w:eastAsia="Calibri" w:cs="Calibri"/>
          <w:sz w:val="18"/>
          <w:szCs w:val="18"/>
          <w:bdr w:val="nil"/>
          <w:lang w:val="sl-SI"/>
        </w:rPr>
        <w:t>Projekti, ki prispevajo</w:t>
      </w:r>
      <w:r>
        <w:rPr>
          <w:rFonts w:eastAsia="Calibri" w:cs="Calibri"/>
          <w:sz w:val="18"/>
          <w:szCs w:val="18"/>
          <w:bdr w:val="nil"/>
          <w:lang w:val="sl-SI"/>
        </w:rPr>
        <w:t xml:space="preserve"> h kakovosti in k inovacijam</w:t>
      </w:r>
      <w:r w:rsidRPr="00965051">
        <w:rPr>
          <w:rFonts w:eastAsia="Calibri" w:cs="Calibri"/>
          <w:sz w:val="18"/>
          <w:szCs w:val="18"/>
          <w:bdr w:val="nil"/>
          <w:lang w:val="sl-SI"/>
        </w:rPr>
        <w:t xml:space="preserve"> mladinskega dela </w:t>
      </w:r>
      <w:r>
        <w:rPr>
          <w:rFonts w:eastAsia="Calibri" w:cs="Calibri"/>
          <w:sz w:val="18"/>
          <w:szCs w:val="18"/>
          <w:bdr w:val="nil"/>
          <w:lang w:val="sl-SI"/>
        </w:rPr>
        <w:t xml:space="preserve">ter njegovemu priznavanju. </w:t>
      </w:r>
      <w:r>
        <w:rPr>
          <w:rFonts w:eastAsia="Calibri" w:cs="Calibri"/>
          <w:sz w:val="18"/>
          <w:szCs w:val="18"/>
          <w:bdr w:val="nil"/>
          <w:lang w:val="sl-SI"/>
        </w:rPr>
        <w:br/>
      </w:r>
      <w:r>
        <w:rPr>
          <w:rFonts w:eastAsia="Calibri" w:cs="Calibri"/>
          <w:sz w:val="18"/>
          <w:szCs w:val="18"/>
          <w:bdr w:val="nil"/>
          <w:lang w:val="sl-SI"/>
        </w:rPr>
        <w:br/>
      </w:r>
      <w:r w:rsidRPr="00965051">
        <w:rPr>
          <w:rFonts w:eastAsia="Calibri" w:cs="Calibri"/>
          <w:sz w:val="18"/>
          <w:szCs w:val="18"/>
          <w:bdr w:val="nil"/>
          <w:lang w:val="sl-SI"/>
        </w:rPr>
        <w:t>Prednost bodo imeli projekti, ki</w:t>
      </w:r>
      <w:r>
        <w:rPr>
          <w:rFonts w:eastAsia="Calibri" w:cs="Calibri"/>
          <w:sz w:val="18"/>
          <w:szCs w:val="18"/>
          <w:bdr w:val="nil"/>
          <w:lang w:val="sl-SI"/>
        </w:rPr>
        <w:t>:</w:t>
      </w:r>
    </w:p>
    <w:p w14:paraId="7D3990C2" w14:textId="77777777" w:rsidR="00E03711" w:rsidRPr="001048FE" w:rsidRDefault="00E03711" w:rsidP="005115F2">
      <w:pPr>
        <w:pStyle w:val="Guide-ListDash"/>
        <w:numPr>
          <w:ilvl w:val="0"/>
          <w:numId w:val="130"/>
        </w:numPr>
        <w:rPr>
          <w:lang w:val="sl-SI"/>
        </w:rPr>
      </w:pPr>
      <w:r w:rsidRPr="001048FE">
        <w:rPr>
          <w:lang w:val="sl-SI"/>
        </w:rPr>
        <w:t xml:space="preserve">podpirajo krepitev zmogljivosti mladinskih delavcev in </w:t>
      </w:r>
      <w:r>
        <w:rPr>
          <w:lang w:val="sl-SI"/>
        </w:rPr>
        <w:t xml:space="preserve">prakso </w:t>
      </w:r>
      <w:r w:rsidRPr="001048FE">
        <w:rPr>
          <w:lang w:val="sl-SI"/>
        </w:rPr>
        <w:t xml:space="preserve">mladinskega dela; </w:t>
      </w:r>
    </w:p>
    <w:p w14:paraId="7D3990C3" w14:textId="77777777" w:rsidR="00E03711" w:rsidRPr="001048FE" w:rsidRDefault="00E03711" w:rsidP="005115F2">
      <w:pPr>
        <w:pStyle w:val="Guide-ListDash"/>
        <w:numPr>
          <w:ilvl w:val="0"/>
          <w:numId w:val="130"/>
        </w:numPr>
        <w:rPr>
          <w:rStyle w:val="Guide-Condensed-01"/>
          <w:lang w:val="sl-SI"/>
        </w:rPr>
      </w:pPr>
      <w:r w:rsidRPr="001048FE">
        <w:rPr>
          <w:rStyle w:val="Guide-Condensed-01"/>
          <w:lang w:val="sl-SI"/>
        </w:rPr>
        <w:t>podpirajo mladinske delavce pri razvoju in izmenjavi učinkovitih metod pri doseganju marginaliziranih skupin mladih, preprečevanju rasizma in nestrpnosti med mladimi ter obravnavi tveganj, priložnosti in posledic digitalizacije;</w:t>
      </w:r>
    </w:p>
    <w:p w14:paraId="7D3990C4" w14:textId="77777777" w:rsidR="00E03711" w:rsidRPr="001048FE" w:rsidRDefault="00E03711" w:rsidP="005115F2">
      <w:pPr>
        <w:pStyle w:val="Guide-ListDash"/>
        <w:numPr>
          <w:ilvl w:val="0"/>
          <w:numId w:val="130"/>
        </w:numPr>
        <w:rPr>
          <w:lang w:val="sl-SI"/>
        </w:rPr>
      </w:pPr>
      <w:r w:rsidRPr="001048FE">
        <w:rPr>
          <w:lang w:val="sl-SI"/>
        </w:rPr>
        <w:t>spodbujajo vključevanje in zaposljivost mladih z manj priložnostmi (vključno z mladimi, ki niso zaposleni, se ne izobražujejo ali usposabljajo), s posebnim poudarkom na mladih, ki jim grozi marginalizacija, in mladih z migrantskim ozadjem, vključno z novoprispelimi priseljenci in mladimi begunci;</w:t>
      </w:r>
    </w:p>
    <w:p w14:paraId="7D3990C5" w14:textId="77777777" w:rsidR="00E03711" w:rsidRPr="001048FE" w:rsidRDefault="00E03711" w:rsidP="005115F2">
      <w:pPr>
        <w:pStyle w:val="Guide-NormalBulletpoints"/>
        <w:numPr>
          <w:ilvl w:val="0"/>
          <w:numId w:val="130"/>
        </w:numPr>
        <w:rPr>
          <w:lang w:val="sl-SI"/>
        </w:rPr>
      </w:pPr>
      <w:r w:rsidRPr="001048FE">
        <w:rPr>
          <w:lang w:val="sl-SI"/>
        </w:rPr>
        <w:t>odpirajo</w:t>
      </w:r>
      <w:r w:rsidRPr="001048FE">
        <w:rPr>
          <w:spacing w:val="-22"/>
          <w:lang w:val="sl-SI"/>
        </w:rPr>
        <w:t xml:space="preserve"> </w:t>
      </w:r>
      <w:r w:rsidRPr="001048FE">
        <w:rPr>
          <w:lang w:val="sl-SI"/>
        </w:rPr>
        <w:t>mladinsko</w:t>
      </w:r>
      <w:r w:rsidRPr="001048FE">
        <w:rPr>
          <w:spacing w:val="-23"/>
          <w:lang w:val="sl-SI"/>
        </w:rPr>
        <w:t xml:space="preserve"> </w:t>
      </w:r>
      <w:r w:rsidRPr="001048FE">
        <w:rPr>
          <w:lang w:val="sl-SI"/>
        </w:rPr>
        <w:t>delo</w:t>
      </w:r>
      <w:r w:rsidRPr="001048FE">
        <w:rPr>
          <w:spacing w:val="-23"/>
          <w:lang w:val="sl-SI"/>
        </w:rPr>
        <w:t xml:space="preserve"> </w:t>
      </w:r>
      <w:r w:rsidRPr="001048FE">
        <w:rPr>
          <w:lang w:val="sl-SI"/>
        </w:rPr>
        <w:t>za</w:t>
      </w:r>
      <w:r w:rsidRPr="001048FE">
        <w:rPr>
          <w:spacing w:val="-23"/>
          <w:lang w:val="sl-SI"/>
        </w:rPr>
        <w:t xml:space="preserve"> </w:t>
      </w:r>
      <w:r w:rsidRPr="001048FE">
        <w:rPr>
          <w:lang w:val="sl-SI"/>
        </w:rPr>
        <w:t>medsektorsko</w:t>
      </w:r>
      <w:r w:rsidRPr="001048FE">
        <w:rPr>
          <w:spacing w:val="-23"/>
          <w:lang w:val="sl-SI"/>
        </w:rPr>
        <w:t xml:space="preserve"> </w:t>
      </w:r>
      <w:r w:rsidRPr="001048FE">
        <w:rPr>
          <w:lang w:val="sl-SI"/>
        </w:rPr>
        <w:t>sodelovanje</w:t>
      </w:r>
      <w:r w:rsidRPr="001048FE">
        <w:rPr>
          <w:spacing w:val="-23"/>
          <w:lang w:val="sl-SI"/>
        </w:rPr>
        <w:t xml:space="preserve"> </w:t>
      </w:r>
      <w:r w:rsidRPr="001048FE">
        <w:rPr>
          <w:lang w:val="sl-SI"/>
        </w:rPr>
        <w:t>in</w:t>
      </w:r>
      <w:r w:rsidRPr="001048FE">
        <w:rPr>
          <w:spacing w:val="-23"/>
          <w:lang w:val="sl-SI"/>
        </w:rPr>
        <w:t xml:space="preserve"> </w:t>
      </w:r>
      <w:r w:rsidRPr="001048FE">
        <w:rPr>
          <w:lang w:val="sl-SI"/>
        </w:rPr>
        <w:t>omogočajo</w:t>
      </w:r>
      <w:r w:rsidRPr="001048FE">
        <w:rPr>
          <w:spacing w:val="-22"/>
          <w:lang w:val="sl-SI"/>
        </w:rPr>
        <w:t xml:space="preserve"> </w:t>
      </w:r>
      <w:r w:rsidRPr="001048FE">
        <w:rPr>
          <w:lang w:val="sl-SI"/>
        </w:rPr>
        <w:t>večje</w:t>
      </w:r>
      <w:r w:rsidRPr="001048FE">
        <w:rPr>
          <w:spacing w:val="-23"/>
          <w:lang w:val="sl-SI"/>
        </w:rPr>
        <w:t xml:space="preserve"> </w:t>
      </w:r>
      <w:r w:rsidRPr="001048FE">
        <w:rPr>
          <w:lang w:val="sl-SI"/>
        </w:rPr>
        <w:t>sinergije</w:t>
      </w:r>
      <w:r w:rsidRPr="001048FE">
        <w:rPr>
          <w:spacing w:val="-23"/>
          <w:lang w:val="sl-SI"/>
        </w:rPr>
        <w:t xml:space="preserve"> </w:t>
      </w:r>
      <w:r w:rsidRPr="001048FE">
        <w:rPr>
          <w:lang w:val="sl-SI"/>
        </w:rPr>
        <w:t>na vseh področjih ukrepov</w:t>
      </w:r>
      <w:r>
        <w:rPr>
          <w:lang w:val="sl-SI"/>
        </w:rPr>
        <w:t xml:space="preserve">, ki se posvečajo skrbem </w:t>
      </w:r>
      <w:r w:rsidRPr="001048FE">
        <w:rPr>
          <w:lang w:val="sl-SI"/>
        </w:rPr>
        <w:t>mladih;</w:t>
      </w:r>
    </w:p>
    <w:p w14:paraId="7D3990C6" w14:textId="77777777" w:rsidR="00E03711" w:rsidRPr="001048FE" w:rsidRDefault="00E03711" w:rsidP="005115F2">
      <w:pPr>
        <w:pStyle w:val="Guide-ListDash"/>
        <w:numPr>
          <w:ilvl w:val="0"/>
          <w:numId w:val="130"/>
        </w:numPr>
        <w:rPr>
          <w:lang w:val="sl-SI"/>
        </w:rPr>
      </w:pPr>
      <w:r w:rsidRPr="001048FE">
        <w:rPr>
          <w:lang w:val="sl-SI"/>
        </w:rPr>
        <w:t xml:space="preserve">olajšujejo prehod mladih iz obdobja mladosti v odraslost, </w:t>
      </w:r>
      <w:r>
        <w:rPr>
          <w:lang w:val="sl-SI"/>
        </w:rPr>
        <w:t>med drugim s podpiranjem</w:t>
      </w:r>
      <w:r w:rsidRPr="001048FE">
        <w:rPr>
          <w:lang w:val="sl-SI"/>
        </w:rPr>
        <w:t xml:space="preserve"> vključit</w:t>
      </w:r>
      <w:r>
        <w:rPr>
          <w:lang w:val="sl-SI"/>
        </w:rPr>
        <w:t>ve</w:t>
      </w:r>
      <w:r w:rsidRPr="001048FE">
        <w:rPr>
          <w:lang w:val="sl-SI"/>
        </w:rPr>
        <w:t xml:space="preserve"> na trg dela</w:t>
      </w:r>
      <w:r>
        <w:rPr>
          <w:lang w:val="sl-SI"/>
        </w:rPr>
        <w:t xml:space="preserve"> z obravnavanjem ključnih </w:t>
      </w:r>
      <w:r w:rsidRPr="001048FE">
        <w:rPr>
          <w:lang w:val="sl-SI"/>
        </w:rPr>
        <w:t>kompetenc</w:t>
      </w:r>
      <w:r>
        <w:rPr>
          <w:lang w:val="sl-SI"/>
        </w:rPr>
        <w:t>, ter druga organizacijska podpora, ki jo lahko prinese mladinsko delo;</w:t>
      </w:r>
    </w:p>
    <w:p w14:paraId="7D3990C7" w14:textId="77777777" w:rsidR="00E03711" w:rsidRPr="001048FE" w:rsidRDefault="00E03711" w:rsidP="005115F2">
      <w:pPr>
        <w:pStyle w:val="Guide-ListDash"/>
        <w:numPr>
          <w:ilvl w:val="0"/>
          <w:numId w:val="130"/>
        </w:numPr>
        <w:rPr>
          <w:lang w:val="sl-SI"/>
        </w:rPr>
      </w:pPr>
      <w:r>
        <w:rPr>
          <w:lang w:val="sl-SI"/>
        </w:rPr>
        <w:t xml:space="preserve">spodbujajo </w:t>
      </w:r>
      <w:r w:rsidRPr="001048FE">
        <w:rPr>
          <w:lang w:val="sl-SI"/>
        </w:rPr>
        <w:t>priznavanje in potrjevanje mladinskega dela ter priložnostnega in neformalnega učenja na evropski, nacionalni, regionalni in lokalni ravni;</w:t>
      </w:r>
    </w:p>
    <w:p w14:paraId="7D3990C8" w14:textId="77777777" w:rsidR="00E03711" w:rsidRDefault="00E03711" w:rsidP="00381E74">
      <w:pPr>
        <w:pStyle w:val="Guide-ListDash"/>
        <w:numPr>
          <w:ilvl w:val="0"/>
          <w:numId w:val="495"/>
        </w:numPr>
        <w:ind w:left="360"/>
        <w:rPr>
          <w:lang w:val="sl-SI"/>
        </w:rPr>
      </w:pPr>
      <w:r w:rsidRPr="001048FE">
        <w:rPr>
          <w:lang w:val="sl-SI"/>
        </w:rPr>
        <w:t>spodbujanje</w:t>
      </w:r>
      <w:r w:rsidRPr="001048FE">
        <w:rPr>
          <w:spacing w:val="-18"/>
          <w:lang w:val="sl-SI"/>
        </w:rPr>
        <w:t xml:space="preserve"> </w:t>
      </w:r>
      <w:r w:rsidRPr="001048FE">
        <w:rPr>
          <w:lang w:val="sl-SI"/>
        </w:rPr>
        <w:t>podjetniš</w:t>
      </w:r>
      <w:r>
        <w:rPr>
          <w:lang w:val="sl-SI"/>
        </w:rPr>
        <w:t>tva</w:t>
      </w:r>
      <w:r w:rsidRPr="001048FE">
        <w:rPr>
          <w:lang w:val="sl-SI"/>
        </w:rPr>
        <w:t>,</w:t>
      </w:r>
      <w:r w:rsidRPr="001048FE">
        <w:rPr>
          <w:spacing w:val="-18"/>
          <w:lang w:val="sl-SI"/>
        </w:rPr>
        <w:t xml:space="preserve"> </w:t>
      </w:r>
      <w:r w:rsidRPr="00860232">
        <w:rPr>
          <w:lang w:val="sl-SI"/>
        </w:rPr>
        <w:t>kreativnega učenja in</w:t>
      </w:r>
      <w:r>
        <w:rPr>
          <w:spacing w:val="-18"/>
          <w:lang w:val="sl-SI"/>
        </w:rPr>
        <w:t xml:space="preserve"> </w:t>
      </w:r>
      <w:r w:rsidRPr="001048FE">
        <w:rPr>
          <w:lang w:val="sl-SI"/>
        </w:rPr>
        <w:t>socialnega</w:t>
      </w:r>
      <w:r w:rsidRPr="001048FE">
        <w:rPr>
          <w:spacing w:val="-18"/>
          <w:lang w:val="sl-SI"/>
        </w:rPr>
        <w:t xml:space="preserve"> </w:t>
      </w:r>
      <w:r w:rsidRPr="001048FE">
        <w:rPr>
          <w:lang w:val="sl-SI"/>
        </w:rPr>
        <w:t>podjetništva</w:t>
      </w:r>
      <w:r w:rsidRPr="001048FE">
        <w:rPr>
          <w:spacing w:val="-18"/>
          <w:lang w:val="sl-SI"/>
        </w:rPr>
        <w:t xml:space="preserve"> </w:t>
      </w:r>
      <w:r w:rsidRPr="001048FE">
        <w:rPr>
          <w:lang w:val="sl-SI"/>
        </w:rPr>
        <w:t xml:space="preserve">med mladimi. </w:t>
      </w:r>
    </w:p>
    <w:p w14:paraId="7D3990C9" w14:textId="77777777" w:rsidR="00E03711" w:rsidRDefault="00E03711" w:rsidP="00860232">
      <w:pPr>
        <w:pStyle w:val="Guide-ListDash"/>
        <w:numPr>
          <w:ilvl w:val="0"/>
          <w:numId w:val="0"/>
        </w:numPr>
        <w:ind w:left="720" w:hanging="360"/>
        <w:rPr>
          <w:lang w:val="sl-SI"/>
        </w:rPr>
      </w:pPr>
    </w:p>
    <w:p w14:paraId="7D3990CA" w14:textId="77777777" w:rsidR="00E03711" w:rsidRPr="001048FE" w:rsidRDefault="00E03711" w:rsidP="00381E74">
      <w:pPr>
        <w:pStyle w:val="Guide-ListDash"/>
        <w:numPr>
          <w:ilvl w:val="0"/>
          <w:numId w:val="0"/>
        </w:numPr>
        <w:ind w:left="360"/>
        <w:rPr>
          <w:lang w:val="sl-SI"/>
        </w:rPr>
      </w:pPr>
      <w:r w:rsidRPr="001048FE">
        <w:rPr>
          <w:lang w:val="sl-SI"/>
        </w:rPr>
        <w:t>Prednost bodo imeli projekti v obliki transnacionalnih mladinskih pobud, ki skupinam mladih omogočajo, da zamisli vpeljejo v prakso, tudi prek socialnih podjetij, za spopadanje z izzivi in težavami, ugotovljenimi v njihovem</w:t>
      </w:r>
      <w:r w:rsidRPr="001048FE">
        <w:rPr>
          <w:spacing w:val="-39"/>
          <w:lang w:val="sl-SI"/>
        </w:rPr>
        <w:t xml:space="preserve"> </w:t>
      </w:r>
      <w:r w:rsidRPr="001048FE">
        <w:rPr>
          <w:lang w:val="sl-SI"/>
        </w:rPr>
        <w:t>vsakdanu.</w:t>
      </w:r>
    </w:p>
    <w:p w14:paraId="7D3990CB" w14:textId="77777777" w:rsidR="00E03711" w:rsidRPr="001048FE" w:rsidRDefault="00E03711" w:rsidP="00490811">
      <w:pPr>
        <w:pStyle w:val="Guide-Heading5"/>
        <w:rPr>
          <w:lang w:val="sl-SI"/>
        </w:rPr>
      </w:pPr>
      <w:r w:rsidRPr="001048FE">
        <w:rPr>
          <w:lang w:val="sl-SI"/>
        </w:rPr>
        <w:t>Katere aktivnosti so podprte v strateškem partnerstvu?</w:t>
      </w:r>
    </w:p>
    <w:p w14:paraId="7D3990CC" w14:textId="77777777" w:rsidR="00E03711" w:rsidRPr="001048FE" w:rsidRDefault="00E03711" w:rsidP="00490811">
      <w:pPr>
        <w:pStyle w:val="GUIDE-NORMAL"/>
        <w:rPr>
          <w:lang w:val="sl-SI"/>
        </w:rPr>
      </w:pPr>
      <w:r w:rsidRPr="001048FE">
        <w:rPr>
          <w:lang w:val="sl-SI"/>
        </w:rPr>
        <w:t>V življenjskem ciklu projektov in glede na vrsto strateškega partnerstva se lahko v okviru projektov običajno izvede širok nabor aktivnosti, na primer: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03711" w:rsidRPr="00C60205" w14:paraId="7D3990D5" w14:textId="77777777" w:rsidTr="00237696">
        <w:trPr>
          <w:trHeight w:val="20"/>
        </w:trPr>
        <w:tc>
          <w:tcPr>
            <w:tcW w:w="9064" w:type="dxa"/>
            <w:shd w:val="clear" w:color="auto" w:fill="auto"/>
          </w:tcPr>
          <w:p w14:paraId="7D3990CD" w14:textId="77777777" w:rsidR="00E03711" w:rsidRPr="00237696" w:rsidRDefault="00E03711" w:rsidP="005115F2">
            <w:pPr>
              <w:pStyle w:val="Guide-NormalBulletpoints"/>
              <w:numPr>
                <w:ilvl w:val="0"/>
                <w:numId w:val="396"/>
              </w:numPr>
              <w:spacing w:before="60"/>
              <w:rPr>
                <w:rFonts w:cs="Times New Roman"/>
                <w:lang w:val="sl-SI"/>
              </w:rPr>
            </w:pPr>
            <w:r w:rsidRPr="00237696">
              <w:rPr>
                <w:rFonts w:cs="Times New Roman"/>
                <w:lang w:val="sl-SI"/>
              </w:rPr>
              <w:t>aktivnosti, ki krepijo sodelovanje in mreženje organizacij;</w:t>
            </w:r>
          </w:p>
          <w:p w14:paraId="7D3990CE" w14:textId="77777777" w:rsidR="00E03711" w:rsidRPr="00237696" w:rsidRDefault="00E03711" w:rsidP="005115F2">
            <w:pPr>
              <w:pStyle w:val="Guide-NormalBulletpoints"/>
              <w:numPr>
                <w:ilvl w:val="0"/>
                <w:numId w:val="396"/>
              </w:numPr>
              <w:spacing w:before="60"/>
              <w:rPr>
                <w:rFonts w:cs="Times New Roman"/>
                <w:lang w:val="sl-SI"/>
              </w:rPr>
            </w:pPr>
            <w:r w:rsidRPr="00237696">
              <w:rPr>
                <w:rFonts w:cs="Times New Roman"/>
                <w:lang w:val="sl-SI"/>
              </w:rPr>
              <w:t xml:space="preserve">preskušanje in/ali izvajanje </w:t>
            </w:r>
            <w:r w:rsidRPr="00237696">
              <w:rPr>
                <w:rFonts w:cs="Times New Roman"/>
                <w:b/>
                <w:lang w:val="sl-SI"/>
              </w:rPr>
              <w:t>inovativnih praks</w:t>
            </w:r>
            <w:r w:rsidRPr="00237696">
              <w:rPr>
                <w:rFonts w:cs="Times New Roman"/>
                <w:lang w:val="sl-SI"/>
              </w:rPr>
              <w:t xml:space="preserve"> na področju izobraževanja, usposabljanja in mladine;</w:t>
            </w:r>
          </w:p>
          <w:p w14:paraId="7D3990CF" w14:textId="77777777" w:rsidR="00E03711" w:rsidRPr="00237696" w:rsidRDefault="00E03711" w:rsidP="005115F2">
            <w:pPr>
              <w:pStyle w:val="Guide-NormalBulletpoints"/>
              <w:numPr>
                <w:ilvl w:val="0"/>
                <w:numId w:val="396"/>
              </w:numPr>
              <w:spacing w:before="60"/>
              <w:rPr>
                <w:rFonts w:cs="Times New Roman"/>
                <w:lang w:val="sl-SI"/>
              </w:rPr>
            </w:pPr>
            <w:r w:rsidRPr="00237696">
              <w:rPr>
                <w:rFonts w:cs="Times New Roman"/>
                <w:lang w:val="sl-SI"/>
              </w:rPr>
              <w:t xml:space="preserve">aktivnosti, ki olajšajo </w:t>
            </w:r>
            <w:r w:rsidRPr="00237696">
              <w:rPr>
                <w:rFonts w:cs="Times New Roman"/>
                <w:b/>
                <w:lang w:val="sl-SI"/>
              </w:rPr>
              <w:t>priznavanje in potrjevanje znanja, spretnosti in kompetenc</w:t>
            </w:r>
            <w:r w:rsidRPr="00237696">
              <w:rPr>
                <w:rFonts w:cs="Times New Roman"/>
                <w:lang w:val="sl-SI"/>
              </w:rPr>
              <w:t xml:space="preserve">, pridobljenih s formalnim, neformalnim in priložnostnim učenjem; </w:t>
            </w:r>
          </w:p>
          <w:p w14:paraId="7D3990D0" w14:textId="77777777" w:rsidR="00E03711" w:rsidRPr="00237696" w:rsidRDefault="00E03711" w:rsidP="005115F2">
            <w:pPr>
              <w:pStyle w:val="Guide-NormalBulletpoints"/>
              <w:numPr>
                <w:ilvl w:val="0"/>
                <w:numId w:val="396"/>
              </w:numPr>
              <w:spacing w:before="60"/>
              <w:rPr>
                <w:rFonts w:cs="Times New Roman"/>
                <w:lang w:val="sl-SI"/>
              </w:rPr>
            </w:pPr>
            <w:r w:rsidRPr="00237696">
              <w:rPr>
                <w:rFonts w:cs="Times New Roman"/>
                <w:lang w:val="sl-SI"/>
              </w:rPr>
              <w:t xml:space="preserve">aktivnosti </w:t>
            </w:r>
            <w:r w:rsidRPr="00237696">
              <w:rPr>
                <w:rFonts w:cs="Times New Roman"/>
                <w:b/>
                <w:lang w:val="sl-SI"/>
              </w:rPr>
              <w:t>sodelovanja med regionalnimi organi</w:t>
            </w:r>
            <w:r w:rsidRPr="00237696">
              <w:rPr>
                <w:rFonts w:cs="Times New Roman"/>
                <w:lang w:val="sl-SI"/>
              </w:rPr>
              <w:t xml:space="preserve"> za spodbujanje razvoja sistemov na področju izobraževanja, usposabljanja in mladine ter njihovega vključevanja v ukrepe za lokalni in regionalni razvoj;</w:t>
            </w:r>
          </w:p>
          <w:p w14:paraId="7D3990D1" w14:textId="77777777" w:rsidR="00E03711" w:rsidRPr="00237696" w:rsidRDefault="00E03711" w:rsidP="005115F2">
            <w:pPr>
              <w:pStyle w:val="Guide-NormalBulletpoints"/>
              <w:numPr>
                <w:ilvl w:val="0"/>
                <w:numId w:val="396"/>
              </w:numPr>
              <w:spacing w:before="60"/>
              <w:rPr>
                <w:rFonts w:cs="Times New Roman"/>
                <w:lang w:val="sl-SI"/>
              </w:rPr>
            </w:pPr>
            <w:r w:rsidRPr="00237696">
              <w:rPr>
                <w:rFonts w:cs="Times New Roman"/>
                <w:lang w:val="sl-SI"/>
              </w:rPr>
              <w:t xml:space="preserve">aktivnosti za podporo učečim se, ki imajo </w:t>
            </w:r>
            <w:r w:rsidRPr="00237696">
              <w:rPr>
                <w:rFonts w:cs="Times New Roman"/>
                <w:b/>
                <w:lang w:val="sl-SI"/>
              </w:rPr>
              <w:t>posebne potrebe</w:t>
            </w:r>
            <w:r w:rsidRPr="00237696">
              <w:rPr>
                <w:rFonts w:cs="Times New Roman"/>
                <w:lang w:val="sl-SI"/>
              </w:rPr>
              <w:t xml:space="preserve">, da zaključijo izobraževanje in da se jim olajša prehod na trg dela, vključno s preprečevanjem segregacije in diskriminacije v izobraževanju za marginalizirane skupnosti; </w:t>
            </w:r>
          </w:p>
          <w:p w14:paraId="7D3990D2" w14:textId="77777777" w:rsidR="00E03711" w:rsidRPr="00237696" w:rsidRDefault="00E03711" w:rsidP="005115F2">
            <w:pPr>
              <w:pStyle w:val="Guide-NormalBulletpoints"/>
              <w:numPr>
                <w:ilvl w:val="0"/>
                <w:numId w:val="396"/>
              </w:numPr>
              <w:spacing w:before="60"/>
              <w:rPr>
                <w:rFonts w:cs="Times New Roman"/>
                <w:lang w:val="sl-SI"/>
              </w:rPr>
            </w:pPr>
            <w:r w:rsidRPr="00237696">
              <w:rPr>
                <w:rFonts w:cs="Times New Roman"/>
                <w:lang w:val="sl-SI"/>
              </w:rPr>
              <w:t xml:space="preserve">aktivnosti za boljšo pripravljenost ter uporabo strokovnjakov na področju izobraževanja in usposabljanja za izzive, povezane z </w:t>
            </w:r>
            <w:r w:rsidRPr="00237696">
              <w:rPr>
                <w:rFonts w:cs="Times New Roman"/>
                <w:b/>
                <w:lang w:val="sl-SI"/>
              </w:rPr>
              <w:t>enakostjo, raznolikostjo in vključevanjem</w:t>
            </w:r>
            <w:r w:rsidRPr="00237696">
              <w:rPr>
                <w:rFonts w:cs="Times New Roman"/>
                <w:lang w:val="sl-SI"/>
              </w:rPr>
              <w:t>, v učnem okolju;</w:t>
            </w:r>
          </w:p>
          <w:p w14:paraId="7D3990D3" w14:textId="77777777" w:rsidR="00E03711" w:rsidRPr="00237696" w:rsidRDefault="00E03711" w:rsidP="005115F2">
            <w:pPr>
              <w:pStyle w:val="Guide-NormalBulletpoints"/>
              <w:numPr>
                <w:ilvl w:val="0"/>
                <w:numId w:val="396"/>
              </w:numPr>
              <w:spacing w:before="60"/>
              <w:rPr>
                <w:rFonts w:cs="Times New Roman"/>
                <w:lang w:val="sl-SI"/>
              </w:rPr>
            </w:pPr>
            <w:r w:rsidRPr="00237696">
              <w:rPr>
                <w:rFonts w:cs="Times New Roman"/>
                <w:lang w:val="sl-SI"/>
              </w:rPr>
              <w:t>aktivnosti spodbujanja integracije beguncev, prosilcev za azil in novoprispelih migrantov ter ozaveščanja glede begunske krize v Evropi;</w:t>
            </w:r>
          </w:p>
          <w:p w14:paraId="7D3990D4" w14:textId="77777777" w:rsidR="00E03711" w:rsidRPr="00237696" w:rsidRDefault="00E03711" w:rsidP="005115F2">
            <w:pPr>
              <w:pStyle w:val="Guide-NormalBulletpoints"/>
              <w:numPr>
                <w:ilvl w:val="0"/>
                <w:numId w:val="396"/>
              </w:numPr>
              <w:spacing w:before="60"/>
              <w:rPr>
                <w:rStyle w:val="Guide-Condensed-02"/>
                <w:rFonts w:cs="Times New Roman"/>
                <w:lang w:val="sl-SI"/>
              </w:rPr>
            </w:pPr>
            <w:r w:rsidRPr="00237696">
              <w:rPr>
                <w:rStyle w:val="Guide-Condensed-02"/>
                <w:rFonts w:cs="Times New Roman"/>
                <w:lang w:val="sl-SI"/>
              </w:rPr>
              <w:t xml:space="preserve">mednarodne pobude, ki podpirajo podjetniško naravnanost in spretnosti za spodbujanje </w:t>
            </w:r>
            <w:r w:rsidRPr="00237696">
              <w:rPr>
                <w:rStyle w:val="Guide-Condensed-02"/>
                <w:rFonts w:cs="Times New Roman"/>
                <w:b/>
                <w:lang w:val="sl-SI"/>
              </w:rPr>
              <w:t>aktivnega državljanstva in podjetništva (vključno s socialnim podjetništvom)</w:t>
            </w:r>
            <w:r w:rsidRPr="00237696">
              <w:rPr>
                <w:rStyle w:val="Guide-Condensed-02"/>
                <w:rFonts w:cs="Times New Roman"/>
                <w:lang w:val="sl-SI"/>
              </w:rPr>
              <w:t>, ki jih skupaj izvajata dve ali več skupin mladih iz različnih držav.</w:t>
            </w:r>
          </w:p>
        </w:tc>
      </w:tr>
    </w:tbl>
    <w:p w14:paraId="7D3990D6" w14:textId="77777777" w:rsidR="00E03711" w:rsidRPr="001048FE" w:rsidRDefault="00E03711" w:rsidP="00094589">
      <w:pPr>
        <w:pStyle w:val="GUIDE-NORMAL"/>
        <w:rPr>
          <w:lang w:val="sl-SI"/>
        </w:rPr>
      </w:pPr>
      <w:bookmarkStart w:id="205" w:name="Qui_peut_participer_à_un_partenariat_str"/>
      <w:bookmarkEnd w:id="205"/>
      <w:r w:rsidRPr="001048FE">
        <w:rPr>
          <w:lang w:val="sl-SI"/>
        </w:rPr>
        <w:t xml:space="preserve">Strateška partnerstva lahko organizirajo tudi mednarodne </w:t>
      </w:r>
      <w:r w:rsidRPr="001048FE">
        <w:rPr>
          <w:b/>
          <w:lang w:val="sl-SI"/>
        </w:rPr>
        <w:t>aktivnosti učenja, poučevanja in usposabljanja</w:t>
      </w:r>
      <w:r w:rsidRPr="001048FE">
        <w:rPr>
          <w:lang w:val="sl-SI"/>
        </w:rPr>
        <w:t xml:space="preserve"> za posameznike, če te prispevajo dodano vrednost pri doseganju ciljev projekta. Nekatere od teh aktivnosti so še posebno relevantne na enem ali več področjih izobraževanja, usposabljanja in mladine, kot je navedeno v spodnji preglednici. Za podrobnejši opis podprtih aktivnosti glej Prilogo I.</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35"/>
      </w:tblGrid>
      <w:tr w:rsidR="00E03711" w:rsidRPr="008C6F8C" w14:paraId="7D3990D9" w14:textId="77777777" w:rsidTr="00F33B64">
        <w:trPr>
          <w:trHeight w:val="20"/>
        </w:trPr>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14:paraId="7D3990D7" w14:textId="77777777" w:rsidR="00E03711" w:rsidRPr="00F769E0" w:rsidRDefault="00E03711" w:rsidP="00094589">
            <w:pPr>
              <w:pStyle w:val="GUIDE-NORMAL"/>
              <w:spacing w:before="60" w:after="60"/>
              <w:rPr>
                <w:rFonts w:cs="Tahoma"/>
                <w:b/>
                <w:lang w:val="sl-SI" w:eastAsia="en-GB"/>
              </w:rPr>
            </w:pPr>
            <w:r w:rsidRPr="00F769E0">
              <w:rPr>
                <w:rFonts w:cs="Tahoma"/>
                <w:b/>
                <w:lang w:val="sl-SI" w:eastAsia="en-GB"/>
              </w:rPr>
              <w:t>Vrsta aktivnosti</w:t>
            </w:r>
          </w:p>
        </w:tc>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14:paraId="7D3990D8" w14:textId="77777777" w:rsidR="00E03711" w:rsidRPr="00F769E0" w:rsidRDefault="00E03711" w:rsidP="00094589">
            <w:pPr>
              <w:pStyle w:val="GUIDE-NORMAL"/>
              <w:spacing w:before="60" w:after="60"/>
              <w:rPr>
                <w:rFonts w:cs="Tahoma"/>
                <w:b/>
                <w:lang w:val="sl-SI" w:eastAsia="en-GB"/>
              </w:rPr>
            </w:pPr>
            <w:r w:rsidRPr="00F769E0">
              <w:rPr>
                <w:rFonts w:cs="Tahoma"/>
                <w:b/>
                <w:lang w:val="sl-SI" w:eastAsia="en-GB"/>
              </w:rPr>
              <w:t>Posebno relevantna za</w:t>
            </w:r>
          </w:p>
        </w:tc>
      </w:tr>
      <w:tr w:rsidR="00E03711" w:rsidRPr="00C60205" w14:paraId="7D3990DC" w14:textId="77777777" w:rsidTr="00F33B64">
        <w:trPr>
          <w:trHeight w:val="20"/>
        </w:trPr>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14:paraId="7D3990DA" w14:textId="77777777" w:rsidR="00E03711" w:rsidRPr="00F769E0" w:rsidRDefault="00E03711" w:rsidP="00094589">
            <w:pPr>
              <w:pStyle w:val="GUIDE-NORMAL"/>
              <w:spacing w:before="60" w:after="60"/>
              <w:rPr>
                <w:rFonts w:cs="Tahoma"/>
                <w:lang w:val="sl-SI" w:eastAsia="en-GB"/>
              </w:rPr>
            </w:pPr>
            <w:r w:rsidRPr="00F769E0">
              <w:rPr>
                <w:rFonts w:cs="Tahoma"/>
                <w:lang w:val="sl-SI" w:eastAsia="en-GB"/>
              </w:rPr>
              <w:t>kombinirana mobilnost učečih se</w:t>
            </w:r>
          </w:p>
        </w:tc>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14:paraId="7D3990DB" w14:textId="77777777" w:rsidR="00E03711" w:rsidRPr="00F769E0" w:rsidRDefault="00E03711" w:rsidP="00094589">
            <w:pPr>
              <w:pStyle w:val="GUIDE-NORMAL"/>
              <w:spacing w:before="60" w:after="60"/>
              <w:rPr>
                <w:rFonts w:cs="Tahoma"/>
                <w:lang w:val="sl-SI" w:eastAsia="en-GB"/>
              </w:rPr>
            </w:pPr>
            <w:r w:rsidRPr="00F769E0">
              <w:rPr>
                <w:rFonts w:cs="Tahoma"/>
                <w:lang w:val="sl-SI" w:eastAsia="en-GB"/>
              </w:rPr>
              <w:t>vsa področja izobraževanja, usposabljanja in mladine</w:t>
            </w:r>
          </w:p>
        </w:tc>
      </w:tr>
      <w:tr w:rsidR="00E03711" w:rsidRPr="008C6F8C" w14:paraId="7D3990DF" w14:textId="77777777" w:rsidTr="00F33B64">
        <w:trPr>
          <w:trHeight w:val="20"/>
        </w:trPr>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14:paraId="7D3990DD" w14:textId="77777777" w:rsidR="00E03711" w:rsidRPr="00F769E0" w:rsidRDefault="00E03711" w:rsidP="00094589">
            <w:pPr>
              <w:pStyle w:val="GUIDE-NORMAL"/>
              <w:spacing w:before="60" w:after="60"/>
              <w:rPr>
                <w:rFonts w:cs="Tahoma"/>
                <w:lang w:val="sl-SI" w:eastAsia="en-GB"/>
              </w:rPr>
            </w:pPr>
            <w:r w:rsidRPr="00F769E0">
              <w:rPr>
                <w:rFonts w:cs="Tahoma"/>
                <w:lang w:val="sl-SI" w:eastAsia="en-GB"/>
              </w:rPr>
              <w:t>kratkotrajne izmenjave skupin učencev/dijakov</w:t>
            </w:r>
          </w:p>
        </w:tc>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14:paraId="7D3990DE" w14:textId="77777777" w:rsidR="00E03711" w:rsidRPr="00F769E0" w:rsidRDefault="00E03711" w:rsidP="00094589">
            <w:pPr>
              <w:pStyle w:val="GUIDE-NORMAL"/>
              <w:spacing w:before="60" w:after="60"/>
              <w:rPr>
                <w:rFonts w:cs="Tahoma"/>
                <w:lang w:val="sl-SI" w:eastAsia="en-GB"/>
              </w:rPr>
            </w:pPr>
            <w:r w:rsidRPr="00F769E0">
              <w:rPr>
                <w:rFonts w:cs="Tahoma"/>
                <w:lang w:val="sl-SI" w:eastAsia="en-GB"/>
              </w:rPr>
              <w:t>šolsko izobraževanje, PIU</w:t>
            </w:r>
          </w:p>
        </w:tc>
      </w:tr>
      <w:tr w:rsidR="00E03711" w:rsidRPr="008C6F8C" w14:paraId="7D3990E2" w14:textId="77777777" w:rsidTr="00F33B64">
        <w:trPr>
          <w:trHeight w:val="20"/>
        </w:trPr>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14:paraId="7D3990E0" w14:textId="77777777" w:rsidR="00E03711" w:rsidRPr="00F769E0" w:rsidRDefault="00E03711" w:rsidP="00094589">
            <w:pPr>
              <w:pStyle w:val="GUIDE-NORMAL"/>
              <w:spacing w:before="60" w:after="60"/>
              <w:rPr>
                <w:rFonts w:cs="Tahoma"/>
                <w:lang w:val="sl-SI" w:eastAsia="en-GB"/>
              </w:rPr>
            </w:pPr>
            <w:r w:rsidRPr="00F769E0">
              <w:rPr>
                <w:rFonts w:cs="Tahoma"/>
                <w:lang w:val="sl-SI" w:eastAsia="en-GB"/>
              </w:rPr>
              <w:t>intenzivni študijski programi</w:t>
            </w:r>
          </w:p>
        </w:tc>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14:paraId="7D3990E1" w14:textId="77777777" w:rsidR="00E03711" w:rsidRPr="00F769E0" w:rsidRDefault="00E03711" w:rsidP="00094589">
            <w:pPr>
              <w:pStyle w:val="GUIDE-NORMAL"/>
              <w:spacing w:before="60" w:after="60"/>
              <w:rPr>
                <w:rFonts w:cs="Tahoma"/>
                <w:lang w:val="sl-SI" w:eastAsia="en-GB"/>
              </w:rPr>
            </w:pPr>
            <w:r w:rsidRPr="00F769E0">
              <w:rPr>
                <w:rFonts w:cs="Tahoma"/>
                <w:lang w:val="sl-SI" w:eastAsia="en-GB"/>
              </w:rPr>
              <w:t>visokošolsko izobraževanje</w:t>
            </w:r>
          </w:p>
        </w:tc>
      </w:tr>
      <w:tr w:rsidR="00E03711" w:rsidRPr="008C6F8C" w14:paraId="7D3990E5" w14:textId="77777777" w:rsidTr="00F33B64">
        <w:trPr>
          <w:trHeight w:val="20"/>
        </w:trPr>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14:paraId="7D3990E3" w14:textId="77777777" w:rsidR="00E03711" w:rsidRPr="00F769E0" w:rsidRDefault="00E03711" w:rsidP="00094589">
            <w:pPr>
              <w:pStyle w:val="GUIDE-NORMAL"/>
              <w:spacing w:before="60" w:after="60"/>
              <w:rPr>
                <w:rFonts w:cs="Tahoma"/>
                <w:lang w:val="sl-SI" w:eastAsia="en-GB"/>
              </w:rPr>
            </w:pPr>
            <w:r w:rsidRPr="00F769E0">
              <w:rPr>
                <w:rFonts w:cs="Tahoma"/>
                <w:lang w:val="sl-SI" w:eastAsia="en-GB"/>
              </w:rPr>
              <w:t>dolgotrajna učna mobilnost učencev/dijakov</w:t>
            </w:r>
          </w:p>
        </w:tc>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14:paraId="7D3990E4" w14:textId="77777777" w:rsidR="00E03711" w:rsidRPr="00F769E0" w:rsidRDefault="00E03711" w:rsidP="00094589">
            <w:pPr>
              <w:pStyle w:val="GUIDE-NORMAL"/>
              <w:spacing w:before="60" w:after="60"/>
              <w:rPr>
                <w:rFonts w:cs="Tahoma"/>
                <w:lang w:val="sl-SI" w:eastAsia="en-GB"/>
              </w:rPr>
            </w:pPr>
            <w:r w:rsidRPr="00F769E0">
              <w:rPr>
                <w:rFonts w:cs="Tahoma"/>
                <w:lang w:val="sl-SI" w:eastAsia="en-GB"/>
              </w:rPr>
              <w:t>šolsko izobraževanje</w:t>
            </w:r>
          </w:p>
        </w:tc>
      </w:tr>
      <w:tr w:rsidR="00E03711" w:rsidRPr="00C60205" w14:paraId="7D3990E8" w14:textId="77777777" w:rsidTr="00F33B64">
        <w:trPr>
          <w:trHeight w:val="20"/>
        </w:trPr>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14:paraId="7D3990E6" w14:textId="77777777" w:rsidR="00E03711" w:rsidRPr="00F769E0" w:rsidRDefault="00E03711" w:rsidP="00094589">
            <w:pPr>
              <w:pStyle w:val="GUIDE-NORMAL"/>
              <w:spacing w:before="60" w:after="60"/>
              <w:rPr>
                <w:rFonts w:cs="Tahoma"/>
                <w:lang w:val="sl-SI" w:eastAsia="en-GB"/>
              </w:rPr>
            </w:pPr>
            <w:r w:rsidRPr="00F769E0">
              <w:rPr>
                <w:rFonts w:cs="Tahoma"/>
                <w:lang w:val="sl-SI" w:eastAsia="en-GB"/>
              </w:rPr>
              <w:t>dolgotrajna mobilnost za poučevanje ali usposabljanje</w:t>
            </w:r>
          </w:p>
        </w:tc>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14:paraId="7D3990E7" w14:textId="77777777" w:rsidR="00E03711" w:rsidRPr="00F769E0" w:rsidRDefault="00E03711" w:rsidP="00094589">
            <w:pPr>
              <w:pStyle w:val="GUIDE-NORMAL"/>
              <w:spacing w:before="60" w:after="60"/>
              <w:rPr>
                <w:rFonts w:cs="Tahoma"/>
                <w:lang w:val="sl-SI" w:eastAsia="en-GB"/>
              </w:rPr>
            </w:pPr>
            <w:r w:rsidRPr="00F769E0">
              <w:rPr>
                <w:rFonts w:cs="Tahoma"/>
                <w:lang w:val="sl-SI" w:eastAsia="en-GB"/>
              </w:rPr>
              <w:t>visokošolsko izobraževanje, PIU, šolsko izobraževanje in izobraževanje odraslih</w:t>
            </w:r>
          </w:p>
        </w:tc>
      </w:tr>
      <w:tr w:rsidR="00E03711" w:rsidRPr="008C6F8C" w14:paraId="7D3990EB" w14:textId="77777777" w:rsidTr="00F33B64">
        <w:trPr>
          <w:trHeight w:val="20"/>
        </w:trPr>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14:paraId="7D3990E9" w14:textId="77777777" w:rsidR="00E03711" w:rsidRPr="00F769E0" w:rsidRDefault="00E03711" w:rsidP="00094589">
            <w:pPr>
              <w:pStyle w:val="GUIDE-NORMAL"/>
              <w:spacing w:before="60" w:after="60"/>
              <w:rPr>
                <w:rFonts w:cs="Tahoma"/>
                <w:lang w:val="sl-SI" w:eastAsia="en-GB"/>
              </w:rPr>
            </w:pPr>
            <w:r w:rsidRPr="00F769E0">
              <w:rPr>
                <w:rFonts w:cs="Tahoma"/>
                <w:lang w:val="sl-SI" w:eastAsia="en-GB"/>
              </w:rPr>
              <w:t>dolgotrajna mobilnost mladinskih delavcev</w:t>
            </w:r>
          </w:p>
        </w:tc>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14:paraId="7D3990EA" w14:textId="77777777" w:rsidR="00E03711" w:rsidRPr="00F769E0" w:rsidRDefault="00E03711" w:rsidP="00094589">
            <w:pPr>
              <w:pStyle w:val="GUIDE-NORMAL"/>
              <w:spacing w:before="60" w:after="60"/>
              <w:rPr>
                <w:rFonts w:cs="Tahoma"/>
                <w:lang w:val="sl-SI" w:eastAsia="en-GB"/>
              </w:rPr>
            </w:pPr>
            <w:r w:rsidRPr="00F769E0">
              <w:rPr>
                <w:rFonts w:cs="Tahoma"/>
                <w:lang w:val="sl-SI" w:eastAsia="en-GB"/>
              </w:rPr>
              <w:t>mladina</w:t>
            </w:r>
          </w:p>
        </w:tc>
      </w:tr>
      <w:tr w:rsidR="00E03711" w:rsidRPr="00C60205" w14:paraId="7D3990EE" w14:textId="77777777" w:rsidTr="00F33B64">
        <w:trPr>
          <w:trHeight w:val="20"/>
        </w:trPr>
        <w:tc>
          <w:tcPr>
            <w:tcW w:w="4535" w:type="dxa"/>
            <w:shd w:val="clear" w:color="auto" w:fill="auto"/>
            <w:vAlign w:val="center"/>
          </w:tcPr>
          <w:p w14:paraId="7D3990EC" w14:textId="77777777" w:rsidR="00E03711" w:rsidRPr="00F769E0" w:rsidRDefault="00E03711" w:rsidP="00094589">
            <w:pPr>
              <w:pStyle w:val="GUIDE-NORMAL"/>
              <w:spacing w:before="60" w:after="60"/>
              <w:rPr>
                <w:rFonts w:cs="Tahoma"/>
                <w:lang w:val="sl-SI" w:eastAsia="en-GB"/>
              </w:rPr>
            </w:pPr>
            <w:r w:rsidRPr="00F769E0">
              <w:rPr>
                <w:rFonts w:cs="Tahoma"/>
                <w:lang w:val="sl-SI" w:eastAsia="en-GB"/>
              </w:rPr>
              <w:t>kratkotrajna skupna usposabljanja osebja</w:t>
            </w:r>
          </w:p>
        </w:tc>
        <w:tc>
          <w:tcPr>
            <w:tcW w:w="4535" w:type="dxa"/>
            <w:shd w:val="clear" w:color="auto" w:fill="auto"/>
            <w:vAlign w:val="center"/>
          </w:tcPr>
          <w:p w14:paraId="7D3990ED" w14:textId="77777777" w:rsidR="00E03711" w:rsidRPr="00F769E0" w:rsidRDefault="00E03711" w:rsidP="00094589">
            <w:pPr>
              <w:pStyle w:val="GUIDE-NORMAL"/>
              <w:spacing w:before="60" w:after="60"/>
              <w:rPr>
                <w:rFonts w:cs="Tahoma"/>
                <w:lang w:val="sl-SI" w:eastAsia="en-GB"/>
              </w:rPr>
            </w:pPr>
            <w:r w:rsidRPr="00F769E0">
              <w:rPr>
                <w:rFonts w:cs="Tahoma"/>
                <w:lang w:val="sl-SI" w:eastAsia="en-GB"/>
              </w:rPr>
              <w:t>vsa področja izobraževanja, usposabljanja in mladine</w:t>
            </w:r>
          </w:p>
        </w:tc>
      </w:tr>
    </w:tbl>
    <w:p w14:paraId="7D3990EF" w14:textId="77777777" w:rsidR="00E03711" w:rsidRPr="001048FE" w:rsidRDefault="00E03711" w:rsidP="00094589">
      <w:pPr>
        <w:pStyle w:val="Guide-Heading5"/>
        <w:rPr>
          <w:lang w:val="sl-SI"/>
        </w:rPr>
      </w:pPr>
      <w:r w:rsidRPr="001048FE">
        <w:rPr>
          <w:lang w:val="sl-SI"/>
        </w:rPr>
        <w:t>Kdo lahko sodeluje v strateškem partnerstvu?</w:t>
      </w:r>
    </w:p>
    <w:p w14:paraId="7D3990F0" w14:textId="77777777" w:rsidR="00E03711" w:rsidRPr="001048FE" w:rsidRDefault="00E03711" w:rsidP="00094589">
      <w:pPr>
        <w:pStyle w:val="GUIDE-NORMAL"/>
        <w:rPr>
          <w:lang w:val="sl-SI"/>
        </w:rPr>
      </w:pPr>
      <w:r w:rsidRPr="001048FE">
        <w:rPr>
          <w:lang w:val="sl-SI"/>
        </w:rPr>
        <w:t>Praviloma so strateška partnerstva namenjena sodelovanju med organizacijami s sedežem v državah Programa. Vendar lahko organizacije iz partnerskih držav sodelujejo v strateškem partnerstvu kot partnerice (ne kot prijaviteljice), če njihova udeležba k projektu prispeva bistveno dodano vrednost.</w:t>
      </w:r>
    </w:p>
    <w:p w14:paraId="7D3990F1" w14:textId="77777777" w:rsidR="00E03711" w:rsidRDefault="00E03711" w:rsidP="00094589">
      <w:pPr>
        <w:pStyle w:val="GUIDE-NORMAL"/>
        <w:rPr>
          <w:lang w:val="sl-SI"/>
        </w:rPr>
      </w:pPr>
      <w:r w:rsidRPr="001048FE">
        <w:rPr>
          <w:lang w:val="sl-SI"/>
        </w:rPr>
        <w:t>Poleg organizacij, ki formalno sodelujejo v projektu in prejemajo sredstva EU, lahko strateška partnerstva vključujejo tudi pridružene partnerje iz javnega ali zasebnega sektorja, ki prispevajo k izvajanju določenih projektnih nalog/aktivnosti ali podpirajo razširjanje in trajnost projekta. Za vprašanja glede upravljanja sporazuma se pridruženi partnerji ne štejejo za partnerje pri projektu in ne prejemajo sredstev. Vendar morata biti njihova vključenost in vloga v projektu ter različnih aktivnostih jasno opisani</w:t>
      </w:r>
      <w:r>
        <w:rPr>
          <w:lang w:val="sl-SI"/>
        </w:rPr>
        <w:t>.</w:t>
      </w:r>
    </w:p>
    <w:p w14:paraId="7D3990F2" w14:textId="77777777" w:rsidR="00E03711" w:rsidRPr="001048FE" w:rsidRDefault="00E03711" w:rsidP="00094589">
      <w:pPr>
        <w:pStyle w:val="GUIDE-NORMAL"/>
        <w:rPr>
          <w:lang w:val="sl-SI"/>
        </w:rPr>
      </w:pPr>
    </w:p>
    <w:p w14:paraId="7D3990F3" w14:textId="77777777" w:rsidR="00E03711" w:rsidRPr="001048FE" w:rsidRDefault="00E03711" w:rsidP="00094589">
      <w:pPr>
        <w:pStyle w:val="Guide-Heading5"/>
        <w:rPr>
          <w:lang w:val="sl-SI"/>
        </w:rPr>
      </w:pPr>
      <w:r w:rsidRPr="001048FE">
        <w:rPr>
          <w:lang w:val="sl-SI"/>
        </w:rPr>
        <w:t>Kakšna so merila za oceno strateškega partnerstva?</w:t>
      </w:r>
    </w:p>
    <w:p w14:paraId="7D3990F4" w14:textId="77777777" w:rsidR="00E03711" w:rsidRPr="001048FE" w:rsidRDefault="00E03711" w:rsidP="00094589">
      <w:pPr>
        <w:pStyle w:val="GUIDE-NORMAL"/>
        <w:rPr>
          <w:lang w:val="sl-SI"/>
        </w:rPr>
      </w:pPr>
      <w:r w:rsidRPr="001048FE">
        <w:rPr>
          <w:lang w:val="sl-SI"/>
        </w:rPr>
        <w:t>V nadaljevanju so navedena formalna merila, ki jih mora izpolniti strateško partnerstvo za upravičenost do nepovratnih sredstev Erasmus+:</w:t>
      </w:r>
    </w:p>
    <w:p w14:paraId="7D3990F5" w14:textId="77777777" w:rsidR="00E03711" w:rsidRPr="001048FE" w:rsidRDefault="00E03711" w:rsidP="008147A8">
      <w:pPr>
        <w:pStyle w:val="Guide-Heading6"/>
        <w:rPr>
          <w:lang w:val="sl-SI"/>
        </w:rPr>
      </w:pPr>
      <w:r w:rsidRPr="001048FE">
        <w:rPr>
          <w:lang w:val="sl-SI"/>
        </w:rPr>
        <w:t>Splošna merila za upravičenost</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68"/>
        <w:gridCol w:w="7722"/>
      </w:tblGrid>
      <w:tr w:rsidR="00E03711" w:rsidRPr="00C60205" w14:paraId="7D399109" w14:textId="77777777" w:rsidTr="006A4483">
        <w:trPr>
          <w:trHeight w:val="20"/>
        </w:trPr>
        <w:tc>
          <w:tcPr>
            <w:tcW w:w="844" w:type="pct"/>
            <w:shd w:val="clear" w:color="auto" w:fill="FFFFFF"/>
            <w:vAlign w:val="center"/>
          </w:tcPr>
          <w:p w14:paraId="7D3990F6" w14:textId="77777777" w:rsidR="00E03711" w:rsidRPr="00F769E0" w:rsidRDefault="00E03711" w:rsidP="00A86D59">
            <w:pPr>
              <w:pStyle w:val="GUIDE-NORMAL"/>
              <w:spacing w:before="60" w:after="60"/>
              <w:jc w:val="left"/>
              <w:rPr>
                <w:rFonts w:cs="Tahoma"/>
                <w:b/>
                <w:lang w:val="sl-SI" w:eastAsia="en-GB"/>
              </w:rPr>
            </w:pPr>
            <w:r w:rsidRPr="00F769E0">
              <w:rPr>
                <w:rFonts w:cs="Tahoma"/>
                <w:b/>
                <w:lang w:val="sl-SI" w:eastAsia="en-GB"/>
              </w:rPr>
              <w:t>Upravičene sodelujoče organizacije</w:t>
            </w:r>
          </w:p>
        </w:tc>
        <w:tc>
          <w:tcPr>
            <w:tcW w:w="4156" w:type="pct"/>
            <w:shd w:val="clear" w:color="auto" w:fill="FFFFFF"/>
            <w:vAlign w:val="center"/>
          </w:tcPr>
          <w:p w14:paraId="7D3990F7" w14:textId="77777777" w:rsidR="00E03711" w:rsidRPr="00F769E0" w:rsidRDefault="00E03711" w:rsidP="00A86D59">
            <w:pPr>
              <w:pStyle w:val="GUIDE-NORMAL"/>
              <w:spacing w:before="60" w:after="60"/>
              <w:rPr>
                <w:rFonts w:cs="Tahoma"/>
                <w:lang w:val="sl-SI" w:eastAsia="en-GB"/>
              </w:rPr>
            </w:pPr>
            <w:r w:rsidRPr="00F769E0">
              <w:rPr>
                <w:rFonts w:cs="Tahoma"/>
                <w:lang w:val="sl-SI" w:eastAsia="en-GB"/>
              </w:rPr>
              <w:t>Sodelujoča organizacija je lahko katera koli javna ali zasebna organizacija s sedežem v državi Programa ali kateri koli partnerski državi sveta (glej poglavje „Upravičene države“ v delu A tega vodnika).</w:t>
            </w:r>
          </w:p>
          <w:p w14:paraId="7D3990F8" w14:textId="77777777" w:rsidR="00E03711" w:rsidRPr="00F769E0" w:rsidRDefault="00E03711" w:rsidP="00A86D59">
            <w:pPr>
              <w:pStyle w:val="GUIDE-NORMAL"/>
              <w:spacing w:before="60" w:after="60"/>
              <w:rPr>
                <w:rFonts w:cs="Tahoma"/>
                <w:lang w:val="sl-SI" w:eastAsia="en-GB"/>
              </w:rPr>
            </w:pPr>
            <w:r w:rsidRPr="00F769E0">
              <w:rPr>
                <w:rFonts w:cs="Tahoma"/>
                <w:lang w:val="sl-SI" w:eastAsia="en-GB"/>
              </w:rPr>
              <w:t>Taka organizacija je lahko na primer:</w:t>
            </w:r>
          </w:p>
          <w:p w14:paraId="7D3990F9" w14:textId="77777777" w:rsidR="00E03711" w:rsidRPr="001048FE" w:rsidRDefault="00E03711" w:rsidP="002D7FF4">
            <w:pPr>
              <w:pStyle w:val="Guide-NormalBulletpoints"/>
              <w:numPr>
                <w:ilvl w:val="0"/>
                <w:numId w:val="104"/>
              </w:numPr>
              <w:spacing w:before="60"/>
              <w:rPr>
                <w:lang w:val="sl-SI"/>
              </w:rPr>
            </w:pPr>
            <w:r w:rsidRPr="001048FE">
              <w:rPr>
                <w:lang w:val="sl-SI"/>
              </w:rPr>
              <w:t>visokošolska institucija;</w:t>
            </w:r>
          </w:p>
          <w:p w14:paraId="7D3990FA" w14:textId="77777777" w:rsidR="00E03711" w:rsidRPr="001048FE" w:rsidRDefault="00E03711" w:rsidP="002D7FF4">
            <w:pPr>
              <w:pStyle w:val="Guide-NormalBulletpoints"/>
              <w:numPr>
                <w:ilvl w:val="0"/>
                <w:numId w:val="104"/>
              </w:numPr>
              <w:spacing w:before="60"/>
              <w:rPr>
                <w:lang w:val="sl-SI"/>
              </w:rPr>
            </w:pPr>
            <w:r w:rsidRPr="001048FE">
              <w:rPr>
                <w:lang w:val="sl-SI"/>
              </w:rPr>
              <w:t>šola/institucija/center za izobraževanje (na kateri koli ravni, od predšolskega do srednješolskega izobraževanja, vključno s poklicnim izobraževanjem in izobraževanjem odraslih);</w:t>
            </w:r>
          </w:p>
          <w:p w14:paraId="7D3990FB" w14:textId="77777777" w:rsidR="00E03711" w:rsidRPr="001048FE" w:rsidRDefault="00E03711" w:rsidP="002D7FF4">
            <w:pPr>
              <w:pStyle w:val="Guide-NormalBulletpoints"/>
              <w:numPr>
                <w:ilvl w:val="0"/>
                <w:numId w:val="104"/>
              </w:numPr>
              <w:spacing w:before="60"/>
              <w:rPr>
                <w:lang w:val="sl-SI"/>
              </w:rPr>
            </w:pPr>
            <w:r w:rsidRPr="001048FE">
              <w:rPr>
                <w:lang w:val="sl-SI"/>
              </w:rPr>
              <w:t>neprofitna organizacija, združenje, nevladna organizacija;</w:t>
            </w:r>
          </w:p>
          <w:p w14:paraId="7D3990FC" w14:textId="77777777" w:rsidR="00E03711" w:rsidRPr="001048FE" w:rsidRDefault="00E03711" w:rsidP="002D7FF4">
            <w:pPr>
              <w:pStyle w:val="Guide-NormalBulletpoints"/>
              <w:numPr>
                <w:ilvl w:val="0"/>
                <w:numId w:val="104"/>
              </w:numPr>
              <w:spacing w:before="60"/>
              <w:rPr>
                <w:lang w:val="sl-SI"/>
              </w:rPr>
            </w:pPr>
            <w:r w:rsidRPr="001048FE">
              <w:rPr>
                <w:lang w:val="sl-SI"/>
              </w:rPr>
              <w:t>javno ali zasebno malo, srednje ali veliko podjetje (vključno s socialnimi podjetji);</w:t>
            </w:r>
          </w:p>
          <w:p w14:paraId="7D3990FD" w14:textId="77777777" w:rsidR="00E03711" w:rsidRPr="001048FE" w:rsidRDefault="00E03711" w:rsidP="002D7FF4">
            <w:pPr>
              <w:pStyle w:val="Guide-NormalBulletpoints"/>
              <w:numPr>
                <w:ilvl w:val="0"/>
                <w:numId w:val="104"/>
              </w:numPr>
              <w:spacing w:before="60"/>
              <w:rPr>
                <w:lang w:val="sl-SI"/>
              </w:rPr>
            </w:pPr>
            <w:r w:rsidRPr="001048FE">
              <w:rPr>
                <w:lang w:val="sl-SI"/>
              </w:rPr>
              <w:t>javni organ na lokalni, regionalni ali nacionalni ravni;</w:t>
            </w:r>
          </w:p>
          <w:p w14:paraId="7D3990FE" w14:textId="77777777" w:rsidR="00E03711" w:rsidRPr="001048FE" w:rsidRDefault="00E03711" w:rsidP="002D7FF4">
            <w:pPr>
              <w:pStyle w:val="Guide-NormalBulletpoints"/>
              <w:numPr>
                <w:ilvl w:val="0"/>
                <w:numId w:val="104"/>
              </w:numPr>
              <w:spacing w:before="60"/>
              <w:rPr>
                <w:lang w:val="sl-SI"/>
              </w:rPr>
            </w:pPr>
            <w:r w:rsidRPr="001048FE">
              <w:rPr>
                <w:lang w:val="sl-SI"/>
              </w:rPr>
              <w:t>socialni partner ali drug predstavnik sveta dela, tudi gospodarske zbornice, industrijske zbornice, obrtniška/poklicna združenja in sindikati;</w:t>
            </w:r>
          </w:p>
          <w:p w14:paraId="7D3990FF" w14:textId="77777777" w:rsidR="00E03711" w:rsidRPr="001048FE" w:rsidRDefault="00E03711" w:rsidP="002D7FF4">
            <w:pPr>
              <w:pStyle w:val="Guide-NormalBulletpoints"/>
              <w:numPr>
                <w:ilvl w:val="0"/>
                <w:numId w:val="104"/>
              </w:numPr>
              <w:spacing w:before="60"/>
              <w:rPr>
                <w:lang w:val="sl-SI"/>
              </w:rPr>
            </w:pPr>
            <w:r w:rsidRPr="001048FE">
              <w:rPr>
                <w:lang w:val="sl-SI"/>
              </w:rPr>
              <w:t>raziskovalni inštitut;</w:t>
            </w:r>
          </w:p>
          <w:p w14:paraId="7D399100" w14:textId="77777777" w:rsidR="00E03711" w:rsidRPr="001048FE" w:rsidRDefault="00E03711" w:rsidP="002D7FF4">
            <w:pPr>
              <w:pStyle w:val="Guide-NormalBulletpoints"/>
              <w:numPr>
                <w:ilvl w:val="0"/>
                <w:numId w:val="104"/>
              </w:numPr>
              <w:spacing w:before="60"/>
              <w:rPr>
                <w:lang w:val="sl-SI"/>
              </w:rPr>
            </w:pPr>
            <w:r w:rsidRPr="001048FE">
              <w:rPr>
                <w:lang w:val="sl-SI"/>
              </w:rPr>
              <w:t>fundacija;</w:t>
            </w:r>
          </w:p>
          <w:p w14:paraId="7D399101" w14:textId="77777777" w:rsidR="00E03711" w:rsidRPr="001048FE" w:rsidRDefault="00E03711" w:rsidP="002D7FF4">
            <w:pPr>
              <w:pStyle w:val="Guide-NormalBulletpoints"/>
              <w:numPr>
                <w:ilvl w:val="0"/>
                <w:numId w:val="104"/>
              </w:numPr>
              <w:spacing w:before="60"/>
              <w:rPr>
                <w:lang w:val="sl-SI"/>
              </w:rPr>
            </w:pPr>
            <w:r w:rsidRPr="001048FE">
              <w:rPr>
                <w:lang w:val="sl-SI"/>
              </w:rPr>
              <w:t>medpodjetniški center za usposabljanje;</w:t>
            </w:r>
          </w:p>
          <w:p w14:paraId="7D399102" w14:textId="77777777" w:rsidR="00E03711" w:rsidRPr="001048FE" w:rsidRDefault="00E03711" w:rsidP="002D7FF4">
            <w:pPr>
              <w:pStyle w:val="Guide-NormalBulletpoints"/>
              <w:numPr>
                <w:ilvl w:val="0"/>
                <w:numId w:val="104"/>
              </w:numPr>
              <w:spacing w:before="60"/>
              <w:rPr>
                <w:lang w:val="sl-SI"/>
              </w:rPr>
            </w:pPr>
            <w:r w:rsidRPr="001048FE">
              <w:rPr>
                <w:lang w:val="sl-SI"/>
              </w:rPr>
              <w:t>podjetja, ki zagotavljajo skupna usposabljanja (usposabljanja v sodelovanju z drugimi);</w:t>
            </w:r>
          </w:p>
          <w:p w14:paraId="7D399103" w14:textId="77777777" w:rsidR="00E03711" w:rsidRPr="001048FE" w:rsidRDefault="00E03711" w:rsidP="002D7FF4">
            <w:pPr>
              <w:pStyle w:val="Guide-NormalBulletpoints"/>
              <w:numPr>
                <w:ilvl w:val="0"/>
                <w:numId w:val="104"/>
              </w:numPr>
              <w:spacing w:before="60"/>
              <w:rPr>
                <w:lang w:val="sl-SI"/>
              </w:rPr>
            </w:pPr>
            <w:r w:rsidRPr="001048FE">
              <w:rPr>
                <w:lang w:val="sl-SI"/>
              </w:rPr>
              <w:t>kulturna organizacija, knjižnica, muzej;</w:t>
            </w:r>
          </w:p>
          <w:p w14:paraId="7D399104" w14:textId="77777777" w:rsidR="00E03711" w:rsidRPr="001048FE" w:rsidRDefault="00E03711" w:rsidP="002D7FF4">
            <w:pPr>
              <w:pStyle w:val="Guide-NormalBulletpoints"/>
              <w:numPr>
                <w:ilvl w:val="0"/>
                <w:numId w:val="104"/>
              </w:numPr>
              <w:spacing w:before="60"/>
              <w:rPr>
                <w:lang w:val="sl-SI"/>
              </w:rPr>
            </w:pPr>
            <w:r w:rsidRPr="001048FE">
              <w:rPr>
                <w:lang w:val="sl-SI"/>
              </w:rPr>
              <w:t>organ, ki zagotavlja karierno orientacijo, poklicno svetovanje in storitve informiranja;</w:t>
            </w:r>
          </w:p>
          <w:p w14:paraId="7D399105" w14:textId="77777777" w:rsidR="00E03711" w:rsidRPr="001048FE" w:rsidRDefault="00E03711" w:rsidP="002D7FF4">
            <w:pPr>
              <w:pStyle w:val="Guide-NormalBulletpoints"/>
              <w:numPr>
                <w:ilvl w:val="0"/>
                <w:numId w:val="104"/>
              </w:numPr>
              <w:spacing w:before="60"/>
              <w:rPr>
                <w:lang w:val="sl-SI"/>
              </w:rPr>
            </w:pPr>
            <w:r w:rsidRPr="001048FE">
              <w:rPr>
                <w:lang w:val="sl-SI"/>
              </w:rPr>
              <w:t>organ, ki potrjuje znanje, spretnosti in kompetence, pridobljene z neformalnim in priložnostnim učenjem;</w:t>
            </w:r>
          </w:p>
          <w:p w14:paraId="7D399106" w14:textId="77777777" w:rsidR="00E03711" w:rsidRPr="001048FE" w:rsidRDefault="00E03711" w:rsidP="002D7FF4">
            <w:pPr>
              <w:pStyle w:val="Guide-NormalBulletpoints"/>
              <w:numPr>
                <w:ilvl w:val="0"/>
                <w:numId w:val="104"/>
              </w:numPr>
              <w:spacing w:before="60"/>
              <w:rPr>
                <w:lang w:val="sl-SI"/>
              </w:rPr>
            </w:pPr>
            <w:r w:rsidRPr="001048FE">
              <w:rPr>
                <w:lang w:val="sl-SI"/>
              </w:rPr>
              <w:t>evropska mladinska nevladna organizacija;</w:t>
            </w:r>
          </w:p>
          <w:p w14:paraId="7D399107" w14:textId="77777777" w:rsidR="00E03711" w:rsidRPr="001048FE" w:rsidRDefault="00E03711" w:rsidP="002D7FF4">
            <w:pPr>
              <w:pStyle w:val="Guide-NormalBulletpoints"/>
              <w:numPr>
                <w:ilvl w:val="0"/>
                <w:numId w:val="104"/>
              </w:numPr>
              <w:spacing w:before="60"/>
              <w:rPr>
                <w:lang w:val="sl-SI"/>
              </w:rPr>
            </w:pPr>
            <w:r w:rsidRPr="001048FE">
              <w:rPr>
                <w:lang w:val="sl-SI"/>
              </w:rPr>
              <w:t>skupina mladih, ki je dejavna na področju mladinskega dela, vendar ne nujno v okviru mladinske organizacije (tj. neformalna skupina mladih)</w:t>
            </w:r>
            <w:r w:rsidRPr="001048FE">
              <w:rPr>
                <w:rStyle w:val="FootnoteReference"/>
                <w:lang w:val="sl-SI"/>
              </w:rPr>
              <w:footnoteReference w:id="86"/>
            </w:r>
            <w:r w:rsidRPr="001048FE">
              <w:rPr>
                <w:lang w:val="sl-SI"/>
              </w:rPr>
              <w:t xml:space="preserve">. </w:t>
            </w:r>
          </w:p>
          <w:p w14:paraId="7D399108" w14:textId="77777777" w:rsidR="00E03711" w:rsidRPr="00F769E0" w:rsidRDefault="00E03711" w:rsidP="00A86D59">
            <w:pPr>
              <w:pStyle w:val="GUIDE-NORMAL"/>
              <w:spacing w:before="60" w:after="60"/>
              <w:rPr>
                <w:rFonts w:cs="Tahoma"/>
                <w:lang w:val="sl-SI" w:eastAsia="en-GB"/>
              </w:rPr>
            </w:pPr>
            <w:r w:rsidRPr="00F769E0">
              <w:rPr>
                <w:rFonts w:cs="Tahoma"/>
                <w:lang w:val="sl-SI" w:eastAsia="en-GB"/>
              </w:rPr>
              <w:t>Visokošolske institucije s sedežem v državi Programa morajo biti nosilke veljavne Listine Erasmus za terciarno izobraževanje (ECHE). Listina ECHE ni zahtevana za sodelujoče visokošolske institucije iz partnerskih držav, vendar bodo te morale sprejeti njena načela.</w:t>
            </w:r>
          </w:p>
        </w:tc>
      </w:tr>
      <w:tr w:rsidR="00E03711" w:rsidRPr="00654F6A" w14:paraId="7D39910C" w14:textId="77777777" w:rsidTr="006A4483">
        <w:trPr>
          <w:trHeight w:val="20"/>
        </w:trPr>
        <w:tc>
          <w:tcPr>
            <w:tcW w:w="844" w:type="pct"/>
            <w:shd w:val="clear" w:color="auto" w:fill="FFFFFF"/>
            <w:vAlign w:val="center"/>
          </w:tcPr>
          <w:p w14:paraId="7D39910A" w14:textId="77777777" w:rsidR="00E03711" w:rsidRPr="00F769E0" w:rsidRDefault="00E03711" w:rsidP="00A86D59">
            <w:pPr>
              <w:pStyle w:val="GUIDE-NORMAL"/>
              <w:spacing w:before="60" w:after="60"/>
              <w:jc w:val="left"/>
              <w:rPr>
                <w:rFonts w:cs="Tahoma"/>
                <w:b/>
                <w:lang w:val="sl-SI" w:eastAsia="en-GB"/>
              </w:rPr>
            </w:pPr>
            <w:r w:rsidRPr="00F769E0">
              <w:rPr>
                <w:rFonts w:cs="Tahoma"/>
                <w:b/>
                <w:lang w:val="sl-SI" w:eastAsia="en-GB"/>
              </w:rPr>
              <w:t>Kdo se lahko prijavi?</w:t>
            </w:r>
          </w:p>
        </w:tc>
        <w:tc>
          <w:tcPr>
            <w:tcW w:w="4156" w:type="pct"/>
            <w:shd w:val="clear" w:color="auto" w:fill="FFFFFF"/>
            <w:vAlign w:val="center"/>
          </w:tcPr>
          <w:p w14:paraId="7D39910B" w14:textId="77777777" w:rsidR="00E03711" w:rsidRPr="00F769E0" w:rsidRDefault="00E03711" w:rsidP="00A86D59">
            <w:pPr>
              <w:pStyle w:val="GUIDE-NORMAL"/>
              <w:spacing w:before="60" w:after="60"/>
              <w:rPr>
                <w:rFonts w:cs="Tahoma"/>
                <w:lang w:val="sl-SI" w:eastAsia="en-GB"/>
              </w:rPr>
            </w:pPr>
            <w:r w:rsidRPr="00F769E0">
              <w:rPr>
                <w:rFonts w:cs="Tahoma"/>
                <w:lang w:val="sl-SI" w:eastAsia="en-GB"/>
              </w:rPr>
              <w:t>Prijavitelj je lahko katera koli sodelujoča organizacija s sedežem v državi Programa. Ta organizacija se prijavi v imenu vseh sodelujočih organizacij, ki so vključene v projekt.</w:t>
            </w:r>
          </w:p>
        </w:tc>
      </w:tr>
      <w:tr w:rsidR="00E03711" w:rsidRPr="00C60205" w14:paraId="7D399113" w14:textId="77777777" w:rsidTr="006A4483">
        <w:trPr>
          <w:trHeight w:val="20"/>
        </w:trPr>
        <w:tc>
          <w:tcPr>
            <w:tcW w:w="844" w:type="pct"/>
            <w:shd w:val="clear" w:color="auto" w:fill="FFFFFF"/>
            <w:vAlign w:val="center"/>
          </w:tcPr>
          <w:p w14:paraId="7D39910D" w14:textId="77777777" w:rsidR="00E03711" w:rsidRPr="00F769E0" w:rsidRDefault="00E03711" w:rsidP="00A86D59">
            <w:pPr>
              <w:pStyle w:val="GUIDE-NORMAL"/>
              <w:spacing w:before="60" w:after="60"/>
              <w:jc w:val="left"/>
              <w:rPr>
                <w:rFonts w:cs="Tahoma"/>
                <w:b/>
                <w:lang w:val="sl-SI" w:eastAsia="en-GB"/>
              </w:rPr>
            </w:pPr>
            <w:r w:rsidRPr="00F769E0">
              <w:rPr>
                <w:rFonts w:cs="Tahoma"/>
                <w:b/>
                <w:lang w:val="sl-SI" w:eastAsia="en-GB"/>
              </w:rPr>
              <w:t>Število in profil sodelujočih organizacij</w:t>
            </w:r>
          </w:p>
        </w:tc>
        <w:tc>
          <w:tcPr>
            <w:tcW w:w="4156" w:type="pct"/>
            <w:shd w:val="clear" w:color="auto" w:fill="FFFFFF"/>
            <w:vAlign w:val="center"/>
          </w:tcPr>
          <w:p w14:paraId="7D39910E" w14:textId="77777777" w:rsidR="00E03711" w:rsidRPr="00F769E0" w:rsidRDefault="00E03711" w:rsidP="00A86D59">
            <w:pPr>
              <w:pStyle w:val="GUIDE-NORMAL"/>
              <w:spacing w:before="60" w:after="60"/>
              <w:rPr>
                <w:rFonts w:cs="Tahoma"/>
                <w:lang w:val="sl-SI" w:eastAsia="en-GB"/>
              </w:rPr>
            </w:pPr>
            <w:r w:rsidRPr="00F769E0">
              <w:rPr>
                <w:rFonts w:cs="Tahoma"/>
                <w:lang w:val="sl-SI" w:eastAsia="en-GB"/>
              </w:rPr>
              <w:t>Strateško partnerstvo je mednarodno in vključuje vsaj tri organizacije iz treh različnih držav Programa. Ni omejenega števila sodelujočih organizacij.</w:t>
            </w:r>
          </w:p>
          <w:p w14:paraId="7D39910F" w14:textId="77777777" w:rsidR="00E03711" w:rsidRPr="00F769E0" w:rsidRDefault="00E03711" w:rsidP="00A86D59">
            <w:pPr>
              <w:pStyle w:val="GUIDE-NORMAL"/>
              <w:spacing w:before="60" w:after="60"/>
              <w:rPr>
                <w:rFonts w:cs="Tahoma"/>
                <w:lang w:val="sl-SI" w:eastAsia="en-GB"/>
              </w:rPr>
            </w:pPr>
            <w:r w:rsidRPr="00F769E0">
              <w:rPr>
                <w:rFonts w:cs="Tahoma"/>
                <w:lang w:val="sl-SI" w:eastAsia="en-GB"/>
              </w:rPr>
              <w:t>Vendar so proračunska sredstva za vodenje in izvajanje projektov omejena navzgor (znesek enakovreden desetim sodelujočim organizacijam). Ob oddaji vloge za nepovratna sredstva morajo biti opredeljene vse sodelujoče organizacije.</w:t>
            </w:r>
          </w:p>
          <w:p w14:paraId="7D399110" w14:textId="77777777" w:rsidR="00E03711" w:rsidRPr="00F769E0" w:rsidRDefault="00E03711" w:rsidP="00A86D59">
            <w:pPr>
              <w:pStyle w:val="GUIDE-NORMAL"/>
              <w:spacing w:before="60" w:after="60"/>
              <w:rPr>
                <w:rFonts w:cs="Tahoma"/>
                <w:lang w:val="sl-SI" w:eastAsia="en-GB"/>
              </w:rPr>
            </w:pPr>
            <w:r w:rsidRPr="00F769E0">
              <w:rPr>
                <w:rFonts w:cs="Tahoma"/>
                <w:lang w:val="sl-SI" w:eastAsia="en-GB"/>
              </w:rPr>
              <w:t>Izjemoma veljajo drugačna pravila za naslednja strateška partnerstva:</w:t>
            </w:r>
          </w:p>
          <w:p w14:paraId="7D399111" w14:textId="77777777" w:rsidR="00E03711" w:rsidRPr="001048FE" w:rsidRDefault="00E03711" w:rsidP="005115F2">
            <w:pPr>
              <w:pStyle w:val="Guide-NormalBulletpoints"/>
              <w:numPr>
                <w:ilvl w:val="0"/>
                <w:numId w:val="397"/>
              </w:numPr>
              <w:spacing w:before="60"/>
              <w:rPr>
                <w:lang w:val="sl-SI"/>
              </w:rPr>
            </w:pPr>
            <w:r w:rsidRPr="001048FE">
              <w:rPr>
                <w:b/>
                <w:lang w:val="sl-SI"/>
              </w:rPr>
              <w:t>strateška partnerstva na področju mladine</w:t>
            </w:r>
            <w:r w:rsidRPr="001048FE">
              <w:rPr>
                <w:lang w:val="sl-SI"/>
              </w:rPr>
              <w:t xml:space="preserve"> morajo vključevati vsaj dve organizaciji iz dveh različnih držav Programa;</w:t>
            </w:r>
          </w:p>
          <w:p w14:paraId="7D399112" w14:textId="77777777" w:rsidR="00E03711" w:rsidRPr="001048FE" w:rsidRDefault="00E03711" w:rsidP="005115F2">
            <w:pPr>
              <w:pStyle w:val="Guide-NormalBulletpoints"/>
              <w:numPr>
                <w:ilvl w:val="0"/>
                <w:numId w:val="397"/>
              </w:numPr>
              <w:spacing w:before="60"/>
              <w:rPr>
                <w:lang w:val="sl-SI"/>
              </w:rPr>
            </w:pPr>
            <w:r w:rsidRPr="001048FE">
              <w:rPr>
                <w:b/>
                <w:lang w:val="sl-SI"/>
              </w:rPr>
              <w:t xml:space="preserve">partnerstva za izmenjavo med šolami </w:t>
            </w:r>
            <w:r w:rsidRPr="001048FE">
              <w:rPr>
                <w:lang w:val="sl-SI"/>
              </w:rPr>
              <w:t>morajo vključevati vsaj dve in največ šest šol iz vsaj dveh različnih držav Programa</w:t>
            </w:r>
            <w:r w:rsidRPr="001048FE">
              <w:rPr>
                <w:rStyle w:val="FootnoteReference"/>
                <w:lang w:val="sl-SI"/>
              </w:rPr>
              <w:footnoteReference w:id="87"/>
            </w:r>
            <w:r w:rsidRPr="001048FE">
              <w:rPr>
                <w:lang w:val="sl-SI"/>
              </w:rPr>
              <w:t>.</w:t>
            </w:r>
          </w:p>
        </w:tc>
      </w:tr>
      <w:tr w:rsidR="00E03711" w:rsidRPr="00C60205" w14:paraId="7D399119" w14:textId="77777777" w:rsidTr="006A4483">
        <w:trPr>
          <w:trHeight w:val="20"/>
        </w:trPr>
        <w:tc>
          <w:tcPr>
            <w:tcW w:w="844" w:type="pct"/>
            <w:shd w:val="clear" w:color="auto" w:fill="FFFFFF"/>
            <w:vAlign w:val="center"/>
          </w:tcPr>
          <w:p w14:paraId="7D399114" w14:textId="77777777" w:rsidR="00E03711" w:rsidRPr="00F769E0" w:rsidRDefault="00E03711" w:rsidP="00A86D59">
            <w:pPr>
              <w:pStyle w:val="Guide-Table"/>
              <w:spacing w:before="60" w:after="60"/>
              <w:jc w:val="left"/>
              <w:rPr>
                <w:rFonts w:cs="Tahoma"/>
                <w:b/>
                <w:lang w:val="sl-SI" w:eastAsia="en-GB"/>
              </w:rPr>
            </w:pPr>
            <w:r w:rsidRPr="00F769E0">
              <w:rPr>
                <w:rFonts w:cs="Tahoma"/>
                <w:b/>
                <w:lang w:val="sl-SI" w:eastAsia="en-GB"/>
              </w:rPr>
              <w:t>Kraji izvajanja aktivnosti</w:t>
            </w:r>
          </w:p>
        </w:tc>
        <w:tc>
          <w:tcPr>
            <w:tcW w:w="4156" w:type="pct"/>
            <w:shd w:val="clear" w:color="auto" w:fill="FFFFFF"/>
            <w:vAlign w:val="center"/>
          </w:tcPr>
          <w:p w14:paraId="7D399115" w14:textId="77777777" w:rsidR="00E03711" w:rsidRPr="00F769E0" w:rsidRDefault="00E03711" w:rsidP="00A86D59">
            <w:pPr>
              <w:pStyle w:val="GUIDE-NORMAL"/>
              <w:spacing w:before="60" w:after="60"/>
              <w:rPr>
                <w:rFonts w:cs="Tahoma"/>
                <w:lang w:val="sl-SI" w:eastAsia="en-GB"/>
              </w:rPr>
            </w:pPr>
            <w:r w:rsidRPr="00F769E0">
              <w:rPr>
                <w:rFonts w:cs="Tahoma"/>
                <w:lang w:val="sl-SI" w:eastAsia="en-GB"/>
              </w:rPr>
              <w:t>Vse aktivnosti strateškega partnerstva se morajo izvajati v državah organizacij, ki sodelujejo v projektu. Aktivnosti učenja, poučevanja in usposabljanja za učeče se in dolgotrajne aktivnosti za osebje je mogoče organizirati le v državah Programa.</w:t>
            </w:r>
          </w:p>
          <w:p w14:paraId="7D399116" w14:textId="77777777" w:rsidR="00E03711" w:rsidRPr="00F769E0" w:rsidRDefault="00E03711" w:rsidP="00A86D59">
            <w:pPr>
              <w:pStyle w:val="GUIDE-NORMAL"/>
              <w:spacing w:before="60" w:after="60"/>
              <w:rPr>
                <w:rFonts w:cs="Tahoma"/>
                <w:lang w:val="sl-SI" w:eastAsia="en-GB"/>
              </w:rPr>
            </w:pPr>
            <w:r w:rsidRPr="00F769E0">
              <w:rPr>
                <w:rFonts w:cs="Tahoma"/>
                <w:lang w:val="sl-SI" w:eastAsia="en-GB"/>
              </w:rPr>
              <w:t>Poleg tega lahko, če je to upravičeno glede na cilje ali izvajanje projekta:</w:t>
            </w:r>
          </w:p>
          <w:p w14:paraId="7D399117" w14:textId="77777777" w:rsidR="00E03711" w:rsidRPr="001048FE" w:rsidRDefault="00E03711" w:rsidP="005115F2">
            <w:pPr>
              <w:pStyle w:val="Guide-NormalBulletpoints"/>
              <w:numPr>
                <w:ilvl w:val="0"/>
                <w:numId w:val="260"/>
              </w:numPr>
              <w:spacing w:before="60"/>
              <w:rPr>
                <w:lang w:val="sl-SI"/>
              </w:rPr>
            </w:pPr>
            <w:r w:rsidRPr="001048FE">
              <w:rPr>
                <w:lang w:val="sl-SI"/>
              </w:rPr>
              <w:t>aktivnosti potekajo tudi na sedežu institucije Evropske unije, čeprav v projektu ni sodelujočih organizacij iz države, ki gosti institucijo</w:t>
            </w:r>
            <w:r w:rsidRPr="001048FE">
              <w:rPr>
                <w:rStyle w:val="FootnoteReference"/>
                <w:lang w:val="sl-SI"/>
              </w:rPr>
              <w:footnoteReference w:id="88"/>
            </w:r>
            <w:r w:rsidRPr="001048FE">
              <w:rPr>
                <w:lang w:val="sl-SI"/>
              </w:rPr>
              <w:t>;</w:t>
            </w:r>
          </w:p>
          <w:p w14:paraId="7D399118" w14:textId="77777777" w:rsidR="00E03711" w:rsidRPr="001048FE" w:rsidRDefault="00E03711" w:rsidP="005115F2">
            <w:pPr>
              <w:pStyle w:val="Guide-NormalBulletpoints"/>
              <w:numPr>
                <w:ilvl w:val="0"/>
                <w:numId w:val="260"/>
              </w:numPr>
              <w:spacing w:before="60"/>
              <w:rPr>
                <w:lang w:val="sl-SI"/>
              </w:rPr>
            </w:pPr>
            <w:r w:rsidRPr="001048FE">
              <w:rPr>
                <w:lang w:val="sl-SI"/>
              </w:rPr>
              <w:t>v državi katerega koli pridruženega partnerja, ki sodeluje v strateškem partnerstvu, potekajo multiplikativni dogodki.</w:t>
            </w:r>
          </w:p>
        </w:tc>
      </w:tr>
      <w:tr w:rsidR="00E03711" w:rsidRPr="00654F6A" w14:paraId="7D399120" w14:textId="77777777" w:rsidTr="006A4483">
        <w:trPr>
          <w:trHeight w:val="20"/>
        </w:trPr>
        <w:tc>
          <w:tcPr>
            <w:tcW w:w="844" w:type="pct"/>
            <w:shd w:val="clear" w:color="auto" w:fill="FFFFFF"/>
            <w:vAlign w:val="center"/>
          </w:tcPr>
          <w:p w14:paraId="7D39911A" w14:textId="77777777" w:rsidR="00E03711" w:rsidRPr="00F769E0" w:rsidRDefault="00E03711" w:rsidP="00A86D59">
            <w:pPr>
              <w:pStyle w:val="GUIDE-NORMAL"/>
              <w:spacing w:before="60" w:after="60"/>
              <w:jc w:val="left"/>
              <w:rPr>
                <w:rFonts w:cs="Tahoma"/>
                <w:b/>
                <w:lang w:val="sl-SI" w:eastAsia="en-GB"/>
              </w:rPr>
            </w:pPr>
            <w:r w:rsidRPr="00F769E0">
              <w:rPr>
                <w:rFonts w:cs="Tahoma"/>
                <w:b/>
                <w:lang w:val="sl-SI" w:eastAsia="en-GB"/>
              </w:rPr>
              <w:t>Trajanje projekta</w:t>
            </w:r>
          </w:p>
        </w:tc>
        <w:tc>
          <w:tcPr>
            <w:tcW w:w="4156" w:type="pct"/>
            <w:shd w:val="clear" w:color="auto" w:fill="FFFFFF"/>
            <w:vAlign w:val="center"/>
          </w:tcPr>
          <w:p w14:paraId="7D39911B" w14:textId="77777777" w:rsidR="00E03711" w:rsidRPr="001048FE" w:rsidRDefault="00E03711" w:rsidP="005115F2">
            <w:pPr>
              <w:pStyle w:val="Guide-NormalBulletpoints"/>
              <w:numPr>
                <w:ilvl w:val="0"/>
                <w:numId w:val="398"/>
              </w:numPr>
              <w:spacing w:before="60"/>
              <w:ind w:left="322" w:hanging="322"/>
              <w:rPr>
                <w:lang w:val="sl-SI"/>
              </w:rPr>
            </w:pPr>
            <w:r w:rsidRPr="001048FE">
              <w:rPr>
                <w:b/>
                <w:lang w:val="sl-SI"/>
              </w:rPr>
              <w:t>Partnerstva na področju visokošolskega izobraževanja:</w:t>
            </w:r>
            <w:r w:rsidRPr="001048FE">
              <w:rPr>
                <w:lang w:val="sl-SI"/>
              </w:rPr>
              <w:t xml:space="preserve"> od 24 do 36 mesecev;</w:t>
            </w:r>
          </w:p>
          <w:p w14:paraId="7D39911C" w14:textId="77777777" w:rsidR="00E03711" w:rsidRPr="001048FE" w:rsidRDefault="00E03711" w:rsidP="005115F2">
            <w:pPr>
              <w:pStyle w:val="Guide-NormalBulletpoints"/>
              <w:numPr>
                <w:ilvl w:val="0"/>
                <w:numId w:val="398"/>
              </w:numPr>
              <w:spacing w:before="60"/>
              <w:ind w:left="322" w:hanging="322"/>
              <w:rPr>
                <w:lang w:val="sl-SI"/>
              </w:rPr>
            </w:pPr>
            <w:r w:rsidRPr="001048FE">
              <w:rPr>
                <w:b/>
                <w:lang w:val="sl-SI"/>
              </w:rPr>
              <w:t>partnerstva na področju PIU, šolskega izobraževanja in izobraževanja odraslih:</w:t>
            </w:r>
            <w:r w:rsidRPr="001048FE">
              <w:rPr>
                <w:lang w:val="sl-SI"/>
              </w:rPr>
              <w:t xml:space="preserve"> od 12 do 36 mesecev</w:t>
            </w:r>
            <w:r w:rsidRPr="001048FE">
              <w:rPr>
                <w:rStyle w:val="FootnoteReference"/>
                <w:lang w:val="sl-SI"/>
              </w:rPr>
              <w:footnoteReference w:id="89"/>
            </w:r>
            <w:r w:rsidRPr="001048FE">
              <w:rPr>
                <w:lang w:val="sl-SI"/>
              </w:rPr>
              <w:t>;</w:t>
            </w:r>
          </w:p>
          <w:p w14:paraId="7D39911D" w14:textId="77777777" w:rsidR="00E03711" w:rsidRPr="001048FE" w:rsidRDefault="00E03711" w:rsidP="005115F2">
            <w:pPr>
              <w:pStyle w:val="Guide-NormalBulletpoints"/>
              <w:numPr>
                <w:ilvl w:val="0"/>
                <w:numId w:val="398"/>
              </w:numPr>
              <w:spacing w:before="60"/>
              <w:ind w:left="322" w:hanging="322"/>
              <w:rPr>
                <w:lang w:val="sl-SI"/>
              </w:rPr>
            </w:pPr>
            <w:r w:rsidRPr="001048FE">
              <w:rPr>
                <w:b/>
                <w:lang w:val="sl-SI"/>
              </w:rPr>
              <w:t xml:space="preserve">partnerstva na področju mladine: </w:t>
            </w:r>
            <w:r w:rsidRPr="001048FE">
              <w:rPr>
                <w:lang w:val="sl-SI"/>
              </w:rPr>
              <w:t>od 6 do 36 mesecev.</w:t>
            </w:r>
          </w:p>
          <w:p w14:paraId="7D39911E" w14:textId="77777777" w:rsidR="00E03711" w:rsidRPr="00F769E0" w:rsidRDefault="00E03711" w:rsidP="00A86D59">
            <w:pPr>
              <w:pStyle w:val="GUIDE-NORMAL"/>
              <w:spacing w:before="60" w:after="60"/>
              <w:rPr>
                <w:rFonts w:cs="Tahoma"/>
                <w:lang w:val="sl-SI" w:eastAsia="en-GB"/>
              </w:rPr>
            </w:pPr>
            <w:r w:rsidRPr="00F769E0">
              <w:rPr>
                <w:rFonts w:cs="Tahoma"/>
                <w:lang w:val="sl-SI" w:eastAsia="en-GB"/>
              </w:rPr>
              <w:t>Trajanje mora biti izbrano ob prijavi na podlagi cilja projekta in vrste aktivnosti, ki so načrtovane v tem času.</w:t>
            </w:r>
          </w:p>
          <w:p w14:paraId="7D39911F" w14:textId="77777777" w:rsidR="00E03711" w:rsidRPr="00F769E0" w:rsidRDefault="00E03711" w:rsidP="00345397">
            <w:pPr>
              <w:pStyle w:val="GUIDE-NORMAL"/>
              <w:spacing w:before="60" w:after="60"/>
              <w:rPr>
                <w:rFonts w:cs="Tahoma"/>
                <w:lang w:val="sl-SI" w:eastAsia="en-GB"/>
              </w:rPr>
            </w:pPr>
            <w:r w:rsidRPr="00F769E0">
              <w:rPr>
                <w:rFonts w:cs="Tahoma"/>
                <w:lang w:val="sl-SI" w:eastAsia="en-GB"/>
              </w:rPr>
              <w:t>V izjemnih primerih se lahko trajanje strateškega partnerstva na prošnjo upravičenca in s soglasjem nacionalne agencije podaljša za največ šest mesecev, če skupno trajanje ni daljše od treh let. V tem primeru se znesek skupnih nepovratnih sredstev ne spremeni. V vseh primerih pa se morajo projekti zaključiti najpozneje do 31. avgusta 202</w:t>
            </w:r>
            <w:r>
              <w:rPr>
                <w:rFonts w:cs="Tahoma"/>
                <w:lang w:val="sl-SI" w:eastAsia="en-GB"/>
              </w:rPr>
              <w:t>3</w:t>
            </w:r>
            <w:r w:rsidRPr="00F769E0">
              <w:rPr>
                <w:rFonts w:cs="Tahoma"/>
                <w:lang w:val="sl-SI" w:eastAsia="en-GB"/>
              </w:rPr>
              <w:t>.</w:t>
            </w:r>
          </w:p>
        </w:tc>
      </w:tr>
      <w:tr w:rsidR="00E03711" w:rsidRPr="00654F6A" w14:paraId="7D399123" w14:textId="77777777" w:rsidTr="006A4483">
        <w:trPr>
          <w:trHeight w:val="20"/>
        </w:trPr>
        <w:tc>
          <w:tcPr>
            <w:tcW w:w="844" w:type="pct"/>
            <w:shd w:val="clear" w:color="auto" w:fill="FFFFFF"/>
            <w:vAlign w:val="center"/>
          </w:tcPr>
          <w:p w14:paraId="7D399121" w14:textId="77777777" w:rsidR="00E03711" w:rsidRPr="00F769E0" w:rsidRDefault="00E03711" w:rsidP="00A86D59">
            <w:pPr>
              <w:pStyle w:val="GUIDE-NORMAL"/>
              <w:spacing w:before="60" w:after="60"/>
              <w:jc w:val="left"/>
              <w:rPr>
                <w:rFonts w:cs="Tahoma"/>
                <w:b/>
                <w:lang w:val="sl-SI" w:eastAsia="en-GB"/>
              </w:rPr>
            </w:pPr>
            <w:r w:rsidRPr="00F769E0">
              <w:rPr>
                <w:rFonts w:cs="Tahoma"/>
                <w:b/>
                <w:lang w:val="sl-SI" w:eastAsia="en-GB"/>
              </w:rPr>
              <w:t>Kje se prijaviti?</w:t>
            </w:r>
          </w:p>
        </w:tc>
        <w:tc>
          <w:tcPr>
            <w:tcW w:w="4156" w:type="pct"/>
            <w:shd w:val="clear" w:color="auto" w:fill="FFFFFF"/>
            <w:vAlign w:val="center"/>
          </w:tcPr>
          <w:p w14:paraId="7D399122" w14:textId="77777777" w:rsidR="00E03711" w:rsidRPr="00F769E0" w:rsidRDefault="00E03711" w:rsidP="00A86D59">
            <w:pPr>
              <w:pStyle w:val="GUIDE-NORMAL"/>
              <w:spacing w:before="60" w:after="60"/>
              <w:rPr>
                <w:rFonts w:cs="Tahoma"/>
                <w:lang w:val="sl-SI" w:eastAsia="en-GB"/>
              </w:rPr>
            </w:pPr>
            <w:r w:rsidRPr="00F769E0">
              <w:rPr>
                <w:rFonts w:cs="Tahoma"/>
                <w:lang w:val="sl-SI" w:eastAsia="en-GB"/>
              </w:rPr>
              <w:t>Pri nacionalni agenciji v državi, kjer ima organizacija prijaviteljica sedež</w:t>
            </w:r>
            <w:r w:rsidRPr="00F769E0">
              <w:rPr>
                <w:rStyle w:val="FootnoteReference"/>
                <w:rFonts w:cs="Tahoma"/>
                <w:lang w:val="sl-SI" w:eastAsia="en-GB"/>
              </w:rPr>
              <w:footnoteReference w:id="90"/>
            </w:r>
            <w:r w:rsidRPr="00F769E0">
              <w:rPr>
                <w:rFonts w:cs="Tahoma"/>
                <w:lang w:val="sl-SI" w:eastAsia="en-GB"/>
              </w:rPr>
              <w:t>. Na en rok lahko en konzorcij partneric odda samo eno vlogo in pri samo eni nacionalni agenciji.</w:t>
            </w:r>
          </w:p>
        </w:tc>
      </w:tr>
      <w:tr w:rsidR="00E03711" w:rsidRPr="00C60205" w14:paraId="7D39912C" w14:textId="77777777" w:rsidTr="006A4483">
        <w:trPr>
          <w:trHeight w:val="20"/>
        </w:trPr>
        <w:tc>
          <w:tcPr>
            <w:tcW w:w="844" w:type="pct"/>
            <w:shd w:val="clear" w:color="auto" w:fill="FFFFFF"/>
            <w:vAlign w:val="center"/>
          </w:tcPr>
          <w:p w14:paraId="7D399124" w14:textId="77777777" w:rsidR="00E03711" w:rsidRPr="00F769E0" w:rsidRDefault="00E03711" w:rsidP="00A86D59">
            <w:pPr>
              <w:pStyle w:val="GUIDE-NORMAL"/>
              <w:spacing w:before="60" w:after="60"/>
              <w:jc w:val="left"/>
              <w:rPr>
                <w:rFonts w:cs="Tahoma"/>
                <w:b/>
                <w:lang w:val="sl-SI" w:eastAsia="en-GB"/>
              </w:rPr>
            </w:pPr>
            <w:r w:rsidRPr="00F769E0">
              <w:rPr>
                <w:rFonts w:cs="Tahoma"/>
                <w:b/>
                <w:lang w:val="sl-SI" w:eastAsia="en-GB"/>
              </w:rPr>
              <w:t>Kdaj se prijaviti?</w:t>
            </w:r>
          </w:p>
        </w:tc>
        <w:tc>
          <w:tcPr>
            <w:tcW w:w="4156" w:type="pct"/>
            <w:shd w:val="clear" w:color="auto" w:fill="FFFFFF"/>
            <w:vAlign w:val="center"/>
          </w:tcPr>
          <w:p w14:paraId="7D399125" w14:textId="77777777" w:rsidR="00E03711" w:rsidRPr="001048FE" w:rsidRDefault="00E03711" w:rsidP="005115F2">
            <w:pPr>
              <w:pStyle w:val="Guide-NormalBulletpoints"/>
              <w:numPr>
                <w:ilvl w:val="0"/>
                <w:numId w:val="131"/>
              </w:numPr>
              <w:spacing w:before="60"/>
              <w:rPr>
                <w:b/>
                <w:lang w:val="sl-SI"/>
              </w:rPr>
            </w:pPr>
            <w:r w:rsidRPr="001048FE">
              <w:rPr>
                <w:b/>
                <w:lang w:val="sl-SI"/>
              </w:rPr>
              <w:t>Partnerstva na področju visokošolskega izobraževanja, PIU, šolskega izobraževanja in izobraževanja odraslih:</w:t>
            </w:r>
          </w:p>
          <w:p w14:paraId="7D399126" w14:textId="77777777" w:rsidR="00E03711" w:rsidRPr="001048FE" w:rsidRDefault="00E03711" w:rsidP="005115F2">
            <w:pPr>
              <w:pStyle w:val="Guide-ListDash"/>
              <w:numPr>
                <w:ilvl w:val="1"/>
                <w:numId w:val="131"/>
              </w:numPr>
              <w:spacing w:before="60" w:after="60"/>
              <w:rPr>
                <w:lang w:val="sl-SI"/>
              </w:rPr>
            </w:pPr>
            <w:r w:rsidRPr="001048FE">
              <w:rPr>
                <w:lang w:val="sl-SI"/>
              </w:rPr>
              <w:t xml:space="preserve">prijavitelji morajo vlogo za nepovratna sredstva oddati </w:t>
            </w:r>
            <w:r w:rsidRPr="001048FE">
              <w:rPr>
                <w:b/>
                <w:lang w:val="sl-SI"/>
              </w:rPr>
              <w:t xml:space="preserve">do </w:t>
            </w:r>
            <w:r>
              <w:rPr>
                <w:b/>
                <w:lang w:val="sl-SI"/>
              </w:rPr>
              <w:t>24</w:t>
            </w:r>
            <w:r w:rsidRPr="001048FE">
              <w:rPr>
                <w:b/>
                <w:lang w:val="sl-SI"/>
              </w:rPr>
              <w:t>. marca do</w:t>
            </w:r>
            <w:r>
              <w:rPr>
                <w:b/>
                <w:lang w:val="sl-SI"/>
              </w:rPr>
              <w:t xml:space="preserve"> 12.</w:t>
            </w:r>
            <w:r w:rsidRPr="001048FE">
              <w:rPr>
                <w:b/>
                <w:lang w:val="sl-SI"/>
              </w:rPr>
              <w:t xml:space="preserve"> ure (opoldne po bruseljskem času)</w:t>
            </w:r>
            <w:r w:rsidRPr="001048FE">
              <w:rPr>
                <w:lang w:val="sl-SI"/>
              </w:rPr>
              <w:t xml:space="preserve"> za projekte, ki se začnejo med </w:t>
            </w:r>
            <w:r>
              <w:rPr>
                <w:lang w:val="sl-SI"/>
              </w:rPr>
              <w:t xml:space="preserve">1. </w:t>
            </w:r>
            <w:r w:rsidRPr="001048FE">
              <w:rPr>
                <w:lang w:val="sl-SI"/>
              </w:rPr>
              <w:t>septembrom in 31. decembrom istega leta.</w:t>
            </w:r>
          </w:p>
          <w:p w14:paraId="7D399127" w14:textId="77777777" w:rsidR="00E03711" w:rsidRPr="001048FE" w:rsidRDefault="00E03711" w:rsidP="005115F2">
            <w:pPr>
              <w:pStyle w:val="Guide-NormalBulletpoints"/>
              <w:numPr>
                <w:ilvl w:val="0"/>
                <w:numId w:val="131"/>
              </w:numPr>
              <w:spacing w:before="60"/>
              <w:rPr>
                <w:lang w:val="sl-SI"/>
              </w:rPr>
            </w:pPr>
            <w:r w:rsidRPr="001048FE">
              <w:rPr>
                <w:b/>
                <w:lang w:val="sl-SI"/>
              </w:rPr>
              <w:t>Partnerstva na področju mladine:</w:t>
            </w:r>
            <w:r w:rsidRPr="001048FE">
              <w:rPr>
                <w:lang w:val="sl-SI"/>
              </w:rPr>
              <w:t xml:space="preserve"> prijavitelji morajo vlogo za nepovratna sredstva oddati do:</w:t>
            </w:r>
          </w:p>
          <w:p w14:paraId="7D399128" w14:textId="77777777" w:rsidR="00E03711" w:rsidRPr="001048FE" w:rsidRDefault="00E03711" w:rsidP="005115F2">
            <w:pPr>
              <w:pStyle w:val="Guide-ListDash"/>
              <w:numPr>
                <w:ilvl w:val="1"/>
                <w:numId w:val="131"/>
              </w:numPr>
              <w:spacing w:before="60" w:after="60"/>
              <w:rPr>
                <w:lang w:val="sl-SI"/>
              </w:rPr>
            </w:pPr>
            <w:r>
              <w:rPr>
                <w:b/>
                <w:lang w:val="sl-SI"/>
              </w:rPr>
              <w:t>5</w:t>
            </w:r>
            <w:r w:rsidRPr="001048FE">
              <w:rPr>
                <w:b/>
                <w:lang w:val="sl-SI"/>
              </w:rPr>
              <w:t>. februarja do 12. ure (opoldne po bruseljskem času)</w:t>
            </w:r>
            <w:r w:rsidRPr="001048FE">
              <w:rPr>
                <w:lang w:val="sl-SI"/>
              </w:rPr>
              <w:t xml:space="preserve"> za projekte, ki se začnejo med 1. junijem in 30. septembrom istega leta;</w:t>
            </w:r>
          </w:p>
          <w:p w14:paraId="7D399129" w14:textId="77777777" w:rsidR="00E03711" w:rsidRPr="001048FE" w:rsidRDefault="00E03711" w:rsidP="005115F2">
            <w:pPr>
              <w:pStyle w:val="Guide-ListDash"/>
              <w:numPr>
                <w:ilvl w:val="1"/>
                <w:numId w:val="131"/>
              </w:numPr>
              <w:spacing w:before="60" w:after="60"/>
              <w:rPr>
                <w:lang w:val="sl-SI"/>
              </w:rPr>
            </w:pPr>
            <w:r>
              <w:rPr>
                <w:b/>
                <w:lang w:val="sl-SI"/>
              </w:rPr>
              <w:t>30</w:t>
            </w:r>
            <w:r w:rsidRPr="001048FE">
              <w:rPr>
                <w:b/>
                <w:lang w:val="sl-SI"/>
              </w:rPr>
              <w:t>. aprila do 12. ure (opoldne po bruseljskem času)</w:t>
            </w:r>
            <w:r w:rsidRPr="001048FE">
              <w:rPr>
                <w:lang w:val="sl-SI"/>
              </w:rPr>
              <w:t xml:space="preserve"> za projekte, ki se začnejo med 1. septembrom istega leta in 31. januarjem naslednjega leta;</w:t>
            </w:r>
          </w:p>
          <w:p w14:paraId="7D39912A" w14:textId="77777777" w:rsidR="00E03711" w:rsidRPr="001048FE" w:rsidRDefault="00E03711" w:rsidP="005115F2">
            <w:pPr>
              <w:pStyle w:val="Guide-ListDash"/>
              <w:numPr>
                <w:ilvl w:val="1"/>
                <w:numId w:val="131"/>
              </w:numPr>
              <w:spacing w:before="60" w:after="60"/>
              <w:rPr>
                <w:lang w:val="sl-SI"/>
              </w:rPr>
            </w:pPr>
            <w:r>
              <w:rPr>
                <w:b/>
                <w:lang w:val="sl-SI"/>
              </w:rPr>
              <w:t>1</w:t>
            </w:r>
            <w:r w:rsidRPr="001048FE">
              <w:rPr>
                <w:b/>
                <w:lang w:val="sl-SI"/>
              </w:rPr>
              <w:t>. oktobra do 12. ure (opoldne po bruseljskem času)</w:t>
            </w:r>
            <w:r w:rsidRPr="001048FE">
              <w:rPr>
                <w:lang w:val="sl-SI"/>
              </w:rPr>
              <w:t xml:space="preserve"> za projekte, ki se začnejo med 1. februarjem in 31. majem naslednjega leta.</w:t>
            </w:r>
          </w:p>
          <w:p w14:paraId="7D39912B" w14:textId="77777777" w:rsidR="00E03711" w:rsidRPr="001048FE" w:rsidRDefault="00E03711" w:rsidP="00A81096">
            <w:pPr>
              <w:pStyle w:val="Guide-NormalBulletpoints"/>
              <w:spacing w:before="60"/>
              <w:rPr>
                <w:lang w:val="sl-SI"/>
              </w:rPr>
            </w:pPr>
            <w:r w:rsidRPr="001048FE">
              <w:rPr>
                <w:lang w:val="sl-SI"/>
              </w:rPr>
              <w:t>Za strateška partnerstva na področju mladine: za vsakega od treh rokov se lahko nacionalne agencije odločijo, ali bodo organizirale rok za obe vrsti strateških partnerstev (tj. podpora inovacijam in podpora izmenjavam dobrih praks) ali rok samo za eno vrsto projektov. Prijavitelje pozivamo, naj za natančnejše informacije obiščejo spletišče svoje nacionalne agencije.</w:t>
            </w:r>
          </w:p>
        </w:tc>
      </w:tr>
      <w:tr w:rsidR="00E03711" w:rsidRPr="00C60205" w14:paraId="7D39912F" w14:textId="77777777" w:rsidTr="006A4483">
        <w:trPr>
          <w:cantSplit/>
          <w:trHeight w:val="20"/>
        </w:trPr>
        <w:tc>
          <w:tcPr>
            <w:tcW w:w="844" w:type="pct"/>
            <w:shd w:val="clear" w:color="auto" w:fill="FFFFFF"/>
            <w:vAlign w:val="center"/>
          </w:tcPr>
          <w:p w14:paraId="7D39912D" w14:textId="77777777" w:rsidR="00E03711" w:rsidRPr="00F769E0" w:rsidRDefault="00E03711" w:rsidP="00A86D59">
            <w:pPr>
              <w:pStyle w:val="GUIDE-NORMAL"/>
              <w:spacing w:before="60" w:after="60"/>
              <w:jc w:val="left"/>
              <w:rPr>
                <w:rFonts w:cs="Tahoma"/>
                <w:b/>
                <w:lang w:val="sl-SI" w:eastAsia="en-GB"/>
              </w:rPr>
            </w:pPr>
            <w:r w:rsidRPr="00F769E0">
              <w:rPr>
                <w:rFonts w:cs="Tahoma"/>
                <w:b/>
                <w:lang w:val="sl-SI" w:eastAsia="en-GB"/>
              </w:rPr>
              <w:t>Kako se prijaviti?</w:t>
            </w:r>
          </w:p>
        </w:tc>
        <w:tc>
          <w:tcPr>
            <w:tcW w:w="4156" w:type="pct"/>
            <w:shd w:val="clear" w:color="auto" w:fill="FFFFFF"/>
            <w:vAlign w:val="center"/>
          </w:tcPr>
          <w:p w14:paraId="7D39912E" w14:textId="77777777" w:rsidR="00E03711" w:rsidRPr="00F769E0" w:rsidRDefault="00E03711" w:rsidP="00A86D59">
            <w:pPr>
              <w:pStyle w:val="GUIDE-NORMAL"/>
              <w:spacing w:before="60" w:after="60"/>
              <w:rPr>
                <w:rFonts w:cs="Tahoma"/>
                <w:lang w:val="sl-SI" w:eastAsia="en-GB"/>
              </w:rPr>
            </w:pPr>
            <w:r w:rsidRPr="00F769E0">
              <w:rPr>
                <w:rFonts w:cs="Tahoma"/>
                <w:lang w:val="sl-SI" w:eastAsia="en-GB"/>
              </w:rPr>
              <w:t>Za podrobnosti o postopku prijave glej del C tega</w:t>
            </w:r>
            <w:r w:rsidRPr="00F769E0">
              <w:rPr>
                <w:rFonts w:cs="Tahoma"/>
                <w:spacing w:val="-31"/>
                <w:lang w:val="sl-SI" w:eastAsia="en-GB"/>
              </w:rPr>
              <w:t xml:space="preserve"> </w:t>
            </w:r>
            <w:r w:rsidRPr="00F769E0">
              <w:rPr>
                <w:rFonts w:cs="Tahoma"/>
                <w:lang w:val="sl-SI" w:eastAsia="en-GB"/>
              </w:rPr>
              <w:t>vodnika.</w:t>
            </w:r>
          </w:p>
        </w:tc>
      </w:tr>
    </w:tbl>
    <w:p w14:paraId="7D399130" w14:textId="77777777" w:rsidR="00E03711" w:rsidRPr="001048FE" w:rsidRDefault="00E03711" w:rsidP="00920430">
      <w:pPr>
        <w:pStyle w:val="Guide-Heading6"/>
        <w:rPr>
          <w:lang w:val="sl-SI"/>
        </w:rPr>
      </w:pPr>
      <w:r w:rsidRPr="001048FE">
        <w:rPr>
          <w:lang w:val="sl-SI"/>
        </w:rPr>
        <w:t>Dodatna merila za upravičenost</w:t>
      </w:r>
    </w:p>
    <w:p w14:paraId="7D399131" w14:textId="77777777" w:rsidR="00E03711" w:rsidRPr="001048FE" w:rsidRDefault="00E03711" w:rsidP="00920430">
      <w:pPr>
        <w:pStyle w:val="GUIDE-NORMAL"/>
        <w:rPr>
          <w:lang w:val="sl-SI"/>
        </w:rPr>
      </w:pPr>
      <w:r w:rsidRPr="001048FE">
        <w:rPr>
          <w:lang w:val="sl-SI"/>
        </w:rPr>
        <w:t>Če strateško partnerstvo predvideva katero od naslednjih mednarodnih aktivnosti učenja, poučevanja in usposabljanja, je treba upoštevati še ustrezna dodatna merila za upravičenost:</w:t>
      </w:r>
    </w:p>
    <w:p w14:paraId="7D399132" w14:textId="77777777" w:rsidR="00E03711" w:rsidRPr="001048FE" w:rsidRDefault="00E03711" w:rsidP="00920430">
      <w:pPr>
        <w:pStyle w:val="GUIDE-NORMAL"/>
        <w:rPr>
          <w:b/>
          <w:lang w:val="sl-SI"/>
        </w:rPr>
      </w:pPr>
      <w:r w:rsidRPr="001048FE">
        <w:rPr>
          <w:b/>
          <w:lang w:val="sl-SI"/>
        </w:rPr>
        <w:t>Kratkotrajna skupna usposabljanja osebja</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6973"/>
      </w:tblGrid>
      <w:tr w:rsidR="00E03711" w:rsidRPr="00094E06" w14:paraId="7D399135" w14:textId="77777777" w:rsidTr="00065AB7">
        <w:trPr>
          <w:trHeight w:val="57"/>
        </w:trPr>
        <w:tc>
          <w:tcPr>
            <w:tcW w:w="2098" w:type="dxa"/>
            <w:tcBorders>
              <w:top w:val="dashed" w:sz="4" w:space="0" w:color="auto"/>
              <w:left w:val="single" w:sz="4" w:space="0" w:color="auto"/>
              <w:bottom w:val="dashed" w:sz="4" w:space="0" w:color="auto"/>
              <w:right w:val="single" w:sz="4" w:space="0" w:color="auto"/>
            </w:tcBorders>
            <w:shd w:val="clear" w:color="auto" w:fill="auto"/>
            <w:vAlign w:val="center"/>
          </w:tcPr>
          <w:p w14:paraId="7D399133" w14:textId="77777777" w:rsidR="00E03711" w:rsidRPr="00F769E0" w:rsidRDefault="00E03711" w:rsidP="00920430">
            <w:pPr>
              <w:pStyle w:val="Guide-Table"/>
              <w:spacing w:before="60" w:after="60"/>
              <w:jc w:val="left"/>
              <w:rPr>
                <w:rFonts w:cs="Tahoma"/>
                <w:b/>
                <w:lang w:val="sl-SI" w:eastAsia="en-GB"/>
              </w:rPr>
            </w:pPr>
            <w:r w:rsidRPr="00F769E0">
              <w:rPr>
                <w:rFonts w:cs="Tahoma"/>
                <w:b/>
                <w:lang w:val="sl-SI" w:eastAsia="en-GB"/>
              </w:rPr>
              <w:t>Upravičeni udeleženci</w:t>
            </w:r>
          </w:p>
        </w:tc>
        <w:tc>
          <w:tcPr>
            <w:tcW w:w="6973" w:type="dxa"/>
            <w:tcBorders>
              <w:top w:val="dashed" w:sz="4" w:space="0" w:color="auto"/>
              <w:left w:val="single" w:sz="4" w:space="0" w:color="auto"/>
              <w:bottom w:val="dashed" w:sz="4" w:space="0" w:color="auto"/>
              <w:right w:val="single" w:sz="4" w:space="0" w:color="auto"/>
            </w:tcBorders>
            <w:shd w:val="clear" w:color="auto" w:fill="auto"/>
            <w:vAlign w:val="center"/>
          </w:tcPr>
          <w:p w14:paraId="7D399134" w14:textId="77777777" w:rsidR="00E03711" w:rsidRPr="00F769E0" w:rsidRDefault="00E03711" w:rsidP="00920430">
            <w:pPr>
              <w:pStyle w:val="GUIDE-NORMAL"/>
              <w:spacing w:before="60" w:after="60"/>
              <w:rPr>
                <w:rFonts w:eastAsia="SimSun" w:cs="Tahoma"/>
                <w:lang w:val="sl-SI" w:eastAsia="en-GB"/>
              </w:rPr>
            </w:pPr>
            <w:r w:rsidRPr="00F769E0">
              <w:rPr>
                <w:rFonts w:cs="Tahoma"/>
                <w:lang w:val="sl-SI" w:eastAsia="en-GB"/>
              </w:rPr>
              <w:t>Profesorji, učitelji, vodje usposabljanja ter izobraževalno in administrativno osebje</w:t>
            </w:r>
            <w:r>
              <w:rPr>
                <w:rStyle w:val="FootnoteReference"/>
                <w:rFonts w:cs="Tahoma"/>
                <w:lang w:val="sl-SI" w:eastAsia="en-GB"/>
              </w:rPr>
              <w:footnoteReference w:id="91"/>
            </w:r>
            <w:r w:rsidRPr="00F769E0">
              <w:rPr>
                <w:rFonts w:cs="Tahoma"/>
                <w:lang w:val="sl-SI" w:eastAsia="en-GB"/>
              </w:rPr>
              <w:t>, ki dela v sodelujočih organizacijah v državah Programa in partnerskih državah. Mladinski delavci iz držav Programa in partnerskih držav.</w:t>
            </w:r>
          </w:p>
        </w:tc>
      </w:tr>
      <w:tr w:rsidR="00E03711" w:rsidRPr="00C60205" w14:paraId="7D399138" w14:textId="77777777" w:rsidTr="00065AB7">
        <w:trPr>
          <w:trHeight w:val="57"/>
        </w:trPr>
        <w:tc>
          <w:tcPr>
            <w:tcW w:w="2098" w:type="dxa"/>
            <w:tcBorders>
              <w:top w:val="dashed" w:sz="4" w:space="0" w:color="auto"/>
              <w:left w:val="single" w:sz="4" w:space="0" w:color="auto"/>
              <w:bottom w:val="single" w:sz="4" w:space="0" w:color="auto"/>
              <w:right w:val="single" w:sz="4" w:space="0" w:color="auto"/>
            </w:tcBorders>
            <w:shd w:val="clear" w:color="auto" w:fill="auto"/>
            <w:vAlign w:val="center"/>
          </w:tcPr>
          <w:p w14:paraId="7D399136" w14:textId="77777777" w:rsidR="00E03711" w:rsidRPr="00F769E0" w:rsidRDefault="00E03711" w:rsidP="00920430">
            <w:pPr>
              <w:pStyle w:val="Guide-Table"/>
              <w:spacing w:before="60" w:after="60"/>
              <w:jc w:val="left"/>
              <w:rPr>
                <w:rFonts w:cs="Tahoma"/>
                <w:b/>
                <w:lang w:val="sl-SI" w:eastAsia="en-GB"/>
              </w:rPr>
            </w:pPr>
            <w:r w:rsidRPr="00F769E0">
              <w:rPr>
                <w:rFonts w:cs="Tahoma"/>
                <w:b/>
                <w:lang w:val="sl-SI" w:eastAsia="en-GB"/>
              </w:rPr>
              <w:t>Trajanje aktivnosti</w:t>
            </w:r>
          </w:p>
        </w:tc>
        <w:tc>
          <w:tcPr>
            <w:tcW w:w="6973" w:type="dxa"/>
            <w:tcBorders>
              <w:top w:val="dashed" w:sz="4" w:space="0" w:color="auto"/>
              <w:left w:val="single" w:sz="4" w:space="0" w:color="auto"/>
              <w:bottom w:val="single" w:sz="4" w:space="0" w:color="auto"/>
              <w:right w:val="single" w:sz="4" w:space="0" w:color="auto"/>
            </w:tcBorders>
            <w:shd w:val="clear" w:color="auto" w:fill="auto"/>
            <w:vAlign w:val="center"/>
          </w:tcPr>
          <w:p w14:paraId="7D399137" w14:textId="77777777" w:rsidR="00E03711" w:rsidRPr="00F769E0" w:rsidRDefault="00E03711" w:rsidP="00920430">
            <w:pPr>
              <w:pStyle w:val="GUIDE-NORMAL"/>
              <w:spacing w:before="60" w:after="60"/>
              <w:rPr>
                <w:rFonts w:eastAsia="SimSun" w:cs="Tahoma"/>
                <w:lang w:val="sl-SI" w:eastAsia="en-GB"/>
              </w:rPr>
            </w:pPr>
            <w:r w:rsidRPr="00F769E0">
              <w:rPr>
                <w:rFonts w:cs="Tahoma"/>
                <w:lang w:val="sl-SI" w:eastAsia="en-GB"/>
              </w:rPr>
              <w:t>Od 3 dni do 2 mesecev; dnevi poti niso zajeti</w:t>
            </w:r>
          </w:p>
        </w:tc>
      </w:tr>
    </w:tbl>
    <w:p w14:paraId="7D399139" w14:textId="77777777" w:rsidR="00E03711" w:rsidRPr="001048FE" w:rsidRDefault="00E03711" w:rsidP="00920430">
      <w:pPr>
        <w:pStyle w:val="GUIDE-NORMAL"/>
        <w:rPr>
          <w:b/>
          <w:lang w:val="sl-SI"/>
        </w:rPr>
      </w:pPr>
      <w:r w:rsidRPr="001048FE">
        <w:rPr>
          <w:b/>
          <w:lang w:val="sl-SI"/>
        </w:rPr>
        <w:t>Intenzivni študijski programi</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6973"/>
      </w:tblGrid>
      <w:tr w:rsidR="00E03711" w:rsidRPr="00C60205" w14:paraId="7D39913E" w14:textId="77777777" w:rsidTr="006A4483">
        <w:trPr>
          <w:trHeight w:val="57"/>
        </w:trPr>
        <w:tc>
          <w:tcPr>
            <w:tcW w:w="2098" w:type="dxa"/>
            <w:tcBorders>
              <w:top w:val="dashed" w:sz="4" w:space="0" w:color="auto"/>
              <w:left w:val="single" w:sz="4" w:space="0" w:color="auto"/>
              <w:bottom w:val="dashed" w:sz="4" w:space="0" w:color="auto"/>
              <w:right w:val="single" w:sz="4" w:space="0" w:color="auto"/>
            </w:tcBorders>
            <w:shd w:val="clear" w:color="auto" w:fill="auto"/>
            <w:vAlign w:val="center"/>
          </w:tcPr>
          <w:p w14:paraId="7D39913A" w14:textId="77777777" w:rsidR="00E03711" w:rsidRPr="00F769E0" w:rsidRDefault="00E03711" w:rsidP="006A4483">
            <w:pPr>
              <w:pStyle w:val="Guide-Table"/>
              <w:spacing w:before="60" w:after="60"/>
              <w:jc w:val="left"/>
              <w:rPr>
                <w:rFonts w:cs="Tahoma"/>
                <w:b/>
                <w:lang w:val="sl-SI" w:eastAsia="en-GB"/>
              </w:rPr>
            </w:pPr>
            <w:r w:rsidRPr="00F769E0">
              <w:rPr>
                <w:rFonts w:cs="Tahoma"/>
                <w:b/>
                <w:lang w:val="sl-SI" w:eastAsia="en-GB"/>
              </w:rPr>
              <w:t>Upravičeni udeleženci</w:t>
            </w:r>
          </w:p>
        </w:tc>
        <w:tc>
          <w:tcPr>
            <w:tcW w:w="6973" w:type="dxa"/>
            <w:tcBorders>
              <w:top w:val="dashed" w:sz="4" w:space="0" w:color="auto"/>
              <w:left w:val="single" w:sz="4" w:space="0" w:color="auto"/>
              <w:bottom w:val="dashed" w:sz="4" w:space="0" w:color="auto"/>
              <w:right w:val="single" w:sz="4" w:space="0" w:color="auto"/>
            </w:tcBorders>
          </w:tcPr>
          <w:p w14:paraId="7D39913B" w14:textId="77777777" w:rsidR="00E03711" w:rsidRPr="001048FE" w:rsidRDefault="00E03711" w:rsidP="00920430">
            <w:pPr>
              <w:pStyle w:val="Guide-NormalBulletpoints"/>
              <w:rPr>
                <w:rFonts w:eastAsia="SimSun"/>
                <w:lang w:val="sl-SI"/>
              </w:rPr>
            </w:pPr>
            <w:r w:rsidRPr="001048FE">
              <w:rPr>
                <w:lang w:val="sl-SI"/>
              </w:rPr>
              <w:t>Učeči</w:t>
            </w:r>
            <w:r w:rsidRPr="001048FE">
              <w:rPr>
                <w:spacing w:val="-8"/>
                <w:lang w:val="sl-SI"/>
              </w:rPr>
              <w:t xml:space="preserve"> </w:t>
            </w:r>
            <w:r w:rsidRPr="001048FE">
              <w:rPr>
                <w:lang w:val="sl-SI"/>
              </w:rPr>
              <w:t>se:</w:t>
            </w:r>
            <w:r w:rsidRPr="001048FE">
              <w:rPr>
                <w:spacing w:val="-8"/>
                <w:lang w:val="sl-SI"/>
              </w:rPr>
              <w:t xml:space="preserve"> </w:t>
            </w:r>
            <w:r w:rsidRPr="001048FE">
              <w:rPr>
                <w:lang w:val="sl-SI"/>
              </w:rPr>
              <w:t>študenti</w:t>
            </w:r>
            <w:r w:rsidRPr="001048FE">
              <w:rPr>
                <w:spacing w:val="-8"/>
                <w:lang w:val="sl-SI"/>
              </w:rPr>
              <w:t xml:space="preserve"> </w:t>
            </w:r>
            <w:r w:rsidRPr="001048FE">
              <w:rPr>
                <w:lang w:val="sl-SI"/>
              </w:rPr>
              <w:t>visokošolskih</w:t>
            </w:r>
            <w:r w:rsidRPr="001048FE">
              <w:rPr>
                <w:spacing w:val="-8"/>
                <w:lang w:val="sl-SI"/>
              </w:rPr>
              <w:t xml:space="preserve"> </w:t>
            </w:r>
            <w:r w:rsidRPr="001048FE">
              <w:rPr>
                <w:lang w:val="sl-SI"/>
              </w:rPr>
              <w:t>institucij,</w:t>
            </w:r>
            <w:r w:rsidRPr="001048FE">
              <w:rPr>
                <w:spacing w:val="-8"/>
                <w:lang w:val="sl-SI"/>
              </w:rPr>
              <w:t xml:space="preserve"> </w:t>
            </w:r>
            <w:r w:rsidRPr="001048FE">
              <w:rPr>
                <w:lang w:val="sl-SI"/>
              </w:rPr>
              <w:t>vpisani</w:t>
            </w:r>
            <w:r w:rsidRPr="001048FE">
              <w:rPr>
                <w:spacing w:val="-8"/>
                <w:lang w:val="sl-SI"/>
              </w:rPr>
              <w:t xml:space="preserve"> </w:t>
            </w:r>
            <w:r w:rsidRPr="001048FE">
              <w:rPr>
                <w:lang w:val="sl-SI"/>
              </w:rPr>
              <w:t>v</w:t>
            </w:r>
            <w:r w:rsidRPr="001048FE">
              <w:rPr>
                <w:spacing w:val="-8"/>
                <w:lang w:val="sl-SI"/>
              </w:rPr>
              <w:t xml:space="preserve"> </w:t>
            </w:r>
            <w:r w:rsidRPr="001048FE">
              <w:rPr>
                <w:lang w:val="sl-SI"/>
              </w:rPr>
              <w:t>sodelujočo</w:t>
            </w:r>
            <w:r w:rsidRPr="001048FE">
              <w:rPr>
                <w:spacing w:val="-8"/>
                <w:lang w:val="sl-SI"/>
              </w:rPr>
              <w:t xml:space="preserve"> </w:t>
            </w:r>
            <w:r w:rsidRPr="001048FE">
              <w:rPr>
                <w:lang w:val="sl-SI"/>
              </w:rPr>
              <w:t>visokošolsko institucijo v državi</w:t>
            </w:r>
            <w:r w:rsidRPr="001048FE">
              <w:rPr>
                <w:spacing w:val="-1"/>
                <w:lang w:val="sl-SI"/>
              </w:rPr>
              <w:t xml:space="preserve"> </w:t>
            </w:r>
            <w:r w:rsidRPr="001048FE">
              <w:rPr>
                <w:lang w:val="sl-SI"/>
              </w:rPr>
              <w:t>Programa.</w:t>
            </w:r>
          </w:p>
          <w:p w14:paraId="7D39913C" w14:textId="77777777" w:rsidR="00E03711" w:rsidRPr="001048FE" w:rsidRDefault="00E03711" w:rsidP="00920430">
            <w:pPr>
              <w:pStyle w:val="Guide-NormalBulletpoints"/>
              <w:rPr>
                <w:lang w:val="sl-SI"/>
              </w:rPr>
            </w:pPr>
            <w:r w:rsidRPr="001048FE">
              <w:rPr>
                <w:lang w:val="sl-SI"/>
              </w:rPr>
              <w:t>Osebje</w:t>
            </w:r>
            <w:r w:rsidRPr="001048FE">
              <w:rPr>
                <w:spacing w:val="-36"/>
                <w:lang w:val="sl-SI"/>
              </w:rPr>
              <w:t xml:space="preserve"> </w:t>
            </w:r>
            <w:r w:rsidRPr="001048FE">
              <w:rPr>
                <w:lang w:val="sl-SI"/>
              </w:rPr>
              <w:t>za</w:t>
            </w:r>
            <w:r w:rsidRPr="001048FE">
              <w:rPr>
                <w:spacing w:val="-36"/>
                <w:lang w:val="sl-SI"/>
              </w:rPr>
              <w:t xml:space="preserve"> </w:t>
            </w:r>
            <w:r w:rsidRPr="001048FE">
              <w:rPr>
                <w:lang w:val="sl-SI"/>
              </w:rPr>
              <w:t>poučevanje:</w:t>
            </w:r>
            <w:r w:rsidRPr="001048FE">
              <w:rPr>
                <w:spacing w:val="-36"/>
                <w:lang w:val="sl-SI"/>
              </w:rPr>
              <w:t xml:space="preserve"> </w:t>
            </w:r>
            <w:r w:rsidRPr="001048FE">
              <w:rPr>
                <w:lang w:val="sl-SI"/>
              </w:rPr>
              <w:t>osebje</w:t>
            </w:r>
            <w:r w:rsidRPr="001048FE">
              <w:rPr>
                <w:spacing w:val="-35"/>
                <w:lang w:val="sl-SI"/>
              </w:rPr>
              <w:t xml:space="preserve"> </w:t>
            </w:r>
            <w:r w:rsidRPr="001048FE">
              <w:rPr>
                <w:lang w:val="sl-SI"/>
              </w:rPr>
              <w:t>za</w:t>
            </w:r>
            <w:r w:rsidRPr="001048FE">
              <w:rPr>
                <w:spacing w:val="-36"/>
                <w:lang w:val="sl-SI"/>
              </w:rPr>
              <w:t xml:space="preserve"> </w:t>
            </w:r>
            <w:r w:rsidRPr="001048FE">
              <w:rPr>
                <w:lang w:val="sl-SI"/>
              </w:rPr>
              <w:t>poučevanje</w:t>
            </w:r>
            <w:r w:rsidRPr="001048FE">
              <w:rPr>
                <w:spacing w:val="-36"/>
                <w:lang w:val="sl-SI"/>
              </w:rPr>
              <w:t xml:space="preserve"> </w:t>
            </w:r>
            <w:r w:rsidRPr="001048FE">
              <w:rPr>
                <w:lang w:val="sl-SI"/>
              </w:rPr>
              <w:t>iz</w:t>
            </w:r>
            <w:r w:rsidRPr="001048FE">
              <w:rPr>
                <w:spacing w:val="-36"/>
                <w:lang w:val="sl-SI"/>
              </w:rPr>
              <w:t xml:space="preserve"> </w:t>
            </w:r>
            <w:r w:rsidRPr="001048FE">
              <w:rPr>
                <w:lang w:val="sl-SI"/>
              </w:rPr>
              <w:t>sodelujočih</w:t>
            </w:r>
            <w:r w:rsidRPr="001048FE">
              <w:rPr>
                <w:spacing w:val="-36"/>
                <w:lang w:val="sl-SI"/>
              </w:rPr>
              <w:t xml:space="preserve"> </w:t>
            </w:r>
            <w:r w:rsidRPr="001048FE">
              <w:rPr>
                <w:lang w:val="sl-SI"/>
              </w:rPr>
              <w:t>visokošolskih institucij v državah Programa ali partnerskih</w:t>
            </w:r>
            <w:r w:rsidRPr="001048FE">
              <w:rPr>
                <w:spacing w:val="-10"/>
                <w:lang w:val="sl-SI"/>
              </w:rPr>
              <w:t xml:space="preserve"> </w:t>
            </w:r>
            <w:r w:rsidRPr="001048FE">
              <w:rPr>
                <w:lang w:val="sl-SI"/>
              </w:rPr>
              <w:t>državah.</w:t>
            </w:r>
          </w:p>
          <w:p w14:paraId="7D39913D" w14:textId="77777777" w:rsidR="00E03711" w:rsidRPr="001048FE" w:rsidRDefault="00E03711" w:rsidP="00920430">
            <w:pPr>
              <w:pStyle w:val="Guide-NormalBulletpoints"/>
              <w:rPr>
                <w:rFonts w:eastAsia="SimSun"/>
                <w:lang w:val="sl-SI"/>
              </w:rPr>
            </w:pPr>
            <w:r w:rsidRPr="001048FE">
              <w:rPr>
                <w:lang w:val="sl-SI"/>
              </w:rPr>
              <w:t>Povabljeni</w:t>
            </w:r>
            <w:r w:rsidRPr="001048FE">
              <w:rPr>
                <w:spacing w:val="-24"/>
                <w:lang w:val="sl-SI"/>
              </w:rPr>
              <w:t xml:space="preserve"> </w:t>
            </w:r>
            <w:r w:rsidRPr="001048FE">
              <w:rPr>
                <w:lang w:val="sl-SI"/>
              </w:rPr>
              <w:t>učitelji:</w:t>
            </w:r>
            <w:r w:rsidRPr="001048FE">
              <w:rPr>
                <w:spacing w:val="-24"/>
                <w:lang w:val="sl-SI"/>
              </w:rPr>
              <w:t xml:space="preserve"> </w:t>
            </w:r>
            <w:r w:rsidRPr="001048FE">
              <w:rPr>
                <w:lang w:val="sl-SI"/>
              </w:rPr>
              <w:t>osebje</w:t>
            </w:r>
            <w:r w:rsidRPr="001048FE">
              <w:rPr>
                <w:spacing w:val="-24"/>
                <w:lang w:val="sl-SI"/>
              </w:rPr>
              <w:t xml:space="preserve"> </w:t>
            </w:r>
            <w:r w:rsidRPr="001048FE">
              <w:rPr>
                <w:lang w:val="sl-SI"/>
              </w:rPr>
              <w:t>za</w:t>
            </w:r>
            <w:r w:rsidRPr="001048FE">
              <w:rPr>
                <w:spacing w:val="-24"/>
                <w:lang w:val="sl-SI"/>
              </w:rPr>
              <w:t xml:space="preserve"> </w:t>
            </w:r>
            <w:r w:rsidRPr="001048FE">
              <w:rPr>
                <w:lang w:val="sl-SI"/>
              </w:rPr>
              <w:t>poučevanje</w:t>
            </w:r>
            <w:r w:rsidRPr="001048FE">
              <w:rPr>
                <w:spacing w:val="-24"/>
                <w:lang w:val="sl-SI"/>
              </w:rPr>
              <w:t xml:space="preserve"> </w:t>
            </w:r>
            <w:r w:rsidRPr="001048FE">
              <w:rPr>
                <w:lang w:val="sl-SI"/>
              </w:rPr>
              <w:t>iz</w:t>
            </w:r>
            <w:r w:rsidRPr="001048FE">
              <w:rPr>
                <w:spacing w:val="-24"/>
                <w:lang w:val="sl-SI"/>
              </w:rPr>
              <w:t xml:space="preserve"> </w:t>
            </w:r>
            <w:r w:rsidRPr="001048FE">
              <w:rPr>
                <w:lang w:val="sl-SI"/>
              </w:rPr>
              <w:t>nesodelujočih</w:t>
            </w:r>
            <w:r w:rsidRPr="001048FE">
              <w:rPr>
                <w:spacing w:val="-24"/>
                <w:lang w:val="sl-SI"/>
              </w:rPr>
              <w:t xml:space="preserve"> </w:t>
            </w:r>
            <w:r w:rsidRPr="001048FE">
              <w:rPr>
                <w:lang w:val="sl-SI"/>
              </w:rPr>
              <w:t>visokošolskih institucij ter strokovnjaki/izvedenci iz podjetij ali drugih organizacij v državah Programa ali partnerskih</w:t>
            </w:r>
            <w:r w:rsidRPr="001048FE">
              <w:rPr>
                <w:spacing w:val="-11"/>
                <w:lang w:val="sl-SI"/>
              </w:rPr>
              <w:t xml:space="preserve"> </w:t>
            </w:r>
            <w:r w:rsidRPr="001048FE">
              <w:rPr>
                <w:lang w:val="sl-SI"/>
              </w:rPr>
              <w:t>državah</w:t>
            </w:r>
            <w:r w:rsidRPr="001048FE">
              <w:rPr>
                <w:rFonts w:eastAsia="SimSun"/>
                <w:lang w:val="sl-SI"/>
              </w:rPr>
              <w:t>.</w:t>
            </w:r>
          </w:p>
        </w:tc>
      </w:tr>
      <w:tr w:rsidR="00E03711" w:rsidRPr="00C60205" w14:paraId="7D399142" w14:textId="77777777" w:rsidTr="006A4483">
        <w:trPr>
          <w:trHeight w:val="57"/>
        </w:trPr>
        <w:tc>
          <w:tcPr>
            <w:tcW w:w="2098" w:type="dxa"/>
            <w:tcBorders>
              <w:top w:val="dashed" w:sz="4" w:space="0" w:color="auto"/>
              <w:left w:val="single" w:sz="4" w:space="0" w:color="auto"/>
              <w:bottom w:val="single" w:sz="4" w:space="0" w:color="auto"/>
              <w:right w:val="single" w:sz="4" w:space="0" w:color="auto"/>
            </w:tcBorders>
            <w:shd w:val="clear" w:color="auto" w:fill="auto"/>
            <w:vAlign w:val="center"/>
          </w:tcPr>
          <w:p w14:paraId="7D39913F" w14:textId="77777777" w:rsidR="00E03711" w:rsidRPr="00F769E0" w:rsidRDefault="00E03711" w:rsidP="006A4483">
            <w:pPr>
              <w:pStyle w:val="Guide-Table"/>
              <w:spacing w:before="60" w:after="60"/>
              <w:jc w:val="left"/>
              <w:rPr>
                <w:rFonts w:cs="Tahoma"/>
                <w:b/>
                <w:lang w:val="sl-SI" w:eastAsia="en-GB"/>
              </w:rPr>
            </w:pPr>
            <w:r w:rsidRPr="00F769E0">
              <w:rPr>
                <w:rFonts w:cs="Tahoma"/>
                <w:b/>
                <w:lang w:val="sl-SI" w:eastAsia="en-GB"/>
              </w:rPr>
              <w:t>Trajanje aktivnosti</w:t>
            </w:r>
          </w:p>
        </w:tc>
        <w:tc>
          <w:tcPr>
            <w:tcW w:w="6973" w:type="dxa"/>
            <w:tcBorders>
              <w:top w:val="dashed" w:sz="4" w:space="0" w:color="auto"/>
              <w:left w:val="single" w:sz="4" w:space="0" w:color="auto"/>
              <w:bottom w:val="single" w:sz="4" w:space="0" w:color="auto"/>
              <w:right w:val="single" w:sz="4" w:space="0" w:color="auto"/>
            </w:tcBorders>
          </w:tcPr>
          <w:p w14:paraId="7D399140" w14:textId="77777777" w:rsidR="00E03711" w:rsidRPr="001048FE" w:rsidRDefault="00E03711" w:rsidP="00920430">
            <w:pPr>
              <w:pStyle w:val="Guide-NormalBulletpoints"/>
              <w:rPr>
                <w:lang w:val="sl-SI"/>
              </w:rPr>
            </w:pPr>
            <w:r w:rsidRPr="001048FE">
              <w:rPr>
                <w:lang w:val="sl-SI"/>
              </w:rPr>
              <w:t>Učeči se: od 5 dni do 2 mesecev; dnevi poti niso</w:t>
            </w:r>
            <w:r w:rsidRPr="001048FE">
              <w:rPr>
                <w:spacing w:val="32"/>
                <w:lang w:val="sl-SI"/>
              </w:rPr>
              <w:t xml:space="preserve"> </w:t>
            </w:r>
            <w:r w:rsidRPr="001048FE">
              <w:rPr>
                <w:lang w:val="sl-SI"/>
              </w:rPr>
              <w:t>zajeti</w:t>
            </w:r>
          </w:p>
          <w:p w14:paraId="7D399141" w14:textId="77777777" w:rsidR="00E03711" w:rsidRPr="001048FE" w:rsidRDefault="00E03711" w:rsidP="00920430">
            <w:pPr>
              <w:pStyle w:val="Guide-NormalBulletpoints"/>
              <w:rPr>
                <w:rFonts w:eastAsia="SimSun"/>
                <w:lang w:val="sl-SI"/>
              </w:rPr>
            </w:pPr>
            <w:r w:rsidRPr="001048FE">
              <w:rPr>
                <w:lang w:val="sl-SI"/>
              </w:rPr>
              <w:t>Osebje</w:t>
            </w:r>
            <w:r w:rsidRPr="001048FE">
              <w:rPr>
                <w:spacing w:val="-15"/>
                <w:lang w:val="sl-SI"/>
              </w:rPr>
              <w:t xml:space="preserve"> </w:t>
            </w:r>
            <w:r w:rsidRPr="001048FE">
              <w:rPr>
                <w:lang w:val="sl-SI"/>
              </w:rPr>
              <w:t>za</w:t>
            </w:r>
            <w:r w:rsidRPr="001048FE">
              <w:rPr>
                <w:spacing w:val="-15"/>
                <w:lang w:val="sl-SI"/>
              </w:rPr>
              <w:t xml:space="preserve"> </w:t>
            </w:r>
            <w:r w:rsidRPr="001048FE">
              <w:rPr>
                <w:lang w:val="sl-SI"/>
              </w:rPr>
              <w:t>poučevanje</w:t>
            </w:r>
            <w:r w:rsidRPr="001048FE">
              <w:rPr>
                <w:spacing w:val="-15"/>
                <w:lang w:val="sl-SI"/>
              </w:rPr>
              <w:t xml:space="preserve"> </w:t>
            </w:r>
            <w:r w:rsidRPr="001048FE">
              <w:rPr>
                <w:lang w:val="sl-SI"/>
              </w:rPr>
              <w:t>(vključno</w:t>
            </w:r>
            <w:r w:rsidRPr="001048FE">
              <w:rPr>
                <w:spacing w:val="-15"/>
                <w:lang w:val="sl-SI"/>
              </w:rPr>
              <w:t xml:space="preserve"> </w:t>
            </w:r>
            <w:r w:rsidRPr="001048FE">
              <w:rPr>
                <w:lang w:val="sl-SI"/>
              </w:rPr>
              <w:t>s</w:t>
            </w:r>
            <w:r w:rsidRPr="001048FE">
              <w:rPr>
                <w:spacing w:val="-15"/>
                <w:lang w:val="sl-SI"/>
              </w:rPr>
              <w:t xml:space="preserve"> </w:t>
            </w:r>
            <w:r w:rsidRPr="001048FE">
              <w:rPr>
                <w:lang w:val="sl-SI"/>
              </w:rPr>
              <w:t>povabljenimi</w:t>
            </w:r>
            <w:r w:rsidRPr="001048FE">
              <w:rPr>
                <w:spacing w:val="-15"/>
                <w:lang w:val="sl-SI"/>
              </w:rPr>
              <w:t xml:space="preserve"> </w:t>
            </w:r>
            <w:r w:rsidRPr="001048FE">
              <w:rPr>
                <w:lang w:val="sl-SI"/>
              </w:rPr>
              <w:t>učitelji):</w:t>
            </w:r>
            <w:r w:rsidRPr="001048FE">
              <w:rPr>
                <w:spacing w:val="-15"/>
                <w:lang w:val="sl-SI"/>
              </w:rPr>
              <w:t xml:space="preserve"> </w:t>
            </w:r>
            <w:r w:rsidRPr="001048FE">
              <w:rPr>
                <w:lang w:val="sl-SI"/>
              </w:rPr>
              <w:t>od</w:t>
            </w:r>
            <w:r w:rsidRPr="001048FE">
              <w:rPr>
                <w:spacing w:val="-14"/>
                <w:lang w:val="sl-SI"/>
              </w:rPr>
              <w:t xml:space="preserve"> </w:t>
            </w:r>
            <w:r w:rsidRPr="001048FE">
              <w:rPr>
                <w:lang w:val="sl-SI"/>
              </w:rPr>
              <w:t>1</w:t>
            </w:r>
            <w:r w:rsidRPr="001048FE">
              <w:rPr>
                <w:spacing w:val="-15"/>
                <w:lang w:val="sl-SI"/>
              </w:rPr>
              <w:t xml:space="preserve"> </w:t>
            </w:r>
            <w:r w:rsidRPr="001048FE">
              <w:rPr>
                <w:lang w:val="sl-SI"/>
              </w:rPr>
              <w:t>dneva</w:t>
            </w:r>
            <w:r w:rsidRPr="001048FE">
              <w:rPr>
                <w:spacing w:val="-15"/>
                <w:lang w:val="sl-SI"/>
              </w:rPr>
              <w:t xml:space="preserve"> </w:t>
            </w:r>
            <w:r w:rsidRPr="001048FE">
              <w:rPr>
                <w:lang w:val="sl-SI"/>
              </w:rPr>
              <w:t>do 2 mesecev; dnevi poti niso</w:t>
            </w:r>
            <w:r w:rsidRPr="001048FE">
              <w:rPr>
                <w:spacing w:val="-16"/>
                <w:lang w:val="sl-SI"/>
              </w:rPr>
              <w:t xml:space="preserve"> </w:t>
            </w:r>
            <w:r w:rsidRPr="001048FE">
              <w:rPr>
                <w:lang w:val="sl-SI"/>
              </w:rPr>
              <w:t>zajeti</w:t>
            </w:r>
          </w:p>
        </w:tc>
      </w:tr>
    </w:tbl>
    <w:p w14:paraId="7D399143" w14:textId="77777777" w:rsidR="00E03711" w:rsidRPr="001048FE" w:rsidRDefault="00E03711" w:rsidP="00920430">
      <w:pPr>
        <w:pStyle w:val="GUIDE-NORMAL"/>
        <w:jc w:val="left"/>
        <w:rPr>
          <w:b/>
          <w:lang w:val="sl-SI"/>
        </w:rPr>
      </w:pPr>
      <w:r w:rsidRPr="001048FE">
        <w:rPr>
          <w:b/>
          <w:lang w:val="sl-SI"/>
        </w:rPr>
        <w:t xml:space="preserve">Kombinirana mobilnost učencev/dijakov, učečih se in mladih </w:t>
      </w:r>
      <w:r w:rsidRPr="001048FE">
        <w:rPr>
          <w:b/>
          <w:lang w:val="sl-SI"/>
        </w:rPr>
        <w:br/>
        <w:t>(ki združuje kratkotrajno fizično mobilnost in virtualno mobilnost)</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6973"/>
      </w:tblGrid>
      <w:tr w:rsidR="00E03711" w:rsidRPr="008C6F8C" w14:paraId="7D399146" w14:textId="77777777" w:rsidTr="00065AB7">
        <w:trPr>
          <w:trHeight w:val="57"/>
        </w:trPr>
        <w:tc>
          <w:tcPr>
            <w:tcW w:w="2098" w:type="dxa"/>
            <w:tcBorders>
              <w:top w:val="dashed" w:sz="4" w:space="0" w:color="auto"/>
              <w:left w:val="single" w:sz="4" w:space="0" w:color="auto"/>
              <w:bottom w:val="dashed" w:sz="4" w:space="0" w:color="auto"/>
              <w:right w:val="single" w:sz="4" w:space="0" w:color="auto"/>
            </w:tcBorders>
            <w:shd w:val="clear" w:color="auto" w:fill="auto"/>
            <w:vAlign w:val="center"/>
          </w:tcPr>
          <w:p w14:paraId="7D399144" w14:textId="77777777" w:rsidR="00E03711" w:rsidRPr="00F769E0" w:rsidRDefault="00E03711" w:rsidP="00360614">
            <w:pPr>
              <w:pStyle w:val="GUIDE-NORMAL"/>
              <w:spacing w:before="60" w:after="60"/>
              <w:rPr>
                <w:rFonts w:cs="Tahoma"/>
                <w:b/>
                <w:lang w:val="sl-SI" w:eastAsia="en-GB"/>
              </w:rPr>
            </w:pPr>
            <w:r w:rsidRPr="00F769E0">
              <w:rPr>
                <w:rFonts w:cs="Tahoma"/>
                <w:b/>
                <w:lang w:val="sl-SI" w:eastAsia="en-GB"/>
              </w:rPr>
              <w:t>Upravičeni udeleženci</w:t>
            </w:r>
          </w:p>
        </w:tc>
        <w:tc>
          <w:tcPr>
            <w:tcW w:w="6973" w:type="dxa"/>
            <w:tcBorders>
              <w:top w:val="dashed" w:sz="4" w:space="0" w:color="auto"/>
              <w:left w:val="single" w:sz="4" w:space="0" w:color="auto"/>
              <w:bottom w:val="dashed" w:sz="4" w:space="0" w:color="auto"/>
              <w:right w:val="single" w:sz="4" w:space="0" w:color="auto"/>
            </w:tcBorders>
          </w:tcPr>
          <w:p w14:paraId="7D399145" w14:textId="77777777" w:rsidR="00E03711" w:rsidRPr="00F769E0" w:rsidRDefault="00E03711" w:rsidP="00D4441B">
            <w:pPr>
              <w:pStyle w:val="GUIDE-NORMAL"/>
              <w:spacing w:before="60" w:after="60"/>
              <w:rPr>
                <w:rFonts w:cs="Tahoma"/>
                <w:lang w:val="sl-SI" w:eastAsia="en-GB"/>
              </w:rPr>
            </w:pPr>
            <w:r w:rsidRPr="00F769E0">
              <w:rPr>
                <w:rFonts w:cs="Tahoma"/>
                <w:lang w:val="sl-SI" w:eastAsia="en-GB"/>
              </w:rPr>
              <w:t>Vajenci, dijaki v PIU, študenti, vpisani na visokošolsko institucijo</w:t>
            </w:r>
            <w:r w:rsidRPr="00F769E0">
              <w:rPr>
                <w:rStyle w:val="FootnoteReference"/>
                <w:rFonts w:cs="Tahoma"/>
                <w:lang w:val="sl-SI" w:eastAsia="en-GB"/>
              </w:rPr>
              <w:footnoteReference w:id="92"/>
            </w:r>
            <w:r w:rsidRPr="00F769E0">
              <w:rPr>
                <w:rFonts w:cs="Tahoma"/>
                <w:lang w:val="sl-SI" w:eastAsia="en-GB"/>
              </w:rPr>
              <w:t>, učeči se odrasli in učenci/dijaki iz sodelujočih organizacij v državah Programa. Mladi iz držav Programa.</w:t>
            </w:r>
          </w:p>
        </w:tc>
      </w:tr>
      <w:tr w:rsidR="00E03711" w:rsidRPr="00C60205" w14:paraId="7D399149" w14:textId="77777777" w:rsidTr="00065AB7">
        <w:trPr>
          <w:trHeight w:val="57"/>
        </w:trPr>
        <w:tc>
          <w:tcPr>
            <w:tcW w:w="2098" w:type="dxa"/>
            <w:tcBorders>
              <w:top w:val="dashed" w:sz="4" w:space="0" w:color="auto"/>
              <w:left w:val="single" w:sz="4" w:space="0" w:color="auto"/>
              <w:bottom w:val="single" w:sz="4" w:space="0" w:color="auto"/>
              <w:right w:val="single" w:sz="4" w:space="0" w:color="auto"/>
            </w:tcBorders>
            <w:shd w:val="clear" w:color="auto" w:fill="auto"/>
            <w:vAlign w:val="center"/>
          </w:tcPr>
          <w:p w14:paraId="7D399147" w14:textId="77777777" w:rsidR="00E03711" w:rsidRPr="00F769E0" w:rsidRDefault="00E03711" w:rsidP="00360614">
            <w:pPr>
              <w:pStyle w:val="GUIDE-NORMAL"/>
              <w:spacing w:before="60" w:after="60"/>
              <w:rPr>
                <w:rFonts w:cs="Tahoma"/>
                <w:b/>
                <w:lang w:val="sl-SI" w:eastAsia="en-GB"/>
              </w:rPr>
            </w:pPr>
            <w:r w:rsidRPr="00F769E0">
              <w:rPr>
                <w:rFonts w:cs="Tahoma"/>
                <w:b/>
                <w:lang w:val="sl-SI" w:eastAsia="en-GB"/>
              </w:rPr>
              <w:t>Trajanje aktivnosti</w:t>
            </w:r>
          </w:p>
        </w:tc>
        <w:tc>
          <w:tcPr>
            <w:tcW w:w="6973" w:type="dxa"/>
            <w:tcBorders>
              <w:top w:val="dashed" w:sz="4" w:space="0" w:color="auto"/>
              <w:left w:val="single" w:sz="4" w:space="0" w:color="auto"/>
              <w:bottom w:val="single" w:sz="4" w:space="0" w:color="auto"/>
              <w:right w:val="single" w:sz="4" w:space="0" w:color="auto"/>
            </w:tcBorders>
          </w:tcPr>
          <w:p w14:paraId="7D399148" w14:textId="77777777" w:rsidR="00E03711" w:rsidRPr="00F769E0" w:rsidRDefault="00E03711" w:rsidP="00360614">
            <w:pPr>
              <w:pStyle w:val="GUIDE-NORMAL"/>
              <w:spacing w:before="60" w:after="60"/>
              <w:rPr>
                <w:rFonts w:cs="Tahoma"/>
                <w:lang w:val="sl-SI" w:eastAsia="en-GB"/>
              </w:rPr>
            </w:pPr>
            <w:r w:rsidRPr="00F769E0">
              <w:rPr>
                <w:rFonts w:cs="Tahoma"/>
                <w:lang w:val="sl-SI" w:eastAsia="en-GB"/>
              </w:rPr>
              <w:t>Od 5 dni do 2 mesecev; dnevi poti niso zajeti</w:t>
            </w:r>
          </w:p>
        </w:tc>
      </w:tr>
    </w:tbl>
    <w:p w14:paraId="7D39914A" w14:textId="77777777" w:rsidR="00E03711" w:rsidRPr="001048FE" w:rsidRDefault="00E03711" w:rsidP="00920430">
      <w:pPr>
        <w:pStyle w:val="GUIDE-NORMAL"/>
        <w:rPr>
          <w:b/>
          <w:lang w:val="sl-SI"/>
        </w:rPr>
      </w:pPr>
      <w:r w:rsidRPr="001048FE">
        <w:rPr>
          <w:b/>
          <w:lang w:val="sl-SI"/>
        </w:rPr>
        <w:t xml:space="preserve">Kratkotrajne izmenjave skupin </w:t>
      </w:r>
      <w:r w:rsidRPr="00827002">
        <w:rPr>
          <w:b/>
          <w:lang w:val="sl-SI"/>
        </w:rPr>
        <w:t xml:space="preserve">učencev </w:t>
      </w:r>
      <w:r w:rsidRPr="00FC4A70">
        <w:rPr>
          <w:rFonts w:eastAsia="Calibri" w:cs="Calibri"/>
          <w:b/>
          <w:bCs/>
          <w:bdr w:val="nil"/>
          <w:lang w:val="sl-SI"/>
        </w:rPr>
        <w:t>(vključno s PIU)</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6973"/>
      </w:tblGrid>
      <w:tr w:rsidR="00E03711" w:rsidRPr="00C60205" w14:paraId="7D39914D" w14:textId="77777777" w:rsidTr="00065AB7">
        <w:trPr>
          <w:trHeight w:val="57"/>
        </w:trPr>
        <w:tc>
          <w:tcPr>
            <w:tcW w:w="2098" w:type="dxa"/>
            <w:tcBorders>
              <w:top w:val="dashed" w:sz="4" w:space="0" w:color="auto"/>
              <w:left w:val="single" w:sz="4" w:space="0" w:color="auto"/>
              <w:bottom w:val="dashed" w:sz="4" w:space="0" w:color="auto"/>
              <w:right w:val="single" w:sz="4" w:space="0" w:color="auto"/>
            </w:tcBorders>
            <w:shd w:val="clear" w:color="auto" w:fill="auto"/>
            <w:vAlign w:val="center"/>
          </w:tcPr>
          <w:p w14:paraId="7D39914B" w14:textId="77777777" w:rsidR="00E03711" w:rsidRPr="00F769E0" w:rsidRDefault="00E03711" w:rsidP="00360614">
            <w:pPr>
              <w:pStyle w:val="GUIDE-NORMAL"/>
              <w:spacing w:before="60" w:after="60"/>
              <w:rPr>
                <w:rFonts w:cs="Tahoma"/>
                <w:b/>
                <w:lang w:val="sl-SI" w:eastAsia="en-GB"/>
              </w:rPr>
            </w:pPr>
            <w:r w:rsidRPr="00F769E0">
              <w:rPr>
                <w:rFonts w:cs="Tahoma"/>
                <w:b/>
                <w:lang w:val="sl-SI" w:eastAsia="en-GB"/>
              </w:rPr>
              <w:t>Upravičeni udeleženci</w:t>
            </w:r>
          </w:p>
        </w:tc>
        <w:tc>
          <w:tcPr>
            <w:tcW w:w="6973" w:type="dxa"/>
            <w:tcBorders>
              <w:top w:val="dashed" w:sz="4" w:space="0" w:color="auto"/>
              <w:left w:val="single" w:sz="4" w:space="0" w:color="auto"/>
              <w:bottom w:val="dashed" w:sz="4" w:space="0" w:color="auto"/>
              <w:right w:val="single" w:sz="4" w:space="0" w:color="auto"/>
            </w:tcBorders>
          </w:tcPr>
          <w:p w14:paraId="7D39914C" w14:textId="77777777" w:rsidR="00E03711" w:rsidRPr="00F769E0" w:rsidRDefault="00E03711" w:rsidP="00360614">
            <w:pPr>
              <w:pStyle w:val="GUIDE-NORMAL"/>
              <w:spacing w:before="60" w:after="60"/>
              <w:rPr>
                <w:rFonts w:cs="Tahoma"/>
                <w:lang w:val="sl-SI" w:eastAsia="en-GB"/>
              </w:rPr>
            </w:pPr>
            <w:r w:rsidRPr="00FC4A70">
              <w:rPr>
                <w:rFonts w:eastAsia="Calibri" w:cs="Calibri"/>
                <w:bdr w:val="nil"/>
                <w:lang w:val="sl-SI" w:eastAsia="en-GB"/>
              </w:rPr>
              <w:t>Učenci in dijaki PIU katere koli starosti, vpisani na sodelujočo šolo (vključno z organizacijami PIU) v državi Programa, ki jih spremlja šolsko osebje.</w:t>
            </w:r>
          </w:p>
        </w:tc>
      </w:tr>
      <w:tr w:rsidR="00E03711" w:rsidRPr="00C60205" w14:paraId="7D399150" w14:textId="77777777" w:rsidTr="00065AB7">
        <w:trPr>
          <w:trHeight w:val="57"/>
        </w:trPr>
        <w:tc>
          <w:tcPr>
            <w:tcW w:w="2098" w:type="dxa"/>
            <w:tcBorders>
              <w:top w:val="dashed" w:sz="4" w:space="0" w:color="auto"/>
              <w:left w:val="single" w:sz="4" w:space="0" w:color="auto"/>
              <w:bottom w:val="single" w:sz="4" w:space="0" w:color="auto"/>
              <w:right w:val="single" w:sz="4" w:space="0" w:color="auto"/>
            </w:tcBorders>
            <w:shd w:val="clear" w:color="auto" w:fill="auto"/>
            <w:vAlign w:val="center"/>
          </w:tcPr>
          <w:p w14:paraId="7D39914E" w14:textId="77777777" w:rsidR="00E03711" w:rsidRPr="00F769E0" w:rsidRDefault="00E03711" w:rsidP="00360614">
            <w:pPr>
              <w:pStyle w:val="GUIDE-NORMAL"/>
              <w:spacing w:before="60" w:after="60"/>
              <w:rPr>
                <w:rFonts w:cs="Tahoma"/>
                <w:b/>
                <w:lang w:val="sl-SI" w:eastAsia="en-GB"/>
              </w:rPr>
            </w:pPr>
            <w:r w:rsidRPr="00F769E0">
              <w:rPr>
                <w:rFonts w:cs="Tahoma"/>
                <w:b/>
                <w:lang w:val="sl-SI" w:eastAsia="en-GB"/>
              </w:rPr>
              <w:t>Trajanje aktivnosti</w:t>
            </w:r>
          </w:p>
        </w:tc>
        <w:tc>
          <w:tcPr>
            <w:tcW w:w="6973" w:type="dxa"/>
            <w:tcBorders>
              <w:top w:val="dashed" w:sz="4" w:space="0" w:color="auto"/>
              <w:left w:val="single" w:sz="4" w:space="0" w:color="auto"/>
              <w:bottom w:val="single" w:sz="4" w:space="0" w:color="auto"/>
              <w:right w:val="single" w:sz="4" w:space="0" w:color="auto"/>
            </w:tcBorders>
          </w:tcPr>
          <w:p w14:paraId="7D39914F" w14:textId="77777777" w:rsidR="00E03711" w:rsidRPr="00F769E0" w:rsidRDefault="00E03711" w:rsidP="00360614">
            <w:pPr>
              <w:pStyle w:val="GUIDE-NORMAL"/>
              <w:spacing w:before="60" w:after="60"/>
              <w:rPr>
                <w:rFonts w:cs="Tahoma"/>
                <w:lang w:val="sl-SI" w:eastAsia="en-GB"/>
              </w:rPr>
            </w:pPr>
            <w:r w:rsidRPr="00F769E0">
              <w:rPr>
                <w:rFonts w:cs="Tahoma"/>
                <w:lang w:val="sl-SI" w:eastAsia="en-GB"/>
              </w:rPr>
              <w:t>Od 3 dni do 2 mesecev; dnevi poti niso zajeti</w:t>
            </w:r>
          </w:p>
        </w:tc>
      </w:tr>
    </w:tbl>
    <w:p w14:paraId="7D399151" w14:textId="77777777" w:rsidR="00E03711" w:rsidRPr="001048FE" w:rsidRDefault="00E03711" w:rsidP="00920430">
      <w:pPr>
        <w:pStyle w:val="GUIDE-NORMAL"/>
        <w:rPr>
          <w:b/>
          <w:lang w:val="sl-SI"/>
        </w:rPr>
      </w:pPr>
      <w:r w:rsidRPr="001048FE">
        <w:rPr>
          <w:b/>
          <w:lang w:val="sl-SI"/>
        </w:rPr>
        <w:t>Dolgotrajna mobilnost za poučevanje ali usposabljanje</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6973"/>
      </w:tblGrid>
      <w:tr w:rsidR="00E03711" w:rsidRPr="00C60205" w14:paraId="7D399154" w14:textId="77777777" w:rsidTr="00870F21">
        <w:trPr>
          <w:trHeight w:val="57"/>
        </w:trPr>
        <w:tc>
          <w:tcPr>
            <w:tcW w:w="2098" w:type="dxa"/>
            <w:tcBorders>
              <w:top w:val="dashed" w:sz="4" w:space="0" w:color="auto"/>
              <w:left w:val="single" w:sz="4" w:space="0" w:color="auto"/>
              <w:bottom w:val="dashed" w:sz="4" w:space="0" w:color="auto"/>
              <w:right w:val="single" w:sz="4" w:space="0" w:color="auto"/>
            </w:tcBorders>
            <w:shd w:val="clear" w:color="auto" w:fill="auto"/>
            <w:vAlign w:val="center"/>
          </w:tcPr>
          <w:p w14:paraId="7D399152" w14:textId="77777777" w:rsidR="00E03711" w:rsidRPr="00F769E0" w:rsidRDefault="00E03711" w:rsidP="00360614">
            <w:pPr>
              <w:pStyle w:val="GUIDE-NORMAL"/>
              <w:spacing w:before="60" w:after="60"/>
              <w:rPr>
                <w:rFonts w:cs="Tahoma"/>
                <w:b/>
                <w:lang w:val="sl-SI" w:eastAsia="en-GB"/>
              </w:rPr>
            </w:pPr>
            <w:r w:rsidRPr="00F769E0">
              <w:rPr>
                <w:rFonts w:cs="Tahoma"/>
                <w:b/>
                <w:lang w:val="sl-SI" w:eastAsia="en-GB"/>
              </w:rPr>
              <w:t>Upravičeni udeleženci</w:t>
            </w:r>
          </w:p>
        </w:tc>
        <w:tc>
          <w:tcPr>
            <w:tcW w:w="6973" w:type="dxa"/>
            <w:tcBorders>
              <w:top w:val="dashed" w:sz="4" w:space="0" w:color="auto"/>
              <w:left w:val="single" w:sz="4" w:space="0" w:color="auto"/>
              <w:bottom w:val="dashed" w:sz="4" w:space="0" w:color="auto"/>
              <w:right w:val="single" w:sz="4" w:space="0" w:color="auto"/>
            </w:tcBorders>
          </w:tcPr>
          <w:p w14:paraId="7D399153" w14:textId="77777777" w:rsidR="00E03711" w:rsidRPr="00F769E0" w:rsidRDefault="00E03711" w:rsidP="00360614">
            <w:pPr>
              <w:pStyle w:val="GUIDE-NORMAL"/>
              <w:spacing w:before="60" w:after="60"/>
              <w:rPr>
                <w:rFonts w:cs="Tahoma"/>
                <w:lang w:val="sl-SI" w:eastAsia="en-GB"/>
              </w:rPr>
            </w:pPr>
            <w:r w:rsidRPr="00F769E0">
              <w:rPr>
                <w:rFonts w:cs="Tahoma"/>
                <w:lang w:val="sl-SI" w:eastAsia="en-GB"/>
              </w:rPr>
              <w:t>Profesorji, učitelji, vodje usposabljanja ter izobraževalno in administrativno osebje, ki dela v sodelujočih organizacijah v državah Programa.</w:t>
            </w:r>
          </w:p>
        </w:tc>
      </w:tr>
      <w:tr w:rsidR="00E03711" w:rsidRPr="008C6F8C" w14:paraId="7D399157" w14:textId="77777777" w:rsidTr="00870F21">
        <w:trPr>
          <w:trHeight w:val="57"/>
        </w:trPr>
        <w:tc>
          <w:tcPr>
            <w:tcW w:w="2098" w:type="dxa"/>
            <w:tcBorders>
              <w:top w:val="dashed" w:sz="4" w:space="0" w:color="auto"/>
              <w:left w:val="single" w:sz="4" w:space="0" w:color="auto"/>
              <w:bottom w:val="single" w:sz="4" w:space="0" w:color="auto"/>
              <w:right w:val="single" w:sz="4" w:space="0" w:color="auto"/>
            </w:tcBorders>
            <w:shd w:val="clear" w:color="auto" w:fill="auto"/>
            <w:vAlign w:val="center"/>
          </w:tcPr>
          <w:p w14:paraId="7D399155" w14:textId="77777777" w:rsidR="00E03711" w:rsidRPr="00F769E0" w:rsidRDefault="00E03711" w:rsidP="00360614">
            <w:pPr>
              <w:pStyle w:val="GUIDE-NORMAL"/>
              <w:spacing w:before="60" w:after="60"/>
              <w:rPr>
                <w:rFonts w:cs="Tahoma"/>
                <w:b/>
                <w:lang w:val="sl-SI" w:eastAsia="en-GB"/>
              </w:rPr>
            </w:pPr>
            <w:r w:rsidRPr="00F769E0">
              <w:rPr>
                <w:rFonts w:cs="Tahoma"/>
                <w:b/>
                <w:lang w:val="sl-SI" w:eastAsia="en-GB"/>
              </w:rPr>
              <w:t>Trajanje aktivnosti</w:t>
            </w:r>
          </w:p>
        </w:tc>
        <w:tc>
          <w:tcPr>
            <w:tcW w:w="6973" w:type="dxa"/>
            <w:tcBorders>
              <w:top w:val="dashed" w:sz="4" w:space="0" w:color="auto"/>
              <w:left w:val="single" w:sz="4" w:space="0" w:color="auto"/>
              <w:bottom w:val="single" w:sz="4" w:space="0" w:color="auto"/>
              <w:right w:val="single" w:sz="4" w:space="0" w:color="auto"/>
            </w:tcBorders>
          </w:tcPr>
          <w:p w14:paraId="7D399156" w14:textId="77777777" w:rsidR="00E03711" w:rsidRPr="00F769E0" w:rsidRDefault="00E03711" w:rsidP="00360614">
            <w:pPr>
              <w:pStyle w:val="GUIDE-NORMAL"/>
              <w:spacing w:before="60" w:after="60"/>
              <w:rPr>
                <w:rFonts w:cs="Tahoma"/>
                <w:lang w:val="sl-SI" w:eastAsia="en-GB"/>
              </w:rPr>
            </w:pPr>
            <w:r w:rsidRPr="00F769E0">
              <w:rPr>
                <w:rFonts w:cs="Tahoma"/>
                <w:lang w:val="sl-SI" w:eastAsia="en-GB"/>
              </w:rPr>
              <w:t>Od 2 do 12 mesecev</w:t>
            </w:r>
          </w:p>
        </w:tc>
      </w:tr>
    </w:tbl>
    <w:p w14:paraId="7D399158" w14:textId="77777777" w:rsidR="00E03711" w:rsidRPr="001048FE" w:rsidRDefault="00E03711" w:rsidP="00920430">
      <w:pPr>
        <w:pStyle w:val="GUIDE-NORMAL"/>
        <w:rPr>
          <w:b/>
          <w:lang w:val="sl-SI"/>
        </w:rPr>
      </w:pPr>
      <w:r w:rsidRPr="001048FE">
        <w:rPr>
          <w:b/>
          <w:lang w:val="sl-SI"/>
        </w:rPr>
        <w:t>Dolgotrajna učna mobilnost učencev/dijakov</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6973"/>
      </w:tblGrid>
      <w:tr w:rsidR="00E03711" w:rsidRPr="00C60205" w14:paraId="7D39915B" w14:textId="77777777" w:rsidTr="00870F21">
        <w:trPr>
          <w:trHeight w:val="57"/>
        </w:trPr>
        <w:tc>
          <w:tcPr>
            <w:tcW w:w="2098" w:type="dxa"/>
            <w:tcBorders>
              <w:top w:val="dashed" w:sz="4" w:space="0" w:color="auto"/>
              <w:left w:val="single" w:sz="4" w:space="0" w:color="auto"/>
              <w:bottom w:val="dashed" w:sz="4" w:space="0" w:color="auto"/>
              <w:right w:val="single" w:sz="4" w:space="0" w:color="auto"/>
            </w:tcBorders>
            <w:shd w:val="clear" w:color="auto" w:fill="auto"/>
            <w:vAlign w:val="center"/>
          </w:tcPr>
          <w:p w14:paraId="7D399159" w14:textId="77777777" w:rsidR="00E03711" w:rsidRPr="00F769E0" w:rsidRDefault="00E03711" w:rsidP="00360614">
            <w:pPr>
              <w:pStyle w:val="GUIDE-NORMAL"/>
              <w:spacing w:before="60" w:after="60"/>
              <w:rPr>
                <w:rFonts w:cs="Tahoma"/>
                <w:b/>
                <w:lang w:val="sl-SI" w:eastAsia="en-GB"/>
              </w:rPr>
            </w:pPr>
            <w:r w:rsidRPr="00F769E0">
              <w:rPr>
                <w:rFonts w:cs="Tahoma"/>
                <w:b/>
                <w:lang w:val="sl-SI" w:eastAsia="en-GB"/>
              </w:rPr>
              <w:t>Upravičeni udeleženci</w:t>
            </w:r>
          </w:p>
        </w:tc>
        <w:tc>
          <w:tcPr>
            <w:tcW w:w="6973" w:type="dxa"/>
            <w:tcBorders>
              <w:top w:val="dashed" w:sz="4" w:space="0" w:color="auto"/>
              <w:left w:val="single" w:sz="4" w:space="0" w:color="auto"/>
              <w:bottom w:val="dashed" w:sz="4" w:space="0" w:color="auto"/>
              <w:right w:val="single" w:sz="4" w:space="0" w:color="auto"/>
            </w:tcBorders>
          </w:tcPr>
          <w:p w14:paraId="7D39915A" w14:textId="77777777" w:rsidR="00E03711" w:rsidRPr="00F769E0" w:rsidRDefault="00E03711" w:rsidP="00360614">
            <w:pPr>
              <w:pStyle w:val="GUIDE-NORMAL"/>
              <w:spacing w:before="60" w:after="60"/>
              <w:rPr>
                <w:rFonts w:cs="Tahoma"/>
                <w:lang w:val="sl-SI" w:eastAsia="en-GB"/>
              </w:rPr>
            </w:pPr>
            <w:r w:rsidRPr="00F769E0">
              <w:rPr>
                <w:rFonts w:cs="Tahoma"/>
                <w:lang w:val="sl-SI" w:eastAsia="en-GB"/>
              </w:rPr>
              <w:t>Učenci/dijaki, stari 14 let ali več in vpisani na sodelujočo šolo v državi Programa.</w:t>
            </w:r>
          </w:p>
        </w:tc>
      </w:tr>
      <w:tr w:rsidR="00E03711" w:rsidRPr="008C6F8C" w14:paraId="7D39915E" w14:textId="77777777" w:rsidTr="00870F21">
        <w:trPr>
          <w:trHeight w:val="57"/>
        </w:trPr>
        <w:tc>
          <w:tcPr>
            <w:tcW w:w="2098" w:type="dxa"/>
            <w:tcBorders>
              <w:top w:val="dashed" w:sz="4" w:space="0" w:color="auto"/>
              <w:left w:val="single" w:sz="4" w:space="0" w:color="auto"/>
              <w:bottom w:val="single" w:sz="4" w:space="0" w:color="auto"/>
              <w:right w:val="single" w:sz="4" w:space="0" w:color="auto"/>
            </w:tcBorders>
            <w:shd w:val="clear" w:color="auto" w:fill="auto"/>
            <w:vAlign w:val="center"/>
          </w:tcPr>
          <w:p w14:paraId="7D39915C" w14:textId="77777777" w:rsidR="00E03711" w:rsidRPr="00F769E0" w:rsidRDefault="00E03711" w:rsidP="00360614">
            <w:pPr>
              <w:pStyle w:val="GUIDE-NORMAL"/>
              <w:spacing w:before="60" w:after="60"/>
              <w:rPr>
                <w:rFonts w:cs="Tahoma"/>
                <w:b/>
                <w:lang w:val="sl-SI" w:eastAsia="en-GB"/>
              </w:rPr>
            </w:pPr>
            <w:r w:rsidRPr="00F769E0">
              <w:rPr>
                <w:rFonts w:cs="Tahoma"/>
                <w:b/>
                <w:lang w:val="sl-SI" w:eastAsia="en-GB"/>
              </w:rPr>
              <w:t>Trajanje aktivnosti</w:t>
            </w:r>
          </w:p>
        </w:tc>
        <w:tc>
          <w:tcPr>
            <w:tcW w:w="6973" w:type="dxa"/>
            <w:tcBorders>
              <w:top w:val="dashed" w:sz="4" w:space="0" w:color="auto"/>
              <w:left w:val="single" w:sz="4" w:space="0" w:color="auto"/>
              <w:bottom w:val="single" w:sz="4" w:space="0" w:color="auto"/>
              <w:right w:val="single" w:sz="4" w:space="0" w:color="auto"/>
            </w:tcBorders>
          </w:tcPr>
          <w:p w14:paraId="7D39915D" w14:textId="77777777" w:rsidR="00E03711" w:rsidRPr="00F769E0" w:rsidRDefault="00E03711" w:rsidP="00360614">
            <w:pPr>
              <w:pStyle w:val="GUIDE-NORMAL"/>
              <w:spacing w:before="60" w:after="60"/>
              <w:rPr>
                <w:rFonts w:cs="Tahoma"/>
                <w:lang w:val="sl-SI" w:eastAsia="en-GB"/>
              </w:rPr>
            </w:pPr>
            <w:r w:rsidRPr="00F769E0">
              <w:rPr>
                <w:rFonts w:cs="Tahoma"/>
                <w:lang w:val="sl-SI" w:eastAsia="en-GB"/>
              </w:rPr>
              <w:t>Od 2 do 12 mesecev</w:t>
            </w:r>
          </w:p>
        </w:tc>
      </w:tr>
    </w:tbl>
    <w:p w14:paraId="7D39915F" w14:textId="77777777" w:rsidR="00E03711" w:rsidRPr="001048FE" w:rsidRDefault="00E03711" w:rsidP="00920430">
      <w:pPr>
        <w:pStyle w:val="GUIDE-NORMAL"/>
        <w:rPr>
          <w:b/>
          <w:lang w:val="sl-SI"/>
        </w:rPr>
      </w:pPr>
      <w:r w:rsidRPr="001048FE">
        <w:rPr>
          <w:b/>
          <w:lang w:val="sl-SI"/>
        </w:rPr>
        <w:t>Dolgotrajna mobilnost mladinskih delavcev</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6973"/>
      </w:tblGrid>
      <w:tr w:rsidR="00E03711" w:rsidRPr="00C60205" w14:paraId="7D399162" w14:textId="77777777" w:rsidTr="00870F21">
        <w:trPr>
          <w:trHeight w:val="57"/>
        </w:trPr>
        <w:tc>
          <w:tcPr>
            <w:tcW w:w="2098" w:type="dxa"/>
            <w:tcBorders>
              <w:top w:val="dashed" w:sz="4" w:space="0" w:color="auto"/>
              <w:left w:val="single" w:sz="4" w:space="0" w:color="auto"/>
              <w:bottom w:val="dashed" w:sz="4" w:space="0" w:color="auto"/>
              <w:right w:val="single" w:sz="4" w:space="0" w:color="auto"/>
            </w:tcBorders>
            <w:shd w:val="clear" w:color="auto" w:fill="auto"/>
            <w:vAlign w:val="center"/>
          </w:tcPr>
          <w:p w14:paraId="7D399160" w14:textId="77777777" w:rsidR="00E03711" w:rsidRPr="00F769E0" w:rsidRDefault="00E03711" w:rsidP="00360614">
            <w:pPr>
              <w:pStyle w:val="GUIDE-NORMAL"/>
              <w:spacing w:before="60" w:after="60"/>
              <w:rPr>
                <w:rFonts w:cs="Tahoma"/>
                <w:b/>
                <w:lang w:val="sl-SI" w:eastAsia="en-GB"/>
              </w:rPr>
            </w:pPr>
            <w:r w:rsidRPr="00F769E0">
              <w:rPr>
                <w:rFonts w:cs="Tahoma"/>
                <w:b/>
                <w:lang w:val="sl-SI" w:eastAsia="en-GB"/>
              </w:rPr>
              <w:t>Upravičeni udeleženci</w:t>
            </w:r>
          </w:p>
        </w:tc>
        <w:tc>
          <w:tcPr>
            <w:tcW w:w="6973" w:type="dxa"/>
            <w:tcBorders>
              <w:top w:val="dashed" w:sz="4" w:space="0" w:color="auto"/>
              <w:left w:val="single" w:sz="4" w:space="0" w:color="auto"/>
              <w:bottom w:val="dashed" w:sz="4" w:space="0" w:color="auto"/>
              <w:right w:val="single" w:sz="4" w:space="0" w:color="auto"/>
            </w:tcBorders>
          </w:tcPr>
          <w:p w14:paraId="7D399161" w14:textId="77777777" w:rsidR="00E03711" w:rsidRPr="00F769E0" w:rsidRDefault="00E03711" w:rsidP="00360614">
            <w:pPr>
              <w:pStyle w:val="GUIDE-NORMAL"/>
              <w:spacing w:before="60" w:after="60"/>
              <w:rPr>
                <w:rFonts w:cs="Tahoma"/>
                <w:lang w:val="sl-SI" w:eastAsia="en-GB"/>
              </w:rPr>
            </w:pPr>
            <w:r w:rsidRPr="00F769E0">
              <w:rPr>
                <w:rFonts w:cs="Tahoma"/>
                <w:lang w:val="sl-SI" w:eastAsia="en-GB"/>
              </w:rPr>
              <w:t>Mladinski delavci iz držav Programa.</w:t>
            </w:r>
          </w:p>
        </w:tc>
      </w:tr>
      <w:tr w:rsidR="00E03711" w:rsidRPr="008C6F8C" w14:paraId="7D399165" w14:textId="77777777" w:rsidTr="00870F21">
        <w:trPr>
          <w:trHeight w:val="57"/>
        </w:trPr>
        <w:tc>
          <w:tcPr>
            <w:tcW w:w="2098" w:type="dxa"/>
            <w:tcBorders>
              <w:top w:val="dashed" w:sz="4" w:space="0" w:color="auto"/>
              <w:left w:val="single" w:sz="4" w:space="0" w:color="auto"/>
              <w:bottom w:val="single" w:sz="4" w:space="0" w:color="auto"/>
              <w:right w:val="single" w:sz="4" w:space="0" w:color="auto"/>
            </w:tcBorders>
            <w:shd w:val="clear" w:color="auto" w:fill="auto"/>
            <w:vAlign w:val="center"/>
          </w:tcPr>
          <w:p w14:paraId="7D399163" w14:textId="77777777" w:rsidR="00E03711" w:rsidRPr="00F769E0" w:rsidRDefault="00E03711" w:rsidP="00360614">
            <w:pPr>
              <w:pStyle w:val="GUIDE-NORMAL"/>
              <w:spacing w:before="60" w:after="60"/>
              <w:rPr>
                <w:rFonts w:cs="Tahoma"/>
                <w:b/>
                <w:lang w:val="sl-SI" w:eastAsia="en-GB"/>
              </w:rPr>
            </w:pPr>
            <w:r w:rsidRPr="00F769E0">
              <w:rPr>
                <w:rFonts w:cs="Tahoma"/>
                <w:b/>
                <w:lang w:val="sl-SI" w:eastAsia="en-GB"/>
              </w:rPr>
              <w:t>Trajanje aktivnosti</w:t>
            </w:r>
          </w:p>
        </w:tc>
        <w:tc>
          <w:tcPr>
            <w:tcW w:w="6973" w:type="dxa"/>
            <w:tcBorders>
              <w:top w:val="dashed" w:sz="4" w:space="0" w:color="auto"/>
              <w:left w:val="single" w:sz="4" w:space="0" w:color="auto"/>
              <w:bottom w:val="single" w:sz="4" w:space="0" w:color="auto"/>
              <w:right w:val="single" w:sz="4" w:space="0" w:color="auto"/>
            </w:tcBorders>
          </w:tcPr>
          <w:p w14:paraId="7D399164" w14:textId="77777777" w:rsidR="00E03711" w:rsidRPr="00F769E0" w:rsidRDefault="00E03711" w:rsidP="00360614">
            <w:pPr>
              <w:pStyle w:val="GUIDE-NORMAL"/>
              <w:spacing w:before="60" w:after="60"/>
              <w:rPr>
                <w:rFonts w:cs="Tahoma"/>
                <w:lang w:val="sl-SI" w:eastAsia="en-GB"/>
              </w:rPr>
            </w:pPr>
            <w:r w:rsidRPr="00F769E0">
              <w:rPr>
                <w:rFonts w:cs="Tahoma"/>
                <w:lang w:val="sl-SI" w:eastAsia="en-GB"/>
              </w:rPr>
              <w:t>Od 2 do 12 mesecev</w:t>
            </w:r>
          </w:p>
        </w:tc>
      </w:tr>
    </w:tbl>
    <w:p w14:paraId="7D399166" w14:textId="77777777" w:rsidR="00E03711" w:rsidRPr="001048FE" w:rsidRDefault="00E03711" w:rsidP="0081762A">
      <w:pPr>
        <w:pStyle w:val="GUIDE-NORMAL"/>
        <w:rPr>
          <w:lang w:val="sl-SI"/>
        </w:rPr>
      </w:pPr>
      <w:r w:rsidRPr="001048FE">
        <w:rPr>
          <w:lang w:val="sl-SI"/>
        </w:rPr>
        <w:t xml:space="preserve">Organizacije prijaviteljice bodo ocenjene z ustreznimi </w:t>
      </w:r>
      <w:r w:rsidRPr="001048FE">
        <w:rPr>
          <w:b/>
          <w:lang w:val="sl-SI"/>
        </w:rPr>
        <w:t>merili za izključitev in izbor</w:t>
      </w:r>
      <w:r w:rsidRPr="001048FE">
        <w:rPr>
          <w:lang w:val="sl-SI"/>
        </w:rPr>
        <w:t>. Za več informacij glej del C tega vodnika.</w:t>
      </w:r>
    </w:p>
    <w:p w14:paraId="7D399167" w14:textId="77777777" w:rsidR="00E03711" w:rsidRPr="001048FE" w:rsidRDefault="00E03711" w:rsidP="008373DE">
      <w:pPr>
        <w:pStyle w:val="Guide-Heading6"/>
        <w:rPr>
          <w:lang w:val="sl-SI"/>
        </w:rPr>
      </w:pPr>
      <w:r w:rsidRPr="001048FE">
        <w:rPr>
          <w:lang w:val="sl-SI"/>
        </w:rPr>
        <w:t>Merila za dodelitev</w:t>
      </w:r>
    </w:p>
    <w:p w14:paraId="7D399168" w14:textId="77777777" w:rsidR="00E03711" w:rsidRPr="001048FE" w:rsidRDefault="00E03711" w:rsidP="0081762A">
      <w:pPr>
        <w:pStyle w:val="GUIDE-NORMAL"/>
        <w:rPr>
          <w:lang w:val="sl-SI"/>
        </w:rPr>
      </w:pPr>
      <w:r w:rsidRPr="001048FE">
        <w:rPr>
          <w:lang w:val="sl-SI"/>
        </w:rPr>
        <w:t>V skladu s cilji projekta, sodelujočimi organizacijami, pričakovanim učinkom in drugimi elementi so lahko strateška partnerstva različnih velikosti in temu primerno prilagajajo svoje aktivnosti. Če poenostavimo, ta ukrep sodelujočim organizacijam omogoča, da pridobijo izkušnje v mednarodnem sodelovanju, okrepijo svoje zmogljivosti ter hkrati dosežejo visokokakovostne in inovativne rezultate. Ocena kakovosti projekta bo sorazmerna s cilji sodelovanja in naravo vključenih organizacij.</w:t>
      </w:r>
    </w:p>
    <w:p w14:paraId="7D399169" w14:textId="77777777" w:rsidR="00E03711" w:rsidRPr="001048FE" w:rsidRDefault="00E03711" w:rsidP="0081762A">
      <w:pPr>
        <w:pStyle w:val="GUIDE-NORMAL"/>
        <w:rPr>
          <w:lang w:val="sl-SI"/>
        </w:rPr>
      </w:pPr>
      <w:r w:rsidRPr="001048FE">
        <w:rPr>
          <w:lang w:val="sl-SI"/>
        </w:rPr>
        <w:t>Projekti bodo ocenjeni z naslednjimi merili:</w:t>
      </w:r>
    </w:p>
    <w:tbl>
      <w:tblPr>
        <w:tblW w:w="5000" w:type="pct"/>
        <w:shd w:val="clear" w:color="auto" w:fill="FFFFFF"/>
        <w:tblLook w:val="0000" w:firstRow="0" w:lastRow="0" w:firstColumn="0" w:lastColumn="0" w:noHBand="0" w:noVBand="0"/>
      </w:tblPr>
      <w:tblGrid>
        <w:gridCol w:w="1568"/>
        <w:gridCol w:w="7722"/>
      </w:tblGrid>
      <w:tr w:rsidR="00E03711" w:rsidRPr="00C60205" w14:paraId="7D399175" w14:textId="77777777" w:rsidTr="00065AB7">
        <w:trPr>
          <w:trHeight w:val="510"/>
        </w:trPr>
        <w:tc>
          <w:tcPr>
            <w:tcW w:w="844" w:type="pct"/>
            <w:tcBorders>
              <w:top w:val="dashed" w:sz="4" w:space="0" w:color="auto"/>
              <w:left w:val="single" w:sz="4" w:space="0" w:color="auto"/>
              <w:bottom w:val="single" w:sz="8" w:space="0" w:color="auto"/>
              <w:right w:val="single" w:sz="8" w:space="0" w:color="auto"/>
            </w:tcBorders>
            <w:shd w:val="clear" w:color="auto" w:fill="FFFFFF"/>
            <w:vAlign w:val="center"/>
          </w:tcPr>
          <w:p w14:paraId="7D39916A" w14:textId="77777777" w:rsidR="00E03711" w:rsidRPr="00F769E0" w:rsidRDefault="00E03711" w:rsidP="00FD307D">
            <w:pPr>
              <w:pStyle w:val="GUIDE-NORMAL"/>
              <w:spacing w:before="60" w:after="60"/>
              <w:jc w:val="left"/>
              <w:rPr>
                <w:rFonts w:cs="Tahoma"/>
                <w:b/>
                <w:lang w:val="sl-SI" w:eastAsia="en-GB"/>
              </w:rPr>
            </w:pPr>
            <w:r w:rsidRPr="00F769E0">
              <w:rPr>
                <w:rFonts w:cs="Tahoma"/>
                <w:b/>
                <w:lang w:val="sl-SI" w:eastAsia="en-GB"/>
              </w:rPr>
              <w:t xml:space="preserve">Ustreznost projekta </w:t>
            </w:r>
            <w:r w:rsidRPr="00F769E0">
              <w:rPr>
                <w:rFonts w:cs="Tahoma"/>
                <w:b/>
                <w:lang w:val="sl-SI" w:eastAsia="en-GB"/>
              </w:rPr>
              <w:br/>
              <w:t>(največ 30 točk)</w:t>
            </w:r>
          </w:p>
        </w:tc>
        <w:tc>
          <w:tcPr>
            <w:tcW w:w="4156" w:type="pct"/>
            <w:tcBorders>
              <w:top w:val="dashed" w:sz="4" w:space="0" w:color="auto"/>
              <w:left w:val="nil"/>
              <w:bottom w:val="single" w:sz="8" w:space="0" w:color="auto"/>
              <w:right w:val="single" w:sz="8" w:space="0" w:color="auto"/>
            </w:tcBorders>
            <w:shd w:val="clear" w:color="auto" w:fill="FFFFFF"/>
          </w:tcPr>
          <w:p w14:paraId="7D39916B" w14:textId="77777777" w:rsidR="00E03711" w:rsidRPr="00F769E0" w:rsidRDefault="00E03711" w:rsidP="00FD307D">
            <w:pPr>
              <w:pStyle w:val="GUIDE-NORMAL"/>
              <w:spacing w:before="60" w:after="60"/>
              <w:rPr>
                <w:rFonts w:cs="Tahoma"/>
                <w:lang w:val="sl-SI" w:eastAsia="en-GB"/>
              </w:rPr>
            </w:pPr>
            <w:r w:rsidRPr="00F769E0">
              <w:rPr>
                <w:rFonts w:cs="Tahoma"/>
                <w:lang w:val="sl-SI" w:eastAsia="en-GB"/>
              </w:rPr>
              <w:t>Ustreznost predloga v zvezi</w:t>
            </w:r>
            <w:r w:rsidRPr="00F769E0">
              <w:rPr>
                <w:rFonts w:cs="Tahoma"/>
                <w:spacing w:val="6"/>
                <w:lang w:val="sl-SI" w:eastAsia="en-GB"/>
              </w:rPr>
              <w:t xml:space="preserve"> </w:t>
            </w:r>
            <w:r w:rsidRPr="00F769E0">
              <w:rPr>
                <w:rFonts w:cs="Tahoma"/>
                <w:lang w:val="sl-SI" w:eastAsia="en-GB"/>
              </w:rPr>
              <w:t>s:</w:t>
            </w:r>
          </w:p>
          <w:p w14:paraId="7D39916C" w14:textId="77777777" w:rsidR="00E03711" w:rsidRPr="001048FE" w:rsidRDefault="00E03711" w:rsidP="005115F2">
            <w:pPr>
              <w:pStyle w:val="Guide-NormalBulletpoints"/>
              <w:numPr>
                <w:ilvl w:val="0"/>
                <w:numId w:val="261"/>
              </w:numPr>
              <w:spacing w:before="60"/>
              <w:rPr>
                <w:lang w:val="sl-SI"/>
              </w:rPr>
            </w:pPr>
            <w:r w:rsidRPr="001048FE">
              <w:rPr>
                <w:lang w:val="sl-SI"/>
              </w:rPr>
              <w:t>cilji in prednostnimi nalogami ukrepa (glej poglavje „Kakšni so cilji in prednostne naloge strateškega</w:t>
            </w:r>
            <w:r w:rsidRPr="001048FE">
              <w:rPr>
                <w:spacing w:val="-12"/>
                <w:lang w:val="sl-SI"/>
              </w:rPr>
              <w:t xml:space="preserve"> </w:t>
            </w:r>
            <w:r w:rsidRPr="001048FE">
              <w:rPr>
                <w:lang w:val="sl-SI"/>
              </w:rPr>
              <w:t>partnerstva?“).</w:t>
            </w:r>
          </w:p>
          <w:p w14:paraId="7D39916D" w14:textId="77777777" w:rsidR="00E03711" w:rsidRPr="001048FE" w:rsidRDefault="00E03711" w:rsidP="005115F2">
            <w:pPr>
              <w:pStyle w:val="Guide-NormalBulletpoints"/>
              <w:numPr>
                <w:ilvl w:val="0"/>
                <w:numId w:val="261"/>
              </w:numPr>
              <w:spacing w:before="60"/>
              <w:rPr>
                <w:lang w:val="sl-SI"/>
              </w:rPr>
            </w:pPr>
            <w:r w:rsidRPr="001048FE">
              <w:rPr>
                <w:lang w:val="sl-SI"/>
              </w:rPr>
              <w:t>Če</w:t>
            </w:r>
            <w:r w:rsidRPr="001048FE">
              <w:rPr>
                <w:spacing w:val="-15"/>
                <w:lang w:val="sl-SI"/>
              </w:rPr>
              <w:t xml:space="preserve"> </w:t>
            </w:r>
            <w:r w:rsidRPr="001048FE">
              <w:rPr>
                <w:lang w:val="sl-SI"/>
              </w:rPr>
              <w:t>predlog</w:t>
            </w:r>
            <w:r w:rsidRPr="001048FE">
              <w:rPr>
                <w:spacing w:val="-15"/>
                <w:lang w:val="sl-SI"/>
              </w:rPr>
              <w:t xml:space="preserve"> </w:t>
            </w:r>
            <w:r w:rsidRPr="001048FE">
              <w:rPr>
                <w:lang w:val="sl-SI"/>
              </w:rPr>
              <w:t>obravnava</w:t>
            </w:r>
            <w:r w:rsidRPr="001048FE">
              <w:rPr>
                <w:spacing w:val="-14"/>
                <w:lang w:val="sl-SI"/>
              </w:rPr>
              <w:t xml:space="preserve"> </w:t>
            </w:r>
            <w:r w:rsidRPr="001048FE">
              <w:rPr>
                <w:lang w:val="sl-SI"/>
              </w:rPr>
              <w:t>prečno</w:t>
            </w:r>
            <w:r w:rsidRPr="001048FE">
              <w:rPr>
                <w:spacing w:val="-15"/>
                <w:lang w:val="sl-SI"/>
              </w:rPr>
              <w:t xml:space="preserve"> </w:t>
            </w:r>
            <w:r w:rsidRPr="001048FE">
              <w:rPr>
                <w:lang w:val="sl-SI"/>
              </w:rPr>
              <w:t>prednostno</w:t>
            </w:r>
            <w:r w:rsidRPr="001048FE">
              <w:rPr>
                <w:spacing w:val="-15"/>
                <w:lang w:val="sl-SI"/>
              </w:rPr>
              <w:t xml:space="preserve"> </w:t>
            </w:r>
            <w:r w:rsidRPr="001048FE">
              <w:rPr>
                <w:lang w:val="sl-SI"/>
              </w:rPr>
              <w:t>nalogo</w:t>
            </w:r>
            <w:r w:rsidRPr="001048FE">
              <w:rPr>
                <w:spacing w:val="-15"/>
                <w:lang w:val="sl-SI"/>
              </w:rPr>
              <w:t xml:space="preserve"> </w:t>
            </w:r>
            <w:r w:rsidRPr="001048FE">
              <w:rPr>
                <w:lang w:val="sl-SI"/>
              </w:rPr>
              <w:t>„</w:t>
            </w:r>
            <w:r>
              <w:rPr>
                <w:lang w:val="sl-SI"/>
              </w:rPr>
              <w:t>socialna vključenost</w:t>
            </w:r>
            <w:r w:rsidRPr="001048FE">
              <w:rPr>
                <w:lang w:val="sl-SI"/>
              </w:rPr>
              <w:t>“,</w:t>
            </w:r>
            <w:r w:rsidRPr="001048FE">
              <w:rPr>
                <w:spacing w:val="-15"/>
                <w:lang w:val="sl-SI"/>
              </w:rPr>
              <w:t xml:space="preserve"> </w:t>
            </w:r>
            <w:r w:rsidRPr="001048FE">
              <w:rPr>
                <w:lang w:val="sl-SI"/>
              </w:rPr>
              <w:t>bo</w:t>
            </w:r>
            <w:r w:rsidRPr="001048FE">
              <w:rPr>
                <w:spacing w:val="-15"/>
                <w:lang w:val="sl-SI"/>
              </w:rPr>
              <w:t xml:space="preserve"> </w:t>
            </w:r>
            <w:r w:rsidRPr="001048FE">
              <w:rPr>
                <w:lang w:val="sl-SI"/>
              </w:rPr>
              <w:t>obravnavan</w:t>
            </w:r>
            <w:r w:rsidRPr="001048FE">
              <w:rPr>
                <w:spacing w:val="-15"/>
                <w:lang w:val="sl-SI"/>
              </w:rPr>
              <w:t xml:space="preserve"> </w:t>
            </w:r>
            <w:r w:rsidRPr="001048FE">
              <w:rPr>
                <w:lang w:val="sl-SI"/>
              </w:rPr>
              <w:t>kot</w:t>
            </w:r>
            <w:r w:rsidRPr="001048FE">
              <w:rPr>
                <w:spacing w:val="-15"/>
                <w:lang w:val="sl-SI"/>
              </w:rPr>
              <w:t xml:space="preserve"> </w:t>
            </w:r>
            <w:r w:rsidRPr="001048FE">
              <w:rPr>
                <w:lang w:val="sl-SI"/>
              </w:rPr>
              <w:t>zelo ustrezen.</w:t>
            </w:r>
          </w:p>
          <w:p w14:paraId="7D39916E" w14:textId="77777777" w:rsidR="00E03711" w:rsidRPr="001048FE" w:rsidRDefault="00E03711" w:rsidP="005115F2">
            <w:pPr>
              <w:pStyle w:val="Guide-NormalBulletpoints"/>
              <w:numPr>
                <w:ilvl w:val="0"/>
                <w:numId w:val="261"/>
              </w:numPr>
              <w:spacing w:before="60"/>
              <w:rPr>
                <w:lang w:val="sl-SI"/>
              </w:rPr>
            </w:pPr>
            <w:r w:rsidRPr="001048FE">
              <w:rPr>
                <w:lang w:val="sl-SI"/>
              </w:rPr>
              <w:t>Če</w:t>
            </w:r>
            <w:r w:rsidRPr="001048FE">
              <w:rPr>
                <w:spacing w:val="-12"/>
                <w:lang w:val="sl-SI"/>
              </w:rPr>
              <w:t xml:space="preserve"> </w:t>
            </w:r>
            <w:r w:rsidRPr="001048FE">
              <w:rPr>
                <w:lang w:val="sl-SI"/>
              </w:rPr>
              <w:t>predlog</w:t>
            </w:r>
            <w:r w:rsidRPr="001048FE">
              <w:rPr>
                <w:spacing w:val="-12"/>
                <w:lang w:val="sl-SI"/>
              </w:rPr>
              <w:t xml:space="preserve"> </w:t>
            </w:r>
            <w:r w:rsidRPr="001048FE">
              <w:rPr>
                <w:lang w:val="sl-SI"/>
              </w:rPr>
              <w:t>obravnava</w:t>
            </w:r>
            <w:r w:rsidRPr="001048FE">
              <w:rPr>
                <w:spacing w:val="-11"/>
                <w:lang w:val="sl-SI"/>
              </w:rPr>
              <w:t xml:space="preserve"> </w:t>
            </w:r>
            <w:r w:rsidRPr="001048FE">
              <w:rPr>
                <w:lang w:val="sl-SI"/>
              </w:rPr>
              <w:t>eno</w:t>
            </w:r>
            <w:r w:rsidRPr="001048FE">
              <w:rPr>
                <w:spacing w:val="-12"/>
                <w:lang w:val="sl-SI"/>
              </w:rPr>
              <w:t xml:space="preserve"> </w:t>
            </w:r>
            <w:r w:rsidRPr="001048FE">
              <w:rPr>
                <w:lang w:val="sl-SI"/>
              </w:rPr>
              <w:t>ali</w:t>
            </w:r>
            <w:r w:rsidRPr="001048FE">
              <w:rPr>
                <w:spacing w:val="-12"/>
                <w:lang w:val="sl-SI"/>
              </w:rPr>
              <w:t xml:space="preserve"> </w:t>
            </w:r>
            <w:r w:rsidRPr="001048FE">
              <w:rPr>
                <w:lang w:val="sl-SI"/>
              </w:rPr>
              <w:t>več</w:t>
            </w:r>
            <w:r w:rsidRPr="001048FE">
              <w:rPr>
                <w:spacing w:val="-12"/>
                <w:lang w:val="sl-SI"/>
              </w:rPr>
              <w:t xml:space="preserve"> </w:t>
            </w:r>
            <w:r w:rsidRPr="001048FE">
              <w:rPr>
                <w:lang w:val="sl-SI"/>
              </w:rPr>
              <w:t>„evropskih</w:t>
            </w:r>
            <w:r w:rsidRPr="001048FE">
              <w:rPr>
                <w:spacing w:val="-12"/>
                <w:lang w:val="sl-SI"/>
              </w:rPr>
              <w:t xml:space="preserve"> </w:t>
            </w:r>
            <w:r w:rsidRPr="001048FE">
              <w:rPr>
                <w:lang w:val="sl-SI"/>
              </w:rPr>
              <w:t>prednostnih nalog v nacionalnem okviru“, kot jih razglasi nacionalna agencija, bo obravnavan kot zelo</w:t>
            </w:r>
            <w:r w:rsidRPr="001048FE">
              <w:rPr>
                <w:spacing w:val="-26"/>
                <w:lang w:val="sl-SI"/>
              </w:rPr>
              <w:t xml:space="preserve"> </w:t>
            </w:r>
            <w:r w:rsidRPr="001048FE">
              <w:rPr>
                <w:lang w:val="sl-SI"/>
              </w:rPr>
              <w:t>ustrezen.</w:t>
            </w:r>
          </w:p>
          <w:p w14:paraId="7D39916F" w14:textId="77777777" w:rsidR="00E03711" w:rsidRPr="00F769E0" w:rsidRDefault="00E03711" w:rsidP="00FD307D">
            <w:pPr>
              <w:pStyle w:val="GUIDE-NORMAL"/>
              <w:spacing w:before="60" w:after="60"/>
              <w:rPr>
                <w:rFonts w:cs="Tahoma"/>
                <w:lang w:val="sl-SI" w:eastAsia="en-GB"/>
              </w:rPr>
            </w:pPr>
            <w:r w:rsidRPr="00F769E0">
              <w:rPr>
                <w:rFonts w:cs="Tahoma"/>
                <w:lang w:val="sl-SI" w:eastAsia="en-GB"/>
              </w:rPr>
              <w:t>V kolikšni</w:t>
            </w:r>
            <w:r w:rsidRPr="00F769E0">
              <w:rPr>
                <w:rFonts w:cs="Tahoma"/>
                <w:spacing w:val="-4"/>
                <w:lang w:val="sl-SI" w:eastAsia="en-GB"/>
              </w:rPr>
              <w:t xml:space="preserve"> </w:t>
            </w:r>
            <w:r w:rsidRPr="00F769E0">
              <w:rPr>
                <w:rFonts w:cs="Tahoma"/>
                <w:lang w:val="sl-SI" w:eastAsia="en-GB"/>
              </w:rPr>
              <w:t>meri:</w:t>
            </w:r>
          </w:p>
          <w:p w14:paraId="7D399170" w14:textId="77777777" w:rsidR="00E03711" w:rsidRPr="001048FE" w:rsidRDefault="00E03711" w:rsidP="005115F2">
            <w:pPr>
              <w:pStyle w:val="Guide-NormalBulletpoints"/>
              <w:numPr>
                <w:ilvl w:val="0"/>
                <w:numId w:val="262"/>
              </w:numPr>
              <w:spacing w:before="60"/>
              <w:rPr>
                <w:lang w:val="sl-SI"/>
              </w:rPr>
            </w:pPr>
            <w:r w:rsidRPr="001048FE">
              <w:rPr>
                <w:lang w:val="sl-SI"/>
              </w:rPr>
              <w:t>predlog temelji na pravi in ustrezni analizi</w:t>
            </w:r>
            <w:r w:rsidRPr="001048FE">
              <w:rPr>
                <w:spacing w:val="-6"/>
                <w:lang w:val="sl-SI"/>
              </w:rPr>
              <w:t xml:space="preserve"> </w:t>
            </w:r>
            <w:r w:rsidRPr="001048FE">
              <w:rPr>
                <w:lang w:val="sl-SI"/>
              </w:rPr>
              <w:t>potreb;</w:t>
            </w:r>
          </w:p>
          <w:p w14:paraId="7D399171" w14:textId="77777777" w:rsidR="00E03711" w:rsidRPr="001048FE" w:rsidRDefault="00E03711" w:rsidP="005115F2">
            <w:pPr>
              <w:pStyle w:val="Guide-NormalBulletpoints"/>
              <w:numPr>
                <w:ilvl w:val="0"/>
                <w:numId w:val="262"/>
              </w:numPr>
              <w:spacing w:before="60"/>
              <w:rPr>
                <w:lang w:val="sl-SI"/>
              </w:rPr>
            </w:pPr>
            <w:r w:rsidRPr="001048FE">
              <w:rPr>
                <w:lang w:val="sl-SI"/>
              </w:rPr>
              <w:t>so cilji jasno opredeljeni in realistični ter obravnavajo vprašanja,</w:t>
            </w:r>
            <w:r w:rsidRPr="001048FE">
              <w:rPr>
                <w:spacing w:val="-19"/>
                <w:lang w:val="sl-SI"/>
              </w:rPr>
              <w:t xml:space="preserve"> </w:t>
            </w:r>
            <w:r w:rsidRPr="001048FE">
              <w:rPr>
                <w:lang w:val="sl-SI"/>
              </w:rPr>
              <w:t>ki</w:t>
            </w:r>
            <w:r w:rsidRPr="001048FE">
              <w:rPr>
                <w:spacing w:val="-19"/>
                <w:lang w:val="sl-SI"/>
              </w:rPr>
              <w:t xml:space="preserve"> </w:t>
            </w:r>
            <w:r w:rsidRPr="001048FE">
              <w:rPr>
                <w:lang w:val="sl-SI"/>
              </w:rPr>
              <w:t>so</w:t>
            </w:r>
            <w:r w:rsidRPr="001048FE">
              <w:rPr>
                <w:spacing w:val="-19"/>
                <w:lang w:val="sl-SI"/>
              </w:rPr>
              <w:t xml:space="preserve"> </w:t>
            </w:r>
            <w:r w:rsidRPr="001048FE">
              <w:rPr>
                <w:lang w:val="sl-SI"/>
              </w:rPr>
              <w:t>pomembna</w:t>
            </w:r>
            <w:r w:rsidRPr="001048FE">
              <w:rPr>
                <w:spacing w:val="-19"/>
                <w:lang w:val="sl-SI"/>
              </w:rPr>
              <w:t xml:space="preserve"> </w:t>
            </w:r>
            <w:r w:rsidRPr="001048FE">
              <w:rPr>
                <w:lang w:val="sl-SI"/>
              </w:rPr>
              <w:t>za</w:t>
            </w:r>
            <w:r w:rsidRPr="001048FE">
              <w:rPr>
                <w:spacing w:val="-19"/>
                <w:lang w:val="sl-SI"/>
              </w:rPr>
              <w:t xml:space="preserve"> </w:t>
            </w:r>
            <w:r w:rsidRPr="001048FE">
              <w:rPr>
                <w:lang w:val="sl-SI"/>
              </w:rPr>
              <w:t>sodelujoče</w:t>
            </w:r>
            <w:r w:rsidRPr="001048FE">
              <w:rPr>
                <w:spacing w:val="-19"/>
                <w:lang w:val="sl-SI"/>
              </w:rPr>
              <w:t xml:space="preserve"> </w:t>
            </w:r>
            <w:r w:rsidRPr="001048FE">
              <w:rPr>
                <w:lang w:val="sl-SI"/>
              </w:rPr>
              <w:t>organizacije</w:t>
            </w:r>
            <w:r w:rsidRPr="001048FE">
              <w:rPr>
                <w:spacing w:val="-18"/>
                <w:lang w:val="sl-SI"/>
              </w:rPr>
              <w:t xml:space="preserve"> </w:t>
            </w:r>
            <w:r w:rsidRPr="001048FE">
              <w:rPr>
                <w:lang w:val="sl-SI"/>
              </w:rPr>
              <w:t>in</w:t>
            </w:r>
            <w:r w:rsidRPr="001048FE">
              <w:rPr>
                <w:spacing w:val="-19"/>
                <w:lang w:val="sl-SI"/>
              </w:rPr>
              <w:t xml:space="preserve"> </w:t>
            </w:r>
            <w:r w:rsidRPr="001048FE">
              <w:rPr>
                <w:lang w:val="sl-SI"/>
              </w:rPr>
              <w:t>ciljne skupine;</w:t>
            </w:r>
          </w:p>
          <w:p w14:paraId="7D399172" w14:textId="77777777" w:rsidR="00E03711" w:rsidRPr="001048FE" w:rsidRDefault="00E03711" w:rsidP="005115F2">
            <w:pPr>
              <w:pStyle w:val="Guide-NormalBulletpoints"/>
              <w:numPr>
                <w:ilvl w:val="0"/>
                <w:numId w:val="262"/>
              </w:numPr>
              <w:spacing w:before="60"/>
              <w:rPr>
                <w:lang w:val="sl-SI"/>
              </w:rPr>
            </w:pPr>
            <w:r w:rsidRPr="001048FE">
              <w:rPr>
                <w:lang w:val="sl-SI"/>
              </w:rPr>
              <w:t>je</w:t>
            </w:r>
            <w:r w:rsidRPr="001048FE">
              <w:rPr>
                <w:spacing w:val="-9"/>
                <w:lang w:val="sl-SI"/>
              </w:rPr>
              <w:t xml:space="preserve"> </w:t>
            </w:r>
            <w:r w:rsidRPr="001048FE">
              <w:rPr>
                <w:lang w:val="sl-SI"/>
              </w:rPr>
              <w:t>predlog</w:t>
            </w:r>
            <w:r w:rsidRPr="001048FE">
              <w:rPr>
                <w:spacing w:val="-9"/>
                <w:lang w:val="sl-SI"/>
              </w:rPr>
              <w:t xml:space="preserve"> </w:t>
            </w:r>
            <w:r w:rsidRPr="001048FE">
              <w:rPr>
                <w:lang w:val="sl-SI"/>
              </w:rPr>
              <w:t>ustrezen</w:t>
            </w:r>
            <w:r w:rsidRPr="001048FE">
              <w:rPr>
                <w:spacing w:val="-9"/>
                <w:lang w:val="sl-SI"/>
              </w:rPr>
              <w:t xml:space="preserve"> </w:t>
            </w:r>
            <w:r w:rsidRPr="001048FE">
              <w:rPr>
                <w:lang w:val="sl-SI"/>
              </w:rPr>
              <w:t>za</w:t>
            </w:r>
            <w:r w:rsidRPr="001048FE">
              <w:rPr>
                <w:spacing w:val="-9"/>
                <w:lang w:val="sl-SI"/>
              </w:rPr>
              <w:t xml:space="preserve"> </w:t>
            </w:r>
            <w:r w:rsidRPr="001048FE">
              <w:rPr>
                <w:lang w:val="sl-SI"/>
              </w:rPr>
              <w:t>uresničevanje</w:t>
            </w:r>
            <w:r w:rsidRPr="001048FE">
              <w:rPr>
                <w:spacing w:val="-9"/>
                <w:lang w:val="sl-SI"/>
              </w:rPr>
              <w:t xml:space="preserve"> </w:t>
            </w:r>
            <w:r w:rsidRPr="001048FE">
              <w:rPr>
                <w:lang w:val="sl-SI"/>
              </w:rPr>
              <w:t>sinergij</w:t>
            </w:r>
            <w:r w:rsidRPr="001048FE">
              <w:rPr>
                <w:spacing w:val="-9"/>
                <w:lang w:val="sl-SI"/>
              </w:rPr>
              <w:t xml:space="preserve"> </w:t>
            </w:r>
            <w:r w:rsidRPr="001048FE">
              <w:rPr>
                <w:lang w:val="sl-SI"/>
              </w:rPr>
              <w:t>med</w:t>
            </w:r>
            <w:r w:rsidRPr="001048FE">
              <w:rPr>
                <w:spacing w:val="-9"/>
                <w:lang w:val="sl-SI"/>
              </w:rPr>
              <w:t xml:space="preserve"> </w:t>
            </w:r>
            <w:r w:rsidRPr="001048FE">
              <w:rPr>
                <w:lang w:val="sl-SI"/>
              </w:rPr>
              <w:t>različnimi področji izobraževanja, usposabljanja in</w:t>
            </w:r>
            <w:r w:rsidRPr="001048FE">
              <w:rPr>
                <w:spacing w:val="-20"/>
                <w:lang w:val="sl-SI"/>
              </w:rPr>
              <w:t xml:space="preserve"> </w:t>
            </w:r>
            <w:r w:rsidRPr="001048FE">
              <w:rPr>
                <w:lang w:val="sl-SI"/>
              </w:rPr>
              <w:t>mladine;</w:t>
            </w:r>
          </w:p>
          <w:p w14:paraId="7D399173" w14:textId="77777777" w:rsidR="00E03711" w:rsidRPr="001048FE" w:rsidRDefault="00E03711" w:rsidP="005115F2">
            <w:pPr>
              <w:pStyle w:val="Guide-NormalBulletpoints"/>
              <w:numPr>
                <w:ilvl w:val="0"/>
                <w:numId w:val="262"/>
              </w:numPr>
              <w:spacing w:before="60"/>
              <w:rPr>
                <w:lang w:val="sl-SI"/>
              </w:rPr>
            </w:pPr>
            <w:r w:rsidRPr="001048FE">
              <w:rPr>
                <w:lang w:val="sl-SI"/>
              </w:rPr>
              <w:t>je predlog inovativen in/ali dopolnjuje druge pobude, ki jih že izvajajo sodelujoče</w:t>
            </w:r>
            <w:r w:rsidRPr="001048FE">
              <w:rPr>
                <w:spacing w:val="-7"/>
                <w:lang w:val="sl-SI"/>
              </w:rPr>
              <w:t xml:space="preserve"> </w:t>
            </w:r>
            <w:r w:rsidRPr="001048FE">
              <w:rPr>
                <w:lang w:val="sl-SI"/>
              </w:rPr>
              <w:t>organizacije;</w:t>
            </w:r>
          </w:p>
          <w:p w14:paraId="7D399174" w14:textId="77777777" w:rsidR="00E03711" w:rsidRPr="001048FE" w:rsidRDefault="00E03711" w:rsidP="005115F2">
            <w:pPr>
              <w:pStyle w:val="Guide-NormalBulletpoints"/>
              <w:numPr>
                <w:ilvl w:val="0"/>
                <w:numId w:val="262"/>
              </w:numPr>
              <w:spacing w:before="60"/>
              <w:rPr>
                <w:lang w:val="sl-SI"/>
              </w:rPr>
            </w:pPr>
            <w:r w:rsidRPr="001048FE">
              <w:rPr>
                <w:lang w:val="sl-SI"/>
              </w:rPr>
              <w:t>predlog</w:t>
            </w:r>
            <w:r w:rsidRPr="001048FE">
              <w:rPr>
                <w:spacing w:val="-6"/>
                <w:lang w:val="sl-SI"/>
              </w:rPr>
              <w:t xml:space="preserve"> </w:t>
            </w:r>
            <w:r w:rsidRPr="001048FE">
              <w:rPr>
                <w:lang w:val="sl-SI"/>
              </w:rPr>
              <w:t>prispeva</w:t>
            </w:r>
            <w:r w:rsidRPr="001048FE">
              <w:rPr>
                <w:spacing w:val="-6"/>
                <w:lang w:val="sl-SI"/>
              </w:rPr>
              <w:t xml:space="preserve"> </w:t>
            </w:r>
            <w:r w:rsidRPr="001048FE">
              <w:rPr>
                <w:lang w:val="sl-SI"/>
              </w:rPr>
              <w:t>dodano</w:t>
            </w:r>
            <w:r w:rsidRPr="001048FE">
              <w:rPr>
                <w:spacing w:val="-6"/>
                <w:lang w:val="sl-SI"/>
              </w:rPr>
              <w:t xml:space="preserve"> </w:t>
            </w:r>
            <w:r w:rsidRPr="001048FE">
              <w:rPr>
                <w:lang w:val="sl-SI"/>
              </w:rPr>
              <w:t>vrednost</w:t>
            </w:r>
            <w:r w:rsidRPr="001048FE">
              <w:rPr>
                <w:spacing w:val="-6"/>
                <w:lang w:val="sl-SI"/>
              </w:rPr>
              <w:t xml:space="preserve"> </w:t>
            </w:r>
            <w:r w:rsidRPr="001048FE">
              <w:rPr>
                <w:lang w:val="sl-SI"/>
              </w:rPr>
              <w:t>na</w:t>
            </w:r>
            <w:r w:rsidRPr="001048FE">
              <w:rPr>
                <w:spacing w:val="-6"/>
                <w:lang w:val="sl-SI"/>
              </w:rPr>
              <w:t xml:space="preserve"> </w:t>
            </w:r>
            <w:r w:rsidRPr="001048FE">
              <w:rPr>
                <w:lang w:val="sl-SI"/>
              </w:rPr>
              <w:t>ravni</w:t>
            </w:r>
            <w:r w:rsidRPr="001048FE">
              <w:rPr>
                <w:spacing w:val="-6"/>
                <w:lang w:val="sl-SI"/>
              </w:rPr>
              <w:t xml:space="preserve"> </w:t>
            </w:r>
            <w:r w:rsidRPr="001048FE">
              <w:rPr>
                <w:lang w:val="sl-SI"/>
              </w:rPr>
              <w:t>EU</w:t>
            </w:r>
            <w:r w:rsidRPr="001048FE">
              <w:rPr>
                <w:spacing w:val="-6"/>
                <w:lang w:val="sl-SI"/>
              </w:rPr>
              <w:t xml:space="preserve"> </w:t>
            </w:r>
            <w:r w:rsidRPr="001048FE">
              <w:rPr>
                <w:lang w:val="sl-SI"/>
              </w:rPr>
              <w:t>z</w:t>
            </w:r>
            <w:r w:rsidRPr="001048FE">
              <w:rPr>
                <w:spacing w:val="-6"/>
                <w:lang w:val="sl-SI"/>
              </w:rPr>
              <w:t xml:space="preserve"> </w:t>
            </w:r>
            <w:r w:rsidRPr="001048FE">
              <w:rPr>
                <w:lang w:val="sl-SI"/>
              </w:rPr>
              <w:t>rezultati,</w:t>
            </w:r>
            <w:r w:rsidRPr="001048FE">
              <w:rPr>
                <w:spacing w:val="-6"/>
                <w:lang w:val="sl-SI"/>
              </w:rPr>
              <w:t xml:space="preserve"> </w:t>
            </w:r>
            <w:r w:rsidRPr="001048FE">
              <w:rPr>
                <w:lang w:val="sl-SI"/>
              </w:rPr>
              <w:t>ki jih</w:t>
            </w:r>
            <w:r w:rsidRPr="001048FE">
              <w:rPr>
                <w:spacing w:val="-12"/>
                <w:lang w:val="sl-SI"/>
              </w:rPr>
              <w:t xml:space="preserve"> </w:t>
            </w:r>
            <w:r w:rsidRPr="001048FE">
              <w:rPr>
                <w:lang w:val="sl-SI"/>
              </w:rPr>
              <w:t>ne</w:t>
            </w:r>
            <w:r w:rsidRPr="001048FE">
              <w:rPr>
                <w:spacing w:val="-12"/>
                <w:lang w:val="sl-SI"/>
              </w:rPr>
              <w:t xml:space="preserve"> </w:t>
            </w:r>
            <w:r w:rsidRPr="001048FE">
              <w:rPr>
                <w:lang w:val="sl-SI"/>
              </w:rPr>
              <w:t>bi</w:t>
            </w:r>
            <w:r w:rsidRPr="001048FE">
              <w:rPr>
                <w:spacing w:val="-12"/>
                <w:lang w:val="sl-SI"/>
              </w:rPr>
              <w:t xml:space="preserve"> </w:t>
            </w:r>
            <w:r w:rsidRPr="001048FE">
              <w:rPr>
                <w:lang w:val="sl-SI"/>
              </w:rPr>
              <w:t>bilo</w:t>
            </w:r>
            <w:r w:rsidRPr="001048FE">
              <w:rPr>
                <w:spacing w:val="-12"/>
                <w:lang w:val="sl-SI"/>
              </w:rPr>
              <w:t xml:space="preserve"> </w:t>
            </w:r>
            <w:r w:rsidRPr="001048FE">
              <w:rPr>
                <w:lang w:val="sl-SI"/>
              </w:rPr>
              <w:t>mogoče</w:t>
            </w:r>
            <w:r w:rsidRPr="001048FE">
              <w:rPr>
                <w:spacing w:val="-12"/>
                <w:lang w:val="sl-SI"/>
              </w:rPr>
              <w:t xml:space="preserve"> </w:t>
            </w:r>
            <w:r w:rsidRPr="001048FE">
              <w:rPr>
                <w:lang w:val="sl-SI"/>
              </w:rPr>
              <w:t>doseči</w:t>
            </w:r>
            <w:r w:rsidRPr="001048FE">
              <w:rPr>
                <w:spacing w:val="-12"/>
                <w:lang w:val="sl-SI"/>
              </w:rPr>
              <w:t xml:space="preserve"> </w:t>
            </w:r>
            <w:r w:rsidRPr="001048FE">
              <w:rPr>
                <w:lang w:val="sl-SI"/>
              </w:rPr>
              <w:t>z</w:t>
            </w:r>
            <w:r w:rsidRPr="001048FE">
              <w:rPr>
                <w:spacing w:val="-12"/>
                <w:lang w:val="sl-SI"/>
              </w:rPr>
              <w:t xml:space="preserve"> </w:t>
            </w:r>
            <w:r w:rsidRPr="001048FE">
              <w:rPr>
                <w:lang w:val="sl-SI"/>
              </w:rPr>
              <w:t>izvajanjem</w:t>
            </w:r>
            <w:r w:rsidRPr="001048FE">
              <w:rPr>
                <w:spacing w:val="-12"/>
                <w:lang w:val="sl-SI"/>
              </w:rPr>
              <w:t xml:space="preserve"> </w:t>
            </w:r>
            <w:r w:rsidRPr="001048FE">
              <w:rPr>
                <w:lang w:val="sl-SI"/>
              </w:rPr>
              <w:t>aktivnosti</w:t>
            </w:r>
            <w:r w:rsidRPr="001048FE">
              <w:rPr>
                <w:spacing w:val="-12"/>
                <w:lang w:val="sl-SI"/>
              </w:rPr>
              <w:t xml:space="preserve"> </w:t>
            </w:r>
            <w:r w:rsidRPr="001048FE">
              <w:rPr>
                <w:lang w:val="sl-SI"/>
              </w:rPr>
              <w:t>v</w:t>
            </w:r>
            <w:r w:rsidRPr="001048FE">
              <w:rPr>
                <w:spacing w:val="-12"/>
                <w:lang w:val="sl-SI"/>
              </w:rPr>
              <w:t xml:space="preserve"> </w:t>
            </w:r>
            <w:r w:rsidRPr="001048FE">
              <w:rPr>
                <w:lang w:val="sl-SI"/>
              </w:rPr>
              <w:t>samo</w:t>
            </w:r>
            <w:r w:rsidRPr="001048FE">
              <w:rPr>
                <w:spacing w:val="-12"/>
                <w:lang w:val="sl-SI"/>
              </w:rPr>
              <w:t xml:space="preserve"> </w:t>
            </w:r>
            <w:r w:rsidRPr="001048FE">
              <w:rPr>
                <w:lang w:val="sl-SI"/>
              </w:rPr>
              <w:t>eni državi.</w:t>
            </w:r>
          </w:p>
        </w:tc>
      </w:tr>
      <w:tr w:rsidR="00E03711" w:rsidRPr="00C60205" w14:paraId="7D399184" w14:textId="77777777" w:rsidTr="00065AB7">
        <w:trPr>
          <w:trHeight w:val="510"/>
        </w:trPr>
        <w:tc>
          <w:tcPr>
            <w:tcW w:w="844" w:type="pct"/>
            <w:tcBorders>
              <w:top w:val="dashed" w:sz="4" w:space="0" w:color="auto"/>
              <w:left w:val="single" w:sz="4" w:space="0" w:color="auto"/>
              <w:bottom w:val="single" w:sz="8" w:space="0" w:color="auto"/>
              <w:right w:val="single" w:sz="8" w:space="0" w:color="auto"/>
            </w:tcBorders>
            <w:shd w:val="clear" w:color="auto" w:fill="FFFFFF"/>
            <w:vAlign w:val="center"/>
          </w:tcPr>
          <w:p w14:paraId="7D399176" w14:textId="77777777" w:rsidR="00E03711" w:rsidRPr="00F769E0" w:rsidRDefault="00E03711" w:rsidP="00FD307D">
            <w:pPr>
              <w:pStyle w:val="GUIDE-NORMAL"/>
              <w:spacing w:before="60" w:after="60"/>
              <w:jc w:val="left"/>
              <w:rPr>
                <w:rFonts w:cs="Tahoma"/>
                <w:b/>
                <w:lang w:val="sl-SI" w:eastAsia="en-GB"/>
              </w:rPr>
            </w:pPr>
            <w:r w:rsidRPr="00F769E0">
              <w:rPr>
                <w:rFonts w:cs="Tahoma"/>
                <w:b/>
                <w:lang w:val="sl-SI" w:eastAsia="en-GB"/>
              </w:rPr>
              <w:t>Kakovost zasnove in izvedbe projekta</w:t>
            </w:r>
            <w:r w:rsidRPr="00F769E0">
              <w:rPr>
                <w:rFonts w:cs="Tahoma"/>
                <w:b/>
                <w:lang w:val="sl-SI" w:eastAsia="en-GB"/>
              </w:rPr>
              <w:br/>
              <w:t>(največ 20 točk)</w:t>
            </w:r>
          </w:p>
        </w:tc>
        <w:tc>
          <w:tcPr>
            <w:tcW w:w="4156" w:type="pct"/>
            <w:tcBorders>
              <w:top w:val="dashed" w:sz="4" w:space="0" w:color="auto"/>
              <w:left w:val="nil"/>
              <w:bottom w:val="single" w:sz="8" w:space="0" w:color="auto"/>
              <w:right w:val="single" w:sz="8" w:space="0" w:color="auto"/>
            </w:tcBorders>
            <w:shd w:val="clear" w:color="auto" w:fill="FFFFFF"/>
          </w:tcPr>
          <w:p w14:paraId="7D399177" w14:textId="77777777" w:rsidR="00E03711" w:rsidRPr="001048FE" w:rsidRDefault="00E03711" w:rsidP="00FD307D">
            <w:pPr>
              <w:pStyle w:val="Guide-NormalBulletpoints"/>
              <w:spacing w:before="60"/>
              <w:rPr>
                <w:lang w:val="sl-SI"/>
              </w:rPr>
            </w:pPr>
            <w:r w:rsidRPr="001048FE">
              <w:rPr>
                <w:lang w:val="sl-SI"/>
              </w:rPr>
              <w:t>Jasnost, celovitost in kakovost delovnega programa, vključno z ustreznimi fazami za pripravo, izvajanje, spremljanje, ocenjevanje in razširjanje;</w:t>
            </w:r>
          </w:p>
          <w:p w14:paraId="7D399178" w14:textId="77777777" w:rsidR="00E03711" w:rsidRPr="001048FE" w:rsidRDefault="00E03711" w:rsidP="00FD307D">
            <w:pPr>
              <w:pStyle w:val="Guide-NormalBulletpoints"/>
              <w:spacing w:before="60"/>
              <w:rPr>
                <w:lang w:val="sl-SI"/>
              </w:rPr>
            </w:pPr>
            <w:r w:rsidRPr="001048FE">
              <w:rPr>
                <w:lang w:val="sl-SI"/>
              </w:rPr>
              <w:t>usklajenost ciljev projekta in predlaganih aktivnosti;</w:t>
            </w:r>
          </w:p>
          <w:p w14:paraId="7D399179" w14:textId="77777777" w:rsidR="00E03711" w:rsidRPr="001048FE" w:rsidRDefault="00E03711" w:rsidP="00FD307D">
            <w:pPr>
              <w:pStyle w:val="Guide-NormalBulletpoints"/>
              <w:spacing w:before="60"/>
              <w:rPr>
                <w:lang w:val="sl-SI"/>
              </w:rPr>
            </w:pPr>
            <w:r w:rsidRPr="001048FE">
              <w:rPr>
                <w:lang w:val="sl-SI"/>
              </w:rPr>
              <w:t>kakovost in izvedljivost predlagane metodologije;</w:t>
            </w:r>
          </w:p>
          <w:p w14:paraId="7D39917A" w14:textId="77777777" w:rsidR="00E03711" w:rsidRPr="001048FE" w:rsidRDefault="00E03711" w:rsidP="00FD307D">
            <w:pPr>
              <w:pStyle w:val="Guide-NormalBulletpoints"/>
              <w:spacing w:before="60"/>
              <w:rPr>
                <w:lang w:val="sl-SI"/>
              </w:rPr>
            </w:pPr>
            <w:r w:rsidRPr="001048FE">
              <w:rPr>
                <w:lang w:val="sl-SI"/>
              </w:rPr>
              <w:t>obstoj in ustreznost ukrepov za nadzor kakovosti, da se zagotovijo visokokakovostna izvedba projekta, pravočasni zaključek in poraba sredstev v okviru proračuna;</w:t>
            </w:r>
          </w:p>
          <w:p w14:paraId="7D39917B" w14:textId="77777777" w:rsidR="00E03711" w:rsidRPr="001048FE" w:rsidRDefault="00E03711" w:rsidP="00FD307D">
            <w:pPr>
              <w:pStyle w:val="Guide-NormalBulletpoints"/>
              <w:spacing w:before="60"/>
              <w:rPr>
                <w:lang w:val="sl-SI"/>
              </w:rPr>
            </w:pPr>
            <w:r w:rsidRPr="001048FE">
              <w:rPr>
                <w:lang w:val="sl-SI"/>
              </w:rPr>
              <w:t>v kolikšni meri je projekt stroškovno učinkovit in dodeljuje ustrezna sredstva posameznim aktivnostim;</w:t>
            </w:r>
          </w:p>
          <w:p w14:paraId="7D39917C" w14:textId="77777777" w:rsidR="00E03711" w:rsidRDefault="00E03711" w:rsidP="00FD307D">
            <w:pPr>
              <w:pStyle w:val="Guide-NormalBulletpoints"/>
              <w:spacing w:before="60"/>
              <w:rPr>
                <w:lang w:val="sl-SI"/>
              </w:rPr>
            </w:pPr>
            <w:r w:rsidRPr="001048FE">
              <w:rPr>
                <w:lang w:val="sl-SI"/>
              </w:rPr>
              <w:t>po potrebi uporaba spletnih platform Erasmus+ (tj. eTwinning; EPALE; School Education Gateway) kot orodij za pripravo, izvajanje in nadaljnje spremljanje aktivnosti projekta.</w:t>
            </w:r>
          </w:p>
          <w:p w14:paraId="7D39917D" w14:textId="77777777" w:rsidR="00E03711" w:rsidRPr="00FC4A70" w:rsidRDefault="00E03711" w:rsidP="00FD307D">
            <w:pPr>
              <w:pStyle w:val="Guide-NormalBulletpoints"/>
              <w:spacing w:before="60"/>
              <w:rPr>
                <w:lang w:val="sl-SI"/>
              </w:rPr>
            </w:pPr>
            <w:r>
              <w:rPr>
                <w:rFonts w:eastAsia="Calibri" w:cs="Calibri"/>
                <w:bdr w:val="nil"/>
                <w:shd w:val="clear" w:color="auto" w:fill="auto"/>
                <w:lang w:val="sl-SI" w:eastAsia="zh-CN"/>
              </w:rPr>
              <w:t>P</w:t>
            </w:r>
            <w:r w:rsidRPr="00FC4A70">
              <w:rPr>
                <w:rFonts w:eastAsia="Calibri" w:cs="Calibri"/>
                <w:bdr w:val="nil"/>
                <w:shd w:val="clear" w:color="auto" w:fill="auto"/>
                <w:lang w:val="sl-SI" w:eastAsia="zh-CN"/>
              </w:rPr>
              <w:t>artnerstva za izmenjavo med šolami:</w:t>
            </w:r>
          </w:p>
          <w:p w14:paraId="7D39917E" w14:textId="77777777" w:rsidR="00E03711" w:rsidRPr="00FC4A70" w:rsidRDefault="00E03711" w:rsidP="00FC4A70">
            <w:pPr>
              <w:pStyle w:val="Guide-NormalBulletpoints"/>
              <w:numPr>
                <w:ilvl w:val="1"/>
                <w:numId w:val="51"/>
              </w:numPr>
              <w:spacing w:before="60"/>
              <w:rPr>
                <w:lang w:val="sl-SI"/>
              </w:rPr>
            </w:pPr>
            <w:r w:rsidRPr="00FC4A70">
              <w:rPr>
                <w:rFonts w:eastAsia="Calibri" w:cs="Calibri"/>
                <w:bdr w:val="nil"/>
                <w:shd w:val="clear" w:color="auto" w:fill="auto"/>
                <w:lang w:val="sl-SI" w:eastAsia="zh-CN"/>
              </w:rPr>
              <w:t>v kolikšni meri projekti gradijo na prejšnjih ali obstoječih projektih eTwining;</w:t>
            </w:r>
          </w:p>
          <w:p w14:paraId="7D39917F" w14:textId="77777777" w:rsidR="00E03711" w:rsidRPr="0088480C" w:rsidRDefault="00E03711" w:rsidP="00FC4A70">
            <w:pPr>
              <w:pStyle w:val="Guide-NormalBulletpoints"/>
              <w:numPr>
                <w:ilvl w:val="1"/>
                <w:numId w:val="51"/>
              </w:numPr>
              <w:spacing w:before="60"/>
              <w:rPr>
                <w:lang w:val="sl-SI"/>
              </w:rPr>
            </w:pPr>
            <w:r w:rsidRPr="00FC4A70">
              <w:rPr>
                <w:rFonts w:eastAsia="Calibri" w:cs="Calibri"/>
                <w:bdr w:val="nil"/>
                <w:shd w:val="clear" w:color="auto" w:fill="auto"/>
                <w:lang w:val="sl-SI" w:eastAsia="zh-CN"/>
              </w:rPr>
              <w:t>v kolikšni meri projekt koristi eTwining v kombinaciji s fizično mobilnostjo za oblikovanje daljših, pogostejših in bogatejših izmenjav med učenci in dijaki ter učitelji iz različnih držav (kombinirana mobilnost).</w:t>
            </w:r>
          </w:p>
          <w:p w14:paraId="7D399180" w14:textId="77777777" w:rsidR="00E03711" w:rsidRPr="00F769E0" w:rsidRDefault="00E03711" w:rsidP="00FD307D">
            <w:pPr>
              <w:pStyle w:val="GUIDE-NORMAL"/>
              <w:spacing w:before="60" w:after="60"/>
              <w:rPr>
                <w:rFonts w:cs="Tahoma"/>
                <w:lang w:val="sl-SI" w:eastAsia="en-GB"/>
              </w:rPr>
            </w:pPr>
            <w:r w:rsidRPr="00F769E0">
              <w:rPr>
                <w:rFonts w:cs="Tahoma"/>
                <w:lang w:val="sl-SI" w:eastAsia="en-GB"/>
              </w:rPr>
              <w:t>Če so v projektu predvidene aktivnosti usposabljanja, poučevanja ali učenja:</w:t>
            </w:r>
          </w:p>
          <w:p w14:paraId="7D399181" w14:textId="77777777" w:rsidR="00E03711" w:rsidRPr="001048FE" w:rsidRDefault="00E03711" w:rsidP="00FD307D">
            <w:pPr>
              <w:pStyle w:val="Guide-NormalBulletpoints"/>
              <w:spacing w:before="60"/>
              <w:rPr>
                <w:lang w:val="sl-SI"/>
              </w:rPr>
            </w:pPr>
            <w:r w:rsidRPr="001048FE">
              <w:rPr>
                <w:lang w:val="sl-SI"/>
              </w:rPr>
              <w:t>kakovost praktičnih ureditev ter načinov upravljanja in podpore v aktivnostih učenja, poučevanja in usposabljanja;</w:t>
            </w:r>
          </w:p>
          <w:p w14:paraId="7D399182" w14:textId="77777777" w:rsidR="00E03711" w:rsidRPr="001048FE" w:rsidRDefault="00E03711" w:rsidP="00FD307D">
            <w:pPr>
              <w:pStyle w:val="Guide-NormalBulletpoints"/>
              <w:spacing w:before="60"/>
              <w:rPr>
                <w:lang w:val="sl-SI"/>
              </w:rPr>
            </w:pPr>
            <w:r w:rsidRPr="001048FE">
              <w:rPr>
                <w:lang w:val="sl-SI"/>
              </w:rPr>
              <w:t>v kolikšni meri so te aktivnosti usklajene s cilji projekta in vključujejo ustrezno število udeležencev;</w:t>
            </w:r>
          </w:p>
          <w:p w14:paraId="7D399183" w14:textId="77777777" w:rsidR="00E03711" w:rsidRPr="001048FE" w:rsidRDefault="00E03711" w:rsidP="00FD307D">
            <w:pPr>
              <w:pStyle w:val="Guide-NormalBulletpoints"/>
              <w:spacing w:before="60"/>
              <w:rPr>
                <w:lang w:val="sl-SI"/>
              </w:rPr>
            </w:pPr>
            <w:r w:rsidRPr="001048FE">
              <w:rPr>
                <w:lang w:val="sl-SI"/>
              </w:rPr>
              <w:t>kakovost ureditev za priznavanje in potrjevanje učnih izidov udeležencev v skladu z evropskimi orodji in načeli za preglednost in priznavanje.</w:t>
            </w:r>
          </w:p>
        </w:tc>
      </w:tr>
      <w:tr w:rsidR="00E03711" w:rsidRPr="00C60205" w14:paraId="7D39918E" w14:textId="77777777" w:rsidTr="00065AB7">
        <w:trPr>
          <w:trHeight w:val="510"/>
        </w:trPr>
        <w:tc>
          <w:tcPr>
            <w:tcW w:w="844" w:type="pct"/>
            <w:tcBorders>
              <w:top w:val="dashed" w:sz="4" w:space="0" w:color="auto"/>
              <w:left w:val="single" w:sz="4" w:space="0" w:color="auto"/>
              <w:bottom w:val="single" w:sz="8" w:space="0" w:color="auto"/>
              <w:right w:val="single" w:sz="8" w:space="0" w:color="auto"/>
            </w:tcBorders>
            <w:shd w:val="clear" w:color="auto" w:fill="FFFFFF"/>
            <w:vAlign w:val="center"/>
          </w:tcPr>
          <w:p w14:paraId="7D399185" w14:textId="77777777" w:rsidR="00E03711" w:rsidRPr="00F769E0" w:rsidRDefault="00E03711" w:rsidP="00FD307D">
            <w:pPr>
              <w:pStyle w:val="GUIDE-NORMAL"/>
              <w:spacing w:before="60" w:after="60"/>
              <w:jc w:val="left"/>
              <w:rPr>
                <w:rFonts w:cs="Tahoma"/>
                <w:b/>
                <w:lang w:val="sl-SI" w:eastAsia="en-GB"/>
              </w:rPr>
            </w:pPr>
            <w:r w:rsidRPr="00F769E0">
              <w:rPr>
                <w:rFonts w:cs="Tahoma"/>
                <w:b/>
                <w:lang w:val="sl-SI" w:eastAsia="en-GB"/>
              </w:rPr>
              <w:t>Kakovost projektne skupine in dogovorov o sodelovanju (največ 20 točk)</w:t>
            </w:r>
          </w:p>
        </w:tc>
        <w:tc>
          <w:tcPr>
            <w:tcW w:w="4156" w:type="pct"/>
            <w:tcBorders>
              <w:top w:val="dashed" w:sz="4" w:space="0" w:color="auto"/>
              <w:left w:val="nil"/>
              <w:bottom w:val="single" w:sz="8" w:space="0" w:color="auto"/>
              <w:right w:val="single" w:sz="8" w:space="0" w:color="auto"/>
            </w:tcBorders>
            <w:shd w:val="clear" w:color="auto" w:fill="FFFFFF"/>
          </w:tcPr>
          <w:p w14:paraId="7D399186" w14:textId="77777777" w:rsidR="00E03711" w:rsidRPr="001048FE" w:rsidRDefault="00E03711" w:rsidP="005115F2">
            <w:pPr>
              <w:pStyle w:val="Guide-NormalBulletpoints"/>
              <w:numPr>
                <w:ilvl w:val="0"/>
                <w:numId w:val="132"/>
              </w:numPr>
              <w:spacing w:before="60"/>
              <w:rPr>
                <w:lang w:val="sl-SI"/>
              </w:rPr>
            </w:pPr>
            <w:r w:rsidRPr="001048FE">
              <w:rPr>
                <w:lang w:val="sl-SI"/>
              </w:rPr>
              <w:t>V kolikšni meri:</w:t>
            </w:r>
          </w:p>
          <w:p w14:paraId="7D399187" w14:textId="77777777" w:rsidR="00E03711" w:rsidRPr="001048FE" w:rsidRDefault="00E03711" w:rsidP="005115F2">
            <w:pPr>
              <w:pStyle w:val="Guide-ListDash"/>
              <w:numPr>
                <w:ilvl w:val="1"/>
                <w:numId w:val="132"/>
              </w:numPr>
              <w:spacing w:before="60" w:after="60"/>
              <w:rPr>
                <w:lang w:val="sl-SI"/>
              </w:rPr>
            </w:pPr>
            <w:r w:rsidRPr="001048FE">
              <w:rPr>
                <w:lang w:val="sl-SI"/>
              </w:rPr>
              <w:t>projekt vključuje ustrezen nabor sodelujočih organizacij, ki se dopolnjujejo in imajo zahtevan profil, izkušnje in strokovno znanje za uspešno izvedbo vseh vidikov projekta;</w:t>
            </w:r>
          </w:p>
          <w:p w14:paraId="7D399188" w14:textId="77777777" w:rsidR="00E03711" w:rsidRPr="001048FE" w:rsidRDefault="00E03711" w:rsidP="005115F2">
            <w:pPr>
              <w:pStyle w:val="Guide-ListDash"/>
              <w:numPr>
                <w:ilvl w:val="1"/>
                <w:numId w:val="132"/>
              </w:numPr>
              <w:spacing w:before="60" w:after="60"/>
              <w:rPr>
                <w:lang w:val="sl-SI"/>
              </w:rPr>
            </w:pPr>
            <w:r w:rsidRPr="001048FE">
              <w:rPr>
                <w:lang w:val="sl-SI"/>
              </w:rPr>
              <w:t>sta iz porazdelitve odgovornosti in nalog razvidna zavezanost in dejavno prispevanje vseh sodelujočih organizacij;</w:t>
            </w:r>
          </w:p>
          <w:p w14:paraId="7D399189" w14:textId="77777777" w:rsidR="00E03711" w:rsidRPr="001048FE" w:rsidRDefault="00E03711" w:rsidP="005115F2">
            <w:pPr>
              <w:pStyle w:val="Guide-ListDash"/>
              <w:numPr>
                <w:ilvl w:val="1"/>
                <w:numId w:val="132"/>
              </w:numPr>
              <w:spacing w:before="60" w:after="60"/>
              <w:rPr>
                <w:lang w:val="sl-SI"/>
              </w:rPr>
            </w:pPr>
            <w:r w:rsidRPr="001048FE">
              <w:rPr>
                <w:lang w:val="sl-SI"/>
              </w:rPr>
              <w:t>projekt vključuje udeležbo organizacij z različnih področij izobraževanja, usposabljanja, mladine in iz drugih socialno- ekonomskih sektorjev, če to velja za vrsto projekta.</w:t>
            </w:r>
            <w:r>
              <w:rPr>
                <w:rStyle w:val="FootnoteReference"/>
                <w:lang w:val="sl-SI"/>
              </w:rPr>
              <w:footnoteReference w:id="93"/>
            </w:r>
          </w:p>
          <w:p w14:paraId="7D39918A" w14:textId="77777777" w:rsidR="00E03711" w:rsidRDefault="00E03711" w:rsidP="005115F2">
            <w:pPr>
              <w:pStyle w:val="Guide-NormalBulletpoints"/>
              <w:numPr>
                <w:ilvl w:val="0"/>
                <w:numId w:val="132"/>
              </w:numPr>
              <w:spacing w:before="60"/>
              <w:rPr>
                <w:lang w:val="sl-SI"/>
              </w:rPr>
            </w:pPr>
            <w:r w:rsidRPr="001048FE">
              <w:rPr>
                <w:lang w:val="sl-SI"/>
              </w:rPr>
              <w:t>V kolikšni meri projekt v ukrep vključuje nove udeležence;</w:t>
            </w:r>
          </w:p>
          <w:p w14:paraId="7D39918B" w14:textId="77777777" w:rsidR="00E03711" w:rsidRPr="00F851DE" w:rsidRDefault="00E03711" w:rsidP="005115F2">
            <w:pPr>
              <w:pStyle w:val="Guide-NormalBulletpoints"/>
              <w:numPr>
                <w:ilvl w:val="0"/>
                <w:numId w:val="132"/>
              </w:numPr>
              <w:spacing w:before="60"/>
              <w:rPr>
                <w:lang w:val="sl-SI"/>
              </w:rPr>
            </w:pPr>
            <w:r w:rsidRPr="00FC4A70">
              <w:rPr>
                <w:rFonts w:eastAsia="Calibri" w:cs="Calibri"/>
                <w:bdr w:val="nil"/>
                <w:shd w:val="clear" w:color="auto" w:fill="auto"/>
                <w:lang w:val="sl-SI" w:eastAsia="zh-CN"/>
              </w:rPr>
              <w:t>Za partnerstva za izmenjavo med šolami: v kolikšni meri projekt vključuje šole eTwinning ter zanje ustvarja priložnosti za spodbujanje najboljših praks v eTwinningu in zagotavlja mentorstvo drugim šolam, ki imajo manj izkušenj z eTwinningom.</w:t>
            </w:r>
          </w:p>
          <w:p w14:paraId="7D39918C" w14:textId="77777777" w:rsidR="00E03711" w:rsidRPr="001048FE" w:rsidRDefault="00E03711" w:rsidP="005115F2">
            <w:pPr>
              <w:pStyle w:val="Guide-NormalBulletpoints"/>
              <w:numPr>
                <w:ilvl w:val="0"/>
                <w:numId w:val="132"/>
              </w:numPr>
              <w:spacing w:before="60"/>
              <w:rPr>
                <w:lang w:val="sl-SI"/>
              </w:rPr>
            </w:pPr>
            <w:r w:rsidRPr="001048FE">
              <w:rPr>
                <w:lang w:val="sl-SI"/>
              </w:rPr>
              <w:t>obstoj učinkovitih mehanizmov za koordinacijo in obveščanje med sodelujočimi organizacijami ter drugimi zadevnimi deležniki;</w:t>
            </w:r>
          </w:p>
          <w:p w14:paraId="7D39918D" w14:textId="77777777" w:rsidR="00E03711" w:rsidRPr="001048FE" w:rsidRDefault="00E03711" w:rsidP="005115F2">
            <w:pPr>
              <w:pStyle w:val="Guide-NormalBulletpoints"/>
              <w:numPr>
                <w:ilvl w:val="0"/>
                <w:numId w:val="132"/>
              </w:numPr>
              <w:spacing w:before="60"/>
              <w:rPr>
                <w:lang w:val="sl-SI"/>
              </w:rPr>
            </w:pPr>
            <w:r w:rsidRPr="001048FE">
              <w:rPr>
                <w:lang w:val="sl-SI"/>
              </w:rPr>
              <w:t>kadar je to ustrezno, v kolikšni meri vključenost sodelujoče organizacije iz partnerske države prispeva bistveno dodano vrednost k projektu (če ta pogoj ni izpolnjen, se projekt ne upošteva pri izboru).</w:t>
            </w:r>
          </w:p>
        </w:tc>
      </w:tr>
      <w:tr w:rsidR="00E03711" w:rsidRPr="00C60205" w14:paraId="7D399197" w14:textId="77777777" w:rsidTr="00065AB7">
        <w:trPr>
          <w:trHeight w:val="510"/>
        </w:trPr>
        <w:tc>
          <w:tcPr>
            <w:tcW w:w="844" w:type="pct"/>
            <w:tcBorders>
              <w:top w:val="dashed" w:sz="4" w:space="0" w:color="auto"/>
              <w:left w:val="single" w:sz="4" w:space="0" w:color="auto"/>
              <w:bottom w:val="single" w:sz="8" w:space="0" w:color="auto"/>
              <w:right w:val="single" w:sz="8" w:space="0" w:color="auto"/>
            </w:tcBorders>
            <w:shd w:val="clear" w:color="auto" w:fill="FFFFFF"/>
            <w:vAlign w:val="center"/>
          </w:tcPr>
          <w:p w14:paraId="7D39918F" w14:textId="77777777" w:rsidR="00E03711" w:rsidRPr="00F769E0" w:rsidRDefault="00E03711" w:rsidP="00FD307D">
            <w:pPr>
              <w:pStyle w:val="GUIDE-NORMAL"/>
              <w:spacing w:before="60" w:after="60"/>
              <w:jc w:val="left"/>
              <w:rPr>
                <w:rFonts w:cs="Tahoma"/>
                <w:b/>
                <w:lang w:val="sl-SI" w:eastAsia="en-GB"/>
              </w:rPr>
            </w:pPr>
            <w:r w:rsidRPr="00F769E0">
              <w:rPr>
                <w:rFonts w:cs="Tahoma"/>
                <w:b/>
                <w:lang w:val="sl-SI" w:eastAsia="en-GB"/>
              </w:rPr>
              <w:t>Učinek in razširjanje (največ 30 točk)</w:t>
            </w:r>
          </w:p>
        </w:tc>
        <w:tc>
          <w:tcPr>
            <w:tcW w:w="4156" w:type="pct"/>
            <w:tcBorders>
              <w:top w:val="dashed" w:sz="4" w:space="0" w:color="auto"/>
              <w:left w:val="nil"/>
              <w:bottom w:val="single" w:sz="8" w:space="0" w:color="auto"/>
              <w:right w:val="single" w:sz="8" w:space="0" w:color="auto"/>
            </w:tcBorders>
            <w:shd w:val="clear" w:color="auto" w:fill="FFFFFF"/>
          </w:tcPr>
          <w:p w14:paraId="7D399190" w14:textId="77777777" w:rsidR="00E03711" w:rsidRPr="001048FE" w:rsidRDefault="00E03711" w:rsidP="005115F2">
            <w:pPr>
              <w:pStyle w:val="Guide-NormalBulletpoints"/>
              <w:numPr>
                <w:ilvl w:val="0"/>
                <w:numId w:val="133"/>
              </w:numPr>
              <w:spacing w:before="60"/>
              <w:rPr>
                <w:lang w:val="sl-SI"/>
              </w:rPr>
            </w:pPr>
            <w:r w:rsidRPr="001048FE">
              <w:rPr>
                <w:lang w:val="sl-SI"/>
              </w:rPr>
              <w:t>Kakovost ukrepov za ocenjevanje rezultatov projekta;</w:t>
            </w:r>
          </w:p>
          <w:p w14:paraId="7D399191" w14:textId="77777777" w:rsidR="00E03711" w:rsidRPr="001048FE" w:rsidRDefault="00E03711" w:rsidP="005115F2">
            <w:pPr>
              <w:pStyle w:val="Guide-NormalBulletpoints"/>
              <w:numPr>
                <w:ilvl w:val="0"/>
                <w:numId w:val="133"/>
              </w:numPr>
              <w:spacing w:before="60"/>
              <w:rPr>
                <w:lang w:val="sl-SI"/>
              </w:rPr>
            </w:pPr>
            <w:r w:rsidRPr="001048FE">
              <w:rPr>
                <w:lang w:val="sl-SI"/>
              </w:rPr>
              <w:t>morebitni učinek projekta:</w:t>
            </w:r>
          </w:p>
          <w:p w14:paraId="7D399192" w14:textId="77777777" w:rsidR="00E03711" w:rsidRPr="001048FE" w:rsidRDefault="00E03711" w:rsidP="005115F2">
            <w:pPr>
              <w:pStyle w:val="Guide-ListDash"/>
              <w:numPr>
                <w:ilvl w:val="1"/>
                <w:numId w:val="133"/>
              </w:numPr>
              <w:spacing w:before="60" w:after="60"/>
              <w:rPr>
                <w:lang w:val="sl-SI"/>
              </w:rPr>
            </w:pPr>
            <w:r w:rsidRPr="001048FE">
              <w:rPr>
                <w:lang w:val="sl-SI"/>
              </w:rPr>
              <w:t>na udeležence in sodelujoče organizacije med življenjskim ciklom projekta in po njem;</w:t>
            </w:r>
          </w:p>
          <w:p w14:paraId="7D399193" w14:textId="77777777" w:rsidR="00E03711" w:rsidRPr="001048FE" w:rsidRDefault="00E03711" w:rsidP="005115F2">
            <w:pPr>
              <w:pStyle w:val="Guide-ListDash"/>
              <w:numPr>
                <w:ilvl w:val="1"/>
                <w:numId w:val="133"/>
              </w:numPr>
              <w:spacing w:before="60" w:after="60"/>
              <w:rPr>
                <w:lang w:val="sl-SI"/>
              </w:rPr>
            </w:pPr>
            <w:r w:rsidRPr="001048FE">
              <w:rPr>
                <w:lang w:val="sl-SI"/>
              </w:rPr>
              <w:t>na druga področja, poleg organizacij in posameznikov, ki neposredno sodelujejo v projektu, na lokalni, regionalni, nacionalni in/ali evropski ravni;</w:t>
            </w:r>
          </w:p>
          <w:p w14:paraId="7D399194" w14:textId="77777777" w:rsidR="00E03711" w:rsidRPr="001048FE" w:rsidRDefault="00E03711" w:rsidP="005115F2">
            <w:pPr>
              <w:pStyle w:val="Guide-NormalBulletpoints"/>
              <w:numPr>
                <w:ilvl w:val="0"/>
                <w:numId w:val="133"/>
              </w:numPr>
              <w:spacing w:before="60"/>
              <w:rPr>
                <w:lang w:val="sl-SI"/>
              </w:rPr>
            </w:pPr>
            <w:r w:rsidRPr="001048FE">
              <w:rPr>
                <w:lang w:val="sl-SI"/>
              </w:rPr>
              <w:t>kakovost načrta razširjanja: ustreznost in kakovost ukrepov, katerih cilj je izmenjava rezultatov projekta v sodelujočih organizacijah in drugod;</w:t>
            </w:r>
          </w:p>
          <w:p w14:paraId="7D399195" w14:textId="77777777" w:rsidR="00E03711" w:rsidRPr="001048FE" w:rsidRDefault="00E03711" w:rsidP="005115F2">
            <w:pPr>
              <w:pStyle w:val="Guide-NormalBulletpoints"/>
              <w:numPr>
                <w:ilvl w:val="0"/>
                <w:numId w:val="133"/>
              </w:numPr>
              <w:spacing w:before="60"/>
              <w:rPr>
                <w:lang w:val="sl-SI"/>
              </w:rPr>
            </w:pPr>
            <w:r w:rsidRPr="001048FE">
              <w:rPr>
                <w:lang w:val="sl-SI"/>
              </w:rPr>
              <w:t>če je ustrezno, v kolikšni meri je v predlogu opisano, kako se bo omogočil prost dostop z odprtimi licencami do ustvarjenih gradiv, dokumentov in nosilcev podatkov ter kako se bo o njih obveščalo; in predlog ne vsebuje nesorazmernih omejitev;</w:t>
            </w:r>
          </w:p>
          <w:p w14:paraId="7D399196" w14:textId="77777777" w:rsidR="00E03711" w:rsidRPr="001048FE" w:rsidRDefault="00E03711" w:rsidP="005115F2">
            <w:pPr>
              <w:pStyle w:val="Guide-NormalBulletpoints"/>
              <w:numPr>
                <w:ilvl w:val="0"/>
                <w:numId w:val="133"/>
              </w:numPr>
              <w:spacing w:before="60"/>
              <w:rPr>
                <w:lang w:val="sl-SI"/>
              </w:rPr>
            </w:pPr>
            <w:r w:rsidRPr="001048FE">
              <w:rPr>
                <w:lang w:val="sl-SI"/>
              </w:rPr>
              <w:t>kakovost načrtov za zagotavljanje trajnosti projekta: ali lahko projekt po porabi nepovratnih sredstev EU še naprej dosega učinek in rezultate.</w:t>
            </w:r>
          </w:p>
        </w:tc>
      </w:tr>
    </w:tbl>
    <w:p w14:paraId="7D399198" w14:textId="77777777" w:rsidR="00E03711" w:rsidRPr="001048FE" w:rsidRDefault="00E03711" w:rsidP="00862E89">
      <w:pPr>
        <w:pStyle w:val="GUIDE-NORMAL"/>
        <w:rPr>
          <w:lang w:val="sl-SI"/>
        </w:rPr>
      </w:pPr>
      <w:r w:rsidRPr="001048FE">
        <w:rPr>
          <w:lang w:val="sl-SI"/>
        </w:rPr>
        <w:t>Za upoštevanje pri dodeljevanju sredstev morajo predlogi doseči vsaj 60 točk. Poleg tega morajo doseči vsaj polovico vseh možnih točk v vsaki od navedenih kategorij meril za dodelitev (tj. vsaj 15 točk za kategoriji „Ustreznost projekta“ ter „Učinek in razširjanje“; 10 točk za kategoriji „Kakovost zasnove in izvedbe projekta“ in „Kakovost projektne skupine in dogovorov o sodelovanju“). Predlogi, ki ne obravnavajo vsaj ene prednostne naloge ukrepa, ne bodo financirani.</w:t>
      </w:r>
    </w:p>
    <w:p w14:paraId="7D399199" w14:textId="77777777" w:rsidR="00E03711" w:rsidRPr="001048FE" w:rsidRDefault="00E03711" w:rsidP="003A4468">
      <w:pPr>
        <w:pStyle w:val="Guide-Heading4"/>
        <w:rPr>
          <w:lang w:val="sl-SI"/>
        </w:rPr>
      </w:pPr>
      <w:bookmarkStart w:id="206" w:name="Formes_spécifiques_de_partenariats_strat"/>
      <w:bookmarkStart w:id="207" w:name="_Toc527401149"/>
      <w:bookmarkEnd w:id="206"/>
      <w:r w:rsidRPr="001048FE">
        <w:rPr>
          <w:lang w:val="sl-SI"/>
        </w:rPr>
        <w:t>Posebne oblike strateškega partnerstva</w:t>
      </w:r>
      <w:bookmarkEnd w:id="207"/>
    </w:p>
    <w:p w14:paraId="7D39919A" w14:textId="77777777" w:rsidR="00E03711" w:rsidRPr="001048FE" w:rsidRDefault="00E03711" w:rsidP="003A4468">
      <w:pPr>
        <w:pStyle w:val="GUIDE-NORMAL"/>
        <w:rPr>
          <w:lang w:val="sl-SI"/>
        </w:rPr>
      </w:pPr>
      <w:r w:rsidRPr="001048FE">
        <w:rPr>
          <w:lang w:val="sl-SI"/>
        </w:rPr>
        <w:t>Strateška partnerstva podpirajo širok in prilagodljiv nabor aktivnosti za izvajanje visokokakovostnih projektov, spodbujanje razvoja in posodabljanja organizacij ter podporo razvoju politik na evropski, nacionalni in regionalni ravni.</w:t>
      </w:r>
    </w:p>
    <w:p w14:paraId="7D39919B" w14:textId="77777777" w:rsidR="00E03711" w:rsidRPr="001048FE" w:rsidRDefault="00E03711" w:rsidP="003A4468">
      <w:pPr>
        <w:pStyle w:val="GUIDE-NORMAL"/>
        <w:rPr>
          <w:lang w:val="sl-SI"/>
        </w:rPr>
      </w:pPr>
      <w:r w:rsidRPr="001048FE">
        <w:rPr>
          <w:lang w:val="sl-SI"/>
        </w:rPr>
        <w:t>V skladu s cilji projekta, sodelujočimi organizacijami, pričakovanim učinkom in drugimi elementi so lahko strateška partnerstva različnih velikosti in temu primerno prilagajajo svoje aktivnosti.</w:t>
      </w:r>
    </w:p>
    <w:p w14:paraId="7D39919C" w14:textId="77777777" w:rsidR="00E03711" w:rsidRPr="001048FE" w:rsidRDefault="00E03711" w:rsidP="003A4468">
      <w:pPr>
        <w:pStyle w:val="GUIDE-NORMAL"/>
        <w:rPr>
          <w:lang w:val="sl-SI"/>
        </w:rPr>
      </w:pPr>
      <w:r w:rsidRPr="001048FE">
        <w:rPr>
          <w:lang w:val="sl-SI"/>
        </w:rPr>
        <w:t>Med velikim številom aktivnosti in oblik projektov imajo naslednja strateška partnerstva posebne značilnosti.</w:t>
      </w:r>
    </w:p>
    <w:p w14:paraId="7D39919D" w14:textId="77777777" w:rsidR="00E03711" w:rsidRPr="001048FE" w:rsidRDefault="00E03711" w:rsidP="003A4468">
      <w:pPr>
        <w:pStyle w:val="Guide-Heading4"/>
        <w:rPr>
          <w:lang w:val="sl-SI"/>
        </w:rPr>
      </w:pPr>
      <w:bookmarkStart w:id="208" w:name="_Toc527401150"/>
      <w:r w:rsidRPr="001048FE">
        <w:rPr>
          <w:lang w:val="sl-SI"/>
        </w:rPr>
        <w:t>Partnerstva za izmenjavo med šolami</w:t>
      </w:r>
      <w:bookmarkEnd w:id="208"/>
    </w:p>
    <w:p w14:paraId="7D39919E" w14:textId="77777777" w:rsidR="00E03711" w:rsidRPr="001048FE" w:rsidRDefault="00E03711" w:rsidP="003A4468">
      <w:pPr>
        <w:pStyle w:val="GUIDE-NORMAL"/>
        <w:rPr>
          <w:lang w:val="sl-SI"/>
        </w:rPr>
      </w:pPr>
      <w:r w:rsidRPr="001048FE">
        <w:rPr>
          <w:lang w:val="sl-SI"/>
        </w:rPr>
        <w:t xml:space="preserve">Glavni cilj partnerstev za izmenjavo med šolami je okrepiti evropsko razsežnost v sodelujočih šolah, njihovo zmogljivost za čezmejno sodelovanje in njihovo sposobnost spopadanja z novimi izzivi. </w:t>
      </w:r>
      <w:r w:rsidRPr="00FC4A70">
        <w:rPr>
          <w:rFonts w:eastAsia="Calibri" w:cs="Calibri"/>
          <w:bdr w:val="nil"/>
          <w:lang w:val="sl-SI"/>
        </w:rPr>
        <w:t>Ta partnerstva bodo z organiziranjem aktivnosti mobilnosti za učence/dijake spodbujala tudi skupne vrednote svobode, vključevanja, strpnosti in nediskriminacije, ki jih poudarja pariška deklaracija iz marca 2015.</w:t>
      </w:r>
    </w:p>
    <w:p w14:paraId="7D39919F" w14:textId="77777777" w:rsidR="00E03711" w:rsidRPr="001048FE" w:rsidRDefault="00E03711" w:rsidP="003A4468">
      <w:pPr>
        <w:pStyle w:val="GUIDE-NORMAL"/>
        <w:rPr>
          <w:lang w:val="sl-SI"/>
        </w:rPr>
      </w:pPr>
      <w:r w:rsidRPr="001048FE">
        <w:rPr>
          <w:lang w:val="sl-SI"/>
        </w:rPr>
        <w:t>Partnerstva za izmenjavo med šolami lahko izvajajo različne aktivnosti za izmenjavo osebja in učencev/dijakov:</w:t>
      </w:r>
    </w:p>
    <w:p w14:paraId="7D3991A0" w14:textId="77777777" w:rsidR="00E03711" w:rsidRPr="001048FE" w:rsidRDefault="00E03711" w:rsidP="005115F2">
      <w:pPr>
        <w:pStyle w:val="Guide-NormalBulletpoints"/>
        <w:numPr>
          <w:ilvl w:val="0"/>
          <w:numId w:val="399"/>
        </w:numPr>
        <w:rPr>
          <w:lang w:val="sl-SI"/>
        </w:rPr>
      </w:pPr>
      <w:r w:rsidRPr="001048FE">
        <w:rPr>
          <w:b/>
          <w:lang w:val="sl-SI"/>
        </w:rPr>
        <w:t>kratkotrajne izmenjave skupin učencev/dijakov (od 3 dni do 2 mesecev):</w:t>
      </w:r>
      <w:r w:rsidRPr="001048FE">
        <w:rPr>
          <w:lang w:val="sl-SI"/>
        </w:rPr>
        <w:t xml:space="preserve"> učenci/dijaki iz različnih držav lahko sodelujejo v aktivnostih, povezanih s cilji partnerstva. Aktivnosti kratkotrajnih izmenjav so zasnovane tako, da učencem/dijakom ponujajo mednarodne učne izkušnje, jim pomagajo razviti razumevanje raznolikosti evropskih kultur in jezikov ter pridobiti družbene, državljanske in medkulturne kompetence, potrebne za njihov osebni razvoj;</w:t>
      </w:r>
    </w:p>
    <w:p w14:paraId="7D3991A1" w14:textId="77777777" w:rsidR="00E03711" w:rsidRPr="001048FE" w:rsidRDefault="00E03711" w:rsidP="005115F2">
      <w:pPr>
        <w:pStyle w:val="Guide-NormalBulletpoints"/>
        <w:numPr>
          <w:ilvl w:val="0"/>
          <w:numId w:val="399"/>
        </w:numPr>
        <w:rPr>
          <w:lang w:val="sl-SI"/>
        </w:rPr>
      </w:pPr>
      <w:r w:rsidRPr="001048FE">
        <w:rPr>
          <w:b/>
          <w:lang w:val="sl-SI"/>
        </w:rPr>
        <w:t>dolgotrajna učna mobilnost učencev/dijakov (od 2 do 12 mesecev)</w:t>
      </w:r>
      <w:r w:rsidRPr="001048FE">
        <w:rPr>
          <w:lang w:val="sl-SI"/>
        </w:rPr>
        <w:t>: učenci/dijaki, stari vsaj 14 let, lahko določeno obdobje preživijo v šoli gostiteljici in pri gostiteljski družini v tujini. Pričakuje se, da bodo šole pošiljateljice in šole gostiteljice zagotovile visokokakovostne učne izide in ustrezno priznavanje za udeležene učence/dijake ter jih v obdobju mobilnosti stalno podpirale. Prijavitelji za partnerstva za izmenjavo med šolami se lahko popolnoma osredotočijo na organizacijo dolgotrajne mobilnosti učencev/dijakov kot orodja za razvoj potenciala mednarodnega sodelovanja udeleženih šol;</w:t>
      </w:r>
    </w:p>
    <w:p w14:paraId="7D3991A2" w14:textId="77777777" w:rsidR="00E03711" w:rsidRPr="001048FE" w:rsidRDefault="00E03711" w:rsidP="005115F2">
      <w:pPr>
        <w:pStyle w:val="Guide-NormalBulletpoints"/>
        <w:numPr>
          <w:ilvl w:val="0"/>
          <w:numId w:val="399"/>
        </w:numPr>
        <w:rPr>
          <w:lang w:val="sl-SI"/>
        </w:rPr>
      </w:pPr>
      <w:r w:rsidRPr="001048FE">
        <w:rPr>
          <w:b/>
          <w:lang w:val="sl-SI"/>
        </w:rPr>
        <w:t>kratkotrajna skupna usposabljanja osebja (od 3 dni do 2 mesecev):</w:t>
      </w:r>
      <w:r w:rsidRPr="001048FE">
        <w:rPr>
          <w:lang w:val="sl-SI"/>
        </w:rPr>
        <w:t xml:space="preserve"> pedagoško in nepedagoško osebje lahko sodelujeta ter si izmenjujeta izkušnje in strokovno znanje ali prejemata skupno usposabljanje;</w:t>
      </w:r>
    </w:p>
    <w:p w14:paraId="7D3991A3" w14:textId="77777777" w:rsidR="00E03711" w:rsidRPr="001048FE" w:rsidRDefault="00E03711" w:rsidP="005115F2">
      <w:pPr>
        <w:pStyle w:val="Guide-NormalBulletpoints"/>
        <w:numPr>
          <w:ilvl w:val="0"/>
          <w:numId w:val="399"/>
        </w:numPr>
        <w:rPr>
          <w:lang w:val="sl-SI"/>
        </w:rPr>
      </w:pPr>
      <w:r w:rsidRPr="001048FE">
        <w:rPr>
          <w:b/>
          <w:lang w:val="sl-SI"/>
        </w:rPr>
        <w:t>dolgotrajna mobilnost za poučevanje ali usposabljanje (od 2 do 12 mesecev):</w:t>
      </w:r>
      <w:r w:rsidRPr="001048FE">
        <w:rPr>
          <w:lang w:val="sl-SI"/>
        </w:rPr>
        <w:t xml:space="preserve"> ta aktivnost zaradi daljše napotitve v partnersko šolo osebju omogoča, da poglobi svoje znanje in razumevanje sistemov izobraževanja in usposabljanja v drugih državah, ter mu pomaga pri izmenjavi in pridobivanju strokovnih kompetenc, metod in praks.</w:t>
      </w:r>
    </w:p>
    <w:p w14:paraId="7D3991A4" w14:textId="77777777" w:rsidR="00E03711" w:rsidRPr="00FC4A70" w:rsidRDefault="00E03711" w:rsidP="00A37B39">
      <w:pPr>
        <w:pStyle w:val="Guide-Heading6"/>
        <w:rPr>
          <w:lang w:val="sl-SI"/>
        </w:rPr>
      </w:pPr>
      <w:r w:rsidRPr="00FC4A70">
        <w:rPr>
          <w:rFonts w:eastAsia="Calibri" w:cs="Calibri"/>
          <w:bCs/>
          <w:szCs w:val="20"/>
          <w:bdr w:val="nil"/>
          <w:lang w:val="sl-SI"/>
        </w:rPr>
        <w:t>eTwinning v partnerstvu za izmenjavo med šolami</w:t>
      </w:r>
    </w:p>
    <w:p w14:paraId="7D3991A5" w14:textId="77777777" w:rsidR="00E03711" w:rsidRPr="00FC4A70" w:rsidRDefault="00E03711" w:rsidP="00A37B39">
      <w:pPr>
        <w:pStyle w:val="Guide-Normal0"/>
        <w:rPr>
          <w:lang w:val="sl-SI"/>
        </w:rPr>
      </w:pPr>
      <w:r w:rsidRPr="00FC4A70">
        <w:rPr>
          <w:rFonts w:eastAsia="Calibri" w:cs="Calibri"/>
          <w:kern w:val="3"/>
          <w:sz w:val="18"/>
          <w:szCs w:val="18"/>
          <w:bdr w:val="nil"/>
          <w:shd w:val="clear" w:color="auto" w:fill="FFFFFF"/>
          <w:lang w:val="sl-SI"/>
        </w:rPr>
        <w:t xml:space="preserve">Povezovanje mobilnosti in fizične izmenjave z virtualnim sodelovanjem je lahko pomembni element v partnerstvu za izmenjavo med šolami. Še posebej se za projekte močno spodbuja uporabo platforme </w:t>
      </w:r>
      <w:r w:rsidRPr="00FC4A70">
        <w:rPr>
          <w:rFonts w:eastAsia="Calibri" w:cs="Calibri"/>
          <w:b/>
          <w:bCs/>
          <w:kern w:val="3"/>
          <w:sz w:val="18"/>
          <w:szCs w:val="18"/>
          <w:bdr w:val="nil"/>
          <w:shd w:val="clear" w:color="auto" w:fill="FFFFFF"/>
          <w:lang w:val="sl-SI"/>
        </w:rPr>
        <w:t>eTwinning</w:t>
      </w:r>
      <w:r w:rsidRPr="00FC4A70">
        <w:rPr>
          <w:rFonts w:eastAsia="Calibri" w:cs="Calibri"/>
          <w:kern w:val="3"/>
          <w:sz w:val="18"/>
          <w:szCs w:val="18"/>
          <w:bdr w:val="nil"/>
          <w:shd w:val="clear" w:color="auto" w:fill="FFFFFF"/>
          <w:lang w:val="sl-SI"/>
        </w:rPr>
        <w:t xml:space="preserve">, da lahko sodelujejo pri projektu pred aktivnostmi mobilnosti, med njimi in po njih. </w:t>
      </w:r>
    </w:p>
    <w:p w14:paraId="7D3991A6" w14:textId="77777777" w:rsidR="00E03711" w:rsidRPr="00FC4A70" w:rsidRDefault="00E03711" w:rsidP="00A37B39">
      <w:pPr>
        <w:pStyle w:val="Guide-Normal0"/>
        <w:rPr>
          <w:lang w:val="sl-SI"/>
        </w:rPr>
      </w:pPr>
    </w:p>
    <w:p w14:paraId="7D3991A7" w14:textId="77777777" w:rsidR="00E03711" w:rsidRPr="00FC4A70" w:rsidRDefault="00E03711" w:rsidP="00A37B39">
      <w:pPr>
        <w:pStyle w:val="Guide-Normal0"/>
      </w:pPr>
      <w:r w:rsidRPr="00FC4A70">
        <w:rPr>
          <w:rFonts w:eastAsia="Calibri" w:cs="Calibri"/>
          <w:kern w:val="3"/>
          <w:sz w:val="18"/>
          <w:szCs w:val="18"/>
          <w:bdr w:val="nil"/>
          <w:shd w:val="clear" w:color="auto" w:fill="FFFFFF"/>
          <w:lang w:val="sl-SI"/>
        </w:rPr>
        <w:t>Da se pokažejo prednosti njihovega predloga v smislu uporabe eTwinninga, mora prijavitelj razložiti relevantne elemente v prijavi projekta. Posebej pomembni elementi so med drugim:</w:t>
      </w:r>
    </w:p>
    <w:p w14:paraId="7D3991A8" w14:textId="77777777" w:rsidR="00E03711" w:rsidRPr="00FC4A70" w:rsidRDefault="00E03711" w:rsidP="00A37B39">
      <w:pPr>
        <w:pStyle w:val="Guide-Normal0"/>
      </w:pPr>
    </w:p>
    <w:p w14:paraId="7D3991A9" w14:textId="77777777" w:rsidR="00E03711" w:rsidRPr="00FC4A70" w:rsidRDefault="00E03711" w:rsidP="002D7FF4">
      <w:pPr>
        <w:pStyle w:val="Guide-Normal0"/>
        <w:numPr>
          <w:ilvl w:val="0"/>
          <w:numId w:val="87"/>
        </w:numPr>
        <w:shd w:val="clear" w:color="auto" w:fill="auto"/>
        <w:suppressAutoHyphens/>
        <w:spacing w:after="120"/>
        <w:ind w:left="714" w:hanging="357"/>
        <w:textAlignment w:val="baseline"/>
      </w:pPr>
      <w:r w:rsidRPr="00FC4A70">
        <w:rPr>
          <w:rFonts w:eastAsia="Calibri" w:cs="Calibri"/>
          <w:kern w:val="3"/>
          <w:sz w:val="18"/>
          <w:szCs w:val="18"/>
          <w:bdr w:val="nil"/>
          <w:shd w:val="clear" w:color="auto" w:fill="FFFFFF"/>
          <w:lang w:val="sl-SI"/>
        </w:rPr>
        <w:t>Za šole z oznako eTwinning</w:t>
      </w:r>
      <w:r>
        <w:rPr>
          <w:rStyle w:val="FootnoteReference"/>
          <w:rFonts w:eastAsia="Calibri" w:cs="Calibri"/>
          <w:kern w:val="3"/>
          <w:sz w:val="18"/>
          <w:szCs w:val="18"/>
          <w:bdr w:val="nil"/>
          <w:shd w:val="clear" w:color="auto" w:fill="FFFFFF"/>
          <w:lang w:val="sl-SI"/>
        </w:rPr>
        <w:footnoteReference w:id="94"/>
      </w:r>
      <w:r>
        <w:rPr>
          <w:rFonts w:eastAsia="Calibri" w:cs="Calibri"/>
          <w:kern w:val="3"/>
          <w:sz w:val="18"/>
          <w:szCs w:val="18"/>
          <w:bdr w:val="nil"/>
          <w:shd w:val="clear" w:color="auto" w:fill="FFFFFF"/>
          <w:lang w:val="sl-SI"/>
        </w:rPr>
        <w:t xml:space="preserve"> </w:t>
      </w:r>
      <w:r w:rsidRPr="00FC4A70">
        <w:rPr>
          <w:rFonts w:eastAsia="Calibri" w:cs="Calibri"/>
          <w:kern w:val="3"/>
          <w:sz w:val="18"/>
          <w:szCs w:val="18"/>
          <w:bdr w:val="nil"/>
          <w:shd w:val="clear" w:color="auto" w:fill="FFFFFF"/>
          <w:lang w:val="sl-SI"/>
        </w:rPr>
        <w:t>v projektu in ustvarjanje priložnosti zanje za spodbujanje najboljših praks v eTwinningu in zagotavljanje mentorstva drugim šolam, ki imajo manj izkušenj z eTwinningom;</w:t>
      </w:r>
    </w:p>
    <w:p w14:paraId="7D3991AA" w14:textId="77777777" w:rsidR="00E03711" w:rsidRPr="00FC4A70" w:rsidRDefault="00E03711" w:rsidP="002D7FF4">
      <w:pPr>
        <w:pStyle w:val="Guide-Normal0"/>
        <w:numPr>
          <w:ilvl w:val="0"/>
          <w:numId w:val="87"/>
        </w:numPr>
        <w:shd w:val="clear" w:color="auto" w:fill="auto"/>
        <w:suppressAutoHyphens/>
        <w:spacing w:after="120"/>
        <w:ind w:left="714" w:hanging="357"/>
        <w:textAlignment w:val="baseline"/>
      </w:pPr>
      <w:r w:rsidRPr="00FC4A70">
        <w:rPr>
          <w:rFonts w:eastAsia="Calibri" w:cs="Calibri"/>
          <w:kern w:val="3"/>
          <w:sz w:val="18"/>
          <w:szCs w:val="18"/>
          <w:bdr w:val="nil"/>
          <w:shd w:val="clear" w:color="auto" w:fill="FFFFFF"/>
          <w:lang w:val="sl-SI"/>
        </w:rPr>
        <w:t>Predstavitev konkretnih načrtov, ki temeljijo na prejšnjih ali obstoječih projektih eTwinning;</w:t>
      </w:r>
    </w:p>
    <w:p w14:paraId="7D3991AB" w14:textId="77777777" w:rsidR="00E03711" w:rsidRPr="00FC4A70" w:rsidRDefault="00E03711" w:rsidP="002D7FF4">
      <w:pPr>
        <w:pStyle w:val="Guide-Normal0"/>
        <w:numPr>
          <w:ilvl w:val="0"/>
          <w:numId w:val="87"/>
        </w:numPr>
        <w:shd w:val="clear" w:color="auto" w:fill="auto"/>
        <w:suppressAutoHyphens/>
        <w:ind w:left="714" w:hanging="357"/>
        <w:textAlignment w:val="baseline"/>
      </w:pPr>
      <w:r w:rsidRPr="00FC4A70">
        <w:rPr>
          <w:rFonts w:eastAsia="Calibri" w:cs="Calibri"/>
          <w:kern w:val="3"/>
          <w:sz w:val="18"/>
          <w:szCs w:val="18"/>
          <w:bdr w:val="nil"/>
          <w:shd w:val="clear" w:color="auto" w:fill="FFFFFF"/>
          <w:lang w:val="sl-SI"/>
        </w:rPr>
        <w:t>Uporaba eTwininga v kombinaciji s fizično mobilnostjo za oblikovanje daljših, pogostejših in bogatejših izmenjav med učenci in dijaki ter učitelji iz različnih držav (kombinirana mobilnost).</w:t>
      </w:r>
    </w:p>
    <w:p w14:paraId="7D3991AC" w14:textId="77777777" w:rsidR="00E03711" w:rsidRPr="001048FE" w:rsidRDefault="00E03711" w:rsidP="003A4468">
      <w:pPr>
        <w:pStyle w:val="GUIDE-NORMAL"/>
        <w:rPr>
          <w:lang w:val="sl-SI"/>
        </w:rPr>
      </w:pPr>
    </w:p>
    <w:p w14:paraId="7D3991AD" w14:textId="77777777" w:rsidR="00E03711" w:rsidRPr="001048FE" w:rsidRDefault="00E03711" w:rsidP="003A4468">
      <w:pPr>
        <w:pStyle w:val="Guide-Heading5"/>
        <w:rPr>
          <w:lang w:val="sl-SI"/>
        </w:rPr>
      </w:pPr>
      <w:bookmarkStart w:id="209" w:name="Critères_d’admissibilité_spécifiques_app"/>
      <w:bookmarkEnd w:id="209"/>
      <w:r w:rsidRPr="001048FE">
        <w:rPr>
          <w:lang w:val="sl-SI"/>
        </w:rPr>
        <w:t>Posebna merila za upravičenost za partnerstva za izmenjavo med šolami</w:t>
      </w:r>
    </w:p>
    <w:p w14:paraId="7D3991AE" w14:textId="77777777" w:rsidR="00E03711" w:rsidRPr="001048FE" w:rsidRDefault="00E03711" w:rsidP="003A4468">
      <w:pPr>
        <w:pStyle w:val="GUIDE-NORMAL"/>
        <w:rPr>
          <w:lang w:val="sl-SI"/>
        </w:rPr>
      </w:pPr>
      <w:r w:rsidRPr="001048FE">
        <w:rPr>
          <w:lang w:val="sl-SI"/>
        </w:rPr>
        <w:t>V primerjavi z drugimi strateškimi partnerstvi bodo za to obliko veljala naslednja posebna pravila:</w:t>
      </w:r>
    </w:p>
    <w:p w14:paraId="7D3991AF" w14:textId="77777777" w:rsidR="00E03711" w:rsidRPr="001048FE" w:rsidRDefault="00E03711" w:rsidP="005115F2">
      <w:pPr>
        <w:pStyle w:val="Guide-NormalBulletpoints"/>
        <w:numPr>
          <w:ilvl w:val="0"/>
          <w:numId w:val="400"/>
        </w:numPr>
        <w:rPr>
          <w:lang w:val="sl-SI"/>
        </w:rPr>
      </w:pPr>
      <w:r w:rsidRPr="001048FE">
        <w:rPr>
          <w:lang w:val="sl-SI"/>
        </w:rPr>
        <w:t>partnerstva morajo vključevati vsaj dve in največ šest šol</w:t>
      </w:r>
      <w:r w:rsidRPr="001048FE">
        <w:rPr>
          <w:rStyle w:val="FootnoteReference"/>
          <w:lang w:val="sl-SI"/>
        </w:rPr>
        <w:footnoteReference w:id="95"/>
      </w:r>
      <w:r w:rsidRPr="001048FE">
        <w:rPr>
          <w:lang w:val="sl-SI"/>
        </w:rPr>
        <w:t xml:space="preserve">; </w:t>
      </w:r>
    </w:p>
    <w:p w14:paraId="7D3991B0" w14:textId="77777777" w:rsidR="00E03711" w:rsidRPr="001048FE" w:rsidRDefault="00E03711" w:rsidP="005115F2">
      <w:pPr>
        <w:pStyle w:val="Guide-NormalBulletpoints"/>
        <w:numPr>
          <w:ilvl w:val="0"/>
          <w:numId w:val="400"/>
        </w:numPr>
        <w:rPr>
          <w:lang w:val="sl-SI"/>
        </w:rPr>
      </w:pPr>
      <w:r w:rsidRPr="001048FE">
        <w:rPr>
          <w:lang w:val="sl-SI"/>
        </w:rPr>
        <w:t>sodelujejo lahko le šole iz držav Programa;</w:t>
      </w:r>
    </w:p>
    <w:p w14:paraId="7D3991B1" w14:textId="77777777" w:rsidR="00E03711" w:rsidRPr="001048FE" w:rsidRDefault="00E03711" w:rsidP="005115F2">
      <w:pPr>
        <w:pStyle w:val="Guide-NormalBulletpoints"/>
        <w:numPr>
          <w:ilvl w:val="0"/>
          <w:numId w:val="400"/>
        </w:numPr>
        <w:rPr>
          <w:lang w:val="sl-SI"/>
        </w:rPr>
      </w:pPr>
      <w:r w:rsidRPr="001048FE">
        <w:rPr>
          <w:lang w:val="sl-SI"/>
        </w:rPr>
        <w:t xml:space="preserve">projekti bodo praviloma trajali od 12 do 24 mesecev. </w:t>
      </w:r>
      <w:r w:rsidRPr="00FC4A70">
        <w:rPr>
          <w:rFonts w:eastAsia="Calibri" w:cs="Calibri"/>
          <w:bdr w:val="nil"/>
          <w:lang w:val="sl-SI" w:eastAsia="zh-CN"/>
        </w:rPr>
        <w:t>Samo projekti, v okviru katerih se organizira dolgotrajna mobilnost učencev/dijakov, lahko trajajo do 36 mesecev;</w:t>
      </w:r>
    </w:p>
    <w:p w14:paraId="7D3991B2" w14:textId="77777777" w:rsidR="00E03711" w:rsidRPr="001048FE" w:rsidRDefault="00E03711" w:rsidP="005115F2">
      <w:pPr>
        <w:pStyle w:val="Guide-NormalBulletpoints"/>
        <w:numPr>
          <w:ilvl w:val="0"/>
          <w:numId w:val="400"/>
        </w:numPr>
        <w:rPr>
          <w:lang w:val="sl-SI"/>
        </w:rPr>
      </w:pPr>
      <w:r w:rsidRPr="001048FE">
        <w:rPr>
          <w:lang w:val="sl-SI"/>
        </w:rPr>
        <w:t>finančna sredstva so zagotovljena za aktivnosti mobilnosti osebja in učencev/dijakov (vključno s spremljajočimi učitelji ali drugimi usposobljenimi osebami) ter za splošne stroške vodenja in izvajanja projektov. Namenska sredstva niso zagotovljena za intelektualne rezultate, multiplikativne dogodke in mednarodna projektna srečanja. Če je upravičeno, je mogoče zaprositi za dodatna sredstva za podporo udeležencem s posebnimi potrebami in za izredne stroške. Za podrobnosti glej poglavje „Kakšna so pravila za dodelitev sredstev?“;</w:t>
      </w:r>
    </w:p>
    <w:p w14:paraId="7D3991B3" w14:textId="77777777" w:rsidR="00E03711" w:rsidRDefault="00E03711" w:rsidP="005115F2">
      <w:pPr>
        <w:pStyle w:val="Guide-NormalBulletpoints"/>
        <w:numPr>
          <w:ilvl w:val="0"/>
          <w:numId w:val="400"/>
        </w:numPr>
        <w:rPr>
          <w:lang w:val="sl-SI"/>
        </w:rPr>
      </w:pPr>
      <w:r w:rsidRPr="00A81096">
        <w:rPr>
          <w:lang w:val="sl-SI"/>
        </w:rPr>
        <w:t xml:space="preserve">financiranje bo omejeno na največ 16 500 EUR na leto na sodelujočo šolo. </w:t>
      </w:r>
      <w:r w:rsidRPr="00A81096">
        <w:rPr>
          <w:rFonts w:eastAsia="Calibri" w:cs="Calibri"/>
          <w:bdr w:val="nil"/>
          <w:lang w:val="sl-SI" w:eastAsia="zh-CN"/>
        </w:rPr>
        <w:t>Ta omejitev se uporabi na nivoju projekta</w:t>
      </w:r>
      <w:r w:rsidRPr="00FC4A70">
        <w:rPr>
          <w:rStyle w:val="FootnoteReference"/>
        </w:rPr>
        <w:footnoteReference w:id="96"/>
      </w:r>
      <w:r w:rsidRPr="00A81096">
        <w:rPr>
          <w:rFonts w:eastAsia="Calibri" w:cs="Calibri"/>
          <w:bdr w:val="nil"/>
          <w:lang w:val="sl-SI" w:eastAsia="zh-CN"/>
        </w:rPr>
        <w:t>.</w:t>
      </w:r>
      <w:r w:rsidRPr="00A81096">
        <w:rPr>
          <w:lang w:val="sl-SI"/>
        </w:rPr>
        <w:t xml:space="preserve"> V to omejitev niso vključena sredstva za podporo udeležencem s posebnimi potrebami in za izredne stroške za drage potne stroške.</w:t>
      </w:r>
    </w:p>
    <w:p w14:paraId="7D3991B4" w14:textId="77777777" w:rsidR="00E03711" w:rsidRPr="001048FE" w:rsidRDefault="00E03711" w:rsidP="00EA027A">
      <w:pPr>
        <w:pStyle w:val="Guide-NormalBulletpoints"/>
        <w:rPr>
          <w:lang w:val="sl-SI"/>
        </w:rPr>
      </w:pPr>
      <w:r w:rsidRPr="001048FE">
        <w:rPr>
          <w:lang w:val="sl-SI"/>
        </w:rPr>
        <w:t>Uspešna partnerstva za izmenjavo med šolami bodo za razliko od drugih strateških partnerstev uporabljala poseben pogodbeni model. Šola prijaviteljica ob prijavi prevzame vodilno vlogo v projektu in se prijavi v imenu vseh sodelujočih šol. Vendar bo po izbiri partnerstva vsaka sodelujoča šola podpisala ločen sporazum o nepovratnih sredstvih z nacionalno agencijo, ki je ustanovljena v njeni državi. Šola prijaviteljica ostane koordinatorka ves čas trajanja projekta in bo odgovorna za poročanje o splošnih rezultatih projekta, partnerske šole pa poročajo le o svojih posameznih stroških.</w:t>
      </w:r>
    </w:p>
    <w:p w14:paraId="7D3991B5" w14:textId="77777777" w:rsidR="00E03711" w:rsidRPr="001048FE" w:rsidRDefault="00E03711" w:rsidP="003A4468">
      <w:pPr>
        <w:pStyle w:val="Guide-Heading4"/>
        <w:rPr>
          <w:lang w:val="sl-SI"/>
        </w:rPr>
      </w:pPr>
      <w:bookmarkStart w:id="210" w:name="Initiatives_transnationales_dans_le_doma"/>
      <w:bookmarkStart w:id="211" w:name="_Toc527401151"/>
      <w:bookmarkEnd w:id="210"/>
      <w:r w:rsidRPr="001048FE">
        <w:rPr>
          <w:lang w:val="sl-SI"/>
        </w:rPr>
        <w:t>Transnacionalne mladinske pobude</w:t>
      </w:r>
      <w:r w:rsidRPr="001048FE">
        <w:rPr>
          <w:rStyle w:val="FootnoteReference"/>
          <w:lang w:val="sl-SI"/>
        </w:rPr>
        <w:footnoteReference w:id="97"/>
      </w:r>
      <w:bookmarkEnd w:id="211"/>
    </w:p>
    <w:p w14:paraId="7D3991B6" w14:textId="77777777" w:rsidR="00E03711" w:rsidRPr="001048FE" w:rsidRDefault="00E03711" w:rsidP="003A4468">
      <w:pPr>
        <w:pStyle w:val="GUIDE-NORMAL"/>
        <w:rPr>
          <w:lang w:val="sl-SI"/>
        </w:rPr>
      </w:pPr>
      <w:r w:rsidRPr="001048FE">
        <w:rPr>
          <w:lang w:val="sl-SI"/>
        </w:rPr>
        <w:t>Namen teh strateških partnerstev na področju mladine je spodbujati družbeno predanost in podjetniški duh med mladimi. Te pobude so lahko na primer povezane z:</w:t>
      </w:r>
    </w:p>
    <w:p w14:paraId="7D3991B7" w14:textId="77777777" w:rsidR="00E03711" w:rsidRPr="001048FE" w:rsidRDefault="00E03711" w:rsidP="005115F2">
      <w:pPr>
        <w:pStyle w:val="Guide-NormalBulletpoints"/>
        <w:numPr>
          <w:ilvl w:val="0"/>
          <w:numId w:val="263"/>
        </w:numPr>
        <w:rPr>
          <w:lang w:val="sl-SI"/>
        </w:rPr>
      </w:pPr>
      <w:r w:rsidRPr="001048FE">
        <w:rPr>
          <w:lang w:val="sl-SI"/>
        </w:rPr>
        <w:t>ustanavljanjem (mrež) socialnih podjetij, združenj, klubov, NVO;</w:t>
      </w:r>
    </w:p>
    <w:p w14:paraId="7D3991B8" w14:textId="77777777" w:rsidR="00E03711" w:rsidRPr="001048FE" w:rsidRDefault="00E03711" w:rsidP="005115F2">
      <w:pPr>
        <w:pStyle w:val="Guide-NormalBulletpoints"/>
        <w:numPr>
          <w:ilvl w:val="0"/>
          <w:numId w:val="263"/>
        </w:numPr>
        <w:rPr>
          <w:lang w:val="sl-SI"/>
        </w:rPr>
      </w:pPr>
      <w:r w:rsidRPr="001048FE">
        <w:rPr>
          <w:lang w:val="sl-SI"/>
        </w:rPr>
        <w:t>razvojem in izvajanjem tečajev in usposabljanj v zvezi s podjetniškim izobraževanjem (zlasti socialnim podjetništvom in uporabo IKT);</w:t>
      </w:r>
    </w:p>
    <w:p w14:paraId="7D3991B9" w14:textId="77777777" w:rsidR="00E03711" w:rsidRPr="001048FE" w:rsidRDefault="00E03711" w:rsidP="005115F2">
      <w:pPr>
        <w:pStyle w:val="Guide-NormalBulletpoints"/>
        <w:numPr>
          <w:ilvl w:val="0"/>
          <w:numId w:val="263"/>
        </w:numPr>
        <w:rPr>
          <w:lang w:val="sl-SI"/>
        </w:rPr>
      </w:pPr>
      <w:r w:rsidRPr="001048FE">
        <w:rPr>
          <w:lang w:val="sl-SI"/>
        </w:rPr>
        <w:t>informacijami, medijsko pismenostjo, ukrepi senzibilizacije ali ukrepi, ki spodbujajo družbeno udeležbo med mladimi (npr. razprave, konference, dogodki, posvetovanja, pobude v zvezi z evropskimi temami itd.);</w:t>
      </w:r>
    </w:p>
    <w:p w14:paraId="7D3991BA" w14:textId="77777777" w:rsidR="00E03711" w:rsidRPr="001048FE" w:rsidRDefault="00E03711" w:rsidP="005115F2">
      <w:pPr>
        <w:pStyle w:val="Guide-NormalBulletpoints"/>
        <w:numPr>
          <w:ilvl w:val="0"/>
          <w:numId w:val="263"/>
        </w:numPr>
        <w:rPr>
          <w:lang w:val="sl-SI"/>
        </w:rPr>
      </w:pPr>
      <w:r w:rsidRPr="001048FE">
        <w:rPr>
          <w:lang w:val="sl-SI"/>
        </w:rPr>
        <w:t>ukrepi v korist lokalnih skupnosti (npr. podpora ranljivim skupinam, kot so starejši ljudje, pripadniki manjšin, priseljenci, osebe, ki imajo posebne potrebe itd.);</w:t>
      </w:r>
    </w:p>
    <w:p w14:paraId="7D3991BB" w14:textId="77777777" w:rsidR="00E03711" w:rsidRPr="001048FE" w:rsidRDefault="00E03711" w:rsidP="005115F2">
      <w:pPr>
        <w:pStyle w:val="Guide-NormalBulletpoints"/>
        <w:numPr>
          <w:ilvl w:val="0"/>
          <w:numId w:val="263"/>
        </w:numPr>
        <w:rPr>
          <w:lang w:val="sl-SI"/>
        </w:rPr>
      </w:pPr>
      <w:r w:rsidRPr="001048FE">
        <w:rPr>
          <w:lang w:val="sl-SI"/>
        </w:rPr>
        <w:t>pobudami v umetnosti in kulturi (gledališke igre, razstave, glasbene predstave, razpravni forumi itd.).</w:t>
      </w:r>
    </w:p>
    <w:p w14:paraId="7D3991BC" w14:textId="77777777" w:rsidR="00E03711" w:rsidRPr="001048FE" w:rsidRDefault="00E03711" w:rsidP="003A4468">
      <w:pPr>
        <w:pStyle w:val="GUIDE-NORMAL"/>
        <w:rPr>
          <w:lang w:val="sl-SI"/>
        </w:rPr>
      </w:pPr>
      <w:r w:rsidRPr="001048FE">
        <w:rPr>
          <w:lang w:val="sl-SI"/>
        </w:rPr>
        <w:t>Posebna značilnost te oblike strateških partnerstev je, da mladinske pobude sprožijo, vzpostavijo in izvajajo mladi sami.</w:t>
      </w:r>
    </w:p>
    <w:p w14:paraId="7D3991BD" w14:textId="77777777" w:rsidR="00E03711" w:rsidRPr="001048FE" w:rsidRDefault="00E03711" w:rsidP="003A4468">
      <w:pPr>
        <w:pStyle w:val="Guide-Heading5"/>
        <w:rPr>
          <w:lang w:val="sl-SI"/>
        </w:rPr>
      </w:pPr>
      <w:r w:rsidRPr="001048FE">
        <w:rPr>
          <w:lang w:val="sl-SI"/>
        </w:rPr>
        <w:t>Kaj je še treba vedeti o tem ukrepu?</w:t>
      </w:r>
    </w:p>
    <w:p w14:paraId="7D3991BE" w14:textId="77777777" w:rsidR="00E03711" w:rsidRPr="001048FE" w:rsidRDefault="00E03711" w:rsidP="003A4468">
      <w:pPr>
        <w:pStyle w:val="Guide-Heading6"/>
        <w:rPr>
          <w:lang w:val="sl-SI"/>
        </w:rPr>
      </w:pPr>
      <w:r w:rsidRPr="001048FE">
        <w:rPr>
          <w:lang w:val="sl-SI"/>
        </w:rPr>
        <w:t>Podpora regionalnemu sodelovanju v šolskem izobraževanju</w:t>
      </w:r>
    </w:p>
    <w:p w14:paraId="7D3991BF" w14:textId="77777777" w:rsidR="00E03711" w:rsidRPr="001048FE" w:rsidRDefault="00E03711" w:rsidP="003A4468">
      <w:pPr>
        <w:pStyle w:val="GUIDE-NORMAL"/>
        <w:rPr>
          <w:lang w:val="sl-SI"/>
        </w:rPr>
      </w:pPr>
      <w:r w:rsidRPr="001048FE">
        <w:rPr>
          <w:lang w:val="sl-SI"/>
        </w:rPr>
        <w:t>Strateška partnerstva na področju šolskega izobraževanja se lahko prijavijo za projekte, ki temeljijo na čezmejnem sodelovanju med regijami ali občinami iz različnih držav. Poseben vidik teh partnerstev je strateško vključevanje lokalnih in/ali regionalnih šolskih organov. Za pripravo uspešne prijave morajo lokalni ali regionalni organi prevzeti vodilno vlogo pri načrtovanju aktivnosti, ki obravnavajo skupno vprašanje, z vključitvijo organizacij iz civilnih in zasebnih sektorjev, skupaj s šolami v skupnosti.</w:t>
      </w:r>
    </w:p>
    <w:p w14:paraId="7D3991C0" w14:textId="77777777" w:rsidR="00E03711" w:rsidRPr="00FC4A70" w:rsidRDefault="00E03711" w:rsidP="00A37B39">
      <w:pPr>
        <w:pStyle w:val="Guide-Heading6"/>
        <w:rPr>
          <w:lang w:val="sl-SI"/>
        </w:rPr>
      </w:pPr>
      <w:r w:rsidRPr="00FC4A70">
        <w:rPr>
          <w:rFonts w:eastAsia="Calibri" w:cs="Calibri"/>
          <w:bCs/>
          <w:szCs w:val="20"/>
          <w:bdr w:val="nil"/>
          <w:lang w:val="sl-SI"/>
        </w:rPr>
        <w:t>Izredni stroški za drago potovanje</w:t>
      </w:r>
    </w:p>
    <w:p w14:paraId="7D3991C1" w14:textId="4200C5A5" w:rsidR="00E03711" w:rsidRDefault="00E03711" w:rsidP="00A37B39">
      <w:pPr>
        <w:pStyle w:val="Guide-Normal0"/>
        <w:rPr>
          <w:rFonts w:eastAsia="Calibri" w:cs="Calibri"/>
          <w:kern w:val="3"/>
          <w:sz w:val="18"/>
          <w:szCs w:val="18"/>
          <w:bdr w:val="nil"/>
          <w:shd w:val="clear" w:color="auto" w:fill="FFFFFF"/>
          <w:lang w:val="sl-SI"/>
        </w:rPr>
      </w:pPr>
      <w:r w:rsidRPr="00FC4A70">
        <w:rPr>
          <w:rFonts w:eastAsia="Calibri" w:cs="Calibri"/>
          <w:kern w:val="3"/>
          <w:sz w:val="18"/>
          <w:szCs w:val="18"/>
          <w:bdr w:val="nil"/>
          <w:shd w:val="clear" w:color="auto" w:fill="FFFFFF"/>
          <w:lang w:val="sl-SI"/>
        </w:rPr>
        <w:t>Prijavitelji strateških partnerstev, ki organizirajo aktivnosti učenja, poučevanja in usposabljanja, bodo lahko zaprosili za finančno podporo pod postavko proračuna „izredni stroški“ (do največ 80 % vseh upravičenih stroškov: glej „Kakšna so pravila za dodelitev sredstev?“)</w:t>
      </w:r>
      <w:r>
        <w:rPr>
          <w:rFonts w:eastAsia="Calibri" w:cs="Calibri"/>
          <w:kern w:val="3"/>
          <w:sz w:val="18"/>
          <w:szCs w:val="18"/>
          <w:bdr w:val="nil"/>
          <w:shd w:val="clear" w:color="auto" w:fill="FFFFFF"/>
          <w:lang w:val="sl-SI"/>
        </w:rPr>
        <w:t>, vključno s primeri, ko se udeleženci odločijo za čistejša prevozna sredstva, z manj  emisijami ogljika (npr. vlak), kar vodi do višjih stroškov potovanja</w:t>
      </w:r>
      <w:r w:rsidRPr="00FC4A70">
        <w:rPr>
          <w:rFonts w:eastAsia="Calibri" w:cs="Calibri"/>
          <w:kern w:val="3"/>
          <w:sz w:val="18"/>
          <w:szCs w:val="18"/>
          <w:bdr w:val="nil"/>
          <w:shd w:val="clear" w:color="auto" w:fill="FFFFFF"/>
          <w:lang w:val="sl-SI"/>
        </w:rPr>
        <w:t>. To je dovoljeno pod pogojem, da lahko prijavitelji utemeljijo, da običajna pravila financiranja (na podlagi stroškov na enoto za pas oddaljenosti) ne krijejo vsaj 70 % potnih stroškov udeležencev.</w:t>
      </w:r>
      <w:r w:rsidRPr="00A37B39">
        <w:rPr>
          <w:rFonts w:eastAsia="Calibri" w:cs="Calibri"/>
          <w:vanish/>
          <w:kern w:val="3"/>
          <w:sz w:val="18"/>
          <w:szCs w:val="18"/>
          <w:bdr w:val="nil"/>
          <w:shd w:val="clear" w:color="auto" w:fill="FFFFFF"/>
          <w:lang w:val="sl-SI"/>
        </w:rPr>
        <w:t xml:space="preserve">. </w:t>
      </w:r>
      <w:r w:rsidRPr="00FC4A70">
        <w:rPr>
          <w:rFonts w:eastAsia="Calibri" w:cs="Calibri"/>
          <w:kern w:val="3"/>
          <w:sz w:val="18"/>
          <w:szCs w:val="18"/>
          <w:bdr w:val="nil"/>
          <w:shd w:val="clear" w:color="auto" w:fill="FFFFFF"/>
          <w:lang w:val="sl-SI"/>
        </w:rPr>
        <w:t>Če so dodeljena, se namesto standardnih potnih stroškov upoštevajo izredni stroški za drago potovanje.</w:t>
      </w:r>
    </w:p>
    <w:p w14:paraId="32AB19D8" w14:textId="7273798F" w:rsidR="002C560E" w:rsidRDefault="002C560E" w:rsidP="00A37B39">
      <w:pPr>
        <w:pStyle w:val="Guide-Normal0"/>
        <w:rPr>
          <w:rFonts w:eastAsia="Calibri" w:cs="Calibri"/>
          <w:kern w:val="3"/>
          <w:sz w:val="18"/>
          <w:szCs w:val="18"/>
          <w:bdr w:val="nil"/>
          <w:shd w:val="clear" w:color="auto" w:fill="FFFFFF"/>
          <w:lang w:val="sl-SI"/>
        </w:rPr>
      </w:pPr>
    </w:p>
    <w:p w14:paraId="530B5D02" w14:textId="12213544" w:rsidR="002C560E" w:rsidRDefault="002C560E" w:rsidP="00A37B39">
      <w:pPr>
        <w:pStyle w:val="Guide-Normal0"/>
        <w:rPr>
          <w:rFonts w:eastAsia="Calibri" w:cs="Calibri"/>
          <w:kern w:val="3"/>
          <w:sz w:val="18"/>
          <w:szCs w:val="18"/>
          <w:bdr w:val="nil"/>
          <w:shd w:val="clear" w:color="auto" w:fill="FFFFFF"/>
          <w:lang w:val="sl-SI"/>
        </w:rPr>
      </w:pPr>
    </w:p>
    <w:p w14:paraId="3DE7605A" w14:textId="77777777" w:rsidR="002C560E" w:rsidRPr="00C60205" w:rsidRDefault="002C560E" w:rsidP="00C60205">
      <w:pPr>
        <w:pStyle w:val="Guide-Heading4TOC"/>
        <w:suppressAutoHyphens w:val="0"/>
        <w:spacing w:after="200"/>
        <w:textAlignment w:val="auto"/>
        <w:outlineLvl w:val="9"/>
        <w:rPr>
          <w:b w:val="0"/>
          <w:bCs/>
          <w:szCs w:val="28"/>
          <w:lang w:val="sl-SI"/>
        </w:rPr>
      </w:pPr>
      <w:bookmarkStart w:id="212" w:name="_Toc496600106"/>
      <w:bookmarkStart w:id="213" w:name="_Toc22291154"/>
      <w:r w:rsidRPr="00C60205">
        <w:rPr>
          <w:bCs/>
          <w:kern w:val="0"/>
          <w:szCs w:val="28"/>
          <w:lang w:val="sl-SI"/>
        </w:rPr>
        <w:t xml:space="preserve">Strateška partnerstva, ustanovljena zaradi </w:t>
      </w:r>
      <w:bookmarkEnd w:id="212"/>
      <w:bookmarkEnd w:id="213"/>
      <w:r w:rsidRPr="00C60205">
        <w:rPr>
          <w:bCs/>
          <w:kern w:val="0"/>
          <w:szCs w:val="28"/>
          <w:lang w:val="sl-SI"/>
        </w:rPr>
        <w:t>razmer v zvezi s COVID-19</w:t>
      </w:r>
    </w:p>
    <w:p w14:paraId="70683F39" w14:textId="77777777" w:rsidR="002C560E" w:rsidRPr="00C60205" w:rsidRDefault="002C560E" w:rsidP="00C60205">
      <w:pPr>
        <w:pStyle w:val="Guide-Heading5"/>
        <w:suppressAutoHyphens w:val="0"/>
        <w:spacing w:before="200" w:after="200"/>
        <w:textAlignment w:val="auto"/>
        <w:outlineLvl w:val="9"/>
        <w:rPr>
          <w:b w:val="0"/>
          <w:bCs/>
          <w:szCs w:val="22"/>
          <w:lang w:val="sl-SI"/>
        </w:rPr>
      </w:pPr>
      <w:r w:rsidRPr="00C60205">
        <w:rPr>
          <w:bCs/>
          <w:kern w:val="0"/>
          <w:szCs w:val="22"/>
          <w:lang w:val="sl-SI"/>
        </w:rPr>
        <w:t xml:space="preserve">Kakšni so cilji in prednostne naloge strateškega partnerstva, ustanovljenega zaradi razmer v zvezi s COVID-19? </w:t>
      </w:r>
    </w:p>
    <w:p w14:paraId="6A4E6870" w14:textId="77777777" w:rsidR="002C560E" w:rsidRPr="002C560E" w:rsidRDefault="002C560E" w:rsidP="002C560E">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Pandemija COVID-19 ne omejuje samo možnosti za povezovanje med ljudmi in opravljanje njihovih najosnovnejših vsakodnevnih opravil, temveč močno vpliva tudi na redno izvajanje izobraževanja, usposabljanja in mladinskih politik. V času, ko se naše družbe spopadajo s številnimi izzivi, se bolj kot kdaj prej kaže, da je dostop do izobraževanja bistvenega pomena za zagotavljanje hitrega okrevanja ob hkratnem spodbujanju enakih možnosti za ljudi iz vseh okolij. </w:t>
      </w:r>
    </w:p>
    <w:p w14:paraId="5D097EE8" w14:textId="77777777" w:rsidR="002C560E" w:rsidRPr="002C560E" w:rsidRDefault="002C560E" w:rsidP="002C560E">
      <w:pPr>
        <w:pStyle w:val="Guide-Normal0"/>
        <w:rPr>
          <w:rFonts w:eastAsia="Calibri" w:cs="Calibri"/>
          <w:sz w:val="18"/>
          <w:szCs w:val="18"/>
          <w:bdr w:val="nil"/>
          <w:shd w:val="clear" w:color="auto" w:fill="FFFFFF"/>
          <w:lang w:val="sl-SI"/>
        </w:rPr>
      </w:pPr>
    </w:p>
    <w:p w14:paraId="50566B8A" w14:textId="77777777" w:rsidR="002C560E" w:rsidRPr="002C560E" w:rsidRDefault="002C560E" w:rsidP="002C560E">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V teh izjemnih okoliščinah program Erasmus+ sprejema izziv, s katerim potrjuje svojo vlogo glavnega instrumenta EU, ki podpira inovacije na področju izobraževanja, usposabljanja, mladine in športa ter zagotavlja možnosti za osebni, socio-izobraževalni in poklicni razvoj prebivalcev Evrope in drugih držav s ciljem, da pri tem ni nihče zapostavljen. </w:t>
      </w:r>
    </w:p>
    <w:p w14:paraId="1E685E22" w14:textId="77777777" w:rsidR="002C560E" w:rsidRPr="002C560E" w:rsidRDefault="002C560E" w:rsidP="002C560E">
      <w:pPr>
        <w:pStyle w:val="Guide-Normal0"/>
        <w:rPr>
          <w:rFonts w:eastAsia="Calibri" w:cs="Calibri"/>
          <w:sz w:val="18"/>
          <w:szCs w:val="18"/>
          <w:bdr w:val="nil"/>
          <w:shd w:val="clear" w:color="auto" w:fill="FFFFFF"/>
          <w:lang w:val="sl-SI"/>
        </w:rPr>
      </w:pPr>
    </w:p>
    <w:p w14:paraId="24EFFF64" w14:textId="77777777" w:rsidR="002C560E" w:rsidRPr="002C560E" w:rsidRDefault="002C560E" w:rsidP="002C560E">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Zaradi okoliščin v zvezi s pandemijo COVID-19 bo program Erasmus+ v letu 2020 izjemoma podprl:</w:t>
      </w:r>
    </w:p>
    <w:p w14:paraId="26256C48" w14:textId="77777777" w:rsidR="002C560E" w:rsidRPr="002C560E" w:rsidRDefault="002C560E" w:rsidP="00C60205">
      <w:pPr>
        <w:pStyle w:val="Guide-Normal0"/>
        <w:ind w:left="720"/>
        <w:rPr>
          <w:rFonts w:eastAsia="Calibri" w:cs="Calibri"/>
          <w:sz w:val="18"/>
          <w:szCs w:val="18"/>
          <w:bdr w:val="nil"/>
          <w:shd w:val="clear" w:color="auto" w:fill="FFFFFF"/>
          <w:lang w:val="sl-SI"/>
        </w:rPr>
      </w:pPr>
    </w:p>
    <w:p w14:paraId="04B7CE8A" w14:textId="77777777" w:rsidR="002C560E" w:rsidRPr="002C560E" w:rsidRDefault="002C560E" w:rsidP="002C560E">
      <w:pPr>
        <w:pStyle w:val="Guide-Normal0"/>
        <w:numPr>
          <w:ilvl w:val="0"/>
          <w:numId w:val="504"/>
        </w:numPr>
        <w:rPr>
          <w:rFonts w:eastAsia="Calibri" w:cs="Calibri"/>
          <w:b/>
          <w:bCs/>
          <w:sz w:val="18"/>
          <w:szCs w:val="18"/>
          <w:bdr w:val="nil"/>
          <w:shd w:val="clear" w:color="auto" w:fill="FFFFFF"/>
          <w:lang w:val="sl-SI"/>
        </w:rPr>
      </w:pPr>
      <w:r w:rsidRPr="002C560E">
        <w:rPr>
          <w:rFonts w:eastAsia="Calibri" w:cs="Calibri"/>
          <w:b/>
          <w:bCs/>
          <w:sz w:val="18"/>
          <w:szCs w:val="18"/>
          <w:bdr w:val="nil"/>
          <w:shd w:val="clear" w:color="auto" w:fill="FFFFFF"/>
          <w:lang w:val="sl-SI"/>
        </w:rPr>
        <w:t xml:space="preserve">partnerstva za digitalno pripravljenost v izobraževanju (na področju šolskega izobraževanja, poklicnega izobraževanja in usposabljanja ter visokega šolstva): </w:t>
      </w:r>
      <w:r w:rsidRPr="002C560E">
        <w:rPr>
          <w:rFonts w:eastAsia="Calibri" w:cs="Calibri"/>
          <w:sz w:val="18"/>
          <w:szCs w:val="18"/>
          <w:bdr w:val="nil"/>
          <w:shd w:val="clear" w:color="auto" w:fill="FFFFFF"/>
          <w:lang w:val="sl-SI"/>
        </w:rPr>
        <w:t>namen teh projektov je</w:t>
      </w:r>
      <w:r w:rsidRPr="002C560E">
        <w:rPr>
          <w:rFonts w:eastAsia="Calibri" w:cs="Calibri"/>
          <w:b/>
          <w:bCs/>
          <w:sz w:val="18"/>
          <w:szCs w:val="18"/>
          <w:bdr w:val="nil"/>
          <w:shd w:val="clear" w:color="auto" w:fill="FFFFFF"/>
          <w:lang w:val="sl-SI"/>
        </w:rPr>
        <w:t xml:space="preserve"> </w:t>
      </w:r>
      <w:r w:rsidRPr="002C560E">
        <w:rPr>
          <w:rFonts w:eastAsia="Calibri" w:cs="Calibri"/>
          <w:sz w:val="18"/>
          <w:szCs w:val="18"/>
          <w:bdr w:val="nil"/>
          <w:shd w:val="clear" w:color="auto" w:fill="FFFFFF"/>
          <w:lang w:val="sl-SI"/>
        </w:rPr>
        <w:t>pripraviti sisteme izobraževanja in usposabljanja na spopadanje z izzivi nedavnega nenadnega prehoda na spletno učenje in učenje na daljavo, vključno z zagotavljanjem podpore učiteljem pri razvoju digitalnih kompetenc in zagotavljanju vključujočega značaja priložnosti za učenje.</w:t>
      </w:r>
    </w:p>
    <w:p w14:paraId="1A7B4972" w14:textId="77777777" w:rsidR="002C560E" w:rsidRPr="002C560E" w:rsidRDefault="002C560E" w:rsidP="00C60205">
      <w:pPr>
        <w:pStyle w:val="Guide-Normal0"/>
        <w:ind w:left="72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V teh časih krize zaradi COVID-19 se je močno povečala potreba po posodobitvi in digitalizaciji sistemov izobraževanja in usposabljanja po vsej Evropi. Cilj je okrepiti sposobnost institucij za izobraževanje in usposabljanje, da zagotovijo visokokakovostno vključujoče digitalno izobraževanje. Poudarek bo na gradnji zmogljivosti za izvajanje spletnega in kombiniranega poučevanja in učenja ter poučevanja in učenja na daljavo; za razvoj digitalnih pedagoških kompetenc izobraževalnega osebja, kar mu bo omogočilo, da bo lahko izvajalo visokokakovostno vključujoče digitalno izobraževanje, ter za razvoj in/ali uporabo visokokakovostnih digitalnih vsebin, kot so inovativni spletni viri in orodja. Partnerstva bodo spodbujala mreženje institucij iz vse EU, deljenje virov in izmenjavo strokovnega znanja ter sodelovanje s ponudniki digitalne tehnologije in strokovnjaki na področju izobraževalnih tehnologij in ustrezne pedagoške prakse, da bi se oblikovale ustrezne rešitve, prilagojene lokalnim izzivom in danostim;</w:t>
      </w:r>
    </w:p>
    <w:p w14:paraId="06BD4E91" w14:textId="77777777" w:rsidR="002C560E" w:rsidRPr="002C560E" w:rsidRDefault="002C560E" w:rsidP="00C60205">
      <w:pPr>
        <w:pStyle w:val="Guide-Normal0"/>
        <w:ind w:left="720"/>
        <w:rPr>
          <w:rFonts w:eastAsia="Calibri" w:cs="Calibri"/>
          <w:sz w:val="18"/>
          <w:szCs w:val="18"/>
          <w:bdr w:val="nil"/>
          <w:shd w:val="clear" w:color="auto" w:fill="FFFFFF"/>
          <w:lang w:val="sl-SI"/>
        </w:rPr>
      </w:pPr>
    </w:p>
    <w:p w14:paraId="277BD456" w14:textId="77777777" w:rsidR="002C560E" w:rsidRPr="002C560E" w:rsidRDefault="002C560E" w:rsidP="002C560E">
      <w:pPr>
        <w:pStyle w:val="Guide-Normal0"/>
        <w:numPr>
          <w:ilvl w:val="0"/>
          <w:numId w:val="506"/>
        </w:numPr>
        <w:ind w:left="709"/>
        <w:rPr>
          <w:rFonts w:eastAsia="Calibri" w:cs="Calibri"/>
          <w:sz w:val="18"/>
          <w:szCs w:val="18"/>
          <w:bdr w:val="nil"/>
          <w:shd w:val="clear" w:color="auto" w:fill="FFFFFF"/>
          <w:lang w:val="sl-SI"/>
        </w:rPr>
      </w:pPr>
      <w:r w:rsidRPr="002C560E">
        <w:rPr>
          <w:rFonts w:eastAsia="Calibri" w:cs="Calibri"/>
          <w:b/>
          <w:bCs/>
          <w:sz w:val="18"/>
          <w:szCs w:val="18"/>
          <w:bdr w:val="nil"/>
          <w:shd w:val="clear" w:color="auto" w:fill="FFFFFF"/>
          <w:lang w:val="sl-SI"/>
        </w:rPr>
        <w:t xml:space="preserve">partnerstva za ustvarjalnost (na področju mladine, šolskega izobraževanja in izobraževanja odraslih): </w:t>
      </w:r>
      <w:r w:rsidRPr="002C560E">
        <w:rPr>
          <w:rFonts w:eastAsia="Calibri" w:cs="Calibri"/>
          <w:sz w:val="18"/>
          <w:szCs w:val="18"/>
          <w:bdr w:val="nil"/>
          <w:shd w:val="clear" w:color="auto" w:fill="FFFFFF"/>
          <w:lang w:val="sl-SI"/>
        </w:rPr>
        <w:t xml:space="preserve">kriza zaradi COVID-19 je še zlasti močno prizadela kulturni in ustvarjalni sektor. Cilj partnerstev za ustvarjalnost je, da se organizacije s področja formalnega, neformalnega in priložnostnega učenja, skupaj z organizacijami iz ustvarjalnega in kulturnega sektorja, vključijo v krepitev evropske ozaveščenosti in povečanje vloge pripadnikov sedanje in prihodnjih generacij, ne glede na njihovo družbeno in kulturno okolje, da bi postale uspešni inovatorji v svojem lokalnem okolju. Eden od ciljev je tudi zagotoviti mladim in odraslim ustrezna orodja in kompetence, ki jih potrebujejo pri iskanju ustvarjalnih in inovativnih rešitev za spopadanje z novimi tveganji in družbenimi izzivi, ter pri odkrivanju priložnosti, ki jih je mogoče iskati v kontekstu, zaznamovanem s krizo. Namen tega ukrepa je povečati razvoj spretnosti in kompetenc, ki krepijo ustvarjalnost, ter izboljšati kakovost, inovacije in priznavanje mladinskega dela, ki podpirajo ustvarjalni potencial mladih, s tem pa prispevati k odpornemu okrevanju kulturnega in ustvarjalnega sektorja. </w:t>
      </w:r>
    </w:p>
    <w:p w14:paraId="41FC5464" w14:textId="77777777" w:rsidR="002C560E" w:rsidRDefault="002C560E" w:rsidP="00C60205">
      <w:pPr>
        <w:pStyle w:val="Guide-Normal0"/>
        <w:rPr>
          <w:rFonts w:eastAsia="Calibri" w:cs="Calibri"/>
          <w:sz w:val="18"/>
          <w:szCs w:val="18"/>
          <w:bdr w:val="nil"/>
          <w:shd w:val="clear" w:color="auto" w:fill="FFFFFF"/>
          <w:lang w:val="sl-SI"/>
        </w:rPr>
      </w:pPr>
    </w:p>
    <w:p w14:paraId="5D54B2E0" w14:textId="2A8EC3DA" w:rsidR="002C560E" w:rsidRPr="002C560E" w:rsidRDefault="002C560E" w:rsidP="00C60205">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Ti projekti krepijo medsektorsko sodelovanje s poudarkom na ustvarjalnosti, evropskem državljanstvu in kulturni ozaveščenosti vseh državljanov. S tem ukrepom lahko program poveča tudi socialno vključevanje prek umetnosti, in sicer s spodbujanjem inovativnih participativnih in medkulturnih pristopov z dialogom, ki povezujejo deležnike na področju izobraževanja, usposabljanja in mladine s temeljnimi organizacijami iz kulturnega in ustvarjalnega sektorja.  </w:t>
      </w:r>
    </w:p>
    <w:p w14:paraId="155F342A" w14:textId="77777777" w:rsidR="002C560E" w:rsidRPr="002C560E" w:rsidRDefault="002C560E" w:rsidP="00C60205">
      <w:pPr>
        <w:pStyle w:val="Guide-Normal0"/>
        <w:ind w:left="720"/>
        <w:rPr>
          <w:rFonts w:eastAsia="Calibri" w:cs="Calibri"/>
          <w:b/>
          <w:bCs/>
          <w:sz w:val="18"/>
          <w:szCs w:val="18"/>
          <w:bdr w:val="nil"/>
          <w:shd w:val="clear" w:color="auto" w:fill="FFFFFF"/>
          <w:lang w:val="sl-SI"/>
        </w:rPr>
      </w:pPr>
    </w:p>
    <w:p w14:paraId="0060DB3F" w14:textId="77777777" w:rsidR="002C560E" w:rsidRPr="002C560E" w:rsidRDefault="002C560E" w:rsidP="00C60205">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Partnerstva s sektorjem formalnega, neformalnega in priložnostnega izobraževanja, osredotočena na mlade in strokovnjake, lahko kulturnemu in ustvarjalnemu sektorju pomagajo pri soočanju z velikimi družbenimi izzivi, ki so posledica te svetovne krize, in hkrati s priložnostmi, ki jih zaradi te krize lahko izkoristita. To medsektorsko sodelovanje bi moralo tudi dopolniti prizadevanja za pomoč pri okrevanju kulturnega in ustvarjalnega sektorja po krizi, in sicer v obliki zelenega, bolj digitalnega in odpornega okrevanja, kar bi prispevalo tudi k strateškim prednostnim nalogam EU.</w:t>
      </w:r>
    </w:p>
    <w:p w14:paraId="1EC7A4E7" w14:textId="77777777" w:rsidR="002C560E" w:rsidRPr="002C560E" w:rsidRDefault="002C560E" w:rsidP="00C60205">
      <w:pPr>
        <w:pStyle w:val="Guide-Normal0"/>
        <w:ind w:left="720"/>
        <w:rPr>
          <w:rFonts w:eastAsia="Calibri" w:cs="Calibri"/>
          <w:sz w:val="18"/>
          <w:szCs w:val="18"/>
          <w:bdr w:val="nil"/>
          <w:shd w:val="clear" w:color="auto" w:fill="FFFFFF"/>
          <w:lang w:val="sl-SI"/>
        </w:rPr>
      </w:pPr>
    </w:p>
    <w:p w14:paraId="6C0E016A" w14:textId="77777777" w:rsidR="002C560E" w:rsidRPr="00C60205" w:rsidRDefault="002C560E" w:rsidP="002C560E">
      <w:pPr>
        <w:pStyle w:val="Guide-Normal0"/>
        <w:rPr>
          <w:rFonts w:eastAsia="Times New Roman"/>
          <w:b/>
          <w:bCs/>
          <w:smallCaps/>
          <w:sz w:val="22"/>
          <w:szCs w:val="22"/>
          <w:lang w:val="sl-SI"/>
        </w:rPr>
      </w:pPr>
      <w:r w:rsidRPr="00C60205">
        <w:rPr>
          <w:rFonts w:eastAsia="Times New Roman"/>
          <w:b/>
          <w:bCs/>
          <w:smallCaps/>
          <w:sz w:val="22"/>
          <w:szCs w:val="22"/>
          <w:lang w:val="sl-SI"/>
        </w:rPr>
        <w:t xml:space="preserve">Katere so ciljne skupine in prednostne naloge, ki jih obravnava strateško partnerstvo, ustanovljeno zaradi razmer v zvezi s COVID-19? </w:t>
      </w:r>
    </w:p>
    <w:p w14:paraId="70594361" w14:textId="77777777" w:rsidR="002C560E" w:rsidRPr="002C560E" w:rsidRDefault="002C560E" w:rsidP="00C60205">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Ne glede na področje, na katerega projekt vpliva, lahko v strateških partnerstvih sodeluje katera koli organizacija, ki je dejavna na katerem koli področju izobraževanja, usposabljanja in mladine ali v drugih socialno-ekonomskih sektorjih, in organizacije, ki izvajajo interdisciplinarne aktivnosti na različnih področjih (npr. lokalni in regionalni organi, centri za priznavanje in potrjevanje, gospodarske zbornice, trgovinske organizacije, centri za usmerjanje, kulturne organizacije). Glede na prednostno nalogo in cilje projekta bi v strateška partnerstva moral biti vključen najbolj ustrezen in raznolik nabor partnerjev, da lahko ustvarijo vzajemne koristi na podlagi različnih izkušenj, profilov in posebnega strokovnega znanja ter pomembne in visokokakovostne rezultate projekta. </w:t>
      </w:r>
    </w:p>
    <w:p w14:paraId="2B7AD474" w14:textId="77777777" w:rsidR="002C560E" w:rsidRPr="002C560E" w:rsidRDefault="002C560E" w:rsidP="00C60205">
      <w:pPr>
        <w:pStyle w:val="Guide-Normal0"/>
        <w:rPr>
          <w:rFonts w:eastAsia="Calibri" w:cs="Calibri"/>
          <w:sz w:val="18"/>
          <w:szCs w:val="18"/>
          <w:bdr w:val="nil"/>
          <w:shd w:val="clear" w:color="auto" w:fill="FFFFFF"/>
          <w:lang w:val="sl-SI"/>
        </w:rPr>
      </w:pPr>
    </w:p>
    <w:p w14:paraId="2235357E" w14:textId="77777777" w:rsidR="002C560E" w:rsidRPr="002C560E" w:rsidRDefault="002C560E" w:rsidP="00C60205">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Da bi se projekti lahko financirali, morajo obravnavati eno od naslednjih prednostnih nalog:</w:t>
      </w:r>
    </w:p>
    <w:p w14:paraId="6E51E3F5" w14:textId="77777777" w:rsidR="002C560E" w:rsidRPr="002C560E" w:rsidRDefault="002C560E" w:rsidP="00C60205">
      <w:pPr>
        <w:pStyle w:val="Guide-Normal0"/>
        <w:ind w:left="720"/>
        <w:rPr>
          <w:rFonts w:eastAsia="Calibri" w:cs="Calibri"/>
          <w:sz w:val="18"/>
          <w:szCs w:val="18"/>
          <w:bdr w:val="nil"/>
          <w:shd w:val="clear" w:color="auto" w:fill="FFFFFF"/>
          <w:lang w:val="sl-SI"/>
        </w:rPr>
      </w:pPr>
    </w:p>
    <w:p w14:paraId="56A32F41" w14:textId="77777777" w:rsidR="002C560E" w:rsidRPr="002C560E" w:rsidRDefault="002C560E" w:rsidP="002C560E">
      <w:pPr>
        <w:pStyle w:val="Guide-Normal0"/>
        <w:numPr>
          <w:ilvl w:val="0"/>
          <w:numId w:val="58"/>
        </w:numPr>
        <w:rPr>
          <w:rFonts w:eastAsia="Calibri" w:cs="Calibri"/>
          <w:sz w:val="18"/>
          <w:szCs w:val="18"/>
          <w:bdr w:val="nil"/>
          <w:shd w:val="clear" w:color="auto" w:fill="FFFFFF"/>
          <w:lang w:val="sl-SI"/>
        </w:rPr>
      </w:pPr>
      <w:r w:rsidRPr="002C560E">
        <w:rPr>
          <w:rFonts w:eastAsia="Calibri" w:cs="Calibri"/>
          <w:b/>
          <w:bCs/>
          <w:sz w:val="18"/>
          <w:szCs w:val="18"/>
          <w:bdr w:val="nil"/>
          <w:shd w:val="clear" w:color="auto" w:fill="FFFFFF"/>
          <w:lang w:val="sl-SI"/>
        </w:rPr>
        <w:t xml:space="preserve">inovativne prakse v digitalnem obdobju: </w:t>
      </w:r>
      <w:r w:rsidRPr="002C560E">
        <w:rPr>
          <w:rFonts w:eastAsia="Calibri" w:cs="Calibri"/>
          <w:sz w:val="18"/>
          <w:szCs w:val="18"/>
          <w:bdr w:val="nil"/>
          <w:shd w:val="clear" w:color="auto" w:fill="FFFFFF"/>
          <w:lang w:val="sl-SI"/>
        </w:rPr>
        <w:t>program bo podpiral uvajanje digitalnih tehnologij ter inovativne in odprte pedagogike na področju izobraževanja, usposabljanja, mladine in športa. Posebna pozornost bo namenjena promociji enakosti med spoloma ter razlikam v zvezi z dostopom in njihovo uporabo s strani nezadostno zastopanih skupin. Program bo podpiral tudi uporabo evropskega okvira za digitalne kompetence izobraževalnega osebja, državljanov in organizacij, vključno z razvojem in uporabo prosto dostopnih izobraževalnih virov, prosto dostopnih učbenikov ter brezplačnega in odprtokodnega izobraževalnega programja. Prednost bodo dobile aktivnosti, ki spodbujajo inovativne metode in orodja za poučevanje, usposabljanje, učenje in ocenjevanje kot gonilne sile izboljšav pri vseživljenjskem učenju. Program Erasmus+ je treba uporabljati še naprej, da bi se podprl proces okrevanja zaradi pandemije COVID-19 ter zagotovile odzivnost, prilagodljivost in prožnost. Zato bodo imeli prednost ukrepi, ki prispevajo k zagotavljanju digitalne pripravljenosti v izobraževanju in k ublažitvi posledic krize v nekaterih najhuje prizadetih sektorjih;</w:t>
      </w:r>
    </w:p>
    <w:p w14:paraId="4D58B731" w14:textId="77777777" w:rsidR="002C560E" w:rsidRPr="002C560E" w:rsidRDefault="002C560E" w:rsidP="00C60205">
      <w:pPr>
        <w:pStyle w:val="Guide-Normal0"/>
        <w:ind w:left="720"/>
        <w:rPr>
          <w:rFonts w:eastAsia="Calibri" w:cs="Calibri"/>
          <w:sz w:val="18"/>
          <w:szCs w:val="18"/>
          <w:bdr w:val="nil"/>
          <w:shd w:val="clear" w:color="auto" w:fill="FFFFFF"/>
          <w:lang w:val="sl-SI"/>
        </w:rPr>
      </w:pPr>
    </w:p>
    <w:p w14:paraId="5F789FD3" w14:textId="77777777" w:rsidR="002C560E" w:rsidRPr="002C560E" w:rsidRDefault="002C560E" w:rsidP="002C560E">
      <w:pPr>
        <w:pStyle w:val="Guide-Normal0"/>
        <w:numPr>
          <w:ilvl w:val="0"/>
          <w:numId w:val="58"/>
        </w:numPr>
        <w:rPr>
          <w:rFonts w:eastAsia="Calibri" w:cs="Calibri"/>
          <w:b/>
          <w:bCs/>
          <w:sz w:val="18"/>
          <w:szCs w:val="18"/>
          <w:bdr w:val="nil"/>
          <w:shd w:val="clear" w:color="auto" w:fill="FFFFFF"/>
          <w:lang w:val="sl-SI"/>
        </w:rPr>
      </w:pPr>
      <w:r w:rsidRPr="002C560E">
        <w:rPr>
          <w:rFonts w:eastAsia="Calibri" w:cs="Calibri"/>
          <w:b/>
          <w:bCs/>
          <w:sz w:val="18"/>
          <w:szCs w:val="18"/>
          <w:bdr w:val="nil"/>
          <w:shd w:val="clear" w:color="auto" w:fill="FFFFFF"/>
          <w:lang w:val="sl-SI"/>
        </w:rPr>
        <w:t>razvoj spretnosti in vključevanje skozi ustvarjalnost in umetnost.</w:t>
      </w:r>
      <w:r w:rsidRPr="002C560E">
        <w:rPr>
          <w:rFonts w:eastAsia="Calibri" w:cs="Calibri"/>
          <w:sz w:val="18"/>
          <w:szCs w:val="18"/>
          <w:bdr w:val="nil"/>
          <w:shd w:val="clear" w:color="auto" w:fill="FFFFFF"/>
          <w:lang w:val="sl-SI"/>
        </w:rPr>
        <w:t xml:space="preserve"> Prednost bodo imeli izobraževalne dejavnosti in vseživljenjsko učenje, neformalno in priložnostno učenje ter mladinsko delo (vključno z digitalnim mladinskim delom) s kulturnim in ustvarjalnim elementom, da bi se mladim generacijam in strokovnjakom zagotovila pomoč pri pridobivanju spretnosti in kompetenc, vključno z digitalnimi kompetencami, ki krepijo ustvarjalnost v izobraževanju in izboljšujejo kakovost, inovacije in priznavanje mladinskega dela, ki podpirajo potencial mladih, s tem pa prispevajo k odpornosti kulturnega in ustvarjalnega sektorja. Prednost bodo imeli ukrepi, ki lahko prispevajo k ustvarjanju delovnih mest, trajnostnemu razvoju in socialnemu vključevanju skozi umetnost, s spodbujanjem inovativnih participativnih in medkulturnih pristopov z dialogom, ki povezujejo deležnike na področju izobraževanja, usposabljanja ter mladine z organizacijami v kulturnem in ustvarjalnem sektorju.</w:t>
      </w:r>
    </w:p>
    <w:p w14:paraId="3C5C7256" w14:textId="77777777" w:rsidR="002C560E" w:rsidRPr="002C560E" w:rsidRDefault="002C560E" w:rsidP="002C560E">
      <w:pPr>
        <w:pStyle w:val="Guide-Normal0"/>
        <w:rPr>
          <w:rFonts w:eastAsia="Calibri" w:cs="Calibri"/>
          <w:sz w:val="18"/>
          <w:szCs w:val="18"/>
          <w:bdr w:val="nil"/>
          <w:shd w:val="clear" w:color="auto" w:fill="FFFFFF"/>
          <w:lang w:val="sl-SI"/>
        </w:rPr>
      </w:pPr>
    </w:p>
    <w:p w14:paraId="419B2821" w14:textId="77777777" w:rsidR="002C560E" w:rsidRPr="002C560E" w:rsidRDefault="002C560E" w:rsidP="002C560E">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Poleg tega se projekti lahko osredotočijo na druge prečne ali sektorske prednostne naloge, opredeljene v prejšnjem oddelku „Strateška partnerstva na področju izobraževanja, usposabljanja in mladine – Kakšni so cilji in prednostne naloge strateškega partnerstva?“ .</w:t>
      </w:r>
    </w:p>
    <w:p w14:paraId="785F607D" w14:textId="77777777" w:rsidR="002C560E" w:rsidRPr="00C60205" w:rsidRDefault="002C560E" w:rsidP="00C60205">
      <w:pPr>
        <w:pStyle w:val="Guide-Heading5"/>
        <w:suppressAutoHyphens w:val="0"/>
        <w:spacing w:before="200" w:after="200"/>
        <w:textAlignment w:val="auto"/>
        <w:outlineLvl w:val="9"/>
        <w:rPr>
          <w:b w:val="0"/>
          <w:bCs/>
          <w:szCs w:val="22"/>
          <w:lang w:val="sl-SI"/>
        </w:rPr>
      </w:pPr>
      <w:r w:rsidRPr="00C60205">
        <w:rPr>
          <w:bCs/>
          <w:kern w:val="0"/>
          <w:szCs w:val="22"/>
          <w:lang w:val="sl-SI"/>
        </w:rPr>
        <w:t xml:space="preserve">Kakšne so aktivnosti, ki jih podpira strateško partnerstvo, ustanovljeno zaradi razmer v zvezi s COVID-19? </w:t>
      </w:r>
    </w:p>
    <w:p w14:paraId="7E0587D4" w14:textId="77777777" w:rsidR="002C560E" w:rsidRPr="002C560E" w:rsidRDefault="002C560E" w:rsidP="00C60205">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V življenjskem ciklu projektov in glede na vrsto strateškega partnerstva lahko projekti običajno izvedejo široko paleto aktivnosti, na primer:</w:t>
      </w:r>
    </w:p>
    <w:p w14:paraId="3538C9ED" w14:textId="77777777" w:rsidR="002C560E" w:rsidRPr="002C560E" w:rsidRDefault="002C560E" w:rsidP="002C560E">
      <w:pPr>
        <w:pStyle w:val="Guide-Normal0"/>
        <w:rPr>
          <w:rFonts w:eastAsia="Calibri" w:cs="Calibri"/>
          <w:sz w:val="18"/>
          <w:szCs w:val="18"/>
          <w:bdr w:val="nil"/>
          <w:shd w:val="clear" w:color="auto" w:fill="FFFFFF"/>
          <w:lang w:val="sl-SI"/>
        </w:rPr>
      </w:pPr>
    </w:p>
    <w:p w14:paraId="3A3C13A6" w14:textId="77777777" w:rsidR="002C560E" w:rsidRPr="002C560E" w:rsidRDefault="002C560E" w:rsidP="002C560E">
      <w:pPr>
        <w:pStyle w:val="Guide-Normal0"/>
        <w:rPr>
          <w:rFonts w:eastAsia="Calibri" w:cs="Calibri"/>
          <w:sz w:val="18"/>
          <w:szCs w:val="18"/>
          <w:bdr w:val="nil"/>
          <w:shd w:val="clear" w:color="auto" w:fill="FFFFFF"/>
          <w:lang w:val="sl-SI"/>
        </w:rPr>
      </w:pPr>
    </w:p>
    <w:tbl>
      <w:tblPr>
        <w:tblStyle w:val="TableGrid"/>
        <w:tblW w:w="0" w:type="auto"/>
        <w:tblLook w:val="04A0" w:firstRow="1" w:lastRow="0" w:firstColumn="1" w:lastColumn="0" w:noHBand="0" w:noVBand="1"/>
      </w:tblPr>
      <w:tblGrid>
        <w:gridCol w:w="9214"/>
      </w:tblGrid>
      <w:tr w:rsidR="004E77B5" w14:paraId="4620B400" w14:textId="77777777" w:rsidTr="00C60205">
        <w:tc>
          <w:tcPr>
            <w:tcW w:w="9214" w:type="dxa"/>
            <w:shd w:val="clear" w:color="auto" w:fill="auto"/>
          </w:tcPr>
          <w:p w14:paraId="4803AA32" w14:textId="77777777" w:rsidR="004E77B5" w:rsidRPr="002C560E" w:rsidRDefault="004E77B5" w:rsidP="004E77B5">
            <w:pPr>
              <w:pStyle w:val="Guide-Normal0"/>
              <w:numPr>
                <w:ilvl w:val="0"/>
                <w:numId w:val="497"/>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aktivnosti, ki krepijo </w:t>
            </w:r>
            <w:r w:rsidRPr="002C560E">
              <w:rPr>
                <w:rFonts w:eastAsia="Calibri" w:cs="Calibri"/>
                <w:b/>
                <w:bCs/>
                <w:sz w:val="18"/>
                <w:szCs w:val="18"/>
                <w:bdr w:val="nil"/>
                <w:shd w:val="clear" w:color="auto" w:fill="FFFFFF"/>
                <w:lang w:val="sl-SI"/>
              </w:rPr>
              <w:t>sodelovanje in mreženje organizacij</w:t>
            </w:r>
            <w:r w:rsidRPr="002C560E">
              <w:rPr>
                <w:rFonts w:eastAsia="Calibri" w:cs="Calibri"/>
                <w:sz w:val="18"/>
                <w:szCs w:val="18"/>
                <w:bdr w:val="nil"/>
                <w:shd w:val="clear" w:color="auto" w:fill="FFFFFF"/>
                <w:lang w:val="sl-SI"/>
              </w:rPr>
              <w:t>;</w:t>
            </w:r>
          </w:p>
          <w:p w14:paraId="4FA52B03" w14:textId="77777777" w:rsidR="004E77B5" w:rsidRPr="002C560E" w:rsidRDefault="004E77B5" w:rsidP="004E77B5">
            <w:pPr>
              <w:pStyle w:val="Guide-Normal0"/>
              <w:numPr>
                <w:ilvl w:val="0"/>
                <w:numId w:val="497"/>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preskušanje in/ali izvajanje </w:t>
            </w:r>
            <w:r w:rsidRPr="002C560E">
              <w:rPr>
                <w:rFonts w:eastAsia="Calibri" w:cs="Calibri"/>
                <w:b/>
                <w:bCs/>
                <w:sz w:val="18"/>
                <w:szCs w:val="18"/>
                <w:bdr w:val="nil"/>
                <w:shd w:val="clear" w:color="auto" w:fill="FFFFFF"/>
                <w:lang w:val="sl-SI"/>
              </w:rPr>
              <w:t>inovativnih praks</w:t>
            </w:r>
            <w:r w:rsidRPr="002C560E">
              <w:rPr>
                <w:rFonts w:eastAsia="Calibri" w:cs="Calibri"/>
                <w:sz w:val="18"/>
                <w:szCs w:val="18"/>
                <w:bdr w:val="nil"/>
                <w:shd w:val="clear" w:color="auto" w:fill="FFFFFF"/>
                <w:lang w:val="sl-SI"/>
              </w:rPr>
              <w:t xml:space="preserve"> na področju izobraževanja, usposabljanja in mladine; </w:t>
            </w:r>
          </w:p>
          <w:p w14:paraId="0E6FECAE" w14:textId="77777777" w:rsidR="004E77B5" w:rsidRPr="002C560E" w:rsidRDefault="004E77B5" w:rsidP="004E77B5">
            <w:pPr>
              <w:pStyle w:val="Guide-Normal0"/>
              <w:numPr>
                <w:ilvl w:val="0"/>
                <w:numId w:val="497"/>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aktivnosti, ki olajšajo </w:t>
            </w:r>
            <w:r w:rsidRPr="002C560E">
              <w:rPr>
                <w:rFonts w:eastAsia="Calibri" w:cs="Calibri"/>
                <w:b/>
                <w:bCs/>
                <w:sz w:val="18"/>
                <w:szCs w:val="18"/>
                <w:bdr w:val="nil"/>
                <w:shd w:val="clear" w:color="auto" w:fill="FFFFFF"/>
                <w:lang w:val="sl-SI"/>
              </w:rPr>
              <w:t>priznavanje in potrjevanje znanja, spretnosti in kompetenc,</w:t>
            </w:r>
            <w:r w:rsidRPr="002C560E">
              <w:rPr>
                <w:rFonts w:eastAsia="Calibri" w:cs="Calibri"/>
                <w:sz w:val="18"/>
                <w:szCs w:val="18"/>
                <w:bdr w:val="nil"/>
                <w:shd w:val="clear" w:color="auto" w:fill="FFFFFF"/>
                <w:lang w:val="sl-SI"/>
              </w:rPr>
              <w:t xml:space="preserve"> pridobljenih s formalnim, neformalnim in priložnostnim učenjem; </w:t>
            </w:r>
          </w:p>
          <w:p w14:paraId="76D799D6" w14:textId="77777777" w:rsidR="004E77B5" w:rsidRPr="002C560E" w:rsidRDefault="004E77B5" w:rsidP="004E77B5">
            <w:pPr>
              <w:pStyle w:val="Guide-Normal0"/>
              <w:numPr>
                <w:ilvl w:val="0"/>
                <w:numId w:val="497"/>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aktivnosti </w:t>
            </w:r>
            <w:r w:rsidRPr="002C560E">
              <w:rPr>
                <w:rFonts w:eastAsia="Calibri" w:cs="Calibri"/>
                <w:b/>
                <w:bCs/>
                <w:sz w:val="18"/>
                <w:szCs w:val="18"/>
                <w:bdr w:val="nil"/>
                <w:shd w:val="clear" w:color="auto" w:fill="FFFFFF"/>
                <w:lang w:val="sl-SI"/>
              </w:rPr>
              <w:t>sodelovanja med regionalnimi organi</w:t>
            </w:r>
            <w:r w:rsidRPr="002C560E">
              <w:rPr>
                <w:rFonts w:eastAsia="Calibri" w:cs="Calibri"/>
                <w:sz w:val="18"/>
                <w:szCs w:val="18"/>
                <w:bdr w:val="nil"/>
                <w:shd w:val="clear" w:color="auto" w:fill="FFFFFF"/>
                <w:lang w:val="sl-SI"/>
              </w:rPr>
              <w:t xml:space="preserve"> za spodbujanje razvoja sistemov na področju izobraževanja, usposabljanja in mladine ter njihovega vključevanja v ukrepe za lokalni in regionalni razvoj;</w:t>
            </w:r>
          </w:p>
          <w:p w14:paraId="2F680F53" w14:textId="51C195D7" w:rsidR="004E77B5" w:rsidRDefault="004E77B5" w:rsidP="00C60205">
            <w:pPr>
              <w:pStyle w:val="Guide-Normal0"/>
              <w:numPr>
                <w:ilvl w:val="0"/>
                <w:numId w:val="497"/>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aktivnosti za boljšo pripravljenost ter uporabo strokovnjakov na področju izobraževanja in usposabljanja za izzive, povezane z </w:t>
            </w:r>
            <w:r w:rsidRPr="002C560E">
              <w:rPr>
                <w:rFonts w:eastAsia="Calibri" w:cs="Calibri"/>
                <w:b/>
                <w:bCs/>
                <w:sz w:val="18"/>
                <w:szCs w:val="18"/>
                <w:bdr w:val="nil"/>
                <w:shd w:val="clear" w:color="auto" w:fill="FFFFFF"/>
                <w:lang w:val="sl-SI"/>
              </w:rPr>
              <w:t>enakostjo, raznolikostjo in vključevanjem</w:t>
            </w:r>
            <w:r w:rsidRPr="002C560E">
              <w:rPr>
                <w:rFonts w:eastAsia="Calibri" w:cs="Calibri"/>
                <w:sz w:val="18"/>
                <w:szCs w:val="18"/>
                <w:bdr w:val="nil"/>
                <w:shd w:val="clear" w:color="auto" w:fill="FFFFFF"/>
                <w:lang w:val="sl-SI"/>
              </w:rPr>
              <w:t>, v učnem okolju.</w:t>
            </w:r>
          </w:p>
        </w:tc>
      </w:tr>
    </w:tbl>
    <w:p w14:paraId="2DCA8C9D" w14:textId="231B06F3" w:rsidR="002C560E" w:rsidRDefault="002C560E" w:rsidP="002C560E">
      <w:pPr>
        <w:pStyle w:val="Guide-Normal0"/>
        <w:rPr>
          <w:rFonts w:eastAsia="Calibri" w:cs="Calibri"/>
          <w:sz w:val="18"/>
          <w:szCs w:val="18"/>
          <w:bdr w:val="nil"/>
          <w:shd w:val="clear" w:color="auto" w:fill="FFFFFF"/>
          <w:lang w:val="sl-SI"/>
        </w:rPr>
      </w:pPr>
    </w:p>
    <w:p w14:paraId="5EE6666D" w14:textId="77777777" w:rsidR="004E77B5" w:rsidRPr="002C560E" w:rsidRDefault="004E77B5" w:rsidP="002C560E">
      <w:pPr>
        <w:pStyle w:val="Guide-Normal0"/>
        <w:rPr>
          <w:rFonts w:eastAsia="Calibri" w:cs="Calibri"/>
          <w:sz w:val="18"/>
          <w:szCs w:val="18"/>
          <w:bdr w:val="nil"/>
          <w:shd w:val="clear" w:color="auto" w:fill="FFFFFF"/>
          <w:lang w:val="sl-SI"/>
        </w:rPr>
      </w:pPr>
    </w:p>
    <w:p w14:paraId="4E813D8C" w14:textId="77777777" w:rsidR="002C560E" w:rsidRPr="002C560E" w:rsidRDefault="002C560E" w:rsidP="002C560E">
      <w:pPr>
        <w:pStyle w:val="Guide-Normal0"/>
        <w:rPr>
          <w:rFonts w:eastAsia="Calibri" w:cs="Calibri"/>
          <w:sz w:val="18"/>
          <w:szCs w:val="18"/>
          <w:bdr w:val="nil"/>
          <w:shd w:val="clear" w:color="auto" w:fill="FFFFFF"/>
          <w:lang w:val="sl-SI"/>
        </w:rPr>
      </w:pPr>
      <w:r w:rsidRPr="002C560E">
        <w:rPr>
          <w:rFonts w:eastAsia="Calibri" w:cs="Calibri"/>
          <w:b/>
          <w:bCs/>
          <w:sz w:val="18"/>
          <w:szCs w:val="18"/>
          <w:bdr w:val="nil"/>
          <w:shd w:val="clear" w:color="auto" w:fill="FFFFFF"/>
          <w:lang w:val="sl-SI"/>
        </w:rPr>
        <w:t>Zaradi razmer v zvezi s COVID-19</w:t>
      </w:r>
      <w:r w:rsidRPr="002C560E">
        <w:rPr>
          <w:rFonts w:eastAsia="Calibri" w:cs="Calibri"/>
          <w:sz w:val="18"/>
          <w:szCs w:val="18"/>
          <w:bdr w:val="nil"/>
          <w:shd w:val="clear" w:color="auto" w:fill="FFFFFF"/>
          <w:lang w:val="sl-SI"/>
        </w:rPr>
        <w:t xml:space="preserve"> je zlasti pomembno, da strateška partnerstva izvajajo naslednje aktivnosti (neizčrpen seznam):  </w:t>
      </w:r>
    </w:p>
    <w:p w14:paraId="4F230DE2" w14:textId="77777777" w:rsidR="002C560E" w:rsidRPr="002C560E" w:rsidRDefault="002C560E" w:rsidP="002C560E">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 </w:t>
      </w:r>
    </w:p>
    <w:p w14:paraId="41FDA18A" w14:textId="4AD7522A" w:rsidR="004E77B5" w:rsidRDefault="004E77B5" w:rsidP="00C60205">
      <w:pPr>
        <w:pStyle w:val="Guide-Normal0"/>
        <w:rPr>
          <w:rFonts w:eastAsia="Calibri" w:cs="Calibri"/>
          <w:sz w:val="18"/>
          <w:szCs w:val="18"/>
          <w:bdr w:val="nil"/>
          <w:shd w:val="clear" w:color="auto" w:fill="FFFFFF"/>
          <w:lang w:val="sl-SI"/>
        </w:rPr>
      </w:pPr>
    </w:p>
    <w:tbl>
      <w:tblPr>
        <w:tblStyle w:val="TableGrid"/>
        <w:tblW w:w="0" w:type="auto"/>
        <w:tblLook w:val="04A0" w:firstRow="1" w:lastRow="0" w:firstColumn="1" w:lastColumn="0" w:noHBand="0" w:noVBand="1"/>
      </w:tblPr>
      <w:tblGrid>
        <w:gridCol w:w="9214"/>
      </w:tblGrid>
      <w:tr w:rsidR="004E77B5" w14:paraId="487C6F07" w14:textId="77777777" w:rsidTr="004E77B5">
        <w:tc>
          <w:tcPr>
            <w:tcW w:w="9214" w:type="dxa"/>
          </w:tcPr>
          <w:p w14:paraId="0B76354C" w14:textId="77777777" w:rsidR="004E77B5" w:rsidRPr="002C560E" w:rsidRDefault="004E77B5" w:rsidP="004E77B5">
            <w:pPr>
              <w:pStyle w:val="Guide-Normal0"/>
              <w:rPr>
                <w:rFonts w:eastAsia="Calibri" w:cs="Calibri"/>
                <w:sz w:val="18"/>
                <w:szCs w:val="18"/>
                <w:bdr w:val="nil"/>
                <w:shd w:val="clear" w:color="auto" w:fill="FFFFFF"/>
                <w:lang w:val="sl-SI"/>
              </w:rPr>
            </w:pPr>
            <w:r w:rsidRPr="002C560E">
              <w:rPr>
                <w:rFonts w:eastAsia="Calibri" w:cs="Calibri"/>
                <w:b/>
                <w:bCs/>
                <w:sz w:val="18"/>
                <w:szCs w:val="18"/>
                <w:bdr w:val="nil"/>
                <w:shd w:val="clear" w:color="auto" w:fill="FFFFFF"/>
                <w:lang w:val="sl-SI"/>
              </w:rPr>
              <w:t>Partnerstva za digitalno pripravljenost v izobraževanju:</w:t>
            </w:r>
            <w:r w:rsidRPr="002C560E">
              <w:rPr>
                <w:rFonts w:eastAsia="Calibri" w:cs="Calibri"/>
                <w:sz w:val="18"/>
                <w:szCs w:val="18"/>
                <w:bdr w:val="nil"/>
                <w:shd w:val="clear" w:color="auto" w:fill="FFFFFF"/>
                <w:lang w:val="sl-SI"/>
              </w:rPr>
              <w:t xml:space="preserve">  </w:t>
            </w:r>
          </w:p>
          <w:p w14:paraId="50E756A9" w14:textId="77777777" w:rsidR="004E77B5" w:rsidRPr="002C560E" w:rsidRDefault="004E77B5" w:rsidP="004E77B5">
            <w:pPr>
              <w:pStyle w:val="Guide-Normal0"/>
              <w:numPr>
                <w:ilvl w:val="0"/>
                <w:numId w:val="505"/>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aktivnosti, s katerimi se uvajajo digitalna orodja in metode za izvajanje kakovostnega in vključujočega izobraževanja s pomočjo spletnih/virtualnih sredstev, vključno s kombiniranim poučevanjem, usposabljanjem in učenjem;</w:t>
            </w:r>
          </w:p>
          <w:p w14:paraId="55F4781F" w14:textId="77777777" w:rsidR="004E77B5" w:rsidRPr="002C560E" w:rsidRDefault="004E77B5" w:rsidP="004E77B5">
            <w:pPr>
              <w:pStyle w:val="Guide-Normal0"/>
              <w:numPr>
                <w:ilvl w:val="0"/>
                <w:numId w:val="505"/>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aktivnosti, ki so v pomoč učencem, učiteljem in izvajalcem usposabljanj pri prilagajanju na spletno učenje/učenje na daljavo;</w:t>
            </w:r>
          </w:p>
          <w:p w14:paraId="1EB1183A" w14:textId="77777777" w:rsidR="004E77B5" w:rsidRPr="002C560E" w:rsidRDefault="004E77B5" w:rsidP="004E77B5">
            <w:pPr>
              <w:pStyle w:val="Guide-Normal0"/>
              <w:numPr>
                <w:ilvl w:val="0"/>
                <w:numId w:val="505"/>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aktivnosti za poučevanje in spodbujanje varnejše in odgovornejše uporabe digitalne tehnologije;</w:t>
            </w:r>
          </w:p>
          <w:p w14:paraId="0743A0CC" w14:textId="4177F0BF" w:rsidR="004E77B5" w:rsidRDefault="004E77B5" w:rsidP="00C60205">
            <w:pPr>
              <w:pStyle w:val="Guide-Normal0"/>
              <w:numPr>
                <w:ilvl w:val="0"/>
                <w:numId w:val="505"/>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aktivnosti, ki pomagajo razumeti, kako najbolje vključiti digitalno spletno tehnologijo v poučevanje, usposabljanje in učenje, povezano z določenim predmetom, vključno z učenjem, ki temelji na delu.</w:t>
            </w:r>
          </w:p>
        </w:tc>
      </w:tr>
    </w:tbl>
    <w:p w14:paraId="2DA3173D" w14:textId="77777777" w:rsidR="004E77B5" w:rsidRPr="002C560E" w:rsidRDefault="004E77B5" w:rsidP="00C60205">
      <w:pPr>
        <w:pStyle w:val="Guide-Normal0"/>
        <w:rPr>
          <w:rFonts w:eastAsia="Calibri" w:cs="Calibri"/>
          <w:sz w:val="18"/>
          <w:szCs w:val="18"/>
          <w:bdr w:val="nil"/>
          <w:shd w:val="clear" w:color="auto" w:fill="FFFFFF"/>
          <w:lang w:val="sl-SI"/>
        </w:rPr>
      </w:pPr>
    </w:p>
    <w:p w14:paraId="6A8D1758" w14:textId="4C7A55AB" w:rsidR="002C560E" w:rsidRDefault="002C560E" w:rsidP="002C560E">
      <w:pPr>
        <w:pStyle w:val="Guide-Normal0"/>
        <w:rPr>
          <w:rFonts w:eastAsia="Calibri" w:cs="Calibri"/>
          <w:sz w:val="18"/>
          <w:szCs w:val="18"/>
          <w:bdr w:val="nil"/>
          <w:shd w:val="clear" w:color="auto" w:fill="FFFFFF"/>
          <w:lang w:val="sl-SI"/>
        </w:rPr>
      </w:pPr>
    </w:p>
    <w:tbl>
      <w:tblPr>
        <w:tblStyle w:val="TableGrid"/>
        <w:tblW w:w="0" w:type="auto"/>
        <w:tblLook w:val="04A0" w:firstRow="1" w:lastRow="0" w:firstColumn="1" w:lastColumn="0" w:noHBand="0" w:noVBand="1"/>
      </w:tblPr>
      <w:tblGrid>
        <w:gridCol w:w="9214"/>
      </w:tblGrid>
      <w:tr w:rsidR="004E77B5" w14:paraId="7CF592CB" w14:textId="77777777" w:rsidTr="004E77B5">
        <w:tc>
          <w:tcPr>
            <w:tcW w:w="9214" w:type="dxa"/>
          </w:tcPr>
          <w:p w14:paraId="64BE661B" w14:textId="77777777" w:rsidR="004E77B5" w:rsidRPr="002C560E" w:rsidRDefault="004E77B5" w:rsidP="004E77B5">
            <w:pPr>
              <w:pStyle w:val="Guide-Normal0"/>
              <w:rPr>
                <w:rFonts w:eastAsia="Calibri" w:cs="Calibri"/>
                <w:sz w:val="18"/>
                <w:szCs w:val="18"/>
                <w:bdr w:val="nil"/>
                <w:shd w:val="clear" w:color="auto" w:fill="FFFFFF"/>
                <w:lang w:val="sl-SI"/>
              </w:rPr>
            </w:pPr>
            <w:r w:rsidRPr="002C560E">
              <w:rPr>
                <w:rFonts w:eastAsia="Calibri" w:cs="Calibri"/>
                <w:b/>
                <w:bCs/>
                <w:sz w:val="18"/>
                <w:szCs w:val="18"/>
                <w:bdr w:val="nil"/>
                <w:shd w:val="clear" w:color="auto" w:fill="FFFFFF"/>
                <w:lang w:val="sl-SI"/>
              </w:rPr>
              <w:t>„Partnerstva za ustvarjalnost“:</w:t>
            </w:r>
          </w:p>
          <w:p w14:paraId="775FFBF6" w14:textId="77777777" w:rsidR="004E77B5" w:rsidRPr="002C560E" w:rsidRDefault="004E77B5" w:rsidP="004E77B5">
            <w:pPr>
              <w:pStyle w:val="Guide-Normal0"/>
              <w:ind w:left="360"/>
              <w:rPr>
                <w:rFonts w:eastAsia="Calibri" w:cs="Calibri"/>
                <w:sz w:val="18"/>
                <w:szCs w:val="18"/>
                <w:bdr w:val="nil"/>
                <w:shd w:val="clear" w:color="auto" w:fill="FFFFFF"/>
                <w:lang w:val="sl-SI"/>
              </w:rPr>
            </w:pPr>
          </w:p>
          <w:p w14:paraId="38520A9F" w14:textId="77777777" w:rsidR="004E77B5" w:rsidRPr="002C560E" w:rsidRDefault="004E77B5" w:rsidP="004E77B5">
            <w:pPr>
              <w:pStyle w:val="Guide-Normal0"/>
              <w:numPr>
                <w:ilvl w:val="0"/>
                <w:numId w:val="505"/>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povezane aktivnosti za okrepitev vseh vidikov ustvarjalnosti na področju priložnostnega in formalnega učenja s povečanjem razvoja spretnosti in kompetenc;</w:t>
            </w:r>
          </w:p>
          <w:p w14:paraId="3E6E5226" w14:textId="77777777" w:rsidR="004E77B5" w:rsidRPr="002C560E" w:rsidRDefault="004E77B5" w:rsidP="004E77B5">
            <w:pPr>
              <w:pStyle w:val="Guide-Normal0"/>
              <w:numPr>
                <w:ilvl w:val="0"/>
                <w:numId w:val="505"/>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ukrepi za pospešitev digitalizacije in uporabe digitalnih sredstev za prilagoditev načinu oblikovanja, upravljanja, razširjanja, zagotavljanja dostopa do in uporabe ustvarjalnih del, kulturnih dobrin in dogodkov;</w:t>
            </w:r>
          </w:p>
          <w:p w14:paraId="29525439" w14:textId="77777777" w:rsidR="004E77B5" w:rsidRPr="002C560E" w:rsidRDefault="004E77B5" w:rsidP="004E77B5">
            <w:pPr>
              <w:pStyle w:val="Guide-Normal0"/>
              <w:numPr>
                <w:ilvl w:val="0"/>
                <w:numId w:val="505"/>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aktivnosti za spodbujanje aktivnega državljanstva in socialnega vključevanja skozi umetnost, zlasti med mladimi;</w:t>
            </w:r>
          </w:p>
          <w:p w14:paraId="5675CF12" w14:textId="77777777" w:rsidR="004E77B5" w:rsidRPr="002C560E" w:rsidRDefault="004E77B5" w:rsidP="004E77B5">
            <w:pPr>
              <w:pStyle w:val="Guide-Normal0"/>
              <w:numPr>
                <w:ilvl w:val="0"/>
                <w:numId w:val="505"/>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aktivnosti za razvijanje nadarjenosti in spodbujanje podjetništva (vključno s socialnim podjetništvom) na kulturnem in ustvarjalnem področju; </w:t>
            </w:r>
          </w:p>
          <w:p w14:paraId="0095C082" w14:textId="77777777" w:rsidR="004E77B5" w:rsidRPr="002C560E" w:rsidRDefault="004E77B5" w:rsidP="004E77B5">
            <w:pPr>
              <w:pStyle w:val="Guide-Normal0"/>
              <w:numPr>
                <w:ilvl w:val="0"/>
                <w:numId w:val="505"/>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orodja za učenje in učni viri, gradiva, tečaji in moduli usposabljanja za spodbujanje ustvarjalnosti, kulture in večkulturnosti; </w:t>
            </w:r>
          </w:p>
          <w:p w14:paraId="0C06DBF9" w14:textId="77777777" w:rsidR="004E77B5" w:rsidRPr="002C560E" w:rsidRDefault="004E77B5" w:rsidP="004E77B5">
            <w:pPr>
              <w:pStyle w:val="Guide-Normal0"/>
              <w:numPr>
                <w:ilvl w:val="0"/>
                <w:numId w:val="505"/>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pobude v umetnosti in kulturi, ki imajo izobraževalno razsežnost ali katerih namen je ozaveščanje o družbenih vprašanjih in evropskih zadevah (gledališke igre, razstave, glasbene predstave, razpravni forumi itd.); </w:t>
            </w:r>
          </w:p>
          <w:p w14:paraId="7E31A164" w14:textId="77777777" w:rsidR="004E77B5" w:rsidRPr="002C560E" w:rsidRDefault="004E77B5" w:rsidP="004E77B5">
            <w:pPr>
              <w:pStyle w:val="Guide-Normal0"/>
              <w:numPr>
                <w:ilvl w:val="0"/>
                <w:numId w:val="505"/>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aktivnosti za vzpostavitev ali krepitev omrežij in novih modelov sodelovanja (zlasti prek virtualnih sredstev), ki spodbujajo medkulturno vključevanje in razvoj ustvarjalne miselnosti med državljani, še zlasti med mladimi;</w:t>
            </w:r>
          </w:p>
          <w:p w14:paraId="22219248" w14:textId="236F72E2" w:rsidR="004E77B5" w:rsidRDefault="004E77B5" w:rsidP="00C60205">
            <w:pPr>
              <w:pStyle w:val="Guide-Normal0"/>
              <w:numPr>
                <w:ilvl w:val="0"/>
                <w:numId w:val="505"/>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aktivnosti na področju mednarodne mobilnosti, ki spodbujajo priložnosti za učenje v ustvarjalnem prostoru in na krajih kulturne dediščine, vključno z ustvarjalnimi rezidencami za umetnike in ustvarjalce na področjih priložnostnega/formalnega učenja in mladinskega dela. </w:t>
            </w:r>
          </w:p>
        </w:tc>
      </w:tr>
    </w:tbl>
    <w:p w14:paraId="0C356F0B" w14:textId="6485E685" w:rsidR="004E77B5" w:rsidRDefault="004E77B5" w:rsidP="002C560E">
      <w:pPr>
        <w:pStyle w:val="Guide-Normal0"/>
        <w:rPr>
          <w:rFonts w:eastAsia="Calibri" w:cs="Calibri"/>
          <w:sz w:val="18"/>
          <w:szCs w:val="18"/>
          <w:bdr w:val="nil"/>
          <w:shd w:val="clear" w:color="auto" w:fill="FFFFFF"/>
          <w:lang w:val="sl-SI"/>
        </w:rPr>
      </w:pPr>
    </w:p>
    <w:p w14:paraId="7FE95AA6" w14:textId="77777777" w:rsidR="004E77B5" w:rsidRPr="002C560E" w:rsidRDefault="004E77B5" w:rsidP="002C560E">
      <w:pPr>
        <w:pStyle w:val="Guide-Normal0"/>
        <w:rPr>
          <w:rFonts w:eastAsia="Calibri" w:cs="Calibri"/>
          <w:sz w:val="18"/>
          <w:szCs w:val="18"/>
          <w:bdr w:val="nil"/>
          <w:shd w:val="clear" w:color="auto" w:fill="FFFFFF"/>
          <w:lang w:val="sl-SI"/>
        </w:rPr>
      </w:pPr>
    </w:p>
    <w:p w14:paraId="41C57C69" w14:textId="77777777" w:rsidR="002C560E" w:rsidRPr="002C560E" w:rsidRDefault="002C560E" w:rsidP="00C60205">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Priložnosti za </w:t>
      </w:r>
      <w:r w:rsidRPr="002C560E">
        <w:rPr>
          <w:rFonts w:eastAsia="Calibri" w:cs="Calibri"/>
          <w:b/>
          <w:bCs/>
          <w:sz w:val="18"/>
          <w:szCs w:val="18"/>
          <w:bdr w:val="nil"/>
          <w:shd w:val="clear" w:color="auto" w:fill="FFFFFF"/>
          <w:lang w:val="sl-SI"/>
        </w:rPr>
        <w:t>virtualno sodelovanje</w:t>
      </w:r>
      <w:r w:rsidRPr="002C560E">
        <w:rPr>
          <w:rFonts w:eastAsia="Calibri" w:cs="Calibri"/>
          <w:sz w:val="18"/>
          <w:szCs w:val="18"/>
          <w:bdr w:val="nil"/>
          <w:shd w:val="clear" w:color="auto" w:fill="FFFFFF"/>
          <w:lang w:val="sl-SI"/>
        </w:rPr>
        <w:t xml:space="preserve"> so ključ za uspešna partnerstva v kontekstu COVID-19. Še zlasti se projekte na področju šolskega izobraževanja in izobraževanja odraslih močno spodbuja k uporabi </w:t>
      </w:r>
      <w:r w:rsidRPr="002C560E">
        <w:rPr>
          <w:rFonts w:eastAsia="Calibri" w:cs="Calibri"/>
          <w:b/>
          <w:bCs/>
          <w:sz w:val="18"/>
          <w:szCs w:val="18"/>
          <w:bdr w:val="nil"/>
          <w:shd w:val="clear" w:color="auto" w:fill="FFFFFF"/>
          <w:lang w:val="sl-SI"/>
        </w:rPr>
        <w:t>platform eTwinning, School Education Gateway in EPALE</w:t>
      </w:r>
      <w:r w:rsidRPr="002C560E">
        <w:rPr>
          <w:rFonts w:eastAsia="Calibri" w:cs="Calibri"/>
          <w:sz w:val="18"/>
          <w:szCs w:val="18"/>
          <w:bdr w:val="nil"/>
          <w:shd w:val="clear" w:color="auto" w:fill="FFFFFF"/>
          <w:lang w:val="sl-SI"/>
        </w:rPr>
        <w:t xml:space="preserve">, da bi se zagotovilo sodelovanje pred projektnimi aktivnostmi, med njimi in po njih. </w:t>
      </w:r>
    </w:p>
    <w:p w14:paraId="5042A222" w14:textId="77777777" w:rsidR="002C560E" w:rsidRPr="002C560E" w:rsidRDefault="002C560E" w:rsidP="00C60205">
      <w:pPr>
        <w:pStyle w:val="Guide-Normal0"/>
        <w:rPr>
          <w:rFonts w:eastAsia="Calibri" w:cs="Calibri"/>
          <w:sz w:val="18"/>
          <w:szCs w:val="18"/>
          <w:bdr w:val="nil"/>
          <w:shd w:val="clear" w:color="auto" w:fill="FFFFFF"/>
          <w:lang w:val="sl-SI"/>
        </w:rPr>
      </w:pPr>
    </w:p>
    <w:p w14:paraId="2752D1F6" w14:textId="77777777" w:rsidR="002C560E" w:rsidRPr="002C560E" w:rsidRDefault="002C560E" w:rsidP="00C60205">
      <w:pPr>
        <w:pStyle w:val="Guide-Normal0"/>
        <w:rPr>
          <w:rFonts w:eastAsia="Calibri" w:cs="Calibri"/>
          <w:sz w:val="18"/>
          <w:szCs w:val="18"/>
          <w:bdr w:val="nil"/>
          <w:shd w:val="clear" w:color="auto" w:fill="FFFFFF"/>
          <w:lang w:val="sl-SI"/>
        </w:rPr>
      </w:pPr>
    </w:p>
    <w:p w14:paraId="2F4D9B84" w14:textId="77777777" w:rsidR="002C560E" w:rsidRPr="002C560E" w:rsidRDefault="002C560E" w:rsidP="00C60205">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Partnerstva lahko organizirajo tudi mednarodne </w:t>
      </w:r>
      <w:r w:rsidRPr="002C560E">
        <w:rPr>
          <w:rFonts w:eastAsia="Calibri" w:cs="Calibri"/>
          <w:b/>
          <w:bCs/>
          <w:sz w:val="18"/>
          <w:szCs w:val="18"/>
          <w:bdr w:val="nil"/>
          <w:shd w:val="clear" w:color="auto" w:fill="FFFFFF"/>
          <w:lang w:val="sl-SI"/>
        </w:rPr>
        <w:t>aktivnosti</w:t>
      </w:r>
      <w:r w:rsidRPr="002C560E">
        <w:rPr>
          <w:rFonts w:eastAsia="Calibri" w:cs="Calibri"/>
          <w:sz w:val="18"/>
          <w:szCs w:val="18"/>
          <w:bdr w:val="nil"/>
          <w:shd w:val="clear" w:color="auto" w:fill="FFFFFF"/>
          <w:lang w:val="sl-SI"/>
        </w:rPr>
        <w:t xml:space="preserve"> </w:t>
      </w:r>
      <w:r w:rsidRPr="002C560E">
        <w:rPr>
          <w:rFonts w:eastAsia="Calibri" w:cs="Calibri"/>
          <w:b/>
          <w:bCs/>
          <w:sz w:val="18"/>
          <w:szCs w:val="18"/>
          <w:bdr w:val="nil"/>
          <w:shd w:val="clear" w:color="auto" w:fill="FFFFFF"/>
          <w:lang w:val="sl-SI"/>
        </w:rPr>
        <w:t>učenja, poučevanja in usposabljanja</w:t>
      </w:r>
      <w:r w:rsidRPr="002C560E">
        <w:rPr>
          <w:rFonts w:eastAsia="Calibri" w:cs="Calibri"/>
          <w:sz w:val="18"/>
          <w:szCs w:val="18"/>
          <w:bdr w:val="nil"/>
          <w:shd w:val="clear" w:color="auto" w:fill="FFFFFF"/>
          <w:lang w:val="sl-SI"/>
        </w:rPr>
        <w:t xml:space="preserve"> za posameznike (vključno s kombinirano mobilnostjo), če prispevajo dodano vrednost pri doseganju ciljev projekta.  Nekatere od teh aktivnosti so še posebej pomembne za eno ali več področij izobraževanja, usposabljanja in mladine. Za podrobnejši opis podprtih aktivnosti glej Prilogo I.</w:t>
      </w:r>
    </w:p>
    <w:p w14:paraId="4F53E5ED" w14:textId="77777777" w:rsidR="002C560E" w:rsidRPr="002C560E" w:rsidRDefault="002C560E" w:rsidP="00C60205">
      <w:pPr>
        <w:pStyle w:val="Guide-Normal0"/>
        <w:ind w:left="720"/>
        <w:rPr>
          <w:rFonts w:eastAsia="Calibri" w:cs="Calibri"/>
          <w:sz w:val="18"/>
          <w:szCs w:val="18"/>
          <w:bdr w:val="nil"/>
          <w:shd w:val="clear" w:color="auto" w:fill="FFFFFF"/>
          <w:lang w:val="sl-SI"/>
        </w:rPr>
      </w:pPr>
    </w:p>
    <w:p w14:paraId="60A8A02B" w14:textId="77777777" w:rsidR="002C560E" w:rsidRPr="00C60205" w:rsidRDefault="002C560E" w:rsidP="00C60205">
      <w:pPr>
        <w:pStyle w:val="Guide-Heading5"/>
        <w:suppressAutoHyphens w:val="0"/>
        <w:spacing w:before="200" w:after="200"/>
        <w:textAlignment w:val="auto"/>
        <w:outlineLvl w:val="9"/>
        <w:rPr>
          <w:b w:val="0"/>
          <w:bCs/>
          <w:szCs w:val="22"/>
          <w:lang w:val="sl-SI"/>
        </w:rPr>
      </w:pPr>
      <w:r w:rsidRPr="00C60205">
        <w:rPr>
          <w:bCs/>
          <w:kern w:val="0"/>
          <w:szCs w:val="22"/>
          <w:lang w:val="sl-SI"/>
        </w:rPr>
        <w:t>Kdo se lahko vključi v strateško partnerstvo, ustanovljeno zaradi razmer v zvezi s COVID-19?</w:t>
      </w:r>
    </w:p>
    <w:p w14:paraId="4015811D" w14:textId="77777777" w:rsidR="002C560E" w:rsidRPr="002C560E" w:rsidRDefault="002C560E" w:rsidP="00C60205">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Praviloma so strateška partnerstva namenjena sodelovanju med organizacijami s sedežem v državah Programa. Vendar lahko organizacije iz partnerskih držav sodelujejo v strateškem partnerstvu kot partnerice (ne kot prijaviteljice), če njihova udeležba k projektu prispeva bistveno dodano vrednost.</w:t>
      </w:r>
    </w:p>
    <w:p w14:paraId="14071A2B" w14:textId="77777777" w:rsidR="002C560E" w:rsidRPr="002C560E" w:rsidRDefault="002C560E" w:rsidP="00C60205">
      <w:pPr>
        <w:pStyle w:val="Guide-Normal0"/>
        <w:rPr>
          <w:rFonts w:eastAsia="Calibri" w:cs="Calibri"/>
          <w:sz w:val="18"/>
          <w:szCs w:val="18"/>
          <w:bdr w:val="nil"/>
          <w:shd w:val="clear" w:color="auto" w:fill="FFFFFF"/>
          <w:lang w:val="sl-SI"/>
        </w:rPr>
      </w:pPr>
    </w:p>
    <w:p w14:paraId="6F8394EC" w14:textId="77777777" w:rsidR="002C560E" w:rsidRPr="002C560E" w:rsidRDefault="002C560E" w:rsidP="00C60205">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Poleg organizacij, ki formalno sodelujejo v projektu in prejemajo sredstva EU, lahko strateška partnerstva vključujejo tudi pridružene partnerje iz javnega ali zasebnega sektorja, ki prispevajo k izvajanju določenih projektnih nalog/aktivnosti ali podpirajo razširjanje in trajnost projekta. Za vprašanja glede upravljanja sporazuma se pridruženi partnerji ne štejejo za partnerje pri projektu in ne prejemajo sredstev. Vendar morata biti njihova vključenost in vloga v projektu ter različnih aktivnostih jasno opisana. </w:t>
      </w:r>
    </w:p>
    <w:p w14:paraId="25F50F82" w14:textId="77777777" w:rsidR="002C560E" w:rsidRPr="002C560E" w:rsidRDefault="002C560E" w:rsidP="00C60205">
      <w:pPr>
        <w:pStyle w:val="Guide-Normal0"/>
        <w:rPr>
          <w:rFonts w:eastAsia="Calibri" w:cs="Calibri"/>
          <w:sz w:val="18"/>
          <w:szCs w:val="18"/>
          <w:bdr w:val="nil"/>
          <w:shd w:val="clear" w:color="auto" w:fill="FFFFFF"/>
          <w:lang w:val="sl-SI"/>
        </w:rPr>
      </w:pPr>
    </w:p>
    <w:p w14:paraId="4560A5C0" w14:textId="77777777" w:rsidR="002C560E" w:rsidRPr="00C60205" w:rsidRDefault="002C560E" w:rsidP="00C60205">
      <w:pPr>
        <w:pStyle w:val="Guide-Heading5"/>
        <w:suppressAutoHyphens w:val="0"/>
        <w:spacing w:before="200" w:after="200"/>
        <w:textAlignment w:val="auto"/>
        <w:outlineLvl w:val="9"/>
        <w:rPr>
          <w:b w:val="0"/>
          <w:bCs/>
          <w:szCs w:val="22"/>
          <w:lang w:val="sl-SI"/>
        </w:rPr>
      </w:pPr>
      <w:r w:rsidRPr="00C60205">
        <w:rPr>
          <w:bCs/>
          <w:kern w:val="0"/>
          <w:szCs w:val="22"/>
          <w:lang w:val="sl-SI"/>
        </w:rPr>
        <w:t xml:space="preserve">Kakšna so merila za oceno strateškega partnerstva, ustanovljenega zaradi razmer v zvezi s COVID-19? </w:t>
      </w:r>
    </w:p>
    <w:p w14:paraId="27C38115" w14:textId="77777777" w:rsidR="002C560E" w:rsidRPr="002C560E" w:rsidRDefault="002C560E" w:rsidP="00C60205">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V nadaljevanju so navedena uradna merila, ki jih mora izpolniti strateško partnerstvo v kontekstu COVID-19 za upravičenost do nepovratnih sredstev Erasmus+:</w:t>
      </w:r>
    </w:p>
    <w:p w14:paraId="123BBD4D" w14:textId="77777777" w:rsidR="002C560E" w:rsidRPr="002C560E" w:rsidRDefault="002C560E" w:rsidP="00C60205">
      <w:pPr>
        <w:pStyle w:val="Guide-Normal0"/>
        <w:rPr>
          <w:rFonts w:eastAsia="Calibri" w:cs="Calibri"/>
          <w:sz w:val="18"/>
          <w:szCs w:val="18"/>
          <w:bdr w:val="nil"/>
          <w:shd w:val="clear" w:color="auto" w:fill="FFFFFF"/>
          <w:lang w:val="sl-SI"/>
        </w:rPr>
      </w:pPr>
    </w:p>
    <w:p w14:paraId="18D9EF11" w14:textId="77777777" w:rsidR="002C560E" w:rsidRPr="00C60205" w:rsidRDefault="002C560E" w:rsidP="00C60205">
      <w:pPr>
        <w:pStyle w:val="Guide-Heading6"/>
        <w:spacing w:before="200" w:after="200"/>
        <w:rPr>
          <w:rFonts w:cs="Tahoma"/>
          <w:b w:val="0"/>
          <w:lang w:val="sl-SI"/>
        </w:rPr>
      </w:pPr>
      <w:r w:rsidRPr="00C60205">
        <w:rPr>
          <w:rFonts w:cs="Tahoma"/>
          <w:lang w:val="sl-SI"/>
        </w:rPr>
        <w:t>Splošna merila za upravičenost</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hemeColor="text1"/>
        </w:tblBorders>
        <w:shd w:val="clear" w:color="auto" w:fill="FFFFFF"/>
        <w:tblLook w:val="0000" w:firstRow="0" w:lastRow="0" w:firstColumn="0" w:lastColumn="0" w:noHBand="0" w:noVBand="0"/>
      </w:tblPr>
      <w:tblGrid>
        <w:gridCol w:w="2074"/>
        <w:gridCol w:w="7218"/>
      </w:tblGrid>
      <w:tr w:rsidR="002C560E" w:rsidRPr="00C60205" w14:paraId="7DCC4B09" w14:textId="77777777" w:rsidTr="00A6094F">
        <w:trPr>
          <w:cantSplit/>
        </w:trPr>
        <w:tc>
          <w:tcPr>
            <w:tcW w:w="1116" w:type="pct"/>
            <w:shd w:val="clear" w:color="auto" w:fill="FFFFFF" w:themeFill="background1"/>
            <w:vAlign w:val="center"/>
          </w:tcPr>
          <w:p w14:paraId="7BB52C93" w14:textId="77777777" w:rsidR="002C560E" w:rsidRPr="002C560E" w:rsidRDefault="002C560E" w:rsidP="002C560E">
            <w:pPr>
              <w:pStyle w:val="Guide-Normal0"/>
              <w:rPr>
                <w:rFonts w:eastAsia="Calibri" w:cs="Calibri"/>
                <w:b/>
                <w:bCs/>
                <w:sz w:val="18"/>
                <w:szCs w:val="18"/>
                <w:bdr w:val="nil"/>
                <w:shd w:val="clear" w:color="auto" w:fill="FFFFFF"/>
                <w:lang w:val="sl-SI"/>
              </w:rPr>
            </w:pPr>
            <w:r w:rsidRPr="002C560E">
              <w:rPr>
                <w:rFonts w:eastAsia="Calibri" w:cs="Calibri"/>
                <w:b/>
                <w:bCs/>
                <w:sz w:val="18"/>
                <w:szCs w:val="18"/>
                <w:bdr w:val="nil"/>
                <w:shd w:val="clear" w:color="auto" w:fill="FFFFFF"/>
                <w:lang w:val="sl-SI"/>
              </w:rPr>
              <w:t>Upravičene sodelujoče organizacije</w:t>
            </w:r>
          </w:p>
        </w:tc>
        <w:tc>
          <w:tcPr>
            <w:tcW w:w="3884" w:type="pct"/>
            <w:shd w:val="clear" w:color="auto" w:fill="FFFFFF" w:themeFill="background1"/>
          </w:tcPr>
          <w:p w14:paraId="707BF597" w14:textId="77777777" w:rsidR="002C560E" w:rsidRPr="002C560E" w:rsidRDefault="002C560E" w:rsidP="002C560E">
            <w:pPr>
              <w:pStyle w:val="Guide-Normal0"/>
              <w:rPr>
                <w:rFonts w:eastAsia="Calibri" w:cs="Calibri"/>
                <w:bCs/>
                <w:sz w:val="18"/>
                <w:szCs w:val="18"/>
                <w:bdr w:val="nil"/>
                <w:shd w:val="clear" w:color="auto" w:fill="FFFFFF"/>
                <w:lang w:val="sl-SI"/>
              </w:rPr>
            </w:pPr>
            <w:r w:rsidRPr="002C560E">
              <w:rPr>
                <w:rFonts w:eastAsia="Calibri" w:cs="Calibri"/>
                <w:sz w:val="18"/>
                <w:szCs w:val="18"/>
                <w:bdr w:val="nil"/>
                <w:shd w:val="clear" w:color="auto" w:fill="FFFFFF"/>
                <w:lang w:val="sl-SI"/>
              </w:rPr>
              <w:t>Sodelujoča organizacija je lahko katera koli javna ali zasebna organizacija, ki ima sedež v državi Programa ali kateri koli partnerski državi sveta (glej poglavje „Upravičene države“ v delu A tega vodnika).</w:t>
            </w:r>
          </w:p>
          <w:p w14:paraId="5E899B2A" w14:textId="77777777" w:rsidR="002C560E" w:rsidRPr="002C560E" w:rsidRDefault="002C560E" w:rsidP="002C560E">
            <w:pPr>
              <w:pStyle w:val="Guide-Normal0"/>
              <w:rPr>
                <w:rFonts w:eastAsia="Calibri" w:cs="Calibri"/>
                <w:sz w:val="18"/>
                <w:szCs w:val="18"/>
                <w:bdr w:val="nil"/>
                <w:shd w:val="clear" w:color="auto" w:fill="FFFFFF"/>
                <w:lang w:val="sl-SI"/>
              </w:rPr>
            </w:pPr>
            <w:r w:rsidRPr="002C560E">
              <w:rPr>
                <w:rFonts w:eastAsia="Calibri" w:cs="Calibri"/>
                <w:bCs/>
                <w:sz w:val="18"/>
                <w:szCs w:val="18"/>
                <w:bdr w:val="nil"/>
                <w:shd w:val="clear" w:color="auto" w:fill="FFFFFF"/>
                <w:lang w:val="sl-SI"/>
              </w:rPr>
              <w:t>Taka organizacija je lahko na primer:</w:t>
            </w:r>
          </w:p>
          <w:p w14:paraId="60127718" w14:textId="77777777" w:rsidR="002C560E" w:rsidRPr="002C560E" w:rsidRDefault="002C560E" w:rsidP="002C560E">
            <w:pPr>
              <w:pStyle w:val="Guide-Normal0"/>
              <w:numPr>
                <w:ilvl w:val="0"/>
                <w:numId w:val="502"/>
              </w:numPr>
              <w:rPr>
                <w:rFonts w:eastAsia="Calibri" w:cs="Calibri"/>
                <w:bCs/>
                <w:sz w:val="18"/>
                <w:szCs w:val="18"/>
                <w:bdr w:val="nil"/>
                <w:shd w:val="clear" w:color="auto" w:fill="FFFFFF"/>
                <w:lang w:val="sl-SI"/>
              </w:rPr>
            </w:pPr>
            <w:r w:rsidRPr="002C560E">
              <w:rPr>
                <w:rFonts w:eastAsia="Calibri" w:cs="Calibri"/>
                <w:bCs/>
                <w:sz w:val="18"/>
                <w:szCs w:val="18"/>
                <w:bdr w:val="nil"/>
                <w:shd w:val="clear" w:color="auto" w:fill="FFFFFF"/>
                <w:lang w:val="sl-SI"/>
              </w:rPr>
              <w:t>visokošolska institucija;</w:t>
            </w:r>
          </w:p>
          <w:p w14:paraId="3F6FAF95" w14:textId="77777777" w:rsidR="002C560E" w:rsidRPr="002C560E" w:rsidRDefault="002C560E" w:rsidP="002C560E">
            <w:pPr>
              <w:pStyle w:val="Guide-Normal0"/>
              <w:numPr>
                <w:ilvl w:val="0"/>
                <w:numId w:val="502"/>
              </w:numPr>
              <w:rPr>
                <w:rFonts w:eastAsia="Calibri" w:cs="Calibri"/>
                <w:bCs/>
                <w:sz w:val="18"/>
                <w:szCs w:val="18"/>
                <w:bdr w:val="nil"/>
                <w:shd w:val="clear" w:color="auto" w:fill="FFFFFF"/>
                <w:lang w:val="sl-SI"/>
              </w:rPr>
            </w:pPr>
            <w:r w:rsidRPr="002C560E">
              <w:rPr>
                <w:rFonts w:eastAsia="Calibri" w:cs="Calibri"/>
                <w:bCs/>
                <w:sz w:val="18"/>
                <w:szCs w:val="18"/>
                <w:bdr w:val="nil"/>
                <w:shd w:val="clear" w:color="auto" w:fill="FFFFFF"/>
                <w:lang w:val="sl-SI"/>
              </w:rPr>
              <w:t>šola/zavod/center za izobraževanje (na kateri koli ravni od predšolskega do srednješolskega izobraževanja, vključno s poklicnim izobraževanjem in izobraževanjem odraslih);</w:t>
            </w:r>
          </w:p>
          <w:p w14:paraId="3AAFB521" w14:textId="77777777" w:rsidR="002C560E" w:rsidRPr="002C560E" w:rsidRDefault="002C560E" w:rsidP="002C560E">
            <w:pPr>
              <w:pStyle w:val="Guide-Normal0"/>
              <w:numPr>
                <w:ilvl w:val="0"/>
                <w:numId w:val="502"/>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neprofitna organizacija, združenje, nevladna organizacija;</w:t>
            </w:r>
          </w:p>
          <w:p w14:paraId="01C49034" w14:textId="77777777" w:rsidR="002C560E" w:rsidRPr="002C560E" w:rsidRDefault="002C560E" w:rsidP="002C560E">
            <w:pPr>
              <w:pStyle w:val="Guide-Normal0"/>
              <w:numPr>
                <w:ilvl w:val="0"/>
                <w:numId w:val="502"/>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javno ali zasebno malo, srednje ali veliko podjetje (vključno s socialnimi podjetji);</w:t>
            </w:r>
          </w:p>
          <w:p w14:paraId="6CDCCCDE" w14:textId="77777777" w:rsidR="002C560E" w:rsidRPr="002C560E" w:rsidRDefault="002C560E" w:rsidP="002C560E">
            <w:pPr>
              <w:pStyle w:val="Guide-Normal0"/>
              <w:numPr>
                <w:ilvl w:val="0"/>
                <w:numId w:val="502"/>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javni organ na lokalni, regionalni ali nacionalni ravni;</w:t>
            </w:r>
          </w:p>
          <w:p w14:paraId="6DAC4068" w14:textId="77777777" w:rsidR="002C560E" w:rsidRPr="002C560E" w:rsidRDefault="002C560E" w:rsidP="002C560E">
            <w:pPr>
              <w:pStyle w:val="Guide-Normal0"/>
              <w:numPr>
                <w:ilvl w:val="0"/>
                <w:numId w:val="502"/>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socialni partner ali drug predstavnik sveta dela, tudi gospodarske zbornice, industrija, obrtniška/poklicna združenja in sindikati;</w:t>
            </w:r>
          </w:p>
          <w:p w14:paraId="042FCBF2" w14:textId="77777777" w:rsidR="002C560E" w:rsidRPr="002C560E" w:rsidRDefault="002C560E" w:rsidP="002C560E">
            <w:pPr>
              <w:pStyle w:val="Guide-Normal0"/>
              <w:numPr>
                <w:ilvl w:val="0"/>
                <w:numId w:val="502"/>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raziskovalni inštitut;</w:t>
            </w:r>
          </w:p>
          <w:p w14:paraId="38AFC7A0" w14:textId="77777777" w:rsidR="002C560E" w:rsidRPr="002C560E" w:rsidRDefault="002C560E" w:rsidP="002C560E">
            <w:pPr>
              <w:pStyle w:val="Guide-Normal0"/>
              <w:numPr>
                <w:ilvl w:val="0"/>
                <w:numId w:val="502"/>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fundacija;</w:t>
            </w:r>
          </w:p>
          <w:p w14:paraId="4A8A0E41" w14:textId="77777777" w:rsidR="002C560E" w:rsidRPr="002C560E" w:rsidRDefault="002C560E" w:rsidP="002C560E">
            <w:pPr>
              <w:pStyle w:val="Guide-Normal0"/>
              <w:numPr>
                <w:ilvl w:val="0"/>
                <w:numId w:val="502"/>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medpodjetniški center za usposabljanje;</w:t>
            </w:r>
          </w:p>
          <w:p w14:paraId="2D51B83E" w14:textId="77777777" w:rsidR="002C560E" w:rsidRPr="002C560E" w:rsidRDefault="002C560E" w:rsidP="002C560E">
            <w:pPr>
              <w:pStyle w:val="Guide-Normal0"/>
              <w:numPr>
                <w:ilvl w:val="0"/>
                <w:numId w:val="502"/>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podjetja, ki zagotavljajo skupna usposabljanja (usposabljanja v sodelovanju z drugimi);</w:t>
            </w:r>
          </w:p>
          <w:p w14:paraId="3315FA31" w14:textId="77777777" w:rsidR="002C560E" w:rsidRPr="002C560E" w:rsidRDefault="002C560E" w:rsidP="002C560E">
            <w:pPr>
              <w:pStyle w:val="Guide-Normal0"/>
              <w:numPr>
                <w:ilvl w:val="0"/>
                <w:numId w:val="502"/>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kulturna organizacija, knjižnica, muzej;</w:t>
            </w:r>
          </w:p>
          <w:p w14:paraId="6D2BF134" w14:textId="77777777" w:rsidR="002C560E" w:rsidRPr="002C560E" w:rsidRDefault="002C560E" w:rsidP="002C560E">
            <w:pPr>
              <w:pStyle w:val="Guide-Normal0"/>
              <w:numPr>
                <w:ilvl w:val="0"/>
                <w:numId w:val="502"/>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organ, ki zagotavlja karierno orientacijo, poklicno svetovanje in informiranje;</w:t>
            </w:r>
          </w:p>
          <w:p w14:paraId="49D15C10" w14:textId="77777777" w:rsidR="002C560E" w:rsidRPr="002C560E" w:rsidRDefault="002C560E" w:rsidP="002C560E">
            <w:pPr>
              <w:pStyle w:val="Guide-Normal0"/>
              <w:numPr>
                <w:ilvl w:val="0"/>
                <w:numId w:val="502"/>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organ, ki potrjuje znanje, spretnosti in kompetence, pridobljene z neformalnim in priložnostnim učenjem;</w:t>
            </w:r>
          </w:p>
          <w:p w14:paraId="7FC5BB88" w14:textId="77777777" w:rsidR="002C560E" w:rsidRPr="002C560E" w:rsidRDefault="002C560E" w:rsidP="002C560E">
            <w:pPr>
              <w:pStyle w:val="Guide-Normal0"/>
              <w:numPr>
                <w:ilvl w:val="0"/>
                <w:numId w:val="502"/>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evropska mladinska nevladna organizacija;</w:t>
            </w:r>
          </w:p>
          <w:p w14:paraId="5FB85BEC" w14:textId="77777777" w:rsidR="002C560E" w:rsidRPr="002C560E" w:rsidRDefault="002C560E" w:rsidP="002C560E">
            <w:pPr>
              <w:pStyle w:val="Guide-Normal0"/>
              <w:numPr>
                <w:ilvl w:val="0"/>
                <w:numId w:val="502"/>
              </w:numPr>
              <w:rPr>
                <w:rFonts w:eastAsia="Calibri" w:cs="Calibri"/>
                <w:bCs/>
                <w:sz w:val="18"/>
                <w:szCs w:val="18"/>
                <w:bdr w:val="nil"/>
                <w:shd w:val="clear" w:color="auto" w:fill="FFFFFF"/>
                <w:lang w:val="sl-SI"/>
              </w:rPr>
            </w:pPr>
            <w:r w:rsidRPr="002C560E">
              <w:rPr>
                <w:rFonts w:eastAsia="Calibri" w:cs="Calibri"/>
                <w:sz w:val="18"/>
                <w:szCs w:val="18"/>
                <w:bdr w:val="nil"/>
                <w:shd w:val="clear" w:color="auto" w:fill="FFFFFF"/>
                <w:lang w:val="sl-SI"/>
              </w:rPr>
              <w:t>skupina mladih, ki je aktivna na področju mladinskega dela, vendar ne nujno v okviru mladinske organizacije (tj. neformalna skupina mladih</w:t>
            </w:r>
            <w:r w:rsidRPr="002C560E">
              <w:rPr>
                <w:rFonts w:eastAsia="Calibri" w:cs="Calibri"/>
                <w:sz w:val="18"/>
                <w:szCs w:val="18"/>
                <w:bdr w:val="nil"/>
                <w:shd w:val="clear" w:color="auto" w:fill="FFFFFF"/>
                <w:vertAlign w:val="superscript"/>
                <w:lang w:val="sl-SI"/>
              </w:rPr>
              <w:footnoteReference w:id="98"/>
            </w:r>
            <w:r w:rsidRPr="002C560E">
              <w:rPr>
                <w:rFonts w:eastAsia="Calibri" w:cs="Calibri"/>
                <w:sz w:val="18"/>
                <w:szCs w:val="18"/>
                <w:bdr w:val="nil"/>
                <w:shd w:val="clear" w:color="auto" w:fill="FFFFFF"/>
                <w:lang w:val="sl-SI"/>
              </w:rPr>
              <w:t>).</w:t>
            </w:r>
            <w:r w:rsidRPr="002C560E">
              <w:rPr>
                <w:rFonts w:eastAsia="Calibri" w:cs="Calibri"/>
                <w:bCs/>
                <w:sz w:val="18"/>
                <w:szCs w:val="18"/>
                <w:bdr w:val="nil"/>
                <w:shd w:val="clear" w:color="auto" w:fill="FFFFFF"/>
                <w:lang w:val="sl-SI"/>
              </w:rPr>
              <w:t xml:space="preserve"> </w:t>
            </w:r>
          </w:p>
          <w:p w14:paraId="3EAB4EF7" w14:textId="77777777" w:rsidR="002C560E" w:rsidRPr="002C560E" w:rsidRDefault="002C560E" w:rsidP="002C560E">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Visokošolske institucije s sedežem v državi Programa morajo biti nosilke veljavne Listine Erasmus za terciarno izobraževanje (ECHE). Listina ECHE ni zahtevana za sodelujoče visokošolske institucije iz partnerskih držav, vendar bodo te morale sprejeti njena načela.</w:t>
            </w:r>
          </w:p>
          <w:p w14:paraId="4D013897" w14:textId="77777777" w:rsidR="002C560E" w:rsidRPr="002C560E" w:rsidRDefault="002C560E" w:rsidP="002C560E">
            <w:pPr>
              <w:pStyle w:val="Guide-Normal0"/>
              <w:rPr>
                <w:rFonts w:eastAsia="Calibri" w:cs="Calibri"/>
                <w:sz w:val="18"/>
                <w:szCs w:val="18"/>
                <w:bdr w:val="nil"/>
                <w:shd w:val="clear" w:color="auto" w:fill="FFFFFF"/>
                <w:lang w:val="sl-SI"/>
              </w:rPr>
            </w:pPr>
          </w:p>
          <w:p w14:paraId="42E4D10C" w14:textId="77777777" w:rsidR="002C560E" w:rsidRPr="002C560E" w:rsidRDefault="002C560E" w:rsidP="002C560E">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V zvezi s partnerstvi za ustvarjalnost je poziv odprt še posebej za organizacije, aktivne v kulturnih in ustvarjalnih sektorjih, ki vključujejo vse sektorje, katerih aktivnosti temeljijo na kulturnih vrednotah in/ali umetniškem ali drugem ustvarjalnem izražanju, tj. aktivnosti, ki so ali niso tržno usmerjene, ne glede na vrsto strukture, ki jih izvaja, in ne glede na to, kako se navedena struktura financira. Te aktivnosti vključujejo razvoj, ustvarjanje, produkcijo, razširjanje ter ohranjanje dobrin in storitev, ki vsebujejo kulturna, umetniška ali druga ustvarjalna izražanja, ter povezane aktivnosti, kot sta izobraževanje ali upravljanje.</w:t>
            </w:r>
          </w:p>
          <w:p w14:paraId="5F348B2E" w14:textId="77777777" w:rsidR="002C560E" w:rsidRPr="002C560E" w:rsidRDefault="002C560E" w:rsidP="002C560E">
            <w:pPr>
              <w:pStyle w:val="Guide-Normal0"/>
              <w:rPr>
                <w:rFonts w:eastAsia="Calibri" w:cs="Calibri"/>
                <w:sz w:val="18"/>
                <w:szCs w:val="18"/>
                <w:bdr w:val="nil"/>
                <w:shd w:val="clear" w:color="auto" w:fill="FFFFFF"/>
                <w:lang w:val="sl-SI"/>
              </w:rPr>
            </w:pPr>
          </w:p>
        </w:tc>
      </w:tr>
      <w:tr w:rsidR="002C560E" w:rsidRPr="002C560E" w14:paraId="369A8C03" w14:textId="77777777" w:rsidTr="00A6094F">
        <w:trPr>
          <w:cantSplit/>
        </w:trPr>
        <w:tc>
          <w:tcPr>
            <w:tcW w:w="1116" w:type="pct"/>
            <w:shd w:val="clear" w:color="auto" w:fill="FFFFFF" w:themeFill="background1"/>
            <w:vAlign w:val="center"/>
          </w:tcPr>
          <w:p w14:paraId="2167849E" w14:textId="77777777" w:rsidR="002C560E" w:rsidRPr="002C560E" w:rsidRDefault="002C560E" w:rsidP="002C560E">
            <w:pPr>
              <w:pStyle w:val="Guide-Normal0"/>
              <w:rPr>
                <w:rFonts w:eastAsia="Calibri" w:cs="Calibri"/>
                <w:b/>
                <w:bCs/>
                <w:sz w:val="18"/>
                <w:szCs w:val="18"/>
                <w:bdr w:val="nil"/>
                <w:shd w:val="clear" w:color="auto" w:fill="FFFFFF"/>
                <w:lang w:val="sl-SI"/>
              </w:rPr>
            </w:pPr>
            <w:r w:rsidRPr="002C560E">
              <w:rPr>
                <w:rFonts w:eastAsia="Calibri" w:cs="Calibri"/>
                <w:b/>
                <w:bCs/>
                <w:sz w:val="18"/>
                <w:szCs w:val="18"/>
                <w:bdr w:val="nil"/>
                <w:shd w:val="clear" w:color="auto" w:fill="FFFFFF"/>
                <w:lang w:val="sl-SI"/>
              </w:rPr>
              <w:t>Kdo se lahko prijavi?</w:t>
            </w:r>
          </w:p>
        </w:tc>
        <w:tc>
          <w:tcPr>
            <w:tcW w:w="3884" w:type="pct"/>
            <w:shd w:val="clear" w:color="auto" w:fill="FFFFFF" w:themeFill="background1"/>
          </w:tcPr>
          <w:p w14:paraId="1B576E0D" w14:textId="77777777" w:rsidR="002C560E" w:rsidRPr="002C560E" w:rsidRDefault="002C560E" w:rsidP="002C560E">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Prijavitelj je lahko katera koli sodelujoča organizacija s sedežem v državi Programa. Ta organizacija se prijavi v imenu vseh sodelujočih organizacij, ki so vključene v projekt. </w:t>
            </w:r>
          </w:p>
          <w:p w14:paraId="0425BB99" w14:textId="77777777" w:rsidR="002C560E" w:rsidRPr="002C560E" w:rsidRDefault="002C560E" w:rsidP="002C560E">
            <w:pPr>
              <w:pStyle w:val="Guide-Normal0"/>
              <w:rPr>
                <w:rFonts w:eastAsia="Calibri" w:cs="Calibri"/>
                <w:sz w:val="18"/>
                <w:szCs w:val="18"/>
                <w:bdr w:val="nil"/>
                <w:shd w:val="clear" w:color="auto" w:fill="FFFFFF"/>
                <w:lang w:val="sl-SI"/>
              </w:rPr>
            </w:pPr>
          </w:p>
        </w:tc>
      </w:tr>
      <w:tr w:rsidR="002C560E" w:rsidRPr="00C60205" w14:paraId="6601D8F1" w14:textId="77777777" w:rsidTr="00A6094F">
        <w:trPr>
          <w:cantSplit/>
        </w:trPr>
        <w:tc>
          <w:tcPr>
            <w:tcW w:w="1116" w:type="pct"/>
            <w:shd w:val="clear" w:color="auto" w:fill="auto"/>
            <w:vAlign w:val="center"/>
          </w:tcPr>
          <w:p w14:paraId="61FA281A" w14:textId="77777777" w:rsidR="002C560E" w:rsidRPr="002C560E" w:rsidRDefault="002C560E" w:rsidP="002C560E">
            <w:pPr>
              <w:pStyle w:val="Guide-Normal0"/>
              <w:rPr>
                <w:rFonts w:eastAsia="Calibri" w:cs="Calibri"/>
                <w:b/>
                <w:bCs/>
                <w:sz w:val="18"/>
                <w:szCs w:val="18"/>
                <w:bdr w:val="nil"/>
                <w:shd w:val="clear" w:color="auto" w:fill="FFFFFF"/>
                <w:lang w:val="sl-SI"/>
              </w:rPr>
            </w:pPr>
            <w:r w:rsidRPr="002C560E">
              <w:rPr>
                <w:rFonts w:eastAsia="Calibri" w:cs="Calibri"/>
                <w:b/>
                <w:bCs/>
                <w:sz w:val="18"/>
                <w:szCs w:val="18"/>
                <w:bdr w:val="nil"/>
                <w:shd w:val="clear" w:color="auto" w:fill="FFFFFF"/>
                <w:lang w:val="sl-SI"/>
              </w:rPr>
              <w:t>Število in profil sodelujočih organizacij</w:t>
            </w:r>
          </w:p>
        </w:tc>
        <w:tc>
          <w:tcPr>
            <w:tcW w:w="3884" w:type="pct"/>
            <w:shd w:val="clear" w:color="auto" w:fill="FFFFFF" w:themeFill="background1"/>
          </w:tcPr>
          <w:p w14:paraId="54E1658E" w14:textId="77777777" w:rsidR="002C560E" w:rsidRPr="002C560E" w:rsidRDefault="002C560E" w:rsidP="002C560E">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Strateško partnerstvo je mednarodno in vključuje vsaj tri organizacije iz treh različnih držav Programa. Ni omejenega števila sodelujočih organizacij. Vendar so proračunska sredstva za vodenje in izvajanje projekta omejena navzgor (znesek enakovreden desetim sodelujočim organizacijam). Ob oddaji vloge za nepovratna sredstva morajo biti opredeljene vse sodelujoče organizacije.  </w:t>
            </w:r>
          </w:p>
        </w:tc>
      </w:tr>
      <w:tr w:rsidR="002C560E" w:rsidRPr="00C60205" w14:paraId="5266AB96" w14:textId="77777777" w:rsidTr="00A6094F">
        <w:trPr>
          <w:cantSplit/>
        </w:trPr>
        <w:tc>
          <w:tcPr>
            <w:tcW w:w="1116" w:type="pct"/>
            <w:tcBorders>
              <w:top w:val="dashed" w:sz="4" w:space="0" w:color="auto"/>
              <w:left w:val="single" w:sz="4" w:space="0" w:color="auto"/>
              <w:bottom w:val="dashed" w:sz="4" w:space="0" w:color="auto"/>
              <w:right w:val="dashed" w:sz="4" w:space="0" w:color="auto"/>
            </w:tcBorders>
            <w:shd w:val="clear" w:color="auto" w:fill="auto"/>
            <w:vAlign w:val="center"/>
          </w:tcPr>
          <w:p w14:paraId="6FEC8604" w14:textId="77777777" w:rsidR="002C560E" w:rsidRPr="002C560E" w:rsidRDefault="002C560E" w:rsidP="002C560E">
            <w:pPr>
              <w:pStyle w:val="Guide-Normal0"/>
              <w:rPr>
                <w:rFonts w:eastAsia="Calibri" w:cs="Calibri"/>
                <w:b/>
                <w:bCs/>
                <w:sz w:val="18"/>
                <w:szCs w:val="18"/>
                <w:bdr w:val="nil"/>
                <w:shd w:val="clear" w:color="auto" w:fill="FFFFFF"/>
                <w:lang w:val="sl-SI"/>
              </w:rPr>
            </w:pPr>
            <w:r w:rsidRPr="002C560E">
              <w:rPr>
                <w:rFonts w:eastAsia="Calibri" w:cs="Calibri"/>
                <w:b/>
                <w:bCs/>
                <w:sz w:val="18"/>
                <w:szCs w:val="18"/>
                <w:bdr w:val="nil"/>
                <w:shd w:val="clear" w:color="auto" w:fill="FFFFFF"/>
                <w:lang w:val="sl-SI"/>
              </w:rPr>
              <w:t>Kraji izvajanja aktivnosti</w:t>
            </w:r>
          </w:p>
        </w:tc>
        <w:tc>
          <w:tcPr>
            <w:tcW w:w="3884" w:type="pct"/>
            <w:tcBorders>
              <w:top w:val="dashed" w:sz="4" w:space="0" w:color="auto"/>
              <w:left w:val="single" w:sz="8" w:space="0" w:color="000000" w:themeColor="text1"/>
              <w:bottom w:val="dashed" w:sz="4" w:space="0" w:color="auto"/>
              <w:right w:val="single" w:sz="4" w:space="0" w:color="auto"/>
            </w:tcBorders>
            <w:shd w:val="clear" w:color="auto" w:fill="FFFFFF" w:themeFill="background1"/>
          </w:tcPr>
          <w:p w14:paraId="5FDE39F1" w14:textId="77777777" w:rsidR="002C560E" w:rsidRPr="002C560E" w:rsidRDefault="002C560E" w:rsidP="002C560E">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Fizične aktivnosti se morajo izvajati v državah organizacij, ki sodelujejo v projektu. Aktivnosti učenja, poučevanja in usposabljanja za učeče se in dolgotrajne aktivnosti za osebje je mogoče organizirati le v državah Programa.</w:t>
            </w:r>
          </w:p>
          <w:p w14:paraId="6B61C15E" w14:textId="77777777" w:rsidR="002C560E" w:rsidRPr="002C560E" w:rsidRDefault="002C560E" w:rsidP="002C560E">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Poleg tega lahko, če je to upravičeno glede na cilje ali izvajanje projekta: </w:t>
            </w:r>
          </w:p>
          <w:p w14:paraId="204425CA" w14:textId="77777777" w:rsidR="002C560E" w:rsidRPr="002C560E" w:rsidRDefault="002C560E" w:rsidP="002C560E">
            <w:pPr>
              <w:pStyle w:val="Guide-Normal0"/>
              <w:numPr>
                <w:ilvl w:val="0"/>
                <w:numId w:val="58"/>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aktivnosti potekajo tudi na sedežu institucije Evropske unije, čeprav v projekt niso vključene sodelujoče organizacije iz države, ki gosti institucijo</w:t>
            </w:r>
            <w:r w:rsidRPr="002C560E">
              <w:rPr>
                <w:rFonts w:eastAsia="Calibri" w:cs="Calibri"/>
                <w:sz w:val="18"/>
                <w:szCs w:val="18"/>
                <w:bdr w:val="nil"/>
                <w:shd w:val="clear" w:color="auto" w:fill="FFFFFF"/>
                <w:vertAlign w:val="superscript"/>
                <w:lang w:val="sl-SI"/>
              </w:rPr>
              <w:footnoteReference w:id="99"/>
            </w:r>
            <w:r w:rsidRPr="002C560E">
              <w:rPr>
                <w:rFonts w:eastAsia="Calibri" w:cs="Calibri"/>
                <w:sz w:val="18"/>
                <w:szCs w:val="18"/>
                <w:bdr w:val="nil"/>
                <w:shd w:val="clear" w:color="auto" w:fill="FFFFFF"/>
                <w:lang w:val="sl-SI"/>
              </w:rPr>
              <w:t xml:space="preserve">, </w:t>
            </w:r>
          </w:p>
          <w:p w14:paraId="716A8CEC" w14:textId="77777777" w:rsidR="002C560E" w:rsidRPr="002C560E" w:rsidRDefault="002C560E" w:rsidP="002C560E">
            <w:pPr>
              <w:pStyle w:val="Guide-Normal0"/>
              <w:numPr>
                <w:ilvl w:val="0"/>
                <w:numId w:val="58"/>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v državi katerega koli pridruženega partnerja, ki sodeluje v strateškem partnerstvu, potekajo multiplikativni dogodki.</w:t>
            </w:r>
          </w:p>
          <w:p w14:paraId="1FAD3212" w14:textId="77777777" w:rsidR="002C560E" w:rsidRPr="002C560E" w:rsidRDefault="002C560E" w:rsidP="002C560E">
            <w:pPr>
              <w:pStyle w:val="Guide-Normal0"/>
              <w:rPr>
                <w:rFonts w:eastAsia="Calibri" w:cs="Calibri"/>
                <w:sz w:val="18"/>
                <w:szCs w:val="18"/>
                <w:bdr w:val="nil"/>
                <w:shd w:val="clear" w:color="auto" w:fill="FFFFFF"/>
                <w:lang w:val="sl-SI"/>
              </w:rPr>
            </w:pPr>
          </w:p>
        </w:tc>
      </w:tr>
      <w:tr w:rsidR="002C560E" w:rsidRPr="002C560E" w14:paraId="4F53CD83" w14:textId="77777777" w:rsidTr="00A6094F">
        <w:trPr>
          <w:cantSplit/>
        </w:trPr>
        <w:tc>
          <w:tcPr>
            <w:tcW w:w="1116" w:type="pct"/>
            <w:shd w:val="clear" w:color="auto" w:fill="auto"/>
            <w:vAlign w:val="center"/>
          </w:tcPr>
          <w:p w14:paraId="47D18B88" w14:textId="77777777" w:rsidR="002C560E" w:rsidRPr="002C560E" w:rsidRDefault="002C560E" w:rsidP="002C560E">
            <w:pPr>
              <w:pStyle w:val="Guide-Normal0"/>
              <w:rPr>
                <w:rFonts w:eastAsia="Calibri" w:cs="Calibri"/>
                <w:b/>
                <w:bCs/>
                <w:sz w:val="18"/>
                <w:szCs w:val="18"/>
                <w:bdr w:val="nil"/>
                <w:shd w:val="clear" w:color="auto" w:fill="FFFFFF"/>
                <w:lang w:val="sl-SI"/>
              </w:rPr>
            </w:pPr>
            <w:r w:rsidRPr="002C560E">
              <w:rPr>
                <w:rFonts w:eastAsia="Calibri" w:cs="Calibri"/>
                <w:b/>
                <w:bCs/>
                <w:sz w:val="18"/>
                <w:szCs w:val="18"/>
                <w:bdr w:val="nil"/>
                <w:shd w:val="clear" w:color="auto" w:fill="FFFFFF"/>
                <w:lang w:val="sl-SI"/>
              </w:rPr>
              <w:t>Trajanje projekta</w:t>
            </w:r>
          </w:p>
        </w:tc>
        <w:tc>
          <w:tcPr>
            <w:tcW w:w="3884" w:type="pct"/>
            <w:shd w:val="clear" w:color="auto" w:fill="FFFFFF" w:themeFill="background1"/>
            <w:vAlign w:val="center"/>
          </w:tcPr>
          <w:p w14:paraId="4CE2CBC7" w14:textId="77777777" w:rsidR="002C560E" w:rsidRPr="002C560E" w:rsidRDefault="002C560E" w:rsidP="002C560E">
            <w:pPr>
              <w:pStyle w:val="Guide-Normal0"/>
              <w:rPr>
                <w:rFonts w:eastAsia="Calibri" w:cs="Calibri"/>
                <w:bCs/>
                <w:sz w:val="18"/>
                <w:szCs w:val="18"/>
                <w:bdr w:val="nil"/>
                <w:shd w:val="clear" w:color="auto" w:fill="FFFFFF"/>
                <w:lang w:val="sl-SI"/>
              </w:rPr>
            </w:pPr>
            <w:r w:rsidRPr="002C560E">
              <w:rPr>
                <w:rFonts w:eastAsia="Calibri" w:cs="Calibri"/>
                <w:b/>
                <w:sz w:val="18"/>
                <w:szCs w:val="18"/>
                <w:bdr w:val="nil"/>
                <w:shd w:val="clear" w:color="auto" w:fill="FFFFFF"/>
                <w:lang w:val="sl-SI"/>
              </w:rPr>
              <w:t>Partnerstva na področju izobraževanja in usposabljanja:</w:t>
            </w:r>
            <w:r w:rsidRPr="002C560E">
              <w:rPr>
                <w:rFonts w:eastAsia="Calibri" w:cs="Calibri"/>
                <w:sz w:val="18"/>
                <w:szCs w:val="18"/>
                <w:bdr w:val="nil"/>
                <w:shd w:val="clear" w:color="auto" w:fill="FFFFFF"/>
                <w:lang w:val="sl-SI"/>
              </w:rPr>
              <w:t xml:space="preserve"> od 12 do 24 mesecev.</w:t>
            </w:r>
            <w:r w:rsidRPr="002C560E">
              <w:rPr>
                <w:rFonts w:eastAsia="Calibri" w:cs="Calibri"/>
                <w:bCs/>
                <w:sz w:val="18"/>
                <w:szCs w:val="18"/>
                <w:bdr w:val="nil"/>
                <w:shd w:val="clear" w:color="auto" w:fill="FFFFFF"/>
                <w:lang w:val="sl-SI"/>
              </w:rPr>
              <w:t xml:space="preserve"> </w:t>
            </w:r>
          </w:p>
          <w:p w14:paraId="33B0764C" w14:textId="77777777" w:rsidR="002C560E" w:rsidRPr="002C560E" w:rsidRDefault="002C560E" w:rsidP="002C560E">
            <w:pPr>
              <w:pStyle w:val="Guide-Normal0"/>
              <w:rPr>
                <w:rFonts w:eastAsia="Calibri" w:cs="Calibri"/>
                <w:bCs/>
                <w:sz w:val="18"/>
                <w:szCs w:val="18"/>
                <w:bdr w:val="nil"/>
                <w:shd w:val="clear" w:color="auto" w:fill="FFFFFF"/>
                <w:lang w:val="sl-SI"/>
              </w:rPr>
            </w:pPr>
            <w:r w:rsidRPr="002C560E">
              <w:rPr>
                <w:rFonts w:eastAsia="Calibri" w:cs="Calibri"/>
                <w:b/>
                <w:bCs/>
                <w:sz w:val="18"/>
                <w:szCs w:val="18"/>
                <w:bdr w:val="nil"/>
                <w:shd w:val="clear" w:color="auto" w:fill="FFFFFF"/>
                <w:lang w:val="sl-SI"/>
              </w:rPr>
              <w:t>Partnerstva na področju mladine:</w:t>
            </w:r>
            <w:r w:rsidRPr="002C560E">
              <w:rPr>
                <w:rFonts w:eastAsia="Calibri" w:cs="Calibri"/>
                <w:bCs/>
                <w:sz w:val="18"/>
                <w:szCs w:val="18"/>
                <w:bdr w:val="nil"/>
                <w:shd w:val="clear" w:color="auto" w:fill="FFFFFF"/>
                <w:lang w:val="sl-SI"/>
              </w:rPr>
              <w:t xml:space="preserve"> od šest do 24 mesecev. </w:t>
            </w:r>
          </w:p>
          <w:p w14:paraId="13B715C2" w14:textId="77777777" w:rsidR="002C560E" w:rsidRPr="002C560E" w:rsidRDefault="002C560E" w:rsidP="002C560E">
            <w:pPr>
              <w:pStyle w:val="Guide-Normal0"/>
              <w:rPr>
                <w:rFonts w:eastAsia="Calibri" w:cs="Calibri"/>
                <w:bCs/>
                <w:sz w:val="18"/>
                <w:szCs w:val="18"/>
                <w:bdr w:val="nil"/>
                <w:shd w:val="clear" w:color="auto" w:fill="FFFFFF"/>
                <w:lang w:val="sl-SI"/>
              </w:rPr>
            </w:pPr>
          </w:p>
          <w:p w14:paraId="71CA6646" w14:textId="77777777" w:rsidR="002C560E" w:rsidRPr="002C560E" w:rsidRDefault="002C560E" w:rsidP="002C560E">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Trajanje mora biti izbrano ob prijavi na podlagi cilja projekta in vrste aktivnosti, ki so načrtovane v tem času. </w:t>
            </w:r>
          </w:p>
          <w:p w14:paraId="7CC29179" w14:textId="77777777" w:rsidR="002C560E" w:rsidRPr="002C560E" w:rsidRDefault="002C560E" w:rsidP="002C560E">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V izjemnih primerih se lahko trajanje strateškega partnerstva na prošnjo upravičenca in s soglasjem nacionalne agencije podaljša za največ šest mesecev. V tem primeru se znesek skupnih nepovratnih sredstev ne spremeni. V vseh primerih pa se morajo projekti zaključiti najpozneje do 31. decembra 2023. </w:t>
            </w:r>
          </w:p>
        </w:tc>
      </w:tr>
      <w:tr w:rsidR="002C560E" w:rsidRPr="00C60205" w14:paraId="5F33BC41" w14:textId="77777777" w:rsidTr="00A6094F">
        <w:trPr>
          <w:cantSplit/>
        </w:trPr>
        <w:tc>
          <w:tcPr>
            <w:tcW w:w="1116" w:type="pct"/>
            <w:shd w:val="clear" w:color="auto" w:fill="FFFFFF" w:themeFill="background1"/>
            <w:vAlign w:val="center"/>
          </w:tcPr>
          <w:p w14:paraId="5CFFEC7C" w14:textId="77777777" w:rsidR="002C560E" w:rsidRPr="002C560E" w:rsidRDefault="002C560E" w:rsidP="002C560E">
            <w:pPr>
              <w:pStyle w:val="Guide-Normal0"/>
              <w:rPr>
                <w:rFonts w:eastAsia="Calibri" w:cs="Calibri"/>
                <w:b/>
                <w:bCs/>
                <w:sz w:val="18"/>
                <w:szCs w:val="18"/>
                <w:bdr w:val="nil"/>
                <w:shd w:val="clear" w:color="auto" w:fill="FFFFFF"/>
                <w:lang w:val="sl-SI"/>
              </w:rPr>
            </w:pPr>
            <w:r w:rsidRPr="002C560E">
              <w:rPr>
                <w:rFonts w:eastAsia="Calibri" w:cs="Calibri"/>
                <w:b/>
                <w:bCs/>
                <w:sz w:val="18"/>
                <w:szCs w:val="18"/>
                <w:bdr w:val="nil"/>
                <w:shd w:val="clear" w:color="auto" w:fill="FFFFFF"/>
                <w:lang w:val="sl-SI"/>
              </w:rPr>
              <w:t xml:space="preserve">Kje se prijaviti? </w:t>
            </w:r>
          </w:p>
        </w:tc>
        <w:tc>
          <w:tcPr>
            <w:tcW w:w="3884" w:type="pct"/>
            <w:shd w:val="clear" w:color="auto" w:fill="FFFFFF" w:themeFill="background1"/>
          </w:tcPr>
          <w:p w14:paraId="61203F57" w14:textId="77777777" w:rsidR="002C560E" w:rsidRPr="002C560E" w:rsidRDefault="002C560E" w:rsidP="002C560E">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Pri nacionalni agenciji v državi, v kateri ima organizacija prijaviteljica sedež</w:t>
            </w:r>
            <w:r w:rsidRPr="002C560E">
              <w:rPr>
                <w:rFonts w:eastAsia="Calibri" w:cs="Calibri"/>
                <w:sz w:val="18"/>
                <w:szCs w:val="18"/>
                <w:bdr w:val="nil"/>
                <w:shd w:val="clear" w:color="auto" w:fill="FFFFFF"/>
                <w:vertAlign w:val="superscript"/>
                <w:lang w:val="sl-SI"/>
              </w:rPr>
              <w:footnoteReference w:id="100"/>
            </w:r>
            <w:r w:rsidRPr="002C560E">
              <w:rPr>
                <w:rFonts w:eastAsia="Calibri" w:cs="Calibri"/>
                <w:sz w:val="18"/>
                <w:szCs w:val="18"/>
                <w:bdr w:val="nil"/>
                <w:shd w:val="clear" w:color="auto" w:fill="FFFFFF"/>
                <w:lang w:val="sl-SI"/>
              </w:rPr>
              <w:t>.</w:t>
            </w:r>
          </w:p>
          <w:p w14:paraId="2D2AD4D5" w14:textId="77777777" w:rsidR="002C560E" w:rsidRPr="002C560E" w:rsidRDefault="002C560E" w:rsidP="002C560E">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Na en rok lahko en konzorcij partneric odda samo eno vlogo in pri samo eni nacionalni agenciji.</w:t>
            </w:r>
          </w:p>
        </w:tc>
      </w:tr>
      <w:tr w:rsidR="002C560E" w:rsidRPr="00C60205" w14:paraId="65F9B69D" w14:textId="77777777" w:rsidTr="00A6094F">
        <w:trPr>
          <w:cantSplit/>
        </w:trPr>
        <w:tc>
          <w:tcPr>
            <w:tcW w:w="1116" w:type="pct"/>
            <w:shd w:val="clear" w:color="auto" w:fill="FFFFFF" w:themeFill="background1"/>
            <w:vAlign w:val="center"/>
          </w:tcPr>
          <w:p w14:paraId="5EC9F163" w14:textId="77777777" w:rsidR="002C560E" w:rsidRPr="002C560E" w:rsidRDefault="002C560E" w:rsidP="002C560E">
            <w:pPr>
              <w:pStyle w:val="Guide-Normal0"/>
              <w:rPr>
                <w:rFonts w:eastAsia="Calibri" w:cs="Calibri"/>
                <w:b/>
                <w:bCs/>
                <w:sz w:val="18"/>
                <w:szCs w:val="18"/>
                <w:bdr w:val="nil"/>
                <w:shd w:val="clear" w:color="auto" w:fill="FFFFFF"/>
                <w:lang w:val="sl-SI"/>
              </w:rPr>
            </w:pPr>
            <w:r w:rsidRPr="002C560E">
              <w:rPr>
                <w:rFonts w:eastAsia="Calibri" w:cs="Calibri"/>
                <w:b/>
                <w:bCs/>
                <w:sz w:val="18"/>
                <w:szCs w:val="18"/>
                <w:bdr w:val="nil"/>
                <w:shd w:val="clear" w:color="auto" w:fill="FFFFFF"/>
                <w:lang w:val="sl-SI"/>
              </w:rPr>
              <w:t>Kdaj se prijaviti?</w:t>
            </w:r>
          </w:p>
        </w:tc>
        <w:tc>
          <w:tcPr>
            <w:tcW w:w="3884" w:type="pct"/>
            <w:shd w:val="clear" w:color="auto" w:fill="FFFFFF" w:themeFill="background1"/>
            <w:vAlign w:val="center"/>
          </w:tcPr>
          <w:p w14:paraId="043E52C3" w14:textId="77777777" w:rsidR="002C560E" w:rsidRPr="002C560E" w:rsidRDefault="002C560E" w:rsidP="002C560E">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Prijavitelji morajo vlogo za nepovratna sredstva oddati do </w:t>
            </w:r>
            <w:r w:rsidRPr="002C560E">
              <w:rPr>
                <w:rFonts w:eastAsia="Calibri" w:cs="Calibri"/>
                <w:b/>
                <w:bCs/>
                <w:sz w:val="18"/>
                <w:szCs w:val="18"/>
                <w:bdr w:val="nil"/>
                <w:shd w:val="clear" w:color="auto" w:fill="FFFFFF"/>
                <w:lang w:val="sl-SI"/>
              </w:rPr>
              <w:t>29. oktobra do 12. ure (opoldne po bruseljskem času)</w:t>
            </w:r>
            <w:r w:rsidRPr="002C560E">
              <w:rPr>
                <w:rFonts w:eastAsia="Calibri" w:cs="Calibri"/>
                <w:sz w:val="18"/>
                <w:szCs w:val="18"/>
                <w:bdr w:val="nil"/>
                <w:shd w:val="clear" w:color="auto" w:fill="FFFFFF"/>
                <w:lang w:val="sl-SI"/>
              </w:rPr>
              <w:t xml:space="preserve"> za projekte, ki se začnejo med 1. marcem in 30. junijem naslednjega leta.</w:t>
            </w:r>
          </w:p>
        </w:tc>
      </w:tr>
      <w:tr w:rsidR="002C560E" w:rsidRPr="00C60205" w14:paraId="087153FF" w14:textId="77777777" w:rsidTr="00A6094F">
        <w:trPr>
          <w:cantSplit/>
        </w:trPr>
        <w:tc>
          <w:tcPr>
            <w:tcW w:w="1116" w:type="pct"/>
            <w:shd w:val="clear" w:color="auto" w:fill="FFFFFF" w:themeFill="background1"/>
            <w:vAlign w:val="center"/>
          </w:tcPr>
          <w:p w14:paraId="37DF9295" w14:textId="77777777" w:rsidR="002C560E" w:rsidRPr="002C560E" w:rsidRDefault="002C560E" w:rsidP="002C560E">
            <w:pPr>
              <w:pStyle w:val="Guide-Normal0"/>
              <w:rPr>
                <w:rFonts w:eastAsia="Calibri" w:cs="Calibri"/>
                <w:b/>
                <w:bCs/>
                <w:sz w:val="18"/>
                <w:szCs w:val="18"/>
                <w:bdr w:val="nil"/>
                <w:shd w:val="clear" w:color="auto" w:fill="FFFFFF"/>
                <w:lang w:val="sl-SI"/>
              </w:rPr>
            </w:pPr>
            <w:r w:rsidRPr="002C560E">
              <w:rPr>
                <w:rFonts w:eastAsia="Calibri" w:cs="Calibri"/>
                <w:b/>
                <w:bCs/>
                <w:sz w:val="18"/>
                <w:szCs w:val="18"/>
                <w:bdr w:val="nil"/>
                <w:shd w:val="clear" w:color="auto" w:fill="FFFFFF"/>
                <w:lang w:val="sl-SI"/>
              </w:rPr>
              <w:t>Kako se prijaviti?</w:t>
            </w:r>
          </w:p>
        </w:tc>
        <w:tc>
          <w:tcPr>
            <w:tcW w:w="3884" w:type="pct"/>
            <w:shd w:val="clear" w:color="auto" w:fill="FFFFFF" w:themeFill="background1"/>
          </w:tcPr>
          <w:p w14:paraId="17072709" w14:textId="77777777" w:rsidR="002C560E" w:rsidRPr="002C560E" w:rsidRDefault="002C560E" w:rsidP="002C560E">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Za podrobnosti o postopku prijave glej del C tega vodnika.</w:t>
            </w:r>
          </w:p>
        </w:tc>
      </w:tr>
    </w:tbl>
    <w:p w14:paraId="7EB01B4D" w14:textId="77777777" w:rsidR="002C560E" w:rsidRPr="002C560E" w:rsidRDefault="002C560E" w:rsidP="00C60205">
      <w:pPr>
        <w:pStyle w:val="Guide-Normal0"/>
        <w:rPr>
          <w:rFonts w:eastAsia="Calibri" w:cs="Calibri"/>
          <w:sz w:val="18"/>
          <w:szCs w:val="18"/>
          <w:bdr w:val="nil"/>
          <w:shd w:val="clear" w:color="auto" w:fill="FFFFFF"/>
          <w:lang w:val="sl-SI"/>
        </w:rPr>
      </w:pPr>
    </w:p>
    <w:p w14:paraId="4514459E" w14:textId="77777777" w:rsidR="002C560E" w:rsidRPr="00C60205" w:rsidRDefault="002C560E" w:rsidP="00C60205">
      <w:pPr>
        <w:pStyle w:val="Guide-Heading6"/>
        <w:spacing w:before="200" w:after="200"/>
        <w:rPr>
          <w:rFonts w:asciiTheme="minorHAnsi" w:hAnsiTheme="minorHAnsi" w:cs="Tahoma"/>
          <w:b w:val="0"/>
          <w:lang w:val="sl-SI"/>
        </w:rPr>
      </w:pPr>
      <w:r w:rsidRPr="00C60205">
        <w:rPr>
          <w:rFonts w:asciiTheme="minorHAnsi" w:hAnsiTheme="minorHAnsi" w:cs="Tahoma"/>
          <w:lang w:val="sl-SI"/>
        </w:rPr>
        <w:t>Dodatna merila za upravičenost</w:t>
      </w:r>
    </w:p>
    <w:p w14:paraId="35BFA6ED" w14:textId="77777777" w:rsidR="002C560E" w:rsidRPr="002C560E" w:rsidRDefault="002C560E" w:rsidP="00C60205">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Če strateško partnerstvo predvideva katero koli od naslednjih mednarodnih aktivnosti učenja, poučevanja in usposabljanja, je treba upoštevati še ustrezna dodatna merila za upravičenost, navedena v oddelku „Kakšna so merila za oceno strateškega partnerstva – Dodatna merila za upravičenost“ v tem vodniku.</w:t>
      </w:r>
    </w:p>
    <w:p w14:paraId="1473947D" w14:textId="77777777" w:rsidR="002C560E" w:rsidRPr="002C560E" w:rsidRDefault="002C560E" w:rsidP="002C560E">
      <w:pPr>
        <w:pStyle w:val="Guide-Normal0"/>
        <w:rPr>
          <w:rFonts w:eastAsia="Calibri" w:cs="Calibri"/>
          <w:sz w:val="18"/>
          <w:szCs w:val="18"/>
          <w:bdr w:val="nil"/>
          <w:shd w:val="clear" w:color="auto" w:fill="FFFFFF"/>
          <w:lang w:val="sl-SI"/>
        </w:rPr>
      </w:pPr>
    </w:p>
    <w:p w14:paraId="31143057" w14:textId="77777777" w:rsidR="002C560E" w:rsidRPr="002C560E" w:rsidRDefault="002C560E" w:rsidP="00C60205">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Organizacije prijaviteljice bodo ocenjene z ustreznimi </w:t>
      </w:r>
      <w:r w:rsidRPr="002C560E">
        <w:rPr>
          <w:rFonts w:eastAsia="Calibri" w:cs="Calibri"/>
          <w:b/>
          <w:bCs/>
          <w:sz w:val="18"/>
          <w:szCs w:val="18"/>
          <w:bdr w:val="nil"/>
          <w:shd w:val="clear" w:color="auto" w:fill="FFFFFF"/>
          <w:lang w:val="sl-SI"/>
        </w:rPr>
        <w:t>merili za izključitev in izbor</w:t>
      </w:r>
      <w:r w:rsidRPr="002C560E">
        <w:rPr>
          <w:rFonts w:eastAsia="Calibri" w:cs="Calibri"/>
          <w:sz w:val="18"/>
          <w:szCs w:val="18"/>
          <w:bdr w:val="nil"/>
          <w:shd w:val="clear" w:color="auto" w:fill="FFFFFF"/>
          <w:lang w:val="sl-SI"/>
        </w:rPr>
        <w:t xml:space="preserve">. Za več informacij glej del C tega vodnika. </w:t>
      </w:r>
    </w:p>
    <w:p w14:paraId="6E8F4488" w14:textId="77777777" w:rsidR="002C560E" w:rsidRPr="00C60205" w:rsidRDefault="002C560E" w:rsidP="00C60205">
      <w:pPr>
        <w:pStyle w:val="Guide-Heading6"/>
        <w:spacing w:before="200" w:after="200"/>
        <w:rPr>
          <w:rFonts w:asciiTheme="minorHAnsi" w:hAnsiTheme="minorHAnsi" w:cs="Tahoma"/>
          <w:b w:val="0"/>
          <w:lang w:val="sl-SI"/>
        </w:rPr>
      </w:pPr>
      <w:r w:rsidRPr="00C60205">
        <w:rPr>
          <w:rFonts w:asciiTheme="minorHAnsi" w:hAnsiTheme="minorHAnsi" w:cs="Tahoma"/>
          <w:lang w:val="sl-SI"/>
        </w:rPr>
        <w:t xml:space="preserve">Merila za dodelitev </w:t>
      </w:r>
    </w:p>
    <w:p w14:paraId="094507D3" w14:textId="77777777" w:rsidR="002C560E" w:rsidRPr="002C560E" w:rsidRDefault="002C560E" w:rsidP="00C60205">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V skladu s cilji projekta, sodelujočimi organizacijami, pričakovanim učinkom in drugimi elementi so lahko strateška partnerstva različnih velikosti in temu primerno prilagajajo svoje aktivnosti. Če poenostavimo, ta ukrep omogoča sodelujočim organizacijam, da pridobijo izkušnje v mednarodnem sodelovanju, okrepijo svoje zmogljivosti ter hkrati dosežejo visokokakovostne in inovativne rezultate. Ocena kakovosti projekta bo sorazmerna s cilji sodelovanja in naravo vključenih organizacij.  </w:t>
      </w:r>
    </w:p>
    <w:p w14:paraId="3849EB37" w14:textId="77777777" w:rsidR="002C560E" w:rsidRPr="002C560E" w:rsidRDefault="002C560E" w:rsidP="00C60205">
      <w:pPr>
        <w:pStyle w:val="Guide-Normal0"/>
        <w:rPr>
          <w:rFonts w:eastAsia="Calibri" w:cs="Calibri"/>
          <w:sz w:val="18"/>
          <w:szCs w:val="18"/>
          <w:bdr w:val="nil"/>
          <w:shd w:val="clear" w:color="auto" w:fill="FFFFFF"/>
          <w:lang w:val="sl-SI"/>
        </w:rPr>
      </w:pPr>
    </w:p>
    <w:p w14:paraId="06D1745A" w14:textId="77777777" w:rsidR="002C560E" w:rsidRPr="002C560E" w:rsidRDefault="002C560E" w:rsidP="002C560E">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br w:type="page"/>
      </w:r>
    </w:p>
    <w:p w14:paraId="2C694C3B" w14:textId="77777777" w:rsidR="002C560E" w:rsidRPr="002C560E" w:rsidRDefault="002C560E" w:rsidP="00C60205">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Projekti bodo ocenjeni po naslednjih merilih: </w:t>
      </w:r>
    </w:p>
    <w:p w14:paraId="5E9E3B5D" w14:textId="77777777" w:rsidR="002C560E" w:rsidRPr="002C560E" w:rsidRDefault="002C560E" w:rsidP="00C60205">
      <w:pPr>
        <w:pStyle w:val="Guide-Normal0"/>
        <w:rPr>
          <w:rFonts w:eastAsia="Calibri" w:cs="Calibri"/>
          <w:sz w:val="18"/>
          <w:szCs w:val="18"/>
          <w:bdr w:val="nil"/>
          <w:shd w:val="clear" w:color="auto" w:fill="FFFFFF"/>
          <w:lang w:val="sl-SI"/>
        </w:rPr>
      </w:pPr>
    </w:p>
    <w:tbl>
      <w:tblPr>
        <w:tblW w:w="5001" w:type="pct"/>
        <w:shd w:val="clear" w:color="auto" w:fill="FFFFFF"/>
        <w:tblLook w:val="0000" w:firstRow="0" w:lastRow="0" w:firstColumn="0" w:lastColumn="0" w:noHBand="0" w:noVBand="0"/>
      </w:tblPr>
      <w:tblGrid>
        <w:gridCol w:w="3228"/>
        <w:gridCol w:w="6064"/>
      </w:tblGrid>
      <w:tr w:rsidR="002C560E" w:rsidRPr="00C60205" w14:paraId="675A90DF" w14:textId="77777777" w:rsidTr="00A6094F">
        <w:trPr>
          <w:cantSplit/>
        </w:trPr>
        <w:tc>
          <w:tcPr>
            <w:tcW w:w="1737"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77584702" w14:textId="77777777" w:rsidR="002C560E" w:rsidRPr="002C560E" w:rsidRDefault="002C560E" w:rsidP="002C560E">
            <w:pPr>
              <w:pStyle w:val="Guide-Normal0"/>
              <w:rPr>
                <w:rFonts w:eastAsia="Calibri" w:cs="Calibri"/>
                <w:b/>
                <w:bCs/>
                <w:sz w:val="18"/>
                <w:szCs w:val="18"/>
                <w:bdr w:val="nil"/>
                <w:shd w:val="clear" w:color="auto" w:fill="FFFFFF"/>
                <w:lang w:val="sl-SI"/>
              </w:rPr>
            </w:pPr>
            <w:r w:rsidRPr="002C560E">
              <w:rPr>
                <w:rFonts w:eastAsia="Calibri" w:cs="Calibri"/>
                <w:b/>
                <w:bCs/>
                <w:sz w:val="18"/>
                <w:szCs w:val="18"/>
                <w:bdr w:val="nil"/>
                <w:shd w:val="clear" w:color="auto" w:fill="FFFFFF"/>
                <w:lang w:val="sl-SI"/>
              </w:rPr>
              <w:t>Ustreznost projekta</w:t>
            </w:r>
          </w:p>
          <w:p w14:paraId="10A90AF8" w14:textId="77777777" w:rsidR="002C560E" w:rsidRPr="002C560E" w:rsidRDefault="002C560E" w:rsidP="002C560E">
            <w:pPr>
              <w:pStyle w:val="Guide-Normal0"/>
              <w:rPr>
                <w:rFonts w:eastAsia="Calibri" w:cs="Calibri"/>
                <w:b/>
                <w:bCs/>
                <w:sz w:val="18"/>
                <w:szCs w:val="18"/>
                <w:bdr w:val="nil"/>
                <w:shd w:val="clear" w:color="auto" w:fill="FFFFFF"/>
                <w:lang w:val="sl-SI"/>
              </w:rPr>
            </w:pPr>
            <w:r w:rsidRPr="002C560E">
              <w:rPr>
                <w:rFonts w:eastAsia="Calibri" w:cs="Calibri"/>
                <w:b/>
                <w:bCs/>
                <w:sz w:val="18"/>
                <w:szCs w:val="18"/>
                <w:bdr w:val="nil"/>
                <w:shd w:val="clear" w:color="auto" w:fill="FFFFFF"/>
                <w:lang w:val="sl-SI"/>
              </w:rPr>
              <w:t>(največ 30 točk)</w:t>
            </w:r>
          </w:p>
          <w:p w14:paraId="40168DA8" w14:textId="77777777" w:rsidR="002C560E" w:rsidRPr="002C560E" w:rsidRDefault="002C560E" w:rsidP="002C560E">
            <w:pPr>
              <w:pStyle w:val="Guide-Normal0"/>
              <w:rPr>
                <w:rFonts w:eastAsia="Calibri" w:cs="Calibri"/>
                <w:b/>
                <w:sz w:val="18"/>
                <w:szCs w:val="18"/>
                <w:bdr w:val="nil"/>
                <w:shd w:val="clear" w:color="auto" w:fill="FFFFFF"/>
                <w:lang w:val="sl-SI"/>
              </w:rPr>
            </w:pPr>
          </w:p>
        </w:tc>
        <w:tc>
          <w:tcPr>
            <w:tcW w:w="3263" w:type="pct"/>
            <w:tcBorders>
              <w:top w:val="single" w:sz="8" w:space="0" w:color="auto"/>
              <w:left w:val="nil"/>
              <w:bottom w:val="dashed" w:sz="4" w:space="0" w:color="auto"/>
              <w:right w:val="single" w:sz="8" w:space="0" w:color="auto"/>
            </w:tcBorders>
            <w:shd w:val="clear" w:color="auto" w:fill="FFFFFF" w:themeFill="background1"/>
          </w:tcPr>
          <w:p w14:paraId="3C453D66" w14:textId="77777777" w:rsidR="002C560E" w:rsidRPr="002C560E" w:rsidRDefault="002C560E" w:rsidP="002C560E">
            <w:pPr>
              <w:pStyle w:val="Guide-Normal0"/>
              <w:numPr>
                <w:ilvl w:val="0"/>
                <w:numId w:val="500"/>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Ustreznost predloga v zvezi s:</w:t>
            </w:r>
          </w:p>
          <w:p w14:paraId="475143F4" w14:textId="77777777" w:rsidR="002C560E" w:rsidRPr="002C560E" w:rsidRDefault="002C560E" w:rsidP="002C560E">
            <w:pPr>
              <w:pStyle w:val="Guide-Normal0"/>
              <w:numPr>
                <w:ilvl w:val="0"/>
                <w:numId w:val="499"/>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cilji in prednostnimi nalogami ukrepa (glej poglavje „Kakšni so cilji in prednostne naloge strateškega partnerstva, ustanovljenega zaradi razmer v zvezi s COVID-19?“). </w:t>
            </w:r>
          </w:p>
          <w:p w14:paraId="13A8AF93" w14:textId="77777777" w:rsidR="002C560E" w:rsidRPr="002C560E" w:rsidRDefault="002C560E" w:rsidP="002C560E">
            <w:pPr>
              <w:pStyle w:val="Guide-Normal0"/>
              <w:numPr>
                <w:ilvl w:val="0"/>
                <w:numId w:val="499"/>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Če predlog obravnava eno ali več „evropskih prednostnih nalog v nacionalnem okviru“, kot jih razglasi nacionalna agencija, bo obravnavan kot zelo ustrezen.</w:t>
            </w:r>
          </w:p>
          <w:p w14:paraId="49645C44" w14:textId="77777777" w:rsidR="002C560E" w:rsidRPr="002C560E" w:rsidRDefault="002C560E" w:rsidP="002C560E">
            <w:pPr>
              <w:pStyle w:val="Guide-Normal0"/>
              <w:numPr>
                <w:ilvl w:val="0"/>
                <w:numId w:val="501"/>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V kolikšni meri:</w:t>
            </w:r>
          </w:p>
          <w:p w14:paraId="2A346995" w14:textId="77777777" w:rsidR="002C560E" w:rsidRPr="002C560E" w:rsidRDefault="002C560E" w:rsidP="002C560E">
            <w:pPr>
              <w:pStyle w:val="Guide-Normal0"/>
              <w:numPr>
                <w:ilvl w:val="0"/>
                <w:numId w:val="499"/>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predlog temelji na pravi in ustrezni analizi potreb;</w:t>
            </w:r>
          </w:p>
          <w:p w14:paraId="37C33A8B" w14:textId="77777777" w:rsidR="002C560E" w:rsidRPr="002C560E" w:rsidRDefault="002C560E" w:rsidP="002C560E">
            <w:pPr>
              <w:pStyle w:val="Guide-Normal0"/>
              <w:numPr>
                <w:ilvl w:val="0"/>
                <w:numId w:val="499"/>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so cilji jasno opredeljeni, realistični in obravnavajo vprašanja, ki so povezana s sodelujočimi organizacijami in ciljnimi skupinami;</w:t>
            </w:r>
          </w:p>
          <w:p w14:paraId="57A9AFED" w14:textId="77777777" w:rsidR="002C560E" w:rsidRPr="002C560E" w:rsidRDefault="002C560E" w:rsidP="002C560E">
            <w:pPr>
              <w:pStyle w:val="Guide-Normal0"/>
              <w:numPr>
                <w:ilvl w:val="0"/>
                <w:numId w:val="499"/>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je predlog ustrezen za uresničevanje sinergij med različnimi področji izobraževanja, usposabljanja in mladine;</w:t>
            </w:r>
          </w:p>
          <w:p w14:paraId="23CEF13D" w14:textId="77777777" w:rsidR="002C560E" w:rsidRPr="002C560E" w:rsidRDefault="002C560E" w:rsidP="002C560E">
            <w:pPr>
              <w:pStyle w:val="Guide-Normal0"/>
              <w:numPr>
                <w:ilvl w:val="0"/>
                <w:numId w:val="499"/>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je predlog inovativen in/ali dopolnjuje druge pobude, ki jih že izvajajo sodelujoče organizacije;</w:t>
            </w:r>
          </w:p>
          <w:p w14:paraId="55097857" w14:textId="77777777" w:rsidR="002C560E" w:rsidRPr="002C560E" w:rsidRDefault="002C560E" w:rsidP="002C560E">
            <w:pPr>
              <w:pStyle w:val="Guide-Normal0"/>
              <w:numPr>
                <w:ilvl w:val="0"/>
                <w:numId w:val="499"/>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predlog prispeva dodano vrednost na ravni EU z rezultati, ki jih ne bi bilo mogoče doseči z izvajanjem aktivnosti v samo eni državi.</w:t>
            </w:r>
          </w:p>
        </w:tc>
      </w:tr>
      <w:tr w:rsidR="002C560E" w:rsidRPr="00C60205" w14:paraId="4C4F6A1E" w14:textId="77777777" w:rsidTr="00A6094F">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1874B11A" w14:textId="77777777" w:rsidR="002C560E" w:rsidRPr="002C560E" w:rsidRDefault="002C560E" w:rsidP="002C560E">
            <w:pPr>
              <w:pStyle w:val="Guide-Normal0"/>
              <w:rPr>
                <w:rFonts w:eastAsia="Calibri" w:cs="Calibri"/>
                <w:b/>
                <w:bCs/>
                <w:sz w:val="18"/>
                <w:szCs w:val="18"/>
                <w:bdr w:val="nil"/>
                <w:shd w:val="clear" w:color="auto" w:fill="FFFFFF"/>
                <w:lang w:val="sl-SI"/>
              </w:rPr>
            </w:pPr>
            <w:r w:rsidRPr="002C560E">
              <w:rPr>
                <w:rFonts w:eastAsia="Calibri" w:cs="Calibri"/>
                <w:b/>
                <w:bCs/>
                <w:sz w:val="18"/>
                <w:szCs w:val="18"/>
                <w:bdr w:val="nil"/>
                <w:shd w:val="clear" w:color="auto" w:fill="FFFFFF"/>
                <w:lang w:val="sl-SI"/>
              </w:rPr>
              <w:t>Kakovost zasnove in izvedbe projekta</w:t>
            </w:r>
          </w:p>
          <w:p w14:paraId="4FBAF01C" w14:textId="77777777" w:rsidR="002C560E" w:rsidRPr="002C560E" w:rsidRDefault="002C560E" w:rsidP="002C560E">
            <w:pPr>
              <w:pStyle w:val="Guide-Normal0"/>
              <w:rPr>
                <w:rFonts w:eastAsia="Calibri" w:cs="Calibri"/>
                <w:b/>
                <w:bCs/>
                <w:sz w:val="18"/>
                <w:szCs w:val="18"/>
                <w:bdr w:val="nil"/>
                <w:shd w:val="clear" w:color="auto" w:fill="FFFFFF"/>
                <w:lang w:val="sl-SI"/>
              </w:rPr>
            </w:pPr>
            <w:r w:rsidRPr="002C560E">
              <w:rPr>
                <w:rFonts w:eastAsia="Calibri" w:cs="Calibri"/>
                <w:b/>
                <w:bCs/>
                <w:sz w:val="18"/>
                <w:szCs w:val="18"/>
                <w:bdr w:val="nil"/>
                <w:shd w:val="clear" w:color="auto" w:fill="FFFFFF"/>
                <w:lang w:val="sl-SI"/>
              </w:rPr>
              <w:t>(največ 20 točk)</w:t>
            </w:r>
          </w:p>
          <w:p w14:paraId="519A4ED1" w14:textId="77777777" w:rsidR="002C560E" w:rsidRPr="002C560E" w:rsidRDefault="002C560E" w:rsidP="002C560E">
            <w:pPr>
              <w:pStyle w:val="Guide-Normal0"/>
              <w:rPr>
                <w:rFonts w:eastAsia="Calibri" w:cs="Calibri"/>
                <w:b/>
                <w:sz w:val="18"/>
                <w:szCs w:val="18"/>
                <w:bdr w:val="nil"/>
                <w:shd w:val="clear" w:color="auto" w:fill="FFFFFF"/>
                <w:lang w:val="sl-SI"/>
              </w:rPr>
            </w:pPr>
          </w:p>
          <w:p w14:paraId="27CE904D" w14:textId="77777777" w:rsidR="002C560E" w:rsidRPr="002C560E" w:rsidRDefault="002C560E" w:rsidP="002C560E">
            <w:pPr>
              <w:pStyle w:val="Guide-Normal0"/>
              <w:rPr>
                <w:rFonts w:eastAsia="Calibri" w:cs="Calibri"/>
                <w:b/>
                <w:sz w:val="18"/>
                <w:szCs w:val="18"/>
                <w:bdr w:val="nil"/>
                <w:shd w:val="clear" w:color="auto" w:fill="FFFFFF"/>
                <w:lang w:val="sl-SI"/>
              </w:rPr>
            </w:pPr>
          </w:p>
        </w:tc>
        <w:tc>
          <w:tcPr>
            <w:tcW w:w="3263" w:type="pct"/>
            <w:tcBorders>
              <w:top w:val="dashed" w:sz="4" w:space="0" w:color="auto"/>
              <w:left w:val="nil"/>
              <w:bottom w:val="dashed" w:sz="4" w:space="0" w:color="auto"/>
              <w:right w:val="single" w:sz="8" w:space="0" w:color="auto"/>
            </w:tcBorders>
            <w:shd w:val="clear" w:color="auto" w:fill="FFFFFF" w:themeFill="background1"/>
          </w:tcPr>
          <w:p w14:paraId="3A82B4C9" w14:textId="77777777" w:rsidR="002C560E" w:rsidRPr="002C560E" w:rsidRDefault="002C560E" w:rsidP="002C560E">
            <w:pPr>
              <w:pStyle w:val="Guide-Normal0"/>
              <w:numPr>
                <w:ilvl w:val="0"/>
                <w:numId w:val="79"/>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Jasnost, celovitost in kakovost delovnega programa, vključno z ustreznimi fazami za pripravo, izvajanje, spremljanje, ocenjevanje in razširjanje;</w:t>
            </w:r>
          </w:p>
          <w:p w14:paraId="435E628E" w14:textId="77777777" w:rsidR="002C560E" w:rsidRPr="002C560E" w:rsidRDefault="002C560E" w:rsidP="002C560E">
            <w:pPr>
              <w:pStyle w:val="Guide-Normal0"/>
              <w:numPr>
                <w:ilvl w:val="0"/>
                <w:numId w:val="79"/>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usklajenost ciljev projekta in predlaganih aktivnosti;</w:t>
            </w:r>
          </w:p>
          <w:p w14:paraId="16F7ABC5" w14:textId="77777777" w:rsidR="002C560E" w:rsidRPr="002C560E" w:rsidRDefault="002C560E" w:rsidP="002C560E">
            <w:pPr>
              <w:pStyle w:val="Guide-Normal0"/>
              <w:numPr>
                <w:ilvl w:val="0"/>
                <w:numId w:val="79"/>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kakovost in izvedljivost predlagane metodologije;</w:t>
            </w:r>
          </w:p>
          <w:p w14:paraId="3685514D" w14:textId="77777777" w:rsidR="002C560E" w:rsidRPr="002C560E" w:rsidRDefault="002C560E" w:rsidP="002C560E">
            <w:pPr>
              <w:pStyle w:val="Guide-Normal0"/>
              <w:numPr>
                <w:ilvl w:val="0"/>
                <w:numId w:val="79"/>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obstoj in ustreznost ukrepov za nadzor kakovosti, da se zagotovijo visokokakovostna izvedba projekta, pravočasni zaključek in poraba sredstev v okviru proračuna;</w:t>
            </w:r>
          </w:p>
          <w:p w14:paraId="338CBB4F" w14:textId="77777777" w:rsidR="002C560E" w:rsidRPr="002C560E" w:rsidRDefault="002C560E" w:rsidP="002C560E">
            <w:pPr>
              <w:pStyle w:val="Guide-Normal0"/>
              <w:numPr>
                <w:ilvl w:val="0"/>
                <w:numId w:val="79"/>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v kolikšni meri je projekt stroškovno učinkovit in dodeljuje ustrezna sredstva posameznih aktivnostim;</w:t>
            </w:r>
          </w:p>
          <w:p w14:paraId="38FA925A" w14:textId="77777777" w:rsidR="002C560E" w:rsidRPr="002C560E" w:rsidRDefault="002C560E" w:rsidP="002C560E">
            <w:pPr>
              <w:pStyle w:val="Guide-Normal0"/>
              <w:numPr>
                <w:ilvl w:val="0"/>
                <w:numId w:val="79"/>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po potrebi uporaba spletnih platform Erasmus+ (tj. eTwinning, EPALE, School Education Gateway) kot orodij za pripravo, izvajanje in nadaljnje spremljanje aktivnosti projekta.</w:t>
            </w:r>
          </w:p>
          <w:p w14:paraId="7FCD5990" w14:textId="77777777" w:rsidR="002C560E" w:rsidRPr="002C560E" w:rsidRDefault="002C560E" w:rsidP="002C560E">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Če so v projektu predvidene aktivnosti usposabljanja, poučevanja ali učenja:</w:t>
            </w:r>
          </w:p>
          <w:p w14:paraId="03F1E579" w14:textId="77777777" w:rsidR="002C560E" w:rsidRPr="002C560E" w:rsidRDefault="002C560E" w:rsidP="002C560E">
            <w:pPr>
              <w:pStyle w:val="Guide-Normal0"/>
              <w:numPr>
                <w:ilvl w:val="0"/>
                <w:numId w:val="79"/>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kakovost praktičnih ureditev ter načinov upravljanja in podpore v aktivnostih učenja, poučevanja in usposabljanja;</w:t>
            </w:r>
          </w:p>
          <w:p w14:paraId="71FD05AE" w14:textId="77777777" w:rsidR="002C560E" w:rsidRPr="002C560E" w:rsidRDefault="002C560E" w:rsidP="002C560E">
            <w:pPr>
              <w:pStyle w:val="Guide-Normal0"/>
              <w:numPr>
                <w:ilvl w:val="0"/>
                <w:numId w:val="79"/>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v kolikšni meri so te aktivnosti usklajene s cilji projekta in vključujejo ustrezno število udeležencev;</w:t>
            </w:r>
          </w:p>
          <w:p w14:paraId="12CFE34B" w14:textId="77777777" w:rsidR="002C560E" w:rsidRPr="002C560E" w:rsidRDefault="002C560E" w:rsidP="002C560E">
            <w:pPr>
              <w:pStyle w:val="Guide-Normal0"/>
              <w:numPr>
                <w:ilvl w:val="0"/>
                <w:numId w:val="79"/>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kakovost ureditev za priznavanje in potrjevanje učnih rezultatov udeležencev v skladu z evropskimi orodji in načeli za preglednost in priznavanje.</w:t>
            </w:r>
          </w:p>
        </w:tc>
      </w:tr>
      <w:tr w:rsidR="002C560E" w:rsidRPr="00C60205" w14:paraId="6097C644" w14:textId="77777777" w:rsidTr="00A6094F">
        <w:trPr>
          <w:cantSplit/>
        </w:trPr>
        <w:tc>
          <w:tcPr>
            <w:tcW w:w="1737"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1DA6F1BE" w14:textId="77777777" w:rsidR="002C560E" w:rsidRPr="002C560E" w:rsidRDefault="002C560E" w:rsidP="002C560E">
            <w:pPr>
              <w:pStyle w:val="Guide-Normal0"/>
              <w:rPr>
                <w:rFonts w:eastAsia="Calibri" w:cs="Calibri"/>
                <w:b/>
                <w:bCs/>
                <w:sz w:val="18"/>
                <w:szCs w:val="18"/>
                <w:bdr w:val="nil"/>
                <w:shd w:val="clear" w:color="auto" w:fill="FFFFFF"/>
                <w:lang w:val="sl-SI"/>
              </w:rPr>
            </w:pPr>
            <w:r w:rsidRPr="002C560E">
              <w:rPr>
                <w:rFonts w:eastAsia="Calibri" w:cs="Calibri"/>
                <w:b/>
                <w:bCs/>
                <w:sz w:val="18"/>
                <w:szCs w:val="18"/>
                <w:bdr w:val="nil"/>
                <w:shd w:val="clear" w:color="auto" w:fill="FFFFFF"/>
                <w:lang w:val="sl-SI"/>
              </w:rPr>
              <w:t>Kakovost projektne skupine in dogovorov o sodelovanju</w:t>
            </w:r>
          </w:p>
          <w:p w14:paraId="2894CEA1" w14:textId="77777777" w:rsidR="002C560E" w:rsidRPr="002C560E" w:rsidRDefault="002C560E" w:rsidP="002C560E">
            <w:pPr>
              <w:pStyle w:val="Guide-Normal0"/>
              <w:rPr>
                <w:rFonts w:eastAsia="Calibri" w:cs="Calibri"/>
                <w:b/>
                <w:bCs/>
                <w:sz w:val="18"/>
                <w:szCs w:val="18"/>
                <w:bdr w:val="nil"/>
                <w:shd w:val="clear" w:color="auto" w:fill="FFFFFF"/>
                <w:lang w:val="sl-SI"/>
              </w:rPr>
            </w:pPr>
            <w:r w:rsidRPr="002C560E">
              <w:rPr>
                <w:rFonts w:eastAsia="Calibri" w:cs="Calibri"/>
                <w:b/>
                <w:bCs/>
                <w:sz w:val="18"/>
                <w:szCs w:val="18"/>
                <w:bdr w:val="nil"/>
                <w:shd w:val="clear" w:color="auto" w:fill="FFFFFF"/>
                <w:lang w:val="sl-SI"/>
              </w:rPr>
              <w:t>(največ 20 točk)</w:t>
            </w:r>
          </w:p>
          <w:p w14:paraId="6FC7D0B3" w14:textId="77777777" w:rsidR="002C560E" w:rsidRPr="002C560E" w:rsidRDefault="002C560E" w:rsidP="002C560E">
            <w:pPr>
              <w:pStyle w:val="Guide-Normal0"/>
              <w:rPr>
                <w:rFonts w:eastAsia="Calibri" w:cs="Calibri"/>
                <w:b/>
                <w:sz w:val="18"/>
                <w:szCs w:val="18"/>
                <w:bdr w:val="nil"/>
                <w:shd w:val="clear" w:color="auto" w:fill="FFFFFF"/>
                <w:lang w:val="sl-SI"/>
              </w:rPr>
            </w:pPr>
          </w:p>
        </w:tc>
        <w:tc>
          <w:tcPr>
            <w:tcW w:w="3263" w:type="pct"/>
            <w:tcBorders>
              <w:top w:val="dashed" w:sz="4" w:space="0" w:color="auto"/>
              <w:left w:val="nil"/>
              <w:bottom w:val="dashed" w:sz="4" w:space="0" w:color="auto"/>
              <w:right w:val="single" w:sz="8" w:space="0" w:color="auto"/>
            </w:tcBorders>
            <w:shd w:val="clear" w:color="auto" w:fill="FFFFFF" w:themeFill="background1"/>
          </w:tcPr>
          <w:p w14:paraId="5F9E578A" w14:textId="77777777" w:rsidR="002C560E" w:rsidRPr="002C560E" w:rsidRDefault="002C560E" w:rsidP="002C560E">
            <w:pPr>
              <w:pStyle w:val="Guide-Normal0"/>
              <w:numPr>
                <w:ilvl w:val="0"/>
                <w:numId w:val="58"/>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V kolikšni meri:</w:t>
            </w:r>
          </w:p>
          <w:p w14:paraId="5891345B" w14:textId="77777777" w:rsidR="002C560E" w:rsidRPr="002C560E" w:rsidRDefault="002C560E" w:rsidP="002C560E">
            <w:pPr>
              <w:pStyle w:val="Guide-Normal0"/>
              <w:numPr>
                <w:ilvl w:val="0"/>
                <w:numId w:val="503"/>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projekt vključuje ustrezen nabor sodelujočih organizacij, ki se dopolnjujejo in imajo zahtevan profil, izkušnje in strokovno znanje za uspešno izvedbo vseh vidikov projekta,</w:t>
            </w:r>
          </w:p>
          <w:p w14:paraId="55925E20" w14:textId="77777777" w:rsidR="002C560E" w:rsidRPr="002C560E" w:rsidRDefault="002C560E" w:rsidP="002C560E">
            <w:pPr>
              <w:pStyle w:val="Guide-Normal0"/>
              <w:numPr>
                <w:ilvl w:val="0"/>
                <w:numId w:val="503"/>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sta iz porazdelitve odgovornosti in nalog razvidna zavezanost in aktivno prispevanje vseh sodelujočih organizacij,</w:t>
            </w:r>
          </w:p>
          <w:p w14:paraId="6B31CE02" w14:textId="77777777" w:rsidR="002C560E" w:rsidRPr="002C560E" w:rsidRDefault="002C560E" w:rsidP="002C560E">
            <w:pPr>
              <w:pStyle w:val="Guide-Normal0"/>
              <w:numPr>
                <w:ilvl w:val="0"/>
                <w:numId w:val="503"/>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projekt vključuje udeležbo organizacij z različnih področij izobraževanja, usposabljanja, mladine in iz drugih socialno-ekonomskih sektorjev, če to velja za vrsto projekta;</w:t>
            </w:r>
          </w:p>
          <w:p w14:paraId="70B92181" w14:textId="77777777" w:rsidR="002C560E" w:rsidRPr="002C560E" w:rsidRDefault="002C560E" w:rsidP="002C560E">
            <w:pPr>
              <w:pStyle w:val="Guide-Normal0"/>
              <w:numPr>
                <w:ilvl w:val="0"/>
                <w:numId w:val="58"/>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v kolikšni meri projekt v ukrep vključuje nove udeležence;  </w:t>
            </w:r>
          </w:p>
          <w:p w14:paraId="09473898" w14:textId="77777777" w:rsidR="002C560E" w:rsidRPr="002C560E" w:rsidRDefault="002C560E" w:rsidP="002C560E">
            <w:pPr>
              <w:pStyle w:val="Guide-Normal0"/>
              <w:numPr>
                <w:ilvl w:val="0"/>
                <w:numId w:val="58"/>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obstoj učinkovitih mehanizmov za koordinacijo in obveščanje med sodelujočimi organizacijami ter drugimi pomembnimi deležniki; </w:t>
            </w:r>
          </w:p>
          <w:p w14:paraId="0C52D3E6" w14:textId="77777777" w:rsidR="002C560E" w:rsidRPr="002C560E" w:rsidRDefault="002C560E" w:rsidP="002C560E">
            <w:pPr>
              <w:pStyle w:val="Guide-Normal0"/>
              <w:numPr>
                <w:ilvl w:val="0"/>
                <w:numId w:val="58"/>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kadar je to ustrezno, v kolikšni meri vključenost sodelujoče organizacije iz partnerske države prispeva bistveno dodano vrednost k projektu (če ta pogoj ni izpolnjen, se projekt ne upošteva pri izboru).</w:t>
            </w:r>
          </w:p>
        </w:tc>
      </w:tr>
      <w:tr w:rsidR="002C560E" w:rsidRPr="00C60205" w14:paraId="749D324E" w14:textId="77777777" w:rsidTr="00A6094F">
        <w:trPr>
          <w:cantSplit/>
        </w:trPr>
        <w:tc>
          <w:tcPr>
            <w:tcW w:w="1737"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399E02E2" w14:textId="77777777" w:rsidR="002C560E" w:rsidRPr="002C560E" w:rsidRDefault="002C560E" w:rsidP="002C560E">
            <w:pPr>
              <w:pStyle w:val="Guide-Normal0"/>
              <w:rPr>
                <w:rFonts w:eastAsia="Calibri" w:cs="Calibri"/>
                <w:b/>
                <w:bCs/>
                <w:sz w:val="18"/>
                <w:szCs w:val="18"/>
                <w:bdr w:val="nil"/>
                <w:shd w:val="clear" w:color="auto" w:fill="FFFFFF"/>
                <w:lang w:val="sl-SI"/>
              </w:rPr>
            </w:pPr>
            <w:r w:rsidRPr="002C560E">
              <w:rPr>
                <w:rFonts w:eastAsia="Calibri" w:cs="Calibri"/>
                <w:b/>
                <w:bCs/>
                <w:sz w:val="18"/>
                <w:szCs w:val="18"/>
                <w:bdr w:val="nil"/>
                <w:shd w:val="clear" w:color="auto" w:fill="FFFFFF"/>
                <w:lang w:val="sl-SI"/>
              </w:rPr>
              <w:t>Učinek in razširjanje (največ 30 točk)</w:t>
            </w:r>
          </w:p>
          <w:p w14:paraId="7DE16C51" w14:textId="77777777" w:rsidR="002C560E" w:rsidRPr="002C560E" w:rsidRDefault="002C560E" w:rsidP="002C560E">
            <w:pPr>
              <w:pStyle w:val="Guide-Normal0"/>
              <w:rPr>
                <w:rFonts w:eastAsia="Calibri" w:cs="Calibri"/>
                <w:b/>
                <w:sz w:val="18"/>
                <w:szCs w:val="18"/>
                <w:bdr w:val="nil"/>
                <w:shd w:val="clear" w:color="auto" w:fill="FFFFFF"/>
                <w:lang w:val="sl-SI"/>
              </w:rPr>
            </w:pPr>
          </w:p>
        </w:tc>
        <w:tc>
          <w:tcPr>
            <w:tcW w:w="3263" w:type="pct"/>
            <w:tcBorders>
              <w:top w:val="dashed" w:sz="4" w:space="0" w:color="auto"/>
              <w:left w:val="nil"/>
              <w:bottom w:val="single" w:sz="8" w:space="0" w:color="auto"/>
              <w:right w:val="single" w:sz="8" w:space="0" w:color="auto"/>
            </w:tcBorders>
            <w:shd w:val="clear" w:color="auto" w:fill="FFFFFF" w:themeFill="background1"/>
          </w:tcPr>
          <w:p w14:paraId="4C0565EC" w14:textId="77777777" w:rsidR="002C560E" w:rsidRPr="002C560E" w:rsidRDefault="002C560E" w:rsidP="002C560E">
            <w:pPr>
              <w:pStyle w:val="Guide-Normal0"/>
              <w:numPr>
                <w:ilvl w:val="0"/>
                <w:numId w:val="498"/>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Kakovost ukrepov za ocenjevanje rezultatov projekta; </w:t>
            </w:r>
          </w:p>
          <w:p w14:paraId="0623EA60" w14:textId="77777777" w:rsidR="002C560E" w:rsidRPr="002C560E" w:rsidRDefault="002C560E" w:rsidP="002C560E">
            <w:pPr>
              <w:pStyle w:val="Guide-Normal0"/>
              <w:numPr>
                <w:ilvl w:val="0"/>
                <w:numId w:val="498"/>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morebitni učinek projekta:</w:t>
            </w:r>
          </w:p>
          <w:p w14:paraId="2AE31DF9" w14:textId="77777777" w:rsidR="002C560E" w:rsidRPr="002C560E" w:rsidRDefault="002C560E" w:rsidP="002C560E">
            <w:pPr>
              <w:pStyle w:val="Guide-Normal0"/>
              <w:numPr>
                <w:ilvl w:val="0"/>
                <w:numId w:val="499"/>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na udeležence in sodelujoče organizacije med življenjskim ciklom projekta in po njem,</w:t>
            </w:r>
          </w:p>
          <w:p w14:paraId="66019CAA" w14:textId="77777777" w:rsidR="002C560E" w:rsidRPr="002C560E" w:rsidRDefault="002C560E" w:rsidP="002C560E">
            <w:pPr>
              <w:pStyle w:val="Guide-Normal0"/>
              <w:numPr>
                <w:ilvl w:val="0"/>
                <w:numId w:val="499"/>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na druga področja, poleg organizacij in posameznikov, ki neposredno sodelujejo v projektu, na lokalni, regionalni, nacionalni in/ali evropski ravni;</w:t>
            </w:r>
          </w:p>
          <w:p w14:paraId="66E42356" w14:textId="77777777" w:rsidR="002C560E" w:rsidRPr="002C560E" w:rsidRDefault="002C560E" w:rsidP="002C560E">
            <w:pPr>
              <w:pStyle w:val="Guide-Normal0"/>
              <w:numPr>
                <w:ilvl w:val="0"/>
                <w:numId w:val="498"/>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kakovost načrta razširjanja: ustreznost in kakovost ukrepov, katerih cilj je izmenjava rezultatov projekta v sodelujočih organizacijah in drugod;</w:t>
            </w:r>
          </w:p>
          <w:p w14:paraId="592C8490" w14:textId="77777777" w:rsidR="002C560E" w:rsidRPr="002C560E" w:rsidRDefault="002C560E" w:rsidP="002C560E">
            <w:pPr>
              <w:pStyle w:val="Guide-Normal0"/>
              <w:numPr>
                <w:ilvl w:val="0"/>
                <w:numId w:val="498"/>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če je ustrezno, v kolikšni meri je v predlogu opisano, kako se bo omogočil prost dostop z odprtimi licencami do ustvarjenih gradiv, dokumentov in nosilcev podatkov ter kako se bo o njih obveščalo; in predlog ne vsebuje nesorazmernih omejitev;</w:t>
            </w:r>
          </w:p>
          <w:p w14:paraId="1BE67EDA" w14:textId="77777777" w:rsidR="002C560E" w:rsidRPr="002C560E" w:rsidRDefault="002C560E" w:rsidP="002C560E">
            <w:pPr>
              <w:pStyle w:val="Guide-Normal0"/>
              <w:numPr>
                <w:ilvl w:val="0"/>
                <w:numId w:val="498"/>
              </w:numPr>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kakovost načrtov za zagotavljanje trajnosti projekta: ali lahko projekt po porabi nepovratnih sredstev EU še naprej dosega učinek in rezultate.</w:t>
            </w:r>
          </w:p>
        </w:tc>
      </w:tr>
    </w:tbl>
    <w:p w14:paraId="4D9FD49E" w14:textId="77777777" w:rsidR="002C560E" w:rsidRPr="002C560E" w:rsidRDefault="002C560E" w:rsidP="002C560E">
      <w:pPr>
        <w:pStyle w:val="Guide-Normal0"/>
        <w:rPr>
          <w:rFonts w:eastAsia="Calibri" w:cs="Calibri"/>
          <w:sz w:val="18"/>
          <w:szCs w:val="18"/>
          <w:bdr w:val="nil"/>
          <w:shd w:val="clear" w:color="auto" w:fill="FFFFFF"/>
          <w:lang w:val="sl-SI"/>
        </w:rPr>
      </w:pPr>
    </w:p>
    <w:p w14:paraId="07AC9C06" w14:textId="77777777" w:rsidR="002C560E" w:rsidRPr="002C560E" w:rsidRDefault="002C560E" w:rsidP="00C60205">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Za upoštevanje pri dodeljevanju sredstev morajo predlogi doseči vsaj 60 točk. Poleg tega morajo doseči vsaj polovico vseh možnih točk v vsaki od navedenih kategorij meril za dodelitev (tj. vsaj 15 točk za kategoriji „Ustreznost projekta“ ter „Učinek in razširjanje“; 10 točk za kategoriji „Kakovost zasnove in izvedbe projekta“ in „Kakovost projektne skupine in dogovorov o sodelovanju“). Predlogi, ki ne obravnavajo vsaj ene prednostne naloge ukrepa, ne bodo financirani.</w:t>
      </w:r>
    </w:p>
    <w:p w14:paraId="03EA57DE" w14:textId="77777777" w:rsidR="002C560E" w:rsidRPr="002C560E" w:rsidRDefault="002C560E" w:rsidP="002C560E">
      <w:pPr>
        <w:pStyle w:val="Guide-Normal0"/>
        <w:rPr>
          <w:rFonts w:eastAsia="Calibri" w:cs="Calibri"/>
          <w:sz w:val="18"/>
          <w:szCs w:val="18"/>
          <w:bdr w:val="nil"/>
          <w:shd w:val="clear" w:color="auto" w:fill="FFFFFF"/>
          <w:lang w:val="sl-SI"/>
        </w:rPr>
      </w:pPr>
    </w:p>
    <w:p w14:paraId="50399047" w14:textId="77777777" w:rsidR="002C560E" w:rsidRPr="00C60205" w:rsidRDefault="002C560E" w:rsidP="00C60205">
      <w:pPr>
        <w:pStyle w:val="Guide-Heading5"/>
        <w:suppressAutoHyphens w:val="0"/>
        <w:spacing w:before="200" w:after="200"/>
        <w:textAlignment w:val="auto"/>
        <w:outlineLvl w:val="9"/>
        <w:rPr>
          <w:b w:val="0"/>
          <w:bCs/>
          <w:szCs w:val="22"/>
          <w:lang w:val="sl-SI"/>
        </w:rPr>
      </w:pPr>
      <w:r w:rsidRPr="00C60205">
        <w:rPr>
          <w:bCs/>
          <w:kern w:val="0"/>
          <w:szCs w:val="22"/>
          <w:lang w:val="sl-SI"/>
        </w:rPr>
        <w:t xml:space="preserve">Kakšna so pravila za dodelitev sredstev? </w:t>
      </w:r>
    </w:p>
    <w:p w14:paraId="4B60C936" w14:textId="77777777" w:rsidR="002C560E" w:rsidRPr="002C560E" w:rsidRDefault="002C560E" w:rsidP="00C60205">
      <w:pPr>
        <w:pStyle w:val="Guide-Normal0"/>
        <w:rPr>
          <w:rFonts w:eastAsia="Calibri" w:cs="Calibri"/>
          <w:sz w:val="18"/>
          <w:szCs w:val="18"/>
          <w:bdr w:val="nil"/>
          <w:shd w:val="clear" w:color="auto" w:fill="FFFFFF"/>
          <w:lang w:val="sl-SI"/>
        </w:rPr>
      </w:pPr>
      <w:r w:rsidRPr="002C560E">
        <w:rPr>
          <w:rFonts w:eastAsia="Calibri" w:cs="Calibri"/>
          <w:sz w:val="18"/>
          <w:szCs w:val="18"/>
          <w:bdr w:val="nil"/>
          <w:shd w:val="clear" w:color="auto" w:fill="FFFFFF"/>
          <w:lang w:val="sl-SI"/>
        </w:rPr>
        <w:t xml:space="preserve">Sredstva za strateška partnerstva, ustanovljena zaradi razmer v zvezi s COVID-19, se bodo dodeljevala v skladu z istimi pravili, ki veljajo za standardna strateška partnerstva (glej oddelek „Strateška partnerstva na področju izobraževanja, usposabljanja in mladine – Kakšna so pravila za dodelitev sredstev?“). Nepovratna sredstva za projekte, povezane s strateškimi partnerstvi, ustanovljenimi zaradi razmer v zvezi s COVID-19, so omejena na 300 000 EUR za projekte, ki trajajo 24 mesecev. </w:t>
      </w:r>
    </w:p>
    <w:p w14:paraId="1F053A76" w14:textId="77777777" w:rsidR="002C560E" w:rsidRDefault="002C560E" w:rsidP="00A37B39">
      <w:pPr>
        <w:pStyle w:val="Guide-Normal0"/>
        <w:rPr>
          <w:rFonts w:eastAsia="Calibri" w:cs="Calibri"/>
          <w:kern w:val="3"/>
          <w:sz w:val="18"/>
          <w:szCs w:val="18"/>
          <w:bdr w:val="nil"/>
          <w:shd w:val="clear" w:color="auto" w:fill="FFFFFF"/>
          <w:lang w:val="sl-SI"/>
        </w:rPr>
      </w:pPr>
    </w:p>
    <w:p w14:paraId="7D3991C2" w14:textId="77777777" w:rsidR="00E03711" w:rsidRPr="00FC4A70" w:rsidRDefault="00E03711" w:rsidP="00A37B39">
      <w:pPr>
        <w:pStyle w:val="Guide-Normal0"/>
        <w:rPr>
          <w:vanish/>
          <w:lang w:val="sl-SI"/>
        </w:rPr>
      </w:pPr>
    </w:p>
    <w:p w14:paraId="7D3991C3" w14:textId="77777777" w:rsidR="00E03711" w:rsidRPr="001048FE" w:rsidRDefault="00E03711" w:rsidP="003A4468">
      <w:pPr>
        <w:pStyle w:val="Guide-Heading6"/>
        <w:rPr>
          <w:lang w:val="sl-SI"/>
        </w:rPr>
      </w:pPr>
      <w:bookmarkStart w:id="214" w:name="Autres_informations"/>
      <w:bookmarkEnd w:id="214"/>
      <w:r w:rsidRPr="001048FE">
        <w:rPr>
          <w:lang w:val="sl-SI"/>
        </w:rPr>
        <w:t>Druge informacije</w:t>
      </w:r>
    </w:p>
    <w:p w14:paraId="7D3991C4" w14:textId="77777777" w:rsidR="00E03711" w:rsidRPr="001048FE" w:rsidRDefault="00E03711" w:rsidP="003A4468">
      <w:pPr>
        <w:pStyle w:val="GUIDE-NORMAL"/>
        <w:rPr>
          <w:lang w:val="sl-SI"/>
        </w:rPr>
      </w:pPr>
      <w:r w:rsidRPr="001048FE">
        <w:rPr>
          <w:lang w:val="sl-SI"/>
        </w:rPr>
        <w:t>Poleg informacij, ki so navedene v tem delu, lahko več obveznih meril, dodatne koristne informacije in primere projektov v zvezi s tem ukrepom najdete v Prilogi I k temu vodniku. Zainteresirane organizacije naj pred oddajo vloge za finančno podporo skrbno preberejo ustrezna poglavja te priloge.</w:t>
      </w:r>
    </w:p>
    <w:p w14:paraId="7D3991C5" w14:textId="77777777" w:rsidR="00E03711" w:rsidRPr="001048FE" w:rsidRDefault="00E03711" w:rsidP="003A4468">
      <w:pPr>
        <w:pStyle w:val="Guide-Heading7"/>
        <w:rPr>
          <w:lang w:val="sl-SI"/>
        </w:rPr>
      </w:pPr>
      <w:r w:rsidRPr="001048FE">
        <w:rPr>
          <w:lang w:val="sl-SI"/>
        </w:rPr>
        <w:t>Kakšna so pravila za dodelitev sredstev?</w:t>
      </w:r>
    </w:p>
    <w:p w14:paraId="7D3991C6" w14:textId="77777777" w:rsidR="00E03711" w:rsidRDefault="00E03711" w:rsidP="003A4468">
      <w:pPr>
        <w:pStyle w:val="GUIDE-NORMAL"/>
        <w:rPr>
          <w:lang w:val="sl-SI"/>
        </w:rPr>
      </w:pPr>
      <w:r w:rsidRPr="001048FE">
        <w:rPr>
          <w:lang w:val="sl-SI"/>
        </w:rPr>
        <w:t>Strateška partnerstva bodo zajela vse od preprostih projektov sodelovanja med malimi organizacijami (npr. šolami in neformalnimi skupinami mladih) do naprednih in obsežnih projektov, ki se osredotočajo na razvoj in izmenjavo inovativnih rezultatov na vseh področjih izobraževanja, usposabljanja in mladine. V skladu s tem bodo stroški različnih vrst projektov seveda različni.</w:t>
      </w:r>
      <w:r w:rsidRPr="001048FE" w:rsidDel="00A631E7">
        <w:rPr>
          <w:lang w:val="sl-SI"/>
        </w:rPr>
        <w:t xml:space="preserve"> </w:t>
      </w:r>
    </w:p>
    <w:p w14:paraId="7D3991C7" w14:textId="77777777" w:rsidR="00E03711" w:rsidRPr="001048FE" w:rsidRDefault="00E03711" w:rsidP="003A4468">
      <w:pPr>
        <w:pStyle w:val="GUIDE-NORMAL"/>
        <w:rPr>
          <w:lang w:val="sl-SI"/>
        </w:rPr>
      </w:pPr>
      <w:r w:rsidRPr="001048FE">
        <w:rPr>
          <w:lang w:val="sl-SI"/>
        </w:rPr>
        <w:t>Zato predlagani model financiranja zajema seznam stroškovnih postavk, s katerega lahko prijavitelji izbirajo glede na aktivnosti, ki jih želijo izvajati, in rezultate, ki jih želijo doseči. Prva postavka „Vodenje in izvajanje projekta“ je stroškovna postavka, za katero se lahko prijavijo strateška partnerstva vseh vrst, saj naj bi prispevala k stroškom, ki nastanejo pri vsakem projektu. Strateška partnerstva razen partnerstev za izmenjavo med šolami se lahko prijavijo tudi za posebna finančna sredstva za organizacijo „mednarodnih projektnih srečanj“. Druge stroškovne postavke lahko izberejo samo projekti, ki bodo sledili konkretnejšim ciljem v zvezi s pripravo intelektualnih rezultatov/proizvodov, razširjanjem ali vključenimi aktivnostmi poučevanja, usposabljanja in učenja. Krijejo se lahko tudi izredni stroški in stroški za udeležbo oseb s posebnimi potrebami, če so utemeljeni z aktivnostmi/rezultati projekta.</w:t>
      </w:r>
    </w:p>
    <w:p w14:paraId="7D3991C8" w14:textId="77777777" w:rsidR="00E03711" w:rsidRDefault="00E03711" w:rsidP="003A4468">
      <w:pPr>
        <w:pStyle w:val="GUIDE-NORMAL"/>
        <w:rPr>
          <w:lang w:val="sl-SI"/>
        </w:rPr>
      </w:pPr>
      <w:r w:rsidRPr="001048FE">
        <w:rPr>
          <w:lang w:val="sl-SI"/>
        </w:rPr>
        <w:t>Skupna nepovratna sredstva za projekt so spremenljiv znesek, ki se določi tako, da se 12 500 EUR pomnoži s trajanjem projekta (v mesecih), in je omejen na 450 000 EUR za projekte, ki trajajo 36 mesecev. Za partnerstva za izmenjavo med šolami izjemoma</w:t>
      </w:r>
      <w:r>
        <w:rPr>
          <w:lang w:val="sl-SI"/>
        </w:rPr>
        <w:t xml:space="preserve"> na ravni projekta</w:t>
      </w:r>
      <w:r w:rsidRPr="001048FE">
        <w:rPr>
          <w:lang w:val="sl-SI"/>
        </w:rPr>
        <w:t xml:space="preserve"> velja omejitev v znesku 16 500 EUR na leto na sodelujočo šolo. Sredstva za podporo udeležencem s posebnimi potrebami in izredne stroške za visoke potne stroške niso vključena v omejitev financiranja za partnerstva za izmenjavo med šolami.</w:t>
      </w:r>
    </w:p>
    <w:p w14:paraId="7D3991C9" w14:textId="77777777" w:rsidR="00E03711" w:rsidRDefault="00E03711" w:rsidP="003A4468">
      <w:pPr>
        <w:pStyle w:val="GUIDE-NORMAL"/>
        <w:rPr>
          <w:lang w:val="sl-SI"/>
        </w:rPr>
        <w:sectPr w:rsidR="00E03711" w:rsidSect="00E15ED3">
          <w:headerReference w:type="even" r:id="rId87"/>
          <w:headerReference w:type="default" r:id="rId88"/>
          <w:endnotePr>
            <w:numFmt w:val="decimal"/>
          </w:endnotePr>
          <w:pgSz w:w="11910" w:h="16840" w:code="9"/>
          <w:pgMar w:top="1134" w:right="1418" w:bottom="1134" w:left="1418" w:header="284" w:footer="567" w:gutter="0"/>
          <w:cols w:space="720"/>
          <w:docGrid w:linePitch="326"/>
        </w:sectPr>
      </w:pPr>
    </w:p>
    <w:p w14:paraId="7D3991CA" w14:textId="77777777" w:rsidR="00E03711" w:rsidRPr="001048FE" w:rsidRDefault="00E03711" w:rsidP="003A4468">
      <w:pPr>
        <w:pStyle w:val="GUIDE-NORMAL"/>
        <w:rPr>
          <w:lang w:val="sl-SI"/>
        </w:rPr>
      </w:pPr>
      <w:r w:rsidRPr="001048FE">
        <w:rPr>
          <w:lang w:val="sl-SI"/>
        </w:rPr>
        <w:t>Proračun projekta je treba pripraviti v skladu z naslednjimi pravili za dodelitev sredstev (v 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2"/>
      </w:tblGrid>
      <w:tr w:rsidR="00E03711" w:rsidRPr="00C60205" w14:paraId="7D3991CE" w14:textId="77777777" w:rsidTr="00D53824">
        <w:trPr>
          <w:trHeight w:val="1119"/>
        </w:trPr>
        <w:tc>
          <w:tcPr>
            <w:tcW w:w="14742" w:type="dxa"/>
            <w:shd w:val="clear" w:color="auto" w:fill="auto"/>
          </w:tcPr>
          <w:p w14:paraId="7D3991CB" w14:textId="77777777" w:rsidR="00E03711" w:rsidRPr="00237696" w:rsidRDefault="00E03711" w:rsidP="00237696">
            <w:pPr>
              <w:pStyle w:val="GUIDE-NORMAL"/>
              <w:spacing w:before="60" w:after="60"/>
              <w:jc w:val="center"/>
              <w:rPr>
                <w:b/>
                <w:lang w:val="sl-SI" w:eastAsia="en-GB"/>
              </w:rPr>
            </w:pPr>
            <w:r w:rsidRPr="00237696">
              <w:rPr>
                <w:b/>
                <w:lang w:val="sl-SI" w:eastAsia="en-GB"/>
              </w:rPr>
              <w:t>Najvišja dodeljena nepovratna sredstva:</w:t>
            </w:r>
          </w:p>
          <w:p w14:paraId="7D3991CC" w14:textId="77777777" w:rsidR="00E03711" w:rsidRPr="00237696" w:rsidRDefault="00E03711" w:rsidP="00237696">
            <w:pPr>
              <w:pStyle w:val="GUIDE-NORMAL"/>
              <w:spacing w:before="60" w:after="60"/>
              <w:jc w:val="center"/>
              <w:rPr>
                <w:lang w:val="sl-SI" w:eastAsia="en-GB"/>
              </w:rPr>
            </w:pPr>
            <w:r w:rsidRPr="00237696">
              <w:rPr>
                <w:lang w:val="sl-SI" w:eastAsia="en-GB"/>
              </w:rPr>
              <w:t xml:space="preserve">spremenljiv znesek, določen tako, da se </w:t>
            </w:r>
            <w:r w:rsidRPr="00237696">
              <w:rPr>
                <w:b/>
                <w:lang w:val="sl-SI" w:eastAsia="en-GB"/>
              </w:rPr>
              <w:t>12 500 EUR</w:t>
            </w:r>
            <w:r w:rsidRPr="00237696">
              <w:rPr>
                <w:lang w:val="sl-SI" w:eastAsia="en-GB"/>
              </w:rPr>
              <w:t xml:space="preserve"> pomnoži s trajanjem projekta (v mesecih), </w:t>
            </w:r>
            <w:r w:rsidRPr="00237696">
              <w:rPr>
                <w:lang w:val="sl-SI" w:eastAsia="en-GB"/>
              </w:rPr>
              <w:br/>
              <w:t xml:space="preserve">in je omejen na </w:t>
            </w:r>
            <w:r w:rsidRPr="00237696">
              <w:rPr>
                <w:b/>
                <w:lang w:val="sl-SI" w:eastAsia="en-GB"/>
              </w:rPr>
              <w:t>450 000 EUR</w:t>
            </w:r>
            <w:r w:rsidRPr="00237696">
              <w:rPr>
                <w:lang w:val="sl-SI" w:eastAsia="en-GB"/>
              </w:rPr>
              <w:t xml:space="preserve"> za projekte, ki trajajo 36 mesecev.</w:t>
            </w:r>
          </w:p>
          <w:p w14:paraId="7D3991CD" w14:textId="77777777" w:rsidR="00E03711" w:rsidRPr="00237696" w:rsidRDefault="00E03711" w:rsidP="00237696">
            <w:pPr>
              <w:pStyle w:val="GUIDE-NORMAL"/>
              <w:spacing w:before="60" w:after="60"/>
              <w:jc w:val="center"/>
              <w:rPr>
                <w:b/>
                <w:lang w:val="sl-SI" w:eastAsia="en-GB"/>
              </w:rPr>
            </w:pPr>
            <w:r w:rsidRPr="00237696">
              <w:rPr>
                <w:lang w:val="sl-SI" w:eastAsia="en-GB"/>
              </w:rPr>
              <w:t xml:space="preserve">(Izjema: za </w:t>
            </w:r>
            <w:r w:rsidRPr="00237696">
              <w:rPr>
                <w:u w:val="single"/>
                <w:lang w:val="sl-SI" w:eastAsia="en-GB"/>
              </w:rPr>
              <w:t>partnerstva za izmenjavo med šolami</w:t>
            </w:r>
            <w:r w:rsidRPr="00237696">
              <w:rPr>
                <w:lang w:val="sl-SI" w:eastAsia="en-GB"/>
              </w:rPr>
              <w:t xml:space="preserve">: na ravni projekta največ </w:t>
            </w:r>
            <w:r w:rsidRPr="00237696">
              <w:rPr>
                <w:b/>
                <w:lang w:val="sl-SI" w:eastAsia="en-GB"/>
              </w:rPr>
              <w:t>16 500 EUR</w:t>
            </w:r>
            <w:r w:rsidRPr="00237696">
              <w:rPr>
                <w:lang w:val="sl-SI" w:eastAsia="en-GB"/>
              </w:rPr>
              <w:t xml:space="preserve"> na leto na sodelujočo šolo brez </w:t>
            </w:r>
            <w:r w:rsidRPr="00237696">
              <w:rPr>
                <w:lang w:val="sl-SI" w:eastAsia="en-GB"/>
              </w:rPr>
              <w:br/>
              <w:t>podpore za posebne potrebe in izrednih stroškov za drage potne stroške)</w:t>
            </w:r>
          </w:p>
        </w:tc>
      </w:tr>
    </w:tbl>
    <w:p w14:paraId="7D3991CF" w14:textId="77777777" w:rsidR="00E03711" w:rsidRPr="001048FE" w:rsidRDefault="00E03711" w:rsidP="0051764B">
      <w:pPr>
        <w:pStyle w:val="GUIDE-NORMAL"/>
        <w:rPr>
          <w:lang w:val="sl-SI"/>
        </w:rPr>
      </w:pPr>
      <w:r w:rsidRPr="001048FE">
        <w:rPr>
          <w:lang w:val="sl-SI"/>
        </w:rPr>
        <w:t>Nekateri maksimalni zneski iz preglednic so omejeni na mesec ter se izračunajo z uporabo sorazmernega pristopa, tako da je rezultat deljenja dodeljenih nepovratnih sredstev s številom mesecev znesek v višini največ 12 500 EUR. Vendar lahko upravičenci vsa nepovratna sredstva EU, ki jih prejmejo za projekt, porabijo čim bolj fleksibilno, kadar koli med trajanjem projekta in v skladu s kronološkim zaporedjem izvajanja aktivnosti, kot je opredeljeno v delovnem načrtu.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9"/>
        <w:gridCol w:w="5048"/>
        <w:gridCol w:w="1896"/>
        <w:gridCol w:w="2260"/>
        <w:gridCol w:w="1553"/>
        <w:gridCol w:w="2372"/>
      </w:tblGrid>
      <w:tr w:rsidR="00E03711" w:rsidRPr="008C6F8C" w14:paraId="7D3991D4" w14:textId="77777777" w:rsidTr="009B18DC">
        <w:trPr>
          <w:trHeight w:val="20"/>
        </w:trPr>
        <w:tc>
          <w:tcPr>
            <w:tcW w:w="4111" w:type="dxa"/>
            <w:gridSpan w:val="2"/>
            <w:shd w:val="clear" w:color="auto" w:fill="auto"/>
            <w:vAlign w:val="center"/>
          </w:tcPr>
          <w:p w14:paraId="7D3991D0" w14:textId="77777777" w:rsidR="00E03711" w:rsidRPr="00F769E0" w:rsidRDefault="00E03711" w:rsidP="00AB5BA9">
            <w:pPr>
              <w:pStyle w:val="GUIDE-NORMAL"/>
              <w:spacing w:before="60" w:after="60"/>
              <w:jc w:val="center"/>
              <w:rPr>
                <w:rFonts w:cs="Tahoma"/>
                <w:b/>
                <w:lang w:val="sl-SI" w:eastAsia="en-GB"/>
              </w:rPr>
            </w:pPr>
            <w:r w:rsidRPr="00F769E0">
              <w:rPr>
                <w:rFonts w:cs="Tahoma"/>
                <w:b/>
                <w:lang w:val="sl-SI" w:eastAsia="en-GB"/>
              </w:rPr>
              <w:t>Upravičeni stroški</w:t>
            </w:r>
          </w:p>
        </w:tc>
        <w:tc>
          <w:tcPr>
            <w:tcW w:w="1162" w:type="dxa"/>
            <w:shd w:val="clear" w:color="auto" w:fill="auto"/>
            <w:vAlign w:val="center"/>
          </w:tcPr>
          <w:p w14:paraId="7D3991D1" w14:textId="77777777" w:rsidR="00E03711" w:rsidRPr="00F769E0" w:rsidRDefault="00E03711" w:rsidP="00AB5BA9">
            <w:pPr>
              <w:pStyle w:val="GUIDE-NORMAL"/>
              <w:spacing w:before="60" w:after="60"/>
              <w:jc w:val="center"/>
              <w:rPr>
                <w:rFonts w:cs="Tahoma"/>
                <w:b/>
                <w:lang w:val="sl-SI" w:eastAsia="en-GB"/>
              </w:rPr>
            </w:pPr>
            <w:r w:rsidRPr="00F769E0">
              <w:rPr>
                <w:rFonts w:cs="Tahoma"/>
                <w:b/>
                <w:lang w:val="sl-SI" w:eastAsia="en-GB"/>
              </w:rPr>
              <w:t>Mehanizem financiranja</w:t>
            </w:r>
          </w:p>
        </w:tc>
        <w:tc>
          <w:tcPr>
            <w:tcW w:w="2337" w:type="dxa"/>
            <w:gridSpan w:val="2"/>
            <w:shd w:val="clear" w:color="auto" w:fill="auto"/>
            <w:vAlign w:val="center"/>
          </w:tcPr>
          <w:p w14:paraId="7D3991D2" w14:textId="77777777" w:rsidR="00E03711" w:rsidRPr="00F769E0" w:rsidRDefault="00E03711" w:rsidP="00AB5BA9">
            <w:pPr>
              <w:pStyle w:val="GUIDE-NORMAL"/>
              <w:spacing w:before="60" w:after="60"/>
              <w:jc w:val="center"/>
              <w:rPr>
                <w:rFonts w:cs="Tahoma"/>
                <w:b/>
                <w:lang w:val="sl-SI" w:eastAsia="en-GB"/>
              </w:rPr>
            </w:pPr>
            <w:r w:rsidRPr="00F769E0">
              <w:rPr>
                <w:rFonts w:cs="Tahoma"/>
                <w:b/>
                <w:lang w:val="sl-SI" w:eastAsia="en-GB"/>
              </w:rPr>
              <w:t>Znesek</w:t>
            </w:r>
          </w:p>
        </w:tc>
        <w:tc>
          <w:tcPr>
            <w:tcW w:w="1454" w:type="dxa"/>
            <w:shd w:val="clear" w:color="auto" w:fill="auto"/>
            <w:vAlign w:val="center"/>
          </w:tcPr>
          <w:p w14:paraId="7D3991D3" w14:textId="77777777" w:rsidR="00E03711" w:rsidRPr="00F769E0" w:rsidRDefault="00E03711" w:rsidP="00AB5BA9">
            <w:pPr>
              <w:pStyle w:val="GUIDE-NORMAL"/>
              <w:spacing w:before="60" w:after="60"/>
              <w:jc w:val="center"/>
              <w:rPr>
                <w:rFonts w:cs="Tahoma"/>
                <w:b/>
                <w:lang w:val="sl-SI" w:eastAsia="en-GB"/>
              </w:rPr>
            </w:pPr>
            <w:r w:rsidRPr="00F769E0">
              <w:rPr>
                <w:rFonts w:cs="Tahoma"/>
                <w:b/>
                <w:lang w:val="sl-SI" w:eastAsia="en-GB"/>
              </w:rPr>
              <w:t>Pravilo dodelitve</w:t>
            </w:r>
          </w:p>
        </w:tc>
      </w:tr>
      <w:tr w:rsidR="00E03711" w:rsidRPr="00C60205" w14:paraId="7D3991DC" w14:textId="77777777" w:rsidTr="009B18DC">
        <w:trPr>
          <w:trHeight w:val="20"/>
        </w:trPr>
        <w:tc>
          <w:tcPr>
            <w:tcW w:w="1017" w:type="dxa"/>
            <w:vMerge w:val="restart"/>
            <w:shd w:val="clear" w:color="auto" w:fill="auto"/>
            <w:vAlign w:val="center"/>
          </w:tcPr>
          <w:p w14:paraId="7D3991D5" w14:textId="77777777" w:rsidR="00E03711" w:rsidRPr="00F769E0" w:rsidRDefault="00E03711" w:rsidP="00425AE5">
            <w:pPr>
              <w:pStyle w:val="GUIDE-NORMAL"/>
              <w:spacing w:before="60" w:after="60"/>
              <w:jc w:val="left"/>
              <w:rPr>
                <w:rFonts w:cs="Tahoma"/>
                <w:b/>
                <w:lang w:val="sl-SI" w:eastAsia="en-GB"/>
              </w:rPr>
            </w:pPr>
            <w:r w:rsidRPr="00F769E0">
              <w:rPr>
                <w:rFonts w:cs="Tahoma"/>
                <w:b/>
                <w:lang w:val="sl-SI" w:eastAsia="en-GB"/>
              </w:rPr>
              <w:t>Vodenje in izvajanje projekta</w:t>
            </w:r>
          </w:p>
        </w:tc>
        <w:tc>
          <w:tcPr>
            <w:tcW w:w="3094" w:type="dxa"/>
            <w:vMerge w:val="restart"/>
            <w:shd w:val="clear" w:color="auto" w:fill="auto"/>
            <w:vAlign w:val="center"/>
          </w:tcPr>
          <w:p w14:paraId="7D3991D6"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Vodenje projekta (npr. načrtovanje, finance, koordinacija in obveščanje med partnerji itd.); gradiva, orodja, pristopi itd. za učenje/poučevanje/usposabljanje v malem obsegu. Virtualno sodelovanje in aktivnosti lokalnih projektov (npr. projektno delo v učilnici z učečimi se, aktivnosti mladinskega dela, organizacija in spremljanje vključenih aktivnosti učenja/usposabljanja itd.); obveščanje, promocija in razširjanje (npr. brošure, zloženke, spletne informacije itd.).</w:t>
            </w:r>
          </w:p>
          <w:p w14:paraId="7D3991D7"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Stroški, povezani z izvajanjem transnacionalnih mladinskih pobud in partnerstev za izmenjavo med šolami.</w:t>
            </w:r>
          </w:p>
        </w:tc>
        <w:tc>
          <w:tcPr>
            <w:tcW w:w="1162" w:type="dxa"/>
            <w:shd w:val="clear" w:color="auto" w:fill="auto"/>
            <w:vAlign w:val="center"/>
          </w:tcPr>
          <w:p w14:paraId="7D3991D8"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385" w:type="dxa"/>
            <w:shd w:val="clear" w:color="auto" w:fill="auto"/>
            <w:vAlign w:val="center"/>
          </w:tcPr>
          <w:p w14:paraId="7D3991D9"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 xml:space="preserve">Prispevek za aktivnosti koordinatorske organizacije: </w:t>
            </w:r>
            <w:r w:rsidRPr="00F769E0">
              <w:rPr>
                <w:rFonts w:cs="Tahoma"/>
                <w:b/>
                <w:lang w:val="sl-SI" w:eastAsia="en-GB"/>
              </w:rPr>
              <w:t>500 EUR</w:t>
            </w:r>
            <w:r w:rsidRPr="00F769E0">
              <w:rPr>
                <w:rFonts w:cs="Tahoma"/>
                <w:lang w:val="sl-SI" w:eastAsia="en-GB"/>
              </w:rPr>
              <w:t xml:space="preserve"> na mesec</w:t>
            </w:r>
          </w:p>
        </w:tc>
        <w:tc>
          <w:tcPr>
            <w:tcW w:w="952" w:type="dxa"/>
            <w:vMerge w:val="restart"/>
            <w:shd w:val="clear" w:color="auto" w:fill="auto"/>
            <w:vAlign w:val="center"/>
          </w:tcPr>
          <w:p w14:paraId="7D3991DA"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 xml:space="preserve">Največ </w:t>
            </w:r>
            <w:r w:rsidRPr="00F769E0">
              <w:rPr>
                <w:rFonts w:cs="Tahoma"/>
                <w:lang w:val="sl-SI" w:eastAsia="en-GB"/>
              </w:rPr>
              <w:br/>
            </w:r>
            <w:r w:rsidRPr="00F769E0">
              <w:rPr>
                <w:rFonts w:cs="Tahoma"/>
                <w:b/>
                <w:lang w:val="sl-SI" w:eastAsia="en-GB"/>
              </w:rPr>
              <w:t>2 750 EUR</w:t>
            </w:r>
            <w:r w:rsidRPr="00F769E0">
              <w:rPr>
                <w:rFonts w:cs="Tahoma"/>
                <w:lang w:val="sl-SI" w:eastAsia="en-GB"/>
              </w:rPr>
              <w:br/>
              <w:t>na mesec</w:t>
            </w:r>
          </w:p>
        </w:tc>
        <w:tc>
          <w:tcPr>
            <w:tcW w:w="1454" w:type="dxa"/>
            <w:vMerge w:val="restart"/>
            <w:shd w:val="clear" w:color="auto" w:fill="auto"/>
            <w:vAlign w:val="center"/>
          </w:tcPr>
          <w:p w14:paraId="7D3991DB"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Glede na trajanje strateškega partnerstva in število vključenih sodelujočih organizacij.</w:t>
            </w:r>
          </w:p>
        </w:tc>
      </w:tr>
      <w:tr w:rsidR="00E03711" w:rsidRPr="00C60205" w14:paraId="7D3991E3" w14:textId="77777777" w:rsidTr="009B18DC">
        <w:trPr>
          <w:trHeight w:val="20"/>
        </w:trPr>
        <w:tc>
          <w:tcPr>
            <w:tcW w:w="1017" w:type="dxa"/>
            <w:vMerge/>
            <w:shd w:val="clear" w:color="auto" w:fill="auto"/>
            <w:vAlign w:val="center"/>
          </w:tcPr>
          <w:p w14:paraId="7D3991DD" w14:textId="77777777" w:rsidR="00E03711" w:rsidRPr="00F769E0" w:rsidRDefault="00E03711" w:rsidP="00425AE5">
            <w:pPr>
              <w:pStyle w:val="GUIDE-NORMAL"/>
              <w:spacing w:before="60" w:after="60"/>
              <w:jc w:val="left"/>
              <w:rPr>
                <w:rFonts w:cs="Tahoma"/>
                <w:b/>
                <w:lang w:val="sl-SI" w:eastAsia="en-GB"/>
              </w:rPr>
            </w:pPr>
          </w:p>
        </w:tc>
        <w:tc>
          <w:tcPr>
            <w:tcW w:w="3094" w:type="dxa"/>
            <w:vMerge/>
            <w:shd w:val="clear" w:color="auto" w:fill="auto"/>
            <w:vAlign w:val="center"/>
          </w:tcPr>
          <w:p w14:paraId="7D3991DE" w14:textId="77777777" w:rsidR="00E03711" w:rsidRPr="00F769E0" w:rsidRDefault="00E03711" w:rsidP="00425AE5">
            <w:pPr>
              <w:pStyle w:val="GUIDE-NORMAL"/>
              <w:spacing w:before="60" w:after="60"/>
              <w:jc w:val="left"/>
              <w:rPr>
                <w:rFonts w:cs="Tahoma"/>
                <w:lang w:val="sl-SI" w:eastAsia="en-GB"/>
              </w:rPr>
            </w:pPr>
          </w:p>
        </w:tc>
        <w:tc>
          <w:tcPr>
            <w:tcW w:w="1162" w:type="dxa"/>
            <w:shd w:val="clear" w:color="auto" w:fill="auto"/>
            <w:vAlign w:val="center"/>
          </w:tcPr>
          <w:p w14:paraId="7D3991DF"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385" w:type="dxa"/>
            <w:shd w:val="clear" w:color="auto" w:fill="auto"/>
            <w:vAlign w:val="center"/>
          </w:tcPr>
          <w:p w14:paraId="7D3991E0"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 xml:space="preserve">Prispevek za aktivnosti drugih sodelujočih organizacij: </w:t>
            </w:r>
            <w:r w:rsidRPr="00F769E0">
              <w:rPr>
                <w:rFonts w:cs="Tahoma"/>
                <w:lang w:val="sl-SI" w:eastAsia="en-GB"/>
              </w:rPr>
              <w:br/>
            </w:r>
            <w:r w:rsidRPr="00F769E0">
              <w:rPr>
                <w:rFonts w:cs="Tahoma"/>
                <w:b/>
                <w:lang w:val="sl-SI" w:eastAsia="en-GB"/>
              </w:rPr>
              <w:t>250 EUR</w:t>
            </w:r>
            <w:r w:rsidRPr="00F769E0">
              <w:rPr>
                <w:rFonts w:cs="Tahoma"/>
                <w:lang w:val="sl-SI" w:eastAsia="en-GB"/>
              </w:rPr>
              <w:t xml:space="preserve"> na organizacijo </w:t>
            </w:r>
            <w:r w:rsidRPr="00F769E0">
              <w:rPr>
                <w:rFonts w:cs="Tahoma"/>
                <w:lang w:val="sl-SI" w:eastAsia="en-GB"/>
              </w:rPr>
              <w:br/>
              <w:t>na mesec</w:t>
            </w:r>
          </w:p>
        </w:tc>
        <w:tc>
          <w:tcPr>
            <w:tcW w:w="952" w:type="dxa"/>
            <w:vMerge/>
            <w:shd w:val="clear" w:color="auto" w:fill="auto"/>
            <w:vAlign w:val="center"/>
          </w:tcPr>
          <w:p w14:paraId="7D3991E1" w14:textId="77777777" w:rsidR="00E03711" w:rsidRPr="00F769E0" w:rsidRDefault="00E03711" w:rsidP="00425AE5">
            <w:pPr>
              <w:pStyle w:val="GUIDE-NORMAL"/>
              <w:spacing w:before="60" w:after="60"/>
              <w:jc w:val="left"/>
              <w:rPr>
                <w:rFonts w:cs="Tahoma"/>
                <w:lang w:val="sl-SI" w:eastAsia="en-GB"/>
              </w:rPr>
            </w:pPr>
          </w:p>
        </w:tc>
        <w:tc>
          <w:tcPr>
            <w:tcW w:w="1454" w:type="dxa"/>
            <w:vMerge/>
            <w:shd w:val="clear" w:color="auto" w:fill="auto"/>
            <w:vAlign w:val="center"/>
          </w:tcPr>
          <w:p w14:paraId="7D3991E2" w14:textId="77777777" w:rsidR="00E03711" w:rsidRPr="00F769E0" w:rsidRDefault="00E03711" w:rsidP="00425AE5">
            <w:pPr>
              <w:pStyle w:val="GUIDE-NORMAL"/>
              <w:spacing w:before="60" w:after="60"/>
              <w:jc w:val="left"/>
              <w:rPr>
                <w:rFonts w:cs="Tahoma"/>
                <w:lang w:val="sl-SI" w:eastAsia="en-GB"/>
              </w:rPr>
            </w:pPr>
          </w:p>
        </w:tc>
      </w:tr>
      <w:tr w:rsidR="00E03711" w:rsidRPr="00C60205" w14:paraId="7D3991EB" w14:textId="77777777" w:rsidTr="009B18DC">
        <w:trPr>
          <w:trHeight w:val="20"/>
        </w:trPr>
        <w:tc>
          <w:tcPr>
            <w:tcW w:w="1017" w:type="dxa"/>
            <w:shd w:val="clear" w:color="auto" w:fill="auto"/>
            <w:vAlign w:val="center"/>
          </w:tcPr>
          <w:p w14:paraId="7D3991E4" w14:textId="77777777" w:rsidR="00E03711" w:rsidRPr="00F769E0" w:rsidRDefault="00E03711" w:rsidP="00425AE5">
            <w:pPr>
              <w:pStyle w:val="GUIDE-NORMAL"/>
              <w:spacing w:before="60" w:after="60"/>
              <w:jc w:val="left"/>
              <w:rPr>
                <w:rFonts w:cs="Tahoma"/>
                <w:b/>
                <w:lang w:val="sl-SI" w:eastAsia="en-GB"/>
              </w:rPr>
            </w:pPr>
            <w:r w:rsidRPr="00F769E0">
              <w:rPr>
                <w:rFonts w:cs="Tahoma"/>
                <w:b/>
                <w:lang w:val="sl-SI" w:eastAsia="en-GB"/>
              </w:rPr>
              <w:t>Mednarodna projektna srečanja</w:t>
            </w:r>
          </w:p>
        </w:tc>
        <w:tc>
          <w:tcPr>
            <w:tcW w:w="3094" w:type="dxa"/>
            <w:shd w:val="clear" w:color="auto" w:fill="auto"/>
            <w:vAlign w:val="center"/>
          </w:tcPr>
          <w:p w14:paraId="7D3991E5"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Udeležba na srečanjih med partnerji projekta, ki jih gosti ena od sodelujočih organizacij, zaradi izvajanja in koordinacije. Prispevek za potne stroške in stroške bivanja. Ta proračunska postavka ni na voljo za partnerstva za izmenjavo med šolami.</w:t>
            </w:r>
          </w:p>
        </w:tc>
        <w:tc>
          <w:tcPr>
            <w:tcW w:w="1162" w:type="dxa"/>
            <w:shd w:val="clear" w:color="auto" w:fill="auto"/>
            <w:vAlign w:val="center"/>
          </w:tcPr>
          <w:p w14:paraId="7D3991E6"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385" w:type="dxa"/>
            <w:shd w:val="clear" w:color="auto" w:fill="auto"/>
            <w:vAlign w:val="center"/>
          </w:tcPr>
          <w:p w14:paraId="7D3991E7"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 xml:space="preserve">Za razdalje </w:t>
            </w:r>
            <w:r w:rsidRPr="00F769E0">
              <w:rPr>
                <w:rFonts w:cs="Tahoma"/>
                <w:lang w:val="sl-SI" w:eastAsia="en-GB"/>
              </w:rPr>
              <w:br/>
              <w:t xml:space="preserve">od 100 do </w:t>
            </w:r>
            <w:r w:rsidRPr="00F769E0">
              <w:rPr>
                <w:rFonts w:cs="Tahoma"/>
                <w:lang w:val="sl-SI" w:eastAsia="en-GB"/>
              </w:rPr>
              <w:br/>
              <w:t xml:space="preserve">1 999 km: </w:t>
            </w:r>
            <w:r w:rsidRPr="00F769E0">
              <w:rPr>
                <w:rFonts w:cs="Tahoma"/>
                <w:lang w:val="sl-SI" w:eastAsia="en-GB"/>
              </w:rPr>
              <w:br/>
            </w:r>
            <w:r w:rsidRPr="00F769E0">
              <w:rPr>
                <w:rFonts w:cs="Tahoma"/>
                <w:b/>
                <w:lang w:val="sl-SI" w:eastAsia="en-GB"/>
              </w:rPr>
              <w:t>575 EUR</w:t>
            </w:r>
            <w:r w:rsidRPr="00F769E0">
              <w:rPr>
                <w:rFonts w:cs="Tahoma"/>
                <w:lang w:val="sl-SI" w:eastAsia="en-GB"/>
              </w:rPr>
              <w:t xml:space="preserve"> na udeleženca </w:t>
            </w:r>
            <w:r w:rsidRPr="00F769E0">
              <w:rPr>
                <w:rFonts w:cs="Tahoma"/>
                <w:lang w:val="sl-SI" w:eastAsia="en-GB"/>
              </w:rPr>
              <w:br/>
              <w:t>na srečanje</w:t>
            </w:r>
          </w:p>
          <w:p w14:paraId="7D3991E8"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 xml:space="preserve">Za razdalje </w:t>
            </w:r>
            <w:r w:rsidRPr="00F769E0">
              <w:rPr>
                <w:rFonts w:cs="Tahoma"/>
                <w:lang w:val="sl-SI" w:eastAsia="en-GB"/>
              </w:rPr>
              <w:br/>
              <w:t xml:space="preserve">2 000 km ali več: </w:t>
            </w:r>
            <w:r w:rsidRPr="00F769E0">
              <w:rPr>
                <w:rFonts w:cs="Tahoma"/>
                <w:b/>
                <w:lang w:val="sl-SI" w:eastAsia="en-GB"/>
              </w:rPr>
              <w:t>760 EUR</w:t>
            </w:r>
            <w:r w:rsidRPr="00F769E0">
              <w:rPr>
                <w:rFonts w:cs="Tahoma"/>
                <w:lang w:val="sl-SI" w:eastAsia="en-GB"/>
              </w:rPr>
              <w:t xml:space="preserve"> na udeleženca na srečanje</w:t>
            </w:r>
          </w:p>
        </w:tc>
        <w:tc>
          <w:tcPr>
            <w:tcW w:w="952" w:type="dxa"/>
            <w:shd w:val="clear" w:color="auto" w:fill="auto"/>
            <w:vAlign w:val="center"/>
          </w:tcPr>
          <w:p w14:paraId="7D3991E9" w14:textId="77777777" w:rsidR="00E03711" w:rsidRPr="00F769E0" w:rsidRDefault="00E03711" w:rsidP="00425AE5">
            <w:pPr>
              <w:pStyle w:val="GUIDE-NORMAL"/>
              <w:spacing w:before="60" w:after="60"/>
              <w:jc w:val="left"/>
              <w:rPr>
                <w:rFonts w:cs="Tahoma"/>
                <w:lang w:val="sl-SI" w:eastAsia="en-GB"/>
              </w:rPr>
            </w:pPr>
          </w:p>
        </w:tc>
        <w:tc>
          <w:tcPr>
            <w:tcW w:w="1454" w:type="dxa"/>
            <w:shd w:val="clear" w:color="auto" w:fill="auto"/>
            <w:vAlign w:val="center"/>
          </w:tcPr>
          <w:p w14:paraId="7D3991EA"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Pogoj: prijavitelji morajo utemeljiti potrebo po srečanjih glede na število srečanj in vključene udeležence. Razdaljo je treba izračunati s kalkulatorjem razdalje, ki ga podpira Evropska komisija.</w:t>
            </w:r>
          </w:p>
        </w:tc>
      </w:tr>
      <w:tr w:rsidR="00E03711" w:rsidRPr="00C60205" w14:paraId="7D3991F3" w14:textId="77777777" w:rsidTr="009B18DC">
        <w:trPr>
          <w:trHeight w:val="20"/>
        </w:trPr>
        <w:tc>
          <w:tcPr>
            <w:tcW w:w="1017" w:type="dxa"/>
            <w:shd w:val="clear" w:color="auto" w:fill="auto"/>
            <w:vAlign w:val="center"/>
          </w:tcPr>
          <w:p w14:paraId="7D3991EC" w14:textId="77777777" w:rsidR="00E03711" w:rsidRPr="00F769E0" w:rsidRDefault="00E03711" w:rsidP="00425AE5">
            <w:pPr>
              <w:pStyle w:val="GUIDE-NORMAL"/>
              <w:spacing w:before="60" w:after="60"/>
              <w:jc w:val="left"/>
              <w:rPr>
                <w:rFonts w:cs="Tahoma"/>
                <w:b/>
                <w:lang w:val="sl-SI" w:eastAsia="en-GB"/>
              </w:rPr>
            </w:pPr>
            <w:r w:rsidRPr="00F769E0">
              <w:rPr>
                <w:rFonts w:cs="Tahoma"/>
                <w:b/>
                <w:lang w:val="sl-SI" w:eastAsia="en-GB"/>
              </w:rPr>
              <w:t>Izredni stroški</w:t>
            </w:r>
          </w:p>
        </w:tc>
        <w:tc>
          <w:tcPr>
            <w:tcW w:w="3094" w:type="dxa"/>
            <w:shd w:val="clear" w:color="auto" w:fill="auto"/>
            <w:vAlign w:val="center"/>
          </w:tcPr>
          <w:p w14:paraId="7D3991ED"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Prispevek za dejanske stroške, povezane z oddajo naročil podizvajalcem ali nakupom blaga in storitev.</w:t>
            </w:r>
          </w:p>
          <w:p w14:paraId="7D3991EE"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Stroški zagotavljanja finančnega jamstva, če ga zahteva nacionalna agencija.</w:t>
            </w:r>
          </w:p>
        </w:tc>
        <w:tc>
          <w:tcPr>
            <w:tcW w:w="1162" w:type="dxa"/>
            <w:shd w:val="clear" w:color="auto" w:fill="auto"/>
            <w:vAlign w:val="center"/>
          </w:tcPr>
          <w:p w14:paraId="7D3991EF"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Dejanski stroški</w:t>
            </w:r>
          </w:p>
        </w:tc>
        <w:tc>
          <w:tcPr>
            <w:tcW w:w="1385" w:type="dxa"/>
            <w:shd w:val="clear" w:color="auto" w:fill="auto"/>
            <w:vAlign w:val="center"/>
          </w:tcPr>
          <w:p w14:paraId="7D3991F0"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 xml:space="preserve">75 % upravičenih stroškov Največ </w:t>
            </w:r>
            <w:r w:rsidRPr="00F769E0">
              <w:rPr>
                <w:rFonts w:cs="Tahoma"/>
                <w:b/>
                <w:lang w:val="sl-SI" w:eastAsia="en-GB"/>
              </w:rPr>
              <w:t>50 000 EUR</w:t>
            </w:r>
            <w:r w:rsidRPr="00F769E0">
              <w:rPr>
                <w:rFonts w:cs="Tahoma"/>
                <w:lang w:val="sl-SI" w:eastAsia="en-GB"/>
              </w:rPr>
              <w:t xml:space="preserve"> </w:t>
            </w:r>
            <w:r w:rsidRPr="00F769E0">
              <w:rPr>
                <w:rFonts w:cs="Tahoma"/>
                <w:lang w:val="sl-SI" w:eastAsia="en-GB"/>
              </w:rPr>
              <w:br/>
              <w:t xml:space="preserve">na projekt </w:t>
            </w:r>
            <w:r w:rsidRPr="00F769E0">
              <w:rPr>
                <w:rFonts w:cs="Tahoma"/>
                <w:lang w:val="sl-SI" w:eastAsia="en-GB"/>
              </w:rPr>
              <w:br/>
              <w:t>(brez stroškov za zagotavljanje finančnega jamstva)</w:t>
            </w:r>
          </w:p>
        </w:tc>
        <w:tc>
          <w:tcPr>
            <w:tcW w:w="952" w:type="dxa"/>
            <w:shd w:val="clear" w:color="auto" w:fill="auto"/>
            <w:vAlign w:val="center"/>
          </w:tcPr>
          <w:p w14:paraId="7D3991F1" w14:textId="77777777" w:rsidR="00E03711" w:rsidRPr="00F769E0" w:rsidRDefault="00E03711" w:rsidP="00425AE5">
            <w:pPr>
              <w:pStyle w:val="GUIDE-NORMAL"/>
              <w:spacing w:before="60" w:after="60"/>
              <w:jc w:val="left"/>
              <w:rPr>
                <w:rFonts w:cs="Tahoma"/>
                <w:lang w:val="sl-SI" w:eastAsia="en-GB"/>
              </w:rPr>
            </w:pPr>
          </w:p>
        </w:tc>
        <w:tc>
          <w:tcPr>
            <w:tcW w:w="1454" w:type="dxa"/>
            <w:shd w:val="clear" w:color="auto" w:fill="auto"/>
            <w:vAlign w:val="center"/>
          </w:tcPr>
          <w:p w14:paraId="7D3991F2"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Pogoj: oddaja naročil podizvajalcem mora biti povezana s storitvami, ki jih sodelujoče organizacije iz utemeljenih razlogov ne morejo neposredno zagotoviti. V zvezi z opremo se ne more upoštevati standardna pisarniška oprema ali oprema, ki jo običajno uporabljajo sodelujoče organizacije.</w:t>
            </w:r>
          </w:p>
        </w:tc>
      </w:tr>
      <w:tr w:rsidR="00E03711" w:rsidRPr="00C60205" w14:paraId="7D3991FA" w14:textId="77777777" w:rsidTr="009B18DC">
        <w:trPr>
          <w:trHeight w:val="20"/>
        </w:trPr>
        <w:tc>
          <w:tcPr>
            <w:tcW w:w="1017" w:type="dxa"/>
            <w:shd w:val="clear" w:color="auto" w:fill="auto"/>
            <w:vAlign w:val="center"/>
          </w:tcPr>
          <w:p w14:paraId="7D3991F4" w14:textId="77777777" w:rsidR="00E03711" w:rsidRPr="00F769E0" w:rsidRDefault="00E03711" w:rsidP="00425AE5">
            <w:pPr>
              <w:pStyle w:val="GUIDE-NORMAL"/>
              <w:spacing w:before="60" w:after="60"/>
              <w:jc w:val="left"/>
              <w:rPr>
                <w:rFonts w:cs="Tahoma"/>
                <w:b/>
                <w:lang w:val="sl-SI" w:eastAsia="en-GB"/>
              </w:rPr>
            </w:pPr>
            <w:r w:rsidRPr="00F769E0">
              <w:rPr>
                <w:rFonts w:cs="Tahoma"/>
                <w:b/>
                <w:lang w:val="sl-SI" w:eastAsia="en-GB"/>
              </w:rPr>
              <w:t>Podpora za posebne potrebe</w:t>
            </w:r>
          </w:p>
        </w:tc>
        <w:tc>
          <w:tcPr>
            <w:tcW w:w="3094" w:type="dxa"/>
            <w:shd w:val="clear" w:color="auto" w:fill="auto"/>
            <w:vAlign w:val="center"/>
          </w:tcPr>
          <w:p w14:paraId="7D3991F5"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Dodatni stroški, neposredno povezani z udeleženci s posebnimi potrebami</w:t>
            </w:r>
            <w:r w:rsidRPr="00F769E0">
              <w:rPr>
                <w:rStyle w:val="FootnoteReference"/>
                <w:rFonts w:cs="Tahoma"/>
                <w:lang w:val="sl-SI" w:eastAsia="en-GB"/>
              </w:rPr>
              <w:footnoteReference w:id="101"/>
            </w:r>
            <w:r w:rsidRPr="00F769E0">
              <w:rPr>
                <w:rFonts w:cs="Tahoma"/>
                <w:lang w:val="sl-SI" w:eastAsia="en-GB"/>
              </w:rPr>
              <w:t>.</w:t>
            </w:r>
          </w:p>
        </w:tc>
        <w:tc>
          <w:tcPr>
            <w:tcW w:w="1162" w:type="dxa"/>
            <w:shd w:val="clear" w:color="auto" w:fill="auto"/>
            <w:vAlign w:val="center"/>
          </w:tcPr>
          <w:p w14:paraId="7D3991F6"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Dejanski stroški</w:t>
            </w:r>
          </w:p>
        </w:tc>
        <w:tc>
          <w:tcPr>
            <w:tcW w:w="1385" w:type="dxa"/>
            <w:shd w:val="clear" w:color="auto" w:fill="auto"/>
            <w:vAlign w:val="center"/>
          </w:tcPr>
          <w:p w14:paraId="7D3991F7"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100 % upravičenih stroškov.</w:t>
            </w:r>
          </w:p>
        </w:tc>
        <w:tc>
          <w:tcPr>
            <w:tcW w:w="952" w:type="dxa"/>
            <w:shd w:val="clear" w:color="auto" w:fill="auto"/>
            <w:vAlign w:val="center"/>
          </w:tcPr>
          <w:p w14:paraId="7D3991F8" w14:textId="77777777" w:rsidR="00E03711" w:rsidRPr="00F769E0" w:rsidRDefault="00E03711" w:rsidP="00425AE5">
            <w:pPr>
              <w:pStyle w:val="GUIDE-NORMAL"/>
              <w:spacing w:before="60" w:after="60"/>
              <w:jc w:val="left"/>
              <w:rPr>
                <w:rFonts w:cs="Tahoma"/>
                <w:lang w:val="sl-SI" w:eastAsia="en-GB"/>
              </w:rPr>
            </w:pPr>
          </w:p>
        </w:tc>
        <w:tc>
          <w:tcPr>
            <w:tcW w:w="1454" w:type="dxa"/>
            <w:shd w:val="clear" w:color="auto" w:fill="auto"/>
            <w:vAlign w:val="center"/>
          </w:tcPr>
          <w:p w14:paraId="7D3991F9" w14:textId="77777777" w:rsidR="00E03711" w:rsidRPr="00F769E0" w:rsidRDefault="00E03711" w:rsidP="00425AE5">
            <w:pPr>
              <w:pStyle w:val="GUIDE-NORMAL"/>
              <w:spacing w:before="60" w:after="60"/>
              <w:jc w:val="left"/>
              <w:rPr>
                <w:rFonts w:cs="Tahoma"/>
                <w:lang w:val="sl-SI" w:eastAsia="en-GB"/>
              </w:rPr>
            </w:pPr>
            <w:r w:rsidRPr="00F769E0">
              <w:rPr>
                <w:rFonts w:cs="Tahoma"/>
                <w:lang w:val="sl-SI" w:eastAsia="en-GB"/>
              </w:rPr>
              <w:t>Pogoj: zahtevek za te stroške mora biti utemeljen v prijavnem obrazcu.</w:t>
            </w:r>
          </w:p>
        </w:tc>
      </w:tr>
    </w:tbl>
    <w:p w14:paraId="7D3991FB" w14:textId="77777777" w:rsidR="00E03711" w:rsidRPr="001048FE" w:rsidRDefault="00E03711" w:rsidP="00D53824">
      <w:pPr>
        <w:pStyle w:val="Guide-Table"/>
        <w:jc w:val="left"/>
        <w:rPr>
          <w:lang w:val="sl-SI"/>
        </w:rPr>
      </w:pPr>
    </w:p>
    <w:tbl>
      <w:tblPr>
        <w:tblW w:w="5000" w:type="pct"/>
        <w:tblLayout w:type="fixed"/>
        <w:tblLook w:val="0000" w:firstRow="0" w:lastRow="0" w:firstColumn="0" w:lastColumn="0" w:noHBand="0" w:noVBand="0"/>
      </w:tblPr>
      <w:tblGrid>
        <w:gridCol w:w="1638"/>
        <w:gridCol w:w="5040"/>
        <w:gridCol w:w="1890"/>
        <w:gridCol w:w="2014"/>
        <w:gridCol w:w="983"/>
        <w:gridCol w:w="3223"/>
      </w:tblGrid>
      <w:tr w:rsidR="00E03711" w:rsidRPr="00C60205" w14:paraId="7D3991FD" w14:textId="77777777" w:rsidTr="00D53824">
        <w:trPr>
          <w:trHeight w:val="20"/>
        </w:trPr>
        <w:tc>
          <w:tcPr>
            <w:tcW w:w="14788" w:type="dxa"/>
            <w:gridSpan w:val="6"/>
            <w:tcBorders>
              <w:top w:val="single" w:sz="4" w:space="0" w:color="000000"/>
              <w:left w:val="single" w:sz="4" w:space="0" w:color="000000"/>
              <w:bottom w:val="single" w:sz="4" w:space="0" w:color="000000"/>
              <w:right w:val="single" w:sz="4" w:space="0" w:color="000000"/>
            </w:tcBorders>
          </w:tcPr>
          <w:p w14:paraId="7D3991FC" w14:textId="77777777" w:rsidR="00E03711" w:rsidRPr="00F769E0" w:rsidRDefault="00E03711" w:rsidP="001B314A">
            <w:pPr>
              <w:pStyle w:val="GUIDE-NORMAL"/>
              <w:spacing w:before="60" w:after="60"/>
              <w:jc w:val="center"/>
              <w:rPr>
                <w:rFonts w:cs="Tahoma"/>
                <w:b/>
                <w:lang w:val="sl-SI" w:eastAsia="en-GB"/>
              </w:rPr>
            </w:pPr>
            <w:r w:rsidRPr="00F769E0">
              <w:rPr>
                <w:rFonts w:cs="Tahoma"/>
                <w:b/>
                <w:lang w:val="sl-SI" w:eastAsia="en-GB"/>
              </w:rPr>
              <w:t>Dodatna sredstva za strateška partnerstva za inovacije na področju izobraževanja, usposabljanja in mladine</w:t>
            </w:r>
          </w:p>
        </w:tc>
      </w:tr>
      <w:tr w:rsidR="00E03711" w:rsidRPr="00C60205" w14:paraId="7D399204" w14:textId="77777777" w:rsidTr="00EF0568">
        <w:trPr>
          <w:trHeight w:val="1081"/>
        </w:trPr>
        <w:tc>
          <w:tcPr>
            <w:tcW w:w="1638" w:type="dxa"/>
            <w:vMerge w:val="restart"/>
            <w:tcBorders>
              <w:top w:val="single" w:sz="4" w:space="0" w:color="000000"/>
              <w:left w:val="single" w:sz="4" w:space="0" w:color="000000"/>
              <w:right w:val="single" w:sz="4" w:space="0" w:color="000000"/>
            </w:tcBorders>
            <w:vAlign w:val="center"/>
          </w:tcPr>
          <w:p w14:paraId="7D3991FE" w14:textId="77777777" w:rsidR="00E03711" w:rsidRPr="00F769E0" w:rsidRDefault="00E03711" w:rsidP="001B314A">
            <w:pPr>
              <w:pStyle w:val="GUIDE-NORMAL"/>
              <w:spacing w:before="60" w:after="60"/>
              <w:jc w:val="left"/>
              <w:rPr>
                <w:rFonts w:cs="Tahoma"/>
                <w:b/>
                <w:lang w:val="sl-SI" w:eastAsia="en-GB"/>
              </w:rPr>
            </w:pPr>
            <w:r w:rsidRPr="00F769E0">
              <w:rPr>
                <w:rFonts w:cs="Tahoma"/>
                <w:b/>
                <w:lang w:val="sl-SI" w:eastAsia="en-GB"/>
              </w:rPr>
              <w:t>Intelektualni rezultati</w:t>
            </w:r>
          </w:p>
        </w:tc>
        <w:tc>
          <w:tcPr>
            <w:tcW w:w="5040" w:type="dxa"/>
            <w:vMerge w:val="restart"/>
            <w:tcBorders>
              <w:top w:val="single" w:sz="4" w:space="0" w:color="000000"/>
              <w:left w:val="single" w:sz="4" w:space="0" w:color="000000"/>
              <w:right w:val="single" w:sz="4" w:space="0" w:color="000000"/>
            </w:tcBorders>
            <w:vAlign w:val="center"/>
          </w:tcPr>
          <w:p w14:paraId="7D3991FF" w14:textId="77777777" w:rsidR="00E03711" w:rsidRPr="00F769E0" w:rsidRDefault="00E03711" w:rsidP="001B314A">
            <w:pPr>
              <w:pStyle w:val="GUIDE-NORMAL"/>
              <w:spacing w:before="60" w:after="60"/>
              <w:jc w:val="left"/>
              <w:rPr>
                <w:rFonts w:cs="Tahoma"/>
                <w:lang w:val="sl-SI" w:eastAsia="en-GB"/>
              </w:rPr>
            </w:pPr>
            <w:r w:rsidRPr="00F769E0">
              <w:rPr>
                <w:rFonts w:cs="Tahoma"/>
                <w:lang w:val="sl-SI" w:eastAsia="en-GB"/>
              </w:rPr>
              <w:t>Intelektualni rezultati/konkretni izdelki projekta (npr. učni načrti, pedagoško gradivo in gradivo za mladinsko delo, prosto dostopni učni viri (PDUV), orodja IT, analize, študije, metode vzajemnega učenja itd.).</w:t>
            </w:r>
          </w:p>
        </w:tc>
        <w:tc>
          <w:tcPr>
            <w:tcW w:w="1890" w:type="dxa"/>
            <w:vMerge w:val="restart"/>
            <w:tcBorders>
              <w:top w:val="single" w:sz="4" w:space="0" w:color="000000"/>
              <w:left w:val="single" w:sz="4" w:space="0" w:color="000000"/>
              <w:right w:val="single" w:sz="4" w:space="0" w:color="000000"/>
            </w:tcBorders>
            <w:vAlign w:val="center"/>
          </w:tcPr>
          <w:p w14:paraId="7D399200" w14:textId="77777777" w:rsidR="00E03711" w:rsidRPr="00F769E0" w:rsidRDefault="00E03711" w:rsidP="001B314A">
            <w:pPr>
              <w:pStyle w:val="GUIDE-NORMAL"/>
              <w:spacing w:before="60" w:after="60"/>
              <w:jc w:val="left"/>
              <w:rPr>
                <w:rFonts w:cs="Tahoma"/>
                <w:lang w:val="sl-SI" w:eastAsia="en-GB"/>
              </w:rPr>
            </w:pPr>
            <w:r w:rsidRPr="00F769E0">
              <w:rPr>
                <w:rFonts w:cs="Tahoma"/>
                <w:lang w:val="sl-SI" w:eastAsia="en-GB"/>
              </w:rPr>
              <w:t>Prispevek za stroške na enoto</w:t>
            </w:r>
          </w:p>
        </w:tc>
        <w:tc>
          <w:tcPr>
            <w:tcW w:w="2997" w:type="dxa"/>
            <w:gridSpan w:val="2"/>
            <w:tcBorders>
              <w:top w:val="single" w:sz="4" w:space="0" w:color="000000"/>
              <w:left w:val="single" w:sz="4" w:space="0" w:color="000000"/>
              <w:bottom w:val="single" w:sz="4" w:space="0" w:color="000000"/>
              <w:right w:val="single" w:sz="4" w:space="0" w:color="000000"/>
            </w:tcBorders>
            <w:vAlign w:val="center"/>
          </w:tcPr>
          <w:p w14:paraId="7D399201" w14:textId="77777777" w:rsidR="00E03711" w:rsidRPr="00F769E0" w:rsidRDefault="00E03711" w:rsidP="000B7184">
            <w:pPr>
              <w:pStyle w:val="GUIDE-NORMAL"/>
              <w:spacing w:before="60" w:after="60"/>
              <w:jc w:val="left"/>
              <w:rPr>
                <w:rFonts w:cs="Tahoma"/>
                <w:lang w:val="sl-SI" w:eastAsia="en-GB"/>
              </w:rPr>
            </w:pPr>
            <w:r w:rsidRPr="00F769E0">
              <w:rPr>
                <w:rFonts w:cs="Tahoma"/>
                <w:lang w:val="sl-SI" w:eastAsia="en-GB"/>
              </w:rPr>
              <w:t>B1.1 na vključenega menedžerja na dan dela na projektu</w:t>
            </w:r>
          </w:p>
        </w:tc>
        <w:tc>
          <w:tcPr>
            <w:tcW w:w="3223" w:type="dxa"/>
            <w:vMerge w:val="restart"/>
            <w:tcBorders>
              <w:top w:val="single" w:sz="4" w:space="0" w:color="000000"/>
              <w:left w:val="single" w:sz="4" w:space="0" w:color="000000"/>
              <w:right w:val="single" w:sz="4" w:space="0" w:color="000000"/>
            </w:tcBorders>
            <w:vAlign w:val="center"/>
          </w:tcPr>
          <w:p w14:paraId="7D399202" w14:textId="77777777" w:rsidR="00E03711" w:rsidRPr="00F769E0" w:rsidRDefault="00E03711" w:rsidP="000B7184">
            <w:pPr>
              <w:pStyle w:val="GUIDE-NORMAL"/>
              <w:spacing w:before="60" w:after="60"/>
              <w:jc w:val="left"/>
              <w:rPr>
                <w:rFonts w:cs="Tahoma"/>
                <w:lang w:val="sl-SI" w:eastAsia="en-GB"/>
              </w:rPr>
            </w:pPr>
            <w:r w:rsidRPr="00F769E0">
              <w:rPr>
                <w:rFonts w:cs="Tahoma"/>
                <w:lang w:val="sl-SI" w:eastAsia="en-GB"/>
              </w:rPr>
              <w:t>Pogoj: stroški osebja za menedžerje in administrativno osebje naj bi bili kriti že v okviru postavke „Vodenje in izvajanje projekta“. Za preprečevanje morebitnega prekrivanja s tako postavko bodo morali prijavitelji utemeljiti vrsto in znesek stroškov osebja, za katere bodo oddali vlogo v zvezi z vsakim posameznim predlaganim rezultatom.</w:t>
            </w:r>
          </w:p>
          <w:p w14:paraId="7D399203" w14:textId="77777777" w:rsidR="00E03711" w:rsidRPr="00F769E0" w:rsidRDefault="00E03711" w:rsidP="000B7184">
            <w:pPr>
              <w:pStyle w:val="GUIDE-NORMAL"/>
              <w:spacing w:before="60" w:after="60"/>
              <w:jc w:val="left"/>
              <w:rPr>
                <w:rFonts w:cs="Tahoma"/>
                <w:lang w:val="sl-SI" w:eastAsia="en-GB"/>
              </w:rPr>
            </w:pPr>
            <w:r w:rsidRPr="00F769E0">
              <w:rPr>
                <w:rFonts w:cs="Tahoma"/>
                <w:lang w:val="sl-SI" w:eastAsia="en-GB"/>
              </w:rPr>
              <w:t>Za upravičenost do te vrste podpore z nepovratnimi sredstvi bi morali biti kakovost in količina rezultato v precejšnji. Rezultati bi morali dokazovati svoj potencial za širšo uporabo in izkoriščanje ter učinek.</w:t>
            </w:r>
          </w:p>
        </w:tc>
      </w:tr>
      <w:tr w:rsidR="00E03711" w:rsidRPr="00C60205" w14:paraId="7D39920A" w14:textId="77777777" w:rsidTr="00EF0568">
        <w:trPr>
          <w:trHeight w:val="1081"/>
        </w:trPr>
        <w:tc>
          <w:tcPr>
            <w:tcW w:w="1638" w:type="dxa"/>
            <w:vMerge/>
            <w:tcBorders>
              <w:left w:val="single" w:sz="4" w:space="0" w:color="000000"/>
              <w:right w:val="single" w:sz="4" w:space="0" w:color="000000"/>
            </w:tcBorders>
            <w:vAlign w:val="center"/>
          </w:tcPr>
          <w:p w14:paraId="7D399205" w14:textId="77777777" w:rsidR="00E03711" w:rsidRPr="00F769E0" w:rsidRDefault="00E03711" w:rsidP="001B314A">
            <w:pPr>
              <w:pStyle w:val="GUIDE-NORMAL"/>
              <w:jc w:val="left"/>
              <w:rPr>
                <w:rFonts w:cs="Tahoma"/>
                <w:lang w:val="sl-SI" w:eastAsia="en-GB"/>
              </w:rPr>
            </w:pPr>
          </w:p>
        </w:tc>
        <w:tc>
          <w:tcPr>
            <w:tcW w:w="5040" w:type="dxa"/>
            <w:vMerge/>
            <w:tcBorders>
              <w:left w:val="single" w:sz="4" w:space="0" w:color="000000"/>
              <w:right w:val="single" w:sz="4" w:space="0" w:color="000000"/>
            </w:tcBorders>
            <w:vAlign w:val="center"/>
          </w:tcPr>
          <w:p w14:paraId="7D399206" w14:textId="77777777" w:rsidR="00E03711" w:rsidRPr="00F769E0" w:rsidRDefault="00E03711" w:rsidP="001B314A">
            <w:pPr>
              <w:pStyle w:val="GUIDE-NORMAL"/>
              <w:jc w:val="left"/>
              <w:rPr>
                <w:rFonts w:cs="Tahoma"/>
                <w:lang w:val="sl-SI" w:eastAsia="en-GB"/>
              </w:rPr>
            </w:pPr>
          </w:p>
        </w:tc>
        <w:tc>
          <w:tcPr>
            <w:tcW w:w="1890" w:type="dxa"/>
            <w:vMerge/>
            <w:tcBorders>
              <w:left w:val="single" w:sz="4" w:space="0" w:color="000000"/>
              <w:right w:val="single" w:sz="4" w:space="0" w:color="000000"/>
            </w:tcBorders>
            <w:vAlign w:val="center"/>
          </w:tcPr>
          <w:p w14:paraId="7D399207" w14:textId="77777777" w:rsidR="00E03711" w:rsidRPr="00F769E0" w:rsidRDefault="00E03711" w:rsidP="001B314A">
            <w:pPr>
              <w:pStyle w:val="GUIDE-NORMAL"/>
              <w:jc w:val="left"/>
              <w:rPr>
                <w:rFonts w:cs="Tahoma"/>
                <w:lang w:val="sl-SI" w:eastAsia="en-GB"/>
              </w:rPr>
            </w:pPr>
          </w:p>
        </w:tc>
        <w:tc>
          <w:tcPr>
            <w:tcW w:w="2997" w:type="dxa"/>
            <w:gridSpan w:val="2"/>
            <w:tcBorders>
              <w:top w:val="single" w:sz="4" w:space="0" w:color="000000"/>
              <w:left w:val="single" w:sz="4" w:space="0" w:color="000000"/>
              <w:bottom w:val="single" w:sz="4" w:space="0" w:color="000000"/>
              <w:right w:val="single" w:sz="4" w:space="0" w:color="000000"/>
            </w:tcBorders>
            <w:vAlign w:val="center"/>
          </w:tcPr>
          <w:p w14:paraId="7D399208" w14:textId="77777777" w:rsidR="00E03711" w:rsidRPr="00F769E0" w:rsidRDefault="00E03711" w:rsidP="000B7184">
            <w:pPr>
              <w:pStyle w:val="GUIDE-NORMAL"/>
              <w:spacing w:before="60" w:after="60"/>
              <w:jc w:val="left"/>
              <w:rPr>
                <w:rFonts w:cs="Tahoma"/>
                <w:lang w:val="sl-SI" w:eastAsia="en-GB"/>
              </w:rPr>
            </w:pPr>
            <w:r w:rsidRPr="00F769E0">
              <w:rPr>
                <w:rFonts w:cs="Tahoma"/>
                <w:lang w:val="sl-SI" w:eastAsia="en-GB"/>
              </w:rPr>
              <w:t>B1.2 na vključenega raziskovalca/učitelja/vodjo usposabljanja/mladinskega delavca na dan dela na projektu</w:t>
            </w:r>
          </w:p>
        </w:tc>
        <w:tc>
          <w:tcPr>
            <w:tcW w:w="3223" w:type="dxa"/>
            <w:vMerge/>
            <w:tcBorders>
              <w:left w:val="single" w:sz="4" w:space="0" w:color="000000"/>
              <w:right w:val="single" w:sz="4" w:space="0" w:color="000000"/>
            </w:tcBorders>
            <w:vAlign w:val="center"/>
          </w:tcPr>
          <w:p w14:paraId="7D399209" w14:textId="77777777" w:rsidR="00E03711" w:rsidRPr="00237696" w:rsidRDefault="00E03711" w:rsidP="0083608F">
            <w:pPr>
              <w:pStyle w:val="Guide-Table"/>
              <w:spacing w:before="60" w:after="60"/>
              <w:jc w:val="left"/>
              <w:rPr>
                <w:rFonts w:ascii="Times New Roman" w:hAnsi="Times New Roman"/>
                <w:sz w:val="2"/>
                <w:szCs w:val="2"/>
                <w:lang w:val="sl-SI" w:eastAsia="en-GB"/>
              </w:rPr>
            </w:pPr>
          </w:p>
        </w:tc>
      </w:tr>
      <w:tr w:rsidR="00E03711" w:rsidRPr="00C60205" w14:paraId="7D399210" w14:textId="77777777" w:rsidTr="00EF0568">
        <w:trPr>
          <w:trHeight w:val="1081"/>
        </w:trPr>
        <w:tc>
          <w:tcPr>
            <w:tcW w:w="1638" w:type="dxa"/>
            <w:vMerge/>
            <w:tcBorders>
              <w:left w:val="single" w:sz="4" w:space="0" w:color="000000"/>
              <w:right w:val="single" w:sz="4" w:space="0" w:color="000000"/>
            </w:tcBorders>
            <w:vAlign w:val="center"/>
          </w:tcPr>
          <w:p w14:paraId="7D39920B" w14:textId="77777777" w:rsidR="00E03711" w:rsidRPr="00F769E0" w:rsidRDefault="00E03711" w:rsidP="001B314A">
            <w:pPr>
              <w:pStyle w:val="GUIDE-NORMAL"/>
              <w:jc w:val="left"/>
              <w:rPr>
                <w:rFonts w:cs="Tahoma"/>
                <w:lang w:val="sl-SI" w:eastAsia="en-GB"/>
              </w:rPr>
            </w:pPr>
          </w:p>
        </w:tc>
        <w:tc>
          <w:tcPr>
            <w:tcW w:w="5040" w:type="dxa"/>
            <w:vMerge/>
            <w:tcBorders>
              <w:left w:val="single" w:sz="4" w:space="0" w:color="000000"/>
              <w:right w:val="single" w:sz="4" w:space="0" w:color="000000"/>
            </w:tcBorders>
            <w:vAlign w:val="center"/>
          </w:tcPr>
          <w:p w14:paraId="7D39920C" w14:textId="77777777" w:rsidR="00E03711" w:rsidRPr="00F769E0" w:rsidRDefault="00E03711" w:rsidP="001B314A">
            <w:pPr>
              <w:pStyle w:val="GUIDE-NORMAL"/>
              <w:jc w:val="left"/>
              <w:rPr>
                <w:rFonts w:cs="Tahoma"/>
                <w:lang w:val="sl-SI" w:eastAsia="en-GB"/>
              </w:rPr>
            </w:pPr>
          </w:p>
        </w:tc>
        <w:tc>
          <w:tcPr>
            <w:tcW w:w="1890" w:type="dxa"/>
            <w:vMerge/>
            <w:tcBorders>
              <w:left w:val="single" w:sz="4" w:space="0" w:color="000000"/>
              <w:right w:val="single" w:sz="4" w:space="0" w:color="000000"/>
            </w:tcBorders>
            <w:vAlign w:val="center"/>
          </w:tcPr>
          <w:p w14:paraId="7D39920D" w14:textId="77777777" w:rsidR="00E03711" w:rsidRPr="00F769E0" w:rsidRDefault="00E03711" w:rsidP="001B314A">
            <w:pPr>
              <w:pStyle w:val="GUIDE-NORMAL"/>
              <w:jc w:val="left"/>
              <w:rPr>
                <w:rFonts w:cs="Tahoma"/>
                <w:lang w:val="sl-SI" w:eastAsia="en-GB"/>
              </w:rPr>
            </w:pPr>
          </w:p>
        </w:tc>
        <w:tc>
          <w:tcPr>
            <w:tcW w:w="2997" w:type="dxa"/>
            <w:gridSpan w:val="2"/>
            <w:tcBorders>
              <w:top w:val="single" w:sz="4" w:space="0" w:color="000000"/>
              <w:left w:val="single" w:sz="4" w:space="0" w:color="000000"/>
              <w:bottom w:val="single" w:sz="4" w:space="0" w:color="000000"/>
              <w:right w:val="single" w:sz="4" w:space="0" w:color="000000"/>
            </w:tcBorders>
            <w:vAlign w:val="center"/>
          </w:tcPr>
          <w:p w14:paraId="7D39920E" w14:textId="77777777" w:rsidR="00E03711" w:rsidRPr="00F769E0" w:rsidRDefault="00E03711" w:rsidP="000B7184">
            <w:pPr>
              <w:pStyle w:val="GUIDE-NORMAL"/>
              <w:spacing w:before="60" w:after="60"/>
              <w:jc w:val="left"/>
              <w:rPr>
                <w:rFonts w:cs="Tahoma"/>
                <w:lang w:val="sl-SI" w:eastAsia="en-GB"/>
              </w:rPr>
            </w:pPr>
            <w:r w:rsidRPr="00F769E0">
              <w:rPr>
                <w:rFonts w:cs="Tahoma"/>
                <w:lang w:val="sl-SI" w:eastAsia="en-GB"/>
              </w:rPr>
              <w:t>B1.3 na vključeno tehnično osebje na dan dela na projektu</w:t>
            </w:r>
          </w:p>
        </w:tc>
        <w:tc>
          <w:tcPr>
            <w:tcW w:w="3223" w:type="dxa"/>
            <w:vMerge/>
            <w:tcBorders>
              <w:left w:val="single" w:sz="4" w:space="0" w:color="000000"/>
              <w:right w:val="single" w:sz="4" w:space="0" w:color="000000"/>
            </w:tcBorders>
            <w:vAlign w:val="center"/>
          </w:tcPr>
          <w:p w14:paraId="7D39920F" w14:textId="77777777" w:rsidR="00E03711" w:rsidRPr="00237696" w:rsidRDefault="00E03711" w:rsidP="0083608F">
            <w:pPr>
              <w:pStyle w:val="Guide-Table"/>
              <w:spacing w:before="60" w:after="60"/>
              <w:jc w:val="left"/>
              <w:rPr>
                <w:rFonts w:ascii="Times New Roman" w:hAnsi="Times New Roman"/>
                <w:sz w:val="2"/>
                <w:szCs w:val="2"/>
                <w:lang w:val="sl-SI" w:eastAsia="en-GB"/>
              </w:rPr>
            </w:pPr>
          </w:p>
        </w:tc>
      </w:tr>
      <w:tr w:rsidR="00E03711" w:rsidRPr="00C60205" w14:paraId="7D399216" w14:textId="77777777" w:rsidTr="00EF0568">
        <w:trPr>
          <w:trHeight w:val="1082"/>
        </w:trPr>
        <w:tc>
          <w:tcPr>
            <w:tcW w:w="1638" w:type="dxa"/>
            <w:vMerge/>
            <w:tcBorders>
              <w:left w:val="single" w:sz="4" w:space="0" w:color="000000"/>
              <w:bottom w:val="single" w:sz="4" w:space="0" w:color="000000"/>
              <w:right w:val="single" w:sz="4" w:space="0" w:color="000000"/>
            </w:tcBorders>
            <w:vAlign w:val="center"/>
          </w:tcPr>
          <w:p w14:paraId="7D399211" w14:textId="77777777" w:rsidR="00E03711" w:rsidRPr="00F769E0" w:rsidRDefault="00E03711" w:rsidP="001B314A">
            <w:pPr>
              <w:pStyle w:val="GUIDE-NORMAL"/>
              <w:jc w:val="left"/>
              <w:rPr>
                <w:rFonts w:cs="Tahoma"/>
                <w:lang w:val="sl-SI" w:eastAsia="en-GB"/>
              </w:rPr>
            </w:pPr>
          </w:p>
        </w:tc>
        <w:tc>
          <w:tcPr>
            <w:tcW w:w="5040" w:type="dxa"/>
            <w:vMerge/>
            <w:tcBorders>
              <w:left w:val="single" w:sz="4" w:space="0" w:color="000000"/>
              <w:bottom w:val="single" w:sz="4" w:space="0" w:color="000000"/>
              <w:right w:val="single" w:sz="4" w:space="0" w:color="000000"/>
            </w:tcBorders>
            <w:vAlign w:val="center"/>
          </w:tcPr>
          <w:p w14:paraId="7D399212" w14:textId="77777777" w:rsidR="00E03711" w:rsidRPr="00F769E0" w:rsidRDefault="00E03711" w:rsidP="001B314A">
            <w:pPr>
              <w:pStyle w:val="GUIDE-NORMAL"/>
              <w:jc w:val="left"/>
              <w:rPr>
                <w:rFonts w:cs="Tahoma"/>
                <w:lang w:val="sl-SI" w:eastAsia="en-GB"/>
              </w:rPr>
            </w:pPr>
          </w:p>
        </w:tc>
        <w:tc>
          <w:tcPr>
            <w:tcW w:w="1890" w:type="dxa"/>
            <w:vMerge/>
            <w:tcBorders>
              <w:left w:val="single" w:sz="4" w:space="0" w:color="000000"/>
              <w:bottom w:val="single" w:sz="4" w:space="0" w:color="000000"/>
              <w:right w:val="single" w:sz="4" w:space="0" w:color="000000"/>
            </w:tcBorders>
            <w:vAlign w:val="center"/>
          </w:tcPr>
          <w:p w14:paraId="7D399213" w14:textId="77777777" w:rsidR="00E03711" w:rsidRPr="00F769E0" w:rsidRDefault="00E03711" w:rsidP="001B314A">
            <w:pPr>
              <w:pStyle w:val="GUIDE-NORMAL"/>
              <w:jc w:val="left"/>
              <w:rPr>
                <w:rFonts w:cs="Tahoma"/>
                <w:lang w:val="sl-SI" w:eastAsia="en-GB"/>
              </w:rPr>
            </w:pPr>
          </w:p>
        </w:tc>
        <w:tc>
          <w:tcPr>
            <w:tcW w:w="2997" w:type="dxa"/>
            <w:gridSpan w:val="2"/>
            <w:tcBorders>
              <w:top w:val="single" w:sz="4" w:space="0" w:color="000000"/>
              <w:left w:val="single" w:sz="4" w:space="0" w:color="000000"/>
              <w:bottom w:val="single" w:sz="4" w:space="0" w:color="000000"/>
              <w:right w:val="single" w:sz="4" w:space="0" w:color="000000"/>
            </w:tcBorders>
            <w:vAlign w:val="center"/>
          </w:tcPr>
          <w:p w14:paraId="7D399214" w14:textId="77777777" w:rsidR="00E03711" w:rsidRPr="00F769E0" w:rsidRDefault="00E03711" w:rsidP="000B7184">
            <w:pPr>
              <w:pStyle w:val="GUIDE-NORMAL"/>
              <w:spacing w:before="60" w:after="60"/>
              <w:jc w:val="left"/>
              <w:rPr>
                <w:rFonts w:cs="Tahoma"/>
                <w:lang w:val="sl-SI" w:eastAsia="en-GB"/>
              </w:rPr>
            </w:pPr>
            <w:r w:rsidRPr="00F769E0">
              <w:rPr>
                <w:rFonts w:cs="Tahoma"/>
                <w:lang w:val="sl-SI" w:eastAsia="en-GB"/>
              </w:rPr>
              <w:t>B1.4 na vključeno administrativno osebje na dan dela na projektu</w:t>
            </w:r>
          </w:p>
        </w:tc>
        <w:tc>
          <w:tcPr>
            <w:tcW w:w="3223" w:type="dxa"/>
            <w:vMerge/>
            <w:tcBorders>
              <w:left w:val="single" w:sz="4" w:space="0" w:color="000000"/>
              <w:bottom w:val="single" w:sz="4" w:space="0" w:color="000000"/>
              <w:right w:val="single" w:sz="4" w:space="0" w:color="000000"/>
            </w:tcBorders>
            <w:vAlign w:val="center"/>
          </w:tcPr>
          <w:p w14:paraId="7D399215" w14:textId="77777777" w:rsidR="00E03711" w:rsidRPr="00F769E0" w:rsidRDefault="00E03711" w:rsidP="0083608F">
            <w:pPr>
              <w:pStyle w:val="Guide-Table"/>
              <w:spacing w:before="60" w:after="60"/>
              <w:jc w:val="left"/>
              <w:rPr>
                <w:rFonts w:cs="Tahoma"/>
                <w:lang w:val="sl-SI" w:eastAsia="en-GB"/>
              </w:rPr>
            </w:pPr>
          </w:p>
        </w:tc>
      </w:tr>
      <w:tr w:rsidR="00E03711" w:rsidRPr="00C60205" w14:paraId="7D39921E" w14:textId="77777777" w:rsidTr="00EF0568">
        <w:trPr>
          <w:trHeight w:val="20"/>
        </w:trPr>
        <w:tc>
          <w:tcPr>
            <w:tcW w:w="1638" w:type="dxa"/>
            <w:vMerge w:val="restart"/>
            <w:tcBorders>
              <w:top w:val="single" w:sz="4" w:space="0" w:color="000000"/>
              <w:left w:val="single" w:sz="4" w:space="0" w:color="000000"/>
              <w:bottom w:val="single" w:sz="4" w:space="0" w:color="000000"/>
              <w:right w:val="single" w:sz="4" w:space="0" w:color="000000"/>
            </w:tcBorders>
            <w:vAlign w:val="center"/>
          </w:tcPr>
          <w:p w14:paraId="7D399217" w14:textId="77777777" w:rsidR="00E03711" w:rsidRPr="00F769E0" w:rsidRDefault="00E03711" w:rsidP="001B314A">
            <w:pPr>
              <w:pStyle w:val="GUIDE-NORMAL"/>
              <w:spacing w:before="60" w:after="60"/>
              <w:jc w:val="left"/>
              <w:rPr>
                <w:rFonts w:cs="Tahoma"/>
                <w:b/>
                <w:lang w:val="sl-SI" w:eastAsia="en-GB"/>
              </w:rPr>
            </w:pPr>
            <w:r w:rsidRPr="00F769E0">
              <w:rPr>
                <w:rFonts w:cs="Tahoma"/>
                <w:b/>
                <w:lang w:val="sl-SI" w:eastAsia="en-GB"/>
              </w:rPr>
              <w:t>Multiplikativni dogodki</w:t>
            </w:r>
          </w:p>
        </w:tc>
        <w:tc>
          <w:tcPr>
            <w:tcW w:w="5040" w:type="dxa"/>
            <w:vMerge w:val="restart"/>
            <w:tcBorders>
              <w:top w:val="single" w:sz="4" w:space="0" w:color="000000"/>
              <w:left w:val="single" w:sz="4" w:space="0" w:color="000000"/>
              <w:bottom w:val="single" w:sz="4" w:space="0" w:color="000000"/>
              <w:right w:val="single" w:sz="4" w:space="0" w:color="000000"/>
            </w:tcBorders>
            <w:vAlign w:val="center"/>
          </w:tcPr>
          <w:p w14:paraId="7D399218" w14:textId="77777777" w:rsidR="00E03711" w:rsidRPr="00F769E0" w:rsidRDefault="00E03711" w:rsidP="001B314A">
            <w:pPr>
              <w:pStyle w:val="GUIDE-NORMAL"/>
              <w:spacing w:before="60" w:after="60"/>
              <w:jc w:val="left"/>
              <w:rPr>
                <w:rFonts w:cs="Tahoma"/>
                <w:lang w:val="sl-SI" w:eastAsia="en-GB"/>
              </w:rPr>
            </w:pPr>
            <w:r w:rsidRPr="00F769E0">
              <w:rPr>
                <w:rFonts w:cs="Tahoma"/>
                <w:lang w:val="sl-SI" w:eastAsia="en-GB"/>
              </w:rPr>
              <w:t>Prispevek za stroške, povezane z nacionalnimi in mednarodnimi konferencami, seminarji, dogodki, izmenjavo in razširjanjem intelektualnih rezultatov projekta (razen potnih stroškov in stroškov bivanja predstavnikov sodelujočih organizacij, vključenih v projekt).</w:t>
            </w:r>
          </w:p>
        </w:tc>
        <w:tc>
          <w:tcPr>
            <w:tcW w:w="1890" w:type="dxa"/>
            <w:vMerge w:val="restart"/>
            <w:tcBorders>
              <w:top w:val="single" w:sz="4" w:space="0" w:color="000000"/>
              <w:left w:val="single" w:sz="4" w:space="0" w:color="000000"/>
              <w:bottom w:val="single" w:sz="4" w:space="0" w:color="000000"/>
              <w:right w:val="single" w:sz="4" w:space="0" w:color="000000"/>
            </w:tcBorders>
            <w:vAlign w:val="center"/>
          </w:tcPr>
          <w:p w14:paraId="7D399219" w14:textId="77777777" w:rsidR="00E03711" w:rsidRPr="00F769E0" w:rsidRDefault="00E03711" w:rsidP="001B314A">
            <w:pPr>
              <w:pStyle w:val="GUIDE-NORMAL"/>
              <w:spacing w:before="60" w:after="60"/>
              <w:jc w:val="left"/>
              <w:rPr>
                <w:rStyle w:val="Guide-Condensed-02"/>
                <w:rFonts w:cs="Tahoma"/>
                <w:lang w:val="sl-SI" w:eastAsia="en-GB"/>
              </w:rPr>
            </w:pPr>
            <w:r w:rsidRPr="00F769E0">
              <w:rPr>
                <w:rStyle w:val="Guide-Condensed-02"/>
                <w:rFonts w:cs="Tahoma"/>
                <w:lang w:val="sl-SI" w:eastAsia="en-GB"/>
              </w:rPr>
              <w:t>Prispevek za stroške na enoto</w:t>
            </w:r>
          </w:p>
        </w:tc>
        <w:tc>
          <w:tcPr>
            <w:tcW w:w="2014" w:type="dxa"/>
            <w:tcBorders>
              <w:top w:val="single" w:sz="4" w:space="0" w:color="000000"/>
              <w:left w:val="single" w:sz="4" w:space="0" w:color="000000"/>
              <w:bottom w:val="single" w:sz="4" w:space="0" w:color="000000"/>
              <w:right w:val="single" w:sz="4" w:space="0" w:color="000000"/>
            </w:tcBorders>
            <w:vAlign w:val="center"/>
          </w:tcPr>
          <w:p w14:paraId="7D39921A" w14:textId="77777777" w:rsidR="00E03711" w:rsidRPr="00F769E0" w:rsidRDefault="00E03711" w:rsidP="001B314A">
            <w:pPr>
              <w:pStyle w:val="GUIDE-NORMAL"/>
              <w:spacing w:before="60" w:after="60"/>
              <w:jc w:val="left"/>
              <w:rPr>
                <w:rFonts w:cs="Tahoma"/>
                <w:lang w:val="sl-SI" w:eastAsia="en-GB"/>
              </w:rPr>
            </w:pPr>
            <w:r w:rsidRPr="00F769E0">
              <w:rPr>
                <w:rFonts w:cs="Tahoma"/>
                <w:lang w:val="sl-SI" w:eastAsia="en-GB"/>
              </w:rPr>
              <w:t xml:space="preserve">100 EUR na lokalnega udeleženca </w:t>
            </w:r>
            <w:r w:rsidRPr="00F769E0">
              <w:rPr>
                <w:rFonts w:cs="Tahoma"/>
                <w:lang w:val="sl-SI" w:eastAsia="en-GB"/>
              </w:rPr>
              <w:br/>
              <w:t>(tj. udeležence iz države, v kateri se izvaja dogodek). Največ</w:t>
            </w:r>
          </w:p>
        </w:tc>
        <w:tc>
          <w:tcPr>
            <w:tcW w:w="983" w:type="dxa"/>
            <w:vMerge w:val="restart"/>
            <w:tcBorders>
              <w:top w:val="single" w:sz="4" w:space="0" w:color="000000"/>
              <w:left w:val="single" w:sz="4" w:space="0" w:color="000000"/>
              <w:bottom w:val="single" w:sz="4" w:space="0" w:color="000000"/>
              <w:right w:val="single" w:sz="4" w:space="0" w:color="000000"/>
            </w:tcBorders>
            <w:vAlign w:val="center"/>
          </w:tcPr>
          <w:p w14:paraId="7D39921B" w14:textId="77777777" w:rsidR="00E03711" w:rsidRPr="00F769E0" w:rsidRDefault="00E03711" w:rsidP="001B314A">
            <w:pPr>
              <w:pStyle w:val="GUIDE-NORMAL"/>
              <w:spacing w:before="60" w:after="60"/>
              <w:jc w:val="left"/>
              <w:rPr>
                <w:rStyle w:val="Guide-Condensed-02"/>
                <w:rFonts w:cs="Tahoma"/>
                <w:lang w:val="sl-SI" w:eastAsia="en-GB"/>
              </w:rPr>
            </w:pPr>
            <w:r w:rsidRPr="00EF0568">
              <w:rPr>
                <w:rStyle w:val="Guide-Condensed-02"/>
                <w:rFonts w:cs="Tahoma"/>
                <w:lang w:val="sl-SI" w:eastAsia="en-GB"/>
              </w:rPr>
              <w:t>Največ</w:t>
            </w:r>
            <w:r w:rsidRPr="00F769E0">
              <w:rPr>
                <w:rStyle w:val="Guide-Condensed-02"/>
                <w:rFonts w:cs="Tahoma"/>
                <w:lang w:val="sl-SI" w:eastAsia="en-GB"/>
              </w:rPr>
              <w:t xml:space="preserve"> </w:t>
            </w:r>
            <w:r>
              <w:rPr>
                <w:rStyle w:val="Guide-Condensed-02"/>
                <w:rFonts w:cs="Tahoma"/>
                <w:lang w:val="sl-SI" w:eastAsia="en-GB"/>
              </w:rPr>
              <w:t>30 </w:t>
            </w:r>
            <w:r w:rsidRPr="00F769E0">
              <w:rPr>
                <w:rStyle w:val="Guide-Condensed-02"/>
                <w:rFonts w:cs="Tahoma"/>
                <w:lang w:val="sl-SI" w:eastAsia="en-GB"/>
              </w:rPr>
              <w:t>000 EUR na projekt</w:t>
            </w:r>
          </w:p>
        </w:tc>
        <w:tc>
          <w:tcPr>
            <w:tcW w:w="3223" w:type="dxa"/>
            <w:vMerge w:val="restart"/>
            <w:tcBorders>
              <w:top w:val="single" w:sz="4" w:space="0" w:color="000000"/>
              <w:left w:val="single" w:sz="4" w:space="0" w:color="000000"/>
              <w:bottom w:val="single" w:sz="4" w:space="0" w:color="000000"/>
              <w:right w:val="single" w:sz="4" w:space="0" w:color="000000"/>
            </w:tcBorders>
            <w:vAlign w:val="center"/>
          </w:tcPr>
          <w:p w14:paraId="7D39921C" w14:textId="77777777" w:rsidR="00E03711" w:rsidRPr="00F769E0" w:rsidRDefault="00E03711" w:rsidP="001B314A">
            <w:pPr>
              <w:pStyle w:val="GUIDE-NORMAL"/>
              <w:spacing w:before="60" w:after="60"/>
              <w:jc w:val="left"/>
              <w:rPr>
                <w:rFonts w:cs="Tahoma"/>
                <w:lang w:val="sl-SI" w:eastAsia="en-GB"/>
              </w:rPr>
            </w:pPr>
            <w:r w:rsidRPr="00F769E0">
              <w:rPr>
                <w:rFonts w:cs="Tahoma"/>
                <w:lang w:val="sl-SI" w:eastAsia="en-GB"/>
              </w:rPr>
              <w:t xml:space="preserve">Pogoj: podpora za multiplikativne dogodke </w:t>
            </w:r>
            <w:r w:rsidRPr="00F769E0">
              <w:rPr>
                <w:rFonts w:cs="Tahoma"/>
                <w:lang w:val="sl-SI" w:eastAsia="en-GB"/>
              </w:rPr>
              <w:br/>
              <w:t>je zagotovljena le, če so neposredno povezani s pripravo intelektualnih rezultatov projekta.</w:t>
            </w:r>
          </w:p>
          <w:p w14:paraId="7D39921D" w14:textId="77777777" w:rsidR="00E03711" w:rsidRPr="00F769E0" w:rsidRDefault="00E03711" w:rsidP="001B314A">
            <w:pPr>
              <w:pStyle w:val="GUIDE-NORMAL"/>
              <w:spacing w:before="60" w:after="60"/>
              <w:jc w:val="left"/>
              <w:rPr>
                <w:rFonts w:cs="Tahoma"/>
                <w:lang w:val="sl-SI" w:eastAsia="en-GB"/>
              </w:rPr>
            </w:pPr>
            <w:r w:rsidRPr="00F769E0">
              <w:rPr>
                <w:rFonts w:cs="Tahoma"/>
                <w:lang w:val="sl-SI" w:eastAsia="en-GB"/>
              </w:rPr>
              <w:t xml:space="preserve">Projekt, ki mu ni bila dodeljena podpora z nepovratnimi sredstvi za pripravo intelektualnih rezultatov, </w:t>
            </w:r>
            <w:r w:rsidRPr="00F769E0">
              <w:rPr>
                <w:rFonts w:cs="Tahoma"/>
                <w:lang w:val="sl-SI" w:eastAsia="en-GB"/>
              </w:rPr>
              <w:br/>
              <w:t>ne more prejeti podpore za organizacijo multiplikativnih dogodkov.</w:t>
            </w:r>
          </w:p>
        </w:tc>
      </w:tr>
      <w:tr w:rsidR="00E03711" w:rsidRPr="00C60205" w14:paraId="7D399225" w14:textId="77777777" w:rsidTr="00EF0568">
        <w:trPr>
          <w:trHeight w:val="20"/>
        </w:trPr>
        <w:tc>
          <w:tcPr>
            <w:tcW w:w="1638" w:type="dxa"/>
            <w:vMerge/>
            <w:tcBorders>
              <w:top w:val="nil"/>
              <w:left w:val="single" w:sz="4" w:space="0" w:color="000000"/>
              <w:bottom w:val="single" w:sz="4" w:space="0" w:color="000000"/>
              <w:right w:val="single" w:sz="4" w:space="0" w:color="000000"/>
            </w:tcBorders>
          </w:tcPr>
          <w:p w14:paraId="7D39921F" w14:textId="77777777" w:rsidR="00E03711" w:rsidRPr="00F769E0" w:rsidRDefault="00E03711" w:rsidP="0083608F">
            <w:pPr>
              <w:pStyle w:val="Guide-Table"/>
              <w:spacing w:before="60" w:after="60"/>
              <w:rPr>
                <w:rFonts w:cs="Tahoma"/>
                <w:lang w:val="sl-SI" w:eastAsia="en-GB"/>
              </w:rPr>
            </w:pPr>
          </w:p>
        </w:tc>
        <w:tc>
          <w:tcPr>
            <w:tcW w:w="5040" w:type="dxa"/>
            <w:vMerge/>
            <w:tcBorders>
              <w:top w:val="nil"/>
              <w:left w:val="single" w:sz="4" w:space="0" w:color="000000"/>
              <w:bottom w:val="single" w:sz="4" w:space="0" w:color="000000"/>
              <w:right w:val="single" w:sz="4" w:space="0" w:color="000000"/>
            </w:tcBorders>
          </w:tcPr>
          <w:p w14:paraId="7D399220" w14:textId="77777777" w:rsidR="00E03711" w:rsidRPr="00F769E0" w:rsidRDefault="00E03711" w:rsidP="0083608F">
            <w:pPr>
              <w:pStyle w:val="Guide-Table"/>
              <w:spacing w:before="60" w:after="60"/>
              <w:rPr>
                <w:rFonts w:cs="Tahoma"/>
                <w:lang w:val="sl-SI" w:eastAsia="en-GB"/>
              </w:rPr>
            </w:pPr>
          </w:p>
        </w:tc>
        <w:tc>
          <w:tcPr>
            <w:tcW w:w="1890" w:type="dxa"/>
            <w:vMerge/>
            <w:tcBorders>
              <w:top w:val="nil"/>
              <w:left w:val="single" w:sz="4" w:space="0" w:color="000000"/>
              <w:bottom w:val="single" w:sz="4" w:space="0" w:color="000000"/>
              <w:right w:val="single" w:sz="4" w:space="0" w:color="000000"/>
            </w:tcBorders>
          </w:tcPr>
          <w:p w14:paraId="7D399221" w14:textId="77777777" w:rsidR="00E03711" w:rsidRPr="00F769E0" w:rsidRDefault="00E03711" w:rsidP="0083608F">
            <w:pPr>
              <w:pStyle w:val="Guide-Table"/>
              <w:spacing w:before="60" w:after="60"/>
              <w:rPr>
                <w:rFonts w:cs="Tahoma"/>
                <w:lang w:val="sl-SI" w:eastAsia="en-GB"/>
              </w:rPr>
            </w:pPr>
          </w:p>
        </w:tc>
        <w:tc>
          <w:tcPr>
            <w:tcW w:w="2014" w:type="dxa"/>
            <w:tcBorders>
              <w:top w:val="single" w:sz="4" w:space="0" w:color="000000"/>
              <w:left w:val="single" w:sz="4" w:space="0" w:color="000000"/>
              <w:bottom w:val="single" w:sz="4" w:space="0" w:color="000000"/>
              <w:right w:val="single" w:sz="4" w:space="0" w:color="000000"/>
            </w:tcBorders>
          </w:tcPr>
          <w:p w14:paraId="7D399222" w14:textId="77777777" w:rsidR="00E03711" w:rsidRPr="00F769E0" w:rsidRDefault="00E03711" w:rsidP="001B314A">
            <w:pPr>
              <w:pStyle w:val="GUIDE-NORMAL"/>
              <w:jc w:val="left"/>
              <w:rPr>
                <w:rFonts w:cs="Tahoma"/>
                <w:lang w:val="sl-SI" w:eastAsia="en-GB"/>
              </w:rPr>
            </w:pPr>
            <w:r w:rsidRPr="00F769E0">
              <w:rPr>
                <w:rFonts w:cs="Tahoma"/>
                <w:lang w:val="sl-SI" w:eastAsia="en-GB"/>
              </w:rPr>
              <w:t>200 EUR na mednarodnega udeleženca (tj. udeležence iz drugih držav)</w:t>
            </w:r>
          </w:p>
        </w:tc>
        <w:tc>
          <w:tcPr>
            <w:tcW w:w="983" w:type="dxa"/>
            <w:vMerge/>
            <w:tcBorders>
              <w:top w:val="nil"/>
              <w:left w:val="single" w:sz="4" w:space="0" w:color="000000"/>
              <w:bottom w:val="single" w:sz="4" w:space="0" w:color="000000"/>
              <w:right w:val="single" w:sz="4" w:space="0" w:color="000000"/>
            </w:tcBorders>
          </w:tcPr>
          <w:p w14:paraId="7D399223" w14:textId="77777777" w:rsidR="00E03711" w:rsidRPr="00F769E0" w:rsidRDefault="00E03711" w:rsidP="0083608F">
            <w:pPr>
              <w:pStyle w:val="Guide-Table"/>
              <w:spacing w:before="60" w:after="60"/>
              <w:rPr>
                <w:rFonts w:cs="Tahoma"/>
                <w:lang w:val="sl-SI" w:eastAsia="en-GB"/>
              </w:rPr>
            </w:pPr>
          </w:p>
        </w:tc>
        <w:tc>
          <w:tcPr>
            <w:tcW w:w="3223" w:type="dxa"/>
            <w:vMerge/>
            <w:tcBorders>
              <w:top w:val="nil"/>
              <w:left w:val="single" w:sz="4" w:space="0" w:color="000000"/>
              <w:bottom w:val="single" w:sz="4" w:space="0" w:color="000000"/>
              <w:right w:val="single" w:sz="4" w:space="0" w:color="000000"/>
            </w:tcBorders>
          </w:tcPr>
          <w:p w14:paraId="7D399224" w14:textId="77777777" w:rsidR="00E03711" w:rsidRPr="00F769E0" w:rsidRDefault="00E03711" w:rsidP="0083608F">
            <w:pPr>
              <w:pStyle w:val="Guide-Table"/>
              <w:spacing w:before="60" w:after="60"/>
              <w:rPr>
                <w:rFonts w:cs="Tahoma"/>
                <w:lang w:val="sl-SI" w:eastAsia="en-GB"/>
              </w:rPr>
            </w:pPr>
          </w:p>
        </w:tc>
      </w:tr>
    </w:tbl>
    <w:p w14:paraId="7D399226" w14:textId="77777777" w:rsidR="00E03711" w:rsidRDefault="00E03711" w:rsidP="000B7184">
      <w:pPr>
        <w:pStyle w:val="Guide-Heading6"/>
        <w:rPr>
          <w:lang w:val="sl-SI"/>
        </w:rPr>
        <w:sectPr w:rsidR="00E03711" w:rsidSect="00D53824">
          <w:endnotePr>
            <w:numFmt w:val="decimal"/>
          </w:endnotePr>
          <w:pgSz w:w="16840" w:h="11910" w:orient="landscape" w:code="9"/>
          <w:pgMar w:top="1418" w:right="1134" w:bottom="1418" w:left="1134" w:header="284" w:footer="567" w:gutter="0"/>
          <w:cols w:space="720"/>
          <w:docGrid w:linePitch="326"/>
        </w:sectPr>
      </w:pPr>
      <w:bookmarkStart w:id="215" w:name="Règles_de_financement_pour_les_activités"/>
      <w:bookmarkEnd w:id="215"/>
    </w:p>
    <w:p w14:paraId="7D399227" w14:textId="77777777" w:rsidR="00B36F01" w:rsidRPr="001048FE" w:rsidRDefault="00E03711" w:rsidP="00B36F01">
      <w:pPr>
        <w:pStyle w:val="Guide-Heading6"/>
        <w:rPr>
          <w:lang w:val="sl-SI"/>
        </w:rPr>
      </w:pPr>
      <w:r w:rsidRPr="001048FE">
        <w:rPr>
          <w:lang w:val="sl-SI"/>
        </w:rPr>
        <w:t>Pravila za dodelitev sredstev za mednarodne aktivnosti učenja, poučevanja in usposabljanja, ki se izvajajo v okviru strateškega partnerstva (izbirna dodelitev sredstev)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9"/>
        <w:gridCol w:w="2216"/>
        <w:gridCol w:w="1896"/>
        <w:gridCol w:w="3426"/>
        <w:gridCol w:w="3790"/>
        <w:gridCol w:w="2121"/>
      </w:tblGrid>
      <w:tr w:rsidR="00E03711" w:rsidRPr="008C6F8C" w14:paraId="7D39922C" w14:textId="77777777" w:rsidTr="0070398A">
        <w:trPr>
          <w:trHeight w:val="20"/>
        </w:trPr>
        <w:tc>
          <w:tcPr>
            <w:tcW w:w="2179" w:type="dxa"/>
            <w:gridSpan w:val="2"/>
            <w:shd w:val="clear" w:color="auto" w:fill="auto"/>
            <w:vAlign w:val="center"/>
          </w:tcPr>
          <w:p w14:paraId="7D399228" w14:textId="77777777" w:rsidR="00E03711" w:rsidRPr="00F769E0" w:rsidRDefault="00E03711" w:rsidP="00FD5C03">
            <w:pPr>
              <w:pStyle w:val="GUIDE-NORMAL"/>
              <w:spacing w:before="60" w:after="60"/>
              <w:jc w:val="center"/>
              <w:rPr>
                <w:rFonts w:cs="Tahoma"/>
                <w:b/>
                <w:lang w:val="sl-SI" w:eastAsia="en-GB"/>
              </w:rPr>
            </w:pPr>
            <w:r w:rsidRPr="00F769E0">
              <w:rPr>
                <w:rFonts w:cs="Tahoma"/>
                <w:b/>
                <w:lang w:val="sl-SI" w:eastAsia="en-GB"/>
              </w:rPr>
              <w:t>Upravičeni stroški</w:t>
            </w:r>
          </w:p>
        </w:tc>
        <w:tc>
          <w:tcPr>
            <w:tcW w:w="1162" w:type="dxa"/>
            <w:shd w:val="clear" w:color="auto" w:fill="auto"/>
            <w:vAlign w:val="center"/>
          </w:tcPr>
          <w:p w14:paraId="7D399229" w14:textId="77777777" w:rsidR="00E03711" w:rsidRPr="00F769E0" w:rsidRDefault="00E03711" w:rsidP="00FD5C03">
            <w:pPr>
              <w:pStyle w:val="GUIDE-NORMAL"/>
              <w:spacing w:before="60" w:after="60"/>
              <w:jc w:val="center"/>
              <w:rPr>
                <w:rStyle w:val="Guide-Condensed-02"/>
                <w:rFonts w:cs="Tahoma"/>
                <w:b/>
                <w:lang w:val="sl-SI" w:eastAsia="en-GB"/>
              </w:rPr>
            </w:pPr>
            <w:r w:rsidRPr="00F769E0">
              <w:rPr>
                <w:rStyle w:val="Guide-Condensed-02"/>
                <w:rFonts w:cs="Tahoma"/>
                <w:b/>
                <w:lang w:val="sl-SI" w:eastAsia="en-GB"/>
              </w:rPr>
              <w:t>Mehanizem financiranja</w:t>
            </w:r>
          </w:p>
        </w:tc>
        <w:tc>
          <w:tcPr>
            <w:tcW w:w="4423" w:type="dxa"/>
            <w:gridSpan w:val="2"/>
            <w:shd w:val="clear" w:color="auto" w:fill="auto"/>
            <w:vAlign w:val="center"/>
          </w:tcPr>
          <w:p w14:paraId="7D39922A" w14:textId="77777777" w:rsidR="00E03711" w:rsidRPr="00F769E0" w:rsidRDefault="00E03711" w:rsidP="00FD5C03">
            <w:pPr>
              <w:pStyle w:val="GUIDE-NORMAL"/>
              <w:spacing w:before="60" w:after="60"/>
              <w:jc w:val="center"/>
              <w:rPr>
                <w:rFonts w:cs="Tahoma"/>
                <w:b/>
                <w:lang w:val="sl-SI" w:eastAsia="en-GB"/>
              </w:rPr>
            </w:pPr>
            <w:r w:rsidRPr="00F769E0">
              <w:rPr>
                <w:rFonts w:cs="Tahoma"/>
                <w:b/>
                <w:lang w:val="sl-SI" w:eastAsia="en-GB"/>
              </w:rPr>
              <w:t>Znesek</w:t>
            </w:r>
          </w:p>
        </w:tc>
        <w:tc>
          <w:tcPr>
            <w:tcW w:w="1300" w:type="dxa"/>
            <w:shd w:val="clear" w:color="auto" w:fill="auto"/>
            <w:vAlign w:val="center"/>
          </w:tcPr>
          <w:p w14:paraId="7D39922B" w14:textId="77777777" w:rsidR="00E03711" w:rsidRPr="00F769E0" w:rsidRDefault="00E03711" w:rsidP="00FD5C03">
            <w:pPr>
              <w:pStyle w:val="GUIDE-NORMAL"/>
              <w:spacing w:before="60" w:after="60"/>
              <w:jc w:val="center"/>
              <w:rPr>
                <w:rFonts w:cs="Tahoma"/>
                <w:b/>
                <w:lang w:val="sl-SI" w:eastAsia="en-GB"/>
              </w:rPr>
            </w:pPr>
            <w:r w:rsidRPr="00F769E0">
              <w:rPr>
                <w:rFonts w:cs="Tahoma"/>
                <w:b/>
                <w:lang w:val="sl-SI" w:eastAsia="en-GB"/>
              </w:rPr>
              <w:t>Pravilo dodelitve</w:t>
            </w:r>
          </w:p>
        </w:tc>
      </w:tr>
      <w:tr w:rsidR="00E03711" w:rsidRPr="00C60205" w14:paraId="7D399235" w14:textId="77777777" w:rsidTr="0070398A">
        <w:trPr>
          <w:trHeight w:val="20"/>
        </w:trPr>
        <w:tc>
          <w:tcPr>
            <w:tcW w:w="821" w:type="dxa"/>
            <w:vMerge w:val="restart"/>
            <w:shd w:val="clear" w:color="auto" w:fill="auto"/>
            <w:vAlign w:val="center"/>
          </w:tcPr>
          <w:p w14:paraId="7D39922D" w14:textId="77777777" w:rsidR="00E03711" w:rsidRPr="00F769E0" w:rsidRDefault="00E03711" w:rsidP="00DA1716">
            <w:pPr>
              <w:pStyle w:val="GUIDE-NORMAL"/>
              <w:spacing w:before="60" w:after="60"/>
              <w:jc w:val="left"/>
              <w:rPr>
                <w:rFonts w:cs="Tahoma"/>
                <w:b/>
                <w:lang w:val="sl-SI" w:eastAsia="en-GB"/>
              </w:rPr>
            </w:pPr>
          </w:p>
          <w:p w14:paraId="7D39922E" w14:textId="77777777" w:rsidR="00E03711" w:rsidRPr="00F769E0" w:rsidRDefault="00E03711" w:rsidP="00DA1716">
            <w:pPr>
              <w:pStyle w:val="GUIDE-NORMAL"/>
              <w:spacing w:before="60" w:after="60"/>
              <w:jc w:val="left"/>
              <w:rPr>
                <w:rFonts w:cs="Tahoma"/>
                <w:b/>
                <w:lang w:val="sl-SI" w:eastAsia="en-GB"/>
              </w:rPr>
            </w:pPr>
            <w:r w:rsidRPr="00F769E0">
              <w:rPr>
                <w:rFonts w:cs="Tahoma"/>
                <w:b/>
                <w:lang w:val="sl-SI" w:eastAsia="en-GB"/>
              </w:rPr>
              <w:t>Pot</w:t>
            </w:r>
          </w:p>
          <w:p w14:paraId="7D39922F" w14:textId="77777777" w:rsidR="00E03711" w:rsidRPr="00F769E0" w:rsidRDefault="00E03711" w:rsidP="00DA1716">
            <w:pPr>
              <w:pStyle w:val="GUIDE-NORMAL"/>
              <w:spacing w:before="60" w:after="60"/>
              <w:jc w:val="left"/>
              <w:rPr>
                <w:rFonts w:cs="Tahoma"/>
                <w:b/>
                <w:lang w:val="sl-SI" w:eastAsia="en-GB"/>
              </w:rPr>
            </w:pPr>
          </w:p>
        </w:tc>
        <w:tc>
          <w:tcPr>
            <w:tcW w:w="1358" w:type="dxa"/>
            <w:vMerge w:val="restart"/>
            <w:shd w:val="clear" w:color="auto" w:fill="auto"/>
            <w:vAlign w:val="center"/>
          </w:tcPr>
          <w:p w14:paraId="7D399230"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Prispevek za potne stroške udeležencev, vključno s spremljevalci, od njihovega kraja izvora do kraja izvajanja aktivnosti in nazaj.</w:t>
            </w:r>
          </w:p>
        </w:tc>
        <w:tc>
          <w:tcPr>
            <w:tcW w:w="1162" w:type="dxa"/>
            <w:vMerge w:val="restart"/>
            <w:shd w:val="clear" w:color="auto" w:fill="auto"/>
            <w:vAlign w:val="center"/>
          </w:tcPr>
          <w:p w14:paraId="7D399231"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4423" w:type="dxa"/>
            <w:gridSpan w:val="2"/>
            <w:shd w:val="clear" w:color="auto" w:fill="auto"/>
          </w:tcPr>
          <w:p w14:paraId="7D399232" w14:textId="77777777" w:rsidR="00E03711" w:rsidRPr="00F769E0" w:rsidRDefault="00E03711" w:rsidP="00DA1716">
            <w:pPr>
              <w:pStyle w:val="GUIDE-NORMAL"/>
              <w:spacing w:before="60" w:after="60"/>
              <w:rPr>
                <w:rFonts w:cs="Tahoma"/>
                <w:lang w:val="sl-SI" w:eastAsia="en-GB"/>
              </w:rPr>
            </w:pPr>
            <w:r w:rsidRPr="00F769E0">
              <w:rPr>
                <w:rFonts w:cs="Tahoma"/>
                <w:lang w:val="sl-SI" w:eastAsia="en-GB"/>
              </w:rPr>
              <w:t>Za razdalje od 10 do 99 km: 20 EUR na udeleženca.</w:t>
            </w:r>
          </w:p>
        </w:tc>
        <w:tc>
          <w:tcPr>
            <w:tcW w:w="1300" w:type="dxa"/>
            <w:vMerge w:val="restart"/>
            <w:shd w:val="clear" w:color="auto" w:fill="auto"/>
            <w:vAlign w:val="center"/>
          </w:tcPr>
          <w:p w14:paraId="7D399233" w14:textId="77777777" w:rsidR="00E03711" w:rsidRPr="00F769E0" w:rsidRDefault="00E03711" w:rsidP="00DA1716">
            <w:pPr>
              <w:pStyle w:val="GUIDE-NORMAL"/>
              <w:jc w:val="left"/>
              <w:rPr>
                <w:rFonts w:cs="Tahoma"/>
                <w:lang w:val="sl-SI" w:eastAsia="en-GB"/>
              </w:rPr>
            </w:pPr>
            <w:r w:rsidRPr="00F769E0">
              <w:rPr>
                <w:rFonts w:cs="Tahoma"/>
                <w:lang w:val="sl-SI" w:eastAsia="en-GB"/>
              </w:rPr>
              <w:t>Pogoj: prijavitelji bodo morali utemeljiti, zakaj je mobilnost potrebna za doseganje ciljev in rezultatov projekta. Razdaljo je treba izračunati s kalkulatorjem razdalje, ki ga podpira Evropska komisija</w:t>
            </w:r>
            <w:r w:rsidRPr="00F769E0">
              <w:rPr>
                <w:rStyle w:val="FootnoteReference"/>
                <w:rFonts w:cs="Tahoma"/>
                <w:lang w:val="sl-SI" w:eastAsia="en-GB"/>
              </w:rPr>
              <w:footnoteReference w:id="102"/>
            </w:r>
            <w:r w:rsidRPr="00F769E0">
              <w:rPr>
                <w:rFonts w:cs="Tahoma"/>
                <w:lang w:val="sl-SI" w:eastAsia="en-GB"/>
              </w:rPr>
              <w:t>. Prijavitelj mora navesti razdaljo enosmerne poti za izračun zneska nepovratnih sredstev EU za kritje povratne poti</w:t>
            </w:r>
            <w:r w:rsidRPr="00F769E0">
              <w:rPr>
                <w:rStyle w:val="FootnoteReference"/>
                <w:rFonts w:cs="Tahoma"/>
                <w:lang w:val="sl-SI" w:eastAsia="en-GB"/>
              </w:rPr>
              <w:footnoteReference w:id="103"/>
            </w:r>
            <w:r w:rsidRPr="00F769E0">
              <w:rPr>
                <w:rFonts w:cs="Tahoma"/>
                <w:lang w:val="sl-SI" w:eastAsia="en-GB"/>
              </w:rPr>
              <w:t>.</w:t>
            </w:r>
          </w:p>
          <w:p w14:paraId="7D399234" w14:textId="77777777" w:rsidR="00E03711" w:rsidRPr="001048FE" w:rsidRDefault="00E03711" w:rsidP="00DA1716">
            <w:pPr>
              <w:pStyle w:val="GUIDE-NORMAL"/>
              <w:jc w:val="left"/>
              <w:rPr>
                <w:rStyle w:val="Guide-Condensed-02"/>
                <w:rFonts w:ascii="Helvetica" w:hAnsi="Helvetica"/>
                <w:spacing w:val="0"/>
                <w:kern w:val="0"/>
                <w:sz w:val="10"/>
                <w:szCs w:val="10"/>
                <w:lang w:val="sl-SI" w:eastAsia="fr-FR"/>
              </w:rPr>
            </w:pPr>
          </w:p>
        </w:tc>
      </w:tr>
      <w:tr w:rsidR="00E03711" w:rsidRPr="00C60205" w14:paraId="7D39923B" w14:textId="77777777" w:rsidTr="0070398A">
        <w:trPr>
          <w:trHeight w:val="20"/>
        </w:trPr>
        <w:tc>
          <w:tcPr>
            <w:tcW w:w="821" w:type="dxa"/>
            <w:vMerge/>
            <w:shd w:val="clear" w:color="auto" w:fill="auto"/>
            <w:vAlign w:val="center"/>
          </w:tcPr>
          <w:p w14:paraId="7D399236" w14:textId="77777777" w:rsidR="00E03711" w:rsidRPr="00F769E0" w:rsidRDefault="00E03711" w:rsidP="00DA1716">
            <w:pPr>
              <w:pStyle w:val="GUIDE-NORMAL"/>
              <w:spacing w:before="60" w:after="60"/>
              <w:jc w:val="left"/>
              <w:rPr>
                <w:rFonts w:cs="Tahoma"/>
                <w:b/>
                <w:bCs/>
                <w:sz w:val="2"/>
                <w:szCs w:val="2"/>
                <w:lang w:val="sl-SI" w:eastAsia="en-GB"/>
              </w:rPr>
            </w:pPr>
          </w:p>
        </w:tc>
        <w:tc>
          <w:tcPr>
            <w:tcW w:w="1358" w:type="dxa"/>
            <w:vMerge/>
            <w:shd w:val="clear" w:color="auto" w:fill="auto"/>
            <w:vAlign w:val="center"/>
          </w:tcPr>
          <w:p w14:paraId="7D399237" w14:textId="77777777" w:rsidR="00E03711" w:rsidRPr="00F769E0" w:rsidRDefault="00E03711" w:rsidP="00DA1716">
            <w:pPr>
              <w:pStyle w:val="GUIDE-NORMAL"/>
              <w:spacing w:before="60" w:after="60"/>
              <w:jc w:val="left"/>
              <w:rPr>
                <w:rFonts w:cs="Tahoma"/>
                <w:b/>
                <w:bCs/>
                <w:sz w:val="2"/>
                <w:szCs w:val="2"/>
                <w:lang w:val="sl-SI" w:eastAsia="en-GB"/>
              </w:rPr>
            </w:pPr>
          </w:p>
        </w:tc>
        <w:tc>
          <w:tcPr>
            <w:tcW w:w="1162" w:type="dxa"/>
            <w:vMerge/>
            <w:shd w:val="clear" w:color="auto" w:fill="auto"/>
            <w:vAlign w:val="center"/>
          </w:tcPr>
          <w:p w14:paraId="7D399238" w14:textId="77777777" w:rsidR="00E03711" w:rsidRPr="00F769E0" w:rsidRDefault="00E03711" w:rsidP="00DA1716">
            <w:pPr>
              <w:pStyle w:val="GUIDE-NORMAL"/>
              <w:spacing w:before="60" w:after="60"/>
              <w:jc w:val="left"/>
              <w:rPr>
                <w:rFonts w:cs="Tahoma"/>
                <w:b/>
                <w:bCs/>
                <w:sz w:val="2"/>
                <w:szCs w:val="2"/>
                <w:lang w:val="sl-SI" w:eastAsia="en-GB"/>
              </w:rPr>
            </w:pPr>
          </w:p>
        </w:tc>
        <w:tc>
          <w:tcPr>
            <w:tcW w:w="4423" w:type="dxa"/>
            <w:gridSpan w:val="2"/>
            <w:shd w:val="clear" w:color="auto" w:fill="auto"/>
          </w:tcPr>
          <w:p w14:paraId="7D399239" w14:textId="77777777" w:rsidR="00E03711" w:rsidRPr="00F769E0" w:rsidRDefault="00E03711" w:rsidP="00DA1716">
            <w:pPr>
              <w:pStyle w:val="GUIDE-NORMAL"/>
              <w:spacing w:before="60" w:after="60"/>
              <w:rPr>
                <w:rFonts w:cs="Tahoma"/>
                <w:lang w:val="sl-SI" w:eastAsia="en-GB"/>
              </w:rPr>
            </w:pPr>
            <w:r w:rsidRPr="00F769E0">
              <w:rPr>
                <w:rFonts w:cs="Tahoma"/>
                <w:lang w:val="sl-SI" w:eastAsia="en-GB"/>
              </w:rPr>
              <w:t>Za razdalje od 100 do 499 km: 180 EUR na udeleženca.</w:t>
            </w:r>
          </w:p>
        </w:tc>
        <w:tc>
          <w:tcPr>
            <w:tcW w:w="1300" w:type="dxa"/>
            <w:vMerge/>
            <w:shd w:val="clear" w:color="auto" w:fill="auto"/>
            <w:vAlign w:val="center"/>
          </w:tcPr>
          <w:p w14:paraId="7D39923A" w14:textId="77777777" w:rsidR="00E03711" w:rsidRPr="00F769E0" w:rsidRDefault="00E03711" w:rsidP="00FD5C03">
            <w:pPr>
              <w:pStyle w:val="GUIDE-NORMAL"/>
              <w:spacing w:before="60" w:after="60"/>
              <w:jc w:val="left"/>
              <w:rPr>
                <w:rFonts w:cs="Tahoma"/>
                <w:b/>
                <w:bCs/>
                <w:sz w:val="2"/>
                <w:szCs w:val="2"/>
                <w:lang w:val="sl-SI" w:eastAsia="en-GB"/>
              </w:rPr>
            </w:pPr>
          </w:p>
        </w:tc>
      </w:tr>
      <w:tr w:rsidR="00E03711" w:rsidRPr="00C60205" w14:paraId="7D399241" w14:textId="77777777" w:rsidTr="0070398A">
        <w:trPr>
          <w:trHeight w:val="20"/>
        </w:trPr>
        <w:tc>
          <w:tcPr>
            <w:tcW w:w="821" w:type="dxa"/>
            <w:vMerge/>
            <w:shd w:val="clear" w:color="auto" w:fill="auto"/>
            <w:vAlign w:val="center"/>
          </w:tcPr>
          <w:p w14:paraId="7D39923C" w14:textId="77777777" w:rsidR="00E03711" w:rsidRPr="00F769E0" w:rsidRDefault="00E03711" w:rsidP="00DA1716">
            <w:pPr>
              <w:pStyle w:val="GUIDE-NORMAL"/>
              <w:spacing w:before="60" w:after="60"/>
              <w:jc w:val="left"/>
              <w:rPr>
                <w:rFonts w:cs="Tahoma"/>
                <w:b/>
                <w:bCs/>
                <w:sz w:val="2"/>
                <w:szCs w:val="2"/>
                <w:lang w:val="sl-SI" w:eastAsia="en-GB"/>
              </w:rPr>
            </w:pPr>
          </w:p>
        </w:tc>
        <w:tc>
          <w:tcPr>
            <w:tcW w:w="1358" w:type="dxa"/>
            <w:vMerge/>
            <w:shd w:val="clear" w:color="auto" w:fill="auto"/>
            <w:vAlign w:val="center"/>
          </w:tcPr>
          <w:p w14:paraId="7D39923D" w14:textId="77777777" w:rsidR="00E03711" w:rsidRPr="00F769E0" w:rsidRDefault="00E03711" w:rsidP="00DA1716">
            <w:pPr>
              <w:pStyle w:val="GUIDE-NORMAL"/>
              <w:spacing w:before="60" w:after="60"/>
              <w:jc w:val="left"/>
              <w:rPr>
                <w:rFonts w:cs="Tahoma"/>
                <w:b/>
                <w:bCs/>
                <w:sz w:val="2"/>
                <w:szCs w:val="2"/>
                <w:lang w:val="sl-SI" w:eastAsia="en-GB"/>
              </w:rPr>
            </w:pPr>
          </w:p>
        </w:tc>
        <w:tc>
          <w:tcPr>
            <w:tcW w:w="1162" w:type="dxa"/>
            <w:vMerge/>
            <w:shd w:val="clear" w:color="auto" w:fill="auto"/>
            <w:vAlign w:val="center"/>
          </w:tcPr>
          <w:p w14:paraId="7D39923E" w14:textId="77777777" w:rsidR="00E03711" w:rsidRPr="00F769E0" w:rsidRDefault="00E03711" w:rsidP="00DA1716">
            <w:pPr>
              <w:pStyle w:val="GUIDE-NORMAL"/>
              <w:spacing w:before="60" w:after="60"/>
              <w:jc w:val="left"/>
              <w:rPr>
                <w:rFonts w:cs="Tahoma"/>
                <w:b/>
                <w:bCs/>
                <w:sz w:val="2"/>
                <w:szCs w:val="2"/>
                <w:lang w:val="sl-SI" w:eastAsia="en-GB"/>
              </w:rPr>
            </w:pPr>
          </w:p>
        </w:tc>
        <w:tc>
          <w:tcPr>
            <w:tcW w:w="4423" w:type="dxa"/>
            <w:gridSpan w:val="2"/>
            <w:shd w:val="clear" w:color="auto" w:fill="auto"/>
          </w:tcPr>
          <w:p w14:paraId="7D39923F" w14:textId="77777777" w:rsidR="00E03711" w:rsidRPr="00F769E0" w:rsidRDefault="00E03711" w:rsidP="00DA1716">
            <w:pPr>
              <w:pStyle w:val="GUIDE-NORMAL"/>
              <w:spacing w:before="60" w:after="60"/>
              <w:rPr>
                <w:rFonts w:cs="Tahoma"/>
                <w:lang w:val="sl-SI" w:eastAsia="en-GB"/>
              </w:rPr>
            </w:pPr>
            <w:r w:rsidRPr="00F769E0">
              <w:rPr>
                <w:rFonts w:cs="Tahoma"/>
                <w:lang w:val="sl-SI" w:eastAsia="en-GB"/>
              </w:rPr>
              <w:t>Za razdalje od 500 do 1 999 km: 275 EUR na udeleženca.</w:t>
            </w:r>
          </w:p>
        </w:tc>
        <w:tc>
          <w:tcPr>
            <w:tcW w:w="1300" w:type="dxa"/>
            <w:vMerge/>
            <w:shd w:val="clear" w:color="auto" w:fill="auto"/>
            <w:vAlign w:val="center"/>
          </w:tcPr>
          <w:p w14:paraId="7D399240" w14:textId="77777777" w:rsidR="00E03711" w:rsidRPr="00F769E0" w:rsidRDefault="00E03711" w:rsidP="00FD5C03">
            <w:pPr>
              <w:pStyle w:val="GUIDE-NORMAL"/>
              <w:spacing w:before="60" w:after="60"/>
              <w:jc w:val="left"/>
              <w:rPr>
                <w:rFonts w:cs="Tahoma"/>
                <w:b/>
                <w:bCs/>
                <w:sz w:val="2"/>
                <w:szCs w:val="2"/>
                <w:lang w:val="sl-SI" w:eastAsia="en-GB"/>
              </w:rPr>
            </w:pPr>
          </w:p>
        </w:tc>
      </w:tr>
      <w:tr w:rsidR="00E03711" w:rsidRPr="00C60205" w14:paraId="7D399247" w14:textId="77777777" w:rsidTr="0070398A">
        <w:trPr>
          <w:trHeight w:val="20"/>
        </w:trPr>
        <w:tc>
          <w:tcPr>
            <w:tcW w:w="821" w:type="dxa"/>
            <w:vMerge/>
            <w:shd w:val="clear" w:color="auto" w:fill="auto"/>
            <w:vAlign w:val="center"/>
          </w:tcPr>
          <w:p w14:paraId="7D399242" w14:textId="77777777" w:rsidR="00E03711" w:rsidRPr="00F769E0" w:rsidRDefault="00E03711" w:rsidP="00DA1716">
            <w:pPr>
              <w:pStyle w:val="GUIDE-NORMAL"/>
              <w:spacing w:before="60" w:after="60"/>
              <w:jc w:val="left"/>
              <w:rPr>
                <w:rFonts w:cs="Tahoma"/>
                <w:b/>
                <w:bCs/>
                <w:sz w:val="2"/>
                <w:szCs w:val="2"/>
                <w:lang w:val="sl-SI" w:eastAsia="en-GB"/>
              </w:rPr>
            </w:pPr>
          </w:p>
        </w:tc>
        <w:tc>
          <w:tcPr>
            <w:tcW w:w="1358" w:type="dxa"/>
            <w:vMerge/>
            <w:shd w:val="clear" w:color="auto" w:fill="auto"/>
            <w:vAlign w:val="center"/>
          </w:tcPr>
          <w:p w14:paraId="7D399243" w14:textId="77777777" w:rsidR="00E03711" w:rsidRPr="00F769E0" w:rsidRDefault="00E03711" w:rsidP="00DA1716">
            <w:pPr>
              <w:pStyle w:val="GUIDE-NORMAL"/>
              <w:spacing w:before="60" w:after="60"/>
              <w:jc w:val="left"/>
              <w:rPr>
                <w:rFonts w:cs="Tahoma"/>
                <w:b/>
                <w:bCs/>
                <w:sz w:val="2"/>
                <w:szCs w:val="2"/>
                <w:lang w:val="sl-SI" w:eastAsia="en-GB"/>
              </w:rPr>
            </w:pPr>
          </w:p>
        </w:tc>
        <w:tc>
          <w:tcPr>
            <w:tcW w:w="1162" w:type="dxa"/>
            <w:vMerge/>
            <w:shd w:val="clear" w:color="auto" w:fill="auto"/>
            <w:vAlign w:val="center"/>
          </w:tcPr>
          <w:p w14:paraId="7D399244" w14:textId="77777777" w:rsidR="00E03711" w:rsidRPr="00F769E0" w:rsidRDefault="00E03711" w:rsidP="00DA1716">
            <w:pPr>
              <w:pStyle w:val="GUIDE-NORMAL"/>
              <w:spacing w:before="60" w:after="60"/>
              <w:jc w:val="left"/>
              <w:rPr>
                <w:rFonts w:cs="Tahoma"/>
                <w:b/>
                <w:bCs/>
                <w:sz w:val="2"/>
                <w:szCs w:val="2"/>
                <w:lang w:val="sl-SI" w:eastAsia="en-GB"/>
              </w:rPr>
            </w:pPr>
          </w:p>
        </w:tc>
        <w:tc>
          <w:tcPr>
            <w:tcW w:w="4423" w:type="dxa"/>
            <w:gridSpan w:val="2"/>
            <w:shd w:val="clear" w:color="auto" w:fill="auto"/>
          </w:tcPr>
          <w:p w14:paraId="7D399245" w14:textId="77777777" w:rsidR="00E03711" w:rsidRPr="00F769E0" w:rsidRDefault="00E03711" w:rsidP="00DA1716">
            <w:pPr>
              <w:pStyle w:val="GUIDE-NORMAL"/>
              <w:spacing w:before="60" w:after="60"/>
              <w:rPr>
                <w:rFonts w:cs="Tahoma"/>
                <w:lang w:val="sl-SI" w:eastAsia="en-GB"/>
              </w:rPr>
            </w:pPr>
            <w:r w:rsidRPr="00F769E0">
              <w:rPr>
                <w:rFonts w:cs="Tahoma"/>
                <w:lang w:val="sl-SI" w:eastAsia="en-GB"/>
              </w:rPr>
              <w:t>Za razdalje od 2 000 do 2 999 km: 360 EUR na udeleženca.</w:t>
            </w:r>
          </w:p>
        </w:tc>
        <w:tc>
          <w:tcPr>
            <w:tcW w:w="1300" w:type="dxa"/>
            <w:vMerge/>
            <w:shd w:val="clear" w:color="auto" w:fill="auto"/>
            <w:vAlign w:val="center"/>
          </w:tcPr>
          <w:p w14:paraId="7D399246" w14:textId="77777777" w:rsidR="00E03711" w:rsidRPr="00F769E0" w:rsidRDefault="00E03711" w:rsidP="00FD5C03">
            <w:pPr>
              <w:pStyle w:val="GUIDE-NORMAL"/>
              <w:spacing w:before="60" w:after="60"/>
              <w:jc w:val="left"/>
              <w:rPr>
                <w:rFonts w:cs="Tahoma"/>
                <w:b/>
                <w:bCs/>
                <w:sz w:val="2"/>
                <w:szCs w:val="2"/>
                <w:lang w:val="sl-SI" w:eastAsia="en-GB"/>
              </w:rPr>
            </w:pPr>
          </w:p>
        </w:tc>
      </w:tr>
      <w:tr w:rsidR="00E03711" w:rsidRPr="00C60205" w14:paraId="7D39924D" w14:textId="77777777" w:rsidTr="0070398A">
        <w:trPr>
          <w:trHeight w:val="20"/>
        </w:trPr>
        <w:tc>
          <w:tcPr>
            <w:tcW w:w="821" w:type="dxa"/>
            <w:vMerge/>
            <w:shd w:val="clear" w:color="auto" w:fill="auto"/>
            <w:vAlign w:val="center"/>
          </w:tcPr>
          <w:p w14:paraId="7D399248" w14:textId="77777777" w:rsidR="00E03711" w:rsidRPr="001048FE" w:rsidRDefault="00E03711" w:rsidP="00DA1716">
            <w:pPr>
              <w:pStyle w:val="GUIDE-NORMAL"/>
              <w:spacing w:before="60" w:after="60"/>
              <w:jc w:val="left"/>
              <w:rPr>
                <w:rFonts w:ascii="Times New Roman" w:hAnsi="Times New Roman"/>
                <w:b/>
                <w:sz w:val="16"/>
                <w:szCs w:val="16"/>
                <w:lang w:val="sl-SI" w:eastAsia="en-GB"/>
              </w:rPr>
            </w:pPr>
          </w:p>
        </w:tc>
        <w:tc>
          <w:tcPr>
            <w:tcW w:w="1358" w:type="dxa"/>
            <w:vMerge/>
            <w:shd w:val="clear" w:color="auto" w:fill="auto"/>
            <w:vAlign w:val="center"/>
          </w:tcPr>
          <w:p w14:paraId="7D399249" w14:textId="77777777" w:rsidR="00E03711" w:rsidRPr="001048FE" w:rsidRDefault="00E03711" w:rsidP="00DA1716">
            <w:pPr>
              <w:pStyle w:val="GUIDE-NORMAL"/>
              <w:spacing w:before="60" w:after="60"/>
              <w:jc w:val="left"/>
              <w:rPr>
                <w:rFonts w:ascii="Times New Roman" w:hAnsi="Times New Roman"/>
                <w:sz w:val="16"/>
                <w:szCs w:val="16"/>
                <w:lang w:val="sl-SI" w:eastAsia="en-GB"/>
              </w:rPr>
            </w:pPr>
          </w:p>
        </w:tc>
        <w:tc>
          <w:tcPr>
            <w:tcW w:w="1162" w:type="dxa"/>
            <w:vMerge/>
            <w:shd w:val="clear" w:color="auto" w:fill="auto"/>
            <w:vAlign w:val="center"/>
          </w:tcPr>
          <w:p w14:paraId="7D39924A" w14:textId="77777777" w:rsidR="00E03711" w:rsidRPr="001048FE" w:rsidRDefault="00E03711" w:rsidP="00DA1716">
            <w:pPr>
              <w:pStyle w:val="GUIDE-NORMAL"/>
              <w:spacing w:before="60" w:after="60"/>
              <w:jc w:val="left"/>
              <w:rPr>
                <w:rFonts w:ascii="Times New Roman" w:hAnsi="Times New Roman"/>
                <w:sz w:val="16"/>
                <w:szCs w:val="16"/>
                <w:lang w:val="sl-SI" w:eastAsia="en-GB"/>
              </w:rPr>
            </w:pPr>
          </w:p>
        </w:tc>
        <w:tc>
          <w:tcPr>
            <w:tcW w:w="4423" w:type="dxa"/>
            <w:gridSpan w:val="2"/>
            <w:shd w:val="clear" w:color="auto" w:fill="auto"/>
          </w:tcPr>
          <w:p w14:paraId="7D39924B" w14:textId="77777777" w:rsidR="00E03711" w:rsidRPr="00F769E0" w:rsidRDefault="00E03711" w:rsidP="00DA1716">
            <w:pPr>
              <w:pStyle w:val="GUIDE-NORMAL"/>
              <w:spacing w:before="60" w:after="60"/>
              <w:rPr>
                <w:rFonts w:cs="Tahoma"/>
                <w:lang w:val="sl-SI" w:eastAsia="en-GB"/>
              </w:rPr>
            </w:pPr>
            <w:r w:rsidRPr="00F769E0">
              <w:rPr>
                <w:rFonts w:cs="Tahoma"/>
                <w:lang w:val="sl-SI" w:eastAsia="en-GB"/>
              </w:rPr>
              <w:t>Za razdalje od 3 000 do 3 999 km: 530 EUR na udeleženca.</w:t>
            </w:r>
          </w:p>
        </w:tc>
        <w:tc>
          <w:tcPr>
            <w:tcW w:w="1300" w:type="dxa"/>
            <w:vMerge/>
            <w:shd w:val="clear" w:color="auto" w:fill="auto"/>
            <w:vAlign w:val="center"/>
          </w:tcPr>
          <w:p w14:paraId="7D39924C" w14:textId="77777777" w:rsidR="00E03711" w:rsidRPr="00F769E0" w:rsidRDefault="00E03711" w:rsidP="00FD5C03">
            <w:pPr>
              <w:pStyle w:val="GUIDE-NORMAL"/>
              <w:spacing w:before="60" w:after="60"/>
              <w:jc w:val="left"/>
              <w:rPr>
                <w:rFonts w:cs="Tahoma"/>
                <w:lang w:val="sl-SI" w:eastAsia="en-GB"/>
              </w:rPr>
            </w:pPr>
          </w:p>
        </w:tc>
      </w:tr>
      <w:tr w:rsidR="00E03711" w:rsidRPr="00C60205" w14:paraId="7D399253" w14:textId="77777777" w:rsidTr="0070398A">
        <w:trPr>
          <w:trHeight w:val="20"/>
        </w:trPr>
        <w:tc>
          <w:tcPr>
            <w:tcW w:w="821" w:type="dxa"/>
            <w:vMerge/>
            <w:shd w:val="clear" w:color="auto" w:fill="auto"/>
            <w:vAlign w:val="center"/>
          </w:tcPr>
          <w:p w14:paraId="7D39924E" w14:textId="77777777" w:rsidR="00E03711" w:rsidRPr="00F769E0" w:rsidRDefault="00E03711" w:rsidP="00DA1716">
            <w:pPr>
              <w:pStyle w:val="GUIDE-NORMAL"/>
              <w:spacing w:before="60" w:after="60"/>
              <w:jc w:val="left"/>
              <w:rPr>
                <w:rFonts w:cs="Tahoma"/>
                <w:b/>
                <w:bCs/>
                <w:sz w:val="2"/>
                <w:szCs w:val="2"/>
                <w:lang w:val="sl-SI" w:eastAsia="en-GB"/>
              </w:rPr>
            </w:pPr>
          </w:p>
        </w:tc>
        <w:tc>
          <w:tcPr>
            <w:tcW w:w="1358" w:type="dxa"/>
            <w:vMerge/>
            <w:shd w:val="clear" w:color="auto" w:fill="auto"/>
            <w:vAlign w:val="center"/>
          </w:tcPr>
          <w:p w14:paraId="7D39924F" w14:textId="77777777" w:rsidR="00E03711" w:rsidRPr="00F769E0" w:rsidRDefault="00E03711" w:rsidP="00DA1716">
            <w:pPr>
              <w:pStyle w:val="GUIDE-NORMAL"/>
              <w:spacing w:before="60" w:after="60"/>
              <w:jc w:val="left"/>
              <w:rPr>
                <w:rFonts w:cs="Tahoma"/>
                <w:b/>
                <w:bCs/>
                <w:sz w:val="2"/>
                <w:szCs w:val="2"/>
                <w:lang w:val="sl-SI" w:eastAsia="en-GB"/>
              </w:rPr>
            </w:pPr>
          </w:p>
        </w:tc>
        <w:tc>
          <w:tcPr>
            <w:tcW w:w="1162" w:type="dxa"/>
            <w:vMerge/>
            <w:shd w:val="clear" w:color="auto" w:fill="auto"/>
            <w:vAlign w:val="center"/>
          </w:tcPr>
          <w:p w14:paraId="7D399250" w14:textId="77777777" w:rsidR="00E03711" w:rsidRPr="00F769E0" w:rsidRDefault="00E03711" w:rsidP="00DA1716">
            <w:pPr>
              <w:pStyle w:val="GUIDE-NORMAL"/>
              <w:spacing w:before="60" w:after="60"/>
              <w:jc w:val="left"/>
              <w:rPr>
                <w:rFonts w:cs="Tahoma"/>
                <w:b/>
                <w:bCs/>
                <w:sz w:val="2"/>
                <w:szCs w:val="2"/>
                <w:lang w:val="sl-SI" w:eastAsia="en-GB"/>
              </w:rPr>
            </w:pPr>
          </w:p>
        </w:tc>
        <w:tc>
          <w:tcPr>
            <w:tcW w:w="4423" w:type="dxa"/>
            <w:gridSpan w:val="2"/>
            <w:shd w:val="clear" w:color="auto" w:fill="auto"/>
          </w:tcPr>
          <w:p w14:paraId="7D399251" w14:textId="77777777" w:rsidR="00E03711" w:rsidRPr="00F769E0" w:rsidRDefault="00E03711" w:rsidP="00DA1716">
            <w:pPr>
              <w:pStyle w:val="GUIDE-NORMAL"/>
              <w:spacing w:before="60" w:after="60"/>
              <w:rPr>
                <w:rFonts w:cs="Tahoma"/>
                <w:lang w:val="sl-SI" w:eastAsia="en-GB"/>
              </w:rPr>
            </w:pPr>
            <w:r w:rsidRPr="00F769E0">
              <w:rPr>
                <w:rFonts w:cs="Tahoma"/>
                <w:lang w:val="sl-SI" w:eastAsia="en-GB"/>
              </w:rPr>
              <w:t>Za razdalje od 4 000 do 7 999 km: 820 EUR na udeleženca.</w:t>
            </w:r>
          </w:p>
        </w:tc>
        <w:tc>
          <w:tcPr>
            <w:tcW w:w="1300" w:type="dxa"/>
            <w:vMerge/>
            <w:shd w:val="clear" w:color="auto" w:fill="auto"/>
            <w:vAlign w:val="center"/>
          </w:tcPr>
          <w:p w14:paraId="7D399252" w14:textId="77777777" w:rsidR="00E03711" w:rsidRPr="00F769E0" w:rsidRDefault="00E03711" w:rsidP="00FD5C03">
            <w:pPr>
              <w:pStyle w:val="GUIDE-NORMAL"/>
              <w:spacing w:before="60" w:after="60"/>
              <w:jc w:val="left"/>
              <w:rPr>
                <w:rFonts w:cs="Tahoma"/>
                <w:b/>
                <w:bCs/>
                <w:sz w:val="2"/>
                <w:szCs w:val="2"/>
                <w:lang w:val="sl-SI" w:eastAsia="en-GB"/>
              </w:rPr>
            </w:pPr>
          </w:p>
        </w:tc>
      </w:tr>
      <w:tr w:rsidR="00E03711" w:rsidRPr="00C60205" w14:paraId="7D399259" w14:textId="77777777" w:rsidTr="0070398A">
        <w:trPr>
          <w:trHeight w:val="20"/>
        </w:trPr>
        <w:tc>
          <w:tcPr>
            <w:tcW w:w="821" w:type="dxa"/>
            <w:vMerge/>
            <w:shd w:val="clear" w:color="auto" w:fill="auto"/>
            <w:vAlign w:val="center"/>
          </w:tcPr>
          <w:p w14:paraId="7D399254" w14:textId="77777777" w:rsidR="00E03711" w:rsidRPr="00F769E0" w:rsidRDefault="00E03711" w:rsidP="00DA1716">
            <w:pPr>
              <w:pStyle w:val="GUIDE-NORMAL"/>
              <w:spacing w:before="60" w:after="60"/>
              <w:jc w:val="left"/>
              <w:rPr>
                <w:rFonts w:cs="Tahoma"/>
                <w:b/>
                <w:bCs/>
                <w:sz w:val="2"/>
                <w:szCs w:val="2"/>
                <w:lang w:val="sl-SI" w:eastAsia="en-GB"/>
              </w:rPr>
            </w:pPr>
          </w:p>
        </w:tc>
        <w:tc>
          <w:tcPr>
            <w:tcW w:w="1358" w:type="dxa"/>
            <w:vMerge/>
            <w:shd w:val="clear" w:color="auto" w:fill="auto"/>
            <w:vAlign w:val="center"/>
          </w:tcPr>
          <w:p w14:paraId="7D399255" w14:textId="77777777" w:rsidR="00E03711" w:rsidRPr="00F769E0" w:rsidRDefault="00E03711" w:rsidP="00DA1716">
            <w:pPr>
              <w:pStyle w:val="GUIDE-NORMAL"/>
              <w:spacing w:before="60" w:after="60"/>
              <w:jc w:val="left"/>
              <w:rPr>
                <w:rFonts w:cs="Tahoma"/>
                <w:b/>
                <w:bCs/>
                <w:sz w:val="2"/>
                <w:szCs w:val="2"/>
                <w:lang w:val="sl-SI" w:eastAsia="en-GB"/>
              </w:rPr>
            </w:pPr>
          </w:p>
        </w:tc>
        <w:tc>
          <w:tcPr>
            <w:tcW w:w="1162" w:type="dxa"/>
            <w:vMerge/>
            <w:shd w:val="clear" w:color="auto" w:fill="auto"/>
            <w:vAlign w:val="center"/>
          </w:tcPr>
          <w:p w14:paraId="7D399256" w14:textId="77777777" w:rsidR="00E03711" w:rsidRPr="00F769E0" w:rsidRDefault="00E03711" w:rsidP="00DA1716">
            <w:pPr>
              <w:pStyle w:val="GUIDE-NORMAL"/>
              <w:spacing w:before="60" w:after="60"/>
              <w:jc w:val="left"/>
              <w:rPr>
                <w:rFonts w:cs="Tahoma"/>
                <w:b/>
                <w:bCs/>
                <w:sz w:val="2"/>
                <w:szCs w:val="2"/>
                <w:lang w:val="sl-SI" w:eastAsia="en-GB"/>
              </w:rPr>
            </w:pPr>
          </w:p>
        </w:tc>
        <w:tc>
          <w:tcPr>
            <w:tcW w:w="4423" w:type="dxa"/>
            <w:gridSpan w:val="2"/>
            <w:shd w:val="clear" w:color="auto" w:fill="auto"/>
          </w:tcPr>
          <w:p w14:paraId="7D399257" w14:textId="77777777" w:rsidR="00E03711" w:rsidRPr="00F769E0" w:rsidRDefault="00E03711" w:rsidP="00DA1716">
            <w:pPr>
              <w:pStyle w:val="GUIDE-NORMAL"/>
              <w:spacing w:before="60" w:after="60"/>
              <w:rPr>
                <w:rFonts w:cs="Tahoma"/>
                <w:lang w:val="sl-SI" w:eastAsia="en-GB"/>
              </w:rPr>
            </w:pPr>
            <w:r w:rsidRPr="00F769E0">
              <w:rPr>
                <w:rFonts w:cs="Tahoma"/>
                <w:lang w:val="sl-SI" w:eastAsia="en-GB"/>
              </w:rPr>
              <w:t>Za razdalje 8 000 km ali več: 1 500 EUR na udeleženca.</w:t>
            </w:r>
          </w:p>
        </w:tc>
        <w:tc>
          <w:tcPr>
            <w:tcW w:w="1300" w:type="dxa"/>
            <w:vMerge/>
            <w:shd w:val="clear" w:color="auto" w:fill="auto"/>
            <w:vAlign w:val="center"/>
          </w:tcPr>
          <w:p w14:paraId="7D399258" w14:textId="77777777" w:rsidR="00E03711" w:rsidRPr="00F769E0" w:rsidRDefault="00E03711" w:rsidP="00FD5C03">
            <w:pPr>
              <w:pStyle w:val="GUIDE-NORMAL"/>
              <w:spacing w:before="60" w:after="60"/>
              <w:jc w:val="left"/>
              <w:rPr>
                <w:rFonts w:cs="Tahoma"/>
                <w:b/>
                <w:bCs/>
                <w:sz w:val="2"/>
                <w:szCs w:val="2"/>
                <w:lang w:val="sl-SI" w:eastAsia="en-GB"/>
              </w:rPr>
            </w:pPr>
          </w:p>
        </w:tc>
      </w:tr>
      <w:tr w:rsidR="00E03711" w:rsidRPr="00C60205" w14:paraId="7D399266" w14:textId="77777777" w:rsidTr="0070398A">
        <w:trPr>
          <w:trHeight w:val="20"/>
        </w:trPr>
        <w:tc>
          <w:tcPr>
            <w:tcW w:w="821" w:type="dxa"/>
            <w:vMerge w:val="restart"/>
            <w:shd w:val="clear" w:color="auto" w:fill="auto"/>
            <w:vAlign w:val="center"/>
          </w:tcPr>
          <w:p w14:paraId="7D39925A" w14:textId="77777777" w:rsidR="00E03711" w:rsidRPr="00F769E0" w:rsidRDefault="00F22E7C" w:rsidP="00DA1716">
            <w:pPr>
              <w:pStyle w:val="GUIDE-NORMAL"/>
              <w:spacing w:before="60" w:after="60"/>
              <w:jc w:val="left"/>
              <w:rPr>
                <w:rStyle w:val="Guide-Condensed-02"/>
                <w:rFonts w:cs="Tahoma"/>
                <w:b/>
                <w:lang w:val="sl-SI" w:eastAsia="en-GB"/>
              </w:rPr>
            </w:pPr>
            <w:r>
              <w:rPr>
                <w:rStyle w:val="Guide-Condensed-02"/>
                <w:rFonts w:cs="Tahoma"/>
                <w:b/>
                <w:lang w:val="sl-SI" w:eastAsia="en-GB"/>
              </w:rPr>
              <w:t>Individualna pod</w:t>
            </w:r>
            <w:r w:rsidR="00E03711" w:rsidRPr="00F769E0">
              <w:rPr>
                <w:rStyle w:val="Guide-Condensed-02"/>
                <w:rFonts w:cs="Tahoma"/>
                <w:b/>
                <w:lang w:val="sl-SI" w:eastAsia="en-GB"/>
              </w:rPr>
              <w:t>pora</w:t>
            </w:r>
          </w:p>
        </w:tc>
        <w:tc>
          <w:tcPr>
            <w:tcW w:w="1358" w:type="dxa"/>
            <w:vMerge w:val="restart"/>
            <w:shd w:val="clear" w:color="auto" w:fill="auto"/>
            <w:vAlign w:val="center"/>
          </w:tcPr>
          <w:p w14:paraId="7D39925B"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Stroški na enoto na dan za kritje bivanja udeležencev, vključno s spremljevalci, med aktivnostjo.</w:t>
            </w:r>
          </w:p>
        </w:tc>
        <w:tc>
          <w:tcPr>
            <w:tcW w:w="1162" w:type="dxa"/>
            <w:vMerge w:val="restart"/>
            <w:shd w:val="clear" w:color="auto" w:fill="auto"/>
            <w:vAlign w:val="center"/>
          </w:tcPr>
          <w:p w14:paraId="7D39925C"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2100" w:type="dxa"/>
            <w:shd w:val="clear" w:color="auto" w:fill="auto"/>
            <w:vAlign w:val="center"/>
          </w:tcPr>
          <w:p w14:paraId="7D39925D"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 xml:space="preserve">Dolgotrajna mobilnost za poučevanje ali usposabljanje </w:t>
            </w:r>
          </w:p>
          <w:p w14:paraId="7D39925E" w14:textId="77777777" w:rsidR="00E03711" w:rsidRPr="00F769E0" w:rsidRDefault="00E03711" w:rsidP="00DA1716">
            <w:pPr>
              <w:pStyle w:val="GUIDE-NORMAL"/>
              <w:spacing w:before="60" w:after="60"/>
              <w:jc w:val="left"/>
              <w:rPr>
                <w:rFonts w:cs="Tahoma"/>
                <w:lang w:val="sl-SI" w:eastAsia="en-GB"/>
              </w:rPr>
            </w:pPr>
          </w:p>
          <w:p w14:paraId="7D39925F"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Dolgotrajna mobilnost mladinskih delavcev</w:t>
            </w:r>
          </w:p>
        </w:tc>
        <w:tc>
          <w:tcPr>
            <w:tcW w:w="2323" w:type="dxa"/>
            <w:shd w:val="clear" w:color="auto" w:fill="auto"/>
            <w:vAlign w:val="center"/>
          </w:tcPr>
          <w:p w14:paraId="7D399260"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 xml:space="preserve">Do 14. dneva aktivnosti: </w:t>
            </w:r>
            <w:r w:rsidRPr="0070398A">
              <w:rPr>
                <w:rFonts w:cs="Tahoma"/>
                <w:b/>
                <w:bdr w:val="single" w:sz="4" w:space="0" w:color="auto"/>
                <w:lang w:val="sl-SI" w:eastAsia="en-GB"/>
              </w:rPr>
              <w:t>B1.5</w:t>
            </w:r>
            <w:r w:rsidRPr="00F769E0">
              <w:rPr>
                <w:rFonts w:cs="Tahoma"/>
                <w:lang w:val="sl-SI" w:eastAsia="en-GB"/>
              </w:rPr>
              <w:t xml:space="preserve"> na dan na udeleženca</w:t>
            </w:r>
          </w:p>
          <w:p w14:paraId="7D399261"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w:t>
            </w:r>
          </w:p>
          <w:p w14:paraId="7D399262"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 xml:space="preserve">od 15. do 60. dneva aktivnosti: </w:t>
            </w:r>
            <w:r w:rsidRPr="0070398A">
              <w:rPr>
                <w:rFonts w:cs="Tahoma"/>
                <w:b/>
                <w:bdr w:val="single" w:sz="4" w:space="0" w:color="auto"/>
                <w:lang w:val="sl-SI" w:eastAsia="en-GB"/>
              </w:rPr>
              <w:t>B1.6</w:t>
            </w:r>
            <w:r w:rsidRPr="00F769E0">
              <w:rPr>
                <w:rFonts w:cs="Tahoma"/>
                <w:lang w:val="sl-SI" w:eastAsia="en-GB"/>
              </w:rPr>
              <w:t xml:space="preserve"> na </w:t>
            </w:r>
            <w:r w:rsidRPr="00F769E0">
              <w:rPr>
                <w:rFonts w:cs="Tahoma"/>
                <w:lang w:val="sl-SI" w:eastAsia="en-GB"/>
              </w:rPr>
              <w:br/>
              <w:t>dan na udeleženca</w:t>
            </w:r>
          </w:p>
          <w:p w14:paraId="7D399263"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w:t>
            </w:r>
          </w:p>
          <w:p w14:paraId="7D399264"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 xml:space="preserve">od 61. dneva aktivnosti do 12 mesecev: </w:t>
            </w:r>
            <w:r w:rsidRPr="0070398A">
              <w:rPr>
                <w:rFonts w:cs="Tahoma"/>
                <w:b/>
                <w:bdr w:val="single" w:sz="4" w:space="0" w:color="auto"/>
                <w:lang w:val="sl-SI" w:eastAsia="en-GB"/>
              </w:rPr>
              <w:t>B1.7</w:t>
            </w:r>
            <w:r w:rsidRPr="00F769E0">
              <w:rPr>
                <w:rFonts w:cs="Tahoma"/>
                <w:lang w:val="sl-SI" w:eastAsia="en-GB"/>
              </w:rPr>
              <w:t xml:space="preserve"> na </w:t>
            </w:r>
            <w:r w:rsidRPr="00F769E0">
              <w:rPr>
                <w:rFonts w:cs="Tahoma"/>
                <w:lang w:val="sl-SI" w:eastAsia="en-GB"/>
              </w:rPr>
              <w:br/>
              <w:t>dan na udeleženca</w:t>
            </w:r>
          </w:p>
        </w:tc>
        <w:tc>
          <w:tcPr>
            <w:tcW w:w="1300" w:type="dxa"/>
            <w:vMerge/>
            <w:shd w:val="clear" w:color="auto" w:fill="auto"/>
            <w:vAlign w:val="center"/>
          </w:tcPr>
          <w:p w14:paraId="7D399265" w14:textId="77777777" w:rsidR="00E03711" w:rsidRPr="00F769E0" w:rsidRDefault="00E03711" w:rsidP="00DA1716">
            <w:pPr>
              <w:pStyle w:val="GUIDE-NORMAL"/>
              <w:jc w:val="left"/>
              <w:rPr>
                <w:rFonts w:cs="Tahoma"/>
                <w:lang w:val="sl-SI" w:eastAsia="en-GB"/>
              </w:rPr>
            </w:pPr>
          </w:p>
        </w:tc>
      </w:tr>
      <w:tr w:rsidR="00E03711" w:rsidRPr="00C60205" w14:paraId="7D399271" w14:textId="77777777" w:rsidTr="0070398A">
        <w:trPr>
          <w:trHeight w:val="20"/>
        </w:trPr>
        <w:tc>
          <w:tcPr>
            <w:tcW w:w="821" w:type="dxa"/>
            <w:vMerge/>
            <w:shd w:val="clear" w:color="auto" w:fill="auto"/>
            <w:vAlign w:val="center"/>
          </w:tcPr>
          <w:p w14:paraId="7D399267" w14:textId="77777777" w:rsidR="00E03711" w:rsidRPr="00F769E0" w:rsidRDefault="00E03711" w:rsidP="00DA1716">
            <w:pPr>
              <w:pStyle w:val="GUIDE-NORMAL"/>
              <w:jc w:val="left"/>
              <w:rPr>
                <w:rFonts w:cs="Tahoma"/>
                <w:lang w:val="sl-SI" w:eastAsia="en-GB"/>
              </w:rPr>
            </w:pPr>
          </w:p>
        </w:tc>
        <w:tc>
          <w:tcPr>
            <w:tcW w:w="1358" w:type="dxa"/>
            <w:vMerge/>
            <w:shd w:val="clear" w:color="auto" w:fill="auto"/>
            <w:vAlign w:val="center"/>
          </w:tcPr>
          <w:p w14:paraId="7D399268" w14:textId="77777777" w:rsidR="00E03711" w:rsidRPr="00F769E0" w:rsidRDefault="00E03711" w:rsidP="00DA1716">
            <w:pPr>
              <w:pStyle w:val="GUIDE-NORMAL"/>
              <w:jc w:val="left"/>
              <w:rPr>
                <w:rFonts w:cs="Tahoma"/>
                <w:lang w:val="sl-SI" w:eastAsia="en-GB"/>
              </w:rPr>
            </w:pPr>
          </w:p>
        </w:tc>
        <w:tc>
          <w:tcPr>
            <w:tcW w:w="1162" w:type="dxa"/>
            <w:vMerge/>
            <w:shd w:val="clear" w:color="auto" w:fill="auto"/>
            <w:vAlign w:val="center"/>
          </w:tcPr>
          <w:p w14:paraId="7D399269" w14:textId="77777777" w:rsidR="00E03711" w:rsidRPr="00F769E0" w:rsidRDefault="00E03711" w:rsidP="00DA1716">
            <w:pPr>
              <w:pStyle w:val="GUIDE-NORMAL"/>
              <w:jc w:val="left"/>
              <w:rPr>
                <w:rFonts w:cs="Tahoma"/>
                <w:lang w:val="sl-SI" w:eastAsia="en-GB"/>
              </w:rPr>
            </w:pPr>
          </w:p>
        </w:tc>
        <w:tc>
          <w:tcPr>
            <w:tcW w:w="2100" w:type="dxa"/>
            <w:shd w:val="clear" w:color="auto" w:fill="auto"/>
            <w:vAlign w:val="center"/>
          </w:tcPr>
          <w:p w14:paraId="7D39926A"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Dogodki za kratkotrajna skupna usposabljanja osebja</w:t>
            </w:r>
          </w:p>
          <w:p w14:paraId="7D39926B"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Poučevanje ali zagotavljanje strokovnega znanja v intenzivnih študijskih programih</w:t>
            </w:r>
          </w:p>
          <w:p w14:paraId="7D39926C"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Spremljevalci v vseh aktivnostih</w:t>
            </w:r>
            <w:r w:rsidRPr="00F769E0">
              <w:rPr>
                <w:rStyle w:val="FootnoteReference"/>
                <w:rFonts w:cs="Tahoma"/>
                <w:lang w:val="sl-SI" w:eastAsia="en-GB"/>
              </w:rPr>
              <w:footnoteReference w:id="104"/>
            </w:r>
          </w:p>
        </w:tc>
        <w:tc>
          <w:tcPr>
            <w:tcW w:w="2323" w:type="dxa"/>
            <w:shd w:val="clear" w:color="auto" w:fill="auto"/>
            <w:vAlign w:val="center"/>
          </w:tcPr>
          <w:p w14:paraId="7D39926D"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 xml:space="preserve">Do 14. dneva aktivnosti: </w:t>
            </w:r>
            <w:r w:rsidRPr="00F769E0">
              <w:rPr>
                <w:rFonts w:cs="Tahoma"/>
                <w:lang w:val="sl-SI" w:eastAsia="en-GB"/>
              </w:rPr>
              <w:br/>
              <w:t>106 EUR na dan na udeleženca</w:t>
            </w:r>
          </w:p>
          <w:p w14:paraId="7D39926E"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w:t>
            </w:r>
          </w:p>
          <w:p w14:paraId="7D39926F"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 xml:space="preserve">od 15. do 60. dneva aktivnosti: 74 EUR na </w:t>
            </w:r>
            <w:r w:rsidRPr="00F769E0">
              <w:rPr>
                <w:rFonts w:cs="Tahoma"/>
                <w:lang w:val="sl-SI" w:eastAsia="en-GB"/>
              </w:rPr>
              <w:br/>
              <w:t>dan na udeleženca</w:t>
            </w:r>
          </w:p>
        </w:tc>
        <w:tc>
          <w:tcPr>
            <w:tcW w:w="1300" w:type="dxa"/>
            <w:vMerge/>
            <w:shd w:val="clear" w:color="auto" w:fill="auto"/>
            <w:vAlign w:val="center"/>
          </w:tcPr>
          <w:p w14:paraId="7D399270" w14:textId="77777777" w:rsidR="00E03711" w:rsidRPr="00F769E0" w:rsidRDefault="00E03711" w:rsidP="00DA1716">
            <w:pPr>
              <w:pStyle w:val="GUIDE-NORMAL"/>
              <w:jc w:val="left"/>
              <w:rPr>
                <w:rFonts w:cs="Tahoma"/>
                <w:lang w:val="sl-SI" w:eastAsia="en-GB"/>
              </w:rPr>
            </w:pPr>
          </w:p>
        </w:tc>
      </w:tr>
      <w:tr w:rsidR="00E03711" w:rsidRPr="00654F6A" w14:paraId="7D399278" w14:textId="77777777" w:rsidTr="0070398A">
        <w:trPr>
          <w:trHeight w:val="20"/>
        </w:trPr>
        <w:tc>
          <w:tcPr>
            <w:tcW w:w="821" w:type="dxa"/>
            <w:vMerge/>
            <w:shd w:val="clear" w:color="auto" w:fill="auto"/>
            <w:vAlign w:val="center"/>
          </w:tcPr>
          <w:p w14:paraId="7D399272" w14:textId="77777777" w:rsidR="00E03711" w:rsidRPr="00F769E0" w:rsidRDefault="00E03711" w:rsidP="00DA1716">
            <w:pPr>
              <w:pStyle w:val="GUIDE-NORMAL"/>
              <w:jc w:val="left"/>
              <w:rPr>
                <w:rFonts w:cs="Tahoma"/>
                <w:lang w:val="sl-SI" w:eastAsia="en-GB"/>
              </w:rPr>
            </w:pPr>
          </w:p>
        </w:tc>
        <w:tc>
          <w:tcPr>
            <w:tcW w:w="1358" w:type="dxa"/>
            <w:vMerge/>
            <w:shd w:val="clear" w:color="auto" w:fill="auto"/>
            <w:vAlign w:val="center"/>
          </w:tcPr>
          <w:p w14:paraId="7D399273" w14:textId="77777777" w:rsidR="00E03711" w:rsidRPr="00F769E0" w:rsidRDefault="00E03711" w:rsidP="00DA1716">
            <w:pPr>
              <w:pStyle w:val="GUIDE-NORMAL"/>
              <w:jc w:val="left"/>
              <w:rPr>
                <w:rFonts w:cs="Tahoma"/>
                <w:lang w:val="sl-SI" w:eastAsia="en-GB"/>
              </w:rPr>
            </w:pPr>
          </w:p>
        </w:tc>
        <w:tc>
          <w:tcPr>
            <w:tcW w:w="1162" w:type="dxa"/>
            <w:vMerge/>
            <w:shd w:val="clear" w:color="auto" w:fill="auto"/>
            <w:vAlign w:val="center"/>
          </w:tcPr>
          <w:p w14:paraId="7D399274" w14:textId="77777777" w:rsidR="00E03711" w:rsidRPr="00F769E0" w:rsidRDefault="00E03711" w:rsidP="00DA1716">
            <w:pPr>
              <w:pStyle w:val="GUIDE-NORMAL"/>
              <w:jc w:val="left"/>
              <w:rPr>
                <w:rFonts w:cs="Tahoma"/>
                <w:lang w:val="sl-SI" w:eastAsia="en-GB"/>
              </w:rPr>
            </w:pPr>
          </w:p>
        </w:tc>
        <w:tc>
          <w:tcPr>
            <w:tcW w:w="2100" w:type="dxa"/>
            <w:shd w:val="clear" w:color="auto" w:fill="auto"/>
            <w:vAlign w:val="center"/>
          </w:tcPr>
          <w:p w14:paraId="7D399275"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Dolgotrajna mobilnost učencev/dijakov</w:t>
            </w:r>
          </w:p>
        </w:tc>
        <w:tc>
          <w:tcPr>
            <w:tcW w:w="2323" w:type="dxa"/>
            <w:shd w:val="clear" w:color="auto" w:fill="auto"/>
            <w:vAlign w:val="center"/>
          </w:tcPr>
          <w:p w14:paraId="7D399276" w14:textId="77777777" w:rsidR="00E03711" w:rsidRPr="00F769E0" w:rsidRDefault="00E03711" w:rsidP="00DA1716">
            <w:pPr>
              <w:pStyle w:val="GUIDE-NORMAL"/>
              <w:spacing w:before="60" w:after="60"/>
              <w:jc w:val="left"/>
              <w:rPr>
                <w:rFonts w:cs="Tahoma"/>
                <w:lang w:val="sl-SI" w:eastAsia="en-GB"/>
              </w:rPr>
            </w:pPr>
            <w:r w:rsidRPr="0070398A">
              <w:rPr>
                <w:rFonts w:cs="Tahoma"/>
                <w:b/>
                <w:bdr w:val="single" w:sz="4" w:space="0" w:color="auto"/>
                <w:lang w:val="sl-SI" w:eastAsia="en-GB"/>
              </w:rPr>
              <w:t>B1.8</w:t>
            </w:r>
            <w:r w:rsidRPr="00F769E0">
              <w:rPr>
                <w:rFonts w:cs="Tahoma"/>
                <w:lang w:val="sl-SI" w:eastAsia="en-GB"/>
              </w:rPr>
              <w:t xml:space="preserve"> na mesec na udeleženca</w:t>
            </w:r>
          </w:p>
        </w:tc>
        <w:tc>
          <w:tcPr>
            <w:tcW w:w="1300" w:type="dxa"/>
            <w:vMerge/>
            <w:shd w:val="clear" w:color="auto" w:fill="auto"/>
            <w:vAlign w:val="center"/>
          </w:tcPr>
          <w:p w14:paraId="7D399277" w14:textId="77777777" w:rsidR="00E03711" w:rsidRPr="00F769E0" w:rsidRDefault="00E03711" w:rsidP="00DA1716">
            <w:pPr>
              <w:pStyle w:val="GUIDE-NORMAL"/>
              <w:jc w:val="left"/>
              <w:rPr>
                <w:rFonts w:cs="Tahoma"/>
                <w:lang w:val="sl-SI" w:eastAsia="en-GB"/>
              </w:rPr>
            </w:pPr>
          </w:p>
        </w:tc>
      </w:tr>
      <w:tr w:rsidR="00E03711" w:rsidRPr="00C60205" w14:paraId="7D399281" w14:textId="77777777" w:rsidTr="0070398A">
        <w:trPr>
          <w:trHeight w:val="2616"/>
        </w:trPr>
        <w:tc>
          <w:tcPr>
            <w:tcW w:w="821" w:type="dxa"/>
            <w:vMerge/>
            <w:shd w:val="clear" w:color="auto" w:fill="auto"/>
            <w:vAlign w:val="center"/>
          </w:tcPr>
          <w:p w14:paraId="7D399279" w14:textId="77777777" w:rsidR="00E03711" w:rsidRPr="00F769E0" w:rsidRDefault="00E03711" w:rsidP="00DA1716">
            <w:pPr>
              <w:pStyle w:val="GUIDE-NORMAL"/>
              <w:jc w:val="left"/>
              <w:rPr>
                <w:rFonts w:cs="Tahoma"/>
                <w:lang w:val="sl-SI" w:eastAsia="en-GB"/>
              </w:rPr>
            </w:pPr>
          </w:p>
        </w:tc>
        <w:tc>
          <w:tcPr>
            <w:tcW w:w="1358" w:type="dxa"/>
            <w:vMerge/>
            <w:shd w:val="clear" w:color="auto" w:fill="auto"/>
            <w:vAlign w:val="center"/>
          </w:tcPr>
          <w:p w14:paraId="7D39927A" w14:textId="77777777" w:rsidR="00E03711" w:rsidRPr="00F769E0" w:rsidRDefault="00E03711" w:rsidP="00DA1716">
            <w:pPr>
              <w:pStyle w:val="GUIDE-NORMAL"/>
              <w:jc w:val="left"/>
              <w:rPr>
                <w:rFonts w:cs="Tahoma"/>
                <w:lang w:val="sl-SI" w:eastAsia="en-GB"/>
              </w:rPr>
            </w:pPr>
          </w:p>
        </w:tc>
        <w:tc>
          <w:tcPr>
            <w:tcW w:w="1162" w:type="dxa"/>
            <w:vMerge/>
            <w:shd w:val="clear" w:color="auto" w:fill="auto"/>
            <w:vAlign w:val="center"/>
          </w:tcPr>
          <w:p w14:paraId="7D39927B" w14:textId="77777777" w:rsidR="00E03711" w:rsidRPr="00F769E0" w:rsidRDefault="00E03711" w:rsidP="00DA1716">
            <w:pPr>
              <w:pStyle w:val="GUIDE-NORMAL"/>
              <w:jc w:val="left"/>
              <w:rPr>
                <w:rFonts w:cs="Tahoma"/>
                <w:lang w:val="sl-SI" w:eastAsia="en-GB"/>
              </w:rPr>
            </w:pPr>
          </w:p>
        </w:tc>
        <w:tc>
          <w:tcPr>
            <w:tcW w:w="2100" w:type="dxa"/>
            <w:shd w:val="clear" w:color="auto" w:fill="auto"/>
            <w:vAlign w:val="center"/>
          </w:tcPr>
          <w:p w14:paraId="7D39927C" w14:textId="77777777" w:rsidR="00E03711" w:rsidRPr="00F769E0" w:rsidRDefault="00E03711" w:rsidP="00CE75BE">
            <w:pPr>
              <w:pStyle w:val="GUIDE-NORMAL"/>
              <w:spacing w:before="20" w:after="20"/>
              <w:jc w:val="left"/>
              <w:rPr>
                <w:rFonts w:cs="Tahoma"/>
                <w:lang w:val="sl-SI" w:eastAsia="en-GB"/>
              </w:rPr>
            </w:pPr>
            <w:r w:rsidRPr="00F769E0">
              <w:rPr>
                <w:rFonts w:cs="Tahoma"/>
                <w:lang w:val="sl-SI" w:eastAsia="en-GB"/>
              </w:rPr>
              <w:t xml:space="preserve">Kratkotrajne aktivnosti </w:t>
            </w:r>
            <w:r w:rsidRPr="00F769E0">
              <w:rPr>
                <w:rFonts w:cs="Tahoma"/>
                <w:lang w:val="sl-SI" w:eastAsia="en-GB"/>
              </w:rPr>
              <w:br/>
              <w:t>za učeče se (kombinirana mobilnost, kratkotrajna mobilnost učencev/dijakov, intenzivni študijski programi):</w:t>
            </w:r>
          </w:p>
        </w:tc>
        <w:tc>
          <w:tcPr>
            <w:tcW w:w="2323" w:type="dxa"/>
            <w:shd w:val="clear" w:color="auto" w:fill="auto"/>
            <w:vAlign w:val="center"/>
          </w:tcPr>
          <w:p w14:paraId="7D39927D" w14:textId="77777777" w:rsidR="00E03711" w:rsidRPr="00F769E0" w:rsidRDefault="00E03711" w:rsidP="00CE75BE">
            <w:pPr>
              <w:pStyle w:val="GUIDE-NORMAL"/>
              <w:spacing w:before="20" w:after="20"/>
              <w:jc w:val="left"/>
              <w:rPr>
                <w:rFonts w:cs="Tahoma"/>
                <w:lang w:val="sl-SI" w:eastAsia="en-GB"/>
              </w:rPr>
            </w:pPr>
            <w:r w:rsidRPr="00F769E0">
              <w:rPr>
                <w:rFonts w:cs="Tahoma"/>
                <w:lang w:val="sl-SI" w:eastAsia="en-GB"/>
              </w:rPr>
              <w:t xml:space="preserve">Do 14. dneva aktivnosti: </w:t>
            </w:r>
            <w:r w:rsidRPr="00F769E0">
              <w:rPr>
                <w:rFonts w:cs="Tahoma"/>
                <w:lang w:val="sl-SI" w:eastAsia="en-GB"/>
              </w:rPr>
              <w:br/>
              <w:t>58 EUR na dan na udeleženca</w:t>
            </w:r>
          </w:p>
          <w:p w14:paraId="7D39927E" w14:textId="77777777" w:rsidR="00E03711" w:rsidRPr="00F769E0" w:rsidRDefault="00E03711" w:rsidP="00CE75BE">
            <w:pPr>
              <w:pStyle w:val="GUIDE-NORMAL"/>
              <w:spacing w:before="20" w:after="20"/>
              <w:jc w:val="left"/>
              <w:rPr>
                <w:rFonts w:cs="Tahoma"/>
                <w:lang w:val="sl-SI" w:eastAsia="en-GB"/>
              </w:rPr>
            </w:pPr>
            <w:r w:rsidRPr="00F769E0">
              <w:rPr>
                <w:rFonts w:cs="Tahoma"/>
                <w:lang w:val="sl-SI" w:eastAsia="en-GB"/>
              </w:rPr>
              <w:t>+</w:t>
            </w:r>
          </w:p>
          <w:p w14:paraId="7D39927F" w14:textId="77777777" w:rsidR="00E03711" w:rsidRPr="00F769E0" w:rsidRDefault="00E03711" w:rsidP="00CE75BE">
            <w:pPr>
              <w:pStyle w:val="GUIDE-NORMAL"/>
              <w:spacing w:before="20" w:after="20"/>
              <w:jc w:val="left"/>
              <w:rPr>
                <w:rFonts w:cs="Tahoma"/>
                <w:lang w:val="sl-SI" w:eastAsia="en-GB"/>
              </w:rPr>
            </w:pPr>
            <w:r w:rsidRPr="00F769E0">
              <w:rPr>
                <w:rFonts w:cs="Tahoma"/>
                <w:lang w:val="sl-SI" w:eastAsia="en-GB"/>
              </w:rPr>
              <w:t xml:space="preserve">od 15. do 60. dneva aktivnosti: 42 EUR </w:t>
            </w:r>
            <w:r w:rsidRPr="00F769E0">
              <w:rPr>
                <w:rFonts w:cs="Tahoma"/>
                <w:lang w:val="sl-SI" w:eastAsia="en-GB"/>
              </w:rPr>
              <w:br/>
              <w:t>na dan na udeleženca</w:t>
            </w:r>
          </w:p>
        </w:tc>
        <w:tc>
          <w:tcPr>
            <w:tcW w:w="1300" w:type="dxa"/>
            <w:vMerge/>
            <w:shd w:val="clear" w:color="auto" w:fill="auto"/>
            <w:vAlign w:val="center"/>
          </w:tcPr>
          <w:p w14:paraId="7D399280" w14:textId="77777777" w:rsidR="00E03711" w:rsidRPr="00F769E0" w:rsidRDefault="00E03711" w:rsidP="00CE75BE">
            <w:pPr>
              <w:pStyle w:val="GUIDE-NORMAL"/>
              <w:spacing w:before="20" w:after="20"/>
              <w:jc w:val="left"/>
              <w:rPr>
                <w:rFonts w:cs="Tahoma"/>
                <w:lang w:val="sl-SI" w:eastAsia="en-GB"/>
              </w:rPr>
            </w:pPr>
          </w:p>
        </w:tc>
      </w:tr>
      <w:tr w:rsidR="00E03711" w:rsidRPr="00C60205" w14:paraId="7D399288" w14:textId="77777777" w:rsidTr="0070398A">
        <w:trPr>
          <w:trHeight w:val="20"/>
        </w:trPr>
        <w:tc>
          <w:tcPr>
            <w:tcW w:w="821" w:type="dxa"/>
            <w:shd w:val="clear" w:color="auto" w:fill="auto"/>
            <w:vAlign w:val="center"/>
          </w:tcPr>
          <w:p w14:paraId="7D399282" w14:textId="77777777" w:rsidR="00F22E7C" w:rsidRDefault="00E03711" w:rsidP="00DA1716">
            <w:pPr>
              <w:pStyle w:val="GUIDE-NORMAL"/>
              <w:spacing w:before="60" w:after="60"/>
              <w:jc w:val="left"/>
              <w:rPr>
                <w:rStyle w:val="Guide-Condensed-02"/>
                <w:rFonts w:cs="Tahoma"/>
                <w:b/>
                <w:lang w:val="sl-SI" w:eastAsia="en-GB"/>
              </w:rPr>
            </w:pPr>
            <w:r w:rsidRPr="00F769E0">
              <w:rPr>
                <w:rStyle w:val="Guide-Condensed-02"/>
                <w:rFonts w:cs="Tahoma"/>
                <w:b/>
                <w:lang w:val="sl-SI" w:eastAsia="en-GB"/>
              </w:rPr>
              <w:t xml:space="preserve">Jezikovna </w:t>
            </w:r>
          </w:p>
          <w:p w14:paraId="7D399283" w14:textId="77777777" w:rsidR="00E03711" w:rsidRPr="00F769E0" w:rsidRDefault="00F22E7C" w:rsidP="00DA1716">
            <w:pPr>
              <w:pStyle w:val="GUIDE-NORMAL"/>
              <w:spacing w:before="60" w:after="60"/>
              <w:jc w:val="left"/>
              <w:rPr>
                <w:rStyle w:val="Guide-Condensed-02"/>
                <w:rFonts w:cs="Tahoma"/>
                <w:b/>
                <w:lang w:val="sl-SI" w:eastAsia="en-GB"/>
              </w:rPr>
            </w:pPr>
            <w:r>
              <w:rPr>
                <w:rStyle w:val="Guide-Condensed-02"/>
                <w:rFonts w:cs="Tahoma"/>
                <w:b/>
                <w:lang w:val="sl-SI" w:eastAsia="en-GB"/>
              </w:rPr>
              <w:t>pod</w:t>
            </w:r>
            <w:r w:rsidR="00E03711" w:rsidRPr="00F769E0">
              <w:rPr>
                <w:rStyle w:val="Guide-Condensed-02"/>
                <w:rFonts w:cs="Tahoma"/>
                <w:b/>
                <w:lang w:val="sl-SI" w:eastAsia="en-GB"/>
              </w:rPr>
              <w:t>pora</w:t>
            </w:r>
          </w:p>
        </w:tc>
        <w:tc>
          <w:tcPr>
            <w:tcW w:w="1358" w:type="dxa"/>
            <w:shd w:val="clear" w:color="auto" w:fill="auto"/>
            <w:vAlign w:val="center"/>
          </w:tcPr>
          <w:p w14:paraId="7D399284" w14:textId="77777777" w:rsidR="00E03711" w:rsidRPr="00F769E0" w:rsidRDefault="00E03711" w:rsidP="00DA1716">
            <w:pPr>
              <w:pStyle w:val="GUIDE-NORMAL"/>
              <w:spacing w:before="60" w:after="60"/>
              <w:jc w:val="left"/>
              <w:rPr>
                <w:rStyle w:val="Guide-Condensed-01"/>
                <w:rFonts w:cs="Tahoma"/>
                <w:lang w:val="sl-SI" w:eastAsia="en-GB"/>
              </w:rPr>
            </w:pPr>
            <w:r w:rsidRPr="00F769E0">
              <w:rPr>
                <w:rStyle w:val="Guide-Condensed-01"/>
                <w:rFonts w:cs="Tahoma"/>
                <w:lang w:val="sl-SI" w:eastAsia="en-GB"/>
              </w:rPr>
              <w:t>Stroški, povezani s podporo udeležencem za izboljšanje znanja jezika poučevanja ali dela.</w:t>
            </w:r>
          </w:p>
        </w:tc>
        <w:tc>
          <w:tcPr>
            <w:tcW w:w="1162" w:type="dxa"/>
            <w:shd w:val="clear" w:color="auto" w:fill="auto"/>
            <w:vAlign w:val="center"/>
          </w:tcPr>
          <w:p w14:paraId="7D399285"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4423" w:type="dxa"/>
            <w:gridSpan w:val="2"/>
            <w:shd w:val="clear" w:color="auto" w:fill="auto"/>
            <w:vAlign w:val="center"/>
          </w:tcPr>
          <w:p w14:paraId="7D399286"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 xml:space="preserve">Samo za aktivnosti, ki trajajo </w:t>
            </w:r>
            <w:r w:rsidRPr="00F769E0">
              <w:rPr>
                <w:rFonts w:cs="Tahoma"/>
                <w:lang w:val="sl-SI" w:eastAsia="en-GB"/>
              </w:rPr>
              <w:br/>
              <w:t xml:space="preserve">od 2 do 12 mesecev: 150 EUR na udeleženca, </w:t>
            </w:r>
            <w:r w:rsidRPr="00F769E0">
              <w:rPr>
                <w:rFonts w:cs="Tahoma"/>
                <w:lang w:val="sl-SI" w:eastAsia="en-GB"/>
              </w:rPr>
              <w:br/>
              <w:t>ki potrebuje jezikovno podporo</w:t>
            </w:r>
          </w:p>
        </w:tc>
        <w:tc>
          <w:tcPr>
            <w:tcW w:w="1300" w:type="dxa"/>
            <w:shd w:val="clear" w:color="auto" w:fill="auto"/>
            <w:vAlign w:val="center"/>
          </w:tcPr>
          <w:p w14:paraId="7D399287"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Pogoj: zahtevek za finančno podporo mora biti utemeljen v prijavnem obrazcu.</w:t>
            </w:r>
          </w:p>
        </w:tc>
      </w:tr>
      <w:tr w:rsidR="00E03711" w:rsidRPr="00C60205" w14:paraId="7D39928E" w14:textId="77777777" w:rsidTr="0070398A">
        <w:trPr>
          <w:trHeight w:val="20"/>
        </w:trPr>
        <w:tc>
          <w:tcPr>
            <w:tcW w:w="821" w:type="dxa"/>
            <w:shd w:val="clear" w:color="auto" w:fill="auto"/>
            <w:vAlign w:val="center"/>
          </w:tcPr>
          <w:p w14:paraId="7D399289" w14:textId="77777777" w:rsidR="00E03711" w:rsidRPr="00F769E0" w:rsidRDefault="00E03711" w:rsidP="00DA1716">
            <w:pPr>
              <w:pStyle w:val="GUIDE-NORMAL"/>
              <w:spacing w:before="60" w:after="60"/>
              <w:jc w:val="left"/>
              <w:rPr>
                <w:rFonts w:cs="Tahoma"/>
                <w:b/>
                <w:lang w:val="sl-SI" w:eastAsia="en-GB"/>
              </w:rPr>
            </w:pPr>
            <w:r w:rsidRPr="00F769E0">
              <w:rPr>
                <w:rFonts w:cs="Tahoma"/>
                <w:b/>
                <w:lang w:val="sl-SI" w:eastAsia="en-GB"/>
              </w:rPr>
              <w:t>Izredni stroški</w:t>
            </w:r>
          </w:p>
        </w:tc>
        <w:tc>
          <w:tcPr>
            <w:tcW w:w="1358" w:type="dxa"/>
            <w:shd w:val="clear" w:color="auto" w:fill="auto"/>
            <w:vAlign w:val="center"/>
          </w:tcPr>
          <w:p w14:paraId="7D39928A" w14:textId="77777777" w:rsidR="00E03711" w:rsidRPr="00F769E0" w:rsidRDefault="00E03711">
            <w:pPr>
              <w:pStyle w:val="GUIDE-NORMAL"/>
              <w:spacing w:before="60" w:after="60"/>
              <w:jc w:val="left"/>
              <w:rPr>
                <w:rStyle w:val="Guide-Condensed-02"/>
                <w:rFonts w:cs="Tahoma"/>
                <w:lang w:val="sl-SI" w:eastAsia="en-GB"/>
              </w:rPr>
            </w:pPr>
            <w:r w:rsidRPr="00F769E0">
              <w:rPr>
                <w:rStyle w:val="Guide-Condensed-02"/>
                <w:rFonts w:cs="Tahoma"/>
                <w:lang w:val="sl-SI" w:eastAsia="en-GB"/>
              </w:rPr>
              <w:t>Dragi potni stroški udeležencev</w:t>
            </w:r>
            <w:r>
              <w:rPr>
                <w:rStyle w:val="Guide-Condensed-02"/>
                <w:rFonts w:cs="Tahoma"/>
                <w:lang w:val="sl-SI" w:eastAsia="en-GB"/>
              </w:rPr>
              <w:t>, vključno z uporabo čistejših prevoznih sredstev, z manj emisijami ogljika</w:t>
            </w:r>
            <w:r w:rsidRPr="00F769E0">
              <w:rPr>
                <w:rStyle w:val="Guide-Condensed-02"/>
                <w:rFonts w:cs="Tahoma"/>
                <w:lang w:val="sl-SI" w:eastAsia="en-GB"/>
              </w:rPr>
              <w:t xml:space="preserve"> (za podrobnosti glej poglavje „Kaj je še treba vedeti o tem ukrepu?“).</w:t>
            </w:r>
          </w:p>
        </w:tc>
        <w:tc>
          <w:tcPr>
            <w:tcW w:w="1162" w:type="dxa"/>
            <w:shd w:val="clear" w:color="auto" w:fill="auto"/>
            <w:vAlign w:val="center"/>
          </w:tcPr>
          <w:p w14:paraId="7D39928B"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Dejanski stroški</w:t>
            </w:r>
          </w:p>
        </w:tc>
        <w:tc>
          <w:tcPr>
            <w:tcW w:w="4423" w:type="dxa"/>
            <w:gridSpan w:val="2"/>
            <w:shd w:val="clear" w:color="auto" w:fill="auto"/>
            <w:vAlign w:val="center"/>
          </w:tcPr>
          <w:p w14:paraId="7D39928C" w14:textId="77777777" w:rsidR="00E03711" w:rsidRPr="00F769E0" w:rsidRDefault="00E03711" w:rsidP="00DA1716">
            <w:pPr>
              <w:pStyle w:val="GUIDE-NORMAL"/>
              <w:spacing w:before="60" w:after="60"/>
              <w:jc w:val="left"/>
              <w:rPr>
                <w:rFonts w:cs="Tahoma"/>
                <w:lang w:val="sl-SI" w:eastAsia="en-GB"/>
              </w:rPr>
            </w:pPr>
            <w:r w:rsidRPr="00F769E0">
              <w:rPr>
                <w:rFonts w:cs="Tahoma"/>
                <w:lang w:val="sl-SI" w:eastAsia="en-GB"/>
              </w:rPr>
              <w:t xml:space="preserve">Dragi potni stroški: do največ 80 % </w:t>
            </w:r>
            <w:r w:rsidRPr="00F769E0">
              <w:rPr>
                <w:rFonts w:cs="Tahoma"/>
                <w:lang w:val="sl-SI" w:eastAsia="en-GB"/>
              </w:rPr>
              <w:br/>
              <w:t>upravičenih stroškov</w:t>
            </w:r>
          </w:p>
        </w:tc>
        <w:tc>
          <w:tcPr>
            <w:tcW w:w="1300" w:type="dxa"/>
            <w:shd w:val="clear" w:color="auto" w:fill="auto"/>
            <w:vAlign w:val="center"/>
          </w:tcPr>
          <w:p w14:paraId="7D39928D" w14:textId="77777777" w:rsidR="00E03711" w:rsidRPr="00F769E0" w:rsidRDefault="00E03711" w:rsidP="00DA1716">
            <w:pPr>
              <w:pStyle w:val="GUIDE-NORMAL"/>
              <w:spacing w:before="60" w:after="60"/>
              <w:jc w:val="left"/>
              <w:rPr>
                <w:rStyle w:val="Guide-Condensed-02"/>
                <w:rFonts w:cs="Tahoma"/>
                <w:lang w:val="sl-SI" w:eastAsia="en-GB"/>
              </w:rPr>
            </w:pPr>
            <w:r w:rsidRPr="00F769E0">
              <w:rPr>
                <w:rStyle w:val="Guide-Condensed-02"/>
                <w:rFonts w:cs="Tahoma"/>
                <w:lang w:val="sl-SI" w:eastAsia="en-GB"/>
              </w:rPr>
              <w:t>Pogoj: zahtevek za finančno podporo za kritje izrednih stroškov mora biti utemeljen v prijavnem obrazcu.</w:t>
            </w:r>
          </w:p>
        </w:tc>
      </w:tr>
    </w:tbl>
    <w:p w14:paraId="7D39928F" w14:textId="77777777" w:rsidR="00E03711" w:rsidRPr="001048FE" w:rsidRDefault="00E03711" w:rsidP="00894D24">
      <w:pPr>
        <w:pStyle w:val="Guide-Heading6"/>
        <w:rPr>
          <w:lang w:val="sl-SI"/>
        </w:rPr>
        <w:sectPr w:rsidR="00E03711" w:rsidRPr="001048FE" w:rsidSect="00D53824">
          <w:endnotePr>
            <w:numFmt w:val="decimal"/>
          </w:endnotePr>
          <w:pgSz w:w="16840" w:h="11910" w:orient="landscape" w:code="9"/>
          <w:pgMar w:top="1418" w:right="1134" w:bottom="1418" w:left="1134" w:header="284" w:footer="567" w:gutter="0"/>
          <w:cols w:space="720"/>
          <w:docGrid w:linePitch="326"/>
        </w:sectPr>
      </w:pPr>
    </w:p>
    <w:p w14:paraId="7D399290" w14:textId="77777777" w:rsidR="00E03711" w:rsidRPr="001048FE" w:rsidRDefault="00E03711" w:rsidP="005041C6">
      <w:pPr>
        <w:pStyle w:val="Guide-Heading6"/>
        <w:rPr>
          <w:lang w:val="sl-SI"/>
        </w:rPr>
      </w:pPr>
      <w:r w:rsidRPr="001048FE">
        <w:rPr>
          <w:lang w:val="sl-SI"/>
        </w:rPr>
        <w:t>Preglednica A – Priprava intelektualnih rezultatov (zneski v EUR na dan)</w:t>
      </w:r>
    </w:p>
    <w:p w14:paraId="7D399291" w14:textId="77777777" w:rsidR="00E03711" w:rsidRPr="001048FE" w:rsidRDefault="00E03711" w:rsidP="00894D24">
      <w:pPr>
        <w:pStyle w:val="GUIDE-NORMAL"/>
        <w:rPr>
          <w:lang w:val="sl-SI"/>
        </w:rPr>
      </w:pPr>
      <w:r w:rsidRPr="001048FE">
        <w:rPr>
          <w:lang w:val="sl-SI"/>
        </w:rPr>
        <w:t>Ta sredstva se lahko uporabljajo samo za stroške osebja organizacij, ki sodelujejo v projektu za pripravo intelektualnih rezultatov</w:t>
      </w:r>
      <w:r w:rsidRPr="001048FE">
        <w:rPr>
          <w:rStyle w:val="FootnoteReference"/>
          <w:lang w:val="sl-SI"/>
        </w:rPr>
        <w:footnoteReference w:id="105"/>
      </w:r>
      <w:r w:rsidRPr="001048FE">
        <w:rPr>
          <w:lang w:val="sl-SI"/>
        </w:rPr>
        <w:t>. Zneski so odvisni od: (a) profila osebja, ki je vključeno v projekt, in (b) države sodelujoče organizacije, iz katere prihaja to osebje.</w:t>
      </w:r>
    </w:p>
    <w:tbl>
      <w:tblPr>
        <w:tblW w:w="5003" w:type="pct"/>
        <w:tblInd w:w="7" w:type="dxa"/>
        <w:tblLayout w:type="fixed"/>
        <w:tblLook w:val="0000" w:firstRow="0" w:lastRow="0" w:firstColumn="0" w:lastColumn="0" w:noHBand="0" w:noVBand="0"/>
      </w:tblPr>
      <w:tblGrid>
        <w:gridCol w:w="5552"/>
        <w:gridCol w:w="2312"/>
        <w:gridCol w:w="2311"/>
        <w:gridCol w:w="2311"/>
        <w:gridCol w:w="2311"/>
      </w:tblGrid>
      <w:tr w:rsidR="00E03711" w:rsidRPr="008C6F8C" w14:paraId="7D399297" w14:textId="77777777" w:rsidTr="00891219">
        <w:trPr>
          <w:trHeight w:val="20"/>
        </w:trPr>
        <w:tc>
          <w:tcPr>
            <w:tcW w:w="3403" w:type="dxa"/>
            <w:vMerge w:val="restart"/>
            <w:tcBorders>
              <w:top w:val="none" w:sz="6" w:space="0" w:color="auto"/>
              <w:left w:val="none" w:sz="6" w:space="0" w:color="auto"/>
              <w:bottom w:val="single" w:sz="6" w:space="0" w:color="000000"/>
              <w:right w:val="single" w:sz="6" w:space="0" w:color="000000"/>
            </w:tcBorders>
            <w:shd w:val="clear" w:color="auto" w:fill="auto"/>
          </w:tcPr>
          <w:p w14:paraId="7D399292" w14:textId="77777777" w:rsidR="00E03711" w:rsidRPr="001048FE" w:rsidRDefault="00E03711" w:rsidP="00891219">
            <w:pPr>
              <w:pStyle w:val="GUIDE-NORMAL"/>
              <w:spacing w:before="20" w:after="20"/>
              <w:rPr>
                <w:rFonts w:ascii="Times New Roman" w:hAnsi="Times New Roman"/>
                <w:lang w:val="sl-SI" w:eastAsia="en-GB"/>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93" w14:textId="77777777" w:rsidR="00E03711" w:rsidRPr="00F769E0" w:rsidRDefault="00E03711" w:rsidP="006D0E03">
            <w:pPr>
              <w:pStyle w:val="GUIDE-NORMAL"/>
              <w:spacing w:before="60" w:after="60"/>
              <w:jc w:val="center"/>
              <w:rPr>
                <w:rFonts w:cs="Tahoma"/>
                <w:b/>
                <w:lang w:val="sl-SI" w:eastAsia="en-GB"/>
              </w:rPr>
            </w:pPr>
            <w:r w:rsidRPr="00F769E0">
              <w:rPr>
                <w:rFonts w:cs="Tahoma"/>
                <w:b/>
                <w:lang w:val="sl-SI" w:eastAsia="en-GB"/>
              </w:rPr>
              <w:t>Menedžer</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94" w14:textId="77777777" w:rsidR="00E03711" w:rsidRPr="00F769E0" w:rsidRDefault="00E03711" w:rsidP="006D0E03">
            <w:pPr>
              <w:pStyle w:val="GUIDE-NORMAL"/>
              <w:spacing w:before="60" w:after="60"/>
              <w:jc w:val="center"/>
              <w:rPr>
                <w:rFonts w:cs="Tahoma"/>
                <w:b/>
                <w:lang w:val="sl-SI" w:eastAsia="en-GB"/>
              </w:rPr>
            </w:pPr>
            <w:r w:rsidRPr="00F769E0">
              <w:rPr>
                <w:rFonts w:cs="Tahoma"/>
                <w:b/>
                <w:lang w:val="sl-SI" w:eastAsia="en-GB"/>
              </w:rPr>
              <w:t>Učitelj/vodja usposabljanja/</w:t>
            </w:r>
            <w:r w:rsidRPr="00F769E0">
              <w:rPr>
                <w:rFonts w:cs="Tahoma"/>
                <w:b/>
                <w:lang w:val="sl-SI" w:eastAsia="en-GB"/>
              </w:rPr>
              <w:br/>
              <w:t>raziskovalec/ mladinski delavec</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95" w14:textId="77777777" w:rsidR="00E03711" w:rsidRPr="00F769E0" w:rsidRDefault="00E03711" w:rsidP="006D0E03">
            <w:pPr>
              <w:pStyle w:val="GUIDE-NORMAL"/>
              <w:spacing w:before="60" w:after="60"/>
              <w:jc w:val="center"/>
              <w:rPr>
                <w:rFonts w:cs="Tahoma"/>
                <w:b/>
                <w:lang w:val="sl-SI" w:eastAsia="en-GB"/>
              </w:rPr>
            </w:pPr>
            <w:r w:rsidRPr="00F769E0">
              <w:rPr>
                <w:rFonts w:cs="Tahoma"/>
                <w:b/>
                <w:lang w:val="sl-SI" w:eastAsia="en-GB"/>
              </w:rPr>
              <w:t>Tehnično osebje</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96" w14:textId="77777777" w:rsidR="00E03711" w:rsidRPr="00F769E0" w:rsidRDefault="00E03711" w:rsidP="006D0E03">
            <w:pPr>
              <w:pStyle w:val="GUIDE-NORMAL"/>
              <w:spacing w:before="60" w:after="60"/>
              <w:jc w:val="center"/>
              <w:rPr>
                <w:rFonts w:cs="Tahoma"/>
                <w:b/>
                <w:lang w:val="sl-SI" w:eastAsia="en-GB"/>
              </w:rPr>
            </w:pPr>
            <w:r w:rsidRPr="00F769E0">
              <w:rPr>
                <w:rFonts w:cs="Tahoma"/>
                <w:b/>
                <w:lang w:val="sl-SI" w:eastAsia="en-GB"/>
              </w:rPr>
              <w:t>Administrativno osebje</w:t>
            </w:r>
          </w:p>
        </w:tc>
      </w:tr>
      <w:tr w:rsidR="00E03711" w:rsidRPr="008C6F8C" w14:paraId="7D39929D" w14:textId="77777777" w:rsidTr="00891219">
        <w:trPr>
          <w:trHeight w:val="20"/>
        </w:trPr>
        <w:tc>
          <w:tcPr>
            <w:tcW w:w="3403" w:type="dxa"/>
            <w:vMerge/>
            <w:tcBorders>
              <w:top w:val="nil"/>
              <w:left w:val="none" w:sz="6" w:space="0" w:color="auto"/>
              <w:bottom w:val="single" w:sz="6" w:space="0" w:color="000000"/>
              <w:right w:val="single" w:sz="6" w:space="0" w:color="000000"/>
            </w:tcBorders>
            <w:shd w:val="clear" w:color="auto" w:fill="auto"/>
          </w:tcPr>
          <w:p w14:paraId="7D399298" w14:textId="77777777" w:rsidR="00E03711" w:rsidRPr="00F769E0" w:rsidRDefault="00E03711" w:rsidP="00891219">
            <w:pPr>
              <w:pStyle w:val="GUIDE-NORMAL"/>
              <w:spacing w:before="20" w:after="20"/>
              <w:rPr>
                <w:rFonts w:cs="Tahoma"/>
                <w:lang w:val="sl-SI" w:eastAsia="en-GB"/>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99" w14:textId="77777777" w:rsidR="00E03711" w:rsidRPr="00F769E0" w:rsidRDefault="00E03711" w:rsidP="00891219">
            <w:pPr>
              <w:pStyle w:val="GUIDE-NORMAL"/>
              <w:spacing w:before="20" w:after="20"/>
              <w:jc w:val="center"/>
              <w:rPr>
                <w:rFonts w:cs="Tahoma"/>
                <w:lang w:val="sl-SI" w:eastAsia="en-GB"/>
              </w:rPr>
            </w:pPr>
            <w:r w:rsidRPr="00F769E0">
              <w:rPr>
                <w:rFonts w:cs="Tahoma"/>
                <w:lang w:val="sl-SI" w:eastAsia="en-GB"/>
              </w:rPr>
              <w:t>B1.1</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9A" w14:textId="77777777" w:rsidR="00E03711" w:rsidRPr="00F769E0" w:rsidRDefault="00E03711" w:rsidP="00891219">
            <w:pPr>
              <w:pStyle w:val="GUIDE-NORMAL"/>
              <w:spacing w:before="20" w:after="20"/>
              <w:jc w:val="center"/>
              <w:rPr>
                <w:rFonts w:cs="Tahoma"/>
                <w:lang w:val="sl-SI" w:eastAsia="en-GB"/>
              </w:rPr>
            </w:pPr>
            <w:r w:rsidRPr="00F769E0">
              <w:rPr>
                <w:rFonts w:cs="Tahoma"/>
                <w:lang w:val="sl-SI" w:eastAsia="en-GB"/>
              </w:rPr>
              <w:t>B1.2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9B" w14:textId="77777777" w:rsidR="00E03711" w:rsidRPr="00F769E0" w:rsidRDefault="00E03711" w:rsidP="00891219">
            <w:pPr>
              <w:pStyle w:val="GUIDE-NORMAL"/>
              <w:spacing w:before="20" w:after="20"/>
              <w:jc w:val="center"/>
              <w:rPr>
                <w:rFonts w:cs="Tahoma"/>
                <w:lang w:val="sl-SI" w:eastAsia="en-GB"/>
              </w:rPr>
            </w:pPr>
            <w:r w:rsidRPr="00F769E0">
              <w:rPr>
                <w:rFonts w:cs="Tahoma"/>
                <w:lang w:val="sl-SI" w:eastAsia="en-GB"/>
              </w:rPr>
              <w:t>B1.3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9C" w14:textId="77777777" w:rsidR="00E03711" w:rsidRPr="00F769E0" w:rsidRDefault="00E03711" w:rsidP="00891219">
            <w:pPr>
              <w:pStyle w:val="GUIDE-NORMAL"/>
              <w:spacing w:before="20" w:after="20"/>
              <w:jc w:val="center"/>
              <w:rPr>
                <w:rFonts w:cs="Tahoma"/>
                <w:lang w:val="sl-SI" w:eastAsia="en-GB"/>
              </w:rPr>
            </w:pPr>
            <w:r w:rsidRPr="00F769E0">
              <w:rPr>
                <w:rFonts w:cs="Tahoma"/>
                <w:lang w:val="sl-SI" w:eastAsia="en-GB"/>
              </w:rPr>
              <w:t>B1.4</w:t>
            </w:r>
          </w:p>
        </w:tc>
      </w:tr>
      <w:tr w:rsidR="00E03711" w:rsidRPr="008C6F8C" w14:paraId="7D3992A3" w14:textId="77777777" w:rsidTr="00EF2B46">
        <w:trPr>
          <w:trHeight w:val="626"/>
        </w:trPr>
        <w:tc>
          <w:tcPr>
            <w:tcW w:w="34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9E" w14:textId="77777777" w:rsidR="00E03711" w:rsidRPr="00F769E0" w:rsidRDefault="00E03711" w:rsidP="006D0E03">
            <w:pPr>
              <w:pStyle w:val="GUIDE-NORMAL"/>
              <w:spacing w:before="60" w:after="60"/>
              <w:jc w:val="left"/>
              <w:rPr>
                <w:rFonts w:cs="Tahoma"/>
                <w:b/>
                <w:lang w:val="sl-SI" w:eastAsia="en-GB"/>
              </w:rPr>
            </w:pPr>
            <w:r w:rsidRPr="00F769E0">
              <w:rPr>
                <w:rFonts w:cs="Tahoma"/>
                <w:b/>
                <w:lang w:val="sl-SI" w:eastAsia="en-GB"/>
              </w:rPr>
              <w:t>Danska, Irska, Luksemburg, Nizozemska, Avstrija, Švedska, Lihtenštajn, Norveška</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9F" w14:textId="77777777" w:rsidR="00E03711" w:rsidRPr="00F769E0" w:rsidRDefault="00E03711" w:rsidP="006D0E03">
            <w:pPr>
              <w:pStyle w:val="GUIDE-NORMAL"/>
              <w:spacing w:before="60" w:after="60"/>
              <w:jc w:val="center"/>
              <w:rPr>
                <w:rFonts w:cs="Tahoma"/>
                <w:lang w:val="sl-SI" w:eastAsia="en-GB"/>
              </w:rPr>
            </w:pPr>
            <w:r w:rsidRPr="00F769E0">
              <w:rPr>
                <w:rFonts w:cs="Tahoma"/>
                <w:lang w:val="sl-SI" w:eastAsia="en-GB"/>
              </w:rPr>
              <w:t>294</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A0" w14:textId="77777777" w:rsidR="00E03711" w:rsidRPr="00F769E0" w:rsidRDefault="00E03711" w:rsidP="006D0E03">
            <w:pPr>
              <w:pStyle w:val="GUIDE-NORMAL"/>
              <w:spacing w:before="60" w:after="60"/>
              <w:jc w:val="center"/>
              <w:rPr>
                <w:rFonts w:cs="Tahoma"/>
                <w:lang w:val="sl-SI" w:eastAsia="en-GB"/>
              </w:rPr>
            </w:pPr>
            <w:r w:rsidRPr="00F769E0">
              <w:rPr>
                <w:rFonts w:cs="Tahoma"/>
                <w:lang w:val="sl-SI" w:eastAsia="en-GB"/>
              </w:rPr>
              <w:t>241</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A1" w14:textId="77777777" w:rsidR="00E03711" w:rsidRPr="00F769E0" w:rsidRDefault="00E03711" w:rsidP="006D0E03">
            <w:pPr>
              <w:pStyle w:val="GUIDE-NORMAL"/>
              <w:spacing w:before="60" w:after="60"/>
              <w:jc w:val="center"/>
              <w:rPr>
                <w:rFonts w:cs="Tahoma"/>
                <w:lang w:val="sl-SI" w:eastAsia="en-GB"/>
              </w:rPr>
            </w:pPr>
            <w:r w:rsidRPr="00F769E0">
              <w:rPr>
                <w:rFonts w:cs="Tahoma"/>
                <w:lang w:val="sl-SI" w:eastAsia="en-GB"/>
              </w:rPr>
              <w:t>190</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A2" w14:textId="77777777" w:rsidR="00E03711" w:rsidRPr="00F769E0" w:rsidRDefault="00E03711" w:rsidP="006D0E03">
            <w:pPr>
              <w:pStyle w:val="GUIDE-NORMAL"/>
              <w:spacing w:before="60" w:after="60"/>
              <w:jc w:val="center"/>
              <w:rPr>
                <w:rFonts w:cs="Tahoma"/>
                <w:lang w:val="sl-SI" w:eastAsia="en-GB"/>
              </w:rPr>
            </w:pPr>
            <w:r w:rsidRPr="00F769E0">
              <w:rPr>
                <w:rFonts w:cs="Tahoma"/>
                <w:lang w:val="sl-SI" w:eastAsia="en-GB"/>
              </w:rPr>
              <w:t>157</w:t>
            </w:r>
          </w:p>
        </w:tc>
      </w:tr>
      <w:tr w:rsidR="00E03711" w:rsidRPr="008C6F8C" w14:paraId="7D3992A9" w14:textId="77777777" w:rsidTr="00891219">
        <w:trPr>
          <w:trHeight w:val="20"/>
        </w:trPr>
        <w:tc>
          <w:tcPr>
            <w:tcW w:w="34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A4" w14:textId="77777777" w:rsidR="00E03711" w:rsidRPr="00F769E0" w:rsidRDefault="00E03711" w:rsidP="006D0E03">
            <w:pPr>
              <w:pStyle w:val="GUIDE-NORMAL"/>
              <w:spacing w:before="60" w:after="60"/>
              <w:jc w:val="left"/>
              <w:rPr>
                <w:rFonts w:cs="Tahoma"/>
                <w:b/>
                <w:lang w:val="sl-SI" w:eastAsia="en-GB"/>
              </w:rPr>
            </w:pPr>
            <w:r w:rsidRPr="00F769E0">
              <w:rPr>
                <w:rFonts w:cs="Tahoma"/>
                <w:b/>
                <w:lang w:val="sl-SI" w:eastAsia="en-GB"/>
              </w:rPr>
              <w:t>Belgija, Nemčija, Francija, Italija, Finska, Združeno kraljestvo, Islandija</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A5" w14:textId="77777777" w:rsidR="00E03711" w:rsidRPr="00F769E0" w:rsidRDefault="00E03711" w:rsidP="006D0E03">
            <w:pPr>
              <w:pStyle w:val="GUIDE-NORMAL"/>
              <w:spacing w:before="60" w:after="60"/>
              <w:jc w:val="center"/>
              <w:rPr>
                <w:rFonts w:cs="Tahoma"/>
                <w:lang w:val="sl-SI" w:eastAsia="en-GB"/>
              </w:rPr>
            </w:pPr>
            <w:r w:rsidRPr="00F769E0">
              <w:rPr>
                <w:rFonts w:cs="Tahoma"/>
                <w:lang w:val="sl-SI" w:eastAsia="en-GB"/>
              </w:rPr>
              <w:t>280</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A6" w14:textId="77777777" w:rsidR="00E03711" w:rsidRPr="00F769E0" w:rsidRDefault="00E03711" w:rsidP="006D0E03">
            <w:pPr>
              <w:pStyle w:val="GUIDE-NORMAL"/>
              <w:spacing w:before="60" w:after="60"/>
              <w:jc w:val="center"/>
              <w:rPr>
                <w:rFonts w:cs="Tahoma"/>
                <w:lang w:val="sl-SI" w:eastAsia="en-GB"/>
              </w:rPr>
            </w:pPr>
            <w:r w:rsidRPr="00F769E0">
              <w:rPr>
                <w:rFonts w:cs="Tahoma"/>
                <w:lang w:val="sl-SI" w:eastAsia="en-GB"/>
              </w:rPr>
              <w:t>214</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A7" w14:textId="77777777" w:rsidR="00E03711" w:rsidRPr="00F769E0" w:rsidRDefault="00E03711" w:rsidP="006D0E03">
            <w:pPr>
              <w:pStyle w:val="GUIDE-NORMAL"/>
              <w:spacing w:before="60" w:after="60"/>
              <w:jc w:val="center"/>
              <w:rPr>
                <w:rFonts w:cs="Tahoma"/>
                <w:lang w:val="sl-SI" w:eastAsia="en-GB"/>
              </w:rPr>
            </w:pPr>
            <w:r w:rsidRPr="00F769E0">
              <w:rPr>
                <w:rFonts w:cs="Tahoma"/>
                <w:lang w:val="sl-SI" w:eastAsia="en-GB"/>
              </w:rPr>
              <w:t>162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A8" w14:textId="77777777" w:rsidR="00E03711" w:rsidRPr="00F769E0" w:rsidRDefault="00E03711" w:rsidP="006D0E03">
            <w:pPr>
              <w:pStyle w:val="GUIDE-NORMAL"/>
              <w:spacing w:before="60" w:after="60"/>
              <w:jc w:val="center"/>
              <w:rPr>
                <w:rFonts w:cs="Tahoma"/>
                <w:lang w:val="sl-SI" w:eastAsia="en-GB"/>
              </w:rPr>
            </w:pPr>
            <w:r w:rsidRPr="00F769E0">
              <w:rPr>
                <w:rFonts w:cs="Tahoma"/>
                <w:lang w:val="sl-SI" w:eastAsia="en-GB"/>
              </w:rPr>
              <w:t>131</w:t>
            </w:r>
          </w:p>
        </w:tc>
      </w:tr>
      <w:tr w:rsidR="00E03711" w:rsidRPr="008C6F8C" w14:paraId="7D3992AF" w14:textId="77777777" w:rsidTr="00891219">
        <w:trPr>
          <w:trHeight w:val="20"/>
        </w:trPr>
        <w:tc>
          <w:tcPr>
            <w:tcW w:w="34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AA" w14:textId="77777777" w:rsidR="00E03711" w:rsidRPr="00F769E0" w:rsidRDefault="00E03711" w:rsidP="006D0E03">
            <w:pPr>
              <w:pStyle w:val="GUIDE-NORMAL"/>
              <w:spacing w:before="60" w:after="60"/>
              <w:jc w:val="left"/>
              <w:rPr>
                <w:rFonts w:cs="Tahoma"/>
                <w:b/>
                <w:lang w:val="sl-SI" w:eastAsia="en-GB"/>
              </w:rPr>
            </w:pPr>
            <w:r w:rsidRPr="00F769E0">
              <w:rPr>
                <w:rFonts w:cs="Tahoma"/>
                <w:b/>
                <w:lang w:val="sl-SI" w:eastAsia="en-GB"/>
              </w:rPr>
              <w:t>Češka, Grčija, Španija, Ciper, Malta, Portugalska, Slovenija</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AB" w14:textId="77777777" w:rsidR="00E03711" w:rsidRPr="00F769E0" w:rsidRDefault="00E03711" w:rsidP="006D0E03">
            <w:pPr>
              <w:pStyle w:val="GUIDE-NORMAL"/>
              <w:spacing w:before="60" w:after="60"/>
              <w:jc w:val="center"/>
              <w:rPr>
                <w:rFonts w:cs="Tahoma"/>
                <w:lang w:val="sl-SI" w:eastAsia="en-GB"/>
              </w:rPr>
            </w:pPr>
            <w:r w:rsidRPr="00F769E0">
              <w:rPr>
                <w:rFonts w:cs="Tahoma"/>
                <w:lang w:val="sl-SI" w:eastAsia="en-GB"/>
              </w:rPr>
              <w:t>164</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AC" w14:textId="77777777" w:rsidR="00E03711" w:rsidRPr="00F769E0" w:rsidRDefault="00E03711" w:rsidP="006D0E03">
            <w:pPr>
              <w:pStyle w:val="GUIDE-NORMAL"/>
              <w:spacing w:before="60" w:after="60"/>
              <w:jc w:val="center"/>
              <w:rPr>
                <w:rFonts w:cs="Tahoma"/>
                <w:lang w:val="sl-SI" w:eastAsia="en-GB"/>
              </w:rPr>
            </w:pPr>
            <w:r w:rsidRPr="00F769E0">
              <w:rPr>
                <w:rFonts w:cs="Tahoma"/>
                <w:lang w:val="sl-SI" w:eastAsia="en-GB"/>
              </w:rPr>
              <w:t>137</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AD" w14:textId="77777777" w:rsidR="00E03711" w:rsidRPr="00F769E0" w:rsidRDefault="00E03711" w:rsidP="006D0E03">
            <w:pPr>
              <w:pStyle w:val="GUIDE-NORMAL"/>
              <w:spacing w:before="60" w:after="60"/>
              <w:jc w:val="center"/>
              <w:rPr>
                <w:rFonts w:cs="Tahoma"/>
                <w:lang w:val="sl-SI" w:eastAsia="en-GB"/>
              </w:rPr>
            </w:pPr>
            <w:r w:rsidRPr="00F769E0">
              <w:rPr>
                <w:rFonts w:cs="Tahoma"/>
                <w:lang w:val="sl-SI" w:eastAsia="en-GB"/>
              </w:rPr>
              <w:t>102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AE" w14:textId="77777777" w:rsidR="00E03711" w:rsidRPr="00F769E0" w:rsidRDefault="00E03711" w:rsidP="006D0E03">
            <w:pPr>
              <w:pStyle w:val="GUIDE-NORMAL"/>
              <w:spacing w:before="60" w:after="60"/>
              <w:jc w:val="center"/>
              <w:rPr>
                <w:rFonts w:cs="Tahoma"/>
                <w:lang w:val="sl-SI" w:eastAsia="en-GB"/>
              </w:rPr>
            </w:pPr>
            <w:r w:rsidRPr="00F769E0">
              <w:rPr>
                <w:rFonts w:cs="Tahoma"/>
                <w:lang w:val="sl-SI" w:eastAsia="en-GB"/>
              </w:rPr>
              <w:t>78</w:t>
            </w:r>
          </w:p>
        </w:tc>
      </w:tr>
      <w:tr w:rsidR="00E03711" w:rsidRPr="008C6F8C" w14:paraId="7D3992B5" w14:textId="77777777" w:rsidTr="00891219">
        <w:trPr>
          <w:trHeight w:val="55"/>
        </w:trPr>
        <w:tc>
          <w:tcPr>
            <w:tcW w:w="3403"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92B0" w14:textId="77777777" w:rsidR="00E03711" w:rsidRPr="00F769E0" w:rsidRDefault="00E03711">
            <w:pPr>
              <w:pStyle w:val="GUIDE-NORMAL"/>
              <w:spacing w:before="60" w:after="60"/>
              <w:jc w:val="left"/>
              <w:rPr>
                <w:rFonts w:cs="Tahoma"/>
                <w:b/>
                <w:lang w:val="sl-SI" w:eastAsia="en-GB"/>
              </w:rPr>
            </w:pPr>
            <w:r w:rsidRPr="00F769E0">
              <w:rPr>
                <w:rFonts w:cs="Tahoma"/>
                <w:b/>
                <w:lang w:val="sl-SI" w:eastAsia="en-GB"/>
              </w:rPr>
              <w:t xml:space="preserve">Bolgarija, Estonija, Hrvaška, Latvija, Litva, Madžarska, Poljska, Romunija, Slovaška, Srbija, </w:t>
            </w:r>
            <w:r>
              <w:rPr>
                <w:rFonts w:cs="Tahoma"/>
                <w:b/>
                <w:lang w:val="sl-SI" w:eastAsia="en-GB"/>
              </w:rPr>
              <w:t>R</w:t>
            </w:r>
            <w:r w:rsidRPr="00F769E0">
              <w:rPr>
                <w:rFonts w:cs="Tahoma"/>
                <w:b/>
                <w:lang w:val="sl-SI" w:eastAsia="en-GB"/>
              </w:rPr>
              <w:t xml:space="preserve">epublika </w:t>
            </w:r>
            <w:r>
              <w:rPr>
                <w:rFonts w:cs="Tahoma"/>
                <w:b/>
                <w:lang w:val="sl-SI" w:eastAsia="en-GB"/>
              </w:rPr>
              <w:t xml:space="preserve">Severna </w:t>
            </w:r>
            <w:r w:rsidRPr="00F769E0">
              <w:rPr>
                <w:rFonts w:cs="Tahoma"/>
                <w:b/>
                <w:lang w:val="sl-SI" w:eastAsia="en-GB"/>
              </w:rPr>
              <w:t>Makedonija, Turčija</w:t>
            </w:r>
          </w:p>
        </w:tc>
        <w:tc>
          <w:tcPr>
            <w:tcW w:w="1417"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92B1" w14:textId="77777777" w:rsidR="00E03711" w:rsidRPr="00F769E0" w:rsidRDefault="00E03711" w:rsidP="006D0E03">
            <w:pPr>
              <w:pStyle w:val="GUIDE-NORMAL"/>
              <w:spacing w:before="60" w:after="60"/>
              <w:jc w:val="center"/>
              <w:rPr>
                <w:rFonts w:cs="Tahoma"/>
                <w:lang w:val="sl-SI" w:eastAsia="en-GB"/>
              </w:rPr>
            </w:pPr>
            <w:r w:rsidRPr="00F769E0">
              <w:rPr>
                <w:rFonts w:cs="Tahoma"/>
                <w:lang w:val="sl-SI" w:eastAsia="en-GB"/>
              </w:rPr>
              <w:t>88</w:t>
            </w:r>
          </w:p>
        </w:tc>
        <w:tc>
          <w:tcPr>
            <w:tcW w:w="1417"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92B2" w14:textId="77777777" w:rsidR="00E03711" w:rsidRPr="00F769E0" w:rsidRDefault="00E03711" w:rsidP="006D0E03">
            <w:pPr>
              <w:pStyle w:val="GUIDE-NORMAL"/>
              <w:spacing w:before="60" w:after="60"/>
              <w:jc w:val="center"/>
              <w:rPr>
                <w:rFonts w:cs="Tahoma"/>
                <w:lang w:val="sl-SI" w:eastAsia="en-GB"/>
              </w:rPr>
            </w:pPr>
            <w:r w:rsidRPr="00F769E0">
              <w:rPr>
                <w:rFonts w:cs="Tahoma"/>
                <w:lang w:val="sl-SI" w:eastAsia="en-GB"/>
              </w:rPr>
              <w:t>74</w:t>
            </w:r>
          </w:p>
        </w:tc>
        <w:tc>
          <w:tcPr>
            <w:tcW w:w="1417"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92B3" w14:textId="77777777" w:rsidR="00E03711" w:rsidRPr="00F769E0" w:rsidRDefault="00E03711" w:rsidP="006D0E03">
            <w:pPr>
              <w:pStyle w:val="GUIDE-NORMAL"/>
              <w:spacing w:before="60" w:after="60"/>
              <w:jc w:val="center"/>
              <w:rPr>
                <w:rFonts w:cs="Tahoma"/>
                <w:lang w:val="sl-SI" w:eastAsia="en-GB"/>
              </w:rPr>
            </w:pPr>
            <w:r w:rsidRPr="00F769E0">
              <w:rPr>
                <w:rFonts w:cs="Tahoma"/>
                <w:lang w:val="sl-SI" w:eastAsia="en-GB"/>
              </w:rPr>
              <w:t>55</w:t>
            </w:r>
          </w:p>
        </w:tc>
        <w:tc>
          <w:tcPr>
            <w:tcW w:w="1417"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92B4" w14:textId="77777777" w:rsidR="00E03711" w:rsidRPr="00F769E0" w:rsidRDefault="00E03711" w:rsidP="006D0E03">
            <w:pPr>
              <w:pStyle w:val="GUIDE-NORMAL"/>
              <w:spacing w:before="60" w:after="60"/>
              <w:jc w:val="center"/>
              <w:rPr>
                <w:rFonts w:cs="Tahoma"/>
                <w:lang w:val="sl-SI" w:eastAsia="en-GB"/>
              </w:rPr>
            </w:pPr>
            <w:r w:rsidRPr="00F769E0">
              <w:rPr>
                <w:rFonts w:cs="Tahoma"/>
                <w:lang w:val="sl-SI" w:eastAsia="en-GB"/>
              </w:rPr>
              <w:t>39</w:t>
            </w:r>
          </w:p>
        </w:tc>
      </w:tr>
    </w:tbl>
    <w:p w14:paraId="7D3992B6" w14:textId="77777777" w:rsidR="00E03711" w:rsidRPr="001048FE" w:rsidRDefault="00E03711">
      <w:pPr>
        <w:widowControl/>
        <w:suppressAutoHyphens w:val="0"/>
        <w:autoSpaceDN/>
        <w:textAlignment w:val="auto"/>
        <w:rPr>
          <w:rFonts w:eastAsia="Times New Roman"/>
          <w:b/>
          <w:smallCaps/>
          <w:sz w:val="20"/>
          <w:szCs w:val="28"/>
          <w:lang w:val="sl-SI"/>
        </w:rPr>
      </w:pPr>
    </w:p>
    <w:p w14:paraId="7D3992B7" w14:textId="77777777" w:rsidR="00E03711" w:rsidRDefault="00E03711">
      <w:pPr>
        <w:widowControl/>
        <w:suppressAutoHyphens w:val="0"/>
        <w:autoSpaceDN/>
        <w:textAlignment w:val="auto"/>
        <w:rPr>
          <w:rFonts w:eastAsia="Times New Roman" w:cs="Times New Roman"/>
          <w:b/>
          <w:smallCaps/>
          <w:sz w:val="20"/>
          <w:szCs w:val="28"/>
          <w:lang w:val="sl-SI"/>
        </w:rPr>
      </w:pPr>
      <w:r>
        <w:rPr>
          <w:lang w:val="sl-SI"/>
        </w:rPr>
        <w:br w:type="page"/>
      </w:r>
    </w:p>
    <w:p w14:paraId="7D3992B8" w14:textId="77777777" w:rsidR="00E03711" w:rsidRPr="001048FE" w:rsidRDefault="00E03711" w:rsidP="006D0E03">
      <w:pPr>
        <w:pStyle w:val="Guide-Heading6"/>
        <w:rPr>
          <w:lang w:val="sl-SI"/>
        </w:rPr>
      </w:pPr>
      <w:r w:rsidRPr="001048FE">
        <w:rPr>
          <w:lang w:val="sl-SI"/>
        </w:rPr>
        <w:t>Preglednica B – Priprava intelektualnih rezultatov (zneski v EUR na dan)</w:t>
      </w:r>
    </w:p>
    <w:p w14:paraId="7D3992B9" w14:textId="77777777" w:rsidR="00E03711" w:rsidRPr="001048FE" w:rsidRDefault="00E03711" w:rsidP="006D0E03">
      <w:pPr>
        <w:pStyle w:val="GUIDE-NORMAL"/>
        <w:rPr>
          <w:lang w:val="sl-SI"/>
        </w:rPr>
      </w:pPr>
      <w:r w:rsidRPr="001048FE">
        <w:rPr>
          <w:lang w:val="sl-SI"/>
        </w:rPr>
        <w:t>Ta sredstva se lahko uporabljajo samo za stroške osebja organizacij, ki sodelujejo v projektu za pripravo intelektualnih rezultatov</w:t>
      </w:r>
      <w:r w:rsidRPr="001048FE">
        <w:rPr>
          <w:rStyle w:val="FootnoteReference"/>
          <w:lang w:val="sl-SI"/>
        </w:rPr>
        <w:footnoteReference w:id="106"/>
      </w:r>
      <w:r w:rsidRPr="001048FE">
        <w:rPr>
          <w:lang w:val="sl-SI"/>
        </w:rPr>
        <w:t>. Zneski so odvisni od: (a) profila osebja, ki je vključeno v projekt, in (b) države sodelujoče organizacije, iz katere prihaja to osebje.</w:t>
      </w:r>
    </w:p>
    <w:tbl>
      <w:tblPr>
        <w:tblW w:w="5000" w:type="pct"/>
        <w:tblInd w:w="8" w:type="dxa"/>
        <w:tblLayout w:type="fixed"/>
        <w:tblLook w:val="0000" w:firstRow="0" w:lastRow="0" w:firstColumn="0" w:lastColumn="0" w:noHBand="0" w:noVBand="0"/>
      </w:tblPr>
      <w:tblGrid>
        <w:gridCol w:w="7759"/>
        <w:gridCol w:w="1097"/>
        <w:gridCol w:w="2285"/>
        <w:gridCol w:w="1568"/>
        <w:gridCol w:w="2079"/>
      </w:tblGrid>
      <w:tr w:rsidR="00E03711" w:rsidRPr="008C6F8C" w14:paraId="7D3992BF" w14:textId="77777777" w:rsidTr="006E1B1F">
        <w:trPr>
          <w:trHeight w:val="20"/>
        </w:trPr>
        <w:tc>
          <w:tcPr>
            <w:tcW w:w="7642" w:type="dxa"/>
            <w:vMerge w:val="restart"/>
            <w:tcBorders>
              <w:top w:val="none" w:sz="6" w:space="0" w:color="auto"/>
              <w:left w:val="none" w:sz="6" w:space="0" w:color="auto"/>
              <w:bottom w:val="single" w:sz="6" w:space="0" w:color="000000"/>
              <w:right w:val="single" w:sz="6" w:space="0" w:color="000000"/>
            </w:tcBorders>
            <w:shd w:val="clear" w:color="auto" w:fill="auto"/>
          </w:tcPr>
          <w:p w14:paraId="7D3992BA" w14:textId="77777777" w:rsidR="00E03711" w:rsidRPr="001048FE" w:rsidRDefault="00E03711" w:rsidP="000A6D5F">
            <w:pPr>
              <w:pStyle w:val="GUIDE-NORMAL"/>
              <w:spacing w:before="20" w:after="20"/>
              <w:rPr>
                <w:rFonts w:ascii="Times New Roman" w:hAnsi="Times New Roman"/>
                <w:lang w:val="sl-SI" w:eastAsia="en-GB"/>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BB" w14:textId="77777777" w:rsidR="00E03711" w:rsidRPr="00F769E0" w:rsidRDefault="00E03711" w:rsidP="006D0E03">
            <w:pPr>
              <w:pStyle w:val="GUIDE-NORMAL"/>
              <w:spacing w:before="60" w:after="60"/>
              <w:jc w:val="center"/>
              <w:rPr>
                <w:rFonts w:cs="Tahoma"/>
                <w:b/>
                <w:lang w:val="sl-SI" w:eastAsia="en-GB"/>
              </w:rPr>
            </w:pPr>
            <w:r w:rsidRPr="00F769E0">
              <w:rPr>
                <w:rFonts w:cs="Tahoma"/>
                <w:b/>
                <w:lang w:val="sl-SI" w:eastAsia="en-GB"/>
              </w:rPr>
              <w:t>Menedžer</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BC" w14:textId="77777777" w:rsidR="00E03711" w:rsidRPr="00F769E0" w:rsidRDefault="00E03711" w:rsidP="006D0E03">
            <w:pPr>
              <w:pStyle w:val="GUIDE-NORMAL"/>
              <w:spacing w:before="60" w:after="60"/>
              <w:jc w:val="center"/>
              <w:rPr>
                <w:rStyle w:val="Guide-Condensed-02"/>
                <w:rFonts w:cs="Tahoma"/>
                <w:b/>
                <w:lang w:val="sl-SI" w:eastAsia="en-GB"/>
              </w:rPr>
            </w:pPr>
            <w:r w:rsidRPr="00F769E0">
              <w:rPr>
                <w:rStyle w:val="Guide-Condensed-02"/>
                <w:rFonts w:cs="Tahoma"/>
                <w:b/>
                <w:lang w:val="sl-SI" w:eastAsia="en-GB"/>
              </w:rPr>
              <w:t>Učitelj/vodja usposabljanja/raziskovalec/ mladinski delavec</w:t>
            </w:r>
          </w:p>
        </w:tc>
        <w:tc>
          <w:tcPr>
            <w:tcW w:w="1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BD" w14:textId="77777777" w:rsidR="00E03711" w:rsidRPr="00F769E0" w:rsidRDefault="00E03711" w:rsidP="006D0E03">
            <w:pPr>
              <w:pStyle w:val="GUIDE-NORMAL"/>
              <w:spacing w:before="60" w:after="60"/>
              <w:jc w:val="center"/>
              <w:rPr>
                <w:rFonts w:cs="Tahoma"/>
                <w:b/>
                <w:lang w:val="sl-SI" w:eastAsia="en-GB"/>
              </w:rPr>
            </w:pPr>
            <w:r w:rsidRPr="00F769E0">
              <w:rPr>
                <w:rFonts w:cs="Tahoma"/>
                <w:b/>
                <w:lang w:val="sl-SI" w:eastAsia="en-GB"/>
              </w:rPr>
              <w:t>Tehnično osebje</w:t>
            </w:r>
          </w:p>
        </w:tc>
        <w:tc>
          <w:tcPr>
            <w:tcW w:w="20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BE" w14:textId="77777777" w:rsidR="00E03711" w:rsidRPr="00F769E0" w:rsidRDefault="00E03711" w:rsidP="006D0E03">
            <w:pPr>
              <w:pStyle w:val="GUIDE-NORMAL"/>
              <w:spacing w:before="60" w:after="60"/>
              <w:jc w:val="center"/>
              <w:rPr>
                <w:rFonts w:cs="Tahoma"/>
                <w:b/>
                <w:lang w:val="sl-SI" w:eastAsia="en-GB"/>
              </w:rPr>
            </w:pPr>
            <w:r w:rsidRPr="00F769E0">
              <w:rPr>
                <w:rFonts w:cs="Tahoma"/>
                <w:b/>
                <w:lang w:val="sl-SI" w:eastAsia="en-GB"/>
              </w:rPr>
              <w:t>Administrativno osebje</w:t>
            </w:r>
          </w:p>
        </w:tc>
      </w:tr>
      <w:tr w:rsidR="00E03711" w:rsidRPr="008C6F8C" w14:paraId="7D3992C5" w14:textId="77777777" w:rsidTr="006E1B1F">
        <w:trPr>
          <w:trHeight w:val="20"/>
        </w:trPr>
        <w:tc>
          <w:tcPr>
            <w:tcW w:w="7642" w:type="dxa"/>
            <w:vMerge/>
            <w:tcBorders>
              <w:top w:val="nil"/>
              <w:left w:val="none" w:sz="6" w:space="0" w:color="auto"/>
              <w:bottom w:val="single" w:sz="6" w:space="0" w:color="000000"/>
              <w:right w:val="single" w:sz="6" w:space="0" w:color="000000"/>
            </w:tcBorders>
            <w:shd w:val="clear" w:color="auto" w:fill="auto"/>
          </w:tcPr>
          <w:p w14:paraId="7D3992C0" w14:textId="77777777" w:rsidR="00E03711" w:rsidRPr="00F769E0" w:rsidRDefault="00E03711" w:rsidP="000A6D5F">
            <w:pPr>
              <w:pStyle w:val="GUIDE-NORMAL"/>
              <w:spacing w:before="20" w:after="20"/>
              <w:rPr>
                <w:rFonts w:cs="Tahoma"/>
                <w:lang w:val="sl-SI" w:eastAsia="en-GB"/>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C1" w14:textId="77777777" w:rsidR="00E03711" w:rsidRPr="00F769E0" w:rsidRDefault="00E03711" w:rsidP="000A6D5F">
            <w:pPr>
              <w:pStyle w:val="GUIDE-NORMAL"/>
              <w:spacing w:before="20" w:after="20"/>
              <w:jc w:val="center"/>
              <w:rPr>
                <w:rFonts w:cs="Tahoma"/>
                <w:b/>
                <w:lang w:val="sl-SI" w:eastAsia="en-GB"/>
              </w:rPr>
            </w:pPr>
            <w:r w:rsidRPr="00F769E0">
              <w:rPr>
                <w:rFonts w:cs="Tahoma"/>
                <w:b/>
                <w:lang w:val="sl-SI" w:eastAsia="en-GB"/>
              </w:rPr>
              <w:t>B1.1</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C2" w14:textId="77777777" w:rsidR="00E03711" w:rsidRPr="00F769E0" w:rsidRDefault="00E03711" w:rsidP="000A6D5F">
            <w:pPr>
              <w:pStyle w:val="GUIDE-NORMAL"/>
              <w:spacing w:before="20" w:after="20"/>
              <w:jc w:val="center"/>
              <w:rPr>
                <w:rFonts w:cs="Tahoma"/>
                <w:b/>
                <w:lang w:val="sl-SI" w:eastAsia="en-GB"/>
              </w:rPr>
            </w:pPr>
            <w:r w:rsidRPr="00F769E0">
              <w:rPr>
                <w:rFonts w:cs="Tahoma"/>
                <w:b/>
                <w:lang w:val="sl-SI" w:eastAsia="en-GB"/>
              </w:rPr>
              <w:t>B1.2</w:t>
            </w:r>
          </w:p>
        </w:tc>
        <w:tc>
          <w:tcPr>
            <w:tcW w:w="1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C3" w14:textId="77777777" w:rsidR="00E03711" w:rsidRPr="00F769E0" w:rsidRDefault="00E03711" w:rsidP="000A6D5F">
            <w:pPr>
              <w:pStyle w:val="GUIDE-NORMAL"/>
              <w:spacing w:before="20" w:after="20"/>
              <w:jc w:val="center"/>
              <w:rPr>
                <w:rFonts w:cs="Tahoma"/>
                <w:b/>
                <w:lang w:val="sl-SI" w:eastAsia="en-GB"/>
              </w:rPr>
            </w:pPr>
            <w:r w:rsidRPr="00F769E0">
              <w:rPr>
                <w:rFonts w:cs="Tahoma"/>
                <w:b/>
                <w:lang w:val="sl-SI" w:eastAsia="en-GB"/>
              </w:rPr>
              <w:t>B1.3</w:t>
            </w:r>
          </w:p>
        </w:tc>
        <w:tc>
          <w:tcPr>
            <w:tcW w:w="20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C4" w14:textId="77777777" w:rsidR="00E03711" w:rsidRPr="00F769E0" w:rsidRDefault="00E03711" w:rsidP="000A6D5F">
            <w:pPr>
              <w:pStyle w:val="GUIDE-NORMAL"/>
              <w:spacing w:before="20" w:after="20"/>
              <w:jc w:val="center"/>
              <w:rPr>
                <w:rFonts w:cs="Tahoma"/>
                <w:b/>
                <w:lang w:val="sl-SI" w:eastAsia="en-GB"/>
              </w:rPr>
            </w:pPr>
            <w:r w:rsidRPr="00F769E0">
              <w:rPr>
                <w:rFonts w:cs="Tahoma"/>
                <w:b/>
                <w:lang w:val="sl-SI" w:eastAsia="en-GB"/>
              </w:rPr>
              <w:t>B1.4</w:t>
            </w:r>
          </w:p>
        </w:tc>
      </w:tr>
      <w:tr w:rsidR="00E03711" w:rsidRPr="008C6F8C" w14:paraId="7D3992CB" w14:textId="77777777" w:rsidTr="006E1B1F">
        <w:trPr>
          <w:trHeight w:val="20"/>
        </w:trPr>
        <w:tc>
          <w:tcPr>
            <w:tcW w:w="7642" w:type="dxa"/>
            <w:tcBorders>
              <w:top w:val="single" w:sz="6" w:space="0" w:color="000000"/>
              <w:left w:val="single" w:sz="6" w:space="0" w:color="000000"/>
              <w:bottom w:val="single" w:sz="6" w:space="0" w:color="000000"/>
              <w:right w:val="single" w:sz="6" w:space="0" w:color="000000"/>
            </w:tcBorders>
            <w:shd w:val="clear" w:color="auto" w:fill="auto"/>
          </w:tcPr>
          <w:p w14:paraId="7D3992C6" w14:textId="77777777" w:rsidR="00E03711" w:rsidRPr="00F769E0" w:rsidRDefault="00E03711" w:rsidP="00EF2B46">
            <w:pPr>
              <w:pStyle w:val="GUIDE-NORMAL"/>
              <w:spacing w:before="60" w:after="60"/>
              <w:jc w:val="left"/>
              <w:rPr>
                <w:rFonts w:cs="Tahoma"/>
                <w:b/>
                <w:lang w:val="sl-SI" w:eastAsia="en-GB"/>
              </w:rPr>
            </w:pPr>
            <w:r w:rsidRPr="00F769E0">
              <w:rPr>
                <w:rFonts w:cs="Tahoma"/>
                <w:b/>
                <w:lang w:val="sl-SI" w:eastAsia="en-GB"/>
              </w:rPr>
              <w:t>Avstralija, Kanada, Kuvajt, Macao, Monako, Katar, San Marino, Švica, Združene države Amerike</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C7" w14:textId="77777777" w:rsidR="00E03711" w:rsidRPr="00F769E0" w:rsidRDefault="00E03711" w:rsidP="000A6D5F">
            <w:pPr>
              <w:pStyle w:val="GUIDE-NORMAL"/>
              <w:spacing w:before="20" w:after="20"/>
              <w:jc w:val="center"/>
              <w:rPr>
                <w:rFonts w:cs="Tahoma"/>
                <w:lang w:val="sl-SI" w:eastAsia="en-GB"/>
              </w:rPr>
            </w:pPr>
            <w:r w:rsidRPr="00F769E0">
              <w:rPr>
                <w:rFonts w:cs="Tahoma"/>
                <w:lang w:val="sl-SI" w:eastAsia="en-GB"/>
              </w:rPr>
              <w:t>294</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C8" w14:textId="77777777" w:rsidR="00E03711" w:rsidRPr="00F769E0" w:rsidRDefault="00E03711" w:rsidP="000A6D5F">
            <w:pPr>
              <w:pStyle w:val="GUIDE-NORMAL"/>
              <w:spacing w:before="20" w:after="20"/>
              <w:jc w:val="center"/>
              <w:rPr>
                <w:rFonts w:cs="Tahoma"/>
                <w:lang w:val="sl-SI" w:eastAsia="en-GB"/>
              </w:rPr>
            </w:pPr>
            <w:r w:rsidRPr="00F769E0">
              <w:rPr>
                <w:rFonts w:cs="Tahoma"/>
                <w:lang w:val="sl-SI" w:eastAsia="en-GB"/>
              </w:rPr>
              <w:t>241</w:t>
            </w:r>
          </w:p>
        </w:tc>
        <w:tc>
          <w:tcPr>
            <w:tcW w:w="1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C9" w14:textId="77777777" w:rsidR="00E03711" w:rsidRPr="00F769E0" w:rsidRDefault="00E03711" w:rsidP="000A6D5F">
            <w:pPr>
              <w:pStyle w:val="GUIDE-NORMAL"/>
              <w:spacing w:before="20" w:after="20"/>
              <w:jc w:val="center"/>
              <w:rPr>
                <w:rFonts w:cs="Tahoma"/>
                <w:lang w:val="sl-SI" w:eastAsia="en-GB"/>
              </w:rPr>
            </w:pPr>
            <w:r w:rsidRPr="00F769E0">
              <w:rPr>
                <w:rFonts w:cs="Tahoma"/>
                <w:lang w:val="sl-SI" w:eastAsia="en-GB"/>
              </w:rPr>
              <w:t>190</w:t>
            </w:r>
          </w:p>
        </w:tc>
        <w:tc>
          <w:tcPr>
            <w:tcW w:w="20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CA" w14:textId="77777777" w:rsidR="00E03711" w:rsidRPr="00F769E0" w:rsidRDefault="00E03711" w:rsidP="000A6D5F">
            <w:pPr>
              <w:pStyle w:val="GUIDE-NORMAL"/>
              <w:spacing w:before="20" w:after="20"/>
              <w:jc w:val="center"/>
              <w:rPr>
                <w:rFonts w:cs="Tahoma"/>
                <w:lang w:val="sl-SI" w:eastAsia="en-GB"/>
              </w:rPr>
            </w:pPr>
            <w:r w:rsidRPr="00F769E0">
              <w:rPr>
                <w:rFonts w:cs="Tahoma"/>
                <w:lang w:val="sl-SI" w:eastAsia="en-GB"/>
              </w:rPr>
              <w:t>157</w:t>
            </w:r>
          </w:p>
        </w:tc>
      </w:tr>
      <w:tr w:rsidR="00E03711" w:rsidRPr="008C6F8C" w14:paraId="7D3992D1" w14:textId="77777777" w:rsidTr="006E1B1F">
        <w:trPr>
          <w:trHeight w:val="20"/>
        </w:trPr>
        <w:tc>
          <w:tcPr>
            <w:tcW w:w="7642" w:type="dxa"/>
            <w:tcBorders>
              <w:top w:val="single" w:sz="6" w:space="0" w:color="000000"/>
              <w:left w:val="single" w:sz="6" w:space="0" w:color="000000"/>
              <w:bottom w:val="single" w:sz="6" w:space="0" w:color="000000"/>
              <w:right w:val="single" w:sz="6" w:space="0" w:color="000000"/>
            </w:tcBorders>
            <w:shd w:val="clear" w:color="auto" w:fill="auto"/>
          </w:tcPr>
          <w:p w14:paraId="7D3992CC" w14:textId="77777777" w:rsidR="00E03711" w:rsidRPr="00F769E0" w:rsidRDefault="00E03711" w:rsidP="00EF2B46">
            <w:pPr>
              <w:pStyle w:val="GUIDE-NORMAL"/>
              <w:spacing w:before="60" w:after="60"/>
              <w:jc w:val="left"/>
              <w:rPr>
                <w:rFonts w:cs="Tahoma"/>
                <w:b/>
                <w:lang w:val="sl-SI" w:eastAsia="en-GB"/>
              </w:rPr>
            </w:pPr>
            <w:r w:rsidRPr="00F769E0">
              <w:rPr>
                <w:rFonts w:cs="Tahoma"/>
                <w:b/>
                <w:lang w:val="sl-SI" w:eastAsia="en-GB"/>
              </w:rPr>
              <w:t>Andora, Brunej, Japonska, Nova Zelandija, Singapur, Združeni arabski emirati, Vatikanska mestna država</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CD" w14:textId="77777777" w:rsidR="00E03711" w:rsidRPr="00F769E0" w:rsidRDefault="00E03711" w:rsidP="000A6D5F">
            <w:pPr>
              <w:pStyle w:val="GUIDE-NORMAL"/>
              <w:spacing w:before="20" w:after="20"/>
              <w:jc w:val="center"/>
              <w:rPr>
                <w:rFonts w:cs="Tahoma"/>
                <w:lang w:val="sl-SI" w:eastAsia="en-GB"/>
              </w:rPr>
            </w:pPr>
            <w:r w:rsidRPr="00F769E0">
              <w:rPr>
                <w:rFonts w:cs="Tahoma"/>
                <w:lang w:val="sl-SI" w:eastAsia="en-GB"/>
              </w:rPr>
              <w:t>280</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CE" w14:textId="77777777" w:rsidR="00E03711" w:rsidRPr="00F769E0" w:rsidRDefault="00E03711" w:rsidP="000A6D5F">
            <w:pPr>
              <w:pStyle w:val="GUIDE-NORMAL"/>
              <w:spacing w:before="20" w:after="20"/>
              <w:jc w:val="center"/>
              <w:rPr>
                <w:rFonts w:cs="Tahoma"/>
                <w:lang w:val="sl-SI" w:eastAsia="en-GB"/>
              </w:rPr>
            </w:pPr>
            <w:r w:rsidRPr="00F769E0">
              <w:rPr>
                <w:rFonts w:cs="Tahoma"/>
                <w:lang w:val="sl-SI" w:eastAsia="en-GB"/>
              </w:rPr>
              <w:t>214</w:t>
            </w:r>
          </w:p>
        </w:tc>
        <w:tc>
          <w:tcPr>
            <w:tcW w:w="1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CF" w14:textId="77777777" w:rsidR="00E03711" w:rsidRPr="00F769E0" w:rsidRDefault="00E03711" w:rsidP="000A6D5F">
            <w:pPr>
              <w:pStyle w:val="GUIDE-NORMAL"/>
              <w:spacing w:before="20" w:after="20"/>
              <w:jc w:val="center"/>
              <w:rPr>
                <w:rFonts w:cs="Tahoma"/>
                <w:lang w:val="sl-SI" w:eastAsia="en-GB"/>
              </w:rPr>
            </w:pPr>
            <w:r w:rsidRPr="00F769E0">
              <w:rPr>
                <w:rFonts w:cs="Tahoma"/>
                <w:lang w:val="sl-SI" w:eastAsia="en-GB"/>
              </w:rPr>
              <w:t>162</w:t>
            </w:r>
          </w:p>
        </w:tc>
        <w:tc>
          <w:tcPr>
            <w:tcW w:w="20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D0" w14:textId="77777777" w:rsidR="00E03711" w:rsidRPr="00F769E0" w:rsidRDefault="00E03711" w:rsidP="000A6D5F">
            <w:pPr>
              <w:pStyle w:val="GUIDE-NORMAL"/>
              <w:spacing w:before="20" w:after="20"/>
              <w:jc w:val="center"/>
              <w:rPr>
                <w:rFonts w:cs="Tahoma"/>
                <w:lang w:val="sl-SI" w:eastAsia="en-GB"/>
              </w:rPr>
            </w:pPr>
            <w:r w:rsidRPr="00F769E0">
              <w:rPr>
                <w:rFonts w:cs="Tahoma"/>
                <w:lang w:val="sl-SI" w:eastAsia="en-GB"/>
              </w:rPr>
              <w:t>131</w:t>
            </w:r>
          </w:p>
        </w:tc>
      </w:tr>
      <w:tr w:rsidR="00E03711" w:rsidRPr="008C6F8C" w14:paraId="7D3992D7" w14:textId="77777777" w:rsidTr="006E1B1F">
        <w:trPr>
          <w:trHeight w:val="20"/>
        </w:trPr>
        <w:tc>
          <w:tcPr>
            <w:tcW w:w="7642" w:type="dxa"/>
            <w:tcBorders>
              <w:top w:val="single" w:sz="6" w:space="0" w:color="000000"/>
              <w:left w:val="single" w:sz="6" w:space="0" w:color="000000"/>
              <w:bottom w:val="single" w:sz="4" w:space="0" w:color="auto"/>
              <w:right w:val="single" w:sz="6" w:space="0" w:color="000000"/>
            </w:tcBorders>
            <w:shd w:val="clear" w:color="auto" w:fill="auto"/>
          </w:tcPr>
          <w:p w14:paraId="7D3992D2" w14:textId="77777777" w:rsidR="00E03711" w:rsidRPr="00F769E0" w:rsidRDefault="00E03711" w:rsidP="00EF2B46">
            <w:pPr>
              <w:pStyle w:val="GUIDE-NORMAL"/>
              <w:spacing w:before="60" w:after="60"/>
              <w:jc w:val="left"/>
              <w:rPr>
                <w:rFonts w:cs="Tahoma"/>
                <w:b/>
                <w:lang w:val="sl-SI" w:eastAsia="en-GB"/>
              </w:rPr>
            </w:pPr>
            <w:r w:rsidRPr="00F769E0">
              <w:rPr>
                <w:rFonts w:cs="Tahoma"/>
                <w:b/>
                <w:lang w:val="sl-SI" w:eastAsia="en-GB"/>
              </w:rPr>
              <w:t>Bahami, Bahrajn, Hongkong, Izrael, (Republika) Koreja, Oman, Saudova Arabija, Tajvan</w:t>
            </w:r>
          </w:p>
        </w:tc>
        <w:tc>
          <w:tcPr>
            <w:tcW w:w="1080" w:type="dxa"/>
            <w:tcBorders>
              <w:top w:val="single" w:sz="6" w:space="0" w:color="000000"/>
              <w:left w:val="single" w:sz="6" w:space="0" w:color="000000"/>
              <w:bottom w:val="single" w:sz="4" w:space="0" w:color="auto"/>
              <w:right w:val="single" w:sz="6" w:space="0" w:color="000000"/>
            </w:tcBorders>
            <w:shd w:val="clear" w:color="auto" w:fill="auto"/>
            <w:vAlign w:val="center"/>
          </w:tcPr>
          <w:p w14:paraId="7D3992D3" w14:textId="77777777" w:rsidR="00E03711" w:rsidRPr="00F769E0" w:rsidRDefault="00E03711" w:rsidP="000A6D5F">
            <w:pPr>
              <w:pStyle w:val="GUIDE-NORMAL"/>
              <w:spacing w:before="20" w:after="20"/>
              <w:jc w:val="center"/>
              <w:rPr>
                <w:rFonts w:cs="Tahoma"/>
                <w:lang w:val="sl-SI" w:eastAsia="en-GB"/>
              </w:rPr>
            </w:pPr>
            <w:r w:rsidRPr="00F769E0">
              <w:rPr>
                <w:rFonts w:cs="Tahoma"/>
                <w:lang w:val="sl-SI" w:eastAsia="en-GB"/>
              </w:rPr>
              <w:t>164</w:t>
            </w:r>
          </w:p>
        </w:tc>
        <w:tc>
          <w:tcPr>
            <w:tcW w:w="2250" w:type="dxa"/>
            <w:tcBorders>
              <w:top w:val="single" w:sz="6" w:space="0" w:color="000000"/>
              <w:left w:val="single" w:sz="6" w:space="0" w:color="000000"/>
              <w:bottom w:val="single" w:sz="4" w:space="0" w:color="auto"/>
              <w:right w:val="single" w:sz="6" w:space="0" w:color="000000"/>
            </w:tcBorders>
            <w:shd w:val="clear" w:color="auto" w:fill="auto"/>
            <w:vAlign w:val="center"/>
          </w:tcPr>
          <w:p w14:paraId="7D3992D4" w14:textId="77777777" w:rsidR="00E03711" w:rsidRPr="00F769E0" w:rsidRDefault="00E03711" w:rsidP="000A6D5F">
            <w:pPr>
              <w:pStyle w:val="GUIDE-NORMAL"/>
              <w:spacing w:before="20" w:after="20"/>
              <w:jc w:val="center"/>
              <w:rPr>
                <w:rFonts w:cs="Tahoma"/>
                <w:lang w:val="sl-SI" w:eastAsia="en-GB"/>
              </w:rPr>
            </w:pPr>
            <w:r w:rsidRPr="00F769E0">
              <w:rPr>
                <w:rFonts w:cs="Tahoma"/>
                <w:lang w:val="sl-SI" w:eastAsia="en-GB"/>
              </w:rPr>
              <w:t>137</w:t>
            </w:r>
          </w:p>
        </w:tc>
        <w:tc>
          <w:tcPr>
            <w:tcW w:w="1544" w:type="dxa"/>
            <w:tcBorders>
              <w:top w:val="single" w:sz="6" w:space="0" w:color="000000"/>
              <w:left w:val="single" w:sz="6" w:space="0" w:color="000000"/>
              <w:bottom w:val="single" w:sz="4" w:space="0" w:color="auto"/>
              <w:right w:val="single" w:sz="6" w:space="0" w:color="000000"/>
            </w:tcBorders>
            <w:shd w:val="clear" w:color="auto" w:fill="auto"/>
            <w:vAlign w:val="center"/>
          </w:tcPr>
          <w:p w14:paraId="7D3992D5" w14:textId="77777777" w:rsidR="00E03711" w:rsidRPr="00F769E0" w:rsidRDefault="00E03711" w:rsidP="000A6D5F">
            <w:pPr>
              <w:pStyle w:val="GUIDE-NORMAL"/>
              <w:spacing w:before="20" w:after="20"/>
              <w:jc w:val="center"/>
              <w:rPr>
                <w:rFonts w:cs="Tahoma"/>
                <w:lang w:val="sl-SI" w:eastAsia="en-GB"/>
              </w:rPr>
            </w:pPr>
            <w:r w:rsidRPr="00F769E0">
              <w:rPr>
                <w:rFonts w:cs="Tahoma"/>
                <w:lang w:val="sl-SI" w:eastAsia="en-GB"/>
              </w:rPr>
              <w:t>102</w:t>
            </w:r>
          </w:p>
        </w:tc>
        <w:tc>
          <w:tcPr>
            <w:tcW w:w="2048" w:type="dxa"/>
            <w:tcBorders>
              <w:top w:val="single" w:sz="6" w:space="0" w:color="000000"/>
              <w:left w:val="single" w:sz="6" w:space="0" w:color="000000"/>
              <w:bottom w:val="single" w:sz="4" w:space="0" w:color="auto"/>
              <w:right w:val="single" w:sz="6" w:space="0" w:color="000000"/>
            </w:tcBorders>
            <w:shd w:val="clear" w:color="auto" w:fill="auto"/>
            <w:vAlign w:val="center"/>
          </w:tcPr>
          <w:p w14:paraId="7D3992D6" w14:textId="77777777" w:rsidR="00E03711" w:rsidRPr="00F769E0" w:rsidRDefault="00E03711" w:rsidP="000A6D5F">
            <w:pPr>
              <w:pStyle w:val="GUIDE-NORMAL"/>
              <w:spacing w:before="20" w:after="20"/>
              <w:jc w:val="center"/>
              <w:rPr>
                <w:rFonts w:cs="Tahoma"/>
                <w:lang w:val="sl-SI" w:eastAsia="en-GB"/>
              </w:rPr>
            </w:pPr>
            <w:r w:rsidRPr="00F769E0">
              <w:rPr>
                <w:rFonts w:cs="Tahoma"/>
                <w:lang w:val="sl-SI" w:eastAsia="en-GB"/>
              </w:rPr>
              <w:t>78</w:t>
            </w:r>
          </w:p>
        </w:tc>
      </w:tr>
      <w:tr w:rsidR="00E03711" w:rsidRPr="008C6F8C" w14:paraId="7D3992DD" w14:textId="77777777" w:rsidTr="006E1B1F">
        <w:trPr>
          <w:trHeight w:val="20"/>
        </w:trPr>
        <w:tc>
          <w:tcPr>
            <w:tcW w:w="7642" w:type="dxa"/>
            <w:tcBorders>
              <w:top w:val="single" w:sz="4" w:space="0" w:color="auto"/>
              <w:left w:val="single" w:sz="4" w:space="0" w:color="auto"/>
              <w:bottom w:val="single" w:sz="4" w:space="0" w:color="auto"/>
              <w:right w:val="single" w:sz="6" w:space="0" w:color="000000"/>
            </w:tcBorders>
            <w:shd w:val="clear" w:color="auto" w:fill="auto"/>
          </w:tcPr>
          <w:p w14:paraId="7D3992D8" w14:textId="77777777" w:rsidR="00E03711" w:rsidRPr="00F769E0" w:rsidRDefault="00E03711" w:rsidP="00EA027A">
            <w:pPr>
              <w:pStyle w:val="GUIDE-NORMAL"/>
              <w:spacing w:before="60" w:after="60"/>
              <w:jc w:val="left"/>
              <w:rPr>
                <w:rFonts w:cs="Tahoma"/>
                <w:b/>
                <w:lang w:val="sl-SI" w:eastAsia="en-GB"/>
              </w:rPr>
            </w:pPr>
            <w:r w:rsidRPr="00F769E0">
              <w:rPr>
                <w:rFonts w:cs="Tahoma"/>
                <w:b/>
                <w:lang w:val="sl-SI" w:eastAsia="en-GB"/>
              </w:rPr>
              <w:t>Afganistan, Albanija, Alžirija, Angola, Antigva in Barbuda, Argentina, Armenija, Azerbajdžan, Bangladeš, Barbados, Belorusija, Belize, Benin, Butan, Bolivija, Bosna in Hercegovina, Bocvana, Brazilija, Burkina Faso, Burundi, Kambodža, Kamerun, Zelenortski otoki, Srednjeafriška republika, Čad, Čile, Kitajska, Kolumbija, Komori, Kongo, Demokratična republika Kongo, Cookovi otoki, Kostarika, Kuba, Džibuti, Dominika, Dominikanska republika, Ekvador, Egipt, Salvador, Ekvatorialna Gvineja, Eritreja,</w:t>
            </w:r>
            <w:r>
              <w:rPr>
                <w:rFonts w:cs="Tahoma"/>
                <w:b/>
                <w:lang w:val="sl-SI" w:eastAsia="en-GB"/>
              </w:rPr>
              <w:t xml:space="preserve"> Esvatini,</w:t>
            </w:r>
            <w:r w:rsidRPr="00F769E0">
              <w:rPr>
                <w:rFonts w:cs="Tahoma"/>
                <w:b/>
                <w:lang w:val="sl-SI" w:eastAsia="en-GB"/>
              </w:rPr>
              <w:t xml:space="preserve"> Etiopija, Fidži, Gabon, Gambija, Gruzija, Gana, Grenada, Gvatemala, Gvineja, Gvineja Bissau, Gvajana, Haiti, Honduras, Indija, Indonezija, Iran, Irak, Slonokoščena obala, Jamajka, Jordanija, Kazahstan, Kenija, Kiribati, Demokratična ljudska republika Koreja, Kosovo, Kirgizistan, Laos, Libanon, Lesoto, Liberija, Libija, Madagaskar, Malavi, Malezija, Maldivi, Mali, Marshallovi otoki, Mavretanija, Mauritius, Mehika, Federativne države Mikronezije, Moldavija, Mongolija, Črna gora, Maroko, Mozambik, Mjanmar, Namibija, Nauru, Nepal, Nikaragva, Niger, Nigerija, Niue, Pakistan, Palau, Palestina, Panama, Papua Nova Gvineja, Paragvaj, Peru, Filipini, Ruanda, Saint Kitts in Nevis, Sveta Lucija, Saint Vincent in Grenadine, Samoa, Sao Tome in Principe, Senegal, Sejšeli, Sierra Leone, Salomonovi otoki, Somalija, Južna Afrika, Južni Sudan, Šrilanka, Sudan, Surinam, Sirija, Tadžikistan, Tanzanija, ozemlje Rusije, kot je priznano z mednarodnim pravom, ozemlje Ukrajine, kot je priznano z mednarodnim pravom, Tajska, Demokratična republika Vzhodni Timor, Togo, Tonga, Trinidad in Tobago, Tunizija, Turkmenistan, Tuvalu, Uganda, Urugvaj, Uzbekistan, Vanuatu, Venezuela, Vietnam, Jemen, Zambija, Zimbabve</w:t>
            </w:r>
          </w:p>
        </w:tc>
        <w:tc>
          <w:tcPr>
            <w:tcW w:w="1080" w:type="dxa"/>
            <w:tcBorders>
              <w:top w:val="single" w:sz="4" w:space="0" w:color="auto"/>
              <w:left w:val="single" w:sz="6" w:space="0" w:color="000000"/>
              <w:bottom w:val="single" w:sz="4" w:space="0" w:color="auto"/>
              <w:right w:val="single" w:sz="6" w:space="0" w:color="000000"/>
            </w:tcBorders>
            <w:shd w:val="clear" w:color="auto" w:fill="auto"/>
            <w:vAlign w:val="center"/>
          </w:tcPr>
          <w:p w14:paraId="7D3992D9" w14:textId="77777777" w:rsidR="00E03711" w:rsidRPr="00F769E0" w:rsidRDefault="00E03711" w:rsidP="000A6D5F">
            <w:pPr>
              <w:pStyle w:val="GUIDE-NORMAL"/>
              <w:spacing w:before="20" w:after="20"/>
              <w:jc w:val="center"/>
              <w:rPr>
                <w:rFonts w:cs="Tahoma"/>
                <w:lang w:val="sl-SI" w:eastAsia="en-GB"/>
              </w:rPr>
            </w:pPr>
            <w:r w:rsidRPr="00F769E0">
              <w:rPr>
                <w:rFonts w:cs="Tahoma"/>
                <w:lang w:val="sl-SI" w:eastAsia="en-GB"/>
              </w:rPr>
              <w:t>88</w:t>
            </w:r>
          </w:p>
        </w:tc>
        <w:tc>
          <w:tcPr>
            <w:tcW w:w="2250" w:type="dxa"/>
            <w:tcBorders>
              <w:top w:val="single" w:sz="4" w:space="0" w:color="auto"/>
              <w:left w:val="single" w:sz="6" w:space="0" w:color="000000"/>
              <w:bottom w:val="single" w:sz="4" w:space="0" w:color="auto"/>
              <w:right w:val="single" w:sz="6" w:space="0" w:color="000000"/>
            </w:tcBorders>
            <w:shd w:val="clear" w:color="auto" w:fill="auto"/>
            <w:vAlign w:val="center"/>
          </w:tcPr>
          <w:p w14:paraId="7D3992DA" w14:textId="77777777" w:rsidR="00E03711" w:rsidRPr="00F769E0" w:rsidRDefault="00E03711" w:rsidP="000A6D5F">
            <w:pPr>
              <w:pStyle w:val="GUIDE-NORMAL"/>
              <w:spacing w:before="20" w:after="20"/>
              <w:jc w:val="center"/>
              <w:rPr>
                <w:rFonts w:cs="Tahoma"/>
                <w:lang w:val="sl-SI" w:eastAsia="en-GB"/>
              </w:rPr>
            </w:pPr>
            <w:r w:rsidRPr="00F769E0">
              <w:rPr>
                <w:rFonts w:cs="Tahoma"/>
                <w:lang w:val="sl-SI" w:eastAsia="en-GB"/>
              </w:rPr>
              <w:t>74</w:t>
            </w:r>
          </w:p>
        </w:tc>
        <w:tc>
          <w:tcPr>
            <w:tcW w:w="1544" w:type="dxa"/>
            <w:tcBorders>
              <w:top w:val="single" w:sz="4" w:space="0" w:color="auto"/>
              <w:left w:val="single" w:sz="6" w:space="0" w:color="000000"/>
              <w:bottom w:val="single" w:sz="4" w:space="0" w:color="auto"/>
              <w:right w:val="single" w:sz="6" w:space="0" w:color="000000"/>
            </w:tcBorders>
            <w:shd w:val="clear" w:color="auto" w:fill="auto"/>
            <w:vAlign w:val="center"/>
          </w:tcPr>
          <w:p w14:paraId="7D3992DB" w14:textId="77777777" w:rsidR="00E03711" w:rsidRPr="00F769E0" w:rsidRDefault="00E03711" w:rsidP="000A6D5F">
            <w:pPr>
              <w:pStyle w:val="GUIDE-NORMAL"/>
              <w:spacing w:before="20" w:after="20"/>
              <w:jc w:val="center"/>
              <w:rPr>
                <w:rFonts w:cs="Tahoma"/>
                <w:lang w:val="sl-SI" w:eastAsia="en-GB"/>
              </w:rPr>
            </w:pPr>
            <w:r w:rsidRPr="00F769E0">
              <w:rPr>
                <w:rFonts w:cs="Tahoma"/>
                <w:lang w:val="sl-SI" w:eastAsia="en-GB"/>
              </w:rPr>
              <w:t>55</w:t>
            </w:r>
          </w:p>
        </w:tc>
        <w:tc>
          <w:tcPr>
            <w:tcW w:w="2048" w:type="dxa"/>
            <w:tcBorders>
              <w:top w:val="single" w:sz="4" w:space="0" w:color="auto"/>
              <w:left w:val="single" w:sz="6" w:space="0" w:color="000000"/>
              <w:bottom w:val="single" w:sz="4" w:space="0" w:color="auto"/>
              <w:right w:val="single" w:sz="4" w:space="0" w:color="auto"/>
            </w:tcBorders>
            <w:shd w:val="clear" w:color="auto" w:fill="auto"/>
            <w:vAlign w:val="center"/>
          </w:tcPr>
          <w:p w14:paraId="7D3992DC" w14:textId="77777777" w:rsidR="00E03711" w:rsidRPr="00F769E0" w:rsidRDefault="00E03711" w:rsidP="000A6D5F">
            <w:pPr>
              <w:pStyle w:val="GUIDE-NORMAL"/>
              <w:spacing w:before="20" w:after="20"/>
              <w:jc w:val="center"/>
              <w:rPr>
                <w:rFonts w:cs="Tahoma"/>
                <w:lang w:val="sl-SI" w:eastAsia="en-GB"/>
              </w:rPr>
            </w:pPr>
            <w:r w:rsidRPr="00F769E0">
              <w:rPr>
                <w:rFonts w:cs="Tahoma"/>
                <w:lang w:val="sl-SI" w:eastAsia="en-GB"/>
              </w:rPr>
              <w:t>39</w:t>
            </w:r>
          </w:p>
        </w:tc>
      </w:tr>
    </w:tbl>
    <w:p w14:paraId="7D3992DE" w14:textId="77777777" w:rsidR="00E03711" w:rsidRDefault="00E03711">
      <w:pPr>
        <w:widowControl/>
        <w:suppressAutoHyphens w:val="0"/>
        <w:autoSpaceDN/>
        <w:textAlignment w:val="auto"/>
        <w:rPr>
          <w:rFonts w:eastAsia="Times New Roman"/>
          <w:b/>
          <w:smallCaps/>
          <w:sz w:val="20"/>
          <w:szCs w:val="28"/>
          <w:lang w:val="sl-SI"/>
        </w:rPr>
        <w:sectPr w:rsidR="00E03711" w:rsidSect="008408A4">
          <w:endnotePr>
            <w:numFmt w:val="decimal"/>
          </w:endnotePr>
          <w:pgSz w:w="16840" w:h="11910" w:orient="landscape" w:code="9"/>
          <w:pgMar w:top="1418" w:right="1134" w:bottom="1418" w:left="1134" w:header="284" w:footer="567" w:gutter="0"/>
          <w:cols w:space="720"/>
          <w:docGrid w:linePitch="326"/>
        </w:sectPr>
      </w:pPr>
      <w:bookmarkStart w:id="216" w:name="Tableau_C_-_Frais_de_séjour_des_particip"/>
      <w:bookmarkEnd w:id="216"/>
    </w:p>
    <w:p w14:paraId="7D3992DF" w14:textId="77777777" w:rsidR="00E03711" w:rsidRPr="001048FE" w:rsidRDefault="00E03711" w:rsidP="00D4441B">
      <w:pPr>
        <w:pStyle w:val="Guide-Heading6"/>
        <w:rPr>
          <w:lang w:val="sl-SI"/>
        </w:rPr>
      </w:pPr>
      <w:r w:rsidRPr="001048FE">
        <w:rPr>
          <w:lang w:val="sl-SI"/>
        </w:rPr>
        <w:t>Preglednica C – Stroški bivanja udeležencev v mednarodnih aktivnostih učenja, poučevanja in usposabljanja (zneski v EUR na dan/mesec)</w:t>
      </w:r>
    </w:p>
    <w:p w14:paraId="7D3992E0" w14:textId="77777777" w:rsidR="00E03711" w:rsidRPr="001048FE" w:rsidRDefault="00E03711" w:rsidP="00D4441B">
      <w:pPr>
        <w:pStyle w:val="GUIDE-NORMAL"/>
        <w:rPr>
          <w:lang w:val="sl-SI"/>
        </w:rPr>
      </w:pPr>
      <w:r w:rsidRPr="001048FE">
        <w:rPr>
          <w:lang w:val="sl-SI"/>
        </w:rPr>
        <w:t>Lestvice prispevkov za stroške na enoto so različne glede na: (a) vrsto mobilnosti in (b) državo, v kateri se izvaja aktivnost:</w:t>
      </w:r>
    </w:p>
    <w:tbl>
      <w:tblPr>
        <w:tblW w:w="4972" w:type="pct"/>
        <w:tblLayout w:type="fixed"/>
        <w:tblLook w:val="0000" w:firstRow="0" w:lastRow="0" w:firstColumn="0" w:lastColumn="0" w:noHBand="0" w:noVBand="0"/>
      </w:tblPr>
      <w:tblGrid>
        <w:gridCol w:w="3197"/>
        <w:gridCol w:w="1511"/>
        <w:gridCol w:w="1510"/>
        <w:gridCol w:w="1510"/>
        <w:gridCol w:w="1510"/>
      </w:tblGrid>
      <w:tr w:rsidR="00E03711" w:rsidRPr="00C60205" w14:paraId="7D3992E4" w14:textId="77777777" w:rsidTr="000A6D5F">
        <w:trPr>
          <w:trHeight w:val="20"/>
        </w:trPr>
        <w:tc>
          <w:tcPr>
            <w:tcW w:w="3119" w:type="dxa"/>
            <w:vMerge w:val="restart"/>
            <w:tcBorders>
              <w:top w:val="none" w:sz="6" w:space="0" w:color="auto"/>
              <w:left w:val="none" w:sz="6" w:space="0" w:color="auto"/>
              <w:bottom w:val="single" w:sz="6" w:space="0" w:color="000000"/>
              <w:right w:val="single" w:sz="6" w:space="0" w:color="000000"/>
            </w:tcBorders>
            <w:shd w:val="clear" w:color="auto" w:fill="auto"/>
            <w:vAlign w:val="center"/>
          </w:tcPr>
          <w:p w14:paraId="7D3992E1" w14:textId="77777777" w:rsidR="00E03711" w:rsidRPr="001048FE" w:rsidRDefault="00E03711" w:rsidP="000A6D5F">
            <w:pPr>
              <w:pStyle w:val="GUIDE-NORMAL"/>
              <w:spacing w:before="20" w:after="20"/>
              <w:rPr>
                <w:rFonts w:ascii="Times New Roman" w:hAnsi="Times New Roman"/>
                <w:sz w:val="20"/>
                <w:szCs w:val="20"/>
                <w:lang w:val="sl-SI" w:eastAsia="en-GB"/>
              </w:rPr>
            </w:pPr>
          </w:p>
        </w:tc>
        <w:tc>
          <w:tcPr>
            <w:tcW w:w="4422"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7D3992E2" w14:textId="77777777" w:rsidR="00E03711" w:rsidRPr="00F769E0" w:rsidRDefault="00E03711" w:rsidP="00D4441B">
            <w:pPr>
              <w:pStyle w:val="GUIDE-NORMAL"/>
              <w:spacing w:before="60" w:after="60"/>
              <w:jc w:val="center"/>
              <w:rPr>
                <w:rFonts w:cs="Tahoma"/>
                <w:b/>
                <w:lang w:val="sl-SI" w:eastAsia="en-GB"/>
              </w:rPr>
            </w:pPr>
            <w:r w:rsidRPr="00F769E0">
              <w:rPr>
                <w:rFonts w:cs="Tahoma"/>
                <w:b/>
                <w:lang w:val="sl-SI" w:eastAsia="en-GB"/>
              </w:rPr>
              <w:t xml:space="preserve">Dolgotrajna mobilnost za poučevanje </w:t>
            </w:r>
            <w:r w:rsidRPr="00F769E0">
              <w:rPr>
                <w:rFonts w:cs="Tahoma"/>
                <w:b/>
                <w:lang w:val="sl-SI" w:eastAsia="en-GB"/>
              </w:rPr>
              <w:br/>
              <w:t>ali usposabljanje – mobilnost mladinskih delavcev (zneski v EUR na dan)</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E3" w14:textId="77777777" w:rsidR="00E03711" w:rsidRPr="00F769E0" w:rsidRDefault="00E03711" w:rsidP="00D4441B">
            <w:pPr>
              <w:pStyle w:val="GUIDE-NORMAL"/>
              <w:spacing w:before="60" w:after="60"/>
              <w:jc w:val="center"/>
              <w:rPr>
                <w:rFonts w:cs="Tahoma"/>
                <w:b/>
                <w:lang w:val="sl-SI" w:eastAsia="en-GB"/>
              </w:rPr>
            </w:pPr>
            <w:r w:rsidRPr="00F769E0">
              <w:rPr>
                <w:rFonts w:cs="Tahoma"/>
                <w:b/>
                <w:lang w:val="sl-SI" w:eastAsia="en-GB"/>
              </w:rPr>
              <w:t xml:space="preserve">Dolgotrajne aktivnosti dijakov (zneski </w:t>
            </w:r>
            <w:r w:rsidRPr="00F769E0">
              <w:rPr>
                <w:rFonts w:cs="Tahoma"/>
                <w:b/>
                <w:lang w:val="sl-SI" w:eastAsia="en-GB"/>
              </w:rPr>
              <w:br/>
              <w:t>v EUR na mesec)</w:t>
            </w:r>
          </w:p>
        </w:tc>
      </w:tr>
      <w:tr w:rsidR="00E03711" w:rsidRPr="008C6F8C" w14:paraId="7D3992EA" w14:textId="77777777" w:rsidTr="000A6D5F">
        <w:trPr>
          <w:trHeight w:val="20"/>
        </w:trPr>
        <w:tc>
          <w:tcPr>
            <w:tcW w:w="3119" w:type="dxa"/>
            <w:vMerge/>
            <w:tcBorders>
              <w:top w:val="nil"/>
              <w:left w:val="none" w:sz="6" w:space="0" w:color="auto"/>
              <w:bottom w:val="single" w:sz="6" w:space="0" w:color="000000"/>
              <w:right w:val="single" w:sz="6" w:space="0" w:color="000000"/>
            </w:tcBorders>
            <w:shd w:val="clear" w:color="auto" w:fill="auto"/>
            <w:vAlign w:val="center"/>
          </w:tcPr>
          <w:p w14:paraId="7D3992E5" w14:textId="77777777" w:rsidR="00E03711" w:rsidRPr="00F769E0" w:rsidRDefault="00E03711" w:rsidP="000A6D5F">
            <w:pPr>
              <w:pStyle w:val="GUIDE-NORMAL"/>
              <w:spacing w:before="20" w:after="20"/>
              <w:rPr>
                <w:rFonts w:cs="Tahoma"/>
                <w:lang w:val="sl-SI" w:eastAsia="en-GB"/>
              </w:rPr>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E6" w14:textId="77777777" w:rsidR="00E03711" w:rsidRPr="00F769E0" w:rsidRDefault="00E03711" w:rsidP="000A6D5F">
            <w:pPr>
              <w:pStyle w:val="GUIDE-NORMAL"/>
              <w:spacing w:before="20" w:after="20"/>
              <w:jc w:val="center"/>
              <w:rPr>
                <w:rFonts w:cs="Tahoma"/>
                <w:b/>
                <w:lang w:val="sl-SI" w:eastAsia="en-GB"/>
              </w:rPr>
            </w:pPr>
            <w:r w:rsidRPr="00F769E0">
              <w:rPr>
                <w:rFonts w:cs="Tahoma"/>
                <w:b/>
                <w:lang w:val="sl-SI" w:eastAsia="en-GB"/>
              </w:rPr>
              <w:t>B1.5</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E7" w14:textId="77777777" w:rsidR="00E03711" w:rsidRPr="00F769E0" w:rsidRDefault="00E03711" w:rsidP="000A6D5F">
            <w:pPr>
              <w:pStyle w:val="GUIDE-NORMAL"/>
              <w:spacing w:before="20" w:after="20"/>
              <w:jc w:val="center"/>
              <w:rPr>
                <w:rFonts w:cs="Tahoma"/>
                <w:b/>
                <w:lang w:val="sl-SI" w:eastAsia="en-GB"/>
              </w:rPr>
            </w:pPr>
            <w:r w:rsidRPr="00F769E0">
              <w:rPr>
                <w:rFonts w:cs="Tahoma"/>
                <w:b/>
                <w:lang w:val="sl-SI" w:eastAsia="en-GB"/>
              </w:rPr>
              <w:t>B1.6</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E8" w14:textId="77777777" w:rsidR="00E03711" w:rsidRPr="00F769E0" w:rsidRDefault="00E03711" w:rsidP="000A6D5F">
            <w:pPr>
              <w:pStyle w:val="GUIDE-NORMAL"/>
              <w:spacing w:before="20" w:after="20"/>
              <w:jc w:val="center"/>
              <w:rPr>
                <w:rFonts w:cs="Tahoma"/>
                <w:b/>
                <w:lang w:val="sl-SI" w:eastAsia="en-GB"/>
              </w:rPr>
            </w:pPr>
            <w:r w:rsidRPr="00F769E0">
              <w:rPr>
                <w:rFonts w:cs="Tahoma"/>
                <w:b/>
                <w:lang w:val="sl-SI" w:eastAsia="en-GB"/>
              </w:rPr>
              <w:t>B1.7</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E9" w14:textId="77777777" w:rsidR="00E03711" w:rsidRPr="00F769E0" w:rsidRDefault="00E03711" w:rsidP="000A6D5F">
            <w:pPr>
              <w:pStyle w:val="GUIDE-NORMAL"/>
              <w:spacing w:before="20" w:after="20"/>
              <w:jc w:val="center"/>
              <w:rPr>
                <w:rFonts w:cs="Tahoma"/>
                <w:b/>
                <w:lang w:val="sl-SI" w:eastAsia="en-GB"/>
              </w:rPr>
            </w:pPr>
            <w:r w:rsidRPr="00F769E0">
              <w:rPr>
                <w:rFonts w:cs="Tahoma"/>
                <w:b/>
                <w:lang w:val="sl-SI" w:eastAsia="en-GB"/>
              </w:rPr>
              <w:t>B1.8</w:t>
            </w:r>
          </w:p>
        </w:tc>
      </w:tr>
      <w:tr w:rsidR="00E03711" w:rsidRPr="008C6F8C" w14:paraId="7D3992F1" w14:textId="77777777" w:rsidTr="000A6D5F">
        <w:trPr>
          <w:trHeight w:val="20"/>
        </w:trPr>
        <w:tc>
          <w:tcPr>
            <w:tcW w:w="31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EB" w14:textId="77777777" w:rsidR="00E03711" w:rsidRDefault="00E03711" w:rsidP="00C12952">
            <w:pPr>
              <w:pStyle w:val="GUIDE-NORMAL"/>
              <w:spacing w:before="60" w:after="60"/>
              <w:jc w:val="center"/>
              <w:rPr>
                <w:rFonts w:cs="Tahoma"/>
                <w:b/>
                <w:lang w:val="sl-SI" w:eastAsia="en-GB"/>
              </w:rPr>
            </w:pPr>
            <w:r>
              <w:rPr>
                <w:rFonts w:cs="Tahoma"/>
                <w:b/>
                <w:lang w:val="sl-SI" w:eastAsia="en-GB"/>
              </w:rPr>
              <w:t>Skupina 1</w:t>
            </w:r>
          </w:p>
          <w:p w14:paraId="7D3992EC" w14:textId="77777777" w:rsidR="00E03711" w:rsidRPr="00F769E0" w:rsidRDefault="00E03711" w:rsidP="00D4441B">
            <w:pPr>
              <w:pStyle w:val="GUIDE-NORMAL"/>
              <w:spacing w:before="60" w:after="60"/>
              <w:jc w:val="left"/>
              <w:rPr>
                <w:rFonts w:cs="Tahoma"/>
                <w:b/>
                <w:lang w:val="sl-SI" w:eastAsia="en-GB"/>
              </w:rPr>
            </w:pPr>
            <w:r w:rsidRPr="00F769E0">
              <w:rPr>
                <w:rFonts w:cs="Tahoma"/>
                <w:b/>
                <w:lang w:val="sl-SI" w:eastAsia="en-GB"/>
              </w:rPr>
              <w:t>Norveška, Danska, Luksemburg, Združeno kraljestvo, Islandija, Švedska, Irska, Finska, Lihtenštajn</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ED" w14:textId="77777777" w:rsidR="00E03711" w:rsidRPr="00F769E0" w:rsidRDefault="00E03711" w:rsidP="00D4441B">
            <w:pPr>
              <w:pStyle w:val="GUIDE-NORMAL"/>
              <w:spacing w:before="60" w:after="60"/>
              <w:jc w:val="center"/>
              <w:rPr>
                <w:rFonts w:cs="Tahoma"/>
                <w:lang w:val="sl-SI" w:eastAsia="en-GB"/>
              </w:rPr>
            </w:pPr>
            <w:r w:rsidRPr="00F769E0">
              <w:rPr>
                <w:rFonts w:cs="Tahoma"/>
                <w:lang w:val="sl-SI" w:eastAsia="en-GB"/>
              </w:rPr>
              <w:t>125</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EE" w14:textId="77777777" w:rsidR="00E03711" w:rsidRPr="00F769E0" w:rsidRDefault="00E03711" w:rsidP="00D4441B">
            <w:pPr>
              <w:pStyle w:val="GUIDE-NORMAL"/>
              <w:spacing w:before="60" w:after="60"/>
              <w:jc w:val="center"/>
              <w:rPr>
                <w:rFonts w:cs="Tahoma"/>
                <w:lang w:val="sl-SI" w:eastAsia="en-GB"/>
              </w:rPr>
            </w:pPr>
            <w:r w:rsidRPr="00F769E0">
              <w:rPr>
                <w:rFonts w:cs="Tahoma"/>
                <w:lang w:val="sl-SI" w:eastAsia="en-GB"/>
              </w:rPr>
              <w:t>88</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EF" w14:textId="77777777" w:rsidR="00E03711" w:rsidRPr="00F769E0" w:rsidRDefault="00E03711" w:rsidP="00D4441B">
            <w:pPr>
              <w:pStyle w:val="GUIDE-NORMAL"/>
              <w:spacing w:before="60" w:after="60"/>
              <w:jc w:val="center"/>
              <w:rPr>
                <w:rFonts w:cs="Tahoma"/>
                <w:lang w:val="sl-SI" w:eastAsia="en-GB"/>
              </w:rPr>
            </w:pPr>
            <w:r w:rsidRPr="00F769E0">
              <w:rPr>
                <w:rFonts w:cs="Tahoma"/>
                <w:lang w:val="sl-SI" w:eastAsia="en-GB"/>
              </w:rPr>
              <w:t>63</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F0" w14:textId="77777777" w:rsidR="00E03711" w:rsidRPr="00F769E0" w:rsidRDefault="00E03711" w:rsidP="00D4441B">
            <w:pPr>
              <w:pStyle w:val="GUIDE-NORMAL"/>
              <w:spacing w:before="60" w:after="60"/>
              <w:jc w:val="center"/>
              <w:rPr>
                <w:rFonts w:cs="Tahoma"/>
                <w:lang w:val="sl-SI" w:eastAsia="en-GB"/>
              </w:rPr>
            </w:pPr>
            <w:r w:rsidRPr="00F769E0">
              <w:rPr>
                <w:rFonts w:cs="Tahoma"/>
                <w:lang w:val="sl-SI" w:eastAsia="en-GB"/>
              </w:rPr>
              <w:t>168</w:t>
            </w:r>
          </w:p>
        </w:tc>
      </w:tr>
      <w:tr w:rsidR="00E03711" w:rsidRPr="008C6F8C" w14:paraId="7D3992F8" w14:textId="77777777" w:rsidTr="000A6D5F">
        <w:trPr>
          <w:trHeight w:val="20"/>
        </w:trPr>
        <w:tc>
          <w:tcPr>
            <w:tcW w:w="31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F2" w14:textId="77777777" w:rsidR="00E03711" w:rsidRDefault="00E03711" w:rsidP="00C12952">
            <w:pPr>
              <w:pStyle w:val="GUIDE-NORMAL"/>
              <w:spacing w:before="60" w:after="60"/>
              <w:jc w:val="center"/>
              <w:rPr>
                <w:rFonts w:cs="Tahoma"/>
                <w:b/>
                <w:lang w:val="sl-SI" w:eastAsia="en-GB"/>
              </w:rPr>
            </w:pPr>
            <w:r>
              <w:rPr>
                <w:rFonts w:cs="Tahoma"/>
                <w:b/>
                <w:lang w:val="sl-SI" w:eastAsia="en-GB"/>
              </w:rPr>
              <w:t>Skupina 2</w:t>
            </w:r>
          </w:p>
          <w:p w14:paraId="7D3992F3" w14:textId="77777777" w:rsidR="00E03711" w:rsidRPr="00F769E0" w:rsidRDefault="00E03711" w:rsidP="00D4441B">
            <w:pPr>
              <w:pStyle w:val="GUIDE-NORMAL"/>
              <w:spacing w:before="60" w:after="60"/>
              <w:jc w:val="left"/>
              <w:rPr>
                <w:rFonts w:cs="Tahoma"/>
                <w:b/>
                <w:lang w:val="sl-SI" w:eastAsia="en-GB"/>
              </w:rPr>
            </w:pPr>
            <w:r w:rsidRPr="00F769E0">
              <w:rPr>
                <w:rFonts w:cs="Tahoma"/>
                <w:b/>
                <w:lang w:val="sl-SI" w:eastAsia="en-GB"/>
              </w:rPr>
              <w:t>Nizozemska, Avstrija, Belgija, Francija, Nemčija, Italija, Španija, Ciper, Grčija, Malta, Portugalska</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F4" w14:textId="77777777" w:rsidR="00E03711" w:rsidRPr="00F769E0" w:rsidRDefault="00E03711" w:rsidP="00D4441B">
            <w:pPr>
              <w:pStyle w:val="GUIDE-NORMAL"/>
              <w:spacing w:before="60" w:after="60"/>
              <w:jc w:val="center"/>
              <w:rPr>
                <w:rFonts w:cs="Tahoma"/>
                <w:lang w:val="sl-SI" w:eastAsia="en-GB"/>
              </w:rPr>
            </w:pPr>
            <w:r w:rsidRPr="00F769E0">
              <w:rPr>
                <w:rFonts w:cs="Tahoma"/>
                <w:lang w:val="sl-SI" w:eastAsia="en-GB"/>
              </w:rPr>
              <w:t>110</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F5" w14:textId="77777777" w:rsidR="00E03711" w:rsidRPr="00F769E0" w:rsidRDefault="00E03711" w:rsidP="00D4441B">
            <w:pPr>
              <w:pStyle w:val="GUIDE-NORMAL"/>
              <w:spacing w:before="60" w:after="60"/>
              <w:jc w:val="center"/>
              <w:rPr>
                <w:rFonts w:cs="Tahoma"/>
                <w:lang w:val="sl-SI" w:eastAsia="en-GB"/>
              </w:rPr>
            </w:pPr>
            <w:r w:rsidRPr="00F769E0">
              <w:rPr>
                <w:rFonts w:cs="Tahoma"/>
                <w:lang w:val="sl-SI" w:eastAsia="en-GB"/>
              </w:rPr>
              <w:t>77</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F6" w14:textId="77777777" w:rsidR="00E03711" w:rsidRPr="00F769E0" w:rsidRDefault="00E03711" w:rsidP="00D4441B">
            <w:pPr>
              <w:pStyle w:val="GUIDE-NORMAL"/>
              <w:spacing w:before="60" w:after="60"/>
              <w:jc w:val="center"/>
              <w:rPr>
                <w:rFonts w:cs="Tahoma"/>
                <w:lang w:val="sl-SI" w:eastAsia="en-GB"/>
              </w:rPr>
            </w:pPr>
            <w:r w:rsidRPr="00F769E0">
              <w:rPr>
                <w:rFonts w:cs="Tahoma"/>
                <w:lang w:val="sl-SI" w:eastAsia="en-GB"/>
              </w:rPr>
              <w:t>55</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F7" w14:textId="77777777" w:rsidR="00E03711" w:rsidRPr="00F769E0" w:rsidRDefault="00E03711" w:rsidP="00D4441B">
            <w:pPr>
              <w:pStyle w:val="GUIDE-NORMAL"/>
              <w:spacing w:before="60" w:after="60"/>
              <w:jc w:val="center"/>
              <w:rPr>
                <w:rFonts w:cs="Tahoma"/>
                <w:lang w:val="sl-SI" w:eastAsia="en-GB"/>
              </w:rPr>
            </w:pPr>
            <w:r w:rsidRPr="00F769E0">
              <w:rPr>
                <w:rFonts w:cs="Tahoma"/>
                <w:lang w:val="sl-SI" w:eastAsia="en-GB"/>
              </w:rPr>
              <w:t>147</w:t>
            </w:r>
          </w:p>
        </w:tc>
      </w:tr>
      <w:tr w:rsidR="00E03711" w:rsidRPr="008C6F8C" w14:paraId="7D3992FF" w14:textId="77777777" w:rsidTr="000A6D5F">
        <w:trPr>
          <w:trHeight w:val="20"/>
        </w:trPr>
        <w:tc>
          <w:tcPr>
            <w:tcW w:w="31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F9" w14:textId="77777777" w:rsidR="00E03711" w:rsidRDefault="00E03711" w:rsidP="00C12952">
            <w:pPr>
              <w:pStyle w:val="GUIDE-NORMAL"/>
              <w:spacing w:before="60" w:after="60"/>
              <w:jc w:val="center"/>
              <w:rPr>
                <w:rFonts w:cs="Tahoma"/>
                <w:b/>
                <w:lang w:val="sl-SI" w:eastAsia="en-GB"/>
              </w:rPr>
            </w:pPr>
            <w:r>
              <w:rPr>
                <w:rFonts w:cs="Tahoma"/>
                <w:b/>
                <w:lang w:val="sl-SI" w:eastAsia="en-GB"/>
              </w:rPr>
              <w:t>Skupina 3</w:t>
            </w:r>
          </w:p>
          <w:p w14:paraId="7D3992FA" w14:textId="77777777" w:rsidR="00E03711" w:rsidRPr="00F769E0" w:rsidRDefault="00E03711" w:rsidP="00D4441B">
            <w:pPr>
              <w:pStyle w:val="GUIDE-NORMAL"/>
              <w:spacing w:before="60" w:after="60"/>
              <w:jc w:val="left"/>
              <w:rPr>
                <w:rFonts w:cs="Tahoma"/>
                <w:b/>
                <w:lang w:val="sl-SI" w:eastAsia="en-GB"/>
              </w:rPr>
            </w:pPr>
            <w:r w:rsidRPr="00F769E0">
              <w:rPr>
                <w:rFonts w:cs="Tahoma"/>
                <w:b/>
                <w:lang w:val="sl-SI" w:eastAsia="en-GB"/>
              </w:rPr>
              <w:t xml:space="preserve">Slovenija, Estonija, Latvija, Hrvaška, Slovaška, Srbija, Češka, Litva, Turčija, Madžarska, Poljska, Romunija, Bolgarija, </w:t>
            </w:r>
            <w:r>
              <w:rPr>
                <w:rFonts w:cs="Tahoma"/>
                <w:b/>
                <w:lang w:val="sl-SI" w:eastAsia="en-GB"/>
              </w:rPr>
              <w:t>R</w:t>
            </w:r>
            <w:r w:rsidRPr="00F769E0">
              <w:rPr>
                <w:rFonts w:cs="Tahoma"/>
                <w:b/>
                <w:lang w:val="sl-SI" w:eastAsia="en-GB"/>
              </w:rPr>
              <w:t xml:space="preserve">epublika </w:t>
            </w:r>
            <w:r>
              <w:rPr>
                <w:rFonts w:cs="Tahoma"/>
                <w:b/>
                <w:lang w:val="sl-SI" w:eastAsia="en-GB"/>
              </w:rPr>
              <w:t xml:space="preserve">Severna </w:t>
            </w:r>
            <w:r w:rsidRPr="00F769E0">
              <w:rPr>
                <w:rFonts w:cs="Tahoma"/>
                <w:b/>
                <w:lang w:val="sl-SI" w:eastAsia="en-GB"/>
              </w:rPr>
              <w:t>Makedonija</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FB" w14:textId="77777777" w:rsidR="00E03711" w:rsidRPr="00F769E0" w:rsidRDefault="00E03711" w:rsidP="00D4441B">
            <w:pPr>
              <w:pStyle w:val="GUIDE-NORMAL"/>
              <w:spacing w:before="60" w:after="60"/>
              <w:jc w:val="center"/>
              <w:rPr>
                <w:rFonts w:cs="Tahoma"/>
                <w:lang w:val="sl-SI" w:eastAsia="en-GB"/>
              </w:rPr>
            </w:pPr>
            <w:r w:rsidRPr="00F769E0">
              <w:rPr>
                <w:rFonts w:cs="Tahoma"/>
                <w:lang w:val="sl-SI" w:eastAsia="en-GB"/>
              </w:rPr>
              <w:t>90</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FC" w14:textId="77777777" w:rsidR="00E03711" w:rsidRPr="00F769E0" w:rsidRDefault="00E03711" w:rsidP="00D4441B">
            <w:pPr>
              <w:pStyle w:val="GUIDE-NORMAL"/>
              <w:spacing w:before="60" w:after="60"/>
              <w:jc w:val="center"/>
              <w:rPr>
                <w:rFonts w:cs="Tahoma"/>
                <w:lang w:val="sl-SI" w:eastAsia="en-GB"/>
              </w:rPr>
            </w:pPr>
            <w:r w:rsidRPr="00F769E0">
              <w:rPr>
                <w:rFonts w:cs="Tahoma"/>
                <w:lang w:val="sl-SI" w:eastAsia="en-GB"/>
              </w:rPr>
              <w:t>63</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FD" w14:textId="77777777" w:rsidR="00E03711" w:rsidRPr="00F769E0" w:rsidRDefault="00E03711" w:rsidP="00D4441B">
            <w:pPr>
              <w:pStyle w:val="GUIDE-NORMAL"/>
              <w:spacing w:before="60" w:after="60"/>
              <w:jc w:val="center"/>
              <w:rPr>
                <w:rFonts w:cs="Tahoma"/>
                <w:lang w:val="sl-SI" w:eastAsia="en-GB"/>
              </w:rPr>
            </w:pPr>
            <w:r w:rsidRPr="00F769E0">
              <w:rPr>
                <w:rFonts w:cs="Tahoma"/>
                <w:lang w:val="sl-SI" w:eastAsia="en-GB"/>
              </w:rPr>
              <w:t>45</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2FE" w14:textId="77777777" w:rsidR="00E03711" w:rsidRPr="00F769E0" w:rsidRDefault="00E03711" w:rsidP="00D4441B">
            <w:pPr>
              <w:pStyle w:val="GUIDE-NORMAL"/>
              <w:spacing w:before="60" w:after="60"/>
              <w:jc w:val="center"/>
              <w:rPr>
                <w:rFonts w:cs="Tahoma"/>
                <w:lang w:val="sl-SI" w:eastAsia="en-GB"/>
              </w:rPr>
            </w:pPr>
            <w:r w:rsidRPr="00F769E0">
              <w:rPr>
                <w:rFonts w:cs="Tahoma"/>
                <w:lang w:val="sl-SI" w:eastAsia="en-GB"/>
              </w:rPr>
              <w:t>105</w:t>
            </w:r>
          </w:p>
        </w:tc>
      </w:tr>
    </w:tbl>
    <w:p w14:paraId="7D399300" w14:textId="77777777" w:rsidR="00E03711" w:rsidRPr="001048FE" w:rsidRDefault="00E03711" w:rsidP="00364D45">
      <w:pPr>
        <w:pStyle w:val="Guide-Table"/>
        <w:rPr>
          <w:lang w:val="sl-SI"/>
        </w:rPr>
      </w:pPr>
      <w:bookmarkStart w:id="217" w:name="Alliances_de_la_connaissance"/>
      <w:bookmarkStart w:id="218" w:name="_bookmark41"/>
      <w:bookmarkEnd w:id="217"/>
      <w:bookmarkEnd w:id="218"/>
    </w:p>
    <w:p w14:paraId="7D399301" w14:textId="77777777" w:rsidR="00E03711" w:rsidRPr="001048FE" w:rsidRDefault="00E03711" w:rsidP="000A6D5F">
      <w:pPr>
        <w:pStyle w:val="Guide-Heading4TOC"/>
        <w:rPr>
          <w:lang w:val="sl-SI"/>
        </w:rPr>
        <w:sectPr w:rsidR="00E03711" w:rsidRPr="001048FE" w:rsidSect="00E15ED3">
          <w:endnotePr>
            <w:numFmt w:val="decimal"/>
          </w:endnotePr>
          <w:pgSz w:w="11910" w:h="16840" w:code="9"/>
          <w:pgMar w:top="1134" w:right="1418" w:bottom="1134" w:left="1418" w:header="284" w:footer="567" w:gutter="0"/>
          <w:cols w:space="720"/>
          <w:docGrid w:linePitch="326"/>
        </w:sectPr>
      </w:pPr>
    </w:p>
    <w:p w14:paraId="7D399302" w14:textId="77777777" w:rsidR="00E03711" w:rsidRPr="000E24C7" w:rsidRDefault="00E03711" w:rsidP="001E051C">
      <w:pPr>
        <w:rPr>
          <w:rFonts w:asciiTheme="minorHAnsi" w:hAnsiTheme="minorHAnsi"/>
          <w:b/>
          <w:sz w:val="28"/>
          <w:szCs w:val="28"/>
          <w:lang w:val="sl-SI"/>
        </w:rPr>
      </w:pPr>
      <w:r>
        <w:rPr>
          <w:rFonts w:eastAsia="Calibri" w:cs="Calibri"/>
          <w:b/>
          <w:bCs/>
          <w:sz w:val="28"/>
          <w:szCs w:val="28"/>
          <w:bdr w:val="nil"/>
          <w:lang w:val="sl-SI"/>
        </w:rPr>
        <w:t>Koalicije znanja</w:t>
      </w:r>
    </w:p>
    <w:p w14:paraId="7D399303" w14:textId="77777777" w:rsidR="00E03711" w:rsidRPr="000E24C7" w:rsidRDefault="00E03711" w:rsidP="001E051C">
      <w:pPr>
        <w:pStyle w:val="Guide-Bulletsspace"/>
        <w:ind w:left="0" w:firstLine="0"/>
        <w:rPr>
          <w:lang w:val="sl-SI"/>
        </w:rPr>
      </w:pPr>
      <w:r>
        <w:rPr>
          <w:rFonts w:eastAsia="Calibri" w:cs="Calibri"/>
          <w:bdr w:val="nil"/>
          <w:lang w:val="sl-SI" w:eastAsia="en-GB"/>
        </w:rPr>
        <w:t xml:space="preserve">V okviru tega ukrepa sta lahko podprti dve vrsti projektov sodelovanja: </w:t>
      </w:r>
    </w:p>
    <w:p w14:paraId="7D399304" w14:textId="77777777" w:rsidR="00E03711" w:rsidRPr="000E24C7" w:rsidRDefault="00E03711" w:rsidP="001E051C">
      <w:pPr>
        <w:pStyle w:val="Guide-Bulletsspace"/>
        <w:ind w:firstLine="0"/>
        <w:rPr>
          <w:lang w:val="sl-SI"/>
        </w:rPr>
      </w:pPr>
    </w:p>
    <w:p w14:paraId="7D399305" w14:textId="77777777" w:rsidR="00E03711" w:rsidRPr="0088695A" w:rsidRDefault="00E03711" w:rsidP="001E051C">
      <w:pPr>
        <w:pStyle w:val="Guide-Bulletsspace"/>
        <w:numPr>
          <w:ilvl w:val="0"/>
          <w:numId w:val="51"/>
        </w:numPr>
        <w:rPr>
          <w:b/>
        </w:rPr>
      </w:pPr>
      <w:r>
        <w:rPr>
          <w:rFonts w:eastAsia="Calibri" w:cs="Calibri"/>
          <w:b/>
          <w:bCs/>
          <w:bdr w:val="nil"/>
          <w:lang w:val="sl-SI" w:eastAsia="en-GB"/>
        </w:rPr>
        <w:t>Evropske univerze</w:t>
      </w:r>
    </w:p>
    <w:p w14:paraId="7D399306" w14:textId="77777777" w:rsidR="00E03711" w:rsidRPr="00500D67" w:rsidRDefault="00E03711" w:rsidP="001E051C">
      <w:pPr>
        <w:pStyle w:val="Guide-Bulletsspace"/>
        <w:numPr>
          <w:ilvl w:val="0"/>
          <w:numId w:val="51"/>
        </w:numPr>
        <w:rPr>
          <w:sz w:val="24"/>
          <w:szCs w:val="24"/>
        </w:rPr>
      </w:pPr>
      <w:r>
        <w:rPr>
          <w:rFonts w:eastAsia="Calibri" w:cs="Calibri"/>
          <w:b/>
          <w:bCs/>
          <w:bdr w:val="nil"/>
          <w:lang w:val="sl-SI" w:eastAsia="en-GB"/>
        </w:rPr>
        <w:t xml:space="preserve">Koalicije znanja </w:t>
      </w:r>
    </w:p>
    <w:p w14:paraId="7D399307" w14:textId="77777777" w:rsidR="00E03711" w:rsidRPr="006B74BF" w:rsidRDefault="00E03711" w:rsidP="001E051C">
      <w:pPr>
        <w:pStyle w:val="Guide-Bulletsspace"/>
        <w:rPr>
          <w:sz w:val="24"/>
          <w:szCs w:val="24"/>
        </w:rPr>
      </w:pPr>
    </w:p>
    <w:p w14:paraId="7D399308" w14:textId="77777777" w:rsidR="00E03711" w:rsidRPr="0088695A" w:rsidRDefault="00E03711" w:rsidP="001E051C">
      <w:pPr>
        <w:pStyle w:val="Guide-Heading4TOC"/>
      </w:pPr>
      <w:bookmarkStart w:id="219" w:name="_Toc520804815"/>
      <w:bookmarkStart w:id="220" w:name="_Toc527401152"/>
      <w:r>
        <w:rPr>
          <w:rFonts w:eastAsia="Calibri" w:cs="Calibri"/>
          <w:bCs/>
          <w:szCs w:val="28"/>
          <w:bdr w:val="nil"/>
          <w:lang w:val="sl-SI"/>
        </w:rPr>
        <w:t>Evropske univerze</w:t>
      </w:r>
      <w:bookmarkEnd w:id="219"/>
      <w:bookmarkEnd w:id="220"/>
    </w:p>
    <w:p w14:paraId="7D399309" w14:textId="77777777" w:rsidR="00E03711" w:rsidRPr="001E051C" w:rsidRDefault="00E03711" w:rsidP="001E051C">
      <w:pPr>
        <w:jc w:val="both"/>
        <w:rPr>
          <w:sz w:val="18"/>
          <w:szCs w:val="18"/>
        </w:rPr>
      </w:pPr>
      <w:r>
        <w:rPr>
          <w:rFonts w:eastAsia="Calibri" w:cs="Calibri"/>
          <w:sz w:val="18"/>
          <w:szCs w:val="18"/>
          <w:bdr w:val="nil"/>
          <w:lang w:val="sl-SI"/>
        </w:rPr>
        <w:t>Vodje držav in vlad so v sklepih Evropskega Sveta z dne 14. decembra 2017</w:t>
      </w:r>
      <w:r>
        <w:rPr>
          <w:rStyle w:val="FootnoteReference"/>
          <w:sz w:val="18"/>
          <w:szCs w:val="18"/>
          <w:lang w:val="en-GB"/>
        </w:rPr>
        <w:footnoteReference w:id="107"/>
      </w:r>
      <w:r>
        <w:rPr>
          <w:rFonts w:eastAsia="Calibri" w:cs="Calibri"/>
          <w:sz w:val="18"/>
          <w:szCs w:val="18"/>
          <w:bdr w:val="nil"/>
          <w:lang w:val="sl-SI"/>
        </w:rPr>
        <w:t xml:space="preserve"> pozvale države članice, Svet in Evropsko komisijo, naj do leta 2024 nadaljujejo s "spodbujanjem oblikovanja dvajsetih "Evropskih univerz", ki jih bodo sestavljale mreže univerz iz vse EU, kar bo omogočilo študentom pridobiti diplomo s kombiniranim študijem v več državah EU in bo prispevalo k mednarodni konkurenčnosti evropskih univerz".</w:t>
      </w:r>
    </w:p>
    <w:p w14:paraId="7D39930A" w14:textId="77777777" w:rsidR="00E03711" w:rsidRPr="001E051C" w:rsidRDefault="00E03711" w:rsidP="001E051C">
      <w:pPr>
        <w:jc w:val="both"/>
        <w:rPr>
          <w:sz w:val="18"/>
          <w:szCs w:val="18"/>
        </w:rPr>
      </w:pPr>
    </w:p>
    <w:p w14:paraId="7D39930B" w14:textId="77777777" w:rsidR="00E03711" w:rsidRPr="001E051C" w:rsidRDefault="00E03711" w:rsidP="001E051C">
      <w:pPr>
        <w:jc w:val="both"/>
        <w:rPr>
          <w:sz w:val="18"/>
          <w:szCs w:val="18"/>
          <w:lang w:val="sl-SI"/>
        </w:rPr>
      </w:pPr>
      <w:r>
        <w:rPr>
          <w:rFonts w:eastAsia="Calibri" w:cs="Calibri"/>
          <w:sz w:val="18"/>
          <w:szCs w:val="18"/>
          <w:bdr w:val="nil"/>
          <w:lang w:val="sl-SI"/>
        </w:rPr>
        <w:t>Sklepi Sveta za izobraževanje z dne 22. maja 2018</w:t>
      </w:r>
      <w:r>
        <w:rPr>
          <w:rStyle w:val="FootnoteReference"/>
          <w:sz w:val="18"/>
          <w:szCs w:val="18"/>
          <w:lang w:val="en-GB"/>
        </w:rPr>
        <w:footnoteReference w:id="108"/>
      </w:r>
      <w:r>
        <w:rPr>
          <w:rFonts w:eastAsia="Calibri" w:cs="Calibri"/>
          <w:sz w:val="18"/>
          <w:szCs w:val="18"/>
          <w:bdr w:val="nil"/>
          <w:lang w:val="sl-SI"/>
        </w:rPr>
        <w:t xml:space="preserve"> so še nadalje poudarili potencial »Evropskih univerz«, da »pomembno okrepijo mobilnost in spodbudijo visoko kakovost ter odličnost in povezavo med poučevanjem, raziskavami in inovacijami ter prenosom znanja, s čimer se izkažejo prednosti večjezičnega učenja, priznavanje kvalifikacij in razvoj skupnih izobraževalnih in raziskovalnih programov in projektov.« Izpostavili so tudi dejstvo, da imajo Evropske univerze lahko »vodilno vlogo pri oblikovanju celotnega evropskega izobraževalnega prostora«.</w:t>
      </w:r>
    </w:p>
    <w:p w14:paraId="7D39930C" w14:textId="77777777" w:rsidR="00E03711" w:rsidRPr="001E051C" w:rsidRDefault="00E03711" w:rsidP="001E051C">
      <w:pPr>
        <w:jc w:val="both"/>
        <w:rPr>
          <w:sz w:val="18"/>
          <w:szCs w:val="18"/>
          <w:lang w:val="sl-SI"/>
        </w:rPr>
      </w:pPr>
    </w:p>
    <w:p w14:paraId="7D39930D" w14:textId="77777777" w:rsidR="00E03711" w:rsidRPr="001E051C" w:rsidRDefault="00E03711" w:rsidP="001E051C">
      <w:pPr>
        <w:jc w:val="both"/>
        <w:rPr>
          <w:sz w:val="18"/>
          <w:szCs w:val="18"/>
          <w:lang w:val="sl-SI"/>
        </w:rPr>
      </w:pPr>
      <w:r>
        <w:rPr>
          <w:rFonts w:eastAsia="Calibri" w:cs="Calibri"/>
          <w:sz w:val="18"/>
          <w:szCs w:val="18"/>
          <w:bdr w:val="nil"/>
          <w:lang w:val="sl-SI"/>
        </w:rPr>
        <w:t xml:space="preserve">Za dosego tega cilja Evropska komisija predlaga edinstveno pobudo, ki predstavlja pomemben napredek in pravi kvantni preskok v sodelovanju med vsemi vrstami visokošolskih institucij iz vseh regij v Evropi in na vseh ravneh organizacije, prek vseh področij aktivnosti, od poučevanja in učenja do raziskav in inovacij. </w:t>
      </w:r>
    </w:p>
    <w:p w14:paraId="7D39930E" w14:textId="77777777" w:rsidR="00E03711" w:rsidRPr="001E051C" w:rsidRDefault="00E03711" w:rsidP="001E051C">
      <w:pPr>
        <w:jc w:val="both"/>
        <w:rPr>
          <w:sz w:val="18"/>
          <w:szCs w:val="18"/>
          <w:lang w:val="sl-SI"/>
        </w:rPr>
      </w:pPr>
    </w:p>
    <w:p w14:paraId="7D39930F" w14:textId="77777777" w:rsidR="00E03711" w:rsidRPr="001E051C" w:rsidRDefault="00E03711" w:rsidP="001E051C">
      <w:pPr>
        <w:pStyle w:val="Guide-Heading5"/>
        <w:rPr>
          <w:lang w:val="sl-SI"/>
        </w:rPr>
      </w:pPr>
      <w:r>
        <w:rPr>
          <w:rFonts w:eastAsia="Calibri" w:cs="Calibri"/>
          <w:bCs/>
          <w:szCs w:val="22"/>
          <w:bdr w:val="nil"/>
          <w:lang w:val="sl-SI"/>
        </w:rPr>
        <w:t>Kakšni so cilji in prioritete EVROPSKIH UNIVERZ?</w:t>
      </w:r>
    </w:p>
    <w:p w14:paraId="7D399310" w14:textId="77777777" w:rsidR="00E03711" w:rsidRPr="001E051C" w:rsidRDefault="00E03711" w:rsidP="001E051C">
      <w:pPr>
        <w:jc w:val="both"/>
        <w:rPr>
          <w:sz w:val="18"/>
          <w:szCs w:val="18"/>
          <w:lang w:val="sl-SI"/>
        </w:rPr>
      </w:pPr>
      <w:r>
        <w:rPr>
          <w:rFonts w:eastAsia="Calibri" w:cs="Calibri"/>
          <w:sz w:val="18"/>
          <w:szCs w:val="18"/>
          <w:bdr w:val="nil"/>
          <w:lang w:val="sl-SI"/>
        </w:rPr>
        <w:t>"Evropske univerze" imajo velikopotezno nalogo, da sprožijo še nikoli dosežene ravni institucionalnega sodelovanja, tako da postane sistemsko, strukturno in trajnostjo. Na ta način Evropske univerze nameravajo doseči naslednja dva cilja:</w:t>
      </w:r>
    </w:p>
    <w:p w14:paraId="7D399311" w14:textId="77777777" w:rsidR="00E03711" w:rsidRPr="001E051C" w:rsidRDefault="00E03711" w:rsidP="001E051C">
      <w:pPr>
        <w:jc w:val="both"/>
        <w:rPr>
          <w:sz w:val="18"/>
          <w:szCs w:val="18"/>
          <w:lang w:val="sl-SI"/>
        </w:rPr>
      </w:pPr>
    </w:p>
    <w:p w14:paraId="7D399312" w14:textId="77777777" w:rsidR="00E03711" w:rsidRPr="001E051C" w:rsidRDefault="00E03711" w:rsidP="002D7FF4">
      <w:pPr>
        <w:pStyle w:val="ListParagraph"/>
        <w:widowControl/>
        <w:numPr>
          <w:ilvl w:val="0"/>
          <w:numId w:val="88"/>
        </w:numPr>
        <w:tabs>
          <w:tab w:val="left" w:pos="567"/>
        </w:tabs>
        <w:suppressAutoHyphens w:val="0"/>
        <w:autoSpaceDN/>
        <w:spacing w:after="200" w:line="276" w:lineRule="auto"/>
        <w:ind w:left="567"/>
        <w:jc w:val="both"/>
        <w:textAlignment w:val="auto"/>
        <w:rPr>
          <w:rFonts w:cstheme="minorBidi"/>
          <w:sz w:val="18"/>
          <w:szCs w:val="18"/>
          <w:lang w:val="sl-SI" w:eastAsia="en-US"/>
        </w:rPr>
      </w:pPr>
      <w:r>
        <w:rPr>
          <w:rFonts w:eastAsia="Calibri" w:cs="Calibri"/>
          <w:sz w:val="18"/>
          <w:szCs w:val="18"/>
          <w:bdr w:val="nil"/>
          <w:lang w:val="sl-SI" w:eastAsia="en-US"/>
        </w:rPr>
        <w:t xml:space="preserve">Spodbujanje </w:t>
      </w:r>
      <w:r>
        <w:rPr>
          <w:rFonts w:eastAsia="Calibri" w:cs="Calibri"/>
          <w:b/>
          <w:bCs/>
          <w:sz w:val="18"/>
          <w:szCs w:val="18"/>
          <w:bdr w:val="nil"/>
          <w:lang w:val="sl-SI" w:eastAsia="en-US"/>
        </w:rPr>
        <w:t>skupnih evropskih vrednot,</w:t>
      </w:r>
      <w:r>
        <w:rPr>
          <w:rFonts w:eastAsia="Calibri" w:cs="Calibri"/>
          <w:sz w:val="18"/>
          <w:szCs w:val="18"/>
          <w:bdr w:val="nil"/>
          <w:lang w:val="sl-SI" w:eastAsia="en-US"/>
        </w:rPr>
        <w:t xml:space="preserve"> kot so navedene v 2. členu Pogodbe o Evropski uniji, in </w:t>
      </w:r>
      <w:r>
        <w:rPr>
          <w:rFonts w:eastAsia="Calibri" w:cs="Calibri"/>
          <w:b/>
          <w:bCs/>
          <w:sz w:val="18"/>
          <w:szCs w:val="18"/>
          <w:bdr w:val="nil"/>
          <w:lang w:val="sl-SI" w:eastAsia="en-US"/>
        </w:rPr>
        <w:t>okrepljene evropske identitete</w:t>
      </w:r>
      <w:r>
        <w:rPr>
          <w:rFonts w:eastAsia="Calibri" w:cs="Calibri"/>
          <w:sz w:val="18"/>
          <w:szCs w:val="18"/>
          <w:bdr w:val="nil"/>
          <w:lang w:val="sl-SI" w:eastAsia="en-US"/>
        </w:rPr>
        <w:t xml:space="preserve">, s čimer se poveže nova generacija Evropejcev, ki so sposobni sodelovati in delovati znotraj različnih evropskih in globalnih kultur, v različnih jezikih in preko meja, področij in akademskih disciplin. </w:t>
      </w:r>
    </w:p>
    <w:p w14:paraId="7D399313" w14:textId="77777777" w:rsidR="00E03711" w:rsidRPr="001E051C" w:rsidRDefault="00E03711" w:rsidP="002D7FF4">
      <w:pPr>
        <w:pStyle w:val="ListParagraph"/>
        <w:widowControl/>
        <w:numPr>
          <w:ilvl w:val="0"/>
          <w:numId w:val="88"/>
        </w:numPr>
        <w:tabs>
          <w:tab w:val="left" w:pos="567"/>
        </w:tabs>
        <w:suppressAutoHyphens w:val="0"/>
        <w:autoSpaceDN/>
        <w:spacing w:after="200" w:line="276" w:lineRule="auto"/>
        <w:ind w:left="567"/>
        <w:jc w:val="both"/>
        <w:textAlignment w:val="auto"/>
        <w:rPr>
          <w:rFonts w:cstheme="minorBidi"/>
          <w:sz w:val="18"/>
          <w:szCs w:val="18"/>
          <w:lang w:val="sl-SI" w:eastAsia="en-US"/>
        </w:rPr>
      </w:pPr>
      <w:r>
        <w:rPr>
          <w:rFonts w:eastAsia="Calibri" w:cs="Calibri"/>
          <w:sz w:val="18"/>
          <w:szCs w:val="18"/>
          <w:bdr w:val="nil"/>
          <w:lang w:val="sl-SI" w:eastAsia="en-US"/>
        </w:rPr>
        <w:t>Doseči precejšnji preskok v</w:t>
      </w:r>
      <w:r>
        <w:rPr>
          <w:rFonts w:eastAsia="Calibri" w:cs="Calibri"/>
          <w:b/>
          <w:bCs/>
          <w:sz w:val="18"/>
          <w:szCs w:val="18"/>
          <w:bdr w:val="nil"/>
          <w:lang w:val="sl-SI" w:eastAsia="en-US"/>
        </w:rPr>
        <w:t xml:space="preserve"> kakovosti, uspešnosti, privlačnosti in mednarodni konkurenčnosti evropskih visokošolskih institucij</w:t>
      </w:r>
      <w:r>
        <w:rPr>
          <w:rFonts w:eastAsia="Calibri" w:cs="Calibri"/>
          <w:sz w:val="18"/>
          <w:szCs w:val="18"/>
          <w:bdr w:val="nil"/>
          <w:lang w:val="sl-SI" w:eastAsia="en-US"/>
        </w:rPr>
        <w:t xml:space="preserve"> in prispevati k evropski ekonomiji znanja, zaposlovanju, kulturi, državljanskemu udejstvovanju in blaginji, pri čemer se kar najbolje izkoristijo inovativna pedagogika in prizadevanja, da se dejansko udejanji trikotnik znanja</w:t>
      </w:r>
      <w:r>
        <w:rPr>
          <w:rStyle w:val="FootnoteReference"/>
          <w:rFonts w:cstheme="minorBidi"/>
          <w:sz w:val="18"/>
          <w:szCs w:val="18"/>
          <w:lang w:val="en-GB" w:eastAsia="en-US"/>
        </w:rPr>
        <w:footnoteReference w:id="109"/>
      </w:r>
      <w:r>
        <w:rPr>
          <w:rFonts w:eastAsia="Calibri" w:cs="Calibri"/>
          <w:sz w:val="18"/>
          <w:szCs w:val="18"/>
          <w:bdr w:val="nil"/>
          <w:lang w:val="sl-SI" w:eastAsia="en-US"/>
        </w:rPr>
        <w:t>. "Evropske univerze" bodo ključna gibala spodbujanja kakovosti visokega šolstva in, kjer je mogoče, utrditve povezovanja med raziskavami in inovacijami v Evropi in hkrati povezav z družbo in gospodarstvom.</w:t>
      </w:r>
    </w:p>
    <w:p w14:paraId="7D399314" w14:textId="77777777" w:rsidR="00E03711" w:rsidRPr="001E051C" w:rsidRDefault="00E03711" w:rsidP="001E051C">
      <w:pPr>
        <w:pStyle w:val="ListParagraph"/>
        <w:widowControl/>
        <w:tabs>
          <w:tab w:val="left" w:pos="567"/>
          <w:tab w:val="left" w:pos="3195"/>
        </w:tabs>
        <w:suppressAutoHyphens w:val="0"/>
        <w:autoSpaceDN/>
        <w:spacing w:after="200" w:line="276" w:lineRule="auto"/>
        <w:ind w:left="567"/>
        <w:jc w:val="both"/>
        <w:rPr>
          <w:rFonts w:cstheme="minorBidi"/>
          <w:sz w:val="18"/>
          <w:szCs w:val="18"/>
          <w:lang w:val="sl-SI" w:eastAsia="en-US"/>
        </w:rPr>
      </w:pPr>
      <w:r w:rsidRPr="001E051C">
        <w:rPr>
          <w:rFonts w:cstheme="minorBidi"/>
          <w:sz w:val="18"/>
          <w:szCs w:val="18"/>
          <w:lang w:val="sl-SI" w:eastAsia="en-US"/>
        </w:rPr>
        <w:tab/>
      </w:r>
    </w:p>
    <w:p w14:paraId="7D399315" w14:textId="77777777" w:rsidR="00E03711" w:rsidRPr="001E051C" w:rsidRDefault="00E03711" w:rsidP="001E051C">
      <w:pPr>
        <w:pStyle w:val="Guide-Heading5"/>
        <w:rPr>
          <w:lang w:val="sl-SI"/>
        </w:rPr>
      </w:pPr>
      <w:r>
        <w:rPr>
          <w:rFonts w:eastAsia="Calibri" w:cs="Calibri"/>
          <w:bCs/>
          <w:szCs w:val="22"/>
          <w:bdr w:val="nil"/>
          <w:lang w:val="sl-SI"/>
        </w:rPr>
        <w:t>Kaj so EVROPSKE UNIVERZE?</w:t>
      </w:r>
    </w:p>
    <w:p w14:paraId="7D399316" w14:textId="77777777" w:rsidR="00E03711" w:rsidRDefault="00E03711" w:rsidP="001E051C">
      <w:pPr>
        <w:tabs>
          <w:tab w:val="left" w:pos="709"/>
        </w:tabs>
        <w:spacing w:after="120"/>
        <w:jc w:val="both"/>
        <w:rPr>
          <w:rFonts w:eastAsia="Calibri" w:cs="Calibri"/>
          <w:sz w:val="18"/>
          <w:szCs w:val="18"/>
          <w:bdr w:val="nil"/>
          <w:shd w:val="clear" w:color="auto" w:fill="FFFFFF"/>
          <w:lang w:val="sl-SI"/>
        </w:rPr>
      </w:pPr>
      <w:r>
        <w:rPr>
          <w:rFonts w:eastAsia="Calibri" w:cs="Calibri"/>
          <w:sz w:val="18"/>
          <w:szCs w:val="18"/>
          <w:bdr w:val="nil"/>
          <w:lang w:val="sl-SI"/>
        </w:rPr>
        <w:t>Termin "univerze" je treba razumeti v širšem smislu in vključujejo vse vrste visokošolskih institucij.</w:t>
      </w:r>
      <w:r>
        <w:rPr>
          <w:rFonts w:eastAsia="Calibri" w:cs="Calibri"/>
          <w:sz w:val="18"/>
          <w:szCs w:val="18"/>
          <w:bdr w:val="nil"/>
          <w:shd w:val="clear" w:color="auto" w:fill="FFFFFF"/>
          <w:lang w:val="sl-SI"/>
        </w:rPr>
        <w:t xml:space="preserve"> Evropske univerze so rezultat </w:t>
      </w:r>
      <w:r>
        <w:rPr>
          <w:rFonts w:eastAsia="Calibri" w:cs="Calibri"/>
          <w:b/>
          <w:bCs/>
          <w:sz w:val="18"/>
          <w:szCs w:val="18"/>
          <w:bdr w:val="nil"/>
          <w:shd w:val="clear" w:color="auto" w:fill="FFFFFF"/>
          <w:lang w:val="sl-SI"/>
        </w:rPr>
        <w:t>dolgoročne vizije</w:t>
      </w:r>
      <w:r>
        <w:rPr>
          <w:rFonts w:eastAsia="Calibri" w:cs="Calibri"/>
          <w:sz w:val="18"/>
          <w:szCs w:val="18"/>
          <w:bdr w:val="nil"/>
          <w:shd w:val="clear" w:color="auto" w:fill="FFFFFF"/>
          <w:lang w:val="sl-SI"/>
        </w:rPr>
        <w:t xml:space="preserve">, ki ima potencial, da preobrazi institucionalno sodelovanje med visokošolskimi institucijami in ga privede na naslednji nivo. </w:t>
      </w:r>
    </w:p>
    <w:p w14:paraId="7D399317" w14:textId="77777777" w:rsidR="00E03711" w:rsidRPr="001E051C" w:rsidRDefault="00E03711" w:rsidP="001E051C">
      <w:pPr>
        <w:tabs>
          <w:tab w:val="left" w:pos="709"/>
        </w:tabs>
        <w:spacing w:after="120"/>
        <w:jc w:val="both"/>
        <w:rPr>
          <w:rFonts w:asciiTheme="minorHAnsi" w:eastAsia="DengXian" w:hAnsiTheme="minorHAnsi"/>
          <w:sz w:val="18"/>
          <w:szCs w:val="18"/>
          <w:lang w:val="sl-SI"/>
        </w:rPr>
      </w:pPr>
      <w:r>
        <w:rPr>
          <w:rFonts w:eastAsia="Calibri" w:cs="Calibri"/>
          <w:sz w:val="18"/>
          <w:szCs w:val="18"/>
          <w:bdr w:val="nil"/>
          <w:shd w:val="clear" w:color="auto" w:fill="FFFFFF"/>
          <w:lang w:val="sl-SI"/>
        </w:rPr>
        <w:t xml:space="preserve">V tem kontekstu </w:t>
      </w:r>
      <w:r>
        <w:rPr>
          <w:rFonts w:eastAsia="Calibri" w:cs="Calibri"/>
          <w:sz w:val="18"/>
          <w:szCs w:val="18"/>
          <w:bdr w:val="nil"/>
          <w:lang w:val="sl-SI"/>
        </w:rPr>
        <w:t>bodo "Evropske univerze" dosegle zgoraj navedene cilje tako, da bodo do leta 2025 postopoma uvajale naslednje ključne elemente:</w:t>
      </w:r>
      <w:r>
        <w:rPr>
          <w:rFonts w:eastAsia="Calibri" w:cs="Calibri"/>
          <w:sz w:val="18"/>
          <w:szCs w:val="18"/>
          <w:bdr w:val="nil"/>
          <w:shd w:val="clear" w:color="auto" w:fill="FFFFFF"/>
          <w:lang w:val="sl-SI"/>
        </w:rPr>
        <w:t>.</w:t>
      </w:r>
    </w:p>
    <w:p w14:paraId="7D399318" w14:textId="77777777" w:rsidR="00E03711" w:rsidRPr="001E051C" w:rsidRDefault="00E03711" w:rsidP="002D7FF4">
      <w:pPr>
        <w:pStyle w:val="Guide-Normal0"/>
        <w:numPr>
          <w:ilvl w:val="0"/>
          <w:numId w:val="89"/>
        </w:numPr>
        <w:shd w:val="clear" w:color="auto" w:fill="auto"/>
        <w:suppressAutoHyphens/>
        <w:ind w:left="567" w:hanging="425"/>
        <w:textAlignment w:val="baseline"/>
        <w:rPr>
          <w:lang w:val="sl-SI"/>
        </w:rPr>
      </w:pPr>
      <w:r>
        <w:rPr>
          <w:rFonts w:eastAsia="Calibri" w:cs="Calibri"/>
          <w:kern w:val="3"/>
          <w:sz w:val="18"/>
          <w:szCs w:val="18"/>
          <w:bdr w:val="nil"/>
          <w:shd w:val="clear" w:color="auto" w:fill="FFFFFF"/>
          <w:lang w:val="sl-SI" w:eastAsia="en-GB"/>
        </w:rPr>
        <w:t xml:space="preserve">Deljena, celostna, </w:t>
      </w:r>
      <w:r>
        <w:rPr>
          <w:rFonts w:eastAsia="Calibri" w:cs="Calibri"/>
          <w:b/>
          <w:bCs/>
          <w:kern w:val="3"/>
          <w:sz w:val="18"/>
          <w:szCs w:val="18"/>
          <w:bdr w:val="nil"/>
          <w:shd w:val="clear" w:color="auto" w:fill="FFFFFF"/>
          <w:lang w:val="sl-SI" w:eastAsia="en-GB"/>
        </w:rPr>
        <w:t xml:space="preserve">dolgoročna skupna strategija </w:t>
      </w:r>
      <w:r>
        <w:rPr>
          <w:rFonts w:eastAsia="Calibri" w:cs="Calibri"/>
          <w:kern w:val="3"/>
          <w:sz w:val="18"/>
          <w:szCs w:val="18"/>
          <w:bdr w:val="nil"/>
          <w:shd w:val="clear" w:color="auto" w:fill="FFFFFF"/>
          <w:lang w:val="sl-SI" w:eastAsia="en-GB"/>
        </w:rPr>
        <w:t>za izobraževanje, kjer je to mogoče, s povezavami do</w:t>
      </w:r>
      <w:r>
        <w:rPr>
          <w:rFonts w:eastAsia="Calibri" w:cs="Calibri"/>
          <w:b/>
          <w:bCs/>
          <w:kern w:val="3"/>
          <w:sz w:val="18"/>
          <w:szCs w:val="18"/>
          <w:bdr w:val="nil"/>
          <w:shd w:val="clear" w:color="auto" w:fill="FFFFFF"/>
          <w:lang w:val="sl-SI" w:eastAsia="en-GB"/>
        </w:rPr>
        <w:t xml:space="preserve"> </w:t>
      </w:r>
      <w:r>
        <w:rPr>
          <w:rFonts w:eastAsia="Calibri" w:cs="Calibri"/>
          <w:kern w:val="3"/>
          <w:sz w:val="18"/>
          <w:szCs w:val="18"/>
          <w:bdr w:val="nil"/>
          <w:shd w:val="clear" w:color="auto" w:fill="FFFFFF"/>
          <w:lang w:val="sl-SI" w:eastAsia="en-GB"/>
        </w:rPr>
        <w:t>raziskav in inovacij ter družbe v širšem smislu, ki sega preko morebitnega obstoječega bilateralnega in multilateralnega sodelovanja:</w:t>
      </w:r>
    </w:p>
    <w:p w14:paraId="7D399319" w14:textId="77777777" w:rsidR="00E03711" w:rsidRPr="001E051C" w:rsidRDefault="00E03711" w:rsidP="002D7FF4">
      <w:pPr>
        <w:pStyle w:val="ListParagraph"/>
        <w:widowControl/>
        <w:numPr>
          <w:ilvl w:val="1"/>
          <w:numId w:val="91"/>
        </w:numPr>
        <w:pBdr>
          <w:top w:val="nil"/>
          <w:left w:val="nil"/>
          <w:bottom w:val="nil"/>
          <w:right w:val="nil"/>
          <w:between w:val="nil"/>
          <w:bar w:val="nil"/>
        </w:pBdr>
        <w:tabs>
          <w:tab w:val="left" w:pos="5710"/>
        </w:tabs>
        <w:suppressAutoHyphens w:val="0"/>
        <w:autoSpaceDN/>
        <w:contextualSpacing w:val="0"/>
        <w:jc w:val="both"/>
        <w:textAlignment w:val="auto"/>
        <w:rPr>
          <w:sz w:val="18"/>
          <w:szCs w:val="18"/>
          <w:lang w:val="sl-SI"/>
        </w:rPr>
      </w:pPr>
      <w:r>
        <w:rPr>
          <w:rFonts w:eastAsia="Calibri" w:cs="Calibri"/>
          <w:sz w:val="18"/>
          <w:szCs w:val="18"/>
          <w:bdr w:val="nil"/>
          <w:lang w:val="sl-SI"/>
        </w:rPr>
        <w:t xml:space="preserve">Na podlagi skupne vizije in skupnih vrednot za doseganje okrepljenega, trajnega sodelovanja med različnimi nivoji organizacije in prek različnih področij aktivnosti, pri čemer se gradi na dopolnjevanju prednosti in so študentje in osebje na vseh nivojih sodelujočih organizacij opolnomočeni, da uveljavljajo to vizijo. </w:t>
      </w:r>
    </w:p>
    <w:p w14:paraId="7D39931A" w14:textId="77777777" w:rsidR="00E03711" w:rsidRPr="001E051C" w:rsidRDefault="00E03711" w:rsidP="002D7FF4">
      <w:pPr>
        <w:pStyle w:val="ListParagraph"/>
        <w:widowControl/>
        <w:numPr>
          <w:ilvl w:val="1"/>
          <w:numId w:val="91"/>
        </w:numPr>
        <w:pBdr>
          <w:top w:val="nil"/>
          <w:left w:val="nil"/>
          <w:bottom w:val="nil"/>
          <w:right w:val="nil"/>
          <w:between w:val="nil"/>
          <w:bar w:val="nil"/>
        </w:pBdr>
        <w:tabs>
          <w:tab w:val="left" w:pos="5710"/>
        </w:tabs>
        <w:suppressAutoHyphens w:val="0"/>
        <w:autoSpaceDN/>
        <w:contextualSpacing w:val="0"/>
        <w:jc w:val="both"/>
        <w:textAlignment w:val="auto"/>
        <w:rPr>
          <w:sz w:val="18"/>
          <w:szCs w:val="18"/>
          <w:lang w:val="sl-SI"/>
        </w:rPr>
      </w:pPr>
      <w:r>
        <w:rPr>
          <w:rFonts w:eastAsia="Calibri" w:cs="Calibri"/>
          <w:sz w:val="18"/>
          <w:szCs w:val="18"/>
          <w:bdr w:val="nil"/>
          <w:lang w:val="sl-SI"/>
        </w:rPr>
        <w:t xml:space="preserve">Izvajano s pomočjo skupnih struktur, ki združujejo strokovno znanje, platforme, podatke in vire. </w:t>
      </w:r>
    </w:p>
    <w:p w14:paraId="7D39931B" w14:textId="77777777" w:rsidR="00E03711" w:rsidRPr="001E051C" w:rsidRDefault="00E03711" w:rsidP="001E051C">
      <w:pPr>
        <w:pStyle w:val="ListParagraph"/>
        <w:tabs>
          <w:tab w:val="left" w:pos="284"/>
          <w:tab w:val="left" w:pos="709"/>
        </w:tabs>
        <w:ind w:left="786"/>
        <w:jc w:val="both"/>
        <w:rPr>
          <w:rFonts w:asciiTheme="minorHAnsi" w:hAnsiTheme="minorHAnsi"/>
          <w:i/>
          <w:sz w:val="18"/>
          <w:szCs w:val="18"/>
          <w:lang w:val="sl-SI"/>
        </w:rPr>
      </w:pPr>
    </w:p>
    <w:p w14:paraId="7D39931C" w14:textId="77777777" w:rsidR="00E03711" w:rsidRPr="001E051C" w:rsidRDefault="00E03711" w:rsidP="002D7FF4">
      <w:pPr>
        <w:pStyle w:val="Guide-Normal0"/>
        <w:numPr>
          <w:ilvl w:val="0"/>
          <w:numId w:val="89"/>
        </w:numPr>
        <w:shd w:val="clear" w:color="auto" w:fill="auto"/>
        <w:suppressAutoHyphens/>
        <w:ind w:left="567" w:hanging="425"/>
        <w:textAlignment w:val="baseline"/>
        <w:rPr>
          <w:lang w:val="sl-SI"/>
        </w:rPr>
      </w:pPr>
      <w:r>
        <w:rPr>
          <w:rFonts w:eastAsia="Calibri" w:cs="Calibri"/>
          <w:b/>
          <w:bCs/>
          <w:kern w:val="3"/>
          <w:sz w:val="18"/>
          <w:szCs w:val="18"/>
          <w:bdr w:val="nil"/>
          <w:shd w:val="clear" w:color="auto" w:fill="FFFFFF"/>
          <w:lang w:val="sl-SI" w:eastAsia="en-GB"/>
        </w:rPr>
        <w:t>Vzpostavljanje Evropskega meduniverzitetnega "kampusa"</w:t>
      </w:r>
      <w:r>
        <w:rPr>
          <w:rFonts w:eastAsia="Calibri" w:cs="Calibri"/>
          <w:kern w:val="3"/>
          <w:sz w:val="18"/>
          <w:szCs w:val="18"/>
          <w:bdr w:val="nil"/>
          <w:shd w:val="clear" w:color="auto" w:fill="FFFFFF"/>
          <w:lang w:val="sl-SI" w:eastAsia="en-GB"/>
        </w:rPr>
        <w:t>, na katerem običajno:</w:t>
      </w:r>
    </w:p>
    <w:p w14:paraId="7D39931D" w14:textId="77777777" w:rsidR="00E03711" w:rsidRPr="001E051C" w:rsidRDefault="00E03711" w:rsidP="002D7FF4">
      <w:pPr>
        <w:pStyle w:val="ListParagraph"/>
        <w:widowControl/>
        <w:numPr>
          <w:ilvl w:val="1"/>
          <w:numId w:val="91"/>
        </w:numPr>
        <w:pBdr>
          <w:top w:val="nil"/>
          <w:left w:val="nil"/>
          <w:bottom w:val="nil"/>
          <w:right w:val="nil"/>
          <w:between w:val="nil"/>
          <w:bar w:val="nil"/>
        </w:pBdr>
        <w:tabs>
          <w:tab w:val="left" w:pos="5710"/>
        </w:tabs>
        <w:suppressAutoHyphens w:val="0"/>
        <w:autoSpaceDN/>
        <w:contextualSpacing w:val="0"/>
        <w:jc w:val="both"/>
        <w:textAlignment w:val="auto"/>
        <w:rPr>
          <w:rFonts w:asciiTheme="minorHAnsi" w:hAnsiTheme="minorHAnsi"/>
          <w:sz w:val="18"/>
          <w:szCs w:val="18"/>
          <w:lang w:val="sl-SI"/>
        </w:rPr>
      </w:pPr>
      <w:r>
        <w:rPr>
          <w:rFonts w:eastAsia="Calibri" w:cs="Calibri"/>
          <w:sz w:val="18"/>
          <w:szCs w:val="18"/>
          <w:bdr w:val="nil"/>
          <w:lang w:val="sl-SI"/>
        </w:rPr>
        <w:t xml:space="preserve">Študentje, absolventje doktorskega študija in osebje se lahko prosto premikajo (dejansko ali virtualno) za potrebe študija, usposabljanja, poučevanja, raziskovanja, dela ali deljenje storitev v eni od partnerskih institucij. Študentje </w:t>
      </w:r>
      <w:r>
        <w:rPr>
          <w:rFonts w:eastAsia="Calibri" w:cs="Calibri"/>
          <w:b/>
          <w:bCs/>
          <w:sz w:val="18"/>
          <w:szCs w:val="18"/>
          <w:bdr w:val="nil"/>
          <w:lang w:val="sl-SI"/>
        </w:rPr>
        <w:t>prilagajajo svojo izbiro kje in kaj študirati</w:t>
      </w:r>
      <w:r>
        <w:rPr>
          <w:rFonts w:eastAsia="Calibri" w:cs="Calibri"/>
          <w:sz w:val="18"/>
          <w:szCs w:val="18"/>
          <w:bdr w:val="nil"/>
          <w:lang w:val="sl-SI"/>
        </w:rPr>
        <w:t xml:space="preserve"> v okviru pedagoško zdržnih in logično oblikovanih študijskih programov med različnimi visokošolskimi izobraževalnimi institucijami in drugimi člani koalicije.  </w:t>
      </w:r>
    </w:p>
    <w:p w14:paraId="7D39931E" w14:textId="77777777" w:rsidR="00E03711" w:rsidRPr="001E051C" w:rsidRDefault="00E03711" w:rsidP="002D7FF4">
      <w:pPr>
        <w:pStyle w:val="ListParagraph"/>
        <w:widowControl/>
        <w:numPr>
          <w:ilvl w:val="1"/>
          <w:numId w:val="91"/>
        </w:numPr>
        <w:pBdr>
          <w:top w:val="nil"/>
          <w:left w:val="nil"/>
          <w:bottom w:val="nil"/>
          <w:right w:val="nil"/>
          <w:between w:val="nil"/>
          <w:bar w:val="nil"/>
        </w:pBdr>
        <w:tabs>
          <w:tab w:val="left" w:pos="5710"/>
        </w:tabs>
        <w:suppressAutoHyphens w:val="0"/>
        <w:autoSpaceDN/>
        <w:contextualSpacing w:val="0"/>
        <w:jc w:val="both"/>
        <w:textAlignment w:val="auto"/>
        <w:rPr>
          <w:rFonts w:asciiTheme="minorHAnsi" w:hAnsiTheme="minorHAnsi"/>
          <w:sz w:val="18"/>
          <w:szCs w:val="18"/>
          <w:lang w:val="sl-SI"/>
        </w:rPr>
      </w:pPr>
      <w:r>
        <w:rPr>
          <w:rFonts w:eastAsia="Calibri" w:cs="Calibri"/>
          <w:b/>
          <w:bCs/>
          <w:sz w:val="18"/>
          <w:szCs w:val="18"/>
          <w:bdr w:val="nil"/>
          <w:lang w:val="sl-SI"/>
        </w:rPr>
        <w:t>Vključena mobilnost</w:t>
      </w:r>
      <w:r>
        <w:rPr>
          <w:rFonts w:eastAsia="Calibri" w:cs="Calibri"/>
          <w:sz w:val="18"/>
          <w:szCs w:val="18"/>
          <w:bdr w:val="nil"/>
          <w:lang w:val="sl-SI"/>
        </w:rPr>
        <w:t xml:space="preserve"> na vseh stopnjah, vključno z dodiplomskim izobraževanjem ter magistrskim in doktorskim študijem. Najmanj 50 % študentov znotraj koalicije mora izkoristiti to mobilnost, tako v fizični, virtualni ali kombinirani obliki. </w:t>
      </w:r>
    </w:p>
    <w:p w14:paraId="7D39931F" w14:textId="77777777" w:rsidR="00E03711" w:rsidRPr="006429EE" w:rsidRDefault="00E03711" w:rsidP="002D7FF4">
      <w:pPr>
        <w:pStyle w:val="ListParagraph"/>
        <w:widowControl/>
        <w:numPr>
          <w:ilvl w:val="1"/>
          <w:numId w:val="91"/>
        </w:numPr>
        <w:pBdr>
          <w:top w:val="nil"/>
          <w:left w:val="nil"/>
          <w:bottom w:val="nil"/>
          <w:right w:val="nil"/>
          <w:between w:val="nil"/>
          <w:bar w:val="nil"/>
        </w:pBdr>
        <w:tabs>
          <w:tab w:val="left" w:pos="5710"/>
        </w:tabs>
        <w:suppressAutoHyphens w:val="0"/>
        <w:autoSpaceDN/>
        <w:ind w:left="1077" w:hanging="357"/>
        <w:contextualSpacing w:val="0"/>
        <w:jc w:val="both"/>
        <w:textAlignment w:val="auto"/>
        <w:rPr>
          <w:rFonts w:asciiTheme="minorHAnsi" w:hAnsiTheme="minorHAnsi"/>
          <w:sz w:val="18"/>
          <w:szCs w:val="18"/>
          <w:lang w:val="en-GB"/>
        </w:rPr>
      </w:pPr>
      <w:r>
        <w:rPr>
          <w:rFonts w:eastAsia="Calibri" w:cs="Calibri"/>
          <w:b/>
          <w:bCs/>
          <w:sz w:val="18"/>
          <w:szCs w:val="18"/>
          <w:bdr w:val="nil"/>
          <w:lang w:val="sl-SI"/>
        </w:rPr>
        <w:t>Novi skupni in fleksibilni učni načrti</w:t>
      </w:r>
      <w:r>
        <w:rPr>
          <w:rFonts w:eastAsia="Calibri" w:cs="Calibri"/>
          <w:sz w:val="18"/>
          <w:szCs w:val="18"/>
          <w:bdr w:val="nil"/>
          <w:lang w:val="sl-SI"/>
        </w:rPr>
        <w:t xml:space="preserve"> potekajo, kjer je relevantno, v treh stopnjah (diplomski, magistrski in doktorski študij), na podlagi </w:t>
      </w:r>
      <w:r>
        <w:rPr>
          <w:rFonts w:eastAsia="Calibri" w:cs="Calibri"/>
          <w:b/>
          <w:bCs/>
          <w:sz w:val="18"/>
          <w:szCs w:val="18"/>
          <w:bdr w:val="nil"/>
          <w:lang w:val="sl-SI"/>
        </w:rPr>
        <w:t>interdisciplinarnih/multidisciplinarnih in medsektorskih pristopov</w:t>
      </w:r>
      <w:r>
        <w:rPr>
          <w:rFonts w:eastAsia="Calibri" w:cs="Calibri"/>
          <w:sz w:val="18"/>
          <w:szCs w:val="18"/>
          <w:bdr w:val="nil"/>
          <w:lang w:val="sl-SI"/>
        </w:rPr>
        <w:t xml:space="preserve"> ter vključevanja inovativne pedagogike, vključno z uporabo najnovejših digitalnih tehnologij. Vsebina je osebno prilagojena, sodelovanje pa je globalno. </w:t>
      </w:r>
    </w:p>
    <w:p w14:paraId="7D399320" w14:textId="77777777" w:rsidR="00E03711" w:rsidRPr="006429EE" w:rsidRDefault="00E03711" w:rsidP="002D7FF4">
      <w:pPr>
        <w:pStyle w:val="ListParagraph"/>
        <w:widowControl/>
        <w:numPr>
          <w:ilvl w:val="1"/>
          <w:numId w:val="91"/>
        </w:numPr>
        <w:pBdr>
          <w:top w:val="nil"/>
          <w:left w:val="nil"/>
          <w:bottom w:val="nil"/>
          <w:right w:val="nil"/>
          <w:between w:val="nil"/>
          <w:bar w:val="nil"/>
        </w:pBdr>
        <w:tabs>
          <w:tab w:val="left" w:pos="5710"/>
        </w:tabs>
        <w:suppressAutoHyphens w:val="0"/>
        <w:autoSpaceDN/>
        <w:ind w:left="1077" w:hanging="357"/>
        <w:contextualSpacing w:val="0"/>
        <w:jc w:val="both"/>
        <w:textAlignment w:val="auto"/>
        <w:rPr>
          <w:rFonts w:asciiTheme="minorHAnsi" w:hAnsiTheme="minorHAnsi"/>
          <w:sz w:val="18"/>
          <w:szCs w:val="18"/>
          <w:lang w:val="en-GB"/>
        </w:rPr>
      </w:pPr>
      <w:r>
        <w:rPr>
          <w:rFonts w:eastAsia="Calibri" w:cs="Calibri"/>
          <w:b/>
          <w:bCs/>
          <w:sz w:val="18"/>
          <w:szCs w:val="18"/>
          <w:bdr w:val="nil"/>
          <w:lang w:val="sl-SI"/>
        </w:rPr>
        <w:t>Praktične izkušnje in/ali izkušnje, pridobljene na delovnem mestu</w:t>
      </w:r>
      <w:r>
        <w:rPr>
          <w:rFonts w:eastAsia="Calibri" w:cs="Calibri"/>
          <w:sz w:val="18"/>
          <w:szCs w:val="18"/>
          <w:bdr w:val="nil"/>
          <w:lang w:val="sl-SI"/>
        </w:rPr>
        <w:t xml:space="preserve">, se pridobijo prek zunanjih mentorjev, da se spodbuja </w:t>
      </w:r>
      <w:r>
        <w:rPr>
          <w:rFonts w:eastAsia="Calibri" w:cs="Calibri"/>
          <w:b/>
          <w:bCs/>
          <w:sz w:val="18"/>
          <w:szCs w:val="18"/>
          <w:bdr w:val="nil"/>
          <w:lang w:val="sl-SI"/>
        </w:rPr>
        <w:t>podjetniško miselnost</w:t>
      </w:r>
      <w:r>
        <w:rPr>
          <w:rFonts w:eastAsia="Calibri" w:cs="Calibri"/>
          <w:sz w:val="18"/>
          <w:szCs w:val="18"/>
          <w:bdr w:val="nil"/>
          <w:lang w:val="sl-SI"/>
        </w:rPr>
        <w:t xml:space="preserve"> in razvija </w:t>
      </w:r>
      <w:r>
        <w:rPr>
          <w:rFonts w:eastAsia="Calibri" w:cs="Calibri"/>
          <w:b/>
          <w:bCs/>
          <w:sz w:val="18"/>
          <w:szCs w:val="18"/>
          <w:bdr w:val="nil"/>
          <w:lang w:val="sl-SI"/>
        </w:rPr>
        <w:t>državljansko udeležbo</w:t>
      </w:r>
      <w:r>
        <w:rPr>
          <w:rFonts w:eastAsia="Calibri" w:cs="Calibri"/>
          <w:sz w:val="18"/>
          <w:szCs w:val="18"/>
          <w:bdr w:val="nil"/>
          <w:lang w:val="sl-SI"/>
        </w:rPr>
        <w:t xml:space="preserve">; </w:t>
      </w:r>
    </w:p>
    <w:p w14:paraId="7D399321" w14:textId="77777777" w:rsidR="00E03711" w:rsidRPr="00860232" w:rsidRDefault="00E03711" w:rsidP="002D7FF4">
      <w:pPr>
        <w:pStyle w:val="ListParagraph"/>
        <w:widowControl/>
        <w:numPr>
          <w:ilvl w:val="1"/>
          <w:numId w:val="91"/>
        </w:numPr>
        <w:pBdr>
          <w:top w:val="nil"/>
          <w:left w:val="nil"/>
          <w:bottom w:val="nil"/>
          <w:right w:val="nil"/>
          <w:between w:val="nil"/>
          <w:bar w:val="nil"/>
        </w:pBdr>
        <w:tabs>
          <w:tab w:val="left" w:pos="5710"/>
        </w:tabs>
        <w:suppressAutoHyphens w:val="0"/>
        <w:autoSpaceDN/>
        <w:spacing w:after="120"/>
        <w:ind w:left="1077" w:hanging="357"/>
        <w:contextualSpacing w:val="0"/>
        <w:jc w:val="both"/>
        <w:textAlignment w:val="auto"/>
        <w:rPr>
          <w:rFonts w:asciiTheme="minorHAnsi" w:hAnsiTheme="minorHAnsi"/>
          <w:sz w:val="18"/>
          <w:szCs w:val="18"/>
          <w:lang w:val="sl-SI"/>
        </w:rPr>
      </w:pPr>
      <w:r>
        <w:rPr>
          <w:rFonts w:eastAsia="Calibri" w:cs="Calibri"/>
          <w:b/>
          <w:bCs/>
          <w:sz w:val="18"/>
          <w:szCs w:val="18"/>
          <w:bdr w:val="nil"/>
          <w:lang w:val="sl-SI"/>
        </w:rPr>
        <w:t>Sestava študentov odraža raznolikost</w:t>
      </w:r>
      <w:r>
        <w:rPr>
          <w:rFonts w:eastAsia="Calibri" w:cs="Calibri"/>
          <w:sz w:val="18"/>
          <w:szCs w:val="18"/>
          <w:bdr w:val="nil"/>
          <w:lang w:val="sl-SI"/>
        </w:rPr>
        <w:t xml:space="preserve"> populacije (z družbenega, ekonomskega in kulturnega vidika) ter vključuje udeležence vseživljenjskega učenja, </w:t>
      </w:r>
      <w:r>
        <w:rPr>
          <w:rFonts w:eastAsia="Calibri" w:cs="Calibri"/>
          <w:sz w:val="18"/>
          <w:szCs w:val="18"/>
          <w:bdr w:val="nil"/>
          <w:shd w:val="clear" w:color="auto" w:fill="FFFFFF"/>
          <w:lang w:val="sl-SI"/>
        </w:rPr>
        <w:t>izredne študente in netradicionalne študente.  Z</w:t>
      </w:r>
      <w:r>
        <w:rPr>
          <w:rFonts w:eastAsia="Calibri" w:cs="Calibri"/>
          <w:sz w:val="18"/>
          <w:szCs w:val="18"/>
          <w:bdr w:val="nil"/>
          <w:lang w:val="sl-SI"/>
        </w:rPr>
        <w:t>agotovljen je dostop, sodelovanje in izpolnjevanje kvot za manj zastopane in depriviligirane skupine;</w:t>
      </w:r>
    </w:p>
    <w:p w14:paraId="7D399322" w14:textId="77777777" w:rsidR="00E03711" w:rsidRPr="005302A6" w:rsidRDefault="00E03711" w:rsidP="002D7FF4">
      <w:pPr>
        <w:pStyle w:val="ListParagraph"/>
        <w:widowControl/>
        <w:numPr>
          <w:ilvl w:val="1"/>
          <w:numId w:val="91"/>
        </w:numPr>
        <w:pBdr>
          <w:top w:val="nil"/>
          <w:left w:val="nil"/>
          <w:bottom w:val="nil"/>
          <w:right w:val="nil"/>
          <w:between w:val="nil"/>
          <w:bar w:val="nil"/>
        </w:pBdr>
        <w:tabs>
          <w:tab w:val="left" w:pos="5710"/>
        </w:tabs>
        <w:suppressAutoHyphens w:val="0"/>
        <w:autoSpaceDN/>
        <w:spacing w:after="120"/>
        <w:ind w:left="1077" w:hanging="357"/>
        <w:contextualSpacing w:val="0"/>
        <w:jc w:val="both"/>
        <w:textAlignment w:val="auto"/>
        <w:rPr>
          <w:rFonts w:asciiTheme="minorHAnsi" w:hAnsiTheme="minorHAnsi"/>
          <w:sz w:val="18"/>
          <w:szCs w:val="18"/>
          <w:lang w:val="sl-SI"/>
        </w:rPr>
      </w:pPr>
      <w:r>
        <w:rPr>
          <w:rFonts w:eastAsia="Calibri" w:cs="Calibri"/>
          <w:sz w:val="18"/>
          <w:szCs w:val="18"/>
          <w:bdr w:val="nil"/>
          <w:lang w:val="sl-SI"/>
        </w:rPr>
        <w:t>Izvajajo se še druge kreativne in inovativne aktivnosti, ki so ključne za doseganje skupne dolgoročne strategije.</w:t>
      </w:r>
      <w:r w:rsidRPr="005302A6">
        <w:rPr>
          <w:rFonts w:eastAsia="Calibri" w:cs="Calibri"/>
          <w:sz w:val="18"/>
          <w:szCs w:val="18"/>
          <w:bdr w:val="nil"/>
          <w:shd w:val="clear" w:color="auto" w:fill="FFFFFF"/>
          <w:lang w:val="sl-SI"/>
        </w:rPr>
        <w:t xml:space="preserve"> </w:t>
      </w:r>
    </w:p>
    <w:p w14:paraId="7D399323" w14:textId="77777777" w:rsidR="00E03711" w:rsidRPr="001E051C" w:rsidRDefault="00E03711" w:rsidP="002D7FF4">
      <w:pPr>
        <w:pStyle w:val="ListParagraph"/>
        <w:numPr>
          <w:ilvl w:val="0"/>
          <w:numId w:val="90"/>
        </w:numPr>
        <w:tabs>
          <w:tab w:val="left" w:pos="284"/>
          <w:tab w:val="left" w:pos="709"/>
        </w:tabs>
        <w:ind w:hanging="644"/>
        <w:jc w:val="both"/>
        <w:textAlignment w:val="auto"/>
        <w:rPr>
          <w:sz w:val="18"/>
          <w:szCs w:val="18"/>
          <w:lang w:val="sl-SI"/>
        </w:rPr>
      </w:pPr>
      <w:r>
        <w:rPr>
          <w:rFonts w:eastAsia="Calibri" w:cs="Calibri"/>
          <w:b/>
          <w:bCs/>
          <w:sz w:val="18"/>
          <w:szCs w:val="18"/>
          <w:bdr w:val="nil"/>
          <w:lang w:val="sl-SI"/>
        </w:rPr>
        <w:tab/>
        <w:t xml:space="preserve">Gradnja Evropske ekipe za ustvarjanje znanja ("pristop, ki temelji </w:t>
      </w:r>
      <w:r>
        <w:rPr>
          <w:rFonts w:eastAsia="Calibri" w:cs="Calibri"/>
          <w:sz w:val="18"/>
          <w:szCs w:val="18"/>
          <w:bdr w:val="nil"/>
          <w:lang w:val="sl-SI"/>
        </w:rPr>
        <w:t>na izzivu"), v katerih so študenti in akademiki, po možnosti skupaj z raziskovalci, poslovneži, regionalnimi akterji in akterji civilne družbe – odvisno od skupne strategije in vizije koalicije – skupaj nagovarjajo družbene in druge izzive po svoji izbiri z multidisciplinarnim pristopom prek:</w:t>
      </w:r>
    </w:p>
    <w:p w14:paraId="7D399324" w14:textId="77777777" w:rsidR="00E03711" w:rsidRPr="001E051C" w:rsidRDefault="00E03711" w:rsidP="002D7FF4">
      <w:pPr>
        <w:pStyle w:val="ListParagraph"/>
        <w:numPr>
          <w:ilvl w:val="1"/>
          <w:numId w:val="90"/>
        </w:numPr>
        <w:tabs>
          <w:tab w:val="left" w:pos="284"/>
          <w:tab w:val="left" w:pos="709"/>
        </w:tabs>
        <w:ind w:left="1146"/>
        <w:jc w:val="both"/>
        <w:textAlignment w:val="auto"/>
        <w:rPr>
          <w:sz w:val="18"/>
          <w:szCs w:val="18"/>
          <w:lang w:val="sl-SI"/>
        </w:rPr>
      </w:pPr>
      <w:r>
        <w:rPr>
          <w:rFonts w:eastAsia="Calibri" w:cs="Calibri"/>
          <w:sz w:val="18"/>
          <w:szCs w:val="18"/>
          <w:bdr w:val="nil"/>
          <w:lang w:val="sl-SI"/>
        </w:rPr>
        <w:t>inovativnega učenja in usposabljanja, ki opremi študente in raziskovalce s podjetniškimi, odprtimi in prenosljivimi znanji in veščinami na visokem nivoju, kot jih potrebujejo hitro spreminjajoči se trg dela in ekonomija in družba znanja, vključno prek prenosa raziskovalnih rezultatov nazaj v izobraževanje.</w:t>
      </w:r>
    </w:p>
    <w:p w14:paraId="7D399325" w14:textId="77777777" w:rsidR="00E03711" w:rsidRPr="001E051C" w:rsidRDefault="00E03711" w:rsidP="002D7FF4">
      <w:pPr>
        <w:pStyle w:val="ListParagraph"/>
        <w:numPr>
          <w:ilvl w:val="1"/>
          <w:numId w:val="90"/>
        </w:numPr>
        <w:tabs>
          <w:tab w:val="left" w:pos="284"/>
          <w:tab w:val="left" w:pos="709"/>
        </w:tabs>
        <w:spacing w:after="120"/>
        <w:ind w:left="1145" w:hanging="357"/>
        <w:jc w:val="both"/>
        <w:textAlignment w:val="auto"/>
        <w:rPr>
          <w:sz w:val="18"/>
          <w:szCs w:val="18"/>
          <w:lang w:val="sl-SI"/>
        </w:rPr>
      </w:pPr>
      <w:r>
        <w:rPr>
          <w:rFonts w:eastAsia="Calibri" w:cs="Calibri"/>
          <w:sz w:val="18"/>
          <w:szCs w:val="18"/>
          <w:bdr w:val="nil"/>
          <w:lang w:val="sl-SI"/>
        </w:rPr>
        <w:t>ustvarjanje inovativnih rešitev, ki se prilagajajo različnim evropskim regijam</w:t>
      </w:r>
    </w:p>
    <w:p w14:paraId="7D399326" w14:textId="77777777" w:rsidR="00E03711" w:rsidRPr="001E051C" w:rsidRDefault="00E03711" w:rsidP="001E051C">
      <w:pPr>
        <w:pStyle w:val="ListParagraph"/>
        <w:tabs>
          <w:tab w:val="left" w:pos="284"/>
          <w:tab w:val="left" w:pos="709"/>
        </w:tabs>
        <w:spacing w:after="120"/>
        <w:ind w:left="1145"/>
        <w:jc w:val="both"/>
        <w:rPr>
          <w:sz w:val="18"/>
          <w:szCs w:val="18"/>
          <w:lang w:val="sl-SI"/>
        </w:rPr>
      </w:pPr>
    </w:p>
    <w:p w14:paraId="7D399327" w14:textId="77777777" w:rsidR="00E03711" w:rsidRPr="001E051C" w:rsidRDefault="00E03711" w:rsidP="001E051C">
      <w:pPr>
        <w:pStyle w:val="Guide-Normal0"/>
        <w:rPr>
          <w:lang w:val="sl-SI"/>
        </w:rPr>
      </w:pPr>
      <w:r>
        <w:rPr>
          <w:rFonts w:eastAsia="Calibri" w:cs="Calibri"/>
          <w:kern w:val="3"/>
          <w:sz w:val="18"/>
          <w:szCs w:val="18"/>
          <w:bdr w:val="nil"/>
          <w:shd w:val="clear" w:color="auto" w:fill="FFFFFF"/>
          <w:lang w:val="sl-SI" w:eastAsia="en-GB"/>
        </w:rPr>
        <w:t xml:space="preserve">Poleg tega morajo »Evropske univerze« progresivno graditi sposobnost, da delujejo kot </w:t>
      </w:r>
      <w:r>
        <w:rPr>
          <w:rFonts w:eastAsia="Calibri" w:cs="Calibri"/>
          <w:b/>
          <w:bCs/>
          <w:kern w:val="3"/>
          <w:sz w:val="18"/>
          <w:szCs w:val="18"/>
          <w:bdr w:val="nil"/>
          <w:shd w:val="clear" w:color="auto" w:fill="FFFFFF"/>
          <w:lang w:val="sl-SI" w:eastAsia="en-GB"/>
        </w:rPr>
        <w:t>modeli dobre prakse</w:t>
      </w:r>
      <w:r>
        <w:rPr>
          <w:rFonts w:eastAsia="Calibri" w:cs="Calibri"/>
          <w:kern w:val="3"/>
          <w:sz w:val="18"/>
          <w:szCs w:val="18"/>
          <w:bdr w:val="nil"/>
          <w:shd w:val="clear" w:color="auto" w:fill="FFFFFF"/>
          <w:lang w:val="sl-SI" w:eastAsia="en-GB"/>
        </w:rPr>
        <w:t>, da nadalje izboljšajo kakovost, mednarodno konkurenčnost in privlačnost evropskega izobraževalnega prostora visokošolskega izobraževanja in morajo postati ključni elementi evropskega izobraževalnega prostora s spodbujanjem odličnosti.  Kot je določeno v dokumentu Oblikovanje močnejše Evrope s komunikacijo: vloga politike o mladih, izobraževanju in kulturi</w:t>
      </w:r>
      <w:r>
        <w:rPr>
          <w:rStyle w:val="FootnoteReference"/>
        </w:rPr>
        <w:footnoteReference w:id="110"/>
      </w:r>
      <w:r>
        <w:rPr>
          <w:rFonts w:eastAsia="Calibri" w:cs="Calibri"/>
          <w:kern w:val="3"/>
          <w:sz w:val="18"/>
          <w:szCs w:val="18"/>
          <w:bdr w:val="nil"/>
          <w:shd w:val="clear" w:color="auto" w:fill="FFFFFF"/>
          <w:lang w:val="sl-SI" w:eastAsia="en-GB"/>
        </w:rPr>
        <w:t>, »Oblikovanje evropskega izobraževalnega prostora bo državam članicam EU omogočilo narediti več, hitreje, zvišati kakovost, konkurenčnost in vključenost njihovih sistemov izobraževanja in usposabljanja, s tem pa bodo tudi navdihnili posnemanje držav, ki niso članice EU«. V tem smislu se morajo »Evropske univerze« v sodelovanju z nacionalnimi organi zavezati, da bodo delovale v smeri ciljev politike evropskega izobraževalnega prostora, kot na primer: večjezičnost; samodejno priznavanje</w:t>
      </w:r>
      <w:r>
        <w:rPr>
          <w:vertAlign w:val="superscript"/>
        </w:rPr>
        <w:footnoteReference w:id="111"/>
      </w:r>
      <w:r>
        <w:rPr>
          <w:rFonts w:eastAsia="Calibri" w:cs="Calibri"/>
          <w:kern w:val="3"/>
          <w:sz w:val="18"/>
          <w:szCs w:val="18"/>
          <w:bdr w:val="nil"/>
          <w:shd w:val="clear" w:color="auto" w:fill="FFFFFF"/>
          <w:vertAlign w:val="superscript"/>
          <w:lang w:val="sl-SI" w:eastAsia="en-GB"/>
        </w:rPr>
        <w:t xml:space="preserve"> </w:t>
      </w:r>
      <w:r>
        <w:rPr>
          <w:rFonts w:eastAsia="Calibri" w:cs="Calibri"/>
          <w:kern w:val="3"/>
          <w:sz w:val="18"/>
          <w:szCs w:val="18"/>
          <w:bdr w:val="nil"/>
          <w:shd w:val="clear" w:color="auto" w:fill="FFFFFF"/>
          <w:lang w:val="sl-SI" w:eastAsia="en-GB"/>
        </w:rPr>
        <w:t>akademskih kvalifikacij in izobraževalnih obdobij v tujini, ki so pridobljena na sodelujočih visokošolskih ustanovah v okviru koalicije; uporaba Evropske študentske izkaznice</w:t>
      </w:r>
      <w:r>
        <w:rPr>
          <w:vertAlign w:val="superscript"/>
        </w:rPr>
        <w:footnoteReference w:id="112"/>
      </w:r>
      <w:r>
        <w:rPr>
          <w:rFonts w:eastAsia="Calibri" w:cs="Calibri"/>
          <w:kern w:val="3"/>
          <w:sz w:val="18"/>
          <w:szCs w:val="18"/>
          <w:bdr w:val="nil"/>
          <w:shd w:val="clear" w:color="auto" w:fill="FFFFFF"/>
          <w:lang w:val="sl-SI" w:eastAsia="en-GB"/>
        </w:rPr>
        <w:t>, ko bo ta uvedena; kot tudi ključne bolonjske zaveze (zagotavljanje kakovosti, priznavanje in, kjer koli je to ustrezno, tristopenjski sistem študija</w:t>
      </w:r>
      <w:r>
        <w:rPr>
          <w:vertAlign w:val="superscript"/>
        </w:rPr>
        <w:footnoteReference w:id="113"/>
      </w:r>
      <w:r>
        <w:rPr>
          <w:rFonts w:eastAsia="Calibri" w:cs="Calibri"/>
          <w:kern w:val="3"/>
          <w:sz w:val="18"/>
          <w:szCs w:val="18"/>
          <w:bdr w:val="nil"/>
          <w:shd w:val="clear" w:color="auto" w:fill="FFFFFF"/>
          <w:lang w:val="sl-SI" w:eastAsia="en-GB"/>
        </w:rPr>
        <w:t>).</w:t>
      </w:r>
    </w:p>
    <w:p w14:paraId="7D399328" w14:textId="77777777" w:rsidR="00E03711" w:rsidRPr="001E051C" w:rsidRDefault="00E03711" w:rsidP="001E051C">
      <w:pPr>
        <w:widowControl/>
        <w:suppressAutoHyphens w:val="0"/>
        <w:autoSpaceDN/>
        <w:spacing w:after="200"/>
        <w:contextualSpacing/>
        <w:jc w:val="both"/>
        <w:textAlignment w:val="auto"/>
        <w:rPr>
          <w:rFonts w:eastAsia="Times New Roman"/>
          <w:sz w:val="18"/>
          <w:szCs w:val="18"/>
          <w:shd w:val="clear" w:color="auto" w:fill="FFFFFF"/>
          <w:lang w:val="sl-SI"/>
        </w:rPr>
      </w:pPr>
    </w:p>
    <w:p w14:paraId="7D399329" w14:textId="77777777" w:rsidR="00E03711" w:rsidRPr="0030441A" w:rsidRDefault="00E03711" w:rsidP="001E051C">
      <w:pPr>
        <w:pStyle w:val="Guide-Heading5"/>
        <w:rPr>
          <w:lang w:val="pl-PL"/>
        </w:rPr>
      </w:pPr>
      <w:r>
        <w:rPr>
          <w:rFonts w:eastAsia="Calibri" w:cs="Calibri"/>
          <w:bCs/>
          <w:szCs w:val="22"/>
          <w:bdr w:val="nil"/>
          <w:lang w:val="sl-SI"/>
        </w:rPr>
        <w:t>Kaj bo podpiral ta ukrep?</w:t>
      </w:r>
    </w:p>
    <w:p w14:paraId="7D39932A" w14:textId="77777777" w:rsidR="00E03711" w:rsidRPr="0030441A" w:rsidRDefault="00E03711" w:rsidP="001E051C">
      <w:pPr>
        <w:pStyle w:val="Guide-Normal0"/>
        <w:rPr>
          <w:lang w:val="pl-PL"/>
        </w:rPr>
      </w:pPr>
      <w:r>
        <w:rPr>
          <w:rFonts w:eastAsia="Calibri" w:cs="Calibri"/>
          <w:kern w:val="3"/>
          <w:sz w:val="18"/>
          <w:szCs w:val="18"/>
          <w:bdr w:val="nil"/>
          <w:shd w:val="clear" w:color="auto" w:fill="FFFFFF"/>
          <w:lang w:val="sl-SI" w:eastAsia="en-GB"/>
        </w:rPr>
        <w:t xml:space="preserve">Ta ukrep bo podpiral visokošolske institucije pri </w:t>
      </w:r>
      <w:r>
        <w:rPr>
          <w:rFonts w:eastAsia="Calibri" w:cs="Calibri"/>
          <w:b/>
          <w:bCs/>
          <w:kern w:val="3"/>
          <w:sz w:val="18"/>
          <w:szCs w:val="18"/>
          <w:bdr w:val="nil"/>
          <w:shd w:val="clear" w:color="auto" w:fill="FFFFFF"/>
          <w:lang w:val="sl-SI" w:eastAsia="en-GB"/>
        </w:rPr>
        <w:t>nadgradnji obstoječih modelov sodelovanja v visokošolskem izobraževanju</w:t>
      </w:r>
      <w:r>
        <w:rPr>
          <w:rFonts w:eastAsia="Calibri" w:cs="Calibri"/>
          <w:kern w:val="3"/>
          <w:sz w:val="18"/>
          <w:szCs w:val="18"/>
          <w:bdr w:val="nil"/>
          <w:shd w:val="clear" w:color="auto" w:fill="FFFFFF"/>
          <w:lang w:val="sl-SI" w:eastAsia="en-GB"/>
        </w:rPr>
        <w:t xml:space="preserve"> in postopnem doseganju dolgoročne drzne vizije o "Evropskih univerzah". </w:t>
      </w:r>
    </w:p>
    <w:p w14:paraId="7D39932B" w14:textId="77777777" w:rsidR="00E03711" w:rsidRPr="0030441A" w:rsidRDefault="00E03711" w:rsidP="001E051C">
      <w:pPr>
        <w:pStyle w:val="Guide-Normal0"/>
        <w:rPr>
          <w:lang w:val="pl-PL"/>
        </w:rPr>
      </w:pPr>
    </w:p>
    <w:p w14:paraId="7D39932C" w14:textId="77777777" w:rsidR="00E03711" w:rsidRPr="001E051C" w:rsidRDefault="00E03711" w:rsidP="002D7FF4">
      <w:pPr>
        <w:pStyle w:val="Guide-Normal0"/>
        <w:numPr>
          <w:ilvl w:val="0"/>
          <w:numId w:val="89"/>
        </w:numPr>
        <w:shd w:val="clear" w:color="auto" w:fill="auto"/>
        <w:suppressAutoHyphens/>
        <w:ind w:left="567"/>
        <w:textAlignment w:val="baseline"/>
        <w:rPr>
          <w:lang w:val="sl-SI"/>
        </w:rPr>
      </w:pPr>
      <w:r>
        <w:rPr>
          <w:rFonts w:eastAsia="Calibri" w:cs="Calibri"/>
          <w:kern w:val="3"/>
          <w:sz w:val="18"/>
          <w:szCs w:val="18"/>
          <w:bdr w:val="nil"/>
          <w:shd w:val="clear" w:color="auto" w:fill="FFFFFF"/>
          <w:lang w:val="sl-SI" w:eastAsia="en-GB"/>
        </w:rPr>
        <w:t xml:space="preserve">Ta ukrep bo </w:t>
      </w:r>
      <w:r>
        <w:rPr>
          <w:rFonts w:eastAsia="Calibri" w:cs="Calibri"/>
          <w:b/>
          <w:bCs/>
          <w:kern w:val="3"/>
          <w:sz w:val="18"/>
          <w:szCs w:val="18"/>
          <w:bdr w:val="nil"/>
          <w:shd w:val="clear" w:color="auto" w:fill="FFFFFF"/>
          <w:lang w:val="sl-SI" w:eastAsia="en-GB"/>
        </w:rPr>
        <w:t>preizkusil različne inovativne in strukturne modele</w:t>
      </w:r>
      <w:r>
        <w:rPr>
          <w:rFonts w:eastAsia="Calibri" w:cs="Calibri"/>
          <w:kern w:val="3"/>
          <w:sz w:val="18"/>
          <w:szCs w:val="18"/>
          <w:bdr w:val="nil"/>
          <w:shd w:val="clear" w:color="auto" w:fill="FFFFFF"/>
          <w:lang w:val="sl-SI" w:eastAsia="en-GB"/>
        </w:rPr>
        <w:t xml:space="preserve"> za uporabo in doseganje dolgoročne vizije, omenjene v poglavju "Kaj so Evropske univerze". Podpiral bo oblikovanje koalicij, ki jih v idealnem primeru sestavlja 5 do 8 partnerjev in oblikovanje novih partnerstev za sodelovanje ali pa utrditev obstoječih partnerstev prek preseganja obstoječega bilateralnega in multilateralnega sodelovanja, s </w:t>
      </w:r>
      <w:r>
        <w:rPr>
          <w:rFonts w:eastAsia="Calibri" w:cs="Calibri"/>
          <w:b/>
          <w:bCs/>
          <w:kern w:val="3"/>
          <w:sz w:val="18"/>
          <w:szCs w:val="18"/>
          <w:bdr w:val="nil"/>
          <w:shd w:val="clear" w:color="auto" w:fill="FFFFFF"/>
          <w:lang w:val="sl-SI" w:eastAsia="en-GB"/>
        </w:rPr>
        <w:t>pristopom korak za korakom</w:t>
      </w:r>
      <w:r>
        <w:rPr>
          <w:rFonts w:eastAsia="Calibri" w:cs="Calibri"/>
          <w:kern w:val="3"/>
          <w:sz w:val="18"/>
          <w:szCs w:val="18"/>
          <w:bdr w:val="nil"/>
          <w:shd w:val="clear" w:color="auto" w:fill="FFFFFF"/>
          <w:lang w:val="sl-SI" w:eastAsia="en-GB"/>
        </w:rPr>
        <w:t xml:space="preserve">. Te bodo imele možnost povezovanja akademskih in neakademskih partnerjev iz področja dela ter možnost kasneje rasti. </w:t>
      </w:r>
    </w:p>
    <w:p w14:paraId="7D39932D" w14:textId="77777777" w:rsidR="00E03711" w:rsidRPr="001E051C" w:rsidRDefault="00E03711" w:rsidP="001E051C">
      <w:pPr>
        <w:pStyle w:val="Guide-Normal0"/>
        <w:ind w:left="567"/>
        <w:rPr>
          <w:lang w:val="sl-SI"/>
        </w:rPr>
      </w:pPr>
    </w:p>
    <w:p w14:paraId="7D39932E" w14:textId="77777777" w:rsidR="00E03711" w:rsidRPr="001E051C" w:rsidRDefault="00E03711" w:rsidP="002D7FF4">
      <w:pPr>
        <w:pStyle w:val="Guide-Normal0"/>
        <w:numPr>
          <w:ilvl w:val="0"/>
          <w:numId w:val="89"/>
        </w:numPr>
        <w:shd w:val="clear" w:color="auto" w:fill="auto"/>
        <w:suppressAutoHyphens/>
        <w:ind w:left="567" w:hanging="425"/>
        <w:textAlignment w:val="baseline"/>
        <w:rPr>
          <w:lang w:val="sl-SI"/>
        </w:rPr>
      </w:pPr>
      <w:r>
        <w:rPr>
          <w:rFonts w:eastAsia="Calibri" w:cs="Calibri"/>
          <w:kern w:val="3"/>
          <w:sz w:val="18"/>
          <w:szCs w:val="18"/>
          <w:bdr w:val="nil"/>
          <w:shd w:val="clear" w:color="auto" w:fill="FFFFFF"/>
          <w:lang w:val="sl-SI" w:eastAsia="en-GB"/>
        </w:rPr>
        <w:t xml:space="preserve">Prek tega ukrepa bodo visokošolske institucije postopoma uvajale aktivnosti, ki so potrebne za dosego svoje dolgoročne vizije, za začetek s povečevanjem stopnje povezovanja. Za dosego tega cilja se bodo dogovorili o </w:t>
      </w:r>
      <w:r>
        <w:rPr>
          <w:rFonts w:eastAsia="Calibri" w:cs="Calibri"/>
          <w:b/>
          <w:bCs/>
          <w:kern w:val="3"/>
          <w:sz w:val="18"/>
          <w:szCs w:val="18"/>
          <w:bdr w:val="nil"/>
          <w:shd w:val="clear" w:color="auto" w:fill="FFFFFF"/>
          <w:lang w:val="sl-SI" w:eastAsia="en-GB"/>
        </w:rPr>
        <w:t>poslanstvu</w:t>
      </w:r>
      <w:r>
        <w:rPr>
          <w:rFonts w:eastAsia="Calibri" w:cs="Calibri"/>
          <w:kern w:val="3"/>
          <w:sz w:val="18"/>
          <w:szCs w:val="18"/>
          <w:bdr w:val="nil"/>
          <w:shd w:val="clear" w:color="auto" w:fill="FFFFFF"/>
          <w:lang w:val="sl-SI" w:eastAsia="en-GB"/>
        </w:rPr>
        <w:t xml:space="preserve"> na institucionalnem nivoju vsake članice koalicije. To poslanstvo bo vključevalo celotno </w:t>
      </w:r>
      <w:r>
        <w:rPr>
          <w:rFonts w:eastAsia="Calibri" w:cs="Calibri"/>
          <w:b/>
          <w:bCs/>
          <w:kern w:val="3"/>
          <w:sz w:val="18"/>
          <w:szCs w:val="18"/>
          <w:bdr w:val="nil"/>
          <w:shd w:val="clear" w:color="auto" w:fill="FFFFFF"/>
          <w:lang w:val="sl-SI" w:eastAsia="en-GB"/>
        </w:rPr>
        <w:t>skupno strategijo</w:t>
      </w:r>
      <w:r>
        <w:rPr>
          <w:rFonts w:eastAsia="Calibri" w:cs="Calibri"/>
          <w:kern w:val="3"/>
          <w:sz w:val="18"/>
          <w:szCs w:val="18"/>
          <w:bdr w:val="nil"/>
          <w:shd w:val="clear" w:color="auto" w:fill="FFFFFF"/>
          <w:lang w:val="sl-SI" w:eastAsia="en-GB"/>
        </w:rPr>
        <w:t xml:space="preserve"> za okrepljeno in trajnostno sodelovanje med različnimi nivoji organizacije (npr. uprava, učiteljsko osebje, strokovno/podporno osebje in študentje) in na različnih področjih aktivnosti (trdni izobraževalni fokus s povezavami z raziskovanjem in inovacijami in storitvami za družbo), pri čemer se bo gradilo na dopolnjevanju prednosti.</w:t>
      </w:r>
    </w:p>
    <w:p w14:paraId="7D39932F" w14:textId="77777777" w:rsidR="00E03711" w:rsidRPr="001E051C" w:rsidRDefault="00E03711" w:rsidP="001E051C">
      <w:pPr>
        <w:pStyle w:val="Guide-Normal0"/>
        <w:ind w:left="567"/>
        <w:rPr>
          <w:lang w:val="sl-SI"/>
        </w:rPr>
      </w:pPr>
    </w:p>
    <w:p w14:paraId="7D399330" w14:textId="77777777" w:rsidR="00E03711" w:rsidRDefault="00E03711" w:rsidP="005115F2">
      <w:pPr>
        <w:pStyle w:val="Guide-Normal0"/>
        <w:numPr>
          <w:ilvl w:val="0"/>
          <w:numId w:val="169"/>
        </w:numPr>
        <w:shd w:val="clear" w:color="auto" w:fill="auto"/>
        <w:suppressAutoHyphens/>
        <w:ind w:left="567"/>
        <w:textAlignment w:val="baseline"/>
        <w:rPr>
          <w:lang w:val="sl-SI"/>
        </w:rPr>
      </w:pPr>
      <w:r w:rsidRPr="00EA792F">
        <w:rPr>
          <w:rFonts w:eastAsia="Calibri" w:cs="Calibri"/>
          <w:sz w:val="18"/>
          <w:szCs w:val="18"/>
          <w:bdr w:val="nil"/>
          <w:shd w:val="clear" w:color="auto" w:fill="FFFFFF"/>
          <w:lang w:val="sl-SI" w:eastAsia="en-GB"/>
        </w:rPr>
        <w:t xml:space="preserve">Ta ukrep upošteva pristop "od spodaj navzgor", zato bo vsaka koalicija imela možnost fleksibilnosti, da skozi pristop korak za korakom oblikuje svoj </w:t>
      </w:r>
      <w:r w:rsidRPr="00EA792F">
        <w:rPr>
          <w:rFonts w:eastAsia="Calibri" w:cs="Calibri"/>
          <w:b/>
          <w:bCs/>
          <w:sz w:val="18"/>
          <w:szCs w:val="18"/>
          <w:bdr w:val="nil"/>
          <w:shd w:val="clear" w:color="auto" w:fill="FFFFFF"/>
          <w:lang w:val="sl-SI" w:eastAsia="en-GB"/>
        </w:rPr>
        <w:t>skupni delovni načrt</w:t>
      </w:r>
      <w:r w:rsidRPr="00EA792F">
        <w:rPr>
          <w:rFonts w:eastAsia="Calibri" w:cs="Calibri"/>
          <w:sz w:val="18"/>
          <w:szCs w:val="18"/>
          <w:bdr w:val="nil"/>
          <w:shd w:val="clear" w:color="auto" w:fill="FFFFFF"/>
          <w:lang w:val="sl-SI" w:eastAsia="en-GB"/>
        </w:rPr>
        <w:t xml:space="preserve"> </w:t>
      </w:r>
      <w:r w:rsidRPr="00EA792F">
        <w:rPr>
          <w:rFonts w:eastAsia="Calibri" w:cs="Calibri"/>
          <w:b/>
          <w:bCs/>
          <w:sz w:val="18"/>
          <w:szCs w:val="18"/>
          <w:bdr w:val="nil"/>
          <w:shd w:val="clear" w:color="auto" w:fill="FFFFFF"/>
          <w:lang w:val="sl-SI" w:eastAsia="en-GB"/>
        </w:rPr>
        <w:t>za aktivnosti</w:t>
      </w:r>
      <w:r w:rsidRPr="00EA792F">
        <w:rPr>
          <w:rFonts w:eastAsia="Calibri" w:cs="Calibri"/>
          <w:sz w:val="18"/>
          <w:szCs w:val="18"/>
          <w:bdr w:val="nil"/>
          <w:shd w:val="clear" w:color="auto" w:fill="FFFFFF"/>
          <w:lang w:val="sl-SI" w:eastAsia="en-GB"/>
        </w:rPr>
        <w:t xml:space="preserve">, ki so najbolj relevantne za dosego strateških ciljev in ki ji bodo v končni fazi pomagali doseči </w:t>
      </w:r>
      <w:r>
        <w:rPr>
          <w:rFonts w:eastAsia="Calibri" w:cs="Calibri"/>
          <w:kern w:val="3"/>
          <w:sz w:val="18"/>
          <w:szCs w:val="18"/>
          <w:bdr w:val="nil"/>
          <w:shd w:val="clear" w:color="auto" w:fill="FFFFFF"/>
          <w:lang w:val="sl-SI" w:eastAsia="en-GB"/>
        </w:rPr>
        <w:t xml:space="preserve">dolgoročno vizijo Evropskih univerz, kot opisano zgoraj.  Ta skupni delovni načrt za aktivnosti mora biti podprt z oblikovanjem relevantnih in učinkovitih </w:t>
      </w:r>
      <w:r>
        <w:rPr>
          <w:rFonts w:eastAsia="Calibri" w:cs="Calibri"/>
          <w:b/>
          <w:bCs/>
          <w:kern w:val="3"/>
          <w:sz w:val="18"/>
          <w:szCs w:val="18"/>
          <w:bdr w:val="nil"/>
          <w:shd w:val="clear" w:color="auto" w:fill="FFFFFF"/>
          <w:lang w:val="sl-SI" w:eastAsia="en-GB"/>
        </w:rPr>
        <w:t>skupnih strategij upravljanja</w:t>
      </w:r>
      <w:r>
        <w:rPr>
          <w:rFonts w:eastAsia="Calibri" w:cs="Calibri"/>
          <w:kern w:val="3"/>
          <w:sz w:val="18"/>
          <w:szCs w:val="18"/>
          <w:bdr w:val="nil"/>
          <w:shd w:val="clear" w:color="auto" w:fill="FFFFFF"/>
          <w:lang w:val="sl-SI" w:eastAsia="en-GB"/>
        </w:rPr>
        <w:t xml:space="preserve">. Primeri vzpostavitve tesnega sodelovanja med strukturami institucionalnega upravljanja so: oblikovanje skupnih mej, razvoj skupnih rezerv dejanskih in virtualnih intelektualnih in administrativnih virov, delitev skupnih virov, skupno zagotavljanje infrastrukture, podatkov in storitev, kot so podpora študentom, raziskovalcem in osebju, administracija in mednarodni odnosi, s skupnimi digitaliziranimi postopki, kjer koli je to mogoče. </w:t>
      </w:r>
    </w:p>
    <w:p w14:paraId="7D399331" w14:textId="77777777" w:rsidR="00E03711" w:rsidRPr="001E051C" w:rsidRDefault="00E03711" w:rsidP="001E051C">
      <w:pPr>
        <w:pStyle w:val="Guide-Normal0"/>
        <w:ind w:left="567" w:hanging="360"/>
        <w:rPr>
          <w:lang w:val="sl-SI"/>
        </w:rPr>
      </w:pPr>
    </w:p>
    <w:p w14:paraId="7D399332" w14:textId="77777777" w:rsidR="00E03711" w:rsidRPr="001E051C" w:rsidRDefault="00E03711" w:rsidP="002D7FF4">
      <w:pPr>
        <w:pStyle w:val="Guide-Normal0"/>
        <w:numPr>
          <w:ilvl w:val="0"/>
          <w:numId w:val="89"/>
        </w:numPr>
        <w:shd w:val="clear" w:color="auto" w:fill="auto"/>
        <w:suppressAutoHyphens/>
        <w:ind w:left="567"/>
        <w:textAlignment w:val="baseline"/>
        <w:rPr>
          <w:lang w:val="sl-SI"/>
        </w:rPr>
      </w:pPr>
      <w:r>
        <w:rPr>
          <w:rFonts w:eastAsia="Calibri" w:cs="Calibri"/>
          <w:kern w:val="3"/>
          <w:sz w:val="18"/>
          <w:szCs w:val="18"/>
          <w:bdr w:val="nil"/>
          <w:shd w:val="clear" w:color="auto" w:fill="FFFFFF"/>
          <w:lang w:val="sl-SI" w:eastAsia="en-GB"/>
        </w:rPr>
        <w:t xml:space="preserve">Skupni delovni načrt mora vsebovati tudi aktivnosti za dosego visoke ravni prizadevanj, kar zadeva mobilnost, socialno vključevanje in pristop, ki temelji na izzivu. Koalicije morajo angažirati tudi ključne deležnike v izobraževanju in, kjerkoli je to mogoče, tudi raziskavah in inovacijah, da se spodbudi družbeno angažiranje študentov in osebja, kot tudi njihovih ključnih podjetniških kompetenc. </w:t>
      </w:r>
      <w:r>
        <w:rPr>
          <w:rFonts w:eastAsia="Calibri" w:cs="Calibri"/>
          <w:b/>
          <w:bCs/>
          <w:kern w:val="3"/>
          <w:sz w:val="18"/>
          <w:szCs w:val="18"/>
          <w:bdr w:val="nil"/>
          <w:shd w:val="clear" w:color="auto" w:fill="FFFFFF"/>
          <w:lang w:val="sl-SI" w:eastAsia="en-GB"/>
        </w:rPr>
        <w:t>Ta ukrep bo podpiral visokošolske izobraževalne institucije pri uvajanju prvih korakov tega skupnega delovnega načrta aktivnosti</w:t>
      </w:r>
      <w:r>
        <w:rPr>
          <w:rFonts w:eastAsia="Calibri" w:cs="Calibri"/>
          <w:kern w:val="3"/>
          <w:sz w:val="18"/>
          <w:szCs w:val="18"/>
          <w:bdr w:val="nil"/>
          <w:shd w:val="clear" w:color="auto" w:fill="FFFFFF"/>
          <w:lang w:val="sl-SI" w:eastAsia="en-GB"/>
        </w:rPr>
        <w:t xml:space="preserve">. </w:t>
      </w:r>
    </w:p>
    <w:p w14:paraId="7D399333" w14:textId="77777777" w:rsidR="00E03711" w:rsidRPr="001E051C" w:rsidRDefault="00E03711" w:rsidP="001E051C">
      <w:pPr>
        <w:pStyle w:val="Guide-Heading5"/>
        <w:rPr>
          <w:lang w:val="sl-SI"/>
        </w:rPr>
      </w:pPr>
      <w:r>
        <w:rPr>
          <w:rFonts w:eastAsia="Calibri" w:cs="Calibri"/>
          <w:bCs/>
          <w:szCs w:val="22"/>
          <w:bdr w:val="nil"/>
          <w:lang w:val="sl-SI"/>
        </w:rPr>
        <w:t>Kdo lahko sodeluje v Evropski univerzi?</w:t>
      </w:r>
    </w:p>
    <w:p w14:paraId="7D399334" w14:textId="77777777" w:rsidR="00E03711" w:rsidRPr="001E051C" w:rsidRDefault="00E03711" w:rsidP="001E051C">
      <w:pPr>
        <w:autoSpaceDE w:val="0"/>
        <w:adjustRightInd w:val="0"/>
        <w:jc w:val="both"/>
        <w:rPr>
          <w:rFonts w:cs="Calibri"/>
          <w:color w:val="000000"/>
          <w:sz w:val="18"/>
          <w:szCs w:val="18"/>
          <w:lang w:val="sl-SI"/>
        </w:rPr>
      </w:pPr>
      <w:r>
        <w:rPr>
          <w:rFonts w:eastAsia="Calibri" w:cs="Calibri"/>
          <w:b/>
          <w:bCs/>
          <w:color w:val="000000"/>
          <w:sz w:val="18"/>
          <w:szCs w:val="18"/>
          <w:bdr w:val="nil"/>
          <w:lang w:val="sl-SI"/>
        </w:rPr>
        <w:t xml:space="preserve">Prijavitelj/koordinator: </w:t>
      </w:r>
      <w:r>
        <w:rPr>
          <w:rFonts w:eastAsia="Calibri" w:cs="Calibri"/>
          <w:color w:val="000000"/>
          <w:sz w:val="18"/>
          <w:szCs w:val="18"/>
          <w:bdr w:val="nil"/>
          <w:lang w:val="sl-SI"/>
        </w:rPr>
        <w:t xml:space="preserve">sodelujoča organizacija, ki odda predlog v imenu vseh partnerjev. Koordinator je v celoti odgovoren, da zagotovi izvajanje predloga v skladu s sporazumom. Aktivnosti koordiniranja zajemajo naslednje dolžnosti: </w:t>
      </w:r>
    </w:p>
    <w:p w14:paraId="7D399335" w14:textId="77777777" w:rsidR="00E03711" w:rsidRPr="001E051C" w:rsidRDefault="00E03711" w:rsidP="001E051C">
      <w:pPr>
        <w:autoSpaceDE w:val="0"/>
        <w:adjustRightInd w:val="0"/>
        <w:spacing w:after="4"/>
        <w:jc w:val="both"/>
        <w:rPr>
          <w:rFonts w:cs="Calibri"/>
          <w:color w:val="000000"/>
          <w:sz w:val="18"/>
          <w:szCs w:val="18"/>
          <w:lang w:val="sl-SI"/>
        </w:rPr>
      </w:pPr>
      <w:r>
        <w:rPr>
          <w:rFonts w:ascii="Wingdings" w:eastAsia="Wingdings" w:hAnsi="Wingdings" w:cs="Wingdings"/>
          <w:color w:val="000000"/>
          <w:sz w:val="18"/>
          <w:szCs w:val="18"/>
          <w:bdr w:val="nil"/>
          <w:lang w:val="sl-SI"/>
        </w:rPr>
        <w:sym w:font="Wingdings" w:char="F0A7"/>
      </w:r>
      <w:r>
        <w:rPr>
          <w:rFonts w:ascii="Wingdings" w:eastAsia="Wingdings" w:hAnsi="Wingdings" w:cs="Wingdings"/>
          <w:color w:val="000000"/>
          <w:sz w:val="18"/>
          <w:szCs w:val="18"/>
          <w:bdr w:val="nil"/>
          <w:lang w:val="sl-SI"/>
        </w:rPr>
        <w:sym w:font="Wingdings" w:char="F020"/>
      </w:r>
      <w:r>
        <w:rPr>
          <w:rFonts w:eastAsia="Calibri" w:cs="Calibri"/>
          <w:color w:val="000000"/>
          <w:sz w:val="18"/>
          <w:szCs w:val="18"/>
          <w:bdr w:val="nil"/>
          <w:lang w:val="sl-SI"/>
        </w:rPr>
        <w:t xml:space="preserve">predstavljanje koalicije in delovanje v imenu koalicije Evropske univerze v odnosu do Evropske komisije; </w:t>
      </w:r>
    </w:p>
    <w:p w14:paraId="7D399336" w14:textId="77777777" w:rsidR="00E03711" w:rsidRPr="001E051C" w:rsidRDefault="00E03711" w:rsidP="001E051C">
      <w:pPr>
        <w:autoSpaceDE w:val="0"/>
        <w:adjustRightInd w:val="0"/>
        <w:spacing w:after="4"/>
        <w:jc w:val="both"/>
        <w:rPr>
          <w:rFonts w:cs="Calibri"/>
          <w:color w:val="000000"/>
          <w:sz w:val="18"/>
          <w:szCs w:val="18"/>
          <w:lang w:val="sl-SI"/>
        </w:rPr>
      </w:pPr>
      <w:r>
        <w:rPr>
          <w:rFonts w:ascii="Wingdings" w:eastAsia="Wingdings" w:hAnsi="Wingdings" w:cs="Wingdings"/>
          <w:color w:val="000000"/>
          <w:sz w:val="18"/>
          <w:szCs w:val="18"/>
          <w:bdr w:val="nil"/>
          <w:lang w:val="sl-SI"/>
        </w:rPr>
        <w:sym w:font="Wingdings" w:char="F0A7"/>
      </w:r>
      <w:r>
        <w:rPr>
          <w:rFonts w:ascii="Wingdings" w:eastAsia="Wingdings" w:hAnsi="Wingdings" w:cs="Wingdings"/>
          <w:color w:val="000000"/>
          <w:sz w:val="18"/>
          <w:szCs w:val="18"/>
          <w:bdr w:val="nil"/>
          <w:lang w:val="sl-SI"/>
        </w:rPr>
        <w:sym w:font="Wingdings" w:char="F020"/>
      </w:r>
      <w:r>
        <w:rPr>
          <w:rFonts w:eastAsia="Calibri" w:cs="Calibri"/>
          <w:color w:val="000000"/>
          <w:sz w:val="18"/>
          <w:szCs w:val="18"/>
          <w:bdr w:val="nil"/>
          <w:lang w:val="sl-SI"/>
        </w:rPr>
        <w:t xml:space="preserve">nositev finančne in pravne odgovornosti za primerno operativno, administrativno in finančno izvajanje koalicije Evropske univerze; </w:t>
      </w:r>
    </w:p>
    <w:p w14:paraId="7D399337" w14:textId="77777777" w:rsidR="00E03711" w:rsidRPr="001E051C" w:rsidRDefault="00E03711" w:rsidP="001E051C">
      <w:pPr>
        <w:autoSpaceDE w:val="0"/>
        <w:adjustRightInd w:val="0"/>
        <w:jc w:val="both"/>
        <w:rPr>
          <w:rFonts w:cs="Calibri"/>
          <w:color w:val="000000"/>
          <w:sz w:val="18"/>
          <w:szCs w:val="18"/>
          <w:lang w:val="sl-SI"/>
        </w:rPr>
      </w:pPr>
      <w:r>
        <w:rPr>
          <w:rFonts w:ascii="Wingdings" w:eastAsia="Wingdings" w:hAnsi="Wingdings" w:cs="Wingdings"/>
          <w:color w:val="000000"/>
          <w:sz w:val="18"/>
          <w:szCs w:val="18"/>
          <w:bdr w:val="nil"/>
          <w:lang w:val="sl-SI"/>
        </w:rPr>
        <w:sym w:font="Wingdings" w:char="F0A7"/>
      </w:r>
      <w:r>
        <w:rPr>
          <w:rFonts w:ascii="Wingdings" w:eastAsia="Wingdings" w:hAnsi="Wingdings" w:cs="Wingdings"/>
          <w:color w:val="000000"/>
          <w:sz w:val="18"/>
          <w:szCs w:val="18"/>
          <w:bdr w:val="nil"/>
          <w:lang w:val="sl-SI"/>
        </w:rPr>
        <w:sym w:font="Wingdings" w:char="F020"/>
      </w:r>
      <w:r>
        <w:rPr>
          <w:rFonts w:eastAsia="Calibri" w:cs="Calibri"/>
          <w:color w:val="000000"/>
          <w:sz w:val="18"/>
          <w:szCs w:val="18"/>
          <w:bdr w:val="nil"/>
          <w:lang w:val="sl-SI"/>
        </w:rPr>
        <w:t xml:space="preserve">koordiniranje koalicije Evropske univerze pri sodelovanju s partnerji. </w:t>
      </w:r>
    </w:p>
    <w:p w14:paraId="7D399338" w14:textId="77777777" w:rsidR="00E03711" w:rsidRPr="001E051C" w:rsidRDefault="00E03711" w:rsidP="001E051C">
      <w:pPr>
        <w:autoSpaceDE w:val="0"/>
        <w:adjustRightInd w:val="0"/>
        <w:jc w:val="both"/>
        <w:rPr>
          <w:rFonts w:cs="Calibri"/>
          <w:color w:val="000000"/>
          <w:sz w:val="18"/>
          <w:szCs w:val="18"/>
          <w:lang w:val="sl-SI"/>
        </w:rPr>
      </w:pPr>
    </w:p>
    <w:p w14:paraId="7D399339" w14:textId="77777777" w:rsidR="00E03711" w:rsidRPr="001E051C" w:rsidRDefault="00E03711" w:rsidP="001E051C">
      <w:pPr>
        <w:autoSpaceDE w:val="0"/>
        <w:adjustRightInd w:val="0"/>
        <w:jc w:val="both"/>
        <w:rPr>
          <w:rFonts w:cs="Calibri"/>
          <w:color w:val="000000"/>
          <w:sz w:val="18"/>
          <w:szCs w:val="18"/>
          <w:lang w:val="sl-SI"/>
        </w:rPr>
      </w:pPr>
      <w:r>
        <w:rPr>
          <w:rFonts w:eastAsia="Calibri" w:cs="Calibri"/>
          <w:b/>
          <w:bCs/>
          <w:color w:val="000000"/>
          <w:sz w:val="18"/>
          <w:szCs w:val="18"/>
          <w:bdr w:val="nil"/>
          <w:lang w:val="sl-SI"/>
        </w:rPr>
        <w:t>Polnopravni partnerji</w:t>
      </w:r>
      <w:r>
        <w:rPr>
          <w:rFonts w:eastAsia="Calibri" w:cs="Calibri"/>
          <w:color w:val="000000"/>
          <w:sz w:val="18"/>
          <w:szCs w:val="18"/>
          <w:bdr w:val="nil"/>
          <w:lang w:val="sl-SI"/>
        </w:rPr>
        <w:t xml:space="preserve"> so tiste sodelujoče organizacije, ki aktivno prispevajo k doseganju ciljev Evropske univerze. Vsak polnopravni partner mora podpisati mandatno pismo, s katerim dodeli koordinatorski organizaciji odgovornost, da deluje kot glavna upravičenka in da med izvajanjem predloga deluje v njegovem imenu;</w:t>
      </w:r>
    </w:p>
    <w:p w14:paraId="7D39933A" w14:textId="77777777" w:rsidR="00E03711" w:rsidRPr="001E051C" w:rsidRDefault="00E03711" w:rsidP="001E051C">
      <w:pPr>
        <w:autoSpaceDE w:val="0"/>
        <w:adjustRightInd w:val="0"/>
        <w:jc w:val="both"/>
        <w:rPr>
          <w:rFonts w:cs="Calibri"/>
          <w:b/>
          <w:color w:val="000000"/>
          <w:sz w:val="18"/>
          <w:szCs w:val="18"/>
          <w:lang w:val="sl-SI"/>
        </w:rPr>
      </w:pPr>
    </w:p>
    <w:p w14:paraId="7D39933B" w14:textId="77777777" w:rsidR="00E03711" w:rsidRPr="001E051C" w:rsidRDefault="00E03711" w:rsidP="001E051C">
      <w:pPr>
        <w:autoSpaceDE w:val="0"/>
        <w:adjustRightInd w:val="0"/>
        <w:jc w:val="both"/>
        <w:rPr>
          <w:rFonts w:cs="Calibri"/>
          <w:color w:val="000000"/>
          <w:sz w:val="18"/>
          <w:szCs w:val="18"/>
          <w:lang w:val="sl-SI"/>
        </w:rPr>
      </w:pPr>
      <w:r>
        <w:rPr>
          <w:rFonts w:eastAsia="Calibri" w:cs="Calibri"/>
          <w:b/>
          <w:bCs/>
          <w:color w:val="000000"/>
          <w:sz w:val="18"/>
          <w:szCs w:val="18"/>
          <w:bdr w:val="nil"/>
          <w:lang w:val="sl-SI"/>
        </w:rPr>
        <w:t xml:space="preserve">Povezani partnerji </w:t>
      </w:r>
      <w:r>
        <w:rPr>
          <w:rFonts w:eastAsia="Calibri" w:cs="Calibri"/>
          <w:color w:val="000000"/>
          <w:sz w:val="18"/>
          <w:szCs w:val="18"/>
          <w:bdr w:val="nil"/>
          <w:lang w:val="sl-SI"/>
        </w:rPr>
        <w:t>(izbirno): Evropske univerze lahko povezujejo partnerje, ki prispevajo k izvajanju specifičnih nalog/aktivnosti ali podpirajo razširjanje in trajnost koalicije. Za vprašanja glede upravljanja sporazuma se „pridruženi partnerji“ ne štejejo za partnerje Evropske univerze in ne prejemajo sredstev. Vendar morata biti njihova vključenost in vloga v različnih aktivnostih jasno opisana.</w:t>
      </w:r>
    </w:p>
    <w:p w14:paraId="7D39933C" w14:textId="77777777" w:rsidR="00E03711" w:rsidRPr="001E051C" w:rsidRDefault="00E03711" w:rsidP="001E051C">
      <w:pPr>
        <w:pStyle w:val="Guide-Normal0"/>
        <w:rPr>
          <w:rFonts w:asciiTheme="minorHAnsi" w:hAnsiTheme="minorHAnsi"/>
          <w:lang w:val="sl-SI"/>
        </w:rPr>
      </w:pPr>
    </w:p>
    <w:p w14:paraId="7D39933D" w14:textId="77777777" w:rsidR="00E03711" w:rsidRPr="001E051C" w:rsidRDefault="00E03711" w:rsidP="001E051C">
      <w:pPr>
        <w:pStyle w:val="Guide-Normal0"/>
        <w:rPr>
          <w:rFonts w:asciiTheme="minorHAnsi" w:hAnsiTheme="minorHAnsi"/>
          <w:lang w:val="sl-SI"/>
        </w:rPr>
      </w:pPr>
      <w:r>
        <w:rPr>
          <w:rFonts w:eastAsia="Calibri" w:cs="Calibri"/>
          <w:b/>
          <w:bCs/>
          <w:kern w:val="3"/>
          <w:sz w:val="18"/>
          <w:szCs w:val="18"/>
          <w:bdr w:val="nil"/>
          <w:shd w:val="clear" w:color="auto" w:fill="FFFFFF"/>
          <w:lang w:val="sl-SI" w:eastAsia="en-GB"/>
        </w:rPr>
        <w:t>Povezani subjekti (izbirno)</w:t>
      </w:r>
      <w:r>
        <w:rPr>
          <w:rFonts w:eastAsia="Calibri" w:cs="Calibri"/>
          <w:kern w:val="3"/>
          <w:sz w:val="18"/>
          <w:szCs w:val="18"/>
          <w:bdr w:val="nil"/>
          <w:shd w:val="clear" w:color="auto" w:fill="FFFFFF"/>
          <w:lang w:val="sl-SI" w:eastAsia="en-GB"/>
        </w:rPr>
        <w:t xml:space="preserve">: Organizacije, ki prispevajo k doseganju ciljev in aktivnosti Evropske univerze. Povezani subjekti morajo biti opredeljeni v vlogi za nepovratna sredstva in morajo izpolnjevati zahteve iz Priloge III (Glosar pojmov) tega vodnika za prijavitelje. </w:t>
      </w:r>
    </w:p>
    <w:p w14:paraId="7D39933E" w14:textId="77777777" w:rsidR="00E03711" w:rsidRPr="001E051C" w:rsidRDefault="00E03711" w:rsidP="001E051C">
      <w:pPr>
        <w:pStyle w:val="Guide-Heading5"/>
        <w:rPr>
          <w:lang w:val="sl-SI"/>
        </w:rPr>
      </w:pPr>
      <w:r>
        <w:rPr>
          <w:rFonts w:eastAsia="Calibri" w:cs="Calibri"/>
          <w:bCs/>
          <w:szCs w:val="22"/>
          <w:bdr w:val="nil"/>
          <w:lang w:val="sl-SI"/>
        </w:rPr>
        <w:t xml:space="preserve">Katera merila se uporabljajo za oceno predlagane Evropske univerze? </w:t>
      </w:r>
    </w:p>
    <w:p w14:paraId="7D39933F" w14:textId="77777777" w:rsidR="00E03711" w:rsidRPr="0030441A" w:rsidRDefault="00E03711" w:rsidP="001E051C">
      <w:pPr>
        <w:pStyle w:val="Guide-Heading6"/>
        <w:rPr>
          <w:lang w:val="sl-SI"/>
        </w:rPr>
      </w:pPr>
      <w:r>
        <w:rPr>
          <w:rFonts w:eastAsia="Calibri" w:cs="Calibri"/>
          <w:bCs/>
          <w:szCs w:val="20"/>
          <w:bdr w:val="nil"/>
          <w:lang w:val="sl-SI"/>
        </w:rPr>
        <w:t>Merila za upravičenost</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2074"/>
        <w:gridCol w:w="7218"/>
      </w:tblGrid>
      <w:tr w:rsidR="00E03711" w:rsidRPr="00C60205" w14:paraId="7D399343" w14:textId="77777777" w:rsidTr="009A2C2A">
        <w:trPr>
          <w:cantSplit/>
        </w:trPr>
        <w:tc>
          <w:tcPr>
            <w:tcW w:w="1116" w:type="pct"/>
            <w:shd w:val="clear" w:color="auto" w:fill="FFFFFF"/>
            <w:vAlign w:val="center"/>
          </w:tcPr>
          <w:p w14:paraId="7D399340" w14:textId="77777777" w:rsidR="00E03711" w:rsidRPr="0019773D" w:rsidRDefault="00E03711" w:rsidP="009A2C2A">
            <w:pPr>
              <w:spacing w:before="40" w:after="40"/>
              <w:rPr>
                <w:b/>
                <w:sz w:val="18"/>
              </w:rPr>
            </w:pPr>
            <w:r>
              <w:rPr>
                <w:rFonts w:eastAsia="Calibri" w:cs="Calibri"/>
                <w:b/>
                <w:bCs/>
                <w:sz w:val="18"/>
                <w:szCs w:val="18"/>
                <w:bdr w:val="nil"/>
                <w:lang w:val="sl-SI"/>
              </w:rPr>
              <w:t>Upravičene sodelujoče organizacije</w:t>
            </w:r>
          </w:p>
        </w:tc>
        <w:tc>
          <w:tcPr>
            <w:tcW w:w="3884" w:type="pct"/>
            <w:shd w:val="clear" w:color="auto" w:fill="FFFFFF"/>
          </w:tcPr>
          <w:p w14:paraId="7D399341" w14:textId="77777777" w:rsidR="00E03711" w:rsidRDefault="00E03711" w:rsidP="009A2C2A">
            <w:pPr>
              <w:shd w:val="clear" w:color="auto" w:fill="FFFFFF"/>
              <w:spacing w:beforeLines="40" w:before="96" w:afterLines="40" w:after="96"/>
              <w:jc w:val="both"/>
              <w:rPr>
                <w:sz w:val="18"/>
                <w:szCs w:val="18"/>
                <w:lang w:val="sl-SI"/>
              </w:rPr>
            </w:pPr>
            <w:r>
              <w:rPr>
                <w:rFonts w:eastAsia="Calibri" w:cs="Calibri"/>
                <w:sz w:val="18"/>
                <w:szCs w:val="18"/>
                <w:bdr w:val="nil"/>
                <w:lang w:val="sl-SI"/>
              </w:rPr>
              <w:t xml:space="preserve">Vsaka visokošolska institucija, ki je nosilka veljavne Listine Erasmus za terciarno izobraževanje (ECHE), s svojimi povezanimi subjekti (če obstajajo) kot polnopravni ali pridruženi partnerji. </w:t>
            </w:r>
            <w:r w:rsidRPr="00947930">
              <w:rPr>
                <w:sz w:val="18"/>
                <w:szCs w:val="18"/>
                <w:lang w:val="sl-SI"/>
              </w:rPr>
              <w:t>Vsaka javna/zasebna organizacija, ki deluje na področju izobraževanja in usposabljanja, raziskav in inovacij ali svetu dela s sedežem v državi članici EU ali drugi državi Programa</w:t>
            </w:r>
            <w:r>
              <w:rPr>
                <w:sz w:val="18"/>
                <w:szCs w:val="18"/>
                <w:lang w:val="sl-SI"/>
              </w:rPr>
              <w:t xml:space="preserve"> Erasmus+, kot pridruženi partner</w:t>
            </w:r>
            <w:r w:rsidRPr="00947930">
              <w:rPr>
                <w:sz w:val="18"/>
                <w:szCs w:val="18"/>
                <w:lang w:val="sl-SI"/>
              </w:rPr>
              <w:t>.</w:t>
            </w:r>
          </w:p>
          <w:p w14:paraId="7D399342" w14:textId="5131F1E0" w:rsidR="00E03711" w:rsidRPr="008B2C7D" w:rsidRDefault="00E03711" w:rsidP="009A2C2A">
            <w:pPr>
              <w:shd w:val="clear" w:color="auto" w:fill="FFFFFF"/>
              <w:spacing w:beforeLines="40" w:before="96" w:afterLines="40" w:after="96"/>
              <w:jc w:val="both"/>
              <w:rPr>
                <w:sz w:val="18"/>
                <w:szCs w:val="18"/>
                <w:lang w:val="sl-SI"/>
              </w:rPr>
            </w:pPr>
          </w:p>
        </w:tc>
      </w:tr>
      <w:tr w:rsidR="00E03711" w:rsidRPr="00C60205" w14:paraId="7D399346" w14:textId="77777777" w:rsidTr="009A2C2A">
        <w:trPr>
          <w:cantSplit/>
        </w:trPr>
        <w:tc>
          <w:tcPr>
            <w:tcW w:w="1116" w:type="pct"/>
            <w:shd w:val="clear" w:color="auto" w:fill="FFFFFF"/>
            <w:vAlign w:val="center"/>
          </w:tcPr>
          <w:p w14:paraId="7D399344" w14:textId="77777777" w:rsidR="00E03711" w:rsidRPr="0019773D" w:rsidRDefault="00E03711" w:rsidP="009A2C2A">
            <w:pPr>
              <w:spacing w:before="40" w:after="40"/>
              <w:rPr>
                <w:b/>
                <w:sz w:val="18"/>
              </w:rPr>
            </w:pPr>
            <w:r>
              <w:rPr>
                <w:rFonts w:eastAsia="Calibri" w:cs="Calibri"/>
                <w:b/>
                <w:bCs/>
                <w:sz w:val="18"/>
                <w:szCs w:val="18"/>
                <w:bdr w:val="nil"/>
                <w:lang w:val="sl-SI"/>
              </w:rPr>
              <w:t>Kdo se lahko prijavi?</w:t>
            </w:r>
          </w:p>
        </w:tc>
        <w:tc>
          <w:tcPr>
            <w:tcW w:w="3884" w:type="pct"/>
            <w:shd w:val="clear" w:color="auto" w:fill="FFFFFF"/>
          </w:tcPr>
          <w:p w14:paraId="7D399345" w14:textId="77777777" w:rsidR="00E03711" w:rsidRPr="001E051C" w:rsidRDefault="00E03711" w:rsidP="009A2C2A">
            <w:pPr>
              <w:spacing w:beforeLines="40" w:before="96" w:afterLines="40" w:after="96"/>
              <w:jc w:val="both"/>
              <w:rPr>
                <w:sz w:val="18"/>
                <w:lang w:val="sl-SI"/>
              </w:rPr>
            </w:pPr>
            <w:r>
              <w:rPr>
                <w:rFonts w:eastAsia="Calibri" w:cs="Calibri"/>
                <w:sz w:val="18"/>
                <w:szCs w:val="18"/>
                <w:bdr w:val="nil"/>
                <w:lang w:val="sl-SI"/>
              </w:rPr>
              <w:t xml:space="preserve">Vsaka upravičena sodelujoča visokošolska institucija s sedežem v državi članici EU ali drugi državi programa Erasmus+ je lahko prijaviteljica. Ta organizacija se prijavi v imenu vseh sodelujočih organizacij, ki so vključene v Evropsko univerzo. </w:t>
            </w:r>
          </w:p>
        </w:tc>
      </w:tr>
      <w:tr w:rsidR="00E03711" w:rsidRPr="00C60205" w14:paraId="7D399349" w14:textId="77777777" w:rsidTr="009A2C2A">
        <w:trPr>
          <w:cantSplit/>
        </w:trPr>
        <w:tc>
          <w:tcPr>
            <w:tcW w:w="1116" w:type="pct"/>
            <w:shd w:val="clear" w:color="auto" w:fill="FFFFFF"/>
            <w:vAlign w:val="center"/>
          </w:tcPr>
          <w:p w14:paraId="7D399347" w14:textId="77777777" w:rsidR="00E03711" w:rsidRPr="001E051C" w:rsidRDefault="00E03711" w:rsidP="009A2C2A">
            <w:pPr>
              <w:spacing w:before="40" w:after="40"/>
              <w:rPr>
                <w:b/>
                <w:sz w:val="18"/>
                <w:lang w:val="it-IT"/>
              </w:rPr>
            </w:pPr>
            <w:r>
              <w:rPr>
                <w:rFonts w:eastAsia="Calibri" w:cs="Calibri"/>
                <w:b/>
                <w:bCs/>
                <w:sz w:val="18"/>
                <w:szCs w:val="18"/>
                <w:bdr w:val="nil"/>
                <w:lang w:val="sl-SI"/>
              </w:rPr>
              <w:t>Število in profil sodelujočih organizacij</w:t>
            </w:r>
          </w:p>
        </w:tc>
        <w:tc>
          <w:tcPr>
            <w:tcW w:w="3884" w:type="pct"/>
            <w:shd w:val="clear" w:color="auto" w:fill="auto"/>
          </w:tcPr>
          <w:p w14:paraId="7D399348" w14:textId="77777777" w:rsidR="00E03711" w:rsidRPr="001E051C" w:rsidRDefault="00E03711" w:rsidP="009A2C2A">
            <w:pPr>
              <w:spacing w:beforeLines="40" w:before="96" w:afterLines="40" w:after="96"/>
              <w:jc w:val="both"/>
              <w:rPr>
                <w:sz w:val="18"/>
                <w:lang w:val="sl-SI"/>
              </w:rPr>
            </w:pPr>
            <w:r>
              <w:rPr>
                <w:rFonts w:eastAsia="Calibri" w:cs="Calibri"/>
                <w:sz w:val="18"/>
                <w:szCs w:val="18"/>
                <w:bdr w:val="nil"/>
                <w:lang w:val="sl-SI"/>
              </w:rPr>
              <w:t xml:space="preserve">Evropsko univerzo morajo sestavljati najmanj tri visokošolske institucije z veljavno Listino Erasmus za terciarno izobraževanje (ECHE) iz najmanj treh držav članic EU ali drugih državah programa Erasmus+ (polni partner).  Poleg tega je lahko katera koli javna/zasebna organizacija, ustanovljena v državi članici EU ali v drugi državi programa Erasmus+, in ki je dejavna na področju izobraževanja in usposabljanja, raziskav in inovacij ali na področju dela lahko del koalicije kot pridruženi partner. </w:t>
            </w:r>
          </w:p>
        </w:tc>
      </w:tr>
      <w:tr w:rsidR="00E03711" w14:paraId="7D39934C" w14:textId="77777777" w:rsidTr="009A2C2A">
        <w:trPr>
          <w:cantSplit/>
        </w:trPr>
        <w:tc>
          <w:tcPr>
            <w:tcW w:w="1116" w:type="pct"/>
            <w:shd w:val="clear" w:color="auto" w:fill="FFFFFF"/>
            <w:vAlign w:val="center"/>
          </w:tcPr>
          <w:p w14:paraId="7D39934A" w14:textId="77777777" w:rsidR="00E03711" w:rsidRPr="00E53DD4" w:rsidRDefault="00E03711" w:rsidP="009A2C2A">
            <w:pPr>
              <w:spacing w:before="40" w:after="40"/>
              <w:rPr>
                <w:b/>
                <w:sz w:val="18"/>
                <w:lang w:val="en-GB"/>
              </w:rPr>
            </w:pPr>
            <w:r>
              <w:rPr>
                <w:rFonts w:eastAsia="Calibri" w:cs="Calibri"/>
                <w:b/>
                <w:bCs/>
                <w:sz w:val="18"/>
                <w:szCs w:val="18"/>
                <w:bdr w:val="nil"/>
                <w:lang w:val="sl-SI"/>
              </w:rPr>
              <w:t xml:space="preserve">Trajanje </w:t>
            </w:r>
          </w:p>
        </w:tc>
        <w:tc>
          <w:tcPr>
            <w:tcW w:w="3884" w:type="pct"/>
            <w:shd w:val="clear" w:color="auto" w:fill="FFFFFF"/>
            <w:vAlign w:val="center"/>
          </w:tcPr>
          <w:p w14:paraId="7D39934B" w14:textId="77777777" w:rsidR="00E03711" w:rsidRPr="0019773D" w:rsidRDefault="00E03711" w:rsidP="009A2C2A">
            <w:pPr>
              <w:spacing w:beforeLines="40" w:before="96" w:afterLines="40" w:after="96"/>
              <w:jc w:val="both"/>
              <w:rPr>
                <w:sz w:val="18"/>
                <w:lang w:val="en-GB"/>
              </w:rPr>
            </w:pPr>
            <w:r>
              <w:rPr>
                <w:rFonts w:eastAsia="Calibri" w:cs="Calibri"/>
                <w:sz w:val="18"/>
                <w:szCs w:val="18"/>
                <w:bdr w:val="nil"/>
                <w:lang w:val="sl-SI"/>
              </w:rPr>
              <w:t xml:space="preserve">3 leta </w:t>
            </w:r>
          </w:p>
        </w:tc>
      </w:tr>
      <w:tr w:rsidR="00E03711" w14:paraId="7D39934F" w14:textId="77777777" w:rsidTr="009A2C2A">
        <w:trPr>
          <w:cantSplit/>
        </w:trPr>
        <w:tc>
          <w:tcPr>
            <w:tcW w:w="1116" w:type="pct"/>
            <w:shd w:val="clear" w:color="auto" w:fill="FFFFFF"/>
            <w:vAlign w:val="center"/>
          </w:tcPr>
          <w:p w14:paraId="7D39934D" w14:textId="77777777" w:rsidR="00E03711" w:rsidRPr="0019773D" w:rsidRDefault="00E03711" w:rsidP="009A2C2A">
            <w:pPr>
              <w:spacing w:before="40" w:after="40"/>
              <w:rPr>
                <w:b/>
                <w:sz w:val="18"/>
              </w:rPr>
            </w:pPr>
            <w:r>
              <w:rPr>
                <w:rFonts w:eastAsia="Calibri" w:cs="Calibri"/>
                <w:b/>
                <w:bCs/>
                <w:sz w:val="18"/>
                <w:szCs w:val="18"/>
                <w:bdr w:val="nil"/>
                <w:lang w:val="sl-SI"/>
              </w:rPr>
              <w:t xml:space="preserve">Kje se prijaviti? </w:t>
            </w:r>
          </w:p>
        </w:tc>
        <w:tc>
          <w:tcPr>
            <w:tcW w:w="3884" w:type="pct"/>
            <w:shd w:val="clear" w:color="auto" w:fill="FFFFFF"/>
          </w:tcPr>
          <w:p w14:paraId="7D39934E" w14:textId="77777777" w:rsidR="00E03711" w:rsidRPr="001E051C" w:rsidRDefault="00E03711" w:rsidP="009A2C2A">
            <w:pPr>
              <w:spacing w:beforeLines="40" w:before="96" w:afterLines="40" w:after="96"/>
              <w:jc w:val="both"/>
              <w:rPr>
                <w:sz w:val="18"/>
              </w:rPr>
            </w:pPr>
            <w:r>
              <w:rPr>
                <w:rFonts w:eastAsia="Calibri" w:cs="Calibri"/>
                <w:sz w:val="18"/>
                <w:szCs w:val="18"/>
                <w:bdr w:val="nil"/>
                <w:lang w:val="sl-SI"/>
              </w:rPr>
              <w:t>Pri Izvajalski agenciji za izobraževanje, avdiovizualno področje in kulturo v Bruslju.</w:t>
            </w:r>
          </w:p>
        </w:tc>
      </w:tr>
      <w:tr w:rsidR="00E03711" w14:paraId="7D399352" w14:textId="77777777" w:rsidTr="009A2C2A">
        <w:trPr>
          <w:cantSplit/>
        </w:trPr>
        <w:tc>
          <w:tcPr>
            <w:tcW w:w="1116" w:type="pct"/>
            <w:shd w:val="clear" w:color="auto" w:fill="FFFFFF"/>
            <w:vAlign w:val="center"/>
          </w:tcPr>
          <w:p w14:paraId="7D399350" w14:textId="77777777" w:rsidR="00E03711" w:rsidRPr="0019773D" w:rsidRDefault="00E03711" w:rsidP="009A2C2A">
            <w:pPr>
              <w:spacing w:before="40" w:after="40"/>
              <w:rPr>
                <w:b/>
                <w:sz w:val="18"/>
              </w:rPr>
            </w:pPr>
            <w:r>
              <w:rPr>
                <w:rFonts w:eastAsia="Calibri" w:cs="Calibri"/>
                <w:b/>
                <w:bCs/>
                <w:sz w:val="18"/>
                <w:szCs w:val="18"/>
                <w:bdr w:val="nil"/>
                <w:lang w:val="sl-SI"/>
              </w:rPr>
              <w:t>Kdaj se prijaviti?</w:t>
            </w:r>
          </w:p>
        </w:tc>
        <w:tc>
          <w:tcPr>
            <w:tcW w:w="3884" w:type="pct"/>
            <w:shd w:val="clear" w:color="auto" w:fill="FFFFFF"/>
            <w:vAlign w:val="center"/>
          </w:tcPr>
          <w:p w14:paraId="7D399351" w14:textId="77777777" w:rsidR="00E03711" w:rsidRPr="001E051C" w:rsidRDefault="00E03711">
            <w:pPr>
              <w:snapToGrid w:val="0"/>
              <w:spacing w:beforeLines="40" w:before="96" w:afterLines="40" w:after="96"/>
              <w:jc w:val="both"/>
              <w:rPr>
                <w:sz w:val="18"/>
                <w:szCs w:val="18"/>
              </w:rPr>
            </w:pPr>
            <w:r>
              <w:rPr>
                <w:rFonts w:eastAsia="Calibri" w:cs="Calibri"/>
                <w:sz w:val="18"/>
                <w:szCs w:val="18"/>
                <w:bdr w:val="nil"/>
                <w:lang w:val="sl-SI"/>
              </w:rPr>
              <w:t>Prijavitelji morajo vlogo za nepovratna sredstva oddati do</w:t>
            </w:r>
            <w:r>
              <w:rPr>
                <w:rFonts w:eastAsia="Calibri" w:cs="Calibri"/>
                <w:b/>
                <w:bCs/>
                <w:sz w:val="18"/>
                <w:szCs w:val="18"/>
                <w:bdr w:val="nil"/>
                <w:lang w:val="sl-SI"/>
              </w:rPr>
              <w:t xml:space="preserve"> 26. februarja do 17. ure (po bruseljskem času) </w:t>
            </w:r>
            <w:r>
              <w:rPr>
                <w:rFonts w:eastAsia="Calibri" w:cs="Calibri"/>
                <w:sz w:val="18"/>
                <w:szCs w:val="18"/>
                <w:bdr w:val="nil"/>
                <w:lang w:val="sl-SI"/>
              </w:rPr>
              <w:t xml:space="preserve">za koalicije, ki se začnejo med 1. septembrom in 1. decembrom istega leta.  </w:t>
            </w:r>
          </w:p>
        </w:tc>
      </w:tr>
      <w:tr w:rsidR="00E03711" w:rsidRPr="00C60205" w14:paraId="7D399355" w14:textId="77777777" w:rsidTr="009A2C2A">
        <w:trPr>
          <w:cantSplit/>
        </w:trPr>
        <w:tc>
          <w:tcPr>
            <w:tcW w:w="1116" w:type="pct"/>
            <w:shd w:val="clear" w:color="auto" w:fill="FFFFFF"/>
            <w:vAlign w:val="center"/>
          </w:tcPr>
          <w:p w14:paraId="7D399353" w14:textId="77777777" w:rsidR="00E03711" w:rsidRPr="0019773D" w:rsidRDefault="00E03711" w:rsidP="009A2C2A">
            <w:pPr>
              <w:spacing w:before="40" w:after="40"/>
              <w:rPr>
                <w:b/>
                <w:sz w:val="18"/>
                <w:lang w:val="en-US"/>
              </w:rPr>
            </w:pPr>
            <w:r>
              <w:rPr>
                <w:rFonts w:eastAsia="Calibri" w:cs="Calibri"/>
                <w:b/>
                <w:bCs/>
                <w:sz w:val="18"/>
                <w:szCs w:val="18"/>
                <w:bdr w:val="nil"/>
                <w:lang w:val="sl-SI"/>
              </w:rPr>
              <w:t>Kako se prijaviti?</w:t>
            </w:r>
          </w:p>
        </w:tc>
        <w:tc>
          <w:tcPr>
            <w:tcW w:w="3884" w:type="pct"/>
            <w:shd w:val="clear" w:color="auto" w:fill="FFFFFF"/>
          </w:tcPr>
          <w:p w14:paraId="7D399354" w14:textId="77777777" w:rsidR="00E03711" w:rsidRPr="0030441A" w:rsidRDefault="00E03711" w:rsidP="009A2C2A">
            <w:pPr>
              <w:spacing w:beforeLines="40" w:before="96" w:afterLines="40" w:after="96"/>
              <w:jc w:val="both"/>
              <w:rPr>
                <w:sz w:val="18"/>
                <w:lang w:val="pl-PL"/>
              </w:rPr>
            </w:pPr>
            <w:r>
              <w:rPr>
                <w:rFonts w:eastAsia="Calibri" w:cs="Calibri"/>
                <w:sz w:val="18"/>
                <w:szCs w:val="18"/>
                <w:bdr w:val="nil"/>
                <w:lang w:val="sl-SI"/>
              </w:rPr>
              <w:t>Za podrobnosti o postopku prijave glejte del C tega vodnika.</w:t>
            </w:r>
          </w:p>
        </w:tc>
      </w:tr>
    </w:tbl>
    <w:p w14:paraId="7D399356" w14:textId="77777777" w:rsidR="00E03711" w:rsidRPr="0030441A" w:rsidRDefault="00E03711" w:rsidP="001E051C">
      <w:pPr>
        <w:rPr>
          <w:sz w:val="18"/>
          <w:lang w:val="pl-PL"/>
        </w:rPr>
      </w:pPr>
    </w:p>
    <w:p w14:paraId="7D399357" w14:textId="77777777" w:rsidR="00E03711" w:rsidRPr="001E051C" w:rsidRDefault="00E03711" w:rsidP="001E051C">
      <w:pPr>
        <w:pStyle w:val="Guide-Normal0"/>
        <w:rPr>
          <w:lang w:val="sl-SI"/>
        </w:rPr>
      </w:pPr>
      <w:r>
        <w:rPr>
          <w:rFonts w:eastAsia="Times New Roman" w:cs="Tahoma"/>
          <w:kern w:val="3"/>
          <w:sz w:val="18"/>
          <w:szCs w:val="18"/>
          <w:bdr w:val="nil"/>
          <w:shd w:val="clear" w:color="auto" w:fill="FFFFFF"/>
          <w:lang w:val="sl-SI" w:eastAsia="en-GB"/>
        </w:rPr>
        <w:t xml:space="preserve">Organizacije prijaviteljice bodo ocenjene z ustreznimi </w:t>
      </w:r>
      <w:r>
        <w:rPr>
          <w:rFonts w:eastAsia="Times New Roman" w:cs="Tahoma"/>
          <w:b/>
          <w:bCs/>
          <w:kern w:val="3"/>
          <w:sz w:val="18"/>
          <w:szCs w:val="18"/>
          <w:bdr w:val="nil"/>
          <w:shd w:val="clear" w:color="auto" w:fill="FFFFFF"/>
          <w:lang w:val="sl-SI" w:eastAsia="en-GB"/>
        </w:rPr>
        <w:t>merili za izključitev in izbor</w:t>
      </w:r>
      <w:r>
        <w:rPr>
          <w:rFonts w:eastAsia="Times New Roman" w:cs="Tahoma"/>
          <w:kern w:val="3"/>
          <w:sz w:val="18"/>
          <w:szCs w:val="18"/>
          <w:bdr w:val="nil"/>
          <w:shd w:val="clear" w:color="auto" w:fill="FFFFFF"/>
          <w:lang w:val="sl-SI" w:eastAsia="en-GB"/>
        </w:rPr>
        <w:t xml:space="preserve">. Za več informacij glej del C tega vodnika. </w:t>
      </w:r>
    </w:p>
    <w:p w14:paraId="7D399358" w14:textId="77777777" w:rsidR="00E03711" w:rsidRPr="001E051C" w:rsidRDefault="00E03711" w:rsidP="001E051C">
      <w:pPr>
        <w:pStyle w:val="Guide-Normal0"/>
        <w:rPr>
          <w:lang w:val="sl-SI"/>
        </w:rPr>
      </w:pPr>
    </w:p>
    <w:p w14:paraId="7D399359" w14:textId="77777777" w:rsidR="00E03711" w:rsidRPr="001E051C" w:rsidRDefault="00E03711" w:rsidP="001E051C">
      <w:pPr>
        <w:pStyle w:val="Guide-Heading6"/>
        <w:rPr>
          <w:lang w:val="sl-SI"/>
        </w:rPr>
      </w:pPr>
      <w:r>
        <w:rPr>
          <w:rFonts w:eastAsia="Calibri" w:cs="Calibri"/>
          <w:bCs/>
          <w:szCs w:val="20"/>
          <w:bdr w:val="nil"/>
          <w:lang w:val="sl-SI"/>
        </w:rPr>
        <w:t xml:space="preserve">Merila za dodelitev </w:t>
      </w:r>
      <w:r>
        <w:rPr>
          <w:rFonts w:eastAsia="Calibri" w:cs="Calibri"/>
          <w:bCs/>
          <w:szCs w:val="20"/>
          <w:bdr w:val="nil"/>
          <w:lang w:val="sl-SI"/>
        </w:rPr>
        <w:tab/>
      </w:r>
    </w:p>
    <w:p w14:paraId="7D39935A" w14:textId="77777777" w:rsidR="00E03711" w:rsidRPr="001E051C" w:rsidRDefault="00E03711" w:rsidP="001E051C">
      <w:pPr>
        <w:pStyle w:val="Guide-Normal0"/>
        <w:rPr>
          <w:lang w:val="sl-SI"/>
        </w:rPr>
      </w:pPr>
      <w:r>
        <w:rPr>
          <w:rFonts w:eastAsia="Calibri" w:cs="Calibri"/>
          <w:kern w:val="3"/>
          <w:sz w:val="18"/>
          <w:szCs w:val="18"/>
          <w:bdr w:val="nil"/>
          <w:shd w:val="clear" w:color="auto" w:fill="FFFFFF"/>
          <w:lang w:val="sl-SI" w:eastAsia="en-GB"/>
        </w:rPr>
        <w:t xml:space="preserve">Predlog bo ocenjen z naslednjimi merili: </w:t>
      </w:r>
    </w:p>
    <w:p w14:paraId="7D39935B" w14:textId="77777777" w:rsidR="00E03711" w:rsidRPr="001E051C" w:rsidRDefault="00E03711" w:rsidP="001E051C">
      <w:pPr>
        <w:pStyle w:val="Guide-Normal0"/>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910"/>
      </w:tblGrid>
      <w:tr w:rsidR="00E03711" w:rsidRPr="00C60205" w14:paraId="7D399369" w14:textId="77777777" w:rsidTr="009A2C2A">
        <w:tc>
          <w:tcPr>
            <w:tcW w:w="2376" w:type="dxa"/>
            <w:shd w:val="clear" w:color="auto" w:fill="auto"/>
          </w:tcPr>
          <w:p w14:paraId="7D39935C" w14:textId="77777777" w:rsidR="00E03711" w:rsidRPr="0019773D" w:rsidRDefault="00E03711" w:rsidP="009A2C2A">
            <w:pPr>
              <w:pStyle w:val="texte"/>
              <w:spacing w:before="0"/>
              <w:rPr>
                <w:rFonts w:ascii="Calibri" w:hAnsi="Calibri" w:cs="Tahoma"/>
                <w:b/>
                <w:color w:val="auto"/>
                <w:sz w:val="18"/>
                <w:szCs w:val="18"/>
              </w:rPr>
            </w:pPr>
            <w:r>
              <w:rPr>
                <w:rFonts w:ascii="Calibri" w:eastAsia="Calibri" w:hAnsi="Calibri" w:cs="Calibri"/>
                <w:b/>
                <w:bCs/>
                <w:color w:val="auto"/>
                <w:sz w:val="18"/>
                <w:szCs w:val="18"/>
                <w:bdr w:val="nil"/>
                <w:lang w:val="sl-SI"/>
              </w:rPr>
              <w:t xml:space="preserve">Relevantnost predloga </w:t>
            </w:r>
          </w:p>
          <w:p w14:paraId="7D39935D" w14:textId="77777777" w:rsidR="00E03711" w:rsidRPr="0019773D" w:rsidRDefault="00E03711" w:rsidP="009A2C2A">
            <w:pPr>
              <w:spacing w:after="100"/>
              <w:rPr>
                <w:b/>
                <w:sz w:val="18"/>
                <w:lang w:val="en-GB"/>
              </w:rPr>
            </w:pPr>
            <w:r>
              <w:rPr>
                <w:rFonts w:eastAsia="Calibri" w:cs="Calibri"/>
                <w:b/>
                <w:bCs/>
                <w:sz w:val="18"/>
                <w:szCs w:val="18"/>
                <w:bdr w:val="nil"/>
                <w:lang w:val="sl-SI"/>
              </w:rPr>
              <w:t>(največ 25 točk)</w:t>
            </w:r>
          </w:p>
          <w:p w14:paraId="7D39935E" w14:textId="77777777" w:rsidR="00E03711" w:rsidRPr="0019773D" w:rsidRDefault="00E03711" w:rsidP="009A2C2A">
            <w:pPr>
              <w:pStyle w:val="texte"/>
              <w:spacing w:before="0"/>
              <w:ind w:left="360"/>
              <w:rPr>
                <w:rFonts w:ascii="Calibri" w:hAnsi="Calibri" w:cs="Tahoma"/>
                <w:b/>
                <w:color w:val="auto"/>
                <w:sz w:val="18"/>
                <w:szCs w:val="18"/>
              </w:rPr>
            </w:pPr>
          </w:p>
        </w:tc>
        <w:tc>
          <w:tcPr>
            <w:tcW w:w="6910" w:type="dxa"/>
            <w:shd w:val="clear" w:color="auto" w:fill="auto"/>
          </w:tcPr>
          <w:p w14:paraId="7D39935F" w14:textId="77777777" w:rsidR="00E03711" w:rsidRPr="00605C99" w:rsidRDefault="00E03711" w:rsidP="002D7FF4">
            <w:pPr>
              <w:pStyle w:val="ListParagraph"/>
              <w:numPr>
                <w:ilvl w:val="0"/>
                <w:numId w:val="93"/>
              </w:numPr>
              <w:tabs>
                <w:tab w:val="left" w:pos="3294"/>
              </w:tabs>
              <w:spacing w:after="100" w:line="276" w:lineRule="auto"/>
              <w:ind w:left="317" w:hanging="284"/>
              <w:textAlignment w:val="auto"/>
              <w:rPr>
                <w:sz w:val="18"/>
                <w:szCs w:val="18"/>
                <w:lang w:val="en-GB"/>
              </w:rPr>
            </w:pPr>
            <w:r>
              <w:rPr>
                <w:rFonts w:eastAsia="Calibri" w:cs="Calibri"/>
                <w:sz w:val="18"/>
                <w:szCs w:val="18"/>
                <w:bdr w:val="nil"/>
                <w:lang w:val="sl-SI"/>
              </w:rPr>
              <w:t>Raven ambicije: v kolikšni meri ima predlog namen nasloviti in delovati v smeri dolgoročne vizije ukrepa in njenega potenciala, da preobrazi in izboljša sodelovanje med institucijami (oglejte si poglavje »Kaj so Evropske univerze« zgoraj in zadevni sklepi Evropskega sveta z dne 14. decembra 2017</w:t>
            </w:r>
            <w:r>
              <w:rPr>
                <w:rStyle w:val="FootnoteReference"/>
                <w:sz w:val="18"/>
                <w:szCs w:val="18"/>
                <w:lang w:val="en-GB"/>
              </w:rPr>
              <w:footnoteReference w:id="114"/>
            </w:r>
            <w:r>
              <w:rPr>
                <w:rFonts w:eastAsia="Calibri" w:cs="Calibri"/>
                <w:sz w:val="18"/>
                <w:szCs w:val="18"/>
                <w:bdr w:val="nil"/>
                <w:lang w:val="sl-SI"/>
              </w:rPr>
              <w:t xml:space="preserve">) </w:t>
            </w:r>
          </w:p>
          <w:p w14:paraId="7D399360" w14:textId="77777777" w:rsidR="00E03711" w:rsidRPr="001E051C" w:rsidRDefault="00E03711" w:rsidP="002D7FF4">
            <w:pPr>
              <w:pStyle w:val="ListParagraph"/>
              <w:numPr>
                <w:ilvl w:val="0"/>
                <w:numId w:val="93"/>
              </w:numPr>
              <w:tabs>
                <w:tab w:val="left" w:pos="3294"/>
              </w:tabs>
              <w:spacing w:after="100" w:line="276" w:lineRule="auto"/>
              <w:ind w:left="317" w:hanging="284"/>
              <w:textAlignment w:val="auto"/>
              <w:rPr>
                <w:sz w:val="18"/>
                <w:szCs w:val="18"/>
                <w:lang w:val="sl-SI"/>
              </w:rPr>
            </w:pPr>
            <w:r>
              <w:rPr>
                <w:rFonts w:eastAsia="Calibri" w:cs="Calibri"/>
                <w:sz w:val="18"/>
                <w:szCs w:val="18"/>
                <w:bdr w:val="nil"/>
                <w:lang w:val="sl-SI"/>
              </w:rPr>
              <w:t xml:space="preserve">Relevantnost skupnega dolgoročnega poslanstva koalicije.  Poslanstvo mora biti izrecno potrjeno s strani ustreznih organov odločanja.  </w:t>
            </w:r>
          </w:p>
          <w:p w14:paraId="7D399361" w14:textId="77777777" w:rsidR="00E03711" w:rsidRPr="001E051C" w:rsidRDefault="00E03711" w:rsidP="002D7FF4">
            <w:pPr>
              <w:pStyle w:val="ListParagraph"/>
              <w:numPr>
                <w:ilvl w:val="0"/>
                <w:numId w:val="93"/>
              </w:numPr>
              <w:tabs>
                <w:tab w:val="left" w:pos="3294"/>
              </w:tabs>
              <w:spacing w:after="100" w:line="276" w:lineRule="auto"/>
              <w:ind w:left="317" w:hanging="284"/>
              <w:textAlignment w:val="auto"/>
              <w:rPr>
                <w:sz w:val="18"/>
                <w:szCs w:val="18"/>
                <w:lang w:val="sl-SI"/>
              </w:rPr>
            </w:pPr>
            <w:r>
              <w:rPr>
                <w:rFonts w:eastAsia="Calibri" w:cs="Calibri"/>
                <w:sz w:val="18"/>
                <w:szCs w:val="18"/>
                <w:bdr w:val="nil"/>
                <w:lang w:val="sl-SI"/>
              </w:rPr>
              <w:t>Stopnja prizadevanj in inovativnega pristopa predloga, vključno s tem, v kolikšni meri bo koalicija utrdila in razširila sodelovanje:</w:t>
            </w:r>
          </w:p>
          <w:p w14:paraId="7D399362" w14:textId="77777777" w:rsidR="00E03711" w:rsidRPr="001E051C" w:rsidRDefault="00E03711" w:rsidP="002D7FF4">
            <w:pPr>
              <w:pStyle w:val="ListParagraph"/>
              <w:numPr>
                <w:ilvl w:val="0"/>
                <w:numId w:val="92"/>
              </w:numPr>
              <w:tabs>
                <w:tab w:val="left" w:pos="3435"/>
              </w:tabs>
              <w:spacing w:after="100" w:line="276" w:lineRule="auto"/>
              <w:ind w:left="600" w:hanging="283"/>
              <w:textAlignment w:val="auto"/>
              <w:rPr>
                <w:sz w:val="18"/>
                <w:szCs w:val="18"/>
                <w:lang w:val="sl-SI"/>
              </w:rPr>
            </w:pPr>
            <w:r>
              <w:rPr>
                <w:rFonts w:eastAsia="Calibri" w:cs="Calibri"/>
                <w:sz w:val="18"/>
                <w:szCs w:val="18"/>
                <w:bdr w:val="nil"/>
                <w:lang w:val="sl-SI"/>
              </w:rPr>
              <w:t>pri zagotavljanju izobraževanja, povezovanje, kjer je to mogoče, z raziskavami in inovacijami, v primerjavi s tem, kar so člani koalicije že dosegli.</w:t>
            </w:r>
          </w:p>
          <w:p w14:paraId="7D399363" w14:textId="77777777" w:rsidR="00E03711" w:rsidRPr="0030441A" w:rsidRDefault="00E03711" w:rsidP="002D7FF4">
            <w:pPr>
              <w:pStyle w:val="ListParagraph"/>
              <w:numPr>
                <w:ilvl w:val="0"/>
                <w:numId w:val="92"/>
              </w:numPr>
              <w:tabs>
                <w:tab w:val="left" w:pos="3435"/>
              </w:tabs>
              <w:spacing w:after="100" w:line="276" w:lineRule="auto"/>
              <w:ind w:left="600" w:hanging="283"/>
              <w:textAlignment w:val="auto"/>
              <w:rPr>
                <w:sz w:val="18"/>
                <w:szCs w:val="18"/>
                <w:lang w:val="sl-SI"/>
              </w:rPr>
            </w:pPr>
            <w:r>
              <w:rPr>
                <w:rFonts w:eastAsia="Calibri" w:cs="Calibri"/>
                <w:sz w:val="18"/>
                <w:szCs w:val="18"/>
                <w:bdr w:val="nil"/>
                <w:lang w:val="sl-SI"/>
              </w:rPr>
              <w:t xml:space="preserve">prek inovativnih in novih strukturnih modelov </w:t>
            </w:r>
          </w:p>
          <w:p w14:paraId="7D399364" w14:textId="77777777" w:rsidR="00E03711" w:rsidRPr="0030441A" w:rsidRDefault="00E03711" w:rsidP="002D7FF4">
            <w:pPr>
              <w:pStyle w:val="ListParagraph"/>
              <w:numPr>
                <w:ilvl w:val="0"/>
                <w:numId w:val="94"/>
              </w:numPr>
              <w:tabs>
                <w:tab w:val="left" w:pos="2988"/>
                <w:tab w:val="left" w:pos="3152"/>
              </w:tabs>
              <w:spacing w:after="100" w:line="276" w:lineRule="auto"/>
              <w:ind w:left="317" w:hanging="284"/>
              <w:textAlignment w:val="auto"/>
              <w:rPr>
                <w:sz w:val="18"/>
                <w:szCs w:val="18"/>
                <w:lang w:val="pl-PL"/>
              </w:rPr>
            </w:pPr>
            <w:r>
              <w:rPr>
                <w:rFonts w:eastAsia="Calibri" w:cs="Calibri"/>
                <w:sz w:val="18"/>
                <w:szCs w:val="18"/>
                <w:bdr w:val="nil"/>
                <w:lang w:val="sl-SI"/>
              </w:rPr>
              <w:t xml:space="preserve"> Evropska dodana vrednost. V kolikšni meri:</w:t>
            </w:r>
          </w:p>
          <w:p w14:paraId="7D399365" w14:textId="77777777" w:rsidR="00E03711" w:rsidRPr="00860232" w:rsidRDefault="00E03711" w:rsidP="002D7FF4">
            <w:pPr>
              <w:pStyle w:val="ListParagraph"/>
              <w:numPr>
                <w:ilvl w:val="0"/>
                <w:numId w:val="92"/>
              </w:numPr>
              <w:tabs>
                <w:tab w:val="left" w:pos="3435"/>
              </w:tabs>
              <w:spacing w:after="100" w:line="276" w:lineRule="auto"/>
              <w:ind w:left="600" w:hanging="283"/>
              <w:textAlignment w:val="auto"/>
              <w:rPr>
                <w:sz w:val="18"/>
                <w:szCs w:val="18"/>
                <w:lang w:val="pl-PL"/>
              </w:rPr>
            </w:pPr>
            <w:r>
              <w:rPr>
                <w:sz w:val="18"/>
                <w:szCs w:val="18"/>
                <w:lang w:val="pl-PL"/>
              </w:rPr>
              <w:t>predlog prispeva k razvoju evropskega izobraževalnega prostora,</w:t>
            </w:r>
          </w:p>
          <w:p w14:paraId="7D399366" w14:textId="77777777" w:rsidR="00E03711" w:rsidRPr="0030441A" w:rsidRDefault="00E03711" w:rsidP="002D7FF4">
            <w:pPr>
              <w:pStyle w:val="ListParagraph"/>
              <w:numPr>
                <w:ilvl w:val="0"/>
                <w:numId w:val="92"/>
              </w:numPr>
              <w:tabs>
                <w:tab w:val="left" w:pos="3435"/>
              </w:tabs>
              <w:spacing w:after="100" w:line="276" w:lineRule="auto"/>
              <w:ind w:left="600" w:hanging="283"/>
              <w:textAlignment w:val="auto"/>
              <w:rPr>
                <w:sz w:val="18"/>
                <w:szCs w:val="18"/>
                <w:lang w:val="pl-PL"/>
              </w:rPr>
            </w:pPr>
            <w:r>
              <w:rPr>
                <w:rFonts w:eastAsia="Calibri" w:cs="Calibri"/>
                <w:sz w:val="18"/>
                <w:szCs w:val="18"/>
                <w:bdr w:val="nil"/>
                <w:lang w:val="sl-SI"/>
              </w:rPr>
              <w:t xml:space="preserve">predlog izkazuje dodano vrednost, ki je pridobljena prek mednarodnega (nadnacionalnega) pristopa, še posebej za študente; </w:t>
            </w:r>
          </w:p>
          <w:p w14:paraId="7D399367" w14:textId="77777777" w:rsidR="00E03711" w:rsidRPr="0030441A" w:rsidRDefault="00E03711" w:rsidP="002D7FF4">
            <w:pPr>
              <w:pStyle w:val="ListParagraph"/>
              <w:numPr>
                <w:ilvl w:val="0"/>
                <w:numId w:val="92"/>
              </w:numPr>
              <w:tabs>
                <w:tab w:val="left" w:pos="3435"/>
              </w:tabs>
              <w:spacing w:after="100" w:line="276" w:lineRule="auto"/>
              <w:ind w:left="600" w:hanging="283"/>
              <w:textAlignment w:val="auto"/>
              <w:rPr>
                <w:sz w:val="18"/>
                <w:szCs w:val="18"/>
                <w:lang w:val="pl-PL"/>
              </w:rPr>
            </w:pPr>
            <w:r>
              <w:rPr>
                <w:rFonts w:eastAsia="Calibri" w:cs="Calibri"/>
                <w:sz w:val="18"/>
                <w:szCs w:val="18"/>
                <w:bdr w:val="nil"/>
                <w:lang w:val="sl-SI"/>
              </w:rPr>
              <w:t>predlog izkazuje prispevek k regionalnemu razvoju, na primer prek vključitve članov koalicije v razvoj in uvajanje strategij pametne specializacije</w:t>
            </w:r>
          </w:p>
          <w:p w14:paraId="7D399368" w14:textId="77777777" w:rsidR="00E03711" w:rsidRPr="0030441A" w:rsidRDefault="00E03711" w:rsidP="002D7FF4">
            <w:pPr>
              <w:pStyle w:val="ListParagraph"/>
              <w:numPr>
                <w:ilvl w:val="0"/>
                <w:numId w:val="92"/>
              </w:numPr>
              <w:tabs>
                <w:tab w:val="left" w:pos="3435"/>
              </w:tabs>
              <w:spacing w:after="100" w:line="276" w:lineRule="auto"/>
              <w:ind w:left="600" w:hanging="283"/>
              <w:textAlignment w:val="auto"/>
              <w:rPr>
                <w:sz w:val="18"/>
                <w:szCs w:val="18"/>
                <w:lang w:val="pl-PL"/>
              </w:rPr>
            </w:pPr>
            <w:r>
              <w:rPr>
                <w:rFonts w:eastAsia="Calibri" w:cs="Calibri"/>
                <w:sz w:val="18"/>
                <w:szCs w:val="18"/>
                <w:bdr w:val="nil"/>
                <w:lang w:val="sl-SI"/>
              </w:rPr>
              <w:t xml:space="preserve">zveza bo koristila drugim visokošolskim izobraževalnim ustanovam, v glavnem v Evropski uniji, pa tudi širše, s spodbujanjem odličnosti. </w:t>
            </w:r>
          </w:p>
        </w:tc>
      </w:tr>
      <w:tr w:rsidR="00E03711" w:rsidRPr="00C60205" w14:paraId="7D39936D" w14:textId="77777777" w:rsidTr="009A2C2A">
        <w:tc>
          <w:tcPr>
            <w:tcW w:w="2376" w:type="dxa"/>
            <w:shd w:val="clear" w:color="auto" w:fill="auto"/>
          </w:tcPr>
          <w:p w14:paraId="7D39936A" w14:textId="77777777" w:rsidR="00E03711" w:rsidRPr="0019773D" w:rsidRDefault="00E03711" w:rsidP="009A2C2A">
            <w:pPr>
              <w:pStyle w:val="texte"/>
              <w:keepLines/>
              <w:spacing w:before="0"/>
              <w:rPr>
                <w:rFonts w:ascii="Calibri" w:hAnsi="Calibri" w:cs="Tahoma"/>
                <w:b/>
                <w:color w:val="auto"/>
                <w:sz w:val="18"/>
                <w:szCs w:val="18"/>
              </w:rPr>
            </w:pPr>
            <w:r>
              <w:rPr>
                <w:rFonts w:ascii="Calibri" w:eastAsia="Calibri" w:hAnsi="Calibri" w:cs="Calibri"/>
                <w:b/>
                <w:bCs/>
                <w:color w:val="auto"/>
                <w:sz w:val="18"/>
                <w:szCs w:val="18"/>
                <w:bdr w:val="nil"/>
                <w:lang w:val="sl-SI"/>
              </w:rPr>
              <w:t>Geografska uravnoteženost (največ 15 točk)</w:t>
            </w:r>
          </w:p>
        </w:tc>
        <w:tc>
          <w:tcPr>
            <w:tcW w:w="6910" w:type="dxa"/>
            <w:shd w:val="clear" w:color="auto" w:fill="auto"/>
          </w:tcPr>
          <w:p w14:paraId="7D39936B" w14:textId="77777777" w:rsidR="00E03711" w:rsidRPr="00605C99" w:rsidRDefault="00E03711" w:rsidP="002D7FF4">
            <w:pPr>
              <w:pStyle w:val="ListParagraph"/>
              <w:numPr>
                <w:ilvl w:val="0"/>
                <w:numId w:val="97"/>
              </w:numPr>
              <w:tabs>
                <w:tab w:val="left" w:pos="3294"/>
              </w:tabs>
              <w:spacing w:after="100" w:line="276" w:lineRule="auto"/>
              <w:textAlignment w:val="auto"/>
              <w:rPr>
                <w:sz w:val="18"/>
                <w:szCs w:val="18"/>
                <w:lang w:val="en-GB"/>
              </w:rPr>
            </w:pPr>
            <w:r>
              <w:rPr>
                <w:rFonts w:eastAsia="Calibri" w:cs="Calibri"/>
                <w:sz w:val="18"/>
                <w:szCs w:val="18"/>
                <w:bdr w:val="nil"/>
                <w:lang w:val="sl-SI"/>
              </w:rPr>
              <w:t>V kolikšni meri koalicija vključuje večje število visokošolskih institucij iz različnih geografskih območij</w:t>
            </w:r>
            <w:r>
              <w:rPr>
                <w:rFonts w:asciiTheme="minorHAnsi" w:hAnsiTheme="minorHAnsi" w:cstheme="minorHAnsi"/>
                <w:sz w:val="18"/>
                <w:szCs w:val="18"/>
                <w:vertAlign w:val="superscript"/>
              </w:rPr>
              <w:footnoteReference w:id="115"/>
            </w:r>
            <w:r>
              <w:rPr>
                <w:rFonts w:eastAsia="Calibri" w:cs="Calibri"/>
                <w:sz w:val="18"/>
                <w:szCs w:val="18"/>
                <w:bdr w:val="nil"/>
                <w:lang w:val="sl-SI"/>
              </w:rPr>
              <w:t xml:space="preserve"> kot polnopravne partnerje in zagotavlja široko geografsko pokritost v skladu s sklepi Evropskega sveta</w:t>
            </w:r>
            <w:r>
              <w:rPr>
                <w:rStyle w:val="FootnoteReference"/>
                <w:sz w:val="18"/>
                <w:szCs w:val="18"/>
                <w:lang w:val="en-GB"/>
              </w:rPr>
              <w:footnoteReference w:id="116"/>
            </w:r>
            <w:r>
              <w:rPr>
                <w:rFonts w:eastAsia="Calibri" w:cs="Calibri"/>
                <w:sz w:val="18"/>
                <w:szCs w:val="18"/>
                <w:bdr w:val="nil"/>
                <w:lang w:val="sl-SI"/>
              </w:rPr>
              <w:t xml:space="preserve">. </w:t>
            </w:r>
          </w:p>
          <w:p w14:paraId="7D39936C" w14:textId="77777777" w:rsidR="00E03711" w:rsidRPr="00605C99" w:rsidRDefault="00E03711" w:rsidP="002D7FF4">
            <w:pPr>
              <w:pStyle w:val="ListParagraph"/>
              <w:numPr>
                <w:ilvl w:val="0"/>
                <w:numId w:val="97"/>
              </w:numPr>
              <w:tabs>
                <w:tab w:val="left" w:pos="3294"/>
              </w:tabs>
              <w:spacing w:after="100" w:line="276" w:lineRule="auto"/>
              <w:textAlignment w:val="auto"/>
              <w:rPr>
                <w:sz w:val="18"/>
                <w:szCs w:val="18"/>
                <w:lang w:val="en-GB"/>
              </w:rPr>
            </w:pPr>
            <w:r>
              <w:rPr>
                <w:rFonts w:eastAsia="Calibri" w:cs="Calibri"/>
                <w:sz w:val="18"/>
                <w:szCs w:val="18"/>
                <w:bdr w:val="nil"/>
                <w:lang w:val="sl-SI"/>
              </w:rPr>
              <w:t>V kolikšni meri si je prijavitelj prizadeval za geografsko sestavo koalicije in kako se nanaša na doseganje ciljev Evropskih univerz in evropskega izobraževalnega prostora.</w:t>
            </w:r>
          </w:p>
        </w:tc>
      </w:tr>
      <w:tr w:rsidR="00E03711" w:rsidRPr="00C60205" w14:paraId="7D39937B" w14:textId="77777777" w:rsidTr="009A2C2A">
        <w:tc>
          <w:tcPr>
            <w:tcW w:w="2376" w:type="dxa"/>
            <w:shd w:val="clear" w:color="auto" w:fill="auto"/>
          </w:tcPr>
          <w:p w14:paraId="7D39936E" w14:textId="77777777" w:rsidR="00E03711" w:rsidRPr="00C80136" w:rsidRDefault="00E03711" w:rsidP="009A2C2A">
            <w:pPr>
              <w:pStyle w:val="texte"/>
              <w:keepLines/>
              <w:spacing w:before="0"/>
              <w:rPr>
                <w:rFonts w:ascii="Calibri" w:hAnsi="Calibri" w:cs="Tahoma"/>
                <w:b/>
                <w:color w:val="auto"/>
                <w:sz w:val="18"/>
                <w:szCs w:val="18"/>
              </w:rPr>
            </w:pPr>
            <w:r>
              <w:rPr>
                <w:rFonts w:ascii="Calibri" w:eastAsia="Calibri" w:hAnsi="Calibri" w:cs="Calibri"/>
                <w:b/>
                <w:bCs/>
                <w:color w:val="auto"/>
                <w:sz w:val="18"/>
                <w:szCs w:val="18"/>
                <w:bdr w:val="nil"/>
                <w:lang w:val="sl-SI"/>
              </w:rPr>
              <w:t xml:space="preserve">Kakovost zasnove in izvedbe predloga </w:t>
            </w:r>
            <w:r>
              <w:rPr>
                <w:rFonts w:ascii="Calibri" w:eastAsia="Calibri" w:hAnsi="Calibri" w:cs="Calibri"/>
                <w:b/>
                <w:bCs/>
                <w:color w:val="auto"/>
                <w:sz w:val="18"/>
                <w:szCs w:val="18"/>
                <w:bdr w:val="nil"/>
                <w:lang w:val="sl-SI"/>
              </w:rPr>
              <w:br/>
              <w:t>(največ 20 točk)</w:t>
            </w:r>
          </w:p>
          <w:p w14:paraId="7D39936F" w14:textId="77777777" w:rsidR="00E03711" w:rsidRPr="00C80136" w:rsidRDefault="00E03711" w:rsidP="009A2C2A">
            <w:pPr>
              <w:pStyle w:val="texte"/>
              <w:spacing w:before="0"/>
              <w:rPr>
                <w:rFonts w:ascii="Calibri" w:hAnsi="Calibri" w:cs="Tahoma"/>
                <w:b/>
                <w:color w:val="auto"/>
                <w:sz w:val="18"/>
                <w:szCs w:val="18"/>
              </w:rPr>
            </w:pPr>
          </w:p>
        </w:tc>
        <w:tc>
          <w:tcPr>
            <w:tcW w:w="6910" w:type="dxa"/>
            <w:shd w:val="clear" w:color="auto" w:fill="auto"/>
          </w:tcPr>
          <w:p w14:paraId="7D399370" w14:textId="77777777" w:rsidR="00E03711" w:rsidRPr="00C80136" w:rsidRDefault="00E03711" w:rsidP="002D7FF4">
            <w:pPr>
              <w:pStyle w:val="ListParagraph"/>
              <w:numPr>
                <w:ilvl w:val="0"/>
                <w:numId w:val="93"/>
              </w:numPr>
              <w:tabs>
                <w:tab w:val="left" w:pos="3294"/>
              </w:tabs>
              <w:spacing w:after="100" w:line="276" w:lineRule="auto"/>
              <w:ind w:left="317" w:hanging="284"/>
              <w:textAlignment w:val="auto"/>
              <w:rPr>
                <w:sz w:val="18"/>
                <w:szCs w:val="18"/>
                <w:lang w:val="en-GB"/>
              </w:rPr>
            </w:pPr>
            <w:r>
              <w:rPr>
                <w:rFonts w:eastAsia="Calibri" w:cs="Calibri"/>
                <w:sz w:val="18"/>
                <w:szCs w:val="18"/>
                <w:bdr w:val="nil"/>
                <w:lang w:val="sl-SI"/>
              </w:rPr>
              <w:t>Skladnost med skupno dolgoročno strategijo in načrtovanimi skupnimi strukturami ter skupnimi aktivnostmi za dosego teh ciljev</w:t>
            </w:r>
          </w:p>
          <w:p w14:paraId="7D399371" w14:textId="77777777" w:rsidR="00E03711" w:rsidRPr="00C80136" w:rsidRDefault="00E03711" w:rsidP="002D7FF4">
            <w:pPr>
              <w:pStyle w:val="ListParagraph"/>
              <w:numPr>
                <w:ilvl w:val="0"/>
                <w:numId w:val="93"/>
              </w:numPr>
              <w:tabs>
                <w:tab w:val="left" w:pos="3294"/>
              </w:tabs>
              <w:spacing w:after="100" w:line="276" w:lineRule="auto"/>
              <w:ind w:left="317" w:hanging="284"/>
              <w:textAlignment w:val="auto"/>
              <w:rPr>
                <w:sz w:val="18"/>
                <w:szCs w:val="18"/>
                <w:lang w:val="en-GB"/>
              </w:rPr>
            </w:pPr>
            <w:r>
              <w:rPr>
                <w:rFonts w:eastAsia="Calibri" w:cs="Calibri"/>
                <w:sz w:val="18"/>
                <w:szCs w:val="18"/>
                <w:bdr w:val="nil"/>
                <w:lang w:val="sl-SI"/>
              </w:rPr>
              <w:t>Zavezanost k delovanju naproti ciljem politike v evropskem izobraževalnem prostoru</w:t>
            </w:r>
          </w:p>
          <w:p w14:paraId="7D399372" w14:textId="77777777" w:rsidR="00E03711" w:rsidRPr="00C80136" w:rsidRDefault="00E03711" w:rsidP="002D7FF4">
            <w:pPr>
              <w:pStyle w:val="ListParagraph"/>
              <w:numPr>
                <w:ilvl w:val="0"/>
                <w:numId w:val="93"/>
              </w:numPr>
              <w:tabs>
                <w:tab w:val="left" w:pos="3294"/>
              </w:tabs>
              <w:spacing w:after="100" w:line="276" w:lineRule="auto"/>
              <w:ind w:left="317" w:hanging="284"/>
              <w:textAlignment w:val="auto"/>
              <w:rPr>
                <w:sz w:val="18"/>
                <w:szCs w:val="18"/>
                <w:lang w:val="en-GB"/>
              </w:rPr>
            </w:pPr>
            <w:r>
              <w:rPr>
                <w:rFonts w:eastAsia="Calibri" w:cs="Calibri"/>
                <w:sz w:val="18"/>
                <w:szCs w:val="18"/>
                <w:bdr w:val="nil"/>
                <w:lang w:val="sl-SI"/>
              </w:rPr>
              <w:t>V kolikšni meri predlog izkazuje, kako je razvoj skupne strategije skladen s stopnjo prizadevanj Evropskih univerz in kako bodo skupne aktivnosti učinkovito prispevale k utrjevanju in krepitvi:</w:t>
            </w:r>
          </w:p>
          <w:p w14:paraId="7D399373" w14:textId="77777777" w:rsidR="00E03711" w:rsidRPr="00C80136" w:rsidRDefault="00E03711" w:rsidP="002D7FF4">
            <w:pPr>
              <w:pStyle w:val="ListParagraph"/>
              <w:numPr>
                <w:ilvl w:val="0"/>
                <w:numId w:val="95"/>
              </w:numPr>
              <w:tabs>
                <w:tab w:val="left" w:pos="3294"/>
              </w:tabs>
              <w:spacing w:after="100" w:line="276" w:lineRule="auto"/>
              <w:textAlignment w:val="auto"/>
              <w:rPr>
                <w:sz w:val="18"/>
                <w:szCs w:val="18"/>
                <w:lang w:val="en-GB"/>
              </w:rPr>
            </w:pPr>
            <w:r>
              <w:rPr>
                <w:rFonts w:eastAsia="Calibri" w:cs="Calibri"/>
                <w:sz w:val="18"/>
                <w:szCs w:val="18"/>
                <w:bdr w:val="nil"/>
                <w:lang w:val="sl-SI"/>
              </w:rPr>
              <w:t xml:space="preserve">Visokokakovostnega izobraževanja, vključno z inovativnimi pedagoškimi modeli za razvoj naprednih veščin in kompetenc, pri čemer se kar najbolje izkoristijo digitalne tehnologije, kombinirano učenje in izobraževanje na delovnem mestu </w:t>
            </w:r>
          </w:p>
          <w:p w14:paraId="7D399374" w14:textId="77777777" w:rsidR="00E03711" w:rsidRPr="002C560E" w:rsidRDefault="00E03711" w:rsidP="002D7FF4">
            <w:pPr>
              <w:pStyle w:val="ListParagraph"/>
              <w:numPr>
                <w:ilvl w:val="0"/>
                <w:numId w:val="95"/>
              </w:numPr>
              <w:tabs>
                <w:tab w:val="left" w:pos="3294"/>
              </w:tabs>
              <w:spacing w:after="100" w:line="276" w:lineRule="auto"/>
              <w:textAlignment w:val="auto"/>
              <w:rPr>
                <w:sz w:val="18"/>
                <w:szCs w:val="18"/>
                <w:lang w:val="it-IT"/>
              </w:rPr>
            </w:pPr>
            <w:r>
              <w:rPr>
                <w:rFonts w:eastAsia="Calibri" w:cs="Calibri"/>
                <w:sz w:val="18"/>
                <w:szCs w:val="18"/>
                <w:bdr w:val="nil"/>
                <w:lang w:val="sl-SI"/>
              </w:rPr>
              <w:t>Stopnja mobilnosti študentov, osebja in raziskovalcev</w:t>
            </w:r>
          </w:p>
          <w:p w14:paraId="7D399375" w14:textId="77777777" w:rsidR="00E03711" w:rsidRPr="002C560E" w:rsidRDefault="00E03711" w:rsidP="002D7FF4">
            <w:pPr>
              <w:pStyle w:val="ListParagraph"/>
              <w:numPr>
                <w:ilvl w:val="0"/>
                <w:numId w:val="95"/>
              </w:numPr>
              <w:tabs>
                <w:tab w:val="left" w:pos="3294"/>
              </w:tabs>
              <w:spacing w:after="100" w:line="276" w:lineRule="auto"/>
              <w:textAlignment w:val="auto"/>
              <w:rPr>
                <w:sz w:val="18"/>
                <w:szCs w:val="18"/>
                <w:lang w:val="it-IT"/>
              </w:rPr>
            </w:pPr>
            <w:r>
              <w:rPr>
                <w:rFonts w:eastAsia="Calibri" w:cs="Calibri"/>
                <w:sz w:val="18"/>
                <w:szCs w:val="18"/>
                <w:bdr w:val="nil"/>
                <w:lang w:val="sl-SI"/>
              </w:rPr>
              <w:t>Kjer je to mogoče, povezovanje med izobraževanjem in raziskavami in inovacijami, vključno z uporabo raziskovalnih rezultatov in inovacij za izobraževanje</w:t>
            </w:r>
          </w:p>
          <w:p w14:paraId="7D399376" w14:textId="77777777" w:rsidR="00E03711" w:rsidRPr="002C560E" w:rsidRDefault="00E03711" w:rsidP="002D7FF4">
            <w:pPr>
              <w:pStyle w:val="ListParagraph"/>
              <w:numPr>
                <w:ilvl w:val="0"/>
                <w:numId w:val="95"/>
              </w:numPr>
              <w:tabs>
                <w:tab w:val="left" w:pos="3294"/>
              </w:tabs>
              <w:spacing w:after="100" w:line="276" w:lineRule="auto"/>
              <w:textAlignment w:val="auto"/>
              <w:rPr>
                <w:sz w:val="18"/>
                <w:szCs w:val="18"/>
                <w:lang w:val="it-IT"/>
              </w:rPr>
            </w:pPr>
            <w:r>
              <w:rPr>
                <w:rFonts w:eastAsia="Calibri" w:cs="Calibri"/>
                <w:sz w:val="18"/>
                <w:szCs w:val="18"/>
                <w:bdr w:val="nil"/>
                <w:lang w:val="sl-SI"/>
              </w:rPr>
              <w:t>Stopnja vključitve ključnih deležnikov pri krepitvi družbenega angažiranja študentov in osebja ter njihovih ključnih podjetniških kompetenc.</w:t>
            </w:r>
          </w:p>
          <w:p w14:paraId="7D399377" w14:textId="77777777" w:rsidR="00381E74" w:rsidRPr="00381E74" w:rsidRDefault="00E03711" w:rsidP="00381E74">
            <w:pPr>
              <w:pStyle w:val="ListParagraph"/>
              <w:numPr>
                <w:ilvl w:val="0"/>
                <w:numId w:val="95"/>
              </w:numPr>
              <w:tabs>
                <w:tab w:val="left" w:pos="3294"/>
              </w:tabs>
              <w:spacing w:after="100" w:line="276" w:lineRule="auto"/>
              <w:textAlignment w:val="auto"/>
              <w:rPr>
                <w:sz w:val="18"/>
                <w:szCs w:val="18"/>
                <w:lang w:val="en-GB"/>
              </w:rPr>
            </w:pPr>
            <w:r>
              <w:rPr>
                <w:rFonts w:eastAsia="Calibri" w:cs="Calibri"/>
                <w:sz w:val="18"/>
                <w:szCs w:val="18"/>
                <w:bdr w:val="nil"/>
                <w:lang w:val="sl-SI"/>
              </w:rPr>
              <w:t xml:space="preserve">Vključevanje lokalne skupnosti </w:t>
            </w:r>
          </w:p>
          <w:p w14:paraId="7D399378" w14:textId="77777777" w:rsidR="00E03711" w:rsidRPr="00381E74" w:rsidRDefault="00E03711" w:rsidP="00381E74">
            <w:pPr>
              <w:pStyle w:val="ListParagraph"/>
              <w:numPr>
                <w:ilvl w:val="0"/>
                <w:numId w:val="95"/>
              </w:numPr>
              <w:tabs>
                <w:tab w:val="left" w:pos="3294"/>
              </w:tabs>
              <w:spacing w:after="100" w:line="276" w:lineRule="auto"/>
              <w:textAlignment w:val="auto"/>
              <w:rPr>
                <w:sz w:val="18"/>
                <w:szCs w:val="18"/>
                <w:lang w:val="sl-SI"/>
              </w:rPr>
            </w:pPr>
            <w:r w:rsidRPr="00381E74">
              <w:rPr>
                <w:rFonts w:eastAsia="Calibri" w:cs="Calibri"/>
                <w:sz w:val="18"/>
                <w:szCs w:val="18"/>
                <w:bdr w:val="nil"/>
                <w:lang w:val="sl-SI"/>
              </w:rPr>
              <w:t>Družbena raznolikost sestave študentov in podporni ukrepi za spodbujanje dostopa, sodelovanja in izpolnjevanja kvot za manj zastopane in depriviligirane skupine</w:t>
            </w:r>
          </w:p>
          <w:p w14:paraId="7D399379" w14:textId="77777777" w:rsidR="00E03711" w:rsidRPr="004E4C36" w:rsidRDefault="00E03711" w:rsidP="002D7FF4">
            <w:pPr>
              <w:pStyle w:val="ListParagraph"/>
              <w:numPr>
                <w:ilvl w:val="0"/>
                <w:numId w:val="93"/>
              </w:numPr>
              <w:tabs>
                <w:tab w:val="left" w:pos="3294"/>
              </w:tabs>
              <w:spacing w:after="100" w:line="276" w:lineRule="auto"/>
              <w:ind w:left="317" w:hanging="284"/>
              <w:textAlignment w:val="auto"/>
              <w:rPr>
                <w:sz w:val="18"/>
                <w:szCs w:val="18"/>
                <w:lang w:val="sl-SI"/>
              </w:rPr>
            </w:pPr>
            <w:r>
              <w:rPr>
                <w:rFonts w:eastAsia="Calibri" w:cs="Calibri"/>
                <w:sz w:val="18"/>
                <w:szCs w:val="18"/>
                <w:bdr w:val="nil"/>
                <w:lang w:val="sl-SI"/>
              </w:rPr>
              <w:t xml:space="preserve">Delovni program in zemljevid je jasen, definiran in izvedljiv. Opisuje pričakovani napredek, rezultate in izide za vsako fazo, povezano s konkretnimi aktivnostmi in dejanji, ki prispevajo k realiziranju skupne dolgoročne strategije. </w:t>
            </w:r>
          </w:p>
          <w:p w14:paraId="7D39937A" w14:textId="77777777" w:rsidR="00E03711" w:rsidRPr="001E051C" w:rsidRDefault="00E03711" w:rsidP="002D7FF4">
            <w:pPr>
              <w:pStyle w:val="ListParagraph"/>
              <w:numPr>
                <w:ilvl w:val="0"/>
                <w:numId w:val="93"/>
              </w:numPr>
              <w:tabs>
                <w:tab w:val="left" w:pos="3294"/>
              </w:tabs>
              <w:spacing w:after="100" w:line="276" w:lineRule="auto"/>
              <w:ind w:left="317" w:hanging="284"/>
              <w:textAlignment w:val="auto"/>
              <w:rPr>
                <w:sz w:val="18"/>
                <w:szCs w:val="18"/>
                <w:lang w:val="sl-SI"/>
              </w:rPr>
            </w:pPr>
            <w:r>
              <w:rPr>
                <w:rFonts w:eastAsia="Calibri" w:cs="Calibri"/>
                <w:sz w:val="18"/>
                <w:szCs w:val="18"/>
                <w:bdr w:val="nil"/>
                <w:lang w:val="sl-SI"/>
              </w:rPr>
              <w:t>Ocena kakovosti in finančna ureditev: koalicija je pripravila oceno in revizijo kakovosti, ki vključuje specifične ukrepe za oceno napredka, postopkov in izsledkov (na primer prek razvoja trajnih kvantitativnih in kvalitativnih kazalnikov, vključno s povratnimi informacijami s strani študentov in osebja). Spremljanje kakovosti bi moralo zagotoviti, da je izvajanje koalicije stroškovno učinkovito.</w:t>
            </w:r>
          </w:p>
        </w:tc>
      </w:tr>
      <w:tr w:rsidR="00E03711" w14:paraId="7D399383" w14:textId="77777777" w:rsidTr="009A2C2A">
        <w:tc>
          <w:tcPr>
            <w:tcW w:w="2376" w:type="dxa"/>
            <w:shd w:val="clear" w:color="auto" w:fill="auto"/>
          </w:tcPr>
          <w:p w14:paraId="7D39937C" w14:textId="77777777" w:rsidR="00E03711" w:rsidRPr="001E051C" w:rsidRDefault="00E03711" w:rsidP="009A2C2A">
            <w:pPr>
              <w:pStyle w:val="texte"/>
              <w:spacing w:before="0"/>
              <w:rPr>
                <w:rFonts w:ascii="Calibri" w:hAnsi="Calibri" w:cs="Tahoma"/>
                <w:b/>
                <w:color w:val="auto"/>
                <w:sz w:val="18"/>
                <w:szCs w:val="18"/>
                <w:lang w:val="sl-SI"/>
              </w:rPr>
            </w:pPr>
            <w:r>
              <w:rPr>
                <w:rFonts w:ascii="Calibri" w:eastAsia="Calibri" w:hAnsi="Calibri" w:cs="Calibri"/>
                <w:b/>
                <w:bCs/>
                <w:color w:val="auto"/>
                <w:sz w:val="18"/>
                <w:szCs w:val="18"/>
                <w:bdr w:val="nil"/>
                <w:lang w:val="sl-SI"/>
              </w:rPr>
              <w:t xml:space="preserve">Kakovost dogovorov o sodelovanju v okviru koalicije </w:t>
            </w:r>
          </w:p>
          <w:p w14:paraId="7D39937D" w14:textId="77777777" w:rsidR="00E03711" w:rsidRPr="0019773D" w:rsidRDefault="00E03711" w:rsidP="009A2C2A">
            <w:pPr>
              <w:spacing w:after="100"/>
            </w:pPr>
            <w:r>
              <w:rPr>
                <w:rFonts w:eastAsia="Calibri" w:cs="Calibri"/>
                <w:b/>
                <w:bCs/>
                <w:sz w:val="18"/>
                <w:szCs w:val="18"/>
                <w:bdr w:val="nil"/>
                <w:lang w:val="sl-SI"/>
              </w:rPr>
              <w:t>(največ 20 točk)</w:t>
            </w:r>
          </w:p>
        </w:tc>
        <w:tc>
          <w:tcPr>
            <w:tcW w:w="6910" w:type="dxa"/>
            <w:shd w:val="clear" w:color="auto" w:fill="auto"/>
          </w:tcPr>
          <w:p w14:paraId="7D39937E" w14:textId="77777777" w:rsidR="00E03711" w:rsidRPr="001E051C" w:rsidRDefault="00E03711" w:rsidP="002D7FF4">
            <w:pPr>
              <w:pStyle w:val="ListParagraph"/>
              <w:numPr>
                <w:ilvl w:val="0"/>
                <w:numId w:val="93"/>
              </w:numPr>
              <w:tabs>
                <w:tab w:val="left" w:pos="3294"/>
              </w:tabs>
              <w:spacing w:after="100" w:line="276" w:lineRule="auto"/>
              <w:ind w:left="317" w:hanging="284"/>
              <w:textAlignment w:val="auto"/>
              <w:rPr>
                <w:sz w:val="18"/>
                <w:szCs w:val="18"/>
              </w:rPr>
            </w:pPr>
            <w:r>
              <w:rPr>
                <w:rFonts w:eastAsia="Calibri" w:cs="Calibri"/>
                <w:sz w:val="18"/>
                <w:szCs w:val="18"/>
                <w:bdr w:val="nil"/>
                <w:lang w:val="sl-SI"/>
              </w:rPr>
              <w:t xml:space="preserve">Struktura dogovora: porazdelitev odgovornosti in nalog je jasna in primerna ter izkazuje finančno, strukturno in organizacijsko predanost na najvišjem institucionalnem nivoju, pri čemer dobi celotno osebje priložnost, da sooblikuje koalicijo, tako prek izvajanja izobraževanja kot, kjer je to mogoče, raziskav in razvoja, ter na strukturnem organizacijskem nivoju prek skupnih upravnih struktur, skupnega zagotavljanja storitev, baz podatkov, človeških virov in znanstvene infrastrukture. </w:t>
            </w:r>
          </w:p>
          <w:p w14:paraId="7D39937F" w14:textId="77777777" w:rsidR="00E03711" w:rsidRPr="001E051C" w:rsidRDefault="00E03711" w:rsidP="002D7FF4">
            <w:pPr>
              <w:pStyle w:val="ListParagraph"/>
              <w:numPr>
                <w:ilvl w:val="0"/>
                <w:numId w:val="93"/>
              </w:numPr>
              <w:tabs>
                <w:tab w:val="left" w:pos="3294"/>
              </w:tabs>
              <w:spacing w:after="100" w:line="276" w:lineRule="auto"/>
              <w:ind w:left="317" w:hanging="284"/>
              <w:textAlignment w:val="auto"/>
              <w:rPr>
                <w:sz w:val="18"/>
                <w:szCs w:val="18"/>
              </w:rPr>
            </w:pPr>
            <w:r>
              <w:rPr>
                <w:rFonts w:eastAsia="Calibri" w:cs="Calibri"/>
                <w:sz w:val="18"/>
                <w:szCs w:val="18"/>
                <w:bdr w:val="nil"/>
                <w:lang w:val="sl-SI"/>
              </w:rPr>
              <w:t>Vloge in odgovornosti: jasno je izkazana kapaciteta in aktivna vloga vsakega člana koalicije pri zagotavljanju skupne vizije, strategije in skupnih aktivnosti.</w:t>
            </w:r>
          </w:p>
          <w:p w14:paraId="7D399380" w14:textId="77777777" w:rsidR="00E03711" w:rsidRPr="001E051C" w:rsidRDefault="00E03711" w:rsidP="002D7FF4">
            <w:pPr>
              <w:pStyle w:val="ListParagraph"/>
              <w:numPr>
                <w:ilvl w:val="0"/>
                <w:numId w:val="93"/>
              </w:numPr>
              <w:tabs>
                <w:tab w:val="left" w:pos="3294"/>
              </w:tabs>
              <w:spacing w:after="100" w:line="276" w:lineRule="auto"/>
              <w:ind w:left="317" w:hanging="284"/>
              <w:textAlignment w:val="auto"/>
              <w:rPr>
                <w:sz w:val="18"/>
                <w:szCs w:val="18"/>
              </w:rPr>
            </w:pPr>
            <w:r>
              <w:rPr>
                <w:rFonts w:eastAsia="Calibri" w:cs="Calibri"/>
                <w:sz w:val="18"/>
                <w:szCs w:val="18"/>
                <w:bdr w:val="nil"/>
                <w:lang w:val="sl-SI"/>
              </w:rPr>
              <w:t xml:space="preserve">Dopolnilno: v kolikšni meri se partnerji dopolnjujejo, vključno kar zadeva raznolikost vrst visokošolskih institucij, ali pokažejo medsebojno sodelovanje za doseganje dodane vrednosti in stroškovne učinkovitosti.  </w:t>
            </w:r>
          </w:p>
          <w:p w14:paraId="7D399381" w14:textId="77777777" w:rsidR="00E03711" w:rsidRPr="001E051C" w:rsidRDefault="00E03711" w:rsidP="002D7FF4">
            <w:pPr>
              <w:pStyle w:val="ListParagraph"/>
              <w:numPr>
                <w:ilvl w:val="0"/>
                <w:numId w:val="93"/>
              </w:numPr>
              <w:tabs>
                <w:tab w:val="left" w:pos="3294"/>
              </w:tabs>
              <w:spacing w:after="100" w:line="276" w:lineRule="auto"/>
              <w:ind w:left="317" w:hanging="284"/>
              <w:textAlignment w:val="auto"/>
              <w:rPr>
                <w:sz w:val="18"/>
                <w:szCs w:val="18"/>
              </w:rPr>
            </w:pPr>
            <w:r>
              <w:rPr>
                <w:rFonts w:eastAsia="Calibri" w:cs="Calibri"/>
                <w:sz w:val="18"/>
                <w:szCs w:val="18"/>
                <w:bdr w:val="nil"/>
                <w:lang w:val="sl-SI"/>
              </w:rPr>
              <w:t>Dogovori o sodelovanju so dobro oblikovani in kar najbolje izkoriščajo prednosti povezanega sodelovanja z zmanjševanjem administrativnih ovir in spodbujanjem vseh vrst mobilnosti v okviru koalicije, vključno z mobilnostjo med organizacijami, ki niso le visokošolske institucije.</w:t>
            </w:r>
          </w:p>
          <w:p w14:paraId="7D399382" w14:textId="77777777" w:rsidR="00E03711" w:rsidRPr="001E051C" w:rsidRDefault="00E03711" w:rsidP="002D7FF4">
            <w:pPr>
              <w:pStyle w:val="ListParagraph"/>
              <w:numPr>
                <w:ilvl w:val="0"/>
                <w:numId w:val="93"/>
              </w:numPr>
              <w:tabs>
                <w:tab w:val="left" w:pos="3294"/>
              </w:tabs>
              <w:spacing w:after="100" w:line="276" w:lineRule="auto"/>
              <w:ind w:left="317" w:hanging="284"/>
              <w:textAlignment w:val="auto"/>
              <w:rPr>
                <w:sz w:val="18"/>
                <w:szCs w:val="18"/>
              </w:rPr>
            </w:pPr>
            <w:r>
              <w:rPr>
                <w:rFonts w:eastAsia="Calibri" w:cs="Calibri"/>
                <w:sz w:val="18"/>
                <w:szCs w:val="18"/>
                <w:bdr w:val="nil"/>
                <w:lang w:val="sl-SI"/>
              </w:rPr>
              <w:t>Sodelovanje/skupinski duh: predlog vključuje jasne dogovore in odgovornosti za pregledno in učinkovito odločanje, reševanje sporov, upravljanje s tveganji, poročanje in obveščanje med sodelujočimi organizacijami.</w:t>
            </w:r>
          </w:p>
        </w:tc>
      </w:tr>
      <w:tr w:rsidR="00E03711" w:rsidRPr="00654F6A" w14:paraId="7D39938A" w14:textId="77777777" w:rsidTr="009A2C2A">
        <w:tc>
          <w:tcPr>
            <w:tcW w:w="2376" w:type="dxa"/>
            <w:shd w:val="clear" w:color="auto" w:fill="auto"/>
          </w:tcPr>
          <w:p w14:paraId="7D399384" w14:textId="77777777" w:rsidR="00E03711" w:rsidRPr="002C560E" w:rsidRDefault="00E03711" w:rsidP="009A2C2A">
            <w:pPr>
              <w:pStyle w:val="texte"/>
              <w:spacing w:before="0"/>
              <w:rPr>
                <w:rFonts w:ascii="Calibri" w:hAnsi="Calibri" w:cs="Tahoma"/>
                <w:b/>
                <w:color w:val="auto"/>
                <w:sz w:val="18"/>
                <w:szCs w:val="18"/>
                <w:lang w:val="fr-BE"/>
              </w:rPr>
            </w:pPr>
            <w:r>
              <w:rPr>
                <w:rFonts w:ascii="Calibri" w:eastAsia="Calibri" w:hAnsi="Calibri" w:cs="Calibri"/>
                <w:b/>
                <w:bCs/>
                <w:color w:val="auto"/>
                <w:sz w:val="18"/>
                <w:szCs w:val="18"/>
                <w:bdr w:val="nil"/>
                <w:lang w:val="sl-SI"/>
              </w:rPr>
              <w:t xml:space="preserve">Trajnost in razširjanje </w:t>
            </w:r>
          </w:p>
          <w:p w14:paraId="7D399385" w14:textId="77777777" w:rsidR="00E03711" w:rsidRPr="002C560E" w:rsidRDefault="00E03711" w:rsidP="009A2C2A">
            <w:pPr>
              <w:spacing w:after="100"/>
            </w:pPr>
            <w:r>
              <w:rPr>
                <w:rFonts w:eastAsia="Calibri" w:cs="Calibri"/>
                <w:b/>
                <w:bCs/>
                <w:sz w:val="18"/>
                <w:szCs w:val="18"/>
                <w:bdr w:val="nil"/>
                <w:lang w:val="sl-SI"/>
              </w:rPr>
              <w:t>(največ 20 točk)</w:t>
            </w:r>
          </w:p>
        </w:tc>
        <w:tc>
          <w:tcPr>
            <w:tcW w:w="6910" w:type="dxa"/>
            <w:shd w:val="clear" w:color="auto" w:fill="auto"/>
          </w:tcPr>
          <w:p w14:paraId="7D399386" w14:textId="77777777" w:rsidR="00E03711" w:rsidRPr="002C560E" w:rsidRDefault="00E03711" w:rsidP="002D7FF4">
            <w:pPr>
              <w:pStyle w:val="ListParagraph"/>
              <w:numPr>
                <w:ilvl w:val="0"/>
                <w:numId w:val="93"/>
              </w:numPr>
              <w:tabs>
                <w:tab w:val="left" w:pos="3294"/>
              </w:tabs>
              <w:spacing w:after="100" w:line="276" w:lineRule="auto"/>
              <w:ind w:left="317" w:hanging="284"/>
              <w:textAlignment w:val="auto"/>
              <w:rPr>
                <w:sz w:val="18"/>
                <w:szCs w:val="18"/>
              </w:rPr>
            </w:pPr>
            <w:r>
              <w:rPr>
                <w:rFonts w:eastAsia="Calibri" w:cs="Calibri"/>
                <w:sz w:val="18"/>
                <w:szCs w:val="18"/>
                <w:bdr w:val="nil"/>
                <w:lang w:val="sl-SI"/>
              </w:rPr>
              <w:t>Dolgoročna strategija za trajnost koalicije: predlog vključuje vizijo o trajnosti, ki razdela, kako vsaka članica koalicije to finančno ali kako drugače podpira, s ciljem, da je trajna tudi po poteku obdobja financiranja EU.</w:t>
            </w:r>
          </w:p>
          <w:p w14:paraId="7D399387" w14:textId="77777777" w:rsidR="00E03711" w:rsidRPr="002C560E" w:rsidRDefault="00E03711" w:rsidP="002D7FF4">
            <w:pPr>
              <w:pStyle w:val="ListParagraph"/>
              <w:numPr>
                <w:ilvl w:val="0"/>
                <w:numId w:val="93"/>
              </w:numPr>
              <w:tabs>
                <w:tab w:val="left" w:pos="3294"/>
              </w:tabs>
              <w:spacing w:after="100" w:line="276" w:lineRule="auto"/>
              <w:ind w:left="317" w:hanging="284"/>
              <w:textAlignment w:val="auto"/>
              <w:rPr>
                <w:sz w:val="18"/>
                <w:szCs w:val="18"/>
              </w:rPr>
            </w:pPr>
            <w:r>
              <w:rPr>
                <w:rFonts w:eastAsia="Calibri" w:cs="Calibri"/>
                <w:sz w:val="18"/>
                <w:szCs w:val="18"/>
                <w:bdr w:val="nil"/>
                <w:lang w:val="sl-SI"/>
              </w:rPr>
              <w:t>Zmožnost koalicije, da deluje kot zgled: v kolikšni meri se rezultati in dobre prakse, ki jih ustvarja koalicija, delijo in imajo potencial, da so vključeni v druge visokošolske institucije, s katerimi organizacije sodelujejo zunaj koalicije, v glavnem v Evropski uniji in tudi širše.</w:t>
            </w:r>
          </w:p>
          <w:p w14:paraId="7D399388" w14:textId="77777777" w:rsidR="00E03711" w:rsidRPr="002C560E" w:rsidRDefault="00E03711" w:rsidP="002D7FF4">
            <w:pPr>
              <w:pStyle w:val="ListParagraph"/>
              <w:numPr>
                <w:ilvl w:val="0"/>
                <w:numId w:val="93"/>
              </w:numPr>
              <w:tabs>
                <w:tab w:val="left" w:pos="3294"/>
              </w:tabs>
              <w:spacing w:after="100" w:line="276" w:lineRule="auto"/>
              <w:ind w:left="317" w:hanging="284"/>
              <w:textAlignment w:val="auto"/>
              <w:rPr>
                <w:sz w:val="18"/>
                <w:szCs w:val="18"/>
              </w:rPr>
            </w:pPr>
            <w:r>
              <w:rPr>
                <w:rFonts w:eastAsia="Calibri" w:cs="Calibri"/>
                <w:sz w:val="18"/>
                <w:szCs w:val="18"/>
                <w:bdr w:val="nil"/>
                <w:lang w:val="sl-SI"/>
              </w:rPr>
              <w:t>Razširjanje: predlog zagotavlja jasen načrt razširjanja rezultatov in dobrih praks ter vključuje primerne človeške in finančne vire, aktivnosti, orodja in komunikacijske kanale, vključno z uporabo družbenih omrežij, da zagotovi, da se rezultati in prednosti prenesejo ter odprto in učinkovito delijo z deležniki širše, med obdobjem financiranja koalicije Evropske univerze in po njem;</w:t>
            </w:r>
          </w:p>
          <w:p w14:paraId="7D399389" w14:textId="77777777" w:rsidR="00E03711" w:rsidRPr="002C560E" w:rsidRDefault="00E03711" w:rsidP="002D7FF4">
            <w:pPr>
              <w:pStyle w:val="ListParagraph"/>
              <w:numPr>
                <w:ilvl w:val="0"/>
                <w:numId w:val="93"/>
              </w:numPr>
              <w:tabs>
                <w:tab w:val="left" w:pos="3294"/>
              </w:tabs>
              <w:spacing w:after="100" w:line="276" w:lineRule="auto"/>
              <w:ind w:left="317" w:hanging="284"/>
              <w:textAlignment w:val="auto"/>
              <w:rPr>
                <w:sz w:val="18"/>
                <w:szCs w:val="18"/>
              </w:rPr>
            </w:pPr>
            <w:r>
              <w:rPr>
                <w:rFonts w:eastAsia="Calibri" w:cs="Calibri"/>
                <w:sz w:val="18"/>
                <w:szCs w:val="18"/>
                <w:bdr w:val="nil"/>
                <w:lang w:val="sl-SI"/>
              </w:rPr>
              <w:t>Prosto dostopni učni viri in viri odprte znanosti in državljanske znanosti: Če je relevantno in v okvirih obstoječih nacionalnih in evropskih pravnih okvirov, predlog opisuje, kako bodo podatki, gradiva, dokumenti in avdio-vizualna gradiva ter dejavnosti družbenih omrežij dostopni, tako da bodo podatki na voljo za iskanje, vidni, dostopni, interoperabilni in ponovno uporabljani (FAIR, Findable, Accessible, Interoperable and Reusable) pri drugih visokošolskih institucijah in Evropskih univerzah v Evropi.</w:t>
            </w:r>
          </w:p>
        </w:tc>
      </w:tr>
    </w:tbl>
    <w:p w14:paraId="7D39938B" w14:textId="77777777" w:rsidR="00E03711" w:rsidRPr="002C560E" w:rsidRDefault="00E03711" w:rsidP="001E051C">
      <w:pPr>
        <w:pStyle w:val="Guide-Normal0"/>
      </w:pPr>
    </w:p>
    <w:p w14:paraId="7D39938C" w14:textId="77777777" w:rsidR="00E03711" w:rsidRPr="001E051C" w:rsidRDefault="00E03711" w:rsidP="001E051C">
      <w:pPr>
        <w:pStyle w:val="Guide-Normal0"/>
        <w:rPr>
          <w:lang w:val="sl-SI"/>
        </w:rPr>
      </w:pPr>
      <w:r>
        <w:rPr>
          <w:rFonts w:eastAsia="Calibri" w:cs="Calibri"/>
          <w:kern w:val="3"/>
          <w:sz w:val="18"/>
          <w:szCs w:val="18"/>
          <w:bdr w:val="nil"/>
          <w:shd w:val="clear" w:color="auto" w:fill="FFFFFF"/>
          <w:lang w:val="sl-SI" w:eastAsia="en-GB"/>
        </w:rPr>
        <w:t>Za upoštevanje pri dodeljevanju sredstev morajo predlogi doseči vsaj 70 točk. Poleg tega morajo doseči vsaj 13 točk za kategorijo "Ustreznost predloga", 11 točk za kategorije "Kakovost predloga in uvajanje", "Kakovost dogovora o sodelovanju v koaliciji" in "Trajnost in razširjanje" in 8 točk za kategorijo "Geografska uravnoteženost".</w:t>
      </w:r>
    </w:p>
    <w:p w14:paraId="7D39938D" w14:textId="77777777" w:rsidR="00E03711" w:rsidRPr="0030441A" w:rsidRDefault="00E03711" w:rsidP="001E051C">
      <w:pPr>
        <w:pStyle w:val="Guide-Heading5"/>
        <w:rPr>
          <w:lang w:val="sl-SI"/>
        </w:rPr>
      </w:pPr>
      <w:r>
        <w:rPr>
          <w:rFonts w:eastAsia="Calibri" w:cs="Calibri"/>
          <w:bCs/>
          <w:szCs w:val="22"/>
          <w:bdr w:val="nil"/>
          <w:lang w:val="sl-SI"/>
        </w:rPr>
        <w:t>Kaj je še treba vedeti o tem ukrepu?</w:t>
      </w:r>
    </w:p>
    <w:p w14:paraId="7D39938E" w14:textId="77777777" w:rsidR="00E03711" w:rsidRPr="0030441A" w:rsidRDefault="00E03711" w:rsidP="001E051C">
      <w:pPr>
        <w:pStyle w:val="Guide-Normal0"/>
        <w:rPr>
          <w:lang w:val="sl-SI"/>
        </w:rPr>
      </w:pPr>
      <w:r>
        <w:rPr>
          <w:rFonts w:eastAsia="Calibri" w:cs="Calibri"/>
          <w:kern w:val="3"/>
          <w:sz w:val="18"/>
          <w:szCs w:val="18"/>
          <w:bdr w:val="nil"/>
          <w:shd w:val="clear" w:color="auto" w:fill="FFFFFF"/>
          <w:lang w:val="sl-SI" w:eastAsia="en-GB"/>
        </w:rPr>
        <w:t>Dodatne informacije o Evropskih univerzah so objavljene na spletnem mestu Komisije.</w:t>
      </w:r>
      <w:r>
        <w:rPr>
          <w:rStyle w:val="FootnoteReference"/>
        </w:rPr>
        <w:footnoteReference w:id="117"/>
      </w:r>
    </w:p>
    <w:p w14:paraId="7D39938F" w14:textId="77777777" w:rsidR="00E03711" w:rsidRPr="0030441A" w:rsidRDefault="00E03711" w:rsidP="001E051C">
      <w:pPr>
        <w:pStyle w:val="Guide-Normal0"/>
        <w:rPr>
          <w:lang w:val="sl-SI"/>
        </w:rPr>
      </w:pPr>
    </w:p>
    <w:p w14:paraId="7D399390" w14:textId="77777777" w:rsidR="00E03711" w:rsidRPr="001E051C" w:rsidRDefault="00E03711" w:rsidP="001E051C">
      <w:pPr>
        <w:pStyle w:val="Guide-Normal0"/>
        <w:rPr>
          <w:lang w:val="sl-SI"/>
        </w:rPr>
      </w:pPr>
      <w:r>
        <w:rPr>
          <w:rFonts w:eastAsia="Calibri" w:cs="Calibri"/>
          <w:kern w:val="3"/>
          <w:sz w:val="18"/>
          <w:szCs w:val="18"/>
          <w:bdr w:val="nil"/>
          <w:shd w:val="clear" w:color="auto" w:fill="FFFFFF"/>
          <w:lang w:val="sl-SI" w:eastAsia="en-GB"/>
        </w:rPr>
        <w:t xml:space="preserve">Zagotavljanje kakovosti mora biti sestavni del, da se zagotovi, da Evropske univerze uspešno podajajo pričakovane rezultate in dosegajo učinek izven posameznih partnerskih organizacij. Evropske univerze morajo obvezno izvesti ciljno usmerjene aktivnosti razširjanja, ki dosežejo deležnike, oblikovalce politik, strokovnjake in podjetja. Praviloma je rezultate treba zagotoviti kot prosto dostopne učne vire (PDUV) in jih objaviti na ustreznih platformah stroke, sektorja ali pristojnih organov. </w:t>
      </w:r>
    </w:p>
    <w:p w14:paraId="7D399391" w14:textId="77777777" w:rsidR="00E03711" w:rsidRPr="001E051C" w:rsidRDefault="00E03711" w:rsidP="001E051C">
      <w:pPr>
        <w:pStyle w:val="Guide-Normal0"/>
        <w:rPr>
          <w:lang w:val="sl-SI"/>
        </w:rPr>
      </w:pPr>
    </w:p>
    <w:p w14:paraId="7D399392" w14:textId="77777777" w:rsidR="00E03711" w:rsidRPr="009A2C2A" w:rsidRDefault="00E03711" w:rsidP="001E051C">
      <w:pPr>
        <w:spacing w:line="276" w:lineRule="auto"/>
        <w:rPr>
          <w:rFonts w:asciiTheme="minorHAnsi" w:hAnsiTheme="minorHAnsi"/>
          <w:b/>
          <w:lang w:val="sl-SI"/>
        </w:rPr>
      </w:pPr>
      <w:r>
        <w:rPr>
          <w:rFonts w:eastAsia="Calibri" w:cs="Calibri"/>
          <w:b/>
          <w:bCs/>
          <w:bdr w:val="nil"/>
          <w:lang w:val="sl-SI"/>
        </w:rPr>
        <w:t>KAKŠNA SO PRAVILA ZA DODELITEV SREDSTEV?</w:t>
      </w:r>
    </w:p>
    <w:p w14:paraId="7D399393" w14:textId="77777777" w:rsidR="00E03711" w:rsidRPr="009A2C2A" w:rsidRDefault="00E03711" w:rsidP="001E051C">
      <w:pPr>
        <w:pStyle w:val="Guide-Normal0"/>
        <w:rPr>
          <w:lang w:val="sl-SI"/>
        </w:rPr>
      </w:pPr>
    </w:p>
    <w:p w14:paraId="7D399394" w14:textId="77777777" w:rsidR="00E03711" w:rsidRPr="009A2C2A" w:rsidRDefault="00E03711" w:rsidP="001E051C">
      <w:pPr>
        <w:pBdr>
          <w:top w:val="single" w:sz="4" w:space="1" w:color="auto"/>
          <w:left w:val="single" w:sz="4" w:space="4" w:color="auto"/>
          <w:bottom w:val="single" w:sz="4" w:space="1" w:color="auto"/>
          <w:right w:val="single" w:sz="4" w:space="4" w:color="auto"/>
        </w:pBdr>
        <w:jc w:val="center"/>
        <w:rPr>
          <w:b/>
          <w:sz w:val="20"/>
          <w:szCs w:val="20"/>
          <w:lang w:val="sl-SI"/>
        </w:rPr>
      </w:pPr>
      <w:r>
        <w:rPr>
          <w:rFonts w:eastAsia="Calibri" w:cs="Calibri"/>
          <w:b/>
          <w:bCs/>
          <w:sz w:val="20"/>
          <w:szCs w:val="20"/>
          <w:bdr w:val="nil"/>
          <w:lang w:val="sl-SI"/>
        </w:rPr>
        <w:t>Najvišji prispevek EU za 3-letno Evropsko univerzo: 5 000 000 EUR</w:t>
      </w:r>
    </w:p>
    <w:p w14:paraId="7D399395" w14:textId="77777777" w:rsidR="00E03711" w:rsidRPr="009A2C2A" w:rsidRDefault="00E03711" w:rsidP="001E051C">
      <w:pPr>
        <w:pStyle w:val="Guide-Normal0"/>
        <w:rPr>
          <w:lang w:val="sl-SI"/>
        </w:rPr>
      </w:pPr>
    </w:p>
    <w:p w14:paraId="7D399396" w14:textId="77777777" w:rsidR="00E03711" w:rsidRPr="001E051C" w:rsidRDefault="00E03711" w:rsidP="001E051C">
      <w:pPr>
        <w:pStyle w:val="Guide-Normal0"/>
        <w:rPr>
          <w:lang w:val="sl-SI"/>
        </w:rPr>
      </w:pPr>
      <w:r>
        <w:rPr>
          <w:rFonts w:eastAsia="Calibri" w:cs="Calibri"/>
          <w:kern w:val="3"/>
          <w:sz w:val="18"/>
          <w:szCs w:val="18"/>
          <w:bdr w:val="nil"/>
          <w:shd w:val="clear" w:color="auto" w:fill="FFFFFF"/>
          <w:lang w:val="sl-SI" w:eastAsia="en-GB"/>
        </w:rPr>
        <w:t>Proračun koalicij Evropskih univerz bo temeljil na dejanskih stroških za aktivnosti koalicije. Nepovratna sredstva EU so namenjena sofinanciranju teh aktivnosti do največ 80 % vseh upravičenih stroškov.</w:t>
      </w:r>
    </w:p>
    <w:p w14:paraId="7D399397" w14:textId="77777777" w:rsidR="00E03711" w:rsidRPr="001E051C" w:rsidRDefault="00E03711" w:rsidP="001E051C">
      <w:pPr>
        <w:pStyle w:val="Guide-Normal0"/>
        <w:rPr>
          <w:lang w:val="sl-SI"/>
        </w:rPr>
      </w:pPr>
    </w:p>
    <w:p w14:paraId="7D399398" w14:textId="77777777" w:rsidR="00E03711" w:rsidRPr="005F062F" w:rsidRDefault="00E03711" w:rsidP="001E051C">
      <w:pPr>
        <w:pStyle w:val="Guide-Normal0"/>
        <w:rPr>
          <w:lang w:val="sl-SI"/>
        </w:rPr>
      </w:pPr>
      <w:r>
        <w:rPr>
          <w:rFonts w:eastAsia="Calibri" w:cs="Calibri"/>
          <w:kern w:val="3"/>
          <w:sz w:val="18"/>
          <w:szCs w:val="18"/>
          <w:bdr w:val="nil"/>
          <w:shd w:val="clear" w:color="auto" w:fill="FFFFFF"/>
          <w:lang w:val="sl-SI" w:eastAsia="en-GB"/>
        </w:rPr>
        <w:t xml:space="preserve">Zahtevani proračun je treba upravičiti glede na načrtovane aktivnosti, kot opisano v prijavnem obrazcu. Vsi stroški morajo biti v celoti opisani in upravičeni. </w:t>
      </w:r>
    </w:p>
    <w:p w14:paraId="7D399399" w14:textId="77777777" w:rsidR="00E03711" w:rsidRPr="005F062F" w:rsidRDefault="00E03711" w:rsidP="001E051C">
      <w:pPr>
        <w:pStyle w:val="Guide-Normal0"/>
        <w:rPr>
          <w:lang w:val="sl-SI"/>
        </w:rPr>
      </w:pPr>
    </w:p>
    <w:p w14:paraId="7D39939A" w14:textId="77777777" w:rsidR="00E03711" w:rsidRPr="001E051C" w:rsidRDefault="00E03711" w:rsidP="001E051C">
      <w:pPr>
        <w:pStyle w:val="Guide-Normal0"/>
        <w:rPr>
          <w:lang w:val="sl-SI"/>
        </w:rPr>
      </w:pPr>
      <w:r>
        <w:rPr>
          <w:rFonts w:eastAsia="Calibri" w:cs="Calibri"/>
          <w:kern w:val="3"/>
          <w:sz w:val="18"/>
          <w:szCs w:val="18"/>
          <w:bdr w:val="nil"/>
          <w:shd w:val="clear" w:color="auto" w:fill="FFFFFF"/>
          <w:lang w:val="sl-SI" w:eastAsia="en-GB"/>
        </w:rPr>
        <w:t>Stroški morajo ustrezati stroškom, ki jih imajo sodelujoče institucije glede na njihovo siceršnjo politiko. Še posebej morajo biti stroški za izplačila v skladu z običajno politiko plač ter vsemi socialnimi prispevki in drugimi prispevki v skladu z zakonom, ki so del izplačila; potni stroški in individualna podpora morajo biti v skladu z običajno prakso sodelujočih institucij/organizacij, kar zadeva potne stroške in stroške namestitve; stroški za opremo se odpišejo v skladu z običajno računovodsko prakso upravičenca.</w:t>
      </w:r>
    </w:p>
    <w:p w14:paraId="7D39939B" w14:textId="77777777" w:rsidR="00E03711" w:rsidRPr="001E051C" w:rsidRDefault="00E03711" w:rsidP="001E051C">
      <w:pPr>
        <w:pStyle w:val="Guide-Normal0"/>
        <w:rPr>
          <w:lang w:val="sl-SI"/>
        </w:rPr>
      </w:pPr>
    </w:p>
    <w:p w14:paraId="7D39939C" w14:textId="77777777" w:rsidR="00E03711" w:rsidRPr="001E051C" w:rsidRDefault="00E03711" w:rsidP="001E051C">
      <w:pPr>
        <w:pStyle w:val="Guide-Normal0"/>
        <w:rPr>
          <w:lang w:val="sl-SI"/>
        </w:rPr>
      </w:pPr>
      <w:r>
        <w:rPr>
          <w:rFonts w:eastAsia="Calibri" w:cs="Calibri"/>
          <w:kern w:val="3"/>
          <w:sz w:val="18"/>
          <w:szCs w:val="18"/>
          <w:bdr w:val="nil"/>
          <w:shd w:val="clear" w:color="auto" w:fill="FFFFFF"/>
          <w:lang w:val="sl-SI" w:eastAsia="en-GB"/>
        </w:rPr>
        <w:t xml:space="preserve">Stroški (vključno z opremo in angažiranjem podizvajalcev) morajo biti razumni, upravičeni in neposredno povezani z doseganjem ciljev koalicije Evropske univerze. Poleg tega mora biti angažiranje podizvajalcev v skladu s pravili javnega naročanja v EU. </w:t>
      </w:r>
    </w:p>
    <w:p w14:paraId="7D39939D" w14:textId="77777777" w:rsidR="00E03711" w:rsidRPr="001E051C" w:rsidRDefault="00E03711" w:rsidP="001E051C">
      <w:pPr>
        <w:pStyle w:val="Guide-Normal0"/>
        <w:rPr>
          <w:lang w:val="sl-SI"/>
        </w:rPr>
      </w:pPr>
    </w:p>
    <w:p w14:paraId="7D39939E" w14:textId="77777777" w:rsidR="00E03711" w:rsidRPr="009A2C2A" w:rsidRDefault="00E03711" w:rsidP="001E051C">
      <w:pPr>
        <w:pStyle w:val="Guide-Normal0"/>
        <w:rPr>
          <w:lang w:val="sl-SI"/>
        </w:rPr>
      </w:pPr>
      <w:r>
        <w:rPr>
          <w:rFonts w:eastAsia="Calibri" w:cs="Calibri"/>
          <w:kern w:val="3"/>
          <w:sz w:val="18"/>
          <w:szCs w:val="18"/>
          <w:bdr w:val="nil"/>
          <w:shd w:val="clear" w:color="auto" w:fill="FFFFFF"/>
          <w:lang w:val="sl-SI" w:eastAsia="en-GB"/>
        </w:rPr>
        <w:t>Različne postavke proračuna morajo biti organizirane kot sledi:</w:t>
      </w:r>
    </w:p>
    <w:p w14:paraId="7D39939F" w14:textId="77777777" w:rsidR="00E03711" w:rsidRPr="009A2C2A" w:rsidRDefault="00E03711" w:rsidP="001E051C">
      <w:pPr>
        <w:pStyle w:val="Guide-Normal0"/>
        <w:rPr>
          <w:lang w:val="sl-SI"/>
        </w:rPr>
      </w:pPr>
    </w:p>
    <w:tbl>
      <w:tblPr>
        <w:tblStyle w:val="TableGrid1"/>
        <w:tblW w:w="9468" w:type="dxa"/>
        <w:tblLook w:val="04A0" w:firstRow="1" w:lastRow="0" w:firstColumn="1" w:lastColumn="0" w:noHBand="0" w:noVBand="1"/>
      </w:tblPr>
      <w:tblGrid>
        <w:gridCol w:w="1253"/>
        <w:gridCol w:w="2545"/>
        <w:gridCol w:w="1343"/>
        <w:gridCol w:w="1200"/>
        <w:gridCol w:w="3127"/>
      </w:tblGrid>
      <w:tr w:rsidR="00E03711" w:rsidRPr="001E051C" w14:paraId="7D3993AA" w14:textId="77777777" w:rsidTr="001F01BF">
        <w:tc>
          <w:tcPr>
            <w:tcW w:w="1253" w:type="dxa"/>
            <w:shd w:val="clear" w:color="auto" w:fill="BFBFBF" w:themeFill="background1" w:themeFillShade="BF"/>
          </w:tcPr>
          <w:p w14:paraId="7D3993A0" w14:textId="77777777" w:rsidR="00E03711" w:rsidRPr="009A2C2A" w:rsidRDefault="00E03711" w:rsidP="009A2C2A">
            <w:pPr>
              <w:widowControl/>
              <w:suppressAutoHyphens w:val="0"/>
              <w:autoSpaceDN/>
              <w:spacing w:line="276" w:lineRule="auto"/>
              <w:textAlignment w:val="auto"/>
              <w:rPr>
                <w:rFonts w:asciiTheme="minorHAnsi" w:hAnsiTheme="minorHAnsi"/>
                <w:b/>
                <w:kern w:val="0"/>
                <w:sz w:val="18"/>
                <w:szCs w:val="18"/>
                <w:lang w:val="sl-SI" w:eastAsia="en-GB"/>
              </w:rPr>
            </w:pPr>
          </w:p>
        </w:tc>
        <w:tc>
          <w:tcPr>
            <w:tcW w:w="2545" w:type="dxa"/>
            <w:shd w:val="clear" w:color="auto" w:fill="BFBFBF" w:themeFill="background1" w:themeFillShade="BF"/>
          </w:tcPr>
          <w:p w14:paraId="7D3993A1" w14:textId="77777777" w:rsidR="00E03711" w:rsidRPr="009A2C2A" w:rsidRDefault="00E03711" w:rsidP="009A2C2A">
            <w:pPr>
              <w:widowControl/>
              <w:suppressAutoHyphens w:val="0"/>
              <w:autoSpaceDN/>
              <w:spacing w:line="276" w:lineRule="auto"/>
              <w:textAlignment w:val="auto"/>
              <w:rPr>
                <w:rFonts w:asciiTheme="minorHAnsi" w:hAnsiTheme="minorHAnsi"/>
                <w:b/>
                <w:kern w:val="0"/>
                <w:sz w:val="18"/>
                <w:szCs w:val="18"/>
                <w:lang w:val="sl-SI" w:eastAsia="en-GB"/>
              </w:rPr>
            </w:pPr>
          </w:p>
          <w:p w14:paraId="7D3993A2"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r w:rsidRPr="001E051C">
              <w:rPr>
                <w:rFonts w:asciiTheme="minorHAnsi" w:eastAsia="Times New Roman" w:hAnsiTheme="minorHAnsi" w:cs="Times New Roman"/>
                <w:b/>
                <w:bCs/>
                <w:kern w:val="0"/>
                <w:sz w:val="18"/>
                <w:szCs w:val="18"/>
                <w:bdr w:val="nil"/>
                <w:lang w:val="sl-SI" w:eastAsia="en-GB"/>
              </w:rPr>
              <w:t>Upravičeni stroški</w:t>
            </w:r>
          </w:p>
          <w:p w14:paraId="7D3993A3"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p>
        </w:tc>
        <w:tc>
          <w:tcPr>
            <w:tcW w:w="1343" w:type="dxa"/>
            <w:shd w:val="clear" w:color="auto" w:fill="BFBFBF" w:themeFill="background1" w:themeFillShade="BF"/>
          </w:tcPr>
          <w:p w14:paraId="7D3993A4"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p>
          <w:p w14:paraId="7D3993A5"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r w:rsidRPr="001E051C">
              <w:rPr>
                <w:rFonts w:asciiTheme="minorHAnsi" w:eastAsia="Times New Roman" w:hAnsiTheme="minorHAnsi" w:cs="Times New Roman"/>
                <w:b/>
                <w:bCs/>
                <w:kern w:val="0"/>
                <w:sz w:val="18"/>
                <w:szCs w:val="18"/>
                <w:bdr w:val="nil"/>
                <w:lang w:val="sl-SI" w:eastAsia="en-GB"/>
              </w:rPr>
              <w:t>Mehanizem financiranja</w:t>
            </w:r>
          </w:p>
        </w:tc>
        <w:tc>
          <w:tcPr>
            <w:tcW w:w="1200" w:type="dxa"/>
            <w:shd w:val="clear" w:color="auto" w:fill="BFBFBF" w:themeFill="background1" w:themeFillShade="BF"/>
          </w:tcPr>
          <w:p w14:paraId="7D3993A6"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p>
          <w:p w14:paraId="7D3993A7"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r w:rsidRPr="001E051C">
              <w:rPr>
                <w:rFonts w:asciiTheme="minorHAnsi" w:eastAsia="Times New Roman" w:hAnsiTheme="minorHAnsi" w:cs="Times New Roman"/>
                <w:b/>
                <w:bCs/>
                <w:kern w:val="0"/>
                <w:sz w:val="18"/>
                <w:szCs w:val="18"/>
                <w:bdr w:val="nil"/>
                <w:lang w:val="sl-SI" w:eastAsia="en-GB"/>
              </w:rPr>
              <w:t>Znesek</w:t>
            </w:r>
          </w:p>
        </w:tc>
        <w:tc>
          <w:tcPr>
            <w:tcW w:w="3127" w:type="dxa"/>
            <w:shd w:val="clear" w:color="auto" w:fill="BFBFBF" w:themeFill="background1" w:themeFillShade="BF"/>
          </w:tcPr>
          <w:p w14:paraId="7D3993A8"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p>
          <w:p w14:paraId="7D3993A9"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r w:rsidRPr="001E051C">
              <w:rPr>
                <w:rFonts w:asciiTheme="minorHAnsi" w:eastAsia="Times New Roman" w:hAnsiTheme="minorHAnsi" w:cs="Times New Roman"/>
                <w:b/>
                <w:bCs/>
                <w:kern w:val="0"/>
                <w:sz w:val="18"/>
                <w:szCs w:val="18"/>
                <w:bdr w:val="nil"/>
                <w:lang w:val="sl-SI" w:eastAsia="en-GB"/>
              </w:rPr>
              <w:t xml:space="preserve">Pravilo dodelitve </w:t>
            </w:r>
          </w:p>
        </w:tc>
      </w:tr>
      <w:tr w:rsidR="00E03711" w:rsidRPr="001E051C" w14:paraId="7D3993B1" w14:textId="77777777" w:rsidTr="001F01BF">
        <w:trPr>
          <w:trHeight w:val="791"/>
        </w:trPr>
        <w:tc>
          <w:tcPr>
            <w:tcW w:w="1253" w:type="dxa"/>
            <w:shd w:val="clear" w:color="auto" w:fill="F2F2F2" w:themeFill="background1" w:themeFillShade="F2"/>
          </w:tcPr>
          <w:p w14:paraId="7D3993AB"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r w:rsidRPr="001E051C">
              <w:rPr>
                <w:rFonts w:asciiTheme="minorHAnsi" w:eastAsia="Times New Roman" w:hAnsiTheme="minorHAnsi" w:cs="Times New Roman"/>
                <w:b/>
                <w:bCs/>
                <w:kern w:val="0"/>
                <w:sz w:val="18"/>
                <w:szCs w:val="18"/>
                <w:bdr w:val="nil"/>
                <w:lang w:val="sl-SI" w:eastAsia="en-GB"/>
              </w:rPr>
              <w:t>1. NEPOSREDNI STROŠKI</w:t>
            </w:r>
          </w:p>
          <w:p w14:paraId="7D3993AC"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p>
        </w:tc>
        <w:tc>
          <w:tcPr>
            <w:tcW w:w="2545" w:type="dxa"/>
            <w:shd w:val="clear" w:color="auto" w:fill="F2F2F2" w:themeFill="background1" w:themeFillShade="F2"/>
          </w:tcPr>
          <w:p w14:paraId="7D3993AD"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p>
        </w:tc>
        <w:tc>
          <w:tcPr>
            <w:tcW w:w="1343" w:type="dxa"/>
            <w:shd w:val="clear" w:color="auto" w:fill="F2F2F2" w:themeFill="background1" w:themeFillShade="F2"/>
          </w:tcPr>
          <w:p w14:paraId="7D3993AE" w14:textId="77777777" w:rsidR="00E03711" w:rsidRPr="001E051C" w:rsidRDefault="00E03711" w:rsidP="009A2C2A">
            <w:pPr>
              <w:widowControl/>
              <w:suppressAutoHyphens w:val="0"/>
              <w:autoSpaceDN/>
              <w:spacing w:line="276" w:lineRule="auto"/>
              <w:textAlignment w:val="auto"/>
              <w:rPr>
                <w:rFonts w:asciiTheme="minorHAnsi" w:hAnsiTheme="minorHAnsi"/>
                <w:kern w:val="0"/>
                <w:sz w:val="18"/>
                <w:szCs w:val="18"/>
                <w:lang w:val="en-GB" w:eastAsia="en-GB"/>
              </w:rPr>
            </w:pPr>
            <w:r w:rsidRPr="001E051C">
              <w:rPr>
                <w:rFonts w:asciiTheme="minorHAnsi" w:eastAsia="Times New Roman" w:hAnsiTheme="minorHAnsi" w:cs="Times New Roman"/>
                <w:kern w:val="0"/>
                <w:sz w:val="18"/>
                <w:szCs w:val="18"/>
                <w:bdr w:val="nil"/>
                <w:lang w:val="sl-SI" w:eastAsia="en-GB"/>
              </w:rPr>
              <w:t>Upravičeni dejanski stroški</w:t>
            </w:r>
          </w:p>
        </w:tc>
        <w:tc>
          <w:tcPr>
            <w:tcW w:w="1200" w:type="dxa"/>
            <w:shd w:val="clear" w:color="auto" w:fill="F2F2F2" w:themeFill="background1" w:themeFillShade="F2"/>
          </w:tcPr>
          <w:p w14:paraId="7D3993AF"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p>
        </w:tc>
        <w:tc>
          <w:tcPr>
            <w:tcW w:w="3127" w:type="dxa"/>
            <w:shd w:val="clear" w:color="auto" w:fill="F2F2F2" w:themeFill="background1" w:themeFillShade="F2"/>
          </w:tcPr>
          <w:p w14:paraId="7D3993B0" w14:textId="77777777" w:rsidR="00E03711" w:rsidRPr="001E051C" w:rsidRDefault="00E03711" w:rsidP="009A2C2A">
            <w:pPr>
              <w:widowControl/>
              <w:suppressAutoHyphens w:val="0"/>
              <w:autoSpaceDN/>
              <w:spacing w:line="276" w:lineRule="auto"/>
              <w:textAlignment w:val="auto"/>
              <w:rPr>
                <w:rFonts w:asciiTheme="minorHAnsi" w:hAnsiTheme="minorHAnsi"/>
                <w:kern w:val="0"/>
                <w:sz w:val="18"/>
                <w:szCs w:val="18"/>
                <w:lang w:val="en-GB" w:eastAsia="en-GB"/>
              </w:rPr>
            </w:pPr>
          </w:p>
        </w:tc>
      </w:tr>
      <w:tr w:rsidR="00E03711" w:rsidRPr="00C60205" w14:paraId="7D3993B8" w14:textId="77777777" w:rsidTr="001F01BF">
        <w:tc>
          <w:tcPr>
            <w:tcW w:w="1253" w:type="dxa"/>
          </w:tcPr>
          <w:p w14:paraId="7D3993B2" w14:textId="77777777" w:rsidR="00E03711" w:rsidRPr="001E051C" w:rsidRDefault="00E03711" w:rsidP="009A2C2A">
            <w:pPr>
              <w:widowControl/>
              <w:suppressAutoHyphens w:val="0"/>
              <w:autoSpaceDN/>
              <w:spacing w:after="200" w:line="276" w:lineRule="auto"/>
              <w:ind w:right="-62"/>
              <w:contextualSpacing/>
              <w:textAlignment w:val="auto"/>
              <w:rPr>
                <w:rFonts w:asciiTheme="minorHAnsi" w:hAnsiTheme="minorHAnsi"/>
                <w:b/>
                <w:kern w:val="0"/>
                <w:sz w:val="18"/>
                <w:szCs w:val="18"/>
                <w:lang w:val="en-GB" w:eastAsia="en-US"/>
              </w:rPr>
            </w:pPr>
            <w:r w:rsidRPr="001E051C">
              <w:rPr>
                <w:rFonts w:asciiTheme="minorHAnsi" w:eastAsia="Times New Roman" w:hAnsiTheme="minorHAnsi" w:cs="Times New Roman"/>
                <w:b/>
                <w:bCs/>
                <w:kern w:val="0"/>
                <w:sz w:val="18"/>
                <w:szCs w:val="18"/>
                <w:bdr w:val="nil"/>
                <w:lang w:val="sl-SI" w:eastAsia="en-US"/>
              </w:rPr>
              <w:t>1.1 Stroški osebja</w:t>
            </w:r>
          </w:p>
        </w:tc>
        <w:tc>
          <w:tcPr>
            <w:tcW w:w="2545" w:type="dxa"/>
          </w:tcPr>
          <w:p w14:paraId="7D3993B3" w14:textId="77777777" w:rsidR="00E03711" w:rsidRPr="001E051C" w:rsidRDefault="00E03711" w:rsidP="009A2C2A">
            <w:pPr>
              <w:widowControl/>
              <w:suppressAutoHyphens w:val="0"/>
              <w:autoSpaceDN/>
              <w:spacing w:line="276" w:lineRule="auto"/>
              <w:jc w:val="both"/>
              <w:textAlignment w:val="auto"/>
              <w:rPr>
                <w:rFonts w:asciiTheme="minorHAnsi" w:hAnsiTheme="minorHAnsi"/>
                <w:kern w:val="0"/>
                <w:sz w:val="18"/>
                <w:szCs w:val="18"/>
                <w:lang w:val="en-GB" w:eastAsia="en-GB"/>
              </w:rPr>
            </w:pPr>
            <w:r w:rsidRPr="001E051C">
              <w:rPr>
                <w:rFonts w:asciiTheme="minorHAnsi" w:eastAsia="Times New Roman" w:hAnsiTheme="minorHAnsi" w:cs="Times New Roman"/>
                <w:kern w:val="0"/>
                <w:sz w:val="18"/>
                <w:szCs w:val="18"/>
                <w:bdr w:val="nil"/>
                <w:lang w:val="sl-SI" w:eastAsia="en-GB"/>
              </w:rPr>
              <w:t>Stroški osebja, ki je dodeljeno ukrepu (tako rednega kot začasnega) iz sodelujočih institucij/organizacij, ki vključujejo dejanske plače ter socialne prispevke ter druge stroške v skladu z zakonom in so del izplačila.</w:t>
            </w:r>
          </w:p>
        </w:tc>
        <w:tc>
          <w:tcPr>
            <w:tcW w:w="1343" w:type="dxa"/>
          </w:tcPr>
          <w:p w14:paraId="7D3993B4"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p>
        </w:tc>
        <w:tc>
          <w:tcPr>
            <w:tcW w:w="1200" w:type="dxa"/>
          </w:tcPr>
          <w:p w14:paraId="7D3993B5"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p>
        </w:tc>
        <w:tc>
          <w:tcPr>
            <w:tcW w:w="3127" w:type="dxa"/>
          </w:tcPr>
          <w:p w14:paraId="7D3993B6" w14:textId="77777777" w:rsidR="00E03711" w:rsidRPr="001E051C" w:rsidRDefault="00E03711" w:rsidP="009A2C2A">
            <w:pPr>
              <w:widowControl/>
              <w:suppressAutoHyphens w:val="0"/>
              <w:autoSpaceDN/>
              <w:spacing w:line="276" w:lineRule="auto"/>
              <w:jc w:val="both"/>
              <w:textAlignment w:val="auto"/>
              <w:rPr>
                <w:rFonts w:asciiTheme="minorHAnsi" w:hAnsiTheme="minorHAnsi"/>
                <w:kern w:val="0"/>
                <w:sz w:val="18"/>
                <w:szCs w:val="18"/>
                <w:lang w:val="en-GB" w:eastAsia="en-GB"/>
              </w:rPr>
            </w:pPr>
            <w:r w:rsidRPr="001E051C">
              <w:rPr>
                <w:rFonts w:asciiTheme="minorHAnsi" w:eastAsia="Times New Roman" w:hAnsiTheme="minorHAnsi" w:cs="Times New Roman"/>
                <w:kern w:val="0"/>
                <w:sz w:val="18"/>
                <w:szCs w:val="18"/>
                <w:bdr w:val="nil"/>
                <w:lang w:val="sl-SI" w:eastAsia="en-GB"/>
              </w:rPr>
              <w:t>Nepovratna sredstva morajo biti porabljena za kritje stroškov osebja za vse upravičence, če ti izvajajo naloge, ki so neposredno povezane z doseganjem ciljev Evropske univerze.</w:t>
            </w:r>
          </w:p>
          <w:p w14:paraId="7D3993B7"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p>
        </w:tc>
      </w:tr>
      <w:tr w:rsidR="00E03711" w:rsidRPr="00C60205" w14:paraId="7D3993BF" w14:textId="77777777" w:rsidTr="001F01BF">
        <w:trPr>
          <w:trHeight w:val="1129"/>
        </w:trPr>
        <w:tc>
          <w:tcPr>
            <w:tcW w:w="1253" w:type="dxa"/>
          </w:tcPr>
          <w:p w14:paraId="7D3993B9" w14:textId="77777777" w:rsidR="00E03711" w:rsidRPr="001E051C" w:rsidRDefault="00E03711" w:rsidP="009A2C2A">
            <w:pPr>
              <w:widowControl/>
              <w:suppressAutoHyphens w:val="0"/>
              <w:autoSpaceDN/>
              <w:spacing w:after="200" w:line="276" w:lineRule="auto"/>
              <w:ind w:right="-62"/>
              <w:contextualSpacing/>
              <w:textAlignment w:val="auto"/>
              <w:rPr>
                <w:rFonts w:asciiTheme="minorHAnsi" w:hAnsiTheme="minorHAnsi"/>
                <w:b/>
                <w:kern w:val="0"/>
                <w:sz w:val="18"/>
                <w:szCs w:val="18"/>
                <w:lang w:val="en-GB" w:eastAsia="en-US"/>
              </w:rPr>
            </w:pPr>
            <w:r w:rsidRPr="001E051C">
              <w:rPr>
                <w:rFonts w:asciiTheme="minorHAnsi" w:eastAsia="Times New Roman" w:hAnsiTheme="minorHAnsi" w:cs="Times New Roman"/>
                <w:b/>
                <w:bCs/>
                <w:kern w:val="0"/>
                <w:sz w:val="18"/>
                <w:szCs w:val="18"/>
                <w:bdr w:val="nil"/>
                <w:lang w:val="sl-SI" w:eastAsia="en-US"/>
              </w:rPr>
              <w:t>1.2 Potni stroški</w:t>
            </w:r>
          </w:p>
        </w:tc>
        <w:tc>
          <w:tcPr>
            <w:tcW w:w="2545" w:type="dxa"/>
          </w:tcPr>
          <w:p w14:paraId="7D3993BA" w14:textId="77777777" w:rsidR="00E03711" w:rsidRPr="001E051C" w:rsidRDefault="00E03711" w:rsidP="009A2C2A">
            <w:pPr>
              <w:widowControl/>
              <w:suppressAutoHyphens w:val="0"/>
              <w:autoSpaceDE w:val="0"/>
              <w:adjustRightInd w:val="0"/>
              <w:jc w:val="both"/>
              <w:textAlignment w:val="auto"/>
              <w:rPr>
                <w:rFonts w:asciiTheme="minorHAnsi" w:hAnsiTheme="minorHAnsi" w:cs="Calibri"/>
                <w:color w:val="000000"/>
                <w:kern w:val="0"/>
                <w:sz w:val="18"/>
                <w:szCs w:val="18"/>
                <w:lang w:val="en-GB" w:eastAsia="en-US"/>
              </w:rPr>
            </w:pPr>
            <w:r w:rsidRPr="001E051C">
              <w:rPr>
                <w:rFonts w:asciiTheme="minorHAnsi" w:eastAsia="Calibri" w:hAnsiTheme="minorHAnsi" w:cs="Calibri"/>
                <w:color w:val="000000"/>
                <w:kern w:val="0"/>
                <w:sz w:val="18"/>
                <w:szCs w:val="18"/>
                <w:bdr w:val="nil"/>
                <w:lang w:val="sl-SI" w:eastAsia="en-US"/>
              </w:rPr>
              <w:t xml:space="preserve">Prispevek za potne stroške udeležencev do kraja izvajanja aktivnosti in nazaj. </w:t>
            </w:r>
          </w:p>
          <w:p w14:paraId="7D3993BB"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p>
        </w:tc>
        <w:tc>
          <w:tcPr>
            <w:tcW w:w="1343" w:type="dxa"/>
          </w:tcPr>
          <w:p w14:paraId="7D3993BC"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p>
        </w:tc>
        <w:tc>
          <w:tcPr>
            <w:tcW w:w="1200" w:type="dxa"/>
          </w:tcPr>
          <w:p w14:paraId="7D3993BD"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p>
        </w:tc>
        <w:tc>
          <w:tcPr>
            <w:tcW w:w="3127" w:type="dxa"/>
          </w:tcPr>
          <w:p w14:paraId="7D3993BE" w14:textId="77777777" w:rsidR="00E03711" w:rsidRPr="001E051C" w:rsidRDefault="00E03711" w:rsidP="009A2C2A">
            <w:pPr>
              <w:widowControl/>
              <w:suppressAutoHyphens w:val="0"/>
              <w:autoSpaceDN/>
              <w:spacing w:line="276" w:lineRule="auto"/>
              <w:jc w:val="both"/>
              <w:textAlignment w:val="auto"/>
              <w:rPr>
                <w:rFonts w:asciiTheme="minorHAnsi" w:hAnsiTheme="minorHAnsi"/>
                <w:b/>
                <w:kern w:val="0"/>
                <w:sz w:val="18"/>
                <w:szCs w:val="18"/>
                <w:lang w:val="en-GB" w:eastAsia="en-GB"/>
              </w:rPr>
            </w:pPr>
            <w:r w:rsidRPr="001E051C">
              <w:rPr>
                <w:rFonts w:asciiTheme="minorHAnsi" w:eastAsia="Times New Roman" w:hAnsiTheme="minorHAnsi" w:cs="Times New Roman"/>
                <w:kern w:val="0"/>
                <w:sz w:val="18"/>
                <w:szCs w:val="18"/>
                <w:bdr w:val="nil"/>
                <w:lang w:val="sl-SI" w:eastAsia="en-GB"/>
              </w:rPr>
              <w:t>To velja za osebje (tako stalno kot začasno), študente in absolvente doktorskega študija iz sodelujočih institucij/organizacij, ki sodelujejo pri ukrepu (npr. aktivnosti usposabljanja in študija, sestanki, delavnice in seminarji).</w:t>
            </w:r>
          </w:p>
        </w:tc>
      </w:tr>
      <w:tr w:rsidR="00E03711" w:rsidRPr="001E051C" w14:paraId="7D3993C6" w14:textId="77777777" w:rsidTr="001F01BF">
        <w:trPr>
          <w:trHeight w:val="1254"/>
        </w:trPr>
        <w:tc>
          <w:tcPr>
            <w:tcW w:w="1253" w:type="dxa"/>
          </w:tcPr>
          <w:p w14:paraId="7D3993C0" w14:textId="77777777" w:rsidR="00E03711" w:rsidRPr="001E051C" w:rsidRDefault="00E03711" w:rsidP="009A2C2A">
            <w:pPr>
              <w:widowControl/>
              <w:suppressAutoHyphens w:val="0"/>
              <w:autoSpaceDN/>
              <w:spacing w:after="200" w:line="276" w:lineRule="auto"/>
              <w:ind w:right="-62"/>
              <w:contextualSpacing/>
              <w:textAlignment w:val="auto"/>
              <w:rPr>
                <w:rFonts w:asciiTheme="minorHAnsi" w:hAnsiTheme="minorHAnsi"/>
                <w:b/>
                <w:kern w:val="0"/>
                <w:sz w:val="18"/>
                <w:szCs w:val="18"/>
                <w:lang w:val="en-GB" w:eastAsia="en-US"/>
              </w:rPr>
            </w:pPr>
            <w:r w:rsidRPr="001E051C">
              <w:rPr>
                <w:rFonts w:asciiTheme="minorHAnsi" w:eastAsia="Times New Roman" w:hAnsiTheme="minorHAnsi" w:cs="Times New Roman"/>
                <w:b/>
                <w:bCs/>
                <w:kern w:val="0"/>
                <w:sz w:val="18"/>
                <w:szCs w:val="18"/>
                <w:bdr w:val="nil"/>
                <w:lang w:val="sl-SI" w:eastAsia="en-US"/>
              </w:rPr>
              <w:t>1.3 Individualna podpora</w:t>
            </w:r>
          </w:p>
        </w:tc>
        <w:tc>
          <w:tcPr>
            <w:tcW w:w="2545" w:type="dxa"/>
          </w:tcPr>
          <w:p w14:paraId="7D3993C1" w14:textId="77777777" w:rsidR="00E03711" w:rsidRPr="001E051C" w:rsidRDefault="00E03711" w:rsidP="009A2C2A">
            <w:pPr>
              <w:widowControl/>
              <w:suppressAutoHyphens w:val="0"/>
              <w:autoSpaceDE w:val="0"/>
              <w:adjustRightInd w:val="0"/>
              <w:jc w:val="both"/>
              <w:textAlignment w:val="auto"/>
              <w:rPr>
                <w:rFonts w:asciiTheme="minorHAnsi" w:hAnsiTheme="minorHAnsi" w:cs="Calibri"/>
                <w:color w:val="000000"/>
                <w:kern w:val="0"/>
                <w:sz w:val="18"/>
                <w:szCs w:val="18"/>
                <w:lang w:val="en-GB" w:eastAsia="en-US"/>
              </w:rPr>
            </w:pPr>
            <w:r w:rsidRPr="001E051C">
              <w:rPr>
                <w:rFonts w:asciiTheme="minorHAnsi" w:eastAsia="Calibri" w:hAnsiTheme="minorHAnsi" w:cs="Calibri"/>
                <w:color w:val="000000"/>
                <w:kern w:val="0"/>
                <w:sz w:val="18"/>
                <w:szCs w:val="18"/>
                <w:bdr w:val="nil"/>
                <w:lang w:val="sl-SI" w:eastAsia="en-US"/>
              </w:rPr>
              <w:t xml:space="preserve">Stroški, neposredno povezani z življenjskimi stroški (prehrana in namestitev) udeležencev, </w:t>
            </w:r>
            <w:r w:rsidRPr="001E051C">
              <w:rPr>
                <w:rFonts w:asciiTheme="minorHAnsi" w:eastAsia="Times New Roman" w:hAnsiTheme="minorHAnsi" w:cs="Times New Roman"/>
                <w:color w:val="000000"/>
                <w:kern w:val="0"/>
                <w:sz w:val="18"/>
                <w:szCs w:val="18"/>
                <w:bdr w:val="nil"/>
                <w:lang w:val="sl-SI" w:eastAsia="en-US"/>
              </w:rPr>
              <w:t>ki sodelujejo pri ukrepu, med aktivnostjo.</w:t>
            </w:r>
          </w:p>
        </w:tc>
        <w:tc>
          <w:tcPr>
            <w:tcW w:w="1343" w:type="dxa"/>
          </w:tcPr>
          <w:p w14:paraId="7D3993C2"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p>
        </w:tc>
        <w:tc>
          <w:tcPr>
            <w:tcW w:w="1200" w:type="dxa"/>
          </w:tcPr>
          <w:p w14:paraId="7D3993C3"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p>
        </w:tc>
        <w:tc>
          <w:tcPr>
            <w:tcW w:w="3127" w:type="dxa"/>
          </w:tcPr>
          <w:p w14:paraId="7D3993C4" w14:textId="77777777" w:rsidR="00E03711" w:rsidRPr="001E051C" w:rsidRDefault="00E03711" w:rsidP="009A2C2A">
            <w:pPr>
              <w:widowControl/>
              <w:suppressAutoHyphens w:val="0"/>
              <w:autoSpaceDN/>
              <w:spacing w:line="276" w:lineRule="auto"/>
              <w:jc w:val="both"/>
              <w:textAlignment w:val="auto"/>
              <w:rPr>
                <w:rFonts w:asciiTheme="minorHAnsi" w:hAnsiTheme="minorHAnsi"/>
                <w:kern w:val="0"/>
                <w:sz w:val="18"/>
                <w:szCs w:val="18"/>
                <w:lang w:val="sl-SI" w:eastAsia="en-GB"/>
              </w:rPr>
            </w:pPr>
            <w:r w:rsidRPr="001E051C">
              <w:rPr>
                <w:rFonts w:asciiTheme="minorHAnsi" w:eastAsia="Times New Roman" w:hAnsiTheme="minorHAnsi" w:cs="Times New Roman"/>
                <w:kern w:val="0"/>
                <w:sz w:val="18"/>
                <w:szCs w:val="18"/>
                <w:bdr w:val="nil"/>
                <w:lang w:val="sl-SI" w:eastAsia="en-GB"/>
              </w:rPr>
              <w:t>To velja za osebje (tako stalno kot začasno), študente in absolvente doktorskega študija iz sodelujočih institucij/organizacij</w:t>
            </w:r>
            <w:r w:rsidRPr="001E051C">
              <w:rPr>
                <w:rFonts w:asciiTheme="minorHAnsi" w:eastAsia="Times New Roman" w:hAnsiTheme="minorHAnsi" w:cs="Times New Roman"/>
                <w:color w:val="000000"/>
                <w:kern w:val="0"/>
                <w:sz w:val="18"/>
                <w:szCs w:val="18"/>
                <w:bdr w:val="nil"/>
                <w:lang w:val="sl-SI" w:eastAsia="en-GB"/>
              </w:rPr>
              <w:t xml:space="preserve"> (npr. aktivnosti usposabljanja in študija, sestanki, delavnice in seminarji). </w:t>
            </w:r>
            <w:r w:rsidRPr="001E051C">
              <w:rPr>
                <w:rFonts w:asciiTheme="minorHAnsi" w:eastAsia="Times New Roman" w:hAnsiTheme="minorHAnsi" w:cs="Times New Roman"/>
                <w:kern w:val="0"/>
                <w:sz w:val="18"/>
                <w:szCs w:val="18"/>
                <w:bdr w:val="nil"/>
                <w:lang w:val="sl-SI" w:eastAsia="en-GB"/>
              </w:rPr>
              <w:t>Ti stroški naj bi pokrivali aktivnosti mobilnosti za omejen čas trajanja.</w:t>
            </w:r>
          </w:p>
          <w:p w14:paraId="7D3993C5" w14:textId="77777777" w:rsidR="00E03711" w:rsidRPr="001E051C" w:rsidRDefault="00E03711" w:rsidP="009A2C2A">
            <w:pPr>
              <w:widowControl/>
              <w:suppressAutoHyphens w:val="0"/>
              <w:autoSpaceDN/>
              <w:spacing w:line="276" w:lineRule="auto"/>
              <w:jc w:val="both"/>
              <w:textAlignment w:val="auto"/>
              <w:rPr>
                <w:rFonts w:asciiTheme="minorHAnsi" w:hAnsiTheme="minorHAnsi"/>
                <w:kern w:val="0"/>
                <w:sz w:val="18"/>
                <w:szCs w:val="18"/>
                <w:lang w:val="en-GB" w:eastAsia="en-GB"/>
              </w:rPr>
            </w:pPr>
            <w:r w:rsidRPr="001E051C">
              <w:rPr>
                <w:rFonts w:asciiTheme="minorHAnsi" w:eastAsia="Times New Roman" w:hAnsiTheme="minorHAnsi" w:cs="Times New Roman"/>
                <w:kern w:val="0"/>
                <w:sz w:val="18"/>
                <w:szCs w:val="18"/>
                <w:bdr w:val="nil"/>
                <w:lang w:val="sl-SI" w:eastAsia="en-GB"/>
              </w:rPr>
              <w:t>(največ 3 mesece)</w:t>
            </w:r>
            <w:r w:rsidRPr="001E051C">
              <w:rPr>
                <w:rFonts w:asciiTheme="minorHAnsi" w:eastAsia="Times New Roman" w:hAnsiTheme="minorHAnsi" w:cs="Times New Roman"/>
                <w:kern w:val="0"/>
                <w:sz w:val="18"/>
                <w:szCs w:val="18"/>
                <w:bdr w:val="nil"/>
                <w:vertAlign w:val="superscript"/>
                <w:lang w:val="sl-SI" w:eastAsia="en-GB"/>
              </w:rPr>
              <w:t xml:space="preserve"> </w:t>
            </w:r>
            <w:r w:rsidRPr="001E051C">
              <w:rPr>
                <w:rStyle w:val="FootnoteReference"/>
                <w:rFonts w:asciiTheme="minorHAnsi" w:hAnsiTheme="minorHAnsi"/>
                <w:kern w:val="0"/>
                <w:sz w:val="18"/>
                <w:szCs w:val="18"/>
                <w:lang w:val="en-GB" w:eastAsia="en-GB"/>
              </w:rPr>
              <w:footnoteReference w:id="118"/>
            </w:r>
            <w:r w:rsidRPr="001E051C">
              <w:rPr>
                <w:rFonts w:asciiTheme="minorHAnsi" w:eastAsia="Times New Roman" w:hAnsiTheme="minorHAnsi" w:cs="Times New Roman"/>
                <w:kern w:val="0"/>
                <w:sz w:val="18"/>
                <w:szCs w:val="18"/>
                <w:bdr w:val="nil"/>
                <w:lang w:val="sl-SI" w:eastAsia="en-GB"/>
              </w:rPr>
              <w:t>.</w:t>
            </w:r>
          </w:p>
        </w:tc>
      </w:tr>
      <w:tr w:rsidR="00E03711" w:rsidRPr="00C60205" w14:paraId="7D3993CC" w14:textId="77777777" w:rsidTr="001F01BF">
        <w:trPr>
          <w:trHeight w:val="1157"/>
        </w:trPr>
        <w:tc>
          <w:tcPr>
            <w:tcW w:w="1253" w:type="dxa"/>
          </w:tcPr>
          <w:p w14:paraId="7D3993C7" w14:textId="77777777" w:rsidR="00E03711" w:rsidRPr="001E051C" w:rsidRDefault="00E03711" w:rsidP="009A2C2A">
            <w:pPr>
              <w:widowControl/>
              <w:suppressAutoHyphens w:val="0"/>
              <w:autoSpaceDN/>
              <w:spacing w:after="200" w:line="276" w:lineRule="auto"/>
              <w:ind w:right="-62"/>
              <w:contextualSpacing/>
              <w:textAlignment w:val="auto"/>
              <w:rPr>
                <w:rFonts w:asciiTheme="minorHAnsi" w:hAnsiTheme="minorHAnsi"/>
                <w:b/>
                <w:kern w:val="0"/>
                <w:sz w:val="18"/>
                <w:szCs w:val="18"/>
                <w:lang w:val="en-GB" w:eastAsia="en-US"/>
              </w:rPr>
            </w:pPr>
            <w:r w:rsidRPr="001E051C">
              <w:rPr>
                <w:rFonts w:asciiTheme="minorHAnsi" w:eastAsia="Times New Roman" w:hAnsiTheme="minorHAnsi" w:cs="Times New Roman"/>
                <w:b/>
                <w:bCs/>
                <w:kern w:val="0"/>
                <w:sz w:val="18"/>
                <w:szCs w:val="18"/>
                <w:bdr w:val="nil"/>
                <w:lang w:val="sl-SI" w:eastAsia="en-US"/>
              </w:rPr>
              <w:t>1.4 Oprema</w:t>
            </w:r>
          </w:p>
        </w:tc>
        <w:tc>
          <w:tcPr>
            <w:tcW w:w="2545" w:type="dxa"/>
          </w:tcPr>
          <w:p w14:paraId="7D3993C8" w14:textId="77777777" w:rsidR="00E03711" w:rsidRPr="001E051C" w:rsidRDefault="00E03711" w:rsidP="009A2C2A">
            <w:pPr>
              <w:widowControl/>
              <w:suppressAutoHyphens w:val="0"/>
              <w:autoSpaceDE w:val="0"/>
              <w:adjustRightInd w:val="0"/>
              <w:jc w:val="both"/>
              <w:textAlignment w:val="auto"/>
              <w:rPr>
                <w:rFonts w:asciiTheme="minorHAnsi" w:hAnsiTheme="minorHAnsi" w:cs="Calibri"/>
                <w:color w:val="000000"/>
                <w:kern w:val="0"/>
                <w:sz w:val="18"/>
                <w:szCs w:val="18"/>
                <w:lang w:val="en-GB" w:eastAsia="en-US"/>
              </w:rPr>
            </w:pPr>
            <w:r w:rsidRPr="001E051C">
              <w:rPr>
                <w:rFonts w:asciiTheme="minorHAnsi" w:eastAsia="Calibri" w:hAnsiTheme="minorHAnsi" w:cs="Calibri"/>
                <w:color w:val="000000"/>
                <w:kern w:val="0"/>
                <w:sz w:val="18"/>
                <w:szCs w:val="18"/>
                <w:bdr w:val="nil"/>
                <w:lang w:val="sl-SI" w:eastAsia="en-US"/>
              </w:rPr>
              <w:t xml:space="preserve">Stroški amortizacije za opremo in druga sredstva (nova in rabljena), če jih sodelujoče visokošolske institucije dejansko imajo. </w:t>
            </w:r>
          </w:p>
        </w:tc>
        <w:tc>
          <w:tcPr>
            <w:tcW w:w="1343" w:type="dxa"/>
          </w:tcPr>
          <w:p w14:paraId="7D3993C9"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p>
        </w:tc>
        <w:tc>
          <w:tcPr>
            <w:tcW w:w="1200" w:type="dxa"/>
          </w:tcPr>
          <w:p w14:paraId="7D3993CA"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r w:rsidRPr="001E051C">
              <w:rPr>
                <w:rFonts w:asciiTheme="minorHAnsi" w:eastAsia="Times New Roman" w:hAnsiTheme="minorHAnsi" w:cs="Times New Roman"/>
                <w:b/>
                <w:bCs/>
                <w:kern w:val="0"/>
                <w:sz w:val="18"/>
                <w:szCs w:val="18"/>
                <w:bdr w:val="nil"/>
                <w:lang w:val="sl-SI" w:eastAsia="en-GB"/>
              </w:rPr>
              <w:t xml:space="preserve">Največ </w:t>
            </w:r>
            <w:r>
              <w:rPr>
                <w:rFonts w:asciiTheme="minorHAnsi" w:eastAsia="Times New Roman" w:hAnsiTheme="minorHAnsi" w:cs="Times New Roman"/>
                <w:b/>
                <w:bCs/>
                <w:kern w:val="0"/>
                <w:sz w:val="18"/>
                <w:szCs w:val="18"/>
                <w:bdr w:val="nil"/>
                <w:lang w:val="sl-SI" w:eastAsia="en-GB"/>
              </w:rPr>
              <w:t>8</w:t>
            </w:r>
            <w:r w:rsidRPr="001E051C">
              <w:rPr>
                <w:rFonts w:asciiTheme="minorHAnsi" w:eastAsia="Times New Roman" w:hAnsiTheme="minorHAnsi" w:cs="Times New Roman"/>
                <w:b/>
                <w:bCs/>
                <w:kern w:val="0"/>
                <w:sz w:val="18"/>
                <w:szCs w:val="18"/>
                <w:bdr w:val="nil"/>
                <w:lang w:val="sl-SI" w:eastAsia="en-GB"/>
              </w:rPr>
              <w:t xml:space="preserve"> % skupnih neposrednih upravičenih stroškov.</w:t>
            </w:r>
          </w:p>
        </w:tc>
        <w:tc>
          <w:tcPr>
            <w:tcW w:w="3127" w:type="dxa"/>
          </w:tcPr>
          <w:p w14:paraId="7D3993CB" w14:textId="77777777" w:rsidR="00E03711" w:rsidRPr="001E051C" w:rsidRDefault="00E03711" w:rsidP="009A2C2A">
            <w:pPr>
              <w:widowControl/>
              <w:suppressAutoHyphens w:val="0"/>
              <w:autoSpaceDN/>
              <w:spacing w:line="276" w:lineRule="auto"/>
              <w:jc w:val="both"/>
              <w:textAlignment w:val="auto"/>
              <w:rPr>
                <w:rFonts w:asciiTheme="minorHAnsi" w:hAnsiTheme="minorHAnsi"/>
                <w:kern w:val="0"/>
                <w:sz w:val="18"/>
                <w:szCs w:val="18"/>
                <w:lang w:val="sl-SI" w:eastAsia="en-GB"/>
              </w:rPr>
            </w:pPr>
            <w:r w:rsidRPr="001E051C">
              <w:rPr>
                <w:rFonts w:asciiTheme="minorHAnsi" w:eastAsia="Times New Roman" w:hAnsiTheme="minorHAnsi" w:cs="Times New Roman"/>
                <w:kern w:val="0"/>
                <w:sz w:val="18"/>
                <w:szCs w:val="18"/>
                <w:bdr w:val="nil"/>
                <w:lang w:val="sl-SI" w:eastAsia="en-GB"/>
              </w:rPr>
              <w:t>Upošteva se le tisti del amortizacije, najema in lizinga, ki ustreza trajanju obdobja financiranja in deležu dejanske uporabe,</w:t>
            </w:r>
            <w:r w:rsidRPr="001E051C">
              <w:rPr>
                <w:rFonts w:asciiTheme="minorHAnsi" w:eastAsia="Calibri" w:hAnsiTheme="minorHAnsi" w:cs="Calibri"/>
                <w:color w:val="000000"/>
                <w:kern w:val="0"/>
                <w:sz w:val="18"/>
                <w:szCs w:val="18"/>
                <w:bdr w:val="nil"/>
                <w:lang w:val="sl-SI" w:eastAsia="en-GB"/>
              </w:rPr>
              <w:t xml:space="preserve"> </w:t>
            </w:r>
            <w:r w:rsidRPr="001E051C">
              <w:rPr>
                <w:rFonts w:asciiTheme="minorHAnsi" w:eastAsia="Times New Roman" w:hAnsiTheme="minorHAnsi" w:cs="Times New Roman"/>
                <w:kern w:val="0"/>
                <w:sz w:val="18"/>
                <w:szCs w:val="18"/>
                <w:bdr w:val="nil"/>
                <w:lang w:val="sl-SI" w:eastAsia="en-GB"/>
              </w:rPr>
              <w:t>za namene ukrepa. Upravičeni so le tisti stroški amortizacije za o</w:t>
            </w:r>
            <w:r w:rsidRPr="001E051C">
              <w:rPr>
                <w:rFonts w:asciiTheme="minorHAnsi" w:eastAsia="Calibri" w:hAnsiTheme="minorHAnsi" w:cs="Calibri"/>
                <w:color w:val="000000"/>
                <w:kern w:val="0"/>
                <w:sz w:val="18"/>
                <w:szCs w:val="18"/>
                <w:bdr w:val="nil"/>
                <w:lang w:val="sl-SI" w:eastAsia="en-GB"/>
              </w:rPr>
              <w:t>premo ali druga sredstva, ki so neposredno povezani z razvojem inovativnih pedagogik ter mešanih in/ali učnih aktivnosti z delovnega mesta.</w:t>
            </w:r>
          </w:p>
        </w:tc>
      </w:tr>
      <w:tr w:rsidR="00E03711" w:rsidRPr="00C60205" w14:paraId="7D3993DD" w14:textId="77777777" w:rsidTr="001F01BF">
        <w:trPr>
          <w:trHeight w:val="3774"/>
        </w:trPr>
        <w:tc>
          <w:tcPr>
            <w:tcW w:w="1253" w:type="dxa"/>
          </w:tcPr>
          <w:p w14:paraId="7D3993CD" w14:textId="77777777" w:rsidR="00E03711" w:rsidRPr="001E051C" w:rsidRDefault="00E03711" w:rsidP="009A2C2A">
            <w:pPr>
              <w:widowControl/>
              <w:suppressAutoHyphens w:val="0"/>
              <w:autoSpaceDN/>
              <w:spacing w:after="200" w:line="276" w:lineRule="auto"/>
              <w:ind w:right="-62"/>
              <w:contextualSpacing/>
              <w:textAlignment w:val="auto"/>
              <w:rPr>
                <w:rFonts w:asciiTheme="minorHAnsi" w:hAnsiTheme="minorHAnsi"/>
                <w:b/>
                <w:kern w:val="0"/>
                <w:sz w:val="18"/>
                <w:szCs w:val="18"/>
                <w:lang w:val="en-GB" w:eastAsia="en-US"/>
              </w:rPr>
            </w:pPr>
            <w:r w:rsidRPr="001E051C">
              <w:rPr>
                <w:rFonts w:asciiTheme="minorHAnsi" w:eastAsia="Times New Roman" w:hAnsiTheme="minorHAnsi" w:cs="Times New Roman"/>
                <w:b/>
                <w:bCs/>
                <w:kern w:val="0"/>
                <w:sz w:val="18"/>
                <w:szCs w:val="18"/>
                <w:bdr w:val="nil"/>
                <w:lang w:val="sl-SI" w:eastAsia="en-US"/>
              </w:rPr>
              <w:t>1.5 Drugi stroški</w:t>
            </w:r>
          </w:p>
        </w:tc>
        <w:tc>
          <w:tcPr>
            <w:tcW w:w="2545" w:type="dxa"/>
          </w:tcPr>
          <w:p w14:paraId="7D3993CE" w14:textId="77777777" w:rsidR="00E03711" w:rsidRPr="001E051C" w:rsidRDefault="00E03711" w:rsidP="009A2C2A">
            <w:pPr>
              <w:widowControl/>
              <w:suppressAutoHyphens w:val="0"/>
              <w:autoSpaceDE w:val="0"/>
              <w:adjustRightInd w:val="0"/>
              <w:textAlignment w:val="auto"/>
              <w:rPr>
                <w:rFonts w:asciiTheme="minorHAnsi" w:hAnsiTheme="minorHAnsi" w:cs="Calibri"/>
                <w:color w:val="000000"/>
                <w:kern w:val="0"/>
                <w:sz w:val="18"/>
                <w:szCs w:val="18"/>
                <w:lang w:val="en-GB" w:eastAsia="en-US"/>
              </w:rPr>
            </w:pPr>
            <w:r w:rsidRPr="001E051C">
              <w:rPr>
                <w:rFonts w:asciiTheme="minorHAnsi" w:eastAsia="Calibri" w:hAnsiTheme="minorHAnsi" w:cs="Calibri"/>
                <w:color w:val="000000"/>
                <w:kern w:val="0"/>
                <w:sz w:val="18"/>
                <w:szCs w:val="18"/>
                <w:bdr w:val="nil"/>
                <w:lang w:val="sl-SI" w:eastAsia="en-US"/>
              </w:rPr>
              <w:t>Stroški, povezani z:</w:t>
            </w:r>
          </w:p>
          <w:p w14:paraId="7D3993CF" w14:textId="77777777" w:rsidR="00E03711" w:rsidRPr="004A5DFA" w:rsidRDefault="00E03711" w:rsidP="002D7FF4">
            <w:pPr>
              <w:widowControl/>
              <w:numPr>
                <w:ilvl w:val="0"/>
                <w:numId w:val="98"/>
              </w:numPr>
              <w:suppressAutoHyphens w:val="0"/>
              <w:autoSpaceDE w:val="0"/>
              <w:autoSpaceDN/>
              <w:adjustRightInd w:val="0"/>
              <w:textAlignment w:val="auto"/>
              <w:rPr>
                <w:rFonts w:asciiTheme="minorHAnsi" w:hAnsiTheme="minorHAnsi" w:cs="Calibri"/>
                <w:color w:val="000000"/>
                <w:kern w:val="0"/>
                <w:sz w:val="18"/>
                <w:szCs w:val="18"/>
                <w:lang w:val="en-GB" w:eastAsia="en-US"/>
              </w:rPr>
            </w:pPr>
            <w:r w:rsidRPr="001E051C">
              <w:rPr>
                <w:rFonts w:asciiTheme="minorHAnsi" w:eastAsia="Calibri" w:hAnsiTheme="minorHAnsi" w:cs="Calibri"/>
                <w:color w:val="000000"/>
                <w:kern w:val="0"/>
                <w:sz w:val="18"/>
                <w:szCs w:val="18"/>
                <w:bdr w:val="nil"/>
                <w:lang w:val="sl-SI" w:eastAsia="en-US"/>
              </w:rPr>
              <w:t>Prenosom najboljših praks na visokošolske institucije zunaj koalicije</w:t>
            </w:r>
          </w:p>
          <w:p w14:paraId="7D3993D0" w14:textId="77777777" w:rsidR="00E03711" w:rsidRPr="004A5DFA" w:rsidRDefault="00E03711" w:rsidP="002D7FF4">
            <w:pPr>
              <w:widowControl/>
              <w:numPr>
                <w:ilvl w:val="0"/>
                <w:numId w:val="98"/>
              </w:numPr>
              <w:suppressAutoHyphens w:val="0"/>
              <w:autoSpaceDE w:val="0"/>
              <w:autoSpaceDN/>
              <w:adjustRightInd w:val="0"/>
              <w:textAlignment w:val="auto"/>
              <w:rPr>
                <w:rFonts w:asciiTheme="minorHAnsi" w:hAnsiTheme="minorHAnsi" w:cs="Calibri"/>
                <w:color w:val="000000"/>
                <w:kern w:val="0"/>
                <w:sz w:val="18"/>
                <w:szCs w:val="18"/>
                <w:lang w:val="en-GB" w:eastAsia="en-US"/>
              </w:rPr>
            </w:pPr>
            <w:r w:rsidRPr="001E051C">
              <w:rPr>
                <w:rFonts w:asciiTheme="minorHAnsi" w:eastAsia="Calibri" w:hAnsiTheme="minorHAnsi" w:cs="Calibri"/>
                <w:color w:val="000000"/>
                <w:kern w:val="0"/>
                <w:sz w:val="18"/>
                <w:szCs w:val="18"/>
                <w:bdr w:val="nil"/>
                <w:lang w:val="sl-SI" w:eastAsia="en-US"/>
              </w:rPr>
              <w:t>Razširjanje znanja in informacij (npr. oglaševanje v medijih, promocijska gradiva in aktivnosti);</w:t>
            </w:r>
          </w:p>
          <w:p w14:paraId="7D3993D1" w14:textId="77777777" w:rsidR="00E03711" w:rsidRPr="001E051C" w:rsidRDefault="00E03711" w:rsidP="002D7FF4">
            <w:pPr>
              <w:widowControl/>
              <w:numPr>
                <w:ilvl w:val="0"/>
                <w:numId w:val="98"/>
              </w:numPr>
              <w:suppressAutoHyphens w:val="0"/>
              <w:autoSpaceDE w:val="0"/>
              <w:autoSpaceDN/>
              <w:adjustRightInd w:val="0"/>
              <w:textAlignment w:val="auto"/>
              <w:rPr>
                <w:rFonts w:asciiTheme="minorHAnsi" w:hAnsiTheme="minorHAnsi" w:cs="Calibri"/>
                <w:color w:val="000000"/>
                <w:kern w:val="0"/>
                <w:sz w:val="18"/>
                <w:szCs w:val="18"/>
                <w:lang w:val="en-GB" w:eastAsia="en-US"/>
              </w:rPr>
            </w:pPr>
            <w:r w:rsidRPr="001E051C">
              <w:rPr>
                <w:rFonts w:asciiTheme="minorHAnsi" w:eastAsia="Calibri" w:hAnsiTheme="minorHAnsi" w:cs="Calibri"/>
                <w:color w:val="000000"/>
                <w:kern w:val="0"/>
                <w:sz w:val="18"/>
                <w:szCs w:val="18"/>
                <w:bdr w:val="nil"/>
                <w:lang w:val="sl-SI" w:eastAsia="en-US"/>
              </w:rPr>
              <w:t xml:space="preserve">Najem prostorov za večje dogodke </w:t>
            </w:r>
          </w:p>
          <w:p w14:paraId="7D3993D2" w14:textId="77777777" w:rsidR="00E03711" w:rsidRPr="001E051C" w:rsidRDefault="00E03711" w:rsidP="002D7FF4">
            <w:pPr>
              <w:widowControl/>
              <w:numPr>
                <w:ilvl w:val="0"/>
                <w:numId w:val="98"/>
              </w:numPr>
              <w:suppressAutoHyphens w:val="0"/>
              <w:autoSpaceDE w:val="0"/>
              <w:autoSpaceDN/>
              <w:adjustRightInd w:val="0"/>
              <w:textAlignment w:val="auto"/>
              <w:rPr>
                <w:rFonts w:asciiTheme="minorHAnsi" w:hAnsiTheme="minorHAnsi" w:cs="Calibri"/>
                <w:color w:val="000000"/>
                <w:kern w:val="0"/>
                <w:sz w:val="18"/>
                <w:szCs w:val="18"/>
                <w:lang w:val="en-GB" w:eastAsia="en-US"/>
              </w:rPr>
            </w:pPr>
            <w:r w:rsidRPr="001E051C">
              <w:rPr>
                <w:rFonts w:asciiTheme="minorHAnsi" w:eastAsia="Calibri" w:hAnsiTheme="minorHAnsi" w:cs="Calibri"/>
                <w:color w:val="000000"/>
                <w:kern w:val="0"/>
                <w:sz w:val="18"/>
                <w:szCs w:val="18"/>
                <w:bdr w:val="nil"/>
                <w:lang w:val="sl-SI" w:eastAsia="en-US"/>
              </w:rPr>
              <w:t>Revizije;</w:t>
            </w:r>
          </w:p>
          <w:p w14:paraId="7D3993D3" w14:textId="77777777" w:rsidR="00E03711" w:rsidRPr="001E051C" w:rsidRDefault="00E03711" w:rsidP="002D7FF4">
            <w:pPr>
              <w:widowControl/>
              <w:numPr>
                <w:ilvl w:val="0"/>
                <w:numId w:val="98"/>
              </w:numPr>
              <w:suppressAutoHyphens w:val="0"/>
              <w:autoSpaceDE w:val="0"/>
              <w:autoSpaceDN/>
              <w:adjustRightInd w:val="0"/>
              <w:textAlignment w:val="auto"/>
              <w:rPr>
                <w:rFonts w:asciiTheme="minorHAnsi" w:hAnsiTheme="minorHAnsi" w:cs="Calibri"/>
                <w:color w:val="000000"/>
                <w:kern w:val="0"/>
                <w:sz w:val="18"/>
                <w:szCs w:val="18"/>
                <w:lang w:val="en-GB" w:eastAsia="en-US"/>
              </w:rPr>
            </w:pPr>
            <w:r w:rsidRPr="001E051C">
              <w:rPr>
                <w:rFonts w:asciiTheme="minorHAnsi" w:eastAsia="Calibri" w:hAnsiTheme="minorHAnsi" w:cs="Calibri"/>
                <w:color w:val="000000"/>
                <w:kern w:val="0"/>
                <w:sz w:val="18"/>
                <w:szCs w:val="18"/>
                <w:bdr w:val="nil"/>
                <w:lang w:val="sl-SI" w:eastAsia="en-US"/>
              </w:rPr>
              <w:t>Bančni stroški, vključno z bančnimi garancijami, če to zahteva izvajalska agencija;</w:t>
            </w:r>
          </w:p>
          <w:p w14:paraId="7D3993D4" w14:textId="77777777" w:rsidR="00E03711" w:rsidRPr="0030441A" w:rsidRDefault="00E03711" w:rsidP="002D7FF4">
            <w:pPr>
              <w:widowControl/>
              <w:numPr>
                <w:ilvl w:val="0"/>
                <w:numId w:val="98"/>
              </w:numPr>
              <w:suppressAutoHyphens w:val="0"/>
              <w:autoSpaceDE w:val="0"/>
              <w:autoSpaceDN/>
              <w:adjustRightInd w:val="0"/>
              <w:textAlignment w:val="auto"/>
              <w:rPr>
                <w:rFonts w:asciiTheme="minorHAnsi" w:hAnsiTheme="minorHAnsi" w:cs="Calibri"/>
                <w:b/>
                <w:color w:val="000000"/>
                <w:kern w:val="0"/>
                <w:sz w:val="18"/>
                <w:szCs w:val="18"/>
                <w:lang w:val="pl-PL" w:eastAsia="en-US"/>
              </w:rPr>
            </w:pPr>
            <w:r w:rsidRPr="001E051C">
              <w:rPr>
                <w:rFonts w:asciiTheme="minorHAnsi" w:eastAsia="Calibri" w:hAnsiTheme="minorHAnsi" w:cs="Calibri"/>
                <w:color w:val="000000"/>
                <w:kern w:val="0"/>
                <w:sz w:val="18"/>
                <w:szCs w:val="18"/>
                <w:bdr w:val="nil"/>
                <w:lang w:val="sl-SI" w:eastAsia="en-US"/>
              </w:rPr>
              <w:t xml:space="preserve">Najem podizvajalcev za specifične naloge; </w:t>
            </w:r>
          </w:p>
          <w:p w14:paraId="7D3993D5" w14:textId="77777777" w:rsidR="00E03711" w:rsidRPr="0030441A" w:rsidRDefault="00E03711" w:rsidP="002D7FF4">
            <w:pPr>
              <w:widowControl/>
              <w:numPr>
                <w:ilvl w:val="0"/>
                <w:numId w:val="98"/>
              </w:numPr>
              <w:suppressAutoHyphens w:val="0"/>
              <w:autoSpaceDE w:val="0"/>
              <w:autoSpaceDN/>
              <w:adjustRightInd w:val="0"/>
              <w:textAlignment w:val="auto"/>
              <w:rPr>
                <w:rFonts w:asciiTheme="minorHAnsi" w:hAnsiTheme="minorHAnsi" w:cs="Calibri"/>
                <w:color w:val="000000"/>
                <w:kern w:val="0"/>
                <w:sz w:val="18"/>
                <w:szCs w:val="18"/>
                <w:lang w:val="pl-PL" w:eastAsia="en-US"/>
              </w:rPr>
            </w:pPr>
            <w:r w:rsidRPr="001E051C">
              <w:rPr>
                <w:rFonts w:asciiTheme="minorHAnsi" w:eastAsia="Times New Roman" w:hAnsiTheme="minorHAnsi" w:cs="Times New Roman"/>
                <w:color w:val="000000"/>
                <w:kern w:val="0"/>
                <w:sz w:val="18"/>
                <w:szCs w:val="18"/>
                <w:bdr w:val="nil"/>
                <w:lang w:val="sl-SI" w:eastAsia="en-US"/>
              </w:rPr>
              <w:t xml:space="preserve">Potni stroški in/ali stroški za bivanje tretjih oseb (strokovnjakov, profesorjev, govorcev itd.), ki prispevajo k aktivnostim </w:t>
            </w:r>
            <w:r w:rsidRPr="001E051C">
              <w:rPr>
                <w:rFonts w:asciiTheme="minorHAnsi" w:eastAsia="Times New Roman" w:hAnsiTheme="minorHAnsi" w:cs="Times New Roman"/>
                <w:kern w:val="0"/>
                <w:sz w:val="18"/>
                <w:szCs w:val="18"/>
                <w:bdr w:val="nil"/>
                <w:lang w:val="sl-SI" w:eastAsia="en-US"/>
              </w:rPr>
              <w:t>Evropske univerze</w:t>
            </w:r>
          </w:p>
        </w:tc>
        <w:tc>
          <w:tcPr>
            <w:tcW w:w="1343" w:type="dxa"/>
          </w:tcPr>
          <w:p w14:paraId="7D3993D6" w14:textId="77777777" w:rsidR="00E03711" w:rsidRPr="0030441A" w:rsidRDefault="00E03711" w:rsidP="009A2C2A">
            <w:pPr>
              <w:widowControl/>
              <w:suppressAutoHyphens w:val="0"/>
              <w:autoSpaceDN/>
              <w:spacing w:line="276" w:lineRule="auto"/>
              <w:textAlignment w:val="auto"/>
              <w:rPr>
                <w:rFonts w:asciiTheme="minorHAnsi" w:hAnsiTheme="minorHAnsi"/>
                <w:b/>
                <w:kern w:val="0"/>
                <w:sz w:val="18"/>
                <w:szCs w:val="18"/>
                <w:lang w:val="pl-PL" w:eastAsia="en-GB"/>
              </w:rPr>
            </w:pPr>
          </w:p>
        </w:tc>
        <w:tc>
          <w:tcPr>
            <w:tcW w:w="1200" w:type="dxa"/>
          </w:tcPr>
          <w:p w14:paraId="7D3993D7" w14:textId="77777777" w:rsidR="00E03711" w:rsidRPr="0030441A" w:rsidRDefault="00E03711" w:rsidP="009A2C2A">
            <w:pPr>
              <w:widowControl/>
              <w:suppressAutoHyphens w:val="0"/>
              <w:autoSpaceDN/>
              <w:spacing w:line="276" w:lineRule="auto"/>
              <w:textAlignment w:val="auto"/>
              <w:rPr>
                <w:rFonts w:asciiTheme="minorHAnsi" w:hAnsiTheme="minorHAnsi"/>
                <w:b/>
                <w:kern w:val="0"/>
                <w:sz w:val="18"/>
                <w:szCs w:val="18"/>
                <w:lang w:val="pl-PL" w:eastAsia="en-GB"/>
              </w:rPr>
            </w:pPr>
            <w:r w:rsidRPr="001E051C">
              <w:rPr>
                <w:rFonts w:asciiTheme="minorHAnsi" w:eastAsia="Times New Roman" w:hAnsiTheme="minorHAnsi" w:cs="Times New Roman"/>
                <w:b/>
                <w:bCs/>
                <w:kern w:val="0"/>
                <w:sz w:val="18"/>
                <w:szCs w:val="18"/>
                <w:bdr w:val="nil"/>
                <w:lang w:val="sl-SI" w:eastAsia="en-GB"/>
              </w:rPr>
              <w:t>Največ 5 % skupnih neposrednih upravičenih stroškov.</w:t>
            </w:r>
          </w:p>
        </w:tc>
        <w:tc>
          <w:tcPr>
            <w:tcW w:w="3127" w:type="dxa"/>
          </w:tcPr>
          <w:p w14:paraId="7D3993D8" w14:textId="77777777" w:rsidR="00E03711" w:rsidRPr="001E051C" w:rsidRDefault="00E03711" w:rsidP="009A2C2A">
            <w:pPr>
              <w:widowControl/>
              <w:suppressAutoHyphens w:val="0"/>
              <w:autoSpaceDE w:val="0"/>
              <w:adjustRightInd w:val="0"/>
              <w:jc w:val="both"/>
              <w:textAlignment w:val="auto"/>
              <w:rPr>
                <w:rFonts w:asciiTheme="minorHAnsi" w:hAnsiTheme="minorHAnsi" w:cs="Calibri"/>
                <w:color w:val="000000"/>
                <w:kern w:val="0"/>
                <w:sz w:val="18"/>
                <w:szCs w:val="18"/>
                <w:lang w:val="sl-SI" w:eastAsia="en-US"/>
              </w:rPr>
            </w:pPr>
            <w:r w:rsidRPr="001E051C">
              <w:rPr>
                <w:rFonts w:asciiTheme="minorHAnsi" w:eastAsia="Calibri" w:hAnsiTheme="minorHAnsi" w:cs="Calibri"/>
                <w:color w:val="000000"/>
                <w:kern w:val="0"/>
                <w:sz w:val="18"/>
                <w:szCs w:val="18"/>
                <w:bdr w:val="nil"/>
                <w:lang w:val="sl-SI" w:eastAsia="en-US"/>
              </w:rPr>
              <w:t xml:space="preserve">Najem podizvajalca je možen le v upravičenih primerih za specifične, časovno omejene, projektne naloge, če te ne morejo izvesti člani konzorcija sami ali kjer narava aktivnosti dejansko zahteva zunanje izvajalce. Najemanje podizvajalcev za ključne aktivnosti, kot so poučevanje in/ali upravljanje projekta (splošno upravljanje in koordiniranje, spremljanje, finančno upravljanje, poročanje EACEA (Education Audiovisual and Culture Executive Agency [Izvajalska agencija za izobraževanje, avdiovizualno področje in kulturo])) ni mogoče. </w:t>
            </w:r>
          </w:p>
          <w:p w14:paraId="7D3993D9" w14:textId="77777777" w:rsidR="00E03711" w:rsidRPr="001E051C" w:rsidRDefault="00E03711" w:rsidP="009A2C2A">
            <w:pPr>
              <w:widowControl/>
              <w:suppressAutoHyphens w:val="0"/>
              <w:autoSpaceDE w:val="0"/>
              <w:adjustRightInd w:val="0"/>
              <w:jc w:val="both"/>
              <w:textAlignment w:val="auto"/>
              <w:rPr>
                <w:rFonts w:asciiTheme="minorHAnsi" w:hAnsiTheme="minorHAnsi" w:cs="Calibri"/>
                <w:color w:val="000000"/>
                <w:kern w:val="0"/>
                <w:sz w:val="18"/>
                <w:szCs w:val="18"/>
                <w:lang w:val="sl-SI" w:eastAsia="en-US"/>
              </w:rPr>
            </w:pPr>
          </w:p>
          <w:p w14:paraId="7D3993DA" w14:textId="77777777" w:rsidR="00E03711" w:rsidRPr="001E051C" w:rsidRDefault="00E03711" w:rsidP="009A2C2A">
            <w:pPr>
              <w:widowControl/>
              <w:suppressAutoHyphens w:val="0"/>
              <w:autoSpaceDE w:val="0"/>
              <w:adjustRightInd w:val="0"/>
              <w:jc w:val="both"/>
              <w:textAlignment w:val="auto"/>
              <w:rPr>
                <w:rFonts w:asciiTheme="minorHAnsi" w:hAnsiTheme="minorHAnsi"/>
                <w:sz w:val="18"/>
                <w:szCs w:val="18"/>
                <w:lang w:val="sl-SI"/>
              </w:rPr>
            </w:pPr>
            <w:r w:rsidRPr="001E051C">
              <w:rPr>
                <w:rFonts w:asciiTheme="minorHAnsi" w:eastAsia="Calibri" w:hAnsiTheme="minorHAnsi" w:cs="Calibri"/>
                <w:color w:val="000000"/>
                <w:kern w:val="0"/>
                <w:sz w:val="18"/>
                <w:szCs w:val="18"/>
                <w:bdr w:val="nil"/>
                <w:lang w:val="sl-SI" w:eastAsia="en-US"/>
              </w:rPr>
              <w:t>S člani osebja soupravičencev se ne smejo sklepati pogodbe o podizvajanju.</w:t>
            </w:r>
            <w:r w:rsidRPr="001E051C">
              <w:rPr>
                <w:rFonts w:asciiTheme="minorHAnsi" w:eastAsia="Times New Roman" w:hAnsiTheme="minorHAnsi" w:cs="Times New Roman"/>
                <w:kern w:val="0"/>
                <w:sz w:val="18"/>
                <w:szCs w:val="18"/>
                <w:bdr w:val="nil"/>
                <w:lang w:val="sl-SI" w:eastAsia="en-US"/>
              </w:rPr>
              <w:t xml:space="preserve"> </w:t>
            </w:r>
          </w:p>
          <w:p w14:paraId="7D3993DB" w14:textId="77777777" w:rsidR="00E03711" w:rsidRPr="001E051C" w:rsidRDefault="00E03711" w:rsidP="009A2C2A">
            <w:pPr>
              <w:widowControl/>
              <w:suppressAutoHyphens w:val="0"/>
              <w:autoSpaceDE w:val="0"/>
              <w:adjustRightInd w:val="0"/>
              <w:jc w:val="both"/>
              <w:textAlignment w:val="auto"/>
              <w:rPr>
                <w:rFonts w:asciiTheme="minorHAnsi" w:hAnsiTheme="minorHAnsi"/>
                <w:sz w:val="18"/>
                <w:szCs w:val="18"/>
                <w:lang w:val="sl-SI"/>
              </w:rPr>
            </w:pPr>
          </w:p>
          <w:p w14:paraId="7D3993DC" w14:textId="77777777" w:rsidR="00E03711" w:rsidRPr="005F062F" w:rsidRDefault="00E03711" w:rsidP="009A2C2A">
            <w:pPr>
              <w:widowControl/>
              <w:suppressAutoHyphens w:val="0"/>
              <w:autoSpaceDE w:val="0"/>
              <w:adjustRightInd w:val="0"/>
              <w:jc w:val="both"/>
              <w:textAlignment w:val="auto"/>
              <w:rPr>
                <w:rFonts w:asciiTheme="minorHAnsi" w:hAnsiTheme="minorHAnsi" w:cs="Calibri"/>
                <w:b/>
                <w:color w:val="000000"/>
                <w:kern w:val="0"/>
                <w:sz w:val="18"/>
                <w:szCs w:val="18"/>
                <w:lang w:val="sl-SI" w:eastAsia="en-US"/>
              </w:rPr>
            </w:pPr>
            <w:r w:rsidRPr="001E051C">
              <w:rPr>
                <w:rFonts w:asciiTheme="minorHAnsi" w:eastAsia="Calibri" w:hAnsiTheme="minorHAnsi" w:cs="Calibri"/>
                <w:color w:val="000000"/>
                <w:kern w:val="0"/>
                <w:sz w:val="18"/>
                <w:szCs w:val="18"/>
                <w:bdr w:val="nil"/>
                <w:lang w:val="sl-SI" w:eastAsia="en-US"/>
              </w:rPr>
              <w:t>Potni stroški in stroški bivanja oseb, ki ne pripadajo eni od partnerskih organizacij, se lahko sofinancirajo, če konzorcij te osebe povabi k sodelovanju pri glavnih aktivnostih Evropske univerze.</w:t>
            </w:r>
          </w:p>
        </w:tc>
      </w:tr>
      <w:tr w:rsidR="00E03711" w:rsidRPr="001E051C" w14:paraId="7D3993E3" w14:textId="77777777" w:rsidTr="001F01BF">
        <w:tc>
          <w:tcPr>
            <w:tcW w:w="1253" w:type="dxa"/>
            <w:shd w:val="clear" w:color="auto" w:fill="F2F2F2" w:themeFill="background1" w:themeFillShade="F2"/>
          </w:tcPr>
          <w:p w14:paraId="7D3993DE"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r w:rsidRPr="001E051C">
              <w:rPr>
                <w:rFonts w:asciiTheme="minorHAnsi" w:eastAsia="Times New Roman" w:hAnsiTheme="minorHAnsi" w:cs="Times New Roman"/>
                <w:b/>
                <w:bCs/>
                <w:kern w:val="0"/>
                <w:sz w:val="18"/>
                <w:szCs w:val="18"/>
                <w:bdr w:val="nil"/>
                <w:lang w:val="sl-SI" w:eastAsia="en-GB"/>
              </w:rPr>
              <w:t>2. POSREDNI STROŠKI</w:t>
            </w:r>
          </w:p>
        </w:tc>
        <w:tc>
          <w:tcPr>
            <w:tcW w:w="2545" w:type="dxa"/>
            <w:shd w:val="clear" w:color="auto" w:fill="F2F2F2" w:themeFill="background1" w:themeFillShade="F2"/>
          </w:tcPr>
          <w:p w14:paraId="7D3993DF" w14:textId="77777777" w:rsidR="00E03711" w:rsidRPr="001E051C" w:rsidRDefault="00E03711" w:rsidP="009A2C2A">
            <w:pPr>
              <w:widowControl/>
              <w:suppressAutoHyphens w:val="0"/>
              <w:autoSpaceDN/>
              <w:spacing w:after="200" w:line="276" w:lineRule="auto"/>
              <w:ind w:left="176"/>
              <w:contextualSpacing/>
              <w:textAlignment w:val="auto"/>
              <w:rPr>
                <w:rFonts w:asciiTheme="minorHAnsi" w:hAnsiTheme="minorHAnsi"/>
                <w:kern w:val="0"/>
                <w:sz w:val="18"/>
                <w:szCs w:val="18"/>
                <w:lang w:val="en-GB" w:eastAsia="en-US"/>
              </w:rPr>
            </w:pPr>
          </w:p>
        </w:tc>
        <w:tc>
          <w:tcPr>
            <w:tcW w:w="1343" w:type="dxa"/>
            <w:shd w:val="clear" w:color="auto" w:fill="F2F2F2" w:themeFill="background1" w:themeFillShade="F2"/>
          </w:tcPr>
          <w:p w14:paraId="7D3993E0" w14:textId="77777777" w:rsidR="00E03711" w:rsidRPr="001E051C" w:rsidRDefault="00E03711" w:rsidP="009A2C2A">
            <w:pPr>
              <w:widowControl/>
              <w:suppressAutoHyphens w:val="0"/>
              <w:autoSpaceDN/>
              <w:spacing w:line="276" w:lineRule="auto"/>
              <w:textAlignment w:val="auto"/>
              <w:rPr>
                <w:rFonts w:asciiTheme="minorHAnsi" w:hAnsiTheme="minorHAnsi"/>
                <w:kern w:val="0"/>
                <w:sz w:val="18"/>
                <w:szCs w:val="18"/>
                <w:lang w:val="en-GB" w:eastAsia="en-GB"/>
              </w:rPr>
            </w:pPr>
            <w:r w:rsidRPr="001E051C">
              <w:rPr>
                <w:rFonts w:asciiTheme="minorHAnsi" w:eastAsia="Times New Roman" w:hAnsiTheme="minorHAnsi" w:cs="Times New Roman"/>
                <w:kern w:val="0"/>
                <w:sz w:val="18"/>
                <w:szCs w:val="18"/>
                <w:bdr w:val="nil"/>
                <w:lang w:val="sl-SI" w:eastAsia="en-GB"/>
              </w:rPr>
              <w:t>do 7 % skupnih neposrednih upravičenih stroškov za ukrep</w:t>
            </w:r>
            <w:r w:rsidRPr="001E051C">
              <w:rPr>
                <w:rStyle w:val="FootnoteReference"/>
                <w:rFonts w:asciiTheme="minorHAnsi" w:hAnsiTheme="minorHAnsi"/>
                <w:kern w:val="0"/>
                <w:sz w:val="18"/>
                <w:szCs w:val="18"/>
                <w:lang w:val="en-GB" w:eastAsia="en-GB"/>
              </w:rPr>
              <w:footnoteReference w:id="119"/>
            </w:r>
            <w:r w:rsidRPr="001E051C">
              <w:rPr>
                <w:rFonts w:asciiTheme="minorHAnsi" w:eastAsia="Times New Roman" w:hAnsiTheme="minorHAnsi" w:cs="Times New Roman"/>
                <w:kern w:val="0"/>
                <w:sz w:val="18"/>
                <w:szCs w:val="18"/>
                <w:bdr w:val="nil"/>
                <w:lang w:val="sl-SI" w:eastAsia="en-GB"/>
              </w:rPr>
              <w:t>.</w:t>
            </w:r>
          </w:p>
        </w:tc>
        <w:tc>
          <w:tcPr>
            <w:tcW w:w="1200" w:type="dxa"/>
            <w:shd w:val="clear" w:color="auto" w:fill="F2F2F2" w:themeFill="background1" w:themeFillShade="F2"/>
          </w:tcPr>
          <w:p w14:paraId="7D3993E1" w14:textId="77777777" w:rsidR="00E03711" w:rsidRPr="001E051C" w:rsidRDefault="00E03711" w:rsidP="009A2C2A">
            <w:pPr>
              <w:widowControl/>
              <w:suppressAutoHyphens w:val="0"/>
              <w:autoSpaceDN/>
              <w:spacing w:line="276" w:lineRule="auto"/>
              <w:textAlignment w:val="auto"/>
              <w:rPr>
                <w:rFonts w:asciiTheme="minorHAnsi" w:hAnsiTheme="minorHAnsi"/>
                <w:b/>
                <w:kern w:val="0"/>
                <w:sz w:val="18"/>
                <w:szCs w:val="18"/>
                <w:lang w:val="en-GB" w:eastAsia="en-GB"/>
              </w:rPr>
            </w:pPr>
          </w:p>
        </w:tc>
        <w:tc>
          <w:tcPr>
            <w:tcW w:w="3127" w:type="dxa"/>
            <w:shd w:val="clear" w:color="auto" w:fill="F2F2F2" w:themeFill="background1" w:themeFillShade="F2"/>
          </w:tcPr>
          <w:p w14:paraId="7D3993E2" w14:textId="77777777" w:rsidR="00E03711" w:rsidRPr="001E051C" w:rsidRDefault="00E03711" w:rsidP="009A2C2A">
            <w:pPr>
              <w:widowControl/>
              <w:suppressAutoHyphens w:val="0"/>
              <w:autoSpaceDN/>
              <w:spacing w:line="276" w:lineRule="auto"/>
              <w:textAlignment w:val="auto"/>
              <w:rPr>
                <w:rFonts w:asciiTheme="minorHAnsi" w:hAnsiTheme="minorHAnsi"/>
                <w:kern w:val="0"/>
                <w:sz w:val="18"/>
                <w:szCs w:val="18"/>
                <w:lang w:val="en-GB" w:eastAsia="en-GB"/>
              </w:rPr>
            </w:pPr>
            <w:r w:rsidRPr="001E051C">
              <w:rPr>
                <w:rFonts w:asciiTheme="minorHAnsi" w:eastAsia="Times New Roman" w:hAnsiTheme="minorHAnsi" w:cs="Times New Roman"/>
                <w:kern w:val="0"/>
                <w:sz w:val="18"/>
                <w:szCs w:val="18"/>
                <w:bdr w:val="nil"/>
                <w:lang w:val="sl-SI" w:eastAsia="en-GB"/>
              </w:rPr>
              <w:t>Pavšalni znesek</w:t>
            </w:r>
          </w:p>
        </w:tc>
      </w:tr>
    </w:tbl>
    <w:p w14:paraId="7D3993E4" w14:textId="77777777" w:rsidR="00E03711" w:rsidRDefault="00E03711">
      <w:pPr>
        <w:pStyle w:val="Guide-Heading4TOC"/>
        <w:rPr>
          <w:lang w:val="sl-SI"/>
        </w:rPr>
      </w:pPr>
      <w:bookmarkStart w:id="221" w:name="_Toc527401153"/>
      <w:r w:rsidRPr="00622434">
        <w:rPr>
          <w:lang w:val="sl-SI"/>
        </w:rPr>
        <w:t>Koalicije znanja</w:t>
      </w:r>
      <w:bookmarkEnd w:id="221"/>
    </w:p>
    <w:p w14:paraId="7D3993E5" w14:textId="77777777" w:rsidR="00E03711" w:rsidRPr="00622434" w:rsidRDefault="00E03711" w:rsidP="00517C47">
      <w:pPr>
        <w:pStyle w:val="Guide-Heading5"/>
        <w:rPr>
          <w:lang w:val="sl-SI"/>
        </w:rPr>
      </w:pPr>
      <w:r w:rsidRPr="00622434">
        <w:rPr>
          <w:lang w:val="sl-SI"/>
        </w:rPr>
        <w:t>Kakšni so cilji in prednostne naloge koalicije znanja?</w:t>
      </w:r>
    </w:p>
    <w:p w14:paraId="7D3993E6" w14:textId="77777777" w:rsidR="00E03711" w:rsidRPr="00622434" w:rsidRDefault="00E03711" w:rsidP="00517C47">
      <w:pPr>
        <w:pStyle w:val="GUIDE-NORMAL"/>
        <w:rPr>
          <w:lang w:val="sl-SI"/>
        </w:rPr>
      </w:pPr>
      <w:r w:rsidRPr="00622434">
        <w:rPr>
          <w:lang w:val="sl-SI"/>
        </w:rPr>
        <w:t>Cilj koalicij znanja je krepitev inovacijske zmogljivosti Evrope in spodbujanje inovacij v visokošolskem izobraževanju, podjetjih in širšem socialno-ekonomskem okolju. Nameravajo doseči enega ali več naslednjih ciljev:</w:t>
      </w:r>
    </w:p>
    <w:p w14:paraId="7D3993E7" w14:textId="77777777" w:rsidR="00E03711" w:rsidRPr="00622434" w:rsidRDefault="00E03711" w:rsidP="005115F2">
      <w:pPr>
        <w:pStyle w:val="Guide-NormalBulletpoints"/>
        <w:numPr>
          <w:ilvl w:val="0"/>
          <w:numId w:val="293"/>
        </w:numPr>
        <w:rPr>
          <w:lang w:val="sl-SI"/>
        </w:rPr>
      </w:pPr>
      <w:r w:rsidRPr="00622434">
        <w:rPr>
          <w:lang w:val="sl-SI"/>
        </w:rPr>
        <w:t xml:space="preserve">razviti nove, inovativne in večdisciplinarne pristope do poučevanja in učenja; </w:t>
      </w:r>
    </w:p>
    <w:p w14:paraId="7D3993E8" w14:textId="77777777" w:rsidR="00E03711" w:rsidRPr="00622434" w:rsidRDefault="00E03711" w:rsidP="005115F2">
      <w:pPr>
        <w:pStyle w:val="Guide-NormalBulletpoints"/>
        <w:numPr>
          <w:ilvl w:val="0"/>
          <w:numId w:val="293"/>
        </w:numPr>
        <w:rPr>
          <w:lang w:val="sl-SI"/>
        </w:rPr>
      </w:pPr>
      <w:r w:rsidRPr="00622434">
        <w:rPr>
          <w:lang w:val="sl-SI"/>
        </w:rPr>
        <w:t>spodbujati podjetništvo in podjetniške veščine osebja v visokošolskem izobraževanju in podjetjih;</w:t>
      </w:r>
    </w:p>
    <w:p w14:paraId="7D3993E9" w14:textId="77777777" w:rsidR="00E03711" w:rsidRPr="00622434" w:rsidRDefault="00E03711" w:rsidP="005115F2">
      <w:pPr>
        <w:pStyle w:val="Guide-NormalBulletpoints"/>
        <w:numPr>
          <w:ilvl w:val="0"/>
          <w:numId w:val="293"/>
        </w:numPr>
        <w:rPr>
          <w:lang w:val="sl-SI"/>
        </w:rPr>
      </w:pPr>
      <w:r w:rsidRPr="00622434">
        <w:rPr>
          <w:lang w:val="sl-SI"/>
        </w:rPr>
        <w:t>lajšati izmenjavo, pretok in soustvarjanje znanja.</w:t>
      </w:r>
    </w:p>
    <w:p w14:paraId="7D3993EA" w14:textId="77777777" w:rsidR="00E03711" w:rsidRDefault="00E03711" w:rsidP="00517C47">
      <w:pPr>
        <w:pStyle w:val="GUIDE-NORMAL"/>
        <w:rPr>
          <w:lang w:val="sl-SI"/>
        </w:rPr>
      </w:pPr>
      <w:r w:rsidRPr="00622434">
        <w:rPr>
          <w:lang w:val="sl-SI"/>
        </w:rPr>
        <w:t>Središče pozornosti je na projektih, ki prispevajo k posodobitvi evropskih visokošolskih sistemov, kot je navedeno v sporočilu EU iz leta 201</w:t>
      </w:r>
      <w:r>
        <w:rPr>
          <w:lang w:val="sl-SI"/>
        </w:rPr>
        <w:t>7</w:t>
      </w:r>
      <w:r w:rsidRPr="00622434">
        <w:rPr>
          <w:lang w:val="sl-SI"/>
        </w:rPr>
        <w:t xml:space="preserve"> o programu za posodobitev evropskih visokošolskih sistemov</w:t>
      </w:r>
      <w:r>
        <w:rPr>
          <w:rStyle w:val="FootnoteReference"/>
          <w:lang w:val="sl-SI"/>
        </w:rPr>
        <w:footnoteReference w:id="120"/>
      </w:r>
      <w:r w:rsidRPr="00622434">
        <w:rPr>
          <w:lang w:val="sl-SI"/>
        </w:rPr>
        <w:t>, in sicer</w:t>
      </w:r>
      <w:r>
        <w:rPr>
          <w:lang w:val="sl-SI"/>
        </w:rPr>
        <w:t>:</w:t>
      </w:r>
    </w:p>
    <w:p w14:paraId="7D3993EB" w14:textId="77777777" w:rsidR="00E03711" w:rsidRPr="00444D6C" w:rsidRDefault="00E03711" w:rsidP="005115F2">
      <w:pPr>
        <w:pStyle w:val="Guide-ListDash"/>
        <w:numPr>
          <w:ilvl w:val="0"/>
          <w:numId w:val="294"/>
        </w:numPr>
        <w:rPr>
          <w:lang w:val="sl-SI"/>
        </w:rPr>
      </w:pPr>
      <w:r w:rsidRPr="00444D6C">
        <w:rPr>
          <w:lang w:val="sl-SI"/>
        </w:rPr>
        <w:t xml:space="preserve">k zvišanju ravni izobrazbe; krepitvi kakovosti in ustreznosti visokošolskega izobraževanja; </w:t>
      </w:r>
    </w:p>
    <w:p w14:paraId="7D3993EC" w14:textId="77777777" w:rsidR="00E03711" w:rsidRDefault="00E03711" w:rsidP="005115F2">
      <w:pPr>
        <w:pStyle w:val="Guide-ListDash"/>
        <w:numPr>
          <w:ilvl w:val="0"/>
          <w:numId w:val="294"/>
        </w:numPr>
        <w:rPr>
          <w:lang w:val="sl-SI"/>
        </w:rPr>
      </w:pPr>
      <w:r w:rsidRPr="00444D6C">
        <w:rPr>
          <w:lang w:val="sl-SI"/>
        </w:rPr>
        <w:t xml:space="preserve">krepitvi kakovosti z mobilnostjo in čezmejnim sodelovanjem; </w:t>
      </w:r>
    </w:p>
    <w:p w14:paraId="7D3993ED" w14:textId="77777777" w:rsidR="00E03711" w:rsidRPr="00444D6C" w:rsidRDefault="00E03711" w:rsidP="005115F2">
      <w:pPr>
        <w:pStyle w:val="Guide-ListDash"/>
        <w:numPr>
          <w:ilvl w:val="0"/>
          <w:numId w:val="294"/>
        </w:numPr>
        <w:rPr>
          <w:lang w:val="sl-SI"/>
        </w:rPr>
      </w:pPr>
      <w:r w:rsidRPr="00444D6C">
        <w:rPr>
          <w:lang w:val="sl-SI"/>
        </w:rPr>
        <w:t xml:space="preserve">zagotavljanju učinkovitosti trikotnika znanja; </w:t>
      </w:r>
    </w:p>
    <w:p w14:paraId="7D3993EE" w14:textId="77777777" w:rsidR="00E03711" w:rsidRPr="00622434" w:rsidRDefault="00E03711" w:rsidP="005115F2">
      <w:pPr>
        <w:pStyle w:val="Guide-ListDash"/>
        <w:numPr>
          <w:ilvl w:val="0"/>
          <w:numId w:val="294"/>
        </w:numPr>
      </w:pPr>
      <w:r w:rsidRPr="00622434">
        <w:t>zboljšanju upravljanja in financiranja.</w:t>
      </w:r>
    </w:p>
    <w:p w14:paraId="7D3993EF" w14:textId="77777777" w:rsidR="00E03711" w:rsidRPr="00622434" w:rsidRDefault="00E03711" w:rsidP="00517C47">
      <w:pPr>
        <w:pStyle w:val="GUIDE-NORMAL"/>
        <w:rPr>
          <w:lang w:val="sl-SI"/>
        </w:rPr>
      </w:pPr>
      <w:r w:rsidRPr="00622434">
        <w:rPr>
          <w:lang w:val="sl-SI"/>
        </w:rPr>
        <w:t>Dodaten poudarek je na uporabi obstoječih pobud in pametni uporabi digitalnih orodij v skladu s priporočili iz evropskega sporočila o odpiranju izobraževanja</w:t>
      </w:r>
      <w:r w:rsidRPr="00622434">
        <w:rPr>
          <w:rStyle w:val="FootnoteReference"/>
          <w:lang w:val="sl-SI"/>
        </w:rPr>
        <w:footnoteReference w:id="121"/>
      </w:r>
      <w:r w:rsidRPr="00622434">
        <w:rPr>
          <w:lang w:val="sl-SI"/>
        </w:rPr>
        <w:t>.</w:t>
      </w:r>
    </w:p>
    <w:p w14:paraId="7D3993F0" w14:textId="77777777" w:rsidR="00E03711" w:rsidRPr="00622434" w:rsidRDefault="00E03711" w:rsidP="00517C47">
      <w:pPr>
        <w:pStyle w:val="Guide-Heading5"/>
        <w:rPr>
          <w:lang w:val="sl-SI"/>
        </w:rPr>
      </w:pPr>
      <w:r w:rsidRPr="00622434">
        <w:rPr>
          <w:lang w:val="sl-SI"/>
        </w:rPr>
        <w:t>Kaj je koalicija znanja?</w:t>
      </w:r>
    </w:p>
    <w:p w14:paraId="7D3993F1" w14:textId="77777777" w:rsidR="00E03711" w:rsidRPr="00622434" w:rsidRDefault="00E03711" w:rsidP="00517C47">
      <w:pPr>
        <w:pStyle w:val="GUIDE-NORMAL"/>
        <w:rPr>
          <w:lang w:val="sl-SI"/>
        </w:rPr>
      </w:pPr>
      <w:r w:rsidRPr="00622434">
        <w:rPr>
          <w:lang w:val="sl-SI"/>
        </w:rPr>
        <w:t>Koalicije znanja so mednarodni, strukturirani in ciljno usmerjeni projekti, zlasti med visokošolskim izobraževanjem in gospodarstvom. Koalicije znanja so namenjene vsem disciplinam, sektorjem in medsektorskemu sodelovanju. Partnerji imajo skupne cilje in si prizadevajo za vzajemno koristne rezultate in cilje. Pričakovani rezultati so jasno opredeljeni, realistični in obravnavajo vprašanja, ki so ugotovljena v analizi potreb.</w:t>
      </w:r>
    </w:p>
    <w:p w14:paraId="7D3993F2" w14:textId="77777777" w:rsidR="00E03711" w:rsidRPr="00622434" w:rsidRDefault="00E03711" w:rsidP="00517C47">
      <w:pPr>
        <w:pStyle w:val="GUIDE-NORMAL"/>
        <w:rPr>
          <w:lang w:val="sl-SI"/>
        </w:rPr>
      </w:pPr>
      <w:r w:rsidRPr="00622434">
        <w:rPr>
          <w:lang w:val="sl-SI"/>
        </w:rPr>
        <w:t>Koalicije znanja bodo predvidoma imele kratkoročni in dolgoročni učinek na širok nabor vključenih deležnikov na individualni, organizacijski in sistemski ravni.</w:t>
      </w:r>
    </w:p>
    <w:p w14:paraId="7D3993F3" w14:textId="77777777" w:rsidR="00E03711" w:rsidRPr="00622434" w:rsidRDefault="00E03711" w:rsidP="00517C47">
      <w:pPr>
        <w:pStyle w:val="GUIDE-NORMAL"/>
        <w:rPr>
          <w:lang w:val="sl-SI"/>
        </w:rPr>
      </w:pPr>
      <w:r w:rsidRPr="00622434">
        <w:rPr>
          <w:lang w:val="sl-SI"/>
        </w:rPr>
        <w:t>Praviloma so koalicije znanja ciljno usmerjene v sodelovanje med organizacijami s sedežem v državah Programa. Vendar lahko organizacije iz partnerskih držav sodelujejo v koalicijah znanja kot partnerice (ne kot prijaviteljice), če njihova udeležba k projektu prispeva bistveno dodano vrednost.</w:t>
      </w:r>
    </w:p>
    <w:p w14:paraId="7D3993F4" w14:textId="77777777" w:rsidR="00E03711" w:rsidRPr="00622434" w:rsidRDefault="00E03711" w:rsidP="00517C47">
      <w:pPr>
        <w:pStyle w:val="Guide-Heading5"/>
        <w:rPr>
          <w:lang w:val="sl-SI"/>
        </w:rPr>
      </w:pPr>
      <w:r w:rsidRPr="00622434">
        <w:rPr>
          <w:lang w:val="sl-SI"/>
        </w:rPr>
        <w:t>Katere aktivnosti so podprte v okviru tega ukrepa?</w:t>
      </w:r>
    </w:p>
    <w:p w14:paraId="7D3993F5" w14:textId="77777777" w:rsidR="00E03711" w:rsidRPr="00622434" w:rsidRDefault="00E03711" w:rsidP="00517C47">
      <w:pPr>
        <w:pStyle w:val="GUIDE-NORMAL"/>
        <w:rPr>
          <w:lang w:val="sl-SI"/>
        </w:rPr>
      </w:pPr>
      <w:r w:rsidRPr="00622434">
        <w:rPr>
          <w:lang w:val="sl-SI"/>
        </w:rPr>
        <w:t>Koalicije znanja izvajajo skladen in celovit nabor medsebojno povezanih aktivnosti, ki so prožne in se lahko prilagodijo različnim trenutnim in prihodnjim okvirom ter razvoju dogodkov v Evropi.</w:t>
      </w:r>
    </w:p>
    <w:p w14:paraId="7D3993F6" w14:textId="77777777" w:rsidR="00E03711" w:rsidRPr="00622434" w:rsidRDefault="00E03711" w:rsidP="00517C47">
      <w:pPr>
        <w:pStyle w:val="GUIDE-NORMAL"/>
        <w:rPr>
          <w:lang w:val="sl-SI"/>
        </w:rPr>
      </w:pPr>
      <w:r w:rsidRPr="00622434">
        <w:rPr>
          <w:lang w:val="sl-SI"/>
        </w:rPr>
        <w:t>Naslednji seznam navaja primere aktivnosti: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03711" w:rsidRPr="00C60205" w14:paraId="7D399404" w14:textId="77777777" w:rsidTr="00517C47">
        <w:trPr>
          <w:trHeight w:val="283"/>
        </w:trPr>
        <w:tc>
          <w:tcPr>
            <w:tcW w:w="9064" w:type="dxa"/>
          </w:tcPr>
          <w:p w14:paraId="7D3993F7" w14:textId="77777777" w:rsidR="00E03711" w:rsidRPr="00622434" w:rsidRDefault="00E03711" w:rsidP="00517C47">
            <w:pPr>
              <w:pStyle w:val="Guide-NormalBulletpoints"/>
              <w:spacing w:before="60"/>
              <w:ind w:left="714" w:hanging="357"/>
              <w:rPr>
                <w:rFonts w:cs="Times New Roman"/>
                <w:lang w:val="sl-SI"/>
              </w:rPr>
            </w:pPr>
            <w:r w:rsidRPr="00622434">
              <w:rPr>
                <w:rFonts w:cs="Times New Roman"/>
                <w:lang w:val="sl-SI"/>
              </w:rPr>
              <w:t>Spodbujanje inovacij v visokošolskem izobraževanju, podjetjih in širšem socialno- ekonomskem okolju:</w:t>
            </w:r>
          </w:p>
          <w:p w14:paraId="7D3993F8" w14:textId="77777777" w:rsidR="00E03711" w:rsidRPr="00622434" w:rsidRDefault="00E03711" w:rsidP="00517C47">
            <w:pPr>
              <w:pStyle w:val="Guide-ListDash"/>
              <w:tabs>
                <w:tab w:val="num" w:pos="983"/>
              </w:tabs>
              <w:spacing w:before="60" w:after="60"/>
              <w:ind w:left="981" w:hanging="284"/>
              <w:rPr>
                <w:rFonts w:eastAsia="Times New Roman" w:cs="Times New Roman"/>
                <w:lang w:val="sl-SI"/>
              </w:rPr>
            </w:pPr>
            <w:r w:rsidRPr="00622434">
              <w:rPr>
                <w:rFonts w:eastAsia="Times New Roman" w:cs="Times New Roman"/>
                <w:lang w:val="sl-SI"/>
              </w:rPr>
              <w:t>skupno razvijanje in izvajanje novih metod učenja in poučevanja (na primer novi večdisciplinarni učni načrti, v učenca usmerjeno poučevanje in učenje, ki temelji na reševanju dejanskih problemov);</w:t>
            </w:r>
          </w:p>
          <w:p w14:paraId="7D3993F9" w14:textId="77777777" w:rsidR="00E03711" w:rsidRPr="00622434" w:rsidRDefault="00E03711" w:rsidP="00517C47">
            <w:pPr>
              <w:pStyle w:val="Guide-ListDash"/>
              <w:tabs>
                <w:tab w:val="num" w:pos="983"/>
              </w:tabs>
              <w:spacing w:before="60" w:after="60"/>
              <w:ind w:left="981" w:hanging="284"/>
              <w:rPr>
                <w:rFonts w:eastAsia="Times New Roman" w:cs="Times New Roman"/>
                <w:lang w:val="sl-SI"/>
              </w:rPr>
            </w:pPr>
            <w:r w:rsidRPr="00622434">
              <w:rPr>
                <w:rFonts w:eastAsia="Times New Roman" w:cs="Times New Roman"/>
                <w:lang w:val="sl-SI"/>
              </w:rPr>
              <w:t>organiziranje nadaljevalnih izobraževalnih programov in aktivnosti s podjetji in v njih;</w:t>
            </w:r>
          </w:p>
          <w:p w14:paraId="7D3993FA" w14:textId="77777777" w:rsidR="00E03711" w:rsidRPr="00622434" w:rsidRDefault="00E03711" w:rsidP="00517C47">
            <w:pPr>
              <w:pStyle w:val="Guide-ListDash"/>
              <w:tabs>
                <w:tab w:val="num" w:pos="983"/>
              </w:tabs>
              <w:spacing w:before="60" w:after="60"/>
              <w:ind w:left="981" w:hanging="284"/>
              <w:rPr>
                <w:rFonts w:eastAsia="Times New Roman" w:cs="Times New Roman"/>
                <w:lang w:val="sl-SI"/>
              </w:rPr>
            </w:pPr>
            <w:r w:rsidRPr="00622434">
              <w:rPr>
                <w:rFonts w:eastAsia="Times New Roman" w:cs="Times New Roman"/>
                <w:lang w:val="sl-SI"/>
              </w:rPr>
              <w:t>skupno razvijanje rešitev za pereča vprašanja, proizvode in inovativne postopke (s sodelovanjem študentov, profesorjev in delavcev).</w:t>
            </w:r>
          </w:p>
          <w:p w14:paraId="7D3993FB" w14:textId="77777777" w:rsidR="00E03711" w:rsidRPr="00622434" w:rsidRDefault="00E03711" w:rsidP="00517C47">
            <w:pPr>
              <w:pStyle w:val="Guide-NormalBulletpoints"/>
              <w:spacing w:before="60"/>
              <w:ind w:left="714" w:hanging="357"/>
              <w:rPr>
                <w:rFonts w:cs="Times New Roman"/>
                <w:lang w:val="sl-SI"/>
              </w:rPr>
            </w:pPr>
            <w:r w:rsidRPr="00622434">
              <w:rPr>
                <w:rFonts w:cs="Times New Roman"/>
                <w:lang w:val="sl-SI"/>
              </w:rPr>
              <w:t>Razvijanje podjetniške naravnanosti in veščin:</w:t>
            </w:r>
          </w:p>
          <w:p w14:paraId="7D3993FC" w14:textId="77777777" w:rsidR="00E03711" w:rsidRPr="00622434" w:rsidRDefault="00E03711" w:rsidP="00517C47">
            <w:pPr>
              <w:pStyle w:val="Guide-ListDash"/>
              <w:tabs>
                <w:tab w:val="num" w:pos="983"/>
              </w:tabs>
              <w:spacing w:before="60" w:after="60"/>
              <w:ind w:left="981" w:hanging="284"/>
              <w:rPr>
                <w:rFonts w:eastAsia="Times New Roman" w:cs="Times New Roman"/>
                <w:lang w:val="sl-SI"/>
              </w:rPr>
            </w:pPr>
            <w:r w:rsidRPr="00622434">
              <w:rPr>
                <w:rFonts w:eastAsia="Times New Roman" w:cs="Times New Roman"/>
                <w:lang w:val="sl-SI"/>
              </w:rPr>
              <w:t>ustvarjanje sistemov učenja in uporabe prečnih spretnosti v različnih programih visokošolskega izobraževanja, razvitih v sodelovanju s podjetji in katerih cilj je krepitev zaposljivosti, ustvarjalnosti in novih poklicnih poti;</w:t>
            </w:r>
          </w:p>
          <w:p w14:paraId="7D3993FD" w14:textId="77777777" w:rsidR="00E03711" w:rsidRPr="00622434" w:rsidRDefault="00E03711" w:rsidP="00517C47">
            <w:pPr>
              <w:pStyle w:val="Guide-ListDash"/>
              <w:tabs>
                <w:tab w:val="num" w:pos="983"/>
              </w:tabs>
              <w:spacing w:before="60" w:after="60"/>
              <w:ind w:left="981" w:hanging="284"/>
              <w:rPr>
                <w:rFonts w:eastAsia="Times New Roman" w:cs="Times New Roman"/>
                <w:lang w:val="sl-SI"/>
              </w:rPr>
            </w:pPr>
            <w:r w:rsidRPr="00622434">
              <w:rPr>
                <w:rFonts w:eastAsia="Times New Roman" w:cs="Times New Roman"/>
                <w:lang w:val="sl-SI"/>
              </w:rPr>
              <w:t xml:space="preserve">uvajanje podjetniškega izobraževanja v vseh disciplinah, da se za študente, raziskovalce in osebje v izobraževanju zagotovijo znanje, spretnosti in motivacija za udeležbo v podjetniških aktivnostih v raznolikih okoljih; </w:t>
            </w:r>
          </w:p>
          <w:p w14:paraId="7D3993FE" w14:textId="77777777" w:rsidR="00E03711" w:rsidRPr="00622434" w:rsidRDefault="00E03711" w:rsidP="00517C47">
            <w:pPr>
              <w:pStyle w:val="Guide-ListDash"/>
              <w:tabs>
                <w:tab w:val="num" w:pos="983"/>
              </w:tabs>
              <w:spacing w:before="60" w:after="60"/>
              <w:ind w:left="981" w:hanging="284"/>
              <w:rPr>
                <w:rFonts w:eastAsia="Times New Roman" w:cs="Times New Roman"/>
                <w:lang w:val="sl-SI"/>
              </w:rPr>
            </w:pPr>
            <w:r w:rsidRPr="00622434">
              <w:rPr>
                <w:rFonts w:eastAsia="Times New Roman" w:cs="Times New Roman"/>
                <w:lang w:val="sl-SI"/>
              </w:rPr>
              <w:t>ustvarjanje novih priložnosti za učenje z uporabo podjetniških veščin v praksi, kar lahko vključuje in/ali vodi do komercializacije novih storitev, proizvodov in prototipov ter do nastajanja zagonskih in odcepljenih podjetij.</w:t>
            </w:r>
            <w:r w:rsidRPr="00622434">
              <w:rPr>
                <w:rFonts w:eastAsia="Times New Roman" w:cs="Times New Roman"/>
                <w:lang w:val="sl-SI"/>
              </w:rPr>
              <w:br/>
            </w:r>
          </w:p>
          <w:p w14:paraId="7D3993FF" w14:textId="77777777" w:rsidR="00E03711" w:rsidRPr="00622434" w:rsidRDefault="00E03711" w:rsidP="00517C47">
            <w:pPr>
              <w:pStyle w:val="Guide-NormalBulletpoints"/>
              <w:spacing w:before="60"/>
              <w:ind w:left="714" w:hanging="357"/>
              <w:rPr>
                <w:rFonts w:cs="Times New Roman"/>
                <w:lang w:val="sl-SI"/>
              </w:rPr>
            </w:pPr>
            <w:r w:rsidRPr="00622434">
              <w:rPr>
                <w:rFonts w:cs="Times New Roman"/>
                <w:lang w:val="sl-SI"/>
              </w:rPr>
              <w:t>Spodbujanje pretoka in izmenjave znanja med visokošolskim izobraževanjem in podjetji:</w:t>
            </w:r>
          </w:p>
          <w:p w14:paraId="7D399400" w14:textId="77777777" w:rsidR="00E03711" w:rsidRPr="00622434" w:rsidRDefault="00E03711" w:rsidP="00517C47">
            <w:pPr>
              <w:pStyle w:val="Guide-ListDash"/>
              <w:tabs>
                <w:tab w:val="num" w:pos="983"/>
              </w:tabs>
              <w:spacing w:before="60" w:after="60"/>
              <w:ind w:left="981" w:hanging="284"/>
              <w:rPr>
                <w:rFonts w:eastAsia="Times New Roman" w:cs="Times New Roman"/>
                <w:lang w:val="sl-SI"/>
              </w:rPr>
            </w:pPr>
            <w:r w:rsidRPr="00622434">
              <w:rPr>
                <w:rFonts w:eastAsia="Times New Roman" w:cs="Times New Roman"/>
                <w:lang w:val="sl-SI"/>
              </w:rPr>
              <w:t xml:space="preserve">s študijskim področjem povezane aktivnosti v podjetjih, ki so v celoti vključene v učni načrt, priznane in ovrednotene s kreditnimi točkami; </w:t>
            </w:r>
          </w:p>
          <w:p w14:paraId="7D399401" w14:textId="77777777" w:rsidR="00E03711" w:rsidRPr="00622434" w:rsidRDefault="00E03711" w:rsidP="00517C47">
            <w:pPr>
              <w:pStyle w:val="Guide-ListDash"/>
              <w:tabs>
                <w:tab w:val="num" w:pos="983"/>
              </w:tabs>
              <w:spacing w:before="60" w:after="60"/>
              <w:ind w:left="981" w:hanging="284"/>
              <w:rPr>
                <w:rFonts w:eastAsia="Times New Roman" w:cs="Times New Roman"/>
                <w:lang w:val="sl-SI"/>
              </w:rPr>
            </w:pPr>
            <w:r w:rsidRPr="00622434">
              <w:rPr>
                <w:rFonts w:eastAsia="Times New Roman" w:cs="Times New Roman"/>
                <w:lang w:val="sl-SI"/>
              </w:rPr>
              <w:t>strukture za preskušanje inovativnih ukrepov;</w:t>
            </w:r>
          </w:p>
          <w:p w14:paraId="7D399402" w14:textId="77777777" w:rsidR="00E03711" w:rsidRPr="00622434" w:rsidRDefault="00E03711" w:rsidP="00517C47">
            <w:pPr>
              <w:pStyle w:val="Guide-ListDash"/>
              <w:tabs>
                <w:tab w:val="num" w:pos="983"/>
              </w:tabs>
              <w:spacing w:before="60" w:after="60"/>
              <w:ind w:left="981" w:hanging="284"/>
              <w:rPr>
                <w:rFonts w:eastAsia="Times New Roman" w:cs="Times New Roman"/>
                <w:lang w:val="sl-SI"/>
              </w:rPr>
            </w:pPr>
            <w:r w:rsidRPr="00622434">
              <w:rPr>
                <w:rFonts w:eastAsia="Times New Roman" w:cs="Times New Roman"/>
                <w:lang w:val="sl-SI"/>
              </w:rPr>
              <w:t>izmenjave študentov, raziskovalcev, osebja v poučevanju in podjetjih za časovno omejeno obdobje;</w:t>
            </w:r>
          </w:p>
          <w:p w14:paraId="7D399403" w14:textId="77777777" w:rsidR="00E03711" w:rsidRPr="00622434" w:rsidRDefault="00E03711" w:rsidP="00517C47">
            <w:pPr>
              <w:pStyle w:val="Guide-ListDash"/>
              <w:tabs>
                <w:tab w:val="num" w:pos="983"/>
              </w:tabs>
              <w:spacing w:before="60" w:after="60"/>
              <w:ind w:left="981" w:hanging="284"/>
              <w:rPr>
                <w:rFonts w:eastAsia="Times New Roman" w:cs="Times New Roman"/>
                <w:lang w:val="sl-SI"/>
              </w:rPr>
            </w:pPr>
            <w:r w:rsidRPr="00622434">
              <w:rPr>
                <w:rFonts w:eastAsia="Times New Roman" w:cs="Times New Roman"/>
                <w:lang w:val="sl-SI"/>
              </w:rPr>
              <w:t>vključevanje osebja iz družb v poučevanje in raziskovanje.</w:t>
            </w:r>
          </w:p>
        </w:tc>
      </w:tr>
    </w:tbl>
    <w:p w14:paraId="7D399405" w14:textId="77777777" w:rsidR="00E03711" w:rsidRPr="00622434" w:rsidRDefault="00E03711" w:rsidP="00517C47">
      <w:pPr>
        <w:pStyle w:val="GUIDE-NORMAL"/>
        <w:rPr>
          <w:lang w:val="sl-SI"/>
        </w:rPr>
      </w:pPr>
      <w:r w:rsidRPr="00622434">
        <w:rPr>
          <w:lang w:val="sl-SI"/>
        </w:rPr>
        <w:t>Koalicije</w:t>
      </w:r>
      <w:r w:rsidRPr="00622434">
        <w:rPr>
          <w:spacing w:val="-14"/>
          <w:lang w:val="sl-SI"/>
        </w:rPr>
        <w:t xml:space="preserve"> </w:t>
      </w:r>
      <w:r w:rsidRPr="00622434">
        <w:rPr>
          <w:lang w:val="sl-SI"/>
        </w:rPr>
        <w:t>znanja</w:t>
      </w:r>
      <w:r w:rsidRPr="00622434">
        <w:rPr>
          <w:spacing w:val="-14"/>
          <w:lang w:val="sl-SI"/>
        </w:rPr>
        <w:t xml:space="preserve"> </w:t>
      </w:r>
      <w:r w:rsidRPr="00622434">
        <w:rPr>
          <w:lang w:val="sl-SI"/>
        </w:rPr>
        <w:t>lahko</w:t>
      </w:r>
      <w:r w:rsidRPr="00622434">
        <w:rPr>
          <w:spacing w:val="-14"/>
          <w:lang w:val="sl-SI"/>
        </w:rPr>
        <w:t xml:space="preserve"> </w:t>
      </w:r>
      <w:r w:rsidRPr="00622434">
        <w:rPr>
          <w:lang w:val="sl-SI"/>
        </w:rPr>
        <w:t>organizirajo</w:t>
      </w:r>
      <w:r w:rsidRPr="00622434">
        <w:rPr>
          <w:spacing w:val="-13"/>
          <w:lang w:val="sl-SI"/>
        </w:rPr>
        <w:t xml:space="preserve"> </w:t>
      </w:r>
      <w:r w:rsidRPr="00622434">
        <w:rPr>
          <w:lang w:val="sl-SI"/>
        </w:rPr>
        <w:t>aktivnosti</w:t>
      </w:r>
      <w:r w:rsidRPr="00622434">
        <w:rPr>
          <w:spacing w:val="-14"/>
          <w:lang w:val="sl-SI"/>
        </w:rPr>
        <w:t xml:space="preserve"> </w:t>
      </w:r>
      <w:r w:rsidRPr="00622434">
        <w:rPr>
          <w:lang w:val="sl-SI"/>
        </w:rPr>
        <w:t>učne</w:t>
      </w:r>
      <w:r w:rsidRPr="00622434">
        <w:rPr>
          <w:spacing w:val="-14"/>
          <w:lang w:val="sl-SI"/>
        </w:rPr>
        <w:t xml:space="preserve"> </w:t>
      </w:r>
      <w:r w:rsidRPr="00622434">
        <w:rPr>
          <w:lang w:val="sl-SI"/>
        </w:rPr>
        <w:t>mobilnosti</w:t>
      </w:r>
      <w:r w:rsidRPr="00622434">
        <w:rPr>
          <w:spacing w:val="-14"/>
          <w:lang w:val="sl-SI"/>
        </w:rPr>
        <w:t xml:space="preserve"> </w:t>
      </w:r>
      <w:r w:rsidRPr="00622434">
        <w:rPr>
          <w:lang w:val="sl-SI"/>
        </w:rPr>
        <w:t>za</w:t>
      </w:r>
      <w:r w:rsidRPr="00622434">
        <w:rPr>
          <w:spacing w:val="-14"/>
          <w:lang w:val="sl-SI"/>
        </w:rPr>
        <w:t xml:space="preserve"> </w:t>
      </w:r>
      <w:r w:rsidRPr="00622434">
        <w:rPr>
          <w:lang w:val="sl-SI"/>
        </w:rPr>
        <w:t>študente,</w:t>
      </w:r>
      <w:r w:rsidRPr="00622434">
        <w:rPr>
          <w:spacing w:val="-14"/>
          <w:lang w:val="sl-SI"/>
        </w:rPr>
        <w:t xml:space="preserve"> </w:t>
      </w:r>
      <w:r w:rsidRPr="00622434">
        <w:rPr>
          <w:lang w:val="sl-SI"/>
        </w:rPr>
        <w:t>raziskovalce</w:t>
      </w:r>
      <w:r w:rsidRPr="00622434">
        <w:rPr>
          <w:spacing w:val="-14"/>
          <w:lang w:val="sl-SI"/>
        </w:rPr>
        <w:t xml:space="preserve"> </w:t>
      </w:r>
      <w:r w:rsidRPr="00622434">
        <w:rPr>
          <w:lang w:val="sl-SI"/>
        </w:rPr>
        <w:t>in</w:t>
      </w:r>
      <w:r w:rsidRPr="00622434">
        <w:rPr>
          <w:spacing w:val="-14"/>
          <w:lang w:val="sl-SI"/>
        </w:rPr>
        <w:t xml:space="preserve"> </w:t>
      </w:r>
      <w:r w:rsidRPr="00622434">
        <w:rPr>
          <w:lang w:val="sl-SI"/>
        </w:rPr>
        <w:t>osebje,</w:t>
      </w:r>
      <w:r w:rsidRPr="00622434">
        <w:rPr>
          <w:spacing w:val="-13"/>
          <w:lang w:val="sl-SI"/>
        </w:rPr>
        <w:t xml:space="preserve"> </w:t>
      </w:r>
      <w:r w:rsidRPr="00622434">
        <w:rPr>
          <w:lang w:val="sl-SI"/>
        </w:rPr>
        <w:t xml:space="preserve">če te podpirajo/dopolnjujejo </w:t>
      </w:r>
      <w:r>
        <w:rPr>
          <w:lang w:val="sl-SI"/>
        </w:rPr>
        <w:t>glavne</w:t>
      </w:r>
      <w:r w:rsidRPr="00622434">
        <w:rPr>
          <w:lang w:val="sl-SI"/>
        </w:rPr>
        <w:t xml:space="preserve"> aktivnosti koalicije in prispevajo dodano vrednost k uresničevanju ciljev projekta.</w:t>
      </w:r>
      <w:r>
        <w:rPr>
          <w:lang w:val="sl-SI"/>
        </w:rPr>
        <w:t xml:space="preserve"> Začetni sestanki in projektni sestanki ne veljajo za aktivnosti mobilnosti učenja. Dnevov mobilnosti, za katere se stroški potovanja in življenjski stroški zaračunajo projektu, ni mogoče zaračunati kot delovnih dni za podporo uvajanju glavnim aktivnostim.</w:t>
      </w:r>
      <w:r w:rsidRPr="00622434">
        <w:rPr>
          <w:lang w:val="sl-SI"/>
        </w:rPr>
        <w:t xml:space="preserve"> Mobilnost ni glavna aktivnost koalicije znanja; razširitev in večji obseg teh aktivnosti morata biti podprta v okviru ključnega ukrepa 1 tega programa ali z drugimi instrumenti financiranja.</w:t>
      </w:r>
    </w:p>
    <w:p w14:paraId="7D399406" w14:textId="77777777" w:rsidR="00E03711" w:rsidRPr="00622434" w:rsidRDefault="00E03711" w:rsidP="00517C47">
      <w:pPr>
        <w:pStyle w:val="Guide-Heading5"/>
        <w:rPr>
          <w:lang w:val="sl-SI"/>
        </w:rPr>
      </w:pPr>
      <w:r w:rsidRPr="00622434">
        <w:rPr>
          <w:lang w:val="sl-SI"/>
        </w:rPr>
        <w:t>Kakšne so bistvene značilnosti koalicije znanja?</w:t>
      </w:r>
    </w:p>
    <w:p w14:paraId="7D399407" w14:textId="77777777" w:rsidR="00E03711" w:rsidRPr="00622434" w:rsidRDefault="00E03711" w:rsidP="00517C47">
      <w:pPr>
        <w:pStyle w:val="GUIDE-NORMAL"/>
        <w:rPr>
          <w:lang w:val="sl-SI"/>
        </w:rPr>
      </w:pPr>
      <w:r w:rsidRPr="00622434">
        <w:rPr>
          <w:lang w:val="sl-SI"/>
        </w:rPr>
        <w:t>Ključne značilnosti koalicij znanja so:</w:t>
      </w:r>
    </w:p>
    <w:p w14:paraId="7D399408" w14:textId="77777777" w:rsidR="00E03711" w:rsidRPr="00622434" w:rsidRDefault="00E03711" w:rsidP="005115F2">
      <w:pPr>
        <w:pStyle w:val="Guide-NormalBulletpoints"/>
        <w:numPr>
          <w:ilvl w:val="0"/>
          <w:numId w:val="290"/>
        </w:numPr>
        <w:rPr>
          <w:lang w:val="sl-SI"/>
        </w:rPr>
      </w:pPr>
      <w:r w:rsidRPr="00622434">
        <w:rPr>
          <w:u w:val="single"/>
          <w:lang w:val="sl-SI"/>
        </w:rPr>
        <w:t>inovacije</w:t>
      </w:r>
      <w:r w:rsidRPr="00622434">
        <w:rPr>
          <w:lang w:val="sl-SI"/>
        </w:rPr>
        <w:t xml:space="preserve"> v visokošolskem izobraževanju in inovacije z visokošolskim izobraževanjem v podjetjih in njihovem socialno-ekonomskem okolju: za inovacijo se šteje najsodobnejša inovacija, povezana z določenim projektom, okvirom partnerstva in analiziranimi potrebami; </w:t>
      </w:r>
    </w:p>
    <w:p w14:paraId="7D399409" w14:textId="77777777" w:rsidR="00E03711" w:rsidRPr="00622434" w:rsidRDefault="00E03711" w:rsidP="005115F2">
      <w:pPr>
        <w:pStyle w:val="Guide-NormalBulletpoints"/>
        <w:numPr>
          <w:ilvl w:val="0"/>
          <w:numId w:val="290"/>
        </w:numPr>
        <w:rPr>
          <w:lang w:val="sl-SI"/>
        </w:rPr>
      </w:pPr>
      <w:r w:rsidRPr="00622434">
        <w:rPr>
          <w:u w:val="single"/>
          <w:lang w:val="sl-SI"/>
        </w:rPr>
        <w:t>trajnost</w:t>
      </w:r>
      <w:r w:rsidRPr="00622434">
        <w:rPr>
          <w:lang w:val="sl-SI"/>
        </w:rPr>
        <w:t xml:space="preserve"> sodelovanja med univerzami in gospodarstvom. Močno in predano partnerstvo z uravnoteženo udeležbo iz podjetij in visokošolskih institucij je ključno za uspeh koalicij znanja. Vloga in prispevek vsake sodelujoče organizacije in pridruženega partnerja morata biti natančno določena in dopolnjujoča;</w:t>
      </w:r>
    </w:p>
    <w:p w14:paraId="7D39940A" w14:textId="77777777" w:rsidR="00E03711" w:rsidRPr="00622434" w:rsidRDefault="00E03711" w:rsidP="005115F2">
      <w:pPr>
        <w:pStyle w:val="Guide-NormalBulletpoints"/>
        <w:numPr>
          <w:ilvl w:val="0"/>
          <w:numId w:val="290"/>
        </w:numPr>
        <w:rPr>
          <w:lang w:val="sl-SI"/>
        </w:rPr>
      </w:pPr>
      <w:r w:rsidRPr="00622434">
        <w:rPr>
          <w:u w:val="single"/>
          <w:lang w:val="sl-SI"/>
        </w:rPr>
        <w:t>učinek</w:t>
      </w:r>
      <w:r w:rsidRPr="00622434">
        <w:rPr>
          <w:lang w:val="sl-SI"/>
        </w:rPr>
        <w:t>, ki presega življenjski cikel projekta in organizacije, ki sodelujejo v koaliciji. Pričakuje se trajnost partnerstev in aktivnosti. V ta namen rezultati morda niso samostojni, ampak so lahko povezani z obstoječimi podjetji, shemami, projekti, platformami, programi itd. ali vključeni vanje. Spremembe v visokošolskih institucijah in podjetjih morajo biti merljive. Rezultati in rešitve morajo biti prenosljivi in dostopni širši javnosti.</w:t>
      </w:r>
    </w:p>
    <w:p w14:paraId="7D39940B" w14:textId="77777777" w:rsidR="00E03711" w:rsidRPr="00622434" w:rsidRDefault="00E03711" w:rsidP="00517C47">
      <w:pPr>
        <w:pStyle w:val="GUIDE-NORMAL"/>
        <w:rPr>
          <w:lang w:val="sl-SI"/>
        </w:rPr>
      </w:pPr>
      <w:r w:rsidRPr="00622434">
        <w:rPr>
          <w:lang w:val="sl-SI"/>
        </w:rPr>
        <w:t>Koalicije</w:t>
      </w:r>
      <w:r w:rsidRPr="00622434">
        <w:rPr>
          <w:spacing w:val="-19"/>
          <w:lang w:val="sl-SI"/>
        </w:rPr>
        <w:t xml:space="preserve"> </w:t>
      </w:r>
      <w:r w:rsidRPr="00622434">
        <w:rPr>
          <w:lang w:val="sl-SI"/>
        </w:rPr>
        <w:t>znanja</w:t>
      </w:r>
      <w:r w:rsidRPr="00622434">
        <w:rPr>
          <w:spacing w:val="-19"/>
          <w:lang w:val="sl-SI"/>
        </w:rPr>
        <w:t xml:space="preserve"> </w:t>
      </w:r>
      <w:r w:rsidRPr="00622434">
        <w:rPr>
          <w:lang w:val="sl-SI"/>
        </w:rPr>
        <w:t>so</w:t>
      </w:r>
      <w:r w:rsidRPr="00622434">
        <w:rPr>
          <w:spacing w:val="-19"/>
          <w:lang w:val="sl-SI"/>
        </w:rPr>
        <w:t xml:space="preserve"> </w:t>
      </w:r>
      <w:r w:rsidRPr="00622434">
        <w:rPr>
          <w:lang w:val="sl-SI"/>
        </w:rPr>
        <w:t>izjemno</w:t>
      </w:r>
      <w:r w:rsidRPr="00622434">
        <w:rPr>
          <w:spacing w:val="-19"/>
          <w:lang w:val="sl-SI"/>
        </w:rPr>
        <w:t xml:space="preserve"> </w:t>
      </w:r>
      <w:r w:rsidRPr="00622434">
        <w:rPr>
          <w:lang w:val="sl-SI"/>
        </w:rPr>
        <w:t>konkurenčen</w:t>
      </w:r>
      <w:r w:rsidRPr="00622434">
        <w:rPr>
          <w:spacing w:val="-19"/>
          <w:lang w:val="sl-SI"/>
        </w:rPr>
        <w:t xml:space="preserve"> </w:t>
      </w:r>
      <w:r w:rsidRPr="00622434">
        <w:rPr>
          <w:lang w:val="sl-SI"/>
        </w:rPr>
        <w:t>del</w:t>
      </w:r>
      <w:r w:rsidRPr="00622434">
        <w:rPr>
          <w:spacing w:val="-19"/>
          <w:lang w:val="sl-SI"/>
        </w:rPr>
        <w:t xml:space="preserve"> </w:t>
      </w:r>
      <w:r w:rsidRPr="00622434">
        <w:rPr>
          <w:lang w:val="sl-SI"/>
        </w:rPr>
        <w:t>programa</w:t>
      </w:r>
      <w:r w:rsidRPr="00622434">
        <w:rPr>
          <w:spacing w:val="-19"/>
          <w:lang w:val="sl-SI"/>
        </w:rPr>
        <w:t xml:space="preserve"> </w:t>
      </w:r>
      <w:r w:rsidRPr="00622434">
        <w:rPr>
          <w:lang w:val="sl-SI"/>
        </w:rPr>
        <w:t>Erasmus+.</w:t>
      </w:r>
      <w:r w:rsidRPr="00622434">
        <w:rPr>
          <w:spacing w:val="-19"/>
          <w:lang w:val="sl-SI"/>
        </w:rPr>
        <w:t xml:space="preserve"> </w:t>
      </w:r>
      <w:r w:rsidRPr="00622434">
        <w:rPr>
          <w:lang w:val="sl-SI"/>
        </w:rPr>
        <w:t>Skupne</w:t>
      </w:r>
      <w:r w:rsidRPr="00622434">
        <w:rPr>
          <w:spacing w:val="-19"/>
          <w:lang w:val="sl-SI"/>
        </w:rPr>
        <w:t xml:space="preserve"> </w:t>
      </w:r>
      <w:r w:rsidRPr="00622434">
        <w:rPr>
          <w:lang w:val="sl-SI"/>
        </w:rPr>
        <w:t>značilnosti</w:t>
      </w:r>
      <w:r w:rsidRPr="00622434">
        <w:rPr>
          <w:spacing w:val="-19"/>
          <w:lang w:val="sl-SI"/>
        </w:rPr>
        <w:t xml:space="preserve"> </w:t>
      </w:r>
      <w:r w:rsidRPr="00622434">
        <w:rPr>
          <w:lang w:val="sl-SI"/>
        </w:rPr>
        <w:t>uspešnih predlogov</w:t>
      </w:r>
      <w:r w:rsidRPr="00622434">
        <w:rPr>
          <w:spacing w:val="-3"/>
          <w:lang w:val="sl-SI"/>
        </w:rPr>
        <w:t xml:space="preserve"> </w:t>
      </w:r>
      <w:r w:rsidRPr="00622434">
        <w:rPr>
          <w:lang w:val="sl-SI"/>
        </w:rPr>
        <w:t>so:</w:t>
      </w:r>
    </w:p>
    <w:p w14:paraId="7D39940C" w14:textId="77777777" w:rsidR="00E03711" w:rsidRPr="00622434" w:rsidRDefault="00E03711" w:rsidP="005115F2">
      <w:pPr>
        <w:pStyle w:val="Guide-NormalBulletpoints"/>
        <w:numPr>
          <w:ilvl w:val="0"/>
          <w:numId w:val="291"/>
        </w:numPr>
        <w:rPr>
          <w:lang w:val="sl-SI"/>
        </w:rPr>
      </w:pPr>
      <w:r w:rsidRPr="00622434">
        <w:rPr>
          <w:lang w:val="sl-SI"/>
        </w:rPr>
        <w:t xml:space="preserve">zanesljivi odnosi med visokošolskimi institucijami in podjetji: koalicije znanja morajo pokazati zavezanost in dodano vrednost vseh partnerjev, pri čemer je bistvena izrazita in uravnotežena vključenost sektorja gospodarstva in visokošolskega izobraževanja. Dobro zasnovan predlog je rezultat tesnega sodelovanja med morebitnimi partnerji in temelji na trdni analizi potreb; </w:t>
      </w:r>
    </w:p>
    <w:p w14:paraId="7D39940D" w14:textId="77777777" w:rsidR="00E03711" w:rsidRPr="00622434" w:rsidRDefault="00E03711" w:rsidP="005115F2">
      <w:pPr>
        <w:pStyle w:val="Guide-NormalBulletpoints"/>
        <w:numPr>
          <w:ilvl w:val="0"/>
          <w:numId w:val="291"/>
        </w:numPr>
        <w:rPr>
          <w:lang w:val="sl-SI"/>
        </w:rPr>
      </w:pPr>
      <w:r w:rsidRPr="00622434">
        <w:rPr>
          <w:lang w:val="sl-SI"/>
        </w:rPr>
        <w:t>inovativne in mednarodne značilnosti predlogov, vidne v vseh merilih.</w:t>
      </w:r>
    </w:p>
    <w:p w14:paraId="7D39940E" w14:textId="77777777" w:rsidR="00E03711" w:rsidRPr="00622434" w:rsidRDefault="00E03711" w:rsidP="00517C47">
      <w:pPr>
        <w:pStyle w:val="GUIDE-NORMAL"/>
        <w:rPr>
          <w:lang w:val="sl-SI"/>
        </w:rPr>
      </w:pPr>
      <w:r w:rsidRPr="00622434">
        <w:rPr>
          <w:lang w:val="sl-SI"/>
        </w:rPr>
        <w:t>Ustrezna analiza potreb pojasni razloge, vpliva na izbor partnerjev, natančno opredeli predlog, pomaga okrepiti potencialni učinek in zagotovi, da so končni uporabnik in ciljne skupine izrazito vključeni v aktivnosti projekta.</w:t>
      </w:r>
    </w:p>
    <w:p w14:paraId="7D39940F" w14:textId="77777777" w:rsidR="00E03711" w:rsidRPr="00622434" w:rsidRDefault="00E03711" w:rsidP="00517C47">
      <w:pPr>
        <w:pStyle w:val="Guide-Heading5"/>
        <w:rPr>
          <w:lang w:val="sl-SI"/>
        </w:rPr>
      </w:pPr>
      <w:r w:rsidRPr="00622434">
        <w:rPr>
          <w:lang w:val="sl-SI"/>
        </w:rPr>
        <w:t>Kakšna je vloga organizacij, ki sodelujejo v koaliciji znanja?</w:t>
      </w:r>
    </w:p>
    <w:p w14:paraId="7D399410" w14:textId="77777777" w:rsidR="00E03711" w:rsidRPr="00622434" w:rsidRDefault="00E03711" w:rsidP="00517C47">
      <w:pPr>
        <w:pStyle w:val="GUIDE-NORMAL"/>
        <w:rPr>
          <w:lang w:val="sl-SI"/>
        </w:rPr>
      </w:pPr>
      <w:r w:rsidRPr="00622434">
        <w:rPr>
          <w:b/>
          <w:lang w:val="sl-SI"/>
        </w:rPr>
        <w:t>Prijavitelj/koordinator:</w:t>
      </w:r>
      <w:r w:rsidRPr="00622434">
        <w:rPr>
          <w:lang w:val="sl-SI"/>
        </w:rPr>
        <w:t xml:space="preserve"> sodelujoča organizacija, ki odda predlog projekta v imenu vseh partnerjev. Koordinator je v celoti odgovoren, da zagotovi izvajanje projekta v skladu s sporazumom. Koordiniranje zajema naslednje dolžnosti:</w:t>
      </w:r>
    </w:p>
    <w:p w14:paraId="7D399411" w14:textId="77777777" w:rsidR="00E03711" w:rsidRPr="00622434" w:rsidRDefault="00E03711" w:rsidP="005115F2">
      <w:pPr>
        <w:pStyle w:val="Guide-NormalBulletpoints"/>
        <w:numPr>
          <w:ilvl w:val="0"/>
          <w:numId w:val="292"/>
        </w:numPr>
        <w:rPr>
          <w:lang w:val="sl-SI"/>
        </w:rPr>
      </w:pPr>
      <w:r w:rsidRPr="00622434">
        <w:rPr>
          <w:lang w:val="sl-SI"/>
        </w:rPr>
        <w:t>predstavlja koalicijo in deluje v njenem imenu v odnosu do Evropske komisije;</w:t>
      </w:r>
    </w:p>
    <w:p w14:paraId="7D399412" w14:textId="77777777" w:rsidR="00E03711" w:rsidRPr="00622434" w:rsidRDefault="00E03711" w:rsidP="005115F2">
      <w:pPr>
        <w:pStyle w:val="Guide-NormalBulletpoints"/>
        <w:numPr>
          <w:ilvl w:val="0"/>
          <w:numId w:val="292"/>
        </w:numPr>
        <w:rPr>
          <w:lang w:val="sl-SI"/>
        </w:rPr>
      </w:pPr>
      <w:r w:rsidRPr="00622434">
        <w:rPr>
          <w:lang w:val="sl-SI"/>
        </w:rPr>
        <w:t>nosi finančno in pravno odgovornost za primerno operativno, administrativno in finančno izvajanje celotnega projekta;</w:t>
      </w:r>
    </w:p>
    <w:p w14:paraId="7D399413" w14:textId="77777777" w:rsidR="00E03711" w:rsidRPr="00622434" w:rsidRDefault="00E03711" w:rsidP="005115F2">
      <w:pPr>
        <w:pStyle w:val="Guide-NormalBulletpoints"/>
        <w:numPr>
          <w:ilvl w:val="0"/>
          <w:numId w:val="292"/>
        </w:numPr>
        <w:rPr>
          <w:lang w:val="sl-SI"/>
        </w:rPr>
      </w:pPr>
      <w:r w:rsidRPr="00622434">
        <w:rPr>
          <w:lang w:val="sl-SI"/>
        </w:rPr>
        <w:t>koordinira koalicijo v sodelovanju s partnerji projekta.</w:t>
      </w:r>
    </w:p>
    <w:p w14:paraId="7D399414" w14:textId="77777777" w:rsidR="00E03711" w:rsidRPr="00622434" w:rsidRDefault="00E03711" w:rsidP="00517C47">
      <w:pPr>
        <w:pStyle w:val="GUIDE-NORMAL"/>
        <w:rPr>
          <w:lang w:val="sl-SI"/>
        </w:rPr>
      </w:pPr>
      <w:r w:rsidRPr="00622434">
        <w:rPr>
          <w:b/>
          <w:lang w:val="sl-SI"/>
        </w:rPr>
        <w:t>Polnopravni partnerji</w:t>
      </w:r>
      <w:r w:rsidRPr="00622434">
        <w:rPr>
          <w:lang w:val="sl-SI"/>
        </w:rPr>
        <w:t xml:space="preserve"> so tiste sodelujoče organizacije, ki aktivno prispevajo k doseganju ciljev koalicije znanja. Vsak polnopravni partner mora podpisati mandatno pismo, s katerim dodeli koordinatorski organizaciji odgovornost, da deluje kot glavna upravičenka in da med izvajanjem projekta deluje v njegovem imenu. Kadar je to ustrezno, velja enako za partnerje iz partnerskih držav.</w:t>
      </w:r>
    </w:p>
    <w:p w14:paraId="7D399415" w14:textId="77777777" w:rsidR="00E03711" w:rsidRPr="00622434" w:rsidRDefault="00E03711" w:rsidP="00517C47">
      <w:pPr>
        <w:pStyle w:val="GUIDE-NORMAL"/>
        <w:rPr>
          <w:lang w:val="sl-SI"/>
        </w:rPr>
      </w:pPr>
      <w:r w:rsidRPr="00622434">
        <w:rPr>
          <w:b/>
          <w:lang w:val="sl-SI"/>
        </w:rPr>
        <w:t>Pridruženi partnerji</w:t>
      </w:r>
      <w:r w:rsidRPr="00622434">
        <w:rPr>
          <w:lang w:val="sl-SI"/>
        </w:rPr>
        <w:t xml:space="preserve"> (izbirno): v koalicije znanja so lahko vključeni pridruženi partnerji, ki prispevajo k izvajanju posebnih nalog/aktivnosti projekta ali podpirajo razširjanje in trajnost koalicije. Za vprašanja glede upravljanja sporazuma se „pridruženi partnerji“ ne štejejo za partnerje pri projektu in ne prejmejo sredstev. Vendar morata biti njihova vključenost in vloga v projektu ter različnih aktivnostih jasno opisana.</w:t>
      </w:r>
    </w:p>
    <w:p w14:paraId="7D399416" w14:textId="77777777" w:rsidR="00E03711" w:rsidRPr="00622434" w:rsidRDefault="00E03711" w:rsidP="00517C47">
      <w:pPr>
        <w:pStyle w:val="GUIDE-NORMAL"/>
        <w:rPr>
          <w:lang w:val="sl-SI"/>
        </w:rPr>
      </w:pPr>
      <w:r w:rsidRPr="00622434">
        <w:rPr>
          <w:b/>
          <w:lang w:val="sl-SI"/>
        </w:rPr>
        <w:t>Povezani subjekti</w:t>
      </w:r>
      <w:r w:rsidRPr="00622434">
        <w:rPr>
          <w:lang w:val="sl-SI"/>
        </w:rPr>
        <w:t xml:space="preserve"> (izbirno): organizacije, ki prispevajo k doseganju ciljev in izvajanju aktivnosti projekta. Povezani subjekti morajo biti opredeljeni v vlogi za nepovratna sredstva in morajo izpolnjevati zahteve iz Priloge III (Glosar pojmov) tega vodnika za prijavitelje.</w:t>
      </w:r>
    </w:p>
    <w:p w14:paraId="7D399417" w14:textId="77777777" w:rsidR="00E03711" w:rsidRPr="00622434" w:rsidRDefault="00E03711" w:rsidP="00517C47">
      <w:pPr>
        <w:pStyle w:val="Guide-Heading5"/>
        <w:rPr>
          <w:lang w:val="sl-SI"/>
        </w:rPr>
      </w:pPr>
      <w:r w:rsidRPr="00622434">
        <w:rPr>
          <w:lang w:val="sl-SI"/>
        </w:rPr>
        <w:t>Kakšna so merila za oceno predloga koalicije znanja?</w:t>
      </w:r>
    </w:p>
    <w:p w14:paraId="7D399418" w14:textId="77777777" w:rsidR="00E03711" w:rsidRPr="00622434" w:rsidRDefault="00E03711" w:rsidP="00517C47">
      <w:pPr>
        <w:pStyle w:val="GUIDE-NORMAL"/>
        <w:rPr>
          <w:lang w:val="sl-SI"/>
        </w:rPr>
      </w:pPr>
      <w:r w:rsidRPr="00622434">
        <w:rPr>
          <w:lang w:val="sl-SI"/>
        </w:rPr>
        <w:t>V nadaljevanju so navedena uradna merila, ki jih mora izpolniti predlog koalicije znanja za upravičenost do nepovratnih sredstev Erasmus+:</w:t>
      </w:r>
    </w:p>
    <w:p w14:paraId="7D399419" w14:textId="77777777" w:rsidR="00E03711" w:rsidRPr="00622434" w:rsidRDefault="00E03711" w:rsidP="00517C47">
      <w:pPr>
        <w:pStyle w:val="Guide-Heading6"/>
        <w:rPr>
          <w:lang w:val="sl-SI"/>
        </w:rPr>
      </w:pPr>
      <w:r w:rsidRPr="00622434">
        <w:rPr>
          <w:lang w:val="sl-SI"/>
        </w:rPr>
        <w:t>Merila za upravičenost</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68"/>
        <w:gridCol w:w="7722"/>
      </w:tblGrid>
      <w:tr w:rsidR="00E03711" w:rsidRPr="00C60205" w14:paraId="7D399425" w14:textId="77777777" w:rsidTr="00F769E0">
        <w:trPr>
          <w:cantSplit/>
          <w:trHeight w:val="20"/>
        </w:trPr>
        <w:tc>
          <w:tcPr>
            <w:tcW w:w="844" w:type="pct"/>
            <w:shd w:val="clear" w:color="auto" w:fill="FFFFFF"/>
            <w:vAlign w:val="center"/>
          </w:tcPr>
          <w:p w14:paraId="7D39941A" w14:textId="77777777" w:rsidR="00E03711" w:rsidRPr="00622434" w:rsidRDefault="00E03711" w:rsidP="00F769E0">
            <w:pPr>
              <w:pStyle w:val="GUIDE-NORMAL"/>
              <w:spacing w:before="60" w:after="60"/>
              <w:jc w:val="left"/>
              <w:rPr>
                <w:rFonts w:cs="Tahoma"/>
                <w:b/>
                <w:lang w:val="sl-SI" w:eastAsia="en-GB"/>
              </w:rPr>
            </w:pPr>
            <w:r w:rsidRPr="00622434">
              <w:rPr>
                <w:rFonts w:cs="Tahoma"/>
                <w:b/>
                <w:lang w:val="sl-SI" w:eastAsia="en-GB"/>
              </w:rPr>
              <w:t>Upravičene sodelujoče organizacije</w:t>
            </w:r>
          </w:p>
        </w:tc>
        <w:tc>
          <w:tcPr>
            <w:tcW w:w="4156" w:type="pct"/>
            <w:shd w:val="clear" w:color="auto" w:fill="FFFFFF"/>
          </w:tcPr>
          <w:p w14:paraId="7D39941B" w14:textId="77777777" w:rsidR="00E03711" w:rsidRPr="00622434" w:rsidRDefault="00E03711" w:rsidP="00F769E0">
            <w:pPr>
              <w:pStyle w:val="GUIDE-NORMAL"/>
              <w:spacing w:before="60" w:after="60"/>
              <w:rPr>
                <w:rFonts w:cs="Tahoma"/>
                <w:lang w:val="sl-SI" w:eastAsia="en-GB"/>
              </w:rPr>
            </w:pPr>
            <w:r w:rsidRPr="00622434">
              <w:rPr>
                <w:rFonts w:cs="Tahoma"/>
                <w:lang w:val="sl-SI" w:eastAsia="en-GB"/>
              </w:rPr>
              <w:t>Sodelujoča organizacija je lahko katera koli javna ali zasebna organizacija s povezanimi subjekti, ki ima sedež v državi Programa ali kateri koli partnerski državi sveta (glej poglavje „Upravičene države“ v delu A tega vodnika). Taka organizacija je lahko na primer:</w:t>
            </w:r>
          </w:p>
          <w:p w14:paraId="7D39941C" w14:textId="77777777" w:rsidR="00E03711" w:rsidRPr="00622434" w:rsidRDefault="00E03711" w:rsidP="005115F2">
            <w:pPr>
              <w:pStyle w:val="Guide-NormalBulletpoints"/>
              <w:numPr>
                <w:ilvl w:val="0"/>
                <w:numId w:val="295"/>
              </w:numPr>
              <w:spacing w:before="60"/>
              <w:rPr>
                <w:lang w:val="sl-SI"/>
              </w:rPr>
            </w:pPr>
            <w:r w:rsidRPr="00622434">
              <w:rPr>
                <w:lang w:val="sl-SI"/>
              </w:rPr>
              <w:t>visokošolska institucija;</w:t>
            </w:r>
          </w:p>
          <w:p w14:paraId="7D39941D" w14:textId="77777777" w:rsidR="00E03711" w:rsidRPr="00622434" w:rsidRDefault="00E03711" w:rsidP="005115F2">
            <w:pPr>
              <w:pStyle w:val="Guide-NormalBulletpoints"/>
              <w:numPr>
                <w:ilvl w:val="0"/>
                <w:numId w:val="295"/>
              </w:numPr>
              <w:spacing w:before="60"/>
              <w:rPr>
                <w:lang w:val="sl-SI"/>
              </w:rPr>
            </w:pPr>
            <w:r w:rsidRPr="00622434">
              <w:rPr>
                <w:lang w:val="sl-SI"/>
              </w:rPr>
              <w:t>javno ali zasebno, malo, srednje ali veliko podjetje (vključno s socialnimi podjetji);</w:t>
            </w:r>
          </w:p>
          <w:p w14:paraId="7D39941E" w14:textId="77777777" w:rsidR="00E03711" w:rsidRPr="00622434" w:rsidRDefault="00E03711" w:rsidP="005115F2">
            <w:pPr>
              <w:pStyle w:val="Guide-NormalBulletpoints"/>
              <w:numPr>
                <w:ilvl w:val="0"/>
                <w:numId w:val="295"/>
              </w:numPr>
              <w:spacing w:before="60"/>
              <w:rPr>
                <w:lang w:val="sl-SI"/>
              </w:rPr>
            </w:pPr>
            <w:r w:rsidRPr="00622434">
              <w:rPr>
                <w:lang w:val="sl-SI"/>
              </w:rPr>
              <w:t>raziskovalni inštitut;</w:t>
            </w:r>
          </w:p>
          <w:p w14:paraId="7D39941F" w14:textId="77777777" w:rsidR="00E03711" w:rsidRPr="00622434" w:rsidRDefault="00E03711" w:rsidP="005115F2">
            <w:pPr>
              <w:pStyle w:val="Guide-NormalBulletpoints"/>
              <w:numPr>
                <w:ilvl w:val="0"/>
                <w:numId w:val="295"/>
              </w:numPr>
              <w:spacing w:before="60"/>
              <w:rPr>
                <w:lang w:val="sl-SI"/>
              </w:rPr>
            </w:pPr>
            <w:r w:rsidRPr="00622434">
              <w:rPr>
                <w:lang w:val="sl-SI"/>
              </w:rPr>
              <w:t>javni organ na lokalni, regionalni ali nacionalni ravni;</w:t>
            </w:r>
          </w:p>
          <w:p w14:paraId="7D399420" w14:textId="77777777" w:rsidR="00E03711" w:rsidRPr="00622434" w:rsidRDefault="00E03711" w:rsidP="005115F2">
            <w:pPr>
              <w:pStyle w:val="Guide-NormalBulletpoints"/>
              <w:numPr>
                <w:ilvl w:val="0"/>
                <w:numId w:val="295"/>
              </w:numPr>
              <w:spacing w:before="60"/>
              <w:rPr>
                <w:lang w:val="sl-SI"/>
              </w:rPr>
            </w:pPr>
            <w:r w:rsidRPr="00622434">
              <w:rPr>
                <w:lang w:val="sl-SI"/>
              </w:rPr>
              <w:t>organizacija, aktivna na področju izobraževanja, usposabljanja in mladine;</w:t>
            </w:r>
          </w:p>
          <w:p w14:paraId="7D399421" w14:textId="77777777" w:rsidR="00E03711" w:rsidRPr="00622434" w:rsidRDefault="00E03711" w:rsidP="005115F2">
            <w:pPr>
              <w:pStyle w:val="Guide-NormalBulletpoints"/>
              <w:numPr>
                <w:ilvl w:val="0"/>
                <w:numId w:val="295"/>
              </w:numPr>
              <w:spacing w:before="60"/>
              <w:rPr>
                <w:lang w:val="sl-SI"/>
              </w:rPr>
            </w:pPr>
            <w:r w:rsidRPr="00622434">
              <w:rPr>
                <w:lang w:val="sl-SI"/>
              </w:rPr>
              <w:t>posrednik ali združenje, ki deluje v imenu organizacij na področju izobraževanja, usposabljanja ali mladine;</w:t>
            </w:r>
          </w:p>
          <w:p w14:paraId="7D399422" w14:textId="77777777" w:rsidR="00E03711" w:rsidRPr="00622434" w:rsidRDefault="00E03711" w:rsidP="005115F2">
            <w:pPr>
              <w:pStyle w:val="Guide-NormalBulletpoints"/>
              <w:numPr>
                <w:ilvl w:val="0"/>
                <w:numId w:val="295"/>
              </w:numPr>
              <w:spacing w:before="60"/>
              <w:rPr>
                <w:lang w:val="sl-SI"/>
              </w:rPr>
            </w:pPr>
            <w:r w:rsidRPr="00622434">
              <w:rPr>
                <w:lang w:val="sl-SI"/>
              </w:rPr>
              <w:t>posrednik ali združenje, ki deluje v imenu podjetij;</w:t>
            </w:r>
          </w:p>
          <w:p w14:paraId="7D399423" w14:textId="77777777" w:rsidR="00E03711" w:rsidRPr="00622434" w:rsidRDefault="00E03711" w:rsidP="005115F2">
            <w:pPr>
              <w:pStyle w:val="Guide-NormalBulletpoints"/>
              <w:numPr>
                <w:ilvl w:val="0"/>
                <w:numId w:val="295"/>
              </w:numPr>
              <w:spacing w:before="60"/>
              <w:rPr>
                <w:lang w:val="sl-SI"/>
              </w:rPr>
            </w:pPr>
            <w:r w:rsidRPr="00622434">
              <w:rPr>
                <w:lang w:val="sl-SI"/>
              </w:rPr>
              <w:t>organ za akreditacije, certifikate ali kvalifikacije.</w:t>
            </w:r>
          </w:p>
          <w:p w14:paraId="7D399424" w14:textId="77777777" w:rsidR="00E03711" w:rsidRPr="00622434" w:rsidRDefault="00E03711" w:rsidP="00F769E0">
            <w:pPr>
              <w:pStyle w:val="GUIDE-NORMAL"/>
              <w:spacing w:before="60" w:after="60"/>
              <w:rPr>
                <w:rFonts w:cs="Tahoma"/>
                <w:spacing w:val="-2"/>
                <w:lang w:val="sl-SI" w:eastAsia="en-GB"/>
              </w:rPr>
            </w:pPr>
            <w:r w:rsidRPr="00622434">
              <w:rPr>
                <w:rFonts w:cs="Tahoma"/>
                <w:lang w:val="sl-SI" w:eastAsia="en-GB"/>
              </w:rPr>
              <w:t>Visokošolske institucije s sedežem v državi Programa morajo biti nosilke veljavne Listine Erasmus za terciarno izobraževanje (ECHE). Listina ECHE ni zahtevana za sodelujoče visokošolske institucije iz partnerskih držav.</w:t>
            </w:r>
          </w:p>
        </w:tc>
      </w:tr>
      <w:tr w:rsidR="00E03711" w:rsidRPr="00654F6A" w14:paraId="7D399428" w14:textId="77777777" w:rsidTr="00F769E0">
        <w:trPr>
          <w:cantSplit/>
          <w:trHeight w:val="20"/>
        </w:trPr>
        <w:tc>
          <w:tcPr>
            <w:tcW w:w="844" w:type="pct"/>
            <w:shd w:val="clear" w:color="auto" w:fill="FFFFFF"/>
            <w:vAlign w:val="center"/>
          </w:tcPr>
          <w:p w14:paraId="7D399426" w14:textId="77777777" w:rsidR="00E03711" w:rsidRPr="00622434" w:rsidRDefault="00E03711" w:rsidP="00F769E0">
            <w:pPr>
              <w:pStyle w:val="GUIDE-NORMAL"/>
              <w:spacing w:before="60" w:after="60"/>
              <w:jc w:val="left"/>
              <w:rPr>
                <w:rFonts w:cs="Tahoma"/>
                <w:b/>
                <w:lang w:val="sl-SI" w:eastAsia="en-GB"/>
              </w:rPr>
            </w:pPr>
            <w:r w:rsidRPr="00622434">
              <w:rPr>
                <w:rFonts w:cs="Tahoma"/>
                <w:b/>
                <w:lang w:val="sl-SI" w:eastAsia="en-GB"/>
              </w:rPr>
              <w:t>Kdo se lahko prijavi?</w:t>
            </w:r>
          </w:p>
        </w:tc>
        <w:tc>
          <w:tcPr>
            <w:tcW w:w="4156" w:type="pct"/>
            <w:shd w:val="clear" w:color="auto" w:fill="FFFFFF"/>
          </w:tcPr>
          <w:p w14:paraId="7D399427" w14:textId="77777777" w:rsidR="00E03711" w:rsidRPr="00622434" w:rsidRDefault="00E03711" w:rsidP="00F769E0">
            <w:pPr>
              <w:pStyle w:val="GUIDE-NORMAL"/>
              <w:spacing w:before="60" w:after="60"/>
              <w:rPr>
                <w:rFonts w:cs="Tahoma"/>
                <w:lang w:val="sl-SI" w:eastAsia="en-GB"/>
              </w:rPr>
            </w:pPr>
            <w:r w:rsidRPr="00622434">
              <w:rPr>
                <w:rFonts w:cs="Tahoma"/>
                <w:lang w:val="sl-SI" w:eastAsia="en-GB"/>
              </w:rPr>
              <w:t>Prijavitelj je lahko katera koli sodelujoča organizacija s sedežem v državi Programa. Ta organizacija se prijavi v imenu vseh sodelujočih organizacij, ki so vključene v projekt.</w:t>
            </w:r>
          </w:p>
        </w:tc>
      </w:tr>
      <w:tr w:rsidR="00E03711" w:rsidRPr="00C60205" w14:paraId="7D39942B" w14:textId="77777777" w:rsidTr="00F769E0">
        <w:trPr>
          <w:cantSplit/>
          <w:trHeight w:val="20"/>
        </w:trPr>
        <w:tc>
          <w:tcPr>
            <w:tcW w:w="844" w:type="pct"/>
            <w:shd w:val="clear" w:color="auto" w:fill="FFFFFF"/>
            <w:vAlign w:val="center"/>
          </w:tcPr>
          <w:p w14:paraId="7D399429" w14:textId="77777777" w:rsidR="00E03711" w:rsidRPr="00622434" w:rsidRDefault="00E03711" w:rsidP="00F769E0">
            <w:pPr>
              <w:pStyle w:val="GUIDE-NORMAL"/>
              <w:spacing w:before="60" w:after="60"/>
              <w:jc w:val="left"/>
              <w:rPr>
                <w:rFonts w:cs="Tahoma"/>
                <w:b/>
                <w:lang w:val="sl-SI" w:eastAsia="en-GB"/>
              </w:rPr>
            </w:pPr>
            <w:r w:rsidRPr="00622434">
              <w:rPr>
                <w:rFonts w:cs="Tahoma"/>
                <w:b/>
                <w:lang w:val="sl-SI" w:eastAsia="en-GB"/>
              </w:rPr>
              <w:t>Število sodelujočih organizacij</w:t>
            </w:r>
          </w:p>
        </w:tc>
        <w:tc>
          <w:tcPr>
            <w:tcW w:w="4156" w:type="pct"/>
            <w:shd w:val="clear" w:color="auto" w:fill="auto"/>
          </w:tcPr>
          <w:p w14:paraId="7D39942A" w14:textId="77777777" w:rsidR="00E03711" w:rsidRPr="00622434" w:rsidRDefault="00E03711" w:rsidP="00F769E0">
            <w:pPr>
              <w:pStyle w:val="GUIDE-NORMAL"/>
              <w:spacing w:before="60" w:after="60"/>
              <w:rPr>
                <w:rFonts w:cs="Tahoma"/>
                <w:lang w:val="sl-SI" w:eastAsia="en-GB"/>
              </w:rPr>
            </w:pPr>
            <w:r w:rsidRPr="00622434">
              <w:rPr>
                <w:rFonts w:cs="Tahoma"/>
                <w:lang w:val="sl-SI" w:eastAsia="en-GB"/>
              </w:rPr>
              <w:t>Koalicije znanja so mednarodne in vključujejo najmanj šest neodvisnih organizacij iz vsaj treh držav Programa in od teh vsaj dve visokošolski instituciji ter vsaj dve podjetji.</w:t>
            </w:r>
          </w:p>
        </w:tc>
      </w:tr>
      <w:tr w:rsidR="00E03711" w:rsidRPr="00C60205" w14:paraId="7D39942F" w14:textId="77777777" w:rsidTr="00F769E0">
        <w:trPr>
          <w:cantSplit/>
          <w:trHeight w:val="20"/>
        </w:trPr>
        <w:tc>
          <w:tcPr>
            <w:tcW w:w="844" w:type="pct"/>
            <w:shd w:val="clear" w:color="auto" w:fill="FFFFFF"/>
            <w:vAlign w:val="center"/>
          </w:tcPr>
          <w:p w14:paraId="7D39942C" w14:textId="77777777" w:rsidR="00E03711" w:rsidRPr="00622434" w:rsidRDefault="00E03711" w:rsidP="00F769E0">
            <w:pPr>
              <w:pStyle w:val="GUIDE-NORMAL"/>
              <w:spacing w:before="60" w:after="60"/>
              <w:jc w:val="left"/>
              <w:rPr>
                <w:rFonts w:cs="Tahoma"/>
                <w:b/>
                <w:lang w:val="sl-SI" w:eastAsia="en-GB"/>
              </w:rPr>
            </w:pPr>
            <w:r w:rsidRPr="00622434">
              <w:rPr>
                <w:rFonts w:cs="Tahoma"/>
                <w:b/>
                <w:lang w:val="sl-SI" w:eastAsia="en-GB"/>
              </w:rPr>
              <w:t>Trajanje projekta</w:t>
            </w:r>
          </w:p>
        </w:tc>
        <w:tc>
          <w:tcPr>
            <w:tcW w:w="4156" w:type="pct"/>
            <w:shd w:val="clear" w:color="auto" w:fill="FFFFFF"/>
            <w:vAlign w:val="center"/>
          </w:tcPr>
          <w:p w14:paraId="7D39942D" w14:textId="77777777" w:rsidR="00E03711" w:rsidRPr="00622434" w:rsidRDefault="00E03711" w:rsidP="00F769E0">
            <w:pPr>
              <w:pStyle w:val="GUIDE-NORMAL"/>
              <w:spacing w:before="60" w:after="60"/>
              <w:rPr>
                <w:rFonts w:cs="Tahoma"/>
                <w:lang w:val="sl-SI" w:eastAsia="en-GB"/>
              </w:rPr>
            </w:pPr>
            <w:r w:rsidRPr="00622434">
              <w:rPr>
                <w:rFonts w:cs="Tahoma"/>
                <w:lang w:val="sl-SI" w:eastAsia="en-GB"/>
              </w:rPr>
              <w:t>2 ali 3 leta. Trajanje mora biti izbrano ob prijavi na podlagi cilja projekta in vrste aktivnosti, ki so načrtovane v tem času.</w:t>
            </w:r>
          </w:p>
          <w:p w14:paraId="7D39942E" w14:textId="77777777" w:rsidR="00E03711" w:rsidRPr="00622434" w:rsidRDefault="00E03711" w:rsidP="00F769E0">
            <w:pPr>
              <w:pStyle w:val="GUIDE-NORMAL"/>
              <w:spacing w:before="60" w:after="60"/>
              <w:rPr>
                <w:rFonts w:cs="Tahoma"/>
                <w:lang w:val="sl-SI" w:eastAsia="en-GB"/>
              </w:rPr>
            </w:pPr>
            <w:r w:rsidRPr="00622434">
              <w:rPr>
                <w:rFonts w:cs="Tahoma"/>
                <w:lang w:val="sl-SI" w:eastAsia="en-GB"/>
              </w:rPr>
              <w:t>V izjemnih primerih se lahko trajanje koalicije znanja na prošnjo upravičenca in s soglasjem Izvajalske agencije podaljša za največ 6 mesecev. V tem primeru se znesek skupnih nepovratnih sredstev ne spremeni.</w:t>
            </w:r>
          </w:p>
        </w:tc>
      </w:tr>
      <w:tr w:rsidR="00E03711" w:rsidRPr="00C60205" w14:paraId="7D399432" w14:textId="77777777" w:rsidTr="00F769E0">
        <w:trPr>
          <w:cantSplit/>
          <w:trHeight w:val="20"/>
        </w:trPr>
        <w:tc>
          <w:tcPr>
            <w:tcW w:w="844" w:type="pct"/>
            <w:shd w:val="clear" w:color="auto" w:fill="FFFFFF"/>
            <w:vAlign w:val="center"/>
          </w:tcPr>
          <w:p w14:paraId="7D399430" w14:textId="77777777" w:rsidR="00E03711" w:rsidRPr="00622434" w:rsidRDefault="00E03711" w:rsidP="00F769E0">
            <w:pPr>
              <w:pStyle w:val="GUIDE-NORMAL"/>
              <w:spacing w:before="60" w:after="60"/>
              <w:jc w:val="left"/>
              <w:rPr>
                <w:rFonts w:cs="Tahoma"/>
                <w:b/>
                <w:lang w:val="sl-SI" w:eastAsia="en-GB"/>
              </w:rPr>
            </w:pPr>
            <w:r w:rsidRPr="00622434">
              <w:rPr>
                <w:rFonts w:cs="Tahoma"/>
                <w:b/>
                <w:lang w:val="sl-SI" w:eastAsia="en-GB"/>
              </w:rPr>
              <w:t>Kje se prijaviti?</w:t>
            </w:r>
          </w:p>
        </w:tc>
        <w:tc>
          <w:tcPr>
            <w:tcW w:w="4156" w:type="pct"/>
            <w:shd w:val="clear" w:color="auto" w:fill="FFFFFF"/>
            <w:vAlign w:val="center"/>
          </w:tcPr>
          <w:p w14:paraId="7D399431" w14:textId="77777777" w:rsidR="00E03711" w:rsidRPr="00622434" w:rsidRDefault="00E03711" w:rsidP="00F769E0">
            <w:pPr>
              <w:pStyle w:val="GUIDE-NORMAL"/>
              <w:spacing w:before="60" w:after="60"/>
              <w:rPr>
                <w:rFonts w:cs="Tahoma"/>
                <w:lang w:val="sl-SI" w:eastAsia="en-GB"/>
              </w:rPr>
            </w:pPr>
            <w:r w:rsidRPr="00622434">
              <w:rPr>
                <w:rFonts w:cs="Tahoma"/>
                <w:lang w:val="sl-SI" w:eastAsia="en-GB"/>
              </w:rPr>
              <w:t>Pri Izvajalski agenciji za izobraževanje, avdiovizualno področje in kulturo v Bruslju.</w:t>
            </w:r>
          </w:p>
        </w:tc>
      </w:tr>
      <w:tr w:rsidR="00E03711" w:rsidRPr="00C60205" w14:paraId="7D399435" w14:textId="77777777" w:rsidTr="00F769E0">
        <w:trPr>
          <w:cantSplit/>
          <w:trHeight w:val="20"/>
        </w:trPr>
        <w:tc>
          <w:tcPr>
            <w:tcW w:w="844" w:type="pct"/>
            <w:shd w:val="clear" w:color="auto" w:fill="FFFFFF"/>
            <w:vAlign w:val="center"/>
          </w:tcPr>
          <w:p w14:paraId="7D399433" w14:textId="77777777" w:rsidR="00E03711" w:rsidRPr="00622434" w:rsidRDefault="00E03711" w:rsidP="00F769E0">
            <w:pPr>
              <w:pStyle w:val="GUIDE-NORMAL"/>
              <w:spacing w:before="60" w:after="60"/>
              <w:jc w:val="left"/>
              <w:rPr>
                <w:rFonts w:cs="Tahoma"/>
                <w:b/>
                <w:lang w:val="sl-SI" w:eastAsia="en-GB"/>
              </w:rPr>
            </w:pPr>
            <w:r w:rsidRPr="00622434">
              <w:rPr>
                <w:rFonts w:cs="Tahoma"/>
                <w:b/>
                <w:lang w:val="sl-SI" w:eastAsia="en-GB"/>
              </w:rPr>
              <w:t>Kdaj se prijaviti?</w:t>
            </w:r>
          </w:p>
        </w:tc>
        <w:tc>
          <w:tcPr>
            <w:tcW w:w="4156" w:type="pct"/>
            <w:shd w:val="clear" w:color="auto" w:fill="FFFFFF"/>
            <w:vAlign w:val="center"/>
          </w:tcPr>
          <w:p w14:paraId="7D399434" w14:textId="77777777" w:rsidR="00E03711" w:rsidRPr="00622434" w:rsidRDefault="00E03711" w:rsidP="00F769E0">
            <w:pPr>
              <w:pStyle w:val="GUIDE-NORMAL"/>
              <w:spacing w:before="60" w:after="60"/>
              <w:rPr>
                <w:rFonts w:cs="Tahoma"/>
                <w:lang w:val="sl-SI" w:eastAsia="en-GB"/>
              </w:rPr>
            </w:pPr>
            <w:r w:rsidRPr="00622434">
              <w:rPr>
                <w:rFonts w:cs="Tahoma"/>
                <w:lang w:val="sl-SI" w:eastAsia="en-GB"/>
              </w:rPr>
              <w:t xml:space="preserve">Prijavitelji morajo vlogo za nepovratna sredstva oddati do </w:t>
            </w:r>
            <w:r w:rsidRPr="00622434">
              <w:rPr>
                <w:rFonts w:cs="Tahoma"/>
                <w:b/>
                <w:lang w:val="sl-SI" w:eastAsia="en-GB"/>
              </w:rPr>
              <w:t>2</w:t>
            </w:r>
            <w:r>
              <w:rPr>
                <w:rFonts w:cs="Tahoma"/>
                <w:b/>
                <w:lang w:val="sl-SI" w:eastAsia="en-GB"/>
              </w:rPr>
              <w:t>6</w:t>
            </w:r>
            <w:r w:rsidRPr="00622434">
              <w:rPr>
                <w:rFonts w:cs="Tahoma"/>
                <w:b/>
                <w:lang w:val="sl-SI" w:eastAsia="en-GB"/>
              </w:rPr>
              <w:t>. februarja do 1</w:t>
            </w:r>
            <w:r>
              <w:rPr>
                <w:rFonts w:cs="Tahoma"/>
                <w:b/>
                <w:lang w:val="sl-SI" w:eastAsia="en-GB"/>
              </w:rPr>
              <w:t>7</w:t>
            </w:r>
            <w:r w:rsidRPr="00622434">
              <w:rPr>
                <w:rFonts w:cs="Tahoma"/>
                <w:b/>
                <w:lang w:val="sl-SI" w:eastAsia="en-GB"/>
              </w:rPr>
              <w:t>. ure (po bruseljskem času)</w:t>
            </w:r>
            <w:r w:rsidRPr="00622434">
              <w:rPr>
                <w:rFonts w:cs="Tahoma"/>
                <w:lang w:val="sl-SI" w:eastAsia="en-GB"/>
              </w:rPr>
              <w:t xml:space="preserve"> za projekte, ki se začnejo 1. novembra istega leta ali 1. januarja naslednje leto.</w:t>
            </w:r>
          </w:p>
        </w:tc>
      </w:tr>
      <w:tr w:rsidR="00E03711" w:rsidRPr="00C60205" w14:paraId="7D399438" w14:textId="77777777" w:rsidTr="00F769E0">
        <w:trPr>
          <w:cantSplit/>
          <w:trHeight w:val="20"/>
        </w:trPr>
        <w:tc>
          <w:tcPr>
            <w:tcW w:w="844" w:type="pct"/>
            <w:shd w:val="clear" w:color="auto" w:fill="FFFFFF"/>
            <w:vAlign w:val="center"/>
          </w:tcPr>
          <w:p w14:paraId="7D399436" w14:textId="77777777" w:rsidR="00E03711" w:rsidRPr="00622434" w:rsidRDefault="00E03711" w:rsidP="00F769E0">
            <w:pPr>
              <w:pStyle w:val="GUIDE-NORMAL"/>
              <w:spacing w:before="60" w:after="60"/>
              <w:jc w:val="left"/>
              <w:rPr>
                <w:rFonts w:cs="Tahoma"/>
                <w:b/>
                <w:lang w:val="sl-SI" w:eastAsia="en-GB"/>
              </w:rPr>
            </w:pPr>
            <w:r w:rsidRPr="00622434">
              <w:rPr>
                <w:rFonts w:cs="Tahoma"/>
                <w:b/>
                <w:lang w:val="sl-SI" w:eastAsia="en-GB"/>
              </w:rPr>
              <w:t>Kako se prijaviti?</w:t>
            </w:r>
          </w:p>
        </w:tc>
        <w:tc>
          <w:tcPr>
            <w:tcW w:w="4156" w:type="pct"/>
            <w:shd w:val="clear" w:color="auto" w:fill="FFFFFF"/>
            <w:vAlign w:val="center"/>
          </w:tcPr>
          <w:p w14:paraId="7D399437" w14:textId="77777777" w:rsidR="00E03711" w:rsidRPr="00622434" w:rsidRDefault="00E03711" w:rsidP="00F769E0">
            <w:pPr>
              <w:pStyle w:val="GUIDE-NORMAL"/>
              <w:spacing w:before="60" w:after="60"/>
              <w:rPr>
                <w:rFonts w:cs="Tahoma"/>
                <w:lang w:val="sl-SI" w:eastAsia="en-GB"/>
              </w:rPr>
            </w:pPr>
            <w:r w:rsidRPr="00622434">
              <w:rPr>
                <w:rFonts w:cs="Tahoma"/>
                <w:lang w:val="sl-SI" w:eastAsia="en-GB"/>
              </w:rPr>
              <w:t>Za podrobnosti o postopku prijave glej del C tega vodnika.</w:t>
            </w:r>
          </w:p>
        </w:tc>
      </w:tr>
    </w:tbl>
    <w:p w14:paraId="7D399439" w14:textId="77777777" w:rsidR="00E03711" w:rsidRPr="00622434" w:rsidRDefault="00E03711" w:rsidP="00517C47">
      <w:pPr>
        <w:pStyle w:val="GUIDE-NORMAL"/>
        <w:rPr>
          <w:lang w:val="sl-SI"/>
        </w:rPr>
      </w:pPr>
      <w:r w:rsidRPr="00622434">
        <w:rPr>
          <w:lang w:val="sl-SI"/>
        </w:rPr>
        <w:t xml:space="preserve">Organizacije prijaviteljice bodo ocenjene z ustreznimi merili za </w:t>
      </w:r>
      <w:r w:rsidRPr="00622434">
        <w:rPr>
          <w:b/>
          <w:lang w:val="sl-SI"/>
        </w:rPr>
        <w:t>izključitev in izbor</w:t>
      </w:r>
      <w:r w:rsidRPr="00622434">
        <w:rPr>
          <w:lang w:val="sl-SI"/>
        </w:rPr>
        <w:t>. Za več informacij glej del C tega vodnika.</w:t>
      </w:r>
    </w:p>
    <w:p w14:paraId="7D39943A" w14:textId="77777777" w:rsidR="00E03711" w:rsidRPr="00622434" w:rsidRDefault="00E03711" w:rsidP="00517C47">
      <w:pPr>
        <w:pStyle w:val="Guide-Heading6"/>
        <w:rPr>
          <w:lang w:val="sl-SI"/>
        </w:rPr>
      </w:pPr>
      <w:r w:rsidRPr="00622434">
        <w:rPr>
          <w:lang w:val="sl-SI"/>
        </w:rPr>
        <w:t>Merila za dodelitev</w:t>
      </w:r>
    </w:p>
    <w:p w14:paraId="7D39943B" w14:textId="77777777" w:rsidR="00E03711" w:rsidRPr="00622434" w:rsidRDefault="00E03711" w:rsidP="00517C47">
      <w:pPr>
        <w:pStyle w:val="GUIDE-NORMAL"/>
        <w:rPr>
          <w:lang w:val="sl-SI"/>
        </w:rPr>
      </w:pPr>
      <w:r w:rsidRPr="00622434">
        <w:rPr>
          <w:lang w:val="sl-SI"/>
        </w:rPr>
        <w:t>Projekt bo ocenjen z naslednjimi merili:</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7540"/>
      </w:tblGrid>
      <w:tr w:rsidR="00E03711" w:rsidRPr="00C60205" w14:paraId="7D399441" w14:textId="77777777" w:rsidTr="00F769E0">
        <w:trPr>
          <w:trHeight w:val="170"/>
        </w:trPr>
        <w:tc>
          <w:tcPr>
            <w:tcW w:w="1531" w:type="dxa"/>
            <w:tcBorders>
              <w:top w:val="single" w:sz="4" w:space="0" w:color="auto"/>
              <w:left w:val="single" w:sz="4" w:space="0" w:color="auto"/>
              <w:bottom w:val="dashed" w:sz="4" w:space="0" w:color="auto"/>
              <w:right w:val="single" w:sz="4" w:space="0" w:color="auto"/>
            </w:tcBorders>
            <w:shd w:val="clear" w:color="auto" w:fill="auto"/>
            <w:vAlign w:val="center"/>
          </w:tcPr>
          <w:p w14:paraId="7D39943C" w14:textId="77777777" w:rsidR="00E03711" w:rsidRPr="00622434" w:rsidRDefault="00E03711" w:rsidP="00F769E0">
            <w:pPr>
              <w:pStyle w:val="GUIDE-NORMAL"/>
              <w:jc w:val="left"/>
              <w:rPr>
                <w:rFonts w:cs="Tahoma"/>
                <w:b/>
                <w:lang w:val="sl-SI" w:eastAsia="en-GB"/>
              </w:rPr>
            </w:pPr>
            <w:r w:rsidRPr="00622434">
              <w:rPr>
                <w:rFonts w:cs="Tahoma"/>
                <w:b/>
                <w:lang w:val="sl-SI" w:eastAsia="en-GB"/>
              </w:rPr>
              <w:t xml:space="preserve">Ustreznost predloga </w:t>
            </w:r>
            <w:r w:rsidRPr="00622434">
              <w:rPr>
                <w:rFonts w:cs="Tahoma"/>
                <w:b/>
                <w:lang w:val="sl-SI" w:eastAsia="en-GB"/>
              </w:rPr>
              <w:br/>
              <w:t>(največ 25 točk):</w:t>
            </w:r>
          </w:p>
        </w:tc>
        <w:tc>
          <w:tcPr>
            <w:tcW w:w="7540" w:type="dxa"/>
            <w:tcBorders>
              <w:top w:val="single" w:sz="4" w:space="0" w:color="auto"/>
              <w:left w:val="single" w:sz="4" w:space="0" w:color="auto"/>
              <w:bottom w:val="dashed" w:sz="4" w:space="0" w:color="auto"/>
              <w:right w:val="single" w:sz="4" w:space="0" w:color="auto"/>
            </w:tcBorders>
            <w:shd w:val="clear" w:color="auto" w:fill="auto"/>
            <w:vAlign w:val="center"/>
          </w:tcPr>
          <w:p w14:paraId="7D39943D" w14:textId="77777777" w:rsidR="00E03711" w:rsidRPr="00622434" w:rsidRDefault="00E03711" w:rsidP="005115F2">
            <w:pPr>
              <w:pStyle w:val="Guide-NormalBulletpoints"/>
              <w:numPr>
                <w:ilvl w:val="0"/>
                <w:numId w:val="401"/>
              </w:numPr>
              <w:ind w:left="719"/>
              <w:rPr>
                <w:lang w:val="sl-SI"/>
              </w:rPr>
            </w:pPr>
            <w:r w:rsidRPr="00622434">
              <w:rPr>
                <w:lang w:val="sl-SI"/>
              </w:rPr>
              <w:t>namen: predlog je usklajen s cilji ukrepa (glej poglavje „Kakšni so cilji in prednostne naloge koalicije znanja?“);</w:t>
            </w:r>
          </w:p>
          <w:p w14:paraId="7D39943E" w14:textId="77777777" w:rsidR="00E03711" w:rsidRPr="00622434" w:rsidRDefault="00E03711" w:rsidP="005115F2">
            <w:pPr>
              <w:pStyle w:val="Guide-NormalBulletpoints"/>
              <w:numPr>
                <w:ilvl w:val="0"/>
                <w:numId w:val="401"/>
              </w:numPr>
              <w:ind w:left="719"/>
              <w:rPr>
                <w:lang w:val="sl-SI"/>
              </w:rPr>
            </w:pPr>
            <w:r w:rsidRPr="00622434">
              <w:rPr>
                <w:lang w:val="sl-SI"/>
              </w:rPr>
              <w:t>doslednost: predlog temelji na dobri in trdni analizi potreb; cilji in rezultati so jasno opredeljeni, realistični in obravnavajo vprašanja, ki so pomembna za sodelujoče organizacije in ukrepe;</w:t>
            </w:r>
          </w:p>
          <w:p w14:paraId="7D39943F" w14:textId="77777777" w:rsidR="00E03711" w:rsidRPr="00622434" w:rsidRDefault="00E03711" w:rsidP="005115F2">
            <w:pPr>
              <w:pStyle w:val="Guide-NormalBulletpoints"/>
              <w:numPr>
                <w:ilvl w:val="0"/>
                <w:numId w:val="401"/>
              </w:numPr>
              <w:ind w:left="719"/>
              <w:rPr>
                <w:lang w:val="sl-SI"/>
              </w:rPr>
            </w:pPr>
            <w:r w:rsidRPr="00622434">
              <w:rPr>
                <w:lang w:val="sl-SI"/>
              </w:rPr>
              <w:t>inovacije: predlog obravnava najsodobnejše metode in tehnike ter vodi do inovativnih rezultatov in rešitev, povezanih s projektom;</w:t>
            </w:r>
          </w:p>
          <w:p w14:paraId="7D399440" w14:textId="77777777" w:rsidR="00E03711" w:rsidRPr="00622434" w:rsidRDefault="00E03711" w:rsidP="005115F2">
            <w:pPr>
              <w:pStyle w:val="Guide-NormalBulletpoints"/>
              <w:numPr>
                <w:ilvl w:val="0"/>
                <w:numId w:val="401"/>
              </w:numPr>
              <w:ind w:left="719"/>
              <w:rPr>
                <w:lang w:val="sl-SI"/>
              </w:rPr>
            </w:pPr>
            <w:r w:rsidRPr="00622434">
              <w:rPr>
                <w:lang w:val="sl-SI"/>
              </w:rPr>
              <w:t>evropska dodana vrednost: predlog jasno prikaže dodano vrednost, ki bo ustvarjena na podlagi mednarodnosti in morebitne prenosljivosti projekta.</w:t>
            </w:r>
          </w:p>
        </w:tc>
      </w:tr>
      <w:tr w:rsidR="00E03711" w:rsidRPr="00C60205" w14:paraId="7D399447" w14:textId="77777777" w:rsidTr="00F769E0">
        <w:trPr>
          <w:trHeight w:val="170"/>
        </w:trPr>
        <w:tc>
          <w:tcPr>
            <w:tcW w:w="1531" w:type="dxa"/>
            <w:tcBorders>
              <w:top w:val="dashed" w:sz="4" w:space="0" w:color="auto"/>
              <w:bottom w:val="dashed" w:sz="4" w:space="0" w:color="auto"/>
            </w:tcBorders>
            <w:shd w:val="clear" w:color="auto" w:fill="auto"/>
            <w:vAlign w:val="center"/>
          </w:tcPr>
          <w:p w14:paraId="7D399442" w14:textId="77777777" w:rsidR="00E03711" w:rsidRPr="00622434" w:rsidRDefault="00E03711" w:rsidP="00F769E0">
            <w:pPr>
              <w:pStyle w:val="GUIDE-NORMAL"/>
              <w:jc w:val="left"/>
              <w:rPr>
                <w:rFonts w:cs="Tahoma"/>
                <w:b/>
                <w:lang w:val="sl-SI" w:eastAsia="en-GB"/>
              </w:rPr>
            </w:pPr>
            <w:r w:rsidRPr="00622434">
              <w:rPr>
                <w:rFonts w:cs="Tahoma"/>
                <w:b/>
                <w:lang w:val="sl-SI" w:eastAsia="en-GB"/>
              </w:rPr>
              <w:t>Kakovost zasnove in izvedbe projekta (največ 25 točk):</w:t>
            </w:r>
          </w:p>
        </w:tc>
        <w:tc>
          <w:tcPr>
            <w:tcW w:w="7540" w:type="dxa"/>
            <w:tcBorders>
              <w:top w:val="dashed" w:sz="4" w:space="0" w:color="auto"/>
              <w:bottom w:val="dashed" w:sz="4" w:space="0" w:color="auto"/>
            </w:tcBorders>
            <w:shd w:val="clear" w:color="auto" w:fill="auto"/>
            <w:vAlign w:val="center"/>
          </w:tcPr>
          <w:p w14:paraId="7D399443" w14:textId="77777777" w:rsidR="00E03711" w:rsidRPr="00622434" w:rsidRDefault="00E03711" w:rsidP="005115F2">
            <w:pPr>
              <w:pStyle w:val="Guide-NormalBulletpoints"/>
              <w:numPr>
                <w:ilvl w:val="0"/>
                <w:numId w:val="402"/>
              </w:numPr>
              <w:ind w:left="719"/>
              <w:rPr>
                <w:lang w:val="sl-SI"/>
              </w:rPr>
            </w:pPr>
            <w:r w:rsidRPr="00622434">
              <w:rPr>
                <w:lang w:val="sl-SI"/>
              </w:rPr>
              <w:t>skladnost: predlog predstavi usklajen in celovit nabor ustreznih aktivnosti za izpolnjevanje opredeljenih potreb in doseganje pričakovanih rezultatov;</w:t>
            </w:r>
          </w:p>
          <w:p w14:paraId="7D399444" w14:textId="77777777" w:rsidR="00E03711" w:rsidRPr="00622434" w:rsidRDefault="00E03711" w:rsidP="005115F2">
            <w:pPr>
              <w:pStyle w:val="Guide-NormalBulletpoints"/>
              <w:numPr>
                <w:ilvl w:val="0"/>
                <w:numId w:val="402"/>
              </w:numPr>
              <w:ind w:left="719"/>
              <w:rPr>
                <w:lang w:val="sl-SI"/>
              </w:rPr>
            </w:pPr>
            <w:r w:rsidRPr="00622434">
              <w:rPr>
                <w:lang w:val="sl-SI"/>
              </w:rPr>
              <w:t>struktura: delovni program je jasen in razumljiv ter zajema vse faze;</w:t>
            </w:r>
          </w:p>
          <w:p w14:paraId="7D399445" w14:textId="77777777" w:rsidR="00E03711" w:rsidRPr="00622434" w:rsidRDefault="00E03711" w:rsidP="005115F2">
            <w:pPr>
              <w:pStyle w:val="Guide-NormalBulletpoints"/>
              <w:numPr>
                <w:ilvl w:val="0"/>
                <w:numId w:val="402"/>
              </w:numPr>
              <w:ind w:left="719"/>
              <w:rPr>
                <w:lang w:val="sl-SI"/>
              </w:rPr>
            </w:pPr>
            <w:r w:rsidRPr="00622434">
              <w:rPr>
                <w:lang w:val="sl-SI"/>
              </w:rPr>
              <w:t>upravljanje: časovni razpored, organizacija, naloge in odgovornosti so dobro opredeljeni in realistični. Predlog dodeljuje ustrezna sredstva posameznim aktivnostim;</w:t>
            </w:r>
          </w:p>
          <w:p w14:paraId="7D399446" w14:textId="77777777" w:rsidR="00E03711" w:rsidRPr="00622434" w:rsidRDefault="00E03711" w:rsidP="005115F2">
            <w:pPr>
              <w:pStyle w:val="Guide-NormalBulletpoints"/>
              <w:numPr>
                <w:ilvl w:val="0"/>
                <w:numId w:val="402"/>
              </w:numPr>
              <w:ind w:left="719"/>
              <w:rPr>
                <w:lang w:val="sl-SI"/>
              </w:rPr>
            </w:pPr>
            <w:r w:rsidRPr="00622434">
              <w:rPr>
                <w:lang w:val="sl-SI"/>
              </w:rPr>
              <w:t>nadzor kakovosti in sredstev: posebni ukrepi za ocenjevanje postopkov in rezultatov zagotavljajo, da je izvedba projekta visokokakovostna in stroškovno učinkovita.</w:t>
            </w:r>
          </w:p>
        </w:tc>
      </w:tr>
      <w:tr w:rsidR="00E03711" w:rsidRPr="00C60205" w14:paraId="7D39944F" w14:textId="77777777" w:rsidTr="00F769E0">
        <w:trPr>
          <w:trHeight w:val="170"/>
        </w:trPr>
        <w:tc>
          <w:tcPr>
            <w:tcW w:w="1531" w:type="dxa"/>
            <w:tcBorders>
              <w:top w:val="dashed" w:sz="4" w:space="0" w:color="auto"/>
              <w:bottom w:val="dashed" w:sz="4" w:space="0" w:color="auto"/>
            </w:tcBorders>
            <w:shd w:val="clear" w:color="auto" w:fill="auto"/>
            <w:vAlign w:val="center"/>
          </w:tcPr>
          <w:p w14:paraId="7D399448" w14:textId="77777777" w:rsidR="00E03711" w:rsidRPr="00622434" w:rsidRDefault="00E03711" w:rsidP="00F769E0">
            <w:pPr>
              <w:pStyle w:val="GUIDE-NORMAL"/>
              <w:jc w:val="left"/>
              <w:rPr>
                <w:rFonts w:cs="Tahoma"/>
                <w:b/>
                <w:lang w:val="sl-SI" w:eastAsia="en-GB"/>
              </w:rPr>
            </w:pPr>
            <w:r w:rsidRPr="00622434">
              <w:rPr>
                <w:rFonts w:cs="Tahoma"/>
                <w:b/>
                <w:lang w:val="sl-SI" w:eastAsia="en-GB"/>
              </w:rPr>
              <w:t>Kakovost projektne skupine in dogovorov o sodelovanju (največ 30 točk):</w:t>
            </w:r>
          </w:p>
        </w:tc>
        <w:tc>
          <w:tcPr>
            <w:tcW w:w="7540" w:type="dxa"/>
            <w:tcBorders>
              <w:top w:val="dashed" w:sz="4" w:space="0" w:color="auto"/>
              <w:bottom w:val="dashed" w:sz="4" w:space="0" w:color="auto"/>
            </w:tcBorders>
            <w:shd w:val="clear" w:color="auto" w:fill="auto"/>
            <w:vAlign w:val="center"/>
          </w:tcPr>
          <w:p w14:paraId="7D399449" w14:textId="77777777" w:rsidR="00E03711" w:rsidRPr="00622434" w:rsidRDefault="00E03711" w:rsidP="005115F2">
            <w:pPr>
              <w:pStyle w:val="Guide-NormalBulletpoints"/>
              <w:numPr>
                <w:ilvl w:val="0"/>
                <w:numId w:val="403"/>
              </w:numPr>
              <w:ind w:left="719"/>
              <w:rPr>
                <w:lang w:val="sl-SI"/>
              </w:rPr>
            </w:pPr>
            <w:r w:rsidRPr="00622434">
              <w:rPr>
                <w:lang w:val="sl-SI"/>
              </w:rPr>
              <w:t>sestava: predlagana koalicija znanja vključuje ustrezen nabor partnerjev iz visokošolskega izobraževanja in gospodarstva z zahtevanimi profili, spretnostmi, izkušnjami, strokovnim znanjem in podporo upravljanju, ki so potrebni za uspešno izvedbo;</w:t>
            </w:r>
          </w:p>
          <w:p w14:paraId="7D39944A" w14:textId="77777777" w:rsidR="00E03711" w:rsidRPr="00622434" w:rsidRDefault="00E03711" w:rsidP="005115F2">
            <w:pPr>
              <w:pStyle w:val="Guide-NormalBulletpoints"/>
              <w:numPr>
                <w:ilvl w:val="0"/>
                <w:numId w:val="403"/>
              </w:numPr>
              <w:ind w:left="719"/>
              <w:rPr>
                <w:lang w:val="sl-SI"/>
              </w:rPr>
            </w:pPr>
            <w:r w:rsidRPr="00622434">
              <w:rPr>
                <w:lang w:val="sl-SI"/>
              </w:rPr>
              <w:t>zavezanost: vsaka sodelujoča organizacija pokaže popolno vključenost, ki ustreza njenim zmogljivostim in določenemu področju strokovnega znanja;</w:t>
            </w:r>
          </w:p>
          <w:p w14:paraId="7D39944B" w14:textId="77777777" w:rsidR="00E03711" w:rsidRPr="00622434" w:rsidRDefault="00E03711" w:rsidP="005115F2">
            <w:pPr>
              <w:pStyle w:val="Guide-NormalBulletpoints"/>
              <w:numPr>
                <w:ilvl w:val="0"/>
                <w:numId w:val="403"/>
              </w:numPr>
              <w:ind w:left="719"/>
              <w:rPr>
                <w:lang w:val="sl-SI"/>
              </w:rPr>
            </w:pPr>
            <w:r w:rsidRPr="00622434">
              <w:rPr>
                <w:lang w:val="sl-SI"/>
              </w:rPr>
              <w:t>partnerstvo: prispevek partnerjev iz visokošolskega izobraževanja in gospodarstva je pomemben, povezan s projektom in dopolnjujoč;</w:t>
            </w:r>
          </w:p>
          <w:p w14:paraId="7D39944C" w14:textId="77777777" w:rsidR="00E03711" w:rsidRPr="00622434" w:rsidRDefault="00E03711" w:rsidP="005115F2">
            <w:pPr>
              <w:pStyle w:val="Guide-NormalBulletpoints"/>
              <w:numPr>
                <w:ilvl w:val="0"/>
                <w:numId w:val="403"/>
              </w:numPr>
              <w:ind w:left="719"/>
              <w:rPr>
                <w:lang w:val="sl-SI"/>
              </w:rPr>
            </w:pPr>
            <w:r w:rsidRPr="00622434">
              <w:rPr>
                <w:lang w:val="sl-SI"/>
              </w:rPr>
              <w:t>Sodelovanje/skupinski duh: predlog vključuje jasne ureditve in odgovornosti za pregledno in učinkovito odločanje, reševanje sporov, poročanje in obveščanje med sodelujočimi organizacijami;</w:t>
            </w:r>
          </w:p>
          <w:p w14:paraId="7D39944D" w14:textId="77777777" w:rsidR="00E03711" w:rsidRPr="00622434" w:rsidRDefault="00E03711" w:rsidP="005115F2">
            <w:pPr>
              <w:pStyle w:val="Guide-NormalBulletpoints"/>
              <w:numPr>
                <w:ilvl w:val="0"/>
                <w:numId w:val="403"/>
              </w:numPr>
              <w:ind w:left="719"/>
              <w:rPr>
                <w:lang w:val="sl-SI"/>
              </w:rPr>
            </w:pPr>
            <w:r w:rsidRPr="00622434">
              <w:rPr>
                <w:lang w:val="sl-SI"/>
              </w:rPr>
              <w:t>nagrada: projekt zagotavlja jasno dodano vrednost in koristi vsem partnerskim organizacijam;</w:t>
            </w:r>
          </w:p>
          <w:p w14:paraId="7D39944E" w14:textId="77777777" w:rsidR="00E03711" w:rsidRPr="00622434" w:rsidRDefault="00E03711" w:rsidP="005115F2">
            <w:pPr>
              <w:pStyle w:val="Guide-NormalBulletpoints"/>
              <w:numPr>
                <w:ilvl w:val="0"/>
                <w:numId w:val="403"/>
              </w:numPr>
              <w:ind w:left="719"/>
              <w:rPr>
                <w:lang w:val="sl-SI"/>
              </w:rPr>
            </w:pPr>
            <w:r w:rsidRPr="00622434">
              <w:rPr>
                <w:lang w:val="sl-SI"/>
              </w:rPr>
              <w:t>vključenost partnerskih držav: kadar je to ustrezno, vključenost sodelujoče organizacije iz partnerske države prispeva bistveno dodano vrednost k projektu (če ta pogoj ni izpolnjen, se projekt ne upošteva pri izboru).</w:t>
            </w:r>
          </w:p>
        </w:tc>
      </w:tr>
      <w:tr w:rsidR="00E03711" w:rsidRPr="00C60205" w14:paraId="7D399456" w14:textId="77777777" w:rsidTr="00F769E0">
        <w:trPr>
          <w:trHeight w:val="170"/>
        </w:trPr>
        <w:tc>
          <w:tcPr>
            <w:tcW w:w="1531" w:type="dxa"/>
            <w:tcBorders>
              <w:top w:val="dashed" w:sz="4" w:space="0" w:color="auto"/>
              <w:bottom w:val="dashed" w:sz="4" w:space="0" w:color="auto"/>
              <w:right w:val="single" w:sz="4" w:space="0" w:color="auto"/>
            </w:tcBorders>
            <w:shd w:val="clear" w:color="auto" w:fill="auto"/>
            <w:vAlign w:val="center"/>
          </w:tcPr>
          <w:p w14:paraId="7D399450" w14:textId="77777777" w:rsidR="00E03711" w:rsidRPr="00622434" w:rsidRDefault="00E03711" w:rsidP="00F769E0">
            <w:pPr>
              <w:pStyle w:val="GUIDE-NORMAL"/>
              <w:jc w:val="left"/>
              <w:rPr>
                <w:rFonts w:cs="Tahoma"/>
                <w:b/>
                <w:lang w:val="sl-SI" w:eastAsia="en-GB"/>
              </w:rPr>
            </w:pPr>
            <w:r w:rsidRPr="00622434">
              <w:rPr>
                <w:rFonts w:cs="Tahoma"/>
                <w:b/>
                <w:lang w:val="sl-SI" w:eastAsia="en-GB"/>
              </w:rPr>
              <w:t>Učinek in razširjanje (največ 20 točk):</w:t>
            </w:r>
          </w:p>
        </w:tc>
        <w:tc>
          <w:tcPr>
            <w:tcW w:w="7540" w:type="dxa"/>
            <w:tcBorders>
              <w:top w:val="dashed" w:sz="4" w:space="0" w:color="auto"/>
              <w:left w:val="single" w:sz="4" w:space="0" w:color="auto"/>
              <w:bottom w:val="dashed" w:sz="4" w:space="0" w:color="auto"/>
              <w:right w:val="single" w:sz="4" w:space="0" w:color="auto"/>
            </w:tcBorders>
            <w:shd w:val="clear" w:color="auto" w:fill="auto"/>
            <w:vAlign w:val="center"/>
          </w:tcPr>
          <w:p w14:paraId="7D399451" w14:textId="77777777" w:rsidR="00E03711" w:rsidRPr="00B36F01" w:rsidRDefault="00E03711" w:rsidP="005115F2">
            <w:pPr>
              <w:pStyle w:val="Guide-NormalBulletpoints"/>
              <w:numPr>
                <w:ilvl w:val="0"/>
                <w:numId w:val="403"/>
              </w:numPr>
              <w:ind w:left="719"/>
              <w:rPr>
                <w:lang w:val="sl-SI"/>
              </w:rPr>
            </w:pPr>
            <w:r w:rsidRPr="00B36F01">
              <w:rPr>
                <w:lang w:val="sl-SI"/>
              </w:rPr>
              <w:t>uporaba: predlog prikaže, kako bodo partnerji in drugi deležniki uporabili rezultate in prišli do pričakovanih učinkov. Vzpostavljeni so ustrezni ukrepi za ocenjevanje učinka projekta. Predlog podaja način za merjenje uporabe rezultatov v življenjskem ciklu projekta in po njem;</w:t>
            </w:r>
          </w:p>
          <w:p w14:paraId="7D399452" w14:textId="77777777" w:rsidR="00E03711" w:rsidRPr="00622434" w:rsidRDefault="00E03711" w:rsidP="005115F2">
            <w:pPr>
              <w:pStyle w:val="Guide-NormalBulletpoints"/>
              <w:numPr>
                <w:ilvl w:val="0"/>
                <w:numId w:val="403"/>
              </w:numPr>
              <w:ind w:left="719"/>
              <w:rPr>
                <w:lang w:val="sl-SI"/>
              </w:rPr>
            </w:pPr>
            <w:r w:rsidRPr="00622434">
              <w:rPr>
                <w:lang w:val="sl-SI"/>
              </w:rPr>
              <w:t>razširjanje: predlog opiše jasen načrt za razširjanje rezultatov in vključuje ustrezne aktivnosti, orodja in kanale, ki bodo zagotovili učinkovito razširjanje rezultatov in koristi deležnikom in drugim med projektom in po njem;</w:t>
            </w:r>
          </w:p>
          <w:p w14:paraId="7D399453" w14:textId="77777777" w:rsidR="00E03711" w:rsidRPr="00622434" w:rsidRDefault="00E03711" w:rsidP="005115F2">
            <w:pPr>
              <w:pStyle w:val="Guide-NormalBulletpoints"/>
              <w:numPr>
                <w:ilvl w:val="0"/>
                <w:numId w:val="403"/>
              </w:numPr>
              <w:ind w:left="719"/>
              <w:rPr>
                <w:lang w:val="sl-SI"/>
              </w:rPr>
            </w:pPr>
            <w:r w:rsidRPr="00622434">
              <w:rPr>
                <w:lang w:val="sl-SI"/>
              </w:rPr>
              <w:t>učinek: predlog prikaže družbeno in gospodarsko ustreznost ter doseg. Zagotovi s projektom povezane ukrepe za spremljanje napredka in ocenjevanje pričakovanega učinka (kratkoročnega in dolgoročnega);</w:t>
            </w:r>
          </w:p>
          <w:p w14:paraId="7D399454" w14:textId="77777777" w:rsidR="00E03711" w:rsidRPr="00622434" w:rsidRDefault="00E03711" w:rsidP="005115F2">
            <w:pPr>
              <w:pStyle w:val="Guide-NormalBulletpoints"/>
              <w:numPr>
                <w:ilvl w:val="0"/>
                <w:numId w:val="403"/>
              </w:numPr>
              <w:ind w:left="719"/>
              <w:rPr>
                <w:lang w:val="sl-SI"/>
              </w:rPr>
            </w:pPr>
            <w:r w:rsidRPr="00622434">
              <w:rPr>
                <w:lang w:val="sl-SI"/>
              </w:rPr>
              <w:t>prost dostop: predlog po potrebi opiše, kako se bo omogočil prost dostop z odprtimi licencami do ustvarjenih gradiv, dokumentov in nosilcev podatkov ter kako se bo o njih obveščalo, in ne vsebuje nesorazmernih omejitev;</w:t>
            </w:r>
          </w:p>
          <w:p w14:paraId="7D399455" w14:textId="77777777" w:rsidR="00E03711" w:rsidRPr="00622434" w:rsidRDefault="00E03711" w:rsidP="005115F2">
            <w:pPr>
              <w:pStyle w:val="Guide-NormalBulletpoints"/>
              <w:numPr>
                <w:ilvl w:val="0"/>
                <w:numId w:val="403"/>
              </w:numPr>
              <w:ind w:left="719"/>
              <w:rPr>
                <w:lang w:val="sl-SI"/>
              </w:rPr>
            </w:pPr>
            <w:r w:rsidRPr="00622434">
              <w:rPr>
                <w:lang w:val="sl-SI"/>
              </w:rPr>
              <w:t>trajnost: predlog vključuje ustrezne ukrepe in vire, da zagotovi trajnost partnerstva, rezultatov projekta in koristi po življenjskem ciklu projekta.</w:t>
            </w:r>
          </w:p>
        </w:tc>
      </w:tr>
    </w:tbl>
    <w:p w14:paraId="7D399457" w14:textId="77777777" w:rsidR="00E03711" w:rsidRPr="00622434" w:rsidRDefault="00E03711" w:rsidP="00517C47">
      <w:pPr>
        <w:pStyle w:val="GUIDE-NORMAL"/>
        <w:rPr>
          <w:lang w:val="sl-SI"/>
        </w:rPr>
      </w:pPr>
      <w:r w:rsidRPr="00622434">
        <w:rPr>
          <w:lang w:val="sl-SI"/>
        </w:rPr>
        <w:t>Za upoštevanje pri dodeljevanju sredstev morajo predlogi doseči vsaj 70 točk. Poleg tega morajo doseči vsaj 13 točk za kategoriji „Ustreznost projekta“ ter „Kakovost zasnove in izvedbe projekta“; 16 točk za kategorijo „Kakovost projektne skupine in dogovorov o sodelovanju“ ter 11 točk za kategorijo „Učinek in razširjanje“.</w:t>
      </w:r>
    </w:p>
    <w:p w14:paraId="7D399458" w14:textId="77777777" w:rsidR="00E03711" w:rsidRPr="00622434" w:rsidRDefault="00E03711" w:rsidP="00517C47">
      <w:pPr>
        <w:pStyle w:val="GUIDE-NORMAL"/>
        <w:rPr>
          <w:lang w:val="sl-SI"/>
        </w:rPr>
      </w:pPr>
    </w:p>
    <w:p w14:paraId="7D399459" w14:textId="77777777" w:rsidR="00E03711" w:rsidRPr="00622434" w:rsidRDefault="00E03711" w:rsidP="00517C47">
      <w:pPr>
        <w:pStyle w:val="Guide-Heading5"/>
        <w:rPr>
          <w:lang w:val="sl-SI"/>
        </w:rPr>
      </w:pPr>
      <w:r w:rsidRPr="00622434">
        <w:rPr>
          <w:lang w:val="sl-SI"/>
        </w:rPr>
        <w:t>Kaj je še treba vedeti o tem ukrepu?</w:t>
      </w:r>
    </w:p>
    <w:p w14:paraId="7D39945A" w14:textId="77777777" w:rsidR="00E03711" w:rsidRPr="00622434" w:rsidRDefault="00E03711" w:rsidP="00517C47">
      <w:pPr>
        <w:pStyle w:val="GUIDE-NORMAL"/>
        <w:rPr>
          <w:lang w:val="sl-SI"/>
        </w:rPr>
      </w:pPr>
      <w:r w:rsidRPr="00622434">
        <w:rPr>
          <w:lang w:val="sl-SI"/>
        </w:rPr>
        <w:t>Zagotavljanje kakovosti mora biti sestavni del projekta, da se zagotovi, da koalicije znanja uspešno dosežejo pričakovane rezultate in učinek izven samih partnerskih organizacij. Koalicije znanja morajo obvezno izvesti ciljno usmerjene aktivnosti razširjanja, ki dosežejo deležnike, oblikovalce politik, strokovnjake in podjetja. Med izvajanjem projekta bi morale koalicije znanja izdati publikacije, na primer poročila, priročnike, smernice itd. Praviloma je rezultate treba zagotoviti kot prosto dostopne učne vire (PDUV) in jih objaviti na ustreznih platformah stroke, sektorja ali pristojnih organov. Koalicije znanja bi morale ustvarjati nove načine in instrumente za lajšanje njihovega sodelovanja in zagotavljanje trajnosti partnerstva med visokošolskim izobraževanjem in gospodarstvom.</w:t>
      </w:r>
    </w:p>
    <w:p w14:paraId="7D39945B" w14:textId="77777777" w:rsidR="00E03711" w:rsidRPr="00622434" w:rsidRDefault="00E03711" w:rsidP="00517C47">
      <w:pPr>
        <w:pStyle w:val="GUIDE-NORMAL"/>
        <w:rPr>
          <w:lang w:val="sl-SI"/>
        </w:rPr>
      </w:pPr>
      <w:r w:rsidRPr="00622434">
        <w:rPr>
          <w:lang w:val="sl-SI"/>
        </w:rPr>
        <w:t xml:space="preserve">Koalicije znanja so nov in ambiciozen ukrep; zato zanje velja posebno spremljanje, ki zahteva aktivno udeležbo vseh udeležencev in deležnikov. Koalicije znanja bi morale predvideti svojo udeležbo v </w:t>
      </w:r>
      <w:r w:rsidRPr="00622434">
        <w:rPr>
          <w:u w:val="single"/>
          <w:lang w:val="sl-SI"/>
        </w:rPr>
        <w:t>tematskih sklopih</w:t>
      </w:r>
      <w:r w:rsidRPr="00622434">
        <w:rPr>
          <w:lang w:val="sl-SI"/>
        </w:rPr>
        <w:t>, da podprejo medsebojno bogatenje, izmenjavo dobrih praks in vzajemno učenje. Poleg tega bi koalicije znanja morale predvideti sredstva za predstavitev svojega projekta in rezultatov na forumu za dialog med univerzami in podjetji in/ali drugih pomembnih dogodkih (največ pet med trajanjem projekta).</w:t>
      </w:r>
    </w:p>
    <w:p w14:paraId="7D39945C" w14:textId="77777777" w:rsidR="00E03711" w:rsidRDefault="00E03711" w:rsidP="00517C47">
      <w:pPr>
        <w:pStyle w:val="Guide-Heading5"/>
        <w:rPr>
          <w:lang w:val="sl-SI"/>
        </w:rPr>
        <w:sectPr w:rsidR="00E03711" w:rsidSect="00E15ED3">
          <w:headerReference w:type="default" r:id="rId89"/>
          <w:endnotePr>
            <w:numFmt w:val="decimal"/>
          </w:endnotePr>
          <w:pgSz w:w="11910" w:h="16840" w:code="9"/>
          <w:pgMar w:top="1134" w:right="1418" w:bottom="1134" w:left="1418" w:header="284" w:footer="567" w:gutter="0"/>
          <w:cols w:space="720"/>
          <w:docGrid w:linePitch="326"/>
        </w:sectPr>
      </w:pPr>
    </w:p>
    <w:p w14:paraId="7D39945D" w14:textId="77777777" w:rsidR="00E03711" w:rsidRPr="00622434" w:rsidRDefault="00E03711" w:rsidP="00517C47">
      <w:pPr>
        <w:pStyle w:val="Guide-Heading5"/>
        <w:rPr>
          <w:lang w:val="sl-SI"/>
        </w:rPr>
      </w:pPr>
      <w:r w:rsidRPr="00622434">
        <w:rPr>
          <w:lang w:val="sl-SI"/>
        </w:rPr>
        <w:t>Kakšna so pravila za dodelitev sredstev?</w:t>
      </w:r>
    </w:p>
    <w:p w14:paraId="7D39945E" w14:textId="77777777" w:rsidR="00E03711" w:rsidRPr="00622434" w:rsidRDefault="00E03711" w:rsidP="00517C47">
      <w:pPr>
        <w:pStyle w:val="GUIDE-NORMAL"/>
        <w:rPr>
          <w:lang w:val="sl-SI"/>
        </w:rPr>
      </w:pPr>
      <w:r w:rsidRPr="00622434">
        <w:rPr>
          <w:lang w:val="sl-SI"/>
        </w:rPr>
        <w:t>Osnutek proračuna projekta mora temeljiti na sistemu stroškov na enoto. Sistem „stroškov na enoto“ je poenostavljena oblika določanja zneska nepovratnih sredstev. Po naravi so takšne poenostavljene oblike nepovratnih sredstev prispevki h glavnim stroškom projekta in niso povračilo dejanskih izdatkov, povezanih s specifičnimi aktivnostmi projekta. V primeru projektov v okviru koalicij znanja se določeni stroški na enoto uporabijo za postavko za osebje v okviru projekta. So predhodno določeni prispevki na delovni dan na kategorijo delavca.</w:t>
      </w:r>
    </w:p>
    <w:p w14:paraId="7D39945F" w14:textId="77777777" w:rsidR="00E03711" w:rsidRPr="00622434" w:rsidRDefault="00E03711" w:rsidP="00517C47">
      <w:pPr>
        <w:pStyle w:val="GUIDE-NORMAL"/>
        <w:rPr>
          <w:lang w:val="sl-SI"/>
        </w:rPr>
      </w:pPr>
      <w:r w:rsidRPr="00622434">
        <w:rPr>
          <w:lang w:val="sl-SI"/>
        </w:rPr>
        <w:t>Proračun projekta je treba pripraviti v skladu z naslednjimi pravili za dodelitev sredstev (v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8"/>
      </w:tblGrid>
      <w:tr w:rsidR="00E03711" w:rsidRPr="00C60205" w14:paraId="7D399461" w14:textId="77777777" w:rsidTr="00F05D26">
        <w:tc>
          <w:tcPr>
            <w:tcW w:w="5000" w:type="pct"/>
          </w:tcPr>
          <w:p w14:paraId="7D399460" w14:textId="77777777" w:rsidR="00E03711" w:rsidRPr="00622434" w:rsidRDefault="00E03711" w:rsidP="00517C47">
            <w:pPr>
              <w:pStyle w:val="GUIDE-NORMAL"/>
              <w:spacing w:before="60" w:after="60"/>
              <w:jc w:val="center"/>
              <w:rPr>
                <w:b/>
                <w:lang w:val="sl-SI" w:eastAsia="en-GB"/>
              </w:rPr>
            </w:pPr>
            <w:r w:rsidRPr="00622434">
              <w:rPr>
                <w:b/>
                <w:lang w:val="sl-SI" w:eastAsia="en-GB"/>
              </w:rPr>
              <w:t xml:space="preserve">Najvišji prispevek EU, dodeljen za 2-letno koalicijo znanja: 700 000 EUR </w:t>
            </w:r>
            <w:r w:rsidRPr="00622434">
              <w:rPr>
                <w:b/>
                <w:lang w:val="sl-SI" w:eastAsia="en-GB"/>
              </w:rPr>
              <w:br/>
              <w:t>Najvišji prispevek EU, dodeljen za 3-letno koalicijo znanja: 1 000 000 EUR</w:t>
            </w:r>
          </w:p>
        </w:tc>
      </w:tr>
    </w:tbl>
    <w:p w14:paraId="7D399462" w14:textId="77777777" w:rsidR="00E03711" w:rsidRPr="00622434" w:rsidRDefault="00E03711" w:rsidP="00517C47">
      <w:pPr>
        <w:pStyle w:val="Guide-Table"/>
        <w:rPr>
          <w:lang w:val="sl-SI"/>
        </w:rPr>
      </w:pPr>
    </w:p>
    <w:tbl>
      <w:tblPr>
        <w:tblW w:w="5000" w:type="pct"/>
        <w:tblLook w:val="0000" w:firstRow="0" w:lastRow="0" w:firstColumn="0" w:lastColumn="0" w:noHBand="0" w:noVBand="0"/>
      </w:tblPr>
      <w:tblGrid>
        <w:gridCol w:w="1381"/>
        <w:gridCol w:w="4025"/>
        <w:gridCol w:w="2032"/>
        <w:gridCol w:w="4351"/>
        <w:gridCol w:w="2999"/>
      </w:tblGrid>
      <w:tr w:rsidR="00E03711" w:rsidRPr="00622434" w14:paraId="7D399467" w14:textId="77777777" w:rsidTr="00F05D26">
        <w:trPr>
          <w:trHeight w:val="651"/>
        </w:trPr>
        <w:tc>
          <w:tcPr>
            <w:tcW w:w="18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9463" w14:textId="77777777" w:rsidR="00E03711" w:rsidRPr="00622434" w:rsidRDefault="00E03711" w:rsidP="00F769E0">
            <w:pPr>
              <w:pStyle w:val="Guide-Table"/>
              <w:rPr>
                <w:rFonts w:cs="Tahoma"/>
                <w:b/>
                <w:lang w:val="sl-SI" w:eastAsia="en-GB"/>
              </w:rPr>
            </w:pPr>
            <w:r w:rsidRPr="00622434">
              <w:rPr>
                <w:rFonts w:cs="Tahoma"/>
                <w:b/>
                <w:lang w:val="sl-SI" w:eastAsia="en-GB"/>
              </w:rPr>
              <w:t>Upravičeni stroški</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464" w14:textId="77777777" w:rsidR="00E03711" w:rsidRPr="00622434" w:rsidRDefault="00E03711" w:rsidP="00F769E0">
            <w:pPr>
              <w:pStyle w:val="Guide-Table"/>
              <w:rPr>
                <w:rFonts w:cs="Tahoma"/>
                <w:b/>
                <w:lang w:val="sl-SI" w:eastAsia="en-GB"/>
              </w:rPr>
            </w:pPr>
            <w:r w:rsidRPr="00622434">
              <w:rPr>
                <w:rFonts w:cs="Tahoma"/>
                <w:b/>
                <w:lang w:val="sl-SI" w:eastAsia="en-GB"/>
              </w:rPr>
              <w:t>Mehanizem financiranja</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465" w14:textId="77777777" w:rsidR="00E03711" w:rsidRPr="00622434" w:rsidRDefault="00E03711" w:rsidP="00F769E0">
            <w:pPr>
              <w:pStyle w:val="Guide-Table"/>
              <w:rPr>
                <w:rFonts w:cs="Tahoma"/>
                <w:b/>
                <w:lang w:val="sl-SI" w:eastAsia="en-GB"/>
              </w:rPr>
            </w:pPr>
            <w:r w:rsidRPr="00622434">
              <w:rPr>
                <w:rFonts w:cs="Tahoma"/>
                <w:b/>
                <w:lang w:val="sl-SI" w:eastAsia="en-GB"/>
              </w:rPr>
              <w:t>Znesek</w:t>
            </w:r>
          </w:p>
        </w:tc>
        <w:tc>
          <w:tcPr>
            <w:tcW w:w="10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466" w14:textId="77777777" w:rsidR="00E03711" w:rsidRPr="00622434" w:rsidRDefault="00E03711" w:rsidP="00F769E0">
            <w:pPr>
              <w:pStyle w:val="Guide-Table"/>
              <w:rPr>
                <w:rFonts w:cs="Tahoma"/>
                <w:b/>
                <w:lang w:val="sl-SI" w:eastAsia="en-GB"/>
              </w:rPr>
            </w:pPr>
            <w:r w:rsidRPr="00622434">
              <w:rPr>
                <w:rFonts w:cs="Tahoma"/>
                <w:b/>
                <w:lang w:val="sl-SI" w:eastAsia="en-GB"/>
              </w:rPr>
              <w:t>Pravilo dodelitve</w:t>
            </w:r>
          </w:p>
        </w:tc>
      </w:tr>
      <w:tr w:rsidR="00E03711" w:rsidRPr="00C60205" w14:paraId="7D39946E" w14:textId="77777777" w:rsidTr="00F05D26">
        <w:trPr>
          <w:trHeight w:val="1036"/>
        </w:trPr>
        <w:tc>
          <w:tcPr>
            <w:tcW w:w="46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468" w14:textId="77777777" w:rsidR="00E03711" w:rsidRPr="00622434" w:rsidRDefault="00E03711" w:rsidP="00F769E0">
            <w:pPr>
              <w:pStyle w:val="GUIDE-NORMAL"/>
              <w:spacing w:before="60" w:after="60"/>
              <w:jc w:val="left"/>
              <w:rPr>
                <w:rFonts w:cs="Tahoma"/>
                <w:b/>
                <w:lang w:val="sl-SI" w:eastAsia="en-GB"/>
              </w:rPr>
            </w:pPr>
            <w:r w:rsidRPr="00622434">
              <w:rPr>
                <w:rFonts w:cs="Tahoma"/>
                <w:b/>
                <w:lang w:val="sl-SI" w:eastAsia="en-GB"/>
              </w:rPr>
              <w:t>Podpora izva-janju</w:t>
            </w:r>
          </w:p>
        </w:tc>
        <w:tc>
          <w:tcPr>
            <w:tcW w:w="13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469" w14:textId="77777777" w:rsidR="00E03711" w:rsidRPr="00622434" w:rsidRDefault="00E03711" w:rsidP="00F769E0">
            <w:pPr>
              <w:pStyle w:val="GUIDE-NORMAL"/>
              <w:spacing w:before="60" w:after="60"/>
              <w:jc w:val="left"/>
              <w:rPr>
                <w:rFonts w:cs="Tahoma"/>
                <w:lang w:val="sl-SI" w:eastAsia="en-GB"/>
              </w:rPr>
            </w:pPr>
            <w:r w:rsidRPr="00622434">
              <w:rPr>
                <w:rFonts w:cs="Tahoma"/>
                <w:lang w:val="sl-SI" w:eastAsia="en-GB"/>
              </w:rPr>
              <w:t xml:space="preserve">Prispevek za kakršno koli aktivnost, neposredno povezano z izvajanjem projekta (razen za morebitno vključeno mobilnost), vključno z: upravljanjem projekta, srečanji v zvezi s projektom, pripravo intelektualnih rezultatov (na primer učni načrti, pedagoška gradiva, </w:t>
            </w:r>
            <w:r w:rsidRPr="00622434">
              <w:rPr>
                <w:rFonts w:cs="Tahoma"/>
                <w:u w:val="single"/>
                <w:lang w:val="sl-SI" w:eastAsia="en-GB"/>
              </w:rPr>
              <w:t>prosto dostopni učni viri (PDUV)</w:t>
            </w:r>
            <w:r w:rsidRPr="00622434">
              <w:rPr>
                <w:rFonts w:cs="Tahoma"/>
                <w:lang w:val="sl-SI" w:eastAsia="en-GB"/>
              </w:rPr>
              <w:t xml:space="preserve">, orodja informacijske tehnologije, analize, študije itd.), razširjanjem, udeležbo </w:t>
            </w:r>
            <w:r w:rsidRPr="00622434">
              <w:rPr>
                <w:rFonts w:cs="Tahoma"/>
                <w:lang w:val="sl-SI" w:eastAsia="en-GB"/>
              </w:rPr>
              <w:br/>
              <w:t xml:space="preserve">na dogodkih, konferencami, potovanji itd. Število dni in profil vključenega osebja </w:t>
            </w:r>
            <w:r w:rsidRPr="00622434">
              <w:rPr>
                <w:rFonts w:cs="Tahoma"/>
                <w:lang w:val="sl-SI" w:eastAsia="en-GB"/>
              </w:rPr>
              <w:br/>
              <w:t xml:space="preserve">glede na državo je osnova </w:t>
            </w:r>
            <w:r w:rsidRPr="00622434">
              <w:rPr>
                <w:rFonts w:cs="Tahoma"/>
                <w:lang w:val="sl-SI" w:eastAsia="en-GB"/>
              </w:rPr>
              <w:br/>
              <w:t>za izračun prispevka EU.</w:t>
            </w:r>
          </w:p>
        </w:tc>
        <w:tc>
          <w:tcPr>
            <w:tcW w:w="68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46A" w14:textId="77777777" w:rsidR="00E03711" w:rsidRPr="00622434" w:rsidRDefault="00E03711" w:rsidP="00F769E0">
            <w:pPr>
              <w:pStyle w:val="GUIDE-NORMAL"/>
              <w:spacing w:before="60" w:after="60"/>
              <w:jc w:val="left"/>
              <w:rPr>
                <w:rFonts w:cs="Tahoma"/>
                <w:lang w:val="sl-SI" w:eastAsia="en-GB"/>
              </w:rPr>
            </w:pPr>
          </w:p>
          <w:p w14:paraId="7D39946B" w14:textId="77777777" w:rsidR="00E03711" w:rsidRPr="00622434" w:rsidRDefault="00E03711" w:rsidP="00F769E0">
            <w:pPr>
              <w:pStyle w:val="GUIDE-NORMAL"/>
              <w:spacing w:before="60" w:after="60"/>
              <w:jc w:val="left"/>
              <w:rPr>
                <w:rFonts w:cs="Tahoma"/>
                <w:lang w:val="sl-SI" w:eastAsia="en-GB"/>
              </w:rPr>
            </w:pPr>
            <w:r w:rsidRPr="00622434">
              <w:rPr>
                <w:rFonts w:cs="Tahoma"/>
                <w:lang w:val="sl-SI" w:eastAsia="en-GB"/>
              </w:rPr>
              <w:t xml:space="preserve">Prispevek </w:t>
            </w:r>
            <w:r w:rsidRPr="00622434">
              <w:rPr>
                <w:rFonts w:cs="Tahoma"/>
                <w:lang w:val="sl-SI" w:eastAsia="en-GB"/>
              </w:rPr>
              <w:br/>
              <w:t xml:space="preserve">za stroške </w:t>
            </w:r>
            <w:r w:rsidRPr="00622434">
              <w:rPr>
                <w:rFonts w:cs="Tahoma"/>
                <w:lang w:val="sl-SI" w:eastAsia="en-GB"/>
              </w:rPr>
              <w:br/>
              <w:t>na enoto</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46C" w14:textId="77777777" w:rsidR="00E03711" w:rsidRPr="00622434" w:rsidRDefault="00E03711" w:rsidP="00F769E0">
            <w:pPr>
              <w:pStyle w:val="GUIDE-NORMAL"/>
              <w:spacing w:before="60" w:after="60"/>
              <w:jc w:val="left"/>
              <w:rPr>
                <w:rFonts w:cs="Tahoma"/>
                <w:lang w:val="sl-SI" w:eastAsia="en-GB"/>
              </w:rPr>
            </w:pPr>
            <w:r w:rsidRPr="00317C11">
              <w:rPr>
                <w:rFonts w:cs="Tahoma"/>
                <w:bdr w:val="single" w:sz="4" w:space="0" w:color="auto"/>
                <w:lang w:val="sl-SI" w:eastAsia="en-GB"/>
              </w:rPr>
              <w:t>B2.1</w:t>
            </w:r>
            <w:r w:rsidRPr="00622434">
              <w:rPr>
                <w:rFonts w:cs="Tahoma"/>
                <w:lang w:val="sl-SI" w:eastAsia="en-GB"/>
              </w:rPr>
              <w:t xml:space="preserve"> na vključenega menedžerja na dan dela na projektu.</w:t>
            </w:r>
          </w:p>
        </w:tc>
        <w:tc>
          <w:tcPr>
            <w:tcW w:w="101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46D" w14:textId="77777777" w:rsidR="00E03711" w:rsidRPr="00622434" w:rsidRDefault="00E03711" w:rsidP="00F769E0">
            <w:pPr>
              <w:pStyle w:val="GUIDE-NORMAL"/>
              <w:spacing w:before="60" w:after="60"/>
              <w:jc w:val="left"/>
              <w:rPr>
                <w:rFonts w:cs="Tahoma"/>
                <w:lang w:val="sl-SI" w:eastAsia="en-GB"/>
              </w:rPr>
            </w:pPr>
            <w:r w:rsidRPr="00622434">
              <w:rPr>
                <w:rFonts w:cs="Tahoma"/>
                <w:lang w:val="sl-SI" w:eastAsia="en-GB"/>
              </w:rPr>
              <w:t xml:space="preserve">Pogoj: prijavitelji bodo morali utemeljiti vrsto in znesek sredstev, </w:t>
            </w:r>
            <w:r w:rsidRPr="00622434">
              <w:rPr>
                <w:rFonts w:cs="Tahoma"/>
                <w:lang w:val="sl-SI" w:eastAsia="en-GB"/>
              </w:rPr>
              <w:br/>
              <w:t xml:space="preserve">ki jih potrebujejo </w:t>
            </w:r>
            <w:r w:rsidRPr="00622434">
              <w:rPr>
                <w:rFonts w:cs="Tahoma"/>
                <w:lang w:val="sl-SI" w:eastAsia="en-GB"/>
              </w:rPr>
              <w:br/>
              <w:t>v zvezi z izvajanjem predlaganih aktivnosti in priprav. Za upravičenost do te vrste podpore z nepovratnimi sredstvi bi kakovost in količina priprav morali biti precejšnji.</w:t>
            </w:r>
            <w:r w:rsidRPr="00622434">
              <w:rPr>
                <w:rFonts w:eastAsia="SimSun" w:cs="Tahoma"/>
                <w:lang w:val="sl-SI" w:eastAsia="en-GB"/>
              </w:rPr>
              <w:t xml:space="preserve"> </w:t>
            </w:r>
          </w:p>
        </w:tc>
      </w:tr>
      <w:tr w:rsidR="00E03711" w:rsidRPr="00C60205" w14:paraId="7D399474" w14:textId="77777777" w:rsidTr="00F05D26">
        <w:trPr>
          <w:trHeight w:val="1036"/>
        </w:trPr>
        <w:tc>
          <w:tcPr>
            <w:tcW w:w="467" w:type="pct"/>
            <w:vMerge/>
            <w:tcBorders>
              <w:top w:val="nil"/>
              <w:left w:val="single" w:sz="4" w:space="0" w:color="000000"/>
              <w:bottom w:val="single" w:sz="4" w:space="0" w:color="000000"/>
              <w:right w:val="single" w:sz="4" w:space="0" w:color="000000"/>
            </w:tcBorders>
            <w:shd w:val="clear" w:color="auto" w:fill="auto"/>
            <w:vAlign w:val="center"/>
          </w:tcPr>
          <w:p w14:paraId="7D39946F" w14:textId="77777777" w:rsidR="00E03711" w:rsidRPr="00622434" w:rsidRDefault="00E03711" w:rsidP="00F769E0">
            <w:pPr>
              <w:pStyle w:val="Guide-Table"/>
              <w:jc w:val="left"/>
              <w:rPr>
                <w:rFonts w:cs="Tahoma"/>
                <w:sz w:val="2"/>
                <w:szCs w:val="2"/>
                <w:lang w:val="sl-SI" w:eastAsia="en-GB"/>
              </w:rPr>
            </w:pPr>
          </w:p>
        </w:tc>
        <w:tc>
          <w:tcPr>
            <w:tcW w:w="1361" w:type="pct"/>
            <w:vMerge/>
            <w:tcBorders>
              <w:top w:val="nil"/>
              <w:left w:val="single" w:sz="4" w:space="0" w:color="000000"/>
              <w:bottom w:val="single" w:sz="4" w:space="0" w:color="000000"/>
              <w:right w:val="single" w:sz="4" w:space="0" w:color="000000"/>
            </w:tcBorders>
            <w:shd w:val="clear" w:color="auto" w:fill="auto"/>
            <w:vAlign w:val="center"/>
          </w:tcPr>
          <w:p w14:paraId="7D399470" w14:textId="77777777" w:rsidR="00E03711" w:rsidRPr="00622434" w:rsidRDefault="00E03711" w:rsidP="00F769E0">
            <w:pPr>
              <w:pStyle w:val="Guide-Table"/>
              <w:jc w:val="left"/>
              <w:rPr>
                <w:rFonts w:cs="Tahoma"/>
                <w:sz w:val="2"/>
                <w:szCs w:val="2"/>
                <w:lang w:val="sl-SI" w:eastAsia="en-GB"/>
              </w:rPr>
            </w:pPr>
          </w:p>
        </w:tc>
        <w:tc>
          <w:tcPr>
            <w:tcW w:w="687" w:type="pct"/>
            <w:vMerge/>
            <w:tcBorders>
              <w:top w:val="nil"/>
              <w:left w:val="single" w:sz="4" w:space="0" w:color="000000"/>
              <w:bottom w:val="single" w:sz="4" w:space="0" w:color="000000"/>
              <w:right w:val="single" w:sz="4" w:space="0" w:color="000000"/>
            </w:tcBorders>
            <w:shd w:val="clear" w:color="auto" w:fill="auto"/>
            <w:vAlign w:val="center"/>
          </w:tcPr>
          <w:p w14:paraId="7D399471" w14:textId="77777777" w:rsidR="00E03711" w:rsidRPr="00622434" w:rsidRDefault="00E03711" w:rsidP="00F769E0">
            <w:pPr>
              <w:pStyle w:val="Guide-Table"/>
              <w:jc w:val="left"/>
              <w:rPr>
                <w:rFonts w:cs="Tahoma"/>
                <w:sz w:val="2"/>
                <w:szCs w:val="2"/>
                <w:lang w:val="sl-SI" w:eastAsia="en-GB"/>
              </w:rPr>
            </w:pP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472" w14:textId="77777777" w:rsidR="00E03711" w:rsidRPr="00622434" w:rsidRDefault="00E03711" w:rsidP="00F769E0">
            <w:pPr>
              <w:pStyle w:val="GUIDE-NORMAL"/>
              <w:spacing w:before="60" w:after="60"/>
              <w:jc w:val="left"/>
              <w:rPr>
                <w:rFonts w:cs="Tahoma"/>
                <w:lang w:val="sl-SI" w:eastAsia="en-GB"/>
              </w:rPr>
            </w:pPr>
            <w:r w:rsidRPr="00317C11">
              <w:rPr>
                <w:rFonts w:cs="Tahoma"/>
                <w:bdr w:val="single" w:sz="4" w:space="0" w:color="auto"/>
                <w:lang w:val="sl-SI" w:eastAsia="en-GB"/>
              </w:rPr>
              <w:t>B2.2</w:t>
            </w:r>
            <w:r w:rsidRPr="00622434">
              <w:rPr>
                <w:rFonts w:cs="Tahoma"/>
                <w:lang w:val="sl-SI" w:eastAsia="en-GB"/>
              </w:rPr>
              <w:t xml:space="preserve"> na vključenega raziskovalca/učitelja/vodjo usposabljanja na dan dela </w:t>
            </w:r>
            <w:r w:rsidRPr="00622434">
              <w:rPr>
                <w:rFonts w:cs="Tahoma"/>
                <w:lang w:val="sl-SI" w:eastAsia="en-GB"/>
              </w:rPr>
              <w:br/>
              <w:t>na projektu.</w:t>
            </w:r>
          </w:p>
        </w:tc>
        <w:tc>
          <w:tcPr>
            <w:tcW w:w="1014" w:type="pct"/>
            <w:vMerge/>
            <w:tcBorders>
              <w:top w:val="nil"/>
              <w:left w:val="single" w:sz="4" w:space="0" w:color="000000"/>
              <w:bottom w:val="single" w:sz="4" w:space="0" w:color="000000"/>
              <w:right w:val="single" w:sz="4" w:space="0" w:color="000000"/>
            </w:tcBorders>
            <w:shd w:val="clear" w:color="auto" w:fill="auto"/>
            <w:vAlign w:val="center"/>
          </w:tcPr>
          <w:p w14:paraId="7D399473" w14:textId="77777777" w:rsidR="00E03711" w:rsidRPr="00622434" w:rsidRDefault="00E03711" w:rsidP="00F769E0">
            <w:pPr>
              <w:pStyle w:val="Guide-Table"/>
              <w:jc w:val="left"/>
              <w:rPr>
                <w:rFonts w:cs="Tahoma"/>
                <w:sz w:val="2"/>
                <w:szCs w:val="2"/>
                <w:lang w:val="sl-SI" w:eastAsia="en-GB"/>
              </w:rPr>
            </w:pPr>
          </w:p>
        </w:tc>
      </w:tr>
      <w:tr w:rsidR="00E03711" w:rsidRPr="00C60205" w14:paraId="7D39947A" w14:textId="77777777" w:rsidTr="00F05D26">
        <w:trPr>
          <w:trHeight w:val="1036"/>
        </w:trPr>
        <w:tc>
          <w:tcPr>
            <w:tcW w:w="467" w:type="pct"/>
            <w:vMerge/>
            <w:tcBorders>
              <w:top w:val="nil"/>
              <w:left w:val="single" w:sz="4" w:space="0" w:color="000000"/>
              <w:bottom w:val="single" w:sz="4" w:space="0" w:color="000000"/>
              <w:right w:val="single" w:sz="4" w:space="0" w:color="000000"/>
            </w:tcBorders>
            <w:shd w:val="clear" w:color="auto" w:fill="auto"/>
            <w:vAlign w:val="center"/>
          </w:tcPr>
          <w:p w14:paraId="7D399475" w14:textId="77777777" w:rsidR="00E03711" w:rsidRPr="00622434" w:rsidRDefault="00E03711" w:rsidP="00F769E0">
            <w:pPr>
              <w:pStyle w:val="Guide-Table"/>
              <w:jc w:val="left"/>
              <w:rPr>
                <w:rFonts w:cs="Tahoma"/>
                <w:sz w:val="2"/>
                <w:szCs w:val="2"/>
                <w:lang w:val="sl-SI" w:eastAsia="en-GB"/>
              </w:rPr>
            </w:pPr>
          </w:p>
        </w:tc>
        <w:tc>
          <w:tcPr>
            <w:tcW w:w="1361" w:type="pct"/>
            <w:vMerge/>
            <w:tcBorders>
              <w:top w:val="nil"/>
              <w:left w:val="single" w:sz="4" w:space="0" w:color="000000"/>
              <w:bottom w:val="single" w:sz="4" w:space="0" w:color="000000"/>
              <w:right w:val="single" w:sz="4" w:space="0" w:color="000000"/>
            </w:tcBorders>
            <w:shd w:val="clear" w:color="auto" w:fill="auto"/>
            <w:vAlign w:val="center"/>
          </w:tcPr>
          <w:p w14:paraId="7D399476" w14:textId="77777777" w:rsidR="00E03711" w:rsidRPr="00622434" w:rsidRDefault="00E03711" w:rsidP="00F769E0">
            <w:pPr>
              <w:pStyle w:val="Guide-Table"/>
              <w:jc w:val="left"/>
              <w:rPr>
                <w:rFonts w:cs="Tahoma"/>
                <w:sz w:val="2"/>
                <w:szCs w:val="2"/>
                <w:lang w:val="sl-SI" w:eastAsia="en-GB"/>
              </w:rPr>
            </w:pPr>
          </w:p>
        </w:tc>
        <w:tc>
          <w:tcPr>
            <w:tcW w:w="687" w:type="pct"/>
            <w:vMerge/>
            <w:tcBorders>
              <w:top w:val="nil"/>
              <w:left w:val="single" w:sz="4" w:space="0" w:color="000000"/>
              <w:bottom w:val="single" w:sz="4" w:space="0" w:color="000000"/>
              <w:right w:val="single" w:sz="4" w:space="0" w:color="000000"/>
            </w:tcBorders>
            <w:shd w:val="clear" w:color="auto" w:fill="auto"/>
            <w:vAlign w:val="center"/>
          </w:tcPr>
          <w:p w14:paraId="7D399477" w14:textId="77777777" w:rsidR="00E03711" w:rsidRPr="00622434" w:rsidRDefault="00E03711" w:rsidP="00F769E0">
            <w:pPr>
              <w:pStyle w:val="Guide-Table"/>
              <w:jc w:val="left"/>
              <w:rPr>
                <w:rFonts w:cs="Tahoma"/>
                <w:sz w:val="2"/>
                <w:szCs w:val="2"/>
                <w:lang w:val="sl-SI" w:eastAsia="en-GB"/>
              </w:rPr>
            </w:pP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478" w14:textId="77777777" w:rsidR="00E03711" w:rsidRPr="00622434" w:rsidRDefault="00E03711" w:rsidP="00F769E0">
            <w:pPr>
              <w:pStyle w:val="GUIDE-NORMAL"/>
              <w:spacing w:before="60" w:after="60"/>
              <w:jc w:val="left"/>
              <w:rPr>
                <w:rFonts w:cs="Tahoma"/>
                <w:lang w:val="sl-SI" w:eastAsia="en-GB"/>
              </w:rPr>
            </w:pPr>
            <w:r w:rsidRPr="00317C11">
              <w:rPr>
                <w:rFonts w:cs="Tahoma"/>
                <w:bdr w:val="single" w:sz="4" w:space="0" w:color="auto"/>
                <w:lang w:val="sl-SI" w:eastAsia="en-GB"/>
              </w:rPr>
              <w:t>B2.3</w:t>
            </w:r>
            <w:r w:rsidRPr="00622434">
              <w:rPr>
                <w:rFonts w:cs="Tahoma"/>
                <w:lang w:val="sl-SI" w:eastAsia="en-GB"/>
              </w:rPr>
              <w:t xml:space="preserve"> na vključeno tehnično osebje na dan dela na projektu.</w:t>
            </w:r>
          </w:p>
        </w:tc>
        <w:tc>
          <w:tcPr>
            <w:tcW w:w="1014" w:type="pct"/>
            <w:vMerge/>
            <w:tcBorders>
              <w:top w:val="nil"/>
              <w:left w:val="single" w:sz="4" w:space="0" w:color="000000"/>
              <w:bottom w:val="single" w:sz="4" w:space="0" w:color="000000"/>
              <w:right w:val="single" w:sz="4" w:space="0" w:color="000000"/>
            </w:tcBorders>
            <w:shd w:val="clear" w:color="auto" w:fill="auto"/>
            <w:vAlign w:val="center"/>
          </w:tcPr>
          <w:p w14:paraId="7D399479" w14:textId="77777777" w:rsidR="00E03711" w:rsidRPr="00622434" w:rsidRDefault="00E03711" w:rsidP="00F769E0">
            <w:pPr>
              <w:pStyle w:val="Guide-Table"/>
              <w:jc w:val="left"/>
              <w:rPr>
                <w:rFonts w:cs="Tahoma"/>
                <w:sz w:val="2"/>
                <w:szCs w:val="2"/>
                <w:lang w:val="sl-SI" w:eastAsia="en-GB"/>
              </w:rPr>
            </w:pPr>
          </w:p>
        </w:tc>
      </w:tr>
      <w:tr w:rsidR="00E03711" w:rsidRPr="00C60205" w14:paraId="7D399480" w14:textId="77777777" w:rsidTr="00F05D26">
        <w:trPr>
          <w:trHeight w:val="1037"/>
        </w:trPr>
        <w:tc>
          <w:tcPr>
            <w:tcW w:w="467" w:type="pct"/>
            <w:vMerge/>
            <w:tcBorders>
              <w:top w:val="nil"/>
              <w:left w:val="single" w:sz="4" w:space="0" w:color="000000"/>
              <w:bottom w:val="single" w:sz="4" w:space="0" w:color="000000"/>
              <w:right w:val="single" w:sz="4" w:space="0" w:color="000000"/>
            </w:tcBorders>
            <w:shd w:val="clear" w:color="auto" w:fill="auto"/>
            <w:vAlign w:val="center"/>
          </w:tcPr>
          <w:p w14:paraId="7D39947B" w14:textId="77777777" w:rsidR="00E03711" w:rsidRPr="00622434" w:rsidRDefault="00E03711" w:rsidP="00F769E0">
            <w:pPr>
              <w:pStyle w:val="Guide-Table"/>
              <w:jc w:val="left"/>
              <w:rPr>
                <w:rFonts w:cs="Tahoma"/>
                <w:sz w:val="2"/>
                <w:szCs w:val="2"/>
                <w:lang w:val="sl-SI" w:eastAsia="en-GB"/>
              </w:rPr>
            </w:pPr>
          </w:p>
        </w:tc>
        <w:tc>
          <w:tcPr>
            <w:tcW w:w="1361" w:type="pct"/>
            <w:vMerge/>
            <w:tcBorders>
              <w:top w:val="nil"/>
              <w:left w:val="single" w:sz="4" w:space="0" w:color="000000"/>
              <w:bottom w:val="single" w:sz="4" w:space="0" w:color="000000"/>
              <w:right w:val="single" w:sz="4" w:space="0" w:color="000000"/>
            </w:tcBorders>
            <w:shd w:val="clear" w:color="auto" w:fill="auto"/>
            <w:vAlign w:val="center"/>
          </w:tcPr>
          <w:p w14:paraId="7D39947C" w14:textId="77777777" w:rsidR="00E03711" w:rsidRPr="00622434" w:rsidRDefault="00E03711" w:rsidP="00F769E0">
            <w:pPr>
              <w:pStyle w:val="Guide-Table"/>
              <w:jc w:val="left"/>
              <w:rPr>
                <w:rFonts w:cs="Tahoma"/>
                <w:sz w:val="2"/>
                <w:szCs w:val="2"/>
                <w:lang w:val="sl-SI" w:eastAsia="en-GB"/>
              </w:rPr>
            </w:pPr>
          </w:p>
        </w:tc>
        <w:tc>
          <w:tcPr>
            <w:tcW w:w="687" w:type="pct"/>
            <w:vMerge/>
            <w:tcBorders>
              <w:top w:val="nil"/>
              <w:left w:val="single" w:sz="4" w:space="0" w:color="000000"/>
              <w:bottom w:val="single" w:sz="4" w:space="0" w:color="000000"/>
              <w:right w:val="single" w:sz="4" w:space="0" w:color="000000"/>
            </w:tcBorders>
            <w:shd w:val="clear" w:color="auto" w:fill="auto"/>
            <w:vAlign w:val="center"/>
          </w:tcPr>
          <w:p w14:paraId="7D39947D" w14:textId="77777777" w:rsidR="00E03711" w:rsidRPr="00622434" w:rsidRDefault="00E03711" w:rsidP="00F769E0">
            <w:pPr>
              <w:pStyle w:val="Guide-Table"/>
              <w:jc w:val="left"/>
              <w:rPr>
                <w:rFonts w:cs="Tahoma"/>
                <w:sz w:val="2"/>
                <w:szCs w:val="2"/>
                <w:lang w:val="sl-SI" w:eastAsia="en-GB"/>
              </w:rPr>
            </w:pP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47E" w14:textId="77777777" w:rsidR="00E03711" w:rsidRPr="00622434" w:rsidRDefault="00E03711" w:rsidP="00F769E0">
            <w:pPr>
              <w:pStyle w:val="GUIDE-NORMAL"/>
              <w:spacing w:before="60" w:after="60"/>
              <w:jc w:val="left"/>
              <w:rPr>
                <w:rFonts w:cs="Tahoma"/>
                <w:lang w:val="sl-SI" w:eastAsia="en-GB"/>
              </w:rPr>
            </w:pPr>
            <w:r w:rsidRPr="00317C11">
              <w:rPr>
                <w:rFonts w:cs="Tahoma"/>
                <w:bdr w:val="single" w:sz="4" w:space="0" w:color="auto"/>
                <w:lang w:val="sl-SI" w:eastAsia="en-GB"/>
              </w:rPr>
              <w:t>B2.4</w:t>
            </w:r>
            <w:r w:rsidRPr="00622434">
              <w:rPr>
                <w:rFonts w:cs="Tahoma"/>
                <w:lang w:val="sl-SI" w:eastAsia="en-GB"/>
              </w:rPr>
              <w:t xml:space="preserve"> na vključeno administrativno osebje </w:t>
            </w:r>
            <w:r w:rsidRPr="00622434">
              <w:rPr>
                <w:rFonts w:cs="Tahoma"/>
                <w:lang w:val="sl-SI" w:eastAsia="en-GB"/>
              </w:rPr>
              <w:br/>
              <w:t>na dan dela na projektu</w:t>
            </w:r>
          </w:p>
        </w:tc>
        <w:tc>
          <w:tcPr>
            <w:tcW w:w="1014" w:type="pct"/>
            <w:vMerge/>
            <w:tcBorders>
              <w:top w:val="nil"/>
              <w:left w:val="single" w:sz="4" w:space="0" w:color="000000"/>
              <w:bottom w:val="single" w:sz="4" w:space="0" w:color="000000"/>
              <w:right w:val="single" w:sz="4" w:space="0" w:color="000000"/>
            </w:tcBorders>
            <w:shd w:val="clear" w:color="auto" w:fill="auto"/>
            <w:vAlign w:val="center"/>
          </w:tcPr>
          <w:p w14:paraId="7D39947F" w14:textId="77777777" w:rsidR="00E03711" w:rsidRPr="00622434" w:rsidRDefault="00E03711" w:rsidP="00F769E0">
            <w:pPr>
              <w:pStyle w:val="Guide-Table"/>
              <w:jc w:val="left"/>
              <w:rPr>
                <w:rFonts w:cs="Tahoma"/>
                <w:sz w:val="2"/>
                <w:szCs w:val="2"/>
                <w:lang w:val="sl-SI" w:eastAsia="en-GB"/>
              </w:rPr>
            </w:pPr>
          </w:p>
        </w:tc>
      </w:tr>
    </w:tbl>
    <w:p w14:paraId="7D399481" w14:textId="77777777" w:rsidR="00E03711" w:rsidRPr="00622434" w:rsidRDefault="00E03711" w:rsidP="00517C47">
      <w:pPr>
        <w:pStyle w:val="Guide-Footnote"/>
        <w:rPr>
          <w:lang w:val="sl-SI"/>
        </w:rPr>
      </w:pPr>
    </w:p>
    <w:p w14:paraId="7D399482" w14:textId="77777777" w:rsidR="00E03711" w:rsidRPr="005C25FF" w:rsidRDefault="00E03711" w:rsidP="00517C47">
      <w:pPr>
        <w:pStyle w:val="p1"/>
        <w:rPr>
          <w:sz w:val="18"/>
          <w:szCs w:val="18"/>
          <w:lang w:val="sl-SI"/>
        </w:rPr>
      </w:pPr>
      <w:r w:rsidRPr="005C25FF">
        <w:rPr>
          <w:sz w:val="18"/>
          <w:szCs w:val="18"/>
          <w:lang w:val="sl-SI"/>
        </w:rPr>
        <w:t xml:space="preserve">* </w:t>
      </w:r>
      <w:r w:rsidRPr="005C25FF">
        <w:rPr>
          <w:rFonts w:ascii="Calibri" w:hAnsi="Calibri"/>
          <w:sz w:val="18"/>
          <w:szCs w:val="18"/>
          <w:lang w:val="sl-SI"/>
        </w:rPr>
        <w:t>Glej mednarodno standardno klasifikacijo poklicev – ISCO</w:t>
      </w:r>
    </w:p>
    <w:p w14:paraId="7D399483" w14:textId="77777777" w:rsidR="00E03711" w:rsidRPr="005C25FF" w:rsidRDefault="00E03711" w:rsidP="00517C47">
      <w:pPr>
        <w:pStyle w:val="Guide-Footnote"/>
        <w:rPr>
          <w:sz w:val="18"/>
          <w:szCs w:val="18"/>
          <w:lang w:val="sl-SI"/>
        </w:rPr>
      </w:pPr>
      <w:r w:rsidRPr="005C25FF">
        <w:rPr>
          <w:sz w:val="18"/>
          <w:szCs w:val="18"/>
          <w:lang w:val="sl-SI"/>
        </w:rPr>
        <w:t xml:space="preserve"> </w:t>
      </w:r>
      <w:hyperlink r:id="rId90" w:history="1">
        <w:r w:rsidRPr="005C25FF">
          <w:rPr>
            <w:rStyle w:val="Hyperlink"/>
            <w:sz w:val="18"/>
            <w:szCs w:val="18"/>
            <w:lang w:val="sl-SI"/>
          </w:rPr>
          <w:t>(http://www.ilo.org/public/french/bureau/stat/isco/isco08/index.htm)</w:t>
        </w:r>
      </w:hyperlink>
    </w:p>
    <w:p w14:paraId="7D399484" w14:textId="77777777" w:rsidR="00E03711" w:rsidRPr="001048FE" w:rsidRDefault="00E03711" w:rsidP="005041C6">
      <w:pPr>
        <w:pStyle w:val="Guide-Heading6"/>
        <w:rPr>
          <w:lang w:val="sl-SI"/>
        </w:rPr>
      </w:pPr>
      <w:r w:rsidRPr="001048FE">
        <w:rPr>
          <w:lang w:val="sl-SI"/>
        </w:rPr>
        <w:t>Dodatna pravila za dodelitev sredstev za mobilnost, ki se izvede v okviru koalicije znanja (izbirna dodelitev sredstev)</w:t>
      </w:r>
    </w:p>
    <w:tbl>
      <w:tblPr>
        <w:tblW w:w="5000" w:type="pct"/>
        <w:tblLook w:val="0000" w:firstRow="0" w:lastRow="0" w:firstColumn="0" w:lastColumn="0" w:noHBand="0" w:noVBand="0"/>
      </w:tblPr>
      <w:tblGrid>
        <w:gridCol w:w="1411"/>
        <w:gridCol w:w="2922"/>
        <w:gridCol w:w="2313"/>
        <w:gridCol w:w="4856"/>
        <w:gridCol w:w="3286"/>
      </w:tblGrid>
      <w:tr w:rsidR="00E03711" w:rsidRPr="008C6F8C" w14:paraId="7D399489" w14:textId="77777777" w:rsidTr="00F05D26">
        <w:trPr>
          <w:trHeight w:val="20"/>
        </w:trPr>
        <w:tc>
          <w:tcPr>
            <w:tcW w:w="14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9485" w14:textId="77777777" w:rsidR="00E03711" w:rsidRPr="00F769E0" w:rsidRDefault="00E03711" w:rsidP="00773F1B">
            <w:pPr>
              <w:pStyle w:val="GUIDE-NORMAL"/>
              <w:spacing w:before="60" w:after="60"/>
              <w:jc w:val="center"/>
              <w:rPr>
                <w:rFonts w:cs="Tahoma"/>
                <w:b/>
                <w:lang w:val="sl-SI" w:eastAsia="en-GB"/>
              </w:rPr>
            </w:pPr>
            <w:r w:rsidRPr="00F769E0">
              <w:rPr>
                <w:rFonts w:cs="Tahoma"/>
                <w:b/>
                <w:lang w:val="sl-SI" w:eastAsia="en-GB"/>
              </w:rPr>
              <w:t>Upravičeni stroški</w:t>
            </w:r>
          </w:p>
        </w:tc>
        <w:tc>
          <w:tcPr>
            <w:tcW w:w="7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486" w14:textId="77777777" w:rsidR="00E03711" w:rsidRPr="00F769E0" w:rsidRDefault="00E03711" w:rsidP="00773F1B">
            <w:pPr>
              <w:pStyle w:val="GUIDE-NORMAL"/>
              <w:spacing w:before="60" w:after="60"/>
              <w:jc w:val="center"/>
              <w:rPr>
                <w:rFonts w:cs="Tahoma"/>
                <w:b/>
                <w:lang w:val="sl-SI" w:eastAsia="en-GB"/>
              </w:rPr>
            </w:pPr>
            <w:r w:rsidRPr="00F769E0">
              <w:rPr>
                <w:rFonts w:cs="Tahoma"/>
                <w:b/>
                <w:lang w:val="sl-SI" w:eastAsia="en-GB"/>
              </w:rPr>
              <w:t>Mehanizem financiranja</w:t>
            </w:r>
          </w:p>
        </w:tc>
        <w:tc>
          <w:tcPr>
            <w:tcW w:w="1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487" w14:textId="77777777" w:rsidR="00E03711" w:rsidRPr="00F769E0" w:rsidRDefault="00E03711" w:rsidP="00773F1B">
            <w:pPr>
              <w:pStyle w:val="GUIDE-NORMAL"/>
              <w:spacing w:before="60" w:after="60"/>
              <w:jc w:val="center"/>
              <w:rPr>
                <w:rFonts w:cs="Tahoma"/>
                <w:b/>
                <w:lang w:val="sl-SI" w:eastAsia="en-GB"/>
              </w:rPr>
            </w:pPr>
            <w:r w:rsidRPr="00F769E0">
              <w:rPr>
                <w:rFonts w:cs="Tahoma"/>
                <w:b/>
                <w:lang w:val="sl-SI" w:eastAsia="en-GB"/>
              </w:rPr>
              <w:t>Znesek</w:t>
            </w:r>
          </w:p>
        </w:tc>
        <w:tc>
          <w:tcPr>
            <w:tcW w:w="11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488" w14:textId="77777777" w:rsidR="00E03711" w:rsidRPr="00F769E0" w:rsidRDefault="00E03711" w:rsidP="00773F1B">
            <w:pPr>
              <w:pStyle w:val="GUIDE-NORMAL"/>
              <w:spacing w:before="60" w:after="60"/>
              <w:jc w:val="center"/>
              <w:rPr>
                <w:rFonts w:cs="Tahoma"/>
                <w:b/>
                <w:lang w:val="sl-SI" w:eastAsia="en-GB"/>
              </w:rPr>
            </w:pPr>
            <w:r w:rsidRPr="00F769E0">
              <w:rPr>
                <w:rFonts w:cs="Tahoma"/>
                <w:b/>
                <w:lang w:val="sl-SI" w:eastAsia="en-GB"/>
              </w:rPr>
              <w:t>Pravilo dodelitve</w:t>
            </w:r>
          </w:p>
        </w:tc>
      </w:tr>
      <w:tr w:rsidR="00E03711" w:rsidRPr="00C60205" w14:paraId="7D39948F" w14:textId="77777777" w:rsidTr="00F05D26">
        <w:trPr>
          <w:trHeight w:val="20"/>
        </w:trPr>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48A" w14:textId="77777777" w:rsidR="00E03711" w:rsidRPr="00F769E0" w:rsidRDefault="00E03711" w:rsidP="00773F1B">
            <w:pPr>
              <w:pStyle w:val="GUIDE-NORMAL"/>
              <w:jc w:val="left"/>
              <w:rPr>
                <w:rFonts w:cs="Tahoma"/>
                <w:b/>
                <w:lang w:val="sl-SI" w:eastAsia="en-GB"/>
              </w:rPr>
            </w:pPr>
            <w:r w:rsidRPr="00F769E0">
              <w:rPr>
                <w:rFonts w:cs="Tahoma"/>
                <w:b/>
                <w:lang w:val="sl-SI" w:eastAsia="en-GB"/>
              </w:rPr>
              <w:t>Pot</w:t>
            </w:r>
          </w:p>
        </w:tc>
        <w:tc>
          <w:tcPr>
            <w:tcW w:w="98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48B" w14:textId="77777777" w:rsidR="00E03711" w:rsidRPr="00F769E0" w:rsidRDefault="00E03711" w:rsidP="00773F1B">
            <w:pPr>
              <w:pStyle w:val="GUIDE-NORMAL"/>
              <w:jc w:val="left"/>
              <w:rPr>
                <w:rFonts w:cs="Tahoma"/>
                <w:lang w:val="sl-SI" w:eastAsia="en-GB"/>
              </w:rPr>
            </w:pPr>
            <w:r w:rsidRPr="00F769E0">
              <w:rPr>
                <w:rFonts w:cs="Tahoma"/>
                <w:lang w:val="sl-SI" w:eastAsia="en-GB"/>
              </w:rPr>
              <w:t>Prispevek za potne stroške udeležencev od njihovega kraja izvora do kraja izvajanja aktivnosti in nazaj.</w:t>
            </w:r>
          </w:p>
        </w:tc>
        <w:tc>
          <w:tcPr>
            <w:tcW w:w="78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48C" w14:textId="77777777" w:rsidR="00E03711" w:rsidRPr="00F769E0" w:rsidRDefault="00E03711" w:rsidP="00773F1B">
            <w:pPr>
              <w:pStyle w:val="GUIDE-NORMAL"/>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48D" w14:textId="77777777" w:rsidR="00E03711" w:rsidRPr="00F769E0" w:rsidRDefault="00E03711" w:rsidP="00773F1B">
            <w:pPr>
              <w:pStyle w:val="GUIDE-NORMAL"/>
              <w:spacing w:before="60" w:after="60"/>
              <w:jc w:val="left"/>
              <w:rPr>
                <w:rFonts w:cs="Tahoma"/>
                <w:lang w:val="sl-SI" w:eastAsia="en-GB"/>
              </w:rPr>
            </w:pPr>
            <w:r w:rsidRPr="00F769E0">
              <w:rPr>
                <w:rFonts w:cs="Tahoma"/>
                <w:lang w:val="sl-SI" w:eastAsia="en-GB"/>
              </w:rPr>
              <w:t xml:space="preserve">Za razdalje od 100 do 1 999 km: </w:t>
            </w:r>
            <w:r w:rsidRPr="00F769E0">
              <w:rPr>
                <w:rFonts w:cs="Tahoma"/>
                <w:lang w:val="sl-SI" w:eastAsia="en-GB"/>
              </w:rPr>
              <w:br/>
              <w:t>275 EUR na udeleženca.</w:t>
            </w:r>
          </w:p>
        </w:tc>
        <w:tc>
          <w:tcPr>
            <w:tcW w:w="111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48E" w14:textId="77777777" w:rsidR="00E03711" w:rsidRPr="00F769E0" w:rsidRDefault="00E03711" w:rsidP="00773F1B">
            <w:pPr>
              <w:pStyle w:val="GUIDE-NORMAL"/>
              <w:jc w:val="left"/>
              <w:rPr>
                <w:rFonts w:cs="Tahoma"/>
                <w:lang w:val="sl-SI" w:eastAsia="en-GB"/>
              </w:rPr>
            </w:pPr>
            <w:r w:rsidRPr="00F769E0">
              <w:rPr>
                <w:rFonts w:cs="Tahoma"/>
                <w:lang w:val="sl-SI" w:eastAsia="en-GB"/>
              </w:rPr>
              <w:t>Pogoj: prijavitelji bodo morali utemeljiti, zakaj je mobilnost potrebna za doseganje ciljev in rezultatov projekta. Razdaljo je treba izračunati s kalkulatorjem razdalje, ki ga podpira Evropska komisija</w:t>
            </w:r>
            <w:r w:rsidRPr="00F769E0">
              <w:rPr>
                <w:rStyle w:val="FootnoteReference"/>
                <w:rFonts w:cs="Tahoma"/>
                <w:lang w:val="sl-SI" w:eastAsia="en-GB"/>
              </w:rPr>
              <w:footnoteReference w:id="122"/>
            </w:r>
            <w:r w:rsidRPr="00F769E0">
              <w:rPr>
                <w:rFonts w:cs="Tahoma"/>
                <w:lang w:val="sl-SI" w:eastAsia="en-GB"/>
              </w:rPr>
              <w:t>. Prijavitelj mora navesti razdaljo enosmerne poti za izračun zneska nepovratnih sredstev EU za kritje povratne poti</w:t>
            </w:r>
            <w:r w:rsidRPr="00F769E0">
              <w:rPr>
                <w:rStyle w:val="FootnoteReference"/>
                <w:rFonts w:cs="Tahoma"/>
                <w:lang w:val="sl-SI" w:eastAsia="en-GB"/>
              </w:rPr>
              <w:footnoteReference w:id="123"/>
            </w:r>
            <w:r w:rsidRPr="00F769E0">
              <w:rPr>
                <w:rFonts w:cs="Tahoma"/>
                <w:lang w:val="sl-SI" w:eastAsia="en-GB"/>
              </w:rPr>
              <w:t>.</w:t>
            </w:r>
          </w:p>
        </w:tc>
      </w:tr>
      <w:tr w:rsidR="00E03711" w:rsidRPr="00C60205" w14:paraId="7D399495" w14:textId="77777777" w:rsidTr="00F05D26">
        <w:trPr>
          <w:trHeight w:val="20"/>
        </w:trPr>
        <w:tc>
          <w:tcPr>
            <w:tcW w:w="477" w:type="pct"/>
            <w:vMerge/>
            <w:tcBorders>
              <w:top w:val="nil"/>
              <w:left w:val="single" w:sz="4" w:space="0" w:color="000000"/>
              <w:bottom w:val="single" w:sz="4" w:space="0" w:color="000000"/>
              <w:right w:val="single" w:sz="4" w:space="0" w:color="000000"/>
            </w:tcBorders>
            <w:shd w:val="clear" w:color="auto" w:fill="auto"/>
            <w:vAlign w:val="center"/>
          </w:tcPr>
          <w:p w14:paraId="7D399490" w14:textId="77777777" w:rsidR="00E03711" w:rsidRPr="00F769E0" w:rsidRDefault="00E03711" w:rsidP="007801CB">
            <w:pPr>
              <w:pStyle w:val="GUIDE-NORMAL"/>
              <w:spacing w:before="60" w:after="60"/>
              <w:jc w:val="left"/>
              <w:rPr>
                <w:rFonts w:cs="Tahoma"/>
                <w:b/>
                <w:bCs/>
                <w:sz w:val="2"/>
                <w:szCs w:val="2"/>
                <w:lang w:val="sl-SI" w:eastAsia="en-GB"/>
              </w:rPr>
            </w:pPr>
          </w:p>
        </w:tc>
        <w:tc>
          <w:tcPr>
            <w:tcW w:w="988" w:type="pct"/>
            <w:vMerge/>
            <w:tcBorders>
              <w:top w:val="nil"/>
              <w:left w:val="single" w:sz="4" w:space="0" w:color="000000"/>
              <w:bottom w:val="single" w:sz="4" w:space="0" w:color="000000"/>
              <w:right w:val="single" w:sz="4" w:space="0" w:color="000000"/>
            </w:tcBorders>
            <w:shd w:val="clear" w:color="auto" w:fill="auto"/>
            <w:vAlign w:val="center"/>
          </w:tcPr>
          <w:p w14:paraId="7D399491" w14:textId="77777777" w:rsidR="00E03711" w:rsidRPr="00F769E0" w:rsidRDefault="00E03711" w:rsidP="007801CB">
            <w:pPr>
              <w:pStyle w:val="GUIDE-NORMAL"/>
              <w:spacing w:before="60" w:after="60"/>
              <w:jc w:val="left"/>
              <w:rPr>
                <w:rFonts w:cs="Tahoma"/>
                <w:b/>
                <w:bCs/>
                <w:sz w:val="2"/>
                <w:szCs w:val="2"/>
                <w:lang w:val="sl-SI" w:eastAsia="en-GB"/>
              </w:rPr>
            </w:pPr>
          </w:p>
        </w:tc>
        <w:tc>
          <w:tcPr>
            <w:tcW w:w="782" w:type="pct"/>
            <w:vMerge/>
            <w:tcBorders>
              <w:top w:val="nil"/>
              <w:left w:val="single" w:sz="4" w:space="0" w:color="000000"/>
              <w:bottom w:val="single" w:sz="4" w:space="0" w:color="000000"/>
              <w:right w:val="single" w:sz="4" w:space="0" w:color="000000"/>
            </w:tcBorders>
            <w:shd w:val="clear" w:color="auto" w:fill="auto"/>
            <w:vAlign w:val="center"/>
          </w:tcPr>
          <w:p w14:paraId="7D399492" w14:textId="77777777" w:rsidR="00E03711" w:rsidRPr="00F769E0" w:rsidRDefault="00E03711" w:rsidP="007801CB">
            <w:pPr>
              <w:pStyle w:val="GUIDE-NORMAL"/>
              <w:spacing w:before="60" w:after="60"/>
              <w:jc w:val="left"/>
              <w:rPr>
                <w:rFonts w:cs="Tahoma"/>
                <w:b/>
                <w:bCs/>
                <w:sz w:val="2"/>
                <w:szCs w:val="2"/>
                <w:lang w:val="sl-SI" w:eastAsia="en-GB"/>
              </w:rPr>
            </w:pPr>
          </w:p>
        </w:tc>
        <w:tc>
          <w:tcPr>
            <w:tcW w:w="1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493" w14:textId="77777777" w:rsidR="00E03711" w:rsidRPr="00F769E0" w:rsidRDefault="00E03711" w:rsidP="00773F1B">
            <w:pPr>
              <w:pStyle w:val="GUIDE-NORMAL"/>
              <w:spacing w:before="60" w:after="60"/>
              <w:jc w:val="left"/>
              <w:rPr>
                <w:rFonts w:cs="Tahoma"/>
                <w:lang w:val="sl-SI" w:eastAsia="en-GB"/>
              </w:rPr>
            </w:pPr>
            <w:r w:rsidRPr="00F769E0">
              <w:rPr>
                <w:rFonts w:cs="Tahoma"/>
                <w:lang w:val="sl-SI" w:eastAsia="en-GB"/>
              </w:rPr>
              <w:t xml:space="preserve">Za razdalje 2 000 km ali več: </w:t>
            </w:r>
            <w:r w:rsidRPr="00F769E0">
              <w:rPr>
                <w:rFonts w:cs="Tahoma"/>
                <w:lang w:val="sl-SI" w:eastAsia="en-GB"/>
              </w:rPr>
              <w:br/>
              <w:t>360 EUR na udeleženca.</w:t>
            </w:r>
          </w:p>
        </w:tc>
        <w:tc>
          <w:tcPr>
            <w:tcW w:w="1112" w:type="pct"/>
            <w:vMerge/>
            <w:tcBorders>
              <w:top w:val="nil"/>
              <w:left w:val="single" w:sz="4" w:space="0" w:color="000000"/>
              <w:bottom w:val="single" w:sz="4" w:space="0" w:color="000000"/>
              <w:right w:val="single" w:sz="4" w:space="0" w:color="000000"/>
            </w:tcBorders>
            <w:shd w:val="clear" w:color="auto" w:fill="auto"/>
            <w:vAlign w:val="center"/>
          </w:tcPr>
          <w:p w14:paraId="7D399494" w14:textId="77777777" w:rsidR="00E03711" w:rsidRPr="00F769E0" w:rsidRDefault="00E03711" w:rsidP="007801CB">
            <w:pPr>
              <w:pStyle w:val="GUIDE-NORMAL"/>
              <w:spacing w:before="60" w:after="60"/>
              <w:jc w:val="left"/>
              <w:rPr>
                <w:rFonts w:cs="Tahoma"/>
                <w:b/>
                <w:bCs/>
                <w:sz w:val="2"/>
                <w:szCs w:val="2"/>
                <w:lang w:val="sl-SI" w:eastAsia="en-GB"/>
              </w:rPr>
            </w:pPr>
          </w:p>
        </w:tc>
      </w:tr>
      <w:tr w:rsidR="00E03711" w:rsidRPr="00C60205" w14:paraId="7D39949D" w14:textId="77777777" w:rsidTr="00F05D26">
        <w:trPr>
          <w:trHeight w:val="20"/>
        </w:trPr>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496" w14:textId="77777777" w:rsidR="00E03711" w:rsidRPr="00F769E0" w:rsidRDefault="00E03711" w:rsidP="00773F1B">
            <w:pPr>
              <w:pStyle w:val="GUIDE-NORMAL"/>
              <w:jc w:val="left"/>
              <w:rPr>
                <w:rFonts w:cs="Tahoma"/>
                <w:b/>
                <w:lang w:val="sl-SI" w:eastAsia="en-GB"/>
              </w:rPr>
            </w:pPr>
            <w:r w:rsidRPr="00F769E0">
              <w:rPr>
                <w:rFonts w:cs="Tahoma"/>
                <w:b/>
                <w:lang w:val="sl-SI" w:eastAsia="en-GB"/>
              </w:rPr>
              <w:t>Stroški</w:t>
            </w:r>
            <w:r w:rsidRPr="00F769E0">
              <w:rPr>
                <w:rFonts w:cs="Tahoma"/>
                <w:b/>
                <w:lang w:val="sl-SI" w:eastAsia="en-GB"/>
              </w:rPr>
              <w:br/>
              <w:t>bivanja</w:t>
            </w:r>
          </w:p>
        </w:tc>
        <w:tc>
          <w:tcPr>
            <w:tcW w:w="98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497" w14:textId="77777777" w:rsidR="00E03711" w:rsidRPr="00F769E0" w:rsidRDefault="00E03711" w:rsidP="00773F1B">
            <w:pPr>
              <w:pStyle w:val="GUIDE-NORMAL"/>
              <w:jc w:val="left"/>
              <w:rPr>
                <w:rFonts w:cs="Tahoma"/>
                <w:lang w:val="sl-SI" w:eastAsia="en-GB"/>
              </w:rPr>
            </w:pPr>
            <w:r w:rsidRPr="00F769E0">
              <w:rPr>
                <w:rFonts w:cs="Tahoma"/>
                <w:lang w:val="sl-SI" w:eastAsia="en-GB"/>
              </w:rPr>
              <w:t>Prispevek za stroške bivanja udeležencev med aktivnostjo.</w:t>
            </w:r>
          </w:p>
        </w:tc>
        <w:tc>
          <w:tcPr>
            <w:tcW w:w="78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498" w14:textId="77777777" w:rsidR="00E03711" w:rsidRPr="00F769E0" w:rsidRDefault="00E03711" w:rsidP="00773F1B">
            <w:pPr>
              <w:pStyle w:val="GUIDE-NORMAL"/>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499" w14:textId="77777777" w:rsidR="00E03711" w:rsidRPr="00F769E0" w:rsidRDefault="00E03711" w:rsidP="00773F1B">
            <w:pPr>
              <w:pStyle w:val="GUIDE-NORMAL"/>
              <w:spacing w:before="60" w:after="60"/>
              <w:jc w:val="left"/>
              <w:rPr>
                <w:rFonts w:cs="Tahoma"/>
                <w:lang w:val="sl-SI" w:eastAsia="en-GB"/>
              </w:rPr>
            </w:pPr>
            <w:r w:rsidRPr="00F769E0">
              <w:rPr>
                <w:rFonts w:cs="Tahoma"/>
                <w:lang w:val="sl-SI" w:eastAsia="en-GB"/>
              </w:rPr>
              <w:t>Aktivnosti, ciljno usmerjene v osebje: do 14. dneva aktivnosti: 100 EUR na dan na udeleženca</w:t>
            </w:r>
          </w:p>
          <w:p w14:paraId="7D39949A" w14:textId="77777777" w:rsidR="00E03711" w:rsidRPr="00F769E0" w:rsidRDefault="00E03711" w:rsidP="00773F1B">
            <w:pPr>
              <w:pStyle w:val="GUIDE-NORMAL"/>
              <w:spacing w:before="60" w:after="60"/>
              <w:jc w:val="left"/>
              <w:rPr>
                <w:rFonts w:cs="Tahoma"/>
                <w:lang w:val="sl-SI" w:eastAsia="en-GB"/>
              </w:rPr>
            </w:pPr>
            <w:r w:rsidRPr="00F769E0">
              <w:rPr>
                <w:rFonts w:cs="Tahoma"/>
                <w:lang w:val="sl-SI" w:eastAsia="en-GB"/>
              </w:rPr>
              <w:t>+</w:t>
            </w:r>
          </w:p>
          <w:p w14:paraId="7D39949B" w14:textId="77777777" w:rsidR="00E03711" w:rsidRPr="00F769E0" w:rsidRDefault="00E03711" w:rsidP="00773F1B">
            <w:pPr>
              <w:pStyle w:val="GUIDE-NORMAL"/>
              <w:spacing w:before="60" w:after="60"/>
              <w:jc w:val="left"/>
              <w:rPr>
                <w:rFonts w:cs="Tahoma"/>
                <w:lang w:val="sl-SI" w:eastAsia="en-GB"/>
              </w:rPr>
            </w:pPr>
            <w:r w:rsidRPr="00F769E0">
              <w:rPr>
                <w:rFonts w:cs="Tahoma"/>
                <w:lang w:val="sl-SI" w:eastAsia="en-GB"/>
              </w:rPr>
              <w:t xml:space="preserve">od 15. do 60. dneva aktivnosti: </w:t>
            </w:r>
            <w:r w:rsidRPr="00F769E0">
              <w:rPr>
                <w:rFonts w:cs="Tahoma"/>
                <w:lang w:val="sl-SI" w:eastAsia="en-GB"/>
              </w:rPr>
              <w:br/>
              <w:t>70 EUR na dan na udeleženca.</w:t>
            </w:r>
          </w:p>
        </w:tc>
        <w:tc>
          <w:tcPr>
            <w:tcW w:w="1112" w:type="pct"/>
            <w:vMerge/>
            <w:tcBorders>
              <w:top w:val="nil"/>
              <w:left w:val="single" w:sz="4" w:space="0" w:color="000000"/>
              <w:bottom w:val="single" w:sz="4" w:space="0" w:color="000000"/>
              <w:right w:val="single" w:sz="4" w:space="0" w:color="000000"/>
            </w:tcBorders>
            <w:shd w:val="clear" w:color="auto" w:fill="auto"/>
            <w:vAlign w:val="center"/>
          </w:tcPr>
          <w:p w14:paraId="7D39949C" w14:textId="77777777" w:rsidR="00E03711" w:rsidRPr="00F769E0" w:rsidRDefault="00E03711" w:rsidP="007801CB">
            <w:pPr>
              <w:pStyle w:val="GUIDE-NORMAL"/>
              <w:spacing w:before="60" w:after="60"/>
              <w:jc w:val="left"/>
              <w:rPr>
                <w:rFonts w:cs="Tahoma"/>
                <w:b/>
                <w:bCs/>
                <w:sz w:val="2"/>
                <w:szCs w:val="2"/>
                <w:lang w:val="sl-SI" w:eastAsia="en-GB"/>
              </w:rPr>
            </w:pPr>
          </w:p>
        </w:tc>
      </w:tr>
      <w:tr w:rsidR="00E03711" w:rsidRPr="00C60205" w14:paraId="7D3994A5" w14:textId="77777777" w:rsidTr="00F05D26">
        <w:trPr>
          <w:trHeight w:val="20"/>
        </w:trPr>
        <w:tc>
          <w:tcPr>
            <w:tcW w:w="477" w:type="pct"/>
            <w:vMerge/>
            <w:tcBorders>
              <w:top w:val="nil"/>
              <w:left w:val="single" w:sz="4" w:space="0" w:color="000000"/>
              <w:bottom w:val="single" w:sz="4" w:space="0" w:color="000000"/>
              <w:right w:val="single" w:sz="4" w:space="0" w:color="000000"/>
            </w:tcBorders>
            <w:shd w:val="clear" w:color="auto" w:fill="auto"/>
            <w:vAlign w:val="center"/>
          </w:tcPr>
          <w:p w14:paraId="7D39949E" w14:textId="77777777" w:rsidR="00E03711" w:rsidRPr="00F769E0" w:rsidRDefault="00E03711" w:rsidP="00773F1B">
            <w:pPr>
              <w:pStyle w:val="GUIDE-NORMAL"/>
              <w:jc w:val="left"/>
              <w:rPr>
                <w:rFonts w:cs="Tahoma"/>
                <w:lang w:val="sl-SI" w:eastAsia="en-GB"/>
              </w:rPr>
            </w:pPr>
          </w:p>
        </w:tc>
        <w:tc>
          <w:tcPr>
            <w:tcW w:w="988" w:type="pct"/>
            <w:vMerge/>
            <w:tcBorders>
              <w:top w:val="nil"/>
              <w:left w:val="single" w:sz="4" w:space="0" w:color="000000"/>
              <w:bottom w:val="single" w:sz="4" w:space="0" w:color="000000"/>
              <w:right w:val="single" w:sz="4" w:space="0" w:color="000000"/>
            </w:tcBorders>
            <w:shd w:val="clear" w:color="auto" w:fill="auto"/>
            <w:vAlign w:val="center"/>
          </w:tcPr>
          <w:p w14:paraId="7D39949F" w14:textId="77777777" w:rsidR="00E03711" w:rsidRPr="00F769E0" w:rsidRDefault="00E03711" w:rsidP="00773F1B">
            <w:pPr>
              <w:pStyle w:val="GUIDE-NORMAL"/>
              <w:jc w:val="left"/>
              <w:rPr>
                <w:rFonts w:cs="Tahoma"/>
                <w:lang w:val="sl-SI" w:eastAsia="en-GB"/>
              </w:rPr>
            </w:pPr>
          </w:p>
        </w:tc>
        <w:tc>
          <w:tcPr>
            <w:tcW w:w="782" w:type="pct"/>
            <w:vMerge/>
            <w:tcBorders>
              <w:top w:val="nil"/>
              <w:left w:val="single" w:sz="4" w:space="0" w:color="000000"/>
              <w:bottom w:val="single" w:sz="4" w:space="0" w:color="000000"/>
              <w:right w:val="single" w:sz="4" w:space="0" w:color="000000"/>
            </w:tcBorders>
            <w:shd w:val="clear" w:color="auto" w:fill="auto"/>
            <w:vAlign w:val="center"/>
          </w:tcPr>
          <w:p w14:paraId="7D3994A0" w14:textId="77777777" w:rsidR="00E03711" w:rsidRPr="00F769E0" w:rsidRDefault="00E03711" w:rsidP="00773F1B">
            <w:pPr>
              <w:pStyle w:val="GUIDE-NORMAL"/>
              <w:jc w:val="left"/>
              <w:rPr>
                <w:rFonts w:cs="Tahoma"/>
                <w:lang w:val="sl-SI" w:eastAsia="en-GB"/>
              </w:rPr>
            </w:pPr>
          </w:p>
        </w:tc>
        <w:tc>
          <w:tcPr>
            <w:tcW w:w="1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4A1" w14:textId="77777777" w:rsidR="00E03711" w:rsidRPr="00F769E0" w:rsidRDefault="00E03711" w:rsidP="00773F1B">
            <w:pPr>
              <w:pStyle w:val="GUIDE-NORMAL"/>
              <w:spacing w:before="60" w:after="60"/>
              <w:jc w:val="left"/>
              <w:rPr>
                <w:rFonts w:cs="Tahoma"/>
                <w:lang w:val="sl-SI" w:eastAsia="en-GB"/>
              </w:rPr>
            </w:pPr>
            <w:r w:rsidRPr="00F769E0">
              <w:rPr>
                <w:rFonts w:cs="Tahoma"/>
                <w:lang w:val="sl-SI" w:eastAsia="en-GB"/>
              </w:rPr>
              <w:t xml:space="preserve">Aktivnosti, ciljno usmerjene v študente: do 14. dneva aktivnosti: </w:t>
            </w:r>
            <w:r w:rsidRPr="00F769E0">
              <w:rPr>
                <w:rFonts w:cs="Tahoma"/>
                <w:lang w:val="sl-SI" w:eastAsia="en-GB"/>
              </w:rPr>
              <w:br/>
              <w:t>55 EUR na dan na udeleženca</w:t>
            </w:r>
          </w:p>
          <w:p w14:paraId="7D3994A2" w14:textId="77777777" w:rsidR="00E03711" w:rsidRPr="00F769E0" w:rsidRDefault="00E03711" w:rsidP="00773F1B">
            <w:pPr>
              <w:pStyle w:val="GUIDE-NORMAL"/>
              <w:spacing w:before="60" w:after="60"/>
              <w:jc w:val="left"/>
              <w:rPr>
                <w:rFonts w:cs="Tahoma"/>
                <w:lang w:val="sl-SI" w:eastAsia="en-GB"/>
              </w:rPr>
            </w:pPr>
            <w:r w:rsidRPr="00F769E0">
              <w:rPr>
                <w:rFonts w:cs="Tahoma"/>
                <w:lang w:val="sl-SI" w:eastAsia="en-GB"/>
              </w:rPr>
              <w:t>+</w:t>
            </w:r>
          </w:p>
          <w:p w14:paraId="7D3994A3" w14:textId="77777777" w:rsidR="00E03711" w:rsidRPr="00F769E0" w:rsidRDefault="00E03711" w:rsidP="00773F1B">
            <w:pPr>
              <w:pStyle w:val="GUIDE-NORMAL"/>
              <w:spacing w:before="60" w:after="60"/>
              <w:jc w:val="left"/>
              <w:rPr>
                <w:rFonts w:cs="Tahoma"/>
                <w:lang w:val="sl-SI" w:eastAsia="en-GB"/>
              </w:rPr>
            </w:pPr>
            <w:r w:rsidRPr="00F769E0">
              <w:rPr>
                <w:rFonts w:cs="Tahoma"/>
                <w:lang w:val="sl-SI" w:eastAsia="en-GB"/>
              </w:rPr>
              <w:t xml:space="preserve">od 15. do 60. dneva aktivnosti: </w:t>
            </w:r>
            <w:r w:rsidRPr="00F769E0">
              <w:rPr>
                <w:rFonts w:cs="Tahoma"/>
                <w:lang w:val="sl-SI" w:eastAsia="en-GB"/>
              </w:rPr>
              <w:br/>
              <w:t>40 EUR na dan na udeleženca.</w:t>
            </w:r>
          </w:p>
        </w:tc>
        <w:tc>
          <w:tcPr>
            <w:tcW w:w="1112" w:type="pct"/>
            <w:vMerge/>
            <w:tcBorders>
              <w:top w:val="nil"/>
              <w:left w:val="single" w:sz="4" w:space="0" w:color="000000"/>
              <w:bottom w:val="single" w:sz="4" w:space="0" w:color="000000"/>
              <w:right w:val="single" w:sz="4" w:space="0" w:color="000000"/>
            </w:tcBorders>
            <w:shd w:val="clear" w:color="auto" w:fill="auto"/>
            <w:vAlign w:val="center"/>
          </w:tcPr>
          <w:p w14:paraId="7D3994A4" w14:textId="77777777" w:rsidR="00E03711" w:rsidRPr="00F769E0" w:rsidRDefault="00E03711" w:rsidP="007801CB">
            <w:pPr>
              <w:pStyle w:val="GUIDE-NORMAL"/>
              <w:spacing w:before="60" w:after="60"/>
              <w:jc w:val="left"/>
              <w:rPr>
                <w:rFonts w:cs="Tahoma"/>
                <w:b/>
                <w:bCs/>
                <w:sz w:val="2"/>
                <w:szCs w:val="2"/>
                <w:lang w:val="sl-SI" w:eastAsia="en-GB"/>
              </w:rPr>
            </w:pPr>
          </w:p>
        </w:tc>
      </w:tr>
    </w:tbl>
    <w:p w14:paraId="7D3994A6" w14:textId="77777777" w:rsidR="00E03711" w:rsidRPr="001048FE" w:rsidRDefault="00E03711" w:rsidP="00364D45">
      <w:pPr>
        <w:pStyle w:val="Guide-Table"/>
        <w:rPr>
          <w:lang w:val="sl-SI"/>
        </w:rPr>
      </w:pPr>
    </w:p>
    <w:p w14:paraId="7D3994A7" w14:textId="77777777" w:rsidR="00E03711" w:rsidRDefault="00E03711">
      <w:pPr>
        <w:widowControl/>
        <w:suppressAutoHyphens w:val="0"/>
        <w:autoSpaceDN/>
        <w:textAlignment w:val="auto"/>
        <w:rPr>
          <w:rFonts w:eastAsia="Times New Roman" w:cs="Times New Roman"/>
          <w:b/>
          <w:smallCaps/>
          <w:sz w:val="20"/>
          <w:szCs w:val="28"/>
          <w:lang w:val="sl-SI"/>
        </w:rPr>
      </w:pPr>
      <w:r>
        <w:rPr>
          <w:lang w:val="sl-SI"/>
        </w:rPr>
        <w:br w:type="page"/>
      </w:r>
    </w:p>
    <w:p w14:paraId="7D3994A8" w14:textId="77777777" w:rsidR="00E03711" w:rsidRPr="001048FE" w:rsidRDefault="00E03711" w:rsidP="00773F1B">
      <w:pPr>
        <w:pStyle w:val="Guide-Heading6"/>
        <w:rPr>
          <w:lang w:val="sl-SI"/>
        </w:rPr>
      </w:pPr>
      <w:r w:rsidRPr="001048FE">
        <w:rPr>
          <w:lang w:val="sl-SI"/>
        </w:rPr>
        <w:t>Preglednica A – Izvajanje projekta (zneski v EUR na dan) v državah Programa</w:t>
      </w:r>
    </w:p>
    <w:p w14:paraId="7D3994A9" w14:textId="77777777" w:rsidR="00E03711" w:rsidRPr="001048FE" w:rsidRDefault="00E03711" w:rsidP="00773F1B">
      <w:pPr>
        <w:pStyle w:val="GUIDE-NORMAL"/>
        <w:rPr>
          <w:lang w:val="sl-SI"/>
        </w:rPr>
      </w:pPr>
      <w:r w:rsidRPr="001048FE">
        <w:rPr>
          <w:lang w:val="sl-SI"/>
        </w:rPr>
        <w:t>Zneski</w:t>
      </w:r>
      <w:r w:rsidRPr="001048FE">
        <w:rPr>
          <w:spacing w:val="-10"/>
          <w:lang w:val="sl-SI"/>
        </w:rPr>
        <w:t xml:space="preserve"> </w:t>
      </w:r>
      <w:r w:rsidRPr="001048FE">
        <w:rPr>
          <w:lang w:val="sl-SI"/>
        </w:rPr>
        <w:t>so</w:t>
      </w:r>
      <w:r w:rsidRPr="001048FE">
        <w:rPr>
          <w:spacing w:val="-10"/>
          <w:lang w:val="sl-SI"/>
        </w:rPr>
        <w:t xml:space="preserve"> </w:t>
      </w:r>
      <w:r w:rsidRPr="001048FE">
        <w:rPr>
          <w:lang w:val="sl-SI"/>
        </w:rPr>
        <w:t>odvisni</w:t>
      </w:r>
      <w:r w:rsidRPr="001048FE">
        <w:rPr>
          <w:spacing w:val="-9"/>
          <w:lang w:val="sl-SI"/>
        </w:rPr>
        <w:t xml:space="preserve"> </w:t>
      </w:r>
      <w:r w:rsidRPr="001048FE">
        <w:rPr>
          <w:lang w:val="sl-SI"/>
        </w:rPr>
        <w:t>od:</w:t>
      </w:r>
      <w:r w:rsidRPr="001048FE">
        <w:rPr>
          <w:spacing w:val="-9"/>
          <w:lang w:val="sl-SI"/>
        </w:rPr>
        <w:t xml:space="preserve"> </w:t>
      </w:r>
      <w:r w:rsidRPr="001048FE">
        <w:rPr>
          <w:lang w:val="sl-SI"/>
        </w:rPr>
        <w:t>a)</w:t>
      </w:r>
      <w:r w:rsidRPr="001048FE">
        <w:rPr>
          <w:spacing w:val="-10"/>
          <w:lang w:val="sl-SI"/>
        </w:rPr>
        <w:t xml:space="preserve"> </w:t>
      </w:r>
      <w:r w:rsidRPr="001048FE">
        <w:rPr>
          <w:lang w:val="sl-SI"/>
        </w:rPr>
        <w:t>profila</w:t>
      </w:r>
      <w:r w:rsidRPr="001048FE">
        <w:rPr>
          <w:spacing w:val="-10"/>
          <w:lang w:val="sl-SI"/>
        </w:rPr>
        <w:t xml:space="preserve"> </w:t>
      </w:r>
      <w:r w:rsidRPr="001048FE">
        <w:rPr>
          <w:lang w:val="sl-SI"/>
        </w:rPr>
        <w:t>osebja,</w:t>
      </w:r>
      <w:r w:rsidRPr="001048FE">
        <w:rPr>
          <w:spacing w:val="-9"/>
          <w:lang w:val="sl-SI"/>
        </w:rPr>
        <w:t xml:space="preserve"> </w:t>
      </w:r>
      <w:r w:rsidRPr="001048FE">
        <w:rPr>
          <w:lang w:val="sl-SI"/>
        </w:rPr>
        <w:t>ki</w:t>
      </w:r>
      <w:r w:rsidRPr="001048FE">
        <w:rPr>
          <w:spacing w:val="-10"/>
          <w:lang w:val="sl-SI"/>
        </w:rPr>
        <w:t xml:space="preserve"> </w:t>
      </w:r>
      <w:r w:rsidRPr="001048FE">
        <w:rPr>
          <w:lang w:val="sl-SI"/>
        </w:rPr>
        <w:t>je</w:t>
      </w:r>
      <w:r w:rsidRPr="001048FE">
        <w:rPr>
          <w:spacing w:val="-10"/>
          <w:lang w:val="sl-SI"/>
        </w:rPr>
        <w:t xml:space="preserve"> </w:t>
      </w:r>
      <w:r w:rsidRPr="001048FE">
        <w:rPr>
          <w:lang w:val="sl-SI"/>
        </w:rPr>
        <w:t>vključeno</w:t>
      </w:r>
      <w:r w:rsidRPr="001048FE">
        <w:rPr>
          <w:spacing w:val="-10"/>
          <w:lang w:val="sl-SI"/>
        </w:rPr>
        <w:t xml:space="preserve"> </w:t>
      </w:r>
      <w:r w:rsidRPr="001048FE">
        <w:rPr>
          <w:lang w:val="sl-SI"/>
        </w:rPr>
        <w:t>v</w:t>
      </w:r>
      <w:r w:rsidRPr="001048FE">
        <w:rPr>
          <w:spacing w:val="-10"/>
          <w:lang w:val="sl-SI"/>
        </w:rPr>
        <w:t xml:space="preserve"> </w:t>
      </w:r>
      <w:r w:rsidRPr="001048FE">
        <w:rPr>
          <w:lang w:val="sl-SI"/>
        </w:rPr>
        <w:t>projekt,</w:t>
      </w:r>
      <w:r w:rsidRPr="001048FE">
        <w:rPr>
          <w:spacing w:val="-10"/>
          <w:lang w:val="sl-SI"/>
        </w:rPr>
        <w:t xml:space="preserve"> </w:t>
      </w:r>
      <w:r w:rsidRPr="001048FE">
        <w:rPr>
          <w:lang w:val="sl-SI"/>
        </w:rPr>
        <w:t>in</w:t>
      </w:r>
      <w:r w:rsidRPr="001048FE">
        <w:rPr>
          <w:spacing w:val="-10"/>
          <w:lang w:val="sl-SI"/>
        </w:rPr>
        <w:t xml:space="preserve"> </w:t>
      </w:r>
      <w:r w:rsidRPr="001048FE">
        <w:rPr>
          <w:lang w:val="sl-SI"/>
        </w:rPr>
        <w:t>b)</w:t>
      </w:r>
      <w:r w:rsidRPr="001048FE">
        <w:rPr>
          <w:spacing w:val="-10"/>
          <w:lang w:val="sl-SI"/>
        </w:rPr>
        <w:t xml:space="preserve"> </w:t>
      </w:r>
      <w:r w:rsidRPr="001048FE">
        <w:rPr>
          <w:lang w:val="sl-SI"/>
        </w:rPr>
        <w:t>države</w:t>
      </w:r>
      <w:r w:rsidRPr="001048FE">
        <w:rPr>
          <w:spacing w:val="-10"/>
          <w:lang w:val="sl-SI"/>
        </w:rPr>
        <w:t xml:space="preserve"> </w:t>
      </w:r>
      <w:r w:rsidRPr="001048FE">
        <w:rPr>
          <w:lang w:val="sl-SI"/>
        </w:rPr>
        <w:t>sodelujoče</w:t>
      </w:r>
      <w:r w:rsidRPr="001048FE">
        <w:rPr>
          <w:spacing w:val="-10"/>
          <w:lang w:val="sl-SI"/>
        </w:rPr>
        <w:t xml:space="preserve"> </w:t>
      </w:r>
      <w:r w:rsidRPr="001048FE">
        <w:rPr>
          <w:lang w:val="sl-SI"/>
        </w:rPr>
        <w:t>organizacije, iz katere prihaja to</w:t>
      </w:r>
      <w:r w:rsidRPr="001048FE">
        <w:rPr>
          <w:spacing w:val="-9"/>
          <w:lang w:val="sl-SI"/>
        </w:rPr>
        <w:t xml:space="preserve"> </w:t>
      </w:r>
      <w:r w:rsidRPr="001048FE">
        <w:rPr>
          <w:lang w:val="sl-SI"/>
        </w:rPr>
        <w:t>osebje.</w:t>
      </w:r>
    </w:p>
    <w:tbl>
      <w:tblPr>
        <w:tblW w:w="4976" w:type="pct"/>
        <w:tblInd w:w="64" w:type="dxa"/>
        <w:tblLook w:val="0000" w:firstRow="0" w:lastRow="0" w:firstColumn="0" w:lastColumn="0" w:noHBand="0" w:noVBand="0"/>
      </w:tblPr>
      <w:tblGrid>
        <w:gridCol w:w="8525"/>
        <w:gridCol w:w="1189"/>
        <w:gridCol w:w="2378"/>
        <w:gridCol w:w="1186"/>
        <w:gridCol w:w="1439"/>
      </w:tblGrid>
      <w:tr w:rsidR="00E03711" w:rsidRPr="008C6F8C" w14:paraId="7D3994AF" w14:textId="77777777" w:rsidTr="00F05D26">
        <w:trPr>
          <w:trHeight w:val="20"/>
        </w:trPr>
        <w:tc>
          <w:tcPr>
            <w:tcW w:w="2896" w:type="pct"/>
            <w:vMerge w:val="restart"/>
            <w:tcBorders>
              <w:top w:val="none" w:sz="6" w:space="0" w:color="auto"/>
              <w:left w:val="none" w:sz="6" w:space="0" w:color="auto"/>
              <w:bottom w:val="single" w:sz="6" w:space="0" w:color="000000"/>
              <w:right w:val="single" w:sz="6" w:space="0" w:color="000000"/>
            </w:tcBorders>
            <w:shd w:val="clear" w:color="auto" w:fill="auto"/>
            <w:vAlign w:val="center"/>
          </w:tcPr>
          <w:p w14:paraId="7D3994AA" w14:textId="77777777" w:rsidR="00E03711" w:rsidRPr="00F769E0" w:rsidRDefault="00E03711" w:rsidP="00575E4C">
            <w:pPr>
              <w:pStyle w:val="Guide-Table"/>
              <w:spacing w:before="60" w:after="60"/>
              <w:jc w:val="left"/>
              <w:rPr>
                <w:rFonts w:cs="Tahoma"/>
                <w:b/>
                <w:lang w:val="sl-SI" w:eastAsia="en-GB"/>
              </w:rPr>
            </w:pPr>
          </w:p>
        </w:tc>
        <w:tc>
          <w:tcPr>
            <w:tcW w:w="40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AB" w14:textId="77777777" w:rsidR="00E03711" w:rsidRPr="00F769E0" w:rsidRDefault="00E03711" w:rsidP="00575E4C">
            <w:pPr>
              <w:pStyle w:val="GUIDE-NORMAL"/>
              <w:spacing w:before="60" w:after="60"/>
              <w:jc w:val="center"/>
              <w:rPr>
                <w:rFonts w:cs="Tahoma"/>
                <w:b/>
                <w:lang w:val="sl-SI" w:eastAsia="en-GB"/>
              </w:rPr>
            </w:pPr>
            <w:r w:rsidRPr="00F769E0">
              <w:rPr>
                <w:rFonts w:cs="Tahoma"/>
                <w:b/>
                <w:lang w:val="sl-SI" w:eastAsia="en-GB"/>
              </w:rPr>
              <w:t>Menedžer</w:t>
            </w:r>
          </w:p>
        </w:tc>
        <w:tc>
          <w:tcPr>
            <w:tcW w:w="80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AC" w14:textId="77777777" w:rsidR="00E03711" w:rsidRPr="00F769E0" w:rsidRDefault="00E03711" w:rsidP="00575E4C">
            <w:pPr>
              <w:pStyle w:val="GUIDE-NORMAL"/>
              <w:spacing w:before="60" w:after="60"/>
              <w:jc w:val="center"/>
              <w:rPr>
                <w:rFonts w:cs="Tahoma"/>
                <w:b/>
                <w:lang w:val="sl-SI" w:eastAsia="en-GB"/>
              </w:rPr>
            </w:pPr>
            <w:r w:rsidRPr="00F769E0">
              <w:rPr>
                <w:rFonts w:cs="Tahoma"/>
                <w:b/>
                <w:lang w:val="sl-SI" w:eastAsia="en-GB"/>
              </w:rPr>
              <w:t>Učitelj/vodja usposabljanja/raziskovalec/ Mladinski delavec</w:t>
            </w:r>
          </w:p>
        </w:tc>
        <w:tc>
          <w:tcPr>
            <w:tcW w:w="40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AD" w14:textId="77777777" w:rsidR="00E03711" w:rsidRPr="00F769E0" w:rsidRDefault="00E03711" w:rsidP="00575E4C">
            <w:pPr>
              <w:pStyle w:val="GUIDE-NORMAL"/>
              <w:spacing w:before="60" w:after="60"/>
              <w:jc w:val="center"/>
              <w:rPr>
                <w:rFonts w:cs="Tahoma"/>
                <w:b/>
                <w:lang w:val="sl-SI" w:eastAsia="en-GB"/>
              </w:rPr>
            </w:pPr>
            <w:r w:rsidRPr="00F769E0">
              <w:rPr>
                <w:rFonts w:cs="Tahoma"/>
                <w:b/>
                <w:lang w:val="sl-SI" w:eastAsia="en-GB"/>
              </w:rPr>
              <w:t>Tehnično osebje</w:t>
            </w:r>
          </w:p>
        </w:tc>
        <w:tc>
          <w:tcPr>
            <w:tcW w:w="489"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AE" w14:textId="77777777" w:rsidR="00E03711" w:rsidRPr="00F769E0" w:rsidRDefault="00E03711" w:rsidP="00575E4C">
            <w:pPr>
              <w:pStyle w:val="GUIDE-NORMAL"/>
              <w:spacing w:before="60" w:after="60"/>
              <w:jc w:val="center"/>
              <w:rPr>
                <w:rFonts w:cs="Tahoma"/>
                <w:b/>
                <w:lang w:val="sl-SI" w:eastAsia="en-GB"/>
              </w:rPr>
            </w:pPr>
            <w:r w:rsidRPr="00F769E0">
              <w:rPr>
                <w:rFonts w:cs="Tahoma"/>
                <w:b/>
                <w:lang w:val="sl-SI" w:eastAsia="en-GB"/>
              </w:rPr>
              <w:t>Administrativno osebje</w:t>
            </w:r>
          </w:p>
        </w:tc>
      </w:tr>
      <w:tr w:rsidR="00E03711" w:rsidRPr="008C6F8C" w14:paraId="7D3994B5" w14:textId="77777777" w:rsidTr="00F05D26">
        <w:trPr>
          <w:trHeight w:val="20"/>
        </w:trPr>
        <w:tc>
          <w:tcPr>
            <w:tcW w:w="2896" w:type="pct"/>
            <w:vMerge/>
            <w:tcBorders>
              <w:top w:val="nil"/>
              <w:left w:val="none" w:sz="6" w:space="0" w:color="auto"/>
              <w:bottom w:val="single" w:sz="6" w:space="0" w:color="000000"/>
              <w:right w:val="single" w:sz="6" w:space="0" w:color="000000"/>
            </w:tcBorders>
            <w:shd w:val="clear" w:color="auto" w:fill="auto"/>
            <w:vAlign w:val="center"/>
          </w:tcPr>
          <w:p w14:paraId="7D3994B0" w14:textId="77777777" w:rsidR="00E03711" w:rsidRPr="00F769E0" w:rsidRDefault="00E03711" w:rsidP="00575E4C">
            <w:pPr>
              <w:pStyle w:val="Guide-Table"/>
              <w:spacing w:before="60" w:after="60"/>
              <w:jc w:val="left"/>
              <w:rPr>
                <w:rFonts w:cs="Tahoma"/>
                <w:b/>
                <w:sz w:val="2"/>
                <w:szCs w:val="2"/>
                <w:lang w:val="sl-SI" w:eastAsia="en-GB"/>
              </w:rPr>
            </w:pPr>
          </w:p>
        </w:tc>
        <w:tc>
          <w:tcPr>
            <w:tcW w:w="40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B1" w14:textId="77777777" w:rsidR="00E03711" w:rsidRPr="00F769E0" w:rsidRDefault="00E03711" w:rsidP="00575E4C">
            <w:pPr>
              <w:pStyle w:val="Guide-Table"/>
              <w:spacing w:before="60" w:after="60"/>
              <w:rPr>
                <w:rFonts w:cs="Tahoma"/>
                <w:b/>
                <w:lang w:val="sl-SI" w:eastAsia="en-GB"/>
              </w:rPr>
            </w:pPr>
            <w:r w:rsidRPr="00F769E0">
              <w:rPr>
                <w:rFonts w:cs="Tahoma"/>
                <w:b/>
                <w:lang w:val="sl-SI" w:eastAsia="en-GB"/>
              </w:rPr>
              <w:t>B2.1</w:t>
            </w:r>
          </w:p>
        </w:tc>
        <w:tc>
          <w:tcPr>
            <w:tcW w:w="80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B2" w14:textId="77777777" w:rsidR="00E03711" w:rsidRPr="00F769E0" w:rsidRDefault="00E03711" w:rsidP="00575E4C">
            <w:pPr>
              <w:pStyle w:val="Guide-Table"/>
              <w:spacing w:before="60" w:after="60"/>
              <w:rPr>
                <w:rFonts w:cs="Tahoma"/>
                <w:b/>
                <w:lang w:val="sl-SI" w:eastAsia="en-GB"/>
              </w:rPr>
            </w:pPr>
            <w:r w:rsidRPr="00F769E0">
              <w:rPr>
                <w:rFonts w:cs="Tahoma"/>
                <w:b/>
                <w:lang w:val="sl-SI" w:eastAsia="en-GB"/>
              </w:rPr>
              <w:t>B2.2</w:t>
            </w:r>
          </w:p>
        </w:tc>
        <w:tc>
          <w:tcPr>
            <w:tcW w:w="40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B3" w14:textId="77777777" w:rsidR="00E03711" w:rsidRPr="00F769E0" w:rsidRDefault="00E03711" w:rsidP="00575E4C">
            <w:pPr>
              <w:pStyle w:val="Guide-Table"/>
              <w:spacing w:before="60" w:after="60"/>
              <w:rPr>
                <w:rFonts w:cs="Tahoma"/>
                <w:b/>
                <w:lang w:val="sl-SI" w:eastAsia="en-GB"/>
              </w:rPr>
            </w:pPr>
            <w:r w:rsidRPr="00F769E0">
              <w:rPr>
                <w:rFonts w:cs="Tahoma"/>
                <w:b/>
                <w:lang w:val="sl-SI" w:eastAsia="en-GB"/>
              </w:rPr>
              <w:t>B2.3</w:t>
            </w:r>
          </w:p>
        </w:tc>
        <w:tc>
          <w:tcPr>
            <w:tcW w:w="489"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B4" w14:textId="77777777" w:rsidR="00E03711" w:rsidRPr="00F769E0" w:rsidRDefault="00E03711" w:rsidP="00575E4C">
            <w:pPr>
              <w:pStyle w:val="Guide-Table"/>
              <w:spacing w:before="60" w:after="60"/>
              <w:rPr>
                <w:rFonts w:cs="Tahoma"/>
                <w:b/>
                <w:lang w:val="sl-SI" w:eastAsia="en-GB"/>
              </w:rPr>
            </w:pPr>
            <w:r w:rsidRPr="00F769E0">
              <w:rPr>
                <w:rFonts w:cs="Tahoma"/>
                <w:b/>
                <w:lang w:val="sl-SI" w:eastAsia="en-GB"/>
              </w:rPr>
              <w:t>B2.4</w:t>
            </w:r>
          </w:p>
        </w:tc>
      </w:tr>
      <w:tr w:rsidR="00E03711" w:rsidRPr="008C6F8C" w14:paraId="7D3994BB" w14:textId="77777777" w:rsidTr="00F05D26">
        <w:trPr>
          <w:trHeight w:val="20"/>
        </w:trPr>
        <w:tc>
          <w:tcPr>
            <w:tcW w:w="289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B6" w14:textId="77777777" w:rsidR="00E03711" w:rsidRPr="00F769E0" w:rsidRDefault="00E03711" w:rsidP="00575E4C">
            <w:pPr>
              <w:pStyle w:val="GUIDE-NORMAL"/>
              <w:spacing w:before="60" w:after="60"/>
              <w:jc w:val="left"/>
              <w:rPr>
                <w:rFonts w:cs="Tahoma"/>
                <w:b/>
                <w:lang w:val="sl-SI" w:eastAsia="en-GB"/>
              </w:rPr>
            </w:pPr>
            <w:r w:rsidRPr="00F769E0">
              <w:rPr>
                <w:rFonts w:cs="Tahoma"/>
                <w:b/>
                <w:lang w:val="sl-SI" w:eastAsia="en-GB"/>
              </w:rPr>
              <w:t>Danska, Irska, Luksemburg, Nizozemska, Avstrija, Švedska, Lihtenštajn, Norveška</w:t>
            </w:r>
          </w:p>
        </w:tc>
        <w:tc>
          <w:tcPr>
            <w:tcW w:w="40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B7" w14:textId="77777777" w:rsidR="00E03711" w:rsidRPr="00F769E0" w:rsidRDefault="00E03711" w:rsidP="00575E4C">
            <w:pPr>
              <w:pStyle w:val="Guide-Table"/>
              <w:spacing w:before="60" w:after="60"/>
              <w:rPr>
                <w:rFonts w:cs="Tahoma"/>
                <w:lang w:val="sl-SI" w:eastAsia="en-GB"/>
              </w:rPr>
            </w:pPr>
            <w:r w:rsidRPr="00F769E0">
              <w:rPr>
                <w:rFonts w:cs="Tahoma"/>
                <w:lang w:val="sl-SI" w:eastAsia="en-GB"/>
              </w:rPr>
              <w:t>353</w:t>
            </w:r>
          </w:p>
        </w:tc>
        <w:tc>
          <w:tcPr>
            <w:tcW w:w="80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B8" w14:textId="77777777" w:rsidR="00E03711" w:rsidRPr="00F769E0" w:rsidRDefault="00E03711" w:rsidP="00575E4C">
            <w:pPr>
              <w:pStyle w:val="Guide-Table"/>
              <w:spacing w:before="60" w:after="60"/>
              <w:rPr>
                <w:rFonts w:cs="Tahoma"/>
                <w:lang w:val="sl-SI" w:eastAsia="en-GB"/>
              </w:rPr>
            </w:pPr>
            <w:r w:rsidRPr="00F769E0">
              <w:rPr>
                <w:rFonts w:cs="Tahoma"/>
                <w:lang w:val="sl-SI" w:eastAsia="en-GB"/>
              </w:rPr>
              <w:t>289</w:t>
            </w:r>
          </w:p>
        </w:tc>
        <w:tc>
          <w:tcPr>
            <w:tcW w:w="40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B9" w14:textId="77777777" w:rsidR="00E03711" w:rsidRPr="00F769E0" w:rsidRDefault="00E03711" w:rsidP="00575E4C">
            <w:pPr>
              <w:pStyle w:val="Guide-Table"/>
              <w:spacing w:before="60" w:after="60"/>
              <w:rPr>
                <w:rFonts w:cs="Tahoma"/>
                <w:lang w:val="sl-SI" w:eastAsia="en-GB"/>
              </w:rPr>
            </w:pPr>
            <w:r w:rsidRPr="00F769E0">
              <w:rPr>
                <w:rFonts w:cs="Tahoma"/>
                <w:lang w:val="sl-SI" w:eastAsia="en-GB"/>
              </w:rPr>
              <w:t>228</w:t>
            </w:r>
          </w:p>
        </w:tc>
        <w:tc>
          <w:tcPr>
            <w:tcW w:w="489"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BA" w14:textId="77777777" w:rsidR="00E03711" w:rsidRPr="00F769E0" w:rsidRDefault="00E03711" w:rsidP="00575E4C">
            <w:pPr>
              <w:pStyle w:val="Guide-Table"/>
              <w:spacing w:before="60" w:after="60"/>
              <w:rPr>
                <w:rFonts w:cs="Tahoma"/>
                <w:lang w:val="sl-SI" w:eastAsia="en-GB"/>
              </w:rPr>
            </w:pPr>
            <w:r w:rsidRPr="00F769E0">
              <w:rPr>
                <w:rFonts w:cs="Tahoma"/>
                <w:lang w:val="sl-SI" w:eastAsia="en-GB"/>
              </w:rPr>
              <w:t>189</w:t>
            </w:r>
          </w:p>
        </w:tc>
      </w:tr>
      <w:tr w:rsidR="00E03711" w:rsidRPr="008C6F8C" w14:paraId="7D3994C1" w14:textId="77777777" w:rsidTr="00F05D26">
        <w:trPr>
          <w:trHeight w:val="20"/>
        </w:trPr>
        <w:tc>
          <w:tcPr>
            <w:tcW w:w="289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BC" w14:textId="77777777" w:rsidR="00E03711" w:rsidRPr="00F769E0" w:rsidRDefault="00E03711" w:rsidP="00575E4C">
            <w:pPr>
              <w:pStyle w:val="GUIDE-NORMAL"/>
              <w:spacing w:before="60" w:after="60"/>
              <w:jc w:val="left"/>
              <w:rPr>
                <w:rFonts w:cs="Tahoma"/>
                <w:b/>
                <w:lang w:val="sl-SI" w:eastAsia="en-GB"/>
              </w:rPr>
            </w:pPr>
            <w:r w:rsidRPr="00F769E0">
              <w:rPr>
                <w:rFonts w:cs="Tahoma"/>
                <w:b/>
                <w:lang w:val="sl-SI" w:eastAsia="en-GB"/>
              </w:rPr>
              <w:t>Belgija, Nemčija, Francija, Italija, Finska, Združeno kraljestvo, Islandija</w:t>
            </w:r>
          </w:p>
        </w:tc>
        <w:tc>
          <w:tcPr>
            <w:tcW w:w="40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BD" w14:textId="77777777" w:rsidR="00E03711" w:rsidRPr="00F769E0" w:rsidRDefault="00E03711" w:rsidP="00575E4C">
            <w:pPr>
              <w:pStyle w:val="Guide-Table"/>
              <w:spacing w:before="60" w:after="60"/>
              <w:rPr>
                <w:rFonts w:cs="Tahoma"/>
                <w:lang w:val="sl-SI" w:eastAsia="en-GB"/>
              </w:rPr>
            </w:pPr>
            <w:r w:rsidRPr="00F769E0">
              <w:rPr>
                <w:rFonts w:cs="Tahoma"/>
                <w:lang w:val="sl-SI" w:eastAsia="en-GB"/>
              </w:rPr>
              <w:t>336</w:t>
            </w:r>
          </w:p>
        </w:tc>
        <w:tc>
          <w:tcPr>
            <w:tcW w:w="80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BE" w14:textId="77777777" w:rsidR="00E03711" w:rsidRPr="00F769E0" w:rsidRDefault="00E03711" w:rsidP="00575E4C">
            <w:pPr>
              <w:pStyle w:val="Guide-Table"/>
              <w:spacing w:before="60" w:after="60"/>
              <w:rPr>
                <w:rFonts w:cs="Tahoma"/>
                <w:lang w:val="sl-SI" w:eastAsia="en-GB"/>
              </w:rPr>
            </w:pPr>
            <w:r w:rsidRPr="00F769E0">
              <w:rPr>
                <w:rFonts w:cs="Tahoma"/>
                <w:lang w:val="sl-SI" w:eastAsia="en-GB"/>
              </w:rPr>
              <w:t>257</w:t>
            </w:r>
          </w:p>
        </w:tc>
        <w:tc>
          <w:tcPr>
            <w:tcW w:w="40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BF" w14:textId="77777777" w:rsidR="00E03711" w:rsidRPr="00F769E0" w:rsidRDefault="00E03711" w:rsidP="00575E4C">
            <w:pPr>
              <w:pStyle w:val="Guide-Table"/>
              <w:spacing w:before="60" w:after="60"/>
              <w:rPr>
                <w:rFonts w:cs="Tahoma"/>
                <w:lang w:val="sl-SI" w:eastAsia="en-GB"/>
              </w:rPr>
            </w:pPr>
            <w:r w:rsidRPr="00F769E0">
              <w:rPr>
                <w:rFonts w:cs="Tahoma"/>
                <w:lang w:val="sl-SI" w:eastAsia="en-GB"/>
              </w:rPr>
              <w:t>194</w:t>
            </w:r>
          </w:p>
        </w:tc>
        <w:tc>
          <w:tcPr>
            <w:tcW w:w="489"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C0" w14:textId="77777777" w:rsidR="00E03711" w:rsidRPr="00F769E0" w:rsidRDefault="00E03711" w:rsidP="00575E4C">
            <w:pPr>
              <w:pStyle w:val="Guide-Table"/>
              <w:spacing w:before="60" w:after="60"/>
              <w:rPr>
                <w:rFonts w:cs="Tahoma"/>
                <w:lang w:val="sl-SI" w:eastAsia="en-GB"/>
              </w:rPr>
            </w:pPr>
            <w:r w:rsidRPr="00F769E0">
              <w:rPr>
                <w:rFonts w:cs="Tahoma"/>
                <w:lang w:val="sl-SI" w:eastAsia="en-GB"/>
              </w:rPr>
              <w:t>157</w:t>
            </w:r>
          </w:p>
        </w:tc>
      </w:tr>
      <w:tr w:rsidR="00E03711" w:rsidRPr="008C6F8C" w14:paraId="7D3994C7" w14:textId="77777777" w:rsidTr="00F05D26">
        <w:trPr>
          <w:trHeight w:val="20"/>
        </w:trPr>
        <w:tc>
          <w:tcPr>
            <w:tcW w:w="289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C2" w14:textId="77777777" w:rsidR="00E03711" w:rsidRPr="00F769E0" w:rsidRDefault="00E03711" w:rsidP="00575E4C">
            <w:pPr>
              <w:pStyle w:val="GUIDE-NORMAL"/>
              <w:spacing w:before="60" w:after="60"/>
              <w:jc w:val="left"/>
              <w:rPr>
                <w:rFonts w:cs="Tahoma"/>
                <w:b/>
                <w:lang w:val="sl-SI" w:eastAsia="en-GB"/>
              </w:rPr>
            </w:pPr>
            <w:r w:rsidRPr="00F769E0">
              <w:rPr>
                <w:rFonts w:cs="Tahoma"/>
                <w:b/>
                <w:lang w:val="sl-SI" w:eastAsia="en-GB"/>
              </w:rPr>
              <w:t>Češka, Grčija, Španija, Ciper, Malta, Portugalska, Slovenija</w:t>
            </w:r>
          </w:p>
        </w:tc>
        <w:tc>
          <w:tcPr>
            <w:tcW w:w="40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C3" w14:textId="77777777" w:rsidR="00E03711" w:rsidRPr="00F769E0" w:rsidRDefault="00E03711" w:rsidP="00575E4C">
            <w:pPr>
              <w:pStyle w:val="Guide-Table"/>
              <w:spacing w:before="60" w:after="60"/>
              <w:rPr>
                <w:rFonts w:cs="Tahoma"/>
                <w:lang w:val="sl-SI" w:eastAsia="en-GB"/>
              </w:rPr>
            </w:pPr>
            <w:r w:rsidRPr="00F769E0">
              <w:rPr>
                <w:rFonts w:cs="Tahoma"/>
                <w:lang w:val="sl-SI" w:eastAsia="en-GB"/>
              </w:rPr>
              <w:t>197</w:t>
            </w:r>
          </w:p>
        </w:tc>
        <w:tc>
          <w:tcPr>
            <w:tcW w:w="80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C4" w14:textId="77777777" w:rsidR="00E03711" w:rsidRPr="00F769E0" w:rsidRDefault="00E03711" w:rsidP="00575E4C">
            <w:pPr>
              <w:pStyle w:val="Guide-Table"/>
              <w:spacing w:before="60" w:after="60"/>
              <w:rPr>
                <w:rFonts w:cs="Tahoma"/>
                <w:lang w:val="sl-SI" w:eastAsia="en-GB"/>
              </w:rPr>
            </w:pPr>
            <w:r w:rsidRPr="00F769E0">
              <w:rPr>
                <w:rFonts w:cs="Tahoma"/>
                <w:lang w:val="sl-SI" w:eastAsia="en-GB"/>
              </w:rPr>
              <w:t>164</w:t>
            </w:r>
          </w:p>
        </w:tc>
        <w:tc>
          <w:tcPr>
            <w:tcW w:w="40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C5" w14:textId="77777777" w:rsidR="00E03711" w:rsidRPr="00F769E0" w:rsidRDefault="00E03711" w:rsidP="00575E4C">
            <w:pPr>
              <w:pStyle w:val="Guide-Table"/>
              <w:spacing w:before="60" w:after="60"/>
              <w:rPr>
                <w:rFonts w:cs="Tahoma"/>
                <w:lang w:val="sl-SI" w:eastAsia="en-GB"/>
              </w:rPr>
            </w:pPr>
            <w:r w:rsidRPr="00F769E0">
              <w:rPr>
                <w:rFonts w:cs="Tahoma"/>
                <w:lang w:val="sl-SI" w:eastAsia="en-GB"/>
              </w:rPr>
              <w:t>122</w:t>
            </w:r>
          </w:p>
        </w:tc>
        <w:tc>
          <w:tcPr>
            <w:tcW w:w="489"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3994C6" w14:textId="77777777" w:rsidR="00E03711" w:rsidRPr="00F769E0" w:rsidRDefault="00E03711" w:rsidP="00575E4C">
            <w:pPr>
              <w:pStyle w:val="Guide-Table"/>
              <w:spacing w:before="60" w:after="60"/>
              <w:rPr>
                <w:rFonts w:cs="Tahoma"/>
                <w:lang w:val="sl-SI" w:eastAsia="en-GB"/>
              </w:rPr>
            </w:pPr>
            <w:r w:rsidRPr="00F769E0">
              <w:rPr>
                <w:rFonts w:cs="Tahoma"/>
                <w:lang w:val="sl-SI" w:eastAsia="en-GB"/>
              </w:rPr>
              <w:t>93</w:t>
            </w:r>
          </w:p>
        </w:tc>
      </w:tr>
      <w:tr w:rsidR="00E03711" w:rsidRPr="008C6F8C" w14:paraId="7D3994CD" w14:textId="77777777" w:rsidTr="00F05D26">
        <w:trPr>
          <w:trHeight w:val="20"/>
        </w:trPr>
        <w:tc>
          <w:tcPr>
            <w:tcW w:w="2896" w:type="pct"/>
            <w:tcBorders>
              <w:top w:val="single" w:sz="6" w:space="0" w:color="000000"/>
              <w:left w:val="single" w:sz="6" w:space="0" w:color="000000"/>
              <w:bottom w:val="single" w:sz="4" w:space="0" w:color="000000"/>
              <w:right w:val="single" w:sz="6" w:space="0" w:color="000000"/>
            </w:tcBorders>
            <w:shd w:val="clear" w:color="auto" w:fill="auto"/>
            <w:vAlign w:val="center"/>
          </w:tcPr>
          <w:p w14:paraId="7D3994C8" w14:textId="77777777" w:rsidR="00E03711" w:rsidRPr="00F769E0" w:rsidRDefault="00E03711">
            <w:pPr>
              <w:pStyle w:val="GUIDE-NORMAL"/>
              <w:spacing w:before="60" w:after="60"/>
              <w:jc w:val="left"/>
              <w:rPr>
                <w:rFonts w:cs="Tahoma"/>
                <w:b/>
                <w:lang w:val="sl-SI" w:eastAsia="en-GB"/>
              </w:rPr>
            </w:pPr>
            <w:r w:rsidRPr="00F769E0">
              <w:rPr>
                <w:rFonts w:cs="Tahoma"/>
                <w:b/>
                <w:lang w:val="sl-SI" w:eastAsia="en-GB"/>
              </w:rPr>
              <w:t xml:space="preserve">Bolgarija, Estonija, Hrvaška, Latvija, Litva, Madžarska, Poljska, Romunija, Slovaška, Srbija, </w:t>
            </w:r>
            <w:r>
              <w:rPr>
                <w:rFonts w:cs="Tahoma"/>
                <w:b/>
                <w:lang w:val="sl-SI" w:eastAsia="en-GB"/>
              </w:rPr>
              <w:t>R</w:t>
            </w:r>
            <w:r w:rsidRPr="00F769E0">
              <w:rPr>
                <w:rFonts w:cs="Tahoma"/>
                <w:b/>
                <w:lang w:val="sl-SI" w:eastAsia="en-GB"/>
              </w:rPr>
              <w:t xml:space="preserve">epublika </w:t>
            </w:r>
            <w:r>
              <w:rPr>
                <w:rFonts w:cs="Tahoma"/>
                <w:b/>
                <w:lang w:val="sl-SI" w:eastAsia="en-GB"/>
              </w:rPr>
              <w:t xml:space="preserve">Severna </w:t>
            </w:r>
            <w:r w:rsidRPr="00F769E0">
              <w:rPr>
                <w:rFonts w:cs="Tahoma"/>
                <w:b/>
                <w:lang w:val="sl-SI" w:eastAsia="en-GB"/>
              </w:rPr>
              <w:t>Makedonija, Turčija</w:t>
            </w:r>
          </w:p>
        </w:tc>
        <w:tc>
          <w:tcPr>
            <w:tcW w:w="404" w:type="pct"/>
            <w:tcBorders>
              <w:top w:val="single" w:sz="6" w:space="0" w:color="000000"/>
              <w:left w:val="single" w:sz="6" w:space="0" w:color="000000"/>
              <w:bottom w:val="single" w:sz="4" w:space="0" w:color="000000"/>
              <w:right w:val="single" w:sz="6" w:space="0" w:color="000000"/>
            </w:tcBorders>
            <w:shd w:val="clear" w:color="auto" w:fill="auto"/>
            <w:vAlign w:val="center"/>
          </w:tcPr>
          <w:p w14:paraId="7D3994C9" w14:textId="77777777" w:rsidR="00E03711" w:rsidRPr="00F769E0" w:rsidRDefault="00E03711" w:rsidP="00575E4C">
            <w:pPr>
              <w:pStyle w:val="Guide-Table"/>
              <w:spacing w:before="60" w:after="60"/>
              <w:rPr>
                <w:rFonts w:cs="Tahoma"/>
                <w:lang w:val="sl-SI" w:eastAsia="en-GB"/>
              </w:rPr>
            </w:pPr>
            <w:r w:rsidRPr="00F769E0">
              <w:rPr>
                <w:rFonts w:cs="Tahoma"/>
                <w:lang w:val="sl-SI" w:eastAsia="en-GB"/>
              </w:rPr>
              <w:t>106</w:t>
            </w:r>
          </w:p>
        </w:tc>
        <w:tc>
          <w:tcPr>
            <w:tcW w:w="808" w:type="pct"/>
            <w:tcBorders>
              <w:top w:val="single" w:sz="6" w:space="0" w:color="000000"/>
              <w:left w:val="single" w:sz="6" w:space="0" w:color="000000"/>
              <w:bottom w:val="single" w:sz="4" w:space="0" w:color="000000"/>
              <w:right w:val="single" w:sz="6" w:space="0" w:color="000000"/>
            </w:tcBorders>
            <w:shd w:val="clear" w:color="auto" w:fill="auto"/>
            <w:vAlign w:val="center"/>
          </w:tcPr>
          <w:p w14:paraId="7D3994CA" w14:textId="77777777" w:rsidR="00E03711" w:rsidRPr="00F769E0" w:rsidRDefault="00E03711" w:rsidP="00575E4C">
            <w:pPr>
              <w:pStyle w:val="Guide-Table"/>
              <w:spacing w:before="60" w:after="60"/>
              <w:rPr>
                <w:rFonts w:cs="Tahoma"/>
                <w:lang w:val="sl-SI" w:eastAsia="en-GB"/>
              </w:rPr>
            </w:pPr>
            <w:r w:rsidRPr="00F769E0">
              <w:rPr>
                <w:rFonts w:cs="Tahoma"/>
                <w:lang w:val="sl-SI" w:eastAsia="en-GB"/>
              </w:rPr>
              <w:t>88</w:t>
            </w:r>
          </w:p>
        </w:tc>
        <w:tc>
          <w:tcPr>
            <w:tcW w:w="403" w:type="pct"/>
            <w:tcBorders>
              <w:top w:val="single" w:sz="6" w:space="0" w:color="000000"/>
              <w:left w:val="single" w:sz="6" w:space="0" w:color="000000"/>
              <w:bottom w:val="single" w:sz="4" w:space="0" w:color="000000"/>
              <w:right w:val="single" w:sz="6" w:space="0" w:color="000000"/>
            </w:tcBorders>
            <w:shd w:val="clear" w:color="auto" w:fill="auto"/>
            <w:vAlign w:val="center"/>
          </w:tcPr>
          <w:p w14:paraId="7D3994CB" w14:textId="77777777" w:rsidR="00E03711" w:rsidRPr="00F769E0" w:rsidRDefault="00E03711" w:rsidP="00575E4C">
            <w:pPr>
              <w:pStyle w:val="Guide-Table"/>
              <w:spacing w:before="60" w:after="60"/>
              <w:rPr>
                <w:rFonts w:cs="Tahoma"/>
                <w:lang w:val="sl-SI" w:eastAsia="en-GB"/>
              </w:rPr>
            </w:pPr>
            <w:r w:rsidRPr="00F769E0">
              <w:rPr>
                <w:rFonts w:cs="Tahoma"/>
                <w:lang w:val="sl-SI" w:eastAsia="en-GB"/>
              </w:rPr>
              <w:t>66</w:t>
            </w:r>
          </w:p>
        </w:tc>
        <w:tc>
          <w:tcPr>
            <w:tcW w:w="489" w:type="pct"/>
            <w:tcBorders>
              <w:top w:val="single" w:sz="6" w:space="0" w:color="000000"/>
              <w:left w:val="single" w:sz="6" w:space="0" w:color="000000"/>
              <w:bottom w:val="single" w:sz="4" w:space="0" w:color="000000"/>
              <w:right w:val="single" w:sz="6" w:space="0" w:color="000000"/>
            </w:tcBorders>
            <w:shd w:val="clear" w:color="auto" w:fill="auto"/>
            <w:vAlign w:val="center"/>
          </w:tcPr>
          <w:p w14:paraId="7D3994CC" w14:textId="77777777" w:rsidR="00E03711" w:rsidRPr="00F769E0" w:rsidRDefault="00E03711" w:rsidP="00575E4C">
            <w:pPr>
              <w:pStyle w:val="Guide-Table"/>
              <w:spacing w:before="60" w:after="60"/>
              <w:rPr>
                <w:rFonts w:cs="Tahoma"/>
                <w:lang w:val="sl-SI" w:eastAsia="en-GB"/>
              </w:rPr>
            </w:pPr>
            <w:r w:rsidRPr="00F769E0">
              <w:rPr>
                <w:rFonts w:cs="Tahoma"/>
                <w:lang w:val="sl-SI" w:eastAsia="en-GB"/>
              </w:rPr>
              <w:t>47</w:t>
            </w:r>
          </w:p>
        </w:tc>
      </w:tr>
    </w:tbl>
    <w:p w14:paraId="7D3994CE" w14:textId="77777777" w:rsidR="00E03711" w:rsidRPr="001048FE" w:rsidRDefault="00E03711">
      <w:pPr>
        <w:widowControl/>
        <w:suppressAutoHyphens w:val="0"/>
        <w:autoSpaceDN/>
        <w:textAlignment w:val="auto"/>
        <w:rPr>
          <w:rFonts w:eastAsia="Times New Roman"/>
          <w:b/>
          <w:smallCaps/>
          <w:sz w:val="20"/>
          <w:szCs w:val="28"/>
          <w:lang w:val="sl-SI"/>
        </w:rPr>
      </w:pPr>
    </w:p>
    <w:p w14:paraId="7D3994CF" w14:textId="77777777" w:rsidR="00E03711" w:rsidRDefault="00E03711">
      <w:pPr>
        <w:widowControl/>
        <w:suppressAutoHyphens w:val="0"/>
        <w:autoSpaceDN/>
        <w:textAlignment w:val="auto"/>
        <w:rPr>
          <w:rFonts w:eastAsia="Times New Roman" w:cs="Times New Roman"/>
          <w:b/>
          <w:smallCaps/>
          <w:sz w:val="20"/>
          <w:szCs w:val="28"/>
          <w:lang w:val="sl-SI"/>
        </w:rPr>
      </w:pPr>
      <w:r>
        <w:rPr>
          <w:lang w:val="sl-SI"/>
        </w:rPr>
        <w:br w:type="page"/>
      </w:r>
    </w:p>
    <w:p w14:paraId="7D3994D0" w14:textId="77777777" w:rsidR="00E03711" w:rsidRPr="001048FE" w:rsidRDefault="00E03711" w:rsidP="00780CE3">
      <w:pPr>
        <w:pStyle w:val="Guide-Heading6"/>
        <w:rPr>
          <w:lang w:val="sl-SI"/>
        </w:rPr>
      </w:pPr>
      <w:r w:rsidRPr="001048FE">
        <w:rPr>
          <w:lang w:val="sl-SI"/>
        </w:rPr>
        <w:t>Preglednica B – Izvajanje projekta (zneski v EUR na dan) v partnerskih državah</w:t>
      </w:r>
    </w:p>
    <w:p w14:paraId="7D3994D1" w14:textId="77777777" w:rsidR="00E03711" w:rsidRPr="001048FE" w:rsidRDefault="00E03711" w:rsidP="00780CE3">
      <w:pPr>
        <w:pStyle w:val="GUIDE-NORMAL"/>
        <w:rPr>
          <w:lang w:val="sl-SI"/>
        </w:rPr>
      </w:pPr>
      <w:r w:rsidRPr="001048FE">
        <w:rPr>
          <w:lang w:val="sl-SI"/>
        </w:rPr>
        <w:t>Zneski so odvisni od: a) profila osebja, ki je vključeno v projekt, in b) države sodelujoče organizacije, iz katere prihaja to osebje.</w:t>
      </w:r>
    </w:p>
    <w:tbl>
      <w:tblPr>
        <w:tblW w:w="5002" w:type="pct"/>
        <w:tblLayout w:type="fixed"/>
        <w:tblLook w:val="0000" w:firstRow="0" w:lastRow="0" w:firstColumn="0" w:lastColumn="0" w:noHBand="0" w:noVBand="0"/>
      </w:tblPr>
      <w:tblGrid>
        <w:gridCol w:w="8322"/>
        <w:gridCol w:w="1387"/>
        <w:gridCol w:w="1757"/>
        <w:gridCol w:w="1664"/>
        <w:gridCol w:w="1664"/>
      </w:tblGrid>
      <w:tr w:rsidR="00E03711" w:rsidRPr="008C6F8C" w14:paraId="7D3994D7" w14:textId="77777777" w:rsidTr="00204511">
        <w:trPr>
          <w:trHeight w:val="20"/>
        </w:trPr>
        <w:tc>
          <w:tcPr>
            <w:tcW w:w="5102" w:type="dxa"/>
            <w:vMerge w:val="restart"/>
            <w:tcBorders>
              <w:top w:val="none" w:sz="6" w:space="0" w:color="auto"/>
              <w:left w:val="none" w:sz="6" w:space="0" w:color="auto"/>
              <w:bottom w:val="single" w:sz="6" w:space="0" w:color="000000"/>
              <w:right w:val="single" w:sz="6" w:space="0" w:color="000000"/>
            </w:tcBorders>
            <w:shd w:val="clear" w:color="auto" w:fill="auto"/>
            <w:vAlign w:val="center"/>
          </w:tcPr>
          <w:p w14:paraId="7D3994D2" w14:textId="77777777" w:rsidR="00E03711" w:rsidRPr="00F769E0" w:rsidRDefault="00E03711" w:rsidP="007801CB">
            <w:pPr>
              <w:pStyle w:val="Guide-Table"/>
              <w:jc w:val="left"/>
              <w:rPr>
                <w:rFonts w:cs="Tahoma"/>
                <w:lang w:val="sl-SI" w:eastAsia="en-GB"/>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D3" w14:textId="77777777" w:rsidR="00E03711" w:rsidRPr="00F769E0" w:rsidRDefault="00E03711" w:rsidP="00780CE3">
            <w:pPr>
              <w:pStyle w:val="GUIDE-NORMAL"/>
              <w:spacing w:before="60" w:after="60"/>
              <w:jc w:val="center"/>
              <w:rPr>
                <w:rFonts w:cs="Tahoma"/>
                <w:b/>
                <w:lang w:val="sl-SI" w:eastAsia="en-GB"/>
              </w:rPr>
            </w:pPr>
            <w:r w:rsidRPr="00F769E0">
              <w:rPr>
                <w:rFonts w:cs="Tahoma"/>
                <w:b/>
                <w:lang w:val="sl-SI" w:eastAsia="en-GB"/>
              </w:rPr>
              <w:t>Mene-džer</w:t>
            </w:r>
          </w:p>
        </w:tc>
        <w:tc>
          <w:tcPr>
            <w:tcW w:w="1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D4" w14:textId="77777777" w:rsidR="00E03711" w:rsidRPr="00F769E0" w:rsidRDefault="00E03711" w:rsidP="00780CE3">
            <w:pPr>
              <w:pStyle w:val="GUIDE-NORMAL"/>
              <w:spacing w:before="60" w:after="60"/>
              <w:jc w:val="center"/>
              <w:rPr>
                <w:rFonts w:cs="Tahoma"/>
                <w:b/>
                <w:lang w:val="sl-SI" w:eastAsia="en-GB"/>
              </w:rPr>
            </w:pPr>
            <w:r w:rsidRPr="00F769E0">
              <w:rPr>
                <w:rFonts w:cs="Tahoma"/>
                <w:b/>
                <w:lang w:val="sl-SI" w:eastAsia="en-GB"/>
              </w:rPr>
              <w:t>Učitelj/</w:t>
            </w:r>
            <w:r w:rsidRPr="00F769E0">
              <w:rPr>
                <w:rFonts w:cs="Tahoma"/>
                <w:b/>
                <w:lang w:val="sl-SI" w:eastAsia="en-GB"/>
              </w:rPr>
              <w:br/>
              <w:t>vodja usposabljanja/raziskovalec</w:t>
            </w:r>
          </w:p>
        </w:tc>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D5" w14:textId="77777777" w:rsidR="00E03711" w:rsidRPr="00F769E0" w:rsidRDefault="00E03711" w:rsidP="00780CE3">
            <w:pPr>
              <w:pStyle w:val="GUIDE-NORMAL"/>
              <w:spacing w:before="60" w:after="60"/>
              <w:jc w:val="center"/>
              <w:rPr>
                <w:rFonts w:cs="Tahoma"/>
                <w:b/>
                <w:lang w:val="sl-SI" w:eastAsia="en-GB"/>
              </w:rPr>
            </w:pPr>
            <w:r w:rsidRPr="00F769E0">
              <w:rPr>
                <w:rFonts w:cs="Tahoma"/>
                <w:b/>
                <w:lang w:val="sl-SI" w:eastAsia="en-GB"/>
              </w:rPr>
              <w:t>Tehnično osebje</w:t>
            </w:r>
          </w:p>
        </w:tc>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D6" w14:textId="77777777" w:rsidR="00E03711" w:rsidRPr="00F769E0" w:rsidRDefault="00E03711" w:rsidP="00780CE3">
            <w:pPr>
              <w:pStyle w:val="GUIDE-NORMAL"/>
              <w:spacing w:before="60" w:after="60"/>
              <w:jc w:val="center"/>
              <w:rPr>
                <w:rFonts w:cs="Tahoma"/>
                <w:b/>
                <w:lang w:val="sl-SI" w:eastAsia="en-GB"/>
              </w:rPr>
            </w:pPr>
            <w:r w:rsidRPr="00F769E0">
              <w:rPr>
                <w:rFonts w:cs="Tahoma"/>
                <w:b/>
                <w:lang w:val="sl-SI" w:eastAsia="en-GB"/>
              </w:rPr>
              <w:t>Administrativno osebje</w:t>
            </w:r>
          </w:p>
        </w:tc>
      </w:tr>
      <w:tr w:rsidR="00E03711" w:rsidRPr="008C6F8C" w14:paraId="7D3994DD" w14:textId="77777777" w:rsidTr="00204511">
        <w:trPr>
          <w:trHeight w:val="20"/>
        </w:trPr>
        <w:tc>
          <w:tcPr>
            <w:tcW w:w="5102" w:type="dxa"/>
            <w:vMerge/>
            <w:tcBorders>
              <w:top w:val="nil"/>
              <w:left w:val="none" w:sz="6" w:space="0" w:color="auto"/>
              <w:bottom w:val="single" w:sz="6" w:space="0" w:color="000000"/>
              <w:right w:val="single" w:sz="6" w:space="0" w:color="000000"/>
            </w:tcBorders>
            <w:shd w:val="clear" w:color="auto" w:fill="auto"/>
            <w:vAlign w:val="center"/>
          </w:tcPr>
          <w:p w14:paraId="7D3994D8" w14:textId="77777777" w:rsidR="00E03711" w:rsidRPr="00F769E0" w:rsidRDefault="00E03711" w:rsidP="007801CB">
            <w:pPr>
              <w:pStyle w:val="Guide-Table"/>
              <w:jc w:val="left"/>
              <w:rPr>
                <w:rFonts w:cs="Tahoma"/>
                <w:sz w:val="2"/>
                <w:szCs w:val="2"/>
                <w:lang w:val="sl-SI" w:eastAsia="en-GB"/>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D9" w14:textId="77777777" w:rsidR="00E03711" w:rsidRPr="00F769E0" w:rsidRDefault="00E03711" w:rsidP="007801CB">
            <w:pPr>
              <w:pStyle w:val="Guide-Table"/>
              <w:rPr>
                <w:rFonts w:cs="Tahoma"/>
                <w:b/>
                <w:lang w:val="sl-SI" w:eastAsia="en-GB"/>
              </w:rPr>
            </w:pPr>
            <w:r w:rsidRPr="00F769E0">
              <w:rPr>
                <w:rFonts w:cs="Tahoma"/>
                <w:b/>
                <w:lang w:val="sl-SI" w:eastAsia="en-GB"/>
              </w:rPr>
              <w:t>B2.1</w:t>
            </w:r>
          </w:p>
        </w:tc>
        <w:tc>
          <w:tcPr>
            <w:tcW w:w="1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DA" w14:textId="77777777" w:rsidR="00E03711" w:rsidRPr="00F769E0" w:rsidRDefault="00E03711" w:rsidP="007801CB">
            <w:pPr>
              <w:pStyle w:val="Guide-Table"/>
              <w:rPr>
                <w:rFonts w:cs="Tahoma"/>
                <w:b/>
                <w:lang w:val="sl-SI" w:eastAsia="en-GB"/>
              </w:rPr>
            </w:pPr>
            <w:r w:rsidRPr="00F769E0">
              <w:rPr>
                <w:rFonts w:cs="Tahoma"/>
                <w:b/>
                <w:lang w:val="sl-SI" w:eastAsia="en-GB"/>
              </w:rPr>
              <w:t>B2.2</w:t>
            </w:r>
          </w:p>
        </w:tc>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DB" w14:textId="77777777" w:rsidR="00E03711" w:rsidRPr="00F769E0" w:rsidRDefault="00E03711" w:rsidP="007801CB">
            <w:pPr>
              <w:pStyle w:val="Guide-Table"/>
              <w:rPr>
                <w:rFonts w:cs="Tahoma"/>
                <w:b/>
                <w:lang w:val="sl-SI" w:eastAsia="en-GB"/>
              </w:rPr>
            </w:pPr>
            <w:r w:rsidRPr="00F769E0">
              <w:rPr>
                <w:rFonts w:cs="Tahoma"/>
                <w:b/>
                <w:lang w:val="sl-SI" w:eastAsia="en-GB"/>
              </w:rPr>
              <w:t>B2.3</w:t>
            </w:r>
          </w:p>
        </w:tc>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DC" w14:textId="77777777" w:rsidR="00E03711" w:rsidRPr="00F769E0" w:rsidRDefault="00E03711" w:rsidP="007801CB">
            <w:pPr>
              <w:pStyle w:val="Guide-Table"/>
              <w:rPr>
                <w:rFonts w:cs="Tahoma"/>
                <w:b/>
                <w:lang w:val="sl-SI" w:eastAsia="en-GB"/>
              </w:rPr>
            </w:pPr>
            <w:r w:rsidRPr="00F769E0">
              <w:rPr>
                <w:rFonts w:cs="Tahoma"/>
                <w:b/>
                <w:lang w:val="sl-SI" w:eastAsia="en-GB"/>
              </w:rPr>
              <w:t>B2.4</w:t>
            </w:r>
          </w:p>
        </w:tc>
      </w:tr>
      <w:tr w:rsidR="00E03711" w:rsidRPr="008C6F8C" w14:paraId="7D3994E3" w14:textId="77777777" w:rsidTr="00204511">
        <w:trPr>
          <w:trHeight w:val="20"/>
        </w:trPr>
        <w:tc>
          <w:tcPr>
            <w:tcW w:w="51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DE" w14:textId="77777777" w:rsidR="00E03711" w:rsidRPr="001048FE" w:rsidRDefault="00E03711" w:rsidP="00780CE3">
            <w:pPr>
              <w:pStyle w:val="GUIDE-NORMAL"/>
              <w:spacing w:before="60" w:after="60"/>
              <w:jc w:val="left"/>
              <w:rPr>
                <w:rStyle w:val="Guide-Condensed-02"/>
                <w:rFonts w:ascii="Helvetica" w:hAnsi="Helvetica"/>
                <w:b/>
                <w:spacing w:val="0"/>
                <w:kern w:val="0"/>
                <w:sz w:val="11"/>
                <w:szCs w:val="11"/>
                <w:lang w:val="sl-SI" w:eastAsia="fr-FR"/>
              </w:rPr>
            </w:pPr>
            <w:r w:rsidRPr="00F769E0">
              <w:rPr>
                <w:rFonts w:cs="Tahoma"/>
                <w:b/>
                <w:lang w:val="sl-SI" w:eastAsia="en-GB"/>
              </w:rPr>
              <w:t>Avstralija, Kanada, Kuvajt, Macao, Monako, Katar, San Marino, Švica, Združene države Amerike</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DF" w14:textId="77777777" w:rsidR="00E03711" w:rsidRPr="00F769E0" w:rsidRDefault="00E03711" w:rsidP="00780CE3">
            <w:pPr>
              <w:pStyle w:val="Guide-Table"/>
              <w:spacing w:before="60" w:after="60"/>
              <w:rPr>
                <w:rFonts w:cs="Tahoma"/>
                <w:lang w:val="sl-SI" w:eastAsia="en-GB"/>
              </w:rPr>
            </w:pPr>
            <w:r w:rsidRPr="00F769E0">
              <w:rPr>
                <w:rFonts w:cs="Tahoma"/>
                <w:lang w:val="sl-SI" w:eastAsia="en-GB"/>
              </w:rPr>
              <w:t>353</w:t>
            </w:r>
          </w:p>
        </w:tc>
        <w:tc>
          <w:tcPr>
            <w:tcW w:w="1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E0" w14:textId="77777777" w:rsidR="00E03711" w:rsidRPr="00F769E0" w:rsidRDefault="00E03711" w:rsidP="00780CE3">
            <w:pPr>
              <w:pStyle w:val="Guide-Table"/>
              <w:spacing w:before="60" w:after="60"/>
              <w:rPr>
                <w:rFonts w:cs="Tahoma"/>
                <w:lang w:val="sl-SI" w:eastAsia="en-GB"/>
              </w:rPr>
            </w:pPr>
            <w:r w:rsidRPr="00F769E0">
              <w:rPr>
                <w:rFonts w:cs="Tahoma"/>
                <w:lang w:val="sl-SI" w:eastAsia="en-GB"/>
              </w:rPr>
              <w:t>289</w:t>
            </w:r>
          </w:p>
        </w:tc>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E1" w14:textId="77777777" w:rsidR="00E03711" w:rsidRPr="00F769E0" w:rsidRDefault="00E03711" w:rsidP="00780CE3">
            <w:pPr>
              <w:pStyle w:val="Guide-Table"/>
              <w:spacing w:before="60" w:after="60"/>
              <w:rPr>
                <w:rFonts w:cs="Tahoma"/>
                <w:lang w:val="sl-SI" w:eastAsia="en-GB"/>
              </w:rPr>
            </w:pPr>
            <w:r w:rsidRPr="00F769E0">
              <w:rPr>
                <w:rFonts w:cs="Tahoma"/>
                <w:lang w:val="sl-SI" w:eastAsia="en-GB"/>
              </w:rPr>
              <w:t>228</w:t>
            </w:r>
          </w:p>
        </w:tc>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E2" w14:textId="77777777" w:rsidR="00E03711" w:rsidRPr="00F769E0" w:rsidRDefault="00E03711" w:rsidP="00780CE3">
            <w:pPr>
              <w:pStyle w:val="Guide-Table"/>
              <w:spacing w:before="60" w:after="60"/>
              <w:rPr>
                <w:rFonts w:cs="Tahoma"/>
                <w:lang w:val="sl-SI" w:eastAsia="en-GB"/>
              </w:rPr>
            </w:pPr>
            <w:r w:rsidRPr="00F769E0">
              <w:rPr>
                <w:rFonts w:cs="Tahoma"/>
                <w:lang w:val="sl-SI" w:eastAsia="en-GB"/>
              </w:rPr>
              <w:t>189</w:t>
            </w:r>
          </w:p>
        </w:tc>
      </w:tr>
      <w:tr w:rsidR="00E03711" w:rsidRPr="008C6F8C" w14:paraId="7D3994E9" w14:textId="77777777" w:rsidTr="00204511">
        <w:trPr>
          <w:trHeight w:val="20"/>
        </w:trPr>
        <w:tc>
          <w:tcPr>
            <w:tcW w:w="51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E4" w14:textId="77777777" w:rsidR="00E03711" w:rsidRPr="001048FE" w:rsidRDefault="00E03711" w:rsidP="00780CE3">
            <w:pPr>
              <w:pStyle w:val="GUIDE-NORMAL"/>
              <w:spacing w:before="60" w:after="60"/>
              <w:jc w:val="left"/>
              <w:rPr>
                <w:rStyle w:val="Guide-Condensed-02"/>
                <w:rFonts w:ascii="Helvetica" w:hAnsi="Helvetica"/>
                <w:b/>
                <w:spacing w:val="0"/>
                <w:kern w:val="0"/>
                <w:sz w:val="11"/>
                <w:szCs w:val="11"/>
                <w:lang w:val="sl-SI" w:eastAsia="fr-FR"/>
              </w:rPr>
            </w:pPr>
            <w:r w:rsidRPr="00F769E0">
              <w:rPr>
                <w:rFonts w:cs="Tahoma"/>
                <w:b/>
                <w:lang w:val="sl-SI" w:eastAsia="en-GB"/>
              </w:rPr>
              <w:t>Andora, Brunej, Japonska, Nova Zelandija, Singapur, Združeni arabski emirati, Vatikanska mestna država</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E5" w14:textId="77777777" w:rsidR="00E03711" w:rsidRPr="00F769E0" w:rsidRDefault="00E03711" w:rsidP="00780CE3">
            <w:pPr>
              <w:pStyle w:val="Guide-Table"/>
              <w:spacing w:before="60" w:after="60"/>
              <w:rPr>
                <w:rFonts w:cs="Tahoma"/>
                <w:lang w:val="sl-SI" w:eastAsia="en-GB"/>
              </w:rPr>
            </w:pPr>
            <w:r w:rsidRPr="00F769E0">
              <w:rPr>
                <w:rFonts w:cs="Tahoma"/>
                <w:lang w:val="sl-SI" w:eastAsia="en-GB"/>
              </w:rPr>
              <w:t>336</w:t>
            </w:r>
          </w:p>
        </w:tc>
        <w:tc>
          <w:tcPr>
            <w:tcW w:w="1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E6" w14:textId="77777777" w:rsidR="00E03711" w:rsidRPr="00F769E0" w:rsidRDefault="00E03711" w:rsidP="00780CE3">
            <w:pPr>
              <w:pStyle w:val="Guide-Table"/>
              <w:spacing w:before="60" w:after="60"/>
              <w:rPr>
                <w:rFonts w:cs="Tahoma"/>
                <w:lang w:val="sl-SI" w:eastAsia="en-GB"/>
              </w:rPr>
            </w:pPr>
            <w:r w:rsidRPr="00F769E0">
              <w:rPr>
                <w:rFonts w:cs="Tahoma"/>
                <w:lang w:val="sl-SI" w:eastAsia="en-GB"/>
              </w:rPr>
              <w:t>257</w:t>
            </w:r>
          </w:p>
        </w:tc>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E7" w14:textId="77777777" w:rsidR="00E03711" w:rsidRPr="00F769E0" w:rsidRDefault="00E03711" w:rsidP="00780CE3">
            <w:pPr>
              <w:pStyle w:val="Guide-Table"/>
              <w:spacing w:before="60" w:after="60"/>
              <w:rPr>
                <w:rFonts w:cs="Tahoma"/>
                <w:lang w:val="sl-SI" w:eastAsia="en-GB"/>
              </w:rPr>
            </w:pPr>
            <w:r w:rsidRPr="00F769E0">
              <w:rPr>
                <w:rFonts w:cs="Tahoma"/>
                <w:lang w:val="sl-SI" w:eastAsia="en-GB"/>
              </w:rPr>
              <w:t>194</w:t>
            </w:r>
          </w:p>
        </w:tc>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E8" w14:textId="77777777" w:rsidR="00E03711" w:rsidRPr="00F769E0" w:rsidRDefault="00E03711" w:rsidP="00780CE3">
            <w:pPr>
              <w:pStyle w:val="Guide-Table"/>
              <w:spacing w:before="60" w:after="60"/>
              <w:rPr>
                <w:rFonts w:cs="Tahoma"/>
                <w:lang w:val="sl-SI" w:eastAsia="en-GB"/>
              </w:rPr>
            </w:pPr>
            <w:r w:rsidRPr="00F769E0">
              <w:rPr>
                <w:rFonts w:cs="Tahoma"/>
                <w:lang w:val="sl-SI" w:eastAsia="en-GB"/>
              </w:rPr>
              <w:t>157</w:t>
            </w:r>
          </w:p>
        </w:tc>
      </w:tr>
      <w:tr w:rsidR="00E03711" w:rsidRPr="008C6F8C" w14:paraId="7D3994EF" w14:textId="77777777" w:rsidTr="00204511">
        <w:trPr>
          <w:trHeight w:val="20"/>
        </w:trPr>
        <w:tc>
          <w:tcPr>
            <w:tcW w:w="51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EA" w14:textId="77777777" w:rsidR="00E03711" w:rsidRPr="001048FE" w:rsidRDefault="00E03711" w:rsidP="00780CE3">
            <w:pPr>
              <w:pStyle w:val="GUIDE-NORMAL"/>
              <w:spacing w:before="60" w:after="60"/>
              <w:jc w:val="left"/>
              <w:rPr>
                <w:rStyle w:val="Guide-Condensed-02"/>
                <w:rFonts w:ascii="Helvetica" w:hAnsi="Helvetica"/>
                <w:b/>
                <w:spacing w:val="0"/>
                <w:kern w:val="0"/>
                <w:sz w:val="11"/>
                <w:szCs w:val="11"/>
                <w:lang w:val="sl-SI" w:eastAsia="fr-FR"/>
              </w:rPr>
            </w:pPr>
            <w:r w:rsidRPr="00F769E0">
              <w:rPr>
                <w:rFonts w:cs="Tahoma"/>
                <w:b/>
                <w:lang w:val="sl-SI" w:eastAsia="en-GB"/>
              </w:rPr>
              <w:t>Bahami, Bahrajn, Hongkong, Izrael, (Republika) Koreja, Oman, Saudova Arabija, Tajvan</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EB" w14:textId="77777777" w:rsidR="00E03711" w:rsidRPr="00F769E0" w:rsidRDefault="00E03711" w:rsidP="00780CE3">
            <w:pPr>
              <w:pStyle w:val="Guide-Table"/>
              <w:spacing w:before="60" w:after="60"/>
              <w:rPr>
                <w:rFonts w:cs="Tahoma"/>
                <w:lang w:val="sl-SI" w:eastAsia="en-GB"/>
              </w:rPr>
            </w:pPr>
            <w:r w:rsidRPr="00F769E0">
              <w:rPr>
                <w:rFonts w:cs="Tahoma"/>
                <w:lang w:val="sl-SI" w:eastAsia="en-GB"/>
              </w:rPr>
              <w:t>197</w:t>
            </w:r>
          </w:p>
        </w:tc>
        <w:tc>
          <w:tcPr>
            <w:tcW w:w="1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EC" w14:textId="77777777" w:rsidR="00E03711" w:rsidRPr="00F769E0" w:rsidRDefault="00E03711" w:rsidP="00780CE3">
            <w:pPr>
              <w:pStyle w:val="Guide-Table"/>
              <w:spacing w:before="60" w:after="60"/>
              <w:rPr>
                <w:rFonts w:cs="Tahoma"/>
                <w:lang w:val="sl-SI" w:eastAsia="en-GB"/>
              </w:rPr>
            </w:pPr>
            <w:r w:rsidRPr="00F769E0">
              <w:rPr>
                <w:rFonts w:cs="Tahoma"/>
                <w:lang w:val="sl-SI" w:eastAsia="en-GB"/>
              </w:rPr>
              <w:t>164</w:t>
            </w:r>
          </w:p>
        </w:tc>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ED" w14:textId="77777777" w:rsidR="00E03711" w:rsidRPr="00F769E0" w:rsidRDefault="00E03711" w:rsidP="00780CE3">
            <w:pPr>
              <w:pStyle w:val="Guide-Table"/>
              <w:spacing w:before="60" w:after="60"/>
              <w:rPr>
                <w:rFonts w:cs="Tahoma"/>
                <w:lang w:val="sl-SI" w:eastAsia="en-GB"/>
              </w:rPr>
            </w:pPr>
            <w:r w:rsidRPr="00F769E0">
              <w:rPr>
                <w:rFonts w:cs="Tahoma"/>
                <w:lang w:val="sl-SI" w:eastAsia="en-GB"/>
              </w:rPr>
              <w:t>122</w:t>
            </w:r>
          </w:p>
        </w:tc>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4EE" w14:textId="77777777" w:rsidR="00E03711" w:rsidRPr="00F769E0" w:rsidRDefault="00E03711" w:rsidP="00780CE3">
            <w:pPr>
              <w:pStyle w:val="Guide-Table"/>
              <w:spacing w:before="60" w:after="60"/>
              <w:rPr>
                <w:rFonts w:cs="Tahoma"/>
                <w:lang w:val="sl-SI" w:eastAsia="en-GB"/>
              </w:rPr>
            </w:pPr>
            <w:r w:rsidRPr="00F769E0">
              <w:rPr>
                <w:rFonts w:cs="Tahoma"/>
                <w:lang w:val="sl-SI" w:eastAsia="en-GB"/>
              </w:rPr>
              <w:t>93</w:t>
            </w:r>
          </w:p>
        </w:tc>
      </w:tr>
      <w:tr w:rsidR="00E03711" w:rsidRPr="008C6F8C" w14:paraId="7D3994F5" w14:textId="77777777" w:rsidTr="00204511">
        <w:trPr>
          <w:trHeight w:val="20"/>
        </w:trPr>
        <w:tc>
          <w:tcPr>
            <w:tcW w:w="5102"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94F0" w14:textId="77777777" w:rsidR="00E03711" w:rsidRPr="001048FE" w:rsidRDefault="00E03711" w:rsidP="001E39D9">
            <w:pPr>
              <w:pStyle w:val="GUIDE-NORMAL"/>
              <w:spacing w:before="60" w:after="60"/>
              <w:jc w:val="left"/>
              <w:rPr>
                <w:rStyle w:val="Guide-Condensed-02"/>
                <w:rFonts w:ascii="Helvetica" w:hAnsi="Helvetica"/>
                <w:b/>
                <w:spacing w:val="0"/>
                <w:kern w:val="0"/>
                <w:sz w:val="11"/>
                <w:szCs w:val="11"/>
                <w:lang w:val="sl-SI" w:eastAsia="fr-FR"/>
              </w:rPr>
            </w:pPr>
            <w:r w:rsidRPr="00F769E0">
              <w:rPr>
                <w:rFonts w:cs="Tahoma"/>
                <w:b/>
                <w:lang w:val="sl-SI" w:eastAsia="en-GB"/>
              </w:rPr>
              <w:t>Afganistan, Albanija, Alžirija, Angola, Antigva in Barbuda, Argentina, Armenija, Azerbajdžan, Bangladeš, Barbados, Belorusija, Belize, Benin, Butan, Bolivija, Bosna in Hercegovina, Bocvana, Brazilija, Burkina Faso, Burundi, Kambodža, Kamerun, Zelenortski otoki, Srednjeafriška republika, Čad, Čile, Kitajska, Kolumbija, Komori, Kongo, Demokratična republika Kongo, Cookovi otoki, Kostarika, Kuba, Džibuti, Dominika, Dominikanska republika, Ekvador, Egipt, Salvador, Ekvatorialna Gvineja Eritreja,</w:t>
            </w:r>
            <w:r>
              <w:rPr>
                <w:rFonts w:cs="Tahoma"/>
                <w:b/>
                <w:lang w:val="sl-SI" w:eastAsia="en-GB"/>
              </w:rPr>
              <w:t xml:space="preserve"> Esvatini</w:t>
            </w:r>
            <w:r w:rsidRPr="00F769E0">
              <w:rPr>
                <w:rFonts w:cs="Tahoma"/>
                <w:b/>
                <w:lang w:val="sl-SI" w:eastAsia="en-GB"/>
              </w:rPr>
              <w:t>, Etiopija, Fidži, Gabon, Gambija, Gruzija, Gana, Grenada, Gvatemala, Gvineja, Gvineja Bissau, Gvajana, Haiti, Honduras, Indija, Indonezija, Iran, Irak, Slonokoščena obala, Jamajka, Jordanija, Kazahstan, Kenija, Kiribati, Demokratična ljudska republika Koreja, Kosovo, Kirgizistan, Laos, Libanon, Lesoto, Liberija, Libija, Madagaskar, Malavi, Malezija, Maldivi, Mali, Marshallovi otoki, Mavretanija, Mauritius, Mehika, Federativne države Mikronezije, Moldavija, Mongolija, Črna gora, Maroko, Mozambik, Mjanmar, Namibija, Nauru, Nepal, Nikaragva, Niger, Nigerija, Niue, Pakistan, Palau, Palestina, Panama, Papua Nova Gvineja, Paragvaj, Peru, Filipini, Ruanda, Sint Kitts in Nevis, Sveta Lucija, Saint Vincent in Grenadine, Samoa, Sao Tome in Principe, Senegal, Sejšeli, Sierra Leone, Salomonovi otoki, Somalija, Južna Afrika, Južni Sudan, Šrilanka, Sudan, Surinam, Sirija, Tadžikistan, Tanzanija, ozemlje Rusije, kot je priznano z mednarodnim pravom, ozemlje Ukrajine, kot je priznano z mednarodnim pravom, Tajska, Demokratična republika Vzhodni Timor, Togo, Tonga, Trinidad in Tobago, Tunizija, Turkmenistan, Tuvalu, Uganda, Urugvaj, Uzbekistan, Vanuatu, Venezuela, Vietnam, Jemen, Zambija, Zimbabve</w:t>
            </w:r>
          </w:p>
        </w:tc>
        <w:tc>
          <w:tcPr>
            <w:tcW w:w="850"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94F1" w14:textId="77777777" w:rsidR="00E03711" w:rsidRPr="00F769E0" w:rsidRDefault="00E03711" w:rsidP="00780CE3">
            <w:pPr>
              <w:pStyle w:val="Guide-Table"/>
              <w:spacing w:before="60" w:after="60"/>
              <w:rPr>
                <w:rFonts w:cs="Tahoma"/>
                <w:lang w:val="sl-SI" w:eastAsia="en-GB"/>
              </w:rPr>
            </w:pPr>
            <w:r w:rsidRPr="00F769E0">
              <w:rPr>
                <w:rFonts w:cs="Tahoma"/>
                <w:lang w:val="sl-SI" w:eastAsia="en-GB"/>
              </w:rPr>
              <w:t>106</w:t>
            </w:r>
          </w:p>
        </w:tc>
        <w:tc>
          <w:tcPr>
            <w:tcW w:w="1077"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94F2" w14:textId="77777777" w:rsidR="00E03711" w:rsidRPr="00F769E0" w:rsidRDefault="00E03711" w:rsidP="00780CE3">
            <w:pPr>
              <w:pStyle w:val="Guide-Table"/>
              <w:spacing w:before="60" w:after="60"/>
              <w:rPr>
                <w:rFonts w:cs="Tahoma"/>
                <w:lang w:val="sl-SI" w:eastAsia="en-GB"/>
              </w:rPr>
            </w:pPr>
            <w:r w:rsidRPr="00F769E0">
              <w:rPr>
                <w:rFonts w:cs="Tahoma"/>
                <w:lang w:val="sl-SI" w:eastAsia="en-GB"/>
              </w:rPr>
              <w:t>88</w:t>
            </w:r>
          </w:p>
        </w:tc>
        <w:tc>
          <w:tcPr>
            <w:tcW w:w="1020"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94F3" w14:textId="77777777" w:rsidR="00E03711" w:rsidRPr="00F769E0" w:rsidRDefault="00E03711" w:rsidP="00780CE3">
            <w:pPr>
              <w:pStyle w:val="Guide-Table"/>
              <w:spacing w:before="60" w:after="60"/>
              <w:rPr>
                <w:rFonts w:cs="Tahoma"/>
                <w:lang w:val="sl-SI" w:eastAsia="en-GB"/>
              </w:rPr>
            </w:pPr>
            <w:r w:rsidRPr="00F769E0">
              <w:rPr>
                <w:rFonts w:cs="Tahoma"/>
                <w:lang w:val="sl-SI" w:eastAsia="en-GB"/>
              </w:rPr>
              <w:t>66</w:t>
            </w:r>
          </w:p>
        </w:tc>
        <w:tc>
          <w:tcPr>
            <w:tcW w:w="1020"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94F4" w14:textId="77777777" w:rsidR="00E03711" w:rsidRPr="00F769E0" w:rsidRDefault="00E03711" w:rsidP="00780CE3">
            <w:pPr>
              <w:pStyle w:val="Guide-Table"/>
              <w:spacing w:before="60" w:after="60"/>
              <w:rPr>
                <w:rFonts w:cs="Tahoma"/>
                <w:lang w:val="sl-SI" w:eastAsia="en-GB"/>
              </w:rPr>
            </w:pPr>
            <w:r w:rsidRPr="00F769E0">
              <w:rPr>
                <w:rFonts w:cs="Tahoma"/>
                <w:lang w:val="sl-SI" w:eastAsia="en-GB"/>
              </w:rPr>
              <w:t>47</w:t>
            </w:r>
          </w:p>
        </w:tc>
      </w:tr>
    </w:tbl>
    <w:p w14:paraId="7D3994F6" w14:textId="77777777" w:rsidR="00E03711" w:rsidRDefault="00E03711">
      <w:pPr>
        <w:widowControl/>
        <w:suppressAutoHyphens w:val="0"/>
        <w:autoSpaceDN/>
        <w:textAlignment w:val="auto"/>
        <w:rPr>
          <w:rFonts w:eastAsia="Times New Roman"/>
          <w:b/>
          <w:smallCaps/>
          <w:sz w:val="28"/>
          <w:szCs w:val="20"/>
          <w:lang w:val="sl-SI"/>
        </w:rPr>
        <w:sectPr w:rsidR="00E03711" w:rsidSect="00F05D26">
          <w:endnotePr>
            <w:numFmt w:val="decimal"/>
          </w:endnotePr>
          <w:pgSz w:w="16840" w:h="11910" w:orient="landscape" w:code="9"/>
          <w:pgMar w:top="1418" w:right="1134" w:bottom="1418" w:left="1134" w:header="284" w:footer="567" w:gutter="0"/>
          <w:cols w:space="720"/>
          <w:docGrid w:linePitch="326"/>
        </w:sectPr>
      </w:pPr>
      <w:bookmarkStart w:id="222" w:name="Alliances_sectorielles_pour_les_compéten"/>
      <w:bookmarkStart w:id="223" w:name="_bookmark42"/>
      <w:bookmarkEnd w:id="222"/>
      <w:bookmarkEnd w:id="223"/>
    </w:p>
    <w:p w14:paraId="7D3994F7" w14:textId="77777777" w:rsidR="00E03711" w:rsidRDefault="00E03711">
      <w:pPr>
        <w:pStyle w:val="Guide-Heading4TOC"/>
        <w:rPr>
          <w:lang w:val="sl-SI"/>
        </w:rPr>
      </w:pPr>
      <w:bookmarkStart w:id="224" w:name="_Toc527401154"/>
      <w:r w:rsidRPr="001048FE">
        <w:rPr>
          <w:lang w:val="sl-SI"/>
        </w:rPr>
        <w:t>Koalicije sektorskih spretnosti</w:t>
      </w:r>
      <w:bookmarkEnd w:id="224"/>
    </w:p>
    <w:p w14:paraId="7D3994F8" w14:textId="77777777" w:rsidR="00E03711" w:rsidRPr="001048FE" w:rsidRDefault="00E03711" w:rsidP="005041C6">
      <w:pPr>
        <w:pStyle w:val="Guide-Heading5"/>
        <w:rPr>
          <w:lang w:val="sl-SI"/>
        </w:rPr>
      </w:pPr>
      <w:r w:rsidRPr="001048FE">
        <w:rPr>
          <w:lang w:val="sl-SI"/>
        </w:rPr>
        <w:t>Kakšni so cilji in prednostne naloge koalicije sektorskih spretnosti?</w:t>
      </w:r>
    </w:p>
    <w:p w14:paraId="7D3994F9" w14:textId="77777777" w:rsidR="00E03711" w:rsidRDefault="00E03711" w:rsidP="00A72BD5">
      <w:pPr>
        <w:pStyle w:val="GUIDE-NORMAL"/>
        <w:rPr>
          <w:lang w:val="sl-SI"/>
        </w:rPr>
      </w:pPr>
      <w:r w:rsidRPr="001048FE">
        <w:rPr>
          <w:lang w:val="sl-SI"/>
        </w:rPr>
        <w:t>Cilj koalicije sektorskih spretnosti je odpravljanje vrzeli v spretnostih</w:t>
      </w:r>
      <w:r>
        <w:rPr>
          <w:lang w:val="sl-SI"/>
        </w:rPr>
        <w:t>, in sicer tako, da identificirajo za sektor specifične potrebe trga dela in potrebo po novih spretnostih</w:t>
      </w:r>
      <w:r w:rsidRPr="001048FE">
        <w:rPr>
          <w:lang w:val="sl-SI"/>
        </w:rPr>
        <w:t xml:space="preserve"> v zvezi z enim ali več poklicnimi profili</w:t>
      </w:r>
      <w:r>
        <w:rPr>
          <w:lang w:val="sl-SI"/>
        </w:rPr>
        <w:t xml:space="preserve"> </w:t>
      </w:r>
      <w:r w:rsidRPr="001048FE">
        <w:rPr>
          <w:lang w:val="sl-SI"/>
        </w:rPr>
        <w:t xml:space="preserve">(stran povpraševanja) </w:t>
      </w:r>
      <w:r>
        <w:rPr>
          <w:lang w:val="sl-SI"/>
        </w:rPr>
        <w:t xml:space="preserve">ali z </w:t>
      </w:r>
      <w:r w:rsidRPr="001048FE">
        <w:rPr>
          <w:lang w:val="sl-SI"/>
        </w:rPr>
        <w:t xml:space="preserve">izboljšanjem odzivnosti sistemov začetnega in nadaljevalnega poklicnega izobraževanja in usposabljanja (PIU) na </w:t>
      </w:r>
      <w:r>
        <w:rPr>
          <w:lang w:val="sl-SI"/>
        </w:rPr>
        <w:t xml:space="preserve">kateri koli ravni </w:t>
      </w:r>
      <w:r w:rsidRPr="001048FE">
        <w:rPr>
          <w:lang w:val="sl-SI"/>
        </w:rPr>
        <w:t>(stran ponudbe)</w:t>
      </w:r>
      <w:r>
        <w:rPr>
          <w:lang w:val="sl-SI"/>
        </w:rPr>
        <w:t>, za potrebe trga dela, ki so speficične za sektor</w:t>
      </w:r>
      <w:r w:rsidRPr="001048FE">
        <w:rPr>
          <w:lang w:val="sl-SI"/>
        </w:rPr>
        <w:t xml:space="preserve">. </w:t>
      </w:r>
    </w:p>
    <w:p w14:paraId="7D3994FA" w14:textId="77777777" w:rsidR="00E03711" w:rsidRPr="001048FE" w:rsidRDefault="00E03711" w:rsidP="00A72BD5">
      <w:pPr>
        <w:pStyle w:val="GUIDE-NORMAL"/>
        <w:rPr>
          <w:lang w:val="sl-SI"/>
        </w:rPr>
      </w:pPr>
      <w:r w:rsidRPr="001048FE">
        <w:rPr>
          <w:lang w:val="sl-SI"/>
        </w:rPr>
        <w:t>Koalicije sektorskih spretnosti na podlagi dokazov o potrebah po spretnostih podpirajo oblikovanje in izvajanje mednarodnih vsebin poklicnega usposabljanja ter metodologij poučevanja in usposabljanja.</w:t>
      </w:r>
    </w:p>
    <w:p w14:paraId="7D3994FB" w14:textId="77777777" w:rsidR="00E03711" w:rsidRDefault="00E03711" w:rsidP="00A72BD5">
      <w:pPr>
        <w:pStyle w:val="GUIDE-NORMAL"/>
        <w:rPr>
          <w:lang w:val="sl-SI"/>
        </w:rPr>
      </w:pPr>
      <w:r w:rsidRPr="001048FE">
        <w:rPr>
          <w:lang w:val="sl-SI"/>
        </w:rPr>
        <w:t xml:space="preserve">Koalicije sektorskih spretnosti za strateško sektorsko sodelovanje na področju spretnosti opredeljujejo in razvijajo konkretne ukrepe za usklajevanje povpraševanja po spretnostih z njihovo ponudbo, s čimer podpirajo splošno strategijo za rast v posameznem sektorju. </w:t>
      </w:r>
    </w:p>
    <w:p w14:paraId="7D3994FC" w14:textId="77777777" w:rsidR="00E03711" w:rsidRDefault="00E03711" w:rsidP="00A72BD5">
      <w:pPr>
        <w:pStyle w:val="GUIDE-NORMAL"/>
        <w:rPr>
          <w:lang w:val="sl-SI"/>
        </w:rPr>
      </w:pPr>
      <w:r w:rsidRPr="00FC4A70">
        <w:rPr>
          <w:rFonts w:eastAsia="Calibri" w:cs="Calibri"/>
          <w:bdr w:val="nil"/>
          <w:lang w:val="sl-SI"/>
        </w:rPr>
        <w:t>Projekti bodo prispevali k izboljšanju kakovosti in relevantnosti evropskih sistemov poklicnega izobraževanja in usposabljanja, kot je zapisano v skupnem poročilu Izobraževanje in usposabljanje 2020 (ET 2020) iz leta 2015 in sklepih srečanja ministrov, pristojnih za PIU, leta 2015 v Rigi, ki prinašajo soglasje za nov sklop srednjeročnih izidov za obdobje 2015–2020.</w:t>
      </w:r>
    </w:p>
    <w:p w14:paraId="7D3994FD" w14:textId="77777777" w:rsidR="00E03711" w:rsidRPr="001048FE" w:rsidRDefault="00E03711" w:rsidP="00A72BD5">
      <w:pPr>
        <w:pStyle w:val="GUIDE-NORMAL"/>
        <w:rPr>
          <w:lang w:val="sl-SI"/>
        </w:rPr>
      </w:pPr>
      <w:r w:rsidRPr="001048FE">
        <w:rPr>
          <w:lang w:val="sl-SI"/>
        </w:rPr>
        <w:t>To bi bilo treba doseči z ukrepi, ki sledijo naslednjim ciljem:</w:t>
      </w:r>
    </w:p>
    <w:p w14:paraId="7D3994FE" w14:textId="77777777" w:rsidR="00E03711" w:rsidRPr="00FC4A70" w:rsidRDefault="00E03711" w:rsidP="005115F2">
      <w:pPr>
        <w:pStyle w:val="Guide-NormalBulletpoints"/>
        <w:numPr>
          <w:ilvl w:val="0"/>
          <w:numId w:val="289"/>
        </w:numPr>
        <w:rPr>
          <w:lang w:val="sl-SI"/>
        </w:rPr>
      </w:pPr>
      <w:r w:rsidRPr="00FC4A70">
        <w:rPr>
          <w:rFonts w:eastAsia="Calibri"/>
          <w:bdr w:val="nil"/>
          <w:lang w:val="sl-SI"/>
        </w:rPr>
        <w:t>razvijanje strateških pristopov za razvoj sektorskih spretnosti prek partnerstev za trajnostno sodelovanje med ključnimi deležniki v sektorju in javnih organih;</w:t>
      </w:r>
    </w:p>
    <w:p w14:paraId="7D3994FF" w14:textId="77777777" w:rsidR="00E03711" w:rsidRPr="00FC4A70" w:rsidRDefault="00E03711" w:rsidP="005115F2">
      <w:pPr>
        <w:pStyle w:val="Guide-NormalBulletpoints"/>
        <w:numPr>
          <w:ilvl w:val="0"/>
          <w:numId w:val="289"/>
        </w:numPr>
        <w:rPr>
          <w:lang w:val="sl-SI"/>
        </w:rPr>
      </w:pPr>
      <w:r w:rsidRPr="00FC4A70">
        <w:rPr>
          <w:rFonts w:eastAsia="Calibri"/>
          <w:bdr w:val="nil"/>
          <w:lang w:val="sl-SI"/>
        </w:rPr>
        <w:t>prepoznavanje obstoječih in novih potreb po znanjih in spretnostih v specifičnih sektorjih in prenos teh spoznanj v Evropsko panoramo spretnosti;</w:t>
      </w:r>
    </w:p>
    <w:p w14:paraId="7D399500" w14:textId="77777777" w:rsidR="00E03711" w:rsidRPr="00FC4A70" w:rsidRDefault="00E03711" w:rsidP="005115F2">
      <w:pPr>
        <w:pStyle w:val="Guide-NormalBulletpoints"/>
        <w:numPr>
          <w:ilvl w:val="0"/>
          <w:numId w:val="289"/>
        </w:numPr>
        <w:rPr>
          <w:lang w:val="sl-SI"/>
        </w:rPr>
      </w:pPr>
      <w:r w:rsidRPr="00FC4A70">
        <w:rPr>
          <w:rFonts w:eastAsia="Calibri"/>
          <w:bdr w:val="nil"/>
          <w:lang w:val="sl-SI"/>
        </w:rPr>
        <w:t>krepitev izmenjave znanja in praks med institucijami za izobraževanje in usposabljanje ter trgom dela, ob doslednem upoštevanju sektorskih akterjev;</w:t>
      </w:r>
    </w:p>
    <w:p w14:paraId="7D399501" w14:textId="77777777" w:rsidR="00E03711" w:rsidRPr="001048FE" w:rsidRDefault="00E03711" w:rsidP="005115F2">
      <w:pPr>
        <w:pStyle w:val="Guide-NormalBulletpoints"/>
        <w:numPr>
          <w:ilvl w:val="0"/>
          <w:numId w:val="289"/>
        </w:numPr>
        <w:rPr>
          <w:lang w:val="sl-SI"/>
        </w:rPr>
      </w:pPr>
      <w:r w:rsidRPr="00FC4A70">
        <w:rPr>
          <w:rFonts w:eastAsia="Calibri" w:cs="Calibri"/>
          <w:bdr w:val="nil"/>
          <w:lang w:val="sl-SI"/>
        </w:rPr>
        <w:t>spodbujanje relevantnih sektorskih kvalifikacij in podpiranje dogovora za njihovo priznavanje;</w:t>
      </w:r>
    </w:p>
    <w:p w14:paraId="7D399502" w14:textId="77777777" w:rsidR="00E03711" w:rsidRPr="001048FE" w:rsidRDefault="00E03711" w:rsidP="005115F2">
      <w:pPr>
        <w:pStyle w:val="Guide-NormalBulletpoints"/>
        <w:numPr>
          <w:ilvl w:val="0"/>
          <w:numId w:val="289"/>
        </w:numPr>
        <w:rPr>
          <w:lang w:val="sl-SI"/>
        </w:rPr>
      </w:pPr>
      <w:r w:rsidRPr="001048FE">
        <w:rPr>
          <w:lang w:val="sl-SI"/>
        </w:rPr>
        <w:t>vzpostavitev vzajemnega zaupanja, olajšanje čezmejnega potrjevanja in posledično poenostavitev poklicne mobilnosti v sektorju ter povečanje priznavanja kvalifikacij na evropski ravni znotraj sektorja;</w:t>
      </w:r>
    </w:p>
    <w:p w14:paraId="7D399503" w14:textId="77777777" w:rsidR="00E03711" w:rsidRPr="00FC4A70" w:rsidRDefault="00E03711" w:rsidP="005115F2">
      <w:pPr>
        <w:pStyle w:val="Guide-NormalBulletpoints"/>
        <w:numPr>
          <w:ilvl w:val="0"/>
          <w:numId w:val="289"/>
        </w:numPr>
        <w:rPr>
          <w:lang w:val="sl-SI"/>
        </w:rPr>
      </w:pPr>
      <w:r w:rsidRPr="00FC4A70">
        <w:rPr>
          <w:rFonts w:eastAsia="Calibri"/>
          <w:bdr w:val="nil"/>
          <w:lang w:val="sl-SI"/>
        </w:rPr>
        <w:t>prilagoditev PIU potrebam po znanjih in spretnostih, z osredotočanjem na spretnosti, ki so potrebne za določeno delovno mesto kot tudi na ključne kompetence;</w:t>
      </w:r>
    </w:p>
    <w:p w14:paraId="7D399504" w14:textId="77777777" w:rsidR="00E03711" w:rsidRPr="00FC4A70" w:rsidRDefault="00E03711" w:rsidP="005115F2">
      <w:pPr>
        <w:pStyle w:val="Guide-NormalBulletpoints"/>
        <w:numPr>
          <w:ilvl w:val="0"/>
          <w:numId w:val="289"/>
        </w:numPr>
        <w:rPr>
          <w:lang w:val="sl-SI"/>
        </w:rPr>
      </w:pPr>
      <w:r w:rsidRPr="00FC4A70">
        <w:rPr>
          <w:rFonts w:eastAsia="Calibri"/>
          <w:bdr w:val="nil"/>
          <w:lang w:val="sl-SI"/>
        </w:rPr>
        <w:t>vključitev učenja na delovnem mestu v ponudbo PIU, kjer je to mogoče v povezavi z mednarodnimi izkušnjami, ter izkoriščanje njegovega potenciala za spodbujanje gospodarskega razvoja in inovacij ter s tem krepitev konkurenčnosti zadevnih sektorjev;</w:t>
      </w:r>
    </w:p>
    <w:p w14:paraId="7D399505" w14:textId="77777777" w:rsidR="00E03711" w:rsidRPr="001048FE" w:rsidRDefault="00E03711" w:rsidP="005115F2">
      <w:pPr>
        <w:pStyle w:val="Guide-NormalBulletpoints"/>
        <w:numPr>
          <w:ilvl w:val="0"/>
          <w:numId w:val="289"/>
        </w:numPr>
        <w:rPr>
          <w:lang w:val="sl-SI"/>
        </w:rPr>
      </w:pPr>
      <w:r w:rsidRPr="00FC4A70">
        <w:rPr>
          <w:rFonts w:eastAsia="Calibri" w:cs="Calibri"/>
          <w:bdr w:val="nil"/>
          <w:lang w:val="sl-SI" w:eastAsia="zh-CN"/>
        </w:rPr>
        <w:t>načrtovanje progresivnega postopnega uvajanja izsledkov projektov, kar vodi v sistemski učinek v obliki stalnega prilagajanja PIU potrebam po znanjih in spretnostih in temelji na stalnem partnerstvu med ponudniki in ključnimi deležniki na trgu dela na ustrezni stopnji (t.i. "povratne zanke" – povratne informacije za prilagoditev ponudbe). To načrtovanje mora prepoznati in vključiti ključne nacionalne in/ali regionalne deležnike, hkrati pa zagotoviti široko razširjanje rezultatov.</w:t>
      </w:r>
    </w:p>
    <w:p w14:paraId="7D399506" w14:textId="77777777" w:rsidR="00E03711" w:rsidRPr="001048FE" w:rsidRDefault="00E03711" w:rsidP="005041C6">
      <w:pPr>
        <w:pStyle w:val="Guide-Heading5"/>
        <w:rPr>
          <w:lang w:val="sl-SI"/>
        </w:rPr>
      </w:pPr>
      <w:r w:rsidRPr="001048FE">
        <w:rPr>
          <w:lang w:val="sl-SI"/>
        </w:rPr>
        <w:t>Kaj je koalicija sektorskih spretnosti?</w:t>
      </w:r>
    </w:p>
    <w:p w14:paraId="7D399507" w14:textId="77777777" w:rsidR="00E03711" w:rsidRDefault="00E03711" w:rsidP="00A72BD5">
      <w:pPr>
        <w:pStyle w:val="GUIDE-NORMAL"/>
        <w:rPr>
          <w:lang w:val="sl-SI"/>
        </w:rPr>
      </w:pPr>
      <w:r w:rsidRPr="001048FE">
        <w:rPr>
          <w:lang w:val="sl-SI"/>
        </w:rPr>
        <w:t>Koalicije sektorskih spretnosti so mednarodni projekti, ki opredeljujejo obstoječe in nastajajoče potrebe po spretnostih v posameznem gospodarskem sektorju ali izhajajo iz njih in/ali te potrebe prenesejo v poklicne učne načrte kot odgovor nanje.</w:t>
      </w:r>
    </w:p>
    <w:p w14:paraId="7D399508" w14:textId="77777777" w:rsidR="00E03711" w:rsidRPr="00FC4A70" w:rsidRDefault="00E03711" w:rsidP="00347890">
      <w:pPr>
        <w:pStyle w:val="Guide-Normal0"/>
        <w:rPr>
          <w:lang w:val="sl-SI"/>
        </w:rPr>
      </w:pPr>
      <w:r w:rsidRPr="00FC4A70">
        <w:rPr>
          <w:rFonts w:eastAsia="Calibri" w:cs="Calibri"/>
          <w:kern w:val="3"/>
          <w:sz w:val="18"/>
          <w:szCs w:val="18"/>
          <w:bdr w:val="nil"/>
          <w:shd w:val="clear" w:color="auto" w:fill="FFFFFF"/>
          <w:lang w:val="sl-SI"/>
        </w:rPr>
        <w:t xml:space="preserve">Koalicije sektorskih spretnosti so namenjene </w:t>
      </w:r>
      <w:r>
        <w:rPr>
          <w:rFonts w:eastAsia="Calibri" w:cs="Calibri"/>
          <w:kern w:val="3"/>
          <w:sz w:val="18"/>
          <w:szCs w:val="18"/>
          <w:bdr w:val="nil"/>
          <w:shd w:val="clear" w:color="auto" w:fill="FFFFFF"/>
          <w:lang w:val="sl-SI"/>
        </w:rPr>
        <w:t xml:space="preserve">projektom </w:t>
      </w:r>
      <w:r w:rsidRPr="00FC4A70">
        <w:rPr>
          <w:rFonts w:eastAsia="Calibri" w:cs="Calibri"/>
          <w:kern w:val="3"/>
          <w:sz w:val="18"/>
          <w:szCs w:val="18"/>
          <w:bdr w:val="nil"/>
          <w:shd w:val="clear" w:color="auto" w:fill="FFFFFF"/>
          <w:lang w:val="sl-SI"/>
        </w:rPr>
        <w:t>poklicne</w:t>
      </w:r>
      <w:r>
        <w:rPr>
          <w:rFonts w:eastAsia="Calibri" w:cs="Calibri"/>
          <w:kern w:val="3"/>
          <w:sz w:val="18"/>
          <w:szCs w:val="18"/>
          <w:bdr w:val="nil"/>
          <w:shd w:val="clear" w:color="auto" w:fill="FFFFFF"/>
          <w:lang w:val="sl-SI"/>
        </w:rPr>
        <w:t>ga</w:t>
      </w:r>
      <w:r w:rsidRPr="00FC4A70">
        <w:rPr>
          <w:rFonts w:eastAsia="Calibri" w:cs="Calibri"/>
          <w:kern w:val="3"/>
          <w:sz w:val="18"/>
          <w:szCs w:val="18"/>
          <w:bdr w:val="nil"/>
          <w:shd w:val="clear" w:color="auto" w:fill="FFFFFF"/>
          <w:lang w:val="sl-SI"/>
        </w:rPr>
        <w:t xml:space="preserve"> izobraževanj</w:t>
      </w:r>
      <w:r>
        <w:rPr>
          <w:rFonts w:eastAsia="Calibri" w:cs="Calibri"/>
          <w:kern w:val="3"/>
          <w:sz w:val="18"/>
          <w:szCs w:val="18"/>
          <w:bdr w:val="nil"/>
          <w:shd w:val="clear" w:color="auto" w:fill="FFFFFF"/>
          <w:lang w:val="sl-SI"/>
        </w:rPr>
        <w:t>a</w:t>
      </w:r>
      <w:r w:rsidRPr="00FC4A70">
        <w:rPr>
          <w:rFonts w:eastAsia="Calibri" w:cs="Calibri"/>
          <w:kern w:val="3"/>
          <w:sz w:val="18"/>
          <w:szCs w:val="18"/>
          <w:bdr w:val="nil"/>
          <w:shd w:val="clear" w:color="auto" w:fill="FFFFFF"/>
          <w:lang w:val="sl-SI"/>
        </w:rPr>
        <w:t xml:space="preserve"> in usposabljanj</w:t>
      </w:r>
      <w:r>
        <w:rPr>
          <w:rFonts w:eastAsia="Calibri" w:cs="Calibri"/>
          <w:kern w:val="3"/>
          <w:sz w:val="18"/>
          <w:szCs w:val="18"/>
          <w:bdr w:val="nil"/>
          <w:shd w:val="clear" w:color="auto" w:fill="FFFFFF"/>
          <w:lang w:val="sl-SI"/>
        </w:rPr>
        <w:t>a</w:t>
      </w:r>
      <w:r w:rsidRPr="00FC4A70">
        <w:rPr>
          <w:rFonts w:eastAsia="Calibri" w:cs="Calibri"/>
          <w:kern w:val="3"/>
          <w:sz w:val="18"/>
          <w:szCs w:val="18"/>
          <w:bdr w:val="nil"/>
          <w:shd w:val="clear" w:color="auto" w:fill="FFFFFF"/>
          <w:lang w:val="sl-SI"/>
        </w:rPr>
        <w:t xml:space="preserve"> (PIU)</w:t>
      </w:r>
      <w:r>
        <w:rPr>
          <w:rFonts w:eastAsia="Calibri" w:cs="Calibri"/>
          <w:kern w:val="3"/>
          <w:sz w:val="18"/>
          <w:szCs w:val="18"/>
          <w:bdr w:val="nil"/>
          <w:shd w:val="clear" w:color="auto" w:fill="FFFFFF"/>
          <w:lang w:val="sl-SI"/>
        </w:rPr>
        <w:t>. Vendar obseg PIU presega</w:t>
      </w:r>
      <w:r w:rsidRPr="00FC4A70">
        <w:rPr>
          <w:rFonts w:eastAsia="Calibri" w:cs="Calibri"/>
          <w:kern w:val="3"/>
          <w:sz w:val="18"/>
          <w:szCs w:val="18"/>
          <w:bdr w:val="nil"/>
          <w:shd w:val="clear" w:color="auto" w:fill="FFFFFF"/>
          <w:lang w:val="sl-SI"/>
        </w:rPr>
        <w:t xml:space="preserve"> višjo sekundarno stopnjo</w:t>
      </w:r>
      <w:r>
        <w:rPr>
          <w:rFonts w:eastAsia="Calibri" w:cs="Calibri"/>
          <w:kern w:val="3"/>
          <w:sz w:val="18"/>
          <w:szCs w:val="18"/>
          <w:bdr w:val="nil"/>
          <w:shd w:val="clear" w:color="auto" w:fill="FFFFFF"/>
          <w:lang w:val="sl-SI"/>
        </w:rPr>
        <w:t xml:space="preserve"> in vključuje</w:t>
      </w:r>
      <w:r w:rsidRPr="00FC4A70">
        <w:rPr>
          <w:rFonts w:eastAsia="Calibri" w:cs="Calibri"/>
          <w:kern w:val="3"/>
          <w:sz w:val="18"/>
          <w:szCs w:val="18"/>
          <w:bdr w:val="nil"/>
          <w:shd w:val="clear" w:color="auto" w:fill="FFFFFF"/>
          <w:lang w:val="sl-SI"/>
        </w:rPr>
        <w:t xml:space="preserve"> postsekundarno neterciarno stopnjo</w:t>
      </w:r>
      <w:r>
        <w:rPr>
          <w:rFonts w:eastAsia="Calibri" w:cs="Calibri"/>
          <w:kern w:val="3"/>
          <w:sz w:val="18"/>
          <w:szCs w:val="18"/>
          <w:bdr w:val="nil"/>
          <w:shd w:val="clear" w:color="auto" w:fill="FFFFFF"/>
          <w:lang w:val="sl-SI"/>
        </w:rPr>
        <w:t xml:space="preserve">, pa tudi </w:t>
      </w:r>
      <w:r w:rsidRPr="00FC4A70">
        <w:rPr>
          <w:rFonts w:eastAsia="Calibri" w:cs="Calibri"/>
          <w:kern w:val="3"/>
          <w:sz w:val="18"/>
          <w:szCs w:val="18"/>
          <w:bdr w:val="nil"/>
          <w:shd w:val="clear" w:color="auto" w:fill="FFFFFF"/>
          <w:lang w:val="sl-SI"/>
        </w:rPr>
        <w:t xml:space="preserve">terciarno stopnjo (npr. univerze za uporabne znanosti, politehnični inštituti itd.). </w:t>
      </w:r>
      <w:r>
        <w:rPr>
          <w:rFonts w:eastAsia="Calibri" w:cs="Calibri"/>
          <w:kern w:val="3"/>
          <w:sz w:val="18"/>
          <w:szCs w:val="18"/>
          <w:bdr w:val="nil"/>
          <w:shd w:val="clear" w:color="auto" w:fill="FFFFFF"/>
          <w:lang w:val="sl-SI"/>
        </w:rPr>
        <w:t>Predlogi</w:t>
      </w:r>
      <w:r w:rsidRPr="00FC4A70">
        <w:rPr>
          <w:rFonts w:eastAsia="Calibri" w:cs="Calibri"/>
          <w:kern w:val="3"/>
          <w:sz w:val="18"/>
          <w:szCs w:val="18"/>
          <w:bdr w:val="nil"/>
          <w:shd w:val="clear" w:color="auto" w:fill="FFFFFF"/>
          <w:lang w:val="sl-SI"/>
        </w:rPr>
        <w:t xml:space="preserve">, </w:t>
      </w:r>
      <w:r>
        <w:rPr>
          <w:rFonts w:eastAsia="Calibri" w:cs="Calibri"/>
          <w:kern w:val="3"/>
          <w:sz w:val="18"/>
          <w:szCs w:val="18"/>
          <w:bdr w:val="nil"/>
          <w:shd w:val="clear" w:color="auto" w:fill="FFFFFF"/>
          <w:lang w:val="sl-SI"/>
        </w:rPr>
        <w:t xml:space="preserve">ki vključujejo </w:t>
      </w:r>
      <w:r w:rsidRPr="00860232">
        <w:rPr>
          <w:rFonts w:eastAsia="Calibri" w:cs="Calibri"/>
          <w:b/>
          <w:bCs/>
          <w:kern w:val="3"/>
          <w:sz w:val="18"/>
          <w:szCs w:val="18"/>
          <w:bdr w:val="nil"/>
          <w:shd w:val="clear" w:color="auto" w:fill="FFFFFF"/>
          <w:lang w:val="sl-SI"/>
        </w:rPr>
        <w:t>tudi</w:t>
      </w:r>
      <w:r>
        <w:rPr>
          <w:rFonts w:eastAsia="Calibri" w:cs="Calibri"/>
          <w:kern w:val="3"/>
          <w:sz w:val="18"/>
          <w:szCs w:val="18"/>
          <w:bdr w:val="nil"/>
          <w:shd w:val="clear" w:color="auto" w:fill="FFFFFF"/>
          <w:lang w:val="sl-SI"/>
        </w:rPr>
        <w:t xml:space="preserve"> ponudnike </w:t>
      </w:r>
      <w:r w:rsidRPr="00FC4A70">
        <w:rPr>
          <w:rFonts w:eastAsia="Calibri" w:cs="Calibri"/>
          <w:kern w:val="3"/>
          <w:sz w:val="18"/>
          <w:szCs w:val="18"/>
          <w:bdr w:val="nil"/>
          <w:shd w:val="clear" w:color="auto" w:fill="FFFFFF"/>
          <w:lang w:val="sl-SI"/>
        </w:rPr>
        <w:t>PIU na terciarni ravni</w:t>
      </w:r>
      <w:r>
        <w:rPr>
          <w:rFonts w:eastAsia="Calibri" w:cs="Calibri"/>
          <w:kern w:val="3"/>
          <w:sz w:val="18"/>
          <w:szCs w:val="18"/>
          <w:bdr w:val="nil"/>
          <w:shd w:val="clear" w:color="auto" w:fill="FFFFFF"/>
          <w:lang w:val="sl-SI"/>
        </w:rPr>
        <w:t>, je mogoče predložiti pod pogojem, da učni načrti in/ali kvalifikacije, ki naj bi jih razvili, zajemajo tako terciarno</w:t>
      </w:r>
      <w:r w:rsidRPr="00FC4A70">
        <w:rPr>
          <w:rFonts w:eastAsia="Calibri" w:cs="Calibri"/>
          <w:kern w:val="3"/>
          <w:sz w:val="18"/>
          <w:szCs w:val="18"/>
          <w:bdr w:val="nil"/>
          <w:shd w:val="clear" w:color="auto" w:fill="FFFFFF"/>
          <w:lang w:val="sl-SI"/>
        </w:rPr>
        <w:t xml:space="preserve"> (stopnja EQF 6 do 8)</w:t>
      </w:r>
      <w:r>
        <w:rPr>
          <w:rFonts w:eastAsia="Calibri" w:cs="Calibri"/>
          <w:kern w:val="3"/>
          <w:sz w:val="18"/>
          <w:szCs w:val="18"/>
          <w:bdr w:val="nil"/>
          <w:shd w:val="clear" w:color="auto" w:fill="FFFFFF"/>
          <w:lang w:val="sl-SI"/>
        </w:rPr>
        <w:t xml:space="preserve"> kot višjo sekundarno stopnjo PIU </w:t>
      </w:r>
      <w:r>
        <w:rPr>
          <w:rFonts w:eastAsia="Calibri" w:cs="Calibri"/>
          <w:kern w:val="3"/>
          <w:sz w:val="18"/>
          <w:szCs w:val="18"/>
          <w:u w:val="single"/>
          <w:bdr w:val="nil"/>
          <w:shd w:val="clear" w:color="auto" w:fill="FFFFFF"/>
          <w:lang w:val="sl-SI"/>
        </w:rPr>
        <w:t>(</w:t>
      </w:r>
      <w:r w:rsidRPr="00280146">
        <w:rPr>
          <w:rFonts w:eastAsia="Calibri" w:cs="Calibri"/>
          <w:kern w:val="3"/>
          <w:sz w:val="18"/>
          <w:szCs w:val="18"/>
          <w:u w:val="single"/>
          <w:bdr w:val="nil"/>
          <w:shd w:val="clear" w:color="auto" w:fill="FFFFFF"/>
          <w:lang w:val="sl-SI"/>
        </w:rPr>
        <w:t>EQF 3 do 5</w:t>
      </w:r>
      <w:r>
        <w:rPr>
          <w:rFonts w:eastAsia="Calibri" w:cs="Calibri"/>
          <w:kern w:val="3"/>
          <w:sz w:val="18"/>
          <w:szCs w:val="18"/>
          <w:u w:val="single"/>
          <w:bdr w:val="nil"/>
          <w:shd w:val="clear" w:color="auto" w:fill="FFFFFF"/>
          <w:lang w:val="sl-SI"/>
        </w:rPr>
        <w:t>),</w:t>
      </w:r>
      <w:r w:rsidRPr="008F30FE">
        <w:rPr>
          <w:rFonts w:eastAsia="Calibri" w:cs="Calibri"/>
          <w:kern w:val="3"/>
          <w:sz w:val="18"/>
          <w:szCs w:val="18"/>
          <w:bdr w:val="nil"/>
          <w:shd w:val="clear" w:color="auto" w:fill="FFFFFF"/>
          <w:lang w:val="sl-SI"/>
        </w:rPr>
        <w:t xml:space="preserve"> </w:t>
      </w:r>
      <w:r>
        <w:rPr>
          <w:rFonts w:eastAsia="Calibri" w:cs="Calibri"/>
          <w:kern w:val="3"/>
          <w:sz w:val="18"/>
          <w:szCs w:val="18"/>
          <w:bdr w:val="nil"/>
          <w:shd w:val="clear" w:color="auto" w:fill="FFFFFF"/>
          <w:lang w:val="sl-SI"/>
        </w:rPr>
        <w:t>t.j</w:t>
      </w:r>
      <w:r w:rsidRPr="00FC4A70">
        <w:rPr>
          <w:rFonts w:eastAsia="Calibri" w:cs="Calibri"/>
          <w:kern w:val="3"/>
          <w:sz w:val="18"/>
          <w:szCs w:val="18"/>
          <w:bdr w:val="nil"/>
          <w:shd w:val="clear" w:color="auto" w:fill="FFFFFF"/>
          <w:lang w:val="sl-SI"/>
        </w:rPr>
        <w:t>. ne izključno terciarna stopnja.</w:t>
      </w:r>
    </w:p>
    <w:p w14:paraId="7D399509" w14:textId="77777777" w:rsidR="00E03711" w:rsidRPr="001048FE" w:rsidRDefault="00E03711" w:rsidP="00347890">
      <w:pPr>
        <w:pStyle w:val="GUIDE-NORMAL"/>
        <w:rPr>
          <w:lang w:val="sl-SI"/>
        </w:rPr>
      </w:pPr>
      <w:r w:rsidRPr="00FC4A70">
        <w:rPr>
          <w:rFonts w:eastAsia="Calibri" w:cs="Calibri"/>
          <w:bdr w:val="nil"/>
          <w:lang w:val="sl-SI"/>
        </w:rPr>
        <w:t>Koalicije sektorskih spretnosti so potrebne za uvajanje vseevropskih instrumentov in orodij, kot so EQF, ECVET (European Credit system for Vocational Education and Training [evropski sistem kreditnih točk v poklicnem izobraževanju in usposabljanju]), EQAVET (European Quality Assurance in Vocational Education and Training [evropsko zagotavljanje kakovosti v poklicnem izobraževanju in usposabljanju]) ter Priporočil Sveta o evropskem okviru za kakovostno in učinkovito vajeništvo</w:t>
      </w:r>
      <w:r w:rsidRPr="00FC4A70">
        <w:rPr>
          <w:rStyle w:val="FootnoteReference"/>
        </w:rPr>
        <w:footnoteReference w:id="124"/>
      </w:r>
      <w:r w:rsidRPr="00FC4A70">
        <w:rPr>
          <w:rFonts w:eastAsia="Calibri" w:cs="Calibri"/>
          <w:bdr w:val="nil"/>
          <w:lang w:val="sl-SI"/>
        </w:rPr>
        <w:t>, kjer je to relevantno.</w:t>
      </w:r>
    </w:p>
    <w:p w14:paraId="7D39950A" w14:textId="77777777" w:rsidR="00E03711" w:rsidRPr="001048FE" w:rsidRDefault="00E03711" w:rsidP="00A72BD5">
      <w:pPr>
        <w:pStyle w:val="GUIDE-NORMAL"/>
        <w:rPr>
          <w:lang w:val="sl-SI"/>
        </w:rPr>
      </w:pPr>
      <w:r w:rsidRPr="001048FE">
        <w:rPr>
          <w:lang w:val="sl-SI"/>
        </w:rPr>
        <w:t xml:space="preserve">Poseben poudarek bo na </w:t>
      </w:r>
      <w:r w:rsidRPr="001048FE">
        <w:rPr>
          <w:b/>
          <w:lang w:val="sl-SI"/>
        </w:rPr>
        <w:t>digitalnih spretnostih</w:t>
      </w:r>
      <w:r w:rsidRPr="001048FE">
        <w:rPr>
          <w:lang w:val="sl-SI"/>
        </w:rPr>
        <w:t>, saj postajajo vse pomembnejše za vse poklicne profile na celotnem trgu dela.</w:t>
      </w:r>
    </w:p>
    <w:p w14:paraId="7D39950B" w14:textId="77777777" w:rsidR="00E03711" w:rsidRPr="001048FE" w:rsidRDefault="00E03711" w:rsidP="00A72BD5">
      <w:pPr>
        <w:pStyle w:val="GUIDE-NORMAL"/>
        <w:rPr>
          <w:lang w:val="sl-SI"/>
        </w:rPr>
      </w:pPr>
      <w:r w:rsidRPr="001048FE">
        <w:rPr>
          <w:lang w:val="sl-SI"/>
        </w:rPr>
        <w:t xml:space="preserve">Poleg tega mora biti prehod na krožno in bolj zeleno gospodarstvo podprt s spremembami kvalifikacij in nacionalnih učnih načrtov za izobraževanje in usposabljanje, da se zadosti nastajajočim poklicnim potrebam po </w:t>
      </w:r>
      <w:r w:rsidRPr="001048FE">
        <w:rPr>
          <w:b/>
          <w:lang w:val="sl-SI"/>
        </w:rPr>
        <w:t>zelenih spretnostih</w:t>
      </w:r>
      <w:r>
        <w:rPr>
          <w:b/>
          <w:lang w:val="sl-SI"/>
        </w:rPr>
        <w:t xml:space="preserve"> in trajnostnem razvoju</w:t>
      </w:r>
      <w:r w:rsidRPr="001048FE">
        <w:rPr>
          <w:lang w:val="sl-SI"/>
        </w:rPr>
        <w:t>.</w:t>
      </w:r>
    </w:p>
    <w:p w14:paraId="7D39950C" w14:textId="77777777" w:rsidR="00E03711" w:rsidRPr="001048FE" w:rsidRDefault="00E03711" w:rsidP="00A72BD5">
      <w:pPr>
        <w:pStyle w:val="GUIDE-NORMAL"/>
        <w:rPr>
          <w:lang w:val="sl-SI"/>
        </w:rPr>
      </w:pPr>
      <w:r w:rsidRPr="001048FE">
        <w:rPr>
          <w:lang w:val="sl-SI"/>
        </w:rPr>
        <w:t>Projekti lahko te cilje dosežejo s prijavo za enega ali več naslednjih sklopov (organizacija se lahko prijavi za več predlogov in sklopov, če se predlogi nanašajo na različne sektorje):</w:t>
      </w:r>
    </w:p>
    <w:p w14:paraId="7D39950D" w14:textId="77777777" w:rsidR="00381E74" w:rsidRDefault="00E03711" w:rsidP="00A72BD5">
      <w:pPr>
        <w:pStyle w:val="GUIDE-NORMAL"/>
        <w:rPr>
          <w:bCs/>
          <w:lang w:val="sl-SI"/>
        </w:rPr>
      </w:pPr>
      <w:r w:rsidRPr="00FC4A70">
        <w:rPr>
          <w:rFonts w:eastAsia="Calibri" w:cs="Calibri"/>
          <w:b/>
          <w:bCs/>
          <w:bdr w:val="nil"/>
          <w:lang w:val="sl-SI"/>
        </w:rPr>
        <w:t xml:space="preserve">Sklop 1: Koalicije sektorskih spretnosti za </w:t>
      </w:r>
      <w:r w:rsidRPr="00860232">
        <w:rPr>
          <w:rFonts w:eastAsia="Calibri" w:cs="Calibri"/>
          <w:b/>
          <w:bCs/>
          <w:bdr w:val="nil"/>
          <w:lang w:val="sl-SI"/>
        </w:rPr>
        <w:t>oblikovanje in posredovanje vsebin PIU</w:t>
      </w:r>
      <w:r>
        <w:rPr>
          <w:rFonts w:eastAsia="Calibri" w:cs="Calibri"/>
          <w:b/>
          <w:bCs/>
          <w:bdr w:val="nil"/>
          <w:lang w:val="sl-SI"/>
        </w:rPr>
        <w:t>.</w:t>
      </w:r>
      <w:r w:rsidRPr="00FC4A70">
        <w:rPr>
          <w:rFonts w:eastAsia="Calibri" w:cs="Calibri"/>
          <w:bdr w:val="nil"/>
          <w:lang w:val="sl-SI"/>
        </w:rPr>
        <w:t xml:space="preserve"> </w:t>
      </w:r>
      <w:r>
        <w:rPr>
          <w:rFonts w:eastAsia="Calibri" w:cs="Calibri"/>
          <w:bdr w:val="nil"/>
          <w:lang w:val="sl-SI"/>
        </w:rPr>
        <w:t>Ta sklop je namenjen odzivanju na prepoznane spretnosti in potrebe, in sicer tako, da razvija skupne nadnacionalne vsebine za usposabljanje</w:t>
      </w:r>
      <w:r>
        <w:rPr>
          <w:lang w:val="sl-SI"/>
        </w:rPr>
        <w:t xml:space="preserve"> za glavne evropske poklicne profile, kot tudi za </w:t>
      </w:r>
      <w:r w:rsidRPr="001048FE">
        <w:rPr>
          <w:lang w:val="sl-SI"/>
        </w:rPr>
        <w:t>metod</w:t>
      </w:r>
      <w:r>
        <w:rPr>
          <w:lang w:val="sl-SI"/>
        </w:rPr>
        <w:t>ologije</w:t>
      </w:r>
      <w:r w:rsidRPr="001048FE">
        <w:rPr>
          <w:lang w:val="sl-SI"/>
        </w:rPr>
        <w:t xml:space="preserve"> poučevanja in usposabljanja. Poseben poudarek bo na </w:t>
      </w:r>
      <w:r w:rsidRPr="00860232">
        <w:rPr>
          <w:bCs/>
          <w:lang w:val="sl-SI"/>
        </w:rPr>
        <w:t>učenju na delovnem mestu</w:t>
      </w:r>
      <w:r>
        <w:rPr>
          <w:bCs/>
          <w:lang w:val="sl-SI"/>
        </w:rPr>
        <w:t xml:space="preserve">. </w:t>
      </w:r>
    </w:p>
    <w:p w14:paraId="7D39950E" w14:textId="77777777" w:rsidR="00E03711" w:rsidRPr="001048FE" w:rsidRDefault="00E03711" w:rsidP="00A72BD5">
      <w:pPr>
        <w:pStyle w:val="GUIDE-NORMAL"/>
        <w:rPr>
          <w:lang w:val="sl-SI"/>
        </w:rPr>
      </w:pPr>
      <w:r>
        <w:rPr>
          <w:bCs/>
          <w:lang w:val="sl-SI"/>
        </w:rPr>
        <w:t>Projekti lahko vključujejo predvidevanje spretnosti, katerega namen je prepoznavati potrebe po spretnostih, vrzeli in pogoje za usposabljanje v danem specifičnem ekonomskem sektorju ali predložiti dokaze, da predlagana načrt in izvedba PIU temeljita na obstoječem prepoznavanju potreb po spretnostih</w:t>
      </w:r>
      <w:r w:rsidRPr="001048FE">
        <w:rPr>
          <w:lang w:val="sl-SI"/>
        </w:rPr>
        <w:t>.</w:t>
      </w:r>
    </w:p>
    <w:p w14:paraId="7D39950F" w14:textId="77777777" w:rsidR="00E03711" w:rsidRPr="001048FE" w:rsidRDefault="00E03711" w:rsidP="00A72BD5">
      <w:pPr>
        <w:pStyle w:val="GUIDE-NORMAL"/>
        <w:rPr>
          <w:lang w:val="sl-SI"/>
        </w:rPr>
      </w:pPr>
      <w:r w:rsidRPr="001048FE">
        <w:rPr>
          <w:b/>
          <w:lang w:val="sl-SI"/>
        </w:rPr>
        <w:t xml:space="preserve">Sklop </w:t>
      </w:r>
      <w:r>
        <w:rPr>
          <w:b/>
          <w:lang w:val="sl-SI"/>
        </w:rPr>
        <w:t>2</w:t>
      </w:r>
      <w:r w:rsidRPr="001048FE">
        <w:rPr>
          <w:b/>
          <w:lang w:val="sl-SI"/>
        </w:rPr>
        <w:t>: Koalicije sektorskih spretnosti za izvajanje novega strateškega pristopa (načrta) k sektorskemu sodelovanju na področju spretnosti:</w:t>
      </w:r>
      <w:r w:rsidRPr="001048FE">
        <w:rPr>
          <w:lang w:val="sl-SI"/>
        </w:rPr>
        <w:t xml:space="preserve"> Načrt za sektorsko sodelovanje na področju spretnosti</w:t>
      </w:r>
      <w:hyperlink r:id="rId91">
        <w:r w:rsidRPr="001048FE">
          <w:rPr>
            <w:rStyle w:val="FootnoteReference"/>
            <w:lang w:val="sl-SI"/>
          </w:rPr>
          <w:footnoteReference w:id="125"/>
        </w:r>
        <w:r w:rsidRPr="001048FE">
          <w:rPr>
            <w:lang w:val="sl-SI"/>
          </w:rPr>
          <w:t xml:space="preserve"> </w:t>
        </w:r>
      </w:hyperlink>
      <w:r w:rsidRPr="001048FE">
        <w:rPr>
          <w:lang w:val="sl-SI"/>
        </w:rPr>
        <w:t>je eden od desetih ukrepov iz novega programa znanj in spretnosti za Evropo</w:t>
      </w:r>
      <w:r>
        <w:rPr>
          <w:rStyle w:val="FootnoteReference"/>
          <w:lang w:val="sl-SI"/>
        </w:rPr>
        <w:footnoteReference w:id="126"/>
      </w:r>
      <w:r w:rsidRPr="001048FE">
        <w:rPr>
          <w:lang w:val="sl-SI"/>
        </w:rPr>
        <w:t>. V okviru sedanjega razpisa se bo načrt izvedel v šestih sektorjih, v katerih so pomanjkanja spretnosti zelo velika (glej merila za upra</w:t>
      </w:r>
      <w:r>
        <w:rPr>
          <w:lang w:val="sl-SI"/>
        </w:rPr>
        <w:t>vičenost). Koalicije iz sklopa 2</w:t>
      </w:r>
      <w:r w:rsidRPr="001048FE">
        <w:rPr>
          <w:lang w:val="sl-SI"/>
        </w:rPr>
        <w:t xml:space="preserve"> bodo izvajanje načrta podpirale z oblikovanjem </w:t>
      </w:r>
      <w:r w:rsidRPr="001048FE">
        <w:rPr>
          <w:i/>
          <w:lang w:val="sl-SI"/>
        </w:rPr>
        <w:t>strategije sektorskih spretnosti</w:t>
      </w:r>
      <w:r w:rsidRPr="001048FE">
        <w:rPr>
          <w:lang w:val="sl-SI"/>
        </w:rPr>
        <w:t xml:space="preserve">. Ta strategija mora sistemsko in strukturno vplivati na zmanjšanje pomanjkanj spretnosti, vrzeli in neusklajenosti v spretnostih ter na zagotavljanje ustrezne kakovosti in ravni spretnosti za podpiranje rasti, inovativnosti in konkurenčnosti v sektorju. Vključevati mora jasen sklop aktivnosti, mejnikov in natančno opredeljenih rezultatov za usklajevanje povpraševanja po spretnostih z njihovo ponudbo, da bi se podprla splošna strategija za rast posameznega sektorja. V strategijo sektorskih spretnosti je treba vključiti cilje sklopa 1 (napovedovanje povpraševanja po </w:t>
      </w:r>
      <w:r>
        <w:rPr>
          <w:lang w:val="sl-SI"/>
        </w:rPr>
        <w:t>spretnostih) in sklopa 1</w:t>
      </w:r>
      <w:r w:rsidRPr="001048FE">
        <w:rPr>
          <w:lang w:val="sl-SI"/>
        </w:rPr>
        <w:t xml:space="preserve"> (odzivanje na opredeljene potrebe po spretnostih z oblikovanjem in izvajanjem PIU</w:t>
      </w:r>
      <w:r w:rsidRPr="00347890">
        <w:rPr>
          <w:lang w:val="sl-SI"/>
        </w:rPr>
        <w:t>).</w:t>
      </w:r>
      <w:r w:rsidRPr="00686A69">
        <w:rPr>
          <w:lang w:val="sl-SI"/>
        </w:rPr>
        <w:t xml:space="preserve"> </w:t>
      </w:r>
      <w:r>
        <w:rPr>
          <w:rFonts w:eastAsia="Calibri" w:cs="Calibri"/>
          <w:bdr w:val="nil"/>
          <w:shd w:val="clear" w:color="auto" w:fill="auto"/>
          <w:lang w:val="sl-SI"/>
        </w:rPr>
        <w:t>Koalicija iz sklopa 2</w:t>
      </w:r>
      <w:r w:rsidRPr="00FC4A70">
        <w:rPr>
          <w:rFonts w:eastAsia="Calibri" w:cs="Calibri"/>
          <w:bdr w:val="nil"/>
          <w:shd w:val="clear" w:color="auto" w:fill="auto"/>
          <w:lang w:val="sl-SI"/>
        </w:rPr>
        <w:t xml:space="preserve"> mora vpel</w:t>
      </w:r>
      <w:r>
        <w:rPr>
          <w:rFonts w:eastAsia="Calibri" w:cs="Calibri"/>
          <w:bdr w:val="nil"/>
          <w:shd w:val="clear" w:color="auto" w:fill="auto"/>
          <w:lang w:val="sl-SI"/>
        </w:rPr>
        <w:t>jati tudi dejavnosti iz sklopa 1. Za sklop 2</w:t>
      </w:r>
      <w:r w:rsidRPr="00FC4A70">
        <w:rPr>
          <w:rFonts w:eastAsia="Calibri" w:cs="Calibri"/>
          <w:bdr w:val="nil"/>
          <w:shd w:val="clear" w:color="auto" w:fill="auto"/>
          <w:lang w:val="sl-SI"/>
        </w:rPr>
        <w:t xml:space="preserve"> je mogoče financirati le 1 predlog na sektor.</w:t>
      </w:r>
    </w:p>
    <w:p w14:paraId="7D399510" w14:textId="77777777" w:rsidR="00E03711" w:rsidRPr="001048FE" w:rsidRDefault="00E03711" w:rsidP="00A72BD5">
      <w:pPr>
        <w:pStyle w:val="GUIDE-NORMAL"/>
        <w:rPr>
          <w:lang w:val="sl-SI"/>
        </w:rPr>
      </w:pPr>
      <w:r w:rsidRPr="001048FE">
        <w:rPr>
          <w:lang w:val="sl-SI"/>
        </w:rPr>
        <w:t>Če dva ali več predlogov prejmejo enako število točk in razpoložljiva proračunska sredstva ne zadostujejo za financiranje vseh predlogov, bodo imeli prednost predlogi članov evropskih svetov za sektorske spretnosti.</w:t>
      </w:r>
      <w:r>
        <w:rPr>
          <w:lang w:val="sl-SI"/>
        </w:rPr>
        <w:t xml:space="preserve"> </w:t>
      </w:r>
    </w:p>
    <w:p w14:paraId="7D399511" w14:textId="77777777" w:rsidR="00E03711" w:rsidRPr="001048FE" w:rsidRDefault="00E03711" w:rsidP="005041C6">
      <w:pPr>
        <w:pStyle w:val="Guide-Heading5"/>
        <w:rPr>
          <w:lang w:val="sl-SI"/>
        </w:rPr>
      </w:pPr>
      <w:r w:rsidRPr="001048FE">
        <w:rPr>
          <w:lang w:val="sl-SI"/>
        </w:rPr>
        <w:t>Katere aktivnosti so podprte v okviru tega ukrepa?</w:t>
      </w:r>
    </w:p>
    <w:p w14:paraId="7D399512" w14:textId="77777777" w:rsidR="00E03711" w:rsidRPr="001048FE" w:rsidRDefault="00E03711" w:rsidP="00E462C8">
      <w:pPr>
        <w:pStyle w:val="GUIDE-NORMAL"/>
        <w:rPr>
          <w:lang w:val="sl-SI"/>
        </w:rPr>
      </w:pPr>
      <w:r w:rsidRPr="001048FE">
        <w:rPr>
          <w:lang w:val="sl-SI"/>
        </w:rPr>
        <w:t>Vsaka koalicija sektorskih spretnosti izvaja skladen, celovit in raznolik nabor medsebojno povezanih aktivnosti, ki so prožne in se lahko prilagodijo različnim trenutnim in prihodnjim potrebam trga dela, na primer:</w:t>
      </w:r>
    </w:p>
    <w:p w14:paraId="7D399513" w14:textId="77777777" w:rsidR="00E03711" w:rsidRDefault="00E03711" w:rsidP="000C206C">
      <w:pPr>
        <w:pStyle w:val="Guide-Heading6"/>
        <w:rPr>
          <w:lang w:val="sl-SI"/>
        </w:rPr>
      </w:pPr>
      <w:r w:rsidRPr="001048FE">
        <w:rPr>
          <w:lang w:val="sl-SI"/>
        </w:rPr>
        <w:t xml:space="preserve">Sklop </w:t>
      </w:r>
      <w:r>
        <w:rPr>
          <w:lang w:val="sl-SI"/>
        </w:rPr>
        <w:t>1</w:t>
      </w:r>
      <w:r w:rsidRPr="001048FE">
        <w:rPr>
          <w:lang w:val="sl-SI"/>
        </w:rPr>
        <w:t xml:space="preserve">: Koalicija sektorskih spretnosti za oblikovanje in izvajanje PIU </w:t>
      </w:r>
    </w:p>
    <w:p w14:paraId="7D399514" w14:textId="77777777" w:rsidR="00E03711" w:rsidRPr="001048FE" w:rsidRDefault="00E03711" w:rsidP="000C206C">
      <w:pPr>
        <w:pStyle w:val="Guide-Heading6"/>
        <w:rPr>
          <w:lang w:val="sl-SI"/>
        </w:rPr>
      </w:pPr>
      <w:r w:rsidRPr="001048FE">
        <w:rPr>
          <w:lang w:val="sl-SI"/>
        </w:rPr>
        <w:t>Oblikovanje mednarodnih poklicnih učnih načrtov na ravni celotnega sektorja:</w:t>
      </w:r>
    </w:p>
    <w:p w14:paraId="7D399515" w14:textId="77777777" w:rsidR="00E03711" w:rsidRPr="00FC4A70" w:rsidRDefault="00E03711" w:rsidP="005115F2">
      <w:pPr>
        <w:pStyle w:val="Guide-NormalBulletpoints"/>
        <w:numPr>
          <w:ilvl w:val="0"/>
          <w:numId w:val="285"/>
        </w:numPr>
        <w:rPr>
          <w:lang w:val="sl-SI"/>
        </w:rPr>
      </w:pPr>
      <w:r w:rsidRPr="00FC4A70">
        <w:rPr>
          <w:rFonts w:eastAsia="Calibri"/>
          <w:bdr w:val="nil"/>
          <w:shd w:val="clear" w:color="auto" w:fill="auto"/>
          <w:lang w:val="sl-SI"/>
        </w:rPr>
        <w:t xml:space="preserve">kadar je potrebno, zbiranje in interpretiranje dokazov glede potreb po znanju in spretnostih na trgu dela v določenem gospodarskem sektorju temelji na Evropski panorami spretnosti in, kjer je relevantno, delu </w:t>
      </w:r>
      <w:r>
        <w:rPr>
          <w:rFonts w:eastAsia="Calibri"/>
          <w:bdr w:val="nil"/>
          <w:shd w:val="clear" w:color="auto" w:fill="auto"/>
          <w:lang w:val="sl-SI"/>
        </w:rPr>
        <w:t>obstoječih</w:t>
      </w:r>
      <w:r w:rsidRPr="00FC4A70">
        <w:rPr>
          <w:rFonts w:eastAsia="Calibri"/>
          <w:bdr w:val="nil"/>
          <w:shd w:val="clear" w:color="auto" w:fill="auto"/>
          <w:lang w:val="sl-SI"/>
        </w:rPr>
        <w:t xml:space="preserve"> </w:t>
      </w:r>
      <w:r>
        <w:rPr>
          <w:rFonts w:eastAsia="Calibri"/>
          <w:bdr w:val="nil"/>
          <w:shd w:val="clear" w:color="auto" w:fill="auto"/>
          <w:lang w:val="sl-SI"/>
        </w:rPr>
        <w:t xml:space="preserve">koalicij </w:t>
      </w:r>
      <w:r w:rsidRPr="00FC4A70">
        <w:rPr>
          <w:rFonts w:eastAsia="Calibri"/>
          <w:bdr w:val="nil"/>
          <w:shd w:val="clear" w:color="auto" w:fill="auto"/>
          <w:lang w:val="sl-SI"/>
        </w:rPr>
        <w:t>sektorskih</w:t>
      </w:r>
      <w:r>
        <w:rPr>
          <w:rFonts w:eastAsia="Calibri"/>
          <w:bdr w:val="nil"/>
          <w:shd w:val="clear" w:color="auto" w:fill="auto"/>
          <w:lang w:val="sl-SI"/>
        </w:rPr>
        <w:t xml:space="preserve"> spretnosti</w:t>
      </w:r>
      <w:r w:rsidRPr="00FC4A70">
        <w:rPr>
          <w:rFonts w:eastAsia="Calibri"/>
          <w:bdr w:val="nil"/>
          <w:shd w:val="clear" w:color="auto" w:fill="auto"/>
          <w:lang w:val="sl-SI"/>
        </w:rPr>
        <w:t>;</w:t>
      </w:r>
    </w:p>
    <w:p w14:paraId="7D399516" w14:textId="77777777" w:rsidR="00E03711" w:rsidRPr="00FC4A70" w:rsidRDefault="00E03711" w:rsidP="005115F2">
      <w:pPr>
        <w:pStyle w:val="Guide-NormalBulletpoints"/>
        <w:numPr>
          <w:ilvl w:val="0"/>
          <w:numId w:val="285"/>
        </w:numPr>
        <w:rPr>
          <w:lang w:val="sl-SI"/>
        </w:rPr>
      </w:pPr>
      <w:r w:rsidRPr="00FC4A70">
        <w:rPr>
          <w:rFonts w:eastAsia="Calibri"/>
          <w:bdr w:val="nil"/>
          <w:shd w:val="clear" w:color="auto" w:fill="auto"/>
          <w:lang w:val="sl-SI"/>
        </w:rPr>
        <w:t>opredelitev potreb v zvezi z zagotavljanjem usposabljanja, in sicer na podlagi poklicnih profilov iz Evropske klasifikacije spretnosti/kompetenc, kvalifikacij in poklicev (ESCO, European Skills, Competencies, Qualifications and Occupations), kjer so na voljo;</w:t>
      </w:r>
    </w:p>
    <w:p w14:paraId="7D399517" w14:textId="77777777" w:rsidR="00E03711" w:rsidRPr="001048FE" w:rsidRDefault="00E03711" w:rsidP="005115F2">
      <w:pPr>
        <w:pStyle w:val="Guide-NormalBulletpoints"/>
        <w:numPr>
          <w:ilvl w:val="0"/>
          <w:numId w:val="285"/>
        </w:numPr>
        <w:rPr>
          <w:lang w:val="sl-SI"/>
        </w:rPr>
      </w:pPr>
      <w:r w:rsidRPr="001048FE">
        <w:rPr>
          <w:lang w:val="sl-SI"/>
        </w:rPr>
        <w:t>na podlagi opredeljenih potreb po spretnostih za posebne poklicne profile v določenem gospodarskem sektorju opredelitev in oblikovanje učnih načrtov ali</w:t>
      </w:r>
      <w:r>
        <w:rPr>
          <w:lang w:val="sl-SI"/>
        </w:rPr>
        <w:t>, kjer je to smiselno,</w:t>
      </w:r>
      <w:r w:rsidRPr="001048FE">
        <w:rPr>
          <w:lang w:val="sl-SI"/>
        </w:rPr>
        <w:t xml:space="preserve"> standardov kvalifikacij v zvezi s PIU (v skladu z EOK in na podlagi ESCO) kot odziv na te potrebe;</w:t>
      </w:r>
    </w:p>
    <w:p w14:paraId="7D399518" w14:textId="77777777" w:rsidR="00E03711" w:rsidRPr="001048FE" w:rsidRDefault="00E03711" w:rsidP="005115F2">
      <w:pPr>
        <w:pStyle w:val="Guide-NormalBulletpoints"/>
        <w:numPr>
          <w:ilvl w:val="0"/>
          <w:numId w:val="285"/>
        </w:numPr>
        <w:rPr>
          <w:lang w:val="sl-SI"/>
        </w:rPr>
      </w:pPr>
      <w:r w:rsidRPr="001048FE">
        <w:rPr>
          <w:lang w:val="sl-SI"/>
        </w:rPr>
        <w:t xml:space="preserve">vključevanje potreb po spretnostih v inovativne modularne, v učne izide usmerjene programe in/ali kvalifikacije PIU (z uporabo sistema ECVET za zasnovo kvalifikacij, sestavljenih iz enot učnih izidov), da se omogočita preglednost in primerljivost, pri čemer je treba upoštevati tudi potrebe po ovrednotenju predhodnega učenja (npr. neformalnega ali priložnostnega); </w:t>
      </w:r>
    </w:p>
    <w:p w14:paraId="7D399519" w14:textId="77777777" w:rsidR="00E03711" w:rsidRPr="001048FE" w:rsidRDefault="00E03711" w:rsidP="005115F2">
      <w:pPr>
        <w:pStyle w:val="Guide-NormalBulletpoints"/>
        <w:numPr>
          <w:ilvl w:val="0"/>
          <w:numId w:val="285"/>
        </w:numPr>
        <w:rPr>
          <w:lang w:val="sl-SI"/>
        </w:rPr>
      </w:pPr>
      <w:r w:rsidRPr="001048FE">
        <w:rPr>
          <w:lang w:val="sl-SI"/>
        </w:rPr>
        <w:t>izvajanje kakovosti pri novih vsebinah usposabljanja z uporabo načel zagotavljanja kakovosti iz okvira EQAVET ali uporabo obstoječih sistemov zagotavljanja kakovosti, ki pa bi morali biti skladni z okvirom EQAVET;</w:t>
      </w:r>
    </w:p>
    <w:p w14:paraId="7D39951A" w14:textId="77777777" w:rsidR="00E03711" w:rsidRPr="001048FE" w:rsidRDefault="00E03711" w:rsidP="005115F2">
      <w:pPr>
        <w:pStyle w:val="Guide-NormalBulletpoints"/>
        <w:numPr>
          <w:ilvl w:val="0"/>
          <w:numId w:val="285"/>
        </w:numPr>
        <w:rPr>
          <w:lang w:val="sl-SI"/>
        </w:rPr>
      </w:pPr>
      <w:r w:rsidRPr="001048FE">
        <w:rPr>
          <w:lang w:val="sl-SI"/>
        </w:rPr>
        <w:t>vključevanje obdobij učenja na delovnem mestu v nove vsebine usposabljanja, vključno z možnostmi za uporabo znanja v praktičnih in „resničnih“ situacijah na delovnem mestu, ter vključevanje mednarodnih učnih izkušenj, kadar koli je mogoče;</w:t>
      </w:r>
    </w:p>
    <w:p w14:paraId="7D39951B" w14:textId="77777777" w:rsidR="00E03711" w:rsidRPr="001048FE" w:rsidRDefault="00E03711" w:rsidP="005115F2">
      <w:pPr>
        <w:pStyle w:val="Guide-NormalBulletpoints"/>
        <w:numPr>
          <w:ilvl w:val="0"/>
          <w:numId w:val="285"/>
        </w:numPr>
        <w:rPr>
          <w:lang w:val="sl-SI"/>
        </w:rPr>
      </w:pPr>
      <w:r w:rsidRPr="001048FE">
        <w:rPr>
          <w:lang w:val="sl-SI"/>
        </w:rPr>
        <w:t>oblikovanje izvajanja PIU s poudarkom na spretnostih za določena delovna mesta ter na ključnih kompetencah</w:t>
      </w:r>
      <w:r w:rsidRPr="001048FE">
        <w:rPr>
          <w:rStyle w:val="FootnoteReference"/>
          <w:lang w:val="sl-SI"/>
        </w:rPr>
        <w:footnoteReference w:id="127"/>
      </w:r>
      <w:r w:rsidRPr="001048FE">
        <w:rPr>
          <w:lang w:val="sl-SI"/>
        </w:rPr>
        <w:t>, mehkih veščinah in področjih naravoslovja, tehnologije, inženirstva in matematike, hkrati pa zagotavljanje učinkovitih možnosti za pridobivanje ali razvoj teh kompetenc, zlasti v okvirih z delom povezanega usposabljanja;</w:t>
      </w:r>
    </w:p>
    <w:p w14:paraId="7D39951C" w14:textId="77777777" w:rsidR="00E03711" w:rsidRPr="001048FE" w:rsidRDefault="00E03711" w:rsidP="005115F2">
      <w:pPr>
        <w:pStyle w:val="Guide-NormalBulletpoints"/>
        <w:numPr>
          <w:ilvl w:val="0"/>
          <w:numId w:val="285"/>
        </w:numPr>
        <w:rPr>
          <w:lang w:val="sl-SI"/>
        </w:rPr>
      </w:pPr>
      <w:r w:rsidRPr="001048FE">
        <w:rPr>
          <w:lang w:val="sl-SI"/>
        </w:rPr>
        <w:t>spodbujanje ustreznih področnih kvalifikacij, pridobljenih v okviru PIU (vključno z mednarodnimi skupnimi programi, ki jih izvaja več ponudnikov PIU), in dogovora o podpori za njihovo priznavanje z izvajanjem načel ECVET ter umeščanje kvalifikacij v nacionalna ogrodja kvalifikacij in evropsko ogrodje kvalifikacij (EOK) ter druga ustrezna evropska orodja in instrumente v zadevnem sektorju;</w:t>
      </w:r>
    </w:p>
    <w:p w14:paraId="7D39951D" w14:textId="77777777" w:rsidR="00E03711" w:rsidRPr="001048FE" w:rsidRDefault="00E03711" w:rsidP="005115F2">
      <w:pPr>
        <w:pStyle w:val="Guide-NormalBulletpoints"/>
        <w:numPr>
          <w:ilvl w:val="0"/>
          <w:numId w:val="285"/>
        </w:numPr>
        <w:rPr>
          <w:lang w:val="sl-SI"/>
        </w:rPr>
      </w:pPr>
      <w:r w:rsidRPr="001048FE">
        <w:rPr>
          <w:lang w:val="sl-SI"/>
        </w:rPr>
        <w:t>izboljšanje priznavanja kvalifikacij v določenem sektorju na evropski in nacionalni ravni s spodbujanjem in doseganjem dogovorov o področnih kvalifikacijah, spodbujanje čezmejnega potrjevanja kvalifikacij in vzpostavljanje vzajemnega zaupanja ter s tem prispevanje k večji mobilnosti dijakov in poklicni mobilnosti v sektorju;</w:t>
      </w:r>
    </w:p>
    <w:p w14:paraId="7D39951E" w14:textId="77777777" w:rsidR="00E03711" w:rsidRPr="001048FE" w:rsidRDefault="00E03711" w:rsidP="005115F2">
      <w:pPr>
        <w:pStyle w:val="Guide-NormalBulletpoints"/>
        <w:numPr>
          <w:ilvl w:val="0"/>
          <w:numId w:val="285"/>
        </w:numPr>
        <w:rPr>
          <w:lang w:val="sl-SI"/>
        </w:rPr>
      </w:pPr>
      <w:r w:rsidRPr="001048FE">
        <w:rPr>
          <w:lang w:val="sl-SI"/>
        </w:rPr>
        <w:t>opredelitev, dokumentiranje in spodbujanje uspešnih projektov in dobrih praks v zvezi s spretnostmi ali kvalifikacijami ter tistih projektov in dobrih praks, ki spodbujajo partnerstva več deležnikov, vključno s tistimi iz drugih sektorjev ali zunaj Evrope, ter priprava podrobnih predlogov za njihovo posnemanje ali nadgrajevanje, če je ustrezno;</w:t>
      </w:r>
    </w:p>
    <w:p w14:paraId="7D39951F" w14:textId="77777777" w:rsidR="00E03711" w:rsidRPr="001048FE" w:rsidRDefault="00E03711" w:rsidP="005115F2">
      <w:pPr>
        <w:pStyle w:val="Guide-NormalBulletpoints"/>
        <w:numPr>
          <w:ilvl w:val="0"/>
          <w:numId w:val="285"/>
        </w:numPr>
        <w:rPr>
          <w:lang w:val="sl-SI"/>
        </w:rPr>
      </w:pPr>
      <w:r w:rsidRPr="001048FE">
        <w:rPr>
          <w:lang w:val="sl-SI"/>
        </w:rPr>
        <w:t>po potrebi zagotavljanje, da so rezultati projekta na voljo v formatu odprtih podatkov, da jih je mogoče uvoziti v panoramo spretnosti in klasifikacijo ESCO.</w:t>
      </w:r>
    </w:p>
    <w:p w14:paraId="7D399520" w14:textId="77777777" w:rsidR="00E03711" w:rsidRPr="001048FE" w:rsidRDefault="00E03711" w:rsidP="00E462C8">
      <w:pPr>
        <w:pStyle w:val="GUIDE-NORMAL"/>
        <w:rPr>
          <w:b/>
          <w:lang w:val="sl-SI"/>
        </w:rPr>
      </w:pPr>
      <w:r w:rsidRPr="001048FE">
        <w:rPr>
          <w:b/>
          <w:lang w:val="sl-SI"/>
        </w:rPr>
        <w:t>Izvajanje poklicnih učnih načrtov:</w:t>
      </w:r>
    </w:p>
    <w:p w14:paraId="7D399521" w14:textId="77777777" w:rsidR="00E03711" w:rsidRPr="004302CD" w:rsidRDefault="00E03711" w:rsidP="005115F2">
      <w:pPr>
        <w:pStyle w:val="Guide-NormalBulletpoints"/>
        <w:numPr>
          <w:ilvl w:val="0"/>
          <w:numId w:val="286"/>
        </w:numPr>
        <w:rPr>
          <w:lang w:val="sl-SI"/>
        </w:rPr>
      </w:pPr>
      <w:r w:rsidRPr="00FC4A70">
        <w:rPr>
          <w:rFonts w:eastAsia="Calibri" w:cs="Calibri"/>
          <w:bCs/>
          <w:bdr w:val="nil"/>
          <w:shd w:val="clear" w:color="auto" w:fill="auto"/>
          <w:lang w:val="sl-SI"/>
        </w:rPr>
        <w:t>opredelitev najprimernejših metodologij izvajanja za učne načrte z uporabo inovativnih pristopov k poučevanju in učenju ter strateške in celostne uporabe IKT (npr. kombiniranega učenja, simulatorjev,</w:t>
      </w:r>
      <w:r w:rsidRPr="00FC4A70">
        <w:rPr>
          <w:rFonts w:ascii="Times New Roman" w:hAnsi="Times New Roman" w:cs="Times New Roman"/>
          <w:bCs/>
          <w:sz w:val="24"/>
          <w:szCs w:val="24"/>
          <w:bdr w:val="nil"/>
          <w:shd w:val="clear" w:color="auto" w:fill="auto"/>
          <w:lang w:val="sl-SI"/>
        </w:rPr>
        <w:t xml:space="preserve"> </w:t>
      </w:r>
      <w:r w:rsidRPr="00FC4A70">
        <w:rPr>
          <w:rFonts w:eastAsia="Calibri" w:cs="Calibri"/>
          <w:bCs/>
          <w:bdr w:val="nil"/>
          <w:shd w:val="clear" w:color="auto" w:fill="auto"/>
          <w:lang w:val="sl-SI"/>
        </w:rPr>
        <w:t>razširjene resničnosti itd.), virtualnih/kombiniranih rešitev mobilnosti za učence in osebje in prosto dostopnih učnih virov (npr. MOOC</w:t>
      </w:r>
      <w:r>
        <w:rPr>
          <w:rStyle w:val="FootnoteReference"/>
          <w:rFonts w:eastAsia="Calibri" w:cs="Calibri"/>
          <w:bCs/>
          <w:bdr w:val="nil"/>
          <w:shd w:val="clear" w:color="auto" w:fill="auto"/>
          <w:lang w:val="sl-SI"/>
        </w:rPr>
        <w:footnoteReference w:id="128"/>
      </w:r>
      <w:r w:rsidRPr="00FC4A70">
        <w:rPr>
          <w:rFonts w:eastAsia="Calibri" w:cs="Calibri"/>
          <w:bCs/>
          <w:bdr w:val="nil"/>
          <w:shd w:val="clear" w:color="auto" w:fill="auto"/>
          <w:lang w:val="sl-SI"/>
        </w:rPr>
        <w:t>);</w:t>
      </w:r>
    </w:p>
    <w:p w14:paraId="7D399522" w14:textId="77777777" w:rsidR="00E03711" w:rsidRPr="001048FE" w:rsidRDefault="00E03711" w:rsidP="005115F2">
      <w:pPr>
        <w:pStyle w:val="Guide-NormalBulletpoints"/>
        <w:numPr>
          <w:ilvl w:val="0"/>
          <w:numId w:val="286"/>
        </w:numPr>
        <w:rPr>
          <w:lang w:val="sl-SI"/>
        </w:rPr>
      </w:pPr>
      <w:r w:rsidRPr="001048FE">
        <w:rPr>
          <w:lang w:val="sl-SI"/>
        </w:rPr>
        <w:t xml:space="preserve">opredelitev načinov za izvajanje inovativnih metod poučevanja in učenja v okviru PIU v odziv na potrebe specifičnih ciljnih skupin dijakov ter prek zagotavljanja učenja na delovnem mestu; </w:t>
      </w:r>
    </w:p>
    <w:p w14:paraId="7D399523" w14:textId="77777777" w:rsidR="00E03711" w:rsidRPr="001048FE" w:rsidRDefault="00E03711" w:rsidP="005115F2">
      <w:pPr>
        <w:pStyle w:val="Guide-NormalBulletpoints"/>
        <w:numPr>
          <w:ilvl w:val="0"/>
          <w:numId w:val="286"/>
        </w:numPr>
        <w:rPr>
          <w:lang w:val="sl-SI"/>
        </w:rPr>
      </w:pPr>
      <w:r w:rsidRPr="001048FE">
        <w:rPr>
          <w:lang w:val="sl-SI"/>
        </w:rPr>
        <w:t>razvoj ukrepov za spodbujanje medgeneracijskega prenosa znanja v okviru PIU;</w:t>
      </w:r>
    </w:p>
    <w:p w14:paraId="7D399524" w14:textId="77777777" w:rsidR="00E03711" w:rsidRPr="001048FE" w:rsidRDefault="00E03711" w:rsidP="005115F2">
      <w:pPr>
        <w:pStyle w:val="Guide-NormalBulletpoints"/>
        <w:numPr>
          <w:ilvl w:val="0"/>
          <w:numId w:val="286"/>
        </w:numPr>
        <w:rPr>
          <w:lang w:val="sl-SI"/>
        </w:rPr>
      </w:pPr>
      <w:r w:rsidRPr="001048FE">
        <w:rPr>
          <w:lang w:val="sl-SI"/>
        </w:rPr>
        <w:t>opis načinov, kako lahko metodologije in postopki ocenjevanja vključujejo vse oblike učenja, vključno z učenjem na delovnem mestu, ter omogočajo vrednotenje spretnosti in kompetenc, pridobljenih pred usposabljanjem;</w:t>
      </w:r>
    </w:p>
    <w:p w14:paraId="7D399525" w14:textId="77777777" w:rsidR="00E03711" w:rsidRPr="001048FE" w:rsidRDefault="00E03711" w:rsidP="005115F2">
      <w:pPr>
        <w:pStyle w:val="Guide-NormalBulletpoints"/>
        <w:numPr>
          <w:ilvl w:val="0"/>
          <w:numId w:val="286"/>
        </w:numPr>
        <w:rPr>
          <w:lang w:val="sl-SI"/>
        </w:rPr>
      </w:pPr>
      <w:r w:rsidRPr="001048FE">
        <w:rPr>
          <w:lang w:val="sl-SI"/>
        </w:rPr>
        <w:t>opredelitev ustreznih ukrepov za spremljanje dijakov po končanem usposabljanju za zagotavljanje „povratnih zank“</w:t>
      </w:r>
      <w:r w:rsidRPr="001048FE">
        <w:rPr>
          <w:rStyle w:val="FootnoteReference"/>
          <w:lang w:val="sl-SI"/>
        </w:rPr>
        <w:footnoteReference w:id="129"/>
      </w:r>
      <w:r w:rsidRPr="001048FE">
        <w:rPr>
          <w:lang w:val="sl-SI"/>
        </w:rPr>
        <w:t>. Ti sistemi spremljanja in povratnih informacij lahko temeljijo na informacijah, pridobljenih od podjetij, dijakov/zaposlenih, iz javnih informacijskih virov in od deležnikov na trgu dela;</w:t>
      </w:r>
    </w:p>
    <w:p w14:paraId="7D399526" w14:textId="77777777" w:rsidR="00E03711" w:rsidRPr="001048FE" w:rsidRDefault="00E03711" w:rsidP="005115F2">
      <w:pPr>
        <w:pStyle w:val="Guide-NormalBulletpoints"/>
        <w:numPr>
          <w:ilvl w:val="0"/>
          <w:numId w:val="286"/>
        </w:numPr>
        <w:rPr>
          <w:lang w:val="sl-SI"/>
        </w:rPr>
      </w:pPr>
      <w:r w:rsidRPr="001048FE">
        <w:rPr>
          <w:lang w:val="sl-SI"/>
        </w:rPr>
        <w:t>predlaganje ustreznih ukrepov za formalno priznavanje novih ali prilagojenih poklicnih učnih načrtov in kvalifikacij v sodelujočih državah in zajetih sektorjih;</w:t>
      </w:r>
    </w:p>
    <w:p w14:paraId="7D399527" w14:textId="77777777" w:rsidR="00E03711" w:rsidRPr="001048FE" w:rsidRDefault="00E03711" w:rsidP="005115F2">
      <w:pPr>
        <w:pStyle w:val="Guide-NormalBulletpoints"/>
        <w:numPr>
          <w:ilvl w:val="0"/>
          <w:numId w:val="286"/>
        </w:numPr>
        <w:rPr>
          <w:lang w:val="sl-SI"/>
        </w:rPr>
      </w:pPr>
      <w:r w:rsidRPr="001048FE">
        <w:rPr>
          <w:lang w:val="sl-SI"/>
        </w:rPr>
        <w:t>načrtovanje postopnega uvajanja rezultatov projekta s sistemskim učinkom.</w:t>
      </w:r>
    </w:p>
    <w:p w14:paraId="7D399528" w14:textId="77777777" w:rsidR="00E03711" w:rsidRPr="001048FE" w:rsidRDefault="00E03711" w:rsidP="000C206C">
      <w:pPr>
        <w:pStyle w:val="Guide-Heading6"/>
        <w:rPr>
          <w:lang w:val="sl-SI"/>
        </w:rPr>
      </w:pPr>
      <w:r w:rsidRPr="001048FE">
        <w:rPr>
          <w:lang w:val="sl-SI"/>
        </w:rPr>
        <w:t xml:space="preserve">Sklop </w:t>
      </w:r>
      <w:r>
        <w:rPr>
          <w:lang w:val="sl-SI"/>
        </w:rPr>
        <w:t>2</w:t>
      </w:r>
      <w:r w:rsidRPr="001048FE">
        <w:rPr>
          <w:lang w:val="sl-SI"/>
        </w:rPr>
        <w:t>: Koalicije sektorskih spretnosti za izvajanje novega strateškega pristopa (načrta) k sektorskemu sodelovanju na področju spretnosti</w:t>
      </w:r>
    </w:p>
    <w:p w14:paraId="7D399529" w14:textId="77777777" w:rsidR="00E03711" w:rsidRPr="001048FE" w:rsidRDefault="00E03711" w:rsidP="000503EB">
      <w:pPr>
        <w:pStyle w:val="GUIDE-NORMAL"/>
        <w:rPr>
          <w:lang w:val="sl-SI"/>
        </w:rPr>
      </w:pPr>
      <w:r w:rsidRPr="001048FE">
        <w:rPr>
          <w:lang w:val="sl-SI"/>
        </w:rPr>
        <w:t xml:space="preserve">Koalicije sektorskih spretnosti v okviru tega sklopa bodo vzpostavile trajnostno sodelovanje na področju razvoja spretnosti med ključnimi deležniki iz industrije v določenem sektorju, ponudniki izobraževanja in usposabljanja ter javnimi organi. Koalicije v tem sklopu zajemajo aktivnosti sklopa </w:t>
      </w:r>
      <w:r>
        <w:rPr>
          <w:lang w:val="sl-SI"/>
        </w:rPr>
        <w:t>1</w:t>
      </w:r>
      <w:r w:rsidRPr="001048FE">
        <w:rPr>
          <w:lang w:val="sl-SI"/>
        </w:rPr>
        <w:t>. Poleg tega morajo zajemati naslednje aktivnosti:</w:t>
      </w:r>
    </w:p>
    <w:p w14:paraId="7D39952A" w14:textId="77777777" w:rsidR="00E03711" w:rsidRPr="001048FE" w:rsidRDefault="00E03711" w:rsidP="005115F2">
      <w:pPr>
        <w:pStyle w:val="Guide-NormalBulletpoints"/>
        <w:numPr>
          <w:ilvl w:val="0"/>
          <w:numId w:val="287"/>
        </w:numPr>
        <w:rPr>
          <w:lang w:val="sl-SI"/>
        </w:rPr>
      </w:pPr>
      <w:r w:rsidRPr="001048FE">
        <w:rPr>
          <w:lang w:val="sl-SI"/>
        </w:rPr>
        <w:t>razvoj strategije sektorskih spretnosti za podpiranje ciljev oblikovane strategije za rast za sektor. Ta strategija bi morala biti prvi ključni cilj projekta, v njej pa je treba opredeliti konkretne ukrepe ter navesti jasen sklop aktivnosti, mejnikov in natančno opredeljenih rezultatov, da se predlagajo načini uskladitve povpraševanja po spretnostih z njihovo ponudbo. V njej bi bilo treba podobno opredeliti, kako bodo pomembna gibanja, kot je svetovni, družbeni in tehnološki razvoj v sektorju, verjetno vplivala na delovna mesta ter potrebe po spretnostih. Opisati bi bilo treba pričakovani časovni okvir ter posebno pozornost nameniti vplivu digitalnih in ključnih omogočitvenih tehnologij;</w:t>
      </w:r>
    </w:p>
    <w:p w14:paraId="7D39952B" w14:textId="77777777" w:rsidR="00E03711" w:rsidRPr="001048FE" w:rsidRDefault="00E03711" w:rsidP="005115F2">
      <w:pPr>
        <w:pStyle w:val="Guide-NormalBulletpoints"/>
        <w:numPr>
          <w:ilvl w:val="0"/>
          <w:numId w:val="287"/>
        </w:numPr>
        <w:rPr>
          <w:lang w:val="sl-SI"/>
        </w:rPr>
      </w:pPr>
      <w:r w:rsidRPr="001048FE">
        <w:rPr>
          <w:lang w:val="sl-SI"/>
        </w:rPr>
        <w:t>za podporo in ponazoritev strategije opredelitev, dokumentiranje in spodbujanje konkretnih primerov politik in pobud na nacionalni in regionalni ravni, katerih namen je obravnava pomanjkanj spretnosti in neusklajenosti v spretnostih ter spodbujanje partnerstev več deležnikov (npr. med industrijo, socialnimi partnerji, izobraževanjem in usposabljanjem, javnimi organi). Take primere bi bilo treba predstaviti v obliki informativnih pregledov, ki vsebujejo jasen opis politike/projekta, vloge in odgovornosti različnih deležnikov, trajanja, financiranja (kjer je na voljo) in rezultatov;</w:t>
      </w:r>
    </w:p>
    <w:p w14:paraId="7D39952C" w14:textId="77777777" w:rsidR="00E03711" w:rsidRPr="001048FE" w:rsidRDefault="00E03711" w:rsidP="005115F2">
      <w:pPr>
        <w:pStyle w:val="Guide-NormalBulletpoints"/>
        <w:numPr>
          <w:ilvl w:val="0"/>
          <w:numId w:val="287"/>
        </w:numPr>
        <w:rPr>
          <w:lang w:val="sl-SI"/>
        </w:rPr>
      </w:pPr>
      <w:r w:rsidRPr="001048FE">
        <w:rPr>
          <w:lang w:val="sl-SI"/>
        </w:rPr>
        <w:t>razvoj skupne metodologije za oceno sedanjega položaja in predvidevanje prihodnjih potreb ter (letno) spremljanje napredka in razvoja povpraševanja po spretnostih ter njihove ponudbe, in sicer na podlagi verodostojnih scenarijev predvidevanja;</w:t>
      </w:r>
    </w:p>
    <w:p w14:paraId="7D39952D" w14:textId="77777777" w:rsidR="00E03711" w:rsidRPr="001048FE" w:rsidRDefault="00E03711" w:rsidP="005115F2">
      <w:pPr>
        <w:pStyle w:val="Guide-NormalBulletpoints"/>
        <w:numPr>
          <w:ilvl w:val="0"/>
          <w:numId w:val="287"/>
        </w:numPr>
        <w:rPr>
          <w:lang w:val="sl-SI"/>
        </w:rPr>
      </w:pPr>
      <w:r w:rsidRPr="001048FE">
        <w:rPr>
          <w:lang w:val="sl-SI"/>
        </w:rPr>
        <w:t>opredelitev poklicnih profilov, ki jih je treba dopolniti ali ustvariti, in pripadajočih potreb po spretnostih ter zahtevane stopnje znanja, pri čemer se je treba opirati na poklicne profile iz klasifikacije ESCO, kadar so na voljo, in obstoječe okvire kompetenc</w:t>
      </w:r>
      <w:r w:rsidRPr="001048FE">
        <w:rPr>
          <w:rStyle w:val="FootnoteReference"/>
          <w:lang w:val="sl-SI"/>
        </w:rPr>
        <w:footnoteReference w:id="130"/>
      </w:r>
      <w:r w:rsidRPr="001048FE">
        <w:rPr>
          <w:lang w:val="sl-SI"/>
        </w:rPr>
        <w:t xml:space="preserve">; po potrebi se lahko razmisli o razvoju okvirov področnih kompetenc; </w:t>
      </w:r>
    </w:p>
    <w:p w14:paraId="7D39952E" w14:textId="77777777" w:rsidR="00E03711" w:rsidRPr="001048FE" w:rsidRDefault="00E03711" w:rsidP="005115F2">
      <w:pPr>
        <w:pStyle w:val="Guide-NormalBulletpoints"/>
        <w:numPr>
          <w:ilvl w:val="0"/>
          <w:numId w:val="287"/>
        </w:numPr>
        <w:rPr>
          <w:lang w:val="sl-SI"/>
        </w:rPr>
      </w:pPr>
      <w:r w:rsidRPr="001048FE">
        <w:rPr>
          <w:lang w:val="sl-SI"/>
        </w:rPr>
        <w:t>opredelitev, opis in navedba prednostnih nalog za pregled ali oblikovanje novih kvalifikacij na podlagi ustreznih poklicnih profilov;</w:t>
      </w:r>
    </w:p>
    <w:p w14:paraId="7D39952F" w14:textId="77777777" w:rsidR="00E03711" w:rsidRPr="001048FE" w:rsidRDefault="00E03711" w:rsidP="005115F2">
      <w:pPr>
        <w:pStyle w:val="Guide-NormalBulletpoints"/>
        <w:numPr>
          <w:ilvl w:val="0"/>
          <w:numId w:val="287"/>
        </w:numPr>
        <w:rPr>
          <w:lang w:val="sl-SI"/>
        </w:rPr>
      </w:pPr>
      <w:r w:rsidRPr="001048FE">
        <w:rPr>
          <w:lang w:val="sl-SI"/>
        </w:rPr>
        <w:t>spodbujanje razvoja konkretnih rešitev pri zagotavljanju PIU (vključno z višjim strokovnim izobraževanjem) ter partnerstev med podjetji, izobraževanjem in raziskavami;</w:t>
      </w:r>
    </w:p>
    <w:p w14:paraId="7D399530" w14:textId="77777777" w:rsidR="00E03711" w:rsidRPr="001048FE" w:rsidRDefault="00E03711" w:rsidP="005115F2">
      <w:pPr>
        <w:pStyle w:val="Guide-NormalBulletpoints"/>
        <w:numPr>
          <w:ilvl w:val="0"/>
          <w:numId w:val="287"/>
        </w:numPr>
        <w:rPr>
          <w:lang w:val="sl-SI"/>
        </w:rPr>
      </w:pPr>
      <w:r w:rsidRPr="001048FE">
        <w:rPr>
          <w:lang w:val="sl-SI"/>
        </w:rPr>
        <w:t>priprava konkretnih rešitev za spodbujanje mobilnosti dijakov PIU, iskalcev zaposlitve in vajencev iz vse Evrope v sektorju, in sicer z uporabo obstoječih orodij EU (npr. Erasmus+, EURES, Drop'pin, evropska koalicija za vajeništva);</w:t>
      </w:r>
    </w:p>
    <w:p w14:paraId="7D399531" w14:textId="77777777" w:rsidR="00E03711" w:rsidRPr="001048FE" w:rsidRDefault="00E03711" w:rsidP="005115F2">
      <w:pPr>
        <w:pStyle w:val="Guide-NormalBulletpoints"/>
        <w:numPr>
          <w:ilvl w:val="0"/>
          <w:numId w:val="287"/>
        </w:numPr>
        <w:rPr>
          <w:lang w:val="sl-SI"/>
        </w:rPr>
      </w:pPr>
      <w:r w:rsidRPr="001048FE">
        <w:rPr>
          <w:lang w:val="sl-SI"/>
        </w:rPr>
        <w:t>priprava ukrepov za spodbujanje privlačnosti zadevnega sektorja pri sprejemanju odločitev o poklicni poti, zlasti med mladimi, ter spodbujanje uravnotežene zastopanosti spolov v tem sektorju;</w:t>
      </w:r>
    </w:p>
    <w:p w14:paraId="7D399532" w14:textId="77777777" w:rsidR="00E03711" w:rsidRPr="001048FE" w:rsidRDefault="00E03711" w:rsidP="005115F2">
      <w:pPr>
        <w:pStyle w:val="Guide-NormalBulletpoints"/>
        <w:numPr>
          <w:ilvl w:val="0"/>
          <w:numId w:val="287"/>
        </w:numPr>
        <w:rPr>
          <w:rStyle w:val="Guide-Condensed-01"/>
          <w:lang w:val="sl-SI"/>
        </w:rPr>
      </w:pPr>
      <w:r w:rsidRPr="001048FE">
        <w:rPr>
          <w:rStyle w:val="Guide-Condensed-01"/>
          <w:lang w:val="sl-SI"/>
        </w:rPr>
        <w:t>oblikovanje dolgoročnega akcijskega načrta za postopno uvajanje rezultatov projekta po njegovem dokončanju. Ta načrt temelji na trajnostnih partnerstvih med ponudniki izobraževanja in usposabljanja ter ključnimi deležniki iz industrije na ustrezni ravni. Vključevati bi moral opredelitev ustreznih upravljavskih struktur ter načrte za nadgradljivost in finančno vzdržnost. Prav tako bi moral zagotavljati ustrezno prepoznavnost in obsežno razširjanje dela koalicije, med drugim tudi na politični ravni EU in nacionalni politični ravni, ter vključevati podroben opis, kako bo uvajanje izvedeno na nacionalni in/ali regionalni ravni v sodelovanju z ustreznimi vladnimi in sektorskimi organi;Akcijski načrt navaja tudi, kako lahko možnosti financiranja EU (npr. evropski strukturni skladi, Evropski sklad za strateške naložbe, Erasmus+, COSME, sektorski programi) ter nacionalno in regionalno financiranje podpirajo strategije na področju spretnosti. Pri tem bi bilo treba upoštevati nacionalne in regionalne strategije pametne specializacije;</w:t>
      </w:r>
    </w:p>
    <w:p w14:paraId="7D399533" w14:textId="77777777" w:rsidR="00E03711" w:rsidRPr="001048FE" w:rsidRDefault="00E03711" w:rsidP="005115F2">
      <w:pPr>
        <w:pStyle w:val="Guide-NormalBulletpoints"/>
        <w:numPr>
          <w:ilvl w:val="0"/>
          <w:numId w:val="287"/>
        </w:numPr>
        <w:rPr>
          <w:lang w:val="sl-SI"/>
        </w:rPr>
      </w:pPr>
      <w:r w:rsidRPr="001048FE">
        <w:rPr>
          <w:lang w:val="sl-SI"/>
        </w:rPr>
        <w:t>zagotavljanje vseh ustreznih kvalitativnih dokazov in kvantitativnih podatkov na ravni EU in/ali državni ravni v skladu s formatom povezanih odprtih podatkov</w:t>
      </w:r>
      <w:r w:rsidRPr="001048FE">
        <w:rPr>
          <w:rStyle w:val="FootnoteReference"/>
          <w:lang w:val="sl-SI"/>
        </w:rPr>
        <w:footnoteReference w:id="131"/>
      </w:r>
      <w:r w:rsidRPr="001048FE">
        <w:rPr>
          <w:lang w:val="sl-SI"/>
        </w:rPr>
        <w:t>.</w:t>
      </w:r>
    </w:p>
    <w:p w14:paraId="7D399534" w14:textId="77777777" w:rsidR="00E03711" w:rsidRPr="001048FE" w:rsidRDefault="00E03711" w:rsidP="000C206C">
      <w:pPr>
        <w:pStyle w:val="Guide-Heading5"/>
        <w:rPr>
          <w:lang w:val="sl-SI"/>
        </w:rPr>
      </w:pPr>
      <w:r w:rsidRPr="001048FE">
        <w:rPr>
          <w:lang w:val="sl-SI"/>
        </w:rPr>
        <w:t>Kakšne so bistvene značilnosti koalicije sektorskih spretnosti?</w:t>
      </w:r>
    </w:p>
    <w:p w14:paraId="7D399535" w14:textId="77777777" w:rsidR="00E03711" w:rsidRPr="001048FE" w:rsidRDefault="00E03711" w:rsidP="000C206C">
      <w:pPr>
        <w:pStyle w:val="GUIDE-NORMAL"/>
        <w:rPr>
          <w:lang w:val="sl-SI"/>
        </w:rPr>
      </w:pPr>
      <w:r w:rsidRPr="001048FE">
        <w:rPr>
          <w:lang w:val="sl-SI"/>
        </w:rPr>
        <w:t>Ključne značilnosti koalicij sektorskih spretnosti so:</w:t>
      </w:r>
    </w:p>
    <w:p w14:paraId="7D399536" w14:textId="77777777" w:rsidR="00E03711" w:rsidRPr="001048FE" w:rsidRDefault="00E03711" w:rsidP="005115F2">
      <w:pPr>
        <w:pStyle w:val="Guide-NormalBulletpoints"/>
        <w:numPr>
          <w:ilvl w:val="0"/>
          <w:numId w:val="288"/>
        </w:numPr>
        <w:rPr>
          <w:lang w:val="sl-SI"/>
        </w:rPr>
      </w:pPr>
      <w:r w:rsidRPr="001048FE">
        <w:rPr>
          <w:lang w:val="sl-SI"/>
        </w:rPr>
        <w:t xml:space="preserve">inovacije v </w:t>
      </w:r>
      <w:r w:rsidRPr="001048FE">
        <w:rPr>
          <w:b/>
          <w:lang w:val="sl-SI"/>
        </w:rPr>
        <w:t>poklicnem izobraževanju in usposabljanju</w:t>
      </w:r>
      <w:r w:rsidRPr="001048FE">
        <w:rPr>
          <w:lang w:val="sl-SI"/>
        </w:rPr>
        <w:t xml:space="preserve"> za določene poklice v gospodarskih sektorjih (ESCO, kadar je na voljo</w:t>
      </w:r>
      <w:r w:rsidRPr="001048FE">
        <w:rPr>
          <w:rStyle w:val="FootnoteReference"/>
          <w:lang w:val="sl-SI"/>
        </w:rPr>
        <w:footnoteReference w:id="132"/>
      </w:r>
      <w:r w:rsidRPr="001048FE">
        <w:rPr>
          <w:lang w:val="sl-SI"/>
        </w:rPr>
        <w:t>) ter</w:t>
      </w:r>
    </w:p>
    <w:p w14:paraId="7D399537" w14:textId="77777777" w:rsidR="00E03711" w:rsidRPr="001048FE" w:rsidRDefault="00E03711" w:rsidP="005115F2">
      <w:pPr>
        <w:pStyle w:val="Guide-NormalBulletpoints"/>
        <w:numPr>
          <w:ilvl w:val="0"/>
          <w:numId w:val="288"/>
        </w:numPr>
        <w:rPr>
          <w:lang w:val="sl-SI"/>
        </w:rPr>
      </w:pPr>
      <w:r w:rsidRPr="001048FE">
        <w:rPr>
          <w:lang w:val="sl-SI"/>
        </w:rPr>
        <w:t>učinek, ki presega življenjski cikel projekta in organizacije, ki sodelujejo v koaliciji. Pričakuje se trajnost partnerstev in aktivnosti. Spremembe v zagotavljanju PIU za poklicne profile morajo biti merljive. Rezultati in rešitve morajo biti prenosljivi in dostopni širši javnosti. Rezultati koalicij sektorskih spretnosti bi morali biti na voljo za uporabo in objavo v evropski panorami spretnosti.</w:t>
      </w:r>
    </w:p>
    <w:p w14:paraId="7D399538" w14:textId="77777777" w:rsidR="00E03711" w:rsidRPr="001048FE" w:rsidRDefault="00E03711" w:rsidP="000C206C">
      <w:pPr>
        <w:pStyle w:val="GUIDE-NORMAL"/>
        <w:rPr>
          <w:lang w:val="sl-SI"/>
        </w:rPr>
      </w:pPr>
      <w:r w:rsidRPr="001048FE">
        <w:rPr>
          <w:lang w:val="sl-SI"/>
        </w:rPr>
        <w:t>Koalicije sektorskih spretnosti morajo pokazati zavezanost in dodano vrednost vseh partnerjev. Partnerji bi morali združiti sistemske in sektorske informacije z dobrim poznavanjem potreb po spretnostih in praks usposabljanja v svojem gospodarskem sektorju. Porazdelitev nalog in izvajanja bi morala biti dobro usklajena s strokovnim znanjem partnerjev in aktivnostmi, za katere so odgovorni. Partnerji bi morali biti reprezentativni za sektor vsaj na nacionalni ravni, imeti evropsko razsežnost in strokovno znanje ali kompetence v napovedovanju potreb po poklicnih spretnostih ali ponudbi poklicnih spretnosti, usposabljanju ali oblikovanju kvalifikacij.</w:t>
      </w:r>
    </w:p>
    <w:p w14:paraId="7D399539" w14:textId="77777777" w:rsidR="00E03711" w:rsidRDefault="00E03711" w:rsidP="00142A6C">
      <w:pPr>
        <w:pStyle w:val="Guide-Normal0"/>
        <w:widowControl w:val="0"/>
        <w:spacing w:before="120" w:after="120"/>
        <w:rPr>
          <w:lang w:val="sl-SI"/>
        </w:rPr>
      </w:pPr>
      <w:r w:rsidRPr="00FC4A70">
        <w:rPr>
          <w:rFonts w:eastAsia="Calibri" w:cs="Calibri"/>
          <w:kern w:val="3"/>
          <w:sz w:val="18"/>
          <w:szCs w:val="18"/>
          <w:bdr w:val="nil"/>
          <w:shd w:val="clear" w:color="auto" w:fill="FFFFFF"/>
          <w:lang w:val="sl-SI"/>
        </w:rPr>
        <w:t xml:space="preserve">Za </w:t>
      </w:r>
      <w:r w:rsidRPr="00FC4A70">
        <w:rPr>
          <w:rFonts w:eastAsia="Calibri" w:cs="Calibri"/>
          <w:b/>
          <w:bCs/>
          <w:kern w:val="3"/>
          <w:sz w:val="18"/>
          <w:szCs w:val="18"/>
          <w:u w:val="single"/>
          <w:bdr w:val="nil"/>
          <w:shd w:val="clear" w:color="auto" w:fill="FFFFFF"/>
          <w:lang w:val="sl-SI"/>
        </w:rPr>
        <w:t xml:space="preserve">sklop 1 </w:t>
      </w:r>
      <w:r w:rsidRPr="00F0391F">
        <w:rPr>
          <w:rFonts w:eastAsia="Calibri" w:cs="Calibri"/>
          <w:b/>
          <w:bCs/>
          <w:kern w:val="3"/>
          <w:sz w:val="18"/>
          <w:szCs w:val="18"/>
          <w:bdr w:val="nil"/>
          <w:shd w:val="clear" w:color="auto" w:fill="FFFFFF"/>
          <w:lang w:val="sl-SI"/>
        </w:rPr>
        <w:t>–</w:t>
      </w:r>
      <w:r w:rsidR="00317C11" w:rsidRPr="00F0391F">
        <w:rPr>
          <w:rFonts w:eastAsia="Calibri" w:cs="Calibri"/>
          <w:b/>
          <w:bCs/>
          <w:kern w:val="3"/>
          <w:sz w:val="18"/>
          <w:szCs w:val="18"/>
          <w:bdr w:val="nil"/>
          <w:shd w:val="clear" w:color="auto" w:fill="FFFFFF"/>
          <w:lang w:val="sl-SI"/>
        </w:rPr>
        <w:t xml:space="preserve"> </w:t>
      </w:r>
      <w:r w:rsidRPr="00FC4A70">
        <w:rPr>
          <w:rFonts w:eastAsia="Calibri" w:cs="Calibri"/>
          <w:b/>
          <w:bCs/>
          <w:kern w:val="3"/>
          <w:sz w:val="18"/>
          <w:szCs w:val="18"/>
          <w:bdr w:val="nil"/>
          <w:shd w:val="clear" w:color="auto" w:fill="FFFFFF"/>
          <w:lang w:val="sl-SI"/>
        </w:rPr>
        <w:t xml:space="preserve">Koalicije sektorskih spretnosti za </w:t>
      </w:r>
      <w:r w:rsidRPr="00317C11">
        <w:rPr>
          <w:b/>
          <w:sz w:val="18"/>
          <w:szCs w:val="18"/>
          <w:lang w:val="sl-SI"/>
        </w:rPr>
        <w:t>oblikovanje in izvajanje PIU</w:t>
      </w:r>
      <w:r w:rsidRPr="001048FE">
        <w:rPr>
          <w:lang w:val="sl-SI"/>
        </w:rPr>
        <w:t xml:space="preserve"> bodo morali partnerji pri izvajanju poklicnega izobraževanja in usposabljanja ali oblikovanju standardov kvalifikacij obstoječe dokaze iz raziskav o potrebah po poklicnih spretnostih razlagati na podlagi skupnega temeljnega evropskega poklicnega profila, pri čemer se bodo morali opirati na klasifikacijo ESCO, kadar je mogoče. </w:t>
      </w:r>
    </w:p>
    <w:p w14:paraId="7D39953A" w14:textId="77777777" w:rsidR="00E03711" w:rsidRPr="006E1B1F" w:rsidRDefault="00E03711" w:rsidP="00860232">
      <w:pPr>
        <w:pStyle w:val="Guide-Normal0"/>
        <w:widowControl w:val="0"/>
        <w:spacing w:before="120" w:after="120"/>
        <w:rPr>
          <w:rFonts w:eastAsia="Times New Roman"/>
          <w:kern w:val="3"/>
          <w:sz w:val="18"/>
          <w:szCs w:val="18"/>
          <w:shd w:val="clear" w:color="auto" w:fill="FFFFFF"/>
          <w:lang w:val="sl-SI"/>
        </w:rPr>
      </w:pPr>
      <w:r w:rsidRPr="006E1B1F">
        <w:rPr>
          <w:rFonts w:eastAsia="Times New Roman"/>
          <w:kern w:val="3"/>
          <w:sz w:val="18"/>
          <w:szCs w:val="18"/>
          <w:shd w:val="clear" w:color="auto" w:fill="FFFFFF"/>
          <w:lang w:val="sl-SI"/>
        </w:rPr>
        <w:t>Kadar je ustrezno, bi se morali opirati na obstoječe študije o sektorskih spretnostih, ki jih je naročila Evropska komisija. Evropska panorama spretnosti zagotavlja številne podatke o spretnostih, analize in študije o poklicih in sektorjih.</w:t>
      </w:r>
    </w:p>
    <w:p w14:paraId="7D39953B" w14:textId="77777777" w:rsidR="00E03711" w:rsidRPr="001048FE" w:rsidRDefault="00E03711" w:rsidP="000C206C">
      <w:pPr>
        <w:pStyle w:val="GUIDE-NORMAL"/>
        <w:rPr>
          <w:lang w:val="sl-SI"/>
        </w:rPr>
      </w:pPr>
      <w:r w:rsidRPr="001048FE">
        <w:rPr>
          <w:lang w:val="sl-SI"/>
        </w:rPr>
        <w:t>Koalicija bi nato morala te dokaze prenesti v inovativne poklicne učne načrte, ki so usmerjeni v učne izide (ki uporabljajo ECVET), zajemajo obdobja učenja na delovnem mestu in bi morali temeljiti na mehanizmih zagotavljanja kakovosti (v skladu z okvirom EQAVET). Partnerji koalicije bi morali v predlogu utemeljiti, katere ukrepe bodo sprejeli v državah in zadevnem sektorju za formalno priznavanje (začetno poklicno izobraževanje in usposabljanje) ali potrjevanje (nadaljevalno poklicno usposabljanje) novih ali prilagojenih poklicnih učnih načrtov ter kako bodo postopki potekali po koncu financiranja s strani EU. Službe za karierno orientacijo bi morale skupaj z regionalnimi ali lokalnimi organi imeti vlogo „posrednika“ pri podpiranju postopka za usklajevanje spretnosti z načrtovanjem poklicnih učnih načrtov, da pritegnejo šole začetnega PIU, mlade ali njihove starše k določenim poklicem, za katere obstaja veliko povpraševanje na trgu dela. Koalicije sektorskih spretnosti naj bi predlagane aktivnosti izvedle tako, da bo učinek na enega ali več povezanih poklicev v danem sektorju čim večji.</w:t>
      </w:r>
    </w:p>
    <w:p w14:paraId="7D39953C" w14:textId="77777777" w:rsidR="00E03711" w:rsidRPr="001048FE" w:rsidRDefault="00E03711" w:rsidP="000C206C">
      <w:pPr>
        <w:pStyle w:val="GUIDE-NORMAL"/>
        <w:rPr>
          <w:lang w:val="sl-SI"/>
        </w:rPr>
      </w:pPr>
      <w:r w:rsidRPr="001048FE">
        <w:rPr>
          <w:lang w:val="sl-SI"/>
        </w:rPr>
        <w:t xml:space="preserve">V </w:t>
      </w:r>
      <w:r w:rsidRPr="00317C11">
        <w:rPr>
          <w:b/>
          <w:u w:val="single"/>
          <w:lang w:val="sl-SI"/>
        </w:rPr>
        <w:t>sklopu 2</w:t>
      </w:r>
      <w:r w:rsidR="00F0391F">
        <w:rPr>
          <w:b/>
          <w:lang w:val="sl-SI"/>
        </w:rPr>
        <w:t xml:space="preserve"> – K</w:t>
      </w:r>
      <w:r w:rsidRPr="001048FE">
        <w:rPr>
          <w:b/>
          <w:lang w:val="sl-SI"/>
        </w:rPr>
        <w:t>oalicije sektorskih spretnosti za izvajanje novega strateškega pristopa (načrta) k sektorskemu sodelovanju na področju spretnosti</w:t>
      </w:r>
      <w:r w:rsidRPr="001048FE">
        <w:rPr>
          <w:lang w:val="sl-SI"/>
        </w:rPr>
        <w:t xml:space="preserve"> bodo morali partnerji poleg navedenega v sklop</w:t>
      </w:r>
      <w:r>
        <w:rPr>
          <w:lang w:val="sl-SI"/>
        </w:rPr>
        <w:t>u1</w:t>
      </w:r>
      <w:r w:rsidRPr="001048FE">
        <w:rPr>
          <w:lang w:val="sl-SI"/>
        </w:rPr>
        <w:t xml:space="preserve"> oblikovati celovit in strateški pristop, ki bo zajemal vse aktivnosti. Ta strateški pristop bi moral biti jasno povezan s splošno strategijo za rast sektorja za zagotavljanje podpore sektorju pri obravnavanju najtežjih izzivov in doseganju srednje- in dolgoročnih ciljev, vključno z vidika rasti, inovacij, konkurenčnosti in zaposlovanja, kadar je ustrezno. Koalicije bodo morale upoštevati najpomembnejši razvoj politike in publikacije na ravni EU, ki se nanašajo na njihov sektor, ter jih tudi vključiti v svoje delo.</w:t>
      </w:r>
    </w:p>
    <w:p w14:paraId="7D39953D" w14:textId="77777777" w:rsidR="00E03711" w:rsidRPr="001048FE" w:rsidRDefault="00E03711" w:rsidP="00CE1B01">
      <w:pPr>
        <w:pStyle w:val="Guide-Heading5"/>
        <w:rPr>
          <w:lang w:val="sl-SI"/>
        </w:rPr>
      </w:pPr>
      <w:r w:rsidRPr="001048FE">
        <w:rPr>
          <w:lang w:val="sl-SI"/>
        </w:rPr>
        <w:t>Kakšna je vloga organizacij, ki sodelujejo v koaliciji sektorskih spretnosti?</w:t>
      </w:r>
    </w:p>
    <w:p w14:paraId="7D39953E" w14:textId="77777777" w:rsidR="00E03711" w:rsidRPr="001048FE" w:rsidRDefault="00E03711" w:rsidP="00CE1B01">
      <w:pPr>
        <w:pStyle w:val="GUIDE-NORMAL"/>
        <w:rPr>
          <w:lang w:val="sl-SI"/>
        </w:rPr>
      </w:pPr>
      <w:r w:rsidRPr="001048FE">
        <w:rPr>
          <w:b/>
          <w:lang w:val="sl-SI"/>
        </w:rPr>
        <w:t>Prijavitelj/koordinator:</w:t>
      </w:r>
      <w:r w:rsidRPr="001048FE">
        <w:rPr>
          <w:lang w:val="sl-SI"/>
        </w:rPr>
        <w:t xml:space="preserve"> sodelujoča organizacija, ki odda predlog projekta v imenu vseh partnerjev. Koordinator je v celoti odgovoren za zagotavljanje, da se projekt izvaja v skladu z dogovorom.</w:t>
      </w:r>
      <w:r>
        <w:rPr>
          <w:lang w:val="sl-SI"/>
        </w:rPr>
        <w:t xml:space="preserve"> </w:t>
      </w:r>
      <w:r w:rsidRPr="001048FE">
        <w:rPr>
          <w:lang w:val="sl-SI"/>
        </w:rPr>
        <w:t xml:space="preserve">Koordiniranje </w:t>
      </w:r>
      <w:r>
        <w:rPr>
          <w:lang w:val="sl-SI"/>
        </w:rPr>
        <w:t xml:space="preserve">odgovornosti </w:t>
      </w:r>
      <w:r w:rsidRPr="001048FE">
        <w:rPr>
          <w:lang w:val="sl-SI"/>
        </w:rPr>
        <w:t>zajema naslednje dolžnosti:</w:t>
      </w:r>
    </w:p>
    <w:p w14:paraId="7D39953F" w14:textId="77777777" w:rsidR="00E03711" w:rsidRPr="001048FE" w:rsidRDefault="00E03711" w:rsidP="005115F2">
      <w:pPr>
        <w:pStyle w:val="Guide-NormalBulletpoints"/>
        <w:numPr>
          <w:ilvl w:val="0"/>
          <w:numId w:val="296"/>
        </w:numPr>
        <w:rPr>
          <w:lang w:val="sl-SI"/>
        </w:rPr>
      </w:pPr>
      <w:r w:rsidRPr="001048FE">
        <w:rPr>
          <w:lang w:val="sl-SI"/>
        </w:rPr>
        <w:t>predstavlja koalicijo in deluje v njenem imenu v odnosu do Evropske komisije;</w:t>
      </w:r>
    </w:p>
    <w:p w14:paraId="7D399540" w14:textId="77777777" w:rsidR="00E03711" w:rsidRPr="001048FE" w:rsidRDefault="00E03711" w:rsidP="005115F2">
      <w:pPr>
        <w:pStyle w:val="Guide-NormalBulletpoints"/>
        <w:numPr>
          <w:ilvl w:val="0"/>
          <w:numId w:val="296"/>
        </w:numPr>
        <w:rPr>
          <w:lang w:val="sl-SI"/>
        </w:rPr>
      </w:pPr>
      <w:r w:rsidRPr="001048FE">
        <w:rPr>
          <w:lang w:val="sl-SI"/>
        </w:rPr>
        <w:t>prevzame finančno in pravno odgovornost za ustrezno operativno, administrativno in finančno izvajanje celotnega projekta;</w:t>
      </w:r>
    </w:p>
    <w:p w14:paraId="7D399541" w14:textId="77777777" w:rsidR="00E03711" w:rsidRPr="001048FE" w:rsidRDefault="00E03711" w:rsidP="005115F2">
      <w:pPr>
        <w:pStyle w:val="Guide-NormalBulletpoints"/>
        <w:numPr>
          <w:ilvl w:val="0"/>
          <w:numId w:val="296"/>
        </w:numPr>
        <w:rPr>
          <w:lang w:val="sl-SI"/>
        </w:rPr>
      </w:pPr>
      <w:r w:rsidRPr="001048FE">
        <w:rPr>
          <w:lang w:val="sl-SI"/>
        </w:rPr>
        <w:t>usklajuje koalicijo v sodelovanju s partnerji projekta.</w:t>
      </w:r>
    </w:p>
    <w:p w14:paraId="7D399542" w14:textId="77777777" w:rsidR="00E03711" w:rsidRPr="001048FE" w:rsidRDefault="00E03711" w:rsidP="00CE1B01">
      <w:pPr>
        <w:pStyle w:val="GUIDE-NORMAL"/>
        <w:rPr>
          <w:lang w:val="sl-SI"/>
        </w:rPr>
      </w:pPr>
      <w:r w:rsidRPr="001048FE">
        <w:rPr>
          <w:b/>
          <w:lang w:val="sl-SI"/>
        </w:rPr>
        <w:t>Polnopravni partnerji:</w:t>
      </w:r>
      <w:r w:rsidRPr="001048FE">
        <w:rPr>
          <w:lang w:val="sl-SI"/>
        </w:rPr>
        <w:t xml:space="preserve"> sodelujoče organizacije, ki dejavno prispevajo k dosežkom koalicije sektorskih spretnosti. Vsak polnopravni partner mora podpisati mandatno pismo, v katerem podpisnik soglaša, da koordinator med izvajanjem projekta v imenu partnerstva prevzame zgoraj navedene dolžnosti.</w:t>
      </w:r>
    </w:p>
    <w:p w14:paraId="7D399543" w14:textId="77777777" w:rsidR="00E03711" w:rsidRPr="001048FE" w:rsidRDefault="00E03711" w:rsidP="005F3D55">
      <w:pPr>
        <w:pStyle w:val="GUIDE-NORMAL"/>
        <w:rPr>
          <w:lang w:val="sl-SI"/>
        </w:rPr>
      </w:pPr>
      <w:r w:rsidRPr="001048FE">
        <w:rPr>
          <w:b/>
          <w:lang w:val="sl-SI"/>
        </w:rPr>
        <w:t>Povezani subjekti (izbirno):</w:t>
      </w:r>
      <w:r w:rsidRPr="001048FE">
        <w:rPr>
          <w:lang w:val="sl-SI"/>
        </w:rPr>
        <w:t xml:space="preserve"> organizacije, ki prispevajo k doseganju ciljev in izvajanju aktivnosti projekta. Povezane subjekte, ki morajo izpolnjevati zahteve iz Priloge III (Glosar pojmov) k temu Vodniku za prijavitelje, je treba opredeliti v vlogi za nepovratna sredstva.</w:t>
      </w:r>
    </w:p>
    <w:p w14:paraId="7D399544" w14:textId="77777777" w:rsidR="00E03711" w:rsidRPr="001048FE" w:rsidRDefault="00E03711" w:rsidP="00CE1B01">
      <w:pPr>
        <w:pStyle w:val="GUIDE-NORMAL"/>
        <w:rPr>
          <w:lang w:val="sl-SI"/>
        </w:rPr>
      </w:pPr>
      <w:r w:rsidRPr="001048FE">
        <w:rPr>
          <w:b/>
          <w:lang w:val="sl-SI"/>
        </w:rPr>
        <w:t>Pridruženi partnerji (izbirno):</w:t>
      </w:r>
      <w:r w:rsidRPr="001048FE">
        <w:rPr>
          <w:lang w:val="sl-SI"/>
        </w:rPr>
        <w:t xml:space="preserve"> v koalicije sektorskih spretnosti so lahko vključeni pridruženi partnerji, ki prispevajo k aktivnostim koalicije sektorskih spretnosti. Pogodbene zahteve zanje ne veljajo, saj ne prejmejo sredstev. Vendar morajo biti jasno navedeni njihova vključenost in vloga v projektu ter različni delovni sklopi.</w:t>
      </w:r>
    </w:p>
    <w:p w14:paraId="7D399545" w14:textId="77777777" w:rsidR="00E03711" w:rsidRPr="001048FE" w:rsidRDefault="00E03711" w:rsidP="00CE1B01">
      <w:pPr>
        <w:pStyle w:val="Guide-Heading5"/>
        <w:rPr>
          <w:lang w:val="sl-SI"/>
        </w:rPr>
        <w:sectPr w:rsidR="00E03711" w:rsidRPr="001048FE" w:rsidSect="00E15ED3">
          <w:headerReference w:type="even" r:id="rId92"/>
          <w:headerReference w:type="default" r:id="rId93"/>
          <w:endnotePr>
            <w:numFmt w:val="decimal"/>
          </w:endnotePr>
          <w:pgSz w:w="11910" w:h="16840" w:code="9"/>
          <w:pgMar w:top="1134" w:right="1418" w:bottom="1134" w:left="1418" w:header="284" w:footer="567" w:gutter="0"/>
          <w:cols w:space="720"/>
          <w:docGrid w:linePitch="326"/>
        </w:sectPr>
      </w:pPr>
    </w:p>
    <w:p w14:paraId="7D399546" w14:textId="77777777" w:rsidR="00E03711" w:rsidRPr="001048FE" w:rsidRDefault="00E03711" w:rsidP="00CE1B01">
      <w:pPr>
        <w:pStyle w:val="Guide-Heading5"/>
        <w:rPr>
          <w:lang w:val="sl-SI"/>
        </w:rPr>
      </w:pPr>
      <w:r w:rsidRPr="001048FE">
        <w:rPr>
          <w:lang w:val="sl-SI"/>
        </w:rPr>
        <w:t>Kakšna so merila za oceno koalicije sektorskih spretnosti?</w:t>
      </w:r>
    </w:p>
    <w:p w14:paraId="7D399547" w14:textId="77777777" w:rsidR="00E03711" w:rsidRPr="001048FE" w:rsidRDefault="00E03711" w:rsidP="00CE1B01">
      <w:pPr>
        <w:pStyle w:val="GUIDE-NORMAL"/>
        <w:rPr>
          <w:sz w:val="19"/>
          <w:lang w:val="sl-SI"/>
        </w:rPr>
      </w:pPr>
      <w:r w:rsidRPr="001048FE">
        <w:rPr>
          <w:sz w:val="19"/>
          <w:lang w:val="sl-SI"/>
        </w:rPr>
        <w:t>V nadaljevanju so navedena formalna merila, ki jih mora predlog koalicije sektorskih spretnosti izpolnjevati za upravičenost do nepovratnih sredstev Erasmus+:</w:t>
      </w:r>
    </w:p>
    <w:p w14:paraId="7D399548" w14:textId="77777777" w:rsidR="00E03711" w:rsidRDefault="00E03711" w:rsidP="006E1B1F">
      <w:pPr>
        <w:pStyle w:val="Guide-Heading6"/>
        <w:spacing w:before="0" w:after="0"/>
        <w:rPr>
          <w:rFonts w:eastAsia="Calibri" w:cs="Calibri"/>
          <w:bCs/>
          <w:szCs w:val="20"/>
          <w:bdr w:val="nil"/>
          <w:lang w:val="sl-SI"/>
        </w:rPr>
      </w:pPr>
      <w:r w:rsidRPr="00FC4A70">
        <w:rPr>
          <w:rFonts w:eastAsia="Calibri" w:cs="Calibri"/>
          <w:bCs/>
          <w:szCs w:val="20"/>
          <w:bdr w:val="nil"/>
          <w:lang w:val="sl-SI"/>
        </w:rPr>
        <w:t xml:space="preserve">Sklop 1: Koalicije sektorskih spretnosti za </w:t>
      </w:r>
      <w:r>
        <w:rPr>
          <w:rFonts w:eastAsia="Calibri" w:cs="Calibri"/>
          <w:bCs/>
          <w:szCs w:val="20"/>
          <w:bdr w:val="nil"/>
          <w:lang w:val="sl-SI"/>
        </w:rPr>
        <w:t>oblikovanje in izvajanje PIU</w:t>
      </w:r>
    </w:p>
    <w:p w14:paraId="7D399549" w14:textId="77777777" w:rsidR="00381E74" w:rsidRDefault="00381E74" w:rsidP="006E1B1F">
      <w:pPr>
        <w:pStyle w:val="Guide-Heading6"/>
        <w:spacing w:before="0" w:after="0"/>
        <w:rPr>
          <w:rFonts w:eastAsia="Calibri" w:cs="Calibri"/>
          <w:bCs/>
          <w:szCs w:val="20"/>
          <w:bdr w:val="nil"/>
          <w:lang w:val="sl-SI"/>
        </w:rPr>
      </w:pPr>
    </w:p>
    <w:p w14:paraId="7D39954A" w14:textId="77777777" w:rsidR="00381E74" w:rsidRPr="00FC4A70" w:rsidRDefault="00381E74" w:rsidP="006E1B1F">
      <w:pPr>
        <w:pStyle w:val="Guide-Heading6"/>
        <w:spacing w:before="0" w:after="0"/>
        <w:rPr>
          <w:vanish/>
          <w:sz w:val="2"/>
          <w:szCs w:val="2"/>
          <w:lang w:val="sl-SI"/>
        </w:rPr>
      </w:pPr>
    </w:p>
    <w:p w14:paraId="7D39954B" w14:textId="77777777" w:rsidR="00E03711" w:rsidRPr="001048FE" w:rsidRDefault="00E03711" w:rsidP="006E1B1F">
      <w:pPr>
        <w:pStyle w:val="Guide-Heading7"/>
        <w:spacing w:before="0" w:after="0"/>
        <w:rPr>
          <w:lang w:val="sl-SI"/>
        </w:rPr>
      </w:pPr>
      <w:r w:rsidRPr="001048FE">
        <w:rPr>
          <w:lang w:val="sl-SI"/>
        </w:rPr>
        <w:t>Merila za upravičenost za sklop 1</w:t>
      </w:r>
    </w:p>
    <w:tbl>
      <w:tblPr>
        <w:tblW w:w="5000" w:type="pct"/>
        <w:tblLayout w:type="fixed"/>
        <w:tblLook w:val="0000" w:firstRow="0" w:lastRow="0" w:firstColumn="0" w:lastColumn="0" w:noHBand="0" w:noVBand="0"/>
      </w:tblPr>
      <w:tblGrid>
        <w:gridCol w:w="1748"/>
        <w:gridCol w:w="7531"/>
        <w:gridCol w:w="11"/>
      </w:tblGrid>
      <w:tr w:rsidR="00E03711" w:rsidRPr="00C60205" w14:paraId="7D399558" w14:textId="77777777" w:rsidTr="006E1B1F">
        <w:trPr>
          <w:gridAfter w:val="1"/>
          <w:wAfter w:w="11" w:type="dxa"/>
          <w:trHeight w:val="20"/>
        </w:trPr>
        <w:tc>
          <w:tcPr>
            <w:tcW w:w="1705" w:type="dxa"/>
            <w:tcBorders>
              <w:top w:val="single" w:sz="4" w:space="0" w:color="000000"/>
              <w:left w:val="single" w:sz="4" w:space="0" w:color="000000"/>
              <w:right w:val="single" w:sz="4" w:space="0" w:color="000000"/>
            </w:tcBorders>
            <w:vAlign w:val="center"/>
          </w:tcPr>
          <w:p w14:paraId="7D39954C" w14:textId="77777777" w:rsidR="00E03711" w:rsidRPr="00F769E0" w:rsidRDefault="00E03711" w:rsidP="00A13051">
            <w:pPr>
              <w:pStyle w:val="Guide-Table"/>
              <w:spacing w:beforeLines="60" w:before="144" w:afterLines="60" w:after="144"/>
              <w:jc w:val="left"/>
              <w:rPr>
                <w:rFonts w:cs="Tahoma"/>
                <w:b/>
                <w:lang w:val="sl-SI" w:eastAsia="en-GB"/>
              </w:rPr>
            </w:pPr>
            <w:r w:rsidRPr="00F769E0">
              <w:rPr>
                <w:rFonts w:cs="Tahoma"/>
                <w:b/>
                <w:lang w:val="sl-SI" w:eastAsia="en-GB"/>
              </w:rPr>
              <w:t>Upravičene sodelujoče organizacije</w:t>
            </w:r>
          </w:p>
        </w:tc>
        <w:tc>
          <w:tcPr>
            <w:tcW w:w="7348" w:type="dxa"/>
            <w:tcBorders>
              <w:top w:val="single" w:sz="4" w:space="0" w:color="000000"/>
              <w:left w:val="single" w:sz="4" w:space="0" w:color="000000"/>
              <w:right w:val="single" w:sz="4" w:space="0" w:color="000000"/>
            </w:tcBorders>
            <w:vAlign w:val="center"/>
          </w:tcPr>
          <w:p w14:paraId="7D39954D" w14:textId="77777777" w:rsidR="00E03711" w:rsidRPr="00F769E0" w:rsidRDefault="00E03711" w:rsidP="00A51AD7">
            <w:pPr>
              <w:pStyle w:val="GUIDE-NORMAL"/>
              <w:rPr>
                <w:rFonts w:cs="Tahoma"/>
                <w:lang w:val="sl-SI" w:eastAsia="en-GB"/>
              </w:rPr>
            </w:pPr>
            <w:r w:rsidRPr="00F769E0">
              <w:rPr>
                <w:rFonts w:cs="Tahoma"/>
                <w:lang w:val="sl-SI" w:eastAsia="en-GB"/>
              </w:rPr>
              <w:t>V koaliciji iz sklopa 1 lahko sodelujejo naslednje organizacije, skupaj s povezanimi subjekti</w:t>
            </w:r>
            <w:r>
              <w:rPr>
                <w:rFonts w:cs="Tahoma"/>
                <w:lang w:val="sl-SI" w:eastAsia="en-GB"/>
              </w:rPr>
              <w:t xml:space="preserve"> in pridruženimi partnerji</w:t>
            </w:r>
            <w:r w:rsidRPr="00F769E0">
              <w:rPr>
                <w:rFonts w:cs="Tahoma"/>
                <w:lang w:val="sl-SI" w:eastAsia="en-GB"/>
              </w:rPr>
              <w:t xml:space="preserve"> (če ti obstajajo). Lahko so javne ali zasebne organizacije s sedežem v državi Programa (glej poglavje „Upravičene države“ v delu A tega vodnika).</w:t>
            </w:r>
          </w:p>
          <w:p w14:paraId="7D39954E" w14:textId="77777777" w:rsidR="00E03711" w:rsidRPr="00FC4A70" w:rsidRDefault="00E03711" w:rsidP="005115F2">
            <w:pPr>
              <w:pStyle w:val="Guide-NormalBulletpoints"/>
              <w:numPr>
                <w:ilvl w:val="0"/>
                <w:numId w:val="297"/>
              </w:numPr>
              <w:ind w:left="386" w:hanging="283"/>
              <w:rPr>
                <w:lang w:val="sl-SI"/>
              </w:rPr>
            </w:pPr>
            <w:r w:rsidRPr="00FC4A70">
              <w:rPr>
                <w:rFonts w:eastAsia="Calibri"/>
                <w:bdr w:val="nil"/>
                <w:shd w:val="clear" w:color="auto" w:fill="auto"/>
                <w:lang w:val="sl-SI"/>
              </w:rPr>
              <w:t xml:space="preserve">javni ali zasebni ponudniki PIU, </w:t>
            </w:r>
            <w:r>
              <w:rPr>
                <w:rFonts w:eastAsia="Calibri"/>
                <w:bdr w:val="nil"/>
                <w:shd w:val="clear" w:color="auto" w:fill="auto"/>
                <w:lang w:val="sl-SI"/>
              </w:rPr>
              <w:t>vključno s socialnimi podjetji</w:t>
            </w:r>
            <w:r w:rsidRPr="00FC4A70">
              <w:rPr>
                <w:rFonts w:eastAsia="Calibri"/>
                <w:bdr w:val="nil"/>
                <w:shd w:val="clear" w:color="auto" w:fill="auto"/>
                <w:lang w:val="sl-SI"/>
              </w:rPr>
              <w:t>, zlasti tisti, ki imajo lastne oddelke za usposabljanje, tisti, ki ponujajo vajeništva, in tisti, ki zagotavljajo skupna usposabljanja (usposabljanja v sodelovanju z drugimi);</w:t>
            </w:r>
          </w:p>
          <w:p w14:paraId="7D39954F" w14:textId="77777777" w:rsidR="00E03711" w:rsidRPr="00FC4A70" w:rsidRDefault="00E03711" w:rsidP="005115F2">
            <w:pPr>
              <w:pStyle w:val="Guide-NormalBulletpoints"/>
              <w:numPr>
                <w:ilvl w:val="0"/>
                <w:numId w:val="297"/>
              </w:numPr>
              <w:ind w:left="386" w:hanging="283"/>
              <w:rPr>
                <w:lang w:val="sl-SI"/>
              </w:rPr>
            </w:pPr>
            <w:r w:rsidRPr="00FC4A70">
              <w:rPr>
                <w:rFonts w:eastAsia="Calibri"/>
                <w:bdr w:val="nil"/>
                <w:shd w:val="clear" w:color="auto" w:fill="auto"/>
                <w:lang w:val="sl-SI"/>
              </w:rPr>
              <w:t>evropske ali nacionalne organizacije, ki zastopajo industrijo, majhna in srednje velika podjetja, relevantne sektorske organizacije;</w:t>
            </w:r>
          </w:p>
          <w:p w14:paraId="7D399550" w14:textId="77777777" w:rsidR="00E03711" w:rsidRPr="00FC4A70" w:rsidRDefault="00E03711" w:rsidP="005115F2">
            <w:pPr>
              <w:pStyle w:val="Guide-NormalBulletpoints"/>
              <w:numPr>
                <w:ilvl w:val="0"/>
                <w:numId w:val="297"/>
              </w:numPr>
              <w:ind w:left="386" w:hanging="283"/>
              <w:rPr>
                <w:lang w:val="sl-SI"/>
              </w:rPr>
            </w:pPr>
            <w:r w:rsidRPr="00FC4A70">
              <w:rPr>
                <w:rFonts w:eastAsia="Calibri"/>
                <w:bdr w:val="nil"/>
                <w:shd w:val="clear" w:color="auto" w:fill="auto"/>
                <w:lang w:val="sl-SI"/>
              </w:rPr>
              <w:t>mreže ponudnikov PIU ter evropske ali nacionalne organizacije, ki jih zastopajo;</w:t>
            </w:r>
          </w:p>
          <w:p w14:paraId="7D399551" w14:textId="77777777" w:rsidR="00E03711" w:rsidRPr="004E4C36" w:rsidRDefault="00E03711" w:rsidP="005115F2">
            <w:pPr>
              <w:pStyle w:val="Guide-NormalBulletpoints"/>
              <w:numPr>
                <w:ilvl w:val="0"/>
                <w:numId w:val="297"/>
              </w:numPr>
              <w:ind w:left="386" w:hanging="283"/>
              <w:rPr>
                <w:lang w:val="sl-SI"/>
              </w:rPr>
            </w:pPr>
            <w:r w:rsidRPr="004E4C36">
              <w:rPr>
                <w:lang w:val="sl-SI"/>
              </w:rPr>
              <w:t>organi za izobraževanje in usposabljanje na regijski ali nacionalni ravni ter ministrstva;</w:t>
            </w:r>
          </w:p>
          <w:p w14:paraId="7D399552" w14:textId="77777777" w:rsidR="00E03711" w:rsidRPr="004E4C36" w:rsidRDefault="00E03711" w:rsidP="005115F2">
            <w:pPr>
              <w:pStyle w:val="Guide-NormalBulletpoints"/>
              <w:numPr>
                <w:ilvl w:val="0"/>
                <w:numId w:val="297"/>
              </w:numPr>
              <w:ind w:left="386" w:hanging="283"/>
              <w:rPr>
                <w:lang w:val="sl-SI"/>
              </w:rPr>
            </w:pPr>
            <w:r w:rsidRPr="004E4C36">
              <w:rPr>
                <w:lang w:val="sl-SI"/>
              </w:rPr>
              <w:t>organizacije ali mreže – na ravni EU ali nacionalni ravni – ki predstavljajo socialne partnerje, panogo, sektorske organizacije, poklice in deležnike v izobraževanju in usposabljanju, vključno z mladinskimi organizacijami;</w:t>
            </w:r>
          </w:p>
          <w:p w14:paraId="7D399553" w14:textId="77777777" w:rsidR="00E03711" w:rsidRPr="004E4C36" w:rsidRDefault="00E03711" w:rsidP="005115F2">
            <w:pPr>
              <w:pStyle w:val="Guide-NormalBulletpoints"/>
              <w:numPr>
                <w:ilvl w:val="0"/>
                <w:numId w:val="297"/>
              </w:numPr>
              <w:ind w:left="386" w:hanging="283"/>
              <w:rPr>
                <w:lang w:val="sl-SI"/>
              </w:rPr>
            </w:pPr>
            <w:r w:rsidRPr="001048FE">
              <w:rPr>
                <w:lang w:val="sl-SI"/>
              </w:rPr>
              <w:t>gospodarske, industrijske</w:t>
            </w:r>
            <w:r>
              <w:rPr>
                <w:lang w:val="sl-SI"/>
              </w:rPr>
              <w:t>, strokovne</w:t>
            </w:r>
            <w:r w:rsidRPr="001048FE">
              <w:rPr>
                <w:lang w:val="sl-SI"/>
              </w:rPr>
              <w:t xml:space="preserve"> ali delavske zbornice</w:t>
            </w:r>
            <w:r w:rsidRPr="004E4C36">
              <w:rPr>
                <w:lang w:val="sl-SI"/>
              </w:rPr>
              <w:t>, in drugi posredniški organi;</w:t>
            </w:r>
          </w:p>
          <w:p w14:paraId="7D399554" w14:textId="77777777" w:rsidR="00E03711" w:rsidRPr="00FC4A70" w:rsidRDefault="00E03711" w:rsidP="005115F2">
            <w:pPr>
              <w:pStyle w:val="Guide-NormalBulletpoints"/>
              <w:numPr>
                <w:ilvl w:val="0"/>
                <w:numId w:val="297"/>
              </w:numPr>
              <w:ind w:left="386" w:hanging="283"/>
              <w:rPr>
                <w:lang w:val="it-IT"/>
              </w:rPr>
            </w:pPr>
            <w:r>
              <w:rPr>
                <w:lang w:val="it-IT"/>
              </w:rPr>
              <w:t>sveti za sektorske spretnosti;</w:t>
            </w:r>
          </w:p>
          <w:p w14:paraId="7D399555" w14:textId="77777777" w:rsidR="00E03711" w:rsidRPr="0030441A" w:rsidRDefault="00E03711" w:rsidP="005115F2">
            <w:pPr>
              <w:pStyle w:val="Guide-NormalBulletpoints"/>
              <w:numPr>
                <w:ilvl w:val="0"/>
                <w:numId w:val="297"/>
              </w:numPr>
              <w:ind w:left="386" w:hanging="283"/>
              <w:rPr>
                <w:lang w:val="pl-PL"/>
              </w:rPr>
            </w:pPr>
            <w:r w:rsidRPr="0030441A">
              <w:rPr>
                <w:rFonts w:eastAsia="Calibri"/>
                <w:bdr w:val="nil"/>
                <w:shd w:val="clear" w:color="auto" w:fill="auto"/>
                <w:lang w:val="pl-PL"/>
              </w:rPr>
              <w:t>agencije za gospodarski razvoj</w:t>
            </w:r>
            <w:r>
              <w:rPr>
                <w:rFonts w:eastAsia="Calibri"/>
                <w:bdr w:val="nil"/>
                <w:shd w:val="clear" w:color="auto" w:fill="auto"/>
                <w:lang w:val="pl-PL"/>
              </w:rPr>
              <w:t>, statistični organi in raziskovalni inštituti</w:t>
            </w:r>
            <w:r w:rsidRPr="0030441A">
              <w:rPr>
                <w:lang w:val="pl-PL"/>
              </w:rPr>
              <w:t>;</w:t>
            </w:r>
          </w:p>
          <w:p w14:paraId="7D399556" w14:textId="77777777" w:rsidR="00E03711" w:rsidRPr="004E4C36" w:rsidRDefault="00E03711" w:rsidP="005115F2">
            <w:pPr>
              <w:pStyle w:val="Guide-NormalBulletpoints"/>
              <w:numPr>
                <w:ilvl w:val="0"/>
                <w:numId w:val="297"/>
              </w:numPr>
              <w:ind w:left="386" w:hanging="283"/>
              <w:rPr>
                <w:lang w:val="pl-PL"/>
              </w:rPr>
            </w:pPr>
            <w:r w:rsidRPr="004E4C36">
              <w:rPr>
                <w:lang w:val="pl-PL"/>
              </w:rPr>
              <w:t>organi, ki zagotavljajo karierno orientacijo, poklicno svetovanje, storitve obveščanja in zaposlovanja;</w:t>
            </w:r>
          </w:p>
          <w:p w14:paraId="7D399557" w14:textId="77777777" w:rsidR="00E03711" w:rsidRPr="004E4C36" w:rsidRDefault="00E03711" w:rsidP="005115F2">
            <w:pPr>
              <w:pStyle w:val="Guide-NormalBulletpoints"/>
              <w:numPr>
                <w:ilvl w:val="0"/>
                <w:numId w:val="297"/>
              </w:numPr>
              <w:ind w:left="386" w:hanging="283"/>
              <w:rPr>
                <w:lang w:val="pl-PL"/>
              </w:rPr>
            </w:pPr>
            <w:r w:rsidRPr="004E4C36">
              <w:rPr>
                <w:rFonts w:eastAsia="Calibri"/>
                <w:bdr w:val="nil"/>
                <w:shd w:val="clear" w:color="auto" w:fill="auto"/>
                <w:lang w:val="pl-PL"/>
              </w:rPr>
              <w:t>organi za akreditacijo, potrjevanje, priznavanje ali kvalifikacije (organi z „regulativno funkcijo“)</w:t>
            </w:r>
            <w:r w:rsidRPr="004E4C36">
              <w:rPr>
                <w:lang w:val="pl-PL"/>
              </w:rPr>
              <w:t>.</w:t>
            </w:r>
          </w:p>
        </w:tc>
      </w:tr>
      <w:tr w:rsidR="00E03711" w:rsidRPr="00654F6A" w14:paraId="7D39955B" w14:textId="77777777" w:rsidTr="006E1B1F">
        <w:trPr>
          <w:gridAfter w:val="1"/>
          <w:wAfter w:w="11" w:type="dxa"/>
          <w:trHeight w:val="20"/>
        </w:trPr>
        <w:tc>
          <w:tcPr>
            <w:tcW w:w="1705" w:type="dxa"/>
            <w:tcBorders>
              <w:top w:val="single" w:sz="4" w:space="0" w:color="000000"/>
              <w:left w:val="single" w:sz="4" w:space="0" w:color="000000"/>
              <w:bottom w:val="single" w:sz="4" w:space="0" w:color="000000"/>
              <w:right w:val="single" w:sz="4" w:space="0" w:color="000000"/>
            </w:tcBorders>
            <w:vAlign w:val="center"/>
          </w:tcPr>
          <w:p w14:paraId="7D399559" w14:textId="77777777" w:rsidR="00E03711" w:rsidRPr="00F769E0" w:rsidRDefault="00E03711" w:rsidP="00A51AD7">
            <w:pPr>
              <w:pStyle w:val="GUIDE-NORMAL"/>
              <w:jc w:val="left"/>
              <w:rPr>
                <w:rFonts w:cs="Tahoma"/>
                <w:b/>
                <w:lang w:val="sl-SI" w:eastAsia="en-GB"/>
              </w:rPr>
            </w:pPr>
            <w:r w:rsidRPr="00F769E0">
              <w:rPr>
                <w:rFonts w:cs="Tahoma"/>
                <w:b/>
                <w:lang w:val="sl-SI" w:eastAsia="en-GB"/>
              </w:rPr>
              <w:t>Kdo se lahko prijavi?</w:t>
            </w:r>
          </w:p>
        </w:tc>
        <w:tc>
          <w:tcPr>
            <w:tcW w:w="7348" w:type="dxa"/>
            <w:tcBorders>
              <w:top w:val="single" w:sz="4" w:space="0" w:color="000000"/>
              <w:left w:val="single" w:sz="4" w:space="0" w:color="000000"/>
              <w:bottom w:val="single" w:sz="4" w:space="0" w:color="000000"/>
              <w:right w:val="single" w:sz="4" w:space="0" w:color="000000"/>
            </w:tcBorders>
            <w:vAlign w:val="center"/>
          </w:tcPr>
          <w:p w14:paraId="7D39955A" w14:textId="77777777" w:rsidR="00E03711" w:rsidRPr="00F769E0" w:rsidRDefault="00E03711" w:rsidP="000503EB">
            <w:pPr>
              <w:pStyle w:val="GUIDE-NORMAL"/>
              <w:rPr>
                <w:rFonts w:cs="Tahoma"/>
                <w:lang w:val="sl-SI" w:eastAsia="en-GB"/>
              </w:rPr>
            </w:pPr>
            <w:r w:rsidRPr="00FC4A70">
              <w:rPr>
                <w:rFonts w:eastAsia="Calibri" w:cs="Calibri"/>
                <w:bdr w:val="nil"/>
                <w:shd w:val="clear" w:color="auto" w:fill="auto"/>
                <w:lang w:val="sl-SI"/>
              </w:rPr>
              <w:t xml:space="preserve">Katera koli sodelujoča organizacija s sedežem </w:t>
            </w:r>
            <w:hyperlink r:id="rId94" w:history="1">
              <w:r w:rsidRPr="00FC4A70">
                <w:rPr>
                  <w:rFonts w:eastAsia="Calibri" w:cs="Calibri"/>
                  <w:bdr w:val="nil"/>
                  <w:shd w:val="clear" w:color="auto" w:fill="auto"/>
                  <w:lang w:val="sl-SI"/>
                </w:rPr>
                <w:t>v državi Programa</w:t>
              </w:r>
            </w:hyperlink>
            <w:r w:rsidRPr="00FC4A70">
              <w:rPr>
                <w:rFonts w:eastAsia="Calibri" w:cs="Calibri"/>
                <w:bdr w:val="nil"/>
                <w:shd w:val="clear" w:color="auto" w:fill="auto"/>
                <w:lang w:val="sl-SI"/>
              </w:rPr>
              <w:t>, je lahko prijavitelj. Ta organizacija se prijavi v imenu vseh sodelujočih organizacij, ki so vključene v projekt</w:t>
            </w:r>
            <w:r w:rsidRPr="00F769E0">
              <w:rPr>
                <w:rFonts w:cs="Tahoma"/>
                <w:lang w:val="sl-SI" w:eastAsia="en-GB"/>
              </w:rPr>
              <w:t>.</w:t>
            </w:r>
          </w:p>
        </w:tc>
      </w:tr>
      <w:tr w:rsidR="00E03711" w:rsidRPr="00C60205" w14:paraId="7D39955E" w14:textId="77777777" w:rsidTr="006E1B1F">
        <w:trPr>
          <w:gridAfter w:val="1"/>
          <w:wAfter w:w="11" w:type="dxa"/>
          <w:trHeight w:val="20"/>
        </w:trPr>
        <w:tc>
          <w:tcPr>
            <w:tcW w:w="1705" w:type="dxa"/>
            <w:tcBorders>
              <w:top w:val="single" w:sz="4" w:space="0" w:color="000000"/>
              <w:left w:val="single" w:sz="4" w:space="0" w:color="000000"/>
              <w:bottom w:val="single" w:sz="4" w:space="0" w:color="000000"/>
              <w:right w:val="single" w:sz="4" w:space="0" w:color="000000"/>
            </w:tcBorders>
            <w:vAlign w:val="center"/>
          </w:tcPr>
          <w:p w14:paraId="7D39955C" w14:textId="77777777" w:rsidR="00E03711" w:rsidRPr="00F769E0" w:rsidRDefault="00E03711" w:rsidP="00A51AD7">
            <w:pPr>
              <w:pStyle w:val="GUIDE-NORMAL"/>
              <w:jc w:val="left"/>
              <w:rPr>
                <w:rFonts w:cs="Tahoma"/>
                <w:b/>
                <w:lang w:val="sl-SI" w:eastAsia="en-GB"/>
              </w:rPr>
            </w:pPr>
            <w:r w:rsidRPr="00F769E0">
              <w:rPr>
                <w:rFonts w:cs="Tahoma"/>
                <w:b/>
                <w:lang w:val="sl-SI" w:eastAsia="en-GB"/>
              </w:rPr>
              <w:t>Število in profil sodelujočih organizacij</w:t>
            </w:r>
          </w:p>
        </w:tc>
        <w:tc>
          <w:tcPr>
            <w:tcW w:w="7348" w:type="dxa"/>
            <w:tcBorders>
              <w:top w:val="single" w:sz="4" w:space="0" w:color="000000"/>
              <w:left w:val="single" w:sz="4" w:space="0" w:color="000000"/>
              <w:bottom w:val="single" w:sz="4" w:space="0" w:color="000000"/>
              <w:right w:val="single" w:sz="4" w:space="0" w:color="000000"/>
            </w:tcBorders>
            <w:vAlign w:val="center"/>
          </w:tcPr>
          <w:p w14:paraId="7D39955D" w14:textId="77777777" w:rsidR="00E03711" w:rsidRPr="00F769E0" w:rsidRDefault="00E03711" w:rsidP="00A51AD7">
            <w:pPr>
              <w:pStyle w:val="GUIDE-NORMAL"/>
              <w:rPr>
                <w:rFonts w:cs="Tahoma"/>
                <w:lang w:val="sl-SI" w:eastAsia="en-GB"/>
              </w:rPr>
            </w:pPr>
            <w:r w:rsidRPr="00FC4A70">
              <w:rPr>
                <w:rFonts w:eastAsia="Calibri" w:cs="Calibri"/>
                <w:bdr w:val="nil"/>
                <w:lang w:val="sl-SI" w:eastAsia="en-GB"/>
              </w:rPr>
              <w:t xml:space="preserve">Koalicija sektorskih spretnosti mora zajemati </w:t>
            </w:r>
            <w:r w:rsidRPr="00FC4A70">
              <w:rPr>
                <w:rFonts w:eastAsia="Calibri" w:cs="Calibri"/>
                <w:b/>
                <w:bCs/>
                <w:bdr w:val="nil"/>
                <w:lang w:val="sl-SI" w:eastAsia="en-GB"/>
              </w:rPr>
              <w:t>vsaj 4 države Programa</w:t>
            </w:r>
            <w:r w:rsidRPr="00FC4A70">
              <w:rPr>
                <w:rFonts w:eastAsia="Calibri" w:cs="Calibri"/>
                <w:bdr w:val="nil"/>
                <w:lang w:val="sl-SI" w:eastAsia="en-GB"/>
              </w:rPr>
              <w:t xml:space="preserve"> in vključevati </w:t>
            </w:r>
            <w:r w:rsidRPr="00FC4A70">
              <w:rPr>
                <w:rFonts w:eastAsia="Calibri" w:cs="Calibri"/>
                <w:b/>
                <w:bCs/>
                <w:bdr w:val="nil"/>
                <w:lang w:val="sl-SI" w:eastAsia="en-GB"/>
              </w:rPr>
              <w:t>vsaj 8 polnopravnih partnerjev</w:t>
            </w:r>
            <w:r w:rsidRPr="00FC4A70">
              <w:rPr>
                <w:rFonts w:eastAsia="Calibri" w:cs="Calibri"/>
                <w:bdr w:val="nil"/>
                <w:lang w:val="sl-SI" w:eastAsia="en-GB"/>
              </w:rPr>
              <w:t>, med katerimi so vsaj 3</w:t>
            </w:r>
            <w:r w:rsidRPr="00FC4A70">
              <w:rPr>
                <w:rFonts w:eastAsia="Calibri" w:cs="Calibri"/>
                <w:b/>
                <w:bCs/>
                <w:bdr w:val="nil"/>
                <w:lang w:val="sl-SI" w:eastAsia="en-GB"/>
              </w:rPr>
              <w:t xml:space="preserve"> podjetja, predstavniki industrije ali sektorja</w:t>
            </w:r>
            <w:r w:rsidRPr="00FC4A70">
              <w:rPr>
                <w:rFonts w:eastAsia="Calibri" w:cs="Calibri"/>
                <w:bdr w:val="nil"/>
                <w:lang w:val="sl-SI" w:eastAsia="en-GB"/>
              </w:rPr>
              <w:t xml:space="preserve"> (npr. zbornice ali panožna združenja), vsaj 3 pa so </w:t>
            </w:r>
            <w:r w:rsidRPr="00FC4A70">
              <w:rPr>
                <w:rFonts w:eastAsia="Calibri" w:cs="Calibri"/>
                <w:b/>
                <w:bCs/>
                <w:bdr w:val="nil"/>
                <w:lang w:val="sl-SI" w:eastAsia="en-GB"/>
              </w:rPr>
              <w:t>ponudniki izobraževanja in usposabljanja</w:t>
            </w:r>
            <w:r w:rsidRPr="00F769E0">
              <w:rPr>
                <w:rFonts w:cs="Tahoma"/>
                <w:lang w:val="sl-SI" w:eastAsia="en-GB"/>
              </w:rPr>
              <w:t>.</w:t>
            </w:r>
          </w:p>
        </w:tc>
      </w:tr>
      <w:tr w:rsidR="00E03711" w:rsidRPr="00C60205" w14:paraId="7D399561" w14:textId="77777777" w:rsidTr="006E1B1F">
        <w:trPr>
          <w:gridAfter w:val="1"/>
          <w:wAfter w:w="11" w:type="dxa"/>
          <w:trHeight w:val="20"/>
        </w:trPr>
        <w:tc>
          <w:tcPr>
            <w:tcW w:w="1705" w:type="dxa"/>
            <w:tcBorders>
              <w:top w:val="single" w:sz="4" w:space="0" w:color="000000"/>
              <w:left w:val="single" w:sz="4" w:space="0" w:color="000000"/>
              <w:bottom w:val="single" w:sz="4" w:space="0" w:color="000000"/>
              <w:right w:val="single" w:sz="4" w:space="0" w:color="000000"/>
            </w:tcBorders>
            <w:vAlign w:val="center"/>
          </w:tcPr>
          <w:p w14:paraId="7D39955F" w14:textId="77777777" w:rsidR="00E03711" w:rsidRPr="00F769E0" w:rsidRDefault="00E03711" w:rsidP="00A51AD7">
            <w:pPr>
              <w:pStyle w:val="GUIDE-NORMAL"/>
              <w:jc w:val="left"/>
              <w:rPr>
                <w:rFonts w:cs="Tahoma"/>
                <w:b/>
                <w:lang w:val="sl-SI" w:eastAsia="en-GB"/>
              </w:rPr>
            </w:pPr>
            <w:r w:rsidRPr="00F769E0">
              <w:rPr>
                <w:rFonts w:cs="Tahoma"/>
                <w:b/>
                <w:lang w:val="sl-SI" w:eastAsia="en-GB"/>
              </w:rPr>
              <w:t>Upravičeni sektorji</w:t>
            </w:r>
          </w:p>
        </w:tc>
        <w:tc>
          <w:tcPr>
            <w:tcW w:w="7348" w:type="dxa"/>
            <w:tcBorders>
              <w:top w:val="single" w:sz="4" w:space="0" w:color="000000"/>
              <w:left w:val="single" w:sz="4" w:space="0" w:color="000000"/>
              <w:bottom w:val="single" w:sz="4" w:space="0" w:color="000000"/>
              <w:right w:val="single" w:sz="4" w:space="0" w:color="000000"/>
            </w:tcBorders>
            <w:vAlign w:val="center"/>
          </w:tcPr>
          <w:p w14:paraId="7D399560" w14:textId="77777777" w:rsidR="00E03711" w:rsidRPr="00F769E0" w:rsidRDefault="00E03711" w:rsidP="00C96DE9">
            <w:pPr>
              <w:pStyle w:val="GUIDE-NORMAL"/>
              <w:rPr>
                <w:rFonts w:cs="Tahoma"/>
                <w:lang w:val="sl-SI" w:eastAsia="en-GB"/>
              </w:rPr>
            </w:pPr>
            <w:r w:rsidRPr="00F769E0">
              <w:rPr>
                <w:rFonts w:cs="Tahoma"/>
                <w:lang w:val="sl-SI" w:eastAsia="en-GB"/>
              </w:rPr>
              <w:t>Vsi sektorji</w:t>
            </w:r>
            <w:r w:rsidRPr="00F769E0">
              <w:rPr>
                <w:rStyle w:val="FootnoteReference"/>
                <w:rFonts w:cs="Tahoma"/>
                <w:lang w:val="sl-SI" w:eastAsia="en-GB"/>
              </w:rPr>
              <w:footnoteReference w:id="133"/>
            </w:r>
            <w:r w:rsidRPr="00F769E0">
              <w:rPr>
                <w:rFonts w:cs="Tahoma"/>
                <w:lang w:val="sl-SI" w:eastAsia="en-GB"/>
              </w:rPr>
              <w:t xml:space="preserve"> razen </w:t>
            </w:r>
            <w:r>
              <w:rPr>
                <w:rFonts w:cs="Tahoma"/>
                <w:lang w:val="sl-SI" w:eastAsia="en-GB"/>
              </w:rPr>
              <w:t>šestih</w:t>
            </w:r>
            <w:r w:rsidRPr="00F769E0">
              <w:rPr>
                <w:rFonts w:cs="Tahoma"/>
                <w:lang w:val="sl-SI" w:eastAsia="en-GB"/>
              </w:rPr>
              <w:t xml:space="preserve">, ki so upravičeni v okviru sklopa </w:t>
            </w:r>
            <w:r>
              <w:rPr>
                <w:rFonts w:cs="Tahoma"/>
                <w:lang w:val="sl-SI" w:eastAsia="en-GB"/>
              </w:rPr>
              <w:t>2</w:t>
            </w:r>
          </w:p>
        </w:tc>
      </w:tr>
      <w:tr w:rsidR="00E03711" w:rsidRPr="00C60205" w14:paraId="7D399565" w14:textId="77777777" w:rsidTr="006E1B1F">
        <w:tblPrEx>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PrEx>
        <w:trPr>
          <w:cantSplit/>
          <w:trHeight w:val="57"/>
        </w:trPr>
        <w:tc>
          <w:tcPr>
            <w:tcW w:w="1705" w:type="dxa"/>
            <w:shd w:val="clear" w:color="auto" w:fill="FFFFFF"/>
            <w:vAlign w:val="center"/>
          </w:tcPr>
          <w:p w14:paraId="7D399562" w14:textId="77777777" w:rsidR="00E03711" w:rsidRPr="00F769E0" w:rsidRDefault="00E03711" w:rsidP="009A5F55">
            <w:pPr>
              <w:pStyle w:val="GUIDE-NORMAL"/>
              <w:spacing w:before="60" w:after="60"/>
              <w:jc w:val="left"/>
              <w:rPr>
                <w:rFonts w:cs="Tahoma"/>
                <w:b/>
                <w:lang w:val="sl-SI" w:eastAsia="en-GB"/>
              </w:rPr>
            </w:pPr>
            <w:bookmarkStart w:id="225" w:name="Critères_d’attribution_pour_le_lot_1"/>
            <w:bookmarkStart w:id="226" w:name="Lot_2:_alliances_sectorielles_pour_les_c"/>
            <w:bookmarkEnd w:id="225"/>
            <w:bookmarkEnd w:id="226"/>
            <w:r w:rsidRPr="001A2B1D">
              <w:rPr>
                <w:rFonts w:cs="Tahoma"/>
                <w:b/>
                <w:lang w:val="sl-SI" w:eastAsia="en-GB"/>
              </w:rPr>
              <w:t>Trajanje</w:t>
            </w:r>
            <w:r w:rsidRPr="00F769E0">
              <w:rPr>
                <w:rFonts w:cs="Tahoma"/>
                <w:b/>
                <w:lang w:val="sl-SI" w:eastAsia="en-GB"/>
              </w:rPr>
              <w:t xml:space="preserve"> </w:t>
            </w:r>
            <w:r w:rsidRPr="00F769E0">
              <w:rPr>
                <w:rFonts w:cs="Tahoma"/>
                <w:b/>
                <w:lang w:val="sl-SI" w:eastAsia="en-GB"/>
              </w:rPr>
              <w:br/>
              <w:t>projekta</w:t>
            </w:r>
          </w:p>
        </w:tc>
        <w:tc>
          <w:tcPr>
            <w:tcW w:w="7359" w:type="dxa"/>
            <w:gridSpan w:val="2"/>
            <w:shd w:val="clear" w:color="auto" w:fill="FFFFFF"/>
            <w:vAlign w:val="center"/>
          </w:tcPr>
          <w:p w14:paraId="7D399563" w14:textId="77777777" w:rsidR="00E03711" w:rsidRPr="00F769E0" w:rsidRDefault="00E03711" w:rsidP="009A5F55">
            <w:pPr>
              <w:pStyle w:val="GUIDE-NORMAL"/>
              <w:spacing w:before="60" w:after="60"/>
              <w:jc w:val="left"/>
              <w:rPr>
                <w:rFonts w:cs="Tahoma"/>
                <w:lang w:val="sl-SI" w:eastAsia="en-GB"/>
              </w:rPr>
            </w:pPr>
            <w:r w:rsidRPr="00F769E0">
              <w:rPr>
                <w:rFonts w:cs="Tahoma"/>
                <w:lang w:val="sl-SI" w:eastAsia="en-GB"/>
              </w:rPr>
              <w:t>2 ali 3 leta. Trajanje mora biti izbrano ob prijavi na podlagi cilja projekta in vrste aktivnosti, ki so načrtovane v tem času.</w:t>
            </w:r>
          </w:p>
          <w:p w14:paraId="7D399564" w14:textId="77777777" w:rsidR="00E03711" w:rsidRPr="00F769E0" w:rsidRDefault="00E03711" w:rsidP="009A5F55">
            <w:pPr>
              <w:pStyle w:val="GUIDE-NORMAL"/>
              <w:spacing w:before="60" w:after="60"/>
              <w:jc w:val="left"/>
              <w:rPr>
                <w:rFonts w:cs="Tahoma"/>
                <w:lang w:val="sl-SI" w:eastAsia="en-GB"/>
              </w:rPr>
            </w:pPr>
            <w:r w:rsidRPr="00F769E0">
              <w:rPr>
                <w:rFonts w:cs="Tahoma"/>
                <w:lang w:val="sl-SI" w:eastAsia="en-GB"/>
              </w:rPr>
              <w:t>V izjemnih primerih se lahko trajanje koalicije sektorskih spretnosti na prošnjo upravičenca in s soglasjem Izvajalske agencije podaljša za največ šest mesecev. V tem primeru se znesek skupnih nepovratnih sredstev ne spremeni.</w:t>
            </w:r>
          </w:p>
        </w:tc>
      </w:tr>
      <w:tr w:rsidR="00E03711" w:rsidRPr="00C60205" w14:paraId="7D399568" w14:textId="77777777" w:rsidTr="006E1B1F">
        <w:tblPrEx>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PrEx>
        <w:trPr>
          <w:cantSplit/>
          <w:trHeight w:val="57"/>
        </w:trPr>
        <w:tc>
          <w:tcPr>
            <w:tcW w:w="1705" w:type="dxa"/>
            <w:shd w:val="clear" w:color="auto" w:fill="FFFFFF"/>
            <w:vAlign w:val="center"/>
          </w:tcPr>
          <w:p w14:paraId="7D399566" w14:textId="77777777" w:rsidR="00E03711" w:rsidRPr="00F769E0" w:rsidRDefault="00E03711" w:rsidP="009A5F55">
            <w:pPr>
              <w:pStyle w:val="GUIDE-NORMAL"/>
              <w:spacing w:before="60" w:after="60"/>
              <w:jc w:val="left"/>
              <w:rPr>
                <w:rFonts w:cs="Tahoma"/>
                <w:b/>
                <w:lang w:val="sl-SI" w:eastAsia="en-GB"/>
              </w:rPr>
            </w:pPr>
            <w:r w:rsidRPr="00F769E0">
              <w:rPr>
                <w:rFonts w:cs="Tahoma"/>
                <w:b/>
                <w:lang w:val="sl-SI" w:eastAsia="en-GB"/>
              </w:rPr>
              <w:t>Kje se prijaviti?</w:t>
            </w:r>
          </w:p>
        </w:tc>
        <w:tc>
          <w:tcPr>
            <w:tcW w:w="7359" w:type="dxa"/>
            <w:gridSpan w:val="2"/>
            <w:shd w:val="clear" w:color="auto" w:fill="FFFFFF"/>
            <w:vAlign w:val="center"/>
          </w:tcPr>
          <w:p w14:paraId="7D399567" w14:textId="77777777" w:rsidR="00E03711" w:rsidRPr="00F769E0" w:rsidRDefault="00E03711" w:rsidP="009A5F55">
            <w:pPr>
              <w:pStyle w:val="GUIDE-NORMAL"/>
              <w:spacing w:before="60" w:after="60"/>
              <w:jc w:val="left"/>
              <w:rPr>
                <w:rFonts w:cs="Tahoma"/>
                <w:lang w:val="sl-SI" w:eastAsia="en-GB"/>
              </w:rPr>
            </w:pPr>
            <w:r w:rsidRPr="00F769E0">
              <w:rPr>
                <w:rFonts w:cs="Tahoma"/>
                <w:lang w:val="sl-SI" w:eastAsia="en-GB"/>
              </w:rPr>
              <w:t>Pri Izvajalski agenciji za izobraževanje, avdiovizualno področje in kulturo v Bruslju.</w:t>
            </w:r>
          </w:p>
        </w:tc>
      </w:tr>
      <w:tr w:rsidR="00E03711" w:rsidRPr="00C60205" w14:paraId="7D39956B" w14:textId="77777777" w:rsidTr="006E1B1F">
        <w:tblPrEx>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PrEx>
        <w:trPr>
          <w:cantSplit/>
          <w:trHeight w:val="728"/>
        </w:trPr>
        <w:tc>
          <w:tcPr>
            <w:tcW w:w="1705" w:type="dxa"/>
            <w:shd w:val="clear" w:color="auto" w:fill="FFFFFF"/>
            <w:vAlign w:val="center"/>
          </w:tcPr>
          <w:p w14:paraId="7D399569" w14:textId="77777777" w:rsidR="00E03711" w:rsidRPr="00F769E0" w:rsidRDefault="00E03711" w:rsidP="009A5F55">
            <w:pPr>
              <w:pStyle w:val="GUIDE-NORMAL"/>
              <w:spacing w:before="60" w:after="60"/>
              <w:jc w:val="left"/>
              <w:rPr>
                <w:rFonts w:cs="Tahoma"/>
                <w:b/>
                <w:lang w:val="sl-SI" w:eastAsia="en-GB"/>
              </w:rPr>
            </w:pPr>
            <w:r w:rsidRPr="00F769E0">
              <w:rPr>
                <w:rFonts w:cs="Tahoma"/>
                <w:b/>
                <w:lang w:val="sl-SI" w:eastAsia="en-GB"/>
              </w:rPr>
              <w:t>Kdaj se prijaviti?</w:t>
            </w:r>
          </w:p>
        </w:tc>
        <w:tc>
          <w:tcPr>
            <w:tcW w:w="7359" w:type="dxa"/>
            <w:gridSpan w:val="2"/>
            <w:shd w:val="clear" w:color="auto" w:fill="FFFFFF"/>
            <w:vAlign w:val="center"/>
          </w:tcPr>
          <w:p w14:paraId="7D39956A" w14:textId="77777777" w:rsidR="00E03711" w:rsidRPr="00F769E0" w:rsidRDefault="00E03711">
            <w:pPr>
              <w:pStyle w:val="GUIDE-NORMAL"/>
              <w:spacing w:before="60" w:after="60"/>
              <w:jc w:val="left"/>
              <w:rPr>
                <w:rFonts w:cs="Tahoma"/>
                <w:lang w:val="sl-SI" w:eastAsia="en-GB"/>
              </w:rPr>
            </w:pPr>
            <w:r w:rsidRPr="00F769E0">
              <w:rPr>
                <w:rFonts w:cs="Tahoma"/>
                <w:lang w:val="sl-SI" w:eastAsia="en-GB"/>
              </w:rPr>
              <w:t xml:space="preserve">Prijavitelji morajo vlogo za nepovratna sredstva oddati do </w:t>
            </w:r>
            <w:r>
              <w:rPr>
                <w:rFonts w:cs="Tahoma"/>
                <w:lang w:val="sl-SI" w:eastAsia="en-GB"/>
              </w:rPr>
              <w:t>26</w:t>
            </w:r>
            <w:r w:rsidRPr="00F769E0">
              <w:rPr>
                <w:rFonts w:cs="Tahoma"/>
                <w:lang w:val="sl-SI" w:eastAsia="en-GB"/>
              </w:rPr>
              <w:t xml:space="preserve">. februarja do </w:t>
            </w:r>
            <w:r>
              <w:rPr>
                <w:rFonts w:cs="Tahoma"/>
                <w:lang w:val="sl-SI" w:eastAsia="en-GB"/>
              </w:rPr>
              <w:t>17</w:t>
            </w:r>
            <w:r w:rsidRPr="00F769E0">
              <w:rPr>
                <w:rFonts w:cs="Tahoma"/>
                <w:lang w:val="sl-SI" w:eastAsia="en-GB"/>
              </w:rPr>
              <w:t>. ure (po bruseljskem času) za projekte, ki se začnejo 1. novembra ali decembra istega leta ali 1. januarja</w:t>
            </w:r>
            <w:r>
              <w:rPr>
                <w:rFonts w:cs="Tahoma"/>
                <w:lang w:val="sl-SI" w:eastAsia="en-GB"/>
              </w:rPr>
              <w:t xml:space="preserve"> naslednje leto</w:t>
            </w:r>
            <w:r w:rsidRPr="00F769E0">
              <w:rPr>
                <w:rFonts w:cs="Tahoma"/>
                <w:lang w:val="sl-SI" w:eastAsia="en-GB"/>
              </w:rPr>
              <w:t>.</w:t>
            </w:r>
          </w:p>
        </w:tc>
      </w:tr>
      <w:tr w:rsidR="00E03711" w:rsidRPr="00C60205" w14:paraId="7D39956E" w14:textId="77777777" w:rsidTr="006E1B1F">
        <w:tblPrEx>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PrEx>
        <w:trPr>
          <w:cantSplit/>
          <w:trHeight w:val="57"/>
        </w:trPr>
        <w:tc>
          <w:tcPr>
            <w:tcW w:w="1705" w:type="dxa"/>
            <w:shd w:val="clear" w:color="auto" w:fill="FFFFFF"/>
            <w:vAlign w:val="center"/>
          </w:tcPr>
          <w:p w14:paraId="7D39956C" w14:textId="77777777" w:rsidR="00E03711" w:rsidRPr="00F769E0" w:rsidRDefault="00E03711" w:rsidP="009A5F55">
            <w:pPr>
              <w:pStyle w:val="GUIDE-NORMAL"/>
              <w:spacing w:before="60" w:after="60"/>
              <w:jc w:val="left"/>
              <w:rPr>
                <w:rFonts w:cs="Tahoma"/>
                <w:b/>
                <w:lang w:val="sl-SI" w:eastAsia="en-GB"/>
              </w:rPr>
            </w:pPr>
            <w:r w:rsidRPr="00F769E0">
              <w:rPr>
                <w:rFonts w:cs="Tahoma"/>
                <w:b/>
                <w:lang w:val="sl-SI" w:eastAsia="en-GB"/>
              </w:rPr>
              <w:t>Kako se prijaviti?</w:t>
            </w:r>
          </w:p>
        </w:tc>
        <w:tc>
          <w:tcPr>
            <w:tcW w:w="7359" w:type="dxa"/>
            <w:gridSpan w:val="2"/>
            <w:shd w:val="clear" w:color="auto" w:fill="FFFFFF"/>
            <w:vAlign w:val="center"/>
          </w:tcPr>
          <w:p w14:paraId="7D39956D" w14:textId="77777777" w:rsidR="00E03711" w:rsidRPr="00F769E0" w:rsidRDefault="00E03711" w:rsidP="009A5F55">
            <w:pPr>
              <w:pStyle w:val="GUIDE-NORMAL"/>
              <w:spacing w:before="60" w:after="60"/>
              <w:jc w:val="left"/>
              <w:rPr>
                <w:rFonts w:cs="Tahoma"/>
                <w:lang w:val="sl-SI" w:eastAsia="en-GB"/>
              </w:rPr>
            </w:pPr>
            <w:r w:rsidRPr="00F769E0">
              <w:rPr>
                <w:rFonts w:cs="Tahoma"/>
                <w:lang w:val="sl-SI" w:eastAsia="en-GB"/>
              </w:rPr>
              <w:t>Za podrobnosti o postopku prijave glej del C tega vodnika.</w:t>
            </w:r>
          </w:p>
        </w:tc>
      </w:tr>
    </w:tbl>
    <w:p w14:paraId="7D39956F" w14:textId="77777777" w:rsidR="00E03711" w:rsidRPr="001048FE" w:rsidRDefault="00E03711" w:rsidP="009A5F55">
      <w:pPr>
        <w:pStyle w:val="GUIDE-NORMAL"/>
        <w:rPr>
          <w:lang w:val="sl-SI"/>
        </w:rPr>
      </w:pPr>
      <w:r w:rsidRPr="001048FE">
        <w:rPr>
          <w:lang w:val="sl-SI"/>
        </w:rPr>
        <w:t xml:space="preserve">Organizacije prijaviteljice bodo ocenjene z ustreznimi </w:t>
      </w:r>
      <w:r w:rsidRPr="001048FE">
        <w:rPr>
          <w:b/>
          <w:lang w:val="sl-SI"/>
        </w:rPr>
        <w:t>merili za izključitev in izbor</w:t>
      </w:r>
      <w:r w:rsidRPr="001048FE">
        <w:rPr>
          <w:lang w:val="sl-SI"/>
        </w:rPr>
        <w:t>. Za več informacij glejte del C tega vodnika.</w:t>
      </w:r>
    </w:p>
    <w:p w14:paraId="7D399570" w14:textId="77777777" w:rsidR="00E03711" w:rsidRPr="001048FE" w:rsidRDefault="00E03711" w:rsidP="009A5F55">
      <w:pPr>
        <w:pStyle w:val="Guide-Heading7"/>
        <w:rPr>
          <w:lang w:val="sl-SI"/>
        </w:rPr>
        <w:sectPr w:rsidR="00E03711" w:rsidRPr="001048FE" w:rsidSect="00E15ED3">
          <w:endnotePr>
            <w:numFmt w:val="decimal"/>
          </w:endnotePr>
          <w:pgSz w:w="11910" w:h="16840" w:code="9"/>
          <w:pgMar w:top="1134" w:right="1418" w:bottom="1134" w:left="1418" w:header="284" w:footer="567" w:gutter="0"/>
          <w:cols w:space="720"/>
          <w:docGrid w:linePitch="326"/>
        </w:sectPr>
      </w:pPr>
    </w:p>
    <w:p w14:paraId="7D399571" w14:textId="77777777" w:rsidR="00E03711" w:rsidRPr="001048FE" w:rsidRDefault="00E03711" w:rsidP="009A5F55">
      <w:pPr>
        <w:pStyle w:val="Guide-Heading7"/>
        <w:rPr>
          <w:lang w:val="sl-SI"/>
        </w:rPr>
      </w:pPr>
      <w:r w:rsidRPr="001048FE">
        <w:rPr>
          <w:lang w:val="sl-SI"/>
        </w:rPr>
        <w:t xml:space="preserve">Merila za dodelitev za sklop </w:t>
      </w:r>
      <w:r>
        <w:rPr>
          <w:lang w:val="sl-SI"/>
        </w:rPr>
        <w:t>1</w:t>
      </w:r>
    </w:p>
    <w:p w14:paraId="7D399572" w14:textId="77777777" w:rsidR="00E03711" w:rsidRPr="001048FE" w:rsidRDefault="00E03711" w:rsidP="009A5F55">
      <w:pPr>
        <w:pStyle w:val="GUIDE-NORMAL"/>
        <w:rPr>
          <w:lang w:val="sl-SI"/>
        </w:rPr>
      </w:pPr>
      <w:r w:rsidRPr="001048FE">
        <w:rPr>
          <w:lang w:val="sl-SI"/>
        </w:rPr>
        <w:t>Predlogi bodo ocenjeni z naslednjimi merili:</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Layout w:type="fixed"/>
        <w:tblLook w:val="0000" w:firstRow="0" w:lastRow="0" w:firstColumn="0" w:lastColumn="0" w:noHBand="0" w:noVBand="0"/>
      </w:tblPr>
      <w:tblGrid>
        <w:gridCol w:w="1568"/>
        <w:gridCol w:w="7722"/>
      </w:tblGrid>
      <w:tr w:rsidR="00E03711" w:rsidRPr="00C60205" w14:paraId="7D39957D" w14:textId="77777777" w:rsidTr="00171E21">
        <w:trPr>
          <w:trHeight w:val="20"/>
        </w:trPr>
        <w:tc>
          <w:tcPr>
            <w:tcW w:w="844" w:type="pct"/>
            <w:shd w:val="clear" w:color="auto" w:fill="FFFFFF"/>
            <w:vAlign w:val="center"/>
          </w:tcPr>
          <w:p w14:paraId="7D399573" w14:textId="77777777" w:rsidR="00E03711" w:rsidRPr="00F769E0" w:rsidRDefault="00E03711" w:rsidP="00397254">
            <w:pPr>
              <w:pStyle w:val="Guide-Table"/>
              <w:spacing w:before="60" w:after="60"/>
              <w:jc w:val="left"/>
              <w:rPr>
                <w:rFonts w:cs="Tahoma"/>
                <w:b/>
                <w:lang w:val="sl-SI" w:eastAsia="en-GB"/>
              </w:rPr>
            </w:pPr>
            <w:r w:rsidRPr="00F769E0">
              <w:rPr>
                <w:rFonts w:cs="Tahoma"/>
                <w:b/>
                <w:lang w:val="sl-SI" w:eastAsia="en-GB"/>
              </w:rPr>
              <w:t xml:space="preserve">Ustreznost projekta </w:t>
            </w:r>
            <w:r w:rsidRPr="00F769E0">
              <w:rPr>
                <w:rFonts w:cs="Tahoma"/>
                <w:b/>
                <w:lang w:val="sl-SI" w:eastAsia="en-GB"/>
              </w:rPr>
              <w:br/>
              <w:t>(največ 25 točk)</w:t>
            </w:r>
          </w:p>
        </w:tc>
        <w:tc>
          <w:tcPr>
            <w:tcW w:w="4156" w:type="pct"/>
            <w:shd w:val="clear" w:color="auto" w:fill="FFFFFF"/>
          </w:tcPr>
          <w:p w14:paraId="7D399574" w14:textId="77777777" w:rsidR="00E03711" w:rsidRPr="001048FE" w:rsidRDefault="00E03711" w:rsidP="005115F2">
            <w:pPr>
              <w:pStyle w:val="Guide-NormalBulletpoints"/>
              <w:numPr>
                <w:ilvl w:val="0"/>
                <w:numId w:val="297"/>
              </w:numPr>
              <w:ind w:left="336" w:hanging="284"/>
              <w:rPr>
                <w:lang w:val="sl-SI"/>
              </w:rPr>
            </w:pPr>
            <w:r w:rsidRPr="001048FE">
              <w:rPr>
                <w:lang w:val="sl-SI"/>
              </w:rPr>
              <w:t>Povezava s politikami in pobudami EU: predlog upošteva evropske cilje na področju PIU in prispeva k njihovemu doseganju; upošteva obstoječa orodja in pobude EU za razvoj spretnosti ter prispeva k njihovi večji prepoznavnosti; temelji na delu evropskega sveta za sektorske spretnosti, kadar je to ustrezno;</w:t>
            </w:r>
          </w:p>
          <w:p w14:paraId="7D399575" w14:textId="77777777" w:rsidR="00E03711" w:rsidRPr="001048FE" w:rsidRDefault="00E03711" w:rsidP="005115F2">
            <w:pPr>
              <w:pStyle w:val="Guide-NormalBulletpoints"/>
              <w:numPr>
                <w:ilvl w:val="0"/>
                <w:numId w:val="297"/>
              </w:numPr>
              <w:ind w:left="336" w:hanging="284"/>
              <w:rPr>
                <w:lang w:val="sl-SI"/>
              </w:rPr>
            </w:pPr>
            <w:r w:rsidRPr="001048FE">
              <w:rPr>
                <w:lang w:val="sl-SI"/>
              </w:rPr>
              <w:t>zastopanost PIU: koalicija sektorskih spretnosti vključuje partnerje, ki ustrezno zastopajo oblikovanje in izvajanje PIU;</w:t>
            </w:r>
          </w:p>
          <w:p w14:paraId="7D399576" w14:textId="77777777" w:rsidR="00E03711" w:rsidRPr="001048FE" w:rsidRDefault="00E03711" w:rsidP="005115F2">
            <w:pPr>
              <w:pStyle w:val="Guide-NormalBulletpoints"/>
              <w:numPr>
                <w:ilvl w:val="0"/>
                <w:numId w:val="297"/>
              </w:numPr>
              <w:ind w:left="336" w:hanging="284"/>
              <w:rPr>
                <w:lang w:val="sl-SI"/>
              </w:rPr>
            </w:pPr>
            <w:r w:rsidRPr="001048FE">
              <w:rPr>
                <w:lang w:val="sl-SI"/>
              </w:rPr>
              <w:t>sektorska zastopanost: koalicija sektorskih spretnosti vključuje partnerje, ki ustrezno zastopajo zadevni sektor;</w:t>
            </w:r>
          </w:p>
          <w:p w14:paraId="7D399577" w14:textId="77777777" w:rsidR="00E03711" w:rsidRPr="001048FE" w:rsidRDefault="00E03711" w:rsidP="005115F2">
            <w:pPr>
              <w:pStyle w:val="Guide-NormalBulletpoints"/>
              <w:numPr>
                <w:ilvl w:val="0"/>
                <w:numId w:val="297"/>
              </w:numPr>
              <w:ind w:left="336" w:hanging="284"/>
              <w:rPr>
                <w:lang w:val="sl-SI"/>
              </w:rPr>
            </w:pPr>
            <w:r w:rsidRPr="001048FE">
              <w:rPr>
                <w:lang w:val="sl-SI"/>
              </w:rPr>
              <w:t>digitalne spretnosti: v kolikšni meri predlog digitalne spretnosti vključuje v vsebine usposabljanja za enega ali več povezanih poklicnih profilov. Predlogi, ki vključujejo ta vidik, bodo obravnavani kot zelo ustrezni;</w:t>
            </w:r>
          </w:p>
          <w:p w14:paraId="7D399578" w14:textId="77777777" w:rsidR="00E03711" w:rsidRPr="001048FE" w:rsidRDefault="00E03711" w:rsidP="005115F2">
            <w:pPr>
              <w:pStyle w:val="Guide-NormalBulletpoints"/>
              <w:numPr>
                <w:ilvl w:val="0"/>
                <w:numId w:val="297"/>
              </w:numPr>
              <w:ind w:left="336" w:hanging="284"/>
              <w:rPr>
                <w:lang w:val="sl-SI"/>
              </w:rPr>
            </w:pPr>
            <w:r w:rsidRPr="001048FE">
              <w:rPr>
                <w:lang w:val="sl-SI"/>
              </w:rPr>
              <w:t>zelene spretnosti: v kolikšni meri predlog spretnosti, povezane s prehodom na krožno in bolj zeleno gospodarstvo, vključuje v vsebine usposabljanja za enega ali več povezanih poklicnih profilov. Predlogi, ki vključujejo ta vidik, bodo obravnavani kot zelo ustrezni;</w:t>
            </w:r>
          </w:p>
          <w:p w14:paraId="7D399579" w14:textId="77777777" w:rsidR="00E03711" w:rsidRPr="001048FE" w:rsidRDefault="00E03711" w:rsidP="005115F2">
            <w:pPr>
              <w:pStyle w:val="Guide-NormalBulletpoints"/>
              <w:numPr>
                <w:ilvl w:val="0"/>
                <w:numId w:val="297"/>
              </w:numPr>
              <w:ind w:left="336" w:hanging="284"/>
              <w:rPr>
                <w:lang w:val="sl-SI"/>
              </w:rPr>
            </w:pPr>
            <w:r w:rsidRPr="001048FE">
              <w:rPr>
                <w:lang w:val="sl-SI"/>
              </w:rPr>
              <w:t>namen: predlog je usklajen s cilji ukrepa (glej poglavje „Kakšni so cilji koalicije sektorskih spretnosti?“);</w:t>
            </w:r>
          </w:p>
          <w:p w14:paraId="7D39957A" w14:textId="77777777" w:rsidR="00E03711" w:rsidRPr="001048FE" w:rsidRDefault="00E03711" w:rsidP="005115F2">
            <w:pPr>
              <w:pStyle w:val="Guide-NormalBulletpoints"/>
              <w:numPr>
                <w:ilvl w:val="0"/>
                <w:numId w:val="297"/>
              </w:numPr>
              <w:ind w:left="336" w:hanging="284"/>
              <w:rPr>
                <w:lang w:val="sl-SI"/>
              </w:rPr>
            </w:pPr>
            <w:r w:rsidRPr="001048FE">
              <w:rPr>
                <w:lang w:val="sl-SI"/>
              </w:rPr>
              <w:t>usklajenost: cilji temeljijo na tehtni analizi potreb; so jasno opredeljeni in realistični ter obravnavajo vprašanja, ki so pomembna za sodelujoče organizacije in ukrep;</w:t>
            </w:r>
          </w:p>
          <w:p w14:paraId="7D39957B" w14:textId="77777777" w:rsidR="00E03711" w:rsidRPr="001048FE" w:rsidRDefault="00E03711" w:rsidP="005115F2">
            <w:pPr>
              <w:pStyle w:val="Guide-NormalBulletpoints"/>
              <w:numPr>
                <w:ilvl w:val="0"/>
                <w:numId w:val="297"/>
              </w:numPr>
              <w:ind w:left="336" w:hanging="284"/>
              <w:rPr>
                <w:lang w:val="sl-SI"/>
              </w:rPr>
            </w:pPr>
            <w:r w:rsidRPr="001048FE">
              <w:rPr>
                <w:lang w:val="sl-SI"/>
              </w:rPr>
              <w:t>inovacije: predlog obravnava najsodobnejše metode in tehnike ter vodi do inovativnih rezultatov in rešitev;</w:t>
            </w:r>
          </w:p>
          <w:p w14:paraId="7D39957C" w14:textId="77777777" w:rsidR="00E03711" w:rsidRPr="001048FE" w:rsidRDefault="00E03711" w:rsidP="005115F2">
            <w:pPr>
              <w:pStyle w:val="Guide-NormalBulletpoints"/>
              <w:numPr>
                <w:ilvl w:val="0"/>
                <w:numId w:val="297"/>
              </w:numPr>
              <w:ind w:left="336" w:hanging="284"/>
              <w:rPr>
                <w:lang w:val="sl-SI"/>
              </w:rPr>
            </w:pPr>
            <w:r w:rsidRPr="001048FE">
              <w:rPr>
                <w:lang w:val="sl-SI"/>
              </w:rPr>
              <w:t>evropska dodana vrednost: predlog jasno kaže dodano vrednost, ki bo ustvarjena na podlagi mednarodnosti projekta.</w:t>
            </w:r>
          </w:p>
        </w:tc>
      </w:tr>
      <w:tr w:rsidR="00E03711" w:rsidRPr="00C60205" w14:paraId="7D399586" w14:textId="77777777" w:rsidTr="00171E21">
        <w:trPr>
          <w:trHeight w:val="20"/>
        </w:trPr>
        <w:tc>
          <w:tcPr>
            <w:tcW w:w="844" w:type="pct"/>
            <w:shd w:val="clear" w:color="auto" w:fill="FFFFFF"/>
            <w:vAlign w:val="center"/>
          </w:tcPr>
          <w:p w14:paraId="7D39957E" w14:textId="77777777" w:rsidR="00E03711" w:rsidRPr="00F769E0" w:rsidRDefault="00E03711" w:rsidP="00397254">
            <w:pPr>
              <w:pStyle w:val="Guide-Table"/>
              <w:spacing w:before="60" w:after="60"/>
              <w:jc w:val="left"/>
              <w:rPr>
                <w:rFonts w:cs="Tahoma"/>
                <w:b/>
                <w:lang w:val="sl-SI" w:eastAsia="en-GB"/>
              </w:rPr>
            </w:pPr>
            <w:r w:rsidRPr="00F769E0">
              <w:rPr>
                <w:rFonts w:cs="Tahoma"/>
                <w:b/>
                <w:lang w:val="sl-SI" w:eastAsia="en-GB"/>
              </w:rPr>
              <w:t xml:space="preserve">Kakovost zasnove in izvedbe projekta </w:t>
            </w:r>
            <w:r w:rsidRPr="00F769E0">
              <w:rPr>
                <w:rFonts w:cs="Tahoma"/>
                <w:b/>
                <w:lang w:val="sl-SI" w:eastAsia="en-GB"/>
              </w:rPr>
              <w:br/>
              <w:t>(največ 30 točk)</w:t>
            </w:r>
          </w:p>
        </w:tc>
        <w:tc>
          <w:tcPr>
            <w:tcW w:w="4156" w:type="pct"/>
            <w:shd w:val="clear" w:color="auto" w:fill="FFFFFF"/>
          </w:tcPr>
          <w:p w14:paraId="7D39957F" w14:textId="77777777" w:rsidR="00E03711" w:rsidRPr="001048FE" w:rsidRDefault="00E03711" w:rsidP="005115F2">
            <w:pPr>
              <w:pStyle w:val="Guide-NormalBulletpoints"/>
              <w:numPr>
                <w:ilvl w:val="0"/>
                <w:numId w:val="298"/>
              </w:numPr>
              <w:ind w:left="336" w:hanging="284"/>
              <w:rPr>
                <w:lang w:val="sl-SI"/>
              </w:rPr>
            </w:pPr>
            <w:r w:rsidRPr="001048FE">
              <w:rPr>
                <w:lang w:val="sl-SI"/>
              </w:rPr>
              <w:t>Skladnost: splošna zasnova projekta zagotavlja usklajenost ciljev, metodologije, aktivnosti in predlaganega proračuna projekta. Predlog vsebuje usklajen in celovit nabor ustreznih aktivnosti za izpolnjevanje opredeljenih potreb in doseganje pričakovanih rezultatov;</w:t>
            </w:r>
          </w:p>
          <w:p w14:paraId="7D399580" w14:textId="77777777" w:rsidR="00E03711" w:rsidRPr="001048FE" w:rsidRDefault="00E03711" w:rsidP="005115F2">
            <w:pPr>
              <w:pStyle w:val="Guide-NormalBulletpoints"/>
              <w:numPr>
                <w:ilvl w:val="0"/>
                <w:numId w:val="298"/>
              </w:numPr>
              <w:ind w:left="336" w:hanging="284"/>
              <w:rPr>
                <w:lang w:val="sl-SI"/>
              </w:rPr>
            </w:pPr>
            <w:r w:rsidRPr="001048FE">
              <w:rPr>
                <w:lang w:val="sl-SI"/>
              </w:rPr>
              <w:t>struktura: delovni program je jasen in razumljiv ter zajema vse faze (priprava, izvajanje, uporaba, spremljanje, ocenjevanje in razširjanje);</w:t>
            </w:r>
          </w:p>
          <w:p w14:paraId="7D399581" w14:textId="77777777" w:rsidR="00E03711" w:rsidRPr="001048FE" w:rsidRDefault="00E03711" w:rsidP="005115F2">
            <w:pPr>
              <w:pStyle w:val="Guide-NormalBulletpoints"/>
              <w:numPr>
                <w:ilvl w:val="0"/>
                <w:numId w:val="298"/>
              </w:numPr>
              <w:spacing w:before="60"/>
              <w:ind w:left="336" w:hanging="284"/>
              <w:rPr>
                <w:lang w:val="sl-SI"/>
              </w:rPr>
            </w:pPr>
            <w:r w:rsidRPr="001048FE">
              <w:rPr>
                <w:lang w:val="sl-SI"/>
              </w:rPr>
              <w:t>metodologija: predlog je skladen ter uporablja instrumente in orodja EU, povezana s spretnostmi in poklici, kot so EOK</w:t>
            </w:r>
            <w:r w:rsidRPr="001048FE">
              <w:rPr>
                <w:rStyle w:val="FootnoteReference"/>
                <w:lang w:val="sl-SI"/>
              </w:rPr>
              <w:footnoteReference w:id="134"/>
            </w:r>
            <w:r w:rsidRPr="001048FE">
              <w:rPr>
                <w:lang w:val="sl-SI"/>
              </w:rPr>
              <w:t>, ECVET</w:t>
            </w:r>
            <w:r w:rsidRPr="001048FE">
              <w:rPr>
                <w:rStyle w:val="FootnoteReference"/>
                <w:lang w:val="sl-SI"/>
              </w:rPr>
              <w:footnoteReference w:id="135"/>
            </w:r>
            <w:r w:rsidRPr="001048FE">
              <w:rPr>
                <w:lang w:val="sl-SI"/>
              </w:rPr>
              <w:t>, EQAVET</w:t>
            </w:r>
            <w:r w:rsidRPr="001048FE">
              <w:rPr>
                <w:rStyle w:val="FootnoteReference"/>
                <w:lang w:val="sl-SI"/>
              </w:rPr>
              <w:footnoteReference w:id="136"/>
            </w:r>
            <w:r w:rsidRPr="001048FE">
              <w:rPr>
                <w:lang w:val="sl-SI"/>
              </w:rPr>
              <w:t>, Europass</w:t>
            </w:r>
            <w:r w:rsidRPr="001048FE">
              <w:rPr>
                <w:rStyle w:val="FootnoteReference"/>
                <w:lang w:val="sl-SI"/>
              </w:rPr>
              <w:footnoteReference w:id="137"/>
            </w:r>
            <w:r w:rsidRPr="001048FE">
              <w:rPr>
                <w:lang w:val="sl-SI"/>
              </w:rPr>
              <w:t>, EURES</w:t>
            </w:r>
            <w:r w:rsidRPr="001048FE">
              <w:rPr>
                <w:rStyle w:val="FootnoteReference"/>
                <w:lang w:val="sl-SI"/>
              </w:rPr>
              <w:footnoteReference w:id="138"/>
            </w:r>
            <w:r w:rsidRPr="001048FE">
              <w:rPr>
                <w:lang w:val="sl-SI"/>
              </w:rPr>
              <w:t>, Drop'pin</w:t>
            </w:r>
            <w:r w:rsidRPr="001048FE">
              <w:rPr>
                <w:rStyle w:val="FootnoteReference"/>
                <w:lang w:val="sl-SI"/>
              </w:rPr>
              <w:footnoteReference w:id="139"/>
            </w:r>
            <w:r w:rsidRPr="001048FE">
              <w:rPr>
                <w:lang w:val="sl-SI"/>
              </w:rPr>
              <w:t>, ESCO</w:t>
            </w:r>
            <w:hyperlink r:id="rId95">
              <w:r w:rsidRPr="001048FE">
                <w:rPr>
                  <w:rStyle w:val="FootnoteReference"/>
                  <w:lang w:val="sl-SI"/>
                </w:rPr>
                <w:footnoteReference w:id="140"/>
              </w:r>
              <w:r w:rsidRPr="001048FE">
                <w:rPr>
                  <w:lang w:val="sl-SI"/>
                </w:rPr>
                <w:t xml:space="preserve"> </w:t>
              </w:r>
            </w:hyperlink>
            <w:r w:rsidRPr="001048FE">
              <w:rPr>
                <w:lang w:val="sl-SI"/>
              </w:rPr>
              <w:t>itd. Kadar je mogoče, predlog upošteva in izkorišča prejšnje ustrezne aktivnosti (npr. pobude držav Programa, skupnosti znanja in inovacij Evropskega inštituta za inovacije in tehnologijo (EIT)</w:t>
            </w:r>
            <w:r w:rsidRPr="001048FE">
              <w:rPr>
                <w:rStyle w:val="FootnoteReference"/>
                <w:lang w:val="sl-SI"/>
              </w:rPr>
              <w:footnoteReference w:id="141"/>
            </w:r>
            <w:r w:rsidRPr="001048FE">
              <w:rPr>
                <w:lang w:val="sl-SI"/>
              </w:rPr>
              <w:t>), prejšnje in sedanje koalicije sektorskih spretnosti</w:t>
            </w:r>
            <w:r w:rsidRPr="001048FE">
              <w:rPr>
                <w:rStyle w:val="FootnoteReference"/>
                <w:lang w:val="sl-SI"/>
              </w:rPr>
              <w:footnoteReference w:id="142"/>
            </w:r>
            <w:r w:rsidRPr="001048FE">
              <w:rPr>
                <w:lang w:val="sl-SI"/>
              </w:rPr>
              <w:t>. Predlog uporablja pristop na podlagi učnih izidov, ECVET (enote učnih izidov) in načela zagotavljanja kakovosti, ki so skladna z EQUAVET;</w:t>
            </w:r>
          </w:p>
          <w:p w14:paraId="7D399582" w14:textId="77777777" w:rsidR="00E03711" w:rsidRPr="001048FE" w:rsidRDefault="00E03711" w:rsidP="005115F2">
            <w:pPr>
              <w:pStyle w:val="Guide-NormalBulletpoints"/>
              <w:numPr>
                <w:ilvl w:val="0"/>
                <w:numId w:val="298"/>
              </w:numPr>
              <w:spacing w:before="60"/>
              <w:ind w:left="336" w:hanging="284"/>
              <w:rPr>
                <w:lang w:val="sl-SI"/>
              </w:rPr>
            </w:pPr>
            <w:r w:rsidRPr="001048FE">
              <w:rPr>
                <w:lang w:val="sl-SI"/>
              </w:rPr>
              <w:t>upravljanje: predvidene so trdne ureditve upravljanja. Časovni razpored, organizacija, naloge in odgovornosti so dobro opredeljeni in realistični. Predlog dodeljuje ustrezna sredstva posameznim aktivnostim;</w:t>
            </w:r>
          </w:p>
          <w:p w14:paraId="7D399583" w14:textId="77777777" w:rsidR="00E03711" w:rsidRPr="001048FE" w:rsidRDefault="00E03711" w:rsidP="005115F2">
            <w:pPr>
              <w:pStyle w:val="Guide-NormalBulletpoints"/>
              <w:numPr>
                <w:ilvl w:val="0"/>
                <w:numId w:val="298"/>
              </w:numPr>
              <w:spacing w:before="60"/>
              <w:ind w:left="336" w:hanging="284"/>
              <w:rPr>
                <w:lang w:val="sl-SI"/>
              </w:rPr>
            </w:pPr>
            <w:r w:rsidRPr="001048FE">
              <w:rPr>
                <w:lang w:val="sl-SI"/>
              </w:rPr>
              <w:t>proračun: proračun zagotavlja ustrezna sredstva, ki so potrebna za uspeh, in ni precenjen niti podcenjen;</w:t>
            </w:r>
          </w:p>
          <w:p w14:paraId="7D399584" w14:textId="77777777" w:rsidR="00E03711" w:rsidRPr="001048FE" w:rsidRDefault="00E03711" w:rsidP="005115F2">
            <w:pPr>
              <w:pStyle w:val="Guide-NormalBulletpoints"/>
              <w:numPr>
                <w:ilvl w:val="0"/>
                <w:numId w:val="298"/>
              </w:numPr>
              <w:spacing w:before="60"/>
              <w:ind w:left="336" w:hanging="284"/>
              <w:rPr>
                <w:lang w:val="sl-SI"/>
              </w:rPr>
            </w:pPr>
            <w:r w:rsidRPr="001048FE">
              <w:rPr>
                <w:lang w:val="sl-SI"/>
              </w:rPr>
              <w:t>kakovost ureditev za priznavanje in potrjevanje učnih izidov udeležencev v skladu z evropskimi orodji in načeli za preglednost in priznavanje;</w:t>
            </w:r>
          </w:p>
          <w:p w14:paraId="7D399585" w14:textId="77777777" w:rsidR="00E03711" w:rsidRPr="00237696" w:rsidRDefault="00E03711" w:rsidP="005115F2">
            <w:pPr>
              <w:pStyle w:val="Guide-NormalBulletpoints"/>
              <w:numPr>
                <w:ilvl w:val="0"/>
                <w:numId w:val="298"/>
              </w:numPr>
              <w:spacing w:before="60"/>
              <w:ind w:left="336" w:hanging="284"/>
              <w:rPr>
                <w:rStyle w:val="Guide-Condensed-02"/>
                <w:lang w:val="sl-SI"/>
              </w:rPr>
            </w:pPr>
            <w:r w:rsidRPr="00237696">
              <w:rPr>
                <w:rStyle w:val="Guide-Condensed-02"/>
                <w:lang w:val="sl-SI"/>
              </w:rPr>
              <w:t>nadzor sredstev in kakovosti: ukrepi za nadzor (stalno ocenjevanje kakovosti, medsebojni strokovni pregledi, aktivnosti primerjalne analize itd.) in kazalniki kakovosti zagotavljajo, da je izvajanje projekta visokokakovostno in stroškovno učinkovito. Izzivi/tveganja v zvezi s projektom so jasno opredeljeni in blažilni ukrepi so ustrezno obravnavani. Postopki strokovnega pregleda so načrtovani kot sestavni del projekta. Delovni program koalicije vključuje neodvisno zunanjo oceno kakovosti, vmesno in ob koncu projekta.</w:t>
            </w:r>
          </w:p>
        </w:tc>
      </w:tr>
      <w:tr w:rsidR="00E03711" w:rsidRPr="00C60205" w14:paraId="7D39958C" w14:textId="77777777" w:rsidTr="00171E21">
        <w:trPr>
          <w:trHeight w:val="20"/>
        </w:trPr>
        <w:tc>
          <w:tcPr>
            <w:tcW w:w="844" w:type="pct"/>
            <w:shd w:val="clear" w:color="auto" w:fill="FFFFFF"/>
            <w:vAlign w:val="center"/>
          </w:tcPr>
          <w:p w14:paraId="7D399587" w14:textId="77777777" w:rsidR="00E03711" w:rsidRPr="00F769E0" w:rsidRDefault="00E03711" w:rsidP="00397254">
            <w:pPr>
              <w:pStyle w:val="Guide-Table"/>
              <w:spacing w:before="60" w:after="60"/>
              <w:jc w:val="left"/>
              <w:rPr>
                <w:rFonts w:cs="Tahoma"/>
                <w:b/>
                <w:lang w:val="sl-SI" w:eastAsia="en-GB"/>
              </w:rPr>
            </w:pPr>
            <w:r w:rsidRPr="00F769E0">
              <w:rPr>
                <w:rFonts w:cs="Tahoma"/>
                <w:b/>
                <w:lang w:val="sl-SI" w:eastAsia="en-GB"/>
              </w:rPr>
              <w:t>Kakovost projektne skupine in dogovorov o sodelovanju (največ 25 točk)</w:t>
            </w:r>
          </w:p>
        </w:tc>
        <w:tc>
          <w:tcPr>
            <w:tcW w:w="4156" w:type="pct"/>
            <w:shd w:val="clear" w:color="auto" w:fill="FFFFFF"/>
          </w:tcPr>
          <w:p w14:paraId="7D399588" w14:textId="77777777" w:rsidR="00E03711" w:rsidRPr="001048FE" w:rsidRDefault="00E03711" w:rsidP="005115F2">
            <w:pPr>
              <w:pStyle w:val="Guide-NormalBulletpoints"/>
              <w:numPr>
                <w:ilvl w:val="0"/>
                <w:numId w:val="299"/>
              </w:numPr>
              <w:ind w:left="336" w:hanging="284"/>
              <w:rPr>
                <w:lang w:val="sl-SI"/>
              </w:rPr>
            </w:pPr>
            <w:r w:rsidRPr="001048FE">
              <w:rPr>
                <w:lang w:val="sl-SI"/>
              </w:rPr>
              <w:t>Sestava: sestava partnerstva je skladna s cilji projekta ter ustrezno združuje strokovno znanje in kompetence, potrebne v zvezi z oblikovanjem učnih načrtov in standardov kakovosti, metodologijo izvajanja usposabljanja in politikami usposabljanja. Zastopanost in strokovnost parterjev v zadevnem sektorju in na evropski ravni je prepričljivo prikazana. Partnerji združujejo sistemske in sektorske informacije z dobrim poznavanjem potreb po spretnostih in praks usposabljanja v svojem gospodarskem sektorju. Udeležba evropskih socialnih partnerjev in/ali nacionalnih socialnih partnerjev v državah, vključenih v koalicijo, z jasno dodeljeno vlogo za razvoj učnih načrtov in zagotavljanje učenja na delovnem mestu, je zelo relevantna. Porazdelitev in zastopanost ustreznih partnerjev v državah Programa, vključenih v koalicijo, bi morali biti takšni, da ima koalicija veliko zmogljivost izvajanja v državah, vključenih v koalicijo (npr. z udeležbo evropske sektorske organizacije ali evropskih socialnih partnerjev). Če predlog vključuje tudi organe z regulativno funkcijo v PIU, bo upoštevan kot zelo ustrezen;</w:t>
            </w:r>
          </w:p>
          <w:p w14:paraId="7D399589" w14:textId="77777777" w:rsidR="00E03711" w:rsidRPr="001048FE" w:rsidRDefault="00E03711" w:rsidP="005115F2">
            <w:pPr>
              <w:pStyle w:val="Guide-NormalBulletpoints"/>
              <w:numPr>
                <w:ilvl w:val="0"/>
                <w:numId w:val="299"/>
              </w:numPr>
              <w:ind w:left="336" w:hanging="284"/>
              <w:rPr>
                <w:lang w:val="sl-SI"/>
              </w:rPr>
            </w:pPr>
            <w:r w:rsidRPr="001048FE">
              <w:rPr>
                <w:lang w:val="sl-SI"/>
              </w:rPr>
              <w:t>zavezanost: porazdelitev odgovornosti in nalog je jasna in ustrezna, iz nje pa sta razvidna zavezanost in dejavno prispevanje vseh sodelujočih organizacij glede na njihovo specifično strokovno znanje in zmogljivosti;</w:t>
            </w:r>
          </w:p>
          <w:p w14:paraId="7D39958A" w14:textId="77777777" w:rsidR="00E03711" w:rsidRPr="001048FE" w:rsidRDefault="00E03711" w:rsidP="005115F2">
            <w:pPr>
              <w:pStyle w:val="Guide-NormalBulletpoints"/>
              <w:numPr>
                <w:ilvl w:val="0"/>
                <w:numId w:val="299"/>
              </w:numPr>
              <w:ind w:left="336" w:hanging="284"/>
              <w:rPr>
                <w:lang w:val="sl-SI"/>
              </w:rPr>
            </w:pPr>
            <w:r w:rsidRPr="001048FE">
              <w:rPr>
                <w:lang w:val="sl-SI"/>
              </w:rPr>
              <w:t>naloge: koordinator pokaže visokokakovostno upravljanje in koordinacijo mednarodnih mrež ter vodstvo v zahtevnem okolju. Posamezne naloge so dodeljene na podlagi specifičnega strokovnega znanja posameznih partnerjev;</w:t>
            </w:r>
          </w:p>
          <w:p w14:paraId="7D39958B" w14:textId="77777777" w:rsidR="00E03711" w:rsidRPr="001048FE" w:rsidRDefault="00E03711" w:rsidP="005115F2">
            <w:pPr>
              <w:pStyle w:val="Guide-NormalBulletpoints"/>
              <w:numPr>
                <w:ilvl w:val="0"/>
                <w:numId w:val="299"/>
              </w:numPr>
              <w:ind w:left="336" w:hanging="284"/>
              <w:rPr>
                <w:lang w:val="sl-SI"/>
              </w:rPr>
            </w:pPr>
            <w:r w:rsidRPr="001048FE">
              <w:rPr>
                <w:lang w:val="sl-SI"/>
              </w:rPr>
              <w:t>sodelovanje/skupinski duh: predlagan je učinkovit mehanizem za zagotavljanje dobre koordinacije, odločanja in obveščanja med sodelujočimi organizacijami, udeleženci in vsemi drugimi zadevnimi deležniki.</w:t>
            </w:r>
          </w:p>
        </w:tc>
      </w:tr>
      <w:tr w:rsidR="00E03711" w:rsidRPr="00C60205" w14:paraId="7D399593" w14:textId="77777777" w:rsidTr="007C5501">
        <w:trPr>
          <w:trHeight w:val="5439"/>
        </w:trPr>
        <w:tc>
          <w:tcPr>
            <w:tcW w:w="844" w:type="pct"/>
            <w:shd w:val="clear" w:color="auto" w:fill="FFFFFF"/>
            <w:vAlign w:val="center"/>
          </w:tcPr>
          <w:p w14:paraId="7D39958D" w14:textId="77777777" w:rsidR="00E03711" w:rsidRPr="00F769E0" w:rsidRDefault="00E03711" w:rsidP="00397254">
            <w:pPr>
              <w:pStyle w:val="Guide-Table"/>
              <w:spacing w:before="60" w:after="60"/>
              <w:jc w:val="left"/>
              <w:rPr>
                <w:rFonts w:cs="Tahoma"/>
                <w:b/>
                <w:lang w:val="sl-SI" w:eastAsia="en-GB"/>
              </w:rPr>
            </w:pPr>
            <w:r w:rsidRPr="00F769E0">
              <w:rPr>
                <w:rFonts w:cs="Tahoma"/>
                <w:b/>
                <w:lang w:val="sl-SI" w:eastAsia="en-GB"/>
              </w:rPr>
              <w:t>Učinek in razširjanje (največ 20 točk)</w:t>
            </w:r>
          </w:p>
        </w:tc>
        <w:tc>
          <w:tcPr>
            <w:tcW w:w="4156" w:type="pct"/>
            <w:shd w:val="clear" w:color="auto" w:fill="FFFFFF"/>
          </w:tcPr>
          <w:p w14:paraId="7D39958E" w14:textId="77777777" w:rsidR="00E03711" w:rsidRPr="00237696" w:rsidRDefault="00E03711" w:rsidP="005115F2">
            <w:pPr>
              <w:pStyle w:val="Guide-NormalBulletpoints"/>
              <w:numPr>
                <w:ilvl w:val="0"/>
                <w:numId w:val="300"/>
              </w:numPr>
              <w:ind w:left="336" w:hanging="284"/>
              <w:rPr>
                <w:rStyle w:val="Guide-Condensed-02"/>
                <w:rFonts w:cs="Times New Roman"/>
                <w:color w:val="000000"/>
                <w:lang w:val="sl-SI" w:eastAsia="zh-CN"/>
              </w:rPr>
            </w:pPr>
            <w:r w:rsidRPr="00237696">
              <w:rPr>
                <w:rStyle w:val="Guide-Condensed-02"/>
                <w:lang w:val="sl-SI"/>
              </w:rPr>
              <w:t>Uporaba: v predlogu je prikazano, kako bodo partnerji in drugi deležniki uporabili rezultate koalicije. Predlog zagotavlja načine za merjenje uporabe v življenjskem ciklu projekta in po njem;</w:t>
            </w:r>
          </w:p>
          <w:p w14:paraId="7D39958F" w14:textId="77777777" w:rsidR="00E03711" w:rsidRPr="001048FE" w:rsidRDefault="00E03711" w:rsidP="005115F2">
            <w:pPr>
              <w:pStyle w:val="Guide-NormalBulletpoints"/>
              <w:numPr>
                <w:ilvl w:val="0"/>
                <w:numId w:val="300"/>
              </w:numPr>
              <w:ind w:left="336" w:hanging="284"/>
              <w:rPr>
                <w:lang w:val="sl-SI"/>
              </w:rPr>
            </w:pPr>
            <w:r w:rsidRPr="001048FE">
              <w:rPr>
                <w:lang w:val="sl-SI"/>
              </w:rPr>
              <w:t>razširjanje: v predlogu je opisan jasen načrt za razširjanje rezultatov, vanj pa so vključene ustrezne aktivnosti, njihova časovna razporeditev, orodja in kanali, ki bodo zagotovili učinkovito razširjanje rezultatov in koristi deležnikom, oblikovalcem politik, poklicnim svetovalcem, podjetjem in učencem v obveznem izobraževanju v zvezi s poklici, za katere je na trgu dela veliko povpraševanje ali ki imajo potencial za ustanavljanje novih podjetij; med projektom in po njem; v predlogu je navedeno, kateri partnerji bodo odgovorni za razširjanje, in prikazane ustrezne izkušnje, ki jih ti imajo z aktivnostmi razširjanja.</w:t>
            </w:r>
          </w:p>
          <w:p w14:paraId="7D399590" w14:textId="77777777" w:rsidR="00E03711" w:rsidRPr="00237696" w:rsidRDefault="00E03711" w:rsidP="005115F2">
            <w:pPr>
              <w:pStyle w:val="Guide-NormalBulletpoints"/>
              <w:numPr>
                <w:ilvl w:val="0"/>
                <w:numId w:val="300"/>
              </w:numPr>
              <w:ind w:left="336" w:hanging="284"/>
              <w:rPr>
                <w:rStyle w:val="Guide-Condensed-01"/>
                <w:lang w:val="sl-SI"/>
              </w:rPr>
            </w:pPr>
            <w:r w:rsidRPr="00237696">
              <w:rPr>
                <w:rStyle w:val="Guide-Condensed-01"/>
                <w:lang w:val="sl-SI"/>
              </w:rPr>
              <w:t>učinek: iz predloga sta razvidna družbena in gospodarska ustreznost ter doseg. Vključuje partnerje s pomembno vlogo v zadevnem sektorju, vključno z izobraževanjem in usposabljanjem. Vključuje ukrepe, cilje in kazalnike za spremljanje napredka in oceno pričakovanega učinka (kratko- in dolgoročnega); Predlog je zelo relevanten, če prepričljivo vključuje organe z regulativno funkcijo (zlasti v zvezi s kvalifikacijami) za zagotavljanje priznavanja ali potrjevanja vsebine usposabljanja. Predlog je zelo relevanten, če je evropska sektorska krovna organizacija, ki zastopa socialne partnerje ali zadevni sektor, polnopravni partner;</w:t>
            </w:r>
          </w:p>
          <w:p w14:paraId="7D399591" w14:textId="77777777" w:rsidR="00E03711" w:rsidRPr="001048FE" w:rsidRDefault="00E03711" w:rsidP="005115F2">
            <w:pPr>
              <w:pStyle w:val="Guide-NormalBulletpoints"/>
              <w:numPr>
                <w:ilvl w:val="0"/>
                <w:numId w:val="300"/>
              </w:numPr>
              <w:ind w:left="336" w:hanging="284"/>
              <w:rPr>
                <w:lang w:val="sl-SI"/>
              </w:rPr>
            </w:pPr>
            <w:r w:rsidRPr="001048FE">
              <w:rPr>
                <w:lang w:val="sl-SI"/>
              </w:rPr>
              <w:t>Prost dostop</w:t>
            </w:r>
            <w:r w:rsidRPr="001048FE">
              <w:rPr>
                <w:rStyle w:val="FootnoteReference"/>
                <w:lang w:val="sl-SI"/>
              </w:rPr>
              <w:footnoteReference w:id="143"/>
            </w:r>
            <w:r w:rsidRPr="001048FE">
              <w:rPr>
                <w:lang w:val="sl-SI"/>
              </w:rPr>
              <w:t>: Predlog po potrebi vključuje opis, kako se bo omogočil prost dostop z odprtimi licencami do ustvarjenih gradiv, dokumentov in nosilcev podatkov ter kako se bo o njih obveščalo</w:t>
            </w:r>
            <w:r w:rsidRPr="001048FE">
              <w:rPr>
                <w:rStyle w:val="FootnoteReference"/>
                <w:lang w:val="sl-SI"/>
              </w:rPr>
              <w:footnoteReference w:id="144"/>
            </w:r>
            <w:r w:rsidRPr="001048FE">
              <w:rPr>
                <w:lang w:val="sl-SI"/>
              </w:rPr>
              <w:t>, in ne vsebuje nesorazmernih omejitev;</w:t>
            </w:r>
          </w:p>
          <w:p w14:paraId="7D399592" w14:textId="77777777" w:rsidR="00E03711" w:rsidRPr="00237696" w:rsidRDefault="00E03711" w:rsidP="005115F2">
            <w:pPr>
              <w:pStyle w:val="Guide-NormalBulletpoints"/>
              <w:numPr>
                <w:ilvl w:val="0"/>
                <w:numId w:val="300"/>
              </w:numPr>
              <w:ind w:left="336" w:hanging="284"/>
              <w:rPr>
                <w:rStyle w:val="Guide-Condensed-02"/>
                <w:rFonts w:eastAsia="SimSun"/>
                <w:sz w:val="24"/>
                <w:szCs w:val="24"/>
                <w:shd w:val="clear" w:color="auto" w:fill="auto"/>
                <w:lang w:val="sl-SI" w:eastAsia="zh-CN"/>
              </w:rPr>
            </w:pPr>
            <w:r w:rsidRPr="00237696">
              <w:rPr>
                <w:rStyle w:val="Guide-Condensed-02"/>
                <w:lang w:val="sl-SI"/>
              </w:rPr>
              <w:t>trajnost: v predlogu je pojasnjeno, kako bo pripravljen akcijski načrt za izvedbo na nacionalni in regionalni ravni. Predlog vključuje ustrezne ukrepe in opredelitev finančnih virov (evropskih, nacionalnih in zasebnih), da se zagotovi dolgoročna trajnost rezultatov in koristi koalicije.</w:t>
            </w:r>
          </w:p>
        </w:tc>
      </w:tr>
    </w:tbl>
    <w:p w14:paraId="7D399594" w14:textId="77777777" w:rsidR="00E03711" w:rsidRPr="001048FE" w:rsidRDefault="00E03711" w:rsidP="00820837">
      <w:pPr>
        <w:pStyle w:val="GUIDE-NORMAL"/>
        <w:rPr>
          <w:lang w:val="sl-SI"/>
        </w:rPr>
      </w:pPr>
      <w:r w:rsidRPr="001048FE">
        <w:rPr>
          <w:lang w:val="sl-SI"/>
        </w:rPr>
        <w:t>Za upoštevanje pri dodeljevanju sredstev morajo predlogi doseči vsaj 70 točk. Poleg tega morajo doseči vsaj 13 točk za kategoriji „Ustreznost projekta“ in „Kakovost projektne skupine in dogovorov o sodelovanju“; 16 točk</w:t>
      </w:r>
      <w:r w:rsidRPr="001048FE">
        <w:rPr>
          <w:spacing w:val="55"/>
          <w:lang w:val="sl-SI"/>
        </w:rPr>
        <w:t xml:space="preserve"> </w:t>
      </w:r>
      <w:r w:rsidRPr="001048FE">
        <w:rPr>
          <w:lang w:val="sl-SI"/>
        </w:rPr>
        <w:t>za</w:t>
      </w:r>
      <w:r w:rsidRPr="001048FE">
        <w:rPr>
          <w:spacing w:val="5"/>
          <w:lang w:val="sl-SI"/>
        </w:rPr>
        <w:t xml:space="preserve"> </w:t>
      </w:r>
      <w:r w:rsidRPr="001048FE">
        <w:rPr>
          <w:lang w:val="sl-SI"/>
        </w:rPr>
        <w:t>kategorijo</w:t>
      </w:r>
      <w:r w:rsidRPr="001048FE">
        <w:rPr>
          <w:spacing w:val="5"/>
          <w:lang w:val="sl-SI"/>
        </w:rPr>
        <w:t xml:space="preserve"> </w:t>
      </w:r>
      <w:r w:rsidRPr="001048FE">
        <w:rPr>
          <w:lang w:val="sl-SI"/>
        </w:rPr>
        <w:t>„Kakovost</w:t>
      </w:r>
      <w:r w:rsidRPr="001048FE">
        <w:rPr>
          <w:spacing w:val="5"/>
          <w:lang w:val="sl-SI"/>
        </w:rPr>
        <w:t xml:space="preserve"> </w:t>
      </w:r>
      <w:r w:rsidRPr="001048FE">
        <w:rPr>
          <w:lang w:val="sl-SI"/>
        </w:rPr>
        <w:t>zasnove</w:t>
      </w:r>
      <w:r w:rsidRPr="001048FE">
        <w:rPr>
          <w:spacing w:val="5"/>
          <w:lang w:val="sl-SI"/>
        </w:rPr>
        <w:t xml:space="preserve"> </w:t>
      </w:r>
      <w:r w:rsidRPr="001048FE">
        <w:rPr>
          <w:lang w:val="sl-SI"/>
        </w:rPr>
        <w:t>in</w:t>
      </w:r>
      <w:r w:rsidRPr="001048FE">
        <w:rPr>
          <w:spacing w:val="5"/>
          <w:lang w:val="sl-SI"/>
        </w:rPr>
        <w:t xml:space="preserve"> </w:t>
      </w:r>
      <w:r w:rsidRPr="001048FE">
        <w:rPr>
          <w:lang w:val="sl-SI"/>
        </w:rPr>
        <w:t>izvedbe</w:t>
      </w:r>
      <w:r w:rsidRPr="001048FE">
        <w:rPr>
          <w:spacing w:val="5"/>
          <w:lang w:val="sl-SI"/>
        </w:rPr>
        <w:t xml:space="preserve"> </w:t>
      </w:r>
      <w:r w:rsidRPr="001048FE">
        <w:rPr>
          <w:lang w:val="sl-SI"/>
        </w:rPr>
        <w:t>projekta“</w:t>
      </w:r>
      <w:r w:rsidRPr="001048FE">
        <w:rPr>
          <w:spacing w:val="5"/>
          <w:lang w:val="sl-SI"/>
        </w:rPr>
        <w:t xml:space="preserve"> </w:t>
      </w:r>
      <w:r w:rsidRPr="001048FE">
        <w:rPr>
          <w:lang w:val="sl-SI"/>
        </w:rPr>
        <w:t>in</w:t>
      </w:r>
      <w:r w:rsidRPr="001048FE">
        <w:rPr>
          <w:spacing w:val="5"/>
          <w:lang w:val="sl-SI"/>
        </w:rPr>
        <w:t xml:space="preserve"> </w:t>
      </w:r>
      <w:r w:rsidRPr="001048FE">
        <w:rPr>
          <w:lang w:val="sl-SI"/>
        </w:rPr>
        <w:t>11</w:t>
      </w:r>
      <w:r w:rsidRPr="001048FE">
        <w:rPr>
          <w:spacing w:val="5"/>
          <w:lang w:val="sl-SI"/>
        </w:rPr>
        <w:t xml:space="preserve"> </w:t>
      </w:r>
      <w:r w:rsidRPr="001048FE">
        <w:rPr>
          <w:lang w:val="sl-SI"/>
        </w:rPr>
        <w:t>točk</w:t>
      </w:r>
      <w:r w:rsidRPr="001048FE">
        <w:rPr>
          <w:spacing w:val="5"/>
          <w:lang w:val="sl-SI"/>
        </w:rPr>
        <w:t xml:space="preserve"> </w:t>
      </w:r>
      <w:r w:rsidRPr="001048FE">
        <w:rPr>
          <w:lang w:val="sl-SI"/>
        </w:rPr>
        <w:t>za</w:t>
      </w:r>
      <w:r w:rsidRPr="001048FE">
        <w:rPr>
          <w:spacing w:val="5"/>
          <w:lang w:val="sl-SI"/>
        </w:rPr>
        <w:t xml:space="preserve"> </w:t>
      </w:r>
      <w:r w:rsidRPr="001048FE">
        <w:rPr>
          <w:lang w:val="sl-SI"/>
        </w:rPr>
        <w:t>kategorijo</w:t>
      </w:r>
      <w:r w:rsidRPr="001048FE">
        <w:rPr>
          <w:spacing w:val="5"/>
          <w:lang w:val="sl-SI"/>
        </w:rPr>
        <w:t xml:space="preserve"> </w:t>
      </w:r>
      <w:r w:rsidRPr="001048FE">
        <w:rPr>
          <w:lang w:val="sl-SI"/>
        </w:rPr>
        <w:t>„Učinek</w:t>
      </w:r>
      <w:r w:rsidRPr="001048FE">
        <w:rPr>
          <w:spacing w:val="5"/>
          <w:lang w:val="sl-SI"/>
        </w:rPr>
        <w:t xml:space="preserve"> </w:t>
      </w:r>
      <w:r w:rsidRPr="001048FE">
        <w:rPr>
          <w:lang w:val="sl-SI"/>
        </w:rPr>
        <w:t>in</w:t>
      </w:r>
      <w:r w:rsidRPr="001048FE">
        <w:rPr>
          <w:spacing w:val="5"/>
          <w:lang w:val="sl-SI"/>
        </w:rPr>
        <w:t xml:space="preserve"> </w:t>
      </w:r>
      <w:r w:rsidRPr="001048FE">
        <w:rPr>
          <w:lang w:val="sl-SI"/>
        </w:rPr>
        <w:t>razširjanje“.</w:t>
      </w:r>
      <w:bookmarkStart w:id="227" w:name="Lot_3:_alliances_sectorielles_pour_les_c"/>
      <w:bookmarkEnd w:id="227"/>
    </w:p>
    <w:p w14:paraId="7D399595" w14:textId="77777777" w:rsidR="00E03711" w:rsidRPr="001048FE" w:rsidRDefault="00E03711" w:rsidP="00CF298B">
      <w:pPr>
        <w:pStyle w:val="Guide-Heading6"/>
        <w:jc w:val="left"/>
        <w:rPr>
          <w:lang w:val="sl-SI"/>
        </w:rPr>
      </w:pPr>
      <w:r w:rsidRPr="001048FE">
        <w:rPr>
          <w:lang w:val="sl-SI"/>
        </w:rPr>
        <w:t xml:space="preserve">Sklop </w:t>
      </w:r>
      <w:r>
        <w:rPr>
          <w:lang w:val="sl-SI"/>
        </w:rPr>
        <w:t>2</w:t>
      </w:r>
      <w:r w:rsidRPr="001048FE">
        <w:rPr>
          <w:lang w:val="sl-SI"/>
        </w:rPr>
        <w:t>: Koalicije sektorskih spretnosti za izvajanje novega strateškega pristopa (načrta) k sektorskemu sodelovanju na področju spretnosti</w:t>
      </w:r>
    </w:p>
    <w:p w14:paraId="7D399596" w14:textId="77777777" w:rsidR="00E03711" w:rsidRPr="001048FE" w:rsidRDefault="00E03711" w:rsidP="00CF298B">
      <w:pPr>
        <w:pStyle w:val="Guide-Heading7"/>
        <w:rPr>
          <w:lang w:val="sl-SI"/>
        </w:rPr>
      </w:pPr>
      <w:r w:rsidRPr="001048FE">
        <w:rPr>
          <w:lang w:val="sl-SI"/>
        </w:rPr>
        <w:t xml:space="preserve">Merila za upravičenost za sklop </w:t>
      </w:r>
      <w:r>
        <w:rPr>
          <w:lang w:val="sl-SI"/>
        </w:rPr>
        <w:t>2</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Layout w:type="fixed"/>
        <w:tblLook w:val="0000" w:firstRow="0" w:lastRow="0" w:firstColumn="0" w:lastColumn="0" w:noHBand="0" w:noVBand="0"/>
      </w:tblPr>
      <w:tblGrid>
        <w:gridCol w:w="1568"/>
        <w:gridCol w:w="7722"/>
      </w:tblGrid>
      <w:tr w:rsidR="00E03711" w:rsidRPr="00C60205" w14:paraId="7D3995A5" w14:textId="77777777" w:rsidTr="00143E01">
        <w:trPr>
          <w:trHeight w:val="20"/>
        </w:trPr>
        <w:tc>
          <w:tcPr>
            <w:tcW w:w="844" w:type="pct"/>
            <w:shd w:val="clear" w:color="auto" w:fill="FFFFFF"/>
            <w:vAlign w:val="center"/>
          </w:tcPr>
          <w:p w14:paraId="7D399597" w14:textId="77777777" w:rsidR="00E03711" w:rsidRPr="00F769E0" w:rsidRDefault="00E03711" w:rsidP="00CF298B">
            <w:pPr>
              <w:pStyle w:val="Guide-Table"/>
              <w:spacing w:before="60" w:after="60"/>
              <w:jc w:val="left"/>
              <w:rPr>
                <w:rFonts w:cs="Tahoma"/>
                <w:b/>
                <w:lang w:val="sl-SI" w:eastAsia="en-GB"/>
              </w:rPr>
            </w:pPr>
            <w:r w:rsidRPr="00F769E0">
              <w:rPr>
                <w:rFonts w:cs="Tahoma"/>
                <w:b/>
                <w:lang w:val="sl-SI" w:eastAsia="en-GB"/>
              </w:rPr>
              <w:t>Upravičene sodelujoče organizacije</w:t>
            </w:r>
          </w:p>
        </w:tc>
        <w:tc>
          <w:tcPr>
            <w:tcW w:w="4156" w:type="pct"/>
            <w:shd w:val="clear" w:color="auto" w:fill="FFFFFF"/>
            <w:vAlign w:val="center"/>
          </w:tcPr>
          <w:p w14:paraId="7D399598" w14:textId="77777777" w:rsidR="00E03711" w:rsidRPr="00F769E0" w:rsidRDefault="00E03711" w:rsidP="00CF298B">
            <w:pPr>
              <w:pStyle w:val="GUIDE-NORMAL"/>
              <w:spacing w:before="60" w:after="60"/>
              <w:rPr>
                <w:rFonts w:cs="Tahoma"/>
                <w:lang w:val="sl-SI" w:eastAsia="en-GB"/>
              </w:rPr>
            </w:pPr>
            <w:r w:rsidRPr="00F769E0">
              <w:rPr>
                <w:rFonts w:cs="Tahoma"/>
                <w:lang w:val="sl-SI" w:eastAsia="en-GB"/>
              </w:rPr>
              <w:t xml:space="preserve">V koaliciji iz sklopa </w:t>
            </w:r>
            <w:r>
              <w:rPr>
                <w:rFonts w:cs="Tahoma"/>
                <w:lang w:val="sl-SI" w:eastAsia="en-GB"/>
              </w:rPr>
              <w:t>2</w:t>
            </w:r>
            <w:r w:rsidRPr="00F769E0">
              <w:rPr>
                <w:rFonts w:cs="Tahoma"/>
                <w:lang w:val="sl-SI" w:eastAsia="en-GB"/>
              </w:rPr>
              <w:t xml:space="preserve"> lahko sodelujejo naslednje organizacije, skupaj s povezanimi subjekti</w:t>
            </w:r>
            <w:r>
              <w:rPr>
                <w:rFonts w:cs="Tahoma"/>
                <w:lang w:val="sl-SI" w:eastAsia="en-GB"/>
              </w:rPr>
              <w:t xml:space="preserve"> in pridruženimi partnerji</w:t>
            </w:r>
            <w:r w:rsidRPr="00F769E0">
              <w:rPr>
                <w:rFonts w:cs="Tahoma"/>
                <w:lang w:val="sl-SI" w:eastAsia="en-GB"/>
              </w:rPr>
              <w:t xml:space="preserve"> (če ti obstajajo). Lahko so javne ali zasebne organizacije s sedežem v državi Programa (glej poglavje „Upravičene države“ v delu A tega vodnika).</w:t>
            </w:r>
          </w:p>
          <w:p w14:paraId="7D399599" w14:textId="77777777" w:rsidR="00E03711" w:rsidRPr="001048FE" w:rsidRDefault="00E03711" w:rsidP="005115F2">
            <w:pPr>
              <w:pStyle w:val="Guide-NormalBulletpoints"/>
              <w:numPr>
                <w:ilvl w:val="0"/>
                <w:numId w:val="301"/>
              </w:numPr>
              <w:spacing w:before="60"/>
              <w:ind w:left="478" w:hanging="426"/>
              <w:rPr>
                <w:lang w:val="sl-SI"/>
              </w:rPr>
            </w:pPr>
            <w:r w:rsidRPr="001048FE">
              <w:rPr>
                <w:lang w:val="sl-SI"/>
              </w:rPr>
              <w:t>Javna ali zasebna podjetja, dejavna v izbranih sektorjih, zlasti tista, ki imajo lastne oddelke za usposabljanje, tista, ki ponujajo vajeništva, in tista, ki zagotavljajo skupna usposabljanja (usposabljanja v sodelovanju z drugimi);</w:t>
            </w:r>
          </w:p>
          <w:p w14:paraId="7D39959A" w14:textId="77777777" w:rsidR="00E03711" w:rsidRPr="001048FE" w:rsidRDefault="00E03711" w:rsidP="005115F2">
            <w:pPr>
              <w:pStyle w:val="Guide-NormalBulletpoints"/>
              <w:numPr>
                <w:ilvl w:val="0"/>
                <w:numId w:val="301"/>
              </w:numPr>
              <w:spacing w:before="60"/>
              <w:ind w:left="478" w:hanging="426"/>
              <w:rPr>
                <w:lang w:val="sl-SI"/>
              </w:rPr>
            </w:pPr>
            <w:r w:rsidRPr="001048FE">
              <w:rPr>
                <w:lang w:val="sl-SI"/>
              </w:rPr>
              <w:t>evropske ali nacionalne organizacije, ki zastopajo industrijo, mala in srednja podjetja, ustrezne sektorske organizacije;</w:t>
            </w:r>
          </w:p>
          <w:p w14:paraId="7D39959B" w14:textId="77777777" w:rsidR="00E03711" w:rsidRPr="001048FE" w:rsidRDefault="00E03711" w:rsidP="005115F2">
            <w:pPr>
              <w:pStyle w:val="Guide-NormalBulletpoints"/>
              <w:numPr>
                <w:ilvl w:val="0"/>
                <w:numId w:val="301"/>
              </w:numPr>
              <w:spacing w:before="60"/>
              <w:ind w:left="478" w:hanging="426"/>
              <w:rPr>
                <w:lang w:val="sl-SI"/>
              </w:rPr>
            </w:pPr>
            <w:r w:rsidRPr="001048FE">
              <w:rPr>
                <w:lang w:val="sl-SI"/>
              </w:rPr>
              <w:t>javni ali zasebni ponudniki izobraževanja in usposabljanja, vključno s centri za usposabljanje in visokošolskimi institucijami;</w:t>
            </w:r>
          </w:p>
          <w:p w14:paraId="7D39959C" w14:textId="77777777" w:rsidR="00E03711" w:rsidRPr="001048FE" w:rsidRDefault="00E03711" w:rsidP="005115F2">
            <w:pPr>
              <w:pStyle w:val="Guide-NormalBulletpoints"/>
              <w:numPr>
                <w:ilvl w:val="0"/>
                <w:numId w:val="301"/>
              </w:numPr>
              <w:spacing w:before="60"/>
              <w:ind w:left="478" w:hanging="426"/>
              <w:rPr>
                <w:lang w:val="sl-SI"/>
              </w:rPr>
            </w:pPr>
            <w:r w:rsidRPr="001048FE">
              <w:rPr>
                <w:lang w:val="sl-SI"/>
              </w:rPr>
              <w:t>mreže ponudnikov izobraževanja ali usposabljanja ter evropske ali nacionalne organizacije, ki jih zastopajo;</w:t>
            </w:r>
          </w:p>
          <w:p w14:paraId="7D39959D" w14:textId="77777777" w:rsidR="00E03711" w:rsidRPr="001048FE" w:rsidRDefault="00E03711" w:rsidP="005115F2">
            <w:pPr>
              <w:pStyle w:val="Guide-NormalBulletpoints"/>
              <w:numPr>
                <w:ilvl w:val="0"/>
                <w:numId w:val="301"/>
              </w:numPr>
              <w:spacing w:before="60"/>
              <w:ind w:left="478" w:hanging="426"/>
              <w:rPr>
                <w:lang w:val="sl-SI"/>
              </w:rPr>
            </w:pPr>
            <w:r w:rsidRPr="001048FE">
              <w:rPr>
                <w:lang w:val="sl-SI"/>
              </w:rPr>
              <w:t>organi, odgovorni za izobraževanje in usposabljanje ali zaposlovanje na regionalni ali nacionalni ravni, in povezana ministrstva;</w:t>
            </w:r>
          </w:p>
          <w:p w14:paraId="7D39959E" w14:textId="77777777" w:rsidR="00E03711" w:rsidRPr="001048FE" w:rsidRDefault="00E03711" w:rsidP="005115F2">
            <w:pPr>
              <w:pStyle w:val="Guide-NormalBulletpoints"/>
              <w:numPr>
                <w:ilvl w:val="0"/>
                <w:numId w:val="301"/>
              </w:numPr>
              <w:spacing w:before="60"/>
              <w:ind w:left="478" w:hanging="426"/>
              <w:rPr>
                <w:lang w:val="sl-SI"/>
              </w:rPr>
            </w:pPr>
            <w:r w:rsidRPr="001048FE">
              <w:rPr>
                <w:lang w:val="sl-SI"/>
              </w:rPr>
              <w:t>organizacije ali mreže – na evropski ali nacionalni ravni –, ki zastopajo socialne partnerje, industrijo, sektorske organizacije, poklice in deležnike v izobraževanju in usposabljanju, vključno z mladinskimi organizacijami;</w:t>
            </w:r>
          </w:p>
          <w:p w14:paraId="7D39959F" w14:textId="77777777" w:rsidR="00E03711" w:rsidRPr="001048FE" w:rsidRDefault="00E03711" w:rsidP="005115F2">
            <w:pPr>
              <w:pStyle w:val="Guide-NormalBulletpoints"/>
              <w:numPr>
                <w:ilvl w:val="0"/>
                <w:numId w:val="301"/>
              </w:numPr>
              <w:spacing w:before="60"/>
              <w:ind w:left="478" w:hanging="426"/>
              <w:rPr>
                <w:lang w:val="sl-SI"/>
              </w:rPr>
            </w:pPr>
            <w:r w:rsidRPr="001048FE">
              <w:rPr>
                <w:lang w:val="sl-SI"/>
              </w:rPr>
              <w:t>gospodarske, industrijske ali delavske zbornice in drugi ustrezni sektorski posredniški organi;</w:t>
            </w:r>
          </w:p>
          <w:p w14:paraId="7D3995A0" w14:textId="77777777" w:rsidR="00E03711" w:rsidRPr="001048FE" w:rsidRDefault="00E03711" w:rsidP="005115F2">
            <w:pPr>
              <w:pStyle w:val="Guide-NormalBulletpoints"/>
              <w:numPr>
                <w:ilvl w:val="0"/>
                <w:numId w:val="301"/>
              </w:numPr>
              <w:spacing w:before="60"/>
              <w:ind w:left="478" w:hanging="426"/>
              <w:rPr>
                <w:lang w:val="sl-SI"/>
              </w:rPr>
            </w:pPr>
            <w:r w:rsidRPr="001048FE">
              <w:rPr>
                <w:lang w:val="sl-SI"/>
              </w:rPr>
              <w:t>sveti za sektorske spretnosti;</w:t>
            </w:r>
          </w:p>
          <w:p w14:paraId="7D3995A1" w14:textId="77777777" w:rsidR="00E03711" w:rsidRPr="001048FE" w:rsidRDefault="00E03711" w:rsidP="005115F2">
            <w:pPr>
              <w:pStyle w:val="Guide-NormalBulletpoints"/>
              <w:numPr>
                <w:ilvl w:val="0"/>
                <w:numId w:val="301"/>
              </w:numPr>
              <w:spacing w:before="60"/>
              <w:ind w:left="478" w:hanging="426"/>
              <w:rPr>
                <w:lang w:val="sl-SI"/>
              </w:rPr>
            </w:pPr>
            <w:r w:rsidRPr="001048FE">
              <w:rPr>
                <w:lang w:val="sl-SI"/>
              </w:rPr>
              <w:t>agencije za gospodarski razvoj, statistični organi in raziskovalni inštituti;</w:t>
            </w:r>
          </w:p>
          <w:p w14:paraId="7D3995A2" w14:textId="77777777" w:rsidR="00E03711" w:rsidRPr="001048FE" w:rsidRDefault="00E03711" w:rsidP="005115F2">
            <w:pPr>
              <w:pStyle w:val="Guide-NormalBulletpoints"/>
              <w:numPr>
                <w:ilvl w:val="0"/>
                <w:numId w:val="301"/>
              </w:numPr>
              <w:spacing w:before="60"/>
              <w:ind w:left="478" w:hanging="426"/>
              <w:rPr>
                <w:lang w:val="sl-SI"/>
              </w:rPr>
            </w:pPr>
            <w:r w:rsidRPr="001048FE">
              <w:rPr>
                <w:lang w:val="sl-SI"/>
              </w:rPr>
              <w:t>organi, ki zagotavljajo karierno orientacijo, poklicno svetovanje, storitve obveščanja in storitve zaposlovanja;</w:t>
            </w:r>
          </w:p>
          <w:p w14:paraId="7D3995A3" w14:textId="77777777" w:rsidR="00E03711" w:rsidRPr="001048FE" w:rsidRDefault="00E03711" w:rsidP="005115F2">
            <w:pPr>
              <w:pStyle w:val="Guide-NormalBulletpoints"/>
              <w:numPr>
                <w:ilvl w:val="0"/>
                <w:numId w:val="301"/>
              </w:numPr>
              <w:spacing w:before="60"/>
              <w:ind w:left="478" w:hanging="426"/>
              <w:rPr>
                <w:lang w:val="sl-SI"/>
              </w:rPr>
            </w:pPr>
            <w:r w:rsidRPr="001048FE">
              <w:rPr>
                <w:lang w:val="sl-SI"/>
              </w:rPr>
              <w:t>organi za akreditacijo, potrjevanje, priznavanje ali kvalifikacije (organi z „regulativno funkcijo“);</w:t>
            </w:r>
          </w:p>
          <w:p w14:paraId="7D3995A4" w14:textId="77777777" w:rsidR="00E03711" w:rsidRPr="001048FE" w:rsidRDefault="00E03711" w:rsidP="005115F2">
            <w:pPr>
              <w:pStyle w:val="Guide-NormalBulletpoints"/>
              <w:numPr>
                <w:ilvl w:val="0"/>
                <w:numId w:val="301"/>
              </w:numPr>
              <w:spacing w:before="60"/>
              <w:ind w:left="478" w:hanging="426"/>
              <w:rPr>
                <w:lang w:val="sl-SI"/>
              </w:rPr>
            </w:pPr>
            <w:r w:rsidRPr="001048FE">
              <w:rPr>
                <w:lang w:val="sl-SI"/>
              </w:rPr>
              <w:t>organi, ki ustrezne organe zastopajo na regionalni in nacionalni ravni.</w:t>
            </w:r>
          </w:p>
        </w:tc>
      </w:tr>
      <w:tr w:rsidR="00E03711" w:rsidRPr="00654F6A" w14:paraId="7D3995A8" w14:textId="77777777" w:rsidTr="00143E01">
        <w:trPr>
          <w:trHeight w:val="20"/>
        </w:trPr>
        <w:tc>
          <w:tcPr>
            <w:tcW w:w="844" w:type="pct"/>
            <w:shd w:val="clear" w:color="auto" w:fill="FFFFFF"/>
            <w:vAlign w:val="center"/>
          </w:tcPr>
          <w:p w14:paraId="7D3995A6" w14:textId="77777777" w:rsidR="00E03711" w:rsidRPr="00F769E0" w:rsidRDefault="00E03711" w:rsidP="00CF298B">
            <w:pPr>
              <w:pStyle w:val="GUIDE-NORMAL"/>
              <w:spacing w:before="60" w:after="60"/>
              <w:jc w:val="left"/>
              <w:rPr>
                <w:rFonts w:cs="Tahoma"/>
                <w:b/>
                <w:lang w:val="sl-SI" w:eastAsia="en-GB"/>
              </w:rPr>
            </w:pPr>
            <w:r w:rsidRPr="00F769E0">
              <w:rPr>
                <w:rFonts w:cs="Tahoma"/>
                <w:b/>
                <w:lang w:val="sl-SI" w:eastAsia="en-GB"/>
              </w:rPr>
              <w:t>Kdo se lahko prijavi?</w:t>
            </w:r>
          </w:p>
        </w:tc>
        <w:tc>
          <w:tcPr>
            <w:tcW w:w="4156" w:type="pct"/>
            <w:shd w:val="clear" w:color="auto" w:fill="FFFFFF"/>
            <w:vAlign w:val="center"/>
          </w:tcPr>
          <w:p w14:paraId="7D3995A7" w14:textId="77777777" w:rsidR="00E03711" w:rsidRPr="00F769E0" w:rsidRDefault="00E03711" w:rsidP="00CF298B">
            <w:pPr>
              <w:pStyle w:val="GUIDE-NORMAL"/>
              <w:spacing w:before="60" w:after="60"/>
              <w:rPr>
                <w:rFonts w:cs="Tahoma"/>
                <w:lang w:val="sl-SI" w:eastAsia="en-GB"/>
              </w:rPr>
            </w:pPr>
            <w:r w:rsidRPr="00F769E0">
              <w:rPr>
                <w:rFonts w:cs="Tahoma"/>
                <w:lang w:val="sl-SI" w:eastAsia="en-GB"/>
              </w:rPr>
              <w:t>Prijavitelj je lahko katera koli sodelujoča organizacija s sedežem v državi Programa. Ta organizacija se prijavi v imenu vseh sodelujočih organizacij, ki so vključene v projekt.</w:t>
            </w:r>
          </w:p>
        </w:tc>
      </w:tr>
      <w:tr w:rsidR="00E03711" w:rsidRPr="00C60205" w14:paraId="7D3995AB" w14:textId="77777777" w:rsidTr="00143E01">
        <w:trPr>
          <w:trHeight w:val="20"/>
        </w:trPr>
        <w:tc>
          <w:tcPr>
            <w:tcW w:w="844" w:type="pct"/>
            <w:shd w:val="clear" w:color="auto" w:fill="FFFFFF"/>
            <w:vAlign w:val="center"/>
          </w:tcPr>
          <w:p w14:paraId="7D3995A9" w14:textId="77777777" w:rsidR="00E03711" w:rsidRPr="00F769E0" w:rsidRDefault="00E03711" w:rsidP="00CF298B">
            <w:pPr>
              <w:pStyle w:val="GUIDE-NORMAL"/>
              <w:spacing w:before="60" w:after="60"/>
              <w:jc w:val="left"/>
              <w:rPr>
                <w:rFonts w:cs="Tahoma"/>
                <w:b/>
                <w:lang w:val="sl-SI" w:eastAsia="en-GB"/>
              </w:rPr>
            </w:pPr>
            <w:r w:rsidRPr="00F769E0">
              <w:rPr>
                <w:rFonts w:cs="Tahoma"/>
                <w:b/>
                <w:lang w:val="sl-SI" w:eastAsia="en-GB"/>
              </w:rPr>
              <w:t>Število in profil sodelujočih organizacij</w:t>
            </w:r>
          </w:p>
        </w:tc>
        <w:tc>
          <w:tcPr>
            <w:tcW w:w="4156" w:type="pct"/>
            <w:shd w:val="clear" w:color="auto" w:fill="FFFFFF"/>
            <w:vAlign w:val="center"/>
          </w:tcPr>
          <w:p w14:paraId="7D3995AA" w14:textId="77777777" w:rsidR="00E03711" w:rsidRPr="00F769E0" w:rsidRDefault="00E03711" w:rsidP="00CF298B">
            <w:pPr>
              <w:pStyle w:val="GUIDE-NORMAL"/>
              <w:spacing w:before="60" w:after="60"/>
              <w:rPr>
                <w:rFonts w:cs="Tahoma"/>
                <w:lang w:val="sl-SI" w:eastAsia="en-GB"/>
              </w:rPr>
            </w:pPr>
            <w:r w:rsidRPr="00F769E0">
              <w:rPr>
                <w:rFonts w:cs="Tahoma"/>
                <w:lang w:val="sl-SI" w:eastAsia="en-GB"/>
              </w:rPr>
              <w:t xml:space="preserve">Koalicija sektorskih spretnosti mora zajemati </w:t>
            </w:r>
            <w:r w:rsidRPr="00F769E0">
              <w:rPr>
                <w:rFonts w:cs="Tahoma"/>
                <w:b/>
                <w:lang w:val="sl-SI" w:eastAsia="en-GB"/>
              </w:rPr>
              <w:t>vsaj osem držav Programa</w:t>
            </w:r>
            <w:r w:rsidRPr="00F769E0">
              <w:rPr>
                <w:rFonts w:cs="Tahoma"/>
                <w:lang w:val="sl-SI" w:eastAsia="en-GB"/>
              </w:rPr>
              <w:t xml:space="preserve"> in vključevati vsaj </w:t>
            </w:r>
            <w:r w:rsidRPr="00F769E0">
              <w:rPr>
                <w:rFonts w:cs="Tahoma"/>
                <w:b/>
                <w:lang w:val="sl-SI" w:eastAsia="en-GB"/>
              </w:rPr>
              <w:t>12 polnopravnih partnerjev</w:t>
            </w:r>
            <w:r w:rsidRPr="00F769E0">
              <w:rPr>
                <w:rFonts w:cs="Tahoma"/>
                <w:lang w:val="sl-SI" w:eastAsia="en-GB"/>
              </w:rPr>
              <w:t xml:space="preserve">, med katerimi je vsaj </w:t>
            </w:r>
            <w:r w:rsidRPr="00F769E0">
              <w:rPr>
                <w:rFonts w:cs="Tahoma"/>
                <w:b/>
                <w:lang w:val="sl-SI" w:eastAsia="en-GB"/>
              </w:rPr>
              <w:t>pet podjetij, predstavnikov industrije ali sektorja</w:t>
            </w:r>
            <w:r w:rsidRPr="00F769E0">
              <w:rPr>
                <w:rFonts w:cs="Tahoma"/>
                <w:lang w:val="sl-SI" w:eastAsia="en-GB"/>
              </w:rPr>
              <w:t xml:space="preserve"> (npr. zbornice, sindikati ali panožna združenja), vsaj pet pa je ponudnikov izobraževanja in usposabljanja.</w:t>
            </w:r>
          </w:p>
        </w:tc>
      </w:tr>
      <w:tr w:rsidR="00E03711" w:rsidRPr="008B2C7D" w14:paraId="7D3995B3" w14:textId="77777777" w:rsidTr="00143E01">
        <w:trPr>
          <w:trHeight w:val="1438"/>
        </w:trPr>
        <w:tc>
          <w:tcPr>
            <w:tcW w:w="844" w:type="pct"/>
            <w:shd w:val="clear" w:color="auto" w:fill="FFFFFF"/>
            <w:vAlign w:val="center"/>
          </w:tcPr>
          <w:p w14:paraId="7D3995AC" w14:textId="77777777" w:rsidR="00E03711" w:rsidRPr="00F769E0" w:rsidRDefault="00E03711" w:rsidP="00A97ABD">
            <w:pPr>
              <w:pStyle w:val="GUIDE-NORMAL"/>
              <w:spacing w:before="60" w:after="60"/>
              <w:jc w:val="left"/>
              <w:rPr>
                <w:rFonts w:cs="Tahoma"/>
                <w:b/>
                <w:lang w:val="sl-SI" w:eastAsia="en-GB"/>
              </w:rPr>
            </w:pPr>
            <w:r w:rsidRPr="00F769E0">
              <w:rPr>
                <w:rFonts w:cs="Tahoma"/>
                <w:b/>
                <w:lang w:val="sl-SI" w:eastAsia="en-GB"/>
              </w:rPr>
              <w:t>Upravičeni sektorji</w:t>
            </w:r>
          </w:p>
        </w:tc>
        <w:tc>
          <w:tcPr>
            <w:tcW w:w="4156" w:type="pct"/>
            <w:shd w:val="clear" w:color="auto" w:fill="FFFFFF"/>
            <w:vAlign w:val="center"/>
          </w:tcPr>
          <w:p w14:paraId="7D3995AD" w14:textId="77777777" w:rsidR="00E03711" w:rsidRPr="008127B8" w:rsidRDefault="00E03711" w:rsidP="005115F2">
            <w:pPr>
              <w:pStyle w:val="ListParagraph"/>
              <w:numPr>
                <w:ilvl w:val="0"/>
                <w:numId w:val="264"/>
              </w:numPr>
              <w:shd w:val="clear" w:color="auto" w:fill="FFFFFF"/>
              <w:suppressAutoHyphens w:val="0"/>
              <w:jc w:val="both"/>
              <w:textAlignment w:val="auto"/>
              <w:rPr>
                <w:sz w:val="18"/>
                <w:lang w:val="en-GB"/>
              </w:rPr>
            </w:pPr>
            <w:r>
              <w:rPr>
                <w:sz w:val="18"/>
                <w:lang w:val="en-GB"/>
              </w:rPr>
              <w:t>Veriga podatkovnih blokov</w:t>
            </w:r>
          </w:p>
          <w:p w14:paraId="7D3995AE" w14:textId="77777777" w:rsidR="00E03711" w:rsidRPr="008127B8" w:rsidRDefault="00E03711" w:rsidP="005115F2">
            <w:pPr>
              <w:pStyle w:val="ListParagraph"/>
              <w:numPr>
                <w:ilvl w:val="0"/>
                <w:numId w:val="264"/>
              </w:numPr>
              <w:textAlignment w:val="auto"/>
              <w:rPr>
                <w:sz w:val="18"/>
                <w:lang w:val="en-GB"/>
              </w:rPr>
            </w:pPr>
            <w:r>
              <w:rPr>
                <w:sz w:val="18"/>
                <w:lang w:val="en-GB"/>
              </w:rPr>
              <w:t>Kulturna dediščina</w:t>
            </w:r>
          </w:p>
          <w:p w14:paraId="7D3995AF" w14:textId="77777777" w:rsidR="00E03711" w:rsidRPr="008127B8" w:rsidRDefault="00E03711" w:rsidP="005115F2">
            <w:pPr>
              <w:pStyle w:val="ListParagraph"/>
              <w:numPr>
                <w:ilvl w:val="0"/>
                <w:numId w:val="264"/>
              </w:numPr>
              <w:textAlignment w:val="auto"/>
              <w:rPr>
                <w:sz w:val="18"/>
                <w:lang w:val="en-GB"/>
              </w:rPr>
            </w:pPr>
            <w:r>
              <w:rPr>
                <w:sz w:val="18"/>
                <w:lang w:val="en-GB"/>
              </w:rPr>
              <w:t>Kiber-varnost</w:t>
            </w:r>
          </w:p>
          <w:p w14:paraId="7D3995B0" w14:textId="77777777" w:rsidR="00E03711" w:rsidRPr="004E4C36" w:rsidRDefault="00E03711" w:rsidP="005115F2">
            <w:pPr>
              <w:pStyle w:val="ListParagraph"/>
              <w:numPr>
                <w:ilvl w:val="0"/>
                <w:numId w:val="264"/>
              </w:numPr>
              <w:textAlignment w:val="auto"/>
              <w:rPr>
                <w:sz w:val="18"/>
                <w:lang w:val="it-IT"/>
              </w:rPr>
            </w:pPr>
            <w:r w:rsidRPr="004E4C36">
              <w:rPr>
                <w:sz w:val="18"/>
                <w:lang w:val="it-IT"/>
              </w:rPr>
              <w:t>Panoga dobave po železnici in transporta</w:t>
            </w:r>
          </w:p>
          <w:p w14:paraId="7D3995B1" w14:textId="77777777" w:rsidR="00E03711" w:rsidRPr="008127B8" w:rsidRDefault="00E03711" w:rsidP="005115F2">
            <w:pPr>
              <w:pStyle w:val="ListParagraph"/>
              <w:numPr>
                <w:ilvl w:val="0"/>
                <w:numId w:val="264"/>
              </w:numPr>
              <w:textAlignment w:val="auto"/>
              <w:rPr>
                <w:sz w:val="18"/>
                <w:lang w:val="en-GB"/>
              </w:rPr>
            </w:pPr>
            <w:r>
              <w:rPr>
                <w:sz w:val="18"/>
                <w:lang w:val="en-GB"/>
              </w:rPr>
              <w:t>Socialna podjetja z integracijo dela</w:t>
            </w:r>
          </w:p>
          <w:p w14:paraId="7D3995B2" w14:textId="77777777" w:rsidR="00E03711" w:rsidRPr="001E39D9" w:rsidRDefault="00E03711" w:rsidP="005115F2">
            <w:pPr>
              <w:pStyle w:val="ListParagraph"/>
              <w:numPr>
                <w:ilvl w:val="0"/>
                <w:numId w:val="264"/>
              </w:numPr>
              <w:textAlignment w:val="auto"/>
              <w:rPr>
                <w:sz w:val="18"/>
                <w:lang w:val="en-GB"/>
              </w:rPr>
            </w:pPr>
            <w:r>
              <w:rPr>
                <w:sz w:val="18"/>
                <w:lang w:val="en-GB"/>
              </w:rPr>
              <w:t>Storitve programske opreme</w:t>
            </w:r>
          </w:p>
        </w:tc>
      </w:tr>
      <w:tr w:rsidR="00E03711" w:rsidRPr="00C60205" w14:paraId="7D3995B7" w14:textId="77777777" w:rsidTr="00143E01">
        <w:trPr>
          <w:trHeight w:val="20"/>
        </w:trPr>
        <w:tc>
          <w:tcPr>
            <w:tcW w:w="844" w:type="pct"/>
            <w:shd w:val="clear" w:color="auto" w:fill="FFFFFF"/>
            <w:vAlign w:val="center"/>
          </w:tcPr>
          <w:p w14:paraId="7D3995B4" w14:textId="77777777" w:rsidR="00E03711" w:rsidRPr="00F769E0" w:rsidRDefault="00E03711" w:rsidP="00CF298B">
            <w:pPr>
              <w:pStyle w:val="GUIDE-NORMAL"/>
              <w:spacing w:before="60" w:after="60"/>
              <w:jc w:val="left"/>
              <w:rPr>
                <w:rFonts w:cs="Tahoma"/>
                <w:b/>
                <w:lang w:val="sl-SI" w:eastAsia="en-GB"/>
              </w:rPr>
            </w:pPr>
            <w:r w:rsidRPr="00F769E0">
              <w:rPr>
                <w:rFonts w:cs="Tahoma"/>
                <w:b/>
                <w:lang w:val="sl-SI" w:eastAsia="en-GB"/>
              </w:rPr>
              <w:t>Trajanje projekta</w:t>
            </w:r>
          </w:p>
        </w:tc>
        <w:tc>
          <w:tcPr>
            <w:tcW w:w="4156" w:type="pct"/>
            <w:shd w:val="clear" w:color="auto" w:fill="FFFFFF"/>
            <w:vAlign w:val="center"/>
          </w:tcPr>
          <w:p w14:paraId="7D3995B5" w14:textId="77777777" w:rsidR="00E03711" w:rsidRPr="00F769E0" w:rsidRDefault="00E03711" w:rsidP="00CF298B">
            <w:pPr>
              <w:pStyle w:val="GUIDE-NORMAL"/>
              <w:spacing w:before="60" w:after="60"/>
              <w:rPr>
                <w:rFonts w:cs="Tahoma"/>
                <w:lang w:val="sl-SI" w:eastAsia="en-GB"/>
              </w:rPr>
            </w:pPr>
            <w:r w:rsidRPr="00F769E0">
              <w:rPr>
                <w:rFonts w:cs="Tahoma"/>
                <w:lang w:val="sl-SI" w:eastAsia="en-GB"/>
              </w:rPr>
              <w:t>4 leta.</w:t>
            </w:r>
          </w:p>
          <w:p w14:paraId="7D3995B6" w14:textId="77777777" w:rsidR="00E03711" w:rsidRPr="00F769E0" w:rsidRDefault="00E03711" w:rsidP="00CF298B">
            <w:pPr>
              <w:pStyle w:val="GUIDE-NORMAL"/>
              <w:spacing w:before="60" w:after="60"/>
              <w:rPr>
                <w:rFonts w:cs="Tahoma"/>
                <w:lang w:val="sl-SI" w:eastAsia="en-GB"/>
              </w:rPr>
            </w:pPr>
            <w:r w:rsidRPr="00F769E0">
              <w:rPr>
                <w:rFonts w:cs="Tahoma"/>
                <w:lang w:val="sl-SI" w:eastAsia="en-GB"/>
              </w:rPr>
              <w:t>V izjemnih primerih se lahko trajanje koalicije sektorskih spretnosti na prošnjo upravičenca in s soglasjem Izvajalske agencije podaljša za največ šest mesecev. V tem  primeru se znesek skupnih nepovratnih sredstev ne spremeni.</w:t>
            </w:r>
          </w:p>
        </w:tc>
      </w:tr>
      <w:tr w:rsidR="00E03711" w:rsidRPr="00C60205" w14:paraId="7D3995BA" w14:textId="77777777" w:rsidTr="00143E01">
        <w:trPr>
          <w:trHeight w:val="20"/>
        </w:trPr>
        <w:tc>
          <w:tcPr>
            <w:tcW w:w="844" w:type="pct"/>
            <w:shd w:val="clear" w:color="auto" w:fill="FFFFFF"/>
            <w:vAlign w:val="center"/>
          </w:tcPr>
          <w:p w14:paraId="7D3995B8" w14:textId="77777777" w:rsidR="00E03711" w:rsidRPr="00F769E0" w:rsidRDefault="00E03711" w:rsidP="00CF298B">
            <w:pPr>
              <w:pStyle w:val="GUIDE-NORMAL"/>
              <w:spacing w:before="60" w:after="60"/>
              <w:jc w:val="left"/>
              <w:rPr>
                <w:rFonts w:cs="Tahoma"/>
                <w:b/>
                <w:lang w:val="sl-SI" w:eastAsia="en-GB"/>
              </w:rPr>
            </w:pPr>
            <w:r w:rsidRPr="00F769E0">
              <w:rPr>
                <w:rFonts w:cs="Tahoma"/>
                <w:b/>
                <w:lang w:val="sl-SI" w:eastAsia="en-GB"/>
              </w:rPr>
              <w:t>Kje se prijaviti?</w:t>
            </w:r>
          </w:p>
        </w:tc>
        <w:tc>
          <w:tcPr>
            <w:tcW w:w="4156" w:type="pct"/>
            <w:shd w:val="clear" w:color="auto" w:fill="FFFFFF"/>
            <w:vAlign w:val="center"/>
          </w:tcPr>
          <w:p w14:paraId="7D3995B9" w14:textId="77777777" w:rsidR="00E03711" w:rsidRPr="00F769E0" w:rsidRDefault="00E03711" w:rsidP="00CF298B">
            <w:pPr>
              <w:pStyle w:val="GUIDE-NORMAL"/>
              <w:spacing w:before="60" w:after="60"/>
              <w:rPr>
                <w:rFonts w:cs="Tahoma"/>
                <w:lang w:val="sl-SI" w:eastAsia="en-GB"/>
              </w:rPr>
            </w:pPr>
            <w:r w:rsidRPr="00F769E0">
              <w:rPr>
                <w:rFonts w:cs="Tahoma"/>
                <w:lang w:val="sl-SI" w:eastAsia="en-GB"/>
              </w:rPr>
              <w:t>Pri Izvajalski agenciji za izobraževanje, avdiovizualno področje in kulturo v Bruslju.</w:t>
            </w:r>
          </w:p>
        </w:tc>
      </w:tr>
      <w:tr w:rsidR="00E03711" w:rsidRPr="00C60205" w14:paraId="7D3995BD" w14:textId="77777777" w:rsidTr="00143E01">
        <w:trPr>
          <w:trHeight w:val="20"/>
        </w:trPr>
        <w:tc>
          <w:tcPr>
            <w:tcW w:w="844" w:type="pct"/>
            <w:shd w:val="clear" w:color="auto" w:fill="FFFFFF"/>
            <w:vAlign w:val="center"/>
          </w:tcPr>
          <w:p w14:paraId="7D3995BB" w14:textId="77777777" w:rsidR="00E03711" w:rsidRPr="00F769E0" w:rsidRDefault="00E03711" w:rsidP="00CF298B">
            <w:pPr>
              <w:pStyle w:val="GUIDE-NORMAL"/>
              <w:spacing w:before="60" w:after="60"/>
              <w:jc w:val="left"/>
              <w:rPr>
                <w:rFonts w:cs="Tahoma"/>
                <w:b/>
                <w:lang w:val="sl-SI" w:eastAsia="en-GB"/>
              </w:rPr>
            </w:pPr>
            <w:r w:rsidRPr="00F769E0">
              <w:rPr>
                <w:rFonts w:cs="Tahoma"/>
                <w:b/>
                <w:lang w:val="sl-SI" w:eastAsia="en-GB"/>
              </w:rPr>
              <w:t>Kdaj se prijaviti?</w:t>
            </w:r>
          </w:p>
        </w:tc>
        <w:tc>
          <w:tcPr>
            <w:tcW w:w="4156" w:type="pct"/>
            <w:shd w:val="clear" w:color="auto" w:fill="FFFFFF"/>
            <w:vAlign w:val="center"/>
          </w:tcPr>
          <w:p w14:paraId="7D3995BC" w14:textId="77777777" w:rsidR="00E03711" w:rsidRPr="00F769E0" w:rsidRDefault="00E03711" w:rsidP="00CF298B">
            <w:pPr>
              <w:pStyle w:val="GUIDE-NORMAL"/>
              <w:spacing w:before="60" w:after="60"/>
              <w:rPr>
                <w:rFonts w:cs="Tahoma"/>
                <w:lang w:val="sl-SI" w:eastAsia="en-GB"/>
              </w:rPr>
            </w:pPr>
            <w:r w:rsidRPr="00F769E0">
              <w:rPr>
                <w:rFonts w:cs="Tahoma"/>
                <w:lang w:val="sl-SI" w:eastAsia="en-GB"/>
              </w:rPr>
              <w:t xml:space="preserve">Prijavitelji morajo vlogo za nepovratna sredstva oddati do </w:t>
            </w:r>
            <w:r w:rsidRPr="00F769E0">
              <w:rPr>
                <w:rFonts w:cs="Tahoma"/>
                <w:b/>
                <w:lang w:val="sl-SI" w:eastAsia="en-GB"/>
              </w:rPr>
              <w:t>2</w:t>
            </w:r>
            <w:r>
              <w:rPr>
                <w:rFonts w:cs="Tahoma"/>
                <w:b/>
                <w:lang w:val="sl-SI" w:eastAsia="en-GB"/>
              </w:rPr>
              <w:t>6</w:t>
            </w:r>
            <w:r w:rsidRPr="00F769E0">
              <w:rPr>
                <w:rFonts w:cs="Tahoma"/>
                <w:b/>
                <w:lang w:val="sl-SI" w:eastAsia="en-GB"/>
              </w:rPr>
              <w:t>. februarja do 1</w:t>
            </w:r>
            <w:r>
              <w:rPr>
                <w:rFonts w:cs="Tahoma"/>
                <w:b/>
                <w:lang w:val="sl-SI" w:eastAsia="en-GB"/>
              </w:rPr>
              <w:t>7</w:t>
            </w:r>
            <w:r w:rsidRPr="00F769E0">
              <w:rPr>
                <w:rFonts w:cs="Tahoma"/>
                <w:b/>
                <w:lang w:val="sl-SI" w:eastAsia="en-GB"/>
              </w:rPr>
              <w:t>. ure (po bruseljskem času)</w:t>
            </w:r>
            <w:r w:rsidRPr="00F769E0">
              <w:rPr>
                <w:rFonts w:cs="Tahoma"/>
                <w:lang w:val="sl-SI" w:eastAsia="en-GB"/>
              </w:rPr>
              <w:t xml:space="preserve"> za projekte, ki se začnejo 1. novembra ali </w:t>
            </w:r>
            <w:r>
              <w:rPr>
                <w:rFonts w:cs="Tahoma"/>
                <w:lang w:val="sl-SI" w:eastAsia="en-GB"/>
              </w:rPr>
              <w:t xml:space="preserve">1. </w:t>
            </w:r>
            <w:r w:rsidRPr="00F769E0">
              <w:rPr>
                <w:rFonts w:cs="Tahoma"/>
                <w:lang w:val="sl-SI" w:eastAsia="en-GB"/>
              </w:rPr>
              <w:t>decembra istega leta ali 1. januarja naslednje leto.</w:t>
            </w:r>
          </w:p>
        </w:tc>
      </w:tr>
      <w:tr w:rsidR="00E03711" w:rsidRPr="00C60205" w14:paraId="7D3995C0" w14:textId="77777777" w:rsidTr="00143E01">
        <w:trPr>
          <w:trHeight w:val="20"/>
        </w:trPr>
        <w:tc>
          <w:tcPr>
            <w:tcW w:w="844" w:type="pct"/>
            <w:shd w:val="clear" w:color="auto" w:fill="FFFFFF"/>
            <w:vAlign w:val="center"/>
          </w:tcPr>
          <w:p w14:paraId="7D3995BE" w14:textId="77777777" w:rsidR="00E03711" w:rsidRPr="00F769E0" w:rsidRDefault="00E03711" w:rsidP="00CF298B">
            <w:pPr>
              <w:pStyle w:val="GUIDE-NORMAL"/>
              <w:spacing w:before="60" w:after="60"/>
              <w:jc w:val="left"/>
              <w:rPr>
                <w:rFonts w:cs="Tahoma"/>
                <w:b/>
                <w:lang w:val="sl-SI" w:eastAsia="en-GB"/>
              </w:rPr>
            </w:pPr>
            <w:r w:rsidRPr="00F769E0">
              <w:rPr>
                <w:rFonts w:cs="Tahoma"/>
                <w:b/>
                <w:lang w:val="sl-SI" w:eastAsia="en-GB"/>
              </w:rPr>
              <w:t>Kako se prijaviti?</w:t>
            </w:r>
          </w:p>
        </w:tc>
        <w:tc>
          <w:tcPr>
            <w:tcW w:w="4156" w:type="pct"/>
            <w:shd w:val="clear" w:color="auto" w:fill="FFFFFF"/>
            <w:vAlign w:val="center"/>
          </w:tcPr>
          <w:p w14:paraId="7D3995BF" w14:textId="77777777" w:rsidR="00E03711" w:rsidRPr="00F769E0" w:rsidRDefault="00E03711" w:rsidP="00CF298B">
            <w:pPr>
              <w:pStyle w:val="GUIDE-NORMAL"/>
              <w:spacing w:before="60" w:after="60"/>
              <w:rPr>
                <w:rFonts w:cs="Tahoma"/>
                <w:lang w:val="sl-SI" w:eastAsia="en-GB"/>
              </w:rPr>
            </w:pPr>
            <w:r w:rsidRPr="00F769E0">
              <w:rPr>
                <w:rFonts w:cs="Tahoma"/>
                <w:lang w:val="sl-SI" w:eastAsia="en-GB"/>
              </w:rPr>
              <w:t>Za podrobnosti o postopku prijave glej del C tega vodnika.</w:t>
            </w:r>
          </w:p>
        </w:tc>
      </w:tr>
    </w:tbl>
    <w:p w14:paraId="7D3995C1" w14:textId="77777777" w:rsidR="00E03711" w:rsidRPr="001048FE" w:rsidRDefault="00E03711" w:rsidP="00820837">
      <w:pPr>
        <w:pStyle w:val="GUIDE-NORMAL"/>
        <w:rPr>
          <w:b/>
          <w:lang w:val="sl-SI"/>
        </w:rPr>
      </w:pPr>
      <w:bookmarkStart w:id="228" w:name="Informations_complémentaires_qui_doivent"/>
      <w:bookmarkEnd w:id="228"/>
    </w:p>
    <w:p w14:paraId="7D3995C2" w14:textId="77777777" w:rsidR="00E03711" w:rsidRPr="001048FE" w:rsidRDefault="00E03711" w:rsidP="00820837">
      <w:pPr>
        <w:pStyle w:val="GUIDE-NORMAL"/>
        <w:rPr>
          <w:b/>
          <w:lang w:val="sl-SI"/>
        </w:rPr>
      </w:pPr>
      <w:r w:rsidRPr="001048FE">
        <w:rPr>
          <w:b/>
          <w:lang w:val="sl-SI"/>
        </w:rPr>
        <w:t xml:space="preserve">Dodatne informacije, ki jih je treba upoštevati pri sektorjih v projektih iz sklopa </w:t>
      </w:r>
      <w:r>
        <w:rPr>
          <w:b/>
          <w:lang w:val="sl-SI"/>
        </w:rPr>
        <w:t>2</w:t>
      </w:r>
    </w:p>
    <w:p w14:paraId="7D3995C3" w14:textId="77777777" w:rsidR="00E03711" w:rsidRPr="001048FE" w:rsidRDefault="00E03711" w:rsidP="00820837">
      <w:pPr>
        <w:pStyle w:val="GUIDE-NORMAL"/>
        <w:rPr>
          <w:lang w:val="sl-SI"/>
        </w:rPr>
      </w:pPr>
      <w:r w:rsidRPr="001048FE">
        <w:rPr>
          <w:lang w:val="sl-SI"/>
        </w:rPr>
        <w:t xml:space="preserve">V zvezi s SKLOPOM </w:t>
      </w:r>
      <w:r>
        <w:rPr>
          <w:lang w:val="sl-SI"/>
        </w:rPr>
        <w:t>2</w:t>
      </w:r>
      <w:r w:rsidRPr="001048FE">
        <w:rPr>
          <w:lang w:val="sl-SI"/>
        </w:rPr>
        <w:t xml:space="preserve"> – koalicije sektorskih spretnosti za izvajanje novega strateškega pristopa (načrta) k sektorskemu sodelovanju na področju spretnosti je treba za vsak sektor upoštevati naslednje informacije:</w:t>
      </w:r>
    </w:p>
    <w:tbl>
      <w:tblPr>
        <w:tblW w:w="5000" w:type="pct"/>
        <w:tblLayout w:type="fixed"/>
        <w:tblLook w:val="0000" w:firstRow="0" w:lastRow="0" w:firstColumn="0" w:lastColumn="0" w:noHBand="0" w:noVBand="0"/>
      </w:tblPr>
      <w:tblGrid>
        <w:gridCol w:w="2142"/>
        <w:gridCol w:w="7148"/>
      </w:tblGrid>
      <w:tr w:rsidR="00E03711" w:rsidRPr="008B2C7D" w14:paraId="7D3995CF" w14:textId="77777777" w:rsidTr="00FC4A70">
        <w:trPr>
          <w:trHeight w:val="20"/>
        </w:trPr>
        <w:tc>
          <w:tcPr>
            <w:tcW w:w="2142" w:type="dxa"/>
            <w:tcBorders>
              <w:top w:val="single" w:sz="4" w:space="0" w:color="000000"/>
              <w:left w:val="single" w:sz="4" w:space="0" w:color="000000"/>
              <w:right w:val="single" w:sz="4" w:space="0" w:color="000000"/>
            </w:tcBorders>
            <w:vAlign w:val="center"/>
          </w:tcPr>
          <w:p w14:paraId="7D3995C4" w14:textId="77777777" w:rsidR="00E03711" w:rsidRPr="00F769E0" w:rsidRDefault="00E03711" w:rsidP="007E5976">
            <w:pPr>
              <w:pStyle w:val="GUIDE-NORMAL"/>
              <w:jc w:val="left"/>
              <w:rPr>
                <w:rFonts w:cs="Tahoma"/>
                <w:b/>
                <w:lang w:val="sl-SI" w:eastAsia="en-GB"/>
              </w:rPr>
            </w:pPr>
            <w:r>
              <w:rPr>
                <w:rFonts w:eastAsia="Calibri" w:cs="Calibri"/>
                <w:b/>
                <w:bCs/>
                <w:bdr w:val="nil"/>
                <w:lang w:val="sl-SI" w:eastAsia="en-GB"/>
              </w:rPr>
              <w:t>Veriga podatkovnih blokov</w:t>
            </w:r>
          </w:p>
        </w:tc>
        <w:tc>
          <w:tcPr>
            <w:tcW w:w="7148" w:type="dxa"/>
            <w:tcBorders>
              <w:top w:val="single" w:sz="4" w:space="0" w:color="000000"/>
              <w:left w:val="single" w:sz="4" w:space="0" w:color="000000"/>
              <w:right w:val="single" w:sz="4" w:space="0" w:color="000000"/>
            </w:tcBorders>
            <w:vAlign w:val="center"/>
          </w:tcPr>
          <w:p w14:paraId="7D3995C5" w14:textId="77777777" w:rsidR="00E03711" w:rsidRPr="00F769E0" w:rsidRDefault="00E03711" w:rsidP="00820837">
            <w:pPr>
              <w:pStyle w:val="GUIDE-NORMAL"/>
              <w:rPr>
                <w:rFonts w:cs="Tahoma"/>
                <w:lang w:val="sl-SI" w:eastAsia="en-GB"/>
              </w:rPr>
            </w:pPr>
            <w:r w:rsidRPr="00F769E0">
              <w:rPr>
                <w:rFonts w:cs="Tahoma"/>
                <w:lang w:val="sl-SI" w:eastAsia="en-GB"/>
              </w:rPr>
              <w:t xml:space="preserve">Koalicija mora vključevati vsaj 2 </w:t>
            </w:r>
            <w:r>
              <w:rPr>
                <w:rFonts w:cs="Tahoma"/>
                <w:lang w:val="sl-SI" w:eastAsia="en-GB"/>
              </w:rPr>
              <w:t xml:space="preserve">od </w:t>
            </w:r>
            <w:r w:rsidRPr="00F769E0">
              <w:rPr>
                <w:rFonts w:cs="Tahoma"/>
                <w:lang w:val="sl-SI" w:eastAsia="en-GB"/>
              </w:rPr>
              <w:t>naslednji</w:t>
            </w:r>
            <w:r>
              <w:rPr>
                <w:rFonts w:cs="Tahoma"/>
                <w:lang w:val="sl-SI" w:eastAsia="en-GB"/>
              </w:rPr>
              <w:t>h</w:t>
            </w:r>
            <w:r w:rsidRPr="00F769E0">
              <w:rPr>
                <w:rFonts w:cs="Tahoma"/>
                <w:lang w:val="sl-SI" w:eastAsia="en-GB"/>
              </w:rPr>
              <w:t xml:space="preserve"> področ</w:t>
            </w:r>
            <w:r>
              <w:rPr>
                <w:rFonts w:cs="Tahoma"/>
                <w:lang w:val="sl-SI" w:eastAsia="en-GB"/>
              </w:rPr>
              <w:t>ij</w:t>
            </w:r>
            <w:r w:rsidRPr="00F769E0">
              <w:rPr>
                <w:rFonts w:cs="Tahoma"/>
                <w:lang w:val="sl-SI" w:eastAsia="en-GB"/>
              </w:rPr>
              <w:t>:</w:t>
            </w:r>
          </w:p>
          <w:p w14:paraId="7D3995C6" w14:textId="77777777" w:rsidR="00E03711" w:rsidRDefault="00E03711" w:rsidP="00FE14E5">
            <w:pPr>
              <w:pStyle w:val="Guide-NormalBulletpoints"/>
              <w:rPr>
                <w:rFonts w:eastAsia="Calibri"/>
                <w:bdr w:val="nil"/>
                <w:shd w:val="clear" w:color="auto" w:fill="auto"/>
                <w:lang w:val="sl-SI"/>
              </w:rPr>
            </w:pPr>
            <w:r w:rsidRPr="00FC4A70" w:rsidDel="00A34A3E">
              <w:rPr>
                <w:rFonts w:eastAsia="Calibri"/>
                <w:bdr w:val="nil"/>
                <w:shd w:val="clear" w:color="auto" w:fill="auto"/>
                <w:lang w:val="sl-SI"/>
              </w:rPr>
              <w:t xml:space="preserve"> </w:t>
            </w:r>
          </w:p>
          <w:p w14:paraId="7D3995C7" w14:textId="77777777" w:rsidR="00E03711" w:rsidRDefault="00E03711" w:rsidP="005115F2">
            <w:pPr>
              <w:pStyle w:val="Guide-NormalBulletpoints"/>
              <w:numPr>
                <w:ilvl w:val="0"/>
                <w:numId w:val="302"/>
              </w:numPr>
              <w:ind w:left="348" w:hanging="284"/>
              <w:rPr>
                <w:rFonts w:eastAsia="Calibri"/>
                <w:bdr w:val="nil"/>
                <w:shd w:val="clear" w:color="auto" w:fill="auto"/>
                <w:lang w:val="sl-SI"/>
              </w:rPr>
            </w:pPr>
            <w:r>
              <w:rPr>
                <w:rFonts w:eastAsia="Calibri"/>
                <w:bdr w:val="nil"/>
                <w:shd w:val="clear" w:color="auto" w:fill="auto"/>
                <w:lang w:val="sl-SI"/>
              </w:rPr>
              <w:t>»Tehnične spretnosti«, ki so specifične za verigo podatkovnih blokov/tehnologije distribuirane glavne knjige (DLT), kot so na primer algoritmi konsenza, pametne pogodbe, pa tudi tehnične spretnosti, ki so bistvene, ne pa specifične samo za verigo blokov/tehnologije DLT, na primer kriptografija, omrežje enakovrednih, zasebnost (seznam tem v tej točki je samo približen).</w:t>
            </w:r>
          </w:p>
          <w:p w14:paraId="7D3995C8" w14:textId="77777777" w:rsidR="00E03711" w:rsidRDefault="00E03711" w:rsidP="005115F2">
            <w:pPr>
              <w:pStyle w:val="Guide-NormalBulletpoints"/>
              <w:numPr>
                <w:ilvl w:val="0"/>
                <w:numId w:val="302"/>
              </w:numPr>
              <w:ind w:left="348" w:hanging="284"/>
              <w:rPr>
                <w:rFonts w:eastAsia="Calibri"/>
                <w:bdr w:val="nil"/>
                <w:shd w:val="clear" w:color="auto" w:fill="auto"/>
                <w:lang w:val="sl-SI"/>
              </w:rPr>
            </w:pPr>
            <w:r>
              <w:rPr>
                <w:rFonts w:eastAsia="Calibri"/>
                <w:bdr w:val="nil"/>
                <w:shd w:val="clear" w:color="auto" w:fill="auto"/>
                <w:lang w:val="sl-SI"/>
              </w:rPr>
              <w:t>»Netehnične spretnosti«, ki so zahtevane za razvoj in uvajanje verige blokov/rešitev DLT in njihove aplikacije, na primer teorija iger/poslovnih procesov, specifično znanje o pravnih in upravnih temah, pa tudi spretnosti za izobraževanje potencialnih uporabnikov verige blokov/DLT (seznam tem v tej točki je samo približen) ter veriga blokov za socialno dobro/socialni učinek</w:t>
            </w:r>
            <w:r w:rsidRPr="00393BE9">
              <w:rPr>
                <w:rStyle w:val="FootnoteReference"/>
                <w:rFonts w:asciiTheme="minorHAnsi" w:hAnsiTheme="minorHAnsi" w:cstheme="minorHAnsi"/>
                <w:bCs/>
              </w:rPr>
              <w:footnoteReference w:id="145"/>
            </w:r>
            <w:r>
              <w:rPr>
                <w:rFonts w:eastAsia="Calibri"/>
                <w:bdr w:val="nil"/>
                <w:shd w:val="clear" w:color="auto" w:fill="auto"/>
                <w:lang w:val="sl-SI"/>
              </w:rPr>
              <w:t>.</w:t>
            </w:r>
          </w:p>
          <w:p w14:paraId="7D3995C9" w14:textId="77777777" w:rsidR="00E03711" w:rsidRPr="00FC4A70" w:rsidRDefault="00E03711" w:rsidP="005115F2">
            <w:pPr>
              <w:pStyle w:val="Guide-NormalBulletpoints"/>
              <w:numPr>
                <w:ilvl w:val="0"/>
                <w:numId w:val="302"/>
              </w:numPr>
              <w:ind w:left="348" w:hanging="284"/>
              <w:rPr>
                <w:rFonts w:cs="Times New Roman"/>
                <w:lang w:val="sl-SI"/>
              </w:rPr>
            </w:pPr>
            <w:r>
              <w:rPr>
                <w:rFonts w:eastAsia="Calibri"/>
                <w:bdr w:val="nil"/>
                <w:shd w:val="clear" w:color="auto" w:fill="auto"/>
                <w:lang w:val="sl-SI"/>
              </w:rPr>
              <w:t>Uporaba rešitev verige blokov/DLT za izboljšanje razvoja in upravljanja spretnosti, kompetenc in certificiranja v različnih sektorjih.</w:t>
            </w:r>
          </w:p>
          <w:p w14:paraId="7D3995CA" w14:textId="77777777" w:rsidR="00E03711" w:rsidRPr="00F769E0" w:rsidRDefault="00E03711" w:rsidP="00820837">
            <w:pPr>
              <w:pStyle w:val="GUIDE-NORMAL"/>
              <w:jc w:val="left"/>
              <w:rPr>
                <w:rFonts w:cs="Tahoma"/>
                <w:lang w:val="sl-SI" w:eastAsia="en-GB"/>
              </w:rPr>
            </w:pPr>
            <w:r w:rsidRPr="00F769E0">
              <w:rPr>
                <w:rFonts w:cs="Tahoma"/>
                <w:lang w:val="sl-SI" w:eastAsia="en-GB"/>
              </w:rPr>
              <w:t>Da se zagotovijo komplementarnost in sinergije, morajo biti aktivnosti skladne z obstoječimi dokazi za sektor, vključno z ukrepi in smernicami iz:</w:t>
            </w:r>
          </w:p>
          <w:p w14:paraId="7D3995CB" w14:textId="77777777" w:rsidR="00E03711" w:rsidRPr="00393BE9" w:rsidRDefault="00E03711" w:rsidP="005115F2">
            <w:pPr>
              <w:pStyle w:val="ListParagraph"/>
              <w:numPr>
                <w:ilvl w:val="0"/>
                <w:numId w:val="265"/>
              </w:numPr>
              <w:suppressAutoHyphens w:val="0"/>
              <w:autoSpaceDN/>
              <w:jc w:val="both"/>
              <w:textAlignment w:val="auto"/>
              <w:rPr>
                <w:rFonts w:asciiTheme="minorHAnsi" w:hAnsiTheme="minorHAnsi" w:cstheme="minorHAnsi"/>
                <w:sz w:val="18"/>
                <w:szCs w:val="18"/>
                <w:lang w:val="en-GB"/>
              </w:rPr>
            </w:pPr>
            <w:r w:rsidRPr="00393BE9">
              <w:rPr>
                <w:rFonts w:asciiTheme="minorHAnsi" w:eastAsia="Times New Roman" w:hAnsiTheme="minorHAnsi" w:cstheme="minorHAnsi"/>
                <w:bCs/>
                <w:sz w:val="18"/>
                <w:szCs w:val="18"/>
                <w:lang w:val="en-GB" w:eastAsia="en-GB"/>
              </w:rPr>
              <w:t xml:space="preserve">EU Blockchain Observatory and Forum </w:t>
            </w:r>
            <w:r w:rsidRPr="00393BE9">
              <w:rPr>
                <w:rStyle w:val="FootnoteReference"/>
                <w:rFonts w:asciiTheme="minorHAnsi" w:eastAsia="Times New Roman" w:hAnsiTheme="minorHAnsi" w:cstheme="minorHAnsi"/>
                <w:bCs/>
                <w:sz w:val="18"/>
                <w:szCs w:val="18"/>
                <w:lang w:val="en-GB" w:eastAsia="en-GB"/>
              </w:rPr>
              <w:footnoteReference w:id="146"/>
            </w:r>
          </w:p>
          <w:p w14:paraId="7D3995CC" w14:textId="77777777" w:rsidR="00E03711" w:rsidRPr="00393BE9" w:rsidRDefault="00E03711" w:rsidP="005115F2">
            <w:pPr>
              <w:pStyle w:val="ListParagraph"/>
              <w:numPr>
                <w:ilvl w:val="0"/>
                <w:numId w:val="265"/>
              </w:numPr>
              <w:suppressAutoHyphens w:val="0"/>
              <w:autoSpaceDN/>
              <w:jc w:val="both"/>
              <w:textAlignment w:val="auto"/>
              <w:rPr>
                <w:rFonts w:asciiTheme="minorHAnsi" w:hAnsiTheme="minorHAnsi" w:cstheme="minorHAnsi"/>
                <w:sz w:val="18"/>
                <w:szCs w:val="18"/>
                <w:lang w:val="en-GB"/>
              </w:rPr>
            </w:pPr>
            <w:r w:rsidRPr="00393BE9">
              <w:rPr>
                <w:rFonts w:asciiTheme="minorHAnsi" w:eastAsia="Times New Roman" w:hAnsiTheme="minorHAnsi" w:cstheme="minorHAnsi"/>
                <w:bCs/>
                <w:sz w:val="18"/>
                <w:szCs w:val="18"/>
                <w:lang w:val="en-GB" w:eastAsia="en-GB"/>
              </w:rPr>
              <w:t>International Association for Trusted Blockchain Applications (INATBA)</w:t>
            </w:r>
            <w:r w:rsidRPr="00393BE9">
              <w:rPr>
                <w:rStyle w:val="FootnoteReference"/>
                <w:rFonts w:asciiTheme="minorHAnsi" w:eastAsia="Times New Roman" w:hAnsiTheme="minorHAnsi" w:cstheme="minorHAnsi"/>
                <w:bCs/>
                <w:sz w:val="18"/>
                <w:szCs w:val="18"/>
                <w:lang w:val="en-GB" w:eastAsia="en-GB"/>
              </w:rPr>
              <w:footnoteReference w:id="147"/>
            </w:r>
          </w:p>
          <w:p w14:paraId="7D3995CD" w14:textId="77777777" w:rsidR="00E03711" w:rsidRPr="00CD5274" w:rsidRDefault="00E03711" w:rsidP="005115F2">
            <w:pPr>
              <w:pStyle w:val="ListParagraph"/>
              <w:numPr>
                <w:ilvl w:val="0"/>
                <w:numId w:val="265"/>
              </w:numPr>
              <w:suppressAutoHyphens w:val="0"/>
              <w:autoSpaceDN/>
              <w:jc w:val="both"/>
              <w:textAlignment w:val="auto"/>
              <w:rPr>
                <w:rFonts w:asciiTheme="minorHAnsi" w:hAnsiTheme="minorHAnsi" w:cstheme="minorHAnsi"/>
                <w:sz w:val="18"/>
                <w:szCs w:val="18"/>
                <w:lang w:val="en-GB"/>
              </w:rPr>
            </w:pPr>
            <w:r w:rsidRPr="00393BE9">
              <w:rPr>
                <w:rFonts w:asciiTheme="minorHAnsi" w:eastAsia="Times New Roman" w:hAnsiTheme="minorHAnsi" w:cstheme="minorHAnsi"/>
                <w:bCs/>
                <w:sz w:val="18"/>
                <w:szCs w:val="18"/>
                <w:lang w:val="en-GB" w:eastAsia="en-GB"/>
              </w:rPr>
              <w:t>European Blockchain Partnership</w:t>
            </w:r>
            <w:r w:rsidRPr="00393BE9">
              <w:rPr>
                <w:rStyle w:val="FootnoteReference"/>
                <w:rFonts w:asciiTheme="minorHAnsi" w:eastAsia="Times New Roman" w:hAnsiTheme="minorHAnsi" w:cstheme="minorHAnsi"/>
                <w:bCs/>
                <w:sz w:val="18"/>
                <w:szCs w:val="18"/>
                <w:lang w:val="en-GB" w:eastAsia="en-GB"/>
              </w:rPr>
              <w:footnoteReference w:id="148"/>
            </w:r>
          </w:p>
          <w:p w14:paraId="7D3995CE" w14:textId="77777777" w:rsidR="00E03711" w:rsidRPr="00CD5274" w:rsidRDefault="00E03711" w:rsidP="005115F2">
            <w:pPr>
              <w:pStyle w:val="ListParagraph"/>
              <w:numPr>
                <w:ilvl w:val="0"/>
                <w:numId w:val="265"/>
              </w:numPr>
              <w:suppressAutoHyphens w:val="0"/>
              <w:autoSpaceDN/>
              <w:jc w:val="both"/>
              <w:textAlignment w:val="auto"/>
              <w:rPr>
                <w:rFonts w:asciiTheme="minorHAnsi" w:hAnsiTheme="minorHAnsi" w:cstheme="minorHAnsi"/>
                <w:sz w:val="18"/>
                <w:szCs w:val="18"/>
                <w:lang w:val="en-GB"/>
              </w:rPr>
            </w:pPr>
            <w:r w:rsidRPr="00CD5274">
              <w:rPr>
                <w:rFonts w:asciiTheme="minorHAnsi" w:eastAsia="Times New Roman" w:hAnsiTheme="minorHAnsi" w:cstheme="minorHAnsi"/>
                <w:bCs/>
                <w:sz w:val="18"/>
                <w:szCs w:val="18"/>
                <w:lang w:val="en-GB" w:eastAsia="en-GB"/>
              </w:rPr>
              <w:t>Digital Skills</w:t>
            </w:r>
            <w:r>
              <w:rPr>
                <w:rStyle w:val="FootnoteReference"/>
                <w:rFonts w:asciiTheme="minorHAnsi" w:eastAsia="Times New Roman" w:hAnsiTheme="minorHAnsi" w:cstheme="minorHAnsi"/>
                <w:bCs/>
                <w:sz w:val="18"/>
                <w:szCs w:val="18"/>
                <w:lang w:val="en-GB" w:eastAsia="en-GB"/>
              </w:rPr>
              <w:footnoteReference w:id="149"/>
            </w:r>
            <w:r w:rsidRPr="00CD5274">
              <w:rPr>
                <w:rFonts w:asciiTheme="minorHAnsi" w:hAnsiTheme="minorHAnsi" w:cstheme="minorHAnsi"/>
                <w:bCs/>
              </w:rPr>
              <w:t xml:space="preserve"> </w:t>
            </w:r>
          </w:p>
        </w:tc>
      </w:tr>
      <w:tr w:rsidR="00E03711" w:rsidRPr="00B760F2" w14:paraId="7D3995E0" w14:textId="77777777" w:rsidTr="00FC4A70">
        <w:trPr>
          <w:trHeight w:val="20"/>
        </w:trPr>
        <w:tc>
          <w:tcPr>
            <w:tcW w:w="2142" w:type="dxa"/>
            <w:tcBorders>
              <w:top w:val="single" w:sz="4" w:space="0" w:color="000000"/>
              <w:left w:val="single" w:sz="4" w:space="0" w:color="000000"/>
              <w:bottom w:val="single" w:sz="4" w:space="0" w:color="000000"/>
              <w:right w:val="single" w:sz="4" w:space="0" w:color="000000"/>
            </w:tcBorders>
            <w:vAlign w:val="center"/>
          </w:tcPr>
          <w:p w14:paraId="7D3995D0" w14:textId="77777777" w:rsidR="00E03711" w:rsidRPr="00F769E0" w:rsidRDefault="00E03711" w:rsidP="007E5976">
            <w:pPr>
              <w:pStyle w:val="GUIDE-NORMAL"/>
              <w:jc w:val="left"/>
              <w:rPr>
                <w:rFonts w:cs="Tahoma"/>
                <w:b/>
                <w:lang w:val="sl-SI" w:eastAsia="en-GB"/>
              </w:rPr>
            </w:pPr>
            <w:r>
              <w:rPr>
                <w:rFonts w:eastAsia="Calibri" w:cs="Calibri"/>
                <w:b/>
                <w:bCs/>
                <w:color w:val="000000"/>
                <w:bdr w:val="nil"/>
                <w:lang w:val="sl-SI" w:eastAsia="en-GB"/>
              </w:rPr>
              <w:t>Kulturna dediščina</w:t>
            </w:r>
            <w:r w:rsidRPr="00F769E0">
              <w:rPr>
                <w:rFonts w:cs="Tahoma"/>
                <w:b/>
                <w:lang w:val="sl-SI" w:eastAsia="en-GB"/>
              </w:rPr>
              <w:t xml:space="preserve"> </w:t>
            </w:r>
          </w:p>
        </w:tc>
        <w:tc>
          <w:tcPr>
            <w:tcW w:w="7148" w:type="dxa"/>
            <w:tcBorders>
              <w:top w:val="single" w:sz="4" w:space="0" w:color="000000"/>
              <w:left w:val="single" w:sz="4" w:space="0" w:color="000000"/>
              <w:bottom w:val="single" w:sz="4" w:space="0" w:color="000000"/>
              <w:right w:val="single" w:sz="4" w:space="0" w:color="000000"/>
            </w:tcBorders>
            <w:vAlign w:val="center"/>
          </w:tcPr>
          <w:p w14:paraId="7D3995D1" w14:textId="77777777" w:rsidR="00E03711" w:rsidRPr="00F769E0" w:rsidRDefault="00E03711" w:rsidP="00820837">
            <w:pPr>
              <w:pStyle w:val="GUIDE-NORMAL"/>
              <w:jc w:val="left"/>
              <w:rPr>
                <w:rFonts w:cs="Tahoma"/>
                <w:lang w:val="sl-SI" w:eastAsia="en-GB"/>
              </w:rPr>
            </w:pPr>
            <w:r w:rsidRPr="00F769E0">
              <w:rPr>
                <w:rFonts w:cs="Tahoma"/>
                <w:lang w:val="sl-SI" w:eastAsia="en-GB"/>
              </w:rPr>
              <w:t xml:space="preserve">Koalicija </w:t>
            </w:r>
            <w:r>
              <w:rPr>
                <w:rFonts w:cs="Tahoma"/>
                <w:lang w:val="sl-SI" w:eastAsia="en-GB"/>
              </w:rPr>
              <w:t xml:space="preserve">se </w:t>
            </w:r>
            <w:r w:rsidRPr="00F769E0">
              <w:rPr>
                <w:rFonts w:cs="Tahoma"/>
                <w:lang w:val="sl-SI" w:eastAsia="en-GB"/>
              </w:rPr>
              <w:t xml:space="preserve">mora </w:t>
            </w:r>
            <w:r>
              <w:rPr>
                <w:rFonts w:cs="Tahoma"/>
                <w:lang w:val="sl-SI" w:eastAsia="en-GB"/>
              </w:rPr>
              <w:t xml:space="preserve">posvečati razvoju spretnosti vsaj na prvih treh od naslednjih </w:t>
            </w:r>
            <w:r w:rsidRPr="00F769E0">
              <w:rPr>
                <w:rFonts w:cs="Tahoma"/>
                <w:lang w:val="sl-SI" w:eastAsia="en-GB"/>
              </w:rPr>
              <w:t>področ</w:t>
            </w:r>
            <w:r>
              <w:rPr>
                <w:rFonts w:cs="Tahoma"/>
                <w:lang w:val="sl-SI" w:eastAsia="en-GB"/>
              </w:rPr>
              <w:t>ij</w:t>
            </w:r>
            <w:r w:rsidRPr="00F769E0">
              <w:rPr>
                <w:rFonts w:cs="Tahoma"/>
                <w:lang w:val="sl-SI" w:eastAsia="en-GB"/>
              </w:rPr>
              <w:t>:</w:t>
            </w:r>
          </w:p>
          <w:p w14:paraId="7D3995D2" w14:textId="77777777" w:rsidR="00E03711" w:rsidRPr="004E4C36" w:rsidRDefault="00E03711" w:rsidP="005115F2">
            <w:pPr>
              <w:pStyle w:val="ListParagraph"/>
              <w:numPr>
                <w:ilvl w:val="0"/>
                <w:numId w:val="266"/>
              </w:numPr>
              <w:textAlignment w:val="auto"/>
              <w:rPr>
                <w:rFonts w:asciiTheme="minorHAnsi" w:eastAsia="Times New Roman" w:hAnsiTheme="minorHAnsi" w:cstheme="minorHAnsi"/>
                <w:color w:val="000000"/>
                <w:kern w:val="0"/>
                <w:sz w:val="18"/>
                <w:szCs w:val="18"/>
                <w:lang w:val="sl-SI" w:eastAsia="en-GB"/>
              </w:rPr>
            </w:pPr>
            <w:r w:rsidRPr="004E4C36">
              <w:rPr>
                <w:rFonts w:asciiTheme="minorHAnsi" w:eastAsia="Times New Roman" w:hAnsiTheme="minorHAnsi" w:cstheme="minorHAnsi"/>
                <w:color w:val="000000"/>
                <w:sz w:val="18"/>
                <w:szCs w:val="18"/>
                <w:lang w:val="sl-SI"/>
              </w:rPr>
              <w:t>varovanje in ohranjanje: zaščita, konzervacija-restavriranje, arhiviranje, upravljanje zbirk, skrb za zbirke in izboljšava zbirk, veda o materialih/analiza materialov, delo na terenu, konzervacija, restavriranje (vključno z digitalnimi sredstvi);</w:t>
            </w:r>
          </w:p>
          <w:p w14:paraId="7D3995D3" w14:textId="77777777" w:rsidR="00E03711" w:rsidRPr="004E4C36" w:rsidRDefault="00E03711" w:rsidP="005115F2">
            <w:pPr>
              <w:pStyle w:val="ListParagraph"/>
              <w:numPr>
                <w:ilvl w:val="0"/>
                <w:numId w:val="266"/>
              </w:numPr>
              <w:textAlignment w:val="auto"/>
              <w:rPr>
                <w:rFonts w:asciiTheme="minorHAnsi" w:eastAsia="Times New Roman" w:hAnsiTheme="minorHAnsi" w:cstheme="minorHAnsi"/>
                <w:color w:val="000000"/>
                <w:kern w:val="0"/>
                <w:sz w:val="18"/>
                <w:szCs w:val="18"/>
                <w:lang w:val="sl-SI" w:eastAsia="en-GB"/>
              </w:rPr>
            </w:pPr>
            <w:r w:rsidRPr="004E4C36">
              <w:rPr>
                <w:rFonts w:asciiTheme="minorHAnsi" w:eastAsia="Times New Roman" w:hAnsiTheme="minorHAnsi" w:cstheme="minorHAnsi"/>
                <w:color w:val="000000"/>
                <w:sz w:val="18"/>
                <w:szCs w:val="18"/>
                <w:lang w:val="sl-SI"/>
              </w:rPr>
              <w:t>obrt in tradicionalno znanje: obrt, povezana z dediščino, tradicionalne tehnike gradnje, dobavitelji materialov (vključno z digitalnimi sredstvi);</w:t>
            </w:r>
          </w:p>
          <w:p w14:paraId="7D3995D4" w14:textId="77777777" w:rsidR="00E03711" w:rsidRPr="004E4C36" w:rsidRDefault="00E03711" w:rsidP="005115F2">
            <w:pPr>
              <w:pStyle w:val="ListParagraph"/>
              <w:numPr>
                <w:ilvl w:val="0"/>
                <w:numId w:val="266"/>
              </w:numPr>
              <w:textAlignment w:val="auto"/>
              <w:rPr>
                <w:rFonts w:asciiTheme="minorHAnsi" w:eastAsia="Times New Roman" w:hAnsiTheme="minorHAnsi" w:cstheme="minorHAnsi"/>
                <w:color w:val="000000"/>
                <w:kern w:val="0"/>
                <w:sz w:val="18"/>
                <w:szCs w:val="18"/>
                <w:lang w:val="sl-SI" w:eastAsia="en-GB"/>
              </w:rPr>
            </w:pPr>
            <w:r w:rsidRPr="004E4C36">
              <w:rPr>
                <w:rFonts w:asciiTheme="minorHAnsi" w:eastAsia="Times New Roman" w:hAnsiTheme="minorHAnsi" w:cstheme="minorHAnsi"/>
                <w:color w:val="000000"/>
                <w:sz w:val="18"/>
                <w:szCs w:val="18"/>
                <w:lang w:val="sl-SI"/>
              </w:rPr>
              <w:t>razširjanje in komunikacija: razvijanje občinstva, angažiranost skupnosti, promocija, skrb za obiskovalce, izkušnja obiskovalcev, dostopnost, izobraževanje, kulturno posredovanje, interpretacija, predstavitev (vključno z digitalnimi sredstvi);</w:t>
            </w:r>
          </w:p>
          <w:p w14:paraId="7D3995D5" w14:textId="77777777" w:rsidR="00E03711" w:rsidRPr="004E4C36" w:rsidRDefault="00E03711" w:rsidP="005115F2">
            <w:pPr>
              <w:pStyle w:val="ListParagraph"/>
              <w:numPr>
                <w:ilvl w:val="0"/>
                <w:numId w:val="266"/>
              </w:numPr>
              <w:textAlignment w:val="auto"/>
              <w:rPr>
                <w:rFonts w:asciiTheme="minorHAnsi" w:eastAsia="Times New Roman" w:hAnsiTheme="minorHAnsi" w:cstheme="minorHAnsi"/>
                <w:color w:val="000000"/>
                <w:kern w:val="0"/>
                <w:sz w:val="18"/>
                <w:szCs w:val="18"/>
                <w:lang w:val="sl-SI" w:eastAsia="en-GB"/>
              </w:rPr>
            </w:pPr>
            <w:r w:rsidRPr="004E4C36">
              <w:rPr>
                <w:rFonts w:asciiTheme="minorHAnsi" w:eastAsia="Times New Roman" w:hAnsiTheme="minorHAnsi" w:cstheme="minorHAnsi"/>
                <w:color w:val="000000"/>
                <w:sz w:val="18"/>
                <w:szCs w:val="18"/>
                <w:lang w:val="sl-SI"/>
              </w:rPr>
              <w:t>znanje: prepoznavanje kulturne dediščine, študij, snemanje (vključno z digitalnimi sredstvi);</w:t>
            </w:r>
          </w:p>
          <w:p w14:paraId="7D3995D6" w14:textId="77777777" w:rsidR="00E03711" w:rsidRPr="004E4C36" w:rsidRDefault="00E03711" w:rsidP="005115F2">
            <w:pPr>
              <w:pStyle w:val="ListParagraph"/>
              <w:numPr>
                <w:ilvl w:val="0"/>
                <w:numId w:val="266"/>
              </w:numPr>
              <w:textAlignment w:val="auto"/>
              <w:rPr>
                <w:rFonts w:asciiTheme="minorHAnsi" w:eastAsia="Times New Roman" w:hAnsiTheme="minorHAnsi" w:cstheme="minorHAnsi"/>
                <w:color w:val="000000"/>
                <w:kern w:val="0"/>
                <w:sz w:val="18"/>
                <w:szCs w:val="18"/>
                <w:lang w:val="sl-SI" w:eastAsia="en-GB"/>
              </w:rPr>
            </w:pPr>
            <w:r w:rsidRPr="004E4C36">
              <w:rPr>
                <w:rFonts w:asciiTheme="minorHAnsi" w:eastAsia="Times New Roman" w:hAnsiTheme="minorHAnsi" w:cstheme="minorHAnsi"/>
                <w:color w:val="000000"/>
                <w:sz w:val="18"/>
                <w:szCs w:val="18"/>
                <w:lang w:val="sl-SI"/>
              </w:rPr>
              <w:t>načrtovanje/upravljanje, strateško načrtovanje, upravljanje najdišč in projektov, mediacija, javno naročanje, ustvarjanje politike in regulative, zbiranje sredstev, logistika, varnost, pravni vidiki in vidiki pravic intelektualne lastnine;</w:t>
            </w:r>
          </w:p>
          <w:p w14:paraId="7D3995D7" w14:textId="77777777" w:rsidR="00E03711" w:rsidRPr="00F769E0" w:rsidRDefault="00E03711" w:rsidP="00820837">
            <w:pPr>
              <w:pStyle w:val="GUIDE-NORMAL"/>
              <w:jc w:val="left"/>
              <w:rPr>
                <w:rFonts w:cs="Tahoma"/>
                <w:lang w:val="sl-SI" w:eastAsia="en-GB"/>
              </w:rPr>
            </w:pPr>
            <w:r w:rsidRPr="00F769E0">
              <w:rPr>
                <w:rFonts w:cs="Tahoma"/>
                <w:lang w:val="sl-SI" w:eastAsia="en-GB"/>
              </w:rPr>
              <w:t>Da se zagotovijo komplementarnost in sinergije, morajo biti aktivnosti skladne z obstoječimi pobudami in dokazi za sektor, vključno z ukrepi in smernicami iz:</w:t>
            </w:r>
          </w:p>
          <w:p w14:paraId="7D3995D8" w14:textId="77777777" w:rsidR="00E03711" w:rsidRPr="004E4C36" w:rsidRDefault="00E03711" w:rsidP="005115F2">
            <w:pPr>
              <w:pStyle w:val="ListParagraph"/>
              <w:numPr>
                <w:ilvl w:val="0"/>
                <w:numId w:val="319"/>
              </w:numPr>
              <w:autoSpaceDN/>
              <w:jc w:val="both"/>
              <w:textAlignment w:val="auto"/>
              <w:rPr>
                <w:lang w:val="sl-SI"/>
              </w:rPr>
            </w:pPr>
            <w:r w:rsidRPr="004E4C36">
              <w:rPr>
                <w:rFonts w:asciiTheme="minorHAnsi" w:eastAsia="Calibri" w:hAnsiTheme="minorHAnsi" w:cstheme="minorHAnsi"/>
                <w:sz w:val="18"/>
                <w:szCs w:val="18"/>
                <w:lang w:val="sl-SI"/>
              </w:rPr>
              <w:t>Sporočilo Komisije »V smeri  integriranega pristopa h kulturni dediščini za Evropo«</w:t>
            </w:r>
            <w:r w:rsidRPr="004E4C36">
              <w:rPr>
                <w:sz w:val="18"/>
                <w:szCs w:val="18"/>
                <w:lang w:val="sl-SI"/>
              </w:rPr>
              <w:t xml:space="preserve"> </w:t>
            </w:r>
            <w:r w:rsidRPr="00860232">
              <w:rPr>
                <w:rStyle w:val="FootnoteReference"/>
                <w:rFonts w:asciiTheme="minorHAnsi" w:eastAsia="Calibri" w:hAnsiTheme="minorHAnsi" w:cstheme="minorHAnsi"/>
                <w:sz w:val="18"/>
                <w:szCs w:val="18"/>
                <w:lang w:val="en-GB"/>
              </w:rPr>
              <w:footnoteReference w:id="150"/>
            </w:r>
          </w:p>
          <w:p w14:paraId="7D3995D9" w14:textId="77777777" w:rsidR="00E03711" w:rsidRPr="004E4C36" w:rsidRDefault="00E03711" w:rsidP="005115F2">
            <w:pPr>
              <w:pStyle w:val="ListParagraph"/>
              <w:numPr>
                <w:ilvl w:val="0"/>
                <w:numId w:val="319"/>
              </w:numPr>
              <w:pBdr>
                <w:top w:val="nil"/>
                <w:left w:val="nil"/>
                <w:bottom w:val="nil"/>
                <w:right w:val="nil"/>
                <w:between w:val="nil"/>
                <w:bar w:val="nil"/>
              </w:pBdr>
              <w:autoSpaceDN/>
              <w:jc w:val="both"/>
              <w:textAlignment w:val="auto"/>
              <w:rPr>
                <w:rFonts w:asciiTheme="minorHAnsi" w:eastAsia="Calibri" w:hAnsiTheme="minorHAnsi" w:cstheme="minorHAnsi"/>
                <w:sz w:val="18"/>
                <w:szCs w:val="18"/>
                <w:lang w:val="sl-SI"/>
              </w:rPr>
            </w:pPr>
            <w:r w:rsidRPr="004E4C36">
              <w:rPr>
                <w:sz w:val="18"/>
                <w:szCs w:val="18"/>
                <w:lang w:val="sl-SI"/>
              </w:rPr>
              <w:t xml:space="preserve">Delovni dokument osebja Komisije, </w:t>
            </w:r>
            <w:r w:rsidRPr="004E4C36">
              <w:rPr>
                <w:rFonts w:asciiTheme="minorHAnsi" w:eastAsia="Calibri" w:hAnsiTheme="minorHAnsi" w:cstheme="minorHAnsi"/>
                <w:sz w:val="18"/>
                <w:szCs w:val="18"/>
                <w:lang w:val="sl-SI"/>
              </w:rPr>
              <w:t>»Evropski okvir za delovanje na področju kulturne dediščine«</w:t>
            </w:r>
            <w:r w:rsidRPr="004E4C36">
              <w:rPr>
                <w:lang w:val="sl-SI"/>
              </w:rPr>
              <w:t xml:space="preserve"> </w:t>
            </w:r>
            <w:r w:rsidRPr="00B917FF">
              <w:rPr>
                <w:rStyle w:val="FootnoteReference"/>
                <w:rFonts w:asciiTheme="minorHAnsi" w:eastAsia="Calibri" w:hAnsiTheme="minorHAnsi" w:cstheme="minorHAnsi"/>
                <w:sz w:val="18"/>
                <w:szCs w:val="18"/>
                <w:lang w:val="en-GB"/>
              </w:rPr>
              <w:footnoteReference w:id="151"/>
            </w:r>
          </w:p>
          <w:p w14:paraId="7D3995DA" w14:textId="77777777" w:rsidR="00E03711" w:rsidRPr="004E4C36" w:rsidRDefault="00E03711" w:rsidP="005115F2">
            <w:pPr>
              <w:pStyle w:val="ListParagraph"/>
              <w:numPr>
                <w:ilvl w:val="0"/>
                <w:numId w:val="319"/>
              </w:numPr>
              <w:pBdr>
                <w:top w:val="nil"/>
                <w:left w:val="nil"/>
                <w:bottom w:val="nil"/>
                <w:right w:val="nil"/>
                <w:between w:val="nil"/>
                <w:bar w:val="nil"/>
              </w:pBdr>
              <w:autoSpaceDN/>
              <w:jc w:val="both"/>
              <w:textAlignment w:val="auto"/>
              <w:rPr>
                <w:rFonts w:asciiTheme="minorHAnsi" w:eastAsia="Calibri" w:hAnsiTheme="minorHAnsi" w:cstheme="minorHAnsi"/>
                <w:sz w:val="18"/>
                <w:szCs w:val="18"/>
                <w:lang w:val="sl-SI"/>
              </w:rPr>
            </w:pPr>
            <w:r w:rsidRPr="004E4C36">
              <w:rPr>
                <w:rFonts w:asciiTheme="minorHAnsi" w:eastAsia="Calibri" w:hAnsiTheme="minorHAnsi" w:cstheme="minorHAnsi"/>
                <w:sz w:val="18"/>
                <w:szCs w:val="18"/>
                <w:lang w:val="sl-SI"/>
              </w:rPr>
              <w:t>Izjava o sodelovanju v zvezi s podporo digitalizaciji kulturne dediščine</w:t>
            </w:r>
            <w:r w:rsidRPr="00B917FF">
              <w:rPr>
                <w:rStyle w:val="FootnoteReference"/>
                <w:rFonts w:asciiTheme="minorHAnsi" w:eastAsia="Calibri" w:hAnsiTheme="minorHAnsi" w:cstheme="minorHAnsi"/>
                <w:sz w:val="18"/>
                <w:szCs w:val="18"/>
                <w:lang w:val="en-GB"/>
              </w:rPr>
              <w:footnoteReference w:id="152"/>
            </w:r>
            <w:r w:rsidRPr="004E4C36">
              <w:rPr>
                <w:rStyle w:val="FootnoteReference"/>
                <w:lang w:val="sl-SI"/>
              </w:rPr>
              <w:t xml:space="preserve"> </w:t>
            </w:r>
          </w:p>
          <w:p w14:paraId="7D3995DB" w14:textId="77777777" w:rsidR="00E03711" w:rsidRPr="00860232" w:rsidRDefault="00E03711" w:rsidP="005115F2">
            <w:pPr>
              <w:pStyle w:val="ListParagraph"/>
              <w:numPr>
                <w:ilvl w:val="0"/>
                <w:numId w:val="319"/>
              </w:numPr>
              <w:pBdr>
                <w:top w:val="nil"/>
                <w:left w:val="nil"/>
                <w:bottom w:val="nil"/>
                <w:right w:val="nil"/>
                <w:between w:val="nil"/>
                <w:bar w:val="nil"/>
              </w:pBdr>
              <w:autoSpaceDN/>
              <w:jc w:val="both"/>
              <w:textAlignment w:val="auto"/>
              <w:rPr>
                <w:rFonts w:asciiTheme="minorHAnsi" w:eastAsia="Calibri" w:hAnsiTheme="minorHAnsi" w:cstheme="minorHAnsi"/>
                <w:sz w:val="18"/>
                <w:szCs w:val="18"/>
                <w:lang w:val="en-GB"/>
              </w:rPr>
            </w:pPr>
            <w:r w:rsidRPr="004E4C36">
              <w:rPr>
                <w:rFonts w:asciiTheme="minorHAnsi" w:eastAsia="Calibri" w:hAnsiTheme="minorHAnsi" w:cstheme="minorHAnsi"/>
                <w:sz w:val="18"/>
                <w:szCs w:val="18"/>
                <w:lang w:val="sl-SI"/>
              </w:rPr>
              <w:t xml:space="preserve">Načela evropske kakovosti za posege, ki jih financira EU, s potencialnim učinkom na kulturno dediščino, Manual. </w:t>
            </w:r>
            <w:r w:rsidRPr="00860232">
              <w:rPr>
                <w:rFonts w:asciiTheme="minorHAnsi" w:eastAsia="Calibri" w:hAnsiTheme="minorHAnsi" w:cstheme="minorHAnsi"/>
                <w:sz w:val="18"/>
                <w:szCs w:val="18"/>
                <w:lang w:val="en-GB"/>
              </w:rPr>
              <w:t>ICOMOS International</w:t>
            </w:r>
            <w:r w:rsidRPr="00B917FF">
              <w:rPr>
                <w:rStyle w:val="FootnoteReference"/>
                <w:rFonts w:asciiTheme="minorHAnsi" w:eastAsia="Calibri" w:hAnsiTheme="minorHAnsi" w:cstheme="minorHAnsi"/>
                <w:sz w:val="18"/>
                <w:szCs w:val="18"/>
                <w:lang w:val="en-GB"/>
              </w:rPr>
              <w:footnoteReference w:id="153"/>
            </w:r>
            <w:r w:rsidRPr="00860232">
              <w:rPr>
                <w:rStyle w:val="FootnoteReference"/>
              </w:rPr>
              <w:t xml:space="preserve"> </w:t>
            </w:r>
          </w:p>
          <w:p w14:paraId="7D3995DC" w14:textId="77777777" w:rsidR="00E03711" w:rsidRPr="00860232" w:rsidRDefault="00E03711" w:rsidP="005115F2">
            <w:pPr>
              <w:pStyle w:val="ListParagraph"/>
              <w:numPr>
                <w:ilvl w:val="0"/>
                <w:numId w:val="319"/>
              </w:numPr>
              <w:pBdr>
                <w:top w:val="nil"/>
                <w:left w:val="nil"/>
                <w:bottom w:val="nil"/>
                <w:right w:val="nil"/>
                <w:between w:val="nil"/>
                <w:bar w:val="nil"/>
              </w:pBdr>
              <w:autoSpaceDN/>
              <w:jc w:val="both"/>
              <w:textAlignment w:val="auto"/>
              <w:rPr>
                <w:rFonts w:asciiTheme="minorHAnsi" w:eastAsia="Calibri" w:hAnsiTheme="minorHAnsi" w:cstheme="minorHAnsi"/>
                <w:sz w:val="18"/>
                <w:szCs w:val="18"/>
                <w:lang w:val="en-GB"/>
              </w:rPr>
            </w:pPr>
            <w:r w:rsidRPr="00860232">
              <w:rPr>
                <w:rFonts w:asciiTheme="minorHAnsi" w:eastAsia="Calibri" w:hAnsiTheme="minorHAnsi" w:cstheme="minorHAnsi"/>
                <w:sz w:val="18"/>
                <w:szCs w:val="18"/>
                <w:lang w:val="en-GB"/>
              </w:rPr>
              <w:t>Do integriranega pristopa h kulturni dediščini za Evropo – nadaljnje možnosti za prenos spretnosti, usposabljanja in znanja za tradicionalne in nastajajoče poklice</w:t>
            </w:r>
            <w:r w:rsidRPr="00B917FF">
              <w:rPr>
                <w:rStyle w:val="FootnoteReference"/>
                <w:rFonts w:asciiTheme="minorHAnsi" w:eastAsia="Calibri" w:hAnsiTheme="minorHAnsi" w:cstheme="minorHAnsi"/>
                <w:sz w:val="18"/>
                <w:szCs w:val="18"/>
                <w:lang w:val="en-GB"/>
              </w:rPr>
              <w:footnoteReference w:id="154"/>
            </w:r>
            <w:r w:rsidRPr="004E4C36">
              <w:rPr>
                <w:rStyle w:val="FootnoteReference"/>
                <w:lang w:val="en-GB"/>
              </w:rPr>
              <w:t xml:space="preserve"> </w:t>
            </w:r>
          </w:p>
          <w:p w14:paraId="7D3995DD" w14:textId="77777777" w:rsidR="00E03711" w:rsidRPr="00860232" w:rsidRDefault="00E03711" w:rsidP="005115F2">
            <w:pPr>
              <w:pStyle w:val="ListParagraph"/>
              <w:numPr>
                <w:ilvl w:val="0"/>
                <w:numId w:val="319"/>
              </w:numPr>
              <w:pBdr>
                <w:top w:val="nil"/>
                <w:left w:val="nil"/>
                <w:bottom w:val="nil"/>
                <w:right w:val="nil"/>
                <w:between w:val="nil"/>
                <w:bar w:val="nil"/>
              </w:pBdr>
              <w:autoSpaceDN/>
              <w:jc w:val="both"/>
              <w:textAlignment w:val="auto"/>
              <w:rPr>
                <w:rFonts w:asciiTheme="minorHAnsi" w:eastAsia="Calibri" w:hAnsiTheme="minorHAnsi" w:cstheme="minorHAnsi"/>
                <w:sz w:val="18"/>
                <w:szCs w:val="18"/>
                <w:lang w:val="en-GB"/>
              </w:rPr>
            </w:pPr>
            <w:r w:rsidRPr="00860232">
              <w:rPr>
                <w:rFonts w:asciiTheme="minorHAnsi" w:eastAsia="Calibri" w:hAnsiTheme="minorHAnsi" w:cstheme="minorHAnsi"/>
                <w:sz w:val="18"/>
                <w:szCs w:val="18"/>
                <w:lang w:val="en-GB"/>
              </w:rPr>
              <w:t>Gojitev sodelovanja v Evropski uniji pri spretnostih, usposabljanju in prenosu znanja v poklicih, povezanih s kulturno dediščino. Poročilo o odprti metodi delovne skupine za koordinacijo strokovnjakov iz držav članic</w:t>
            </w:r>
            <w:r w:rsidRPr="00B917FF">
              <w:rPr>
                <w:rStyle w:val="FootnoteReference"/>
                <w:rFonts w:asciiTheme="minorHAnsi" w:eastAsia="Calibri" w:hAnsiTheme="minorHAnsi" w:cstheme="minorHAnsi"/>
                <w:sz w:val="18"/>
                <w:szCs w:val="18"/>
                <w:lang w:val="en-GB"/>
              </w:rPr>
              <w:footnoteReference w:id="155"/>
            </w:r>
          </w:p>
          <w:p w14:paraId="7D3995DE" w14:textId="77777777" w:rsidR="00E03711" w:rsidRPr="004E4C36" w:rsidRDefault="00E03711" w:rsidP="005115F2">
            <w:pPr>
              <w:pStyle w:val="ListParagraph"/>
              <w:numPr>
                <w:ilvl w:val="0"/>
                <w:numId w:val="319"/>
              </w:numPr>
              <w:pBdr>
                <w:top w:val="nil"/>
                <w:left w:val="nil"/>
                <w:bottom w:val="nil"/>
                <w:right w:val="nil"/>
                <w:between w:val="nil"/>
                <w:bar w:val="nil"/>
              </w:pBdr>
              <w:autoSpaceDN/>
              <w:jc w:val="both"/>
              <w:textAlignment w:val="auto"/>
              <w:rPr>
                <w:rFonts w:asciiTheme="minorHAnsi" w:eastAsia="Calibri" w:hAnsiTheme="minorHAnsi" w:cstheme="minorHAnsi"/>
                <w:lang w:val="pt-PT"/>
              </w:rPr>
            </w:pPr>
            <w:r w:rsidRPr="004E4C36">
              <w:rPr>
                <w:rFonts w:asciiTheme="minorHAnsi" w:eastAsia="Calibri" w:hAnsiTheme="minorHAnsi" w:cstheme="minorHAnsi"/>
                <w:sz w:val="18"/>
                <w:szCs w:val="18"/>
                <w:lang w:val="pt-PT"/>
              </w:rPr>
              <w:t>Kompetence za dostop do poklica restavriranja in konzervacije</w:t>
            </w:r>
            <w:r w:rsidRPr="00393BE9">
              <w:rPr>
                <w:rStyle w:val="FootnoteReference"/>
                <w:rFonts w:asciiTheme="minorHAnsi" w:eastAsia="Calibri" w:hAnsiTheme="minorHAnsi" w:cstheme="minorHAnsi"/>
                <w:sz w:val="18"/>
                <w:szCs w:val="18"/>
                <w:lang w:val="en-GB"/>
              </w:rPr>
              <w:footnoteReference w:id="156"/>
            </w:r>
          </w:p>
          <w:p w14:paraId="7D3995DF" w14:textId="77777777" w:rsidR="00E03711" w:rsidRPr="004E4C36" w:rsidRDefault="00E03711" w:rsidP="007E5976">
            <w:pPr>
              <w:pStyle w:val="Guide-NormalBulletpoints"/>
              <w:rPr>
                <w:lang w:val="pt-PT"/>
              </w:rPr>
            </w:pPr>
            <w:r w:rsidRPr="004E4C36">
              <w:rPr>
                <w:rFonts w:eastAsia="Calibri" w:cs="Calibri"/>
                <w:vanish/>
                <w:bdr w:val="nil"/>
                <w:shd w:val="clear" w:color="auto" w:fill="auto"/>
                <w:lang w:val="pt-PT" w:eastAsia="zh-CN"/>
              </w:rPr>
              <w:t xml:space="preserve">  </w:t>
            </w:r>
          </w:p>
        </w:tc>
      </w:tr>
      <w:tr w:rsidR="00E03711" w:rsidRPr="00654F6A" w14:paraId="7D3995EF" w14:textId="77777777" w:rsidTr="00FC4A70">
        <w:trPr>
          <w:trHeight w:val="20"/>
        </w:trPr>
        <w:tc>
          <w:tcPr>
            <w:tcW w:w="2142" w:type="dxa"/>
            <w:tcBorders>
              <w:top w:val="single" w:sz="4" w:space="0" w:color="000000"/>
              <w:left w:val="single" w:sz="4" w:space="0" w:color="000000"/>
              <w:bottom w:val="single" w:sz="4" w:space="0" w:color="000000"/>
              <w:right w:val="single" w:sz="4" w:space="0" w:color="000000"/>
            </w:tcBorders>
            <w:vAlign w:val="center"/>
          </w:tcPr>
          <w:p w14:paraId="7D3995E1" w14:textId="77777777" w:rsidR="00E03711" w:rsidRPr="00F769E0" w:rsidRDefault="00E03711">
            <w:pPr>
              <w:pStyle w:val="GUIDE-NORMAL"/>
              <w:jc w:val="left"/>
              <w:rPr>
                <w:rFonts w:cs="Tahoma"/>
                <w:b/>
                <w:lang w:val="sl-SI" w:eastAsia="en-GB"/>
              </w:rPr>
            </w:pPr>
            <w:r>
              <w:rPr>
                <w:rFonts w:eastAsia="Calibri" w:cs="Calibri"/>
                <w:b/>
                <w:bCs/>
                <w:bdr w:val="nil"/>
                <w:lang w:val="sl-SI" w:eastAsia="en-GB"/>
              </w:rPr>
              <w:t>Kibernetska varnost</w:t>
            </w:r>
          </w:p>
        </w:tc>
        <w:tc>
          <w:tcPr>
            <w:tcW w:w="7148" w:type="dxa"/>
            <w:tcBorders>
              <w:top w:val="single" w:sz="4" w:space="0" w:color="000000"/>
              <w:left w:val="single" w:sz="4" w:space="0" w:color="000000"/>
              <w:bottom w:val="single" w:sz="4" w:space="0" w:color="000000"/>
              <w:right w:val="single" w:sz="4" w:space="0" w:color="000000"/>
            </w:tcBorders>
            <w:vAlign w:val="center"/>
          </w:tcPr>
          <w:p w14:paraId="7D3995E2" w14:textId="77777777" w:rsidR="00E03711" w:rsidRPr="00F769E0" w:rsidRDefault="00E03711" w:rsidP="00820837">
            <w:pPr>
              <w:pStyle w:val="GUIDE-NORMAL"/>
              <w:jc w:val="left"/>
              <w:rPr>
                <w:rFonts w:cs="Tahoma"/>
                <w:lang w:val="sl-SI" w:eastAsia="en-GB"/>
              </w:rPr>
            </w:pPr>
            <w:r w:rsidRPr="00F769E0">
              <w:rPr>
                <w:rFonts w:cs="Tahoma"/>
                <w:lang w:val="sl-SI" w:eastAsia="en-GB"/>
              </w:rPr>
              <w:t>Koalicija mora vključevati vsaj 2 naslednji področji:</w:t>
            </w:r>
          </w:p>
          <w:p w14:paraId="7D3995E3" w14:textId="77777777" w:rsidR="00E03711" w:rsidRPr="004E4C36" w:rsidRDefault="00E03711" w:rsidP="005115F2">
            <w:pPr>
              <w:pStyle w:val="ListParagraph"/>
              <w:numPr>
                <w:ilvl w:val="0"/>
                <w:numId w:val="267"/>
              </w:numPr>
              <w:ind w:left="634" w:hanging="425"/>
              <w:jc w:val="both"/>
              <w:textAlignment w:val="auto"/>
              <w:rPr>
                <w:rFonts w:asciiTheme="minorHAnsi" w:hAnsiTheme="minorHAnsi" w:cstheme="minorHAnsi"/>
                <w:bCs/>
                <w:sz w:val="18"/>
                <w:szCs w:val="18"/>
                <w:lang w:val="sl-SI"/>
              </w:rPr>
            </w:pPr>
            <w:r w:rsidRPr="004E4C36">
              <w:rPr>
                <w:rFonts w:asciiTheme="minorHAnsi" w:hAnsiTheme="minorHAnsi" w:cstheme="minorHAnsi"/>
                <w:bCs/>
                <w:sz w:val="18"/>
                <w:szCs w:val="18"/>
                <w:lang w:val="sl-SI"/>
              </w:rPr>
              <w:t xml:space="preserve">Spretnosti za razvijanje kibernetskih vadbišč, vaje za kibernetsko varnost, metodologije za delo z incidenti in odprtokodna orodja, metodologije ocenjevanja ranljivosti in odprtokodna orodja, odprtokodna orodja za testiranje prodora. </w:t>
            </w:r>
          </w:p>
          <w:p w14:paraId="7D3995E4" w14:textId="77777777" w:rsidR="00E03711" w:rsidRPr="004E4C36" w:rsidRDefault="00E03711" w:rsidP="005115F2">
            <w:pPr>
              <w:pStyle w:val="ListParagraph"/>
              <w:numPr>
                <w:ilvl w:val="0"/>
                <w:numId w:val="267"/>
              </w:numPr>
              <w:ind w:left="634" w:hanging="425"/>
              <w:jc w:val="both"/>
              <w:textAlignment w:val="auto"/>
              <w:rPr>
                <w:rFonts w:asciiTheme="minorHAnsi" w:hAnsiTheme="minorHAnsi" w:cstheme="minorHAnsi"/>
                <w:bCs/>
                <w:sz w:val="18"/>
                <w:szCs w:val="18"/>
                <w:lang w:val="sl-SI"/>
              </w:rPr>
            </w:pPr>
            <w:r w:rsidRPr="004E4C36">
              <w:rPr>
                <w:rFonts w:asciiTheme="minorHAnsi" w:hAnsiTheme="minorHAnsi" w:cstheme="minorHAnsi"/>
                <w:bCs/>
                <w:sz w:val="18"/>
                <w:szCs w:val="18"/>
                <w:lang w:val="sl-SI"/>
              </w:rPr>
              <w:t xml:space="preserve">Spretnosti za vzpostavitev fizičnih/virtualnih laboratorijev za kibernetsko varnost, z namenom omogočanja kibernetskih vadbišč. </w:t>
            </w:r>
          </w:p>
          <w:p w14:paraId="7D3995E5" w14:textId="77777777" w:rsidR="00E03711" w:rsidRPr="004E4C36" w:rsidRDefault="00E03711" w:rsidP="005115F2">
            <w:pPr>
              <w:pStyle w:val="ListParagraph"/>
              <w:numPr>
                <w:ilvl w:val="0"/>
                <w:numId w:val="267"/>
              </w:numPr>
              <w:ind w:left="634" w:hanging="425"/>
              <w:jc w:val="both"/>
              <w:textAlignment w:val="auto"/>
              <w:rPr>
                <w:rFonts w:asciiTheme="minorHAnsi" w:hAnsiTheme="minorHAnsi" w:cstheme="minorHAnsi"/>
                <w:bCs/>
                <w:sz w:val="18"/>
                <w:szCs w:val="18"/>
                <w:lang w:val="sl-SI"/>
              </w:rPr>
            </w:pPr>
            <w:r w:rsidRPr="004E4C36">
              <w:rPr>
                <w:rFonts w:asciiTheme="minorHAnsi" w:hAnsiTheme="minorHAnsi" w:cstheme="minorHAnsi"/>
                <w:bCs/>
                <w:sz w:val="18"/>
                <w:szCs w:val="18"/>
                <w:lang w:val="sl-SI"/>
              </w:rPr>
              <w:t xml:space="preserve">Spretnosti, potrebne za razvoj in uvedbo scenarijev kibernetske varnosti, testnih primerov, zahtev kibernetske varnosti, grožnje in ranljivosti v različnih kritično pomembnih sektorjih, npr. pri transportu, energetiki in industriji, ob upoštevanju potreb majhnih in srednje velikih podjetij (SME).  </w:t>
            </w:r>
          </w:p>
          <w:p w14:paraId="7D3995E6" w14:textId="77777777" w:rsidR="00E03711" w:rsidRPr="00F769E0" w:rsidRDefault="00E03711" w:rsidP="007E5976">
            <w:pPr>
              <w:pStyle w:val="GUIDE-NORMAL"/>
              <w:jc w:val="left"/>
              <w:rPr>
                <w:rFonts w:cs="Tahoma"/>
                <w:lang w:val="sl-SI" w:eastAsia="en-GB"/>
              </w:rPr>
            </w:pPr>
            <w:r w:rsidRPr="00F769E0">
              <w:rPr>
                <w:rFonts w:cs="Tahoma"/>
                <w:lang w:val="sl-SI" w:eastAsia="en-GB"/>
              </w:rPr>
              <w:t>Da se zagotovijo komplementarnost in sinergije, morajo biti aktivnosti skladne z obstoječimi dokazi za sektor, vključno z ukrepi in smernicami iz:</w:t>
            </w:r>
          </w:p>
          <w:p w14:paraId="7D3995E7" w14:textId="77777777" w:rsidR="00E03711" w:rsidRPr="00763A51" w:rsidRDefault="00E03711" w:rsidP="005115F2">
            <w:pPr>
              <w:pStyle w:val="ListParagraph"/>
              <w:numPr>
                <w:ilvl w:val="0"/>
                <w:numId w:val="265"/>
              </w:numPr>
              <w:suppressAutoHyphens w:val="0"/>
              <w:autoSpaceDN/>
              <w:jc w:val="both"/>
              <w:textAlignment w:val="auto"/>
              <w:rPr>
                <w:rFonts w:asciiTheme="minorHAnsi" w:hAnsiTheme="minorHAnsi" w:cstheme="minorHAnsi"/>
                <w:sz w:val="18"/>
                <w:szCs w:val="18"/>
              </w:rPr>
            </w:pPr>
            <w:r>
              <w:rPr>
                <w:rFonts w:asciiTheme="minorHAnsi" w:hAnsiTheme="minorHAnsi" w:cstheme="minorHAnsi"/>
                <w:bCs/>
                <w:sz w:val="18"/>
                <w:szCs w:val="18"/>
              </w:rPr>
              <w:t xml:space="preserve">Kibernetsko vadbišče </w:t>
            </w:r>
            <w:r w:rsidRPr="00763A51">
              <w:rPr>
                <w:rFonts w:asciiTheme="minorHAnsi" w:hAnsiTheme="minorHAnsi" w:cstheme="minorHAnsi"/>
                <w:bCs/>
                <w:sz w:val="18"/>
                <w:szCs w:val="18"/>
              </w:rPr>
              <w:t xml:space="preserve"> EU Europe Realistic Global Cyber Environnent</w:t>
            </w:r>
            <w:r>
              <w:rPr>
                <w:rStyle w:val="FootnoteReference"/>
                <w:rFonts w:asciiTheme="minorHAnsi" w:hAnsiTheme="minorHAnsi" w:cstheme="minorHAnsi"/>
                <w:bCs/>
                <w:sz w:val="18"/>
                <w:szCs w:val="18"/>
              </w:rPr>
              <w:footnoteReference w:id="157"/>
            </w:r>
          </w:p>
          <w:p w14:paraId="7D3995E8" w14:textId="77777777" w:rsidR="00E03711" w:rsidRPr="00393BE9" w:rsidRDefault="00E03711" w:rsidP="005115F2">
            <w:pPr>
              <w:pStyle w:val="ListParagraph"/>
              <w:numPr>
                <w:ilvl w:val="0"/>
                <w:numId w:val="265"/>
              </w:numPr>
              <w:suppressAutoHyphens w:val="0"/>
              <w:autoSpaceDN/>
              <w:jc w:val="both"/>
              <w:textAlignment w:val="auto"/>
              <w:rPr>
                <w:rFonts w:asciiTheme="minorHAnsi" w:hAnsiTheme="minorHAnsi" w:cstheme="minorHAnsi"/>
                <w:sz w:val="18"/>
                <w:szCs w:val="18"/>
                <w:lang w:val="en-GB"/>
              </w:rPr>
            </w:pPr>
            <w:r>
              <w:rPr>
                <w:rFonts w:asciiTheme="minorHAnsi" w:hAnsiTheme="minorHAnsi" w:cstheme="minorHAnsi"/>
                <w:bCs/>
                <w:sz w:val="18"/>
                <w:szCs w:val="18"/>
                <w:lang w:val="en-GB"/>
              </w:rPr>
              <w:t xml:space="preserve">Vaje </w:t>
            </w:r>
            <w:r w:rsidRPr="00393BE9">
              <w:rPr>
                <w:rFonts w:asciiTheme="minorHAnsi" w:hAnsiTheme="minorHAnsi" w:cstheme="minorHAnsi"/>
                <w:bCs/>
                <w:sz w:val="18"/>
                <w:szCs w:val="18"/>
                <w:lang w:val="en-GB"/>
              </w:rPr>
              <w:t>ENISA CyberEurope</w:t>
            </w:r>
            <w:r>
              <w:rPr>
                <w:rStyle w:val="FootnoteReference"/>
                <w:rFonts w:asciiTheme="minorHAnsi" w:hAnsiTheme="minorHAnsi" w:cstheme="minorHAnsi"/>
                <w:bCs/>
                <w:sz w:val="18"/>
                <w:szCs w:val="18"/>
                <w:lang w:val="en-GB"/>
              </w:rPr>
              <w:footnoteReference w:id="158"/>
            </w:r>
            <w:r w:rsidRPr="00393BE9">
              <w:rPr>
                <w:rFonts w:asciiTheme="minorHAnsi" w:hAnsiTheme="minorHAnsi" w:cstheme="minorHAnsi"/>
                <w:bCs/>
                <w:sz w:val="18"/>
                <w:szCs w:val="18"/>
                <w:lang w:val="en-GB"/>
              </w:rPr>
              <w:t xml:space="preserve"> </w:t>
            </w:r>
          </w:p>
          <w:p w14:paraId="7D3995E9" w14:textId="77777777" w:rsidR="00E03711" w:rsidRPr="002C560E" w:rsidRDefault="00E03711" w:rsidP="005115F2">
            <w:pPr>
              <w:pStyle w:val="ListParagraph"/>
              <w:numPr>
                <w:ilvl w:val="0"/>
                <w:numId w:val="265"/>
              </w:numPr>
              <w:suppressAutoHyphens w:val="0"/>
              <w:autoSpaceDN/>
              <w:jc w:val="both"/>
              <w:textAlignment w:val="auto"/>
              <w:rPr>
                <w:rFonts w:asciiTheme="minorHAnsi" w:hAnsiTheme="minorHAnsi" w:cstheme="minorHAnsi"/>
                <w:sz w:val="18"/>
                <w:szCs w:val="18"/>
                <w:lang w:val="en-GB"/>
              </w:rPr>
            </w:pPr>
            <w:r w:rsidRPr="002C560E">
              <w:rPr>
                <w:rFonts w:asciiTheme="minorHAnsi" w:hAnsiTheme="minorHAnsi" w:cstheme="minorHAnsi"/>
                <w:bCs/>
                <w:sz w:val="18"/>
                <w:szCs w:val="18"/>
                <w:lang w:val="en-GB"/>
              </w:rPr>
              <w:t>Projekti Horizon2020: npr. Cyberwiser</w:t>
            </w:r>
            <w:r>
              <w:rPr>
                <w:rStyle w:val="FootnoteReference"/>
                <w:rFonts w:asciiTheme="minorHAnsi" w:hAnsiTheme="minorHAnsi" w:cstheme="minorHAnsi"/>
                <w:bCs/>
                <w:sz w:val="18"/>
                <w:szCs w:val="18"/>
                <w:lang w:val="en-GB"/>
              </w:rPr>
              <w:footnoteReference w:id="159"/>
            </w:r>
            <w:r w:rsidRPr="002C560E">
              <w:rPr>
                <w:rFonts w:asciiTheme="minorHAnsi" w:hAnsiTheme="minorHAnsi" w:cstheme="minorHAnsi"/>
                <w:bCs/>
                <w:sz w:val="18"/>
                <w:szCs w:val="18"/>
                <w:lang w:val="en-GB"/>
              </w:rPr>
              <w:t>, štirje pilotni projekti</w:t>
            </w:r>
            <w:r>
              <w:rPr>
                <w:rStyle w:val="FootnoteReference"/>
                <w:rFonts w:asciiTheme="minorHAnsi" w:hAnsiTheme="minorHAnsi" w:cstheme="minorHAnsi"/>
                <w:bCs/>
                <w:sz w:val="18"/>
                <w:szCs w:val="18"/>
                <w:lang w:val="en-GB"/>
              </w:rPr>
              <w:footnoteReference w:id="160"/>
            </w:r>
            <w:r w:rsidRPr="002C560E">
              <w:rPr>
                <w:rFonts w:asciiTheme="minorHAnsi" w:hAnsiTheme="minorHAnsi" w:cstheme="minorHAnsi"/>
                <w:bCs/>
                <w:sz w:val="18"/>
                <w:szCs w:val="18"/>
                <w:lang w:val="en-GB"/>
              </w:rPr>
              <w:t xml:space="preserve"> (ECHO, SPARTA, CyberSec4Europe, CONCORDIA) </w:t>
            </w:r>
          </w:p>
          <w:p w14:paraId="7D3995EA" w14:textId="77777777" w:rsidR="00E03711" w:rsidRPr="002C560E" w:rsidRDefault="00E03711" w:rsidP="005115F2">
            <w:pPr>
              <w:pStyle w:val="ListParagraph"/>
              <w:numPr>
                <w:ilvl w:val="0"/>
                <w:numId w:val="265"/>
              </w:numPr>
              <w:suppressAutoHyphens w:val="0"/>
              <w:autoSpaceDN/>
              <w:jc w:val="both"/>
              <w:textAlignment w:val="auto"/>
              <w:rPr>
                <w:rFonts w:asciiTheme="minorHAnsi" w:hAnsiTheme="minorHAnsi" w:cstheme="minorHAnsi"/>
                <w:sz w:val="18"/>
                <w:szCs w:val="18"/>
                <w:lang w:val="it-IT"/>
              </w:rPr>
            </w:pPr>
            <w:r w:rsidRPr="002C560E">
              <w:rPr>
                <w:rFonts w:asciiTheme="minorHAnsi" w:eastAsia="Times New Roman" w:hAnsiTheme="minorHAnsi" w:cstheme="minorHAnsi"/>
                <w:bCs/>
                <w:sz w:val="18"/>
                <w:szCs w:val="18"/>
                <w:lang w:val="it-IT" w:eastAsia="en-GB"/>
              </w:rPr>
              <w:t>Koalicija za digitalne spretnosti in zaposlitve</w:t>
            </w:r>
            <w:r w:rsidRPr="00393BE9">
              <w:rPr>
                <w:rStyle w:val="FootnoteReference"/>
                <w:rFonts w:asciiTheme="minorHAnsi" w:eastAsia="Times New Roman" w:hAnsiTheme="minorHAnsi" w:cstheme="minorHAnsi"/>
                <w:bCs/>
                <w:sz w:val="18"/>
                <w:szCs w:val="18"/>
                <w:lang w:val="en-GB" w:eastAsia="en-GB"/>
              </w:rPr>
              <w:footnoteReference w:id="161"/>
            </w:r>
          </w:p>
          <w:p w14:paraId="7D3995EB" w14:textId="77777777" w:rsidR="00E03711" w:rsidRPr="00860232" w:rsidRDefault="00E03711" w:rsidP="005115F2">
            <w:pPr>
              <w:pStyle w:val="ListParagraph"/>
              <w:numPr>
                <w:ilvl w:val="0"/>
                <w:numId w:val="265"/>
              </w:numPr>
              <w:suppressAutoHyphens w:val="0"/>
              <w:autoSpaceDN/>
              <w:jc w:val="both"/>
              <w:textAlignment w:val="auto"/>
              <w:rPr>
                <w:rFonts w:asciiTheme="minorHAnsi" w:hAnsiTheme="minorHAnsi" w:cstheme="minorHAnsi"/>
                <w:sz w:val="18"/>
                <w:szCs w:val="18"/>
                <w:lang w:val="en-GB"/>
              </w:rPr>
            </w:pPr>
            <w:r w:rsidRPr="00393BE9">
              <w:rPr>
                <w:rFonts w:asciiTheme="minorHAnsi" w:eastAsia="Times New Roman" w:hAnsiTheme="minorHAnsi" w:cstheme="minorHAnsi"/>
                <w:bCs/>
                <w:sz w:val="18"/>
                <w:szCs w:val="18"/>
                <w:lang w:val="en-GB" w:eastAsia="en-GB"/>
              </w:rPr>
              <w:t>Certification Act</w:t>
            </w:r>
            <w:r>
              <w:rPr>
                <w:rStyle w:val="FootnoteReference"/>
                <w:rFonts w:asciiTheme="minorHAnsi" w:eastAsia="Times New Roman" w:hAnsiTheme="minorHAnsi" w:cstheme="minorHAnsi"/>
                <w:bCs/>
                <w:sz w:val="18"/>
                <w:szCs w:val="18"/>
                <w:lang w:val="en-GB" w:eastAsia="en-GB"/>
              </w:rPr>
              <w:footnoteReference w:id="162"/>
            </w:r>
            <w:r w:rsidRPr="00393BE9">
              <w:rPr>
                <w:rFonts w:asciiTheme="minorHAnsi" w:eastAsia="Times New Roman" w:hAnsiTheme="minorHAnsi" w:cstheme="minorHAnsi"/>
                <w:bCs/>
                <w:sz w:val="18"/>
                <w:szCs w:val="18"/>
                <w:lang w:val="en-GB" w:eastAsia="en-GB"/>
              </w:rPr>
              <w:t xml:space="preserve">, </w:t>
            </w:r>
            <w:r>
              <w:rPr>
                <w:rFonts w:asciiTheme="minorHAnsi" w:eastAsia="Times New Roman" w:hAnsiTheme="minorHAnsi" w:cstheme="minorHAnsi"/>
                <w:bCs/>
                <w:sz w:val="18"/>
                <w:szCs w:val="18"/>
                <w:lang w:val="en-GB" w:eastAsia="en-GB"/>
              </w:rPr>
              <w:t xml:space="preserve">Direktiva </w:t>
            </w:r>
            <w:r w:rsidRPr="00393BE9">
              <w:rPr>
                <w:rFonts w:asciiTheme="minorHAnsi" w:eastAsia="Times New Roman" w:hAnsiTheme="minorHAnsi" w:cstheme="minorHAnsi"/>
                <w:bCs/>
                <w:sz w:val="18"/>
                <w:szCs w:val="18"/>
                <w:lang w:val="en-GB" w:eastAsia="en-GB"/>
              </w:rPr>
              <w:t>NIS</w:t>
            </w:r>
            <w:r>
              <w:rPr>
                <w:rStyle w:val="FootnoteReference"/>
                <w:rFonts w:asciiTheme="minorHAnsi" w:eastAsia="Times New Roman" w:hAnsiTheme="minorHAnsi" w:cstheme="minorHAnsi"/>
                <w:bCs/>
                <w:sz w:val="18"/>
                <w:szCs w:val="18"/>
                <w:lang w:val="en-GB" w:eastAsia="en-GB"/>
              </w:rPr>
              <w:footnoteReference w:id="163"/>
            </w:r>
            <w:r w:rsidRPr="00393BE9">
              <w:rPr>
                <w:rFonts w:asciiTheme="minorHAnsi" w:eastAsia="Times New Roman" w:hAnsiTheme="minorHAnsi" w:cstheme="minorHAnsi"/>
                <w:bCs/>
                <w:sz w:val="18"/>
                <w:szCs w:val="18"/>
                <w:lang w:val="en-GB" w:eastAsia="en-GB"/>
              </w:rPr>
              <w:t>, GDPR</w:t>
            </w:r>
            <w:r>
              <w:rPr>
                <w:rStyle w:val="FootnoteReference"/>
                <w:rFonts w:asciiTheme="minorHAnsi" w:eastAsia="Times New Roman" w:hAnsiTheme="minorHAnsi" w:cstheme="minorHAnsi"/>
                <w:bCs/>
                <w:sz w:val="18"/>
                <w:szCs w:val="18"/>
                <w:lang w:val="en-GB" w:eastAsia="en-GB"/>
              </w:rPr>
              <w:footnoteReference w:id="164"/>
            </w:r>
          </w:p>
          <w:p w14:paraId="7D3995EC" w14:textId="77777777" w:rsidR="00E03711" w:rsidRPr="00654F6A" w:rsidRDefault="00E03711" w:rsidP="005115F2">
            <w:pPr>
              <w:pStyle w:val="ListParagraph"/>
              <w:numPr>
                <w:ilvl w:val="0"/>
                <w:numId w:val="265"/>
              </w:numPr>
              <w:suppressAutoHyphens w:val="0"/>
              <w:autoSpaceDN/>
              <w:jc w:val="both"/>
              <w:textAlignment w:val="auto"/>
              <w:rPr>
                <w:rFonts w:asciiTheme="minorHAnsi" w:hAnsiTheme="minorHAnsi" w:cstheme="minorHAnsi"/>
                <w:sz w:val="18"/>
                <w:szCs w:val="18"/>
                <w:lang w:val="es-ES"/>
              </w:rPr>
            </w:pPr>
            <w:r w:rsidRPr="00654F6A">
              <w:rPr>
                <w:rFonts w:asciiTheme="minorHAnsi" w:eastAsia="Times New Roman" w:hAnsiTheme="minorHAnsi" w:cstheme="minorHAnsi"/>
                <w:bCs/>
                <w:sz w:val="18"/>
                <w:szCs w:val="18"/>
                <w:lang w:val="es-ES" w:eastAsia="en-GB"/>
              </w:rPr>
              <w:t xml:space="preserve">Evropski odbor za standardizacijo (CEN) </w:t>
            </w:r>
            <w:r>
              <w:rPr>
                <w:rStyle w:val="FootnoteReference"/>
                <w:rFonts w:asciiTheme="minorHAnsi" w:eastAsia="Times New Roman" w:hAnsiTheme="minorHAnsi" w:cstheme="minorHAnsi"/>
                <w:bCs/>
                <w:sz w:val="18"/>
                <w:szCs w:val="18"/>
                <w:lang w:val="en-GB" w:eastAsia="en-GB"/>
              </w:rPr>
              <w:footnoteReference w:id="165"/>
            </w:r>
          </w:p>
          <w:p w14:paraId="7D3995ED" w14:textId="77777777" w:rsidR="00E03711" w:rsidRPr="004E4C36" w:rsidRDefault="00E03711" w:rsidP="005115F2">
            <w:pPr>
              <w:pStyle w:val="ListParagraph"/>
              <w:numPr>
                <w:ilvl w:val="0"/>
                <w:numId w:val="265"/>
              </w:numPr>
              <w:suppressAutoHyphens w:val="0"/>
              <w:autoSpaceDN/>
              <w:jc w:val="both"/>
              <w:textAlignment w:val="auto"/>
              <w:rPr>
                <w:rFonts w:asciiTheme="minorHAnsi" w:hAnsiTheme="minorHAnsi" w:cstheme="minorHAnsi"/>
                <w:sz w:val="18"/>
                <w:szCs w:val="18"/>
                <w:lang w:val="es-ES"/>
              </w:rPr>
            </w:pPr>
            <w:r w:rsidRPr="004E4C36">
              <w:rPr>
                <w:rFonts w:asciiTheme="minorHAnsi" w:eastAsia="Times New Roman" w:hAnsiTheme="minorHAnsi" w:cstheme="minorHAnsi"/>
                <w:bCs/>
                <w:sz w:val="18"/>
                <w:szCs w:val="18"/>
                <w:lang w:val="es-ES" w:eastAsia="en-GB"/>
              </w:rPr>
              <w:t>Program Napredne digitalne spretnosti v digitalni Evropi (2021-2027)</w:t>
            </w:r>
            <w:r>
              <w:rPr>
                <w:rStyle w:val="FootnoteReference"/>
                <w:rFonts w:asciiTheme="minorHAnsi" w:eastAsia="Times New Roman" w:hAnsiTheme="minorHAnsi" w:cstheme="minorHAnsi"/>
                <w:bCs/>
                <w:sz w:val="18"/>
                <w:szCs w:val="18"/>
                <w:lang w:val="en-GB" w:eastAsia="en-GB"/>
              </w:rPr>
              <w:footnoteReference w:id="166"/>
            </w:r>
          </w:p>
          <w:p w14:paraId="7D3995EE" w14:textId="77777777" w:rsidR="00E03711" w:rsidRPr="004E4C36" w:rsidRDefault="00E03711" w:rsidP="000503EB">
            <w:pPr>
              <w:pStyle w:val="Guide-NormalBulletpoints"/>
              <w:rPr>
                <w:lang w:val="es-ES"/>
              </w:rPr>
            </w:pPr>
          </w:p>
        </w:tc>
      </w:tr>
      <w:tr w:rsidR="00E03711" w:rsidRPr="00C60205" w14:paraId="7D3995FB" w14:textId="77777777" w:rsidTr="00FC4A70">
        <w:trPr>
          <w:trHeight w:val="20"/>
        </w:trPr>
        <w:tc>
          <w:tcPr>
            <w:tcW w:w="2142" w:type="dxa"/>
            <w:tcBorders>
              <w:top w:val="single" w:sz="4" w:space="0" w:color="000000"/>
              <w:left w:val="single" w:sz="4" w:space="0" w:color="000000"/>
              <w:right w:val="single" w:sz="4" w:space="0" w:color="000000"/>
            </w:tcBorders>
            <w:vAlign w:val="center"/>
          </w:tcPr>
          <w:p w14:paraId="7D3995F0" w14:textId="77777777" w:rsidR="00E03711" w:rsidRPr="00C35DD5" w:rsidRDefault="00E03711" w:rsidP="00820837">
            <w:pPr>
              <w:pStyle w:val="GUIDE-NORMAL"/>
              <w:jc w:val="left"/>
              <w:rPr>
                <w:rFonts w:cs="Tahoma"/>
                <w:b/>
                <w:bCs/>
                <w:lang w:val="sl-SI" w:eastAsia="en-GB"/>
              </w:rPr>
            </w:pPr>
            <w:r w:rsidRPr="004E4C36">
              <w:rPr>
                <w:rFonts w:cs="Tahoma"/>
                <w:b/>
                <w:bCs/>
                <w:lang w:val="it-IT" w:eastAsia="en-GB"/>
              </w:rPr>
              <w:t>Panoga dobave po železnici in transporta</w:t>
            </w:r>
          </w:p>
        </w:tc>
        <w:tc>
          <w:tcPr>
            <w:tcW w:w="7148" w:type="dxa"/>
            <w:tcBorders>
              <w:top w:val="single" w:sz="4" w:space="0" w:color="000000"/>
              <w:left w:val="single" w:sz="4" w:space="0" w:color="000000"/>
              <w:right w:val="single" w:sz="4" w:space="0" w:color="000000"/>
            </w:tcBorders>
            <w:vAlign w:val="center"/>
          </w:tcPr>
          <w:p w14:paraId="7D3995F1" w14:textId="77777777" w:rsidR="00E03711" w:rsidRPr="00F769E0" w:rsidRDefault="00E03711" w:rsidP="00820837">
            <w:pPr>
              <w:pStyle w:val="GUIDE-NORMAL"/>
              <w:jc w:val="left"/>
              <w:rPr>
                <w:rFonts w:cs="Tahoma"/>
                <w:lang w:val="sl-SI" w:eastAsia="en-GB"/>
              </w:rPr>
            </w:pPr>
            <w:r w:rsidRPr="00F769E0">
              <w:rPr>
                <w:rFonts w:cs="Tahoma"/>
                <w:lang w:val="sl-SI" w:eastAsia="en-GB"/>
              </w:rPr>
              <w:t>Koalicija mora vključevati vsaj 2 naslednji področji:</w:t>
            </w:r>
          </w:p>
          <w:p w14:paraId="7D3995F2" w14:textId="77777777" w:rsidR="00E03711" w:rsidRDefault="00E03711" w:rsidP="005115F2">
            <w:pPr>
              <w:pStyle w:val="Guide-NormalBulletpoints"/>
              <w:numPr>
                <w:ilvl w:val="0"/>
                <w:numId w:val="303"/>
              </w:numPr>
              <w:rPr>
                <w:rFonts w:eastAsia="Calibri"/>
                <w:bdr w:val="nil"/>
                <w:shd w:val="clear" w:color="auto" w:fill="auto"/>
                <w:lang w:val="sl-SI"/>
              </w:rPr>
            </w:pPr>
            <w:r>
              <w:rPr>
                <w:rFonts w:eastAsia="Calibri"/>
                <w:bdr w:val="nil"/>
                <w:shd w:val="clear" w:color="auto" w:fill="auto"/>
                <w:lang w:val="sl-SI"/>
              </w:rPr>
              <w:t>Tehnične in inženirske spretnosti, potrebne za proizvodnjo železniških izdelkov.</w:t>
            </w:r>
          </w:p>
          <w:p w14:paraId="7D3995F3" w14:textId="77777777" w:rsidR="00E03711" w:rsidRDefault="00E03711" w:rsidP="005115F2">
            <w:pPr>
              <w:pStyle w:val="Guide-NormalBulletpoints"/>
              <w:numPr>
                <w:ilvl w:val="0"/>
                <w:numId w:val="303"/>
              </w:numPr>
              <w:rPr>
                <w:rFonts w:eastAsia="Calibri"/>
                <w:bdr w:val="nil"/>
                <w:shd w:val="clear" w:color="auto" w:fill="auto"/>
                <w:lang w:val="sl-SI"/>
              </w:rPr>
            </w:pPr>
            <w:r>
              <w:rPr>
                <w:rFonts w:eastAsia="Calibri"/>
                <w:bdr w:val="nil"/>
                <w:shd w:val="clear" w:color="auto" w:fill="auto"/>
                <w:lang w:val="sl-SI"/>
              </w:rPr>
              <w:t>Tehnične in inženirske spretnosti, potrebne za delovanje in vzdrževanje železniških izdelkov.</w:t>
            </w:r>
          </w:p>
          <w:p w14:paraId="7D3995F4" w14:textId="77777777" w:rsidR="00E03711" w:rsidRDefault="00E03711" w:rsidP="005115F2">
            <w:pPr>
              <w:pStyle w:val="Guide-NormalBulletpoints"/>
              <w:numPr>
                <w:ilvl w:val="0"/>
                <w:numId w:val="303"/>
              </w:numPr>
              <w:rPr>
                <w:rFonts w:eastAsia="Calibri"/>
                <w:bdr w:val="nil"/>
                <w:shd w:val="clear" w:color="auto" w:fill="auto"/>
                <w:lang w:val="sl-SI"/>
              </w:rPr>
            </w:pPr>
            <w:r>
              <w:rPr>
                <w:rFonts w:eastAsia="Calibri"/>
                <w:bdr w:val="nil"/>
                <w:shd w:val="clear" w:color="auto" w:fill="auto"/>
                <w:lang w:val="sl-SI"/>
              </w:rPr>
              <w:t xml:space="preserve">Spretnosti na področju IKT, povezane z uporabo digitalnih tehnologij pri proizvodnji železniških izdelkov in digitalizaciji železniškega prevoza (na primer internet stvari, analitika (velikih) podatkov in kibernetska varnost). </w:t>
            </w:r>
          </w:p>
          <w:p w14:paraId="7D3995F5" w14:textId="77777777" w:rsidR="00E03711" w:rsidRPr="00F769E0" w:rsidRDefault="00E03711" w:rsidP="00820837">
            <w:pPr>
              <w:pStyle w:val="GUIDE-NORMAL"/>
              <w:jc w:val="left"/>
              <w:rPr>
                <w:rFonts w:cs="Tahoma"/>
                <w:lang w:val="sl-SI" w:eastAsia="en-GB"/>
              </w:rPr>
            </w:pPr>
            <w:r w:rsidRPr="00F769E0">
              <w:rPr>
                <w:rFonts w:cs="Tahoma"/>
                <w:lang w:val="sl-SI" w:eastAsia="en-GB"/>
              </w:rPr>
              <w:t>Da se zagotovijo komplementarnost in sinergije, morajo biti aktivnosti skladne z obstoječimi dokazi za sektor, vključno z ukrepi in smernicami iz:</w:t>
            </w:r>
          </w:p>
          <w:p w14:paraId="7D3995F6" w14:textId="77777777" w:rsidR="00E03711" w:rsidRPr="00393BE9" w:rsidRDefault="00E03711" w:rsidP="005115F2">
            <w:pPr>
              <w:pStyle w:val="ListParagraph"/>
              <w:numPr>
                <w:ilvl w:val="0"/>
                <w:numId w:val="265"/>
              </w:numPr>
              <w:jc w:val="both"/>
              <w:textAlignment w:val="auto"/>
              <w:rPr>
                <w:rFonts w:asciiTheme="minorHAnsi" w:eastAsia="Times New Roman" w:hAnsiTheme="minorHAnsi" w:cstheme="minorHAnsi"/>
                <w:bCs/>
                <w:sz w:val="18"/>
                <w:szCs w:val="18"/>
                <w:lang w:val="en-GB" w:eastAsia="en-GB"/>
              </w:rPr>
            </w:pPr>
            <w:r>
              <w:rPr>
                <w:rFonts w:asciiTheme="minorHAnsi" w:eastAsia="Times New Roman" w:hAnsiTheme="minorHAnsi" w:cstheme="minorHAnsi"/>
                <w:bCs/>
                <w:sz w:val="18"/>
                <w:szCs w:val="18"/>
                <w:lang w:val="en-GB" w:eastAsia="en-GB"/>
              </w:rPr>
              <w:t xml:space="preserve">Sporočilo Komisije </w:t>
            </w:r>
            <w:r w:rsidRPr="00393BE9">
              <w:rPr>
                <w:rFonts w:asciiTheme="minorHAnsi" w:eastAsia="Times New Roman" w:hAnsiTheme="minorHAnsi" w:cstheme="minorHAnsi"/>
                <w:bCs/>
                <w:sz w:val="18"/>
                <w:szCs w:val="18"/>
                <w:lang w:val="en-GB" w:eastAsia="en-GB"/>
              </w:rPr>
              <w:t>‘Europe on the Move - An agenda for a socially fair transition towards clean, competitive and connected mobility for all’</w:t>
            </w:r>
            <w:r w:rsidRPr="00393BE9">
              <w:rPr>
                <w:rStyle w:val="FootnoteReference"/>
                <w:rFonts w:asciiTheme="minorHAnsi" w:eastAsia="Times New Roman" w:hAnsiTheme="minorHAnsi" w:cstheme="minorHAnsi"/>
                <w:bCs/>
                <w:sz w:val="18"/>
                <w:szCs w:val="18"/>
                <w:lang w:val="en-GB" w:eastAsia="en-GB"/>
              </w:rPr>
              <w:footnoteReference w:id="167"/>
            </w:r>
            <w:r w:rsidRPr="00393BE9">
              <w:rPr>
                <w:rFonts w:asciiTheme="minorHAnsi" w:eastAsia="Times New Roman" w:hAnsiTheme="minorHAnsi" w:cstheme="minorHAnsi"/>
                <w:bCs/>
                <w:sz w:val="18"/>
                <w:szCs w:val="18"/>
                <w:lang w:val="en-GB" w:eastAsia="en-GB"/>
              </w:rPr>
              <w:t xml:space="preserve"> </w:t>
            </w:r>
          </w:p>
          <w:p w14:paraId="7D3995F7" w14:textId="77777777" w:rsidR="00E03711" w:rsidRPr="00393BE9" w:rsidRDefault="00E03711" w:rsidP="005115F2">
            <w:pPr>
              <w:pStyle w:val="ListParagraph"/>
              <w:numPr>
                <w:ilvl w:val="0"/>
                <w:numId w:val="265"/>
              </w:numPr>
              <w:jc w:val="both"/>
              <w:textAlignment w:val="auto"/>
              <w:rPr>
                <w:rFonts w:asciiTheme="minorHAnsi" w:eastAsia="Times New Roman" w:hAnsiTheme="minorHAnsi" w:cstheme="minorHAnsi"/>
                <w:bCs/>
                <w:sz w:val="18"/>
                <w:szCs w:val="18"/>
                <w:lang w:val="en-GB" w:eastAsia="en-GB"/>
              </w:rPr>
            </w:pPr>
            <w:r>
              <w:rPr>
                <w:rFonts w:asciiTheme="minorHAnsi" w:eastAsia="Times New Roman" w:hAnsiTheme="minorHAnsi" w:cstheme="minorHAnsi"/>
                <w:bCs/>
                <w:sz w:val="18"/>
                <w:szCs w:val="18"/>
                <w:lang w:val="en-GB" w:eastAsia="en-GB"/>
              </w:rPr>
              <w:t>Končno poročilo strokovne skupine Komisije o konkurenčnosti panoge dobave po železnici</w:t>
            </w:r>
          </w:p>
          <w:p w14:paraId="7D3995F8" w14:textId="77777777" w:rsidR="00E03711" w:rsidRPr="002C560E" w:rsidRDefault="00E03711" w:rsidP="005115F2">
            <w:pPr>
              <w:pStyle w:val="ListParagraph"/>
              <w:numPr>
                <w:ilvl w:val="0"/>
                <w:numId w:val="268"/>
              </w:numPr>
              <w:textAlignment w:val="auto"/>
              <w:rPr>
                <w:rFonts w:asciiTheme="minorHAnsi" w:hAnsiTheme="minorHAnsi" w:cstheme="minorHAnsi"/>
                <w:sz w:val="18"/>
                <w:szCs w:val="18"/>
                <w:lang w:val="it-IT"/>
              </w:rPr>
            </w:pPr>
            <w:r w:rsidRPr="002C560E">
              <w:rPr>
                <w:rFonts w:asciiTheme="minorHAnsi" w:hAnsiTheme="minorHAnsi" w:cstheme="minorHAnsi"/>
                <w:sz w:val="18"/>
                <w:szCs w:val="18"/>
                <w:lang w:val="it-IT"/>
              </w:rPr>
              <w:t>Sklep Evropskega parlamenta o konkurenčnosti RSI (2016)</w:t>
            </w:r>
            <w:r w:rsidRPr="00393BE9">
              <w:rPr>
                <w:rStyle w:val="FootnoteReference"/>
                <w:rFonts w:asciiTheme="minorHAnsi" w:hAnsiTheme="minorHAnsi" w:cstheme="minorHAnsi"/>
                <w:sz w:val="18"/>
                <w:szCs w:val="18"/>
                <w:lang w:val="en-GB"/>
              </w:rPr>
              <w:footnoteReference w:id="168"/>
            </w:r>
            <w:r w:rsidRPr="002C560E">
              <w:rPr>
                <w:rFonts w:asciiTheme="minorHAnsi" w:hAnsiTheme="minorHAnsi" w:cstheme="minorHAnsi"/>
                <w:sz w:val="18"/>
                <w:szCs w:val="18"/>
                <w:lang w:val="it-IT"/>
              </w:rPr>
              <w:t xml:space="preserve"> </w:t>
            </w:r>
          </w:p>
          <w:p w14:paraId="7D3995F9" w14:textId="77777777" w:rsidR="00E03711" w:rsidRPr="00C1426B" w:rsidRDefault="00E03711" w:rsidP="005115F2">
            <w:pPr>
              <w:pStyle w:val="ListParagraph"/>
              <w:numPr>
                <w:ilvl w:val="0"/>
                <w:numId w:val="268"/>
              </w:numPr>
              <w:textAlignment w:val="auto"/>
              <w:rPr>
                <w:rFonts w:asciiTheme="minorHAnsi" w:hAnsiTheme="minorHAnsi" w:cstheme="minorHAnsi"/>
                <w:sz w:val="18"/>
                <w:szCs w:val="18"/>
                <w:lang w:val="it-IT"/>
              </w:rPr>
            </w:pPr>
            <w:r w:rsidRPr="00C1426B">
              <w:rPr>
                <w:rFonts w:asciiTheme="minorHAnsi" w:hAnsiTheme="minorHAnsi" w:cstheme="minorHAnsi"/>
                <w:sz w:val="18"/>
                <w:szCs w:val="18"/>
                <w:lang w:val="it-IT"/>
              </w:rPr>
              <w:t>Študija CCA – človeški kapital (Shift2Rail JU 2019)</w:t>
            </w:r>
          </w:p>
          <w:p w14:paraId="7D3995FA" w14:textId="77777777" w:rsidR="00E03711" w:rsidRPr="00C1426B" w:rsidRDefault="00E03711" w:rsidP="005C25FF">
            <w:pPr>
              <w:pStyle w:val="Guide-NormalBulletpoints"/>
              <w:rPr>
                <w:lang w:val="it-IT"/>
              </w:rPr>
            </w:pPr>
            <w:r w:rsidRPr="00C1426B">
              <w:rPr>
                <w:rFonts w:eastAsia="Calibri"/>
                <w:bdr w:val="nil"/>
                <w:shd w:val="clear" w:color="auto" w:fill="auto"/>
                <w:lang w:val="it-IT"/>
              </w:rPr>
              <w:t xml:space="preserve"> </w:t>
            </w:r>
          </w:p>
        </w:tc>
      </w:tr>
      <w:tr w:rsidR="00E03711" w:rsidRPr="00C60205" w14:paraId="7D39960F" w14:textId="77777777" w:rsidTr="00FC4A70">
        <w:trPr>
          <w:trHeight w:val="20"/>
        </w:trPr>
        <w:tc>
          <w:tcPr>
            <w:tcW w:w="2142" w:type="dxa"/>
            <w:tcBorders>
              <w:top w:val="single" w:sz="4" w:space="0" w:color="000000"/>
              <w:left w:val="single" w:sz="4" w:space="0" w:color="000000"/>
              <w:right w:val="single" w:sz="4" w:space="0" w:color="000000"/>
            </w:tcBorders>
            <w:vAlign w:val="center"/>
          </w:tcPr>
          <w:p w14:paraId="7D3995FC" w14:textId="77777777" w:rsidR="00E03711" w:rsidRPr="00F769E0" w:rsidRDefault="00E03711" w:rsidP="00820837">
            <w:pPr>
              <w:pStyle w:val="GUIDE-NORMAL"/>
              <w:jc w:val="left"/>
              <w:rPr>
                <w:rFonts w:cs="Tahoma"/>
                <w:b/>
                <w:lang w:val="sl-SI" w:eastAsia="en-GB"/>
              </w:rPr>
            </w:pPr>
            <w:r>
              <w:rPr>
                <w:rFonts w:eastAsia="Calibri" w:cs="Calibri"/>
                <w:b/>
                <w:bCs/>
                <w:bdr w:val="nil"/>
                <w:lang w:val="sl-SI" w:eastAsia="en-GB"/>
              </w:rPr>
              <w:t>Socialna podjetja z integracijo dela</w:t>
            </w:r>
          </w:p>
        </w:tc>
        <w:tc>
          <w:tcPr>
            <w:tcW w:w="7148" w:type="dxa"/>
            <w:tcBorders>
              <w:top w:val="single" w:sz="4" w:space="0" w:color="000000"/>
              <w:left w:val="single" w:sz="4" w:space="0" w:color="000000"/>
              <w:right w:val="single" w:sz="4" w:space="0" w:color="000000"/>
            </w:tcBorders>
            <w:vAlign w:val="center"/>
          </w:tcPr>
          <w:p w14:paraId="7D3995FD" w14:textId="77777777" w:rsidR="00E03711" w:rsidRPr="00F769E0" w:rsidRDefault="00E03711" w:rsidP="00820837">
            <w:pPr>
              <w:pStyle w:val="GUIDE-NORMAL"/>
              <w:jc w:val="left"/>
              <w:rPr>
                <w:rFonts w:cs="Tahoma"/>
                <w:lang w:val="sl-SI" w:eastAsia="en-GB"/>
              </w:rPr>
            </w:pPr>
            <w:r w:rsidRPr="00F769E0">
              <w:rPr>
                <w:rFonts w:cs="Tahoma"/>
                <w:lang w:val="sl-SI" w:eastAsia="en-GB"/>
              </w:rPr>
              <w:t>Koalicija mora vključevati vsaj naslednj</w:t>
            </w:r>
            <w:r>
              <w:rPr>
                <w:rFonts w:cs="Tahoma"/>
                <w:lang w:val="sl-SI" w:eastAsia="en-GB"/>
              </w:rPr>
              <w:t>a</w:t>
            </w:r>
            <w:r w:rsidRPr="00F769E0">
              <w:rPr>
                <w:rFonts w:cs="Tahoma"/>
                <w:lang w:val="sl-SI" w:eastAsia="en-GB"/>
              </w:rPr>
              <w:t xml:space="preserve"> področj</w:t>
            </w:r>
            <w:r>
              <w:rPr>
                <w:rFonts w:cs="Tahoma"/>
                <w:lang w:val="sl-SI" w:eastAsia="en-GB"/>
              </w:rPr>
              <w:t>a</w:t>
            </w:r>
            <w:r w:rsidRPr="00F769E0">
              <w:rPr>
                <w:rFonts w:cs="Tahoma"/>
                <w:lang w:val="sl-SI" w:eastAsia="en-GB"/>
              </w:rPr>
              <w:t>:</w:t>
            </w:r>
          </w:p>
          <w:p w14:paraId="7D3995FE" w14:textId="77777777" w:rsidR="00E03711" w:rsidRDefault="00E03711" w:rsidP="005115F2">
            <w:pPr>
              <w:pStyle w:val="GUIDE-NORMAL"/>
              <w:numPr>
                <w:ilvl w:val="0"/>
                <w:numId w:val="304"/>
              </w:numPr>
              <w:jc w:val="left"/>
              <w:rPr>
                <w:rFonts w:cs="Tahoma"/>
                <w:lang w:val="sl-SI" w:eastAsia="en-GB"/>
              </w:rPr>
            </w:pPr>
            <w:r>
              <w:rPr>
                <w:rFonts w:cs="Tahoma"/>
                <w:lang w:val="sl-SI" w:eastAsia="en-GB"/>
              </w:rPr>
              <w:t>Spretnosti, povezane z upravljanjem in organiziranjem socialnega podjetja z integracijo dela (WISE), kadrovanjem, procesi proizvodnje, logistika, marketing in komunikacija.</w:t>
            </w:r>
          </w:p>
          <w:p w14:paraId="7D3995FF" w14:textId="77777777" w:rsidR="00E03711" w:rsidRDefault="00E03711" w:rsidP="005115F2">
            <w:pPr>
              <w:pStyle w:val="GUIDE-NORMAL"/>
              <w:numPr>
                <w:ilvl w:val="0"/>
                <w:numId w:val="304"/>
              </w:numPr>
              <w:jc w:val="left"/>
              <w:rPr>
                <w:rFonts w:cs="Tahoma"/>
                <w:lang w:val="sl-SI" w:eastAsia="en-GB"/>
              </w:rPr>
            </w:pPr>
            <w:r>
              <w:rPr>
                <w:rFonts w:cs="Tahoma"/>
                <w:lang w:val="sl-SI" w:eastAsia="en-GB"/>
              </w:rPr>
              <w:t>Spretnosti (za osebje ter za ljudi iz prikrajšanih skupin in osebe z ovirami) za izboljšanje zaposljivosti in produktivnosti oseb iz prikrajšanih skupin ter oseb z ovirami, da premagajo kognitivne, družbene ali druge ovire iz perspektive trga dela.</w:t>
            </w:r>
          </w:p>
          <w:p w14:paraId="7D399600" w14:textId="77777777" w:rsidR="00E03711" w:rsidRDefault="00E03711" w:rsidP="005115F2">
            <w:pPr>
              <w:pStyle w:val="GUIDE-NORMAL"/>
              <w:numPr>
                <w:ilvl w:val="0"/>
                <w:numId w:val="304"/>
              </w:numPr>
              <w:jc w:val="left"/>
              <w:rPr>
                <w:rFonts w:cs="Tahoma"/>
                <w:lang w:val="sl-SI" w:eastAsia="en-GB"/>
              </w:rPr>
            </w:pPr>
            <w:r>
              <w:rPr>
                <w:rFonts w:cs="Tahoma"/>
                <w:lang w:val="sl-SI" w:eastAsia="en-GB"/>
              </w:rPr>
              <w:t>Spretnosti, povezane z uporabo in razvojem (prilagojene) IKT in tehnologije (npr. podporne tehnologije in tehnologije za dostopnost ter uporabniški vmesniki) v povezavi z obema zgornjima vidikoma.</w:t>
            </w:r>
          </w:p>
          <w:p w14:paraId="7D399601" w14:textId="77777777" w:rsidR="00E03711" w:rsidRPr="00F769E0" w:rsidRDefault="00E03711" w:rsidP="00820837">
            <w:pPr>
              <w:pStyle w:val="GUIDE-NORMAL"/>
              <w:jc w:val="left"/>
              <w:rPr>
                <w:rFonts w:cs="Tahoma"/>
                <w:lang w:val="sl-SI" w:eastAsia="en-GB"/>
              </w:rPr>
            </w:pPr>
            <w:r w:rsidRPr="00F769E0">
              <w:rPr>
                <w:rFonts w:cs="Tahoma"/>
                <w:lang w:val="sl-SI" w:eastAsia="en-GB"/>
              </w:rPr>
              <w:t>Da se zagotovijo komplementarnost in sinergije, morajo biti aktivnosti skladne z obstoječimi dokazi za sektor, vključno z ukrepi in smernicami iz:</w:t>
            </w:r>
          </w:p>
          <w:p w14:paraId="7D399602" w14:textId="77777777" w:rsidR="00E03711" w:rsidRPr="00393BE9" w:rsidRDefault="00E03711" w:rsidP="005115F2">
            <w:pPr>
              <w:pStyle w:val="ListParagraph"/>
              <w:numPr>
                <w:ilvl w:val="0"/>
                <w:numId w:val="265"/>
              </w:numPr>
              <w:spacing w:line="276" w:lineRule="auto"/>
              <w:jc w:val="both"/>
              <w:textAlignment w:val="auto"/>
              <w:rPr>
                <w:rFonts w:asciiTheme="minorHAnsi" w:hAnsiTheme="minorHAnsi" w:cstheme="minorHAnsi"/>
                <w:bCs/>
                <w:sz w:val="18"/>
                <w:szCs w:val="18"/>
                <w:lang w:val="en-GB" w:eastAsia="en-GB"/>
              </w:rPr>
            </w:pPr>
            <w:r>
              <w:rPr>
                <w:rFonts w:asciiTheme="minorHAnsi" w:hAnsiTheme="minorHAnsi" w:cstheme="minorHAnsi"/>
                <w:bCs/>
                <w:sz w:val="18"/>
                <w:szCs w:val="18"/>
                <w:lang w:val="en-GB" w:eastAsia="en-GB"/>
              </w:rPr>
              <w:t xml:space="preserve">Evropska strategija za invalidnost </w:t>
            </w:r>
            <w:r w:rsidRPr="00393BE9">
              <w:rPr>
                <w:rFonts w:asciiTheme="minorHAnsi" w:hAnsiTheme="minorHAnsi" w:cstheme="minorHAnsi"/>
                <w:bCs/>
                <w:sz w:val="18"/>
                <w:szCs w:val="18"/>
                <w:lang w:val="en-GB" w:eastAsia="en-GB"/>
              </w:rPr>
              <w:t>2010-2020</w:t>
            </w:r>
            <w:r>
              <w:rPr>
                <w:rStyle w:val="FootnoteReference"/>
                <w:rFonts w:asciiTheme="minorHAnsi" w:hAnsiTheme="minorHAnsi" w:cstheme="minorHAnsi"/>
                <w:bCs/>
                <w:sz w:val="18"/>
                <w:szCs w:val="18"/>
                <w:lang w:val="en-GB" w:eastAsia="en-GB"/>
              </w:rPr>
              <w:footnoteReference w:id="169"/>
            </w:r>
          </w:p>
          <w:p w14:paraId="7D399603" w14:textId="77777777" w:rsidR="00E03711" w:rsidRPr="004E4C36" w:rsidRDefault="00E03711" w:rsidP="005115F2">
            <w:pPr>
              <w:pStyle w:val="ListParagraph"/>
              <w:numPr>
                <w:ilvl w:val="0"/>
                <w:numId w:val="265"/>
              </w:numPr>
              <w:spacing w:line="276" w:lineRule="auto"/>
              <w:jc w:val="both"/>
              <w:textAlignment w:val="auto"/>
              <w:rPr>
                <w:rFonts w:asciiTheme="minorHAnsi" w:hAnsiTheme="minorHAnsi" w:cstheme="minorHAnsi"/>
                <w:bCs/>
                <w:sz w:val="18"/>
                <w:szCs w:val="18"/>
                <w:lang w:val="pt-PT" w:eastAsia="en-GB"/>
              </w:rPr>
            </w:pPr>
            <w:r w:rsidRPr="004E4C36">
              <w:rPr>
                <w:rFonts w:asciiTheme="minorHAnsi" w:hAnsiTheme="minorHAnsi" w:cstheme="minorHAnsi"/>
                <w:bCs/>
                <w:sz w:val="18"/>
                <w:szCs w:val="18"/>
                <w:lang w:val="pt-PT" w:eastAsia="en-GB"/>
              </w:rPr>
              <w:t>Konvencija ZN o pravicah invalidnih oseb</w:t>
            </w:r>
            <w:r>
              <w:rPr>
                <w:rStyle w:val="FootnoteReference"/>
                <w:rFonts w:asciiTheme="minorHAnsi" w:hAnsiTheme="minorHAnsi" w:cstheme="minorHAnsi"/>
                <w:bCs/>
                <w:sz w:val="18"/>
                <w:szCs w:val="18"/>
                <w:lang w:val="en-GB" w:eastAsia="en-GB"/>
              </w:rPr>
              <w:footnoteReference w:id="170"/>
            </w:r>
          </w:p>
          <w:p w14:paraId="7D399604" w14:textId="77777777" w:rsidR="00E03711" w:rsidRPr="004E4C36" w:rsidRDefault="00E03711" w:rsidP="005115F2">
            <w:pPr>
              <w:pStyle w:val="ListParagraph"/>
              <w:numPr>
                <w:ilvl w:val="0"/>
                <w:numId w:val="265"/>
              </w:numPr>
              <w:spacing w:line="276" w:lineRule="auto"/>
              <w:jc w:val="both"/>
              <w:textAlignment w:val="auto"/>
              <w:rPr>
                <w:rFonts w:asciiTheme="minorHAnsi" w:hAnsiTheme="minorHAnsi" w:cstheme="minorHAnsi"/>
                <w:bCs/>
                <w:sz w:val="18"/>
                <w:szCs w:val="18"/>
                <w:lang w:val="pt-PT" w:eastAsia="en-GB"/>
              </w:rPr>
            </w:pPr>
            <w:r w:rsidRPr="004E4C36">
              <w:rPr>
                <w:rFonts w:asciiTheme="minorHAnsi" w:hAnsiTheme="minorHAnsi" w:cstheme="minorHAnsi"/>
                <w:bCs/>
                <w:sz w:val="18"/>
                <w:szCs w:val="18"/>
                <w:lang w:val="pt-PT" w:eastAsia="en-GB"/>
              </w:rPr>
              <w:t>Direktiva Sveta 2000/78/ES, ki prepoveduje diskriminacijo na osnovi invalidnosti, starosti, spolne usmerjenosti in religije ali prepričanja pri zaposlitvi in zaposlovanju</w:t>
            </w:r>
            <w:r>
              <w:rPr>
                <w:rStyle w:val="FootnoteReference"/>
                <w:rFonts w:asciiTheme="minorHAnsi" w:hAnsiTheme="minorHAnsi" w:cstheme="minorHAnsi"/>
                <w:bCs/>
                <w:sz w:val="18"/>
                <w:szCs w:val="18"/>
                <w:lang w:val="en-GB" w:eastAsia="en-GB"/>
              </w:rPr>
              <w:footnoteReference w:id="171"/>
            </w:r>
          </w:p>
          <w:p w14:paraId="7D399605" w14:textId="77777777" w:rsidR="00E03711" w:rsidRPr="00393BE9" w:rsidRDefault="00E03711" w:rsidP="005115F2">
            <w:pPr>
              <w:pStyle w:val="ListParagraph"/>
              <w:numPr>
                <w:ilvl w:val="0"/>
                <w:numId w:val="268"/>
              </w:numPr>
              <w:suppressAutoHyphens w:val="0"/>
              <w:spacing w:line="276" w:lineRule="auto"/>
              <w:jc w:val="both"/>
              <w:textAlignment w:val="auto"/>
              <w:rPr>
                <w:rFonts w:asciiTheme="minorHAnsi" w:hAnsiTheme="minorHAnsi" w:cstheme="minorHAnsi"/>
                <w:bCs/>
                <w:sz w:val="18"/>
                <w:szCs w:val="18"/>
                <w:lang w:val="en-GB" w:eastAsia="en-GB"/>
              </w:rPr>
            </w:pPr>
            <w:r>
              <w:rPr>
                <w:rFonts w:asciiTheme="minorHAnsi" w:hAnsiTheme="minorHAnsi" w:cstheme="minorHAnsi"/>
                <w:bCs/>
                <w:sz w:val="18"/>
                <w:szCs w:val="18"/>
                <w:lang w:val="en-GB" w:eastAsia="en-GB"/>
              </w:rPr>
              <w:t xml:space="preserve">Evropski steber socialnih pravic </w:t>
            </w:r>
            <w:r w:rsidRPr="00393BE9">
              <w:rPr>
                <w:rFonts w:asciiTheme="minorHAnsi" w:hAnsiTheme="minorHAnsi" w:cstheme="minorHAnsi"/>
                <w:bCs/>
                <w:sz w:val="18"/>
                <w:szCs w:val="18"/>
                <w:lang w:val="en-GB" w:eastAsia="en-GB"/>
              </w:rPr>
              <w:t>(2017)</w:t>
            </w:r>
            <w:r>
              <w:rPr>
                <w:rStyle w:val="FootnoteReference"/>
                <w:rFonts w:asciiTheme="minorHAnsi" w:hAnsiTheme="minorHAnsi" w:cstheme="minorHAnsi"/>
                <w:bCs/>
                <w:sz w:val="18"/>
                <w:szCs w:val="18"/>
                <w:lang w:val="en-GB" w:eastAsia="en-GB"/>
              </w:rPr>
              <w:footnoteReference w:id="172"/>
            </w:r>
          </w:p>
          <w:p w14:paraId="7D399606" w14:textId="77777777" w:rsidR="00E03711" w:rsidRPr="004E4C36" w:rsidRDefault="00E03711" w:rsidP="005115F2">
            <w:pPr>
              <w:pStyle w:val="ListParagraph"/>
              <w:numPr>
                <w:ilvl w:val="0"/>
                <w:numId w:val="268"/>
              </w:numPr>
              <w:suppressAutoHyphens w:val="0"/>
              <w:spacing w:line="276" w:lineRule="auto"/>
              <w:jc w:val="both"/>
              <w:textAlignment w:val="auto"/>
              <w:rPr>
                <w:rFonts w:asciiTheme="minorHAnsi" w:hAnsiTheme="minorHAnsi"/>
                <w:sz w:val="18"/>
                <w:lang w:val="it-IT"/>
              </w:rPr>
            </w:pPr>
            <w:r w:rsidRPr="004E4C36">
              <w:rPr>
                <w:rFonts w:asciiTheme="minorHAnsi" w:hAnsiTheme="minorHAnsi" w:cstheme="minorHAnsi"/>
                <w:bCs/>
                <w:sz w:val="18"/>
                <w:szCs w:val="18"/>
                <w:lang w:val="it-IT" w:eastAsia="en-GB"/>
              </w:rPr>
              <w:t>Agenda 2030 za trajnostni razvoj (4, 8, 10, 11 in 17).</w:t>
            </w:r>
            <w:r>
              <w:rPr>
                <w:rStyle w:val="FootnoteReference"/>
                <w:rFonts w:asciiTheme="minorHAnsi" w:hAnsiTheme="minorHAnsi" w:cstheme="minorHAnsi"/>
                <w:bCs/>
                <w:sz w:val="18"/>
                <w:szCs w:val="18"/>
                <w:lang w:val="en-GB" w:eastAsia="en-GB"/>
              </w:rPr>
              <w:footnoteReference w:id="173"/>
            </w:r>
          </w:p>
          <w:p w14:paraId="7D399607" w14:textId="77777777" w:rsidR="00E03711" w:rsidRPr="00393BE9" w:rsidRDefault="00E03711" w:rsidP="005115F2">
            <w:pPr>
              <w:pStyle w:val="ListParagraph"/>
              <w:numPr>
                <w:ilvl w:val="0"/>
                <w:numId w:val="268"/>
              </w:numPr>
              <w:suppressAutoHyphens w:val="0"/>
              <w:spacing w:line="276" w:lineRule="auto"/>
              <w:jc w:val="both"/>
              <w:textAlignment w:val="auto"/>
              <w:rPr>
                <w:rFonts w:asciiTheme="minorHAnsi" w:hAnsiTheme="minorHAnsi" w:cstheme="minorHAnsi"/>
                <w:bCs/>
                <w:sz w:val="18"/>
                <w:szCs w:val="18"/>
                <w:lang w:val="en-GB" w:eastAsia="en-GB"/>
              </w:rPr>
            </w:pPr>
            <w:r>
              <w:rPr>
                <w:rFonts w:asciiTheme="minorHAnsi" w:hAnsiTheme="minorHAnsi" w:cstheme="minorHAnsi"/>
                <w:bCs/>
                <w:sz w:val="18"/>
                <w:szCs w:val="18"/>
                <w:lang w:val="en-GB" w:eastAsia="en-GB"/>
              </w:rPr>
              <w:t>Strategija digitalnega enotnega trga</w:t>
            </w:r>
            <w:r>
              <w:rPr>
                <w:rStyle w:val="FootnoteReference"/>
                <w:rFonts w:asciiTheme="minorHAnsi" w:hAnsiTheme="minorHAnsi" w:cstheme="minorHAnsi"/>
                <w:bCs/>
                <w:sz w:val="18"/>
                <w:szCs w:val="18"/>
                <w:lang w:val="en-GB" w:eastAsia="en-GB"/>
              </w:rPr>
              <w:footnoteReference w:id="174"/>
            </w:r>
          </w:p>
          <w:p w14:paraId="7D399608" w14:textId="77777777" w:rsidR="00E03711" w:rsidRPr="00C80136" w:rsidRDefault="00E03711" w:rsidP="005115F2">
            <w:pPr>
              <w:pStyle w:val="ListParagraph"/>
              <w:numPr>
                <w:ilvl w:val="0"/>
                <w:numId w:val="268"/>
              </w:numPr>
              <w:suppressAutoHyphens w:val="0"/>
              <w:spacing w:line="276" w:lineRule="auto"/>
              <w:jc w:val="both"/>
              <w:textAlignment w:val="auto"/>
              <w:rPr>
                <w:rFonts w:asciiTheme="minorHAnsi" w:hAnsiTheme="minorHAnsi" w:cstheme="minorHAnsi"/>
                <w:bCs/>
                <w:sz w:val="18"/>
                <w:szCs w:val="18"/>
                <w:lang w:val="es-ES" w:eastAsia="en-GB"/>
              </w:rPr>
            </w:pPr>
            <w:r w:rsidRPr="00C80136">
              <w:rPr>
                <w:rFonts w:asciiTheme="minorHAnsi" w:hAnsiTheme="minorHAnsi" w:cstheme="minorHAnsi"/>
                <w:bCs/>
                <w:sz w:val="18"/>
                <w:szCs w:val="18"/>
                <w:lang w:val="es-ES" w:eastAsia="en-GB"/>
              </w:rPr>
              <w:t>Digitalno vključevanje za boljšo družbo EU</w:t>
            </w:r>
            <w:r>
              <w:rPr>
                <w:rStyle w:val="FootnoteReference"/>
                <w:rFonts w:asciiTheme="minorHAnsi" w:hAnsiTheme="minorHAnsi" w:cstheme="minorHAnsi"/>
                <w:bCs/>
                <w:sz w:val="18"/>
                <w:szCs w:val="18"/>
                <w:lang w:val="en-GB" w:eastAsia="en-GB"/>
              </w:rPr>
              <w:footnoteReference w:id="175"/>
            </w:r>
          </w:p>
          <w:p w14:paraId="7D399609" w14:textId="77777777" w:rsidR="00E03711" w:rsidRPr="00C80136" w:rsidRDefault="00E03711" w:rsidP="005115F2">
            <w:pPr>
              <w:pStyle w:val="ListParagraph"/>
              <w:numPr>
                <w:ilvl w:val="0"/>
                <w:numId w:val="268"/>
              </w:numPr>
              <w:suppressAutoHyphens w:val="0"/>
              <w:spacing w:line="276" w:lineRule="auto"/>
              <w:jc w:val="both"/>
              <w:textAlignment w:val="auto"/>
              <w:rPr>
                <w:rFonts w:asciiTheme="minorHAnsi" w:hAnsiTheme="minorHAnsi" w:cstheme="minorHAnsi"/>
                <w:bCs/>
                <w:sz w:val="18"/>
                <w:szCs w:val="18"/>
                <w:lang w:val="es-ES" w:eastAsia="en-GB"/>
              </w:rPr>
            </w:pPr>
            <w:r w:rsidRPr="00C80136">
              <w:rPr>
                <w:rFonts w:asciiTheme="minorHAnsi" w:hAnsiTheme="minorHAnsi" w:cstheme="minorHAnsi"/>
                <w:bCs/>
                <w:sz w:val="18"/>
                <w:szCs w:val="18"/>
                <w:lang w:val="es-ES" w:eastAsia="en-GB"/>
              </w:rPr>
              <w:t>Poročilo GECES (Strokovna skupina Komisije za socialno podjetništvo) 2016: Socialna podjetja in socialno gospodarstvo v prihodnje</w:t>
            </w:r>
            <w:r>
              <w:rPr>
                <w:rStyle w:val="FootnoteReference"/>
                <w:rFonts w:asciiTheme="minorHAnsi" w:hAnsiTheme="minorHAnsi" w:cstheme="minorHAnsi"/>
                <w:bCs/>
                <w:sz w:val="18"/>
                <w:szCs w:val="18"/>
                <w:lang w:val="en-GB" w:eastAsia="en-GB"/>
              </w:rPr>
              <w:footnoteReference w:id="176"/>
            </w:r>
          </w:p>
          <w:p w14:paraId="7D39960A" w14:textId="77777777" w:rsidR="00E03711" w:rsidRPr="00C80136" w:rsidRDefault="00E03711" w:rsidP="005115F2">
            <w:pPr>
              <w:pStyle w:val="ListParagraph"/>
              <w:numPr>
                <w:ilvl w:val="0"/>
                <w:numId w:val="268"/>
              </w:numPr>
              <w:suppressAutoHyphens w:val="0"/>
              <w:spacing w:line="276" w:lineRule="auto"/>
              <w:jc w:val="both"/>
              <w:textAlignment w:val="auto"/>
              <w:rPr>
                <w:rFonts w:asciiTheme="minorHAnsi" w:hAnsiTheme="minorHAnsi" w:cstheme="minorHAnsi"/>
                <w:bCs/>
                <w:sz w:val="18"/>
                <w:szCs w:val="18"/>
                <w:lang w:val="es-ES" w:eastAsia="en-GB"/>
              </w:rPr>
            </w:pPr>
            <w:r w:rsidRPr="00C80136">
              <w:rPr>
                <w:rFonts w:asciiTheme="minorHAnsi" w:hAnsiTheme="minorHAnsi" w:cstheme="minorHAnsi"/>
                <w:bCs/>
                <w:sz w:val="18"/>
                <w:szCs w:val="18"/>
                <w:lang w:val="es-ES" w:eastAsia="en-GB"/>
              </w:rPr>
              <w:t>Poročilo OECD o politiki v zvezi s podjetništvom za osebe z ovirami</w:t>
            </w:r>
            <w:r>
              <w:rPr>
                <w:rStyle w:val="FootnoteReference"/>
                <w:rFonts w:asciiTheme="minorHAnsi" w:hAnsiTheme="minorHAnsi" w:cstheme="minorHAnsi"/>
                <w:bCs/>
                <w:sz w:val="18"/>
                <w:szCs w:val="18"/>
                <w:lang w:val="en-GB" w:eastAsia="en-GB"/>
              </w:rPr>
              <w:footnoteReference w:id="177"/>
            </w:r>
          </w:p>
          <w:p w14:paraId="7D39960B" w14:textId="77777777" w:rsidR="00E03711" w:rsidRPr="00C80136" w:rsidRDefault="00E03711" w:rsidP="005115F2">
            <w:pPr>
              <w:pStyle w:val="ListParagraph"/>
              <w:numPr>
                <w:ilvl w:val="0"/>
                <w:numId w:val="268"/>
              </w:numPr>
              <w:suppressAutoHyphens w:val="0"/>
              <w:spacing w:line="276" w:lineRule="auto"/>
              <w:jc w:val="both"/>
              <w:textAlignment w:val="auto"/>
              <w:rPr>
                <w:rFonts w:asciiTheme="minorHAnsi" w:hAnsiTheme="minorHAnsi" w:cstheme="minorHAnsi"/>
                <w:bCs/>
                <w:sz w:val="18"/>
                <w:szCs w:val="18"/>
                <w:lang w:val="es-ES" w:eastAsia="en-GB"/>
              </w:rPr>
            </w:pPr>
            <w:r w:rsidRPr="00C80136">
              <w:rPr>
                <w:rFonts w:asciiTheme="minorHAnsi" w:hAnsiTheme="minorHAnsi" w:cstheme="minorHAnsi"/>
                <w:bCs/>
                <w:sz w:val="18"/>
                <w:szCs w:val="18"/>
                <w:lang w:val="es-ES" w:eastAsia="en-GB"/>
              </w:rPr>
              <w:t>Objava Evropskega parlamenta: podporna tehnologija za podporo osebam z ovirami</w:t>
            </w:r>
            <w:r>
              <w:rPr>
                <w:rStyle w:val="FootnoteReference"/>
                <w:rFonts w:asciiTheme="minorHAnsi" w:hAnsiTheme="minorHAnsi" w:cstheme="minorHAnsi"/>
                <w:bCs/>
                <w:sz w:val="18"/>
                <w:szCs w:val="18"/>
                <w:lang w:val="en-GB" w:eastAsia="en-GB"/>
              </w:rPr>
              <w:footnoteReference w:id="178"/>
            </w:r>
          </w:p>
          <w:p w14:paraId="7D39960C" w14:textId="77777777" w:rsidR="00E03711" w:rsidRPr="00C80136" w:rsidRDefault="00E03711" w:rsidP="005115F2">
            <w:pPr>
              <w:pStyle w:val="ListParagraph"/>
              <w:numPr>
                <w:ilvl w:val="0"/>
                <w:numId w:val="268"/>
              </w:numPr>
              <w:suppressAutoHyphens w:val="0"/>
              <w:spacing w:line="276" w:lineRule="auto"/>
              <w:jc w:val="both"/>
              <w:textAlignment w:val="auto"/>
              <w:rPr>
                <w:rFonts w:asciiTheme="minorHAnsi" w:hAnsiTheme="minorHAnsi" w:cstheme="minorHAnsi"/>
                <w:bCs/>
                <w:sz w:val="18"/>
                <w:szCs w:val="18"/>
                <w:lang w:val="es-ES" w:eastAsia="en-GB"/>
              </w:rPr>
            </w:pPr>
            <w:r w:rsidRPr="00C80136">
              <w:rPr>
                <w:rFonts w:asciiTheme="minorHAnsi" w:hAnsiTheme="minorHAnsi" w:cstheme="minorHAnsi"/>
                <w:bCs/>
                <w:sz w:val="18"/>
                <w:szCs w:val="18"/>
                <w:lang w:val="es-ES" w:eastAsia="en-GB"/>
              </w:rPr>
              <w:t>Projekti EU; Inno-Wise, Inovativno upravljanje spretnosti in upravljanja v vključujočih podjetjih in Zero Project</w:t>
            </w:r>
            <w:r w:rsidRPr="00393BE9">
              <w:rPr>
                <w:rStyle w:val="FootnoteReference"/>
                <w:rFonts w:asciiTheme="minorHAnsi" w:hAnsiTheme="minorHAnsi" w:cstheme="minorHAnsi"/>
                <w:bCs/>
                <w:sz w:val="18"/>
                <w:szCs w:val="18"/>
                <w:lang w:val="en-GB" w:eastAsia="en-GB"/>
              </w:rPr>
              <w:footnoteReference w:id="179"/>
            </w:r>
            <w:r w:rsidRPr="00C80136">
              <w:rPr>
                <w:rFonts w:asciiTheme="minorHAnsi" w:hAnsiTheme="minorHAnsi" w:cstheme="minorHAnsi"/>
                <w:bCs/>
                <w:sz w:val="18"/>
                <w:szCs w:val="18"/>
                <w:lang w:val="es-ES" w:eastAsia="en-GB"/>
              </w:rPr>
              <w:t xml:space="preserve">. </w:t>
            </w:r>
          </w:p>
          <w:p w14:paraId="7D39960D" w14:textId="77777777" w:rsidR="00E03711" w:rsidRPr="00C1426B" w:rsidRDefault="00E03711" w:rsidP="005115F2">
            <w:pPr>
              <w:pStyle w:val="ListParagraph"/>
              <w:numPr>
                <w:ilvl w:val="0"/>
                <w:numId w:val="268"/>
              </w:numPr>
              <w:suppressAutoHyphens w:val="0"/>
              <w:spacing w:line="276" w:lineRule="auto"/>
              <w:jc w:val="both"/>
              <w:textAlignment w:val="auto"/>
              <w:rPr>
                <w:rFonts w:asciiTheme="minorHAnsi" w:hAnsiTheme="minorHAnsi" w:cstheme="minorHAnsi"/>
                <w:bCs/>
                <w:sz w:val="18"/>
                <w:szCs w:val="18"/>
                <w:lang w:val="it-IT" w:eastAsia="en-GB"/>
              </w:rPr>
            </w:pPr>
            <w:r w:rsidRPr="00C1426B">
              <w:rPr>
                <w:rFonts w:asciiTheme="minorHAnsi" w:hAnsiTheme="minorHAnsi" w:cstheme="minorHAnsi"/>
                <w:bCs/>
                <w:sz w:val="18"/>
                <w:szCs w:val="18"/>
                <w:lang w:val="it-IT" w:eastAsia="en-GB"/>
              </w:rPr>
              <w:t>Evropski standardi dostopnosti skladno z mandati 376, 473 in 420: EN 301 549, EN 17161, prEN 17210</w:t>
            </w:r>
            <w:r>
              <w:rPr>
                <w:rStyle w:val="FootnoteReference"/>
                <w:rFonts w:asciiTheme="minorHAnsi" w:hAnsiTheme="minorHAnsi" w:cstheme="minorHAnsi"/>
                <w:bCs/>
                <w:sz w:val="18"/>
                <w:szCs w:val="18"/>
                <w:lang w:eastAsia="en-GB"/>
              </w:rPr>
              <w:footnoteReference w:id="180"/>
            </w:r>
          </w:p>
          <w:p w14:paraId="7D39960E" w14:textId="77777777" w:rsidR="00E03711" w:rsidRPr="00ED0D00" w:rsidRDefault="00E03711" w:rsidP="00ED0D00">
            <w:pPr>
              <w:pStyle w:val="Guide-NormalBulletpoints"/>
              <w:rPr>
                <w:rFonts w:cs="Times New Roman"/>
                <w:bCs/>
                <w:sz w:val="20"/>
                <w:szCs w:val="20"/>
                <w:lang w:val="sv-SE"/>
              </w:rPr>
            </w:pPr>
          </w:p>
        </w:tc>
      </w:tr>
      <w:tr w:rsidR="00E03711" w:rsidRPr="00C60205" w14:paraId="7D39961D" w14:textId="77777777" w:rsidTr="00FC4A70">
        <w:trPr>
          <w:trHeight w:val="20"/>
        </w:trPr>
        <w:tc>
          <w:tcPr>
            <w:tcW w:w="2142" w:type="dxa"/>
            <w:tcBorders>
              <w:top w:val="single" w:sz="4" w:space="0" w:color="000000"/>
              <w:left w:val="single" w:sz="4" w:space="0" w:color="000000"/>
              <w:bottom w:val="single" w:sz="4" w:space="0" w:color="000000"/>
              <w:right w:val="single" w:sz="4" w:space="0" w:color="000000"/>
            </w:tcBorders>
            <w:vAlign w:val="center"/>
          </w:tcPr>
          <w:p w14:paraId="7D399610" w14:textId="77777777" w:rsidR="00E03711" w:rsidRPr="00F769E0" w:rsidRDefault="00E03711" w:rsidP="00BB2541">
            <w:pPr>
              <w:pStyle w:val="GUIDE-NORMAL"/>
              <w:jc w:val="left"/>
              <w:rPr>
                <w:rFonts w:cs="Tahoma"/>
                <w:b/>
                <w:lang w:val="sl-SI" w:eastAsia="en-GB"/>
              </w:rPr>
            </w:pPr>
            <w:r>
              <w:rPr>
                <w:rFonts w:eastAsia="Calibri" w:cs="Calibri"/>
                <w:b/>
                <w:bCs/>
                <w:bdr w:val="nil"/>
                <w:shd w:val="clear" w:color="auto" w:fill="auto"/>
                <w:lang w:val="sl-SI"/>
              </w:rPr>
              <w:t>Storitve programske opreme</w:t>
            </w:r>
          </w:p>
        </w:tc>
        <w:tc>
          <w:tcPr>
            <w:tcW w:w="7148" w:type="dxa"/>
            <w:tcBorders>
              <w:top w:val="single" w:sz="4" w:space="0" w:color="000000"/>
              <w:left w:val="single" w:sz="4" w:space="0" w:color="000000"/>
              <w:bottom w:val="single" w:sz="4" w:space="0" w:color="000000"/>
              <w:right w:val="single" w:sz="4" w:space="0" w:color="000000"/>
            </w:tcBorders>
            <w:vAlign w:val="center"/>
          </w:tcPr>
          <w:p w14:paraId="7D399611" w14:textId="77777777" w:rsidR="00E03711" w:rsidRPr="00F769E0" w:rsidRDefault="00E03711" w:rsidP="00820837">
            <w:pPr>
              <w:pStyle w:val="GUIDE-NORMAL"/>
              <w:jc w:val="left"/>
              <w:rPr>
                <w:rFonts w:cs="Tahoma"/>
                <w:lang w:val="sl-SI" w:eastAsia="en-GB"/>
              </w:rPr>
            </w:pPr>
            <w:r w:rsidRPr="00F769E0">
              <w:rPr>
                <w:rFonts w:cs="Tahoma"/>
                <w:lang w:val="sl-SI" w:eastAsia="en-GB"/>
              </w:rPr>
              <w:t>Koalicija mora vključevati vsaj 2 naslednji področji:</w:t>
            </w:r>
          </w:p>
          <w:p w14:paraId="7D399612" w14:textId="77777777" w:rsidR="00E03711" w:rsidRDefault="00E03711" w:rsidP="005115F2">
            <w:pPr>
              <w:pStyle w:val="Guide-NormalBulletpoints"/>
              <w:numPr>
                <w:ilvl w:val="0"/>
                <w:numId w:val="305"/>
              </w:numPr>
              <w:rPr>
                <w:lang w:val="sl-SI"/>
              </w:rPr>
            </w:pPr>
            <w:r>
              <w:rPr>
                <w:lang w:val="sl-SI"/>
              </w:rPr>
              <w:t>Spretnosti, potrebne za izdelavno programske opreme, ki pokriva celotni življenjski cikel programske opreme (oblikovanje programske opreme, razvoj, testiranje, preverjanje, uvajanje in vzdrževanje.</w:t>
            </w:r>
          </w:p>
          <w:p w14:paraId="7D399613" w14:textId="77777777" w:rsidR="00E03711" w:rsidRDefault="00E03711" w:rsidP="005115F2">
            <w:pPr>
              <w:pStyle w:val="Guide-NormalBulletpoints"/>
              <w:numPr>
                <w:ilvl w:val="0"/>
                <w:numId w:val="305"/>
              </w:numPr>
              <w:rPr>
                <w:lang w:val="sl-SI"/>
              </w:rPr>
            </w:pPr>
            <w:r>
              <w:rPr>
                <w:lang w:val="sl-SI"/>
              </w:rPr>
              <w:t>Spretnosti, potrebne za razvijanje povezav med ustvarjanjem programske opreme in odprtokodnimi skupnostmi.</w:t>
            </w:r>
          </w:p>
          <w:p w14:paraId="7D399614" w14:textId="77777777" w:rsidR="00E03711" w:rsidRPr="00FC4A70" w:rsidRDefault="00E03711" w:rsidP="005115F2">
            <w:pPr>
              <w:pStyle w:val="Guide-NormalBulletpoints"/>
              <w:numPr>
                <w:ilvl w:val="0"/>
                <w:numId w:val="305"/>
              </w:numPr>
              <w:rPr>
                <w:lang w:val="sl-SI"/>
              </w:rPr>
            </w:pPr>
            <w:r>
              <w:rPr>
                <w:lang w:val="sl-SI"/>
              </w:rPr>
              <w:t>Spretnosti, potrebne za krepitev disciplini inženirstva programske opreme in zagotavljanje kakovosti programske opreme ter varnost pred okvarami in kiber-napadi.</w:t>
            </w:r>
          </w:p>
          <w:p w14:paraId="7D399615" w14:textId="77777777" w:rsidR="00E03711" w:rsidRPr="00F769E0" w:rsidRDefault="00E03711" w:rsidP="00820837">
            <w:pPr>
              <w:pStyle w:val="GUIDE-NORMAL"/>
              <w:jc w:val="left"/>
              <w:rPr>
                <w:rFonts w:cs="Tahoma"/>
                <w:lang w:val="sl-SI" w:eastAsia="en-GB"/>
              </w:rPr>
            </w:pPr>
            <w:r w:rsidRPr="00F769E0">
              <w:rPr>
                <w:rFonts w:cs="Tahoma"/>
                <w:lang w:val="sl-SI" w:eastAsia="en-GB"/>
              </w:rPr>
              <w:t xml:space="preserve">Da se zagotovijo komplementarnost in sinergije, morajo biti aktivnosti skladne z obstoječimi dokazi za sektor, vključno </w:t>
            </w:r>
            <w:r>
              <w:rPr>
                <w:rFonts w:cs="Tahoma"/>
                <w:lang w:val="sl-SI" w:eastAsia="en-GB"/>
              </w:rPr>
              <w:t xml:space="preserve">z ukrepi in </w:t>
            </w:r>
            <w:r w:rsidRPr="00F769E0">
              <w:rPr>
                <w:rFonts w:cs="Tahoma"/>
                <w:lang w:val="sl-SI" w:eastAsia="en-GB"/>
              </w:rPr>
              <w:t>smernicami iz naslednjih dokumentov:</w:t>
            </w:r>
          </w:p>
          <w:p w14:paraId="7D399616" w14:textId="77777777" w:rsidR="00E03711" w:rsidRPr="00393BE9" w:rsidRDefault="00E03711" w:rsidP="005115F2">
            <w:pPr>
              <w:pStyle w:val="ListParagraph"/>
              <w:numPr>
                <w:ilvl w:val="0"/>
                <w:numId w:val="265"/>
              </w:numPr>
              <w:spacing w:line="276" w:lineRule="auto"/>
              <w:textAlignment w:val="auto"/>
              <w:rPr>
                <w:rFonts w:asciiTheme="minorHAnsi" w:hAnsiTheme="minorHAnsi" w:cstheme="minorHAnsi"/>
                <w:bCs/>
                <w:sz w:val="18"/>
                <w:szCs w:val="18"/>
                <w:lang w:val="en-GB" w:eastAsia="en-GB"/>
              </w:rPr>
            </w:pPr>
            <w:r>
              <w:rPr>
                <w:rFonts w:asciiTheme="minorHAnsi" w:hAnsiTheme="minorHAnsi" w:cstheme="minorHAnsi"/>
                <w:bCs/>
                <w:sz w:val="18"/>
                <w:szCs w:val="18"/>
                <w:lang w:val="en-GB" w:eastAsia="en-GB"/>
              </w:rPr>
              <w:t xml:space="preserve">Evropski standard </w:t>
            </w:r>
            <w:r w:rsidRPr="00393BE9">
              <w:rPr>
                <w:rFonts w:asciiTheme="minorHAnsi" w:hAnsiTheme="minorHAnsi" w:cstheme="minorHAnsi"/>
                <w:bCs/>
                <w:sz w:val="18"/>
                <w:szCs w:val="18"/>
                <w:lang w:val="en-GB" w:eastAsia="en-GB"/>
              </w:rPr>
              <w:t>EN 16234:2016 “e-Competence Framework (e-CF) - A common European Framework for ICT Professionals in all industry sectors - Part 1: Framework”</w:t>
            </w:r>
            <w:r>
              <w:rPr>
                <w:rStyle w:val="FootnoteReference"/>
                <w:rFonts w:asciiTheme="minorHAnsi" w:hAnsiTheme="minorHAnsi" w:cstheme="minorHAnsi"/>
                <w:bCs/>
                <w:sz w:val="18"/>
                <w:szCs w:val="18"/>
                <w:lang w:val="en-GB" w:eastAsia="en-GB"/>
              </w:rPr>
              <w:footnoteReference w:id="181"/>
            </w:r>
          </w:p>
          <w:p w14:paraId="7D399617" w14:textId="77777777" w:rsidR="00E03711" w:rsidRPr="00393BE9" w:rsidRDefault="00E03711" w:rsidP="005115F2">
            <w:pPr>
              <w:pStyle w:val="ListParagraph"/>
              <w:numPr>
                <w:ilvl w:val="0"/>
                <w:numId w:val="268"/>
              </w:numPr>
              <w:spacing w:line="276" w:lineRule="auto"/>
              <w:textAlignment w:val="auto"/>
              <w:rPr>
                <w:rFonts w:asciiTheme="minorHAnsi" w:hAnsiTheme="minorHAnsi" w:cstheme="minorHAnsi"/>
                <w:bCs/>
                <w:sz w:val="18"/>
                <w:szCs w:val="18"/>
                <w:lang w:val="en-GB" w:eastAsia="en-GB"/>
              </w:rPr>
            </w:pPr>
            <w:r>
              <w:rPr>
                <w:rFonts w:asciiTheme="minorHAnsi" w:hAnsiTheme="minorHAnsi" w:cstheme="minorHAnsi"/>
                <w:bCs/>
                <w:sz w:val="18"/>
                <w:szCs w:val="18"/>
                <w:lang w:val="en-GB" w:eastAsia="en-GB"/>
              </w:rPr>
              <w:t xml:space="preserve">Tehnični odbor </w:t>
            </w:r>
            <w:r w:rsidRPr="00393BE9">
              <w:rPr>
                <w:rFonts w:asciiTheme="minorHAnsi" w:hAnsiTheme="minorHAnsi" w:cstheme="minorHAnsi"/>
                <w:bCs/>
                <w:sz w:val="18"/>
                <w:szCs w:val="18"/>
                <w:lang w:val="en-GB" w:eastAsia="en-GB"/>
              </w:rPr>
              <w:t>CEN CEN/TC 428 “Digital competences and ICT Professionalism”</w:t>
            </w:r>
            <w:r>
              <w:rPr>
                <w:rStyle w:val="FootnoteReference"/>
                <w:rFonts w:asciiTheme="minorHAnsi" w:hAnsiTheme="minorHAnsi" w:cstheme="minorHAnsi"/>
                <w:bCs/>
                <w:sz w:val="18"/>
                <w:szCs w:val="18"/>
                <w:lang w:val="en-GB" w:eastAsia="en-GB"/>
              </w:rPr>
              <w:footnoteReference w:id="182"/>
            </w:r>
          </w:p>
          <w:p w14:paraId="7D399618" w14:textId="77777777" w:rsidR="00E03711" w:rsidRPr="004A5DFA" w:rsidRDefault="00E03711" w:rsidP="005115F2">
            <w:pPr>
              <w:pStyle w:val="ListParagraph"/>
              <w:numPr>
                <w:ilvl w:val="0"/>
                <w:numId w:val="268"/>
              </w:numPr>
              <w:suppressAutoHyphens w:val="0"/>
              <w:spacing w:line="276" w:lineRule="auto"/>
              <w:textAlignment w:val="auto"/>
              <w:rPr>
                <w:rFonts w:asciiTheme="minorHAnsi" w:hAnsiTheme="minorHAnsi" w:cstheme="minorHAnsi"/>
                <w:sz w:val="18"/>
                <w:szCs w:val="18"/>
                <w:lang w:val="de-DE"/>
              </w:rPr>
            </w:pPr>
            <w:r w:rsidRPr="004A5DFA">
              <w:rPr>
                <w:rFonts w:asciiTheme="minorHAnsi" w:hAnsiTheme="minorHAnsi" w:cstheme="minorHAnsi"/>
                <w:bCs/>
                <w:sz w:val="18"/>
                <w:szCs w:val="18"/>
                <w:lang w:val="de-DE" w:eastAsia="en-GB"/>
              </w:rPr>
              <w:t>Indeks digitalne ekonomije in družbe (DESI)</w:t>
            </w:r>
            <w:r w:rsidRPr="00393BE9">
              <w:rPr>
                <w:rStyle w:val="FootnoteReference"/>
                <w:rFonts w:asciiTheme="minorHAnsi" w:hAnsiTheme="minorHAnsi" w:cstheme="minorHAnsi"/>
                <w:bCs/>
                <w:sz w:val="18"/>
                <w:szCs w:val="18"/>
                <w:lang w:val="en-GB" w:eastAsia="en-GB"/>
              </w:rPr>
              <w:footnoteReference w:id="183"/>
            </w:r>
            <w:r w:rsidRPr="004A5DFA">
              <w:rPr>
                <w:rFonts w:asciiTheme="minorHAnsi" w:hAnsiTheme="minorHAnsi" w:cstheme="minorHAnsi"/>
                <w:bCs/>
                <w:sz w:val="18"/>
                <w:szCs w:val="18"/>
                <w:lang w:val="de-DE" w:eastAsia="en-GB"/>
              </w:rPr>
              <w:t xml:space="preserve"> </w:t>
            </w:r>
          </w:p>
          <w:p w14:paraId="7D399619" w14:textId="77777777" w:rsidR="00E03711" w:rsidRPr="00F0391F" w:rsidRDefault="00E03711" w:rsidP="005115F2">
            <w:pPr>
              <w:pStyle w:val="ListParagraph"/>
              <w:numPr>
                <w:ilvl w:val="0"/>
                <w:numId w:val="268"/>
              </w:numPr>
              <w:suppressAutoHyphens w:val="0"/>
              <w:spacing w:line="276" w:lineRule="auto"/>
              <w:textAlignment w:val="auto"/>
              <w:rPr>
                <w:rFonts w:asciiTheme="minorHAnsi" w:hAnsiTheme="minorHAnsi" w:cstheme="minorHAnsi"/>
                <w:sz w:val="18"/>
                <w:szCs w:val="18"/>
                <w:lang w:val="en-GB"/>
              </w:rPr>
            </w:pPr>
            <w:r w:rsidRPr="00F0391F">
              <w:rPr>
                <w:rFonts w:asciiTheme="minorHAnsi" w:hAnsiTheme="minorHAnsi" w:cstheme="minorHAnsi"/>
                <w:sz w:val="18"/>
                <w:szCs w:val="18"/>
                <w:lang w:val="en-GB"/>
              </w:rPr>
              <w:t>Evropska Komisija, “Unleashing the Potential of Cloud Computing in Europe”</w:t>
            </w:r>
            <w:r w:rsidRPr="00F0391F">
              <w:rPr>
                <w:rStyle w:val="FootnoteReference"/>
                <w:rFonts w:asciiTheme="minorHAnsi" w:hAnsiTheme="minorHAnsi" w:cstheme="minorHAnsi"/>
                <w:sz w:val="18"/>
                <w:szCs w:val="18"/>
                <w:lang w:val="en-GB"/>
              </w:rPr>
              <w:footnoteReference w:id="184"/>
            </w:r>
          </w:p>
          <w:p w14:paraId="7D39961A" w14:textId="77777777" w:rsidR="00E03711" w:rsidRPr="00F0391F" w:rsidRDefault="00E03711" w:rsidP="005115F2">
            <w:pPr>
              <w:pStyle w:val="ListParagraph"/>
              <w:numPr>
                <w:ilvl w:val="0"/>
                <w:numId w:val="268"/>
              </w:numPr>
              <w:suppressAutoHyphens w:val="0"/>
              <w:spacing w:line="276" w:lineRule="auto"/>
              <w:textAlignment w:val="auto"/>
              <w:rPr>
                <w:rStyle w:val="Hyperlink"/>
                <w:rFonts w:asciiTheme="minorHAnsi" w:hAnsiTheme="minorHAnsi" w:cstheme="minorHAnsi"/>
                <w:color w:val="auto"/>
                <w:sz w:val="18"/>
                <w:szCs w:val="18"/>
                <w:lang w:val="en-GB"/>
              </w:rPr>
            </w:pPr>
            <w:r w:rsidRPr="00F0391F">
              <w:rPr>
                <w:rFonts w:asciiTheme="minorHAnsi" w:hAnsiTheme="minorHAnsi" w:cstheme="minorHAnsi"/>
                <w:sz w:val="18"/>
                <w:szCs w:val="18"/>
                <w:lang w:val="en-GB"/>
              </w:rPr>
              <w:t>Sporočilo Komisije “A Digital Single Market Strategy for Europe”</w:t>
            </w:r>
            <w:r w:rsidRPr="00F0391F">
              <w:rPr>
                <w:rStyle w:val="FootnoteReference"/>
                <w:rFonts w:asciiTheme="minorHAnsi" w:hAnsiTheme="minorHAnsi" w:cstheme="minorHAnsi"/>
                <w:sz w:val="18"/>
                <w:szCs w:val="18"/>
                <w:lang w:val="en-GB"/>
              </w:rPr>
              <w:footnoteReference w:id="185"/>
            </w:r>
          </w:p>
          <w:p w14:paraId="7D39961B" w14:textId="77777777" w:rsidR="00E03711" w:rsidRPr="00C80136" w:rsidRDefault="00E03711" w:rsidP="005115F2">
            <w:pPr>
              <w:pStyle w:val="ListParagraph"/>
              <w:numPr>
                <w:ilvl w:val="0"/>
                <w:numId w:val="268"/>
              </w:numPr>
              <w:suppressAutoHyphens w:val="0"/>
              <w:spacing w:line="276" w:lineRule="auto"/>
              <w:textAlignment w:val="auto"/>
              <w:rPr>
                <w:rFonts w:asciiTheme="minorHAnsi" w:hAnsiTheme="minorHAnsi" w:cstheme="minorHAnsi"/>
                <w:sz w:val="18"/>
                <w:szCs w:val="18"/>
                <w:lang w:val="de-DE"/>
              </w:rPr>
            </w:pPr>
            <w:r w:rsidRPr="00C80136">
              <w:rPr>
                <w:rFonts w:asciiTheme="minorHAnsi" w:hAnsiTheme="minorHAnsi" w:cstheme="minorHAnsi"/>
                <w:bCs/>
                <w:sz w:val="18"/>
                <w:szCs w:val="18"/>
                <w:lang w:val="de-DE" w:eastAsia="en-GB"/>
              </w:rPr>
              <w:t>Digitalne spretnosti in koalicija zaposlovanja</w:t>
            </w:r>
            <w:r w:rsidRPr="00C80136">
              <w:rPr>
                <w:rStyle w:val="FootnoteReference"/>
                <w:rFonts w:ascii="Times New Roman" w:hAnsi="Times New Roman"/>
                <w:lang w:val="de-DE"/>
              </w:rPr>
              <w:t xml:space="preserve"> </w:t>
            </w:r>
            <w:r w:rsidRPr="00F0391F">
              <w:rPr>
                <w:rStyle w:val="FootnoteReference"/>
                <w:rFonts w:asciiTheme="minorHAnsi" w:hAnsiTheme="minorHAnsi" w:cstheme="minorHAnsi"/>
                <w:bCs/>
                <w:sz w:val="18"/>
                <w:szCs w:val="18"/>
                <w:lang w:val="en-GB" w:eastAsia="en-GB"/>
              </w:rPr>
              <w:footnoteReference w:id="186"/>
            </w:r>
            <w:r w:rsidRPr="00C80136">
              <w:rPr>
                <w:rFonts w:asciiTheme="minorHAnsi" w:hAnsiTheme="minorHAnsi" w:cstheme="minorHAnsi"/>
                <w:bCs/>
                <w:sz w:val="18"/>
                <w:szCs w:val="18"/>
                <w:lang w:val="de-DE" w:eastAsia="en-GB"/>
              </w:rPr>
              <w:t xml:space="preserve"> </w:t>
            </w:r>
          </w:p>
          <w:p w14:paraId="7D39961C" w14:textId="77777777" w:rsidR="00E03711" w:rsidRPr="00C80136" w:rsidRDefault="00E03711" w:rsidP="00FC4A70">
            <w:pPr>
              <w:pStyle w:val="Guide-NormalBulletpoints"/>
              <w:ind w:left="720"/>
              <w:rPr>
                <w:lang w:val="de-DE"/>
              </w:rPr>
            </w:pPr>
          </w:p>
        </w:tc>
      </w:tr>
    </w:tbl>
    <w:p w14:paraId="7D39961E" w14:textId="77777777" w:rsidR="00E03711" w:rsidRPr="001048FE" w:rsidRDefault="00E03711" w:rsidP="00BB2541">
      <w:pPr>
        <w:pStyle w:val="GUIDE-NORMAL"/>
        <w:rPr>
          <w:lang w:val="sl-SI"/>
        </w:rPr>
      </w:pPr>
      <w:r w:rsidRPr="001048FE">
        <w:rPr>
          <w:lang w:val="sl-SI"/>
        </w:rPr>
        <w:t xml:space="preserve">Organizacije prijaviteljice bodo ocenjene z ustreznimi </w:t>
      </w:r>
      <w:r w:rsidRPr="00860232">
        <w:rPr>
          <w:b/>
          <w:bCs/>
          <w:lang w:val="sl-SI"/>
        </w:rPr>
        <w:t>merili za izključitev in izbor</w:t>
      </w:r>
      <w:r w:rsidRPr="001048FE">
        <w:rPr>
          <w:lang w:val="sl-SI"/>
        </w:rPr>
        <w:t>. Za več informacij glejte del C tega vodnika.</w:t>
      </w:r>
    </w:p>
    <w:p w14:paraId="7D39961F" w14:textId="77777777" w:rsidR="00E03711" w:rsidRPr="001048FE" w:rsidRDefault="00E03711" w:rsidP="00BB2541">
      <w:pPr>
        <w:pStyle w:val="Guide-Heading7"/>
        <w:rPr>
          <w:lang w:val="sl-SI"/>
        </w:rPr>
        <w:sectPr w:rsidR="00E03711" w:rsidRPr="001048FE" w:rsidSect="00E15ED3">
          <w:endnotePr>
            <w:numFmt w:val="decimal"/>
          </w:endnotePr>
          <w:pgSz w:w="11910" w:h="16840" w:code="9"/>
          <w:pgMar w:top="1134" w:right="1418" w:bottom="1134" w:left="1418" w:header="284" w:footer="567" w:gutter="0"/>
          <w:cols w:space="720"/>
          <w:docGrid w:linePitch="326"/>
        </w:sectPr>
      </w:pPr>
    </w:p>
    <w:p w14:paraId="7D399620" w14:textId="77777777" w:rsidR="00E03711" w:rsidRPr="001048FE" w:rsidRDefault="00E03711" w:rsidP="00BB2541">
      <w:pPr>
        <w:pStyle w:val="Guide-Heading7"/>
        <w:rPr>
          <w:lang w:val="sl-SI"/>
        </w:rPr>
      </w:pPr>
      <w:r w:rsidRPr="001048FE">
        <w:rPr>
          <w:lang w:val="sl-SI"/>
        </w:rPr>
        <w:t xml:space="preserve">Merila za dodelitev za sklop </w:t>
      </w:r>
      <w:r>
        <w:rPr>
          <w:lang w:val="sl-SI"/>
        </w:rPr>
        <w:t>2</w:t>
      </w:r>
    </w:p>
    <w:p w14:paraId="7D399621" w14:textId="77777777" w:rsidR="00E03711" w:rsidRPr="001048FE" w:rsidRDefault="00E03711" w:rsidP="00BB2541">
      <w:pPr>
        <w:pStyle w:val="GUIDE-NORMAL"/>
        <w:rPr>
          <w:lang w:val="sl-SI"/>
        </w:rPr>
      </w:pPr>
      <w:r w:rsidRPr="001048FE">
        <w:rPr>
          <w:lang w:val="sl-SI"/>
        </w:rPr>
        <w:t>Predlogi bodo ocenjeni z naslednjimi merili:</w:t>
      </w:r>
    </w:p>
    <w:tbl>
      <w:tblPr>
        <w:tblW w:w="4999" w:type="pct"/>
        <w:tblLayout w:type="fixed"/>
        <w:tblLook w:val="0000" w:firstRow="0" w:lastRow="0" w:firstColumn="0" w:lastColumn="0" w:noHBand="0" w:noVBand="0"/>
      </w:tblPr>
      <w:tblGrid>
        <w:gridCol w:w="1954"/>
        <w:gridCol w:w="7334"/>
      </w:tblGrid>
      <w:tr w:rsidR="00E03711" w:rsidRPr="00C60205" w14:paraId="7D39962C" w14:textId="77777777" w:rsidTr="00B62397">
        <w:trPr>
          <w:trHeight w:val="20"/>
        </w:trPr>
        <w:tc>
          <w:tcPr>
            <w:tcW w:w="1954" w:type="dxa"/>
            <w:tcBorders>
              <w:top w:val="single" w:sz="4" w:space="0" w:color="000000"/>
              <w:left w:val="single" w:sz="4" w:space="0" w:color="000000"/>
              <w:bottom w:val="single" w:sz="4" w:space="0" w:color="000000"/>
              <w:right w:val="single" w:sz="4" w:space="0" w:color="000000"/>
            </w:tcBorders>
            <w:vAlign w:val="center"/>
          </w:tcPr>
          <w:p w14:paraId="7D399622" w14:textId="77777777" w:rsidR="00E03711" w:rsidRPr="00F769E0" w:rsidRDefault="00E03711" w:rsidP="00A13051">
            <w:pPr>
              <w:pStyle w:val="Guide-Table"/>
              <w:spacing w:beforeLines="60" w:before="144" w:afterLines="60" w:after="144"/>
              <w:jc w:val="left"/>
              <w:rPr>
                <w:rFonts w:cs="Tahoma"/>
                <w:b/>
                <w:lang w:val="sl-SI" w:eastAsia="en-GB"/>
              </w:rPr>
            </w:pPr>
            <w:r w:rsidRPr="00F769E0">
              <w:rPr>
                <w:rFonts w:cs="Tahoma"/>
                <w:b/>
                <w:lang w:val="sl-SI" w:eastAsia="en-GB"/>
              </w:rPr>
              <w:t xml:space="preserve">Ustreznost projekta </w:t>
            </w:r>
            <w:r w:rsidRPr="00F769E0">
              <w:rPr>
                <w:rFonts w:cs="Tahoma"/>
                <w:b/>
                <w:lang w:val="sl-SI" w:eastAsia="en-GB"/>
              </w:rPr>
              <w:br/>
              <w:t>(največ 25 točk)</w:t>
            </w:r>
          </w:p>
        </w:tc>
        <w:tc>
          <w:tcPr>
            <w:tcW w:w="7334" w:type="dxa"/>
            <w:tcBorders>
              <w:top w:val="single" w:sz="4" w:space="0" w:color="000000"/>
              <w:left w:val="single" w:sz="4" w:space="0" w:color="000000"/>
              <w:bottom w:val="single" w:sz="4" w:space="0" w:color="000000"/>
              <w:right w:val="single" w:sz="4" w:space="0" w:color="000000"/>
            </w:tcBorders>
            <w:vAlign w:val="center"/>
          </w:tcPr>
          <w:p w14:paraId="7D399623" w14:textId="77777777" w:rsidR="00E03711" w:rsidRPr="001048FE" w:rsidRDefault="00E03711" w:rsidP="005115F2">
            <w:pPr>
              <w:pStyle w:val="Guide-NormalBulletpoints"/>
              <w:numPr>
                <w:ilvl w:val="0"/>
                <w:numId w:val="306"/>
              </w:numPr>
              <w:ind w:left="386" w:hanging="283"/>
              <w:rPr>
                <w:lang w:val="sl-SI"/>
              </w:rPr>
            </w:pPr>
            <w:r w:rsidRPr="001048FE">
              <w:rPr>
                <w:lang w:val="sl-SI"/>
              </w:rPr>
              <w:t>Povezava s politikami in pobudami EU: predlog upošteva evropske cilje na področju PIU in prispeva k njihovemu doseganju; upošteva obstoječa orodja in pobude EU za razvoj spretnosti ter prispeva k njihovi večji prepoznavnosti;</w:t>
            </w:r>
          </w:p>
          <w:p w14:paraId="7D399624" w14:textId="77777777" w:rsidR="00E03711" w:rsidRPr="001048FE" w:rsidRDefault="00E03711" w:rsidP="005115F2">
            <w:pPr>
              <w:pStyle w:val="Guide-NormalBulletpoints"/>
              <w:numPr>
                <w:ilvl w:val="0"/>
                <w:numId w:val="306"/>
              </w:numPr>
              <w:ind w:left="386" w:hanging="283"/>
              <w:rPr>
                <w:lang w:val="sl-SI"/>
              </w:rPr>
            </w:pPr>
            <w:r>
              <w:rPr>
                <w:lang w:val="sl-SI"/>
              </w:rPr>
              <w:t>Z</w:t>
            </w:r>
            <w:r w:rsidRPr="001048FE">
              <w:rPr>
                <w:lang w:val="sl-SI"/>
              </w:rPr>
              <w:t>astopanost izobraževanja: koalicija vključuje partnerje, ki ustrezno zastopajo ponudnike izobraževanja;</w:t>
            </w:r>
          </w:p>
          <w:p w14:paraId="7D399625" w14:textId="77777777" w:rsidR="00E03711" w:rsidRPr="001048FE" w:rsidRDefault="00E03711" w:rsidP="005115F2">
            <w:pPr>
              <w:pStyle w:val="Guide-NormalBulletpoints"/>
              <w:numPr>
                <w:ilvl w:val="0"/>
                <w:numId w:val="306"/>
              </w:numPr>
              <w:ind w:left="386" w:hanging="283"/>
              <w:rPr>
                <w:lang w:val="sl-SI"/>
              </w:rPr>
            </w:pPr>
            <w:r>
              <w:rPr>
                <w:lang w:val="sl-SI"/>
              </w:rPr>
              <w:t>S</w:t>
            </w:r>
            <w:r w:rsidRPr="001048FE">
              <w:rPr>
                <w:lang w:val="sl-SI"/>
              </w:rPr>
              <w:t>ektorska zastopanost: koalicija vključuje partnerje, ki ustrezno zastopajo zadevni sektor;</w:t>
            </w:r>
          </w:p>
          <w:p w14:paraId="7D399626" w14:textId="77777777" w:rsidR="00E03711" w:rsidRPr="001048FE" w:rsidRDefault="00E03711" w:rsidP="005115F2">
            <w:pPr>
              <w:pStyle w:val="Guide-NormalBulletpoints"/>
              <w:numPr>
                <w:ilvl w:val="0"/>
                <w:numId w:val="306"/>
              </w:numPr>
              <w:ind w:left="386" w:hanging="283"/>
              <w:rPr>
                <w:lang w:val="sl-SI"/>
              </w:rPr>
            </w:pPr>
            <w:r>
              <w:rPr>
                <w:lang w:val="sl-SI"/>
              </w:rPr>
              <w:t>D</w:t>
            </w:r>
            <w:r w:rsidRPr="008B2C7D">
              <w:rPr>
                <w:lang w:val="sl-SI"/>
              </w:rPr>
              <w:t>igitalne in ključne omogočitvene tehnologije, vključno s spretnostmi na področju umetne inteligence: v kolikšni meri predlog te spretnosti vključuje v vsebine usposabljanja za enega ali več povezanih poklicnih profilov.</w:t>
            </w:r>
            <w:r>
              <w:rPr>
                <w:lang w:val="sl-SI"/>
              </w:rPr>
              <w:t xml:space="preserve"> </w:t>
            </w:r>
            <w:r w:rsidRPr="001048FE">
              <w:rPr>
                <w:lang w:val="sl-SI"/>
              </w:rPr>
              <w:t>Predlogi, ki vključujejo ta vidik, bodo obravnavani kot zelo ustrezni;</w:t>
            </w:r>
          </w:p>
          <w:p w14:paraId="7D399627" w14:textId="77777777" w:rsidR="00E03711" w:rsidRPr="001048FE" w:rsidRDefault="00E03711" w:rsidP="005115F2">
            <w:pPr>
              <w:pStyle w:val="Guide-NormalBulletpoints"/>
              <w:numPr>
                <w:ilvl w:val="0"/>
                <w:numId w:val="306"/>
              </w:numPr>
              <w:ind w:left="386" w:hanging="283"/>
              <w:rPr>
                <w:lang w:val="sl-SI"/>
              </w:rPr>
            </w:pPr>
            <w:r>
              <w:rPr>
                <w:lang w:val="sl-SI"/>
              </w:rPr>
              <w:t>Z</w:t>
            </w:r>
            <w:r w:rsidRPr="001048FE">
              <w:rPr>
                <w:lang w:val="sl-SI"/>
              </w:rPr>
              <w:t>elene in modre spretnosti: v kolikšni meri predlog vključuje spretnosti, povezane s prehodom na krožno in bolj zeleno gospodarstvo, in sicer z vidika potreb po spretnostih in vidika vsebine usposabljanja za enega ali več povezanih poklicnih profilov. Predlogi, ki vključujejo ta vidik, bodo obravnavani kot zelo ustrezni;</w:t>
            </w:r>
          </w:p>
          <w:p w14:paraId="7D399628" w14:textId="77777777" w:rsidR="00E03711" w:rsidRPr="001048FE" w:rsidRDefault="00E03711" w:rsidP="005115F2">
            <w:pPr>
              <w:pStyle w:val="Guide-NormalBulletpoints"/>
              <w:numPr>
                <w:ilvl w:val="0"/>
                <w:numId w:val="306"/>
              </w:numPr>
              <w:ind w:left="386" w:hanging="283"/>
              <w:rPr>
                <w:lang w:val="sl-SI"/>
              </w:rPr>
            </w:pPr>
            <w:r>
              <w:rPr>
                <w:lang w:val="sl-SI"/>
              </w:rPr>
              <w:t>N</w:t>
            </w:r>
            <w:r w:rsidRPr="001048FE">
              <w:rPr>
                <w:lang w:val="sl-SI"/>
              </w:rPr>
              <w:t>amen: predlog je usklajen s cilji ukrepa, temami in aktivnostmi, opisanimi v poglavju 2. Prispeva k ustvarjanju mednarodnih mrež in orodij za sodelovanje med ustreznimi deležniki za prilagoditev izobraževanja nastajajočim potrebam industrije sektorja;</w:t>
            </w:r>
          </w:p>
          <w:p w14:paraId="7D399629" w14:textId="77777777" w:rsidR="00E03711" w:rsidRPr="001048FE" w:rsidRDefault="00E03711" w:rsidP="005115F2">
            <w:pPr>
              <w:pStyle w:val="Guide-NormalBulletpoints"/>
              <w:numPr>
                <w:ilvl w:val="0"/>
                <w:numId w:val="306"/>
              </w:numPr>
              <w:ind w:left="386" w:hanging="283"/>
              <w:rPr>
                <w:lang w:val="sl-SI"/>
              </w:rPr>
            </w:pPr>
            <w:r>
              <w:rPr>
                <w:lang w:val="sl-SI"/>
              </w:rPr>
              <w:t>U</w:t>
            </w:r>
            <w:r w:rsidRPr="001048FE">
              <w:rPr>
                <w:lang w:val="sl-SI"/>
              </w:rPr>
              <w:t>sklajenost: cilji temeljijo na tehtni analizi potreb; so jasno opredeljeni in realistični ter obravnavajo vprašanja, ki so pomembna za sodelujoče organizacije in ukrep;</w:t>
            </w:r>
          </w:p>
          <w:p w14:paraId="7D39962A" w14:textId="77777777" w:rsidR="00E03711" w:rsidRPr="001048FE" w:rsidRDefault="00E03711" w:rsidP="005115F2">
            <w:pPr>
              <w:pStyle w:val="Guide-NormalBulletpoints"/>
              <w:numPr>
                <w:ilvl w:val="0"/>
                <w:numId w:val="306"/>
              </w:numPr>
              <w:ind w:left="386" w:hanging="283"/>
              <w:rPr>
                <w:lang w:val="sl-SI"/>
              </w:rPr>
            </w:pPr>
            <w:r>
              <w:rPr>
                <w:lang w:val="sl-SI"/>
              </w:rPr>
              <w:t>I</w:t>
            </w:r>
            <w:r w:rsidRPr="001048FE">
              <w:rPr>
                <w:lang w:val="sl-SI"/>
              </w:rPr>
              <w:t>novacije: predlog obravnava najsodobnejše metode in tehnike ter vodi do inovativnih rezultatov in rešitev;</w:t>
            </w:r>
          </w:p>
          <w:p w14:paraId="7D39962B" w14:textId="77777777" w:rsidR="00E03711" w:rsidRPr="001048FE" w:rsidRDefault="00E03711" w:rsidP="005115F2">
            <w:pPr>
              <w:pStyle w:val="Guide-NormalBulletpoints"/>
              <w:numPr>
                <w:ilvl w:val="0"/>
                <w:numId w:val="306"/>
              </w:numPr>
              <w:ind w:left="386" w:hanging="283"/>
              <w:rPr>
                <w:lang w:val="sl-SI"/>
              </w:rPr>
            </w:pPr>
            <w:r>
              <w:rPr>
                <w:lang w:val="sl-SI"/>
              </w:rPr>
              <w:t>E</w:t>
            </w:r>
            <w:r w:rsidRPr="001048FE">
              <w:rPr>
                <w:lang w:val="sl-SI"/>
              </w:rPr>
              <w:t>vropska dodana vrednost: predlog jasno kaže dodano vrednost, ki bo ustvarjena na podlagi mednarodnosti projekta.</w:t>
            </w:r>
          </w:p>
        </w:tc>
      </w:tr>
      <w:tr w:rsidR="00E03711" w:rsidRPr="00C60205" w14:paraId="7D399635" w14:textId="77777777" w:rsidTr="00B62397">
        <w:trPr>
          <w:trHeight w:val="20"/>
        </w:trPr>
        <w:tc>
          <w:tcPr>
            <w:tcW w:w="1954" w:type="dxa"/>
            <w:tcBorders>
              <w:top w:val="single" w:sz="4" w:space="0" w:color="000000"/>
              <w:left w:val="single" w:sz="4" w:space="0" w:color="000000"/>
              <w:bottom w:val="single" w:sz="4" w:space="0" w:color="000000"/>
              <w:right w:val="single" w:sz="4" w:space="0" w:color="000000"/>
            </w:tcBorders>
            <w:vAlign w:val="center"/>
          </w:tcPr>
          <w:p w14:paraId="7D39962D" w14:textId="77777777" w:rsidR="00E03711" w:rsidRPr="00F769E0" w:rsidRDefault="00E03711" w:rsidP="00A13051">
            <w:pPr>
              <w:pStyle w:val="Guide-Table"/>
              <w:spacing w:beforeLines="60" w:before="144" w:afterLines="60" w:after="144"/>
              <w:jc w:val="left"/>
              <w:rPr>
                <w:rFonts w:cs="Tahoma"/>
                <w:b/>
                <w:lang w:val="sl-SI" w:eastAsia="en-GB"/>
              </w:rPr>
            </w:pPr>
            <w:r w:rsidRPr="00F769E0">
              <w:rPr>
                <w:rFonts w:cs="Tahoma"/>
                <w:b/>
                <w:lang w:val="sl-SI" w:eastAsia="en-GB"/>
              </w:rPr>
              <w:t xml:space="preserve">Kakovost zasnove in izvedbe projekta </w:t>
            </w:r>
            <w:r w:rsidRPr="00F769E0">
              <w:rPr>
                <w:rFonts w:cs="Tahoma"/>
                <w:b/>
                <w:lang w:val="sl-SI" w:eastAsia="en-GB"/>
              </w:rPr>
              <w:br/>
              <w:t>(največ 30 točk)</w:t>
            </w:r>
          </w:p>
        </w:tc>
        <w:tc>
          <w:tcPr>
            <w:tcW w:w="7334" w:type="dxa"/>
            <w:tcBorders>
              <w:top w:val="single" w:sz="4" w:space="0" w:color="000000"/>
              <w:left w:val="single" w:sz="4" w:space="0" w:color="000000"/>
              <w:bottom w:val="single" w:sz="4" w:space="0" w:color="000000"/>
              <w:right w:val="single" w:sz="4" w:space="0" w:color="000000"/>
            </w:tcBorders>
            <w:vAlign w:val="center"/>
          </w:tcPr>
          <w:p w14:paraId="7D39962E" w14:textId="77777777" w:rsidR="00E03711" w:rsidRPr="001048FE" w:rsidRDefault="00E03711" w:rsidP="005115F2">
            <w:pPr>
              <w:pStyle w:val="Guide-NormalBulletpoints"/>
              <w:numPr>
                <w:ilvl w:val="0"/>
                <w:numId w:val="307"/>
              </w:numPr>
              <w:ind w:left="386" w:hanging="283"/>
              <w:rPr>
                <w:lang w:val="sl-SI"/>
              </w:rPr>
            </w:pPr>
            <w:r w:rsidRPr="001048FE">
              <w:rPr>
                <w:lang w:val="sl-SI"/>
              </w:rPr>
              <w:t>Skladnost: splošna zasnova projekta zagotavlja usklajenost ciljev, metodologije, aktivnosti in predlaganega proračuna projekta. Predlog vsebuje usklajen in celovit nabor ustreznih aktivnosti za izpolnjevanje opredeljenih potreb in doseganje pričakovanih rezultatov;</w:t>
            </w:r>
          </w:p>
          <w:p w14:paraId="7D39962F" w14:textId="77777777" w:rsidR="00E03711" w:rsidRPr="001048FE" w:rsidRDefault="00E03711" w:rsidP="005115F2">
            <w:pPr>
              <w:pStyle w:val="Guide-NormalBulletpoints"/>
              <w:numPr>
                <w:ilvl w:val="0"/>
                <w:numId w:val="307"/>
              </w:numPr>
              <w:ind w:left="386" w:hanging="283"/>
              <w:rPr>
                <w:lang w:val="sl-SI"/>
              </w:rPr>
            </w:pPr>
            <w:r>
              <w:rPr>
                <w:lang w:val="sl-SI"/>
              </w:rPr>
              <w:t>S</w:t>
            </w:r>
            <w:r w:rsidRPr="001048FE">
              <w:rPr>
                <w:lang w:val="sl-SI"/>
              </w:rPr>
              <w:t>truktura: delovni program je jasen in razumljiv ter zajema vse faze (priprava, izvajanje, uporaba, spremljanje, ocenjevanje in razširjanje);</w:t>
            </w:r>
          </w:p>
          <w:p w14:paraId="7D399630" w14:textId="77777777" w:rsidR="00E03711" w:rsidRPr="001048FE" w:rsidRDefault="00E03711" w:rsidP="005115F2">
            <w:pPr>
              <w:pStyle w:val="Guide-NormalBulletpoints"/>
              <w:numPr>
                <w:ilvl w:val="0"/>
                <w:numId w:val="307"/>
              </w:numPr>
              <w:ind w:left="386" w:hanging="283"/>
              <w:rPr>
                <w:lang w:val="sl-SI"/>
              </w:rPr>
            </w:pPr>
            <w:r>
              <w:rPr>
                <w:lang w:val="sl-SI"/>
              </w:rPr>
              <w:t>M</w:t>
            </w:r>
            <w:r w:rsidRPr="001048FE">
              <w:rPr>
                <w:lang w:val="sl-SI"/>
              </w:rPr>
              <w:t>etodologija: predlog je skladen ter uporablja instrumente in orodja EU, povezana s spretnostmi in poklici, kot so EOK</w:t>
            </w:r>
            <w:r w:rsidRPr="001048FE">
              <w:rPr>
                <w:rStyle w:val="FootnoteReference"/>
                <w:lang w:val="sl-SI"/>
              </w:rPr>
              <w:footnoteReference w:id="187"/>
            </w:r>
            <w:r w:rsidRPr="001048FE">
              <w:rPr>
                <w:lang w:val="sl-SI"/>
              </w:rPr>
              <w:t>, ECVET</w:t>
            </w:r>
            <w:r w:rsidRPr="001048FE">
              <w:rPr>
                <w:rStyle w:val="FootnoteReference"/>
                <w:lang w:val="sl-SI"/>
              </w:rPr>
              <w:footnoteReference w:id="188"/>
            </w:r>
            <w:r w:rsidRPr="001048FE">
              <w:rPr>
                <w:lang w:val="sl-SI"/>
              </w:rPr>
              <w:t>, EQAVET</w:t>
            </w:r>
            <w:r w:rsidRPr="001048FE">
              <w:rPr>
                <w:rStyle w:val="FootnoteReference"/>
                <w:lang w:val="sl-SI"/>
              </w:rPr>
              <w:footnoteReference w:id="189"/>
            </w:r>
            <w:r w:rsidRPr="001048FE">
              <w:rPr>
                <w:lang w:val="sl-SI"/>
              </w:rPr>
              <w:t>, Europass</w:t>
            </w:r>
            <w:r w:rsidRPr="001048FE">
              <w:rPr>
                <w:rStyle w:val="FootnoteReference"/>
                <w:lang w:val="sl-SI"/>
              </w:rPr>
              <w:footnoteReference w:id="190"/>
            </w:r>
            <w:r w:rsidRPr="001048FE">
              <w:rPr>
                <w:lang w:val="sl-SI"/>
              </w:rPr>
              <w:t>, EURES</w:t>
            </w:r>
            <w:r w:rsidRPr="001048FE">
              <w:rPr>
                <w:rStyle w:val="FootnoteReference"/>
                <w:lang w:val="sl-SI"/>
              </w:rPr>
              <w:footnoteReference w:id="191"/>
            </w:r>
            <w:r w:rsidRPr="001048FE">
              <w:rPr>
                <w:lang w:val="sl-SI"/>
              </w:rPr>
              <w:t>, Drop'pin</w:t>
            </w:r>
            <w:r w:rsidRPr="001048FE">
              <w:rPr>
                <w:rStyle w:val="FootnoteReference"/>
                <w:lang w:val="sl-SI"/>
              </w:rPr>
              <w:footnoteReference w:id="192"/>
            </w:r>
            <w:r w:rsidRPr="001048FE">
              <w:rPr>
                <w:lang w:val="sl-SI"/>
              </w:rPr>
              <w:t>, ESCO</w:t>
            </w:r>
            <w:r w:rsidRPr="001048FE">
              <w:rPr>
                <w:rStyle w:val="FootnoteReference"/>
                <w:lang w:val="sl-SI"/>
              </w:rPr>
              <w:footnoteReference w:id="193"/>
            </w:r>
            <w:r w:rsidRPr="001048FE">
              <w:rPr>
                <w:lang w:val="sl-SI"/>
              </w:rPr>
              <w:t xml:space="preserve"> itd. Kadar je mogoče, predlog upošteva in izkorišča prejšnje ustrezne aktivnosti (npr. pobude držav Programa, skupnosti znanja in inovacij Evropskega inštituta za inovacije in tehnologijo (EIT)</w:t>
            </w:r>
            <w:r w:rsidRPr="001048FE">
              <w:rPr>
                <w:rStyle w:val="FootnoteReference"/>
                <w:lang w:val="sl-SI"/>
              </w:rPr>
              <w:footnoteReference w:id="194"/>
            </w:r>
            <w:r w:rsidRPr="001048FE">
              <w:rPr>
                <w:lang w:val="sl-SI"/>
              </w:rPr>
              <w:t>), prejšnje in sedanje koalicije sektorskih spretnosti</w:t>
            </w:r>
            <w:r w:rsidRPr="001048FE">
              <w:rPr>
                <w:rStyle w:val="FootnoteReference"/>
                <w:lang w:val="sl-SI"/>
              </w:rPr>
              <w:footnoteReference w:id="195"/>
            </w:r>
            <w:r w:rsidRPr="001048FE">
              <w:rPr>
                <w:lang w:val="sl-SI"/>
              </w:rPr>
              <w:t>. Predlog uporablja pristop na podlagi učnih izidov, ECVET (enote učnih izidov) in načela zagotavljanja kakovosti, ki so skladna z EQUAVET;</w:t>
            </w:r>
          </w:p>
          <w:p w14:paraId="7D399631" w14:textId="77777777" w:rsidR="00E03711" w:rsidRPr="001048FE" w:rsidRDefault="00E03711" w:rsidP="005115F2">
            <w:pPr>
              <w:pStyle w:val="Guide-NormalBulletpoints"/>
              <w:numPr>
                <w:ilvl w:val="0"/>
                <w:numId w:val="307"/>
              </w:numPr>
              <w:ind w:left="386" w:hanging="283"/>
              <w:rPr>
                <w:lang w:val="sl-SI"/>
              </w:rPr>
            </w:pPr>
            <w:r>
              <w:rPr>
                <w:lang w:val="sl-SI"/>
              </w:rPr>
              <w:t>U</w:t>
            </w:r>
            <w:r w:rsidRPr="001048FE">
              <w:rPr>
                <w:lang w:val="sl-SI"/>
              </w:rPr>
              <w:t>pravljanje: predvidene so trdne ureditve upravljanja. Časovni razpored, organizacija, naloge in odgovornosti so dobro opredeljeni in realistični. Predlog dodeljuje ustrezna sredstva posameznim aktivnostim;</w:t>
            </w:r>
          </w:p>
          <w:p w14:paraId="7D399632" w14:textId="77777777" w:rsidR="00E03711" w:rsidRPr="001048FE" w:rsidRDefault="00E03711" w:rsidP="005115F2">
            <w:pPr>
              <w:pStyle w:val="Guide-NormalBulletpoints"/>
              <w:numPr>
                <w:ilvl w:val="0"/>
                <w:numId w:val="307"/>
              </w:numPr>
              <w:ind w:left="386" w:hanging="283"/>
              <w:rPr>
                <w:lang w:val="sl-SI"/>
              </w:rPr>
            </w:pPr>
            <w:r>
              <w:rPr>
                <w:lang w:val="sl-SI"/>
              </w:rPr>
              <w:t>P</w:t>
            </w:r>
            <w:r w:rsidRPr="001048FE">
              <w:rPr>
                <w:lang w:val="sl-SI"/>
              </w:rPr>
              <w:t>roračun: proračun zagotavlja ustrezna sredstva, ki so potrebna za uspeh, in ni precenjen niti podcenjen;</w:t>
            </w:r>
          </w:p>
          <w:p w14:paraId="7D399633" w14:textId="77777777" w:rsidR="00E03711" w:rsidRPr="001048FE" w:rsidRDefault="00E03711" w:rsidP="005115F2">
            <w:pPr>
              <w:pStyle w:val="Guide-NormalBulletpoints"/>
              <w:numPr>
                <w:ilvl w:val="0"/>
                <w:numId w:val="307"/>
              </w:numPr>
              <w:ind w:left="386" w:hanging="283"/>
              <w:rPr>
                <w:lang w:val="sl-SI"/>
              </w:rPr>
            </w:pPr>
            <w:r>
              <w:rPr>
                <w:lang w:val="sl-SI"/>
              </w:rPr>
              <w:t>K</w:t>
            </w:r>
            <w:r w:rsidRPr="001048FE">
              <w:rPr>
                <w:lang w:val="sl-SI"/>
              </w:rPr>
              <w:t>akovost ureditev za priznavanje in potrjevanje učnih izidov udeležencev v skladu z evropskimi orodji in načeli za preglednost in priznavanje;</w:t>
            </w:r>
          </w:p>
          <w:p w14:paraId="7D399634" w14:textId="77777777" w:rsidR="00E03711" w:rsidRPr="001048FE" w:rsidRDefault="00E03711" w:rsidP="005115F2">
            <w:pPr>
              <w:pStyle w:val="Guide-NormalBulletpoints"/>
              <w:numPr>
                <w:ilvl w:val="0"/>
                <w:numId w:val="307"/>
              </w:numPr>
              <w:ind w:left="386" w:hanging="283"/>
              <w:rPr>
                <w:lang w:val="sl-SI"/>
              </w:rPr>
            </w:pPr>
            <w:r>
              <w:rPr>
                <w:lang w:val="sl-SI"/>
              </w:rPr>
              <w:t>N</w:t>
            </w:r>
            <w:r w:rsidRPr="001048FE">
              <w:rPr>
                <w:lang w:val="sl-SI"/>
              </w:rPr>
              <w:t>adzor sredstev in kakovosti: ukrepi za nadzor (stalno ocenjevanje kakovosti, medsebojni strokovni pregledi, aktivnosti primerjalne analize itd.) in kazalniki kakovosti zagotavljajo, da je izvajanje projekta visokokakovostno in stroškovno učinkovito. Izzivi/tveganja v zvezi s projektom so jasno opredeljeni in blažilni ukrepi so ustrezno obravnavani. Postopki strokovnega pregleda so načrtovani kot sestavni del projekta. Delovni program koalicije vključuje neodvisno zunanjo oceno kakovosti, vmesno in ob koncu projekta.</w:t>
            </w:r>
          </w:p>
        </w:tc>
      </w:tr>
      <w:tr w:rsidR="00E03711" w:rsidRPr="00C60205" w14:paraId="7D399640" w14:textId="77777777" w:rsidTr="00B62397">
        <w:trPr>
          <w:trHeight w:val="20"/>
        </w:trPr>
        <w:tc>
          <w:tcPr>
            <w:tcW w:w="1954" w:type="dxa"/>
            <w:tcBorders>
              <w:top w:val="single" w:sz="4" w:space="0" w:color="000000"/>
              <w:left w:val="single" w:sz="4" w:space="0" w:color="000000"/>
              <w:bottom w:val="single" w:sz="4" w:space="0" w:color="000000"/>
              <w:right w:val="single" w:sz="4" w:space="0" w:color="000000"/>
            </w:tcBorders>
            <w:vAlign w:val="center"/>
          </w:tcPr>
          <w:p w14:paraId="7D399636" w14:textId="77777777" w:rsidR="00E03711" w:rsidRPr="00F769E0" w:rsidRDefault="00E03711" w:rsidP="00B21ADD">
            <w:pPr>
              <w:pStyle w:val="Guide-Table"/>
              <w:spacing w:before="60" w:after="60"/>
              <w:jc w:val="left"/>
              <w:rPr>
                <w:rFonts w:cs="Tahoma"/>
                <w:b/>
                <w:lang w:val="sl-SI" w:eastAsia="en-GB"/>
              </w:rPr>
            </w:pPr>
          </w:p>
          <w:p w14:paraId="7D399637" w14:textId="77777777" w:rsidR="00E03711" w:rsidRPr="00F769E0" w:rsidRDefault="00E03711" w:rsidP="00B21ADD">
            <w:pPr>
              <w:pStyle w:val="Guide-Table"/>
              <w:spacing w:before="60" w:after="60"/>
              <w:jc w:val="left"/>
              <w:rPr>
                <w:rFonts w:cs="Tahoma"/>
                <w:b/>
                <w:lang w:val="sl-SI" w:eastAsia="en-GB"/>
              </w:rPr>
            </w:pPr>
          </w:p>
          <w:p w14:paraId="7D399638" w14:textId="77777777" w:rsidR="00E03711" w:rsidRPr="00F769E0" w:rsidRDefault="00E03711" w:rsidP="00B21ADD">
            <w:pPr>
              <w:pStyle w:val="Guide-Table"/>
              <w:spacing w:before="60" w:after="60"/>
              <w:jc w:val="left"/>
              <w:rPr>
                <w:rFonts w:cs="Tahoma"/>
                <w:b/>
                <w:lang w:val="sl-SI" w:eastAsia="en-GB"/>
              </w:rPr>
            </w:pPr>
          </w:p>
          <w:p w14:paraId="7D399639" w14:textId="77777777" w:rsidR="00E03711" w:rsidRPr="00F769E0" w:rsidRDefault="00E03711" w:rsidP="00B21ADD">
            <w:pPr>
              <w:pStyle w:val="Guide-Table"/>
              <w:spacing w:before="60" w:after="60"/>
              <w:jc w:val="left"/>
              <w:rPr>
                <w:rFonts w:cs="Tahoma"/>
                <w:b/>
                <w:lang w:val="sl-SI" w:eastAsia="en-GB"/>
              </w:rPr>
            </w:pPr>
          </w:p>
          <w:p w14:paraId="7D39963A" w14:textId="77777777" w:rsidR="00E03711" w:rsidRPr="00F769E0" w:rsidRDefault="00E03711" w:rsidP="00B21ADD">
            <w:pPr>
              <w:pStyle w:val="Guide-Table"/>
              <w:spacing w:before="60" w:after="60"/>
              <w:jc w:val="left"/>
              <w:rPr>
                <w:rFonts w:cs="Tahoma"/>
                <w:b/>
                <w:lang w:val="sl-SI" w:eastAsia="en-GB"/>
              </w:rPr>
            </w:pPr>
          </w:p>
          <w:p w14:paraId="7D39963B" w14:textId="77777777" w:rsidR="00E03711" w:rsidRPr="00F769E0" w:rsidRDefault="00E03711" w:rsidP="00A13051">
            <w:pPr>
              <w:pStyle w:val="Guide-Table"/>
              <w:spacing w:beforeLines="60" w:before="144" w:afterLines="60" w:after="144"/>
              <w:jc w:val="left"/>
              <w:rPr>
                <w:rFonts w:cs="Tahoma"/>
                <w:b/>
                <w:lang w:val="sl-SI" w:eastAsia="en-GB"/>
              </w:rPr>
            </w:pPr>
            <w:r w:rsidRPr="00F769E0">
              <w:rPr>
                <w:rFonts w:cs="Tahoma"/>
                <w:b/>
                <w:lang w:val="sl-SI" w:eastAsia="en-GB"/>
              </w:rPr>
              <w:t>Kakovost projektne skupine in dogovorov o sodelovanju (največ 25 točk)</w:t>
            </w:r>
          </w:p>
        </w:tc>
        <w:tc>
          <w:tcPr>
            <w:tcW w:w="7334" w:type="dxa"/>
            <w:tcBorders>
              <w:top w:val="single" w:sz="4" w:space="0" w:color="000000"/>
              <w:left w:val="single" w:sz="4" w:space="0" w:color="000000"/>
              <w:bottom w:val="single" w:sz="4" w:space="0" w:color="000000"/>
              <w:right w:val="single" w:sz="4" w:space="0" w:color="000000"/>
            </w:tcBorders>
            <w:vAlign w:val="center"/>
          </w:tcPr>
          <w:p w14:paraId="7D39963C" w14:textId="77777777" w:rsidR="00E03711" w:rsidRPr="00237696" w:rsidRDefault="00E03711" w:rsidP="005115F2">
            <w:pPr>
              <w:pStyle w:val="Guide-NormalBulletpoints"/>
              <w:numPr>
                <w:ilvl w:val="0"/>
                <w:numId w:val="308"/>
              </w:numPr>
              <w:ind w:left="386" w:hanging="283"/>
              <w:rPr>
                <w:rStyle w:val="Guide-Condensed-01"/>
                <w:rFonts w:cs="Times New Roman"/>
                <w:color w:val="000000"/>
                <w:lang w:val="sl-SI" w:eastAsia="zh-CN"/>
              </w:rPr>
            </w:pPr>
            <w:r w:rsidRPr="00237696">
              <w:rPr>
                <w:rStyle w:val="Guide-Condensed-01"/>
                <w:lang w:val="sl-SI"/>
              </w:rPr>
              <w:t>Sestava: sestava koalicije je skladna s cilji projekta ter ustrezno združuje strokovno znanje in kompetence, potrebne v zvezi z opredeljevanjem in napovedovanjem spretnosti, ponudbo spretnosti, oblikovanjem učnih načrtov in standardov kakovosti, metodologijo izvajanja usposabljanja in politikami usposabljanja. Partnerji združujejo sistemske in sektorske informacije z dobrim poznavanjem potreb po spretnostih in praks usposabljanja v svojem gospodarskem sektorju. Koalicija zagotavlja ustrezno zastopanost celotnega sektorja: zastopanost in strokovno znanje partnerjev v zadevnem sektorju in na evropski ravni sta prepričljivo prikazana. Udeležba evropskih socialnih partnerjev in/ali nacionalnih socialnih partnerjev v državah, ki jih pokriva koalicija, je zelo relevantna. Geografska porazdelitev in zastopanost ustreznih partnerjev v državah Programa, vključenih v koalicijo, bi morali biti takšni, da ima koalicija veliko zmogljivost izvajanja v državah, ki so zajete v koalicijo (npr. z udeležbo evropske sektorske organizacije ali evropskih socialnih partnerjev). Če predlog vključuje tudi organe z regulativno funkcijo v izobraževanju in usposabljanju, bo upoštevan kot zelo ustrezen;</w:t>
            </w:r>
          </w:p>
          <w:p w14:paraId="7D39963D" w14:textId="77777777" w:rsidR="00E03711" w:rsidRPr="001048FE" w:rsidRDefault="00E03711" w:rsidP="005115F2">
            <w:pPr>
              <w:pStyle w:val="Guide-NormalBulletpoints"/>
              <w:numPr>
                <w:ilvl w:val="0"/>
                <w:numId w:val="308"/>
              </w:numPr>
              <w:ind w:left="386" w:hanging="283"/>
              <w:rPr>
                <w:lang w:val="sl-SI"/>
              </w:rPr>
            </w:pPr>
            <w:r>
              <w:rPr>
                <w:lang w:val="sl-SI"/>
              </w:rPr>
              <w:t>Z</w:t>
            </w:r>
            <w:r w:rsidRPr="001048FE">
              <w:rPr>
                <w:lang w:val="sl-SI"/>
              </w:rPr>
              <w:t>avezanost: porazdelitev odgovornosti in nalog je jasna in ustrezna, iz nje pa sta razvidna zavezanost in dejavno prispevanje vseh sodelujočih organizacij glede na njihovo specifično strokovno znanje in zmogljivosti;</w:t>
            </w:r>
          </w:p>
          <w:p w14:paraId="7D39963E" w14:textId="77777777" w:rsidR="00E03711" w:rsidRPr="001048FE" w:rsidRDefault="00E03711" w:rsidP="005115F2">
            <w:pPr>
              <w:pStyle w:val="Guide-NormalBulletpoints"/>
              <w:numPr>
                <w:ilvl w:val="0"/>
                <w:numId w:val="308"/>
              </w:numPr>
              <w:ind w:left="386" w:hanging="283"/>
              <w:rPr>
                <w:lang w:val="sl-SI"/>
              </w:rPr>
            </w:pPr>
            <w:r>
              <w:rPr>
                <w:lang w:val="sl-SI"/>
              </w:rPr>
              <w:t>N</w:t>
            </w:r>
            <w:r w:rsidRPr="001048FE">
              <w:rPr>
                <w:lang w:val="sl-SI"/>
              </w:rPr>
              <w:t>aloge: koordinator pokaže visokokakovostno upravljanje in koordinacijo mednarodnih mrež ter vodstvo v zahtevnem okolju. Posamezne naloge so dodeljene na podlagi specifičnega strokovnega znanja posameznih partnerjev;</w:t>
            </w:r>
          </w:p>
          <w:p w14:paraId="7D39963F" w14:textId="77777777" w:rsidR="00E03711" w:rsidRPr="001048FE" w:rsidRDefault="00E03711" w:rsidP="005115F2">
            <w:pPr>
              <w:pStyle w:val="Guide-NormalBulletpoints"/>
              <w:numPr>
                <w:ilvl w:val="0"/>
                <w:numId w:val="308"/>
              </w:numPr>
              <w:ind w:left="386" w:hanging="283"/>
              <w:rPr>
                <w:lang w:val="sl-SI"/>
              </w:rPr>
            </w:pPr>
            <w:r>
              <w:rPr>
                <w:lang w:val="sl-SI"/>
              </w:rPr>
              <w:t>S</w:t>
            </w:r>
            <w:r w:rsidRPr="001048FE">
              <w:rPr>
                <w:lang w:val="sl-SI"/>
              </w:rPr>
              <w:t>odelovanje/skupinski duh: predlagan je učinkovit mehanizem za zagotavljanje dobre koordinacije, odločanja in obveščanja med sodelujočimi organizacijami, udeleženci in vsemi drugimi zadevnimi deležniki.</w:t>
            </w:r>
          </w:p>
        </w:tc>
      </w:tr>
      <w:tr w:rsidR="00E03711" w:rsidRPr="00C60205" w14:paraId="7D399647" w14:textId="77777777" w:rsidTr="00B62397">
        <w:trPr>
          <w:trHeight w:val="20"/>
        </w:trPr>
        <w:tc>
          <w:tcPr>
            <w:tcW w:w="1954" w:type="dxa"/>
            <w:tcBorders>
              <w:top w:val="single" w:sz="4" w:space="0" w:color="000000"/>
              <w:left w:val="single" w:sz="4" w:space="0" w:color="000000"/>
              <w:bottom w:val="single" w:sz="4" w:space="0" w:color="000000"/>
              <w:right w:val="single" w:sz="4" w:space="0" w:color="000000"/>
            </w:tcBorders>
            <w:vAlign w:val="center"/>
          </w:tcPr>
          <w:p w14:paraId="7D399641" w14:textId="77777777" w:rsidR="00E03711" w:rsidRPr="00F769E0" w:rsidRDefault="00E03711" w:rsidP="00A13051">
            <w:pPr>
              <w:pStyle w:val="Guide-Table"/>
              <w:spacing w:beforeLines="60" w:before="144" w:afterLines="60" w:after="144"/>
              <w:jc w:val="left"/>
              <w:rPr>
                <w:rFonts w:cs="Tahoma"/>
                <w:b/>
                <w:lang w:val="sl-SI" w:eastAsia="en-GB"/>
              </w:rPr>
            </w:pPr>
            <w:r w:rsidRPr="00F769E0">
              <w:rPr>
                <w:rFonts w:cs="Tahoma"/>
                <w:b/>
                <w:lang w:val="sl-SI" w:eastAsia="en-GB"/>
              </w:rPr>
              <w:t>Učinek in razširjanje (največ 20 točk)</w:t>
            </w:r>
          </w:p>
        </w:tc>
        <w:tc>
          <w:tcPr>
            <w:tcW w:w="7334" w:type="dxa"/>
            <w:tcBorders>
              <w:top w:val="single" w:sz="4" w:space="0" w:color="000000"/>
              <w:left w:val="single" w:sz="4" w:space="0" w:color="000000"/>
              <w:bottom w:val="single" w:sz="4" w:space="0" w:color="000000"/>
              <w:right w:val="single" w:sz="4" w:space="0" w:color="000000"/>
            </w:tcBorders>
            <w:vAlign w:val="center"/>
          </w:tcPr>
          <w:p w14:paraId="7D399642" w14:textId="77777777" w:rsidR="00E03711" w:rsidRPr="001048FE" w:rsidRDefault="00E03711" w:rsidP="005115F2">
            <w:pPr>
              <w:pStyle w:val="Guide-NormalBulletpoints"/>
              <w:numPr>
                <w:ilvl w:val="0"/>
                <w:numId w:val="309"/>
              </w:numPr>
              <w:ind w:left="386" w:hanging="283"/>
              <w:rPr>
                <w:lang w:val="sl-SI"/>
              </w:rPr>
            </w:pPr>
            <w:r w:rsidRPr="001048FE">
              <w:rPr>
                <w:lang w:val="sl-SI"/>
              </w:rPr>
              <w:t xml:space="preserve">Uporaba: v predlogu je prikazano, kako se bodo rezultati koalicije uporabili v </w:t>
            </w:r>
            <w:r>
              <w:rPr>
                <w:lang w:val="sl-SI"/>
              </w:rPr>
              <w:t>sodelujočih</w:t>
            </w:r>
            <w:r w:rsidRPr="001048FE">
              <w:rPr>
                <w:lang w:val="sl-SI"/>
              </w:rPr>
              <w:t xml:space="preserve"> državah;</w:t>
            </w:r>
          </w:p>
          <w:p w14:paraId="7D399643" w14:textId="77777777" w:rsidR="00E03711" w:rsidRPr="001048FE" w:rsidRDefault="00E03711" w:rsidP="005115F2">
            <w:pPr>
              <w:pStyle w:val="Guide-NormalBulletpoints"/>
              <w:numPr>
                <w:ilvl w:val="0"/>
                <w:numId w:val="309"/>
              </w:numPr>
              <w:ind w:left="386" w:hanging="283"/>
              <w:rPr>
                <w:lang w:val="sl-SI"/>
              </w:rPr>
            </w:pPr>
            <w:r>
              <w:rPr>
                <w:lang w:val="sl-SI"/>
              </w:rPr>
              <w:t>R</w:t>
            </w:r>
            <w:r w:rsidRPr="001048FE">
              <w:rPr>
                <w:lang w:val="sl-SI"/>
              </w:rPr>
              <w:t>azširjanje: v predlogu je opisan jasen načrt za razširjanje rezultatov, vanj pa so vključene ustrezne aktivnosti, njihova časovna razporeditev, orodja in kanali, ki bodo zagotovili učinkovito razširjanje rezultatov in koristi deležnikom, oblikovalcem politik, poklicnim svetovalcem, podjetjem in učencem v obveznem izobraževanju v zvezi s poklici, za katere je na trgu dela veliko povpraševanje ali ki imajo potencial za ustanavljanje novih podjetij med projektom in po njem; v predlogu je podrobno opisano, kako bodo konkretni primeri dobre prakse opredeljeni, dokumentirani in razširjeni; v predlogu je navedeno, kateri partnerji bodo odgovorni za razširjanje, in prikazane ustrezne izkušnje, ki jih ti imajo z aktivnostmi razširjanja.</w:t>
            </w:r>
          </w:p>
          <w:p w14:paraId="7D399644" w14:textId="77777777" w:rsidR="00E03711" w:rsidRPr="001048FE" w:rsidRDefault="00E03711" w:rsidP="005115F2">
            <w:pPr>
              <w:pStyle w:val="Guide-NormalBulletpoints"/>
              <w:numPr>
                <w:ilvl w:val="0"/>
                <w:numId w:val="309"/>
              </w:numPr>
              <w:ind w:left="386" w:hanging="283"/>
              <w:rPr>
                <w:lang w:val="sl-SI"/>
              </w:rPr>
            </w:pPr>
            <w:r>
              <w:rPr>
                <w:lang w:val="sl-SI"/>
              </w:rPr>
              <w:t>U</w:t>
            </w:r>
            <w:r w:rsidRPr="001048FE">
              <w:rPr>
                <w:lang w:val="sl-SI"/>
              </w:rPr>
              <w:t>činek: iz predloga sta razvidna družbena in gospodarska ustreznost ter doseg. Vključuje partnerje s pomembno vlogo v zadevnem sektorju, vključno z izobraževanjem in usposabljanjem. Vključuje ukrepe, cilje in kazalnike za spremljanje napredka in oceno pričakovanega učinka (kratko- in dolgoročnega). Vključuje organe z regulativno funkcijo (zlasti v zvezi s kvalifikacijami), ki so dejavno udeleženi pri zagotavljanju priznavanja ali potrjevanja vsebine usposabljanja, ki jo vsebuje predlog. Če je evropska sektorska krovna organizacija, ki zastopa socialne partnerje ali zadevni sektor, polnopravni partner, se predlog obravnava kot zelo ustrezen;</w:t>
            </w:r>
          </w:p>
          <w:p w14:paraId="7D399645" w14:textId="77777777" w:rsidR="00E03711" w:rsidRPr="001048FE" w:rsidRDefault="00E03711" w:rsidP="005115F2">
            <w:pPr>
              <w:pStyle w:val="Guide-NormalBulletpoints"/>
              <w:numPr>
                <w:ilvl w:val="0"/>
                <w:numId w:val="309"/>
              </w:numPr>
              <w:ind w:left="386" w:hanging="283"/>
              <w:rPr>
                <w:lang w:val="sl-SI"/>
              </w:rPr>
            </w:pPr>
            <w:r>
              <w:rPr>
                <w:lang w:val="sl-SI"/>
              </w:rPr>
              <w:t>P</w:t>
            </w:r>
            <w:r w:rsidRPr="001048FE">
              <w:rPr>
                <w:lang w:val="sl-SI"/>
              </w:rPr>
              <w:t>rost dostop: predlog po potrebi vključuje opis, kako se bo omogočil prost dostop do ustvarjenih gradiv, dokumentov in nosilcev podatkov, in sicer z odprtimi licencami in v formatu povezanih odprtih podatkov, ter kako se bo o njih obveščalo, in ne vsebuje nesorazmernih omejitev;</w:t>
            </w:r>
          </w:p>
          <w:p w14:paraId="7D399646" w14:textId="77777777" w:rsidR="00E03711" w:rsidRPr="001048FE" w:rsidRDefault="00E03711" w:rsidP="005115F2">
            <w:pPr>
              <w:pStyle w:val="Guide-NormalBulletpoints"/>
              <w:numPr>
                <w:ilvl w:val="0"/>
                <w:numId w:val="309"/>
              </w:numPr>
              <w:ind w:left="386" w:hanging="283"/>
              <w:rPr>
                <w:lang w:val="sl-SI"/>
              </w:rPr>
            </w:pPr>
            <w:r>
              <w:rPr>
                <w:lang w:val="sl-SI"/>
              </w:rPr>
              <w:t>T</w:t>
            </w:r>
            <w:r w:rsidRPr="001048FE">
              <w:rPr>
                <w:lang w:val="sl-SI"/>
              </w:rPr>
              <w:t>rajnost: v predlogu je pojasnjeno, kako bo pripravljen akcijski načrt za izvedbo na nacionalni in regionalni ravni. Predlog vključuje ustrezne ukrepe in opredelitev finančnih virov (evropskih, nacionalnih in zasebnih), da se zagotovi dolgoročna trajnost rezultatov in koristi koalicije tudi po življenjskem ciklu projekta.</w:t>
            </w:r>
          </w:p>
        </w:tc>
      </w:tr>
    </w:tbl>
    <w:p w14:paraId="7D399648" w14:textId="77777777" w:rsidR="00E03711" w:rsidRDefault="00E03711" w:rsidP="00880BF9">
      <w:pPr>
        <w:pStyle w:val="GUIDE-NORMAL"/>
        <w:rPr>
          <w:rFonts w:eastAsia="Calibri" w:cs="Calibri"/>
          <w:bCs/>
          <w:vanish/>
          <w:bdr w:val="nil"/>
          <w:shd w:val="clear" w:color="auto" w:fill="auto"/>
          <w:lang w:val="sl-SI"/>
        </w:rPr>
      </w:pPr>
      <w:r w:rsidRPr="00FC4A70">
        <w:rPr>
          <w:rFonts w:eastAsia="Calibri" w:cs="Calibri"/>
          <w:bCs/>
          <w:bdr w:val="nil"/>
          <w:shd w:val="clear" w:color="auto" w:fill="auto"/>
          <w:lang w:val="sl-SI"/>
        </w:rPr>
        <w:t xml:space="preserve">Za sklop </w:t>
      </w:r>
      <w:r>
        <w:rPr>
          <w:rFonts w:eastAsia="Calibri" w:cs="Calibri"/>
          <w:bCs/>
          <w:bdr w:val="nil"/>
          <w:shd w:val="clear" w:color="auto" w:fill="auto"/>
          <w:lang w:val="sl-SI"/>
        </w:rPr>
        <w:t>2</w:t>
      </w:r>
      <w:r w:rsidRPr="00FC4A70">
        <w:rPr>
          <w:rFonts w:eastAsia="Calibri" w:cs="Calibri"/>
          <w:bCs/>
          <w:bdr w:val="nil"/>
          <w:shd w:val="clear" w:color="auto" w:fill="auto"/>
          <w:lang w:val="sl-SI"/>
        </w:rPr>
        <w:t xml:space="preserve"> je mogoče financirati le 1 predlog na pilotni sektor.</w:t>
      </w:r>
      <w:r>
        <w:rPr>
          <w:rFonts w:eastAsia="Calibri" w:cs="Calibri"/>
          <w:bCs/>
          <w:vanish/>
          <w:bdr w:val="nil"/>
          <w:shd w:val="clear" w:color="auto" w:fill="auto"/>
          <w:lang w:val="sl-SI"/>
        </w:rPr>
        <w:t xml:space="preserve"> </w:t>
      </w:r>
    </w:p>
    <w:p w14:paraId="7D399649" w14:textId="77777777" w:rsidR="00E03711" w:rsidRDefault="00E03711" w:rsidP="00880BF9">
      <w:pPr>
        <w:pStyle w:val="GUIDE-NORMAL"/>
        <w:rPr>
          <w:lang w:val="sl-SI"/>
        </w:rPr>
      </w:pPr>
      <w:r w:rsidRPr="001048FE">
        <w:rPr>
          <w:lang w:val="sl-SI"/>
        </w:rPr>
        <w:t xml:space="preserve">Za upoštevanje pri dodeljevanju sredstev morajo predlogi doseči vsaj 70 točk. </w:t>
      </w:r>
    </w:p>
    <w:p w14:paraId="7D39964A" w14:textId="77777777" w:rsidR="00E03711" w:rsidRPr="001048FE" w:rsidRDefault="00E03711" w:rsidP="00880BF9">
      <w:pPr>
        <w:pStyle w:val="GUIDE-NORMAL"/>
        <w:rPr>
          <w:lang w:val="sl-SI" w:eastAsia="fr-FR"/>
        </w:rPr>
      </w:pPr>
      <w:r w:rsidRPr="001048FE">
        <w:rPr>
          <w:lang w:val="sl-SI"/>
        </w:rPr>
        <w:t>Poleg tega morajo doseči vsaj 13 točk za kategoriji „Ustreznost projekta“ in „Kakovost projektne skupine in dogovorov o sodelovanju“; 16 točk za kategorijo „Kakovost zasnove in izvedbe projekta“ in 11 točk za kategorijo „Učinek in razširjanje“.</w:t>
      </w:r>
    </w:p>
    <w:p w14:paraId="7D39964B" w14:textId="77777777" w:rsidR="00E03711" w:rsidRPr="001048FE" w:rsidRDefault="00E03711" w:rsidP="00880BF9">
      <w:pPr>
        <w:pStyle w:val="Guide-Heading5"/>
        <w:rPr>
          <w:lang w:val="sl-SI"/>
        </w:rPr>
      </w:pPr>
      <w:r w:rsidRPr="001048FE">
        <w:rPr>
          <w:lang w:val="sl-SI"/>
        </w:rPr>
        <w:t>Kaj je še treba vedeti o tem ukrepu?</w:t>
      </w:r>
    </w:p>
    <w:p w14:paraId="7D39964C" w14:textId="77777777" w:rsidR="00E03711" w:rsidRPr="001048FE" w:rsidRDefault="00E03711" w:rsidP="00880BF9">
      <w:pPr>
        <w:pStyle w:val="GUIDE-NORMAL"/>
        <w:rPr>
          <w:lang w:val="sl-SI"/>
        </w:rPr>
      </w:pPr>
      <w:r w:rsidRPr="001048FE">
        <w:rPr>
          <w:lang w:val="sl-SI"/>
        </w:rPr>
        <w:t>Zagotavljanje kakovosti je ključnega pomena, da koalicije uspešno dosežejo svoje rezultate in učinek, ki močno presega same partnerske organizacije. Od koalicij se pričakuje doseganje rezultatov, ki so splošno prenosljivi v posameznem gospodarskem sektorju. Zato morajo koalicije zagotoviti dobro utemeljen načrt za upravljanje kakovosti.</w:t>
      </w:r>
    </w:p>
    <w:p w14:paraId="7D39964D" w14:textId="77777777" w:rsidR="00E03711" w:rsidRPr="001048FE" w:rsidRDefault="00E03711" w:rsidP="00880BF9">
      <w:pPr>
        <w:pStyle w:val="GUIDE-NORMAL"/>
        <w:rPr>
          <w:lang w:val="sl-SI"/>
        </w:rPr>
      </w:pPr>
      <w:r w:rsidRPr="001048FE">
        <w:rPr>
          <w:lang w:val="sl-SI"/>
        </w:rPr>
        <w:t>Koalicije bi morale kot sestavni del projekta izvajati tudi postopke strokovnega pregleda. Delovni program koalicije bi moral torej vključevati neodvisno zunanjo oceno kakovosti, vmesno in ob koncu projekta, ki jo je treba predložiti skupaj s poročilom o napredku projekta oziroma končnim poročilom. Sodelujoče organizacije bodo morale v poročilu o napredku predstaviti aktivnosti spremljanja izvajanja na podlagi priporočil vmesne ocene kakovosti.</w:t>
      </w:r>
    </w:p>
    <w:p w14:paraId="7D39964E" w14:textId="77777777" w:rsidR="00E03711" w:rsidRPr="001048FE" w:rsidRDefault="00E03711" w:rsidP="00880BF9">
      <w:pPr>
        <w:pStyle w:val="GUIDE-NORMAL"/>
        <w:rPr>
          <w:lang w:val="sl-SI"/>
        </w:rPr>
      </w:pPr>
      <w:r w:rsidRPr="001048FE">
        <w:rPr>
          <w:lang w:val="sl-SI"/>
        </w:rPr>
        <w:t xml:space="preserve">Vse koalicije morajo obvezno izvajati aktivnosti ciljno usmerjenega razširjanja, zlasti prek organizacij/organov, ki zagotavljajo poklicno orientacijo. </w:t>
      </w:r>
    </w:p>
    <w:p w14:paraId="7D39964F" w14:textId="77777777" w:rsidR="00E03711" w:rsidRPr="001048FE" w:rsidRDefault="00E03711" w:rsidP="00880BF9">
      <w:pPr>
        <w:pStyle w:val="GUIDE-NORMAL"/>
        <w:rPr>
          <w:lang w:val="sl-SI"/>
        </w:rPr>
      </w:pPr>
      <w:r w:rsidRPr="001048FE">
        <w:rPr>
          <w:lang w:val="sl-SI"/>
        </w:rPr>
        <w:t>Zagotoviti bodo morale celovit načrt razširjanja, vključno s:</w:t>
      </w:r>
    </w:p>
    <w:p w14:paraId="7D399650" w14:textId="77777777" w:rsidR="00E03711" w:rsidRPr="001048FE" w:rsidRDefault="00E03711" w:rsidP="005115F2">
      <w:pPr>
        <w:pStyle w:val="Guide-NormalBulletpoints"/>
        <w:numPr>
          <w:ilvl w:val="0"/>
          <w:numId w:val="352"/>
        </w:numPr>
        <w:rPr>
          <w:lang w:val="sl-SI"/>
        </w:rPr>
      </w:pPr>
      <w:r w:rsidRPr="001048FE">
        <w:rPr>
          <w:lang w:val="sl-SI"/>
        </w:rPr>
        <w:t xml:space="preserve">strategijo dejavnega razširjanja za doseganje deležnikov, oblikovalcev politik, poklicnih svetovalcev, podjetij in učencev v obveznem izobraževanju v zvezi s poklici, za katere je na trgu dela veliko povpraševanje ali ki imajo potencial za ustanavljanje novih podjetij; </w:t>
      </w:r>
    </w:p>
    <w:p w14:paraId="7D399651" w14:textId="77777777" w:rsidR="00E03711" w:rsidRPr="001048FE" w:rsidRDefault="00E03711" w:rsidP="005115F2">
      <w:pPr>
        <w:pStyle w:val="Guide-NormalBulletpoints"/>
        <w:numPr>
          <w:ilvl w:val="0"/>
          <w:numId w:val="352"/>
        </w:numPr>
        <w:rPr>
          <w:lang w:val="sl-SI"/>
        </w:rPr>
      </w:pPr>
      <w:r w:rsidRPr="001048FE">
        <w:rPr>
          <w:lang w:val="sl-SI"/>
        </w:rPr>
        <w:t>vključevanjem rezultatov v vse vidike sektorja;</w:t>
      </w:r>
    </w:p>
    <w:p w14:paraId="7D399652" w14:textId="77777777" w:rsidR="00E03711" w:rsidRPr="001048FE" w:rsidRDefault="00E03711" w:rsidP="005115F2">
      <w:pPr>
        <w:pStyle w:val="Guide-NormalBulletpoints"/>
        <w:numPr>
          <w:ilvl w:val="0"/>
          <w:numId w:val="352"/>
        </w:numPr>
        <w:rPr>
          <w:lang w:val="sl-SI"/>
        </w:rPr>
      </w:pPr>
      <w:r w:rsidRPr="001048FE">
        <w:rPr>
          <w:lang w:val="sl-SI"/>
        </w:rPr>
        <w:t>prostim dostopom z odprtimi licencami do rezultatov koalicije.</w:t>
      </w:r>
    </w:p>
    <w:p w14:paraId="7D399653" w14:textId="77777777" w:rsidR="00E03711" w:rsidRPr="001048FE" w:rsidRDefault="00E03711" w:rsidP="00880BF9">
      <w:pPr>
        <w:pStyle w:val="GUIDE-NORMAL"/>
        <w:rPr>
          <w:lang w:val="sl-SI"/>
        </w:rPr>
      </w:pPr>
      <w:r w:rsidRPr="001048FE">
        <w:rPr>
          <w:lang w:val="sl-SI"/>
        </w:rPr>
        <w:t>Načrt razširjanja bi moral pojasniti, kako se bodo razširjali načrtovani rezultati projekta, vključno z opredelitvijo ciljnih skupin, ciljev, sredstev, ki bodo uporabljena, in ustreznega časovnega razporeda. V vlogah bi moralo biti tudi navedeno, kateri od partnerjev bo odgovoren za razširjanje, in prikazane ustrezne izkušnje, ki jih ima ta partner v aktivnostih razširjanja. Izbrani projekti bodo morali zagotoviti kratek povzetek aktivnosti ob koncu projekta za objavo v orodju Programa za razširjanje.</w:t>
      </w:r>
    </w:p>
    <w:p w14:paraId="7D399654" w14:textId="77777777" w:rsidR="00E03711" w:rsidRPr="001048FE" w:rsidRDefault="00E03711" w:rsidP="00880BF9">
      <w:pPr>
        <w:pStyle w:val="GUIDE-NORMAL"/>
        <w:rPr>
          <w:lang w:val="sl-SI"/>
        </w:rPr>
      </w:pPr>
      <w:r w:rsidRPr="001048FE">
        <w:rPr>
          <w:lang w:val="sl-SI"/>
        </w:rPr>
        <w:t>Koalicije sektorskih spretnosti so nov in ambiciozen ukrep, zato zanje velja posebno spremljanje, ki zahteva dejavno udeležbo vseh udeležencev in deležnikov. Koalicije sektorskih spretnosti morajo napovedati svojo udeležbo na sestankih in dogodkih, ki jih organizirata Izvajalska agencija za izobraževanje, avdiovizualno področje in kulturo ter Evropska komisija. Načrtovati je treba proračun za do tri sestanke na leto.</w:t>
      </w:r>
    </w:p>
    <w:p w14:paraId="7D399655" w14:textId="77777777" w:rsidR="00E03711" w:rsidRDefault="00E03711" w:rsidP="00880BF9">
      <w:pPr>
        <w:pStyle w:val="Guide-Heading6"/>
        <w:rPr>
          <w:lang w:val="sl-SI"/>
        </w:rPr>
        <w:sectPr w:rsidR="00E03711" w:rsidSect="00E15ED3">
          <w:endnotePr>
            <w:numFmt w:val="decimal"/>
          </w:endnotePr>
          <w:pgSz w:w="11910" w:h="16840" w:code="9"/>
          <w:pgMar w:top="1134" w:right="1418" w:bottom="1134" w:left="1418" w:header="284" w:footer="567" w:gutter="0"/>
          <w:cols w:space="720"/>
          <w:docGrid w:linePitch="326"/>
        </w:sectPr>
      </w:pPr>
    </w:p>
    <w:p w14:paraId="7D399656" w14:textId="77777777" w:rsidR="00E03711" w:rsidRPr="001048FE" w:rsidRDefault="00E03711" w:rsidP="00880BF9">
      <w:pPr>
        <w:pStyle w:val="Guide-Heading6"/>
        <w:rPr>
          <w:lang w:val="sl-SI"/>
        </w:rPr>
      </w:pPr>
      <w:r w:rsidRPr="001048FE">
        <w:rPr>
          <w:lang w:val="sl-SI"/>
        </w:rPr>
        <w:t>Kakšna so pravila za dodelitev sredstev?</w:t>
      </w:r>
    </w:p>
    <w:p w14:paraId="7D399657" w14:textId="77777777" w:rsidR="00E03711" w:rsidRPr="001048FE" w:rsidRDefault="00E03711" w:rsidP="00880BF9">
      <w:pPr>
        <w:pStyle w:val="GUIDE-NORMAL"/>
        <w:rPr>
          <w:lang w:val="sl-SI"/>
        </w:rPr>
      </w:pPr>
      <w:r w:rsidRPr="001048FE">
        <w:rPr>
          <w:lang w:val="sl-SI"/>
        </w:rPr>
        <w:t>Proračun projekta je treba pripraviti v skladu z naslednjimi pravili za dodelitev sredstev (v EUR):</w:t>
      </w:r>
    </w:p>
    <w:tbl>
      <w:tblPr>
        <w:tblW w:w="5000" w:type="pct"/>
        <w:tblLook w:val="04A0" w:firstRow="1" w:lastRow="0" w:firstColumn="1" w:lastColumn="0" w:noHBand="0" w:noVBand="1"/>
      </w:tblPr>
      <w:tblGrid>
        <w:gridCol w:w="14788"/>
      </w:tblGrid>
      <w:tr w:rsidR="00E03711" w:rsidRPr="00C80136" w14:paraId="7D399662" w14:textId="77777777" w:rsidTr="00F0391F">
        <w:trPr>
          <w:trHeight w:val="567"/>
        </w:trPr>
        <w:tc>
          <w:tcPr>
            <w:tcW w:w="5000" w:type="pct"/>
            <w:shd w:val="clear" w:color="auto" w:fill="auto"/>
          </w:tcPr>
          <w:p w14:paraId="7D399658" w14:textId="77777777" w:rsidR="00E03711" w:rsidRPr="00FC4A70" w:rsidRDefault="00E03711" w:rsidP="00237696">
            <w:pPr>
              <w:pBdr>
                <w:top w:val="single" w:sz="4" w:space="1" w:color="auto"/>
                <w:left w:val="single" w:sz="4" w:space="4" w:color="auto"/>
                <w:bottom w:val="single" w:sz="4" w:space="1" w:color="auto"/>
                <w:right w:val="single" w:sz="4" w:space="2" w:color="auto"/>
              </w:pBdr>
              <w:spacing w:before="120"/>
              <w:rPr>
                <w:rFonts w:eastAsia="Times New Roman" w:cs="Times New Roman"/>
                <w:b/>
                <w:sz w:val="20"/>
                <w:szCs w:val="20"/>
                <w:lang w:val="sl-SI"/>
              </w:rPr>
            </w:pPr>
            <w:r w:rsidRPr="00237696">
              <w:rPr>
                <w:rFonts w:eastAsia="Calibri" w:cs="Calibri"/>
                <w:b/>
                <w:bCs/>
                <w:sz w:val="20"/>
                <w:szCs w:val="20"/>
                <w:bdr w:val="nil"/>
                <w:lang w:val="sl-SI"/>
              </w:rPr>
              <w:t xml:space="preserve">Sklop 1 – Koalicije sektorskih spretnosti za </w:t>
            </w:r>
            <w:r>
              <w:rPr>
                <w:rFonts w:eastAsia="Calibri" w:cs="Calibri"/>
                <w:b/>
                <w:bCs/>
                <w:sz w:val="20"/>
                <w:szCs w:val="20"/>
                <w:bdr w:val="nil"/>
                <w:lang w:val="sl-SI"/>
              </w:rPr>
              <w:t>oblikovanje in izvajanje PIU:</w:t>
            </w:r>
            <w:r w:rsidRPr="00237696">
              <w:rPr>
                <w:rFonts w:eastAsia="Calibri" w:cs="Calibri"/>
                <w:b/>
                <w:bCs/>
                <w:sz w:val="20"/>
                <w:szCs w:val="20"/>
                <w:bdr w:val="nil"/>
                <w:lang w:val="sl-SI"/>
              </w:rPr>
              <w:tab/>
            </w:r>
          </w:p>
          <w:p w14:paraId="7D399659" w14:textId="77777777" w:rsidR="00E03711" w:rsidRPr="00237696" w:rsidRDefault="00E03711" w:rsidP="002D7FF4">
            <w:pPr>
              <w:pStyle w:val="ListParagraph"/>
              <w:numPr>
                <w:ilvl w:val="0"/>
                <w:numId w:val="99"/>
              </w:numPr>
              <w:pBdr>
                <w:top w:val="single" w:sz="4" w:space="1" w:color="auto"/>
                <w:left w:val="single" w:sz="4" w:space="4" w:color="auto"/>
                <w:bottom w:val="single" w:sz="4" w:space="1" w:color="auto"/>
                <w:right w:val="single" w:sz="4" w:space="2" w:color="auto"/>
              </w:pBdr>
              <w:spacing w:before="120"/>
              <w:textAlignment w:val="auto"/>
              <w:rPr>
                <w:rFonts w:eastAsia="Times New Roman" w:cs="Times New Roman"/>
                <w:sz w:val="20"/>
                <w:szCs w:val="20"/>
                <w:lang w:val="en-GB"/>
              </w:rPr>
            </w:pPr>
            <w:r w:rsidRPr="00237696">
              <w:rPr>
                <w:rFonts w:eastAsia="Calibri" w:cs="Calibri"/>
                <w:sz w:val="20"/>
                <w:szCs w:val="20"/>
                <w:bdr w:val="nil"/>
                <w:lang w:val="sl-SI"/>
              </w:rPr>
              <w:t xml:space="preserve">Okvirni skupni proračun: </w:t>
            </w:r>
            <w:r>
              <w:rPr>
                <w:rFonts w:eastAsia="Calibri" w:cs="Calibri"/>
                <w:sz w:val="20"/>
                <w:szCs w:val="20"/>
                <w:bdr w:val="nil"/>
                <w:lang w:val="sl-SI"/>
              </w:rPr>
              <w:t>6</w:t>
            </w:r>
            <w:r w:rsidRPr="00237696">
              <w:rPr>
                <w:rFonts w:eastAsia="Calibri" w:cs="Calibri"/>
                <w:sz w:val="20"/>
                <w:szCs w:val="20"/>
                <w:bdr w:val="nil"/>
                <w:lang w:val="sl-SI"/>
              </w:rPr>
              <w:t xml:space="preserve"> 000 000 €</w:t>
            </w:r>
          </w:p>
          <w:p w14:paraId="7D39965A" w14:textId="77777777" w:rsidR="00E03711" w:rsidRPr="0030441A" w:rsidRDefault="00E03711" w:rsidP="002D7FF4">
            <w:pPr>
              <w:pStyle w:val="ListParagraph"/>
              <w:numPr>
                <w:ilvl w:val="0"/>
                <w:numId w:val="100"/>
              </w:numPr>
              <w:pBdr>
                <w:top w:val="single" w:sz="4" w:space="1" w:color="auto"/>
                <w:left w:val="single" w:sz="4" w:space="4" w:color="auto"/>
                <w:bottom w:val="single" w:sz="4" w:space="1" w:color="auto"/>
                <w:right w:val="single" w:sz="4" w:space="2" w:color="auto"/>
              </w:pBdr>
              <w:spacing w:before="120"/>
              <w:textAlignment w:val="auto"/>
              <w:rPr>
                <w:rFonts w:eastAsia="Times New Roman" w:cs="Times New Roman"/>
                <w:sz w:val="20"/>
                <w:lang w:val="pl-PL"/>
              </w:rPr>
            </w:pPr>
            <w:r w:rsidRPr="00237696">
              <w:rPr>
                <w:rFonts w:eastAsia="Calibri" w:cs="Calibri"/>
                <w:sz w:val="20"/>
                <w:szCs w:val="20"/>
                <w:bdr w:val="nil"/>
                <w:lang w:val="sl-SI"/>
              </w:rPr>
              <w:t>Maksimalni prispevek EU za projekt (2 leti):    700 000 €</w:t>
            </w:r>
          </w:p>
          <w:p w14:paraId="7D39965B" w14:textId="77777777" w:rsidR="00E03711" w:rsidRPr="0030441A" w:rsidRDefault="00E03711" w:rsidP="002D7FF4">
            <w:pPr>
              <w:pStyle w:val="ListParagraph"/>
              <w:numPr>
                <w:ilvl w:val="0"/>
                <w:numId w:val="100"/>
              </w:numPr>
              <w:pBdr>
                <w:top w:val="single" w:sz="4" w:space="1" w:color="auto"/>
                <w:left w:val="single" w:sz="4" w:space="4" w:color="auto"/>
                <w:bottom w:val="single" w:sz="4" w:space="1" w:color="auto"/>
                <w:right w:val="single" w:sz="4" w:space="2" w:color="auto"/>
              </w:pBdr>
              <w:spacing w:before="120"/>
              <w:textAlignment w:val="auto"/>
              <w:rPr>
                <w:rFonts w:eastAsia="Times New Roman" w:cs="Times New Roman"/>
                <w:sz w:val="20"/>
                <w:lang w:val="pl-PL"/>
              </w:rPr>
            </w:pPr>
            <w:r w:rsidRPr="00237696">
              <w:rPr>
                <w:rFonts w:eastAsia="Calibri" w:cs="Calibri"/>
                <w:sz w:val="20"/>
                <w:szCs w:val="20"/>
                <w:bdr w:val="nil"/>
                <w:lang w:val="sl-SI"/>
              </w:rPr>
              <w:t>Maksimalni prispevek EU za projekt (3 leta): 1 000 000 €</w:t>
            </w:r>
          </w:p>
          <w:p w14:paraId="7D39965C" w14:textId="77777777" w:rsidR="00E03711" w:rsidRPr="0030441A" w:rsidRDefault="00E03711" w:rsidP="00237696">
            <w:pPr>
              <w:pBdr>
                <w:top w:val="single" w:sz="4" w:space="1" w:color="auto"/>
                <w:left w:val="single" w:sz="4" w:space="4" w:color="auto"/>
                <w:bottom w:val="single" w:sz="4" w:space="1" w:color="auto"/>
                <w:right w:val="single" w:sz="4" w:space="2" w:color="auto"/>
              </w:pBdr>
              <w:spacing w:before="120"/>
              <w:rPr>
                <w:rFonts w:eastAsia="Times New Roman" w:cs="Times New Roman"/>
                <w:b/>
                <w:sz w:val="20"/>
                <w:szCs w:val="20"/>
                <w:lang w:val="pl-PL"/>
              </w:rPr>
            </w:pPr>
            <w:r w:rsidRPr="00237696">
              <w:rPr>
                <w:rFonts w:eastAsia="Calibri" w:cs="Calibri"/>
                <w:b/>
                <w:bCs/>
                <w:sz w:val="20"/>
                <w:szCs w:val="20"/>
                <w:bdr w:val="nil"/>
                <w:lang w:val="sl-SI"/>
              </w:rPr>
              <w:t xml:space="preserve">Sklop </w:t>
            </w:r>
            <w:r>
              <w:rPr>
                <w:rFonts w:eastAsia="Calibri" w:cs="Calibri"/>
                <w:b/>
                <w:bCs/>
                <w:sz w:val="20"/>
                <w:szCs w:val="20"/>
                <w:bdr w:val="nil"/>
                <w:lang w:val="sl-SI"/>
              </w:rPr>
              <w:t>2</w:t>
            </w:r>
            <w:r w:rsidRPr="00237696">
              <w:rPr>
                <w:rFonts w:eastAsia="Calibri" w:cs="Calibri"/>
                <w:b/>
                <w:bCs/>
                <w:sz w:val="20"/>
                <w:szCs w:val="20"/>
                <w:bdr w:val="nil"/>
                <w:lang w:val="sl-SI"/>
              </w:rPr>
              <w:t xml:space="preserve"> – Koalicije sektorskih spretnosti za izvajanje novega strateškega pristopa (blueprint) k sektorskemu sodelovanju na področju spretnosti</w:t>
            </w:r>
          </w:p>
          <w:p w14:paraId="7D39965D" w14:textId="77777777" w:rsidR="00E03711" w:rsidRPr="00237696" w:rsidRDefault="00E03711" w:rsidP="002D7FF4">
            <w:pPr>
              <w:pStyle w:val="ListParagraph"/>
              <w:numPr>
                <w:ilvl w:val="0"/>
                <w:numId w:val="101"/>
              </w:numPr>
              <w:pBdr>
                <w:top w:val="single" w:sz="4" w:space="1" w:color="auto"/>
                <w:left w:val="single" w:sz="4" w:space="4" w:color="auto"/>
                <w:bottom w:val="single" w:sz="4" w:space="1" w:color="auto"/>
                <w:right w:val="single" w:sz="4" w:space="2" w:color="auto"/>
              </w:pBdr>
              <w:spacing w:before="120"/>
              <w:textAlignment w:val="auto"/>
              <w:rPr>
                <w:rFonts w:eastAsia="Times New Roman" w:cs="Times New Roman"/>
                <w:sz w:val="20"/>
                <w:szCs w:val="20"/>
                <w:lang w:val="en-GB"/>
              </w:rPr>
            </w:pPr>
            <w:r w:rsidRPr="00237696">
              <w:rPr>
                <w:rFonts w:eastAsia="Calibri" w:cs="Calibri"/>
                <w:sz w:val="20"/>
                <w:szCs w:val="20"/>
                <w:bdr w:val="nil"/>
                <w:lang w:val="sl-SI"/>
              </w:rPr>
              <w:t>Okvirni skupni proračun: 24 000 000 €</w:t>
            </w:r>
          </w:p>
          <w:p w14:paraId="7D39965E" w14:textId="77777777" w:rsidR="00E03711" w:rsidRPr="0030441A" w:rsidRDefault="00E03711" w:rsidP="002D7FF4">
            <w:pPr>
              <w:pStyle w:val="ListParagraph"/>
              <w:numPr>
                <w:ilvl w:val="0"/>
                <w:numId w:val="101"/>
              </w:numPr>
              <w:pBdr>
                <w:top w:val="single" w:sz="4" w:space="1" w:color="auto"/>
                <w:left w:val="single" w:sz="4" w:space="4" w:color="auto"/>
                <w:bottom w:val="single" w:sz="4" w:space="1" w:color="auto"/>
                <w:right w:val="single" w:sz="4" w:space="2" w:color="auto"/>
              </w:pBdr>
              <w:textAlignment w:val="auto"/>
              <w:rPr>
                <w:rFonts w:eastAsia="Times New Roman" w:cs="Times New Roman"/>
                <w:b/>
                <w:sz w:val="20"/>
                <w:szCs w:val="20"/>
                <w:lang w:val="pl-PL"/>
              </w:rPr>
            </w:pPr>
            <w:r w:rsidRPr="00237696">
              <w:rPr>
                <w:rFonts w:eastAsia="Calibri" w:cs="Calibri"/>
                <w:sz w:val="20"/>
                <w:szCs w:val="20"/>
                <w:bdr w:val="nil"/>
                <w:lang w:val="sl-SI"/>
              </w:rPr>
              <w:t>Maksimalni prispevek EU za projekt (4 leta): 4 000 000 €</w:t>
            </w:r>
            <w:r w:rsidRPr="00237696">
              <w:rPr>
                <w:rFonts w:eastAsia="Calibri" w:cs="Calibri"/>
                <w:b/>
                <w:bCs/>
                <w:sz w:val="20"/>
                <w:szCs w:val="20"/>
                <w:bdr w:val="nil"/>
                <w:lang w:val="sl-SI"/>
              </w:rPr>
              <w:t xml:space="preserve"> </w:t>
            </w:r>
          </w:p>
          <w:p w14:paraId="7D39965F" w14:textId="77777777" w:rsidR="00E03711" w:rsidRPr="0030441A" w:rsidRDefault="00E03711" w:rsidP="00237696">
            <w:pPr>
              <w:pBdr>
                <w:top w:val="single" w:sz="4" w:space="1" w:color="auto"/>
                <w:left w:val="single" w:sz="4" w:space="4" w:color="auto"/>
                <w:bottom w:val="single" w:sz="4" w:space="1" w:color="auto"/>
                <w:right w:val="single" w:sz="4" w:space="2" w:color="auto"/>
              </w:pBdr>
              <w:rPr>
                <w:rFonts w:eastAsia="Times New Roman" w:cs="Times New Roman"/>
                <w:b/>
                <w:sz w:val="20"/>
                <w:szCs w:val="20"/>
                <w:lang w:val="pl-PL"/>
              </w:rPr>
            </w:pPr>
          </w:p>
          <w:p w14:paraId="7D399660" w14:textId="77777777" w:rsidR="00E03711" w:rsidRPr="0030441A" w:rsidRDefault="00E03711" w:rsidP="00237696">
            <w:pPr>
              <w:pBdr>
                <w:top w:val="single" w:sz="4" w:space="1" w:color="auto"/>
                <w:left w:val="single" w:sz="4" w:space="4" w:color="auto"/>
                <w:bottom w:val="single" w:sz="4" w:space="1" w:color="auto"/>
                <w:right w:val="single" w:sz="4" w:space="2" w:color="auto"/>
              </w:pBdr>
              <w:rPr>
                <w:rFonts w:eastAsia="Times New Roman" w:cs="Times New Roman"/>
                <w:b/>
                <w:vanish/>
                <w:sz w:val="20"/>
                <w:szCs w:val="20"/>
                <w:lang w:val="pl-PL"/>
              </w:rPr>
            </w:pPr>
            <w:r w:rsidRPr="00237696">
              <w:rPr>
                <w:rFonts w:eastAsia="Calibri" w:cs="Calibri"/>
                <w:b/>
                <w:bCs/>
                <w:sz w:val="20"/>
                <w:szCs w:val="20"/>
                <w:bdr w:val="nil"/>
                <w:lang w:val="sl-SI"/>
              </w:rPr>
              <w:t xml:space="preserve">Za sklop </w:t>
            </w:r>
            <w:r>
              <w:rPr>
                <w:rFonts w:eastAsia="Calibri" w:cs="Calibri"/>
                <w:b/>
                <w:bCs/>
                <w:sz w:val="20"/>
                <w:szCs w:val="20"/>
                <w:bdr w:val="nil"/>
                <w:lang w:val="sl-SI"/>
              </w:rPr>
              <w:t>2</w:t>
            </w:r>
            <w:r w:rsidRPr="00237696">
              <w:rPr>
                <w:rFonts w:eastAsia="Calibri" w:cs="Calibri"/>
                <w:b/>
                <w:bCs/>
                <w:sz w:val="20"/>
                <w:szCs w:val="20"/>
                <w:bdr w:val="nil"/>
                <w:lang w:val="sl-SI"/>
              </w:rPr>
              <w:t xml:space="preserve"> je mogoče izbrati le 1 predlog na pilotni sektor.</w:t>
            </w:r>
          </w:p>
          <w:p w14:paraId="7D399661" w14:textId="77777777" w:rsidR="00E03711" w:rsidRPr="00237696" w:rsidRDefault="00E03711" w:rsidP="00237696">
            <w:pPr>
              <w:pStyle w:val="GUIDE-NORMAL"/>
              <w:spacing w:before="60" w:after="60"/>
              <w:jc w:val="center"/>
              <w:rPr>
                <w:b/>
                <w:lang w:val="sl-SI" w:eastAsia="en-GB"/>
              </w:rPr>
            </w:pPr>
          </w:p>
        </w:tc>
      </w:tr>
    </w:tbl>
    <w:p w14:paraId="7D399663" w14:textId="77777777" w:rsidR="00E03711" w:rsidRPr="001048FE" w:rsidRDefault="00E03711" w:rsidP="00132BBA">
      <w:pPr>
        <w:pStyle w:val="Guide-Table"/>
        <w:rPr>
          <w:lang w:val="sl-SI"/>
        </w:rPr>
      </w:pPr>
      <w:bookmarkStart w:id="229" w:name="Tableau_A_-_Mise_en_œuvre_du_projet_(mon"/>
      <w:bookmarkEnd w:id="229"/>
    </w:p>
    <w:p w14:paraId="7D399664" w14:textId="77777777" w:rsidR="00E03711" w:rsidRPr="00237696" w:rsidRDefault="00E03711">
      <w:pPr>
        <w:widowControl/>
        <w:suppressAutoHyphens w:val="0"/>
        <w:autoSpaceDN/>
        <w:textAlignment w:val="auto"/>
        <w:rPr>
          <w:rFonts w:eastAsia="Times New Roman"/>
          <w:color w:val="000000"/>
          <w:sz w:val="18"/>
          <w:szCs w:val="18"/>
          <w:shd w:val="clear" w:color="auto" w:fill="FFFFFF"/>
          <w:lang w:val="sl-SI"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4626"/>
        <w:gridCol w:w="2313"/>
        <w:gridCol w:w="3239"/>
        <w:gridCol w:w="3230"/>
      </w:tblGrid>
      <w:tr w:rsidR="00E03711" w:rsidRPr="008C6F8C" w14:paraId="7D399669" w14:textId="77777777" w:rsidTr="00F05D26">
        <w:trPr>
          <w:trHeight w:val="397"/>
        </w:trPr>
        <w:tc>
          <w:tcPr>
            <w:tcW w:w="2031" w:type="pct"/>
            <w:gridSpan w:val="2"/>
            <w:shd w:val="clear" w:color="auto" w:fill="auto"/>
            <w:vAlign w:val="center"/>
          </w:tcPr>
          <w:p w14:paraId="7D399665" w14:textId="77777777" w:rsidR="00E03711" w:rsidRPr="00237696" w:rsidRDefault="00E03711" w:rsidP="00237696">
            <w:pPr>
              <w:pStyle w:val="Guide-Table"/>
              <w:tabs>
                <w:tab w:val="center" w:pos="1772"/>
                <w:tab w:val="left" w:pos="2617"/>
              </w:tabs>
              <w:spacing w:before="60" w:after="60"/>
              <w:rPr>
                <w:b/>
                <w:lang w:val="sl-SI" w:eastAsia="en-GB"/>
              </w:rPr>
            </w:pPr>
            <w:r w:rsidRPr="00237696">
              <w:rPr>
                <w:b/>
                <w:lang w:val="sl-SI" w:eastAsia="en-GB"/>
              </w:rPr>
              <w:t>Upravičeni stroški</w:t>
            </w:r>
          </w:p>
        </w:tc>
        <w:tc>
          <w:tcPr>
            <w:tcW w:w="782" w:type="pct"/>
            <w:shd w:val="clear" w:color="auto" w:fill="auto"/>
            <w:vAlign w:val="center"/>
          </w:tcPr>
          <w:p w14:paraId="7D399666" w14:textId="77777777" w:rsidR="00E03711" w:rsidRPr="00237696" w:rsidRDefault="00E03711" w:rsidP="00237696">
            <w:pPr>
              <w:pStyle w:val="Guide-Table"/>
              <w:spacing w:before="60" w:after="60"/>
              <w:rPr>
                <w:b/>
                <w:lang w:val="sl-SI" w:eastAsia="en-GB"/>
              </w:rPr>
            </w:pPr>
            <w:r w:rsidRPr="00237696">
              <w:rPr>
                <w:b/>
                <w:lang w:val="sl-SI" w:eastAsia="en-GB"/>
              </w:rPr>
              <w:t>Mehanizem financiranja</w:t>
            </w:r>
          </w:p>
        </w:tc>
        <w:tc>
          <w:tcPr>
            <w:tcW w:w="1095" w:type="pct"/>
            <w:shd w:val="clear" w:color="auto" w:fill="auto"/>
            <w:vAlign w:val="center"/>
          </w:tcPr>
          <w:p w14:paraId="7D399667" w14:textId="77777777" w:rsidR="00E03711" w:rsidRPr="00237696" w:rsidRDefault="00E03711" w:rsidP="00237696">
            <w:pPr>
              <w:pStyle w:val="Guide-Table"/>
              <w:spacing w:before="60" w:after="60"/>
              <w:rPr>
                <w:b/>
                <w:lang w:val="sl-SI" w:eastAsia="en-GB"/>
              </w:rPr>
            </w:pPr>
            <w:r w:rsidRPr="00237696">
              <w:rPr>
                <w:b/>
                <w:lang w:val="sl-SI" w:eastAsia="en-GB"/>
              </w:rPr>
              <w:t>Znesek</w:t>
            </w:r>
          </w:p>
        </w:tc>
        <w:tc>
          <w:tcPr>
            <w:tcW w:w="1093" w:type="pct"/>
            <w:shd w:val="clear" w:color="auto" w:fill="auto"/>
            <w:vAlign w:val="center"/>
          </w:tcPr>
          <w:p w14:paraId="7D399668" w14:textId="77777777" w:rsidR="00E03711" w:rsidRPr="00237696" w:rsidRDefault="00E03711" w:rsidP="00237696">
            <w:pPr>
              <w:pStyle w:val="Guide-Table"/>
              <w:spacing w:before="60" w:after="60"/>
              <w:rPr>
                <w:b/>
                <w:lang w:val="sl-SI" w:eastAsia="en-GB"/>
              </w:rPr>
            </w:pPr>
            <w:r w:rsidRPr="00237696">
              <w:rPr>
                <w:b/>
                <w:lang w:val="sl-SI" w:eastAsia="en-GB"/>
              </w:rPr>
              <w:t>Pravilo dodelitve</w:t>
            </w:r>
          </w:p>
        </w:tc>
      </w:tr>
      <w:tr w:rsidR="00E03711" w:rsidRPr="00C60205" w14:paraId="7D399671" w14:textId="77777777" w:rsidTr="00F05D26">
        <w:trPr>
          <w:trHeight w:val="397"/>
        </w:trPr>
        <w:tc>
          <w:tcPr>
            <w:tcW w:w="467" w:type="pct"/>
            <w:vMerge w:val="restart"/>
            <w:shd w:val="clear" w:color="auto" w:fill="auto"/>
            <w:vAlign w:val="center"/>
          </w:tcPr>
          <w:p w14:paraId="7D39966A" w14:textId="77777777" w:rsidR="00E03711" w:rsidRPr="00237696" w:rsidRDefault="00E03711" w:rsidP="00237696">
            <w:pPr>
              <w:pStyle w:val="Guide-Table"/>
              <w:spacing w:before="60" w:after="60"/>
              <w:jc w:val="left"/>
              <w:rPr>
                <w:b/>
                <w:snapToGrid w:val="0"/>
                <w:lang w:val="sl-SI" w:eastAsia="en-GB"/>
              </w:rPr>
            </w:pPr>
            <w:r w:rsidRPr="00237696">
              <w:rPr>
                <w:b/>
                <w:snapToGrid w:val="0"/>
                <w:lang w:val="sl-SI" w:eastAsia="en-GB"/>
              </w:rPr>
              <w:t>Podpora izva-janju</w:t>
            </w:r>
          </w:p>
        </w:tc>
        <w:tc>
          <w:tcPr>
            <w:tcW w:w="1564" w:type="pct"/>
            <w:vMerge w:val="restart"/>
            <w:shd w:val="clear" w:color="auto" w:fill="auto"/>
            <w:vAlign w:val="center"/>
          </w:tcPr>
          <w:p w14:paraId="7D39966B" w14:textId="77777777" w:rsidR="00E03711" w:rsidRPr="00237696" w:rsidRDefault="00E03711" w:rsidP="00237696">
            <w:pPr>
              <w:pStyle w:val="GUIDE-NORMAL"/>
              <w:spacing w:before="60" w:after="60"/>
              <w:jc w:val="left"/>
              <w:rPr>
                <w:lang w:val="sl-SI" w:eastAsia="en-GB"/>
              </w:rPr>
            </w:pPr>
            <w:r w:rsidRPr="00237696">
              <w:rPr>
                <w:lang w:val="sl-SI" w:eastAsia="en-GB"/>
              </w:rPr>
              <w:t>Prispevek za katero koli aktivnost, neposredno povezano z izvajanjem projekta, vključno z: upravljanjem projekta, srečanji v zvezi s projektom, pripravo intelektualnih rezultatov (npr. učni načrti, pedagoška gradiva, prosto dostopni učni viri (PDUV), orodja informacijske tehnologije, analize, študije itd.), razširjanjem, udeležbo na dogodkih, konferencami, potovanji itd.</w:t>
            </w:r>
          </w:p>
          <w:p w14:paraId="7D39966C" w14:textId="77777777" w:rsidR="00E03711" w:rsidRPr="00237696" w:rsidRDefault="00E03711" w:rsidP="00237696">
            <w:pPr>
              <w:pStyle w:val="GUIDE-NORMAL"/>
              <w:spacing w:before="60" w:after="60"/>
              <w:jc w:val="left"/>
              <w:rPr>
                <w:lang w:val="sl-SI" w:eastAsia="en-GB"/>
              </w:rPr>
            </w:pPr>
            <w:r w:rsidRPr="00237696">
              <w:rPr>
                <w:lang w:val="sl-SI" w:eastAsia="en-GB"/>
              </w:rPr>
              <w:t>Število dni in profil vključenega osebja na državo je osnova za izračun prispevka EU.</w:t>
            </w:r>
          </w:p>
        </w:tc>
        <w:tc>
          <w:tcPr>
            <w:tcW w:w="782" w:type="pct"/>
            <w:vMerge w:val="restart"/>
            <w:shd w:val="clear" w:color="auto" w:fill="auto"/>
            <w:vAlign w:val="center"/>
          </w:tcPr>
          <w:p w14:paraId="7D39966D" w14:textId="77777777" w:rsidR="00E03711" w:rsidRPr="00237696" w:rsidRDefault="00E03711" w:rsidP="00237696">
            <w:pPr>
              <w:pStyle w:val="GUIDE-NORMAL"/>
              <w:spacing w:before="60" w:after="60"/>
              <w:jc w:val="left"/>
              <w:rPr>
                <w:lang w:val="sl-SI" w:eastAsia="en-GB"/>
              </w:rPr>
            </w:pPr>
            <w:r w:rsidRPr="00237696">
              <w:rPr>
                <w:lang w:val="sl-SI" w:eastAsia="en-GB"/>
              </w:rPr>
              <w:t xml:space="preserve">Prispevek </w:t>
            </w:r>
            <w:r w:rsidRPr="00237696">
              <w:rPr>
                <w:lang w:val="sl-SI" w:eastAsia="en-GB"/>
              </w:rPr>
              <w:br/>
              <w:t xml:space="preserve">za stroške </w:t>
            </w:r>
            <w:r w:rsidRPr="00237696">
              <w:rPr>
                <w:lang w:val="sl-SI" w:eastAsia="en-GB"/>
              </w:rPr>
              <w:br/>
              <w:t>na enoto</w:t>
            </w:r>
          </w:p>
        </w:tc>
        <w:tc>
          <w:tcPr>
            <w:tcW w:w="1095" w:type="pct"/>
            <w:shd w:val="clear" w:color="auto" w:fill="auto"/>
            <w:vAlign w:val="center"/>
          </w:tcPr>
          <w:p w14:paraId="7D39966E" w14:textId="77777777" w:rsidR="00E03711" w:rsidRPr="00237696" w:rsidRDefault="00E03711" w:rsidP="00237696">
            <w:pPr>
              <w:pStyle w:val="GUIDE-NORMAL"/>
              <w:spacing w:before="60" w:after="60"/>
              <w:jc w:val="left"/>
              <w:rPr>
                <w:lang w:val="sl-SI" w:eastAsia="en-GB"/>
              </w:rPr>
            </w:pPr>
            <w:r w:rsidRPr="00237696">
              <w:rPr>
                <w:rStyle w:val="Guide-tableChar"/>
                <w:lang w:val="sl-SI"/>
              </w:rPr>
              <w:t>B3.1</w:t>
            </w:r>
            <w:r w:rsidRPr="00237696">
              <w:rPr>
                <w:lang w:val="sl-SI" w:eastAsia="en-GB"/>
              </w:rPr>
              <w:t xml:space="preserve"> na vključenega menedžerja na dan dela na projektu</w:t>
            </w:r>
          </w:p>
        </w:tc>
        <w:tc>
          <w:tcPr>
            <w:tcW w:w="1093" w:type="pct"/>
            <w:vMerge w:val="restart"/>
            <w:shd w:val="clear" w:color="auto" w:fill="auto"/>
            <w:vAlign w:val="center"/>
          </w:tcPr>
          <w:p w14:paraId="7D39966F" w14:textId="77777777" w:rsidR="00E03711" w:rsidRPr="00237696" w:rsidRDefault="00E03711" w:rsidP="00237696">
            <w:pPr>
              <w:pStyle w:val="GUIDE-NORMAL"/>
              <w:spacing w:before="60" w:after="60"/>
              <w:jc w:val="left"/>
              <w:rPr>
                <w:lang w:val="sl-SI" w:eastAsia="en-GB"/>
              </w:rPr>
            </w:pPr>
            <w:r w:rsidRPr="00237696">
              <w:rPr>
                <w:lang w:val="sl-SI" w:eastAsia="en-GB"/>
              </w:rPr>
              <w:t>Pogoj: prijavitelji bodo morali utemeljiti vrsto in znesek sredstev, ki jih potrebujejo v zvezi z izvajanjem predlaganih aktivnosti in rezultatov.</w:t>
            </w:r>
          </w:p>
          <w:p w14:paraId="7D399670" w14:textId="77777777" w:rsidR="00E03711" w:rsidRPr="00237696" w:rsidRDefault="00E03711" w:rsidP="00237696">
            <w:pPr>
              <w:pStyle w:val="GUIDE-NORMAL"/>
              <w:spacing w:before="60" w:after="60"/>
              <w:jc w:val="left"/>
              <w:rPr>
                <w:lang w:val="sl-SI" w:eastAsia="en-GB"/>
              </w:rPr>
            </w:pPr>
            <w:r w:rsidRPr="00237696">
              <w:rPr>
                <w:lang w:val="sl-SI" w:eastAsia="en-GB"/>
              </w:rPr>
              <w:t>Za upravičenost do te vrste podpore z nepovratnimi sredstvi bi morali biti kakovost in količina rezultatov precejšnji.</w:t>
            </w:r>
          </w:p>
        </w:tc>
      </w:tr>
      <w:tr w:rsidR="00E03711" w:rsidRPr="00C60205" w14:paraId="7D399677" w14:textId="77777777" w:rsidTr="00F05D26">
        <w:trPr>
          <w:trHeight w:val="397"/>
        </w:trPr>
        <w:tc>
          <w:tcPr>
            <w:tcW w:w="467" w:type="pct"/>
            <w:vMerge/>
            <w:shd w:val="clear" w:color="auto" w:fill="auto"/>
            <w:vAlign w:val="center"/>
          </w:tcPr>
          <w:p w14:paraId="7D399672" w14:textId="77777777" w:rsidR="00E03711" w:rsidRPr="00237696" w:rsidRDefault="00E03711" w:rsidP="00A13051">
            <w:pPr>
              <w:spacing w:beforeLines="60" w:before="144" w:afterLines="60" w:after="144"/>
              <w:rPr>
                <w:rFonts w:eastAsia="Times New Roman" w:cs="Times New Roman"/>
                <w:b/>
                <w:snapToGrid w:val="0"/>
                <w:sz w:val="18"/>
                <w:szCs w:val="18"/>
                <w:lang w:val="sl-SI"/>
              </w:rPr>
            </w:pPr>
          </w:p>
        </w:tc>
        <w:tc>
          <w:tcPr>
            <w:tcW w:w="1564" w:type="pct"/>
            <w:vMerge/>
            <w:shd w:val="clear" w:color="auto" w:fill="auto"/>
            <w:vAlign w:val="center"/>
          </w:tcPr>
          <w:p w14:paraId="7D399673" w14:textId="77777777" w:rsidR="00E03711" w:rsidRPr="00237696" w:rsidRDefault="00E03711" w:rsidP="00A13051">
            <w:pPr>
              <w:spacing w:beforeLines="60" w:before="144" w:afterLines="60" w:after="144"/>
              <w:rPr>
                <w:rFonts w:eastAsia="Times New Roman" w:cs="Times New Roman"/>
                <w:snapToGrid w:val="0"/>
                <w:sz w:val="18"/>
                <w:szCs w:val="18"/>
                <w:lang w:val="sl-SI"/>
              </w:rPr>
            </w:pPr>
          </w:p>
        </w:tc>
        <w:tc>
          <w:tcPr>
            <w:tcW w:w="782" w:type="pct"/>
            <w:vMerge/>
            <w:shd w:val="clear" w:color="auto" w:fill="auto"/>
            <w:vAlign w:val="center"/>
          </w:tcPr>
          <w:p w14:paraId="7D399674" w14:textId="77777777" w:rsidR="00E03711" w:rsidRPr="00237696" w:rsidRDefault="00E03711" w:rsidP="00A13051">
            <w:pPr>
              <w:spacing w:beforeLines="60" w:before="144" w:afterLines="60" w:after="144"/>
              <w:rPr>
                <w:rFonts w:eastAsia="Times New Roman" w:cs="Times New Roman"/>
                <w:snapToGrid w:val="0"/>
                <w:sz w:val="18"/>
                <w:szCs w:val="18"/>
                <w:lang w:val="sl-SI"/>
              </w:rPr>
            </w:pPr>
          </w:p>
        </w:tc>
        <w:tc>
          <w:tcPr>
            <w:tcW w:w="1095" w:type="pct"/>
            <w:shd w:val="clear" w:color="auto" w:fill="auto"/>
            <w:vAlign w:val="center"/>
          </w:tcPr>
          <w:p w14:paraId="7D399675" w14:textId="77777777" w:rsidR="00E03711" w:rsidRPr="00237696" w:rsidRDefault="00E03711" w:rsidP="00237696">
            <w:pPr>
              <w:pStyle w:val="GUIDE-NORMAL"/>
              <w:spacing w:before="60" w:after="60"/>
              <w:jc w:val="left"/>
              <w:rPr>
                <w:lang w:val="sl-SI" w:eastAsia="en-GB"/>
              </w:rPr>
            </w:pPr>
            <w:r w:rsidRPr="00237696">
              <w:rPr>
                <w:lang w:val="sl-SI" w:eastAsia="en-GB"/>
              </w:rPr>
              <w:t>B3.2 na vključenega raziskovalca/učitelja/</w:t>
            </w:r>
            <w:r w:rsidRPr="00237696">
              <w:rPr>
                <w:lang w:val="sl-SI" w:eastAsia="en-GB"/>
              </w:rPr>
              <w:br/>
              <w:t>vodjo usposabljanj na dan dela na projektu</w:t>
            </w:r>
          </w:p>
        </w:tc>
        <w:tc>
          <w:tcPr>
            <w:tcW w:w="1093" w:type="pct"/>
            <w:vMerge/>
            <w:shd w:val="clear" w:color="auto" w:fill="auto"/>
            <w:vAlign w:val="center"/>
          </w:tcPr>
          <w:p w14:paraId="7D399676" w14:textId="77777777" w:rsidR="00E03711" w:rsidRPr="00237696" w:rsidRDefault="00E03711" w:rsidP="00A13051">
            <w:pPr>
              <w:spacing w:beforeLines="60" w:before="144" w:afterLines="60" w:after="144"/>
              <w:rPr>
                <w:rFonts w:eastAsia="Times New Roman" w:cs="Times New Roman"/>
                <w:snapToGrid w:val="0"/>
                <w:sz w:val="18"/>
                <w:szCs w:val="18"/>
                <w:lang w:val="sl-SI"/>
              </w:rPr>
            </w:pPr>
          </w:p>
        </w:tc>
      </w:tr>
      <w:tr w:rsidR="00E03711" w:rsidRPr="00C60205" w14:paraId="7D39967D" w14:textId="77777777" w:rsidTr="00F05D26">
        <w:trPr>
          <w:trHeight w:val="397"/>
        </w:trPr>
        <w:tc>
          <w:tcPr>
            <w:tcW w:w="467" w:type="pct"/>
            <w:vMerge/>
            <w:shd w:val="clear" w:color="auto" w:fill="auto"/>
            <w:vAlign w:val="center"/>
          </w:tcPr>
          <w:p w14:paraId="7D399678" w14:textId="77777777" w:rsidR="00E03711" w:rsidRPr="00237696" w:rsidRDefault="00E03711" w:rsidP="00A13051">
            <w:pPr>
              <w:spacing w:beforeLines="60" w:before="144" w:afterLines="60" w:after="144"/>
              <w:rPr>
                <w:rFonts w:eastAsia="Times New Roman" w:cs="Times New Roman"/>
                <w:b/>
                <w:snapToGrid w:val="0"/>
                <w:sz w:val="18"/>
                <w:szCs w:val="18"/>
                <w:lang w:val="sl-SI"/>
              </w:rPr>
            </w:pPr>
          </w:p>
        </w:tc>
        <w:tc>
          <w:tcPr>
            <w:tcW w:w="1564" w:type="pct"/>
            <w:vMerge/>
            <w:shd w:val="clear" w:color="auto" w:fill="auto"/>
            <w:vAlign w:val="center"/>
          </w:tcPr>
          <w:p w14:paraId="7D399679" w14:textId="77777777" w:rsidR="00E03711" w:rsidRPr="00237696" w:rsidRDefault="00E03711" w:rsidP="00A13051">
            <w:pPr>
              <w:spacing w:beforeLines="60" w:before="144" w:afterLines="60" w:after="144"/>
              <w:rPr>
                <w:rFonts w:eastAsia="Times New Roman" w:cs="Times New Roman"/>
                <w:snapToGrid w:val="0"/>
                <w:sz w:val="18"/>
                <w:szCs w:val="18"/>
                <w:lang w:val="sl-SI"/>
              </w:rPr>
            </w:pPr>
          </w:p>
        </w:tc>
        <w:tc>
          <w:tcPr>
            <w:tcW w:w="782" w:type="pct"/>
            <w:vMerge/>
            <w:shd w:val="clear" w:color="auto" w:fill="auto"/>
            <w:vAlign w:val="center"/>
          </w:tcPr>
          <w:p w14:paraId="7D39967A" w14:textId="77777777" w:rsidR="00E03711" w:rsidRPr="00237696" w:rsidRDefault="00E03711" w:rsidP="00A13051">
            <w:pPr>
              <w:spacing w:beforeLines="60" w:before="144" w:afterLines="60" w:after="144"/>
              <w:rPr>
                <w:rFonts w:eastAsia="Times New Roman" w:cs="Times New Roman"/>
                <w:snapToGrid w:val="0"/>
                <w:sz w:val="18"/>
                <w:szCs w:val="18"/>
                <w:lang w:val="sl-SI"/>
              </w:rPr>
            </w:pPr>
          </w:p>
        </w:tc>
        <w:tc>
          <w:tcPr>
            <w:tcW w:w="1095" w:type="pct"/>
            <w:shd w:val="clear" w:color="auto" w:fill="auto"/>
            <w:vAlign w:val="center"/>
          </w:tcPr>
          <w:p w14:paraId="7D39967B" w14:textId="77777777" w:rsidR="00E03711" w:rsidRPr="00237696" w:rsidRDefault="00E03711" w:rsidP="00237696">
            <w:pPr>
              <w:pStyle w:val="GUIDE-NORMAL"/>
              <w:spacing w:before="60" w:after="60"/>
              <w:jc w:val="left"/>
              <w:rPr>
                <w:lang w:val="sl-SI" w:eastAsia="en-GB"/>
              </w:rPr>
            </w:pPr>
            <w:r w:rsidRPr="00237696">
              <w:rPr>
                <w:lang w:val="sl-SI" w:eastAsia="en-GB"/>
              </w:rPr>
              <w:t xml:space="preserve">B3.3 na vključeno tehnično osebje na </w:t>
            </w:r>
            <w:r w:rsidRPr="00237696">
              <w:rPr>
                <w:lang w:val="sl-SI" w:eastAsia="en-GB"/>
              </w:rPr>
              <w:br/>
              <w:t>dan dela na projektu</w:t>
            </w:r>
          </w:p>
        </w:tc>
        <w:tc>
          <w:tcPr>
            <w:tcW w:w="1093" w:type="pct"/>
            <w:vMerge/>
            <w:shd w:val="clear" w:color="auto" w:fill="auto"/>
            <w:vAlign w:val="center"/>
          </w:tcPr>
          <w:p w14:paraId="7D39967C" w14:textId="77777777" w:rsidR="00E03711" w:rsidRPr="00237696" w:rsidRDefault="00E03711" w:rsidP="00A13051">
            <w:pPr>
              <w:spacing w:beforeLines="60" w:before="144" w:afterLines="60" w:after="144"/>
              <w:rPr>
                <w:rFonts w:eastAsia="Times New Roman" w:cs="Times New Roman"/>
                <w:snapToGrid w:val="0"/>
                <w:sz w:val="18"/>
                <w:szCs w:val="18"/>
                <w:lang w:val="sl-SI"/>
              </w:rPr>
            </w:pPr>
          </w:p>
        </w:tc>
      </w:tr>
      <w:tr w:rsidR="00E03711" w:rsidRPr="00C60205" w14:paraId="7D399683" w14:textId="77777777" w:rsidTr="00F05D26">
        <w:trPr>
          <w:trHeight w:val="223"/>
        </w:trPr>
        <w:tc>
          <w:tcPr>
            <w:tcW w:w="467" w:type="pct"/>
            <w:vMerge/>
            <w:shd w:val="clear" w:color="auto" w:fill="auto"/>
            <w:vAlign w:val="center"/>
          </w:tcPr>
          <w:p w14:paraId="7D39967E" w14:textId="77777777" w:rsidR="00E03711" w:rsidRPr="00237696" w:rsidRDefault="00E03711" w:rsidP="00A13051">
            <w:pPr>
              <w:spacing w:beforeLines="60" w:before="144" w:afterLines="60" w:after="144"/>
              <w:rPr>
                <w:rFonts w:eastAsia="Times New Roman" w:cs="Times New Roman"/>
                <w:b/>
                <w:snapToGrid w:val="0"/>
                <w:sz w:val="18"/>
                <w:szCs w:val="18"/>
                <w:lang w:val="sl-SI"/>
              </w:rPr>
            </w:pPr>
          </w:p>
        </w:tc>
        <w:tc>
          <w:tcPr>
            <w:tcW w:w="1564" w:type="pct"/>
            <w:vMerge/>
            <w:shd w:val="clear" w:color="auto" w:fill="auto"/>
            <w:vAlign w:val="center"/>
          </w:tcPr>
          <w:p w14:paraId="7D39967F" w14:textId="77777777" w:rsidR="00E03711" w:rsidRPr="00237696" w:rsidRDefault="00E03711" w:rsidP="00A13051">
            <w:pPr>
              <w:spacing w:beforeLines="60" w:before="144" w:afterLines="60" w:after="144"/>
              <w:rPr>
                <w:rFonts w:eastAsia="Times New Roman" w:cs="Times New Roman"/>
                <w:snapToGrid w:val="0"/>
                <w:sz w:val="18"/>
                <w:szCs w:val="18"/>
                <w:lang w:val="sl-SI"/>
              </w:rPr>
            </w:pPr>
          </w:p>
        </w:tc>
        <w:tc>
          <w:tcPr>
            <w:tcW w:w="782" w:type="pct"/>
            <w:vMerge/>
            <w:shd w:val="clear" w:color="auto" w:fill="auto"/>
            <w:vAlign w:val="center"/>
          </w:tcPr>
          <w:p w14:paraId="7D399680" w14:textId="77777777" w:rsidR="00E03711" w:rsidRPr="00237696" w:rsidRDefault="00E03711" w:rsidP="00A13051">
            <w:pPr>
              <w:spacing w:beforeLines="60" w:before="144" w:afterLines="60" w:after="144"/>
              <w:rPr>
                <w:rFonts w:eastAsia="Times New Roman" w:cs="Times New Roman"/>
                <w:snapToGrid w:val="0"/>
                <w:sz w:val="18"/>
                <w:szCs w:val="18"/>
                <w:lang w:val="sl-SI"/>
              </w:rPr>
            </w:pPr>
          </w:p>
        </w:tc>
        <w:tc>
          <w:tcPr>
            <w:tcW w:w="1095" w:type="pct"/>
            <w:shd w:val="clear" w:color="auto" w:fill="auto"/>
            <w:vAlign w:val="center"/>
          </w:tcPr>
          <w:p w14:paraId="7D399681" w14:textId="77777777" w:rsidR="00E03711" w:rsidRPr="00237696" w:rsidRDefault="00E03711" w:rsidP="00237696">
            <w:pPr>
              <w:pStyle w:val="GUIDE-NORMAL"/>
              <w:spacing w:before="60" w:after="60"/>
              <w:jc w:val="left"/>
              <w:rPr>
                <w:lang w:val="sl-SI" w:eastAsia="en-GB"/>
              </w:rPr>
            </w:pPr>
            <w:r w:rsidRPr="00237696">
              <w:rPr>
                <w:lang w:val="sl-SI" w:eastAsia="en-GB"/>
              </w:rPr>
              <w:t>B3.4 na vključeno administrativno osebje na dan dela na projektu</w:t>
            </w:r>
          </w:p>
        </w:tc>
        <w:tc>
          <w:tcPr>
            <w:tcW w:w="1093" w:type="pct"/>
            <w:vMerge/>
            <w:shd w:val="clear" w:color="auto" w:fill="auto"/>
            <w:vAlign w:val="center"/>
          </w:tcPr>
          <w:p w14:paraId="7D399682" w14:textId="77777777" w:rsidR="00E03711" w:rsidRPr="00237696" w:rsidRDefault="00E03711" w:rsidP="00A13051">
            <w:pPr>
              <w:spacing w:beforeLines="60" w:before="144" w:afterLines="60" w:after="144"/>
              <w:rPr>
                <w:rFonts w:eastAsia="Times New Roman" w:cs="Times New Roman"/>
                <w:snapToGrid w:val="0"/>
                <w:sz w:val="18"/>
                <w:szCs w:val="18"/>
                <w:lang w:val="sl-SI"/>
              </w:rPr>
            </w:pPr>
          </w:p>
        </w:tc>
      </w:tr>
    </w:tbl>
    <w:p w14:paraId="7D399684" w14:textId="77777777" w:rsidR="00E03711" w:rsidRPr="001048FE" w:rsidRDefault="00E03711" w:rsidP="000B79A8">
      <w:pPr>
        <w:pStyle w:val="Guide-Heading7"/>
        <w:rPr>
          <w:lang w:val="sl-SI"/>
        </w:rPr>
      </w:pPr>
      <w:r w:rsidRPr="001048FE">
        <w:rPr>
          <w:lang w:val="sl-SI"/>
        </w:rPr>
        <w:t>Preglednica A – Izvajanje projekta (zneski v EUR na dan) v državah Programa</w:t>
      </w:r>
    </w:p>
    <w:p w14:paraId="7D399685" w14:textId="77777777" w:rsidR="00E03711" w:rsidRPr="001048FE" w:rsidRDefault="00E03711" w:rsidP="000B79A8">
      <w:pPr>
        <w:pStyle w:val="GUIDE-NORMAL"/>
        <w:rPr>
          <w:lang w:val="sl-SI"/>
        </w:rPr>
      </w:pPr>
      <w:r w:rsidRPr="001048FE">
        <w:rPr>
          <w:lang w:val="sl-SI"/>
        </w:rPr>
        <w:t>Zneski so odvisni od: (a) profila osebja, ki je vključeno v projekt, in (b) države sodelujoče organizacije, iz katere prihaja to</w:t>
      </w:r>
      <w:r w:rsidRPr="001048FE">
        <w:rPr>
          <w:spacing w:val="-11"/>
          <w:lang w:val="sl-SI"/>
        </w:rPr>
        <w:t xml:space="preserve"> </w:t>
      </w:r>
      <w:r w:rsidRPr="001048FE">
        <w:rPr>
          <w:lang w:val="sl-SI"/>
        </w:rPr>
        <w:t>osebje.</w:t>
      </w:r>
    </w:p>
    <w:tbl>
      <w:tblPr>
        <w:tblW w:w="5000" w:type="pct"/>
        <w:jc w:val="center"/>
        <w:tblLayout w:type="fixed"/>
        <w:tblLook w:val="0000" w:firstRow="0" w:lastRow="0" w:firstColumn="0" w:lastColumn="0" w:noHBand="0" w:noVBand="0"/>
      </w:tblPr>
      <w:tblGrid>
        <w:gridCol w:w="6284"/>
        <w:gridCol w:w="2126"/>
        <w:gridCol w:w="2126"/>
        <w:gridCol w:w="2126"/>
        <w:gridCol w:w="2126"/>
      </w:tblGrid>
      <w:tr w:rsidR="00E03711" w:rsidRPr="008C6F8C" w14:paraId="7D39968B" w14:textId="77777777" w:rsidTr="008B79F1">
        <w:trPr>
          <w:trHeight w:val="20"/>
          <w:jc w:val="center"/>
        </w:trPr>
        <w:tc>
          <w:tcPr>
            <w:tcW w:w="3855" w:type="dxa"/>
            <w:vMerge w:val="restart"/>
            <w:tcBorders>
              <w:right w:val="single" w:sz="4" w:space="0" w:color="auto"/>
            </w:tcBorders>
            <w:shd w:val="clear" w:color="auto" w:fill="auto"/>
            <w:vAlign w:val="center"/>
          </w:tcPr>
          <w:p w14:paraId="7D399686" w14:textId="77777777" w:rsidR="00E03711" w:rsidRPr="00237696" w:rsidRDefault="00E03711" w:rsidP="00B523BE">
            <w:pPr>
              <w:autoSpaceDE w:val="0"/>
              <w:adjustRightInd w:val="0"/>
              <w:spacing w:before="60" w:after="60"/>
              <w:jc w:val="center"/>
              <w:rPr>
                <w:b/>
                <w:bCs/>
                <w:sz w:val="18"/>
                <w:szCs w:val="18"/>
                <w:lang w:val="sl-SI"/>
              </w:rPr>
            </w:pPr>
          </w:p>
        </w:tc>
        <w:tc>
          <w:tcPr>
            <w:tcW w:w="1304" w:type="dxa"/>
            <w:tcBorders>
              <w:top w:val="single" w:sz="4" w:space="0" w:color="auto"/>
              <w:left w:val="single" w:sz="4" w:space="0" w:color="auto"/>
              <w:bottom w:val="single" w:sz="6" w:space="0" w:color="auto"/>
              <w:right w:val="single" w:sz="4" w:space="0" w:color="auto"/>
            </w:tcBorders>
            <w:shd w:val="clear" w:color="auto" w:fill="auto"/>
            <w:vAlign w:val="center"/>
          </w:tcPr>
          <w:p w14:paraId="7D399687" w14:textId="77777777" w:rsidR="00E03711" w:rsidRPr="00F769E0" w:rsidRDefault="00E03711" w:rsidP="00B523BE">
            <w:pPr>
              <w:pStyle w:val="Guide-Table"/>
              <w:spacing w:before="60" w:after="60"/>
              <w:rPr>
                <w:rFonts w:cs="Tahoma"/>
                <w:b/>
                <w:lang w:val="sl-SI" w:eastAsia="en-GB"/>
              </w:rPr>
            </w:pPr>
            <w:r w:rsidRPr="00F769E0">
              <w:rPr>
                <w:rFonts w:cs="Tahoma"/>
                <w:b/>
                <w:lang w:val="sl-SI" w:eastAsia="en-GB"/>
              </w:rPr>
              <w:t>Menedžer</w:t>
            </w:r>
          </w:p>
        </w:tc>
        <w:tc>
          <w:tcPr>
            <w:tcW w:w="1304" w:type="dxa"/>
            <w:tcBorders>
              <w:top w:val="single" w:sz="6" w:space="0" w:color="auto"/>
              <w:left w:val="single" w:sz="4" w:space="0" w:color="auto"/>
              <w:bottom w:val="single" w:sz="4" w:space="0" w:color="auto"/>
              <w:right w:val="single" w:sz="6" w:space="0" w:color="auto"/>
            </w:tcBorders>
            <w:shd w:val="clear" w:color="auto" w:fill="auto"/>
            <w:vAlign w:val="center"/>
          </w:tcPr>
          <w:p w14:paraId="7D399688" w14:textId="77777777" w:rsidR="00E03711" w:rsidRPr="00F769E0" w:rsidRDefault="00E03711" w:rsidP="00B523BE">
            <w:pPr>
              <w:pStyle w:val="Guide-Table"/>
              <w:spacing w:before="60" w:after="60"/>
              <w:rPr>
                <w:rFonts w:cs="Tahoma"/>
                <w:b/>
                <w:lang w:val="sl-SI" w:eastAsia="en-GB"/>
              </w:rPr>
            </w:pPr>
            <w:r w:rsidRPr="00F769E0">
              <w:rPr>
                <w:rFonts w:cs="Tahoma"/>
                <w:b/>
                <w:lang w:val="sl-SI" w:eastAsia="en-GB"/>
              </w:rPr>
              <w:t>Učitelj/vodja usposabljanja/raziskovalec/ mladinski delavec</w:t>
            </w:r>
          </w:p>
        </w:tc>
        <w:tc>
          <w:tcPr>
            <w:tcW w:w="1304" w:type="dxa"/>
            <w:tcBorders>
              <w:top w:val="single" w:sz="6" w:space="0" w:color="auto"/>
              <w:left w:val="single" w:sz="6" w:space="0" w:color="auto"/>
              <w:bottom w:val="single" w:sz="4" w:space="0" w:color="auto"/>
              <w:right w:val="single" w:sz="6" w:space="0" w:color="auto"/>
            </w:tcBorders>
            <w:shd w:val="clear" w:color="auto" w:fill="auto"/>
            <w:vAlign w:val="center"/>
          </w:tcPr>
          <w:p w14:paraId="7D399689" w14:textId="77777777" w:rsidR="00E03711" w:rsidRPr="00F769E0" w:rsidRDefault="00E03711" w:rsidP="00B523BE">
            <w:pPr>
              <w:pStyle w:val="Guide-Table"/>
              <w:spacing w:before="60" w:after="60"/>
              <w:rPr>
                <w:rFonts w:cs="Tahoma"/>
                <w:b/>
                <w:lang w:val="sl-SI" w:eastAsia="en-GB"/>
              </w:rPr>
            </w:pPr>
            <w:r w:rsidRPr="00F769E0">
              <w:rPr>
                <w:rFonts w:cs="Tahoma"/>
                <w:b/>
                <w:lang w:val="sl-SI" w:eastAsia="en-GB"/>
              </w:rPr>
              <w:t>Tehnično osebje</w:t>
            </w:r>
          </w:p>
        </w:tc>
        <w:tc>
          <w:tcPr>
            <w:tcW w:w="1304" w:type="dxa"/>
            <w:tcBorders>
              <w:top w:val="single" w:sz="6" w:space="0" w:color="auto"/>
              <w:left w:val="single" w:sz="6" w:space="0" w:color="auto"/>
              <w:bottom w:val="single" w:sz="4" w:space="0" w:color="auto"/>
              <w:right w:val="single" w:sz="6" w:space="0" w:color="auto"/>
            </w:tcBorders>
            <w:shd w:val="clear" w:color="auto" w:fill="auto"/>
            <w:vAlign w:val="center"/>
          </w:tcPr>
          <w:p w14:paraId="7D39968A" w14:textId="77777777" w:rsidR="00E03711" w:rsidRPr="00F769E0" w:rsidRDefault="00E03711" w:rsidP="00B523BE">
            <w:pPr>
              <w:pStyle w:val="Guide-Table"/>
              <w:spacing w:before="60" w:after="60"/>
              <w:rPr>
                <w:rFonts w:cs="Tahoma"/>
                <w:b/>
                <w:lang w:val="sl-SI" w:eastAsia="en-GB"/>
              </w:rPr>
            </w:pPr>
            <w:r w:rsidRPr="00F769E0">
              <w:rPr>
                <w:rFonts w:cs="Tahoma"/>
                <w:b/>
                <w:lang w:val="sl-SI" w:eastAsia="en-GB"/>
              </w:rPr>
              <w:t>Administrativno osebje</w:t>
            </w:r>
          </w:p>
        </w:tc>
      </w:tr>
      <w:tr w:rsidR="00E03711" w:rsidRPr="008C6F8C" w14:paraId="7D399691" w14:textId="77777777" w:rsidTr="008B79F1">
        <w:trPr>
          <w:trHeight w:val="20"/>
          <w:jc w:val="center"/>
        </w:trPr>
        <w:tc>
          <w:tcPr>
            <w:tcW w:w="3855" w:type="dxa"/>
            <w:vMerge/>
            <w:tcBorders>
              <w:bottom w:val="single" w:sz="4" w:space="0" w:color="auto"/>
              <w:right w:val="single" w:sz="4" w:space="0" w:color="auto"/>
            </w:tcBorders>
            <w:shd w:val="clear" w:color="auto" w:fill="auto"/>
            <w:vAlign w:val="center"/>
          </w:tcPr>
          <w:p w14:paraId="7D39968C" w14:textId="77777777" w:rsidR="00E03711" w:rsidRPr="00237696" w:rsidRDefault="00E03711" w:rsidP="00B523BE">
            <w:pPr>
              <w:autoSpaceDE w:val="0"/>
              <w:adjustRightInd w:val="0"/>
              <w:spacing w:before="60" w:after="60"/>
              <w:jc w:val="center"/>
              <w:rPr>
                <w:b/>
                <w:bCs/>
                <w:sz w:val="18"/>
                <w:szCs w:val="18"/>
                <w:lang w:val="sl-SI"/>
              </w:rPr>
            </w:pPr>
          </w:p>
        </w:tc>
        <w:tc>
          <w:tcPr>
            <w:tcW w:w="1304" w:type="dxa"/>
            <w:tcBorders>
              <w:top w:val="single" w:sz="6" w:space="0" w:color="auto"/>
              <w:left w:val="single" w:sz="4" w:space="0" w:color="auto"/>
              <w:bottom w:val="single" w:sz="4" w:space="0" w:color="auto"/>
              <w:right w:val="single" w:sz="4" w:space="0" w:color="auto"/>
            </w:tcBorders>
            <w:shd w:val="clear" w:color="auto" w:fill="auto"/>
            <w:vAlign w:val="center"/>
          </w:tcPr>
          <w:p w14:paraId="7D39968D" w14:textId="77777777" w:rsidR="00E03711" w:rsidRPr="00F769E0" w:rsidRDefault="00E03711" w:rsidP="00B523BE">
            <w:pPr>
              <w:pStyle w:val="Guide-Table"/>
              <w:spacing w:before="60" w:after="60"/>
              <w:rPr>
                <w:rFonts w:cs="Tahoma"/>
                <w:b/>
                <w:lang w:val="sl-SI" w:eastAsia="en-GB"/>
              </w:rPr>
            </w:pPr>
            <w:r w:rsidRPr="00F769E0">
              <w:rPr>
                <w:rFonts w:cs="Tahoma"/>
                <w:b/>
                <w:lang w:val="sl-SI" w:eastAsia="en-GB"/>
              </w:rPr>
              <w:t>B3.1</w:t>
            </w:r>
          </w:p>
        </w:tc>
        <w:tc>
          <w:tcPr>
            <w:tcW w:w="1304" w:type="dxa"/>
            <w:tcBorders>
              <w:top w:val="single" w:sz="6" w:space="0" w:color="auto"/>
              <w:left w:val="single" w:sz="4" w:space="0" w:color="auto"/>
              <w:bottom w:val="single" w:sz="4" w:space="0" w:color="auto"/>
              <w:right w:val="single" w:sz="6" w:space="0" w:color="auto"/>
            </w:tcBorders>
            <w:shd w:val="clear" w:color="auto" w:fill="auto"/>
            <w:vAlign w:val="center"/>
          </w:tcPr>
          <w:p w14:paraId="7D39968E" w14:textId="77777777" w:rsidR="00E03711" w:rsidRPr="00F769E0" w:rsidRDefault="00E03711" w:rsidP="00B523BE">
            <w:pPr>
              <w:pStyle w:val="Guide-Table"/>
              <w:spacing w:before="60" w:after="60"/>
              <w:rPr>
                <w:rFonts w:cs="Tahoma"/>
                <w:b/>
                <w:lang w:val="sl-SI" w:eastAsia="en-GB"/>
              </w:rPr>
            </w:pPr>
            <w:r w:rsidRPr="00F769E0">
              <w:rPr>
                <w:rFonts w:cs="Tahoma"/>
                <w:b/>
                <w:lang w:val="sl-SI" w:eastAsia="en-GB"/>
              </w:rPr>
              <w:t>B3.2</w:t>
            </w:r>
          </w:p>
        </w:tc>
        <w:tc>
          <w:tcPr>
            <w:tcW w:w="1304" w:type="dxa"/>
            <w:tcBorders>
              <w:top w:val="single" w:sz="6" w:space="0" w:color="auto"/>
              <w:left w:val="single" w:sz="6" w:space="0" w:color="auto"/>
              <w:bottom w:val="single" w:sz="4" w:space="0" w:color="auto"/>
              <w:right w:val="single" w:sz="6" w:space="0" w:color="auto"/>
            </w:tcBorders>
            <w:shd w:val="clear" w:color="auto" w:fill="auto"/>
            <w:vAlign w:val="center"/>
          </w:tcPr>
          <w:p w14:paraId="7D39968F" w14:textId="77777777" w:rsidR="00E03711" w:rsidRPr="00F769E0" w:rsidRDefault="00E03711" w:rsidP="00B523BE">
            <w:pPr>
              <w:pStyle w:val="Guide-Table"/>
              <w:spacing w:before="60" w:after="60"/>
              <w:rPr>
                <w:rFonts w:cs="Tahoma"/>
                <w:b/>
                <w:lang w:val="sl-SI" w:eastAsia="en-GB"/>
              </w:rPr>
            </w:pPr>
            <w:r w:rsidRPr="00F769E0">
              <w:rPr>
                <w:rFonts w:cs="Tahoma"/>
                <w:b/>
                <w:lang w:val="sl-SI" w:eastAsia="en-GB"/>
              </w:rPr>
              <w:t>B3.3</w:t>
            </w:r>
          </w:p>
        </w:tc>
        <w:tc>
          <w:tcPr>
            <w:tcW w:w="1304" w:type="dxa"/>
            <w:tcBorders>
              <w:top w:val="single" w:sz="6" w:space="0" w:color="auto"/>
              <w:left w:val="single" w:sz="6" w:space="0" w:color="auto"/>
              <w:bottom w:val="single" w:sz="4" w:space="0" w:color="auto"/>
              <w:right w:val="single" w:sz="6" w:space="0" w:color="auto"/>
            </w:tcBorders>
            <w:shd w:val="clear" w:color="auto" w:fill="auto"/>
            <w:vAlign w:val="center"/>
          </w:tcPr>
          <w:p w14:paraId="7D399690" w14:textId="77777777" w:rsidR="00E03711" w:rsidRPr="00F769E0" w:rsidRDefault="00E03711" w:rsidP="00B523BE">
            <w:pPr>
              <w:pStyle w:val="Guide-Table"/>
              <w:spacing w:before="60" w:after="60"/>
              <w:rPr>
                <w:rFonts w:cs="Tahoma"/>
                <w:b/>
                <w:lang w:val="sl-SI" w:eastAsia="en-GB"/>
              </w:rPr>
            </w:pPr>
            <w:r w:rsidRPr="00F769E0">
              <w:rPr>
                <w:rFonts w:cs="Tahoma"/>
                <w:b/>
                <w:lang w:val="sl-SI" w:eastAsia="en-GB"/>
              </w:rPr>
              <w:t>B3.4</w:t>
            </w:r>
          </w:p>
        </w:tc>
      </w:tr>
      <w:tr w:rsidR="00E03711" w:rsidRPr="008C6F8C" w14:paraId="7D399697" w14:textId="77777777" w:rsidTr="008B79F1">
        <w:trPr>
          <w:trHeight w:val="20"/>
          <w:jc w:val="center"/>
        </w:trPr>
        <w:tc>
          <w:tcPr>
            <w:tcW w:w="3855" w:type="dxa"/>
            <w:tcBorders>
              <w:top w:val="single" w:sz="4" w:space="0" w:color="auto"/>
              <w:left w:val="single" w:sz="4" w:space="0" w:color="auto"/>
              <w:bottom w:val="single" w:sz="4" w:space="0" w:color="auto"/>
              <w:right w:val="single" w:sz="4" w:space="0" w:color="auto"/>
            </w:tcBorders>
            <w:shd w:val="clear" w:color="auto" w:fill="auto"/>
            <w:vAlign w:val="center"/>
          </w:tcPr>
          <w:p w14:paraId="7D399692" w14:textId="77777777" w:rsidR="00E03711" w:rsidRPr="00F769E0" w:rsidRDefault="00E03711" w:rsidP="000B79A8">
            <w:pPr>
              <w:pStyle w:val="GUIDE-NORMAL"/>
              <w:spacing w:before="60" w:after="60"/>
              <w:jc w:val="left"/>
              <w:rPr>
                <w:rFonts w:cs="Tahoma"/>
                <w:b/>
                <w:lang w:val="sl-SI" w:eastAsia="en-GB"/>
              </w:rPr>
            </w:pPr>
            <w:r w:rsidRPr="00F769E0">
              <w:rPr>
                <w:rFonts w:cs="Tahoma"/>
                <w:b/>
                <w:lang w:val="sl-SI" w:eastAsia="en-GB"/>
              </w:rPr>
              <w:t>Danska, Irska, Luksemburg, Nizozemska, Avstrija, Švedska, Lihtenštajn, Norveška</w:t>
            </w:r>
          </w:p>
        </w:tc>
        <w:tc>
          <w:tcPr>
            <w:tcW w:w="1304" w:type="dxa"/>
            <w:tcBorders>
              <w:top w:val="single" w:sz="6" w:space="0" w:color="auto"/>
              <w:left w:val="single" w:sz="4" w:space="0" w:color="auto"/>
              <w:bottom w:val="single" w:sz="4" w:space="0" w:color="auto"/>
              <w:right w:val="single" w:sz="6" w:space="0" w:color="auto"/>
            </w:tcBorders>
            <w:shd w:val="clear" w:color="auto" w:fill="auto"/>
            <w:vAlign w:val="center"/>
          </w:tcPr>
          <w:p w14:paraId="7D399693" w14:textId="77777777" w:rsidR="00E03711" w:rsidRPr="00237696" w:rsidRDefault="00E03711" w:rsidP="000B79A8">
            <w:pPr>
              <w:autoSpaceDE w:val="0"/>
              <w:adjustRightInd w:val="0"/>
              <w:spacing w:before="60" w:after="60"/>
              <w:jc w:val="center"/>
              <w:rPr>
                <w:sz w:val="18"/>
                <w:szCs w:val="18"/>
                <w:lang w:val="sl-SI"/>
              </w:rPr>
            </w:pPr>
            <w:r w:rsidRPr="00237696">
              <w:rPr>
                <w:sz w:val="18"/>
                <w:szCs w:val="18"/>
                <w:lang w:val="sl-SI"/>
              </w:rPr>
              <w:t>353</w:t>
            </w:r>
          </w:p>
        </w:tc>
        <w:tc>
          <w:tcPr>
            <w:tcW w:w="1304" w:type="dxa"/>
            <w:tcBorders>
              <w:top w:val="single" w:sz="6" w:space="0" w:color="auto"/>
              <w:left w:val="single" w:sz="6" w:space="0" w:color="auto"/>
              <w:bottom w:val="single" w:sz="4" w:space="0" w:color="auto"/>
              <w:right w:val="single" w:sz="6" w:space="0" w:color="auto"/>
            </w:tcBorders>
            <w:shd w:val="clear" w:color="auto" w:fill="auto"/>
            <w:vAlign w:val="center"/>
          </w:tcPr>
          <w:p w14:paraId="7D399694" w14:textId="77777777" w:rsidR="00E03711" w:rsidRPr="00237696" w:rsidRDefault="00E03711" w:rsidP="000B79A8">
            <w:pPr>
              <w:autoSpaceDE w:val="0"/>
              <w:adjustRightInd w:val="0"/>
              <w:spacing w:before="60" w:after="60"/>
              <w:jc w:val="center"/>
              <w:rPr>
                <w:sz w:val="18"/>
                <w:szCs w:val="18"/>
                <w:lang w:val="sl-SI"/>
              </w:rPr>
            </w:pPr>
            <w:r w:rsidRPr="00237696">
              <w:rPr>
                <w:sz w:val="18"/>
                <w:szCs w:val="18"/>
                <w:lang w:val="sl-SI"/>
              </w:rPr>
              <w:t>289</w:t>
            </w:r>
          </w:p>
        </w:tc>
        <w:tc>
          <w:tcPr>
            <w:tcW w:w="1304" w:type="dxa"/>
            <w:tcBorders>
              <w:top w:val="single" w:sz="6" w:space="0" w:color="auto"/>
              <w:left w:val="single" w:sz="6" w:space="0" w:color="auto"/>
              <w:bottom w:val="single" w:sz="4" w:space="0" w:color="auto"/>
              <w:right w:val="single" w:sz="6" w:space="0" w:color="auto"/>
            </w:tcBorders>
            <w:shd w:val="clear" w:color="auto" w:fill="auto"/>
            <w:vAlign w:val="center"/>
          </w:tcPr>
          <w:p w14:paraId="7D399695" w14:textId="77777777" w:rsidR="00E03711" w:rsidRPr="00237696" w:rsidRDefault="00E03711" w:rsidP="000B79A8">
            <w:pPr>
              <w:autoSpaceDE w:val="0"/>
              <w:adjustRightInd w:val="0"/>
              <w:spacing w:before="60" w:after="60"/>
              <w:jc w:val="center"/>
              <w:rPr>
                <w:sz w:val="18"/>
                <w:szCs w:val="18"/>
                <w:lang w:val="sl-SI"/>
              </w:rPr>
            </w:pPr>
            <w:r w:rsidRPr="00237696">
              <w:rPr>
                <w:sz w:val="18"/>
                <w:szCs w:val="18"/>
                <w:lang w:val="sl-SI"/>
              </w:rPr>
              <w:t>228</w:t>
            </w:r>
          </w:p>
        </w:tc>
        <w:tc>
          <w:tcPr>
            <w:tcW w:w="1304" w:type="dxa"/>
            <w:tcBorders>
              <w:top w:val="single" w:sz="6" w:space="0" w:color="auto"/>
              <w:left w:val="single" w:sz="6" w:space="0" w:color="auto"/>
              <w:bottom w:val="single" w:sz="4" w:space="0" w:color="auto"/>
              <w:right w:val="single" w:sz="6" w:space="0" w:color="auto"/>
            </w:tcBorders>
            <w:shd w:val="clear" w:color="auto" w:fill="auto"/>
            <w:vAlign w:val="center"/>
          </w:tcPr>
          <w:p w14:paraId="7D399696" w14:textId="77777777" w:rsidR="00E03711" w:rsidRPr="00237696" w:rsidRDefault="00E03711" w:rsidP="000B79A8">
            <w:pPr>
              <w:autoSpaceDE w:val="0"/>
              <w:adjustRightInd w:val="0"/>
              <w:spacing w:before="60" w:after="60"/>
              <w:jc w:val="center"/>
              <w:rPr>
                <w:sz w:val="18"/>
                <w:szCs w:val="18"/>
                <w:lang w:val="sl-SI"/>
              </w:rPr>
            </w:pPr>
            <w:r w:rsidRPr="00237696">
              <w:rPr>
                <w:sz w:val="18"/>
                <w:szCs w:val="18"/>
                <w:lang w:val="sl-SI"/>
              </w:rPr>
              <w:t>189</w:t>
            </w:r>
          </w:p>
        </w:tc>
      </w:tr>
      <w:tr w:rsidR="00E03711" w:rsidRPr="008C6F8C" w14:paraId="7D39969D" w14:textId="77777777" w:rsidTr="008B79F1">
        <w:trPr>
          <w:trHeight w:val="20"/>
          <w:jc w:val="center"/>
        </w:trPr>
        <w:tc>
          <w:tcPr>
            <w:tcW w:w="3855" w:type="dxa"/>
            <w:tcBorders>
              <w:top w:val="single" w:sz="6" w:space="0" w:color="auto"/>
              <w:left w:val="single" w:sz="6" w:space="0" w:color="auto"/>
              <w:bottom w:val="single" w:sz="4" w:space="0" w:color="auto"/>
              <w:right w:val="single" w:sz="6" w:space="0" w:color="auto"/>
            </w:tcBorders>
            <w:shd w:val="clear" w:color="auto" w:fill="auto"/>
            <w:vAlign w:val="center"/>
          </w:tcPr>
          <w:p w14:paraId="7D399698" w14:textId="77777777" w:rsidR="00E03711" w:rsidRPr="00F769E0" w:rsidRDefault="00E03711" w:rsidP="000B79A8">
            <w:pPr>
              <w:pStyle w:val="GUIDE-NORMAL"/>
              <w:spacing w:before="60" w:after="60"/>
              <w:jc w:val="left"/>
              <w:rPr>
                <w:rFonts w:cs="Tahoma"/>
                <w:b/>
                <w:lang w:val="sl-SI" w:eastAsia="en-GB"/>
              </w:rPr>
            </w:pPr>
            <w:r w:rsidRPr="00F769E0">
              <w:rPr>
                <w:rFonts w:cs="Tahoma"/>
                <w:b/>
                <w:lang w:val="sl-SI" w:eastAsia="en-GB"/>
              </w:rPr>
              <w:t>Belgija, Nemčija, Francija, Italija, Finska, Združeno kraljestvo, Islandija</w:t>
            </w:r>
          </w:p>
        </w:tc>
        <w:tc>
          <w:tcPr>
            <w:tcW w:w="1304" w:type="dxa"/>
            <w:tcBorders>
              <w:top w:val="single" w:sz="6" w:space="0" w:color="auto"/>
              <w:left w:val="single" w:sz="6" w:space="0" w:color="auto"/>
              <w:bottom w:val="single" w:sz="4" w:space="0" w:color="auto"/>
              <w:right w:val="single" w:sz="6" w:space="0" w:color="auto"/>
            </w:tcBorders>
            <w:shd w:val="clear" w:color="auto" w:fill="auto"/>
            <w:vAlign w:val="center"/>
          </w:tcPr>
          <w:p w14:paraId="7D399699" w14:textId="77777777" w:rsidR="00E03711" w:rsidRPr="00237696" w:rsidRDefault="00E03711" w:rsidP="000B79A8">
            <w:pPr>
              <w:autoSpaceDE w:val="0"/>
              <w:adjustRightInd w:val="0"/>
              <w:spacing w:before="60" w:after="60"/>
              <w:jc w:val="center"/>
              <w:rPr>
                <w:sz w:val="18"/>
                <w:szCs w:val="18"/>
                <w:lang w:val="sl-SI"/>
              </w:rPr>
            </w:pPr>
            <w:r w:rsidRPr="00237696">
              <w:rPr>
                <w:sz w:val="18"/>
                <w:szCs w:val="18"/>
                <w:lang w:val="sl-SI"/>
              </w:rPr>
              <w:t>336</w:t>
            </w:r>
          </w:p>
        </w:tc>
        <w:tc>
          <w:tcPr>
            <w:tcW w:w="1304" w:type="dxa"/>
            <w:tcBorders>
              <w:top w:val="single" w:sz="6" w:space="0" w:color="auto"/>
              <w:left w:val="single" w:sz="6" w:space="0" w:color="auto"/>
              <w:bottom w:val="single" w:sz="4" w:space="0" w:color="auto"/>
              <w:right w:val="single" w:sz="6" w:space="0" w:color="auto"/>
            </w:tcBorders>
            <w:shd w:val="clear" w:color="auto" w:fill="auto"/>
            <w:vAlign w:val="center"/>
          </w:tcPr>
          <w:p w14:paraId="7D39969A" w14:textId="77777777" w:rsidR="00E03711" w:rsidRPr="00237696" w:rsidRDefault="00E03711" w:rsidP="000B79A8">
            <w:pPr>
              <w:autoSpaceDE w:val="0"/>
              <w:adjustRightInd w:val="0"/>
              <w:spacing w:before="60" w:after="60"/>
              <w:jc w:val="center"/>
              <w:rPr>
                <w:sz w:val="18"/>
                <w:szCs w:val="18"/>
                <w:lang w:val="sl-SI"/>
              </w:rPr>
            </w:pPr>
            <w:r w:rsidRPr="00237696">
              <w:rPr>
                <w:sz w:val="18"/>
                <w:szCs w:val="18"/>
                <w:lang w:val="sl-SI"/>
              </w:rPr>
              <w:t>257</w:t>
            </w:r>
          </w:p>
        </w:tc>
        <w:tc>
          <w:tcPr>
            <w:tcW w:w="1304" w:type="dxa"/>
            <w:tcBorders>
              <w:top w:val="single" w:sz="6" w:space="0" w:color="auto"/>
              <w:left w:val="single" w:sz="6" w:space="0" w:color="auto"/>
              <w:bottom w:val="single" w:sz="4" w:space="0" w:color="auto"/>
              <w:right w:val="single" w:sz="6" w:space="0" w:color="auto"/>
            </w:tcBorders>
            <w:shd w:val="clear" w:color="auto" w:fill="auto"/>
            <w:vAlign w:val="center"/>
          </w:tcPr>
          <w:p w14:paraId="7D39969B" w14:textId="77777777" w:rsidR="00E03711" w:rsidRPr="00237696" w:rsidRDefault="00E03711" w:rsidP="000B79A8">
            <w:pPr>
              <w:autoSpaceDE w:val="0"/>
              <w:adjustRightInd w:val="0"/>
              <w:spacing w:before="60" w:after="60"/>
              <w:jc w:val="center"/>
              <w:rPr>
                <w:sz w:val="18"/>
                <w:szCs w:val="18"/>
                <w:lang w:val="sl-SI"/>
              </w:rPr>
            </w:pPr>
            <w:r w:rsidRPr="00237696">
              <w:rPr>
                <w:sz w:val="18"/>
                <w:szCs w:val="18"/>
                <w:lang w:val="sl-SI"/>
              </w:rPr>
              <w:t>194</w:t>
            </w:r>
          </w:p>
        </w:tc>
        <w:tc>
          <w:tcPr>
            <w:tcW w:w="1304" w:type="dxa"/>
            <w:tcBorders>
              <w:top w:val="single" w:sz="6" w:space="0" w:color="auto"/>
              <w:left w:val="single" w:sz="6" w:space="0" w:color="auto"/>
              <w:bottom w:val="single" w:sz="4" w:space="0" w:color="auto"/>
              <w:right w:val="single" w:sz="6" w:space="0" w:color="auto"/>
            </w:tcBorders>
            <w:shd w:val="clear" w:color="auto" w:fill="auto"/>
            <w:vAlign w:val="center"/>
          </w:tcPr>
          <w:p w14:paraId="7D39969C" w14:textId="77777777" w:rsidR="00E03711" w:rsidRPr="00237696" w:rsidRDefault="00E03711" w:rsidP="000B79A8">
            <w:pPr>
              <w:autoSpaceDE w:val="0"/>
              <w:adjustRightInd w:val="0"/>
              <w:spacing w:before="60" w:after="60"/>
              <w:jc w:val="center"/>
              <w:rPr>
                <w:sz w:val="18"/>
                <w:szCs w:val="18"/>
                <w:lang w:val="sl-SI"/>
              </w:rPr>
            </w:pPr>
            <w:r w:rsidRPr="00237696">
              <w:rPr>
                <w:sz w:val="18"/>
                <w:szCs w:val="18"/>
                <w:lang w:val="sl-SI"/>
              </w:rPr>
              <w:t>157</w:t>
            </w:r>
          </w:p>
        </w:tc>
      </w:tr>
      <w:tr w:rsidR="00E03711" w:rsidRPr="008C6F8C" w14:paraId="7D3996A3" w14:textId="77777777" w:rsidTr="008B79F1">
        <w:trPr>
          <w:trHeight w:val="20"/>
          <w:jc w:val="center"/>
        </w:trPr>
        <w:tc>
          <w:tcPr>
            <w:tcW w:w="3855" w:type="dxa"/>
            <w:tcBorders>
              <w:top w:val="single" w:sz="6" w:space="0" w:color="auto"/>
              <w:left w:val="single" w:sz="6" w:space="0" w:color="auto"/>
              <w:bottom w:val="single" w:sz="4" w:space="0" w:color="auto"/>
              <w:right w:val="single" w:sz="6" w:space="0" w:color="auto"/>
            </w:tcBorders>
            <w:shd w:val="clear" w:color="auto" w:fill="auto"/>
            <w:vAlign w:val="center"/>
          </w:tcPr>
          <w:p w14:paraId="7D39969E" w14:textId="77777777" w:rsidR="00E03711" w:rsidRPr="00F769E0" w:rsidRDefault="00E03711" w:rsidP="000B79A8">
            <w:pPr>
              <w:pStyle w:val="GUIDE-NORMAL"/>
              <w:spacing w:before="60" w:after="60"/>
              <w:jc w:val="left"/>
              <w:rPr>
                <w:rFonts w:cs="Tahoma"/>
                <w:b/>
                <w:lang w:val="sl-SI" w:eastAsia="en-GB"/>
              </w:rPr>
            </w:pPr>
            <w:r w:rsidRPr="00F769E0">
              <w:rPr>
                <w:rFonts w:cs="Tahoma"/>
                <w:b/>
                <w:lang w:val="sl-SI" w:eastAsia="en-GB"/>
              </w:rPr>
              <w:t>Češka, Grčija, Španija, Ciper, Malta, Portugalska, Slovenija</w:t>
            </w:r>
          </w:p>
        </w:tc>
        <w:tc>
          <w:tcPr>
            <w:tcW w:w="1304" w:type="dxa"/>
            <w:tcBorders>
              <w:top w:val="single" w:sz="6" w:space="0" w:color="auto"/>
              <w:left w:val="single" w:sz="6" w:space="0" w:color="auto"/>
              <w:bottom w:val="single" w:sz="4" w:space="0" w:color="auto"/>
              <w:right w:val="single" w:sz="6" w:space="0" w:color="auto"/>
            </w:tcBorders>
            <w:shd w:val="clear" w:color="auto" w:fill="auto"/>
            <w:vAlign w:val="center"/>
          </w:tcPr>
          <w:p w14:paraId="7D39969F" w14:textId="77777777" w:rsidR="00E03711" w:rsidRPr="00237696" w:rsidRDefault="00E03711" w:rsidP="000B79A8">
            <w:pPr>
              <w:autoSpaceDE w:val="0"/>
              <w:adjustRightInd w:val="0"/>
              <w:spacing w:before="60" w:after="60"/>
              <w:jc w:val="center"/>
              <w:rPr>
                <w:sz w:val="18"/>
                <w:szCs w:val="18"/>
                <w:lang w:val="sl-SI"/>
              </w:rPr>
            </w:pPr>
            <w:r w:rsidRPr="00237696">
              <w:rPr>
                <w:sz w:val="18"/>
                <w:szCs w:val="18"/>
                <w:lang w:val="sl-SI"/>
              </w:rPr>
              <w:t>197</w:t>
            </w:r>
          </w:p>
        </w:tc>
        <w:tc>
          <w:tcPr>
            <w:tcW w:w="1304" w:type="dxa"/>
            <w:tcBorders>
              <w:top w:val="single" w:sz="6" w:space="0" w:color="auto"/>
              <w:left w:val="single" w:sz="6" w:space="0" w:color="auto"/>
              <w:bottom w:val="single" w:sz="4" w:space="0" w:color="auto"/>
              <w:right w:val="single" w:sz="6" w:space="0" w:color="auto"/>
            </w:tcBorders>
            <w:shd w:val="clear" w:color="auto" w:fill="auto"/>
            <w:vAlign w:val="center"/>
          </w:tcPr>
          <w:p w14:paraId="7D3996A0" w14:textId="77777777" w:rsidR="00E03711" w:rsidRPr="00237696" w:rsidRDefault="00E03711" w:rsidP="000B79A8">
            <w:pPr>
              <w:autoSpaceDE w:val="0"/>
              <w:adjustRightInd w:val="0"/>
              <w:spacing w:before="60" w:after="60"/>
              <w:jc w:val="center"/>
              <w:rPr>
                <w:sz w:val="18"/>
                <w:szCs w:val="18"/>
                <w:lang w:val="sl-SI"/>
              </w:rPr>
            </w:pPr>
            <w:r w:rsidRPr="00237696">
              <w:rPr>
                <w:sz w:val="18"/>
                <w:szCs w:val="18"/>
                <w:lang w:val="sl-SI"/>
              </w:rPr>
              <w:t>164</w:t>
            </w:r>
          </w:p>
        </w:tc>
        <w:tc>
          <w:tcPr>
            <w:tcW w:w="1304" w:type="dxa"/>
            <w:tcBorders>
              <w:top w:val="single" w:sz="6" w:space="0" w:color="auto"/>
              <w:left w:val="single" w:sz="6" w:space="0" w:color="auto"/>
              <w:bottom w:val="single" w:sz="4" w:space="0" w:color="auto"/>
              <w:right w:val="single" w:sz="6" w:space="0" w:color="auto"/>
            </w:tcBorders>
            <w:shd w:val="clear" w:color="auto" w:fill="auto"/>
            <w:vAlign w:val="center"/>
          </w:tcPr>
          <w:p w14:paraId="7D3996A1" w14:textId="77777777" w:rsidR="00E03711" w:rsidRPr="00237696" w:rsidRDefault="00E03711" w:rsidP="000B79A8">
            <w:pPr>
              <w:autoSpaceDE w:val="0"/>
              <w:adjustRightInd w:val="0"/>
              <w:spacing w:before="60" w:after="60"/>
              <w:jc w:val="center"/>
              <w:rPr>
                <w:sz w:val="18"/>
                <w:szCs w:val="18"/>
                <w:lang w:val="sl-SI"/>
              </w:rPr>
            </w:pPr>
            <w:r w:rsidRPr="00237696">
              <w:rPr>
                <w:sz w:val="18"/>
                <w:szCs w:val="18"/>
                <w:lang w:val="sl-SI"/>
              </w:rPr>
              <w:t>122</w:t>
            </w:r>
          </w:p>
        </w:tc>
        <w:tc>
          <w:tcPr>
            <w:tcW w:w="1304" w:type="dxa"/>
            <w:tcBorders>
              <w:top w:val="single" w:sz="6" w:space="0" w:color="auto"/>
              <w:left w:val="single" w:sz="6" w:space="0" w:color="auto"/>
              <w:bottom w:val="single" w:sz="4" w:space="0" w:color="auto"/>
              <w:right w:val="single" w:sz="6" w:space="0" w:color="auto"/>
            </w:tcBorders>
            <w:shd w:val="clear" w:color="auto" w:fill="auto"/>
            <w:vAlign w:val="center"/>
          </w:tcPr>
          <w:p w14:paraId="7D3996A2" w14:textId="77777777" w:rsidR="00E03711" w:rsidRPr="00237696" w:rsidRDefault="00E03711" w:rsidP="000B79A8">
            <w:pPr>
              <w:autoSpaceDE w:val="0"/>
              <w:adjustRightInd w:val="0"/>
              <w:spacing w:before="60" w:after="60"/>
              <w:jc w:val="center"/>
              <w:rPr>
                <w:sz w:val="18"/>
                <w:szCs w:val="18"/>
                <w:lang w:val="sl-SI"/>
              </w:rPr>
            </w:pPr>
            <w:r w:rsidRPr="00237696">
              <w:rPr>
                <w:sz w:val="18"/>
                <w:szCs w:val="18"/>
                <w:lang w:val="sl-SI"/>
              </w:rPr>
              <w:t>93</w:t>
            </w:r>
          </w:p>
        </w:tc>
      </w:tr>
      <w:tr w:rsidR="00E03711" w:rsidRPr="008C6F8C" w14:paraId="7D3996A9" w14:textId="77777777" w:rsidTr="008B79F1">
        <w:trPr>
          <w:trHeight w:val="20"/>
          <w:jc w:val="center"/>
        </w:trPr>
        <w:tc>
          <w:tcPr>
            <w:tcW w:w="3855" w:type="dxa"/>
            <w:tcBorders>
              <w:top w:val="single" w:sz="6" w:space="0" w:color="auto"/>
              <w:left w:val="single" w:sz="6" w:space="0" w:color="auto"/>
              <w:bottom w:val="single" w:sz="4" w:space="0" w:color="auto"/>
              <w:right w:val="single" w:sz="6" w:space="0" w:color="auto"/>
            </w:tcBorders>
            <w:shd w:val="clear" w:color="auto" w:fill="auto"/>
            <w:vAlign w:val="center"/>
          </w:tcPr>
          <w:p w14:paraId="7D3996A4" w14:textId="77777777" w:rsidR="00E03711" w:rsidRPr="00F769E0" w:rsidRDefault="00E03711">
            <w:pPr>
              <w:pStyle w:val="GUIDE-NORMAL"/>
              <w:spacing w:before="60" w:after="60"/>
              <w:jc w:val="left"/>
              <w:rPr>
                <w:rFonts w:cs="Tahoma"/>
                <w:b/>
                <w:lang w:val="sl-SI" w:eastAsia="en-GB"/>
              </w:rPr>
            </w:pPr>
            <w:r w:rsidRPr="00F769E0">
              <w:rPr>
                <w:rFonts w:cs="Tahoma"/>
                <w:b/>
                <w:lang w:val="sl-SI" w:eastAsia="en-GB"/>
              </w:rPr>
              <w:t xml:space="preserve">Bolgarija, Estonija, Hrvaška, Latvija, Litva, Madžarska, Poljska, Romunija, Slovaška, Srbija, </w:t>
            </w:r>
            <w:r>
              <w:rPr>
                <w:rFonts w:cs="Tahoma"/>
                <w:b/>
                <w:lang w:val="sl-SI" w:eastAsia="en-GB"/>
              </w:rPr>
              <w:t>R</w:t>
            </w:r>
            <w:r w:rsidRPr="00F769E0">
              <w:rPr>
                <w:rFonts w:cs="Tahoma"/>
                <w:b/>
                <w:lang w:val="sl-SI" w:eastAsia="en-GB"/>
              </w:rPr>
              <w:t xml:space="preserve">epublika </w:t>
            </w:r>
            <w:r>
              <w:rPr>
                <w:rFonts w:cs="Tahoma"/>
                <w:b/>
                <w:lang w:val="sl-SI" w:eastAsia="en-GB"/>
              </w:rPr>
              <w:t xml:space="preserve">Severna </w:t>
            </w:r>
            <w:r w:rsidRPr="00F769E0">
              <w:rPr>
                <w:rFonts w:cs="Tahoma"/>
                <w:b/>
                <w:lang w:val="sl-SI" w:eastAsia="en-GB"/>
              </w:rPr>
              <w:t>Makedonija, Turčija</w:t>
            </w:r>
          </w:p>
        </w:tc>
        <w:tc>
          <w:tcPr>
            <w:tcW w:w="1304" w:type="dxa"/>
            <w:tcBorders>
              <w:top w:val="single" w:sz="6" w:space="0" w:color="auto"/>
              <w:left w:val="single" w:sz="6" w:space="0" w:color="auto"/>
              <w:bottom w:val="single" w:sz="4" w:space="0" w:color="auto"/>
              <w:right w:val="single" w:sz="6" w:space="0" w:color="auto"/>
            </w:tcBorders>
            <w:shd w:val="clear" w:color="auto" w:fill="auto"/>
            <w:vAlign w:val="center"/>
          </w:tcPr>
          <w:p w14:paraId="7D3996A5" w14:textId="77777777" w:rsidR="00E03711" w:rsidRPr="00237696" w:rsidRDefault="00E03711" w:rsidP="000B79A8">
            <w:pPr>
              <w:autoSpaceDE w:val="0"/>
              <w:adjustRightInd w:val="0"/>
              <w:spacing w:before="60" w:after="60"/>
              <w:jc w:val="center"/>
              <w:rPr>
                <w:sz w:val="18"/>
                <w:szCs w:val="18"/>
                <w:lang w:val="sl-SI"/>
              </w:rPr>
            </w:pPr>
            <w:r w:rsidRPr="00237696">
              <w:rPr>
                <w:sz w:val="18"/>
                <w:szCs w:val="18"/>
                <w:lang w:val="sl-SI"/>
              </w:rPr>
              <w:t>106</w:t>
            </w:r>
          </w:p>
        </w:tc>
        <w:tc>
          <w:tcPr>
            <w:tcW w:w="1304" w:type="dxa"/>
            <w:tcBorders>
              <w:top w:val="single" w:sz="6" w:space="0" w:color="auto"/>
              <w:left w:val="single" w:sz="6" w:space="0" w:color="auto"/>
              <w:bottom w:val="single" w:sz="4" w:space="0" w:color="auto"/>
              <w:right w:val="single" w:sz="6" w:space="0" w:color="auto"/>
            </w:tcBorders>
            <w:shd w:val="clear" w:color="auto" w:fill="auto"/>
            <w:vAlign w:val="center"/>
          </w:tcPr>
          <w:p w14:paraId="7D3996A6" w14:textId="77777777" w:rsidR="00E03711" w:rsidRPr="00237696" w:rsidRDefault="00E03711" w:rsidP="000B79A8">
            <w:pPr>
              <w:autoSpaceDE w:val="0"/>
              <w:adjustRightInd w:val="0"/>
              <w:spacing w:before="60" w:after="60"/>
              <w:jc w:val="center"/>
              <w:rPr>
                <w:sz w:val="18"/>
                <w:szCs w:val="18"/>
                <w:lang w:val="sl-SI"/>
              </w:rPr>
            </w:pPr>
            <w:r w:rsidRPr="00237696">
              <w:rPr>
                <w:sz w:val="18"/>
                <w:szCs w:val="18"/>
                <w:lang w:val="sl-SI"/>
              </w:rPr>
              <w:t>88</w:t>
            </w:r>
          </w:p>
        </w:tc>
        <w:tc>
          <w:tcPr>
            <w:tcW w:w="1304" w:type="dxa"/>
            <w:tcBorders>
              <w:top w:val="single" w:sz="6" w:space="0" w:color="auto"/>
              <w:left w:val="single" w:sz="6" w:space="0" w:color="auto"/>
              <w:bottom w:val="single" w:sz="4" w:space="0" w:color="auto"/>
              <w:right w:val="single" w:sz="6" w:space="0" w:color="auto"/>
            </w:tcBorders>
            <w:shd w:val="clear" w:color="auto" w:fill="auto"/>
            <w:vAlign w:val="center"/>
          </w:tcPr>
          <w:p w14:paraId="7D3996A7" w14:textId="77777777" w:rsidR="00E03711" w:rsidRPr="00237696" w:rsidRDefault="00E03711" w:rsidP="000B79A8">
            <w:pPr>
              <w:autoSpaceDE w:val="0"/>
              <w:adjustRightInd w:val="0"/>
              <w:spacing w:before="60" w:after="60"/>
              <w:jc w:val="center"/>
              <w:rPr>
                <w:sz w:val="18"/>
                <w:szCs w:val="18"/>
                <w:lang w:val="sl-SI"/>
              </w:rPr>
            </w:pPr>
            <w:r w:rsidRPr="00237696">
              <w:rPr>
                <w:sz w:val="18"/>
                <w:szCs w:val="18"/>
                <w:lang w:val="sl-SI"/>
              </w:rPr>
              <w:t>66</w:t>
            </w:r>
          </w:p>
        </w:tc>
        <w:tc>
          <w:tcPr>
            <w:tcW w:w="1304" w:type="dxa"/>
            <w:tcBorders>
              <w:top w:val="single" w:sz="6" w:space="0" w:color="auto"/>
              <w:left w:val="single" w:sz="6" w:space="0" w:color="auto"/>
              <w:bottom w:val="single" w:sz="4" w:space="0" w:color="auto"/>
              <w:right w:val="single" w:sz="6" w:space="0" w:color="auto"/>
            </w:tcBorders>
            <w:shd w:val="clear" w:color="auto" w:fill="auto"/>
            <w:vAlign w:val="center"/>
          </w:tcPr>
          <w:p w14:paraId="7D3996A8" w14:textId="77777777" w:rsidR="00E03711" w:rsidRPr="00237696" w:rsidRDefault="00E03711" w:rsidP="000B79A8">
            <w:pPr>
              <w:autoSpaceDE w:val="0"/>
              <w:adjustRightInd w:val="0"/>
              <w:spacing w:before="60" w:after="60"/>
              <w:jc w:val="center"/>
              <w:rPr>
                <w:sz w:val="18"/>
                <w:szCs w:val="18"/>
                <w:lang w:val="sl-SI"/>
              </w:rPr>
            </w:pPr>
            <w:r w:rsidRPr="00237696">
              <w:rPr>
                <w:sz w:val="18"/>
                <w:szCs w:val="18"/>
                <w:lang w:val="sl-SI"/>
              </w:rPr>
              <w:t>47</w:t>
            </w:r>
          </w:p>
        </w:tc>
      </w:tr>
    </w:tbl>
    <w:p w14:paraId="7D3996AA" w14:textId="77777777" w:rsidR="00E03711" w:rsidRDefault="00E03711">
      <w:pPr>
        <w:widowControl/>
        <w:suppressAutoHyphens w:val="0"/>
        <w:autoSpaceDN/>
        <w:textAlignment w:val="auto"/>
        <w:rPr>
          <w:rFonts w:eastAsia="Times New Roman"/>
          <w:b/>
          <w:smallCaps/>
          <w:sz w:val="28"/>
          <w:szCs w:val="20"/>
          <w:lang w:val="sl-SI"/>
        </w:rPr>
        <w:sectPr w:rsidR="00E03711" w:rsidSect="00F05D26">
          <w:endnotePr>
            <w:numFmt w:val="decimal"/>
          </w:endnotePr>
          <w:pgSz w:w="16840" w:h="11910" w:orient="landscape" w:code="9"/>
          <w:pgMar w:top="1418" w:right="1134" w:bottom="1418" w:left="1134" w:header="284" w:footer="567" w:gutter="0"/>
          <w:cols w:space="720"/>
          <w:docGrid w:linePitch="326"/>
        </w:sectPr>
      </w:pPr>
      <w:bookmarkStart w:id="230" w:name="_bookmark43"/>
      <w:bookmarkEnd w:id="230"/>
    </w:p>
    <w:p w14:paraId="7D3996AB" w14:textId="77777777" w:rsidR="00E03711" w:rsidRDefault="00E03711">
      <w:pPr>
        <w:pStyle w:val="Guide-Heading4TOC"/>
        <w:rPr>
          <w:lang w:val="sl-SI"/>
        </w:rPr>
      </w:pPr>
      <w:bookmarkStart w:id="231" w:name="_Toc527401155"/>
      <w:r w:rsidRPr="001048FE">
        <w:rPr>
          <w:lang w:val="sl-SI"/>
        </w:rPr>
        <w:t>Krepitev zmogljivosti na področju visokošolskega izobraževanja</w:t>
      </w:r>
      <w:bookmarkEnd w:id="231"/>
    </w:p>
    <w:p w14:paraId="7D3996AC" w14:textId="77777777" w:rsidR="00E03711" w:rsidRPr="00FC4A70" w:rsidRDefault="00E03711" w:rsidP="004B6D7A">
      <w:pPr>
        <w:spacing w:after="240"/>
        <w:jc w:val="both"/>
        <w:rPr>
          <w:vanish/>
          <w:sz w:val="18"/>
          <w:szCs w:val="18"/>
          <w:lang w:val="sl-SI"/>
        </w:rPr>
      </w:pPr>
      <w:r w:rsidRPr="00FC4A70">
        <w:rPr>
          <w:rFonts w:eastAsia="Calibri" w:cs="Calibri"/>
          <w:sz w:val="18"/>
          <w:szCs w:val="18"/>
          <w:bdr w:val="nil"/>
          <w:lang w:val="sl-SI"/>
        </w:rPr>
        <w:t xml:space="preserve">Ta ukrep, ki je namenjen podpori posodobitvi, dostopnosti in internacionalizaciji visokošolskega izobraževanja v partnerskih državah, se bo izvajal v okviru prednostnih nalog, opredeljenih v sporočilih "Novo evropsko soglasje o razvoju" </w:t>
      </w:r>
      <w:r w:rsidRPr="00FC4A70">
        <w:rPr>
          <w:sz w:val="18"/>
          <w:szCs w:val="18"/>
          <w:vertAlign w:val="superscript"/>
          <w:lang w:val="en-GB"/>
        </w:rPr>
        <w:footnoteReference w:id="196"/>
      </w:r>
      <w:r w:rsidRPr="00FC4A70">
        <w:rPr>
          <w:rFonts w:eastAsia="Calibri" w:cs="Calibri"/>
          <w:sz w:val="18"/>
          <w:szCs w:val="18"/>
          <w:bdr w:val="nil"/>
          <w:lang w:val="sl-SI"/>
        </w:rPr>
        <w:t>in "Evropsko visokošolsko izobraževanje v svetu"</w:t>
      </w:r>
      <w:r>
        <w:rPr>
          <w:rStyle w:val="FootnoteReference"/>
          <w:rFonts w:eastAsia="Calibri" w:cs="Calibri"/>
          <w:sz w:val="18"/>
          <w:szCs w:val="18"/>
          <w:bdr w:val="nil"/>
          <w:lang w:val="sl-SI"/>
        </w:rPr>
        <w:footnoteReference w:id="197"/>
      </w:r>
      <w:r w:rsidRPr="00FC4A70">
        <w:rPr>
          <w:rFonts w:eastAsia="Calibri" w:cs="Calibri"/>
          <w:sz w:val="18"/>
          <w:szCs w:val="18"/>
          <w:bdr w:val="nil"/>
          <w:lang w:val="sl-SI"/>
        </w:rPr>
        <w:t>.</w:t>
      </w:r>
      <w:r>
        <w:rPr>
          <w:rFonts w:eastAsia="Calibri" w:cs="Calibri"/>
          <w:vanish/>
          <w:sz w:val="18"/>
          <w:szCs w:val="18"/>
          <w:bdr w:val="nil"/>
          <w:lang w:val="sl-SI"/>
        </w:rPr>
        <w:t xml:space="preserve"> </w:t>
      </w:r>
    </w:p>
    <w:p w14:paraId="7D3996AD" w14:textId="77777777" w:rsidR="00E03711" w:rsidRPr="001048FE" w:rsidRDefault="00E03711" w:rsidP="0075299E">
      <w:pPr>
        <w:pStyle w:val="GUIDE-NORMAL"/>
        <w:rPr>
          <w:lang w:val="sl-SI"/>
        </w:rPr>
      </w:pPr>
      <w:r w:rsidRPr="001048FE">
        <w:rPr>
          <w:lang w:val="sl-SI"/>
        </w:rPr>
        <w:t>Izvaja se v okviru zunanjih politik EU, opredeljenem s finančnimi instrumenti Evropske unije, ki podpirajo ta ukrep, in sicer v:</w:t>
      </w:r>
    </w:p>
    <w:p w14:paraId="7D3996AE" w14:textId="77777777" w:rsidR="00E03711" w:rsidRPr="001048FE" w:rsidRDefault="00E03711" w:rsidP="005115F2">
      <w:pPr>
        <w:pStyle w:val="Guide-NormalBulletpoints"/>
        <w:numPr>
          <w:ilvl w:val="0"/>
          <w:numId w:val="353"/>
        </w:numPr>
        <w:rPr>
          <w:lang w:val="sl-SI"/>
        </w:rPr>
      </w:pPr>
      <w:r w:rsidRPr="001048FE">
        <w:rPr>
          <w:lang w:val="sl-SI"/>
        </w:rPr>
        <w:t>evropskem instrumentu sosedstva</w:t>
      </w:r>
      <w:r w:rsidRPr="001048FE">
        <w:rPr>
          <w:rStyle w:val="FootnoteReference"/>
          <w:lang w:val="sl-SI"/>
        </w:rPr>
        <w:footnoteReference w:id="198"/>
      </w:r>
      <w:r w:rsidRPr="001048FE">
        <w:rPr>
          <w:lang w:val="sl-SI"/>
        </w:rPr>
        <w:t xml:space="preserve">, </w:t>
      </w:r>
    </w:p>
    <w:p w14:paraId="7D3996AF" w14:textId="77777777" w:rsidR="00E03711" w:rsidRPr="001048FE" w:rsidRDefault="00E03711" w:rsidP="005115F2">
      <w:pPr>
        <w:pStyle w:val="Guide-NormalBulletpoints"/>
        <w:numPr>
          <w:ilvl w:val="0"/>
          <w:numId w:val="353"/>
        </w:numPr>
        <w:rPr>
          <w:lang w:val="sl-SI"/>
        </w:rPr>
      </w:pPr>
      <w:r w:rsidRPr="001048FE">
        <w:rPr>
          <w:lang w:val="sl-SI"/>
        </w:rPr>
        <w:t>instrumentu za razvojno sodelovanje</w:t>
      </w:r>
      <w:r w:rsidRPr="001048FE">
        <w:rPr>
          <w:rStyle w:val="FootnoteReference"/>
          <w:lang w:val="sl-SI"/>
        </w:rPr>
        <w:footnoteReference w:id="199"/>
      </w:r>
      <w:r w:rsidRPr="001048FE">
        <w:rPr>
          <w:lang w:val="sl-SI"/>
        </w:rPr>
        <w:t xml:space="preserve">, </w:t>
      </w:r>
    </w:p>
    <w:p w14:paraId="7D3996B0" w14:textId="77777777" w:rsidR="00E03711" w:rsidRPr="001048FE" w:rsidRDefault="00E03711" w:rsidP="005115F2">
      <w:pPr>
        <w:pStyle w:val="Guide-NormalBulletpoints"/>
        <w:numPr>
          <w:ilvl w:val="0"/>
          <w:numId w:val="353"/>
        </w:numPr>
        <w:rPr>
          <w:lang w:val="sl-SI"/>
        </w:rPr>
      </w:pPr>
      <w:r w:rsidRPr="001048FE">
        <w:rPr>
          <w:lang w:val="sl-SI"/>
        </w:rPr>
        <w:t>instrumentu za predpristopno pomoč</w:t>
      </w:r>
      <w:r w:rsidRPr="001048FE">
        <w:rPr>
          <w:rStyle w:val="FootnoteReference"/>
          <w:lang w:val="sl-SI"/>
        </w:rPr>
        <w:footnoteReference w:id="200"/>
      </w:r>
      <w:r w:rsidRPr="001048FE">
        <w:rPr>
          <w:lang w:val="sl-SI"/>
        </w:rPr>
        <w:t xml:space="preserve">, </w:t>
      </w:r>
    </w:p>
    <w:p w14:paraId="7D3996B1" w14:textId="77777777" w:rsidR="00E03711" w:rsidRPr="001048FE" w:rsidRDefault="00E03711" w:rsidP="005115F2">
      <w:pPr>
        <w:pStyle w:val="Guide-NormalBulletpoints"/>
        <w:numPr>
          <w:ilvl w:val="0"/>
          <w:numId w:val="353"/>
        </w:numPr>
        <w:rPr>
          <w:lang w:val="sl-SI"/>
        </w:rPr>
      </w:pPr>
      <w:r w:rsidRPr="001048FE">
        <w:rPr>
          <w:lang w:val="sl-SI"/>
        </w:rPr>
        <w:t>Evropskem razvojnem skladu.</w:t>
      </w:r>
    </w:p>
    <w:p w14:paraId="7D3996B2" w14:textId="77777777" w:rsidR="00E03711" w:rsidRPr="001048FE" w:rsidRDefault="00E03711" w:rsidP="0075299E">
      <w:pPr>
        <w:pStyle w:val="GUIDE-NORMAL"/>
        <w:rPr>
          <w:lang w:val="sl-SI"/>
        </w:rPr>
      </w:pPr>
      <w:r w:rsidRPr="001048FE">
        <w:rPr>
          <w:lang w:val="sl-SI"/>
        </w:rPr>
        <w:t xml:space="preserve">Ta ukrep prispeva k trajnostni in vključujoči socialno-ekonomski rasti v partnerskih državah in bi moral zagotavljati razvoj ter cilje in načela zunanjega delovanja EU, vključno z nacionalno odgovornostjo, socialno kohezijo, enakostjo, ustrezno geografsko uravnoteženostjo in raznolikostjo. </w:t>
      </w:r>
      <w:r w:rsidRPr="00FC4A70">
        <w:rPr>
          <w:rFonts w:eastAsia="Calibri" w:cs="Calibri"/>
          <w:color w:val="000000"/>
          <w:bdr w:val="nil"/>
          <w:shd w:val="clear" w:color="auto" w:fill="auto"/>
          <w:lang w:val="sl-SI"/>
        </w:rPr>
        <w:t>Posebna pozornost bo namenjena najmanj razvitim državam, univerzam na oddaljenih območjih ter študentom z manj priložnostmi iz revnih socialno-ekonomskih okolij in študentom s posebnimi potrebami</w:t>
      </w:r>
      <w:r w:rsidRPr="001048FE">
        <w:rPr>
          <w:lang w:val="sl-SI"/>
        </w:rPr>
        <w:t>.</w:t>
      </w:r>
    </w:p>
    <w:p w14:paraId="7D3996B3" w14:textId="77777777" w:rsidR="00E03711" w:rsidRPr="001048FE" w:rsidRDefault="00E03711" w:rsidP="0075299E">
      <w:pPr>
        <w:pStyle w:val="GUIDE-NORMAL"/>
        <w:rPr>
          <w:lang w:val="sl-SI"/>
        </w:rPr>
      </w:pPr>
      <w:r w:rsidRPr="001048FE">
        <w:rPr>
          <w:lang w:val="sl-SI"/>
        </w:rPr>
        <w:t>Naslednje poglavje je treba brati skupaj s Prilogo I k temu vodniku (Posebna pravila in informacije glede krepitve zmogljivosti na področju visokošolskega izobraževanja).</w:t>
      </w:r>
    </w:p>
    <w:p w14:paraId="7D3996B4" w14:textId="77777777" w:rsidR="00E03711" w:rsidRPr="001048FE" w:rsidRDefault="00E03711" w:rsidP="005041C6">
      <w:pPr>
        <w:pStyle w:val="Guide-Heading5"/>
        <w:rPr>
          <w:lang w:val="sl-SI"/>
        </w:rPr>
      </w:pPr>
      <w:r w:rsidRPr="001048FE">
        <w:rPr>
          <w:lang w:val="sl-SI"/>
        </w:rPr>
        <w:t>Kaj je projekt krepitve zmogljivosti?</w:t>
      </w:r>
    </w:p>
    <w:p w14:paraId="7D3996B5" w14:textId="77777777" w:rsidR="00E03711" w:rsidRPr="001048FE" w:rsidRDefault="00E03711" w:rsidP="0075299E">
      <w:pPr>
        <w:pStyle w:val="GUIDE-NORMAL"/>
        <w:rPr>
          <w:rStyle w:val="Guide-Condensed-01"/>
          <w:lang w:val="sl-SI"/>
        </w:rPr>
      </w:pPr>
      <w:r w:rsidRPr="001048FE">
        <w:rPr>
          <w:rStyle w:val="Guide-Condensed-01"/>
          <w:lang w:val="sl-SI"/>
        </w:rPr>
        <w:t>Projekti krepitve zmogljivosti so mednarodni projekti sodelovanja na podlagi večstranskih partnerstev med visokošolskimi institucijami iz Programa in upravičenimi partnerskimi državami, ki se financirajo z zgoraj navedenimi instrumenti. Vključujejo lahko tudi neakademske partnerje za krepitev povezav z družbo in podjetji ter sistemskega učinka projektov. Cilji projektov krepitve zmogljivosti s pomočjo strukturiranega sodelovanja, izmenjave izkušenj in dobrih praks ter mobilnosti posameznikov so:</w:t>
      </w:r>
    </w:p>
    <w:p w14:paraId="7D3996B6" w14:textId="77777777" w:rsidR="00E03711" w:rsidRPr="001048FE" w:rsidRDefault="00E03711" w:rsidP="005115F2">
      <w:pPr>
        <w:pStyle w:val="Guide-NormalBulletpoints"/>
        <w:numPr>
          <w:ilvl w:val="0"/>
          <w:numId w:val="404"/>
        </w:numPr>
        <w:rPr>
          <w:lang w:val="sl-SI"/>
        </w:rPr>
      </w:pPr>
      <w:r w:rsidRPr="001048FE">
        <w:rPr>
          <w:lang w:val="sl-SI"/>
        </w:rPr>
        <w:t>podpirati</w:t>
      </w:r>
      <w:r w:rsidRPr="001048FE">
        <w:rPr>
          <w:spacing w:val="-20"/>
          <w:lang w:val="sl-SI"/>
        </w:rPr>
        <w:t xml:space="preserve"> </w:t>
      </w:r>
      <w:r w:rsidRPr="001048FE">
        <w:rPr>
          <w:lang w:val="sl-SI"/>
        </w:rPr>
        <w:t>posodobitev,</w:t>
      </w:r>
      <w:r w:rsidRPr="001048FE">
        <w:rPr>
          <w:spacing w:val="-20"/>
          <w:lang w:val="sl-SI"/>
        </w:rPr>
        <w:t xml:space="preserve"> </w:t>
      </w:r>
      <w:r w:rsidRPr="001048FE">
        <w:rPr>
          <w:lang w:val="sl-SI"/>
        </w:rPr>
        <w:t>dostopnost</w:t>
      </w:r>
      <w:r w:rsidRPr="001048FE">
        <w:rPr>
          <w:spacing w:val="-20"/>
          <w:lang w:val="sl-SI"/>
        </w:rPr>
        <w:t xml:space="preserve"> </w:t>
      </w:r>
      <w:r w:rsidRPr="001048FE">
        <w:rPr>
          <w:lang w:val="sl-SI"/>
        </w:rPr>
        <w:t>in</w:t>
      </w:r>
      <w:r w:rsidRPr="001048FE">
        <w:rPr>
          <w:spacing w:val="-20"/>
          <w:lang w:val="sl-SI"/>
        </w:rPr>
        <w:t xml:space="preserve"> </w:t>
      </w:r>
      <w:r w:rsidRPr="001048FE">
        <w:rPr>
          <w:lang w:val="sl-SI"/>
        </w:rPr>
        <w:t>internacionalizacijo</w:t>
      </w:r>
      <w:r w:rsidRPr="001048FE">
        <w:rPr>
          <w:spacing w:val="-20"/>
          <w:lang w:val="sl-SI"/>
        </w:rPr>
        <w:t xml:space="preserve"> </w:t>
      </w:r>
      <w:r w:rsidRPr="001048FE">
        <w:rPr>
          <w:lang w:val="sl-SI"/>
        </w:rPr>
        <w:t>visokošolskega</w:t>
      </w:r>
      <w:r w:rsidRPr="001048FE">
        <w:rPr>
          <w:spacing w:val="-20"/>
          <w:lang w:val="sl-SI"/>
        </w:rPr>
        <w:t xml:space="preserve"> </w:t>
      </w:r>
      <w:r w:rsidRPr="001048FE">
        <w:rPr>
          <w:lang w:val="sl-SI"/>
        </w:rPr>
        <w:t>izobraževanja</w:t>
      </w:r>
      <w:r w:rsidRPr="001048FE">
        <w:rPr>
          <w:spacing w:val="-20"/>
          <w:lang w:val="sl-SI"/>
        </w:rPr>
        <w:t xml:space="preserve"> </w:t>
      </w:r>
      <w:r w:rsidRPr="001048FE">
        <w:rPr>
          <w:lang w:val="sl-SI"/>
        </w:rPr>
        <w:t>v upravičenih partnerskih</w:t>
      </w:r>
      <w:r w:rsidRPr="001048FE">
        <w:rPr>
          <w:spacing w:val="-4"/>
          <w:lang w:val="sl-SI"/>
        </w:rPr>
        <w:t xml:space="preserve"> </w:t>
      </w:r>
      <w:r w:rsidRPr="001048FE">
        <w:rPr>
          <w:lang w:val="sl-SI"/>
        </w:rPr>
        <w:t>državah;</w:t>
      </w:r>
    </w:p>
    <w:p w14:paraId="7D3996B7" w14:textId="77777777" w:rsidR="00E03711" w:rsidRPr="001048FE" w:rsidRDefault="00E03711" w:rsidP="005115F2">
      <w:pPr>
        <w:pStyle w:val="Guide-NormalBulletpoints"/>
        <w:numPr>
          <w:ilvl w:val="0"/>
          <w:numId w:val="404"/>
        </w:numPr>
        <w:rPr>
          <w:rStyle w:val="Guide-Condensed-01"/>
          <w:lang w:val="sl-SI"/>
        </w:rPr>
      </w:pPr>
      <w:r w:rsidRPr="001048FE">
        <w:rPr>
          <w:rStyle w:val="Guide-Condensed-01"/>
          <w:lang w:val="sl-SI"/>
        </w:rPr>
        <w:t xml:space="preserve">podpirati upravičene partnerske države pri obravnavanju izzivov, s katerimi se srečujejo njihove visokošolske institucije in sistemi, vključno s tistimi, povezanimi s kakovostjo, ustreznostjo, enakostjo dostopa, načrtovanjem, izvajanjem, upravljanjem in vodenjem; </w:t>
      </w:r>
    </w:p>
    <w:p w14:paraId="7D3996B8" w14:textId="77777777" w:rsidR="00E03711" w:rsidRPr="001048FE" w:rsidRDefault="00E03711" w:rsidP="005115F2">
      <w:pPr>
        <w:pStyle w:val="Guide-NormalBulletpoints"/>
        <w:numPr>
          <w:ilvl w:val="0"/>
          <w:numId w:val="404"/>
        </w:numPr>
        <w:rPr>
          <w:lang w:val="sl-SI"/>
        </w:rPr>
      </w:pPr>
      <w:r w:rsidRPr="001048FE">
        <w:rPr>
          <w:lang w:val="sl-SI"/>
        </w:rPr>
        <w:t>prispevati k sodelovanju med EU in upravičenimi partnerskimi državami (ter med upravičenimi partnerskimi državami);</w:t>
      </w:r>
    </w:p>
    <w:p w14:paraId="7D3996B9" w14:textId="77777777" w:rsidR="00E03711" w:rsidRPr="001048FE" w:rsidRDefault="00E03711" w:rsidP="005115F2">
      <w:pPr>
        <w:pStyle w:val="Guide-NormalBulletpoints"/>
        <w:numPr>
          <w:ilvl w:val="0"/>
          <w:numId w:val="404"/>
        </w:numPr>
        <w:rPr>
          <w:lang w:val="sl-SI"/>
        </w:rPr>
      </w:pPr>
      <w:r w:rsidRPr="001048FE">
        <w:rPr>
          <w:lang w:val="sl-SI"/>
        </w:rPr>
        <w:t>spodbujati</w:t>
      </w:r>
      <w:r w:rsidRPr="001048FE">
        <w:rPr>
          <w:spacing w:val="-23"/>
          <w:lang w:val="sl-SI"/>
        </w:rPr>
        <w:t xml:space="preserve"> </w:t>
      </w:r>
      <w:r w:rsidRPr="001048FE">
        <w:rPr>
          <w:lang w:val="sl-SI"/>
        </w:rPr>
        <w:t>prostovoljno</w:t>
      </w:r>
      <w:r w:rsidRPr="001048FE">
        <w:rPr>
          <w:spacing w:val="-23"/>
          <w:lang w:val="sl-SI"/>
        </w:rPr>
        <w:t xml:space="preserve"> </w:t>
      </w:r>
      <w:r w:rsidRPr="001048FE">
        <w:rPr>
          <w:lang w:val="sl-SI"/>
        </w:rPr>
        <w:t>konvergenco</w:t>
      </w:r>
      <w:r w:rsidRPr="001048FE">
        <w:rPr>
          <w:spacing w:val="-23"/>
          <w:lang w:val="sl-SI"/>
        </w:rPr>
        <w:t xml:space="preserve"> </w:t>
      </w:r>
      <w:r w:rsidRPr="001048FE">
        <w:rPr>
          <w:lang w:val="sl-SI"/>
        </w:rPr>
        <w:t>z</w:t>
      </w:r>
      <w:r w:rsidRPr="001048FE">
        <w:rPr>
          <w:spacing w:val="-23"/>
          <w:lang w:val="sl-SI"/>
        </w:rPr>
        <w:t xml:space="preserve"> </w:t>
      </w:r>
      <w:r w:rsidRPr="001048FE">
        <w:rPr>
          <w:lang w:val="sl-SI"/>
        </w:rPr>
        <w:t>razvojem</w:t>
      </w:r>
      <w:r w:rsidRPr="001048FE">
        <w:rPr>
          <w:spacing w:val="-23"/>
          <w:lang w:val="sl-SI"/>
        </w:rPr>
        <w:t xml:space="preserve"> </w:t>
      </w:r>
      <w:r w:rsidRPr="001048FE">
        <w:rPr>
          <w:lang w:val="sl-SI"/>
        </w:rPr>
        <w:t>EU</w:t>
      </w:r>
      <w:r w:rsidRPr="001048FE">
        <w:rPr>
          <w:spacing w:val="-23"/>
          <w:lang w:val="sl-SI"/>
        </w:rPr>
        <w:t xml:space="preserve"> </w:t>
      </w:r>
      <w:r w:rsidRPr="001048FE">
        <w:rPr>
          <w:lang w:val="sl-SI"/>
        </w:rPr>
        <w:t>v</w:t>
      </w:r>
      <w:r w:rsidRPr="001048FE">
        <w:rPr>
          <w:spacing w:val="-23"/>
          <w:lang w:val="sl-SI"/>
        </w:rPr>
        <w:t xml:space="preserve"> </w:t>
      </w:r>
      <w:r w:rsidRPr="001048FE">
        <w:rPr>
          <w:lang w:val="sl-SI"/>
        </w:rPr>
        <w:t>visokošolskem</w:t>
      </w:r>
      <w:r w:rsidRPr="001048FE">
        <w:rPr>
          <w:spacing w:val="-23"/>
          <w:lang w:val="sl-SI"/>
        </w:rPr>
        <w:t xml:space="preserve"> </w:t>
      </w:r>
      <w:r w:rsidRPr="001048FE">
        <w:rPr>
          <w:lang w:val="sl-SI"/>
        </w:rPr>
        <w:t xml:space="preserve">izobraževanju; </w:t>
      </w:r>
    </w:p>
    <w:p w14:paraId="7D3996BA" w14:textId="77777777" w:rsidR="00E03711" w:rsidRPr="001048FE" w:rsidRDefault="00E03711" w:rsidP="005115F2">
      <w:pPr>
        <w:pStyle w:val="Guide-NormalBulletpoints"/>
        <w:numPr>
          <w:ilvl w:val="0"/>
          <w:numId w:val="404"/>
        </w:numPr>
        <w:rPr>
          <w:lang w:val="sl-SI"/>
        </w:rPr>
      </w:pPr>
      <w:r w:rsidRPr="001048FE">
        <w:rPr>
          <w:lang w:val="sl-SI"/>
        </w:rPr>
        <w:t>spodbujati</w:t>
      </w:r>
      <w:r w:rsidRPr="001048FE">
        <w:rPr>
          <w:spacing w:val="-10"/>
          <w:lang w:val="sl-SI"/>
        </w:rPr>
        <w:t xml:space="preserve"> </w:t>
      </w:r>
      <w:r w:rsidRPr="001048FE">
        <w:rPr>
          <w:lang w:val="sl-SI"/>
        </w:rPr>
        <w:t>ljudi</w:t>
      </w:r>
      <w:r w:rsidRPr="001048FE">
        <w:rPr>
          <w:spacing w:val="-10"/>
          <w:lang w:val="sl-SI"/>
        </w:rPr>
        <w:t xml:space="preserve"> </w:t>
      </w:r>
      <w:r w:rsidRPr="001048FE">
        <w:rPr>
          <w:lang w:val="sl-SI"/>
        </w:rPr>
        <w:t>k</w:t>
      </w:r>
      <w:r w:rsidRPr="001048FE">
        <w:rPr>
          <w:spacing w:val="-10"/>
          <w:lang w:val="sl-SI"/>
        </w:rPr>
        <w:t xml:space="preserve"> </w:t>
      </w:r>
      <w:r w:rsidRPr="001048FE">
        <w:rPr>
          <w:lang w:val="sl-SI"/>
        </w:rPr>
        <w:t>navezovanju</w:t>
      </w:r>
      <w:r w:rsidRPr="001048FE">
        <w:rPr>
          <w:spacing w:val="-10"/>
          <w:lang w:val="sl-SI"/>
        </w:rPr>
        <w:t xml:space="preserve"> </w:t>
      </w:r>
      <w:r w:rsidRPr="001048FE">
        <w:rPr>
          <w:lang w:val="sl-SI"/>
        </w:rPr>
        <w:t>stikov</w:t>
      </w:r>
      <w:r w:rsidRPr="001048FE">
        <w:rPr>
          <w:spacing w:val="-10"/>
          <w:lang w:val="sl-SI"/>
        </w:rPr>
        <w:t xml:space="preserve"> </w:t>
      </w:r>
      <w:r w:rsidRPr="001048FE">
        <w:rPr>
          <w:lang w:val="sl-SI"/>
        </w:rPr>
        <w:t>z</w:t>
      </w:r>
      <w:r w:rsidRPr="001048FE">
        <w:rPr>
          <w:spacing w:val="-10"/>
          <w:lang w:val="sl-SI"/>
        </w:rPr>
        <w:t xml:space="preserve"> </w:t>
      </w:r>
      <w:r w:rsidRPr="001048FE">
        <w:rPr>
          <w:lang w:val="sl-SI"/>
        </w:rPr>
        <w:t>drugimi,</w:t>
      </w:r>
      <w:r w:rsidRPr="001048FE">
        <w:rPr>
          <w:spacing w:val="-10"/>
          <w:lang w:val="sl-SI"/>
        </w:rPr>
        <w:t xml:space="preserve"> </w:t>
      </w:r>
      <w:r w:rsidRPr="001048FE">
        <w:rPr>
          <w:lang w:val="sl-SI"/>
        </w:rPr>
        <w:t>medkulturno</w:t>
      </w:r>
      <w:r w:rsidRPr="001048FE">
        <w:rPr>
          <w:spacing w:val="-10"/>
          <w:lang w:val="sl-SI"/>
        </w:rPr>
        <w:t xml:space="preserve"> </w:t>
      </w:r>
      <w:r w:rsidRPr="001048FE">
        <w:rPr>
          <w:lang w:val="sl-SI"/>
        </w:rPr>
        <w:t>zavest</w:t>
      </w:r>
      <w:r w:rsidRPr="001048FE">
        <w:rPr>
          <w:spacing w:val="-10"/>
          <w:lang w:val="sl-SI"/>
        </w:rPr>
        <w:t xml:space="preserve"> </w:t>
      </w:r>
      <w:r w:rsidRPr="001048FE">
        <w:rPr>
          <w:lang w:val="sl-SI"/>
        </w:rPr>
        <w:t>in</w:t>
      </w:r>
      <w:r w:rsidRPr="001048FE">
        <w:rPr>
          <w:spacing w:val="-10"/>
          <w:lang w:val="sl-SI"/>
        </w:rPr>
        <w:t xml:space="preserve"> </w:t>
      </w:r>
      <w:r w:rsidRPr="001048FE">
        <w:rPr>
          <w:lang w:val="sl-SI"/>
        </w:rPr>
        <w:t>razumevanje.</w:t>
      </w:r>
    </w:p>
    <w:p w14:paraId="7D3996BB" w14:textId="77777777" w:rsidR="00E03711" w:rsidRPr="001048FE" w:rsidRDefault="00E03711" w:rsidP="0075299E">
      <w:pPr>
        <w:pStyle w:val="GUIDE-NORMAL"/>
        <w:rPr>
          <w:lang w:val="sl-SI"/>
        </w:rPr>
        <w:sectPr w:rsidR="00E03711" w:rsidRPr="001048FE" w:rsidSect="00E15ED3">
          <w:headerReference w:type="default" r:id="rId96"/>
          <w:endnotePr>
            <w:numFmt w:val="decimal"/>
          </w:endnotePr>
          <w:pgSz w:w="11910" w:h="16840" w:code="9"/>
          <w:pgMar w:top="1134" w:right="1418" w:bottom="1134" w:left="1418" w:header="284" w:footer="567" w:gutter="0"/>
          <w:cols w:space="720"/>
          <w:docGrid w:linePitch="326"/>
        </w:sectPr>
      </w:pPr>
    </w:p>
    <w:p w14:paraId="7D3996BC" w14:textId="77777777" w:rsidR="00E03711" w:rsidRPr="001048FE" w:rsidRDefault="00E03711" w:rsidP="0075299E">
      <w:pPr>
        <w:pStyle w:val="GUIDE-NORMAL"/>
        <w:rPr>
          <w:lang w:val="sl-SI"/>
        </w:rPr>
      </w:pPr>
      <w:r w:rsidRPr="001048FE">
        <w:rPr>
          <w:lang w:val="sl-SI"/>
        </w:rPr>
        <w:t>Ti cilji se v upravičenih partnerskih državah zasledujejo z ukrepi, ki:</w:t>
      </w:r>
    </w:p>
    <w:p w14:paraId="7D3996BD" w14:textId="77777777" w:rsidR="00E03711" w:rsidRPr="001048FE" w:rsidRDefault="00E03711" w:rsidP="005115F2">
      <w:pPr>
        <w:pStyle w:val="Guide-NormalBulletpoints"/>
        <w:numPr>
          <w:ilvl w:val="0"/>
          <w:numId w:val="354"/>
        </w:numPr>
        <w:rPr>
          <w:lang w:val="sl-SI"/>
        </w:rPr>
      </w:pPr>
      <w:r w:rsidRPr="001048FE">
        <w:rPr>
          <w:lang w:val="sl-SI"/>
        </w:rPr>
        <w:t>izboljšujejo kakovost visokošolskega izobraževanja in povečujejo njegov pomen za trg dela in družbo;</w:t>
      </w:r>
    </w:p>
    <w:p w14:paraId="7D3996BE" w14:textId="77777777" w:rsidR="00E03711" w:rsidRPr="001048FE" w:rsidRDefault="00E03711" w:rsidP="005115F2">
      <w:pPr>
        <w:pStyle w:val="Guide-NormalBulletpoints"/>
        <w:numPr>
          <w:ilvl w:val="0"/>
          <w:numId w:val="354"/>
        </w:numPr>
        <w:rPr>
          <w:lang w:val="sl-SI"/>
        </w:rPr>
      </w:pPr>
      <w:r w:rsidRPr="001048FE">
        <w:rPr>
          <w:lang w:val="sl-SI"/>
        </w:rPr>
        <w:t>izboljšujejo raven kompetenc in spretnosti v visokošolskih institucijah z razvojem novih in inovativnih programov izobraževanja;</w:t>
      </w:r>
    </w:p>
    <w:p w14:paraId="7D3996BF" w14:textId="77777777" w:rsidR="00E03711" w:rsidRPr="001048FE" w:rsidRDefault="00E03711" w:rsidP="005115F2">
      <w:pPr>
        <w:pStyle w:val="Guide-NormalBulletpoints"/>
        <w:numPr>
          <w:ilvl w:val="0"/>
          <w:numId w:val="354"/>
        </w:numPr>
        <w:rPr>
          <w:lang w:val="sl-SI"/>
        </w:rPr>
      </w:pPr>
      <w:r w:rsidRPr="001048FE">
        <w:rPr>
          <w:lang w:val="sl-SI"/>
        </w:rPr>
        <w:t>krepijo zmogljivosti upravljanja, vodenja in inovacij ter internacionalizacijo visokošolskih institucij;</w:t>
      </w:r>
    </w:p>
    <w:p w14:paraId="7D3996C0" w14:textId="77777777" w:rsidR="00E03711" w:rsidRPr="001048FE" w:rsidRDefault="00E03711" w:rsidP="005115F2">
      <w:pPr>
        <w:pStyle w:val="Guide-NormalBulletpoints"/>
        <w:numPr>
          <w:ilvl w:val="0"/>
          <w:numId w:val="354"/>
        </w:numPr>
        <w:rPr>
          <w:lang w:val="sl-SI"/>
        </w:rPr>
      </w:pPr>
      <w:r w:rsidRPr="001048FE">
        <w:rPr>
          <w:lang w:val="sl-SI"/>
        </w:rPr>
        <w:t xml:space="preserve">povečujejo zmogljivosti nacionalnih organov za posodobitev njihovih sistemov visokošolskega izobraževanja s podpiranjem opredeljevanja, izvajanja in spremljanja politik reform; </w:t>
      </w:r>
    </w:p>
    <w:p w14:paraId="7D3996C1" w14:textId="77777777" w:rsidR="00E03711" w:rsidRPr="001048FE" w:rsidRDefault="00E03711" w:rsidP="005115F2">
      <w:pPr>
        <w:pStyle w:val="Guide-NormalBulletpoints"/>
        <w:numPr>
          <w:ilvl w:val="0"/>
          <w:numId w:val="354"/>
        </w:numPr>
        <w:rPr>
          <w:lang w:val="sl-SI"/>
        </w:rPr>
      </w:pPr>
      <w:r w:rsidRPr="001048FE">
        <w:rPr>
          <w:lang w:val="sl-SI"/>
        </w:rPr>
        <w:t>spodbujajo</w:t>
      </w:r>
      <w:r w:rsidRPr="001048FE">
        <w:rPr>
          <w:spacing w:val="-10"/>
          <w:lang w:val="sl-SI"/>
        </w:rPr>
        <w:t xml:space="preserve"> </w:t>
      </w:r>
      <w:r w:rsidRPr="001048FE">
        <w:rPr>
          <w:lang w:val="sl-SI"/>
        </w:rPr>
        <w:t>regionalno</w:t>
      </w:r>
      <w:r w:rsidRPr="001048FE">
        <w:rPr>
          <w:spacing w:val="-10"/>
          <w:lang w:val="sl-SI"/>
        </w:rPr>
        <w:t xml:space="preserve"> </w:t>
      </w:r>
      <w:r w:rsidRPr="001048FE">
        <w:rPr>
          <w:lang w:val="sl-SI"/>
        </w:rPr>
        <w:t>integracijo</w:t>
      </w:r>
      <w:r w:rsidRPr="001048FE">
        <w:rPr>
          <w:spacing w:val="-10"/>
          <w:lang w:val="sl-SI"/>
        </w:rPr>
        <w:t xml:space="preserve"> </w:t>
      </w:r>
      <w:r w:rsidRPr="001048FE">
        <w:rPr>
          <w:lang w:val="sl-SI"/>
        </w:rPr>
        <w:t>in</w:t>
      </w:r>
      <w:r w:rsidRPr="001048FE">
        <w:rPr>
          <w:spacing w:val="-10"/>
          <w:lang w:val="sl-SI"/>
        </w:rPr>
        <w:t xml:space="preserve"> </w:t>
      </w:r>
      <w:r w:rsidRPr="001048FE">
        <w:rPr>
          <w:lang w:val="sl-SI"/>
        </w:rPr>
        <w:t>sodelovanje</w:t>
      </w:r>
      <w:r w:rsidRPr="001048FE">
        <w:rPr>
          <w:spacing w:val="-10"/>
          <w:lang w:val="sl-SI"/>
        </w:rPr>
        <w:t xml:space="preserve"> </w:t>
      </w:r>
      <w:r w:rsidRPr="001048FE">
        <w:rPr>
          <w:lang w:val="sl-SI"/>
        </w:rPr>
        <w:t>v</w:t>
      </w:r>
      <w:r w:rsidRPr="001048FE">
        <w:rPr>
          <w:spacing w:val="-10"/>
          <w:lang w:val="sl-SI"/>
        </w:rPr>
        <w:t xml:space="preserve"> </w:t>
      </w:r>
      <w:r w:rsidRPr="001048FE">
        <w:rPr>
          <w:lang w:val="sl-SI"/>
        </w:rPr>
        <w:t>različnih</w:t>
      </w:r>
      <w:r w:rsidRPr="001048FE">
        <w:rPr>
          <w:spacing w:val="-10"/>
          <w:lang w:val="sl-SI"/>
        </w:rPr>
        <w:t xml:space="preserve"> </w:t>
      </w:r>
      <w:r w:rsidRPr="001048FE">
        <w:rPr>
          <w:lang w:val="sl-SI"/>
        </w:rPr>
        <w:t>regijah</w:t>
      </w:r>
      <w:hyperlink r:id="rId97">
        <w:r w:rsidRPr="001048FE">
          <w:rPr>
            <w:rStyle w:val="FootnoteReference"/>
            <w:lang w:val="sl-SI"/>
          </w:rPr>
          <w:footnoteReference w:id="201"/>
        </w:r>
        <w:r w:rsidRPr="001048FE">
          <w:rPr>
            <w:spacing w:val="-4"/>
            <w:sz w:val="20"/>
            <w:lang w:val="sl-SI"/>
          </w:rPr>
          <w:t xml:space="preserve"> </w:t>
        </w:r>
      </w:hyperlink>
      <w:r w:rsidRPr="001048FE">
        <w:rPr>
          <w:lang w:val="sl-SI"/>
        </w:rPr>
        <w:t>sveta</w:t>
      </w:r>
      <w:r w:rsidRPr="001048FE">
        <w:rPr>
          <w:spacing w:val="-10"/>
          <w:lang w:val="sl-SI"/>
        </w:rPr>
        <w:t xml:space="preserve"> </w:t>
      </w:r>
      <w:r w:rsidRPr="001048FE">
        <w:rPr>
          <w:lang w:val="sl-SI"/>
        </w:rPr>
        <w:t>prek</w:t>
      </w:r>
      <w:r w:rsidRPr="001048FE">
        <w:rPr>
          <w:spacing w:val="-10"/>
          <w:lang w:val="sl-SI"/>
        </w:rPr>
        <w:t xml:space="preserve"> </w:t>
      </w:r>
      <w:r w:rsidRPr="001048FE">
        <w:rPr>
          <w:lang w:val="sl-SI"/>
        </w:rPr>
        <w:t>skupnih</w:t>
      </w:r>
      <w:r w:rsidRPr="001048FE">
        <w:rPr>
          <w:spacing w:val="-10"/>
          <w:lang w:val="sl-SI"/>
        </w:rPr>
        <w:t xml:space="preserve"> </w:t>
      </w:r>
      <w:r w:rsidRPr="001048FE">
        <w:rPr>
          <w:lang w:val="sl-SI"/>
        </w:rPr>
        <w:t>pobud, izmenjave dobrih praks in</w:t>
      </w:r>
      <w:r w:rsidRPr="001048FE">
        <w:rPr>
          <w:spacing w:val="-12"/>
          <w:lang w:val="sl-SI"/>
        </w:rPr>
        <w:t xml:space="preserve"> </w:t>
      </w:r>
      <w:r w:rsidRPr="001048FE">
        <w:rPr>
          <w:lang w:val="sl-SI"/>
        </w:rPr>
        <w:t>sodelovanja.</w:t>
      </w:r>
    </w:p>
    <w:p w14:paraId="7D3996C2" w14:textId="77777777" w:rsidR="00E03711" w:rsidRPr="001048FE" w:rsidRDefault="00E03711" w:rsidP="0075299E">
      <w:pPr>
        <w:pStyle w:val="GUIDE-NORMAL"/>
        <w:rPr>
          <w:lang w:val="sl-SI"/>
        </w:rPr>
      </w:pPr>
      <w:r w:rsidRPr="001048FE">
        <w:rPr>
          <w:lang w:val="sl-SI"/>
        </w:rPr>
        <w:t>Podprti sta dve kategoriji projektov krepitve zmogljivosti:</w:t>
      </w:r>
    </w:p>
    <w:p w14:paraId="7D3996C3" w14:textId="77777777" w:rsidR="00E03711" w:rsidRPr="001048FE" w:rsidRDefault="00E03711" w:rsidP="0075299E">
      <w:pPr>
        <w:pStyle w:val="GUIDE-NORMAL"/>
        <w:rPr>
          <w:lang w:val="sl-SI"/>
        </w:rPr>
      </w:pPr>
      <w:r w:rsidRPr="001048FE">
        <w:rPr>
          <w:b/>
          <w:lang w:val="sl-SI"/>
        </w:rPr>
        <w:t>Skupni projekti</w:t>
      </w:r>
      <w:r w:rsidRPr="001048FE">
        <w:rPr>
          <w:lang w:val="sl-SI"/>
        </w:rPr>
        <w:t>: namenjeni so doseganju rezultatov, ki načeloma in neposredno koristijo organizacijam iz upravičenih partnerskih držav, vključenih v projekt. Ti projekti se običajno osredotočajo na tri različne vrste aktivnosti:</w:t>
      </w:r>
    </w:p>
    <w:p w14:paraId="7D3996C4" w14:textId="77777777" w:rsidR="00E03711" w:rsidRPr="001048FE" w:rsidRDefault="00E03711" w:rsidP="0075299E">
      <w:pPr>
        <w:pStyle w:val="Guide-ListDash"/>
        <w:rPr>
          <w:lang w:val="sl-SI"/>
        </w:rPr>
      </w:pPr>
      <w:r w:rsidRPr="001048FE">
        <w:rPr>
          <w:lang w:val="sl-SI"/>
        </w:rPr>
        <w:t>razvoj učnega načrta;</w:t>
      </w:r>
    </w:p>
    <w:p w14:paraId="7D3996C5" w14:textId="77777777" w:rsidR="00E03711" w:rsidRPr="001048FE" w:rsidRDefault="00E03711" w:rsidP="0075299E">
      <w:pPr>
        <w:pStyle w:val="Guide-ListDash"/>
        <w:rPr>
          <w:lang w:val="sl-SI"/>
        </w:rPr>
      </w:pPr>
      <w:r w:rsidRPr="001048FE">
        <w:rPr>
          <w:lang w:val="sl-SI"/>
        </w:rPr>
        <w:t>posodobitev vodenja, upravljanja in delovanja visokošolskih institucij;</w:t>
      </w:r>
    </w:p>
    <w:p w14:paraId="7D3996C6" w14:textId="77777777" w:rsidR="00E03711" w:rsidRPr="001048FE" w:rsidRDefault="00E03711" w:rsidP="0075299E">
      <w:pPr>
        <w:pStyle w:val="Guide-ListDash"/>
        <w:rPr>
          <w:lang w:val="sl-SI"/>
        </w:rPr>
      </w:pPr>
      <w:r w:rsidRPr="001048FE">
        <w:rPr>
          <w:lang w:val="sl-SI"/>
        </w:rPr>
        <w:t>krepitev odnosov med visokošolskimi institucijami ter širšim gospodarskim in družbenim okoljem.</w:t>
      </w:r>
    </w:p>
    <w:p w14:paraId="7D3996C7" w14:textId="77777777" w:rsidR="00E03711" w:rsidRPr="001048FE" w:rsidRDefault="00E03711" w:rsidP="0075299E">
      <w:pPr>
        <w:pStyle w:val="GUIDE-NORMAL"/>
        <w:rPr>
          <w:lang w:val="sl-SI"/>
        </w:rPr>
      </w:pPr>
      <w:r w:rsidRPr="001048FE">
        <w:rPr>
          <w:b/>
          <w:lang w:val="sl-SI"/>
        </w:rPr>
        <w:t>Strukturni projekti</w:t>
      </w:r>
      <w:r w:rsidRPr="001048FE">
        <w:rPr>
          <w:lang w:val="sl-SI"/>
        </w:rPr>
        <w:t>: namenjeni so ustvarjanju učinka na sisteme visokošolskega izobraževanja in spodbujanju reform na nacionalni in/ali regionalni ravni v upravičenih partnerskih državah. Ti projekti se običajno osredotočajo na dve različni kategoriji aktivnosti:</w:t>
      </w:r>
    </w:p>
    <w:p w14:paraId="7D3996C8" w14:textId="77777777" w:rsidR="00E03711" w:rsidRPr="001048FE" w:rsidRDefault="00E03711" w:rsidP="0075299E">
      <w:pPr>
        <w:pStyle w:val="Guide-ListDash"/>
        <w:rPr>
          <w:lang w:val="sl-SI"/>
        </w:rPr>
      </w:pPr>
      <w:r w:rsidRPr="001048FE">
        <w:rPr>
          <w:lang w:val="sl-SI"/>
        </w:rPr>
        <w:t xml:space="preserve">posodobitev politik, vodenja in upravljanja sistemov visokošolskega izobraževanja; </w:t>
      </w:r>
    </w:p>
    <w:p w14:paraId="7D3996C9" w14:textId="77777777" w:rsidR="00E03711" w:rsidRPr="001048FE" w:rsidRDefault="00E03711" w:rsidP="0075299E">
      <w:pPr>
        <w:pStyle w:val="Guide-ListDash"/>
        <w:rPr>
          <w:lang w:val="sl-SI"/>
        </w:rPr>
      </w:pPr>
      <w:r w:rsidRPr="001048FE">
        <w:rPr>
          <w:lang w:val="sl-SI"/>
        </w:rPr>
        <w:t>krepitev odnosov med sistemi visokošolskega izobraževanja ter širšim gospodarskim in družbenim okoljem.</w:t>
      </w:r>
    </w:p>
    <w:p w14:paraId="7D3996CA" w14:textId="77777777" w:rsidR="00E03711" w:rsidRPr="001048FE" w:rsidRDefault="00E03711" w:rsidP="0075299E">
      <w:pPr>
        <w:pStyle w:val="GUIDE-NORMAL"/>
        <w:rPr>
          <w:lang w:val="sl-SI"/>
        </w:rPr>
      </w:pPr>
      <w:r w:rsidRPr="001048FE">
        <w:rPr>
          <w:lang w:val="sl-SI"/>
        </w:rPr>
        <w:t>Projekti krepitve zmogljivosti se lahko izvajajo v obliki:</w:t>
      </w:r>
    </w:p>
    <w:p w14:paraId="7D3996CB" w14:textId="77777777" w:rsidR="00E03711" w:rsidRPr="001048FE" w:rsidRDefault="00E03711" w:rsidP="005115F2">
      <w:pPr>
        <w:pStyle w:val="Guide-NormalBulletpoints"/>
        <w:numPr>
          <w:ilvl w:val="0"/>
          <w:numId w:val="355"/>
        </w:numPr>
        <w:rPr>
          <w:lang w:val="sl-SI"/>
        </w:rPr>
      </w:pPr>
      <w:r w:rsidRPr="001048FE">
        <w:rPr>
          <w:lang w:val="sl-SI"/>
        </w:rPr>
        <w:t>nacionalnih projektov; tj. projektov, ki vključujejo institucije iz samo ene upravičene partnerske države;</w:t>
      </w:r>
    </w:p>
    <w:p w14:paraId="7D3996CC" w14:textId="77777777" w:rsidR="00E03711" w:rsidRPr="001048FE" w:rsidRDefault="00E03711" w:rsidP="005115F2">
      <w:pPr>
        <w:pStyle w:val="Guide-NormalBulletpoints"/>
        <w:numPr>
          <w:ilvl w:val="0"/>
          <w:numId w:val="355"/>
        </w:numPr>
        <w:rPr>
          <w:lang w:val="sl-SI"/>
        </w:rPr>
      </w:pPr>
      <w:r w:rsidRPr="001048FE">
        <w:rPr>
          <w:lang w:val="sl-SI"/>
        </w:rPr>
        <w:t xml:space="preserve">meddržavnih projektov znotraj ene regije, ki vključujejo vsaj dve državi iz te regije; </w:t>
      </w:r>
    </w:p>
    <w:p w14:paraId="7D3996CD" w14:textId="77777777" w:rsidR="00E03711" w:rsidRPr="001048FE" w:rsidRDefault="00E03711" w:rsidP="005115F2">
      <w:pPr>
        <w:pStyle w:val="Guide-NormalBulletpoints"/>
        <w:numPr>
          <w:ilvl w:val="0"/>
          <w:numId w:val="355"/>
        </w:numPr>
        <w:rPr>
          <w:lang w:val="sl-SI"/>
        </w:rPr>
      </w:pPr>
      <w:r w:rsidRPr="001048FE">
        <w:rPr>
          <w:lang w:val="sl-SI"/>
        </w:rPr>
        <w:t>meddržavnih</w:t>
      </w:r>
      <w:r w:rsidRPr="001048FE">
        <w:rPr>
          <w:spacing w:val="-13"/>
          <w:lang w:val="sl-SI"/>
        </w:rPr>
        <w:t xml:space="preserve"> </w:t>
      </w:r>
      <w:r w:rsidRPr="001048FE">
        <w:rPr>
          <w:lang w:val="sl-SI"/>
        </w:rPr>
        <w:t>projektov,</w:t>
      </w:r>
      <w:r w:rsidRPr="001048FE">
        <w:rPr>
          <w:spacing w:val="-13"/>
          <w:lang w:val="sl-SI"/>
        </w:rPr>
        <w:t xml:space="preserve"> </w:t>
      </w:r>
      <w:r w:rsidRPr="001048FE">
        <w:rPr>
          <w:lang w:val="sl-SI"/>
        </w:rPr>
        <w:t>ki</w:t>
      </w:r>
      <w:r w:rsidRPr="001048FE">
        <w:rPr>
          <w:spacing w:val="-13"/>
          <w:lang w:val="sl-SI"/>
        </w:rPr>
        <w:t xml:space="preserve"> </w:t>
      </w:r>
      <w:r w:rsidRPr="001048FE">
        <w:rPr>
          <w:lang w:val="sl-SI"/>
        </w:rPr>
        <w:t>vključujejo</w:t>
      </w:r>
      <w:r w:rsidRPr="001048FE">
        <w:rPr>
          <w:spacing w:val="-13"/>
          <w:lang w:val="sl-SI"/>
        </w:rPr>
        <w:t xml:space="preserve"> </w:t>
      </w:r>
      <w:r w:rsidRPr="001048FE">
        <w:rPr>
          <w:lang w:val="sl-SI"/>
        </w:rPr>
        <w:t>več</w:t>
      </w:r>
      <w:r w:rsidRPr="001048FE">
        <w:rPr>
          <w:spacing w:val="-13"/>
          <w:lang w:val="sl-SI"/>
        </w:rPr>
        <w:t xml:space="preserve"> </w:t>
      </w:r>
      <w:r w:rsidRPr="001048FE">
        <w:rPr>
          <w:lang w:val="sl-SI"/>
        </w:rPr>
        <w:t>kot</w:t>
      </w:r>
      <w:r w:rsidRPr="001048FE">
        <w:rPr>
          <w:spacing w:val="-13"/>
          <w:lang w:val="sl-SI"/>
        </w:rPr>
        <w:t xml:space="preserve"> </w:t>
      </w:r>
      <w:r w:rsidRPr="001048FE">
        <w:rPr>
          <w:lang w:val="sl-SI"/>
        </w:rPr>
        <w:t>eno</w:t>
      </w:r>
      <w:r w:rsidRPr="001048FE">
        <w:rPr>
          <w:spacing w:val="-13"/>
          <w:lang w:val="sl-SI"/>
        </w:rPr>
        <w:t xml:space="preserve"> </w:t>
      </w:r>
      <w:r w:rsidRPr="001048FE">
        <w:rPr>
          <w:lang w:val="sl-SI"/>
        </w:rPr>
        <w:t>regijo</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vsaj</w:t>
      </w:r>
      <w:r w:rsidRPr="001048FE">
        <w:rPr>
          <w:spacing w:val="-13"/>
          <w:lang w:val="sl-SI"/>
        </w:rPr>
        <w:t xml:space="preserve"> </w:t>
      </w:r>
      <w:r w:rsidRPr="001048FE">
        <w:rPr>
          <w:lang w:val="sl-SI"/>
        </w:rPr>
        <w:t>eno</w:t>
      </w:r>
      <w:r w:rsidRPr="001048FE">
        <w:rPr>
          <w:spacing w:val="-13"/>
          <w:lang w:val="sl-SI"/>
        </w:rPr>
        <w:t xml:space="preserve"> </w:t>
      </w:r>
      <w:r w:rsidRPr="001048FE">
        <w:rPr>
          <w:lang w:val="sl-SI"/>
        </w:rPr>
        <w:t>državo</w:t>
      </w:r>
      <w:r w:rsidRPr="001048FE">
        <w:rPr>
          <w:spacing w:val="-13"/>
          <w:lang w:val="sl-SI"/>
        </w:rPr>
        <w:t xml:space="preserve"> </w:t>
      </w:r>
      <w:r w:rsidRPr="001048FE">
        <w:rPr>
          <w:lang w:val="sl-SI"/>
        </w:rPr>
        <w:t>iz</w:t>
      </w:r>
      <w:r w:rsidRPr="001048FE">
        <w:rPr>
          <w:spacing w:val="-13"/>
          <w:lang w:val="sl-SI"/>
        </w:rPr>
        <w:t xml:space="preserve"> </w:t>
      </w:r>
      <w:r w:rsidRPr="001048FE">
        <w:rPr>
          <w:lang w:val="sl-SI"/>
        </w:rPr>
        <w:t>posamezne zadevne</w:t>
      </w:r>
      <w:r w:rsidRPr="001048FE">
        <w:rPr>
          <w:spacing w:val="-3"/>
          <w:lang w:val="sl-SI"/>
        </w:rPr>
        <w:t xml:space="preserve"> </w:t>
      </w:r>
      <w:r w:rsidRPr="001048FE">
        <w:rPr>
          <w:lang w:val="sl-SI"/>
        </w:rPr>
        <w:t>regije.</w:t>
      </w:r>
    </w:p>
    <w:p w14:paraId="7D3996CE" w14:textId="77777777" w:rsidR="00E03711" w:rsidRPr="001048FE" w:rsidRDefault="00E03711" w:rsidP="005041C6">
      <w:pPr>
        <w:pStyle w:val="Guide-Heading5"/>
        <w:rPr>
          <w:lang w:val="sl-SI"/>
        </w:rPr>
      </w:pPr>
      <w:r w:rsidRPr="001048FE">
        <w:rPr>
          <w:lang w:val="sl-SI"/>
        </w:rPr>
        <w:t>Katere aktivnosti so podprte v okviru tega ukrepa?</w:t>
      </w:r>
    </w:p>
    <w:p w14:paraId="7D3996CF" w14:textId="77777777" w:rsidR="00E03711" w:rsidRPr="001048FE" w:rsidRDefault="00E03711" w:rsidP="0075299E">
      <w:pPr>
        <w:pStyle w:val="GUIDE-NORMAL"/>
        <w:rPr>
          <w:lang w:val="sl-SI"/>
        </w:rPr>
      </w:pPr>
      <w:r w:rsidRPr="001048FE">
        <w:rPr>
          <w:lang w:val="sl-SI"/>
        </w:rPr>
        <w:t>Erasmus+ ponuja izjemno prilagodljivost v zvezi z aktivnostmi, ki se lahko izvajajo s projektom krepitve</w:t>
      </w:r>
      <w:r w:rsidRPr="001048FE">
        <w:rPr>
          <w:spacing w:val="-16"/>
          <w:lang w:val="sl-SI"/>
        </w:rPr>
        <w:t xml:space="preserve"> </w:t>
      </w:r>
      <w:r w:rsidRPr="001048FE">
        <w:rPr>
          <w:lang w:val="sl-SI"/>
        </w:rPr>
        <w:t>zmogljivosti,</w:t>
      </w:r>
      <w:r w:rsidRPr="001048FE">
        <w:rPr>
          <w:spacing w:val="-16"/>
          <w:lang w:val="sl-SI"/>
        </w:rPr>
        <w:t xml:space="preserve"> </w:t>
      </w:r>
      <w:r w:rsidRPr="001048FE">
        <w:rPr>
          <w:lang w:val="sl-SI"/>
        </w:rPr>
        <w:t>če</w:t>
      </w:r>
      <w:r w:rsidRPr="001048FE">
        <w:rPr>
          <w:spacing w:val="-16"/>
          <w:lang w:val="sl-SI"/>
        </w:rPr>
        <w:t xml:space="preserve"> </w:t>
      </w:r>
      <w:r w:rsidRPr="001048FE">
        <w:rPr>
          <w:lang w:val="sl-SI"/>
        </w:rPr>
        <w:t>je</w:t>
      </w:r>
      <w:r w:rsidRPr="001048FE">
        <w:rPr>
          <w:spacing w:val="-16"/>
          <w:lang w:val="sl-SI"/>
        </w:rPr>
        <w:t xml:space="preserve"> </w:t>
      </w:r>
      <w:r w:rsidRPr="001048FE">
        <w:rPr>
          <w:lang w:val="sl-SI"/>
        </w:rPr>
        <w:t>v</w:t>
      </w:r>
      <w:r w:rsidRPr="001048FE">
        <w:rPr>
          <w:spacing w:val="-16"/>
          <w:lang w:val="sl-SI"/>
        </w:rPr>
        <w:t xml:space="preserve"> </w:t>
      </w:r>
      <w:r w:rsidRPr="001048FE">
        <w:rPr>
          <w:lang w:val="sl-SI"/>
        </w:rPr>
        <w:t>predlogu</w:t>
      </w:r>
      <w:r w:rsidRPr="001048FE">
        <w:rPr>
          <w:spacing w:val="-16"/>
          <w:lang w:val="sl-SI"/>
        </w:rPr>
        <w:t xml:space="preserve"> </w:t>
      </w:r>
      <w:r w:rsidRPr="001048FE">
        <w:rPr>
          <w:lang w:val="sl-SI"/>
        </w:rPr>
        <w:t>dokazano,</w:t>
      </w:r>
      <w:r w:rsidRPr="001048FE">
        <w:rPr>
          <w:spacing w:val="-16"/>
          <w:lang w:val="sl-SI"/>
        </w:rPr>
        <w:t xml:space="preserve"> </w:t>
      </w:r>
      <w:r w:rsidRPr="001048FE">
        <w:rPr>
          <w:lang w:val="sl-SI"/>
        </w:rPr>
        <w:t>da</w:t>
      </w:r>
      <w:r w:rsidRPr="001048FE">
        <w:rPr>
          <w:spacing w:val="-16"/>
          <w:lang w:val="sl-SI"/>
        </w:rPr>
        <w:t xml:space="preserve"> </w:t>
      </w:r>
      <w:r w:rsidRPr="001048FE">
        <w:rPr>
          <w:lang w:val="sl-SI"/>
        </w:rPr>
        <w:t>so</w:t>
      </w:r>
      <w:r w:rsidRPr="001048FE">
        <w:rPr>
          <w:spacing w:val="-16"/>
          <w:lang w:val="sl-SI"/>
        </w:rPr>
        <w:t xml:space="preserve"> </w:t>
      </w:r>
      <w:r w:rsidRPr="001048FE">
        <w:rPr>
          <w:lang w:val="sl-SI"/>
        </w:rPr>
        <w:t>te</w:t>
      </w:r>
      <w:r w:rsidRPr="001048FE">
        <w:rPr>
          <w:spacing w:val="-16"/>
          <w:lang w:val="sl-SI"/>
        </w:rPr>
        <w:t xml:space="preserve"> </w:t>
      </w:r>
      <w:r w:rsidRPr="001048FE">
        <w:rPr>
          <w:lang w:val="sl-SI"/>
        </w:rPr>
        <w:t>aktivnosti</w:t>
      </w:r>
      <w:r w:rsidRPr="001048FE">
        <w:rPr>
          <w:spacing w:val="-16"/>
          <w:lang w:val="sl-SI"/>
        </w:rPr>
        <w:t xml:space="preserve"> </w:t>
      </w:r>
      <w:r w:rsidRPr="001048FE">
        <w:rPr>
          <w:lang w:val="sl-SI"/>
        </w:rPr>
        <w:t>najustreznejše</w:t>
      </w:r>
      <w:r w:rsidRPr="001048FE">
        <w:rPr>
          <w:spacing w:val="-16"/>
          <w:lang w:val="sl-SI"/>
        </w:rPr>
        <w:t xml:space="preserve"> </w:t>
      </w:r>
      <w:r w:rsidRPr="001048FE">
        <w:rPr>
          <w:lang w:val="sl-SI"/>
        </w:rPr>
        <w:t>za</w:t>
      </w:r>
      <w:r w:rsidRPr="001048FE">
        <w:rPr>
          <w:spacing w:val="-16"/>
          <w:lang w:val="sl-SI"/>
        </w:rPr>
        <w:t xml:space="preserve"> </w:t>
      </w:r>
      <w:r w:rsidRPr="001048FE">
        <w:rPr>
          <w:lang w:val="sl-SI"/>
        </w:rPr>
        <w:t>doseganje ciljev, opredeljenih za</w:t>
      </w:r>
      <w:r w:rsidRPr="001048FE">
        <w:rPr>
          <w:spacing w:val="-5"/>
          <w:lang w:val="sl-SI"/>
        </w:rPr>
        <w:t xml:space="preserve"> </w:t>
      </w:r>
      <w:r w:rsidRPr="001048FE">
        <w:rPr>
          <w:lang w:val="sl-SI"/>
        </w:rPr>
        <w:t>projekt.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E03711" w:rsidRPr="00C60205" w14:paraId="7D3996DE" w14:textId="77777777" w:rsidTr="00237696">
        <w:trPr>
          <w:trHeight w:val="454"/>
        </w:trPr>
        <w:tc>
          <w:tcPr>
            <w:tcW w:w="9064" w:type="dxa"/>
            <w:shd w:val="clear" w:color="auto" w:fill="auto"/>
          </w:tcPr>
          <w:p w14:paraId="7D3996D0" w14:textId="77777777" w:rsidR="00E03711" w:rsidRPr="00237696" w:rsidRDefault="00E03711" w:rsidP="00237696">
            <w:pPr>
              <w:pStyle w:val="GUIDE-NORMAL"/>
              <w:spacing w:before="60" w:after="60"/>
              <w:rPr>
                <w:lang w:val="sl-SI" w:eastAsia="en-GB"/>
              </w:rPr>
            </w:pPr>
            <w:r w:rsidRPr="00237696">
              <w:rPr>
                <w:lang w:val="sl-SI" w:eastAsia="en-GB"/>
              </w:rPr>
              <w:t xml:space="preserve">S </w:t>
            </w:r>
            <w:r w:rsidRPr="00237696">
              <w:rPr>
                <w:b/>
                <w:lang w:val="sl-SI" w:eastAsia="en-GB"/>
              </w:rPr>
              <w:t>skupnimi projekti</w:t>
            </w:r>
            <w:r w:rsidRPr="00237696">
              <w:rPr>
                <w:lang w:val="sl-SI" w:eastAsia="en-GB"/>
              </w:rPr>
              <w:t xml:space="preserve"> se lahko običajno izvaja širok nabor aktivnosti, kot so: </w:t>
            </w:r>
          </w:p>
          <w:p w14:paraId="7D3996D1" w14:textId="77777777" w:rsidR="00E03711" w:rsidRPr="00237696" w:rsidRDefault="00E03711" w:rsidP="005115F2">
            <w:pPr>
              <w:pStyle w:val="Guide-NormalBulletpoints"/>
              <w:numPr>
                <w:ilvl w:val="0"/>
                <w:numId w:val="134"/>
              </w:numPr>
              <w:spacing w:before="60"/>
              <w:rPr>
                <w:rFonts w:cs="Times New Roman"/>
                <w:lang w:val="sl-SI"/>
              </w:rPr>
            </w:pPr>
            <w:r w:rsidRPr="00237696">
              <w:rPr>
                <w:rFonts w:cs="Times New Roman"/>
                <w:lang w:val="sl-SI"/>
              </w:rPr>
              <w:t>razvoj, preskušanje, prilagajanje:</w:t>
            </w:r>
          </w:p>
          <w:p w14:paraId="7D3996D2" w14:textId="77777777" w:rsidR="00E03711" w:rsidRPr="00237696" w:rsidRDefault="00E03711" w:rsidP="00237696">
            <w:pPr>
              <w:pStyle w:val="Guide-ListDash"/>
              <w:spacing w:before="60" w:after="60"/>
              <w:rPr>
                <w:rFonts w:eastAsia="Times New Roman" w:cs="Times New Roman"/>
                <w:lang w:val="sl-SI"/>
              </w:rPr>
            </w:pPr>
            <w:r w:rsidRPr="00237696">
              <w:rPr>
                <w:rFonts w:eastAsia="Times New Roman" w:cs="Times New Roman"/>
                <w:lang w:val="sl-SI"/>
              </w:rPr>
              <w:t>učnih načrtov, programov, učnega gradiva in orodij;</w:t>
            </w:r>
          </w:p>
          <w:p w14:paraId="7D3996D3" w14:textId="77777777" w:rsidR="00E03711" w:rsidRPr="00237696" w:rsidRDefault="00E03711" w:rsidP="00237696">
            <w:pPr>
              <w:pStyle w:val="Guide-ListDash"/>
              <w:spacing w:before="60" w:after="60"/>
              <w:rPr>
                <w:rFonts w:eastAsia="Times New Roman" w:cs="Times New Roman"/>
                <w:lang w:val="sl-SI"/>
              </w:rPr>
            </w:pPr>
            <w:r w:rsidRPr="00237696">
              <w:rPr>
                <w:rFonts w:eastAsia="Times New Roman" w:cs="Times New Roman"/>
                <w:lang w:val="sl-SI"/>
              </w:rPr>
              <w:t>metodologij učenja in poučevanja ter pedagoških pristopov, zlasti tistih, ki zagotavljajo ključne kompetence, osnovne spretnosti, znanje jezikov in podjetniško izobraževanje ter se usmerjajo v uporabo IKT;</w:t>
            </w:r>
          </w:p>
          <w:p w14:paraId="7D3996D4" w14:textId="77777777" w:rsidR="00E03711" w:rsidRPr="00237696" w:rsidRDefault="00E03711" w:rsidP="00237696">
            <w:pPr>
              <w:pStyle w:val="Guide-ListDash"/>
              <w:spacing w:before="60" w:after="60"/>
              <w:rPr>
                <w:rFonts w:eastAsia="Times New Roman" w:cs="Times New Roman"/>
                <w:lang w:val="sl-SI"/>
              </w:rPr>
            </w:pPr>
            <w:r w:rsidRPr="00237696">
              <w:rPr>
                <w:rFonts w:eastAsia="Times New Roman" w:cs="Times New Roman"/>
                <w:lang w:val="sl-SI"/>
              </w:rPr>
              <w:t>novih oblik programov praktičnega usposabljanja in obravnavanja primerov iz resničnega življenja v gospodarstvu in industriji;</w:t>
            </w:r>
          </w:p>
          <w:p w14:paraId="7D3996D5" w14:textId="77777777" w:rsidR="00E03711" w:rsidRPr="00237696" w:rsidRDefault="00E03711" w:rsidP="00237696">
            <w:pPr>
              <w:pStyle w:val="Guide-ListDash"/>
              <w:spacing w:before="60" w:after="60"/>
              <w:rPr>
                <w:rFonts w:eastAsia="Times New Roman" w:cs="Times New Roman"/>
                <w:lang w:val="sl-SI"/>
              </w:rPr>
            </w:pPr>
            <w:r w:rsidRPr="00237696">
              <w:rPr>
                <w:rFonts w:eastAsia="Times New Roman" w:cs="Times New Roman"/>
                <w:lang w:val="sl-SI"/>
              </w:rPr>
              <w:t>sodelovanja med univerzami in podjetji, vključno z nastajanjem zagonskih podjetij;</w:t>
            </w:r>
          </w:p>
          <w:p w14:paraId="7D3996D6" w14:textId="77777777" w:rsidR="00E03711" w:rsidRPr="00237696" w:rsidRDefault="00E03711" w:rsidP="00237696">
            <w:pPr>
              <w:pStyle w:val="Guide-ListDash"/>
              <w:spacing w:before="60" w:after="60"/>
              <w:rPr>
                <w:rFonts w:eastAsia="Times New Roman" w:cs="Times New Roman"/>
                <w:lang w:val="sl-SI"/>
              </w:rPr>
            </w:pPr>
            <w:r w:rsidRPr="00237696">
              <w:rPr>
                <w:rFonts w:eastAsia="Times New Roman" w:cs="Times New Roman"/>
                <w:lang w:val="sl-SI"/>
              </w:rPr>
              <w:t>novih oblik učenja in zagotavljanja izobraževanja in usposabljanja, zlasti strateška uporaba odprtega in prilagodljivega učenja, virtualna mobilnost, prosto dostopni učni viri in boljša uporaba potenciala IKT;</w:t>
            </w:r>
          </w:p>
          <w:p w14:paraId="7D3996D7" w14:textId="77777777" w:rsidR="00E03711" w:rsidRPr="00237696" w:rsidRDefault="00E03711" w:rsidP="00237696">
            <w:pPr>
              <w:pStyle w:val="Guide-ListDash"/>
              <w:spacing w:before="60" w:after="60"/>
              <w:rPr>
                <w:rFonts w:eastAsia="Times New Roman" w:cs="Times New Roman"/>
                <w:lang w:val="sl-SI"/>
              </w:rPr>
            </w:pPr>
            <w:r w:rsidRPr="00237696">
              <w:rPr>
                <w:rFonts w:eastAsia="Times New Roman" w:cs="Times New Roman"/>
                <w:lang w:val="sl-SI"/>
              </w:rPr>
              <w:t>usmerjanja, svetovanja, metod in orodij za mentorstvo;</w:t>
            </w:r>
          </w:p>
          <w:p w14:paraId="7D3996D8" w14:textId="77777777" w:rsidR="00E03711" w:rsidRPr="00237696" w:rsidRDefault="00E03711" w:rsidP="00237696">
            <w:pPr>
              <w:pStyle w:val="Guide-ListDash"/>
              <w:spacing w:before="60" w:after="60"/>
              <w:rPr>
                <w:rFonts w:eastAsia="Times New Roman" w:cs="Times New Roman"/>
                <w:lang w:val="sl-SI"/>
              </w:rPr>
            </w:pPr>
            <w:r w:rsidRPr="00237696">
              <w:rPr>
                <w:rFonts w:eastAsia="Times New Roman" w:cs="Times New Roman"/>
                <w:lang w:val="sl-SI"/>
              </w:rPr>
              <w:t>orodij in metod za profesionalizacijo in poklicni razvoj akademskega in administrativnega osebja;</w:t>
            </w:r>
          </w:p>
          <w:p w14:paraId="7D3996D9" w14:textId="77777777" w:rsidR="00E03711" w:rsidRPr="00237696" w:rsidRDefault="00E03711" w:rsidP="00237696">
            <w:pPr>
              <w:pStyle w:val="Guide-ListDash"/>
              <w:spacing w:before="60" w:after="60"/>
              <w:rPr>
                <w:rFonts w:eastAsia="Times New Roman" w:cs="Times New Roman"/>
                <w:lang w:val="sl-SI"/>
              </w:rPr>
            </w:pPr>
            <w:r w:rsidRPr="00237696">
              <w:rPr>
                <w:rFonts w:eastAsia="Times New Roman" w:cs="Times New Roman"/>
                <w:lang w:val="sl-SI"/>
              </w:rPr>
              <w:t>zagotavljanja kakovosti na ravni programov in institucionalni ravni; novih sistemov in struktur vodenja in upravljanja;</w:t>
            </w:r>
          </w:p>
          <w:p w14:paraId="7D3996DA" w14:textId="77777777" w:rsidR="00E03711" w:rsidRPr="00237696" w:rsidRDefault="00E03711" w:rsidP="00237696">
            <w:pPr>
              <w:pStyle w:val="Guide-ListDash"/>
              <w:spacing w:before="60" w:after="60"/>
              <w:rPr>
                <w:rFonts w:eastAsia="Times New Roman" w:cs="Times New Roman"/>
                <w:lang w:val="sl-SI"/>
              </w:rPr>
            </w:pPr>
            <w:r w:rsidRPr="00237696">
              <w:rPr>
                <w:rFonts w:eastAsia="Times New Roman" w:cs="Times New Roman"/>
                <w:lang w:val="sl-SI"/>
              </w:rPr>
              <w:t>sodobnih univerzitetnih storitev, na primer za finančno upravljanje, mednarodne odnose, usmerjanje študentov in svetovanje študentom, akademske zadeve in raziskave;</w:t>
            </w:r>
          </w:p>
          <w:p w14:paraId="7D3996DB" w14:textId="77777777" w:rsidR="00E03711" w:rsidRPr="00237696" w:rsidRDefault="00E03711" w:rsidP="005115F2">
            <w:pPr>
              <w:pStyle w:val="Guide-NormalBulletpoints"/>
              <w:numPr>
                <w:ilvl w:val="0"/>
                <w:numId w:val="135"/>
              </w:numPr>
              <w:spacing w:before="60"/>
              <w:rPr>
                <w:rFonts w:cs="Times New Roman"/>
                <w:lang w:val="sl-SI"/>
              </w:rPr>
            </w:pPr>
            <w:r w:rsidRPr="00237696">
              <w:rPr>
                <w:rFonts w:cs="Times New Roman"/>
                <w:lang w:val="sl-SI"/>
              </w:rPr>
              <w:t>krepitev internacionalizacije visokošolskih institucij in zmogljivosti za učinkovito mreženje na področju raziskav, znanstvenih in tehnoloških inovacij (mednarodna odprtost učnih načrtov, študentskih storitev, sistemov medinstitucionalne mobilnosti, znanstvenega sodelovanja in prenosa znanja itd.);</w:t>
            </w:r>
          </w:p>
          <w:p w14:paraId="7D3996DC" w14:textId="77777777" w:rsidR="00E03711" w:rsidRPr="00237696" w:rsidRDefault="00E03711" w:rsidP="005115F2">
            <w:pPr>
              <w:pStyle w:val="Guide-NormalBulletpoints"/>
              <w:numPr>
                <w:ilvl w:val="0"/>
                <w:numId w:val="135"/>
              </w:numPr>
              <w:spacing w:before="60"/>
              <w:rPr>
                <w:rFonts w:cs="Times New Roman"/>
                <w:lang w:val="sl-SI"/>
              </w:rPr>
            </w:pPr>
            <w:r w:rsidRPr="00237696">
              <w:rPr>
                <w:rFonts w:cs="Times New Roman"/>
                <w:lang w:val="sl-SI"/>
              </w:rPr>
              <w:t>posodobitev zmogljivosti, potrebnih za izvajanje inovativnih praks (npr. za nove metode učnih načrtov in poučevanja, za razvoj novih storitev itd.);</w:t>
            </w:r>
          </w:p>
          <w:p w14:paraId="7D3996DD" w14:textId="77777777" w:rsidR="00E03711" w:rsidRPr="00237696" w:rsidRDefault="00E03711" w:rsidP="005115F2">
            <w:pPr>
              <w:pStyle w:val="Guide-NormalBulletpoints"/>
              <w:numPr>
                <w:ilvl w:val="0"/>
                <w:numId w:val="135"/>
              </w:numPr>
              <w:spacing w:before="60"/>
              <w:rPr>
                <w:rFonts w:cs="Times New Roman"/>
                <w:lang w:val="sl-SI"/>
              </w:rPr>
            </w:pPr>
            <w:r w:rsidRPr="00237696">
              <w:rPr>
                <w:rFonts w:cs="Times New Roman"/>
                <w:lang w:val="sl-SI"/>
              </w:rPr>
              <w:t>organizacija usposabljanj osebja, ki vključuje izobraževalno osebje in pomožno osebje, tehnično ter administrativno osebje in vodje univerz.</w:t>
            </w:r>
          </w:p>
        </w:tc>
      </w:tr>
    </w:tbl>
    <w:p w14:paraId="7D3996DF" w14:textId="77777777" w:rsidR="00E03711" w:rsidRPr="001048FE" w:rsidRDefault="00E03711" w:rsidP="006F6C8B">
      <w:pPr>
        <w:pStyle w:val="GUIDE-NORMAL"/>
        <w:rPr>
          <w:lang w:val="sl-SI"/>
        </w:rPr>
      </w:pPr>
      <w:r w:rsidRPr="001048FE">
        <w:rPr>
          <w:lang w:val="sl-SI"/>
        </w:rPr>
        <w:t>Projekti za reformo učnih načrtov naj bi zlasti vključevali usposabljanje za izobraževalno osebje in obravnavali povezana vprašanja, kot sta zagotavljanje kakovosti in zaposljivost diplomantov prek povezav s trgom dela. Študijski programi morajo biti uradno akreditirani pred koncem življenjskega cikla</w:t>
      </w:r>
      <w:r w:rsidRPr="001048FE">
        <w:rPr>
          <w:spacing w:val="-13"/>
          <w:lang w:val="sl-SI"/>
        </w:rPr>
        <w:t xml:space="preserve"> </w:t>
      </w:r>
      <w:r w:rsidRPr="001048FE">
        <w:rPr>
          <w:lang w:val="sl-SI"/>
        </w:rPr>
        <w:t>projekta.</w:t>
      </w:r>
      <w:r w:rsidRPr="001048FE">
        <w:rPr>
          <w:spacing w:val="-13"/>
          <w:lang w:val="sl-SI"/>
        </w:rPr>
        <w:t xml:space="preserve"> </w:t>
      </w:r>
      <w:r w:rsidRPr="001048FE">
        <w:rPr>
          <w:lang w:val="sl-SI"/>
        </w:rPr>
        <w:t>Poučevanje</w:t>
      </w:r>
      <w:r w:rsidRPr="001048FE">
        <w:rPr>
          <w:spacing w:val="-13"/>
          <w:lang w:val="sl-SI"/>
        </w:rPr>
        <w:t xml:space="preserve"> </w:t>
      </w:r>
      <w:r w:rsidRPr="001048FE">
        <w:rPr>
          <w:lang w:val="sl-SI"/>
        </w:rPr>
        <w:t>novih</w:t>
      </w:r>
      <w:r w:rsidRPr="001048FE">
        <w:rPr>
          <w:spacing w:val="-13"/>
          <w:lang w:val="sl-SI"/>
        </w:rPr>
        <w:t xml:space="preserve"> </w:t>
      </w:r>
      <w:r w:rsidRPr="001048FE">
        <w:rPr>
          <w:lang w:val="sl-SI"/>
        </w:rPr>
        <w:t>ali</w:t>
      </w:r>
      <w:r w:rsidRPr="001048FE">
        <w:rPr>
          <w:spacing w:val="-13"/>
          <w:lang w:val="sl-SI"/>
        </w:rPr>
        <w:t xml:space="preserve"> </w:t>
      </w:r>
      <w:r w:rsidRPr="001048FE">
        <w:rPr>
          <w:lang w:val="sl-SI"/>
        </w:rPr>
        <w:t>posodobljenih</w:t>
      </w:r>
      <w:r w:rsidRPr="001048FE">
        <w:rPr>
          <w:spacing w:val="-13"/>
          <w:lang w:val="sl-SI"/>
        </w:rPr>
        <w:t xml:space="preserve"> </w:t>
      </w:r>
      <w:r w:rsidRPr="001048FE">
        <w:rPr>
          <w:lang w:val="sl-SI"/>
        </w:rPr>
        <w:t>programov</w:t>
      </w:r>
      <w:r w:rsidRPr="001048FE">
        <w:rPr>
          <w:spacing w:val="-13"/>
          <w:lang w:val="sl-SI"/>
        </w:rPr>
        <w:t xml:space="preserve"> </w:t>
      </w:r>
      <w:r w:rsidRPr="001048FE">
        <w:rPr>
          <w:lang w:val="sl-SI"/>
        </w:rPr>
        <w:t>se</w:t>
      </w:r>
      <w:r w:rsidRPr="001048FE">
        <w:rPr>
          <w:spacing w:val="-13"/>
          <w:lang w:val="sl-SI"/>
        </w:rPr>
        <w:t xml:space="preserve"> </w:t>
      </w:r>
      <w:r w:rsidRPr="001048FE">
        <w:rPr>
          <w:lang w:val="sl-SI"/>
        </w:rPr>
        <w:t>mora</w:t>
      </w:r>
      <w:r w:rsidRPr="001048FE">
        <w:rPr>
          <w:spacing w:val="-13"/>
          <w:lang w:val="sl-SI"/>
        </w:rPr>
        <w:t xml:space="preserve"> </w:t>
      </w:r>
      <w:r w:rsidRPr="001048FE">
        <w:rPr>
          <w:lang w:val="sl-SI"/>
        </w:rPr>
        <w:t>začeti</w:t>
      </w:r>
      <w:r w:rsidRPr="001048FE">
        <w:rPr>
          <w:spacing w:val="-13"/>
          <w:lang w:val="sl-SI"/>
        </w:rPr>
        <w:t xml:space="preserve"> </w:t>
      </w:r>
      <w:r w:rsidRPr="001048FE">
        <w:rPr>
          <w:lang w:val="sl-SI"/>
        </w:rPr>
        <w:t>med</w:t>
      </w:r>
      <w:r w:rsidRPr="001048FE">
        <w:rPr>
          <w:spacing w:val="-13"/>
          <w:lang w:val="sl-SI"/>
        </w:rPr>
        <w:t xml:space="preserve"> </w:t>
      </w:r>
      <w:r w:rsidRPr="001048FE">
        <w:rPr>
          <w:lang w:val="sl-SI"/>
        </w:rPr>
        <w:t>življenjskim</w:t>
      </w:r>
      <w:r w:rsidRPr="001048FE">
        <w:rPr>
          <w:spacing w:val="-13"/>
          <w:lang w:val="sl-SI"/>
        </w:rPr>
        <w:t xml:space="preserve"> </w:t>
      </w:r>
      <w:r w:rsidRPr="001048FE">
        <w:rPr>
          <w:lang w:val="sl-SI"/>
        </w:rPr>
        <w:t>ciklom projekta z ustreznim številom študentov in prekvalificiranih učiteljev ter se mora izvajati vsaj eno tretjino trajanja projekta. Usposabljanje med projekti reforme učnih načrtov je lahko ciljno usmerjeno tudi v administrativno osebje, kot so knjižničarji, laboratorijsko osebje in</w:t>
      </w:r>
      <w:r w:rsidRPr="001048FE">
        <w:rPr>
          <w:spacing w:val="8"/>
          <w:lang w:val="sl-SI"/>
        </w:rPr>
        <w:t xml:space="preserve"> </w:t>
      </w:r>
      <w:r w:rsidRPr="001048FE">
        <w:rPr>
          <w:lang w:val="sl-SI"/>
        </w:rPr>
        <w:t>informatiki.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E03711" w:rsidRPr="008C6F8C" w14:paraId="7D3996EF" w14:textId="77777777" w:rsidTr="00237696">
        <w:trPr>
          <w:trHeight w:val="227"/>
        </w:trPr>
        <w:tc>
          <w:tcPr>
            <w:tcW w:w="9064" w:type="dxa"/>
            <w:shd w:val="clear" w:color="auto" w:fill="auto"/>
          </w:tcPr>
          <w:p w14:paraId="7D3996E0" w14:textId="77777777" w:rsidR="00E03711" w:rsidRPr="00237696" w:rsidRDefault="00E03711" w:rsidP="00237696">
            <w:pPr>
              <w:pStyle w:val="GUIDE-NORMAL"/>
              <w:spacing w:before="60" w:after="60"/>
              <w:rPr>
                <w:lang w:val="sl-SI" w:eastAsia="en-GB"/>
              </w:rPr>
            </w:pPr>
            <w:r>
              <w:rPr>
                <w:b/>
                <w:lang w:val="sl-SI" w:eastAsia="en-GB"/>
              </w:rPr>
              <w:t>S</w:t>
            </w:r>
            <w:r w:rsidRPr="00237696">
              <w:rPr>
                <w:b/>
                <w:lang w:val="sl-SI" w:eastAsia="en-GB"/>
              </w:rPr>
              <w:t xml:space="preserve">trukturnimi projekti </w:t>
            </w:r>
            <w:r w:rsidRPr="00237696">
              <w:rPr>
                <w:lang w:val="sl-SI" w:eastAsia="en-GB"/>
              </w:rPr>
              <w:t>se lahko običajno izvaja širok nabor aktivnosti, kot so:</w:t>
            </w:r>
          </w:p>
          <w:p w14:paraId="7D3996E1" w14:textId="77777777" w:rsidR="00E03711" w:rsidRPr="00237696" w:rsidRDefault="00E03711" w:rsidP="005115F2">
            <w:pPr>
              <w:pStyle w:val="Guide-NormalBulletpoints"/>
              <w:numPr>
                <w:ilvl w:val="0"/>
                <w:numId w:val="357"/>
              </w:numPr>
              <w:spacing w:before="60"/>
              <w:rPr>
                <w:rFonts w:cs="Times New Roman"/>
                <w:lang w:val="sl-SI"/>
              </w:rPr>
            </w:pPr>
            <w:r w:rsidRPr="00237696">
              <w:rPr>
                <w:rFonts w:cs="Times New Roman"/>
                <w:lang w:val="sl-SI"/>
              </w:rPr>
              <w:t xml:space="preserve">krepitev internacionalizacije sistemov visokošolskega izobraževanja; </w:t>
            </w:r>
          </w:p>
          <w:p w14:paraId="7D3996E2" w14:textId="77777777" w:rsidR="00E03711" w:rsidRPr="00237696" w:rsidRDefault="00E03711" w:rsidP="005115F2">
            <w:pPr>
              <w:pStyle w:val="Guide-NormalBulletpoints"/>
              <w:numPr>
                <w:ilvl w:val="0"/>
                <w:numId w:val="357"/>
              </w:numPr>
              <w:spacing w:before="60"/>
              <w:rPr>
                <w:rFonts w:cs="Times New Roman"/>
                <w:lang w:val="sl-SI"/>
              </w:rPr>
            </w:pPr>
            <w:r w:rsidRPr="00237696">
              <w:rPr>
                <w:rFonts w:cs="Times New Roman"/>
                <w:lang w:val="sl-SI"/>
              </w:rPr>
              <w:t xml:space="preserve">uvajanje bolonjskih reform (tristopenjski sistem, zagotavljanje kakovosti, ocenjevanje itd.); </w:t>
            </w:r>
          </w:p>
          <w:p w14:paraId="7D3996E3" w14:textId="77777777" w:rsidR="00E03711" w:rsidRPr="00237696" w:rsidRDefault="00E03711" w:rsidP="005115F2">
            <w:pPr>
              <w:pStyle w:val="Guide-NormalBulletpoints"/>
              <w:numPr>
                <w:ilvl w:val="0"/>
                <w:numId w:val="357"/>
              </w:numPr>
              <w:spacing w:before="60"/>
              <w:rPr>
                <w:rFonts w:cs="Times New Roman"/>
                <w:lang w:val="sl-SI"/>
              </w:rPr>
            </w:pPr>
            <w:r w:rsidRPr="00237696">
              <w:rPr>
                <w:rFonts w:cs="Times New Roman"/>
                <w:lang w:val="sl-SI"/>
              </w:rPr>
              <w:t xml:space="preserve">izvajanje orodij za preglednost, kot so sistemi kreditnih točk, postopki akreditacije, smernice za priznavanje predhodnega in neformalnega učenja itd.; </w:t>
            </w:r>
          </w:p>
          <w:p w14:paraId="7D3996E4" w14:textId="77777777" w:rsidR="00E03711" w:rsidRPr="00237696" w:rsidRDefault="00E03711" w:rsidP="005115F2">
            <w:pPr>
              <w:pStyle w:val="Guide-NormalBulletpoints"/>
              <w:numPr>
                <w:ilvl w:val="0"/>
                <w:numId w:val="357"/>
              </w:numPr>
              <w:spacing w:before="60"/>
              <w:rPr>
                <w:rFonts w:cs="Times New Roman"/>
                <w:lang w:val="sl-SI"/>
              </w:rPr>
            </w:pPr>
            <w:r w:rsidRPr="00237696">
              <w:rPr>
                <w:rFonts w:cs="Times New Roman"/>
                <w:lang w:val="sl-SI"/>
              </w:rPr>
              <w:t xml:space="preserve">vzpostavitev nacionalnega ogrodja kvalifikacij; </w:t>
            </w:r>
          </w:p>
          <w:p w14:paraId="7D3996E5" w14:textId="77777777" w:rsidR="00E03711" w:rsidRPr="00237696" w:rsidRDefault="00E03711" w:rsidP="005115F2">
            <w:pPr>
              <w:pStyle w:val="Guide-NormalBulletpoints"/>
              <w:numPr>
                <w:ilvl w:val="0"/>
                <w:numId w:val="357"/>
              </w:numPr>
              <w:spacing w:before="60"/>
              <w:rPr>
                <w:rFonts w:cs="Times New Roman"/>
                <w:lang w:val="sl-SI"/>
              </w:rPr>
            </w:pPr>
            <w:r w:rsidRPr="00237696">
              <w:rPr>
                <w:rFonts w:cs="Times New Roman"/>
                <w:lang w:val="sl-SI"/>
              </w:rPr>
              <w:t>razvoj</w:t>
            </w:r>
            <w:r w:rsidRPr="00237696">
              <w:rPr>
                <w:rFonts w:cs="Times New Roman"/>
                <w:spacing w:val="-17"/>
                <w:lang w:val="sl-SI"/>
              </w:rPr>
              <w:t xml:space="preserve"> </w:t>
            </w:r>
            <w:r w:rsidRPr="00237696">
              <w:rPr>
                <w:rFonts w:cs="Times New Roman"/>
                <w:lang w:val="sl-SI"/>
              </w:rPr>
              <w:t>in</w:t>
            </w:r>
            <w:r w:rsidRPr="00237696">
              <w:rPr>
                <w:rFonts w:cs="Times New Roman"/>
                <w:spacing w:val="-17"/>
                <w:lang w:val="sl-SI"/>
              </w:rPr>
              <w:t xml:space="preserve"> </w:t>
            </w:r>
            <w:r w:rsidRPr="00237696">
              <w:rPr>
                <w:rFonts w:cs="Times New Roman"/>
                <w:lang w:val="sl-SI"/>
              </w:rPr>
              <w:t>izvajanje</w:t>
            </w:r>
            <w:r w:rsidRPr="00237696">
              <w:rPr>
                <w:rFonts w:cs="Times New Roman"/>
                <w:spacing w:val="-17"/>
                <w:lang w:val="sl-SI"/>
              </w:rPr>
              <w:t xml:space="preserve"> </w:t>
            </w:r>
            <w:r w:rsidRPr="00237696">
              <w:rPr>
                <w:rFonts w:cs="Times New Roman"/>
                <w:lang w:val="sl-SI"/>
              </w:rPr>
              <w:t>sistemov/smernic</w:t>
            </w:r>
            <w:r w:rsidRPr="00237696">
              <w:rPr>
                <w:rFonts w:cs="Times New Roman"/>
                <w:spacing w:val="-17"/>
                <w:lang w:val="sl-SI"/>
              </w:rPr>
              <w:t xml:space="preserve"> </w:t>
            </w:r>
            <w:r w:rsidRPr="00237696">
              <w:rPr>
                <w:rFonts w:cs="Times New Roman"/>
                <w:lang w:val="sl-SI"/>
              </w:rPr>
              <w:t>za</w:t>
            </w:r>
            <w:r w:rsidRPr="00237696">
              <w:rPr>
                <w:rFonts w:cs="Times New Roman"/>
                <w:spacing w:val="-17"/>
                <w:lang w:val="sl-SI"/>
              </w:rPr>
              <w:t xml:space="preserve"> </w:t>
            </w:r>
            <w:r w:rsidRPr="00237696">
              <w:rPr>
                <w:rFonts w:cs="Times New Roman"/>
                <w:lang w:val="sl-SI"/>
              </w:rPr>
              <w:t>notranje</w:t>
            </w:r>
            <w:r w:rsidRPr="00237696">
              <w:rPr>
                <w:rFonts w:cs="Times New Roman"/>
                <w:spacing w:val="-17"/>
                <w:lang w:val="sl-SI"/>
              </w:rPr>
              <w:t xml:space="preserve"> </w:t>
            </w:r>
            <w:r w:rsidRPr="00237696">
              <w:rPr>
                <w:rFonts w:cs="Times New Roman"/>
                <w:lang w:val="sl-SI"/>
              </w:rPr>
              <w:t>in</w:t>
            </w:r>
            <w:r w:rsidRPr="00237696">
              <w:rPr>
                <w:rFonts w:cs="Times New Roman"/>
                <w:spacing w:val="-17"/>
                <w:lang w:val="sl-SI"/>
              </w:rPr>
              <w:t xml:space="preserve"> </w:t>
            </w:r>
            <w:r w:rsidRPr="00237696">
              <w:rPr>
                <w:rFonts w:cs="Times New Roman"/>
                <w:lang w:val="sl-SI"/>
              </w:rPr>
              <w:t>zunanje</w:t>
            </w:r>
            <w:r w:rsidRPr="00237696">
              <w:rPr>
                <w:rFonts w:cs="Times New Roman"/>
                <w:spacing w:val="-17"/>
                <w:lang w:val="sl-SI"/>
              </w:rPr>
              <w:t xml:space="preserve"> </w:t>
            </w:r>
            <w:r w:rsidRPr="00237696">
              <w:rPr>
                <w:rFonts w:cs="Times New Roman"/>
                <w:lang w:val="sl-SI"/>
              </w:rPr>
              <w:t>zagotavljanje</w:t>
            </w:r>
            <w:r w:rsidRPr="00237696">
              <w:rPr>
                <w:rFonts w:cs="Times New Roman"/>
                <w:spacing w:val="-17"/>
                <w:lang w:val="sl-SI"/>
              </w:rPr>
              <w:t xml:space="preserve"> </w:t>
            </w:r>
            <w:r w:rsidRPr="00237696">
              <w:rPr>
                <w:rFonts w:cs="Times New Roman"/>
                <w:lang w:val="sl-SI"/>
              </w:rPr>
              <w:t xml:space="preserve">kakovosti; </w:t>
            </w:r>
          </w:p>
          <w:p w14:paraId="7D3996E6" w14:textId="77777777" w:rsidR="00E03711" w:rsidRPr="00237696" w:rsidRDefault="00E03711" w:rsidP="005115F2">
            <w:pPr>
              <w:pStyle w:val="Guide-NormalBulletpoints"/>
              <w:numPr>
                <w:ilvl w:val="0"/>
                <w:numId w:val="357"/>
              </w:numPr>
              <w:spacing w:before="60"/>
              <w:rPr>
                <w:rFonts w:cs="Times New Roman"/>
                <w:lang w:val="sl-SI"/>
              </w:rPr>
            </w:pPr>
            <w:r w:rsidRPr="00237696">
              <w:rPr>
                <w:rFonts w:cs="Times New Roman"/>
                <w:lang w:val="sl-SI"/>
              </w:rPr>
              <w:t>razvoj in izvajanje novih pristopov in orodij za oblikovanje politik in spremljanje, vključno z vzpostavitvijo predstavniških teles, organizacij ali</w:t>
            </w:r>
            <w:r w:rsidRPr="00237696">
              <w:rPr>
                <w:rFonts w:cs="Times New Roman"/>
                <w:spacing w:val="-24"/>
                <w:lang w:val="sl-SI"/>
              </w:rPr>
              <w:t xml:space="preserve"> </w:t>
            </w:r>
            <w:r w:rsidRPr="00237696">
              <w:rPr>
                <w:rFonts w:cs="Times New Roman"/>
                <w:lang w:val="sl-SI"/>
              </w:rPr>
              <w:t>združenj;</w:t>
            </w:r>
          </w:p>
          <w:p w14:paraId="7D3996E7" w14:textId="77777777" w:rsidR="00E03711" w:rsidRPr="00237696" w:rsidRDefault="00E03711" w:rsidP="005115F2">
            <w:pPr>
              <w:pStyle w:val="Guide-NormalBulletpoints"/>
              <w:numPr>
                <w:ilvl w:val="0"/>
                <w:numId w:val="357"/>
              </w:numPr>
              <w:spacing w:before="60"/>
              <w:rPr>
                <w:rFonts w:cs="Times New Roman"/>
                <w:lang w:val="sl-SI"/>
              </w:rPr>
            </w:pPr>
            <w:r w:rsidRPr="00237696">
              <w:rPr>
                <w:rFonts w:cs="Times New Roman"/>
                <w:lang w:val="sl-SI"/>
              </w:rPr>
              <w:t>krepitev vključevanja izobraževanja, raziskav in inovacij.</w:t>
            </w:r>
          </w:p>
          <w:p w14:paraId="7D3996E8" w14:textId="77777777" w:rsidR="00E03711" w:rsidRPr="00237696" w:rsidRDefault="00E03711" w:rsidP="00237696">
            <w:pPr>
              <w:pStyle w:val="GUIDE-NORMAL"/>
              <w:spacing w:before="60" w:after="60"/>
              <w:rPr>
                <w:lang w:val="sl-SI" w:eastAsia="en-GB"/>
              </w:rPr>
            </w:pPr>
            <w:r w:rsidRPr="00237696">
              <w:rPr>
                <w:lang w:val="sl-SI" w:eastAsia="en-GB"/>
              </w:rPr>
              <w:t>Konkretneje lahko te aktivnosti vključujejo:</w:t>
            </w:r>
          </w:p>
          <w:p w14:paraId="7D3996E9" w14:textId="77777777" w:rsidR="00E03711" w:rsidRPr="00237696" w:rsidRDefault="00E03711" w:rsidP="005115F2">
            <w:pPr>
              <w:pStyle w:val="Guide-NormalBulletpoints"/>
              <w:numPr>
                <w:ilvl w:val="0"/>
                <w:numId w:val="356"/>
              </w:numPr>
              <w:spacing w:before="60"/>
              <w:rPr>
                <w:rFonts w:cs="Times New Roman"/>
                <w:lang w:val="sl-SI"/>
              </w:rPr>
            </w:pPr>
            <w:r w:rsidRPr="00237696">
              <w:rPr>
                <w:rFonts w:cs="Times New Roman"/>
                <w:lang w:val="sl-SI"/>
              </w:rPr>
              <w:t xml:space="preserve">raziskave in študije o specifičnih vprašanjih v zvezi z reformami; </w:t>
            </w:r>
          </w:p>
          <w:p w14:paraId="7D3996EA" w14:textId="77777777" w:rsidR="00E03711" w:rsidRPr="00237696" w:rsidRDefault="00E03711" w:rsidP="005115F2">
            <w:pPr>
              <w:pStyle w:val="Guide-NormalBulletpoints"/>
              <w:numPr>
                <w:ilvl w:val="0"/>
                <w:numId w:val="356"/>
              </w:numPr>
              <w:spacing w:before="60"/>
              <w:rPr>
                <w:rFonts w:cs="Times New Roman"/>
                <w:lang w:val="sl-SI"/>
              </w:rPr>
            </w:pPr>
            <w:r w:rsidRPr="00237696">
              <w:rPr>
                <w:rFonts w:cs="Times New Roman"/>
                <w:lang w:val="sl-SI"/>
              </w:rPr>
              <w:t>svetovanje o politiki in strokovno svetovanje;</w:t>
            </w:r>
          </w:p>
          <w:p w14:paraId="7D3996EB" w14:textId="77777777" w:rsidR="00E03711" w:rsidRPr="00237696" w:rsidRDefault="00E03711" w:rsidP="005115F2">
            <w:pPr>
              <w:pStyle w:val="Guide-NormalBulletpoints"/>
              <w:numPr>
                <w:ilvl w:val="0"/>
                <w:numId w:val="356"/>
              </w:numPr>
              <w:spacing w:before="60"/>
              <w:rPr>
                <w:rStyle w:val="Guide-Condensed-02"/>
                <w:rFonts w:cs="Times New Roman"/>
                <w:lang w:val="sl-SI"/>
              </w:rPr>
            </w:pPr>
            <w:r w:rsidRPr="00237696">
              <w:rPr>
                <w:rStyle w:val="Guide-Condensed-02"/>
                <w:rFonts w:cs="Times New Roman"/>
                <w:lang w:val="sl-SI"/>
              </w:rPr>
              <w:t>organizacijo konferenc, seminarjev, delavnic, okroglih miz (ki bi morale voditi do operativnih zaključkov in priporočil);</w:t>
            </w:r>
          </w:p>
          <w:p w14:paraId="7D3996EC" w14:textId="77777777" w:rsidR="00E03711" w:rsidRPr="00237696" w:rsidRDefault="00E03711" w:rsidP="005115F2">
            <w:pPr>
              <w:pStyle w:val="Guide-NormalBulletpoints"/>
              <w:numPr>
                <w:ilvl w:val="0"/>
                <w:numId w:val="356"/>
              </w:numPr>
              <w:spacing w:before="60"/>
              <w:rPr>
                <w:rFonts w:cs="Times New Roman"/>
                <w:lang w:val="sl-SI"/>
              </w:rPr>
            </w:pPr>
            <w:r w:rsidRPr="00237696">
              <w:rPr>
                <w:rFonts w:cs="Times New Roman"/>
                <w:lang w:val="sl-SI"/>
              </w:rPr>
              <w:t>organizacijo usposabljanja osebja o vprašanjih politike;</w:t>
            </w:r>
          </w:p>
          <w:p w14:paraId="7D3996ED" w14:textId="77777777" w:rsidR="00E03711" w:rsidRPr="00237696" w:rsidRDefault="00E03711" w:rsidP="005115F2">
            <w:pPr>
              <w:pStyle w:val="Guide-NormalBulletpoints"/>
              <w:numPr>
                <w:ilvl w:val="0"/>
                <w:numId w:val="356"/>
              </w:numPr>
              <w:spacing w:before="60"/>
              <w:rPr>
                <w:rFonts w:cs="Times New Roman"/>
                <w:lang w:val="sl-SI"/>
              </w:rPr>
            </w:pPr>
            <w:r w:rsidRPr="00237696">
              <w:rPr>
                <w:rFonts w:cs="Times New Roman"/>
                <w:lang w:val="sl-SI"/>
              </w:rPr>
              <w:t>organizacijo usposabljanj osebja (ki lahko vključuje izdelavo priročnikov in smernic za usposabljanje), ki vključuje izobraževalno in pomožno osebje, tehnično ter administrativno osebje in vodje univerz;</w:t>
            </w:r>
          </w:p>
          <w:p w14:paraId="7D3996EE" w14:textId="77777777" w:rsidR="00E03711" w:rsidRPr="00237696" w:rsidRDefault="00E03711" w:rsidP="005115F2">
            <w:pPr>
              <w:pStyle w:val="Guide-NormalBulletpoints"/>
              <w:numPr>
                <w:ilvl w:val="0"/>
                <w:numId w:val="356"/>
              </w:numPr>
              <w:spacing w:before="60"/>
              <w:rPr>
                <w:rFonts w:cs="Times New Roman"/>
                <w:lang w:val="sl-SI"/>
              </w:rPr>
            </w:pPr>
            <w:r w:rsidRPr="00237696">
              <w:rPr>
                <w:rFonts w:cs="Times New Roman"/>
                <w:lang w:val="sl-SI"/>
              </w:rPr>
              <w:t>organizacijo kampanj ozaveščanja.</w:t>
            </w:r>
          </w:p>
        </w:tc>
      </w:tr>
    </w:tbl>
    <w:p w14:paraId="7D3996F0" w14:textId="77777777" w:rsidR="00E03711" w:rsidRPr="001048FE" w:rsidRDefault="00E03711" w:rsidP="00EC4828">
      <w:pPr>
        <w:pStyle w:val="Guide-Heading5"/>
        <w:rPr>
          <w:lang w:val="sl-SI"/>
        </w:rPr>
      </w:pPr>
      <w:r w:rsidRPr="001048FE">
        <w:rPr>
          <w:lang w:val="sl-SI"/>
        </w:rPr>
        <w:t>Kakšna je vloga organizacij, ki sodelujejo v projektu krepitve zmogljivosti?</w:t>
      </w:r>
    </w:p>
    <w:p w14:paraId="7D3996F1" w14:textId="77777777" w:rsidR="00E03711" w:rsidRPr="001048FE" w:rsidRDefault="00E03711" w:rsidP="00796951">
      <w:pPr>
        <w:pStyle w:val="GUIDE-NORMAL"/>
        <w:spacing w:before="160" w:after="160"/>
        <w:rPr>
          <w:lang w:val="sl-SI"/>
        </w:rPr>
      </w:pPr>
      <w:r w:rsidRPr="001048FE">
        <w:rPr>
          <w:lang w:val="sl-SI"/>
        </w:rPr>
        <w:t>Glede na njihove cilje bi morali projekti krepitve zmogljivosti vključevati najustreznejši in najbolj raznolik nabor partnerjev, da lahko ustvarijo vzajemne koristi na podlagi različnih izkušenj, profilov in specifičnega strokovnega znanja ter pomembne in visokokakovostne rezultate projekta. Zagotoviti bo treba pravično in dejavno vključevanje različnih partnerjev na podlagi ustrezne porazdelitve nalog in jasne predstavitve zmogljivosti mrežnega povezovanja ter, za povečanje učinka, biti sposoben graditi na različnih stopnjah partnerstva in ne le na individualni udeležbi.</w:t>
      </w:r>
    </w:p>
    <w:p w14:paraId="7D3996F2" w14:textId="77777777" w:rsidR="00E03711" w:rsidRPr="001048FE" w:rsidRDefault="00E03711" w:rsidP="00796951">
      <w:pPr>
        <w:pStyle w:val="GUIDE-NORMAL"/>
        <w:spacing w:before="160" w:after="160"/>
        <w:rPr>
          <w:lang w:val="sl-SI"/>
        </w:rPr>
      </w:pPr>
      <w:r w:rsidRPr="001048FE">
        <w:rPr>
          <w:lang w:val="sl-SI"/>
        </w:rPr>
        <w:t>Partnerji morajo oddati pooblastila oziroma mandatna pisma</w:t>
      </w:r>
      <w:r w:rsidRPr="001048FE">
        <w:rPr>
          <w:rStyle w:val="FootnoteReference"/>
          <w:lang w:val="sl-SI"/>
        </w:rPr>
        <w:footnoteReference w:id="202"/>
      </w:r>
      <w:r w:rsidRPr="001048FE">
        <w:rPr>
          <w:lang w:val="sl-SI"/>
        </w:rPr>
        <w:t>, ki jih koordinator podpiše z vsakim partnerjem in potrjujejo, da partnerji koordinatorja pooblaščajo, da deluje v njihovem imenu in na njihov račun pri podpisovanju morebitnega sporazuma in poznejših dodatnih klavzul z Izvajalsko agencijo za izobraževanje, avdiovizualno področje in kulturo.</w:t>
      </w:r>
    </w:p>
    <w:p w14:paraId="7D3996F3" w14:textId="77777777" w:rsidR="00E03711" w:rsidRPr="001048FE" w:rsidRDefault="00E03711" w:rsidP="00796951">
      <w:pPr>
        <w:pStyle w:val="GUIDE-NORMAL"/>
        <w:spacing w:before="160" w:after="160"/>
        <w:rPr>
          <w:lang w:val="sl-SI"/>
        </w:rPr>
      </w:pPr>
      <w:r w:rsidRPr="001048FE">
        <w:rPr>
          <w:lang w:val="sl-SI"/>
        </w:rPr>
        <w:t xml:space="preserve">V skladu s področjem uporabe in cilji ukrepa se predvideva, da so sodelujoče organizacije iz upravičenih </w:t>
      </w:r>
      <w:r w:rsidRPr="001048FE">
        <w:rPr>
          <w:u w:val="single"/>
          <w:lang w:val="sl-SI"/>
        </w:rPr>
        <w:t>partnerskih držav</w:t>
      </w:r>
      <w:r w:rsidRPr="001048FE">
        <w:rPr>
          <w:lang w:val="sl-SI"/>
        </w:rPr>
        <w:t xml:space="preserve"> ciljna skupina projekta krepitve zmogljivosti. Aktivnosti in rezultati, opisani v predlogu, morajo biti namenjeni zagotavljanju koristi za upravičene partnerske države, njihove visokošolske institucije in sisteme.</w:t>
      </w:r>
    </w:p>
    <w:p w14:paraId="7D3996F4" w14:textId="77777777" w:rsidR="00E03711" w:rsidRPr="001048FE" w:rsidRDefault="00E03711" w:rsidP="00796951">
      <w:pPr>
        <w:pStyle w:val="GUIDE-NORMAL"/>
        <w:spacing w:before="160" w:after="160"/>
        <w:rPr>
          <w:lang w:val="sl-SI"/>
        </w:rPr>
      </w:pPr>
      <w:r w:rsidRPr="001048FE">
        <w:rPr>
          <w:lang w:val="sl-SI"/>
        </w:rPr>
        <w:t>Visokošolske institucije iz upravičenih partnerskih držav se spodbuja, da delujejo kot prijaviteljice, če imajo potrebno finančno in operativno zmogljivost.</w:t>
      </w:r>
    </w:p>
    <w:p w14:paraId="7D3996F5" w14:textId="77777777" w:rsidR="00E03711" w:rsidRPr="001048FE" w:rsidRDefault="00E03711" w:rsidP="00796951">
      <w:pPr>
        <w:pStyle w:val="GUIDE-NORMAL"/>
        <w:spacing w:before="160" w:after="160"/>
        <w:rPr>
          <w:lang w:val="sl-SI"/>
        </w:rPr>
      </w:pPr>
      <w:r w:rsidRPr="001048FE">
        <w:rPr>
          <w:lang w:val="sl-SI"/>
        </w:rPr>
        <w:t>Sodelujoče organizacije iz držav Programa prinašajo svoje izkušnje in strokovno znanje v zvezi s cilji projekta. Njihova vloga je prispevati k doseganju ciljev projekta, zato potrebe teh institucij ne bi smele biti vključene v zasnovo projekta. Te organizacije so upravičene do deleža proračunskih sredstev v zvezi s stroški, nastalimi z njihovo vlogo.</w:t>
      </w:r>
    </w:p>
    <w:p w14:paraId="7D3996F6" w14:textId="77777777" w:rsidR="00E03711" w:rsidRPr="001048FE" w:rsidRDefault="00E03711" w:rsidP="00796951">
      <w:pPr>
        <w:pStyle w:val="GUIDE-NORMAL"/>
        <w:spacing w:before="160" w:after="160"/>
        <w:rPr>
          <w:lang w:val="sl-SI"/>
        </w:rPr>
      </w:pPr>
      <w:r w:rsidRPr="001048FE">
        <w:rPr>
          <w:lang w:val="sl-SI"/>
        </w:rPr>
        <w:t>Poleg tega se lahko pri krepitvi zmogljivosti na področju projekta visokošolskega izobraževanja izkoristi tudi sodelovanje s pridruženimi partnerji (izbirno). Te organizacije (npr. neakademski partnerji) posredno prispevajo k izvajanju posebnih nalog/aktivnosti in/ali podpirajo razširjanje in trajnost projekta. Prispevajo lahko na primer s prenosom znanja in spretnosti, zagotavljanjem dopolnilnih programov ali podpiranjem možnosti za napotitev ali prakso. Pridruženi partnerji se ne upoštevajo pri minimalnem številu visokošolskih institucij ali ministrstev, ki so zahtevana v sestavi partnerstva. Za vprašanja glede upravljanja sporazuma se „pridruženi partnerji“ ne štejejo za del konzorcija in se zato ne štejejo za upravičence, njihovi stroški pa se ne upoštevajo pri izračunu nepovratnih sredstev EU.</w:t>
      </w:r>
    </w:p>
    <w:p w14:paraId="7D3996F7" w14:textId="77777777" w:rsidR="00E03711" w:rsidRPr="001048FE" w:rsidRDefault="00E03711" w:rsidP="005041C6">
      <w:pPr>
        <w:pStyle w:val="Guide-Heading5"/>
        <w:rPr>
          <w:lang w:val="sl-SI"/>
        </w:rPr>
      </w:pPr>
      <w:r w:rsidRPr="001048FE">
        <w:rPr>
          <w:lang w:val="sl-SI"/>
        </w:rPr>
        <w:t>Kakšna je vloga sodelujočih organizacij pri projektu krepitve zmogljivosti na področju visokošolskega izobraževanja?</w:t>
      </w:r>
    </w:p>
    <w:p w14:paraId="7D3996F8" w14:textId="77777777" w:rsidR="00E03711" w:rsidRPr="001048FE" w:rsidRDefault="00E03711" w:rsidP="00EC4828">
      <w:pPr>
        <w:pStyle w:val="GUIDE-NORMAL"/>
        <w:rPr>
          <w:lang w:val="sl-SI"/>
        </w:rPr>
      </w:pPr>
      <w:r w:rsidRPr="00860232">
        <w:rPr>
          <w:b/>
          <w:bCs/>
          <w:lang w:val="sl-SI"/>
        </w:rPr>
        <w:t>Prijavitelj/koordinator</w:t>
      </w:r>
      <w:r w:rsidRPr="001048FE">
        <w:rPr>
          <w:lang w:val="sl-SI"/>
        </w:rPr>
        <w:t>: sodelujoča organizacija, ki odda predlog projekta v imenu vseh partnerjev. Koordinator je v celoti odgovoren, da zagotovi izvajanje projekta v skladu s sporazumom.Njegovo koordiniranje zajema naslednje naloge:</w:t>
      </w:r>
    </w:p>
    <w:p w14:paraId="7D3996F9" w14:textId="77777777" w:rsidR="00E03711" w:rsidRPr="001048FE" w:rsidRDefault="00E03711" w:rsidP="005115F2">
      <w:pPr>
        <w:pStyle w:val="Guide-NormalBulletpoints"/>
        <w:numPr>
          <w:ilvl w:val="0"/>
          <w:numId w:val="358"/>
        </w:numPr>
        <w:rPr>
          <w:lang w:val="sl-SI"/>
        </w:rPr>
      </w:pPr>
      <w:r w:rsidRPr="001048FE">
        <w:rPr>
          <w:lang w:val="sl-SI"/>
        </w:rPr>
        <w:t>zastopa in ravna v imenu projektnih partnerjev v razmerju do Evropske komisije;</w:t>
      </w:r>
    </w:p>
    <w:p w14:paraId="7D3996FA" w14:textId="77777777" w:rsidR="00E03711" w:rsidRPr="001048FE" w:rsidRDefault="00E03711" w:rsidP="005115F2">
      <w:pPr>
        <w:pStyle w:val="Guide-NormalBulletpoints"/>
        <w:numPr>
          <w:ilvl w:val="0"/>
          <w:numId w:val="358"/>
        </w:numPr>
        <w:rPr>
          <w:lang w:val="sl-SI"/>
        </w:rPr>
      </w:pPr>
      <w:r w:rsidRPr="001048FE">
        <w:rPr>
          <w:lang w:val="sl-SI"/>
        </w:rPr>
        <w:t>nosi finančno in pravno odgovornost za ustrezno operativno, administrativno in finančno izvajanje celotnega projekta;</w:t>
      </w:r>
    </w:p>
    <w:p w14:paraId="7D3996FB" w14:textId="77777777" w:rsidR="00E03711" w:rsidRPr="001048FE" w:rsidRDefault="00E03711" w:rsidP="005115F2">
      <w:pPr>
        <w:pStyle w:val="Guide-NormalBulletpoints"/>
        <w:numPr>
          <w:ilvl w:val="0"/>
          <w:numId w:val="358"/>
        </w:numPr>
        <w:rPr>
          <w:lang w:val="sl-SI"/>
        </w:rPr>
      </w:pPr>
      <w:r w:rsidRPr="001048FE">
        <w:rPr>
          <w:lang w:val="sl-SI"/>
        </w:rPr>
        <w:t>koordinira projekt v sodelovanju s projektnimi partnerji.</w:t>
      </w:r>
    </w:p>
    <w:p w14:paraId="7D3996FC" w14:textId="77777777" w:rsidR="00E03711" w:rsidRPr="001048FE" w:rsidRDefault="00E03711" w:rsidP="00EC4828">
      <w:pPr>
        <w:pStyle w:val="GUIDE-NORMAL"/>
        <w:rPr>
          <w:lang w:val="sl-SI"/>
        </w:rPr>
      </w:pPr>
      <w:r w:rsidRPr="001048FE">
        <w:rPr>
          <w:b/>
          <w:lang w:val="sl-SI"/>
        </w:rPr>
        <w:t>Polnopravni partnerji:</w:t>
      </w:r>
      <w:r w:rsidRPr="001048FE">
        <w:rPr>
          <w:lang w:val="sl-SI"/>
        </w:rPr>
        <w:t xml:space="preserve"> sodelujoče organizacije iz držav Programa ali partnerskih držav, ki dejavno prispevajo k doseganju ciljev projekta krepitve zmogljivosti.Vsak polnopravni partner mora podpisati mandatno pismo, s katerim koordinatorsko organizacijo pooblašča, da med izvajanjem projekta prevzame vlogo glavnega upravičenca in ravna v njegovem imenu.</w:t>
      </w:r>
    </w:p>
    <w:p w14:paraId="7D3996FD" w14:textId="77777777" w:rsidR="00E03711" w:rsidRPr="001048FE" w:rsidRDefault="00E03711" w:rsidP="00EC4828">
      <w:pPr>
        <w:pStyle w:val="GUIDE-NORMAL"/>
        <w:rPr>
          <w:lang w:val="sl-SI"/>
        </w:rPr>
      </w:pPr>
      <w:r w:rsidRPr="001048FE">
        <w:rPr>
          <w:b/>
          <w:lang w:val="sl-SI"/>
        </w:rPr>
        <w:t>Pridruženi partnerji (izbirno):</w:t>
      </w:r>
      <w:r w:rsidRPr="001048FE">
        <w:rPr>
          <w:lang w:val="sl-SI"/>
        </w:rPr>
        <w:t xml:space="preserve"> projekti krepitve zmogljivosti lahko vključujejo pridružene partnerje, ki prispevajo k izvajanju določenih projektnih nalog/aktivnosti ali podpirajo razširjanje in trajnost projekta. Za vprašanja glede upravljanja sporazuma se „pridruženi partnerji“ ne štejejo za projektne partnerje in ne prejmejo financiranja, prav tako pa se ne upoštevajo pri minimalnih zahtevah za sestavo konzorcija. Vendar morata biti njihova vključenost in vloga v projektu ter različnih aktivnostih jasno opisani.</w:t>
      </w:r>
    </w:p>
    <w:p w14:paraId="7D3996FE" w14:textId="77777777" w:rsidR="00E03711" w:rsidRPr="001048FE" w:rsidRDefault="00E03711" w:rsidP="0083614D">
      <w:pPr>
        <w:pStyle w:val="GUIDE-NORMAL"/>
        <w:rPr>
          <w:lang w:val="sl-SI"/>
        </w:rPr>
      </w:pPr>
      <w:r w:rsidRPr="001048FE">
        <w:rPr>
          <w:b/>
          <w:lang w:val="sl-SI"/>
        </w:rPr>
        <w:t>Povezani subjekti (izbirno):</w:t>
      </w:r>
      <w:r w:rsidRPr="001048FE">
        <w:rPr>
          <w:lang w:val="sl-SI"/>
        </w:rPr>
        <w:t xml:space="preserve"> organizacije, ki prispevajo k doseganju ciljev in aktivnosti projekta. Povezane subjekte, ki morajo izpolnjevati zahteve iz Priloge III (Glosar pojmov) k temu Vodniku za prijavitelje, je treba opredeliti v vlogi za nepovratna sredstva.</w:t>
      </w:r>
    </w:p>
    <w:p w14:paraId="7D3996FF" w14:textId="77777777" w:rsidR="00E03711" w:rsidRPr="001048FE" w:rsidRDefault="00E03711" w:rsidP="00EC4828">
      <w:pPr>
        <w:pStyle w:val="Guide-Heading5"/>
        <w:rPr>
          <w:lang w:val="sl-SI"/>
        </w:rPr>
      </w:pPr>
      <w:r w:rsidRPr="001048FE">
        <w:rPr>
          <w:lang w:val="sl-SI"/>
        </w:rPr>
        <w:t>Kakšna so merila za oceno projekta krepitve zmogljivosti?</w:t>
      </w:r>
    </w:p>
    <w:p w14:paraId="7D399700" w14:textId="77777777" w:rsidR="00E03711" w:rsidRPr="001048FE" w:rsidRDefault="00E03711" w:rsidP="00EC4828">
      <w:pPr>
        <w:pStyle w:val="GUIDE-NORMAL"/>
        <w:rPr>
          <w:lang w:val="sl-SI"/>
        </w:rPr>
      </w:pPr>
      <w:r w:rsidRPr="001048FE">
        <w:rPr>
          <w:lang w:val="sl-SI"/>
        </w:rPr>
        <w:t>V nadaljevanju so navedena formalna merila, ki jih mora upoštevati projekt krepitve zmogljivosti na področju visokošolskega izobraževanja za upravičenost do nepovratnih sredstev Erasmus+:</w:t>
      </w:r>
    </w:p>
    <w:p w14:paraId="7D399701" w14:textId="77777777" w:rsidR="00E03711" w:rsidRPr="001048FE" w:rsidRDefault="00E03711" w:rsidP="00EC4828">
      <w:pPr>
        <w:pStyle w:val="Guide-Heading6"/>
        <w:rPr>
          <w:lang w:val="sl-SI"/>
        </w:rPr>
      </w:pPr>
      <w:r w:rsidRPr="001048FE">
        <w:rPr>
          <w:lang w:val="sl-SI"/>
        </w:rPr>
        <w:t>Merila za upravičenost</w:t>
      </w:r>
    </w:p>
    <w:tbl>
      <w:tblPr>
        <w:tblW w:w="5000" w:type="pct"/>
        <w:shd w:val="clear" w:color="auto" w:fill="FFFFFF"/>
        <w:tblLook w:val="0000" w:firstRow="0" w:lastRow="0" w:firstColumn="0" w:lastColumn="0" w:noHBand="0" w:noVBand="0"/>
      </w:tblPr>
      <w:tblGrid>
        <w:gridCol w:w="1568"/>
        <w:gridCol w:w="7722"/>
      </w:tblGrid>
      <w:tr w:rsidR="00E03711" w:rsidRPr="00C60205" w14:paraId="7D399704" w14:textId="77777777" w:rsidTr="00150820">
        <w:trPr>
          <w:cantSplit/>
          <w:trHeight w:val="20"/>
        </w:trPr>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14:paraId="7D399702" w14:textId="77777777" w:rsidR="00E03711" w:rsidRPr="00F769E0" w:rsidRDefault="00E03711" w:rsidP="00EC4828">
            <w:pPr>
              <w:pStyle w:val="GUIDE-NORMAL"/>
              <w:spacing w:before="60" w:after="60"/>
              <w:rPr>
                <w:rFonts w:cs="Tahoma"/>
                <w:b/>
                <w:lang w:val="sl-SI" w:eastAsia="en-GB"/>
              </w:rPr>
            </w:pPr>
            <w:r w:rsidRPr="00F769E0">
              <w:rPr>
                <w:rFonts w:cs="Tahoma"/>
                <w:b/>
                <w:lang w:val="sl-SI" w:eastAsia="en-GB"/>
              </w:rPr>
              <w:t xml:space="preserve">Upravičene partnerske </w:t>
            </w:r>
            <w:r w:rsidRPr="00F769E0">
              <w:rPr>
                <w:rFonts w:cs="Tahoma"/>
                <w:b/>
                <w:lang w:val="sl-SI" w:eastAsia="en-GB"/>
              </w:rPr>
              <w:br/>
              <w:t>države</w:t>
            </w:r>
          </w:p>
        </w:tc>
        <w:tc>
          <w:tcPr>
            <w:tcW w:w="4156" w:type="pct"/>
            <w:tcBorders>
              <w:top w:val="single" w:sz="4" w:space="0" w:color="auto"/>
              <w:left w:val="single" w:sz="4" w:space="0" w:color="auto"/>
              <w:bottom w:val="single" w:sz="4" w:space="0" w:color="auto"/>
              <w:right w:val="single" w:sz="4" w:space="0" w:color="auto"/>
            </w:tcBorders>
            <w:shd w:val="clear" w:color="auto" w:fill="FFFFFF"/>
          </w:tcPr>
          <w:p w14:paraId="7D399703" w14:textId="77777777" w:rsidR="00E03711" w:rsidRPr="00F769E0" w:rsidRDefault="00E03711" w:rsidP="00EC4828">
            <w:pPr>
              <w:pStyle w:val="GUIDE-NORMAL"/>
              <w:spacing w:before="60" w:after="60"/>
              <w:rPr>
                <w:rFonts w:cs="Tahoma"/>
                <w:lang w:val="sl-SI" w:eastAsia="en-GB"/>
              </w:rPr>
            </w:pPr>
            <w:r w:rsidRPr="00F769E0">
              <w:rPr>
                <w:rFonts w:cs="Tahoma"/>
                <w:lang w:val="sl-SI" w:eastAsia="en-GB"/>
              </w:rPr>
              <w:t>Vključene</w:t>
            </w:r>
            <w:r w:rsidRPr="00F769E0">
              <w:rPr>
                <w:rFonts w:cs="Tahoma"/>
                <w:spacing w:val="-10"/>
                <w:lang w:val="sl-SI" w:eastAsia="en-GB"/>
              </w:rPr>
              <w:t xml:space="preserve"> </w:t>
            </w:r>
            <w:r w:rsidRPr="00F769E0">
              <w:rPr>
                <w:rFonts w:cs="Tahoma"/>
                <w:lang w:val="sl-SI" w:eastAsia="en-GB"/>
              </w:rPr>
              <w:t>so</w:t>
            </w:r>
            <w:r w:rsidRPr="00F769E0">
              <w:rPr>
                <w:rFonts w:cs="Tahoma"/>
                <w:spacing w:val="-10"/>
                <w:lang w:val="sl-SI" w:eastAsia="en-GB"/>
              </w:rPr>
              <w:t xml:space="preserve"> </w:t>
            </w:r>
            <w:r w:rsidRPr="00F769E0">
              <w:rPr>
                <w:rFonts w:cs="Tahoma"/>
                <w:lang w:val="sl-SI" w:eastAsia="en-GB"/>
              </w:rPr>
              <w:t>partnerske</w:t>
            </w:r>
            <w:r w:rsidRPr="00F769E0">
              <w:rPr>
                <w:rFonts w:cs="Tahoma"/>
                <w:spacing w:val="-10"/>
                <w:lang w:val="sl-SI" w:eastAsia="en-GB"/>
              </w:rPr>
              <w:t xml:space="preserve"> </w:t>
            </w:r>
            <w:r w:rsidRPr="00F769E0">
              <w:rPr>
                <w:rFonts w:cs="Tahoma"/>
                <w:lang w:val="sl-SI" w:eastAsia="en-GB"/>
              </w:rPr>
              <w:t>države,</w:t>
            </w:r>
            <w:r w:rsidRPr="00F769E0">
              <w:rPr>
                <w:rFonts w:cs="Tahoma"/>
                <w:spacing w:val="-10"/>
                <w:lang w:val="sl-SI" w:eastAsia="en-GB"/>
              </w:rPr>
              <w:t xml:space="preserve"> </w:t>
            </w:r>
            <w:r w:rsidRPr="00F769E0">
              <w:rPr>
                <w:rFonts w:cs="Tahoma"/>
                <w:lang w:val="sl-SI" w:eastAsia="en-GB"/>
              </w:rPr>
              <w:t>ki</w:t>
            </w:r>
            <w:r w:rsidRPr="00F769E0">
              <w:rPr>
                <w:rFonts w:cs="Tahoma"/>
                <w:spacing w:val="-10"/>
                <w:lang w:val="sl-SI" w:eastAsia="en-GB"/>
              </w:rPr>
              <w:t xml:space="preserve"> </w:t>
            </w:r>
            <w:r w:rsidRPr="00F769E0">
              <w:rPr>
                <w:rFonts w:cs="Tahoma"/>
                <w:lang w:val="sl-SI" w:eastAsia="en-GB"/>
              </w:rPr>
              <w:t>spadajo</w:t>
            </w:r>
            <w:r w:rsidRPr="00F769E0">
              <w:rPr>
                <w:rFonts w:cs="Tahoma"/>
                <w:spacing w:val="-10"/>
                <w:lang w:val="sl-SI" w:eastAsia="en-GB"/>
              </w:rPr>
              <w:t xml:space="preserve"> </w:t>
            </w:r>
            <w:r w:rsidRPr="00F769E0">
              <w:rPr>
                <w:rFonts w:cs="Tahoma"/>
                <w:lang w:val="sl-SI" w:eastAsia="en-GB"/>
              </w:rPr>
              <w:t>v</w:t>
            </w:r>
            <w:r w:rsidRPr="00F769E0">
              <w:rPr>
                <w:rFonts w:cs="Tahoma"/>
                <w:spacing w:val="-10"/>
                <w:lang w:val="sl-SI" w:eastAsia="en-GB"/>
              </w:rPr>
              <w:t xml:space="preserve"> </w:t>
            </w:r>
            <w:r w:rsidRPr="00F769E0">
              <w:rPr>
                <w:rFonts w:cs="Tahoma"/>
                <w:lang w:val="sl-SI" w:eastAsia="en-GB"/>
              </w:rPr>
              <w:t>regije</w:t>
            </w:r>
            <w:r w:rsidRPr="00F769E0">
              <w:rPr>
                <w:rFonts w:cs="Tahoma"/>
                <w:spacing w:val="-10"/>
                <w:lang w:val="sl-SI" w:eastAsia="en-GB"/>
              </w:rPr>
              <w:t xml:space="preserve"> </w:t>
            </w:r>
            <w:r w:rsidRPr="00F769E0">
              <w:rPr>
                <w:rFonts w:cs="Tahoma"/>
                <w:lang w:val="sl-SI" w:eastAsia="en-GB"/>
              </w:rPr>
              <w:t>od</w:t>
            </w:r>
            <w:r w:rsidRPr="00F769E0">
              <w:rPr>
                <w:rFonts w:cs="Tahoma"/>
                <w:spacing w:val="-9"/>
                <w:lang w:val="sl-SI" w:eastAsia="en-GB"/>
              </w:rPr>
              <w:t xml:space="preserve"> </w:t>
            </w:r>
            <w:r w:rsidRPr="00F769E0">
              <w:rPr>
                <w:rFonts w:cs="Tahoma"/>
                <w:lang w:val="sl-SI" w:eastAsia="en-GB"/>
              </w:rPr>
              <w:t>1</w:t>
            </w:r>
            <w:r w:rsidRPr="00F769E0">
              <w:rPr>
                <w:rFonts w:cs="Tahoma"/>
                <w:spacing w:val="-10"/>
                <w:lang w:val="sl-SI" w:eastAsia="en-GB"/>
              </w:rPr>
              <w:t xml:space="preserve"> </w:t>
            </w:r>
            <w:r w:rsidRPr="00F769E0">
              <w:rPr>
                <w:rFonts w:cs="Tahoma"/>
                <w:lang w:val="sl-SI" w:eastAsia="en-GB"/>
              </w:rPr>
              <w:t>do</w:t>
            </w:r>
            <w:r w:rsidRPr="00F769E0">
              <w:rPr>
                <w:rFonts w:cs="Tahoma"/>
                <w:spacing w:val="-10"/>
                <w:lang w:val="sl-SI" w:eastAsia="en-GB"/>
              </w:rPr>
              <w:t xml:space="preserve"> </w:t>
            </w:r>
            <w:r w:rsidRPr="00F769E0">
              <w:rPr>
                <w:rFonts w:cs="Tahoma"/>
                <w:lang w:val="sl-SI" w:eastAsia="en-GB"/>
              </w:rPr>
              <w:t>4</w:t>
            </w:r>
            <w:r w:rsidRPr="00F769E0">
              <w:rPr>
                <w:rFonts w:cs="Tahoma"/>
                <w:spacing w:val="-10"/>
                <w:lang w:val="sl-SI" w:eastAsia="en-GB"/>
              </w:rPr>
              <w:t xml:space="preserve"> </w:t>
            </w:r>
            <w:r w:rsidRPr="00F769E0">
              <w:rPr>
                <w:rFonts w:cs="Tahoma"/>
                <w:lang w:val="sl-SI" w:eastAsia="en-GB"/>
              </w:rPr>
              <w:t>in</w:t>
            </w:r>
            <w:r w:rsidRPr="00F769E0">
              <w:rPr>
                <w:rFonts w:cs="Tahoma"/>
                <w:spacing w:val="-10"/>
                <w:lang w:val="sl-SI" w:eastAsia="en-GB"/>
              </w:rPr>
              <w:t xml:space="preserve"> </w:t>
            </w:r>
            <w:r w:rsidRPr="00F769E0">
              <w:rPr>
                <w:rFonts w:cs="Tahoma"/>
                <w:lang w:val="sl-SI" w:eastAsia="en-GB"/>
              </w:rPr>
              <w:t>od</w:t>
            </w:r>
            <w:r w:rsidRPr="00F769E0">
              <w:rPr>
                <w:rFonts w:cs="Tahoma"/>
                <w:spacing w:val="-9"/>
                <w:lang w:val="sl-SI" w:eastAsia="en-GB"/>
              </w:rPr>
              <w:t xml:space="preserve"> </w:t>
            </w:r>
            <w:r w:rsidRPr="00F769E0">
              <w:rPr>
                <w:rFonts w:cs="Tahoma"/>
                <w:lang w:val="sl-SI" w:eastAsia="en-GB"/>
              </w:rPr>
              <w:t>6</w:t>
            </w:r>
            <w:r w:rsidRPr="00F769E0">
              <w:rPr>
                <w:rFonts w:cs="Tahoma"/>
                <w:spacing w:val="-10"/>
                <w:lang w:val="sl-SI" w:eastAsia="en-GB"/>
              </w:rPr>
              <w:t xml:space="preserve"> </w:t>
            </w:r>
            <w:r w:rsidRPr="00F769E0">
              <w:rPr>
                <w:rFonts w:cs="Tahoma"/>
                <w:lang w:val="sl-SI" w:eastAsia="en-GB"/>
              </w:rPr>
              <w:t>do</w:t>
            </w:r>
            <w:r w:rsidRPr="00F769E0">
              <w:rPr>
                <w:rFonts w:cs="Tahoma"/>
                <w:spacing w:val="-10"/>
                <w:lang w:val="sl-SI" w:eastAsia="en-GB"/>
              </w:rPr>
              <w:t xml:space="preserve"> </w:t>
            </w:r>
            <w:r w:rsidRPr="00F769E0">
              <w:rPr>
                <w:rFonts w:cs="Tahoma"/>
                <w:lang w:val="sl-SI" w:eastAsia="en-GB"/>
              </w:rPr>
              <w:t>11 (glej poglavje „Upravičene države“ v delu A tega</w:t>
            </w:r>
            <w:r w:rsidRPr="00F769E0">
              <w:rPr>
                <w:rFonts w:cs="Tahoma"/>
                <w:spacing w:val="-28"/>
                <w:lang w:val="sl-SI" w:eastAsia="en-GB"/>
              </w:rPr>
              <w:t xml:space="preserve"> </w:t>
            </w:r>
            <w:r w:rsidRPr="00F769E0">
              <w:rPr>
                <w:rFonts w:cs="Tahoma"/>
                <w:lang w:val="sl-SI" w:eastAsia="en-GB"/>
              </w:rPr>
              <w:t>vodnika)</w:t>
            </w:r>
            <w:r>
              <w:rPr>
                <w:rFonts w:cs="Tahoma"/>
                <w:lang w:val="sl-SI" w:eastAsia="en-GB"/>
              </w:rPr>
              <w:t>, pa tudi Čile in Urugvaj</w:t>
            </w:r>
            <w:r>
              <w:rPr>
                <w:rStyle w:val="FootnoteReference"/>
                <w:color w:val="000000"/>
                <w:lang w:val="en-GB"/>
              </w:rPr>
              <w:footnoteReference w:id="203"/>
            </w:r>
            <w:r w:rsidRPr="00F769E0">
              <w:rPr>
                <w:rFonts w:cs="Tahoma"/>
                <w:lang w:val="sl-SI" w:eastAsia="en-GB"/>
              </w:rPr>
              <w:t>.</w:t>
            </w:r>
          </w:p>
        </w:tc>
      </w:tr>
      <w:tr w:rsidR="00E03711" w:rsidRPr="00C60205" w14:paraId="7D399718" w14:textId="77777777" w:rsidTr="00150820">
        <w:trPr>
          <w:trHeight w:val="20"/>
        </w:trPr>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14:paraId="7D399705" w14:textId="77777777" w:rsidR="00E03711" w:rsidRPr="00F769E0" w:rsidRDefault="00E03711" w:rsidP="00EC4828">
            <w:pPr>
              <w:pStyle w:val="Guide-Table"/>
              <w:spacing w:before="60" w:after="60"/>
              <w:jc w:val="left"/>
              <w:rPr>
                <w:rFonts w:cs="Tahoma"/>
                <w:b/>
                <w:lang w:val="sl-SI" w:eastAsia="en-GB"/>
              </w:rPr>
            </w:pPr>
            <w:r w:rsidRPr="00F769E0">
              <w:rPr>
                <w:rFonts w:cs="Tahoma"/>
                <w:b/>
                <w:lang w:val="sl-SI" w:eastAsia="en-GB"/>
              </w:rPr>
              <w:t>Upravičene sodelujoče organizacije</w:t>
            </w:r>
            <w:r w:rsidRPr="00F769E0">
              <w:rPr>
                <w:rStyle w:val="FootnoteReference"/>
                <w:rFonts w:cs="Tahoma"/>
                <w:b/>
                <w:lang w:val="sl-SI" w:eastAsia="en-GB"/>
              </w:rPr>
              <w:footnoteReference w:id="204"/>
            </w:r>
          </w:p>
        </w:tc>
        <w:tc>
          <w:tcPr>
            <w:tcW w:w="4156" w:type="pct"/>
            <w:tcBorders>
              <w:top w:val="single" w:sz="4" w:space="0" w:color="auto"/>
              <w:left w:val="single" w:sz="4" w:space="0" w:color="auto"/>
              <w:bottom w:val="single" w:sz="4" w:space="0" w:color="auto"/>
              <w:right w:val="single" w:sz="4" w:space="0" w:color="auto"/>
            </w:tcBorders>
            <w:shd w:val="clear" w:color="auto" w:fill="FFFFFF"/>
          </w:tcPr>
          <w:p w14:paraId="7D399706" w14:textId="77777777" w:rsidR="00E03711" w:rsidRPr="00F769E0" w:rsidRDefault="00E03711" w:rsidP="00EC4828">
            <w:pPr>
              <w:pStyle w:val="GUIDE-NORMAL"/>
              <w:spacing w:before="60" w:after="60"/>
              <w:rPr>
                <w:rFonts w:cs="Tahoma"/>
                <w:lang w:val="sl-SI" w:eastAsia="en-GB"/>
              </w:rPr>
            </w:pPr>
            <w:r w:rsidRPr="00F769E0">
              <w:rPr>
                <w:rFonts w:cs="Tahoma"/>
                <w:lang w:val="sl-SI" w:eastAsia="en-GB"/>
              </w:rPr>
              <w:t>Sodelujoča organizacija je lahko:</w:t>
            </w:r>
          </w:p>
          <w:p w14:paraId="7D399707" w14:textId="77777777" w:rsidR="00E03711" w:rsidRPr="001048FE" w:rsidRDefault="00E03711" w:rsidP="005115F2">
            <w:pPr>
              <w:pStyle w:val="Guide-NormalBulletpoints"/>
              <w:numPr>
                <w:ilvl w:val="0"/>
                <w:numId w:val="486"/>
              </w:numPr>
              <w:spacing w:before="60"/>
              <w:rPr>
                <w:lang w:val="sl-SI"/>
              </w:rPr>
            </w:pPr>
            <w:r w:rsidRPr="001048FE">
              <w:rPr>
                <w:lang w:val="sl-SI"/>
              </w:rPr>
              <w:t>katera koli javna ali zasebna organizacija, skupaj s povezanimi subjekti (če ti obstajajo), ki ponuja celotne programe, ki vodijo do visokošolske izobrazbe in priznane diplome na terciarni ravni</w:t>
            </w:r>
            <w:r w:rsidRPr="001048FE">
              <w:rPr>
                <w:rStyle w:val="FootnoteReference"/>
                <w:lang w:val="sl-SI"/>
              </w:rPr>
              <w:footnoteReference w:id="205"/>
            </w:r>
            <w:r w:rsidRPr="001048FE">
              <w:rPr>
                <w:lang w:val="sl-SI"/>
              </w:rPr>
              <w:t xml:space="preserve"> (opredeljena kot visokošolska institucija in priznana kot taka s strani pristojnih organov),</w:t>
            </w:r>
          </w:p>
          <w:p w14:paraId="7D399708" w14:textId="77777777" w:rsidR="00E03711" w:rsidRPr="00F769E0" w:rsidRDefault="00E03711" w:rsidP="00EC4828">
            <w:pPr>
              <w:pStyle w:val="GUIDE-NORMAL"/>
              <w:spacing w:before="60" w:after="60"/>
              <w:rPr>
                <w:rFonts w:cs="Tahoma"/>
                <w:lang w:val="sl-SI" w:eastAsia="en-GB"/>
              </w:rPr>
            </w:pPr>
            <w:r w:rsidRPr="00F769E0">
              <w:rPr>
                <w:rFonts w:cs="Tahoma"/>
                <w:lang w:val="sl-SI" w:eastAsia="en-GB"/>
              </w:rPr>
              <w:t>ali</w:t>
            </w:r>
          </w:p>
          <w:p w14:paraId="7D399709" w14:textId="77777777" w:rsidR="00E03711" w:rsidRPr="001048FE" w:rsidRDefault="00E03711" w:rsidP="005115F2">
            <w:pPr>
              <w:pStyle w:val="Guide-NormalBulletpoints"/>
              <w:numPr>
                <w:ilvl w:val="0"/>
                <w:numId w:val="486"/>
              </w:numPr>
              <w:spacing w:before="60"/>
              <w:rPr>
                <w:lang w:val="sl-SI"/>
              </w:rPr>
            </w:pPr>
            <w:r w:rsidRPr="001048FE">
              <w:rPr>
                <w:lang w:val="sl-SI"/>
              </w:rPr>
              <w:t>katera koli javna ali zasebna organizacija, skupaj s povezanimi subjekti (če ti obstajajo), ki je dejavna na trgu dela ali na področju izobraževanja, usposabljanja in mladine. Taka organizacija je lahko na primer:</w:t>
            </w:r>
          </w:p>
          <w:p w14:paraId="7D39970A" w14:textId="77777777" w:rsidR="00E03711" w:rsidRPr="001048FE" w:rsidRDefault="00E03711" w:rsidP="005115F2">
            <w:pPr>
              <w:pStyle w:val="Guide-ListDash"/>
              <w:numPr>
                <w:ilvl w:val="1"/>
                <w:numId w:val="487"/>
              </w:numPr>
              <w:spacing w:before="60" w:after="60"/>
              <w:rPr>
                <w:lang w:val="sl-SI"/>
              </w:rPr>
            </w:pPr>
            <w:r w:rsidRPr="001048FE">
              <w:rPr>
                <w:lang w:val="sl-SI"/>
              </w:rPr>
              <w:t>javno ali zasebno malo, srednje ali veliko podjetje (vključno s socialnimi podjetji);</w:t>
            </w:r>
          </w:p>
          <w:p w14:paraId="7D39970B" w14:textId="77777777" w:rsidR="00E03711" w:rsidRPr="001048FE" w:rsidRDefault="00E03711" w:rsidP="005115F2">
            <w:pPr>
              <w:pStyle w:val="Guide-ListDash"/>
              <w:numPr>
                <w:ilvl w:val="1"/>
                <w:numId w:val="487"/>
              </w:numPr>
              <w:spacing w:before="60" w:after="60"/>
              <w:rPr>
                <w:lang w:val="sl-SI"/>
              </w:rPr>
            </w:pPr>
            <w:r w:rsidRPr="001048FE">
              <w:rPr>
                <w:lang w:val="sl-SI"/>
              </w:rPr>
              <w:t>javni organ na lokalni, regionalni ali nacionalni ravni (vključno z ministrstvi);</w:t>
            </w:r>
          </w:p>
          <w:p w14:paraId="7D39970C" w14:textId="77777777" w:rsidR="00E03711" w:rsidRPr="001048FE" w:rsidRDefault="00E03711" w:rsidP="005115F2">
            <w:pPr>
              <w:pStyle w:val="Guide-ListDash"/>
              <w:numPr>
                <w:ilvl w:val="1"/>
                <w:numId w:val="487"/>
              </w:numPr>
              <w:spacing w:before="60" w:after="60"/>
              <w:rPr>
                <w:lang w:val="sl-SI"/>
              </w:rPr>
            </w:pPr>
            <w:r w:rsidRPr="001048FE">
              <w:rPr>
                <w:lang w:val="sl-SI"/>
              </w:rPr>
              <w:t>socialni partner ali drug predstavnik sveta dela, tudi gospodarske zbornice, obrtna/poklicna združenja in sindikati;</w:t>
            </w:r>
          </w:p>
          <w:p w14:paraId="7D39970D" w14:textId="77777777" w:rsidR="00E03711" w:rsidRPr="001048FE" w:rsidRDefault="00E03711" w:rsidP="005115F2">
            <w:pPr>
              <w:pStyle w:val="Guide-ListDash"/>
              <w:numPr>
                <w:ilvl w:val="1"/>
                <w:numId w:val="487"/>
              </w:numPr>
              <w:spacing w:before="60" w:after="60"/>
              <w:rPr>
                <w:lang w:val="sl-SI"/>
              </w:rPr>
            </w:pPr>
            <w:r w:rsidRPr="001048FE">
              <w:rPr>
                <w:lang w:val="sl-SI"/>
              </w:rPr>
              <w:t>raziskovalni inštitut;</w:t>
            </w:r>
          </w:p>
          <w:p w14:paraId="7D39970E" w14:textId="77777777" w:rsidR="00E03711" w:rsidRPr="001048FE" w:rsidRDefault="00E03711" w:rsidP="005115F2">
            <w:pPr>
              <w:pStyle w:val="Guide-ListDash"/>
              <w:numPr>
                <w:ilvl w:val="1"/>
                <w:numId w:val="487"/>
              </w:numPr>
              <w:spacing w:before="60" w:after="60"/>
              <w:rPr>
                <w:lang w:val="sl-SI"/>
              </w:rPr>
            </w:pPr>
            <w:r w:rsidRPr="001048FE">
              <w:rPr>
                <w:lang w:val="sl-SI"/>
              </w:rPr>
              <w:t>fundacija;</w:t>
            </w:r>
          </w:p>
          <w:p w14:paraId="7D39970F" w14:textId="77777777" w:rsidR="00E03711" w:rsidRPr="001048FE" w:rsidRDefault="00E03711" w:rsidP="005115F2">
            <w:pPr>
              <w:pStyle w:val="Guide-ListDash"/>
              <w:numPr>
                <w:ilvl w:val="1"/>
                <w:numId w:val="487"/>
              </w:numPr>
              <w:spacing w:before="60" w:after="60"/>
              <w:rPr>
                <w:lang w:val="sl-SI"/>
              </w:rPr>
            </w:pPr>
            <w:r w:rsidRPr="001048FE">
              <w:rPr>
                <w:lang w:val="sl-SI"/>
              </w:rPr>
              <w:t>šola/institucija (na kateri koli ravni, od predšolskega do srednješolskega izobraževanja, vključno s poklicnim izobraževanjem in izobraževanjem odraslih);</w:t>
            </w:r>
          </w:p>
          <w:p w14:paraId="7D399710" w14:textId="77777777" w:rsidR="00E03711" w:rsidRPr="001048FE" w:rsidRDefault="00E03711" w:rsidP="005115F2">
            <w:pPr>
              <w:pStyle w:val="Guide-ListDash"/>
              <w:numPr>
                <w:ilvl w:val="1"/>
                <w:numId w:val="487"/>
              </w:numPr>
              <w:spacing w:before="60" w:after="60"/>
              <w:rPr>
                <w:lang w:val="sl-SI"/>
              </w:rPr>
            </w:pPr>
            <w:r w:rsidRPr="001048FE">
              <w:rPr>
                <w:lang w:val="sl-SI"/>
              </w:rPr>
              <w:t>neprofitna organizacija, združenje, nevladna organizacija (vključno z nacionalnimi ali mednarodnimi združenji ali mrežami visokošolskih institucij, združenji študentov ali učiteljev itd.);</w:t>
            </w:r>
          </w:p>
          <w:p w14:paraId="7D399711" w14:textId="77777777" w:rsidR="00E03711" w:rsidRPr="001048FE" w:rsidRDefault="00E03711" w:rsidP="005115F2">
            <w:pPr>
              <w:pStyle w:val="Guide-ListDash"/>
              <w:numPr>
                <w:ilvl w:val="1"/>
                <w:numId w:val="487"/>
              </w:numPr>
              <w:spacing w:before="60" w:after="60"/>
              <w:rPr>
                <w:lang w:val="sl-SI"/>
              </w:rPr>
            </w:pPr>
            <w:r w:rsidRPr="001048FE">
              <w:rPr>
                <w:lang w:val="sl-SI"/>
              </w:rPr>
              <w:t>kulturna organizacija, knjižnica, muzej;</w:t>
            </w:r>
          </w:p>
          <w:p w14:paraId="7D399712" w14:textId="77777777" w:rsidR="00E03711" w:rsidRPr="001048FE" w:rsidRDefault="00E03711" w:rsidP="005115F2">
            <w:pPr>
              <w:pStyle w:val="Guide-ListDash"/>
              <w:numPr>
                <w:ilvl w:val="1"/>
                <w:numId w:val="487"/>
              </w:numPr>
              <w:spacing w:before="60" w:after="60"/>
              <w:rPr>
                <w:lang w:val="sl-SI"/>
              </w:rPr>
            </w:pPr>
            <w:r w:rsidRPr="001048FE">
              <w:rPr>
                <w:lang w:val="sl-SI"/>
              </w:rPr>
              <w:t>organ, ki zagotavlja karierno orientacijo, poklicno svetovanje in storitve informiranja.</w:t>
            </w:r>
          </w:p>
          <w:p w14:paraId="7D399713" w14:textId="77777777" w:rsidR="00E03711" w:rsidRPr="00F769E0" w:rsidRDefault="00E03711" w:rsidP="00EC4828">
            <w:pPr>
              <w:pStyle w:val="GUIDE-NORMAL"/>
              <w:spacing w:before="60" w:after="60"/>
              <w:rPr>
                <w:rStyle w:val="Guide-Condensed-01"/>
                <w:rFonts w:cs="Tahoma"/>
                <w:lang w:val="sl-SI" w:eastAsia="en-GB"/>
              </w:rPr>
            </w:pPr>
            <w:r w:rsidRPr="00F769E0">
              <w:rPr>
                <w:rStyle w:val="Guide-Condensed-01"/>
                <w:rFonts w:cs="Tahoma"/>
                <w:lang w:val="sl-SI" w:eastAsia="en-GB"/>
              </w:rPr>
              <w:t xml:space="preserve">Vsaka sodelujoča organizacija mora imeti sedež v </w:t>
            </w:r>
            <w:hyperlink r:id="rId98">
              <w:r w:rsidRPr="00F769E0">
                <w:rPr>
                  <w:rStyle w:val="Guide-Condensed-01"/>
                  <w:rFonts w:cs="Tahoma"/>
                  <w:b/>
                  <w:lang w:val="sl-SI" w:eastAsia="en-GB"/>
                </w:rPr>
                <w:t>državi Programa</w:t>
              </w:r>
              <w:r w:rsidRPr="00F769E0">
                <w:rPr>
                  <w:rStyle w:val="Guide-Condensed-01"/>
                  <w:rFonts w:cs="Tahoma"/>
                  <w:lang w:val="sl-SI" w:eastAsia="en-GB"/>
                </w:rPr>
                <w:t xml:space="preserve"> </w:t>
              </w:r>
            </w:hyperlink>
            <w:r w:rsidRPr="00F769E0">
              <w:rPr>
                <w:rStyle w:val="Guide-Condensed-01"/>
                <w:rFonts w:cs="Tahoma"/>
                <w:lang w:val="sl-SI" w:eastAsia="en-GB"/>
              </w:rPr>
              <w:t>ali upravičeni partnerski državi.</w:t>
            </w:r>
          </w:p>
          <w:p w14:paraId="7D399714" w14:textId="77777777" w:rsidR="00E03711" w:rsidRPr="00F769E0" w:rsidRDefault="00E03711" w:rsidP="00EC4828">
            <w:pPr>
              <w:pStyle w:val="GUIDE-NORMAL"/>
              <w:spacing w:before="60" w:after="60"/>
              <w:rPr>
                <w:rStyle w:val="Guide-Condensed-01"/>
                <w:rFonts w:cs="Tahoma"/>
                <w:lang w:val="sl-SI" w:eastAsia="en-GB"/>
              </w:rPr>
            </w:pPr>
            <w:r w:rsidRPr="00F769E0">
              <w:rPr>
                <w:rStyle w:val="Guide-Condensed-01"/>
                <w:rFonts w:cs="Tahoma"/>
                <w:lang w:val="sl-SI" w:eastAsia="en-GB"/>
              </w:rPr>
              <w:t xml:space="preserve">Visokošolske institucije iz države Programa morajo biti nosilke </w:t>
            </w:r>
            <w:r w:rsidRPr="00F769E0">
              <w:rPr>
                <w:rStyle w:val="Guide-Condensed-01"/>
                <w:rFonts w:cs="Tahoma"/>
                <w:b/>
                <w:lang w:val="sl-SI" w:eastAsia="en-GB"/>
              </w:rPr>
              <w:t xml:space="preserve">veljavne Listine Erasmus za terciarno izobraževanje (ECHE). </w:t>
            </w:r>
            <w:r w:rsidRPr="00F769E0">
              <w:rPr>
                <w:rStyle w:val="Guide-Condensed-01"/>
                <w:rFonts w:cs="Tahoma"/>
                <w:lang w:val="sl-SI" w:eastAsia="en-GB"/>
              </w:rPr>
              <w:t>Listina ECHE se ne zahteva za sodelujoče visokošolske institucije iz upravičenih partnerskih držav.</w:t>
            </w:r>
          </w:p>
          <w:p w14:paraId="7D399715" w14:textId="77777777" w:rsidR="00E03711" w:rsidRPr="00F769E0" w:rsidRDefault="00E03711" w:rsidP="00EC4828">
            <w:pPr>
              <w:pStyle w:val="GUIDE-NORMAL"/>
              <w:spacing w:before="60" w:after="60"/>
              <w:rPr>
                <w:rStyle w:val="Guide-Condensed-01"/>
                <w:rFonts w:cs="Tahoma"/>
                <w:lang w:val="sl-SI" w:eastAsia="en-GB"/>
              </w:rPr>
            </w:pPr>
            <w:r w:rsidRPr="00F769E0">
              <w:rPr>
                <w:rStyle w:val="Guide-Condensed-01"/>
                <w:rFonts w:cs="Tahoma"/>
                <w:lang w:val="sl-SI" w:eastAsia="en-GB"/>
              </w:rPr>
              <w:t xml:space="preserve">Upravičeni so </w:t>
            </w:r>
            <w:r w:rsidRPr="00F769E0">
              <w:rPr>
                <w:rStyle w:val="Guide-Condensed-01"/>
                <w:rFonts w:cs="Tahoma"/>
                <w:b/>
                <w:lang w:val="sl-SI" w:eastAsia="en-GB"/>
              </w:rPr>
              <w:t>združenja ali organizacije visokošolskih institucij</w:t>
            </w:r>
            <w:r w:rsidRPr="00F769E0">
              <w:rPr>
                <w:rStyle w:val="Guide-Condensed-01"/>
                <w:rFonts w:cs="Tahoma"/>
                <w:lang w:val="sl-SI" w:eastAsia="en-GB"/>
              </w:rPr>
              <w:t>, namenjene spodbujanju, izboljšanju in reformi visokošolskega izobraževanja in sodelovanju v Evropi ter med Evropo in drugimi deli sveta. Če takšna združenja, organizacije ali mreže vključujejo druge sektorje izobraževanja in usposabljanje, morajo biti aktivnosti osredotočene zlasti na visokošolsko izobraževanje, kar mora biti jasno izraženo v statutu in vodstvenih strukturah organizacije. Združenje, organizacija ali mreža visokošolskih institucij se bo štela kot en pravni subjekt/partnerska institucija, kar pomeni, da bo obravnavana kot en subjekt iz države, v kateri ima sedež. Te organizacije se ne bodo štele za visokošolske institucije. Nepovratna sredstva lahko izkoristijo le tisti člani, ki imajo sedež v državah Programa ali upravičenih partnerskih državah.</w:t>
            </w:r>
          </w:p>
          <w:p w14:paraId="7D399716" w14:textId="77777777" w:rsidR="00E03711" w:rsidRPr="00F769E0" w:rsidRDefault="00E03711" w:rsidP="00EC4828">
            <w:pPr>
              <w:pStyle w:val="GUIDE-NORMAL"/>
              <w:spacing w:before="60" w:after="60"/>
              <w:rPr>
                <w:rStyle w:val="Guide-Condensed-01"/>
                <w:rFonts w:cs="Tahoma"/>
                <w:lang w:val="sl-SI" w:eastAsia="en-GB"/>
              </w:rPr>
            </w:pPr>
            <w:r w:rsidRPr="00F769E0">
              <w:rPr>
                <w:rStyle w:val="Guide-Condensed-01"/>
                <w:rFonts w:cs="Tahoma"/>
                <w:b/>
                <w:lang w:val="sl-SI" w:eastAsia="en-GB"/>
              </w:rPr>
              <w:t>Mednarodne vladne organizacije</w:t>
            </w:r>
            <w:r w:rsidRPr="00F769E0">
              <w:rPr>
                <w:rStyle w:val="Guide-Condensed-01"/>
                <w:rFonts w:cs="Tahoma"/>
                <w:lang w:val="sl-SI" w:eastAsia="en-GB"/>
              </w:rPr>
              <w:t xml:space="preserve"> lahko sodelujejo kot partnerice v projektu krepitve zmogljivosti na podlagi samofinanciranja.</w:t>
            </w:r>
          </w:p>
          <w:p w14:paraId="7D399717" w14:textId="77777777" w:rsidR="00E03711" w:rsidRPr="00F769E0" w:rsidRDefault="00E03711" w:rsidP="00EC4828">
            <w:pPr>
              <w:pStyle w:val="GUIDE-NORMAL"/>
              <w:spacing w:before="60" w:after="60"/>
              <w:rPr>
                <w:rFonts w:cs="Tahoma"/>
                <w:spacing w:val="-2"/>
                <w:lang w:val="sl-SI" w:eastAsia="en-GB"/>
              </w:rPr>
            </w:pPr>
            <w:r w:rsidRPr="00F769E0">
              <w:rPr>
                <w:rStyle w:val="Guide-Condensed-01"/>
                <w:rFonts w:cs="Tahoma"/>
                <w:b/>
                <w:lang w:val="sl-SI" w:eastAsia="en-GB"/>
              </w:rPr>
              <w:t>Posebna določba za Ukrajino</w:t>
            </w:r>
            <w:r w:rsidRPr="00F769E0">
              <w:rPr>
                <w:rStyle w:val="Guide-Condensed-01"/>
                <w:rFonts w:cs="Tahoma"/>
                <w:lang w:val="sl-SI" w:eastAsia="en-GB"/>
              </w:rPr>
              <w:t>: v primeru Ukrajine so upravičene visokošolske institucije samo tiste, ki jih priznava ukrajinsko ministrstvo za izobraževanje in znanost (za nadaljnje informacije stopite v stik z nacionalnim uradom Erasmus+ v Ukrajini).</w:t>
            </w:r>
          </w:p>
        </w:tc>
      </w:tr>
      <w:tr w:rsidR="00E03711" w:rsidRPr="00C60205" w14:paraId="7D399722" w14:textId="77777777" w:rsidTr="00150820">
        <w:trPr>
          <w:cantSplit/>
          <w:trHeight w:val="20"/>
        </w:trPr>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14:paraId="7D399719" w14:textId="77777777" w:rsidR="00E03711" w:rsidRPr="00F769E0" w:rsidRDefault="00E03711" w:rsidP="001D7E70">
            <w:pPr>
              <w:pStyle w:val="GUIDE-NORMAL"/>
              <w:spacing w:before="60" w:after="60"/>
              <w:jc w:val="left"/>
              <w:rPr>
                <w:rFonts w:cs="Tahoma"/>
                <w:b/>
                <w:lang w:val="sl-SI" w:eastAsia="en-GB"/>
              </w:rPr>
            </w:pPr>
            <w:r w:rsidRPr="00F769E0">
              <w:rPr>
                <w:rFonts w:cs="Tahoma"/>
                <w:b/>
                <w:lang w:val="sl-SI" w:eastAsia="en-GB"/>
              </w:rPr>
              <w:t>Kdo se lahko prijavi?</w:t>
            </w:r>
          </w:p>
          <w:p w14:paraId="7D39971A" w14:textId="77777777" w:rsidR="00E03711" w:rsidRPr="00F769E0" w:rsidRDefault="00E03711" w:rsidP="001D7E70">
            <w:pPr>
              <w:pStyle w:val="Guide-Table"/>
              <w:spacing w:before="60" w:after="60"/>
              <w:jc w:val="left"/>
              <w:rPr>
                <w:rFonts w:cs="Tahoma"/>
                <w:b/>
                <w:lang w:val="sl-SI" w:eastAsia="en-GB"/>
              </w:rPr>
            </w:pPr>
          </w:p>
        </w:tc>
        <w:tc>
          <w:tcPr>
            <w:tcW w:w="4156" w:type="pct"/>
            <w:tcBorders>
              <w:top w:val="single" w:sz="4" w:space="0" w:color="auto"/>
              <w:left w:val="single" w:sz="4" w:space="0" w:color="auto"/>
              <w:bottom w:val="single" w:sz="4" w:space="0" w:color="auto"/>
              <w:right w:val="single" w:sz="4" w:space="0" w:color="auto"/>
            </w:tcBorders>
            <w:shd w:val="clear" w:color="auto" w:fill="FFFFFF"/>
          </w:tcPr>
          <w:p w14:paraId="7D39971B" w14:textId="77777777" w:rsidR="00E03711" w:rsidRPr="00F769E0" w:rsidRDefault="00E03711" w:rsidP="001D7E70">
            <w:pPr>
              <w:pStyle w:val="GUIDE-NORMAL"/>
              <w:spacing w:before="60" w:after="60"/>
              <w:rPr>
                <w:rFonts w:cs="Tahoma"/>
                <w:lang w:val="sl-SI" w:eastAsia="en-GB"/>
              </w:rPr>
            </w:pPr>
            <w:r w:rsidRPr="00F769E0">
              <w:rPr>
                <w:rFonts w:cs="Tahoma"/>
                <w:lang w:val="sl-SI" w:eastAsia="en-GB"/>
              </w:rPr>
              <w:t>Za nepovratna sredstva se lahko prijavijo naslednje vrste sodelujočih organizacij:</w:t>
            </w:r>
          </w:p>
          <w:p w14:paraId="7D39971C" w14:textId="77777777" w:rsidR="00E03711" w:rsidRPr="001048FE" w:rsidRDefault="00E03711" w:rsidP="001D7E70">
            <w:pPr>
              <w:pStyle w:val="Guide-NormalBulletpoints"/>
              <w:spacing w:before="60"/>
              <w:rPr>
                <w:lang w:val="sl-SI"/>
              </w:rPr>
            </w:pPr>
            <w:r w:rsidRPr="001048FE">
              <w:rPr>
                <w:lang w:val="sl-SI"/>
              </w:rPr>
              <w:t>visokošolska institucija;</w:t>
            </w:r>
          </w:p>
          <w:p w14:paraId="7D39971D" w14:textId="77777777" w:rsidR="00E03711" w:rsidRPr="001048FE" w:rsidRDefault="00E03711" w:rsidP="005115F2">
            <w:pPr>
              <w:pStyle w:val="Guide-NormalBulletpoints"/>
              <w:numPr>
                <w:ilvl w:val="0"/>
                <w:numId w:val="362"/>
              </w:numPr>
              <w:spacing w:before="60"/>
              <w:rPr>
                <w:lang w:val="sl-SI"/>
              </w:rPr>
            </w:pPr>
            <w:r w:rsidRPr="001048FE">
              <w:rPr>
                <w:lang w:val="sl-SI"/>
              </w:rPr>
              <w:t>združenje ali organizacija visokošolskih institucij;</w:t>
            </w:r>
          </w:p>
          <w:p w14:paraId="7D39971E" w14:textId="77777777" w:rsidR="00E03711" w:rsidRPr="001048FE" w:rsidRDefault="00E03711" w:rsidP="005115F2">
            <w:pPr>
              <w:pStyle w:val="Guide-NormalBulletpoints"/>
              <w:numPr>
                <w:ilvl w:val="0"/>
                <w:numId w:val="362"/>
              </w:numPr>
              <w:spacing w:before="60"/>
              <w:rPr>
                <w:lang w:val="sl-SI"/>
              </w:rPr>
            </w:pPr>
            <w:r w:rsidRPr="001048FE">
              <w:rPr>
                <w:u w:val="single"/>
                <w:lang w:val="sl-SI"/>
              </w:rPr>
              <w:t>samo za strukturne projekte</w:t>
            </w:r>
            <w:r w:rsidRPr="001048FE">
              <w:rPr>
                <w:lang w:val="sl-SI"/>
              </w:rPr>
              <w:t>: pravno priznana nacionalna ali mednarodna organizacija rektorjev, učiteljev ali študentov;</w:t>
            </w:r>
          </w:p>
          <w:p w14:paraId="7D39971F" w14:textId="77777777" w:rsidR="00E03711" w:rsidRPr="00F769E0" w:rsidRDefault="00E03711" w:rsidP="005115F2">
            <w:pPr>
              <w:pStyle w:val="GUIDE-NORMAL"/>
              <w:numPr>
                <w:ilvl w:val="0"/>
                <w:numId w:val="362"/>
              </w:numPr>
              <w:spacing w:before="60" w:after="60"/>
              <w:rPr>
                <w:rFonts w:cs="Tahoma"/>
                <w:lang w:val="sl-SI" w:eastAsia="en-GB"/>
              </w:rPr>
            </w:pPr>
            <w:r w:rsidRPr="00F769E0">
              <w:rPr>
                <w:rFonts w:cs="Tahoma"/>
                <w:lang w:val="sl-SI" w:eastAsia="en-GB"/>
              </w:rPr>
              <w:t>s sedežem v državi Programa ali upravičeni partnerski državi.</w:t>
            </w:r>
          </w:p>
          <w:p w14:paraId="7D399720" w14:textId="77777777" w:rsidR="00E03711" w:rsidRPr="00F769E0" w:rsidRDefault="00E03711" w:rsidP="001D7E70">
            <w:pPr>
              <w:pStyle w:val="GUIDE-NORMAL"/>
              <w:spacing w:before="60" w:after="60"/>
              <w:rPr>
                <w:rFonts w:cs="Tahoma"/>
                <w:lang w:val="sl-SI" w:eastAsia="en-GB"/>
              </w:rPr>
            </w:pPr>
            <w:r w:rsidRPr="00F769E0">
              <w:rPr>
                <w:rFonts w:cs="Tahoma"/>
                <w:lang w:val="sl-SI" w:eastAsia="en-GB"/>
              </w:rPr>
              <w:t>Ta organizacija se prijavi v imenu vseh sodelujočih organizacij, ki so vključene v projekt.</w:t>
            </w:r>
          </w:p>
          <w:p w14:paraId="7D399721" w14:textId="77777777" w:rsidR="00E03711" w:rsidRPr="00F769E0" w:rsidRDefault="00E03711">
            <w:pPr>
              <w:pStyle w:val="GUIDE-NORMAL"/>
              <w:spacing w:before="60" w:after="60"/>
              <w:rPr>
                <w:rFonts w:cs="Tahoma"/>
                <w:spacing w:val="-2"/>
                <w:lang w:val="sl-SI" w:eastAsia="en-GB"/>
              </w:rPr>
            </w:pPr>
            <w:r w:rsidRPr="00F769E0">
              <w:rPr>
                <w:rFonts w:cs="Tahoma"/>
                <w:lang w:val="sl-SI" w:eastAsia="en-GB"/>
              </w:rPr>
              <w:t>Izjema: sodelujoče organizacije iz Libije in Sirije (regija 3)</w:t>
            </w:r>
            <w:r>
              <w:rPr>
                <w:rFonts w:cs="Tahoma"/>
                <w:lang w:val="sl-SI" w:eastAsia="en-GB"/>
              </w:rPr>
              <w:t>,</w:t>
            </w:r>
            <w:r w:rsidRPr="00F769E0">
              <w:rPr>
                <w:rFonts w:cs="Tahoma"/>
                <w:lang w:val="sl-SI" w:eastAsia="en-GB"/>
              </w:rPr>
              <w:t xml:space="preserve"> Ruske federacije (regija 4)</w:t>
            </w:r>
            <w:r>
              <w:rPr>
                <w:rFonts w:cs="Tahoma"/>
                <w:lang w:val="sl-SI" w:eastAsia="en-GB"/>
              </w:rPr>
              <w:t xml:space="preserve"> ter Čila in Urugvaja</w:t>
            </w:r>
            <w:r w:rsidRPr="00F769E0">
              <w:rPr>
                <w:rFonts w:cs="Tahoma"/>
                <w:lang w:val="sl-SI" w:eastAsia="en-GB"/>
              </w:rPr>
              <w:t xml:space="preserve"> ne morejo biti prijavitelji.</w:t>
            </w:r>
          </w:p>
        </w:tc>
      </w:tr>
      <w:tr w:rsidR="00E03711" w:rsidRPr="00C60205" w14:paraId="7D399739" w14:textId="77777777" w:rsidTr="00150820">
        <w:trPr>
          <w:trHeight w:val="20"/>
        </w:trPr>
        <w:tc>
          <w:tcPr>
            <w:tcW w:w="844" w:type="pct"/>
            <w:tcBorders>
              <w:top w:val="single" w:sz="4" w:space="0" w:color="auto"/>
              <w:left w:val="single" w:sz="4" w:space="0" w:color="auto"/>
              <w:right w:val="single" w:sz="4" w:space="0" w:color="auto"/>
            </w:tcBorders>
            <w:shd w:val="clear" w:color="auto" w:fill="FFFFFF"/>
            <w:vAlign w:val="center"/>
          </w:tcPr>
          <w:p w14:paraId="7D399723" w14:textId="77777777" w:rsidR="00E03711" w:rsidRPr="00F769E0" w:rsidRDefault="00E03711" w:rsidP="003756AB">
            <w:pPr>
              <w:pStyle w:val="GUIDE-NORMAL"/>
              <w:spacing w:before="60" w:after="60"/>
              <w:jc w:val="left"/>
              <w:rPr>
                <w:rFonts w:cs="Tahoma"/>
                <w:b/>
                <w:lang w:val="sl-SI" w:eastAsia="en-GB"/>
              </w:rPr>
            </w:pPr>
            <w:r w:rsidRPr="00F769E0">
              <w:rPr>
                <w:rFonts w:cs="Tahoma"/>
                <w:b/>
                <w:lang w:val="sl-SI" w:eastAsia="en-GB"/>
              </w:rPr>
              <w:t>Število in profil sodelujočih organizacij</w:t>
            </w:r>
          </w:p>
        </w:tc>
        <w:tc>
          <w:tcPr>
            <w:tcW w:w="4156" w:type="pct"/>
            <w:tcBorders>
              <w:top w:val="single" w:sz="4" w:space="0" w:color="auto"/>
              <w:left w:val="single" w:sz="4" w:space="0" w:color="auto"/>
              <w:right w:val="single" w:sz="4" w:space="0" w:color="auto"/>
            </w:tcBorders>
            <w:shd w:val="clear" w:color="auto" w:fill="FFFFFF"/>
          </w:tcPr>
          <w:p w14:paraId="7D399724" w14:textId="77777777" w:rsidR="00E03711" w:rsidRPr="00F769E0" w:rsidRDefault="00E03711" w:rsidP="003756AB">
            <w:pPr>
              <w:pStyle w:val="GUIDE-NORMAL"/>
              <w:spacing w:before="60" w:after="60"/>
              <w:rPr>
                <w:rFonts w:cs="Tahoma"/>
                <w:lang w:val="sl-SI" w:eastAsia="en-GB"/>
              </w:rPr>
            </w:pPr>
            <w:r w:rsidRPr="00F769E0">
              <w:rPr>
                <w:rFonts w:cs="Tahoma"/>
                <w:lang w:val="sl-SI" w:eastAsia="en-GB"/>
              </w:rPr>
              <w:t>Projekti krepitve zmogljivosti morajo upoštevati vsa naslednja merila:</w:t>
            </w:r>
          </w:p>
          <w:p w14:paraId="7D399725" w14:textId="77777777" w:rsidR="00E03711" w:rsidRPr="00F769E0" w:rsidRDefault="00E03711" w:rsidP="003756AB">
            <w:pPr>
              <w:pStyle w:val="Guide-Heading7"/>
              <w:spacing w:before="60" w:after="60"/>
              <w:rPr>
                <w:rFonts w:cs="Tahoma"/>
                <w:lang w:val="sl-SI"/>
              </w:rPr>
            </w:pPr>
            <w:r w:rsidRPr="00F769E0">
              <w:rPr>
                <w:rFonts w:cs="Tahoma"/>
                <w:lang w:val="sl-SI"/>
              </w:rPr>
              <w:t>Za projekte, ki vključujejo samo eno partnersko državo (nacionalni projekti):</w:t>
            </w:r>
          </w:p>
          <w:p w14:paraId="7D399726" w14:textId="77777777" w:rsidR="00E03711" w:rsidRPr="00F769E0" w:rsidRDefault="00E03711" w:rsidP="003756AB">
            <w:pPr>
              <w:pStyle w:val="GUIDE-NORMAL"/>
              <w:spacing w:before="60" w:after="60"/>
              <w:rPr>
                <w:rFonts w:cs="Tahoma"/>
                <w:lang w:val="sl-SI" w:eastAsia="en-GB"/>
              </w:rPr>
            </w:pPr>
            <w:r w:rsidRPr="00F769E0">
              <w:rPr>
                <w:rFonts w:cs="Tahoma"/>
                <w:lang w:val="sl-SI" w:eastAsia="en-GB"/>
              </w:rPr>
              <w:t xml:space="preserve">V projekt morajo biti vključene ena upravičena </w:t>
            </w:r>
            <w:r w:rsidRPr="00F769E0">
              <w:rPr>
                <w:rFonts w:cs="Tahoma"/>
                <w:b/>
                <w:lang w:val="sl-SI" w:eastAsia="en-GB"/>
              </w:rPr>
              <w:t>partnerska država</w:t>
            </w:r>
            <w:r w:rsidRPr="00F769E0">
              <w:rPr>
                <w:rFonts w:cs="Tahoma"/>
                <w:lang w:val="sl-SI" w:eastAsia="en-GB"/>
              </w:rPr>
              <w:t xml:space="preserve"> in vsaj dve </w:t>
            </w:r>
            <w:r w:rsidRPr="00F769E0">
              <w:rPr>
                <w:rFonts w:cs="Tahoma"/>
                <w:b/>
                <w:lang w:val="sl-SI" w:eastAsia="en-GB"/>
              </w:rPr>
              <w:t>državi Programa</w:t>
            </w:r>
            <w:r w:rsidRPr="00F769E0">
              <w:rPr>
                <w:rFonts w:cs="Tahoma"/>
                <w:lang w:val="sl-SI" w:eastAsia="en-GB"/>
              </w:rPr>
              <w:t>.</w:t>
            </w:r>
          </w:p>
          <w:p w14:paraId="7D399727" w14:textId="77777777" w:rsidR="00E03711" w:rsidRPr="00F769E0" w:rsidRDefault="00E03711" w:rsidP="003756AB">
            <w:pPr>
              <w:pStyle w:val="GUIDE-NORMAL"/>
              <w:spacing w:before="60" w:after="60"/>
              <w:rPr>
                <w:rStyle w:val="Guide-Condensed-01"/>
                <w:rFonts w:cs="Tahoma"/>
                <w:lang w:val="sl-SI" w:eastAsia="en-GB"/>
              </w:rPr>
            </w:pPr>
            <w:r w:rsidRPr="00F769E0">
              <w:rPr>
                <w:rStyle w:val="Guide-Condensed-01"/>
                <w:rFonts w:cs="Tahoma"/>
                <w:lang w:val="sl-SI" w:eastAsia="en-GB"/>
              </w:rPr>
              <w:t>Ti projekti morajo kot polnopravne partnerje vključevati najmanjše število visokošolskih institucij, kot sledi:</w:t>
            </w:r>
          </w:p>
          <w:p w14:paraId="7D399728" w14:textId="77777777" w:rsidR="00E03711" w:rsidRPr="001048FE" w:rsidRDefault="00E03711" w:rsidP="005115F2">
            <w:pPr>
              <w:pStyle w:val="Guide-NormalBulletpoints"/>
              <w:numPr>
                <w:ilvl w:val="0"/>
                <w:numId w:val="361"/>
              </w:numPr>
              <w:spacing w:before="60"/>
              <w:rPr>
                <w:lang w:val="sl-SI"/>
              </w:rPr>
            </w:pPr>
            <w:r w:rsidRPr="001048FE">
              <w:rPr>
                <w:lang w:val="sl-SI"/>
              </w:rPr>
              <w:t>vsaj eno visokošolsko institucijo iz vsaj dveh držav Programa, ki sodelujeta v projektu;</w:t>
            </w:r>
          </w:p>
          <w:p w14:paraId="7D399729" w14:textId="77777777" w:rsidR="00E03711" w:rsidRPr="001048FE" w:rsidRDefault="00E03711" w:rsidP="005115F2">
            <w:pPr>
              <w:pStyle w:val="Guide-NormalBulletpoints"/>
              <w:numPr>
                <w:ilvl w:val="0"/>
                <w:numId w:val="361"/>
              </w:numPr>
              <w:spacing w:before="60"/>
              <w:rPr>
                <w:lang w:val="sl-SI"/>
              </w:rPr>
            </w:pPr>
            <w:r w:rsidRPr="001048FE">
              <w:rPr>
                <w:lang w:val="sl-SI"/>
              </w:rPr>
              <w:t>vsaj tri visokošolske institucije iz partnerske države, ki sodeluje v projektu;</w:t>
            </w:r>
          </w:p>
          <w:p w14:paraId="7D39972A" w14:textId="77777777" w:rsidR="00E03711" w:rsidRPr="001048FE" w:rsidRDefault="00E03711" w:rsidP="005115F2">
            <w:pPr>
              <w:pStyle w:val="Guide-NormalBulletpoints"/>
              <w:numPr>
                <w:ilvl w:val="0"/>
                <w:numId w:val="361"/>
              </w:numPr>
              <w:spacing w:before="60"/>
              <w:rPr>
                <w:lang w:val="sl-SI"/>
              </w:rPr>
            </w:pPr>
            <w:r w:rsidRPr="001048FE">
              <w:rPr>
                <w:lang w:val="sl-SI"/>
              </w:rPr>
              <w:t>projekti morajo vključevati vsaj toliko visokošolskih institucij iz partnerskih držav, kot je visokošolskih institucij iz držav Programa.</w:t>
            </w:r>
          </w:p>
          <w:p w14:paraId="7D39972B" w14:textId="77777777" w:rsidR="00E03711" w:rsidRDefault="00E03711" w:rsidP="003756AB">
            <w:pPr>
              <w:pStyle w:val="GUIDE-NORMAL"/>
              <w:spacing w:before="60" w:after="60"/>
              <w:rPr>
                <w:rFonts w:cs="Tahoma"/>
                <w:lang w:val="sl-SI" w:eastAsia="en-GB"/>
              </w:rPr>
            </w:pPr>
            <w:r w:rsidRPr="00F769E0">
              <w:rPr>
                <w:rFonts w:cs="Tahoma"/>
                <w:lang w:val="sl-SI" w:eastAsia="en-GB"/>
              </w:rPr>
              <w:t>Izjema: v partnerskih državah, kjer je število visokošolskih institucij v celotni državi manjše od pet, ali kadar posamezna institucija predstavlja več kot 50 % celotne študentske populacije v državi, se sprejmejo tudi vloge, ki vsebujejo samo eno visokošolsko institucijo za to državo.</w:t>
            </w:r>
          </w:p>
          <w:p w14:paraId="7D39972C" w14:textId="77777777" w:rsidR="00E03711" w:rsidRPr="00F769E0" w:rsidRDefault="00E03711" w:rsidP="003756AB">
            <w:pPr>
              <w:pStyle w:val="GUIDE-NORMAL"/>
              <w:spacing w:before="60" w:after="60"/>
              <w:rPr>
                <w:rFonts w:cs="Tahoma"/>
                <w:lang w:val="sl-SI" w:eastAsia="en-GB"/>
              </w:rPr>
            </w:pPr>
          </w:p>
          <w:p w14:paraId="7D39972D" w14:textId="77777777" w:rsidR="00E03711" w:rsidRPr="00F769E0" w:rsidRDefault="00E03711" w:rsidP="003756AB">
            <w:pPr>
              <w:pStyle w:val="Guide-Heading7"/>
              <w:spacing w:before="60" w:after="60"/>
              <w:rPr>
                <w:rFonts w:cs="Tahoma"/>
                <w:lang w:val="sl-SI"/>
              </w:rPr>
            </w:pPr>
            <w:r w:rsidRPr="00F769E0">
              <w:rPr>
                <w:rFonts w:cs="Tahoma"/>
                <w:lang w:val="sl-SI"/>
              </w:rPr>
              <w:t>Za projekte, ki vključujejo dve ali več partnerskih držav (večdržavni projekti):</w:t>
            </w:r>
          </w:p>
          <w:p w14:paraId="7D39972E" w14:textId="77777777" w:rsidR="00E03711" w:rsidRPr="00F769E0" w:rsidRDefault="00E03711" w:rsidP="003756AB">
            <w:pPr>
              <w:pStyle w:val="GUIDE-NORMAL"/>
              <w:spacing w:before="60" w:after="60"/>
              <w:rPr>
                <w:rFonts w:cs="Tahoma"/>
                <w:lang w:val="sl-SI" w:eastAsia="en-GB"/>
              </w:rPr>
            </w:pPr>
            <w:r w:rsidRPr="00F769E0">
              <w:rPr>
                <w:rFonts w:cs="Tahoma"/>
                <w:lang w:val="sl-SI" w:eastAsia="en-GB"/>
              </w:rPr>
              <w:t xml:space="preserve">V projekt morajo biti vključene vsaj dve upravičeni partnerski državi in vsaj dve </w:t>
            </w:r>
            <w:r w:rsidRPr="00F769E0">
              <w:rPr>
                <w:rFonts w:cs="Tahoma"/>
                <w:b/>
                <w:lang w:val="sl-SI" w:eastAsia="en-GB"/>
              </w:rPr>
              <w:t>državi Programa</w:t>
            </w:r>
            <w:r w:rsidRPr="00F769E0">
              <w:rPr>
                <w:rFonts w:cs="Tahoma"/>
                <w:lang w:val="sl-SI" w:eastAsia="en-GB"/>
              </w:rPr>
              <w:t>. Partnerske države so lahko iz iste regije</w:t>
            </w:r>
            <w:hyperlink r:id="rId99">
              <w:r w:rsidRPr="00F769E0">
                <w:rPr>
                  <w:rStyle w:val="FootnoteReference"/>
                  <w:rFonts w:cs="Tahoma"/>
                  <w:lang w:val="sl-SI" w:eastAsia="en-GB"/>
                </w:rPr>
                <w:footnoteReference w:id="206"/>
              </w:r>
              <w:r w:rsidRPr="00F769E0">
                <w:rPr>
                  <w:rFonts w:cs="Tahoma"/>
                  <w:lang w:val="sl-SI" w:eastAsia="en-GB"/>
                </w:rPr>
                <w:t xml:space="preserve"> </w:t>
              </w:r>
            </w:hyperlink>
            <w:r w:rsidRPr="00F769E0">
              <w:rPr>
                <w:rFonts w:cs="Tahoma"/>
                <w:lang w:val="sl-SI" w:eastAsia="en-GB"/>
              </w:rPr>
              <w:t>ali iz različnih regij, zajetih v ukrep.</w:t>
            </w:r>
          </w:p>
          <w:p w14:paraId="7D39972F" w14:textId="77777777" w:rsidR="00E03711" w:rsidRPr="00F769E0" w:rsidRDefault="00E03711" w:rsidP="003756AB">
            <w:pPr>
              <w:pStyle w:val="GUIDE-NORMAL"/>
              <w:spacing w:before="60" w:after="60"/>
              <w:rPr>
                <w:rFonts w:cs="Tahoma"/>
                <w:lang w:val="sl-SI" w:eastAsia="en-GB"/>
              </w:rPr>
            </w:pPr>
            <w:r w:rsidRPr="00F769E0">
              <w:rPr>
                <w:rFonts w:cs="Tahoma"/>
                <w:lang w:val="sl-SI" w:eastAsia="en-GB"/>
              </w:rPr>
              <w:t>Ti projekti morajo kot polnopravne partnerje vključevati najmanjše število visokošolskih institucij, kot sledi:</w:t>
            </w:r>
          </w:p>
          <w:p w14:paraId="7D399730" w14:textId="77777777" w:rsidR="00E03711" w:rsidRPr="001048FE" w:rsidRDefault="00E03711" w:rsidP="005115F2">
            <w:pPr>
              <w:pStyle w:val="Guide-NormalBulletpoints"/>
              <w:numPr>
                <w:ilvl w:val="0"/>
                <w:numId w:val="360"/>
              </w:numPr>
              <w:spacing w:before="60"/>
              <w:rPr>
                <w:lang w:val="sl-SI"/>
              </w:rPr>
            </w:pPr>
            <w:r w:rsidRPr="001048FE">
              <w:rPr>
                <w:lang w:val="sl-SI"/>
              </w:rPr>
              <w:t>vsaj eno visokošolsko institucijo iz vsaj dveh držav Programa, ki sodelujeta v projektu;</w:t>
            </w:r>
          </w:p>
          <w:p w14:paraId="7D399731" w14:textId="77777777" w:rsidR="00E03711" w:rsidRPr="001048FE" w:rsidRDefault="00E03711" w:rsidP="005115F2">
            <w:pPr>
              <w:pStyle w:val="Guide-NormalBulletpoints"/>
              <w:numPr>
                <w:ilvl w:val="0"/>
                <w:numId w:val="360"/>
              </w:numPr>
              <w:spacing w:before="60"/>
              <w:rPr>
                <w:lang w:val="sl-SI"/>
              </w:rPr>
            </w:pPr>
            <w:r w:rsidRPr="001048FE">
              <w:rPr>
                <w:lang w:val="sl-SI"/>
              </w:rPr>
              <w:t>vsaj dve visokošolski instituciji iz vsake partnerske države, ki sodeluje v projektu;</w:t>
            </w:r>
          </w:p>
          <w:p w14:paraId="7D399732" w14:textId="77777777" w:rsidR="00E03711" w:rsidRPr="001048FE" w:rsidRDefault="00E03711" w:rsidP="005115F2">
            <w:pPr>
              <w:pStyle w:val="Guide-NormalBulletpoints"/>
              <w:numPr>
                <w:ilvl w:val="0"/>
                <w:numId w:val="360"/>
              </w:numPr>
              <w:spacing w:before="60"/>
              <w:rPr>
                <w:lang w:val="sl-SI"/>
              </w:rPr>
            </w:pPr>
            <w:r w:rsidRPr="001048FE">
              <w:rPr>
                <w:lang w:val="sl-SI"/>
              </w:rPr>
              <w:t>projekti morajo vključevati vsaj toliko visokošolskih institucij iz partnerskih držav, kot je visokošolskih institucij iz držav Programa.</w:t>
            </w:r>
          </w:p>
          <w:p w14:paraId="7D399733" w14:textId="77777777" w:rsidR="00E03711" w:rsidRPr="00F769E0" w:rsidRDefault="00E03711" w:rsidP="003756AB">
            <w:pPr>
              <w:pStyle w:val="GUIDE-NORMAL"/>
              <w:spacing w:before="60" w:after="60"/>
              <w:rPr>
                <w:rFonts w:cs="Tahoma"/>
                <w:lang w:val="sl-SI" w:eastAsia="en-GB"/>
              </w:rPr>
            </w:pPr>
            <w:r w:rsidRPr="00F769E0">
              <w:rPr>
                <w:rFonts w:cs="Tahoma"/>
                <w:lang w:val="sl-SI" w:eastAsia="en-GB"/>
              </w:rPr>
              <w:t>Izjema: v partnerskih državah, kjer je število visokošolskih institucij v celotni državi manjše od pet, ali kadar posamezna institucija predstavlja več kot 50 % celotne študentske populacije v državi, se sprejmejo tudi vloge, ki vsebujejo samo eno visokošolsko institucijo za to državo, če projekti vključujejo vsaj toliko visokošolskih institucij v partnerski državi, kot je visokošolskih institucij v državi Programa.</w:t>
            </w:r>
          </w:p>
          <w:p w14:paraId="7D399734" w14:textId="77777777" w:rsidR="00E03711" w:rsidRPr="00F769E0" w:rsidRDefault="00E03711" w:rsidP="003756AB">
            <w:pPr>
              <w:pStyle w:val="GUIDE-NORMAL"/>
              <w:spacing w:before="60" w:after="60"/>
              <w:rPr>
                <w:rFonts w:cs="Tahoma"/>
                <w:u w:val="single"/>
                <w:lang w:val="sl-SI" w:eastAsia="en-GB"/>
              </w:rPr>
            </w:pPr>
            <w:r w:rsidRPr="00F769E0">
              <w:rPr>
                <w:rFonts w:cs="Tahoma"/>
                <w:u w:val="single"/>
                <w:lang w:val="sl-SI" w:eastAsia="en-GB"/>
              </w:rPr>
              <w:t>Dodatna posebna merila veljajo za:</w:t>
            </w:r>
          </w:p>
          <w:p w14:paraId="7D399735" w14:textId="77777777" w:rsidR="00E03711" w:rsidRDefault="00E03711" w:rsidP="005115F2">
            <w:pPr>
              <w:pStyle w:val="Guide-NormalBulletpoints"/>
              <w:numPr>
                <w:ilvl w:val="0"/>
                <w:numId w:val="359"/>
              </w:numPr>
              <w:spacing w:before="60"/>
              <w:rPr>
                <w:lang w:val="sl-SI"/>
              </w:rPr>
            </w:pPr>
            <w:r w:rsidRPr="001048FE">
              <w:rPr>
                <w:lang w:val="sl-SI"/>
              </w:rPr>
              <w:t>strukturne projekte: projekti morajo kot polnopravne partnerje vključevati ministrstva, pristojna za visokošolsko izobraževanje, v vseh upravičenih partnerskih državah, ki jih pokriva projekt;</w:t>
            </w:r>
          </w:p>
          <w:p w14:paraId="7D399736" w14:textId="77777777" w:rsidR="00E03711" w:rsidRPr="001048FE" w:rsidRDefault="00E03711" w:rsidP="005115F2">
            <w:pPr>
              <w:pStyle w:val="Guide-NormalBulletpoints"/>
              <w:numPr>
                <w:ilvl w:val="0"/>
                <w:numId w:val="359"/>
              </w:numPr>
              <w:spacing w:before="60"/>
              <w:rPr>
                <w:lang w:val="sl-SI"/>
              </w:rPr>
            </w:pPr>
            <w:r>
              <w:rPr>
                <w:lang w:val="sl-SI"/>
              </w:rPr>
              <w:t>Sirija ne more koristiti strukturnih projektov;</w:t>
            </w:r>
          </w:p>
          <w:p w14:paraId="7D399737" w14:textId="77777777" w:rsidR="00E03711" w:rsidRPr="001048FE" w:rsidRDefault="00E03711" w:rsidP="005115F2">
            <w:pPr>
              <w:pStyle w:val="Guide-NormalBulletpoints"/>
              <w:numPr>
                <w:ilvl w:val="0"/>
                <w:numId w:val="359"/>
              </w:numPr>
              <w:spacing w:before="60"/>
              <w:rPr>
                <w:lang w:val="sl-SI"/>
              </w:rPr>
            </w:pPr>
            <w:r w:rsidRPr="001048FE">
              <w:rPr>
                <w:lang w:val="sl-SI"/>
              </w:rPr>
              <w:t xml:space="preserve">projekti, ki vključujejo partnerje iz </w:t>
            </w:r>
            <w:r w:rsidRPr="001048FE">
              <w:rPr>
                <w:b/>
                <w:lang w:val="sl-SI"/>
              </w:rPr>
              <w:t>regije 4 (Ruska federacija)</w:t>
            </w:r>
            <w:r w:rsidRPr="001048FE">
              <w:rPr>
                <w:lang w:val="sl-SI"/>
              </w:rPr>
              <w:t>, morajo vključevati še vsaj eno drugo partnersko državo;</w:t>
            </w:r>
          </w:p>
          <w:p w14:paraId="7D399738" w14:textId="77777777" w:rsidR="00E03711" w:rsidRPr="001048FE" w:rsidRDefault="00E03711" w:rsidP="005115F2">
            <w:pPr>
              <w:pStyle w:val="Guide-NormalBulletpoints"/>
              <w:numPr>
                <w:ilvl w:val="0"/>
                <w:numId w:val="359"/>
              </w:numPr>
              <w:spacing w:before="60"/>
              <w:rPr>
                <w:lang w:val="sl-SI"/>
              </w:rPr>
            </w:pPr>
            <w:r w:rsidRPr="001048FE">
              <w:rPr>
                <w:lang w:val="sl-SI"/>
              </w:rPr>
              <w:t xml:space="preserve">projekti, ki vključujejo partnerje iz </w:t>
            </w:r>
            <w:r w:rsidRPr="001048FE">
              <w:rPr>
                <w:b/>
                <w:lang w:val="sl-SI"/>
              </w:rPr>
              <w:t>regije 8 (Latinska Amerika)</w:t>
            </w:r>
            <w:r w:rsidRPr="001048FE">
              <w:rPr>
                <w:lang w:val="sl-SI"/>
              </w:rPr>
              <w:t>, morajo vključevati vsaj dve partnerski državi iz navedene regije.</w:t>
            </w:r>
          </w:p>
        </w:tc>
      </w:tr>
      <w:tr w:rsidR="00E03711" w:rsidRPr="00C60205" w14:paraId="7D39973C" w14:textId="77777777" w:rsidTr="00150820">
        <w:trPr>
          <w:cantSplit/>
          <w:trHeight w:val="20"/>
        </w:trPr>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14:paraId="7D39973A" w14:textId="77777777" w:rsidR="00E03711" w:rsidRPr="00F769E0" w:rsidRDefault="00E03711" w:rsidP="003756AB">
            <w:pPr>
              <w:pStyle w:val="GUIDE-NORMAL"/>
              <w:spacing w:before="60" w:after="60"/>
              <w:rPr>
                <w:rFonts w:cs="Tahoma"/>
                <w:b/>
                <w:lang w:val="sl-SI" w:eastAsia="en-GB"/>
              </w:rPr>
            </w:pPr>
            <w:r w:rsidRPr="00F769E0">
              <w:rPr>
                <w:rFonts w:cs="Tahoma"/>
                <w:b/>
                <w:lang w:val="sl-SI" w:eastAsia="en-GB"/>
              </w:rPr>
              <w:t>Druga merila</w:t>
            </w:r>
          </w:p>
        </w:tc>
        <w:tc>
          <w:tcPr>
            <w:tcW w:w="4156" w:type="pct"/>
            <w:tcBorders>
              <w:top w:val="single" w:sz="4" w:space="0" w:color="auto"/>
              <w:left w:val="single" w:sz="4" w:space="0" w:color="auto"/>
              <w:bottom w:val="single" w:sz="4" w:space="0" w:color="auto"/>
              <w:right w:val="single" w:sz="4" w:space="0" w:color="auto"/>
            </w:tcBorders>
            <w:shd w:val="clear" w:color="auto" w:fill="FFFFFF"/>
          </w:tcPr>
          <w:p w14:paraId="7D39973B" w14:textId="77777777" w:rsidR="00E03711" w:rsidRPr="00F769E0" w:rsidRDefault="00E03711" w:rsidP="003756AB">
            <w:pPr>
              <w:pStyle w:val="GUIDE-NORMAL"/>
              <w:spacing w:before="60" w:after="60"/>
              <w:jc w:val="left"/>
              <w:rPr>
                <w:rFonts w:cs="Tahoma"/>
                <w:lang w:val="sl-SI" w:eastAsia="en-GB"/>
              </w:rPr>
            </w:pPr>
            <w:r w:rsidRPr="00F769E0">
              <w:rPr>
                <w:rFonts w:cs="Tahoma"/>
                <w:lang w:val="sl-SI" w:eastAsia="en-GB"/>
              </w:rPr>
              <w:t xml:space="preserve">Kadar je vključeno združenje, organizacija ali mreža visokošolskih institucij, je treba kljub temu izpolniti pogoje glede minimalnega števila sodelujočih organizacij, pri čemer se združenje/organizacija/mreža šteje za samo enega partnerja v državi njihovega sedeža. </w:t>
            </w:r>
            <w:r w:rsidRPr="00F769E0">
              <w:rPr>
                <w:rFonts w:cs="Tahoma"/>
                <w:b/>
                <w:lang w:val="sl-SI" w:eastAsia="en-GB"/>
              </w:rPr>
              <w:t>Upoštevajte, da se te organizacije ne štejejo za visokošolske institucije</w:t>
            </w:r>
            <w:r w:rsidRPr="00F769E0">
              <w:rPr>
                <w:rFonts w:cs="Tahoma"/>
                <w:lang w:val="sl-SI" w:eastAsia="en-GB"/>
              </w:rPr>
              <w:t>.</w:t>
            </w:r>
          </w:p>
        </w:tc>
      </w:tr>
      <w:tr w:rsidR="00E03711" w:rsidRPr="00C60205" w14:paraId="7D399740" w14:textId="77777777" w:rsidTr="00150820">
        <w:trPr>
          <w:cantSplit/>
          <w:trHeight w:val="20"/>
        </w:trPr>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14:paraId="7D39973D" w14:textId="77777777" w:rsidR="00E03711" w:rsidRPr="00F769E0" w:rsidRDefault="00E03711" w:rsidP="003756AB">
            <w:pPr>
              <w:pStyle w:val="GUIDE-NORMAL"/>
              <w:spacing w:before="60" w:after="60"/>
              <w:rPr>
                <w:rFonts w:cs="Tahoma"/>
                <w:b/>
                <w:lang w:val="sl-SI" w:eastAsia="en-GB"/>
              </w:rPr>
            </w:pPr>
            <w:r w:rsidRPr="00F769E0">
              <w:rPr>
                <w:rFonts w:cs="Tahoma"/>
                <w:b/>
                <w:lang w:val="sl-SI" w:eastAsia="en-GB"/>
              </w:rPr>
              <w:t>Trajanje projekta</w:t>
            </w:r>
          </w:p>
        </w:tc>
        <w:tc>
          <w:tcPr>
            <w:tcW w:w="4156" w:type="pct"/>
            <w:tcBorders>
              <w:top w:val="single" w:sz="4" w:space="0" w:color="auto"/>
              <w:left w:val="single" w:sz="4" w:space="0" w:color="auto"/>
              <w:bottom w:val="single" w:sz="4" w:space="0" w:color="auto"/>
              <w:right w:val="single" w:sz="4" w:space="0" w:color="auto"/>
            </w:tcBorders>
            <w:shd w:val="clear" w:color="auto" w:fill="FFFFFF"/>
          </w:tcPr>
          <w:p w14:paraId="7D39973E" w14:textId="77777777" w:rsidR="00E03711" w:rsidRPr="00F769E0" w:rsidRDefault="00E03711" w:rsidP="003756AB">
            <w:pPr>
              <w:pStyle w:val="GUIDE-NORMAL"/>
              <w:spacing w:before="60" w:after="60"/>
              <w:jc w:val="left"/>
              <w:rPr>
                <w:rFonts w:cs="Tahoma"/>
                <w:lang w:val="sl-SI" w:eastAsia="en-GB"/>
              </w:rPr>
            </w:pPr>
            <w:r w:rsidRPr="00F769E0">
              <w:rPr>
                <w:rFonts w:cs="Tahoma"/>
                <w:lang w:val="sl-SI" w:eastAsia="en-GB"/>
              </w:rPr>
              <w:t>Projekti krepitve zmogljivosti lahko trajajo dve ali tri leta. Trajanje mora biti izbrano ob prijavi na podlagi cilja projekta in vrste aktivnosti, ki so načrtovane v tem času.</w:t>
            </w:r>
          </w:p>
          <w:p w14:paraId="7D39973F" w14:textId="77777777" w:rsidR="00E03711" w:rsidRPr="00F769E0" w:rsidRDefault="00E03711" w:rsidP="003756AB">
            <w:pPr>
              <w:pStyle w:val="GUIDE-NORMAL"/>
              <w:spacing w:before="60" w:after="60"/>
              <w:jc w:val="left"/>
              <w:rPr>
                <w:rFonts w:cs="Tahoma"/>
                <w:lang w:val="sl-SI" w:eastAsia="en-GB"/>
              </w:rPr>
            </w:pPr>
            <w:r w:rsidRPr="00F769E0">
              <w:rPr>
                <w:rFonts w:cs="Tahoma"/>
                <w:lang w:val="sl-SI" w:eastAsia="en-GB"/>
              </w:rPr>
              <w:t xml:space="preserve">V izjemnih okoliščinah se lahko odobri enkratno podaljšanje obdobja upravičenosti </w:t>
            </w:r>
            <w:r w:rsidRPr="00F769E0">
              <w:rPr>
                <w:rFonts w:cs="Tahoma"/>
                <w:lang w:val="sl-SI" w:eastAsia="en-GB"/>
              </w:rPr>
              <w:br/>
              <w:t>za 12 mesecev, če koordinator ne more končati projekta v predvidenem času.</w:t>
            </w:r>
          </w:p>
        </w:tc>
      </w:tr>
      <w:tr w:rsidR="00E03711" w:rsidRPr="00C60205" w14:paraId="7D399743" w14:textId="77777777" w:rsidTr="00150820">
        <w:trPr>
          <w:cantSplit/>
          <w:trHeight w:val="20"/>
        </w:trPr>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14:paraId="7D399741" w14:textId="77777777" w:rsidR="00E03711" w:rsidRPr="00F769E0" w:rsidRDefault="00E03711" w:rsidP="003756AB">
            <w:pPr>
              <w:pStyle w:val="GUIDE-NORMAL"/>
              <w:spacing w:before="60" w:after="60"/>
              <w:rPr>
                <w:rFonts w:cs="Tahoma"/>
                <w:b/>
                <w:lang w:val="sl-SI" w:eastAsia="en-GB"/>
              </w:rPr>
            </w:pPr>
            <w:r w:rsidRPr="00F769E0">
              <w:rPr>
                <w:rFonts w:cs="Tahoma"/>
                <w:b/>
                <w:lang w:val="sl-SI" w:eastAsia="en-GB"/>
              </w:rPr>
              <w:t>Kje se prijaviti?</w:t>
            </w:r>
          </w:p>
        </w:tc>
        <w:tc>
          <w:tcPr>
            <w:tcW w:w="4156" w:type="pct"/>
            <w:tcBorders>
              <w:top w:val="single" w:sz="4" w:space="0" w:color="auto"/>
              <w:left w:val="single" w:sz="4" w:space="0" w:color="auto"/>
              <w:bottom w:val="single" w:sz="4" w:space="0" w:color="auto"/>
              <w:right w:val="single" w:sz="4" w:space="0" w:color="auto"/>
            </w:tcBorders>
            <w:shd w:val="clear" w:color="auto" w:fill="FFFFFF"/>
            <w:vAlign w:val="center"/>
          </w:tcPr>
          <w:p w14:paraId="7D399742" w14:textId="77777777" w:rsidR="00E03711" w:rsidRPr="00F769E0" w:rsidRDefault="00E03711" w:rsidP="003756AB">
            <w:pPr>
              <w:pStyle w:val="GUIDE-NORMAL"/>
              <w:spacing w:before="60" w:after="60"/>
              <w:jc w:val="left"/>
              <w:rPr>
                <w:rFonts w:cs="Tahoma"/>
                <w:lang w:val="sl-SI" w:eastAsia="en-GB"/>
              </w:rPr>
            </w:pPr>
            <w:r w:rsidRPr="00F769E0">
              <w:rPr>
                <w:rFonts w:cs="Tahoma"/>
                <w:lang w:val="sl-SI" w:eastAsia="en-GB"/>
              </w:rPr>
              <w:t>Pri Izvajalski agenciji za izobraževanje, avdiovizualno področje in kulturo v Bruslju.</w:t>
            </w:r>
          </w:p>
        </w:tc>
      </w:tr>
      <w:tr w:rsidR="00E03711" w:rsidRPr="00C60205" w14:paraId="7D399746" w14:textId="77777777" w:rsidTr="00150820">
        <w:trPr>
          <w:cantSplit/>
          <w:trHeight w:val="20"/>
        </w:trPr>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14:paraId="7D399744" w14:textId="77777777" w:rsidR="00E03711" w:rsidRPr="00F769E0" w:rsidRDefault="00E03711" w:rsidP="003756AB">
            <w:pPr>
              <w:pStyle w:val="GUIDE-NORMAL"/>
              <w:spacing w:before="60" w:after="60"/>
              <w:rPr>
                <w:rFonts w:cs="Tahoma"/>
                <w:b/>
                <w:lang w:val="sl-SI" w:eastAsia="en-GB"/>
              </w:rPr>
            </w:pPr>
            <w:r w:rsidRPr="00F769E0">
              <w:rPr>
                <w:rFonts w:cs="Tahoma"/>
                <w:b/>
                <w:lang w:val="sl-SI" w:eastAsia="en-GB"/>
              </w:rPr>
              <w:t>Kdaj se prijaviti?</w:t>
            </w:r>
          </w:p>
        </w:tc>
        <w:tc>
          <w:tcPr>
            <w:tcW w:w="4156" w:type="pct"/>
            <w:tcBorders>
              <w:top w:val="single" w:sz="4" w:space="0" w:color="auto"/>
              <w:left w:val="single" w:sz="4" w:space="0" w:color="auto"/>
              <w:bottom w:val="single" w:sz="4" w:space="0" w:color="auto"/>
              <w:right w:val="single" w:sz="4" w:space="0" w:color="auto"/>
            </w:tcBorders>
            <w:shd w:val="clear" w:color="auto" w:fill="FFFFFF"/>
          </w:tcPr>
          <w:p w14:paraId="7D399745" w14:textId="77777777" w:rsidR="00E03711" w:rsidRPr="00F769E0" w:rsidRDefault="00E03711">
            <w:pPr>
              <w:pStyle w:val="GUIDE-NORMAL"/>
              <w:spacing w:before="60" w:after="60"/>
              <w:jc w:val="left"/>
              <w:rPr>
                <w:rFonts w:cs="Tahoma"/>
                <w:lang w:val="sl-SI" w:eastAsia="en-GB"/>
              </w:rPr>
            </w:pPr>
            <w:r w:rsidRPr="00F769E0">
              <w:rPr>
                <w:rFonts w:cs="Tahoma"/>
                <w:lang w:val="sl-SI" w:eastAsia="en-GB"/>
              </w:rPr>
              <w:t xml:space="preserve">Prijavitelji morajo vlogo za nepovratna sredstva oddati do </w:t>
            </w:r>
            <w:r>
              <w:rPr>
                <w:rFonts w:cs="Tahoma"/>
                <w:b/>
                <w:lang w:val="sl-SI" w:eastAsia="en-GB"/>
              </w:rPr>
              <w:t>5</w:t>
            </w:r>
            <w:r w:rsidRPr="00F769E0">
              <w:rPr>
                <w:rFonts w:cs="Tahoma"/>
                <w:b/>
                <w:lang w:val="sl-SI" w:eastAsia="en-GB"/>
              </w:rPr>
              <w:t xml:space="preserve">. februarja do </w:t>
            </w:r>
            <w:r>
              <w:rPr>
                <w:rFonts w:cs="Tahoma"/>
                <w:b/>
                <w:lang w:val="sl-SI" w:eastAsia="en-GB"/>
              </w:rPr>
              <w:t>17</w:t>
            </w:r>
            <w:r w:rsidRPr="00F769E0">
              <w:rPr>
                <w:rFonts w:cs="Tahoma"/>
                <w:b/>
                <w:lang w:val="sl-SI" w:eastAsia="en-GB"/>
              </w:rPr>
              <w:t>. ure (po bruseljskem času)</w:t>
            </w:r>
            <w:r w:rsidRPr="00F769E0">
              <w:rPr>
                <w:rFonts w:cs="Tahoma"/>
                <w:lang w:val="sl-SI" w:eastAsia="en-GB"/>
              </w:rPr>
              <w:t xml:space="preserve"> za projekte, ki se začnejo 15. novembra istega leta ali 15. januarja naslednjega leta.</w:t>
            </w:r>
          </w:p>
        </w:tc>
      </w:tr>
      <w:tr w:rsidR="00E03711" w:rsidRPr="00C60205" w14:paraId="7D399749" w14:textId="77777777" w:rsidTr="00150820">
        <w:trPr>
          <w:cantSplit/>
          <w:trHeight w:val="20"/>
        </w:trPr>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14:paraId="7D399747" w14:textId="77777777" w:rsidR="00E03711" w:rsidRPr="00F769E0" w:rsidRDefault="00E03711" w:rsidP="003756AB">
            <w:pPr>
              <w:pStyle w:val="GUIDE-NORMAL"/>
              <w:spacing w:before="60" w:after="60"/>
              <w:rPr>
                <w:rFonts w:cs="Tahoma"/>
                <w:b/>
                <w:lang w:val="sl-SI" w:eastAsia="en-GB"/>
              </w:rPr>
            </w:pPr>
            <w:r w:rsidRPr="00F769E0">
              <w:rPr>
                <w:rFonts w:cs="Tahoma"/>
                <w:b/>
                <w:lang w:val="sl-SI" w:eastAsia="en-GB"/>
              </w:rPr>
              <w:t>Kako se prijaviti?</w:t>
            </w:r>
          </w:p>
        </w:tc>
        <w:tc>
          <w:tcPr>
            <w:tcW w:w="4156" w:type="pct"/>
            <w:tcBorders>
              <w:top w:val="single" w:sz="4" w:space="0" w:color="auto"/>
              <w:left w:val="single" w:sz="4" w:space="0" w:color="auto"/>
              <w:bottom w:val="single" w:sz="4" w:space="0" w:color="auto"/>
              <w:right w:val="single" w:sz="4" w:space="0" w:color="auto"/>
            </w:tcBorders>
            <w:shd w:val="clear" w:color="auto" w:fill="FFFFFF"/>
            <w:vAlign w:val="center"/>
          </w:tcPr>
          <w:p w14:paraId="7D399748" w14:textId="77777777" w:rsidR="00E03711" w:rsidRPr="00F769E0" w:rsidRDefault="00E03711" w:rsidP="003756AB">
            <w:pPr>
              <w:pStyle w:val="GUIDE-NORMAL"/>
              <w:spacing w:before="60" w:after="60"/>
              <w:jc w:val="left"/>
              <w:rPr>
                <w:rFonts w:cs="Tahoma"/>
                <w:lang w:val="sl-SI" w:eastAsia="en-GB"/>
              </w:rPr>
            </w:pPr>
            <w:r w:rsidRPr="00F769E0">
              <w:rPr>
                <w:rFonts w:cs="Tahoma"/>
                <w:lang w:val="sl-SI" w:eastAsia="en-GB"/>
              </w:rPr>
              <w:t>Prijava mora biti predložena tako, kot je opisano v delu C tega vodnika.</w:t>
            </w:r>
          </w:p>
        </w:tc>
      </w:tr>
    </w:tbl>
    <w:p w14:paraId="7D39974A" w14:textId="77777777" w:rsidR="00E03711" w:rsidRPr="001048FE" w:rsidRDefault="00E03711" w:rsidP="003756AB">
      <w:pPr>
        <w:pStyle w:val="GUIDE-NORMAL"/>
        <w:rPr>
          <w:lang w:val="sl-SI"/>
        </w:rPr>
      </w:pPr>
      <w:r w:rsidRPr="001048FE">
        <w:rPr>
          <w:lang w:val="sl-SI"/>
        </w:rPr>
        <w:t xml:space="preserve">Organizacije prijaviteljice se lahko ocenjujejo tudi z </w:t>
      </w:r>
      <w:r w:rsidRPr="001048FE">
        <w:rPr>
          <w:b/>
          <w:lang w:val="sl-SI"/>
        </w:rPr>
        <w:t>merili za izključitev in izbor</w:t>
      </w:r>
      <w:r w:rsidRPr="001048FE">
        <w:rPr>
          <w:lang w:val="sl-SI"/>
        </w:rPr>
        <w:t>. Za več informacij glej del C tega vodnika.</w:t>
      </w:r>
    </w:p>
    <w:p w14:paraId="7D39974B" w14:textId="77777777" w:rsidR="00E03711" w:rsidRPr="001048FE" w:rsidRDefault="00E03711" w:rsidP="005041C6">
      <w:pPr>
        <w:pStyle w:val="Guide-Heading6"/>
        <w:rPr>
          <w:lang w:val="sl-SI"/>
        </w:rPr>
        <w:sectPr w:rsidR="00E03711" w:rsidRPr="001048FE" w:rsidSect="00E15ED3">
          <w:endnotePr>
            <w:numFmt w:val="decimal"/>
          </w:endnotePr>
          <w:pgSz w:w="11910" w:h="16840" w:code="9"/>
          <w:pgMar w:top="1134" w:right="1418" w:bottom="1134" w:left="1418" w:header="284" w:footer="567" w:gutter="0"/>
          <w:cols w:space="720"/>
          <w:docGrid w:linePitch="326"/>
        </w:sectPr>
      </w:pPr>
    </w:p>
    <w:p w14:paraId="7D39974C" w14:textId="77777777" w:rsidR="00E03711" w:rsidRPr="001048FE" w:rsidRDefault="00E03711" w:rsidP="005041C6">
      <w:pPr>
        <w:pStyle w:val="Guide-Heading6"/>
        <w:rPr>
          <w:lang w:val="sl-SI"/>
        </w:rPr>
      </w:pPr>
      <w:r w:rsidRPr="001048FE">
        <w:rPr>
          <w:lang w:val="sl-SI"/>
        </w:rPr>
        <w:t>Merila za dodelitev</w:t>
      </w:r>
    </w:p>
    <w:p w14:paraId="7D39974D" w14:textId="77777777" w:rsidR="00E03711" w:rsidRPr="00977659" w:rsidRDefault="00E03711" w:rsidP="009F76B7">
      <w:pPr>
        <w:rPr>
          <w:rFonts w:eastAsia="Calibri" w:cs="Calibri"/>
          <w:sz w:val="18"/>
          <w:szCs w:val="18"/>
          <w:bdr w:val="nil"/>
          <w:lang w:val="sl-SI"/>
        </w:rPr>
      </w:pPr>
      <w:r w:rsidRPr="00FC4A70">
        <w:rPr>
          <w:rFonts w:eastAsia="Calibri" w:cs="Calibri"/>
          <w:sz w:val="18"/>
          <w:szCs w:val="18"/>
          <w:bdr w:val="nil"/>
          <w:lang w:val="sl-SI"/>
        </w:rPr>
        <w:t>Projekt bo v dvostopenjskem postopku ocenjen po naslednjih merilih</w:t>
      </w:r>
      <w:r w:rsidRPr="00280146">
        <w:rPr>
          <w:rFonts w:eastAsia="Calibri" w:cs="Calibri"/>
          <w:sz w:val="18"/>
          <w:szCs w:val="18"/>
          <w:bdr w:val="nil"/>
          <w:lang w:val="sl-SI"/>
        </w:rPr>
        <w:t>:</w:t>
      </w:r>
      <w:r w:rsidRPr="00280146">
        <w:rPr>
          <w:rFonts w:eastAsia="Times New Roman" w:cs="Times New Roman"/>
          <w:b/>
          <w:smallCaps/>
          <w:sz w:val="20"/>
          <w:szCs w:val="28"/>
          <w:lang w:val="sl-SI"/>
        </w:rPr>
        <w:t xml:space="preserve"> </w:t>
      </w:r>
    </w:p>
    <w:p w14:paraId="7D39974E" w14:textId="77777777" w:rsidR="00E03711" w:rsidRPr="00977659" w:rsidRDefault="00E03711" w:rsidP="009F76B7">
      <w:pPr>
        <w:rPr>
          <w:rFonts w:eastAsia="Times New Roman" w:cs="Times New Roman"/>
          <w:b/>
          <w:smallCaps/>
          <w:sz w:val="20"/>
          <w:szCs w:val="28"/>
          <w:lang w:val="sl-SI"/>
        </w:rPr>
      </w:pPr>
    </w:p>
    <w:p w14:paraId="7D39974F" w14:textId="77777777" w:rsidR="00E03711" w:rsidRPr="00977659" w:rsidRDefault="00E03711" w:rsidP="00DC7149">
      <w:pPr>
        <w:rPr>
          <w:rFonts w:eastAsia="Times New Roman" w:cs="Times New Roman"/>
          <w:b/>
          <w:smallCaps/>
          <w:sz w:val="20"/>
          <w:szCs w:val="28"/>
          <w:lang w:val="sl-SI"/>
        </w:rPr>
      </w:pPr>
      <w:r w:rsidRPr="00280146">
        <w:rPr>
          <w:rFonts w:eastAsia="Times New Roman" w:cs="Times New Roman"/>
          <w:b/>
          <w:smallCaps/>
          <w:sz w:val="20"/>
          <w:szCs w:val="28"/>
          <w:lang w:val="sl-SI"/>
        </w:rPr>
        <w:t>1. korak</w:t>
      </w:r>
    </w:p>
    <w:p w14:paraId="7D399750" w14:textId="77777777" w:rsidR="00E03711" w:rsidRPr="00B17335" w:rsidRDefault="00E03711" w:rsidP="00DC7149">
      <w:pPr>
        <w:rPr>
          <w:b/>
          <w:vanish/>
          <w:sz w:val="18"/>
          <w:szCs w:val="18"/>
          <w:lang w:val="en-GB"/>
        </w:rPr>
      </w:pPr>
    </w:p>
    <w:tbl>
      <w:tblPr>
        <w:tblW w:w="5000" w:type="pct"/>
        <w:shd w:val="clear" w:color="auto" w:fill="FFFFFF"/>
        <w:tblLook w:val="0000" w:firstRow="0" w:lastRow="0" w:firstColumn="0" w:lastColumn="0" w:noHBand="0" w:noVBand="0"/>
      </w:tblPr>
      <w:tblGrid>
        <w:gridCol w:w="1568"/>
        <w:gridCol w:w="7722"/>
      </w:tblGrid>
      <w:tr w:rsidR="00E03711" w:rsidRPr="00C60205" w14:paraId="7D399759" w14:textId="77777777" w:rsidTr="00150820">
        <w:trPr>
          <w:trHeight w:val="454"/>
        </w:trPr>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14:paraId="7D399751" w14:textId="77777777" w:rsidR="00E03711" w:rsidRPr="00F769E0" w:rsidRDefault="00E03711" w:rsidP="003756AB">
            <w:pPr>
              <w:pStyle w:val="GUIDE-NORMAL"/>
              <w:jc w:val="left"/>
              <w:rPr>
                <w:rFonts w:cs="Tahoma"/>
                <w:b/>
                <w:lang w:val="sl-SI" w:eastAsia="en-GB"/>
              </w:rPr>
            </w:pPr>
            <w:r w:rsidRPr="00F769E0">
              <w:rPr>
                <w:rFonts w:cs="Tahoma"/>
                <w:b/>
                <w:lang w:val="sl-SI" w:eastAsia="en-GB"/>
              </w:rPr>
              <w:t xml:space="preserve">Ustreznost projekta </w:t>
            </w:r>
            <w:r w:rsidRPr="00F769E0">
              <w:rPr>
                <w:rFonts w:cs="Tahoma"/>
                <w:b/>
                <w:lang w:val="sl-SI" w:eastAsia="en-GB"/>
              </w:rPr>
              <w:br/>
              <w:t>(največ 30 točk)</w:t>
            </w:r>
          </w:p>
        </w:tc>
        <w:tc>
          <w:tcPr>
            <w:tcW w:w="4156" w:type="pct"/>
            <w:tcBorders>
              <w:top w:val="single" w:sz="4" w:space="0" w:color="auto"/>
              <w:left w:val="single" w:sz="4" w:space="0" w:color="auto"/>
              <w:bottom w:val="single" w:sz="4" w:space="0" w:color="auto"/>
              <w:right w:val="single" w:sz="4" w:space="0" w:color="auto"/>
            </w:tcBorders>
            <w:shd w:val="clear" w:color="auto" w:fill="FFFFFF"/>
          </w:tcPr>
          <w:p w14:paraId="7D399752" w14:textId="77777777" w:rsidR="00E03711" w:rsidRPr="00FC4A70" w:rsidRDefault="00E03711" w:rsidP="005115F2">
            <w:pPr>
              <w:pStyle w:val="Guide-NormalBulletpoints"/>
              <w:numPr>
                <w:ilvl w:val="0"/>
                <w:numId w:val="363"/>
              </w:numPr>
              <w:rPr>
                <w:lang w:val="sl-SI"/>
              </w:rPr>
            </w:pPr>
            <w:r w:rsidRPr="00FC4A70">
              <w:rPr>
                <w:rFonts w:eastAsia="Calibri"/>
                <w:bdr w:val="nil"/>
                <w:shd w:val="clear" w:color="auto" w:fill="auto"/>
                <w:lang w:val="sl-SI"/>
              </w:rPr>
              <w:t>Predlog in predvideni rezultati so usklajeni s cilji ukrepa krepitve zmogljivosti v prednostnih državah oz. državi;</w:t>
            </w:r>
          </w:p>
          <w:p w14:paraId="7D399753" w14:textId="77777777" w:rsidR="00E03711" w:rsidRPr="00FC4A70" w:rsidRDefault="00E03711" w:rsidP="005115F2">
            <w:pPr>
              <w:pStyle w:val="Guide-NormalBulletpoints"/>
              <w:numPr>
                <w:ilvl w:val="0"/>
                <w:numId w:val="363"/>
              </w:numPr>
              <w:rPr>
                <w:lang w:val="sl-SI"/>
              </w:rPr>
            </w:pPr>
            <w:r w:rsidRPr="00FC4A70">
              <w:rPr>
                <w:rFonts w:eastAsia="Calibri"/>
                <w:bdr w:val="nil"/>
                <w:shd w:val="clear" w:color="auto" w:fill="auto"/>
                <w:lang w:val="sl-SI"/>
              </w:rPr>
              <w:t>Predlog jasno obravnava tematske nacionalne in regionalne prednostne naloge, določene v programu za njegove ciljne države ali regije;</w:t>
            </w:r>
          </w:p>
          <w:p w14:paraId="7D399754" w14:textId="77777777" w:rsidR="00E03711" w:rsidRPr="00FC4A70" w:rsidRDefault="00E03711" w:rsidP="005115F2">
            <w:pPr>
              <w:pStyle w:val="Guide-NormalBulletpoints"/>
              <w:numPr>
                <w:ilvl w:val="0"/>
                <w:numId w:val="363"/>
              </w:numPr>
              <w:rPr>
                <w:lang w:val="sl-SI"/>
              </w:rPr>
            </w:pPr>
            <w:r w:rsidRPr="00FC4A70">
              <w:rPr>
                <w:rFonts w:eastAsia="Calibri"/>
                <w:bdr w:val="nil"/>
                <w:shd w:val="clear" w:color="auto" w:fill="auto"/>
                <w:lang w:val="sl-SI"/>
              </w:rPr>
              <w:t>V predlogu je pojasnjeno, zakaj načrtovane aktivnosti in pričakovani rezultati najbolje izpolnjujejo potrebe ciljnih skupin;</w:t>
            </w:r>
          </w:p>
          <w:p w14:paraId="7D399755" w14:textId="77777777" w:rsidR="00E03711" w:rsidRPr="00FC4A70" w:rsidRDefault="00E03711" w:rsidP="005115F2">
            <w:pPr>
              <w:pStyle w:val="Guide-NormalBulletpoints"/>
              <w:numPr>
                <w:ilvl w:val="0"/>
                <w:numId w:val="363"/>
              </w:numPr>
              <w:rPr>
                <w:lang w:val="sl-SI"/>
              </w:rPr>
            </w:pPr>
            <w:r w:rsidRPr="00FC4A70">
              <w:rPr>
                <w:rFonts w:eastAsia="Calibri"/>
                <w:bdr w:val="nil"/>
                <w:shd w:val="clear" w:color="auto" w:fill="auto"/>
                <w:lang w:val="sl-SI"/>
              </w:rPr>
              <w:t>Predlog je povezan s strategijo posodobitve, razvoja in internacionalizacije ciljnih visokošolskih institucij in je v skladu s strategijami razvoja za visokošolsko izobraževanje v upravičenih partnerskih državah, vključno s poudarkom na vključevanju, raznolikosti in sodelujočih iz socialno-ekonomsko depriviligiranega okolja;</w:t>
            </w:r>
          </w:p>
          <w:p w14:paraId="7D399756" w14:textId="77777777" w:rsidR="00E03711" w:rsidRPr="00FC4A70" w:rsidRDefault="00E03711" w:rsidP="005115F2">
            <w:pPr>
              <w:pStyle w:val="Guide-NormalBulletpoints"/>
              <w:numPr>
                <w:ilvl w:val="0"/>
                <w:numId w:val="363"/>
              </w:numPr>
              <w:rPr>
                <w:lang w:val="it-IT"/>
              </w:rPr>
            </w:pPr>
            <w:r w:rsidRPr="00FC4A70">
              <w:rPr>
                <w:rFonts w:eastAsia="Calibri"/>
                <w:bdr w:val="nil"/>
                <w:shd w:val="clear" w:color="auto" w:fill="auto"/>
                <w:lang w:val="it-IT"/>
              </w:rPr>
              <w:t>Cilji predloga so jasni, realistični in primerni ter temeljijo na pravi in ustrezni analizi potreb;</w:t>
            </w:r>
          </w:p>
          <w:p w14:paraId="7D399757" w14:textId="77777777" w:rsidR="00E03711" w:rsidRPr="00FC4A70" w:rsidRDefault="00E03711" w:rsidP="005115F2">
            <w:pPr>
              <w:pStyle w:val="Guide-NormalBulletpoints"/>
              <w:numPr>
                <w:ilvl w:val="0"/>
                <w:numId w:val="363"/>
              </w:numPr>
              <w:rPr>
                <w:lang w:val="it-IT"/>
              </w:rPr>
            </w:pPr>
            <w:r w:rsidRPr="00FC4A70">
              <w:rPr>
                <w:rFonts w:eastAsia="Calibri"/>
                <w:bdr w:val="nil"/>
                <w:shd w:val="clear" w:color="auto" w:fill="auto"/>
                <w:lang w:val="it-IT"/>
              </w:rPr>
              <w:t>Predlog je inovativen in/ali dopolnjuje druge pobude ali projekte, ki se že izvajajo v okviru trenutnih ali preteklih ukrepov;</w:t>
            </w:r>
          </w:p>
          <w:p w14:paraId="7D399758" w14:textId="77777777" w:rsidR="00E03711" w:rsidRPr="00FC4A70" w:rsidRDefault="00E03711" w:rsidP="005115F2">
            <w:pPr>
              <w:pStyle w:val="Guide-NormalBulletpoints"/>
              <w:numPr>
                <w:ilvl w:val="0"/>
                <w:numId w:val="363"/>
              </w:numPr>
              <w:rPr>
                <w:lang w:val="it-IT"/>
              </w:rPr>
            </w:pPr>
            <w:r w:rsidRPr="00FC4A70">
              <w:rPr>
                <w:rFonts w:eastAsia="Calibri" w:cs="Calibri"/>
                <w:bdr w:val="nil"/>
                <w:lang w:val="it-IT"/>
              </w:rPr>
              <w:t>Iz predloga je razvidno, da podobnih rezultatov ne bi bilo mogoče doseči z nacionalnim, regionalnim ali lokalnim financiranjem.</w:t>
            </w:r>
          </w:p>
        </w:tc>
      </w:tr>
      <w:tr w:rsidR="00E03711" w:rsidRPr="00C60205" w14:paraId="7D399761" w14:textId="77777777" w:rsidTr="00150820">
        <w:trPr>
          <w:trHeight w:val="454"/>
        </w:trPr>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14:paraId="7D39975A" w14:textId="77777777" w:rsidR="00E03711" w:rsidRPr="00F769E0" w:rsidRDefault="00E03711" w:rsidP="003756AB">
            <w:pPr>
              <w:pStyle w:val="GUIDE-NORMAL"/>
              <w:jc w:val="left"/>
              <w:rPr>
                <w:rFonts w:cs="Tahoma"/>
                <w:b/>
                <w:lang w:val="sl-SI" w:eastAsia="en-GB"/>
              </w:rPr>
            </w:pPr>
            <w:r w:rsidRPr="00F769E0">
              <w:rPr>
                <w:rFonts w:cs="Tahoma"/>
                <w:b/>
                <w:lang w:val="sl-SI" w:eastAsia="en-GB"/>
              </w:rPr>
              <w:t xml:space="preserve">Kakovost </w:t>
            </w:r>
            <w:r w:rsidRPr="00F769E0">
              <w:rPr>
                <w:rFonts w:cs="Tahoma"/>
                <w:b/>
                <w:lang w:val="sl-SI" w:eastAsia="en-GB"/>
              </w:rPr>
              <w:br/>
              <w:t>zasnove in izvedbe projekta (največ 30 točk)</w:t>
            </w:r>
          </w:p>
        </w:tc>
        <w:tc>
          <w:tcPr>
            <w:tcW w:w="4156" w:type="pct"/>
            <w:tcBorders>
              <w:top w:val="single" w:sz="4" w:space="0" w:color="auto"/>
              <w:left w:val="single" w:sz="4" w:space="0" w:color="auto"/>
              <w:bottom w:val="single" w:sz="4" w:space="0" w:color="auto"/>
              <w:right w:val="single" w:sz="4" w:space="0" w:color="auto"/>
            </w:tcBorders>
            <w:shd w:val="clear" w:color="auto" w:fill="FFFFFF"/>
          </w:tcPr>
          <w:p w14:paraId="7D39975B" w14:textId="77777777" w:rsidR="00E03711" w:rsidRPr="001048FE" w:rsidRDefault="00E03711" w:rsidP="005115F2">
            <w:pPr>
              <w:pStyle w:val="Guide-NormalBulletpoints"/>
              <w:numPr>
                <w:ilvl w:val="0"/>
                <w:numId w:val="364"/>
              </w:numPr>
              <w:rPr>
                <w:lang w:val="sl-SI"/>
              </w:rPr>
            </w:pPr>
            <w:r w:rsidRPr="001048FE">
              <w:rPr>
                <w:lang w:val="sl-SI"/>
              </w:rPr>
              <w:t>Aktivnosti, predlagane v življenjskem ciklu projekta, so visokokakovostne, povezane s projektom ter ustrezne za doseganje ciljev in predvidenih rezultatov;</w:t>
            </w:r>
          </w:p>
          <w:p w14:paraId="7D39975C" w14:textId="77777777" w:rsidR="00E03711" w:rsidRPr="001048FE" w:rsidRDefault="00E03711" w:rsidP="005115F2">
            <w:pPr>
              <w:pStyle w:val="Guide-NormalBulletpoints"/>
              <w:numPr>
                <w:ilvl w:val="0"/>
                <w:numId w:val="364"/>
              </w:numPr>
              <w:rPr>
                <w:lang w:val="sl-SI"/>
              </w:rPr>
            </w:pPr>
            <w:r w:rsidRPr="001048FE">
              <w:rPr>
                <w:lang w:val="sl-SI"/>
              </w:rPr>
              <w:t>predlagana metodologija je inovativna, izvedljiva in ustrezna za doseganje predvidenih rezultatov;</w:t>
            </w:r>
          </w:p>
          <w:p w14:paraId="7D39975D" w14:textId="77777777" w:rsidR="00E03711" w:rsidRPr="001048FE" w:rsidRDefault="00E03711" w:rsidP="005115F2">
            <w:pPr>
              <w:pStyle w:val="Guide-NormalBulletpoints"/>
              <w:numPr>
                <w:ilvl w:val="0"/>
                <w:numId w:val="364"/>
              </w:numPr>
              <w:rPr>
                <w:lang w:val="sl-SI"/>
              </w:rPr>
            </w:pPr>
            <w:r>
              <w:rPr>
                <w:lang w:val="sl-SI"/>
              </w:rPr>
              <w:t>predlog</w:t>
            </w:r>
            <w:r w:rsidRPr="001048FE">
              <w:rPr>
                <w:lang w:val="sl-SI"/>
              </w:rPr>
              <w:t xml:space="preserve"> je stroškovno učinkovit in dodeljuje ustrezna sredstva posameznim aktivnostim;</w:t>
            </w:r>
          </w:p>
          <w:p w14:paraId="7D39975E" w14:textId="77777777" w:rsidR="00E03711" w:rsidRPr="001048FE" w:rsidRDefault="00E03711" w:rsidP="005115F2">
            <w:pPr>
              <w:pStyle w:val="Guide-NormalBulletpoints"/>
              <w:numPr>
                <w:ilvl w:val="0"/>
                <w:numId w:val="364"/>
              </w:numPr>
              <w:rPr>
                <w:lang w:val="sl-SI"/>
              </w:rPr>
            </w:pPr>
            <w:r w:rsidRPr="001048FE">
              <w:rPr>
                <w:lang w:val="sl-SI"/>
              </w:rPr>
              <w:t>splošna zasnova projekta zagotavlja usklajenost ciljev, metodologije, aktivnosti in predlaganega proračuna projekta;</w:t>
            </w:r>
          </w:p>
          <w:p w14:paraId="7D39975F" w14:textId="77777777" w:rsidR="00E03711" w:rsidRPr="001048FE" w:rsidRDefault="00E03711" w:rsidP="005115F2">
            <w:pPr>
              <w:pStyle w:val="Guide-NormalBulletpoints"/>
              <w:numPr>
                <w:ilvl w:val="0"/>
                <w:numId w:val="364"/>
              </w:numPr>
              <w:rPr>
                <w:lang w:val="sl-SI"/>
              </w:rPr>
            </w:pPr>
            <w:r w:rsidRPr="001048FE">
              <w:rPr>
                <w:lang w:val="sl-SI"/>
              </w:rPr>
              <w:t>delovni načrt je jasen in realističen, z dobro opredeljenimi aktivnostmi, realnimi roki, jasnimi rezultati in mejniki. Dokazuje sposobnost logičnega in smotrnega načrtovanja ter vključuje ustrezne faze za pripravo, izvajanje, ocenjevanje, nadaljnje spremljanje in razširjanje rezultatov;</w:t>
            </w:r>
          </w:p>
          <w:p w14:paraId="7D399760" w14:textId="77777777" w:rsidR="00E03711" w:rsidRPr="001048FE" w:rsidRDefault="00E03711" w:rsidP="005115F2">
            <w:pPr>
              <w:pStyle w:val="Guide-NormalBulletpoints"/>
              <w:numPr>
                <w:ilvl w:val="0"/>
                <w:numId w:val="364"/>
              </w:numPr>
              <w:rPr>
                <w:lang w:val="sl-SI"/>
              </w:rPr>
            </w:pPr>
            <w:r w:rsidRPr="001048FE">
              <w:rPr>
                <w:lang w:val="sl-SI"/>
              </w:rPr>
              <w:t xml:space="preserve">izzivi/tveganja v zvezi s </w:t>
            </w:r>
            <w:r>
              <w:rPr>
                <w:lang w:val="sl-SI"/>
              </w:rPr>
              <w:t>predlogom</w:t>
            </w:r>
            <w:r w:rsidRPr="001048FE">
              <w:rPr>
                <w:lang w:val="sl-SI"/>
              </w:rPr>
              <w:t xml:space="preserve"> so jasno opredeljeni in blažilni ukrepi so ustrezno obravnavani. Vzpostavljeni so ukrepi za nadzor kakovosti, vključno s kazalniki in merili uspešnosti, za zagotavljanje visokokakovostnega izvajanja projekta, ki se zaključi pravočasno in v okviru proračuna. Zagotovljeni so zanesljivi viri za preverjanje kazalnikov za merjenje rezultatov ukrepa.</w:t>
            </w:r>
          </w:p>
        </w:tc>
      </w:tr>
      <w:tr w:rsidR="00E03711" w:rsidRPr="00C60205" w14:paraId="7D39976A" w14:textId="77777777" w:rsidTr="00150820">
        <w:trPr>
          <w:trHeight w:val="454"/>
        </w:trPr>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14:paraId="7D399762" w14:textId="77777777" w:rsidR="00E03711" w:rsidRPr="00F769E0" w:rsidRDefault="00E03711" w:rsidP="003756AB">
            <w:pPr>
              <w:pStyle w:val="GUIDE-NORMAL"/>
              <w:jc w:val="left"/>
              <w:rPr>
                <w:rFonts w:cs="Tahoma"/>
                <w:b/>
                <w:lang w:val="sl-SI" w:eastAsia="en-GB"/>
              </w:rPr>
            </w:pPr>
            <w:r w:rsidRPr="00F769E0">
              <w:rPr>
                <w:rFonts w:cs="Tahoma"/>
                <w:b/>
                <w:lang w:val="sl-SI" w:eastAsia="en-GB"/>
              </w:rPr>
              <w:t>Kakovost projektne skupine in dogovorov o sodelovanju (največ 20 točk)</w:t>
            </w:r>
          </w:p>
        </w:tc>
        <w:tc>
          <w:tcPr>
            <w:tcW w:w="4156" w:type="pct"/>
            <w:tcBorders>
              <w:top w:val="single" w:sz="4" w:space="0" w:color="auto"/>
              <w:left w:val="single" w:sz="4" w:space="0" w:color="auto"/>
              <w:bottom w:val="single" w:sz="4" w:space="0" w:color="auto"/>
              <w:right w:val="single" w:sz="4" w:space="0" w:color="auto"/>
            </w:tcBorders>
            <w:shd w:val="clear" w:color="auto" w:fill="FFFFFF"/>
          </w:tcPr>
          <w:p w14:paraId="7D399763" w14:textId="77777777" w:rsidR="00E03711" w:rsidRPr="001048FE" w:rsidRDefault="00E03711" w:rsidP="005115F2">
            <w:pPr>
              <w:pStyle w:val="Guide-NormalBulletpoints"/>
              <w:numPr>
                <w:ilvl w:val="0"/>
                <w:numId w:val="365"/>
              </w:numPr>
              <w:rPr>
                <w:lang w:val="sl-SI"/>
              </w:rPr>
            </w:pPr>
            <w:r>
              <w:rPr>
                <w:lang w:val="sl-SI"/>
              </w:rPr>
              <w:t>predlog</w:t>
            </w:r>
            <w:r w:rsidRPr="001048FE">
              <w:rPr>
                <w:lang w:val="sl-SI"/>
              </w:rPr>
              <w:t xml:space="preserve"> vključuje tesno in dopolnjujoče se partnerstvo visokošolskih institucij;</w:t>
            </w:r>
          </w:p>
          <w:p w14:paraId="7D399764" w14:textId="77777777" w:rsidR="00E03711" w:rsidRPr="001048FE" w:rsidRDefault="00E03711" w:rsidP="005115F2">
            <w:pPr>
              <w:pStyle w:val="Guide-NormalBulletpoints"/>
              <w:numPr>
                <w:ilvl w:val="0"/>
                <w:numId w:val="365"/>
              </w:numPr>
              <w:rPr>
                <w:lang w:val="sl-SI"/>
              </w:rPr>
            </w:pPr>
            <w:r w:rsidRPr="001048FE">
              <w:rPr>
                <w:lang w:val="sl-SI"/>
              </w:rPr>
              <w:t xml:space="preserve">projektna skupina ima spretnosti, izkušnje, strokovno znanje in podporo upravljanju, ki so potrebni za uspešno izvedbo vseh vidikov </w:t>
            </w:r>
            <w:r>
              <w:rPr>
                <w:lang w:val="sl-SI"/>
              </w:rPr>
              <w:t>predloga</w:t>
            </w:r>
            <w:r w:rsidRPr="001048FE">
              <w:rPr>
                <w:lang w:val="sl-SI"/>
              </w:rPr>
              <w:t>;</w:t>
            </w:r>
          </w:p>
          <w:p w14:paraId="7D399765" w14:textId="77777777" w:rsidR="00E03711" w:rsidRPr="001048FE" w:rsidRDefault="00E03711" w:rsidP="005115F2">
            <w:pPr>
              <w:pStyle w:val="Guide-NormalBulletpoints"/>
              <w:numPr>
                <w:ilvl w:val="0"/>
                <w:numId w:val="365"/>
              </w:numPr>
              <w:rPr>
                <w:lang w:val="sl-SI"/>
              </w:rPr>
            </w:pPr>
            <w:r w:rsidRPr="001048FE">
              <w:rPr>
                <w:lang w:val="sl-SI"/>
              </w:rPr>
              <w:t xml:space="preserve">kadar je to ustrezno, </w:t>
            </w:r>
            <w:r>
              <w:rPr>
                <w:lang w:val="sl-SI"/>
              </w:rPr>
              <w:t>predlog</w:t>
            </w:r>
            <w:r w:rsidRPr="001048FE">
              <w:rPr>
                <w:lang w:val="sl-SI"/>
              </w:rPr>
              <w:t xml:space="preserve"> vključuje tudi najustreznejši in najbolj raznolik nabor neakademskih partnerjev, da se lahko ustvarijo vzajemne koristi na podlagi različnih izkušenj, profilov in posebnega strokovnega znanja;</w:t>
            </w:r>
          </w:p>
          <w:p w14:paraId="7D399766" w14:textId="77777777" w:rsidR="00E03711" w:rsidRPr="001048FE" w:rsidRDefault="00E03711" w:rsidP="005115F2">
            <w:pPr>
              <w:pStyle w:val="Guide-NormalBulletpoints"/>
              <w:numPr>
                <w:ilvl w:val="0"/>
                <w:numId w:val="365"/>
              </w:numPr>
              <w:rPr>
                <w:lang w:val="sl-SI"/>
              </w:rPr>
            </w:pPr>
            <w:r w:rsidRPr="001048FE">
              <w:rPr>
                <w:lang w:val="sl-SI"/>
              </w:rPr>
              <w:t>porazdelitev odgovornosti in nalog je jasna in ustrezna, iz nje pa sta razvidna zavezanost in dejavno prispevanje vseh sodelujočih organizacij glede na njihovo specifično strokovno znanje in zmogljivosti;</w:t>
            </w:r>
          </w:p>
          <w:p w14:paraId="7D399767" w14:textId="77777777" w:rsidR="00E03711" w:rsidRPr="001048FE" w:rsidRDefault="00E03711" w:rsidP="005115F2">
            <w:pPr>
              <w:pStyle w:val="Guide-NormalBulletpoints"/>
              <w:numPr>
                <w:ilvl w:val="0"/>
                <w:numId w:val="365"/>
              </w:numPr>
              <w:rPr>
                <w:lang w:val="sl-SI"/>
              </w:rPr>
            </w:pPr>
            <w:r w:rsidRPr="001048FE">
              <w:rPr>
                <w:lang w:val="sl-SI"/>
              </w:rPr>
              <w:t>predlagan je učinkovit mehanizem za zagotavljanje dobre koordinacije, odločanja in obveščanja med sodelujočimi organizacijami, udeleženci in vsemi drugimi zadevnimi deležniki;</w:t>
            </w:r>
          </w:p>
          <w:p w14:paraId="7D399768" w14:textId="77777777" w:rsidR="00E03711" w:rsidRPr="001048FE" w:rsidRDefault="00E03711" w:rsidP="005115F2">
            <w:pPr>
              <w:pStyle w:val="Guide-NormalBulletpoints"/>
              <w:numPr>
                <w:ilvl w:val="0"/>
                <w:numId w:val="365"/>
              </w:numPr>
              <w:rPr>
                <w:lang w:val="sl-SI"/>
              </w:rPr>
            </w:pPr>
            <w:r w:rsidRPr="001048FE">
              <w:rPr>
                <w:lang w:val="sl-SI"/>
              </w:rPr>
              <w:t>sodelujoče organizacije iz upravičenih partnerskih držav so zadovoljivo vključene v izvajanje ukrepa in odločanje (vključno z ukrepi za morebitno reševanje sporov);</w:t>
            </w:r>
          </w:p>
          <w:p w14:paraId="7D399769" w14:textId="77777777" w:rsidR="00E03711" w:rsidRPr="001048FE" w:rsidRDefault="00E03711" w:rsidP="005115F2">
            <w:pPr>
              <w:pStyle w:val="Guide-NormalBulletpoints"/>
              <w:numPr>
                <w:ilvl w:val="0"/>
                <w:numId w:val="365"/>
              </w:numPr>
              <w:rPr>
                <w:lang w:val="sl-SI"/>
              </w:rPr>
            </w:pPr>
            <w:r>
              <w:rPr>
                <w:lang w:val="sl-SI"/>
              </w:rPr>
              <w:t>predlog</w:t>
            </w:r>
            <w:r w:rsidRPr="001048FE">
              <w:rPr>
                <w:lang w:val="sl-SI"/>
              </w:rPr>
              <w:t xml:space="preserve"> vključuje visokošolske institucije, ki v preteklosti niso prejele podpore za krepitev zmogljivosti.</w:t>
            </w:r>
          </w:p>
        </w:tc>
      </w:tr>
      <w:tr w:rsidR="00E03711" w:rsidRPr="00C60205" w14:paraId="7D399770" w14:textId="77777777" w:rsidTr="00150820">
        <w:trPr>
          <w:trHeight w:val="454"/>
        </w:trPr>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14:paraId="7D39976B" w14:textId="77777777" w:rsidR="00E03711" w:rsidRPr="00F769E0" w:rsidRDefault="00E03711" w:rsidP="003756AB">
            <w:pPr>
              <w:pStyle w:val="GUIDE-NORMAL"/>
              <w:jc w:val="left"/>
              <w:rPr>
                <w:rFonts w:cs="Tahoma"/>
                <w:b/>
                <w:lang w:val="sl-SI" w:eastAsia="en-GB"/>
              </w:rPr>
            </w:pPr>
            <w:r w:rsidRPr="00F769E0">
              <w:rPr>
                <w:rFonts w:cs="Tahoma"/>
                <w:b/>
                <w:lang w:val="sl-SI" w:eastAsia="en-GB"/>
              </w:rPr>
              <w:t xml:space="preserve">Učinek in trajnost </w:t>
            </w:r>
            <w:r w:rsidRPr="00F769E0">
              <w:rPr>
                <w:rFonts w:cs="Tahoma"/>
                <w:b/>
                <w:lang w:val="sl-SI" w:eastAsia="en-GB"/>
              </w:rPr>
              <w:br/>
              <w:t>(največ 20 točk)</w:t>
            </w:r>
          </w:p>
        </w:tc>
        <w:tc>
          <w:tcPr>
            <w:tcW w:w="4156" w:type="pct"/>
            <w:tcBorders>
              <w:top w:val="single" w:sz="4" w:space="0" w:color="auto"/>
              <w:left w:val="single" w:sz="4" w:space="0" w:color="auto"/>
              <w:bottom w:val="single" w:sz="4" w:space="0" w:color="auto"/>
              <w:right w:val="single" w:sz="4" w:space="0" w:color="auto"/>
            </w:tcBorders>
            <w:shd w:val="clear" w:color="auto" w:fill="FFFFFF"/>
          </w:tcPr>
          <w:p w14:paraId="7D39976C" w14:textId="77777777" w:rsidR="00E03711" w:rsidRPr="001048FE" w:rsidRDefault="00E03711" w:rsidP="005115F2">
            <w:pPr>
              <w:pStyle w:val="Guide-NormalBulletpoints"/>
              <w:numPr>
                <w:ilvl w:val="0"/>
                <w:numId w:val="366"/>
              </w:numPr>
              <w:rPr>
                <w:lang w:val="sl-SI"/>
              </w:rPr>
            </w:pPr>
            <w:r>
              <w:rPr>
                <w:lang w:val="sl-SI"/>
              </w:rPr>
              <w:t>predlog</w:t>
            </w:r>
            <w:r w:rsidRPr="001048FE">
              <w:rPr>
                <w:lang w:val="sl-SI"/>
              </w:rPr>
              <w:t xml:space="preserve"> bo znatno vplival na zmogljivosti sodelujočih organizacij (predvsem visokošolskih institucij) v upravičenih partnerskih državah, zlasti na razvoj in posodobitev visokošolskega izobraževanja, da se jim zagotovita pomoč pri vključevanju v družbo kot celoto, na trg dela in v širši svet ter podpora za njihovo zmogljivost mednarodnega sodelovanja;</w:t>
            </w:r>
          </w:p>
          <w:p w14:paraId="7D39976D" w14:textId="77777777" w:rsidR="00E03711" w:rsidRPr="001048FE" w:rsidRDefault="00E03711" w:rsidP="005115F2">
            <w:pPr>
              <w:pStyle w:val="Guide-NormalBulletpoints"/>
              <w:numPr>
                <w:ilvl w:val="0"/>
                <w:numId w:val="366"/>
              </w:numPr>
              <w:rPr>
                <w:lang w:val="sl-SI"/>
              </w:rPr>
            </w:pPr>
            <w:r>
              <w:rPr>
                <w:lang w:val="sl-SI"/>
              </w:rPr>
              <w:t>predlog</w:t>
            </w:r>
            <w:r w:rsidRPr="001048FE">
              <w:rPr>
                <w:lang w:val="sl-SI"/>
              </w:rPr>
              <w:t xml:space="preserve"> bo ustvaril multiplikacijske učinke zunaj sodelujočih organizacij na lokalni/regionalni/nacionalni ali mednarodni ravni. Vzpostavljeni </w:t>
            </w:r>
            <w:r>
              <w:rPr>
                <w:lang w:val="sl-SI"/>
              </w:rPr>
              <w:t>bodo</w:t>
            </w:r>
            <w:r w:rsidRPr="001048FE">
              <w:rPr>
                <w:lang w:val="sl-SI"/>
              </w:rPr>
              <w:t xml:space="preserve"> ukrepi za ocenjevanje učinkovitosti učinka, doseženega s projektom;</w:t>
            </w:r>
          </w:p>
          <w:p w14:paraId="7D39976E" w14:textId="77777777" w:rsidR="00E03711" w:rsidRPr="001048FE" w:rsidRDefault="00E03711" w:rsidP="005115F2">
            <w:pPr>
              <w:pStyle w:val="Guide-NormalBulletpoints"/>
              <w:numPr>
                <w:ilvl w:val="0"/>
                <w:numId w:val="366"/>
              </w:numPr>
              <w:rPr>
                <w:lang w:val="sl-SI"/>
              </w:rPr>
            </w:pPr>
            <w:r w:rsidRPr="001048FE">
              <w:rPr>
                <w:lang w:val="sl-SI"/>
              </w:rPr>
              <w:t>načrt razširjanja med življenjskim ciklom projekta in po njem je jasen in učinkovit, pri čemer so opredeljeni ustrezni viri v vsaki sodelujoči organizaciji, da se zagotovi visokokakovostno razširjanje izkušenj in rezultatov projekta zadevnim deležnikom;</w:t>
            </w:r>
          </w:p>
          <w:p w14:paraId="7D39976F" w14:textId="77777777" w:rsidR="00E03711" w:rsidRPr="001048FE" w:rsidRDefault="00E03711" w:rsidP="005115F2">
            <w:pPr>
              <w:pStyle w:val="Guide-NormalBulletpoints"/>
              <w:numPr>
                <w:ilvl w:val="0"/>
                <w:numId w:val="366"/>
              </w:numPr>
              <w:rPr>
                <w:lang w:val="sl-SI"/>
              </w:rPr>
            </w:pPr>
            <w:r>
              <w:rPr>
                <w:lang w:val="sl-SI"/>
              </w:rPr>
              <w:t>predlog</w:t>
            </w:r>
            <w:r w:rsidRPr="001048FE">
              <w:rPr>
                <w:lang w:val="sl-SI"/>
              </w:rPr>
              <w:t xml:space="preserve"> bo zagotovil dejansko trajnost predlaganih aktivnosti in rezultatov po življenjskem ciklu projekta, zlasti s privabljanjem sofinanciranja ali drugih oblik podpore. Zagotovil bo tudi vključevanje in učinkovito uporabo/izvajanje rezultatov projekta.résultats.</w:t>
            </w:r>
          </w:p>
        </w:tc>
      </w:tr>
    </w:tbl>
    <w:p w14:paraId="7D399771" w14:textId="77777777" w:rsidR="00E03711" w:rsidRDefault="00E03711" w:rsidP="003756AB">
      <w:pPr>
        <w:pStyle w:val="GUIDE-NORMAL"/>
        <w:rPr>
          <w:lang w:val="sl-SI"/>
        </w:rPr>
      </w:pPr>
      <w:r w:rsidRPr="001048FE">
        <w:rPr>
          <w:lang w:val="sl-SI"/>
        </w:rPr>
        <w:t xml:space="preserve">V </w:t>
      </w:r>
      <w:r>
        <w:rPr>
          <w:lang w:val="sl-SI"/>
        </w:rPr>
        <w:t xml:space="preserve">prvem koraku </w:t>
      </w:r>
      <w:r w:rsidRPr="001048FE">
        <w:rPr>
          <w:lang w:val="sl-SI"/>
        </w:rPr>
        <w:t>faz</w:t>
      </w:r>
      <w:r>
        <w:rPr>
          <w:lang w:val="sl-SI"/>
        </w:rPr>
        <w:t>e</w:t>
      </w:r>
      <w:r w:rsidRPr="001048FE">
        <w:rPr>
          <w:lang w:val="sl-SI"/>
        </w:rPr>
        <w:t xml:space="preserve"> ocenjevanja lahko prijave dosežejo največ 100 točk. Za upoštevanje pri dodeljevanju sredstev morajo predlogi doseči skupno vsaj 60 točk, od tega vsaj 15 točk za kategorijo „Ustreznost projekta“.</w:t>
      </w:r>
    </w:p>
    <w:p w14:paraId="7D399772" w14:textId="77777777" w:rsidR="00E03711" w:rsidRDefault="00E03711" w:rsidP="00C628B4">
      <w:pPr>
        <w:spacing w:after="240"/>
        <w:jc w:val="both"/>
        <w:rPr>
          <w:rFonts w:eastAsia="Calibri" w:cs="Calibri"/>
          <w:noProof/>
          <w:sz w:val="18"/>
          <w:szCs w:val="18"/>
          <w:bdr w:val="nil"/>
          <w:lang w:val="sl-SI"/>
        </w:rPr>
      </w:pPr>
      <w:r w:rsidRPr="00FC4A70">
        <w:rPr>
          <w:rFonts w:eastAsia="Calibri" w:cs="Calibri"/>
          <w:noProof/>
          <w:sz w:val="18"/>
          <w:szCs w:val="18"/>
          <w:bdr w:val="nil"/>
          <w:lang w:val="sl-SI"/>
        </w:rPr>
        <w:t>Po 1. koraku ocenjevanja se predlogi, ki ustrezajo zgoraj navedenim zahtevam po kakovosti, ocenijo in razvrstijo v padajočem vrstnem redu. Da se izvede 2. korak, se sestavi seznam prijav po regijah, in sicer se nanj razvrsti enkrat več projektov, kot je predvidenih projektov za financiranje (upoštevajoč razpoložljivi proračun za regijo</w:t>
      </w:r>
      <w:r w:rsidRPr="00FC4A70">
        <w:rPr>
          <w:rStyle w:val="FootnoteReference"/>
          <w:noProof/>
          <w:sz w:val="18"/>
          <w:szCs w:val="18"/>
          <w:lang w:val="en-GB"/>
        </w:rPr>
        <w:footnoteReference w:id="207"/>
      </w:r>
      <w:r w:rsidRPr="00FC4A70">
        <w:rPr>
          <w:rFonts w:eastAsia="Calibri" w:cs="Calibri"/>
          <w:noProof/>
          <w:sz w:val="18"/>
          <w:szCs w:val="18"/>
          <w:bdr w:val="nil"/>
          <w:lang w:val="sl-SI"/>
        </w:rPr>
        <w:t>).</w:t>
      </w:r>
    </w:p>
    <w:p w14:paraId="7D399773" w14:textId="77777777" w:rsidR="00E03711" w:rsidRPr="00977659" w:rsidRDefault="00E03711" w:rsidP="00C628B4">
      <w:pPr>
        <w:spacing w:after="240"/>
        <w:jc w:val="both"/>
        <w:rPr>
          <w:rFonts w:eastAsia="Times New Roman" w:cs="Times New Roman"/>
          <w:b/>
          <w:smallCaps/>
          <w:sz w:val="20"/>
          <w:szCs w:val="28"/>
          <w:lang w:val="sl-SI"/>
        </w:rPr>
      </w:pPr>
      <w:r w:rsidRPr="00280146">
        <w:rPr>
          <w:rFonts w:eastAsia="Times New Roman" w:cs="Times New Roman"/>
          <w:b/>
          <w:smallCaps/>
          <w:sz w:val="20"/>
          <w:szCs w:val="28"/>
          <w:lang w:val="sl-SI"/>
        </w:rPr>
        <w:t>2. korak</w:t>
      </w:r>
    </w:p>
    <w:p w14:paraId="7D399774" w14:textId="77777777" w:rsidR="00E03711" w:rsidRPr="00FC4A70" w:rsidRDefault="00E03711" w:rsidP="00C628B4">
      <w:pPr>
        <w:spacing w:after="240"/>
        <w:jc w:val="both"/>
        <w:rPr>
          <w:b/>
          <w:noProof/>
          <w:vanish/>
          <w:sz w:val="18"/>
          <w:szCs w:val="18"/>
          <w:lang w:val="sl-SI"/>
        </w:rPr>
      </w:pPr>
    </w:p>
    <w:p w14:paraId="7D399775" w14:textId="77777777" w:rsidR="00E03711" w:rsidRPr="00FC4A70" w:rsidRDefault="00E03711" w:rsidP="00C628B4">
      <w:pPr>
        <w:spacing w:after="240"/>
        <w:jc w:val="both"/>
        <w:rPr>
          <w:noProof/>
          <w:sz w:val="18"/>
          <w:szCs w:val="18"/>
          <w:lang w:val="sl-SI"/>
        </w:rPr>
      </w:pPr>
      <w:r w:rsidRPr="00FC4A70">
        <w:rPr>
          <w:rFonts w:eastAsia="Calibri" w:cs="Calibri"/>
          <w:noProof/>
          <w:sz w:val="18"/>
          <w:szCs w:val="18"/>
          <w:bdr w:val="nil"/>
          <w:lang w:val="sl-SI"/>
        </w:rPr>
        <w:t>V 2. koraku se pri oceni projekta upošteva še eno dodatno merilo:</w:t>
      </w:r>
    </w:p>
    <w:tbl>
      <w:tblPr>
        <w:tblW w:w="5000" w:type="pct"/>
        <w:shd w:val="clear" w:color="auto" w:fill="FFFFFF"/>
        <w:tblLook w:val="0000" w:firstRow="0" w:lastRow="0" w:firstColumn="0" w:lastColumn="0" w:noHBand="0" w:noVBand="0"/>
      </w:tblPr>
      <w:tblGrid>
        <w:gridCol w:w="3227"/>
        <w:gridCol w:w="6063"/>
      </w:tblGrid>
      <w:tr w:rsidR="00E03711" w:rsidRPr="00C60205" w14:paraId="7D39977B" w14:textId="77777777" w:rsidTr="009F76B7">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14:paraId="7D399776" w14:textId="77777777" w:rsidR="00E03711" w:rsidRPr="00FC4A70" w:rsidRDefault="00E03711" w:rsidP="009F76B7">
            <w:pPr>
              <w:rPr>
                <w:b/>
                <w:sz w:val="18"/>
                <w:szCs w:val="18"/>
                <w:lang w:val="sl-SI"/>
              </w:rPr>
            </w:pPr>
            <w:r w:rsidRPr="00FC4A70">
              <w:rPr>
                <w:rFonts w:eastAsia="Calibri" w:cs="Calibri"/>
                <w:b/>
                <w:bCs/>
                <w:sz w:val="18"/>
                <w:szCs w:val="18"/>
                <w:bdr w:val="nil"/>
                <w:lang w:val="sl-SI"/>
              </w:rPr>
              <w:t>Izvedljivost projekta v ciljni regiji/regijah</w:t>
            </w:r>
          </w:p>
          <w:p w14:paraId="7D399777" w14:textId="77777777" w:rsidR="00E03711" w:rsidRPr="00FC4A70" w:rsidRDefault="00E03711" w:rsidP="009F76B7">
            <w:pPr>
              <w:rPr>
                <w:b/>
                <w:sz w:val="18"/>
                <w:szCs w:val="18"/>
                <w:lang w:val="en-GB"/>
              </w:rPr>
            </w:pPr>
            <w:r w:rsidRPr="00FC4A70">
              <w:rPr>
                <w:rFonts w:eastAsia="Calibri" w:cs="Calibri"/>
                <w:b/>
                <w:bCs/>
                <w:sz w:val="18"/>
                <w:szCs w:val="18"/>
                <w:bdr w:val="nil"/>
                <w:lang w:val="sl-SI"/>
              </w:rPr>
              <w:t>D/N</w:t>
            </w:r>
          </w:p>
          <w:p w14:paraId="7D399778" w14:textId="77777777" w:rsidR="00E03711" w:rsidRPr="00FC4A70" w:rsidRDefault="00E03711" w:rsidP="009F76B7">
            <w:pPr>
              <w:rPr>
                <w:b/>
                <w:sz w:val="18"/>
                <w:szCs w:val="18"/>
                <w:lang w:val="en-GB"/>
              </w:rPr>
            </w:pPr>
          </w:p>
          <w:p w14:paraId="7D399779" w14:textId="77777777" w:rsidR="00E03711" w:rsidRPr="00FC4A70" w:rsidRDefault="00E03711" w:rsidP="009F76B7">
            <w:pPr>
              <w:rPr>
                <w:b/>
                <w:sz w:val="18"/>
                <w:szCs w:val="18"/>
                <w:lang w:val="en-GB"/>
              </w:rPr>
            </w:pPr>
          </w:p>
        </w:tc>
        <w:tc>
          <w:tcPr>
            <w:tcW w:w="3263" w:type="pct"/>
            <w:tcBorders>
              <w:top w:val="single" w:sz="4" w:space="0" w:color="auto"/>
              <w:left w:val="single" w:sz="4" w:space="0" w:color="auto"/>
              <w:bottom w:val="single" w:sz="4" w:space="0" w:color="auto"/>
              <w:right w:val="single" w:sz="4" w:space="0" w:color="auto"/>
            </w:tcBorders>
            <w:shd w:val="clear" w:color="auto" w:fill="FFFFFF"/>
          </w:tcPr>
          <w:p w14:paraId="7D39977A" w14:textId="77777777" w:rsidR="00E03711" w:rsidRPr="00FC4A70" w:rsidRDefault="00E03711" w:rsidP="002D7FF4">
            <w:pPr>
              <w:pStyle w:val="Guide-Bulletpoints"/>
              <w:numPr>
                <w:ilvl w:val="0"/>
                <w:numId w:val="102"/>
              </w:numPr>
              <w:suppressAutoHyphens w:val="0"/>
              <w:autoSpaceDN/>
              <w:spacing w:after="60"/>
              <w:textAlignment w:val="auto"/>
              <w:rPr>
                <w:rFonts w:ascii="Calibri" w:hAnsi="Calibri"/>
                <w:lang w:val="sl-SI"/>
              </w:rPr>
            </w:pPr>
            <w:r w:rsidRPr="00FC4A70">
              <w:rPr>
                <w:rFonts w:ascii="Calibri" w:eastAsia="Calibri" w:hAnsi="Calibri" w:cs="Calibri"/>
                <w:bdr w:val="nil"/>
                <w:lang w:val="sl-SI"/>
              </w:rPr>
              <w:t>Predlog je izvedljiv v lokalnem okviru partnerskih držav, ki jih pokriva prijava. Za oceno tega merila so odboru za ocenjevanje v pomoč delegacije EU v zadevnih državah.</w:t>
            </w:r>
          </w:p>
        </w:tc>
      </w:tr>
    </w:tbl>
    <w:p w14:paraId="7D39977C" w14:textId="77777777" w:rsidR="00E03711" w:rsidRPr="00FC4A70" w:rsidRDefault="00E03711" w:rsidP="00C628B4">
      <w:pPr>
        <w:spacing w:after="240"/>
        <w:jc w:val="both"/>
        <w:rPr>
          <w:noProof/>
          <w:sz w:val="18"/>
          <w:szCs w:val="18"/>
          <w:lang w:val="sl-SI"/>
        </w:rPr>
      </w:pPr>
    </w:p>
    <w:p w14:paraId="7D39977D" w14:textId="77777777" w:rsidR="00E03711" w:rsidRPr="00FC4A70" w:rsidRDefault="00E03711" w:rsidP="00FC4A70">
      <w:pPr>
        <w:spacing w:after="240"/>
        <w:jc w:val="both"/>
        <w:rPr>
          <w:noProof/>
          <w:vanish/>
          <w:lang w:val="sl-SI"/>
        </w:rPr>
      </w:pPr>
      <w:r w:rsidRPr="00FC4A70">
        <w:rPr>
          <w:rFonts w:eastAsia="Calibri" w:cs="Calibri"/>
          <w:noProof/>
          <w:sz w:val="18"/>
          <w:szCs w:val="18"/>
          <w:bdr w:val="nil"/>
          <w:lang w:val="sl-SI"/>
        </w:rPr>
        <w:t>Po 2. koraku se določeno število predlogov, ki v ciljnih regijah veljajo za izvedljive, uradno predlaga za financiranje in se jih razporedi na lestvico v padajočem vrstnem redu, v okviru omejitev razpoložljivega proračuna na regionalno ovojnico in skupno do tri predloge projektov na organizacijo prijaviteljico. Poleg tega bo pozornost namenjena zagotavljanju zadostne geografske zastopanosti znotraj regije, kar zadeva število projektov na državo.</w:t>
      </w:r>
      <w:r>
        <w:rPr>
          <w:rFonts w:eastAsia="Calibri" w:cs="Calibri"/>
          <w:noProof/>
          <w:vanish/>
          <w:sz w:val="18"/>
          <w:szCs w:val="18"/>
          <w:bdr w:val="nil"/>
          <w:lang w:val="sl-SI"/>
        </w:rPr>
        <w:t xml:space="preserve"> </w:t>
      </w:r>
    </w:p>
    <w:p w14:paraId="7D39977E" w14:textId="77777777" w:rsidR="00E03711" w:rsidRPr="001048FE" w:rsidRDefault="00E03711" w:rsidP="003756AB">
      <w:pPr>
        <w:pStyle w:val="GUIDE-NORMAL"/>
        <w:rPr>
          <w:lang w:val="sl-SI"/>
        </w:rPr>
      </w:pPr>
      <w:r w:rsidRPr="001048FE">
        <w:rPr>
          <w:lang w:val="sl-SI"/>
        </w:rPr>
        <w:t>Sprejetje vloge ne pomeni zavezanosti k dodelitvi sredstev v višini zneska, ki ga je zahteval prijavitelj. Zahtevani znesek sredstev se lahko zniža na podlagi finančnih pravil, ki se uporabljajo za ukrep, in rezultatov ocenjevanja.</w:t>
      </w:r>
    </w:p>
    <w:p w14:paraId="7D39977F" w14:textId="77777777" w:rsidR="00E03711" w:rsidRPr="001048FE" w:rsidRDefault="00E03711" w:rsidP="003756AB">
      <w:pPr>
        <w:pStyle w:val="Guide-Heading6"/>
        <w:rPr>
          <w:lang w:val="sl-SI"/>
        </w:rPr>
      </w:pPr>
      <w:r w:rsidRPr="001048FE">
        <w:rPr>
          <w:lang w:val="sl-SI"/>
        </w:rPr>
        <w:t>Prednostne naloge</w:t>
      </w:r>
    </w:p>
    <w:p w14:paraId="7D399780" w14:textId="77777777" w:rsidR="00E03711" w:rsidRPr="001048FE" w:rsidRDefault="00E03711" w:rsidP="003756AB">
      <w:pPr>
        <w:pStyle w:val="GUIDE-NORMAL"/>
        <w:rPr>
          <w:lang w:val="sl-SI"/>
        </w:rPr>
      </w:pPr>
      <w:r w:rsidRPr="001048FE">
        <w:rPr>
          <w:lang w:val="sl-SI"/>
        </w:rPr>
        <w:t>Glede na države, vključene v projekt, se lahko nacionalne, regionalne ali medsektorske prednostne naloge opredelijo za obe kategoriji projektov (skupne projekte in strukturne projekte). V tem primeru morajo projekti predstaviti, kako in v kakšnem obsegu obravnavajo te prednostne naloge.</w:t>
      </w:r>
    </w:p>
    <w:p w14:paraId="7D399781" w14:textId="77777777" w:rsidR="00E03711" w:rsidRPr="001048FE" w:rsidRDefault="00E03711" w:rsidP="003756AB">
      <w:pPr>
        <w:pStyle w:val="GUIDE-NORMAL"/>
        <w:rPr>
          <w:lang w:val="sl-SI"/>
        </w:rPr>
      </w:pPr>
      <w:r w:rsidRPr="001048FE">
        <w:rPr>
          <w:lang w:val="sl-SI"/>
        </w:rPr>
        <w:t>Predlogi, ki ne upoštevajo nacionalnih in/ali regionalnih prednostnih nalog, se ne bodo upoštevali za dodelitev sredstev. Medsektorske prednostne naloge se bodo upoštevale v fazi izbora pri obravnavi predlogov podobne kakovosti.</w:t>
      </w:r>
    </w:p>
    <w:p w14:paraId="7D399782" w14:textId="77777777" w:rsidR="00E03711" w:rsidRPr="001048FE" w:rsidRDefault="00E03711" w:rsidP="003756AB">
      <w:pPr>
        <w:pStyle w:val="GUIDE-NORMAL"/>
        <w:rPr>
          <w:lang w:val="sl-SI"/>
        </w:rPr>
      </w:pPr>
      <w:r w:rsidRPr="001048FE">
        <w:rPr>
          <w:lang w:val="sl-SI"/>
        </w:rPr>
        <w:t>Predlagane so tri kategorije nacionalnih/regionalnih prednostnih nalog, ki vključujejo naslednja področja:</w:t>
      </w:r>
    </w:p>
    <w:p w14:paraId="7D399783" w14:textId="77777777" w:rsidR="00E03711" w:rsidRPr="001048FE" w:rsidRDefault="00E03711" w:rsidP="005115F2">
      <w:pPr>
        <w:pStyle w:val="Guide-NormalBulletpoints"/>
        <w:numPr>
          <w:ilvl w:val="0"/>
          <w:numId w:val="405"/>
        </w:numPr>
        <w:rPr>
          <w:lang w:val="sl-SI"/>
        </w:rPr>
      </w:pPr>
      <w:r w:rsidRPr="001048FE">
        <w:rPr>
          <w:lang w:val="sl-SI"/>
        </w:rPr>
        <w:t>izboljšanje kakovosti izobraževanja in usposabljanja na različnih tematskih področjih (za razvoj učnega načrta);</w:t>
      </w:r>
    </w:p>
    <w:p w14:paraId="7D399784" w14:textId="77777777" w:rsidR="00E03711" w:rsidRPr="001048FE" w:rsidRDefault="00E03711" w:rsidP="005115F2">
      <w:pPr>
        <w:pStyle w:val="Guide-NormalBulletpoints"/>
        <w:numPr>
          <w:ilvl w:val="0"/>
          <w:numId w:val="405"/>
        </w:numPr>
        <w:rPr>
          <w:lang w:val="sl-SI"/>
        </w:rPr>
      </w:pPr>
      <w:r w:rsidRPr="001048FE">
        <w:rPr>
          <w:lang w:val="sl-SI"/>
        </w:rPr>
        <w:t xml:space="preserve">izboljšanje upravljanja in delovanja visokošolskih institucij; </w:t>
      </w:r>
    </w:p>
    <w:p w14:paraId="7D399785" w14:textId="77777777" w:rsidR="00E03711" w:rsidRPr="001048FE" w:rsidRDefault="00E03711" w:rsidP="005115F2">
      <w:pPr>
        <w:pStyle w:val="Guide-NormalBulletpoints"/>
        <w:numPr>
          <w:ilvl w:val="0"/>
          <w:numId w:val="405"/>
        </w:numPr>
        <w:rPr>
          <w:lang w:val="sl-SI"/>
        </w:rPr>
      </w:pPr>
      <w:r w:rsidRPr="001048FE">
        <w:rPr>
          <w:lang w:val="sl-SI"/>
        </w:rPr>
        <w:t>razvoj visokošolskega sektorja v družbi na splošno.</w:t>
      </w:r>
    </w:p>
    <w:p w14:paraId="7D399786" w14:textId="77777777" w:rsidR="00E03711" w:rsidRPr="001048FE" w:rsidRDefault="00E03711" w:rsidP="003756AB">
      <w:pPr>
        <w:pStyle w:val="GUIDE-NORMAL"/>
        <w:rPr>
          <w:lang w:val="sl-SI"/>
        </w:rPr>
      </w:pPr>
      <w:r w:rsidRPr="001048FE">
        <w:rPr>
          <w:u w:val="single"/>
          <w:lang w:val="sl-SI"/>
        </w:rPr>
        <w:t>Nacionalni projektiv</w:t>
      </w:r>
      <w:r w:rsidRPr="001048FE">
        <w:rPr>
          <w:lang w:val="sl-SI"/>
        </w:rPr>
        <w:t xml:space="preserve"> državah, kjer so bile določene nacionalne prednostne naloge, bodo morali upoštevati nacionalne prednostne naloge. Za druge države bodo morali projekti upoštevati regionalne prednostne naloge.</w:t>
      </w:r>
    </w:p>
    <w:p w14:paraId="7D399787" w14:textId="77777777" w:rsidR="00E03711" w:rsidRDefault="00E03711" w:rsidP="003756AB">
      <w:pPr>
        <w:pStyle w:val="GUIDE-NORMAL"/>
        <w:rPr>
          <w:lang w:val="sl-SI"/>
        </w:rPr>
      </w:pPr>
      <w:r w:rsidRPr="001048FE">
        <w:rPr>
          <w:u w:val="single"/>
          <w:lang w:val="sl-SI"/>
        </w:rPr>
        <w:t>Projekti, ki vključujejo več držav</w:t>
      </w:r>
      <w:r w:rsidRPr="001048FE">
        <w:rPr>
          <w:lang w:val="sl-SI"/>
        </w:rPr>
        <w:t xml:space="preserve">,tj. projekti, ki vključujejo institucije iz vsaj dveh upravičenih partnerskih držav, morajo upoštevati regionalne ali nacionalne prednostne naloge (kadar je to ustrezno) vključenih in sodelujočih upravičenih partnerskih držav. To pomeni, da mora biti tema projekta navedena kot regionalna prednostna naloga za vsako sodelujočo partnersko državo ali kot nacionalna prednostna naloga za vsako od zadevnih sodelujočih partnerskih držav. </w:t>
      </w:r>
    </w:p>
    <w:p w14:paraId="7D399788" w14:textId="77777777" w:rsidR="00E03711" w:rsidRPr="001048FE" w:rsidRDefault="00E03711" w:rsidP="003756AB">
      <w:pPr>
        <w:pStyle w:val="GUIDE-NORMAL"/>
        <w:rPr>
          <w:lang w:val="sl-SI"/>
        </w:rPr>
      </w:pPr>
      <w:r>
        <w:rPr>
          <w:lang w:val="sl-SI"/>
        </w:rPr>
        <w:t>Tako pri nacionalnih kot pri večdržavnih projektih bodo p</w:t>
      </w:r>
      <w:r w:rsidRPr="001048FE">
        <w:rPr>
          <w:lang w:val="sl-SI"/>
        </w:rPr>
        <w:t>rednost imeli projekti, ki se osredotočajo na tematska področja, ki niso bila zadostno zajeta v preteklih ali obstoječih projektih, ter vključujejo visokošolske institucije iz partnerskih držav, ki niso imele koristi od programa in/ali prejšnje generacije programov ali pa je bila njihova udeležba v njih omejena.</w:t>
      </w:r>
    </w:p>
    <w:p w14:paraId="7D399789" w14:textId="77777777" w:rsidR="00E03711" w:rsidRDefault="00E03711" w:rsidP="0006456E">
      <w:pPr>
        <w:pStyle w:val="GUIDE-NORMAL"/>
        <w:rPr>
          <w:lang w:val="sl-SI"/>
        </w:rPr>
      </w:pPr>
      <w:r w:rsidRPr="001048FE">
        <w:rPr>
          <w:lang w:val="sl-SI"/>
        </w:rPr>
        <w:t>Podroben seznam prednostnih nalog za projekte krepitve zmogljivosti bo objavljen na spletišču Izvajalske agencije.</w:t>
      </w:r>
    </w:p>
    <w:p w14:paraId="7D39978A" w14:textId="77777777" w:rsidR="00E03711" w:rsidRPr="001048FE" w:rsidRDefault="00E03711" w:rsidP="003756AB">
      <w:pPr>
        <w:pStyle w:val="Guide-Heading5"/>
        <w:rPr>
          <w:lang w:val="sl-SI"/>
        </w:rPr>
      </w:pPr>
      <w:r w:rsidRPr="001048FE">
        <w:rPr>
          <w:lang w:val="sl-SI"/>
        </w:rPr>
        <w:t>Kaj je še treba vedeti o projektu krepitve zmogljivosti?</w:t>
      </w:r>
    </w:p>
    <w:p w14:paraId="7D39978B" w14:textId="77777777" w:rsidR="00E03711" w:rsidRPr="001048FE" w:rsidRDefault="00E03711" w:rsidP="00563DE8">
      <w:pPr>
        <w:pStyle w:val="GUIDE-NORMAL"/>
        <w:rPr>
          <w:lang w:val="sl-SI"/>
        </w:rPr>
      </w:pPr>
      <w:r w:rsidRPr="001048FE">
        <w:rPr>
          <w:lang w:val="sl-SI"/>
        </w:rPr>
        <w:t xml:space="preserve">Krepitev zmogljivosti v ukrepu na področju visokošolskega izobraževanja se izvaja v okviru prednostnih nalog </w:t>
      </w:r>
      <w:r>
        <w:rPr>
          <w:lang w:val="sl-SI"/>
        </w:rPr>
        <w:t>Novega konsenza EU za razvoj</w:t>
      </w:r>
      <w:r w:rsidRPr="001048FE">
        <w:rPr>
          <w:lang w:val="sl-SI"/>
        </w:rPr>
        <w:t>.</w:t>
      </w:r>
      <w:r>
        <w:rPr>
          <w:rStyle w:val="FootnoteReference"/>
          <w:lang w:val="sl-SI"/>
        </w:rPr>
        <w:footnoteReference w:id="208"/>
      </w:r>
      <w:r w:rsidRPr="001048FE">
        <w:rPr>
          <w:lang w:val="sl-SI"/>
        </w:rPr>
        <w:t xml:space="preserve"> </w:t>
      </w:r>
    </w:p>
    <w:p w14:paraId="7D39978C" w14:textId="77777777" w:rsidR="00E03711" w:rsidRPr="001048FE" w:rsidRDefault="00E03711" w:rsidP="005041C6">
      <w:pPr>
        <w:pStyle w:val="Guide-Heading6"/>
        <w:rPr>
          <w:lang w:val="sl-SI"/>
        </w:rPr>
      </w:pPr>
      <w:r w:rsidRPr="001048FE">
        <w:rPr>
          <w:lang w:val="sl-SI"/>
        </w:rPr>
        <w:t>Regionalno sodelovanje</w:t>
      </w:r>
    </w:p>
    <w:p w14:paraId="7D39978D" w14:textId="77777777" w:rsidR="00E03711" w:rsidRPr="001048FE" w:rsidRDefault="00E03711" w:rsidP="003756AB">
      <w:pPr>
        <w:pStyle w:val="GUIDE-NORMAL"/>
        <w:rPr>
          <w:lang w:val="sl-SI"/>
        </w:rPr>
      </w:pPr>
      <w:r w:rsidRPr="001048FE">
        <w:rPr>
          <w:lang w:val="sl-SI"/>
        </w:rPr>
        <w:t>Regionalno (države v isti regiji) in medregionalno sodelovanje (sodelovanje med različnimi regijami sveta) bi moralo biti ustrezno ter utemeljeno s podrobno analizo skupnih potreb in ciljev. Izbor držav mora biti ustrezen in usklajen s predlaganimi cilji, zlasti kadar so vključene države iz različnih regij. Medregionalno sodelovanje je mogoče v projektih, ki vključujejo več držav, če je tema predloga navedena kot regionalna prednostna naloga ali nacionalna prednostna naloga (kadar je to ustrezno) za vse zadevne upravičene partnerske države.</w:t>
      </w:r>
    </w:p>
    <w:p w14:paraId="7D39978E" w14:textId="77777777" w:rsidR="00E03711" w:rsidRPr="001048FE" w:rsidRDefault="00E03711" w:rsidP="003756AB">
      <w:pPr>
        <w:pStyle w:val="Guide-Heading6"/>
        <w:rPr>
          <w:lang w:val="sl-SI"/>
        </w:rPr>
      </w:pPr>
      <w:r w:rsidRPr="001048FE">
        <w:rPr>
          <w:lang w:val="sl-SI"/>
        </w:rPr>
        <w:t>Učinek in razširjanje</w:t>
      </w:r>
    </w:p>
    <w:p w14:paraId="7D39978F" w14:textId="77777777" w:rsidR="00E03711" w:rsidRDefault="00E03711" w:rsidP="003E46E6">
      <w:pPr>
        <w:pStyle w:val="GUIDE-NORMAL"/>
        <w:rPr>
          <w:lang w:val="sl-SI"/>
        </w:rPr>
      </w:pPr>
      <w:r w:rsidRPr="001048FE">
        <w:rPr>
          <w:lang w:val="sl-SI"/>
        </w:rPr>
        <w:t>Projekti krepitve zmogljivosti naj bi imeli dolgoročen strukturni učinek na sisteme, organizacije/institucije in posameznike v upravičenih partnerskih državah. Dokazati bodo morali inovativne značilnosti, učinek in trajnost rezultatov ter način, kako nameravajo ohranjati ali izboljšati rezultate po koncu projekta. Kadar je to ustrezno, bi morali projekti dokazati, da temeljijo na rezultatih prejšnjih projektov, ki jih je financirala EU, kot so projekti v okviru nekdanjih programov Alfa, Edulink, Erasmus Mundus in Tempus. Vsak predlog mora predstaviti, kako se bodo rezultati projekta razširjali v ustreznih ciljnih skupinah. Predlogi za strukturne projekte, ki so večinoma namenjeni ustvarjanju učinka na institucionalni ravni in ne dokazujejo, da bo imel projekt nacionalni učinek, ne bodo izbrani.</w:t>
      </w:r>
    </w:p>
    <w:p w14:paraId="7D399790" w14:textId="77777777" w:rsidR="00E03711" w:rsidRPr="001048FE" w:rsidRDefault="00E03711" w:rsidP="003E46E6">
      <w:pPr>
        <w:pStyle w:val="Guide-Heading6"/>
        <w:rPr>
          <w:lang w:val="sl-SI"/>
        </w:rPr>
      </w:pPr>
      <w:r w:rsidRPr="001048FE">
        <w:rPr>
          <w:lang w:val="sl-SI"/>
        </w:rPr>
        <w:t>Kakšna so pravila za dodelitev sredstev za (skupne in strukturne) projekte krepitve zmogljivosti?</w:t>
      </w:r>
    </w:p>
    <w:p w14:paraId="7D399791" w14:textId="77777777" w:rsidR="00E03711" w:rsidRPr="001048FE" w:rsidRDefault="00E03711" w:rsidP="003756AB">
      <w:pPr>
        <w:pStyle w:val="GUIDE-NORMAL"/>
        <w:rPr>
          <w:lang w:val="sl-SI"/>
        </w:rPr>
      </w:pPr>
      <w:r w:rsidRPr="001048FE">
        <w:rPr>
          <w:lang w:val="sl-SI"/>
        </w:rPr>
        <w:t>Finančna podpora za projekte krepitve zmogljivosti Erasmus+ temelji na oceni proračuna s kombiniranjem prispevkov za stroške na enoto in dejanskih stroškov.</w:t>
      </w:r>
    </w:p>
    <w:p w14:paraId="7D399792" w14:textId="77777777" w:rsidR="00E03711" w:rsidRPr="001048FE" w:rsidRDefault="00E03711" w:rsidP="003756AB">
      <w:pPr>
        <w:pStyle w:val="GUIDE-NORMAL"/>
        <w:rPr>
          <w:lang w:val="sl-SI"/>
        </w:rPr>
      </w:pPr>
      <w:r w:rsidRPr="001048FE">
        <w:rPr>
          <w:lang w:val="sl-SI"/>
        </w:rPr>
        <w:t>Pri projektih krepitve zmogljivosti na področju visokošolskega izobraževanja nastanejo zelo različni stroški, vključno s stroški osebja, potnimi stroški in stroški bivanja, stroški opreme, stroški oddaje naročil podizvajalcem, stroški za razširjanje informacij, objavljanje in prevajanje, splošni stroški itd.</w:t>
      </w:r>
    </w:p>
    <w:p w14:paraId="7D399793" w14:textId="77777777" w:rsidR="00E03711" w:rsidRPr="001048FE" w:rsidRDefault="00E03711" w:rsidP="003756AB">
      <w:pPr>
        <w:pStyle w:val="GUIDE-NORMAL"/>
        <w:rPr>
          <w:lang w:val="sl-SI"/>
        </w:rPr>
      </w:pPr>
      <w:r w:rsidRPr="001048FE">
        <w:rPr>
          <w:lang w:val="sl-SI"/>
        </w:rPr>
        <w:t>Izraz „nepovratna sredstva“ se nanaša na znesek finančnih sredstev, za katerega se lahko zaprosi v okviru programa, in predstavlja finančni prispevek Evropske unije k projektu ter se ne bi smel zamenjevati s skupnimi stroški projekta, ki prav tako vključuje sofinanciranje partnerskih institucij in zunanjih deležnikov.</w:t>
      </w:r>
    </w:p>
    <w:p w14:paraId="7D399794" w14:textId="77777777" w:rsidR="00E03711" w:rsidRPr="001048FE" w:rsidRDefault="00E03711" w:rsidP="003756AB">
      <w:pPr>
        <w:pStyle w:val="GUIDE-NORMAL"/>
        <w:rPr>
          <w:lang w:val="sl-SI"/>
        </w:rPr>
      </w:pPr>
      <w:r w:rsidRPr="001048FE">
        <w:rPr>
          <w:lang w:val="sl-SI"/>
        </w:rPr>
        <w:t>Nepovratna sredstva EU za projekte je treba obravnavati kot prispevek za delno pokritje dejanskih stroškov partnerskih institucij pri izvajanju aktivnosti, predvidenih v prijavi/projektu. Udeležba v projektu krepitve zmogljivosti nujno zahteva lastno sofinanciranje upravičenih institucij. Sofinanciranje je zato treba oceniti po partnerjih projekta na začetku, v času priprave prijave.</w:t>
      </w:r>
    </w:p>
    <w:p w14:paraId="7D399795" w14:textId="77777777" w:rsidR="00E03711" w:rsidRPr="001048FE" w:rsidRDefault="00E03711" w:rsidP="003756AB">
      <w:pPr>
        <w:pStyle w:val="GUIDE-NORMAL"/>
        <w:rPr>
          <w:lang w:val="sl-SI"/>
        </w:rPr>
      </w:pPr>
      <w:r w:rsidRPr="001048FE">
        <w:rPr>
          <w:lang w:val="sl-SI"/>
        </w:rPr>
        <w:t>Načelo sofinanciranja je bilo upoštevano pri opredelitvi pristopa financiranja in zlasti pri opredelitvi ravni prispevkov za stroške na enoto, uporabljenih za izračun proračuna/nepovratnih sredstev projekta. Zato bodo morali prijavitelji in upravičenci navesti podrobnosti sofinanciranja, ki je na voljo za obveščanje in preglednost. Dokazilo o izdatkih ali dodatni dokumenti se ne bodo zahtevali.</w:t>
      </w:r>
    </w:p>
    <w:p w14:paraId="7D399796" w14:textId="77777777" w:rsidR="00E03711" w:rsidRPr="001048FE" w:rsidRDefault="00E03711" w:rsidP="003756AB">
      <w:pPr>
        <w:pStyle w:val="GUIDE-NORMAL"/>
        <w:rPr>
          <w:lang w:val="sl-SI"/>
        </w:rPr>
      </w:pPr>
      <w:r w:rsidRPr="001048FE">
        <w:rPr>
          <w:lang w:val="sl-SI"/>
        </w:rPr>
        <w:t>Čeprav lahko izvajanje projekta zahteva druge vrste izdatkov (kot so stroški za razširjanje, objavo in prevajanje, če niso oddani v izvajanje podizvajalcem, ter splošni stroški), se ti izdatki ne bodo upoštevali pri izračunu predlaganih nepovratnih sredstev. Zato bodo morali biti vključeni v sofinanciranje.</w:t>
      </w:r>
    </w:p>
    <w:p w14:paraId="7D399797" w14:textId="77777777" w:rsidR="00E03711" w:rsidRPr="001048FE" w:rsidRDefault="00E03711" w:rsidP="003756AB">
      <w:pPr>
        <w:pStyle w:val="GUIDE-NORMAL"/>
        <w:rPr>
          <w:lang w:val="sl-SI"/>
        </w:rPr>
      </w:pPr>
      <w:r w:rsidRPr="001048FE">
        <w:rPr>
          <w:lang w:val="sl-SI"/>
        </w:rPr>
        <w:t>Finančno poročanje za proračunske postavke na podlagi prispevka za stroške na enoto (prispevek k stroškom osebja, potnim stroškom in stroškom bivanja) bo temeljilo na načelu „sprožilnega dogodka“. Upravičenci bodo morali dokazati, da so bile aktivnosti dejansko in pravilno izvedene ter da je bila ustvarjena realizacija, vendar jim ne bo treba poročati o uporabi sredstev. Zato bo upravičencem po izpolnitvi zahtev glede aktivnosti in dosežkov zagotovljena prilagodljivost glede upravljanja sredstev, dodeljenih za kritje stroškov, potrebnih za izvajanje projekta.</w:t>
      </w:r>
    </w:p>
    <w:p w14:paraId="7D399798" w14:textId="77777777" w:rsidR="00E03711" w:rsidRPr="001048FE" w:rsidRDefault="00E03711" w:rsidP="003756AB">
      <w:pPr>
        <w:pStyle w:val="GUIDE-NORMAL"/>
        <w:rPr>
          <w:lang w:val="sl-SI"/>
        </w:rPr>
      </w:pPr>
      <w:r w:rsidRPr="001048FE">
        <w:rPr>
          <w:lang w:val="sl-SI"/>
        </w:rPr>
        <w:t>Finančno poročanje za proračunske postavke na podlagi dejanskih stroškov (oprema in oddajanje naročil podizvajalcem) bo temeljilo na dejansko nastalih stroških, ki bodo morali biti ustrezno dokumentirani (glej spodaj).</w:t>
      </w:r>
    </w:p>
    <w:p w14:paraId="7D399799" w14:textId="77777777" w:rsidR="00E03711" w:rsidRPr="001048FE" w:rsidRDefault="00E03711" w:rsidP="003756AB">
      <w:pPr>
        <w:pStyle w:val="GUIDE-NORMAL"/>
        <w:rPr>
          <w:lang w:val="sl-SI"/>
        </w:rPr>
      </w:pPr>
      <w:r w:rsidRPr="001048FE">
        <w:rPr>
          <w:lang w:val="sl-SI"/>
        </w:rPr>
        <w:t>Predlagana nepovratna sredstva nikoli ne bodo presegla zahtevanega zneska nepovratnih sredstev in bodo odvisna od:</w:t>
      </w:r>
    </w:p>
    <w:p w14:paraId="7D39979A" w14:textId="77777777" w:rsidR="00E03711" w:rsidRPr="001048FE" w:rsidRDefault="00E03711" w:rsidP="005115F2">
      <w:pPr>
        <w:pStyle w:val="Guide-NormalBulletpoints"/>
        <w:numPr>
          <w:ilvl w:val="0"/>
          <w:numId w:val="367"/>
        </w:numPr>
        <w:rPr>
          <w:lang w:val="sl-SI"/>
        </w:rPr>
      </w:pPr>
      <w:r w:rsidRPr="001048FE">
        <w:rPr>
          <w:lang w:val="sl-SI"/>
        </w:rPr>
        <w:t>zneska nepovratnih sredstev, ki ga zahteva prijavitelj, upravičenosti aktivnosti in stroškovne učinkovitosti projekta;</w:t>
      </w:r>
    </w:p>
    <w:p w14:paraId="7D39979B" w14:textId="77777777" w:rsidR="00E03711" w:rsidRPr="001048FE" w:rsidRDefault="00E03711" w:rsidP="005115F2">
      <w:pPr>
        <w:pStyle w:val="Guide-NormalBulletpoints"/>
        <w:numPr>
          <w:ilvl w:val="0"/>
          <w:numId w:val="367"/>
        </w:numPr>
        <w:rPr>
          <w:lang w:val="sl-SI"/>
        </w:rPr>
      </w:pPr>
      <w:r w:rsidRPr="001048FE">
        <w:rPr>
          <w:lang w:val="sl-SI"/>
        </w:rPr>
        <w:t>celotnega proračuna, ki je na voljo za projekte krepitve zmogljivosti.</w:t>
      </w:r>
    </w:p>
    <w:p w14:paraId="7D39979C" w14:textId="77777777" w:rsidR="00E03711" w:rsidRPr="001048FE" w:rsidRDefault="00E03711" w:rsidP="005115F2">
      <w:pPr>
        <w:pStyle w:val="GUIDE-NORMAL"/>
        <w:numPr>
          <w:ilvl w:val="0"/>
          <w:numId w:val="367"/>
        </w:numPr>
        <w:spacing w:before="0"/>
        <w:rPr>
          <w:lang w:val="sl-SI"/>
        </w:rPr>
      </w:pPr>
      <w:r w:rsidRPr="001048FE">
        <w:rPr>
          <w:lang w:val="sl-SI"/>
        </w:rPr>
        <w:t>Partnerji se morajo dogovoriti o podrobnostih finančnega izvajanja projekta in jih formalizirati v partnerskem sporazumu, ki se podpiše na začetku projekta.</w:t>
      </w:r>
    </w:p>
    <w:p w14:paraId="7D39979D" w14:textId="77777777" w:rsidR="00E03711" w:rsidRDefault="00E03711" w:rsidP="003756AB">
      <w:pPr>
        <w:pStyle w:val="Guide-Heading5"/>
        <w:rPr>
          <w:lang w:val="sl-SI"/>
        </w:rPr>
      </w:pPr>
    </w:p>
    <w:p w14:paraId="7D39979E" w14:textId="77777777" w:rsidR="00E03711" w:rsidRPr="001048FE" w:rsidRDefault="00E03711" w:rsidP="003756AB">
      <w:pPr>
        <w:pStyle w:val="Guide-Heading5"/>
        <w:rPr>
          <w:lang w:val="sl-SI"/>
        </w:rPr>
      </w:pPr>
      <w:r w:rsidRPr="001048FE">
        <w:rPr>
          <w:lang w:val="sl-SI"/>
        </w:rPr>
        <w:t>Kaj je še treba vedeti o tem ukrepu?</w:t>
      </w:r>
    </w:p>
    <w:p w14:paraId="7D39979F" w14:textId="77777777" w:rsidR="00E03711" w:rsidRPr="00FC4A70" w:rsidRDefault="00E03711" w:rsidP="00B47F92">
      <w:pPr>
        <w:pStyle w:val="Guide-Heading6"/>
        <w:rPr>
          <w:lang w:val="sl-SI"/>
        </w:rPr>
      </w:pPr>
      <w:r w:rsidRPr="00FC4A70">
        <w:rPr>
          <w:rFonts w:eastAsia="Calibri" w:cs="Calibri"/>
          <w:bCs/>
          <w:szCs w:val="20"/>
          <w:bdr w:val="nil"/>
          <w:lang w:val="sl-SI"/>
        </w:rPr>
        <w:t>Izredni stroški za drago potovanje</w:t>
      </w:r>
    </w:p>
    <w:p w14:paraId="7D3997A0" w14:textId="77777777" w:rsidR="00E03711" w:rsidRDefault="00E03711" w:rsidP="00B47F92">
      <w:pPr>
        <w:pStyle w:val="Guide-Normal0"/>
        <w:rPr>
          <w:rFonts w:eastAsia="Calibri" w:cs="Calibri"/>
          <w:kern w:val="3"/>
          <w:sz w:val="18"/>
          <w:szCs w:val="18"/>
          <w:bdr w:val="nil"/>
          <w:shd w:val="clear" w:color="auto" w:fill="FFFFFF"/>
          <w:lang w:val="sl-SI"/>
        </w:rPr>
      </w:pPr>
      <w:r w:rsidRPr="00FC4A70">
        <w:rPr>
          <w:rFonts w:eastAsia="Calibri" w:cs="Calibri"/>
          <w:kern w:val="3"/>
          <w:sz w:val="18"/>
          <w:szCs w:val="18"/>
          <w:bdr w:val="nil"/>
          <w:shd w:val="clear" w:color="auto" w:fill="FFFFFF"/>
          <w:lang w:val="sl-SI"/>
        </w:rPr>
        <w:t>Prijavitelji projektov lahko zahtevajo finančno podporo za višje potne stroške pod proračunsko postavko „izredni stroški“ (do največ 80 % vseh upravičenih stroškov: glej „Kakšna so pravila za dodelitev sredstev?“)</w:t>
      </w:r>
      <w:r>
        <w:rPr>
          <w:rFonts w:eastAsia="Calibri" w:cs="Calibri"/>
          <w:kern w:val="3"/>
          <w:sz w:val="18"/>
          <w:szCs w:val="18"/>
          <w:bdr w:val="nil"/>
          <w:shd w:val="clear" w:color="auto" w:fill="FFFFFF"/>
          <w:lang w:val="sl-SI"/>
        </w:rPr>
        <w:t>, vključno s primeri, ko se udeleženci odločijo za čistejša prevozna sredstva, z  manj emisijami ogljika (npr. vlak), kar vodi do višjih stroškov potovanja</w:t>
      </w:r>
      <w:r w:rsidRPr="00FC4A70">
        <w:rPr>
          <w:rFonts w:eastAsia="Calibri" w:cs="Calibri"/>
          <w:kern w:val="3"/>
          <w:sz w:val="18"/>
          <w:szCs w:val="18"/>
          <w:bdr w:val="nil"/>
          <w:shd w:val="clear" w:color="auto" w:fill="FFFFFF"/>
          <w:lang w:val="sl-SI"/>
        </w:rPr>
        <w:t>. To je dovoljeno pod pogojem, da lahko prijavitelji utemeljijo, da običajna pravila financiranja (na podlagi stroškov na enoto za pas oddaljenosti) ne krijejo vsaj 65 % potnih stroškov udeležencev. Če so dodeljena, se namesto standardnih potnih stroškov upoštevajo izredni stroški za drago potovanje.</w:t>
      </w:r>
    </w:p>
    <w:p w14:paraId="7D3997A1" w14:textId="77777777" w:rsidR="00E03711" w:rsidRPr="00FC4A70" w:rsidRDefault="00E03711" w:rsidP="00B47F92">
      <w:pPr>
        <w:pStyle w:val="Guide-Normal0"/>
        <w:rPr>
          <w:vanish/>
          <w:lang w:val="sl-SI"/>
        </w:rPr>
      </w:pPr>
    </w:p>
    <w:p w14:paraId="7D3997A2" w14:textId="77777777" w:rsidR="00E03711" w:rsidRDefault="00E03711" w:rsidP="003756AB">
      <w:pPr>
        <w:pStyle w:val="GUIDE-NORMAL"/>
        <w:rPr>
          <w:lang w:val="sl-SI"/>
        </w:rPr>
        <w:sectPr w:rsidR="00E03711" w:rsidSect="00E15ED3">
          <w:endnotePr>
            <w:numFmt w:val="decimal"/>
          </w:endnotePr>
          <w:pgSz w:w="11910" w:h="16840" w:code="9"/>
          <w:pgMar w:top="1134" w:right="1418" w:bottom="1134" w:left="1418" w:header="284" w:footer="567" w:gutter="0"/>
          <w:cols w:space="720"/>
          <w:docGrid w:linePitch="326"/>
        </w:sectPr>
      </w:pPr>
    </w:p>
    <w:p w14:paraId="7D3997A3" w14:textId="77777777" w:rsidR="00E03711" w:rsidRPr="001048FE" w:rsidRDefault="00E03711" w:rsidP="003756AB">
      <w:pPr>
        <w:pStyle w:val="GUIDE-NORMAL"/>
        <w:rPr>
          <w:lang w:val="sl-SI"/>
        </w:rPr>
      </w:pPr>
      <w:r w:rsidRPr="001048FE">
        <w:rPr>
          <w:lang w:val="sl-SI"/>
        </w:rPr>
        <w:t>Proračun projekta je treba pripraviti v skladu z naslednjimi pravili za dodelitev sredstev (v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8"/>
      </w:tblGrid>
      <w:tr w:rsidR="00E03711" w:rsidRPr="00C60205" w14:paraId="7D3997A6" w14:textId="77777777" w:rsidTr="00F05D26">
        <w:tc>
          <w:tcPr>
            <w:tcW w:w="5000" w:type="pct"/>
            <w:shd w:val="clear" w:color="auto" w:fill="auto"/>
          </w:tcPr>
          <w:p w14:paraId="7D3997A4" w14:textId="77777777" w:rsidR="00E03711" w:rsidRPr="00237696" w:rsidRDefault="00E03711" w:rsidP="00237696">
            <w:pPr>
              <w:pStyle w:val="GUIDE-NORMAL"/>
              <w:spacing w:before="60" w:after="60"/>
              <w:jc w:val="center"/>
              <w:rPr>
                <w:b/>
                <w:lang w:val="sl-SI" w:eastAsia="en-GB"/>
              </w:rPr>
            </w:pPr>
            <w:r w:rsidRPr="00237696">
              <w:rPr>
                <w:b/>
                <w:lang w:val="sl-SI" w:eastAsia="en-GB"/>
              </w:rPr>
              <w:t>Najnižji znesek nepovratnih sredstev EU za skupne in strukturne projekte: 500 000 EUR</w:t>
            </w:r>
          </w:p>
          <w:p w14:paraId="7D3997A5" w14:textId="77777777" w:rsidR="00E03711" w:rsidRPr="00237696" w:rsidRDefault="00E03711" w:rsidP="00237696">
            <w:pPr>
              <w:pStyle w:val="GUIDE-NORMAL"/>
              <w:spacing w:before="60" w:after="60"/>
              <w:jc w:val="center"/>
              <w:rPr>
                <w:b/>
                <w:lang w:val="sl-SI" w:eastAsia="en-GB"/>
              </w:rPr>
            </w:pPr>
            <w:r w:rsidRPr="00237696">
              <w:rPr>
                <w:b/>
                <w:lang w:val="sl-SI" w:eastAsia="en-GB"/>
              </w:rPr>
              <w:t>Najvišji znesek nepovratnih sredstev EU za skupne in strukturne projekte: 1 000 000 EUR</w:t>
            </w:r>
          </w:p>
        </w:tc>
      </w:tr>
    </w:tbl>
    <w:p w14:paraId="7D3997A7" w14:textId="77777777" w:rsidR="00E03711" w:rsidRPr="001048FE" w:rsidRDefault="00E03711" w:rsidP="006C40D9">
      <w:pPr>
        <w:pStyle w:val="Guide-Table"/>
        <w:rPr>
          <w:lang w:val="sl-SI"/>
        </w:rPr>
      </w:pPr>
    </w:p>
    <w:tbl>
      <w:tblPr>
        <w:tblW w:w="5000" w:type="pct"/>
        <w:tblLook w:val="0000" w:firstRow="0" w:lastRow="0" w:firstColumn="0" w:lastColumn="0" w:noHBand="0" w:noVBand="0"/>
      </w:tblPr>
      <w:tblGrid>
        <w:gridCol w:w="1370"/>
        <w:gridCol w:w="3691"/>
        <w:gridCol w:w="1562"/>
        <w:gridCol w:w="2064"/>
        <w:gridCol w:w="1292"/>
        <w:gridCol w:w="1736"/>
        <w:gridCol w:w="3073"/>
      </w:tblGrid>
      <w:tr w:rsidR="00E03711" w:rsidRPr="008C6F8C" w14:paraId="7D3997AC" w14:textId="77777777" w:rsidTr="00AD60C0">
        <w:trPr>
          <w:trHeight w:val="20"/>
        </w:trPr>
        <w:tc>
          <w:tcPr>
            <w:tcW w:w="171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97A8" w14:textId="77777777" w:rsidR="00E03711" w:rsidRPr="00F769E0" w:rsidRDefault="00E03711" w:rsidP="00A13051">
            <w:pPr>
              <w:pStyle w:val="Guide-Table"/>
              <w:spacing w:beforeLines="60" w:before="144" w:afterLines="60" w:after="144"/>
              <w:rPr>
                <w:rFonts w:cs="Tahoma"/>
                <w:b/>
                <w:lang w:val="sl-SI" w:eastAsia="en-GB"/>
              </w:rPr>
            </w:pPr>
            <w:r w:rsidRPr="00F769E0">
              <w:rPr>
                <w:rFonts w:cs="Tahoma"/>
                <w:b/>
                <w:lang w:val="sl-SI" w:eastAsia="en-GB"/>
              </w:rPr>
              <w:t>Upravičeni stroški</w:t>
            </w:r>
          </w:p>
        </w:tc>
        <w:tc>
          <w:tcPr>
            <w:tcW w:w="5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7A9" w14:textId="77777777" w:rsidR="00E03711" w:rsidRPr="00F769E0" w:rsidRDefault="00E03711" w:rsidP="00A13051">
            <w:pPr>
              <w:pStyle w:val="Guide-Table"/>
              <w:spacing w:beforeLines="60" w:before="144" w:afterLines="60" w:after="144"/>
              <w:rPr>
                <w:rFonts w:cs="Tahoma"/>
                <w:b/>
                <w:lang w:val="sl-SI" w:eastAsia="en-GB"/>
              </w:rPr>
            </w:pPr>
            <w:r w:rsidRPr="00F769E0">
              <w:rPr>
                <w:rFonts w:cs="Tahoma"/>
                <w:b/>
                <w:lang w:val="sl-SI" w:eastAsia="en-GB"/>
              </w:rPr>
              <w:t>Mehanizem financiranja</w:t>
            </w:r>
          </w:p>
        </w:tc>
        <w:tc>
          <w:tcPr>
            <w:tcW w:w="17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3997AA" w14:textId="77777777" w:rsidR="00E03711" w:rsidRPr="00F769E0" w:rsidRDefault="00E03711" w:rsidP="00F34514">
            <w:pPr>
              <w:pStyle w:val="GUIDE-NORMAL"/>
              <w:jc w:val="center"/>
              <w:rPr>
                <w:rFonts w:cs="Tahoma"/>
                <w:b/>
                <w:lang w:val="sl-SI" w:eastAsia="en-GB"/>
              </w:rPr>
            </w:pPr>
            <w:r w:rsidRPr="00F769E0">
              <w:rPr>
                <w:rFonts w:cs="Tahoma"/>
                <w:b/>
                <w:lang w:val="sl-SI" w:eastAsia="en-GB"/>
              </w:rPr>
              <w:t>Znesek/najvišja</w:t>
            </w:r>
            <w:r w:rsidRPr="00F769E0">
              <w:rPr>
                <w:rFonts w:cs="Tahoma"/>
                <w:b/>
                <w:spacing w:val="-2"/>
                <w:lang w:val="sl-SI" w:eastAsia="en-GB"/>
              </w:rPr>
              <w:t xml:space="preserve"> </w:t>
            </w:r>
            <w:r w:rsidRPr="00F769E0">
              <w:rPr>
                <w:rFonts w:cs="Tahoma"/>
                <w:b/>
                <w:lang w:val="sl-SI" w:eastAsia="en-GB"/>
              </w:rPr>
              <w:t>zgornja</w:t>
            </w:r>
            <w:r w:rsidRPr="00F769E0">
              <w:rPr>
                <w:rFonts w:cs="Tahoma"/>
                <w:b/>
                <w:spacing w:val="-2"/>
                <w:lang w:val="sl-SI" w:eastAsia="en-GB"/>
              </w:rPr>
              <w:t xml:space="preserve"> </w:t>
            </w:r>
            <w:r w:rsidRPr="00F769E0">
              <w:rPr>
                <w:rFonts w:cs="Tahoma"/>
                <w:b/>
                <w:lang w:val="sl-SI" w:eastAsia="en-GB"/>
              </w:rPr>
              <w:t>meja</w:t>
            </w:r>
          </w:p>
        </w:tc>
        <w:tc>
          <w:tcPr>
            <w:tcW w:w="10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7AB" w14:textId="77777777" w:rsidR="00E03711" w:rsidRPr="00F769E0" w:rsidRDefault="00E03711" w:rsidP="00A13051">
            <w:pPr>
              <w:pStyle w:val="Guide-Table"/>
              <w:spacing w:beforeLines="60" w:before="144" w:afterLines="60" w:after="144"/>
              <w:rPr>
                <w:rFonts w:cs="Tahoma"/>
                <w:b/>
                <w:lang w:val="sl-SI" w:eastAsia="en-GB"/>
              </w:rPr>
            </w:pPr>
            <w:r w:rsidRPr="00F769E0">
              <w:rPr>
                <w:rFonts w:cs="Tahoma"/>
                <w:b/>
                <w:lang w:val="sl-SI" w:eastAsia="en-GB"/>
              </w:rPr>
              <w:t>Pravilo dodelitve</w:t>
            </w:r>
          </w:p>
        </w:tc>
      </w:tr>
      <w:tr w:rsidR="00E03711" w:rsidRPr="00C60205" w14:paraId="7D3997B3" w14:textId="77777777" w:rsidTr="00AD60C0">
        <w:trPr>
          <w:trHeight w:val="20"/>
        </w:trPr>
        <w:tc>
          <w:tcPr>
            <w:tcW w:w="4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7AD" w14:textId="77777777" w:rsidR="00E03711" w:rsidRPr="00F769E0" w:rsidRDefault="00E03711" w:rsidP="00A13051">
            <w:pPr>
              <w:pStyle w:val="Guide-Table"/>
              <w:spacing w:beforeLines="60" w:before="144" w:afterLines="60" w:after="144"/>
              <w:jc w:val="both"/>
              <w:rPr>
                <w:rFonts w:cs="Tahoma"/>
                <w:b/>
                <w:lang w:val="sl-SI" w:eastAsia="en-GB"/>
              </w:rPr>
            </w:pPr>
            <w:r w:rsidRPr="00F769E0">
              <w:rPr>
                <w:rFonts w:cs="Tahoma"/>
                <w:b/>
                <w:lang w:val="sl-SI" w:eastAsia="en-GB"/>
              </w:rPr>
              <w:t>Stroški osebja</w:t>
            </w:r>
          </w:p>
        </w:tc>
        <w:tc>
          <w:tcPr>
            <w:tcW w:w="124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7AE" w14:textId="77777777" w:rsidR="00E03711" w:rsidRPr="00F769E0" w:rsidRDefault="00E03711" w:rsidP="00393E70">
            <w:pPr>
              <w:pStyle w:val="GUIDE-NORMAL"/>
              <w:jc w:val="left"/>
              <w:rPr>
                <w:rFonts w:cs="Tahoma"/>
                <w:lang w:val="sl-SI" w:eastAsia="en-GB"/>
              </w:rPr>
            </w:pPr>
            <w:r w:rsidRPr="00F769E0">
              <w:rPr>
                <w:rFonts w:cs="Tahoma"/>
                <w:lang w:val="sl-SI" w:eastAsia="en-GB"/>
              </w:rPr>
              <w:t>Prispevek k stroškom osebja, ki opravlja naloge, ki so neposredno potrebne za doseganje ciljev projekta.</w:t>
            </w:r>
          </w:p>
        </w:tc>
        <w:tc>
          <w:tcPr>
            <w:tcW w:w="52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7AF" w14:textId="77777777" w:rsidR="00E03711" w:rsidRPr="00F769E0" w:rsidRDefault="00E03711" w:rsidP="00393E70">
            <w:pPr>
              <w:pStyle w:val="GUIDE-NORMAL"/>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13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97B0" w14:textId="77777777" w:rsidR="00E03711" w:rsidRPr="00F769E0" w:rsidRDefault="00E03711" w:rsidP="00393E70">
            <w:pPr>
              <w:pStyle w:val="GUIDE-NORMAL"/>
              <w:spacing w:before="60" w:after="60"/>
              <w:jc w:val="left"/>
              <w:rPr>
                <w:rFonts w:cs="Tahoma"/>
                <w:lang w:val="sl-SI" w:eastAsia="en-GB"/>
              </w:rPr>
            </w:pPr>
            <w:r w:rsidRPr="00201AA5">
              <w:rPr>
                <w:rFonts w:cs="Tahoma"/>
                <w:bdr w:val="single" w:sz="4" w:space="0" w:color="auto"/>
                <w:lang w:val="sl-SI" w:eastAsia="en-GB"/>
              </w:rPr>
              <w:t>B4.1</w:t>
            </w:r>
            <w:r w:rsidRPr="00F769E0">
              <w:rPr>
                <w:rFonts w:cs="Tahoma"/>
                <w:lang w:val="sl-SI" w:eastAsia="en-GB"/>
              </w:rPr>
              <w:t xml:space="preserve"> na vključenega menedžerja na dan dela na projektu</w:t>
            </w:r>
          </w:p>
        </w:tc>
        <w:tc>
          <w:tcPr>
            <w:tcW w:w="58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7B1" w14:textId="77777777" w:rsidR="00E03711" w:rsidRPr="00F769E0" w:rsidRDefault="00E03711" w:rsidP="00393E70">
            <w:pPr>
              <w:pStyle w:val="GUIDE-NORMAL"/>
              <w:spacing w:before="60" w:after="60"/>
              <w:jc w:val="left"/>
              <w:rPr>
                <w:rFonts w:cs="Tahoma"/>
                <w:lang w:val="sl-SI" w:eastAsia="en-GB"/>
              </w:rPr>
            </w:pPr>
            <w:r w:rsidRPr="00F769E0">
              <w:rPr>
                <w:rFonts w:cs="Tahoma"/>
                <w:lang w:val="sl-SI" w:eastAsia="en-GB"/>
              </w:rPr>
              <w:t xml:space="preserve">Največ </w:t>
            </w:r>
            <w:r w:rsidRPr="00F769E0">
              <w:rPr>
                <w:rFonts w:cs="Tahoma"/>
                <w:lang w:val="sl-SI" w:eastAsia="en-GB"/>
              </w:rPr>
              <w:br/>
              <w:t>40 % skupnih nepovratnih sredstev</w:t>
            </w:r>
          </w:p>
        </w:tc>
        <w:tc>
          <w:tcPr>
            <w:tcW w:w="10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7B2" w14:textId="77777777" w:rsidR="00E03711" w:rsidRPr="00F769E0" w:rsidRDefault="00E03711" w:rsidP="00393E70">
            <w:pPr>
              <w:pStyle w:val="GUIDE-NORMAL"/>
              <w:spacing w:before="60" w:after="60"/>
              <w:jc w:val="left"/>
              <w:rPr>
                <w:rFonts w:cs="Tahoma"/>
                <w:lang w:val="sl-SI" w:eastAsia="en-GB"/>
              </w:rPr>
            </w:pPr>
            <w:r w:rsidRPr="00F769E0">
              <w:rPr>
                <w:rFonts w:cs="Tahoma"/>
                <w:lang w:val="sl-SI" w:eastAsia="en-GB"/>
              </w:rPr>
              <w:t>Pogoj: prijavitelji bodo morali utemeljiti vrsto in znesek sredstev, ki jih potrebujejo v zvezi z izvajanjem predlaganih aktivnosti in doseganjem predvidenih rezultatov. Prispevek se zagotovi, če se nadomestilo za plačo za iste naloge izplača samo enkrat.</w:t>
            </w:r>
          </w:p>
        </w:tc>
      </w:tr>
      <w:tr w:rsidR="00E03711" w:rsidRPr="00C60205" w14:paraId="7D3997BA" w14:textId="77777777" w:rsidTr="00AD60C0">
        <w:trPr>
          <w:trHeight w:val="20"/>
        </w:trPr>
        <w:tc>
          <w:tcPr>
            <w:tcW w:w="463" w:type="pct"/>
            <w:vMerge/>
            <w:tcBorders>
              <w:top w:val="nil"/>
              <w:left w:val="single" w:sz="4" w:space="0" w:color="000000"/>
              <w:bottom w:val="single" w:sz="4" w:space="0" w:color="000000"/>
              <w:right w:val="single" w:sz="4" w:space="0" w:color="000000"/>
            </w:tcBorders>
            <w:shd w:val="clear" w:color="auto" w:fill="auto"/>
            <w:vAlign w:val="center"/>
          </w:tcPr>
          <w:p w14:paraId="7D3997B4" w14:textId="77777777" w:rsidR="00E03711" w:rsidRPr="00F769E0" w:rsidRDefault="00E03711" w:rsidP="00A13051">
            <w:pPr>
              <w:pStyle w:val="Guide-Table"/>
              <w:spacing w:beforeLines="60" w:before="144" w:afterLines="60" w:after="144"/>
              <w:jc w:val="both"/>
              <w:rPr>
                <w:rFonts w:cs="Tahoma"/>
                <w:b/>
                <w:sz w:val="2"/>
                <w:szCs w:val="2"/>
                <w:lang w:val="sl-SI" w:eastAsia="en-GB"/>
              </w:rPr>
            </w:pPr>
          </w:p>
        </w:tc>
        <w:tc>
          <w:tcPr>
            <w:tcW w:w="1248" w:type="pct"/>
            <w:vMerge/>
            <w:tcBorders>
              <w:top w:val="nil"/>
              <w:left w:val="single" w:sz="4" w:space="0" w:color="000000"/>
              <w:bottom w:val="single" w:sz="4" w:space="0" w:color="000000"/>
              <w:right w:val="single" w:sz="4" w:space="0" w:color="000000"/>
            </w:tcBorders>
            <w:shd w:val="clear" w:color="auto" w:fill="auto"/>
            <w:vAlign w:val="center"/>
          </w:tcPr>
          <w:p w14:paraId="7D3997B5" w14:textId="77777777" w:rsidR="00E03711" w:rsidRPr="00F769E0" w:rsidRDefault="00E03711" w:rsidP="00A13051">
            <w:pPr>
              <w:pStyle w:val="Guide-Table"/>
              <w:spacing w:beforeLines="60" w:before="144" w:afterLines="60" w:after="144"/>
              <w:jc w:val="left"/>
              <w:rPr>
                <w:rFonts w:cs="Tahoma"/>
                <w:sz w:val="2"/>
                <w:szCs w:val="2"/>
                <w:lang w:val="sl-SI" w:eastAsia="en-GB"/>
              </w:rPr>
            </w:pPr>
          </w:p>
        </w:tc>
        <w:tc>
          <w:tcPr>
            <w:tcW w:w="528" w:type="pct"/>
            <w:vMerge/>
            <w:tcBorders>
              <w:top w:val="nil"/>
              <w:left w:val="single" w:sz="4" w:space="0" w:color="000000"/>
              <w:bottom w:val="single" w:sz="4" w:space="0" w:color="000000"/>
              <w:right w:val="single" w:sz="4" w:space="0" w:color="000000"/>
            </w:tcBorders>
            <w:shd w:val="clear" w:color="auto" w:fill="auto"/>
            <w:vAlign w:val="center"/>
          </w:tcPr>
          <w:p w14:paraId="7D3997B6" w14:textId="77777777" w:rsidR="00E03711" w:rsidRPr="00F769E0" w:rsidRDefault="00E03711" w:rsidP="00A13051">
            <w:pPr>
              <w:pStyle w:val="Guide-Table"/>
              <w:spacing w:beforeLines="60" w:before="144" w:afterLines="60" w:after="144"/>
              <w:jc w:val="left"/>
              <w:rPr>
                <w:rFonts w:cs="Tahoma"/>
                <w:sz w:val="2"/>
                <w:szCs w:val="2"/>
                <w:lang w:val="sl-SI" w:eastAsia="en-GB"/>
              </w:rPr>
            </w:pPr>
          </w:p>
        </w:tc>
        <w:tc>
          <w:tcPr>
            <w:tcW w:w="113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97B7" w14:textId="77777777" w:rsidR="00E03711" w:rsidRPr="00F769E0" w:rsidRDefault="00E03711" w:rsidP="00393E70">
            <w:pPr>
              <w:pStyle w:val="GUIDE-NORMAL"/>
              <w:spacing w:before="60" w:after="60"/>
              <w:jc w:val="left"/>
              <w:rPr>
                <w:rFonts w:cs="Tahoma"/>
                <w:lang w:val="sl-SI" w:eastAsia="en-GB"/>
              </w:rPr>
            </w:pPr>
            <w:r w:rsidRPr="00201AA5">
              <w:rPr>
                <w:rFonts w:cs="Tahoma"/>
                <w:bdr w:val="single" w:sz="4" w:space="0" w:color="auto"/>
                <w:lang w:val="sl-SI" w:eastAsia="en-GB"/>
              </w:rPr>
              <w:t>B4.2</w:t>
            </w:r>
            <w:r w:rsidRPr="00F769E0">
              <w:rPr>
                <w:rFonts w:cs="Tahoma"/>
                <w:lang w:val="sl-SI" w:eastAsia="en-GB"/>
              </w:rPr>
              <w:t xml:space="preserve"> na vključenega raziskovalca/učitelja/vodjo usposabljanja na dan dela na projektu</w:t>
            </w:r>
          </w:p>
        </w:tc>
        <w:tc>
          <w:tcPr>
            <w:tcW w:w="587" w:type="pct"/>
            <w:vMerge/>
            <w:tcBorders>
              <w:top w:val="nil"/>
              <w:left w:val="single" w:sz="4" w:space="0" w:color="000000"/>
              <w:bottom w:val="single" w:sz="4" w:space="0" w:color="000000"/>
              <w:right w:val="single" w:sz="4" w:space="0" w:color="000000"/>
            </w:tcBorders>
            <w:shd w:val="clear" w:color="auto" w:fill="auto"/>
            <w:vAlign w:val="center"/>
          </w:tcPr>
          <w:p w14:paraId="7D3997B8" w14:textId="77777777" w:rsidR="00E03711" w:rsidRPr="00F769E0" w:rsidRDefault="00E03711" w:rsidP="00393E70">
            <w:pPr>
              <w:pStyle w:val="GUIDE-NORMAL"/>
              <w:spacing w:before="60" w:after="60"/>
              <w:jc w:val="left"/>
              <w:rPr>
                <w:rFonts w:cs="Tahoma"/>
                <w:lang w:val="sl-SI" w:eastAsia="en-GB"/>
              </w:rPr>
            </w:pPr>
          </w:p>
        </w:tc>
        <w:tc>
          <w:tcPr>
            <w:tcW w:w="1040" w:type="pct"/>
            <w:vMerge/>
            <w:tcBorders>
              <w:top w:val="nil"/>
              <w:left w:val="single" w:sz="4" w:space="0" w:color="000000"/>
              <w:bottom w:val="single" w:sz="4" w:space="0" w:color="000000"/>
              <w:right w:val="single" w:sz="4" w:space="0" w:color="000000"/>
            </w:tcBorders>
            <w:shd w:val="clear" w:color="auto" w:fill="auto"/>
            <w:vAlign w:val="center"/>
          </w:tcPr>
          <w:p w14:paraId="7D3997B9" w14:textId="77777777" w:rsidR="00E03711" w:rsidRPr="00F769E0" w:rsidRDefault="00E03711" w:rsidP="00393E70">
            <w:pPr>
              <w:pStyle w:val="GUIDE-NORMAL"/>
              <w:spacing w:before="60" w:after="60"/>
              <w:jc w:val="left"/>
              <w:rPr>
                <w:rFonts w:cs="Tahoma"/>
                <w:lang w:val="sl-SI" w:eastAsia="en-GB"/>
              </w:rPr>
            </w:pPr>
          </w:p>
        </w:tc>
      </w:tr>
      <w:tr w:rsidR="00E03711" w:rsidRPr="00C60205" w14:paraId="7D3997C1" w14:textId="77777777" w:rsidTr="00AD60C0">
        <w:trPr>
          <w:trHeight w:val="20"/>
        </w:trPr>
        <w:tc>
          <w:tcPr>
            <w:tcW w:w="463" w:type="pct"/>
            <w:vMerge/>
            <w:tcBorders>
              <w:top w:val="nil"/>
              <w:left w:val="single" w:sz="4" w:space="0" w:color="000000"/>
              <w:bottom w:val="single" w:sz="4" w:space="0" w:color="000000"/>
              <w:right w:val="single" w:sz="4" w:space="0" w:color="000000"/>
            </w:tcBorders>
            <w:shd w:val="clear" w:color="auto" w:fill="auto"/>
            <w:vAlign w:val="center"/>
          </w:tcPr>
          <w:p w14:paraId="7D3997BB" w14:textId="77777777" w:rsidR="00E03711" w:rsidRPr="00F769E0" w:rsidRDefault="00E03711" w:rsidP="00A13051">
            <w:pPr>
              <w:pStyle w:val="Guide-Table"/>
              <w:spacing w:beforeLines="60" w:before="144" w:afterLines="60" w:after="144"/>
              <w:jc w:val="both"/>
              <w:rPr>
                <w:rFonts w:cs="Tahoma"/>
                <w:b/>
                <w:sz w:val="2"/>
                <w:szCs w:val="2"/>
                <w:lang w:val="sl-SI" w:eastAsia="en-GB"/>
              </w:rPr>
            </w:pPr>
          </w:p>
        </w:tc>
        <w:tc>
          <w:tcPr>
            <w:tcW w:w="1248" w:type="pct"/>
            <w:vMerge/>
            <w:tcBorders>
              <w:top w:val="nil"/>
              <w:left w:val="single" w:sz="4" w:space="0" w:color="000000"/>
              <w:bottom w:val="single" w:sz="4" w:space="0" w:color="000000"/>
              <w:right w:val="single" w:sz="4" w:space="0" w:color="000000"/>
            </w:tcBorders>
            <w:shd w:val="clear" w:color="auto" w:fill="auto"/>
            <w:vAlign w:val="center"/>
          </w:tcPr>
          <w:p w14:paraId="7D3997BC" w14:textId="77777777" w:rsidR="00E03711" w:rsidRPr="00F769E0" w:rsidRDefault="00E03711" w:rsidP="00A13051">
            <w:pPr>
              <w:pStyle w:val="Guide-Table"/>
              <w:spacing w:beforeLines="60" w:before="144" w:afterLines="60" w:after="144"/>
              <w:jc w:val="left"/>
              <w:rPr>
                <w:rFonts w:cs="Tahoma"/>
                <w:sz w:val="2"/>
                <w:szCs w:val="2"/>
                <w:lang w:val="sl-SI" w:eastAsia="en-GB"/>
              </w:rPr>
            </w:pPr>
          </w:p>
        </w:tc>
        <w:tc>
          <w:tcPr>
            <w:tcW w:w="528" w:type="pct"/>
            <w:vMerge/>
            <w:tcBorders>
              <w:top w:val="nil"/>
              <w:left w:val="single" w:sz="4" w:space="0" w:color="000000"/>
              <w:bottom w:val="single" w:sz="4" w:space="0" w:color="000000"/>
              <w:right w:val="single" w:sz="4" w:space="0" w:color="000000"/>
            </w:tcBorders>
            <w:shd w:val="clear" w:color="auto" w:fill="auto"/>
            <w:vAlign w:val="center"/>
          </w:tcPr>
          <w:p w14:paraId="7D3997BD" w14:textId="77777777" w:rsidR="00E03711" w:rsidRPr="00F769E0" w:rsidRDefault="00E03711" w:rsidP="00A13051">
            <w:pPr>
              <w:pStyle w:val="Guide-Table"/>
              <w:spacing w:beforeLines="60" w:before="144" w:afterLines="60" w:after="144"/>
              <w:jc w:val="left"/>
              <w:rPr>
                <w:rFonts w:cs="Tahoma"/>
                <w:sz w:val="2"/>
                <w:szCs w:val="2"/>
                <w:lang w:val="sl-SI" w:eastAsia="en-GB"/>
              </w:rPr>
            </w:pPr>
          </w:p>
        </w:tc>
        <w:tc>
          <w:tcPr>
            <w:tcW w:w="1135" w:type="pct"/>
            <w:gridSpan w:val="2"/>
            <w:tcBorders>
              <w:top w:val="single" w:sz="4" w:space="0" w:color="000000"/>
              <w:left w:val="single" w:sz="4" w:space="0" w:color="000000"/>
              <w:bottom w:val="single" w:sz="4" w:space="0" w:color="000000"/>
              <w:right w:val="single" w:sz="4" w:space="0" w:color="000000"/>
            </w:tcBorders>
            <w:shd w:val="clear" w:color="auto" w:fill="auto"/>
          </w:tcPr>
          <w:p w14:paraId="7D3997BE" w14:textId="77777777" w:rsidR="00E03711" w:rsidRPr="00F769E0" w:rsidRDefault="00E03711" w:rsidP="00393E70">
            <w:pPr>
              <w:pStyle w:val="GUIDE-NORMAL"/>
              <w:spacing w:before="60" w:after="60"/>
              <w:jc w:val="left"/>
              <w:rPr>
                <w:rFonts w:cs="Tahoma"/>
                <w:lang w:val="sl-SI" w:eastAsia="en-GB"/>
              </w:rPr>
            </w:pPr>
            <w:r w:rsidRPr="00201AA5">
              <w:rPr>
                <w:rFonts w:cs="Tahoma"/>
                <w:bdr w:val="single" w:sz="4" w:space="0" w:color="auto"/>
                <w:lang w:val="sl-SI" w:eastAsia="en-GB"/>
              </w:rPr>
              <w:t>B4.3</w:t>
            </w:r>
            <w:r w:rsidRPr="00F769E0">
              <w:rPr>
                <w:rFonts w:cs="Tahoma"/>
                <w:lang w:val="sl-SI" w:eastAsia="en-GB"/>
              </w:rPr>
              <w:t xml:space="preserve"> na vključeno tehnično osebje na dan dela na projektu</w:t>
            </w:r>
          </w:p>
        </w:tc>
        <w:tc>
          <w:tcPr>
            <w:tcW w:w="587" w:type="pct"/>
            <w:vMerge/>
            <w:tcBorders>
              <w:top w:val="nil"/>
              <w:left w:val="single" w:sz="4" w:space="0" w:color="000000"/>
              <w:bottom w:val="single" w:sz="4" w:space="0" w:color="000000"/>
              <w:right w:val="single" w:sz="4" w:space="0" w:color="000000"/>
            </w:tcBorders>
            <w:shd w:val="clear" w:color="auto" w:fill="auto"/>
            <w:vAlign w:val="center"/>
          </w:tcPr>
          <w:p w14:paraId="7D3997BF" w14:textId="77777777" w:rsidR="00E03711" w:rsidRPr="00F769E0" w:rsidRDefault="00E03711" w:rsidP="00393E70">
            <w:pPr>
              <w:pStyle w:val="GUIDE-NORMAL"/>
              <w:spacing w:before="60" w:after="60"/>
              <w:jc w:val="left"/>
              <w:rPr>
                <w:rFonts w:cs="Tahoma"/>
                <w:lang w:val="sl-SI" w:eastAsia="en-GB"/>
              </w:rPr>
            </w:pPr>
          </w:p>
        </w:tc>
        <w:tc>
          <w:tcPr>
            <w:tcW w:w="1040" w:type="pct"/>
            <w:vMerge/>
            <w:tcBorders>
              <w:top w:val="nil"/>
              <w:left w:val="single" w:sz="4" w:space="0" w:color="000000"/>
              <w:bottom w:val="single" w:sz="4" w:space="0" w:color="000000"/>
              <w:right w:val="single" w:sz="4" w:space="0" w:color="000000"/>
            </w:tcBorders>
            <w:shd w:val="clear" w:color="auto" w:fill="auto"/>
            <w:vAlign w:val="center"/>
          </w:tcPr>
          <w:p w14:paraId="7D3997C0" w14:textId="77777777" w:rsidR="00E03711" w:rsidRPr="00F769E0" w:rsidRDefault="00E03711" w:rsidP="00393E70">
            <w:pPr>
              <w:pStyle w:val="GUIDE-NORMAL"/>
              <w:spacing w:before="60" w:after="60"/>
              <w:jc w:val="left"/>
              <w:rPr>
                <w:rFonts w:cs="Tahoma"/>
                <w:lang w:val="sl-SI" w:eastAsia="en-GB"/>
              </w:rPr>
            </w:pPr>
          </w:p>
        </w:tc>
      </w:tr>
      <w:tr w:rsidR="00E03711" w:rsidRPr="00C60205" w14:paraId="7D3997C8" w14:textId="77777777" w:rsidTr="00AD60C0">
        <w:trPr>
          <w:trHeight w:val="20"/>
        </w:trPr>
        <w:tc>
          <w:tcPr>
            <w:tcW w:w="463" w:type="pct"/>
            <w:vMerge/>
            <w:tcBorders>
              <w:top w:val="nil"/>
              <w:left w:val="single" w:sz="4" w:space="0" w:color="000000"/>
              <w:bottom w:val="single" w:sz="4" w:space="0" w:color="000000"/>
              <w:right w:val="single" w:sz="4" w:space="0" w:color="000000"/>
            </w:tcBorders>
            <w:shd w:val="clear" w:color="auto" w:fill="auto"/>
            <w:vAlign w:val="center"/>
          </w:tcPr>
          <w:p w14:paraId="7D3997C2" w14:textId="77777777" w:rsidR="00E03711" w:rsidRPr="00F769E0" w:rsidRDefault="00E03711" w:rsidP="00A13051">
            <w:pPr>
              <w:pStyle w:val="Guide-Table"/>
              <w:spacing w:beforeLines="60" w:before="144" w:afterLines="60" w:after="144"/>
              <w:jc w:val="both"/>
              <w:rPr>
                <w:rFonts w:cs="Tahoma"/>
                <w:b/>
                <w:sz w:val="2"/>
                <w:szCs w:val="2"/>
                <w:lang w:val="sl-SI" w:eastAsia="en-GB"/>
              </w:rPr>
            </w:pPr>
          </w:p>
        </w:tc>
        <w:tc>
          <w:tcPr>
            <w:tcW w:w="1248" w:type="pct"/>
            <w:vMerge/>
            <w:tcBorders>
              <w:top w:val="nil"/>
              <w:left w:val="single" w:sz="4" w:space="0" w:color="000000"/>
              <w:bottom w:val="single" w:sz="4" w:space="0" w:color="000000"/>
              <w:right w:val="single" w:sz="4" w:space="0" w:color="000000"/>
            </w:tcBorders>
            <w:shd w:val="clear" w:color="auto" w:fill="auto"/>
            <w:vAlign w:val="center"/>
          </w:tcPr>
          <w:p w14:paraId="7D3997C3" w14:textId="77777777" w:rsidR="00E03711" w:rsidRPr="00F769E0" w:rsidRDefault="00E03711" w:rsidP="00A13051">
            <w:pPr>
              <w:pStyle w:val="Guide-Table"/>
              <w:spacing w:beforeLines="60" w:before="144" w:afterLines="60" w:after="144"/>
              <w:jc w:val="left"/>
              <w:rPr>
                <w:rFonts w:cs="Tahoma"/>
                <w:sz w:val="2"/>
                <w:szCs w:val="2"/>
                <w:lang w:val="sl-SI" w:eastAsia="en-GB"/>
              </w:rPr>
            </w:pPr>
          </w:p>
        </w:tc>
        <w:tc>
          <w:tcPr>
            <w:tcW w:w="528" w:type="pct"/>
            <w:vMerge/>
            <w:tcBorders>
              <w:top w:val="nil"/>
              <w:left w:val="single" w:sz="4" w:space="0" w:color="000000"/>
              <w:bottom w:val="single" w:sz="4" w:space="0" w:color="000000"/>
              <w:right w:val="single" w:sz="4" w:space="0" w:color="000000"/>
            </w:tcBorders>
            <w:shd w:val="clear" w:color="auto" w:fill="auto"/>
            <w:vAlign w:val="center"/>
          </w:tcPr>
          <w:p w14:paraId="7D3997C4" w14:textId="77777777" w:rsidR="00E03711" w:rsidRPr="00F769E0" w:rsidRDefault="00E03711" w:rsidP="00A13051">
            <w:pPr>
              <w:pStyle w:val="Guide-Table"/>
              <w:spacing w:beforeLines="60" w:before="144" w:afterLines="60" w:after="144"/>
              <w:jc w:val="left"/>
              <w:rPr>
                <w:rFonts w:cs="Tahoma"/>
                <w:sz w:val="2"/>
                <w:szCs w:val="2"/>
                <w:lang w:val="sl-SI" w:eastAsia="en-GB"/>
              </w:rPr>
            </w:pPr>
          </w:p>
        </w:tc>
        <w:tc>
          <w:tcPr>
            <w:tcW w:w="1135" w:type="pct"/>
            <w:gridSpan w:val="2"/>
            <w:tcBorders>
              <w:top w:val="single" w:sz="4" w:space="0" w:color="000000"/>
              <w:left w:val="single" w:sz="4" w:space="0" w:color="000000"/>
              <w:bottom w:val="single" w:sz="4" w:space="0" w:color="000000"/>
              <w:right w:val="single" w:sz="4" w:space="0" w:color="000000"/>
            </w:tcBorders>
            <w:shd w:val="clear" w:color="auto" w:fill="auto"/>
          </w:tcPr>
          <w:p w14:paraId="7D3997C5" w14:textId="77777777" w:rsidR="00E03711" w:rsidRPr="00F769E0" w:rsidRDefault="00E03711" w:rsidP="00393E70">
            <w:pPr>
              <w:pStyle w:val="GUIDE-NORMAL"/>
              <w:spacing w:before="60" w:after="60"/>
              <w:jc w:val="left"/>
              <w:rPr>
                <w:rFonts w:cs="Tahoma"/>
                <w:lang w:val="sl-SI" w:eastAsia="en-GB"/>
              </w:rPr>
            </w:pPr>
            <w:r w:rsidRPr="00201AA5">
              <w:rPr>
                <w:rFonts w:cs="Tahoma"/>
                <w:bdr w:val="single" w:sz="4" w:space="0" w:color="auto"/>
                <w:lang w:val="sl-SI" w:eastAsia="en-GB"/>
              </w:rPr>
              <w:t>B4.4</w:t>
            </w:r>
            <w:r w:rsidRPr="00F769E0">
              <w:rPr>
                <w:rFonts w:cs="Tahoma"/>
                <w:lang w:val="sl-SI" w:eastAsia="en-GB"/>
              </w:rPr>
              <w:t xml:space="preserve"> na vključeno administrativno osebje na dan dela na projektu</w:t>
            </w:r>
          </w:p>
        </w:tc>
        <w:tc>
          <w:tcPr>
            <w:tcW w:w="587" w:type="pct"/>
            <w:vMerge/>
            <w:tcBorders>
              <w:top w:val="nil"/>
              <w:left w:val="single" w:sz="4" w:space="0" w:color="000000"/>
              <w:bottom w:val="single" w:sz="4" w:space="0" w:color="000000"/>
              <w:right w:val="single" w:sz="4" w:space="0" w:color="000000"/>
            </w:tcBorders>
            <w:shd w:val="clear" w:color="auto" w:fill="auto"/>
            <w:vAlign w:val="center"/>
          </w:tcPr>
          <w:p w14:paraId="7D3997C6" w14:textId="77777777" w:rsidR="00E03711" w:rsidRPr="00F769E0" w:rsidRDefault="00E03711" w:rsidP="00393E70">
            <w:pPr>
              <w:pStyle w:val="GUIDE-NORMAL"/>
              <w:spacing w:before="60" w:after="60"/>
              <w:jc w:val="left"/>
              <w:rPr>
                <w:rFonts w:cs="Tahoma"/>
                <w:lang w:val="sl-SI" w:eastAsia="en-GB"/>
              </w:rPr>
            </w:pPr>
          </w:p>
        </w:tc>
        <w:tc>
          <w:tcPr>
            <w:tcW w:w="1040" w:type="pct"/>
            <w:vMerge/>
            <w:tcBorders>
              <w:top w:val="nil"/>
              <w:left w:val="single" w:sz="4" w:space="0" w:color="000000"/>
              <w:bottom w:val="single" w:sz="4" w:space="0" w:color="000000"/>
              <w:right w:val="single" w:sz="4" w:space="0" w:color="000000"/>
            </w:tcBorders>
            <w:shd w:val="clear" w:color="auto" w:fill="auto"/>
            <w:vAlign w:val="center"/>
          </w:tcPr>
          <w:p w14:paraId="7D3997C7" w14:textId="77777777" w:rsidR="00E03711" w:rsidRPr="00F769E0" w:rsidRDefault="00E03711" w:rsidP="00393E70">
            <w:pPr>
              <w:pStyle w:val="GUIDE-NORMAL"/>
              <w:spacing w:before="60" w:after="60"/>
              <w:jc w:val="left"/>
              <w:rPr>
                <w:rFonts w:cs="Tahoma"/>
                <w:lang w:val="sl-SI" w:eastAsia="en-GB"/>
              </w:rPr>
            </w:pPr>
          </w:p>
        </w:tc>
      </w:tr>
      <w:tr w:rsidR="00E03711" w:rsidRPr="00C60205" w14:paraId="7D3997CE" w14:textId="77777777" w:rsidTr="00AD60C0">
        <w:trPr>
          <w:trHeight w:val="900"/>
        </w:trPr>
        <w:tc>
          <w:tcPr>
            <w:tcW w:w="4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7C9" w14:textId="77777777" w:rsidR="00E03711" w:rsidRPr="00F769E0" w:rsidRDefault="00E03711" w:rsidP="00C240B8">
            <w:pPr>
              <w:pStyle w:val="GUIDE-NORMAL"/>
              <w:spacing w:before="60" w:after="60"/>
              <w:rPr>
                <w:rFonts w:cs="Tahoma"/>
                <w:b/>
                <w:lang w:val="sl-SI" w:eastAsia="en-GB"/>
              </w:rPr>
            </w:pPr>
            <w:r w:rsidRPr="00F769E0">
              <w:rPr>
                <w:rFonts w:cs="Tahoma"/>
                <w:b/>
                <w:lang w:val="sl-SI" w:eastAsia="en-GB"/>
              </w:rPr>
              <w:t>Potni stroški</w:t>
            </w:r>
          </w:p>
        </w:tc>
        <w:tc>
          <w:tcPr>
            <w:tcW w:w="124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7CA" w14:textId="77777777" w:rsidR="00E03711" w:rsidRPr="00F769E0" w:rsidRDefault="00E03711" w:rsidP="00393E70">
            <w:pPr>
              <w:pStyle w:val="GUIDE-NORMAL"/>
              <w:spacing w:before="60" w:after="60"/>
              <w:jc w:val="left"/>
              <w:rPr>
                <w:rFonts w:cs="Tahoma"/>
                <w:lang w:val="sl-SI" w:eastAsia="en-GB"/>
              </w:rPr>
            </w:pPr>
            <w:r w:rsidRPr="00F769E0">
              <w:rPr>
                <w:rFonts w:cs="Tahoma"/>
                <w:lang w:val="sl-SI" w:eastAsia="en-GB"/>
              </w:rPr>
              <w:t>Prispevek k potnim stroškom študentov in osebja, vključenih v projekt, od kraja izvora do kraja izvajanja aktivnosti in nazaj (vključno s stroški za vizumsko takso in povezano obvezno zavarovanje ter potovaln</w:t>
            </w:r>
            <w:r>
              <w:rPr>
                <w:rFonts w:cs="Tahoma"/>
                <w:lang w:val="sl-SI" w:eastAsia="en-GB"/>
              </w:rPr>
              <w:t xml:space="preserve">o zavarovanje in odpoved poti, </w:t>
            </w:r>
            <w:r w:rsidRPr="00F769E0">
              <w:rPr>
                <w:rFonts w:cs="Tahoma"/>
                <w:lang w:val="sl-SI" w:eastAsia="en-GB"/>
              </w:rPr>
              <w:t>če so utemeljeni). Aktivnosti in povezane poti se morajo izvajati v državah, vključenih v projekt. Vsako izjemo od tega pravila mora odobriti Agencija. Za podroben seznam upravičenih aktivnosti glej Prilogo I k temu vodniku.</w:t>
            </w:r>
          </w:p>
        </w:tc>
        <w:tc>
          <w:tcPr>
            <w:tcW w:w="52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7CB" w14:textId="77777777" w:rsidR="00E03711" w:rsidRPr="00F769E0" w:rsidRDefault="00E03711" w:rsidP="00393E70">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7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3997CC" w14:textId="77777777" w:rsidR="00E03711" w:rsidRPr="00F769E0" w:rsidRDefault="00E03711" w:rsidP="00393E70">
            <w:pPr>
              <w:pStyle w:val="GUIDE-NORMAL"/>
              <w:spacing w:before="0" w:after="0"/>
              <w:jc w:val="left"/>
              <w:rPr>
                <w:rFonts w:cs="Tahoma"/>
                <w:lang w:val="sl-SI" w:eastAsia="en-GB"/>
              </w:rPr>
            </w:pPr>
            <w:r w:rsidRPr="00F769E0">
              <w:rPr>
                <w:rFonts w:cs="Tahoma"/>
                <w:lang w:val="sl-SI" w:eastAsia="en-GB"/>
              </w:rPr>
              <w:t xml:space="preserve">Za razdalje od 10 do 99 km: </w:t>
            </w:r>
            <w:r w:rsidRPr="00F769E0">
              <w:rPr>
                <w:rFonts w:cs="Tahoma"/>
                <w:lang w:val="sl-SI" w:eastAsia="en-GB"/>
              </w:rPr>
              <w:br/>
              <w:t>20 EUR na udeleženca</w:t>
            </w:r>
          </w:p>
        </w:tc>
        <w:tc>
          <w:tcPr>
            <w:tcW w:w="1040" w:type="pct"/>
            <w:vMerge w:val="restart"/>
            <w:tcBorders>
              <w:top w:val="single" w:sz="4" w:space="0" w:color="000000"/>
              <w:left w:val="single" w:sz="4" w:space="0" w:color="000000"/>
              <w:right w:val="single" w:sz="4" w:space="0" w:color="000000"/>
            </w:tcBorders>
            <w:shd w:val="clear" w:color="auto" w:fill="auto"/>
            <w:vAlign w:val="center"/>
          </w:tcPr>
          <w:p w14:paraId="7D3997CD" w14:textId="77777777" w:rsidR="00E03711" w:rsidRPr="00F769E0" w:rsidRDefault="00E03711" w:rsidP="00393E70">
            <w:pPr>
              <w:pStyle w:val="GUIDE-NORMAL"/>
              <w:spacing w:before="60" w:after="60"/>
              <w:jc w:val="left"/>
              <w:rPr>
                <w:rFonts w:cs="Tahoma"/>
                <w:lang w:val="sl-SI" w:eastAsia="en-GB"/>
              </w:rPr>
            </w:pPr>
            <w:r w:rsidRPr="00F769E0">
              <w:rPr>
                <w:rFonts w:cs="Tahoma"/>
                <w:lang w:val="sl-SI" w:eastAsia="en-GB"/>
              </w:rPr>
              <w:t>Glede na razdaljo poti na udeleženca. Razdaljo je treba izračunati s kalkulatorjem razdalje, ki ga podpira Evropska komisija</w:t>
            </w:r>
            <w:r w:rsidRPr="00F769E0">
              <w:rPr>
                <w:rStyle w:val="FootnoteReference"/>
                <w:rFonts w:cs="Tahoma"/>
                <w:lang w:val="sl-SI" w:eastAsia="en-GB"/>
              </w:rPr>
              <w:footnoteReference w:id="209"/>
            </w:r>
            <w:r w:rsidRPr="00F769E0">
              <w:rPr>
                <w:rFonts w:cs="Tahoma"/>
                <w:lang w:val="sl-SI" w:eastAsia="en-GB"/>
              </w:rPr>
              <w:t>. Prijavitelj mora navesti razdaljo enosmerne poti za izračun zneska nepovratnih sredstev EU za kritje povratne poti</w:t>
            </w:r>
            <w:r w:rsidRPr="00F769E0">
              <w:rPr>
                <w:rStyle w:val="FootnoteReference"/>
                <w:rFonts w:cs="Tahoma"/>
                <w:lang w:val="sl-SI" w:eastAsia="en-GB"/>
              </w:rPr>
              <w:footnoteReference w:id="210"/>
            </w:r>
            <w:r w:rsidRPr="00F769E0">
              <w:rPr>
                <w:rFonts w:cs="Tahoma"/>
                <w:lang w:val="sl-SI" w:eastAsia="en-GB"/>
              </w:rPr>
              <w:t>. Finančna podpora bo zagotovljena samo za poti, ki so neposredno povezane z doseganjem ciljev projekta.</w:t>
            </w:r>
          </w:p>
        </w:tc>
      </w:tr>
      <w:tr w:rsidR="00E03711" w:rsidRPr="00C60205" w14:paraId="7D3997D4" w14:textId="77777777" w:rsidTr="00AD60C0">
        <w:trPr>
          <w:trHeight w:val="901"/>
        </w:trPr>
        <w:tc>
          <w:tcPr>
            <w:tcW w:w="463" w:type="pct"/>
            <w:vMerge/>
            <w:tcBorders>
              <w:top w:val="nil"/>
              <w:left w:val="single" w:sz="4" w:space="0" w:color="000000"/>
              <w:bottom w:val="single" w:sz="4" w:space="0" w:color="000000"/>
              <w:right w:val="single" w:sz="4" w:space="0" w:color="000000"/>
            </w:tcBorders>
            <w:shd w:val="clear" w:color="auto" w:fill="auto"/>
          </w:tcPr>
          <w:p w14:paraId="7D3997CF" w14:textId="77777777" w:rsidR="00E03711" w:rsidRPr="00F769E0" w:rsidRDefault="00E03711" w:rsidP="00A13051">
            <w:pPr>
              <w:pStyle w:val="Guide-Table"/>
              <w:spacing w:beforeLines="60" w:before="144" w:afterLines="60" w:after="144"/>
              <w:rPr>
                <w:rFonts w:cs="Tahoma"/>
                <w:sz w:val="2"/>
                <w:szCs w:val="2"/>
                <w:lang w:val="sl-SI" w:eastAsia="en-GB"/>
              </w:rPr>
            </w:pPr>
          </w:p>
        </w:tc>
        <w:tc>
          <w:tcPr>
            <w:tcW w:w="1248" w:type="pct"/>
            <w:vMerge/>
            <w:tcBorders>
              <w:top w:val="nil"/>
              <w:left w:val="single" w:sz="4" w:space="0" w:color="000000"/>
              <w:bottom w:val="single" w:sz="4" w:space="0" w:color="000000"/>
              <w:right w:val="single" w:sz="4" w:space="0" w:color="000000"/>
            </w:tcBorders>
            <w:shd w:val="clear" w:color="auto" w:fill="auto"/>
          </w:tcPr>
          <w:p w14:paraId="7D3997D0" w14:textId="77777777" w:rsidR="00E03711" w:rsidRPr="00F769E0" w:rsidRDefault="00E03711" w:rsidP="00A13051">
            <w:pPr>
              <w:pStyle w:val="Guide-Table"/>
              <w:spacing w:beforeLines="60" w:before="144" w:afterLines="60" w:after="144"/>
              <w:rPr>
                <w:rFonts w:cs="Tahoma"/>
                <w:sz w:val="2"/>
                <w:szCs w:val="2"/>
                <w:lang w:val="sl-SI" w:eastAsia="en-GB"/>
              </w:rPr>
            </w:pPr>
          </w:p>
        </w:tc>
        <w:tc>
          <w:tcPr>
            <w:tcW w:w="528" w:type="pct"/>
            <w:vMerge/>
            <w:tcBorders>
              <w:top w:val="nil"/>
              <w:left w:val="single" w:sz="4" w:space="0" w:color="000000"/>
              <w:bottom w:val="single" w:sz="4" w:space="0" w:color="000000"/>
              <w:right w:val="single" w:sz="4" w:space="0" w:color="000000"/>
            </w:tcBorders>
            <w:shd w:val="clear" w:color="auto" w:fill="auto"/>
          </w:tcPr>
          <w:p w14:paraId="7D3997D1" w14:textId="77777777" w:rsidR="00E03711" w:rsidRPr="00F769E0" w:rsidRDefault="00E03711" w:rsidP="00A13051">
            <w:pPr>
              <w:pStyle w:val="Guide-Table"/>
              <w:spacing w:beforeLines="60" w:before="144" w:afterLines="60" w:after="144"/>
              <w:rPr>
                <w:rFonts w:cs="Tahoma"/>
                <w:sz w:val="2"/>
                <w:szCs w:val="2"/>
                <w:lang w:val="sl-SI" w:eastAsia="en-GB"/>
              </w:rPr>
            </w:pPr>
          </w:p>
        </w:tc>
        <w:tc>
          <w:tcPr>
            <w:tcW w:w="17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3997D2" w14:textId="77777777" w:rsidR="00E03711" w:rsidRPr="00F769E0" w:rsidRDefault="00E03711" w:rsidP="00393E70">
            <w:pPr>
              <w:pStyle w:val="GUIDE-NORMAL"/>
              <w:spacing w:before="0" w:after="0"/>
              <w:jc w:val="left"/>
              <w:rPr>
                <w:rFonts w:cs="Tahoma"/>
                <w:lang w:val="sl-SI" w:eastAsia="en-GB"/>
              </w:rPr>
            </w:pPr>
            <w:r w:rsidRPr="00F769E0">
              <w:rPr>
                <w:rFonts w:cs="Tahoma"/>
                <w:lang w:val="sl-SI" w:eastAsia="en-GB"/>
              </w:rPr>
              <w:t xml:space="preserve">Za razdalje od 100 do 499 km: </w:t>
            </w:r>
            <w:r w:rsidRPr="00F769E0">
              <w:rPr>
                <w:rFonts w:cs="Tahoma"/>
                <w:lang w:val="sl-SI" w:eastAsia="en-GB"/>
              </w:rPr>
              <w:br/>
              <w:t>180 EUR na udeleženca</w:t>
            </w:r>
          </w:p>
        </w:tc>
        <w:tc>
          <w:tcPr>
            <w:tcW w:w="1040" w:type="pct"/>
            <w:vMerge/>
            <w:tcBorders>
              <w:left w:val="single" w:sz="4" w:space="0" w:color="000000"/>
              <w:right w:val="single" w:sz="4" w:space="0" w:color="000000"/>
            </w:tcBorders>
            <w:shd w:val="clear" w:color="auto" w:fill="auto"/>
          </w:tcPr>
          <w:p w14:paraId="7D3997D3" w14:textId="77777777" w:rsidR="00E03711" w:rsidRPr="00F769E0" w:rsidRDefault="00E03711" w:rsidP="009B3404">
            <w:pPr>
              <w:pStyle w:val="GUIDE-NORMAL"/>
              <w:spacing w:before="60" w:after="60"/>
              <w:jc w:val="left"/>
              <w:rPr>
                <w:rFonts w:cs="Tahoma"/>
                <w:lang w:val="sl-SI" w:eastAsia="en-GB"/>
              </w:rPr>
            </w:pPr>
          </w:p>
        </w:tc>
      </w:tr>
      <w:tr w:rsidR="00E03711" w:rsidRPr="00C60205" w14:paraId="7D3997DA" w14:textId="77777777" w:rsidTr="00AD60C0">
        <w:trPr>
          <w:trHeight w:val="901"/>
        </w:trPr>
        <w:tc>
          <w:tcPr>
            <w:tcW w:w="463" w:type="pct"/>
            <w:vMerge/>
            <w:tcBorders>
              <w:top w:val="nil"/>
              <w:left w:val="single" w:sz="4" w:space="0" w:color="000000"/>
              <w:bottom w:val="single" w:sz="4" w:space="0" w:color="000000"/>
              <w:right w:val="single" w:sz="4" w:space="0" w:color="000000"/>
            </w:tcBorders>
            <w:shd w:val="clear" w:color="auto" w:fill="auto"/>
          </w:tcPr>
          <w:p w14:paraId="7D3997D5" w14:textId="77777777" w:rsidR="00E03711" w:rsidRPr="00F769E0" w:rsidRDefault="00E03711" w:rsidP="00A13051">
            <w:pPr>
              <w:pStyle w:val="Guide-Table"/>
              <w:spacing w:beforeLines="60" w:before="144" w:afterLines="60" w:after="144"/>
              <w:rPr>
                <w:rFonts w:cs="Tahoma"/>
                <w:sz w:val="2"/>
                <w:szCs w:val="2"/>
                <w:lang w:val="sl-SI" w:eastAsia="en-GB"/>
              </w:rPr>
            </w:pPr>
          </w:p>
        </w:tc>
        <w:tc>
          <w:tcPr>
            <w:tcW w:w="1248" w:type="pct"/>
            <w:vMerge/>
            <w:tcBorders>
              <w:top w:val="nil"/>
              <w:left w:val="single" w:sz="4" w:space="0" w:color="000000"/>
              <w:bottom w:val="single" w:sz="4" w:space="0" w:color="000000"/>
              <w:right w:val="single" w:sz="4" w:space="0" w:color="000000"/>
            </w:tcBorders>
            <w:shd w:val="clear" w:color="auto" w:fill="auto"/>
          </w:tcPr>
          <w:p w14:paraId="7D3997D6" w14:textId="77777777" w:rsidR="00E03711" w:rsidRPr="00F769E0" w:rsidRDefault="00E03711" w:rsidP="00A13051">
            <w:pPr>
              <w:pStyle w:val="Guide-Table"/>
              <w:spacing w:beforeLines="60" w:before="144" w:afterLines="60" w:after="144"/>
              <w:rPr>
                <w:rFonts w:cs="Tahoma"/>
                <w:sz w:val="2"/>
                <w:szCs w:val="2"/>
                <w:lang w:val="sl-SI" w:eastAsia="en-GB"/>
              </w:rPr>
            </w:pPr>
          </w:p>
        </w:tc>
        <w:tc>
          <w:tcPr>
            <w:tcW w:w="528" w:type="pct"/>
            <w:vMerge/>
            <w:tcBorders>
              <w:top w:val="nil"/>
              <w:left w:val="single" w:sz="4" w:space="0" w:color="000000"/>
              <w:bottom w:val="single" w:sz="4" w:space="0" w:color="000000"/>
              <w:right w:val="single" w:sz="4" w:space="0" w:color="000000"/>
            </w:tcBorders>
            <w:shd w:val="clear" w:color="auto" w:fill="auto"/>
          </w:tcPr>
          <w:p w14:paraId="7D3997D7" w14:textId="77777777" w:rsidR="00E03711" w:rsidRPr="00F769E0" w:rsidRDefault="00E03711" w:rsidP="00A13051">
            <w:pPr>
              <w:pStyle w:val="Guide-Table"/>
              <w:spacing w:beforeLines="60" w:before="144" w:afterLines="60" w:after="144"/>
              <w:rPr>
                <w:rFonts w:cs="Tahoma"/>
                <w:sz w:val="2"/>
                <w:szCs w:val="2"/>
                <w:lang w:val="sl-SI" w:eastAsia="en-GB"/>
              </w:rPr>
            </w:pPr>
          </w:p>
        </w:tc>
        <w:tc>
          <w:tcPr>
            <w:tcW w:w="17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3997D8" w14:textId="77777777" w:rsidR="00E03711" w:rsidRPr="00F769E0" w:rsidRDefault="00E03711" w:rsidP="00393E70">
            <w:pPr>
              <w:pStyle w:val="GUIDE-NORMAL"/>
              <w:spacing w:before="0" w:after="0"/>
              <w:jc w:val="left"/>
              <w:rPr>
                <w:rFonts w:cs="Tahoma"/>
                <w:lang w:val="sl-SI" w:eastAsia="en-GB"/>
              </w:rPr>
            </w:pPr>
            <w:r w:rsidRPr="00F769E0">
              <w:rPr>
                <w:rFonts w:cs="Tahoma"/>
                <w:lang w:val="sl-SI" w:eastAsia="en-GB"/>
              </w:rPr>
              <w:t xml:space="preserve">Za razdalje od 500 do 1 999 km: </w:t>
            </w:r>
            <w:r w:rsidRPr="00F769E0">
              <w:rPr>
                <w:rFonts w:cs="Tahoma"/>
                <w:lang w:val="sl-SI" w:eastAsia="en-GB"/>
              </w:rPr>
              <w:br/>
              <w:t>275 EUR na udeleženca</w:t>
            </w:r>
          </w:p>
        </w:tc>
        <w:tc>
          <w:tcPr>
            <w:tcW w:w="1040" w:type="pct"/>
            <w:vMerge/>
            <w:tcBorders>
              <w:left w:val="single" w:sz="4" w:space="0" w:color="000000"/>
              <w:right w:val="single" w:sz="4" w:space="0" w:color="000000"/>
            </w:tcBorders>
            <w:shd w:val="clear" w:color="auto" w:fill="auto"/>
          </w:tcPr>
          <w:p w14:paraId="7D3997D9" w14:textId="77777777" w:rsidR="00E03711" w:rsidRPr="00F769E0" w:rsidRDefault="00E03711" w:rsidP="009B3404">
            <w:pPr>
              <w:pStyle w:val="GUIDE-NORMAL"/>
              <w:spacing w:before="60" w:after="60"/>
              <w:jc w:val="left"/>
              <w:rPr>
                <w:rFonts w:cs="Tahoma"/>
                <w:lang w:val="sl-SI" w:eastAsia="en-GB"/>
              </w:rPr>
            </w:pPr>
          </w:p>
        </w:tc>
      </w:tr>
      <w:tr w:rsidR="00E03711" w:rsidRPr="00C60205" w14:paraId="7D3997E0" w14:textId="77777777" w:rsidTr="00AD60C0">
        <w:trPr>
          <w:trHeight w:val="900"/>
        </w:trPr>
        <w:tc>
          <w:tcPr>
            <w:tcW w:w="463" w:type="pct"/>
            <w:vMerge/>
            <w:tcBorders>
              <w:top w:val="nil"/>
              <w:left w:val="single" w:sz="4" w:space="0" w:color="000000"/>
              <w:bottom w:val="single" w:sz="4" w:space="0" w:color="000000"/>
              <w:right w:val="single" w:sz="4" w:space="0" w:color="000000"/>
            </w:tcBorders>
            <w:shd w:val="clear" w:color="auto" w:fill="auto"/>
          </w:tcPr>
          <w:p w14:paraId="7D3997DB" w14:textId="77777777" w:rsidR="00E03711" w:rsidRPr="00F769E0" w:rsidRDefault="00E03711" w:rsidP="00A13051">
            <w:pPr>
              <w:pStyle w:val="Guide-Table"/>
              <w:spacing w:beforeLines="60" w:before="144" w:afterLines="60" w:after="144"/>
              <w:rPr>
                <w:rFonts w:cs="Tahoma"/>
                <w:sz w:val="2"/>
                <w:szCs w:val="2"/>
                <w:lang w:val="sl-SI" w:eastAsia="en-GB"/>
              </w:rPr>
            </w:pPr>
          </w:p>
        </w:tc>
        <w:tc>
          <w:tcPr>
            <w:tcW w:w="1248" w:type="pct"/>
            <w:vMerge/>
            <w:tcBorders>
              <w:top w:val="nil"/>
              <w:left w:val="single" w:sz="4" w:space="0" w:color="000000"/>
              <w:bottom w:val="single" w:sz="4" w:space="0" w:color="000000"/>
              <w:right w:val="single" w:sz="4" w:space="0" w:color="000000"/>
            </w:tcBorders>
            <w:shd w:val="clear" w:color="auto" w:fill="auto"/>
          </w:tcPr>
          <w:p w14:paraId="7D3997DC" w14:textId="77777777" w:rsidR="00E03711" w:rsidRPr="00F769E0" w:rsidRDefault="00E03711" w:rsidP="00A13051">
            <w:pPr>
              <w:pStyle w:val="Guide-Table"/>
              <w:spacing w:beforeLines="60" w:before="144" w:afterLines="60" w:after="144"/>
              <w:rPr>
                <w:rFonts w:cs="Tahoma"/>
                <w:sz w:val="2"/>
                <w:szCs w:val="2"/>
                <w:lang w:val="sl-SI" w:eastAsia="en-GB"/>
              </w:rPr>
            </w:pPr>
          </w:p>
        </w:tc>
        <w:tc>
          <w:tcPr>
            <w:tcW w:w="528" w:type="pct"/>
            <w:vMerge/>
            <w:tcBorders>
              <w:top w:val="nil"/>
              <w:left w:val="single" w:sz="4" w:space="0" w:color="000000"/>
              <w:bottom w:val="single" w:sz="4" w:space="0" w:color="000000"/>
              <w:right w:val="single" w:sz="4" w:space="0" w:color="000000"/>
            </w:tcBorders>
            <w:shd w:val="clear" w:color="auto" w:fill="auto"/>
          </w:tcPr>
          <w:p w14:paraId="7D3997DD" w14:textId="77777777" w:rsidR="00E03711" w:rsidRPr="00F769E0" w:rsidRDefault="00E03711" w:rsidP="00A13051">
            <w:pPr>
              <w:pStyle w:val="Guide-Table"/>
              <w:spacing w:beforeLines="60" w:before="144" w:afterLines="60" w:after="144"/>
              <w:rPr>
                <w:rFonts w:cs="Tahoma"/>
                <w:sz w:val="2"/>
                <w:szCs w:val="2"/>
                <w:lang w:val="sl-SI" w:eastAsia="en-GB"/>
              </w:rPr>
            </w:pPr>
          </w:p>
        </w:tc>
        <w:tc>
          <w:tcPr>
            <w:tcW w:w="17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3997DE" w14:textId="77777777" w:rsidR="00E03711" w:rsidRPr="00F769E0" w:rsidRDefault="00E03711" w:rsidP="00393E70">
            <w:pPr>
              <w:pStyle w:val="GUIDE-NORMAL"/>
              <w:spacing w:before="0" w:after="0"/>
              <w:jc w:val="left"/>
              <w:rPr>
                <w:rFonts w:cs="Tahoma"/>
                <w:lang w:val="sl-SI" w:eastAsia="en-GB"/>
              </w:rPr>
            </w:pPr>
            <w:r w:rsidRPr="00F769E0">
              <w:rPr>
                <w:rFonts w:cs="Tahoma"/>
                <w:lang w:val="sl-SI" w:eastAsia="en-GB"/>
              </w:rPr>
              <w:t xml:space="preserve">Za razdalje od 2 000 do 2 999 km: </w:t>
            </w:r>
            <w:r w:rsidRPr="00F769E0">
              <w:rPr>
                <w:rFonts w:cs="Tahoma"/>
                <w:lang w:val="sl-SI" w:eastAsia="en-GB"/>
              </w:rPr>
              <w:br/>
              <w:t>360 EUR na udeleženca</w:t>
            </w:r>
          </w:p>
        </w:tc>
        <w:tc>
          <w:tcPr>
            <w:tcW w:w="1040" w:type="pct"/>
            <w:vMerge/>
            <w:tcBorders>
              <w:left w:val="single" w:sz="4" w:space="0" w:color="000000"/>
              <w:right w:val="single" w:sz="4" w:space="0" w:color="000000"/>
            </w:tcBorders>
            <w:shd w:val="clear" w:color="auto" w:fill="auto"/>
          </w:tcPr>
          <w:p w14:paraId="7D3997DF" w14:textId="77777777" w:rsidR="00E03711" w:rsidRPr="00F769E0" w:rsidRDefault="00E03711" w:rsidP="009B3404">
            <w:pPr>
              <w:pStyle w:val="GUIDE-NORMAL"/>
              <w:spacing w:before="60" w:after="60"/>
              <w:jc w:val="left"/>
              <w:rPr>
                <w:rFonts w:cs="Tahoma"/>
                <w:lang w:val="sl-SI" w:eastAsia="en-GB"/>
              </w:rPr>
            </w:pPr>
          </w:p>
        </w:tc>
      </w:tr>
      <w:tr w:rsidR="00E03711" w:rsidRPr="00C60205" w14:paraId="7D3997E6" w14:textId="77777777" w:rsidTr="00AD60C0">
        <w:trPr>
          <w:trHeight w:val="901"/>
        </w:trPr>
        <w:tc>
          <w:tcPr>
            <w:tcW w:w="463" w:type="pct"/>
            <w:vMerge/>
            <w:tcBorders>
              <w:top w:val="nil"/>
              <w:left w:val="single" w:sz="4" w:space="0" w:color="000000"/>
              <w:bottom w:val="single" w:sz="4" w:space="0" w:color="000000"/>
              <w:right w:val="single" w:sz="4" w:space="0" w:color="000000"/>
            </w:tcBorders>
            <w:shd w:val="clear" w:color="auto" w:fill="auto"/>
          </w:tcPr>
          <w:p w14:paraId="7D3997E1" w14:textId="77777777" w:rsidR="00E03711" w:rsidRPr="00F769E0" w:rsidRDefault="00E03711" w:rsidP="00A13051">
            <w:pPr>
              <w:pStyle w:val="Guide-Table"/>
              <w:spacing w:beforeLines="60" w:before="144" w:afterLines="60" w:after="144"/>
              <w:rPr>
                <w:rFonts w:cs="Tahoma"/>
                <w:sz w:val="2"/>
                <w:szCs w:val="2"/>
                <w:lang w:val="sl-SI" w:eastAsia="en-GB"/>
              </w:rPr>
            </w:pPr>
          </w:p>
        </w:tc>
        <w:tc>
          <w:tcPr>
            <w:tcW w:w="1248" w:type="pct"/>
            <w:vMerge/>
            <w:tcBorders>
              <w:top w:val="nil"/>
              <w:left w:val="single" w:sz="4" w:space="0" w:color="000000"/>
              <w:bottom w:val="single" w:sz="4" w:space="0" w:color="000000"/>
              <w:right w:val="single" w:sz="4" w:space="0" w:color="000000"/>
            </w:tcBorders>
            <w:shd w:val="clear" w:color="auto" w:fill="auto"/>
          </w:tcPr>
          <w:p w14:paraId="7D3997E2" w14:textId="77777777" w:rsidR="00E03711" w:rsidRPr="00F769E0" w:rsidRDefault="00E03711" w:rsidP="00A13051">
            <w:pPr>
              <w:pStyle w:val="Guide-Table"/>
              <w:spacing w:beforeLines="60" w:before="144" w:afterLines="60" w:after="144"/>
              <w:rPr>
                <w:rFonts w:cs="Tahoma"/>
                <w:sz w:val="2"/>
                <w:szCs w:val="2"/>
                <w:lang w:val="sl-SI" w:eastAsia="en-GB"/>
              </w:rPr>
            </w:pPr>
          </w:p>
        </w:tc>
        <w:tc>
          <w:tcPr>
            <w:tcW w:w="528" w:type="pct"/>
            <w:vMerge/>
            <w:tcBorders>
              <w:top w:val="nil"/>
              <w:left w:val="single" w:sz="4" w:space="0" w:color="000000"/>
              <w:bottom w:val="single" w:sz="4" w:space="0" w:color="000000"/>
              <w:right w:val="single" w:sz="4" w:space="0" w:color="000000"/>
            </w:tcBorders>
            <w:shd w:val="clear" w:color="auto" w:fill="auto"/>
          </w:tcPr>
          <w:p w14:paraId="7D3997E3" w14:textId="77777777" w:rsidR="00E03711" w:rsidRPr="00F769E0" w:rsidRDefault="00E03711" w:rsidP="00A13051">
            <w:pPr>
              <w:pStyle w:val="Guide-Table"/>
              <w:spacing w:beforeLines="60" w:before="144" w:afterLines="60" w:after="144"/>
              <w:rPr>
                <w:rFonts w:cs="Tahoma"/>
                <w:sz w:val="2"/>
                <w:szCs w:val="2"/>
                <w:lang w:val="sl-SI" w:eastAsia="en-GB"/>
              </w:rPr>
            </w:pPr>
          </w:p>
        </w:tc>
        <w:tc>
          <w:tcPr>
            <w:tcW w:w="17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3997E4" w14:textId="77777777" w:rsidR="00E03711" w:rsidRPr="00F769E0" w:rsidRDefault="00E03711" w:rsidP="00393E70">
            <w:pPr>
              <w:pStyle w:val="GUIDE-NORMAL"/>
              <w:spacing w:before="0" w:after="0"/>
              <w:jc w:val="left"/>
              <w:rPr>
                <w:rFonts w:cs="Tahoma"/>
                <w:lang w:val="sl-SI" w:eastAsia="en-GB"/>
              </w:rPr>
            </w:pPr>
            <w:r w:rsidRPr="00F769E0">
              <w:rPr>
                <w:rFonts w:cs="Tahoma"/>
                <w:lang w:val="sl-SI" w:eastAsia="en-GB"/>
              </w:rPr>
              <w:t xml:space="preserve">Za razdalje od 3 000 do 3 999 km: </w:t>
            </w:r>
            <w:r w:rsidRPr="00F769E0">
              <w:rPr>
                <w:rFonts w:cs="Tahoma"/>
                <w:lang w:val="sl-SI" w:eastAsia="en-GB"/>
              </w:rPr>
              <w:br/>
              <w:t>530 EUR na udeleženca</w:t>
            </w:r>
          </w:p>
        </w:tc>
        <w:tc>
          <w:tcPr>
            <w:tcW w:w="1040" w:type="pct"/>
            <w:vMerge/>
            <w:tcBorders>
              <w:left w:val="single" w:sz="4" w:space="0" w:color="000000"/>
              <w:right w:val="single" w:sz="4" w:space="0" w:color="000000"/>
            </w:tcBorders>
            <w:shd w:val="clear" w:color="auto" w:fill="auto"/>
          </w:tcPr>
          <w:p w14:paraId="7D3997E5" w14:textId="77777777" w:rsidR="00E03711" w:rsidRPr="00F769E0" w:rsidRDefault="00E03711" w:rsidP="009B3404">
            <w:pPr>
              <w:pStyle w:val="GUIDE-NORMAL"/>
              <w:spacing w:before="60" w:after="60"/>
              <w:jc w:val="left"/>
              <w:rPr>
                <w:rFonts w:cs="Tahoma"/>
                <w:lang w:val="sl-SI" w:eastAsia="en-GB"/>
              </w:rPr>
            </w:pPr>
          </w:p>
        </w:tc>
      </w:tr>
      <w:tr w:rsidR="00E03711" w:rsidRPr="00C60205" w14:paraId="7D3997EC" w14:textId="77777777" w:rsidTr="00AD60C0">
        <w:trPr>
          <w:trHeight w:val="901"/>
        </w:trPr>
        <w:tc>
          <w:tcPr>
            <w:tcW w:w="463" w:type="pct"/>
            <w:vMerge/>
            <w:tcBorders>
              <w:top w:val="nil"/>
              <w:left w:val="single" w:sz="4" w:space="0" w:color="000000"/>
              <w:bottom w:val="single" w:sz="4" w:space="0" w:color="000000"/>
              <w:right w:val="single" w:sz="4" w:space="0" w:color="000000"/>
            </w:tcBorders>
            <w:shd w:val="clear" w:color="auto" w:fill="auto"/>
          </w:tcPr>
          <w:p w14:paraId="7D3997E7" w14:textId="77777777" w:rsidR="00E03711" w:rsidRPr="001048FE" w:rsidRDefault="00E03711" w:rsidP="00511FB1">
            <w:pPr>
              <w:pStyle w:val="GUIDE-NORMAL"/>
              <w:spacing w:before="60" w:after="60"/>
              <w:rPr>
                <w:rFonts w:ascii="Times New Roman" w:hAnsi="Times New Roman"/>
                <w:lang w:val="sl-SI" w:eastAsia="en-GB"/>
              </w:rPr>
            </w:pPr>
          </w:p>
        </w:tc>
        <w:tc>
          <w:tcPr>
            <w:tcW w:w="1248" w:type="pct"/>
            <w:vMerge/>
            <w:tcBorders>
              <w:top w:val="nil"/>
              <w:left w:val="single" w:sz="4" w:space="0" w:color="000000"/>
              <w:bottom w:val="single" w:sz="4" w:space="0" w:color="000000"/>
              <w:right w:val="single" w:sz="4" w:space="0" w:color="000000"/>
            </w:tcBorders>
            <w:shd w:val="clear" w:color="auto" w:fill="auto"/>
          </w:tcPr>
          <w:p w14:paraId="7D3997E8" w14:textId="77777777" w:rsidR="00E03711" w:rsidRPr="001048FE" w:rsidRDefault="00E03711" w:rsidP="00511FB1">
            <w:pPr>
              <w:pStyle w:val="GUIDE-NORMAL"/>
              <w:spacing w:before="60" w:after="60"/>
              <w:rPr>
                <w:rFonts w:ascii="Times New Roman" w:hAnsi="Times New Roman"/>
                <w:lang w:val="sl-SI" w:eastAsia="en-GB"/>
              </w:rPr>
            </w:pPr>
          </w:p>
        </w:tc>
        <w:tc>
          <w:tcPr>
            <w:tcW w:w="528" w:type="pct"/>
            <w:vMerge/>
            <w:tcBorders>
              <w:top w:val="nil"/>
              <w:left w:val="single" w:sz="4" w:space="0" w:color="000000"/>
              <w:bottom w:val="single" w:sz="4" w:space="0" w:color="000000"/>
              <w:right w:val="single" w:sz="4" w:space="0" w:color="000000"/>
            </w:tcBorders>
            <w:shd w:val="clear" w:color="auto" w:fill="auto"/>
          </w:tcPr>
          <w:p w14:paraId="7D3997E9" w14:textId="77777777" w:rsidR="00E03711" w:rsidRPr="001048FE" w:rsidRDefault="00E03711" w:rsidP="00511FB1">
            <w:pPr>
              <w:pStyle w:val="GUIDE-NORMAL"/>
              <w:spacing w:before="60" w:after="60"/>
              <w:rPr>
                <w:rFonts w:ascii="Times New Roman" w:hAnsi="Times New Roman"/>
                <w:lang w:val="sl-SI" w:eastAsia="en-GB"/>
              </w:rPr>
            </w:pPr>
          </w:p>
        </w:tc>
        <w:tc>
          <w:tcPr>
            <w:tcW w:w="17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3997EA" w14:textId="77777777" w:rsidR="00E03711" w:rsidRPr="00F769E0" w:rsidRDefault="00E03711" w:rsidP="00393E70">
            <w:pPr>
              <w:pStyle w:val="GUIDE-NORMAL"/>
              <w:spacing w:before="0" w:after="0"/>
              <w:jc w:val="left"/>
              <w:rPr>
                <w:rFonts w:cs="Tahoma"/>
                <w:lang w:val="sl-SI" w:eastAsia="en-GB"/>
              </w:rPr>
            </w:pPr>
            <w:r w:rsidRPr="00F769E0">
              <w:rPr>
                <w:rFonts w:cs="Tahoma"/>
                <w:lang w:val="sl-SI" w:eastAsia="en-GB"/>
              </w:rPr>
              <w:t xml:space="preserve">Za razdalje od 4 000 do 7 999 km: </w:t>
            </w:r>
            <w:r w:rsidRPr="00F769E0">
              <w:rPr>
                <w:rFonts w:cs="Tahoma"/>
                <w:lang w:val="sl-SI" w:eastAsia="en-GB"/>
              </w:rPr>
              <w:br/>
              <w:t>820 EUR na udeleženca</w:t>
            </w:r>
          </w:p>
        </w:tc>
        <w:tc>
          <w:tcPr>
            <w:tcW w:w="1040" w:type="pct"/>
            <w:vMerge/>
            <w:tcBorders>
              <w:left w:val="single" w:sz="4" w:space="0" w:color="000000"/>
              <w:right w:val="single" w:sz="4" w:space="0" w:color="000000"/>
            </w:tcBorders>
            <w:shd w:val="clear" w:color="auto" w:fill="auto"/>
          </w:tcPr>
          <w:p w14:paraId="7D3997EB" w14:textId="77777777" w:rsidR="00E03711" w:rsidRPr="00F769E0" w:rsidRDefault="00E03711" w:rsidP="009B3404">
            <w:pPr>
              <w:pStyle w:val="GUIDE-NORMAL"/>
              <w:spacing w:before="60" w:after="60"/>
              <w:jc w:val="left"/>
              <w:rPr>
                <w:rFonts w:cs="Tahoma"/>
                <w:lang w:val="sl-SI" w:eastAsia="en-GB"/>
              </w:rPr>
            </w:pPr>
          </w:p>
        </w:tc>
      </w:tr>
      <w:tr w:rsidR="00E03711" w:rsidRPr="00C60205" w14:paraId="7D3997F2" w14:textId="77777777" w:rsidTr="00AD60C0">
        <w:trPr>
          <w:trHeight w:val="901"/>
        </w:trPr>
        <w:tc>
          <w:tcPr>
            <w:tcW w:w="463" w:type="pct"/>
            <w:vMerge/>
            <w:tcBorders>
              <w:top w:val="nil"/>
              <w:left w:val="single" w:sz="4" w:space="0" w:color="000000"/>
              <w:bottom w:val="single" w:sz="4" w:space="0" w:color="000000"/>
              <w:right w:val="single" w:sz="4" w:space="0" w:color="000000"/>
            </w:tcBorders>
            <w:shd w:val="clear" w:color="auto" w:fill="auto"/>
          </w:tcPr>
          <w:p w14:paraId="7D3997ED" w14:textId="77777777" w:rsidR="00E03711" w:rsidRPr="00F769E0" w:rsidRDefault="00E03711" w:rsidP="00511FB1">
            <w:pPr>
              <w:pStyle w:val="GUIDE-NORMAL"/>
              <w:spacing w:before="60" w:after="60"/>
              <w:rPr>
                <w:rFonts w:cs="Tahoma"/>
                <w:sz w:val="2"/>
                <w:szCs w:val="2"/>
                <w:lang w:val="sl-SI" w:eastAsia="en-GB"/>
              </w:rPr>
            </w:pPr>
          </w:p>
        </w:tc>
        <w:tc>
          <w:tcPr>
            <w:tcW w:w="1248" w:type="pct"/>
            <w:vMerge/>
            <w:tcBorders>
              <w:top w:val="nil"/>
              <w:left w:val="single" w:sz="4" w:space="0" w:color="000000"/>
              <w:bottom w:val="single" w:sz="4" w:space="0" w:color="000000"/>
              <w:right w:val="single" w:sz="4" w:space="0" w:color="000000"/>
            </w:tcBorders>
            <w:shd w:val="clear" w:color="auto" w:fill="auto"/>
          </w:tcPr>
          <w:p w14:paraId="7D3997EE" w14:textId="77777777" w:rsidR="00E03711" w:rsidRPr="00F769E0" w:rsidRDefault="00E03711" w:rsidP="00511FB1">
            <w:pPr>
              <w:pStyle w:val="GUIDE-NORMAL"/>
              <w:spacing w:before="60" w:after="60"/>
              <w:rPr>
                <w:rFonts w:cs="Tahoma"/>
                <w:sz w:val="2"/>
                <w:szCs w:val="2"/>
                <w:lang w:val="sl-SI" w:eastAsia="en-GB"/>
              </w:rPr>
            </w:pPr>
          </w:p>
        </w:tc>
        <w:tc>
          <w:tcPr>
            <w:tcW w:w="528" w:type="pct"/>
            <w:vMerge/>
            <w:tcBorders>
              <w:top w:val="nil"/>
              <w:left w:val="single" w:sz="4" w:space="0" w:color="000000"/>
              <w:bottom w:val="single" w:sz="4" w:space="0" w:color="000000"/>
              <w:right w:val="single" w:sz="4" w:space="0" w:color="000000"/>
            </w:tcBorders>
            <w:shd w:val="clear" w:color="auto" w:fill="auto"/>
          </w:tcPr>
          <w:p w14:paraId="7D3997EF" w14:textId="77777777" w:rsidR="00E03711" w:rsidRPr="00F769E0" w:rsidRDefault="00E03711" w:rsidP="00511FB1">
            <w:pPr>
              <w:pStyle w:val="GUIDE-NORMAL"/>
              <w:spacing w:before="60" w:after="60"/>
              <w:rPr>
                <w:rFonts w:cs="Tahoma"/>
                <w:sz w:val="2"/>
                <w:szCs w:val="2"/>
                <w:lang w:val="sl-SI" w:eastAsia="en-GB"/>
              </w:rPr>
            </w:pPr>
          </w:p>
        </w:tc>
        <w:tc>
          <w:tcPr>
            <w:tcW w:w="17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3997F0" w14:textId="77777777" w:rsidR="00E03711" w:rsidRPr="00F769E0" w:rsidRDefault="00E03711" w:rsidP="00393E70">
            <w:pPr>
              <w:pStyle w:val="GUIDE-NORMAL"/>
              <w:spacing w:before="0" w:after="0"/>
              <w:jc w:val="left"/>
              <w:rPr>
                <w:rFonts w:cs="Tahoma"/>
                <w:lang w:val="sl-SI" w:eastAsia="en-GB"/>
              </w:rPr>
            </w:pPr>
            <w:r w:rsidRPr="00F769E0">
              <w:rPr>
                <w:rFonts w:cs="Tahoma"/>
                <w:lang w:val="sl-SI" w:eastAsia="en-GB"/>
              </w:rPr>
              <w:t xml:space="preserve">Za razdalje 8 000 km ali več: </w:t>
            </w:r>
            <w:r w:rsidRPr="00F769E0">
              <w:rPr>
                <w:rFonts w:cs="Tahoma"/>
                <w:lang w:val="sl-SI" w:eastAsia="en-GB"/>
              </w:rPr>
              <w:br/>
              <w:t>1 500 EUR na udeleženca</w:t>
            </w:r>
          </w:p>
        </w:tc>
        <w:tc>
          <w:tcPr>
            <w:tcW w:w="1040" w:type="pct"/>
            <w:vMerge/>
            <w:tcBorders>
              <w:left w:val="single" w:sz="4" w:space="0" w:color="000000"/>
              <w:bottom w:val="single" w:sz="4" w:space="0" w:color="000000"/>
              <w:right w:val="single" w:sz="4" w:space="0" w:color="000000"/>
            </w:tcBorders>
            <w:shd w:val="clear" w:color="auto" w:fill="auto"/>
          </w:tcPr>
          <w:p w14:paraId="7D3997F1" w14:textId="77777777" w:rsidR="00E03711" w:rsidRPr="00F769E0" w:rsidRDefault="00E03711" w:rsidP="009B3404">
            <w:pPr>
              <w:pStyle w:val="GUIDE-NORMAL"/>
              <w:spacing w:before="60" w:after="60"/>
              <w:jc w:val="left"/>
              <w:rPr>
                <w:rFonts w:cs="Tahoma"/>
                <w:lang w:val="sl-SI" w:eastAsia="en-GB"/>
              </w:rPr>
            </w:pPr>
          </w:p>
        </w:tc>
      </w:tr>
      <w:tr w:rsidR="00E03711" w:rsidRPr="00C60205" w14:paraId="7D3997FC" w14:textId="77777777" w:rsidTr="00AD60C0">
        <w:trPr>
          <w:trHeight w:val="20"/>
        </w:trPr>
        <w:tc>
          <w:tcPr>
            <w:tcW w:w="463" w:type="pct"/>
            <w:vMerge w:val="restart"/>
            <w:tcBorders>
              <w:top w:val="single" w:sz="4" w:space="0" w:color="000000"/>
              <w:left w:val="single" w:sz="4" w:space="0" w:color="000000"/>
              <w:bottom w:val="single" w:sz="4" w:space="0" w:color="000000"/>
              <w:right w:val="single" w:sz="4" w:space="0" w:color="000000"/>
            </w:tcBorders>
            <w:vAlign w:val="center"/>
          </w:tcPr>
          <w:p w14:paraId="7D3997F3" w14:textId="77777777" w:rsidR="00E03711" w:rsidRPr="00F769E0" w:rsidRDefault="00E03711" w:rsidP="00511FB1">
            <w:pPr>
              <w:pStyle w:val="GUIDE-NORMAL"/>
              <w:spacing w:before="60" w:after="60"/>
              <w:jc w:val="left"/>
              <w:rPr>
                <w:rFonts w:cs="Tahoma"/>
                <w:b/>
                <w:lang w:val="sl-SI" w:eastAsia="en-GB"/>
              </w:rPr>
            </w:pPr>
            <w:r w:rsidRPr="00F769E0">
              <w:rPr>
                <w:rFonts w:cs="Tahoma"/>
                <w:b/>
                <w:lang w:val="sl-SI" w:eastAsia="en-GB"/>
              </w:rPr>
              <w:t>Stroški bivanja</w:t>
            </w:r>
          </w:p>
        </w:tc>
        <w:tc>
          <w:tcPr>
            <w:tcW w:w="1248" w:type="pct"/>
            <w:vMerge w:val="restart"/>
            <w:tcBorders>
              <w:top w:val="single" w:sz="4" w:space="0" w:color="000000"/>
              <w:left w:val="single" w:sz="4" w:space="0" w:color="000000"/>
              <w:bottom w:val="single" w:sz="4" w:space="0" w:color="000000"/>
              <w:right w:val="single" w:sz="4" w:space="0" w:color="000000"/>
            </w:tcBorders>
            <w:vAlign w:val="center"/>
          </w:tcPr>
          <w:p w14:paraId="7D3997F4" w14:textId="77777777" w:rsidR="00E03711" w:rsidRPr="00F769E0" w:rsidRDefault="00E03711" w:rsidP="00393E70">
            <w:pPr>
              <w:pStyle w:val="GUIDE-NORMAL"/>
              <w:jc w:val="left"/>
              <w:rPr>
                <w:rFonts w:cs="Tahoma"/>
                <w:lang w:val="sl-SI" w:eastAsia="en-GB"/>
              </w:rPr>
            </w:pPr>
            <w:r w:rsidRPr="00F769E0">
              <w:rPr>
                <w:rFonts w:cs="Tahoma"/>
                <w:lang w:val="sl-SI" w:eastAsia="en-GB"/>
              </w:rPr>
              <w:t>Stroški bivanja, namestitve, lokalnega in javnega prevoza, kot sta avtobus in taksi, osebno ali prostovoljno zdravstveno zavarovanje.</w:t>
            </w:r>
          </w:p>
        </w:tc>
        <w:tc>
          <w:tcPr>
            <w:tcW w:w="528" w:type="pct"/>
            <w:vMerge w:val="restart"/>
            <w:tcBorders>
              <w:top w:val="single" w:sz="4" w:space="0" w:color="000000"/>
              <w:left w:val="single" w:sz="4" w:space="0" w:color="000000"/>
              <w:bottom w:val="single" w:sz="4" w:space="0" w:color="000000"/>
              <w:right w:val="single" w:sz="4" w:space="0" w:color="000000"/>
            </w:tcBorders>
            <w:vAlign w:val="center"/>
          </w:tcPr>
          <w:p w14:paraId="7D3997F5" w14:textId="77777777" w:rsidR="00E03711" w:rsidRPr="00F769E0" w:rsidRDefault="00E03711" w:rsidP="00511FB1">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698" w:type="pct"/>
            <w:tcBorders>
              <w:top w:val="single" w:sz="4" w:space="0" w:color="000000"/>
              <w:left w:val="single" w:sz="4" w:space="0" w:color="000000"/>
              <w:bottom w:val="single" w:sz="4" w:space="0" w:color="000000"/>
              <w:right w:val="single" w:sz="4" w:space="0" w:color="000000"/>
            </w:tcBorders>
            <w:vAlign w:val="center"/>
          </w:tcPr>
          <w:p w14:paraId="7D3997F6" w14:textId="77777777" w:rsidR="00E03711" w:rsidRPr="00F769E0" w:rsidRDefault="00E03711" w:rsidP="00393E70">
            <w:pPr>
              <w:pStyle w:val="GUIDE-NORMAL"/>
              <w:rPr>
                <w:rFonts w:cs="Tahoma"/>
                <w:lang w:val="sl-SI" w:eastAsia="en-GB"/>
              </w:rPr>
            </w:pPr>
            <w:r w:rsidRPr="00F769E0">
              <w:rPr>
                <w:rFonts w:cs="Tahoma"/>
                <w:lang w:val="sl-SI" w:eastAsia="en-GB"/>
              </w:rPr>
              <w:t>Osebje</w:t>
            </w:r>
          </w:p>
        </w:tc>
        <w:tc>
          <w:tcPr>
            <w:tcW w:w="1024" w:type="pct"/>
            <w:gridSpan w:val="2"/>
            <w:tcBorders>
              <w:top w:val="single" w:sz="4" w:space="0" w:color="000000"/>
              <w:left w:val="single" w:sz="4" w:space="0" w:color="000000"/>
              <w:bottom w:val="single" w:sz="4" w:space="0" w:color="000000"/>
              <w:right w:val="single" w:sz="4" w:space="0" w:color="000000"/>
            </w:tcBorders>
            <w:vAlign w:val="center"/>
          </w:tcPr>
          <w:p w14:paraId="7D3997F7" w14:textId="77777777" w:rsidR="00E03711" w:rsidRPr="00F769E0" w:rsidRDefault="00E03711" w:rsidP="009B3404">
            <w:pPr>
              <w:pStyle w:val="GUIDE-NORMAL"/>
              <w:spacing w:before="60" w:after="60"/>
              <w:jc w:val="left"/>
              <w:rPr>
                <w:rFonts w:cs="Tahoma"/>
                <w:lang w:val="sl-SI" w:eastAsia="en-GB"/>
              </w:rPr>
            </w:pPr>
            <w:r w:rsidRPr="00F769E0">
              <w:rPr>
                <w:rFonts w:cs="Tahoma"/>
                <w:lang w:val="sl-SI" w:eastAsia="en-GB"/>
              </w:rPr>
              <w:t>Do 14. dneva aktivnosti: 120 EUR na dan na udeleženca</w:t>
            </w:r>
          </w:p>
          <w:p w14:paraId="7D3997F8" w14:textId="77777777" w:rsidR="00E03711" w:rsidRPr="00F769E0" w:rsidRDefault="00E03711" w:rsidP="009B3404">
            <w:pPr>
              <w:pStyle w:val="GUIDE-NORMAL"/>
              <w:spacing w:before="60" w:after="60"/>
              <w:jc w:val="left"/>
              <w:rPr>
                <w:rFonts w:cs="Tahoma"/>
                <w:lang w:val="sl-SI" w:eastAsia="en-GB"/>
              </w:rPr>
            </w:pPr>
            <w:r w:rsidRPr="00F769E0">
              <w:rPr>
                <w:rFonts w:cs="Tahoma"/>
                <w:lang w:val="sl-SI" w:eastAsia="en-GB"/>
              </w:rPr>
              <w:t>+</w:t>
            </w:r>
          </w:p>
          <w:p w14:paraId="7D3997F9" w14:textId="77777777" w:rsidR="00E03711" w:rsidRPr="00F769E0" w:rsidRDefault="00E03711" w:rsidP="009B3404">
            <w:pPr>
              <w:pStyle w:val="GUIDE-NORMAL"/>
              <w:spacing w:before="60" w:after="60"/>
              <w:jc w:val="left"/>
              <w:rPr>
                <w:rFonts w:cs="Tahoma"/>
                <w:lang w:val="sl-SI" w:eastAsia="en-GB"/>
              </w:rPr>
            </w:pPr>
            <w:r w:rsidRPr="00F769E0">
              <w:rPr>
                <w:rFonts w:cs="Tahoma"/>
                <w:lang w:val="sl-SI" w:eastAsia="en-GB"/>
              </w:rPr>
              <w:t>od 15. do 60. dneva aktivnosti: 70 EUR na dan na udeleženca</w:t>
            </w:r>
          </w:p>
          <w:p w14:paraId="7D3997FA" w14:textId="77777777" w:rsidR="00E03711" w:rsidRPr="00F769E0" w:rsidRDefault="00E03711" w:rsidP="009B3404">
            <w:pPr>
              <w:pStyle w:val="GUIDE-NORMAL"/>
              <w:spacing w:before="60" w:after="60"/>
              <w:jc w:val="left"/>
              <w:rPr>
                <w:rFonts w:cs="Tahoma"/>
                <w:lang w:val="sl-SI" w:eastAsia="en-GB"/>
              </w:rPr>
            </w:pPr>
            <w:r w:rsidRPr="00F769E0">
              <w:rPr>
                <w:rFonts w:cs="Tahoma"/>
                <w:lang w:val="sl-SI" w:eastAsia="en-GB"/>
              </w:rPr>
              <w:t>+</w:t>
            </w:r>
            <w:r w:rsidRPr="00F769E0">
              <w:rPr>
                <w:rFonts w:cs="Tahoma"/>
                <w:lang w:val="sl-SI" w:eastAsia="en-GB"/>
              </w:rPr>
              <w:br/>
              <w:t xml:space="preserve">od 61. dneva aktivnosti do </w:t>
            </w:r>
            <w:r w:rsidRPr="00F769E0">
              <w:rPr>
                <w:rFonts w:cs="Tahoma"/>
                <w:lang w:val="sl-SI" w:eastAsia="en-GB"/>
              </w:rPr>
              <w:br/>
              <w:t>3 mesecev: 50 EUR na dan na udeleženca</w:t>
            </w:r>
          </w:p>
        </w:tc>
        <w:tc>
          <w:tcPr>
            <w:tcW w:w="1040" w:type="pct"/>
            <w:vMerge w:val="restart"/>
            <w:tcBorders>
              <w:top w:val="single" w:sz="4" w:space="0" w:color="000000"/>
              <w:left w:val="single" w:sz="4" w:space="0" w:color="000000"/>
              <w:bottom w:val="single" w:sz="4" w:space="0" w:color="000000"/>
              <w:right w:val="single" w:sz="4" w:space="0" w:color="000000"/>
            </w:tcBorders>
            <w:vAlign w:val="center"/>
          </w:tcPr>
          <w:p w14:paraId="7D3997FB" w14:textId="77777777" w:rsidR="00E03711" w:rsidRPr="00F769E0" w:rsidRDefault="00E03711" w:rsidP="00393E70">
            <w:pPr>
              <w:pStyle w:val="GUIDE-NORMAL"/>
              <w:jc w:val="left"/>
              <w:rPr>
                <w:rFonts w:cs="Tahoma"/>
                <w:lang w:val="sl-SI" w:eastAsia="en-GB"/>
              </w:rPr>
            </w:pPr>
            <w:r w:rsidRPr="00F769E0">
              <w:rPr>
                <w:rFonts w:cs="Tahoma"/>
                <w:lang w:val="sl-SI" w:eastAsia="en-GB"/>
              </w:rPr>
              <w:t>Glede na trajanje bivanja udeležencev (vključno s potjo).</w:t>
            </w:r>
          </w:p>
        </w:tc>
      </w:tr>
      <w:tr w:rsidR="00E03711" w:rsidRPr="00C60205" w14:paraId="7D399805" w14:textId="77777777" w:rsidTr="00AD60C0">
        <w:trPr>
          <w:trHeight w:val="20"/>
        </w:trPr>
        <w:tc>
          <w:tcPr>
            <w:tcW w:w="463" w:type="pct"/>
            <w:vMerge/>
            <w:tcBorders>
              <w:top w:val="nil"/>
              <w:left w:val="single" w:sz="4" w:space="0" w:color="000000"/>
              <w:bottom w:val="single" w:sz="4" w:space="0" w:color="000000"/>
              <w:right w:val="single" w:sz="4" w:space="0" w:color="000000"/>
            </w:tcBorders>
            <w:vAlign w:val="center"/>
          </w:tcPr>
          <w:p w14:paraId="7D3997FD" w14:textId="77777777" w:rsidR="00E03711" w:rsidRPr="00F769E0" w:rsidRDefault="00E03711" w:rsidP="00511FB1">
            <w:pPr>
              <w:pStyle w:val="GUIDE-NORMAL"/>
              <w:spacing w:before="60" w:after="60"/>
              <w:jc w:val="left"/>
              <w:rPr>
                <w:rFonts w:cs="Tahoma"/>
                <w:b/>
                <w:sz w:val="2"/>
                <w:szCs w:val="2"/>
                <w:lang w:val="sl-SI" w:eastAsia="en-GB"/>
              </w:rPr>
            </w:pPr>
          </w:p>
        </w:tc>
        <w:tc>
          <w:tcPr>
            <w:tcW w:w="1248" w:type="pct"/>
            <w:vMerge/>
            <w:tcBorders>
              <w:top w:val="nil"/>
              <w:left w:val="single" w:sz="4" w:space="0" w:color="000000"/>
              <w:bottom w:val="single" w:sz="4" w:space="0" w:color="000000"/>
              <w:right w:val="single" w:sz="4" w:space="0" w:color="000000"/>
            </w:tcBorders>
            <w:vAlign w:val="center"/>
          </w:tcPr>
          <w:p w14:paraId="7D3997FE" w14:textId="77777777" w:rsidR="00E03711" w:rsidRPr="00F769E0" w:rsidRDefault="00E03711" w:rsidP="00511FB1">
            <w:pPr>
              <w:pStyle w:val="GUIDE-NORMAL"/>
              <w:spacing w:before="60" w:after="60"/>
              <w:jc w:val="left"/>
              <w:rPr>
                <w:rFonts w:cs="Tahoma"/>
                <w:sz w:val="2"/>
                <w:szCs w:val="2"/>
                <w:lang w:val="sl-SI" w:eastAsia="en-GB"/>
              </w:rPr>
            </w:pPr>
          </w:p>
        </w:tc>
        <w:tc>
          <w:tcPr>
            <w:tcW w:w="528" w:type="pct"/>
            <w:vMerge/>
            <w:tcBorders>
              <w:top w:val="nil"/>
              <w:left w:val="single" w:sz="4" w:space="0" w:color="000000"/>
              <w:bottom w:val="single" w:sz="4" w:space="0" w:color="000000"/>
              <w:right w:val="single" w:sz="4" w:space="0" w:color="000000"/>
            </w:tcBorders>
            <w:vAlign w:val="center"/>
          </w:tcPr>
          <w:p w14:paraId="7D3997FF" w14:textId="77777777" w:rsidR="00E03711" w:rsidRPr="00F769E0" w:rsidRDefault="00E03711" w:rsidP="00511FB1">
            <w:pPr>
              <w:pStyle w:val="GUIDE-NORMAL"/>
              <w:spacing w:before="60" w:after="60"/>
              <w:jc w:val="left"/>
              <w:rPr>
                <w:rFonts w:cs="Tahoma"/>
                <w:sz w:val="2"/>
                <w:szCs w:val="2"/>
                <w:lang w:val="sl-SI" w:eastAsia="en-GB"/>
              </w:rPr>
            </w:pPr>
          </w:p>
        </w:tc>
        <w:tc>
          <w:tcPr>
            <w:tcW w:w="698" w:type="pct"/>
            <w:tcBorders>
              <w:top w:val="single" w:sz="4" w:space="0" w:color="000000"/>
              <w:left w:val="single" w:sz="4" w:space="0" w:color="000000"/>
              <w:bottom w:val="single" w:sz="4" w:space="0" w:color="000000"/>
              <w:right w:val="single" w:sz="4" w:space="0" w:color="000000"/>
            </w:tcBorders>
            <w:vAlign w:val="center"/>
          </w:tcPr>
          <w:p w14:paraId="7D399800" w14:textId="77777777" w:rsidR="00E03711" w:rsidRPr="00F769E0" w:rsidRDefault="00E03711" w:rsidP="00393E70">
            <w:pPr>
              <w:pStyle w:val="GUIDE-NORMAL"/>
              <w:rPr>
                <w:rFonts w:cs="Tahoma"/>
                <w:lang w:val="sl-SI" w:eastAsia="en-GB"/>
              </w:rPr>
            </w:pPr>
            <w:r w:rsidRPr="00F769E0">
              <w:rPr>
                <w:rFonts w:cs="Tahoma"/>
                <w:lang w:val="sl-SI" w:eastAsia="en-GB"/>
              </w:rPr>
              <w:t>Študenti</w:t>
            </w:r>
          </w:p>
        </w:tc>
        <w:tc>
          <w:tcPr>
            <w:tcW w:w="1024" w:type="pct"/>
            <w:gridSpan w:val="2"/>
            <w:tcBorders>
              <w:top w:val="single" w:sz="4" w:space="0" w:color="000000"/>
              <w:left w:val="single" w:sz="4" w:space="0" w:color="000000"/>
              <w:bottom w:val="single" w:sz="4" w:space="0" w:color="000000"/>
              <w:right w:val="single" w:sz="4" w:space="0" w:color="000000"/>
            </w:tcBorders>
            <w:vAlign w:val="center"/>
          </w:tcPr>
          <w:p w14:paraId="7D399801" w14:textId="77777777" w:rsidR="00E03711" w:rsidRPr="00F769E0" w:rsidRDefault="00E03711" w:rsidP="009B3404">
            <w:pPr>
              <w:pStyle w:val="GUIDE-NORMAL"/>
              <w:spacing w:before="60" w:after="60"/>
              <w:jc w:val="left"/>
              <w:rPr>
                <w:rFonts w:cs="Tahoma"/>
                <w:lang w:val="sl-SI" w:eastAsia="en-GB"/>
              </w:rPr>
            </w:pPr>
            <w:r w:rsidRPr="00F769E0">
              <w:rPr>
                <w:rFonts w:cs="Tahoma"/>
                <w:lang w:val="sl-SI" w:eastAsia="en-GB"/>
              </w:rPr>
              <w:t>Do 14. dneva aktivnosti: 55 EUR na dan na udeleženca</w:t>
            </w:r>
          </w:p>
          <w:p w14:paraId="7D399802" w14:textId="77777777" w:rsidR="00E03711" w:rsidRPr="00F769E0" w:rsidRDefault="00E03711" w:rsidP="009B3404">
            <w:pPr>
              <w:pStyle w:val="GUIDE-NORMAL"/>
              <w:spacing w:before="60" w:after="60"/>
              <w:jc w:val="left"/>
              <w:rPr>
                <w:rFonts w:cs="Tahoma"/>
                <w:lang w:val="sl-SI" w:eastAsia="en-GB"/>
              </w:rPr>
            </w:pPr>
            <w:r w:rsidRPr="00F769E0">
              <w:rPr>
                <w:rFonts w:cs="Tahoma"/>
                <w:lang w:val="sl-SI" w:eastAsia="en-GB"/>
              </w:rPr>
              <w:t>+</w:t>
            </w:r>
          </w:p>
          <w:p w14:paraId="7D399803" w14:textId="77777777" w:rsidR="00E03711" w:rsidRPr="00F769E0" w:rsidRDefault="00E03711" w:rsidP="009B3404">
            <w:pPr>
              <w:pStyle w:val="GUIDE-NORMAL"/>
              <w:spacing w:before="60" w:after="60"/>
              <w:jc w:val="left"/>
              <w:rPr>
                <w:rFonts w:cs="Tahoma"/>
                <w:lang w:val="sl-SI" w:eastAsia="en-GB"/>
              </w:rPr>
            </w:pPr>
            <w:r w:rsidRPr="00F769E0">
              <w:rPr>
                <w:rFonts w:cs="Tahoma"/>
                <w:lang w:val="sl-SI" w:eastAsia="en-GB"/>
              </w:rPr>
              <w:t>od 15. do 90. dneva aktivnosti: 40 EUR na dan na udeleženca</w:t>
            </w:r>
          </w:p>
        </w:tc>
        <w:tc>
          <w:tcPr>
            <w:tcW w:w="1040" w:type="pct"/>
            <w:vMerge/>
            <w:tcBorders>
              <w:top w:val="nil"/>
              <w:left w:val="single" w:sz="4" w:space="0" w:color="000000"/>
              <w:bottom w:val="single" w:sz="4" w:space="0" w:color="000000"/>
              <w:right w:val="single" w:sz="4" w:space="0" w:color="000000"/>
            </w:tcBorders>
            <w:vAlign w:val="center"/>
          </w:tcPr>
          <w:p w14:paraId="7D399804" w14:textId="77777777" w:rsidR="00E03711" w:rsidRPr="00F769E0" w:rsidRDefault="00E03711" w:rsidP="009B3404">
            <w:pPr>
              <w:pStyle w:val="GUIDE-NORMAL"/>
              <w:spacing w:before="60" w:after="60"/>
              <w:jc w:val="left"/>
              <w:rPr>
                <w:rFonts w:cs="Tahoma"/>
                <w:lang w:val="sl-SI" w:eastAsia="en-GB"/>
              </w:rPr>
            </w:pPr>
          </w:p>
        </w:tc>
      </w:tr>
      <w:tr w:rsidR="00E03711" w:rsidRPr="00C60205" w14:paraId="7D39980C" w14:textId="77777777" w:rsidTr="00AD60C0">
        <w:trPr>
          <w:trHeight w:val="20"/>
        </w:trPr>
        <w:tc>
          <w:tcPr>
            <w:tcW w:w="463" w:type="pct"/>
            <w:tcBorders>
              <w:top w:val="single" w:sz="4" w:space="0" w:color="000000"/>
              <w:left w:val="single" w:sz="4" w:space="0" w:color="000000"/>
              <w:bottom w:val="single" w:sz="4" w:space="0" w:color="000000"/>
              <w:right w:val="single" w:sz="4" w:space="0" w:color="000000"/>
            </w:tcBorders>
            <w:vAlign w:val="center"/>
          </w:tcPr>
          <w:p w14:paraId="7D399806" w14:textId="77777777" w:rsidR="00E03711" w:rsidRPr="00F769E0" w:rsidRDefault="00E03711" w:rsidP="00C240B8">
            <w:pPr>
              <w:pStyle w:val="GUIDE-NORMAL"/>
              <w:spacing w:before="60" w:after="60"/>
              <w:jc w:val="left"/>
              <w:rPr>
                <w:rFonts w:cs="Tahoma"/>
                <w:b/>
                <w:lang w:val="sl-SI" w:eastAsia="en-GB"/>
              </w:rPr>
            </w:pPr>
            <w:r w:rsidRPr="00F769E0">
              <w:rPr>
                <w:rFonts w:cs="Tahoma"/>
                <w:b/>
                <w:lang w:val="sl-SI" w:eastAsia="en-GB"/>
              </w:rPr>
              <w:t>Oprema</w:t>
            </w:r>
          </w:p>
        </w:tc>
        <w:tc>
          <w:tcPr>
            <w:tcW w:w="1248" w:type="pct"/>
            <w:tcBorders>
              <w:top w:val="single" w:sz="4" w:space="0" w:color="000000"/>
              <w:left w:val="single" w:sz="4" w:space="0" w:color="000000"/>
              <w:bottom w:val="single" w:sz="4" w:space="0" w:color="000000"/>
              <w:right w:val="single" w:sz="4" w:space="0" w:color="000000"/>
            </w:tcBorders>
            <w:vAlign w:val="center"/>
          </w:tcPr>
          <w:p w14:paraId="7D399807" w14:textId="77777777" w:rsidR="00E03711" w:rsidRPr="00F769E0" w:rsidRDefault="00E03711" w:rsidP="00C240B8">
            <w:pPr>
              <w:pStyle w:val="GUIDE-NORMAL"/>
              <w:spacing w:before="60" w:after="60"/>
              <w:jc w:val="left"/>
              <w:rPr>
                <w:rFonts w:cs="Tahoma"/>
                <w:lang w:val="sl-SI" w:eastAsia="en-GB"/>
              </w:rPr>
            </w:pPr>
            <w:r w:rsidRPr="00F769E0">
              <w:rPr>
                <w:rFonts w:cs="Tahoma"/>
                <w:lang w:val="sl-SI" w:eastAsia="en-GB"/>
              </w:rPr>
              <w:t>Prispevek za nakup opreme, potrebne za izvajanje projekta. Podpora je zagotovljena samo za opremo, ki se kupi v korist visokošolskih institucij v partnerskih državah.</w:t>
            </w:r>
          </w:p>
        </w:tc>
        <w:tc>
          <w:tcPr>
            <w:tcW w:w="528" w:type="pct"/>
            <w:tcBorders>
              <w:top w:val="single" w:sz="4" w:space="0" w:color="000000"/>
              <w:left w:val="single" w:sz="4" w:space="0" w:color="000000"/>
              <w:bottom w:val="single" w:sz="4" w:space="0" w:color="000000"/>
              <w:right w:val="single" w:sz="4" w:space="0" w:color="000000"/>
            </w:tcBorders>
            <w:vAlign w:val="center"/>
          </w:tcPr>
          <w:p w14:paraId="7D399808" w14:textId="77777777" w:rsidR="00E03711" w:rsidRPr="00F769E0" w:rsidRDefault="00E03711" w:rsidP="00C240B8">
            <w:pPr>
              <w:pStyle w:val="GUIDE-NORMAL"/>
              <w:spacing w:before="60" w:after="60"/>
              <w:jc w:val="left"/>
              <w:rPr>
                <w:rFonts w:cs="Tahoma"/>
                <w:lang w:val="sl-SI" w:eastAsia="en-GB"/>
              </w:rPr>
            </w:pPr>
            <w:r w:rsidRPr="00F769E0">
              <w:rPr>
                <w:rFonts w:cs="Tahoma"/>
                <w:lang w:val="sl-SI" w:eastAsia="en-GB"/>
              </w:rPr>
              <w:t>Dejanski stroški</w:t>
            </w:r>
          </w:p>
        </w:tc>
        <w:tc>
          <w:tcPr>
            <w:tcW w:w="1722" w:type="pct"/>
            <w:gridSpan w:val="3"/>
            <w:tcBorders>
              <w:top w:val="single" w:sz="4" w:space="0" w:color="000000"/>
              <w:left w:val="single" w:sz="4" w:space="0" w:color="000000"/>
              <w:bottom w:val="single" w:sz="4" w:space="0" w:color="000000"/>
              <w:right w:val="single" w:sz="4" w:space="0" w:color="000000"/>
            </w:tcBorders>
            <w:vAlign w:val="center"/>
          </w:tcPr>
          <w:p w14:paraId="7D399809" w14:textId="77777777" w:rsidR="00E03711" w:rsidRPr="00F769E0" w:rsidRDefault="00E03711" w:rsidP="00C240B8">
            <w:pPr>
              <w:pStyle w:val="GUIDE-NORMAL"/>
              <w:spacing w:before="60" w:after="60"/>
              <w:jc w:val="left"/>
              <w:rPr>
                <w:rFonts w:cs="Tahoma"/>
                <w:lang w:val="sl-SI" w:eastAsia="en-GB"/>
              </w:rPr>
            </w:pPr>
            <w:r w:rsidRPr="00F769E0">
              <w:rPr>
                <w:rFonts w:cs="Tahoma"/>
                <w:lang w:val="sl-SI" w:eastAsia="en-GB"/>
              </w:rPr>
              <w:t xml:space="preserve">100 % upravičenih stroškov </w:t>
            </w:r>
          </w:p>
          <w:p w14:paraId="7D39980A" w14:textId="77777777" w:rsidR="00E03711" w:rsidRPr="00F769E0" w:rsidRDefault="00E03711" w:rsidP="00C240B8">
            <w:pPr>
              <w:pStyle w:val="GUIDE-NORMAL"/>
              <w:spacing w:before="60" w:after="60"/>
              <w:jc w:val="left"/>
              <w:rPr>
                <w:rFonts w:cs="Tahoma"/>
                <w:lang w:val="sl-SI" w:eastAsia="en-GB"/>
              </w:rPr>
            </w:pPr>
            <w:r w:rsidRPr="00F769E0">
              <w:rPr>
                <w:rFonts w:cs="Tahoma"/>
                <w:lang w:val="sl-SI" w:eastAsia="en-GB"/>
              </w:rPr>
              <w:t>Največ 30 % skupnih nepovratnih sredstev</w:t>
            </w:r>
          </w:p>
        </w:tc>
        <w:tc>
          <w:tcPr>
            <w:tcW w:w="1040" w:type="pct"/>
            <w:tcBorders>
              <w:top w:val="single" w:sz="4" w:space="0" w:color="000000"/>
              <w:left w:val="single" w:sz="4" w:space="0" w:color="000000"/>
              <w:bottom w:val="single" w:sz="4" w:space="0" w:color="000000"/>
              <w:right w:val="single" w:sz="4" w:space="0" w:color="000000"/>
            </w:tcBorders>
            <w:vAlign w:val="center"/>
          </w:tcPr>
          <w:p w14:paraId="7D39980B" w14:textId="77777777" w:rsidR="00E03711" w:rsidRPr="00F769E0" w:rsidRDefault="00E03711" w:rsidP="00C240B8">
            <w:pPr>
              <w:pStyle w:val="GUIDE-NORMAL"/>
              <w:spacing w:before="60" w:after="60"/>
              <w:jc w:val="left"/>
              <w:rPr>
                <w:rFonts w:cs="Tahoma"/>
                <w:lang w:val="sl-SI" w:eastAsia="en-GB"/>
              </w:rPr>
            </w:pPr>
          </w:p>
        </w:tc>
      </w:tr>
      <w:tr w:rsidR="00E03711" w:rsidRPr="00C60205" w14:paraId="7D399815" w14:textId="77777777" w:rsidTr="00AD60C0">
        <w:trPr>
          <w:trHeight w:val="20"/>
        </w:trPr>
        <w:tc>
          <w:tcPr>
            <w:tcW w:w="463" w:type="pct"/>
            <w:tcBorders>
              <w:top w:val="single" w:sz="4" w:space="0" w:color="000000"/>
              <w:left w:val="single" w:sz="4" w:space="0" w:color="000000"/>
              <w:bottom w:val="single" w:sz="4" w:space="0" w:color="000000"/>
              <w:right w:val="single" w:sz="4" w:space="0" w:color="000000"/>
            </w:tcBorders>
            <w:vAlign w:val="center"/>
          </w:tcPr>
          <w:p w14:paraId="7D39980D" w14:textId="77777777" w:rsidR="00E03711" w:rsidRPr="00F769E0" w:rsidRDefault="00E03711" w:rsidP="00C240B8">
            <w:pPr>
              <w:pStyle w:val="GUIDE-NORMAL"/>
              <w:spacing w:before="60" w:after="60"/>
              <w:jc w:val="left"/>
              <w:rPr>
                <w:rFonts w:cs="Tahoma"/>
                <w:b/>
                <w:lang w:val="sl-SI" w:eastAsia="en-GB"/>
              </w:rPr>
            </w:pPr>
            <w:r w:rsidRPr="00F769E0">
              <w:rPr>
                <w:rFonts w:cs="Tahoma"/>
                <w:b/>
                <w:lang w:val="sl-SI" w:eastAsia="en-GB"/>
              </w:rPr>
              <w:t>Oddajanje naročil podizvajalcem</w:t>
            </w:r>
          </w:p>
        </w:tc>
        <w:tc>
          <w:tcPr>
            <w:tcW w:w="1248" w:type="pct"/>
            <w:tcBorders>
              <w:top w:val="single" w:sz="4" w:space="0" w:color="000000"/>
              <w:left w:val="single" w:sz="4" w:space="0" w:color="000000"/>
              <w:bottom w:val="single" w:sz="4" w:space="0" w:color="000000"/>
              <w:right w:val="single" w:sz="4" w:space="0" w:color="000000"/>
            </w:tcBorders>
            <w:vAlign w:val="center"/>
          </w:tcPr>
          <w:p w14:paraId="7D39980E" w14:textId="77777777" w:rsidR="00E03711" w:rsidRPr="00F769E0" w:rsidRDefault="00E03711" w:rsidP="00C240B8">
            <w:pPr>
              <w:pStyle w:val="GUIDE-NORMAL"/>
              <w:spacing w:before="60" w:after="60"/>
              <w:jc w:val="left"/>
              <w:rPr>
                <w:rFonts w:cs="Tahoma"/>
                <w:lang w:val="sl-SI" w:eastAsia="en-GB"/>
              </w:rPr>
            </w:pPr>
            <w:r w:rsidRPr="00F769E0">
              <w:rPr>
                <w:rFonts w:cs="Tahoma"/>
                <w:lang w:val="sl-SI" w:eastAsia="en-GB"/>
              </w:rPr>
              <w:t>Podpora za stroške oddajanja naročil podizvajalcem, ki so potrebni za izvajanje projekta, vključno zlasti s stroški za obvezne finančne revizije (revizijsko potrdilo) in za kakršen koli postopek zunanjega zagotavljanja kakovosti.</w:t>
            </w:r>
          </w:p>
          <w:p w14:paraId="7D39980F" w14:textId="77777777" w:rsidR="00E03711" w:rsidRPr="00F769E0" w:rsidRDefault="00E03711" w:rsidP="00C240B8">
            <w:pPr>
              <w:pStyle w:val="GUIDE-NORMAL"/>
              <w:spacing w:before="60" w:after="60"/>
              <w:jc w:val="left"/>
              <w:rPr>
                <w:rFonts w:cs="Tahoma"/>
                <w:lang w:val="sl-SI" w:eastAsia="en-GB"/>
              </w:rPr>
            </w:pPr>
            <w:r w:rsidRPr="00F769E0">
              <w:rPr>
                <w:rFonts w:cs="Tahoma"/>
                <w:lang w:val="sl-SI" w:eastAsia="en-GB"/>
              </w:rPr>
              <w:t>Oddajanje naročil podizvajalcem za naloge, povezane z vodenjem projektov, ni upravičeno.</w:t>
            </w:r>
          </w:p>
        </w:tc>
        <w:tc>
          <w:tcPr>
            <w:tcW w:w="528" w:type="pct"/>
            <w:tcBorders>
              <w:top w:val="single" w:sz="4" w:space="0" w:color="000000"/>
              <w:left w:val="single" w:sz="4" w:space="0" w:color="000000"/>
              <w:bottom w:val="single" w:sz="4" w:space="0" w:color="000000"/>
              <w:right w:val="single" w:sz="4" w:space="0" w:color="000000"/>
            </w:tcBorders>
            <w:vAlign w:val="center"/>
          </w:tcPr>
          <w:p w14:paraId="7D399810" w14:textId="77777777" w:rsidR="00E03711" w:rsidRPr="00F769E0" w:rsidRDefault="00E03711" w:rsidP="00C240B8">
            <w:pPr>
              <w:pStyle w:val="GUIDE-NORMAL"/>
              <w:spacing w:before="60" w:after="60"/>
              <w:jc w:val="left"/>
              <w:rPr>
                <w:rFonts w:cs="Tahoma"/>
                <w:lang w:val="sl-SI" w:eastAsia="en-GB"/>
              </w:rPr>
            </w:pPr>
            <w:r w:rsidRPr="00F769E0">
              <w:rPr>
                <w:rFonts w:cs="Tahoma"/>
                <w:lang w:val="sl-SI" w:eastAsia="en-GB"/>
              </w:rPr>
              <w:t>Dejanski stroški</w:t>
            </w:r>
          </w:p>
        </w:tc>
        <w:tc>
          <w:tcPr>
            <w:tcW w:w="1722" w:type="pct"/>
            <w:gridSpan w:val="3"/>
            <w:tcBorders>
              <w:top w:val="single" w:sz="4" w:space="0" w:color="000000"/>
              <w:left w:val="single" w:sz="4" w:space="0" w:color="000000"/>
              <w:bottom w:val="single" w:sz="4" w:space="0" w:color="000000"/>
              <w:right w:val="single" w:sz="4" w:space="0" w:color="000000"/>
            </w:tcBorders>
            <w:vAlign w:val="center"/>
          </w:tcPr>
          <w:p w14:paraId="7D399811" w14:textId="77777777" w:rsidR="00E03711" w:rsidRPr="00F769E0" w:rsidRDefault="00E03711" w:rsidP="00C240B8">
            <w:pPr>
              <w:pStyle w:val="GUIDE-NORMAL"/>
              <w:spacing w:before="60" w:after="60"/>
              <w:jc w:val="left"/>
              <w:rPr>
                <w:rFonts w:cs="Tahoma"/>
                <w:lang w:val="sl-SI" w:eastAsia="en-GB"/>
              </w:rPr>
            </w:pPr>
            <w:r w:rsidRPr="00F769E0">
              <w:rPr>
                <w:rFonts w:cs="Tahoma"/>
                <w:lang w:val="sl-SI" w:eastAsia="en-GB"/>
              </w:rPr>
              <w:t xml:space="preserve">100 % upravičenih stroškov </w:t>
            </w:r>
          </w:p>
          <w:p w14:paraId="7D399812" w14:textId="77777777" w:rsidR="00E03711" w:rsidRPr="00F769E0" w:rsidRDefault="00E03711" w:rsidP="00C240B8">
            <w:pPr>
              <w:pStyle w:val="GUIDE-NORMAL"/>
              <w:spacing w:before="60" w:after="60"/>
              <w:jc w:val="left"/>
              <w:rPr>
                <w:rFonts w:cs="Tahoma"/>
                <w:lang w:val="sl-SI" w:eastAsia="en-GB"/>
              </w:rPr>
            </w:pPr>
            <w:r w:rsidRPr="00F769E0">
              <w:rPr>
                <w:rFonts w:cs="Tahoma"/>
                <w:lang w:val="sl-SI" w:eastAsia="en-GB"/>
              </w:rPr>
              <w:t>Največ 10 % skupnih nepovratnih sredstev</w:t>
            </w:r>
          </w:p>
        </w:tc>
        <w:tc>
          <w:tcPr>
            <w:tcW w:w="1040" w:type="pct"/>
            <w:tcBorders>
              <w:top w:val="single" w:sz="4" w:space="0" w:color="000000"/>
              <w:left w:val="single" w:sz="4" w:space="0" w:color="000000"/>
              <w:bottom w:val="single" w:sz="4" w:space="0" w:color="000000"/>
              <w:right w:val="single" w:sz="4" w:space="0" w:color="000000"/>
            </w:tcBorders>
            <w:vAlign w:val="center"/>
          </w:tcPr>
          <w:p w14:paraId="7D399813" w14:textId="77777777" w:rsidR="00E03711" w:rsidRPr="00F769E0" w:rsidRDefault="00E03711" w:rsidP="00C240B8">
            <w:pPr>
              <w:pStyle w:val="GUIDE-NORMAL"/>
              <w:spacing w:before="60" w:after="60"/>
              <w:jc w:val="left"/>
              <w:rPr>
                <w:rFonts w:cs="Tahoma"/>
                <w:lang w:val="sl-SI" w:eastAsia="en-GB"/>
              </w:rPr>
            </w:pPr>
            <w:r w:rsidRPr="00F769E0">
              <w:rPr>
                <w:rFonts w:cs="Tahoma"/>
                <w:lang w:val="sl-SI" w:eastAsia="en-GB"/>
              </w:rPr>
              <w:t xml:space="preserve">Pogoj: zahtevek za finančno podporo za kritje teh stroškov mora biti utemeljen </w:t>
            </w:r>
            <w:r w:rsidRPr="00F769E0">
              <w:rPr>
                <w:rFonts w:cs="Tahoma"/>
                <w:lang w:val="sl-SI" w:eastAsia="en-GB"/>
              </w:rPr>
              <w:br/>
              <w:t>v prijavnem obrazcu.</w:t>
            </w:r>
          </w:p>
          <w:p w14:paraId="7D399814" w14:textId="77777777" w:rsidR="00E03711" w:rsidRPr="00F769E0" w:rsidRDefault="00E03711" w:rsidP="00C240B8">
            <w:pPr>
              <w:pStyle w:val="GUIDE-NORMAL"/>
              <w:spacing w:before="60" w:after="60"/>
              <w:jc w:val="left"/>
              <w:rPr>
                <w:rFonts w:cs="Tahoma"/>
                <w:lang w:val="sl-SI" w:eastAsia="en-GB"/>
              </w:rPr>
            </w:pPr>
            <w:r w:rsidRPr="00F769E0">
              <w:rPr>
                <w:rFonts w:cs="Tahoma"/>
                <w:lang w:val="sl-SI" w:eastAsia="en-GB"/>
              </w:rPr>
              <w:t>Oddajanje naročil podizvajalcem, ki so zunanji organi, bi moralo biti zelo redko. Konzorcij bi moral imeti posebne kompetence in strokovno znanje, potrebno za doseganje ciljev projekta, na tem pa mora temeljiti tudi njegova sestava.</w:t>
            </w:r>
          </w:p>
        </w:tc>
      </w:tr>
      <w:tr w:rsidR="00E03711" w:rsidRPr="00C60205" w14:paraId="7D39981B" w14:textId="77777777" w:rsidTr="00AD60C0">
        <w:trPr>
          <w:trHeight w:val="20"/>
        </w:trPr>
        <w:tc>
          <w:tcPr>
            <w:tcW w:w="463" w:type="pct"/>
            <w:tcBorders>
              <w:top w:val="single" w:sz="4" w:space="0" w:color="000000"/>
              <w:left w:val="single" w:sz="4" w:space="0" w:color="000000"/>
              <w:bottom w:val="single" w:sz="4" w:space="0" w:color="000000"/>
              <w:right w:val="single" w:sz="4" w:space="0" w:color="000000"/>
            </w:tcBorders>
            <w:vAlign w:val="center"/>
          </w:tcPr>
          <w:p w14:paraId="7D399816" w14:textId="77777777" w:rsidR="00E03711" w:rsidRPr="00F769E0" w:rsidRDefault="00E03711" w:rsidP="00C240B8">
            <w:pPr>
              <w:pStyle w:val="GUIDE-NORMAL"/>
              <w:spacing w:before="60" w:after="60"/>
              <w:jc w:val="left"/>
              <w:rPr>
                <w:rFonts w:cs="Tahoma"/>
                <w:b/>
                <w:lang w:val="sl-SI" w:eastAsia="en-GB"/>
              </w:rPr>
            </w:pPr>
            <w:r w:rsidRPr="00F769E0">
              <w:rPr>
                <w:rFonts w:cs="Tahoma"/>
                <w:b/>
                <w:lang w:val="sl-SI" w:eastAsia="en-GB"/>
              </w:rPr>
              <w:t>Izredni stroški</w:t>
            </w:r>
          </w:p>
        </w:tc>
        <w:tc>
          <w:tcPr>
            <w:tcW w:w="1248" w:type="pct"/>
            <w:tcBorders>
              <w:top w:val="single" w:sz="4" w:space="0" w:color="000000"/>
              <w:left w:val="single" w:sz="4" w:space="0" w:color="000000"/>
              <w:bottom w:val="single" w:sz="4" w:space="0" w:color="000000"/>
              <w:right w:val="single" w:sz="4" w:space="0" w:color="000000"/>
            </w:tcBorders>
            <w:vAlign w:val="center"/>
          </w:tcPr>
          <w:p w14:paraId="7D399817" w14:textId="77777777" w:rsidR="00E03711" w:rsidRPr="00F769E0" w:rsidRDefault="00E03711">
            <w:pPr>
              <w:pStyle w:val="GUIDE-NORMAL"/>
              <w:spacing w:before="60" w:after="60"/>
              <w:jc w:val="left"/>
              <w:rPr>
                <w:rFonts w:cs="Tahoma"/>
                <w:lang w:val="sl-SI" w:eastAsia="en-GB"/>
              </w:rPr>
            </w:pPr>
            <w:r w:rsidRPr="00F769E0">
              <w:rPr>
                <w:rFonts w:cs="Tahoma"/>
                <w:lang w:val="sl-SI" w:eastAsia="en-GB"/>
              </w:rPr>
              <w:t>Dragi potni stroški udeležencev</w:t>
            </w:r>
            <w:r>
              <w:rPr>
                <w:rFonts w:cs="Tahoma"/>
                <w:lang w:val="sl-SI" w:eastAsia="en-GB"/>
              </w:rPr>
              <w:t>, vključno z uporabo čistejših prevoznih sredstev, z manj emisijami ogljika</w:t>
            </w:r>
            <w:r w:rsidRPr="00F769E0">
              <w:rPr>
                <w:rFonts w:cs="Tahoma"/>
                <w:lang w:val="sl-SI" w:eastAsia="en-GB"/>
              </w:rPr>
              <w:t xml:space="preserve"> (za podrobnosti glej poglavje „Kaj je še treba vedeti o tem ukrepu?“).</w:t>
            </w:r>
          </w:p>
        </w:tc>
        <w:tc>
          <w:tcPr>
            <w:tcW w:w="528" w:type="pct"/>
            <w:tcBorders>
              <w:top w:val="single" w:sz="4" w:space="0" w:color="000000"/>
              <w:left w:val="single" w:sz="4" w:space="0" w:color="000000"/>
              <w:bottom w:val="single" w:sz="4" w:space="0" w:color="000000"/>
              <w:right w:val="single" w:sz="4" w:space="0" w:color="000000"/>
            </w:tcBorders>
            <w:vAlign w:val="center"/>
          </w:tcPr>
          <w:p w14:paraId="7D399818" w14:textId="77777777" w:rsidR="00E03711" w:rsidRPr="00F769E0" w:rsidRDefault="00E03711" w:rsidP="00C240B8">
            <w:pPr>
              <w:pStyle w:val="GUIDE-NORMAL"/>
              <w:spacing w:before="60" w:after="60"/>
              <w:jc w:val="left"/>
              <w:rPr>
                <w:rFonts w:cs="Tahoma"/>
                <w:lang w:val="sl-SI" w:eastAsia="en-GB"/>
              </w:rPr>
            </w:pPr>
            <w:r w:rsidRPr="00F769E0">
              <w:rPr>
                <w:rFonts w:cs="Tahoma"/>
                <w:lang w:val="sl-SI" w:eastAsia="en-GB"/>
              </w:rPr>
              <w:t>Dejanski stroški</w:t>
            </w:r>
          </w:p>
        </w:tc>
        <w:tc>
          <w:tcPr>
            <w:tcW w:w="1722" w:type="pct"/>
            <w:gridSpan w:val="3"/>
            <w:tcBorders>
              <w:top w:val="single" w:sz="4" w:space="0" w:color="000000"/>
              <w:left w:val="single" w:sz="4" w:space="0" w:color="000000"/>
              <w:bottom w:val="single" w:sz="4" w:space="0" w:color="000000"/>
              <w:right w:val="single" w:sz="4" w:space="0" w:color="000000"/>
            </w:tcBorders>
            <w:vAlign w:val="center"/>
          </w:tcPr>
          <w:p w14:paraId="7D399819" w14:textId="77777777" w:rsidR="00E03711" w:rsidRPr="00F769E0" w:rsidRDefault="00E03711" w:rsidP="00C240B8">
            <w:pPr>
              <w:pStyle w:val="GUIDE-NORMAL"/>
              <w:spacing w:before="60" w:after="60"/>
              <w:jc w:val="left"/>
              <w:rPr>
                <w:rFonts w:cs="Tahoma"/>
                <w:lang w:val="sl-SI" w:eastAsia="en-GB"/>
              </w:rPr>
            </w:pPr>
            <w:r w:rsidRPr="00F769E0">
              <w:rPr>
                <w:rFonts w:cs="Tahoma"/>
                <w:lang w:val="sl-SI" w:eastAsia="en-GB"/>
              </w:rPr>
              <w:t xml:space="preserve">Dragi potni stroški: do največ </w:t>
            </w:r>
            <w:r w:rsidRPr="00F769E0">
              <w:rPr>
                <w:rFonts w:cs="Tahoma"/>
                <w:lang w:val="sl-SI" w:eastAsia="en-GB"/>
              </w:rPr>
              <w:br/>
              <w:t>80 % upravičenih stroškov</w:t>
            </w:r>
          </w:p>
        </w:tc>
        <w:tc>
          <w:tcPr>
            <w:tcW w:w="1040" w:type="pct"/>
            <w:tcBorders>
              <w:top w:val="single" w:sz="4" w:space="0" w:color="000000"/>
              <w:left w:val="single" w:sz="4" w:space="0" w:color="000000"/>
              <w:bottom w:val="single" w:sz="4" w:space="0" w:color="000000"/>
              <w:right w:val="single" w:sz="4" w:space="0" w:color="000000"/>
            </w:tcBorders>
            <w:vAlign w:val="center"/>
          </w:tcPr>
          <w:p w14:paraId="7D39981A" w14:textId="77777777" w:rsidR="00E03711" w:rsidRPr="00F769E0" w:rsidRDefault="00E03711" w:rsidP="00C240B8">
            <w:pPr>
              <w:pStyle w:val="GUIDE-NORMAL"/>
              <w:spacing w:before="60" w:after="60"/>
              <w:jc w:val="left"/>
              <w:rPr>
                <w:rFonts w:cs="Tahoma"/>
                <w:lang w:val="sl-SI" w:eastAsia="en-GB"/>
              </w:rPr>
            </w:pPr>
          </w:p>
        </w:tc>
      </w:tr>
    </w:tbl>
    <w:p w14:paraId="7D39981C" w14:textId="77777777" w:rsidR="00E03711" w:rsidRPr="001048FE" w:rsidRDefault="00E03711" w:rsidP="00C15888">
      <w:pPr>
        <w:pStyle w:val="Guide-Footnote"/>
        <w:rPr>
          <w:lang w:val="sl-SI"/>
        </w:rPr>
      </w:pPr>
    </w:p>
    <w:p w14:paraId="7D39981D" w14:textId="77777777" w:rsidR="00E03711" w:rsidRDefault="00E03711">
      <w:pPr>
        <w:widowControl/>
        <w:suppressAutoHyphens w:val="0"/>
        <w:autoSpaceDN/>
        <w:textAlignment w:val="auto"/>
        <w:rPr>
          <w:rFonts w:eastAsia="Times New Roman" w:cs="Times New Roman"/>
          <w:b/>
          <w:smallCaps/>
          <w:sz w:val="20"/>
          <w:szCs w:val="28"/>
          <w:lang w:val="sl-SI"/>
        </w:rPr>
      </w:pPr>
      <w:bookmarkStart w:id="232" w:name="Tableau_A_–_Frais_de_personnel_(montants"/>
      <w:bookmarkEnd w:id="232"/>
      <w:r>
        <w:rPr>
          <w:lang w:val="sl-SI"/>
        </w:rPr>
        <w:br w:type="page"/>
      </w:r>
    </w:p>
    <w:p w14:paraId="7D39981E" w14:textId="77777777" w:rsidR="00E03711" w:rsidRPr="001048FE" w:rsidRDefault="00E03711" w:rsidP="0036017F">
      <w:pPr>
        <w:pStyle w:val="Guide-Heading6"/>
        <w:rPr>
          <w:lang w:val="sl-SI"/>
        </w:rPr>
      </w:pPr>
      <w:r w:rsidRPr="001048FE">
        <w:rPr>
          <w:lang w:val="sl-SI"/>
        </w:rPr>
        <w:t>Preglednica A – Stroški osebja (zneski v EUR na dan) v državah Programa</w:t>
      </w:r>
    </w:p>
    <w:p w14:paraId="7D39981F" w14:textId="77777777" w:rsidR="00E03711" w:rsidRPr="001048FE" w:rsidRDefault="00E03711" w:rsidP="0036017F">
      <w:pPr>
        <w:pStyle w:val="GUIDE-NORMAL"/>
        <w:rPr>
          <w:lang w:val="sl-SI"/>
        </w:rPr>
      </w:pPr>
      <w:r w:rsidRPr="001048FE">
        <w:rPr>
          <w:lang w:val="sl-SI"/>
        </w:rPr>
        <w:t>Kategorija osebja, ki se bo uporabljala, bo odvisna od dela, ki se bo izvajalo v okviru projekta, in ne bo temeljila na statusu ali nazivu posameznika. Povedano drugače, stroški osebja, povezani na primer z administrativno nalogo, ki jo je izvedel akademik, bi se morali zaračunati v okviru kategorije „Administrativno osebje“. Dejanske načine prejemanja plačil za osebje, vključeno v projekt, bodo skupaj opredelile organizacije, vključene v projekt, potrdili menedžerji, odgovorni za njihovo zaposlovanje, in bodo del partnerskega sporazuma, ki ga bodo partnerji podpisali na začetku projekta.</w:t>
      </w:r>
    </w:p>
    <w:p w14:paraId="7D399820" w14:textId="77777777" w:rsidR="00E03711" w:rsidRPr="001048FE" w:rsidRDefault="00E03711" w:rsidP="0036017F">
      <w:pPr>
        <w:pStyle w:val="GUIDE-NORMAL"/>
        <w:rPr>
          <w:lang w:val="sl-SI"/>
        </w:rPr>
      </w:pPr>
      <w:r w:rsidRPr="001048FE">
        <w:rPr>
          <w:lang w:val="sl-SI"/>
        </w:rPr>
        <w:t>Stroški na enoto, ki se bodo uporabili za izračun nepovratnih sredstev, bodo stroški na enoto države, v kateri član osebja deluje, ne glede na to, kje se bodo naloge opravljale (tj. član osebja organizacije države A, ki (delno) dela v državi B, bo upoštevan pri stroških na enoto v državi A).</w:t>
      </w:r>
    </w:p>
    <w:tbl>
      <w:tblPr>
        <w:tblW w:w="5002" w:type="pc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5550"/>
        <w:gridCol w:w="2311"/>
        <w:gridCol w:w="2311"/>
        <w:gridCol w:w="2311"/>
        <w:gridCol w:w="2311"/>
      </w:tblGrid>
      <w:tr w:rsidR="00E03711" w:rsidRPr="008C6F8C" w14:paraId="7D399826" w14:textId="77777777" w:rsidTr="00237696">
        <w:trPr>
          <w:trHeight w:val="20"/>
        </w:trPr>
        <w:tc>
          <w:tcPr>
            <w:tcW w:w="3402" w:type="dxa"/>
            <w:tcBorders>
              <w:top w:val="nil"/>
              <w:left w:val="nil"/>
              <w:bottom w:val="nil"/>
            </w:tcBorders>
            <w:shd w:val="clear" w:color="auto" w:fill="auto"/>
          </w:tcPr>
          <w:p w14:paraId="7D399821" w14:textId="77777777" w:rsidR="00E03711" w:rsidRPr="00237696" w:rsidRDefault="00E03711" w:rsidP="00A13051">
            <w:pPr>
              <w:pStyle w:val="Footer"/>
              <w:spacing w:beforeLines="20" w:before="48" w:afterLines="20" w:after="48"/>
              <w:rPr>
                <w:color w:val="333333"/>
                <w:lang w:val="sl-SI"/>
              </w:rPr>
            </w:pPr>
          </w:p>
        </w:tc>
        <w:tc>
          <w:tcPr>
            <w:tcW w:w="1417" w:type="dxa"/>
            <w:shd w:val="clear" w:color="auto" w:fill="auto"/>
            <w:vAlign w:val="center"/>
          </w:tcPr>
          <w:p w14:paraId="7D399822" w14:textId="77777777" w:rsidR="00E03711" w:rsidRPr="00237696" w:rsidRDefault="00E03711" w:rsidP="00237696">
            <w:pPr>
              <w:pStyle w:val="GUIDE-NORMAL"/>
              <w:spacing w:before="60" w:after="60"/>
              <w:jc w:val="center"/>
              <w:rPr>
                <w:b/>
                <w:color w:val="333333"/>
                <w:lang w:val="sl-SI" w:eastAsia="en-GB"/>
              </w:rPr>
            </w:pPr>
            <w:r w:rsidRPr="00237696">
              <w:rPr>
                <w:b/>
                <w:color w:val="333333"/>
                <w:lang w:val="sl-SI" w:eastAsia="en-GB"/>
              </w:rPr>
              <w:t>Menedžer</w:t>
            </w:r>
          </w:p>
        </w:tc>
        <w:tc>
          <w:tcPr>
            <w:tcW w:w="1417" w:type="dxa"/>
            <w:shd w:val="clear" w:color="auto" w:fill="auto"/>
            <w:vAlign w:val="center"/>
          </w:tcPr>
          <w:p w14:paraId="7D399823" w14:textId="77777777" w:rsidR="00E03711" w:rsidRPr="00237696" w:rsidRDefault="00E03711" w:rsidP="00237696">
            <w:pPr>
              <w:pStyle w:val="GUIDE-NORMAL"/>
              <w:spacing w:before="60" w:after="60"/>
              <w:jc w:val="center"/>
              <w:rPr>
                <w:b/>
                <w:color w:val="333333"/>
                <w:lang w:val="sl-SI" w:eastAsia="en-GB"/>
              </w:rPr>
            </w:pPr>
            <w:r w:rsidRPr="00237696">
              <w:rPr>
                <w:b/>
                <w:color w:val="333333"/>
                <w:lang w:val="sl-SI" w:eastAsia="en-GB"/>
              </w:rPr>
              <w:t>Učitelj/vodja usposabljanja/</w:t>
            </w:r>
            <w:r w:rsidRPr="00237696">
              <w:rPr>
                <w:b/>
                <w:color w:val="333333"/>
                <w:lang w:val="sl-SI" w:eastAsia="en-GB"/>
              </w:rPr>
              <w:br/>
              <w:t>raziskovalec/ mladinski delavec</w:t>
            </w:r>
          </w:p>
        </w:tc>
        <w:tc>
          <w:tcPr>
            <w:tcW w:w="1417" w:type="dxa"/>
            <w:shd w:val="clear" w:color="auto" w:fill="auto"/>
            <w:vAlign w:val="center"/>
          </w:tcPr>
          <w:p w14:paraId="7D399824" w14:textId="77777777" w:rsidR="00E03711" w:rsidRPr="00237696" w:rsidRDefault="00E03711" w:rsidP="00237696">
            <w:pPr>
              <w:pStyle w:val="GUIDE-NORMAL"/>
              <w:spacing w:before="60" w:after="60"/>
              <w:jc w:val="center"/>
              <w:rPr>
                <w:b/>
                <w:color w:val="333333"/>
                <w:lang w:val="sl-SI" w:eastAsia="en-GB"/>
              </w:rPr>
            </w:pPr>
            <w:r w:rsidRPr="00237696">
              <w:rPr>
                <w:b/>
                <w:color w:val="333333"/>
                <w:lang w:val="sl-SI" w:eastAsia="en-GB"/>
              </w:rPr>
              <w:t>Tehnično osebje</w:t>
            </w:r>
          </w:p>
        </w:tc>
        <w:tc>
          <w:tcPr>
            <w:tcW w:w="1417" w:type="dxa"/>
            <w:shd w:val="clear" w:color="auto" w:fill="auto"/>
            <w:vAlign w:val="center"/>
          </w:tcPr>
          <w:p w14:paraId="7D399825" w14:textId="77777777" w:rsidR="00E03711" w:rsidRPr="00237696" w:rsidRDefault="00E03711" w:rsidP="00237696">
            <w:pPr>
              <w:pStyle w:val="GUIDE-NORMAL"/>
              <w:spacing w:before="60" w:after="60"/>
              <w:jc w:val="center"/>
              <w:rPr>
                <w:b/>
                <w:color w:val="333333"/>
                <w:lang w:val="sl-SI" w:eastAsia="en-GB"/>
              </w:rPr>
            </w:pPr>
            <w:r w:rsidRPr="00237696">
              <w:rPr>
                <w:b/>
                <w:color w:val="333333"/>
                <w:lang w:val="sl-SI" w:eastAsia="en-GB"/>
              </w:rPr>
              <w:t>Administrativno osebje</w:t>
            </w:r>
            <w:r w:rsidRPr="00237696">
              <w:rPr>
                <w:rStyle w:val="FootnoteReference"/>
                <w:b/>
                <w:color w:val="333333"/>
                <w:lang w:val="sl-SI" w:eastAsia="en-GB"/>
              </w:rPr>
              <w:footnoteReference w:id="211"/>
            </w:r>
          </w:p>
        </w:tc>
      </w:tr>
      <w:tr w:rsidR="00E03711" w:rsidRPr="008C6F8C" w14:paraId="7D39982C" w14:textId="77777777" w:rsidTr="00237696">
        <w:trPr>
          <w:trHeight w:val="20"/>
        </w:trPr>
        <w:tc>
          <w:tcPr>
            <w:tcW w:w="3402" w:type="dxa"/>
            <w:tcBorders>
              <w:top w:val="nil"/>
              <w:left w:val="nil"/>
            </w:tcBorders>
            <w:shd w:val="clear" w:color="auto" w:fill="auto"/>
            <w:vAlign w:val="center"/>
          </w:tcPr>
          <w:p w14:paraId="7D399827" w14:textId="77777777" w:rsidR="00E03711" w:rsidRPr="00237696" w:rsidRDefault="00E03711" w:rsidP="00A13051">
            <w:pPr>
              <w:pStyle w:val="GUIDE-NORMAL"/>
              <w:spacing w:beforeLines="20" w:before="48" w:afterLines="20" w:after="48"/>
              <w:jc w:val="left"/>
              <w:rPr>
                <w:rFonts w:ascii="Times New Roman" w:hAnsi="Times New Roman"/>
                <w:color w:val="333333"/>
                <w:sz w:val="20"/>
                <w:szCs w:val="20"/>
                <w:lang w:val="sl-SI" w:eastAsia="en-GB"/>
              </w:rPr>
            </w:pPr>
          </w:p>
        </w:tc>
        <w:tc>
          <w:tcPr>
            <w:tcW w:w="1417" w:type="dxa"/>
            <w:shd w:val="clear" w:color="auto" w:fill="auto"/>
            <w:vAlign w:val="center"/>
          </w:tcPr>
          <w:p w14:paraId="7D399828" w14:textId="77777777" w:rsidR="00E03711" w:rsidRPr="00237696" w:rsidRDefault="00E03711" w:rsidP="00A13051">
            <w:pPr>
              <w:pStyle w:val="GUIDE-NORMAL"/>
              <w:spacing w:beforeLines="20" w:before="48" w:afterLines="20" w:after="48"/>
              <w:jc w:val="center"/>
              <w:rPr>
                <w:b/>
                <w:color w:val="333333"/>
                <w:lang w:val="sl-SI" w:eastAsia="en-GB"/>
              </w:rPr>
            </w:pPr>
            <w:r w:rsidRPr="00237696">
              <w:rPr>
                <w:b/>
                <w:color w:val="333333"/>
                <w:lang w:val="sl-SI" w:eastAsia="en-GB"/>
              </w:rPr>
              <w:t>B4.1</w:t>
            </w:r>
          </w:p>
        </w:tc>
        <w:tc>
          <w:tcPr>
            <w:tcW w:w="1417" w:type="dxa"/>
            <w:shd w:val="clear" w:color="auto" w:fill="auto"/>
            <w:vAlign w:val="center"/>
          </w:tcPr>
          <w:p w14:paraId="7D399829" w14:textId="77777777" w:rsidR="00E03711" w:rsidRPr="00237696" w:rsidRDefault="00E03711" w:rsidP="00A13051">
            <w:pPr>
              <w:pStyle w:val="GUIDE-NORMAL"/>
              <w:spacing w:beforeLines="20" w:before="48" w:afterLines="20" w:after="48"/>
              <w:jc w:val="center"/>
              <w:rPr>
                <w:b/>
                <w:color w:val="333333"/>
                <w:lang w:val="sl-SI" w:eastAsia="en-GB"/>
              </w:rPr>
            </w:pPr>
            <w:r w:rsidRPr="00237696">
              <w:rPr>
                <w:b/>
                <w:color w:val="333333"/>
                <w:lang w:val="sl-SI" w:eastAsia="en-GB"/>
              </w:rPr>
              <w:t>B4.2</w:t>
            </w:r>
          </w:p>
        </w:tc>
        <w:tc>
          <w:tcPr>
            <w:tcW w:w="1417" w:type="dxa"/>
            <w:shd w:val="clear" w:color="auto" w:fill="auto"/>
            <w:vAlign w:val="center"/>
          </w:tcPr>
          <w:p w14:paraId="7D39982A" w14:textId="77777777" w:rsidR="00E03711" w:rsidRPr="00237696" w:rsidRDefault="00E03711" w:rsidP="00A13051">
            <w:pPr>
              <w:pStyle w:val="GUIDE-NORMAL"/>
              <w:spacing w:beforeLines="20" w:before="48" w:afterLines="20" w:after="48"/>
              <w:jc w:val="center"/>
              <w:rPr>
                <w:b/>
                <w:color w:val="333333"/>
                <w:lang w:val="sl-SI" w:eastAsia="en-GB"/>
              </w:rPr>
            </w:pPr>
            <w:r w:rsidRPr="00237696">
              <w:rPr>
                <w:b/>
                <w:color w:val="333333"/>
                <w:lang w:val="sl-SI" w:eastAsia="en-GB"/>
              </w:rPr>
              <w:t>B4.3</w:t>
            </w:r>
          </w:p>
        </w:tc>
        <w:tc>
          <w:tcPr>
            <w:tcW w:w="1417" w:type="dxa"/>
            <w:shd w:val="clear" w:color="auto" w:fill="auto"/>
            <w:vAlign w:val="center"/>
          </w:tcPr>
          <w:p w14:paraId="7D39982B" w14:textId="77777777" w:rsidR="00E03711" w:rsidRPr="00237696" w:rsidRDefault="00E03711" w:rsidP="00A13051">
            <w:pPr>
              <w:pStyle w:val="GUIDE-NORMAL"/>
              <w:spacing w:beforeLines="20" w:before="48" w:afterLines="20" w:after="48"/>
              <w:jc w:val="center"/>
              <w:rPr>
                <w:b/>
                <w:color w:val="333333"/>
                <w:lang w:val="sl-SI" w:eastAsia="en-GB"/>
              </w:rPr>
            </w:pPr>
            <w:r w:rsidRPr="00237696">
              <w:rPr>
                <w:b/>
                <w:color w:val="333333"/>
                <w:lang w:val="sl-SI" w:eastAsia="en-GB"/>
              </w:rPr>
              <w:t>B4.4</w:t>
            </w:r>
          </w:p>
        </w:tc>
      </w:tr>
      <w:tr w:rsidR="00E03711" w:rsidRPr="008C6F8C" w14:paraId="7D399832" w14:textId="77777777" w:rsidTr="00237696">
        <w:trPr>
          <w:trHeight w:val="20"/>
        </w:trPr>
        <w:tc>
          <w:tcPr>
            <w:tcW w:w="3402" w:type="dxa"/>
            <w:shd w:val="clear" w:color="auto" w:fill="auto"/>
            <w:vAlign w:val="center"/>
          </w:tcPr>
          <w:p w14:paraId="7D39982D" w14:textId="77777777" w:rsidR="00E03711" w:rsidRPr="00237696" w:rsidRDefault="00E03711" w:rsidP="00237696">
            <w:pPr>
              <w:pStyle w:val="GUIDE-NORMAL"/>
              <w:spacing w:before="60" w:after="60"/>
              <w:jc w:val="left"/>
              <w:rPr>
                <w:b/>
                <w:color w:val="333333"/>
                <w:lang w:val="sl-SI" w:eastAsia="en-GB"/>
              </w:rPr>
            </w:pPr>
            <w:r w:rsidRPr="00237696">
              <w:rPr>
                <w:b/>
                <w:color w:val="333333"/>
                <w:lang w:val="sl-SI" w:eastAsia="en-GB"/>
              </w:rPr>
              <w:t>Danska, Irska, Luksemburg, Nizozemska, Avstrija, Švedska, Lihtenštajn, Norveška</w:t>
            </w:r>
          </w:p>
        </w:tc>
        <w:tc>
          <w:tcPr>
            <w:tcW w:w="1417" w:type="dxa"/>
            <w:shd w:val="clear" w:color="auto" w:fill="auto"/>
            <w:vAlign w:val="center"/>
          </w:tcPr>
          <w:p w14:paraId="7D39982E" w14:textId="77777777" w:rsidR="00E03711" w:rsidRPr="00237696" w:rsidRDefault="00E03711" w:rsidP="00237696">
            <w:pPr>
              <w:pStyle w:val="GUIDE-NORMAL"/>
              <w:spacing w:before="60" w:after="60"/>
              <w:jc w:val="center"/>
              <w:rPr>
                <w:color w:val="333333"/>
                <w:lang w:val="sl-SI" w:eastAsia="en-GB"/>
              </w:rPr>
            </w:pPr>
            <w:r w:rsidRPr="00237696">
              <w:rPr>
                <w:color w:val="333333"/>
                <w:lang w:val="sl-SI" w:eastAsia="en-GB"/>
              </w:rPr>
              <w:t>294</w:t>
            </w:r>
          </w:p>
        </w:tc>
        <w:tc>
          <w:tcPr>
            <w:tcW w:w="1417" w:type="dxa"/>
            <w:shd w:val="clear" w:color="auto" w:fill="auto"/>
            <w:vAlign w:val="center"/>
          </w:tcPr>
          <w:p w14:paraId="7D39982F" w14:textId="77777777" w:rsidR="00E03711" w:rsidRPr="00237696" w:rsidRDefault="00E03711" w:rsidP="00237696">
            <w:pPr>
              <w:pStyle w:val="GUIDE-NORMAL"/>
              <w:spacing w:before="60" w:after="60"/>
              <w:jc w:val="center"/>
              <w:rPr>
                <w:rFonts w:ascii="Times New Roman" w:hAnsi="Times New Roman"/>
                <w:color w:val="333333"/>
                <w:sz w:val="14"/>
                <w:szCs w:val="14"/>
                <w:lang w:val="sl-SI" w:eastAsia="en-GB"/>
              </w:rPr>
            </w:pPr>
            <w:r w:rsidRPr="00237696">
              <w:rPr>
                <w:color w:val="333333"/>
                <w:lang w:val="sl-SI" w:eastAsia="en-GB"/>
              </w:rPr>
              <w:t>241</w:t>
            </w:r>
          </w:p>
        </w:tc>
        <w:tc>
          <w:tcPr>
            <w:tcW w:w="1417" w:type="dxa"/>
            <w:shd w:val="clear" w:color="auto" w:fill="auto"/>
            <w:vAlign w:val="center"/>
          </w:tcPr>
          <w:p w14:paraId="7D399830" w14:textId="77777777" w:rsidR="00E03711" w:rsidRPr="00237696" w:rsidRDefault="00E03711" w:rsidP="00237696">
            <w:pPr>
              <w:pStyle w:val="GUIDE-NORMAL"/>
              <w:spacing w:before="60" w:after="60"/>
              <w:jc w:val="center"/>
              <w:rPr>
                <w:rFonts w:ascii="Times New Roman" w:hAnsi="Times New Roman"/>
                <w:color w:val="333333"/>
                <w:sz w:val="14"/>
                <w:szCs w:val="14"/>
                <w:lang w:val="sl-SI" w:eastAsia="en-GB"/>
              </w:rPr>
            </w:pPr>
            <w:r w:rsidRPr="00237696">
              <w:rPr>
                <w:color w:val="333333"/>
                <w:lang w:val="sl-SI" w:eastAsia="en-GB"/>
              </w:rPr>
              <w:t>190</w:t>
            </w:r>
          </w:p>
        </w:tc>
        <w:tc>
          <w:tcPr>
            <w:tcW w:w="1417" w:type="dxa"/>
            <w:shd w:val="clear" w:color="auto" w:fill="auto"/>
            <w:vAlign w:val="center"/>
          </w:tcPr>
          <w:p w14:paraId="7D399831" w14:textId="77777777" w:rsidR="00E03711" w:rsidRPr="00237696" w:rsidRDefault="00E03711" w:rsidP="00237696">
            <w:pPr>
              <w:pStyle w:val="GUIDE-NORMAL"/>
              <w:spacing w:before="60" w:after="60"/>
              <w:jc w:val="center"/>
              <w:rPr>
                <w:rFonts w:ascii="Times New Roman" w:hAnsi="Times New Roman"/>
                <w:color w:val="333333"/>
                <w:sz w:val="14"/>
                <w:szCs w:val="14"/>
                <w:lang w:val="sl-SI" w:eastAsia="en-GB"/>
              </w:rPr>
            </w:pPr>
            <w:r w:rsidRPr="00237696">
              <w:rPr>
                <w:color w:val="333333"/>
                <w:lang w:val="sl-SI" w:eastAsia="en-GB"/>
              </w:rPr>
              <w:t>157</w:t>
            </w:r>
          </w:p>
        </w:tc>
      </w:tr>
      <w:tr w:rsidR="00E03711" w:rsidRPr="008C6F8C" w14:paraId="7D399838" w14:textId="77777777" w:rsidTr="00237696">
        <w:trPr>
          <w:trHeight w:val="20"/>
        </w:trPr>
        <w:tc>
          <w:tcPr>
            <w:tcW w:w="3402" w:type="dxa"/>
            <w:shd w:val="clear" w:color="auto" w:fill="auto"/>
            <w:vAlign w:val="center"/>
          </w:tcPr>
          <w:p w14:paraId="7D399833" w14:textId="77777777" w:rsidR="00E03711" w:rsidRPr="00237696" w:rsidRDefault="00E03711" w:rsidP="00237696">
            <w:pPr>
              <w:pStyle w:val="GUIDE-NORMAL"/>
              <w:spacing w:before="60" w:after="60"/>
              <w:jc w:val="left"/>
              <w:rPr>
                <w:b/>
                <w:color w:val="333333"/>
                <w:lang w:val="sl-SI" w:eastAsia="en-GB"/>
              </w:rPr>
            </w:pPr>
            <w:r w:rsidRPr="00237696">
              <w:rPr>
                <w:b/>
                <w:color w:val="333333"/>
                <w:lang w:val="sl-SI" w:eastAsia="en-GB"/>
              </w:rPr>
              <w:t xml:space="preserve">Belgija, Nemčija, Francija, Italija, Finska, Združeno kraljestvo, Islandija </w:t>
            </w:r>
          </w:p>
        </w:tc>
        <w:tc>
          <w:tcPr>
            <w:tcW w:w="1417" w:type="dxa"/>
            <w:shd w:val="clear" w:color="auto" w:fill="auto"/>
            <w:vAlign w:val="center"/>
          </w:tcPr>
          <w:p w14:paraId="7D399834" w14:textId="77777777" w:rsidR="00E03711" w:rsidRPr="00237696" w:rsidRDefault="00E03711" w:rsidP="00237696">
            <w:pPr>
              <w:pStyle w:val="GUIDE-NORMAL"/>
              <w:spacing w:before="60" w:after="60"/>
              <w:jc w:val="center"/>
              <w:rPr>
                <w:color w:val="333333"/>
                <w:lang w:val="sl-SI" w:eastAsia="en-GB"/>
              </w:rPr>
            </w:pPr>
            <w:r w:rsidRPr="00237696">
              <w:rPr>
                <w:color w:val="333333"/>
                <w:lang w:val="sl-SI" w:eastAsia="en-GB"/>
              </w:rPr>
              <w:t>280</w:t>
            </w:r>
          </w:p>
        </w:tc>
        <w:tc>
          <w:tcPr>
            <w:tcW w:w="1417" w:type="dxa"/>
            <w:shd w:val="clear" w:color="auto" w:fill="auto"/>
            <w:vAlign w:val="center"/>
          </w:tcPr>
          <w:p w14:paraId="7D399835" w14:textId="77777777" w:rsidR="00E03711" w:rsidRPr="00237696" w:rsidRDefault="00E03711" w:rsidP="00237696">
            <w:pPr>
              <w:pStyle w:val="GUIDE-NORMAL"/>
              <w:spacing w:before="60" w:after="60"/>
              <w:jc w:val="center"/>
              <w:rPr>
                <w:color w:val="333333"/>
                <w:lang w:val="sl-SI" w:eastAsia="en-GB"/>
              </w:rPr>
            </w:pPr>
            <w:r w:rsidRPr="00237696">
              <w:rPr>
                <w:color w:val="333333"/>
                <w:lang w:val="sl-SI" w:eastAsia="en-GB"/>
              </w:rPr>
              <w:t>214</w:t>
            </w:r>
          </w:p>
        </w:tc>
        <w:tc>
          <w:tcPr>
            <w:tcW w:w="1417" w:type="dxa"/>
            <w:shd w:val="clear" w:color="auto" w:fill="auto"/>
            <w:vAlign w:val="center"/>
          </w:tcPr>
          <w:p w14:paraId="7D399836" w14:textId="77777777" w:rsidR="00E03711" w:rsidRPr="00237696" w:rsidRDefault="00E03711" w:rsidP="00237696">
            <w:pPr>
              <w:pStyle w:val="GUIDE-NORMAL"/>
              <w:spacing w:before="60" w:after="60"/>
              <w:jc w:val="center"/>
              <w:rPr>
                <w:color w:val="333333"/>
                <w:lang w:val="sl-SI" w:eastAsia="en-GB"/>
              </w:rPr>
            </w:pPr>
            <w:r w:rsidRPr="00237696">
              <w:rPr>
                <w:color w:val="333333"/>
                <w:lang w:val="sl-SI" w:eastAsia="en-GB"/>
              </w:rPr>
              <w:t>162</w:t>
            </w:r>
          </w:p>
        </w:tc>
        <w:tc>
          <w:tcPr>
            <w:tcW w:w="1417" w:type="dxa"/>
            <w:shd w:val="clear" w:color="auto" w:fill="auto"/>
            <w:vAlign w:val="center"/>
          </w:tcPr>
          <w:p w14:paraId="7D399837" w14:textId="77777777" w:rsidR="00E03711" w:rsidRPr="00237696" w:rsidRDefault="00E03711" w:rsidP="00237696">
            <w:pPr>
              <w:pStyle w:val="GUIDE-NORMAL"/>
              <w:spacing w:before="60" w:after="60"/>
              <w:jc w:val="center"/>
              <w:rPr>
                <w:color w:val="333333"/>
                <w:lang w:val="sl-SI" w:eastAsia="en-GB"/>
              </w:rPr>
            </w:pPr>
            <w:r w:rsidRPr="00237696">
              <w:rPr>
                <w:color w:val="333333"/>
                <w:lang w:val="sl-SI" w:eastAsia="en-GB"/>
              </w:rPr>
              <w:t>131</w:t>
            </w:r>
          </w:p>
        </w:tc>
      </w:tr>
      <w:tr w:rsidR="00E03711" w:rsidRPr="008C6F8C" w14:paraId="7D39983E" w14:textId="77777777" w:rsidTr="00237696">
        <w:trPr>
          <w:trHeight w:val="20"/>
        </w:trPr>
        <w:tc>
          <w:tcPr>
            <w:tcW w:w="3402" w:type="dxa"/>
            <w:shd w:val="clear" w:color="auto" w:fill="auto"/>
            <w:vAlign w:val="center"/>
          </w:tcPr>
          <w:p w14:paraId="7D399839" w14:textId="77777777" w:rsidR="00E03711" w:rsidRPr="00237696" w:rsidRDefault="00E03711" w:rsidP="00237696">
            <w:pPr>
              <w:pStyle w:val="GUIDE-NORMAL"/>
              <w:spacing w:before="60" w:after="60"/>
              <w:jc w:val="left"/>
              <w:rPr>
                <w:b/>
                <w:color w:val="333333"/>
                <w:lang w:val="sl-SI" w:eastAsia="en-GB"/>
              </w:rPr>
            </w:pPr>
            <w:r w:rsidRPr="00237696">
              <w:rPr>
                <w:b/>
                <w:color w:val="333333"/>
                <w:lang w:val="sl-SI" w:eastAsia="en-GB"/>
              </w:rPr>
              <w:t>Češka, Grčija, Španija, Ciper, Malta, Portugalska, Slovenija</w:t>
            </w:r>
          </w:p>
        </w:tc>
        <w:tc>
          <w:tcPr>
            <w:tcW w:w="1417" w:type="dxa"/>
            <w:shd w:val="clear" w:color="auto" w:fill="auto"/>
            <w:vAlign w:val="center"/>
          </w:tcPr>
          <w:p w14:paraId="7D39983A" w14:textId="77777777" w:rsidR="00E03711" w:rsidRPr="00237696" w:rsidRDefault="00E03711" w:rsidP="00237696">
            <w:pPr>
              <w:pStyle w:val="GUIDE-NORMAL"/>
              <w:spacing w:before="60" w:after="60"/>
              <w:jc w:val="center"/>
              <w:rPr>
                <w:color w:val="333333"/>
                <w:lang w:val="sl-SI" w:eastAsia="en-GB"/>
              </w:rPr>
            </w:pPr>
            <w:r w:rsidRPr="00237696">
              <w:rPr>
                <w:color w:val="333333"/>
                <w:lang w:val="sl-SI" w:eastAsia="en-GB"/>
              </w:rPr>
              <w:t>164</w:t>
            </w:r>
          </w:p>
        </w:tc>
        <w:tc>
          <w:tcPr>
            <w:tcW w:w="1417" w:type="dxa"/>
            <w:shd w:val="clear" w:color="auto" w:fill="auto"/>
            <w:vAlign w:val="center"/>
          </w:tcPr>
          <w:p w14:paraId="7D39983B" w14:textId="77777777" w:rsidR="00E03711" w:rsidRPr="00237696" w:rsidRDefault="00E03711" w:rsidP="00237696">
            <w:pPr>
              <w:pStyle w:val="GUIDE-NORMAL"/>
              <w:spacing w:before="60" w:after="60"/>
              <w:jc w:val="center"/>
              <w:rPr>
                <w:color w:val="333333"/>
                <w:lang w:val="sl-SI" w:eastAsia="en-GB"/>
              </w:rPr>
            </w:pPr>
            <w:r w:rsidRPr="00237696">
              <w:rPr>
                <w:color w:val="333333"/>
                <w:lang w:val="sl-SI" w:eastAsia="en-GB"/>
              </w:rPr>
              <w:t>137</w:t>
            </w:r>
          </w:p>
        </w:tc>
        <w:tc>
          <w:tcPr>
            <w:tcW w:w="1417" w:type="dxa"/>
            <w:shd w:val="clear" w:color="auto" w:fill="auto"/>
            <w:vAlign w:val="center"/>
          </w:tcPr>
          <w:p w14:paraId="7D39983C" w14:textId="77777777" w:rsidR="00E03711" w:rsidRPr="00237696" w:rsidRDefault="00E03711" w:rsidP="00237696">
            <w:pPr>
              <w:pStyle w:val="GUIDE-NORMAL"/>
              <w:spacing w:before="60" w:after="60"/>
              <w:jc w:val="center"/>
              <w:rPr>
                <w:color w:val="333333"/>
                <w:lang w:val="sl-SI" w:eastAsia="en-GB"/>
              </w:rPr>
            </w:pPr>
            <w:r w:rsidRPr="00237696">
              <w:rPr>
                <w:color w:val="333333"/>
                <w:lang w:val="sl-SI" w:eastAsia="en-GB"/>
              </w:rPr>
              <w:t>102</w:t>
            </w:r>
          </w:p>
        </w:tc>
        <w:tc>
          <w:tcPr>
            <w:tcW w:w="1417" w:type="dxa"/>
            <w:shd w:val="clear" w:color="auto" w:fill="auto"/>
            <w:vAlign w:val="center"/>
          </w:tcPr>
          <w:p w14:paraId="7D39983D" w14:textId="77777777" w:rsidR="00E03711" w:rsidRPr="00237696" w:rsidRDefault="00E03711" w:rsidP="00237696">
            <w:pPr>
              <w:pStyle w:val="GUIDE-NORMAL"/>
              <w:spacing w:before="60" w:after="60"/>
              <w:jc w:val="center"/>
              <w:rPr>
                <w:color w:val="333333"/>
                <w:lang w:val="sl-SI" w:eastAsia="en-GB"/>
              </w:rPr>
            </w:pPr>
            <w:r w:rsidRPr="00237696">
              <w:rPr>
                <w:color w:val="333333"/>
                <w:lang w:val="sl-SI" w:eastAsia="en-GB"/>
              </w:rPr>
              <w:t>78</w:t>
            </w:r>
          </w:p>
        </w:tc>
      </w:tr>
      <w:tr w:rsidR="00E03711" w:rsidRPr="008C6F8C" w14:paraId="7D399844" w14:textId="77777777" w:rsidTr="00237696">
        <w:trPr>
          <w:trHeight w:val="20"/>
        </w:trPr>
        <w:tc>
          <w:tcPr>
            <w:tcW w:w="3402" w:type="dxa"/>
            <w:shd w:val="clear" w:color="auto" w:fill="auto"/>
            <w:vAlign w:val="center"/>
          </w:tcPr>
          <w:p w14:paraId="7D39983F" w14:textId="77777777" w:rsidR="00E03711" w:rsidRPr="00237696" w:rsidRDefault="00E03711">
            <w:pPr>
              <w:pStyle w:val="GUIDE-NORMAL"/>
              <w:spacing w:before="60" w:after="60"/>
              <w:jc w:val="left"/>
              <w:rPr>
                <w:b/>
                <w:color w:val="333333"/>
                <w:lang w:val="sl-SI" w:eastAsia="en-GB"/>
              </w:rPr>
            </w:pPr>
            <w:r w:rsidRPr="00237696">
              <w:rPr>
                <w:b/>
                <w:color w:val="333333"/>
                <w:lang w:val="sl-SI" w:eastAsia="en-GB"/>
              </w:rPr>
              <w:t xml:space="preserve">Bolgarija, Estonija, Hrvaška, Latvija, Litva, Madžarska, Poljska, Romunija, </w:t>
            </w:r>
            <w:r>
              <w:rPr>
                <w:b/>
                <w:color w:val="333333"/>
                <w:lang w:val="sl-SI" w:eastAsia="en-GB"/>
              </w:rPr>
              <w:t>R</w:t>
            </w:r>
            <w:r w:rsidRPr="00237696">
              <w:rPr>
                <w:b/>
                <w:color w:val="333333"/>
                <w:lang w:val="sl-SI" w:eastAsia="en-GB"/>
              </w:rPr>
              <w:t xml:space="preserve">epublika </w:t>
            </w:r>
            <w:r>
              <w:rPr>
                <w:b/>
                <w:color w:val="333333"/>
                <w:lang w:val="sl-SI" w:eastAsia="en-GB"/>
              </w:rPr>
              <w:t xml:space="preserve">Severna </w:t>
            </w:r>
            <w:r w:rsidRPr="00237696">
              <w:rPr>
                <w:b/>
                <w:color w:val="333333"/>
                <w:lang w:val="sl-SI" w:eastAsia="en-GB"/>
              </w:rPr>
              <w:t>Makedonija, Slovaška, Srbija, Turčija</w:t>
            </w:r>
          </w:p>
        </w:tc>
        <w:tc>
          <w:tcPr>
            <w:tcW w:w="1417" w:type="dxa"/>
            <w:shd w:val="clear" w:color="auto" w:fill="auto"/>
            <w:vAlign w:val="center"/>
          </w:tcPr>
          <w:p w14:paraId="7D399840" w14:textId="77777777" w:rsidR="00E03711" w:rsidRPr="00237696" w:rsidRDefault="00E03711" w:rsidP="00237696">
            <w:pPr>
              <w:pStyle w:val="GUIDE-NORMAL"/>
              <w:spacing w:before="60" w:after="60"/>
              <w:jc w:val="center"/>
              <w:rPr>
                <w:color w:val="333333"/>
                <w:lang w:val="sl-SI" w:eastAsia="en-GB"/>
              </w:rPr>
            </w:pPr>
            <w:r w:rsidRPr="00237696">
              <w:rPr>
                <w:color w:val="333333"/>
                <w:lang w:val="sl-SI" w:eastAsia="en-GB"/>
              </w:rPr>
              <w:t>88</w:t>
            </w:r>
          </w:p>
        </w:tc>
        <w:tc>
          <w:tcPr>
            <w:tcW w:w="1417" w:type="dxa"/>
            <w:shd w:val="clear" w:color="auto" w:fill="auto"/>
            <w:vAlign w:val="center"/>
          </w:tcPr>
          <w:p w14:paraId="7D399841" w14:textId="77777777" w:rsidR="00E03711" w:rsidRPr="00237696" w:rsidRDefault="00E03711" w:rsidP="00237696">
            <w:pPr>
              <w:pStyle w:val="GUIDE-NORMAL"/>
              <w:spacing w:before="60" w:after="60"/>
              <w:jc w:val="center"/>
              <w:rPr>
                <w:color w:val="333333"/>
                <w:lang w:val="sl-SI" w:eastAsia="en-GB"/>
              </w:rPr>
            </w:pPr>
            <w:r w:rsidRPr="00237696">
              <w:rPr>
                <w:color w:val="333333"/>
                <w:lang w:val="sl-SI" w:eastAsia="en-GB"/>
              </w:rPr>
              <w:t>74</w:t>
            </w:r>
          </w:p>
        </w:tc>
        <w:tc>
          <w:tcPr>
            <w:tcW w:w="1417" w:type="dxa"/>
            <w:shd w:val="clear" w:color="auto" w:fill="auto"/>
            <w:vAlign w:val="center"/>
          </w:tcPr>
          <w:p w14:paraId="7D399842" w14:textId="77777777" w:rsidR="00E03711" w:rsidRPr="00237696" w:rsidRDefault="00E03711" w:rsidP="00237696">
            <w:pPr>
              <w:pStyle w:val="GUIDE-NORMAL"/>
              <w:spacing w:before="60" w:after="60"/>
              <w:jc w:val="center"/>
              <w:rPr>
                <w:color w:val="333333"/>
                <w:lang w:val="sl-SI" w:eastAsia="en-GB"/>
              </w:rPr>
            </w:pPr>
            <w:r w:rsidRPr="00237696">
              <w:rPr>
                <w:color w:val="333333"/>
                <w:lang w:val="sl-SI" w:eastAsia="en-GB"/>
              </w:rPr>
              <w:t>55</w:t>
            </w:r>
          </w:p>
        </w:tc>
        <w:tc>
          <w:tcPr>
            <w:tcW w:w="1417" w:type="dxa"/>
            <w:shd w:val="clear" w:color="auto" w:fill="auto"/>
            <w:vAlign w:val="center"/>
          </w:tcPr>
          <w:p w14:paraId="7D399843" w14:textId="77777777" w:rsidR="00E03711" w:rsidRPr="00237696" w:rsidRDefault="00E03711" w:rsidP="00237696">
            <w:pPr>
              <w:pStyle w:val="GUIDE-NORMAL"/>
              <w:spacing w:before="60" w:after="60"/>
              <w:jc w:val="center"/>
              <w:rPr>
                <w:color w:val="333333"/>
                <w:lang w:val="sl-SI" w:eastAsia="en-GB"/>
              </w:rPr>
            </w:pPr>
            <w:r w:rsidRPr="00237696">
              <w:rPr>
                <w:color w:val="333333"/>
                <w:lang w:val="sl-SI" w:eastAsia="en-GB"/>
              </w:rPr>
              <w:t>39</w:t>
            </w:r>
          </w:p>
        </w:tc>
      </w:tr>
    </w:tbl>
    <w:p w14:paraId="7D399845" w14:textId="77777777" w:rsidR="00E03711" w:rsidRPr="001048FE" w:rsidRDefault="00E03711">
      <w:pPr>
        <w:widowControl/>
        <w:suppressAutoHyphens w:val="0"/>
        <w:autoSpaceDN/>
        <w:textAlignment w:val="auto"/>
        <w:rPr>
          <w:rFonts w:eastAsia="Times New Roman"/>
          <w:b/>
          <w:smallCaps/>
          <w:sz w:val="20"/>
          <w:szCs w:val="28"/>
          <w:lang w:val="sl-SI"/>
        </w:rPr>
      </w:pPr>
      <w:bookmarkStart w:id="233" w:name="Tableau_B_–_Frais_de_personnel_(montants"/>
      <w:bookmarkEnd w:id="233"/>
    </w:p>
    <w:p w14:paraId="7D399846" w14:textId="77777777" w:rsidR="00E03711" w:rsidRPr="001048FE" w:rsidRDefault="00E03711" w:rsidP="0036017F">
      <w:pPr>
        <w:pStyle w:val="Guide-Heading6"/>
        <w:rPr>
          <w:lang w:val="sl-SI"/>
        </w:rPr>
        <w:sectPr w:rsidR="00E03711" w:rsidRPr="001048FE" w:rsidSect="00F05D26">
          <w:endnotePr>
            <w:numFmt w:val="decimal"/>
          </w:endnotePr>
          <w:pgSz w:w="16840" w:h="11910" w:orient="landscape" w:code="9"/>
          <w:pgMar w:top="1418" w:right="1134" w:bottom="1418" w:left="1134" w:header="284" w:footer="567" w:gutter="0"/>
          <w:cols w:space="720"/>
          <w:docGrid w:linePitch="326"/>
        </w:sectPr>
      </w:pPr>
    </w:p>
    <w:p w14:paraId="7D399847" w14:textId="77777777" w:rsidR="00E03711" w:rsidRPr="001048FE" w:rsidRDefault="00E03711" w:rsidP="0036017F">
      <w:pPr>
        <w:pStyle w:val="Guide-Heading6"/>
        <w:rPr>
          <w:lang w:val="sl-SI"/>
        </w:rPr>
      </w:pPr>
      <w:r w:rsidRPr="001048FE">
        <w:rPr>
          <w:lang w:val="sl-SI"/>
        </w:rPr>
        <w:t>Preglednica B – Stroški osebja (zneski v EUR na dan) v partnerskih državah</w:t>
      </w:r>
    </w:p>
    <w:p w14:paraId="7D399848" w14:textId="77777777" w:rsidR="00E03711" w:rsidRPr="001048FE" w:rsidRDefault="00E03711" w:rsidP="0036017F">
      <w:pPr>
        <w:pStyle w:val="GUIDE-NORMAL"/>
        <w:rPr>
          <w:lang w:val="sl-SI"/>
        </w:rPr>
      </w:pPr>
      <w:r w:rsidRPr="001048FE">
        <w:rPr>
          <w:lang w:val="sl-SI"/>
        </w:rPr>
        <w:t>Kategorija osebja, ki se bo uporabljala, bo odvisna od dela, ki se bo izvajalo v okviru projekta, in ne bo temeljila na statusu ali nazivu posameznika. Povedano drugače, stroški osebja, povezani na primer z administrativno nalogo, ki jo je izvedel akademik, bi se morali zaračunati v okviru kategorije „Administrativno osebje“. Dejanske načine prejemanja plačil za osebje, vključeno v projekt, bodo skupaj opredelile organizacije, vključene v projekt, potrdili menedžerji, odgovorni za njihovo zaposlovanje, in bodo del partnerskega sporazuma, ki ga bodo partnerji podpisali na začetku projekta.</w:t>
      </w:r>
    </w:p>
    <w:p w14:paraId="7D399849" w14:textId="77777777" w:rsidR="00E03711" w:rsidRPr="001048FE" w:rsidRDefault="00E03711" w:rsidP="0036017F">
      <w:pPr>
        <w:pStyle w:val="GUIDE-NORMAL"/>
        <w:rPr>
          <w:lang w:val="sl-SI"/>
        </w:rPr>
      </w:pPr>
      <w:r w:rsidRPr="001048FE">
        <w:rPr>
          <w:lang w:val="sl-SI"/>
        </w:rPr>
        <w:t>Stroški na enoto, ki se bodo uporabili za izračun nepovratnih sredstev, bodo stroški na enoto države, v kateri član osebja deluje, ne glede na to, kje se bodo naloge opravljale (tj. član osebja organizacije države A, ki (delno) dela v državi B, bo upoštevan pri stroških na enoto v državi A).</w:t>
      </w:r>
    </w:p>
    <w:tbl>
      <w:tblPr>
        <w:tblW w:w="5000" w:type="pct"/>
        <w:tblLayout w:type="fixed"/>
        <w:tblLook w:val="0000" w:firstRow="0" w:lastRow="0" w:firstColumn="0" w:lastColumn="0" w:noHBand="0" w:noVBand="0"/>
      </w:tblPr>
      <w:tblGrid>
        <w:gridCol w:w="9108"/>
        <w:gridCol w:w="1350"/>
        <w:gridCol w:w="1890"/>
        <w:gridCol w:w="900"/>
        <w:gridCol w:w="1540"/>
      </w:tblGrid>
      <w:tr w:rsidR="00E03711" w:rsidRPr="008C6F8C" w14:paraId="7D39984F" w14:textId="77777777" w:rsidTr="003E46E6">
        <w:trPr>
          <w:trHeight w:val="20"/>
        </w:trPr>
        <w:tc>
          <w:tcPr>
            <w:tcW w:w="9108" w:type="dxa"/>
            <w:vMerge w:val="restart"/>
            <w:tcBorders>
              <w:top w:val="none" w:sz="6" w:space="0" w:color="auto"/>
              <w:left w:val="none" w:sz="6" w:space="0" w:color="auto"/>
              <w:bottom w:val="single" w:sz="6" w:space="0" w:color="000000"/>
              <w:right w:val="single" w:sz="6" w:space="0" w:color="000000"/>
            </w:tcBorders>
            <w:shd w:val="clear" w:color="auto" w:fill="auto"/>
            <w:vAlign w:val="center"/>
          </w:tcPr>
          <w:p w14:paraId="7D39984A" w14:textId="77777777" w:rsidR="00E03711" w:rsidRPr="001048FE" w:rsidRDefault="00E03711" w:rsidP="00235AC6">
            <w:pPr>
              <w:pStyle w:val="GUIDE-NORMAL"/>
              <w:spacing w:before="60" w:after="60"/>
              <w:jc w:val="left"/>
              <w:rPr>
                <w:rFonts w:ascii="Times New Roman" w:hAnsi="Times New Roman"/>
                <w:lang w:val="sl-SI" w:eastAsia="en-GB"/>
              </w:rPr>
            </w:pP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4B" w14:textId="77777777" w:rsidR="00E03711" w:rsidRPr="00F769E0" w:rsidRDefault="00E03711" w:rsidP="00235AC6">
            <w:pPr>
              <w:pStyle w:val="GUIDE-NORMAL"/>
              <w:spacing w:before="60" w:after="60"/>
              <w:jc w:val="center"/>
              <w:rPr>
                <w:rFonts w:cs="Tahoma"/>
                <w:b/>
                <w:lang w:val="sl-SI" w:eastAsia="en-GB"/>
              </w:rPr>
            </w:pPr>
            <w:r w:rsidRPr="00F769E0">
              <w:rPr>
                <w:rFonts w:cs="Tahoma"/>
                <w:b/>
                <w:lang w:val="sl-SI" w:eastAsia="en-GB"/>
              </w:rPr>
              <w:t>Menedžer</w:t>
            </w:r>
          </w:p>
        </w:tc>
        <w:tc>
          <w:tcPr>
            <w:tcW w:w="18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4C" w14:textId="77777777" w:rsidR="00E03711" w:rsidRPr="00F769E0" w:rsidRDefault="00E03711" w:rsidP="003E46E6">
            <w:pPr>
              <w:pStyle w:val="GUIDE-NORMAL"/>
              <w:spacing w:before="60" w:after="60"/>
              <w:jc w:val="center"/>
              <w:rPr>
                <w:rFonts w:cs="Tahoma"/>
                <w:b/>
                <w:lang w:val="sl-SI" w:eastAsia="en-GB"/>
              </w:rPr>
            </w:pPr>
            <w:r w:rsidRPr="00F769E0">
              <w:rPr>
                <w:rFonts w:cs="Tahoma"/>
                <w:b/>
                <w:lang w:val="sl-SI" w:eastAsia="en-GB"/>
              </w:rPr>
              <w:t>Učitelj/vodja usposa-bljanja/</w:t>
            </w:r>
            <w:r>
              <w:rPr>
                <w:rFonts w:cs="Tahoma"/>
                <w:b/>
                <w:lang w:val="sl-SI" w:eastAsia="en-GB"/>
              </w:rPr>
              <w:t xml:space="preserve"> </w:t>
            </w:r>
            <w:r w:rsidRPr="00F769E0">
              <w:rPr>
                <w:rFonts w:cs="Tahoma"/>
                <w:b/>
                <w:lang w:val="sl-SI" w:eastAsia="en-GB"/>
              </w:rPr>
              <w:t>raziskovalec</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4D" w14:textId="77777777" w:rsidR="00E03711" w:rsidRPr="00F769E0" w:rsidRDefault="00E03711" w:rsidP="00235AC6">
            <w:pPr>
              <w:pStyle w:val="GUIDE-NORMAL"/>
              <w:spacing w:before="60" w:after="60"/>
              <w:jc w:val="center"/>
              <w:rPr>
                <w:rFonts w:cs="Tahoma"/>
                <w:b/>
                <w:lang w:val="sl-SI" w:eastAsia="en-GB"/>
              </w:rPr>
            </w:pPr>
            <w:r w:rsidRPr="00F769E0">
              <w:rPr>
                <w:rFonts w:cs="Tahoma"/>
                <w:b/>
                <w:lang w:val="sl-SI" w:eastAsia="en-GB"/>
              </w:rPr>
              <w:t>Tehnično osebje</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4E" w14:textId="77777777" w:rsidR="00E03711" w:rsidRPr="00F769E0" w:rsidRDefault="00E03711" w:rsidP="00235AC6">
            <w:pPr>
              <w:pStyle w:val="GUIDE-NORMAL"/>
              <w:spacing w:before="60" w:after="60"/>
              <w:jc w:val="center"/>
              <w:rPr>
                <w:rFonts w:cs="Tahoma"/>
                <w:b/>
                <w:vertAlign w:val="superscript"/>
                <w:lang w:val="sl-SI" w:eastAsia="en-GB"/>
              </w:rPr>
            </w:pPr>
            <w:r w:rsidRPr="00F769E0">
              <w:rPr>
                <w:rFonts w:cs="Tahoma"/>
                <w:b/>
                <w:lang w:val="sl-SI" w:eastAsia="en-GB"/>
              </w:rPr>
              <w:t>Adminis-trativno osebje</w:t>
            </w:r>
            <w:r w:rsidRPr="00F769E0">
              <w:rPr>
                <w:rStyle w:val="FootnoteReference"/>
                <w:rFonts w:cs="Tahoma"/>
                <w:b/>
                <w:lang w:val="sl-SI" w:eastAsia="en-GB"/>
              </w:rPr>
              <w:footnoteReference w:id="212"/>
            </w:r>
          </w:p>
        </w:tc>
      </w:tr>
      <w:tr w:rsidR="00E03711" w:rsidRPr="008C6F8C" w14:paraId="7D399855" w14:textId="77777777" w:rsidTr="003E46E6">
        <w:trPr>
          <w:trHeight w:val="20"/>
        </w:trPr>
        <w:tc>
          <w:tcPr>
            <w:tcW w:w="9108" w:type="dxa"/>
            <w:vMerge/>
            <w:tcBorders>
              <w:top w:val="nil"/>
              <w:left w:val="none" w:sz="6" w:space="0" w:color="auto"/>
              <w:bottom w:val="single" w:sz="6" w:space="0" w:color="000000"/>
              <w:right w:val="single" w:sz="6" w:space="0" w:color="000000"/>
            </w:tcBorders>
            <w:shd w:val="clear" w:color="auto" w:fill="auto"/>
            <w:vAlign w:val="center"/>
          </w:tcPr>
          <w:p w14:paraId="7D399850" w14:textId="77777777" w:rsidR="00E03711" w:rsidRPr="00F769E0" w:rsidRDefault="00E03711" w:rsidP="00235AC6">
            <w:pPr>
              <w:pStyle w:val="GUIDE-NORMAL"/>
              <w:spacing w:before="60" w:after="60"/>
              <w:jc w:val="left"/>
              <w:rPr>
                <w:rFonts w:cs="Tahoma"/>
                <w:sz w:val="2"/>
                <w:szCs w:val="2"/>
                <w:lang w:val="sl-SI" w:eastAsia="en-GB"/>
              </w:rPr>
            </w:pP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51" w14:textId="77777777" w:rsidR="00E03711" w:rsidRPr="00F769E0" w:rsidRDefault="00E03711" w:rsidP="00235AC6">
            <w:pPr>
              <w:pStyle w:val="GUIDE-NORMAL"/>
              <w:spacing w:before="60" w:after="60"/>
              <w:jc w:val="center"/>
              <w:rPr>
                <w:rFonts w:cs="Tahoma"/>
                <w:b/>
                <w:lang w:val="sl-SI" w:eastAsia="en-GB"/>
              </w:rPr>
            </w:pPr>
            <w:r w:rsidRPr="00F769E0">
              <w:rPr>
                <w:rFonts w:cs="Tahoma"/>
                <w:b/>
                <w:lang w:val="sl-SI" w:eastAsia="en-GB"/>
              </w:rPr>
              <w:t>B4.1</w:t>
            </w:r>
          </w:p>
        </w:tc>
        <w:tc>
          <w:tcPr>
            <w:tcW w:w="18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52" w14:textId="77777777" w:rsidR="00E03711" w:rsidRPr="00F769E0" w:rsidRDefault="00E03711" w:rsidP="00235AC6">
            <w:pPr>
              <w:pStyle w:val="GUIDE-NORMAL"/>
              <w:spacing w:before="60" w:after="60"/>
              <w:jc w:val="center"/>
              <w:rPr>
                <w:rFonts w:cs="Tahoma"/>
                <w:b/>
                <w:lang w:val="sl-SI" w:eastAsia="en-GB"/>
              </w:rPr>
            </w:pPr>
            <w:r w:rsidRPr="00F769E0">
              <w:rPr>
                <w:rFonts w:cs="Tahoma"/>
                <w:b/>
                <w:lang w:val="sl-SI" w:eastAsia="en-GB"/>
              </w:rPr>
              <w:t>B4.2</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53" w14:textId="77777777" w:rsidR="00E03711" w:rsidRPr="00F769E0" w:rsidRDefault="00E03711" w:rsidP="00235AC6">
            <w:pPr>
              <w:pStyle w:val="GUIDE-NORMAL"/>
              <w:spacing w:before="60" w:after="60"/>
              <w:jc w:val="center"/>
              <w:rPr>
                <w:rFonts w:cs="Tahoma"/>
                <w:b/>
                <w:lang w:val="sl-SI" w:eastAsia="en-GB"/>
              </w:rPr>
            </w:pPr>
            <w:r w:rsidRPr="00F769E0">
              <w:rPr>
                <w:rFonts w:cs="Tahoma"/>
                <w:b/>
                <w:lang w:val="sl-SI" w:eastAsia="en-GB"/>
              </w:rPr>
              <w:t>B4.3</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54" w14:textId="77777777" w:rsidR="00E03711" w:rsidRPr="00F769E0" w:rsidRDefault="00E03711" w:rsidP="00235AC6">
            <w:pPr>
              <w:pStyle w:val="GUIDE-NORMAL"/>
              <w:spacing w:before="60" w:after="60"/>
              <w:jc w:val="center"/>
              <w:rPr>
                <w:rFonts w:cs="Tahoma"/>
                <w:b/>
                <w:lang w:val="sl-SI" w:eastAsia="en-GB"/>
              </w:rPr>
            </w:pPr>
            <w:r w:rsidRPr="00F769E0">
              <w:rPr>
                <w:rFonts w:cs="Tahoma"/>
                <w:b/>
                <w:lang w:val="sl-SI" w:eastAsia="en-GB"/>
              </w:rPr>
              <w:t>B4.4</w:t>
            </w:r>
          </w:p>
        </w:tc>
      </w:tr>
      <w:tr w:rsidR="00E03711" w:rsidRPr="008C6F8C" w14:paraId="7D39985B" w14:textId="77777777" w:rsidTr="003E46E6">
        <w:trPr>
          <w:trHeight w:val="20"/>
        </w:trPr>
        <w:tc>
          <w:tcPr>
            <w:tcW w:w="91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56" w14:textId="77777777" w:rsidR="00E03711" w:rsidRPr="00F769E0" w:rsidRDefault="00E03711" w:rsidP="0036017F">
            <w:pPr>
              <w:pStyle w:val="GUIDE-NORMAL"/>
              <w:spacing w:before="60" w:after="60"/>
              <w:jc w:val="left"/>
              <w:rPr>
                <w:rFonts w:cs="Tahoma"/>
                <w:b/>
                <w:lang w:val="sl-SI" w:eastAsia="en-GB"/>
              </w:rPr>
            </w:pPr>
            <w:r w:rsidRPr="00F769E0">
              <w:rPr>
                <w:rFonts w:cs="Tahoma"/>
                <w:b/>
                <w:lang w:val="sl-SI" w:eastAsia="en-GB"/>
              </w:rPr>
              <w:t>Izrael</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57" w14:textId="77777777" w:rsidR="00E03711" w:rsidRPr="00F769E0" w:rsidRDefault="00E03711" w:rsidP="00235AC6">
            <w:pPr>
              <w:pStyle w:val="GUIDE-NORMAL"/>
              <w:spacing w:before="60" w:after="60"/>
              <w:jc w:val="center"/>
              <w:rPr>
                <w:rFonts w:cs="Tahoma"/>
                <w:lang w:val="sl-SI" w:eastAsia="en-GB"/>
              </w:rPr>
            </w:pPr>
            <w:r w:rsidRPr="00F769E0">
              <w:rPr>
                <w:rFonts w:cs="Tahoma"/>
                <w:lang w:val="sl-SI" w:eastAsia="en-GB"/>
              </w:rPr>
              <w:t>166</w:t>
            </w:r>
          </w:p>
        </w:tc>
        <w:tc>
          <w:tcPr>
            <w:tcW w:w="18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58" w14:textId="77777777" w:rsidR="00E03711" w:rsidRPr="00F769E0" w:rsidRDefault="00E03711" w:rsidP="00235AC6">
            <w:pPr>
              <w:pStyle w:val="GUIDE-NORMAL"/>
              <w:spacing w:before="60" w:after="60"/>
              <w:jc w:val="center"/>
              <w:rPr>
                <w:rFonts w:cs="Tahoma"/>
                <w:lang w:val="sl-SI" w:eastAsia="en-GB"/>
              </w:rPr>
            </w:pPr>
            <w:r w:rsidRPr="00F769E0">
              <w:rPr>
                <w:rFonts w:cs="Tahoma"/>
                <w:lang w:val="sl-SI" w:eastAsia="en-GB"/>
              </w:rPr>
              <w:t>132</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59" w14:textId="77777777" w:rsidR="00E03711" w:rsidRPr="00F769E0" w:rsidRDefault="00E03711" w:rsidP="00235AC6">
            <w:pPr>
              <w:pStyle w:val="GUIDE-NORMAL"/>
              <w:spacing w:before="60" w:after="60"/>
              <w:jc w:val="center"/>
              <w:rPr>
                <w:rFonts w:cs="Tahoma"/>
                <w:lang w:val="sl-SI" w:eastAsia="en-GB"/>
              </w:rPr>
            </w:pPr>
            <w:r w:rsidRPr="00F769E0">
              <w:rPr>
                <w:rFonts w:cs="Tahoma"/>
                <w:lang w:val="sl-SI" w:eastAsia="en-GB"/>
              </w:rPr>
              <w:t>102</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5A" w14:textId="77777777" w:rsidR="00E03711" w:rsidRPr="00F769E0" w:rsidRDefault="00E03711" w:rsidP="00235AC6">
            <w:pPr>
              <w:pStyle w:val="GUIDE-NORMAL"/>
              <w:spacing w:before="60" w:after="60"/>
              <w:jc w:val="center"/>
              <w:rPr>
                <w:rFonts w:cs="Tahoma"/>
                <w:lang w:val="sl-SI" w:eastAsia="en-GB"/>
              </w:rPr>
            </w:pPr>
            <w:r w:rsidRPr="00F769E0">
              <w:rPr>
                <w:rFonts w:cs="Tahoma"/>
                <w:lang w:val="sl-SI" w:eastAsia="en-GB"/>
              </w:rPr>
              <w:t>92</w:t>
            </w:r>
          </w:p>
        </w:tc>
      </w:tr>
      <w:tr w:rsidR="00E03711" w:rsidRPr="008C6F8C" w14:paraId="7D399865" w14:textId="77777777" w:rsidTr="003E46E6">
        <w:trPr>
          <w:trHeight w:val="20"/>
        </w:trPr>
        <w:tc>
          <w:tcPr>
            <w:tcW w:w="91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5C" w14:textId="77777777" w:rsidR="00E03711" w:rsidRPr="00F769E0" w:rsidRDefault="00E03711" w:rsidP="00FF6BF0">
            <w:pPr>
              <w:pStyle w:val="GUIDE-NORMAL"/>
              <w:spacing w:before="60" w:after="60"/>
              <w:jc w:val="left"/>
              <w:rPr>
                <w:rFonts w:cs="Tahoma"/>
                <w:b/>
                <w:lang w:val="sl-SI" w:eastAsia="en-GB"/>
              </w:rPr>
            </w:pPr>
            <w:r w:rsidRPr="00386550">
              <w:rPr>
                <w:rFonts w:cs="Tahoma"/>
                <w:b/>
                <w:lang w:val="sl-SI" w:eastAsia="en-GB"/>
              </w:rPr>
              <w:t xml:space="preserve">Albanija, Angola, Antigva in Barbuda, Argentina, Barbados, Bosna in Hercegovina, Brazilija, Cookovi otoki, </w:t>
            </w:r>
            <w:r w:rsidRPr="00E03711">
              <w:rPr>
                <w:rFonts w:cs="Tahoma"/>
                <w:b/>
                <w:lang w:val="sl-SI" w:eastAsia="en-GB"/>
              </w:rPr>
              <w:t>Čili</w:t>
            </w:r>
            <w:r>
              <w:rPr>
                <w:rFonts w:cs="Tahoma"/>
                <w:b/>
                <w:lang w:val="sl-SI" w:eastAsia="en-GB"/>
              </w:rPr>
              <w:t>,</w:t>
            </w:r>
            <w:r w:rsidRPr="00E03711">
              <w:rPr>
                <w:rFonts w:cs="Tahoma"/>
                <w:b/>
                <w:lang w:val="sl-SI" w:eastAsia="en-GB"/>
              </w:rPr>
              <w:t xml:space="preserve"> </w:t>
            </w:r>
            <w:r w:rsidRPr="00386550">
              <w:rPr>
                <w:rFonts w:cs="Tahoma"/>
                <w:b/>
                <w:lang w:val="sl-SI" w:eastAsia="en-GB"/>
              </w:rPr>
              <w:t>Črna gora, Dominika, Gabon, Grenada, Kolumbija, Komori, Kosovo</w:t>
            </w:r>
            <w:r w:rsidRPr="00F769E0">
              <w:rPr>
                <w:rStyle w:val="FootnoteReference"/>
                <w:rFonts w:cs="Tahoma"/>
                <w:b/>
                <w:lang w:val="sl-SI" w:eastAsia="en-GB"/>
              </w:rPr>
              <w:footnoteReference w:id="213"/>
            </w:r>
            <w:r w:rsidRPr="00F769E0">
              <w:rPr>
                <w:rFonts w:cs="Tahoma"/>
                <w:b/>
                <w:lang w:val="sl-SI" w:eastAsia="en-GB"/>
              </w:rPr>
              <w:t xml:space="preserve">, </w:t>
            </w:r>
            <w:r w:rsidRPr="00386550">
              <w:rPr>
                <w:rFonts w:cs="Tahoma"/>
                <w:b/>
                <w:lang w:val="sl-SI" w:eastAsia="en-GB"/>
              </w:rPr>
              <w:t>Libanon, Libija, Mehika, Nigerija, ozemlje Ukrajine, Peru, Saint Kitts in Nevis, Saint Vincent in Grenadine, Sao Tome in Principe, Sejšeli, Slonokoščena obala, Sveta Lucija, Tajska, Urugvaj, kot je priznano z mednarodnim pravom, Venezuela, Zambija, Zimbabve</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5D" w14:textId="77777777" w:rsidR="00E03711" w:rsidRPr="00F769E0" w:rsidRDefault="00E03711" w:rsidP="00235AC6">
            <w:pPr>
              <w:pStyle w:val="GUIDE-NORMAL"/>
              <w:spacing w:before="60" w:after="60"/>
              <w:jc w:val="center"/>
              <w:rPr>
                <w:rFonts w:cs="Tahoma"/>
                <w:lang w:val="sl-SI" w:eastAsia="en-GB"/>
              </w:rPr>
            </w:pPr>
          </w:p>
          <w:p w14:paraId="7D39985E" w14:textId="77777777" w:rsidR="00E03711" w:rsidRPr="00F769E0" w:rsidRDefault="00E03711" w:rsidP="00235AC6">
            <w:pPr>
              <w:pStyle w:val="GUIDE-NORMAL"/>
              <w:spacing w:before="60" w:after="60"/>
              <w:jc w:val="center"/>
              <w:rPr>
                <w:rFonts w:cs="Tahoma"/>
                <w:lang w:val="sl-SI" w:eastAsia="en-GB"/>
              </w:rPr>
            </w:pPr>
            <w:r w:rsidRPr="00F769E0">
              <w:rPr>
                <w:rFonts w:cs="Tahoma"/>
                <w:lang w:val="sl-SI" w:eastAsia="en-GB"/>
              </w:rPr>
              <w:t>108</w:t>
            </w:r>
          </w:p>
        </w:tc>
        <w:tc>
          <w:tcPr>
            <w:tcW w:w="18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5F" w14:textId="77777777" w:rsidR="00E03711" w:rsidRPr="00F769E0" w:rsidRDefault="00E03711" w:rsidP="00235AC6">
            <w:pPr>
              <w:pStyle w:val="GUIDE-NORMAL"/>
              <w:spacing w:before="60" w:after="60"/>
              <w:jc w:val="center"/>
              <w:rPr>
                <w:rFonts w:cs="Tahoma"/>
                <w:lang w:val="sl-SI" w:eastAsia="en-GB"/>
              </w:rPr>
            </w:pPr>
          </w:p>
          <w:p w14:paraId="7D399860" w14:textId="77777777" w:rsidR="00E03711" w:rsidRPr="00F769E0" w:rsidRDefault="00E03711" w:rsidP="00235AC6">
            <w:pPr>
              <w:pStyle w:val="GUIDE-NORMAL"/>
              <w:spacing w:before="60" w:after="60"/>
              <w:jc w:val="center"/>
              <w:rPr>
                <w:rFonts w:cs="Tahoma"/>
                <w:lang w:val="sl-SI" w:eastAsia="en-GB"/>
              </w:rPr>
            </w:pPr>
            <w:r w:rsidRPr="00F769E0">
              <w:rPr>
                <w:rFonts w:cs="Tahoma"/>
                <w:lang w:val="sl-SI" w:eastAsia="en-GB"/>
              </w:rPr>
              <w:t>80</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61" w14:textId="77777777" w:rsidR="00E03711" w:rsidRPr="00F769E0" w:rsidRDefault="00E03711" w:rsidP="00235AC6">
            <w:pPr>
              <w:pStyle w:val="GUIDE-NORMAL"/>
              <w:spacing w:before="60" w:after="60"/>
              <w:jc w:val="center"/>
              <w:rPr>
                <w:rFonts w:cs="Tahoma"/>
                <w:lang w:val="sl-SI" w:eastAsia="en-GB"/>
              </w:rPr>
            </w:pPr>
          </w:p>
          <w:p w14:paraId="7D399862" w14:textId="77777777" w:rsidR="00E03711" w:rsidRPr="00F769E0" w:rsidRDefault="00E03711" w:rsidP="00235AC6">
            <w:pPr>
              <w:pStyle w:val="GUIDE-NORMAL"/>
              <w:spacing w:before="60" w:after="60"/>
              <w:jc w:val="center"/>
              <w:rPr>
                <w:rFonts w:cs="Tahoma"/>
                <w:lang w:val="sl-SI" w:eastAsia="en-GB"/>
              </w:rPr>
            </w:pPr>
            <w:r w:rsidRPr="00F769E0">
              <w:rPr>
                <w:rFonts w:cs="Tahoma"/>
                <w:lang w:val="sl-SI" w:eastAsia="en-GB"/>
              </w:rPr>
              <w:t>57</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63" w14:textId="77777777" w:rsidR="00E03711" w:rsidRPr="00F769E0" w:rsidRDefault="00E03711" w:rsidP="00235AC6">
            <w:pPr>
              <w:pStyle w:val="GUIDE-NORMAL"/>
              <w:spacing w:before="60" w:after="60"/>
              <w:jc w:val="center"/>
              <w:rPr>
                <w:rFonts w:cs="Tahoma"/>
                <w:lang w:val="sl-SI" w:eastAsia="en-GB"/>
              </w:rPr>
            </w:pPr>
          </w:p>
          <w:p w14:paraId="7D399864" w14:textId="77777777" w:rsidR="00E03711" w:rsidRPr="00F769E0" w:rsidRDefault="00E03711" w:rsidP="00235AC6">
            <w:pPr>
              <w:pStyle w:val="GUIDE-NORMAL"/>
              <w:spacing w:before="60" w:after="60"/>
              <w:jc w:val="center"/>
              <w:rPr>
                <w:rFonts w:cs="Tahoma"/>
                <w:lang w:val="sl-SI" w:eastAsia="en-GB"/>
              </w:rPr>
            </w:pPr>
            <w:r w:rsidRPr="00F769E0">
              <w:rPr>
                <w:rFonts w:cs="Tahoma"/>
                <w:lang w:val="sl-SI" w:eastAsia="en-GB"/>
              </w:rPr>
              <w:t>45</w:t>
            </w:r>
          </w:p>
        </w:tc>
      </w:tr>
      <w:tr w:rsidR="00E03711" w:rsidRPr="008C6F8C" w14:paraId="7D39986F" w14:textId="77777777" w:rsidTr="003E46E6">
        <w:trPr>
          <w:trHeight w:val="20"/>
        </w:trPr>
        <w:tc>
          <w:tcPr>
            <w:tcW w:w="91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66" w14:textId="77777777" w:rsidR="00E03711" w:rsidRPr="00F769E0" w:rsidRDefault="00E03711" w:rsidP="00AD60C0">
            <w:pPr>
              <w:pStyle w:val="GUIDE-NORMAL"/>
              <w:spacing w:before="60" w:after="60"/>
              <w:jc w:val="left"/>
              <w:rPr>
                <w:rFonts w:cs="Tahoma"/>
                <w:b/>
                <w:lang w:val="sl-SI" w:eastAsia="en-GB"/>
              </w:rPr>
            </w:pPr>
            <w:r w:rsidRPr="00386550">
              <w:rPr>
                <w:rFonts w:cs="Tahoma"/>
                <w:b/>
                <w:lang w:val="sl-SI" w:eastAsia="en-GB"/>
              </w:rPr>
              <w:t>Afganistan, Azerbajdžan, Bahami, Bolivija, Burkina Faso, Dominikanska republika, Džibuti, Ekvador, Esvatini, Gruzija, Gvatemala, Gvineja Bissau, Haiti, Irak, Iran, Jamajka, Jordanija, Južna Afrika, Kamerun, Kazahstan, Kenija, Kitajska, Kongo, Kostarika, kot je priznano z mednarodnim pravom, Maroko, Mikronezija, Mozambik, Namibija, ozemlje Rusije, Palestina</w:t>
            </w:r>
            <w:r w:rsidRPr="00F769E0">
              <w:rPr>
                <w:rStyle w:val="FootnoteReference"/>
                <w:rFonts w:cs="Tahoma"/>
                <w:b/>
                <w:lang w:val="sl-SI" w:eastAsia="en-GB"/>
              </w:rPr>
              <w:footnoteReference w:id="214"/>
            </w:r>
            <w:r w:rsidRPr="00F769E0">
              <w:rPr>
                <w:rFonts w:cs="Tahoma"/>
                <w:b/>
                <w:lang w:val="sl-SI" w:eastAsia="en-GB"/>
              </w:rPr>
              <w:t xml:space="preserve">, </w:t>
            </w:r>
            <w:r w:rsidRPr="00386550">
              <w:rPr>
                <w:rFonts w:cs="Tahoma"/>
                <w:b/>
                <w:lang w:val="sl-SI" w:eastAsia="en-GB"/>
              </w:rPr>
              <w:t>Panama, Papua Nova Gvineja, Paragvaj, Salvador, Senegal, Surinam, Trinidad in Tobago, Vanuatu</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67" w14:textId="77777777" w:rsidR="00E03711" w:rsidRPr="00F769E0" w:rsidRDefault="00E03711" w:rsidP="00235AC6">
            <w:pPr>
              <w:pStyle w:val="GUIDE-NORMAL"/>
              <w:spacing w:before="60" w:after="60"/>
              <w:jc w:val="center"/>
              <w:rPr>
                <w:rFonts w:cs="Tahoma"/>
                <w:lang w:val="sl-SI" w:eastAsia="en-GB"/>
              </w:rPr>
            </w:pPr>
          </w:p>
          <w:p w14:paraId="7D399868" w14:textId="77777777" w:rsidR="00E03711" w:rsidRPr="00F769E0" w:rsidRDefault="00E03711" w:rsidP="00235AC6">
            <w:pPr>
              <w:pStyle w:val="GUIDE-NORMAL"/>
              <w:spacing w:before="60" w:after="60"/>
              <w:jc w:val="center"/>
              <w:rPr>
                <w:rFonts w:cs="Tahoma"/>
                <w:lang w:val="sl-SI" w:eastAsia="en-GB"/>
              </w:rPr>
            </w:pPr>
            <w:r w:rsidRPr="00F769E0">
              <w:rPr>
                <w:rFonts w:cs="Tahoma"/>
                <w:lang w:val="sl-SI" w:eastAsia="en-GB"/>
              </w:rPr>
              <w:t>77</w:t>
            </w:r>
          </w:p>
        </w:tc>
        <w:tc>
          <w:tcPr>
            <w:tcW w:w="18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69" w14:textId="77777777" w:rsidR="00E03711" w:rsidRPr="00F769E0" w:rsidRDefault="00E03711" w:rsidP="00235AC6">
            <w:pPr>
              <w:pStyle w:val="GUIDE-NORMAL"/>
              <w:spacing w:before="60" w:after="60"/>
              <w:jc w:val="center"/>
              <w:rPr>
                <w:rFonts w:cs="Tahoma"/>
                <w:lang w:val="sl-SI" w:eastAsia="en-GB"/>
              </w:rPr>
            </w:pPr>
          </w:p>
          <w:p w14:paraId="7D39986A" w14:textId="77777777" w:rsidR="00E03711" w:rsidRPr="00F769E0" w:rsidRDefault="00E03711" w:rsidP="00235AC6">
            <w:pPr>
              <w:pStyle w:val="GUIDE-NORMAL"/>
              <w:spacing w:before="60" w:after="60"/>
              <w:jc w:val="center"/>
              <w:rPr>
                <w:rFonts w:cs="Tahoma"/>
                <w:lang w:val="sl-SI" w:eastAsia="en-GB"/>
              </w:rPr>
            </w:pPr>
            <w:r w:rsidRPr="00F769E0">
              <w:rPr>
                <w:rFonts w:cs="Tahoma"/>
                <w:lang w:val="sl-SI" w:eastAsia="en-GB"/>
              </w:rPr>
              <w:t>57</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6B" w14:textId="77777777" w:rsidR="00E03711" w:rsidRPr="00F769E0" w:rsidRDefault="00E03711" w:rsidP="00235AC6">
            <w:pPr>
              <w:pStyle w:val="GUIDE-NORMAL"/>
              <w:spacing w:before="60" w:after="60"/>
              <w:jc w:val="center"/>
              <w:rPr>
                <w:rFonts w:cs="Tahoma"/>
                <w:lang w:val="sl-SI" w:eastAsia="en-GB"/>
              </w:rPr>
            </w:pPr>
          </w:p>
          <w:p w14:paraId="7D39986C" w14:textId="77777777" w:rsidR="00E03711" w:rsidRPr="00F769E0" w:rsidRDefault="00E03711" w:rsidP="00235AC6">
            <w:pPr>
              <w:pStyle w:val="GUIDE-NORMAL"/>
              <w:spacing w:before="60" w:after="60"/>
              <w:jc w:val="center"/>
              <w:rPr>
                <w:rFonts w:cs="Tahoma"/>
                <w:lang w:val="sl-SI" w:eastAsia="en-GB"/>
              </w:rPr>
            </w:pPr>
            <w:r w:rsidRPr="00F769E0">
              <w:rPr>
                <w:rFonts w:cs="Tahoma"/>
                <w:lang w:val="sl-SI" w:eastAsia="en-GB"/>
              </w:rPr>
              <w:t>40</w:t>
            </w:r>
          </w:p>
        </w:tc>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86D" w14:textId="77777777" w:rsidR="00E03711" w:rsidRPr="00F769E0" w:rsidRDefault="00E03711" w:rsidP="00235AC6">
            <w:pPr>
              <w:pStyle w:val="GUIDE-NORMAL"/>
              <w:spacing w:before="60" w:after="60"/>
              <w:jc w:val="center"/>
              <w:rPr>
                <w:rFonts w:cs="Tahoma"/>
                <w:lang w:val="sl-SI" w:eastAsia="en-GB"/>
              </w:rPr>
            </w:pPr>
          </w:p>
          <w:p w14:paraId="7D39986E" w14:textId="77777777" w:rsidR="00E03711" w:rsidRPr="00F769E0" w:rsidRDefault="00E03711" w:rsidP="00235AC6">
            <w:pPr>
              <w:pStyle w:val="GUIDE-NORMAL"/>
              <w:spacing w:before="60" w:after="60"/>
              <w:jc w:val="center"/>
              <w:rPr>
                <w:rFonts w:cs="Tahoma"/>
                <w:lang w:val="sl-SI" w:eastAsia="en-GB"/>
              </w:rPr>
            </w:pPr>
            <w:r w:rsidRPr="00F769E0">
              <w:rPr>
                <w:rFonts w:cs="Tahoma"/>
                <w:lang w:val="sl-SI" w:eastAsia="en-GB"/>
              </w:rPr>
              <w:t>32</w:t>
            </w:r>
          </w:p>
        </w:tc>
      </w:tr>
      <w:tr w:rsidR="00E03711" w:rsidRPr="008C6F8C" w14:paraId="7D399879" w14:textId="77777777" w:rsidTr="003E46E6">
        <w:trPr>
          <w:trHeight w:val="20"/>
        </w:trPr>
        <w:tc>
          <w:tcPr>
            <w:tcW w:w="9108"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9870" w14:textId="77777777" w:rsidR="00E03711" w:rsidRPr="00F769E0" w:rsidRDefault="00E03711" w:rsidP="00386550">
            <w:pPr>
              <w:pStyle w:val="GUIDE-NORMAL"/>
              <w:spacing w:before="60" w:after="60"/>
              <w:jc w:val="left"/>
              <w:rPr>
                <w:rFonts w:cs="Tahoma"/>
                <w:b/>
                <w:lang w:val="sl-SI" w:eastAsia="en-GB"/>
              </w:rPr>
            </w:pPr>
            <w:r w:rsidRPr="00386550">
              <w:rPr>
                <w:rFonts w:cs="Tahoma"/>
                <w:b/>
                <w:lang w:val="sl-SI" w:eastAsia="en-GB"/>
              </w:rPr>
              <w:t>Alžirija, Armenija, Bangladeš, Belize, Belorusija, Benin, Bocvana, Burundi, Butan, Čad, Demokratična republika Kongo, Demokratična republika Vzhodni Timor, Egipt, Ekvatorialna Gvineja, Eritreja, Etiopija, Fidži, Filipini, Gambija, Gana, Gvajana, Gvineja, Honduras, Indija, Indonezija, Jemen, Južni Sudan, Kambodža, Kirgizistan, Kiribati, Koreja (DLR), Kuba, Laos, Lesoto, Liberija, Madagaskar, Malavi, Maldivi, Malezija, Mali, Marshallovi otoki, Mauritius, Mavretanija, Mjanmar, Moldavija, Mongolija, Nauru, Nepal, Niger, Nikaragva, Niue, Pakistan, Palau, Ruanda, Salomonovi otoki, Samoa, Sierra Leone, Sirija, Somalija, Srednjeafriška republika, Šrilanka, Sudan, Tadžikistan, Tanzanija, Togo, Tonga, Tunizija, Turkmenistan, Tuvalu, Uganda, Uzbekistan, Vietnam, Zelenortski otoki</w:t>
            </w:r>
          </w:p>
        </w:tc>
        <w:tc>
          <w:tcPr>
            <w:tcW w:w="1350"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9871" w14:textId="77777777" w:rsidR="00E03711" w:rsidRPr="00F769E0" w:rsidRDefault="00E03711" w:rsidP="00235AC6">
            <w:pPr>
              <w:pStyle w:val="GUIDE-NORMAL"/>
              <w:spacing w:before="60" w:after="60"/>
              <w:jc w:val="center"/>
              <w:rPr>
                <w:rFonts w:cs="Tahoma"/>
                <w:lang w:val="sl-SI" w:eastAsia="en-GB"/>
              </w:rPr>
            </w:pPr>
          </w:p>
          <w:p w14:paraId="7D399872" w14:textId="77777777" w:rsidR="00E03711" w:rsidRPr="00F769E0" w:rsidRDefault="00E03711" w:rsidP="00235AC6">
            <w:pPr>
              <w:pStyle w:val="GUIDE-NORMAL"/>
              <w:spacing w:before="60" w:after="60"/>
              <w:jc w:val="center"/>
              <w:rPr>
                <w:rFonts w:cs="Tahoma"/>
                <w:lang w:val="sl-SI" w:eastAsia="en-GB"/>
              </w:rPr>
            </w:pPr>
            <w:r w:rsidRPr="00F769E0">
              <w:rPr>
                <w:rFonts w:cs="Tahoma"/>
                <w:lang w:val="sl-SI" w:eastAsia="en-GB"/>
              </w:rPr>
              <w:t>47</w:t>
            </w:r>
          </w:p>
        </w:tc>
        <w:tc>
          <w:tcPr>
            <w:tcW w:w="1890"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9873" w14:textId="77777777" w:rsidR="00E03711" w:rsidRPr="00F769E0" w:rsidRDefault="00E03711" w:rsidP="00235AC6">
            <w:pPr>
              <w:pStyle w:val="GUIDE-NORMAL"/>
              <w:spacing w:before="60" w:after="60"/>
              <w:jc w:val="center"/>
              <w:rPr>
                <w:rFonts w:cs="Tahoma"/>
                <w:lang w:val="sl-SI" w:eastAsia="en-GB"/>
              </w:rPr>
            </w:pPr>
          </w:p>
          <w:p w14:paraId="7D399874" w14:textId="77777777" w:rsidR="00E03711" w:rsidRPr="00F769E0" w:rsidRDefault="00E03711" w:rsidP="00235AC6">
            <w:pPr>
              <w:pStyle w:val="GUIDE-NORMAL"/>
              <w:spacing w:before="60" w:after="60"/>
              <w:jc w:val="center"/>
              <w:rPr>
                <w:rFonts w:cs="Tahoma"/>
                <w:lang w:val="sl-SI" w:eastAsia="en-GB"/>
              </w:rPr>
            </w:pPr>
            <w:r w:rsidRPr="00F769E0">
              <w:rPr>
                <w:rFonts w:cs="Tahoma"/>
                <w:lang w:val="sl-SI" w:eastAsia="en-GB"/>
              </w:rPr>
              <w:t>33</w:t>
            </w:r>
          </w:p>
        </w:tc>
        <w:tc>
          <w:tcPr>
            <w:tcW w:w="900"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9875" w14:textId="77777777" w:rsidR="00E03711" w:rsidRPr="00F769E0" w:rsidRDefault="00E03711" w:rsidP="00235AC6">
            <w:pPr>
              <w:pStyle w:val="GUIDE-NORMAL"/>
              <w:spacing w:before="60" w:after="60"/>
              <w:jc w:val="center"/>
              <w:rPr>
                <w:rFonts w:cs="Tahoma"/>
                <w:lang w:val="sl-SI" w:eastAsia="en-GB"/>
              </w:rPr>
            </w:pPr>
          </w:p>
          <w:p w14:paraId="7D399876" w14:textId="77777777" w:rsidR="00E03711" w:rsidRPr="00F769E0" w:rsidRDefault="00E03711" w:rsidP="00235AC6">
            <w:pPr>
              <w:pStyle w:val="GUIDE-NORMAL"/>
              <w:spacing w:before="60" w:after="60"/>
              <w:jc w:val="center"/>
              <w:rPr>
                <w:rFonts w:cs="Tahoma"/>
                <w:lang w:val="sl-SI" w:eastAsia="en-GB"/>
              </w:rPr>
            </w:pPr>
            <w:r w:rsidRPr="00F769E0">
              <w:rPr>
                <w:rFonts w:cs="Tahoma"/>
                <w:lang w:val="sl-SI" w:eastAsia="en-GB"/>
              </w:rPr>
              <w:t>22</w:t>
            </w:r>
          </w:p>
        </w:tc>
        <w:tc>
          <w:tcPr>
            <w:tcW w:w="1540"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9877" w14:textId="77777777" w:rsidR="00E03711" w:rsidRPr="00F769E0" w:rsidRDefault="00E03711" w:rsidP="00235AC6">
            <w:pPr>
              <w:pStyle w:val="GUIDE-NORMAL"/>
              <w:spacing w:before="60" w:after="60"/>
              <w:jc w:val="center"/>
              <w:rPr>
                <w:rFonts w:cs="Tahoma"/>
                <w:lang w:val="sl-SI" w:eastAsia="en-GB"/>
              </w:rPr>
            </w:pPr>
          </w:p>
          <w:p w14:paraId="7D399878" w14:textId="77777777" w:rsidR="00E03711" w:rsidRPr="00F769E0" w:rsidRDefault="00E03711" w:rsidP="00235AC6">
            <w:pPr>
              <w:pStyle w:val="GUIDE-NORMAL"/>
              <w:spacing w:before="60" w:after="60"/>
              <w:jc w:val="center"/>
              <w:rPr>
                <w:rFonts w:cs="Tahoma"/>
                <w:lang w:val="sl-SI" w:eastAsia="en-GB"/>
              </w:rPr>
            </w:pPr>
            <w:r w:rsidRPr="00F769E0">
              <w:rPr>
                <w:rFonts w:cs="Tahoma"/>
                <w:lang w:val="sl-SI" w:eastAsia="en-GB"/>
              </w:rPr>
              <w:t>17</w:t>
            </w:r>
          </w:p>
        </w:tc>
      </w:tr>
    </w:tbl>
    <w:p w14:paraId="7D39987A" w14:textId="77777777" w:rsidR="00E03711" w:rsidRDefault="00E03711">
      <w:pPr>
        <w:widowControl/>
        <w:suppressAutoHyphens w:val="0"/>
        <w:autoSpaceDN/>
        <w:textAlignment w:val="auto"/>
        <w:rPr>
          <w:rFonts w:eastAsia="Times New Roman"/>
          <w:b/>
          <w:smallCaps/>
          <w:sz w:val="28"/>
          <w:szCs w:val="20"/>
          <w:lang w:val="sl-SI"/>
        </w:rPr>
        <w:sectPr w:rsidR="00E03711" w:rsidSect="00D64472">
          <w:endnotePr>
            <w:numFmt w:val="decimal"/>
          </w:endnotePr>
          <w:pgSz w:w="16840" w:h="11910" w:orient="landscape" w:code="9"/>
          <w:pgMar w:top="1418" w:right="1134" w:bottom="1418" w:left="1134" w:header="284" w:footer="567" w:gutter="0"/>
          <w:cols w:space="720"/>
          <w:docGrid w:linePitch="326"/>
        </w:sectPr>
      </w:pPr>
      <w:bookmarkStart w:id="234" w:name="_bookmark44"/>
      <w:bookmarkEnd w:id="234"/>
    </w:p>
    <w:p w14:paraId="7D39987B" w14:textId="77777777" w:rsidR="00E03711" w:rsidRDefault="00E03711">
      <w:pPr>
        <w:pStyle w:val="Guide-Heading4TOC"/>
        <w:rPr>
          <w:lang w:val="sl-SI"/>
        </w:rPr>
      </w:pPr>
      <w:bookmarkStart w:id="235" w:name="_Toc527401156"/>
      <w:r w:rsidRPr="001048FE">
        <w:rPr>
          <w:lang w:val="sl-SI"/>
        </w:rPr>
        <w:t>Krepitev zmogljivosti na področju mladine</w:t>
      </w:r>
      <w:bookmarkEnd w:id="235"/>
    </w:p>
    <w:p w14:paraId="7D39987C" w14:textId="77777777" w:rsidR="00E03711" w:rsidRPr="001048FE" w:rsidRDefault="00E03711" w:rsidP="005041C6">
      <w:pPr>
        <w:pStyle w:val="Guide-Heading5"/>
        <w:rPr>
          <w:lang w:val="sl-SI"/>
        </w:rPr>
      </w:pPr>
      <w:r w:rsidRPr="001048FE">
        <w:rPr>
          <w:lang w:val="sl-SI"/>
        </w:rPr>
        <w:t>Kakšni so cilji projekta krepitve zmogljivosti?</w:t>
      </w:r>
    </w:p>
    <w:p w14:paraId="7D39987D" w14:textId="77777777" w:rsidR="00E03711" w:rsidRPr="001048FE" w:rsidRDefault="00E03711" w:rsidP="00B26AD1">
      <w:pPr>
        <w:pStyle w:val="GUIDE-NORMAL"/>
        <w:rPr>
          <w:lang w:val="sl-SI"/>
        </w:rPr>
      </w:pPr>
      <w:r w:rsidRPr="001048FE">
        <w:rPr>
          <w:lang w:val="sl-SI"/>
        </w:rPr>
        <w:t>Cilji projektov krepitve zmogljivosti na področju mladine so:</w:t>
      </w:r>
    </w:p>
    <w:p w14:paraId="7D39987E" w14:textId="77777777" w:rsidR="00E03711" w:rsidRPr="001048FE" w:rsidRDefault="00E03711" w:rsidP="005115F2">
      <w:pPr>
        <w:pStyle w:val="Guide-NormalBulletpoints"/>
        <w:numPr>
          <w:ilvl w:val="0"/>
          <w:numId w:val="368"/>
        </w:numPr>
        <w:rPr>
          <w:lang w:val="sl-SI"/>
        </w:rPr>
      </w:pPr>
      <w:r w:rsidRPr="001048FE">
        <w:rPr>
          <w:lang w:val="sl-SI"/>
        </w:rPr>
        <w:t>spodbujati sodelovanje in izmenjave na področju mladine med državami Programa in partnerskimi državami iz različnih regij</w:t>
      </w:r>
      <w:hyperlink r:id="rId100">
        <w:r w:rsidRPr="001048FE">
          <w:rPr>
            <w:rStyle w:val="FootnoteReference"/>
            <w:lang w:val="sl-SI"/>
          </w:rPr>
          <w:footnoteReference w:id="215"/>
        </w:r>
        <w:r w:rsidRPr="001048FE">
          <w:rPr>
            <w:lang w:val="sl-SI"/>
          </w:rPr>
          <w:t xml:space="preserve"> </w:t>
        </w:r>
      </w:hyperlink>
      <w:r w:rsidRPr="001048FE">
        <w:rPr>
          <w:lang w:val="sl-SI"/>
        </w:rPr>
        <w:t>sveta;</w:t>
      </w:r>
    </w:p>
    <w:p w14:paraId="7D39987F" w14:textId="77777777" w:rsidR="00E03711" w:rsidRPr="001048FE" w:rsidRDefault="00E03711" w:rsidP="005115F2">
      <w:pPr>
        <w:pStyle w:val="Guide-NormalBulletpoints"/>
        <w:numPr>
          <w:ilvl w:val="0"/>
          <w:numId w:val="368"/>
        </w:numPr>
        <w:rPr>
          <w:lang w:val="sl-SI"/>
        </w:rPr>
      </w:pPr>
      <w:r w:rsidRPr="001048FE">
        <w:rPr>
          <w:lang w:val="sl-SI"/>
        </w:rPr>
        <w:t xml:space="preserve">izboljšati kakovost in priznavanje mladinskega dela, neformalnega učenja in prostovoljstva v partnerskih državah ter okrepiti sinergije in dopolnjevanje teh aktivnosti </w:t>
      </w:r>
      <w:r>
        <w:rPr>
          <w:lang w:val="sl-SI"/>
        </w:rPr>
        <w:t>s formalnimi</w:t>
      </w:r>
      <w:r w:rsidRPr="001048FE">
        <w:rPr>
          <w:lang w:val="sl-SI"/>
        </w:rPr>
        <w:t xml:space="preserve"> sistemi izobraževanja, trgom dela in družbo;</w:t>
      </w:r>
    </w:p>
    <w:p w14:paraId="7D399880" w14:textId="77777777" w:rsidR="00E03711" w:rsidRPr="001048FE" w:rsidRDefault="00E03711" w:rsidP="005115F2">
      <w:pPr>
        <w:pStyle w:val="Guide-NormalBulletpoints"/>
        <w:numPr>
          <w:ilvl w:val="0"/>
          <w:numId w:val="368"/>
        </w:numPr>
        <w:rPr>
          <w:lang w:val="sl-SI"/>
        </w:rPr>
      </w:pPr>
      <w:r w:rsidRPr="001048FE">
        <w:rPr>
          <w:lang w:val="sl-SI"/>
        </w:rPr>
        <w:t>pospeševati razvoj, preskušanje in uvajanje shem ter programov neformalne učne mobilnosti na regionalni ravni (tj. v različnih regijah sveta in med njimi);</w:t>
      </w:r>
    </w:p>
    <w:p w14:paraId="7D399881" w14:textId="77777777" w:rsidR="00E03711" w:rsidRPr="001048FE" w:rsidRDefault="00E03711" w:rsidP="005115F2">
      <w:pPr>
        <w:pStyle w:val="Guide-NormalBulletpoints"/>
        <w:numPr>
          <w:ilvl w:val="0"/>
          <w:numId w:val="368"/>
        </w:numPr>
        <w:rPr>
          <w:lang w:val="sl-SI"/>
        </w:rPr>
      </w:pPr>
      <w:r w:rsidRPr="001048FE">
        <w:rPr>
          <w:lang w:val="sl-SI"/>
        </w:rPr>
        <w:t>spodbujati mednarodno neformalno učno mobilnost med državami Programa in partnerskimi državami, predvsem s ciljno usmerjenostjo v mlade z manj priložnostmi, da se izboljša raven kompetenc udeležencev in spodbuja aktivna udeležba v družbi.</w:t>
      </w:r>
    </w:p>
    <w:p w14:paraId="7D399882" w14:textId="77777777" w:rsidR="00E03711" w:rsidRPr="001048FE" w:rsidRDefault="00E03711" w:rsidP="005041C6">
      <w:pPr>
        <w:pStyle w:val="Guide-Heading5"/>
        <w:rPr>
          <w:lang w:val="sl-SI"/>
        </w:rPr>
      </w:pPr>
      <w:r w:rsidRPr="001048FE">
        <w:rPr>
          <w:lang w:val="sl-SI"/>
        </w:rPr>
        <w:t>Kaj je projekt krepitve zmogljivosti?</w:t>
      </w:r>
    </w:p>
    <w:p w14:paraId="7D399883" w14:textId="77777777" w:rsidR="00E03711" w:rsidRPr="001048FE" w:rsidRDefault="00E03711" w:rsidP="00B26AD1">
      <w:pPr>
        <w:pStyle w:val="GUIDE-NORMAL"/>
        <w:rPr>
          <w:lang w:val="sl-SI"/>
        </w:rPr>
      </w:pPr>
      <w:r w:rsidRPr="001048FE">
        <w:rPr>
          <w:lang w:val="sl-SI"/>
        </w:rPr>
        <w:t>Projekti krepitve zmogljivosti so mednarodni projekti sodelovanja na podlagi večstranskih partnerstev med organizacijami, ki so aktivne na področju mladine v državah Programa in partnerskih državah. Vključujejo lahko tudi organizacije s področja izobraževanja in usposabljanja ter drugih socialno-ekonomskih sektorjev.</w:t>
      </w:r>
    </w:p>
    <w:p w14:paraId="7D399884" w14:textId="77777777" w:rsidR="00E03711" w:rsidRPr="001048FE" w:rsidRDefault="00E03711" w:rsidP="005041C6">
      <w:pPr>
        <w:pStyle w:val="Guide-Heading5"/>
        <w:rPr>
          <w:lang w:val="sl-SI"/>
        </w:rPr>
      </w:pPr>
      <w:r w:rsidRPr="001048FE">
        <w:rPr>
          <w:lang w:val="sl-SI"/>
        </w:rPr>
        <w:t>Kakšne aktivnosti so podprte v projektu krepitve zmogljivosti?</w:t>
      </w:r>
    </w:p>
    <w:p w14:paraId="7D399885" w14:textId="77777777" w:rsidR="00E03711" w:rsidRPr="001048FE" w:rsidRDefault="00E03711" w:rsidP="00B26AD1">
      <w:pPr>
        <w:pStyle w:val="GUIDE-NORMAL"/>
        <w:rPr>
          <w:lang w:val="sl-SI"/>
        </w:rPr>
      </w:pPr>
      <w:r w:rsidRPr="001048FE">
        <w:rPr>
          <w:lang w:val="sl-SI"/>
        </w:rPr>
        <w:t>Projekti krepitve zmogljivosti bi morali izvajati aktivnosti, ki:</w:t>
      </w:r>
    </w:p>
    <w:p w14:paraId="7D399886" w14:textId="77777777" w:rsidR="00E03711" w:rsidRPr="001048FE" w:rsidRDefault="00E03711" w:rsidP="005115F2">
      <w:pPr>
        <w:pStyle w:val="Guide-NormalBulletpoints"/>
        <w:numPr>
          <w:ilvl w:val="0"/>
          <w:numId w:val="368"/>
        </w:numPr>
        <w:rPr>
          <w:lang w:val="sl-SI"/>
        </w:rPr>
      </w:pPr>
      <w:r w:rsidRPr="001048FE">
        <w:rPr>
          <w:lang w:val="sl-SI"/>
        </w:rPr>
        <w:t>spodbujajo strateško sodelovanje med mladinskimi organizacijami na eni strani in javnimi organi v partnerskih državah na drugi strani;</w:t>
      </w:r>
    </w:p>
    <w:p w14:paraId="7D399887" w14:textId="77777777" w:rsidR="00E03711" w:rsidRPr="001048FE" w:rsidRDefault="00E03711" w:rsidP="005115F2">
      <w:pPr>
        <w:pStyle w:val="Guide-NormalBulletpoints"/>
        <w:numPr>
          <w:ilvl w:val="0"/>
          <w:numId w:val="368"/>
        </w:numPr>
        <w:rPr>
          <w:lang w:val="sl-SI"/>
        </w:rPr>
      </w:pPr>
      <w:r w:rsidRPr="001048FE">
        <w:rPr>
          <w:lang w:val="sl-SI"/>
        </w:rPr>
        <w:t>spodbujajo sodelovanje med mladinskimi organizacijami in organizacijami na področju izobraževanja in usposabljanja ter predstavniki gospodarstva in trga dela;</w:t>
      </w:r>
    </w:p>
    <w:p w14:paraId="7D399888" w14:textId="77777777" w:rsidR="00E03711" w:rsidRPr="001048FE" w:rsidRDefault="00E03711" w:rsidP="005115F2">
      <w:pPr>
        <w:pStyle w:val="Guide-NormalBulletpoints"/>
        <w:numPr>
          <w:ilvl w:val="0"/>
          <w:numId w:val="368"/>
        </w:numPr>
        <w:rPr>
          <w:lang w:val="sl-SI"/>
        </w:rPr>
      </w:pPr>
      <w:r w:rsidRPr="001048FE">
        <w:rPr>
          <w:lang w:val="sl-SI"/>
        </w:rPr>
        <w:t>krepijo zmogljivosti mladinskih svetov, mladinskih platform ter lokalnih, regionalnih in nacionalnih organov, ki obravnavajo mladino v partnerskih državah;</w:t>
      </w:r>
    </w:p>
    <w:p w14:paraId="7D399889" w14:textId="77777777" w:rsidR="00E03711" w:rsidRPr="001048FE" w:rsidRDefault="00E03711" w:rsidP="005115F2">
      <w:pPr>
        <w:pStyle w:val="Guide-NormalBulletpoints"/>
        <w:numPr>
          <w:ilvl w:val="0"/>
          <w:numId w:val="368"/>
        </w:numPr>
        <w:rPr>
          <w:lang w:val="sl-SI"/>
        </w:rPr>
      </w:pPr>
      <w:r w:rsidRPr="001048FE">
        <w:rPr>
          <w:lang w:val="sl-SI"/>
        </w:rPr>
        <w:t>krepijo zmogljivosti upravljanja, vodenja in inovacij ter internacionalizacijo mladinskih organizacij v partnerskih državah;</w:t>
      </w:r>
    </w:p>
    <w:p w14:paraId="7D39988A" w14:textId="77777777" w:rsidR="00E03711" w:rsidRPr="001048FE" w:rsidRDefault="00E03711" w:rsidP="005115F2">
      <w:pPr>
        <w:pStyle w:val="Guide-NormalBulletpoints"/>
        <w:numPr>
          <w:ilvl w:val="0"/>
          <w:numId w:val="368"/>
        </w:numPr>
        <w:rPr>
          <w:lang w:val="sl-SI"/>
        </w:rPr>
      </w:pPr>
      <w:r w:rsidRPr="001048FE">
        <w:rPr>
          <w:lang w:val="sl-SI"/>
        </w:rPr>
        <w:t>uvajajo, preskušajo in izvajajo prakse mladinskega dela, na primer:</w:t>
      </w:r>
    </w:p>
    <w:p w14:paraId="7D39988B" w14:textId="77777777" w:rsidR="00E03711" w:rsidRPr="00201AA5" w:rsidRDefault="00E03711" w:rsidP="0006456E">
      <w:pPr>
        <w:pStyle w:val="Guide-NormalBulletpoints"/>
        <w:numPr>
          <w:ilvl w:val="1"/>
          <w:numId w:val="51"/>
        </w:numPr>
        <w:rPr>
          <w:lang w:val="sl-SI"/>
        </w:rPr>
      </w:pPr>
      <w:r w:rsidRPr="00201AA5">
        <w:rPr>
          <w:lang w:val="sl-SI"/>
        </w:rPr>
        <w:t xml:space="preserve">orodja in metode za družbeni in poklicni razvoj mladinskih delavcev in vodij usposabljanj; </w:t>
      </w:r>
    </w:p>
    <w:p w14:paraId="7D39988C" w14:textId="77777777" w:rsidR="00E03711" w:rsidRPr="00201AA5" w:rsidRDefault="00E03711" w:rsidP="0006456E">
      <w:pPr>
        <w:pStyle w:val="Guide-NormalBulletpoints"/>
        <w:numPr>
          <w:ilvl w:val="1"/>
          <w:numId w:val="51"/>
        </w:numPr>
        <w:rPr>
          <w:lang w:val="sl-SI"/>
        </w:rPr>
      </w:pPr>
      <w:r w:rsidRPr="00201AA5">
        <w:rPr>
          <w:lang w:val="sl-SI"/>
        </w:rPr>
        <w:t>metode neformalnega učenja, zlasti tiste, ki spodbujajo pridobitev/izboljšanje kompetenc, vključno s spretnostmi medijske pismenosti;</w:t>
      </w:r>
    </w:p>
    <w:p w14:paraId="7D39988D" w14:textId="77777777" w:rsidR="00E03711" w:rsidRPr="00201AA5" w:rsidRDefault="00E03711" w:rsidP="0006456E">
      <w:pPr>
        <w:pStyle w:val="Guide-NormalBulletpoints"/>
        <w:numPr>
          <w:ilvl w:val="1"/>
          <w:numId w:val="51"/>
        </w:numPr>
        <w:rPr>
          <w:lang w:val="sl-SI"/>
        </w:rPr>
      </w:pPr>
      <w:r w:rsidRPr="00201AA5">
        <w:rPr>
          <w:lang w:val="sl-SI"/>
        </w:rPr>
        <w:t xml:space="preserve">nove oblike shem za praktično usposabljanje in simulacije primerov iz resničnega življenja v družbi; nove oblike mladinskega dela, zlasti strateška uporaba odprtega in prilagodljivega učenja, virtualna mobilnost, prosto dostopni učni viri (PDUV) in boljša uporaba potenciala IKT; </w:t>
      </w:r>
    </w:p>
    <w:p w14:paraId="7D39988E" w14:textId="77777777" w:rsidR="00E03711" w:rsidRPr="00201AA5" w:rsidRDefault="00E03711" w:rsidP="0006456E">
      <w:pPr>
        <w:pStyle w:val="Guide-NormalBulletpoints"/>
        <w:numPr>
          <w:ilvl w:val="1"/>
          <w:numId w:val="51"/>
        </w:numPr>
        <w:rPr>
          <w:lang w:val="sl-SI"/>
        </w:rPr>
      </w:pPr>
      <w:r w:rsidRPr="00201AA5">
        <w:rPr>
          <w:lang w:val="sl-SI"/>
        </w:rPr>
        <w:t>aktivnosti sodelovanja, mreženja in vzajemnega učenja, ki spodbujajo učinkovito upravljanje, internacionalizacijo in vodenje organizacij za mladinsko delo.</w:t>
      </w:r>
    </w:p>
    <w:p w14:paraId="7D39988F" w14:textId="77777777" w:rsidR="00E03711" w:rsidRPr="001048FE" w:rsidRDefault="00E03711">
      <w:pPr>
        <w:widowControl/>
        <w:suppressAutoHyphens w:val="0"/>
        <w:autoSpaceDN/>
        <w:textAlignment w:val="auto"/>
        <w:rPr>
          <w:rFonts w:eastAsia="Times New Roman"/>
          <w:sz w:val="18"/>
          <w:szCs w:val="18"/>
          <w:shd w:val="clear" w:color="auto" w:fill="FFFFFF"/>
          <w:lang w:val="sl-SI" w:eastAsia="en-GB"/>
        </w:rPr>
      </w:pPr>
      <w:r w:rsidRPr="001048FE">
        <w:rPr>
          <w:lang w:val="sl-SI"/>
        </w:rPr>
        <w:br w:type="page"/>
      </w:r>
    </w:p>
    <w:p w14:paraId="7D399890" w14:textId="77777777" w:rsidR="00E03711" w:rsidRPr="001048FE" w:rsidRDefault="00E03711" w:rsidP="002E58AA">
      <w:pPr>
        <w:pStyle w:val="GUIDE-NORMAL"/>
        <w:rPr>
          <w:lang w:val="sl-SI"/>
        </w:rPr>
      </w:pPr>
      <w:r w:rsidRPr="001048FE">
        <w:rPr>
          <w:lang w:val="sl-SI"/>
        </w:rPr>
        <w:t>V okviru projekta krepitve zmogljivosti se lahko izvajajo naslednje aktivnosti: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E03711" w:rsidRPr="00C60205" w14:paraId="7D3998AB" w14:textId="77777777" w:rsidTr="00237696">
        <w:trPr>
          <w:trHeight w:val="1989"/>
        </w:trPr>
        <w:tc>
          <w:tcPr>
            <w:tcW w:w="9064" w:type="dxa"/>
            <w:shd w:val="clear" w:color="auto" w:fill="auto"/>
          </w:tcPr>
          <w:p w14:paraId="7D399891" w14:textId="77777777" w:rsidR="00E03711" w:rsidRPr="00F769E0" w:rsidRDefault="00E03711" w:rsidP="002E58AA">
            <w:pPr>
              <w:pStyle w:val="Guide-Heading7"/>
              <w:rPr>
                <w:rFonts w:cs="Tahoma"/>
                <w:lang w:val="sl-SI"/>
              </w:rPr>
            </w:pPr>
            <w:bookmarkStart w:id="236" w:name="Activités_de_renforcement_des_capacités"/>
            <w:bookmarkEnd w:id="236"/>
            <w:r w:rsidRPr="00F769E0">
              <w:rPr>
                <w:rFonts w:cs="Tahoma"/>
                <w:lang w:val="sl-SI"/>
              </w:rPr>
              <w:t>Aktivnosti krepitve zmogljivosti</w:t>
            </w:r>
          </w:p>
          <w:p w14:paraId="7D399892" w14:textId="77777777" w:rsidR="00E03711" w:rsidRPr="00FC4A70" w:rsidRDefault="00E03711" w:rsidP="005115F2">
            <w:pPr>
              <w:pStyle w:val="Guide-NormalBulletpoints"/>
              <w:numPr>
                <w:ilvl w:val="0"/>
                <w:numId w:val="369"/>
              </w:numPr>
              <w:rPr>
                <w:rFonts w:cs="Times New Roman"/>
                <w:lang w:val="sl-SI"/>
              </w:rPr>
            </w:pPr>
            <w:r w:rsidRPr="00FC4A70">
              <w:rPr>
                <w:rFonts w:cs="Times New Roman"/>
                <w:lang w:val="sl-SI"/>
              </w:rPr>
              <w:t xml:space="preserve">aktivnosti, ki spodbujajo dialog o politikah, sodelovanje, mreženje in izmenjave praks na področju mladine, na primer konference, delavnice in srečanja; </w:t>
            </w:r>
          </w:p>
          <w:p w14:paraId="7D399893" w14:textId="77777777" w:rsidR="00E03711" w:rsidRPr="004E4C36" w:rsidRDefault="00E03711" w:rsidP="005115F2">
            <w:pPr>
              <w:pStyle w:val="Guide-NormalBulletpoints"/>
              <w:numPr>
                <w:ilvl w:val="0"/>
                <w:numId w:val="369"/>
              </w:numPr>
              <w:rPr>
                <w:rFonts w:cs="Times New Roman"/>
                <w:lang w:val="sl-SI"/>
              </w:rPr>
            </w:pPr>
            <w:r w:rsidRPr="004E4C36">
              <w:rPr>
                <w:rFonts w:cs="Times New Roman"/>
                <w:lang w:val="sl-SI"/>
              </w:rPr>
              <w:t>obsežni dogodki za mlade;</w:t>
            </w:r>
          </w:p>
          <w:p w14:paraId="7D399894" w14:textId="77777777" w:rsidR="00E03711" w:rsidRPr="004E4C36" w:rsidRDefault="00E03711" w:rsidP="005115F2">
            <w:pPr>
              <w:pStyle w:val="Guide-NormalBulletpoints"/>
              <w:numPr>
                <w:ilvl w:val="0"/>
                <w:numId w:val="369"/>
              </w:numPr>
              <w:rPr>
                <w:rFonts w:cs="Times New Roman"/>
                <w:lang w:val="sl-SI"/>
              </w:rPr>
            </w:pPr>
            <w:r w:rsidRPr="004E4C36">
              <w:rPr>
                <w:rFonts w:cs="Times New Roman"/>
                <w:lang w:val="sl-SI"/>
              </w:rPr>
              <w:t>kampanje za obveščanje in osveščanje;</w:t>
            </w:r>
          </w:p>
          <w:p w14:paraId="7D399895" w14:textId="77777777" w:rsidR="00E03711" w:rsidRPr="004E4C36" w:rsidRDefault="00E03711" w:rsidP="005115F2">
            <w:pPr>
              <w:pStyle w:val="Guide-NormalBulletpoints"/>
              <w:numPr>
                <w:ilvl w:val="0"/>
                <w:numId w:val="369"/>
              </w:numPr>
              <w:rPr>
                <w:rFonts w:cs="Times New Roman"/>
                <w:lang w:val="sl-SI"/>
              </w:rPr>
            </w:pPr>
            <w:r w:rsidRPr="004E4C36">
              <w:rPr>
                <w:rFonts w:cs="Times New Roman"/>
                <w:lang w:val="sl-SI"/>
              </w:rPr>
              <w:t>razvoj informacijskih, komunikacijskih in medijskih orodij;</w:t>
            </w:r>
          </w:p>
          <w:p w14:paraId="7D399896" w14:textId="77777777" w:rsidR="00E03711" w:rsidRPr="004E4C36" w:rsidRDefault="00E03711" w:rsidP="005115F2">
            <w:pPr>
              <w:pStyle w:val="Guide-NormalBulletpoints"/>
              <w:numPr>
                <w:ilvl w:val="0"/>
                <w:numId w:val="369"/>
              </w:numPr>
              <w:rPr>
                <w:rFonts w:cs="Times New Roman"/>
                <w:lang w:val="sl-SI"/>
              </w:rPr>
            </w:pPr>
            <w:r w:rsidRPr="004E4C36">
              <w:rPr>
                <w:rFonts w:cs="Times New Roman"/>
                <w:lang w:val="sl-SI"/>
              </w:rPr>
              <w:t>razvoj metod, orodij in gradiv za mladinsko delo ter učnih načrtov, modulov usposabljanja in instrumentov dokumentacije za mladinsko delo, na primer Youthpass;</w:t>
            </w:r>
          </w:p>
          <w:p w14:paraId="7D399897" w14:textId="77777777" w:rsidR="00E03711" w:rsidRPr="004E4C36" w:rsidRDefault="00E03711" w:rsidP="005115F2">
            <w:pPr>
              <w:pStyle w:val="Guide-NormalBulletpoints"/>
              <w:numPr>
                <w:ilvl w:val="0"/>
                <w:numId w:val="369"/>
              </w:numPr>
              <w:rPr>
                <w:rFonts w:cs="Times New Roman"/>
                <w:lang w:val="sl-SI"/>
              </w:rPr>
            </w:pPr>
            <w:r w:rsidRPr="004E4C36">
              <w:rPr>
                <w:rFonts w:cs="Times New Roman"/>
                <w:lang w:val="sl-SI"/>
              </w:rPr>
              <w:t>ustvarjanje novih oblik izvajanja mladinskega dela in zagotavljanja usposabljanja in podpore, zlasti z odprtimi in prilagodljivimi učnimi gradivi, virtualnim sodelovanjem in prosto dostopnimi učnimi viri (PDUV).</w:t>
            </w:r>
          </w:p>
          <w:p w14:paraId="7D399898" w14:textId="77777777" w:rsidR="00E03711" w:rsidRPr="00F769E0" w:rsidRDefault="00E03711" w:rsidP="002E58AA">
            <w:pPr>
              <w:pStyle w:val="Guide-Heading7"/>
              <w:rPr>
                <w:rFonts w:cs="Tahoma"/>
                <w:lang w:val="sl-SI"/>
              </w:rPr>
            </w:pPr>
            <w:r w:rsidRPr="00F769E0">
              <w:rPr>
                <w:rFonts w:cs="Tahoma"/>
                <w:lang w:val="sl-SI"/>
              </w:rPr>
              <w:t>Aktivnosti mobilnosti</w:t>
            </w:r>
          </w:p>
          <w:p w14:paraId="7D399899" w14:textId="77777777" w:rsidR="00E03711" w:rsidRPr="00FC4A70" w:rsidRDefault="00E03711" w:rsidP="00237696">
            <w:pPr>
              <w:shd w:val="clear" w:color="auto" w:fill="FFFFFF"/>
              <w:spacing w:before="60" w:after="60"/>
              <w:jc w:val="both"/>
              <w:outlineLvl w:val="0"/>
              <w:rPr>
                <w:rFonts w:eastAsia="Times New Roman" w:cs="Times New Roman"/>
                <w:sz w:val="18"/>
                <w:szCs w:val="18"/>
                <w:lang w:val="sl-SI"/>
              </w:rPr>
            </w:pPr>
            <w:bookmarkStart w:id="237" w:name="_Toc524425556"/>
            <w:bookmarkStart w:id="238" w:name="_Toc526422795"/>
            <w:bookmarkStart w:id="239" w:name="_Toc527400916"/>
            <w:bookmarkStart w:id="240" w:name="_Toc527401157"/>
            <w:r w:rsidRPr="00237696">
              <w:rPr>
                <w:rFonts w:eastAsia="Calibri" w:cs="Calibri"/>
                <w:sz w:val="18"/>
                <w:szCs w:val="18"/>
                <w:bdr w:val="nil"/>
                <w:lang w:val="sl-SI"/>
              </w:rPr>
              <w:t>Aktivnosti mobilnosti niso obvezne.</w:t>
            </w:r>
            <w:bookmarkEnd w:id="237"/>
            <w:bookmarkEnd w:id="238"/>
            <w:bookmarkEnd w:id="239"/>
            <w:bookmarkEnd w:id="240"/>
          </w:p>
          <w:p w14:paraId="7D39989A" w14:textId="77777777" w:rsidR="00E03711" w:rsidRPr="00FC4A70" w:rsidRDefault="00E03711" w:rsidP="00237696">
            <w:pPr>
              <w:shd w:val="clear" w:color="auto" w:fill="FFFFFF"/>
              <w:spacing w:before="60" w:after="60"/>
              <w:jc w:val="both"/>
              <w:outlineLvl w:val="0"/>
              <w:rPr>
                <w:rFonts w:eastAsia="Times New Roman" w:cs="Times New Roman"/>
                <w:sz w:val="18"/>
                <w:szCs w:val="18"/>
                <w:lang w:val="sl-SI"/>
              </w:rPr>
            </w:pPr>
          </w:p>
          <w:p w14:paraId="7D39989B" w14:textId="77777777" w:rsidR="00E03711" w:rsidRPr="00C12952" w:rsidRDefault="00E03711" w:rsidP="00237696">
            <w:pPr>
              <w:shd w:val="clear" w:color="auto" w:fill="FFFFFF"/>
              <w:spacing w:before="60" w:after="60"/>
              <w:jc w:val="both"/>
              <w:outlineLvl w:val="0"/>
              <w:rPr>
                <w:rFonts w:eastAsia="Times New Roman" w:cs="Times New Roman"/>
                <w:sz w:val="18"/>
                <w:szCs w:val="18"/>
                <w:lang w:val="sl-SI"/>
              </w:rPr>
            </w:pPr>
            <w:bookmarkStart w:id="241" w:name="_Toc524425557"/>
            <w:bookmarkStart w:id="242" w:name="_Toc526422796"/>
            <w:bookmarkStart w:id="243" w:name="_Toc527400917"/>
            <w:bookmarkStart w:id="244" w:name="_Toc527401158"/>
            <w:r w:rsidRPr="00237696">
              <w:rPr>
                <w:rFonts w:eastAsia="Calibri" w:cs="Calibri"/>
                <w:sz w:val="18"/>
                <w:szCs w:val="18"/>
                <w:bdr w:val="nil"/>
                <w:lang w:val="sl-SI"/>
              </w:rPr>
              <w:t>Obstajajo tri vrste aktivnosti mobilnosti:</w:t>
            </w:r>
            <w:bookmarkEnd w:id="241"/>
            <w:bookmarkEnd w:id="242"/>
            <w:bookmarkEnd w:id="243"/>
            <w:bookmarkEnd w:id="244"/>
            <w:r w:rsidRPr="00237696">
              <w:rPr>
                <w:rFonts w:eastAsia="Calibri" w:cs="Calibri"/>
                <w:sz w:val="18"/>
                <w:szCs w:val="18"/>
                <w:bdr w:val="nil"/>
                <w:lang w:val="sl-SI"/>
              </w:rPr>
              <w:t xml:space="preserve"> </w:t>
            </w:r>
          </w:p>
          <w:p w14:paraId="7D39989C" w14:textId="77777777" w:rsidR="00E03711" w:rsidRPr="00C12952" w:rsidRDefault="00E03711" w:rsidP="00237696">
            <w:pPr>
              <w:shd w:val="clear" w:color="auto" w:fill="FFFFFF"/>
              <w:ind w:left="260"/>
              <w:jc w:val="both"/>
              <w:outlineLvl w:val="0"/>
              <w:rPr>
                <w:rFonts w:eastAsia="Times New Roman" w:cs="Times New Roman"/>
                <w:sz w:val="18"/>
                <w:szCs w:val="18"/>
                <w:lang w:val="sl-SI"/>
              </w:rPr>
            </w:pPr>
          </w:p>
          <w:p w14:paraId="7D39989D" w14:textId="77777777" w:rsidR="00E03711" w:rsidRPr="00595BA4" w:rsidRDefault="00E03711" w:rsidP="005115F2">
            <w:pPr>
              <w:pStyle w:val="Guide-NormalBulletpoints"/>
              <w:numPr>
                <w:ilvl w:val="0"/>
                <w:numId w:val="370"/>
              </w:numPr>
              <w:rPr>
                <w:rFonts w:cs="Times New Roman"/>
                <w:lang w:val="sl-SI"/>
              </w:rPr>
            </w:pPr>
            <w:r w:rsidRPr="00595BA4">
              <w:rPr>
                <w:rFonts w:eastAsia="Calibri" w:cs="Times New Roman"/>
                <w:bdr w:val="nil"/>
                <w:shd w:val="clear" w:color="auto" w:fill="auto"/>
                <w:lang w:val="sl-SI"/>
              </w:rPr>
              <w:t xml:space="preserve">mladinske izmenjave med državami Programa in upravičenimi partnerskimi državami; </w:t>
            </w:r>
          </w:p>
          <w:p w14:paraId="7D39989E" w14:textId="77777777" w:rsidR="00E03711" w:rsidRPr="00595BA4" w:rsidRDefault="00E03711" w:rsidP="005115F2">
            <w:pPr>
              <w:pStyle w:val="Guide-NormalBulletpoints"/>
              <w:numPr>
                <w:ilvl w:val="0"/>
                <w:numId w:val="370"/>
              </w:numPr>
              <w:rPr>
                <w:rFonts w:cs="Times New Roman"/>
                <w:lang w:val="sl-SI"/>
              </w:rPr>
            </w:pPr>
            <w:r w:rsidRPr="00595BA4">
              <w:rPr>
                <w:rFonts w:eastAsia="Calibri" w:cs="Times New Roman"/>
                <w:bdr w:val="nil"/>
                <w:shd w:val="clear" w:color="auto" w:fill="auto"/>
                <w:lang w:val="sl-SI"/>
              </w:rPr>
              <w:t>mobilnost mladinskih delavcev</w:t>
            </w:r>
            <w:r w:rsidRPr="00595BA4">
              <w:rPr>
                <w:rFonts w:eastAsia="Calibri" w:cs="Times New Roman"/>
                <w:bdr w:val="nil"/>
                <w:lang w:val="sl-SI"/>
              </w:rPr>
              <w:t xml:space="preserve"> med državami Programa in upravičenimi partnerskimi državami</w:t>
            </w:r>
            <w:r w:rsidRPr="00595BA4">
              <w:rPr>
                <w:rFonts w:eastAsia="Calibri" w:cs="Times New Roman"/>
                <w:bdr w:val="nil"/>
                <w:shd w:val="clear" w:color="auto" w:fill="auto"/>
                <w:lang w:val="sl-SI"/>
              </w:rPr>
              <w:t xml:space="preserve">; </w:t>
            </w:r>
          </w:p>
          <w:p w14:paraId="7D39989F" w14:textId="77777777" w:rsidR="00E03711" w:rsidRPr="00595BA4" w:rsidRDefault="00E03711" w:rsidP="005115F2">
            <w:pPr>
              <w:pStyle w:val="Guide-NormalBulletpoints"/>
              <w:numPr>
                <w:ilvl w:val="0"/>
                <w:numId w:val="370"/>
              </w:numPr>
              <w:rPr>
                <w:rFonts w:cs="Times New Roman"/>
                <w:lang w:val="sl-SI"/>
              </w:rPr>
            </w:pPr>
            <w:r w:rsidRPr="00595BA4">
              <w:rPr>
                <w:rFonts w:eastAsia="Calibri" w:cs="Times New Roman"/>
                <w:bdr w:val="nil"/>
                <w:shd w:val="clear" w:color="auto" w:fill="auto"/>
                <w:lang w:val="sl-SI"/>
              </w:rPr>
              <w:t>prostovoljske aktivnosti iz/v upravičene partnerske države;</w:t>
            </w:r>
          </w:p>
          <w:p w14:paraId="7D3998A0" w14:textId="77777777" w:rsidR="00E03711" w:rsidRPr="00595BA4" w:rsidRDefault="00E03711" w:rsidP="00237696">
            <w:pPr>
              <w:shd w:val="clear" w:color="auto" w:fill="FFFFFF"/>
              <w:spacing w:before="60" w:after="60"/>
              <w:jc w:val="both"/>
              <w:textAlignment w:val="auto"/>
              <w:outlineLvl w:val="0"/>
              <w:rPr>
                <w:rFonts w:eastAsia="Times New Roman" w:cs="Times New Roman"/>
                <w:sz w:val="18"/>
                <w:szCs w:val="18"/>
                <w:lang w:val="sl-SI"/>
              </w:rPr>
            </w:pPr>
          </w:p>
          <w:p w14:paraId="7D3998A1" w14:textId="77777777" w:rsidR="00E03711" w:rsidRPr="00595BA4" w:rsidRDefault="00E03711" w:rsidP="00237696">
            <w:pPr>
              <w:shd w:val="clear" w:color="auto" w:fill="FFFFFF"/>
              <w:spacing w:before="60" w:after="60"/>
              <w:jc w:val="both"/>
              <w:textAlignment w:val="auto"/>
              <w:outlineLvl w:val="0"/>
              <w:rPr>
                <w:rFonts w:eastAsia="Times New Roman" w:cs="Times New Roman"/>
                <w:b/>
                <w:sz w:val="18"/>
                <w:szCs w:val="18"/>
                <w:lang w:val="sl-SI"/>
              </w:rPr>
            </w:pPr>
            <w:bookmarkStart w:id="245" w:name="_Toc524425558"/>
            <w:bookmarkStart w:id="246" w:name="_Toc526422797"/>
            <w:bookmarkStart w:id="247" w:name="_Toc527400918"/>
            <w:bookmarkStart w:id="248" w:name="_Toc527401159"/>
            <w:r w:rsidRPr="00237696">
              <w:rPr>
                <w:rFonts w:eastAsia="Calibri" w:cs="Calibri"/>
                <w:b/>
                <w:bCs/>
                <w:sz w:val="18"/>
                <w:szCs w:val="18"/>
                <w:bdr w:val="nil"/>
                <w:lang w:val="sl-SI"/>
              </w:rPr>
              <w:t>Mladinske izmenjave in mobilnost mladinskih delavcev</w:t>
            </w:r>
            <w:bookmarkEnd w:id="245"/>
            <w:bookmarkEnd w:id="246"/>
            <w:bookmarkEnd w:id="247"/>
            <w:bookmarkEnd w:id="248"/>
          </w:p>
          <w:p w14:paraId="7D3998A2" w14:textId="77777777" w:rsidR="00E03711" w:rsidRPr="00595BA4" w:rsidRDefault="00E03711" w:rsidP="00237696">
            <w:pPr>
              <w:shd w:val="clear" w:color="auto" w:fill="FFFFFF"/>
              <w:spacing w:before="60" w:after="60"/>
              <w:jc w:val="both"/>
              <w:textAlignment w:val="auto"/>
              <w:outlineLvl w:val="0"/>
              <w:rPr>
                <w:rFonts w:eastAsia="Calibri" w:cs="Times New Roman"/>
                <w:kern w:val="0"/>
                <w:sz w:val="18"/>
                <w:szCs w:val="18"/>
                <w:lang w:val="sl-SI" w:eastAsia="en-GB"/>
              </w:rPr>
            </w:pPr>
            <w:bookmarkStart w:id="249" w:name="_Toc524425559"/>
            <w:bookmarkStart w:id="250" w:name="_Toc526422798"/>
            <w:bookmarkStart w:id="251" w:name="_Toc527400919"/>
            <w:bookmarkStart w:id="252" w:name="_Toc527401160"/>
            <w:r w:rsidRPr="00237696">
              <w:rPr>
                <w:rFonts w:eastAsia="Calibri" w:cs="Calibri"/>
                <w:kern w:val="0"/>
                <w:sz w:val="18"/>
                <w:szCs w:val="18"/>
                <w:bdr w:val="nil"/>
                <w:lang w:val="sl-SI" w:eastAsia="en-GB"/>
              </w:rPr>
              <w:t>Za natančnejši opis teh aktivnosti glejte poglavje "Ključni ukrep 1: projekti mobilnosti za mlade in mladinske delavce" v delu B tega vodnika.</w:t>
            </w:r>
            <w:bookmarkEnd w:id="249"/>
            <w:bookmarkEnd w:id="250"/>
            <w:bookmarkEnd w:id="251"/>
            <w:bookmarkEnd w:id="252"/>
          </w:p>
          <w:p w14:paraId="7D3998A3" w14:textId="77777777" w:rsidR="00E03711" w:rsidRPr="00595BA4" w:rsidRDefault="00E03711" w:rsidP="00237696">
            <w:pPr>
              <w:shd w:val="clear" w:color="auto" w:fill="FFFFFF"/>
              <w:spacing w:before="60" w:after="60"/>
              <w:jc w:val="both"/>
              <w:textAlignment w:val="auto"/>
              <w:outlineLvl w:val="0"/>
              <w:rPr>
                <w:rFonts w:eastAsia="Calibri" w:cs="Times New Roman"/>
                <w:kern w:val="0"/>
                <w:sz w:val="18"/>
                <w:szCs w:val="18"/>
                <w:lang w:val="sl-SI" w:eastAsia="en-GB"/>
              </w:rPr>
            </w:pPr>
            <w:r w:rsidRPr="00595BA4">
              <w:rPr>
                <w:rFonts w:eastAsia="Calibri" w:cs="Times New Roman"/>
                <w:kern w:val="0"/>
                <w:sz w:val="18"/>
                <w:szCs w:val="18"/>
                <w:lang w:val="sl-SI" w:eastAsia="en-GB"/>
              </w:rPr>
              <w:t xml:space="preserve"> </w:t>
            </w:r>
          </w:p>
          <w:p w14:paraId="7D3998A4" w14:textId="77777777" w:rsidR="00E03711" w:rsidRPr="00595BA4" w:rsidRDefault="00E03711" w:rsidP="00237696">
            <w:pPr>
              <w:shd w:val="clear" w:color="auto" w:fill="FFFFFF"/>
              <w:spacing w:before="60" w:after="60"/>
              <w:jc w:val="both"/>
              <w:textAlignment w:val="auto"/>
              <w:outlineLvl w:val="0"/>
              <w:rPr>
                <w:rFonts w:eastAsia="Times New Roman" w:cs="Times New Roman"/>
                <w:b/>
                <w:sz w:val="18"/>
                <w:szCs w:val="18"/>
                <w:lang w:val="sl-SI"/>
              </w:rPr>
            </w:pPr>
            <w:bookmarkStart w:id="253" w:name="_Toc524425560"/>
            <w:bookmarkStart w:id="254" w:name="_Toc526422799"/>
            <w:bookmarkStart w:id="255" w:name="_Toc527400920"/>
            <w:bookmarkStart w:id="256" w:name="_Toc527401161"/>
            <w:r w:rsidRPr="00237696">
              <w:rPr>
                <w:rFonts w:eastAsia="Calibri" w:cs="Calibri"/>
                <w:b/>
                <w:bCs/>
                <w:sz w:val="18"/>
                <w:szCs w:val="18"/>
                <w:bdr w:val="nil"/>
                <w:lang w:val="sl-SI"/>
              </w:rPr>
              <w:t>Prostovoljske aktivnosti</w:t>
            </w:r>
            <w:bookmarkEnd w:id="253"/>
            <w:bookmarkEnd w:id="254"/>
            <w:bookmarkEnd w:id="255"/>
            <w:bookmarkEnd w:id="256"/>
          </w:p>
          <w:p w14:paraId="7D3998A5" w14:textId="77777777" w:rsidR="00E03711" w:rsidRPr="00FC4A70" w:rsidRDefault="00E03711" w:rsidP="00B47F92">
            <w:pPr>
              <w:pStyle w:val="guide-normal1"/>
              <w:rPr>
                <w:rFonts w:cs="Times New Roman"/>
                <w:lang w:val="sl-SI"/>
              </w:rPr>
            </w:pPr>
            <w:r w:rsidRPr="00237696">
              <w:rPr>
                <w:rFonts w:ascii="Calibri" w:hAnsi="Calibri" w:cs="Calibri"/>
                <w:bdr w:val="nil"/>
                <w:lang w:val="sl-SI"/>
              </w:rPr>
              <w:t>Prostovoljske aktivnosti omogočajo mladim v starosti od 17–30 let izraziti svojo osebno zavezanost v obliki opravljanja neplačanih prostovoljskih storitev v drugi državi za polni delovni čas. Mladi prostovoljci dobijo priložnost, da prispevajo k vsakodnevnemu delu organizacij, ki obravnavajo informacije in politike na področju mladine, osebni in socialno-vzgojni razvoj mladih, državljansko udeležbo, socialno varstvo, vključevanje ljudi z manj priložnostmi, okolje, programe neformalnega izobraževanja, IKT in medijsko pismenost, kulturo in ustvarjalnost, razvojno sodelovanje itd. Prostovoljci lahko opravljajo prostovoljsko delo posamično ali v skupini.</w:t>
            </w:r>
          </w:p>
          <w:p w14:paraId="7D3998A6" w14:textId="77777777" w:rsidR="00E03711" w:rsidRPr="00FC4A70" w:rsidRDefault="00E03711" w:rsidP="00B47F92">
            <w:pPr>
              <w:pStyle w:val="guide-normal1"/>
              <w:rPr>
                <w:rFonts w:cs="Times New Roman"/>
                <w:lang w:val="sl-SI"/>
              </w:rPr>
            </w:pPr>
          </w:p>
          <w:p w14:paraId="7D3998A7" w14:textId="77777777" w:rsidR="00E03711" w:rsidRPr="00237696" w:rsidRDefault="00E03711" w:rsidP="00B47F92">
            <w:pPr>
              <w:pStyle w:val="guide-normal1"/>
              <w:rPr>
                <w:rFonts w:ascii="Calibri" w:hAnsi="Calibri" w:cs="Calibri"/>
                <w:bdr w:val="nil"/>
                <w:lang w:val="sl-SI"/>
              </w:rPr>
            </w:pPr>
            <w:r w:rsidRPr="00237696">
              <w:rPr>
                <w:rFonts w:ascii="Calibri" w:hAnsi="Calibri" w:cs="Calibri"/>
                <w:bdr w:val="nil"/>
                <w:lang w:val="sl-SI"/>
              </w:rPr>
              <w:t>Udeležba v prostovoljski aktivnosti mora biti za prostovoljce brezplačna, razen v primeru morebitnih prispevkov za potne stroške (če nepovratna sredstva Erasmus+ teh stroškov ne krijejo v celoti) in dodatnih stroškov, ki niso povezani z izvajanjem aktivnosti. Osnovni stroški udeležbe prostovoljcev v aktivnosti se krijejo iz nepovratnih sredstev Erasmus+ ali drugih sredstev, ki jih priskrbijo sodelujoče organizacije. Mladi z manj priložnostmi lahko prejmejo dodatno podporo, da se omogoči njihovo sodelovanje.</w:t>
            </w:r>
          </w:p>
          <w:p w14:paraId="7D3998A8" w14:textId="77777777" w:rsidR="00E03711" w:rsidRPr="00237696" w:rsidRDefault="00E03711" w:rsidP="00B47F92">
            <w:pPr>
              <w:pStyle w:val="guide-normal1"/>
              <w:rPr>
                <w:rFonts w:ascii="Calibri" w:hAnsi="Calibri" w:cs="Calibri"/>
                <w:bdr w:val="nil"/>
                <w:lang w:val="sl-SI"/>
              </w:rPr>
            </w:pPr>
          </w:p>
          <w:p w14:paraId="7D3998A9" w14:textId="77777777" w:rsidR="00E03711" w:rsidRPr="00FC4A70" w:rsidRDefault="00E03711" w:rsidP="00B47F92">
            <w:pPr>
              <w:pStyle w:val="guide-normal1"/>
              <w:rPr>
                <w:rFonts w:cs="Times New Roman"/>
                <w:lang w:val="sl-SI"/>
              </w:rPr>
            </w:pPr>
            <w:r w:rsidRPr="00237696">
              <w:rPr>
                <w:rFonts w:ascii="Calibri" w:hAnsi="Calibri" w:cs="Calibri"/>
                <w:color w:val="000000"/>
                <w:bdr w:val="nil"/>
                <w:lang w:val="sl-SI"/>
              </w:rPr>
              <w:t>Naslednje aktivnosti se ne štejejo kot prostovoljske</w:t>
            </w:r>
            <w:r w:rsidRPr="00237696">
              <w:rPr>
                <w:rFonts w:ascii="Calibri" w:hAnsi="Calibri" w:cs="Calibri"/>
                <w:bdr w:val="nil"/>
                <w:lang w:val="sl-SI"/>
              </w:rPr>
              <w:t xml:space="preserve"> aktivnosti v okviru programa Erasmus+: občasno, nestrukturirano prostovoljstvo ali prostovoljstvo za polovični delovni čas; delovna praksa v podjetju; plačana služba; rekreacijska ali turistična aktivnost; jezikovni tečaj; izkoriščanje nizkocenovne delovne sile; obdobje študija ali poklicnega usposabljanja v tujini.</w:t>
            </w:r>
          </w:p>
          <w:p w14:paraId="7D3998AA" w14:textId="77777777" w:rsidR="00E03711" w:rsidRPr="00FC4A70" w:rsidRDefault="00E03711" w:rsidP="00FC4A70">
            <w:pPr>
              <w:pStyle w:val="Guide-NormalBulletpoints"/>
              <w:rPr>
                <w:rFonts w:cs="Times New Roman"/>
                <w:lang w:val="sl-SI"/>
              </w:rPr>
            </w:pPr>
          </w:p>
        </w:tc>
      </w:tr>
    </w:tbl>
    <w:p w14:paraId="7D3998AC" w14:textId="77777777" w:rsidR="00E03711" w:rsidRPr="001048FE" w:rsidRDefault="00E03711" w:rsidP="00765CF9">
      <w:pPr>
        <w:pStyle w:val="GUIDE-NORMAL"/>
        <w:rPr>
          <w:lang w:val="sl-SI"/>
        </w:rPr>
      </w:pPr>
      <w:r w:rsidRPr="001048FE">
        <w:rPr>
          <w:lang w:val="sl-SI"/>
        </w:rPr>
        <w:t xml:space="preserve">Glede na geografsko pokritost razlikujemo med </w:t>
      </w:r>
      <w:r>
        <w:rPr>
          <w:lang w:val="sl-SI"/>
        </w:rPr>
        <w:t>tremi</w:t>
      </w:r>
      <w:r w:rsidRPr="001048FE">
        <w:rPr>
          <w:lang w:val="sl-SI"/>
        </w:rPr>
        <w:t xml:space="preserve"> vrstam</w:t>
      </w:r>
      <w:r>
        <w:rPr>
          <w:lang w:val="sl-SI"/>
        </w:rPr>
        <w:t>i</w:t>
      </w:r>
      <w:r w:rsidRPr="001048FE">
        <w:rPr>
          <w:lang w:val="sl-SI"/>
        </w:rPr>
        <w:t xml:space="preserve"> projektov krepitve zmogljivosti:</w:t>
      </w:r>
    </w:p>
    <w:p w14:paraId="7D3998AD" w14:textId="77777777" w:rsidR="00E03711" w:rsidRPr="001048FE" w:rsidRDefault="00E03711" w:rsidP="00765CF9">
      <w:pPr>
        <w:pStyle w:val="Guide-NormalBulletpoints"/>
        <w:rPr>
          <w:u w:val="single"/>
          <w:lang w:val="sl-SI"/>
        </w:rPr>
      </w:pPr>
      <w:r w:rsidRPr="001048FE">
        <w:rPr>
          <w:u w:val="single"/>
          <w:lang w:val="sl-SI"/>
        </w:rPr>
        <w:t xml:space="preserve">Projekti krepitve zmogljivosti med organizacijami, ki so aktivne na področju mladine v državah Programa in v </w:t>
      </w:r>
      <w:r w:rsidRPr="00860232">
        <w:rPr>
          <w:b/>
          <w:bCs/>
          <w:u w:val="single"/>
          <w:lang w:val="sl-SI"/>
        </w:rPr>
        <w:t>drugih partnerskih državah</w:t>
      </w:r>
      <w:r w:rsidRPr="001048FE">
        <w:rPr>
          <w:u w:val="single"/>
          <w:lang w:val="sl-SI"/>
        </w:rPr>
        <w:t xml:space="preserve"> (iz regij 5 do 1</w:t>
      </w:r>
      <w:r>
        <w:rPr>
          <w:u w:val="single"/>
          <w:lang w:val="sl-SI"/>
        </w:rPr>
        <w:t>4</w:t>
      </w:r>
      <w:r w:rsidRPr="001048FE">
        <w:rPr>
          <w:u w:val="single"/>
          <w:lang w:val="sl-SI"/>
        </w:rPr>
        <w:t>, glej poglavje „Upravičene države“ v delu A tega vodnika).</w:t>
      </w:r>
    </w:p>
    <w:p w14:paraId="7D3998AE" w14:textId="77777777" w:rsidR="00E03711" w:rsidRPr="00FC4A70" w:rsidRDefault="00E03711" w:rsidP="00FC4A70">
      <w:pPr>
        <w:pStyle w:val="GUIDE-NORMAL"/>
        <w:ind w:left="714"/>
        <w:rPr>
          <w:lang w:val="sl-SI"/>
        </w:rPr>
      </w:pPr>
      <w:r w:rsidRPr="001048FE">
        <w:rPr>
          <w:lang w:val="sl-SI"/>
        </w:rPr>
        <w:t>Ti projekti, ki jih predložijo organizacije iz držav Programa, so namenjeni povečanju zmogljivosti organizacij z izvajanjem aktivnosti krepitve zmogljivosti in lahko vključujejo aktivnosti mobilnosti.</w:t>
      </w:r>
    </w:p>
    <w:p w14:paraId="7D3998AF" w14:textId="77777777" w:rsidR="00E03711" w:rsidRPr="00FC4A70" w:rsidRDefault="00E03711" w:rsidP="00B47F92">
      <w:pPr>
        <w:widowControl/>
        <w:pBdr>
          <w:top w:val="single" w:sz="4" w:space="1" w:color="auto"/>
          <w:left w:val="single" w:sz="4" w:space="4" w:color="auto"/>
          <w:bottom w:val="single" w:sz="4" w:space="1" w:color="auto"/>
          <w:right w:val="single" w:sz="4" w:space="4" w:color="auto"/>
        </w:pBdr>
        <w:suppressAutoHyphens w:val="0"/>
        <w:autoSpaceDE w:val="0"/>
        <w:adjustRightInd w:val="0"/>
        <w:ind w:left="709"/>
        <w:jc w:val="both"/>
        <w:rPr>
          <w:vanish/>
          <w:color w:val="FF0000"/>
          <w:sz w:val="18"/>
          <w:szCs w:val="18"/>
          <w:lang w:val="sl-SI"/>
        </w:rPr>
      </w:pPr>
      <w:r w:rsidRPr="00FC4A70">
        <w:rPr>
          <w:rFonts w:eastAsia="Calibri" w:cs="Calibri"/>
          <w:sz w:val="18"/>
          <w:szCs w:val="18"/>
          <w:bdr w:val="nil"/>
          <w:lang w:val="sl-SI"/>
        </w:rPr>
        <w:t>Naslednj</w:t>
      </w:r>
      <w:r>
        <w:rPr>
          <w:rFonts w:eastAsia="Calibri" w:cs="Calibri"/>
          <w:sz w:val="18"/>
          <w:szCs w:val="18"/>
          <w:bdr w:val="nil"/>
          <w:lang w:val="sl-SI"/>
        </w:rPr>
        <w:t>i</w:t>
      </w:r>
      <w:r w:rsidRPr="00FC4A70">
        <w:rPr>
          <w:rFonts w:eastAsia="Calibri" w:cs="Calibri"/>
          <w:sz w:val="18"/>
          <w:szCs w:val="18"/>
          <w:bdr w:val="nil"/>
          <w:lang w:val="sl-SI"/>
        </w:rPr>
        <w:t xml:space="preserve"> </w:t>
      </w:r>
      <w:r>
        <w:rPr>
          <w:rFonts w:eastAsia="Calibri" w:cs="Calibri"/>
          <w:sz w:val="18"/>
          <w:szCs w:val="18"/>
          <w:bdr w:val="nil"/>
          <w:lang w:val="sl-SI"/>
        </w:rPr>
        <w:t xml:space="preserve">dve </w:t>
      </w:r>
      <w:r w:rsidRPr="00FC4A70">
        <w:rPr>
          <w:rFonts w:eastAsia="Calibri" w:cs="Calibri"/>
          <w:sz w:val="18"/>
          <w:szCs w:val="18"/>
          <w:bdr w:val="nil"/>
          <w:lang w:val="sl-SI"/>
        </w:rPr>
        <w:t>vrst</w:t>
      </w:r>
      <w:r>
        <w:rPr>
          <w:rFonts w:eastAsia="Calibri" w:cs="Calibri"/>
          <w:sz w:val="18"/>
          <w:szCs w:val="18"/>
          <w:bdr w:val="nil"/>
          <w:lang w:val="sl-SI"/>
        </w:rPr>
        <w:t>i</w:t>
      </w:r>
      <w:r w:rsidRPr="00FC4A70">
        <w:rPr>
          <w:rFonts w:eastAsia="Calibri" w:cs="Calibri"/>
          <w:sz w:val="18"/>
          <w:szCs w:val="18"/>
          <w:bdr w:val="nil"/>
          <w:lang w:val="sl-SI"/>
        </w:rPr>
        <w:t xml:space="preserve"> projektov se izvaja</w:t>
      </w:r>
      <w:r>
        <w:rPr>
          <w:rFonts w:eastAsia="Calibri" w:cs="Calibri"/>
          <w:sz w:val="18"/>
          <w:szCs w:val="18"/>
          <w:bdr w:val="nil"/>
          <w:lang w:val="sl-SI"/>
        </w:rPr>
        <w:t>ta</w:t>
      </w:r>
      <w:r w:rsidRPr="00FC4A70">
        <w:rPr>
          <w:rFonts w:eastAsia="Calibri" w:cs="Calibri"/>
          <w:sz w:val="18"/>
          <w:szCs w:val="18"/>
          <w:bdr w:val="nil"/>
          <w:lang w:val="sl-SI"/>
        </w:rPr>
        <w:t xml:space="preserve"> prek pobude </w:t>
      </w:r>
      <w:r w:rsidRPr="00FC4A70">
        <w:rPr>
          <w:rFonts w:eastAsia="Calibri" w:cs="Calibri"/>
          <w:b/>
          <w:bCs/>
          <w:sz w:val="18"/>
          <w:szCs w:val="18"/>
          <w:bdr w:val="nil"/>
          <w:lang w:val="sl-SI"/>
        </w:rPr>
        <w:t>"Okno"</w:t>
      </w:r>
      <w:r w:rsidRPr="00FC4A70">
        <w:rPr>
          <w:rFonts w:eastAsia="Calibri" w:cs="Calibri"/>
          <w:sz w:val="18"/>
          <w:szCs w:val="18"/>
          <w:bdr w:val="nil"/>
          <w:lang w:val="sl-SI"/>
        </w:rPr>
        <w:t xml:space="preserve"> – države Zahodnega Balkana in Tunizija</w:t>
      </w:r>
      <w:r w:rsidR="00C80136">
        <w:rPr>
          <w:rStyle w:val="FootnoteReference"/>
          <w:rFonts w:eastAsia="Calibri" w:cs="Calibri"/>
          <w:sz w:val="18"/>
          <w:szCs w:val="18"/>
          <w:bdr w:val="nil"/>
          <w:lang w:val="sl-SI"/>
        </w:rPr>
        <w:footnoteReference w:id="216"/>
      </w:r>
      <w:r w:rsidRPr="00FC4A70">
        <w:rPr>
          <w:rFonts w:eastAsia="Calibri" w:cs="Calibri"/>
          <w:sz w:val="18"/>
          <w:szCs w:val="18"/>
          <w:bdr w:val="nil"/>
          <w:lang w:val="sl-SI"/>
        </w:rPr>
        <w:t xml:space="preserve">. Projekte predložijo organizacije s sedežem v eni od zadevnih </w:t>
      </w:r>
      <w:r>
        <w:rPr>
          <w:rFonts w:eastAsia="Calibri" w:cs="Calibri"/>
          <w:sz w:val="18"/>
          <w:szCs w:val="18"/>
          <w:bdr w:val="nil"/>
          <w:lang w:val="sl-SI"/>
        </w:rPr>
        <w:t xml:space="preserve">držav Zahodnega Balkana ali Tunizije </w:t>
      </w:r>
      <w:r w:rsidRPr="00FC4A70">
        <w:rPr>
          <w:rFonts w:eastAsia="Calibri" w:cs="Calibri"/>
          <w:sz w:val="18"/>
          <w:szCs w:val="18"/>
          <w:bdr w:val="nil"/>
          <w:lang w:val="sl-SI"/>
        </w:rPr>
        <w:t>v okviru posameznega Okna in lahko vključujejo partnerske organizacije iz drugih držav v isti regiji. Izraz "Okno" se nanaša na dejstvo, da se programu Erasmus+ dodelijo dodatna sredstva EU, da bi se izboljšale priložnosti za sodelovanje mladih s sosedskimi partnerskimi državami EU.</w:t>
      </w:r>
      <w:r w:rsidRPr="00FC4A70">
        <w:rPr>
          <w:sz w:val="18"/>
          <w:szCs w:val="18"/>
          <w:vertAlign w:val="superscript"/>
          <w:lang w:val="en-GB"/>
        </w:rPr>
        <w:footnoteReference w:id="217"/>
      </w:r>
      <w:r>
        <w:rPr>
          <w:rFonts w:eastAsia="Calibri" w:cs="Calibri"/>
          <w:vanish/>
          <w:sz w:val="18"/>
          <w:szCs w:val="18"/>
          <w:bdr w:val="nil"/>
          <w:lang w:val="sl-SI"/>
        </w:rPr>
        <w:t xml:space="preserve"> </w:t>
      </w:r>
    </w:p>
    <w:p w14:paraId="7D3998B0" w14:textId="77777777" w:rsidR="00E03711" w:rsidRPr="001048FE" w:rsidRDefault="00E03711" w:rsidP="00FC4A70">
      <w:pPr>
        <w:pStyle w:val="GUIDE-NORMAL"/>
        <w:rPr>
          <w:lang w:val="sl-SI"/>
        </w:rPr>
      </w:pPr>
    </w:p>
    <w:p w14:paraId="7D3998B1" w14:textId="77777777" w:rsidR="00E03711" w:rsidRPr="001048FE" w:rsidRDefault="00E03711" w:rsidP="00765CF9">
      <w:pPr>
        <w:pStyle w:val="Guide-NormalBulletpoints"/>
        <w:rPr>
          <w:u w:val="single"/>
          <w:lang w:val="sl-SI"/>
        </w:rPr>
      </w:pPr>
      <w:r w:rsidRPr="001048FE">
        <w:rPr>
          <w:u w:val="single"/>
          <w:lang w:val="sl-SI"/>
        </w:rPr>
        <w:t xml:space="preserve">Projekti krepitve zmogljivosti med organizacijami, ki so aktivne na področju mladine v državah Programa in partnerskih državah z Zahodnega Balkana (regija 1 – glej poglavje „Upravičene države“ v delu A tega vodnika) – projekti v okviru programa </w:t>
      </w:r>
      <w:r w:rsidRPr="00860232">
        <w:rPr>
          <w:b/>
          <w:bCs/>
          <w:u w:val="single"/>
          <w:lang w:val="sl-SI"/>
        </w:rPr>
        <w:t>Okno za mlade Zahodnega Balkana</w:t>
      </w:r>
      <w:r w:rsidRPr="001048FE">
        <w:rPr>
          <w:u w:val="single"/>
          <w:lang w:val="sl-SI"/>
        </w:rPr>
        <w:t>.</w:t>
      </w:r>
    </w:p>
    <w:p w14:paraId="7D3998B2" w14:textId="77777777" w:rsidR="00E03711" w:rsidRDefault="00E03711" w:rsidP="00765CF9">
      <w:pPr>
        <w:pStyle w:val="GUIDE-NORMAL"/>
        <w:ind w:left="714"/>
        <w:rPr>
          <w:lang w:val="sl-SI"/>
        </w:rPr>
      </w:pPr>
      <w:r w:rsidRPr="001048FE">
        <w:rPr>
          <w:lang w:val="sl-SI"/>
        </w:rPr>
        <w:t>Ti projekti, ki jih predložijo organizacije s sedežem na Zahodnem Balkanu (regija 1), so namenjeni povečanju zmogljivosti mladinskih organizacij z izvajanjem aktivnosti krepitve zmogljivosti in lahko vključujejo aktivnosti mobilnosti.</w:t>
      </w:r>
    </w:p>
    <w:p w14:paraId="7D3998B3" w14:textId="77777777" w:rsidR="00E03711" w:rsidRPr="001048FE" w:rsidRDefault="00E03711" w:rsidP="00765CF9">
      <w:pPr>
        <w:pStyle w:val="GUIDE-NORMAL"/>
        <w:ind w:left="714"/>
        <w:rPr>
          <w:lang w:val="sl-SI"/>
        </w:rPr>
      </w:pPr>
      <w:r w:rsidRPr="00FC4A70">
        <w:rPr>
          <w:rFonts w:eastAsia="Calibri" w:cs="Calibri"/>
          <w:kern w:val="0"/>
          <w:bdr w:val="nil"/>
          <w:shd w:val="clear" w:color="auto" w:fill="auto"/>
          <w:lang w:val="sl-SI"/>
        </w:rPr>
        <w:t>Projekti morajo spodbujati strateško sodelovanje med mladinskimi organizacijami in med mladinskimi organizacijami in javnimi organi.  Projekti morajo graditi sposobnosti in zmožnosti mladinskih svetov, mladinskih organizacij, mladinskih platform ter lokalnih, regionalnih in nacionalnih organov, ki obravnavajo mladino v regiji.</w:t>
      </w:r>
      <w:r>
        <w:rPr>
          <w:rFonts w:eastAsia="Calibri" w:cs="Calibri"/>
          <w:vanish/>
          <w:kern w:val="0"/>
          <w:bdr w:val="nil"/>
          <w:shd w:val="clear" w:color="auto" w:fill="auto"/>
          <w:lang w:val="sl-SI"/>
        </w:rPr>
        <w:t xml:space="preserve">  </w:t>
      </w:r>
    </w:p>
    <w:p w14:paraId="7D3998B4" w14:textId="77777777" w:rsidR="00E03711" w:rsidRPr="001048FE" w:rsidRDefault="00E03711" w:rsidP="00765CF9">
      <w:pPr>
        <w:pStyle w:val="Guide-NormalBulletpoints"/>
        <w:rPr>
          <w:u w:val="single"/>
          <w:lang w:val="sl-SI"/>
        </w:rPr>
      </w:pPr>
      <w:r w:rsidRPr="001048FE">
        <w:rPr>
          <w:u w:val="single"/>
          <w:lang w:val="sl-SI"/>
        </w:rPr>
        <w:t>Projekti krepitve zmogljivosti med organizacijami, ki so aktivne na področju mladine v državah Programa in Tuniziji.</w:t>
      </w:r>
    </w:p>
    <w:p w14:paraId="7D3998B5" w14:textId="77777777" w:rsidR="00E03711" w:rsidRPr="001048FE" w:rsidRDefault="00E03711" w:rsidP="00765CF9">
      <w:pPr>
        <w:pStyle w:val="GUIDE-NORMAL"/>
        <w:ind w:left="714"/>
        <w:rPr>
          <w:lang w:val="sl-SI"/>
        </w:rPr>
      </w:pPr>
      <w:r w:rsidRPr="001048FE">
        <w:rPr>
          <w:lang w:val="sl-SI"/>
        </w:rPr>
        <w:t>Ti projekti, ki jih predložijo organizacije iz Tunizije, so namenjeni povečanju zmogljivosti organizacij z izvajanjem aktivnosti krepitve zmogljivosti in lahko vključujejo aktivnosti mobilnosti.</w:t>
      </w:r>
    </w:p>
    <w:p w14:paraId="7D3998B6" w14:textId="77777777" w:rsidR="00E03711" w:rsidRPr="001048FE" w:rsidRDefault="00E03711" w:rsidP="00765CF9">
      <w:pPr>
        <w:pStyle w:val="GUIDE-NORMAL"/>
        <w:ind w:left="714"/>
        <w:rPr>
          <w:lang w:val="sl-SI"/>
        </w:rPr>
      </w:pPr>
    </w:p>
    <w:p w14:paraId="7D3998B7" w14:textId="77777777" w:rsidR="00E03711" w:rsidRPr="001048FE" w:rsidRDefault="00E03711" w:rsidP="00765CF9">
      <w:pPr>
        <w:pStyle w:val="Guide-Heading5"/>
        <w:rPr>
          <w:lang w:val="sl-SI"/>
        </w:rPr>
      </w:pPr>
      <w:r w:rsidRPr="001048FE">
        <w:rPr>
          <w:lang w:val="sl-SI"/>
        </w:rPr>
        <w:t>Kakšna je vloga organizacij, ki so vključene v projekt krepitve zmogljivosti?</w:t>
      </w:r>
    </w:p>
    <w:p w14:paraId="7D3998B8" w14:textId="77777777" w:rsidR="00E03711" w:rsidRPr="001048FE" w:rsidRDefault="00E03711" w:rsidP="00765CF9">
      <w:pPr>
        <w:pStyle w:val="GUIDE-NORMAL"/>
        <w:rPr>
          <w:lang w:val="sl-SI"/>
        </w:rPr>
      </w:pPr>
      <w:r w:rsidRPr="001048FE">
        <w:rPr>
          <w:lang w:val="sl-SI"/>
        </w:rPr>
        <w:t>Projekt krepitve zmogljivosti vključuje:</w:t>
      </w:r>
    </w:p>
    <w:p w14:paraId="7D3998B9" w14:textId="77777777" w:rsidR="00E03711" w:rsidRPr="001048FE" w:rsidRDefault="00E03711" w:rsidP="005115F2">
      <w:pPr>
        <w:pStyle w:val="Guide-NormalBulletpoints"/>
        <w:numPr>
          <w:ilvl w:val="0"/>
          <w:numId w:val="371"/>
        </w:numPr>
        <w:rPr>
          <w:lang w:val="sl-SI"/>
        </w:rPr>
      </w:pPr>
      <w:r w:rsidRPr="001048FE">
        <w:rPr>
          <w:lang w:val="sl-SI"/>
        </w:rPr>
        <w:t>prijavitelja/koordinatorja: organizacija, ki odda predlog projekta v imenu vseh partnerjev. Če je projekt odobren, prijavitelj/koordinator: 1) prevzame finančno in pravno odgovornost za celotni projekt v odnosu do Izvajalske agencije; 2) koordinira projekt v sodelovanju z vsemi drugimi partnerji, ki so vključeni v projekt; 3) prejme finančno podporo EU v okviru programa Erasmus+ in je odgovoren za razdelitev sredstev med partnerje, vključene v projekt;</w:t>
      </w:r>
    </w:p>
    <w:p w14:paraId="7D3998BA" w14:textId="77777777" w:rsidR="00E03711" w:rsidRPr="001048FE" w:rsidRDefault="00E03711" w:rsidP="005115F2">
      <w:pPr>
        <w:pStyle w:val="Guide-NormalBulletpoints"/>
        <w:numPr>
          <w:ilvl w:val="0"/>
          <w:numId w:val="371"/>
        </w:numPr>
        <w:rPr>
          <w:lang w:val="sl-SI"/>
        </w:rPr>
      </w:pPr>
      <w:r w:rsidRPr="001048FE">
        <w:rPr>
          <w:lang w:val="sl-SI"/>
        </w:rPr>
        <w:t>partnerje: organizacije, ki aktivno prispevajo k pripravi, izvajanju in ocenjevanju projekta krepitve zmogljivosti;</w:t>
      </w:r>
    </w:p>
    <w:p w14:paraId="7D3998BB" w14:textId="77777777" w:rsidR="00E03711" w:rsidRPr="001048FE" w:rsidRDefault="00E03711" w:rsidP="005115F2">
      <w:pPr>
        <w:pStyle w:val="Guide-NormalBulletpoints"/>
        <w:numPr>
          <w:ilvl w:val="0"/>
          <w:numId w:val="371"/>
        </w:numPr>
        <w:rPr>
          <w:lang w:val="sl-SI"/>
        </w:rPr>
      </w:pPr>
      <w:r w:rsidRPr="001048FE">
        <w:rPr>
          <w:lang w:val="sl-SI"/>
        </w:rPr>
        <w:t>povezane subjekte (izbirno): organizacije, ki prispevajo k doseganju ciljev in izvajanju aktivnosti projekta. Povezani subjekti morajo biti opredeljeni v vlogi za nepovratna sredstva in morajo izpolnjevati zahteve iz Priloge III (Glosar pojmov) k temu vodniku za prijavitelje.</w:t>
      </w:r>
    </w:p>
    <w:p w14:paraId="7D3998BC" w14:textId="77777777" w:rsidR="00E03711" w:rsidRPr="001048FE" w:rsidRDefault="00E03711" w:rsidP="00765CF9">
      <w:pPr>
        <w:pStyle w:val="GUIDE-NORMAL"/>
        <w:rPr>
          <w:lang w:val="sl-SI"/>
        </w:rPr>
      </w:pPr>
      <w:r w:rsidRPr="001048FE">
        <w:rPr>
          <w:lang w:val="sl-SI"/>
        </w:rPr>
        <w:t>Če je za projekt predvideno izvajanje mladinskih izmenjav, prostovoljskih aktivnosti in/ali mobilnosti mladinskih delavcev, sodelujoče organizacije, vključene v te aktivnosti, prevzamejo naslednje vloge in naloge:</w:t>
      </w:r>
    </w:p>
    <w:p w14:paraId="7D3998BD" w14:textId="77777777" w:rsidR="00E03711" w:rsidRPr="001048FE" w:rsidRDefault="00E03711" w:rsidP="005115F2">
      <w:pPr>
        <w:pStyle w:val="Guide-NormalBulletpoints"/>
        <w:numPr>
          <w:ilvl w:val="0"/>
          <w:numId w:val="371"/>
        </w:numPr>
        <w:rPr>
          <w:lang w:val="sl-SI"/>
        </w:rPr>
      </w:pPr>
      <w:r w:rsidRPr="001048FE">
        <w:rPr>
          <w:lang w:val="sl-SI"/>
        </w:rPr>
        <w:t>organizacija pošiljateljica: odgovorna je za pošiljanje mladih v tujino (to vključuje: organiziranje praktičnih ureditev; pripravo udeležencev pred odhodom; zagotavljanje podpore za udeležence v vseh fazah projekta);</w:t>
      </w:r>
    </w:p>
    <w:p w14:paraId="7D3998BE" w14:textId="77777777" w:rsidR="00E03711" w:rsidRPr="001048FE" w:rsidRDefault="00E03711" w:rsidP="005115F2">
      <w:pPr>
        <w:pStyle w:val="Guide-NormalBulletpoints"/>
        <w:numPr>
          <w:ilvl w:val="0"/>
          <w:numId w:val="371"/>
        </w:numPr>
        <w:rPr>
          <w:lang w:val="sl-SI"/>
        </w:rPr>
      </w:pPr>
      <w:r w:rsidRPr="001048FE">
        <w:rPr>
          <w:lang w:val="sl-SI"/>
        </w:rPr>
        <w:t>organizacija gostiteljica: odgovorna je za to, da gosti aktivnost, oblikuje program aktivnosti za udeležence v sodelovanju z udeleženci in partnerskimi organizacijami, zagotavlja podporo za udeležence v vseh fazah projekta.</w:t>
      </w:r>
    </w:p>
    <w:p w14:paraId="7D3998BF" w14:textId="77777777" w:rsidR="00E03711" w:rsidRPr="001048FE" w:rsidRDefault="00E03711" w:rsidP="00765CF9">
      <w:pPr>
        <w:pStyle w:val="GUIDE-NORMAL"/>
        <w:rPr>
          <w:lang w:val="sl-SI"/>
        </w:rPr>
      </w:pPr>
      <w:r w:rsidRPr="001048FE">
        <w:rPr>
          <w:lang w:val="sl-SI"/>
        </w:rPr>
        <w:t>Poleg tega mora biti udeležba v prostovoljski aktivnosti za prostovoljce brezplačna, razen v primeru morebitnih prispevkov za potne stroške (če nepovratna sredstva Erasmus+ teh stroškov ne pokrijejo v celoti) in dodatnih stroškov, ki niso povezani z izvajanjem aktivnosti. Osnovni stroški udeležbe prostovoljcev v aktivnosti se krijejo iz nepovratnih sredstev Erasmus+ ali drugih sredstev, ki jih priskrbijo sodelujoče organizacije.</w:t>
      </w:r>
    </w:p>
    <w:p w14:paraId="7D3998C0" w14:textId="77777777" w:rsidR="00E03711" w:rsidRPr="001048FE" w:rsidRDefault="00E03711">
      <w:pPr>
        <w:widowControl/>
        <w:suppressAutoHyphens w:val="0"/>
        <w:autoSpaceDN/>
        <w:textAlignment w:val="auto"/>
        <w:rPr>
          <w:rFonts w:eastAsia="Times New Roman"/>
          <w:b/>
          <w:smallCaps/>
          <w:sz w:val="22"/>
          <w:szCs w:val="20"/>
          <w:lang w:val="sl-SI"/>
        </w:rPr>
      </w:pPr>
      <w:r w:rsidRPr="001048FE">
        <w:rPr>
          <w:lang w:val="sl-SI"/>
        </w:rPr>
        <w:br w:type="page"/>
      </w:r>
    </w:p>
    <w:p w14:paraId="7D3998C1" w14:textId="77777777" w:rsidR="00E03711" w:rsidRPr="001048FE" w:rsidRDefault="00E03711" w:rsidP="00EA4689">
      <w:pPr>
        <w:pStyle w:val="Guide-Heading5"/>
        <w:rPr>
          <w:lang w:val="sl-SI"/>
        </w:rPr>
      </w:pPr>
      <w:r w:rsidRPr="001048FE">
        <w:rPr>
          <w:lang w:val="sl-SI"/>
        </w:rPr>
        <w:t>Kakšna so merila za oceno projekta krepitve zmogljivosti?</w:t>
      </w:r>
    </w:p>
    <w:p w14:paraId="7D3998C2" w14:textId="77777777" w:rsidR="00E03711" w:rsidRPr="001048FE" w:rsidRDefault="00E03711" w:rsidP="00EA4689">
      <w:pPr>
        <w:pStyle w:val="GUIDE-NORMAL"/>
        <w:rPr>
          <w:lang w:val="sl-SI"/>
        </w:rPr>
      </w:pPr>
      <w:r w:rsidRPr="001048FE">
        <w:rPr>
          <w:lang w:val="sl-SI"/>
        </w:rPr>
        <w:t>V nadaljevanju so navedena uradna merila, ki jih mora izpolniti predlog krepitve zmogljivosti za upravičenost do nepovratnih sredstev Erasmus+:</w:t>
      </w:r>
    </w:p>
    <w:p w14:paraId="7D3998C3" w14:textId="77777777" w:rsidR="00E03711" w:rsidRPr="001048FE" w:rsidRDefault="00E03711" w:rsidP="00EA4689">
      <w:pPr>
        <w:pStyle w:val="Guide-Heading6"/>
        <w:rPr>
          <w:lang w:val="sl-SI"/>
        </w:rPr>
      </w:pPr>
      <w:r w:rsidRPr="001048FE">
        <w:rPr>
          <w:lang w:val="sl-SI"/>
        </w:rPr>
        <w:t>Merila za upravičenost</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66"/>
        <w:gridCol w:w="7724"/>
      </w:tblGrid>
      <w:tr w:rsidR="00E03711" w:rsidRPr="00C60205" w14:paraId="7D3998D3" w14:textId="77777777" w:rsidTr="00B95B30">
        <w:trPr>
          <w:trHeight w:val="77"/>
        </w:trPr>
        <w:tc>
          <w:tcPr>
            <w:tcW w:w="843" w:type="pct"/>
            <w:shd w:val="clear" w:color="auto" w:fill="FFFFFF"/>
            <w:vAlign w:val="center"/>
          </w:tcPr>
          <w:p w14:paraId="7D3998C4" w14:textId="77777777" w:rsidR="00E03711" w:rsidRPr="00F769E0" w:rsidRDefault="00E03711" w:rsidP="00797C6E">
            <w:pPr>
              <w:pStyle w:val="GUIDE-NORMAL"/>
              <w:spacing w:before="60" w:after="60"/>
              <w:jc w:val="left"/>
              <w:rPr>
                <w:rFonts w:cs="Tahoma"/>
                <w:b/>
                <w:lang w:val="sl-SI" w:eastAsia="en-GB"/>
              </w:rPr>
            </w:pPr>
            <w:r w:rsidRPr="00F769E0">
              <w:rPr>
                <w:rFonts w:cs="Tahoma"/>
                <w:b/>
                <w:lang w:val="sl-SI" w:eastAsia="en-GB"/>
              </w:rPr>
              <w:t>Upravičene sodelujoče organizacije</w:t>
            </w:r>
          </w:p>
        </w:tc>
        <w:tc>
          <w:tcPr>
            <w:tcW w:w="4157" w:type="pct"/>
            <w:shd w:val="clear" w:color="auto" w:fill="FFFFFF"/>
            <w:vAlign w:val="center"/>
          </w:tcPr>
          <w:p w14:paraId="7D3998C5" w14:textId="77777777" w:rsidR="00E03711" w:rsidRPr="00F769E0" w:rsidRDefault="00E03711" w:rsidP="006E1B1F">
            <w:pPr>
              <w:pStyle w:val="Guide-NormalBulletpoints"/>
              <w:rPr>
                <w:lang w:val="sl-SI"/>
              </w:rPr>
            </w:pPr>
            <w:r w:rsidRPr="00F769E0">
              <w:rPr>
                <w:lang w:val="sl-SI"/>
              </w:rPr>
              <w:t xml:space="preserve">Sodelujoča organizacija je lahko katera koli javna ali zasebna organizacija s povezanimi subjekti (če obstajajo), ki ima sedež v državi Programa ali partnerski državi iz regij 1, </w:t>
            </w:r>
            <w:r>
              <w:rPr>
                <w:lang w:val="sl-SI"/>
              </w:rPr>
              <w:t>3 in</w:t>
            </w:r>
            <w:r w:rsidRPr="00F769E0">
              <w:rPr>
                <w:lang w:val="sl-SI"/>
              </w:rPr>
              <w:t xml:space="preserve"> 5 do 14 in Tuniziji, kot je določeno v poglavju „Upravičene države“ vodnika za prijavitelje. </w:t>
            </w:r>
          </w:p>
          <w:p w14:paraId="7D3998C6" w14:textId="77777777" w:rsidR="00E03711" w:rsidRPr="00F769E0" w:rsidRDefault="00E03711" w:rsidP="006E1B1F">
            <w:pPr>
              <w:pStyle w:val="Guide-NormalBulletpoints"/>
              <w:rPr>
                <w:lang w:val="sl-SI"/>
              </w:rPr>
            </w:pPr>
            <w:r w:rsidRPr="00F769E0">
              <w:rPr>
                <w:lang w:val="sl-SI"/>
              </w:rPr>
              <w:t>Taka organizacija je lahko na primer:</w:t>
            </w:r>
          </w:p>
          <w:p w14:paraId="7D3998C7" w14:textId="77777777" w:rsidR="00E03711" w:rsidRPr="001048FE" w:rsidRDefault="00E03711" w:rsidP="005115F2">
            <w:pPr>
              <w:pStyle w:val="Guide-NormalBulletpoints"/>
              <w:numPr>
                <w:ilvl w:val="0"/>
                <w:numId w:val="371"/>
              </w:numPr>
              <w:rPr>
                <w:lang w:val="sl-SI"/>
              </w:rPr>
            </w:pPr>
            <w:r w:rsidRPr="001048FE">
              <w:rPr>
                <w:lang w:val="sl-SI"/>
              </w:rPr>
              <w:t>neprofitna organizacija, združenje, nevladna organizacija (vključno z evropskimi mladinskimi NVO-ji);</w:t>
            </w:r>
          </w:p>
          <w:p w14:paraId="7D3998C8" w14:textId="77777777" w:rsidR="00E03711" w:rsidRPr="001048FE" w:rsidRDefault="00E03711" w:rsidP="005115F2">
            <w:pPr>
              <w:pStyle w:val="Guide-NormalBulletpoints"/>
              <w:numPr>
                <w:ilvl w:val="0"/>
                <w:numId w:val="371"/>
              </w:numPr>
              <w:rPr>
                <w:lang w:val="sl-SI"/>
              </w:rPr>
            </w:pPr>
            <w:r w:rsidRPr="001048FE">
              <w:rPr>
                <w:lang w:val="sl-SI"/>
              </w:rPr>
              <w:t>nacionalni mladinski svet;</w:t>
            </w:r>
          </w:p>
          <w:p w14:paraId="7D3998C9" w14:textId="77777777" w:rsidR="00E03711" w:rsidRPr="001048FE" w:rsidRDefault="00E03711" w:rsidP="005115F2">
            <w:pPr>
              <w:pStyle w:val="Guide-NormalBulletpoints"/>
              <w:numPr>
                <w:ilvl w:val="0"/>
                <w:numId w:val="371"/>
              </w:numPr>
              <w:rPr>
                <w:lang w:val="sl-SI"/>
              </w:rPr>
            </w:pPr>
            <w:r w:rsidRPr="001048FE">
              <w:rPr>
                <w:lang w:val="sl-SI"/>
              </w:rPr>
              <w:t>javni organ na lokalni, regionalni ali nacionalni ravni;</w:t>
            </w:r>
          </w:p>
          <w:p w14:paraId="7D3998CA" w14:textId="77777777" w:rsidR="00E03711" w:rsidRPr="001048FE" w:rsidRDefault="00E03711" w:rsidP="005115F2">
            <w:pPr>
              <w:pStyle w:val="Guide-NormalBulletpoints"/>
              <w:numPr>
                <w:ilvl w:val="0"/>
                <w:numId w:val="371"/>
              </w:numPr>
              <w:rPr>
                <w:lang w:val="sl-SI"/>
              </w:rPr>
            </w:pPr>
            <w:r w:rsidRPr="001048FE">
              <w:rPr>
                <w:lang w:val="sl-SI"/>
              </w:rPr>
              <w:t>šola/zavod/center za izobraževanje (na kateri koli ravni od predšolskega do srednješolskega izobraževanja, vključno s poklicnim izobraževanjem in izobraževanjem odraslih);</w:t>
            </w:r>
          </w:p>
          <w:p w14:paraId="7D3998CB" w14:textId="77777777" w:rsidR="00E03711" w:rsidRPr="001048FE" w:rsidRDefault="00E03711" w:rsidP="005115F2">
            <w:pPr>
              <w:pStyle w:val="Guide-NormalBulletpoints"/>
              <w:numPr>
                <w:ilvl w:val="0"/>
                <w:numId w:val="371"/>
              </w:numPr>
              <w:rPr>
                <w:lang w:val="sl-SI"/>
              </w:rPr>
            </w:pPr>
            <w:r w:rsidRPr="001048FE">
              <w:rPr>
                <w:lang w:val="sl-SI"/>
              </w:rPr>
              <w:t>javno ali zasebno malo, srednje ali veliko podjetje (vključno s socialnimi podjetji);</w:t>
            </w:r>
          </w:p>
          <w:p w14:paraId="7D3998CC" w14:textId="77777777" w:rsidR="00E03711" w:rsidRPr="001048FE" w:rsidRDefault="00E03711" w:rsidP="005115F2">
            <w:pPr>
              <w:pStyle w:val="Guide-NormalBulletpoints"/>
              <w:numPr>
                <w:ilvl w:val="0"/>
                <w:numId w:val="371"/>
              </w:numPr>
              <w:rPr>
                <w:lang w:val="sl-SI"/>
              </w:rPr>
            </w:pPr>
            <w:r w:rsidRPr="001048FE">
              <w:rPr>
                <w:lang w:val="sl-SI"/>
              </w:rPr>
              <w:t>socialni partner ali drug predstavnik sveta dela, tudi gospodarske zbornice, obrtna/poklicna združenja in sindikati;</w:t>
            </w:r>
          </w:p>
          <w:p w14:paraId="7D3998CD" w14:textId="77777777" w:rsidR="00E03711" w:rsidRPr="001048FE" w:rsidRDefault="00E03711" w:rsidP="005115F2">
            <w:pPr>
              <w:pStyle w:val="Guide-NormalBulletpoints"/>
              <w:numPr>
                <w:ilvl w:val="0"/>
                <w:numId w:val="371"/>
              </w:numPr>
              <w:rPr>
                <w:lang w:val="sl-SI"/>
              </w:rPr>
            </w:pPr>
            <w:r w:rsidRPr="001048FE">
              <w:rPr>
                <w:lang w:val="sl-SI"/>
              </w:rPr>
              <w:t>visokošolska institucija;</w:t>
            </w:r>
          </w:p>
          <w:p w14:paraId="7D3998CE" w14:textId="77777777" w:rsidR="00E03711" w:rsidRPr="001048FE" w:rsidRDefault="00E03711" w:rsidP="005115F2">
            <w:pPr>
              <w:pStyle w:val="Guide-NormalBulletpoints"/>
              <w:numPr>
                <w:ilvl w:val="0"/>
                <w:numId w:val="371"/>
              </w:numPr>
              <w:rPr>
                <w:lang w:val="sl-SI"/>
              </w:rPr>
            </w:pPr>
            <w:r w:rsidRPr="001048FE">
              <w:rPr>
                <w:lang w:val="sl-SI"/>
              </w:rPr>
              <w:t>raziskovalni inštitut;</w:t>
            </w:r>
          </w:p>
          <w:p w14:paraId="7D3998CF" w14:textId="77777777" w:rsidR="00E03711" w:rsidRPr="001048FE" w:rsidRDefault="00E03711" w:rsidP="005115F2">
            <w:pPr>
              <w:pStyle w:val="Guide-NormalBulletpoints"/>
              <w:numPr>
                <w:ilvl w:val="0"/>
                <w:numId w:val="371"/>
              </w:numPr>
              <w:rPr>
                <w:lang w:val="sl-SI"/>
              </w:rPr>
            </w:pPr>
            <w:r w:rsidRPr="001048FE">
              <w:rPr>
                <w:lang w:val="sl-SI"/>
              </w:rPr>
              <w:t>fundacija;</w:t>
            </w:r>
          </w:p>
          <w:p w14:paraId="7D3998D0" w14:textId="77777777" w:rsidR="00E03711" w:rsidRPr="001048FE" w:rsidRDefault="00E03711" w:rsidP="005115F2">
            <w:pPr>
              <w:pStyle w:val="Guide-NormalBulletpoints"/>
              <w:numPr>
                <w:ilvl w:val="0"/>
                <w:numId w:val="371"/>
              </w:numPr>
              <w:rPr>
                <w:lang w:val="sl-SI"/>
              </w:rPr>
            </w:pPr>
            <w:r w:rsidRPr="001048FE">
              <w:rPr>
                <w:lang w:val="sl-SI"/>
              </w:rPr>
              <w:t>medpodjetniški center za usposabljanje;</w:t>
            </w:r>
          </w:p>
          <w:p w14:paraId="7D3998D1" w14:textId="77777777" w:rsidR="00E03711" w:rsidRPr="001048FE" w:rsidRDefault="00E03711" w:rsidP="005115F2">
            <w:pPr>
              <w:pStyle w:val="Guide-NormalBulletpoints"/>
              <w:numPr>
                <w:ilvl w:val="0"/>
                <w:numId w:val="371"/>
              </w:numPr>
              <w:rPr>
                <w:lang w:val="sl-SI"/>
              </w:rPr>
            </w:pPr>
            <w:r w:rsidRPr="001048FE">
              <w:rPr>
                <w:lang w:val="sl-SI"/>
              </w:rPr>
              <w:t>kulturna organizacija, knjižnica, muzej;</w:t>
            </w:r>
          </w:p>
          <w:p w14:paraId="7D3998D2" w14:textId="77777777" w:rsidR="00E03711" w:rsidRPr="006E1B1F" w:rsidRDefault="00E03711" w:rsidP="005115F2">
            <w:pPr>
              <w:pStyle w:val="Guide-NormalBulletpoints"/>
              <w:numPr>
                <w:ilvl w:val="0"/>
                <w:numId w:val="371"/>
              </w:numPr>
              <w:rPr>
                <w:lang w:val="sl-SI"/>
              </w:rPr>
            </w:pPr>
            <w:r w:rsidRPr="001048FE">
              <w:rPr>
                <w:lang w:val="sl-SI"/>
              </w:rPr>
              <w:t>organ, ki zagotavlja poklicno informiranje in svetovanje.</w:t>
            </w:r>
          </w:p>
        </w:tc>
      </w:tr>
      <w:tr w:rsidR="00E03711" w:rsidRPr="00C60205" w14:paraId="7D3998DE" w14:textId="77777777" w:rsidTr="002D61D6">
        <w:trPr>
          <w:trHeight w:val="4887"/>
        </w:trPr>
        <w:tc>
          <w:tcPr>
            <w:tcW w:w="843" w:type="pct"/>
            <w:shd w:val="clear" w:color="auto" w:fill="FFFFFF"/>
            <w:vAlign w:val="center"/>
          </w:tcPr>
          <w:p w14:paraId="7D3998D4" w14:textId="77777777" w:rsidR="00E03711" w:rsidRPr="00F769E0" w:rsidRDefault="00E03711" w:rsidP="00797C6E">
            <w:pPr>
              <w:pStyle w:val="GUIDE-NORMAL"/>
              <w:spacing w:before="60" w:after="60"/>
              <w:jc w:val="left"/>
              <w:rPr>
                <w:rFonts w:cs="Tahoma"/>
                <w:b/>
                <w:lang w:val="sl-SI" w:eastAsia="en-GB"/>
              </w:rPr>
            </w:pPr>
            <w:r w:rsidRPr="00F769E0">
              <w:rPr>
                <w:rFonts w:cs="Tahoma"/>
                <w:b/>
                <w:lang w:val="sl-SI" w:eastAsia="en-GB"/>
              </w:rPr>
              <w:t>Kdo se lahko prijavi?</w:t>
            </w:r>
          </w:p>
        </w:tc>
        <w:tc>
          <w:tcPr>
            <w:tcW w:w="4157" w:type="pct"/>
            <w:shd w:val="clear" w:color="auto" w:fill="FFFFFF"/>
            <w:vAlign w:val="center"/>
          </w:tcPr>
          <w:p w14:paraId="7D3998D5" w14:textId="77777777" w:rsidR="00E03711" w:rsidRPr="00F769E0" w:rsidRDefault="00E03711" w:rsidP="00A06912">
            <w:pPr>
              <w:pStyle w:val="GUIDE-NORMAL"/>
              <w:spacing w:before="60" w:after="60"/>
              <w:rPr>
                <w:rFonts w:ascii="Helvetica" w:hAnsi="Helvetica" w:cs="Tahoma"/>
                <w:kern w:val="0"/>
                <w:sz w:val="17"/>
                <w:szCs w:val="17"/>
                <w:lang w:val="sl-SI" w:eastAsia="fr-FR"/>
              </w:rPr>
            </w:pPr>
            <w:r w:rsidRPr="00F769E0">
              <w:rPr>
                <w:rFonts w:cs="Tahoma"/>
                <w:lang w:val="sl-SI" w:eastAsia="en-GB"/>
              </w:rPr>
              <w:t>Katera koli:</w:t>
            </w:r>
          </w:p>
          <w:p w14:paraId="7D3998D6" w14:textId="77777777" w:rsidR="00E03711" w:rsidRPr="00FB35E0" w:rsidRDefault="00E03711" w:rsidP="005115F2">
            <w:pPr>
              <w:pStyle w:val="Guide-NormalBulletpoints"/>
              <w:numPr>
                <w:ilvl w:val="0"/>
                <w:numId w:val="372"/>
              </w:numPr>
              <w:spacing w:before="60"/>
              <w:rPr>
                <w:lang w:val="sl-SI"/>
              </w:rPr>
            </w:pPr>
            <w:r w:rsidRPr="00FB35E0">
              <w:rPr>
                <w:lang w:val="sl-SI"/>
              </w:rPr>
              <w:t>neprofitna organizacija, združenje, nevladna organizacija (vključno z evropskimi mladinskimi NVO);</w:t>
            </w:r>
          </w:p>
          <w:p w14:paraId="7D3998D7" w14:textId="77777777" w:rsidR="00E03711" w:rsidRDefault="00E03711" w:rsidP="005115F2">
            <w:pPr>
              <w:pStyle w:val="Guide-NormalBulletpoints"/>
              <w:numPr>
                <w:ilvl w:val="0"/>
                <w:numId w:val="372"/>
              </w:numPr>
              <w:spacing w:before="60"/>
              <w:rPr>
                <w:lang w:val="sl-SI"/>
              </w:rPr>
            </w:pPr>
            <w:r w:rsidRPr="00A06912">
              <w:rPr>
                <w:lang w:val="sl-SI"/>
              </w:rPr>
              <w:t>nacionalni mladinski svet;</w:t>
            </w:r>
          </w:p>
          <w:p w14:paraId="7D3998D8" w14:textId="77777777" w:rsidR="00E03711" w:rsidRPr="00A06912" w:rsidRDefault="00E03711" w:rsidP="005115F2">
            <w:pPr>
              <w:pStyle w:val="Guide-NormalBulletpoints"/>
              <w:numPr>
                <w:ilvl w:val="0"/>
                <w:numId w:val="372"/>
              </w:numPr>
              <w:spacing w:before="60"/>
              <w:rPr>
                <w:lang w:val="sl-SI"/>
              </w:rPr>
            </w:pPr>
            <w:r w:rsidRPr="00A06912">
              <w:rPr>
                <w:lang w:val="sl-SI"/>
              </w:rPr>
              <w:t>javni organ na lokalni, regionalni ali nacionalni ravni</w:t>
            </w:r>
          </w:p>
          <w:p w14:paraId="7D3998D9" w14:textId="77777777" w:rsidR="00E03711" w:rsidRPr="00F769E0" w:rsidRDefault="00E03711" w:rsidP="00797C6E">
            <w:pPr>
              <w:pStyle w:val="GUIDE-NORMAL"/>
              <w:rPr>
                <w:rFonts w:cs="Tahoma"/>
                <w:lang w:val="sl-SI" w:eastAsia="en-GB"/>
              </w:rPr>
            </w:pPr>
            <w:r w:rsidRPr="0006456E">
              <w:rPr>
                <w:rFonts w:cs="Tahoma"/>
                <w:b/>
                <w:bCs/>
                <w:lang w:val="sl-SI" w:eastAsia="en-GB"/>
              </w:rPr>
              <w:t>Za projekte med državami Programa in drugimi partnerskimi državami iz regij od 5 do 14</w:t>
            </w:r>
            <w:r w:rsidRPr="00F769E0">
              <w:rPr>
                <w:rFonts w:cs="Tahoma"/>
                <w:lang w:val="sl-SI" w:eastAsia="en-GB"/>
              </w:rPr>
              <w:t>: prijavitelj mora imeti sedež v državi Programa, prijavi pa se v imenu vseh organizacij, ki so vključene v projekt. Druge vrste organizacij so lahko vključene samo kot partnerice in ne kot prijaviteljice.</w:t>
            </w:r>
          </w:p>
          <w:p w14:paraId="7D3998DA" w14:textId="77777777" w:rsidR="00E03711" w:rsidRPr="00F769E0" w:rsidRDefault="00E03711" w:rsidP="00797C6E">
            <w:pPr>
              <w:pStyle w:val="GUIDE-NORMAL"/>
              <w:rPr>
                <w:rFonts w:cs="Tahoma"/>
                <w:lang w:val="sl-SI" w:eastAsia="en-GB"/>
              </w:rPr>
            </w:pPr>
            <w:r w:rsidRPr="0006456E">
              <w:rPr>
                <w:rFonts w:cs="Tahoma"/>
                <w:b/>
                <w:bCs/>
                <w:lang w:val="sl-SI" w:eastAsia="en-GB"/>
              </w:rPr>
              <w:t>Za projekte v okviru programa Okno za mlade Zahodnega Balkana</w:t>
            </w:r>
            <w:r w:rsidRPr="00F769E0">
              <w:rPr>
                <w:rFonts w:cs="Tahoma"/>
                <w:lang w:val="sl-SI" w:eastAsia="en-GB"/>
              </w:rPr>
              <w:t xml:space="preserve">: prijavitelj mora imeti sedež v </w:t>
            </w:r>
            <w:r>
              <w:rPr>
                <w:rFonts w:cs="Tahoma"/>
                <w:lang w:val="sl-SI" w:eastAsia="en-GB"/>
              </w:rPr>
              <w:t xml:space="preserve">partnerski </w:t>
            </w:r>
            <w:r w:rsidRPr="00F769E0">
              <w:rPr>
                <w:rFonts w:cs="Tahoma"/>
                <w:lang w:val="sl-SI" w:eastAsia="en-GB"/>
              </w:rPr>
              <w:t>državi Zahodnega Balkana (regija 1).</w:t>
            </w:r>
          </w:p>
          <w:p w14:paraId="7D3998DB" w14:textId="77777777" w:rsidR="00E03711" w:rsidRDefault="00E03711" w:rsidP="00797C6E">
            <w:pPr>
              <w:pStyle w:val="GUIDE-NORMAL"/>
              <w:rPr>
                <w:rFonts w:cs="Tahoma"/>
                <w:lang w:val="sl-SI" w:eastAsia="en-GB"/>
              </w:rPr>
            </w:pPr>
            <w:r w:rsidRPr="0006456E">
              <w:rPr>
                <w:rFonts w:cs="Tahoma"/>
                <w:b/>
                <w:bCs/>
                <w:lang w:val="sl-SI" w:eastAsia="en-GB"/>
              </w:rPr>
              <w:t>Za projekte v okviru programa Okno za mlade Tunizije</w:t>
            </w:r>
            <w:r w:rsidRPr="00F769E0">
              <w:rPr>
                <w:rFonts w:cs="Tahoma"/>
                <w:lang w:val="sl-SI" w:eastAsia="en-GB"/>
              </w:rPr>
              <w:t xml:space="preserve">: </w:t>
            </w:r>
          </w:p>
          <w:p w14:paraId="7D3998DC" w14:textId="77777777" w:rsidR="00E03711" w:rsidRPr="00F769E0" w:rsidRDefault="00E03711" w:rsidP="00797C6E">
            <w:pPr>
              <w:pStyle w:val="GUIDE-NORMAL"/>
              <w:rPr>
                <w:rFonts w:cs="Tahoma"/>
                <w:lang w:val="sl-SI" w:eastAsia="en-GB"/>
              </w:rPr>
            </w:pPr>
            <w:r>
              <w:rPr>
                <w:rFonts w:cs="Tahoma"/>
                <w:lang w:val="sl-SI" w:eastAsia="en-GB"/>
              </w:rPr>
              <w:t>P</w:t>
            </w:r>
            <w:r w:rsidRPr="00F769E0">
              <w:rPr>
                <w:rFonts w:cs="Tahoma"/>
                <w:lang w:val="sl-SI" w:eastAsia="en-GB"/>
              </w:rPr>
              <w:t>rijavitelj mora imeti sedež v Tuniziji.</w:t>
            </w:r>
          </w:p>
          <w:p w14:paraId="7D3998DD" w14:textId="77777777" w:rsidR="00E03711" w:rsidRPr="00F769E0" w:rsidRDefault="00E03711" w:rsidP="00797C6E">
            <w:pPr>
              <w:pStyle w:val="GUIDE-NORMAL"/>
              <w:rPr>
                <w:rFonts w:cs="Tahoma"/>
                <w:lang w:val="sl-SI" w:eastAsia="en-GB"/>
              </w:rPr>
            </w:pPr>
            <w:r w:rsidRPr="00F769E0">
              <w:rPr>
                <w:rFonts w:cs="Tahoma"/>
                <w:lang w:val="sl-SI" w:eastAsia="en-GB"/>
              </w:rPr>
              <w:t>Prijavitelji morajo – ob navedenem roku za predložitev svojih predlogov – imeti zakoniti sedež vsaj eno leto.</w:t>
            </w:r>
          </w:p>
        </w:tc>
      </w:tr>
      <w:tr w:rsidR="00E03711" w:rsidRPr="00C60205" w14:paraId="7D3998E2" w14:textId="77777777" w:rsidTr="00B95B30">
        <w:trPr>
          <w:trHeight w:val="77"/>
        </w:trPr>
        <w:tc>
          <w:tcPr>
            <w:tcW w:w="843" w:type="pct"/>
            <w:shd w:val="clear" w:color="auto" w:fill="FFFFFF"/>
            <w:vAlign w:val="center"/>
          </w:tcPr>
          <w:p w14:paraId="7D3998DF" w14:textId="77777777" w:rsidR="00E03711" w:rsidRPr="00F769E0" w:rsidRDefault="00E03711" w:rsidP="00797C6E">
            <w:pPr>
              <w:pStyle w:val="GUIDE-NORMAL"/>
              <w:spacing w:before="60" w:after="60"/>
              <w:jc w:val="left"/>
              <w:rPr>
                <w:rFonts w:cs="Tahoma"/>
                <w:b/>
                <w:lang w:val="sl-SI" w:eastAsia="en-GB"/>
              </w:rPr>
            </w:pPr>
            <w:r w:rsidRPr="00F769E0">
              <w:rPr>
                <w:rFonts w:cs="Tahoma"/>
                <w:b/>
                <w:lang w:val="sl-SI" w:eastAsia="en-GB"/>
              </w:rPr>
              <w:t xml:space="preserve">Število in profil sodelujočih organizacij </w:t>
            </w:r>
          </w:p>
        </w:tc>
        <w:tc>
          <w:tcPr>
            <w:tcW w:w="4157" w:type="pct"/>
            <w:shd w:val="clear" w:color="auto" w:fill="FFFFFF"/>
            <w:vAlign w:val="center"/>
          </w:tcPr>
          <w:p w14:paraId="7D3998E0" w14:textId="77777777" w:rsidR="00E03711" w:rsidRPr="00F769E0" w:rsidRDefault="00E03711" w:rsidP="00797C6E">
            <w:pPr>
              <w:pStyle w:val="GUIDE-NORMAL"/>
              <w:spacing w:before="60" w:after="60"/>
              <w:rPr>
                <w:rFonts w:cs="Tahoma"/>
                <w:lang w:val="sl-SI" w:eastAsia="en-GB"/>
              </w:rPr>
            </w:pPr>
            <w:r w:rsidRPr="00F769E0">
              <w:rPr>
                <w:rFonts w:cs="Tahoma"/>
                <w:lang w:val="sl-SI" w:eastAsia="en-GB"/>
              </w:rPr>
              <w:t xml:space="preserve">Projekti krepitve zmogljivosti so mednarodni in vključujejo najmanj 3 sodelujoče organizacije iz </w:t>
            </w:r>
            <w:r w:rsidRPr="00F769E0">
              <w:rPr>
                <w:rFonts w:cs="Tahoma"/>
                <w:lang w:val="sl-SI" w:eastAsia="en-GB"/>
              </w:rPr>
              <w:br/>
              <w:t>3 različnih držav, od katerih je vsaj ena država Programa in ena upravičena partnerska država.</w:t>
            </w:r>
          </w:p>
          <w:p w14:paraId="7D3998E1" w14:textId="77777777" w:rsidR="00E03711" w:rsidRPr="00F769E0" w:rsidRDefault="00E03711" w:rsidP="00797C6E">
            <w:pPr>
              <w:pStyle w:val="GUIDE-NORMAL"/>
              <w:spacing w:before="60" w:after="60"/>
              <w:rPr>
                <w:rFonts w:cs="Tahoma"/>
                <w:lang w:val="sl-SI" w:eastAsia="en-GB"/>
              </w:rPr>
            </w:pPr>
            <w:r w:rsidRPr="00F769E0">
              <w:rPr>
                <w:rFonts w:cs="Tahoma"/>
                <w:lang w:val="sl-SI" w:eastAsia="en-GB"/>
              </w:rPr>
              <w:t>Projekti, financirani v okviru enega od Oken, ne smejo vključevati sodelujočih organizacij/udeležencev iz drugih sosedskih regij.</w:t>
            </w:r>
          </w:p>
        </w:tc>
      </w:tr>
      <w:tr w:rsidR="00E03711" w:rsidRPr="00C60205" w14:paraId="7D3998E5" w14:textId="77777777" w:rsidTr="00B95B30">
        <w:trPr>
          <w:trHeight w:val="77"/>
        </w:trPr>
        <w:tc>
          <w:tcPr>
            <w:tcW w:w="843" w:type="pct"/>
            <w:shd w:val="clear" w:color="auto" w:fill="FFFFFF"/>
            <w:vAlign w:val="center"/>
          </w:tcPr>
          <w:p w14:paraId="7D3998E3" w14:textId="77777777" w:rsidR="00E03711" w:rsidRPr="00F769E0" w:rsidRDefault="00E03711" w:rsidP="00797C6E">
            <w:pPr>
              <w:pStyle w:val="GUIDE-NORMAL"/>
              <w:spacing w:before="60" w:after="60"/>
              <w:jc w:val="left"/>
              <w:rPr>
                <w:rFonts w:cs="Tahoma"/>
                <w:b/>
                <w:lang w:val="sl-SI" w:eastAsia="en-GB"/>
              </w:rPr>
            </w:pPr>
            <w:r w:rsidRPr="00F769E0">
              <w:rPr>
                <w:rFonts w:cs="Tahoma"/>
                <w:b/>
                <w:lang w:val="sl-SI" w:eastAsia="en-GB"/>
              </w:rPr>
              <w:t>Trajanje projekta</w:t>
            </w:r>
          </w:p>
        </w:tc>
        <w:tc>
          <w:tcPr>
            <w:tcW w:w="4157" w:type="pct"/>
            <w:shd w:val="clear" w:color="auto" w:fill="FFFFFF"/>
            <w:vAlign w:val="center"/>
          </w:tcPr>
          <w:p w14:paraId="7D3998E4" w14:textId="77777777" w:rsidR="00E03711" w:rsidRPr="00F769E0" w:rsidRDefault="00E03711" w:rsidP="00797C6E">
            <w:pPr>
              <w:pStyle w:val="GUIDE-NORMAL"/>
              <w:spacing w:before="60" w:after="60"/>
              <w:rPr>
                <w:rFonts w:cs="Tahoma"/>
                <w:lang w:val="sl-SI" w:eastAsia="en-GB"/>
              </w:rPr>
            </w:pPr>
            <w:r w:rsidRPr="00F769E0">
              <w:rPr>
                <w:rFonts w:cs="Tahoma"/>
                <w:lang w:val="sl-SI" w:eastAsia="en-GB"/>
              </w:rPr>
              <w:t>Od 9 mesecev do 2 let. Trajanje mora biti izbrano ob prijavi na podlagi cilja projekta in vrste aktivnosti, ki so predvidene v tem času.</w:t>
            </w:r>
          </w:p>
        </w:tc>
      </w:tr>
      <w:tr w:rsidR="00E03711" w:rsidRPr="00C60205" w14:paraId="7D3998E8" w14:textId="77777777" w:rsidTr="00B95B30">
        <w:trPr>
          <w:trHeight w:val="77"/>
        </w:trPr>
        <w:tc>
          <w:tcPr>
            <w:tcW w:w="843" w:type="pct"/>
            <w:shd w:val="clear" w:color="auto" w:fill="FFFFFF"/>
            <w:vAlign w:val="center"/>
          </w:tcPr>
          <w:p w14:paraId="7D3998E6" w14:textId="77777777" w:rsidR="00E03711" w:rsidRPr="00F769E0" w:rsidRDefault="00E03711" w:rsidP="00797C6E">
            <w:pPr>
              <w:pStyle w:val="GUIDE-NORMAL"/>
              <w:spacing w:before="60" w:after="60"/>
              <w:jc w:val="left"/>
              <w:rPr>
                <w:rFonts w:cs="Tahoma"/>
                <w:b/>
                <w:lang w:val="sl-SI" w:eastAsia="en-GB"/>
              </w:rPr>
            </w:pPr>
            <w:r w:rsidRPr="00F769E0">
              <w:rPr>
                <w:rFonts w:cs="Tahoma"/>
                <w:b/>
                <w:lang w:val="sl-SI" w:eastAsia="en-GB"/>
              </w:rPr>
              <w:t>Kje se prijaviti?</w:t>
            </w:r>
          </w:p>
        </w:tc>
        <w:tc>
          <w:tcPr>
            <w:tcW w:w="4157" w:type="pct"/>
            <w:shd w:val="clear" w:color="auto" w:fill="FFFFFF"/>
            <w:vAlign w:val="center"/>
          </w:tcPr>
          <w:p w14:paraId="7D3998E7" w14:textId="77777777" w:rsidR="00E03711" w:rsidRPr="00F769E0" w:rsidRDefault="00E03711" w:rsidP="00797C6E">
            <w:pPr>
              <w:pStyle w:val="GUIDE-NORMAL"/>
              <w:spacing w:before="60" w:after="60"/>
              <w:rPr>
                <w:rFonts w:cs="Tahoma"/>
                <w:lang w:val="sl-SI" w:eastAsia="en-GB"/>
              </w:rPr>
            </w:pPr>
            <w:r w:rsidRPr="00F769E0">
              <w:rPr>
                <w:rFonts w:cs="Tahoma"/>
                <w:lang w:val="sl-SI" w:eastAsia="en-GB"/>
              </w:rPr>
              <w:t>Pri Izvajalski agenciji za izobraževanje, avdiovizualno področje in kulturo v Bruslju.</w:t>
            </w:r>
          </w:p>
        </w:tc>
      </w:tr>
      <w:tr w:rsidR="00E03711" w:rsidRPr="00654F6A" w14:paraId="7D3998EC" w14:textId="77777777" w:rsidTr="00B95B30">
        <w:trPr>
          <w:trHeight w:val="77"/>
        </w:trPr>
        <w:tc>
          <w:tcPr>
            <w:tcW w:w="843" w:type="pct"/>
            <w:shd w:val="clear" w:color="auto" w:fill="FFFFFF"/>
            <w:vAlign w:val="center"/>
          </w:tcPr>
          <w:p w14:paraId="7D3998E9" w14:textId="77777777" w:rsidR="00E03711" w:rsidRPr="00F769E0" w:rsidRDefault="00E03711" w:rsidP="00797C6E">
            <w:pPr>
              <w:pStyle w:val="GUIDE-NORMAL"/>
              <w:spacing w:before="60" w:after="60"/>
              <w:jc w:val="left"/>
              <w:rPr>
                <w:rFonts w:cs="Tahoma"/>
                <w:b/>
                <w:lang w:val="sl-SI" w:eastAsia="en-GB"/>
              </w:rPr>
            </w:pPr>
            <w:r w:rsidRPr="00F769E0">
              <w:rPr>
                <w:rFonts w:cs="Tahoma"/>
                <w:b/>
                <w:lang w:val="sl-SI" w:eastAsia="en-GB"/>
              </w:rPr>
              <w:t>Kdaj se prijaviti?</w:t>
            </w:r>
          </w:p>
        </w:tc>
        <w:tc>
          <w:tcPr>
            <w:tcW w:w="4157" w:type="pct"/>
            <w:shd w:val="clear" w:color="auto" w:fill="FFFFFF"/>
            <w:vAlign w:val="center"/>
          </w:tcPr>
          <w:p w14:paraId="7D3998EA" w14:textId="77777777" w:rsidR="00E03711" w:rsidRDefault="00E03711" w:rsidP="00D40909">
            <w:pPr>
              <w:pStyle w:val="GUIDE-NORMAL"/>
              <w:spacing w:before="60" w:after="60"/>
              <w:rPr>
                <w:rFonts w:cs="Tahoma"/>
                <w:lang w:val="sl-SI" w:eastAsia="en-GB"/>
              </w:rPr>
            </w:pPr>
            <w:r w:rsidRPr="00F769E0">
              <w:rPr>
                <w:rFonts w:cs="Tahoma"/>
                <w:lang w:val="sl-SI" w:eastAsia="en-GB"/>
              </w:rPr>
              <w:t xml:space="preserve">Prijavitelji morajo vlogo za nepovratna sredstva oddati do naslednjih datumov: </w:t>
            </w:r>
          </w:p>
          <w:p w14:paraId="7D3998EB" w14:textId="77777777" w:rsidR="00E03711" w:rsidRPr="00F769E0" w:rsidRDefault="00E03711" w:rsidP="005115F2">
            <w:pPr>
              <w:pStyle w:val="GUIDE-NORMAL"/>
              <w:numPr>
                <w:ilvl w:val="0"/>
                <w:numId w:val="373"/>
              </w:numPr>
              <w:spacing w:before="60" w:after="60"/>
              <w:rPr>
                <w:rFonts w:cs="Tahoma"/>
                <w:lang w:val="sl-SI" w:eastAsia="en-GB"/>
              </w:rPr>
            </w:pPr>
            <w:r w:rsidRPr="006E1B1F">
              <w:rPr>
                <w:rFonts w:cs="Tahoma"/>
                <w:b/>
                <w:bCs/>
                <w:lang w:val="sl-SI" w:eastAsia="en-GB"/>
              </w:rPr>
              <w:t>do 5</w:t>
            </w:r>
            <w:r w:rsidRPr="00F769E0">
              <w:rPr>
                <w:rFonts w:cs="Tahoma"/>
                <w:b/>
                <w:lang w:val="sl-SI" w:eastAsia="en-GB"/>
              </w:rPr>
              <w:t xml:space="preserve">. </w:t>
            </w:r>
            <w:r>
              <w:rPr>
                <w:rFonts w:cs="Tahoma"/>
                <w:b/>
                <w:lang w:val="sl-SI" w:eastAsia="en-GB"/>
              </w:rPr>
              <w:t xml:space="preserve">februarja </w:t>
            </w:r>
            <w:r w:rsidRPr="00F769E0">
              <w:rPr>
                <w:rFonts w:cs="Tahoma"/>
                <w:b/>
                <w:lang w:val="sl-SI" w:eastAsia="en-GB"/>
              </w:rPr>
              <w:t>do 1</w:t>
            </w:r>
            <w:r>
              <w:rPr>
                <w:rFonts w:cs="Tahoma"/>
                <w:b/>
                <w:lang w:val="sl-SI" w:eastAsia="en-GB"/>
              </w:rPr>
              <w:t>7</w:t>
            </w:r>
            <w:r w:rsidRPr="00F769E0">
              <w:rPr>
                <w:rFonts w:cs="Tahoma"/>
                <w:b/>
                <w:lang w:val="sl-SI" w:eastAsia="en-GB"/>
              </w:rPr>
              <w:t>. ure (po bruseljskem času)</w:t>
            </w:r>
            <w:r w:rsidRPr="00F769E0">
              <w:rPr>
                <w:rFonts w:cs="Tahoma"/>
                <w:lang w:val="sl-SI" w:eastAsia="en-GB"/>
              </w:rPr>
              <w:t xml:space="preserve"> za projekte, ki se začnejo med 1. </w:t>
            </w:r>
            <w:r>
              <w:rPr>
                <w:rFonts w:cs="Tahoma"/>
                <w:lang w:val="sl-SI" w:eastAsia="en-GB"/>
              </w:rPr>
              <w:t>septembrom</w:t>
            </w:r>
            <w:r w:rsidRPr="00F769E0">
              <w:rPr>
                <w:rFonts w:cs="Tahoma"/>
                <w:lang w:val="sl-SI" w:eastAsia="en-GB"/>
              </w:rPr>
              <w:t xml:space="preserve"> in 31. decembrom istega leta.</w:t>
            </w:r>
          </w:p>
        </w:tc>
      </w:tr>
      <w:tr w:rsidR="00E03711" w:rsidRPr="00C60205" w14:paraId="7D3998EF" w14:textId="77777777" w:rsidTr="00B95B30">
        <w:trPr>
          <w:trHeight w:val="77"/>
        </w:trPr>
        <w:tc>
          <w:tcPr>
            <w:tcW w:w="843" w:type="pct"/>
            <w:shd w:val="clear" w:color="auto" w:fill="FFFFFF"/>
            <w:vAlign w:val="center"/>
          </w:tcPr>
          <w:p w14:paraId="7D3998ED" w14:textId="77777777" w:rsidR="00E03711" w:rsidRPr="00F769E0" w:rsidRDefault="00E03711" w:rsidP="00797C6E">
            <w:pPr>
              <w:pStyle w:val="GUIDE-NORMAL"/>
              <w:spacing w:before="60" w:after="60"/>
              <w:jc w:val="left"/>
              <w:rPr>
                <w:rFonts w:cs="Tahoma"/>
                <w:b/>
                <w:lang w:val="sl-SI" w:eastAsia="en-GB"/>
              </w:rPr>
            </w:pPr>
            <w:r w:rsidRPr="00F769E0">
              <w:rPr>
                <w:rFonts w:cs="Tahoma"/>
                <w:b/>
                <w:lang w:val="sl-SI" w:eastAsia="en-GB"/>
              </w:rPr>
              <w:t>Kako se prijaviti?</w:t>
            </w:r>
          </w:p>
        </w:tc>
        <w:tc>
          <w:tcPr>
            <w:tcW w:w="4157" w:type="pct"/>
            <w:shd w:val="clear" w:color="auto" w:fill="FFFFFF"/>
            <w:vAlign w:val="center"/>
          </w:tcPr>
          <w:p w14:paraId="7D3998EE" w14:textId="77777777" w:rsidR="00E03711" w:rsidRPr="00F769E0" w:rsidRDefault="00E03711" w:rsidP="00797C6E">
            <w:pPr>
              <w:pStyle w:val="GUIDE-NORMAL"/>
              <w:spacing w:before="60" w:after="60"/>
              <w:rPr>
                <w:rFonts w:cs="Tahoma"/>
                <w:lang w:val="sl-SI" w:eastAsia="en-GB"/>
              </w:rPr>
            </w:pPr>
            <w:r w:rsidRPr="00F769E0">
              <w:rPr>
                <w:rFonts w:cs="Tahoma"/>
                <w:lang w:val="sl-SI" w:eastAsia="en-GB"/>
              </w:rPr>
              <w:t>Za podrobnosti o postopku prijave glej del C tega vodnika.</w:t>
            </w:r>
          </w:p>
        </w:tc>
      </w:tr>
      <w:tr w:rsidR="00E03711" w:rsidRPr="00C60205" w14:paraId="7D3998F3" w14:textId="77777777" w:rsidTr="00B95B30">
        <w:trPr>
          <w:trHeight w:val="77"/>
        </w:trPr>
        <w:tc>
          <w:tcPr>
            <w:tcW w:w="843" w:type="pct"/>
            <w:shd w:val="clear" w:color="auto" w:fill="FFFFFF"/>
            <w:vAlign w:val="center"/>
          </w:tcPr>
          <w:p w14:paraId="7D3998F0" w14:textId="77777777" w:rsidR="00E03711" w:rsidRPr="00F769E0" w:rsidRDefault="00E03711" w:rsidP="00797C6E">
            <w:pPr>
              <w:pStyle w:val="GUIDE-NORMAL"/>
              <w:spacing w:before="60" w:after="60"/>
              <w:jc w:val="left"/>
              <w:rPr>
                <w:rFonts w:cs="Tahoma"/>
                <w:b/>
                <w:lang w:val="sl-SI" w:eastAsia="en-GB"/>
              </w:rPr>
            </w:pPr>
            <w:r w:rsidRPr="00F769E0">
              <w:rPr>
                <w:rFonts w:cs="Tahoma"/>
                <w:b/>
                <w:lang w:val="sl-SI" w:eastAsia="en-GB"/>
              </w:rPr>
              <w:t>Druga merila</w:t>
            </w:r>
          </w:p>
        </w:tc>
        <w:tc>
          <w:tcPr>
            <w:tcW w:w="4157" w:type="pct"/>
            <w:shd w:val="clear" w:color="auto" w:fill="FFFFFF"/>
            <w:vAlign w:val="center"/>
          </w:tcPr>
          <w:p w14:paraId="7D3998F1" w14:textId="77777777" w:rsidR="00E03711" w:rsidRPr="00F769E0" w:rsidRDefault="00E03711" w:rsidP="00797C6E">
            <w:pPr>
              <w:pStyle w:val="GUIDE-NORMAL"/>
              <w:spacing w:before="60" w:after="60"/>
              <w:rPr>
                <w:rFonts w:cs="Tahoma"/>
                <w:lang w:val="sl-SI" w:eastAsia="en-GB"/>
              </w:rPr>
            </w:pPr>
            <w:r w:rsidRPr="00F769E0">
              <w:rPr>
                <w:rFonts w:cs="Tahoma"/>
                <w:lang w:val="sl-SI" w:eastAsia="en-GB"/>
              </w:rPr>
              <w:t>En prijavitelj lahko predloži samo en predlog projekta na en rok.</w:t>
            </w:r>
          </w:p>
          <w:p w14:paraId="7D3998F2" w14:textId="77777777" w:rsidR="00E03711" w:rsidRPr="00F769E0" w:rsidRDefault="00E03711" w:rsidP="00563DE8">
            <w:pPr>
              <w:pStyle w:val="GUIDE-NORMAL"/>
              <w:spacing w:before="60" w:after="60"/>
              <w:rPr>
                <w:rFonts w:cs="Tahoma"/>
                <w:lang w:val="sl-SI" w:eastAsia="en-GB"/>
              </w:rPr>
            </w:pPr>
            <w:r>
              <w:rPr>
                <w:rFonts w:cs="Tahoma"/>
                <w:lang w:val="sl-SI" w:eastAsia="en-GB"/>
              </w:rPr>
              <w:t>Del pe</w:t>
            </w:r>
            <w:r w:rsidRPr="00F769E0">
              <w:rPr>
                <w:rFonts w:cs="Tahoma"/>
                <w:lang w:val="sl-SI" w:eastAsia="en-GB"/>
              </w:rPr>
              <w:t>rijavn</w:t>
            </w:r>
            <w:r>
              <w:rPr>
                <w:rFonts w:cs="Tahoma"/>
                <w:lang w:val="sl-SI" w:eastAsia="en-GB"/>
              </w:rPr>
              <w:t>ega</w:t>
            </w:r>
            <w:r w:rsidRPr="00F769E0">
              <w:rPr>
                <w:rFonts w:cs="Tahoma"/>
                <w:lang w:val="sl-SI" w:eastAsia="en-GB"/>
              </w:rPr>
              <w:t xml:space="preserve"> obraz</w:t>
            </w:r>
            <w:r>
              <w:rPr>
                <w:rFonts w:cs="Tahoma"/>
                <w:lang w:val="sl-SI" w:eastAsia="en-GB"/>
              </w:rPr>
              <w:t>ca</w:t>
            </w:r>
            <w:r w:rsidRPr="00F769E0">
              <w:rPr>
                <w:rFonts w:cs="Tahoma"/>
                <w:lang w:val="sl-SI" w:eastAsia="en-GB"/>
              </w:rPr>
              <w:t xml:space="preserve"> mora biti časovn</w:t>
            </w:r>
            <w:r>
              <w:rPr>
                <w:rFonts w:cs="Tahoma"/>
                <w:lang w:val="sl-SI" w:eastAsia="en-GB"/>
              </w:rPr>
              <w:t>i</w:t>
            </w:r>
            <w:r w:rsidRPr="00F769E0">
              <w:rPr>
                <w:rFonts w:cs="Tahoma"/>
                <w:lang w:val="sl-SI" w:eastAsia="en-GB"/>
              </w:rPr>
              <w:t xml:space="preserve"> razpored za vsako aktivnost, načrtovano v projektu.</w:t>
            </w:r>
          </w:p>
        </w:tc>
      </w:tr>
    </w:tbl>
    <w:p w14:paraId="7D3998F4" w14:textId="77777777" w:rsidR="00E03711" w:rsidRPr="001048FE" w:rsidRDefault="00E03711" w:rsidP="00797C6E">
      <w:pPr>
        <w:pStyle w:val="Guide-Heading6"/>
        <w:rPr>
          <w:lang w:val="sl-SI"/>
        </w:rPr>
      </w:pPr>
      <w:bookmarkStart w:id="257" w:name="Critères_d’éligibilité_supplémentaires_p"/>
      <w:bookmarkEnd w:id="257"/>
      <w:r w:rsidRPr="001048FE">
        <w:rPr>
          <w:lang w:val="sl-SI"/>
        </w:rPr>
        <w:t>Dodatna merila za upravičenost za mladinske izmenjave</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66"/>
        <w:gridCol w:w="7724"/>
      </w:tblGrid>
      <w:tr w:rsidR="00E03711" w:rsidRPr="00C60205" w14:paraId="7D3998F7" w14:textId="77777777" w:rsidTr="00B95B30">
        <w:trPr>
          <w:trHeight w:val="77"/>
        </w:trPr>
        <w:tc>
          <w:tcPr>
            <w:tcW w:w="843" w:type="pct"/>
            <w:shd w:val="clear" w:color="auto" w:fill="FFFFFF"/>
            <w:vAlign w:val="center"/>
          </w:tcPr>
          <w:p w14:paraId="7D3998F5" w14:textId="77777777" w:rsidR="00E03711" w:rsidRPr="00F769E0" w:rsidRDefault="00E03711" w:rsidP="00C71863">
            <w:pPr>
              <w:pStyle w:val="GUIDE-NORMAL"/>
              <w:spacing w:before="60" w:after="60"/>
              <w:jc w:val="left"/>
              <w:rPr>
                <w:rFonts w:cs="Tahoma"/>
                <w:b/>
                <w:lang w:val="sl-SI" w:eastAsia="en-GB"/>
              </w:rPr>
            </w:pPr>
            <w:r w:rsidRPr="00F769E0">
              <w:rPr>
                <w:rFonts w:cs="Tahoma"/>
                <w:b/>
                <w:lang w:val="sl-SI" w:eastAsia="en-GB"/>
              </w:rPr>
              <w:t>Trajanje aktivnosti</w:t>
            </w:r>
          </w:p>
        </w:tc>
        <w:tc>
          <w:tcPr>
            <w:tcW w:w="4157" w:type="pct"/>
            <w:shd w:val="clear" w:color="auto" w:fill="FFFFFF"/>
            <w:vAlign w:val="center"/>
          </w:tcPr>
          <w:p w14:paraId="7D3998F6" w14:textId="77777777" w:rsidR="00E03711" w:rsidRPr="00F769E0" w:rsidRDefault="00E03711" w:rsidP="00C71863">
            <w:pPr>
              <w:pStyle w:val="GUIDE-NORMAL"/>
              <w:spacing w:before="60" w:after="60"/>
              <w:jc w:val="left"/>
              <w:rPr>
                <w:rFonts w:cs="Tahoma"/>
                <w:lang w:val="sl-SI" w:eastAsia="en-GB"/>
              </w:rPr>
            </w:pPr>
            <w:r w:rsidRPr="00F769E0">
              <w:rPr>
                <w:rFonts w:cs="Tahoma"/>
                <w:lang w:val="sl-SI" w:eastAsia="en-GB"/>
              </w:rPr>
              <w:t>Od 5 do 21 dni, v kar ni zajet čas poti.</w:t>
            </w:r>
          </w:p>
        </w:tc>
      </w:tr>
      <w:tr w:rsidR="00E03711" w:rsidRPr="00C60205" w14:paraId="7D3998FA" w14:textId="77777777" w:rsidTr="00B95B30">
        <w:trPr>
          <w:trHeight w:val="77"/>
        </w:trPr>
        <w:tc>
          <w:tcPr>
            <w:tcW w:w="843" w:type="pct"/>
            <w:shd w:val="clear" w:color="auto" w:fill="FFFFFF"/>
            <w:vAlign w:val="center"/>
          </w:tcPr>
          <w:p w14:paraId="7D3998F8" w14:textId="77777777" w:rsidR="00E03711" w:rsidRPr="00F769E0" w:rsidRDefault="00E03711" w:rsidP="00C71863">
            <w:pPr>
              <w:pStyle w:val="GUIDE-NORMAL"/>
              <w:spacing w:before="60" w:after="60"/>
              <w:jc w:val="left"/>
              <w:rPr>
                <w:rFonts w:cs="Tahoma"/>
                <w:b/>
                <w:lang w:val="sl-SI" w:eastAsia="en-GB"/>
              </w:rPr>
            </w:pPr>
            <w:r w:rsidRPr="00F769E0">
              <w:rPr>
                <w:rFonts w:cs="Tahoma"/>
                <w:b/>
                <w:lang w:val="sl-SI" w:eastAsia="en-GB"/>
              </w:rPr>
              <w:t>Kraji izvajanja aktivnosti</w:t>
            </w:r>
          </w:p>
        </w:tc>
        <w:tc>
          <w:tcPr>
            <w:tcW w:w="4157" w:type="pct"/>
            <w:shd w:val="clear" w:color="auto" w:fill="FFFFFF"/>
            <w:vAlign w:val="center"/>
          </w:tcPr>
          <w:p w14:paraId="7D3998F9" w14:textId="77777777" w:rsidR="00E03711" w:rsidRPr="00F769E0" w:rsidRDefault="00E03711" w:rsidP="00C71863">
            <w:pPr>
              <w:pStyle w:val="GUIDE-NORMAL"/>
              <w:spacing w:before="60" w:after="60"/>
              <w:jc w:val="left"/>
              <w:rPr>
                <w:rFonts w:cs="Tahoma"/>
                <w:lang w:val="sl-SI" w:eastAsia="en-GB"/>
              </w:rPr>
            </w:pPr>
            <w:r w:rsidRPr="00F769E0">
              <w:rPr>
                <w:rFonts w:cs="Tahoma"/>
                <w:lang w:val="sl-SI" w:eastAsia="en-GB"/>
              </w:rPr>
              <w:t>Aktivnost se mora izvajati v državi ene od organizacij, ki sodelujejo v aktivnosti.</w:t>
            </w:r>
          </w:p>
        </w:tc>
      </w:tr>
      <w:tr w:rsidR="00E03711" w:rsidRPr="00C60205" w14:paraId="7D3998FD" w14:textId="77777777" w:rsidTr="00B95B30">
        <w:trPr>
          <w:trHeight w:val="77"/>
        </w:trPr>
        <w:tc>
          <w:tcPr>
            <w:tcW w:w="843" w:type="pct"/>
            <w:shd w:val="clear" w:color="auto" w:fill="FFFFFF"/>
            <w:vAlign w:val="center"/>
          </w:tcPr>
          <w:p w14:paraId="7D3998FB" w14:textId="77777777" w:rsidR="00E03711" w:rsidRPr="00F769E0" w:rsidRDefault="00E03711" w:rsidP="00C71863">
            <w:pPr>
              <w:pStyle w:val="GUIDE-NORMAL"/>
              <w:spacing w:before="60" w:after="60"/>
              <w:jc w:val="left"/>
              <w:rPr>
                <w:rFonts w:cs="Tahoma"/>
                <w:b/>
                <w:lang w:val="sl-SI" w:eastAsia="en-GB"/>
              </w:rPr>
            </w:pPr>
            <w:r w:rsidRPr="00F769E0">
              <w:rPr>
                <w:rFonts w:cs="Tahoma"/>
                <w:b/>
                <w:lang w:val="sl-SI" w:eastAsia="en-GB"/>
              </w:rPr>
              <w:t>Upravičeni udeleženci</w:t>
            </w:r>
          </w:p>
        </w:tc>
        <w:tc>
          <w:tcPr>
            <w:tcW w:w="4157" w:type="pct"/>
            <w:shd w:val="clear" w:color="auto" w:fill="FFFFFF"/>
            <w:vAlign w:val="center"/>
          </w:tcPr>
          <w:p w14:paraId="7D3998FC" w14:textId="77777777" w:rsidR="00E03711" w:rsidRPr="00F769E0" w:rsidRDefault="00E03711" w:rsidP="00C71863">
            <w:pPr>
              <w:pStyle w:val="GUIDE-NORMAL"/>
              <w:spacing w:before="60" w:after="60"/>
              <w:jc w:val="left"/>
              <w:rPr>
                <w:rFonts w:cs="Tahoma"/>
                <w:lang w:val="sl-SI" w:eastAsia="en-GB"/>
              </w:rPr>
            </w:pPr>
            <w:r w:rsidRPr="00F769E0">
              <w:rPr>
                <w:rFonts w:cs="Tahoma"/>
                <w:lang w:val="sl-SI" w:eastAsia="en-GB"/>
              </w:rPr>
              <w:t>Mladi, stari od 13 do 30 let</w:t>
            </w:r>
            <w:r w:rsidRPr="00F769E0">
              <w:rPr>
                <w:rStyle w:val="FootnoteReference"/>
                <w:rFonts w:cs="Tahoma"/>
                <w:lang w:val="sl-SI" w:eastAsia="en-GB"/>
              </w:rPr>
              <w:footnoteReference w:id="218"/>
            </w:r>
            <w:r w:rsidRPr="00F769E0">
              <w:rPr>
                <w:rFonts w:cs="Tahoma"/>
                <w:lang w:val="sl-SI" w:eastAsia="en-GB"/>
              </w:rPr>
              <w:t>, ki živijo v državah organizacije pošiljateljice in gostiteljice.</w:t>
            </w:r>
          </w:p>
        </w:tc>
      </w:tr>
      <w:tr w:rsidR="00E03711" w:rsidRPr="00C60205" w14:paraId="7D399902" w14:textId="77777777" w:rsidTr="00B95B30">
        <w:trPr>
          <w:trHeight w:val="77"/>
        </w:trPr>
        <w:tc>
          <w:tcPr>
            <w:tcW w:w="843" w:type="pct"/>
            <w:shd w:val="clear" w:color="auto" w:fill="FFFFFF"/>
            <w:vAlign w:val="center"/>
          </w:tcPr>
          <w:p w14:paraId="7D3998FE" w14:textId="77777777" w:rsidR="00E03711" w:rsidRPr="00F769E0" w:rsidRDefault="00E03711" w:rsidP="00C71863">
            <w:pPr>
              <w:pStyle w:val="GUIDE-NORMAL"/>
              <w:spacing w:before="60" w:after="60"/>
              <w:jc w:val="left"/>
              <w:rPr>
                <w:rFonts w:cs="Tahoma"/>
                <w:b/>
                <w:lang w:val="sl-SI" w:eastAsia="en-GB"/>
              </w:rPr>
            </w:pPr>
            <w:r w:rsidRPr="00F769E0">
              <w:rPr>
                <w:rFonts w:cs="Tahoma"/>
                <w:b/>
                <w:lang w:val="sl-SI" w:eastAsia="en-GB"/>
              </w:rPr>
              <w:t>Število udeležencev</w:t>
            </w:r>
          </w:p>
        </w:tc>
        <w:tc>
          <w:tcPr>
            <w:tcW w:w="4157" w:type="pct"/>
            <w:shd w:val="clear" w:color="auto" w:fill="FFFFFF"/>
            <w:vAlign w:val="center"/>
          </w:tcPr>
          <w:p w14:paraId="7D3998FF" w14:textId="77777777" w:rsidR="00E03711" w:rsidRPr="00F769E0" w:rsidRDefault="00E03711" w:rsidP="00C71863">
            <w:pPr>
              <w:pStyle w:val="GUIDE-NORMAL"/>
              <w:spacing w:before="60" w:after="60"/>
              <w:jc w:val="left"/>
              <w:rPr>
                <w:rFonts w:cs="Tahoma"/>
                <w:lang w:val="sl-SI" w:eastAsia="en-GB"/>
              </w:rPr>
            </w:pPr>
            <w:r w:rsidRPr="00F769E0">
              <w:rPr>
                <w:rFonts w:cs="Tahoma"/>
                <w:lang w:val="sl-SI" w:eastAsia="en-GB"/>
              </w:rPr>
              <w:t xml:space="preserve">Najmanj 16 in največ 60 udeležencev (vodje skupine niso zajeti). </w:t>
            </w:r>
          </w:p>
          <w:p w14:paraId="7D399900" w14:textId="77777777" w:rsidR="00E03711" w:rsidRPr="00F769E0" w:rsidRDefault="00E03711" w:rsidP="00C71863">
            <w:pPr>
              <w:pStyle w:val="GUIDE-NORMAL"/>
              <w:spacing w:before="60" w:after="60"/>
              <w:jc w:val="left"/>
              <w:rPr>
                <w:rFonts w:cs="Tahoma"/>
                <w:lang w:val="sl-SI" w:eastAsia="en-GB"/>
              </w:rPr>
            </w:pPr>
            <w:r w:rsidRPr="00F769E0">
              <w:rPr>
                <w:rFonts w:cs="Tahoma"/>
                <w:lang w:val="sl-SI" w:eastAsia="en-GB"/>
              </w:rPr>
              <w:t>Najmanj 4 udeleženci na skupino (vodje skupine niso zajeti).</w:t>
            </w:r>
          </w:p>
          <w:p w14:paraId="7D399901" w14:textId="77777777" w:rsidR="00E03711" w:rsidRPr="00F769E0" w:rsidRDefault="00E03711" w:rsidP="008E4211">
            <w:pPr>
              <w:pStyle w:val="GUIDE-NORMAL"/>
              <w:spacing w:before="60" w:after="60"/>
              <w:rPr>
                <w:rFonts w:cs="Tahoma"/>
                <w:lang w:val="sl-SI" w:eastAsia="en-GB"/>
              </w:rPr>
            </w:pPr>
            <w:r w:rsidRPr="00F769E0">
              <w:rPr>
                <w:rFonts w:cs="Tahoma"/>
                <w:lang w:val="sl-SI" w:eastAsia="en-GB"/>
              </w:rPr>
              <w:t>Vsaka nacionalna skupina mora imeti vsaj enega vodjo skupine. Vodja skupine je odrasla oseba, ki se pridruži mladim, ki sodelujejo v mladinski izmenjavi, da zagotovi njihovo učinkovito učenje, zaščito in varnost.</w:t>
            </w:r>
          </w:p>
        </w:tc>
      </w:tr>
    </w:tbl>
    <w:p w14:paraId="7D399903" w14:textId="77777777" w:rsidR="00E03711" w:rsidRPr="001048FE" w:rsidRDefault="00E03711" w:rsidP="008E4211">
      <w:pPr>
        <w:pStyle w:val="Guide-Heading6"/>
        <w:rPr>
          <w:lang w:val="sl-SI"/>
        </w:rPr>
      </w:pPr>
      <w:r w:rsidRPr="001048FE">
        <w:rPr>
          <w:lang w:val="sl-SI"/>
        </w:rPr>
        <w:t>Dodatna merila za upravičenost za prostovoljske aktivnosti</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66"/>
        <w:gridCol w:w="7724"/>
      </w:tblGrid>
      <w:tr w:rsidR="00E03711" w:rsidRPr="00C60205" w14:paraId="7D399906" w14:textId="77777777" w:rsidTr="002D61D6">
        <w:trPr>
          <w:trHeight w:val="20"/>
        </w:trPr>
        <w:tc>
          <w:tcPr>
            <w:tcW w:w="843" w:type="pct"/>
            <w:shd w:val="clear" w:color="auto" w:fill="FFFFFF"/>
            <w:vAlign w:val="center"/>
          </w:tcPr>
          <w:p w14:paraId="7D399904" w14:textId="77777777" w:rsidR="00E03711" w:rsidRPr="00F769E0" w:rsidRDefault="00E03711" w:rsidP="008E4211">
            <w:pPr>
              <w:pStyle w:val="Guide-Table"/>
              <w:spacing w:before="60" w:after="60"/>
              <w:jc w:val="left"/>
              <w:rPr>
                <w:rFonts w:cs="Tahoma"/>
                <w:b/>
                <w:lang w:val="sl-SI" w:eastAsia="en-GB"/>
              </w:rPr>
            </w:pPr>
            <w:r w:rsidRPr="00F769E0">
              <w:rPr>
                <w:rFonts w:cs="Tahoma"/>
                <w:b/>
                <w:lang w:val="sl-SI" w:eastAsia="en-GB"/>
              </w:rPr>
              <w:t>Akreditacija</w:t>
            </w:r>
          </w:p>
        </w:tc>
        <w:tc>
          <w:tcPr>
            <w:tcW w:w="4157" w:type="pct"/>
            <w:shd w:val="clear" w:color="auto" w:fill="FFFFFF"/>
            <w:vAlign w:val="center"/>
          </w:tcPr>
          <w:p w14:paraId="7D399905" w14:textId="77777777" w:rsidR="00E03711" w:rsidRPr="00F769E0" w:rsidRDefault="00E03711">
            <w:pPr>
              <w:pStyle w:val="GUIDE-NORMAL"/>
              <w:spacing w:before="60" w:after="60"/>
              <w:rPr>
                <w:rFonts w:cs="Tahoma"/>
                <w:lang w:val="sl-SI" w:eastAsia="en-GB"/>
              </w:rPr>
            </w:pPr>
            <w:r w:rsidRPr="00F769E0">
              <w:rPr>
                <w:rFonts w:cs="Tahoma"/>
                <w:lang w:val="sl-SI" w:eastAsia="en-GB"/>
              </w:rPr>
              <w:t xml:space="preserve">Vse sodelujoče organizacije s sedežem v državi Programa ali v eni od </w:t>
            </w:r>
            <w:r>
              <w:rPr>
                <w:rFonts w:cs="Tahoma"/>
                <w:lang w:val="sl-SI" w:eastAsia="en-GB"/>
              </w:rPr>
              <w:t>držav Zahodnega Balkana (Regija 1) ali v regiji 3</w:t>
            </w:r>
            <w:r w:rsidRPr="00F769E0">
              <w:rPr>
                <w:rFonts w:cs="Tahoma"/>
                <w:lang w:val="sl-SI" w:eastAsia="en-GB"/>
              </w:rPr>
              <w:t>, morajo na zadevni dan roka za oddajo vloge imeti veljavno akreditacijo oziroma veljavno oznako European Solidarity Corps za kakovost (za več informacij glej zadevno poglavje v Prilogi I k temu vodniku).</w:t>
            </w:r>
          </w:p>
        </w:tc>
      </w:tr>
      <w:tr w:rsidR="00E03711" w:rsidRPr="008C6F8C" w14:paraId="7D399909" w14:textId="77777777" w:rsidTr="002D61D6">
        <w:trPr>
          <w:trHeight w:val="20"/>
        </w:trPr>
        <w:tc>
          <w:tcPr>
            <w:tcW w:w="843" w:type="pct"/>
            <w:shd w:val="clear" w:color="auto" w:fill="FFFFFF"/>
            <w:vAlign w:val="center"/>
          </w:tcPr>
          <w:p w14:paraId="7D399907" w14:textId="77777777" w:rsidR="00E03711" w:rsidRPr="00F769E0" w:rsidRDefault="00E03711" w:rsidP="008E4211">
            <w:pPr>
              <w:pStyle w:val="Guide-Table"/>
              <w:spacing w:before="60" w:after="60"/>
              <w:jc w:val="left"/>
              <w:rPr>
                <w:rFonts w:cs="Tahoma"/>
                <w:b/>
                <w:lang w:val="sl-SI" w:eastAsia="en-GB"/>
              </w:rPr>
            </w:pPr>
            <w:r w:rsidRPr="00F769E0">
              <w:rPr>
                <w:rFonts w:cs="Tahoma"/>
                <w:b/>
                <w:lang w:val="sl-SI" w:eastAsia="en-GB"/>
              </w:rPr>
              <w:t>Trajanje aktivnosti</w:t>
            </w:r>
          </w:p>
        </w:tc>
        <w:tc>
          <w:tcPr>
            <w:tcW w:w="4157" w:type="pct"/>
            <w:shd w:val="clear" w:color="auto" w:fill="FFFFFF"/>
            <w:vAlign w:val="center"/>
          </w:tcPr>
          <w:p w14:paraId="7D399908" w14:textId="77777777" w:rsidR="00E03711" w:rsidRPr="00F769E0" w:rsidRDefault="00E03711" w:rsidP="008E4211">
            <w:pPr>
              <w:pStyle w:val="GUIDE-NORMAL"/>
              <w:spacing w:before="60" w:after="60"/>
              <w:rPr>
                <w:rFonts w:cs="Tahoma"/>
                <w:lang w:val="sl-SI" w:eastAsia="en-GB"/>
              </w:rPr>
            </w:pPr>
            <w:r w:rsidRPr="00F769E0">
              <w:rPr>
                <w:rFonts w:cs="Tahoma"/>
                <w:lang w:val="sl-SI" w:eastAsia="en-GB"/>
              </w:rPr>
              <w:t>od 60 dni do 12 mesecev.</w:t>
            </w:r>
          </w:p>
        </w:tc>
      </w:tr>
      <w:tr w:rsidR="00E03711" w:rsidRPr="00C60205" w14:paraId="7D39990D" w14:textId="77777777" w:rsidTr="002D61D6">
        <w:trPr>
          <w:trHeight w:val="20"/>
        </w:trPr>
        <w:tc>
          <w:tcPr>
            <w:tcW w:w="843" w:type="pct"/>
            <w:shd w:val="clear" w:color="auto" w:fill="FFFFFF"/>
            <w:vAlign w:val="center"/>
          </w:tcPr>
          <w:p w14:paraId="7D39990A" w14:textId="77777777" w:rsidR="00E03711" w:rsidRPr="00F769E0" w:rsidRDefault="00E03711" w:rsidP="008E4211">
            <w:pPr>
              <w:pStyle w:val="Guide-Table"/>
              <w:spacing w:before="60" w:after="60"/>
              <w:jc w:val="left"/>
              <w:rPr>
                <w:rFonts w:cs="Tahoma"/>
                <w:b/>
                <w:lang w:val="sl-SI" w:eastAsia="en-GB"/>
              </w:rPr>
            </w:pPr>
            <w:r w:rsidRPr="00F769E0">
              <w:rPr>
                <w:rFonts w:cs="Tahoma"/>
                <w:b/>
                <w:lang w:val="sl-SI" w:eastAsia="en-GB"/>
              </w:rPr>
              <w:t>Kraji izvajanja aktivnosti</w:t>
            </w:r>
          </w:p>
        </w:tc>
        <w:tc>
          <w:tcPr>
            <w:tcW w:w="4157" w:type="pct"/>
            <w:shd w:val="clear" w:color="auto" w:fill="FFFFFF"/>
            <w:vAlign w:val="center"/>
          </w:tcPr>
          <w:p w14:paraId="7D39990B" w14:textId="77777777" w:rsidR="00E03711" w:rsidRPr="00F769E0" w:rsidRDefault="00E03711" w:rsidP="008E4211">
            <w:pPr>
              <w:pStyle w:val="GUIDE-NORMAL"/>
              <w:spacing w:before="60" w:after="60"/>
              <w:rPr>
                <w:rFonts w:cs="Tahoma"/>
                <w:lang w:val="sl-SI" w:eastAsia="en-GB"/>
              </w:rPr>
            </w:pPr>
            <w:r w:rsidRPr="00F769E0">
              <w:rPr>
                <w:rFonts w:cs="Tahoma"/>
                <w:b/>
                <w:lang w:val="sl-SI" w:eastAsia="en-GB"/>
              </w:rPr>
              <w:t>Prostovoljec iz države Programa</w:t>
            </w:r>
            <w:r w:rsidRPr="00F769E0">
              <w:rPr>
                <w:rFonts w:cs="Tahoma"/>
                <w:lang w:val="sl-SI" w:eastAsia="en-GB"/>
              </w:rPr>
              <w:t xml:space="preserve"> mora opraviti svojo aktivnost v eni od partnerskih držav, ki sodelujejo v projektu.</w:t>
            </w:r>
          </w:p>
          <w:p w14:paraId="7D39990C" w14:textId="77777777" w:rsidR="00E03711" w:rsidRPr="00F769E0" w:rsidRDefault="00E03711" w:rsidP="008E4211">
            <w:pPr>
              <w:pStyle w:val="GUIDE-NORMAL"/>
              <w:spacing w:before="60" w:after="60"/>
              <w:rPr>
                <w:rFonts w:cs="Tahoma"/>
                <w:lang w:val="sl-SI" w:eastAsia="en-GB"/>
              </w:rPr>
            </w:pPr>
            <w:r w:rsidRPr="00F769E0">
              <w:rPr>
                <w:rFonts w:cs="Tahoma"/>
                <w:b/>
                <w:lang w:val="sl-SI" w:eastAsia="en-GB"/>
              </w:rPr>
              <w:t>Prostovoljec iz upravičene partnerske države</w:t>
            </w:r>
            <w:r w:rsidRPr="00F769E0">
              <w:rPr>
                <w:rFonts w:cs="Tahoma"/>
                <w:lang w:val="sl-SI" w:eastAsia="en-GB"/>
              </w:rPr>
              <w:t xml:space="preserve"> mora opraviti svojo aktivnost v eni od držav Programa, ki sodelujejo v projektu.</w:t>
            </w:r>
          </w:p>
        </w:tc>
      </w:tr>
      <w:tr w:rsidR="00E03711" w:rsidRPr="00C60205" w14:paraId="7D399911" w14:textId="77777777" w:rsidTr="002D61D6">
        <w:trPr>
          <w:trHeight w:val="20"/>
        </w:trPr>
        <w:tc>
          <w:tcPr>
            <w:tcW w:w="843" w:type="pct"/>
            <w:shd w:val="clear" w:color="auto" w:fill="FFFFFF"/>
            <w:vAlign w:val="center"/>
          </w:tcPr>
          <w:p w14:paraId="7D39990E" w14:textId="77777777" w:rsidR="00E03711" w:rsidRPr="00F769E0" w:rsidRDefault="00E03711" w:rsidP="008E4211">
            <w:pPr>
              <w:pStyle w:val="Guide-Table"/>
              <w:spacing w:before="60" w:after="60"/>
              <w:jc w:val="left"/>
              <w:rPr>
                <w:rFonts w:cs="Tahoma"/>
                <w:b/>
                <w:lang w:val="sl-SI" w:eastAsia="en-GB"/>
              </w:rPr>
            </w:pPr>
            <w:r w:rsidRPr="00F769E0">
              <w:rPr>
                <w:rFonts w:cs="Tahoma"/>
                <w:b/>
                <w:lang w:val="sl-SI" w:eastAsia="en-GB"/>
              </w:rPr>
              <w:t>Upravičeni udeleženci</w:t>
            </w:r>
          </w:p>
        </w:tc>
        <w:tc>
          <w:tcPr>
            <w:tcW w:w="4157" w:type="pct"/>
            <w:shd w:val="clear" w:color="auto" w:fill="FFFFFF"/>
            <w:vAlign w:val="center"/>
          </w:tcPr>
          <w:p w14:paraId="7D39990F" w14:textId="77777777" w:rsidR="00E03711" w:rsidRPr="00F769E0" w:rsidRDefault="00E03711" w:rsidP="008E4211">
            <w:pPr>
              <w:pStyle w:val="GUIDE-NORMAL"/>
              <w:spacing w:before="60" w:after="60"/>
              <w:rPr>
                <w:rFonts w:cs="Tahoma"/>
                <w:lang w:val="sl-SI" w:eastAsia="en-GB"/>
              </w:rPr>
            </w:pPr>
            <w:r w:rsidRPr="00F769E0">
              <w:rPr>
                <w:rFonts w:cs="Tahoma"/>
                <w:lang w:val="sl-SI" w:eastAsia="en-GB"/>
              </w:rPr>
              <w:t>Mladi, stari od 17 do 30 let</w:t>
            </w:r>
            <w:r w:rsidRPr="00F769E0">
              <w:rPr>
                <w:rStyle w:val="FootnoteReference"/>
                <w:rFonts w:cs="Tahoma"/>
                <w:lang w:val="sl-SI" w:eastAsia="en-GB"/>
              </w:rPr>
              <w:footnoteReference w:id="219"/>
            </w:r>
            <w:r w:rsidRPr="00F769E0">
              <w:rPr>
                <w:rFonts w:cs="Tahoma"/>
                <w:lang w:val="sl-SI" w:eastAsia="en-GB"/>
              </w:rPr>
              <w:t xml:space="preserve">, ki živijo v državi organizacije pošiljateljice. Prostovoljec lahko sodeluje samo v eni prostovoljski aktivnosti Erasmus+ ali European Solidarity Corps. </w:t>
            </w:r>
          </w:p>
          <w:p w14:paraId="7D399910" w14:textId="77777777" w:rsidR="00E03711" w:rsidRPr="00F769E0" w:rsidRDefault="00E03711" w:rsidP="008E4211">
            <w:pPr>
              <w:pStyle w:val="GUIDE-NORMAL"/>
              <w:spacing w:before="60" w:after="60"/>
              <w:rPr>
                <w:rFonts w:cs="Tahoma"/>
                <w:lang w:val="sl-SI" w:eastAsia="en-GB"/>
              </w:rPr>
            </w:pPr>
            <w:r w:rsidRPr="00F769E0">
              <w:rPr>
                <w:rFonts w:cs="Tahoma"/>
                <w:b/>
                <w:lang w:val="sl-SI" w:eastAsia="en-GB"/>
              </w:rPr>
              <w:t>Izjema:</w:t>
            </w:r>
            <w:r w:rsidRPr="00F769E0">
              <w:rPr>
                <w:rFonts w:cs="Tahoma"/>
                <w:lang w:val="sl-SI" w:eastAsia="en-GB"/>
              </w:rPr>
              <w:t xml:space="preserve"> Prostovoljci, ki so opravili prostovoljsko aktivnost, ki je trajala največ 2 meseca, se lahko udeležijo dodatne prostovoljske aktivnosti.</w:t>
            </w:r>
          </w:p>
        </w:tc>
      </w:tr>
      <w:tr w:rsidR="00E03711" w:rsidRPr="00C60205" w14:paraId="7D399914" w14:textId="77777777" w:rsidTr="002D61D6">
        <w:trPr>
          <w:trHeight w:val="20"/>
        </w:trPr>
        <w:tc>
          <w:tcPr>
            <w:tcW w:w="843" w:type="pct"/>
            <w:shd w:val="clear" w:color="auto" w:fill="FFFFFF"/>
            <w:vAlign w:val="center"/>
          </w:tcPr>
          <w:p w14:paraId="7D399912" w14:textId="77777777" w:rsidR="00E03711" w:rsidRPr="00F769E0" w:rsidRDefault="00E03711" w:rsidP="008E4211">
            <w:pPr>
              <w:pStyle w:val="Guide-Table"/>
              <w:spacing w:before="60" w:after="60"/>
              <w:jc w:val="left"/>
              <w:rPr>
                <w:rFonts w:cs="Tahoma"/>
                <w:b/>
                <w:lang w:val="sl-SI" w:eastAsia="en-GB"/>
              </w:rPr>
            </w:pPr>
            <w:r w:rsidRPr="00F769E0">
              <w:rPr>
                <w:rFonts w:cs="Tahoma"/>
                <w:b/>
                <w:lang w:val="sl-SI" w:eastAsia="en-GB"/>
              </w:rPr>
              <w:t>Število udeležencev</w:t>
            </w:r>
          </w:p>
        </w:tc>
        <w:tc>
          <w:tcPr>
            <w:tcW w:w="4157" w:type="pct"/>
            <w:shd w:val="clear" w:color="auto" w:fill="FFFFFF"/>
            <w:vAlign w:val="center"/>
          </w:tcPr>
          <w:p w14:paraId="7D399913" w14:textId="77777777" w:rsidR="00E03711" w:rsidRPr="00F769E0" w:rsidRDefault="00E03711" w:rsidP="008E4211">
            <w:pPr>
              <w:pStyle w:val="GUIDE-NORMAL"/>
              <w:spacing w:before="60" w:after="60"/>
              <w:rPr>
                <w:rFonts w:cs="Tahoma"/>
                <w:lang w:val="sl-SI" w:eastAsia="en-GB"/>
              </w:rPr>
            </w:pPr>
            <w:r w:rsidRPr="00F769E0">
              <w:rPr>
                <w:rFonts w:cs="Tahoma"/>
                <w:lang w:val="sl-SI" w:eastAsia="en-GB"/>
              </w:rPr>
              <w:t>Največ 30 prostovoljcev za celotni projekt krepitve zmogljivosti.</w:t>
            </w:r>
          </w:p>
        </w:tc>
      </w:tr>
    </w:tbl>
    <w:p w14:paraId="7D399915" w14:textId="77777777" w:rsidR="00E03711" w:rsidRPr="001048FE" w:rsidRDefault="00E03711" w:rsidP="008E4211">
      <w:pPr>
        <w:pStyle w:val="Guide-Heading6"/>
        <w:rPr>
          <w:lang w:val="sl-SI"/>
        </w:rPr>
      </w:pPr>
      <w:bookmarkStart w:id="258" w:name="Critères_d’admissibilité_supplémentaires"/>
      <w:bookmarkEnd w:id="258"/>
      <w:r w:rsidRPr="001048FE">
        <w:rPr>
          <w:lang w:val="sl-SI"/>
        </w:rPr>
        <w:t xml:space="preserve">Dodatna merila za upravičenost za mobilnost mladinskih delavcev </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68"/>
        <w:gridCol w:w="7722"/>
      </w:tblGrid>
      <w:tr w:rsidR="00E03711" w:rsidRPr="00C60205" w14:paraId="7D399918" w14:textId="77777777" w:rsidTr="002D61D6">
        <w:trPr>
          <w:cantSplit/>
          <w:trHeight w:val="170"/>
        </w:trPr>
        <w:tc>
          <w:tcPr>
            <w:tcW w:w="844" w:type="pct"/>
            <w:shd w:val="clear" w:color="auto" w:fill="FFFFFF"/>
            <w:vAlign w:val="center"/>
          </w:tcPr>
          <w:p w14:paraId="7D399916" w14:textId="77777777" w:rsidR="00E03711" w:rsidRPr="00F769E0" w:rsidRDefault="00E03711" w:rsidP="008E4211">
            <w:pPr>
              <w:pStyle w:val="GUIDE-NORMAL"/>
              <w:spacing w:before="60" w:after="60"/>
              <w:jc w:val="left"/>
              <w:rPr>
                <w:rFonts w:cs="Tahoma"/>
                <w:b/>
                <w:lang w:val="sl-SI" w:eastAsia="en-GB"/>
              </w:rPr>
            </w:pPr>
            <w:r w:rsidRPr="00F769E0">
              <w:rPr>
                <w:rFonts w:cs="Tahoma"/>
                <w:b/>
                <w:lang w:val="sl-SI" w:eastAsia="en-GB"/>
              </w:rPr>
              <w:t>Trajanje aktivnosti</w:t>
            </w:r>
          </w:p>
        </w:tc>
        <w:tc>
          <w:tcPr>
            <w:tcW w:w="4156" w:type="pct"/>
            <w:shd w:val="clear" w:color="auto" w:fill="FFFFFF"/>
            <w:vAlign w:val="center"/>
          </w:tcPr>
          <w:p w14:paraId="7D399917" w14:textId="77777777" w:rsidR="00E03711" w:rsidRPr="00F769E0" w:rsidRDefault="00E03711" w:rsidP="008E4211">
            <w:pPr>
              <w:pStyle w:val="GUIDE-NORMAL"/>
              <w:spacing w:before="60" w:after="60"/>
              <w:jc w:val="left"/>
              <w:rPr>
                <w:rFonts w:cs="Tahoma"/>
                <w:lang w:val="sl-SI" w:eastAsia="en-GB"/>
              </w:rPr>
            </w:pPr>
            <w:r w:rsidRPr="00F769E0">
              <w:rPr>
                <w:rFonts w:cs="Tahoma"/>
                <w:lang w:val="sl-SI" w:eastAsia="en-GB"/>
              </w:rPr>
              <w:t>Od 5 dni do 2 mesecev, v kar ni zajet čas poti.</w:t>
            </w:r>
          </w:p>
        </w:tc>
      </w:tr>
      <w:tr w:rsidR="00E03711" w:rsidRPr="00C60205" w14:paraId="7D39991B" w14:textId="77777777" w:rsidTr="002D61D6">
        <w:trPr>
          <w:cantSplit/>
          <w:trHeight w:val="170"/>
        </w:trPr>
        <w:tc>
          <w:tcPr>
            <w:tcW w:w="844" w:type="pct"/>
            <w:shd w:val="clear" w:color="auto" w:fill="FFFFFF"/>
            <w:vAlign w:val="center"/>
          </w:tcPr>
          <w:p w14:paraId="7D399919" w14:textId="77777777" w:rsidR="00E03711" w:rsidRPr="00F769E0" w:rsidRDefault="00E03711" w:rsidP="008E4211">
            <w:pPr>
              <w:pStyle w:val="GUIDE-NORMAL"/>
              <w:spacing w:before="60" w:after="60"/>
              <w:jc w:val="left"/>
              <w:rPr>
                <w:rFonts w:cs="Tahoma"/>
                <w:b/>
                <w:lang w:val="sl-SI" w:eastAsia="en-GB"/>
              </w:rPr>
            </w:pPr>
            <w:r w:rsidRPr="00F769E0">
              <w:rPr>
                <w:rFonts w:cs="Tahoma"/>
                <w:b/>
                <w:lang w:val="sl-SI" w:eastAsia="en-GB"/>
              </w:rPr>
              <w:t>Kraji izvajanja aktivnosti</w:t>
            </w:r>
          </w:p>
        </w:tc>
        <w:tc>
          <w:tcPr>
            <w:tcW w:w="4156" w:type="pct"/>
            <w:shd w:val="clear" w:color="auto" w:fill="FFFFFF"/>
            <w:vAlign w:val="center"/>
          </w:tcPr>
          <w:p w14:paraId="7D39991A" w14:textId="77777777" w:rsidR="00E03711" w:rsidRPr="00F769E0" w:rsidRDefault="00E03711" w:rsidP="008E4211">
            <w:pPr>
              <w:pStyle w:val="GUIDE-NORMAL"/>
              <w:spacing w:before="60" w:after="60"/>
              <w:jc w:val="left"/>
              <w:rPr>
                <w:rFonts w:cs="Tahoma"/>
                <w:lang w:val="sl-SI" w:eastAsia="en-GB"/>
              </w:rPr>
            </w:pPr>
            <w:r w:rsidRPr="00F769E0">
              <w:rPr>
                <w:rFonts w:cs="Tahoma"/>
                <w:lang w:val="sl-SI" w:eastAsia="en-GB"/>
              </w:rPr>
              <w:t>Aktivnost se mora izvajati v državi ene od organizacij, ki sodelujejo v aktivnosti.</w:t>
            </w:r>
          </w:p>
        </w:tc>
      </w:tr>
      <w:tr w:rsidR="00E03711" w:rsidRPr="00C60205" w14:paraId="7D39991F" w14:textId="77777777" w:rsidTr="002D61D6">
        <w:trPr>
          <w:cantSplit/>
          <w:trHeight w:val="170"/>
        </w:trPr>
        <w:tc>
          <w:tcPr>
            <w:tcW w:w="844" w:type="pct"/>
            <w:shd w:val="clear" w:color="auto" w:fill="FFFFFF"/>
            <w:vAlign w:val="center"/>
          </w:tcPr>
          <w:p w14:paraId="7D39991C" w14:textId="77777777" w:rsidR="00E03711" w:rsidRPr="00F769E0" w:rsidRDefault="00E03711" w:rsidP="008E4211">
            <w:pPr>
              <w:pStyle w:val="GUIDE-NORMAL"/>
              <w:spacing w:before="60" w:after="60"/>
              <w:jc w:val="left"/>
              <w:rPr>
                <w:rFonts w:cs="Tahoma"/>
                <w:b/>
                <w:lang w:val="sl-SI" w:eastAsia="en-GB"/>
              </w:rPr>
            </w:pPr>
            <w:r w:rsidRPr="00F769E0">
              <w:rPr>
                <w:rFonts w:cs="Tahoma"/>
                <w:b/>
                <w:lang w:val="sl-SI" w:eastAsia="en-GB"/>
              </w:rPr>
              <w:t>Upravičeni udeleženci</w:t>
            </w:r>
          </w:p>
        </w:tc>
        <w:tc>
          <w:tcPr>
            <w:tcW w:w="4156" w:type="pct"/>
            <w:shd w:val="clear" w:color="auto" w:fill="FFFFFF"/>
            <w:vAlign w:val="center"/>
          </w:tcPr>
          <w:p w14:paraId="7D39991D" w14:textId="77777777" w:rsidR="00E03711" w:rsidRDefault="00E03711" w:rsidP="008E4211">
            <w:pPr>
              <w:pStyle w:val="GUIDE-NORMAL"/>
              <w:spacing w:before="60" w:after="60"/>
              <w:jc w:val="left"/>
              <w:rPr>
                <w:rFonts w:eastAsia="Calibri" w:cs="Calibri"/>
                <w:bdr w:val="nil"/>
                <w:shd w:val="clear" w:color="auto" w:fill="auto"/>
                <w:lang w:val="sl-SI"/>
              </w:rPr>
            </w:pPr>
            <w:r w:rsidRPr="00FC4A70">
              <w:rPr>
                <w:rFonts w:eastAsia="Calibri" w:cs="Calibri"/>
                <w:bdr w:val="nil"/>
                <w:shd w:val="clear" w:color="auto" w:fill="auto"/>
                <w:lang w:val="sl-SI"/>
              </w:rPr>
              <w:t>Udeleženci morajo biti stari najmanj 18 let. Navzgor ni starostnih omejitev.</w:t>
            </w:r>
            <w:r>
              <w:rPr>
                <w:rFonts w:eastAsia="Calibri" w:cs="Calibri"/>
                <w:bdr w:val="nil"/>
                <w:shd w:val="clear" w:color="auto" w:fill="auto"/>
                <w:lang w:val="sl-SI"/>
              </w:rPr>
              <w:t xml:space="preserve"> </w:t>
            </w:r>
          </w:p>
          <w:p w14:paraId="7D39991E" w14:textId="77777777" w:rsidR="00E03711" w:rsidRPr="00F769E0" w:rsidRDefault="00E03711" w:rsidP="008E4211">
            <w:pPr>
              <w:pStyle w:val="GUIDE-NORMAL"/>
              <w:spacing w:before="60" w:after="60"/>
              <w:jc w:val="left"/>
              <w:rPr>
                <w:rFonts w:cs="Tahoma"/>
                <w:lang w:val="sl-SI" w:eastAsia="en-GB"/>
              </w:rPr>
            </w:pPr>
            <w:r w:rsidRPr="00F769E0">
              <w:rPr>
                <w:rFonts w:cs="Tahoma"/>
                <w:lang w:val="sl-SI" w:eastAsia="en-GB"/>
              </w:rPr>
              <w:t>Udeleženci, razen vodij usposabljanj in pomočnikov, morajo biti iz države njihove organizacije pošiljateljice ali gostiteljice.</w:t>
            </w:r>
          </w:p>
        </w:tc>
      </w:tr>
      <w:tr w:rsidR="00E03711" w:rsidRPr="00C60205" w14:paraId="7D399922" w14:textId="77777777" w:rsidTr="002D61D6">
        <w:trPr>
          <w:cantSplit/>
          <w:trHeight w:val="170"/>
        </w:trPr>
        <w:tc>
          <w:tcPr>
            <w:tcW w:w="844" w:type="pct"/>
            <w:shd w:val="clear" w:color="auto" w:fill="FFFFFF"/>
            <w:vAlign w:val="center"/>
          </w:tcPr>
          <w:p w14:paraId="7D399920" w14:textId="77777777" w:rsidR="00E03711" w:rsidRPr="00F769E0" w:rsidRDefault="00E03711" w:rsidP="008E4211">
            <w:pPr>
              <w:pStyle w:val="GUIDE-NORMAL"/>
              <w:spacing w:before="60" w:after="60"/>
              <w:jc w:val="left"/>
              <w:rPr>
                <w:rFonts w:cs="Tahoma"/>
                <w:b/>
                <w:lang w:val="sl-SI" w:eastAsia="en-GB"/>
              </w:rPr>
            </w:pPr>
            <w:r w:rsidRPr="00F769E0">
              <w:rPr>
                <w:rFonts w:cs="Tahoma"/>
                <w:b/>
                <w:lang w:val="sl-SI" w:eastAsia="en-GB"/>
              </w:rPr>
              <w:t>Število udeležencev</w:t>
            </w:r>
          </w:p>
        </w:tc>
        <w:tc>
          <w:tcPr>
            <w:tcW w:w="4156" w:type="pct"/>
            <w:shd w:val="clear" w:color="auto" w:fill="FFFFFF"/>
            <w:vAlign w:val="center"/>
          </w:tcPr>
          <w:p w14:paraId="7D399921" w14:textId="77777777" w:rsidR="00E03711" w:rsidRPr="00F769E0" w:rsidRDefault="00E03711" w:rsidP="008E4211">
            <w:pPr>
              <w:pStyle w:val="GUIDE-NORMAL"/>
              <w:spacing w:before="60" w:after="60"/>
              <w:jc w:val="left"/>
              <w:rPr>
                <w:rFonts w:cs="Tahoma"/>
                <w:lang w:val="sl-SI" w:eastAsia="en-GB"/>
              </w:rPr>
            </w:pPr>
            <w:r w:rsidRPr="00F769E0">
              <w:rPr>
                <w:rFonts w:cs="Tahoma"/>
                <w:lang w:val="sl-SI" w:eastAsia="en-GB"/>
              </w:rPr>
              <w:t>Največ 50 udeležencev (kamor so po potrebi zajeti vodje usposabljanj in pomočniki) za posamezno aktivnost, načrtovano s projektom.</w:t>
            </w:r>
          </w:p>
        </w:tc>
      </w:tr>
    </w:tbl>
    <w:p w14:paraId="7D399923" w14:textId="77777777" w:rsidR="00E03711" w:rsidRPr="001048FE" w:rsidRDefault="00E03711" w:rsidP="008E4211">
      <w:pPr>
        <w:pStyle w:val="GUIDE-NORMAL"/>
        <w:rPr>
          <w:sz w:val="24"/>
          <w:lang w:val="sl-SI"/>
        </w:rPr>
      </w:pPr>
      <w:r w:rsidRPr="001048FE">
        <w:rPr>
          <w:lang w:val="sl-SI"/>
        </w:rPr>
        <w:t xml:space="preserve">Organizacije prijaviteljice bodo ocenjene z ustreznimi </w:t>
      </w:r>
      <w:r w:rsidRPr="001048FE">
        <w:rPr>
          <w:b/>
          <w:lang w:val="sl-SI"/>
        </w:rPr>
        <w:t>merili za izključitev in izbor</w:t>
      </w:r>
      <w:r w:rsidRPr="001048FE">
        <w:rPr>
          <w:lang w:val="sl-SI"/>
        </w:rPr>
        <w:t>. Za več informacij glej del C tega vodnika.</w:t>
      </w:r>
    </w:p>
    <w:p w14:paraId="7D399924" w14:textId="77777777" w:rsidR="00E03711" w:rsidRPr="001048FE" w:rsidRDefault="00E03711" w:rsidP="008E4211">
      <w:pPr>
        <w:pStyle w:val="Guide-Heading6"/>
        <w:rPr>
          <w:lang w:val="sl-SI"/>
        </w:rPr>
      </w:pPr>
      <w:r w:rsidRPr="001048FE">
        <w:rPr>
          <w:lang w:val="sl-SI"/>
        </w:rPr>
        <w:t>Merila za dodelitev</w:t>
      </w:r>
    </w:p>
    <w:p w14:paraId="7D399925" w14:textId="77777777" w:rsidR="00E03711" w:rsidRPr="001048FE" w:rsidRDefault="00E03711" w:rsidP="008E4211">
      <w:pPr>
        <w:pStyle w:val="GUIDE-NORMAL"/>
        <w:rPr>
          <w:lang w:val="sl-SI"/>
        </w:rPr>
      </w:pPr>
      <w:r w:rsidRPr="001048FE">
        <w:rPr>
          <w:lang w:val="sl-SI"/>
        </w:rPr>
        <w:t>Projekt bo ocenjen z naslednjimi merili:</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Look w:val="0000" w:firstRow="0" w:lastRow="0" w:firstColumn="0" w:lastColumn="0" w:noHBand="0" w:noVBand="0"/>
      </w:tblPr>
      <w:tblGrid>
        <w:gridCol w:w="1568"/>
        <w:gridCol w:w="7722"/>
      </w:tblGrid>
      <w:tr w:rsidR="00E03711" w:rsidRPr="00C60205" w14:paraId="7D39992D" w14:textId="77777777" w:rsidTr="00573DF4">
        <w:trPr>
          <w:cantSplit/>
          <w:trHeight w:val="20"/>
        </w:trPr>
        <w:tc>
          <w:tcPr>
            <w:tcW w:w="844" w:type="pct"/>
            <w:shd w:val="clear" w:color="auto" w:fill="FFFFFF"/>
            <w:vAlign w:val="center"/>
          </w:tcPr>
          <w:p w14:paraId="7D399926" w14:textId="77777777" w:rsidR="00E03711" w:rsidRPr="00F769E0" w:rsidRDefault="00E03711" w:rsidP="00CC734C">
            <w:pPr>
              <w:pStyle w:val="GUIDE-NORMAL"/>
              <w:spacing w:before="60" w:after="60"/>
              <w:jc w:val="left"/>
              <w:rPr>
                <w:rFonts w:cs="Tahoma"/>
                <w:b/>
                <w:lang w:val="sl-SI" w:eastAsia="en-GB"/>
              </w:rPr>
            </w:pPr>
            <w:r w:rsidRPr="00F769E0">
              <w:rPr>
                <w:rFonts w:cs="Tahoma"/>
                <w:b/>
                <w:lang w:val="sl-SI" w:eastAsia="en-GB"/>
              </w:rPr>
              <w:t xml:space="preserve">Ustreznost projekta </w:t>
            </w:r>
            <w:r w:rsidRPr="00F769E0">
              <w:rPr>
                <w:rFonts w:cs="Tahoma"/>
                <w:b/>
                <w:lang w:val="sl-SI" w:eastAsia="en-GB"/>
              </w:rPr>
              <w:br/>
              <w:t>(največ 30 točk):</w:t>
            </w:r>
          </w:p>
        </w:tc>
        <w:tc>
          <w:tcPr>
            <w:tcW w:w="4156" w:type="pct"/>
            <w:shd w:val="clear" w:color="auto" w:fill="FFFFFF"/>
          </w:tcPr>
          <w:p w14:paraId="7D399927" w14:textId="77777777" w:rsidR="00E03711" w:rsidRPr="006E61F8" w:rsidRDefault="00E03711" w:rsidP="005115F2">
            <w:pPr>
              <w:pStyle w:val="Guide-NormalBulletpoints"/>
              <w:numPr>
                <w:ilvl w:val="0"/>
                <w:numId w:val="136"/>
              </w:numPr>
              <w:rPr>
                <w:lang w:val="sl-SI"/>
              </w:rPr>
            </w:pPr>
            <w:r w:rsidRPr="006E61F8">
              <w:rPr>
                <w:lang w:val="sl-SI"/>
              </w:rPr>
              <w:t>ustreznost predloga glede na cilje ukrepa (glej poglavje „Kakšni so cilji projekta krepitve zmogljivosti?“);</w:t>
            </w:r>
          </w:p>
          <w:p w14:paraId="7D399928" w14:textId="77777777" w:rsidR="00E03711" w:rsidRPr="00A3061C" w:rsidRDefault="00E03711" w:rsidP="005115F2">
            <w:pPr>
              <w:pStyle w:val="Guide-NormalBulletpoints"/>
              <w:numPr>
                <w:ilvl w:val="0"/>
                <w:numId w:val="136"/>
              </w:numPr>
            </w:pPr>
            <w:r w:rsidRPr="00A3061C">
              <w:t>v kolikšni meri:</w:t>
            </w:r>
          </w:p>
          <w:p w14:paraId="7D399929" w14:textId="77777777" w:rsidR="00E03711" w:rsidRPr="00395DD2" w:rsidRDefault="00E03711" w:rsidP="00CC734C">
            <w:pPr>
              <w:pStyle w:val="Guide-ListDash"/>
              <w:spacing w:before="60" w:after="60"/>
              <w:rPr>
                <w:lang w:val="sl-SI"/>
              </w:rPr>
            </w:pPr>
            <w:r w:rsidRPr="00395DD2">
              <w:rPr>
                <w:lang w:val="sl-SI"/>
              </w:rPr>
              <w:t>so cilji jasno opredeljeni, realistični in obravnavajo vprašanja, ki so povezana s sodelujočimi organizacijami in ciljnimi skupinami;</w:t>
            </w:r>
          </w:p>
          <w:p w14:paraId="7D39992A" w14:textId="77777777" w:rsidR="00E03711" w:rsidRPr="00395DD2" w:rsidRDefault="00E03711" w:rsidP="00CC734C">
            <w:pPr>
              <w:pStyle w:val="Guide-ListDash"/>
              <w:spacing w:before="60" w:after="60"/>
              <w:rPr>
                <w:lang w:val="sl-SI"/>
              </w:rPr>
            </w:pPr>
            <w:r w:rsidRPr="00395DD2">
              <w:rPr>
                <w:lang w:val="sl-SI"/>
              </w:rPr>
              <w:t>je predlog inovativen in/ali dopolnjuje druge pobude, ki jih že izvajajo sodelujoče organizacije;</w:t>
            </w:r>
          </w:p>
          <w:p w14:paraId="7D39992B" w14:textId="77777777" w:rsidR="00E03711" w:rsidRDefault="00E03711" w:rsidP="00CC734C">
            <w:pPr>
              <w:pStyle w:val="Guide-ListDash"/>
              <w:spacing w:before="60" w:after="60"/>
              <w:rPr>
                <w:lang w:val="sl-SI"/>
              </w:rPr>
            </w:pPr>
            <w:r w:rsidRPr="005404E1">
              <w:rPr>
                <w:lang w:val="sl-SI"/>
              </w:rPr>
              <w:t>so ak</w:t>
            </w:r>
            <w:r w:rsidRPr="009E7AA5">
              <w:rPr>
                <w:lang w:val="sl-SI"/>
              </w:rPr>
              <w:t>tivnosti krepitve zmogljivosti jasno določene in je njihov cilj krepitev zmogljivosti sodelujočih organizacij;</w:t>
            </w:r>
          </w:p>
          <w:p w14:paraId="7D39992C" w14:textId="77777777" w:rsidR="00E03711" w:rsidRPr="006E1B1F" w:rsidRDefault="00E03711" w:rsidP="006E1B1F">
            <w:pPr>
              <w:pStyle w:val="Guide-ListDash"/>
              <w:spacing w:before="60" w:after="60"/>
              <w:rPr>
                <w:lang w:val="sl-SI"/>
              </w:rPr>
            </w:pPr>
            <w:r>
              <w:rPr>
                <w:lang w:val="sl-SI"/>
              </w:rPr>
              <w:t>projekt vključuje mlade z manj priložnostmi.</w:t>
            </w:r>
          </w:p>
        </w:tc>
      </w:tr>
      <w:tr w:rsidR="00E03711" w:rsidRPr="00C60205" w14:paraId="7D399937" w14:textId="77777777" w:rsidTr="00573DF4">
        <w:trPr>
          <w:cantSplit/>
          <w:trHeight w:val="20"/>
        </w:trPr>
        <w:tc>
          <w:tcPr>
            <w:tcW w:w="844" w:type="pct"/>
            <w:shd w:val="clear" w:color="auto" w:fill="FFFFFF"/>
            <w:vAlign w:val="center"/>
          </w:tcPr>
          <w:p w14:paraId="7D39992E" w14:textId="77777777" w:rsidR="00E03711" w:rsidRPr="00F769E0" w:rsidRDefault="00E03711" w:rsidP="00CC734C">
            <w:pPr>
              <w:pStyle w:val="GUIDE-NORMAL"/>
              <w:spacing w:before="60" w:after="60"/>
              <w:jc w:val="left"/>
              <w:rPr>
                <w:rFonts w:cs="Tahoma"/>
                <w:b/>
                <w:lang w:val="sl-SI" w:eastAsia="en-GB"/>
              </w:rPr>
            </w:pPr>
            <w:r w:rsidRPr="00F769E0">
              <w:rPr>
                <w:rFonts w:cs="Tahoma"/>
                <w:b/>
                <w:lang w:val="sl-SI" w:eastAsia="en-GB"/>
              </w:rPr>
              <w:t>Kakovost</w:t>
            </w:r>
            <w:r w:rsidRPr="00F769E0">
              <w:rPr>
                <w:rFonts w:cs="Tahoma"/>
                <w:b/>
                <w:spacing w:val="-20"/>
                <w:lang w:val="sl-SI" w:eastAsia="en-GB"/>
              </w:rPr>
              <w:t xml:space="preserve"> </w:t>
            </w:r>
            <w:r w:rsidRPr="00F769E0">
              <w:rPr>
                <w:rFonts w:cs="Tahoma"/>
                <w:b/>
                <w:lang w:val="sl-SI" w:eastAsia="en-GB"/>
              </w:rPr>
              <w:t>zasnove</w:t>
            </w:r>
            <w:r w:rsidRPr="00F769E0">
              <w:rPr>
                <w:rFonts w:cs="Tahoma"/>
                <w:b/>
                <w:spacing w:val="-20"/>
                <w:lang w:val="sl-SI" w:eastAsia="en-GB"/>
              </w:rPr>
              <w:t xml:space="preserve"> </w:t>
            </w:r>
            <w:r w:rsidRPr="00F769E0">
              <w:rPr>
                <w:rFonts w:cs="Tahoma"/>
                <w:b/>
                <w:lang w:val="sl-SI" w:eastAsia="en-GB"/>
              </w:rPr>
              <w:t>in</w:t>
            </w:r>
            <w:r w:rsidRPr="00F769E0">
              <w:rPr>
                <w:rFonts w:cs="Tahoma"/>
                <w:b/>
                <w:spacing w:val="-20"/>
                <w:lang w:val="sl-SI" w:eastAsia="en-GB"/>
              </w:rPr>
              <w:t xml:space="preserve"> </w:t>
            </w:r>
            <w:r w:rsidRPr="00F769E0">
              <w:rPr>
                <w:rFonts w:cs="Tahoma"/>
                <w:b/>
                <w:lang w:val="sl-SI" w:eastAsia="en-GB"/>
              </w:rPr>
              <w:t xml:space="preserve">izvedbe projekta </w:t>
            </w:r>
            <w:r w:rsidRPr="00F769E0">
              <w:rPr>
                <w:rFonts w:cs="Tahoma"/>
                <w:b/>
                <w:lang w:val="sl-SI" w:eastAsia="en-GB"/>
              </w:rPr>
              <w:br/>
              <w:t>(največ 30 točk):</w:t>
            </w:r>
          </w:p>
        </w:tc>
        <w:tc>
          <w:tcPr>
            <w:tcW w:w="4156" w:type="pct"/>
            <w:shd w:val="clear" w:color="auto" w:fill="FFFFFF"/>
          </w:tcPr>
          <w:p w14:paraId="7D39992F" w14:textId="77777777" w:rsidR="00E03711" w:rsidRPr="001048FE" w:rsidRDefault="00E03711" w:rsidP="005115F2">
            <w:pPr>
              <w:pStyle w:val="Guide-NormalBulletpoints"/>
              <w:numPr>
                <w:ilvl w:val="0"/>
                <w:numId w:val="310"/>
              </w:numPr>
              <w:spacing w:before="60"/>
              <w:ind w:left="345" w:hanging="284"/>
              <w:rPr>
                <w:lang w:val="sl-SI"/>
              </w:rPr>
            </w:pPr>
            <w:r w:rsidRPr="001048FE">
              <w:rPr>
                <w:lang w:val="sl-SI"/>
              </w:rPr>
              <w:t>jasnost, celovitost in kakovost delovnega programa, vključno z ustreznimi fazami za pripravo, izvajanje, spremljanje, ocenjevanje in razširjanje;</w:t>
            </w:r>
          </w:p>
          <w:p w14:paraId="7D399930" w14:textId="77777777" w:rsidR="00E03711" w:rsidRPr="001048FE" w:rsidRDefault="00E03711" w:rsidP="005115F2">
            <w:pPr>
              <w:pStyle w:val="Guide-NormalBulletpoints"/>
              <w:numPr>
                <w:ilvl w:val="0"/>
                <w:numId w:val="310"/>
              </w:numPr>
              <w:spacing w:before="60"/>
              <w:ind w:left="345" w:hanging="284"/>
              <w:rPr>
                <w:lang w:val="sl-SI"/>
              </w:rPr>
            </w:pPr>
            <w:r w:rsidRPr="001048FE">
              <w:rPr>
                <w:lang w:val="sl-SI"/>
              </w:rPr>
              <w:t>usklajenost ciljev projekta in predlaganih aktivnosti;</w:t>
            </w:r>
          </w:p>
          <w:p w14:paraId="7D399931" w14:textId="77777777" w:rsidR="00E03711" w:rsidRPr="001048FE" w:rsidRDefault="00E03711" w:rsidP="005115F2">
            <w:pPr>
              <w:pStyle w:val="Guide-NormalBulletpoints"/>
              <w:numPr>
                <w:ilvl w:val="0"/>
                <w:numId w:val="310"/>
              </w:numPr>
              <w:spacing w:before="60"/>
              <w:ind w:left="345" w:hanging="284"/>
              <w:rPr>
                <w:lang w:val="sl-SI"/>
              </w:rPr>
            </w:pPr>
            <w:r w:rsidRPr="001048FE">
              <w:rPr>
                <w:lang w:val="sl-SI"/>
              </w:rPr>
              <w:t>kakovost predlaganih metod neformalnega učenja;</w:t>
            </w:r>
          </w:p>
          <w:p w14:paraId="7D399932" w14:textId="77777777" w:rsidR="00E03711" w:rsidRPr="001048FE" w:rsidRDefault="00E03711" w:rsidP="005115F2">
            <w:pPr>
              <w:pStyle w:val="Guide-NormalBulletpoints"/>
              <w:numPr>
                <w:ilvl w:val="0"/>
                <w:numId w:val="310"/>
              </w:numPr>
              <w:spacing w:before="60"/>
              <w:ind w:left="345" w:hanging="284"/>
              <w:rPr>
                <w:lang w:val="sl-SI"/>
              </w:rPr>
            </w:pPr>
            <w:r w:rsidRPr="001048FE">
              <w:rPr>
                <w:lang w:val="sl-SI"/>
              </w:rPr>
              <w:t>kakovost ureditev za priznavanje in potrjevanje učnih izidov udeležencev ter dosledna uporaba evropskih orodij za preglednost in priznavanje;</w:t>
            </w:r>
          </w:p>
          <w:p w14:paraId="7D399933" w14:textId="77777777" w:rsidR="00E03711" w:rsidRPr="001048FE" w:rsidRDefault="00E03711" w:rsidP="005115F2">
            <w:pPr>
              <w:pStyle w:val="Guide-NormalBulletpoints"/>
              <w:numPr>
                <w:ilvl w:val="0"/>
                <w:numId w:val="310"/>
              </w:numPr>
              <w:spacing w:before="60"/>
              <w:ind w:left="345" w:hanging="284"/>
              <w:rPr>
                <w:lang w:val="sl-SI"/>
              </w:rPr>
            </w:pPr>
            <w:r w:rsidRPr="001048FE">
              <w:rPr>
                <w:lang w:val="sl-SI"/>
              </w:rPr>
              <w:t>obstoj in ustreznost ukrepov za nadzor kakovosti, da se zagotovijo visokokakovostna izvedba projekta, pravočasni zaključek in poraba sredstev v okviru proračuna;</w:t>
            </w:r>
          </w:p>
          <w:p w14:paraId="7D399934" w14:textId="77777777" w:rsidR="00E03711" w:rsidRPr="001048FE" w:rsidRDefault="00E03711" w:rsidP="005115F2">
            <w:pPr>
              <w:pStyle w:val="Guide-NormalBulletpoints"/>
              <w:numPr>
                <w:ilvl w:val="0"/>
                <w:numId w:val="310"/>
              </w:numPr>
              <w:spacing w:before="60"/>
              <w:ind w:left="345" w:hanging="284"/>
              <w:rPr>
                <w:lang w:val="sl-SI"/>
              </w:rPr>
            </w:pPr>
            <w:r w:rsidRPr="001048FE">
              <w:rPr>
                <w:lang w:val="sl-SI"/>
              </w:rPr>
              <w:t xml:space="preserve">v kolikšni meri je projekt stroškovno učinkovit in dodeljuje ustrezna sredstva posameznih aktivnostim. </w:t>
            </w:r>
          </w:p>
          <w:p w14:paraId="7D399935" w14:textId="77777777" w:rsidR="00E03711" w:rsidRPr="00F769E0" w:rsidRDefault="00E03711">
            <w:pPr>
              <w:pStyle w:val="GUIDE-NORMAL"/>
              <w:spacing w:before="60" w:after="60"/>
              <w:rPr>
                <w:rFonts w:cs="Tahoma"/>
                <w:lang w:val="sl-SI" w:eastAsia="en-GB"/>
              </w:rPr>
            </w:pPr>
            <w:r>
              <w:rPr>
                <w:rFonts w:cs="Tahoma"/>
                <w:lang w:val="sl-SI" w:eastAsia="en-GB"/>
              </w:rPr>
              <w:t>Č</w:t>
            </w:r>
            <w:r w:rsidRPr="00F769E0">
              <w:rPr>
                <w:rFonts w:cs="Tahoma"/>
                <w:lang w:val="sl-SI" w:eastAsia="en-GB"/>
              </w:rPr>
              <w:t>e so za projekt predvidene aktivnosti mobilnosti:</w:t>
            </w:r>
          </w:p>
          <w:p w14:paraId="7D399936" w14:textId="77777777" w:rsidR="00E03711" w:rsidRPr="001048FE" w:rsidRDefault="00E03711" w:rsidP="005115F2">
            <w:pPr>
              <w:pStyle w:val="Guide-NormalBulletpoints"/>
              <w:numPr>
                <w:ilvl w:val="0"/>
                <w:numId w:val="311"/>
              </w:numPr>
              <w:spacing w:before="60"/>
              <w:ind w:left="345" w:hanging="284"/>
              <w:rPr>
                <w:lang w:val="sl-SI"/>
              </w:rPr>
            </w:pPr>
            <w:r w:rsidRPr="001048FE">
              <w:rPr>
                <w:lang w:val="sl-SI"/>
              </w:rPr>
              <w:t>ustreznost ukrepov za izbor in/ali vključevanje udeležencev v aktivnosti mobilnosti.</w:t>
            </w:r>
          </w:p>
        </w:tc>
      </w:tr>
      <w:tr w:rsidR="00E03711" w:rsidRPr="00C60205" w14:paraId="7D39993D" w14:textId="77777777" w:rsidTr="00573DF4">
        <w:trPr>
          <w:cantSplit/>
          <w:trHeight w:val="20"/>
        </w:trPr>
        <w:tc>
          <w:tcPr>
            <w:tcW w:w="844" w:type="pct"/>
            <w:shd w:val="clear" w:color="auto" w:fill="FFFFFF"/>
            <w:vAlign w:val="center"/>
          </w:tcPr>
          <w:p w14:paraId="7D399938" w14:textId="77777777" w:rsidR="00E03711" w:rsidRPr="00F769E0" w:rsidRDefault="00E03711" w:rsidP="000503EB">
            <w:pPr>
              <w:pStyle w:val="GUIDE-NORMAL"/>
              <w:spacing w:before="60" w:after="60"/>
              <w:jc w:val="left"/>
              <w:rPr>
                <w:rFonts w:cs="Tahoma"/>
                <w:b/>
                <w:lang w:val="sl-SI" w:eastAsia="en-GB"/>
              </w:rPr>
            </w:pPr>
            <w:r w:rsidRPr="00F769E0">
              <w:rPr>
                <w:rFonts w:cs="Tahoma"/>
                <w:b/>
                <w:lang w:val="sl-SI" w:eastAsia="en-GB"/>
              </w:rPr>
              <w:t>Kakovost projektne skupine in dogovorov o sodelovanju (največ 20 točk):</w:t>
            </w:r>
          </w:p>
        </w:tc>
        <w:tc>
          <w:tcPr>
            <w:tcW w:w="4156" w:type="pct"/>
            <w:shd w:val="clear" w:color="auto" w:fill="FFFFFF"/>
          </w:tcPr>
          <w:p w14:paraId="7D399939" w14:textId="77777777" w:rsidR="00E03711" w:rsidRPr="001048FE" w:rsidRDefault="00E03711" w:rsidP="005115F2">
            <w:pPr>
              <w:pStyle w:val="Guide-NormalBulletpoints"/>
              <w:numPr>
                <w:ilvl w:val="0"/>
                <w:numId w:val="137"/>
              </w:numPr>
              <w:spacing w:before="60"/>
              <w:rPr>
                <w:lang w:val="sl-SI"/>
              </w:rPr>
            </w:pPr>
            <w:r w:rsidRPr="001048FE">
              <w:rPr>
                <w:lang w:val="sl-SI"/>
              </w:rPr>
              <w:t>v kolikšni meri:</w:t>
            </w:r>
          </w:p>
          <w:p w14:paraId="7D39993A" w14:textId="77777777" w:rsidR="00E03711" w:rsidRPr="001048FE" w:rsidRDefault="00E03711" w:rsidP="00CC734C">
            <w:pPr>
              <w:pStyle w:val="Guide-ListDash"/>
              <w:spacing w:before="60" w:after="60"/>
              <w:rPr>
                <w:lang w:val="sl-SI"/>
              </w:rPr>
            </w:pPr>
            <w:r w:rsidRPr="001048FE">
              <w:rPr>
                <w:lang w:val="sl-SI"/>
              </w:rPr>
              <w:t>projekt vključuje ustrezen nabor sodelujočih organizacij, ki se dopolnjujejo in imajo zahtevan profil, izkušnje in strokovno znanje za uspešno izvedbo vseh vidikov projekta;</w:t>
            </w:r>
          </w:p>
          <w:p w14:paraId="7D39993B" w14:textId="77777777" w:rsidR="00E03711" w:rsidRPr="001048FE" w:rsidRDefault="00E03711" w:rsidP="00CC734C">
            <w:pPr>
              <w:pStyle w:val="Guide-ListDash"/>
              <w:spacing w:before="60" w:after="60"/>
              <w:rPr>
                <w:lang w:val="sl-SI"/>
              </w:rPr>
            </w:pPr>
            <w:r w:rsidRPr="001048FE">
              <w:rPr>
                <w:lang w:val="sl-SI"/>
              </w:rPr>
              <w:t>sta iz porazdelitve odgovornosti in nalog razvidna zavezanost in aktivno prispevanje vseh sodelujočih organizacij;</w:t>
            </w:r>
          </w:p>
          <w:p w14:paraId="7D39993C" w14:textId="77777777" w:rsidR="00E03711" w:rsidRPr="001048FE" w:rsidRDefault="00E03711" w:rsidP="005115F2">
            <w:pPr>
              <w:pStyle w:val="Guide-NormalBulletpoints"/>
              <w:numPr>
                <w:ilvl w:val="0"/>
                <w:numId w:val="138"/>
              </w:numPr>
              <w:spacing w:before="60"/>
              <w:rPr>
                <w:lang w:val="sl-SI"/>
              </w:rPr>
            </w:pPr>
            <w:r w:rsidRPr="001048FE">
              <w:rPr>
                <w:lang w:val="sl-SI"/>
              </w:rPr>
              <w:t>obstoj učinkovitih mehanizmov za koordinacijo in obveščanje med sodelujočimi organizacijami ter drugimi pomembnimi deležniki.</w:t>
            </w:r>
          </w:p>
        </w:tc>
      </w:tr>
      <w:tr w:rsidR="00E03711" w:rsidRPr="00C60205" w14:paraId="7D399946" w14:textId="77777777" w:rsidTr="00573DF4">
        <w:trPr>
          <w:cantSplit/>
          <w:trHeight w:val="20"/>
        </w:trPr>
        <w:tc>
          <w:tcPr>
            <w:tcW w:w="844" w:type="pct"/>
            <w:shd w:val="clear" w:color="auto" w:fill="FFFFFF"/>
            <w:vAlign w:val="center"/>
          </w:tcPr>
          <w:p w14:paraId="7D39993E" w14:textId="77777777" w:rsidR="00E03711" w:rsidRPr="00F769E0" w:rsidRDefault="00E03711" w:rsidP="00CC734C">
            <w:pPr>
              <w:pStyle w:val="GUIDE-NORMAL"/>
              <w:spacing w:before="60" w:after="60"/>
              <w:jc w:val="left"/>
              <w:rPr>
                <w:rFonts w:cs="Tahoma"/>
                <w:b/>
                <w:lang w:val="sl-SI" w:eastAsia="en-GB"/>
              </w:rPr>
            </w:pPr>
            <w:r w:rsidRPr="00F769E0">
              <w:rPr>
                <w:rFonts w:cs="Tahoma"/>
                <w:b/>
                <w:lang w:val="sl-SI" w:eastAsia="en-GB"/>
              </w:rPr>
              <w:t>Učinek in razširjanje (največ 20 točk):</w:t>
            </w:r>
          </w:p>
        </w:tc>
        <w:tc>
          <w:tcPr>
            <w:tcW w:w="4156" w:type="pct"/>
            <w:shd w:val="clear" w:color="auto" w:fill="FFFFFF"/>
          </w:tcPr>
          <w:p w14:paraId="7D39993F" w14:textId="77777777" w:rsidR="00E03711" w:rsidRPr="001048FE" w:rsidRDefault="00E03711" w:rsidP="005115F2">
            <w:pPr>
              <w:pStyle w:val="Guide-NormalBulletpoints"/>
              <w:numPr>
                <w:ilvl w:val="0"/>
                <w:numId w:val="139"/>
              </w:numPr>
              <w:spacing w:before="60"/>
              <w:rPr>
                <w:lang w:val="sl-SI"/>
              </w:rPr>
            </w:pPr>
            <w:r w:rsidRPr="001048FE">
              <w:rPr>
                <w:lang w:val="sl-SI"/>
              </w:rPr>
              <w:t>kakovost ukrepov za ocenjevanje rezultatov projekta;</w:t>
            </w:r>
          </w:p>
          <w:p w14:paraId="7D399940" w14:textId="77777777" w:rsidR="00E03711" w:rsidRPr="001048FE" w:rsidRDefault="00E03711" w:rsidP="005115F2">
            <w:pPr>
              <w:pStyle w:val="Guide-NormalBulletpoints"/>
              <w:numPr>
                <w:ilvl w:val="0"/>
                <w:numId w:val="139"/>
              </w:numPr>
              <w:spacing w:before="60"/>
              <w:rPr>
                <w:lang w:val="sl-SI"/>
              </w:rPr>
            </w:pPr>
            <w:r w:rsidRPr="001048FE">
              <w:rPr>
                <w:lang w:val="sl-SI"/>
              </w:rPr>
              <w:t>morebitni učinek projekta:</w:t>
            </w:r>
          </w:p>
          <w:p w14:paraId="7D399941" w14:textId="77777777" w:rsidR="00E03711" w:rsidRPr="001048FE" w:rsidRDefault="00E03711" w:rsidP="005115F2">
            <w:pPr>
              <w:pStyle w:val="Guide-ListDash"/>
              <w:numPr>
                <w:ilvl w:val="1"/>
                <w:numId w:val="140"/>
              </w:numPr>
              <w:spacing w:before="60" w:after="60"/>
              <w:rPr>
                <w:lang w:val="sl-SI"/>
              </w:rPr>
            </w:pPr>
            <w:r w:rsidRPr="001048FE">
              <w:rPr>
                <w:lang w:val="sl-SI"/>
              </w:rPr>
              <w:t>na udeležence in sodelujoče organizacije med življenjskim ciklom projekta in po njem;</w:t>
            </w:r>
          </w:p>
          <w:p w14:paraId="7D399942" w14:textId="77777777" w:rsidR="00E03711" w:rsidRPr="001048FE" w:rsidRDefault="00E03711" w:rsidP="005115F2">
            <w:pPr>
              <w:pStyle w:val="Guide-ListDash"/>
              <w:numPr>
                <w:ilvl w:val="1"/>
                <w:numId w:val="140"/>
              </w:numPr>
              <w:spacing w:before="60" w:after="60"/>
              <w:rPr>
                <w:lang w:val="sl-SI"/>
              </w:rPr>
            </w:pPr>
            <w:r w:rsidRPr="001048FE">
              <w:rPr>
                <w:lang w:val="sl-SI"/>
              </w:rPr>
              <w:t>na druga področja, ne samo na organizacije in posameznike, ki neposredno sodelujejo v projektu, na lokalni, regionalni, nacionalni in/ali mednarodni ravni;</w:t>
            </w:r>
          </w:p>
          <w:p w14:paraId="7D399943" w14:textId="77777777" w:rsidR="00E03711" w:rsidRPr="001048FE" w:rsidRDefault="00E03711" w:rsidP="005115F2">
            <w:pPr>
              <w:pStyle w:val="Guide-NormalBulletpoints"/>
              <w:numPr>
                <w:ilvl w:val="0"/>
                <w:numId w:val="139"/>
              </w:numPr>
              <w:spacing w:before="60"/>
              <w:rPr>
                <w:lang w:val="sl-SI"/>
              </w:rPr>
            </w:pPr>
            <w:r w:rsidRPr="001048FE">
              <w:rPr>
                <w:lang w:val="sl-SI"/>
              </w:rPr>
              <w:t>kakovost načrta za razširjanje: ustreznost in kakovost ukrepov, katerih cilj je izmenjava rezultatov projekta v sodelujočih organizacijah in drugod;</w:t>
            </w:r>
          </w:p>
          <w:p w14:paraId="7D399944" w14:textId="77777777" w:rsidR="00E03711" w:rsidRPr="001048FE" w:rsidRDefault="00E03711" w:rsidP="005115F2">
            <w:pPr>
              <w:pStyle w:val="Guide-NormalBulletpoints"/>
              <w:numPr>
                <w:ilvl w:val="0"/>
                <w:numId w:val="139"/>
              </w:numPr>
              <w:spacing w:before="60"/>
              <w:rPr>
                <w:lang w:val="sl-SI"/>
              </w:rPr>
            </w:pPr>
            <w:r w:rsidRPr="001048FE">
              <w:rPr>
                <w:lang w:val="sl-SI"/>
              </w:rPr>
              <w:t>predlog po potrebi opiše, kako se bo omogočil prost dostop z odprtimi licencami do ustvarjenih gradiv, dokumentov in nosilcev podatkov ter kako se bo o njih obveščalo, in ne vsebuje nesorazmernih omejitev;</w:t>
            </w:r>
          </w:p>
          <w:p w14:paraId="7D399945" w14:textId="77777777" w:rsidR="00E03711" w:rsidRPr="001048FE" w:rsidRDefault="00E03711" w:rsidP="005115F2">
            <w:pPr>
              <w:pStyle w:val="Guide-NormalBulletpoints"/>
              <w:numPr>
                <w:ilvl w:val="0"/>
                <w:numId w:val="139"/>
              </w:numPr>
              <w:spacing w:before="60"/>
              <w:rPr>
                <w:lang w:val="sl-SI"/>
              </w:rPr>
            </w:pPr>
            <w:r w:rsidRPr="001048FE">
              <w:rPr>
                <w:lang w:val="sl-SI"/>
              </w:rPr>
              <w:t>kakovost načrtov za zagotavljanje trajnosti projekta: ali lahko projekt po porabi nepovratnih sredstev EU še naprej dosega učinek in rezultate.</w:t>
            </w:r>
          </w:p>
        </w:tc>
      </w:tr>
    </w:tbl>
    <w:p w14:paraId="7D399947" w14:textId="77777777" w:rsidR="00E03711" w:rsidRPr="001048FE" w:rsidRDefault="00E03711" w:rsidP="00CC734C">
      <w:pPr>
        <w:pStyle w:val="GUIDE-NORMAL"/>
        <w:rPr>
          <w:lang w:val="sl-SI"/>
        </w:rPr>
      </w:pPr>
      <w:r w:rsidRPr="001048FE">
        <w:rPr>
          <w:lang w:val="sl-SI"/>
        </w:rPr>
        <w:t>Za upoštevanje pri dodeljevanju sredstev morajo predlogi doseči vsaj 60 točk. Poleg tega morajo doseči vsaj polovico vseh možnih točk v vsaki od navedenih kategorij meril za dodelitev (tj. vsaj 1</w:t>
      </w:r>
      <w:r>
        <w:rPr>
          <w:lang w:val="sl-SI"/>
        </w:rPr>
        <w:t>5</w:t>
      </w:r>
      <w:r w:rsidRPr="001048FE">
        <w:rPr>
          <w:lang w:val="sl-SI"/>
        </w:rPr>
        <w:t xml:space="preserve"> točk za kategoriji „Ustreznost projekta“ ter „Učinek in razširjanje“; 1</w:t>
      </w:r>
      <w:r>
        <w:rPr>
          <w:lang w:val="sl-SI"/>
        </w:rPr>
        <w:t>0</w:t>
      </w:r>
      <w:r w:rsidRPr="001048FE">
        <w:rPr>
          <w:lang w:val="sl-SI"/>
        </w:rPr>
        <w:t xml:space="preserve"> točk za kategoriji „Kakovost zasnove in izvedbe projekta“ in „Kakovost projektne skupine in dogovorov o sodelovanju“).</w:t>
      </w:r>
      <w:r>
        <w:rPr>
          <w:lang w:val="sl-SI"/>
        </w:rPr>
        <w:t xml:space="preserve"> V primeru načela ex aequo imajo prednost projekti, ki dobijo največ točk po merilu »Ustreznost projekta«.</w:t>
      </w:r>
    </w:p>
    <w:p w14:paraId="7D399948" w14:textId="77777777" w:rsidR="00E03711" w:rsidRPr="001048FE" w:rsidRDefault="00E03711" w:rsidP="00CC734C">
      <w:pPr>
        <w:pStyle w:val="Guide-Heading5"/>
        <w:rPr>
          <w:lang w:val="sl-SI"/>
        </w:rPr>
      </w:pPr>
      <w:r w:rsidRPr="001048FE">
        <w:rPr>
          <w:lang w:val="sl-SI"/>
        </w:rPr>
        <w:t>Kaj je še treba vedeti o tem ukrepu?</w:t>
      </w:r>
    </w:p>
    <w:p w14:paraId="7D399949" w14:textId="77777777" w:rsidR="00E03711" w:rsidRPr="00FC4A70" w:rsidRDefault="00E03711" w:rsidP="00206D8B">
      <w:pPr>
        <w:pStyle w:val="Guide-Heading6"/>
        <w:rPr>
          <w:lang w:val="sl-SI"/>
        </w:rPr>
      </w:pPr>
      <w:r w:rsidRPr="00FC4A70">
        <w:rPr>
          <w:rFonts w:eastAsia="Calibri" w:cs="Calibri"/>
          <w:bCs/>
          <w:szCs w:val="20"/>
          <w:bdr w:val="nil"/>
          <w:lang w:val="sl-SI"/>
        </w:rPr>
        <w:t>Izredni stroški za drago potovanje</w:t>
      </w:r>
    </w:p>
    <w:p w14:paraId="7D39994A" w14:textId="77777777" w:rsidR="00E03711" w:rsidRPr="001048FE" w:rsidRDefault="00E03711" w:rsidP="00CC734C">
      <w:pPr>
        <w:pStyle w:val="GUIDE-NORMAL"/>
        <w:rPr>
          <w:lang w:val="sl-SI"/>
        </w:rPr>
      </w:pPr>
      <w:r w:rsidRPr="00FC4A70">
        <w:rPr>
          <w:rFonts w:eastAsia="Calibri" w:cs="Calibri"/>
          <w:bdr w:val="nil"/>
          <w:lang w:val="sl-SI"/>
        </w:rPr>
        <w:t>Prijavitelji aktivnosti mobilnosti lahko zahtevajo finančno podporo pod proračunsko postavko „izredni stroški“ (do največ 80 % vseh upravičenih stroškov: glej „Kakšna so pravila za dodelitev sredstev?“)</w:t>
      </w:r>
      <w:r>
        <w:rPr>
          <w:rFonts w:eastAsia="Calibri" w:cs="Calibri"/>
          <w:bdr w:val="nil"/>
          <w:lang w:val="sl-SI"/>
        </w:rPr>
        <w:t>, vključno v primerih, ko se udeleženci odločijo za čistejša prevozna sredstva, z manj emisijami ogljika (npr. vlak), kar vodi do višjih stroškov potovanja</w:t>
      </w:r>
      <w:r w:rsidRPr="00FC4A70">
        <w:rPr>
          <w:rFonts w:eastAsia="Calibri" w:cs="Calibri"/>
          <w:bdr w:val="nil"/>
          <w:lang w:val="sl-SI"/>
        </w:rPr>
        <w:t>. To je dovoljeno pod pogojem, da lahko prijavitelji utemeljijo, da običajna pravila financiranja (na podlagi stroškov na enoto za pas oddaljenosti) ne krijejo vsaj 70 % potnih stroškov udeležencev. Če so dodeljena, se namesto standardnih potnih stroškov upoštevajo izredni stroški za drago potovanje.</w:t>
      </w:r>
    </w:p>
    <w:p w14:paraId="7D39994B" w14:textId="77777777" w:rsidR="00E03711" w:rsidRDefault="00E03711">
      <w:pPr>
        <w:widowControl/>
        <w:suppressAutoHyphens w:val="0"/>
        <w:autoSpaceDN/>
        <w:textAlignment w:val="auto"/>
        <w:rPr>
          <w:rFonts w:eastAsia="Times New Roman"/>
          <w:b/>
          <w:smallCaps/>
          <w:sz w:val="20"/>
          <w:szCs w:val="28"/>
          <w:lang w:val="sl-SI"/>
        </w:rPr>
        <w:sectPr w:rsidR="00E03711" w:rsidSect="00E15ED3">
          <w:headerReference w:type="default" r:id="rId101"/>
          <w:endnotePr>
            <w:numFmt w:val="decimal"/>
          </w:endnotePr>
          <w:pgSz w:w="11910" w:h="16840" w:code="9"/>
          <w:pgMar w:top="1134" w:right="1418" w:bottom="1134" w:left="1418" w:header="284" w:footer="567" w:gutter="0"/>
          <w:cols w:space="720"/>
          <w:docGrid w:linePitch="326"/>
        </w:sectPr>
      </w:pPr>
    </w:p>
    <w:p w14:paraId="7D39994C" w14:textId="77777777" w:rsidR="00E03711" w:rsidRPr="001048FE" w:rsidRDefault="00E03711" w:rsidP="00CC734C">
      <w:pPr>
        <w:pStyle w:val="Guide-Heading6"/>
        <w:rPr>
          <w:lang w:val="sl-SI"/>
        </w:rPr>
      </w:pPr>
      <w:r w:rsidRPr="001048FE">
        <w:rPr>
          <w:lang w:val="sl-SI"/>
        </w:rPr>
        <w:t>Kakšna so pravila za dodelitev sredstev?</w:t>
      </w:r>
    </w:p>
    <w:p w14:paraId="7D39994D" w14:textId="77777777" w:rsidR="00E03711" w:rsidRPr="001048FE" w:rsidRDefault="00E03711" w:rsidP="00CC734C">
      <w:pPr>
        <w:pStyle w:val="GUIDE-NORMAL"/>
        <w:rPr>
          <w:lang w:val="sl-SI"/>
        </w:rPr>
      </w:pPr>
      <w:r w:rsidRPr="001048FE">
        <w:rPr>
          <w:lang w:val="sl-SI"/>
        </w:rPr>
        <w:t>Proračun projekta je treba pripraviti v skladu z naslednjimi pravili za dodelitev sredstev (v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8"/>
      </w:tblGrid>
      <w:tr w:rsidR="00E03711" w:rsidRPr="00C60205" w14:paraId="7D39994F" w14:textId="77777777" w:rsidTr="00F05D26">
        <w:tc>
          <w:tcPr>
            <w:tcW w:w="5000" w:type="pct"/>
            <w:shd w:val="clear" w:color="auto" w:fill="auto"/>
          </w:tcPr>
          <w:p w14:paraId="7D39994E" w14:textId="77777777" w:rsidR="00E03711" w:rsidRPr="00237696" w:rsidRDefault="00E03711" w:rsidP="00237696">
            <w:pPr>
              <w:pStyle w:val="Guide-Table"/>
              <w:spacing w:before="60" w:after="60"/>
              <w:rPr>
                <w:b/>
                <w:lang w:val="sl-SI" w:eastAsia="en-GB"/>
              </w:rPr>
            </w:pPr>
            <w:r w:rsidRPr="00237696">
              <w:rPr>
                <w:b/>
                <w:lang w:val="sl-SI" w:eastAsia="en-GB"/>
              </w:rPr>
              <w:t>Najvišja vrednost dodeljenih nepovratnih sredstev za projekt krepitve zmogljivosti: 150 000</w:t>
            </w:r>
            <w:r w:rsidRPr="00237696">
              <w:rPr>
                <w:b/>
                <w:spacing w:val="10"/>
                <w:lang w:val="sl-SI" w:eastAsia="en-GB"/>
              </w:rPr>
              <w:t xml:space="preserve"> </w:t>
            </w:r>
            <w:r w:rsidRPr="00237696">
              <w:rPr>
                <w:b/>
                <w:lang w:val="sl-SI" w:eastAsia="en-GB"/>
              </w:rPr>
              <w:t>EUR</w:t>
            </w:r>
          </w:p>
        </w:tc>
      </w:tr>
    </w:tbl>
    <w:p w14:paraId="7D399950" w14:textId="77777777" w:rsidR="00E03711" w:rsidRPr="001048FE" w:rsidRDefault="00E03711">
      <w:pPr>
        <w:rPr>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6519"/>
        <w:gridCol w:w="1869"/>
        <w:gridCol w:w="2863"/>
        <w:gridCol w:w="2002"/>
      </w:tblGrid>
      <w:tr w:rsidR="00E03711" w:rsidRPr="008C6F8C" w14:paraId="7D399955" w14:textId="77777777" w:rsidTr="00F05D26">
        <w:trPr>
          <w:trHeight w:val="20"/>
        </w:trPr>
        <w:tc>
          <w:tcPr>
            <w:tcW w:w="2723" w:type="pct"/>
            <w:gridSpan w:val="2"/>
            <w:shd w:val="clear" w:color="auto" w:fill="auto"/>
            <w:vAlign w:val="center"/>
          </w:tcPr>
          <w:p w14:paraId="7D399951" w14:textId="77777777" w:rsidR="00E03711" w:rsidRPr="00237696" w:rsidRDefault="00E03711" w:rsidP="00237696">
            <w:pPr>
              <w:pStyle w:val="GUIDE-NORMAL"/>
              <w:spacing w:before="60" w:after="60"/>
              <w:jc w:val="center"/>
              <w:rPr>
                <w:b/>
                <w:lang w:val="sl-SI" w:eastAsia="en-GB"/>
              </w:rPr>
            </w:pPr>
            <w:r w:rsidRPr="00237696">
              <w:rPr>
                <w:b/>
                <w:lang w:val="sl-SI" w:eastAsia="en-GB"/>
              </w:rPr>
              <w:t>Upravičeni stroški</w:t>
            </w:r>
          </w:p>
        </w:tc>
        <w:tc>
          <w:tcPr>
            <w:tcW w:w="632" w:type="pct"/>
            <w:shd w:val="clear" w:color="auto" w:fill="auto"/>
            <w:vAlign w:val="center"/>
          </w:tcPr>
          <w:p w14:paraId="7D399952" w14:textId="77777777" w:rsidR="00E03711" w:rsidRPr="00237696" w:rsidRDefault="00E03711" w:rsidP="00237696">
            <w:pPr>
              <w:pStyle w:val="GUIDE-NORMAL"/>
              <w:spacing w:before="60" w:after="60"/>
              <w:jc w:val="center"/>
              <w:rPr>
                <w:b/>
                <w:lang w:val="sl-SI" w:eastAsia="en-GB"/>
              </w:rPr>
            </w:pPr>
            <w:r w:rsidRPr="00237696">
              <w:rPr>
                <w:b/>
                <w:lang w:val="sl-SI" w:eastAsia="en-GB"/>
              </w:rPr>
              <w:t>Mehanizem financiranja</w:t>
            </w:r>
          </w:p>
        </w:tc>
        <w:tc>
          <w:tcPr>
            <w:tcW w:w="968" w:type="pct"/>
            <w:shd w:val="clear" w:color="auto" w:fill="auto"/>
            <w:vAlign w:val="center"/>
          </w:tcPr>
          <w:p w14:paraId="7D399953" w14:textId="77777777" w:rsidR="00E03711" w:rsidRPr="00237696" w:rsidRDefault="00E03711" w:rsidP="00237696">
            <w:pPr>
              <w:pStyle w:val="GUIDE-NORMAL"/>
              <w:spacing w:before="60" w:after="60"/>
              <w:jc w:val="center"/>
              <w:rPr>
                <w:b/>
                <w:lang w:val="sl-SI" w:eastAsia="en-GB"/>
              </w:rPr>
            </w:pPr>
            <w:r w:rsidRPr="00237696">
              <w:rPr>
                <w:b/>
                <w:lang w:val="sl-SI" w:eastAsia="en-GB"/>
              </w:rPr>
              <w:t>Znesek</w:t>
            </w:r>
          </w:p>
        </w:tc>
        <w:tc>
          <w:tcPr>
            <w:tcW w:w="678" w:type="pct"/>
            <w:shd w:val="clear" w:color="auto" w:fill="auto"/>
            <w:vAlign w:val="center"/>
          </w:tcPr>
          <w:p w14:paraId="7D399954" w14:textId="77777777" w:rsidR="00E03711" w:rsidRPr="00237696" w:rsidRDefault="00E03711" w:rsidP="00237696">
            <w:pPr>
              <w:pStyle w:val="GUIDE-NORMAL"/>
              <w:spacing w:before="60" w:after="60"/>
              <w:jc w:val="center"/>
              <w:rPr>
                <w:b/>
                <w:lang w:val="sl-SI" w:eastAsia="en-GB"/>
              </w:rPr>
            </w:pPr>
            <w:r w:rsidRPr="00237696">
              <w:rPr>
                <w:b/>
                <w:lang w:val="sl-SI" w:eastAsia="en-GB"/>
              </w:rPr>
              <w:t>Pravilo dodelitve</w:t>
            </w:r>
          </w:p>
        </w:tc>
      </w:tr>
      <w:tr w:rsidR="00E03711" w:rsidRPr="00C60205" w14:paraId="7D39996C" w14:textId="77777777" w:rsidTr="00F05D26">
        <w:trPr>
          <w:trHeight w:val="20"/>
        </w:trPr>
        <w:tc>
          <w:tcPr>
            <w:tcW w:w="519" w:type="pct"/>
            <w:shd w:val="clear" w:color="auto" w:fill="auto"/>
            <w:vAlign w:val="center"/>
          </w:tcPr>
          <w:p w14:paraId="7D399956" w14:textId="77777777" w:rsidR="00E03711" w:rsidRPr="00237696" w:rsidRDefault="00E03711" w:rsidP="00237696">
            <w:pPr>
              <w:pStyle w:val="GUIDE-NORMAL"/>
              <w:spacing w:before="60" w:after="60"/>
              <w:jc w:val="left"/>
              <w:rPr>
                <w:b/>
                <w:lang w:val="sl-SI" w:eastAsia="en-GB"/>
              </w:rPr>
            </w:pPr>
            <w:r w:rsidRPr="00237696">
              <w:rPr>
                <w:b/>
                <w:lang w:val="sl-SI" w:eastAsia="en-GB"/>
              </w:rPr>
              <w:t>Stroški aktivnosti</w:t>
            </w:r>
          </w:p>
        </w:tc>
        <w:tc>
          <w:tcPr>
            <w:tcW w:w="2204" w:type="pct"/>
            <w:shd w:val="clear" w:color="auto" w:fill="auto"/>
          </w:tcPr>
          <w:p w14:paraId="7D399957" w14:textId="77777777" w:rsidR="00E03711" w:rsidRPr="006E1B1F" w:rsidRDefault="00E03711" w:rsidP="006E1B1F">
            <w:pPr>
              <w:pStyle w:val="Guide-ListDash"/>
              <w:numPr>
                <w:ilvl w:val="0"/>
                <w:numId w:val="0"/>
              </w:numPr>
              <w:rPr>
                <w:bdr w:val="nil"/>
                <w:lang w:val="sl-SI"/>
              </w:rPr>
            </w:pPr>
            <w:r w:rsidRPr="006E1B1F">
              <w:rPr>
                <w:bdr w:val="nil"/>
                <w:lang w:val="sl-SI"/>
              </w:rPr>
              <w:t>Stroški, neposredno povezani z izvajanjem aktivnosti krepitve zmogljivosti v okviru projekta (razen aktivnosti mobilnosti), vključno z naslednjimi:</w:t>
            </w:r>
          </w:p>
          <w:p w14:paraId="7D399958" w14:textId="77777777" w:rsidR="00E03711" w:rsidRPr="00C1426B" w:rsidRDefault="00E03711" w:rsidP="005115F2">
            <w:pPr>
              <w:pStyle w:val="Guide-ListDash"/>
              <w:numPr>
                <w:ilvl w:val="0"/>
                <w:numId w:val="374"/>
              </w:numPr>
              <w:rPr>
                <w:bdr w:val="nil"/>
                <w:lang w:val="sl-SI"/>
              </w:rPr>
            </w:pPr>
            <w:r w:rsidRPr="00C1426B">
              <w:rPr>
                <w:bdr w:val="nil"/>
                <w:lang w:val="sl-SI"/>
              </w:rPr>
              <w:t>stroški osebja (le stalni člani osebja in največ 20 % upravičenih neposrednih stroškov projektov krepitve zmogljivosti)</w:t>
            </w:r>
          </w:p>
          <w:p w14:paraId="7D399959" w14:textId="77777777" w:rsidR="00E03711" w:rsidRPr="00C1426B" w:rsidRDefault="00E03711" w:rsidP="005115F2">
            <w:pPr>
              <w:pStyle w:val="Guide-ListDash"/>
              <w:numPr>
                <w:ilvl w:val="0"/>
                <w:numId w:val="374"/>
              </w:numPr>
              <w:rPr>
                <w:bdr w:val="nil"/>
                <w:lang w:val="nl-NL"/>
              </w:rPr>
            </w:pPr>
            <w:r w:rsidRPr="00C1426B">
              <w:rPr>
                <w:bdr w:val="nil"/>
                <w:lang w:val="nl-NL"/>
              </w:rPr>
              <w:t>stroški informacijske in komunikacijske tehnologije (IKT);</w:t>
            </w:r>
          </w:p>
          <w:p w14:paraId="7D39995A" w14:textId="77777777" w:rsidR="00E03711" w:rsidRPr="00C1426B" w:rsidRDefault="00E03711" w:rsidP="005115F2">
            <w:pPr>
              <w:pStyle w:val="Guide-ListDash"/>
              <w:numPr>
                <w:ilvl w:val="1"/>
                <w:numId w:val="374"/>
              </w:numPr>
              <w:rPr>
                <w:bdr w:val="nil"/>
                <w:lang w:val="nl-NL"/>
              </w:rPr>
            </w:pPr>
            <w:r w:rsidRPr="00C1426B">
              <w:rPr>
                <w:bdr w:val="nil"/>
                <w:lang w:val="nl-NL"/>
              </w:rPr>
              <w:t>mednarodna projektna srečanja med partnerji projekta za namene izvajanja in koordinacije, konference in obsežni dogodki za mlade (brez potnih stroškov):</w:t>
            </w:r>
          </w:p>
          <w:p w14:paraId="7D39995B" w14:textId="77777777" w:rsidR="00E03711" w:rsidRPr="00C1426B" w:rsidRDefault="00E03711" w:rsidP="005115F2">
            <w:pPr>
              <w:pStyle w:val="Guide-ListDash"/>
              <w:numPr>
                <w:ilvl w:val="1"/>
                <w:numId w:val="374"/>
              </w:numPr>
              <w:rPr>
                <w:bdr w:val="nil"/>
                <w:lang w:val="nl-NL"/>
              </w:rPr>
            </w:pPr>
            <w:r w:rsidRPr="00C1426B">
              <w:rPr>
                <w:bdr w:val="nil"/>
                <w:lang w:val="nl-NL"/>
              </w:rPr>
              <w:t>stroški prehrane in nastanitve, vključno z lokalnim prevozom,</w:t>
            </w:r>
          </w:p>
          <w:p w14:paraId="7D39995C" w14:textId="77777777" w:rsidR="00E03711" w:rsidRPr="006E1B1F" w:rsidRDefault="00E03711" w:rsidP="005115F2">
            <w:pPr>
              <w:pStyle w:val="Guide-ListDash"/>
              <w:numPr>
                <w:ilvl w:val="1"/>
                <w:numId w:val="374"/>
              </w:numPr>
              <w:rPr>
                <w:bdr w:val="nil"/>
              </w:rPr>
            </w:pPr>
            <w:r w:rsidRPr="006E1B1F">
              <w:rPr>
                <w:bdr w:val="nil"/>
              </w:rPr>
              <w:t>stroški vizumov in zavarovanj,</w:t>
            </w:r>
          </w:p>
          <w:p w14:paraId="7D39995D" w14:textId="77777777" w:rsidR="00E03711" w:rsidRPr="00B36F01" w:rsidRDefault="00E03711" w:rsidP="005115F2">
            <w:pPr>
              <w:pStyle w:val="Guide-ListDash"/>
              <w:numPr>
                <w:ilvl w:val="1"/>
                <w:numId w:val="374"/>
              </w:numPr>
              <w:rPr>
                <w:bdr w:val="nil"/>
              </w:rPr>
            </w:pPr>
            <w:r w:rsidRPr="00B36F01">
              <w:rPr>
                <w:bdr w:val="nil"/>
              </w:rPr>
              <w:t>najem prostorov za srečanja, konference, druge dogodke,</w:t>
            </w:r>
          </w:p>
          <w:p w14:paraId="7D39995E" w14:textId="77777777" w:rsidR="00E03711" w:rsidRPr="006E1B1F" w:rsidRDefault="00E03711" w:rsidP="005115F2">
            <w:pPr>
              <w:pStyle w:val="Guide-ListDash"/>
              <w:numPr>
                <w:ilvl w:val="1"/>
                <w:numId w:val="374"/>
              </w:numPr>
              <w:rPr>
                <w:bdr w:val="nil"/>
              </w:rPr>
            </w:pPr>
            <w:r w:rsidRPr="006E1B1F">
              <w:rPr>
                <w:bdr w:val="nil"/>
              </w:rPr>
              <w:t>stroški tolmačenja,</w:t>
            </w:r>
          </w:p>
          <w:p w14:paraId="7D39995F" w14:textId="77777777" w:rsidR="00E03711" w:rsidRPr="006E1B1F" w:rsidRDefault="00E03711" w:rsidP="005115F2">
            <w:pPr>
              <w:pStyle w:val="Guide-ListDash"/>
              <w:numPr>
                <w:ilvl w:val="1"/>
                <w:numId w:val="374"/>
              </w:numPr>
              <w:rPr>
                <w:bdr w:val="nil"/>
              </w:rPr>
            </w:pPr>
            <w:r w:rsidRPr="006E1B1F">
              <w:rPr>
                <w:bdr w:val="nil"/>
              </w:rPr>
              <w:t>stroški zunanjih govornikov (vključno s stroški prehrane in nastanitve; lokalni prevoz);</w:t>
            </w:r>
          </w:p>
          <w:p w14:paraId="7D399960" w14:textId="77777777" w:rsidR="00E03711" w:rsidRPr="006E1B1F" w:rsidRDefault="00E03711" w:rsidP="005115F2">
            <w:pPr>
              <w:pStyle w:val="Guide-ListDash"/>
              <w:numPr>
                <w:ilvl w:val="0"/>
                <w:numId w:val="374"/>
              </w:numPr>
              <w:rPr>
                <w:bdr w:val="nil"/>
              </w:rPr>
            </w:pPr>
            <w:r w:rsidRPr="006E1B1F">
              <w:rPr>
                <w:bdr w:val="nil"/>
              </w:rPr>
              <w:t>priprava intelektualnih rezultatov in razširjanje rezultatov projekta:</w:t>
            </w:r>
          </w:p>
          <w:p w14:paraId="7D399961" w14:textId="77777777" w:rsidR="00E03711" w:rsidRPr="006E1B1F" w:rsidRDefault="00E03711" w:rsidP="005115F2">
            <w:pPr>
              <w:pStyle w:val="Guide-ListDash"/>
              <w:numPr>
                <w:ilvl w:val="1"/>
                <w:numId w:val="374"/>
              </w:numPr>
              <w:rPr>
                <w:bdr w:val="nil"/>
              </w:rPr>
            </w:pPr>
            <w:r w:rsidRPr="006E1B1F">
              <w:rPr>
                <w:bdr w:val="nil"/>
              </w:rPr>
              <w:t>ustvarjanje,</w:t>
            </w:r>
          </w:p>
          <w:p w14:paraId="7D399962" w14:textId="77777777" w:rsidR="00E03711" w:rsidRPr="006E1B1F" w:rsidRDefault="00E03711" w:rsidP="005115F2">
            <w:pPr>
              <w:pStyle w:val="Guide-ListDash"/>
              <w:numPr>
                <w:ilvl w:val="1"/>
                <w:numId w:val="374"/>
              </w:numPr>
              <w:rPr>
                <w:bdr w:val="nil"/>
              </w:rPr>
            </w:pPr>
            <w:r w:rsidRPr="006E1B1F">
              <w:rPr>
                <w:bdr w:val="nil"/>
              </w:rPr>
              <w:t>prevajanje,</w:t>
            </w:r>
          </w:p>
          <w:p w14:paraId="7D399963" w14:textId="77777777" w:rsidR="00E03711" w:rsidRPr="00C60205" w:rsidRDefault="00E03711" w:rsidP="005115F2">
            <w:pPr>
              <w:pStyle w:val="Guide-ListDash"/>
              <w:numPr>
                <w:ilvl w:val="1"/>
                <w:numId w:val="374"/>
              </w:numPr>
              <w:rPr>
                <w:bdr w:val="nil"/>
                <w:lang w:val="it-IT"/>
              </w:rPr>
            </w:pPr>
            <w:r w:rsidRPr="00C60205">
              <w:rPr>
                <w:bdr w:val="nil"/>
                <w:lang w:val="it-IT"/>
              </w:rPr>
              <w:t>stroški razširjanja in/ali obveščanja;</w:t>
            </w:r>
          </w:p>
          <w:p w14:paraId="7D399964" w14:textId="77777777" w:rsidR="00E03711" w:rsidRPr="00C60205" w:rsidRDefault="00E03711" w:rsidP="005115F2">
            <w:pPr>
              <w:pStyle w:val="Guide-ListDash"/>
              <w:numPr>
                <w:ilvl w:val="0"/>
                <w:numId w:val="374"/>
              </w:numPr>
              <w:rPr>
                <w:bdr w:val="nil"/>
                <w:lang w:val="it-IT"/>
              </w:rPr>
            </w:pPr>
            <w:r w:rsidRPr="00C60205">
              <w:rPr>
                <w:bdr w:val="nil"/>
                <w:lang w:val="it-IT"/>
              </w:rPr>
              <w:t>posvetovanja, delavnice, javnomnenjske raziskave z mladimi na lokalni, regionalni, državni in mednarodni ravni, kolikor je to potrebno za dosego ciljev projekta;</w:t>
            </w:r>
          </w:p>
          <w:p w14:paraId="7D399965" w14:textId="77777777" w:rsidR="00E03711" w:rsidRPr="00C60205" w:rsidRDefault="00E03711" w:rsidP="005115F2">
            <w:pPr>
              <w:pStyle w:val="Guide-ListDash"/>
              <w:numPr>
                <w:ilvl w:val="0"/>
                <w:numId w:val="374"/>
              </w:numPr>
              <w:rPr>
                <w:bdr w:val="nil"/>
                <w:lang w:val="it-IT"/>
              </w:rPr>
            </w:pPr>
            <w:r w:rsidRPr="00C60205">
              <w:rPr>
                <w:bdr w:val="nil"/>
                <w:lang w:val="it-IT"/>
              </w:rPr>
              <w:t>jezikovne, medkulturne in z nalogami povezane priprave udeležencev v mobilnosti;</w:t>
            </w:r>
          </w:p>
          <w:p w14:paraId="7D399966" w14:textId="77777777" w:rsidR="00E03711" w:rsidRPr="00C60205" w:rsidRDefault="00E03711" w:rsidP="005115F2">
            <w:pPr>
              <w:pStyle w:val="Guide-ListDash"/>
              <w:numPr>
                <w:ilvl w:val="0"/>
                <w:numId w:val="374"/>
              </w:numPr>
              <w:rPr>
                <w:bdr w:val="nil"/>
                <w:lang w:val="it-IT"/>
              </w:rPr>
            </w:pPr>
            <w:r w:rsidRPr="00C60205">
              <w:rPr>
                <w:bdr w:val="nil"/>
                <w:lang w:val="it-IT"/>
              </w:rPr>
              <w:t xml:space="preserve">stroški finančne revizije projekta (če je obseg zahtevanih nepovratnih sredstev višji od 60.000 EUR). </w:t>
            </w:r>
          </w:p>
          <w:p w14:paraId="7D399967" w14:textId="77777777" w:rsidR="00E03711" w:rsidRPr="006E1B1F" w:rsidRDefault="00E03711" w:rsidP="006E1B1F">
            <w:pPr>
              <w:pStyle w:val="Guide-ListDash"/>
              <w:numPr>
                <w:ilvl w:val="0"/>
                <w:numId w:val="0"/>
              </w:numPr>
              <w:rPr>
                <w:bdr w:val="nil"/>
              </w:rPr>
            </w:pPr>
            <w:r w:rsidRPr="00C60205">
              <w:rPr>
                <w:bdr w:val="nil"/>
                <w:lang w:val="it-IT"/>
              </w:rPr>
              <w:br/>
            </w:r>
            <w:r w:rsidRPr="006E1B1F">
              <w:rPr>
                <w:bdr w:val="nil"/>
              </w:rPr>
              <w:t xml:space="preserve">Posredni stroški: </w:t>
            </w:r>
          </w:p>
          <w:p w14:paraId="7D399968" w14:textId="77777777" w:rsidR="00E03711" w:rsidRPr="006E1B1F" w:rsidRDefault="00E03711" w:rsidP="005115F2">
            <w:pPr>
              <w:pStyle w:val="Guide-ListDash"/>
              <w:numPr>
                <w:ilvl w:val="0"/>
                <w:numId w:val="374"/>
              </w:numPr>
              <w:rPr>
                <w:bdr w:val="nil"/>
              </w:rPr>
            </w:pPr>
            <w:r w:rsidRPr="006E1B1F">
              <w:rPr>
                <w:bdr w:val="nil"/>
              </w:rPr>
              <w:t>Pavšalni znesek, ki ne presega 7 % upravičenih neposrednih stroškov projekta, je upravičen v okviru posrednih stroškov in predstavlja splošne administrativne stroške upravičenca, ki niso že zdaj kriti iz upravičenih neposrednih stroškov (npr. računi za elektriko ali internet, stroški prostorov itd.), a jih je mogoče obračunati pri projektu.</w:t>
            </w:r>
          </w:p>
        </w:tc>
        <w:tc>
          <w:tcPr>
            <w:tcW w:w="632" w:type="pct"/>
            <w:shd w:val="clear" w:color="auto" w:fill="auto"/>
            <w:vAlign w:val="center"/>
          </w:tcPr>
          <w:p w14:paraId="7D399969" w14:textId="77777777" w:rsidR="00E03711" w:rsidRPr="00237696" w:rsidRDefault="00E03711" w:rsidP="00237696">
            <w:pPr>
              <w:pStyle w:val="GUIDE-NORMAL"/>
              <w:spacing w:before="60" w:after="60"/>
              <w:jc w:val="left"/>
              <w:rPr>
                <w:lang w:val="sl-SI" w:eastAsia="en-GB"/>
              </w:rPr>
            </w:pPr>
            <w:r w:rsidRPr="00237696">
              <w:rPr>
                <w:lang w:val="sl-SI" w:eastAsia="en-GB"/>
              </w:rPr>
              <w:t>Dejanski stroški</w:t>
            </w:r>
          </w:p>
        </w:tc>
        <w:tc>
          <w:tcPr>
            <w:tcW w:w="968" w:type="pct"/>
            <w:shd w:val="clear" w:color="auto" w:fill="auto"/>
            <w:vAlign w:val="center"/>
          </w:tcPr>
          <w:p w14:paraId="7D39996A" w14:textId="77777777" w:rsidR="00E03711" w:rsidRPr="00237696" w:rsidRDefault="00E03711" w:rsidP="00237696">
            <w:pPr>
              <w:pStyle w:val="GUIDE-NORMAL"/>
              <w:spacing w:before="60" w:after="60"/>
              <w:jc w:val="left"/>
              <w:rPr>
                <w:lang w:val="sl-SI" w:eastAsia="en-GB"/>
              </w:rPr>
            </w:pPr>
            <w:r w:rsidRPr="00237696">
              <w:rPr>
                <w:lang w:val="sl-SI" w:eastAsia="en-GB"/>
              </w:rPr>
              <w:t>Največ 80 % skupnih upravičenih stroškov.</w:t>
            </w:r>
          </w:p>
        </w:tc>
        <w:tc>
          <w:tcPr>
            <w:tcW w:w="678" w:type="pct"/>
            <w:shd w:val="clear" w:color="auto" w:fill="auto"/>
            <w:vAlign w:val="center"/>
          </w:tcPr>
          <w:p w14:paraId="7D39996B" w14:textId="77777777" w:rsidR="00E03711" w:rsidRPr="00237696" w:rsidRDefault="00E03711" w:rsidP="00563DE8">
            <w:pPr>
              <w:pStyle w:val="GUIDE-NORMAL"/>
              <w:spacing w:before="60" w:after="60"/>
              <w:jc w:val="left"/>
              <w:rPr>
                <w:lang w:val="sl-SI" w:eastAsia="en-GB"/>
              </w:rPr>
            </w:pPr>
            <w:r w:rsidRPr="00237696">
              <w:rPr>
                <w:lang w:val="sl-SI" w:eastAsia="en-GB"/>
              </w:rPr>
              <w:t xml:space="preserve">Pogoj: zahtevani proračun je upravičen glede na načrtovane aktivnosti. </w:t>
            </w:r>
          </w:p>
        </w:tc>
      </w:tr>
      <w:tr w:rsidR="00E03711" w:rsidRPr="00C60205" w14:paraId="7D399972" w14:textId="77777777" w:rsidTr="00F05D26">
        <w:trPr>
          <w:trHeight w:val="20"/>
        </w:trPr>
        <w:tc>
          <w:tcPr>
            <w:tcW w:w="519" w:type="pct"/>
            <w:vMerge w:val="restart"/>
            <w:shd w:val="clear" w:color="auto" w:fill="auto"/>
            <w:vAlign w:val="center"/>
          </w:tcPr>
          <w:p w14:paraId="7D39996D" w14:textId="77777777" w:rsidR="00E03711" w:rsidRPr="00237696" w:rsidRDefault="00E03711" w:rsidP="00237696">
            <w:pPr>
              <w:pStyle w:val="GUIDE-NORMAL"/>
              <w:jc w:val="left"/>
              <w:rPr>
                <w:b/>
                <w:lang w:val="sl-SI" w:eastAsia="en-GB"/>
              </w:rPr>
            </w:pPr>
            <w:r w:rsidRPr="00237696">
              <w:rPr>
                <w:b/>
                <w:lang w:val="sl-SI" w:eastAsia="en-GB"/>
              </w:rPr>
              <w:t>Potni stroški</w:t>
            </w:r>
          </w:p>
        </w:tc>
        <w:tc>
          <w:tcPr>
            <w:tcW w:w="2204" w:type="pct"/>
            <w:vMerge w:val="restart"/>
            <w:shd w:val="clear" w:color="auto" w:fill="auto"/>
            <w:vAlign w:val="center"/>
          </w:tcPr>
          <w:p w14:paraId="7D39996E" w14:textId="77777777" w:rsidR="00E03711" w:rsidRPr="00237696" w:rsidRDefault="00E03711" w:rsidP="00237696">
            <w:pPr>
              <w:pStyle w:val="GUIDE-NORMAL"/>
              <w:jc w:val="left"/>
              <w:rPr>
                <w:lang w:val="sl-SI" w:eastAsia="en-GB"/>
              </w:rPr>
            </w:pPr>
            <w:r w:rsidRPr="00237696">
              <w:rPr>
                <w:lang w:val="sl-SI" w:eastAsia="en-GB"/>
              </w:rPr>
              <w:t>Potni stroški za mednarodna srečanja projektnih partnerjev za namene izvajanja in koordinacije, konference in obsežni mladinski dogodki:</w:t>
            </w:r>
          </w:p>
        </w:tc>
        <w:tc>
          <w:tcPr>
            <w:tcW w:w="632" w:type="pct"/>
            <w:vMerge w:val="restart"/>
            <w:shd w:val="clear" w:color="auto" w:fill="auto"/>
            <w:vAlign w:val="center"/>
          </w:tcPr>
          <w:p w14:paraId="7D39996F" w14:textId="77777777" w:rsidR="00E03711" w:rsidRPr="00237696" w:rsidRDefault="00E03711" w:rsidP="00237696">
            <w:pPr>
              <w:pStyle w:val="GUIDE-NORMAL"/>
              <w:jc w:val="left"/>
              <w:rPr>
                <w:lang w:val="sl-SI" w:eastAsia="en-GB"/>
              </w:rPr>
            </w:pPr>
            <w:r w:rsidRPr="00237696">
              <w:rPr>
                <w:lang w:val="sl-SI" w:eastAsia="en-GB"/>
              </w:rPr>
              <w:t xml:space="preserve">Prispevek </w:t>
            </w:r>
            <w:r w:rsidRPr="00237696">
              <w:rPr>
                <w:lang w:val="sl-SI" w:eastAsia="en-GB"/>
              </w:rPr>
              <w:br/>
              <w:t xml:space="preserve">za stroške </w:t>
            </w:r>
            <w:r w:rsidRPr="00237696">
              <w:rPr>
                <w:lang w:val="sl-SI" w:eastAsia="en-GB"/>
              </w:rPr>
              <w:br/>
              <w:t>na enoto</w:t>
            </w:r>
          </w:p>
        </w:tc>
        <w:tc>
          <w:tcPr>
            <w:tcW w:w="968" w:type="pct"/>
            <w:shd w:val="clear" w:color="auto" w:fill="auto"/>
            <w:vAlign w:val="center"/>
          </w:tcPr>
          <w:p w14:paraId="7D399970" w14:textId="77777777" w:rsidR="00E03711" w:rsidRPr="00237696" w:rsidRDefault="00E03711" w:rsidP="00237696">
            <w:pPr>
              <w:pStyle w:val="GUIDE-NORMAL"/>
              <w:spacing w:before="60" w:after="60"/>
              <w:jc w:val="left"/>
              <w:rPr>
                <w:lang w:val="sl-SI" w:eastAsia="en-GB"/>
              </w:rPr>
            </w:pPr>
            <w:r w:rsidRPr="00237696">
              <w:rPr>
                <w:lang w:val="sl-SI" w:eastAsia="en-GB"/>
              </w:rPr>
              <w:t xml:space="preserve">Za razdalje od 10 </w:t>
            </w:r>
            <w:r w:rsidRPr="00237696">
              <w:rPr>
                <w:lang w:val="sl-SI" w:eastAsia="en-GB"/>
              </w:rPr>
              <w:br/>
              <w:t xml:space="preserve">do 99 km: 20 EUR </w:t>
            </w:r>
            <w:r w:rsidRPr="00237696">
              <w:rPr>
                <w:lang w:val="sl-SI" w:eastAsia="en-GB"/>
              </w:rPr>
              <w:br/>
              <w:t>na udeleženca.</w:t>
            </w:r>
          </w:p>
        </w:tc>
        <w:tc>
          <w:tcPr>
            <w:tcW w:w="678" w:type="pct"/>
            <w:vMerge w:val="restart"/>
            <w:shd w:val="clear" w:color="auto" w:fill="auto"/>
            <w:vAlign w:val="center"/>
          </w:tcPr>
          <w:p w14:paraId="7D399971" w14:textId="77777777" w:rsidR="00E03711" w:rsidRPr="00237696" w:rsidRDefault="00E03711" w:rsidP="00237696">
            <w:pPr>
              <w:pStyle w:val="GUIDE-NORMAL"/>
              <w:jc w:val="left"/>
              <w:rPr>
                <w:lang w:val="sl-SI" w:eastAsia="en-GB"/>
              </w:rPr>
            </w:pPr>
            <w:r w:rsidRPr="00237696">
              <w:rPr>
                <w:lang w:val="sl-SI" w:eastAsia="en-GB"/>
              </w:rPr>
              <w:t xml:space="preserve">Glede na razdaljo </w:t>
            </w:r>
            <w:r w:rsidRPr="00237696">
              <w:rPr>
                <w:lang w:val="sl-SI" w:eastAsia="en-GB"/>
              </w:rPr>
              <w:br/>
              <w:t xml:space="preserve">poti na udeleženca. Razdaljo je treba izračunati s kalkulatorjem razdalje, ki </w:t>
            </w:r>
            <w:r w:rsidRPr="00237696">
              <w:rPr>
                <w:lang w:val="sl-SI" w:eastAsia="en-GB"/>
              </w:rPr>
              <w:br/>
              <w:t>ga podpira Evropska komisija. Prijavitelj mora navesti razdaljo enosmerne poti za izračun zneska nepovratnih sredstev EU za kritje povratne poti.</w:t>
            </w:r>
          </w:p>
        </w:tc>
      </w:tr>
      <w:tr w:rsidR="00E03711" w:rsidRPr="00C60205" w14:paraId="7D399978" w14:textId="77777777" w:rsidTr="00F05D26">
        <w:trPr>
          <w:trHeight w:val="20"/>
        </w:trPr>
        <w:tc>
          <w:tcPr>
            <w:tcW w:w="519" w:type="pct"/>
            <w:vMerge/>
            <w:shd w:val="clear" w:color="auto" w:fill="auto"/>
          </w:tcPr>
          <w:p w14:paraId="7D399973" w14:textId="77777777" w:rsidR="00E03711" w:rsidRPr="00237696" w:rsidRDefault="00E03711" w:rsidP="00237696">
            <w:pPr>
              <w:pStyle w:val="GUIDE-NORMAL"/>
              <w:spacing w:before="60" w:after="60"/>
              <w:rPr>
                <w:b/>
                <w:bCs/>
                <w:sz w:val="2"/>
                <w:szCs w:val="2"/>
                <w:lang w:val="sl-SI" w:eastAsia="en-GB"/>
              </w:rPr>
            </w:pPr>
          </w:p>
        </w:tc>
        <w:tc>
          <w:tcPr>
            <w:tcW w:w="2204" w:type="pct"/>
            <w:vMerge/>
            <w:shd w:val="clear" w:color="auto" w:fill="auto"/>
            <w:vAlign w:val="center"/>
          </w:tcPr>
          <w:p w14:paraId="7D399974" w14:textId="77777777" w:rsidR="00E03711" w:rsidRPr="00237696" w:rsidRDefault="00E03711" w:rsidP="00237696">
            <w:pPr>
              <w:pStyle w:val="GUIDE-NORMAL"/>
              <w:spacing w:before="60" w:after="60"/>
              <w:jc w:val="left"/>
              <w:rPr>
                <w:b/>
                <w:bCs/>
                <w:sz w:val="2"/>
                <w:szCs w:val="2"/>
                <w:lang w:val="sl-SI" w:eastAsia="en-GB"/>
              </w:rPr>
            </w:pPr>
          </w:p>
        </w:tc>
        <w:tc>
          <w:tcPr>
            <w:tcW w:w="632" w:type="pct"/>
            <w:vMerge/>
            <w:shd w:val="clear" w:color="auto" w:fill="auto"/>
            <w:vAlign w:val="center"/>
          </w:tcPr>
          <w:p w14:paraId="7D399975" w14:textId="77777777" w:rsidR="00E03711" w:rsidRPr="00237696" w:rsidRDefault="00E03711" w:rsidP="00237696">
            <w:pPr>
              <w:pStyle w:val="GUIDE-NORMAL"/>
              <w:spacing w:before="60" w:after="60"/>
              <w:jc w:val="left"/>
              <w:rPr>
                <w:b/>
                <w:bCs/>
                <w:sz w:val="2"/>
                <w:szCs w:val="2"/>
                <w:lang w:val="sl-SI" w:eastAsia="en-GB"/>
              </w:rPr>
            </w:pPr>
          </w:p>
        </w:tc>
        <w:tc>
          <w:tcPr>
            <w:tcW w:w="968" w:type="pct"/>
            <w:shd w:val="clear" w:color="auto" w:fill="auto"/>
            <w:vAlign w:val="center"/>
          </w:tcPr>
          <w:p w14:paraId="7D399976" w14:textId="77777777" w:rsidR="00E03711" w:rsidRPr="00237696" w:rsidRDefault="00E03711" w:rsidP="00237696">
            <w:pPr>
              <w:pStyle w:val="GUIDE-NORMAL"/>
              <w:spacing w:before="60" w:after="60"/>
              <w:jc w:val="left"/>
              <w:rPr>
                <w:lang w:val="sl-SI" w:eastAsia="en-GB"/>
              </w:rPr>
            </w:pPr>
            <w:r w:rsidRPr="00237696">
              <w:rPr>
                <w:lang w:val="sl-SI" w:eastAsia="en-GB"/>
              </w:rPr>
              <w:t xml:space="preserve">Za razdalje </w:t>
            </w:r>
            <w:r w:rsidRPr="00237696">
              <w:rPr>
                <w:lang w:val="sl-SI" w:eastAsia="en-GB"/>
              </w:rPr>
              <w:br/>
              <w:t>od 100 do 499 km: 180 EUR na udeleženca.</w:t>
            </w:r>
          </w:p>
        </w:tc>
        <w:tc>
          <w:tcPr>
            <w:tcW w:w="678" w:type="pct"/>
            <w:vMerge/>
            <w:shd w:val="clear" w:color="auto" w:fill="auto"/>
          </w:tcPr>
          <w:p w14:paraId="7D399977" w14:textId="77777777" w:rsidR="00E03711" w:rsidRPr="00237696" w:rsidRDefault="00E03711" w:rsidP="00237696">
            <w:pPr>
              <w:pStyle w:val="GUIDE-NORMAL"/>
              <w:spacing w:before="60" w:after="60"/>
              <w:rPr>
                <w:b/>
                <w:bCs/>
                <w:sz w:val="2"/>
                <w:szCs w:val="2"/>
                <w:lang w:val="sl-SI" w:eastAsia="en-GB"/>
              </w:rPr>
            </w:pPr>
          </w:p>
        </w:tc>
      </w:tr>
      <w:tr w:rsidR="00E03711" w:rsidRPr="00C60205" w14:paraId="7D39997E" w14:textId="77777777" w:rsidTr="00F05D26">
        <w:trPr>
          <w:trHeight w:val="20"/>
        </w:trPr>
        <w:tc>
          <w:tcPr>
            <w:tcW w:w="519" w:type="pct"/>
            <w:vMerge/>
            <w:shd w:val="clear" w:color="auto" w:fill="auto"/>
          </w:tcPr>
          <w:p w14:paraId="7D399979" w14:textId="77777777" w:rsidR="00E03711" w:rsidRPr="00237696" w:rsidRDefault="00E03711" w:rsidP="00237696">
            <w:pPr>
              <w:pStyle w:val="GUIDE-NORMAL"/>
              <w:spacing w:before="60" w:after="60"/>
              <w:rPr>
                <w:b/>
                <w:bCs/>
                <w:sz w:val="2"/>
                <w:szCs w:val="2"/>
                <w:lang w:val="sl-SI" w:eastAsia="en-GB"/>
              </w:rPr>
            </w:pPr>
          </w:p>
        </w:tc>
        <w:tc>
          <w:tcPr>
            <w:tcW w:w="2204" w:type="pct"/>
            <w:vMerge/>
            <w:shd w:val="clear" w:color="auto" w:fill="auto"/>
            <w:vAlign w:val="center"/>
          </w:tcPr>
          <w:p w14:paraId="7D39997A" w14:textId="77777777" w:rsidR="00E03711" w:rsidRPr="00237696" w:rsidRDefault="00E03711" w:rsidP="00237696">
            <w:pPr>
              <w:pStyle w:val="GUIDE-NORMAL"/>
              <w:spacing w:before="60" w:after="60"/>
              <w:jc w:val="left"/>
              <w:rPr>
                <w:b/>
                <w:bCs/>
                <w:sz w:val="2"/>
                <w:szCs w:val="2"/>
                <w:lang w:val="sl-SI" w:eastAsia="en-GB"/>
              </w:rPr>
            </w:pPr>
          </w:p>
        </w:tc>
        <w:tc>
          <w:tcPr>
            <w:tcW w:w="632" w:type="pct"/>
            <w:vMerge/>
            <w:shd w:val="clear" w:color="auto" w:fill="auto"/>
            <w:vAlign w:val="center"/>
          </w:tcPr>
          <w:p w14:paraId="7D39997B" w14:textId="77777777" w:rsidR="00E03711" w:rsidRPr="00237696" w:rsidRDefault="00E03711" w:rsidP="00237696">
            <w:pPr>
              <w:pStyle w:val="GUIDE-NORMAL"/>
              <w:spacing w:before="60" w:after="60"/>
              <w:jc w:val="left"/>
              <w:rPr>
                <w:b/>
                <w:bCs/>
                <w:sz w:val="2"/>
                <w:szCs w:val="2"/>
                <w:lang w:val="sl-SI" w:eastAsia="en-GB"/>
              </w:rPr>
            </w:pPr>
          </w:p>
        </w:tc>
        <w:tc>
          <w:tcPr>
            <w:tcW w:w="968" w:type="pct"/>
            <w:shd w:val="clear" w:color="auto" w:fill="auto"/>
            <w:vAlign w:val="center"/>
          </w:tcPr>
          <w:p w14:paraId="7D39997C" w14:textId="77777777" w:rsidR="00E03711" w:rsidRPr="00237696" w:rsidRDefault="00E03711" w:rsidP="00237696">
            <w:pPr>
              <w:pStyle w:val="GUIDE-NORMAL"/>
              <w:spacing w:before="60" w:after="60"/>
              <w:jc w:val="left"/>
              <w:rPr>
                <w:lang w:val="sl-SI" w:eastAsia="en-GB"/>
              </w:rPr>
            </w:pPr>
            <w:r w:rsidRPr="00237696">
              <w:rPr>
                <w:lang w:val="sl-SI" w:eastAsia="en-GB"/>
              </w:rPr>
              <w:t xml:space="preserve">Za razdalje od </w:t>
            </w:r>
            <w:r w:rsidRPr="00237696">
              <w:rPr>
                <w:lang w:val="sl-SI" w:eastAsia="en-GB"/>
              </w:rPr>
              <w:br/>
              <w:t>500 do 1 999 km: 275 EUR na udeleženca.</w:t>
            </w:r>
          </w:p>
        </w:tc>
        <w:tc>
          <w:tcPr>
            <w:tcW w:w="678" w:type="pct"/>
            <w:vMerge/>
            <w:shd w:val="clear" w:color="auto" w:fill="auto"/>
          </w:tcPr>
          <w:p w14:paraId="7D39997D" w14:textId="77777777" w:rsidR="00E03711" w:rsidRPr="00237696" w:rsidRDefault="00E03711" w:rsidP="00237696">
            <w:pPr>
              <w:pStyle w:val="GUIDE-NORMAL"/>
              <w:spacing w:before="60" w:after="60"/>
              <w:rPr>
                <w:b/>
                <w:bCs/>
                <w:sz w:val="2"/>
                <w:szCs w:val="2"/>
                <w:lang w:val="sl-SI" w:eastAsia="en-GB"/>
              </w:rPr>
            </w:pPr>
          </w:p>
        </w:tc>
      </w:tr>
      <w:tr w:rsidR="00E03711" w:rsidRPr="00C60205" w14:paraId="7D399984" w14:textId="77777777" w:rsidTr="00F05D26">
        <w:trPr>
          <w:trHeight w:val="20"/>
        </w:trPr>
        <w:tc>
          <w:tcPr>
            <w:tcW w:w="519" w:type="pct"/>
            <w:vMerge/>
            <w:shd w:val="clear" w:color="auto" w:fill="auto"/>
          </w:tcPr>
          <w:p w14:paraId="7D39997F" w14:textId="77777777" w:rsidR="00E03711" w:rsidRPr="00237696" w:rsidRDefault="00E03711" w:rsidP="00237696">
            <w:pPr>
              <w:pStyle w:val="GUIDE-NORMAL"/>
              <w:spacing w:before="60" w:after="60"/>
              <w:rPr>
                <w:b/>
                <w:bCs/>
                <w:sz w:val="2"/>
                <w:szCs w:val="2"/>
                <w:lang w:val="sl-SI" w:eastAsia="en-GB"/>
              </w:rPr>
            </w:pPr>
          </w:p>
        </w:tc>
        <w:tc>
          <w:tcPr>
            <w:tcW w:w="2204" w:type="pct"/>
            <w:vMerge/>
            <w:shd w:val="clear" w:color="auto" w:fill="auto"/>
            <w:vAlign w:val="center"/>
          </w:tcPr>
          <w:p w14:paraId="7D399980" w14:textId="77777777" w:rsidR="00E03711" w:rsidRPr="00237696" w:rsidRDefault="00E03711" w:rsidP="00237696">
            <w:pPr>
              <w:pStyle w:val="GUIDE-NORMAL"/>
              <w:spacing w:before="60" w:after="60"/>
              <w:jc w:val="left"/>
              <w:rPr>
                <w:b/>
                <w:bCs/>
                <w:sz w:val="2"/>
                <w:szCs w:val="2"/>
                <w:lang w:val="sl-SI" w:eastAsia="en-GB"/>
              </w:rPr>
            </w:pPr>
          </w:p>
        </w:tc>
        <w:tc>
          <w:tcPr>
            <w:tcW w:w="632" w:type="pct"/>
            <w:vMerge/>
            <w:shd w:val="clear" w:color="auto" w:fill="auto"/>
            <w:vAlign w:val="center"/>
          </w:tcPr>
          <w:p w14:paraId="7D399981" w14:textId="77777777" w:rsidR="00E03711" w:rsidRPr="00237696" w:rsidRDefault="00E03711" w:rsidP="00237696">
            <w:pPr>
              <w:pStyle w:val="GUIDE-NORMAL"/>
              <w:spacing w:before="60" w:after="60"/>
              <w:jc w:val="left"/>
              <w:rPr>
                <w:b/>
                <w:bCs/>
                <w:sz w:val="2"/>
                <w:szCs w:val="2"/>
                <w:lang w:val="sl-SI" w:eastAsia="en-GB"/>
              </w:rPr>
            </w:pPr>
          </w:p>
        </w:tc>
        <w:tc>
          <w:tcPr>
            <w:tcW w:w="968" w:type="pct"/>
            <w:shd w:val="clear" w:color="auto" w:fill="auto"/>
            <w:vAlign w:val="center"/>
          </w:tcPr>
          <w:p w14:paraId="7D399982" w14:textId="77777777" w:rsidR="00E03711" w:rsidRPr="00237696" w:rsidRDefault="00E03711" w:rsidP="00237696">
            <w:pPr>
              <w:pStyle w:val="GUIDE-NORMAL"/>
              <w:spacing w:before="60" w:after="60"/>
              <w:jc w:val="left"/>
              <w:rPr>
                <w:lang w:val="sl-SI" w:eastAsia="en-GB"/>
              </w:rPr>
            </w:pPr>
            <w:r w:rsidRPr="00237696">
              <w:rPr>
                <w:lang w:val="sl-SI" w:eastAsia="en-GB"/>
              </w:rPr>
              <w:t xml:space="preserve">Za razdalje od </w:t>
            </w:r>
            <w:r w:rsidRPr="00237696">
              <w:rPr>
                <w:lang w:val="sl-SI" w:eastAsia="en-GB"/>
              </w:rPr>
              <w:br/>
              <w:t>2 000 do 2 999 km: 360 EUR na udeleženca.</w:t>
            </w:r>
          </w:p>
        </w:tc>
        <w:tc>
          <w:tcPr>
            <w:tcW w:w="678" w:type="pct"/>
            <w:vMerge/>
            <w:shd w:val="clear" w:color="auto" w:fill="auto"/>
          </w:tcPr>
          <w:p w14:paraId="7D399983" w14:textId="77777777" w:rsidR="00E03711" w:rsidRPr="00237696" w:rsidRDefault="00E03711" w:rsidP="00237696">
            <w:pPr>
              <w:pStyle w:val="GUIDE-NORMAL"/>
              <w:spacing w:before="60" w:after="60"/>
              <w:rPr>
                <w:b/>
                <w:bCs/>
                <w:sz w:val="2"/>
                <w:szCs w:val="2"/>
                <w:lang w:val="sl-SI" w:eastAsia="en-GB"/>
              </w:rPr>
            </w:pPr>
          </w:p>
        </w:tc>
      </w:tr>
      <w:tr w:rsidR="00E03711" w:rsidRPr="00C60205" w14:paraId="7D39998A" w14:textId="77777777" w:rsidTr="00F05D26">
        <w:trPr>
          <w:trHeight w:val="20"/>
        </w:trPr>
        <w:tc>
          <w:tcPr>
            <w:tcW w:w="519" w:type="pct"/>
            <w:vMerge/>
            <w:shd w:val="clear" w:color="auto" w:fill="auto"/>
          </w:tcPr>
          <w:p w14:paraId="7D399985" w14:textId="77777777" w:rsidR="00E03711" w:rsidRPr="00237696" w:rsidRDefault="00E03711" w:rsidP="00237696">
            <w:pPr>
              <w:pStyle w:val="GUIDE-NORMAL"/>
              <w:spacing w:before="60" w:after="60"/>
              <w:rPr>
                <w:b/>
                <w:bCs/>
                <w:sz w:val="2"/>
                <w:szCs w:val="2"/>
                <w:lang w:val="sl-SI" w:eastAsia="en-GB"/>
              </w:rPr>
            </w:pPr>
          </w:p>
        </w:tc>
        <w:tc>
          <w:tcPr>
            <w:tcW w:w="2204" w:type="pct"/>
            <w:vMerge/>
            <w:shd w:val="clear" w:color="auto" w:fill="auto"/>
            <w:vAlign w:val="center"/>
          </w:tcPr>
          <w:p w14:paraId="7D399986" w14:textId="77777777" w:rsidR="00E03711" w:rsidRPr="00237696" w:rsidRDefault="00E03711" w:rsidP="00237696">
            <w:pPr>
              <w:pStyle w:val="GUIDE-NORMAL"/>
              <w:spacing w:before="60" w:after="60"/>
              <w:jc w:val="left"/>
              <w:rPr>
                <w:b/>
                <w:bCs/>
                <w:sz w:val="2"/>
                <w:szCs w:val="2"/>
                <w:lang w:val="sl-SI" w:eastAsia="en-GB"/>
              </w:rPr>
            </w:pPr>
          </w:p>
        </w:tc>
        <w:tc>
          <w:tcPr>
            <w:tcW w:w="632" w:type="pct"/>
            <w:vMerge/>
            <w:shd w:val="clear" w:color="auto" w:fill="auto"/>
            <w:vAlign w:val="center"/>
          </w:tcPr>
          <w:p w14:paraId="7D399987" w14:textId="77777777" w:rsidR="00E03711" w:rsidRPr="00237696" w:rsidRDefault="00E03711" w:rsidP="00237696">
            <w:pPr>
              <w:pStyle w:val="GUIDE-NORMAL"/>
              <w:spacing w:before="60" w:after="60"/>
              <w:jc w:val="left"/>
              <w:rPr>
                <w:b/>
                <w:bCs/>
                <w:sz w:val="2"/>
                <w:szCs w:val="2"/>
                <w:lang w:val="sl-SI" w:eastAsia="en-GB"/>
              </w:rPr>
            </w:pPr>
          </w:p>
        </w:tc>
        <w:tc>
          <w:tcPr>
            <w:tcW w:w="968" w:type="pct"/>
            <w:shd w:val="clear" w:color="auto" w:fill="auto"/>
            <w:vAlign w:val="center"/>
          </w:tcPr>
          <w:p w14:paraId="7D399988" w14:textId="77777777" w:rsidR="00E03711" w:rsidRPr="00237696" w:rsidRDefault="00E03711" w:rsidP="00237696">
            <w:pPr>
              <w:pStyle w:val="GUIDE-NORMAL"/>
              <w:spacing w:before="60" w:after="60"/>
              <w:jc w:val="left"/>
              <w:rPr>
                <w:lang w:val="sl-SI" w:eastAsia="en-GB"/>
              </w:rPr>
            </w:pPr>
            <w:r w:rsidRPr="00237696">
              <w:rPr>
                <w:lang w:val="sl-SI" w:eastAsia="en-GB"/>
              </w:rPr>
              <w:t xml:space="preserve">Za razdalje od </w:t>
            </w:r>
            <w:r w:rsidRPr="00237696">
              <w:rPr>
                <w:lang w:val="sl-SI" w:eastAsia="en-GB"/>
              </w:rPr>
              <w:br/>
              <w:t>3 000 do 3 999 km: 530 EUR na udeleženca.</w:t>
            </w:r>
          </w:p>
        </w:tc>
        <w:tc>
          <w:tcPr>
            <w:tcW w:w="678" w:type="pct"/>
            <w:vMerge/>
            <w:shd w:val="clear" w:color="auto" w:fill="auto"/>
          </w:tcPr>
          <w:p w14:paraId="7D399989" w14:textId="77777777" w:rsidR="00E03711" w:rsidRPr="00237696" w:rsidRDefault="00E03711" w:rsidP="00237696">
            <w:pPr>
              <w:pStyle w:val="GUIDE-NORMAL"/>
              <w:spacing w:before="60" w:after="60"/>
              <w:rPr>
                <w:b/>
                <w:bCs/>
                <w:sz w:val="2"/>
                <w:szCs w:val="2"/>
                <w:lang w:val="sl-SI" w:eastAsia="en-GB"/>
              </w:rPr>
            </w:pPr>
          </w:p>
        </w:tc>
      </w:tr>
      <w:tr w:rsidR="00E03711" w:rsidRPr="00C60205" w14:paraId="7D399990" w14:textId="77777777" w:rsidTr="00F05D26">
        <w:trPr>
          <w:trHeight w:val="20"/>
        </w:trPr>
        <w:tc>
          <w:tcPr>
            <w:tcW w:w="519" w:type="pct"/>
            <w:vMerge/>
            <w:shd w:val="clear" w:color="auto" w:fill="auto"/>
          </w:tcPr>
          <w:p w14:paraId="7D39998B" w14:textId="77777777" w:rsidR="00E03711" w:rsidRPr="00237696" w:rsidRDefault="00E03711" w:rsidP="00237696">
            <w:pPr>
              <w:pStyle w:val="GUIDE-NORMAL"/>
              <w:spacing w:before="60" w:after="60"/>
              <w:rPr>
                <w:b/>
                <w:bCs/>
                <w:sz w:val="2"/>
                <w:szCs w:val="2"/>
                <w:lang w:val="sl-SI" w:eastAsia="en-GB"/>
              </w:rPr>
            </w:pPr>
          </w:p>
        </w:tc>
        <w:tc>
          <w:tcPr>
            <w:tcW w:w="2204" w:type="pct"/>
            <w:vMerge/>
            <w:shd w:val="clear" w:color="auto" w:fill="auto"/>
            <w:vAlign w:val="center"/>
          </w:tcPr>
          <w:p w14:paraId="7D39998C" w14:textId="77777777" w:rsidR="00E03711" w:rsidRPr="00237696" w:rsidRDefault="00E03711" w:rsidP="00237696">
            <w:pPr>
              <w:pStyle w:val="GUIDE-NORMAL"/>
              <w:spacing w:before="60" w:after="60"/>
              <w:jc w:val="left"/>
              <w:rPr>
                <w:b/>
                <w:bCs/>
                <w:sz w:val="2"/>
                <w:szCs w:val="2"/>
                <w:lang w:val="sl-SI" w:eastAsia="en-GB"/>
              </w:rPr>
            </w:pPr>
          </w:p>
        </w:tc>
        <w:tc>
          <w:tcPr>
            <w:tcW w:w="632" w:type="pct"/>
            <w:vMerge/>
            <w:shd w:val="clear" w:color="auto" w:fill="auto"/>
            <w:vAlign w:val="center"/>
          </w:tcPr>
          <w:p w14:paraId="7D39998D" w14:textId="77777777" w:rsidR="00E03711" w:rsidRPr="00237696" w:rsidRDefault="00E03711" w:rsidP="00237696">
            <w:pPr>
              <w:pStyle w:val="GUIDE-NORMAL"/>
              <w:spacing w:before="60" w:after="60"/>
              <w:jc w:val="left"/>
              <w:rPr>
                <w:b/>
                <w:bCs/>
                <w:sz w:val="2"/>
                <w:szCs w:val="2"/>
                <w:lang w:val="sl-SI" w:eastAsia="en-GB"/>
              </w:rPr>
            </w:pPr>
          </w:p>
        </w:tc>
        <w:tc>
          <w:tcPr>
            <w:tcW w:w="968" w:type="pct"/>
            <w:shd w:val="clear" w:color="auto" w:fill="auto"/>
            <w:vAlign w:val="center"/>
          </w:tcPr>
          <w:p w14:paraId="7D39998E" w14:textId="77777777" w:rsidR="00E03711" w:rsidRPr="00237696" w:rsidRDefault="00E03711" w:rsidP="00237696">
            <w:pPr>
              <w:pStyle w:val="GUIDE-NORMAL"/>
              <w:spacing w:before="60" w:after="60"/>
              <w:jc w:val="left"/>
              <w:rPr>
                <w:lang w:val="sl-SI" w:eastAsia="en-GB"/>
              </w:rPr>
            </w:pPr>
            <w:r w:rsidRPr="00237696">
              <w:rPr>
                <w:lang w:val="sl-SI" w:eastAsia="en-GB"/>
              </w:rPr>
              <w:t xml:space="preserve">Za razdalje od </w:t>
            </w:r>
            <w:r w:rsidRPr="00237696">
              <w:rPr>
                <w:lang w:val="sl-SI" w:eastAsia="en-GB"/>
              </w:rPr>
              <w:br/>
              <w:t>4 000 do 7 999 km: 820 EUR na udeleženca.</w:t>
            </w:r>
          </w:p>
        </w:tc>
        <w:tc>
          <w:tcPr>
            <w:tcW w:w="678" w:type="pct"/>
            <w:vMerge/>
            <w:shd w:val="clear" w:color="auto" w:fill="auto"/>
          </w:tcPr>
          <w:p w14:paraId="7D39998F" w14:textId="77777777" w:rsidR="00E03711" w:rsidRPr="00237696" w:rsidRDefault="00E03711" w:rsidP="00237696">
            <w:pPr>
              <w:pStyle w:val="GUIDE-NORMAL"/>
              <w:spacing w:before="60" w:after="60"/>
              <w:rPr>
                <w:b/>
                <w:bCs/>
                <w:sz w:val="2"/>
                <w:szCs w:val="2"/>
                <w:lang w:val="sl-SI" w:eastAsia="en-GB"/>
              </w:rPr>
            </w:pPr>
          </w:p>
        </w:tc>
      </w:tr>
      <w:tr w:rsidR="00E03711" w:rsidRPr="00C60205" w14:paraId="7D399996" w14:textId="77777777" w:rsidTr="00F05D26">
        <w:trPr>
          <w:trHeight w:val="20"/>
        </w:trPr>
        <w:tc>
          <w:tcPr>
            <w:tcW w:w="519" w:type="pct"/>
            <w:vMerge/>
            <w:shd w:val="clear" w:color="auto" w:fill="auto"/>
          </w:tcPr>
          <w:p w14:paraId="7D399991" w14:textId="77777777" w:rsidR="00E03711" w:rsidRPr="00237696" w:rsidRDefault="00E03711" w:rsidP="00237696">
            <w:pPr>
              <w:pStyle w:val="GUIDE-NORMAL"/>
              <w:spacing w:before="60" w:after="60"/>
              <w:rPr>
                <w:b/>
                <w:bCs/>
                <w:sz w:val="2"/>
                <w:szCs w:val="2"/>
                <w:lang w:val="sl-SI" w:eastAsia="en-GB"/>
              </w:rPr>
            </w:pPr>
          </w:p>
        </w:tc>
        <w:tc>
          <w:tcPr>
            <w:tcW w:w="2204" w:type="pct"/>
            <w:vMerge/>
            <w:shd w:val="clear" w:color="auto" w:fill="auto"/>
            <w:vAlign w:val="center"/>
          </w:tcPr>
          <w:p w14:paraId="7D399992" w14:textId="77777777" w:rsidR="00E03711" w:rsidRPr="00237696" w:rsidRDefault="00E03711" w:rsidP="00237696">
            <w:pPr>
              <w:pStyle w:val="GUIDE-NORMAL"/>
              <w:spacing w:before="60" w:after="60"/>
              <w:jc w:val="left"/>
              <w:rPr>
                <w:b/>
                <w:bCs/>
                <w:sz w:val="2"/>
                <w:szCs w:val="2"/>
                <w:lang w:val="sl-SI" w:eastAsia="en-GB"/>
              </w:rPr>
            </w:pPr>
          </w:p>
        </w:tc>
        <w:tc>
          <w:tcPr>
            <w:tcW w:w="632" w:type="pct"/>
            <w:vMerge/>
            <w:shd w:val="clear" w:color="auto" w:fill="auto"/>
            <w:vAlign w:val="center"/>
          </w:tcPr>
          <w:p w14:paraId="7D399993" w14:textId="77777777" w:rsidR="00E03711" w:rsidRPr="00237696" w:rsidRDefault="00E03711" w:rsidP="00237696">
            <w:pPr>
              <w:pStyle w:val="GUIDE-NORMAL"/>
              <w:spacing w:before="60" w:after="60"/>
              <w:jc w:val="left"/>
              <w:rPr>
                <w:b/>
                <w:bCs/>
                <w:sz w:val="2"/>
                <w:szCs w:val="2"/>
                <w:lang w:val="sl-SI" w:eastAsia="en-GB"/>
              </w:rPr>
            </w:pPr>
          </w:p>
        </w:tc>
        <w:tc>
          <w:tcPr>
            <w:tcW w:w="968" w:type="pct"/>
            <w:shd w:val="clear" w:color="auto" w:fill="auto"/>
            <w:vAlign w:val="center"/>
          </w:tcPr>
          <w:p w14:paraId="7D399994" w14:textId="77777777" w:rsidR="00E03711" w:rsidRPr="00237696" w:rsidRDefault="00E03711" w:rsidP="00237696">
            <w:pPr>
              <w:pStyle w:val="GUIDE-NORMAL"/>
              <w:spacing w:before="60" w:after="60"/>
              <w:jc w:val="left"/>
              <w:rPr>
                <w:lang w:val="sl-SI" w:eastAsia="en-GB"/>
              </w:rPr>
            </w:pPr>
            <w:r w:rsidRPr="00237696">
              <w:rPr>
                <w:lang w:val="sl-SI" w:eastAsia="en-GB"/>
              </w:rPr>
              <w:t xml:space="preserve">Za razdalje </w:t>
            </w:r>
            <w:r w:rsidRPr="00237696">
              <w:rPr>
                <w:lang w:val="sl-SI" w:eastAsia="en-GB"/>
              </w:rPr>
              <w:br/>
              <w:t xml:space="preserve">8 000 km ali več: </w:t>
            </w:r>
            <w:r w:rsidRPr="00237696">
              <w:rPr>
                <w:lang w:val="sl-SI" w:eastAsia="en-GB"/>
              </w:rPr>
              <w:br/>
              <w:t>1 500 EUR na udeleženca</w:t>
            </w:r>
            <w:r w:rsidRPr="00237696">
              <w:rPr>
                <w:rStyle w:val="FootnoteReference"/>
                <w:lang w:val="sl-SI" w:eastAsia="en-GB"/>
              </w:rPr>
              <w:footnoteReference w:id="220"/>
            </w:r>
            <w:r w:rsidRPr="00237696">
              <w:rPr>
                <w:lang w:val="sl-SI" w:eastAsia="en-GB"/>
              </w:rPr>
              <w:t>.</w:t>
            </w:r>
          </w:p>
        </w:tc>
        <w:tc>
          <w:tcPr>
            <w:tcW w:w="678" w:type="pct"/>
            <w:vMerge/>
            <w:shd w:val="clear" w:color="auto" w:fill="auto"/>
          </w:tcPr>
          <w:p w14:paraId="7D399995" w14:textId="77777777" w:rsidR="00E03711" w:rsidRPr="00237696" w:rsidRDefault="00E03711" w:rsidP="00237696">
            <w:pPr>
              <w:pStyle w:val="GUIDE-NORMAL"/>
              <w:spacing w:before="60" w:after="60"/>
              <w:rPr>
                <w:b/>
                <w:bCs/>
                <w:sz w:val="2"/>
                <w:szCs w:val="2"/>
                <w:lang w:val="sl-SI" w:eastAsia="en-GB"/>
              </w:rPr>
            </w:pPr>
          </w:p>
        </w:tc>
      </w:tr>
    </w:tbl>
    <w:p w14:paraId="7D399997" w14:textId="77777777" w:rsidR="00E03711" w:rsidRDefault="00E03711" w:rsidP="005041C6">
      <w:pPr>
        <w:pStyle w:val="Guide-Heading6"/>
        <w:rPr>
          <w:lang w:val="sl-SI"/>
        </w:rPr>
      </w:pPr>
      <w:bookmarkStart w:id="259" w:name="A)_Règles_de_financement_pour_les_échang"/>
      <w:bookmarkEnd w:id="259"/>
    </w:p>
    <w:p w14:paraId="7D399998" w14:textId="77777777" w:rsidR="00E03711" w:rsidRDefault="00E03711">
      <w:pPr>
        <w:widowControl/>
        <w:suppressAutoHyphens w:val="0"/>
        <w:autoSpaceDN/>
        <w:textAlignment w:val="auto"/>
        <w:rPr>
          <w:rFonts w:eastAsia="Times New Roman" w:cs="Times New Roman"/>
          <w:b/>
          <w:smallCaps/>
          <w:sz w:val="20"/>
          <w:szCs w:val="28"/>
          <w:lang w:val="sl-SI"/>
        </w:rPr>
      </w:pPr>
      <w:r>
        <w:rPr>
          <w:lang w:val="sl-SI"/>
        </w:rPr>
        <w:br w:type="page"/>
      </w:r>
    </w:p>
    <w:p w14:paraId="7D399999" w14:textId="77777777" w:rsidR="00E03711" w:rsidRPr="001048FE" w:rsidRDefault="00E03711" w:rsidP="005041C6">
      <w:pPr>
        <w:pStyle w:val="Guide-Heading6"/>
        <w:rPr>
          <w:lang w:val="sl-SI"/>
        </w:rPr>
      </w:pPr>
      <w:r w:rsidRPr="001048FE">
        <w:rPr>
          <w:lang w:val="sl-SI"/>
        </w:rPr>
        <w:t>A) Pravila za dodelitev sredstev za mladinske izmenjave, izvedene v okviru projekta krepitve zmogljivosti (izbirna dodelitev sredstev)</w:t>
      </w:r>
    </w:p>
    <w:tbl>
      <w:tblPr>
        <w:tblW w:w="5000" w:type="pct"/>
        <w:tblLook w:val="0000" w:firstRow="0" w:lastRow="0" w:firstColumn="0" w:lastColumn="0" w:noHBand="0" w:noVBand="0"/>
      </w:tblPr>
      <w:tblGrid>
        <w:gridCol w:w="1727"/>
        <w:gridCol w:w="3381"/>
        <w:gridCol w:w="1893"/>
        <w:gridCol w:w="4578"/>
        <w:gridCol w:w="3209"/>
      </w:tblGrid>
      <w:tr w:rsidR="00E03711" w:rsidRPr="008C6F8C" w14:paraId="7D39999E" w14:textId="77777777" w:rsidTr="00F05D26">
        <w:trPr>
          <w:trHeight w:val="20"/>
        </w:trPr>
        <w:tc>
          <w:tcPr>
            <w:tcW w:w="17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999A" w14:textId="77777777" w:rsidR="00E03711" w:rsidRPr="00F769E0" w:rsidRDefault="00E03711" w:rsidP="00AE0E24">
            <w:pPr>
              <w:pStyle w:val="GUIDE-NORMAL"/>
              <w:spacing w:before="60" w:after="60"/>
              <w:jc w:val="center"/>
              <w:rPr>
                <w:rFonts w:cs="Tahoma"/>
                <w:b/>
                <w:lang w:val="sl-SI" w:eastAsia="en-GB"/>
              </w:rPr>
            </w:pPr>
            <w:r w:rsidRPr="00F769E0">
              <w:rPr>
                <w:rFonts w:cs="Tahoma"/>
                <w:b/>
                <w:lang w:val="sl-SI" w:eastAsia="en-GB"/>
              </w:rPr>
              <w:t>Upravičeni stroški</w:t>
            </w:r>
          </w:p>
        </w:tc>
        <w:tc>
          <w:tcPr>
            <w:tcW w:w="6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99B" w14:textId="77777777" w:rsidR="00E03711" w:rsidRPr="00F769E0" w:rsidRDefault="00E03711" w:rsidP="00AE0E24">
            <w:pPr>
              <w:pStyle w:val="GUIDE-NORMAL"/>
              <w:spacing w:before="60" w:after="60"/>
              <w:jc w:val="center"/>
              <w:rPr>
                <w:rFonts w:cs="Tahoma"/>
                <w:b/>
                <w:lang w:val="sl-SI" w:eastAsia="en-GB"/>
              </w:rPr>
            </w:pPr>
            <w:r w:rsidRPr="00F769E0">
              <w:rPr>
                <w:rFonts w:cs="Tahoma"/>
                <w:b/>
                <w:lang w:val="sl-SI" w:eastAsia="en-GB"/>
              </w:rPr>
              <w:t>Mehanizem financiranja</w:t>
            </w:r>
          </w:p>
        </w:tc>
        <w:tc>
          <w:tcPr>
            <w:tcW w:w="15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99C" w14:textId="77777777" w:rsidR="00E03711" w:rsidRPr="00F769E0" w:rsidRDefault="00E03711" w:rsidP="00AE0E24">
            <w:pPr>
              <w:pStyle w:val="GUIDE-NORMAL"/>
              <w:spacing w:before="60" w:after="60"/>
              <w:jc w:val="center"/>
              <w:rPr>
                <w:rFonts w:cs="Tahoma"/>
                <w:b/>
                <w:lang w:val="sl-SI" w:eastAsia="en-GB"/>
              </w:rPr>
            </w:pPr>
            <w:r w:rsidRPr="00F769E0">
              <w:rPr>
                <w:rFonts w:cs="Tahoma"/>
                <w:b/>
                <w:lang w:val="sl-SI" w:eastAsia="en-GB"/>
              </w:rPr>
              <w:t>Znesek</w:t>
            </w:r>
          </w:p>
        </w:tc>
        <w:tc>
          <w:tcPr>
            <w:tcW w:w="10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99D" w14:textId="77777777" w:rsidR="00E03711" w:rsidRPr="00F769E0" w:rsidRDefault="00E03711" w:rsidP="00AE0E24">
            <w:pPr>
              <w:pStyle w:val="GUIDE-NORMAL"/>
              <w:spacing w:before="60" w:after="60"/>
              <w:jc w:val="center"/>
              <w:rPr>
                <w:rFonts w:cs="Tahoma"/>
                <w:b/>
                <w:lang w:val="sl-SI" w:eastAsia="en-GB"/>
              </w:rPr>
            </w:pPr>
            <w:r w:rsidRPr="00F769E0">
              <w:rPr>
                <w:rFonts w:cs="Tahoma"/>
                <w:b/>
                <w:lang w:val="sl-SI" w:eastAsia="en-GB"/>
              </w:rPr>
              <w:t>Pravilo dodelitve</w:t>
            </w:r>
          </w:p>
        </w:tc>
      </w:tr>
      <w:tr w:rsidR="00E03711" w:rsidRPr="00C60205" w14:paraId="7D3999A4" w14:textId="77777777" w:rsidTr="00F05D26">
        <w:trPr>
          <w:trHeight w:val="20"/>
        </w:trPr>
        <w:tc>
          <w:tcPr>
            <w:tcW w:w="5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99F" w14:textId="77777777" w:rsidR="00E03711" w:rsidRPr="00F769E0" w:rsidRDefault="00E03711" w:rsidP="00AE0E24">
            <w:pPr>
              <w:pStyle w:val="GUIDE-NORMAL"/>
              <w:jc w:val="left"/>
              <w:rPr>
                <w:rFonts w:cs="Tahoma"/>
                <w:b/>
                <w:lang w:val="sl-SI" w:eastAsia="en-GB"/>
              </w:rPr>
            </w:pPr>
            <w:r w:rsidRPr="00F769E0">
              <w:rPr>
                <w:rFonts w:cs="Tahoma"/>
                <w:b/>
                <w:lang w:val="sl-SI" w:eastAsia="en-GB"/>
              </w:rPr>
              <w:t>Pot</w:t>
            </w:r>
          </w:p>
        </w:tc>
        <w:tc>
          <w:tcPr>
            <w:tcW w:w="114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9A0" w14:textId="77777777" w:rsidR="00E03711" w:rsidRPr="00F769E0" w:rsidRDefault="00E03711" w:rsidP="00AE0E24">
            <w:pPr>
              <w:pStyle w:val="GUIDE-NORMAL"/>
              <w:jc w:val="left"/>
              <w:rPr>
                <w:rFonts w:cs="Tahoma"/>
                <w:lang w:val="sl-SI" w:eastAsia="en-GB"/>
              </w:rPr>
            </w:pPr>
            <w:r w:rsidRPr="00F769E0">
              <w:rPr>
                <w:rFonts w:cs="Tahoma"/>
                <w:lang w:val="sl-SI" w:eastAsia="en-GB"/>
              </w:rPr>
              <w:t>Prispevek za potne stroške udeležencev, vključno</w:t>
            </w:r>
            <w:r>
              <w:rPr>
                <w:rFonts w:cs="Tahoma"/>
                <w:lang w:val="sl-SI" w:eastAsia="en-GB"/>
              </w:rPr>
              <w:t xml:space="preserve"> z vodji skupin in</w:t>
            </w:r>
            <w:r w:rsidRPr="00F769E0">
              <w:rPr>
                <w:rFonts w:cs="Tahoma"/>
                <w:lang w:val="sl-SI" w:eastAsia="en-GB"/>
              </w:rPr>
              <w:t xml:space="preserve"> s spremljevalci, od njihovega kraja izvora do kraja izvajanja aktivnosti in nazaj.</w:t>
            </w:r>
          </w:p>
        </w:tc>
        <w:tc>
          <w:tcPr>
            <w:tcW w:w="6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9A1" w14:textId="77777777" w:rsidR="00E03711" w:rsidRPr="00F769E0" w:rsidRDefault="00E03711" w:rsidP="00AE0E24">
            <w:pPr>
              <w:pStyle w:val="GUIDE-NORMAL"/>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5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9A2" w14:textId="77777777" w:rsidR="00E03711" w:rsidRPr="00F769E0" w:rsidRDefault="00E03711" w:rsidP="00AE0E24">
            <w:pPr>
              <w:pStyle w:val="GUIDE-NORMAL"/>
              <w:spacing w:before="60" w:after="60"/>
              <w:jc w:val="left"/>
              <w:rPr>
                <w:rFonts w:cs="Tahoma"/>
                <w:lang w:val="sl-SI" w:eastAsia="en-GB"/>
              </w:rPr>
            </w:pPr>
            <w:r w:rsidRPr="00F769E0">
              <w:rPr>
                <w:rFonts w:cs="Tahoma"/>
                <w:lang w:val="sl-SI" w:eastAsia="en-GB"/>
              </w:rPr>
              <w:t xml:space="preserve">Za razdalje od 10 do 99 km: </w:t>
            </w:r>
            <w:r w:rsidRPr="00F769E0">
              <w:rPr>
                <w:rFonts w:cs="Tahoma"/>
                <w:lang w:val="sl-SI" w:eastAsia="en-GB"/>
              </w:rPr>
              <w:br/>
              <w:t>20 EUR na udeleženca.</w:t>
            </w:r>
          </w:p>
        </w:tc>
        <w:tc>
          <w:tcPr>
            <w:tcW w:w="10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9A3" w14:textId="77777777" w:rsidR="00E03711" w:rsidRPr="00F769E0" w:rsidRDefault="00E03711" w:rsidP="00AE0E24">
            <w:pPr>
              <w:pStyle w:val="GUIDE-NORMAL"/>
              <w:jc w:val="left"/>
              <w:rPr>
                <w:rFonts w:cs="Tahoma"/>
                <w:lang w:val="sl-SI" w:eastAsia="en-GB"/>
              </w:rPr>
            </w:pPr>
            <w:r w:rsidRPr="00F769E0">
              <w:rPr>
                <w:rFonts w:cs="Tahoma"/>
                <w:lang w:val="sl-SI" w:eastAsia="en-GB"/>
              </w:rPr>
              <w:t>Glede na razdaljo poti na udeleženca. Razdaljo je treba izračunati s kalkulatorjem razdalje, ki ga podpira Evropska komisija</w:t>
            </w:r>
            <w:r w:rsidRPr="00F769E0">
              <w:rPr>
                <w:rStyle w:val="FootnoteReference"/>
                <w:rFonts w:cs="Tahoma"/>
                <w:lang w:val="sl-SI" w:eastAsia="en-GB"/>
              </w:rPr>
              <w:footnoteReference w:id="221"/>
            </w:r>
            <w:r w:rsidRPr="00F769E0">
              <w:rPr>
                <w:rFonts w:cs="Tahoma"/>
                <w:lang w:val="sl-SI" w:eastAsia="en-GB"/>
              </w:rPr>
              <w:t>. Prijavitelj mora navesti razdaljo enosmerne poti za izračun zneska nepovratnih sredstev EU za kritje povratne poti</w:t>
            </w:r>
            <w:r w:rsidRPr="00F769E0">
              <w:rPr>
                <w:rStyle w:val="FootnoteReference"/>
                <w:rFonts w:cs="Tahoma"/>
                <w:lang w:val="sl-SI" w:eastAsia="en-GB"/>
              </w:rPr>
              <w:footnoteReference w:id="222"/>
            </w:r>
            <w:r w:rsidRPr="00F769E0">
              <w:rPr>
                <w:rFonts w:cs="Tahoma"/>
                <w:lang w:val="sl-SI" w:eastAsia="en-GB"/>
              </w:rPr>
              <w:t>.</w:t>
            </w:r>
          </w:p>
        </w:tc>
      </w:tr>
      <w:tr w:rsidR="00E03711" w:rsidRPr="00C60205" w14:paraId="7D3999AA" w14:textId="77777777" w:rsidTr="00F05D26">
        <w:trPr>
          <w:trHeight w:val="20"/>
        </w:trPr>
        <w:tc>
          <w:tcPr>
            <w:tcW w:w="584" w:type="pct"/>
            <w:vMerge/>
            <w:tcBorders>
              <w:top w:val="nil"/>
              <w:left w:val="single" w:sz="4" w:space="0" w:color="000000"/>
              <w:bottom w:val="single" w:sz="4" w:space="0" w:color="000000"/>
              <w:right w:val="single" w:sz="4" w:space="0" w:color="000000"/>
            </w:tcBorders>
            <w:shd w:val="clear" w:color="auto" w:fill="auto"/>
            <w:vAlign w:val="center"/>
          </w:tcPr>
          <w:p w14:paraId="7D3999A5"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c>
          <w:tcPr>
            <w:tcW w:w="1143" w:type="pct"/>
            <w:vMerge/>
            <w:tcBorders>
              <w:top w:val="nil"/>
              <w:left w:val="single" w:sz="4" w:space="0" w:color="000000"/>
              <w:bottom w:val="single" w:sz="4" w:space="0" w:color="000000"/>
              <w:right w:val="single" w:sz="4" w:space="0" w:color="000000"/>
            </w:tcBorders>
            <w:shd w:val="clear" w:color="auto" w:fill="auto"/>
            <w:vAlign w:val="center"/>
          </w:tcPr>
          <w:p w14:paraId="7D3999A6"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c>
          <w:tcPr>
            <w:tcW w:w="640" w:type="pct"/>
            <w:vMerge/>
            <w:tcBorders>
              <w:top w:val="nil"/>
              <w:left w:val="single" w:sz="4" w:space="0" w:color="000000"/>
              <w:bottom w:val="single" w:sz="4" w:space="0" w:color="000000"/>
              <w:right w:val="single" w:sz="4" w:space="0" w:color="000000"/>
            </w:tcBorders>
            <w:shd w:val="clear" w:color="auto" w:fill="auto"/>
            <w:vAlign w:val="center"/>
          </w:tcPr>
          <w:p w14:paraId="7D3999A7"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c>
          <w:tcPr>
            <w:tcW w:w="15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9A8" w14:textId="77777777" w:rsidR="00E03711" w:rsidRPr="00F769E0" w:rsidRDefault="00E03711" w:rsidP="00AE0E24">
            <w:pPr>
              <w:pStyle w:val="GUIDE-NORMAL"/>
              <w:spacing w:before="60" w:after="60"/>
              <w:jc w:val="left"/>
              <w:rPr>
                <w:rFonts w:cs="Tahoma"/>
                <w:lang w:val="sl-SI" w:eastAsia="en-GB"/>
              </w:rPr>
            </w:pPr>
            <w:r w:rsidRPr="00F769E0">
              <w:rPr>
                <w:rFonts w:cs="Tahoma"/>
                <w:lang w:val="sl-SI" w:eastAsia="en-GB"/>
              </w:rPr>
              <w:t xml:space="preserve">Za razdalje od 100 do 499 km: </w:t>
            </w:r>
            <w:r w:rsidRPr="00F769E0">
              <w:rPr>
                <w:rFonts w:cs="Tahoma"/>
                <w:lang w:val="sl-SI" w:eastAsia="en-GB"/>
              </w:rPr>
              <w:br/>
              <w:t>180 EUR na udeleženca.</w:t>
            </w:r>
          </w:p>
        </w:tc>
        <w:tc>
          <w:tcPr>
            <w:tcW w:w="1085" w:type="pct"/>
            <w:vMerge/>
            <w:tcBorders>
              <w:top w:val="nil"/>
              <w:left w:val="single" w:sz="4" w:space="0" w:color="000000"/>
              <w:bottom w:val="single" w:sz="4" w:space="0" w:color="000000"/>
              <w:right w:val="single" w:sz="4" w:space="0" w:color="000000"/>
            </w:tcBorders>
            <w:shd w:val="clear" w:color="auto" w:fill="auto"/>
            <w:vAlign w:val="center"/>
          </w:tcPr>
          <w:p w14:paraId="7D3999A9"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r>
      <w:tr w:rsidR="00E03711" w:rsidRPr="00C60205" w14:paraId="7D3999B0" w14:textId="77777777" w:rsidTr="00F05D26">
        <w:trPr>
          <w:trHeight w:val="20"/>
        </w:trPr>
        <w:tc>
          <w:tcPr>
            <w:tcW w:w="584" w:type="pct"/>
            <w:vMerge/>
            <w:tcBorders>
              <w:top w:val="nil"/>
              <w:left w:val="single" w:sz="4" w:space="0" w:color="000000"/>
              <w:bottom w:val="single" w:sz="4" w:space="0" w:color="000000"/>
              <w:right w:val="single" w:sz="4" w:space="0" w:color="000000"/>
            </w:tcBorders>
            <w:shd w:val="clear" w:color="auto" w:fill="auto"/>
            <w:vAlign w:val="center"/>
          </w:tcPr>
          <w:p w14:paraId="7D3999AB"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c>
          <w:tcPr>
            <w:tcW w:w="1143" w:type="pct"/>
            <w:vMerge/>
            <w:tcBorders>
              <w:top w:val="nil"/>
              <w:left w:val="single" w:sz="4" w:space="0" w:color="000000"/>
              <w:bottom w:val="single" w:sz="4" w:space="0" w:color="000000"/>
              <w:right w:val="single" w:sz="4" w:space="0" w:color="000000"/>
            </w:tcBorders>
            <w:shd w:val="clear" w:color="auto" w:fill="auto"/>
            <w:vAlign w:val="center"/>
          </w:tcPr>
          <w:p w14:paraId="7D3999AC"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c>
          <w:tcPr>
            <w:tcW w:w="640" w:type="pct"/>
            <w:vMerge/>
            <w:tcBorders>
              <w:top w:val="nil"/>
              <w:left w:val="single" w:sz="4" w:space="0" w:color="000000"/>
              <w:bottom w:val="single" w:sz="4" w:space="0" w:color="000000"/>
              <w:right w:val="single" w:sz="4" w:space="0" w:color="000000"/>
            </w:tcBorders>
            <w:shd w:val="clear" w:color="auto" w:fill="auto"/>
            <w:vAlign w:val="center"/>
          </w:tcPr>
          <w:p w14:paraId="7D3999AD"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c>
          <w:tcPr>
            <w:tcW w:w="1548" w:type="pct"/>
            <w:tcBorders>
              <w:top w:val="single" w:sz="4" w:space="0" w:color="000000"/>
              <w:left w:val="single" w:sz="4" w:space="0" w:color="000000"/>
              <w:bottom w:val="single" w:sz="4" w:space="0" w:color="000000"/>
              <w:right w:val="single" w:sz="4" w:space="0" w:color="000000"/>
            </w:tcBorders>
            <w:shd w:val="clear" w:color="auto" w:fill="auto"/>
          </w:tcPr>
          <w:p w14:paraId="7D3999AE" w14:textId="77777777" w:rsidR="00E03711" w:rsidRPr="00F769E0" w:rsidRDefault="00E03711" w:rsidP="00AE0E24">
            <w:pPr>
              <w:pStyle w:val="GUIDE-NORMAL"/>
              <w:spacing w:before="60" w:after="60"/>
              <w:jc w:val="left"/>
              <w:rPr>
                <w:rFonts w:cs="Tahoma"/>
                <w:lang w:val="sl-SI" w:eastAsia="en-GB"/>
              </w:rPr>
            </w:pPr>
            <w:r w:rsidRPr="00F769E0">
              <w:rPr>
                <w:rFonts w:cs="Tahoma"/>
                <w:lang w:val="sl-SI" w:eastAsia="en-GB"/>
              </w:rPr>
              <w:t xml:space="preserve">Za razdalje od 500 do 1 999 km: </w:t>
            </w:r>
            <w:r w:rsidRPr="00F769E0">
              <w:rPr>
                <w:rFonts w:cs="Tahoma"/>
                <w:lang w:val="sl-SI" w:eastAsia="en-GB"/>
              </w:rPr>
              <w:br/>
              <w:t>275 EUR na udeleženca.</w:t>
            </w:r>
          </w:p>
        </w:tc>
        <w:tc>
          <w:tcPr>
            <w:tcW w:w="1085" w:type="pct"/>
            <w:vMerge/>
            <w:tcBorders>
              <w:top w:val="nil"/>
              <w:left w:val="single" w:sz="4" w:space="0" w:color="000000"/>
              <w:bottom w:val="single" w:sz="4" w:space="0" w:color="000000"/>
              <w:right w:val="single" w:sz="4" w:space="0" w:color="000000"/>
            </w:tcBorders>
            <w:shd w:val="clear" w:color="auto" w:fill="auto"/>
            <w:vAlign w:val="center"/>
          </w:tcPr>
          <w:p w14:paraId="7D3999AF"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r>
      <w:tr w:rsidR="00E03711" w:rsidRPr="00C60205" w14:paraId="7D3999B6" w14:textId="77777777" w:rsidTr="00F05D26">
        <w:trPr>
          <w:trHeight w:val="20"/>
        </w:trPr>
        <w:tc>
          <w:tcPr>
            <w:tcW w:w="584" w:type="pct"/>
            <w:vMerge/>
            <w:tcBorders>
              <w:top w:val="nil"/>
              <w:left w:val="single" w:sz="4" w:space="0" w:color="000000"/>
              <w:bottom w:val="single" w:sz="4" w:space="0" w:color="000000"/>
              <w:right w:val="single" w:sz="4" w:space="0" w:color="000000"/>
            </w:tcBorders>
            <w:shd w:val="clear" w:color="auto" w:fill="auto"/>
            <w:vAlign w:val="center"/>
          </w:tcPr>
          <w:p w14:paraId="7D3999B1"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c>
          <w:tcPr>
            <w:tcW w:w="1143" w:type="pct"/>
            <w:vMerge/>
            <w:tcBorders>
              <w:top w:val="nil"/>
              <w:left w:val="single" w:sz="4" w:space="0" w:color="000000"/>
              <w:bottom w:val="single" w:sz="4" w:space="0" w:color="000000"/>
              <w:right w:val="single" w:sz="4" w:space="0" w:color="000000"/>
            </w:tcBorders>
            <w:shd w:val="clear" w:color="auto" w:fill="auto"/>
            <w:vAlign w:val="center"/>
          </w:tcPr>
          <w:p w14:paraId="7D3999B2"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c>
          <w:tcPr>
            <w:tcW w:w="640" w:type="pct"/>
            <w:vMerge/>
            <w:tcBorders>
              <w:top w:val="nil"/>
              <w:left w:val="single" w:sz="4" w:space="0" w:color="000000"/>
              <w:bottom w:val="single" w:sz="4" w:space="0" w:color="000000"/>
              <w:right w:val="single" w:sz="4" w:space="0" w:color="000000"/>
            </w:tcBorders>
            <w:shd w:val="clear" w:color="auto" w:fill="auto"/>
            <w:vAlign w:val="center"/>
          </w:tcPr>
          <w:p w14:paraId="7D3999B3"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c>
          <w:tcPr>
            <w:tcW w:w="1548" w:type="pct"/>
            <w:tcBorders>
              <w:top w:val="single" w:sz="4" w:space="0" w:color="000000"/>
              <w:left w:val="single" w:sz="4" w:space="0" w:color="000000"/>
              <w:bottom w:val="single" w:sz="4" w:space="0" w:color="000000"/>
              <w:right w:val="single" w:sz="4" w:space="0" w:color="000000"/>
            </w:tcBorders>
            <w:shd w:val="clear" w:color="auto" w:fill="auto"/>
            <w:tcMar>
              <w:right w:w="57" w:type="dxa"/>
            </w:tcMar>
          </w:tcPr>
          <w:p w14:paraId="7D3999B4" w14:textId="77777777" w:rsidR="00E03711" w:rsidRPr="00F769E0" w:rsidRDefault="00E03711" w:rsidP="00AE0E24">
            <w:pPr>
              <w:pStyle w:val="GUIDE-NORMAL"/>
              <w:spacing w:before="60" w:after="60"/>
              <w:jc w:val="left"/>
              <w:rPr>
                <w:rFonts w:cs="Tahoma"/>
                <w:lang w:val="sl-SI" w:eastAsia="en-GB"/>
              </w:rPr>
            </w:pPr>
            <w:r w:rsidRPr="00F769E0">
              <w:rPr>
                <w:rFonts w:cs="Tahoma"/>
                <w:lang w:val="sl-SI" w:eastAsia="en-GB"/>
              </w:rPr>
              <w:t xml:space="preserve">Za razdalje od 2 000 do 2 999 km: </w:t>
            </w:r>
            <w:r w:rsidRPr="00F769E0">
              <w:rPr>
                <w:rFonts w:cs="Tahoma"/>
                <w:lang w:val="sl-SI" w:eastAsia="en-GB"/>
              </w:rPr>
              <w:br/>
              <w:t>360 EUR na udeleženca.</w:t>
            </w:r>
          </w:p>
        </w:tc>
        <w:tc>
          <w:tcPr>
            <w:tcW w:w="1085" w:type="pct"/>
            <w:vMerge/>
            <w:tcBorders>
              <w:top w:val="nil"/>
              <w:left w:val="single" w:sz="4" w:space="0" w:color="000000"/>
              <w:bottom w:val="single" w:sz="4" w:space="0" w:color="000000"/>
              <w:right w:val="single" w:sz="4" w:space="0" w:color="000000"/>
            </w:tcBorders>
            <w:shd w:val="clear" w:color="auto" w:fill="auto"/>
            <w:vAlign w:val="center"/>
          </w:tcPr>
          <w:p w14:paraId="7D3999B5"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r>
      <w:tr w:rsidR="00E03711" w:rsidRPr="00C60205" w14:paraId="7D3999BC" w14:textId="77777777" w:rsidTr="00F05D26">
        <w:trPr>
          <w:trHeight w:val="20"/>
        </w:trPr>
        <w:tc>
          <w:tcPr>
            <w:tcW w:w="584" w:type="pct"/>
            <w:vMerge/>
            <w:tcBorders>
              <w:top w:val="nil"/>
              <w:left w:val="single" w:sz="4" w:space="0" w:color="000000"/>
              <w:bottom w:val="single" w:sz="4" w:space="0" w:color="000000"/>
              <w:right w:val="single" w:sz="4" w:space="0" w:color="000000"/>
            </w:tcBorders>
            <w:shd w:val="clear" w:color="auto" w:fill="auto"/>
            <w:vAlign w:val="center"/>
          </w:tcPr>
          <w:p w14:paraId="7D3999B7"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c>
          <w:tcPr>
            <w:tcW w:w="1143" w:type="pct"/>
            <w:vMerge/>
            <w:tcBorders>
              <w:top w:val="nil"/>
              <w:left w:val="single" w:sz="4" w:space="0" w:color="000000"/>
              <w:bottom w:val="single" w:sz="4" w:space="0" w:color="000000"/>
              <w:right w:val="single" w:sz="4" w:space="0" w:color="000000"/>
            </w:tcBorders>
            <w:shd w:val="clear" w:color="auto" w:fill="auto"/>
            <w:vAlign w:val="center"/>
          </w:tcPr>
          <w:p w14:paraId="7D3999B8"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c>
          <w:tcPr>
            <w:tcW w:w="640" w:type="pct"/>
            <w:vMerge/>
            <w:tcBorders>
              <w:top w:val="nil"/>
              <w:left w:val="single" w:sz="4" w:space="0" w:color="000000"/>
              <w:bottom w:val="single" w:sz="4" w:space="0" w:color="000000"/>
              <w:right w:val="single" w:sz="4" w:space="0" w:color="000000"/>
            </w:tcBorders>
            <w:shd w:val="clear" w:color="auto" w:fill="auto"/>
            <w:vAlign w:val="center"/>
          </w:tcPr>
          <w:p w14:paraId="7D3999B9"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c>
          <w:tcPr>
            <w:tcW w:w="1548" w:type="pct"/>
            <w:tcBorders>
              <w:top w:val="single" w:sz="4" w:space="0" w:color="000000"/>
              <w:left w:val="single" w:sz="4" w:space="0" w:color="000000"/>
              <w:bottom w:val="single" w:sz="4" w:space="0" w:color="000000"/>
              <w:right w:val="single" w:sz="4" w:space="0" w:color="000000"/>
            </w:tcBorders>
            <w:shd w:val="clear" w:color="auto" w:fill="auto"/>
            <w:tcMar>
              <w:right w:w="57" w:type="dxa"/>
            </w:tcMar>
          </w:tcPr>
          <w:p w14:paraId="7D3999BA" w14:textId="77777777" w:rsidR="00E03711" w:rsidRPr="00F769E0" w:rsidRDefault="00E03711" w:rsidP="00AE0E24">
            <w:pPr>
              <w:pStyle w:val="GUIDE-NORMAL"/>
              <w:spacing w:before="60" w:after="60"/>
              <w:jc w:val="left"/>
              <w:rPr>
                <w:rFonts w:cs="Tahoma"/>
                <w:lang w:val="sl-SI" w:eastAsia="en-GB"/>
              </w:rPr>
            </w:pPr>
            <w:r w:rsidRPr="00F769E0">
              <w:rPr>
                <w:rFonts w:cs="Tahoma"/>
                <w:lang w:val="sl-SI" w:eastAsia="en-GB"/>
              </w:rPr>
              <w:t xml:space="preserve">Za razdalje od 3 000 do 3 999 km: </w:t>
            </w:r>
            <w:r w:rsidRPr="00F769E0">
              <w:rPr>
                <w:rFonts w:cs="Tahoma"/>
                <w:lang w:val="sl-SI" w:eastAsia="en-GB"/>
              </w:rPr>
              <w:br/>
              <w:t>530 EUR na udeleženca.</w:t>
            </w:r>
          </w:p>
        </w:tc>
        <w:tc>
          <w:tcPr>
            <w:tcW w:w="1085" w:type="pct"/>
            <w:vMerge/>
            <w:tcBorders>
              <w:top w:val="nil"/>
              <w:left w:val="single" w:sz="4" w:space="0" w:color="000000"/>
              <w:bottom w:val="single" w:sz="4" w:space="0" w:color="000000"/>
              <w:right w:val="single" w:sz="4" w:space="0" w:color="000000"/>
            </w:tcBorders>
            <w:shd w:val="clear" w:color="auto" w:fill="auto"/>
            <w:vAlign w:val="center"/>
          </w:tcPr>
          <w:p w14:paraId="7D3999BB"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r>
      <w:tr w:rsidR="00E03711" w:rsidRPr="00C60205" w14:paraId="7D3999C2" w14:textId="77777777" w:rsidTr="00F05D26">
        <w:trPr>
          <w:trHeight w:val="20"/>
        </w:trPr>
        <w:tc>
          <w:tcPr>
            <w:tcW w:w="584" w:type="pct"/>
            <w:vMerge/>
            <w:tcBorders>
              <w:top w:val="nil"/>
              <w:left w:val="single" w:sz="4" w:space="0" w:color="000000"/>
              <w:bottom w:val="single" w:sz="4" w:space="0" w:color="000000"/>
              <w:right w:val="single" w:sz="4" w:space="0" w:color="000000"/>
            </w:tcBorders>
            <w:shd w:val="clear" w:color="auto" w:fill="auto"/>
            <w:vAlign w:val="center"/>
          </w:tcPr>
          <w:p w14:paraId="7D3999BD"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c>
          <w:tcPr>
            <w:tcW w:w="1143" w:type="pct"/>
            <w:vMerge/>
            <w:tcBorders>
              <w:top w:val="nil"/>
              <w:left w:val="single" w:sz="4" w:space="0" w:color="000000"/>
              <w:bottom w:val="single" w:sz="4" w:space="0" w:color="000000"/>
              <w:right w:val="single" w:sz="4" w:space="0" w:color="000000"/>
            </w:tcBorders>
            <w:shd w:val="clear" w:color="auto" w:fill="auto"/>
            <w:vAlign w:val="center"/>
          </w:tcPr>
          <w:p w14:paraId="7D3999BE"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c>
          <w:tcPr>
            <w:tcW w:w="640" w:type="pct"/>
            <w:vMerge/>
            <w:tcBorders>
              <w:top w:val="nil"/>
              <w:left w:val="single" w:sz="4" w:space="0" w:color="000000"/>
              <w:bottom w:val="single" w:sz="4" w:space="0" w:color="000000"/>
              <w:right w:val="single" w:sz="4" w:space="0" w:color="000000"/>
            </w:tcBorders>
            <w:shd w:val="clear" w:color="auto" w:fill="auto"/>
            <w:vAlign w:val="center"/>
          </w:tcPr>
          <w:p w14:paraId="7D3999BF"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c>
          <w:tcPr>
            <w:tcW w:w="1548" w:type="pct"/>
            <w:tcBorders>
              <w:top w:val="single" w:sz="4" w:space="0" w:color="000000"/>
              <w:left w:val="single" w:sz="4" w:space="0" w:color="000000"/>
              <w:bottom w:val="single" w:sz="4" w:space="0" w:color="000000"/>
              <w:right w:val="single" w:sz="4" w:space="0" w:color="000000"/>
            </w:tcBorders>
            <w:shd w:val="clear" w:color="auto" w:fill="auto"/>
            <w:tcMar>
              <w:right w:w="57" w:type="dxa"/>
            </w:tcMar>
          </w:tcPr>
          <w:p w14:paraId="7D3999C0" w14:textId="77777777" w:rsidR="00E03711" w:rsidRPr="00F769E0" w:rsidRDefault="00E03711" w:rsidP="00AE0E24">
            <w:pPr>
              <w:pStyle w:val="GUIDE-NORMAL"/>
              <w:spacing w:before="60" w:after="60"/>
              <w:jc w:val="left"/>
              <w:rPr>
                <w:rFonts w:cs="Tahoma"/>
                <w:lang w:val="sl-SI" w:eastAsia="en-GB"/>
              </w:rPr>
            </w:pPr>
            <w:r w:rsidRPr="00F769E0">
              <w:rPr>
                <w:rFonts w:cs="Tahoma"/>
                <w:lang w:val="sl-SI" w:eastAsia="en-GB"/>
              </w:rPr>
              <w:t xml:space="preserve">Za razdalje od 4 000 do 7 999 km: </w:t>
            </w:r>
            <w:r w:rsidRPr="00F769E0">
              <w:rPr>
                <w:rFonts w:cs="Tahoma"/>
                <w:lang w:val="sl-SI" w:eastAsia="en-GB"/>
              </w:rPr>
              <w:br/>
              <w:t>820 EUR na udeleženca.</w:t>
            </w:r>
          </w:p>
        </w:tc>
        <w:tc>
          <w:tcPr>
            <w:tcW w:w="1085" w:type="pct"/>
            <w:vMerge/>
            <w:tcBorders>
              <w:top w:val="nil"/>
              <w:left w:val="single" w:sz="4" w:space="0" w:color="000000"/>
              <w:bottom w:val="single" w:sz="4" w:space="0" w:color="000000"/>
              <w:right w:val="single" w:sz="4" w:space="0" w:color="000000"/>
            </w:tcBorders>
            <w:shd w:val="clear" w:color="auto" w:fill="auto"/>
            <w:vAlign w:val="center"/>
          </w:tcPr>
          <w:p w14:paraId="7D3999C1"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r>
      <w:tr w:rsidR="00E03711" w:rsidRPr="00C60205" w14:paraId="7D3999C8" w14:textId="77777777" w:rsidTr="00F05D26">
        <w:trPr>
          <w:trHeight w:val="20"/>
        </w:trPr>
        <w:tc>
          <w:tcPr>
            <w:tcW w:w="584" w:type="pct"/>
            <w:vMerge/>
            <w:tcBorders>
              <w:top w:val="nil"/>
              <w:left w:val="single" w:sz="4" w:space="0" w:color="000000"/>
              <w:bottom w:val="single" w:sz="4" w:space="0" w:color="000000"/>
              <w:right w:val="single" w:sz="4" w:space="0" w:color="000000"/>
            </w:tcBorders>
            <w:shd w:val="clear" w:color="auto" w:fill="auto"/>
            <w:vAlign w:val="center"/>
          </w:tcPr>
          <w:p w14:paraId="7D3999C3"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c>
          <w:tcPr>
            <w:tcW w:w="1143" w:type="pct"/>
            <w:vMerge/>
            <w:tcBorders>
              <w:top w:val="nil"/>
              <w:left w:val="single" w:sz="4" w:space="0" w:color="000000"/>
              <w:bottom w:val="single" w:sz="4" w:space="0" w:color="000000"/>
              <w:right w:val="single" w:sz="4" w:space="0" w:color="000000"/>
            </w:tcBorders>
            <w:shd w:val="clear" w:color="auto" w:fill="auto"/>
            <w:vAlign w:val="center"/>
          </w:tcPr>
          <w:p w14:paraId="7D3999C4"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c>
          <w:tcPr>
            <w:tcW w:w="640" w:type="pct"/>
            <w:vMerge/>
            <w:tcBorders>
              <w:top w:val="nil"/>
              <w:left w:val="single" w:sz="4" w:space="0" w:color="000000"/>
              <w:bottom w:val="single" w:sz="4" w:space="0" w:color="000000"/>
              <w:right w:val="single" w:sz="4" w:space="0" w:color="000000"/>
            </w:tcBorders>
            <w:shd w:val="clear" w:color="auto" w:fill="auto"/>
            <w:vAlign w:val="center"/>
          </w:tcPr>
          <w:p w14:paraId="7D3999C5"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c>
          <w:tcPr>
            <w:tcW w:w="1548" w:type="pct"/>
            <w:tcBorders>
              <w:top w:val="single" w:sz="4" w:space="0" w:color="000000"/>
              <w:left w:val="single" w:sz="4" w:space="0" w:color="000000"/>
              <w:bottom w:val="single" w:sz="4" w:space="0" w:color="000000"/>
              <w:right w:val="single" w:sz="4" w:space="0" w:color="000000"/>
            </w:tcBorders>
            <w:shd w:val="clear" w:color="auto" w:fill="auto"/>
          </w:tcPr>
          <w:p w14:paraId="7D3999C6" w14:textId="77777777" w:rsidR="00E03711" w:rsidRPr="00F769E0" w:rsidRDefault="00E03711" w:rsidP="00AE0E24">
            <w:pPr>
              <w:pStyle w:val="GUIDE-NORMAL"/>
              <w:spacing w:before="60" w:after="60"/>
              <w:jc w:val="left"/>
              <w:rPr>
                <w:rFonts w:cs="Tahoma"/>
                <w:lang w:val="sl-SI" w:eastAsia="en-GB"/>
              </w:rPr>
            </w:pPr>
            <w:r w:rsidRPr="00F769E0">
              <w:rPr>
                <w:rFonts w:cs="Tahoma"/>
                <w:lang w:val="sl-SI" w:eastAsia="en-GB"/>
              </w:rPr>
              <w:t xml:space="preserve">Za razdalje 8 000 km ali več: </w:t>
            </w:r>
            <w:r w:rsidRPr="00F769E0">
              <w:rPr>
                <w:rFonts w:cs="Tahoma"/>
                <w:lang w:val="sl-SI" w:eastAsia="en-GB"/>
              </w:rPr>
              <w:br/>
              <w:t>1 500 EUR na udeleženca.</w:t>
            </w:r>
          </w:p>
        </w:tc>
        <w:tc>
          <w:tcPr>
            <w:tcW w:w="1085" w:type="pct"/>
            <w:vMerge/>
            <w:tcBorders>
              <w:top w:val="nil"/>
              <w:left w:val="single" w:sz="4" w:space="0" w:color="000000"/>
              <w:bottom w:val="single" w:sz="4" w:space="0" w:color="000000"/>
              <w:right w:val="single" w:sz="4" w:space="0" w:color="000000"/>
            </w:tcBorders>
            <w:shd w:val="clear" w:color="auto" w:fill="auto"/>
            <w:vAlign w:val="center"/>
          </w:tcPr>
          <w:p w14:paraId="7D3999C7"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r>
      <w:tr w:rsidR="00E03711" w:rsidRPr="00C60205" w14:paraId="7D3999CE" w14:textId="77777777" w:rsidTr="00F05D26">
        <w:trPr>
          <w:trHeight w:val="20"/>
        </w:trPr>
        <w:tc>
          <w:tcPr>
            <w:tcW w:w="584" w:type="pct"/>
            <w:tcBorders>
              <w:top w:val="single" w:sz="4" w:space="0" w:color="000000"/>
              <w:left w:val="single" w:sz="4" w:space="0" w:color="000000"/>
              <w:right w:val="single" w:sz="4" w:space="0" w:color="000000"/>
            </w:tcBorders>
            <w:shd w:val="clear" w:color="auto" w:fill="auto"/>
            <w:vAlign w:val="center"/>
          </w:tcPr>
          <w:p w14:paraId="7D3999C9" w14:textId="77777777" w:rsidR="00E03711" w:rsidRPr="00F769E0" w:rsidRDefault="00E03711" w:rsidP="00AE0E24">
            <w:pPr>
              <w:pStyle w:val="GUIDE-NORMAL"/>
              <w:spacing w:before="60" w:after="60"/>
              <w:jc w:val="left"/>
              <w:rPr>
                <w:rFonts w:cs="Tahoma"/>
                <w:b/>
                <w:lang w:val="sl-SI" w:eastAsia="en-GB"/>
              </w:rPr>
            </w:pPr>
            <w:r w:rsidRPr="00F769E0">
              <w:rPr>
                <w:rFonts w:cs="Tahoma"/>
                <w:b/>
                <w:lang w:val="sl-SI" w:eastAsia="en-GB"/>
              </w:rPr>
              <w:t>Organi-zacijska podpora</w:t>
            </w:r>
          </w:p>
        </w:tc>
        <w:tc>
          <w:tcPr>
            <w:tcW w:w="1143" w:type="pct"/>
            <w:tcBorders>
              <w:top w:val="single" w:sz="4" w:space="0" w:color="000000"/>
              <w:left w:val="single" w:sz="4" w:space="0" w:color="000000"/>
              <w:right w:val="single" w:sz="4" w:space="0" w:color="000000"/>
            </w:tcBorders>
            <w:shd w:val="clear" w:color="auto" w:fill="auto"/>
            <w:vAlign w:val="center"/>
          </w:tcPr>
          <w:p w14:paraId="7D3999CA" w14:textId="77777777" w:rsidR="00E03711" w:rsidRPr="00F769E0" w:rsidRDefault="00E03711" w:rsidP="00AE0E24">
            <w:pPr>
              <w:pStyle w:val="GUIDE-NORMAL"/>
              <w:spacing w:before="60" w:after="60"/>
              <w:jc w:val="left"/>
              <w:rPr>
                <w:rFonts w:cs="Tahoma"/>
                <w:lang w:val="sl-SI" w:eastAsia="en-GB"/>
              </w:rPr>
            </w:pPr>
            <w:r w:rsidRPr="00F769E0">
              <w:rPr>
                <w:rFonts w:cs="Tahoma"/>
                <w:lang w:val="sl-SI" w:eastAsia="en-GB"/>
              </w:rPr>
              <w:t>Stroški, neposredno povezani z izvajanjem aktivnosti mobilnosti v okviru projekta (vključno s stroški priprave aktivnosti, hrane, nastanitve, lokalnega prevoza, prostorov, zavarovanja, opreme in materiala, ocenjevanja, razširjanja in uporabe rezultatov ter nadaljnjih aktivnosti).</w:t>
            </w:r>
          </w:p>
        </w:tc>
        <w:tc>
          <w:tcPr>
            <w:tcW w:w="640" w:type="pct"/>
            <w:tcBorders>
              <w:top w:val="single" w:sz="4" w:space="0" w:color="000000"/>
              <w:left w:val="single" w:sz="4" w:space="0" w:color="000000"/>
              <w:right w:val="single" w:sz="4" w:space="0" w:color="000000"/>
            </w:tcBorders>
            <w:shd w:val="clear" w:color="auto" w:fill="auto"/>
            <w:vAlign w:val="center"/>
          </w:tcPr>
          <w:p w14:paraId="7D3999CB" w14:textId="77777777" w:rsidR="00E03711" w:rsidRPr="00F769E0" w:rsidRDefault="00E03711" w:rsidP="00AE0E24">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548" w:type="pct"/>
            <w:tcBorders>
              <w:top w:val="single" w:sz="4" w:space="0" w:color="000000"/>
              <w:left w:val="single" w:sz="4" w:space="0" w:color="000000"/>
              <w:right w:val="single" w:sz="4" w:space="0" w:color="000000"/>
            </w:tcBorders>
            <w:shd w:val="clear" w:color="auto" w:fill="auto"/>
            <w:vAlign w:val="center"/>
          </w:tcPr>
          <w:p w14:paraId="7D3999CC" w14:textId="77777777" w:rsidR="00E03711" w:rsidRPr="00F769E0" w:rsidRDefault="00E03711" w:rsidP="00AE0E24">
            <w:pPr>
              <w:pStyle w:val="GUIDE-NORMAL"/>
              <w:spacing w:before="60" w:after="60"/>
              <w:jc w:val="left"/>
              <w:rPr>
                <w:rFonts w:cs="Tahoma"/>
                <w:lang w:val="sl-SI" w:eastAsia="en-GB"/>
              </w:rPr>
            </w:pPr>
            <w:r w:rsidRPr="00201AA5">
              <w:rPr>
                <w:rFonts w:cs="Tahoma"/>
                <w:bdr w:val="single" w:sz="4" w:space="0" w:color="auto"/>
                <w:lang w:val="sl-SI" w:eastAsia="en-GB"/>
              </w:rPr>
              <w:t>B4.1</w:t>
            </w:r>
            <w:r w:rsidRPr="00F769E0">
              <w:rPr>
                <w:rFonts w:cs="Tahoma"/>
                <w:lang w:val="sl-SI" w:eastAsia="en-GB"/>
              </w:rPr>
              <w:t xml:space="preserve"> na dan aktivnosti na udeleženca</w:t>
            </w:r>
            <w:r w:rsidRPr="00F769E0">
              <w:rPr>
                <w:rStyle w:val="FootnoteReference"/>
                <w:rFonts w:cs="Tahoma"/>
                <w:lang w:val="sl-SI" w:eastAsia="en-GB"/>
              </w:rPr>
              <w:footnoteReference w:id="223"/>
            </w:r>
            <w:r w:rsidRPr="00F769E0">
              <w:rPr>
                <w:rFonts w:cs="Tahoma"/>
                <w:lang w:val="sl-SI" w:eastAsia="en-GB"/>
              </w:rPr>
              <w:t>.</w:t>
            </w:r>
          </w:p>
        </w:tc>
        <w:tc>
          <w:tcPr>
            <w:tcW w:w="1085" w:type="pct"/>
            <w:tcBorders>
              <w:top w:val="single" w:sz="4" w:space="0" w:color="000000"/>
              <w:left w:val="single" w:sz="4" w:space="0" w:color="000000"/>
              <w:right w:val="single" w:sz="4" w:space="0" w:color="000000"/>
            </w:tcBorders>
            <w:shd w:val="clear" w:color="auto" w:fill="auto"/>
            <w:vAlign w:val="center"/>
          </w:tcPr>
          <w:p w14:paraId="7D3999CD" w14:textId="77777777" w:rsidR="00E03711" w:rsidRPr="00F769E0" w:rsidRDefault="00E03711" w:rsidP="00AE0E24">
            <w:pPr>
              <w:pStyle w:val="GUIDE-NORMAL"/>
              <w:spacing w:before="60" w:after="60"/>
              <w:jc w:val="left"/>
              <w:rPr>
                <w:rFonts w:cs="Tahoma"/>
                <w:lang w:val="sl-SI" w:eastAsia="en-GB"/>
              </w:rPr>
            </w:pPr>
            <w:r w:rsidRPr="00F769E0">
              <w:rPr>
                <w:rFonts w:cs="Tahoma"/>
                <w:lang w:val="sl-SI" w:eastAsia="en-GB"/>
              </w:rPr>
              <w:t>Glede na trajanje bivanja udeleženca (po potrebi vključno z enim dnem poti pred aktivnostjo in enim dnem poti po aktivnosti).</w:t>
            </w:r>
          </w:p>
        </w:tc>
      </w:tr>
      <w:tr w:rsidR="00E03711" w:rsidRPr="00C60205" w14:paraId="7D3999D4" w14:textId="77777777" w:rsidTr="00F05D26">
        <w:trPr>
          <w:trHeight w:val="20"/>
        </w:trPr>
        <w:tc>
          <w:tcPr>
            <w:tcW w:w="5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9CF" w14:textId="77777777" w:rsidR="00E03711" w:rsidRPr="00F769E0" w:rsidRDefault="00E03711" w:rsidP="00AE0E24">
            <w:pPr>
              <w:pStyle w:val="GUIDE-NORMAL"/>
              <w:spacing w:before="60" w:after="60"/>
              <w:jc w:val="left"/>
              <w:rPr>
                <w:rFonts w:cs="Tahoma"/>
                <w:b/>
                <w:lang w:val="sl-SI" w:eastAsia="en-GB"/>
              </w:rPr>
            </w:pPr>
            <w:r w:rsidRPr="00F769E0">
              <w:rPr>
                <w:rFonts w:cs="Tahoma"/>
                <w:b/>
                <w:lang w:val="sl-SI" w:eastAsia="en-GB"/>
              </w:rPr>
              <w:t>Podpora za posebne potrebe</w:t>
            </w:r>
          </w:p>
        </w:tc>
        <w:tc>
          <w:tcPr>
            <w:tcW w:w="11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9D0" w14:textId="77777777" w:rsidR="00E03711" w:rsidRPr="00F769E0" w:rsidRDefault="00E03711" w:rsidP="00AE0E24">
            <w:pPr>
              <w:pStyle w:val="GUIDE-NORMAL"/>
              <w:spacing w:before="60" w:after="60"/>
              <w:jc w:val="left"/>
              <w:rPr>
                <w:rFonts w:cs="Tahoma"/>
                <w:lang w:val="sl-SI" w:eastAsia="en-GB"/>
              </w:rPr>
            </w:pPr>
            <w:r w:rsidRPr="00F769E0">
              <w:rPr>
                <w:rFonts w:cs="Tahoma"/>
                <w:lang w:val="sl-SI" w:eastAsia="en-GB"/>
              </w:rPr>
              <w:t>Dodatni stroški, neposredno povezani z udeleženci, ki imajo posebne potrebe, in spremljevalci (vključno s stroški za pot in bivanje, če so utemeljeni in če se nepovratna sredstva za te udeležence ne zahtevajo prek proračunskih kategorij „Pot“ in „Organizacijska podpora“).</w:t>
            </w:r>
          </w:p>
        </w:tc>
        <w:tc>
          <w:tcPr>
            <w:tcW w:w="6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9D1" w14:textId="77777777" w:rsidR="00E03711" w:rsidRPr="00F769E0" w:rsidRDefault="00E03711" w:rsidP="00AE0E24">
            <w:pPr>
              <w:pStyle w:val="GUIDE-NORMAL"/>
              <w:spacing w:before="60" w:after="60"/>
              <w:jc w:val="left"/>
              <w:rPr>
                <w:rFonts w:cs="Tahoma"/>
                <w:lang w:val="sl-SI" w:eastAsia="en-GB"/>
              </w:rPr>
            </w:pPr>
            <w:r w:rsidRPr="00F769E0">
              <w:rPr>
                <w:rFonts w:cs="Tahoma"/>
                <w:lang w:val="sl-SI" w:eastAsia="en-GB"/>
              </w:rPr>
              <w:t>Dejanski stroški</w:t>
            </w:r>
          </w:p>
        </w:tc>
        <w:tc>
          <w:tcPr>
            <w:tcW w:w="15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9D2" w14:textId="77777777" w:rsidR="00E03711" w:rsidRPr="00F769E0" w:rsidRDefault="00E03711" w:rsidP="00AE0E24">
            <w:pPr>
              <w:pStyle w:val="GUIDE-NORMAL"/>
              <w:spacing w:before="60" w:after="60"/>
              <w:jc w:val="left"/>
              <w:rPr>
                <w:rFonts w:cs="Tahoma"/>
                <w:lang w:val="sl-SI" w:eastAsia="en-GB"/>
              </w:rPr>
            </w:pPr>
            <w:r w:rsidRPr="00F769E0">
              <w:rPr>
                <w:rFonts w:cs="Tahoma"/>
                <w:lang w:val="sl-SI" w:eastAsia="en-GB"/>
              </w:rPr>
              <w:t>100 % upravičenih stroškov.</w:t>
            </w:r>
          </w:p>
        </w:tc>
        <w:tc>
          <w:tcPr>
            <w:tcW w:w="10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9D3" w14:textId="77777777" w:rsidR="00E03711" w:rsidRPr="00F769E0" w:rsidRDefault="00E03711" w:rsidP="00AE0E24">
            <w:pPr>
              <w:pStyle w:val="GUIDE-NORMAL"/>
              <w:spacing w:before="60" w:after="60"/>
              <w:jc w:val="left"/>
              <w:rPr>
                <w:rFonts w:cs="Tahoma"/>
                <w:lang w:val="sl-SI" w:eastAsia="en-GB"/>
              </w:rPr>
            </w:pPr>
            <w:r w:rsidRPr="00F769E0">
              <w:rPr>
                <w:rFonts w:cs="Tahoma"/>
                <w:lang w:val="sl-SI" w:eastAsia="en-GB"/>
              </w:rPr>
              <w:t>Pogoj: zahtevek za finančno podporo za kritje podpore udeležencem s posebnimi potrebami mora biti utemeljen v prijavnem obrazcu.</w:t>
            </w:r>
          </w:p>
        </w:tc>
      </w:tr>
      <w:tr w:rsidR="00E03711" w:rsidRPr="00C60205" w14:paraId="7D3999DD" w14:textId="77777777" w:rsidTr="00F05D26">
        <w:trPr>
          <w:trHeight w:val="20"/>
        </w:trPr>
        <w:tc>
          <w:tcPr>
            <w:tcW w:w="5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9D5" w14:textId="77777777" w:rsidR="00E03711" w:rsidRPr="00F769E0" w:rsidRDefault="00E03711" w:rsidP="00AE0E24">
            <w:pPr>
              <w:pStyle w:val="GUIDE-NORMAL"/>
              <w:spacing w:before="60" w:after="60"/>
              <w:jc w:val="left"/>
              <w:rPr>
                <w:rFonts w:cs="Tahoma"/>
                <w:b/>
                <w:lang w:val="sl-SI" w:eastAsia="en-GB"/>
              </w:rPr>
            </w:pPr>
            <w:r w:rsidRPr="00F769E0">
              <w:rPr>
                <w:rFonts w:cs="Tahoma"/>
                <w:b/>
                <w:lang w:val="sl-SI" w:eastAsia="en-GB"/>
              </w:rPr>
              <w:t>Izredni stroški</w:t>
            </w:r>
          </w:p>
        </w:tc>
        <w:tc>
          <w:tcPr>
            <w:tcW w:w="11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9D6" w14:textId="77777777" w:rsidR="00E03711" w:rsidRPr="00F769E0" w:rsidRDefault="00E03711" w:rsidP="00AE0E24">
            <w:pPr>
              <w:pStyle w:val="GUIDE-NORMAL"/>
              <w:spacing w:before="60" w:after="60"/>
              <w:jc w:val="left"/>
              <w:rPr>
                <w:rFonts w:cs="Tahoma"/>
                <w:lang w:val="sl-SI" w:eastAsia="en-GB"/>
              </w:rPr>
            </w:pPr>
            <w:r w:rsidRPr="00F769E0">
              <w:rPr>
                <w:rFonts w:cs="Tahoma"/>
                <w:lang w:val="sl-SI" w:eastAsia="en-GB"/>
              </w:rPr>
              <w:t>Stroški za podporo za udeležbo mladih z manj priložnostmi pod enakimi pogoji, kot veljajo za druge (razen potnih stroškov in stroškov bivanja za udeležence).</w:t>
            </w:r>
          </w:p>
          <w:p w14:paraId="7D3999D7" w14:textId="77777777" w:rsidR="00E03711" w:rsidRPr="00F769E0" w:rsidRDefault="00E03711" w:rsidP="00AE0E24">
            <w:pPr>
              <w:pStyle w:val="GUIDE-NORMAL"/>
              <w:spacing w:before="60" w:after="60"/>
              <w:jc w:val="left"/>
              <w:rPr>
                <w:rFonts w:cs="Tahoma"/>
                <w:lang w:val="sl-SI" w:eastAsia="en-GB"/>
              </w:rPr>
            </w:pPr>
            <w:r w:rsidRPr="00F769E0">
              <w:rPr>
                <w:rFonts w:cs="Tahoma"/>
                <w:lang w:val="sl-SI" w:eastAsia="en-GB"/>
              </w:rPr>
              <w:t>Vizumi in z njimi povezani stroški, dovoljenja za prebivanje, cepljenja, zdravniška spričevala.</w:t>
            </w:r>
          </w:p>
          <w:p w14:paraId="7D3999D8" w14:textId="77777777" w:rsidR="00E03711" w:rsidRPr="00F769E0" w:rsidRDefault="00E03711">
            <w:pPr>
              <w:pStyle w:val="GUIDE-NORMAL"/>
              <w:spacing w:before="60" w:after="60"/>
              <w:jc w:val="left"/>
              <w:rPr>
                <w:rFonts w:cs="Tahoma"/>
                <w:lang w:val="sl-SI" w:eastAsia="en-GB"/>
              </w:rPr>
            </w:pPr>
            <w:r w:rsidRPr="00F769E0">
              <w:rPr>
                <w:rFonts w:cs="Tahoma"/>
                <w:lang w:val="sl-SI" w:eastAsia="en-GB"/>
              </w:rPr>
              <w:t>Dragi potni stroški udeležencev</w:t>
            </w:r>
            <w:r>
              <w:rPr>
                <w:rFonts w:cs="Tahoma"/>
                <w:lang w:val="sl-SI" w:eastAsia="en-GB"/>
              </w:rPr>
              <w:t>, vključno z uporabo čistejših prevoznih sredstev, z manj emisijami ogljika</w:t>
            </w:r>
            <w:r w:rsidRPr="00F769E0">
              <w:rPr>
                <w:rFonts w:cs="Tahoma"/>
                <w:lang w:val="sl-SI" w:eastAsia="en-GB"/>
              </w:rPr>
              <w:t xml:space="preserve"> (za podrobnosti glej poglavje „Kaj je še treba vedeti o tem ukrepu?“).</w:t>
            </w:r>
          </w:p>
        </w:tc>
        <w:tc>
          <w:tcPr>
            <w:tcW w:w="6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9D9" w14:textId="77777777" w:rsidR="00E03711" w:rsidRPr="00F769E0" w:rsidRDefault="00E03711" w:rsidP="00AE0E24">
            <w:pPr>
              <w:pStyle w:val="GUIDE-NORMAL"/>
              <w:spacing w:before="60" w:after="60"/>
              <w:jc w:val="left"/>
              <w:rPr>
                <w:rFonts w:cs="Tahoma"/>
                <w:lang w:val="sl-SI" w:eastAsia="en-GB"/>
              </w:rPr>
            </w:pPr>
            <w:r w:rsidRPr="00F769E0">
              <w:rPr>
                <w:rFonts w:cs="Tahoma"/>
                <w:lang w:val="sl-SI" w:eastAsia="en-GB"/>
              </w:rPr>
              <w:t>Dejanski stroški</w:t>
            </w:r>
          </w:p>
        </w:tc>
        <w:tc>
          <w:tcPr>
            <w:tcW w:w="15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9DA" w14:textId="77777777" w:rsidR="00E03711" w:rsidRPr="00F769E0" w:rsidRDefault="00E03711" w:rsidP="00AE0E24">
            <w:pPr>
              <w:pStyle w:val="GUIDE-NORMAL"/>
              <w:spacing w:before="60" w:after="60"/>
              <w:jc w:val="left"/>
              <w:rPr>
                <w:rFonts w:cs="Tahoma"/>
                <w:lang w:val="sl-SI" w:eastAsia="en-GB"/>
              </w:rPr>
            </w:pPr>
            <w:r w:rsidRPr="00F769E0">
              <w:rPr>
                <w:rFonts w:cs="Tahoma"/>
                <w:lang w:val="sl-SI" w:eastAsia="en-GB"/>
              </w:rPr>
              <w:t>Dragi potni stroški: do največ 80 % upravičenih stroškov.</w:t>
            </w:r>
          </w:p>
          <w:p w14:paraId="7D3999DB" w14:textId="77777777" w:rsidR="00E03711" w:rsidRPr="00F769E0" w:rsidRDefault="00E03711" w:rsidP="00AE0E24">
            <w:pPr>
              <w:pStyle w:val="GUIDE-NORMAL"/>
              <w:spacing w:before="60" w:after="60"/>
              <w:jc w:val="left"/>
              <w:rPr>
                <w:rFonts w:cs="Tahoma"/>
                <w:lang w:val="sl-SI" w:eastAsia="en-GB"/>
              </w:rPr>
            </w:pPr>
            <w:r w:rsidRPr="00F769E0">
              <w:rPr>
                <w:rFonts w:cs="Tahoma"/>
                <w:lang w:val="sl-SI" w:eastAsia="en-GB"/>
              </w:rPr>
              <w:t>Drugi stroški: 100 % upravičenih stroškov.</w:t>
            </w:r>
          </w:p>
        </w:tc>
        <w:tc>
          <w:tcPr>
            <w:tcW w:w="10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9DC" w14:textId="77777777" w:rsidR="00E03711" w:rsidRPr="00F769E0" w:rsidRDefault="00E03711" w:rsidP="00AE0E24">
            <w:pPr>
              <w:pStyle w:val="GUIDE-NORMAL"/>
              <w:spacing w:before="60" w:after="60"/>
              <w:jc w:val="left"/>
              <w:rPr>
                <w:rFonts w:cs="Tahoma"/>
                <w:lang w:val="sl-SI" w:eastAsia="en-GB"/>
              </w:rPr>
            </w:pPr>
            <w:r w:rsidRPr="00F769E0">
              <w:rPr>
                <w:rFonts w:cs="Tahoma"/>
                <w:lang w:val="sl-SI" w:eastAsia="en-GB"/>
              </w:rPr>
              <w:t>Pogoj: zahtevek za finančno podporo za kritje izrednih stroškov mora biti utemeljen v prijavnem obrazcu.</w:t>
            </w:r>
          </w:p>
        </w:tc>
      </w:tr>
    </w:tbl>
    <w:p w14:paraId="7D3999DE" w14:textId="77777777" w:rsidR="00E03711" w:rsidRPr="001048FE" w:rsidRDefault="00E03711" w:rsidP="00856E4B">
      <w:pPr>
        <w:pStyle w:val="Guide-Heading6"/>
        <w:rPr>
          <w:lang w:val="sl-SI"/>
        </w:rPr>
      </w:pPr>
      <w:bookmarkStart w:id="260" w:name="B)_Règles_de_ﬁnancement_pour_les_activit"/>
      <w:bookmarkEnd w:id="260"/>
      <w:r w:rsidRPr="001048FE">
        <w:rPr>
          <w:lang w:val="sl-SI"/>
        </w:rPr>
        <w:t>B) Pravila za dodelitev sredstev za prostovoljske aktivnosti, izvedene v okviru projekta krepitve zmogljivosti (izbirna dodelitev</w:t>
      </w:r>
      <w:r w:rsidRPr="001048FE">
        <w:rPr>
          <w:spacing w:val="18"/>
          <w:lang w:val="sl-SI"/>
        </w:rPr>
        <w:t xml:space="preserve"> </w:t>
      </w:r>
      <w:r w:rsidRPr="001048FE">
        <w:rPr>
          <w:lang w:val="sl-SI"/>
        </w:rPr>
        <w:t>sredstev)</w:t>
      </w:r>
    </w:p>
    <w:tbl>
      <w:tblPr>
        <w:tblW w:w="5000" w:type="pct"/>
        <w:tblLook w:val="0000" w:firstRow="0" w:lastRow="0" w:firstColumn="0" w:lastColumn="0" w:noHBand="0" w:noVBand="0"/>
      </w:tblPr>
      <w:tblGrid>
        <w:gridCol w:w="1728"/>
        <w:gridCol w:w="3358"/>
        <w:gridCol w:w="1953"/>
        <w:gridCol w:w="5194"/>
        <w:gridCol w:w="2555"/>
      </w:tblGrid>
      <w:tr w:rsidR="00E03711" w:rsidRPr="008C6F8C" w14:paraId="7D3999E3" w14:textId="77777777" w:rsidTr="00C42774">
        <w:trPr>
          <w:trHeight w:val="20"/>
        </w:trPr>
        <w:tc>
          <w:tcPr>
            <w:tcW w:w="17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99DF" w14:textId="77777777" w:rsidR="00E03711" w:rsidRPr="00F769E0" w:rsidRDefault="00E03711" w:rsidP="00A13051">
            <w:pPr>
              <w:pStyle w:val="Guide-Table"/>
              <w:spacing w:beforeLines="60" w:before="144" w:afterLines="60" w:after="144"/>
              <w:rPr>
                <w:rFonts w:cs="Tahoma"/>
                <w:b/>
                <w:lang w:val="sl-SI" w:eastAsia="en-GB"/>
              </w:rPr>
            </w:pPr>
            <w:r w:rsidRPr="00F769E0">
              <w:rPr>
                <w:rFonts w:cs="Tahoma"/>
                <w:b/>
                <w:lang w:val="sl-SI" w:eastAsia="en-GB"/>
              </w:rPr>
              <w:t>Upravičeni stroški</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9E0" w14:textId="77777777" w:rsidR="00E03711" w:rsidRPr="00F769E0" w:rsidRDefault="00E03711" w:rsidP="00A13051">
            <w:pPr>
              <w:pStyle w:val="Guide-Table"/>
              <w:spacing w:beforeLines="60" w:before="144" w:afterLines="60" w:after="144"/>
              <w:rPr>
                <w:rFonts w:cs="Tahoma"/>
                <w:b/>
                <w:lang w:val="sl-SI" w:eastAsia="en-GB"/>
              </w:rPr>
            </w:pPr>
            <w:r w:rsidRPr="00F769E0">
              <w:rPr>
                <w:rFonts w:cs="Tahoma"/>
                <w:b/>
                <w:lang w:val="sl-SI" w:eastAsia="en-GB"/>
              </w:rPr>
              <w:t>Mehanizem financiranja</w:t>
            </w:r>
          </w:p>
        </w:tc>
        <w:tc>
          <w:tcPr>
            <w:tcW w:w="17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9E1" w14:textId="77777777" w:rsidR="00E03711" w:rsidRPr="00F769E0" w:rsidRDefault="00E03711" w:rsidP="00A13051">
            <w:pPr>
              <w:pStyle w:val="Guide-Table"/>
              <w:spacing w:beforeLines="60" w:before="144" w:afterLines="60" w:after="144"/>
              <w:rPr>
                <w:rFonts w:cs="Tahoma"/>
                <w:b/>
                <w:lang w:val="sl-SI" w:eastAsia="en-GB"/>
              </w:rPr>
            </w:pPr>
            <w:r w:rsidRPr="00F769E0">
              <w:rPr>
                <w:rFonts w:cs="Tahoma"/>
                <w:b/>
                <w:lang w:val="sl-SI" w:eastAsia="en-GB"/>
              </w:rPr>
              <w:t>Znesek</w:t>
            </w:r>
          </w:p>
        </w:tc>
        <w:tc>
          <w:tcPr>
            <w:tcW w:w="8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9E2" w14:textId="77777777" w:rsidR="00E03711" w:rsidRPr="00F769E0" w:rsidRDefault="00E03711" w:rsidP="00A13051">
            <w:pPr>
              <w:pStyle w:val="Guide-Table"/>
              <w:spacing w:beforeLines="60" w:before="144" w:afterLines="60" w:after="144"/>
              <w:rPr>
                <w:rFonts w:cs="Tahoma"/>
                <w:b/>
                <w:lang w:val="sl-SI" w:eastAsia="en-GB"/>
              </w:rPr>
            </w:pPr>
            <w:r w:rsidRPr="00F769E0">
              <w:rPr>
                <w:rFonts w:cs="Tahoma"/>
                <w:b/>
                <w:lang w:val="sl-SI" w:eastAsia="en-GB"/>
              </w:rPr>
              <w:t>Pravilo dodelitve</w:t>
            </w:r>
          </w:p>
        </w:tc>
      </w:tr>
      <w:tr w:rsidR="00E03711" w:rsidRPr="00C60205" w14:paraId="7D3999E9" w14:textId="77777777" w:rsidTr="00C42774">
        <w:trPr>
          <w:trHeight w:val="20"/>
        </w:trPr>
        <w:tc>
          <w:tcPr>
            <w:tcW w:w="5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9E4" w14:textId="77777777" w:rsidR="00E03711" w:rsidRPr="00F769E0" w:rsidRDefault="00E03711" w:rsidP="009F6A4E">
            <w:pPr>
              <w:pStyle w:val="GUIDE-NORMAL"/>
              <w:jc w:val="left"/>
              <w:rPr>
                <w:rFonts w:cs="Tahoma"/>
                <w:b/>
                <w:lang w:val="sl-SI" w:eastAsia="en-GB"/>
              </w:rPr>
            </w:pPr>
            <w:r w:rsidRPr="00F769E0">
              <w:rPr>
                <w:rFonts w:cs="Tahoma"/>
                <w:b/>
                <w:lang w:val="sl-SI" w:eastAsia="en-GB"/>
              </w:rPr>
              <w:t>Pot</w:t>
            </w:r>
          </w:p>
        </w:tc>
        <w:tc>
          <w:tcPr>
            <w:tcW w:w="113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9E5" w14:textId="77777777" w:rsidR="00E03711" w:rsidRPr="00F769E0" w:rsidRDefault="00E03711" w:rsidP="009F6A4E">
            <w:pPr>
              <w:pStyle w:val="GUIDE-NORMAL"/>
              <w:jc w:val="left"/>
              <w:rPr>
                <w:rFonts w:cs="Tahoma"/>
                <w:lang w:val="sl-SI" w:eastAsia="en-GB"/>
              </w:rPr>
            </w:pPr>
            <w:r w:rsidRPr="00F769E0">
              <w:rPr>
                <w:rFonts w:cs="Tahoma"/>
                <w:lang w:val="sl-SI" w:eastAsia="en-GB"/>
              </w:rPr>
              <w:t>Prispevek za potne stroške udeležencev, vključno s spremljevalci, od njihovega kraja izvora do kraja izvajanja aktivnosti in nazaj.</w:t>
            </w:r>
          </w:p>
        </w:tc>
        <w:tc>
          <w:tcPr>
            <w:tcW w:w="66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9E6" w14:textId="77777777" w:rsidR="00E03711" w:rsidRPr="00F769E0" w:rsidRDefault="00E03711" w:rsidP="009F6A4E">
            <w:pPr>
              <w:pStyle w:val="GUIDE-NORMAL"/>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756" w:type="pct"/>
            <w:tcBorders>
              <w:top w:val="single" w:sz="4" w:space="0" w:color="000000"/>
              <w:left w:val="single" w:sz="4" w:space="0" w:color="000000"/>
              <w:bottom w:val="single" w:sz="4" w:space="0" w:color="000000"/>
              <w:right w:val="single" w:sz="4" w:space="0" w:color="000000"/>
            </w:tcBorders>
            <w:shd w:val="clear" w:color="auto" w:fill="auto"/>
          </w:tcPr>
          <w:p w14:paraId="7D3999E7"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 xml:space="preserve">Za razdalje od 10 do 99 km: </w:t>
            </w:r>
            <w:r w:rsidRPr="00F769E0">
              <w:rPr>
                <w:rFonts w:cs="Tahoma"/>
                <w:lang w:val="sl-SI" w:eastAsia="en-GB"/>
              </w:rPr>
              <w:br/>
              <w:t>20 EUR na udeleženca.</w:t>
            </w:r>
          </w:p>
        </w:tc>
        <w:tc>
          <w:tcPr>
            <w:tcW w:w="8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9E8" w14:textId="77777777" w:rsidR="00E03711" w:rsidRPr="00F769E0" w:rsidRDefault="00E03711" w:rsidP="009F6A4E">
            <w:pPr>
              <w:pStyle w:val="GUIDE-NORMAL"/>
              <w:jc w:val="left"/>
              <w:rPr>
                <w:rFonts w:cs="Tahoma"/>
                <w:lang w:val="sl-SI" w:eastAsia="en-GB"/>
              </w:rPr>
            </w:pPr>
            <w:r w:rsidRPr="00F769E0">
              <w:rPr>
                <w:rFonts w:cs="Tahoma"/>
                <w:lang w:val="sl-SI" w:eastAsia="en-GB"/>
              </w:rPr>
              <w:t>Glede na razdaljo poti na udeleženca. Razdaljo je treba izračunati s kalkulatorjem razdalje, ki ga podpira Evropska komisija</w:t>
            </w:r>
            <w:r w:rsidRPr="00F769E0">
              <w:rPr>
                <w:rStyle w:val="FootnoteReference"/>
                <w:rFonts w:cs="Tahoma"/>
                <w:lang w:val="sl-SI" w:eastAsia="en-GB"/>
              </w:rPr>
              <w:footnoteReference w:id="224"/>
            </w:r>
            <w:r w:rsidRPr="00F769E0">
              <w:rPr>
                <w:rFonts w:cs="Tahoma"/>
                <w:lang w:val="sl-SI" w:eastAsia="en-GB"/>
              </w:rPr>
              <w:t>. Prijavitelj mora navesti razdaljo enosmerne poti za izračun zneska nepovratnih sredstev EU za kritje povratne poti</w:t>
            </w:r>
            <w:r w:rsidRPr="00F769E0">
              <w:rPr>
                <w:rStyle w:val="FootnoteReference"/>
                <w:rFonts w:cs="Tahoma"/>
                <w:lang w:val="sl-SI" w:eastAsia="en-GB"/>
              </w:rPr>
              <w:footnoteReference w:id="225"/>
            </w:r>
            <w:r w:rsidRPr="00F769E0">
              <w:rPr>
                <w:rFonts w:cs="Tahoma"/>
                <w:lang w:val="sl-SI" w:eastAsia="en-GB"/>
              </w:rPr>
              <w:t>.</w:t>
            </w:r>
          </w:p>
        </w:tc>
      </w:tr>
      <w:tr w:rsidR="00E03711" w:rsidRPr="00C60205" w14:paraId="7D3999EF" w14:textId="77777777" w:rsidTr="00C42774">
        <w:trPr>
          <w:trHeight w:val="20"/>
        </w:trPr>
        <w:tc>
          <w:tcPr>
            <w:tcW w:w="584" w:type="pct"/>
            <w:vMerge/>
            <w:tcBorders>
              <w:top w:val="nil"/>
              <w:left w:val="single" w:sz="4" w:space="0" w:color="000000"/>
              <w:bottom w:val="single" w:sz="4" w:space="0" w:color="000000"/>
              <w:right w:val="single" w:sz="4" w:space="0" w:color="000000"/>
            </w:tcBorders>
            <w:shd w:val="clear" w:color="auto" w:fill="auto"/>
            <w:vAlign w:val="center"/>
          </w:tcPr>
          <w:p w14:paraId="7D3999EA" w14:textId="77777777" w:rsidR="00E03711" w:rsidRPr="00F769E0" w:rsidRDefault="00E03711" w:rsidP="00A13051">
            <w:pPr>
              <w:pStyle w:val="Guide-Table"/>
              <w:spacing w:beforeLines="60" w:before="144" w:afterLines="60" w:after="144"/>
              <w:jc w:val="left"/>
              <w:rPr>
                <w:rFonts w:cs="Tahoma"/>
                <w:b/>
                <w:bCs/>
                <w:sz w:val="2"/>
                <w:szCs w:val="2"/>
                <w:lang w:val="sl-SI" w:eastAsia="en-GB"/>
              </w:rPr>
            </w:pPr>
          </w:p>
        </w:tc>
        <w:tc>
          <w:tcPr>
            <w:tcW w:w="1135" w:type="pct"/>
            <w:vMerge/>
            <w:tcBorders>
              <w:top w:val="nil"/>
              <w:left w:val="single" w:sz="4" w:space="0" w:color="000000"/>
              <w:bottom w:val="single" w:sz="4" w:space="0" w:color="000000"/>
              <w:right w:val="single" w:sz="4" w:space="0" w:color="000000"/>
            </w:tcBorders>
            <w:shd w:val="clear" w:color="auto" w:fill="auto"/>
            <w:vAlign w:val="center"/>
          </w:tcPr>
          <w:p w14:paraId="7D3999EB" w14:textId="77777777" w:rsidR="00E03711" w:rsidRPr="00F769E0" w:rsidRDefault="00E03711" w:rsidP="00A13051">
            <w:pPr>
              <w:pStyle w:val="Guide-Table"/>
              <w:spacing w:beforeLines="60" w:before="144" w:afterLines="60" w:after="144"/>
              <w:jc w:val="left"/>
              <w:rPr>
                <w:rFonts w:cs="Tahoma"/>
                <w:b/>
                <w:bCs/>
                <w:sz w:val="2"/>
                <w:szCs w:val="2"/>
                <w:lang w:val="sl-SI" w:eastAsia="en-GB"/>
              </w:rPr>
            </w:pPr>
          </w:p>
        </w:tc>
        <w:tc>
          <w:tcPr>
            <w:tcW w:w="660" w:type="pct"/>
            <w:vMerge/>
            <w:tcBorders>
              <w:top w:val="nil"/>
              <w:left w:val="single" w:sz="4" w:space="0" w:color="000000"/>
              <w:bottom w:val="single" w:sz="4" w:space="0" w:color="000000"/>
              <w:right w:val="single" w:sz="4" w:space="0" w:color="000000"/>
            </w:tcBorders>
            <w:shd w:val="clear" w:color="auto" w:fill="auto"/>
            <w:vAlign w:val="center"/>
          </w:tcPr>
          <w:p w14:paraId="7D3999EC" w14:textId="77777777" w:rsidR="00E03711" w:rsidRPr="00F769E0" w:rsidRDefault="00E03711" w:rsidP="00A13051">
            <w:pPr>
              <w:pStyle w:val="Guide-Table"/>
              <w:spacing w:beforeLines="60" w:before="144" w:afterLines="60" w:after="144"/>
              <w:jc w:val="left"/>
              <w:rPr>
                <w:rFonts w:cs="Tahoma"/>
                <w:b/>
                <w:bCs/>
                <w:sz w:val="2"/>
                <w:szCs w:val="2"/>
                <w:lang w:val="sl-SI" w:eastAsia="en-GB"/>
              </w:rPr>
            </w:pPr>
          </w:p>
        </w:tc>
        <w:tc>
          <w:tcPr>
            <w:tcW w:w="1756" w:type="pct"/>
            <w:tcBorders>
              <w:top w:val="single" w:sz="4" w:space="0" w:color="000000"/>
              <w:left w:val="single" w:sz="4" w:space="0" w:color="000000"/>
              <w:bottom w:val="single" w:sz="4" w:space="0" w:color="000000"/>
              <w:right w:val="single" w:sz="4" w:space="0" w:color="000000"/>
            </w:tcBorders>
            <w:shd w:val="clear" w:color="auto" w:fill="auto"/>
          </w:tcPr>
          <w:p w14:paraId="7D3999ED"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 xml:space="preserve">Za razdalje od 100 do 499 km: </w:t>
            </w:r>
            <w:r w:rsidRPr="00F769E0">
              <w:rPr>
                <w:rFonts w:cs="Tahoma"/>
                <w:lang w:val="sl-SI" w:eastAsia="en-GB"/>
              </w:rPr>
              <w:br/>
              <w:t>180 EUR na udeleženca.</w:t>
            </w:r>
          </w:p>
        </w:tc>
        <w:tc>
          <w:tcPr>
            <w:tcW w:w="864" w:type="pct"/>
            <w:vMerge/>
            <w:tcBorders>
              <w:top w:val="nil"/>
              <w:left w:val="single" w:sz="4" w:space="0" w:color="000000"/>
              <w:bottom w:val="single" w:sz="4" w:space="0" w:color="000000"/>
              <w:right w:val="single" w:sz="4" w:space="0" w:color="000000"/>
            </w:tcBorders>
            <w:shd w:val="clear" w:color="auto" w:fill="auto"/>
          </w:tcPr>
          <w:p w14:paraId="7D3999EE" w14:textId="77777777" w:rsidR="00E03711" w:rsidRPr="00F769E0" w:rsidRDefault="00E03711" w:rsidP="00A13051">
            <w:pPr>
              <w:pStyle w:val="Guide-Table"/>
              <w:spacing w:beforeLines="60" w:before="144" w:afterLines="60" w:after="144"/>
              <w:rPr>
                <w:rFonts w:cs="Tahoma"/>
                <w:b/>
                <w:bCs/>
                <w:sz w:val="2"/>
                <w:szCs w:val="2"/>
                <w:lang w:val="sl-SI" w:eastAsia="en-GB"/>
              </w:rPr>
            </w:pPr>
          </w:p>
        </w:tc>
      </w:tr>
      <w:tr w:rsidR="00E03711" w:rsidRPr="00C60205" w14:paraId="7D3999F5" w14:textId="77777777" w:rsidTr="00C42774">
        <w:trPr>
          <w:trHeight w:val="20"/>
        </w:trPr>
        <w:tc>
          <w:tcPr>
            <w:tcW w:w="584" w:type="pct"/>
            <w:vMerge/>
            <w:tcBorders>
              <w:top w:val="nil"/>
              <w:left w:val="single" w:sz="4" w:space="0" w:color="000000"/>
              <w:bottom w:val="single" w:sz="4" w:space="0" w:color="000000"/>
              <w:right w:val="single" w:sz="4" w:space="0" w:color="000000"/>
            </w:tcBorders>
            <w:shd w:val="clear" w:color="auto" w:fill="auto"/>
            <w:vAlign w:val="center"/>
          </w:tcPr>
          <w:p w14:paraId="7D3999F0" w14:textId="77777777" w:rsidR="00E03711" w:rsidRPr="00F769E0" w:rsidRDefault="00E03711" w:rsidP="00A13051">
            <w:pPr>
              <w:pStyle w:val="Guide-Table"/>
              <w:spacing w:beforeLines="60" w:before="144" w:afterLines="60" w:after="144"/>
              <w:jc w:val="left"/>
              <w:rPr>
                <w:rFonts w:cs="Tahoma"/>
                <w:b/>
                <w:bCs/>
                <w:sz w:val="2"/>
                <w:szCs w:val="2"/>
                <w:lang w:val="sl-SI" w:eastAsia="en-GB"/>
              </w:rPr>
            </w:pPr>
          </w:p>
        </w:tc>
        <w:tc>
          <w:tcPr>
            <w:tcW w:w="1135" w:type="pct"/>
            <w:vMerge/>
            <w:tcBorders>
              <w:top w:val="nil"/>
              <w:left w:val="single" w:sz="4" w:space="0" w:color="000000"/>
              <w:bottom w:val="single" w:sz="4" w:space="0" w:color="000000"/>
              <w:right w:val="single" w:sz="4" w:space="0" w:color="000000"/>
            </w:tcBorders>
            <w:shd w:val="clear" w:color="auto" w:fill="auto"/>
            <w:vAlign w:val="center"/>
          </w:tcPr>
          <w:p w14:paraId="7D3999F1" w14:textId="77777777" w:rsidR="00E03711" w:rsidRPr="00F769E0" w:rsidRDefault="00E03711" w:rsidP="00A13051">
            <w:pPr>
              <w:pStyle w:val="Guide-Table"/>
              <w:spacing w:beforeLines="60" w:before="144" w:afterLines="60" w:after="144"/>
              <w:jc w:val="left"/>
              <w:rPr>
                <w:rFonts w:cs="Tahoma"/>
                <w:b/>
                <w:bCs/>
                <w:sz w:val="2"/>
                <w:szCs w:val="2"/>
                <w:lang w:val="sl-SI" w:eastAsia="en-GB"/>
              </w:rPr>
            </w:pPr>
          </w:p>
        </w:tc>
        <w:tc>
          <w:tcPr>
            <w:tcW w:w="660" w:type="pct"/>
            <w:vMerge/>
            <w:tcBorders>
              <w:top w:val="nil"/>
              <w:left w:val="single" w:sz="4" w:space="0" w:color="000000"/>
              <w:bottom w:val="single" w:sz="4" w:space="0" w:color="000000"/>
              <w:right w:val="single" w:sz="4" w:space="0" w:color="000000"/>
            </w:tcBorders>
            <w:shd w:val="clear" w:color="auto" w:fill="auto"/>
            <w:vAlign w:val="center"/>
          </w:tcPr>
          <w:p w14:paraId="7D3999F2" w14:textId="77777777" w:rsidR="00E03711" w:rsidRPr="00F769E0" w:rsidRDefault="00E03711" w:rsidP="00A13051">
            <w:pPr>
              <w:pStyle w:val="Guide-Table"/>
              <w:spacing w:beforeLines="60" w:before="144" w:afterLines="60" w:after="144"/>
              <w:jc w:val="left"/>
              <w:rPr>
                <w:rFonts w:cs="Tahoma"/>
                <w:b/>
                <w:bCs/>
                <w:sz w:val="2"/>
                <w:szCs w:val="2"/>
                <w:lang w:val="sl-SI" w:eastAsia="en-GB"/>
              </w:rPr>
            </w:pPr>
          </w:p>
        </w:tc>
        <w:tc>
          <w:tcPr>
            <w:tcW w:w="1756" w:type="pct"/>
            <w:tcBorders>
              <w:top w:val="single" w:sz="4" w:space="0" w:color="000000"/>
              <w:left w:val="single" w:sz="4" w:space="0" w:color="000000"/>
              <w:bottom w:val="single" w:sz="4" w:space="0" w:color="000000"/>
              <w:right w:val="single" w:sz="4" w:space="0" w:color="000000"/>
            </w:tcBorders>
            <w:shd w:val="clear" w:color="auto" w:fill="auto"/>
          </w:tcPr>
          <w:p w14:paraId="7D3999F3"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 xml:space="preserve">Za razdalje od 500 do 1 999 km: </w:t>
            </w:r>
            <w:r w:rsidRPr="00F769E0">
              <w:rPr>
                <w:rFonts w:cs="Tahoma"/>
                <w:lang w:val="sl-SI" w:eastAsia="en-GB"/>
              </w:rPr>
              <w:br/>
              <w:t>275 EUR na udeleženca.</w:t>
            </w:r>
          </w:p>
        </w:tc>
        <w:tc>
          <w:tcPr>
            <w:tcW w:w="864" w:type="pct"/>
            <w:vMerge/>
            <w:tcBorders>
              <w:top w:val="nil"/>
              <w:left w:val="single" w:sz="4" w:space="0" w:color="000000"/>
              <w:bottom w:val="single" w:sz="4" w:space="0" w:color="000000"/>
              <w:right w:val="single" w:sz="4" w:space="0" w:color="000000"/>
            </w:tcBorders>
            <w:shd w:val="clear" w:color="auto" w:fill="auto"/>
          </w:tcPr>
          <w:p w14:paraId="7D3999F4" w14:textId="77777777" w:rsidR="00E03711" w:rsidRPr="00F769E0" w:rsidRDefault="00E03711" w:rsidP="00A13051">
            <w:pPr>
              <w:pStyle w:val="Guide-Table"/>
              <w:spacing w:beforeLines="60" w:before="144" w:afterLines="60" w:after="144"/>
              <w:rPr>
                <w:rFonts w:cs="Tahoma"/>
                <w:b/>
                <w:bCs/>
                <w:sz w:val="2"/>
                <w:szCs w:val="2"/>
                <w:lang w:val="sl-SI" w:eastAsia="en-GB"/>
              </w:rPr>
            </w:pPr>
          </w:p>
        </w:tc>
      </w:tr>
      <w:tr w:rsidR="00E03711" w:rsidRPr="00C60205" w14:paraId="7D3999FB" w14:textId="77777777" w:rsidTr="00C42774">
        <w:trPr>
          <w:trHeight w:val="20"/>
        </w:trPr>
        <w:tc>
          <w:tcPr>
            <w:tcW w:w="584" w:type="pct"/>
            <w:vMerge/>
            <w:tcBorders>
              <w:top w:val="nil"/>
              <w:left w:val="single" w:sz="4" w:space="0" w:color="000000"/>
              <w:bottom w:val="single" w:sz="4" w:space="0" w:color="000000"/>
              <w:right w:val="single" w:sz="4" w:space="0" w:color="000000"/>
            </w:tcBorders>
            <w:shd w:val="clear" w:color="auto" w:fill="auto"/>
            <w:vAlign w:val="center"/>
          </w:tcPr>
          <w:p w14:paraId="7D3999F6" w14:textId="77777777" w:rsidR="00E03711" w:rsidRPr="00F769E0" w:rsidRDefault="00E03711" w:rsidP="00A13051">
            <w:pPr>
              <w:pStyle w:val="Guide-Table"/>
              <w:spacing w:beforeLines="60" w:before="144" w:afterLines="60" w:after="144"/>
              <w:jc w:val="left"/>
              <w:rPr>
                <w:rFonts w:cs="Tahoma"/>
                <w:b/>
                <w:bCs/>
                <w:sz w:val="2"/>
                <w:szCs w:val="2"/>
                <w:lang w:val="sl-SI" w:eastAsia="en-GB"/>
              </w:rPr>
            </w:pPr>
          </w:p>
        </w:tc>
        <w:tc>
          <w:tcPr>
            <w:tcW w:w="1135" w:type="pct"/>
            <w:vMerge/>
            <w:tcBorders>
              <w:top w:val="nil"/>
              <w:left w:val="single" w:sz="4" w:space="0" w:color="000000"/>
              <w:bottom w:val="single" w:sz="4" w:space="0" w:color="000000"/>
              <w:right w:val="single" w:sz="4" w:space="0" w:color="000000"/>
            </w:tcBorders>
            <w:shd w:val="clear" w:color="auto" w:fill="auto"/>
            <w:vAlign w:val="center"/>
          </w:tcPr>
          <w:p w14:paraId="7D3999F7" w14:textId="77777777" w:rsidR="00E03711" w:rsidRPr="00F769E0" w:rsidRDefault="00E03711" w:rsidP="00A13051">
            <w:pPr>
              <w:pStyle w:val="Guide-Table"/>
              <w:spacing w:beforeLines="60" w:before="144" w:afterLines="60" w:after="144"/>
              <w:jc w:val="left"/>
              <w:rPr>
                <w:rFonts w:cs="Tahoma"/>
                <w:b/>
                <w:bCs/>
                <w:sz w:val="2"/>
                <w:szCs w:val="2"/>
                <w:lang w:val="sl-SI" w:eastAsia="en-GB"/>
              </w:rPr>
            </w:pPr>
          </w:p>
        </w:tc>
        <w:tc>
          <w:tcPr>
            <w:tcW w:w="660" w:type="pct"/>
            <w:vMerge/>
            <w:tcBorders>
              <w:top w:val="nil"/>
              <w:left w:val="single" w:sz="4" w:space="0" w:color="000000"/>
              <w:bottom w:val="single" w:sz="4" w:space="0" w:color="000000"/>
              <w:right w:val="single" w:sz="4" w:space="0" w:color="000000"/>
            </w:tcBorders>
            <w:shd w:val="clear" w:color="auto" w:fill="auto"/>
            <w:vAlign w:val="center"/>
          </w:tcPr>
          <w:p w14:paraId="7D3999F8" w14:textId="77777777" w:rsidR="00E03711" w:rsidRPr="00F769E0" w:rsidRDefault="00E03711" w:rsidP="00A13051">
            <w:pPr>
              <w:pStyle w:val="Guide-Table"/>
              <w:spacing w:beforeLines="60" w:before="144" w:afterLines="60" w:after="144"/>
              <w:jc w:val="left"/>
              <w:rPr>
                <w:rFonts w:cs="Tahoma"/>
                <w:b/>
                <w:bCs/>
                <w:sz w:val="2"/>
                <w:szCs w:val="2"/>
                <w:lang w:val="sl-SI" w:eastAsia="en-GB"/>
              </w:rPr>
            </w:pPr>
          </w:p>
        </w:tc>
        <w:tc>
          <w:tcPr>
            <w:tcW w:w="1756" w:type="pct"/>
            <w:tcBorders>
              <w:top w:val="single" w:sz="4" w:space="0" w:color="000000"/>
              <w:left w:val="single" w:sz="4" w:space="0" w:color="000000"/>
              <w:bottom w:val="single" w:sz="4" w:space="0" w:color="000000"/>
              <w:right w:val="single" w:sz="4" w:space="0" w:color="000000"/>
            </w:tcBorders>
            <w:shd w:val="clear" w:color="auto" w:fill="auto"/>
          </w:tcPr>
          <w:p w14:paraId="7D3999F9"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 xml:space="preserve">Za razdalje od 2 000 do 2 999 km: </w:t>
            </w:r>
            <w:r w:rsidRPr="00F769E0">
              <w:rPr>
                <w:rFonts w:cs="Tahoma"/>
                <w:lang w:val="sl-SI" w:eastAsia="en-GB"/>
              </w:rPr>
              <w:br/>
              <w:t>360 EUR na udeleženca.</w:t>
            </w:r>
          </w:p>
        </w:tc>
        <w:tc>
          <w:tcPr>
            <w:tcW w:w="864" w:type="pct"/>
            <w:vMerge/>
            <w:tcBorders>
              <w:top w:val="nil"/>
              <w:left w:val="single" w:sz="4" w:space="0" w:color="000000"/>
              <w:bottom w:val="single" w:sz="4" w:space="0" w:color="000000"/>
              <w:right w:val="single" w:sz="4" w:space="0" w:color="000000"/>
            </w:tcBorders>
            <w:shd w:val="clear" w:color="auto" w:fill="auto"/>
          </w:tcPr>
          <w:p w14:paraId="7D3999FA" w14:textId="77777777" w:rsidR="00E03711" w:rsidRPr="00F769E0" w:rsidRDefault="00E03711" w:rsidP="00A13051">
            <w:pPr>
              <w:pStyle w:val="Guide-Table"/>
              <w:spacing w:beforeLines="60" w:before="144" w:afterLines="60" w:after="144"/>
              <w:rPr>
                <w:rFonts w:cs="Tahoma"/>
                <w:b/>
                <w:bCs/>
                <w:sz w:val="2"/>
                <w:szCs w:val="2"/>
                <w:lang w:val="sl-SI" w:eastAsia="en-GB"/>
              </w:rPr>
            </w:pPr>
          </w:p>
        </w:tc>
      </w:tr>
      <w:tr w:rsidR="00E03711" w:rsidRPr="00C60205" w14:paraId="7D399A01" w14:textId="77777777" w:rsidTr="00C42774">
        <w:trPr>
          <w:trHeight w:val="20"/>
        </w:trPr>
        <w:tc>
          <w:tcPr>
            <w:tcW w:w="584" w:type="pct"/>
            <w:vMerge/>
            <w:tcBorders>
              <w:top w:val="nil"/>
              <w:left w:val="single" w:sz="4" w:space="0" w:color="000000"/>
              <w:bottom w:val="single" w:sz="4" w:space="0" w:color="000000"/>
              <w:right w:val="single" w:sz="4" w:space="0" w:color="000000"/>
            </w:tcBorders>
            <w:shd w:val="clear" w:color="auto" w:fill="auto"/>
          </w:tcPr>
          <w:p w14:paraId="7D3999FC" w14:textId="77777777" w:rsidR="00E03711" w:rsidRPr="00F769E0" w:rsidRDefault="00E03711" w:rsidP="00A13051">
            <w:pPr>
              <w:pStyle w:val="Guide-Table"/>
              <w:spacing w:beforeLines="60" w:before="144" w:afterLines="60" w:after="144"/>
              <w:rPr>
                <w:rFonts w:cs="Tahoma"/>
                <w:b/>
                <w:bCs/>
                <w:sz w:val="2"/>
                <w:szCs w:val="2"/>
                <w:lang w:val="sl-SI" w:eastAsia="en-GB"/>
              </w:rPr>
            </w:pPr>
          </w:p>
        </w:tc>
        <w:tc>
          <w:tcPr>
            <w:tcW w:w="1135" w:type="pct"/>
            <w:vMerge/>
            <w:tcBorders>
              <w:top w:val="nil"/>
              <w:left w:val="single" w:sz="4" w:space="0" w:color="000000"/>
              <w:bottom w:val="single" w:sz="4" w:space="0" w:color="000000"/>
              <w:right w:val="single" w:sz="4" w:space="0" w:color="000000"/>
            </w:tcBorders>
            <w:shd w:val="clear" w:color="auto" w:fill="auto"/>
          </w:tcPr>
          <w:p w14:paraId="7D3999FD" w14:textId="77777777" w:rsidR="00E03711" w:rsidRPr="00F769E0" w:rsidRDefault="00E03711" w:rsidP="00A13051">
            <w:pPr>
              <w:pStyle w:val="Guide-Table"/>
              <w:spacing w:beforeLines="60" w:before="144" w:afterLines="60" w:after="144"/>
              <w:rPr>
                <w:rFonts w:cs="Tahoma"/>
                <w:b/>
                <w:bCs/>
                <w:sz w:val="2"/>
                <w:szCs w:val="2"/>
                <w:lang w:val="sl-SI" w:eastAsia="en-GB"/>
              </w:rPr>
            </w:pPr>
          </w:p>
        </w:tc>
        <w:tc>
          <w:tcPr>
            <w:tcW w:w="660" w:type="pct"/>
            <w:vMerge/>
            <w:tcBorders>
              <w:top w:val="nil"/>
              <w:left w:val="single" w:sz="4" w:space="0" w:color="000000"/>
              <w:bottom w:val="single" w:sz="4" w:space="0" w:color="000000"/>
              <w:right w:val="single" w:sz="4" w:space="0" w:color="000000"/>
            </w:tcBorders>
            <w:shd w:val="clear" w:color="auto" w:fill="auto"/>
          </w:tcPr>
          <w:p w14:paraId="7D3999FE" w14:textId="77777777" w:rsidR="00E03711" w:rsidRPr="00F769E0" w:rsidRDefault="00E03711" w:rsidP="00A13051">
            <w:pPr>
              <w:pStyle w:val="Guide-Table"/>
              <w:spacing w:beforeLines="60" w:before="144" w:afterLines="60" w:after="144"/>
              <w:rPr>
                <w:rFonts w:cs="Tahoma"/>
                <w:b/>
                <w:bCs/>
                <w:sz w:val="2"/>
                <w:szCs w:val="2"/>
                <w:lang w:val="sl-SI" w:eastAsia="en-GB"/>
              </w:rPr>
            </w:pPr>
          </w:p>
        </w:tc>
        <w:tc>
          <w:tcPr>
            <w:tcW w:w="1756" w:type="pct"/>
            <w:tcBorders>
              <w:top w:val="single" w:sz="4" w:space="0" w:color="000000"/>
              <w:left w:val="single" w:sz="4" w:space="0" w:color="000000"/>
              <w:bottom w:val="single" w:sz="4" w:space="0" w:color="000000"/>
              <w:right w:val="single" w:sz="4" w:space="0" w:color="000000"/>
            </w:tcBorders>
            <w:shd w:val="clear" w:color="auto" w:fill="auto"/>
          </w:tcPr>
          <w:p w14:paraId="7D3999FF"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 xml:space="preserve">Za razdalje od 3 000 do 3 999 km: </w:t>
            </w:r>
            <w:r w:rsidRPr="00F769E0">
              <w:rPr>
                <w:rFonts w:cs="Tahoma"/>
                <w:lang w:val="sl-SI" w:eastAsia="en-GB"/>
              </w:rPr>
              <w:br/>
              <w:t>530 EUR na udeleženca.</w:t>
            </w:r>
          </w:p>
        </w:tc>
        <w:tc>
          <w:tcPr>
            <w:tcW w:w="864" w:type="pct"/>
            <w:vMerge/>
            <w:tcBorders>
              <w:top w:val="nil"/>
              <w:left w:val="single" w:sz="4" w:space="0" w:color="000000"/>
              <w:bottom w:val="single" w:sz="4" w:space="0" w:color="000000"/>
              <w:right w:val="single" w:sz="4" w:space="0" w:color="000000"/>
            </w:tcBorders>
            <w:shd w:val="clear" w:color="auto" w:fill="auto"/>
          </w:tcPr>
          <w:p w14:paraId="7D399A00" w14:textId="77777777" w:rsidR="00E03711" w:rsidRPr="00F769E0" w:rsidRDefault="00E03711" w:rsidP="00A13051">
            <w:pPr>
              <w:pStyle w:val="Guide-Table"/>
              <w:spacing w:beforeLines="60" w:before="144" w:afterLines="60" w:after="144"/>
              <w:rPr>
                <w:rFonts w:cs="Tahoma"/>
                <w:b/>
                <w:bCs/>
                <w:sz w:val="2"/>
                <w:szCs w:val="2"/>
                <w:lang w:val="sl-SI" w:eastAsia="en-GB"/>
              </w:rPr>
            </w:pPr>
          </w:p>
        </w:tc>
      </w:tr>
      <w:tr w:rsidR="00E03711" w:rsidRPr="00C60205" w14:paraId="7D399A07" w14:textId="77777777" w:rsidTr="00C42774">
        <w:trPr>
          <w:trHeight w:val="20"/>
        </w:trPr>
        <w:tc>
          <w:tcPr>
            <w:tcW w:w="584" w:type="pct"/>
            <w:vMerge/>
            <w:tcBorders>
              <w:top w:val="nil"/>
              <w:left w:val="single" w:sz="4" w:space="0" w:color="000000"/>
              <w:bottom w:val="single" w:sz="4" w:space="0" w:color="000000"/>
              <w:right w:val="single" w:sz="4" w:space="0" w:color="000000"/>
            </w:tcBorders>
            <w:shd w:val="clear" w:color="auto" w:fill="auto"/>
          </w:tcPr>
          <w:p w14:paraId="7D399A02" w14:textId="77777777" w:rsidR="00E03711" w:rsidRPr="00F769E0" w:rsidRDefault="00E03711" w:rsidP="00A13051">
            <w:pPr>
              <w:pStyle w:val="Guide-Table"/>
              <w:spacing w:beforeLines="60" w:before="144" w:afterLines="60" w:after="144"/>
              <w:rPr>
                <w:rFonts w:cs="Tahoma"/>
                <w:b/>
                <w:bCs/>
                <w:sz w:val="2"/>
                <w:szCs w:val="2"/>
                <w:lang w:val="sl-SI" w:eastAsia="en-GB"/>
              </w:rPr>
            </w:pPr>
          </w:p>
        </w:tc>
        <w:tc>
          <w:tcPr>
            <w:tcW w:w="1135" w:type="pct"/>
            <w:vMerge/>
            <w:tcBorders>
              <w:top w:val="nil"/>
              <w:left w:val="single" w:sz="4" w:space="0" w:color="000000"/>
              <w:bottom w:val="single" w:sz="4" w:space="0" w:color="000000"/>
              <w:right w:val="single" w:sz="4" w:space="0" w:color="000000"/>
            </w:tcBorders>
            <w:shd w:val="clear" w:color="auto" w:fill="auto"/>
          </w:tcPr>
          <w:p w14:paraId="7D399A03" w14:textId="77777777" w:rsidR="00E03711" w:rsidRPr="00F769E0" w:rsidRDefault="00E03711" w:rsidP="00A13051">
            <w:pPr>
              <w:pStyle w:val="Guide-Table"/>
              <w:spacing w:beforeLines="60" w:before="144" w:afterLines="60" w:after="144"/>
              <w:rPr>
                <w:rFonts w:cs="Tahoma"/>
                <w:b/>
                <w:bCs/>
                <w:sz w:val="2"/>
                <w:szCs w:val="2"/>
                <w:lang w:val="sl-SI" w:eastAsia="en-GB"/>
              </w:rPr>
            </w:pPr>
          </w:p>
        </w:tc>
        <w:tc>
          <w:tcPr>
            <w:tcW w:w="660" w:type="pct"/>
            <w:vMerge/>
            <w:tcBorders>
              <w:top w:val="nil"/>
              <w:left w:val="single" w:sz="4" w:space="0" w:color="000000"/>
              <w:bottom w:val="single" w:sz="4" w:space="0" w:color="000000"/>
              <w:right w:val="single" w:sz="4" w:space="0" w:color="000000"/>
            </w:tcBorders>
            <w:shd w:val="clear" w:color="auto" w:fill="auto"/>
          </w:tcPr>
          <w:p w14:paraId="7D399A04" w14:textId="77777777" w:rsidR="00E03711" w:rsidRPr="00F769E0" w:rsidRDefault="00E03711" w:rsidP="00A13051">
            <w:pPr>
              <w:pStyle w:val="Guide-Table"/>
              <w:spacing w:beforeLines="60" w:before="144" w:afterLines="60" w:after="144"/>
              <w:rPr>
                <w:rFonts w:cs="Tahoma"/>
                <w:b/>
                <w:bCs/>
                <w:sz w:val="2"/>
                <w:szCs w:val="2"/>
                <w:lang w:val="sl-SI" w:eastAsia="en-GB"/>
              </w:rPr>
            </w:pPr>
          </w:p>
        </w:tc>
        <w:tc>
          <w:tcPr>
            <w:tcW w:w="1756" w:type="pct"/>
            <w:tcBorders>
              <w:top w:val="single" w:sz="4" w:space="0" w:color="000000"/>
              <w:left w:val="single" w:sz="4" w:space="0" w:color="000000"/>
              <w:bottom w:val="single" w:sz="4" w:space="0" w:color="000000"/>
              <w:right w:val="single" w:sz="4" w:space="0" w:color="000000"/>
            </w:tcBorders>
            <w:shd w:val="clear" w:color="auto" w:fill="auto"/>
          </w:tcPr>
          <w:p w14:paraId="7D399A05"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 xml:space="preserve">Za razdalje od 4 000 do 7 999 km: </w:t>
            </w:r>
            <w:r w:rsidRPr="00F769E0">
              <w:rPr>
                <w:rFonts w:cs="Tahoma"/>
                <w:lang w:val="sl-SI" w:eastAsia="en-GB"/>
              </w:rPr>
              <w:br/>
              <w:t>820 EUR na udeleženca.</w:t>
            </w:r>
          </w:p>
        </w:tc>
        <w:tc>
          <w:tcPr>
            <w:tcW w:w="864" w:type="pct"/>
            <w:vMerge/>
            <w:tcBorders>
              <w:top w:val="nil"/>
              <w:left w:val="single" w:sz="4" w:space="0" w:color="000000"/>
              <w:bottom w:val="single" w:sz="4" w:space="0" w:color="000000"/>
              <w:right w:val="single" w:sz="4" w:space="0" w:color="000000"/>
            </w:tcBorders>
            <w:shd w:val="clear" w:color="auto" w:fill="auto"/>
          </w:tcPr>
          <w:p w14:paraId="7D399A06" w14:textId="77777777" w:rsidR="00E03711" w:rsidRPr="00F769E0" w:rsidRDefault="00E03711" w:rsidP="00A13051">
            <w:pPr>
              <w:pStyle w:val="Guide-Table"/>
              <w:spacing w:beforeLines="60" w:before="144" w:afterLines="60" w:after="144"/>
              <w:rPr>
                <w:rFonts w:cs="Tahoma"/>
                <w:b/>
                <w:bCs/>
                <w:sz w:val="2"/>
                <w:szCs w:val="2"/>
                <w:lang w:val="sl-SI" w:eastAsia="en-GB"/>
              </w:rPr>
            </w:pPr>
          </w:p>
        </w:tc>
      </w:tr>
      <w:tr w:rsidR="00E03711" w:rsidRPr="00C60205" w14:paraId="7D399A0D" w14:textId="77777777" w:rsidTr="00C42774">
        <w:trPr>
          <w:trHeight w:val="20"/>
        </w:trPr>
        <w:tc>
          <w:tcPr>
            <w:tcW w:w="584" w:type="pct"/>
            <w:vMerge/>
            <w:tcBorders>
              <w:top w:val="nil"/>
              <w:left w:val="single" w:sz="4" w:space="0" w:color="000000"/>
              <w:bottom w:val="single" w:sz="4" w:space="0" w:color="000000"/>
              <w:right w:val="single" w:sz="4" w:space="0" w:color="000000"/>
            </w:tcBorders>
            <w:shd w:val="clear" w:color="auto" w:fill="auto"/>
          </w:tcPr>
          <w:p w14:paraId="7D399A08" w14:textId="77777777" w:rsidR="00E03711" w:rsidRPr="00F769E0" w:rsidRDefault="00E03711" w:rsidP="00A13051">
            <w:pPr>
              <w:pStyle w:val="Guide-Table"/>
              <w:spacing w:beforeLines="60" w:before="144" w:afterLines="60" w:after="144"/>
              <w:rPr>
                <w:rFonts w:cs="Tahoma"/>
                <w:b/>
                <w:bCs/>
                <w:sz w:val="2"/>
                <w:szCs w:val="2"/>
                <w:lang w:val="sl-SI" w:eastAsia="en-GB"/>
              </w:rPr>
            </w:pPr>
          </w:p>
        </w:tc>
        <w:tc>
          <w:tcPr>
            <w:tcW w:w="1135" w:type="pct"/>
            <w:vMerge/>
            <w:tcBorders>
              <w:top w:val="nil"/>
              <w:left w:val="single" w:sz="4" w:space="0" w:color="000000"/>
              <w:bottom w:val="single" w:sz="4" w:space="0" w:color="000000"/>
              <w:right w:val="single" w:sz="4" w:space="0" w:color="000000"/>
            </w:tcBorders>
            <w:shd w:val="clear" w:color="auto" w:fill="auto"/>
          </w:tcPr>
          <w:p w14:paraId="7D399A09" w14:textId="77777777" w:rsidR="00E03711" w:rsidRPr="00F769E0" w:rsidRDefault="00E03711" w:rsidP="00A13051">
            <w:pPr>
              <w:pStyle w:val="Guide-Table"/>
              <w:spacing w:beforeLines="60" w:before="144" w:afterLines="60" w:after="144"/>
              <w:rPr>
                <w:rFonts w:cs="Tahoma"/>
                <w:b/>
                <w:bCs/>
                <w:sz w:val="2"/>
                <w:szCs w:val="2"/>
                <w:lang w:val="sl-SI" w:eastAsia="en-GB"/>
              </w:rPr>
            </w:pPr>
          </w:p>
        </w:tc>
        <w:tc>
          <w:tcPr>
            <w:tcW w:w="660" w:type="pct"/>
            <w:vMerge/>
            <w:tcBorders>
              <w:top w:val="nil"/>
              <w:left w:val="single" w:sz="4" w:space="0" w:color="000000"/>
              <w:bottom w:val="single" w:sz="4" w:space="0" w:color="000000"/>
              <w:right w:val="single" w:sz="4" w:space="0" w:color="000000"/>
            </w:tcBorders>
            <w:shd w:val="clear" w:color="auto" w:fill="auto"/>
          </w:tcPr>
          <w:p w14:paraId="7D399A0A" w14:textId="77777777" w:rsidR="00E03711" w:rsidRPr="00F769E0" w:rsidRDefault="00E03711" w:rsidP="00A13051">
            <w:pPr>
              <w:pStyle w:val="Guide-Table"/>
              <w:spacing w:beforeLines="60" w:before="144" w:afterLines="60" w:after="144"/>
              <w:rPr>
                <w:rFonts w:cs="Tahoma"/>
                <w:b/>
                <w:bCs/>
                <w:sz w:val="2"/>
                <w:szCs w:val="2"/>
                <w:lang w:val="sl-SI" w:eastAsia="en-GB"/>
              </w:rPr>
            </w:pPr>
          </w:p>
        </w:tc>
        <w:tc>
          <w:tcPr>
            <w:tcW w:w="1756" w:type="pct"/>
            <w:tcBorders>
              <w:top w:val="single" w:sz="4" w:space="0" w:color="000000"/>
              <w:left w:val="single" w:sz="4" w:space="0" w:color="000000"/>
              <w:bottom w:val="single" w:sz="4" w:space="0" w:color="000000"/>
              <w:right w:val="single" w:sz="4" w:space="0" w:color="000000"/>
            </w:tcBorders>
            <w:shd w:val="clear" w:color="auto" w:fill="auto"/>
          </w:tcPr>
          <w:p w14:paraId="7D399A0B"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 xml:space="preserve">Za razdalje 8 000 km ali več: </w:t>
            </w:r>
            <w:r w:rsidRPr="00F769E0">
              <w:rPr>
                <w:rFonts w:cs="Tahoma"/>
                <w:lang w:val="sl-SI" w:eastAsia="en-GB"/>
              </w:rPr>
              <w:br/>
              <w:t>1 500 EUR na udeleženca.</w:t>
            </w:r>
          </w:p>
        </w:tc>
        <w:tc>
          <w:tcPr>
            <w:tcW w:w="864" w:type="pct"/>
            <w:vMerge/>
            <w:tcBorders>
              <w:top w:val="nil"/>
              <w:left w:val="single" w:sz="4" w:space="0" w:color="000000"/>
              <w:bottom w:val="single" w:sz="4" w:space="0" w:color="000000"/>
              <w:right w:val="single" w:sz="4" w:space="0" w:color="000000"/>
            </w:tcBorders>
            <w:shd w:val="clear" w:color="auto" w:fill="auto"/>
          </w:tcPr>
          <w:p w14:paraId="7D399A0C" w14:textId="77777777" w:rsidR="00E03711" w:rsidRPr="00F769E0" w:rsidRDefault="00E03711" w:rsidP="00A13051">
            <w:pPr>
              <w:pStyle w:val="Guide-Table"/>
              <w:spacing w:beforeLines="60" w:before="144" w:afterLines="60" w:after="144"/>
              <w:rPr>
                <w:rFonts w:cs="Tahoma"/>
                <w:b/>
                <w:bCs/>
                <w:sz w:val="2"/>
                <w:szCs w:val="2"/>
                <w:lang w:val="sl-SI" w:eastAsia="en-GB"/>
              </w:rPr>
            </w:pPr>
          </w:p>
        </w:tc>
      </w:tr>
      <w:tr w:rsidR="00E03711" w:rsidRPr="00C60205" w14:paraId="7D399A13" w14:textId="77777777" w:rsidTr="00C42774">
        <w:trPr>
          <w:trHeight w:val="20"/>
        </w:trPr>
        <w:tc>
          <w:tcPr>
            <w:tcW w:w="584" w:type="pct"/>
            <w:tcBorders>
              <w:top w:val="single" w:sz="4" w:space="0" w:color="000000"/>
              <w:left w:val="single" w:sz="4" w:space="0" w:color="000000"/>
              <w:bottom w:val="single" w:sz="4" w:space="0" w:color="000000"/>
              <w:right w:val="single" w:sz="4" w:space="0" w:color="000000"/>
            </w:tcBorders>
            <w:vAlign w:val="center"/>
          </w:tcPr>
          <w:p w14:paraId="7D399A0E" w14:textId="77777777" w:rsidR="00E03711" w:rsidRPr="00F769E0" w:rsidRDefault="00E03711" w:rsidP="009F6A4E">
            <w:pPr>
              <w:pStyle w:val="GUIDE-NORMAL"/>
              <w:spacing w:before="60" w:after="60"/>
              <w:jc w:val="left"/>
              <w:rPr>
                <w:rFonts w:cs="Tahoma"/>
                <w:b/>
                <w:lang w:val="sl-SI" w:eastAsia="en-GB"/>
              </w:rPr>
            </w:pPr>
            <w:r w:rsidRPr="00F769E0">
              <w:rPr>
                <w:rFonts w:cs="Tahoma"/>
                <w:b/>
                <w:lang w:val="sl-SI" w:eastAsia="en-GB"/>
              </w:rPr>
              <w:t>Organi-zacijska podpora</w:t>
            </w:r>
          </w:p>
        </w:tc>
        <w:tc>
          <w:tcPr>
            <w:tcW w:w="1135" w:type="pct"/>
            <w:tcBorders>
              <w:top w:val="single" w:sz="4" w:space="0" w:color="000000"/>
              <w:left w:val="single" w:sz="4" w:space="0" w:color="000000"/>
              <w:bottom w:val="single" w:sz="4" w:space="0" w:color="000000"/>
              <w:right w:val="single" w:sz="4" w:space="0" w:color="000000"/>
            </w:tcBorders>
            <w:vAlign w:val="center"/>
          </w:tcPr>
          <w:p w14:paraId="7D399A0F"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Stroški, neposredno povezani z izvajanjem aktivnosti mobilnosti v okviru projekta (vključno s stroški priprave aktivnosti, hrane, nastanitve, lokalnega prevoza, prostorov, zavarovanja, opreme in materiala, ocenjevanja, razširjanja in uporabe rezultatov ter nadaljnjih aktivnosti).</w:t>
            </w:r>
          </w:p>
        </w:tc>
        <w:tc>
          <w:tcPr>
            <w:tcW w:w="660" w:type="pct"/>
            <w:tcBorders>
              <w:top w:val="single" w:sz="4" w:space="0" w:color="000000"/>
              <w:left w:val="single" w:sz="4" w:space="0" w:color="000000"/>
              <w:bottom w:val="single" w:sz="4" w:space="0" w:color="000000"/>
              <w:right w:val="single" w:sz="4" w:space="0" w:color="000000"/>
            </w:tcBorders>
            <w:vAlign w:val="center"/>
          </w:tcPr>
          <w:p w14:paraId="7D399A10"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Prispevek z</w:t>
            </w:r>
            <w:r w:rsidRPr="00F769E0">
              <w:rPr>
                <w:rFonts w:cs="Tahoma"/>
                <w:lang w:val="sl-SI" w:eastAsia="en-GB"/>
              </w:rPr>
              <w:br/>
              <w:t xml:space="preserve">a stroške </w:t>
            </w:r>
            <w:r w:rsidRPr="00F769E0">
              <w:rPr>
                <w:rFonts w:cs="Tahoma"/>
                <w:lang w:val="sl-SI" w:eastAsia="en-GB"/>
              </w:rPr>
              <w:br/>
              <w:t>na enoto</w:t>
            </w:r>
          </w:p>
        </w:tc>
        <w:tc>
          <w:tcPr>
            <w:tcW w:w="1756" w:type="pct"/>
            <w:tcBorders>
              <w:top w:val="single" w:sz="4" w:space="0" w:color="000000"/>
              <w:left w:val="single" w:sz="4" w:space="0" w:color="000000"/>
              <w:bottom w:val="single" w:sz="4" w:space="0" w:color="000000"/>
              <w:right w:val="single" w:sz="4" w:space="0" w:color="000000"/>
            </w:tcBorders>
            <w:vAlign w:val="center"/>
          </w:tcPr>
          <w:p w14:paraId="7D399A11" w14:textId="77777777" w:rsidR="00E03711" w:rsidRPr="00F769E0" w:rsidRDefault="00E03711" w:rsidP="009F6A4E">
            <w:pPr>
              <w:pStyle w:val="GUIDE-NORMAL"/>
              <w:spacing w:before="60" w:after="60"/>
              <w:jc w:val="left"/>
              <w:rPr>
                <w:rFonts w:cs="Tahoma"/>
                <w:lang w:val="sl-SI" w:eastAsia="en-GB"/>
              </w:rPr>
            </w:pPr>
            <w:r w:rsidRPr="00201AA5">
              <w:rPr>
                <w:rFonts w:cs="Tahoma"/>
                <w:bdr w:val="single" w:sz="4" w:space="0" w:color="auto"/>
                <w:lang w:val="sl-SI" w:eastAsia="en-GB"/>
              </w:rPr>
              <w:t>B4.3</w:t>
            </w:r>
            <w:r w:rsidRPr="00F769E0">
              <w:rPr>
                <w:rFonts w:cs="Tahoma"/>
                <w:lang w:val="sl-SI" w:eastAsia="en-GB"/>
              </w:rPr>
              <w:t xml:space="preserve"> na dan na prostovoljca</w:t>
            </w:r>
            <w:r w:rsidRPr="00F769E0">
              <w:rPr>
                <w:rStyle w:val="FootnoteReference"/>
                <w:rFonts w:cs="Tahoma"/>
                <w:lang w:val="sl-SI" w:eastAsia="en-GB"/>
              </w:rPr>
              <w:footnoteReference w:id="226"/>
            </w:r>
          </w:p>
        </w:tc>
        <w:tc>
          <w:tcPr>
            <w:tcW w:w="864" w:type="pct"/>
            <w:tcBorders>
              <w:top w:val="single" w:sz="4" w:space="0" w:color="000000"/>
              <w:left w:val="single" w:sz="4" w:space="0" w:color="000000"/>
              <w:bottom w:val="single" w:sz="4" w:space="0" w:color="000000"/>
              <w:right w:val="single" w:sz="4" w:space="0" w:color="000000"/>
            </w:tcBorders>
            <w:vAlign w:val="center"/>
          </w:tcPr>
          <w:p w14:paraId="7D399A12"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 xml:space="preserve">Glede na trajanje bivanja na udeleženca (po potrebi vključno </w:t>
            </w:r>
            <w:r w:rsidRPr="00F769E0">
              <w:rPr>
                <w:rFonts w:cs="Tahoma"/>
                <w:lang w:val="sl-SI" w:eastAsia="en-GB"/>
              </w:rPr>
              <w:br/>
              <w:t>z enim dnem poti pred aktivnostjo in enim dnem poti po aktivnosti).</w:t>
            </w:r>
          </w:p>
        </w:tc>
      </w:tr>
      <w:tr w:rsidR="00E03711" w:rsidRPr="00C60205" w14:paraId="7D399A19" w14:textId="77777777" w:rsidTr="00C42774">
        <w:trPr>
          <w:trHeight w:val="20"/>
        </w:trPr>
        <w:tc>
          <w:tcPr>
            <w:tcW w:w="584" w:type="pct"/>
            <w:tcBorders>
              <w:top w:val="single" w:sz="4" w:space="0" w:color="000000"/>
              <w:left w:val="single" w:sz="4" w:space="0" w:color="000000"/>
              <w:bottom w:val="single" w:sz="4" w:space="0" w:color="000000"/>
              <w:right w:val="single" w:sz="4" w:space="0" w:color="000000"/>
            </w:tcBorders>
            <w:vAlign w:val="center"/>
          </w:tcPr>
          <w:p w14:paraId="7D399A14" w14:textId="77777777" w:rsidR="00E03711" w:rsidRPr="00F769E0" w:rsidRDefault="00E03711" w:rsidP="009F6A4E">
            <w:pPr>
              <w:pStyle w:val="GUIDE-NORMAL"/>
              <w:spacing w:before="60" w:after="60"/>
              <w:jc w:val="left"/>
              <w:rPr>
                <w:rFonts w:cs="Tahoma"/>
                <w:b/>
                <w:lang w:val="sl-SI" w:eastAsia="en-GB"/>
              </w:rPr>
            </w:pPr>
            <w:r w:rsidRPr="00F769E0">
              <w:rPr>
                <w:rFonts w:cs="Tahoma"/>
                <w:b/>
                <w:lang w:val="sl-SI" w:eastAsia="en-GB"/>
              </w:rPr>
              <w:t>Indivi-dualna podpora</w:t>
            </w:r>
          </w:p>
        </w:tc>
        <w:tc>
          <w:tcPr>
            <w:tcW w:w="1135" w:type="pct"/>
            <w:tcBorders>
              <w:top w:val="single" w:sz="4" w:space="0" w:color="000000"/>
              <w:left w:val="single" w:sz="4" w:space="0" w:color="000000"/>
              <w:bottom w:val="single" w:sz="4" w:space="0" w:color="000000"/>
              <w:right w:val="single" w:sz="4" w:space="0" w:color="000000"/>
            </w:tcBorders>
            <w:vAlign w:val="center"/>
          </w:tcPr>
          <w:p w14:paraId="7D399A15"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„Žepnina“ za prostovoljca za dodatne osebne stroške.</w:t>
            </w:r>
          </w:p>
        </w:tc>
        <w:tc>
          <w:tcPr>
            <w:tcW w:w="660" w:type="pct"/>
            <w:tcBorders>
              <w:top w:val="single" w:sz="4" w:space="0" w:color="000000"/>
              <w:left w:val="single" w:sz="4" w:space="0" w:color="000000"/>
              <w:bottom w:val="single" w:sz="4" w:space="0" w:color="000000"/>
              <w:right w:val="single" w:sz="4" w:space="0" w:color="000000"/>
            </w:tcBorders>
            <w:vAlign w:val="center"/>
          </w:tcPr>
          <w:p w14:paraId="7D399A16"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756" w:type="pct"/>
            <w:tcBorders>
              <w:top w:val="single" w:sz="4" w:space="0" w:color="000000"/>
              <w:left w:val="single" w:sz="4" w:space="0" w:color="000000"/>
              <w:bottom w:val="single" w:sz="4" w:space="0" w:color="000000"/>
              <w:right w:val="single" w:sz="4" w:space="0" w:color="000000"/>
            </w:tcBorders>
            <w:vAlign w:val="center"/>
          </w:tcPr>
          <w:p w14:paraId="7D399A17" w14:textId="77777777" w:rsidR="00E03711" w:rsidRPr="00F769E0" w:rsidRDefault="00E03711" w:rsidP="009F6A4E">
            <w:pPr>
              <w:pStyle w:val="GUIDE-NORMAL"/>
              <w:spacing w:before="60" w:after="60"/>
              <w:jc w:val="left"/>
              <w:rPr>
                <w:rFonts w:cs="Tahoma"/>
                <w:lang w:val="sl-SI" w:eastAsia="en-GB"/>
              </w:rPr>
            </w:pPr>
            <w:r w:rsidRPr="00201AA5">
              <w:rPr>
                <w:rFonts w:cs="Tahoma"/>
                <w:bdr w:val="single" w:sz="4" w:space="0" w:color="auto"/>
                <w:lang w:val="sl-SI" w:eastAsia="en-GB"/>
              </w:rPr>
              <w:t>B4.4</w:t>
            </w:r>
            <w:r w:rsidRPr="00F769E0">
              <w:rPr>
                <w:rFonts w:cs="Tahoma"/>
                <w:lang w:val="sl-SI" w:eastAsia="en-GB"/>
              </w:rPr>
              <w:t xml:space="preserve"> na dan na prostovoljca.</w:t>
            </w:r>
          </w:p>
        </w:tc>
        <w:tc>
          <w:tcPr>
            <w:tcW w:w="864" w:type="pct"/>
            <w:tcBorders>
              <w:top w:val="single" w:sz="4" w:space="0" w:color="000000"/>
              <w:left w:val="single" w:sz="4" w:space="0" w:color="000000"/>
              <w:bottom w:val="single" w:sz="4" w:space="0" w:color="000000"/>
              <w:right w:val="single" w:sz="4" w:space="0" w:color="000000"/>
            </w:tcBorders>
            <w:vAlign w:val="center"/>
          </w:tcPr>
          <w:p w14:paraId="7D399A18"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 xml:space="preserve">Glede na trajanje bivanja na udeleženca (po potrebi vključno </w:t>
            </w:r>
            <w:r w:rsidRPr="00F769E0">
              <w:rPr>
                <w:rFonts w:cs="Tahoma"/>
                <w:lang w:val="sl-SI" w:eastAsia="en-GB"/>
              </w:rPr>
              <w:br/>
              <w:t>z enim dnem poti pred aktivnostjo in enim dnem poti po aktivnosti).</w:t>
            </w:r>
          </w:p>
        </w:tc>
      </w:tr>
      <w:tr w:rsidR="00E03711" w:rsidRPr="00C60205" w14:paraId="7D399A1F" w14:textId="77777777" w:rsidTr="00C42774">
        <w:trPr>
          <w:trHeight w:val="20"/>
        </w:trPr>
        <w:tc>
          <w:tcPr>
            <w:tcW w:w="584" w:type="pct"/>
            <w:tcBorders>
              <w:top w:val="single" w:sz="4" w:space="0" w:color="000000"/>
              <w:left w:val="single" w:sz="4" w:space="0" w:color="000000"/>
              <w:bottom w:val="single" w:sz="4" w:space="0" w:color="000000"/>
              <w:right w:val="single" w:sz="4" w:space="0" w:color="000000"/>
            </w:tcBorders>
            <w:vAlign w:val="center"/>
          </w:tcPr>
          <w:p w14:paraId="7D399A1A" w14:textId="77777777" w:rsidR="00E03711" w:rsidRPr="00F769E0" w:rsidRDefault="00E03711" w:rsidP="009F6A4E">
            <w:pPr>
              <w:pStyle w:val="GUIDE-NORMAL"/>
              <w:spacing w:before="60" w:after="60"/>
              <w:jc w:val="left"/>
              <w:rPr>
                <w:rFonts w:cs="Tahoma"/>
                <w:b/>
                <w:lang w:val="sl-SI" w:eastAsia="en-GB"/>
              </w:rPr>
            </w:pPr>
            <w:r w:rsidRPr="00F769E0">
              <w:rPr>
                <w:rFonts w:cs="Tahoma"/>
                <w:b/>
                <w:lang w:val="sl-SI" w:eastAsia="en-GB"/>
              </w:rPr>
              <w:t xml:space="preserve">Podpora </w:t>
            </w:r>
            <w:r w:rsidRPr="00F769E0">
              <w:rPr>
                <w:rFonts w:cs="Tahoma"/>
                <w:b/>
                <w:lang w:val="sl-SI" w:eastAsia="en-GB"/>
              </w:rPr>
              <w:br/>
              <w:t>za posebne potrebe</w:t>
            </w:r>
          </w:p>
        </w:tc>
        <w:tc>
          <w:tcPr>
            <w:tcW w:w="1135" w:type="pct"/>
            <w:tcBorders>
              <w:top w:val="single" w:sz="4" w:space="0" w:color="000000"/>
              <w:left w:val="single" w:sz="4" w:space="0" w:color="000000"/>
              <w:bottom w:val="single" w:sz="4" w:space="0" w:color="000000"/>
              <w:right w:val="single" w:sz="4" w:space="0" w:color="000000"/>
            </w:tcBorders>
            <w:vAlign w:val="center"/>
          </w:tcPr>
          <w:p w14:paraId="7D399A1B"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 xml:space="preserve">Stroški za bivanje spremljevalcev in stroški za pot, če so utemeljeni in če se nepovratna sredstva za te udeležence ne zahtevajo prek proračunske kategorije „Pot“. Dodatni stroški, neposredno povezani </w:t>
            </w:r>
            <w:r w:rsidRPr="00F769E0">
              <w:rPr>
                <w:rFonts w:cs="Tahoma"/>
                <w:lang w:val="sl-SI" w:eastAsia="en-GB"/>
              </w:rPr>
              <w:br/>
              <w:t xml:space="preserve">z udeleženci, ki imajo posebne potrebe (vključno s stroški za pot in bivanje, če so utemeljeni in če se nepovratna sredstva </w:t>
            </w:r>
            <w:r w:rsidRPr="00F769E0">
              <w:rPr>
                <w:rFonts w:cs="Tahoma"/>
                <w:lang w:val="sl-SI" w:eastAsia="en-GB"/>
              </w:rPr>
              <w:br/>
              <w:t>za te udeležence ne zahtevajo prek proračunskih kategorij „Pot“ in „Organizacijska podpora“).</w:t>
            </w:r>
          </w:p>
        </w:tc>
        <w:tc>
          <w:tcPr>
            <w:tcW w:w="660" w:type="pct"/>
            <w:tcBorders>
              <w:top w:val="single" w:sz="4" w:space="0" w:color="000000"/>
              <w:left w:val="single" w:sz="4" w:space="0" w:color="000000"/>
              <w:bottom w:val="single" w:sz="4" w:space="0" w:color="000000"/>
              <w:right w:val="single" w:sz="4" w:space="0" w:color="000000"/>
            </w:tcBorders>
            <w:vAlign w:val="center"/>
          </w:tcPr>
          <w:p w14:paraId="7D399A1C"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Dejanski stroški</w:t>
            </w:r>
          </w:p>
        </w:tc>
        <w:tc>
          <w:tcPr>
            <w:tcW w:w="1756" w:type="pct"/>
            <w:tcBorders>
              <w:top w:val="single" w:sz="4" w:space="0" w:color="000000"/>
              <w:left w:val="single" w:sz="4" w:space="0" w:color="000000"/>
              <w:bottom w:val="single" w:sz="4" w:space="0" w:color="000000"/>
              <w:right w:val="single" w:sz="4" w:space="0" w:color="000000"/>
            </w:tcBorders>
            <w:vAlign w:val="center"/>
          </w:tcPr>
          <w:p w14:paraId="7D399A1D"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100 % upravičenih stroškov.</w:t>
            </w:r>
          </w:p>
        </w:tc>
        <w:tc>
          <w:tcPr>
            <w:tcW w:w="864" w:type="pct"/>
            <w:tcBorders>
              <w:top w:val="single" w:sz="4" w:space="0" w:color="000000"/>
              <w:left w:val="single" w:sz="4" w:space="0" w:color="000000"/>
              <w:bottom w:val="single" w:sz="4" w:space="0" w:color="000000"/>
              <w:right w:val="single" w:sz="4" w:space="0" w:color="000000"/>
            </w:tcBorders>
            <w:vAlign w:val="center"/>
          </w:tcPr>
          <w:p w14:paraId="7D399A1E"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Pogoj: zahtevek za finančno podporo za kritje podpore udeležencem s posebnimi potrebami mora biti utemeljen v prijavnem obrazcu.</w:t>
            </w:r>
          </w:p>
        </w:tc>
      </w:tr>
      <w:tr w:rsidR="00E03711" w:rsidRPr="00C60205" w14:paraId="7D399A28" w14:textId="77777777" w:rsidTr="00C42774">
        <w:trPr>
          <w:trHeight w:val="20"/>
        </w:trPr>
        <w:tc>
          <w:tcPr>
            <w:tcW w:w="584" w:type="pct"/>
            <w:tcBorders>
              <w:top w:val="single" w:sz="4" w:space="0" w:color="000000"/>
              <w:left w:val="single" w:sz="4" w:space="0" w:color="000000"/>
              <w:bottom w:val="single" w:sz="4" w:space="0" w:color="000000"/>
              <w:right w:val="single" w:sz="4" w:space="0" w:color="000000"/>
            </w:tcBorders>
            <w:vAlign w:val="center"/>
          </w:tcPr>
          <w:p w14:paraId="7D399A20" w14:textId="77777777" w:rsidR="00E03711" w:rsidRPr="00F769E0" w:rsidRDefault="00E03711" w:rsidP="009F6A4E">
            <w:pPr>
              <w:pStyle w:val="GUIDE-NORMAL"/>
              <w:spacing w:before="60" w:after="60"/>
              <w:jc w:val="left"/>
              <w:rPr>
                <w:rFonts w:cs="Tahoma"/>
                <w:b/>
                <w:lang w:val="sl-SI" w:eastAsia="en-GB"/>
              </w:rPr>
            </w:pPr>
            <w:r w:rsidRPr="00F769E0">
              <w:rPr>
                <w:rFonts w:cs="Tahoma"/>
                <w:b/>
                <w:lang w:val="sl-SI" w:eastAsia="en-GB"/>
              </w:rPr>
              <w:t>Izredni stroški</w:t>
            </w:r>
          </w:p>
        </w:tc>
        <w:tc>
          <w:tcPr>
            <w:tcW w:w="1135" w:type="pct"/>
            <w:tcBorders>
              <w:top w:val="single" w:sz="4" w:space="0" w:color="000000"/>
              <w:left w:val="single" w:sz="4" w:space="0" w:color="000000"/>
              <w:bottom w:val="single" w:sz="4" w:space="0" w:color="000000"/>
              <w:right w:val="single" w:sz="4" w:space="0" w:color="000000"/>
            </w:tcBorders>
            <w:vAlign w:val="center"/>
          </w:tcPr>
          <w:p w14:paraId="7D399A21"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Stroški podpore za udeležbo mladih z manj priložnostmi pod enakimi pogoji, kot veljajo za druge, vključno s posebno pripravo in okrepljenim mentorstvom (brez potnih stroškov in organizacijske podpore za udeležence in spremljevalce).</w:t>
            </w:r>
          </w:p>
          <w:p w14:paraId="7D399A22"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Vizumi in z njimi povezani stroški, dovoljenja za prebivanje, cepljenja, zdravniška spričevala.</w:t>
            </w:r>
          </w:p>
          <w:p w14:paraId="7D399A23" w14:textId="77777777" w:rsidR="00E03711" w:rsidRPr="00F769E0" w:rsidRDefault="00E03711">
            <w:pPr>
              <w:pStyle w:val="GUIDE-NORMAL"/>
              <w:spacing w:before="60" w:after="60"/>
              <w:jc w:val="left"/>
              <w:rPr>
                <w:rFonts w:cs="Tahoma"/>
                <w:lang w:val="sl-SI" w:eastAsia="en-GB"/>
              </w:rPr>
            </w:pPr>
            <w:r w:rsidRPr="00F769E0">
              <w:rPr>
                <w:rFonts w:cs="Tahoma"/>
                <w:lang w:val="sl-SI" w:eastAsia="en-GB"/>
              </w:rPr>
              <w:t>Dragi potni stroški udeležencev</w:t>
            </w:r>
            <w:r>
              <w:rPr>
                <w:rFonts w:cs="Tahoma"/>
                <w:lang w:val="sl-SI" w:eastAsia="en-GB"/>
              </w:rPr>
              <w:t>, vključno zuporabo čistejših prevoznih sredstev, z manj emisijami ogljika</w:t>
            </w:r>
            <w:r w:rsidRPr="00F769E0">
              <w:rPr>
                <w:rFonts w:cs="Tahoma"/>
                <w:lang w:val="sl-SI" w:eastAsia="en-GB"/>
              </w:rPr>
              <w:t xml:space="preserve"> (za podrobnosti glej poglavje „Kaj je še treba vedeti o tem ukrepu?“).</w:t>
            </w:r>
          </w:p>
        </w:tc>
        <w:tc>
          <w:tcPr>
            <w:tcW w:w="660" w:type="pct"/>
            <w:tcBorders>
              <w:top w:val="single" w:sz="4" w:space="0" w:color="000000"/>
              <w:left w:val="single" w:sz="4" w:space="0" w:color="000000"/>
              <w:bottom w:val="single" w:sz="4" w:space="0" w:color="000000"/>
              <w:right w:val="single" w:sz="4" w:space="0" w:color="000000"/>
            </w:tcBorders>
            <w:vAlign w:val="center"/>
          </w:tcPr>
          <w:p w14:paraId="7D399A24"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Dejanski stroški</w:t>
            </w:r>
          </w:p>
        </w:tc>
        <w:tc>
          <w:tcPr>
            <w:tcW w:w="1756" w:type="pct"/>
            <w:tcBorders>
              <w:top w:val="single" w:sz="4" w:space="0" w:color="000000"/>
              <w:left w:val="single" w:sz="4" w:space="0" w:color="000000"/>
              <w:bottom w:val="single" w:sz="4" w:space="0" w:color="000000"/>
              <w:right w:val="single" w:sz="4" w:space="0" w:color="000000"/>
            </w:tcBorders>
            <w:vAlign w:val="center"/>
          </w:tcPr>
          <w:p w14:paraId="7D399A25"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Dragi potni stroški: do največ 80 % upravičenih stroškov.</w:t>
            </w:r>
          </w:p>
          <w:p w14:paraId="7D399A26"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Drugi stroški: 100 % upravičenih stroškov.</w:t>
            </w:r>
          </w:p>
        </w:tc>
        <w:tc>
          <w:tcPr>
            <w:tcW w:w="864" w:type="pct"/>
            <w:tcBorders>
              <w:top w:val="single" w:sz="4" w:space="0" w:color="000000"/>
              <w:left w:val="single" w:sz="4" w:space="0" w:color="000000"/>
              <w:bottom w:val="single" w:sz="4" w:space="0" w:color="000000"/>
              <w:right w:val="single" w:sz="4" w:space="0" w:color="000000"/>
            </w:tcBorders>
            <w:vAlign w:val="center"/>
          </w:tcPr>
          <w:p w14:paraId="7D399A27" w14:textId="77777777" w:rsidR="00E03711" w:rsidRPr="00F769E0" w:rsidRDefault="00E03711" w:rsidP="009F6A4E">
            <w:pPr>
              <w:pStyle w:val="GUIDE-NORMAL"/>
              <w:spacing w:before="60" w:after="60"/>
              <w:jc w:val="left"/>
              <w:rPr>
                <w:rFonts w:cs="Tahoma"/>
                <w:lang w:val="sl-SI" w:eastAsia="en-GB"/>
              </w:rPr>
            </w:pPr>
            <w:r w:rsidRPr="00F769E0">
              <w:rPr>
                <w:rFonts w:cs="Tahoma"/>
                <w:lang w:val="sl-SI" w:eastAsia="en-GB"/>
              </w:rPr>
              <w:t>Pogoj: zahtevek za finančno podporo za kritje izrednih stroškov mora biti utemeljen v prijavnem obrazcu.</w:t>
            </w:r>
          </w:p>
        </w:tc>
      </w:tr>
    </w:tbl>
    <w:p w14:paraId="7D399A29" w14:textId="77777777" w:rsidR="00E03711" w:rsidRDefault="00E03711" w:rsidP="005041C6">
      <w:pPr>
        <w:pStyle w:val="Guide-Heading6"/>
        <w:rPr>
          <w:lang w:val="sl-SI"/>
        </w:rPr>
        <w:sectPr w:rsidR="00E03711" w:rsidSect="00F05D26">
          <w:endnotePr>
            <w:numFmt w:val="decimal"/>
          </w:endnotePr>
          <w:pgSz w:w="16840" w:h="11910" w:orient="landscape" w:code="9"/>
          <w:pgMar w:top="1418" w:right="1134" w:bottom="1418" w:left="1134" w:header="284" w:footer="567" w:gutter="0"/>
          <w:cols w:space="720"/>
          <w:docGrid w:linePitch="326"/>
        </w:sectPr>
      </w:pPr>
      <w:bookmarkStart w:id="261" w:name="C)_Règles_de_financement_pour_les_projet"/>
      <w:bookmarkEnd w:id="261"/>
    </w:p>
    <w:p w14:paraId="7D399A2A" w14:textId="77777777" w:rsidR="00E03711" w:rsidRPr="001048FE" w:rsidRDefault="00E03711" w:rsidP="005041C6">
      <w:pPr>
        <w:pStyle w:val="Guide-Heading6"/>
        <w:rPr>
          <w:lang w:val="sl-SI"/>
        </w:rPr>
      </w:pPr>
      <w:r w:rsidRPr="001048FE">
        <w:rPr>
          <w:lang w:val="sl-SI"/>
        </w:rPr>
        <w:t>C) Pravila za dodelitev sredstev za mobilnost mladinskih delavcev, izvedeno v okviru projekta krepitve zmogljivosti (izbirna dodelitev sredstev)</w:t>
      </w:r>
    </w:p>
    <w:tbl>
      <w:tblPr>
        <w:tblW w:w="5000" w:type="pct"/>
        <w:tblLook w:val="0000" w:firstRow="0" w:lastRow="0" w:firstColumn="0" w:lastColumn="0" w:noHBand="0" w:noVBand="0"/>
      </w:tblPr>
      <w:tblGrid>
        <w:gridCol w:w="1750"/>
        <w:gridCol w:w="3307"/>
        <w:gridCol w:w="1982"/>
        <w:gridCol w:w="4549"/>
        <w:gridCol w:w="3200"/>
      </w:tblGrid>
      <w:tr w:rsidR="00E03711" w:rsidRPr="008C6F8C" w14:paraId="7D399A2F" w14:textId="77777777" w:rsidTr="00C42774">
        <w:trPr>
          <w:trHeight w:val="20"/>
        </w:trPr>
        <w:tc>
          <w:tcPr>
            <w:tcW w:w="171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9A2B" w14:textId="77777777" w:rsidR="00E03711" w:rsidRPr="00F769E0" w:rsidRDefault="00E03711" w:rsidP="00A13051">
            <w:pPr>
              <w:pStyle w:val="GUIDE-NORMAL"/>
              <w:spacing w:beforeLines="60" w:before="144" w:afterLines="60" w:after="144"/>
              <w:jc w:val="center"/>
              <w:rPr>
                <w:rFonts w:cs="Tahoma"/>
                <w:b/>
                <w:lang w:val="sl-SI" w:eastAsia="en-GB"/>
              </w:rPr>
            </w:pPr>
            <w:r w:rsidRPr="00F769E0">
              <w:rPr>
                <w:rFonts w:cs="Tahoma"/>
                <w:b/>
                <w:lang w:val="sl-SI" w:eastAsia="en-GB"/>
              </w:rPr>
              <w:t>Upravičeni stroški</w:t>
            </w:r>
          </w:p>
        </w:tc>
        <w:tc>
          <w:tcPr>
            <w:tcW w:w="6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A2C" w14:textId="77777777" w:rsidR="00E03711" w:rsidRPr="00F769E0" w:rsidRDefault="00E03711" w:rsidP="00A13051">
            <w:pPr>
              <w:pStyle w:val="GUIDE-NORMAL"/>
              <w:spacing w:beforeLines="60" w:before="144" w:afterLines="60" w:after="144"/>
              <w:jc w:val="center"/>
              <w:rPr>
                <w:rFonts w:cs="Tahoma"/>
                <w:b/>
                <w:lang w:val="sl-SI" w:eastAsia="en-GB"/>
              </w:rPr>
            </w:pPr>
            <w:r w:rsidRPr="00F769E0">
              <w:rPr>
                <w:rFonts w:cs="Tahoma"/>
                <w:b/>
                <w:lang w:val="sl-SI" w:eastAsia="en-GB"/>
              </w:rPr>
              <w:t>Mehanizem financiranja</w:t>
            </w:r>
          </w:p>
        </w:tc>
        <w:tc>
          <w:tcPr>
            <w:tcW w:w="1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A2D" w14:textId="77777777" w:rsidR="00E03711" w:rsidRPr="00F769E0" w:rsidRDefault="00E03711" w:rsidP="00A13051">
            <w:pPr>
              <w:pStyle w:val="GUIDE-NORMAL"/>
              <w:spacing w:beforeLines="60" w:before="144" w:afterLines="60" w:after="144"/>
              <w:jc w:val="center"/>
              <w:rPr>
                <w:rFonts w:cs="Tahoma"/>
                <w:b/>
                <w:lang w:val="sl-SI" w:eastAsia="en-GB"/>
              </w:rPr>
            </w:pPr>
            <w:r w:rsidRPr="00F769E0">
              <w:rPr>
                <w:rFonts w:cs="Tahoma"/>
                <w:b/>
                <w:lang w:val="sl-SI" w:eastAsia="en-GB"/>
              </w:rPr>
              <w:t>Znesek</w:t>
            </w:r>
          </w:p>
        </w:tc>
        <w:tc>
          <w:tcPr>
            <w:tcW w:w="10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A2E" w14:textId="77777777" w:rsidR="00E03711" w:rsidRPr="00F769E0" w:rsidRDefault="00E03711" w:rsidP="00A13051">
            <w:pPr>
              <w:pStyle w:val="GUIDE-NORMAL"/>
              <w:spacing w:beforeLines="60" w:before="144" w:afterLines="60" w:after="144"/>
              <w:jc w:val="center"/>
              <w:rPr>
                <w:rFonts w:cs="Tahoma"/>
                <w:b/>
                <w:lang w:val="sl-SI" w:eastAsia="en-GB"/>
              </w:rPr>
            </w:pPr>
            <w:r w:rsidRPr="00F769E0">
              <w:rPr>
                <w:rFonts w:cs="Tahoma"/>
                <w:b/>
                <w:lang w:val="sl-SI" w:eastAsia="en-GB"/>
              </w:rPr>
              <w:t>Pravilo dodelitve</w:t>
            </w:r>
          </w:p>
        </w:tc>
      </w:tr>
      <w:tr w:rsidR="00E03711" w:rsidRPr="00C60205" w14:paraId="7D399A36" w14:textId="77777777" w:rsidTr="00C42774">
        <w:trPr>
          <w:trHeight w:val="20"/>
        </w:trPr>
        <w:tc>
          <w:tcPr>
            <w:tcW w:w="592" w:type="pct"/>
            <w:vMerge w:val="restart"/>
            <w:tcBorders>
              <w:top w:val="single" w:sz="4" w:space="0" w:color="000000"/>
              <w:left w:val="single" w:sz="4" w:space="0" w:color="000000"/>
              <w:right w:val="single" w:sz="4" w:space="0" w:color="000000"/>
            </w:tcBorders>
            <w:shd w:val="clear" w:color="auto" w:fill="auto"/>
            <w:vAlign w:val="center"/>
          </w:tcPr>
          <w:p w14:paraId="7D399A30" w14:textId="77777777" w:rsidR="00E03711" w:rsidRPr="00F769E0" w:rsidRDefault="00E03711" w:rsidP="00E4365C">
            <w:pPr>
              <w:pStyle w:val="GUIDE-NORMAL"/>
              <w:spacing w:before="60" w:after="60"/>
              <w:rPr>
                <w:rFonts w:cs="Tahoma"/>
                <w:b/>
                <w:lang w:val="sl-SI" w:eastAsia="en-GB"/>
              </w:rPr>
            </w:pPr>
            <w:r w:rsidRPr="00F769E0">
              <w:rPr>
                <w:rFonts w:cs="Tahoma"/>
                <w:b/>
                <w:lang w:val="sl-SI" w:eastAsia="en-GB"/>
              </w:rPr>
              <w:t>Pot</w:t>
            </w:r>
          </w:p>
          <w:p w14:paraId="7D399A31" w14:textId="77777777" w:rsidR="00E03711" w:rsidRPr="00F769E0" w:rsidRDefault="00E03711" w:rsidP="00E4365C">
            <w:pPr>
              <w:pStyle w:val="GUIDE-NORMAL"/>
              <w:spacing w:before="60" w:after="60"/>
              <w:rPr>
                <w:rFonts w:cs="Tahoma"/>
                <w:b/>
                <w:lang w:val="sl-SI" w:eastAsia="en-GB"/>
              </w:rPr>
            </w:pPr>
          </w:p>
        </w:tc>
        <w:tc>
          <w:tcPr>
            <w:tcW w:w="1118" w:type="pct"/>
            <w:vMerge w:val="restart"/>
            <w:tcBorders>
              <w:top w:val="single" w:sz="4" w:space="0" w:color="000000"/>
              <w:left w:val="single" w:sz="4" w:space="0" w:color="000000"/>
              <w:right w:val="single" w:sz="4" w:space="0" w:color="000000"/>
            </w:tcBorders>
            <w:shd w:val="clear" w:color="auto" w:fill="auto"/>
            <w:vAlign w:val="center"/>
          </w:tcPr>
          <w:p w14:paraId="7D399A32" w14:textId="77777777" w:rsidR="00E03711" w:rsidRPr="00F769E0" w:rsidRDefault="00E03711" w:rsidP="00EE4286">
            <w:pPr>
              <w:pStyle w:val="GUIDE-NORMAL"/>
              <w:spacing w:before="60" w:after="60"/>
              <w:jc w:val="left"/>
              <w:rPr>
                <w:rFonts w:cs="Tahoma"/>
                <w:lang w:val="sl-SI" w:eastAsia="en-GB"/>
              </w:rPr>
            </w:pPr>
            <w:r w:rsidRPr="00F769E0">
              <w:rPr>
                <w:rFonts w:cs="Tahoma"/>
                <w:lang w:val="sl-SI" w:eastAsia="en-GB"/>
              </w:rPr>
              <w:t>Prispevek za potne stroške udeležencev, vključno</w:t>
            </w:r>
            <w:r>
              <w:rPr>
                <w:rFonts w:cs="Tahoma"/>
                <w:lang w:val="sl-SI" w:eastAsia="en-GB"/>
              </w:rPr>
              <w:t xml:space="preserve"> z vodji usposabljanja, pomočniki,</w:t>
            </w:r>
            <w:r w:rsidRPr="00F769E0">
              <w:rPr>
                <w:rFonts w:cs="Tahoma"/>
                <w:lang w:val="sl-SI" w:eastAsia="en-GB"/>
              </w:rPr>
              <w:t xml:space="preserve"> s spremljevalci, od njihovega kraja izvora do kraja izvajanja aktivnosti in nazaj.</w:t>
            </w:r>
          </w:p>
        </w:tc>
        <w:tc>
          <w:tcPr>
            <w:tcW w:w="670" w:type="pct"/>
            <w:vMerge w:val="restart"/>
            <w:tcBorders>
              <w:top w:val="single" w:sz="4" w:space="0" w:color="000000"/>
              <w:left w:val="single" w:sz="4" w:space="0" w:color="000000"/>
              <w:right w:val="single" w:sz="4" w:space="0" w:color="000000"/>
            </w:tcBorders>
            <w:shd w:val="clear" w:color="auto" w:fill="auto"/>
            <w:vAlign w:val="center"/>
          </w:tcPr>
          <w:p w14:paraId="7D399A33" w14:textId="77777777" w:rsidR="00E03711" w:rsidRPr="00F769E0" w:rsidRDefault="00E03711" w:rsidP="00EE4286">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538" w:type="pct"/>
            <w:tcBorders>
              <w:top w:val="single" w:sz="4" w:space="0" w:color="000000"/>
              <w:left w:val="single" w:sz="4" w:space="0" w:color="000000"/>
              <w:bottom w:val="single" w:sz="4" w:space="0" w:color="000000"/>
              <w:right w:val="single" w:sz="4" w:space="0" w:color="000000"/>
            </w:tcBorders>
            <w:shd w:val="clear" w:color="auto" w:fill="auto"/>
          </w:tcPr>
          <w:p w14:paraId="7D399A34" w14:textId="77777777" w:rsidR="00E03711" w:rsidRPr="00F769E0" w:rsidRDefault="00E03711" w:rsidP="00763B2A">
            <w:pPr>
              <w:pStyle w:val="GUIDE-NORMAL"/>
              <w:spacing w:before="60" w:after="60"/>
              <w:jc w:val="left"/>
              <w:rPr>
                <w:rFonts w:cs="Tahoma"/>
                <w:lang w:val="sl-SI" w:eastAsia="en-GB"/>
              </w:rPr>
            </w:pPr>
            <w:r w:rsidRPr="00F769E0">
              <w:rPr>
                <w:rFonts w:cs="Tahoma"/>
                <w:lang w:val="sl-SI" w:eastAsia="en-GB"/>
              </w:rPr>
              <w:t>Za razdalje od 10 do 99 km: 20 EUR na udeleženca.</w:t>
            </w:r>
          </w:p>
        </w:tc>
        <w:tc>
          <w:tcPr>
            <w:tcW w:w="1082" w:type="pct"/>
            <w:vMerge w:val="restart"/>
            <w:tcBorders>
              <w:top w:val="single" w:sz="4" w:space="0" w:color="000000"/>
              <w:left w:val="single" w:sz="4" w:space="0" w:color="000000"/>
              <w:right w:val="single" w:sz="4" w:space="0" w:color="000000"/>
            </w:tcBorders>
            <w:shd w:val="clear" w:color="auto" w:fill="auto"/>
            <w:vAlign w:val="center"/>
          </w:tcPr>
          <w:p w14:paraId="7D399A35" w14:textId="77777777" w:rsidR="00E03711" w:rsidRPr="00F769E0" w:rsidRDefault="00E03711" w:rsidP="00EE4286">
            <w:pPr>
              <w:pStyle w:val="GUIDE-NORMAL"/>
              <w:spacing w:before="60" w:after="60"/>
              <w:jc w:val="left"/>
              <w:rPr>
                <w:rFonts w:cs="Tahoma"/>
                <w:lang w:val="sl-SI" w:eastAsia="en-GB"/>
              </w:rPr>
            </w:pPr>
            <w:r w:rsidRPr="00F769E0">
              <w:rPr>
                <w:rFonts w:cs="Tahoma"/>
                <w:lang w:val="sl-SI" w:eastAsia="en-GB"/>
              </w:rPr>
              <w:t>Glede na razdaljo poti na udeleženca. Razdaljo je treba izračunati s kalkulatorjem razdalje, ki ga podpira Evropska komisija</w:t>
            </w:r>
            <w:r w:rsidRPr="00F769E0">
              <w:rPr>
                <w:rStyle w:val="FootnoteReference"/>
                <w:rFonts w:cs="Tahoma"/>
                <w:lang w:val="sl-SI" w:eastAsia="en-GB"/>
              </w:rPr>
              <w:footnoteReference w:id="227"/>
            </w:r>
            <w:r w:rsidRPr="00F769E0">
              <w:rPr>
                <w:rFonts w:cs="Tahoma"/>
                <w:lang w:val="sl-SI" w:eastAsia="en-GB"/>
              </w:rPr>
              <w:t>. Prijavitelj mora navesti razdaljo enosmerne poti za izračun zneska nepovratnih sredstev EU za kritje povratne poti</w:t>
            </w:r>
            <w:r w:rsidRPr="00F769E0">
              <w:rPr>
                <w:rStyle w:val="FootnoteReference"/>
                <w:rFonts w:cs="Tahoma"/>
                <w:lang w:val="sl-SI" w:eastAsia="en-GB"/>
              </w:rPr>
              <w:footnoteReference w:id="228"/>
            </w:r>
            <w:r w:rsidRPr="00F769E0">
              <w:rPr>
                <w:rFonts w:cs="Tahoma"/>
                <w:lang w:val="sl-SI" w:eastAsia="en-GB"/>
              </w:rPr>
              <w:t>.</w:t>
            </w:r>
          </w:p>
        </w:tc>
      </w:tr>
      <w:tr w:rsidR="00E03711" w:rsidRPr="00C60205" w14:paraId="7D399A3C" w14:textId="77777777" w:rsidTr="00C42774">
        <w:trPr>
          <w:trHeight w:val="20"/>
        </w:trPr>
        <w:tc>
          <w:tcPr>
            <w:tcW w:w="592" w:type="pct"/>
            <w:vMerge/>
            <w:tcBorders>
              <w:left w:val="single" w:sz="4" w:space="0" w:color="000000"/>
              <w:right w:val="single" w:sz="4" w:space="0" w:color="000000"/>
            </w:tcBorders>
            <w:shd w:val="clear" w:color="auto" w:fill="auto"/>
            <w:vAlign w:val="center"/>
          </w:tcPr>
          <w:p w14:paraId="7D399A37" w14:textId="77777777" w:rsidR="00E03711" w:rsidRPr="00F769E0" w:rsidRDefault="00E03711" w:rsidP="00A13051">
            <w:pPr>
              <w:pStyle w:val="GUIDE-NORMAL"/>
              <w:spacing w:beforeLines="60" w:before="144" w:afterLines="60" w:after="144"/>
              <w:rPr>
                <w:rFonts w:cs="Tahoma"/>
                <w:b/>
                <w:bCs/>
                <w:sz w:val="2"/>
                <w:szCs w:val="2"/>
                <w:lang w:val="sl-SI" w:eastAsia="en-GB"/>
              </w:rPr>
            </w:pPr>
          </w:p>
        </w:tc>
        <w:tc>
          <w:tcPr>
            <w:tcW w:w="1118" w:type="pct"/>
            <w:vMerge/>
            <w:tcBorders>
              <w:left w:val="single" w:sz="4" w:space="0" w:color="000000"/>
              <w:right w:val="single" w:sz="4" w:space="0" w:color="000000"/>
            </w:tcBorders>
            <w:shd w:val="clear" w:color="auto" w:fill="auto"/>
            <w:vAlign w:val="center"/>
          </w:tcPr>
          <w:p w14:paraId="7D399A38"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c>
          <w:tcPr>
            <w:tcW w:w="670" w:type="pct"/>
            <w:vMerge/>
            <w:tcBorders>
              <w:left w:val="single" w:sz="4" w:space="0" w:color="000000"/>
              <w:right w:val="single" w:sz="4" w:space="0" w:color="000000"/>
            </w:tcBorders>
            <w:shd w:val="clear" w:color="auto" w:fill="auto"/>
            <w:vAlign w:val="center"/>
          </w:tcPr>
          <w:p w14:paraId="7D399A39"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c>
          <w:tcPr>
            <w:tcW w:w="1538" w:type="pct"/>
            <w:tcBorders>
              <w:top w:val="single" w:sz="4" w:space="0" w:color="000000"/>
              <w:left w:val="single" w:sz="4" w:space="0" w:color="000000"/>
              <w:bottom w:val="single" w:sz="4" w:space="0" w:color="000000"/>
              <w:right w:val="single" w:sz="4" w:space="0" w:color="000000"/>
            </w:tcBorders>
            <w:shd w:val="clear" w:color="auto" w:fill="auto"/>
          </w:tcPr>
          <w:p w14:paraId="7D399A3A" w14:textId="77777777" w:rsidR="00E03711" w:rsidRPr="00F769E0" w:rsidRDefault="00E03711" w:rsidP="00763B2A">
            <w:pPr>
              <w:pStyle w:val="GUIDE-NORMAL"/>
              <w:spacing w:before="60" w:after="60"/>
              <w:jc w:val="left"/>
              <w:rPr>
                <w:rFonts w:cs="Tahoma"/>
                <w:lang w:val="sl-SI" w:eastAsia="en-GB"/>
              </w:rPr>
            </w:pPr>
            <w:r w:rsidRPr="00F769E0">
              <w:rPr>
                <w:rFonts w:cs="Tahoma"/>
                <w:lang w:val="sl-SI" w:eastAsia="en-GB"/>
              </w:rPr>
              <w:t xml:space="preserve">Za razdalje od 100 do </w:t>
            </w:r>
            <w:r w:rsidRPr="00F769E0">
              <w:rPr>
                <w:rFonts w:cs="Tahoma"/>
                <w:lang w:val="sl-SI" w:eastAsia="en-GB"/>
              </w:rPr>
              <w:br/>
              <w:t>499 km: 180 EUR na udeleženca</w:t>
            </w:r>
          </w:p>
        </w:tc>
        <w:tc>
          <w:tcPr>
            <w:tcW w:w="1082" w:type="pct"/>
            <w:vMerge/>
            <w:tcBorders>
              <w:left w:val="single" w:sz="4" w:space="0" w:color="000000"/>
              <w:right w:val="single" w:sz="4" w:space="0" w:color="000000"/>
            </w:tcBorders>
            <w:shd w:val="clear" w:color="auto" w:fill="auto"/>
            <w:vAlign w:val="center"/>
          </w:tcPr>
          <w:p w14:paraId="7D399A3B" w14:textId="77777777" w:rsidR="00E03711" w:rsidRPr="00F769E0" w:rsidRDefault="00E03711" w:rsidP="00A13051">
            <w:pPr>
              <w:pStyle w:val="GUIDE-NORMAL"/>
              <w:spacing w:beforeLines="60" w:before="144" w:afterLines="60" w:after="144"/>
              <w:jc w:val="left"/>
              <w:rPr>
                <w:rFonts w:cs="Tahoma"/>
                <w:b/>
                <w:bCs/>
                <w:sz w:val="2"/>
                <w:szCs w:val="2"/>
                <w:lang w:val="sl-SI" w:eastAsia="en-GB"/>
              </w:rPr>
            </w:pPr>
          </w:p>
        </w:tc>
      </w:tr>
      <w:tr w:rsidR="00E03711" w:rsidRPr="00C60205" w14:paraId="7D399A42" w14:textId="77777777" w:rsidTr="00C42774">
        <w:trPr>
          <w:trHeight w:val="20"/>
        </w:trPr>
        <w:tc>
          <w:tcPr>
            <w:tcW w:w="592" w:type="pct"/>
            <w:vMerge/>
            <w:tcBorders>
              <w:left w:val="single" w:sz="4" w:space="0" w:color="000000"/>
              <w:right w:val="single" w:sz="4" w:space="0" w:color="000000"/>
            </w:tcBorders>
            <w:shd w:val="clear" w:color="auto" w:fill="auto"/>
            <w:vAlign w:val="center"/>
          </w:tcPr>
          <w:p w14:paraId="7D399A3D" w14:textId="77777777" w:rsidR="00E03711" w:rsidRPr="001048FE" w:rsidRDefault="00E03711" w:rsidP="00A13051">
            <w:pPr>
              <w:pStyle w:val="GUIDE-NORMAL"/>
              <w:spacing w:beforeLines="60" w:before="144" w:afterLines="60" w:after="144"/>
              <w:rPr>
                <w:rFonts w:ascii="Times New Roman" w:hAnsi="Times New Roman"/>
                <w:b/>
                <w:sz w:val="16"/>
                <w:szCs w:val="16"/>
                <w:lang w:val="sl-SI" w:eastAsia="en-GB"/>
              </w:rPr>
            </w:pPr>
          </w:p>
        </w:tc>
        <w:tc>
          <w:tcPr>
            <w:tcW w:w="1118" w:type="pct"/>
            <w:vMerge/>
            <w:tcBorders>
              <w:left w:val="single" w:sz="4" w:space="0" w:color="000000"/>
              <w:right w:val="single" w:sz="4" w:space="0" w:color="000000"/>
            </w:tcBorders>
            <w:shd w:val="clear" w:color="auto" w:fill="auto"/>
            <w:vAlign w:val="center"/>
          </w:tcPr>
          <w:p w14:paraId="7D399A3E" w14:textId="77777777" w:rsidR="00E03711" w:rsidRPr="001048FE" w:rsidRDefault="00E03711" w:rsidP="00A13051">
            <w:pPr>
              <w:pStyle w:val="GUIDE-NORMAL"/>
              <w:spacing w:beforeLines="60" w:before="144" w:afterLines="60" w:after="144"/>
              <w:jc w:val="left"/>
              <w:rPr>
                <w:rFonts w:ascii="Times New Roman" w:hAnsi="Times New Roman"/>
                <w:sz w:val="16"/>
                <w:szCs w:val="16"/>
                <w:lang w:val="sl-SI" w:eastAsia="en-GB"/>
              </w:rPr>
            </w:pPr>
          </w:p>
        </w:tc>
        <w:tc>
          <w:tcPr>
            <w:tcW w:w="670" w:type="pct"/>
            <w:vMerge/>
            <w:tcBorders>
              <w:left w:val="single" w:sz="4" w:space="0" w:color="000000"/>
              <w:right w:val="single" w:sz="4" w:space="0" w:color="000000"/>
            </w:tcBorders>
            <w:shd w:val="clear" w:color="auto" w:fill="auto"/>
            <w:vAlign w:val="center"/>
          </w:tcPr>
          <w:p w14:paraId="7D399A3F" w14:textId="77777777" w:rsidR="00E03711" w:rsidRPr="001048FE" w:rsidRDefault="00E03711" w:rsidP="00A13051">
            <w:pPr>
              <w:pStyle w:val="GUIDE-NORMAL"/>
              <w:spacing w:beforeLines="60" w:before="144" w:afterLines="60" w:after="144"/>
              <w:jc w:val="left"/>
              <w:rPr>
                <w:rFonts w:ascii="Times New Roman" w:hAnsi="Times New Roman"/>
                <w:sz w:val="16"/>
                <w:szCs w:val="16"/>
                <w:lang w:val="sl-SI" w:eastAsia="en-GB"/>
              </w:rPr>
            </w:pPr>
          </w:p>
        </w:tc>
        <w:tc>
          <w:tcPr>
            <w:tcW w:w="1538" w:type="pct"/>
            <w:tcBorders>
              <w:top w:val="single" w:sz="4" w:space="0" w:color="000000"/>
              <w:left w:val="single" w:sz="4" w:space="0" w:color="000000"/>
              <w:bottom w:val="single" w:sz="4" w:space="0" w:color="000000"/>
              <w:right w:val="single" w:sz="4" w:space="0" w:color="000000"/>
            </w:tcBorders>
            <w:shd w:val="clear" w:color="auto" w:fill="auto"/>
          </w:tcPr>
          <w:p w14:paraId="7D399A40" w14:textId="77777777" w:rsidR="00E03711" w:rsidRPr="00F769E0" w:rsidRDefault="00E03711" w:rsidP="00763B2A">
            <w:pPr>
              <w:pStyle w:val="GUIDE-NORMAL"/>
              <w:spacing w:before="60" w:after="60"/>
              <w:jc w:val="left"/>
              <w:rPr>
                <w:rFonts w:cs="Tahoma"/>
                <w:lang w:val="sl-SI" w:eastAsia="en-GB"/>
              </w:rPr>
            </w:pPr>
            <w:r w:rsidRPr="00F769E0">
              <w:rPr>
                <w:rFonts w:cs="Tahoma"/>
                <w:lang w:val="sl-SI" w:eastAsia="en-GB"/>
              </w:rPr>
              <w:t xml:space="preserve">Za razdalje od 500 do </w:t>
            </w:r>
            <w:r w:rsidRPr="00F769E0">
              <w:rPr>
                <w:rFonts w:cs="Tahoma"/>
                <w:lang w:val="sl-SI" w:eastAsia="en-GB"/>
              </w:rPr>
              <w:br/>
              <w:t>1 999 km: 275 EUR na udeleženca.</w:t>
            </w:r>
          </w:p>
        </w:tc>
        <w:tc>
          <w:tcPr>
            <w:tcW w:w="1082" w:type="pct"/>
            <w:vMerge/>
            <w:tcBorders>
              <w:left w:val="single" w:sz="4" w:space="0" w:color="000000"/>
              <w:right w:val="single" w:sz="4" w:space="0" w:color="000000"/>
            </w:tcBorders>
            <w:shd w:val="clear" w:color="auto" w:fill="auto"/>
            <w:vAlign w:val="center"/>
          </w:tcPr>
          <w:p w14:paraId="7D399A41" w14:textId="77777777" w:rsidR="00E03711" w:rsidRPr="00F769E0" w:rsidRDefault="00E03711" w:rsidP="00A13051">
            <w:pPr>
              <w:pStyle w:val="GUIDE-NORMAL"/>
              <w:spacing w:beforeLines="60" w:before="144" w:afterLines="60" w:after="144"/>
              <w:jc w:val="left"/>
              <w:rPr>
                <w:rFonts w:cs="Tahoma"/>
                <w:lang w:val="sl-SI" w:eastAsia="en-GB"/>
              </w:rPr>
            </w:pPr>
          </w:p>
        </w:tc>
      </w:tr>
      <w:tr w:rsidR="00E03711" w:rsidRPr="00C60205" w14:paraId="7D399A48" w14:textId="77777777" w:rsidTr="00C42774">
        <w:trPr>
          <w:trHeight w:val="20"/>
        </w:trPr>
        <w:tc>
          <w:tcPr>
            <w:tcW w:w="592" w:type="pct"/>
            <w:vMerge/>
            <w:tcBorders>
              <w:left w:val="single" w:sz="4" w:space="0" w:color="000000"/>
              <w:right w:val="single" w:sz="4" w:space="0" w:color="000000"/>
            </w:tcBorders>
            <w:shd w:val="clear" w:color="auto" w:fill="auto"/>
            <w:vAlign w:val="center"/>
          </w:tcPr>
          <w:p w14:paraId="7D399A43" w14:textId="77777777" w:rsidR="00E03711" w:rsidRPr="00F769E0" w:rsidRDefault="00E03711" w:rsidP="00A13051">
            <w:pPr>
              <w:pStyle w:val="GUIDE-NORMAL"/>
              <w:spacing w:beforeLines="60" w:before="144" w:afterLines="60" w:after="144"/>
              <w:rPr>
                <w:rFonts w:cs="Tahoma"/>
                <w:b/>
                <w:lang w:val="sl-SI" w:eastAsia="en-GB"/>
              </w:rPr>
            </w:pPr>
          </w:p>
        </w:tc>
        <w:tc>
          <w:tcPr>
            <w:tcW w:w="1118" w:type="pct"/>
            <w:vMerge/>
            <w:tcBorders>
              <w:left w:val="single" w:sz="4" w:space="0" w:color="000000"/>
              <w:right w:val="single" w:sz="4" w:space="0" w:color="000000"/>
            </w:tcBorders>
            <w:shd w:val="clear" w:color="auto" w:fill="auto"/>
            <w:vAlign w:val="center"/>
          </w:tcPr>
          <w:p w14:paraId="7D399A44" w14:textId="77777777" w:rsidR="00E03711" w:rsidRPr="00F769E0" w:rsidRDefault="00E03711" w:rsidP="00A13051">
            <w:pPr>
              <w:pStyle w:val="GUIDE-NORMAL"/>
              <w:spacing w:beforeLines="60" w:before="144" w:afterLines="60" w:after="144"/>
              <w:jc w:val="left"/>
              <w:rPr>
                <w:rFonts w:cs="Tahoma"/>
                <w:lang w:val="sl-SI" w:eastAsia="en-GB"/>
              </w:rPr>
            </w:pPr>
          </w:p>
        </w:tc>
        <w:tc>
          <w:tcPr>
            <w:tcW w:w="670" w:type="pct"/>
            <w:vMerge/>
            <w:tcBorders>
              <w:left w:val="single" w:sz="4" w:space="0" w:color="000000"/>
              <w:right w:val="single" w:sz="4" w:space="0" w:color="000000"/>
            </w:tcBorders>
            <w:shd w:val="clear" w:color="auto" w:fill="auto"/>
            <w:vAlign w:val="center"/>
          </w:tcPr>
          <w:p w14:paraId="7D399A45" w14:textId="77777777" w:rsidR="00E03711" w:rsidRPr="00F769E0" w:rsidRDefault="00E03711" w:rsidP="00A13051">
            <w:pPr>
              <w:pStyle w:val="GUIDE-NORMAL"/>
              <w:spacing w:beforeLines="60" w:before="144" w:afterLines="60" w:after="144"/>
              <w:jc w:val="left"/>
              <w:rPr>
                <w:rFonts w:cs="Tahoma"/>
                <w:lang w:val="sl-SI" w:eastAsia="en-GB"/>
              </w:rPr>
            </w:pPr>
          </w:p>
        </w:tc>
        <w:tc>
          <w:tcPr>
            <w:tcW w:w="1538" w:type="pct"/>
            <w:tcBorders>
              <w:top w:val="single" w:sz="4" w:space="0" w:color="000000"/>
              <w:left w:val="single" w:sz="4" w:space="0" w:color="000000"/>
              <w:bottom w:val="single" w:sz="4" w:space="0" w:color="000000"/>
              <w:right w:val="single" w:sz="4" w:space="0" w:color="000000"/>
            </w:tcBorders>
            <w:shd w:val="clear" w:color="auto" w:fill="auto"/>
          </w:tcPr>
          <w:p w14:paraId="7D399A46" w14:textId="77777777" w:rsidR="00E03711" w:rsidRPr="00F769E0" w:rsidRDefault="00E03711" w:rsidP="00763B2A">
            <w:pPr>
              <w:pStyle w:val="GUIDE-NORMAL"/>
              <w:spacing w:before="60" w:after="60"/>
              <w:jc w:val="left"/>
              <w:rPr>
                <w:rFonts w:cs="Tahoma"/>
                <w:lang w:val="sl-SI" w:eastAsia="en-GB"/>
              </w:rPr>
            </w:pPr>
            <w:r w:rsidRPr="00F769E0">
              <w:rPr>
                <w:rFonts w:cs="Tahoma"/>
                <w:lang w:val="sl-SI" w:eastAsia="en-GB"/>
              </w:rPr>
              <w:t xml:space="preserve">Za razdalje od 2 000 do </w:t>
            </w:r>
            <w:r w:rsidRPr="00F769E0">
              <w:rPr>
                <w:rFonts w:cs="Tahoma"/>
                <w:lang w:val="sl-SI" w:eastAsia="en-GB"/>
              </w:rPr>
              <w:br/>
              <w:t>2 999 km: 360 EUR na udeleženca.</w:t>
            </w:r>
          </w:p>
        </w:tc>
        <w:tc>
          <w:tcPr>
            <w:tcW w:w="1082" w:type="pct"/>
            <w:vMerge/>
            <w:tcBorders>
              <w:left w:val="single" w:sz="4" w:space="0" w:color="000000"/>
              <w:right w:val="single" w:sz="4" w:space="0" w:color="000000"/>
            </w:tcBorders>
            <w:shd w:val="clear" w:color="auto" w:fill="auto"/>
            <w:vAlign w:val="center"/>
          </w:tcPr>
          <w:p w14:paraId="7D399A47" w14:textId="77777777" w:rsidR="00E03711" w:rsidRPr="00F769E0" w:rsidRDefault="00E03711" w:rsidP="00A13051">
            <w:pPr>
              <w:pStyle w:val="GUIDE-NORMAL"/>
              <w:spacing w:beforeLines="60" w:before="144" w:afterLines="60" w:after="144"/>
              <w:jc w:val="left"/>
              <w:rPr>
                <w:rFonts w:cs="Tahoma"/>
                <w:lang w:val="sl-SI" w:eastAsia="en-GB"/>
              </w:rPr>
            </w:pPr>
          </w:p>
        </w:tc>
      </w:tr>
      <w:tr w:rsidR="00E03711" w:rsidRPr="00C60205" w14:paraId="7D399A4E" w14:textId="77777777" w:rsidTr="00C42774">
        <w:trPr>
          <w:trHeight w:val="20"/>
        </w:trPr>
        <w:tc>
          <w:tcPr>
            <w:tcW w:w="592" w:type="pct"/>
            <w:vMerge/>
            <w:tcBorders>
              <w:left w:val="single" w:sz="4" w:space="0" w:color="000000"/>
              <w:right w:val="single" w:sz="4" w:space="0" w:color="000000"/>
            </w:tcBorders>
            <w:shd w:val="clear" w:color="auto" w:fill="auto"/>
            <w:vAlign w:val="center"/>
          </w:tcPr>
          <w:p w14:paraId="7D399A49" w14:textId="77777777" w:rsidR="00E03711" w:rsidRPr="00F769E0" w:rsidRDefault="00E03711" w:rsidP="00A13051">
            <w:pPr>
              <w:pStyle w:val="GUIDE-NORMAL"/>
              <w:spacing w:beforeLines="60" w:before="144" w:afterLines="60" w:after="144"/>
              <w:rPr>
                <w:rFonts w:cs="Tahoma"/>
                <w:b/>
                <w:lang w:val="sl-SI" w:eastAsia="en-GB"/>
              </w:rPr>
            </w:pPr>
          </w:p>
        </w:tc>
        <w:tc>
          <w:tcPr>
            <w:tcW w:w="1118" w:type="pct"/>
            <w:vMerge/>
            <w:tcBorders>
              <w:left w:val="single" w:sz="4" w:space="0" w:color="000000"/>
              <w:right w:val="single" w:sz="4" w:space="0" w:color="000000"/>
            </w:tcBorders>
            <w:shd w:val="clear" w:color="auto" w:fill="auto"/>
            <w:vAlign w:val="center"/>
          </w:tcPr>
          <w:p w14:paraId="7D399A4A" w14:textId="77777777" w:rsidR="00E03711" w:rsidRPr="00F769E0" w:rsidRDefault="00E03711" w:rsidP="00A13051">
            <w:pPr>
              <w:pStyle w:val="GUIDE-NORMAL"/>
              <w:spacing w:beforeLines="60" w:before="144" w:afterLines="60" w:after="144"/>
              <w:jc w:val="left"/>
              <w:rPr>
                <w:rFonts w:cs="Tahoma"/>
                <w:lang w:val="sl-SI" w:eastAsia="en-GB"/>
              </w:rPr>
            </w:pPr>
          </w:p>
        </w:tc>
        <w:tc>
          <w:tcPr>
            <w:tcW w:w="670" w:type="pct"/>
            <w:vMerge/>
            <w:tcBorders>
              <w:left w:val="single" w:sz="4" w:space="0" w:color="000000"/>
              <w:right w:val="single" w:sz="4" w:space="0" w:color="000000"/>
            </w:tcBorders>
            <w:shd w:val="clear" w:color="auto" w:fill="auto"/>
            <w:vAlign w:val="center"/>
          </w:tcPr>
          <w:p w14:paraId="7D399A4B" w14:textId="77777777" w:rsidR="00E03711" w:rsidRPr="00F769E0" w:rsidRDefault="00E03711" w:rsidP="00A13051">
            <w:pPr>
              <w:pStyle w:val="GUIDE-NORMAL"/>
              <w:spacing w:beforeLines="60" w:before="144" w:afterLines="60" w:after="144"/>
              <w:jc w:val="left"/>
              <w:rPr>
                <w:rFonts w:cs="Tahoma"/>
                <w:lang w:val="sl-SI" w:eastAsia="en-GB"/>
              </w:rPr>
            </w:pPr>
          </w:p>
        </w:tc>
        <w:tc>
          <w:tcPr>
            <w:tcW w:w="1538" w:type="pct"/>
            <w:tcBorders>
              <w:top w:val="single" w:sz="4" w:space="0" w:color="000000"/>
              <w:left w:val="single" w:sz="4" w:space="0" w:color="000000"/>
              <w:bottom w:val="single" w:sz="4" w:space="0" w:color="000000"/>
              <w:right w:val="single" w:sz="4" w:space="0" w:color="000000"/>
            </w:tcBorders>
            <w:shd w:val="clear" w:color="auto" w:fill="auto"/>
          </w:tcPr>
          <w:p w14:paraId="7D399A4C" w14:textId="77777777" w:rsidR="00E03711" w:rsidRPr="00F769E0" w:rsidRDefault="00E03711" w:rsidP="00763B2A">
            <w:pPr>
              <w:pStyle w:val="GUIDE-NORMAL"/>
              <w:spacing w:before="60" w:after="60"/>
              <w:jc w:val="left"/>
              <w:rPr>
                <w:rFonts w:cs="Tahoma"/>
                <w:lang w:val="sl-SI" w:eastAsia="en-GB"/>
              </w:rPr>
            </w:pPr>
            <w:r w:rsidRPr="00F769E0">
              <w:rPr>
                <w:rFonts w:cs="Tahoma"/>
                <w:lang w:val="sl-SI" w:eastAsia="en-GB"/>
              </w:rPr>
              <w:t xml:space="preserve">Za razdalje od 3 000 do </w:t>
            </w:r>
            <w:r w:rsidRPr="00F769E0">
              <w:rPr>
                <w:rFonts w:cs="Tahoma"/>
                <w:lang w:val="sl-SI" w:eastAsia="en-GB"/>
              </w:rPr>
              <w:br/>
              <w:t>3 999 km: 530 EUR na udeleženca.</w:t>
            </w:r>
          </w:p>
        </w:tc>
        <w:tc>
          <w:tcPr>
            <w:tcW w:w="1082" w:type="pct"/>
            <w:vMerge/>
            <w:tcBorders>
              <w:left w:val="single" w:sz="4" w:space="0" w:color="000000"/>
              <w:right w:val="single" w:sz="4" w:space="0" w:color="000000"/>
            </w:tcBorders>
            <w:shd w:val="clear" w:color="auto" w:fill="auto"/>
            <w:vAlign w:val="center"/>
          </w:tcPr>
          <w:p w14:paraId="7D399A4D" w14:textId="77777777" w:rsidR="00E03711" w:rsidRPr="00F769E0" w:rsidRDefault="00E03711" w:rsidP="00A13051">
            <w:pPr>
              <w:pStyle w:val="GUIDE-NORMAL"/>
              <w:spacing w:beforeLines="60" w:before="144" w:afterLines="60" w:after="144"/>
              <w:jc w:val="left"/>
              <w:rPr>
                <w:rFonts w:cs="Tahoma"/>
                <w:lang w:val="sl-SI" w:eastAsia="en-GB"/>
              </w:rPr>
            </w:pPr>
          </w:p>
        </w:tc>
      </w:tr>
      <w:tr w:rsidR="00E03711" w:rsidRPr="00C60205" w14:paraId="7D399A54" w14:textId="77777777" w:rsidTr="00C42774">
        <w:trPr>
          <w:trHeight w:val="20"/>
        </w:trPr>
        <w:tc>
          <w:tcPr>
            <w:tcW w:w="592" w:type="pct"/>
            <w:vMerge/>
            <w:tcBorders>
              <w:left w:val="single" w:sz="4" w:space="0" w:color="000000"/>
              <w:right w:val="single" w:sz="4" w:space="0" w:color="000000"/>
            </w:tcBorders>
            <w:shd w:val="clear" w:color="auto" w:fill="auto"/>
            <w:vAlign w:val="center"/>
          </w:tcPr>
          <w:p w14:paraId="7D399A4F" w14:textId="77777777" w:rsidR="00E03711" w:rsidRPr="00F769E0" w:rsidRDefault="00E03711" w:rsidP="00A13051">
            <w:pPr>
              <w:pStyle w:val="GUIDE-NORMAL"/>
              <w:spacing w:beforeLines="60" w:before="144" w:afterLines="60" w:after="144"/>
              <w:rPr>
                <w:rFonts w:cs="Tahoma"/>
                <w:b/>
                <w:lang w:val="sl-SI" w:eastAsia="en-GB"/>
              </w:rPr>
            </w:pPr>
          </w:p>
        </w:tc>
        <w:tc>
          <w:tcPr>
            <w:tcW w:w="1118" w:type="pct"/>
            <w:vMerge/>
            <w:tcBorders>
              <w:left w:val="single" w:sz="4" w:space="0" w:color="000000"/>
              <w:right w:val="single" w:sz="4" w:space="0" w:color="000000"/>
            </w:tcBorders>
            <w:shd w:val="clear" w:color="auto" w:fill="auto"/>
            <w:vAlign w:val="center"/>
          </w:tcPr>
          <w:p w14:paraId="7D399A50" w14:textId="77777777" w:rsidR="00E03711" w:rsidRPr="00F769E0" w:rsidRDefault="00E03711" w:rsidP="00A13051">
            <w:pPr>
              <w:pStyle w:val="GUIDE-NORMAL"/>
              <w:spacing w:beforeLines="60" w:before="144" w:afterLines="60" w:after="144"/>
              <w:jc w:val="left"/>
              <w:rPr>
                <w:rFonts w:cs="Tahoma"/>
                <w:lang w:val="sl-SI" w:eastAsia="en-GB"/>
              </w:rPr>
            </w:pPr>
          </w:p>
        </w:tc>
        <w:tc>
          <w:tcPr>
            <w:tcW w:w="670" w:type="pct"/>
            <w:vMerge/>
            <w:tcBorders>
              <w:left w:val="single" w:sz="4" w:space="0" w:color="000000"/>
              <w:right w:val="single" w:sz="4" w:space="0" w:color="000000"/>
            </w:tcBorders>
            <w:shd w:val="clear" w:color="auto" w:fill="auto"/>
            <w:vAlign w:val="center"/>
          </w:tcPr>
          <w:p w14:paraId="7D399A51" w14:textId="77777777" w:rsidR="00E03711" w:rsidRPr="00F769E0" w:rsidRDefault="00E03711" w:rsidP="00A13051">
            <w:pPr>
              <w:pStyle w:val="GUIDE-NORMAL"/>
              <w:spacing w:beforeLines="60" w:before="144" w:afterLines="60" w:after="144"/>
              <w:jc w:val="left"/>
              <w:rPr>
                <w:rFonts w:cs="Tahoma"/>
                <w:lang w:val="sl-SI" w:eastAsia="en-GB"/>
              </w:rPr>
            </w:pPr>
          </w:p>
        </w:tc>
        <w:tc>
          <w:tcPr>
            <w:tcW w:w="1538" w:type="pct"/>
            <w:tcBorders>
              <w:top w:val="single" w:sz="4" w:space="0" w:color="000000"/>
              <w:left w:val="single" w:sz="4" w:space="0" w:color="000000"/>
              <w:bottom w:val="single" w:sz="4" w:space="0" w:color="000000"/>
              <w:right w:val="single" w:sz="4" w:space="0" w:color="000000"/>
            </w:tcBorders>
            <w:shd w:val="clear" w:color="auto" w:fill="auto"/>
          </w:tcPr>
          <w:p w14:paraId="7D399A52" w14:textId="77777777" w:rsidR="00E03711" w:rsidRPr="00F769E0" w:rsidRDefault="00E03711" w:rsidP="00763B2A">
            <w:pPr>
              <w:pStyle w:val="GUIDE-NORMAL"/>
              <w:spacing w:before="60" w:after="60"/>
              <w:jc w:val="left"/>
              <w:rPr>
                <w:rFonts w:cs="Tahoma"/>
                <w:lang w:val="sl-SI" w:eastAsia="en-GB"/>
              </w:rPr>
            </w:pPr>
            <w:r w:rsidRPr="00F769E0">
              <w:rPr>
                <w:rFonts w:cs="Tahoma"/>
                <w:lang w:val="sl-SI" w:eastAsia="en-GB"/>
              </w:rPr>
              <w:t xml:space="preserve">Za razdalje od 4 000 do </w:t>
            </w:r>
            <w:r w:rsidRPr="00F769E0">
              <w:rPr>
                <w:rFonts w:cs="Tahoma"/>
                <w:lang w:val="sl-SI" w:eastAsia="en-GB"/>
              </w:rPr>
              <w:br/>
              <w:t>7 999 km: 820 EUR na udeleženca.</w:t>
            </w:r>
          </w:p>
        </w:tc>
        <w:tc>
          <w:tcPr>
            <w:tcW w:w="1082" w:type="pct"/>
            <w:vMerge/>
            <w:tcBorders>
              <w:left w:val="single" w:sz="4" w:space="0" w:color="000000"/>
              <w:right w:val="single" w:sz="4" w:space="0" w:color="000000"/>
            </w:tcBorders>
            <w:shd w:val="clear" w:color="auto" w:fill="auto"/>
            <w:vAlign w:val="center"/>
          </w:tcPr>
          <w:p w14:paraId="7D399A53" w14:textId="77777777" w:rsidR="00E03711" w:rsidRPr="00F769E0" w:rsidRDefault="00E03711" w:rsidP="00A13051">
            <w:pPr>
              <w:pStyle w:val="GUIDE-NORMAL"/>
              <w:spacing w:beforeLines="60" w:before="144" w:afterLines="60" w:after="144"/>
              <w:jc w:val="left"/>
              <w:rPr>
                <w:rFonts w:cs="Tahoma"/>
                <w:lang w:val="sl-SI" w:eastAsia="en-GB"/>
              </w:rPr>
            </w:pPr>
          </w:p>
        </w:tc>
      </w:tr>
      <w:tr w:rsidR="00E03711" w:rsidRPr="00C60205" w14:paraId="7D399A5A" w14:textId="77777777" w:rsidTr="00C42774">
        <w:trPr>
          <w:trHeight w:val="20"/>
        </w:trPr>
        <w:tc>
          <w:tcPr>
            <w:tcW w:w="592" w:type="pct"/>
            <w:vMerge/>
            <w:tcBorders>
              <w:left w:val="single" w:sz="4" w:space="0" w:color="000000"/>
              <w:bottom w:val="single" w:sz="4" w:space="0" w:color="000000"/>
              <w:right w:val="single" w:sz="4" w:space="0" w:color="000000"/>
            </w:tcBorders>
            <w:shd w:val="clear" w:color="auto" w:fill="auto"/>
            <w:vAlign w:val="center"/>
          </w:tcPr>
          <w:p w14:paraId="7D399A55" w14:textId="77777777" w:rsidR="00E03711" w:rsidRPr="00F769E0" w:rsidRDefault="00E03711" w:rsidP="00A13051">
            <w:pPr>
              <w:pStyle w:val="GUIDE-NORMAL"/>
              <w:spacing w:beforeLines="60" w:before="144" w:afterLines="60" w:after="144"/>
              <w:rPr>
                <w:rFonts w:cs="Tahoma"/>
                <w:b/>
                <w:lang w:val="sl-SI" w:eastAsia="en-GB"/>
              </w:rPr>
            </w:pPr>
          </w:p>
        </w:tc>
        <w:tc>
          <w:tcPr>
            <w:tcW w:w="1118" w:type="pct"/>
            <w:vMerge/>
            <w:tcBorders>
              <w:left w:val="single" w:sz="4" w:space="0" w:color="000000"/>
              <w:bottom w:val="single" w:sz="4" w:space="0" w:color="000000"/>
              <w:right w:val="single" w:sz="4" w:space="0" w:color="000000"/>
            </w:tcBorders>
            <w:shd w:val="clear" w:color="auto" w:fill="auto"/>
            <w:vAlign w:val="center"/>
          </w:tcPr>
          <w:p w14:paraId="7D399A56" w14:textId="77777777" w:rsidR="00E03711" w:rsidRPr="00F769E0" w:rsidRDefault="00E03711" w:rsidP="00A13051">
            <w:pPr>
              <w:pStyle w:val="GUIDE-NORMAL"/>
              <w:spacing w:beforeLines="60" w:before="144" w:afterLines="60" w:after="144"/>
              <w:jc w:val="left"/>
              <w:rPr>
                <w:rFonts w:cs="Tahoma"/>
                <w:lang w:val="sl-SI" w:eastAsia="en-GB"/>
              </w:rPr>
            </w:pPr>
          </w:p>
        </w:tc>
        <w:tc>
          <w:tcPr>
            <w:tcW w:w="670" w:type="pct"/>
            <w:vMerge/>
            <w:tcBorders>
              <w:left w:val="single" w:sz="4" w:space="0" w:color="000000"/>
              <w:bottom w:val="single" w:sz="4" w:space="0" w:color="000000"/>
              <w:right w:val="single" w:sz="4" w:space="0" w:color="000000"/>
            </w:tcBorders>
            <w:shd w:val="clear" w:color="auto" w:fill="auto"/>
            <w:vAlign w:val="center"/>
          </w:tcPr>
          <w:p w14:paraId="7D399A57" w14:textId="77777777" w:rsidR="00E03711" w:rsidRPr="00F769E0" w:rsidRDefault="00E03711" w:rsidP="00A13051">
            <w:pPr>
              <w:pStyle w:val="GUIDE-NORMAL"/>
              <w:spacing w:beforeLines="60" w:before="144" w:afterLines="60" w:after="144"/>
              <w:jc w:val="left"/>
              <w:rPr>
                <w:rFonts w:cs="Tahoma"/>
                <w:lang w:val="sl-SI" w:eastAsia="en-GB"/>
              </w:rPr>
            </w:pPr>
          </w:p>
        </w:tc>
        <w:tc>
          <w:tcPr>
            <w:tcW w:w="1538" w:type="pct"/>
            <w:tcBorders>
              <w:top w:val="single" w:sz="4" w:space="0" w:color="000000"/>
              <w:left w:val="single" w:sz="4" w:space="0" w:color="000000"/>
              <w:bottom w:val="single" w:sz="4" w:space="0" w:color="000000"/>
              <w:right w:val="single" w:sz="4" w:space="0" w:color="000000"/>
            </w:tcBorders>
            <w:shd w:val="clear" w:color="auto" w:fill="auto"/>
          </w:tcPr>
          <w:p w14:paraId="7D399A58" w14:textId="77777777" w:rsidR="00E03711" w:rsidRPr="00F769E0" w:rsidRDefault="00E03711" w:rsidP="00763B2A">
            <w:pPr>
              <w:pStyle w:val="GUIDE-NORMAL"/>
              <w:spacing w:before="60" w:after="60"/>
              <w:jc w:val="left"/>
              <w:rPr>
                <w:rFonts w:cs="Tahoma"/>
                <w:lang w:val="sl-SI" w:eastAsia="en-GB"/>
              </w:rPr>
            </w:pPr>
            <w:r w:rsidRPr="00F769E0">
              <w:rPr>
                <w:rFonts w:cs="Tahoma"/>
                <w:lang w:val="sl-SI" w:eastAsia="en-GB"/>
              </w:rPr>
              <w:t>Za razdalje 8 000 km ali več: 1 500 EUR na udeleženca.</w:t>
            </w:r>
          </w:p>
        </w:tc>
        <w:tc>
          <w:tcPr>
            <w:tcW w:w="1082" w:type="pct"/>
            <w:vMerge/>
            <w:tcBorders>
              <w:left w:val="single" w:sz="4" w:space="0" w:color="000000"/>
              <w:bottom w:val="single" w:sz="4" w:space="0" w:color="000000"/>
              <w:right w:val="single" w:sz="4" w:space="0" w:color="000000"/>
            </w:tcBorders>
            <w:shd w:val="clear" w:color="auto" w:fill="auto"/>
            <w:vAlign w:val="center"/>
          </w:tcPr>
          <w:p w14:paraId="7D399A59" w14:textId="77777777" w:rsidR="00E03711" w:rsidRPr="00F769E0" w:rsidRDefault="00E03711" w:rsidP="00A13051">
            <w:pPr>
              <w:pStyle w:val="GUIDE-NORMAL"/>
              <w:spacing w:beforeLines="60" w:before="144" w:afterLines="60" w:after="144"/>
              <w:jc w:val="left"/>
              <w:rPr>
                <w:rFonts w:cs="Tahoma"/>
                <w:lang w:val="sl-SI" w:eastAsia="en-GB"/>
              </w:rPr>
            </w:pPr>
          </w:p>
        </w:tc>
      </w:tr>
      <w:tr w:rsidR="00E03711" w:rsidRPr="00C60205" w14:paraId="7D399A60" w14:textId="77777777" w:rsidTr="00C42774">
        <w:trPr>
          <w:trHeight w:val="20"/>
        </w:trPr>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A5B" w14:textId="77777777" w:rsidR="00E03711" w:rsidRPr="00F769E0" w:rsidRDefault="00E03711" w:rsidP="00333C93">
            <w:pPr>
              <w:pStyle w:val="GUIDE-NORMAL"/>
              <w:spacing w:before="60" w:after="60"/>
              <w:rPr>
                <w:rFonts w:cs="Tahoma"/>
                <w:b/>
                <w:lang w:val="sl-SI" w:eastAsia="en-GB"/>
              </w:rPr>
            </w:pPr>
            <w:r w:rsidRPr="00F769E0">
              <w:rPr>
                <w:rFonts w:cs="Tahoma"/>
                <w:b/>
                <w:lang w:val="sl-SI" w:eastAsia="en-GB"/>
              </w:rPr>
              <w:t>Organi-zacijska podpora</w:t>
            </w:r>
          </w:p>
        </w:tc>
        <w:tc>
          <w:tcPr>
            <w:tcW w:w="11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A5C" w14:textId="77777777" w:rsidR="00E03711" w:rsidRPr="00F769E0" w:rsidRDefault="00E03711" w:rsidP="00333C93">
            <w:pPr>
              <w:pStyle w:val="GUIDE-NORMAL"/>
              <w:spacing w:before="60" w:after="60"/>
              <w:jc w:val="left"/>
              <w:rPr>
                <w:rFonts w:cs="Tahoma"/>
                <w:lang w:val="sl-SI" w:eastAsia="en-GB"/>
              </w:rPr>
            </w:pPr>
            <w:r w:rsidRPr="00F769E0">
              <w:rPr>
                <w:rFonts w:cs="Tahoma"/>
                <w:lang w:val="sl-SI" w:eastAsia="en-GB"/>
              </w:rPr>
              <w:t>Stroški, neposredno povezani z izvajanjem aktivnosti mobilnosti v okviru projekta (vključno s stroški priprave aktivnosti, hrane, nastanitve, lokalnega prevoza, prostorov, zavarovanja, opreme in materiala, ocenjevanja, razširjanja in uporabe rezultatov ter nadaljnjih aktivnosti).</w:t>
            </w:r>
          </w:p>
        </w:tc>
        <w:tc>
          <w:tcPr>
            <w:tcW w:w="6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A5D" w14:textId="77777777" w:rsidR="00E03711" w:rsidRPr="00F769E0" w:rsidRDefault="00E03711" w:rsidP="00333C93">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A5E" w14:textId="77777777" w:rsidR="00E03711" w:rsidRPr="00F769E0" w:rsidRDefault="00E03711" w:rsidP="00333C93">
            <w:pPr>
              <w:pStyle w:val="GUIDE-NORMAL"/>
              <w:spacing w:before="60" w:after="60"/>
              <w:jc w:val="left"/>
              <w:rPr>
                <w:rFonts w:cs="Tahoma"/>
                <w:lang w:val="sl-SI" w:eastAsia="en-GB"/>
              </w:rPr>
            </w:pPr>
            <w:r w:rsidRPr="00201AA5">
              <w:rPr>
                <w:rFonts w:cs="Tahoma"/>
                <w:bdr w:val="single" w:sz="4" w:space="0" w:color="auto"/>
                <w:lang w:val="sl-SI" w:eastAsia="en-GB"/>
              </w:rPr>
              <w:t>B4.2</w:t>
            </w:r>
            <w:r w:rsidRPr="00F769E0">
              <w:rPr>
                <w:rFonts w:cs="Tahoma"/>
                <w:lang w:val="sl-SI" w:eastAsia="en-GB"/>
              </w:rPr>
              <w:t xml:space="preserve"> na udeleženca</w:t>
            </w:r>
            <w:r w:rsidRPr="00F769E0">
              <w:rPr>
                <w:rStyle w:val="FootnoteReference"/>
                <w:rFonts w:cs="Tahoma"/>
                <w:lang w:val="sl-SI" w:eastAsia="en-GB"/>
              </w:rPr>
              <w:footnoteReference w:id="229"/>
            </w:r>
            <w:r w:rsidRPr="00F769E0">
              <w:rPr>
                <w:rFonts w:cs="Tahoma"/>
                <w:lang w:val="sl-SI" w:eastAsia="en-GB"/>
              </w:rPr>
              <w:t xml:space="preserve"> </w:t>
            </w:r>
            <w:r w:rsidRPr="00F769E0">
              <w:rPr>
                <w:rFonts w:cs="Tahoma"/>
                <w:lang w:val="sl-SI" w:eastAsia="en-GB"/>
              </w:rPr>
              <w:br/>
              <w:t xml:space="preserve">na dan aktivnosti. Največ </w:t>
            </w:r>
            <w:r w:rsidRPr="00F769E0">
              <w:rPr>
                <w:rFonts w:cs="Tahoma"/>
                <w:lang w:val="sl-SI" w:eastAsia="en-GB"/>
              </w:rPr>
              <w:br/>
              <w:t>1 100 EUR na udeleženca.</w:t>
            </w:r>
          </w:p>
        </w:tc>
        <w:tc>
          <w:tcPr>
            <w:tcW w:w="10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A5F" w14:textId="77777777" w:rsidR="00E03711" w:rsidRPr="00F769E0" w:rsidRDefault="00E03711" w:rsidP="00333C93">
            <w:pPr>
              <w:pStyle w:val="GUIDE-NORMAL"/>
              <w:spacing w:before="60" w:after="60"/>
              <w:jc w:val="left"/>
              <w:rPr>
                <w:rFonts w:cs="Tahoma"/>
                <w:lang w:val="sl-SI" w:eastAsia="en-GB"/>
              </w:rPr>
            </w:pPr>
            <w:r w:rsidRPr="00F769E0">
              <w:rPr>
                <w:rFonts w:cs="Tahoma"/>
                <w:lang w:val="sl-SI" w:eastAsia="en-GB"/>
              </w:rPr>
              <w:t xml:space="preserve">Glede na trajanje bivanja udeleženca </w:t>
            </w:r>
            <w:r w:rsidRPr="00F769E0">
              <w:rPr>
                <w:rFonts w:cs="Tahoma"/>
                <w:lang w:val="sl-SI" w:eastAsia="en-GB"/>
              </w:rPr>
              <w:br/>
              <w:t xml:space="preserve">(po potrebi vključno </w:t>
            </w:r>
            <w:r w:rsidRPr="00F769E0">
              <w:rPr>
                <w:rFonts w:cs="Tahoma"/>
                <w:lang w:val="sl-SI" w:eastAsia="en-GB"/>
              </w:rPr>
              <w:br/>
              <w:t>z enim dnem poti pred aktivnostjo in enim dnem poti po aktivnosti).</w:t>
            </w:r>
          </w:p>
        </w:tc>
      </w:tr>
      <w:tr w:rsidR="00E03711" w:rsidRPr="00C60205" w14:paraId="7D399A66" w14:textId="77777777" w:rsidTr="00C42774">
        <w:trPr>
          <w:trHeight w:val="20"/>
        </w:trPr>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A61" w14:textId="77777777" w:rsidR="00E03711" w:rsidRPr="00F769E0" w:rsidRDefault="00E03711" w:rsidP="00333C93">
            <w:pPr>
              <w:pStyle w:val="GUIDE-NORMAL"/>
              <w:spacing w:before="60" w:after="60"/>
              <w:rPr>
                <w:rFonts w:cs="Tahoma"/>
                <w:b/>
                <w:lang w:val="sl-SI" w:eastAsia="en-GB"/>
              </w:rPr>
            </w:pPr>
            <w:r w:rsidRPr="00F769E0">
              <w:rPr>
                <w:rFonts w:cs="Tahoma"/>
                <w:b/>
                <w:lang w:val="sl-SI" w:eastAsia="en-GB"/>
              </w:rPr>
              <w:t>Podpora za posebne potrebe</w:t>
            </w:r>
          </w:p>
        </w:tc>
        <w:tc>
          <w:tcPr>
            <w:tcW w:w="11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A62" w14:textId="77777777" w:rsidR="00E03711" w:rsidRPr="00F769E0" w:rsidRDefault="00E03711" w:rsidP="00333C93">
            <w:pPr>
              <w:pStyle w:val="GUIDE-NORMAL"/>
              <w:spacing w:before="60" w:after="60"/>
              <w:jc w:val="left"/>
              <w:rPr>
                <w:rFonts w:cs="Tahoma"/>
                <w:lang w:val="sl-SI" w:eastAsia="en-GB"/>
              </w:rPr>
            </w:pPr>
            <w:r w:rsidRPr="00F769E0">
              <w:rPr>
                <w:rFonts w:cs="Tahoma"/>
                <w:lang w:val="sl-SI" w:eastAsia="en-GB"/>
              </w:rPr>
              <w:t>Dodatni stroški, neposredno povezani z udeleženci, ki imajo posebne potrebe, in spremljevalci (vključno s stroški za pot in bivanje, če so utemeljeni in če se nepovratna sredstva za te udeležence ne zahtevajo prek proračunskih kategorij „Pot“ in „Organizacijska podpora“).</w:t>
            </w:r>
          </w:p>
        </w:tc>
        <w:tc>
          <w:tcPr>
            <w:tcW w:w="6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A63" w14:textId="77777777" w:rsidR="00E03711" w:rsidRPr="00F769E0" w:rsidRDefault="00E03711" w:rsidP="00333C93">
            <w:pPr>
              <w:pStyle w:val="GUIDE-NORMAL"/>
              <w:spacing w:before="60" w:after="60"/>
              <w:jc w:val="left"/>
              <w:rPr>
                <w:rFonts w:cs="Tahoma"/>
                <w:lang w:val="sl-SI" w:eastAsia="en-GB"/>
              </w:rPr>
            </w:pPr>
            <w:r w:rsidRPr="00F769E0">
              <w:rPr>
                <w:rFonts w:cs="Tahoma"/>
                <w:lang w:val="sl-SI" w:eastAsia="en-GB"/>
              </w:rPr>
              <w:t>Dejanski stroški</w:t>
            </w:r>
          </w:p>
        </w:tc>
        <w:tc>
          <w:tcPr>
            <w:tcW w:w="1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A64" w14:textId="77777777" w:rsidR="00E03711" w:rsidRPr="00F769E0" w:rsidRDefault="00E03711" w:rsidP="00333C93">
            <w:pPr>
              <w:pStyle w:val="GUIDE-NORMAL"/>
              <w:spacing w:before="60" w:after="60"/>
              <w:jc w:val="left"/>
              <w:rPr>
                <w:rFonts w:cs="Tahoma"/>
                <w:lang w:val="sl-SI" w:eastAsia="en-GB"/>
              </w:rPr>
            </w:pPr>
            <w:r w:rsidRPr="00F769E0">
              <w:rPr>
                <w:rFonts w:cs="Tahoma"/>
                <w:lang w:val="sl-SI" w:eastAsia="en-GB"/>
              </w:rPr>
              <w:t>100 % upravičenih stroškov.</w:t>
            </w:r>
          </w:p>
        </w:tc>
        <w:tc>
          <w:tcPr>
            <w:tcW w:w="10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A65" w14:textId="77777777" w:rsidR="00E03711" w:rsidRPr="00F769E0" w:rsidRDefault="00E03711" w:rsidP="00333C93">
            <w:pPr>
              <w:pStyle w:val="GUIDE-NORMAL"/>
              <w:spacing w:before="60" w:after="60"/>
              <w:jc w:val="left"/>
              <w:rPr>
                <w:rFonts w:cs="Tahoma"/>
                <w:lang w:val="sl-SI" w:eastAsia="en-GB"/>
              </w:rPr>
            </w:pPr>
            <w:r w:rsidRPr="00F769E0">
              <w:rPr>
                <w:rFonts w:cs="Tahoma"/>
                <w:lang w:val="sl-SI" w:eastAsia="en-GB"/>
              </w:rPr>
              <w:t xml:space="preserve">Pogoj: zahtevek za finančno podporo </w:t>
            </w:r>
            <w:r w:rsidRPr="00F769E0">
              <w:rPr>
                <w:rFonts w:cs="Tahoma"/>
                <w:lang w:val="sl-SI" w:eastAsia="en-GB"/>
              </w:rPr>
              <w:br/>
              <w:t xml:space="preserve">za kritje podpore udeležencem s posebnimi potrebami mora biti utemeljen </w:t>
            </w:r>
            <w:r w:rsidRPr="00F769E0">
              <w:rPr>
                <w:rFonts w:cs="Tahoma"/>
                <w:lang w:val="sl-SI" w:eastAsia="en-GB"/>
              </w:rPr>
              <w:br/>
              <w:t>v prijavnem obrazcu.</w:t>
            </w:r>
          </w:p>
        </w:tc>
      </w:tr>
      <w:tr w:rsidR="00E03711" w:rsidRPr="00C60205" w14:paraId="7D399A6F" w14:textId="77777777" w:rsidTr="00C42774">
        <w:trPr>
          <w:trHeight w:val="20"/>
        </w:trPr>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A67" w14:textId="77777777" w:rsidR="00E03711" w:rsidRPr="00F769E0" w:rsidRDefault="00E03711" w:rsidP="00333C93">
            <w:pPr>
              <w:pStyle w:val="GUIDE-NORMAL"/>
              <w:spacing w:before="60" w:after="60"/>
              <w:rPr>
                <w:rFonts w:cs="Tahoma"/>
                <w:b/>
                <w:lang w:val="sl-SI" w:eastAsia="en-GB"/>
              </w:rPr>
            </w:pPr>
            <w:r w:rsidRPr="00F769E0">
              <w:rPr>
                <w:rFonts w:cs="Tahoma"/>
                <w:b/>
                <w:lang w:val="sl-SI" w:eastAsia="en-GB"/>
              </w:rPr>
              <w:t>Izredni stroški</w:t>
            </w:r>
          </w:p>
        </w:tc>
        <w:tc>
          <w:tcPr>
            <w:tcW w:w="11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A68" w14:textId="77777777" w:rsidR="00E03711" w:rsidRPr="00F769E0" w:rsidRDefault="00E03711" w:rsidP="00333C93">
            <w:pPr>
              <w:pStyle w:val="GUIDE-NORMAL"/>
              <w:spacing w:before="60" w:after="60"/>
              <w:jc w:val="left"/>
              <w:rPr>
                <w:rFonts w:cs="Tahoma"/>
                <w:lang w:val="sl-SI" w:eastAsia="en-GB"/>
              </w:rPr>
            </w:pPr>
            <w:r w:rsidRPr="00F769E0">
              <w:rPr>
                <w:rFonts w:cs="Tahoma"/>
                <w:lang w:val="sl-SI" w:eastAsia="en-GB"/>
              </w:rPr>
              <w:t>Vizumi in z njimi povezani stroški, dovoljenja za prebivanje, cepljenja, zdravniška spričevala.</w:t>
            </w:r>
          </w:p>
          <w:p w14:paraId="7D399A69" w14:textId="77777777" w:rsidR="00E03711" w:rsidRPr="00F769E0" w:rsidRDefault="00E03711" w:rsidP="00931932">
            <w:pPr>
              <w:pStyle w:val="GUIDE-NORMAL"/>
              <w:spacing w:before="60" w:after="60"/>
              <w:jc w:val="left"/>
              <w:rPr>
                <w:rFonts w:cs="Tahoma"/>
                <w:lang w:val="sl-SI" w:eastAsia="en-GB"/>
              </w:rPr>
            </w:pPr>
            <w:r>
              <w:rPr>
                <w:rFonts w:cs="Tahoma"/>
                <w:lang w:val="sl-SI" w:eastAsia="en-GB"/>
              </w:rPr>
              <w:t xml:space="preserve">Dragi potni stroški, vključno z uporabo čistejših prevoznih sredstev, z manj emisijami ogljika </w:t>
            </w:r>
            <w:r w:rsidRPr="00F769E0">
              <w:rPr>
                <w:rFonts w:cs="Tahoma"/>
                <w:lang w:val="sl-SI" w:eastAsia="en-GB"/>
              </w:rPr>
              <w:t>(za podrobnosti glej poglavje „Kaj je še treba vedeti o tem ukrepu?“).</w:t>
            </w:r>
          </w:p>
          <w:p w14:paraId="7D399A6A" w14:textId="77777777" w:rsidR="00E03711" w:rsidRPr="00F769E0" w:rsidRDefault="00E03711" w:rsidP="00931932">
            <w:pPr>
              <w:pStyle w:val="GUIDE-NORMAL"/>
              <w:spacing w:before="60" w:after="60"/>
              <w:jc w:val="left"/>
              <w:rPr>
                <w:rFonts w:cs="Tahoma"/>
                <w:lang w:val="sl-SI" w:eastAsia="en-GB"/>
              </w:rPr>
            </w:pPr>
            <w:r w:rsidRPr="00D54488">
              <w:rPr>
                <w:rFonts w:eastAsia="Calibri" w:cs="Calibri"/>
                <w:bdr w:val="nil"/>
                <w:shd w:val="clear" w:color="auto" w:fill="auto"/>
                <w:lang w:val="sl-SI"/>
              </w:rPr>
              <w:t>Stroški za podporo za udeležbo mladinskih delavcev z manj priložnostmi pod enakimi pogoji, kot veljajo za druge (razen potnih stroškov in stroškov za organizacijsko podporo za udeležence). To lahko vključuje jezikovno podporo (npr. tolmač), da se mladinskim delavcem z nezadostnimi jezikovnimi znanji v jeziku aktivnosti omogoči sodelovanje</w:t>
            </w:r>
          </w:p>
        </w:tc>
        <w:tc>
          <w:tcPr>
            <w:tcW w:w="6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A6B" w14:textId="77777777" w:rsidR="00E03711" w:rsidRPr="00F769E0" w:rsidRDefault="00E03711" w:rsidP="00333C93">
            <w:pPr>
              <w:pStyle w:val="GUIDE-NORMAL"/>
              <w:spacing w:before="60" w:after="60"/>
              <w:jc w:val="left"/>
              <w:rPr>
                <w:rFonts w:cs="Tahoma"/>
                <w:lang w:val="sl-SI" w:eastAsia="en-GB"/>
              </w:rPr>
            </w:pPr>
            <w:r w:rsidRPr="00F769E0">
              <w:rPr>
                <w:rFonts w:cs="Tahoma"/>
                <w:lang w:val="sl-SI" w:eastAsia="en-GB"/>
              </w:rPr>
              <w:t>Dejanski stroški</w:t>
            </w:r>
          </w:p>
        </w:tc>
        <w:tc>
          <w:tcPr>
            <w:tcW w:w="15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A6C" w14:textId="77777777" w:rsidR="00E03711" w:rsidRPr="00F769E0" w:rsidRDefault="00E03711" w:rsidP="00333C93">
            <w:pPr>
              <w:pStyle w:val="GUIDE-NORMAL"/>
              <w:spacing w:before="60" w:after="60"/>
              <w:jc w:val="left"/>
              <w:rPr>
                <w:rFonts w:cs="Tahoma"/>
                <w:lang w:val="sl-SI" w:eastAsia="en-GB"/>
              </w:rPr>
            </w:pPr>
            <w:r w:rsidRPr="00F769E0">
              <w:rPr>
                <w:rFonts w:cs="Tahoma"/>
                <w:lang w:val="sl-SI" w:eastAsia="en-GB"/>
              </w:rPr>
              <w:t>Dragi potni stroški: do največ 80 % upravičenih stroškov.</w:t>
            </w:r>
          </w:p>
          <w:p w14:paraId="7D399A6D" w14:textId="77777777" w:rsidR="00E03711" w:rsidRPr="00F769E0" w:rsidRDefault="00E03711" w:rsidP="00333C93">
            <w:pPr>
              <w:pStyle w:val="GUIDE-NORMAL"/>
              <w:spacing w:before="60" w:after="60"/>
              <w:jc w:val="left"/>
              <w:rPr>
                <w:rFonts w:cs="Tahoma"/>
                <w:lang w:val="sl-SI" w:eastAsia="en-GB"/>
              </w:rPr>
            </w:pPr>
            <w:r w:rsidRPr="00F769E0">
              <w:rPr>
                <w:rFonts w:cs="Tahoma"/>
                <w:lang w:val="sl-SI" w:eastAsia="en-GB"/>
              </w:rPr>
              <w:t>Drugi stroški: 100 % upravičenih stroškov.</w:t>
            </w:r>
          </w:p>
        </w:tc>
        <w:tc>
          <w:tcPr>
            <w:tcW w:w="10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A6E" w14:textId="77777777" w:rsidR="00E03711" w:rsidRPr="00F769E0" w:rsidRDefault="00E03711" w:rsidP="00333C93">
            <w:pPr>
              <w:pStyle w:val="GUIDE-NORMAL"/>
              <w:spacing w:before="60" w:after="60"/>
              <w:jc w:val="left"/>
              <w:rPr>
                <w:rFonts w:cs="Tahoma"/>
                <w:lang w:val="sl-SI" w:eastAsia="en-GB"/>
              </w:rPr>
            </w:pPr>
            <w:r w:rsidRPr="00F769E0">
              <w:rPr>
                <w:rFonts w:cs="Tahoma"/>
                <w:lang w:val="sl-SI" w:eastAsia="en-GB"/>
              </w:rPr>
              <w:t xml:space="preserve">Pogoj: zahtevek za finančno podporo za kritje izrednih stroškov mora biti utemeljen </w:t>
            </w:r>
            <w:r w:rsidRPr="00F769E0">
              <w:rPr>
                <w:rFonts w:cs="Tahoma"/>
                <w:lang w:val="sl-SI" w:eastAsia="en-GB"/>
              </w:rPr>
              <w:br/>
              <w:t>v prijavnem obrazcu.</w:t>
            </w:r>
          </w:p>
        </w:tc>
      </w:tr>
    </w:tbl>
    <w:p w14:paraId="7D399A70" w14:textId="77777777" w:rsidR="00E03711" w:rsidRPr="001048FE" w:rsidRDefault="00E03711" w:rsidP="00C15888">
      <w:pPr>
        <w:pStyle w:val="Guide-Footnote"/>
        <w:rPr>
          <w:lang w:val="sl-SI"/>
        </w:rPr>
      </w:pPr>
      <w:bookmarkStart w:id="262" w:name="D)_Soutien_organisationnel_et_individuel"/>
      <w:bookmarkEnd w:id="262"/>
    </w:p>
    <w:p w14:paraId="7D399A71" w14:textId="77777777" w:rsidR="00E03711" w:rsidRDefault="00E03711" w:rsidP="005041C6">
      <w:pPr>
        <w:pStyle w:val="Guide-Heading6"/>
        <w:rPr>
          <w:lang w:val="sl-SI"/>
        </w:rPr>
        <w:sectPr w:rsidR="00E03711" w:rsidSect="00F05D26">
          <w:endnotePr>
            <w:numFmt w:val="decimal"/>
          </w:endnotePr>
          <w:pgSz w:w="16840" w:h="11910" w:orient="landscape" w:code="9"/>
          <w:pgMar w:top="1418" w:right="1134" w:bottom="1418" w:left="1134" w:header="284" w:footer="567" w:gutter="0"/>
          <w:cols w:space="720"/>
          <w:docGrid w:linePitch="326"/>
        </w:sectPr>
      </w:pPr>
    </w:p>
    <w:p w14:paraId="7D399A72" w14:textId="77777777" w:rsidR="00E03711" w:rsidRPr="001048FE" w:rsidRDefault="00E03711" w:rsidP="005041C6">
      <w:pPr>
        <w:pStyle w:val="Guide-Heading6"/>
        <w:rPr>
          <w:lang w:val="sl-SI"/>
        </w:rPr>
      </w:pPr>
      <w:r w:rsidRPr="001048FE">
        <w:rPr>
          <w:lang w:val="sl-SI"/>
        </w:rPr>
        <w:t>D) Organizacijska in individualna podpora</w:t>
      </w:r>
    </w:p>
    <w:p w14:paraId="7D399A73" w14:textId="77777777" w:rsidR="00E03711" w:rsidRPr="001048FE" w:rsidRDefault="00E03711" w:rsidP="00E4365C">
      <w:pPr>
        <w:pStyle w:val="GUIDE-NORMAL"/>
        <w:rPr>
          <w:lang w:val="sl-SI"/>
        </w:rPr>
      </w:pPr>
      <w:r w:rsidRPr="001048FE">
        <w:rPr>
          <w:lang w:val="sl-SI"/>
        </w:rPr>
        <w:t>Zneski so odvisni od države, kjer poteka aktivnost mobilnosti.</w:t>
      </w:r>
    </w:p>
    <w:tbl>
      <w:tblPr>
        <w:tblW w:w="5000" w:type="pct"/>
        <w:tblLayout w:type="fixed"/>
        <w:tblLook w:val="0000" w:firstRow="0" w:lastRow="0" w:firstColumn="0" w:lastColumn="0" w:noHBand="0" w:noVBand="0"/>
      </w:tblPr>
      <w:tblGrid>
        <w:gridCol w:w="4129"/>
        <w:gridCol w:w="1474"/>
        <w:gridCol w:w="1474"/>
        <w:gridCol w:w="1180"/>
        <w:gridCol w:w="1033"/>
      </w:tblGrid>
      <w:tr w:rsidR="00E03711" w:rsidRPr="008C6F8C" w14:paraId="7D399A77" w14:textId="77777777" w:rsidTr="00AB504F">
        <w:trPr>
          <w:trHeight w:val="20"/>
        </w:trPr>
        <w:tc>
          <w:tcPr>
            <w:tcW w:w="4030" w:type="dxa"/>
            <w:vMerge w:val="restart"/>
            <w:tcBorders>
              <w:top w:val="none" w:sz="6" w:space="0" w:color="auto"/>
              <w:left w:val="none" w:sz="6" w:space="0" w:color="auto"/>
              <w:bottom w:val="single" w:sz="6" w:space="0" w:color="000000"/>
              <w:right w:val="single" w:sz="6" w:space="0" w:color="000000"/>
            </w:tcBorders>
            <w:shd w:val="clear" w:color="auto" w:fill="auto"/>
            <w:vAlign w:val="center"/>
          </w:tcPr>
          <w:p w14:paraId="7D399A74" w14:textId="77777777" w:rsidR="00E03711" w:rsidRPr="001048FE" w:rsidRDefault="00E03711" w:rsidP="00D925D7">
            <w:pPr>
              <w:pStyle w:val="GUIDE-NORMAL"/>
              <w:spacing w:before="20" w:after="20"/>
              <w:jc w:val="left"/>
              <w:rPr>
                <w:rFonts w:ascii="Times New Roman" w:hAnsi="Times New Roman"/>
                <w:sz w:val="20"/>
                <w:szCs w:val="20"/>
                <w:lang w:val="sl-SI" w:eastAsia="en-GB"/>
              </w:rPr>
            </w:pPr>
          </w:p>
        </w:tc>
        <w:tc>
          <w:tcPr>
            <w:tcW w:w="402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7D399A75" w14:textId="77777777" w:rsidR="00E03711" w:rsidRPr="00F769E0" w:rsidRDefault="00E03711" w:rsidP="00D925D7">
            <w:pPr>
              <w:pStyle w:val="GUIDE-NORMAL"/>
              <w:spacing w:before="20" w:after="20"/>
              <w:jc w:val="center"/>
              <w:rPr>
                <w:rFonts w:cs="Tahoma"/>
                <w:b/>
                <w:lang w:val="sl-SI" w:eastAsia="en-GB"/>
              </w:rPr>
            </w:pPr>
            <w:r w:rsidRPr="00F769E0">
              <w:rPr>
                <w:rFonts w:cs="Tahoma"/>
                <w:b/>
                <w:lang w:val="sl-SI" w:eastAsia="en-GB"/>
              </w:rPr>
              <w:t>Organizacijska podpora</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76" w14:textId="77777777" w:rsidR="00E03711" w:rsidRPr="00F769E0" w:rsidRDefault="00E03711" w:rsidP="00D925D7">
            <w:pPr>
              <w:pStyle w:val="GUIDE-NORMAL"/>
              <w:spacing w:before="20" w:after="20"/>
              <w:jc w:val="center"/>
              <w:rPr>
                <w:rFonts w:cs="Tahoma"/>
                <w:b/>
                <w:lang w:val="sl-SI" w:eastAsia="en-GB"/>
              </w:rPr>
            </w:pPr>
            <w:r>
              <w:rPr>
                <w:rFonts w:cs="Tahoma"/>
                <w:b/>
                <w:lang w:val="sl-SI" w:eastAsia="en-GB"/>
              </w:rPr>
              <w:t>Individu</w:t>
            </w:r>
            <w:r w:rsidRPr="00F769E0">
              <w:rPr>
                <w:rFonts w:cs="Tahoma"/>
                <w:b/>
                <w:lang w:val="sl-SI" w:eastAsia="en-GB"/>
              </w:rPr>
              <w:t>alna podpora</w:t>
            </w:r>
          </w:p>
        </w:tc>
      </w:tr>
      <w:tr w:rsidR="00E03711" w:rsidRPr="00C60205" w14:paraId="7D399A7C" w14:textId="77777777" w:rsidTr="00AB504F">
        <w:trPr>
          <w:trHeight w:val="20"/>
        </w:trPr>
        <w:tc>
          <w:tcPr>
            <w:tcW w:w="4030" w:type="dxa"/>
            <w:vMerge/>
            <w:tcBorders>
              <w:top w:val="nil"/>
              <w:left w:val="none" w:sz="6" w:space="0" w:color="auto"/>
              <w:bottom w:val="single" w:sz="6" w:space="0" w:color="000000"/>
              <w:right w:val="single" w:sz="6" w:space="0" w:color="000000"/>
            </w:tcBorders>
            <w:shd w:val="clear" w:color="auto" w:fill="auto"/>
            <w:vAlign w:val="center"/>
          </w:tcPr>
          <w:p w14:paraId="7D399A78" w14:textId="77777777" w:rsidR="00E03711" w:rsidRPr="00F769E0" w:rsidRDefault="00E03711" w:rsidP="00D925D7">
            <w:pPr>
              <w:pStyle w:val="GUIDE-NORMAL"/>
              <w:spacing w:before="20" w:after="20"/>
              <w:jc w:val="left"/>
              <w:rPr>
                <w:rFonts w:cs="Tahoma"/>
                <w:sz w:val="2"/>
                <w:szCs w:val="2"/>
                <w:lang w:val="sl-SI" w:eastAsia="en-GB"/>
              </w:rPr>
            </w:pP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79" w14:textId="77777777" w:rsidR="00E03711" w:rsidRPr="00F769E0" w:rsidRDefault="00E03711" w:rsidP="00B52796">
            <w:pPr>
              <w:pStyle w:val="GUIDE-NORMAL"/>
              <w:spacing w:before="60" w:after="60"/>
              <w:jc w:val="center"/>
              <w:rPr>
                <w:rFonts w:cs="Tahoma"/>
                <w:b/>
                <w:lang w:val="sl-SI" w:eastAsia="en-GB"/>
              </w:rPr>
            </w:pPr>
            <w:r w:rsidRPr="00F769E0">
              <w:rPr>
                <w:rFonts w:cs="Tahoma"/>
                <w:b/>
                <w:lang w:val="sl-SI" w:eastAsia="en-GB"/>
              </w:rPr>
              <w:t xml:space="preserve">Mladinske izmenjave </w:t>
            </w:r>
            <w:r w:rsidRPr="00F769E0">
              <w:rPr>
                <w:rFonts w:cs="Tahoma"/>
                <w:b/>
                <w:lang w:val="sl-SI" w:eastAsia="en-GB"/>
              </w:rPr>
              <w:br/>
              <w:t>(v EUR na dan)</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7A" w14:textId="77777777" w:rsidR="00E03711" w:rsidRPr="00F769E0" w:rsidRDefault="00E03711" w:rsidP="00B52796">
            <w:pPr>
              <w:pStyle w:val="GUIDE-NORMAL"/>
              <w:spacing w:before="60" w:after="60"/>
              <w:jc w:val="center"/>
              <w:rPr>
                <w:rFonts w:cs="Tahoma"/>
                <w:b/>
                <w:lang w:val="sl-SI" w:eastAsia="en-GB"/>
              </w:rPr>
            </w:pPr>
            <w:r w:rsidRPr="00F769E0">
              <w:rPr>
                <w:rFonts w:cs="Tahoma"/>
                <w:b/>
                <w:lang w:val="sl-SI" w:eastAsia="en-GB"/>
              </w:rPr>
              <w:t>Mobilnost mladinskih delavcev</w:t>
            </w:r>
            <w:r w:rsidRPr="00F769E0">
              <w:rPr>
                <w:rFonts w:cs="Tahoma"/>
                <w:b/>
                <w:lang w:val="sl-SI" w:eastAsia="en-GB"/>
              </w:rPr>
              <w:br/>
              <w:t>(v EUR na dan)</w:t>
            </w:r>
          </w:p>
        </w:tc>
        <w:tc>
          <w:tcPr>
            <w:tcW w:w="21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D399A7B" w14:textId="77777777" w:rsidR="00E03711" w:rsidRPr="00F769E0" w:rsidRDefault="00E03711" w:rsidP="00B52796">
            <w:pPr>
              <w:pStyle w:val="GUIDE-NORMAL"/>
              <w:spacing w:before="60" w:after="60"/>
              <w:jc w:val="center"/>
              <w:rPr>
                <w:rFonts w:cs="Tahoma"/>
                <w:b/>
                <w:lang w:val="sl-SI" w:eastAsia="en-GB"/>
              </w:rPr>
            </w:pPr>
            <w:r w:rsidRPr="00F769E0">
              <w:rPr>
                <w:rFonts w:cs="Tahoma"/>
                <w:b/>
                <w:lang w:val="sl-SI" w:eastAsia="en-GB"/>
              </w:rPr>
              <w:t xml:space="preserve">Prostovoljske aktivnosti </w:t>
            </w:r>
            <w:r w:rsidRPr="00F769E0">
              <w:rPr>
                <w:rFonts w:cs="Tahoma"/>
                <w:b/>
                <w:lang w:val="sl-SI" w:eastAsia="en-GB"/>
              </w:rPr>
              <w:br/>
              <w:t>(v EUR na dan)</w:t>
            </w:r>
          </w:p>
        </w:tc>
      </w:tr>
      <w:tr w:rsidR="00E03711" w:rsidRPr="008C6F8C" w14:paraId="7D399A82" w14:textId="77777777" w:rsidTr="00AB504F">
        <w:trPr>
          <w:trHeight w:val="20"/>
        </w:trPr>
        <w:tc>
          <w:tcPr>
            <w:tcW w:w="4030" w:type="dxa"/>
            <w:vMerge/>
            <w:tcBorders>
              <w:top w:val="nil"/>
              <w:left w:val="none" w:sz="6" w:space="0" w:color="auto"/>
              <w:bottom w:val="single" w:sz="6" w:space="0" w:color="000000"/>
              <w:right w:val="single" w:sz="6" w:space="0" w:color="000000"/>
            </w:tcBorders>
            <w:shd w:val="clear" w:color="auto" w:fill="auto"/>
            <w:vAlign w:val="center"/>
          </w:tcPr>
          <w:p w14:paraId="7D399A7D" w14:textId="77777777" w:rsidR="00E03711" w:rsidRPr="00F769E0" w:rsidRDefault="00E03711" w:rsidP="00D925D7">
            <w:pPr>
              <w:pStyle w:val="GUIDE-NORMAL"/>
              <w:spacing w:before="20" w:after="20"/>
              <w:jc w:val="left"/>
              <w:rPr>
                <w:rFonts w:cs="Tahoma"/>
                <w:sz w:val="2"/>
                <w:szCs w:val="2"/>
                <w:lang w:val="sl-SI" w:eastAsia="en-GB"/>
              </w:rPr>
            </w:pP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7E" w14:textId="77777777" w:rsidR="00E03711" w:rsidRPr="00F769E0" w:rsidRDefault="00E03711" w:rsidP="00D925D7">
            <w:pPr>
              <w:pStyle w:val="GUIDE-NORMAL"/>
              <w:spacing w:before="20" w:after="20"/>
              <w:jc w:val="center"/>
              <w:rPr>
                <w:rFonts w:cs="Tahoma"/>
                <w:b/>
                <w:lang w:val="sl-SI" w:eastAsia="en-GB"/>
              </w:rPr>
            </w:pPr>
            <w:r w:rsidRPr="00F769E0">
              <w:rPr>
                <w:rFonts w:cs="Tahoma"/>
                <w:b/>
                <w:lang w:val="sl-SI" w:eastAsia="en-GB"/>
              </w:rPr>
              <w:t>B4.1</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7F" w14:textId="77777777" w:rsidR="00E03711" w:rsidRPr="00F769E0" w:rsidRDefault="00E03711" w:rsidP="00D925D7">
            <w:pPr>
              <w:pStyle w:val="GUIDE-NORMAL"/>
              <w:spacing w:before="20" w:after="20"/>
              <w:jc w:val="center"/>
              <w:rPr>
                <w:rFonts w:cs="Tahoma"/>
                <w:b/>
                <w:lang w:val="sl-SI" w:eastAsia="en-GB"/>
              </w:rPr>
            </w:pPr>
            <w:r w:rsidRPr="00F769E0">
              <w:rPr>
                <w:rFonts w:cs="Tahoma"/>
                <w:b/>
                <w:lang w:val="sl-SI" w:eastAsia="en-GB"/>
              </w:rPr>
              <w:t>B4.2</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80" w14:textId="77777777" w:rsidR="00E03711" w:rsidRPr="00F769E0" w:rsidRDefault="00E03711" w:rsidP="00D925D7">
            <w:pPr>
              <w:pStyle w:val="GUIDE-NORMAL"/>
              <w:spacing w:before="20" w:after="20"/>
              <w:jc w:val="center"/>
              <w:rPr>
                <w:rFonts w:cs="Tahoma"/>
                <w:b/>
                <w:lang w:val="sl-SI" w:eastAsia="en-GB"/>
              </w:rPr>
            </w:pPr>
            <w:r w:rsidRPr="00F769E0">
              <w:rPr>
                <w:rFonts w:cs="Tahoma"/>
                <w:b/>
                <w:lang w:val="sl-SI" w:eastAsia="en-GB"/>
              </w:rPr>
              <w:t>B4.3</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81" w14:textId="77777777" w:rsidR="00E03711" w:rsidRPr="00F769E0" w:rsidRDefault="00E03711" w:rsidP="00D925D7">
            <w:pPr>
              <w:pStyle w:val="GUIDE-NORMAL"/>
              <w:spacing w:before="20" w:after="20"/>
              <w:jc w:val="center"/>
              <w:rPr>
                <w:rFonts w:cs="Tahoma"/>
                <w:b/>
                <w:lang w:val="sl-SI" w:eastAsia="en-GB"/>
              </w:rPr>
            </w:pPr>
            <w:r w:rsidRPr="00F769E0">
              <w:rPr>
                <w:rFonts w:cs="Tahoma"/>
                <w:b/>
                <w:lang w:val="sl-SI" w:eastAsia="en-GB"/>
              </w:rPr>
              <w:t>B4.4</w:t>
            </w:r>
          </w:p>
        </w:tc>
      </w:tr>
      <w:tr w:rsidR="00E03711" w:rsidRPr="008C6F8C" w14:paraId="7D399A88"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A83"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Belgija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84"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42</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85"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65</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86"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26</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87"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w:t>
            </w:r>
          </w:p>
        </w:tc>
      </w:tr>
      <w:tr w:rsidR="00E03711" w:rsidRPr="008C6F8C" w14:paraId="7D399A8E"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A89"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Bolgarija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8A"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32</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8B"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53</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8C"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17</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8D"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w:t>
            </w:r>
          </w:p>
        </w:tc>
      </w:tr>
      <w:tr w:rsidR="00E03711" w:rsidRPr="008C6F8C" w14:paraId="7D399A94"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A8F"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Češka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90"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32</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91"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54</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92"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17</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93"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w:t>
            </w:r>
          </w:p>
        </w:tc>
      </w:tr>
      <w:tr w:rsidR="00E03711" w:rsidRPr="008C6F8C" w14:paraId="7D399A9A"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A95"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Danska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96"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45</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97"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72</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98"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26</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99"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6</w:t>
            </w:r>
          </w:p>
        </w:tc>
      </w:tr>
      <w:tr w:rsidR="00E03711" w:rsidRPr="008C6F8C" w14:paraId="7D399AA0"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A9B"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Nemčija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9C"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41</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9D"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58</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9E"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23</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9F"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w:t>
            </w:r>
          </w:p>
        </w:tc>
      </w:tr>
      <w:tr w:rsidR="00E03711" w:rsidRPr="008C6F8C" w14:paraId="7D399AA6"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AA1"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Estonija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A2"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33</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A3"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56</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A4"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18</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A5"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w:t>
            </w:r>
          </w:p>
        </w:tc>
      </w:tr>
      <w:tr w:rsidR="00E03711" w:rsidRPr="008C6F8C" w14:paraId="7D399AAC"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AA7"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Irska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A8"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49</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A9"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74</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AA"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26</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AB"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6</w:t>
            </w:r>
          </w:p>
        </w:tc>
      </w:tr>
      <w:tr w:rsidR="00E03711" w:rsidRPr="008C6F8C" w14:paraId="7D399AB2"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AAD"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Grčija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AE"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38</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AF"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71</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B0"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21</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B1"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w:t>
            </w:r>
          </w:p>
        </w:tc>
      </w:tr>
      <w:tr w:rsidR="00E03711" w:rsidRPr="008C6F8C" w14:paraId="7D399AB8"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AB3"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Španija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B4"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34</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B5"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61</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B6"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18</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B7"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w:t>
            </w:r>
          </w:p>
        </w:tc>
      </w:tr>
      <w:tr w:rsidR="00E03711" w:rsidRPr="008C6F8C" w14:paraId="7D399ABE"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AB9"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Francija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BA"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38</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BB"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66</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BC"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20</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BD"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6</w:t>
            </w:r>
          </w:p>
        </w:tc>
      </w:tr>
      <w:tr w:rsidR="00E03711" w:rsidRPr="008C6F8C" w14:paraId="7D399AC4"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ABF"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Hrvaška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C0"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35</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C1"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62</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C2"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19</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C3"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w:t>
            </w:r>
          </w:p>
        </w:tc>
      </w:tr>
      <w:tr w:rsidR="00E03711" w:rsidRPr="008C6F8C" w14:paraId="7D399ACA"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AC5"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Italija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C6"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39</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C7"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66</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C8"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21</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C9"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w:t>
            </w:r>
          </w:p>
        </w:tc>
      </w:tr>
      <w:tr w:rsidR="00E03711" w:rsidRPr="008C6F8C" w14:paraId="7D399AD0"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ACB"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Ciper</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CC"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32</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CD"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58</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CE"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21</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CF"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w:t>
            </w:r>
          </w:p>
        </w:tc>
      </w:tr>
      <w:tr w:rsidR="00E03711" w:rsidRPr="008C6F8C" w14:paraId="7D399AD6"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AD1"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Latvija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D2"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34</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D3"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59</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D4"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19</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D5"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w:t>
            </w:r>
          </w:p>
        </w:tc>
      </w:tr>
      <w:tr w:rsidR="00E03711" w:rsidRPr="008C6F8C" w14:paraId="7D399ADC"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AD7"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Litva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D8"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34</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D9"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58</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DA"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18</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DB"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w:t>
            </w:r>
          </w:p>
        </w:tc>
      </w:tr>
      <w:tr w:rsidR="00E03711" w:rsidRPr="008C6F8C" w14:paraId="7D399AE2"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ADD"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Luksemburg</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DE"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45</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DF"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66</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E0"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26</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E1"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w:t>
            </w:r>
          </w:p>
        </w:tc>
      </w:tr>
      <w:tr w:rsidR="00E03711" w:rsidRPr="008C6F8C" w14:paraId="7D399AE8"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AE3"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Madžarska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E4"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33</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E5"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55</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E6"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17</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E7"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w:t>
            </w:r>
          </w:p>
        </w:tc>
      </w:tr>
      <w:tr w:rsidR="00E03711" w:rsidRPr="008C6F8C" w14:paraId="7D399AEE"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AE9"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Malta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EA"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39</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EB"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65</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EC"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22</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ED"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w:t>
            </w:r>
          </w:p>
        </w:tc>
      </w:tr>
      <w:tr w:rsidR="00E03711" w:rsidRPr="008C6F8C" w14:paraId="7D399AF4"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AEF"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Nizozemska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F0"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45</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F1"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69</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F2"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26</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F3"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w:t>
            </w:r>
          </w:p>
        </w:tc>
      </w:tr>
      <w:tr w:rsidR="00E03711" w:rsidRPr="008C6F8C" w14:paraId="7D399AFA"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AF5"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Avstrija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F6"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45</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F7"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61</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F8"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23</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F9"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w:t>
            </w:r>
          </w:p>
        </w:tc>
      </w:tr>
      <w:tr w:rsidR="00E03711" w:rsidRPr="008C6F8C" w14:paraId="7D399B00"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AFB"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Poljska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FC"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34</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FD"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59</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FE"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18</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AFF"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w:t>
            </w:r>
          </w:p>
        </w:tc>
      </w:tr>
      <w:tr w:rsidR="00E03711" w:rsidRPr="008C6F8C" w14:paraId="7D399B06"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B01"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Portugalska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02"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37</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03"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65</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04"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20</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05"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w:t>
            </w:r>
          </w:p>
        </w:tc>
      </w:tr>
      <w:tr w:rsidR="00E03711" w:rsidRPr="008C6F8C" w14:paraId="7D399B0C"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B07"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Romunija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08"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32</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09"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54</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0A"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17</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0B"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w:t>
            </w:r>
          </w:p>
        </w:tc>
      </w:tr>
      <w:tr w:rsidR="00E03711" w:rsidRPr="008C6F8C" w14:paraId="7D399B12"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B0D"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Slovenija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0E"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34</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0F"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60</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10"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20</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11"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w:t>
            </w:r>
          </w:p>
        </w:tc>
      </w:tr>
      <w:tr w:rsidR="00E03711" w:rsidRPr="008C6F8C" w14:paraId="7D399B18"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B13"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Slovaška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14"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35</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15"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60</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16"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19</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17"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w:t>
            </w:r>
          </w:p>
        </w:tc>
      </w:tr>
      <w:tr w:rsidR="00E03711" w:rsidRPr="008C6F8C" w14:paraId="7D399B1E"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B19"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Finska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1A"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45</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1B"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71</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1C"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26</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1D"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w:t>
            </w:r>
          </w:p>
        </w:tc>
      </w:tr>
      <w:tr w:rsidR="00E03711" w:rsidRPr="008C6F8C" w14:paraId="7D399B24"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B1F"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Švedska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20"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45</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21"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70</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22"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26</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23"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w:t>
            </w:r>
          </w:p>
        </w:tc>
      </w:tr>
      <w:tr w:rsidR="00E03711" w:rsidRPr="008C6F8C" w14:paraId="7D399B2A"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B25"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Združeno kraljestvo</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26"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45</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27"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76</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28"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26</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29"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6</w:t>
            </w:r>
          </w:p>
        </w:tc>
      </w:tr>
      <w:tr w:rsidR="00E03711" w:rsidRPr="008C6F8C" w14:paraId="7D399B30"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2B" w14:textId="77777777" w:rsidR="00E03711" w:rsidRPr="00F769E0" w:rsidRDefault="00E03711">
            <w:pPr>
              <w:pStyle w:val="GUIDE-NORMAL"/>
              <w:spacing w:before="20" w:after="20"/>
              <w:jc w:val="left"/>
              <w:rPr>
                <w:rFonts w:cs="Tahoma"/>
                <w:b/>
                <w:lang w:val="sl-SI" w:eastAsia="en-GB"/>
              </w:rPr>
            </w:pPr>
            <w:r>
              <w:rPr>
                <w:rFonts w:cs="Tahoma"/>
                <w:b/>
                <w:lang w:val="sl-SI" w:eastAsia="en-GB"/>
              </w:rPr>
              <w:t>R</w:t>
            </w:r>
            <w:r w:rsidRPr="00F769E0">
              <w:rPr>
                <w:rFonts w:cs="Tahoma"/>
                <w:b/>
                <w:lang w:val="sl-SI" w:eastAsia="en-GB"/>
              </w:rPr>
              <w:t xml:space="preserve">epublika </w:t>
            </w:r>
            <w:r>
              <w:rPr>
                <w:rFonts w:cs="Tahoma"/>
                <w:b/>
                <w:lang w:val="sl-SI" w:eastAsia="en-GB"/>
              </w:rPr>
              <w:t xml:space="preserve">Severna </w:t>
            </w:r>
            <w:r w:rsidRPr="00F769E0">
              <w:rPr>
                <w:rFonts w:cs="Tahoma"/>
                <w:b/>
                <w:lang w:val="sl-SI" w:eastAsia="en-GB"/>
              </w:rPr>
              <w:t>Makedonija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2C"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28</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2D"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45</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2E"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15</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2F"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w:t>
            </w:r>
          </w:p>
        </w:tc>
      </w:tr>
      <w:tr w:rsidR="00E03711" w:rsidRPr="008C6F8C" w14:paraId="7D399B36"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B31"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Islandija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32"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45</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33"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71</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34"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26</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35"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6</w:t>
            </w:r>
          </w:p>
        </w:tc>
      </w:tr>
      <w:tr w:rsidR="00E03711" w:rsidRPr="008C6F8C" w14:paraId="7D399B3C"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B37"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Lihtenštajn</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38"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45</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39"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74</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3A"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24</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3B"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6</w:t>
            </w:r>
          </w:p>
        </w:tc>
      </w:tr>
      <w:tr w:rsidR="00E03711" w:rsidRPr="008C6F8C" w14:paraId="7D399B42"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B3D"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Norveška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3E"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50</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3F"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74</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40"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26</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41"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6</w:t>
            </w:r>
          </w:p>
        </w:tc>
      </w:tr>
      <w:tr w:rsidR="00E03711" w:rsidRPr="008C6F8C" w14:paraId="7D399B48"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B43"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Turčija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44"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32</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45"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54</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46"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17</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47"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w:t>
            </w:r>
          </w:p>
        </w:tc>
      </w:tr>
      <w:tr w:rsidR="00E03711" w:rsidRPr="008C6F8C" w14:paraId="7D399B4E"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B49"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Srbija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4A"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29</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4B"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48</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4C"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15</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4D"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w:t>
            </w:r>
          </w:p>
        </w:tc>
      </w:tr>
      <w:tr w:rsidR="00E03711" w:rsidRPr="008C6F8C" w14:paraId="7D399B54" w14:textId="77777777" w:rsidTr="00AB504F">
        <w:trPr>
          <w:trHeight w:val="20"/>
        </w:trPr>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7D399B4F" w14:textId="77777777" w:rsidR="00E03711" w:rsidRPr="00F769E0" w:rsidRDefault="00E03711" w:rsidP="00D925D7">
            <w:pPr>
              <w:pStyle w:val="GUIDE-NORMAL"/>
              <w:spacing w:before="20" w:after="20"/>
              <w:jc w:val="left"/>
              <w:rPr>
                <w:rFonts w:cs="Tahoma"/>
                <w:b/>
                <w:lang w:val="sl-SI" w:eastAsia="en-GB"/>
              </w:rPr>
            </w:pPr>
            <w:r w:rsidRPr="00F769E0">
              <w:rPr>
                <w:rFonts w:cs="Tahoma"/>
                <w:b/>
                <w:lang w:val="sl-SI" w:eastAsia="en-GB"/>
              </w:rPr>
              <w:t>partnerska država</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50"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29</w:t>
            </w:r>
          </w:p>
        </w:tc>
        <w:tc>
          <w:tcPr>
            <w:tcW w:w="14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51"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48</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52"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15</w:t>
            </w:r>
          </w:p>
        </w:tc>
        <w:tc>
          <w:tcPr>
            <w:tcW w:w="1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9B53" w14:textId="77777777" w:rsidR="00E03711" w:rsidRPr="00F769E0" w:rsidRDefault="00E03711" w:rsidP="00D925D7">
            <w:pPr>
              <w:pStyle w:val="GUIDE-NORMAL"/>
              <w:spacing w:before="20" w:after="20"/>
              <w:jc w:val="center"/>
              <w:rPr>
                <w:rFonts w:cs="Tahoma"/>
                <w:lang w:val="sl-SI" w:eastAsia="en-GB"/>
              </w:rPr>
            </w:pPr>
            <w:r w:rsidRPr="00F769E0">
              <w:rPr>
                <w:rFonts w:cs="Tahoma"/>
                <w:lang w:val="sl-SI" w:eastAsia="en-GB"/>
              </w:rPr>
              <w:t>3</w:t>
            </w:r>
          </w:p>
        </w:tc>
      </w:tr>
    </w:tbl>
    <w:p w14:paraId="7D399B55" w14:textId="77777777" w:rsidR="00E03711" w:rsidRPr="001048FE" w:rsidRDefault="00E03711" w:rsidP="00D925D7">
      <w:pPr>
        <w:pStyle w:val="Guide-Heading3"/>
        <w:rPr>
          <w:lang w:val="sl-SI"/>
        </w:rPr>
        <w:sectPr w:rsidR="00E03711" w:rsidRPr="001048FE" w:rsidSect="00E15ED3">
          <w:endnotePr>
            <w:numFmt w:val="decimal"/>
          </w:endnotePr>
          <w:pgSz w:w="11910" w:h="16840" w:code="9"/>
          <w:pgMar w:top="1134" w:right="1418" w:bottom="1134" w:left="1418" w:header="284" w:footer="567" w:gutter="0"/>
          <w:cols w:space="720"/>
          <w:docGrid w:linePitch="326"/>
        </w:sectPr>
      </w:pPr>
      <w:bookmarkStart w:id="263" w:name="Action_clé_n_3:_Soutien_à_la_réforme_des"/>
      <w:bookmarkStart w:id="264" w:name="_bookmark45"/>
      <w:bookmarkEnd w:id="263"/>
      <w:bookmarkEnd w:id="264"/>
    </w:p>
    <w:p w14:paraId="7D399B56" w14:textId="77777777" w:rsidR="00E03711" w:rsidRDefault="00E03711">
      <w:pPr>
        <w:pStyle w:val="Guide-Heading3"/>
        <w:rPr>
          <w:lang w:val="sl-SI"/>
        </w:rPr>
      </w:pPr>
      <w:bookmarkStart w:id="265" w:name="_Toc527400921"/>
      <w:bookmarkStart w:id="266" w:name="_Toc527401162"/>
      <w:r w:rsidRPr="001048FE">
        <w:rPr>
          <w:lang w:val="sl-SI"/>
        </w:rPr>
        <w:t>Ključni ukrep 3:</w:t>
      </w:r>
      <w:bookmarkEnd w:id="265"/>
      <w:bookmarkEnd w:id="266"/>
      <w:r w:rsidRPr="001048FE">
        <w:rPr>
          <w:lang w:val="sl-SI"/>
        </w:rPr>
        <w:t xml:space="preserve"> </w:t>
      </w:r>
    </w:p>
    <w:p w14:paraId="7D399B57" w14:textId="77777777" w:rsidR="00E03711" w:rsidRPr="001048FE" w:rsidRDefault="00E03711" w:rsidP="005041C6">
      <w:pPr>
        <w:pStyle w:val="Guide-Heading4TOC"/>
        <w:rPr>
          <w:lang w:val="sl-SI"/>
        </w:rPr>
      </w:pPr>
      <w:bookmarkStart w:id="267" w:name="_Toc527401163"/>
      <w:r w:rsidRPr="001048FE">
        <w:rPr>
          <w:lang w:val="sl-SI"/>
        </w:rPr>
        <w:t>Podpora za reformo politik</w:t>
      </w:r>
      <w:bookmarkEnd w:id="267"/>
    </w:p>
    <w:p w14:paraId="7D399B58" w14:textId="77777777" w:rsidR="00E03711" w:rsidRPr="001048FE" w:rsidRDefault="00E03711" w:rsidP="00A87E97">
      <w:pPr>
        <w:pStyle w:val="GUIDE-NORMAL"/>
        <w:rPr>
          <w:lang w:val="sl-SI"/>
        </w:rPr>
      </w:pPr>
      <w:r w:rsidRPr="001048FE">
        <w:rPr>
          <w:lang w:val="sl-SI"/>
        </w:rPr>
        <w:t>Aktivnosti v okviru podpore za reformo politik so ciljno usmerjene v doseganje ciljev programov evropskih politik, zlasti strategije Evropa 2020, strateškega okvira za evropsko sodelovanje v izobraževanju in usposabljanju (ET 2020) ter evropske strategije za mlade.</w:t>
      </w:r>
    </w:p>
    <w:p w14:paraId="7D399B59" w14:textId="77777777" w:rsidR="00E03711" w:rsidRPr="001048FE" w:rsidRDefault="00E03711" w:rsidP="005041C6">
      <w:pPr>
        <w:pStyle w:val="Guide-Heading5"/>
        <w:rPr>
          <w:lang w:val="sl-SI"/>
        </w:rPr>
      </w:pPr>
      <w:r w:rsidRPr="001048FE">
        <w:rPr>
          <w:lang w:val="sl-SI"/>
        </w:rPr>
        <w:t>Kateri ukrepi so podprti?</w:t>
      </w:r>
    </w:p>
    <w:p w14:paraId="7D399B5A" w14:textId="77777777" w:rsidR="00E03711" w:rsidRPr="001048FE" w:rsidRDefault="00E03711" w:rsidP="00A87E97">
      <w:pPr>
        <w:pStyle w:val="GUIDE-NORMAL"/>
        <w:rPr>
          <w:lang w:val="sl-SI"/>
        </w:rPr>
      </w:pPr>
      <w:r w:rsidRPr="001048FE">
        <w:rPr>
          <w:lang w:val="sl-SI"/>
        </w:rPr>
        <w:t>S tem vodnikom za prijavitelje se izvaja naslednji ukrep:</w:t>
      </w:r>
    </w:p>
    <w:p w14:paraId="7D399B5B" w14:textId="77777777" w:rsidR="00E03711" w:rsidRPr="001048FE" w:rsidRDefault="00E03711" w:rsidP="005115F2">
      <w:pPr>
        <w:pStyle w:val="Guide-ListDash"/>
        <w:numPr>
          <w:ilvl w:val="0"/>
          <w:numId w:val="375"/>
        </w:numPr>
      </w:pPr>
      <w:r w:rsidRPr="00FC4A70">
        <w:rPr>
          <w:bdr w:val="nil"/>
        </w:rPr>
        <w:t>Projekti Dialog mladih</w:t>
      </w:r>
      <w:r w:rsidRPr="001048FE">
        <w:t>.</w:t>
      </w:r>
    </w:p>
    <w:p w14:paraId="7D399B5C" w14:textId="77777777" w:rsidR="00E03711" w:rsidRPr="001048FE" w:rsidRDefault="00E03711" w:rsidP="00A87E97">
      <w:pPr>
        <w:pStyle w:val="GUIDE-NORMAL"/>
        <w:rPr>
          <w:lang w:val="sl-SI"/>
        </w:rPr>
      </w:pPr>
      <w:r w:rsidRPr="001048FE">
        <w:rPr>
          <w:lang w:val="sl-SI"/>
        </w:rPr>
        <w:t>V tem delu B vodnika so navedene podrobne informacije o merilih in pravilih za dodelitev sredstev, ki veljajo za ta ukrep.</w:t>
      </w:r>
    </w:p>
    <w:p w14:paraId="7D399B5D" w14:textId="77777777" w:rsidR="00E03711" w:rsidRPr="001048FE" w:rsidRDefault="00E03711" w:rsidP="00A87E97">
      <w:pPr>
        <w:pStyle w:val="GUIDE-NORMAL"/>
        <w:rPr>
          <w:lang w:val="sl-SI"/>
        </w:rPr>
      </w:pPr>
      <w:r w:rsidRPr="001048FE">
        <w:rPr>
          <w:lang w:val="sl-SI"/>
        </w:rPr>
        <w:t>Poleg tega so v ključni ukrep 3 zajeti mnogi drugi ukrepi podpore za reformo politik na področju izobraževanja, usposabljanja in mladine, ki jih izvaja neposredno Evropska komisija ali pa se izvajajo s posebnimi razpisi za zbiranje predlogov, ki jih upravlja Izvajalska agencija. Več informacij je na voljo na spletiščih Evropske komisije, Izvajalske agencije in nacionalnih agencij. Ti ukrepi so podrobno opisani spodaj:</w:t>
      </w:r>
    </w:p>
    <w:p w14:paraId="7D399B5E" w14:textId="77777777" w:rsidR="00E03711" w:rsidRPr="001048FE" w:rsidRDefault="00E03711" w:rsidP="00A87E97">
      <w:pPr>
        <w:pStyle w:val="GUIDE-NORMAL"/>
        <w:rPr>
          <w:lang w:val="sl-SI"/>
        </w:rPr>
      </w:pPr>
      <w:r w:rsidRPr="001048FE">
        <w:rPr>
          <w:b/>
          <w:lang w:val="sl-SI"/>
        </w:rPr>
        <w:t>Znanje na področju izobraževanja, usposabljanja in mladine</w:t>
      </w:r>
      <w:r w:rsidRPr="001048FE">
        <w:rPr>
          <w:lang w:val="sl-SI"/>
        </w:rPr>
        <w:t>, ki vključuje zbiranje dokazov, analize in vzajemno učenje. Zlasti:</w:t>
      </w:r>
    </w:p>
    <w:p w14:paraId="7D399B5F" w14:textId="77777777" w:rsidR="00E03711" w:rsidRPr="001048FE" w:rsidRDefault="00E03711" w:rsidP="005115F2">
      <w:pPr>
        <w:pStyle w:val="Guide-NormalBulletpoints"/>
        <w:numPr>
          <w:ilvl w:val="0"/>
          <w:numId w:val="375"/>
        </w:numPr>
        <w:rPr>
          <w:lang w:val="sl-SI"/>
        </w:rPr>
      </w:pPr>
      <w:r w:rsidRPr="001048FE">
        <w:rPr>
          <w:lang w:val="sl-SI"/>
        </w:rPr>
        <w:t>tematsko in s posameznimi državami povezano strokovno znanje, študije o vprašanjih in reformah politik, vključno z aktivnostmi, ki jih izvaja omrežje Eurydice</w:t>
      </w:r>
      <w:r>
        <w:rPr>
          <w:lang w:val="sl-SI"/>
        </w:rPr>
        <w:t xml:space="preserve"> in korespondenti na platformi Youth Wiki</w:t>
      </w:r>
      <w:r w:rsidRPr="001048FE">
        <w:rPr>
          <w:lang w:val="sl-SI"/>
        </w:rPr>
        <w:t>;</w:t>
      </w:r>
    </w:p>
    <w:p w14:paraId="7D399B60" w14:textId="77777777" w:rsidR="00E03711" w:rsidRPr="001048FE" w:rsidRDefault="00E03711" w:rsidP="005115F2">
      <w:pPr>
        <w:pStyle w:val="Guide-NormalBulletpoints"/>
        <w:numPr>
          <w:ilvl w:val="0"/>
          <w:numId w:val="375"/>
        </w:numPr>
        <w:rPr>
          <w:lang w:val="sl-SI"/>
        </w:rPr>
      </w:pPr>
      <w:r w:rsidRPr="001048FE">
        <w:rPr>
          <w:lang w:val="sl-SI"/>
        </w:rPr>
        <w:t xml:space="preserve">podpora za udeležbo držav Erasmus+ v evropskih/mednarodnih anketah, katerih cilj je spremljanje posebnih trendov in razvoja, vključno z razvojem jezikovnih kompetenc v Evropi; </w:t>
      </w:r>
    </w:p>
    <w:p w14:paraId="7D399B61" w14:textId="77777777" w:rsidR="00E03711" w:rsidRPr="001048FE" w:rsidRDefault="00E03711" w:rsidP="005115F2">
      <w:pPr>
        <w:pStyle w:val="Guide-NormalBulletpoints"/>
        <w:numPr>
          <w:ilvl w:val="0"/>
          <w:numId w:val="375"/>
        </w:numPr>
        <w:rPr>
          <w:lang w:val="sl-SI"/>
        </w:rPr>
      </w:pPr>
      <w:r w:rsidRPr="001048FE">
        <w:rPr>
          <w:lang w:val="sl-SI"/>
        </w:rPr>
        <w:t>dogodki v okviru predsedovanja, konference in srečanja na visoki ravni;</w:t>
      </w:r>
    </w:p>
    <w:p w14:paraId="7D399B62" w14:textId="77777777" w:rsidR="00E03711" w:rsidRPr="001048FE" w:rsidRDefault="00E03711" w:rsidP="005115F2">
      <w:pPr>
        <w:pStyle w:val="Guide-NormalBulletpoints"/>
        <w:numPr>
          <w:ilvl w:val="0"/>
          <w:numId w:val="375"/>
        </w:numPr>
        <w:rPr>
          <w:lang w:val="sl-SI"/>
        </w:rPr>
      </w:pPr>
      <w:r w:rsidRPr="001048FE">
        <w:rPr>
          <w:lang w:val="sl-SI"/>
        </w:rPr>
        <w:t xml:space="preserve">izmenjave izkušenj in dobrih praks ter medsebojni strokovni pregledi; </w:t>
      </w:r>
    </w:p>
    <w:p w14:paraId="7D399B63" w14:textId="77777777" w:rsidR="00E03711" w:rsidRPr="001048FE" w:rsidRDefault="00E03711" w:rsidP="005115F2">
      <w:pPr>
        <w:pStyle w:val="Guide-NormalBulletpoints"/>
        <w:numPr>
          <w:ilvl w:val="0"/>
          <w:numId w:val="375"/>
        </w:numPr>
        <w:rPr>
          <w:lang w:val="sl-SI"/>
        </w:rPr>
      </w:pPr>
      <w:r w:rsidRPr="001048FE">
        <w:rPr>
          <w:lang w:val="sl-SI"/>
        </w:rPr>
        <w:t>podpora izvajanju odprtih metod koordinacije.</w:t>
      </w:r>
    </w:p>
    <w:p w14:paraId="7D399B64" w14:textId="77777777" w:rsidR="00E03711" w:rsidRPr="001048FE" w:rsidRDefault="00E03711" w:rsidP="00A87E97">
      <w:pPr>
        <w:pStyle w:val="GUIDE-NORMAL"/>
        <w:rPr>
          <w:lang w:val="sl-SI"/>
        </w:rPr>
      </w:pPr>
      <w:r w:rsidRPr="001048FE">
        <w:rPr>
          <w:b/>
          <w:lang w:val="sl-SI"/>
        </w:rPr>
        <w:t>Pobude za inovacije v politiki, n</w:t>
      </w:r>
      <w:r w:rsidRPr="001048FE">
        <w:rPr>
          <w:lang w:val="sl-SI"/>
        </w:rPr>
        <w:t>amenjene razvoju novih politik ali pripravi njihovega izvajanja. Vključujejo posebne razpise za zbiranje predlogov, ki jih upravlja Izvajalska agencija, za: a) eksperimentiranje na področju evropske politike pod vodstvom javnih organov na visoki ravni in z vključevanjem terenskih poskusov političnih ukrepov v več državah na podlagi dobrih metod ocenjevanja; b) v prihodnost usmerjene projekte sodelovanja za razvoj inovativnih politik.</w:t>
      </w:r>
    </w:p>
    <w:p w14:paraId="7D399B65" w14:textId="77777777" w:rsidR="00E03711" w:rsidRPr="001048FE" w:rsidRDefault="00E03711" w:rsidP="00A87E97">
      <w:pPr>
        <w:pStyle w:val="GUIDE-NORMAL"/>
        <w:rPr>
          <w:lang w:val="sl-SI"/>
        </w:rPr>
      </w:pPr>
      <w:r w:rsidRPr="001048FE">
        <w:rPr>
          <w:lang w:val="sl-SI"/>
        </w:rPr>
        <w:t>Podpora za orodja evropske politike, zlasti:</w:t>
      </w:r>
    </w:p>
    <w:p w14:paraId="7D399B66" w14:textId="77777777" w:rsidR="00E03711" w:rsidRPr="001048FE" w:rsidRDefault="00E03711" w:rsidP="005115F2">
      <w:pPr>
        <w:pStyle w:val="Guide-NormalBulletpoints"/>
        <w:numPr>
          <w:ilvl w:val="0"/>
          <w:numId w:val="376"/>
        </w:numPr>
        <w:rPr>
          <w:lang w:val="sl-SI"/>
        </w:rPr>
      </w:pPr>
      <w:r w:rsidRPr="001048FE">
        <w:rPr>
          <w:lang w:val="sl-SI"/>
        </w:rPr>
        <w:t>orodja za preglednost (spretnosti in kvalifikacije), da se olajšajo preglednost in priznavanje spretnosti in kvalifikacij ter prenos kreditnih točk, spodbuja zagotavljanje kakovosti ter podpira upravljanje spretnosti in usmerjanje. Ta ukrep bo vključeval tudi omrežja, ki zagotavljajo podporo izvajanju teh orodij;</w:t>
      </w:r>
    </w:p>
    <w:p w14:paraId="7D399B67" w14:textId="77777777" w:rsidR="00E03711" w:rsidRPr="001048FE" w:rsidRDefault="00E03711" w:rsidP="005115F2">
      <w:pPr>
        <w:pStyle w:val="Guide-NormalBulletpoints"/>
        <w:numPr>
          <w:ilvl w:val="0"/>
          <w:numId w:val="376"/>
        </w:numPr>
        <w:rPr>
          <w:lang w:val="sl-SI"/>
        </w:rPr>
      </w:pPr>
      <w:r w:rsidRPr="001048FE">
        <w:rPr>
          <w:lang w:val="sl-SI"/>
        </w:rPr>
        <w:t>obveščevalni podatki o spretnostih za razvoj in podporo evropskim orodjem, na primer evropski panorami spretnosti – spletna platforma;</w:t>
      </w:r>
    </w:p>
    <w:p w14:paraId="7D399B68" w14:textId="77777777" w:rsidR="00E03711" w:rsidRPr="001048FE" w:rsidRDefault="00E03711" w:rsidP="005115F2">
      <w:pPr>
        <w:pStyle w:val="Guide-NormalBulletpoints"/>
        <w:numPr>
          <w:ilvl w:val="0"/>
          <w:numId w:val="376"/>
        </w:numPr>
        <w:rPr>
          <w:lang w:val="sl-SI"/>
        </w:rPr>
      </w:pPr>
      <w:r w:rsidRPr="001048FE">
        <w:rPr>
          <w:lang w:val="sl-SI"/>
        </w:rPr>
        <w:t xml:space="preserve">omrežja, ki podpirajo posebna področja politik, na primer pismenost in učenje odraslih ter mladinsko delo in informacije o mladih (SALTO in Eurodesk); </w:t>
      </w:r>
    </w:p>
    <w:p w14:paraId="7D399B69" w14:textId="77777777" w:rsidR="00E03711" w:rsidRPr="001048FE" w:rsidRDefault="00E03711" w:rsidP="005115F2">
      <w:pPr>
        <w:pStyle w:val="Guide-NormalBulletpoints"/>
        <w:numPr>
          <w:ilvl w:val="0"/>
          <w:numId w:val="376"/>
        </w:numPr>
        <w:rPr>
          <w:lang w:val="sl-SI"/>
        </w:rPr>
      </w:pPr>
      <w:r w:rsidRPr="001048FE">
        <w:rPr>
          <w:lang w:val="sl-SI"/>
        </w:rPr>
        <w:t>namenska orodja za visokošolsko izobraževanje – razvoj orodij in podpora orodjem, kot so „U- Multirank“, podpora bolonjskemu procesu ali zunanji razsežnosti visokošolskega izobraževanja;</w:t>
      </w:r>
    </w:p>
    <w:p w14:paraId="7D399B6A" w14:textId="77777777" w:rsidR="00E03711" w:rsidRPr="001048FE" w:rsidRDefault="00E03711" w:rsidP="005115F2">
      <w:pPr>
        <w:pStyle w:val="Guide-NormalBulletpoints"/>
        <w:numPr>
          <w:ilvl w:val="0"/>
          <w:numId w:val="376"/>
        </w:numPr>
        <w:rPr>
          <w:lang w:val="sl-SI"/>
        </w:rPr>
      </w:pPr>
      <w:r w:rsidRPr="001048FE">
        <w:rPr>
          <w:lang w:val="sl-SI"/>
        </w:rPr>
        <w:t>nacionalne skupine strokovnjakov za reformo visokošolskega izobraževanja v državah v soseščini EU in državah širitve, tudi v Rusiji in Osrednji Aziji;</w:t>
      </w:r>
    </w:p>
    <w:p w14:paraId="7D399B6B" w14:textId="77777777" w:rsidR="00E03711" w:rsidRPr="001048FE" w:rsidRDefault="00E03711" w:rsidP="005115F2">
      <w:pPr>
        <w:pStyle w:val="Guide-NormalBulletpoints"/>
        <w:numPr>
          <w:ilvl w:val="0"/>
          <w:numId w:val="376"/>
        </w:numPr>
        <w:rPr>
          <w:lang w:val="sl-SI"/>
        </w:rPr>
      </w:pPr>
      <w:r w:rsidRPr="001048FE">
        <w:rPr>
          <w:lang w:val="sl-SI"/>
        </w:rPr>
        <w:t>namenska orodja PIU za izvajanje listine za mobilnost PIU, da se zviša raven kakovosti organizirane mobilnosti in podprejo nacionalni organi z zvezi z vajeništvi, da se okrepita kakovost in ponudba vajeništev po Evropi.</w:t>
      </w:r>
    </w:p>
    <w:p w14:paraId="7D399B6C" w14:textId="77777777" w:rsidR="00E03711" w:rsidRPr="001048FE" w:rsidRDefault="00E03711" w:rsidP="00A87E97">
      <w:pPr>
        <w:pStyle w:val="GUIDE-NORMAL"/>
        <w:rPr>
          <w:lang w:val="sl-SI"/>
        </w:rPr>
      </w:pPr>
      <w:r w:rsidRPr="001048FE">
        <w:rPr>
          <w:b/>
          <w:lang w:val="sl-SI"/>
        </w:rPr>
        <w:t>Sodelovanje z mednarodnimi organizacijami</w:t>
      </w:r>
      <w:r w:rsidRPr="001048FE">
        <w:rPr>
          <w:lang w:val="sl-SI"/>
        </w:rPr>
        <w:t>, Sodelovanje z mednarodnimi organizacijami, na primer OECD in Svetom Evrope. Tudi ta ukrep bo spodbujal dialog o politikah s partnerskimi državami in mednarodno privlačnost evropskega visokošolskega izobraževanja v svetu. Podpiral bo tudi omrežje strokovnjakov za reformo visokošolskega izobraževanja v sosedskih partnerskih državah EU in mednarodna združenja diplomantov.</w:t>
      </w:r>
    </w:p>
    <w:p w14:paraId="7D399B6D" w14:textId="77777777" w:rsidR="00E03711" w:rsidRPr="001048FE" w:rsidRDefault="00E03711" w:rsidP="008122BB">
      <w:pPr>
        <w:pStyle w:val="GUIDE-NORMAL"/>
        <w:rPr>
          <w:lang w:val="sl-SI"/>
        </w:rPr>
        <w:sectPr w:rsidR="00E03711" w:rsidRPr="001048FE" w:rsidSect="00E15ED3">
          <w:headerReference w:type="even" r:id="rId102"/>
          <w:headerReference w:type="default" r:id="rId103"/>
          <w:endnotePr>
            <w:numFmt w:val="decimal"/>
          </w:endnotePr>
          <w:pgSz w:w="11910" w:h="16840" w:code="9"/>
          <w:pgMar w:top="1134" w:right="1418" w:bottom="1134" w:left="1418" w:header="284" w:footer="567" w:gutter="0"/>
          <w:cols w:space="720"/>
          <w:docGrid w:linePitch="326"/>
        </w:sectPr>
      </w:pPr>
    </w:p>
    <w:p w14:paraId="7D399B6E" w14:textId="77777777" w:rsidR="00E03711" w:rsidRPr="001048FE" w:rsidRDefault="00E03711" w:rsidP="008122BB">
      <w:pPr>
        <w:pStyle w:val="GUIDE-NORMAL"/>
        <w:rPr>
          <w:lang w:val="sl-SI"/>
        </w:rPr>
      </w:pPr>
      <w:r w:rsidRPr="001048FE">
        <w:rPr>
          <w:lang w:val="sl-SI"/>
        </w:rPr>
        <w:t>Dialog z deležniki, spodbujanje politik in Programa, vključno z naslednjim:</w:t>
      </w:r>
    </w:p>
    <w:p w14:paraId="7D399B6F" w14:textId="77777777" w:rsidR="00E03711" w:rsidRPr="001048FE" w:rsidRDefault="00E03711" w:rsidP="005115F2">
      <w:pPr>
        <w:pStyle w:val="Guide-NormalBulletpoints"/>
        <w:numPr>
          <w:ilvl w:val="0"/>
          <w:numId w:val="377"/>
        </w:numPr>
        <w:rPr>
          <w:lang w:val="sl-SI"/>
        </w:rPr>
      </w:pPr>
      <w:r w:rsidRPr="001048FE">
        <w:rPr>
          <w:lang w:val="sl-SI"/>
        </w:rPr>
        <w:t>sodelovanje s civilno družbo za podporo evropskim nevladnim organizacijam in evropskim omrežjem na področju izobraževanja, usposabljanja in mladine s posebnimi razpisi za zbiranje predlogov, ki jih upravlja Izvajalska agencija;</w:t>
      </w:r>
    </w:p>
    <w:p w14:paraId="7D399B70" w14:textId="77777777" w:rsidR="00E03711" w:rsidRPr="001048FE" w:rsidRDefault="00E03711" w:rsidP="005115F2">
      <w:pPr>
        <w:pStyle w:val="Guide-NormalBulletpoints"/>
        <w:numPr>
          <w:ilvl w:val="0"/>
          <w:numId w:val="377"/>
        </w:numPr>
        <w:rPr>
          <w:lang w:val="sl-SI"/>
        </w:rPr>
      </w:pPr>
      <w:r w:rsidRPr="001048FE">
        <w:rPr>
          <w:lang w:val="sl-SI"/>
        </w:rPr>
        <w:t>javni dogodki, srečanja, razprave in posvetovanja z oblikovalci politik in deležniki o pomembnih vprašanjih politik (na primer forum o izobraževanju, usposabljanju in mladih ali evropski teden mladih);</w:t>
      </w:r>
    </w:p>
    <w:p w14:paraId="7D399B71" w14:textId="77777777" w:rsidR="00E03711" w:rsidRPr="001048FE" w:rsidRDefault="00E03711" w:rsidP="005115F2">
      <w:pPr>
        <w:pStyle w:val="Guide-NormalBulletpoints"/>
        <w:numPr>
          <w:ilvl w:val="0"/>
          <w:numId w:val="377"/>
        </w:numPr>
        <w:rPr>
          <w:lang w:val="sl-SI"/>
        </w:rPr>
      </w:pPr>
      <w:r w:rsidRPr="001048FE">
        <w:rPr>
          <w:lang w:val="sl-SI"/>
        </w:rPr>
        <w:t>dialog na področju mladine, vključno s podporo nacionalnim delovnim skupinam in srečanjem, ki spodbujajo dialog med mladimi in oblikovalci politik (glej poglavje v nadaljevanju);</w:t>
      </w:r>
    </w:p>
    <w:p w14:paraId="7D399B72" w14:textId="77777777" w:rsidR="00E03711" w:rsidRPr="001048FE" w:rsidRDefault="00E03711" w:rsidP="005115F2">
      <w:pPr>
        <w:pStyle w:val="Guide-NormalBulletpoints"/>
        <w:numPr>
          <w:ilvl w:val="0"/>
          <w:numId w:val="377"/>
        </w:numPr>
        <w:rPr>
          <w:lang w:val="sl-SI"/>
        </w:rPr>
      </w:pPr>
      <w:r w:rsidRPr="001048FE">
        <w:rPr>
          <w:lang w:val="sl-SI"/>
        </w:rPr>
        <w:t>aktivnosti ozaveščanja, obveščanja in razširjanja o rezultatih in prednostnih nalogah politik, programu Erasmus+ ter njegovih rezultatih in morebitnih sinergijah z drugimi programi EU, zlasti evropskimi strukturnimi in investicijskimi skladi.</w:t>
      </w:r>
    </w:p>
    <w:p w14:paraId="7D399B73" w14:textId="77777777" w:rsidR="00E03711" w:rsidRPr="001048FE" w:rsidRDefault="00E03711" w:rsidP="00A87E97">
      <w:pPr>
        <w:pStyle w:val="GUIDE-NORMAL"/>
        <w:rPr>
          <w:lang w:val="sl-SI"/>
        </w:rPr>
      </w:pPr>
      <w:r w:rsidRPr="001048FE">
        <w:rPr>
          <w:lang w:val="sl-SI"/>
        </w:rPr>
        <w:t>Cilj ukrepov, ki se bodo izvedli v okviru tega ključnega ukrepa, so:</w:t>
      </w:r>
    </w:p>
    <w:p w14:paraId="7D399B74" w14:textId="77777777" w:rsidR="00E03711" w:rsidRPr="001048FE" w:rsidRDefault="00E03711" w:rsidP="005115F2">
      <w:pPr>
        <w:pStyle w:val="Guide-NormalBulletpoints"/>
        <w:numPr>
          <w:ilvl w:val="0"/>
          <w:numId w:val="378"/>
        </w:numPr>
        <w:rPr>
          <w:lang w:val="sl-SI"/>
        </w:rPr>
      </w:pPr>
      <w:r w:rsidRPr="001048FE">
        <w:rPr>
          <w:lang w:val="sl-SI"/>
        </w:rPr>
        <w:t>izboljšati kakovost, učinkovitost in enakost sistemov na področju izobraževanja, usposabljanja in mladinskih politik z odprtimi metodami koordinacije.</w:t>
      </w:r>
    </w:p>
    <w:p w14:paraId="7D399B75" w14:textId="77777777" w:rsidR="00E03711" w:rsidRPr="001048FE" w:rsidRDefault="00E03711" w:rsidP="005115F2">
      <w:pPr>
        <w:pStyle w:val="Guide-NormalBulletpoints"/>
        <w:numPr>
          <w:ilvl w:val="0"/>
          <w:numId w:val="378"/>
        </w:numPr>
        <w:rPr>
          <w:lang w:val="sl-SI"/>
        </w:rPr>
      </w:pPr>
      <w:r w:rsidRPr="001048FE">
        <w:rPr>
          <w:lang w:val="sl-SI"/>
        </w:rPr>
        <w:t>podpirati izvajanje splošnih in s posameznimi državami povezanih priporočil na podlagi evropskih semestrov;</w:t>
      </w:r>
    </w:p>
    <w:p w14:paraId="7D399B76" w14:textId="77777777" w:rsidR="00E03711" w:rsidRPr="001048FE" w:rsidRDefault="00E03711" w:rsidP="005115F2">
      <w:pPr>
        <w:pStyle w:val="Guide-NormalBulletpoints"/>
        <w:numPr>
          <w:ilvl w:val="0"/>
          <w:numId w:val="378"/>
        </w:numPr>
        <w:rPr>
          <w:lang w:val="sl-SI"/>
        </w:rPr>
      </w:pPr>
      <w:r w:rsidRPr="001048FE">
        <w:rPr>
          <w:lang w:val="sl-SI"/>
        </w:rPr>
        <w:t>spodbujati mednarodno sodelovanje in vzajemno učenje med pristojnimi organi na najvišji politični ravni, da bi izboljšali sisteme, strukture in postopke;</w:t>
      </w:r>
    </w:p>
    <w:p w14:paraId="7D399B77" w14:textId="77777777" w:rsidR="00E03711" w:rsidRPr="001048FE" w:rsidRDefault="00E03711" w:rsidP="005115F2">
      <w:pPr>
        <w:pStyle w:val="Guide-NormalBulletpoints"/>
        <w:numPr>
          <w:ilvl w:val="0"/>
          <w:numId w:val="378"/>
        </w:numPr>
        <w:rPr>
          <w:lang w:val="sl-SI"/>
        </w:rPr>
      </w:pPr>
      <w:r w:rsidRPr="001048FE">
        <w:rPr>
          <w:lang w:val="sl-SI"/>
        </w:rPr>
        <w:t>razvijati znanje in analitično zmogljivost za podpiranje politik, ki temeljijo na dejstvih, v okviru strateškega okvira za evropsko sodelovanje v izobraževanju in usposabljanju (ET 2020), evropske strategije za mlade in posebnih evropskih programov, na primer bolonjskega in københavnskega procesa;</w:t>
      </w:r>
    </w:p>
    <w:p w14:paraId="7D399B78" w14:textId="77777777" w:rsidR="00E03711" w:rsidRPr="001048FE" w:rsidRDefault="00E03711" w:rsidP="005115F2">
      <w:pPr>
        <w:pStyle w:val="Guide-NormalBulletpoints"/>
        <w:numPr>
          <w:ilvl w:val="0"/>
          <w:numId w:val="378"/>
        </w:numPr>
        <w:rPr>
          <w:lang w:val="sl-SI"/>
        </w:rPr>
      </w:pPr>
      <w:r w:rsidRPr="001048FE">
        <w:rPr>
          <w:lang w:val="sl-SI"/>
        </w:rPr>
        <w:t>omogočiti dostop do zanesljivih primerljivih mednarodnih podatkov in ustreznih sekundarnih analiz za evropsko in nacionalno oblikovanje politik, da se olajšata zbiranje in analiza vsebinskih dokazov za ocenjevanje in spremljanje izvajanja inovativnih politik ter spodbujanje prenosa in nadgradljivosti;</w:t>
      </w:r>
    </w:p>
    <w:p w14:paraId="7D399B79" w14:textId="77777777" w:rsidR="00E03711" w:rsidRPr="001048FE" w:rsidRDefault="00E03711" w:rsidP="005115F2">
      <w:pPr>
        <w:pStyle w:val="Guide-NormalBulletpoints"/>
        <w:numPr>
          <w:ilvl w:val="0"/>
          <w:numId w:val="378"/>
        </w:numPr>
        <w:rPr>
          <w:lang w:val="sl-SI"/>
        </w:rPr>
      </w:pPr>
      <w:r w:rsidRPr="001048FE">
        <w:rPr>
          <w:lang w:val="sl-SI"/>
        </w:rPr>
        <w:t>podpirati evropska omrežja in izvajati orodja, ki spodbujajo preglednost in priznavanje spretnosti in kvalifikacij, pridobljenih s formalnim, neformalnim in priložnostnim učenjem, ter s tem utirati pot evropskemu prostoru spretnosti in kvalifikacij;</w:t>
      </w:r>
    </w:p>
    <w:p w14:paraId="7D399B7A" w14:textId="77777777" w:rsidR="00E03711" w:rsidRDefault="00E03711" w:rsidP="005115F2">
      <w:pPr>
        <w:pStyle w:val="Guide-NormalBulletpoints"/>
        <w:numPr>
          <w:ilvl w:val="0"/>
          <w:numId w:val="378"/>
        </w:numPr>
        <w:rPr>
          <w:lang w:val="sl-SI"/>
        </w:rPr>
      </w:pPr>
      <w:r w:rsidRPr="001048FE">
        <w:rPr>
          <w:lang w:val="sl-SI"/>
        </w:rPr>
        <w:t xml:space="preserve">podpirati aktivno udeležbo omrežij civilne družbe in nevladnih organizacij pri izvajanju politik; </w:t>
      </w:r>
    </w:p>
    <w:p w14:paraId="7D399B7B" w14:textId="77777777" w:rsidR="00E03711" w:rsidRPr="001048FE" w:rsidRDefault="00E03711" w:rsidP="005115F2">
      <w:pPr>
        <w:pStyle w:val="Guide-NormalBulletpoints"/>
        <w:numPr>
          <w:ilvl w:val="0"/>
          <w:numId w:val="378"/>
        </w:numPr>
        <w:rPr>
          <w:lang w:val="sl-SI"/>
        </w:rPr>
      </w:pPr>
      <w:r w:rsidRPr="001048FE">
        <w:rPr>
          <w:lang w:val="sl-SI"/>
        </w:rPr>
        <w:t xml:space="preserve">podpirati </w:t>
      </w:r>
      <w:r>
        <w:rPr>
          <w:lang w:val="sl-SI"/>
        </w:rPr>
        <w:t xml:space="preserve">mehanizme </w:t>
      </w:r>
      <w:r w:rsidRPr="001048FE">
        <w:rPr>
          <w:lang w:val="sl-SI"/>
        </w:rPr>
        <w:t>dialog</w:t>
      </w:r>
      <w:r>
        <w:rPr>
          <w:lang w:val="sl-SI"/>
        </w:rPr>
        <w:t>a</w:t>
      </w:r>
      <w:r w:rsidRPr="001048FE">
        <w:rPr>
          <w:lang w:val="sl-SI"/>
        </w:rPr>
        <w:t xml:space="preserve"> z mladimi in spodbujati njihovo aktivno udeležbo v demokratičnem življenju;</w:t>
      </w:r>
    </w:p>
    <w:p w14:paraId="7D399B7C" w14:textId="77777777" w:rsidR="00E03711" w:rsidRPr="001048FE" w:rsidRDefault="00E03711" w:rsidP="005115F2">
      <w:pPr>
        <w:pStyle w:val="Guide-NormalBulletpoints"/>
        <w:numPr>
          <w:ilvl w:val="0"/>
          <w:numId w:val="378"/>
        </w:numPr>
        <w:rPr>
          <w:lang w:val="sl-SI"/>
        </w:rPr>
      </w:pPr>
      <w:r w:rsidRPr="001048FE">
        <w:rPr>
          <w:lang w:val="sl-SI"/>
        </w:rPr>
        <w:t>podpirati izmenjave dobrih praks, dialog, vzajemno učenje in sodelovanje med oblikovalci politik, delavci in deležniki iz držav Programa in partnerskih držav;</w:t>
      </w:r>
    </w:p>
    <w:p w14:paraId="7D399B7D" w14:textId="77777777" w:rsidR="00E03711" w:rsidRPr="001048FE" w:rsidRDefault="00E03711" w:rsidP="005115F2">
      <w:pPr>
        <w:pStyle w:val="Guide-NormalBulletpoints"/>
        <w:numPr>
          <w:ilvl w:val="0"/>
          <w:numId w:val="378"/>
        </w:numPr>
        <w:rPr>
          <w:lang w:val="sl-SI"/>
        </w:rPr>
      </w:pPr>
      <w:r w:rsidRPr="001048FE">
        <w:rPr>
          <w:lang w:val="sl-SI"/>
        </w:rPr>
        <w:t>ozaveščati o rezultatih evropskih politik in programa Erasmus+ ter omogočati njihovo uporabo na lokalni, regionalni in nacionalni ravni. Okrepiti prepoznavnost in privlačnost evropskega visokošolskega izobraževanja po vsem svetu;</w:t>
      </w:r>
    </w:p>
    <w:p w14:paraId="7D399B7E" w14:textId="77777777" w:rsidR="00E03711" w:rsidRPr="001048FE" w:rsidRDefault="00E03711" w:rsidP="005115F2">
      <w:pPr>
        <w:pStyle w:val="Guide-NormalBulletpoints"/>
        <w:numPr>
          <w:ilvl w:val="0"/>
          <w:numId w:val="378"/>
        </w:numPr>
        <w:rPr>
          <w:lang w:val="sl-SI"/>
        </w:rPr>
      </w:pPr>
      <w:r w:rsidRPr="001048FE">
        <w:rPr>
          <w:lang w:val="sl-SI"/>
        </w:rPr>
        <w:t>spodbujati sinergije z drugimi programi EU, na primer evropskimi strukturnimi in investicijskimi skladi, ter drugimi programi financiranja na nacionalni ali regionalni ravni.</w:t>
      </w:r>
    </w:p>
    <w:p w14:paraId="7D399B7F" w14:textId="77777777" w:rsidR="00E03711" w:rsidRDefault="00E03711">
      <w:pPr>
        <w:widowControl/>
        <w:suppressAutoHyphens w:val="0"/>
        <w:autoSpaceDN/>
        <w:textAlignment w:val="auto"/>
        <w:rPr>
          <w:lang w:val="sl-SI"/>
        </w:rPr>
        <w:sectPr w:rsidR="00E03711" w:rsidSect="00E15ED3">
          <w:headerReference w:type="even" r:id="rId104"/>
          <w:headerReference w:type="default" r:id="rId105"/>
          <w:endnotePr>
            <w:numFmt w:val="decimal"/>
          </w:endnotePr>
          <w:pgSz w:w="11910" w:h="16840" w:code="9"/>
          <w:pgMar w:top="1134" w:right="1418" w:bottom="1134" w:left="1418" w:header="284" w:footer="567" w:gutter="0"/>
          <w:cols w:space="720"/>
          <w:docGrid w:linePitch="326"/>
        </w:sectPr>
      </w:pPr>
      <w:bookmarkStart w:id="268" w:name="Dialogue_structuré:_rencontres_entre_les"/>
      <w:bookmarkStart w:id="269" w:name="_bookmark46"/>
      <w:bookmarkEnd w:id="268"/>
      <w:bookmarkEnd w:id="269"/>
    </w:p>
    <w:p w14:paraId="7D399B80" w14:textId="77777777" w:rsidR="00E03711" w:rsidRDefault="00E03711">
      <w:pPr>
        <w:pStyle w:val="Guide-Heading4TOC"/>
        <w:rPr>
          <w:lang w:val="sl-SI"/>
        </w:rPr>
      </w:pPr>
      <w:bookmarkStart w:id="270" w:name="_Toc520804821"/>
      <w:bookmarkStart w:id="271" w:name="_Toc527401164"/>
      <w:r w:rsidRPr="00FC4A70">
        <w:rPr>
          <w:rFonts w:eastAsia="Calibri" w:cs="Calibri"/>
          <w:bCs/>
          <w:szCs w:val="28"/>
          <w:bdr w:val="nil"/>
          <w:lang w:val="sl-SI"/>
        </w:rPr>
        <w:t>Projekti Dialog mladih</w:t>
      </w:r>
      <w:bookmarkEnd w:id="270"/>
      <w:bookmarkEnd w:id="271"/>
      <w:r w:rsidRPr="00FC4A70">
        <w:rPr>
          <w:rFonts w:eastAsia="Calibri" w:cs="Calibri"/>
          <w:bCs/>
          <w:szCs w:val="28"/>
          <w:bdr w:val="nil"/>
          <w:lang w:val="sl-SI"/>
        </w:rPr>
        <w:t xml:space="preserve"> </w:t>
      </w:r>
    </w:p>
    <w:p w14:paraId="7D399B81" w14:textId="77777777" w:rsidR="00E03711" w:rsidRPr="00FC4A70" w:rsidRDefault="00E03711" w:rsidP="00A3061C">
      <w:pPr>
        <w:pStyle w:val="Guide-Heading5"/>
        <w:rPr>
          <w:lang w:val="sl-SI"/>
        </w:rPr>
      </w:pPr>
      <w:r w:rsidRPr="00FC4A70">
        <w:rPr>
          <w:rFonts w:eastAsia="Calibri" w:cs="Calibri"/>
          <w:bCs/>
          <w:szCs w:val="22"/>
          <w:bdr w:val="nil"/>
          <w:lang w:val="sl-SI"/>
        </w:rPr>
        <w:t xml:space="preserve">Kaj je cilj tega ukrepa? </w:t>
      </w:r>
    </w:p>
    <w:p w14:paraId="7D399B82" w14:textId="77777777" w:rsidR="00E03711" w:rsidRDefault="00E03711" w:rsidP="00A3061C">
      <w:pPr>
        <w:pStyle w:val="Guide-Normal0"/>
        <w:rPr>
          <w:rFonts w:eastAsia="Calibri" w:cs="Calibri"/>
          <w:kern w:val="3"/>
          <w:sz w:val="18"/>
          <w:szCs w:val="18"/>
          <w:bdr w:val="nil"/>
          <w:shd w:val="clear" w:color="auto" w:fill="FFFFFF"/>
          <w:lang w:val="sl-SI"/>
        </w:rPr>
      </w:pPr>
      <w:r w:rsidRPr="00FC4A70">
        <w:rPr>
          <w:rFonts w:eastAsia="Calibri" w:cs="Calibri"/>
          <w:kern w:val="3"/>
          <w:sz w:val="18"/>
          <w:szCs w:val="18"/>
          <w:bdr w:val="nil"/>
          <w:shd w:val="clear" w:color="auto" w:fill="FFFFFF"/>
          <w:lang w:val="sl-SI"/>
        </w:rPr>
        <w:t>Ta ukrep spodbuja aktivno udeležbo mladih v demokratičnem življenju in razpravo, usmerjeno v teme in prednostne naloge, ki so bile opredeljene v strategiji EU za mlade</w:t>
      </w:r>
      <w:r>
        <w:rPr>
          <w:rFonts w:eastAsia="Calibri" w:cs="Calibri"/>
          <w:kern w:val="3"/>
          <w:sz w:val="18"/>
          <w:szCs w:val="18"/>
          <w:bdr w:val="nil"/>
          <w:shd w:val="clear" w:color="auto" w:fill="FFFFFF"/>
          <w:lang w:val="sl-SI"/>
        </w:rPr>
        <w:t>, zlasti v zvezi s cilji za mladino,</w:t>
      </w:r>
      <w:r w:rsidRPr="00FC4A70">
        <w:rPr>
          <w:rFonts w:eastAsia="Calibri" w:cs="Calibri"/>
          <w:kern w:val="3"/>
          <w:sz w:val="18"/>
          <w:szCs w:val="18"/>
          <w:bdr w:val="nil"/>
          <w:shd w:val="clear" w:color="auto" w:fill="FFFFFF"/>
          <w:lang w:val="sl-SI"/>
        </w:rPr>
        <w:t xml:space="preserve"> in njenih mehanizmih dialoga. Mehanizmi dialoga </w:t>
      </w:r>
      <w:r w:rsidRPr="00FC4A70">
        <w:rPr>
          <w:rStyle w:val="FootnoteReference"/>
        </w:rPr>
        <w:footnoteReference w:id="230"/>
      </w:r>
      <w:r w:rsidRPr="00FC4A70">
        <w:rPr>
          <w:rFonts w:eastAsia="Calibri" w:cs="Calibri"/>
          <w:kern w:val="3"/>
          <w:sz w:val="18"/>
          <w:szCs w:val="18"/>
          <w:bdr w:val="nil"/>
          <w:shd w:val="clear" w:color="auto" w:fill="FFFFFF"/>
          <w:lang w:val="sl-SI"/>
        </w:rPr>
        <w:t>so strukturirani okoli prednostih nalog in časovnega razporeda ter predvidevajo dogodke, na katerih mladi razpravljajo o dogovorjenih temah med seboj ter z oblikovalci politik, strokovnjaki na področju mladine in predstavniki javnih organov, ki so odgovorni za področje mladine, da se pridobi rezultate, ki so uporabni pri oblikovanju politik.</w:t>
      </w:r>
    </w:p>
    <w:p w14:paraId="7D399B83" w14:textId="77777777" w:rsidR="00E03711" w:rsidRPr="00FC4A70" w:rsidRDefault="00E03711" w:rsidP="00A3061C">
      <w:pPr>
        <w:pStyle w:val="Guide-Normal0"/>
        <w:rPr>
          <w:vanish/>
          <w:lang w:val="sl-SI"/>
        </w:rPr>
      </w:pPr>
      <w:r w:rsidRPr="00A3061C">
        <w:rPr>
          <w:rFonts w:eastAsia="Calibri" w:cs="Calibri"/>
          <w:vanish/>
          <w:kern w:val="3"/>
          <w:sz w:val="18"/>
          <w:szCs w:val="18"/>
          <w:bdr w:val="nil"/>
          <w:shd w:val="clear" w:color="auto" w:fill="FFFFFF"/>
          <w:lang w:val="sl-SI"/>
        </w:rPr>
        <w:t xml:space="preserve"> </w:t>
      </w:r>
    </w:p>
    <w:p w14:paraId="7D399B84" w14:textId="77777777" w:rsidR="00E03711" w:rsidRDefault="00E03711" w:rsidP="00A3061C">
      <w:pPr>
        <w:pStyle w:val="Guide-Heading5"/>
        <w:rPr>
          <w:rFonts w:eastAsia="Calibri" w:cs="Calibri"/>
          <w:bCs/>
          <w:szCs w:val="22"/>
          <w:bdr w:val="nil"/>
          <w:lang w:val="sl-SI"/>
        </w:rPr>
      </w:pPr>
      <w:r w:rsidRPr="00FC4A70">
        <w:rPr>
          <w:rFonts w:eastAsia="Calibri" w:cs="Calibri"/>
          <w:bCs/>
          <w:szCs w:val="22"/>
          <w:bdr w:val="nil"/>
          <w:lang w:val="sl-SI"/>
        </w:rPr>
        <w:t>Kaj so projekti Dialog mladih?</w:t>
      </w:r>
    </w:p>
    <w:p w14:paraId="7D399B85" w14:textId="77777777" w:rsidR="00E03711" w:rsidRPr="001048FE" w:rsidRDefault="00E03711" w:rsidP="002A6038">
      <w:pPr>
        <w:pStyle w:val="GUIDE-NORMAL"/>
        <w:rPr>
          <w:lang w:val="sl-SI"/>
        </w:rPr>
      </w:pPr>
      <w:r w:rsidRPr="001048FE">
        <w:rPr>
          <w:lang w:val="sl-SI"/>
        </w:rPr>
        <w:t xml:space="preserve">Projekti dialoga </w:t>
      </w:r>
      <w:r>
        <w:rPr>
          <w:lang w:val="sl-SI"/>
        </w:rPr>
        <w:t xml:space="preserve">mladih </w:t>
      </w:r>
      <w:r w:rsidRPr="001048FE">
        <w:rPr>
          <w:lang w:val="sl-SI"/>
        </w:rPr>
        <w:t>se lahko izvedejo v obliki srečanj, konferenc, posvetovanj in dogodkov. Ti dogodki spodbujajo aktivno udeležbo mladih v demokratičnem življenju v Evropi in njihovo sodelovanje z oblikovalci politik. Konkretni rezultat teh dogodkov je, da se sliši glas mladih (z oblikovanjem mnenj, predlogov in priporočil) o tem, kako bi bilo treba oblikovati in izvajati mladinske politike v Evropi.</w:t>
      </w:r>
    </w:p>
    <w:p w14:paraId="7D399B86" w14:textId="77777777" w:rsidR="00E03711" w:rsidRPr="001048FE" w:rsidRDefault="00E03711" w:rsidP="002A6038">
      <w:pPr>
        <w:pStyle w:val="GUIDE-NORMAL"/>
        <w:rPr>
          <w:lang w:val="sl-SI"/>
        </w:rPr>
      </w:pPr>
      <w:r w:rsidRPr="001048FE">
        <w:rPr>
          <w:lang w:val="sl-SI"/>
        </w:rPr>
        <w:t>Projekt dialoga</w:t>
      </w:r>
      <w:r>
        <w:rPr>
          <w:lang w:val="sl-SI"/>
        </w:rPr>
        <w:t xml:space="preserve"> mladih</w:t>
      </w:r>
      <w:r w:rsidRPr="001048FE">
        <w:rPr>
          <w:lang w:val="sl-SI"/>
        </w:rPr>
        <w:t xml:space="preserve"> zajema tri faze:</w:t>
      </w:r>
    </w:p>
    <w:p w14:paraId="7D399B87" w14:textId="77777777" w:rsidR="00E03711" w:rsidRPr="001048FE" w:rsidRDefault="00E03711" w:rsidP="005115F2">
      <w:pPr>
        <w:pStyle w:val="Guide-NormalBulletpoints"/>
        <w:numPr>
          <w:ilvl w:val="0"/>
          <w:numId w:val="379"/>
        </w:numPr>
        <w:rPr>
          <w:lang w:val="sl-SI"/>
        </w:rPr>
      </w:pPr>
      <w:r w:rsidRPr="001048FE">
        <w:rPr>
          <w:lang w:val="sl-SI"/>
        </w:rPr>
        <w:t>načrtovanje in priprava,</w:t>
      </w:r>
    </w:p>
    <w:p w14:paraId="7D399B88" w14:textId="77777777" w:rsidR="00E03711" w:rsidRPr="001048FE" w:rsidRDefault="00E03711" w:rsidP="005115F2">
      <w:pPr>
        <w:pStyle w:val="Guide-NormalBulletpoints"/>
        <w:numPr>
          <w:ilvl w:val="0"/>
          <w:numId w:val="379"/>
        </w:numPr>
        <w:rPr>
          <w:lang w:val="sl-SI"/>
        </w:rPr>
      </w:pPr>
      <w:r w:rsidRPr="001048FE">
        <w:rPr>
          <w:lang w:val="sl-SI"/>
        </w:rPr>
        <w:t>izvajanje aktivnosti,</w:t>
      </w:r>
    </w:p>
    <w:p w14:paraId="7D399B89" w14:textId="77777777" w:rsidR="00E03711" w:rsidRPr="001048FE" w:rsidRDefault="00E03711" w:rsidP="005115F2">
      <w:pPr>
        <w:pStyle w:val="Guide-NormalBulletpoints"/>
        <w:numPr>
          <w:ilvl w:val="0"/>
          <w:numId w:val="379"/>
        </w:numPr>
        <w:rPr>
          <w:lang w:val="sl-SI"/>
        </w:rPr>
      </w:pPr>
      <w:r w:rsidRPr="001048FE">
        <w:rPr>
          <w:lang w:val="sl-SI"/>
        </w:rPr>
        <w:t>ocenjevanje (vključno s premislekom o morebitnem nadaljnjem spremljanju).</w:t>
      </w:r>
    </w:p>
    <w:p w14:paraId="7D399B8A" w14:textId="77777777" w:rsidR="00E03711" w:rsidRPr="001048FE" w:rsidRDefault="00E03711" w:rsidP="005041C6">
      <w:pPr>
        <w:pStyle w:val="Guide-Heading5"/>
        <w:rPr>
          <w:lang w:val="sl-SI"/>
        </w:rPr>
      </w:pPr>
      <w:r w:rsidRPr="001048FE">
        <w:rPr>
          <w:lang w:val="sl-SI"/>
        </w:rPr>
        <w:t>Katere aktivnosti so podprte v okviru tega ukrepa?</w:t>
      </w:r>
    </w:p>
    <w:p w14:paraId="7D399B8B" w14:textId="77777777" w:rsidR="00E03711" w:rsidRPr="001048FE" w:rsidRDefault="00E03711" w:rsidP="002A6038">
      <w:pPr>
        <w:pStyle w:val="GUIDE-NORMAL"/>
        <w:rPr>
          <w:lang w:val="sl-SI"/>
        </w:rPr>
      </w:pPr>
      <w:r w:rsidRPr="001048FE">
        <w:rPr>
          <w:lang w:val="sl-SI"/>
        </w:rPr>
        <w:t>V okviru tega ukrepa lahko projekt zajema eno ali več naslednjih aktivnosti: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03711" w:rsidRPr="00C60205" w14:paraId="7D399B92" w14:textId="77777777" w:rsidTr="00237696">
        <w:trPr>
          <w:trHeight w:val="3188"/>
        </w:trPr>
        <w:tc>
          <w:tcPr>
            <w:tcW w:w="9064" w:type="dxa"/>
            <w:shd w:val="clear" w:color="auto" w:fill="auto"/>
          </w:tcPr>
          <w:p w14:paraId="7D399B8C" w14:textId="77777777" w:rsidR="00E03711" w:rsidRPr="00237696" w:rsidRDefault="00E03711" w:rsidP="005115F2">
            <w:pPr>
              <w:pStyle w:val="Guide-NormalBulletpoints"/>
              <w:numPr>
                <w:ilvl w:val="0"/>
                <w:numId w:val="380"/>
              </w:numPr>
              <w:spacing w:before="60"/>
              <w:rPr>
                <w:rFonts w:cs="Times New Roman"/>
                <w:lang w:val="sl-SI"/>
              </w:rPr>
            </w:pPr>
            <w:r w:rsidRPr="00237696">
              <w:rPr>
                <w:rFonts w:cs="Times New Roman"/>
                <w:lang w:val="sl-SI"/>
              </w:rPr>
              <w:t>nacionalna srečanja in mednarodne seminarje, ki ponujajo prostor za informacije, razpravo in aktivno udeležbo mladih – v dialogu z oblikovalci politik na področju mladine – glede vprašanj, ki so pomembna za strategijo EU za mlade</w:t>
            </w:r>
            <w:r>
              <w:rPr>
                <w:rFonts w:cs="Times New Roman"/>
                <w:lang w:val="sl-SI"/>
              </w:rPr>
              <w:t xml:space="preserve"> in mehanizme dialoga</w:t>
            </w:r>
            <w:r w:rsidRPr="00237696">
              <w:rPr>
                <w:rFonts w:cs="Times New Roman"/>
                <w:lang w:val="sl-SI"/>
              </w:rPr>
              <w:t>;</w:t>
            </w:r>
          </w:p>
          <w:p w14:paraId="7D399B8D" w14:textId="77777777" w:rsidR="00E03711" w:rsidRPr="00237696" w:rsidRDefault="00E03711" w:rsidP="005115F2">
            <w:pPr>
              <w:pStyle w:val="Guide-NormalBulletpoints"/>
              <w:numPr>
                <w:ilvl w:val="0"/>
                <w:numId w:val="380"/>
              </w:numPr>
              <w:spacing w:before="60"/>
              <w:rPr>
                <w:rFonts w:cs="Times New Roman"/>
                <w:lang w:val="sl-SI"/>
              </w:rPr>
            </w:pPr>
            <w:r w:rsidRPr="00237696">
              <w:rPr>
                <w:rFonts w:cs="Times New Roman"/>
                <w:lang w:val="sl-SI"/>
              </w:rPr>
              <w:t>nacionalna srečanja in mednarodne seminarje, ki pripravijo podlago za uradne konference o mladih, ki jih vsak semester organizira država članica, ki trenutno predseduje Evropski uniji;</w:t>
            </w:r>
          </w:p>
          <w:p w14:paraId="7D399B8E" w14:textId="77777777" w:rsidR="00E03711" w:rsidRPr="00237696" w:rsidRDefault="00E03711" w:rsidP="005115F2">
            <w:pPr>
              <w:pStyle w:val="Guide-NormalBulletpoints"/>
              <w:numPr>
                <w:ilvl w:val="0"/>
                <w:numId w:val="380"/>
              </w:numPr>
              <w:spacing w:before="60"/>
              <w:rPr>
                <w:rFonts w:cs="Times New Roman"/>
                <w:lang w:val="sl-SI"/>
              </w:rPr>
            </w:pPr>
            <w:r w:rsidRPr="00237696">
              <w:rPr>
                <w:rFonts w:cs="Times New Roman"/>
                <w:lang w:val="sl-SI"/>
              </w:rPr>
              <w:t xml:space="preserve">dogodki, ki spodbujajo razprave in obveščanje o temah glede mladinskih politik, povezanih z aktivnostmi, ki so organizirane med evropskim tednom mladih; </w:t>
            </w:r>
          </w:p>
          <w:p w14:paraId="7D399B8F" w14:textId="77777777" w:rsidR="00E03711" w:rsidRPr="00237696" w:rsidRDefault="00E03711" w:rsidP="005115F2">
            <w:pPr>
              <w:pStyle w:val="Guide-NormalBulletpoints"/>
              <w:numPr>
                <w:ilvl w:val="0"/>
                <w:numId w:val="380"/>
              </w:numPr>
              <w:spacing w:before="60"/>
              <w:rPr>
                <w:rFonts w:cs="Times New Roman"/>
                <w:lang w:val="sl-SI"/>
              </w:rPr>
            </w:pPr>
            <w:r w:rsidRPr="00237696">
              <w:rPr>
                <w:rFonts w:cs="Times New Roman"/>
                <w:lang w:val="sl-SI"/>
              </w:rPr>
              <w:t>posvetovanja z mladimi za proučitev njihovih potreb glede zadev, povezanih z udeležbo</w:t>
            </w:r>
            <w:r w:rsidRPr="00237696">
              <w:rPr>
                <w:rFonts w:cs="Times New Roman"/>
                <w:spacing w:val="-26"/>
                <w:lang w:val="sl-SI"/>
              </w:rPr>
              <w:t xml:space="preserve"> </w:t>
            </w:r>
            <w:r w:rsidRPr="00237696">
              <w:rPr>
                <w:rFonts w:cs="Times New Roman"/>
                <w:lang w:val="sl-SI"/>
              </w:rPr>
              <w:t>v</w:t>
            </w:r>
            <w:r w:rsidRPr="00237696">
              <w:rPr>
                <w:rFonts w:cs="Times New Roman"/>
                <w:spacing w:val="-26"/>
                <w:lang w:val="sl-SI"/>
              </w:rPr>
              <w:t xml:space="preserve"> </w:t>
            </w:r>
            <w:r w:rsidRPr="00237696">
              <w:rPr>
                <w:rFonts w:cs="Times New Roman"/>
                <w:lang w:val="sl-SI"/>
              </w:rPr>
              <w:t>demokratičnem</w:t>
            </w:r>
            <w:r w:rsidRPr="00237696">
              <w:rPr>
                <w:rFonts w:cs="Times New Roman"/>
                <w:spacing w:val="-26"/>
                <w:lang w:val="sl-SI"/>
              </w:rPr>
              <w:t xml:space="preserve"> </w:t>
            </w:r>
            <w:r w:rsidRPr="00237696">
              <w:rPr>
                <w:rFonts w:cs="Times New Roman"/>
                <w:lang w:val="sl-SI"/>
              </w:rPr>
              <w:t>življenju</w:t>
            </w:r>
            <w:r w:rsidRPr="00237696">
              <w:rPr>
                <w:rFonts w:cs="Times New Roman"/>
                <w:spacing w:val="-26"/>
                <w:lang w:val="sl-SI"/>
              </w:rPr>
              <w:t xml:space="preserve"> </w:t>
            </w:r>
            <w:r w:rsidRPr="00237696">
              <w:rPr>
                <w:rFonts w:cs="Times New Roman"/>
                <w:lang w:val="sl-SI"/>
              </w:rPr>
              <w:t>(spletna</w:t>
            </w:r>
            <w:r w:rsidRPr="00237696">
              <w:rPr>
                <w:rFonts w:cs="Times New Roman"/>
                <w:spacing w:val="-26"/>
                <w:lang w:val="sl-SI"/>
              </w:rPr>
              <w:t xml:space="preserve"> </w:t>
            </w:r>
            <w:r w:rsidRPr="00237696">
              <w:rPr>
                <w:rFonts w:cs="Times New Roman"/>
                <w:lang w:val="sl-SI"/>
              </w:rPr>
              <w:t>posvetovanja,</w:t>
            </w:r>
            <w:r w:rsidRPr="00237696">
              <w:rPr>
                <w:rFonts w:cs="Times New Roman"/>
                <w:spacing w:val="-26"/>
                <w:lang w:val="sl-SI"/>
              </w:rPr>
              <w:t xml:space="preserve"> </w:t>
            </w:r>
            <w:r w:rsidRPr="00237696">
              <w:rPr>
                <w:rFonts w:cs="Times New Roman"/>
                <w:lang w:val="sl-SI"/>
              </w:rPr>
              <w:t>javnomnenjske raziskave</w:t>
            </w:r>
            <w:r w:rsidRPr="00237696">
              <w:rPr>
                <w:rFonts w:cs="Times New Roman"/>
                <w:spacing w:val="-3"/>
                <w:lang w:val="sl-SI"/>
              </w:rPr>
              <w:t xml:space="preserve"> </w:t>
            </w:r>
            <w:r w:rsidRPr="00237696">
              <w:rPr>
                <w:rFonts w:cs="Times New Roman"/>
                <w:lang w:val="sl-SI"/>
              </w:rPr>
              <w:t>itd.);</w:t>
            </w:r>
          </w:p>
          <w:p w14:paraId="7D399B90" w14:textId="77777777" w:rsidR="00E03711" w:rsidRPr="00237696" w:rsidRDefault="00E03711" w:rsidP="005115F2">
            <w:pPr>
              <w:pStyle w:val="Guide-NormalBulletpoints"/>
              <w:numPr>
                <w:ilvl w:val="0"/>
                <w:numId w:val="380"/>
              </w:numPr>
              <w:spacing w:before="60"/>
              <w:rPr>
                <w:rFonts w:cs="Times New Roman"/>
                <w:lang w:val="sl-SI"/>
              </w:rPr>
            </w:pPr>
            <w:r w:rsidRPr="00237696">
              <w:rPr>
                <w:rFonts w:cs="Times New Roman"/>
                <w:lang w:val="sl-SI"/>
              </w:rPr>
              <w:t>srečanja in seminarji, informativni dogodki ali razprave med mladimi in oblikovalci politik/strokovnjaki na področju mladine o temi udeležbe v demokratičnem življenju;</w:t>
            </w:r>
          </w:p>
          <w:p w14:paraId="7D399B91" w14:textId="77777777" w:rsidR="00E03711" w:rsidRPr="00237696" w:rsidRDefault="00E03711" w:rsidP="005115F2">
            <w:pPr>
              <w:pStyle w:val="Guide-NormalBulletpoints"/>
              <w:numPr>
                <w:ilvl w:val="0"/>
                <w:numId w:val="380"/>
              </w:numPr>
              <w:spacing w:before="60"/>
              <w:rPr>
                <w:rStyle w:val="Guide-Condensed-02"/>
                <w:rFonts w:cs="Times New Roman"/>
                <w:lang w:val="sl-SI"/>
              </w:rPr>
            </w:pPr>
            <w:r w:rsidRPr="00237696">
              <w:rPr>
                <w:rFonts w:cs="Times New Roman"/>
                <w:lang w:val="sl-SI"/>
              </w:rPr>
              <w:t>dogodki, ki spodbujajo delovanje demokratičnih institucij in vlog oblikovalcev politik na teh institucijah.</w:t>
            </w:r>
          </w:p>
        </w:tc>
      </w:tr>
    </w:tbl>
    <w:p w14:paraId="7D399B93" w14:textId="77777777" w:rsidR="00E03711" w:rsidRPr="001048FE" w:rsidRDefault="00E03711" w:rsidP="00991D1F">
      <w:pPr>
        <w:pStyle w:val="GUIDE-NORMAL"/>
        <w:rPr>
          <w:lang w:val="sl-SI"/>
        </w:rPr>
      </w:pPr>
      <w:r w:rsidRPr="001048FE">
        <w:rPr>
          <w:lang w:val="sl-SI"/>
        </w:rPr>
        <w:t>Aktivnosti vodijo mladi; mladi udeleženci morajo aktivno sodelovati v vseh fazah projekta, od priprave do nadaljnjega spremljanja. Celotna izvedba projekta temelji na načelih in praksah neformalnega učenja.</w:t>
      </w:r>
    </w:p>
    <w:p w14:paraId="7D399B94" w14:textId="77777777" w:rsidR="00E03711" w:rsidRPr="001048FE" w:rsidRDefault="00E03711" w:rsidP="00991D1F">
      <w:pPr>
        <w:pStyle w:val="GUIDE-NORMAL"/>
        <w:rPr>
          <w:lang w:val="sl-SI"/>
        </w:rPr>
      </w:pPr>
      <w:r w:rsidRPr="001048FE">
        <w:rPr>
          <w:lang w:val="sl-SI"/>
        </w:rPr>
        <w:t xml:space="preserve">Do nepovratnih sredstev v okviru </w:t>
      </w:r>
      <w:r>
        <w:rPr>
          <w:lang w:val="sl-SI"/>
        </w:rPr>
        <w:t>tega ukrepa</w:t>
      </w:r>
      <w:r w:rsidRPr="001048FE">
        <w:rPr>
          <w:lang w:val="sl-SI"/>
        </w:rPr>
        <w:t xml:space="preserve"> niso upravičene naslednje aktivnosti: zakonsko določena srečanja organizacij ali omrežij organizacij; politično orientirani dogodki.</w:t>
      </w:r>
    </w:p>
    <w:p w14:paraId="7D399B95" w14:textId="77777777" w:rsidR="00E03711" w:rsidRPr="001048FE" w:rsidRDefault="00E03711">
      <w:pPr>
        <w:widowControl/>
        <w:suppressAutoHyphens w:val="0"/>
        <w:autoSpaceDN/>
        <w:textAlignment w:val="auto"/>
        <w:rPr>
          <w:rFonts w:eastAsia="Times New Roman"/>
          <w:b/>
          <w:bCs/>
          <w:sz w:val="18"/>
          <w:szCs w:val="18"/>
          <w:shd w:val="clear" w:color="auto" w:fill="FFFFFF"/>
          <w:lang w:val="sl-SI" w:eastAsia="en-GB"/>
        </w:rPr>
      </w:pPr>
      <w:r w:rsidRPr="001048FE">
        <w:rPr>
          <w:b/>
          <w:bCs/>
          <w:lang w:val="sl-SI"/>
        </w:rPr>
        <w:br w:type="page"/>
      </w:r>
    </w:p>
    <w:p w14:paraId="7D399B96" w14:textId="77777777" w:rsidR="00E03711" w:rsidRPr="001048FE" w:rsidRDefault="00E03711" w:rsidP="00991D1F">
      <w:pPr>
        <w:pStyle w:val="Guide-Heading5"/>
        <w:rPr>
          <w:lang w:val="sl-SI"/>
        </w:rPr>
      </w:pPr>
      <w:r w:rsidRPr="001048FE">
        <w:rPr>
          <w:lang w:val="sl-SI"/>
        </w:rPr>
        <w:t>Kakšna so merila za oceno tega projekta?</w:t>
      </w:r>
    </w:p>
    <w:p w14:paraId="7D399B97" w14:textId="77777777" w:rsidR="00E03711" w:rsidRPr="001048FE" w:rsidRDefault="00E03711" w:rsidP="00991D1F">
      <w:pPr>
        <w:pStyle w:val="GUIDE-NORMAL"/>
        <w:rPr>
          <w:lang w:val="sl-SI"/>
        </w:rPr>
      </w:pPr>
      <w:r w:rsidRPr="001048FE">
        <w:rPr>
          <w:lang w:val="sl-SI"/>
        </w:rPr>
        <w:t>V nadaljevanju so navedena uradna merila, ki jih mora izpolniti projekt za upravičenost do nepovratnih sredstev Erasmus+:</w:t>
      </w:r>
    </w:p>
    <w:p w14:paraId="7D399B98" w14:textId="77777777" w:rsidR="00E03711" w:rsidRPr="001048FE" w:rsidRDefault="00E03711" w:rsidP="00991D1F">
      <w:pPr>
        <w:pStyle w:val="Guide-Heading6"/>
        <w:rPr>
          <w:lang w:val="sl-SI"/>
        </w:rPr>
      </w:pPr>
      <w:r w:rsidRPr="001048FE">
        <w:rPr>
          <w:lang w:val="sl-SI"/>
        </w:rPr>
        <w:t>Merila za upravičenost</w:t>
      </w:r>
    </w:p>
    <w:tbl>
      <w:tblPr>
        <w:tblW w:w="5000" w:type="pct"/>
        <w:tblBorders>
          <w:top w:val="single" w:sz="4" w:space="0" w:color="000000"/>
          <w:left w:val="single" w:sz="4" w:space="0" w:color="000000"/>
          <w:bottom w:val="single" w:sz="4" w:space="0" w:color="000000"/>
          <w:right w:val="single" w:sz="4" w:space="0" w:color="000000"/>
          <w:insideH w:val="dashed" w:sz="4" w:space="0" w:color="auto"/>
          <w:insideV w:val="single" w:sz="8" w:space="0" w:color="000000"/>
        </w:tblBorders>
        <w:tblLayout w:type="fixed"/>
        <w:tblLook w:val="0000" w:firstRow="0" w:lastRow="0" w:firstColumn="0" w:lastColumn="0" w:noHBand="0" w:noVBand="0"/>
      </w:tblPr>
      <w:tblGrid>
        <w:gridCol w:w="2097"/>
        <w:gridCol w:w="7193"/>
      </w:tblGrid>
      <w:tr w:rsidR="00E03711" w:rsidRPr="00C60205" w14:paraId="7D399B9F" w14:textId="77777777" w:rsidTr="002638AF">
        <w:trPr>
          <w:trHeight w:val="20"/>
        </w:trPr>
        <w:tc>
          <w:tcPr>
            <w:tcW w:w="2046" w:type="dxa"/>
            <w:vAlign w:val="center"/>
          </w:tcPr>
          <w:p w14:paraId="7D399B99" w14:textId="77777777" w:rsidR="00E03711" w:rsidRPr="00F769E0" w:rsidRDefault="00E03711" w:rsidP="002F1613">
            <w:pPr>
              <w:pStyle w:val="GUIDE-NORMAL"/>
              <w:spacing w:before="60" w:after="60"/>
              <w:jc w:val="left"/>
              <w:rPr>
                <w:rFonts w:cs="Tahoma"/>
                <w:b/>
                <w:lang w:val="sl-SI" w:eastAsia="en-GB"/>
              </w:rPr>
            </w:pPr>
            <w:r w:rsidRPr="00F769E0">
              <w:rPr>
                <w:rFonts w:cs="Tahoma"/>
                <w:b/>
                <w:lang w:val="sl-SI" w:eastAsia="en-GB"/>
              </w:rPr>
              <w:t>Upravičene sodelujoče organizacije</w:t>
            </w:r>
          </w:p>
        </w:tc>
        <w:tc>
          <w:tcPr>
            <w:tcW w:w="7018" w:type="dxa"/>
            <w:vAlign w:val="center"/>
          </w:tcPr>
          <w:p w14:paraId="7D399B9A" w14:textId="77777777" w:rsidR="00E03711" w:rsidRPr="00F769E0" w:rsidRDefault="00E03711" w:rsidP="002F1613">
            <w:pPr>
              <w:pStyle w:val="GUIDE-NORMAL"/>
              <w:spacing w:before="60" w:after="60"/>
              <w:rPr>
                <w:rFonts w:cs="Tahoma"/>
                <w:lang w:val="sl-SI" w:eastAsia="en-GB"/>
              </w:rPr>
            </w:pPr>
            <w:r w:rsidRPr="00F769E0">
              <w:rPr>
                <w:rFonts w:cs="Tahoma"/>
                <w:lang w:val="sl-SI" w:eastAsia="en-GB"/>
              </w:rPr>
              <w:t>Sodelujoča organizacija je lahko:</w:t>
            </w:r>
          </w:p>
          <w:p w14:paraId="7D399B9B" w14:textId="77777777" w:rsidR="00E03711" w:rsidRPr="001048FE" w:rsidRDefault="00E03711" w:rsidP="005115F2">
            <w:pPr>
              <w:pStyle w:val="Guide-NormalBulletpoints"/>
              <w:numPr>
                <w:ilvl w:val="0"/>
                <w:numId w:val="381"/>
              </w:numPr>
              <w:spacing w:before="60"/>
              <w:rPr>
                <w:lang w:val="sl-SI"/>
              </w:rPr>
            </w:pPr>
            <w:r w:rsidRPr="001048FE">
              <w:rPr>
                <w:lang w:val="sl-SI"/>
              </w:rPr>
              <w:t>neprofitna organizacija, združenje, nevladna organizacija;</w:t>
            </w:r>
          </w:p>
          <w:p w14:paraId="7D399B9C" w14:textId="77777777" w:rsidR="00E03711" w:rsidRPr="001048FE" w:rsidRDefault="00E03711" w:rsidP="005115F2">
            <w:pPr>
              <w:pStyle w:val="Guide-NormalBulletpoints"/>
              <w:numPr>
                <w:ilvl w:val="0"/>
                <w:numId w:val="381"/>
              </w:numPr>
              <w:spacing w:before="60"/>
              <w:rPr>
                <w:lang w:val="sl-SI"/>
              </w:rPr>
            </w:pPr>
            <w:r w:rsidRPr="001048FE">
              <w:rPr>
                <w:lang w:val="sl-SI"/>
              </w:rPr>
              <w:t>evropska mladinska nevladna organizacija;</w:t>
            </w:r>
          </w:p>
          <w:p w14:paraId="7D399B9D" w14:textId="77777777" w:rsidR="00E03711" w:rsidRPr="001048FE" w:rsidRDefault="00E03711" w:rsidP="005115F2">
            <w:pPr>
              <w:pStyle w:val="Guide-NormalBulletpoints"/>
              <w:numPr>
                <w:ilvl w:val="0"/>
                <w:numId w:val="381"/>
              </w:numPr>
              <w:spacing w:before="60"/>
              <w:rPr>
                <w:lang w:val="sl-SI"/>
              </w:rPr>
            </w:pPr>
            <w:r w:rsidRPr="001048FE">
              <w:rPr>
                <w:lang w:val="sl-SI"/>
              </w:rPr>
              <w:t>javni organ na lokalni ali regionalni ravni</w:t>
            </w:r>
          </w:p>
          <w:p w14:paraId="7D399B9E" w14:textId="77777777" w:rsidR="00E03711" w:rsidRPr="00F769E0" w:rsidRDefault="00E03711" w:rsidP="002F1613">
            <w:pPr>
              <w:pStyle w:val="GUIDE-NORMAL"/>
              <w:spacing w:before="60" w:after="60"/>
              <w:rPr>
                <w:rFonts w:cs="Tahoma"/>
                <w:lang w:val="sl-SI" w:eastAsia="en-GB"/>
              </w:rPr>
            </w:pPr>
            <w:r w:rsidRPr="00F769E0">
              <w:rPr>
                <w:rFonts w:cs="Tahoma"/>
                <w:lang w:val="sl-SI" w:eastAsia="en-GB"/>
              </w:rPr>
              <w:t>s sedežem v državi Programa ali sosedski partnerski državi EU (regije od 1 do 4; glej poglavje „Upravičene države“ v delu A tega vodnika). Organizacije iz upravičenih partnerskih držav lahko v projektu sodelujejo samo kot partnerice (in ne kot prijaviteljice).</w:t>
            </w:r>
          </w:p>
        </w:tc>
      </w:tr>
      <w:tr w:rsidR="00E03711" w:rsidRPr="00C60205" w14:paraId="7D399BA2" w14:textId="77777777" w:rsidTr="002638AF">
        <w:trPr>
          <w:trHeight w:val="20"/>
        </w:trPr>
        <w:tc>
          <w:tcPr>
            <w:tcW w:w="2046" w:type="dxa"/>
            <w:vAlign w:val="center"/>
          </w:tcPr>
          <w:p w14:paraId="7D399BA0" w14:textId="77777777" w:rsidR="00E03711" w:rsidRPr="00F769E0" w:rsidRDefault="00E03711" w:rsidP="002F1613">
            <w:pPr>
              <w:pStyle w:val="GUIDE-NORMAL"/>
              <w:spacing w:before="60" w:after="60"/>
              <w:rPr>
                <w:rFonts w:cs="Tahoma"/>
                <w:b/>
                <w:lang w:val="sl-SI" w:eastAsia="en-GB"/>
              </w:rPr>
            </w:pPr>
            <w:r w:rsidRPr="00F769E0">
              <w:rPr>
                <w:rFonts w:cs="Tahoma"/>
                <w:b/>
                <w:lang w:val="sl-SI" w:eastAsia="en-GB"/>
              </w:rPr>
              <w:t>Kdo se lahko prijavi?</w:t>
            </w:r>
          </w:p>
        </w:tc>
        <w:tc>
          <w:tcPr>
            <w:tcW w:w="7018" w:type="dxa"/>
            <w:vAlign w:val="center"/>
          </w:tcPr>
          <w:p w14:paraId="7D399BA1" w14:textId="77777777" w:rsidR="00E03711" w:rsidRPr="00F769E0" w:rsidRDefault="00E03711" w:rsidP="002F1613">
            <w:pPr>
              <w:pStyle w:val="GUIDE-NORMAL"/>
              <w:spacing w:before="60" w:after="60"/>
              <w:rPr>
                <w:rFonts w:cs="Tahoma"/>
                <w:lang w:val="sl-SI" w:eastAsia="en-GB"/>
              </w:rPr>
            </w:pPr>
            <w:r w:rsidRPr="00F769E0">
              <w:rPr>
                <w:rFonts w:cs="Tahoma"/>
                <w:lang w:val="sl-SI" w:eastAsia="en-GB"/>
              </w:rPr>
              <w:t>Prijavitelj je lahko katera koli sodelujoča organizacija s sedežem v državi Programa.</w:t>
            </w:r>
            <w:r w:rsidRPr="00F769E0">
              <w:rPr>
                <w:rFonts w:cs="Tahoma"/>
                <w:spacing w:val="-16"/>
                <w:lang w:val="sl-SI" w:eastAsia="en-GB"/>
              </w:rPr>
              <w:t xml:space="preserve"> </w:t>
            </w:r>
            <w:r w:rsidRPr="00F769E0">
              <w:rPr>
                <w:rFonts w:cs="Tahoma"/>
                <w:lang w:val="sl-SI" w:eastAsia="en-GB"/>
              </w:rPr>
              <w:t>Če</w:t>
            </w:r>
            <w:r w:rsidRPr="00F769E0">
              <w:rPr>
                <w:rFonts w:cs="Tahoma"/>
                <w:spacing w:val="-16"/>
                <w:lang w:val="sl-SI" w:eastAsia="en-GB"/>
              </w:rPr>
              <w:t xml:space="preserve"> </w:t>
            </w:r>
            <w:r w:rsidRPr="00F769E0">
              <w:rPr>
                <w:rFonts w:cs="Tahoma"/>
                <w:lang w:val="sl-SI" w:eastAsia="en-GB"/>
              </w:rPr>
              <w:t>projekt</w:t>
            </w:r>
            <w:r w:rsidRPr="00F769E0">
              <w:rPr>
                <w:rFonts w:cs="Tahoma"/>
                <w:spacing w:val="-16"/>
                <w:lang w:val="sl-SI" w:eastAsia="en-GB"/>
              </w:rPr>
              <w:t xml:space="preserve"> </w:t>
            </w:r>
            <w:r w:rsidRPr="00F769E0">
              <w:rPr>
                <w:rFonts w:cs="Tahoma"/>
                <w:lang w:val="sl-SI" w:eastAsia="en-GB"/>
              </w:rPr>
              <w:t>izvajata</w:t>
            </w:r>
            <w:r w:rsidRPr="00F769E0">
              <w:rPr>
                <w:rFonts w:cs="Tahoma"/>
                <w:spacing w:val="-16"/>
                <w:lang w:val="sl-SI" w:eastAsia="en-GB"/>
              </w:rPr>
              <w:t xml:space="preserve"> </w:t>
            </w:r>
            <w:r w:rsidRPr="00F769E0">
              <w:rPr>
                <w:rFonts w:cs="Tahoma"/>
                <w:lang w:val="sl-SI" w:eastAsia="en-GB"/>
              </w:rPr>
              <w:t>dve</w:t>
            </w:r>
            <w:r w:rsidRPr="00F769E0">
              <w:rPr>
                <w:rFonts w:cs="Tahoma"/>
                <w:spacing w:val="-16"/>
                <w:lang w:val="sl-SI" w:eastAsia="en-GB"/>
              </w:rPr>
              <w:t xml:space="preserve"> </w:t>
            </w:r>
            <w:r w:rsidRPr="00F769E0">
              <w:rPr>
                <w:rFonts w:cs="Tahoma"/>
                <w:lang w:val="sl-SI" w:eastAsia="en-GB"/>
              </w:rPr>
              <w:t>ali</w:t>
            </w:r>
            <w:r w:rsidRPr="00F769E0">
              <w:rPr>
                <w:rFonts w:cs="Tahoma"/>
                <w:spacing w:val="-16"/>
                <w:lang w:val="sl-SI" w:eastAsia="en-GB"/>
              </w:rPr>
              <w:t xml:space="preserve"> </w:t>
            </w:r>
            <w:r w:rsidRPr="00F769E0">
              <w:rPr>
                <w:rFonts w:cs="Tahoma"/>
                <w:lang w:val="sl-SI" w:eastAsia="en-GB"/>
              </w:rPr>
              <w:t>več</w:t>
            </w:r>
            <w:r w:rsidRPr="00F769E0">
              <w:rPr>
                <w:rFonts w:cs="Tahoma"/>
                <w:spacing w:val="-16"/>
                <w:lang w:val="sl-SI" w:eastAsia="en-GB"/>
              </w:rPr>
              <w:t xml:space="preserve"> </w:t>
            </w:r>
            <w:r w:rsidRPr="00F769E0">
              <w:rPr>
                <w:rFonts w:cs="Tahoma"/>
                <w:lang w:val="sl-SI" w:eastAsia="en-GB"/>
              </w:rPr>
              <w:t>sodelujočih</w:t>
            </w:r>
            <w:r w:rsidRPr="00F769E0">
              <w:rPr>
                <w:rFonts w:cs="Tahoma"/>
                <w:spacing w:val="-16"/>
                <w:lang w:val="sl-SI" w:eastAsia="en-GB"/>
              </w:rPr>
              <w:t xml:space="preserve"> </w:t>
            </w:r>
            <w:r w:rsidRPr="00F769E0">
              <w:rPr>
                <w:rFonts w:cs="Tahoma"/>
                <w:lang w:val="sl-SI" w:eastAsia="en-GB"/>
              </w:rPr>
              <w:t>organizacij,</w:t>
            </w:r>
            <w:r w:rsidRPr="00F769E0">
              <w:rPr>
                <w:rFonts w:cs="Tahoma"/>
                <w:spacing w:val="-16"/>
                <w:lang w:val="sl-SI" w:eastAsia="en-GB"/>
              </w:rPr>
              <w:t xml:space="preserve"> </w:t>
            </w:r>
            <w:r w:rsidRPr="00F769E0">
              <w:rPr>
                <w:rFonts w:cs="Tahoma"/>
                <w:lang w:val="sl-SI" w:eastAsia="en-GB"/>
              </w:rPr>
              <w:t>se</w:t>
            </w:r>
            <w:r w:rsidRPr="00F769E0">
              <w:rPr>
                <w:rFonts w:cs="Tahoma"/>
                <w:spacing w:val="-16"/>
                <w:lang w:val="sl-SI" w:eastAsia="en-GB"/>
              </w:rPr>
              <w:t xml:space="preserve"> </w:t>
            </w:r>
            <w:r w:rsidRPr="00F769E0">
              <w:rPr>
                <w:rFonts w:cs="Tahoma"/>
                <w:lang w:val="sl-SI" w:eastAsia="en-GB"/>
              </w:rPr>
              <w:t>ena</w:t>
            </w:r>
            <w:r w:rsidRPr="00F769E0">
              <w:rPr>
                <w:rFonts w:cs="Tahoma"/>
                <w:spacing w:val="-16"/>
                <w:lang w:val="sl-SI" w:eastAsia="en-GB"/>
              </w:rPr>
              <w:t xml:space="preserve"> </w:t>
            </w:r>
            <w:r w:rsidRPr="00F769E0">
              <w:rPr>
                <w:rFonts w:cs="Tahoma"/>
                <w:lang w:val="sl-SI" w:eastAsia="en-GB"/>
              </w:rPr>
              <w:t>od organizacij prijavi v imenu vseh sodelujočih organizacij, ki so vključene v projekt.</w:t>
            </w:r>
          </w:p>
        </w:tc>
      </w:tr>
      <w:tr w:rsidR="00E03711" w:rsidRPr="00C60205" w14:paraId="7D399BA6" w14:textId="77777777" w:rsidTr="002638AF">
        <w:trPr>
          <w:trHeight w:val="20"/>
        </w:trPr>
        <w:tc>
          <w:tcPr>
            <w:tcW w:w="2046" w:type="dxa"/>
            <w:vAlign w:val="center"/>
          </w:tcPr>
          <w:p w14:paraId="7D399BA3" w14:textId="77777777" w:rsidR="00E03711" w:rsidRPr="00F769E0" w:rsidRDefault="00E03711" w:rsidP="002F1613">
            <w:pPr>
              <w:pStyle w:val="GUIDE-NORMAL"/>
              <w:spacing w:before="60" w:after="60"/>
              <w:jc w:val="left"/>
              <w:rPr>
                <w:rFonts w:cs="Tahoma"/>
                <w:b/>
                <w:lang w:val="sl-SI" w:eastAsia="en-GB"/>
              </w:rPr>
            </w:pPr>
            <w:r w:rsidRPr="00F769E0">
              <w:rPr>
                <w:rFonts w:cs="Tahoma"/>
                <w:b/>
                <w:lang w:val="sl-SI" w:eastAsia="en-GB"/>
              </w:rPr>
              <w:t>Število sodelujočih organizacij</w:t>
            </w:r>
          </w:p>
        </w:tc>
        <w:tc>
          <w:tcPr>
            <w:tcW w:w="7018" w:type="dxa"/>
            <w:vAlign w:val="center"/>
          </w:tcPr>
          <w:p w14:paraId="7D399BA4" w14:textId="77777777" w:rsidR="00E03711" w:rsidRPr="00F769E0" w:rsidRDefault="00E03711" w:rsidP="002F1613">
            <w:pPr>
              <w:pStyle w:val="GUIDE-NORMAL"/>
              <w:spacing w:before="60" w:after="60"/>
              <w:rPr>
                <w:rFonts w:cs="Tahoma"/>
                <w:lang w:val="sl-SI" w:eastAsia="en-GB"/>
              </w:rPr>
            </w:pPr>
            <w:r w:rsidRPr="00F769E0">
              <w:rPr>
                <w:rFonts w:cs="Tahoma"/>
                <w:lang w:val="sl-SI" w:eastAsia="en-GB"/>
              </w:rPr>
              <w:t>Mednarodn</w:t>
            </w:r>
            <w:r>
              <w:rPr>
                <w:rFonts w:cs="Tahoma"/>
                <w:lang w:val="sl-SI" w:eastAsia="en-GB"/>
              </w:rPr>
              <w:t>e</w:t>
            </w:r>
            <w:r w:rsidRPr="00F769E0">
              <w:rPr>
                <w:rFonts w:cs="Tahoma"/>
                <w:lang w:val="sl-SI" w:eastAsia="en-GB"/>
              </w:rPr>
              <w:t xml:space="preserve"> </w:t>
            </w:r>
            <w:r>
              <w:rPr>
                <w:rFonts w:cs="Tahoma"/>
                <w:lang w:val="sl-SI" w:eastAsia="en-GB"/>
              </w:rPr>
              <w:t>aktivnosti</w:t>
            </w:r>
            <w:r w:rsidRPr="00F769E0">
              <w:rPr>
                <w:rFonts w:cs="Tahoma"/>
                <w:lang w:val="sl-SI" w:eastAsia="en-GB"/>
              </w:rPr>
              <w:t>: v aktivnost morata biti vključeni vsaj dve sodelujoči organizaciji iz vsaj dveh različnih držav, od katerih je vsaj ena država Programa.</w:t>
            </w:r>
          </w:p>
          <w:p w14:paraId="7D399BA5" w14:textId="77777777" w:rsidR="00E03711" w:rsidRPr="00F769E0" w:rsidRDefault="00E03711" w:rsidP="006F1AEE">
            <w:pPr>
              <w:pStyle w:val="GUIDE-NORMAL"/>
              <w:spacing w:before="60" w:after="60"/>
              <w:rPr>
                <w:rFonts w:cs="Tahoma"/>
                <w:lang w:val="sl-SI" w:eastAsia="en-GB"/>
              </w:rPr>
            </w:pPr>
            <w:r w:rsidRPr="00F769E0">
              <w:rPr>
                <w:rFonts w:cs="Tahoma"/>
                <w:lang w:val="sl-SI" w:eastAsia="en-GB"/>
              </w:rPr>
              <w:t>Nacionaln</w:t>
            </w:r>
            <w:r>
              <w:rPr>
                <w:rFonts w:cs="Tahoma"/>
                <w:lang w:val="sl-SI" w:eastAsia="en-GB"/>
              </w:rPr>
              <w:t>e</w:t>
            </w:r>
            <w:r w:rsidRPr="00F769E0">
              <w:rPr>
                <w:rFonts w:cs="Tahoma"/>
                <w:lang w:val="sl-SI" w:eastAsia="en-GB"/>
              </w:rPr>
              <w:t xml:space="preserve"> </w:t>
            </w:r>
            <w:r>
              <w:rPr>
                <w:rFonts w:cs="Tahoma"/>
                <w:lang w:val="sl-SI" w:eastAsia="en-GB"/>
              </w:rPr>
              <w:t>aktivnosti</w:t>
            </w:r>
            <w:r w:rsidRPr="00F769E0">
              <w:rPr>
                <w:rFonts w:cs="Tahoma"/>
                <w:lang w:val="sl-SI" w:eastAsia="en-GB"/>
              </w:rPr>
              <w:t>: v aktivnost je vključena vsaj ena organizacija iz države Programa.</w:t>
            </w:r>
          </w:p>
        </w:tc>
      </w:tr>
      <w:tr w:rsidR="00E03711" w:rsidRPr="00C60205" w14:paraId="7D399BAA" w14:textId="77777777" w:rsidTr="002638AF">
        <w:trPr>
          <w:trHeight w:val="20"/>
        </w:trPr>
        <w:tc>
          <w:tcPr>
            <w:tcW w:w="2046" w:type="dxa"/>
            <w:vAlign w:val="center"/>
          </w:tcPr>
          <w:p w14:paraId="7D399BA7" w14:textId="77777777" w:rsidR="00E03711" w:rsidRPr="00F769E0" w:rsidRDefault="00E03711" w:rsidP="002F1613">
            <w:pPr>
              <w:pStyle w:val="GUIDE-NORMAL"/>
              <w:spacing w:before="60" w:after="60"/>
              <w:jc w:val="left"/>
              <w:rPr>
                <w:rFonts w:cs="Tahoma"/>
                <w:b/>
                <w:lang w:val="sl-SI" w:eastAsia="en-GB"/>
              </w:rPr>
            </w:pPr>
            <w:r w:rsidRPr="00F769E0">
              <w:rPr>
                <w:rFonts w:cs="Tahoma"/>
                <w:b/>
                <w:lang w:val="sl-SI" w:eastAsia="en-GB"/>
              </w:rPr>
              <w:t>Upravičeni udeleženci</w:t>
            </w:r>
          </w:p>
        </w:tc>
        <w:tc>
          <w:tcPr>
            <w:tcW w:w="7018" w:type="dxa"/>
            <w:vAlign w:val="center"/>
          </w:tcPr>
          <w:p w14:paraId="7D399BA8" w14:textId="77777777" w:rsidR="00E03711" w:rsidRPr="00F769E0" w:rsidRDefault="00E03711" w:rsidP="002F1613">
            <w:pPr>
              <w:pStyle w:val="GUIDE-NORMAL"/>
              <w:spacing w:before="60" w:after="60"/>
              <w:rPr>
                <w:rFonts w:cs="Tahoma"/>
                <w:lang w:val="sl-SI" w:eastAsia="en-GB"/>
              </w:rPr>
            </w:pPr>
            <w:r w:rsidRPr="00F769E0">
              <w:rPr>
                <w:rFonts w:cs="Tahoma"/>
                <w:lang w:val="sl-SI" w:eastAsia="en-GB"/>
              </w:rPr>
              <w:t>Mladi udeleženci: mladi, stari od 13 do 30 let, ki bivajo v državah, ki so vključene v projekt.</w:t>
            </w:r>
          </w:p>
          <w:p w14:paraId="7D399BA9" w14:textId="77777777" w:rsidR="00E03711" w:rsidRPr="00F769E0" w:rsidRDefault="00E03711" w:rsidP="002F1613">
            <w:pPr>
              <w:pStyle w:val="GUIDE-NORMAL"/>
              <w:spacing w:before="60" w:after="60"/>
              <w:rPr>
                <w:rFonts w:cs="Tahoma"/>
                <w:lang w:val="sl-SI" w:eastAsia="en-GB"/>
              </w:rPr>
            </w:pPr>
            <w:r w:rsidRPr="00F769E0">
              <w:rPr>
                <w:rFonts w:cs="Tahoma"/>
                <w:lang w:val="sl-SI" w:eastAsia="en-GB"/>
              </w:rPr>
              <w:t>Oblikovalci politik: če je za projekt predvidena udeležba oblikovalcev politik ali strokovnjakov na področju mladinske politike, lahko ti udeleženci sodelujejo ne glede na njihovo starost ali državo bivanja.</w:t>
            </w:r>
          </w:p>
        </w:tc>
      </w:tr>
      <w:tr w:rsidR="00E03711" w:rsidRPr="00C60205" w14:paraId="7D399BAE" w14:textId="77777777" w:rsidTr="002638AF">
        <w:trPr>
          <w:trHeight w:val="20"/>
        </w:trPr>
        <w:tc>
          <w:tcPr>
            <w:tcW w:w="2046" w:type="dxa"/>
            <w:vAlign w:val="center"/>
          </w:tcPr>
          <w:p w14:paraId="7D399BAB" w14:textId="77777777" w:rsidR="00E03711" w:rsidRPr="00F769E0" w:rsidRDefault="00E03711" w:rsidP="002F1613">
            <w:pPr>
              <w:pStyle w:val="GUIDE-NORMAL"/>
              <w:spacing w:before="60" w:after="60"/>
              <w:jc w:val="left"/>
              <w:rPr>
                <w:rFonts w:cs="Tahoma"/>
                <w:b/>
                <w:lang w:val="sl-SI" w:eastAsia="en-GB"/>
              </w:rPr>
            </w:pPr>
            <w:r w:rsidRPr="00F769E0">
              <w:rPr>
                <w:rFonts w:cs="Tahoma"/>
                <w:b/>
                <w:lang w:val="sl-SI" w:eastAsia="en-GB"/>
              </w:rPr>
              <w:t>Število udeležencev</w:t>
            </w:r>
          </w:p>
        </w:tc>
        <w:tc>
          <w:tcPr>
            <w:tcW w:w="7018" w:type="dxa"/>
            <w:vAlign w:val="center"/>
          </w:tcPr>
          <w:p w14:paraId="7D399BAC" w14:textId="77777777" w:rsidR="00E03711" w:rsidRPr="00F769E0" w:rsidRDefault="00E03711" w:rsidP="002F1613">
            <w:pPr>
              <w:pStyle w:val="GUIDE-NORMAL"/>
              <w:spacing w:before="60" w:after="60"/>
              <w:rPr>
                <w:rFonts w:cs="Tahoma"/>
                <w:lang w:val="sl-SI" w:eastAsia="en-GB"/>
              </w:rPr>
            </w:pPr>
            <w:r w:rsidRPr="00F769E0">
              <w:rPr>
                <w:rFonts w:cs="Tahoma"/>
                <w:lang w:val="sl-SI" w:eastAsia="en-GB"/>
              </w:rPr>
              <w:t xml:space="preserve">V projektu mora sodelovati vsaj 30 mladih udeležencev. </w:t>
            </w:r>
          </w:p>
          <w:p w14:paraId="7D399BAD" w14:textId="77777777" w:rsidR="00E03711" w:rsidRPr="00F769E0" w:rsidRDefault="00E03711" w:rsidP="002F1613">
            <w:pPr>
              <w:pStyle w:val="GUIDE-NORMAL"/>
              <w:spacing w:before="60" w:after="60"/>
              <w:rPr>
                <w:rFonts w:cs="Tahoma"/>
                <w:lang w:val="sl-SI" w:eastAsia="en-GB"/>
              </w:rPr>
            </w:pPr>
            <w:r w:rsidRPr="00FC4A70">
              <w:rPr>
                <w:rFonts w:eastAsia="Calibri" w:cs="Calibri"/>
                <w:bdr w:val="nil"/>
                <w:shd w:val="clear" w:color="auto" w:fill="auto"/>
                <w:lang w:val="sl-SI"/>
              </w:rPr>
              <w:t>Udeleženci iz države organizacije gostiteljice morajo biti udeleženi v vsaki aktivnosti</w:t>
            </w:r>
            <w:r w:rsidRPr="00A3061C">
              <w:rPr>
                <w:rFonts w:eastAsia="Calibri" w:cs="Calibri"/>
                <w:bdr w:val="nil"/>
                <w:shd w:val="clear" w:color="auto" w:fill="auto"/>
                <w:lang w:val="sl-SI"/>
              </w:rPr>
              <w:t>.</w:t>
            </w:r>
          </w:p>
        </w:tc>
      </w:tr>
      <w:tr w:rsidR="00E03711" w:rsidRPr="00C60205" w14:paraId="7D399BB3" w14:textId="77777777" w:rsidTr="002638AF">
        <w:trPr>
          <w:trHeight w:val="20"/>
        </w:trPr>
        <w:tc>
          <w:tcPr>
            <w:tcW w:w="2046" w:type="dxa"/>
            <w:vAlign w:val="center"/>
          </w:tcPr>
          <w:p w14:paraId="7D399BAF" w14:textId="77777777" w:rsidR="00E03711" w:rsidRPr="00F769E0" w:rsidRDefault="00E03711" w:rsidP="002F1613">
            <w:pPr>
              <w:pStyle w:val="GUIDE-NORMAL"/>
              <w:spacing w:before="60" w:after="60"/>
              <w:rPr>
                <w:rFonts w:cs="Tahoma"/>
                <w:b/>
                <w:lang w:val="sl-SI" w:eastAsia="en-GB"/>
              </w:rPr>
            </w:pPr>
            <w:r w:rsidRPr="00F769E0">
              <w:rPr>
                <w:rFonts w:cs="Tahoma"/>
                <w:b/>
                <w:lang w:val="sl-SI" w:eastAsia="en-GB"/>
              </w:rPr>
              <w:t>Kraji</w:t>
            </w:r>
          </w:p>
        </w:tc>
        <w:tc>
          <w:tcPr>
            <w:tcW w:w="7018" w:type="dxa"/>
            <w:vAlign w:val="center"/>
          </w:tcPr>
          <w:p w14:paraId="7D399BB0" w14:textId="77777777" w:rsidR="00E03711" w:rsidRPr="00F769E0" w:rsidRDefault="00E03711" w:rsidP="002F1613">
            <w:pPr>
              <w:pStyle w:val="GUIDE-NORMAL"/>
              <w:spacing w:before="60" w:after="60"/>
              <w:rPr>
                <w:rFonts w:cs="Tahoma"/>
                <w:lang w:val="sl-SI" w:eastAsia="en-GB"/>
              </w:rPr>
            </w:pPr>
            <w:r w:rsidRPr="00F769E0">
              <w:rPr>
                <w:rFonts w:cs="Tahoma"/>
                <w:lang w:val="sl-SI" w:eastAsia="en-GB"/>
              </w:rPr>
              <w:t>Nacionaln</w:t>
            </w:r>
            <w:r>
              <w:rPr>
                <w:rFonts w:cs="Tahoma"/>
                <w:lang w:val="sl-SI" w:eastAsia="en-GB"/>
              </w:rPr>
              <w:t>e aktivnosti</w:t>
            </w:r>
            <w:r w:rsidRPr="00F769E0">
              <w:rPr>
                <w:rFonts w:cs="Tahoma"/>
                <w:lang w:val="sl-SI" w:eastAsia="en-GB"/>
              </w:rPr>
              <w:t>: aktivnost se mora izvajati v državi organizacije prijaviteljice.</w:t>
            </w:r>
          </w:p>
          <w:p w14:paraId="7D399BB1" w14:textId="77777777" w:rsidR="00E03711" w:rsidRPr="00F769E0" w:rsidRDefault="00E03711" w:rsidP="002F1613">
            <w:pPr>
              <w:pStyle w:val="GUIDE-NORMAL"/>
              <w:spacing w:before="60" w:after="60"/>
              <w:rPr>
                <w:rFonts w:cs="Tahoma"/>
                <w:lang w:val="sl-SI" w:eastAsia="en-GB"/>
              </w:rPr>
            </w:pPr>
            <w:r w:rsidRPr="00F769E0">
              <w:rPr>
                <w:rFonts w:cs="Tahoma"/>
                <w:lang w:val="sl-SI" w:eastAsia="en-GB"/>
              </w:rPr>
              <w:t>Mednarodn</w:t>
            </w:r>
            <w:r>
              <w:rPr>
                <w:rFonts w:cs="Tahoma"/>
                <w:lang w:val="sl-SI" w:eastAsia="en-GB"/>
              </w:rPr>
              <w:t>e aktivnosti</w:t>
            </w:r>
            <w:r w:rsidRPr="00F769E0">
              <w:rPr>
                <w:rFonts w:cs="Tahoma"/>
                <w:lang w:val="sl-SI" w:eastAsia="en-GB"/>
              </w:rPr>
              <w:t>: aktivnosti se lahko izvajajo v kateri koli državi Programa, ki je vključena v projekt</w:t>
            </w:r>
          </w:p>
          <w:p w14:paraId="7D399BB2" w14:textId="77777777" w:rsidR="00E03711" w:rsidRPr="00F769E0" w:rsidRDefault="00E03711" w:rsidP="002F1613">
            <w:pPr>
              <w:pStyle w:val="GUIDE-NORMAL"/>
              <w:spacing w:before="60" w:after="60"/>
              <w:rPr>
                <w:rFonts w:cs="Tahoma"/>
                <w:lang w:val="sl-SI" w:eastAsia="en-GB"/>
              </w:rPr>
            </w:pPr>
            <w:r w:rsidRPr="00F769E0">
              <w:rPr>
                <w:rFonts w:cs="Tahoma"/>
                <w:b/>
                <w:lang w:val="sl-SI" w:eastAsia="en-GB"/>
              </w:rPr>
              <w:t>Izjema:</w:t>
            </w:r>
            <w:r w:rsidRPr="00F769E0">
              <w:rPr>
                <w:rFonts w:cs="Tahoma"/>
                <w:lang w:val="sl-SI" w:eastAsia="en-GB"/>
              </w:rPr>
              <w:t xml:space="preserve"> Samo v ustrezno utemeljenih primerih in če glavna aktivnost vključuje elemente dialoga z oblikovalci politik na evropski ravni, lahko aktivnost poteka na sedežu institucije Evropske unije</w:t>
            </w:r>
            <w:r w:rsidRPr="00F769E0">
              <w:rPr>
                <w:rStyle w:val="FootnoteReference"/>
                <w:rFonts w:cs="Tahoma"/>
                <w:lang w:val="sl-SI" w:eastAsia="en-GB"/>
              </w:rPr>
              <w:footnoteReference w:id="231"/>
            </w:r>
            <w:r w:rsidRPr="00F769E0">
              <w:rPr>
                <w:rFonts w:cs="Tahoma"/>
                <w:lang w:val="sl-SI" w:eastAsia="en-GB"/>
              </w:rPr>
              <w:t>.</w:t>
            </w:r>
          </w:p>
        </w:tc>
      </w:tr>
      <w:tr w:rsidR="00E03711" w:rsidRPr="008C6F8C" w14:paraId="7D399BB6" w14:textId="77777777" w:rsidTr="002638AF">
        <w:trPr>
          <w:trHeight w:val="20"/>
        </w:trPr>
        <w:tc>
          <w:tcPr>
            <w:tcW w:w="2046" w:type="dxa"/>
            <w:vAlign w:val="center"/>
          </w:tcPr>
          <w:p w14:paraId="7D399BB4" w14:textId="77777777" w:rsidR="00E03711" w:rsidRPr="00F769E0" w:rsidRDefault="00E03711" w:rsidP="002F1613">
            <w:pPr>
              <w:pStyle w:val="GUIDE-NORMAL"/>
              <w:spacing w:before="60" w:after="60"/>
              <w:jc w:val="left"/>
              <w:rPr>
                <w:rFonts w:cs="Tahoma"/>
                <w:b/>
                <w:lang w:val="sl-SI" w:eastAsia="en-GB"/>
              </w:rPr>
            </w:pPr>
            <w:r w:rsidRPr="00F769E0">
              <w:rPr>
                <w:rFonts w:cs="Tahoma"/>
                <w:b/>
                <w:lang w:val="sl-SI" w:eastAsia="en-GB"/>
              </w:rPr>
              <w:t>Trajanje projekta</w:t>
            </w:r>
          </w:p>
        </w:tc>
        <w:tc>
          <w:tcPr>
            <w:tcW w:w="7018" w:type="dxa"/>
            <w:vAlign w:val="center"/>
          </w:tcPr>
          <w:p w14:paraId="7D399BB5" w14:textId="77777777" w:rsidR="00E03711" w:rsidRPr="00F769E0" w:rsidRDefault="00E03711" w:rsidP="002F1613">
            <w:pPr>
              <w:pStyle w:val="GUIDE-NORMAL"/>
              <w:spacing w:before="60" w:after="60"/>
              <w:rPr>
                <w:rFonts w:cs="Tahoma"/>
                <w:lang w:val="sl-SI" w:eastAsia="en-GB"/>
              </w:rPr>
            </w:pPr>
            <w:r w:rsidRPr="00F769E0">
              <w:rPr>
                <w:rFonts w:cs="Tahoma"/>
                <w:lang w:val="sl-SI" w:eastAsia="en-GB"/>
              </w:rPr>
              <w:t>Od 3 do 24</w:t>
            </w:r>
            <w:r w:rsidRPr="00F769E0">
              <w:rPr>
                <w:rFonts w:cs="Tahoma"/>
                <w:spacing w:val="2"/>
                <w:lang w:val="sl-SI" w:eastAsia="en-GB"/>
              </w:rPr>
              <w:t xml:space="preserve"> </w:t>
            </w:r>
            <w:r w:rsidRPr="00F769E0">
              <w:rPr>
                <w:rFonts w:cs="Tahoma"/>
                <w:lang w:val="sl-SI" w:eastAsia="en-GB"/>
              </w:rPr>
              <w:t>mesecev.</w:t>
            </w:r>
          </w:p>
        </w:tc>
      </w:tr>
      <w:tr w:rsidR="00E03711" w:rsidRPr="00654F6A" w14:paraId="7D399BB9" w14:textId="77777777" w:rsidTr="002638AF">
        <w:trPr>
          <w:trHeight w:val="20"/>
        </w:trPr>
        <w:tc>
          <w:tcPr>
            <w:tcW w:w="2046" w:type="dxa"/>
            <w:vAlign w:val="center"/>
          </w:tcPr>
          <w:p w14:paraId="7D399BB7" w14:textId="77777777" w:rsidR="00E03711" w:rsidRPr="00F769E0" w:rsidRDefault="00E03711" w:rsidP="002F1613">
            <w:pPr>
              <w:pStyle w:val="GUIDE-NORMAL"/>
              <w:spacing w:before="60" w:after="60"/>
              <w:rPr>
                <w:rFonts w:cs="Tahoma"/>
                <w:b/>
                <w:lang w:val="sl-SI" w:eastAsia="en-GB"/>
              </w:rPr>
            </w:pPr>
            <w:r w:rsidRPr="00F769E0">
              <w:rPr>
                <w:rFonts w:cs="Tahoma"/>
                <w:b/>
                <w:lang w:val="sl-SI" w:eastAsia="en-GB"/>
              </w:rPr>
              <w:t>Kje</w:t>
            </w:r>
            <w:r w:rsidRPr="00F769E0">
              <w:rPr>
                <w:rFonts w:cs="Tahoma"/>
                <w:b/>
                <w:spacing w:val="6"/>
                <w:lang w:val="sl-SI" w:eastAsia="en-GB"/>
              </w:rPr>
              <w:t xml:space="preserve"> </w:t>
            </w:r>
            <w:r w:rsidRPr="00F769E0">
              <w:rPr>
                <w:rFonts w:cs="Tahoma"/>
                <w:b/>
                <w:lang w:val="sl-SI" w:eastAsia="en-GB"/>
              </w:rPr>
              <w:t>se</w:t>
            </w:r>
            <w:r w:rsidRPr="00F769E0">
              <w:rPr>
                <w:rFonts w:cs="Tahoma"/>
                <w:b/>
                <w:spacing w:val="6"/>
                <w:lang w:val="sl-SI" w:eastAsia="en-GB"/>
              </w:rPr>
              <w:t xml:space="preserve"> </w:t>
            </w:r>
            <w:r w:rsidRPr="00F769E0">
              <w:rPr>
                <w:rFonts w:cs="Tahoma"/>
                <w:b/>
                <w:lang w:val="sl-SI" w:eastAsia="en-GB"/>
              </w:rPr>
              <w:t>prijaviti?</w:t>
            </w:r>
          </w:p>
        </w:tc>
        <w:tc>
          <w:tcPr>
            <w:tcW w:w="7018" w:type="dxa"/>
            <w:vAlign w:val="center"/>
          </w:tcPr>
          <w:p w14:paraId="7D399BB8" w14:textId="77777777" w:rsidR="00E03711" w:rsidRPr="00F769E0" w:rsidRDefault="00E03711" w:rsidP="002F1613">
            <w:pPr>
              <w:pStyle w:val="GUIDE-NORMAL"/>
              <w:spacing w:before="60" w:after="60"/>
              <w:rPr>
                <w:rFonts w:cs="Tahoma"/>
                <w:lang w:val="sl-SI" w:eastAsia="en-GB"/>
              </w:rPr>
            </w:pPr>
            <w:r w:rsidRPr="00F769E0">
              <w:rPr>
                <w:rFonts w:cs="Tahoma"/>
                <w:lang w:val="sl-SI" w:eastAsia="en-GB"/>
              </w:rPr>
              <w:t>Pri nacionalni agenciji v državi, v kateri ima organizacija prijaviteljica</w:t>
            </w:r>
            <w:r w:rsidRPr="00F769E0">
              <w:rPr>
                <w:rFonts w:cs="Tahoma"/>
                <w:spacing w:val="-13"/>
                <w:lang w:val="sl-SI" w:eastAsia="en-GB"/>
              </w:rPr>
              <w:t xml:space="preserve"> </w:t>
            </w:r>
            <w:r w:rsidRPr="00F769E0">
              <w:rPr>
                <w:rFonts w:cs="Tahoma"/>
                <w:lang w:val="sl-SI" w:eastAsia="en-GB"/>
              </w:rPr>
              <w:t>sedež.</w:t>
            </w:r>
          </w:p>
        </w:tc>
      </w:tr>
      <w:tr w:rsidR="00E03711" w:rsidRPr="00C60205" w14:paraId="7D399BBF" w14:textId="77777777" w:rsidTr="002638AF">
        <w:trPr>
          <w:trHeight w:val="20"/>
        </w:trPr>
        <w:tc>
          <w:tcPr>
            <w:tcW w:w="2046" w:type="dxa"/>
            <w:vAlign w:val="center"/>
          </w:tcPr>
          <w:p w14:paraId="7D399BBA" w14:textId="77777777" w:rsidR="00E03711" w:rsidRPr="00F769E0" w:rsidRDefault="00E03711" w:rsidP="002F1613">
            <w:pPr>
              <w:pStyle w:val="GUIDE-NORMAL"/>
              <w:spacing w:before="60" w:after="60"/>
              <w:jc w:val="left"/>
              <w:rPr>
                <w:rFonts w:cs="Tahoma"/>
                <w:b/>
                <w:lang w:val="sl-SI" w:eastAsia="en-GB"/>
              </w:rPr>
            </w:pPr>
            <w:r w:rsidRPr="00F769E0">
              <w:rPr>
                <w:rFonts w:cs="Tahoma"/>
                <w:b/>
                <w:lang w:val="sl-SI" w:eastAsia="en-GB"/>
              </w:rPr>
              <w:t>Kdaj se prijaviti?</w:t>
            </w:r>
          </w:p>
        </w:tc>
        <w:tc>
          <w:tcPr>
            <w:tcW w:w="7018" w:type="dxa"/>
            <w:vAlign w:val="center"/>
          </w:tcPr>
          <w:p w14:paraId="7D399BBB" w14:textId="77777777" w:rsidR="00E03711" w:rsidRPr="00F769E0" w:rsidRDefault="00E03711" w:rsidP="002F1613">
            <w:pPr>
              <w:pStyle w:val="GUIDE-NORMAL"/>
              <w:spacing w:before="60" w:after="60"/>
              <w:rPr>
                <w:rFonts w:cs="Tahoma"/>
                <w:lang w:val="sl-SI" w:eastAsia="en-GB"/>
              </w:rPr>
            </w:pPr>
            <w:r w:rsidRPr="00F769E0">
              <w:rPr>
                <w:rFonts w:cs="Tahoma"/>
                <w:lang w:val="sl-SI" w:eastAsia="en-GB"/>
              </w:rPr>
              <w:t>Prijavitelji morajo vlogo za nepovratna sredstva oddati do naslednjih datumov:</w:t>
            </w:r>
          </w:p>
          <w:p w14:paraId="7D399BBC" w14:textId="77777777" w:rsidR="00E03711" w:rsidRPr="001048FE" w:rsidRDefault="00E03711" w:rsidP="002F1613">
            <w:pPr>
              <w:pStyle w:val="Guide-NormalBulletpoints"/>
              <w:spacing w:before="60"/>
              <w:rPr>
                <w:lang w:val="sl-SI"/>
              </w:rPr>
            </w:pPr>
            <w:r w:rsidRPr="001048FE">
              <w:rPr>
                <w:b/>
                <w:lang w:val="sl-SI"/>
              </w:rPr>
              <w:t xml:space="preserve">do </w:t>
            </w:r>
            <w:r>
              <w:rPr>
                <w:b/>
                <w:lang w:val="sl-SI"/>
              </w:rPr>
              <w:t>5.</w:t>
            </w:r>
            <w:r w:rsidRPr="001048FE">
              <w:rPr>
                <w:b/>
                <w:lang w:val="sl-SI"/>
              </w:rPr>
              <w:t xml:space="preserve"> februarja do 12. ure (opoldne po bruseljskem času)</w:t>
            </w:r>
            <w:r w:rsidRPr="001048FE">
              <w:rPr>
                <w:lang w:val="sl-SI"/>
              </w:rPr>
              <w:t xml:space="preserve"> za projekte, ki se začnejo med 1. majem in 30. septembrom istega leta;</w:t>
            </w:r>
          </w:p>
          <w:p w14:paraId="7D399BBD" w14:textId="77777777" w:rsidR="00E03711" w:rsidRPr="001048FE" w:rsidRDefault="00E03711" w:rsidP="002F1613">
            <w:pPr>
              <w:pStyle w:val="Guide-NormalBulletpoints"/>
              <w:spacing w:before="60"/>
              <w:rPr>
                <w:lang w:val="sl-SI"/>
              </w:rPr>
            </w:pPr>
            <w:r w:rsidRPr="001048FE">
              <w:rPr>
                <w:b/>
                <w:lang w:val="sl-SI"/>
              </w:rPr>
              <w:t xml:space="preserve">do </w:t>
            </w:r>
            <w:r>
              <w:rPr>
                <w:b/>
                <w:lang w:val="sl-SI"/>
              </w:rPr>
              <w:t>30</w:t>
            </w:r>
            <w:r w:rsidRPr="001048FE">
              <w:rPr>
                <w:b/>
                <w:lang w:val="sl-SI"/>
              </w:rPr>
              <w:t xml:space="preserve">. aprila do 12. ure (opoldne po bruseljskem času) </w:t>
            </w:r>
            <w:r w:rsidRPr="001048FE">
              <w:rPr>
                <w:lang w:val="sl-SI"/>
              </w:rPr>
              <w:t>za projekte, ki se začnejo med 1. avgustom in 31 decembrom istega leta;</w:t>
            </w:r>
          </w:p>
          <w:p w14:paraId="7D399BBE" w14:textId="77777777" w:rsidR="00E03711" w:rsidRPr="001048FE" w:rsidRDefault="00E03711" w:rsidP="002F1613">
            <w:pPr>
              <w:pStyle w:val="Guide-NormalBulletpoints"/>
              <w:spacing w:before="60"/>
              <w:rPr>
                <w:lang w:val="sl-SI"/>
              </w:rPr>
            </w:pPr>
            <w:r w:rsidRPr="001048FE">
              <w:rPr>
                <w:b/>
                <w:lang w:val="sl-SI"/>
              </w:rPr>
              <w:t xml:space="preserve">do </w:t>
            </w:r>
            <w:r>
              <w:rPr>
                <w:b/>
                <w:lang w:val="sl-SI"/>
              </w:rPr>
              <w:t>1</w:t>
            </w:r>
            <w:r w:rsidRPr="001048FE">
              <w:rPr>
                <w:b/>
                <w:lang w:val="sl-SI"/>
              </w:rPr>
              <w:t>. oktobra do 12. ure (opoldne po bruseljskem času)</w:t>
            </w:r>
            <w:r w:rsidRPr="001048FE">
              <w:rPr>
                <w:lang w:val="sl-SI"/>
              </w:rPr>
              <w:t xml:space="preserve"> za projekte, ki se začnejo med 1. januarjem in 31. majem naslednjega leta.</w:t>
            </w:r>
          </w:p>
        </w:tc>
      </w:tr>
      <w:tr w:rsidR="00E03711" w:rsidRPr="00C60205" w14:paraId="7D399BC2" w14:textId="77777777" w:rsidTr="002638AF">
        <w:trPr>
          <w:trHeight w:val="20"/>
        </w:trPr>
        <w:tc>
          <w:tcPr>
            <w:tcW w:w="2046" w:type="dxa"/>
            <w:vAlign w:val="center"/>
          </w:tcPr>
          <w:p w14:paraId="7D399BC0" w14:textId="77777777" w:rsidR="00E03711" w:rsidRPr="00F769E0" w:rsidRDefault="00E03711" w:rsidP="002F1613">
            <w:pPr>
              <w:pStyle w:val="GUIDE-NORMAL"/>
              <w:spacing w:before="60" w:after="60"/>
              <w:jc w:val="left"/>
              <w:rPr>
                <w:rFonts w:cs="Tahoma"/>
                <w:b/>
                <w:lang w:val="sl-SI" w:eastAsia="en-GB"/>
              </w:rPr>
            </w:pPr>
            <w:r w:rsidRPr="00F769E0">
              <w:rPr>
                <w:rFonts w:cs="Tahoma"/>
                <w:b/>
                <w:lang w:val="sl-SI" w:eastAsia="en-GB"/>
              </w:rPr>
              <w:t>Kako se prijaviti?</w:t>
            </w:r>
          </w:p>
        </w:tc>
        <w:tc>
          <w:tcPr>
            <w:tcW w:w="7018" w:type="dxa"/>
            <w:vAlign w:val="center"/>
          </w:tcPr>
          <w:p w14:paraId="7D399BC1" w14:textId="77777777" w:rsidR="00E03711" w:rsidRPr="00F769E0" w:rsidRDefault="00E03711" w:rsidP="002F1613">
            <w:pPr>
              <w:pStyle w:val="GUIDE-NORMAL"/>
              <w:spacing w:before="60" w:after="60"/>
              <w:rPr>
                <w:rFonts w:cs="Tahoma"/>
                <w:lang w:val="sl-SI" w:eastAsia="en-GB"/>
              </w:rPr>
            </w:pPr>
            <w:r w:rsidRPr="00F769E0">
              <w:rPr>
                <w:rFonts w:cs="Tahoma"/>
                <w:lang w:val="sl-SI" w:eastAsia="en-GB"/>
              </w:rPr>
              <w:t>Za podrobnosti o postopku prijave glej del C tega</w:t>
            </w:r>
            <w:r w:rsidRPr="00F769E0">
              <w:rPr>
                <w:rFonts w:cs="Tahoma"/>
                <w:spacing w:val="-31"/>
                <w:lang w:val="sl-SI" w:eastAsia="en-GB"/>
              </w:rPr>
              <w:t xml:space="preserve"> </w:t>
            </w:r>
            <w:r w:rsidRPr="00F769E0">
              <w:rPr>
                <w:rFonts w:cs="Tahoma"/>
                <w:lang w:val="sl-SI" w:eastAsia="en-GB"/>
              </w:rPr>
              <w:t>vodnika.</w:t>
            </w:r>
          </w:p>
        </w:tc>
      </w:tr>
      <w:tr w:rsidR="00E03711" w:rsidRPr="00C60205" w14:paraId="7D399BC6" w14:textId="77777777" w:rsidTr="002638AF">
        <w:trPr>
          <w:trHeight w:val="20"/>
        </w:trPr>
        <w:tc>
          <w:tcPr>
            <w:tcW w:w="2046" w:type="dxa"/>
            <w:vAlign w:val="center"/>
          </w:tcPr>
          <w:p w14:paraId="7D399BC3" w14:textId="77777777" w:rsidR="00E03711" w:rsidRPr="00F769E0" w:rsidRDefault="00E03711" w:rsidP="002F1613">
            <w:pPr>
              <w:pStyle w:val="GUIDE-NORMAL"/>
              <w:spacing w:before="60" w:after="60"/>
              <w:jc w:val="left"/>
              <w:rPr>
                <w:rFonts w:cs="Tahoma"/>
                <w:b/>
                <w:lang w:val="sl-SI" w:eastAsia="en-GB"/>
              </w:rPr>
            </w:pPr>
            <w:r w:rsidRPr="00F769E0">
              <w:rPr>
                <w:rFonts w:cs="Tahoma"/>
                <w:b/>
                <w:lang w:val="sl-SI" w:eastAsia="en-GB"/>
              </w:rPr>
              <w:t>Druga merila</w:t>
            </w:r>
          </w:p>
        </w:tc>
        <w:tc>
          <w:tcPr>
            <w:tcW w:w="7018" w:type="dxa"/>
            <w:vAlign w:val="center"/>
          </w:tcPr>
          <w:p w14:paraId="7D399BC4" w14:textId="77777777" w:rsidR="00E03711" w:rsidRPr="00F769E0" w:rsidRDefault="00E03711" w:rsidP="002F1613">
            <w:pPr>
              <w:pStyle w:val="GUIDE-NORMAL"/>
              <w:spacing w:before="60" w:after="60"/>
              <w:rPr>
                <w:rFonts w:cs="Tahoma"/>
                <w:lang w:val="sl-SI" w:eastAsia="en-GB"/>
              </w:rPr>
            </w:pPr>
            <w:r w:rsidRPr="00F769E0">
              <w:rPr>
                <w:rFonts w:cs="Tahoma"/>
                <w:lang w:val="sl-SI" w:eastAsia="en-GB"/>
              </w:rPr>
              <w:t xml:space="preserve">Prijavnemu obrazcu mora biti priložen časovni razpored za vsako </w:t>
            </w:r>
            <w:r>
              <w:rPr>
                <w:rFonts w:cs="Tahoma"/>
                <w:lang w:val="sl-SI" w:eastAsia="en-GB"/>
              </w:rPr>
              <w:t>aktivnost</w:t>
            </w:r>
            <w:r w:rsidRPr="00F769E0">
              <w:rPr>
                <w:rFonts w:cs="Tahoma"/>
                <w:lang w:val="sl-SI" w:eastAsia="en-GB"/>
              </w:rPr>
              <w:t>, načrtovano v projektu.</w:t>
            </w:r>
          </w:p>
          <w:p w14:paraId="7D399BC5" w14:textId="77777777" w:rsidR="00E03711" w:rsidRPr="00F769E0" w:rsidRDefault="00E03711" w:rsidP="002F1613">
            <w:pPr>
              <w:pStyle w:val="GUIDE-NORMAL"/>
              <w:spacing w:before="60" w:after="60"/>
              <w:rPr>
                <w:rFonts w:cs="Tahoma"/>
                <w:lang w:val="sl-SI" w:eastAsia="en-GB"/>
              </w:rPr>
            </w:pPr>
            <w:r w:rsidRPr="00F769E0">
              <w:rPr>
                <w:rFonts w:cs="Tahoma"/>
                <w:lang w:val="sl-SI" w:eastAsia="en-GB"/>
              </w:rPr>
              <w:t>Prav tako mora biti priložena častna izjava zakonitega zastopnika.</w:t>
            </w:r>
          </w:p>
        </w:tc>
      </w:tr>
    </w:tbl>
    <w:p w14:paraId="7D399BC7" w14:textId="77777777" w:rsidR="00E03711" w:rsidRPr="001048FE" w:rsidRDefault="00E03711" w:rsidP="002F1613">
      <w:pPr>
        <w:pStyle w:val="GUIDE-NORMAL"/>
        <w:rPr>
          <w:lang w:val="sl-SI"/>
        </w:rPr>
      </w:pPr>
      <w:r w:rsidRPr="001048FE">
        <w:rPr>
          <w:lang w:val="sl-SI"/>
        </w:rPr>
        <w:t>Organizacije prijaviteljice bodo ocenjene z ustreznimi merili za izključitev in izbor. Za več informacij glej del C tega vodnika.</w:t>
      </w:r>
    </w:p>
    <w:p w14:paraId="7D399BC8" w14:textId="77777777" w:rsidR="00E03711" w:rsidRPr="001048FE" w:rsidRDefault="00E03711" w:rsidP="005041C6">
      <w:pPr>
        <w:pStyle w:val="Guide-Heading6"/>
        <w:rPr>
          <w:lang w:val="sl-SI"/>
        </w:rPr>
        <w:sectPr w:rsidR="00E03711" w:rsidRPr="001048FE" w:rsidSect="00E15ED3">
          <w:headerReference w:type="even" r:id="rId106"/>
          <w:headerReference w:type="default" r:id="rId107"/>
          <w:endnotePr>
            <w:numFmt w:val="decimal"/>
          </w:endnotePr>
          <w:pgSz w:w="11910" w:h="16840" w:code="9"/>
          <w:pgMar w:top="1134" w:right="1418" w:bottom="1134" w:left="1418" w:header="284" w:footer="567" w:gutter="0"/>
          <w:cols w:space="720"/>
          <w:docGrid w:linePitch="326"/>
        </w:sectPr>
      </w:pPr>
    </w:p>
    <w:p w14:paraId="7D399BC9" w14:textId="77777777" w:rsidR="00E03711" w:rsidRPr="001048FE" w:rsidRDefault="00E03711" w:rsidP="005041C6">
      <w:pPr>
        <w:pStyle w:val="Guide-Heading6"/>
        <w:rPr>
          <w:lang w:val="sl-SI"/>
        </w:rPr>
      </w:pPr>
      <w:r w:rsidRPr="001048FE">
        <w:rPr>
          <w:lang w:val="sl-SI"/>
        </w:rPr>
        <w:t>Merila za dodelitev</w:t>
      </w:r>
    </w:p>
    <w:p w14:paraId="7D399BCA" w14:textId="77777777" w:rsidR="00E03711" w:rsidRPr="001048FE" w:rsidRDefault="00E03711" w:rsidP="002F1613">
      <w:pPr>
        <w:pStyle w:val="GUIDE-NORMAL"/>
        <w:rPr>
          <w:lang w:val="sl-SI"/>
        </w:rPr>
      </w:pPr>
      <w:r w:rsidRPr="001048FE">
        <w:rPr>
          <w:lang w:val="sl-SI"/>
        </w:rPr>
        <w:t>Projekti bodo ocenjeni z naslednjimi merili:</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Look w:val="0000" w:firstRow="0" w:lastRow="0" w:firstColumn="0" w:lastColumn="0" w:noHBand="0" w:noVBand="0"/>
      </w:tblPr>
      <w:tblGrid>
        <w:gridCol w:w="1566"/>
        <w:gridCol w:w="7724"/>
      </w:tblGrid>
      <w:tr w:rsidR="00E03711" w:rsidRPr="00C60205" w14:paraId="7D399BD3" w14:textId="77777777" w:rsidTr="00B72C67">
        <w:trPr>
          <w:cantSplit/>
        </w:trPr>
        <w:tc>
          <w:tcPr>
            <w:tcW w:w="843" w:type="pct"/>
            <w:shd w:val="clear" w:color="auto" w:fill="FFFFFF"/>
            <w:vAlign w:val="center"/>
          </w:tcPr>
          <w:p w14:paraId="7D399BCB" w14:textId="77777777" w:rsidR="00E03711" w:rsidRPr="00F769E0" w:rsidRDefault="00E03711" w:rsidP="000102A1">
            <w:pPr>
              <w:pStyle w:val="GUIDE-NORMAL"/>
              <w:spacing w:before="60" w:after="60"/>
              <w:jc w:val="left"/>
              <w:rPr>
                <w:rFonts w:cs="Tahoma"/>
                <w:b/>
                <w:lang w:val="sl-SI" w:eastAsia="en-GB"/>
              </w:rPr>
            </w:pPr>
            <w:r w:rsidRPr="00F769E0">
              <w:rPr>
                <w:rFonts w:cs="Tahoma"/>
                <w:b/>
                <w:lang w:val="sl-SI" w:eastAsia="en-GB"/>
              </w:rPr>
              <w:t xml:space="preserve">Ustreznost projekta </w:t>
            </w:r>
            <w:r w:rsidRPr="00F769E0">
              <w:rPr>
                <w:rFonts w:cs="Tahoma"/>
                <w:b/>
                <w:lang w:val="sl-SI" w:eastAsia="en-GB"/>
              </w:rPr>
              <w:br/>
              <w:t>(največ 30 točk)</w:t>
            </w:r>
          </w:p>
        </w:tc>
        <w:tc>
          <w:tcPr>
            <w:tcW w:w="4157" w:type="pct"/>
            <w:shd w:val="clear" w:color="auto" w:fill="FFFFFF"/>
          </w:tcPr>
          <w:p w14:paraId="7D399BCC" w14:textId="77777777" w:rsidR="00E03711" w:rsidRPr="001048FE" w:rsidRDefault="00E03711" w:rsidP="005115F2">
            <w:pPr>
              <w:pStyle w:val="Guide-NormalBulletpoints"/>
              <w:numPr>
                <w:ilvl w:val="0"/>
                <w:numId w:val="141"/>
              </w:numPr>
              <w:spacing w:before="60"/>
              <w:jc w:val="left"/>
              <w:rPr>
                <w:lang w:val="sl-SI"/>
              </w:rPr>
            </w:pPr>
            <w:r w:rsidRPr="001048FE">
              <w:rPr>
                <w:lang w:val="sl-SI"/>
              </w:rPr>
              <w:t>Ustreznost predloga v zvezi s:</w:t>
            </w:r>
          </w:p>
          <w:p w14:paraId="7D399BCD" w14:textId="77777777" w:rsidR="00E03711" w:rsidRPr="001048FE" w:rsidRDefault="00E03711" w:rsidP="005115F2">
            <w:pPr>
              <w:pStyle w:val="Guide-ListDash"/>
              <w:numPr>
                <w:ilvl w:val="1"/>
                <w:numId w:val="144"/>
              </w:numPr>
              <w:spacing w:before="60" w:after="60"/>
              <w:jc w:val="left"/>
              <w:rPr>
                <w:lang w:val="sl-SI"/>
              </w:rPr>
            </w:pPr>
            <w:r w:rsidRPr="00FC4A70">
              <w:rPr>
                <w:rFonts w:eastAsia="Calibri" w:cs="Calibri"/>
                <w:bdr w:val="nil"/>
                <w:lang w:val="sl-SI"/>
              </w:rPr>
              <w:t>cilji ukrepa (glejte poglavje "Kaj je cilj tega ukrepa?" zgoraj);</w:t>
            </w:r>
          </w:p>
          <w:p w14:paraId="7D399BCE" w14:textId="77777777" w:rsidR="00E03711" w:rsidRPr="001048FE" w:rsidRDefault="00E03711" w:rsidP="005115F2">
            <w:pPr>
              <w:pStyle w:val="Guide-ListDash"/>
              <w:numPr>
                <w:ilvl w:val="1"/>
                <w:numId w:val="144"/>
              </w:numPr>
              <w:spacing w:before="60" w:after="60"/>
              <w:jc w:val="left"/>
              <w:rPr>
                <w:lang w:val="sl-SI"/>
              </w:rPr>
            </w:pPr>
            <w:r w:rsidRPr="001048FE">
              <w:rPr>
                <w:lang w:val="sl-SI"/>
              </w:rPr>
              <w:t>potrebami in cilji sodelujočih organizacij in posameznih udeležencev;</w:t>
            </w:r>
          </w:p>
          <w:p w14:paraId="7D399BCF" w14:textId="77777777" w:rsidR="00E03711" w:rsidRPr="001048FE" w:rsidRDefault="00E03711" w:rsidP="005115F2">
            <w:pPr>
              <w:pStyle w:val="Guide-NormalBulletpoints"/>
              <w:numPr>
                <w:ilvl w:val="0"/>
                <w:numId w:val="141"/>
              </w:numPr>
              <w:spacing w:before="60"/>
              <w:jc w:val="left"/>
              <w:rPr>
                <w:lang w:val="sl-SI"/>
              </w:rPr>
            </w:pPr>
            <w:r w:rsidRPr="001048FE">
              <w:rPr>
                <w:lang w:val="sl-SI"/>
              </w:rPr>
              <w:t>v kolikšni meri je predlog primeren za:</w:t>
            </w:r>
          </w:p>
          <w:p w14:paraId="7D399BD0" w14:textId="77777777" w:rsidR="00E03711" w:rsidRPr="001048FE" w:rsidRDefault="00E03711" w:rsidP="005115F2">
            <w:pPr>
              <w:pStyle w:val="Guide-ListDash"/>
              <w:numPr>
                <w:ilvl w:val="1"/>
                <w:numId w:val="145"/>
              </w:numPr>
              <w:spacing w:before="60" w:after="60"/>
              <w:jc w:val="left"/>
              <w:rPr>
                <w:lang w:val="sl-SI"/>
              </w:rPr>
            </w:pPr>
            <w:r w:rsidRPr="001048FE">
              <w:rPr>
                <w:lang w:val="sl-SI"/>
              </w:rPr>
              <w:t>doseganje visokokakovostnih rezultatov za udeležence,</w:t>
            </w:r>
          </w:p>
          <w:p w14:paraId="7D399BD1" w14:textId="77777777" w:rsidR="00E03711" w:rsidRPr="001048FE" w:rsidRDefault="00E03711" w:rsidP="005115F2">
            <w:pPr>
              <w:pStyle w:val="Guide-ListDash"/>
              <w:numPr>
                <w:ilvl w:val="1"/>
                <w:numId w:val="145"/>
              </w:numPr>
              <w:spacing w:before="60" w:after="60"/>
              <w:jc w:val="left"/>
              <w:rPr>
                <w:lang w:val="sl-SI"/>
              </w:rPr>
            </w:pPr>
            <w:r w:rsidRPr="001048FE">
              <w:rPr>
                <w:lang w:val="sl-SI"/>
              </w:rPr>
              <w:t>krepitev zmogljivosti sodelujočih organizacij;</w:t>
            </w:r>
          </w:p>
          <w:p w14:paraId="7D399BD2" w14:textId="77777777" w:rsidR="00E03711" w:rsidRPr="001048FE" w:rsidRDefault="00E03711" w:rsidP="005115F2">
            <w:pPr>
              <w:pStyle w:val="Guide-NormalBulletpoints"/>
              <w:numPr>
                <w:ilvl w:val="0"/>
                <w:numId w:val="141"/>
              </w:numPr>
              <w:spacing w:before="60"/>
              <w:jc w:val="left"/>
              <w:rPr>
                <w:lang w:val="sl-SI"/>
              </w:rPr>
            </w:pPr>
            <w:r w:rsidRPr="001048FE">
              <w:rPr>
                <w:lang w:val="sl-SI"/>
              </w:rPr>
              <w:t>v kolikšni meri projekt vključuje mlade z manj priložnostmi.</w:t>
            </w:r>
          </w:p>
        </w:tc>
      </w:tr>
      <w:tr w:rsidR="00E03711" w:rsidRPr="00C60205" w14:paraId="7D399BDC" w14:textId="77777777" w:rsidTr="00B72C67">
        <w:trPr>
          <w:cantSplit/>
        </w:trPr>
        <w:tc>
          <w:tcPr>
            <w:tcW w:w="843" w:type="pct"/>
            <w:shd w:val="clear" w:color="auto" w:fill="FFFFFF"/>
            <w:vAlign w:val="center"/>
          </w:tcPr>
          <w:p w14:paraId="7D399BD4" w14:textId="77777777" w:rsidR="00E03711" w:rsidRPr="00F769E0" w:rsidRDefault="00E03711" w:rsidP="000102A1">
            <w:pPr>
              <w:pStyle w:val="GUIDE-NORMAL"/>
              <w:spacing w:before="60" w:after="60"/>
              <w:jc w:val="left"/>
              <w:rPr>
                <w:rFonts w:cs="Tahoma"/>
                <w:b/>
                <w:lang w:val="sl-SI" w:eastAsia="en-GB"/>
              </w:rPr>
            </w:pPr>
            <w:r w:rsidRPr="00F769E0">
              <w:rPr>
                <w:rFonts w:cs="Tahoma"/>
                <w:b/>
                <w:lang w:val="sl-SI" w:eastAsia="en-GB"/>
              </w:rPr>
              <w:t xml:space="preserve">Kakovost zasnove in izvedbe projekta </w:t>
            </w:r>
            <w:r w:rsidRPr="00F769E0">
              <w:rPr>
                <w:rFonts w:cs="Tahoma"/>
                <w:b/>
                <w:lang w:val="sl-SI" w:eastAsia="en-GB"/>
              </w:rPr>
              <w:br/>
              <w:t>(največ 40 točk)</w:t>
            </w:r>
          </w:p>
        </w:tc>
        <w:tc>
          <w:tcPr>
            <w:tcW w:w="4157" w:type="pct"/>
            <w:shd w:val="clear" w:color="auto" w:fill="FFFFFF"/>
          </w:tcPr>
          <w:p w14:paraId="7D399BD5" w14:textId="77777777" w:rsidR="00E03711" w:rsidRPr="001048FE" w:rsidRDefault="00E03711" w:rsidP="005115F2">
            <w:pPr>
              <w:pStyle w:val="Guide-NormalBulletpoints"/>
              <w:numPr>
                <w:ilvl w:val="0"/>
                <w:numId w:val="142"/>
              </w:numPr>
              <w:spacing w:before="60"/>
              <w:jc w:val="left"/>
              <w:rPr>
                <w:lang w:val="sl-SI"/>
              </w:rPr>
            </w:pPr>
            <w:r w:rsidRPr="001048FE">
              <w:rPr>
                <w:lang w:val="sl-SI"/>
              </w:rPr>
              <w:t>jasnost, celovitost in kakovost vseh faz predloga projekta (priprava, izvajanje mobilnosti in nadaljnje spremljanje);</w:t>
            </w:r>
          </w:p>
          <w:p w14:paraId="7D399BD6" w14:textId="77777777" w:rsidR="00E03711" w:rsidRPr="001048FE" w:rsidRDefault="00E03711" w:rsidP="005115F2">
            <w:pPr>
              <w:pStyle w:val="Guide-NormalBulletpoints"/>
              <w:numPr>
                <w:ilvl w:val="0"/>
                <w:numId w:val="142"/>
              </w:numPr>
              <w:spacing w:before="60"/>
              <w:jc w:val="left"/>
              <w:rPr>
                <w:lang w:val="sl-SI"/>
              </w:rPr>
            </w:pPr>
            <w:r w:rsidRPr="001048FE">
              <w:rPr>
                <w:lang w:val="sl-SI"/>
              </w:rPr>
              <w:t>usklajenost ciljev projekta in predlaganih aktivnosti;</w:t>
            </w:r>
          </w:p>
          <w:p w14:paraId="7D399BD7" w14:textId="77777777" w:rsidR="00E03711" w:rsidRPr="001048FE" w:rsidRDefault="00E03711" w:rsidP="005115F2">
            <w:pPr>
              <w:pStyle w:val="Guide-NormalBulletpoints"/>
              <w:numPr>
                <w:ilvl w:val="0"/>
                <w:numId w:val="142"/>
              </w:numPr>
              <w:spacing w:before="60"/>
              <w:jc w:val="left"/>
              <w:rPr>
                <w:lang w:val="sl-SI"/>
              </w:rPr>
            </w:pPr>
            <w:r w:rsidRPr="001048FE">
              <w:rPr>
                <w:lang w:val="sl-SI"/>
              </w:rPr>
              <w:t>kakovost praktičnih ureditev, načinov upravljanja in podpore;</w:t>
            </w:r>
          </w:p>
          <w:p w14:paraId="7D399BD8" w14:textId="77777777" w:rsidR="00E03711" w:rsidRPr="001048FE" w:rsidRDefault="00E03711" w:rsidP="005115F2">
            <w:pPr>
              <w:pStyle w:val="Guide-NormalBulletpoints"/>
              <w:numPr>
                <w:ilvl w:val="0"/>
                <w:numId w:val="142"/>
              </w:numPr>
              <w:spacing w:before="60"/>
              <w:jc w:val="left"/>
              <w:rPr>
                <w:lang w:val="sl-SI"/>
              </w:rPr>
            </w:pPr>
            <w:r w:rsidRPr="001048FE">
              <w:rPr>
                <w:lang w:val="sl-SI"/>
              </w:rPr>
              <w:t>kakovost predlaganih participativnih metod neformalnega učenja in aktivno vključevanje mladih v vse faze projekta;</w:t>
            </w:r>
          </w:p>
          <w:p w14:paraId="7D399BD9" w14:textId="77777777" w:rsidR="00E03711" w:rsidRPr="001048FE" w:rsidRDefault="00E03711" w:rsidP="005115F2">
            <w:pPr>
              <w:pStyle w:val="Guide-NormalBulletpoints"/>
              <w:numPr>
                <w:ilvl w:val="0"/>
                <w:numId w:val="142"/>
              </w:numPr>
              <w:spacing w:before="60"/>
              <w:jc w:val="left"/>
              <w:rPr>
                <w:lang w:val="sl-SI"/>
              </w:rPr>
            </w:pPr>
            <w:r w:rsidRPr="001048FE">
              <w:rPr>
                <w:lang w:val="sl-SI"/>
              </w:rPr>
              <w:t>ustreznost ukrepov za izbor in/ali vključevanje udeležencev v aktivnosti;</w:t>
            </w:r>
          </w:p>
          <w:p w14:paraId="7D399BDA" w14:textId="77777777" w:rsidR="00E03711" w:rsidRPr="001048FE" w:rsidRDefault="00E03711" w:rsidP="005115F2">
            <w:pPr>
              <w:pStyle w:val="Guide-NormalBulletpoints"/>
              <w:numPr>
                <w:ilvl w:val="0"/>
                <w:numId w:val="142"/>
              </w:numPr>
              <w:spacing w:before="60"/>
              <w:jc w:val="left"/>
              <w:rPr>
                <w:lang w:val="sl-SI"/>
              </w:rPr>
            </w:pPr>
            <w:r w:rsidRPr="001048FE">
              <w:rPr>
                <w:lang w:val="sl-SI"/>
              </w:rPr>
              <w:t>v kolikšni meri predlog projekta vključuje ustrezne oblikovalce politik (oblikovalce politik, strokovnjake na področju mladine, predstavnike javnih organov, ki so odgovorni za področje mladine itd.);</w:t>
            </w:r>
          </w:p>
          <w:p w14:paraId="7D399BDB" w14:textId="77777777" w:rsidR="00E03711" w:rsidRPr="001048FE" w:rsidRDefault="00E03711" w:rsidP="005115F2">
            <w:pPr>
              <w:pStyle w:val="Guide-NormalBulletpoints"/>
              <w:numPr>
                <w:ilvl w:val="0"/>
                <w:numId w:val="142"/>
              </w:numPr>
              <w:spacing w:before="60"/>
              <w:jc w:val="left"/>
              <w:rPr>
                <w:lang w:val="sl-SI"/>
              </w:rPr>
            </w:pPr>
            <w:r w:rsidRPr="001048FE">
              <w:rPr>
                <w:lang w:val="sl-SI"/>
              </w:rPr>
              <w:t>če je ustrezno, kakovost sodelovanja in obveščanja med sodelujočimi organizacijami in drugimi pomembnimi deležniki.</w:t>
            </w:r>
          </w:p>
        </w:tc>
      </w:tr>
      <w:tr w:rsidR="00E03711" w:rsidRPr="00C60205" w14:paraId="7D399BE4" w14:textId="77777777" w:rsidTr="00B72C67">
        <w:trPr>
          <w:cantSplit/>
        </w:trPr>
        <w:tc>
          <w:tcPr>
            <w:tcW w:w="843" w:type="pct"/>
            <w:shd w:val="clear" w:color="auto" w:fill="FFFFFF"/>
            <w:vAlign w:val="center"/>
          </w:tcPr>
          <w:p w14:paraId="7D399BDD" w14:textId="77777777" w:rsidR="00E03711" w:rsidRPr="00F769E0" w:rsidRDefault="00E03711" w:rsidP="000102A1">
            <w:pPr>
              <w:pStyle w:val="GUIDE-NORMAL"/>
              <w:spacing w:before="60" w:after="60"/>
              <w:jc w:val="left"/>
              <w:rPr>
                <w:rFonts w:cs="Tahoma"/>
                <w:b/>
                <w:lang w:val="sl-SI" w:eastAsia="en-GB"/>
              </w:rPr>
            </w:pPr>
            <w:r w:rsidRPr="00F769E0">
              <w:rPr>
                <w:rFonts w:cs="Tahoma"/>
                <w:b/>
                <w:lang w:val="sl-SI" w:eastAsia="en-GB"/>
              </w:rPr>
              <w:t>Učinek in razširjanje (največ 30 točk)</w:t>
            </w:r>
          </w:p>
        </w:tc>
        <w:tc>
          <w:tcPr>
            <w:tcW w:w="4157" w:type="pct"/>
            <w:shd w:val="clear" w:color="auto" w:fill="FFFFFF"/>
          </w:tcPr>
          <w:p w14:paraId="7D399BDE" w14:textId="77777777" w:rsidR="00E03711" w:rsidRPr="001048FE" w:rsidRDefault="00E03711" w:rsidP="005115F2">
            <w:pPr>
              <w:pStyle w:val="Guide-NormalBulletpoints"/>
              <w:numPr>
                <w:ilvl w:val="0"/>
                <w:numId w:val="143"/>
              </w:numPr>
              <w:spacing w:before="60"/>
              <w:jc w:val="left"/>
              <w:rPr>
                <w:lang w:val="sl-SI"/>
              </w:rPr>
            </w:pPr>
            <w:r w:rsidRPr="001048FE">
              <w:rPr>
                <w:lang w:val="sl-SI"/>
              </w:rPr>
              <w:t>kakovost ukrepov za ocenjevanje rezultatov projekta;</w:t>
            </w:r>
          </w:p>
          <w:p w14:paraId="7D399BDF" w14:textId="77777777" w:rsidR="00E03711" w:rsidRPr="001048FE" w:rsidRDefault="00E03711" w:rsidP="005115F2">
            <w:pPr>
              <w:pStyle w:val="Guide-NormalBulletpoints"/>
              <w:numPr>
                <w:ilvl w:val="0"/>
                <w:numId w:val="143"/>
              </w:numPr>
              <w:spacing w:before="60"/>
              <w:jc w:val="left"/>
              <w:rPr>
                <w:lang w:val="sl-SI"/>
              </w:rPr>
            </w:pPr>
            <w:r w:rsidRPr="001048FE">
              <w:rPr>
                <w:lang w:val="sl-SI"/>
              </w:rPr>
              <w:t>morebitni učinek projekta:</w:t>
            </w:r>
          </w:p>
          <w:p w14:paraId="7D399BE0" w14:textId="77777777" w:rsidR="00E03711" w:rsidRPr="001048FE" w:rsidRDefault="00E03711" w:rsidP="005115F2">
            <w:pPr>
              <w:pStyle w:val="Guide-ListDash"/>
              <w:numPr>
                <w:ilvl w:val="1"/>
                <w:numId w:val="146"/>
              </w:numPr>
              <w:spacing w:before="60" w:after="60"/>
              <w:jc w:val="left"/>
              <w:rPr>
                <w:lang w:val="sl-SI"/>
              </w:rPr>
            </w:pPr>
            <w:r w:rsidRPr="001048FE">
              <w:rPr>
                <w:lang w:val="sl-SI"/>
              </w:rPr>
              <w:t>na udeležence in sodelujoče organizacije med življenjskim ciklom projekta in po njem;</w:t>
            </w:r>
          </w:p>
          <w:p w14:paraId="7D399BE1" w14:textId="77777777" w:rsidR="00E03711" w:rsidRPr="001048FE" w:rsidRDefault="00E03711" w:rsidP="005115F2">
            <w:pPr>
              <w:pStyle w:val="Guide-ListDash"/>
              <w:numPr>
                <w:ilvl w:val="1"/>
                <w:numId w:val="146"/>
              </w:numPr>
              <w:spacing w:before="60" w:after="60"/>
              <w:jc w:val="left"/>
              <w:rPr>
                <w:lang w:val="sl-SI"/>
              </w:rPr>
            </w:pPr>
            <w:r w:rsidRPr="001048FE">
              <w:rPr>
                <w:lang w:val="sl-SI"/>
              </w:rPr>
              <w:t>na druga področja, poleg organizacij in posameznikov, ki neposredno sodelujejo v projektu, na lokalni, regionalni, nacionalni in/ali evropski ravni;</w:t>
            </w:r>
          </w:p>
          <w:p w14:paraId="7D399BE2" w14:textId="77777777" w:rsidR="00E03711" w:rsidRPr="001048FE" w:rsidRDefault="00E03711" w:rsidP="005115F2">
            <w:pPr>
              <w:pStyle w:val="Guide-NormalBulletpoints"/>
              <w:numPr>
                <w:ilvl w:val="0"/>
                <w:numId w:val="143"/>
              </w:numPr>
              <w:spacing w:before="60"/>
              <w:jc w:val="left"/>
              <w:rPr>
                <w:lang w:val="sl-SI"/>
              </w:rPr>
            </w:pPr>
            <w:r w:rsidRPr="001048FE">
              <w:rPr>
                <w:lang w:val="sl-SI"/>
              </w:rPr>
              <w:t>ustreznost in kakovost ukrepov, katerih cilj je razširjanje rezultatov projekta v sodelujočih organizacijah in drugod;</w:t>
            </w:r>
          </w:p>
          <w:p w14:paraId="7D399BE3" w14:textId="77777777" w:rsidR="00E03711" w:rsidRPr="001048FE" w:rsidRDefault="00E03711" w:rsidP="005115F2">
            <w:pPr>
              <w:pStyle w:val="Guide-NormalBulletpoints"/>
              <w:numPr>
                <w:ilvl w:val="0"/>
                <w:numId w:val="143"/>
              </w:numPr>
              <w:spacing w:before="60"/>
              <w:jc w:val="left"/>
              <w:rPr>
                <w:lang w:val="sl-SI"/>
              </w:rPr>
            </w:pPr>
            <w:r w:rsidRPr="001048FE">
              <w:rPr>
                <w:lang w:val="sl-SI"/>
              </w:rPr>
              <w:t>če je ustrezno, v kolikšni meri predlog opiše, kako se bo omogočil prost dostop z odprtimi licencami do ustvarjenih gradiv, dokumentov in nosilcev podatkov ter kako se bo o njih obveščalo; predlog ne vsebuje nesorazmernih omejitev.</w:t>
            </w:r>
          </w:p>
        </w:tc>
      </w:tr>
    </w:tbl>
    <w:p w14:paraId="7D399BE5" w14:textId="77777777" w:rsidR="00E03711" w:rsidRPr="001048FE" w:rsidRDefault="00E03711" w:rsidP="000102A1">
      <w:pPr>
        <w:pStyle w:val="GUIDE-NORMAL"/>
        <w:rPr>
          <w:lang w:val="sl-SI"/>
        </w:rPr>
      </w:pPr>
      <w:r w:rsidRPr="001048FE">
        <w:rPr>
          <w:lang w:val="sl-SI"/>
        </w:rPr>
        <w:t>Za upoštevanje pri dodeljevanju sredstev morajo predlogi doseči vsaj 60 točk. Poleg tega morajo doseči vsaj polovico vseh možnih točk v vsaki od navedenih kategorij meril za dodelitev (tj. vsaj 15 točk za kategoriji „Ustreznost projekta“ ter „Učinek in razširjanje“; 20 točk za kategorijo „Kakovost zasnove in izvedbe projekta“).</w:t>
      </w:r>
    </w:p>
    <w:p w14:paraId="7D399BE6" w14:textId="77777777" w:rsidR="00E03711" w:rsidRPr="001048FE" w:rsidRDefault="00E03711" w:rsidP="000102A1">
      <w:pPr>
        <w:pStyle w:val="Guide-Heading5"/>
        <w:rPr>
          <w:lang w:val="sl-SI"/>
        </w:rPr>
      </w:pPr>
      <w:r w:rsidRPr="001048FE">
        <w:rPr>
          <w:lang w:val="sl-SI"/>
        </w:rPr>
        <w:t>Kaj je še treba vedeti o tem ukrepu?</w:t>
      </w:r>
    </w:p>
    <w:p w14:paraId="7D399BE7" w14:textId="77777777" w:rsidR="00E03711" w:rsidRPr="00FC4A70" w:rsidRDefault="00E03711" w:rsidP="005404E1">
      <w:pPr>
        <w:pStyle w:val="Guide-Heading6"/>
        <w:rPr>
          <w:lang w:val="sl-SI"/>
        </w:rPr>
      </w:pPr>
      <w:r w:rsidRPr="00FC4A70">
        <w:rPr>
          <w:rFonts w:eastAsia="Calibri" w:cs="Calibri"/>
          <w:bCs/>
          <w:szCs w:val="20"/>
          <w:bdr w:val="nil"/>
          <w:lang w:val="sl-SI"/>
        </w:rPr>
        <w:t>Izredni stroški za drago potovanje</w:t>
      </w:r>
    </w:p>
    <w:p w14:paraId="7D399BE8" w14:textId="77777777" w:rsidR="00E03711" w:rsidRPr="001048FE" w:rsidRDefault="00E03711" w:rsidP="000102A1">
      <w:pPr>
        <w:pStyle w:val="GUIDE-NORMAL"/>
        <w:rPr>
          <w:lang w:val="sl-SI"/>
        </w:rPr>
      </w:pPr>
      <w:r w:rsidRPr="00FC4A70">
        <w:rPr>
          <w:rFonts w:eastAsia="Calibri" w:cs="Calibri"/>
          <w:bdr w:val="nil"/>
          <w:lang w:val="sl-SI"/>
        </w:rPr>
        <w:t>Prijavitelji projektov mobilnosti lahko zahtevajo finančno podporo za potne stroške udeležencev pod proračunsko postavko „izredni stroški“ (do največ 80 % vseh upravičenih stroškov: glej „Kakšna so pravila za dodelitev sredstev?“)</w:t>
      </w:r>
      <w:r>
        <w:rPr>
          <w:rFonts w:eastAsia="Calibri" w:cs="Calibri"/>
          <w:bdr w:val="nil"/>
          <w:lang w:val="sl-SI"/>
        </w:rPr>
        <w:t>, vključno s primeri, ko se udeleženci odločijo za čistejša prevozna sredstva, z manj emisijami ogljika (npr. vlak), kar vodi do višjih stroškov potovanja</w:t>
      </w:r>
      <w:r w:rsidRPr="00FC4A70">
        <w:rPr>
          <w:rFonts w:eastAsia="Calibri" w:cs="Calibri"/>
          <w:bdr w:val="nil"/>
          <w:lang w:val="sl-SI"/>
        </w:rPr>
        <w:t>. To je dovoljeno pod pogojem, da lahko prijavitelji utemeljijo, da običajna pravila financiranja (na podlagi prispevka za stroške na enoto za pas oddaljenosti) ne krijejo vsaj 70 % potnih stroškov udeležencev. Če so dodeljena, se namesto standardnih potnih stroškov upoštevajo izredni stroški za drago potovanje.</w:t>
      </w:r>
    </w:p>
    <w:p w14:paraId="7D399BE9" w14:textId="77777777" w:rsidR="00E03711" w:rsidRDefault="00E03711" w:rsidP="000102A1">
      <w:pPr>
        <w:pStyle w:val="Guide-Heading5"/>
        <w:rPr>
          <w:lang w:val="sl-SI"/>
        </w:rPr>
        <w:sectPr w:rsidR="00E03711" w:rsidSect="00E15ED3">
          <w:headerReference w:type="default" r:id="rId108"/>
          <w:endnotePr>
            <w:numFmt w:val="decimal"/>
          </w:endnotePr>
          <w:pgSz w:w="11910" w:h="16840" w:code="9"/>
          <w:pgMar w:top="1134" w:right="1418" w:bottom="1134" w:left="1418" w:header="284" w:footer="567" w:gutter="0"/>
          <w:cols w:space="720"/>
          <w:docGrid w:linePitch="326"/>
        </w:sectPr>
      </w:pPr>
    </w:p>
    <w:p w14:paraId="7D399BEA" w14:textId="77777777" w:rsidR="00E03711" w:rsidRPr="001048FE" w:rsidRDefault="00E03711" w:rsidP="000102A1">
      <w:pPr>
        <w:pStyle w:val="Guide-Heading5"/>
        <w:rPr>
          <w:lang w:val="sl-SI"/>
        </w:rPr>
      </w:pPr>
      <w:r w:rsidRPr="001048FE">
        <w:rPr>
          <w:lang w:val="sl-SI"/>
        </w:rPr>
        <w:t>Kakšna so pravila za dodelitev sredstev?</w:t>
      </w:r>
    </w:p>
    <w:p w14:paraId="7D399BEB" w14:textId="77777777" w:rsidR="00E03711" w:rsidRPr="001048FE" w:rsidRDefault="00E03711" w:rsidP="000102A1">
      <w:pPr>
        <w:pStyle w:val="GUIDE-NORMAL"/>
        <w:rPr>
          <w:lang w:val="sl-SI"/>
        </w:rPr>
      </w:pPr>
      <w:r w:rsidRPr="001048FE">
        <w:rPr>
          <w:lang w:val="sl-SI"/>
        </w:rPr>
        <w:t>Proračun projekta je treba pripraviti v skladu z naslednjimi pravili za dodelitev sredstev (v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8"/>
      </w:tblGrid>
      <w:tr w:rsidR="00E03711" w:rsidRPr="00C60205" w14:paraId="7D399BED" w14:textId="77777777" w:rsidTr="00237696">
        <w:tc>
          <w:tcPr>
            <w:tcW w:w="9064" w:type="dxa"/>
            <w:shd w:val="clear" w:color="auto" w:fill="auto"/>
          </w:tcPr>
          <w:p w14:paraId="7D399BEC" w14:textId="77777777" w:rsidR="00E03711" w:rsidRPr="00237696" w:rsidRDefault="00E03711" w:rsidP="006F1AEE">
            <w:pPr>
              <w:pStyle w:val="GUIDE-NORMAL"/>
              <w:spacing w:before="60" w:after="60"/>
              <w:jc w:val="center"/>
              <w:rPr>
                <w:b/>
                <w:lang w:val="sl-SI" w:eastAsia="en-GB"/>
              </w:rPr>
            </w:pPr>
            <w:r w:rsidRPr="00237696">
              <w:rPr>
                <w:b/>
                <w:lang w:val="sl-SI" w:eastAsia="en-GB"/>
              </w:rPr>
              <w:t xml:space="preserve">Najvišja vrednost dodeljenih nepovratnih sredstev na projekt za </w:t>
            </w:r>
            <w:r>
              <w:rPr>
                <w:b/>
                <w:lang w:val="sl-SI" w:eastAsia="en-GB"/>
              </w:rPr>
              <w:t>projekt</w:t>
            </w:r>
            <w:r w:rsidRPr="00237696">
              <w:rPr>
                <w:b/>
                <w:lang w:val="sl-SI" w:eastAsia="en-GB"/>
              </w:rPr>
              <w:t xml:space="preserve"> za dialog</w:t>
            </w:r>
            <w:r>
              <w:rPr>
                <w:b/>
                <w:lang w:val="sl-SI" w:eastAsia="en-GB"/>
              </w:rPr>
              <w:t xml:space="preserve"> mladih</w:t>
            </w:r>
            <w:r w:rsidRPr="00237696">
              <w:rPr>
                <w:b/>
                <w:lang w:val="sl-SI" w:eastAsia="en-GB"/>
              </w:rPr>
              <w:t>: 50 000 EUR</w:t>
            </w:r>
          </w:p>
        </w:tc>
      </w:tr>
    </w:tbl>
    <w:p w14:paraId="7D399BEE" w14:textId="77777777" w:rsidR="00E03711" w:rsidRPr="001048FE" w:rsidRDefault="00E03711" w:rsidP="00AE6A07">
      <w:pPr>
        <w:pStyle w:val="Guide-Table"/>
        <w:rPr>
          <w:b/>
          <w:lang w:val="sl-SI"/>
        </w:rPr>
      </w:pPr>
    </w:p>
    <w:tbl>
      <w:tblPr>
        <w:tblW w:w="5000" w:type="pct"/>
        <w:tblLook w:val="0000" w:firstRow="0" w:lastRow="0" w:firstColumn="0" w:lastColumn="0" w:noHBand="0" w:noVBand="0"/>
      </w:tblPr>
      <w:tblGrid>
        <w:gridCol w:w="1752"/>
        <w:gridCol w:w="4386"/>
        <w:gridCol w:w="1919"/>
        <w:gridCol w:w="3972"/>
        <w:gridCol w:w="2759"/>
      </w:tblGrid>
      <w:tr w:rsidR="00E03711" w:rsidRPr="008C6F8C" w14:paraId="7D399BF3" w14:textId="77777777" w:rsidTr="00A86879">
        <w:trPr>
          <w:trHeight w:val="20"/>
        </w:trPr>
        <w:tc>
          <w:tcPr>
            <w:tcW w:w="207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9BEF" w14:textId="77777777" w:rsidR="00E03711" w:rsidRPr="00F769E0" w:rsidRDefault="00E03711" w:rsidP="00003BB2">
            <w:pPr>
              <w:pStyle w:val="GUIDE-NORMAL"/>
              <w:spacing w:before="20" w:after="20"/>
              <w:jc w:val="center"/>
              <w:rPr>
                <w:rFonts w:cs="Tahoma"/>
                <w:b/>
                <w:lang w:val="sl-SI" w:eastAsia="en-GB"/>
              </w:rPr>
            </w:pPr>
            <w:r w:rsidRPr="00F769E0">
              <w:rPr>
                <w:rFonts w:cs="Tahoma"/>
                <w:b/>
                <w:lang w:val="sl-SI" w:eastAsia="en-GB"/>
              </w:rPr>
              <w:t>Upravičeni stroški</w:t>
            </w:r>
          </w:p>
        </w:tc>
        <w:tc>
          <w:tcPr>
            <w:tcW w:w="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BF0" w14:textId="77777777" w:rsidR="00E03711" w:rsidRPr="00F769E0" w:rsidRDefault="00E03711" w:rsidP="00003BB2">
            <w:pPr>
              <w:pStyle w:val="GUIDE-NORMAL"/>
              <w:spacing w:before="20" w:after="20"/>
              <w:jc w:val="center"/>
              <w:rPr>
                <w:rFonts w:cs="Tahoma"/>
                <w:b/>
                <w:lang w:val="sl-SI" w:eastAsia="en-GB"/>
              </w:rPr>
            </w:pPr>
            <w:r w:rsidRPr="00F769E0">
              <w:rPr>
                <w:rFonts w:cs="Tahoma"/>
                <w:b/>
                <w:lang w:val="sl-SI" w:eastAsia="en-GB"/>
              </w:rPr>
              <w:t>Mehanizem financiranja</w:t>
            </w:r>
          </w:p>
        </w:tc>
        <w:tc>
          <w:tcPr>
            <w:tcW w:w="13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BF1" w14:textId="77777777" w:rsidR="00E03711" w:rsidRPr="00F769E0" w:rsidRDefault="00E03711" w:rsidP="00003BB2">
            <w:pPr>
              <w:pStyle w:val="GUIDE-NORMAL"/>
              <w:spacing w:before="20" w:after="20"/>
              <w:jc w:val="center"/>
              <w:rPr>
                <w:rFonts w:cs="Tahoma"/>
                <w:b/>
                <w:lang w:val="sl-SI" w:eastAsia="en-GB"/>
              </w:rPr>
            </w:pPr>
            <w:r w:rsidRPr="00F769E0">
              <w:rPr>
                <w:rFonts w:cs="Tahoma"/>
                <w:b/>
                <w:lang w:val="sl-SI" w:eastAsia="en-GB"/>
              </w:rPr>
              <w:t>Znesek</w:t>
            </w:r>
          </w:p>
        </w:tc>
        <w:tc>
          <w:tcPr>
            <w:tcW w:w="9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BF2" w14:textId="77777777" w:rsidR="00E03711" w:rsidRPr="00F769E0" w:rsidRDefault="00E03711" w:rsidP="00003BB2">
            <w:pPr>
              <w:pStyle w:val="GUIDE-NORMAL"/>
              <w:spacing w:before="20" w:after="20"/>
              <w:jc w:val="center"/>
              <w:rPr>
                <w:rFonts w:cs="Tahoma"/>
                <w:b/>
                <w:lang w:val="sl-SI" w:eastAsia="en-GB"/>
              </w:rPr>
            </w:pPr>
            <w:r w:rsidRPr="00F769E0">
              <w:rPr>
                <w:rFonts w:cs="Tahoma"/>
                <w:b/>
                <w:lang w:val="sl-SI" w:eastAsia="en-GB"/>
              </w:rPr>
              <w:t>Pravilo dodelitve</w:t>
            </w:r>
          </w:p>
        </w:tc>
      </w:tr>
      <w:tr w:rsidR="00E03711" w:rsidRPr="00C60205" w14:paraId="7D399BF9" w14:textId="77777777" w:rsidTr="00A86879">
        <w:trPr>
          <w:trHeight w:val="20"/>
        </w:trPr>
        <w:tc>
          <w:tcPr>
            <w:tcW w:w="59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BF4" w14:textId="77777777" w:rsidR="00E03711" w:rsidRPr="00F769E0" w:rsidRDefault="00E03711" w:rsidP="00150777">
            <w:pPr>
              <w:pStyle w:val="GUIDE-NORMAL"/>
              <w:spacing w:before="60" w:after="60"/>
              <w:jc w:val="left"/>
              <w:rPr>
                <w:rFonts w:cs="Tahoma"/>
                <w:b/>
                <w:lang w:val="sl-SI" w:eastAsia="en-GB"/>
              </w:rPr>
            </w:pPr>
            <w:r w:rsidRPr="00F769E0">
              <w:rPr>
                <w:rFonts w:cs="Tahoma"/>
                <w:b/>
                <w:lang w:val="sl-SI" w:eastAsia="en-GB"/>
              </w:rPr>
              <w:t>Pot</w:t>
            </w:r>
          </w:p>
        </w:tc>
        <w:tc>
          <w:tcPr>
            <w:tcW w:w="148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BF5"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Prispevek za potne stroške udeležencev, vključno s spremljevalci, od njihovega kraja izvora do kraja izvajanja aktivnosti in nazaj.</w:t>
            </w:r>
          </w:p>
        </w:tc>
        <w:tc>
          <w:tcPr>
            <w:tcW w:w="64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BF6"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3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BF7"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Za razdalje od 10 do 99 km: 20 EUR na udeleženca.</w:t>
            </w:r>
          </w:p>
        </w:tc>
        <w:tc>
          <w:tcPr>
            <w:tcW w:w="9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BF8"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Glede na razdaljo poti na udeleženca. Razdaljo je treba izračunati s kalkulatorjem razdalje, ki ga podpira Evropska komisija</w:t>
            </w:r>
            <w:r w:rsidRPr="00F769E0">
              <w:rPr>
                <w:rStyle w:val="FootnoteReference"/>
                <w:rFonts w:cs="Tahoma"/>
                <w:lang w:val="sl-SI" w:eastAsia="en-GB"/>
              </w:rPr>
              <w:footnoteReference w:id="232"/>
            </w:r>
            <w:r w:rsidRPr="00F769E0">
              <w:rPr>
                <w:rFonts w:cs="Tahoma"/>
                <w:lang w:val="sl-SI" w:eastAsia="en-GB"/>
              </w:rPr>
              <w:t>. Prijavitelj mora navesti razdaljo enosmerne poti za izračun zneska nepovratnih sredstev EU za kritje povratne poti</w:t>
            </w:r>
            <w:r w:rsidRPr="00F769E0">
              <w:rPr>
                <w:rStyle w:val="FootnoteReference"/>
                <w:rFonts w:cs="Tahoma"/>
                <w:lang w:val="sl-SI" w:eastAsia="en-GB"/>
              </w:rPr>
              <w:footnoteReference w:id="233"/>
            </w:r>
            <w:r w:rsidRPr="00F769E0">
              <w:rPr>
                <w:rFonts w:cs="Tahoma"/>
                <w:lang w:val="sl-SI" w:eastAsia="en-GB"/>
              </w:rPr>
              <w:t>.</w:t>
            </w:r>
          </w:p>
        </w:tc>
      </w:tr>
      <w:tr w:rsidR="00E03711" w:rsidRPr="00C60205" w14:paraId="7D399BFF" w14:textId="77777777" w:rsidTr="00A86879">
        <w:trPr>
          <w:trHeight w:val="20"/>
        </w:trPr>
        <w:tc>
          <w:tcPr>
            <w:tcW w:w="592" w:type="pct"/>
            <w:vMerge/>
            <w:tcBorders>
              <w:top w:val="nil"/>
              <w:left w:val="single" w:sz="4" w:space="0" w:color="000000"/>
              <w:bottom w:val="single" w:sz="4" w:space="0" w:color="000000"/>
              <w:right w:val="single" w:sz="4" w:space="0" w:color="000000"/>
            </w:tcBorders>
            <w:shd w:val="clear" w:color="auto" w:fill="auto"/>
            <w:vAlign w:val="center"/>
          </w:tcPr>
          <w:p w14:paraId="7D399BFA" w14:textId="77777777" w:rsidR="00E03711" w:rsidRPr="00F769E0" w:rsidRDefault="00E03711" w:rsidP="00150777">
            <w:pPr>
              <w:pStyle w:val="GUIDE-NORMAL"/>
              <w:spacing w:before="60" w:after="60"/>
              <w:jc w:val="left"/>
              <w:rPr>
                <w:rFonts w:cs="Tahoma"/>
                <w:b/>
                <w:lang w:val="sl-SI" w:eastAsia="en-GB"/>
              </w:rPr>
            </w:pPr>
          </w:p>
        </w:tc>
        <w:tc>
          <w:tcPr>
            <w:tcW w:w="1483" w:type="pct"/>
            <w:vMerge/>
            <w:tcBorders>
              <w:top w:val="nil"/>
              <w:left w:val="single" w:sz="4" w:space="0" w:color="000000"/>
              <w:bottom w:val="single" w:sz="4" w:space="0" w:color="000000"/>
              <w:right w:val="single" w:sz="4" w:space="0" w:color="000000"/>
            </w:tcBorders>
            <w:shd w:val="clear" w:color="auto" w:fill="auto"/>
            <w:vAlign w:val="center"/>
          </w:tcPr>
          <w:p w14:paraId="7D399BFB" w14:textId="77777777" w:rsidR="00E03711" w:rsidRPr="00F769E0" w:rsidRDefault="00E03711" w:rsidP="00150777">
            <w:pPr>
              <w:pStyle w:val="GUIDE-NORMAL"/>
              <w:spacing w:before="60" w:after="60"/>
              <w:jc w:val="left"/>
              <w:rPr>
                <w:rFonts w:cs="Tahoma"/>
                <w:lang w:val="sl-SI" w:eastAsia="en-GB"/>
              </w:rPr>
            </w:pPr>
          </w:p>
        </w:tc>
        <w:tc>
          <w:tcPr>
            <w:tcW w:w="649" w:type="pct"/>
            <w:vMerge/>
            <w:tcBorders>
              <w:top w:val="nil"/>
              <w:left w:val="single" w:sz="4" w:space="0" w:color="000000"/>
              <w:bottom w:val="single" w:sz="4" w:space="0" w:color="000000"/>
              <w:right w:val="single" w:sz="4" w:space="0" w:color="000000"/>
            </w:tcBorders>
            <w:shd w:val="clear" w:color="auto" w:fill="auto"/>
            <w:vAlign w:val="center"/>
          </w:tcPr>
          <w:p w14:paraId="7D399BFC" w14:textId="77777777" w:rsidR="00E03711" w:rsidRPr="00F769E0" w:rsidRDefault="00E03711" w:rsidP="00150777">
            <w:pPr>
              <w:pStyle w:val="GUIDE-NORMAL"/>
              <w:spacing w:before="60" w:after="60"/>
              <w:jc w:val="left"/>
              <w:rPr>
                <w:rFonts w:cs="Tahoma"/>
                <w:lang w:val="sl-SI" w:eastAsia="en-GB"/>
              </w:rPr>
            </w:pPr>
          </w:p>
        </w:tc>
        <w:tc>
          <w:tcPr>
            <w:tcW w:w="1343" w:type="pct"/>
            <w:tcBorders>
              <w:top w:val="single" w:sz="4" w:space="0" w:color="000000"/>
              <w:left w:val="single" w:sz="4" w:space="0" w:color="000000"/>
              <w:bottom w:val="single" w:sz="4" w:space="0" w:color="000000"/>
              <w:right w:val="single" w:sz="4" w:space="0" w:color="000000"/>
            </w:tcBorders>
            <w:shd w:val="clear" w:color="auto" w:fill="auto"/>
          </w:tcPr>
          <w:p w14:paraId="7D399BFD"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Za razdalje od 100 do 499 km: 180 EUR na udeleženca.</w:t>
            </w:r>
          </w:p>
        </w:tc>
        <w:tc>
          <w:tcPr>
            <w:tcW w:w="933" w:type="pct"/>
            <w:vMerge/>
            <w:tcBorders>
              <w:top w:val="nil"/>
              <w:left w:val="single" w:sz="4" w:space="0" w:color="000000"/>
              <w:bottom w:val="single" w:sz="4" w:space="0" w:color="000000"/>
              <w:right w:val="single" w:sz="4" w:space="0" w:color="000000"/>
            </w:tcBorders>
            <w:shd w:val="clear" w:color="auto" w:fill="auto"/>
            <w:vAlign w:val="center"/>
          </w:tcPr>
          <w:p w14:paraId="7D399BFE" w14:textId="77777777" w:rsidR="00E03711" w:rsidRPr="00F769E0" w:rsidRDefault="00E03711" w:rsidP="00150777">
            <w:pPr>
              <w:pStyle w:val="GUIDE-NORMAL"/>
              <w:spacing w:before="60" w:after="60"/>
              <w:jc w:val="left"/>
              <w:rPr>
                <w:rFonts w:cs="Tahoma"/>
                <w:lang w:val="sl-SI" w:eastAsia="en-GB"/>
              </w:rPr>
            </w:pPr>
          </w:p>
        </w:tc>
      </w:tr>
      <w:tr w:rsidR="00E03711" w:rsidRPr="00C60205" w14:paraId="7D399C05" w14:textId="77777777" w:rsidTr="00A86879">
        <w:trPr>
          <w:trHeight w:val="20"/>
        </w:trPr>
        <w:tc>
          <w:tcPr>
            <w:tcW w:w="592" w:type="pct"/>
            <w:vMerge/>
            <w:tcBorders>
              <w:top w:val="nil"/>
              <w:left w:val="single" w:sz="4" w:space="0" w:color="000000"/>
              <w:bottom w:val="single" w:sz="4" w:space="0" w:color="000000"/>
              <w:right w:val="single" w:sz="4" w:space="0" w:color="000000"/>
            </w:tcBorders>
            <w:shd w:val="clear" w:color="auto" w:fill="auto"/>
            <w:vAlign w:val="center"/>
          </w:tcPr>
          <w:p w14:paraId="7D399C00" w14:textId="77777777" w:rsidR="00E03711" w:rsidRPr="00F769E0" w:rsidRDefault="00E03711" w:rsidP="00150777">
            <w:pPr>
              <w:pStyle w:val="GUIDE-NORMAL"/>
              <w:spacing w:before="60" w:after="60"/>
              <w:jc w:val="left"/>
              <w:rPr>
                <w:rFonts w:cs="Tahoma"/>
                <w:b/>
                <w:lang w:val="sl-SI" w:eastAsia="en-GB"/>
              </w:rPr>
            </w:pPr>
          </w:p>
        </w:tc>
        <w:tc>
          <w:tcPr>
            <w:tcW w:w="1483" w:type="pct"/>
            <w:vMerge/>
            <w:tcBorders>
              <w:top w:val="nil"/>
              <w:left w:val="single" w:sz="4" w:space="0" w:color="000000"/>
              <w:bottom w:val="single" w:sz="4" w:space="0" w:color="000000"/>
              <w:right w:val="single" w:sz="4" w:space="0" w:color="000000"/>
            </w:tcBorders>
            <w:shd w:val="clear" w:color="auto" w:fill="auto"/>
            <w:vAlign w:val="center"/>
          </w:tcPr>
          <w:p w14:paraId="7D399C01" w14:textId="77777777" w:rsidR="00E03711" w:rsidRPr="00F769E0" w:rsidRDefault="00E03711" w:rsidP="00150777">
            <w:pPr>
              <w:pStyle w:val="GUIDE-NORMAL"/>
              <w:spacing w:before="60" w:after="60"/>
              <w:jc w:val="left"/>
              <w:rPr>
                <w:rFonts w:cs="Tahoma"/>
                <w:lang w:val="sl-SI" w:eastAsia="en-GB"/>
              </w:rPr>
            </w:pPr>
          </w:p>
        </w:tc>
        <w:tc>
          <w:tcPr>
            <w:tcW w:w="649" w:type="pct"/>
            <w:vMerge/>
            <w:tcBorders>
              <w:top w:val="nil"/>
              <w:left w:val="single" w:sz="4" w:space="0" w:color="000000"/>
              <w:bottom w:val="single" w:sz="4" w:space="0" w:color="000000"/>
              <w:right w:val="single" w:sz="4" w:space="0" w:color="000000"/>
            </w:tcBorders>
            <w:shd w:val="clear" w:color="auto" w:fill="auto"/>
            <w:vAlign w:val="center"/>
          </w:tcPr>
          <w:p w14:paraId="7D399C02" w14:textId="77777777" w:rsidR="00E03711" w:rsidRPr="00F769E0" w:rsidRDefault="00E03711" w:rsidP="00150777">
            <w:pPr>
              <w:pStyle w:val="GUIDE-NORMAL"/>
              <w:spacing w:before="60" w:after="60"/>
              <w:jc w:val="left"/>
              <w:rPr>
                <w:rFonts w:cs="Tahoma"/>
                <w:lang w:val="sl-SI" w:eastAsia="en-GB"/>
              </w:rPr>
            </w:pPr>
          </w:p>
        </w:tc>
        <w:tc>
          <w:tcPr>
            <w:tcW w:w="1343" w:type="pct"/>
            <w:tcBorders>
              <w:top w:val="single" w:sz="4" w:space="0" w:color="000000"/>
              <w:left w:val="single" w:sz="4" w:space="0" w:color="000000"/>
              <w:bottom w:val="single" w:sz="4" w:space="0" w:color="000000"/>
              <w:right w:val="single" w:sz="4" w:space="0" w:color="000000"/>
            </w:tcBorders>
            <w:shd w:val="clear" w:color="auto" w:fill="auto"/>
          </w:tcPr>
          <w:p w14:paraId="7D399C03"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 xml:space="preserve">Za razdalje od 500 do </w:t>
            </w:r>
            <w:r w:rsidRPr="00F769E0">
              <w:rPr>
                <w:rFonts w:cs="Tahoma"/>
                <w:lang w:val="sl-SI" w:eastAsia="en-GB"/>
              </w:rPr>
              <w:br/>
              <w:t>1 999 km: 275 EUR na udeleženca.</w:t>
            </w:r>
          </w:p>
        </w:tc>
        <w:tc>
          <w:tcPr>
            <w:tcW w:w="933" w:type="pct"/>
            <w:vMerge/>
            <w:tcBorders>
              <w:top w:val="nil"/>
              <w:left w:val="single" w:sz="4" w:space="0" w:color="000000"/>
              <w:bottom w:val="single" w:sz="4" w:space="0" w:color="000000"/>
              <w:right w:val="single" w:sz="4" w:space="0" w:color="000000"/>
            </w:tcBorders>
            <w:shd w:val="clear" w:color="auto" w:fill="auto"/>
            <w:vAlign w:val="center"/>
          </w:tcPr>
          <w:p w14:paraId="7D399C04" w14:textId="77777777" w:rsidR="00E03711" w:rsidRPr="00F769E0" w:rsidRDefault="00E03711" w:rsidP="00150777">
            <w:pPr>
              <w:pStyle w:val="GUIDE-NORMAL"/>
              <w:spacing w:before="60" w:after="60"/>
              <w:jc w:val="left"/>
              <w:rPr>
                <w:rFonts w:cs="Tahoma"/>
                <w:lang w:val="sl-SI" w:eastAsia="en-GB"/>
              </w:rPr>
            </w:pPr>
          </w:p>
        </w:tc>
      </w:tr>
      <w:tr w:rsidR="00E03711" w:rsidRPr="00C60205" w14:paraId="7D399C0B" w14:textId="77777777" w:rsidTr="00A86879">
        <w:trPr>
          <w:trHeight w:val="20"/>
        </w:trPr>
        <w:tc>
          <w:tcPr>
            <w:tcW w:w="592" w:type="pct"/>
            <w:vMerge/>
            <w:tcBorders>
              <w:top w:val="nil"/>
              <w:left w:val="single" w:sz="4" w:space="0" w:color="000000"/>
              <w:bottom w:val="single" w:sz="4" w:space="0" w:color="000000"/>
              <w:right w:val="single" w:sz="4" w:space="0" w:color="000000"/>
            </w:tcBorders>
            <w:shd w:val="clear" w:color="auto" w:fill="auto"/>
            <w:vAlign w:val="center"/>
          </w:tcPr>
          <w:p w14:paraId="7D399C06" w14:textId="77777777" w:rsidR="00E03711" w:rsidRPr="00F769E0" w:rsidRDefault="00E03711" w:rsidP="00150777">
            <w:pPr>
              <w:pStyle w:val="GUIDE-NORMAL"/>
              <w:spacing w:before="60" w:after="60"/>
              <w:jc w:val="left"/>
              <w:rPr>
                <w:rFonts w:cs="Tahoma"/>
                <w:b/>
                <w:lang w:val="sl-SI" w:eastAsia="en-GB"/>
              </w:rPr>
            </w:pPr>
          </w:p>
        </w:tc>
        <w:tc>
          <w:tcPr>
            <w:tcW w:w="1483" w:type="pct"/>
            <w:vMerge/>
            <w:tcBorders>
              <w:top w:val="nil"/>
              <w:left w:val="single" w:sz="4" w:space="0" w:color="000000"/>
              <w:bottom w:val="single" w:sz="4" w:space="0" w:color="000000"/>
              <w:right w:val="single" w:sz="4" w:space="0" w:color="000000"/>
            </w:tcBorders>
            <w:shd w:val="clear" w:color="auto" w:fill="auto"/>
            <w:vAlign w:val="center"/>
          </w:tcPr>
          <w:p w14:paraId="7D399C07" w14:textId="77777777" w:rsidR="00E03711" w:rsidRPr="00F769E0" w:rsidRDefault="00E03711" w:rsidP="00150777">
            <w:pPr>
              <w:pStyle w:val="GUIDE-NORMAL"/>
              <w:spacing w:before="60" w:after="60"/>
              <w:jc w:val="left"/>
              <w:rPr>
                <w:rFonts w:cs="Tahoma"/>
                <w:lang w:val="sl-SI" w:eastAsia="en-GB"/>
              </w:rPr>
            </w:pPr>
          </w:p>
        </w:tc>
        <w:tc>
          <w:tcPr>
            <w:tcW w:w="649" w:type="pct"/>
            <w:vMerge/>
            <w:tcBorders>
              <w:top w:val="nil"/>
              <w:left w:val="single" w:sz="4" w:space="0" w:color="000000"/>
              <w:bottom w:val="single" w:sz="4" w:space="0" w:color="000000"/>
              <w:right w:val="single" w:sz="4" w:space="0" w:color="000000"/>
            </w:tcBorders>
            <w:shd w:val="clear" w:color="auto" w:fill="auto"/>
            <w:vAlign w:val="center"/>
          </w:tcPr>
          <w:p w14:paraId="7D399C08" w14:textId="77777777" w:rsidR="00E03711" w:rsidRPr="00F769E0" w:rsidRDefault="00E03711" w:rsidP="00150777">
            <w:pPr>
              <w:pStyle w:val="GUIDE-NORMAL"/>
              <w:spacing w:before="60" w:after="60"/>
              <w:jc w:val="left"/>
              <w:rPr>
                <w:rFonts w:cs="Tahoma"/>
                <w:lang w:val="sl-SI" w:eastAsia="en-GB"/>
              </w:rPr>
            </w:pPr>
          </w:p>
        </w:tc>
        <w:tc>
          <w:tcPr>
            <w:tcW w:w="1343" w:type="pct"/>
            <w:tcBorders>
              <w:top w:val="single" w:sz="4" w:space="0" w:color="000000"/>
              <w:left w:val="single" w:sz="4" w:space="0" w:color="000000"/>
              <w:bottom w:val="single" w:sz="4" w:space="0" w:color="000000"/>
              <w:right w:val="single" w:sz="4" w:space="0" w:color="000000"/>
            </w:tcBorders>
            <w:shd w:val="clear" w:color="auto" w:fill="auto"/>
          </w:tcPr>
          <w:p w14:paraId="7D399C09"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 xml:space="preserve">Za razdalje od 2 000 do </w:t>
            </w:r>
            <w:r w:rsidRPr="00F769E0">
              <w:rPr>
                <w:rFonts w:cs="Tahoma"/>
                <w:lang w:val="sl-SI" w:eastAsia="en-GB"/>
              </w:rPr>
              <w:br/>
              <w:t>2 999 km: 360 EUR na udeleženca.</w:t>
            </w:r>
          </w:p>
        </w:tc>
        <w:tc>
          <w:tcPr>
            <w:tcW w:w="933" w:type="pct"/>
            <w:vMerge/>
            <w:tcBorders>
              <w:top w:val="nil"/>
              <w:left w:val="single" w:sz="4" w:space="0" w:color="000000"/>
              <w:bottom w:val="single" w:sz="4" w:space="0" w:color="000000"/>
              <w:right w:val="single" w:sz="4" w:space="0" w:color="000000"/>
            </w:tcBorders>
            <w:shd w:val="clear" w:color="auto" w:fill="auto"/>
            <w:vAlign w:val="center"/>
          </w:tcPr>
          <w:p w14:paraId="7D399C0A" w14:textId="77777777" w:rsidR="00E03711" w:rsidRPr="00F769E0" w:rsidRDefault="00E03711" w:rsidP="00150777">
            <w:pPr>
              <w:pStyle w:val="GUIDE-NORMAL"/>
              <w:spacing w:before="60" w:after="60"/>
              <w:jc w:val="left"/>
              <w:rPr>
                <w:rFonts w:cs="Tahoma"/>
                <w:lang w:val="sl-SI" w:eastAsia="en-GB"/>
              </w:rPr>
            </w:pPr>
          </w:p>
        </w:tc>
      </w:tr>
      <w:tr w:rsidR="00E03711" w:rsidRPr="00C60205" w14:paraId="7D399C11" w14:textId="77777777" w:rsidTr="00A86879">
        <w:trPr>
          <w:trHeight w:val="20"/>
        </w:trPr>
        <w:tc>
          <w:tcPr>
            <w:tcW w:w="592" w:type="pct"/>
            <w:vMerge/>
            <w:tcBorders>
              <w:top w:val="nil"/>
              <w:left w:val="single" w:sz="4" w:space="0" w:color="000000"/>
              <w:bottom w:val="single" w:sz="4" w:space="0" w:color="000000"/>
              <w:right w:val="single" w:sz="4" w:space="0" w:color="000000"/>
            </w:tcBorders>
            <w:shd w:val="clear" w:color="auto" w:fill="auto"/>
            <w:vAlign w:val="center"/>
          </w:tcPr>
          <w:p w14:paraId="7D399C0C" w14:textId="77777777" w:rsidR="00E03711" w:rsidRPr="00F769E0" w:rsidRDefault="00E03711" w:rsidP="00150777">
            <w:pPr>
              <w:pStyle w:val="GUIDE-NORMAL"/>
              <w:spacing w:before="60" w:after="60"/>
              <w:jc w:val="left"/>
              <w:rPr>
                <w:rFonts w:cs="Tahoma"/>
                <w:b/>
                <w:lang w:val="sl-SI" w:eastAsia="en-GB"/>
              </w:rPr>
            </w:pPr>
          </w:p>
        </w:tc>
        <w:tc>
          <w:tcPr>
            <w:tcW w:w="1483" w:type="pct"/>
            <w:vMerge/>
            <w:tcBorders>
              <w:top w:val="nil"/>
              <w:left w:val="single" w:sz="4" w:space="0" w:color="000000"/>
              <w:bottom w:val="single" w:sz="4" w:space="0" w:color="000000"/>
              <w:right w:val="single" w:sz="4" w:space="0" w:color="000000"/>
            </w:tcBorders>
            <w:shd w:val="clear" w:color="auto" w:fill="auto"/>
            <w:vAlign w:val="center"/>
          </w:tcPr>
          <w:p w14:paraId="7D399C0D" w14:textId="77777777" w:rsidR="00E03711" w:rsidRPr="00F769E0" w:rsidRDefault="00E03711" w:rsidP="00150777">
            <w:pPr>
              <w:pStyle w:val="GUIDE-NORMAL"/>
              <w:spacing w:before="60" w:after="60"/>
              <w:jc w:val="left"/>
              <w:rPr>
                <w:rFonts w:cs="Tahoma"/>
                <w:lang w:val="sl-SI" w:eastAsia="en-GB"/>
              </w:rPr>
            </w:pPr>
          </w:p>
        </w:tc>
        <w:tc>
          <w:tcPr>
            <w:tcW w:w="649" w:type="pct"/>
            <w:vMerge/>
            <w:tcBorders>
              <w:top w:val="nil"/>
              <w:left w:val="single" w:sz="4" w:space="0" w:color="000000"/>
              <w:bottom w:val="single" w:sz="4" w:space="0" w:color="000000"/>
              <w:right w:val="single" w:sz="4" w:space="0" w:color="000000"/>
            </w:tcBorders>
            <w:shd w:val="clear" w:color="auto" w:fill="auto"/>
            <w:vAlign w:val="center"/>
          </w:tcPr>
          <w:p w14:paraId="7D399C0E" w14:textId="77777777" w:rsidR="00E03711" w:rsidRPr="00F769E0" w:rsidRDefault="00E03711" w:rsidP="00150777">
            <w:pPr>
              <w:pStyle w:val="GUIDE-NORMAL"/>
              <w:spacing w:before="60" w:after="60"/>
              <w:jc w:val="left"/>
              <w:rPr>
                <w:rFonts w:cs="Tahoma"/>
                <w:lang w:val="sl-SI" w:eastAsia="en-GB"/>
              </w:rPr>
            </w:pPr>
          </w:p>
        </w:tc>
        <w:tc>
          <w:tcPr>
            <w:tcW w:w="1343" w:type="pct"/>
            <w:tcBorders>
              <w:top w:val="single" w:sz="4" w:space="0" w:color="000000"/>
              <w:left w:val="single" w:sz="4" w:space="0" w:color="000000"/>
              <w:bottom w:val="single" w:sz="4" w:space="0" w:color="000000"/>
              <w:right w:val="single" w:sz="4" w:space="0" w:color="000000"/>
            </w:tcBorders>
            <w:shd w:val="clear" w:color="auto" w:fill="auto"/>
          </w:tcPr>
          <w:p w14:paraId="7D399C0F"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 xml:space="preserve">Za razdalje od 3 000 do </w:t>
            </w:r>
            <w:r w:rsidRPr="00F769E0">
              <w:rPr>
                <w:rFonts w:cs="Tahoma"/>
                <w:lang w:val="sl-SI" w:eastAsia="en-GB"/>
              </w:rPr>
              <w:br/>
              <w:t>3 999</w:t>
            </w:r>
            <w:r w:rsidRPr="00F769E0">
              <w:rPr>
                <w:rFonts w:cs="Tahoma"/>
                <w:spacing w:val="-29"/>
                <w:lang w:val="sl-SI" w:eastAsia="en-GB"/>
              </w:rPr>
              <w:t xml:space="preserve"> </w:t>
            </w:r>
            <w:r w:rsidRPr="00F769E0">
              <w:rPr>
                <w:rFonts w:cs="Tahoma"/>
                <w:lang w:val="sl-SI" w:eastAsia="en-GB"/>
              </w:rPr>
              <w:t>km: 530 EUR na</w:t>
            </w:r>
            <w:r w:rsidRPr="00F769E0">
              <w:rPr>
                <w:rFonts w:cs="Tahoma"/>
                <w:spacing w:val="-10"/>
                <w:lang w:val="sl-SI" w:eastAsia="en-GB"/>
              </w:rPr>
              <w:t xml:space="preserve"> </w:t>
            </w:r>
            <w:r w:rsidRPr="00F769E0">
              <w:rPr>
                <w:rFonts w:cs="Tahoma"/>
                <w:lang w:val="sl-SI" w:eastAsia="en-GB"/>
              </w:rPr>
              <w:t>udeleženca.</w:t>
            </w:r>
          </w:p>
        </w:tc>
        <w:tc>
          <w:tcPr>
            <w:tcW w:w="933" w:type="pct"/>
            <w:vMerge/>
            <w:tcBorders>
              <w:top w:val="nil"/>
              <w:left w:val="single" w:sz="4" w:space="0" w:color="000000"/>
              <w:bottom w:val="single" w:sz="4" w:space="0" w:color="000000"/>
              <w:right w:val="single" w:sz="4" w:space="0" w:color="000000"/>
            </w:tcBorders>
            <w:shd w:val="clear" w:color="auto" w:fill="auto"/>
            <w:vAlign w:val="center"/>
          </w:tcPr>
          <w:p w14:paraId="7D399C10" w14:textId="77777777" w:rsidR="00E03711" w:rsidRPr="00F769E0" w:rsidRDefault="00E03711" w:rsidP="00150777">
            <w:pPr>
              <w:pStyle w:val="GUIDE-NORMAL"/>
              <w:spacing w:before="60" w:after="60"/>
              <w:jc w:val="left"/>
              <w:rPr>
                <w:rFonts w:cs="Tahoma"/>
                <w:lang w:val="sl-SI" w:eastAsia="en-GB"/>
              </w:rPr>
            </w:pPr>
          </w:p>
        </w:tc>
      </w:tr>
      <w:tr w:rsidR="00E03711" w:rsidRPr="00C60205" w14:paraId="7D399C17" w14:textId="77777777" w:rsidTr="00A86879">
        <w:trPr>
          <w:trHeight w:val="20"/>
        </w:trPr>
        <w:tc>
          <w:tcPr>
            <w:tcW w:w="592" w:type="pct"/>
            <w:vMerge/>
            <w:tcBorders>
              <w:top w:val="nil"/>
              <w:left w:val="single" w:sz="4" w:space="0" w:color="000000"/>
              <w:bottom w:val="single" w:sz="4" w:space="0" w:color="000000"/>
              <w:right w:val="single" w:sz="4" w:space="0" w:color="000000"/>
            </w:tcBorders>
            <w:shd w:val="clear" w:color="auto" w:fill="auto"/>
            <w:vAlign w:val="center"/>
          </w:tcPr>
          <w:p w14:paraId="7D399C12" w14:textId="77777777" w:rsidR="00E03711" w:rsidRPr="00F769E0" w:rsidRDefault="00E03711" w:rsidP="00150777">
            <w:pPr>
              <w:pStyle w:val="GUIDE-NORMAL"/>
              <w:spacing w:before="60" w:after="60"/>
              <w:jc w:val="left"/>
              <w:rPr>
                <w:rFonts w:cs="Tahoma"/>
                <w:b/>
                <w:lang w:val="sl-SI" w:eastAsia="en-GB"/>
              </w:rPr>
            </w:pPr>
          </w:p>
        </w:tc>
        <w:tc>
          <w:tcPr>
            <w:tcW w:w="1483" w:type="pct"/>
            <w:vMerge/>
            <w:tcBorders>
              <w:top w:val="nil"/>
              <w:left w:val="single" w:sz="4" w:space="0" w:color="000000"/>
              <w:bottom w:val="single" w:sz="4" w:space="0" w:color="000000"/>
              <w:right w:val="single" w:sz="4" w:space="0" w:color="000000"/>
            </w:tcBorders>
            <w:shd w:val="clear" w:color="auto" w:fill="auto"/>
            <w:vAlign w:val="center"/>
          </w:tcPr>
          <w:p w14:paraId="7D399C13" w14:textId="77777777" w:rsidR="00E03711" w:rsidRPr="00F769E0" w:rsidRDefault="00E03711" w:rsidP="00150777">
            <w:pPr>
              <w:pStyle w:val="GUIDE-NORMAL"/>
              <w:spacing w:before="60" w:after="60"/>
              <w:jc w:val="left"/>
              <w:rPr>
                <w:rFonts w:cs="Tahoma"/>
                <w:lang w:val="sl-SI" w:eastAsia="en-GB"/>
              </w:rPr>
            </w:pPr>
          </w:p>
        </w:tc>
        <w:tc>
          <w:tcPr>
            <w:tcW w:w="649" w:type="pct"/>
            <w:vMerge/>
            <w:tcBorders>
              <w:top w:val="nil"/>
              <w:left w:val="single" w:sz="4" w:space="0" w:color="000000"/>
              <w:bottom w:val="single" w:sz="4" w:space="0" w:color="000000"/>
              <w:right w:val="single" w:sz="4" w:space="0" w:color="000000"/>
            </w:tcBorders>
            <w:shd w:val="clear" w:color="auto" w:fill="auto"/>
            <w:vAlign w:val="center"/>
          </w:tcPr>
          <w:p w14:paraId="7D399C14" w14:textId="77777777" w:rsidR="00E03711" w:rsidRPr="00F769E0" w:rsidRDefault="00E03711" w:rsidP="00150777">
            <w:pPr>
              <w:pStyle w:val="GUIDE-NORMAL"/>
              <w:spacing w:before="60" w:after="60"/>
              <w:jc w:val="left"/>
              <w:rPr>
                <w:rFonts w:cs="Tahoma"/>
                <w:lang w:val="sl-SI" w:eastAsia="en-GB"/>
              </w:rPr>
            </w:pPr>
          </w:p>
        </w:tc>
        <w:tc>
          <w:tcPr>
            <w:tcW w:w="1343" w:type="pct"/>
            <w:tcBorders>
              <w:top w:val="single" w:sz="4" w:space="0" w:color="000000"/>
              <w:left w:val="single" w:sz="4" w:space="0" w:color="000000"/>
              <w:bottom w:val="single" w:sz="4" w:space="0" w:color="000000"/>
              <w:right w:val="single" w:sz="4" w:space="0" w:color="000000"/>
            </w:tcBorders>
            <w:shd w:val="clear" w:color="auto" w:fill="auto"/>
          </w:tcPr>
          <w:p w14:paraId="7D399C15"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 xml:space="preserve">Za razdalje od 4 000 do </w:t>
            </w:r>
            <w:r w:rsidRPr="00F769E0">
              <w:rPr>
                <w:rFonts w:cs="Tahoma"/>
                <w:lang w:val="sl-SI" w:eastAsia="en-GB"/>
              </w:rPr>
              <w:br/>
              <w:t>7 999</w:t>
            </w:r>
            <w:r w:rsidRPr="00F769E0">
              <w:rPr>
                <w:rFonts w:cs="Tahoma"/>
                <w:spacing w:val="-29"/>
                <w:lang w:val="sl-SI" w:eastAsia="en-GB"/>
              </w:rPr>
              <w:t xml:space="preserve"> </w:t>
            </w:r>
            <w:r w:rsidRPr="00F769E0">
              <w:rPr>
                <w:rFonts w:cs="Tahoma"/>
                <w:lang w:val="sl-SI" w:eastAsia="en-GB"/>
              </w:rPr>
              <w:t>km: 820 EUR na</w:t>
            </w:r>
            <w:r w:rsidRPr="00F769E0">
              <w:rPr>
                <w:rFonts w:cs="Tahoma"/>
                <w:spacing w:val="-10"/>
                <w:lang w:val="sl-SI" w:eastAsia="en-GB"/>
              </w:rPr>
              <w:t xml:space="preserve"> </w:t>
            </w:r>
            <w:r w:rsidRPr="00F769E0">
              <w:rPr>
                <w:rFonts w:cs="Tahoma"/>
                <w:lang w:val="sl-SI" w:eastAsia="en-GB"/>
              </w:rPr>
              <w:t>udeleženca.</w:t>
            </w:r>
          </w:p>
        </w:tc>
        <w:tc>
          <w:tcPr>
            <w:tcW w:w="933" w:type="pct"/>
            <w:vMerge/>
            <w:tcBorders>
              <w:top w:val="nil"/>
              <w:left w:val="single" w:sz="4" w:space="0" w:color="000000"/>
              <w:bottom w:val="single" w:sz="4" w:space="0" w:color="000000"/>
              <w:right w:val="single" w:sz="4" w:space="0" w:color="000000"/>
            </w:tcBorders>
            <w:shd w:val="clear" w:color="auto" w:fill="auto"/>
            <w:vAlign w:val="center"/>
          </w:tcPr>
          <w:p w14:paraId="7D399C16" w14:textId="77777777" w:rsidR="00E03711" w:rsidRPr="00F769E0" w:rsidRDefault="00E03711" w:rsidP="00150777">
            <w:pPr>
              <w:pStyle w:val="GUIDE-NORMAL"/>
              <w:spacing w:before="60" w:after="60"/>
              <w:jc w:val="left"/>
              <w:rPr>
                <w:rFonts w:cs="Tahoma"/>
                <w:lang w:val="sl-SI" w:eastAsia="en-GB"/>
              </w:rPr>
            </w:pPr>
          </w:p>
        </w:tc>
      </w:tr>
      <w:tr w:rsidR="00E03711" w:rsidRPr="00C60205" w14:paraId="7D399C1D" w14:textId="77777777" w:rsidTr="00A86879">
        <w:trPr>
          <w:trHeight w:val="20"/>
        </w:trPr>
        <w:tc>
          <w:tcPr>
            <w:tcW w:w="592" w:type="pct"/>
            <w:vMerge/>
            <w:tcBorders>
              <w:top w:val="nil"/>
              <w:left w:val="single" w:sz="4" w:space="0" w:color="000000"/>
              <w:bottom w:val="single" w:sz="4" w:space="0" w:color="000000"/>
              <w:right w:val="single" w:sz="4" w:space="0" w:color="000000"/>
            </w:tcBorders>
            <w:shd w:val="clear" w:color="auto" w:fill="auto"/>
            <w:vAlign w:val="center"/>
          </w:tcPr>
          <w:p w14:paraId="7D399C18" w14:textId="77777777" w:rsidR="00E03711" w:rsidRPr="00F769E0" w:rsidRDefault="00E03711" w:rsidP="00150777">
            <w:pPr>
              <w:pStyle w:val="GUIDE-NORMAL"/>
              <w:spacing w:before="60" w:after="60"/>
              <w:jc w:val="left"/>
              <w:rPr>
                <w:rFonts w:cs="Tahoma"/>
                <w:b/>
                <w:lang w:val="sl-SI" w:eastAsia="en-GB"/>
              </w:rPr>
            </w:pPr>
          </w:p>
        </w:tc>
        <w:tc>
          <w:tcPr>
            <w:tcW w:w="1483" w:type="pct"/>
            <w:vMerge/>
            <w:tcBorders>
              <w:top w:val="nil"/>
              <w:left w:val="single" w:sz="4" w:space="0" w:color="000000"/>
              <w:bottom w:val="single" w:sz="4" w:space="0" w:color="000000"/>
              <w:right w:val="single" w:sz="4" w:space="0" w:color="000000"/>
            </w:tcBorders>
            <w:shd w:val="clear" w:color="auto" w:fill="auto"/>
            <w:vAlign w:val="center"/>
          </w:tcPr>
          <w:p w14:paraId="7D399C19" w14:textId="77777777" w:rsidR="00E03711" w:rsidRPr="00F769E0" w:rsidRDefault="00E03711" w:rsidP="00150777">
            <w:pPr>
              <w:pStyle w:val="GUIDE-NORMAL"/>
              <w:spacing w:before="60" w:after="60"/>
              <w:jc w:val="left"/>
              <w:rPr>
                <w:rFonts w:cs="Tahoma"/>
                <w:lang w:val="sl-SI" w:eastAsia="en-GB"/>
              </w:rPr>
            </w:pPr>
          </w:p>
        </w:tc>
        <w:tc>
          <w:tcPr>
            <w:tcW w:w="649" w:type="pct"/>
            <w:vMerge/>
            <w:tcBorders>
              <w:top w:val="nil"/>
              <w:left w:val="single" w:sz="4" w:space="0" w:color="000000"/>
              <w:bottom w:val="single" w:sz="4" w:space="0" w:color="000000"/>
              <w:right w:val="single" w:sz="4" w:space="0" w:color="000000"/>
            </w:tcBorders>
            <w:shd w:val="clear" w:color="auto" w:fill="auto"/>
            <w:vAlign w:val="center"/>
          </w:tcPr>
          <w:p w14:paraId="7D399C1A" w14:textId="77777777" w:rsidR="00E03711" w:rsidRPr="00F769E0" w:rsidRDefault="00E03711" w:rsidP="00150777">
            <w:pPr>
              <w:pStyle w:val="GUIDE-NORMAL"/>
              <w:spacing w:before="60" w:after="60"/>
              <w:jc w:val="left"/>
              <w:rPr>
                <w:rFonts w:cs="Tahoma"/>
                <w:lang w:val="sl-SI" w:eastAsia="en-GB"/>
              </w:rPr>
            </w:pPr>
          </w:p>
        </w:tc>
        <w:tc>
          <w:tcPr>
            <w:tcW w:w="1343" w:type="pct"/>
            <w:tcBorders>
              <w:top w:val="single" w:sz="4" w:space="0" w:color="000000"/>
              <w:left w:val="single" w:sz="4" w:space="0" w:color="000000"/>
              <w:bottom w:val="single" w:sz="4" w:space="0" w:color="000000"/>
              <w:right w:val="single" w:sz="4" w:space="0" w:color="000000"/>
            </w:tcBorders>
            <w:shd w:val="clear" w:color="auto" w:fill="auto"/>
          </w:tcPr>
          <w:p w14:paraId="7D399C1B"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 xml:space="preserve">Za razdalje 8 000 km ali več: </w:t>
            </w:r>
            <w:r w:rsidRPr="00F769E0">
              <w:rPr>
                <w:rFonts w:cs="Tahoma"/>
                <w:lang w:val="sl-SI" w:eastAsia="en-GB"/>
              </w:rPr>
              <w:br/>
              <w:t>1 500 EUR na udeleženca.</w:t>
            </w:r>
          </w:p>
        </w:tc>
        <w:tc>
          <w:tcPr>
            <w:tcW w:w="933" w:type="pct"/>
            <w:vMerge/>
            <w:tcBorders>
              <w:top w:val="nil"/>
              <w:left w:val="single" w:sz="4" w:space="0" w:color="000000"/>
              <w:bottom w:val="single" w:sz="4" w:space="0" w:color="000000"/>
              <w:right w:val="single" w:sz="4" w:space="0" w:color="000000"/>
            </w:tcBorders>
            <w:shd w:val="clear" w:color="auto" w:fill="auto"/>
            <w:vAlign w:val="center"/>
          </w:tcPr>
          <w:p w14:paraId="7D399C1C" w14:textId="77777777" w:rsidR="00E03711" w:rsidRPr="00F769E0" w:rsidRDefault="00E03711" w:rsidP="00150777">
            <w:pPr>
              <w:pStyle w:val="GUIDE-NORMAL"/>
              <w:spacing w:before="60" w:after="60"/>
              <w:jc w:val="left"/>
              <w:rPr>
                <w:rFonts w:cs="Tahoma"/>
                <w:lang w:val="sl-SI" w:eastAsia="en-GB"/>
              </w:rPr>
            </w:pPr>
          </w:p>
        </w:tc>
      </w:tr>
      <w:tr w:rsidR="00E03711" w:rsidRPr="00C60205" w14:paraId="7D399C23" w14:textId="77777777" w:rsidTr="00A86879">
        <w:trPr>
          <w:trHeight w:val="20"/>
        </w:trPr>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C1E" w14:textId="77777777" w:rsidR="00E03711" w:rsidRPr="00F769E0" w:rsidRDefault="00E03711" w:rsidP="00150777">
            <w:pPr>
              <w:pStyle w:val="GUIDE-NORMAL"/>
              <w:spacing w:before="60" w:after="60"/>
              <w:jc w:val="left"/>
              <w:rPr>
                <w:rFonts w:cs="Tahoma"/>
                <w:b/>
                <w:lang w:val="sl-SI" w:eastAsia="en-GB"/>
              </w:rPr>
            </w:pPr>
            <w:r w:rsidRPr="00F769E0">
              <w:rPr>
                <w:rFonts w:cs="Tahoma"/>
                <w:b/>
                <w:lang w:val="sl-SI" w:eastAsia="en-GB"/>
              </w:rPr>
              <w:t>Organizacijska podpora</w:t>
            </w:r>
          </w:p>
        </w:tc>
        <w:tc>
          <w:tcPr>
            <w:tcW w:w="14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C1F"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Prispevek v obliki nepovratnih sredstev za vse druge stroške, neposredno povezane s pripravo, izvajanjem in nadaljnjim spremljanjem aktivnosti.</w:t>
            </w:r>
          </w:p>
        </w:tc>
        <w:tc>
          <w:tcPr>
            <w:tcW w:w="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C20"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3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C21"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C1.1 na dan aktivnosti na udeleženca</w:t>
            </w:r>
            <w:r w:rsidRPr="00F769E0">
              <w:rPr>
                <w:rStyle w:val="FootnoteReference"/>
                <w:rFonts w:cs="Tahoma"/>
                <w:lang w:val="sl-SI" w:eastAsia="en-GB"/>
              </w:rPr>
              <w:footnoteReference w:id="234"/>
            </w:r>
            <w:r w:rsidRPr="00F769E0">
              <w:rPr>
                <w:rFonts w:cs="Tahoma"/>
                <w:lang w:val="sl-SI" w:eastAsia="en-GB"/>
              </w:rPr>
              <w:t>.</w:t>
            </w:r>
          </w:p>
        </w:tc>
        <w:tc>
          <w:tcPr>
            <w:tcW w:w="9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9C22"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Glede na trajanje bivanja udeleženca (po potrebi vključno z enim dnem poti pred aktivnostjo in enim dnem poti po aktivnosti).</w:t>
            </w:r>
          </w:p>
        </w:tc>
      </w:tr>
      <w:tr w:rsidR="00E03711" w:rsidRPr="00C60205" w14:paraId="7D399C29" w14:textId="77777777" w:rsidTr="00A86879">
        <w:trPr>
          <w:trHeight w:val="20"/>
        </w:trPr>
        <w:tc>
          <w:tcPr>
            <w:tcW w:w="592" w:type="pct"/>
            <w:tcBorders>
              <w:top w:val="single" w:sz="4" w:space="0" w:color="000000"/>
              <w:left w:val="single" w:sz="4" w:space="0" w:color="000000"/>
              <w:bottom w:val="single" w:sz="4" w:space="0" w:color="000000"/>
              <w:right w:val="single" w:sz="4" w:space="0" w:color="000000"/>
            </w:tcBorders>
            <w:vAlign w:val="center"/>
          </w:tcPr>
          <w:p w14:paraId="7D399C24" w14:textId="77777777" w:rsidR="00E03711" w:rsidRPr="00F769E0" w:rsidRDefault="00E03711" w:rsidP="00150777">
            <w:pPr>
              <w:pStyle w:val="GUIDE-NORMAL"/>
              <w:spacing w:before="60" w:after="60"/>
              <w:jc w:val="left"/>
              <w:rPr>
                <w:rFonts w:cs="Tahoma"/>
                <w:b/>
                <w:lang w:val="sl-SI" w:eastAsia="en-GB"/>
              </w:rPr>
            </w:pPr>
            <w:r w:rsidRPr="00F769E0">
              <w:rPr>
                <w:rFonts w:cs="Tahoma"/>
                <w:b/>
                <w:lang w:val="sl-SI" w:eastAsia="en-GB"/>
              </w:rPr>
              <w:t>Podpora za posebne potrebe</w:t>
            </w:r>
          </w:p>
        </w:tc>
        <w:tc>
          <w:tcPr>
            <w:tcW w:w="1483" w:type="pct"/>
            <w:tcBorders>
              <w:top w:val="single" w:sz="4" w:space="0" w:color="000000"/>
              <w:left w:val="single" w:sz="4" w:space="0" w:color="000000"/>
              <w:bottom w:val="single" w:sz="4" w:space="0" w:color="000000"/>
              <w:right w:val="single" w:sz="4" w:space="0" w:color="000000"/>
            </w:tcBorders>
            <w:vAlign w:val="center"/>
          </w:tcPr>
          <w:p w14:paraId="7D399C25"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Dodatni stroški, neposredno povezani z udeleženci, ki imajo posebne potrebe, in spremljevalci (vključno s stroški za pot in bivanje, če so utemeljeni in če se nepovratna sredstva za te udeležence ne zahtevajo prek proračunskih kategorij „Pot“ in „Organizacijska podpora“).</w:t>
            </w:r>
          </w:p>
        </w:tc>
        <w:tc>
          <w:tcPr>
            <w:tcW w:w="649" w:type="pct"/>
            <w:tcBorders>
              <w:top w:val="single" w:sz="4" w:space="0" w:color="000000"/>
              <w:left w:val="single" w:sz="4" w:space="0" w:color="000000"/>
              <w:bottom w:val="single" w:sz="4" w:space="0" w:color="000000"/>
              <w:right w:val="single" w:sz="4" w:space="0" w:color="000000"/>
            </w:tcBorders>
            <w:vAlign w:val="center"/>
          </w:tcPr>
          <w:p w14:paraId="7D399C26"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Dejanski stroški</w:t>
            </w:r>
          </w:p>
        </w:tc>
        <w:tc>
          <w:tcPr>
            <w:tcW w:w="1343" w:type="pct"/>
            <w:tcBorders>
              <w:top w:val="single" w:sz="4" w:space="0" w:color="000000"/>
              <w:left w:val="single" w:sz="4" w:space="0" w:color="000000"/>
              <w:bottom w:val="single" w:sz="4" w:space="0" w:color="000000"/>
              <w:right w:val="single" w:sz="4" w:space="0" w:color="000000"/>
            </w:tcBorders>
            <w:vAlign w:val="center"/>
          </w:tcPr>
          <w:p w14:paraId="7D399C27"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100 % upravičenih stroškov.</w:t>
            </w:r>
          </w:p>
        </w:tc>
        <w:tc>
          <w:tcPr>
            <w:tcW w:w="933" w:type="pct"/>
            <w:vMerge w:val="restart"/>
            <w:tcBorders>
              <w:top w:val="single" w:sz="4" w:space="0" w:color="000000"/>
              <w:left w:val="single" w:sz="4" w:space="0" w:color="000000"/>
              <w:bottom w:val="single" w:sz="4" w:space="0" w:color="000000"/>
              <w:right w:val="single" w:sz="4" w:space="0" w:color="000000"/>
            </w:tcBorders>
            <w:vAlign w:val="center"/>
          </w:tcPr>
          <w:p w14:paraId="7D399C28"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Pogoj: zahtevek za finančno podporo za kritje podpore udeležencem s posebnimi potrebami in izrednih stroškov mora biti utemeljen v prijavnem obrazcu.</w:t>
            </w:r>
          </w:p>
        </w:tc>
      </w:tr>
      <w:tr w:rsidR="00E03711" w:rsidRPr="00C60205" w14:paraId="7D399C33" w14:textId="77777777" w:rsidTr="00A86879">
        <w:trPr>
          <w:trHeight w:val="20"/>
        </w:trPr>
        <w:tc>
          <w:tcPr>
            <w:tcW w:w="592" w:type="pct"/>
            <w:tcBorders>
              <w:top w:val="single" w:sz="4" w:space="0" w:color="000000"/>
              <w:left w:val="single" w:sz="4" w:space="0" w:color="000000"/>
              <w:bottom w:val="single" w:sz="4" w:space="0" w:color="000000"/>
              <w:right w:val="single" w:sz="4" w:space="0" w:color="000000"/>
            </w:tcBorders>
            <w:vAlign w:val="center"/>
          </w:tcPr>
          <w:p w14:paraId="7D399C2A" w14:textId="77777777" w:rsidR="00E03711" w:rsidRPr="00F769E0" w:rsidRDefault="00E03711" w:rsidP="00150777">
            <w:pPr>
              <w:pStyle w:val="GUIDE-NORMAL"/>
              <w:spacing w:before="60" w:after="60"/>
              <w:jc w:val="left"/>
              <w:rPr>
                <w:rFonts w:cs="Tahoma"/>
                <w:b/>
                <w:lang w:val="sl-SI" w:eastAsia="en-GB"/>
              </w:rPr>
            </w:pPr>
            <w:r w:rsidRPr="00F769E0">
              <w:rPr>
                <w:rFonts w:cs="Tahoma"/>
                <w:b/>
                <w:lang w:val="sl-SI" w:eastAsia="en-GB"/>
              </w:rPr>
              <w:t>Izredni stroški</w:t>
            </w:r>
          </w:p>
        </w:tc>
        <w:tc>
          <w:tcPr>
            <w:tcW w:w="1483" w:type="pct"/>
            <w:tcBorders>
              <w:top w:val="single" w:sz="4" w:space="0" w:color="000000"/>
              <w:left w:val="single" w:sz="4" w:space="0" w:color="000000"/>
              <w:bottom w:val="single" w:sz="4" w:space="0" w:color="000000"/>
              <w:right w:val="single" w:sz="4" w:space="0" w:color="000000"/>
            </w:tcBorders>
            <w:vAlign w:val="center"/>
          </w:tcPr>
          <w:p w14:paraId="7D399C2B"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Stroški, povezani s (spletnimi) posvetovanji in javnomnenjskimi raziskavami z mladimi, če so ti potrebni za udeležbo v tem ukrepu. Stroški, povezani z razširjanjem in uporabo rezultatov.</w:t>
            </w:r>
          </w:p>
          <w:p w14:paraId="7D399C2C"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Stroški za podporo udeležbi mladih z manj priložnostmi pod enakimi pogoji, kot veljajo za druge (razen potnih stroškov in stroškov za organizacijsko podporo).</w:t>
            </w:r>
          </w:p>
          <w:p w14:paraId="7D399C2D"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Vizumi in z njimi povezani stroški, dovoljenja za prebivanje, cepljenja, zdravniška spričevala. Stroški zagotavljanja finančnega jamstva, če ga zahteva nacionalna agencija.</w:t>
            </w:r>
          </w:p>
          <w:p w14:paraId="7D399C2E" w14:textId="77777777" w:rsidR="00E03711" w:rsidRPr="00F769E0" w:rsidRDefault="00E03711">
            <w:pPr>
              <w:pStyle w:val="GUIDE-NORMAL"/>
              <w:spacing w:before="60" w:after="60"/>
              <w:jc w:val="left"/>
              <w:rPr>
                <w:rFonts w:cs="Tahoma"/>
                <w:lang w:val="sl-SI" w:eastAsia="en-GB"/>
              </w:rPr>
            </w:pPr>
            <w:r w:rsidRPr="00F769E0">
              <w:rPr>
                <w:rFonts w:cs="Tahoma"/>
                <w:lang w:val="sl-SI" w:eastAsia="en-GB"/>
              </w:rPr>
              <w:t>Dragi potni stroški</w:t>
            </w:r>
            <w:r>
              <w:rPr>
                <w:rFonts w:cs="Tahoma"/>
                <w:lang w:val="sl-SI" w:eastAsia="en-GB"/>
              </w:rPr>
              <w:t>, vključno z uporabo čistejših prevoznih sredstev, z manj emisijami ogljika</w:t>
            </w:r>
            <w:r w:rsidRPr="00F769E0">
              <w:rPr>
                <w:rFonts w:cs="Tahoma"/>
                <w:lang w:val="sl-SI" w:eastAsia="en-GB"/>
              </w:rPr>
              <w:t xml:space="preserve"> (za podrobnosti glej poglavje „Kaj je še treba vedeti o tem ukrepu?“).</w:t>
            </w:r>
          </w:p>
        </w:tc>
        <w:tc>
          <w:tcPr>
            <w:tcW w:w="649" w:type="pct"/>
            <w:tcBorders>
              <w:top w:val="single" w:sz="4" w:space="0" w:color="000000"/>
              <w:left w:val="single" w:sz="4" w:space="0" w:color="000000"/>
              <w:bottom w:val="single" w:sz="4" w:space="0" w:color="000000"/>
              <w:right w:val="single" w:sz="4" w:space="0" w:color="000000"/>
            </w:tcBorders>
            <w:vAlign w:val="center"/>
          </w:tcPr>
          <w:p w14:paraId="7D399C2F"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Dejanski stroški</w:t>
            </w:r>
          </w:p>
        </w:tc>
        <w:tc>
          <w:tcPr>
            <w:tcW w:w="1343" w:type="pct"/>
            <w:tcBorders>
              <w:top w:val="single" w:sz="4" w:space="0" w:color="000000"/>
              <w:left w:val="single" w:sz="4" w:space="0" w:color="000000"/>
              <w:bottom w:val="single" w:sz="4" w:space="0" w:color="000000"/>
              <w:right w:val="single" w:sz="4" w:space="0" w:color="000000"/>
            </w:tcBorders>
            <w:vAlign w:val="center"/>
          </w:tcPr>
          <w:p w14:paraId="7D399C30"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Stroški, povezani s (spletnimi) posvetovanji in javnomnenjskimi raziskavami z mladimi, ter stroški za finančno jamstvo in aktivnosti razširjanja: 75 % upravičenih stroškov. Dragi potni stroški: Do največ 80 % upravičenih stroškov.</w:t>
            </w:r>
          </w:p>
          <w:p w14:paraId="7D399C31" w14:textId="77777777" w:rsidR="00E03711" w:rsidRPr="00F769E0" w:rsidRDefault="00E03711" w:rsidP="00150777">
            <w:pPr>
              <w:pStyle w:val="GUIDE-NORMAL"/>
              <w:spacing w:before="60" w:after="60"/>
              <w:jc w:val="left"/>
              <w:rPr>
                <w:rFonts w:cs="Tahoma"/>
                <w:lang w:val="sl-SI" w:eastAsia="en-GB"/>
              </w:rPr>
            </w:pPr>
            <w:r w:rsidRPr="00F769E0">
              <w:rPr>
                <w:rFonts w:cs="Tahoma"/>
                <w:lang w:val="sl-SI" w:eastAsia="en-GB"/>
              </w:rPr>
              <w:t>Drugi stroški: 100 % upravičenih stroškov.</w:t>
            </w:r>
          </w:p>
        </w:tc>
        <w:tc>
          <w:tcPr>
            <w:tcW w:w="933" w:type="pct"/>
            <w:vMerge/>
            <w:tcBorders>
              <w:top w:val="nil"/>
              <w:left w:val="single" w:sz="4" w:space="0" w:color="000000"/>
              <w:bottom w:val="single" w:sz="4" w:space="0" w:color="000000"/>
              <w:right w:val="single" w:sz="4" w:space="0" w:color="000000"/>
            </w:tcBorders>
            <w:vAlign w:val="center"/>
          </w:tcPr>
          <w:p w14:paraId="7D399C32" w14:textId="77777777" w:rsidR="00E03711" w:rsidRPr="00F769E0" w:rsidRDefault="00E03711" w:rsidP="00003BB2">
            <w:pPr>
              <w:pStyle w:val="GUIDE-NORMAL"/>
              <w:spacing w:before="20" w:after="20"/>
              <w:jc w:val="left"/>
              <w:rPr>
                <w:rFonts w:cs="Tahoma"/>
                <w:lang w:val="sl-SI" w:eastAsia="en-GB"/>
              </w:rPr>
            </w:pPr>
          </w:p>
        </w:tc>
      </w:tr>
    </w:tbl>
    <w:p w14:paraId="7D399C34" w14:textId="77777777" w:rsidR="00E03711" w:rsidRPr="001048FE" w:rsidRDefault="00E03711" w:rsidP="00150777">
      <w:pPr>
        <w:pStyle w:val="Guide-Heading6"/>
        <w:rPr>
          <w:lang w:val="sl-SI"/>
        </w:rPr>
      </w:pPr>
      <w:bookmarkStart w:id="272" w:name="Tableau_A_–_Soutien_organisationnel_(mon"/>
      <w:bookmarkEnd w:id="272"/>
    </w:p>
    <w:p w14:paraId="7D399C35" w14:textId="77777777" w:rsidR="00E03711" w:rsidRPr="001048FE" w:rsidRDefault="00E03711" w:rsidP="00150777">
      <w:pPr>
        <w:pStyle w:val="Guide-Heading6"/>
        <w:rPr>
          <w:lang w:val="sl-SI"/>
        </w:rPr>
        <w:sectPr w:rsidR="00E03711" w:rsidRPr="001048FE" w:rsidSect="00A86879">
          <w:headerReference w:type="default" r:id="rId109"/>
          <w:endnotePr>
            <w:numFmt w:val="decimal"/>
          </w:endnotePr>
          <w:pgSz w:w="16840" w:h="11910" w:orient="landscape" w:code="9"/>
          <w:pgMar w:top="1418" w:right="1134" w:bottom="1418" w:left="1134" w:header="284" w:footer="567" w:gutter="0"/>
          <w:cols w:space="720"/>
          <w:docGrid w:linePitch="326"/>
        </w:sectPr>
      </w:pPr>
    </w:p>
    <w:p w14:paraId="7D399C36" w14:textId="77777777" w:rsidR="00E03711" w:rsidRPr="001048FE" w:rsidRDefault="00E03711" w:rsidP="00150777">
      <w:pPr>
        <w:pStyle w:val="Guide-Heading6"/>
        <w:rPr>
          <w:lang w:val="sl-SI"/>
        </w:rPr>
      </w:pPr>
      <w:r w:rsidRPr="001048FE">
        <w:rPr>
          <w:lang w:val="sl-SI"/>
        </w:rPr>
        <w:t>Preglednica A – Organizacijska podpora (zneski v EUR na dan)</w:t>
      </w:r>
    </w:p>
    <w:p w14:paraId="7D399C37" w14:textId="77777777" w:rsidR="00E03711" w:rsidRPr="001048FE" w:rsidRDefault="00E03711" w:rsidP="00150777">
      <w:pPr>
        <w:pStyle w:val="GUIDE-NORMAL"/>
        <w:rPr>
          <w:lang w:val="sl-SI"/>
        </w:rPr>
      </w:pPr>
      <w:r w:rsidRPr="001048FE">
        <w:rPr>
          <w:lang w:val="sl-SI"/>
        </w:rPr>
        <w:t>Zneski so odvisni od države, kjer se izvaja aktivnost.</w:t>
      </w:r>
    </w:p>
    <w:tbl>
      <w:tblPr>
        <w:tblW w:w="3440" w:type="pct"/>
        <w:jc w:val="center"/>
        <w:tblLook w:val="0000" w:firstRow="0" w:lastRow="0" w:firstColumn="0" w:lastColumn="0" w:noHBand="0" w:noVBand="0"/>
      </w:tblPr>
      <w:tblGrid>
        <w:gridCol w:w="4067"/>
        <w:gridCol w:w="2325"/>
      </w:tblGrid>
      <w:tr w:rsidR="00E03711" w:rsidRPr="008C6F8C" w14:paraId="7D399C3B" w14:textId="77777777" w:rsidTr="008A46B6">
        <w:trPr>
          <w:trHeight w:val="20"/>
          <w:jc w:val="center"/>
        </w:trPr>
        <w:tc>
          <w:tcPr>
            <w:tcW w:w="3181" w:type="pct"/>
            <w:vMerge w:val="restart"/>
            <w:tcBorders>
              <w:top w:val="nil"/>
              <w:left w:val="nil"/>
              <w:right w:val="nil"/>
            </w:tcBorders>
            <w:shd w:val="clear" w:color="auto" w:fill="auto"/>
            <w:vAlign w:val="center"/>
          </w:tcPr>
          <w:p w14:paraId="7D399C38" w14:textId="77777777" w:rsidR="00E03711" w:rsidRPr="00F769E0" w:rsidRDefault="00E03711" w:rsidP="00003BB2">
            <w:pPr>
              <w:pStyle w:val="Guide-Table"/>
              <w:jc w:val="left"/>
              <w:rPr>
                <w:rFonts w:cs="Tahoma"/>
                <w:lang w:val="sl-SI" w:eastAsia="en-GB"/>
              </w:rPr>
            </w:pPr>
          </w:p>
          <w:p w14:paraId="7D399C39" w14:textId="77777777" w:rsidR="00E03711" w:rsidRPr="00F769E0" w:rsidRDefault="00E03711" w:rsidP="00003BB2">
            <w:pPr>
              <w:pStyle w:val="Guide-Table"/>
              <w:jc w:val="left"/>
              <w:rPr>
                <w:rFonts w:cs="Tahoma"/>
                <w:lang w:val="sl-SI" w:eastAsia="en-GB"/>
              </w:rPr>
            </w:pP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3A" w14:textId="77777777" w:rsidR="00E03711" w:rsidRPr="00F769E0" w:rsidRDefault="00E03711" w:rsidP="00003BB2">
            <w:pPr>
              <w:pStyle w:val="Guide-Table"/>
              <w:rPr>
                <w:rFonts w:cs="Tahoma"/>
                <w:b/>
                <w:bCs/>
                <w:lang w:val="sl-SI" w:eastAsia="en-GB"/>
              </w:rPr>
            </w:pPr>
            <w:r w:rsidRPr="00F769E0">
              <w:rPr>
                <w:rFonts w:cs="Tahoma"/>
                <w:b/>
                <w:bCs/>
                <w:lang w:val="sl-SI" w:eastAsia="en-GB"/>
              </w:rPr>
              <w:t>Organizacijska podpora</w:t>
            </w:r>
          </w:p>
        </w:tc>
      </w:tr>
      <w:tr w:rsidR="00E03711" w:rsidRPr="008C6F8C" w14:paraId="7D399C3E" w14:textId="77777777" w:rsidTr="008A46B6">
        <w:trPr>
          <w:trHeight w:val="20"/>
          <w:jc w:val="center"/>
        </w:trPr>
        <w:tc>
          <w:tcPr>
            <w:tcW w:w="3181" w:type="pct"/>
            <w:vMerge/>
            <w:tcBorders>
              <w:left w:val="nil"/>
              <w:bottom w:val="nil"/>
              <w:right w:val="nil"/>
            </w:tcBorders>
            <w:shd w:val="clear" w:color="auto" w:fill="auto"/>
            <w:vAlign w:val="center"/>
          </w:tcPr>
          <w:p w14:paraId="7D399C3C" w14:textId="77777777" w:rsidR="00E03711" w:rsidRPr="00F769E0" w:rsidRDefault="00E03711" w:rsidP="00003BB2">
            <w:pPr>
              <w:pStyle w:val="Guide-Table"/>
              <w:jc w:val="left"/>
              <w:rPr>
                <w:rFonts w:cs="Tahoma"/>
                <w:lang w:val="sl-SI" w:eastAsia="en-GB"/>
              </w:rPr>
            </w:pP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3D" w14:textId="77777777" w:rsidR="00E03711" w:rsidRPr="00F769E0" w:rsidRDefault="00E03711" w:rsidP="00003BB2">
            <w:pPr>
              <w:pStyle w:val="Guide-Table"/>
              <w:rPr>
                <w:rFonts w:cs="Tahoma"/>
                <w:b/>
                <w:bCs/>
                <w:lang w:val="sl-SI" w:eastAsia="en-GB"/>
              </w:rPr>
            </w:pPr>
            <w:r w:rsidRPr="00F769E0">
              <w:rPr>
                <w:rFonts w:cs="Tahoma"/>
                <w:b/>
                <w:bCs/>
                <w:lang w:val="sl-SI" w:eastAsia="en-GB"/>
              </w:rPr>
              <w:t>C1.1</w:t>
            </w:r>
          </w:p>
        </w:tc>
      </w:tr>
      <w:tr w:rsidR="00E03711" w:rsidRPr="008C6F8C" w14:paraId="7D399C41"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3F" w14:textId="77777777" w:rsidR="00E03711" w:rsidRPr="00F769E0" w:rsidRDefault="00E03711" w:rsidP="00913A20">
            <w:pPr>
              <w:pStyle w:val="Guide-Table"/>
              <w:jc w:val="left"/>
              <w:rPr>
                <w:rFonts w:cs="Tahoma"/>
                <w:b/>
                <w:kern w:val="0"/>
                <w:lang w:val="sl-SI" w:eastAsia="fr-FR"/>
              </w:rPr>
            </w:pPr>
            <w:r w:rsidRPr="00F769E0">
              <w:rPr>
                <w:rFonts w:cs="Tahoma"/>
                <w:b/>
                <w:lang w:val="sl-SI" w:eastAsia="en-GB"/>
              </w:rPr>
              <w:t>Belgija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40" w14:textId="77777777" w:rsidR="00E03711" w:rsidRPr="00F769E0" w:rsidRDefault="00E03711" w:rsidP="00913A20">
            <w:pPr>
              <w:pStyle w:val="Guide-Table"/>
              <w:rPr>
                <w:rFonts w:cs="Tahoma"/>
                <w:lang w:val="sl-SI" w:eastAsia="en-GB"/>
              </w:rPr>
            </w:pPr>
            <w:r w:rsidRPr="00F769E0">
              <w:rPr>
                <w:rFonts w:cs="Tahoma"/>
                <w:lang w:val="sl-SI" w:eastAsia="en-GB"/>
              </w:rPr>
              <w:t>42</w:t>
            </w:r>
          </w:p>
        </w:tc>
      </w:tr>
      <w:tr w:rsidR="00E03711" w:rsidRPr="008C6F8C" w14:paraId="7D399C44"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42" w14:textId="77777777" w:rsidR="00E03711" w:rsidRPr="00F769E0" w:rsidRDefault="00E03711" w:rsidP="00913A20">
            <w:pPr>
              <w:pStyle w:val="Guide-Table"/>
              <w:jc w:val="left"/>
              <w:rPr>
                <w:rFonts w:cs="Tahoma"/>
                <w:b/>
                <w:lang w:val="sl-SI" w:eastAsia="en-GB"/>
              </w:rPr>
            </w:pPr>
            <w:r w:rsidRPr="00F769E0">
              <w:rPr>
                <w:rFonts w:cs="Tahoma"/>
                <w:b/>
                <w:lang w:val="sl-SI" w:eastAsia="en-GB"/>
              </w:rPr>
              <w:t>Bolgarija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43" w14:textId="77777777" w:rsidR="00E03711" w:rsidRPr="00F769E0" w:rsidRDefault="00E03711" w:rsidP="00913A20">
            <w:pPr>
              <w:pStyle w:val="Guide-Table"/>
              <w:rPr>
                <w:rFonts w:cs="Tahoma"/>
                <w:lang w:val="sl-SI" w:eastAsia="en-GB"/>
              </w:rPr>
            </w:pPr>
            <w:r w:rsidRPr="00F769E0">
              <w:rPr>
                <w:rFonts w:cs="Tahoma"/>
                <w:lang w:val="sl-SI" w:eastAsia="en-GB"/>
              </w:rPr>
              <w:t>32</w:t>
            </w:r>
          </w:p>
        </w:tc>
      </w:tr>
      <w:tr w:rsidR="00E03711" w:rsidRPr="008C6F8C" w14:paraId="7D399C47"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45" w14:textId="77777777" w:rsidR="00E03711" w:rsidRPr="00F769E0" w:rsidRDefault="00E03711" w:rsidP="00913A20">
            <w:pPr>
              <w:pStyle w:val="Guide-Table"/>
              <w:jc w:val="left"/>
              <w:rPr>
                <w:rFonts w:cs="Tahoma"/>
                <w:b/>
                <w:lang w:val="sl-SI" w:eastAsia="en-GB"/>
              </w:rPr>
            </w:pPr>
            <w:r w:rsidRPr="00F769E0">
              <w:rPr>
                <w:rFonts w:cs="Tahoma"/>
                <w:b/>
                <w:lang w:val="sl-SI" w:eastAsia="en-GB"/>
              </w:rPr>
              <w:t>Češka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46" w14:textId="77777777" w:rsidR="00E03711" w:rsidRPr="00F769E0" w:rsidRDefault="00E03711" w:rsidP="00913A20">
            <w:pPr>
              <w:pStyle w:val="Guide-Table"/>
              <w:rPr>
                <w:rFonts w:cs="Tahoma"/>
                <w:lang w:val="sl-SI" w:eastAsia="en-GB"/>
              </w:rPr>
            </w:pPr>
            <w:r w:rsidRPr="00F769E0">
              <w:rPr>
                <w:rFonts w:cs="Tahoma"/>
                <w:lang w:val="sl-SI" w:eastAsia="en-GB"/>
              </w:rPr>
              <w:t>32</w:t>
            </w:r>
          </w:p>
        </w:tc>
      </w:tr>
      <w:tr w:rsidR="00E03711" w:rsidRPr="008C6F8C" w14:paraId="7D399C4A"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48" w14:textId="77777777" w:rsidR="00E03711" w:rsidRPr="00F769E0" w:rsidRDefault="00E03711" w:rsidP="00913A20">
            <w:pPr>
              <w:pStyle w:val="Guide-Table"/>
              <w:jc w:val="left"/>
              <w:rPr>
                <w:rFonts w:cs="Tahoma"/>
                <w:b/>
                <w:lang w:val="sl-SI" w:eastAsia="en-GB"/>
              </w:rPr>
            </w:pPr>
            <w:r w:rsidRPr="00F769E0">
              <w:rPr>
                <w:rFonts w:cs="Tahoma"/>
                <w:b/>
                <w:lang w:val="sl-SI" w:eastAsia="en-GB"/>
              </w:rPr>
              <w:t>Danska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49" w14:textId="77777777" w:rsidR="00E03711" w:rsidRPr="00F769E0" w:rsidRDefault="00E03711" w:rsidP="00913A20">
            <w:pPr>
              <w:pStyle w:val="Guide-Table"/>
              <w:rPr>
                <w:rFonts w:cs="Tahoma"/>
                <w:lang w:val="sl-SI" w:eastAsia="en-GB"/>
              </w:rPr>
            </w:pPr>
            <w:r w:rsidRPr="00F769E0">
              <w:rPr>
                <w:rFonts w:cs="Tahoma"/>
                <w:lang w:val="sl-SI" w:eastAsia="en-GB"/>
              </w:rPr>
              <w:t>45</w:t>
            </w:r>
          </w:p>
        </w:tc>
      </w:tr>
      <w:tr w:rsidR="00E03711" w:rsidRPr="008C6F8C" w14:paraId="7D399C4D"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4B" w14:textId="77777777" w:rsidR="00E03711" w:rsidRPr="00F769E0" w:rsidRDefault="00E03711" w:rsidP="00913A20">
            <w:pPr>
              <w:pStyle w:val="Guide-Table"/>
              <w:jc w:val="left"/>
              <w:rPr>
                <w:rFonts w:cs="Tahoma"/>
                <w:b/>
                <w:lang w:val="sl-SI" w:eastAsia="en-GB"/>
              </w:rPr>
            </w:pPr>
            <w:r w:rsidRPr="00F769E0">
              <w:rPr>
                <w:rFonts w:cs="Tahoma"/>
                <w:b/>
                <w:lang w:val="sl-SI" w:eastAsia="en-GB"/>
              </w:rPr>
              <w:t>Nemčija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4C" w14:textId="77777777" w:rsidR="00E03711" w:rsidRPr="00F769E0" w:rsidRDefault="00E03711" w:rsidP="00913A20">
            <w:pPr>
              <w:pStyle w:val="Guide-Table"/>
              <w:rPr>
                <w:rFonts w:cs="Tahoma"/>
                <w:lang w:val="sl-SI" w:eastAsia="en-GB"/>
              </w:rPr>
            </w:pPr>
            <w:r w:rsidRPr="00F769E0">
              <w:rPr>
                <w:rFonts w:cs="Tahoma"/>
                <w:lang w:val="sl-SI" w:eastAsia="en-GB"/>
              </w:rPr>
              <w:t>41</w:t>
            </w:r>
          </w:p>
        </w:tc>
      </w:tr>
      <w:tr w:rsidR="00E03711" w:rsidRPr="008C6F8C" w14:paraId="7D399C50"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4E" w14:textId="77777777" w:rsidR="00E03711" w:rsidRPr="00F769E0" w:rsidRDefault="00E03711" w:rsidP="00913A20">
            <w:pPr>
              <w:pStyle w:val="Guide-Table"/>
              <w:jc w:val="left"/>
              <w:rPr>
                <w:rFonts w:cs="Tahoma"/>
                <w:b/>
                <w:lang w:val="sl-SI" w:eastAsia="en-GB"/>
              </w:rPr>
            </w:pPr>
            <w:r w:rsidRPr="00F769E0">
              <w:rPr>
                <w:rFonts w:cs="Tahoma"/>
                <w:b/>
                <w:lang w:val="sl-SI" w:eastAsia="en-GB"/>
              </w:rPr>
              <w:t>Estonija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4F" w14:textId="77777777" w:rsidR="00E03711" w:rsidRPr="00F769E0" w:rsidRDefault="00E03711" w:rsidP="00913A20">
            <w:pPr>
              <w:pStyle w:val="Guide-Table"/>
              <w:rPr>
                <w:rFonts w:cs="Tahoma"/>
                <w:lang w:val="sl-SI" w:eastAsia="en-GB"/>
              </w:rPr>
            </w:pPr>
            <w:r w:rsidRPr="00F769E0">
              <w:rPr>
                <w:rFonts w:cs="Tahoma"/>
                <w:lang w:val="sl-SI" w:eastAsia="en-GB"/>
              </w:rPr>
              <w:t>33</w:t>
            </w:r>
          </w:p>
        </w:tc>
      </w:tr>
      <w:tr w:rsidR="00E03711" w:rsidRPr="008C6F8C" w14:paraId="7D399C53"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51" w14:textId="77777777" w:rsidR="00E03711" w:rsidRPr="00F769E0" w:rsidRDefault="00E03711" w:rsidP="00913A20">
            <w:pPr>
              <w:pStyle w:val="Guide-Table"/>
              <w:jc w:val="left"/>
              <w:rPr>
                <w:rFonts w:cs="Tahoma"/>
                <w:b/>
                <w:lang w:val="sl-SI" w:eastAsia="en-GB"/>
              </w:rPr>
            </w:pPr>
            <w:r w:rsidRPr="00F769E0">
              <w:rPr>
                <w:rFonts w:cs="Tahoma"/>
                <w:b/>
                <w:lang w:val="sl-SI" w:eastAsia="en-GB"/>
              </w:rPr>
              <w:t>Irska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52" w14:textId="77777777" w:rsidR="00E03711" w:rsidRPr="00F769E0" w:rsidRDefault="00E03711" w:rsidP="00913A20">
            <w:pPr>
              <w:pStyle w:val="Guide-Table"/>
              <w:rPr>
                <w:rFonts w:cs="Tahoma"/>
                <w:lang w:val="sl-SI" w:eastAsia="en-GB"/>
              </w:rPr>
            </w:pPr>
            <w:r w:rsidRPr="00F769E0">
              <w:rPr>
                <w:rFonts w:cs="Tahoma"/>
                <w:lang w:val="sl-SI" w:eastAsia="en-GB"/>
              </w:rPr>
              <w:t>49</w:t>
            </w:r>
          </w:p>
        </w:tc>
      </w:tr>
      <w:tr w:rsidR="00E03711" w:rsidRPr="008C6F8C" w14:paraId="7D399C56"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54" w14:textId="77777777" w:rsidR="00E03711" w:rsidRPr="00F769E0" w:rsidRDefault="00E03711" w:rsidP="00913A20">
            <w:pPr>
              <w:pStyle w:val="Guide-Table"/>
              <w:jc w:val="left"/>
              <w:rPr>
                <w:rFonts w:cs="Tahoma"/>
                <w:b/>
                <w:lang w:val="sl-SI" w:eastAsia="en-GB"/>
              </w:rPr>
            </w:pPr>
            <w:r w:rsidRPr="00F769E0">
              <w:rPr>
                <w:rFonts w:cs="Tahoma"/>
                <w:b/>
                <w:lang w:val="sl-SI" w:eastAsia="en-GB"/>
              </w:rPr>
              <w:t>Grčija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55" w14:textId="77777777" w:rsidR="00E03711" w:rsidRPr="00F769E0" w:rsidRDefault="00E03711" w:rsidP="00913A20">
            <w:pPr>
              <w:pStyle w:val="Guide-Table"/>
              <w:rPr>
                <w:rFonts w:cs="Tahoma"/>
                <w:lang w:val="sl-SI" w:eastAsia="en-GB"/>
              </w:rPr>
            </w:pPr>
            <w:r w:rsidRPr="00F769E0">
              <w:rPr>
                <w:rFonts w:cs="Tahoma"/>
                <w:lang w:val="sl-SI" w:eastAsia="en-GB"/>
              </w:rPr>
              <w:t>38</w:t>
            </w:r>
          </w:p>
        </w:tc>
      </w:tr>
      <w:tr w:rsidR="00E03711" w:rsidRPr="008C6F8C" w14:paraId="7D399C59"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57" w14:textId="77777777" w:rsidR="00E03711" w:rsidRPr="00F769E0" w:rsidRDefault="00E03711" w:rsidP="00913A20">
            <w:pPr>
              <w:pStyle w:val="Guide-Table"/>
              <w:jc w:val="left"/>
              <w:rPr>
                <w:rFonts w:cs="Tahoma"/>
                <w:b/>
                <w:lang w:val="sl-SI" w:eastAsia="en-GB"/>
              </w:rPr>
            </w:pPr>
            <w:r w:rsidRPr="00F769E0">
              <w:rPr>
                <w:rFonts w:cs="Tahoma"/>
                <w:b/>
                <w:lang w:val="sl-SI" w:eastAsia="en-GB"/>
              </w:rPr>
              <w:t>Španija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58" w14:textId="77777777" w:rsidR="00E03711" w:rsidRPr="00F769E0" w:rsidRDefault="00E03711" w:rsidP="00913A20">
            <w:pPr>
              <w:pStyle w:val="Guide-Table"/>
              <w:rPr>
                <w:rFonts w:cs="Tahoma"/>
                <w:lang w:val="sl-SI" w:eastAsia="en-GB"/>
              </w:rPr>
            </w:pPr>
            <w:r w:rsidRPr="00F769E0">
              <w:rPr>
                <w:rFonts w:cs="Tahoma"/>
                <w:lang w:val="sl-SI" w:eastAsia="en-GB"/>
              </w:rPr>
              <w:t>34</w:t>
            </w:r>
          </w:p>
        </w:tc>
      </w:tr>
      <w:tr w:rsidR="00E03711" w:rsidRPr="008C6F8C" w14:paraId="7D399C5C"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5A" w14:textId="77777777" w:rsidR="00E03711" w:rsidRPr="00F769E0" w:rsidRDefault="00E03711" w:rsidP="00913A20">
            <w:pPr>
              <w:pStyle w:val="Guide-Table"/>
              <w:jc w:val="left"/>
              <w:rPr>
                <w:rFonts w:cs="Tahoma"/>
                <w:b/>
                <w:lang w:val="sl-SI" w:eastAsia="en-GB"/>
              </w:rPr>
            </w:pPr>
            <w:r w:rsidRPr="00F769E0">
              <w:rPr>
                <w:rFonts w:cs="Tahoma"/>
                <w:b/>
                <w:lang w:val="sl-SI" w:eastAsia="en-GB"/>
              </w:rPr>
              <w:t>Francija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5B" w14:textId="77777777" w:rsidR="00E03711" w:rsidRPr="00F769E0" w:rsidRDefault="00E03711" w:rsidP="00913A20">
            <w:pPr>
              <w:pStyle w:val="Guide-Table"/>
              <w:rPr>
                <w:rFonts w:cs="Tahoma"/>
                <w:lang w:val="sl-SI" w:eastAsia="en-GB"/>
              </w:rPr>
            </w:pPr>
            <w:r w:rsidRPr="00F769E0">
              <w:rPr>
                <w:rFonts w:cs="Tahoma"/>
                <w:lang w:val="sl-SI" w:eastAsia="en-GB"/>
              </w:rPr>
              <w:t>38</w:t>
            </w:r>
          </w:p>
        </w:tc>
      </w:tr>
      <w:tr w:rsidR="00E03711" w:rsidRPr="008C6F8C" w14:paraId="7D399C5F"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5D" w14:textId="77777777" w:rsidR="00E03711" w:rsidRPr="00F769E0" w:rsidRDefault="00E03711" w:rsidP="00913A20">
            <w:pPr>
              <w:pStyle w:val="Guide-Table"/>
              <w:jc w:val="left"/>
              <w:rPr>
                <w:rFonts w:cs="Tahoma"/>
                <w:b/>
                <w:lang w:val="sl-SI" w:eastAsia="en-GB"/>
              </w:rPr>
            </w:pPr>
            <w:r w:rsidRPr="00F769E0">
              <w:rPr>
                <w:rFonts w:cs="Tahoma"/>
                <w:b/>
                <w:lang w:val="sl-SI" w:eastAsia="en-GB"/>
              </w:rPr>
              <w:t>Hrvaška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5E" w14:textId="77777777" w:rsidR="00E03711" w:rsidRPr="00F769E0" w:rsidRDefault="00E03711" w:rsidP="00913A20">
            <w:pPr>
              <w:pStyle w:val="Guide-Table"/>
              <w:rPr>
                <w:rFonts w:cs="Tahoma"/>
                <w:lang w:val="sl-SI" w:eastAsia="en-GB"/>
              </w:rPr>
            </w:pPr>
            <w:r w:rsidRPr="00F769E0">
              <w:rPr>
                <w:rFonts w:cs="Tahoma"/>
                <w:lang w:val="sl-SI" w:eastAsia="en-GB"/>
              </w:rPr>
              <w:t>35</w:t>
            </w:r>
          </w:p>
        </w:tc>
      </w:tr>
      <w:tr w:rsidR="00E03711" w:rsidRPr="008C6F8C" w14:paraId="7D399C62"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60" w14:textId="77777777" w:rsidR="00E03711" w:rsidRPr="00F769E0" w:rsidRDefault="00E03711" w:rsidP="00913A20">
            <w:pPr>
              <w:pStyle w:val="Guide-Table"/>
              <w:jc w:val="left"/>
              <w:rPr>
                <w:rFonts w:cs="Tahoma"/>
                <w:b/>
                <w:lang w:val="sl-SI" w:eastAsia="en-GB"/>
              </w:rPr>
            </w:pPr>
            <w:r w:rsidRPr="00F769E0">
              <w:rPr>
                <w:rFonts w:cs="Tahoma"/>
                <w:b/>
                <w:lang w:val="sl-SI" w:eastAsia="en-GB"/>
              </w:rPr>
              <w:t>Italija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61" w14:textId="77777777" w:rsidR="00E03711" w:rsidRPr="00F769E0" w:rsidRDefault="00E03711" w:rsidP="00913A20">
            <w:pPr>
              <w:pStyle w:val="Guide-Table"/>
              <w:rPr>
                <w:rFonts w:cs="Tahoma"/>
                <w:lang w:val="sl-SI" w:eastAsia="en-GB"/>
              </w:rPr>
            </w:pPr>
            <w:r w:rsidRPr="00F769E0">
              <w:rPr>
                <w:rFonts w:cs="Tahoma"/>
                <w:lang w:val="sl-SI" w:eastAsia="en-GB"/>
              </w:rPr>
              <w:t>39</w:t>
            </w:r>
          </w:p>
        </w:tc>
      </w:tr>
      <w:tr w:rsidR="00E03711" w:rsidRPr="008C6F8C" w14:paraId="7D399C65"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63" w14:textId="77777777" w:rsidR="00E03711" w:rsidRPr="00F769E0" w:rsidRDefault="00E03711" w:rsidP="00913A20">
            <w:pPr>
              <w:pStyle w:val="Guide-Table"/>
              <w:jc w:val="left"/>
              <w:rPr>
                <w:rFonts w:cs="Tahoma"/>
                <w:b/>
                <w:lang w:val="sl-SI" w:eastAsia="en-GB"/>
              </w:rPr>
            </w:pPr>
            <w:r w:rsidRPr="00F769E0">
              <w:rPr>
                <w:rFonts w:cs="Tahoma"/>
                <w:b/>
                <w:lang w:val="sl-SI" w:eastAsia="en-GB"/>
              </w:rPr>
              <w:t>Ciper</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64" w14:textId="77777777" w:rsidR="00E03711" w:rsidRPr="00F769E0" w:rsidRDefault="00E03711" w:rsidP="00913A20">
            <w:pPr>
              <w:pStyle w:val="Guide-Table"/>
              <w:rPr>
                <w:rFonts w:cs="Tahoma"/>
                <w:lang w:val="sl-SI" w:eastAsia="en-GB"/>
              </w:rPr>
            </w:pPr>
            <w:r w:rsidRPr="00F769E0">
              <w:rPr>
                <w:rFonts w:cs="Tahoma"/>
                <w:lang w:val="sl-SI" w:eastAsia="en-GB"/>
              </w:rPr>
              <w:t>32</w:t>
            </w:r>
          </w:p>
        </w:tc>
      </w:tr>
      <w:tr w:rsidR="00E03711" w:rsidRPr="008C6F8C" w14:paraId="7D399C68"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66" w14:textId="77777777" w:rsidR="00E03711" w:rsidRPr="00F769E0" w:rsidRDefault="00E03711" w:rsidP="00913A20">
            <w:pPr>
              <w:pStyle w:val="Guide-Table"/>
              <w:jc w:val="left"/>
              <w:rPr>
                <w:rFonts w:cs="Tahoma"/>
                <w:b/>
                <w:lang w:val="sl-SI" w:eastAsia="en-GB"/>
              </w:rPr>
            </w:pPr>
            <w:r w:rsidRPr="00F769E0">
              <w:rPr>
                <w:rFonts w:cs="Tahoma"/>
                <w:b/>
                <w:lang w:val="sl-SI" w:eastAsia="en-GB"/>
              </w:rPr>
              <w:t>Latvija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67" w14:textId="77777777" w:rsidR="00E03711" w:rsidRPr="00F769E0" w:rsidRDefault="00E03711" w:rsidP="00913A20">
            <w:pPr>
              <w:pStyle w:val="Guide-Table"/>
              <w:rPr>
                <w:rFonts w:cs="Tahoma"/>
                <w:lang w:val="sl-SI" w:eastAsia="en-GB"/>
              </w:rPr>
            </w:pPr>
            <w:r w:rsidRPr="00F769E0">
              <w:rPr>
                <w:rFonts w:cs="Tahoma"/>
                <w:lang w:val="sl-SI" w:eastAsia="en-GB"/>
              </w:rPr>
              <w:t>34</w:t>
            </w:r>
          </w:p>
        </w:tc>
      </w:tr>
      <w:tr w:rsidR="00E03711" w:rsidRPr="008C6F8C" w14:paraId="7D399C6B"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69" w14:textId="77777777" w:rsidR="00E03711" w:rsidRPr="00F769E0" w:rsidRDefault="00E03711" w:rsidP="00913A20">
            <w:pPr>
              <w:pStyle w:val="Guide-Table"/>
              <w:jc w:val="left"/>
              <w:rPr>
                <w:rFonts w:cs="Tahoma"/>
                <w:b/>
                <w:lang w:val="sl-SI" w:eastAsia="en-GB"/>
              </w:rPr>
            </w:pPr>
            <w:r w:rsidRPr="00F769E0">
              <w:rPr>
                <w:rFonts w:cs="Tahoma"/>
                <w:b/>
                <w:lang w:val="sl-SI" w:eastAsia="en-GB"/>
              </w:rPr>
              <w:t>Litva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6A" w14:textId="77777777" w:rsidR="00E03711" w:rsidRPr="00F769E0" w:rsidRDefault="00E03711" w:rsidP="00913A20">
            <w:pPr>
              <w:pStyle w:val="Guide-Table"/>
              <w:rPr>
                <w:rFonts w:cs="Tahoma"/>
                <w:lang w:val="sl-SI" w:eastAsia="en-GB"/>
              </w:rPr>
            </w:pPr>
            <w:r w:rsidRPr="00F769E0">
              <w:rPr>
                <w:rFonts w:cs="Tahoma"/>
                <w:lang w:val="sl-SI" w:eastAsia="en-GB"/>
              </w:rPr>
              <w:t>34</w:t>
            </w:r>
          </w:p>
        </w:tc>
      </w:tr>
      <w:tr w:rsidR="00E03711" w:rsidRPr="008C6F8C" w14:paraId="7D399C6E"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6C" w14:textId="77777777" w:rsidR="00E03711" w:rsidRPr="00F769E0" w:rsidRDefault="00E03711" w:rsidP="00913A20">
            <w:pPr>
              <w:pStyle w:val="Guide-Table"/>
              <w:jc w:val="left"/>
              <w:rPr>
                <w:rFonts w:cs="Tahoma"/>
                <w:b/>
                <w:lang w:val="sl-SI" w:eastAsia="en-GB"/>
              </w:rPr>
            </w:pPr>
            <w:r w:rsidRPr="00F769E0">
              <w:rPr>
                <w:rFonts w:cs="Tahoma"/>
                <w:b/>
                <w:lang w:val="sl-SI" w:eastAsia="en-GB"/>
              </w:rPr>
              <w:t>Luksemburg</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6D" w14:textId="77777777" w:rsidR="00E03711" w:rsidRPr="00F769E0" w:rsidRDefault="00E03711" w:rsidP="00913A20">
            <w:pPr>
              <w:pStyle w:val="Guide-Table"/>
              <w:rPr>
                <w:rFonts w:cs="Tahoma"/>
                <w:lang w:val="sl-SI" w:eastAsia="en-GB"/>
              </w:rPr>
            </w:pPr>
            <w:r w:rsidRPr="00F769E0">
              <w:rPr>
                <w:rFonts w:cs="Tahoma"/>
                <w:lang w:val="sl-SI" w:eastAsia="en-GB"/>
              </w:rPr>
              <w:t>45</w:t>
            </w:r>
          </w:p>
        </w:tc>
      </w:tr>
      <w:tr w:rsidR="00E03711" w:rsidRPr="008C6F8C" w14:paraId="7D399C71"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6F" w14:textId="77777777" w:rsidR="00E03711" w:rsidRPr="00F769E0" w:rsidRDefault="00E03711" w:rsidP="00913A20">
            <w:pPr>
              <w:pStyle w:val="Guide-Table"/>
              <w:jc w:val="left"/>
              <w:rPr>
                <w:rFonts w:cs="Tahoma"/>
                <w:b/>
                <w:lang w:val="sl-SI" w:eastAsia="en-GB"/>
              </w:rPr>
            </w:pPr>
            <w:r w:rsidRPr="00F769E0">
              <w:rPr>
                <w:rFonts w:cs="Tahoma"/>
                <w:b/>
                <w:lang w:val="sl-SI" w:eastAsia="en-GB"/>
              </w:rPr>
              <w:t>Madžarska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70" w14:textId="77777777" w:rsidR="00E03711" w:rsidRPr="00F769E0" w:rsidRDefault="00E03711" w:rsidP="00913A20">
            <w:pPr>
              <w:pStyle w:val="Guide-Table"/>
              <w:rPr>
                <w:rFonts w:cs="Tahoma"/>
                <w:lang w:val="sl-SI" w:eastAsia="en-GB"/>
              </w:rPr>
            </w:pPr>
            <w:r w:rsidRPr="00F769E0">
              <w:rPr>
                <w:rFonts w:cs="Tahoma"/>
                <w:lang w:val="sl-SI" w:eastAsia="en-GB"/>
              </w:rPr>
              <w:t>33</w:t>
            </w:r>
          </w:p>
        </w:tc>
      </w:tr>
      <w:tr w:rsidR="00E03711" w:rsidRPr="008C6F8C" w14:paraId="7D399C74"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72" w14:textId="77777777" w:rsidR="00E03711" w:rsidRPr="00F769E0" w:rsidRDefault="00E03711" w:rsidP="00913A20">
            <w:pPr>
              <w:pStyle w:val="Guide-Table"/>
              <w:jc w:val="left"/>
              <w:rPr>
                <w:rFonts w:cs="Tahoma"/>
                <w:b/>
                <w:lang w:val="sl-SI" w:eastAsia="en-GB"/>
              </w:rPr>
            </w:pPr>
            <w:r w:rsidRPr="00F769E0">
              <w:rPr>
                <w:rFonts w:cs="Tahoma"/>
                <w:b/>
                <w:lang w:val="sl-SI" w:eastAsia="en-GB"/>
              </w:rPr>
              <w:t>Malta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73" w14:textId="77777777" w:rsidR="00E03711" w:rsidRPr="00F769E0" w:rsidRDefault="00E03711" w:rsidP="00913A20">
            <w:pPr>
              <w:pStyle w:val="Guide-Table"/>
              <w:rPr>
                <w:rFonts w:cs="Tahoma"/>
                <w:lang w:val="sl-SI" w:eastAsia="en-GB"/>
              </w:rPr>
            </w:pPr>
            <w:r w:rsidRPr="00F769E0">
              <w:rPr>
                <w:rFonts w:cs="Tahoma"/>
                <w:lang w:val="sl-SI" w:eastAsia="en-GB"/>
              </w:rPr>
              <w:t>39</w:t>
            </w:r>
          </w:p>
        </w:tc>
      </w:tr>
      <w:tr w:rsidR="00E03711" w:rsidRPr="008C6F8C" w14:paraId="7D399C77"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75" w14:textId="77777777" w:rsidR="00E03711" w:rsidRPr="00F769E0" w:rsidRDefault="00E03711" w:rsidP="00913A20">
            <w:pPr>
              <w:pStyle w:val="Guide-Table"/>
              <w:jc w:val="left"/>
              <w:rPr>
                <w:rFonts w:cs="Tahoma"/>
                <w:b/>
                <w:lang w:val="sl-SI" w:eastAsia="en-GB"/>
              </w:rPr>
            </w:pPr>
            <w:r w:rsidRPr="00F769E0">
              <w:rPr>
                <w:rFonts w:cs="Tahoma"/>
                <w:b/>
                <w:lang w:val="sl-SI" w:eastAsia="en-GB"/>
              </w:rPr>
              <w:t>Nizozemska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76" w14:textId="77777777" w:rsidR="00E03711" w:rsidRPr="00F769E0" w:rsidRDefault="00E03711" w:rsidP="00913A20">
            <w:pPr>
              <w:pStyle w:val="Guide-Table"/>
              <w:rPr>
                <w:rFonts w:cs="Tahoma"/>
                <w:lang w:val="sl-SI" w:eastAsia="en-GB"/>
              </w:rPr>
            </w:pPr>
            <w:r w:rsidRPr="00F769E0">
              <w:rPr>
                <w:rFonts w:cs="Tahoma"/>
                <w:lang w:val="sl-SI" w:eastAsia="en-GB"/>
              </w:rPr>
              <w:t>45</w:t>
            </w:r>
          </w:p>
        </w:tc>
      </w:tr>
      <w:tr w:rsidR="00E03711" w:rsidRPr="008C6F8C" w14:paraId="7D399C7A"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78" w14:textId="77777777" w:rsidR="00E03711" w:rsidRPr="00F769E0" w:rsidRDefault="00E03711" w:rsidP="00913A20">
            <w:pPr>
              <w:pStyle w:val="Guide-Table"/>
              <w:jc w:val="left"/>
              <w:rPr>
                <w:rFonts w:cs="Tahoma"/>
                <w:b/>
                <w:lang w:val="sl-SI" w:eastAsia="en-GB"/>
              </w:rPr>
            </w:pPr>
            <w:r w:rsidRPr="00F769E0">
              <w:rPr>
                <w:rFonts w:cs="Tahoma"/>
                <w:b/>
                <w:lang w:val="sl-SI" w:eastAsia="en-GB"/>
              </w:rPr>
              <w:t>Avstrija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79" w14:textId="77777777" w:rsidR="00E03711" w:rsidRPr="00F769E0" w:rsidRDefault="00E03711" w:rsidP="00913A20">
            <w:pPr>
              <w:pStyle w:val="Guide-Table"/>
              <w:rPr>
                <w:rFonts w:cs="Tahoma"/>
                <w:lang w:val="sl-SI" w:eastAsia="en-GB"/>
              </w:rPr>
            </w:pPr>
            <w:r w:rsidRPr="00F769E0">
              <w:rPr>
                <w:rFonts w:cs="Tahoma"/>
                <w:lang w:val="sl-SI" w:eastAsia="en-GB"/>
              </w:rPr>
              <w:t>45</w:t>
            </w:r>
          </w:p>
        </w:tc>
      </w:tr>
      <w:tr w:rsidR="00E03711" w:rsidRPr="008C6F8C" w14:paraId="7D399C7D"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7B" w14:textId="77777777" w:rsidR="00E03711" w:rsidRPr="00F769E0" w:rsidRDefault="00E03711" w:rsidP="00913A20">
            <w:pPr>
              <w:pStyle w:val="Guide-Table"/>
              <w:jc w:val="left"/>
              <w:rPr>
                <w:rFonts w:cs="Tahoma"/>
                <w:b/>
                <w:lang w:val="sl-SI" w:eastAsia="en-GB"/>
              </w:rPr>
            </w:pPr>
            <w:r w:rsidRPr="00F769E0">
              <w:rPr>
                <w:rFonts w:cs="Tahoma"/>
                <w:b/>
                <w:lang w:val="sl-SI" w:eastAsia="en-GB"/>
              </w:rPr>
              <w:t>Poljska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7C" w14:textId="77777777" w:rsidR="00E03711" w:rsidRPr="00F769E0" w:rsidRDefault="00E03711" w:rsidP="00913A20">
            <w:pPr>
              <w:pStyle w:val="Guide-Table"/>
              <w:rPr>
                <w:rFonts w:cs="Tahoma"/>
                <w:lang w:val="sl-SI" w:eastAsia="en-GB"/>
              </w:rPr>
            </w:pPr>
            <w:r w:rsidRPr="00F769E0">
              <w:rPr>
                <w:rFonts w:cs="Tahoma"/>
                <w:lang w:val="sl-SI" w:eastAsia="en-GB"/>
              </w:rPr>
              <w:t>34</w:t>
            </w:r>
          </w:p>
        </w:tc>
      </w:tr>
      <w:tr w:rsidR="00E03711" w:rsidRPr="008C6F8C" w14:paraId="7D399C80"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7E" w14:textId="77777777" w:rsidR="00E03711" w:rsidRPr="00F769E0" w:rsidRDefault="00E03711" w:rsidP="00913A20">
            <w:pPr>
              <w:pStyle w:val="Guide-Table"/>
              <w:jc w:val="left"/>
              <w:rPr>
                <w:rFonts w:cs="Tahoma"/>
                <w:b/>
                <w:lang w:val="sl-SI" w:eastAsia="en-GB"/>
              </w:rPr>
            </w:pPr>
            <w:r w:rsidRPr="00F769E0">
              <w:rPr>
                <w:rFonts w:cs="Tahoma"/>
                <w:b/>
                <w:lang w:val="sl-SI" w:eastAsia="en-GB"/>
              </w:rPr>
              <w:t>Portugalska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7F" w14:textId="77777777" w:rsidR="00E03711" w:rsidRPr="00F769E0" w:rsidRDefault="00E03711" w:rsidP="00913A20">
            <w:pPr>
              <w:pStyle w:val="Guide-Table"/>
              <w:rPr>
                <w:rFonts w:cs="Tahoma"/>
                <w:lang w:val="sl-SI" w:eastAsia="en-GB"/>
              </w:rPr>
            </w:pPr>
            <w:r w:rsidRPr="00F769E0">
              <w:rPr>
                <w:rFonts w:cs="Tahoma"/>
                <w:lang w:val="sl-SI" w:eastAsia="en-GB"/>
              </w:rPr>
              <w:t>37</w:t>
            </w:r>
          </w:p>
        </w:tc>
      </w:tr>
      <w:tr w:rsidR="00E03711" w:rsidRPr="008C6F8C" w14:paraId="7D399C83"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81" w14:textId="77777777" w:rsidR="00E03711" w:rsidRPr="00F769E0" w:rsidRDefault="00E03711" w:rsidP="00913A20">
            <w:pPr>
              <w:pStyle w:val="Guide-Table"/>
              <w:jc w:val="left"/>
              <w:rPr>
                <w:rFonts w:cs="Tahoma"/>
                <w:b/>
                <w:lang w:val="sl-SI" w:eastAsia="en-GB"/>
              </w:rPr>
            </w:pPr>
            <w:r w:rsidRPr="00F769E0">
              <w:rPr>
                <w:rFonts w:cs="Tahoma"/>
                <w:b/>
                <w:lang w:val="sl-SI" w:eastAsia="en-GB"/>
              </w:rPr>
              <w:t>Romunija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82" w14:textId="77777777" w:rsidR="00E03711" w:rsidRPr="00F769E0" w:rsidRDefault="00E03711" w:rsidP="00913A20">
            <w:pPr>
              <w:pStyle w:val="Guide-Table"/>
              <w:rPr>
                <w:rFonts w:cs="Tahoma"/>
                <w:lang w:val="sl-SI" w:eastAsia="en-GB"/>
              </w:rPr>
            </w:pPr>
            <w:r w:rsidRPr="00F769E0">
              <w:rPr>
                <w:rFonts w:cs="Tahoma"/>
                <w:lang w:val="sl-SI" w:eastAsia="en-GB"/>
              </w:rPr>
              <w:t>32</w:t>
            </w:r>
          </w:p>
        </w:tc>
      </w:tr>
      <w:tr w:rsidR="00E03711" w:rsidRPr="008C6F8C" w14:paraId="7D399C86"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84" w14:textId="77777777" w:rsidR="00E03711" w:rsidRPr="00F769E0" w:rsidRDefault="00E03711" w:rsidP="00913A20">
            <w:pPr>
              <w:pStyle w:val="Guide-Table"/>
              <w:jc w:val="left"/>
              <w:rPr>
                <w:rFonts w:cs="Tahoma"/>
                <w:b/>
                <w:lang w:val="sl-SI" w:eastAsia="en-GB"/>
              </w:rPr>
            </w:pPr>
            <w:r w:rsidRPr="00F769E0">
              <w:rPr>
                <w:rFonts w:cs="Tahoma"/>
                <w:b/>
                <w:lang w:val="sl-SI" w:eastAsia="en-GB"/>
              </w:rPr>
              <w:t>Slovenija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85" w14:textId="77777777" w:rsidR="00E03711" w:rsidRPr="00F769E0" w:rsidRDefault="00E03711" w:rsidP="00913A20">
            <w:pPr>
              <w:pStyle w:val="Guide-Table"/>
              <w:rPr>
                <w:rFonts w:cs="Tahoma"/>
                <w:lang w:val="sl-SI" w:eastAsia="en-GB"/>
              </w:rPr>
            </w:pPr>
            <w:r w:rsidRPr="00F769E0">
              <w:rPr>
                <w:rFonts w:cs="Tahoma"/>
                <w:lang w:val="sl-SI" w:eastAsia="en-GB"/>
              </w:rPr>
              <w:t>34</w:t>
            </w:r>
          </w:p>
        </w:tc>
      </w:tr>
      <w:tr w:rsidR="00E03711" w:rsidRPr="008C6F8C" w14:paraId="7D399C89"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87" w14:textId="77777777" w:rsidR="00E03711" w:rsidRPr="00F769E0" w:rsidRDefault="00E03711" w:rsidP="00913A20">
            <w:pPr>
              <w:pStyle w:val="Guide-Table"/>
              <w:jc w:val="left"/>
              <w:rPr>
                <w:rFonts w:cs="Tahoma"/>
                <w:b/>
                <w:lang w:val="sl-SI" w:eastAsia="en-GB"/>
              </w:rPr>
            </w:pPr>
            <w:r w:rsidRPr="00F769E0">
              <w:rPr>
                <w:rFonts w:cs="Tahoma"/>
                <w:b/>
                <w:lang w:val="sl-SI" w:eastAsia="en-GB"/>
              </w:rPr>
              <w:t>Slovaška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88" w14:textId="77777777" w:rsidR="00E03711" w:rsidRPr="00F769E0" w:rsidRDefault="00E03711" w:rsidP="00913A20">
            <w:pPr>
              <w:pStyle w:val="Guide-Table"/>
              <w:rPr>
                <w:rFonts w:cs="Tahoma"/>
                <w:lang w:val="sl-SI" w:eastAsia="en-GB"/>
              </w:rPr>
            </w:pPr>
            <w:r w:rsidRPr="00F769E0">
              <w:rPr>
                <w:rFonts w:cs="Tahoma"/>
                <w:lang w:val="sl-SI" w:eastAsia="en-GB"/>
              </w:rPr>
              <w:t>35</w:t>
            </w:r>
          </w:p>
        </w:tc>
      </w:tr>
      <w:tr w:rsidR="00E03711" w:rsidRPr="008C6F8C" w14:paraId="7D399C8C"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8A" w14:textId="77777777" w:rsidR="00E03711" w:rsidRPr="00F769E0" w:rsidRDefault="00E03711" w:rsidP="00913A20">
            <w:pPr>
              <w:pStyle w:val="Guide-Table"/>
              <w:jc w:val="left"/>
              <w:rPr>
                <w:rFonts w:cs="Tahoma"/>
                <w:b/>
                <w:lang w:val="sl-SI" w:eastAsia="en-GB"/>
              </w:rPr>
            </w:pPr>
            <w:r w:rsidRPr="00F769E0">
              <w:rPr>
                <w:rFonts w:cs="Tahoma"/>
                <w:b/>
                <w:lang w:val="sl-SI" w:eastAsia="en-GB"/>
              </w:rPr>
              <w:t>Finska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8B" w14:textId="77777777" w:rsidR="00E03711" w:rsidRPr="00F769E0" w:rsidRDefault="00E03711" w:rsidP="00913A20">
            <w:pPr>
              <w:pStyle w:val="Guide-Table"/>
              <w:rPr>
                <w:rFonts w:cs="Tahoma"/>
                <w:lang w:val="sl-SI" w:eastAsia="en-GB"/>
              </w:rPr>
            </w:pPr>
            <w:r w:rsidRPr="00F769E0">
              <w:rPr>
                <w:rFonts w:cs="Tahoma"/>
                <w:lang w:val="sl-SI" w:eastAsia="en-GB"/>
              </w:rPr>
              <w:t>45</w:t>
            </w:r>
          </w:p>
        </w:tc>
      </w:tr>
      <w:tr w:rsidR="00E03711" w:rsidRPr="008C6F8C" w14:paraId="7D399C8F"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8D" w14:textId="77777777" w:rsidR="00E03711" w:rsidRPr="00F769E0" w:rsidRDefault="00E03711" w:rsidP="00913A20">
            <w:pPr>
              <w:pStyle w:val="Guide-Table"/>
              <w:jc w:val="left"/>
              <w:rPr>
                <w:rFonts w:cs="Tahoma"/>
                <w:b/>
                <w:lang w:val="sl-SI" w:eastAsia="en-GB"/>
              </w:rPr>
            </w:pPr>
            <w:r w:rsidRPr="00F769E0">
              <w:rPr>
                <w:rFonts w:cs="Tahoma"/>
                <w:b/>
                <w:lang w:val="sl-SI" w:eastAsia="en-GB"/>
              </w:rPr>
              <w:t>Švedska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8E" w14:textId="77777777" w:rsidR="00E03711" w:rsidRPr="00F769E0" w:rsidRDefault="00E03711" w:rsidP="00913A20">
            <w:pPr>
              <w:pStyle w:val="Guide-Table"/>
              <w:rPr>
                <w:rFonts w:cs="Tahoma"/>
                <w:lang w:val="sl-SI" w:eastAsia="en-GB"/>
              </w:rPr>
            </w:pPr>
            <w:r w:rsidRPr="00F769E0">
              <w:rPr>
                <w:rFonts w:cs="Tahoma"/>
                <w:lang w:val="sl-SI" w:eastAsia="en-GB"/>
              </w:rPr>
              <w:t>45</w:t>
            </w:r>
          </w:p>
        </w:tc>
      </w:tr>
      <w:tr w:rsidR="00E03711" w:rsidRPr="008C6F8C" w14:paraId="7D399C92"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90" w14:textId="77777777" w:rsidR="00E03711" w:rsidRPr="00F769E0" w:rsidRDefault="00E03711" w:rsidP="00913A20">
            <w:pPr>
              <w:pStyle w:val="Guide-Table"/>
              <w:jc w:val="left"/>
              <w:rPr>
                <w:rFonts w:cs="Tahoma"/>
                <w:b/>
                <w:lang w:val="sl-SI" w:eastAsia="en-GB"/>
              </w:rPr>
            </w:pPr>
            <w:r w:rsidRPr="00F769E0">
              <w:rPr>
                <w:rFonts w:cs="Tahoma"/>
                <w:b/>
                <w:lang w:val="sl-SI" w:eastAsia="en-GB"/>
              </w:rPr>
              <w:t>Združeno kraljestvo</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91" w14:textId="77777777" w:rsidR="00E03711" w:rsidRPr="00F769E0" w:rsidRDefault="00E03711" w:rsidP="00913A20">
            <w:pPr>
              <w:pStyle w:val="Guide-Table"/>
              <w:rPr>
                <w:rFonts w:cs="Tahoma"/>
                <w:lang w:val="sl-SI" w:eastAsia="en-GB"/>
              </w:rPr>
            </w:pPr>
            <w:r w:rsidRPr="00F769E0">
              <w:rPr>
                <w:rFonts w:cs="Tahoma"/>
                <w:lang w:val="sl-SI" w:eastAsia="en-GB"/>
              </w:rPr>
              <w:t>45</w:t>
            </w:r>
          </w:p>
        </w:tc>
      </w:tr>
      <w:tr w:rsidR="00E03711" w:rsidRPr="008C6F8C" w14:paraId="7D399C95" w14:textId="77777777" w:rsidTr="008A46B6">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vAlign w:val="center"/>
          </w:tcPr>
          <w:p w14:paraId="7D399C93" w14:textId="77777777" w:rsidR="00E03711" w:rsidRPr="00F769E0" w:rsidRDefault="00E03711">
            <w:pPr>
              <w:pStyle w:val="Guide-Table"/>
              <w:jc w:val="left"/>
              <w:rPr>
                <w:rFonts w:cs="Tahoma"/>
                <w:b/>
                <w:lang w:val="sl-SI" w:eastAsia="en-GB"/>
              </w:rPr>
            </w:pPr>
            <w:r>
              <w:rPr>
                <w:rFonts w:cs="Tahoma"/>
                <w:b/>
                <w:lang w:val="sl-SI" w:eastAsia="en-GB"/>
              </w:rPr>
              <w:t>R</w:t>
            </w:r>
            <w:r w:rsidRPr="00F769E0">
              <w:rPr>
                <w:rFonts w:cs="Tahoma"/>
                <w:b/>
                <w:lang w:val="sl-SI" w:eastAsia="en-GB"/>
              </w:rPr>
              <w:t xml:space="preserve">epublika </w:t>
            </w:r>
            <w:r>
              <w:rPr>
                <w:rFonts w:cs="Tahoma"/>
                <w:b/>
                <w:lang w:val="sl-SI" w:eastAsia="en-GB"/>
              </w:rPr>
              <w:t xml:space="preserve">Severna </w:t>
            </w:r>
            <w:r w:rsidRPr="00F769E0">
              <w:rPr>
                <w:rFonts w:cs="Tahoma"/>
                <w:b/>
                <w:lang w:val="sl-SI" w:eastAsia="en-GB"/>
              </w:rPr>
              <w:t>Makedonija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94" w14:textId="77777777" w:rsidR="00E03711" w:rsidRPr="00F769E0" w:rsidRDefault="00E03711" w:rsidP="00913A20">
            <w:pPr>
              <w:pStyle w:val="Guide-Table"/>
              <w:rPr>
                <w:rFonts w:cs="Tahoma"/>
                <w:lang w:val="sl-SI" w:eastAsia="en-GB"/>
              </w:rPr>
            </w:pPr>
            <w:r w:rsidRPr="00F769E0">
              <w:rPr>
                <w:rFonts w:cs="Tahoma"/>
                <w:lang w:val="sl-SI" w:eastAsia="en-GB"/>
              </w:rPr>
              <w:t>28</w:t>
            </w:r>
          </w:p>
        </w:tc>
      </w:tr>
      <w:tr w:rsidR="00E03711" w:rsidRPr="008C6F8C" w14:paraId="7D399C98"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96" w14:textId="77777777" w:rsidR="00E03711" w:rsidRPr="00F769E0" w:rsidRDefault="00E03711" w:rsidP="00913A20">
            <w:pPr>
              <w:pStyle w:val="Guide-Table"/>
              <w:jc w:val="left"/>
              <w:rPr>
                <w:rFonts w:cs="Tahoma"/>
                <w:b/>
                <w:lang w:val="sl-SI" w:eastAsia="en-GB"/>
              </w:rPr>
            </w:pPr>
            <w:r w:rsidRPr="00F769E0">
              <w:rPr>
                <w:rFonts w:cs="Tahoma"/>
                <w:b/>
                <w:lang w:val="sl-SI" w:eastAsia="en-GB"/>
              </w:rPr>
              <w:t>Islandija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97" w14:textId="77777777" w:rsidR="00E03711" w:rsidRPr="00F769E0" w:rsidRDefault="00E03711" w:rsidP="00913A20">
            <w:pPr>
              <w:pStyle w:val="Guide-Table"/>
              <w:rPr>
                <w:rFonts w:cs="Tahoma"/>
                <w:lang w:val="sl-SI" w:eastAsia="en-GB"/>
              </w:rPr>
            </w:pPr>
            <w:r w:rsidRPr="00F769E0">
              <w:rPr>
                <w:rFonts w:cs="Tahoma"/>
                <w:lang w:val="sl-SI" w:eastAsia="en-GB"/>
              </w:rPr>
              <w:t>45</w:t>
            </w:r>
          </w:p>
        </w:tc>
      </w:tr>
      <w:tr w:rsidR="00E03711" w:rsidRPr="008C6F8C" w14:paraId="7D399C9B"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99" w14:textId="77777777" w:rsidR="00E03711" w:rsidRPr="00F769E0" w:rsidRDefault="00E03711" w:rsidP="00913A20">
            <w:pPr>
              <w:pStyle w:val="Guide-Table"/>
              <w:jc w:val="left"/>
              <w:rPr>
                <w:rFonts w:cs="Tahoma"/>
                <w:b/>
                <w:lang w:val="sl-SI" w:eastAsia="en-GB"/>
              </w:rPr>
            </w:pPr>
            <w:r w:rsidRPr="00F769E0">
              <w:rPr>
                <w:rFonts w:cs="Tahoma"/>
                <w:b/>
                <w:lang w:val="sl-SI" w:eastAsia="en-GB"/>
              </w:rPr>
              <w:t>Lihtenštajn</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9A" w14:textId="77777777" w:rsidR="00E03711" w:rsidRPr="00F769E0" w:rsidRDefault="00E03711" w:rsidP="00913A20">
            <w:pPr>
              <w:pStyle w:val="Guide-Table"/>
              <w:rPr>
                <w:rFonts w:cs="Tahoma"/>
                <w:lang w:val="sl-SI" w:eastAsia="en-GB"/>
              </w:rPr>
            </w:pPr>
            <w:r w:rsidRPr="00F769E0">
              <w:rPr>
                <w:rFonts w:cs="Tahoma"/>
                <w:lang w:val="sl-SI" w:eastAsia="en-GB"/>
              </w:rPr>
              <w:t>45</w:t>
            </w:r>
          </w:p>
        </w:tc>
      </w:tr>
      <w:tr w:rsidR="00E03711" w:rsidRPr="008C6F8C" w14:paraId="7D399C9E"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9C" w14:textId="77777777" w:rsidR="00E03711" w:rsidRPr="00F769E0" w:rsidRDefault="00E03711" w:rsidP="00913A20">
            <w:pPr>
              <w:pStyle w:val="Guide-Table"/>
              <w:jc w:val="left"/>
              <w:rPr>
                <w:rFonts w:cs="Tahoma"/>
                <w:b/>
                <w:lang w:val="sl-SI" w:eastAsia="en-GB"/>
              </w:rPr>
            </w:pPr>
            <w:r w:rsidRPr="00F769E0">
              <w:rPr>
                <w:rFonts w:cs="Tahoma"/>
                <w:b/>
                <w:lang w:val="sl-SI" w:eastAsia="en-GB"/>
              </w:rPr>
              <w:t>Norveška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9D" w14:textId="77777777" w:rsidR="00E03711" w:rsidRPr="00F769E0" w:rsidRDefault="00E03711" w:rsidP="00913A20">
            <w:pPr>
              <w:pStyle w:val="Guide-Table"/>
              <w:rPr>
                <w:rFonts w:cs="Tahoma"/>
                <w:lang w:val="sl-SI" w:eastAsia="en-GB"/>
              </w:rPr>
            </w:pPr>
            <w:r w:rsidRPr="00F769E0">
              <w:rPr>
                <w:rFonts w:cs="Tahoma"/>
                <w:lang w:val="sl-SI" w:eastAsia="en-GB"/>
              </w:rPr>
              <w:t>50</w:t>
            </w:r>
          </w:p>
        </w:tc>
      </w:tr>
      <w:tr w:rsidR="00E03711" w:rsidRPr="008C6F8C" w14:paraId="7D399CA1" w14:textId="77777777" w:rsidTr="00AB504F">
        <w:trPr>
          <w:trHeight w:val="20"/>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9F" w14:textId="77777777" w:rsidR="00E03711" w:rsidRPr="00F769E0" w:rsidRDefault="00E03711" w:rsidP="00913A20">
            <w:pPr>
              <w:pStyle w:val="Guide-Table"/>
              <w:jc w:val="left"/>
              <w:rPr>
                <w:rFonts w:cs="Tahoma"/>
                <w:b/>
                <w:lang w:val="sl-SI" w:eastAsia="en-GB"/>
              </w:rPr>
            </w:pPr>
            <w:r w:rsidRPr="00F769E0">
              <w:rPr>
                <w:rFonts w:cs="Tahoma"/>
                <w:b/>
                <w:lang w:val="sl-SI" w:eastAsia="en-GB"/>
              </w:rPr>
              <w:t>Turčija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A0" w14:textId="77777777" w:rsidR="00E03711" w:rsidRPr="00F769E0" w:rsidRDefault="00E03711" w:rsidP="00913A20">
            <w:pPr>
              <w:pStyle w:val="Guide-Table"/>
              <w:rPr>
                <w:rFonts w:cs="Tahoma"/>
                <w:lang w:val="sl-SI" w:eastAsia="en-GB"/>
              </w:rPr>
            </w:pPr>
            <w:r w:rsidRPr="00F769E0">
              <w:rPr>
                <w:rFonts w:cs="Tahoma"/>
                <w:lang w:val="sl-SI" w:eastAsia="en-GB"/>
              </w:rPr>
              <w:t>32</w:t>
            </w:r>
          </w:p>
        </w:tc>
      </w:tr>
      <w:tr w:rsidR="00E03711" w:rsidRPr="008C6F8C" w14:paraId="7D399CA4" w14:textId="77777777" w:rsidTr="00AB504F">
        <w:trPr>
          <w:trHeight w:val="59"/>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A2" w14:textId="77777777" w:rsidR="00E03711" w:rsidRPr="00237696" w:rsidRDefault="00E03711" w:rsidP="00BC3F58">
            <w:pPr>
              <w:pStyle w:val="p1"/>
              <w:rPr>
                <w:rFonts w:ascii="Calibri" w:hAnsi="Calibri"/>
                <w:b/>
                <w:sz w:val="18"/>
                <w:szCs w:val="18"/>
                <w:lang w:val="sl-SI"/>
              </w:rPr>
            </w:pPr>
            <w:r w:rsidRPr="00237696">
              <w:rPr>
                <w:rFonts w:ascii="Calibri" w:hAnsi="Calibri"/>
                <w:b/>
                <w:sz w:val="18"/>
                <w:szCs w:val="18"/>
                <w:lang w:val="sl-SI"/>
              </w:rPr>
              <w:t>Srbija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A3" w14:textId="77777777" w:rsidR="00E03711" w:rsidRPr="00F769E0" w:rsidRDefault="00E03711" w:rsidP="00913A20">
            <w:pPr>
              <w:pStyle w:val="Guide-Table"/>
              <w:rPr>
                <w:rFonts w:cs="Tahoma"/>
                <w:lang w:val="sl-SI" w:eastAsia="en-GB"/>
              </w:rPr>
            </w:pPr>
            <w:r w:rsidRPr="00F769E0">
              <w:rPr>
                <w:rFonts w:cs="Tahoma"/>
                <w:lang w:val="sl-SI" w:eastAsia="en-GB"/>
              </w:rPr>
              <w:t>29</w:t>
            </w:r>
          </w:p>
        </w:tc>
      </w:tr>
      <w:tr w:rsidR="00E03711" w:rsidRPr="008C6F8C" w14:paraId="7D399CA7" w14:textId="77777777" w:rsidTr="00AB504F">
        <w:trPr>
          <w:trHeight w:val="59"/>
          <w:jc w:val="center"/>
        </w:trPr>
        <w:tc>
          <w:tcPr>
            <w:tcW w:w="3181" w:type="pct"/>
            <w:tcBorders>
              <w:top w:val="single" w:sz="6" w:space="0" w:color="auto"/>
              <w:left w:val="single" w:sz="6" w:space="0" w:color="auto"/>
              <w:bottom w:val="single" w:sz="6" w:space="0" w:color="auto"/>
              <w:right w:val="single" w:sz="6" w:space="0" w:color="auto"/>
            </w:tcBorders>
            <w:shd w:val="clear" w:color="auto" w:fill="auto"/>
          </w:tcPr>
          <w:p w14:paraId="7D399CA5" w14:textId="77777777" w:rsidR="00E03711" w:rsidRPr="00FF6BF0" w:rsidRDefault="00E03711" w:rsidP="00BC3F58">
            <w:pPr>
              <w:pStyle w:val="p1"/>
              <w:rPr>
                <w:rFonts w:ascii="Calibri" w:hAnsi="Calibri"/>
                <w:b/>
                <w:bCs/>
                <w:sz w:val="18"/>
                <w:szCs w:val="18"/>
                <w:lang w:val="sl-SI"/>
              </w:rPr>
            </w:pPr>
            <w:r w:rsidRPr="00FF6BF0">
              <w:rPr>
                <w:rFonts w:ascii="Calibri" w:eastAsia="Calibri" w:hAnsi="Calibri" w:cs="Calibri"/>
                <w:b/>
                <w:bCs/>
                <w:kern w:val="3"/>
                <w:sz w:val="18"/>
                <w:szCs w:val="18"/>
                <w:bdr w:val="nil"/>
                <w:shd w:val="clear" w:color="auto" w:fill="FFFFFF"/>
                <w:lang w:val="sl-SI" w:eastAsia="en-GB"/>
              </w:rPr>
              <w:t>Partnerska država</w:t>
            </w:r>
          </w:p>
        </w:tc>
        <w:tc>
          <w:tcPr>
            <w:tcW w:w="1819" w:type="pct"/>
            <w:tcBorders>
              <w:top w:val="single" w:sz="6" w:space="0" w:color="auto"/>
              <w:left w:val="single" w:sz="6" w:space="0" w:color="auto"/>
              <w:bottom w:val="single" w:sz="6" w:space="0" w:color="auto"/>
              <w:right w:val="single" w:sz="6" w:space="0" w:color="auto"/>
            </w:tcBorders>
            <w:shd w:val="clear" w:color="auto" w:fill="auto"/>
            <w:vAlign w:val="center"/>
          </w:tcPr>
          <w:p w14:paraId="7D399CA6" w14:textId="77777777" w:rsidR="00E03711" w:rsidRPr="00F769E0" w:rsidRDefault="00E03711" w:rsidP="00913A20">
            <w:pPr>
              <w:pStyle w:val="Guide-Table"/>
              <w:rPr>
                <w:rFonts w:cs="Tahoma"/>
                <w:lang w:val="sl-SI" w:eastAsia="en-GB"/>
              </w:rPr>
            </w:pPr>
            <w:r>
              <w:rPr>
                <w:rFonts w:cs="Tahoma"/>
                <w:lang w:val="sl-SI" w:eastAsia="en-GB"/>
              </w:rPr>
              <w:t>29</w:t>
            </w:r>
          </w:p>
        </w:tc>
      </w:tr>
    </w:tbl>
    <w:p w14:paraId="7D399CA8" w14:textId="77777777" w:rsidR="00E03711" w:rsidRPr="001048FE" w:rsidRDefault="00E03711" w:rsidP="00977659">
      <w:pPr>
        <w:widowControl/>
        <w:suppressAutoHyphens w:val="0"/>
        <w:autoSpaceDN/>
        <w:textAlignment w:val="auto"/>
        <w:rPr>
          <w:lang w:val="sl-SI"/>
        </w:rPr>
        <w:sectPr w:rsidR="00E03711" w:rsidRPr="001048FE" w:rsidSect="00E15ED3">
          <w:endnotePr>
            <w:numFmt w:val="decimal"/>
          </w:endnotePr>
          <w:pgSz w:w="11910" w:h="16840" w:code="9"/>
          <w:pgMar w:top="1134" w:right="1418" w:bottom="1134" w:left="1418" w:header="284" w:footer="567" w:gutter="0"/>
          <w:cols w:space="720"/>
          <w:docGrid w:linePitch="326"/>
        </w:sectPr>
      </w:pPr>
      <w:bookmarkStart w:id="273" w:name="Activités_Jean_Monnet"/>
      <w:bookmarkStart w:id="274" w:name="_bookmark47"/>
      <w:bookmarkEnd w:id="273"/>
      <w:bookmarkEnd w:id="274"/>
    </w:p>
    <w:p w14:paraId="7D399CA9" w14:textId="77777777" w:rsidR="00E03711" w:rsidRDefault="00E03711">
      <w:pPr>
        <w:pStyle w:val="Guide-Heading2"/>
        <w:rPr>
          <w:lang w:val="sl-SI"/>
        </w:rPr>
      </w:pPr>
      <w:bookmarkStart w:id="275" w:name="_Toc527400922"/>
      <w:bookmarkStart w:id="276" w:name="_Toc527401165"/>
      <w:r w:rsidRPr="001048FE">
        <w:rPr>
          <w:lang w:val="sl-SI"/>
        </w:rPr>
        <w:t>Aktivnosti programa Jean Monnet</w:t>
      </w:r>
      <w:bookmarkEnd w:id="275"/>
      <w:bookmarkEnd w:id="276"/>
    </w:p>
    <w:p w14:paraId="7D399CAA" w14:textId="77777777" w:rsidR="00E03711" w:rsidRDefault="00E03711">
      <w:pPr>
        <w:pStyle w:val="Guide-Heading3"/>
        <w:rPr>
          <w:lang w:val="sl-SI"/>
        </w:rPr>
      </w:pPr>
      <w:bookmarkStart w:id="277" w:name="_Toc520804823"/>
      <w:bookmarkStart w:id="278" w:name="_Toc527400923"/>
      <w:bookmarkStart w:id="279" w:name="_Toc527401166"/>
      <w:r w:rsidRPr="00172D94">
        <w:rPr>
          <w:rFonts w:eastAsia="Calibri" w:cs="Calibri"/>
          <w:bCs/>
          <w:szCs w:val="28"/>
          <w:bdr w:val="nil"/>
          <w:lang w:val="sl-SI"/>
        </w:rPr>
        <w:t>Kakšni so cilji aktivnosti Jean Monnet?</w:t>
      </w:r>
      <w:bookmarkEnd w:id="277"/>
      <w:bookmarkEnd w:id="278"/>
      <w:bookmarkEnd w:id="279"/>
    </w:p>
    <w:p w14:paraId="7D399CAB" w14:textId="77777777" w:rsidR="00E03711" w:rsidRDefault="00E03711" w:rsidP="00AA15BC">
      <w:pPr>
        <w:pStyle w:val="Guide-Normal0"/>
        <w:rPr>
          <w:rFonts w:eastAsia="Calibri" w:cs="Calibri"/>
          <w:kern w:val="3"/>
          <w:sz w:val="18"/>
          <w:szCs w:val="18"/>
          <w:bdr w:val="nil"/>
          <w:shd w:val="clear" w:color="auto" w:fill="FFFFFF"/>
          <w:lang w:val="sl-SI"/>
        </w:rPr>
      </w:pPr>
      <w:r w:rsidRPr="00172D94">
        <w:rPr>
          <w:rFonts w:eastAsia="Calibri" w:cs="Calibri"/>
          <w:kern w:val="3"/>
          <w:sz w:val="18"/>
          <w:szCs w:val="18"/>
          <w:bdr w:val="nil"/>
          <w:shd w:val="clear" w:color="auto" w:fill="FFFFFF"/>
          <w:lang w:val="sl-SI"/>
        </w:rPr>
        <w:t>Cilj</w:t>
      </w:r>
      <w:r>
        <w:rPr>
          <w:rFonts w:eastAsia="Calibri" w:cs="Calibri"/>
          <w:kern w:val="3"/>
          <w:sz w:val="18"/>
          <w:szCs w:val="18"/>
          <w:bdr w:val="nil"/>
          <w:shd w:val="clear" w:color="auto" w:fill="FFFFFF"/>
          <w:lang w:val="sl-SI"/>
        </w:rPr>
        <w:t>i</w:t>
      </w:r>
      <w:r w:rsidRPr="00172D94">
        <w:rPr>
          <w:rFonts w:eastAsia="Calibri" w:cs="Calibri"/>
          <w:kern w:val="3"/>
          <w:sz w:val="18"/>
          <w:szCs w:val="18"/>
          <w:bdr w:val="nil"/>
          <w:shd w:val="clear" w:color="auto" w:fill="FFFFFF"/>
          <w:lang w:val="sl-SI"/>
        </w:rPr>
        <w:t xml:space="preserve"> aktivnosti Jean Monnet </w:t>
      </w:r>
      <w:r>
        <w:rPr>
          <w:rFonts w:eastAsia="Calibri" w:cs="Calibri"/>
          <w:kern w:val="3"/>
          <w:sz w:val="18"/>
          <w:szCs w:val="18"/>
          <w:bdr w:val="nil"/>
          <w:shd w:val="clear" w:color="auto" w:fill="FFFFFF"/>
          <w:lang w:val="sl-SI"/>
        </w:rPr>
        <w:t xml:space="preserve">so: </w:t>
      </w:r>
    </w:p>
    <w:p w14:paraId="7D399CAC" w14:textId="77777777" w:rsidR="00E03711" w:rsidRPr="00860232" w:rsidRDefault="00E03711" w:rsidP="005115F2">
      <w:pPr>
        <w:pStyle w:val="Guide-Normal0"/>
        <w:numPr>
          <w:ilvl w:val="0"/>
          <w:numId w:val="269"/>
        </w:numPr>
        <w:rPr>
          <w:lang w:val="sl-SI"/>
        </w:rPr>
      </w:pPr>
      <w:r w:rsidRPr="00172D94">
        <w:rPr>
          <w:rFonts w:eastAsia="Calibri" w:cs="Calibri"/>
          <w:kern w:val="3"/>
          <w:sz w:val="18"/>
          <w:szCs w:val="18"/>
          <w:bdr w:val="nil"/>
          <w:shd w:val="clear" w:color="auto" w:fill="FFFFFF"/>
          <w:lang w:val="sl-SI"/>
        </w:rPr>
        <w:t xml:space="preserve">spodbujati odličnost v poučevanju in raziskovanju na področju študij Evropske unije po vsem svetu. </w:t>
      </w:r>
    </w:p>
    <w:p w14:paraId="7D399CAD" w14:textId="77777777" w:rsidR="00E03711" w:rsidRPr="00860232" w:rsidRDefault="00E03711" w:rsidP="005115F2">
      <w:pPr>
        <w:pStyle w:val="Guide-Normal0"/>
        <w:numPr>
          <w:ilvl w:val="0"/>
          <w:numId w:val="269"/>
        </w:numPr>
        <w:rPr>
          <w:lang w:val="sl-SI"/>
        </w:rPr>
      </w:pPr>
      <w:r>
        <w:rPr>
          <w:rFonts w:eastAsia="Calibri" w:cs="Calibri"/>
          <w:kern w:val="3"/>
          <w:sz w:val="18"/>
          <w:szCs w:val="18"/>
          <w:bdr w:val="nil"/>
          <w:shd w:val="clear" w:color="auto" w:fill="FFFFFF"/>
          <w:lang w:val="sl-SI"/>
        </w:rPr>
        <w:t xml:space="preserve">gojiti </w:t>
      </w:r>
      <w:r w:rsidRPr="00172D94">
        <w:rPr>
          <w:rFonts w:eastAsia="Calibri" w:cs="Calibri"/>
          <w:kern w:val="3"/>
          <w:sz w:val="18"/>
          <w:szCs w:val="18"/>
          <w:bdr w:val="nil"/>
          <w:shd w:val="clear" w:color="auto" w:fill="FFFFFF"/>
          <w:lang w:val="sl-SI"/>
        </w:rPr>
        <w:t xml:space="preserve">dialog med akademskim svetom in družbo, vključno z lokalnimi in državnimi oblikovalci politik, javnimi uslužbenci, akterji civilne družbe, predstavniki različnih ravni izobraževanja in medijev. </w:t>
      </w:r>
    </w:p>
    <w:p w14:paraId="7D399CAE" w14:textId="77777777" w:rsidR="00E03711" w:rsidRPr="00FC4A70" w:rsidRDefault="00E03711" w:rsidP="005115F2">
      <w:pPr>
        <w:pStyle w:val="Guide-Normal0"/>
        <w:numPr>
          <w:ilvl w:val="0"/>
          <w:numId w:val="269"/>
        </w:numPr>
        <w:rPr>
          <w:lang w:val="sl-SI"/>
        </w:rPr>
      </w:pPr>
      <w:r>
        <w:rPr>
          <w:rFonts w:eastAsia="Calibri" w:cs="Calibri"/>
          <w:kern w:val="3"/>
          <w:sz w:val="18"/>
          <w:szCs w:val="18"/>
          <w:bdr w:val="nil"/>
          <w:shd w:val="clear" w:color="auto" w:fill="FFFFFF"/>
          <w:lang w:val="sl-SI"/>
        </w:rPr>
        <w:t xml:space="preserve">tvoriti </w:t>
      </w:r>
      <w:r w:rsidRPr="00172D94">
        <w:rPr>
          <w:rFonts w:eastAsia="Calibri" w:cs="Calibri"/>
          <w:kern w:val="3"/>
          <w:sz w:val="18"/>
          <w:szCs w:val="18"/>
          <w:bdr w:val="nil"/>
          <w:shd w:val="clear" w:color="auto" w:fill="FFFFFF"/>
          <w:lang w:val="sl-SI"/>
        </w:rPr>
        <w:t xml:space="preserve">znanje in vpoglede, ki lahko podpirajo oblikovanje politike EU in krepijo vlogo EU v globaliziranem svetu. </w:t>
      </w:r>
    </w:p>
    <w:p w14:paraId="7D399CAF" w14:textId="77777777" w:rsidR="00E03711" w:rsidRPr="00FC4A70" w:rsidRDefault="00E03711" w:rsidP="00AA15BC">
      <w:pPr>
        <w:pStyle w:val="Guide-Normal0"/>
        <w:rPr>
          <w:lang w:val="sl-SI"/>
        </w:rPr>
      </w:pPr>
    </w:p>
    <w:p w14:paraId="7D399CB0" w14:textId="77777777" w:rsidR="00E03711" w:rsidRPr="00FC4A70" w:rsidRDefault="00E03711" w:rsidP="00AA15BC">
      <w:pPr>
        <w:pStyle w:val="Guide-Normal0"/>
        <w:rPr>
          <w:lang w:val="sl-SI"/>
        </w:rPr>
      </w:pPr>
      <w:r w:rsidRPr="00172D94">
        <w:rPr>
          <w:rFonts w:eastAsia="Calibri" w:cs="Calibri"/>
          <w:kern w:val="3"/>
          <w:sz w:val="18"/>
          <w:szCs w:val="18"/>
          <w:bdr w:val="nil"/>
          <w:shd w:val="clear" w:color="auto" w:fill="FFFFFF"/>
          <w:lang w:val="sl-SI"/>
        </w:rPr>
        <w:t>Študije Evropske unije zajemajo celovit študij o Evropi s posebnim poudarkom na evropskem procesu povezovanja glede na njegove notranje in zunanje vidike. Spodbujajo aktivno evropsko državljanstvo in evropske vrednote in se ukvarjajo z vlogo EU v globaliziranem svetu, krepijo ozaveščenost o Uniji ter spodbujajo prihodnjo angažiranost in dialog med narodi.</w:t>
      </w:r>
      <w:r>
        <w:rPr>
          <w:rFonts w:eastAsia="Calibri" w:cs="Calibri"/>
          <w:kern w:val="3"/>
          <w:sz w:val="18"/>
          <w:szCs w:val="18"/>
          <w:bdr w:val="nil"/>
          <w:shd w:val="clear" w:color="auto" w:fill="FFFFFF"/>
          <w:lang w:val="sl-SI"/>
        </w:rPr>
        <w:t xml:space="preserve"> Aktivnosti Jean Monnet imajo tudi namen delovati kot vektor javne diplomacije do držav tretjega sveta, spodbujati vrednote EU in izboljšati vidnost tega, kar pomeni Evropska unija in kar namerava doseči.</w:t>
      </w:r>
      <w:r w:rsidRPr="00172D94">
        <w:rPr>
          <w:rFonts w:eastAsia="Calibri" w:cs="Calibri"/>
          <w:kern w:val="3"/>
          <w:sz w:val="18"/>
          <w:szCs w:val="18"/>
          <w:bdr w:val="nil"/>
          <w:shd w:val="clear" w:color="auto" w:fill="FFFFFF"/>
          <w:lang w:val="sl-SI"/>
        </w:rPr>
        <w:t xml:space="preserve"> </w:t>
      </w:r>
    </w:p>
    <w:p w14:paraId="7D399CB1" w14:textId="77777777" w:rsidR="00E03711" w:rsidRPr="00FC4A70" w:rsidRDefault="00E03711" w:rsidP="00AA15BC">
      <w:pPr>
        <w:pStyle w:val="Guide-Normal0"/>
        <w:rPr>
          <w:lang w:val="sl-SI"/>
        </w:rPr>
      </w:pPr>
    </w:p>
    <w:p w14:paraId="7D399CB2" w14:textId="77777777" w:rsidR="00E03711" w:rsidRPr="00FC4A70" w:rsidRDefault="00E03711" w:rsidP="00AA15BC">
      <w:pPr>
        <w:pStyle w:val="Guide-Normal0"/>
        <w:rPr>
          <w:lang w:val="sl-SI"/>
        </w:rPr>
      </w:pPr>
      <w:r w:rsidRPr="00172D94">
        <w:rPr>
          <w:rFonts w:eastAsia="Calibri" w:cs="Calibri"/>
          <w:spacing w:val="-2"/>
          <w:kern w:val="3"/>
          <w:sz w:val="18"/>
          <w:szCs w:val="18"/>
          <w:bdr w:val="nil"/>
          <w:shd w:val="clear" w:color="auto" w:fill="FFFFFF"/>
          <w:lang w:val="sl-SI"/>
        </w:rPr>
        <w:t xml:space="preserve">Prav tako se spodbuja dejavno sodelovanje in izobraževalne dejavnosti, ki širijo znanje o EU v širši družbi (poleg akademikov in specializiranih občinstev) in EU tesneje povezujejo z javnostjo. </w:t>
      </w:r>
    </w:p>
    <w:p w14:paraId="7D399CB3" w14:textId="77777777" w:rsidR="00E03711" w:rsidRPr="00FC4A70" w:rsidRDefault="00E03711" w:rsidP="00AA15BC">
      <w:pPr>
        <w:pStyle w:val="Guide-Normal0"/>
        <w:rPr>
          <w:lang w:val="sl-SI"/>
        </w:rPr>
      </w:pPr>
    </w:p>
    <w:p w14:paraId="7D399CB4" w14:textId="77777777" w:rsidR="00E03711" w:rsidRDefault="00E03711">
      <w:pPr>
        <w:pStyle w:val="Guide-Normal0"/>
        <w:rPr>
          <w:lang w:val="sl-SI"/>
        </w:rPr>
      </w:pPr>
      <w:r w:rsidRPr="00172D94">
        <w:rPr>
          <w:rFonts w:eastAsia="Calibri" w:cs="Calibri"/>
          <w:kern w:val="3"/>
          <w:sz w:val="18"/>
          <w:szCs w:val="18"/>
          <w:bdr w:val="nil"/>
          <w:shd w:val="clear" w:color="auto" w:fill="FFFFFF"/>
          <w:lang w:val="sl-SI"/>
        </w:rPr>
        <w:t>Aktivnosti Jean Monnet naj bi prinesle dolgoročne pozitivne učinke za posameznike in vpletene institucije.  Prav tako prinašajo prednosti za politične sisteme, v okviru katerih so oblikovane.</w:t>
      </w:r>
      <w:bookmarkStart w:id="280" w:name="_Toc527400924"/>
      <w:bookmarkStart w:id="281" w:name="_Toc527401167"/>
    </w:p>
    <w:p w14:paraId="7D399CB5" w14:textId="77777777" w:rsidR="00E03711" w:rsidRDefault="00E03711">
      <w:pPr>
        <w:pStyle w:val="Guide-Heading3"/>
        <w:rPr>
          <w:lang w:val="sl-SI"/>
        </w:rPr>
      </w:pPr>
      <w:r w:rsidRPr="001048FE">
        <w:rPr>
          <w:lang w:val="sl-SI"/>
        </w:rPr>
        <w:t>Kateri ukrepi so podprti?</w:t>
      </w:r>
      <w:bookmarkEnd w:id="280"/>
      <w:bookmarkEnd w:id="281"/>
    </w:p>
    <w:p w14:paraId="7D399CB6" w14:textId="77777777" w:rsidR="00E03711" w:rsidRPr="001048FE" w:rsidRDefault="00E03711" w:rsidP="00D031AA">
      <w:pPr>
        <w:pStyle w:val="GUIDE-NORMAL"/>
        <w:rPr>
          <w:lang w:val="sl-SI"/>
        </w:rPr>
      </w:pPr>
      <w:r w:rsidRPr="001048FE">
        <w:rPr>
          <w:lang w:val="sl-SI"/>
        </w:rPr>
        <w:t>Aktivnosti programa Jean Monnet podpirajo naslednje ukrepe:</w:t>
      </w:r>
    </w:p>
    <w:p w14:paraId="7D399CB7" w14:textId="77777777" w:rsidR="00E03711" w:rsidRPr="001048FE" w:rsidRDefault="002C560E" w:rsidP="005115F2">
      <w:pPr>
        <w:pStyle w:val="Guide-NormalBulletpoints"/>
        <w:numPr>
          <w:ilvl w:val="0"/>
          <w:numId w:val="311"/>
        </w:numPr>
        <w:rPr>
          <w:lang w:val="sl-SI"/>
        </w:rPr>
      </w:pPr>
      <w:hyperlink r:id="rId110">
        <w:r w:rsidR="00E03711" w:rsidRPr="001048FE">
          <w:rPr>
            <w:lang w:val="sl-SI"/>
          </w:rPr>
          <w:t>moduli Jean Monnet (poučevanje in raziskovanje),</w:t>
        </w:r>
      </w:hyperlink>
      <w:r w:rsidR="00E03711" w:rsidRPr="001048FE">
        <w:rPr>
          <w:lang w:val="sl-SI"/>
        </w:rPr>
        <w:t xml:space="preserve"> </w:t>
      </w:r>
    </w:p>
    <w:p w14:paraId="7D399CB8" w14:textId="77777777" w:rsidR="00E03711" w:rsidRPr="001048FE" w:rsidRDefault="002C560E" w:rsidP="005115F2">
      <w:pPr>
        <w:pStyle w:val="Guide-NormalBulletpoints"/>
        <w:numPr>
          <w:ilvl w:val="0"/>
          <w:numId w:val="311"/>
        </w:numPr>
        <w:rPr>
          <w:lang w:val="sl-SI"/>
        </w:rPr>
      </w:pPr>
      <w:hyperlink r:id="rId111">
        <w:r w:rsidR="00E03711" w:rsidRPr="001048FE">
          <w:rPr>
            <w:lang w:val="sl-SI"/>
          </w:rPr>
          <w:t>katedre Jean Monnet (poučevanje in raziskovanje),</w:t>
        </w:r>
      </w:hyperlink>
    </w:p>
    <w:p w14:paraId="7D399CB9" w14:textId="77777777" w:rsidR="00E03711" w:rsidRPr="001048FE" w:rsidRDefault="00A6094F" w:rsidP="005115F2">
      <w:pPr>
        <w:pStyle w:val="Guide-NormalBulletpoints"/>
        <w:numPr>
          <w:ilvl w:val="0"/>
          <w:numId w:val="311"/>
        </w:numPr>
        <w:rPr>
          <w:lang w:val="sl-SI"/>
        </w:rPr>
      </w:pPr>
      <w:hyperlink r:id="rId112">
        <w:r w:rsidR="00E03711" w:rsidRPr="001048FE">
          <w:rPr>
            <w:lang w:val="sl-SI"/>
          </w:rPr>
          <w:t>centri odličnosti Jean Monnet (poučevanje in raziskovanje),</w:t>
        </w:r>
      </w:hyperlink>
      <w:r w:rsidR="00E03711" w:rsidRPr="001048FE">
        <w:rPr>
          <w:lang w:val="sl-SI"/>
        </w:rPr>
        <w:t xml:space="preserve"> </w:t>
      </w:r>
    </w:p>
    <w:p w14:paraId="7D399CBA" w14:textId="77777777" w:rsidR="00E03711" w:rsidRPr="001048FE" w:rsidRDefault="00A6094F" w:rsidP="005115F2">
      <w:pPr>
        <w:pStyle w:val="Guide-NormalBulletpoints"/>
        <w:numPr>
          <w:ilvl w:val="0"/>
          <w:numId w:val="311"/>
        </w:numPr>
        <w:rPr>
          <w:lang w:val="sl-SI"/>
        </w:rPr>
      </w:pPr>
      <w:hyperlink r:id="rId113">
        <w:r w:rsidR="00E03711" w:rsidRPr="001048FE">
          <w:rPr>
            <w:lang w:val="sl-SI"/>
          </w:rPr>
          <w:t>podpora Jean Monnet združenjem,</w:t>
        </w:r>
      </w:hyperlink>
    </w:p>
    <w:p w14:paraId="7D399CBB" w14:textId="77777777" w:rsidR="00E03711" w:rsidRPr="001048FE" w:rsidRDefault="002C560E" w:rsidP="005115F2">
      <w:pPr>
        <w:pStyle w:val="Guide-NormalBulletpoints"/>
        <w:numPr>
          <w:ilvl w:val="0"/>
          <w:numId w:val="311"/>
        </w:numPr>
        <w:rPr>
          <w:lang w:val="sl-SI"/>
        </w:rPr>
      </w:pPr>
      <w:hyperlink r:id="rId114">
        <w:r w:rsidR="00E03711" w:rsidRPr="001048FE">
          <w:rPr>
            <w:lang w:val="sl-SI"/>
          </w:rPr>
          <w:t>omrežja Jean Monnet (strateške razprave z akademskim okoljem),</w:t>
        </w:r>
      </w:hyperlink>
      <w:r w:rsidR="00E03711" w:rsidRPr="001048FE">
        <w:rPr>
          <w:lang w:val="sl-SI"/>
        </w:rPr>
        <w:t xml:space="preserve"> </w:t>
      </w:r>
    </w:p>
    <w:p w14:paraId="7D399CBC" w14:textId="77777777" w:rsidR="00E03711" w:rsidRPr="001048FE" w:rsidRDefault="002C560E" w:rsidP="005115F2">
      <w:pPr>
        <w:pStyle w:val="Guide-NormalBulletpoints"/>
        <w:numPr>
          <w:ilvl w:val="0"/>
          <w:numId w:val="311"/>
        </w:numPr>
        <w:rPr>
          <w:lang w:val="sl-SI"/>
        </w:rPr>
      </w:pPr>
      <w:hyperlink r:id="rId115">
        <w:r w:rsidR="00E03711" w:rsidRPr="001048FE">
          <w:rPr>
            <w:lang w:val="sl-SI"/>
          </w:rPr>
          <w:t>projekti Jean Monnet (strateške razprave z akademskim okoljem).</w:t>
        </w:r>
      </w:hyperlink>
    </w:p>
    <w:p w14:paraId="7D399CBD" w14:textId="77777777" w:rsidR="00E03711" w:rsidRPr="001048FE" w:rsidRDefault="00E03711" w:rsidP="00D031AA">
      <w:pPr>
        <w:pStyle w:val="GUIDE-NORMAL"/>
        <w:rPr>
          <w:lang w:val="sl-SI"/>
        </w:rPr>
      </w:pPr>
      <w:r w:rsidRPr="001048FE">
        <w:rPr>
          <w:lang w:val="sl-SI"/>
        </w:rPr>
        <w:t>V nadaljevanju so v poglavjih tega vodnika navedene podrobne informacije o merilih in pravilih za dodelitev sredstev, ki veljajo za ukrepe Jean Monnet.</w:t>
      </w:r>
    </w:p>
    <w:p w14:paraId="7D399CBE" w14:textId="77777777" w:rsidR="00E03711" w:rsidRPr="00FC4A70" w:rsidRDefault="00E03711" w:rsidP="001B5CB6">
      <w:pPr>
        <w:pStyle w:val="Guide-Normal0"/>
        <w:rPr>
          <w:vanish/>
          <w:lang w:val="sl-SI"/>
        </w:rPr>
      </w:pPr>
      <w:bookmarkStart w:id="282" w:name="Quels_sont_les_objectifs_des_actions_Jea"/>
      <w:bookmarkEnd w:id="282"/>
      <w:r w:rsidRPr="00FC4A70">
        <w:rPr>
          <w:rFonts w:eastAsia="Calibri" w:cs="Calibri"/>
          <w:kern w:val="3"/>
          <w:sz w:val="18"/>
          <w:szCs w:val="18"/>
          <w:bdr w:val="nil"/>
          <w:shd w:val="clear" w:color="auto" w:fill="FFFFFF"/>
          <w:lang w:val="sl-SI"/>
        </w:rPr>
        <w:t>Osrednja tematska področja predloga so lahko katera koli področja znanosti in humanističnih ved</w:t>
      </w:r>
      <w:r>
        <w:rPr>
          <w:rFonts w:eastAsia="Calibri" w:cs="Calibri"/>
          <w:kern w:val="3"/>
          <w:sz w:val="18"/>
          <w:szCs w:val="18"/>
          <w:bdr w:val="nil"/>
          <w:shd w:val="clear" w:color="auto" w:fill="FFFFFF"/>
          <w:lang w:val="sl-SI"/>
        </w:rPr>
        <w:t>.</w:t>
      </w:r>
    </w:p>
    <w:p w14:paraId="7D399CBF" w14:textId="77777777" w:rsidR="00E03711" w:rsidRPr="001048FE" w:rsidRDefault="00E03711" w:rsidP="00277D91">
      <w:pPr>
        <w:pStyle w:val="GUIDE-NORMAL"/>
        <w:rPr>
          <w:lang w:val="sl-SI"/>
        </w:rPr>
      </w:pPr>
      <w:r w:rsidRPr="001048FE">
        <w:rPr>
          <w:lang w:val="sl-SI"/>
        </w:rPr>
        <w:t xml:space="preserve">Glede na splošne cilje programa Erasmus+ so cilji programa Jean Monnet: </w:t>
      </w:r>
    </w:p>
    <w:p w14:paraId="7D399CC0" w14:textId="77777777" w:rsidR="00E03711" w:rsidRPr="001048FE" w:rsidRDefault="00E03711" w:rsidP="005115F2">
      <w:pPr>
        <w:pStyle w:val="Guide-NormalBulletpoints"/>
        <w:numPr>
          <w:ilvl w:val="0"/>
          <w:numId w:val="312"/>
        </w:numPr>
        <w:rPr>
          <w:lang w:val="sl-SI"/>
        </w:rPr>
      </w:pPr>
      <w:r w:rsidRPr="001048FE">
        <w:rPr>
          <w:lang w:val="sl-SI"/>
        </w:rPr>
        <w:t>spodbujati odličnost v zvezi s poučevanjem in raziskovanjem v študijah EU;</w:t>
      </w:r>
    </w:p>
    <w:p w14:paraId="7D399CC1" w14:textId="77777777" w:rsidR="00E03711" w:rsidRPr="001048FE" w:rsidRDefault="00E03711" w:rsidP="005115F2">
      <w:pPr>
        <w:pStyle w:val="Guide-NormalBulletpoints"/>
        <w:numPr>
          <w:ilvl w:val="0"/>
          <w:numId w:val="312"/>
        </w:numPr>
        <w:rPr>
          <w:lang w:val="sl-SI"/>
        </w:rPr>
      </w:pPr>
      <w:r w:rsidRPr="001048FE">
        <w:rPr>
          <w:lang w:val="sl-SI"/>
        </w:rPr>
        <w:t xml:space="preserve">spodbujati inovacije </w:t>
      </w:r>
      <w:r>
        <w:rPr>
          <w:lang w:val="sl-SI"/>
        </w:rPr>
        <w:t>pri</w:t>
      </w:r>
      <w:r w:rsidRPr="001048FE">
        <w:rPr>
          <w:lang w:val="sl-SI"/>
        </w:rPr>
        <w:t xml:space="preserve"> poučevanju in raziskovanju (npr. medsektorske in/ali </w:t>
      </w:r>
      <w:r>
        <w:rPr>
          <w:lang w:val="sl-SI"/>
        </w:rPr>
        <w:t>multi</w:t>
      </w:r>
      <w:r w:rsidRPr="001048FE">
        <w:rPr>
          <w:lang w:val="sl-SI"/>
        </w:rPr>
        <w:t>disciplinarne študije, odprto izobraževanje, mreženje z drugimi institucijami);</w:t>
      </w:r>
    </w:p>
    <w:p w14:paraId="7D399CC2" w14:textId="77777777" w:rsidR="00E03711" w:rsidRPr="001048FE" w:rsidRDefault="00E03711" w:rsidP="005115F2">
      <w:pPr>
        <w:pStyle w:val="Guide-NormalBulletpoints"/>
        <w:numPr>
          <w:ilvl w:val="0"/>
          <w:numId w:val="312"/>
        </w:numPr>
        <w:rPr>
          <w:lang w:val="sl-SI"/>
        </w:rPr>
      </w:pPr>
      <w:r w:rsidRPr="001048FE">
        <w:rPr>
          <w:lang w:val="sl-SI"/>
        </w:rPr>
        <w:t>oskrbeti študente in mlade strokovnjake z znanjem o temah Evropske unije, ki so pomembne za njihova akademska in poklicna življenja, ter okrepiti njihove državljanske vrline;</w:t>
      </w:r>
    </w:p>
    <w:p w14:paraId="7D399CC3" w14:textId="77777777" w:rsidR="00E03711" w:rsidRDefault="00E03711" w:rsidP="005115F2">
      <w:pPr>
        <w:pStyle w:val="Guide-NormalBulletpoints"/>
        <w:numPr>
          <w:ilvl w:val="0"/>
          <w:numId w:val="312"/>
        </w:numPr>
        <w:rPr>
          <w:lang w:val="sl-SI"/>
        </w:rPr>
      </w:pPr>
      <w:r w:rsidRPr="001048FE">
        <w:rPr>
          <w:lang w:val="sl-SI"/>
        </w:rPr>
        <w:t>vključevati z EU povezane teme v redno šolanje in krepiti njihovo raznolikost v učnih načrtih, ki jih svojim študentom predlagajo visokošolske institucije;</w:t>
      </w:r>
    </w:p>
    <w:p w14:paraId="7D399CC4" w14:textId="77777777" w:rsidR="00E03711" w:rsidRPr="00B72C67" w:rsidRDefault="00E03711" w:rsidP="005115F2">
      <w:pPr>
        <w:pStyle w:val="Guide-NormalBulletpoints"/>
        <w:numPr>
          <w:ilvl w:val="0"/>
          <w:numId w:val="312"/>
        </w:numPr>
        <w:rPr>
          <w:lang w:val="sl-SI"/>
        </w:rPr>
      </w:pPr>
      <w:r w:rsidRPr="00B72C67">
        <w:rPr>
          <w:rFonts w:eastAsia="Calibri" w:cs="Calibri"/>
          <w:bdr w:val="nil"/>
          <w:lang w:val="sl-SI" w:eastAsia="zh-CN"/>
        </w:rPr>
        <w:t>spodbujati sodelovanje visokošolskih institucij z družbo prek debat o vprašanjih EU;</w:t>
      </w:r>
    </w:p>
    <w:p w14:paraId="7D399CC5" w14:textId="77777777" w:rsidR="00E03711" w:rsidRPr="001048FE" w:rsidRDefault="00E03711" w:rsidP="005115F2">
      <w:pPr>
        <w:pStyle w:val="Guide-NormalBulletpoints"/>
        <w:numPr>
          <w:ilvl w:val="0"/>
          <w:numId w:val="312"/>
        </w:numPr>
        <w:rPr>
          <w:lang w:val="sl-SI"/>
        </w:rPr>
      </w:pPr>
      <w:r w:rsidRPr="001048FE">
        <w:rPr>
          <w:lang w:val="sl-SI"/>
        </w:rPr>
        <w:t>izboljšati kakovost strokovnega usposabljanja v zvezi s temami EU (</w:t>
      </w:r>
      <w:r>
        <w:rPr>
          <w:lang w:val="sl-SI"/>
        </w:rPr>
        <w:t>kjer je to ustrezno</w:t>
      </w:r>
      <w:r w:rsidRPr="001048FE">
        <w:rPr>
          <w:lang w:val="sl-SI"/>
        </w:rPr>
        <w:t>);</w:t>
      </w:r>
    </w:p>
    <w:p w14:paraId="7D399CC6" w14:textId="77777777" w:rsidR="00E03711" w:rsidRDefault="00E03711" w:rsidP="005115F2">
      <w:pPr>
        <w:pStyle w:val="Guide-NormalBulletpoints"/>
        <w:numPr>
          <w:ilvl w:val="0"/>
          <w:numId w:val="312"/>
        </w:numPr>
        <w:rPr>
          <w:lang w:val="sl-SI"/>
        </w:rPr>
      </w:pPr>
      <w:r w:rsidRPr="001048FE">
        <w:rPr>
          <w:lang w:val="sl-SI"/>
        </w:rPr>
        <w:t>spodbujati udeležbo mladih akademikov v poučevanju in raziskovanju evropskih tem</w:t>
      </w:r>
      <w:r>
        <w:rPr>
          <w:lang w:val="sl-SI"/>
        </w:rPr>
        <w:t>;</w:t>
      </w:r>
    </w:p>
    <w:p w14:paraId="7D399CC7" w14:textId="77777777" w:rsidR="00E03711" w:rsidRDefault="00E03711" w:rsidP="005115F2">
      <w:pPr>
        <w:pStyle w:val="Guide-NormalBulletpoints"/>
        <w:numPr>
          <w:ilvl w:val="0"/>
          <w:numId w:val="312"/>
        </w:numPr>
        <w:rPr>
          <w:lang w:val="sl-SI"/>
        </w:rPr>
      </w:pPr>
      <w:r w:rsidRPr="001048FE">
        <w:rPr>
          <w:lang w:val="sl-SI"/>
        </w:rPr>
        <w:t>spodbujati dialog med akademskim okoljem in oblikovalci politik, zlasti za krepitev upravljanja politik EU;</w:t>
      </w:r>
    </w:p>
    <w:p w14:paraId="7D399CC8" w14:textId="77777777" w:rsidR="00E03711" w:rsidRPr="00FC4A70" w:rsidRDefault="00E03711" w:rsidP="005115F2">
      <w:pPr>
        <w:pStyle w:val="Guide-NormalBulletpoints"/>
        <w:numPr>
          <w:ilvl w:val="0"/>
          <w:numId w:val="312"/>
        </w:numPr>
        <w:rPr>
          <w:lang w:val="sl-SI"/>
        </w:rPr>
      </w:pPr>
      <w:r w:rsidRPr="00FC4A70">
        <w:rPr>
          <w:rFonts w:eastAsia="Calibri"/>
          <w:bdr w:val="nil"/>
          <w:lang w:val="sl-SI"/>
        </w:rPr>
        <w:t>spodbujati sodelovanje učiteljev in učencev na vseh stopnjah izobraževanja, tako na primarni kot na sekundarni stopnji izobraževanja;</w:t>
      </w:r>
    </w:p>
    <w:p w14:paraId="7D399CC9" w14:textId="77777777" w:rsidR="00E03711" w:rsidRPr="00FC4A70" w:rsidRDefault="00E03711" w:rsidP="005115F2">
      <w:pPr>
        <w:pStyle w:val="Guide-NormalBulletpoints"/>
        <w:numPr>
          <w:ilvl w:val="0"/>
          <w:numId w:val="312"/>
        </w:numPr>
        <w:rPr>
          <w:lang w:val="sl-SI"/>
        </w:rPr>
      </w:pPr>
      <w:r w:rsidRPr="00FC4A70">
        <w:rPr>
          <w:rFonts w:eastAsia="Calibri"/>
          <w:bdr w:val="nil"/>
          <w:lang w:val="sl-SI"/>
        </w:rPr>
        <w:t>razširjati rezultate financiranih aktivnosti prek dogodkov, na katerih sodelujejo državljani in nespecializirano občinstvo skupaj z učenci, oblikovalci politike, lokalnimi organi (npr. župani in svetniki) in drugimi deležniki na lokalni, regionalni in nacionalni ravni, v jeziku in obliki, ki je primerna za vsako občinstvo.</w:t>
      </w:r>
    </w:p>
    <w:p w14:paraId="7D399CCA" w14:textId="77777777" w:rsidR="00E03711" w:rsidRPr="001048FE" w:rsidRDefault="00E03711" w:rsidP="00277D91">
      <w:pPr>
        <w:pStyle w:val="GUIDE-NORMAL"/>
        <w:rPr>
          <w:lang w:val="sl-SI"/>
        </w:rPr>
      </w:pPr>
      <w:r w:rsidRPr="001048FE">
        <w:rPr>
          <w:lang w:val="sl-SI"/>
        </w:rPr>
        <w:t>Program Jean Monnet bo predvidoma imel pozitiven in dolgotrajen učinek na vključene udeležence, organizacije, ki spodbujajo program, in sisteme politik, v okviru katerih se izvaja.</w:t>
      </w:r>
    </w:p>
    <w:p w14:paraId="7D399CCB" w14:textId="77777777" w:rsidR="00E03711" w:rsidRPr="001048FE" w:rsidRDefault="00E03711" w:rsidP="00277D91">
      <w:pPr>
        <w:pStyle w:val="GUIDE-NORMAL"/>
        <w:rPr>
          <w:lang w:val="sl-SI"/>
        </w:rPr>
      </w:pPr>
      <w:r w:rsidRPr="001048FE">
        <w:rPr>
          <w:lang w:val="sl-SI"/>
        </w:rPr>
        <w:t>V zvezi z udeleženci, neposredno ali posredno vključenimi v ukrepe, so cilji programa Jean Monnet doseči naslednje rezultate:</w:t>
      </w:r>
    </w:p>
    <w:p w14:paraId="7D399CCC" w14:textId="77777777" w:rsidR="00E03711" w:rsidRPr="001048FE" w:rsidRDefault="00E03711" w:rsidP="005115F2">
      <w:pPr>
        <w:pStyle w:val="Guide-NormalBulletpoints"/>
        <w:numPr>
          <w:ilvl w:val="0"/>
          <w:numId w:val="313"/>
        </w:numPr>
        <w:rPr>
          <w:lang w:val="sl-SI"/>
        </w:rPr>
      </w:pPr>
      <w:r w:rsidRPr="001048FE">
        <w:rPr>
          <w:lang w:val="sl-SI"/>
        </w:rPr>
        <w:t>boljša zaposljivost in poklicne možnosti za mlade diplomante z vključevanjem evropske razsežnosti v njihov študij ali z njeno krepitvijo;</w:t>
      </w:r>
    </w:p>
    <w:p w14:paraId="7D399CCD" w14:textId="77777777" w:rsidR="00E03711" w:rsidRPr="001048FE" w:rsidRDefault="00E03711" w:rsidP="005115F2">
      <w:pPr>
        <w:pStyle w:val="Guide-NormalBulletpoints"/>
        <w:numPr>
          <w:ilvl w:val="0"/>
          <w:numId w:val="313"/>
        </w:numPr>
        <w:rPr>
          <w:lang w:val="sl-SI"/>
        </w:rPr>
      </w:pPr>
      <w:r w:rsidRPr="001048FE">
        <w:rPr>
          <w:lang w:val="sl-SI"/>
        </w:rPr>
        <w:t>večje zanimanje za razumevanje Evropske unije in sodelovanje v njej, kar vodi do bolj aktivnega državljanstva;</w:t>
      </w:r>
    </w:p>
    <w:p w14:paraId="7D399CCE" w14:textId="77777777" w:rsidR="00E03711" w:rsidRPr="001048FE" w:rsidRDefault="00E03711" w:rsidP="005115F2">
      <w:pPr>
        <w:pStyle w:val="Guide-NormalBulletpoints"/>
        <w:numPr>
          <w:ilvl w:val="0"/>
          <w:numId w:val="313"/>
        </w:numPr>
        <w:rPr>
          <w:lang w:val="sl-SI"/>
        </w:rPr>
      </w:pPr>
      <w:r w:rsidRPr="001048FE">
        <w:rPr>
          <w:lang w:val="sl-SI"/>
        </w:rPr>
        <w:t>podpora za mlade raziskovalce (tj. tiste, ki so pridobili doktorski naziv v zadnjih petih letih) in profesorje, ki želijo raziskovati in poučevati teme EU;</w:t>
      </w:r>
    </w:p>
    <w:p w14:paraId="7D399CCF" w14:textId="77777777" w:rsidR="00E03711" w:rsidRPr="001048FE" w:rsidRDefault="00E03711" w:rsidP="005115F2">
      <w:pPr>
        <w:pStyle w:val="Guide-NormalBulletpoints"/>
        <w:numPr>
          <w:ilvl w:val="0"/>
          <w:numId w:val="313"/>
        </w:numPr>
        <w:rPr>
          <w:lang w:val="sl-SI"/>
        </w:rPr>
      </w:pPr>
      <w:r w:rsidRPr="001048FE">
        <w:rPr>
          <w:lang w:val="sl-SI"/>
        </w:rPr>
        <w:t>več priložnosti za akademsko osebje v zvezi s strokovnim in poklicnim usposabljanjem.</w:t>
      </w:r>
    </w:p>
    <w:p w14:paraId="7D399CD0" w14:textId="77777777" w:rsidR="00E03711" w:rsidRPr="001048FE" w:rsidRDefault="00E03711" w:rsidP="00277D91">
      <w:pPr>
        <w:pStyle w:val="GUIDE-NORMAL"/>
        <w:rPr>
          <w:lang w:val="sl-SI"/>
        </w:rPr>
      </w:pPr>
      <w:r w:rsidRPr="001048FE">
        <w:rPr>
          <w:lang w:val="sl-SI"/>
        </w:rPr>
        <w:t xml:space="preserve">Na podlagi aktivnosti, ki jih podpira program Jean Monnet, </w:t>
      </w:r>
      <w:r>
        <w:rPr>
          <w:lang w:val="sl-SI"/>
        </w:rPr>
        <w:t>je</w:t>
      </w:r>
      <w:r w:rsidRPr="001048FE">
        <w:rPr>
          <w:lang w:val="sl-SI"/>
        </w:rPr>
        <w:t xml:space="preserve"> v zvezi s sodelujočimi organizacijami </w:t>
      </w:r>
      <w:r>
        <w:rPr>
          <w:lang w:val="sl-SI"/>
        </w:rPr>
        <w:t xml:space="preserve">cilj doseganje teh </w:t>
      </w:r>
      <w:r w:rsidRPr="001048FE">
        <w:rPr>
          <w:lang w:val="sl-SI"/>
        </w:rPr>
        <w:t>rezultat</w:t>
      </w:r>
      <w:r>
        <w:rPr>
          <w:lang w:val="sl-SI"/>
        </w:rPr>
        <w:t>ov</w:t>
      </w:r>
      <w:r w:rsidRPr="001048FE">
        <w:rPr>
          <w:lang w:val="sl-SI"/>
        </w:rPr>
        <w:t>:</w:t>
      </w:r>
    </w:p>
    <w:p w14:paraId="7D399CD1" w14:textId="77777777" w:rsidR="00E03711" w:rsidRPr="001048FE" w:rsidRDefault="00E03711" w:rsidP="005115F2">
      <w:pPr>
        <w:pStyle w:val="Guide-NormalBulletpoints"/>
        <w:numPr>
          <w:ilvl w:val="0"/>
          <w:numId w:val="314"/>
        </w:numPr>
        <w:rPr>
          <w:lang w:val="sl-SI"/>
        </w:rPr>
      </w:pPr>
      <w:r w:rsidRPr="001048FE">
        <w:rPr>
          <w:lang w:val="sl-SI"/>
        </w:rPr>
        <w:t>večja zmogljivost za poučevanje in raziskovanje zadev EU: izboljšani in inovativni učni načrti; okrepljena zmogljivost za privabljanje odličnih študentov; okrepljeno sodelovanje s partnerji iz drugih držav; več dodeljenih finančnih sredstev za poučevanje in raziskovanje tem EU na instituciji;</w:t>
      </w:r>
    </w:p>
    <w:p w14:paraId="7D399CD2" w14:textId="77777777" w:rsidR="00E03711" w:rsidRPr="001048FE" w:rsidRDefault="00E03711" w:rsidP="005115F2">
      <w:pPr>
        <w:pStyle w:val="Guide-NormalBulletpoints"/>
        <w:numPr>
          <w:ilvl w:val="0"/>
          <w:numId w:val="314"/>
        </w:numPr>
        <w:rPr>
          <w:lang w:val="sl-SI"/>
        </w:rPr>
      </w:pPr>
      <w:r w:rsidRPr="001048FE">
        <w:rPr>
          <w:lang w:val="sl-SI"/>
        </w:rPr>
        <w:t>bolj sodobno, dinamično, predano in strokovno okolje v organizaciji: spodbujanje poklicnega razvoja mladih raziskovalcev in profesorjev; pripravljenost za vključevanje dobrih praks in novih tem EU v didaktične programe in pobude; odprtost do sinergij z drugimi organizacijami.</w:t>
      </w:r>
    </w:p>
    <w:p w14:paraId="7D399CD3" w14:textId="77777777" w:rsidR="00E03711" w:rsidRPr="001048FE" w:rsidRDefault="00E03711" w:rsidP="00277D91">
      <w:pPr>
        <w:pStyle w:val="GUIDE-NORMAL"/>
        <w:rPr>
          <w:lang w:val="sl-SI"/>
        </w:rPr>
      </w:pPr>
      <w:r w:rsidRPr="001048FE">
        <w:rPr>
          <w:lang w:val="sl-SI"/>
        </w:rPr>
        <w:t>Program Jean Monnet bo dolgoročno predvidoma spodbudil prepoznavnost in raznolikost študij EU po vsem svetu ter okrepil in razširil udeležbo osebja iz več fakultet in oddelkov v poučevanju in raziskovanju Evropske unije.</w:t>
      </w:r>
    </w:p>
    <w:p w14:paraId="7D399CD4" w14:textId="77777777" w:rsidR="00E03711" w:rsidRDefault="00E03711">
      <w:pPr>
        <w:widowControl/>
        <w:suppressAutoHyphens w:val="0"/>
        <w:autoSpaceDN/>
        <w:textAlignment w:val="auto"/>
        <w:rPr>
          <w:lang w:val="sl-SI"/>
        </w:rPr>
        <w:sectPr w:rsidR="00E03711" w:rsidSect="00E15ED3">
          <w:headerReference w:type="even" r:id="rId116"/>
          <w:headerReference w:type="default" r:id="rId117"/>
          <w:endnotePr>
            <w:numFmt w:val="decimal"/>
          </w:endnotePr>
          <w:pgSz w:w="11910" w:h="16840" w:code="9"/>
          <w:pgMar w:top="1134" w:right="1418" w:bottom="1134" w:left="1418" w:header="284" w:footer="567" w:gutter="0"/>
          <w:cols w:space="720"/>
          <w:docGrid w:linePitch="326"/>
        </w:sectPr>
      </w:pPr>
      <w:bookmarkStart w:id="283" w:name="Modules_Jean_Monnet"/>
      <w:bookmarkStart w:id="284" w:name="_bookmark48"/>
      <w:bookmarkEnd w:id="283"/>
      <w:bookmarkEnd w:id="284"/>
    </w:p>
    <w:p w14:paraId="7D399CD5" w14:textId="77777777" w:rsidR="00E03711" w:rsidRDefault="00E03711">
      <w:pPr>
        <w:pStyle w:val="Guide-Heading3"/>
        <w:rPr>
          <w:lang w:val="sl-SI"/>
        </w:rPr>
      </w:pPr>
      <w:bookmarkStart w:id="285" w:name="_Toc527400925"/>
      <w:bookmarkStart w:id="286" w:name="_Toc527401168"/>
      <w:r w:rsidRPr="001048FE">
        <w:rPr>
          <w:lang w:val="sl-SI"/>
        </w:rPr>
        <w:t>Moduli Jean Monnet</w:t>
      </w:r>
      <w:bookmarkEnd w:id="285"/>
      <w:bookmarkEnd w:id="286"/>
    </w:p>
    <w:p w14:paraId="7D399CD6" w14:textId="77777777" w:rsidR="00E03711" w:rsidRPr="001048FE" w:rsidRDefault="00E03711" w:rsidP="00BC3F58">
      <w:pPr>
        <w:pStyle w:val="Guide-Heading4"/>
        <w:rPr>
          <w:lang w:val="sl-SI"/>
        </w:rPr>
      </w:pPr>
      <w:bookmarkStart w:id="287" w:name="_Toc527401169"/>
      <w:r w:rsidRPr="001048FE">
        <w:rPr>
          <w:lang w:val="sl-SI"/>
        </w:rPr>
        <w:t>Kaj je modul Jean Monnet?</w:t>
      </w:r>
      <w:bookmarkEnd w:id="287"/>
    </w:p>
    <w:p w14:paraId="7D399CD7" w14:textId="77777777" w:rsidR="00E03711" w:rsidRPr="001048FE" w:rsidRDefault="00E03711" w:rsidP="00277D91">
      <w:pPr>
        <w:pStyle w:val="GUIDE-NORMAL"/>
        <w:rPr>
          <w:lang w:val="sl-SI"/>
        </w:rPr>
      </w:pPr>
      <w:r w:rsidRPr="001048FE">
        <w:rPr>
          <w:lang w:val="sl-SI"/>
        </w:rPr>
        <w:t>Modul Jean Monnet je kratek program poučevanja na področju študij Evropske unije na visokošolski instituciji. Vsak modul traja vsaj 40 učnih ur v enem akademskem letu. Moduli se lahko usmerijo v eno določeno disciplino evropskih študij ali pa uporabijo večdisciplinarni pristop in torej vključijo akademsko znanje več profesorjev in strokovnjakov.</w:t>
      </w:r>
    </w:p>
    <w:p w14:paraId="7D399CD8" w14:textId="77777777" w:rsidR="00E03711" w:rsidRPr="001048FE" w:rsidRDefault="00E03711" w:rsidP="00277D91">
      <w:pPr>
        <w:pStyle w:val="GUIDE-NORMAL"/>
        <w:rPr>
          <w:lang w:val="sl-SI"/>
        </w:rPr>
      </w:pPr>
      <w:r w:rsidRPr="001048FE">
        <w:rPr>
          <w:lang w:val="sl-SI"/>
        </w:rPr>
        <w:t>Erasmus+ podpira module Jean Monnet, da:</w:t>
      </w:r>
    </w:p>
    <w:p w14:paraId="7D399CD9" w14:textId="77777777" w:rsidR="00E03711" w:rsidRPr="001048FE" w:rsidRDefault="00E03711" w:rsidP="005115F2">
      <w:pPr>
        <w:pStyle w:val="Guide-NormalBulletpoints"/>
        <w:numPr>
          <w:ilvl w:val="0"/>
          <w:numId w:val="326"/>
        </w:numPr>
        <w:rPr>
          <w:lang w:val="sl-SI"/>
        </w:rPr>
      </w:pPr>
      <w:r w:rsidRPr="001048FE">
        <w:rPr>
          <w:lang w:val="sl-SI"/>
        </w:rPr>
        <w:t>spodbuja raziskovanje in prvo izkušnjo poučevanja za mlade raziskovalce, znanstvenike in delavce v zvezi z vprašanji Evropske unije</w:t>
      </w:r>
      <w:r>
        <w:rPr>
          <w:lang w:val="sl-SI"/>
        </w:rPr>
        <w:t xml:space="preserve"> </w:t>
      </w:r>
      <w:r w:rsidRPr="00FC4A70">
        <w:rPr>
          <w:rFonts w:eastAsia="Calibri" w:cs="Calibri"/>
          <w:bdr w:val="nil"/>
          <w:lang w:val="sl-SI" w:eastAsia="zh-CN"/>
        </w:rPr>
        <w:t>(do 20 % sredstev, namenjenih za podporne module, bo dodeljenih koordinatorjem, ki so raziskovalci in so v zadnjih petih letih pridobili doktorski naziv)</w:t>
      </w:r>
      <w:r w:rsidRPr="00B172C0">
        <w:rPr>
          <w:lang w:val="sl-SI"/>
        </w:rPr>
        <w:t>;</w:t>
      </w:r>
    </w:p>
    <w:p w14:paraId="7D399CDA" w14:textId="77777777" w:rsidR="00E03711" w:rsidRPr="001048FE" w:rsidRDefault="00E03711" w:rsidP="005115F2">
      <w:pPr>
        <w:pStyle w:val="Guide-NormalBulletpoints"/>
        <w:numPr>
          <w:ilvl w:val="0"/>
          <w:numId w:val="326"/>
        </w:numPr>
        <w:rPr>
          <w:lang w:val="sl-SI"/>
        </w:rPr>
      </w:pPr>
      <w:r w:rsidRPr="001048FE">
        <w:rPr>
          <w:lang w:val="sl-SI"/>
        </w:rPr>
        <w:t>spodbuja objavljanje in razširjanje rezultatov akademskih raziskav;</w:t>
      </w:r>
    </w:p>
    <w:p w14:paraId="7D399CDB" w14:textId="77777777" w:rsidR="00E03711" w:rsidRPr="001048FE" w:rsidRDefault="00E03711" w:rsidP="005115F2">
      <w:pPr>
        <w:pStyle w:val="Guide-NormalBulletpoints"/>
        <w:numPr>
          <w:ilvl w:val="0"/>
          <w:numId w:val="326"/>
        </w:numPr>
        <w:rPr>
          <w:lang w:val="sl-SI"/>
        </w:rPr>
      </w:pPr>
      <w:r w:rsidRPr="001048FE">
        <w:rPr>
          <w:lang w:val="sl-SI"/>
        </w:rPr>
        <w:t>ustvarja zanimanje za EU in temelje za prihodnje stebre evropskega znanja, zlasti v partnerskih državah;</w:t>
      </w:r>
    </w:p>
    <w:p w14:paraId="7D399CDC" w14:textId="77777777" w:rsidR="00E03711" w:rsidRPr="001048FE" w:rsidRDefault="00E03711" w:rsidP="005115F2">
      <w:pPr>
        <w:pStyle w:val="Guide-NormalBulletpoints"/>
        <w:numPr>
          <w:ilvl w:val="0"/>
          <w:numId w:val="326"/>
        </w:numPr>
        <w:rPr>
          <w:lang w:val="sl-SI"/>
        </w:rPr>
      </w:pPr>
      <w:r w:rsidRPr="001048FE">
        <w:rPr>
          <w:lang w:val="sl-SI"/>
        </w:rPr>
        <w:t xml:space="preserve">spodbuja uvedbo vidikov Evropske unije v študije, ki na splošno niso povezani z EU; </w:t>
      </w:r>
    </w:p>
    <w:p w14:paraId="7D399CDD" w14:textId="77777777" w:rsidR="00E03711" w:rsidRPr="001048FE" w:rsidRDefault="00E03711" w:rsidP="005115F2">
      <w:pPr>
        <w:pStyle w:val="Guide-NormalBulletpoints"/>
        <w:numPr>
          <w:ilvl w:val="0"/>
          <w:numId w:val="326"/>
        </w:numPr>
        <w:rPr>
          <w:lang w:val="sl-SI"/>
        </w:rPr>
      </w:pPr>
      <w:r w:rsidRPr="001048FE">
        <w:rPr>
          <w:lang w:val="sl-SI"/>
        </w:rPr>
        <w:t>zagotavlja posebej prilagojene tečaje o določenih vprašanjih EU, ki so pomembna za diplomante v njihovem poklicnem življenju.</w:t>
      </w:r>
    </w:p>
    <w:p w14:paraId="7D399CDE" w14:textId="77777777" w:rsidR="00E03711" w:rsidRPr="001048FE" w:rsidRDefault="00E03711" w:rsidP="00277D91">
      <w:pPr>
        <w:pStyle w:val="GUIDE-NORMAL"/>
        <w:rPr>
          <w:lang w:val="sl-SI"/>
        </w:rPr>
      </w:pPr>
      <w:r w:rsidRPr="001048FE">
        <w:rPr>
          <w:lang w:val="sl-SI"/>
        </w:rPr>
        <w:t>Modul Jean Monnet umešča in vključuje poučevanje o zadevah EU v učne načrte, ki so do zdaj zajeli z EU povezane vsebine zgolj v omejenem obsegu. Na podlagi modulov se dejstva in znanje o Evropski uniji tudi širijo med raznolik nabor študentov in zainteresiranih državljanov.</w:t>
      </w:r>
    </w:p>
    <w:p w14:paraId="7D399CDF" w14:textId="77777777" w:rsidR="00E03711" w:rsidRPr="001048FE" w:rsidRDefault="00E03711" w:rsidP="00BC3F58">
      <w:pPr>
        <w:pStyle w:val="Guide-Heading4"/>
        <w:rPr>
          <w:lang w:val="sl-SI"/>
        </w:rPr>
      </w:pPr>
      <w:bookmarkStart w:id="288" w:name="_Toc527401170"/>
      <w:r w:rsidRPr="001048FE">
        <w:rPr>
          <w:lang w:val="sl-SI"/>
        </w:rPr>
        <w:t>Katere aktivnosti so podprte v okviru tega ukrepa?</w:t>
      </w:r>
      <w:bookmarkEnd w:id="288"/>
    </w:p>
    <w:p w14:paraId="7D399CE0" w14:textId="77777777" w:rsidR="00E03711" w:rsidRPr="001048FE" w:rsidRDefault="00E03711" w:rsidP="00277D91">
      <w:pPr>
        <w:pStyle w:val="GUIDE-NORMAL"/>
        <w:rPr>
          <w:lang w:val="sl-SI"/>
        </w:rPr>
      </w:pPr>
      <w:r w:rsidRPr="001048FE">
        <w:rPr>
          <w:lang w:val="sl-SI"/>
        </w:rPr>
        <w:t>Moduli Jean Monnet morajo imeti eno od naslednjih oblik:</w:t>
      </w:r>
    </w:p>
    <w:p w14:paraId="7D399CE1" w14:textId="77777777" w:rsidR="00E03711" w:rsidRPr="001048FE" w:rsidRDefault="00E03711" w:rsidP="005115F2">
      <w:pPr>
        <w:pStyle w:val="Guide-NormalBulletpoints"/>
        <w:numPr>
          <w:ilvl w:val="0"/>
          <w:numId w:val="327"/>
        </w:numPr>
        <w:rPr>
          <w:lang w:val="sl-SI"/>
        </w:rPr>
      </w:pPr>
      <w:r w:rsidRPr="001048FE">
        <w:rPr>
          <w:lang w:val="sl-SI"/>
        </w:rPr>
        <w:t>splošni ali uvodni programi o vprašanjih Evropske unije (zlasti na institucijah in fakultetah, ki še nimajo zelo razvite ponudbe programov na tem področju);</w:t>
      </w:r>
    </w:p>
    <w:p w14:paraId="7D399CE2" w14:textId="77777777" w:rsidR="00E03711" w:rsidRPr="001048FE" w:rsidRDefault="00E03711" w:rsidP="005115F2">
      <w:pPr>
        <w:pStyle w:val="Guide-NormalBulletpoints"/>
        <w:numPr>
          <w:ilvl w:val="0"/>
          <w:numId w:val="327"/>
        </w:numPr>
        <w:rPr>
          <w:lang w:val="sl-SI"/>
        </w:rPr>
      </w:pPr>
      <w:r w:rsidRPr="001048FE">
        <w:rPr>
          <w:lang w:val="sl-SI"/>
        </w:rPr>
        <w:t>ožje strokovno poučevanje o razvoju Evropske unije (zlasti na institucijah in fakultetah, ki že imajo zelo razvito ponudbo programov na tem področju);</w:t>
      </w:r>
    </w:p>
    <w:p w14:paraId="7D399CE3" w14:textId="77777777" w:rsidR="00E03711" w:rsidRPr="001048FE" w:rsidRDefault="00E03711" w:rsidP="005115F2">
      <w:pPr>
        <w:pStyle w:val="Guide-NormalBulletpoints"/>
        <w:numPr>
          <w:ilvl w:val="0"/>
          <w:numId w:val="327"/>
        </w:numPr>
        <w:rPr>
          <w:lang w:val="sl-SI"/>
        </w:rPr>
      </w:pPr>
      <w:r w:rsidRPr="001048FE">
        <w:rPr>
          <w:lang w:val="sl-SI"/>
        </w:rPr>
        <w:t>poletni in intenzivni programi, ki so v celoti priznani.</w:t>
      </w:r>
    </w:p>
    <w:p w14:paraId="7D399CE4" w14:textId="77777777" w:rsidR="00E03711" w:rsidRPr="001048FE" w:rsidRDefault="00E03711" w:rsidP="00BC3F58">
      <w:pPr>
        <w:pStyle w:val="Guide-Heading4"/>
        <w:rPr>
          <w:lang w:val="sl-SI"/>
        </w:rPr>
      </w:pPr>
      <w:bookmarkStart w:id="289" w:name="_Toc527401171"/>
      <w:r w:rsidRPr="001048FE">
        <w:rPr>
          <w:lang w:val="sl-SI"/>
        </w:rPr>
        <w:t>Kakšna je vloga organizacij, ki sodelujejo v modulu Jean Monnet?</w:t>
      </w:r>
      <w:bookmarkEnd w:id="289"/>
    </w:p>
    <w:p w14:paraId="7D399CE5" w14:textId="77777777" w:rsidR="00E03711" w:rsidRPr="001048FE" w:rsidRDefault="00E03711" w:rsidP="00277D91">
      <w:pPr>
        <w:pStyle w:val="GUIDE-NORMAL"/>
        <w:rPr>
          <w:lang w:val="sl-SI"/>
        </w:rPr>
      </w:pPr>
      <w:r w:rsidRPr="001048FE">
        <w:rPr>
          <w:lang w:val="sl-SI"/>
        </w:rPr>
        <w:t>Vloga visokošolskih institucij je podpirati in spodbujati koordinatorje modulov z zagotavljanjem, da ima čim širša javnost koristi od njihovih aktivnosti, tako na instituciji kot drugod.</w:t>
      </w:r>
    </w:p>
    <w:p w14:paraId="7D399CE6" w14:textId="77777777" w:rsidR="00E03711" w:rsidRPr="001048FE" w:rsidRDefault="00E03711" w:rsidP="00277D91">
      <w:pPr>
        <w:pStyle w:val="GUIDE-NORMAL"/>
        <w:rPr>
          <w:lang w:val="sl-SI"/>
        </w:rPr>
      </w:pPr>
      <w:r w:rsidRPr="001048FE">
        <w:rPr>
          <w:lang w:val="sl-SI"/>
        </w:rPr>
        <w:t>Visokošolske institucije podpirajo koordinatorje modulov pri njihovih aktivnostih poučevanja, raziskovanja in premisleka: prepoznajo razvite aktivnosti poučevanja; spremljajo aktivnosti, krepijo prepoznavnost in ovrednotijo rezultate, ki jih doseže njihovo osebje, vključeno v program Jean Monnet.</w:t>
      </w:r>
    </w:p>
    <w:p w14:paraId="7D399CE7" w14:textId="77777777" w:rsidR="00E03711" w:rsidRPr="001048FE" w:rsidRDefault="00E03711" w:rsidP="00277D91">
      <w:pPr>
        <w:pStyle w:val="GUIDE-NORMAL"/>
        <w:rPr>
          <w:rStyle w:val="Guide-Condensed-01"/>
          <w:lang w:val="sl-SI"/>
        </w:rPr>
      </w:pPr>
      <w:r w:rsidRPr="001048FE">
        <w:rPr>
          <w:lang w:val="sl-SI"/>
        </w:rPr>
        <w:t>Visokošolske institucije morajo izvajati aktivnosti modula Jean Monnet ves čas trajanja projekta, po potrebi vključno z nadomestitvijo akademskega koordinatorja. Če mora institucija nadomestiti koordinatorje modulov, mora Izvajalski agenciji predložiti pisni zahtevek za odobritev. Poleg tega mora imeti novi predlagani koordinator enako raven strokovnega znanja o študijah Evropske unije.</w:t>
      </w:r>
    </w:p>
    <w:p w14:paraId="7D399CE8" w14:textId="77777777" w:rsidR="00E03711" w:rsidRPr="001048FE" w:rsidRDefault="00E03711">
      <w:pPr>
        <w:widowControl/>
        <w:suppressAutoHyphens w:val="0"/>
        <w:autoSpaceDN/>
        <w:textAlignment w:val="auto"/>
        <w:rPr>
          <w:rFonts w:eastAsia="Times New Roman"/>
          <w:b/>
          <w:smallCaps/>
          <w:szCs w:val="20"/>
          <w:lang w:val="sl-SI"/>
        </w:rPr>
      </w:pPr>
      <w:r w:rsidRPr="001048FE">
        <w:rPr>
          <w:lang w:val="sl-SI"/>
        </w:rPr>
        <w:br w:type="page"/>
      </w:r>
    </w:p>
    <w:p w14:paraId="7D399CE9" w14:textId="77777777" w:rsidR="00E03711" w:rsidRPr="001048FE" w:rsidRDefault="00E03711" w:rsidP="00186F77">
      <w:pPr>
        <w:pStyle w:val="Guide-Heading4"/>
        <w:rPr>
          <w:lang w:val="sl-SI"/>
        </w:rPr>
      </w:pPr>
      <w:bookmarkStart w:id="290" w:name="_Toc527401172"/>
      <w:r w:rsidRPr="001048FE">
        <w:rPr>
          <w:lang w:val="sl-SI"/>
        </w:rPr>
        <w:t>Kakšna so merila za oceno modula Jean Monnet?</w:t>
      </w:r>
      <w:bookmarkEnd w:id="290"/>
    </w:p>
    <w:p w14:paraId="7D399CEA" w14:textId="77777777" w:rsidR="00E03711" w:rsidRPr="001048FE" w:rsidRDefault="00E03711" w:rsidP="00186F77">
      <w:pPr>
        <w:pStyle w:val="GUIDE-NORMAL"/>
        <w:rPr>
          <w:lang w:val="sl-SI"/>
        </w:rPr>
      </w:pPr>
      <w:r w:rsidRPr="001048FE">
        <w:rPr>
          <w:lang w:val="sl-SI"/>
        </w:rPr>
        <w:t>V nadaljevanju so navedena uradna merila, ki jih mora izpolniti modul Jean Monnet za upravičenost do nepovratnih sredstev Erasmus+:</w:t>
      </w:r>
    </w:p>
    <w:p w14:paraId="7D399CEB" w14:textId="77777777" w:rsidR="00E03711" w:rsidRPr="001048FE" w:rsidRDefault="00E03711" w:rsidP="00186F77">
      <w:pPr>
        <w:pStyle w:val="Guide-Heading5"/>
        <w:rPr>
          <w:lang w:val="sl-SI"/>
        </w:rPr>
      </w:pPr>
      <w:r w:rsidRPr="001048FE">
        <w:rPr>
          <w:lang w:val="sl-SI"/>
        </w:rPr>
        <w:t>Merila za upravičenost</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68"/>
        <w:gridCol w:w="7722"/>
      </w:tblGrid>
      <w:tr w:rsidR="00E03711" w:rsidRPr="008C6F8C" w14:paraId="7D399CEF" w14:textId="77777777" w:rsidTr="00913A20">
        <w:trPr>
          <w:cantSplit/>
          <w:trHeight w:val="170"/>
        </w:trPr>
        <w:tc>
          <w:tcPr>
            <w:tcW w:w="844" w:type="pct"/>
            <w:shd w:val="clear" w:color="auto" w:fill="FFFFFF"/>
            <w:vAlign w:val="center"/>
          </w:tcPr>
          <w:p w14:paraId="7D399CEC" w14:textId="77777777" w:rsidR="00E03711" w:rsidRPr="00F769E0" w:rsidRDefault="00E03711" w:rsidP="00395C0C">
            <w:pPr>
              <w:pStyle w:val="Guide-Table"/>
              <w:spacing w:before="60" w:after="60"/>
              <w:jc w:val="left"/>
              <w:rPr>
                <w:rFonts w:cs="Tahoma"/>
                <w:b/>
                <w:lang w:val="sl-SI" w:eastAsia="en-GB"/>
              </w:rPr>
            </w:pPr>
            <w:r w:rsidRPr="00F769E0">
              <w:rPr>
                <w:rFonts w:cs="Tahoma"/>
                <w:b/>
                <w:lang w:val="sl-SI" w:eastAsia="en-GB"/>
              </w:rPr>
              <w:t>Kdo se lahko prijavi?</w:t>
            </w:r>
          </w:p>
        </w:tc>
        <w:tc>
          <w:tcPr>
            <w:tcW w:w="4156" w:type="pct"/>
            <w:shd w:val="clear" w:color="auto" w:fill="FFFFFF"/>
            <w:vAlign w:val="center"/>
          </w:tcPr>
          <w:p w14:paraId="7D399CED" w14:textId="77777777" w:rsidR="00E03711" w:rsidRPr="00F769E0" w:rsidRDefault="00E03711" w:rsidP="00395C0C">
            <w:pPr>
              <w:pStyle w:val="GUIDE-NORMAL"/>
              <w:spacing w:before="60" w:after="60"/>
              <w:jc w:val="left"/>
              <w:rPr>
                <w:rFonts w:cs="Tahoma"/>
                <w:lang w:val="sl-SI" w:eastAsia="en-GB"/>
              </w:rPr>
            </w:pPr>
            <w:r w:rsidRPr="00F769E0">
              <w:rPr>
                <w:rFonts w:cs="Tahoma"/>
                <w:lang w:val="sl-SI" w:eastAsia="en-GB"/>
              </w:rPr>
              <w:t xml:space="preserve">Visokošolska institucija s sedežem v kateri koli državi sveta. Visokošolske institucije s sedežem </w:t>
            </w:r>
            <w:r w:rsidRPr="00F769E0">
              <w:rPr>
                <w:rFonts w:cs="Tahoma"/>
                <w:lang w:val="sl-SI" w:eastAsia="en-GB"/>
              </w:rPr>
              <w:br/>
              <w:t>v državah Programa morajo biti nosilke veljavne Listine Erasmus za terciarno izobraževanje (ECHE). Listina ECHE ni zahtevana za sodelujoče visokošolske institucije iz partnerskih držav.</w:t>
            </w:r>
          </w:p>
          <w:p w14:paraId="7D399CEE" w14:textId="77777777" w:rsidR="00E03711" w:rsidRPr="00F769E0" w:rsidRDefault="00E03711" w:rsidP="00395C0C">
            <w:pPr>
              <w:pStyle w:val="GUIDE-NORMAL"/>
              <w:spacing w:before="60" w:after="60"/>
              <w:jc w:val="left"/>
              <w:rPr>
                <w:rFonts w:cs="Tahoma"/>
                <w:lang w:val="sl-SI" w:eastAsia="en-GB"/>
              </w:rPr>
            </w:pPr>
            <w:r w:rsidRPr="00F769E0">
              <w:rPr>
                <w:rFonts w:cs="Tahoma"/>
                <w:lang w:val="sl-SI" w:eastAsia="en-GB"/>
              </w:rPr>
              <w:t>Posamezniki ne morejo neposredno oddati vloge za nepovratna sredstva. Individuals cannot apply directly for a grant.</w:t>
            </w:r>
          </w:p>
        </w:tc>
      </w:tr>
      <w:tr w:rsidR="00E03711" w:rsidRPr="008C6F8C" w14:paraId="7D399CF2" w14:textId="77777777" w:rsidTr="00913A20">
        <w:trPr>
          <w:cantSplit/>
          <w:trHeight w:val="170"/>
        </w:trPr>
        <w:tc>
          <w:tcPr>
            <w:tcW w:w="844" w:type="pct"/>
            <w:shd w:val="clear" w:color="auto" w:fill="FFFFFF"/>
            <w:vAlign w:val="center"/>
          </w:tcPr>
          <w:p w14:paraId="7D399CF0" w14:textId="77777777" w:rsidR="00E03711" w:rsidRPr="00F769E0" w:rsidRDefault="00E03711" w:rsidP="00395C0C">
            <w:pPr>
              <w:pStyle w:val="Guide-Table"/>
              <w:spacing w:before="60" w:after="60"/>
              <w:jc w:val="left"/>
              <w:rPr>
                <w:rFonts w:cs="Tahoma"/>
                <w:b/>
                <w:lang w:val="sl-SI" w:eastAsia="en-GB"/>
              </w:rPr>
            </w:pPr>
            <w:r w:rsidRPr="00F769E0">
              <w:rPr>
                <w:rFonts w:cs="Tahoma"/>
                <w:b/>
                <w:lang w:val="sl-SI" w:eastAsia="en-GB"/>
              </w:rPr>
              <w:t>Trajanje projekta</w:t>
            </w:r>
          </w:p>
        </w:tc>
        <w:tc>
          <w:tcPr>
            <w:tcW w:w="4156" w:type="pct"/>
            <w:shd w:val="clear" w:color="auto" w:fill="FFFFFF"/>
            <w:vAlign w:val="center"/>
          </w:tcPr>
          <w:p w14:paraId="7D399CF1" w14:textId="77777777" w:rsidR="00E03711" w:rsidRPr="00F769E0" w:rsidRDefault="00E03711" w:rsidP="00395C0C">
            <w:pPr>
              <w:pStyle w:val="GUIDE-NORMAL"/>
              <w:spacing w:before="60" w:after="60"/>
              <w:jc w:val="left"/>
              <w:rPr>
                <w:rFonts w:cs="Tahoma"/>
                <w:lang w:val="sl-SI" w:eastAsia="en-GB"/>
              </w:rPr>
            </w:pPr>
            <w:r w:rsidRPr="00F769E0">
              <w:rPr>
                <w:rFonts w:cs="Tahoma"/>
                <w:lang w:val="sl-SI" w:eastAsia="en-GB"/>
              </w:rPr>
              <w:t>Tri leta.</w:t>
            </w:r>
          </w:p>
        </w:tc>
      </w:tr>
      <w:tr w:rsidR="00E03711" w:rsidRPr="00C60205" w14:paraId="7D399CF6" w14:textId="77777777" w:rsidTr="00913A20">
        <w:trPr>
          <w:cantSplit/>
          <w:trHeight w:val="170"/>
        </w:trPr>
        <w:tc>
          <w:tcPr>
            <w:tcW w:w="844" w:type="pct"/>
            <w:shd w:val="clear" w:color="auto" w:fill="FFFFFF"/>
            <w:vAlign w:val="center"/>
          </w:tcPr>
          <w:p w14:paraId="7D399CF3" w14:textId="77777777" w:rsidR="00E03711" w:rsidRPr="00F769E0" w:rsidRDefault="00E03711" w:rsidP="00395C0C">
            <w:pPr>
              <w:pStyle w:val="Guide-Table"/>
              <w:spacing w:before="60" w:after="60"/>
              <w:jc w:val="left"/>
              <w:rPr>
                <w:rFonts w:cs="Tahoma"/>
                <w:b/>
                <w:lang w:val="sl-SI" w:eastAsia="en-GB"/>
              </w:rPr>
            </w:pPr>
            <w:r w:rsidRPr="00F769E0">
              <w:rPr>
                <w:rFonts w:cs="Tahoma"/>
                <w:b/>
                <w:lang w:val="sl-SI" w:eastAsia="en-GB"/>
              </w:rPr>
              <w:t>Trajanje aktivnosti</w:t>
            </w:r>
          </w:p>
        </w:tc>
        <w:tc>
          <w:tcPr>
            <w:tcW w:w="4156" w:type="pct"/>
            <w:shd w:val="clear" w:color="auto" w:fill="FFFFFF"/>
            <w:vAlign w:val="center"/>
          </w:tcPr>
          <w:p w14:paraId="7D399CF4" w14:textId="77777777" w:rsidR="00E03711" w:rsidRPr="00F769E0" w:rsidRDefault="00E03711" w:rsidP="00395C0C">
            <w:pPr>
              <w:pStyle w:val="GUIDE-NORMAL"/>
              <w:spacing w:before="60" w:after="60"/>
              <w:jc w:val="left"/>
              <w:rPr>
                <w:rFonts w:cs="Tahoma"/>
                <w:lang w:val="sl-SI" w:eastAsia="en-GB"/>
              </w:rPr>
            </w:pPr>
            <w:r w:rsidRPr="00F769E0">
              <w:rPr>
                <w:rFonts w:cs="Tahoma"/>
                <w:lang w:val="sl-SI" w:eastAsia="en-GB"/>
              </w:rPr>
              <w:t>Modul Jean Monnet se mora poučevati vsaj 40 ur v enem akademskem letu (tri zaporedna leta) na področju študij Evropske unije na visokošolski instituciji prijaviteljici.</w:t>
            </w:r>
          </w:p>
          <w:p w14:paraId="7D399CF5" w14:textId="77777777" w:rsidR="00E03711" w:rsidRPr="00F769E0" w:rsidRDefault="00E03711" w:rsidP="00395C0C">
            <w:pPr>
              <w:pStyle w:val="GUIDE-NORMAL"/>
              <w:spacing w:before="60" w:after="60"/>
              <w:jc w:val="left"/>
              <w:rPr>
                <w:rFonts w:cs="Tahoma"/>
                <w:lang w:val="sl-SI" w:eastAsia="en-GB"/>
              </w:rPr>
            </w:pPr>
            <w:r w:rsidRPr="00FC4A70">
              <w:rPr>
                <w:rFonts w:eastAsia="Calibri" w:cs="Calibri"/>
                <w:bdr w:val="nil"/>
                <w:shd w:val="clear" w:color="auto" w:fill="auto"/>
                <w:lang w:val="sl-SI"/>
              </w:rPr>
              <w:t>Učne ure vključujejo ure neposrednega stika v okviru skupinskih predavanj, seminarjev in praktičnih vaj ter lahko vključujejo vse od navedenega v obliki učenja na daljavo, ne vključujejo pa individualnega pouka.</w:t>
            </w:r>
          </w:p>
        </w:tc>
      </w:tr>
      <w:tr w:rsidR="00E03711" w:rsidRPr="00C60205" w14:paraId="7D399CF9" w14:textId="77777777" w:rsidTr="00913A20">
        <w:trPr>
          <w:cantSplit/>
          <w:trHeight w:val="170"/>
        </w:trPr>
        <w:tc>
          <w:tcPr>
            <w:tcW w:w="844" w:type="pct"/>
            <w:shd w:val="clear" w:color="auto" w:fill="FFFFFF"/>
            <w:vAlign w:val="center"/>
          </w:tcPr>
          <w:p w14:paraId="7D399CF7" w14:textId="77777777" w:rsidR="00E03711" w:rsidRPr="00F769E0" w:rsidRDefault="00E03711" w:rsidP="00395C0C">
            <w:pPr>
              <w:pStyle w:val="GUIDE-NORMAL"/>
              <w:spacing w:before="60" w:after="60"/>
              <w:jc w:val="left"/>
              <w:rPr>
                <w:rFonts w:cs="Tahoma"/>
                <w:b/>
                <w:lang w:val="sl-SI" w:eastAsia="en-GB"/>
              </w:rPr>
            </w:pPr>
            <w:r w:rsidRPr="00F769E0">
              <w:rPr>
                <w:rFonts w:cs="Tahoma"/>
                <w:b/>
                <w:lang w:val="sl-SI" w:eastAsia="en-GB"/>
              </w:rPr>
              <w:t>Kje</w:t>
            </w:r>
            <w:r w:rsidRPr="00F769E0">
              <w:rPr>
                <w:rFonts w:cs="Tahoma"/>
                <w:b/>
                <w:spacing w:val="6"/>
                <w:lang w:val="sl-SI" w:eastAsia="en-GB"/>
              </w:rPr>
              <w:t xml:space="preserve"> </w:t>
            </w:r>
            <w:r w:rsidRPr="00F769E0">
              <w:rPr>
                <w:rFonts w:cs="Tahoma"/>
                <w:b/>
                <w:lang w:val="sl-SI" w:eastAsia="en-GB"/>
              </w:rPr>
              <w:t>se</w:t>
            </w:r>
            <w:r w:rsidRPr="00F769E0">
              <w:rPr>
                <w:rFonts w:cs="Tahoma"/>
                <w:b/>
                <w:spacing w:val="6"/>
                <w:lang w:val="sl-SI" w:eastAsia="en-GB"/>
              </w:rPr>
              <w:t xml:space="preserve"> </w:t>
            </w:r>
            <w:r w:rsidRPr="00F769E0">
              <w:rPr>
                <w:rFonts w:cs="Tahoma"/>
                <w:b/>
                <w:lang w:val="sl-SI" w:eastAsia="en-GB"/>
              </w:rPr>
              <w:t>prijaviti?</w:t>
            </w:r>
          </w:p>
        </w:tc>
        <w:tc>
          <w:tcPr>
            <w:tcW w:w="4156" w:type="pct"/>
            <w:shd w:val="clear" w:color="auto" w:fill="FFFFFF"/>
            <w:vAlign w:val="center"/>
          </w:tcPr>
          <w:p w14:paraId="7D399CF8" w14:textId="77777777" w:rsidR="00E03711" w:rsidRPr="00F769E0" w:rsidRDefault="00E03711" w:rsidP="00395C0C">
            <w:pPr>
              <w:pStyle w:val="GUIDE-NORMAL"/>
              <w:spacing w:before="60" w:after="60"/>
              <w:jc w:val="left"/>
              <w:rPr>
                <w:rFonts w:cs="Tahoma"/>
                <w:lang w:val="sl-SI" w:eastAsia="en-GB"/>
              </w:rPr>
            </w:pPr>
            <w:r w:rsidRPr="00F769E0">
              <w:rPr>
                <w:rFonts w:cs="Tahoma"/>
                <w:lang w:val="sl-SI" w:eastAsia="en-GB"/>
              </w:rPr>
              <w:t>Pri Izvajalski agenciji za izobraževanje, avdiovizualno področje in kulturo v Bruslju.</w:t>
            </w:r>
          </w:p>
        </w:tc>
      </w:tr>
      <w:tr w:rsidR="00E03711" w:rsidRPr="00C60205" w14:paraId="7D399CFC" w14:textId="77777777" w:rsidTr="00913A20">
        <w:trPr>
          <w:cantSplit/>
          <w:trHeight w:val="170"/>
        </w:trPr>
        <w:tc>
          <w:tcPr>
            <w:tcW w:w="844" w:type="pct"/>
            <w:shd w:val="clear" w:color="auto" w:fill="FFFFFF"/>
            <w:vAlign w:val="center"/>
          </w:tcPr>
          <w:p w14:paraId="7D399CFA" w14:textId="77777777" w:rsidR="00E03711" w:rsidRPr="00F769E0" w:rsidRDefault="00E03711" w:rsidP="00395C0C">
            <w:pPr>
              <w:pStyle w:val="Guide-Table"/>
              <w:spacing w:before="60" w:after="60"/>
              <w:jc w:val="left"/>
              <w:rPr>
                <w:rFonts w:cs="Tahoma"/>
                <w:b/>
                <w:lang w:val="sl-SI" w:eastAsia="en-GB"/>
              </w:rPr>
            </w:pPr>
            <w:r w:rsidRPr="00F769E0">
              <w:rPr>
                <w:rFonts w:cs="Tahoma"/>
                <w:b/>
                <w:lang w:val="sl-SI" w:eastAsia="en-GB"/>
              </w:rPr>
              <w:t>Kdaj se prijaviti?</w:t>
            </w:r>
          </w:p>
        </w:tc>
        <w:tc>
          <w:tcPr>
            <w:tcW w:w="4156" w:type="pct"/>
            <w:shd w:val="clear" w:color="auto" w:fill="FFFFFF"/>
            <w:vAlign w:val="center"/>
          </w:tcPr>
          <w:p w14:paraId="7D399CFB" w14:textId="77777777" w:rsidR="00E03711" w:rsidRPr="00F769E0" w:rsidRDefault="00E03711" w:rsidP="00395C0C">
            <w:pPr>
              <w:pStyle w:val="GUIDE-NORMAL"/>
              <w:spacing w:before="60" w:after="60"/>
              <w:jc w:val="left"/>
              <w:rPr>
                <w:rFonts w:cs="Tahoma"/>
                <w:lang w:val="sl-SI" w:eastAsia="en-GB"/>
              </w:rPr>
            </w:pPr>
            <w:r w:rsidRPr="00F769E0">
              <w:rPr>
                <w:rFonts w:cs="Tahoma"/>
                <w:lang w:val="sl-SI" w:eastAsia="en-GB"/>
              </w:rPr>
              <w:t xml:space="preserve">Prijavitelji morajo vlogo za nepovratna sredstva oddati do </w:t>
            </w:r>
            <w:r w:rsidRPr="00F769E0">
              <w:rPr>
                <w:rFonts w:cs="Tahoma"/>
                <w:b/>
                <w:lang w:val="sl-SI" w:eastAsia="en-GB"/>
              </w:rPr>
              <w:t>2</w:t>
            </w:r>
            <w:r>
              <w:rPr>
                <w:rFonts w:cs="Tahoma"/>
                <w:b/>
                <w:lang w:val="sl-SI" w:eastAsia="en-GB"/>
              </w:rPr>
              <w:t>0</w:t>
            </w:r>
            <w:r w:rsidRPr="00F769E0">
              <w:rPr>
                <w:rFonts w:cs="Tahoma"/>
                <w:b/>
                <w:lang w:val="sl-SI" w:eastAsia="en-GB"/>
              </w:rPr>
              <w:t>. februarja do 1</w:t>
            </w:r>
            <w:r>
              <w:rPr>
                <w:rFonts w:cs="Tahoma"/>
                <w:b/>
                <w:lang w:val="sl-SI" w:eastAsia="en-GB"/>
              </w:rPr>
              <w:t>7</w:t>
            </w:r>
            <w:r w:rsidRPr="00F769E0">
              <w:rPr>
                <w:rFonts w:cs="Tahoma"/>
                <w:b/>
                <w:lang w:val="sl-SI" w:eastAsia="en-GB"/>
              </w:rPr>
              <w:t xml:space="preserve">. ure </w:t>
            </w:r>
            <w:r w:rsidRPr="00F769E0">
              <w:rPr>
                <w:rFonts w:cs="Tahoma"/>
                <w:b/>
                <w:lang w:val="sl-SI" w:eastAsia="en-GB"/>
              </w:rPr>
              <w:br/>
              <w:t xml:space="preserve">(po bruseljskem času) </w:t>
            </w:r>
            <w:r w:rsidRPr="00F769E0">
              <w:rPr>
                <w:rFonts w:cs="Tahoma"/>
                <w:lang w:val="sl-SI" w:eastAsia="en-GB"/>
              </w:rPr>
              <w:t>za projekte, ki se začnejo 1. septembra istega leta.</w:t>
            </w:r>
          </w:p>
        </w:tc>
      </w:tr>
      <w:tr w:rsidR="00E03711" w:rsidRPr="00C60205" w14:paraId="7D399CFF" w14:textId="77777777" w:rsidTr="00913A20">
        <w:trPr>
          <w:cantSplit/>
          <w:trHeight w:val="170"/>
        </w:trPr>
        <w:tc>
          <w:tcPr>
            <w:tcW w:w="844" w:type="pct"/>
            <w:shd w:val="clear" w:color="auto" w:fill="FFFFFF"/>
            <w:vAlign w:val="center"/>
          </w:tcPr>
          <w:p w14:paraId="7D399CFD" w14:textId="77777777" w:rsidR="00E03711" w:rsidRPr="00F769E0" w:rsidRDefault="00E03711" w:rsidP="00395C0C">
            <w:pPr>
              <w:pStyle w:val="Guide-Table"/>
              <w:spacing w:before="60" w:after="60"/>
              <w:jc w:val="left"/>
              <w:rPr>
                <w:rFonts w:cs="Tahoma"/>
                <w:b/>
                <w:lang w:val="sl-SI" w:eastAsia="en-GB"/>
              </w:rPr>
            </w:pPr>
            <w:r w:rsidRPr="00F769E0">
              <w:rPr>
                <w:rFonts w:cs="Tahoma"/>
                <w:b/>
                <w:lang w:val="sl-SI" w:eastAsia="en-GB"/>
              </w:rPr>
              <w:t>Kako se prijaviti?</w:t>
            </w:r>
          </w:p>
        </w:tc>
        <w:tc>
          <w:tcPr>
            <w:tcW w:w="4156" w:type="pct"/>
            <w:shd w:val="clear" w:color="auto" w:fill="FFFFFF"/>
            <w:vAlign w:val="center"/>
          </w:tcPr>
          <w:p w14:paraId="7D399CFE" w14:textId="77777777" w:rsidR="00E03711" w:rsidRPr="00F769E0" w:rsidRDefault="00E03711" w:rsidP="00395C0C">
            <w:pPr>
              <w:pStyle w:val="GUIDE-NORMAL"/>
              <w:spacing w:before="60" w:after="60"/>
              <w:jc w:val="left"/>
              <w:rPr>
                <w:rFonts w:cs="Tahoma"/>
                <w:lang w:val="sl-SI" w:eastAsia="en-GB"/>
              </w:rPr>
            </w:pPr>
            <w:r w:rsidRPr="00F769E0">
              <w:rPr>
                <w:rFonts w:cs="Tahoma"/>
                <w:lang w:val="sl-SI" w:eastAsia="en-GB"/>
              </w:rPr>
              <w:t>Za podrobnosti o postopku prijave glej del C tega vodnika.</w:t>
            </w:r>
          </w:p>
        </w:tc>
      </w:tr>
    </w:tbl>
    <w:p w14:paraId="7D399D00" w14:textId="77777777" w:rsidR="00E03711" w:rsidRPr="001048FE" w:rsidRDefault="00E03711" w:rsidP="00641384">
      <w:pPr>
        <w:pStyle w:val="GUIDE-NORMAL"/>
        <w:rPr>
          <w:lang w:val="sl-SI"/>
        </w:rPr>
      </w:pPr>
      <w:r w:rsidRPr="001048FE">
        <w:rPr>
          <w:lang w:val="sl-SI"/>
        </w:rPr>
        <w:t>Organizacije prijaviteljice bodo ocenjene tudi z merili za izključitev in izbor. Za več informacij glej del C tega vodnika.</w:t>
      </w:r>
    </w:p>
    <w:p w14:paraId="7D399D01" w14:textId="77777777" w:rsidR="00E03711" w:rsidRPr="001048FE" w:rsidRDefault="00E03711" w:rsidP="00641384">
      <w:pPr>
        <w:pStyle w:val="Guide-Heading5"/>
        <w:rPr>
          <w:lang w:val="sl-SI"/>
        </w:rPr>
      </w:pPr>
      <w:r w:rsidRPr="001048FE">
        <w:rPr>
          <w:lang w:val="sl-SI"/>
        </w:rPr>
        <w:t>Merila za dodelitev</w:t>
      </w:r>
    </w:p>
    <w:p w14:paraId="7D399D02" w14:textId="77777777" w:rsidR="00E03711" w:rsidRPr="001048FE" w:rsidRDefault="00E03711" w:rsidP="00641384">
      <w:pPr>
        <w:pStyle w:val="GUIDE-NORMAL"/>
        <w:rPr>
          <w:lang w:val="sl-SI"/>
        </w:rPr>
      </w:pPr>
      <w:r w:rsidRPr="001048FE">
        <w:rPr>
          <w:lang w:val="sl-SI"/>
        </w:rPr>
        <w:t>Projekti bodo ocenjeni z naslednjimi merili:</w:t>
      </w:r>
    </w:p>
    <w:tbl>
      <w:tblPr>
        <w:tblW w:w="4986"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Look w:val="0000" w:firstRow="0" w:lastRow="0" w:firstColumn="0" w:lastColumn="0" w:noHBand="0" w:noVBand="0"/>
      </w:tblPr>
      <w:tblGrid>
        <w:gridCol w:w="1529"/>
        <w:gridCol w:w="7735"/>
      </w:tblGrid>
      <w:tr w:rsidR="00E03711" w:rsidRPr="00654F6A" w14:paraId="7D399D16" w14:textId="77777777" w:rsidTr="00CC02CC">
        <w:trPr>
          <w:trHeight w:val="170"/>
        </w:trPr>
        <w:tc>
          <w:tcPr>
            <w:tcW w:w="825" w:type="pct"/>
            <w:shd w:val="clear" w:color="auto" w:fill="FFFFFF"/>
            <w:vAlign w:val="center"/>
          </w:tcPr>
          <w:p w14:paraId="7D399D03" w14:textId="77777777" w:rsidR="00E03711" w:rsidRPr="00F769E0" w:rsidRDefault="00E03711" w:rsidP="00395C0C">
            <w:pPr>
              <w:pStyle w:val="GUIDE-NORMAL"/>
              <w:spacing w:before="60" w:after="60"/>
              <w:jc w:val="left"/>
              <w:rPr>
                <w:rFonts w:cs="Tahoma"/>
                <w:b/>
                <w:lang w:val="sl-SI" w:eastAsia="en-GB"/>
              </w:rPr>
            </w:pPr>
            <w:r w:rsidRPr="00F769E0">
              <w:rPr>
                <w:rFonts w:cs="Tahoma"/>
                <w:b/>
                <w:lang w:val="sl-SI" w:eastAsia="en-GB"/>
              </w:rPr>
              <w:t xml:space="preserve">Ustreznost projekta </w:t>
            </w:r>
            <w:r w:rsidRPr="00F769E0">
              <w:rPr>
                <w:rFonts w:cs="Tahoma"/>
                <w:b/>
                <w:lang w:val="sl-SI" w:eastAsia="en-GB"/>
              </w:rPr>
              <w:br/>
              <w:t>(največ 25 točk)</w:t>
            </w:r>
          </w:p>
        </w:tc>
        <w:tc>
          <w:tcPr>
            <w:tcW w:w="4175" w:type="pct"/>
            <w:shd w:val="clear" w:color="auto" w:fill="FFFFFF"/>
          </w:tcPr>
          <w:p w14:paraId="7D399D04" w14:textId="77777777" w:rsidR="00E03711" w:rsidRDefault="00E03711" w:rsidP="005115F2">
            <w:pPr>
              <w:pStyle w:val="Guide-NormalBulletpoints"/>
              <w:numPr>
                <w:ilvl w:val="0"/>
                <w:numId w:val="147"/>
              </w:numPr>
              <w:spacing w:before="60"/>
              <w:jc w:val="left"/>
              <w:rPr>
                <w:lang w:val="sl-SI"/>
              </w:rPr>
            </w:pPr>
            <w:r>
              <w:rPr>
                <w:lang w:val="sl-SI"/>
              </w:rPr>
              <w:t xml:space="preserve">v kolikšni meri je predlog znotraj </w:t>
            </w:r>
            <w:r w:rsidRPr="00860232">
              <w:rPr>
                <w:b/>
                <w:bCs/>
                <w:lang w:val="sl-SI"/>
              </w:rPr>
              <w:t>okvira</w:t>
            </w:r>
            <w:r>
              <w:rPr>
                <w:lang w:val="sl-SI"/>
              </w:rPr>
              <w:t xml:space="preserve"> študij Evropske unije:</w:t>
            </w:r>
          </w:p>
          <w:p w14:paraId="7D399D05" w14:textId="77777777" w:rsidR="00E03711" w:rsidRDefault="00E03711" w:rsidP="005115F2">
            <w:pPr>
              <w:pStyle w:val="Guide-NormalBulletpoints"/>
              <w:numPr>
                <w:ilvl w:val="1"/>
                <w:numId w:val="320"/>
              </w:numPr>
              <w:spacing w:before="60"/>
              <w:jc w:val="left"/>
              <w:rPr>
                <w:lang w:val="sl-SI"/>
              </w:rPr>
            </w:pPr>
            <w:r>
              <w:rPr>
                <w:lang w:val="sl-SI"/>
              </w:rPr>
              <w:t>v celoti tvori študij Evropske unije, s posebnim poudarkom na integracijskem procesu EU tako v notranjih kot zunanjih vidikih;</w:t>
            </w:r>
          </w:p>
          <w:p w14:paraId="7D399D06" w14:textId="77777777" w:rsidR="00E03711" w:rsidRDefault="00E03711" w:rsidP="005115F2">
            <w:pPr>
              <w:pStyle w:val="Guide-NormalBulletpoints"/>
              <w:numPr>
                <w:ilvl w:val="1"/>
                <w:numId w:val="320"/>
              </w:numPr>
              <w:spacing w:before="60"/>
              <w:jc w:val="left"/>
              <w:rPr>
                <w:lang w:val="sl-SI"/>
              </w:rPr>
            </w:pPr>
            <w:r>
              <w:rPr>
                <w:lang w:val="sl-SI"/>
              </w:rPr>
              <w:t xml:space="preserve">povezava s pravnim redom EU </w:t>
            </w:r>
            <w:r w:rsidRPr="00860232">
              <w:rPr>
                <w:i/>
                <w:iCs/>
                <w:lang w:val="sl-SI"/>
              </w:rPr>
              <w:t xml:space="preserve">(acquis communautaire) </w:t>
            </w:r>
            <w:r>
              <w:rPr>
                <w:lang w:val="sl-SI"/>
              </w:rPr>
              <w:t>in obstoječimi politikami EU;</w:t>
            </w:r>
          </w:p>
          <w:p w14:paraId="7D399D07" w14:textId="77777777" w:rsidR="00E03711" w:rsidRDefault="00E03711" w:rsidP="005115F2">
            <w:pPr>
              <w:pStyle w:val="Guide-NormalBulletpoints"/>
              <w:numPr>
                <w:ilvl w:val="1"/>
                <w:numId w:val="320"/>
              </w:numPr>
              <w:spacing w:before="60"/>
              <w:jc w:val="left"/>
              <w:rPr>
                <w:lang w:val="sl-SI"/>
              </w:rPr>
            </w:pPr>
            <w:r>
              <w:rPr>
                <w:lang w:val="sl-SI"/>
              </w:rPr>
              <w:t>spodbujanje aktivnega državljanstva v EU in vrednot EU;</w:t>
            </w:r>
          </w:p>
          <w:p w14:paraId="7D399D08" w14:textId="77777777" w:rsidR="00E03711" w:rsidRDefault="00E03711" w:rsidP="005115F2">
            <w:pPr>
              <w:pStyle w:val="Guide-NormalBulletpoints"/>
              <w:numPr>
                <w:ilvl w:val="1"/>
                <w:numId w:val="320"/>
              </w:numPr>
              <w:spacing w:before="60"/>
              <w:jc w:val="left"/>
              <w:rPr>
                <w:lang w:val="sl-SI"/>
              </w:rPr>
            </w:pPr>
            <w:r>
              <w:rPr>
                <w:lang w:val="sl-SI"/>
              </w:rPr>
              <w:t>krepitev zavedanja o EU in omogočanje prihodnje angažiranosti ter dialoga med narodi.</w:t>
            </w:r>
          </w:p>
          <w:p w14:paraId="7D399D09" w14:textId="77777777" w:rsidR="00E03711" w:rsidRPr="00B22787" w:rsidRDefault="00E03711" w:rsidP="005115F2">
            <w:pPr>
              <w:pStyle w:val="Guide-NormalBulletpoints"/>
              <w:numPr>
                <w:ilvl w:val="0"/>
                <w:numId w:val="147"/>
              </w:numPr>
              <w:spacing w:before="60"/>
              <w:jc w:val="left"/>
              <w:rPr>
                <w:lang w:val="sl-SI"/>
              </w:rPr>
            </w:pPr>
            <w:r w:rsidRPr="00860232">
              <w:rPr>
                <w:b/>
                <w:bCs/>
                <w:lang w:val="sl-SI"/>
              </w:rPr>
              <w:t>ustreznost</w:t>
            </w:r>
            <w:r w:rsidRPr="00C6615D">
              <w:rPr>
                <w:lang w:val="sl-SI"/>
              </w:rPr>
              <w:t xml:space="preserve"> predloga v zvezi zenim ali več naslednjimi cilji </w:t>
            </w:r>
            <w:r w:rsidRPr="00B22787">
              <w:rPr>
                <w:lang w:val="sl-SI"/>
              </w:rPr>
              <w:t>aktivnosti Jean Monnet:</w:t>
            </w:r>
          </w:p>
          <w:p w14:paraId="7D399D0A" w14:textId="77777777" w:rsidR="00E03711" w:rsidRDefault="00E03711" w:rsidP="005115F2">
            <w:pPr>
              <w:pStyle w:val="Guide-NormalBulletpoints"/>
              <w:numPr>
                <w:ilvl w:val="1"/>
                <w:numId w:val="321"/>
              </w:numPr>
              <w:spacing w:before="60"/>
              <w:jc w:val="left"/>
              <w:rPr>
                <w:lang w:val="sl-SI"/>
              </w:rPr>
            </w:pPr>
            <w:r>
              <w:rPr>
                <w:lang w:val="sl-SI"/>
              </w:rPr>
              <w:t>spodbujanje odličnosti pri poučevanju in raziskovanju o evropskih študijah;</w:t>
            </w:r>
          </w:p>
          <w:p w14:paraId="7D399D0B" w14:textId="77777777" w:rsidR="00E03711" w:rsidRDefault="00E03711" w:rsidP="005115F2">
            <w:pPr>
              <w:pStyle w:val="Guide-NormalBulletpoints"/>
              <w:numPr>
                <w:ilvl w:val="1"/>
                <w:numId w:val="321"/>
              </w:numPr>
              <w:spacing w:before="60"/>
              <w:jc w:val="left"/>
              <w:rPr>
                <w:lang w:val="sl-SI"/>
              </w:rPr>
            </w:pPr>
            <w:r>
              <w:rPr>
                <w:lang w:val="sl-SI"/>
              </w:rPr>
              <w:t>spodbujanje ustvarjanja novega poučevanja/aktivnosti pri evropskih študijah;</w:t>
            </w:r>
          </w:p>
          <w:p w14:paraId="7D399D0C" w14:textId="77777777" w:rsidR="00E03711" w:rsidRDefault="00E03711" w:rsidP="005115F2">
            <w:pPr>
              <w:pStyle w:val="Guide-NormalBulletpoints"/>
              <w:numPr>
                <w:ilvl w:val="1"/>
                <w:numId w:val="321"/>
              </w:numPr>
              <w:spacing w:before="60"/>
              <w:jc w:val="left"/>
              <w:rPr>
                <w:lang w:val="sl-SI"/>
              </w:rPr>
            </w:pPr>
            <w:r>
              <w:rPr>
                <w:lang w:val="sl-SI"/>
              </w:rPr>
              <w:t>ustvarjanje znanja in vpogledov, ki lahko podpirajo oblikovanje politik EU in krepijo vlogo EU v globaliziranem svetu;</w:t>
            </w:r>
          </w:p>
          <w:p w14:paraId="7D399D0D" w14:textId="77777777" w:rsidR="00E03711" w:rsidRDefault="00E03711" w:rsidP="005115F2">
            <w:pPr>
              <w:pStyle w:val="Guide-NormalBulletpoints"/>
              <w:numPr>
                <w:ilvl w:val="1"/>
                <w:numId w:val="321"/>
              </w:numPr>
              <w:spacing w:before="60"/>
              <w:jc w:val="left"/>
              <w:rPr>
                <w:lang w:val="sl-SI"/>
              </w:rPr>
            </w:pPr>
            <w:r>
              <w:rPr>
                <w:lang w:val="sl-SI"/>
              </w:rPr>
              <w:t>vsebovanje koristi za sisteme politki, znotraj katerih je opredeljen;</w:t>
            </w:r>
          </w:p>
          <w:p w14:paraId="7D399D0E" w14:textId="77777777" w:rsidR="00E03711" w:rsidRDefault="00E03711" w:rsidP="005115F2">
            <w:pPr>
              <w:pStyle w:val="Guide-NormalBulletpoints"/>
              <w:numPr>
                <w:ilvl w:val="1"/>
                <w:numId w:val="321"/>
              </w:numPr>
              <w:spacing w:before="60"/>
              <w:jc w:val="left"/>
              <w:rPr>
                <w:lang w:val="sl-SI"/>
              </w:rPr>
            </w:pPr>
            <w:r>
              <w:rPr>
                <w:lang w:val="sl-SI"/>
              </w:rPr>
              <w:t>spodbujanje dialoga med akademskim svetom in širšo družbo;</w:t>
            </w:r>
          </w:p>
          <w:p w14:paraId="7D399D0F" w14:textId="77777777" w:rsidR="00E03711" w:rsidRDefault="00E03711" w:rsidP="005115F2">
            <w:pPr>
              <w:pStyle w:val="Guide-NormalBulletpoints"/>
              <w:numPr>
                <w:ilvl w:val="1"/>
                <w:numId w:val="321"/>
              </w:numPr>
              <w:spacing w:before="60"/>
              <w:jc w:val="left"/>
              <w:rPr>
                <w:lang w:val="sl-SI"/>
              </w:rPr>
            </w:pPr>
            <w:r>
              <w:rPr>
                <w:lang w:val="sl-SI"/>
              </w:rPr>
              <w:t>vključevanje akterjev civilne družbe, oblikovalcev politike, javnih uslužbencev, predstavnikov izobraževanja in predstavnikov medijev na različnih ravneh;</w:t>
            </w:r>
          </w:p>
          <w:p w14:paraId="7D399D10" w14:textId="77777777" w:rsidR="00E03711" w:rsidRDefault="00E03711" w:rsidP="005115F2">
            <w:pPr>
              <w:pStyle w:val="Guide-NormalBulletpoints"/>
              <w:numPr>
                <w:ilvl w:val="1"/>
                <w:numId w:val="321"/>
              </w:numPr>
              <w:spacing w:before="60"/>
              <w:jc w:val="left"/>
              <w:rPr>
                <w:lang w:val="sl-SI"/>
              </w:rPr>
            </w:pPr>
            <w:r>
              <w:rPr>
                <w:lang w:val="sl-SI"/>
              </w:rPr>
              <w:t>širjenje znanja o EU v širši družbi, zunaj akademskih krogov in specializiranega občinstva;</w:t>
            </w:r>
          </w:p>
          <w:p w14:paraId="7D399D11" w14:textId="77777777" w:rsidR="00E03711" w:rsidRPr="001048FE" w:rsidRDefault="00E03711" w:rsidP="005115F2">
            <w:pPr>
              <w:pStyle w:val="Guide-NormalBulletpoints"/>
              <w:numPr>
                <w:ilvl w:val="1"/>
                <w:numId w:val="321"/>
              </w:numPr>
              <w:spacing w:before="60"/>
              <w:jc w:val="left"/>
              <w:rPr>
                <w:lang w:val="sl-SI"/>
              </w:rPr>
            </w:pPr>
            <w:r>
              <w:rPr>
                <w:lang w:val="sl-SI"/>
              </w:rPr>
              <w:t>približanje EU javnosti.</w:t>
            </w:r>
          </w:p>
          <w:p w14:paraId="7D399D12" w14:textId="77777777" w:rsidR="00E03711" w:rsidRPr="001048FE" w:rsidRDefault="00E03711" w:rsidP="005115F2">
            <w:pPr>
              <w:pStyle w:val="Guide-NormalBulletpoints"/>
              <w:numPr>
                <w:ilvl w:val="0"/>
                <w:numId w:val="151"/>
              </w:numPr>
              <w:spacing w:before="60"/>
              <w:jc w:val="left"/>
              <w:rPr>
                <w:lang w:val="sl-SI"/>
              </w:rPr>
            </w:pPr>
            <w:r w:rsidRPr="00860232">
              <w:rPr>
                <w:b/>
                <w:bCs/>
                <w:lang w:val="sl-SI"/>
              </w:rPr>
              <w:t>v kolikšni meri</w:t>
            </w:r>
            <w:r w:rsidRPr="001048FE">
              <w:rPr>
                <w:lang w:val="sl-SI"/>
              </w:rPr>
              <w:t xml:space="preserve"> predlog</w:t>
            </w:r>
            <w:r>
              <w:rPr>
                <w:lang w:val="sl-SI"/>
              </w:rPr>
              <w:t xml:space="preserve"> dosega </w:t>
            </w:r>
            <w:r w:rsidRPr="00860232">
              <w:rPr>
                <w:b/>
                <w:bCs/>
                <w:lang w:val="sl-SI"/>
              </w:rPr>
              <w:t>prednostne ciljne skupine</w:t>
            </w:r>
            <w:r w:rsidRPr="001048FE">
              <w:rPr>
                <w:lang w:val="sl-SI"/>
              </w:rPr>
              <w:t>:</w:t>
            </w:r>
          </w:p>
          <w:p w14:paraId="7D399D13" w14:textId="77777777" w:rsidR="00E03711" w:rsidRPr="001048FE" w:rsidRDefault="00E03711" w:rsidP="005115F2">
            <w:pPr>
              <w:pStyle w:val="Guide-ListDash"/>
              <w:numPr>
                <w:ilvl w:val="1"/>
                <w:numId w:val="147"/>
              </w:numPr>
              <w:spacing w:before="60" w:after="60"/>
              <w:jc w:val="left"/>
              <w:rPr>
                <w:lang w:val="sl-SI"/>
              </w:rPr>
            </w:pPr>
            <w:r w:rsidRPr="001048FE">
              <w:rPr>
                <w:lang w:val="sl-SI"/>
              </w:rPr>
              <w:t>institucije ali akademiki, ki še niso prejeli sredstev Jean Monnet;</w:t>
            </w:r>
          </w:p>
          <w:p w14:paraId="7D399D14" w14:textId="77777777" w:rsidR="00E03711" w:rsidRDefault="00E03711" w:rsidP="005115F2">
            <w:pPr>
              <w:pStyle w:val="Guide-ListDash"/>
              <w:numPr>
                <w:ilvl w:val="1"/>
                <w:numId w:val="322"/>
              </w:numPr>
              <w:spacing w:before="60" w:after="60"/>
              <w:jc w:val="left"/>
              <w:rPr>
                <w:lang w:val="sl-SI"/>
              </w:rPr>
            </w:pPr>
            <w:r w:rsidRPr="001048FE">
              <w:rPr>
                <w:lang w:val="sl-SI"/>
              </w:rPr>
              <w:t>študenti</w:t>
            </w:r>
            <w:r>
              <w:rPr>
                <w:lang w:val="sl-SI"/>
              </w:rPr>
              <w:t>/občinstva</w:t>
            </w:r>
            <w:r w:rsidRPr="001048FE">
              <w:rPr>
                <w:lang w:val="sl-SI"/>
              </w:rPr>
              <w:t>, ki ne pridejo samodejno v stik z evropskimi študijami (na področjih</w:t>
            </w:r>
            <w:r>
              <w:rPr>
                <w:lang w:val="sl-SI"/>
              </w:rPr>
              <w:t xml:space="preserve"> izven prava, ekonomije in politologije</w:t>
            </w:r>
            <w:r w:rsidRPr="001048FE">
              <w:rPr>
                <w:lang w:val="sl-SI"/>
              </w:rPr>
              <w:t>)</w:t>
            </w:r>
            <w:r>
              <w:rPr>
                <w:lang w:val="sl-SI"/>
              </w:rPr>
              <w:t>;</w:t>
            </w:r>
          </w:p>
          <w:p w14:paraId="7D399D15" w14:textId="77777777" w:rsidR="00E03711" w:rsidRPr="001048FE" w:rsidRDefault="00E03711" w:rsidP="00381E74">
            <w:pPr>
              <w:pStyle w:val="Guide-ListDash"/>
              <w:numPr>
                <w:ilvl w:val="1"/>
                <w:numId w:val="496"/>
              </w:numPr>
              <w:spacing w:before="60" w:after="60"/>
              <w:ind w:left="271" w:hanging="271"/>
              <w:jc w:val="left"/>
              <w:rPr>
                <w:lang w:val="sl-SI"/>
              </w:rPr>
            </w:pPr>
            <w:r>
              <w:rPr>
                <w:lang w:val="sl-SI"/>
              </w:rPr>
              <w:t>pri tretjih državah, potencial projekta, da okrepi javno diplomacijo EU.</w:t>
            </w:r>
          </w:p>
        </w:tc>
      </w:tr>
      <w:tr w:rsidR="00E03711" w:rsidRPr="00C60205" w14:paraId="7D399D1B" w14:textId="77777777" w:rsidTr="00CC02CC">
        <w:trPr>
          <w:trHeight w:val="170"/>
        </w:trPr>
        <w:tc>
          <w:tcPr>
            <w:tcW w:w="825" w:type="pct"/>
            <w:shd w:val="clear" w:color="auto" w:fill="FFFFFF"/>
            <w:vAlign w:val="center"/>
          </w:tcPr>
          <w:p w14:paraId="7D399D17" w14:textId="77777777" w:rsidR="00E03711" w:rsidRPr="00F769E0" w:rsidRDefault="00E03711" w:rsidP="00395C0C">
            <w:pPr>
              <w:pStyle w:val="GUIDE-NORMAL"/>
              <w:spacing w:before="60" w:after="60"/>
              <w:jc w:val="left"/>
              <w:rPr>
                <w:rFonts w:cs="Tahoma"/>
                <w:b/>
                <w:lang w:val="sl-SI" w:eastAsia="en-GB"/>
              </w:rPr>
            </w:pPr>
            <w:r w:rsidRPr="00F769E0">
              <w:rPr>
                <w:rFonts w:cs="Tahoma"/>
                <w:b/>
                <w:lang w:val="sl-SI" w:eastAsia="en-GB"/>
              </w:rPr>
              <w:t>Kakovost zasnove in izvedbe projekta (največ 25 točk)</w:t>
            </w:r>
          </w:p>
        </w:tc>
        <w:tc>
          <w:tcPr>
            <w:tcW w:w="4175" w:type="pct"/>
            <w:shd w:val="clear" w:color="auto" w:fill="FFFFFF"/>
            <w:vAlign w:val="center"/>
          </w:tcPr>
          <w:p w14:paraId="7D399D18" w14:textId="77777777" w:rsidR="00E03711" w:rsidRPr="006E61F8" w:rsidRDefault="00E03711" w:rsidP="005115F2">
            <w:pPr>
              <w:pStyle w:val="Guide-NormalBulletpoints"/>
              <w:numPr>
                <w:ilvl w:val="0"/>
                <w:numId w:val="148"/>
              </w:numPr>
              <w:rPr>
                <w:lang w:val="sl-SI"/>
              </w:rPr>
            </w:pPr>
            <w:r w:rsidRPr="006E61F8">
              <w:rPr>
                <w:lang w:val="sl-SI"/>
              </w:rPr>
              <w:t xml:space="preserve">jasnost, celovitost in kakovost </w:t>
            </w:r>
            <w:r>
              <w:rPr>
                <w:lang w:val="sl-SI"/>
              </w:rPr>
              <w:t xml:space="preserve">predloga in </w:t>
            </w:r>
            <w:r w:rsidRPr="00860232">
              <w:rPr>
                <w:b/>
                <w:bCs/>
                <w:lang w:val="sl-SI"/>
              </w:rPr>
              <w:t>delovnega programa</w:t>
            </w:r>
            <w:r w:rsidRPr="006E61F8">
              <w:rPr>
                <w:lang w:val="sl-SI"/>
              </w:rPr>
              <w:t xml:space="preserve">, vključno z </w:t>
            </w:r>
            <w:r w:rsidRPr="00860232">
              <w:rPr>
                <w:b/>
                <w:bCs/>
                <w:lang w:val="sl-SI"/>
              </w:rPr>
              <w:t>ustreznim</w:t>
            </w:r>
            <w:r w:rsidRPr="006E61F8">
              <w:rPr>
                <w:lang w:val="sl-SI"/>
              </w:rPr>
              <w:t xml:space="preserve"> </w:t>
            </w:r>
            <w:r w:rsidRPr="00860232">
              <w:rPr>
                <w:b/>
                <w:bCs/>
                <w:lang w:val="sl-SI"/>
              </w:rPr>
              <w:t>načrtovanjem</w:t>
            </w:r>
            <w:r>
              <w:rPr>
                <w:lang w:val="sl-SI"/>
              </w:rPr>
              <w:t xml:space="preserve"> faz </w:t>
            </w:r>
            <w:r w:rsidRPr="006E61F8">
              <w:rPr>
                <w:lang w:val="sl-SI"/>
              </w:rPr>
              <w:t>priprav</w:t>
            </w:r>
            <w:r>
              <w:rPr>
                <w:lang w:val="sl-SI"/>
              </w:rPr>
              <w:t>e</w:t>
            </w:r>
            <w:r w:rsidRPr="006E61F8">
              <w:rPr>
                <w:lang w:val="sl-SI"/>
              </w:rPr>
              <w:t>, izvajanj</w:t>
            </w:r>
            <w:r>
              <w:rPr>
                <w:lang w:val="sl-SI"/>
              </w:rPr>
              <w:t>a</w:t>
            </w:r>
            <w:r w:rsidRPr="006E61F8">
              <w:rPr>
                <w:lang w:val="sl-SI"/>
              </w:rPr>
              <w:t>, ocenjevanj</w:t>
            </w:r>
            <w:r>
              <w:rPr>
                <w:lang w:val="sl-SI"/>
              </w:rPr>
              <w:t>a</w:t>
            </w:r>
            <w:r w:rsidRPr="006E61F8">
              <w:rPr>
                <w:lang w:val="sl-SI"/>
              </w:rPr>
              <w:t>, nadaljnje</w:t>
            </w:r>
            <w:r>
              <w:rPr>
                <w:lang w:val="sl-SI"/>
              </w:rPr>
              <w:t>ga</w:t>
            </w:r>
            <w:r w:rsidRPr="006E61F8">
              <w:rPr>
                <w:lang w:val="sl-SI"/>
              </w:rPr>
              <w:t xml:space="preserve"> spremljanj</w:t>
            </w:r>
            <w:r>
              <w:rPr>
                <w:lang w:val="sl-SI"/>
              </w:rPr>
              <w:t>a</w:t>
            </w:r>
            <w:r w:rsidRPr="006E61F8">
              <w:rPr>
                <w:lang w:val="sl-SI"/>
              </w:rPr>
              <w:t xml:space="preserve"> in razširjanj</w:t>
            </w:r>
            <w:r>
              <w:rPr>
                <w:lang w:val="sl-SI"/>
              </w:rPr>
              <w:t>a</w:t>
            </w:r>
            <w:r w:rsidRPr="006E61F8">
              <w:rPr>
                <w:lang w:val="sl-SI"/>
              </w:rPr>
              <w:t>;</w:t>
            </w:r>
          </w:p>
          <w:p w14:paraId="7D399D19" w14:textId="77777777" w:rsidR="00E03711" w:rsidRPr="009A2C2A" w:rsidRDefault="00E03711" w:rsidP="005115F2">
            <w:pPr>
              <w:pStyle w:val="Guide-NormalBulletpoints"/>
              <w:numPr>
                <w:ilvl w:val="0"/>
                <w:numId w:val="148"/>
              </w:numPr>
              <w:rPr>
                <w:lang w:val="sl-SI"/>
              </w:rPr>
            </w:pPr>
            <w:r w:rsidRPr="00860232">
              <w:rPr>
                <w:b/>
                <w:bCs/>
                <w:lang w:val="sl-SI"/>
              </w:rPr>
              <w:t>skladnost</w:t>
            </w:r>
            <w:r>
              <w:rPr>
                <w:lang w:val="sl-SI"/>
              </w:rPr>
              <w:t xml:space="preserve"> </w:t>
            </w:r>
            <w:r w:rsidRPr="009A2C2A">
              <w:rPr>
                <w:lang w:val="sl-SI"/>
              </w:rPr>
              <w:t>ciljev projekta</w:t>
            </w:r>
            <w:r>
              <w:rPr>
                <w:lang w:val="sl-SI"/>
              </w:rPr>
              <w:t xml:space="preserve"> in</w:t>
            </w:r>
            <w:r w:rsidRPr="009A2C2A">
              <w:rPr>
                <w:lang w:val="sl-SI"/>
              </w:rPr>
              <w:t xml:space="preserve"> aktivnosti;</w:t>
            </w:r>
          </w:p>
          <w:p w14:paraId="7D399D1A" w14:textId="77777777" w:rsidR="00E03711" w:rsidRPr="009A2C2A" w:rsidRDefault="00E03711" w:rsidP="005115F2">
            <w:pPr>
              <w:pStyle w:val="Guide-NormalBulletpoints"/>
              <w:numPr>
                <w:ilvl w:val="0"/>
                <w:numId w:val="148"/>
              </w:numPr>
              <w:rPr>
                <w:lang w:val="sl-SI"/>
              </w:rPr>
            </w:pPr>
            <w:r w:rsidRPr="009A2C2A">
              <w:rPr>
                <w:lang w:val="sl-SI"/>
              </w:rPr>
              <w:t>kakovost</w:t>
            </w:r>
            <w:r>
              <w:rPr>
                <w:lang w:val="sl-SI"/>
              </w:rPr>
              <w:t>, novost</w:t>
            </w:r>
            <w:r w:rsidRPr="009A2C2A">
              <w:rPr>
                <w:lang w:val="sl-SI"/>
              </w:rPr>
              <w:t xml:space="preserve"> in izvedljivost </w:t>
            </w:r>
            <w:r>
              <w:rPr>
                <w:lang w:val="sl-SI"/>
              </w:rPr>
              <w:t xml:space="preserve">projekta samega ter izvedljivost </w:t>
            </w:r>
            <w:r w:rsidRPr="009A2C2A">
              <w:rPr>
                <w:lang w:val="sl-SI"/>
              </w:rPr>
              <w:t>predlagane metodologije.</w:t>
            </w:r>
          </w:p>
        </w:tc>
      </w:tr>
      <w:tr w:rsidR="00E03711" w:rsidRPr="00C60205" w14:paraId="7D399D1E" w14:textId="77777777" w:rsidTr="00CC02CC">
        <w:trPr>
          <w:trHeight w:val="170"/>
        </w:trPr>
        <w:tc>
          <w:tcPr>
            <w:tcW w:w="825" w:type="pct"/>
            <w:tcBorders>
              <w:bottom w:val="dashed" w:sz="4" w:space="0" w:color="auto"/>
            </w:tcBorders>
            <w:shd w:val="clear" w:color="auto" w:fill="FFFFFF"/>
            <w:vAlign w:val="center"/>
          </w:tcPr>
          <w:p w14:paraId="7D399D1C" w14:textId="77777777" w:rsidR="00E03711" w:rsidRPr="00F769E0" w:rsidRDefault="00E03711" w:rsidP="00395C0C">
            <w:pPr>
              <w:pStyle w:val="GUIDE-NORMAL"/>
              <w:spacing w:before="60" w:after="60"/>
              <w:jc w:val="left"/>
              <w:rPr>
                <w:rFonts w:cs="Tahoma"/>
                <w:b/>
                <w:lang w:val="sl-SI" w:eastAsia="en-GB"/>
              </w:rPr>
            </w:pPr>
            <w:r w:rsidRPr="00F769E0">
              <w:rPr>
                <w:rFonts w:cs="Tahoma"/>
                <w:b/>
                <w:lang w:val="sl-SI" w:eastAsia="en-GB"/>
              </w:rPr>
              <w:t xml:space="preserve">Kakovost projektne skupine </w:t>
            </w:r>
            <w:r w:rsidRPr="00F769E0">
              <w:rPr>
                <w:rFonts w:cs="Tahoma"/>
                <w:b/>
                <w:lang w:val="sl-SI" w:eastAsia="en-GB"/>
              </w:rPr>
              <w:br/>
              <w:t>(največ 25 točk)</w:t>
            </w:r>
          </w:p>
        </w:tc>
        <w:tc>
          <w:tcPr>
            <w:tcW w:w="4175" w:type="pct"/>
            <w:tcBorders>
              <w:bottom w:val="dashed" w:sz="4" w:space="0" w:color="auto"/>
            </w:tcBorders>
            <w:shd w:val="clear" w:color="auto" w:fill="FFFFFF"/>
            <w:vAlign w:val="center"/>
          </w:tcPr>
          <w:p w14:paraId="7D399D1D" w14:textId="77777777" w:rsidR="00E03711" w:rsidRPr="001048FE" w:rsidRDefault="00E03711" w:rsidP="005115F2">
            <w:pPr>
              <w:pStyle w:val="Guide-NormalBulletpoints"/>
              <w:numPr>
                <w:ilvl w:val="0"/>
                <w:numId w:val="149"/>
              </w:numPr>
              <w:spacing w:before="60"/>
              <w:jc w:val="left"/>
              <w:rPr>
                <w:lang w:val="sl-SI"/>
              </w:rPr>
            </w:pPr>
            <w:r w:rsidRPr="001048FE">
              <w:rPr>
                <w:lang w:val="sl-SI"/>
              </w:rPr>
              <w:t>ustreznost</w:t>
            </w:r>
            <w:r>
              <w:rPr>
                <w:lang w:val="sl-SI"/>
              </w:rPr>
              <w:t xml:space="preserve"> in komplementarnost</w:t>
            </w:r>
            <w:r w:rsidRPr="001048FE">
              <w:rPr>
                <w:lang w:val="sl-SI"/>
              </w:rPr>
              <w:t xml:space="preserve"> profila in strokovnega znanja ključnega osebja </w:t>
            </w:r>
            <w:r>
              <w:rPr>
                <w:lang w:val="sl-SI"/>
              </w:rPr>
              <w:t>pri aktivnostih, predlaganih v projektu</w:t>
            </w:r>
            <w:r w:rsidRPr="001048FE">
              <w:rPr>
                <w:lang w:val="sl-SI"/>
              </w:rPr>
              <w:t>– na akademskem in neakademskem področju</w:t>
            </w:r>
            <w:r>
              <w:rPr>
                <w:lang w:val="sl-SI"/>
              </w:rPr>
              <w:t>, kjer je to ustrezno</w:t>
            </w:r>
            <w:r w:rsidRPr="001048FE">
              <w:rPr>
                <w:lang w:val="sl-SI"/>
              </w:rPr>
              <w:t>.</w:t>
            </w:r>
          </w:p>
        </w:tc>
      </w:tr>
      <w:tr w:rsidR="00E03711" w:rsidRPr="00C60205" w14:paraId="7D399D2E" w14:textId="77777777" w:rsidTr="00CC02CC">
        <w:trPr>
          <w:trHeight w:val="170"/>
        </w:trPr>
        <w:tc>
          <w:tcPr>
            <w:tcW w:w="825" w:type="pct"/>
            <w:tcBorders>
              <w:top w:val="dashed" w:sz="4" w:space="0" w:color="auto"/>
              <w:bottom w:val="single" w:sz="4" w:space="0" w:color="auto"/>
            </w:tcBorders>
            <w:shd w:val="clear" w:color="auto" w:fill="FFFFFF"/>
            <w:vAlign w:val="center"/>
          </w:tcPr>
          <w:p w14:paraId="7D399D1F" w14:textId="77777777" w:rsidR="00E03711" w:rsidRPr="00F769E0" w:rsidRDefault="00E03711" w:rsidP="00395C0C">
            <w:pPr>
              <w:pStyle w:val="GUIDE-NORMAL"/>
              <w:spacing w:before="60" w:after="60"/>
              <w:jc w:val="left"/>
              <w:rPr>
                <w:rFonts w:cs="Tahoma"/>
                <w:b/>
                <w:lang w:val="sl-SI" w:eastAsia="en-GB"/>
              </w:rPr>
            </w:pPr>
            <w:r w:rsidRPr="00F769E0">
              <w:rPr>
                <w:rFonts w:cs="Tahoma"/>
                <w:b/>
                <w:lang w:val="sl-SI" w:eastAsia="en-GB"/>
              </w:rPr>
              <w:t>Učinek in razširjanje (največ 25 točk)</w:t>
            </w:r>
          </w:p>
        </w:tc>
        <w:tc>
          <w:tcPr>
            <w:tcW w:w="4175" w:type="pct"/>
            <w:tcBorders>
              <w:top w:val="dashed" w:sz="4" w:space="0" w:color="auto"/>
              <w:bottom w:val="single" w:sz="4" w:space="0" w:color="auto"/>
            </w:tcBorders>
            <w:shd w:val="clear" w:color="auto" w:fill="FFFFFF"/>
            <w:vAlign w:val="center"/>
          </w:tcPr>
          <w:p w14:paraId="7D399D20" w14:textId="77777777" w:rsidR="00E03711" w:rsidRPr="001048FE" w:rsidRDefault="00E03711" w:rsidP="005115F2">
            <w:pPr>
              <w:pStyle w:val="Guide-NormalBulletpoints"/>
              <w:numPr>
                <w:ilvl w:val="0"/>
                <w:numId w:val="150"/>
              </w:numPr>
              <w:spacing w:before="60"/>
              <w:jc w:val="left"/>
              <w:rPr>
                <w:lang w:val="sl-SI"/>
              </w:rPr>
            </w:pPr>
            <w:r w:rsidRPr="00860232">
              <w:rPr>
                <w:b/>
                <w:bCs/>
                <w:lang w:val="sl-SI"/>
              </w:rPr>
              <w:t>pričakovan</w:t>
            </w:r>
            <w:r>
              <w:rPr>
                <w:b/>
                <w:bCs/>
                <w:lang w:val="sl-SI"/>
              </w:rPr>
              <w:t>i</w:t>
            </w:r>
            <w:r w:rsidRPr="00860232">
              <w:rPr>
                <w:b/>
                <w:bCs/>
                <w:lang w:val="sl-SI"/>
              </w:rPr>
              <w:t xml:space="preserve"> učinek</w:t>
            </w:r>
            <w:r w:rsidRPr="001048FE">
              <w:rPr>
                <w:lang w:val="sl-SI"/>
              </w:rPr>
              <w:t xml:space="preserve"> projekta</w:t>
            </w:r>
            <w:r>
              <w:rPr>
                <w:lang w:val="sl-SI"/>
              </w:rPr>
              <w:t xml:space="preserve"> v smislu dolgoročnih učinkov</w:t>
            </w:r>
            <w:r w:rsidRPr="001048FE">
              <w:rPr>
                <w:lang w:val="sl-SI"/>
              </w:rPr>
              <w:t>:</w:t>
            </w:r>
          </w:p>
          <w:p w14:paraId="7D399D21" w14:textId="77777777" w:rsidR="00E03711" w:rsidRPr="001048FE" w:rsidRDefault="00E03711" w:rsidP="005115F2">
            <w:pPr>
              <w:pStyle w:val="Guide-ListDash"/>
              <w:numPr>
                <w:ilvl w:val="1"/>
                <w:numId w:val="153"/>
              </w:numPr>
              <w:spacing w:before="60" w:after="60"/>
              <w:jc w:val="left"/>
              <w:rPr>
                <w:lang w:val="sl-SI"/>
              </w:rPr>
            </w:pPr>
            <w:r w:rsidRPr="001048FE">
              <w:rPr>
                <w:lang w:val="sl-SI"/>
              </w:rPr>
              <w:t xml:space="preserve">na institucijo, ki </w:t>
            </w:r>
            <w:r>
              <w:rPr>
                <w:lang w:val="sl-SI"/>
              </w:rPr>
              <w:t xml:space="preserve">gosti </w:t>
            </w:r>
            <w:r w:rsidRPr="001048FE">
              <w:rPr>
                <w:lang w:val="sl-SI"/>
              </w:rPr>
              <w:t>ukrep Jean Monnet;</w:t>
            </w:r>
          </w:p>
          <w:p w14:paraId="7D399D22" w14:textId="77777777" w:rsidR="00E03711" w:rsidRPr="001048FE" w:rsidRDefault="00E03711" w:rsidP="005115F2">
            <w:pPr>
              <w:pStyle w:val="Guide-ListDash"/>
              <w:numPr>
                <w:ilvl w:val="1"/>
                <w:numId w:val="153"/>
              </w:numPr>
              <w:spacing w:before="60" w:after="60"/>
              <w:jc w:val="left"/>
              <w:rPr>
                <w:lang w:val="sl-SI"/>
              </w:rPr>
            </w:pPr>
            <w:r w:rsidRPr="001048FE">
              <w:rPr>
                <w:lang w:val="sl-SI"/>
              </w:rPr>
              <w:t>na študente in učeče se, ki imajo koristi od ukrepa Jean Monnet;</w:t>
            </w:r>
          </w:p>
          <w:p w14:paraId="7D399D23" w14:textId="77777777" w:rsidR="00E03711" w:rsidRPr="001048FE" w:rsidRDefault="00E03711" w:rsidP="005115F2">
            <w:pPr>
              <w:pStyle w:val="Guide-ListDash"/>
              <w:numPr>
                <w:ilvl w:val="1"/>
                <w:numId w:val="153"/>
              </w:numPr>
              <w:spacing w:before="60" w:after="60"/>
              <w:jc w:val="left"/>
              <w:rPr>
                <w:lang w:val="sl-SI"/>
              </w:rPr>
            </w:pPr>
            <w:r w:rsidRPr="001048FE">
              <w:rPr>
                <w:lang w:val="sl-SI"/>
              </w:rPr>
              <w:t>na druge organizacije in posameznike, ki so vključeni na lokalni, regionalni, nacionalni in/ali evropski ravni</w:t>
            </w:r>
            <w:r>
              <w:rPr>
                <w:lang w:val="sl-SI"/>
              </w:rPr>
              <w:t>.</w:t>
            </w:r>
          </w:p>
          <w:p w14:paraId="7D399D24" w14:textId="77777777" w:rsidR="00E03711" w:rsidRDefault="00E03711" w:rsidP="005115F2">
            <w:pPr>
              <w:pStyle w:val="Guide-NormalBulletpoints"/>
              <w:numPr>
                <w:ilvl w:val="0"/>
                <w:numId w:val="150"/>
              </w:numPr>
              <w:spacing w:before="60"/>
              <w:jc w:val="left"/>
              <w:rPr>
                <w:lang w:val="sl-SI"/>
              </w:rPr>
            </w:pPr>
            <w:r w:rsidRPr="00860232">
              <w:rPr>
                <w:b/>
                <w:bCs/>
                <w:lang w:val="sl-SI"/>
              </w:rPr>
              <w:t>ustreznost in kakovost ukrepov</w:t>
            </w:r>
            <w:r w:rsidRPr="001048FE">
              <w:rPr>
                <w:lang w:val="sl-SI"/>
              </w:rPr>
              <w:t>, katerih cilj je razširjanje rezultatov aktivnosti na instituciji, ki gosti ukrep Jean Monnet, in drugod;</w:t>
            </w:r>
          </w:p>
          <w:p w14:paraId="7D399D25" w14:textId="77777777" w:rsidR="00E03711" w:rsidRDefault="00E03711" w:rsidP="005115F2">
            <w:pPr>
              <w:pStyle w:val="Guide-NormalBulletpoints"/>
              <w:numPr>
                <w:ilvl w:val="1"/>
                <w:numId w:val="323"/>
              </w:numPr>
              <w:spacing w:before="60"/>
              <w:jc w:val="left"/>
              <w:rPr>
                <w:lang w:val="sl-SI"/>
              </w:rPr>
            </w:pPr>
            <w:r>
              <w:rPr>
                <w:lang w:val="sl-SI"/>
              </w:rPr>
              <w:t>širjenje novic;</w:t>
            </w:r>
          </w:p>
          <w:p w14:paraId="7D399D26" w14:textId="77777777" w:rsidR="00E03711" w:rsidRDefault="00E03711" w:rsidP="005115F2">
            <w:pPr>
              <w:pStyle w:val="Guide-NormalBulletpoints"/>
              <w:numPr>
                <w:ilvl w:val="1"/>
                <w:numId w:val="323"/>
              </w:numPr>
              <w:spacing w:before="60"/>
              <w:jc w:val="left"/>
              <w:rPr>
                <w:lang w:val="sl-SI"/>
              </w:rPr>
            </w:pPr>
            <w:r>
              <w:rPr>
                <w:lang w:val="sl-SI"/>
              </w:rPr>
              <w:t>ozaveščanje o projektih in rezultatih, krepitev vidnosti udeležencev in organizacij;</w:t>
            </w:r>
          </w:p>
          <w:p w14:paraId="7D399D27" w14:textId="77777777" w:rsidR="00E03711" w:rsidRDefault="00E03711" w:rsidP="005115F2">
            <w:pPr>
              <w:pStyle w:val="Guide-NormalBulletpoints"/>
              <w:numPr>
                <w:ilvl w:val="1"/>
                <w:numId w:val="323"/>
              </w:numPr>
              <w:spacing w:before="60"/>
              <w:jc w:val="left"/>
              <w:rPr>
                <w:lang w:val="sl-SI"/>
              </w:rPr>
            </w:pPr>
            <w:r>
              <w:rPr>
                <w:lang w:val="sl-SI"/>
              </w:rPr>
              <w:t>navezovanje stikov s skupinami zunaj institucij visokošolskega izobraževanja;</w:t>
            </w:r>
          </w:p>
          <w:p w14:paraId="7D399D28" w14:textId="77777777" w:rsidR="00E03711" w:rsidRPr="003B5459" w:rsidRDefault="00E03711" w:rsidP="005115F2">
            <w:pPr>
              <w:pStyle w:val="Guide-NormalBulletpoints"/>
              <w:numPr>
                <w:ilvl w:val="1"/>
                <w:numId w:val="323"/>
              </w:numPr>
              <w:spacing w:before="60"/>
              <w:jc w:val="left"/>
              <w:rPr>
                <w:lang w:val="sl-SI"/>
              </w:rPr>
            </w:pPr>
            <w:r>
              <w:rPr>
                <w:lang w:val="sl-SI"/>
              </w:rPr>
              <w:t>prenosljivost in prevod v nove politike ter izboljšane prakse.</w:t>
            </w:r>
          </w:p>
          <w:p w14:paraId="7D399D29" w14:textId="77777777" w:rsidR="00E03711" w:rsidRDefault="00E03711" w:rsidP="005115F2">
            <w:pPr>
              <w:pStyle w:val="Guide-NormalBulletpoints"/>
              <w:numPr>
                <w:ilvl w:val="0"/>
                <w:numId w:val="150"/>
              </w:numPr>
              <w:spacing w:before="60"/>
              <w:jc w:val="left"/>
              <w:rPr>
                <w:lang w:val="sl-SI"/>
              </w:rPr>
            </w:pPr>
            <w:r w:rsidRPr="004E4C36">
              <w:rPr>
                <w:b/>
                <w:bCs/>
                <w:lang w:val="sl-SI"/>
              </w:rPr>
              <w:t>v kolikšni meri</w:t>
            </w:r>
            <w:r>
              <w:rPr>
                <w:lang w:val="sl-SI"/>
              </w:rPr>
              <w:t xml:space="preserve"> bodo predvidena orodja za razširjanje dosegla ciljno občinstvo preko:</w:t>
            </w:r>
          </w:p>
          <w:p w14:paraId="7D399D2A" w14:textId="77777777" w:rsidR="00E03711" w:rsidRDefault="00E03711" w:rsidP="005115F2">
            <w:pPr>
              <w:pStyle w:val="Guide-NormalBulletpoints"/>
              <w:numPr>
                <w:ilvl w:val="1"/>
                <w:numId w:val="324"/>
              </w:numPr>
              <w:spacing w:before="60"/>
              <w:jc w:val="left"/>
              <w:rPr>
                <w:lang w:val="sl-SI"/>
              </w:rPr>
            </w:pPr>
            <w:r>
              <w:rPr>
                <w:lang w:val="sl-SI"/>
              </w:rPr>
              <w:t>izpostavljenosti medijem (vključno z družbenimi mediji, publikacijami itd.);</w:t>
            </w:r>
          </w:p>
          <w:p w14:paraId="7D399D2B" w14:textId="77777777" w:rsidR="00E03711" w:rsidRDefault="00E03711" w:rsidP="005115F2">
            <w:pPr>
              <w:pStyle w:val="Guide-NormalBulletpoints"/>
              <w:numPr>
                <w:ilvl w:val="1"/>
                <w:numId w:val="324"/>
              </w:numPr>
              <w:spacing w:before="60"/>
              <w:jc w:val="left"/>
              <w:rPr>
                <w:lang w:val="sl-SI"/>
              </w:rPr>
            </w:pPr>
            <w:r>
              <w:rPr>
                <w:lang w:val="sl-SI"/>
              </w:rPr>
              <w:t>prireditev;</w:t>
            </w:r>
          </w:p>
          <w:p w14:paraId="7D399D2C" w14:textId="77777777" w:rsidR="00E03711" w:rsidRDefault="00E03711" w:rsidP="005115F2">
            <w:pPr>
              <w:pStyle w:val="Guide-NormalBulletpoints"/>
              <w:numPr>
                <w:ilvl w:val="1"/>
                <w:numId w:val="324"/>
              </w:numPr>
              <w:spacing w:before="60"/>
              <w:jc w:val="left"/>
              <w:rPr>
                <w:lang w:val="sl-SI"/>
              </w:rPr>
            </w:pPr>
            <w:r w:rsidRPr="009B07B9">
              <w:rPr>
                <w:lang w:val="sl-SI"/>
              </w:rPr>
              <w:t xml:space="preserve">tečajev usposabljanja; </w:t>
            </w:r>
          </w:p>
          <w:p w14:paraId="7D399D2D" w14:textId="77777777" w:rsidR="00E03711" w:rsidRPr="009B07B9" w:rsidRDefault="00E03711" w:rsidP="005115F2">
            <w:pPr>
              <w:pStyle w:val="Guide-NormalBulletpoints"/>
              <w:numPr>
                <w:ilvl w:val="1"/>
                <w:numId w:val="324"/>
              </w:numPr>
              <w:spacing w:before="60"/>
              <w:jc w:val="left"/>
              <w:rPr>
                <w:lang w:val="sl-SI"/>
              </w:rPr>
            </w:pPr>
            <w:r w:rsidRPr="009B07B9">
              <w:rPr>
                <w:lang w:val="sl-SI"/>
              </w:rPr>
              <w:t>uporabe novih tehnologij (večpredstavnostna orodja), vključno z odprtimi izobraževalnimi viri (OER).</w:t>
            </w:r>
          </w:p>
        </w:tc>
      </w:tr>
    </w:tbl>
    <w:p w14:paraId="7D399D2F" w14:textId="77777777" w:rsidR="00E03711" w:rsidRPr="001048FE" w:rsidRDefault="00E03711" w:rsidP="004842C9">
      <w:pPr>
        <w:pStyle w:val="GUIDE-NORMAL"/>
        <w:rPr>
          <w:lang w:val="sl-SI"/>
        </w:rPr>
      </w:pPr>
      <w:r w:rsidRPr="001048FE">
        <w:rPr>
          <w:lang w:val="sl-SI"/>
        </w:rPr>
        <w:t>Za upoštevanje pri dodeljevanju sredstev morajo predlogi doseči vsaj 60 točk. Poleg tega morajo doseči vsaj 13 točk v vsaki od navedenih kategorij meril za dodelitev.</w:t>
      </w:r>
    </w:p>
    <w:p w14:paraId="7D399D30" w14:textId="77777777" w:rsidR="00E03711" w:rsidRPr="001048FE" w:rsidRDefault="00E03711" w:rsidP="00BC3F58">
      <w:pPr>
        <w:pStyle w:val="Guide-Heading4"/>
        <w:rPr>
          <w:lang w:val="sl-SI"/>
        </w:rPr>
      </w:pPr>
      <w:bookmarkStart w:id="291" w:name="_Toc527401173"/>
      <w:r w:rsidRPr="001048FE">
        <w:rPr>
          <w:lang w:val="sl-SI"/>
        </w:rPr>
        <w:t>Kaj je še treba vedeti o modulu Jean Monnet?</w:t>
      </w:r>
      <w:bookmarkEnd w:id="291"/>
    </w:p>
    <w:p w14:paraId="7D399D31" w14:textId="77777777" w:rsidR="00E03711" w:rsidRPr="001048FE" w:rsidRDefault="00E03711" w:rsidP="00BC3F58">
      <w:pPr>
        <w:pStyle w:val="Guide-Heading5"/>
        <w:rPr>
          <w:lang w:val="sl-SI"/>
        </w:rPr>
      </w:pPr>
      <w:r w:rsidRPr="001048FE">
        <w:rPr>
          <w:lang w:val="sl-SI"/>
        </w:rPr>
        <w:t>Učinek in razširjanje</w:t>
      </w:r>
    </w:p>
    <w:p w14:paraId="7D399D32" w14:textId="77777777" w:rsidR="00E03711" w:rsidRPr="001048FE" w:rsidRDefault="00E03711" w:rsidP="004842C9">
      <w:pPr>
        <w:pStyle w:val="GUIDE-NORMAL"/>
        <w:rPr>
          <w:lang w:val="sl-SI"/>
        </w:rPr>
      </w:pPr>
      <w:r w:rsidRPr="001048FE">
        <w:rPr>
          <w:lang w:val="sl-SI"/>
        </w:rPr>
        <w:t>Moduli Jean Monnet morajo razširjati in uporabiti rezultate organiziranih aktivnosti poučevanja in raziskovanja tudi zunaj kroga neposredno vključenih deležnikov. To bo znatno okrepilo učinek in prispevalo k sistemski spremembi.</w:t>
      </w:r>
    </w:p>
    <w:p w14:paraId="7D399D33" w14:textId="77777777" w:rsidR="00E03711" w:rsidRPr="001048FE" w:rsidRDefault="00E03711" w:rsidP="004842C9">
      <w:pPr>
        <w:pStyle w:val="GUIDE-NORMAL"/>
        <w:rPr>
          <w:lang w:val="sl-SI"/>
        </w:rPr>
      </w:pPr>
      <w:r w:rsidRPr="001048FE">
        <w:rPr>
          <w:lang w:val="sl-SI"/>
        </w:rPr>
        <w:t>Za okrepitev učinka bi v svoje aktivnosti razširjanja morala vključiti ustvarjanje in zagotavljanje prosto dostopnih učnih virov (PDUV) ter aktivnosti odprtega izobraževanja za odzivanje na tehnološki napredek. To bo spodbudilo bolj prilagodljive in ustvarjalne načine učenja ter doseglo vedno večje število študentov, strokovnjakov, oblikovalcev politik in drugih zainteresiranih skupin.</w:t>
      </w:r>
    </w:p>
    <w:p w14:paraId="7D399D34" w14:textId="77777777" w:rsidR="00E03711" w:rsidRPr="001048FE" w:rsidRDefault="00E03711" w:rsidP="004842C9">
      <w:pPr>
        <w:pStyle w:val="GUIDE-NORMAL"/>
        <w:rPr>
          <w:lang w:val="sl-SI"/>
        </w:rPr>
      </w:pPr>
      <w:r w:rsidRPr="001048FE">
        <w:rPr>
          <w:lang w:val="sl-SI"/>
        </w:rPr>
        <w:t>Vsi koordinatorji modulov Jean Monnet bodo morali zagotoviti posodabljanje svojega razdelka v spletnem orodju za program Erasmus+, kjer bodo na voljo vse informacije o aktivnostih programa Jean Monnet. Koordinatorji se bodo močno spodbujali k uporabi ustreznih obstoječih platform in orodij (tj. imenik projektov Jean Monnet, virtualna skupnost Jean Monnet). Na podlagi teh razdelkov, ki so del splošnega orodja informacijske tehnologije za Erasmus+, bo širša javnost obveščena o institucijah in njihovih programih Jean Monnet. Prejemniki nepovratnih sredstev bodo morali zagotoviti redno posodabljanje orodja z rezultati svojega dela.</w:t>
      </w:r>
    </w:p>
    <w:p w14:paraId="7D399D35" w14:textId="77777777" w:rsidR="00E03711" w:rsidRPr="001048FE" w:rsidRDefault="00E03711" w:rsidP="004842C9">
      <w:pPr>
        <w:pStyle w:val="GUIDE-NORMAL"/>
        <w:rPr>
          <w:lang w:val="sl-SI"/>
        </w:rPr>
      </w:pPr>
      <w:r w:rsidRPr="001048FE">
        <w:rPr>
          <w:lang w:val="sl-SI"/>
        </w:rPr>
        <w:t>Koordinatorje modulov Jean Monnet se spodbuja, da:</w:t>
      </w:r>
    </w:p>
    <w:p w14:paraId="7D399D36" w14:textId="77777777" w:rsidR="00E03711" w:rsidRPr="001048FE" w:rsidRDefault="00E03711" w:rsidP="005115F2">
      <w:pPr>
        <w:pStyle w:val="Guide-NormalBulletpoints"/>
        <w:numPr>
          <w:ilvl w:val="0"/>
          <w:numId w:val="328"/>
        </w:numPr>
        <w:rPr>
          <w:lang w:val="sl-SI"/>
        </w:rPr>
      </w:pPr>
      <w:r w:rsidRPr="001048FE">
        <w:rPr>
          <w:lang w:val="sl-SI"/>
        </w:rPr>
        <w:t>v obdobju dodelitve nepovratnih sredstev objavijo vsaj en članek, ki ga pregledajo strokovnjaki;</w:t>
      </w:r>
    </w:p>
    <w:p w14:paraId="7D399D37" w14:textId="77777777" w:rsidR="00E03711" w:rsidRPr="001048FE" w:rsidRDefault="00E03711" w:rsidP="005115F2">
      <w:pPr>
        <w:pStyle w:val="Guide-NormalBulletpoints"/>
        <w:numPr>
          <w:ilvl w:val="0"/>
          <w:numId w:val="328"/>
        </w:numPr>
        <w:rPr>
          <w:lang w:val="sl-SI"/>
        </w:rPr>
      </w:pPr>
      <w:r w:rsidRPr="001048FE">
        <w:rPr>
          <w:lang w:val="sl-SI"/>
        </w:rPr>
        <w:t xml:space="preserve">se udeležijo dogodkov razširjanja in informativnih dogodkov na nacionalni in evropski ravni; </w:t>
      </w:r>
    </w:p>
    <w:p w14:paraId="7D399D38" w14:textId="77777777" w:rsidR="00E03711" w:rsidRPr="001048FE" w:rsidRDefault="00E03711" w:rsidP="005115F2">
      <w:pPr>
        <w:pStyle w:val="Guide-NormalBulletpoints"/>
        <w:numPr>
          <w:ilvl w:val="0"/>
          <w:numId w:val="328"/>
        </w:numPr>
        <w:rPr>
          <w:lang w:val="sl-SI"/>
        </w:rPr>
      </w:pPr>
      <w:r w:rsidRPr="001048FE">
        <w:rPr>
          <w:lang w:val="sl-SI"/>
        </w:rPr>
        <w:t>organizirajo dogodke (predavanja, seminarje, delavnice itd.) z oblikovalci politik na lokalni (npr. župani in svetniki), regionalni in nacionalni ravni ter tudi z organizirano civilno družbo in šolami;</w:t>
      </w:r>
    </w:p>
    <w:p w14:paraId="7D399D39" w14:textId="77777777" w:rsidR="00E03711" w:rsidRPr="001048FE" w:rsidRDefault="00E03711" w:rsidP="005115F2">
      <w:pPr>
        <w:pStyle w:val="Guide-NormalBulletpoints"/>
        <w:numPr>
          <w:ilvl w:val="0"/>
          <w:numId w:val="328"/>
        </w:numPr>
        <w:rPr>
          <w:lang w:val="sl-SI"/>
        </w:rPr>
      </w:pPr>
      <w:r w:rsidRPr="001048FE">
        <w:rPr>
          <w:lang w:val="sl-SI"/>
        </w:rPr>
        <w:t>razširjajo rezultate svojih aktivnosti z organizacijo seminarjev ali predavanj, ki so namenjeni in prilagojeni za najširšo javnost in predstavnike civilne družbe;</w:t>
      </w:r>
    </w:p>
    <w:p w14:paraId="7D399D3A" w14:textId="77777777" w:rsidR="00E03711" w:rsidRPr="001048FE" w:rsidRDefault="00E03711" w:rsidP="005115F2">
      <w:pPr>
        <w:pStyle w:val="Guide-NormalBulletpoints"/>
        <w:numPr>
          <w:ilvl w:val="0"/>
          <w:numId w:val="328"/>
        </w:numPr>
        <w:rPr>
          <w:lang w:val="sl-SI"/>
        </w:rPr>
      </w:pPr>
      <w:r w:rsidRPr="001048FE">
        <w:rPr>
          <w:lang w:val="sl-SI"/>
        </w:rPr>
        <w:t>se povezujejo z drugimi koordinatorji modulov, centri odličnosti in katedrami Jean Monnet ter podprtimi institucijami;</w:t>
      </w:r>
    </w:p>
    <w:p w14:paraId="7D399D3B" w14:textId="77777777" w:rsidR="00E03711" w:rsidRPr="001048FE" w:rsidRDefault="00E03711" w:rsidP="005115F2">
      <w:pPr>
        <w:pStyle w:val="Guide-NormalBulletpoints"/>
        <w:numPr>
          <w:ilvl w:val="0"/>
          <w:numId w:val="328"/>
        </w:numPr>
        <w:rPr>
          <w:lang w:val="sl-SI"/>
        </w:rPr>
      </w:pPr>
      <w:r w:rsidRPr="001048FE">
        <w:rPr>
          <w:lang w:val="sl-SI"/>
        </w:rPr>
        <w:t>uporabljajo prosto dostopne učne vire (PDUV), objavljajo povzetke, vsebino in razpored svojih aktivnosti ter pričakovane rezultate.</w:t>
      </w:r>
    </w:p>
    <w:p w14:paraId="7D399D3C" w14:textId="77777777" w:rsidR="00E03711" w:rsidRPr="001048FE" w:rsidRDefault="00E03711" w:rsidP="00BC3F58">
      <w:pPr>
        <w:pStyle w:val="Guide-Heading4"/>
        <w:rPr>
          <w:lang w:val="sl-SI"/>
        </w:rPr>
        <w:sectPr w:rsidR="00E03711" w:rsidRPr="001048FE" w:rsidSect="00E15ED3">
          <w:headerReference w:type="even" r:id="rId118"/>
          <w:headerReference w:type="default" r:id="rId119"/>
          <w:endnotePr>
            <w:numFmt w:val="decimal"/>
          </w:endnotePr>
          <w:pgSz w:w="11910" w:h="16840" w:code="9"/>
          <w:pgMar w:top="1134" w:right="1418" w:bottom="1134" w:left="1418" w:header="284" w:footer="567" w:gutter="0"/>
          <w:cols w:space="720"/>
          <w:docGrid w:linePitch="326"/>
        </w:sectPr>
      </w:pPr>
    </w:p>
    <w:p w14:paraId="7D399D3D" w14:textId="77777777" w:rsidR="00E03711" w:rsidRPr="001048FE" w:rsidRDefault="00E03711" w:rsidP="00BC3F58">
      <w:pPr>
        <w:pStyle w:val="Guide-Heading4"/>
        <w:rPr>
          <w:lang w:val="sl-SI"/>
        </w:rPr>
      </w:pPr>
      <w:bookmarkStart w:id="292" w:name="_Toc527401174"/>
      <w:r w:rsidRPr="001048FE">
        <w:rPr>
          <w:lang w:val="sl-SI"/>
        </w:rPr>
        <w:t>Kakšna so pravila za dodelitev sredstev?</w:t>
      </w:r>
      <w:bookmarkEnd w:id="292"/>
    </w:p>
    <w:p w14:paraId="7D399D3E" w14:textId="77777777" w:rsidR="00E03711" w:rsidRPr="001048FE" w:rsidRDefault="00E03711" w:rsidP="004842C9">
      <w:pPr>
        <w:pStyle w:val="GUIDE-NORMAL"/>
        <w:rPr>
          <w:lang w:val="sl-SI"/>
        </w:rPr>
      </w:pPr>
      <w:r w:rsidRPr="001048FE">
        <w:rPr>
          <w:lang w:val="sl-SI"/>
        </w:rPr>
        <w:t>Najvišja vrednost dodeljenih sredstev je 30 000 EUR in lahko predstavlja največ 75 % skupnih stroškov modula Jean Monnet.</w:t>
      </w:r>
    </w:p>
    <w:p w14:paraId="7D399D3F" w14:textId="77777777" w:rsidR="00E03711" w:rsidRPr="001048FE" w:rsidRDefault="00E03711" w:rsidP="00AC50A8">
      <w:pPr>
        <w:pStyle w:val="GUIDE-NORMAL"/>
        <w:rPr>
          <w:lang w:val="sl-SI"/>
        </w:rPr>
      </w:pPr>
      <w:r w:rsidRPr="001048FE">
        <w:rPr>
          <w:lang w:val="sl-SI"/>
        </w:rPr>
        <w:t>Za dodeljevanje nepovratnih sredstev v okviru aktivnosti programa Jean Monnet se uporablja sistem, ki temelji na kombinaciji lestvic stroškov na enoto in pavšalnega financiranja. Ta sistem se določi na podlagi izračunanega nacionalnega stroška poučevanja na uro.</w:t>
      </w:r>
    </w:p>
    <w:p w14:paraId="7D399D40" w14:textId="77777777" w:rsidR="00E03711" w:rsidRPr="001048FE" w:rsidRDefault="00E03711" w:rsidP="00AC50A8">
      <w:pPr>
        <w:pStyle w:val="GUIDE-NORMAL"/>
        <w:rPr>
          <w:lang w:val="sl-SI"/>
        </w:rPr>
      </w:pPr>
      <w:r w:rsidRPr="001048FE">
        <w:rPr>
          <w:lang w:val="sl-SI"/>
        </w:rPr>
        <w:t xml:space="preserve">Uporabi se naslednja metoda: </w:t>
      </w:r>
    </w:p>
    <w:p w14:paraId="7D399D41" w14:textId="77777777" w:rsidR="00E03711" w:rsidRPr="001048FE" w:rsidRDefault="00E03711" w:rsidP="005115F2">
      <w:pPr>
        <w:pStyle w:val="Guide-NormalBulletpoints"/>
        <w:numPr>
          <w:ilvl w:val="0"/>
          <w:numId w:val="329"/>
        </w:numPr>
        <w:rPr>
          <w:lang w:val="sl-SI"/>
        </w:rPr>
      </w:pPr>
      <w:r w:rsidRPr="001048FE">
        <w:rPr>
          <w:b/>
          <w:lang w:val="sl-SI"/>
        </w:rPr>
        <w:t>lestvica stroškov na enoto za poučevanje:</w:t>
      </w:r>
      <w:r w:rsidRPr="001048FE">
        <w:rPr>
          <w:lang w:val="sl-SI"/>
        </w:rPr>
        <w:t xml:space="preserve"> izračunani nacionalni strošek na enoto na uro se pomnoži s številom ur poučevanja;</w:t>
      </w:r>
    </w:p>
    <w:p w14:paraId="7D399D42" w14:textId="77777777" w:rsidR="00E03711" w:rsidRPr="001048FE" w:rsidRDefault="00E03711" w:rsidP="005115F2">
      <w:pPr>
        <w:pStyle w:val="Guide-NormalBulletpoints"/>
        <w:numPr>
          <w:ilvl w:val="0"/>
          <w:numId w:val="329"/>
        </w:numPr>
        <w:rPr>
          <w:lang w:val="sl-SI"/>
        </w:rPr>
      </w:pPr>
      <w:r w:rsidRPr="001048FE">
        <w:rPr>
          <w:b/>
          <w:lang w:val="sl-SI"/>
        </w:rPr>
        <w:t xml:space="preserve">dodatno pavšalno financiranje: </w:t>
      </w:r>
      <w:r w:rsidRPr="001048FE">
        <w:rPr>
          <w:lang w:val="sl-SI"/>
        </w:rPr>
        <w:t>k navedeni osnovi stroškov na enoto se prišteje dodatnih 40 % za modul Jean Monnet.</w:t>
      </w:r>
    </w:p>
    <w:p w14:paraId="7D399D43" w14:textId="77777777" w:rsidR="00E03711" w:rsidRPr="001048FE" w:rsidRDefault="00E03711" w:rsidP="004842C9">
      <w:pPr>
        <w:pStyle w:val="GUIDE-NORMAL"/>
        <w:rPr>
          <w:lang w:val="sl-SI"/>
        </w:rPr>
      </w:pPr>
      <w:r w:rsidRPr="001048FE">
        <w:rPr>
          <w:lang w:val="sl-SI"/>
        </w:rPr>
        <w:t>Končni znesek nepovratnih sredstev se nato izračuna tako, da se uporabi največ 75 % sredstev EU od skupnih izračunanih nepovratnih sredstev in spoštuje najvišja zgornja meja zneska nepovratnih sredstev za modul Jean Monnet (30 000 EUR).</w:t>
      </w:r>
    </w:p>
    <w:p w14:paraId="7D399D44" w14:textId="77777777" w:rsidR="00E03711" w:rsidRPr="001048FE" w:rsidRDefault="00E03711" w:rsidP="004842C9">
      <w:pPr>
        <w:pStyle w:val="GUIDE-NORMAL"/>
        <w:rPr>
          <w:lang w:val="sl-SI"/>
        </w:rPr>
      </w:pPr>
      <w:r w:rsidRPr="001048FE">
        <w:rPr>
          <w:lang w:val="sl-SI"/>
        </w:rPr>
        <w:t>Posamezni zneski, ki veljajo za module Jean Monnet, so navedeni v poglavju „Stroški na enoto za program Jean Monnet“ ob koncu poglavja o programu Jean Monnet v tem delu vodnika.</w:t>
      </w:r>
    </w:p>
    <w:p w14:paraId="7D399D45" w14:textId="77777777" w:rsidR="00E03711" w:rsidRDefault="00E03711">
      <w:pPr>
        <w:widowControl/>
        <w:suppressAutoHyphens w:val="0"/>
        <w:autoSpaceDN/>
        <w:textAlignment w:val="auto"/>
        <w:rPr>
          <w:lang w:val="sl-SI"/>
        </w:rPr>
        <w:sectPr w:rsidR="00E03711" w:rsidSect="00E15ED3">
          <w:endnotePr>
            <w:numFmt w:val="decimal"/>
          </w:endnotePr>
          <w:pgSz w:w="11910" w:h="16840" w:code="9"/>
          <w:pgMar w:top="1134" w:right="1418" w:bottom="1134" w:left="1418" w:header="284" w:footer="567" w:gutter="0"/>
          <w:cols w:space="720"/>
          <w:docGrid w:linePitch="326"/>
        </w:sectPr>
      </w:pPr>
      <w:bookmarkStart w:id="293" w:name="Chaires_Jean_Monnet"/>
      <w:bookmarkStart w:id="294" w:name="_bookmark49"/>
      <w:bookmarkEnd w:id="293"/>
      <w:bookmarkEnd w:id="294"/>
    </w:p>
    <w:p w14:paraId="7D399D46" w14:textId="77777777" w:rsidR="00E03711" w:rsidRDefault="00E03711">
      <w:pPr>
        <w:pStyle w:val="Guide-Heading3"/>
        <w:rPr>
          <w:lang w:val="sl-SI"/>
        </w:rPr>
      </w:pPr>
      <w:bookmarkStart w:id="295" w:name="_Toc527400926"/>
      <w:bookmarkStart w:id="296" w:name="_Toc527401175"/>
      <w:r w:rsidRPr="001048FE">
        <w:rPr>
          <w:lang w:val="sl-SI"/>
        </w:rPr>
        <w:t>Katedre Jean Monnet</w:t>
      </w:r>
      <w:bookmarkEnd w:id="295"/>
      <w:bookmarkEnd w:id="296"/>
    </w:p>
    <w:p w14:paraId="7D399D47" w14:textId="77777777" w:rsidR="00E03711" w:rsidRPr="001048FE" w:rsidRDefault="00E03711" w:rsidP="002A25C9">
      <w:pPr>
        <w:pStyle w:val="Guide-Heading4"/>
        <w:rPr>
          <w:lang w:val="sl-SI"/>
        </w:rPr>
      </w:pPr>
      <w:bookmarkStart w:id="297" w:name="_Toc527401176"/>
      <w:r w:rsidRPr="001048FE">
        <w:rPr>
          <w:lang w:val="sl-SI"/>
        </w:rPr>
        <w:t>Kaj je katedra Jean Monnet?</w:t>
      </w:r>
      <w:bookmarkEnd w:id="297"/>
    </w:p>
    <w:p w14:paraId="7D399D48" w14:textId="77777777" w:rsidR="00E03711" w:rsidRPr="001048FE" w:rsidRDefault="00E03711" w:rsidP="00BD663C">
      <w:pPr>
        <w:pStyle w:val="GUIDE-NORMAL"/>
        <w:rPr>
          <w:lang w:val="sl-SI"/>
        </w:rPr>
      </w:pPr>
      <w:r w:rsidRPr="001048FE">
        <w:rPr>
          <w:lang w:val="sl-SI"/>
        </w:rPr>
        <w:t xml:space="preserve">Katedra Jean Monnet je pedagoško mesto s specializacijo v študijah Evropske unije za univerzitetne profesorje za obdobje treh let. Vodja katedre Jean Monnet </w:t>
      </w:r>
      <w:r>
        <w:rPr>
          <w:lang w:val="sl-SI"/>
        </w:rPr>
        <w:t>je</w:t>
      </w:r>
      <w:r w:rsidRPr="001048FE">
        <w:rPr>
          <w:lang w:val="sl-SI"/>
        </w:rPr>
        <w:t xml:space="preserve"> samo en profesor, ki zagotovit najmanj 90 učnih ur v enem akademskem letu. </w:t>
      </w:r>
    </w:p>
    <w:p w14:paraId="7D399D49" w14:textId="77777777" w:rsidR="00E03711" w:rsidRPr="001048FE" w:rsidRDefault="00E03711" w:rsidP="002A25C9">
      <w:pPr>
        <w:pStyle w:val="Guide-Heading4"/>
        <w:rPr>
          <w:lang w:val="sl-SI"/>
        </w:rPr>
      </w:pPr>
      <w:bookmarkStart w:id="298" w:name="_Toc527401177"/>
      <w:r w:rsidRPr="001048FE">
        <w:rPr>
          <w:lang w:val="sl-SI"/>
        </w:rPr>
        <w:t>Katere aktivnosti so podprte v okviru tega ukrepa?</w:t>
      </w:r>
      <w:bookmarkEnd w:id="298"/>
    </w:p>
    <w:p w14:paraId="7D399D4A" w14:textId="77777777" w:rsidR="00E03711" w:rsidRPr="001048FE" w:rsidRDefault="00E03711" w:rsidP="00BD663C">
      <w:pPr>
        <w:pStyle w:val="GUIDE-NORMAL"/>
        <w:rPr>
          <w:lang w:val="sl-SI"/>
        </w:rPr>
      </w:pPr>
      <w:r w:rsidRPr="001048FE">
        <w:rPr>
          <w:lang w:val="sl-SI"/>
        </w:rPr>
        <w:t>Glavne aktivnosti (najmanj 90 ur na študijsko leto):</w:t>
      </w:r>
    </w:p>
    <w:p w14:paraId="7D399D4B" w14:textId="77777777" w:rsidR="00E03711" w:rsidRPr="001048FE" w:rsidRDefault="00E03711" w:rsidP="005115F2">
      <w:pPr>
        <w:pStyle w:val="Guide-NormalBulletpoints"/>
        <w:numPr>
          <w:ilvl w:val="0"/>
          <w:numId w:val="330"/>
        </w:numPr>
        <w:rPr>
          <w:lang w:val="sl-SI"/>
        </w:rPr>
      </w:pPr>
      <w:r w:rsidRPr="001048FE">
        <w:rPr>
          <w:lang w:val="sl-SI"/>
        </w:rPr>
        <w:t>poglablja poučevanje študij Evropske unije, ki so del uradnega učnega načrta visokošolske institucije;</w:t>
      </w:r>
    </w:p>
    <w:p w14:paraId="7D399D4C" w14:textId="77777777" w:rsidR="00E03711" w:rsidRPr="001048FE" w:rsidRDefault="00E03711" w:rsidP="005115F2">
      <w:pPr>
        <w:pStyle w:val="Guide-NormalBulletpoints"/>
        <w:numPr>
          <w:ilvl w:val="0"/>
          <w:numId w:val="330"/>
        </w:numPr>
        <w:rPr>
          <w:lang w:val="sl-SI"/>
        </w:rPr>
      </w:pPr>
      <w:r w:rsidRPr="001048FE">
        <w:rPr>
          <w:lang w:val="sl-SI"/>
        </w:rPr>
        <w:t>zagotavlja poglobljeno poučevanje o zadevah Evropske unije za prihodnje strokovnjake na področjih, po katerih je na trgu dela vedno več povpraševanja.</w:t>
      </w:r>
    </w:p>
    <w:p w14:paraId="7D399D4D" w14:textId="77777777" w:rsidR="00E03711" w:rsidRPr="001048FE" w:rsidRDefault="00E03711" w:rsidP="00BD663C">
      <w:pPr>
        <w:pStyle w:val="GUIDE-NORMAL"/>
        <w:rPr>
          <w:lang w:val="sl-SI"/>
        </w:rPr>
      </w:pPr>
      <w:r w:rsidRPr="001048FE">
        <w:rPr>
          <w:lang w:val="sl-SI"/>
        </w:rPr>
        <w:t>Dodatne aktivnosti:</w:t>
      </w:r>
    </w:p>
    <w:p w14:paraId="7D399D4E" w14:textId="77777777" w:rsidR="00E03711" w:rsidRPr="001048FE" w:rsidRDefault="00E03711" w:rsidP="005115F2">
      <w:pPr>
        <w:pStyle w:val="Guide-NormalBulletpoints"/>
        <w:numPr>
          <w:ilvl w:val="0"/>
          <w:numId w:val="331"/>
        </w:numPr>
        <w:rPr>
          <w:lang w:val="sl-SI"/>
        </w:rPr>
      </w:pPr>
      <w:r w:rsidRPr="001048FE">
        <w:rPr>
          <w:lang w:val="sl-SI"/>
        </w:rPr>
        <w:t>zagotavljanje pouka/predavanj študentom iz drugih oddelkov (npr. arhitektura, medicina itd), da se bolje pripravijo na prihodnje poklicno življenje;</w:t>
      </w:r>
    </w:p>
    <w:p w14:paraId="7D399D4F" w14:textId="77777777" w:rsidR="00E03711" w:rsidRPr="001048FE" w:rsidRDefault="00E03711" w:rsidP="005115F2">
      <w:pPr>
        <w:pStyle w:val="Guide-NormalBulletpoints"/>
        <w:numPr>
          <w:ilvl w:val="0"/>
          <w:numId w:val="331"/>
        </w:numPr>
        <w:rPr>
          <w:lang w:val="sl-SI"/>
        </w:rPr>
      </w:pPr>
      <w:r w:rsidRPr="001048FE">
        <w:rPr>
          <w:lang w:val="sl-SI"/>
        </w:rPr>
        <w:t>zagotavlja spodbudo, svetovanje in mentorstvo za mlado generacijo učiteljev in raziskovalcev na tematskih področjih, povezanih s študijami Evropske unije;</w:t>
      </w:r>
    </w:p>
    <w:p w14:paraId="7D399D50" w14:textId="77777777" w:rsidR="00E03711" w:rsidRPr="001048FE" w:rsidRDefault="00E03711" w:rsidP="005115F2">
      <w:pPr>
        <w:pStyle w:val="Guide-NormalBulletpoints"/>
        <w:numPr>
          <w:ilvl w:val="0"/>
          <w:numId w:val="331"/>
        </w:numPr>
        <w:rPr>
          <w:lang w:val="sl-SI"/>
        </w:rPr>
      </w:pPr>
      <w:r w:rsidRPr="001048FE">
        <w:rPr>
          <w:lang w:val="sl-SI"/>
        </w:rPr>
        <w:t>izvaja, spremlja in nadzira raziskovanje vsebin EU, tudi za druge ravni izobraževanja, na primer usposabljanje učiteljev in obvezno izobraževanje;</w:t>
      </w:r>
    </w:p>
    <w:p w14:paraId="7D399D51" w14:textId="77777777" w:rsidR="00E03711" w:rsidRPr="001048FE" w:rsidRDefault="00E03711" w:rsidP="005115F2">
      <w:pPr>
        <w:pStyle w:val="Guide-NormalBulletpoints"/>
        <w:numPr>
          <w:ilvl w:val="0"/>
          <w:numId w:val="331"/>
        </w:numPr>
        <w:rPr>
          <w:lang w:val="sl-SI"/>
        </w:rPr>
      </w:pPr>
      <w:r w:rsidRPr="001048FE">
        <w:rPr>
          <w:lang w:val="sl-SI"/>
        </w:rPr>
        <w:t>organizira aktivnosti (konference, seminarje/spletne seminarje, delavnice itd.), katerih ciljna publika so oblikovalci politik na lokalni, regionalni in nacionalni ravni kot tud civilna družba.</w:t>
      </w:r>
    </w:p>
    <w:p w14:paraId="7D399D52" w14:textId="77777777" w:rsidR="00E03711" w:rsidRPr="001048FE" w:rsidRDefault="00E03711" w:rsidP="002A25C9">
      <w:pPr>
        <w:pStyle w:val="Guide-Heading4"/>
        <w:rPr>
          <w:lang w:val="sl-SI"/>
        </w:rPr>
      </w:pPr>
      <w:bookmarkStart w:id="299" w:name="_Toc527401178"/>
      <w:r w:rsidRPr="001048FE">
        <w:rPr>
          <w:lang w:val="sl-SI"/>
        </w:rPr>
        <w:t>Kakšna je vloga organizacij, ki sodelujejo v katedri Jean Monnet?</w:t>
      </w:r>
      <w:bookmarkEnd w:id="299"/>
    </w:p>
    <w:p w14:paraId="7D399D53" w14:textId="77777777" w:rsidR="00E03711" w:rsidRPr="001048FE" w:rsidRDefault="00E03711" w:rsidP="00BD663C">
      <w:pPr>
        <w:pStyle w:val="GUIDE-NORMAL"/>
        <w:rPr>
          <w:lang w:val="sl-SI"/>
        </w:rPr>
      </w:pPr>
      <w:r w:rsidRPr="001048FE">
        <w:rPr>
          <w:lang w:val="sl-SI"/>
        </w:rPr>
        <w:t>Katedre Jean Monnet so sestavni del visokošolske institucije, ki sklene sporazum/sklep o nepovratnih sredstvih.</w:t>
      </w:r>
    </w:p>
    <w:p w14:paraId="7D399D54" w14:textId="77777777" w:rsidR="00E03711" w:rsidRPr="001048FE" w:rsidRDefault="00E03711" w:rsidP="00BD663C">
      <w:pPr>
        <w:pStyle w:val="GUIDE-NORMAL"/>
        <w:rPr>
          <w:lang w:val="sl-SI"/>
        </w:rPr>
      </w:pPr>
      <w:r w:rsidRPr="001048FE">
        <w:rPr>
          <w:lang w:val="sl-SI"/>
        </w:rPr>
        <w:t>Katedre Jean Monnet so vključene v uradne akademske aktivnosti njihove institucije. Od visokošolskih institucij se zahteva, da podpirajo vodje katedre Jean Monnet pri aktivnostih poučevanja, raziskovanja in premisleka ter s tem omogočijo, da ima čim širši nabor učnih načrtov korist od teh programov; priznavati bi morale razvite aktivnosti poučevanja.</w:t>
      </w:r>
    </w:p>
    <w:p w14:paraId="7D399D55" w14:textId="77777777" w:rsidR="00E03711" w:rsidRPr="001048FE" w:rsidRDefault="00E03711" w:rsidP="00BD663C">
      <w:pPr>
        <w:pStyle w:val="GUIDE-NORMAL"/>
        <w:rPr>
          <w:lang w:val="sl-SI"/>
        </w:rPr>
      </w:pPr>
      <w:r w:rsidRPr="001048FE">
        <w:rPr>
          <w:lang w:val="sl-SI"/>
        </w:rPr>
        <w:t>Visokošolske institucije prevzamejo končno odgovornost za svoje prijave. Aktivnosti katedre Jean Monnet morajo izvajati ves čas trajanja projekta. Če mora institucija nadomestiti vodjo katedre, mora Izvajalski agenciji predložiti pisni zahtevek za odobritev. Poleg tega mora imeti novi predlagani vodja katedre enako raven strokovnega znanja o študijah Evropske</w:t>
      </w:r>
      <w:r w:rsidRPr="001048FE">
        <w:rPr>
          <w:spacing w:val="-43"/>
          <w:lang w:val="sl-SI"/>
        </w:rPr>
        <w:t xml:space="preserve"> </w:t>
      </w:r>
      <w:r w:rsidRPr="001048FE">
        <w:rPr>
          <w:lang w:val="sl-SI"/>
        </w:rPr>
        <w:t>unije.</w:t>
      </w:r>
    </w:p>
    <w:p w14:paraId="7D399D56" w14:textId="77777777" w:rsidR="00E03711" w:rsidRPr="001048FE" w:rsidRDefault="00E03711">
      <w:pPr>
        <w:widowControl/>
        <w:suppressAutoHyphens w:val="0"/>
        <w:autoSpaceDN/>
        <w:textAlignment w:val="auto"/>
        <w:rPr>
          <w:rFonts w:eastAsia="Times New Roman"/>
          <w:b/>
          <w:smallCaps/>
          <w:szCs w:val="20"/>
          <w:lang w:val="sl-SI"/>
        </w:rPr>
      </w:pPr>
      <w:r w:rsidRPr="001048FE">
        <w:rPr>
          <w:lang w:val="sl-SI"/>
        </w:rPr>
        <w:br w:type="page"/>
      </w:r>
    </w:p>
    <w:p w14:paraId="7D399D57" w14:textId="77777777" w:rsidR="00E03711" w:rsidRPr="001048FE" w:rsidRDefault="00E03711" w:rsidP="002A25C9">
      <w:pPr>
        <w:pStyle w:val="Guide-Heading4"/>
        <w:rPr>
          <w:lang w:val="sl-SI"/>
        </w:rPr>
      </w:pPr>
      <w:bookmarkStart w:id="300" w:name="_Toc527401179"/>
      <w:r w:rsidRPr="001048FE">
        <w:rPr>
          <w:lang w:val="sl-SI"/>
        </w:rPr>
        <w:t>Kakšna so merila za oceno katedre Jean Monnet?</w:t>
      </w:r>
      <w:bookmarkEnd w:id="300"/>
    </w:p>
    <w:p w14:paraId="7D399D58" w14:textId="77777777" w:rsidR="00E03711" w:rsidRPr="001048FE" w:rsidRDefault="00E03711" w:rsidP="00BD663C">
      <w:pPr>
        <w:pStyle w:val="GUIDE-NORMAL"/>
        <w:rPr>
          <w:lang w:val="sl-SI"/>
        </w:rPr>
      </w:pPr>
      <w:r w:rsidRPr="001048FE">
        <w:rPr>
          <w:lang w:val="sl-SI"/>
        </w:rPr>
        <w:t>V</w:t>
      </w:r>
      <w:r w:rsidRPr="001048FE">
        <w:rPr>
          <w:spacing w:val="-12"/>
          <w:lang w:val="sl-SI"/>
        </w:rPr>
        <w:t xml:space="preserve"> </w:t>
      </w:r>
      <w:r w:rsidRPr="001048FE">
        <w:rPr>
          <w:lang w:val="sl-SI"/>
        </w:rPr>
        <w:t>nadaljevanju</w:t>
      </w:r>
      <w:r w:rsidRPr="001048FE">
        <w:rPr>
          <w:spacing w:val="-12"/>
          <w:lang w:val="sl-SI"/>
        </w:rPr>
        <w:t xml:space="preserve"> </w:t>
      </w:r>
      <w:r w:rsidRPr="001048FE">
        <w:rPr>
          <w:lang w:val="sl-SI"/>
        </w:rPr>
        <w:t>so</w:t>
      </w:r>
      <w:r w:rsidRPr="001048FE">
        <w:rPr>
          <w:spacing w:val="-12"/>
          <w:lang w:val="sl-SI"/>
        </w:rPr>
        <w:t xml:space="preserve"> </w:t>
      </w:r>
      <w:r w:rsidRPr="001048FE">
        <w:rPr>
          <w:lang w:val="sl-SI"/>
        </w:rPr>
        <w:t>navedena</w:t>
      </w:r>
      <w:r w:rsidRPr="001048FE">
        <w:rPr>
          <w:spacing w:val="-12"/>
          <w:lang w:val="sl-SI"/>
        </w:rPr>
        <w:t xml:space="preserve"> </w:t>
      </w:r>
      <w:r w:rsidRPr="001048FE">
        <w:rPr>
          <w:lang w:val="sl-SI"/>
        </w:rPr>
        <w:t>uradna</w:t>
      </w:r>
      <w:r w:rsidRPr="001048FE">
        <w:rPr>
          <w:spacing w:val="-12"/>
          <w:lang w:val="sl-SI"/>
        </w:rPr>
        <w:t xml:space="preserve"> </w:t>
      </w:r>
      <w:r w:rsidRPr="001048FE">
        <w:rPr>
          <w:lang w:val="sl-SI"/>
        </w:rPr>
        <w:t>merila,</w:t>
      </w:r>
      <w:r w:rsidRPr="001048FE">
        <w:rPr>
          <w:spacing w:val="-12"/>
          <w:lang w:val="sl-SI"/>
        </w:rPr>
        <w:t xml:space="preserve"> </w:t>
      </w:r>
      <w:r w:rsidRPr="001048FE">
        <w:rPr>
          <w:lang w:val="sl-SI"/>
        </w:rPr>
        <w:t>ki</w:t>
      </w:r>
      <w:r w:rsidRPr="001048FE">
        <w:rPr>
          <w:spacing w:val="-12"/>
          <w:lang w:val="sl-SI"/>
        </w:rPr>
        <w:t xml:space="preserve"> </w:t>
      </w:r>
      <w:r w:rsidRPr="001048FE">
        <w:rPr>
          <w:lang w:val="sl-SI"/>
        </w:rPr>
        <w:t>jih</w:t>
      </w:r>
      <w:r w:rsidRPr="001048FE">
        <w:rPr>
          <w:spacing w:val="-12"/>
          <w:lang w:val="sl-SI"/>
        </w:rPr>
        <w:t xml:space="preserve"> </w:t>
      </w:r>
      <w:r w:rsidRPr="001048FE">
        <w:rPr>
          <w:lang w:val="sl-SI"/>
        </w:rPr>
        <w:t>mora</w:t>
      </w:r>
      <w:r w:rsidRPr="001048FE">
        <w:rPr>
          <w:spacing w:val="-12"/>
          <w:lang w:val="sl-SI"/>
        </w:rPr>
        <w:t xml:space="preserve"> </w:t>
      </w:r>
      <w:r w:rsidRPr="001048FE">
        <w:rPr>
          <w:lang w:val="sl-SI"/>
        </w:rPr>
        <w:t>izpolniti</w:t>
      </w:r>
      <w:r w:rsidRPr="001048FE">
        <w:rPr>
          <w:spacing w:val="-12"/>
          <w:lang w:val="sl-SI"/>
        </w:rPr>
        <w:t xml:space="preserve"> </w:t>
      </w:r>
      <w:r w:rsidRPr="001048FE">
        <w:rPr>
          <w:lang w:val="sl-SI"/>
        </w:rPr>
        <w:t>katedra</w:t>
      </w:r>
      <w:r w:rsidRPr="001048FE">
        <w:rPr>
          <w:spacing w:val="-12"/>
          <w:lang w:val="sl-SI"/>
        </w:rPr>
        <w:t xml:space="preserve"> </w:t>
      </w:r>
      <w:r w:rsidRPr="001048FE">
        <w:rPr>
          <w:lang w:val="sl-SI"/>
        </w:rPr>
        <w:t>Jean</w:t>
      </w:r>
      <w:r w:rsidRPr="001048FE">
        <w:rPr>
          <w:spacing w:val="-12"/>
          <w:lang w:val="sl-SI"/>
        </w:rPr>
        <w:t xml:space="preserve"> </w:t>
      </w:r>
      <w:r w:rsidRPr="001048FE">
        <w:rPr>
          <w:lang w:val="sl-SI"/>
        </w:rPr>
        <w:t>Monnet</w:t>
      </w:r>
      <w:r w:rsidRPr="001048FE">
        <w:rPr>
          <w:spacing w:val="-12"/>
          <w:lang w:val="sl-SI"/>
        </w:rPr>
        <w:t xml:space="preserve"> </w:t>
      </w:r>
      <w:r w:rsidRPr="001048FE">
        <w:rPr>
          <w:lang w:val="sl-SI"/>
        </w:rPr>
        <w:t>za</w:t>
      </w:r>
      <w:r w:rsidRPr="001048FE">
        <w:rPr>
          <w:spacing w:val="-12"/>
          <w:lang w:val="sl-SI"/>
        </w:rPr>
        <w:t xml:space="preserve"> </w:t>
      </w:r>
      <w:r w:rsidRPr="001048FE">
        <w:rPr>
          <w:lang w:val="sl-SI"/>
        </w:rPr>
        <w:t>upravičenost do nepovratnih sredstev</w:t>
      </w:r>
      <w:r w:rsidRPr="001048FE">
        <w:rPr>
          <w:spacing w:val="-8"/>
          <w:lang w:val="sl-SI"/>
        </w:rPr>
        <w:t xml:space="preserve"> </w:t>
      </w:r>
      <w:r w:rsidRPr="001048FE">
        <w:rPr>
          <w:lang w:val="sl-SI"/>
        </w:rPr>
        <w:t>Erasmus+:</w:t>
      </w:r>
    </w:p>
    <w:p w14:paraId="7D399D59" w14:textId="77777777" w:rsidR="00E03711" w:rsidRPr="001048FE" w:rsidRDefault="00E03711" w:rsidP="00BD663C">
      <w:pPr>
        <w:pStyle w:val="Guide-Heading5"/>
        <w:rPr>
          <w:lang w:val="sl-SI"/>
        </w:rPr>
      </w:pPr>
      <w:r w:rsidRPr="001048FE">
        <w:rPr>
          <w:lang w:val="sl-SI"/>
        </w:rPr>
        <w:t>Merila za upravičenost</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68"/>
        <w:gridCol w:w="7722"/>
      </w:tblGrid>
      <w:tr w:rsidR="00E03711" w:rsidRPr="00C60205" w14:paraId="7D399D5E" w14:textId="77777777" w:rsidTr="00D0315F">
        <w:trPr>
          <w:cantSplit/>
          <w:trHeight w:val="170"/>
        </w:trPr>
        <w:tc>
          <w:tcPr>
            <w:tcW w:w="844" w:type="pct"/>
            <w:shd w:val="clear" w:color="auto" w:fill="FFFFFF"/>
            <w:vAlign w:val="center"/>
          </w:tcPr>
          <w:p w14:paraId="7D399D5A" w14:textId="77777777" w:rsidR="00E03711" w:rsidRPr="00F769E0" w:rsidRDefault="00E03711" w:rsidP="00B166C5">
            <w:pPr>
              <w:pStyle w:val="GUIDE-NORMAL"/>
              <w:spacing w:before="60" w:after="60"/>
              <w:jc w:val="left"/>
              <w:rPr>
                <w:rFonts w:cs="Tahoma"/>
                <w:b/>
                <w:lang w:val="sl-SI" w:eastAsia="en-GB"/>
              </w:rPr>
            </w:pPr>
            <w:r w:rsidRPr="00F769E0">
              <w:rPr>
                <w:rFonts w:cs="Tahoma"/>
                <w:b/>
                <w:lang w:val="sl-SI" w:eastAsia="en-GB"/>
              </w:rPr>
              <w:t>Kdo se lahko prijavi?</w:t>
            </w:r>
          </w:p>
        </w:tc>
        <w:tc>
          <w:tcPr>
            <w:tcW w:w="4156" w:type="pct"/>
            <w:shd w:val="clear" w:color="auto" w:fill="FFFFFF"/>
            <w:vAlign w:val="center"/>
          </w:tcPr>
          <w:p w14:paraId="7D399D5B" w14:textId="77777777" w:rsidR="00E03711" w:rsidRPr="00FC4A70" w:rsidRDefault="00E03711" w:rsidP="007F20EC">
            <w:pPr>
              <w:pStyle w:val="GUIDE-NORMAL"/>
              <w:spacing w:before="60" w:after="60"/>
              <w:jc w:val="left"/>
              <w:rPr>
                <w:rFonts w:cs="Tahoma"/>
                <w:lang w:val="sl-SI" w:eastAsia="en-GB"/>
              </w:rPr>
            </w:pPr>
            <w:r w:rsidRPr="00F769E0">
              <w:rPr>
                <w:rFonts w:cs="Tahoma"/>
                <w:lang w:val="sl-SI" w:eastAsia="en-GB"/>
              </w:rPr>
              <w:t>Visokošolska institucija s sedežem v kateri koli državi sveta. Visokošolske institucije s sedežem v državah Programa morajo biti nosilke veljavne Listine Erasmus za terciarno izobraževanje (ECHE). Listina ECHE ni zahtevana za sodelujoče visokošolske institucije iz partnerskih držav.</w:t>
            </w:r>
            <w:r w:rsidRPr="00FC4A70">
              <w:rPr>
                <w:rFonts w:cs="Tahoma"/>
                <w:lang w:val="sl-SI" w:eastAsia="en-GB"/>
              </w:rPr>
              <w:t xml:space="preserve"> Katedro Jean Monnet ima samo en profesor.</w:t>
            </w:r>
          </w:p>
          <w:p w14:paraId="7D399D5C" w14:textId="77777777" w:rsidR="00E03711" w:rsidRPr="00F769E0" w:rsidRDefault="00E03711" w:rsidP="00B166C5">
            <w:pPr>
              <w:pStyle w:val="GUIDE-NORMAL"/>
              <w:spacing w:before="60" w:after="60"/>
              <w:jc w:val="left"/>
              <w:rPr>
                <w:rFonts w:cs="Tahoma"/>
                <w:lang w:val="sl-SI" w:eastAsia="en-GB"/>
              </w:rPr>
            </w:pPr>
          </w:p>
          <w:p w14:paraId="7D399D5D" w14:textId="77777777" w:rsidR="00E03711" w:rsidRPr="00F769E0" w:rsidRDefault="00E03711" w:rsidP="00B166C5">
            <w:pPr>
              <w:pStyle w:val="GUIDE-NORMAL"/>
              <w:spacing w:before="60" w:after="60"/>
              <w:jc w:val="left"/>
              <w:rPr>
                <w:rFonts w:cs="Tahoma"/>
                <w:lang w:val="sl-SI" w:eastAsia="en-GB"/>
              </w:rPr>
            </w:pPr>
            <w:r w:rsidRPr="00F769E0">
              <w:rPr>
                <w:rFonts w:cs="Tahoma"/>
                <w:lang w:val="sl-SI" w:eastAsia="en-GB"/>
              </w:rPr>
              <w:t>Posamezniki ne morejo neposredno oddati vloge za nepovratna sredstva.</w:t>
            </w:r>
          </w:p>
        </w:tc>
      </w:tr>
      <w:tr w:rsidR="00E03711" w:rsidRPr="00C60205" w14:paraId="7D399D61" w14:textId="77777777" w:rsidTr="00D0315F">
        <w:trPr>
          <w:cantSplit/>
          <w:trHeight w:val="170"/>
        </w:trPr>
        <w:tc>
          <w:tcPr>
            <w:tcW w:w="844" w:type="pct"/>
            <w:shd w:val="clear" w:color="auto" w:fill="FFFFFF"/>
            <w:vAlign w:val="center"/>
          </w:tcPr>
          <w:p w14:paraId="7D399D5F" w14:textId="77777777" w:rsidR="00E03711" w:rsidRPr="00F769E0" w:rsidRDefault="00E03711" w:rsidP="00B166C5">
            <w:pPr>
              <w:pStyle w:val="GUIDE-NORMAL"/>
              <w:spacing w:before="60" w:after="60"/>
              <w:jc w:val="left"/>
              <w:rPr>
                <w:rFonts w:cs="Tahoma"/>
                <w:b/>
                <w:lang w:val="sl-SI" w:eastAsia="en-GB"/>
              </w:rPr>
            </w:pPr>
            <w:r w:rsidRPr="00F769E0">
              <w:rPr>
                <w:rFonts w:cs="Tahoma"/>
                <w:b/>
                <w:lang w:val="sl-SI" w:eastAsia="en-GB"/>
              </w:rPr>
              <w:t>Profil kateder Jean Monnet</w:t>
            </w:r>
          </w:p>
        </w:tc>
        <w:tc>
          <w:tcPr>
            <w:tcW w:w="4156" w:type="pct"/>
            <w:shd w:val="clear" w:color="auto" w:fill="FFFFFF"/>
            <w:vAlign w:val="center"/>
          </w:tcPr>
          <w:p w14:paraId="7D399D60" w14:textId="77777777" w:rsidR="00E03711" w:rsidRPr="00F769E0" w:rsidRDefault="00E03711" w:rsidP="00B166C5">
            <w:pPr>
              <w:pStyle w:val="GUIDE-NORMAL"/>
              <w:spacing w:before="60" w:after="60"/>
              <w:jc w:val="left"/>
              <w:rPr>
                <w:rFonts w:cs="Tahoma"/>
                <w:lang w:val="sl-SI" w:eastAsia="en-GB"/>
              </w:rPr>
            </w:pPr>
            <w:r w:rsidRPr="00F769E0">
              <w:rPr>
                <w:rFonts w:cs="Tahoma"/>
                <w:lang w:val="sl-SI" w:eastAsia="en-GB"/>
              </w:rPr>
              <w:t>Vodje katedre Jean Monnet morajo biti stalni člani osebja na instituciji prijaviteljici in imeti naziv profesorja. Vodja ne more biti „gostujoči profesor“ na visokošolski instituciji, ki se prijavlja za nepovratna sredstva.</w:t>
            </w:r>
          </w:p>
        </w:tc>
      </w:tr>
      <w:tr w:rsidR="00E03711" w:rsidRPr="008C6F8C" w14:paraId="7D399D64" w14:textId="77777777" w:rsidTr="00D0315F">
        <w:trPr>
          <w:cantSplit/>
          <w:trHeight w:val="170"/>
        </w:trPr>
        <w:tc>
          <w:tcPr>
            <w:tcW w:w="844" w:type="pct"/>
            <w:shd w:val="clear" w:color="auto" w:fill="FFFFFF"/>
            <w:vAlign w:val="center"/>
          </w:tcPr>
          <w:p w14:paraId="7D399D62" w14:textId="77777777" w:rsidR="00E03711" w:rsidRPr="00F769E0" w:rsidRDefault="00E03711" w:rsidP="00B166C5">
            <w:pPr>
              <w:pStyle w:val="GUIDE-NORMAL"/>
              <w:spacing w:before="60" w:after="60"/>
              <w:jc w:val="left"/>
              <w:rPr>
                <w:rFonts w:cs="Tahoma"/>
                <w:b/>
                <w:lang w:val="sl-SI" w:eastAsia="en-GB"/>
              </w:rPr>
            </w:pPr>
            <w:r w:rsidRPr="00F769E0">
              <w:rPr>
                <w:rFonts w:cs="Tahoma"/>
                <w:b/>
                <w:lang w:val="sl-SI" w:eastAsia="en-GB"/>
              </w:rPr>
              <w:t>Trajanje projekta</w:t>
            </w:r>
          </w:p>
        </w:tc>
        <w:tc>
          <w:tcPr>
            <w:tcW w:w="4156" w:type="pct"/>
            <w:shd w:val="clear" w:color="auto" w:fill="FFFFFF"/>
            <w:vAlign w:val="center"/>
          </w:tcPr>
          <w:p w14:paraId="7D399D63" w14:textId="77777777" w:rsidR="00E03711" w:rsidRPr="00F769E0" w:rsidRDefault="00E03711" w:rsidP="00B166C5">
            <w:pPr>
              <w:pStyle w:val="GUIDE-NORMAL"/>
              <w:spacing w:before="60" w:after="60"/>
              <w:jc w:val="left"/>
              <w:rPr>
                <w:rFonts w:cs="Tahoma"/>
                <w:lang w:val="sl-SI" w:eastAsia="en-GB"/>
              </w:rPr>
            </w:pPr>
            <w:r w:rsidRPr="00F769E0">
              <w:rPr>
                <w:rFonts w:cs="Tahoma"/>
                <w:lang w:val="sl-SI" w:eastAsia="en-GB"/>
              </w:rPr>
              <w:t>Tri leta.</w:t>
            </w:r>
          </w:p>
        </w:tc>
      </w:tr>
      <w:tr w:rsidR="00E03711" w:rsidRPr="00C60205" w14:paraId="7D399D6B" w14:textId="77777777" w:rsidTr="00D0315F">
        <w:trPr>
          <w:cantSplit/>
          <w:trHeight w:val="170"/>
        </w:trPr>
        <w:tc>
          <w:tcPr>
            <w:tcW w:w="844" w:type="pct"/>
            <w:shd w:val="clear" w:color="auto" w:fill="FFFFFF"/>
            <w:vAlign w:val="center"/>
          </w:tcPr>
          <w:p w14:paraId="7D399D65" w14:textId="77777777" w:rsidR="00E03711" w:rsidRPr="00F769E0" w:rsidRDefault="00E03711" w:rsidP="00B166C5">
            <w:pPr>
              <w:pStyle w:val="GUIDE-NORMAL"/>
              <w:spacing w:before="60" w:after="60"/>
              <w:jc w:val="left"/>
              <w:rPr>
                <w:rFonts w:cs="Tahoma"/>
                <w:b/>
                <w:lang w:val="sl-SI" w:eastAsia="en-GB"/>
              </w:rPr>
            </w:pPr>
            <w:r w:rsidRPr="00F769E0">
              <w:rPr>
                <w:rFonts w:cs="Tahoma"/>
                <w:b/>
                <w:lang w:val="sl-SI" w:eastAsia="en-GB"/>
              </w:rPr>
              <w:t>Trajanje aktivnosti</w:t>
            </w:r>
          </w:p>
        </w:tc>
        <w:tc>
          <w:tcPr>
            <w:tcW w:w="4156" w:type="pct"/>
            <w:shd w:val="clear" w:color="auto" w:fill="FFFFFF"/>
            <w:vAlign w:val="center"/>
          </w:tcPr>
          <w:p w14:paraId="7D399D66" w14:textId="77777777" w:rsidR="00E03711" w:rsidRPr="00F769E0" w:rsidRDefault="00E03711" w:rsidP="00B166C5">
            <w:pPr>
              <w:pStyle w:val="GUIDE-NORMAL"/>
              <w:spacing w:before="60" w:after="60"/>
              <w:jc w:val="left"/>
              <w:rPr>
                <w:rFonts w:cs="Tahoma"/>
                <w:lang w:val="sl-SI" w:eastAsia="en-GB"/>
              </w:rPr>
            </w:pPr>
            <w:r w:rsidRPr="00F769E0">
              <w:rPr>
                <w:rFonts w:cs="Tahoma"/>
                <w:lang w:val="sl-SI" w:eastAsia="en-GB"/>
              </w:rPr>
              <w:t>Vodje kateder Jean Monnet morajo poučevati vsaj 90 ur v enem študijskem letu (tri zaporedna leta) in izvajati najmanj eno dodatno aktivnost na študijsko leto, kot je opisano zgoraj.</w:t>
            </w:r>
          </w:p>
          <w:p w14:paraId="7D399D67" w14:textId="77777777" w:rsidR="00E03711" w:rsidRPr="00F769E0" w:rsidRDefault="00E03711" w:rsidP="00B166C5">
            <w:pPr>
              <w:pStyle w:val="GUIDE-NORMAL"/>
              <w:spacing w:before="60" w:after="60"/>
              <w:jc w:val="left"/>
              <w:rPr>
                <w:rFonts w:cs="Tahoma"/>
                <w:lang w:val="sl-SI" w:eastAsia="en-GB"/>
              </w:rPr>
            </w:pPr>
          </w:p>
          <w:p w14:paraId="7D399D68" w14:textId="77777777" w:rsidR="00E03711" w:rsidRPr="00FC4A70" w:rsidRDefault="00E03711" w:rsidP="00FC4A70">
            <w:pPr>
              <w:pStyle w:val="ListNumber2"/>
              <w:numPr>
                <w:ilvl w:val="0"/>
                <w:numId w:val="0"/>
              </w:numPr>
              <w:spacing w:before="60" w:after="60"/>
              <w:jc w:val="left"/>
              <w:rPr>
                <w:rFonts w:ascii="Calibri" w:hAnsi="Calibri" w:cs="Tahoma"/>
                <w:kern w:val="3"/>
                <w:sz w:val="18"/>
                <w:szCs w:val="18"/>
                <w:shd w:val="clear" w:color="auto" w:fill="FFFFFF"/>
                <w:lang w:val="sl-SI" w:eastAsia="en-GB"/>
              </w:rPr>
            </w:pPr>
            <w:r w:rsidRPr="00FC4A70">
              <w:rPr>
                <w:rFonts w:ascii="Calibri" w:hAnsi="Calibri" w:cs="Tahoma"/>
                <w:kern w:val="3"/>
                <w:sz w:val="18"/>
                <w:szCs w:val="18"/>
                <w:shd w:val="clear" w:color="auto" w:fill="FFFFFF"/>
                <w:lang w:val="sl-SI" w:eastAsia="en-GB"/>
              </w:rPr>
              <w:t xml:space="preserve">Predlagati je treba vsaj še eno dodatno aktivnost, opisano zgoraj. </w:t>
            </w:r>
          </w:p>
          <w:p w14:paraId="7D399D69" w14:textId="77777777" w:rsidR="00E03711" w:rsidRPr="00FC4A70" w:rsidRDefault="00E03711" w:rsidP="00FC4A70">
            <w:pPr>
              <w:pStyle w:val="ListNumber2"/>
              <w:numPr>
                <w:ilvl w:val="0"/>
                <w:numId w:val="0"/>
              </w:numPr>
              <w:spacing w:before="60" w:after="60"/>
              <w:jc w:val="left"/>
              <w:rPr>
                <w:kern w:val="3"/>
                <w:sz w:val="18"/>
                <w:szCs w:val="18"/>
                <w:shd w:val="clear" w:color="auto" w:fill="FFFFFF"/>
                <w:lang w:val="sl-SI"/>
              </w:rPr>
            </w:pPr>
          </w:p>
          <w:p w14:paraId="7D399D6A" w14:textId="77777777" w:rsidR="00E03711" w:rsidRPr="00F769E0" w:rsidRDefault="00E03711" w:rsidP="00724F48">
            <w:pPr>
              <w:pStyle w:val="GUIDE-NORMAL"/>
              <w:spacing w:before="60" w:after="60"/>
              <w:jc w:val="left"/>
              <w:rPr>
                <w:rFonts w:cs="Tahoma"/>
                <w:lang w:val="sl-SI" w:eastAsia="en-GB"/>
              </w:rPr>
            </w:pPr>
            <w:r w:rsidRPr="00FC4A70">
              <w:rPr>
                <w:rFonts w:cs="Tahoma"/>
                <w:lang w:val="sl-SI" w:eastAsia="en-GB"/>
              </w:rPr>
              <w:t>Učne ure vključujejo ure neposrednega stika v okviru skupinskih predavanj, seminarjev in praktičnih vaj ter lahko vključujejo vse od navedenega v obliki učenja na daljavo, ne vključujejo pa individualnega pouka in/ali nadzora.</w:t>
            </w:r>
            <w:r>
              <w:rPr>
                <w:rFonts w:ascii="Times New Roman" w:hAnsi="Times New Roman"/>
                <w:vanish/>
                <w:sz w:val="24"/>
                <w:szCs w:val="24"/>
                <w:bdr w:val="nil"/>
                <w:shd w:val="clear" w:color="auto" w:fill="auto"/>
                <w:lang w:val="sl-SI"/>
              </w:rPr>
              <w:t xml:space="preserve">  </w:t>
            </w:r>
          </w:p>
        </w:tc>
      </w:tr>
      <w:tr w:rsidR="00E03711" w:rsidRPr="00C60205" w14:paraId="7D399D6E" w14:textId="77777777" w:rsidTr="00D0315F">
        <w:trPr>
          <w:cantSplit/>
          <w:trHeight w:val="170"/>
        </w:trPr>
        <w:tc>
          <w:tcPr>
            <w:tcW w:w="844" w:type="pct"/>
            <w:shd w:val="clear" w:color="auto" w:fill="FFFFFF"/>
            <w:vAlign w:val="center"/>
          </w:tcPr>
          <w:p w14:paraId="7D399D6C" w14:textId="77777777" w:rsidR="00E03711" w:rsidRPr="00F769E0" w:rsidRDefault="00E03711" w:rsidP="00B166C5">
            <w:pPr>
              <w:pStyle w:val="GUIDE-NORMAL"/>
              <w:spacing w:before="60" w:after="60"/>
              <w:jc w:val="left"/>
              <w:rPr>
                <w:rFonts w:cs="Tahoma"/>
                <w:b/>
                <w:lang w:val="sl-SI" w:eastAsia="en-GB"/>
              </w:rPr>
            </w:pPr>
            <w:r w:rsidRPr="00F769E0">
              <w:rPr>
                <w:rFonts w:cs="Tahoma"/>
                <w:b/>
                <w:lang w:val="sl-SI" w:eastAsia="en-GB"/>
              </w:rPr>
              <w:t>Kje se prijaviti?</w:t>
            </w:r>
          </w:p>
        </w:tc>
        <w:tc>
          <w:tcPr>
            <w:tcW w:w="4156" w:type="pct"/>
            <w:shd w:val="clear" w:color="auto" w:fill="FFFFFF"/>
            <w:vAlign w:val="center"/>
          </w:tcPr>
          <w:p w14:paraId="7D399D6D" w14:textId="77777777" w:rsidR="00E03711" w:rsidRPr="00F769E0" w:rsidRDefault="00E03711" w:rsidP="00B166C5">
            <w:pPr>
              <w:pStyle w:val="GUIDE-NORMAL"/>
              <w:spacing w:before="60" w:after="60"/>
              <w:jc w:val="left"/>
              <w:rPr>
                <w:rFonts w:cs="Tahoma"/>
                <w:lang w:val="sl-SI" w:eastAsia="en-GB"/>
              </w:rPr>
            </w:pPr>
            <w:r w:rsidRPr="00F769E0">
              <w:rPr>
                <w:rFonts w:cs="Tahoma"/>
                <w:lang w:val="sl-SI" w:eastAsia="en-GB"/>
              </w:rPr>
              <w:t>Pri Izvajalski agenciji za izobraževanje, avdiovizualn</w:t>
            </w:r>
            <w:r>
              <w:rPr>
                <w:rFonts w:cs="Tahoma"/>
                <w:lang w:val="sl-SI" w:eastAsia="en-GB"/>
              </w:rPr>
              <w:t>o področje in kulturo v Bruslju</w:t>
            </w:r>
            <w:r w:rsidRPr="00F769E0">
              <w:rPr>
                <w:rFonts w:cs="Tahoma"/>
                <w:lang w:val="sl-SI" w:eastAsia="en-GB"/>
              </w:rPr>
              <w:t>.</w:t>
            </w:r>
          </w:p>
        </w:tc>
      </w:tr>
      <w:tr w:rsidR="00E03711" w:rsidRPr="00C60205" w14:paraId="7D399D71" w14:textId="77777777" w:rsidTr="00D0315F">
        <w:trPr>
          <w:cantSplit/>
          <w:trHeight w:val="170"/>
        </w:trPr>
        <w:tc>
          <w:tcPr>
            <w:tcW w:w="844" w:type="pct"/>
            <w:shd w:val="clear" w:color="auto" w:fill="FFFFFF"/>
            <w:vAlign w:val="center"/>
          </w:tcPr>
          <w:p w14:paraId="7D399D6F" w14:textId="77777777" w:rsidR="00E03711" w:rsidRPr="00F769E0" w:rsidRDefault="00E03711" w:rsidP="00B166C5">
            <w:pPr>
              <w:pStyle w:val="GUIDE-NORMAL"/>
              <w:spacing w:before="60" w:after="60"/>
              <w:jc w:val="left"/>
              <w:rPr>
                <w:rFonts w:cs="Tahoma"/>
                <w:b/>
                <w:lang w:val="sl-SI" w:eastAsia="en-GB"/>
              </w:rPr>
            </w:pPr>
            <w:r w:rsidRPr="00F769E0">
              <w:rPr>
                <w:rFonts w:cs="Tahoma"/>
                <w:b/>
                <w:lang w:val="sl-SI" w:eastAsia="en-GB"/>
              </w:rPr>
              <w:t>Kdaj se prijaviti?</w:t>
            </w:r>
          </w:p>
        </w:tc>
        <w:tc>
          <w:tcPr>
            <w:tcW w:w="4156" w:type="pct"/>
            <w:shd w:val="clear" w:color="auto" w:fill="FFFFFF"/>
            <w:vAlign w:val="center"/>
          </w:tcPr>
          <w:p w14:paraId="7D399D70" w14:textId="77777777" w:rsidR="00E03711" w:rsidRPr="00F769E0" w:rsidRDefault="00E03711" w:rsidP="00B166C5">
            <w:pPr>
              <w:pStyle w:val="GUIDE-NORMAL"/>
              <w:spacing w:before="60" w:after="60"/>
              <w:jc w:val="left"/>
              <w:rPr>
                <w:rFonts w:cs="Tahoma"/>
                <w:lang w:val="sl-SI" w:eastAsia="en-GB"/>
              </w:rPr>
            </w:pPr>
            <w:r w:rsidRPr="00F769E0">
              <w:rPr>
                <w:rFonts w:cs="Tahoma"/>
                <w:lang w:val="sl-SI" w:eastAsia="en-GB"/>
              </w:rPr>
              <w:t xml:space="preserve">Prijavitelji morajo vlogo za nepovratna sredstva oddati do </w:t>
            </w:r>
            <w:r w:rsidRPr="00F769E0">
              <w:rPr>
                <w:rFonts w:cs="Tahoma"/>
                <w:b/>
                <w:lang w:val="sl-SI" w:eastAsia="en-GB"/>
              </w:rPr>
              <w:t>2</w:t>
            </w:r>
            <w:r>
              <w:rPr>
                <w:rFonts w:cs="Tahoma"/>
                <w:b/>
                <w:lang w:val="sl-SI" w:eastAsia="en-GB"/>
              </w:rPr>
              <w:t>0</w:t>
            </w:r>
            <w:r w:rsidRPr="00F769E0">
              <w:rPr>
                <w:rFonts w:cs="Tahoma"/>
                <w:b/>
                <w:lang w:val="sl-SI" w:eastAsia="en-GB"/>
              </w:rPr>
              <w:t>. februarja do 1</w:t>
            </w:r>
            <w:r>
              <w:rPr>
                <w:rFonts w:cs="Tahoma"/>
                <w:b/>
                <w:lang w:val="sl-SI" w:eastAsia="en-GB"/>
              </w:rPr>
              <w:t>7</w:t>
            </w:r>
            <w:r w:rsidRPr="00F769E0">
              <w:rPr>
                <w:rFonts w:cs="Tahoma"/>
                <w:b/>
                <w:lang w:val="sl-SI" w:eastAsia="en-GB"/>
              </w:rPr>
              <w:t>. ure (po bruseljskem času)</w:t>
            </w:r>
            <w:r w:rsidRPr="00F769E0">
              <w:rPr>
                <w:rFonts w:cs="Tahoma"/>
                <w:lang w:val="sl-SI" w:eastAsia="en-GB"/>
              </w:rPr>
              <w:t xml:space="preserve"> za projekte, ki se začnejo 1. septembra istega leta.</w:t>
            </w:r>
          </w:p>
        </w:tc>
      </w:tr>
      <w:tr w:rsidR="00E03711" w:rsidRPr="00C60205" w14:paraId="7D399D74" w14:textId="77777777" w:rsidTr="00D0315F">
        <w:trPr>
          <w:cantSplit/>
          <w:trHeight w:val="170"/>
        </w:trPr>
        <w:tc>
          <w:tcPr>
            <w:tcW w:w="844" w:type="pct"/>
            <w:shd w:val="clear" w:color="auto" w:fill="FFFFFF"/>
            <w:vAlign w:val="center"/>
          </w:tcPr>
          <w:p w14:paraId="7D399D72" w14:textId="77777777" w:rsidR="00E03711" w:rsidRPr="00F769E0" w:rsidRDefault="00E03711" w:rsidP="00B166C5">
            <w:pPr>
              <w:pStyle w:val="GUIDE-NORMAL"/>
              <w:spacing w:before="60" w:after="60"/>
              <w:jc w:val="left"/>
              <w:rPr>
                <w:rFonts w:cs="Tahoma"/>
                <w:b/>
                <w:lang w:val="sl-SI" w:eastAsia="en-GB"/>
              </w:rPr>
            </w:pPr>
            <w:r w:rsidRPr="00F769E0">
              <w:rPr>
                <w:rFonts w:cs="Tahoma"/>
                <w:b/>
                <w:lang w:val="sl-SI" w:eastAsia="en-GB"/>
              </w:rPr>
              <w:t>Kako se prijaviti?</w:t>
            </w:r>
          </w:p>
        </w:tc>
        <w:tc>
          <w:tcPr>
            <w:tcW w:w="4156" w:type="pct"/>
            <w:shd w:val="clear" w:color="auto" w:fill="FFFFFF"/>
            <w:vAlign w:val="center"/>
          </w:tcPr>
          <w:p w14:paraId="7D399D73" w14:textId="77777777" w:rsidR="00E03711" w:rsidRPr="00F769E0" w:rsidRDefault="00E03711" w:rsidP="00B166C5">
            <w:pPr>
              <w:pStyle w:val="GUIDE-NORMAL"/>
              <w:spacing w:before="60" w:after="60"/>
              <w:jc w:val="left"/>
              <w:rPr>
                <w:rFonts w:cs="Tahoma"/>
                <w:lang w:val="sl-SI" w:eastAsia="en-GB"/>
              </w:rPr>
            </w:pPr>
            <w:r w:rsidRPr="00F769E0">
              <w:rPr>
                <w:rFonts w:cs="Tahoma"/>
                <w:lang w:val="sl-SI" w:eastAsia="en-GB"/>
              </w:rPr>
              <w:t>Za podrobnosti o postopku prijave glej del C tega vodnika.</w:t>
            </w:r>
          </w:p>
        </w:tc>
      </w:tr>
    </w:tbl>
    <w:p w14:paraId="7D399D75" w14:textId="77777777" w:rsidR="00E03711" w:rsidRDefault="00E03711" w:rsidP="007F20EC">
      <w:pPr>
        <w:pStyle w:val="GUIDE-NORMAL"/>
        <w:rPr>
          <w:lang w:val="sl-SI"/>
        </w:rPr>
      </w:pPr>
      <w:r>
        <w:rPr>
          <w:lang w:val="sl-SI"/>
        </w:rPr>
        <w:t>* Če član osebja nima naziva profesorja, predlog postane predlog modula Jean Monnet.</w:t>
      </w:r>
    </w:p>
    <w:p w14:paraId="7D399D76" w14:textId="77777777" w:rsidR="00E03711" w:rsidRPr="001048FE" w:rsidRDefault="00E03711" w:rsidP="00B166C5">
      <w:pPr>
        <w:pStyle w:val="GUIDE-NORMAL"/>
        <w:rPr>
          <w:lang w:val="sl-SI"/>
        </w:rPr>
      </w:pPr>
      <w:r w:rsidRPr="001048FE">
        <w:rPr>
          <w:lang w:val="sl-SI"/>
        </w:rPr>
        <w:t xml:space="preserve">Organizacije prijaviteljice bodo ocenjene tudi z </w:t>
      </w:r>
      <w:r w:rsidRPr="00860232">
        <w:rPr>
          <w:b/>
          <w:bCs/>
          <w:lang w:val="sl-SI"/>
        </w:rPr>
        <w:t>merili za izključitev in izbor</w:t>
      </w:r>
      <w:r w:rsidRPr="001048FE">
        <w:rPr>
          <w:lang w:val="sl-SI"/>
        </w:rPr>
        <w:t>. Za več informacij glej del C tega vodnika.</w:t>
      </w:r>
    </w:p>
    <w:p w14:paraId="7D399D77" w14:textId="77777777" w:rsidR="00E03711" w:rsidRPr="001048FE" w:rsidRDefault="00E03711" w:rsidP="00B166C5">
      <w:pPr>
        <w:pStyle w:val="Guide-Heading5"/>
        <w:rPr>
          <w:lang w:val="sl-SI"/>
        </w:rPr>
        <w:sectPr w:rsidR="00E03711" w:rsidRPr="001048FE" w:rsidSect="00E15ED3">
          <w:headerReference w:type="even" r:id="rId120"/>
          <w:headerReference w:type="default" r:id="rId121"/>
          <w:endnotePr>
            <w:numFmt w:val="decimal"/>
          </w:endnotePr>
          <w:pgSz w:w="11910" w:h="16840" w:code="9"/>
          <w:pgMar w:top="1134" w:right="1418" w:bottom="1134" w:left="1418" w:header="284" w:footer="567" w:gutter="0"/>
          <w:cols w:space="720"/>
          <w:docGrid w:linePitch="326"/>
        </w:sectPr>
      </w:pPr>
    </w:p>
    <w:p w14:paraId="7D399D78" w14:textId="77777777" w:rsidR="00E03711" w:rsidRPr="001048FE" w:rsidRDefault="00E03711" w:rsidP="002A25C9">
      <w:pPr>
        <w:pStyle w:val="Guide-Heading5"/>
        <w:rPr>
          <w:lang w:val="sl-SI"/>
        </w:rPr>
      </w:pPr>
      <w:r w:rsidRPr="001048FE">
        <w:rPr>
          <w:lang w:val="sl-SI"/>
        </w:rPr>
        <w:t>Merila za dodelitev</w:t>
      </w:r>
    </w:p>
    <w:p w14:paraId="7D399D79" w14:textId="77777777" w:rsidR="00E03711" w:rsidRPr="001048FE" w:rsidRDefault="00E03711" w:rsidP="00B166C5">
      <w:pPr>
        <w:pStyle w:val="GUIDE-NORMAL"/>
        <w:rPr>
          <w:lang w:val="sl-SI"/>
        </w:rPr>
      </w:pPr>
      <w:r w:rsidRPr="001048FE">
        <w:rPr>
          <w:lang w:val="sl-SI"/>
        </w:rPr>
        <w:t>Projekti bodo ocenjeni z naslednjimi merili:</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Look w:val="0000" w:firstRow="0" w:lastRow="0" w:firstColumn="0" w:lastColumn="0" w:noHBand="0" w:noVBand="0"/>
      </w:tblPr>
      <w:tblGrid>
        <w:gridCol w:w="1568"/>
        <w:gridCol w:w="7722"/>
      </w:tblGrid>
      <w:tr w:rsidR="00E03711" w:rsidRPr="00654F6A" w14:paraId="7D399D8D" w14:textId="77777777" w:rsidTr="00C55E88">
        <w:trPr>
          <w:trHeight w:val="283"/>
        </w:trPr>
        <w:tc>
          <w:tcPr>
            <w:tcW w:w="844" w:type="pct"/>
            <w:shd w:val="clear" w:color="auto" w:fill="FFFFFF"/>
            <w:vAlign w:val="center"/>
          </w:tcPr>
          <w:p w14:paraId="7D399D7A" w14:textId="77777777" w:rsidR="00E03711" w:rsidRPr="00F769E0" w:rsidRDefault="00E03711" w:rsidP="003562FA">
            <w:pPr>
              <w:pStyle w:val="GUIDE-NORMAL"/>
              <w:spacing w:before="60" w:after="60"/>
              <w:jc w:val="left"/>
              <w:rPr>
                <w:rFonts w:cs="Tahoma"/>
                <w:b/>
                <w:lang w:val="sl-SI" w:eastAsia="en-GB"/>
              </w:rPr>
            </w:pPr>
            <w:r w:rsidRPr="00F769E0">
              <w:rPr>
                <w:rFonts w:cs="Tahoma"/>
                <w:b/>
                <w:lang w:val="sl-SI" w:eastAsia="en-GB"/>
              </w:rPr>
              <w:t xml:space="preserve">Ustreznost projekta </w:t>
            </w:r>
            <w:r w:rsidRPr="00F769E0">
              <w:rPr>
                <w:rFonts w:cs="Tahoma"/>
                <w:b/>
                <w:lang w:val="sl-SI" w:eastAsia="en-GB"/>
              </w:rPr>
              <w:br/>
              <w:t>(največ 25 točk)</w:t>
            </w:r>
          </w:p>
        </w:tc>
        <w:tc>
          <w:tcPr>
            <w:tcW w:w="4156" w:type="pct"/>
            <w:shd w:val="clear" w:color="auto" w:fill="FFFFFF"/>
            <w:vAlign w:val="center"/>
          </w:tcPr>
          <w:p w14:paraId="7D399D7B" w14:textId="77777777" w:rsidR="00E03711" w:rsidRDefault="00E03711" w:rsidP="005115F2">
            <w:pPr>
              <w:pStyle w:val="Guide-NormalBulletpoints"/>
              <w:numPr>
                <w:ilvl w:val="0"/>
                <w:numId w:val="147"/>
              </w:numPr>
              <w:spacing w:before="60"/>
              <w:jc w:val="left"/>
              <w:rPr>
                <w:lang w:val="sl-SI"/>
              </w:rPr>
            </w:pPr>
            <w:r>
              <w:rPr>
                <w:lang w:val="sl-SI"/>
              </w:rPr>
              <w:t xml:space="preserve">v kolikšni meri je predlog znotraj </w:t>
            </w:r>
            <w:r w:rsidRPr="00D10C38">
              <w:rPr>
                <w:b/>
                <w:bCs/>
                <w:lang w:val="sl-SI"/>
              </w:rPr>
              <w:t>okvira</w:t>
            </w:r>
            <w:r>
              <w:rPr>
                <w:lang w:val="sl-SI"/>
              </w:rPr>
              <w:t xml:space="preserve"> študij Evropske unije:</w:t>
            </w:r>
          </w:p>
          <w:p w14:paraId="7D399D7C" w14:textId="77777777" w:rsidR="00E03711" w:rsidRDefault="00E03711" w:rsidP="005115F2">
            <w:pPr>
              <w:pStyle w:val="Guide-NormalBulletpoints"/>
              <w:numPr>
                <w:ilvl w:val="1"/>
                <w:numId w:val="147"/>
              </w:numPr>
              <w:spacing w:before="60"/>
              <w:jc w:val="left"/>
              <w:rPr>
                <w:lang w:val="sl-SI"/>
              </w:rPr>
            </w:pPr>
            <w:r>
              <w:rPr>
                <w:lang w:val="sl-SI"/>
              </w:rPr>
              <w:t>v celoti tvori študij Evropske unije, s posebnim poudarkom na integracijskem procesu EU tako v notranjih kot zunanjih vidikih;</w:t>
            </w:r>
          </w:p>
          <w:p w14:paraId="7D399D7D" w14:textId="77777777" w:rsidR="00E03711" w:rsidRDefault="00E03711" w:rsidP="005115F2">
            <w:pPr>
              <w:pStyle w:val="Guide-NormalBulletpoints"/>
              <w:numPr>
                <w:ilvl w:val="1"/>
                <w:numId w:val="147"/>
              </w:numPr>
              <w:spacing w:before="60"/>
              <w:jc w:val="left"/>
              <w:rPr>
                <w:lang w:val="sl-SI"/>
              </w:rPr>
            </w:pPr>
            <w:r>
              <w:rPr>
                <w:lang w:val="sl-SI"/>
              </w:rPr>
              <w:t xml:space="preserve">povezava s pravnim redom EU </w:t>
            </w:r>
            <w:r w:rsidRPr="00D10C38">
              <w:rPr>
                <w:i/>
                <w:iCs/>
                <w:lang w:val="sl-SI"/>
              </w:rPr>
              <w:t xml:space="preserve">(acquis communautaire) </w:t>
            </w:r>
            <w:r>
              <w:rPr>
                <w:lang w:val="sl-SI"/>
              </w:rPr>
              <w:t>in obstoječimi politikami EU;</w:t>
            </w:r>
          </w:p>
          <w:p w14:paraId="7D399D7E" w14:textId="77777777" w:rsidR="00E03711" w:rsidRDefault="00E03711" w:rsidP="005115F2">
            <w:pPr>
              <w:pStyle w:val="Guide-NormalBulletpoints"/>
              <w:numPr>
                <w:ilvl w:val="1"/>
                <w:numId w:val="147"/>
              </w:numPr>
              <w:spacing w:before="60"/>
              <w:jc w:val="left"/>
              <w:rPr>
                <w:lang w:val="sl-SI"/>
              </w:rPr>
            </w:pPr>
            <w:r>
              <w:rPr>
                <w:lang w:val="sl-SI"/>
              </w:rPr>
              <w:t>spodbujanje aktivnega državljanstva v EU in vrednot EU;</w:t>
            </w:r>
          </w:p>
          <w:p w14:paraId="7D399D7F" w14:textId="77777777" w:rsidR="00E03711" w:rsidRDefault="00E03711" w:rsidP="005115F2">
            <w:pPr>
              <w:pStyle w:val="Guide-NormalBulletpoints"/>
              <w:numPr>
                <w:ilvl w:val="1"/>
                <w:numId w:val="147"/>
              </w:numPr>
              <w:spacing w:before="60"/>
              <w:jc w:val="left"/>
              <w:rPr>
                <w:lang w:val="sl-SI"/>
              </w:rPr>
            </w:pPr>
            <w:r>
              <w:rPr>
                <w:lang w:val="sl-SI"/>
              </w:rPr>
              <w:t>krepitev zavedanja o EU in omogočanje prihodnje angažiranosti ter dialoga med narodi.</w:t>
            </w:r>
          </w:p>
          <w:p w14:paraId="7D399D80" w14:textId="77777777" w:rsidR="00E03711" w:rsidRPr="00B22787" w:rsidRDefault="00E03711" w:rsidP="005115F2">
            <w:pPr>
              <w:pStyle w:val="Guide-NormalBulletpoints"/>
              <w:numPr>
                <w:ilvl w:val="0"/>
                <w:numId w:val="147"/>
              </w:numPr>
              <w:spacing w:before="60"/>
              <w:jc w:val="left"/>
              <w:rPr>
                <w:lang w:val="sl-SI"/>
              </w:rPr>
            </w:pPr>
            <w:r w:rsidRPr="00D10C38">
              <w:rPr>
                <w:b/>
                <w:bCs/>
                <w:lang w:val="sl-SI"/>
              </w:rPr>
              <w:t>ustreznost</w:t>
            </w:r>
            <w:r w:rsidRPr="00C6615D">
              <w:rPr>
                <w:lang w:val="sl-SI"/>
              </w:rPr>
              <w:t xml:space="preserve"> predloga v zvezi z</w:t>
            </w:r>
            <w:r>
              <w:rPr>
                <w:lang w:val="sl-SI"/>
              </w:rPr>
              <w:t xml:space="preserve"> </w:t>
            </w:r>
            <w:r w:rsidRPr="00C6615D">
              <w:rPr>
                <w:lang w:val="sl-SI"/>
              </w:rPr>
              <w:t xml:space="preserve">enim ali več naslednjimi cilji </w:t>
            </w:r>
            <w:r w:rsidRPr="00B22787">
              <w:rPr>
                <w:lang w:val="sl-SI"/>
              </w:rPr>
              <w:t>aktivnosti Jean Monnet:</w:t>
            </w:r>
          </w:p>
          <w:p w14:paraId="7D399D81" w14:textId="77777777" w:rsidR="00E03711" w:rsidRDefault="00E03711" w:rsidP="005115F2">
            <w:pPr>
              <w:pStyle w:val="Guide-NormalBulletpoints"/>
              <w:numPr>
                <w:ilvl w:val="1"/>
                <w:numId w:val="147"/>
              </w:numPr>
              <w:spacing w:before="60"/>
              <w:jc w:val="left"/>
              <w:rPr>
                <w:lang w:val="sl-SI"/>
              </w:rPr>
            </w:pPr>
            <w:r>
              <w:rPr>
                <w:lang w:val="sl-SI"/>
              </w:rPr>
              <w:t>spodbujanje odličnosti pri poučevanju in raziskovanju o evropskih študijah;</w:t>
            </w:r>
          </w:p>
          <w:p w14:paraId="7D399D82" w14:textId="77777777" w:rsidR="00E03711" w:rsidRDefault="00E03711" w:rsidP="005115F2">
            <w:pPr>
              <w:pStyle w:val="Guide-NormalBulletpoints"/>
              <w:numPr>
                <w:ilvl w:val="1"/>
                <w:numId w:val="147"/>
              </w:numPr>
              <w:spacing w:before="60"/>
              <w:jc w:val="left"/>
              <w:rPr>
                <w:lang w:val="sl-SI"/>
              </w:rPr>
            </w:pPr>
            <w:r>
              <w:rPr>
                <w:lang w:val="sl-SI"/>
              </w:rPr>
              <w:t>spodbujanje ustvarjanja novega poučevanja/aktivnosti pri evropskih študijah;</w:t>
            </w:r>
          </w:p>
          <w:p w14:paraId="7D399D83" w14:textId="77777777" w:rsidR="00E03711" w:rsidRDefault="00E03711" w:rsidP="005115F2">
            <w:pPr>
              <w:pStyle w:val="Guide-NormalBulletpoints"/>
              <w:numPr>
                <w:ilvl w:val="1"/>
                <w:numId w:val="147"/>
              </w:numPr>
              <w:spacing w:before="60"/>
              <w:jc w:val="left"/>
              <w:rPr>
                <w:lang w:val="sl-SI"/>
              </w:rPr>
            </w:pPr>
            <w:r>
              <w:rPr>
                <w:lang w:val="sl-SI"/>
              </w:rPr>
              <w:t>ustvarjanje znanja in vpogledov, ki lahko podpirajo oblikovanje politik EU in krepijo vlogo EU v globaliziranem svetu;</w:t>
            </w:r>
          </w:p>
          <w:p w14:paraId="7D399D84" w14:textId="77777777" w:rsidR="00E03711" w:rsidRDefault="00E03711" w:rsidP="005115F2">
            <w:pPr>
              <w:pStyle w:val="Guide-NormalBulletpoints"/>
              <w:numPr>
                <w:ilvl w:val="1"/>
                <w:numId w:val="147"/>
              </w:numPr>
              <w:spacing w:before="60"/>
              <w:jc w:val="left"/>
              <w:rPr>
                <w:lang w:val="sl-SI"/>
              </w:rPr>
            </w:pPr>
            <w:r>
              <w:rPr>
                <w:lang w:val="sl-SI"/>
              </w:rPr>
              <w:t>vsebovanje koristi za sisteme politki, znotraj katerih je opredeljen;</w:t>
            </w:r>
          </w:p>
          <w:p w14:paraId="7D399D85" w14:textId="77777777" w:rsidR="00E03711" w:rsidRDefault="00E03711" w:rsidP="005115F2">
            <w:pPr>
              <w:pStyle w:val="Guide-NormalBulletpoints"/>
              <w:numPr>
                <w:ilvl w:val="1"/>
                <w:numId w:val="147"/>
              </w:numPr>
              <w:spacing w:before="60"/>
              <w:jc w:val="left"/>
              <w:rPr>
                <w:lang w:val="sl-SI"/>
              </w:rPr>
            </w:pPr>
            <w:r>
              <w:rPr>
                <w:lang w:val="sl-SI"/>
              </w:rPr>
              <w:t>spodbujanje dialoga med akademskim svetom in širšo družbo;</w:t>
            </w:r>
          </w:p>
          <w:p w14:paraId="7D399D86" w14:textId="77777777" w:rsidR="00E03711" w:rsidRDefault="00E03711" w:rsidP="005115F2">
            <w:pPr>
              <w:pStyle w:val="Guide-NormalBulletpoints"/>
              <w:numPr>
                <w:ilvl w:val="1"/>
                <w:numId w:val="147"/>
              </w:numPr>
              <w:spacing w:before="60"/>
              <w:jc w:val="left"/>
              <w:rPr>
                <w:lang w:val="sl-SI"/>
              </w:rPr>
            </w:pPr>
            <w:r>
              <w:rPr>
                <w:lang w:val="sl-SI"/>
              </w:rPr>
              <w:t>vključevanje akterjev civilne družbe, oblikovalcev politike, javnih uslužbencev, predstavnikov izobraževanja in predstavnikov medijev na različnih ravneh;</w:t>
            </w:r>
          </w:p>
          <w:p w14:paraId="7D399D87" w14:textId="77777777" w:rsidR="00E03711" w:rsidRDefault="00E03711" w:rsidP="005115F2">
            <w:pPr>
              <w:pStyle w:val="Guide-NormalBulletpoints"/>
              <w:numPr>
                <w:ilvl w:val="1"/>
                <w:numId w:val="147"/>
              </w:numPr>
              <w:spacing w:before="60"/>
              <w:jc w:val="left"/>
              <w:rPr>
                <w:lang w:val="sl-SI"/>
              </w:rPr>
            </w:pPr>
            <w:r>
              <w:rPr>
                <w:lang w:val="sl-SI"/>
              </w:rPr>
              <w:t>širjenje znanja o EU v širši družbi, zunaj akademskih krogov in specializiranega občinstva;</w:t>
            </w:r>
          </w:p>
          <w:p w14:paraId="7D399D88" w14:textId="77777777" w:rsidR="00E03711" w:rsidRPr="001048FE" w:rsidRDefault="00E03711" w:rsidP="005115F2">
            <w:pPr>
              <w:pStyle w:val="Guide-NormalBulletpoints"/>
              <w:numPr>
                <w:ilvl w:val="1"/>
                <w:numId w:val="147"/>
              </w:numPr>
              <w:spacing w:before="60"/>
              <w:jc w:val="left"/>
              <w:rPr>
                <w:lang w:val="sl-SI"/>
              </w:rPr>
            </w:pPr>
            <w:r>
              <w:rPr>
                <w:lang w:val="sl-SI"/>
              </w:rPr>
              <w:t>približanje EU javnosti.</w:t>
            </w:r>
          </w:p>
          <w:p w14:paraId="7D399D89" w14:textId="77777777" w:rsidR="00E03711" w:rsidRPr="001048FE" w:rsidRDefault="00E03711" w:rsidP="005115F2">
            <w:pPr>
              <w:pStyle w:val="Guide-NormalBulletpoints"/>
              <w:numPr>
                <w:ilvl w:val="0"/>
                <w:numId w:val="151"/>
              </w:numPr>
              <w:spacing w:before="60"/>
              <w:jc w:val="left"/>
              <w:rPr>
                <w:lang w:val="sl-SI"/>
              </w:rPr>
            </w:pPr>
            <w:r w:rsidRPr="00D10C38">
              <w:rPr>
                <w:b/>
                <w:bCs/>
                <w:lang w:val="sl-SI"/>
              </w:rPr>
              <w:t>v kolikšni meri</w:t>
            </w:r>
            <w:r w:rsidRPr="001048FE">
              <w:rPr>
                <w:lang w:val="sl-SI"/>
              </w:rPr>
              <w:t xml:space="preserve"> predlog</w:t>
            </w:r>
            <w:r>
              <w:rPr>
                <w:lang w:val="sl-SI"/>
              </w:rPr>
              <w:t xml:space="preserve"> dosega </w:t>
            </w:r>
            <w:r w:rsidRPr="00D10C38">
              <w:rPr>
                <w:b/>
                <w:bCs/>
                <w:lang w:val="sl-SI"/>
              </w:rPr>
              <w:t>prednostne ciljne skupine</w:t>
            </w:r>
            <w:r w:rsidRPr="001048FE">
              <w:rPr>
                <w:lang w:val="sl-SI"/>
              </w:rPr>
              <w:t>:</w:t>
            </w:r>
          </w:p>
          <w:p w14:paraId="7D399D8A" w14:textId="77777777" w:rsidR="00E03711" w:rsidRPr="001048FE" w:rsidRDefault="00E03711" w:rsidP="005115F2">
            <w:pPr>
              <w:pStyle w:val="Guide-ListDash"/>
              <w:numPr>
                <w:ilvl w:val="1"/>
                <w:numId w:val="147"/>
              </w:numPr>
              <w:spacing w:before="60" w:after="60"/>
              <w:jc w:val="left"/>
              <w:rPr>
                <w:lang w:val="sl-SI"/>
              </w:rPr>
            </w:pPr>
            <w:r w:rsidRPr="001048FE">
              <w:rPr>
                <w:lang w:val="sl-SI"/>
              </w:rPr>
              <w:t>institucije ali akademiki, ki še niso prejeli sredstev Jean Monnet;</w:t>
            </w:r>
          </w:p>
          <w:p w14:paraId="7D399D8B" w14:textId="77777777" w:rsidR="00E03711" w:rsidRDefault="00E03711" w:rsidP="005115F2">
            <w:pPr>
              <w:pStyle w:val="Guide-ListDash"/>
              <w:numPr>
                <w:ilvl w:val="1"/>
                <w:numId w:val="152"/>
              </w:numPr>
              <w:spacing w:before="60" w:after="60"/>
              <w:jc w:val="left"/>
              <w:rPr>
                <w:lang w:val="sl-SI"/>
              </w:rPr>
            </w:pPr>
            <w:r w:rsidRPr="001048FE">
              <w:rPr>
                <w:lang w:val="sl-SI"/>
              </w:rPr>
              <w:t>študenti</w:t>
            </w:r>
            <w:r>
              <w:rPr>
                <w:lang w:val="sl-SI"/>
              </w:rPr>
              <w:t>/občinstva</w:t>
            </w:r>
            <w:r w:rsidRPr="001048FE">
              <w:rPr>
                <w:lang w:val="sl-SI"/>
              </w:rPr>
              <w:t>, ki ne pridejo samodejno v stik z evropskimi študijami (na področjih</w:t>
            </w:r>
            <w:r>
              <w:rPr>
                <w:lang w:val="sl-SI"/>
              </w:rPr>
              <w:t xml:space="preserve"> izven prava, ekonomije in politologije</w:t>
            </w:r>
            <w:r w:rsidRPr="001048FE">
              <w:rPr>
                <w:lang w:val="sl-SI"/>
              </w:rPr>
              <w:t>)</w:t>
            </w:r>
            <w:r>
              <w:rPr>
                <w:lang w:val="sl-SI"/>
              </w:rPr>
              <w:t>;</w:t>
            </w:r>
          </w:p>
          <w:p w14:paraId="7D399D8C" w14:textId="77777777" w:rsidR="00E03711" w:rsidRPr="001048FE" w:rsidRDefault="00E03711" w:rsidP="005115F2">
            <w:pPr>
              <w:pStyle w:val="Guide-ListDash"/>
              <w:numPr>
                <w:ilvl w:val="1"/>
                <w:numId w:val="155"/>
              </w:numPr>
              <w:spacing w:before="60" w:after="60"/>
              <w:jc w:val="left"/>
              <w:rPr>
                <w:lang w:val="sl-SI"/>
              </w:rPr>
            </w:pPr>
            <w:r>
              <w:rPr>
                <w:lang w:val="sl-SI"/>
              </w:rPr>
              <w:t>pri tretjih državah, potencial projekta, da okrepi javno diplomacijo EU.</w:t>
            </w:r>
          </w:p>
        </w:tc>
      </w:tr>
      <w:tr w:rsidR="00E03711" w:rsidRPr="00C60205" w14:paraId="7D399D92" w14:textId="77777777" w:rsidTr="00C55E88">
        <w:trPr>
          <w:trHeight w:val="283"/>
        </w:trPr>
        <w:tc>
          <w:tcPr>
            <w:tcW w:w="844" w:type="pct"/>
            <w:shd w:val="clear" w:color="auto" w:fill="FFFFFF"/>
            <w:vAlign w:val="center"/>
          </w:tcPr>
          <w:p w14:paraId="7D399D8E" w14:textId="77777777" w:rsidR="00E03711" w:rsidRPr="00F769E0" w:rsidRDefault="00E03711" w:rsidP="003562FA">
            <w:pPr>
              <w:pStyle w:val="GUIDE-NORMAL"/>
              <w:spacing w:before="60" w:after="60"/>
              <w:jc w:val="left"/>
              <w:rPr>
                <w:rFonts w:cs="Tahoma"/>
                <w:b/>
                <w:lang w:val="sl-SI" w:eastAsia="en-GB"/>
              </w:rPr>
            </w:pPr>
            <w:r w:rsidRPr="00F769E0">
              <w:rPr>
                <w:rFonts w:cs="Tahoma"/>
                <w:b/>
                <w:lang w:val="sl-SI" w:eastAsia="en-GB"/>
              </w:rPr>
              <w:t xml:space="preserve">Kakovost zasnove in izvedbe projekta </w:t>
            </w:r>
            <w:r w:rsidRPr="00F769E0">
              <w:rPr>
                <w:rFonts w:cs="Tahoma"/>
                <w:b/>
                <w:lang w:val="sl-SI" w:eastAsia="en-GB"/>
              </w:rPr>
              <w:br/>
              <w:t>(največ 25 točk)</w:t>
            </w:r>
          </w:p>
        </w:tc>
        <w:tc>
          <w:tcPr>
            <w:tcW w:w="4156" w:type="pct"/>
            <w:shd w:val="clear" w:color="auto" w:fill="FFFFFF"/>
            <w:vAlign w:val="center"/>
          </w:tcPr>
          <w:p w14:paraId="7D399D8F" w14:textId="77777777" w:rsidR="00E03711" w:rsidRPr="006E61F8" w:rsidRDefault="00E03711" w:rsidP="005115F2">
            <w:pPr>
              <w:pStyle w:val="Guide-NormalBulletpoints"/>
              <w:numPr>
                <w:ilvl w:val="0"/>
                <w:numId w:val="154"/>
              </w:numPr>
              <w:ind w:left="340"/>
              <w:rPr>
                <w:lang w:val="sl-SI"/>
              </w:rPr>
            </w:pPr>
            <w:r w:rsidRPr="006E61F8">
              <w:rPr>
                <w:lang w:val="sl-SI"/>
              </w:rPr>
              <w:t xml:space="preserve">jasnost, celovitost in kakovost </w:t>
            </w:r>
            <w:r>
              <w:rPr>
                <w:lang w:val="sl-SI"/>
              </w:rPr>
              <w:t xml:space="preserve">predloga in </w:t>
            </w:r>
            <w:r w:rsidRPr="00D10C38">
              <w:rPr>
                <w:b/>
                <w:bCs/>
                <w:lang w:val="sl-SI"/>
              </w:rPr>
              <w:t>delovnega programa</w:t>
            </w:r>
            <w:r w:rsidRPr="006E61F8">
              <w:rPr>
                <w:lang w:val="sl-SI"/>
              </w:rPr>
              <w:t xml:space="preserve">, vključno z </w:t>
            </w:r>
            <w:r w:rsidRPr="00D10C38">
              <w:rPr>
                <w:b/>
                <w:bCs/>
                <w:lang w:val="sl-SI"/>
              </w:rPr>
              <w:t>ustreznim</w:t>
            </w:r>
            <w:r w:rsidRPr="006E61F8">
              <w:rPr>
                <w:lang w:val="sl-SI"/>
              </w:rPr>
              <w:t xml:space="preserve"> </w:t>
            </w:r>
            <w:r w:rsidRPr="00D10C38">
              <w:rPr>
                <w:b/>
                <w:bCs/>
                <w:lang w:val="sl-SI"/>
              </w:rPr>
              <w:t>načrtovanjem</w:t>
            </w:r>
            <w:r>
              <w:rPr>
                <w:lang w:val="sl-SI"/>
              </w:rPr>
              <w:t xml:space="preserve"> faz </w:t>
            </w:r>
            <w:r w:rsidRPr="006E61F8">
              <w:rPr>
                <w:lang w:val="sl-SI"/>
              </w:rPr>
              <w:t>priprav</w:t>
            </w:r>
            <w:r>
              <w:rPr>
                <w:lang w:val="sl-SI"/>
              </w:rPr>
              <w:t>e</w:t>
            </w:r>
            <w:r w:rsidRPr="006E61F8">
              <w:rPr>
                <w:lang w:val="sl-SI"/>
              </w:rPr>
              <w:t>, izvajanj</w:t>
            </w:r>
            <w:r>
              <w:rPr>
                <w:lang w:val="sl-SI"/>
              </w:rPr>
              <w:t>a</w:t>
            </w:r>
            <w:r w:rsidRPr="006E61F8">
              <w:rPr>
                <w:lang w:val="sl-SI"/>
              </w:rPr>
              <w:t>, ocenjevanj</w:t>
            </w:r>
            <w:r>
              <w:rPr>
                <w:lang w:val="sl-SI"/>
              </w:rPr>
              <w:t>a</w:t>
            </w:r>
            <w:r w:rsidRPr="006E61F8">
              <w:rPr>
                <w:lang w:val="sl-SI"/>
              </w:rPr>
              <w:t>, nadaljnje</w:t>
            </w:r>
            <w:r>
              <w:rPr>
                <w:lang w:val="sl-SI"/>
              </w:rPr>
              <w:t>ga</w:t>
            </w:r>
            <w:r w:rsidRPr="006E61F8">
              <w:rPr>
                <w:lang w:val="sl-SI"/>
              </w:rPr>
              <w:t xml:space="preserve"> spremljanj</w:t>
            </w:r>
            <w:r>
              <w:rPr>
                <w:lang w:val="sl-SI"/>
              </w:rPr>
              <w:t>a</w:t>
            </w:r>
            <w:r w:rsidRPr="006E61F8">
              <w:rPr>
                <w:lang w:val="sl-SI"/>
              </w:rPr>
              <w:t xml:space="preserve"> in razširjanj</w:t>
            </w:r>
            <w:r>
              <w:rPr>
                <w:lang w:val="sl-SI"/>
              </w:rPr>
              <w:t>a</w:t>
            </w:r>
            <w:r w:rsidRPr="006E61F8">
              <w:rPr>
                <w:lang w:val="sl-SI"/>
              </w:rPr>
              <w:t>;</w:t>
            </w:r>
          </w:p>
          <w:p w14:paraId="7D399D90" w14:textId="77777777" w:rsidR="00E03711" w:rsidRPr="009A2C2A" w:rsidRDefault="00E03711" w:rsidP="005115F2">
            <w:pPr>
              <w:pStyle w:val="Guide-NormalBulletpoints"/>
              <w:numPr>
                <w:ilvl w:val="0"/>
                <w:numId w:val="154"/>
              </w:numPr>
              <w:ind w:left="340"/>
              <w:rPr>
                <w:lang w:val="sl-SI"/>
              </w:rPr>
            </w:pPr>
            <w:r w:rsidRPr="00D10C38">
              <w:rPr>
                <w:b/>
                <w:bCs/>
                <w:lang w:val="sl-SI"/>
              </w:rPr>
              <w:t>skladnost</w:t>
            </w:r>
            <w:r>
              <w:rPr>
                <w:lang w:val="sl-SI"/>
              </w:rPr>
              <w:t xml:space="preserve"> </w:t>
            </w:r>
            <w:r w:rsidRPr="009A2C2A">
              <w:rPr>
                <w:lang w:val="sl-SI"/>
              </w:rPr>
              <w:t>ciljev projekta</w:t>
            </w:r>
            <w:r>
              <w:rPr>
                <w:lang w:val="sl-SI"/>
              </w:rPr>
              <w:t xml:space="preserve"> in</w:t>
            </w:r>
            <w:r w:rsidRPr="009A2C2A">
              <w:rPr>
                <w:lang w:val="sl-SI"/>
              </w:rPr>
              <w:t xml:space="preserve"> aktivnosti;</w:t>
            </w:r>
          </w:p>
          <w:p w14:paraId="7D399D91" w14:textId="77777777" w:rsidR="00E03711" w:rsidRPr="001048FE" w:rsidRDefault="00E03711" w:rsidP="005115F2">
            <w:pPr>
              <w:pStyle w:val="Guide-NormalBulletpoints"/>
              <w:numPr>
                <w:ilvl w:val="0"/>
                <w:numId w:val="154"/>
              </w:numPr>
              <w:spacing w:before="60"/>
              <w:ind w:left="340"/>
              <w:jc w:val="left"/>
              <w:rPr>
                <w:lang w:val="sl-SI"/>
              </w:rPr>
            </w:pPr>
            <w:r w:rsidRPr="009A2C2A">
              <w:rPr>
                <w:lang w:val="sl-SI"/>
              </w:rPr>
              <w:t>kakovost</w:t>
            </w:r>
            <w:r>
              <w:rPr>
                <w:lang w:val="sl-SI"/>
              </w:rPr>
              <w:t>, novost</w:t>
            </w:r>
            <w:r w:rsidRPr="009A2C2A">
              <w:rPr>
                <w:lang w:val="sl-SI"/>
              </w:rPr>
              <w:t xml:space="preserve"> in izvedljivost </w:t>
            </w:r>
            <w:r>
              <w:rPr>
                <w:lang w:val="sl-SI"/>
              </w:rPr>
              <w:t xml:space="preserve">projekta samega ter izvedljivost </w:t>
            </w:r>
            <w:r w:rsidRPr="009A2C2A">
              <w:rPr>
                <w:lang w:val="sl-SI"/>
              </w:rPr>
              <w:t>predlagane metodologije.</w:t>
            </w:r>
          </w:p>
        </w:tc>
      </w:tr>
      <w:tr w:rsidR="00E03711" w:rsidRPr="00C60205" w14:paraId="7D399D95" w14:textId="77777777" w:rsidTr="00C55E88">
        <w:trPr>
          <w:trHeight w:val="283"/>
        </w:trPr>
        <w:tc>
          <w:tcPr>
            <w:tcW w:w="844" w:type="pct"/>
            <w:shd w:val="clear" w:color="auto" w:fill="FFFFFF"/>
            <w:vAlign w:val="center"/>
          </w:tcPr>
          <w:p w14:paraId="7D399D93" w14:textId="77777777" w:rsidR="00E03711" w:rsidRPr="00F769E0" w:rsidRDefault="00E03711" w:rsidP="003562FA">
            <w:pPr>
              <w:pStyle w:val="GUIDE-NORMAL"/>
              <w:spacing w:before="60" w:after="60"/>
              <w:jc w:val="left"/>
              <w:rPr>
                <w:rFonts w:cs="Tahoma"/>
                <w:b/>
                <w:lang w:val="sl-SI" w:eastAsia="en-GB"/>
              </w:rPr>
            </w:pPr>
            <w:r w:rsidRPr="00F769E0">
              <w:rPr>
                <w:rFonts w:cs="Tahoma"/>
                <w:b/>
                <w:lang w:val="sl-SI" w:eastAsia="en-GB"/>
              </w:rPr>
              <w:t xml:space="preserve">Kakovost projektne skupine </w:t>
            </w:r>
            <w:r w:rsidRPr="00F769E0">
              <w:rPr>
                <w:rFonts w:cs="Tahoma"/>
                <w:b/>
                <w:lang w:val="sl-SI" w:eastAsia="en-GB"/>
              </w:rPr>
              <w:br/>
              <w:t>(največ 25 točk)</w:t>
            </w:r>
          </w:p>
        </w:tc>
        <w:tc>
          <w:tcPr>
            <w:tcW w:w="4156" w:type="pct"/>
            <w:shd w:val="clear" w:color="auto" w:fill="FFFFFF"/>
            <w:vAlign w:val="center"/>
          </w:tcPr>
          <w:p w14:paraId="7D399D94" w14:textId="77777777" w:rsidR="00E03711" w:rsidRPr="001048FE" w:rsidRDefault="00E03711" w:rsidP="005115F2">
            <w:pPr>
              <w:pStyle w:val="Guide-NormalBulletpoints"/>
              <w:numPr>
                <w:ilvl w:val="0"/>
                <w:numId w:val="154"/>
              </w:numPr>
              <w:spacing w:before="60"/>
              <w:ind w:left="340"/>
              <w:jc w:val="left"/>
              <w:rPr>
                <w:lang w:val="sl-SI"/>
              </w:rPr>
            </w:pPr>
            <w:r w:rsidRPr="001048FE">
              <w:rPr>
                <w:lang w:val="sl-SI"/>
              </w:rPr>
              <w:t>ustreznost</w:t>
            </w:r>
            <w:r>
              <w:rPr>
                <w:lang w:val="sl-SI"/>
              </w:rPr>
              <w:t xml:space="preserve"> in komplementarnost</w:t>
            </w:r>
            <w:r w:rsidRPr="001048FE">
              <w:rPr>
                <w:lang w:val="sl-SI"/>
              </w:rPr>
              <w:t xml:space="preserve"> profila in strokovnega znanja ključnega osebja </w:t>
            </w:r>
            <w:r>
              <w:rPr>
                <w:lang w:val="sl-SI"/>
              </w:rPr>
              <w:t>pri aktivnostih, predlaganih v projektu</w:t>
            </w:r>
            <w:r w:rsidRPr="001048FE">
              <w:rPr>
                <w:lang w:val="sl-SI"/>
              </w:rPr>
              <w:t>– na akademskem in neakademskem področju</w:t>
            </w:r>
            <w:r>
              <w:rPr>
                <w:lang w:val="sl-SI"/>
              </w:rPr>
              <w:t>, kjer je to ustrezno</w:t>
            </w:r>
            <w:r w:rsidRPr="001048FE">
              <w:rPr>
                <w:lang w:val="sl-SI"/>
              </w:rPr>
              <w:t>.</w:t>
            </w:r>
          </w:p>
        </w:tc>
      </w:tr>
      <w:tr w:rsidR="00E03711" w:rsidRPr="00C60205" w14:paraId="7D399DA5" w14:textId="77777777" w:rsidTr="00C55E88">
        <w:trPr>
          <w:trHeight w:val="283"/>
        </w:trPr>
        <w:tc>
          <w:tcPr>
            <w:tcW w:w="844" w:type="pct"/>
            <w:shd w:val="clear" w:color="auto" w:fill="FFFFFF"/>
            <w:vAlign w:val="center"/>
          </w:tcPr>
          <w:p w14:paraId="7D399D96" w14:textId="77777777" w:rsidR="00E03711" w:rsidRPr="00F769E0" w:rsidRDefault="00E03711" w:rsidP="003562FA">
            <w:pPr>
              <w:pStyle w:val="GUIDE-NORMAL"/>
              <w:spacing w:before="60" w:after="60"/>
              <w:jc w:val="left"/>
              <w:rPr>
                <w:rFonts w:cs="Tahoma"/>
                <w:b/>
                <w:lang w:val="sl-SI" w:eastAsia="en-GB"/>
              </w:rPr>
            </w:pPr>
            <w:r w:rsidRPr="00F769E0">
              <w:rPr>
                <w:rFonts w:cs="Tahoma"/>
                <w:b/>
                <w:lang w:val="sl-SI" w:eastAsia="en-GB"/>
              </w:rPr>
              <w:t xml:space="preserve">Učinek in razširjanje </w:t>
            </w:r>
            <w:r w:rsidRPr="00F769E0">
              <w:rPr>
                <w:rFonts w:cs="Tahoma"/>
                <w:b/>
                <w:lang w:val="sl-SI" w:eastAsia="en-GB"/>
              </w:rPr>
              <w:br/>
              <w:t>(največ 25 točk)</w:t>
            </w:r>
          </w:p>
        </w:tc>
        <w:tc>
          <w:tcPr>
            <w:tcW w:w="4156" w:type="pct"/>
            <w:shd w:val="clear" w:color="auto" w:fill="FFFFFF"/>
            <w:vAlign w:val="center"/>
          </w:tcPr>
          <w:p w14:paraId="7D399D97" w14:textId="77777777" w:rsidR="00E03711" w:rsidRPr="001048FE" w:rsidRDefault="00E03711" w:rsidP="005115F2">
            <w:pPr>
              <w:pStyle w:val="Guide-NormalBulletpoints"/>
              <w:numPr>
                <w:ilvl w:val="0"/>
                <w:numId w:val="150"/>
              </w:numPr>
              <w:spacing w:before="60"/>
              <w:jc w:val="left"/>
              <w:rPr>
                <w:lang w:val="sl-SI"/>
              </w:rPr>
            </w:pPr>
            <w:r w:rsidRPr="00D10C38">
              <w:rPr>
                <w:b/>
                <w:bCs/>
                <w:lang w:val="sl-SI"/>
              </w:rPr>
              <w:t>pričakovan</w:t>
            </w:r>
            <w:r>
              <w:rPr>
                <w:b/>
                <w:bCs/>
                <w:lang w:val="sl-SI"/>
              </w:rPr>
              <w:t>i</w:t>
            </w:r>
            <w:r w:rsidRPr="00D10C38">
              <w:rPr>
                <w:b/>
                <w:bCs/>
                <w:lang w:val="sl-SI"/>
              </w:rPr>
              <w:t xml:space="preserve"> učinek</w:t>
            </w:r>
            <w:r w:rsidRPr="001048FE">
              <w:rPr>
                <w:lang w:val="sl-SI"/>
              </w:rPr>
              <w:t xml:space="preserve"> projekta</w:t>
            </w:r>
            <w:r>
              <w:rPr>
                <w:lang w:val="sl-SI"/>
              </w:rPr>
              <w:t xml:space="preserve"> v smislu dolgoročnih učinkov</w:t>
            </w:r>
            <w:r w:rsidRPr="001048FE">
              <w:rPr>
                <w:lang w:val="sl-SI"/>
              </w:rPr>
              <w:t>:</w:t>
            </w:r>
          </w:p>
          <w:p w14:paraId="7D399D98" w14:textId="77777777" w:rsidR="00E03711" w:rsidRPr="001048FE" w:rsidRDefault="00E03711" w:rsidP="005115F2">
            <w:pPr>
              <w:pStyle w:val="Guide-ListDash"/>
              <w:numPr>
                <w:ilvl w:val="1"/>
                <w:numId w:val="153"/>
              </w:numPr>
              <w:spacing w:before="60" w:after="60"/>
              <w:jc w:val="left"/>
              <w:rPr>
                <w:lang w:val="sl-SI"/>
              </w:rPr>
            </w:pPr>
            <w:r w:rsidRPr="001048FE">
              <w:rPr>
                <w:lang w:val="sl-SI"/>
              </w:rPr>
              <w:t xml:space="preserve">na institucijo, ki </w:t>
            </w:r>
            <w:r>
              <w:rPr>
                <w:lang w:val="sl-SI"/>
              </w:rPr>
              <w:t xml:space="preserve">gosti </w:t>
            </w:r>
            <w:r w:rsidRPr="001048FE">
              <w:rPr>
                <w:lang w:val="sl-SI"/>
              </w:rPr>
              <w:t>ukrep Jean Monnet;</w:t>
            </w:r>
          </w:p>
          <w:p w14:paraId="7D399D99" w14:textId="77777777" w:rsidR="00E03711" w:rsidRPr="001048FE" w:rsidRDefault="00E03711" w:rsidP="005115F2">
            <w:pPr>
              <w:pStyle w:val="Guide-ListDash"/>
              <w:numPr>
                <w:ilvl w:val="1"/>
                <w:numId w:val="153"/>
              </w:numPr>
              <w:spacing w:before="60" w:after="60"/>
              <w:jc w:val="left"/>
              <w:rPr>
                <w:lang w:val="sl-SI"/>
              </w:rPr>
            </w:pPr>
            <w:r w:rsidRPr="001048FE">
              <w:rPr>
                <w:lang w:val="sl-SI"/>
              </w:rPr>
              <w:t>na študente in učeče se, ki imajo koristi od ukrepa Jean Monnet;</w:t>
            </w:r>
          </w:p>
          <w:p w14:paraId="7D399D9A" w14:textId="77777777" w:rsidR="00E03711" w:rsidRPr="001048FE" w:rsidRDefault="00E03711" w:rsidP="005115F2">
            <w:pPr>
              <w:pStyle w:val="Guide-ListDash"/>
              <w:numPr>
                <w:ilvl w:val="1"/>
                <w:numId w:val="153"/>
              </w:numPr>
              <w:spacing w:before="60" w:after="60"/>
              <w:jc w:val="left"/>
              <w:rPr>
                <w:lang w:val="sl-SI"/>
              </w:rPr>
            </w:pPr>
            <w:r w:rsidRPr="001048FE">
              <w:rPr>
                <w:lang w:val="sl-SI"/>
              </w:rPr>
              <w:t>na druge organizacije in posameznike, ki so vključeni na lokalni, regionalni, nacionalni in/ali evropski ravni</w:t>
            </w:r>
            <w:r>
              <w:rPr>
                <w:lang w:val="sl-SI"/>
              </w:rPr>
              <w:t>.</w:t>
            </w:r>
          </w:p>
          <w:p w14:paraId="7D399D9B" w14:textId="77777777" w:rsidR="00E03711" w:rsidRDefault="00E03711" w:rsidP="005115F2">
            <w:pPr>
              <w:pStyle w:val="Guide-NormalBulletpoints"/>
              <w:numPr>
                <w:ilvl w:val="0"/>
                <w:numId w:val="150"/>
              </w:numPr>
              <w:spacing w:before="60"/>
              <w:jc w:val="left"/>
              <w:rPr>
                <w:lang w:val="sl-SI"/>
              </w:rPr>
            </w:pPr>
            <w:r w:rsidRPr="00D10C38">
              <w:rPr>
                <w:b/>
                <w:bCs/>
                <w:lang w:val="sl-SI"/>
              </w:rPr>
              <w:t>ustreznost in kakovost ukrepov</w:t>
            </w:r>
            <w:r w:rsidRPr="001048FE">
              <w:rPr>
                <w:lang w:val="sl-SI"/>
              </w:rPr>
              <w:t>, katerih cilj je razširjanje rezultatov aktivnosti na instituciji, ki gosti ukrep Jean Monnet, in drugod;</w:t>
            </w:r>
          </w:p>
          <w:p w14:paraId="7D399D9C" w14:textId="77777777" w:rsidR="00E03711" w:rsidRDefault="00E03711" w:rsidP="005115F2">
            <w:pPr>
              <w:pStyle w:val="Guide-NormalBulletpoints"/>
              <w:numPr>
                <w:ilvl w:val="1"/>
                <w:numId w:val="325"/>
              </w:numPr>
              <w:spacing w:before="60"/>
              <w:jc w:val="left"/>
              <w:rPr>
                <w:lang w:val="sl-SI"/>
              </w:rPr>
            </w:pPr>
            <w:r>
              <w:rPr>
                <w:lang w:val="sl-SI"/>
              </w:rPr>
              <w:t>širjenje novic;</w:t>
            </w:r>
          </w:p>
          <w:p w14:paraId="7D399D9D" w14:textId="77777777" w:rsidR="00E03711" w:rsidRDefault="00E03711" w:rsidP="005115F2">
            <w:pPr>
              <w:pStyle w:val="Guide-NormalBulletpoints"/>
              <w:numPr>
                <w:ilvl w:val="1"/>
                <w:numId w:val="325"/>
              </w:numPr>
              <w:spacing w:before="60"/>
              <w:jc w:val="left"/>
              <w:rPr>
                <w:lang w:val="sl-SI"/>
              </w:rPr>
            </w:pPr>
            <w:r>
              <w:rPr>
                <w:lang w:val="sl-SI"/>
              </w:rPr>
              <w:t>ozaveščanje o projektih in rezultatih, krepitev vidnosti udeležencev in organizacij;</w:t>
            </w:r>
          </w:p>
          <w:p w14:paraId="7D399D9E" w14:textId="77777777" w:rsidR="00E03711" w:rsidRDefault="00E03711" w:rsidP="005115F2">
            <w:pPr>
              <w:pStyle w:val="Guide-NormalBulletpoints"/>
              <w:numPr>
                <w:ilvl w:val="1"/>
                <w:numId w:val="325"/>
              </w:numPr>
              <w:spacing w:before="60"/>
              <w:jc w:val="left"/>
              <w:rPr>
                <w:lang w:val="sl-SI"/>
              </w:rPr>
            </w:pPr>
            <w:r>
              <w:rPr>
                <w:lang w:val="sl-SI"/>
              </w:rPr>
              <w:t>navezovanje stikov s skupinami zunaj institucij visokošolskega izobraževanja;</w:t>
            </w:r>
          </w:p>
          <w:p w14:paraId="7D399D9F" w14:textId="77777777" w:rsidR="00E03711" w:rsidRPr="003B5459" w:rsidRDefault="00E03711" w:rsidP="005115F2">
            <w:pPr>
              <w:pStyle w:val="Guide-NormalBulletpoints"/>
              <w:numPr>
                <w:ilvl w:val="1"/>
                <w:numId w:val="325"/>
              </w:numPr>
              <w:spacing w:before="60"/>
              <w:jc w:val="left"/>
              <w:rPr>
                <w:lang w:val="sl-SI"/>
              </w:rPr>
            </w:pPr>
            <w:r>
              <w:rPr>
                <w:lang w:val="sl-SI"/>
              </w:rPr>
              <w:t>prenosljivost in prevod v nove politike ter izboljšane prakse.</w:t>
            </w:r>
          </w:p>
          <w:p w14:paraId="7D399DA0" w14:textId="77777777" w:rsidR="00E03711" w:rsidRDefault="00E03711" w:rsidP="005115F2">
            <w:pPr>
              <w:pStyle w:val="Guide-NormalBulletpoints"/>
              <w:numPr>
                <w:ilvl w:val="0"/>
                <w:numId w:val="150"/>
              </w:numPr>
              <w:spacing w:before="60"/>
              <w:jc w:val="left"/>
              <w:rPr>
                <w:lang w:val="sl-SI"/>
              </w:rPr>
            </w:pPr>
            <w:r w:rsidRPr="004E4C36">
              <w:rPr>
                <w:b/>
                <w:bCs/>
                <w:lang w:val="sl-SI"/>
              </w:rPr>
              <w:t>v kolikšni meri</w:t>
            </w:r>
            <w:r>
              <w:rPr>
                <w:lang w:val="sl-SI"/>
              </w:rPr>
              <w:t xml:space="preserve"> bodo predvidena orodja za razširjanje dosegla ciljno občinstvo preko:</w:t>
            </w:r>
          </w:p>
          <w:p w14:paraId="7D399DA1" w14:textId="77777777" w:rsidR="00E03711" w:rsidRDefault="00E03711" w:rsidP="005115F2">
            <w:pPr>
              <w:pStyle w:val="Guide-NormalBulletpoints"/>
              <w:numPr>
                <w:ilvl w:val="1"/>
                <w:numId w:val="150"/>
              </w:numPr>
              <w:spacing w:before="60"/>
              <w:jc w:val="left"/>
              <w:rPr>
                <w:lang w:val="sl-SI"/>
              </w:rPr>
            </w:pPr>
            <w:r>
              <w:rPr>
                <w:lang w:val="sl-SI"/>
              </w:rPr>
              <w:t>izpostavljenosti medijem (vključno z družbenimi mediji, publikacijami itd.);</w:t>
            </w:r>
          </w:p>
          <w:p w14:paraId="7D399DA2" w14:textId="77777777" w:rsidR="00E03711" w:rsidRDefault="00E03711" w:rsidP="005115F2">
            <w:pPr>
              <w:pStyle w:val="Guide-NormalBulletpoints"/>
              <w:numPr>
                <w:ilvl w:val="1"/>
                <w:numId w:val="150"/>
              </w:numPr>
              <w:spacing w:before="60"/>
              <w:jc w:val="left"/>
              <w:rPr>
                <w:lang w:val="sl-SI"/>
              </w:rPr>
            </w:pPr>
            <w:r>
              <w:rPr>
                <w:lang w:val="sl-SI"/>
              </w:rPr>
              <w:t>prireditev;</w:t>
            </w:r>
          </w:p>
          <w:p w14:paraId="7D399DA3" w14:textId="77777777" w:rsidR="00E03711" w:rsidRDefault="00E03711" w:rsidP="005115F2">
            <w:pPr>
              <w:pStyle w:val="Guide-NormalBulletpoints"/>
              <w:numPr>
                <w:ilvl w:val="1"/>
                <w:numId w:val="150"/>
              </w:numPr>
              <w:spacing w:before="60"/>
              <w:jc w:val="left"/>
              <w:rPr>
                <w:lang w:val="sl-SI"/>
              </w:rPr>
            </w:pPr>
            <w:r>
              <w:rPr>
                <w:lang w:val="sl-SI"/>
              </w:rPr>
              <w:t>tečajev usposabljanja;</w:t>
            </w:r>
          </w:p>
          <w:p w14:paraId="7D399DA4" w14:textId="77777777" w:rsidR="00E03711" w:rsidRPr="001048FE" w:rsidRDefault="00E03711" w:rsidP="005115F2">
            <w:pPr>
              <w:pStyle w:val="Guide-NormalBulletpoints"/>
              <w:numPr>
                <w:ilvl w:val="1"/>
                <w:numId w:val="150"/>
              </w:numPr>
              <w:spacing w:before="60"/>
              <w:jc w:val="left"/>
              <w:rPr>
                <w:lang w:val="sl-SI"/>
              </w:rPr>
            </w:pPr>
            <w:r w:rsidRPr="009B07B9">
              <w:rPr>
                <w:lang w:val="sl-SI"/>
              </w:rPr>
              <w:t>uporabe novih tehnologij (večpredstavnostna orodja), vključno z odprtimi izobraževalnimi viri (OER).</w:t>
            </w:r>
          </w:p>
        </w:tc>
      </w:tr>
    </w:tbl>
    <w:p w14:paraId="7D399DA6" w14:textId="77777777" w:rsidR="00E03711" w:rsidRPr="001048FE" w:rsidRDefault="00E03711" w:rsidP="003562FA">
      <w:pPr>
        <w:pStyle w:val="GUIDE-NORMAL"/>
        <w:rPr>
          <w:lang w:val="sl-SI"/>
        </w:rPr>
      </w:pPr>
      <w:r w:rsidRPr="001048FE">
        <w:rPr>
          <w:lang w:val="sl-SI"/>
        </w:rPr>
        <w:t>Za upoštevanje pri dodeljevanju sredstev morajo predlogi doseči vsaj 60 točk. Poleg tega morajo doseči vsaj 13 točk v vsaki od navedenih kategorij meril za dodelitev.</w:t>
      </w:r>
    </w:p>
    <w:p w14:paraId="7D399DA7" w14:textId="77777777" w:rsidR="00E03711" w:rsidRPr="001048FE" w:rsidRDefault="00E03711" w:rsidP="00910DDC">
      <w:pPr>
        <w:pStyle w:val="Guide-Heading4"/>
        <w:rPr>
          <w:lang w:val="sl-SI"/>
        </w:rPr>
      </w:pPr>
      <w:bookmarkStart w:id="301" w:name="_Toc527401180"/>
      <w:r w:rsidRPr="001048FE">
        <w:rPr>
          <w:lang w:val="sl-SI"/>
        </w:rPr>
        <w:t>Kaj je še treba vedeti o katedri Jean Monnet?</w:t>
      </w:r>
      <w:bookmarkEnd w:id="301"/>
    </w:p>
    <w:p w14:paraId="7D399DA8" w14:textId="77777777" w:rsidR="00E03711" w:rsidRPr="001048FE" w:rsidRDefault="00E03711" w:rsidP="00910DDC">
      <w:pPr>
        <w:pStyle w:val="Guide-Heading5"/>
        <w:rPr>
          <w:lang w:val="sl-SI"/>
        </w:rPr>
      </w:pPr>
      <w:r w:rsidRPr="001048FE">
        <w:rPr>
          <w:lang w:val="sl-SI"/>
        </w:rPr>
        <w:t>Učinek in razširjanje</w:t>
      </w:r>
    </w:p>
    <w:p w14:paraId="7D399DA9" w14:textId="77777777" w:rsidR="00E03711" w:rsidRPr="001048FE" w:rsidRDefault="00E03711" w:rsidP="003562FA">
      <w:pPr>
        <w:pStyle w:val="GUIDE-NORMAL"/>
        <w:rPr>
          <w:lang w:val="sl-SI"/>
        </w:rPr>
      </w:pPr>
      <w:r w:rsidRPr="001048FE">
        <w:rPr>
          <w:lang w:val="sl-SI"/>
        </w:rPr>
        <w:t>Katedre Jean Monnet morajo razširjati in uporabiti rezultate organiziranih aktivnosti tudi zunaj kroga neposredno vključenih deležnikov. To bo znatno okrepilo učinek in prispevalo k sistemski spremembi.</w:t>
      </w:r>
    </w:p>
    <w:p w14:paraId="7D399DAA" w14:textId="77777777" w:rsidR="00E03711" w:rsidRPr="001048FE" w:rsidRDefault="00E03711" w:rsidP="003562FA">
      <w:pPr>
        <w:pStyle w:val="GUIDE-NORMAL"/>
        <w:rPr>
          <w:lang w:val="sl-SI"/>
        </w:rPr>
      </w:pPr>
      <w:r w:rsidRPr="001048FE">
        <w:rPr>
          <w:lang w:val="sl-SI"/>
        </w:rPr>
        <w:t>Za okrepitev učinka bi morali vodje kateder v svoje aktivnosti razširjanja vključiti ustvarjanje in zagotavljanje prosto dostopnih učnih virov (PDUV) ter aktivnosti odprtega izobraževanja za odzivanje na tehnološki napredek. To bo spodbudilo bolj prilagodljive in ustvarjalne načine učenja ter doseglo vedno večje število študentov, strokovnjakov, oblikovalcev politik in drugih zainteresiranih skupin.</w:t>
      </w:r>
    </w:p>
    <w:p w14:paraId="7D399DAB" w14:textId="77777777" w:rsidR="00E03711" w:rsidRPr="001048FE" w:rsidRDefault="00E03711" w:rsidP="003562FA">
      <w:pPr>
        <w:pStyle w:val="GUIDE-NORMAL"/>
        <w:rPr>
          <w:lang w:val="sl-SI"/>
        </w:rPr>
        <w:sectPr w:rsidR="00E03711" w:rsidRPr="001048FE" w:rsidSect="00E15ED3">
          <w:endnotePr>
            <w:numFmt w:val="decimal"/>
          </w:endnotePr>
          <w:pgSz w:w="11910" w:h="16840" w:code="9"/>
          <w:pgMar w:top="1134" w:right="1418" w:bottom="1134" w:left="1418" w:header="284" w:footer="567" w:gutter="0"/>
          <w:cols w:space="720"/>
          <w:docGrid w:linePitch="326"/>
        </w:sectPr>
      </w:pPr>
    </w:p>
    <w:p w14:paraId="7D399DAC" w14:textId="77777777" w:rsidR="00E03711" w:rsidRPr="001048FE" w:rsidRDefault="00E03711" w:rsidP="003562FA">
      <w:pPr>
        <w:pStyle w:val="GUIDE-NORMAL"/>
        <w:rPr>
          <w:lang w:val="sl-SI"/>
        </w:rPr>
      </w:pPr>
      <w:r w:rsidRPr="001048FE">
        <w:rPr>
          <w:lang w:val="sl-SI"/>
        </w:rPr>
        <w:t>Katedre Jean Monnet bodo morale zagotoviti posodabljanje svojega razdelka v spletnem orodju za program Erasmus+, kjer bodo na voljo vse informacije o aktivnostih programa Jean Monnet. Projekti se bodo močno spodbujali k uporabi ustreznih obstoječih platform in orodij (tj. imenik projektov Jean Monnet, virtualna skupnost Jean Monnet). Z izvajanjem teh nalog, ki so del splošnega orodja informacijske tehnologije za Erasmus+, se bo zagotovilo, da bo širša javnost obveščena o institucijah in njihovih programih Jean Monnet. Prejemniki nepovratnih sredstev bodo morali zagotoviti redno posodabljanje orodja z rezultati svojega dela.</w:t>
      </w:r>
    </w:p>
    <w:p w14:paraId="7D399DAD" w14:textId="77777777" w:rsidR="00E03711" w:rsidRPr="001048FE" w:rsidRDefault="00E03711" w:rsidP="003562FA">
      <w:pPr>
        <w:pStyle w:val="GUIDE-NORMAL"/>
        <w:rPr>
          <w:lang w:val="sl-SI"/>
        </w:rPr>
      </w:pPr>
      <w:r w:rsidRPr="001048FE">
        <w:rPr>
          <w:lang w:val="sl-SI"/>
        </w:rPr>
        <w:t>Katedre Jean Monnet se spodbujajo, da:</w:t>
      </w:r>
    </w:p>
    <w:p w14:paraId="7D399DAE" w14:textId="77777777" w:rsidR="00E03711" w:rsidRPr="001048FE" w:rsidRDefault="00E03711" w:rsidP="005115F2">
      <w:pPr>
        <w:pStyle w:val="Guide-NormalBulletpoints"/>
        <w:numPr>
          <w:ilvl w:val="0"/>
          <w:numId w:val="332"/>
        </w:numPr>
        <w:rPr>
          <w:lang w:val="sl-SI"/>
        </w:rPr>
      </w:pPr>
      <w:r w:rsidRPr="001048FE">
        <w:rPr>
          <w:lang w:val="sl-SI"/>
        </w:rPr>
        <w:t>v obdobju dodelitve nepovratnih sredstev objavijo vsaj eno knjigo pri univerzitetni založbi. Nepovratna sredstva bodo krila del stroškov objave in po potrebi del stroškov prevoda;</w:t>
      </w:r>
    </w:p>
    <w:p w14:paraId="7D399DAF" w14:textId="77777777" w:rsidR="00E03711" w:rsidRPr="001048FE" w:rsidRDefault="00E03711" w:rsidP="005115F2">
      <w:pPr>
        <w:pStyle w:val="Guide-NormalBulletpoints"/>
        <w:numPr>
          <w:ilvl w:val="0"/>
          <w:numId w:val="332"/>
        </w:numPr>
        <w:rPr>
          <w:lang w:val="sl-SI"/>
        </w:rPr>
      </w:pPr>
      <w:r w:rsidRPr="001048FE">
        <w:rPr>
          <w:lang w:val="sl-SI"/>
        </w:rPr>
        <w:t xml:space="preserve">se udeležijo dogodkov razširjanja in informativnih dogodkov na nacionalni in evropski ravni; </w:t>
      </w:r>
    </w:p>
    <w:p w14:paraId="7D399DB0" w14:textId="77777777" w:rsidR="00E03711" w:rsidRPr="001048FE" w:rsidRDefault="00E03711" w:rsidP="005115F2">
      <w:pPr>
        <w:pStyle w:val="Guide-NormalBulletpoints"/>
        <w:numPr>
          <w:ilvl w:val="0"/>
          <w:numId w:val="332"/>
        </w:numPr>
        <w:rPr>
          <w:lang w:val="sl-SI"/>
        </w:rPr>
      </w:pPr>
      <w:r w:rsidRPr="001048FE">
        <w:rPr>
          <w:lang w:val="sl-SI"/>
        </w:rPr>
        <w:t>organizirajo dogodke (predavanja, seminarje, delavnice itd.) z oblikovalci politik na lokalni (npr. župani in svetniki), regionalni in nacionalni ravni ter tudi z organizirano civilno družbo in šolami;</w:t>
      </w:r>
    </w:p>
    <w:p w14:paraId="7D399DB1" w14:textId="77777777" w:rsidR="00E03711" w:rsidRPr="001048FE" w:rsidRDefault="00E03711" w:rsidP="005115F2">
      <w:pPr>
        <w:pStyle w:val="Guide-NormalBulletpoints"/>
        <w:numPr>
          <w:ilvl w:val="0"/>
          <w:numId w:val="332"/>
        </w:numPr>
        <w:rPr>
          <w:lang w:val="sl-SI"/>
        </w:rPr>
      </w:pPr>
      <w:r w:rsidRPr="001048FE">
        <w:rPr>
          <w:lang w:val="sl-SI"/>
        </w:rPr>
        <w:t>razširjajo rezultate svojih aktivnosti z organizacijo seminarjev ali predavanj, ki so namenjeni in prilagojeni za najširšo javnost in predstavnike civilne družbe;</w:t>
      </w:r>
    </w:p>
    <w:p w14:paraId="7D399DB2" w14:textId="77777777" w:rsidR="00E03711" w:rsidRPr="001048FE" w:rsidRDefault="00E03711" w:rsidP="005115F2">
      <w:pPr>
        <w:pStyle w:val="Guide-NormalBulletpoints"/>
        <w:numPr>
          <w:ilvl w:val="0"/>
          <w:numId w:val="332"/>
        </w:numPr>
        <w:rPr>
          <w:lang w:val="sl-SI"/>
        </w:rPr>
      </w:pPr>
      <w:r w:rsidRPr="001048FE">
        <w:rPr>
          <w:lang w:val="sl-SI"/>
        </w:rPr>
        <w:t>se povezujejo z drugimi katedrami, koordinatorji modulov in centri odličnosti Jean Monnet ter podprtimi institucijami;</w:t>
      </w:r>
    </w:p>
    <w:p w14:paraId="7D399DB3" w14:textId="77777777" w:rsidR="00E03711" w:rsidRPr="001048FE" w:rsidRDefault="00E03711" w:rsidP="005115F2">
      <w:pPr>
        <w:pStyle w:val="Guide-NormalBulletpoints"/>
        <w:numPr>
          <w:ilvl w:val="0"/>
          <w:numId w:val="332"/>
        </w:numPr>
        <w:rPr>
          <w:lang w:val="sl-SI"/>
        </w:rPr>
      </w:pPr>
      <w:r w:rsidRPr="001048FE">
        <w:rPr>
          <w:lang w:val="sl-SI"/>
        </w:rPr>
        <w:t>uporabljajo prosto dostopne učne vire (PDUV), objavljajo povzetke, vsebino in razpored svojih aktivnosti ter pričakovane rezultate.</w:t>
      </w:r>
    </w:p>
    <w:p w14:paraId="7D399DB4" w14:textId="77777777" w:rsidR="00E03711" w:rsidRPr="001048FE" w:rsidRDefault="00E03711" w:rsidP="002A25C9">
      <w:pPr>
        <w:pStyle w:val="Guide-Heading4"/>
        <w:rPr>
          <w:lang w:val="sl-SI"/>
        </w:rPr>
      </w:pPr>
      <w:bookmarkStart w:id="302" w:name="_Toc527401181"/>
      <w:r w:rsidRPr="001048FE">
        <w:rPr>
          <w:lang w:val="sl-SI"/>
        </w:rPr>
        <w:t>Kakšna so pravila za dodelitev sredstev?</w:t>
      </w:r>
      <w:bookmarkEnd w:id="302"/>
    </w:p>
    <w:p w14:paraId="7D399DB5" w14:textId="77777777" w:rsidR="00E03711" w:rsidRPr="001048FE" w:rsidRDefault="00E03711" w:rsidP="003562FA">
      <w:pPr>
        <w:pStyle w:val="GUIDE-NORMAL"/>
        <w:rPr>
          <w:lang w:val="sl-SI"/>
        </w:rPr>
      </w:pPr>
      <w:r w:rsidRPr="001048FE">
        <w:rPr>
          <w:lang w:val="sl-SI"/>
        </w:rPr>
        <w:t>Najvišja vrednost dodeljenih sredstev je 50 000 EUR in lahko predstavlja največ 75 % skupnih stroškov katedre Jean Monnet.</w:t>
      </w:r>
    </w:p>
    <w:p w14:paraId="7D399DB6" w14:textId="77777777" w:rsidR="00E03711" w:rsidRPr="001048FE" w:rsidRDefault="00E03711" w:rsidP="003562FA">
      <w:pPr>
        <w:pStyle w:val="GUIDE-NORMAL"/>
        <w:rPr>
          <w:lang w:val="sl-SI"/>
        </w:rPr>
      </w:pPr>
      <w:r w:rsidRPr="001048FE">
        <w:rPr>
          <w:lang w:val="sl-SI"/>
        </w:rPr>
        <w:t>Za dodeljevanje nepovratnih sredstev v okviru aktivnosti programa Jean Monnet se uporablja sistem, ki temelji na kombinaciji lestvic stroškov na enoto in pavšalnega financiranja. Ta sistem se določi na podlagi izračunanega nacionalnega stroška poučevanja na uro. Uporabi se naslednja metoda:</w:t>
      </w:r>
    </w:p>
    <w:p w14:paraId="7D399DB7" w14:textId="77777777" w:rsidR="00E03711" w:rsidRPr="001048FE" w:rsidRDefault="00E03711" w:rsidP="005115F2">
      <w:pPr>
        <w:pStyle w:val="Guide-NormalBulletpoints"/>
        <w:numPr>
          <w:ilvl w:val="0"/>
          <w:numId w:val="333"/>
        </w:numPr>
        <w:rPr>
          <w:lang w:val="sl-SI"/>
        </w:rPr>
      </w:pPr>
      <w:r w:rsidRPr="001048FE">
        <w:rPr>
          <w:b/>
          <w:lang w:val="sl-SI"/>
        </w:rPr>
        <w:t>lestvica stroškov na enoto za poučevanje:</w:t>
      </w:r>
      <w:r w:rsidRPr="001048FE">
        <w:rPr>
          <w:lang w:val="sl-SI"/>
        </w:rPr>
        <w:t xml:space="preserve"> izračunani nacionalni strošek poučevanja na enoto na uro D.1 se pomnoži s številom ur poučevanja v okviru katedre Jean Monnet; </w:t>
      </w:r>
    </w:p>
    <w:p w14:paraId="7D399DB8" w14:textId="77777777" w:rsidR="00E03711" w:rsidRPr="001048FE" w:rsidRDefault="00E03711" w:rsidP="005115F2">
      <w:pPr>
        <w:pStyle w:val="Guide-NormalBulletpoints"/>
        <w:numPr>
          <w:ilvl w:val="0"/>
          <w:numId w:val="333"/>
        </w:numPr>
        <w:rPr>
          <w:lang w:val="sl-SI"/>
        </w:rPr>
      </w:pPr>
      <w:r w:rsidRPr="001048FE">
        <w:rPr>
          <w:b/>
          <w:lang w:val="sl-SI"/>
        </w:rPr>
        <w:t>dodatno pavšalno financiranje:</w:t>
      </w:r>
      <w:r w:rsidRPr="001048FE">
        <w:rPr>
          <w:lang w:val="sl-SI"/>
        </w:rPr>
        <w:t xml:space="preserve"> k navedeni osnovi stroškov na enoto se prišteje dodatnih 10 % za katedro Jean Monnet. V te dodatne odstotke so zajete dodatne akademske aktivnosti, vključene v katedro, na primer stroški osebja, potni stroški in stroški bivanja, stroški razširjanja, stroški za učna gradiva, neposredni stroški itd.</w:t>
      </w:r>
    </w:p>
    <w:p w14:paraId="7D399DB9" w14:textId="77777777" w:rsidR="00E03711" w:rsidRPr="001048FE" w:rsidRDefault="00E03711" w:rsidP="003562FA">
      <w:pPr>
        <w:pStyle w:val="GUIDE-NORMAL"/>
        <w:rPr>
          <w:lang w:val="sl-SI"/>
        </w:rPr>
      </w:pPr>
      <w:r w:rsidRPr="001048FE">
        <w:rPr>
          <w:lang w:val="sl-SI"/>
        </w:rPr>
        <w:t>Končni znesek nepovratnih sredstev se nato izračuna tako, da se uporabi največ 75 % sredstev EU od skupnega izračunanega zneska in spoštuje najvišja zgornja meja zneska nepovratnih sredstev za katedro Jean Monnet (50 000 EUR).</w:t>
      </w:r>
    </w:p>
    <w:p w14:paraId="7D399DBA" w14:textId="77777777" w:rsidR="00E03711" w:rsidRPr="001048FE" w:rsidRDefault="00E03711" w:rsidP="003562FA">
      <w:pPr>
        <w:pStyle w:val="GUIDE-NORMAL"/>
        <w:rPr>
          <w:lang w:val="sl-SI"/>
        </w:rPr>
      </w:pPr>
      <w:r w:rsidRPr="001048FE">
        <w:rPr>
          <w:lang w:val="sl-SI"/>
        </w:rPr>
        <w:t>Posamezni zneski, ki veljajo za katedre Jean Monnet, so navedeni v poglavju „Stroški na enoto za program Jean Monnet“ ob koncu poglavja o programu Jean Monnet v tem delu vodnika.</w:t>
      </w:r>
    </w:p>
    <w:p w14:paraId="7D399DBB" w14:textId="77777777" w:rsidR="00E03711" w:rsidRDefault="00E03711">
      <w:pPr>
        <w:widowControl/>
        <w:suppressAutoHyphens w:val="0"/>
        <w:autoSpaceDN/>
        <w:textAlignment w:val="auto"/>
        <w:rPr>
          <w:lang w:val="sl-SI"/>
        </w:rPr>
        <w:sectPr w:rsidR="00E03711" w:rsidSect="00E15ED3">
          <w:headerReference w:type="even" r:id="rId122"/>
          <w:endnotePr>
            <w:numFmt w:val="decimal"/>
          </w:endnotePr>
          <w:pgSz w:w="11910" w:h="16840" w:code="9"/>
          <w:pgMar w:top="1134" w:right="1418" w:bottom="1134" w:left="1418" w:header="284" w:footer="567" w:gutter="0"/>
          <w:cols w:space="720"/>
          <w:docGrid w:linePitch="326"/>
        </w:sectPr>
      </w:pPr>
    </w:p>
    <w:p w14:paraId="7D399DBC" w14:textId="77777777" w:rsidR="00E03711" w:rsidRDefault="00E03711">
      <w:pPr>
        <w:pStyle w:val="Guide-Heading3"/>
        <w:rPr>
          <w:lang w:val="sl-SI"/>
        </w:rPr>
      </w:pPr>
      <w:bookmarkStart w:id="303" w:name="_Toc527400927"/>
      <w:bookmarkStart w:id="304" w:name="_Toc527401182"/>
      <w:r w:rsidRPr="001048FE">
        <w:rPr>
          <w:lang w:val="sl-SI"/>
        </w:rPr>
        <w:t>Centri odličnosti Jean Monnet</w:t>
      </w:r>
      <w:bookmarkEnd w:id="303"/>
      <w:bookmarkEnd w:id="304"/>
    </w:p>
    <w:p w14:paraId="7D399DBD" w14:textId="77777777" w:rsidR="00E03711" w:rsidRPr="001048FE" w:rsidRDefault="00E03711" w:rsidP="002A25C9">
      <w:pPr>
        <w:pStyle w:val="Guide-Heading4"/>
        <w:rPr>
          <w:lang w:val="sl-SI"/>
        </w:rPr>
      </w:pPr>
      <w:bookmarkStart w:id="305" w:name="_Toc527401183"/>
      <w:r w:rsidRPr="001048FE">
        <w:rPr>
          <w:lang w:val="sl-SI"/>
        </w:rPr>
        <w:t>kaj je center odličnosti jean monnet?</w:t>
      </w:r>
      <w:bookmarkEnd w:id="305"/>
    </w:p>
    <w:p w14:paraId="7D399DBE" w14:textId="77777777" w:rsidR="00E03711" w:rsidRPr="001048FE" w:rsidRDefault="00E03711" w:rsidP="00E8482F">
      <w:pPr>
        <w:pStyle w:val="GUIDE-NORMAL"/>
        <w:rPr>
          <w:lang w:val="sl-SI"/>
        </w:rPr>
      </w:pPr>
      <w:r w:rsidRPr="001048FE">
        <w:rPr>
          <w:lang w:val="sl-SI"/>
        </w:rPr>
        <w:t>Center odličnosti Jean Monnet je središče kompetenc in znanja o temah Evropske unije.</w:t>
      </w:r>
    </w:p>
    <w:p w14:paraId="7D399DBF" w14:textId="77777777" w:rsidR="00E03711" w:rsidRPr="001048FE" w:rsidRDefault="00E03711" w:rsidP="00E8482F">
      <w:pPr>
        <w:pStyle w:val="GUIDE-NORMAL"/>
        <w:rPr>
          <w:lang w:val="sl-SI"/>
        </w:rPr>
      </w:pPr>
      <w:r w:rsidRPr="001048FE">
        <w:rPr>
          <w:lang w:val="sl-SI"/>
        </w:rPr>
        <w:t>Center odličnosti Jean Monnet združuje strokovno znanje in kompetence strokovnjakov na visoki ravni s ciljem razvijati sinergije med različnimi disciplinami in viri evropskih študij ter ustvarjati skupne mednarodne aktivnosti in strukturne povezave z akademskimi institucijami v drugih državah. Prav tako zagotavlja odprtost do civilne družbe.</w:t>
      </w:r>
    </w:p>
    <w:p w14:paraId="7D399DC0" w14:textId="77777777" w:rsidR="00E03711" w:rsidRPr="001048FE" w:rsidRDefault="00E03711" w:rsidP="00E8482F">
      <w:pPr>
        <w:pStyle w:val="GUIDE-NORMAL"/>
        <w:rPr>
          <w:lang w:val="sl-SI"/>
        </w:rPr>
      </w:pPr>
      <w:r w:rsidRPr="001048FE">
        <w:rPr>
          <w:lang w:val="sl-SI"/>
        </w:rPr>
        <w:t>Centri odličnosti Jean Monnet imajo pomembno vlogo pri doseganju študentov s fakultet, ki običajno ne obravnavajo vprašanj Evropske unije, ter oblikovalcev politik, javnih uslužbencev, organizirane civilne družbe in najširše javnosti.</w:t>
      </w:r>
    </w:p>
    <w:p w14:paraId="7D399DC1" w14:textId="77777777" w:rsidR="00E03711" w:rsidRPr="001048FE" w:rsidRDefault="00E03711" w:rsidP="002A25C9">
      <w:pPr>
        <w:pStyle w:val="Guide-Heading4"/>
        <w:rPr>
          <w:lang w:val="sl-SI"/>
        </w:rPr>
      </w:pPr>
      <w:bookmarkStart w:id="306" w:name="_Toc527401184"/>
      <w:r w:rsidRPr="001048FE">
        <w:rPr>
          <w:lang w:val="sl-SI"/>
        </w:rPr>
        <w:t>Katere aktivnosti so podprte v okviru tega ukrepa?</w:t>
      </w:r>
      <w:bookmarkEnd w:id="306"/>
    </w:p>
    <w:p w14:paraId="7D399DC2" w14:textId="77777777" w:rsidR="00E03711" w:rsidRPr="001048FE" w:rsidRDefault="00E03711" w:rsidP="00E8482F">
      <w:pPr>
        <w:pStyle w:val="GUIDE-NORMAL"/>
        <w:rPr>
          <w:lang w:val="sl-SI"/>
        </w:rPr>
      </w:pPr>
      <w:r w:rsidRPr="001048FE">
        <w:rPr>
          <w:lang w:val="sl-SI"/>
        </w:rPr>
        <w:t>Center odličnosti Jean Monnet mora razviti strateški triletni delovni načrt, ki vključuje širok nabor aktivnosti, kot so:</w:t>
      </w:r>
    </w:p>
    <w:p w14:paraId="7D399DC3" w14:textId="77777777" w:rsidR="00E03711" w:rsidRPr="001048FE" w:rsidRDefault="00E03711" w:rsidP="005115F2">
      <w:pPr>
        <w:pStyle w:val="Guide-NormalBulletpoints"/>
        <w:numPr>
          <w:ilvl w:val="0"/>
          <w:numId w:val="334"/>
        </w:numPr>
        <w:rPr>
          <w:lang w:val="sl-SI"/>
        </w:rPr>
      </w:pPr>
      <w:r w:rsidRPr="001048FE">
        <w:rPr>
          <w:lang w:val="sl-SI"/>
        </w:rPr>
        <w:t>organiziranje in koordinacija človeških in dokumentarnih virov, povezanih s študijami Evropske unije;</w:t>
      </w:r>
    </w:p>
    <w:p w14:paraId="7D399DC4" w14:textId="77777777" w:rsidR="00E03711" w:rsidRDefault="00E03711" w:rsidP="005115F2">
      <w:pPr>
        <w:pStyle w:val="Guide-NormalBulletpoints"/>
        <w:numPr>
          <w:ilvl w:val="0"/>
          <w:numId w:val="334"/>
        </w:numPr>
        <w:rPr>
          <w:lang w:val="sl-SI"/>
        </w:rPr>
      </w:pPr>
      <w:r w:rsidRPr="001048FE">
        <w:rPr>
          <w:lang w:val="sl-SI"/>
        </w:rPr>
        <w:t xml:space="preserve">vodenje aktivnosti raziskovanja v posebnih temah Evropske unije; </w:t>
      </w:r>
    </w:p>
    <w:p w14:paraId="7D399DC5" w14:textId="77777777" w:rsidR="00E03711" w:rsidRPr="00822A26" w:rsidRDefault="00E03711" w:rsidP="005115F2">
      <w:pPr>
        <w:pStyle w:val="Guide-NormalBulletpoints"/>
        <w:numPr>
          <w:ilvl w:val="0"/>
          <w:numId w:val="334"/>
        </w:numPr>
        <w:rPr>
          <w:lang w:val="sl-SI"/>
        </w:rPr>
      </w:pPr>
      <w:r w:rsidRPr="00FC4A70">
        <w:rPr>
          <w:rFonts w:eastAsia="Calibri" w:cs="Calibri"/>
          <w:bdr w:val="nil"/>
          <w:lang w:val="sl-SI" w:eastAsia="zh-CN"/>
        </w:rPr>
        <w:t>sistematično objavljanje rezultatov aktivnosti raziskovanja</w:t>
      </w:r>
      <w:r w:rsidRPr="00576F94">
        <w:rPr>
          <w:rFonts w:eastAsia="Calibri" w:cs="Calibri"/>
          <w:bdr w:val="nil"/>
          <w:lang w:val="sl-SI" w:eastAsia="zh-CN"/>
        </w:rPr>
        <w:t>;</w:t>
      </w:r>
    </w:p>
    <w:p w14:paraId="7D399DC6" w14:textId="77777777" w:rsidR="00E03711" w:rsidRPr="001048FE" w:rsidRDefault="00E03711" w:rsidP="005115F2">
      <w:pPr>
        <w:pStyle w:val="Guide-NormalBulletpoints"/>
        <w:numPr>
          <w:ilvl w:val="0"/>
          <w:numId w:val="334"/>
        </w:numPr>
        <w:rPr>
          <w:lang w:val="sl-SI"/>
        </w:rPr>
      </w:pPr>
      <w:r w:rsidRPr="001048FE">
        <w:rPr>
          <w:lang w:val="sl-SI"/>
        </w:rPr>
        <w:t>razvijanje vsebin in orodij v zvezi s temami EU za posodabljanje in dopolnjevanje trenutnih programov in učnih načrtov (naloga poučevanja);</w:t>
      </w:r>
    </w:p>
    <w:p w14:paraId="7D399DC7" w14:textId="77777777" w:rsidR="00E03711" w:rsidRPr="001048FE" w:rsidRDefault="00E03711" w:rsidP="005115F2">
      <w:pPr>
        <w:pStyle w:val="Guide-NormalBulletpoints"/>
        <w:numPr>
          <w:ilvl w:val="0"/>
          <w:numId w:val="334"/>
        </w:numPr>
        <w:rPr>
          <w:lang w:val="sl-SI"/>
        </w:rPr>
      </w:pPr>
      <w:r w:rsidRPr="001048FE">
        <w:rPr>
          <w:lang w:val="sl-SI"/>
        </w:rPr>
        <w:t>krepitev razprav in izmenjave izkušenj o EU, kadar je mogoče v partnerstvu z lokalnimi deležniki in/ali predstavništvi EU v državah članicah in EU delegacijami v tretjih državah (naloga možganskega trusta)</w:t>
      </w:r>
      <w:r>
        <w:rPr>
          <w:lang w:val="sl-SI"/>
        </w:rPr>
        <w:t>.</w:t>
      </w:r>
    </w:p>
    <w:p w14:paraId="7D399DC8" w14:textId="77777777" w:rsidR="00E03711" w:rsidRPr="001048FE" w:rsidRDefault="00E03711" w:rsidP="002A25C9">
      <w:pPr>
        <w:pStyle w:val="Guide-Heading4"/>
        <w:rPr>
          <w:lang w:val="sl-SI"/>
        </w:rPr>
      </w:pPr>
      <w:bookmarkStart w:id="307" w:name="_Toc527401185"/>
      <w:r w:rsidRPr="001048FE">
        <w:rPr>
          <w:lang w:val="sl-SI"/>
        </w:rPr>
        <w:t>Kakšna je vloga organizacij, ki sodelujejo v centru odličnosti Jean Monnet?</w:t>
      </w:r>
      <w:bookmarkEnd w:id="307"/>
    </w:p>
    <w:p w14:paraId="7D399DC9" w14:textId="77777777" w:rsidR="00E03711" w:rsidRPr="001048FE" w:rsidRDefault="00E03711" w:rsidP="00E8482F">
      <w:pPr>
        <w:pStyle w:val="GUIDE-NORMAL"/>
        <w:rPr>
          <w:lang w:val="sl-SI"/>
        </w:rPr>
      </w:pPr>
      <w:r w:rsidRPr="001048FE">
        <w:rPr>
          <w:lang w:val="sl-SI"/>
        </w:rPr>
        <w:t>Visokošolske institucije, ki načrtujejo ustanovitev centra odličnosti Jean Monnet, naj bi premislile o strateškem razvoju centra. Zagotoviti morajo usmerjanje in vizijo za najboljše strokovnjake, ki so na voljo med osebjem za poučevanje in raziskovanje, da ustvarijo sinergije, ki omogočajo sodelovanje na visoki ravni glede posebnih tem EU. Morale bi podpirati in spodbujati pobude centra in pomagati pri njihovem razvoju.</w:t>
      </w:r>
    </w:p>
    <w:p w14:paraId="7D399DCA" w14:textId="77777777" w:rsidR="00E03711" w:rsidRPr="001048FE" w:rsidRDefault="00E03711" w:rsidP="00E8482F">
      <w:pPr>
        <w:pStyle w:val="GUIDE-NORMAL"/>
        <w:rPr>
          <w:lang w:val="sl-SI"/>
        </w:rPr>
      </w:pPr>
      <w:r w:rsidRPr="001048FE">
        <w:rPr>
          <w:lang w:val="sl-SI"/>
        </w:rPr>
        <w:t>Visokošolske institucije morajo izvajati aktivnosti centra odličnosti Jean Monnet ves čas trajanja projekta, po potrebi vključno z nadomestitvijo akademskega koordinatorja. Če mora institucija nadomestiti prvotnega akademskega koordinatorja, mora Izvajalski agenciji predložiti pisni zahtevek za odobritev.</w:t>
      </w:r>
    </w:p>
    <w:p w14:paraId="7D399DCB" w14:textId="77777777" w:rsidR="00E03711" w:rsidRPr="001048FE" w:rsidRDefault="00E03711" w:rsidP="00E8482F">
      <w:pPr>
        <w:pStyle w:val="GUIDE-NORMAL"/>
        <w:rPr>
          <w:lang w:val="sl-SI"/>
        </w:rPr>
      </w:pPr>
      <w:r w:rsidRPr="001048FE">
        <w:rPr>
          <w:lang w:val="sl-SI"/>
        </w:rPr>
        <w:t>Center odličnosti lahko vključuje sodelovanje več institucij/organizacij s sedežem v istem kraju ali regiji. V vsakem primeru pa mora biti jasno poimenovana institucija ali struktura, ki je specializirana za študije Evropske unije, in jo mora gostiti visokošolska institucija.</w:t>
      </w:r>
    </w:p>
    <w:p w14:paraId="7D399DCC" w14:textId="77777777" w:rsidR="00E03711" w:rsidRPr="001048FE" w:rsidRDefault="00E03711">
      <w:pPr>
        <w:widowControl/>
        <w:suppressAutoHyphens w:val="0"/>
        <w:autoSpaceDN/>
        <w:textAlignment w:val="auto"/>
        <w:rPr>
          <w:rFonts w:eastAsia="Times New Roman"/>
          <w:b/>
          <w:smallCaps/>
          <w:sz w:val="28"/>
          <w:szCs w:val="20"/>
          <w:lang w:val="sl-SI"/>
        </w:rPr>
      </w:pPr>
      <w:bookmarkStart w:id="308" w:name="Centres_d’excellence_Jean_Monnet"/>
      <w:bookmarkStart w:id="309" w:name="_bookmark50"/>
      <w:bookmarkEnd w:id="308"/>
      <w:bookmarkEnd w:id="309"/>
      <w:r w:rsidRPr="001048FE">
        <w:rPr>
          <w:lang w:val="sl-SI"/>
        </w:rPr>
        <w:br w:type="page"/>
      </w:r>
    </w:p>
    <w:p w14:paraId="7D399DCD" w14:textId="77777777" w:rsidR="00E03711" w:rsidRPr="001048FE" w:rsidRDefault="00E03711" w:rsidP="002A25C9">
      <w:pPr>
        <w:pStyle w:val="Guide-Heading4"/>
        <w:rPr>
          <w:lang w:val="sl-SI"/>
        </w:rPr>
      </w:pPr>
      <w:bookmarkStart w:id="310" w:name="_Toc527401186"/>
      <w:r w:rsidRPr="001048FE">
        <w:rPr>
          <w:lang w:val="sl-SI"/>
        </w:rPr>
        <w:t>Kakšna so merila za oceno centra odličnosti Jean Monnet?</w:t>
      </w:r>
      <w:bookmarkEnd w:id="310"/>
    </w:p>
    <w:p w14:paraId="7D399DCE" w14:textId="77777777" w:rsidR="00E03711" w:rsidRPr="001048FE" w:rsidRDefault="00E03711" w:rsidP="002B6230">
      <w:pPr>
        <w:pStyle w:val="GUIDE-NORMAL"/>
        <w:rPr>
          <w:lang w:val="sl-SI"/>
        </w:rPr>
      </w:pPr>
      <w:r w:rsidRPr="001048FE">
        <w:rPr>
          <w:lang w:val="sl-SI"/>
        </w:rPr>
        <w:t>V nadaljevanju so navedena uradna merila, ki jih mora izpolniti center odličnosti Jean Monnet za upravičenost do nepovratnih sredstev Erasmus+:</w:t>
      </w:r>
    </w:p>
    <w:p w14:paraId="7D399DCF" w14:textId="77777777" w:rsidR="00E03711" w:rsidRPr="001048FE" w:rsidRDefault="00E03711" w:rsidP="002B6230">
      <w:pPr>
        <w:pStyle w:val="Guide-Heading5"/>
        <w:rPr>
          <w:lang w:val="sl-SI"/>
        </w:rPr>
      </w:pPr>
      <w:r w:rsidRPr="001048FE">
        <w:rPr>
          <w:lang w:val="sl-SI"/>
        </w:rPr>
        <w:t>Merila za upravičenost</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68"/>
        <w:gridCol w:w="7722"/>
      </w:tblGrid>
      <w:tr w:rsidR="00E03711" w:rsidRPr="00C60205" w14:paraId="7D399DD3" w14:textId="77777777" w:rsidTr="0002223E">
        <w:trPr>
          <w:cantSplit/>
          <w:trHeight w:val="283"/>
        </w:trPr>
        <w:tc>
          <w:tcPr>
            <w:tcW w:w="844" w:type="pct"/>
            <w:shd w:val="clear" w:color="auto" w:fill="FFFFFF"/>
            <w:vAlign w:val="center"/>
          </w:tcPr>
          <w:p w14:paraId="7D399DD0" w14:textId="77777777" w:rsidR="00E03711" w:rsidRPr="00F769E0" w:rsidRDefault="00E03711" w:rsidP="002B6230">
            <w:pPr>
              <w:pStyle w:val="GUIDE-NORMAL"/>
              <w:spacing w:before="60" w:after="60"/>
              <w:jc w:val="left"/>
              <w:rPr>
                <w:rFonts w:cs="Tahoma"/>
                <w:b/>
                <w:lang w:val="sl-SI" w:eastAsia="en-GB"/>
              </w:rPr>
            </w:pPr>
            <w:r w:rsidRPr="00F769E0">
              <w:rPr>
                <w:rFonts w:cs="Tahoma"/>
                <w:b/>
                <w:lang w:val="sl-SI" w:eastAsia="en-GB"/>
              </w:rPr>
              <w:t>Kdo se lahko prijavi?</w:t>
            </w:r>
          </w:p>
        </w:tc>
        <w:tc>
          <w:tcPr>
            <w:tcW w:w="4156" w:type="pct"/>
            <w:shd w:val="clear" w:color="auto" w:fill="FFFFFF"/>
            <w:vAlign w:val="center"/>
          </w:tcPr>
          <w:p w14:paraId="7D399DD1" w14:textId="77777777" w:rsidR="00E03711" w:rsidRPr="00F769E0" w:rsidRDefault="00E03711" w:rsidP="002B6230">
            <w:pPr>
              <w:pStyle w:val="GUIDE-NORMAL"/>
              <w:spacing w:before="60" w:after="60"/>
              <w:jc w:val="left"/>
              <w:rPr>
                <w:rFonts w:cs="Tahoma"/>
                <w:lang w:val="sl-SI" w:eastAsia="en-GB"/>
              </w:rPr>
            </w:pPr>
            <w:r w:rsidRPr="00F769E0">
              <w:rPr>
                <w:rFonts w:cs="Tahoma"/>
                <w:lang w:val="sl-SI" w:eastAsia="en-GB"/>
              </w:rPr>
              <w:t>Visokošolska institucija s sedežem v kateri koli državi sveta. Visokošolske institucije s sedežem v državah Programa morajo biti nosilke veljavne Listine Erasmus za terciarno izobraževanje (ECHE). Listina ECHE ni zahtevana za sodelujoče visokošolske institucije iz partnerskih držav.</w:t>
            </w:r>
          </w:p>
          <w:p w14:paraId="7D399DD2" w14:textId="77777777" w:rsidR="00E03711" w:rsidRPr="00F769E0" w:rsidRDefault="00E03711" w:rsidP="002B6230">
            <w:pPr>
              <w:pStyle w:val="GUIDE-NORMAL"/>
              <w:spacing w:before="60" w:after="60"/>
              <w:jc w:val="left"/>
              <w:rPr>
                <w:rFonts w:cs="Tahoma"/>
                <w:lang w:val="sl-SI" w:eastAsia="en-GB"/>
              </w:rPr>
            </w:pPr>
            <w:r w:rsidRPr="00F769E0">
              <w:rPr>
                <w:rFonts w:cs="Tahoma"/>
                <w:lang w:val="sl-SI" w:eastAsia="en-GB"/>
              </w:rPr>
              <w:t>Posamezniki ne morejo neposredno oddati vloge za nepovratna sredstva.</w:t>
            </w:r>
          </w:p>
        </w:tc>
      </w:tr>
      <w:tr w:rsidR="00E03711" w:rsidRPr="008C6F8C" w14:paraId="7D399DD6" w14:textId="77777777" w:rsidTr="0002223E">
        <w:trPr>
          <w:cantSplit/>
          <w:trHeight w:val="283"/>
        </w:trPr>
        <w:tc>
          <w:tcPr>
            <w:tcW w:w="844" w:type="pct"/>
            <w:shd w:val="clear" w:color="auto" w:fill="FFFFFF"/>
            <w:vAlign w:val="center"/>
          </w:tcPr>
          <w:p w14:paraId="7D399DD4" w14:textId="77777777" w:rsidR="00E03711" w:rsidRPr="00F769E0" w:rsidRDefault="00E03711" w:rsidP="002B6230">
            <w:pPr>
              <w:pStyle w:val="GUIDE-NORMAL"/>
              <w:spacing w:before="60" w:after="60"/>
              <w:jc w:val="left"/>
              <w:rPr>
                <w:rFonts w:cs="Tahoma"/>
                <w:b/>
                <w:lang w:val="sl-SI" w:eastAsia="en-GB"/>
              </w:rPr>
            </w:pPr>
            <w:r w:rsidRPr="00F769E0">
              <w:rPr>
                <w:rFonts w:cs="Tahoma"/>
                <w:b/>
                <w:lang w:val="sl-SI" w:eastAsia="en-GB"/>
              </w:rPr>
              <w:t>Trajanje projekta</w:t>
            </w:r>
          </w:p>
        </w:tc>
        <w:tc>
          <w:tcPr>
            <w:tcW w:w="4156" w:type="pct"/>
            <w:shd w:val="clear" w:color="auto" w:fill="FFFFFF"/>
            <w:vAlign w:val="center"/>
          </w:tcPr>
          <w:p w14:paraId="7D399DD5" w14:textId="77777777" w:rsidR="00E03711" w:rsidRPr="00F769E0" w:rsidRDefault="00E03711" w:rsidP="002B6230">
            <w:pPr>
              <w:pStyle w:val="GUIDE-NORMAL"/>
              <w:spacing w:before="60" w:after="60"/>
              <w:jc w:val="left"/>
              <w:rPr>
                <w:rFonts w:cs="Tahoma"/>
                <w:lang w:val="sl-SI" w:eastAsia="en-GB"/>
              </w:rPr>
            </w:pPr>
            <w:r w:rsidRPr="00F769E0">
              <w:rPr>
                <w:rFonts w:cs="Tahoma"/>
                <w:lang w:val="sl-SI" w:eastAsia="en-GB"/>
              </w:rPr>
              <w:t>Tri leta.</w:t>
            </w:r>
          </w:p>
        </w:tc>
      </w:tr>
      <w:tr w:rsidR="00E03711" w:rsidRPr="00C60205" w14:paraId="7D399DD9" w14:textId="77777777" w:rsidTr="0002223E">
        <w:trPr>
          <w:cantSplit/>
          <w:trHeight w:val="283"/>
        </w:trPr>
        <w:tc>
          <w:tcPr>
            <w:tcW w:w="844" w:type="pct"/>
            <w:shd w:val="clear" w:color="auto" w:fill="FFFFFF"/>
            <w:vAlign w:val="center"/>
          </w:tcPr>
          <w:p w14:paraId="7D399DD7" w14:textId="77777777" w:rsidR="00E03711" w:rsidRPr="00F769E0" w:rsidRDefault="00E03711" w:rsidP="002B6230">
            <w:pPr>
              <w:pStyle w:val="GUIDE-NORMAL"/>
              <w:spacing w:before="60" w:after="60"/>
              <w:jc w:val="left"/>
              <w:rPr>
                <w:rFonts w:cs="Tahoma"/>
                <w:b/>
                <w:lang w:val="sl-SI" w:eastAsia="en-GB"/>
              </w:rPr>
            </w:pPr>
            <w:r w:rsidRPr="00F769E0">
              <w:rPr>
                <w:rFonts w:cs="Tahoma"/>
                <w:b/>
                <w:lang w:val="sl-SI" w:eastAsia="en-GB"/>
              </w:rPr>
              <w:t>Kje se prijaviti?</w:t>
            </w:r>
          </w:p>
        </w:tc>
        <w:tc>
          <w:tcPr>
            <w:tcW w:w="4156" w:type="pct"/>
            <w:shd w:val="clear" w:color="auto" w:fill="FFFFFF"/>
            <w:vAlign w:val="center"/>
          </w:tcPr>
          <w:p w14:paraId="7D399DD8" w14:textId="77777777" w:rsidR="00E03711" w:rsidRPr="00F769E0" w:rsidRDefault="00E03711" w:rsidP="002B6230">
            <w:pPr>
              <w:pStyle w:val="GUIDE-NORMAL"/>
              <w:spacing w:before="60" w:after="60"/>
              <w:jc w:val="left"/>
              <w:rPr>
                <w:rFonts w:cs="Tahoma"/>
                <w:lang w:val="sl-SI" w:eastAsia="en-GB"/>
              </w:rPr>
            </w:pPr>
            <w:r w:rsidRPr="00F769E0">
              <w:rPr>
                <w:rFonts w:cs="Tahoma"/>
                <w:lang w:val="sl-SI" w:eastAsia="en-GB"/>
              </w:rPr>
              <w:t>Pri Izvajalski agenciji za izobraževanje, avdiovizualno področje in kulturo</w:t>
            </w:r>
            <w:r>
              <w:rPr>
                <w:rFonts w:cs="Tahoma"/>
                <w:lang w:val="sl-SI" w:eastAsia="en-GB"/>
              </w:rPr>
              <w:t xml:space="preserve"> (EACEA)</w:t>
            </w:r>
            <w:r w:rsidRPr="00F769E0">
              <w:rPr>
                <w:rFonts w:cs="Tahoma"/>
                <w:lang w:val="sl-SI" w:eastAsia="en-GB"/>
              </w:rPr>
              <w:t xml:space="preserve"> v Bruslju.</w:t>
            </w:r>
          </w:p>
        </w:tc>
      </w:tr>
      <w:tr w:rsidR="00E03711" w:rsidRPr="00C60205" w14:paraId="7D399DDC" w14:textId="77777777" w:rsidTr="0002223E">
        <w:trPr>
          <w:cantSplit/>
          <w:trHeight w:val="283"/>
        </w:trPr>
        <w:tc>
          <w:tcPr>
            <w:tcW w:w="844" w:type="pct"/>
            <w:shd w:val="clear" w:color="auto" w:fill="FFFFFF"/>
            <w:vAlign w:val="center"/>
          </w:tcPr>
          <w:p w14:paraId="7D399DDA" w14:textId="77777777" w:rsidR="00E03711" w:rsidRPr="00F769E0" w:rsidRDefault="00E03711" w:rsidP="002B6230">
            <w:pPr>
              <w:pStyle w:val="GUIDE-NORMAL"/>
              <w:spacing w:before="60" w:after="60"/>
              <w:jc w:val="left"/>
              <w:rPr>
                <w:rFonts w:cs="Tahoma"/>
                <w:b/>
                <w:lang w:val="sl-SI" w:eastAsia="en-GB"/>
              </w:rPr>
            </w:pPr>
            <w:r w:rsidRPr="00F769E0">
              <w:rPr>
                <w:rFonts w:cs="Tahoma"/>
                <w:b/>
                <w:lang w:val="sl-SI" w:eastAsia="en-GB"/>
              </w:rPr>
              <w:t>Kdaj se prijaviti?</w:t>
            </w:r>
          </w:p>
        </w:tc>
        <w:tc>
          <w:tcPr>
            <w:tcW w:w="4156" w:type="pct"/>
            <w:shd w:val="clear" w:color="auto" w:fill="FFFFFF"/>
            <w:vAlign w:val="center"/>
          </w:tcPr>
          <w:p w14:paraId="7D399DDB" w14:textId="77777777" w:rsidR="00E03711" w:rsidRPr="00F769E0" w:rsidRDefault="00E03711" w:rsidP="002B6230">
            <w:pPr>
              <w:pStyle w:val="GUIDE-NORMAL"/>
              <w:spacing w:before="60" w:after="60"/>
              <w:jc w:val="left"/>
              <w:rPr>
                <w:rFonts w:cs="Tahoma"/>
                <w:lang w:val="sl-SI" w:eastAsia="en-GB"/>
              </w:rPr>
            </w:pPr>
            <w:r w:rsidRPr="00F769E0">
              <w:rPr>
                <w:rFonts w:cs="Tahoma"/>
                <w:lang w:val="sl-SI" w:eastAsia="en-GB"/>
              </w:rPr>
              <w:t xml:space="preserve">Prijavitelji morajo vlogo za nepovratna sredstva oddati do </w:t>
            </w:r>
            <w:r w:rsidRPr="00F769E0">
              <w:rPr>
                <w:rFonts w:cs="Tahoma"/>
                <w:b/>
                <w:lang w:val="sl-SI" w:eastAsia="en-GB"/>
              </w:rPr>
              <w:t>2</w:t>
            </w:r>
            <w:r>
              <w:rPr>
                <w:rFonts w:cs="Tahoma"/>
                <w:b/>
                <w:lang w:val="sl-SI" w:eastAsia="en-GB"/>
              </w:rPr>
              <w:t>0</w:t>
            </w:r>
            <w:r w:rsidRPr="00F769E0">
              <w:rPr>
                <w:rFonts w:cs="Tahoma"/>
                <w:b/>
                <w:lang w:val="sl-SI" w:eastAsia="en-GB"/>
              </w:rPr>
              <w:t>. februarja do 1</w:t>
            </w:r>
            <w:r>
              <w:rPr>
                <w:rFonts w:cs="Tahoma"/>
                <w:b/>
                <w:lang w:val="sl-SI" w:eastAsia="en-GB"/>
              </w:rPr>
              <w:t>7</w:t>
            </w:r>
            <w:r w:rsidRPr="00F769E0">
              <w:rPr>
                <w:rFonts w:cs="Tahoma"/>
                <w:b/>
                <w:lang w:val="sl-SI" w:eastAsia="en-GB"/>
              </w:rPr>
              <w:t>. ure (po bruseljskem času)</w:t>
            </w:r>
            <w:r w:rsidRPr="00F769E0">
              <w:rPr>
                <w:rFonts w:cs="Tahoma"/>
                <w:lang w:val="sl-SI" w:eastAsia="en-GB"/>
              </w:rPr>
              <w:t xml:space="preserve"> za projekte, ki se začnejo 1. septembra istega leta.</w:t>
            </w:r>
          </w:p>
        </w:tc>
      </w:tr>
      <w:tr w:rsidR="00E03711" w:rsidRPr="00C60205" w14:paraId="7D399DDF" w14:textId="77777777" w:rsidTr="0002223E">
        <w:trPr>
          <w:cantSplit/>
          <w:trHeight w:val="283"/>
        </w:trPr>
        <w:tc>
          <w:tcPr>
            <w:tcW w:w="844" w:type="pct"/>
            <w:shd w:val="clear" w:color="auto" w:fill="FFFFFF"/>
            <w:vAlign w:val="center"/>
          </w:tcPr>
          <w:p w14:paraId="7D399DDD" w14:textId="77777777" w:rsidR="00E03711" w:rsidRPr="00F769E0" w:rsidRDefault="00E03711" w:rsidP="002B6230">
            <w:pPr>
              <w:pStyle w:val="GUIDE-NORMAL"/>
              <w:spacing w:before="60" w:after="60"/>
              <w:jc w:val="left"/>
              <w:rPr>
                <w:rFonts w:cs="Tahoma"/>
                <w:b/>
                <w:lang w:val="sl-SI" w:eastAsia="en-GB"/>
              </w:rPr>
            </w:pPr>
            <w:r w:rsidRPr="00F769E0">
              <w:rPr>
                <w:rFonts w:cs="Tahoma"/>
                <w:b/>
                <w:lang w:val="sl-SI" w:eastAsia="en-GB"/>
              </w:rPr>
              <w:t>Kako se prijaviti?</w:t>
            </w:r>
          </w:p>
        </w:tc>
        <w:tc>
          <w:tcPr>
            <w:tcW w:w="4156" w:type="pct"/>
            <w:shd w:val="clear" w:color="auto" w:fill="FFFFFF"/>
            <w:vAlign w:val="center"/>
          </w:tcPr>
          <w:p w14:paraId="7D399DDE" w14:textId="77777777" w:rsidR="00E03711" w:rsidRPr="00F769E0" w:rsidRDefault="00E03711" w:rsidP="002B6230">
            <w:pPr>
              <w:pStyle w:val="GUIDE-NORMAL"/>
              <w:spacing w:before="60" w:after="60"/>
              <w:jc w:val="left"/>
              <w:rPr>
                <w:rFonts w:cs="Tahoma"/>
                <w:lang w:val="sl-SI" w:eastAsia="en-GB"/>
              </w:rPr>
            </w:pPr>
            <w:r w:rsidRPr="00F769E0">
              <w:rPr>
                <w:rFonts w:cs="Tahoma"/>
                <w:lang w:val="sl-SI" w:eastAsia="en-GB"/>
              </w:rPr>
              <w:t>Za podrobnosti o postopku prijave glej del C tega vodnika.</w:t>
            </w:r>
          </w:p>
        </w:tc>
      </w:tr>
      <w:tr w:rsidR="00E03711" w:rsidRPr="00C60205" w14:paraId="7D399DE2" w14:textId="77777777" w:rsidTr="0002223E">
        <w:trPr>
          <w:cantSplit/>
          <w:trHeight w:val="283"/>
        </w:trPr>
        <w:tc>
          <w:tcPr>
            <w:tcW w:w="844" w:type="pct"/>
            <w:shd w:val="clear" w:color="auto" w:fill="FFFFFF"/>
            <w:vAlign w:val="center"/>
          </w:tcPr>
          <w:p w14:paraId="7D399DE0" w14:textId="77777777" w:rsidR="00E03711" w:rsidRPr="00F769E0" w:rsidRDefault="00E03711" w:rsidP="002B6230">
            <w:pPr>
              <w:pStyle w:val="GUIDE-NORMAL"/>
              <w:spacing w:before="60" w:after="60"/>
              <w:jc w:val="left"/>
              <w:rPr>
                <w:rFonts w:cs="Tahoma"/>
                <w:b/>
                <w:lang w:val="sl-SI" w:eastAsia="en-GB"/>
              </w:rPr>
            </w:pPr>
            <w:r w:rsidRPr="00F769E0">
              <w:rPr>
                <w:rFonts w:cs="Tahoma"/>
                <w:b/>
                <w:lang w:val="sl-SI" w:eastAsia="en-GB"/>
              </w:rPr>
              <w:t>Druga merila</w:t>
            </w:r>
          </w:p>
        </w:tc>
        <w:tc>
          <w:tcPr>
            <w:tcW w:w="4156" w:type="pct"/>
            <w:shd w:val="clear" w:color="auto" w:fill="FFFFFF"/>
            <w:vAlign w:val="center"/>
          </w:tcPr>
          <w:p w14:paraId="7D399DE1" w14:textId="77777777" w:rsidR="00E03711" w:rsidRPr="00F769E0" w:rsidRDefault="00E03711" w:rsidP="002B6230">
            <w:pPr>
              <w:pStyle w:val="GUIDE-NORMAL"/>
              <w:spacing w:before="60" w:after="60"/>
              <w:jc w:val="left"/>
              <w:rPr>
                <w:rFonts w:cs="Tahoma"/>
                <w:lang w:val="sl-SI" w:eastAsia="en-GB"/>
              </w:rPr>
            </w:pPr>
            <w:r w:rsidRPr="00F769E0">
              <w:rPr>
                <w:rFonts w:cs="Tahoma"/>
                <w:lang w:val="sl-SI" w:eastAsia="en-GB"/>
              </w:rPr>
              <w:t>Naenkrat se lahko podpre samo en center odličnosti Jean Monnet na kateri koli visokošolski instituciji.</w:t>
            </w:r>
          </w:p>
        </w:tc>
      </w:tr>
    </w:tbl>
    <w:p w14:paraId="7D399DE3" w14:textId="77777777" w:rsidR="00E03711" w:rsidRPr="001048FE" w:rsidRDefault="00E03711" w:rsidP="002B6230">
      <w:pPr>
        <w:pStyle w:val="GUIDE-NORMAL"/>
        <w:rPr>
          <w:lang w:val="sl-SI"/>
        </w:rPr>
      </w:pPr>
      <w:r w:rsidRPr="001048FE">
        <w:rPr>
          <w:lang w:val="sl-SI"/>
        </w:rPr>
        <w:t>Organizacije prijaviteljice bodo ocenjene z merili za izključitev in izbor. Za več informacij glej del C tega vodnika.</w:t>
      </w:r>
    </w:p>
    <w:p w14:paraId="7D399DE4" w14:textId="77777777" w:rsidR="00E03711" w:rsidRPr="001048FE" w:rsidRDefault="00E03711" w:rsidP="002B6230">
      <w:pPr>
        <w:pStyle w:val="Guide-Heading5"/>
        <w:rPr>
          <w:lang w:val="sl-SI"/>
        </w:rPr>
      </w:pPr>
      <w:r w:rsidRPr="001048FE">
        <w:rPr>
          <w:lang w:val="sl-SI"/>
        </w:rPr>
        <w:t>Merila za dodelitev</w:t>
      </w:r>
    </w:p>
    <w:p w14:paraId="7D399DE5" w14:textId="77777777" w:rsidR="00E03711" w:rsidRPr="001048FE" w:rsidRDefault="00E03711" w:rsidP="002B6230">
      <w:pPr>
        <w:pStyle w:val="GUIDE-NORMAL"/>
        <w:rPr>
          <w:lang w:val="sl-SI"/>
        </w:rPr>
      </w:pPr>
      <w:r w:rsidRPr="001048FE">
        <w:rPr>
          <w:lang w:val="sl-SI"/>
        </w:rPr>
        <w:t>Projekti bodo ocenjeni z naslednjimi merili:</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Look w:val="0000" w:firstRow="0" w:lastRow="0" w:firstColumn="0" w:lastColumn="0" w:noHBand="0" w:noVBand="0"/>
      </w:tblPr>
      <w:tblGrid>
        <w:gridCol w:w="1568"/>
        <w:gridCol w:w="7722"/>
      </w:tblGrid>
      <w:tr w:rsidR="00E03711" w:rsidRPr="00654F6A" w14:paraId="7D399DF9" w14:textId="77777777" w:rsidTr="000335D0">
        <w:trPr>
          <w:cantSplit/>
          <w:trHeight w:val="2609"/>
        </w:trPr>
        <w:tc>
          <w:tcPr>
            <w:tcW w:w="844" w:type="pct"/>
            <w:shd w:val="clear" w:color="auto" w:fill="FFFFFF"/>
            <w:vAlign w:val="center"/>
          </w:tcPr>
          <w:p w14:paraId="7D399DE6" w14:textId="77777777" w:rsidR="00E03711" w:rsidRPr="00F769E0" w:rsidRDefault="00E03711" w:rsidP="002B6230">
            <w:pPr>
              <w:pStyle w:val="GUIDE-NORMAL"/>
              <w:spacing w:before="60" w:after="60"/>
              <w:jc w:val="left"/>
              <w:rPr>
                <w:rFonts w:cs="Tahoma"/>
                <w:b/>
                <w:lang w:val="sl-SI" w:eastAsia="en-GB"/>
              </w:rPr>
            </w:pPr>
            <w:r w:rsidRPr="00F769E0">
              <w:rPr>
                <w:rFonts w:cs="Tahoma"/>
                <w:b/>
                <w:lang w:val="sl-SI" w:eastAsia="en-GB"/>
              </w:rPr>
              <w:t xml:space="preserve">Ustreznost projekta </w:t>
            </w:r>
            <w:r w:rsidRPr="00F769E0">
              <w:rPr>
                <w:rFonts w:cs="Tahoma"/>
                <w:b/>
                <w:lang w:val="sl-SI" w:eastAsia="en-GB"/>
              </w:rPr>
              <w:br/>
              <w:t>(največ 25 točk)</w:t>
            </w:r>
          </w:p>
        </w:tc>
        <w:tc>
          <w:tcPr>
            <w:tcW w:w="4156" w:type="pct"/>
            <w:shd w:val="clear" w:color="auto" w:fill="FFFFFF"/>
            <w:vAlign w:val="center"/>
          </w:tcPr>
          <w:p w14:paraId="7D399DE7" w14:textId="77777777" w:rsidR="00E03711" w:rsidRDefault="00E03711" w:rsidP="005115F2">
            <w:pPr>
              <w:pStyle w:val="Guide-NormalBulletpoints"/>
              <w:numPr>
                <w:ilvl w:val="0"/>
                <w:numId w:val="147"/>
              </w:numPr>
              <w:spacing w:before="60"/>
              <w:jc w:val="left"/>
              <w:rPr>
                <w:lang w:val="sl-SI"/>
              </w:rPr>
            </w:pPr>
            <w:r>
              <w:rPr>
                <w:lang w:val="sl-SI"/>
              </w:rPr>
              <w:t xml:space="preserve">v kolikšni meri je predlog znotraj </w:t>
            </w:r>
            <w:r w:rsidRPr="00D10C38">
              <w:rPr>
                <w:b/>
                <w:bCs/>
                <w:lang w:val="sl-SI"/>
              </w:rPr>
              <w:t>okvira</w:t>
            </w:r>
            <w:r>
              <w:rPr>
                <w:lang w:val="sl-SI"/>
              </w:rPr>
              <w:t xml:space="preserve"> študij Evropske unije:</w:t>
            </w:r>
          </w:p>
          <w:p w14:paraId="7D399DE8" w14:textId="77777777" w:rsidR="00E03711" w:rsidRDefault="00E03711" w:rsidP="005115F2">
            <w:pPr>
              <w:pStyle w:val="Guide-NormalBulletpoints"/>
              <w:numPr>
                <w:ilvl w:val="1"/>
                <w:numId w:val="147"/>
              </w:numPr>
              <w:spacing w:before="60"/>
              <w:jc w:val="left"/>
              <w:rPr>
                <w:lang w:val="sl-SI"/>
              </w:rPr>
            </w:pPr>
            <w:r>
              <w:rPr>
                <w:lang w:val="sl-SI"/>
              </w:rPr>
              <w:t>v celoti tvori študij Evropske unije, s posebnim poudarkom na integracijskem procesu EU tako v notranjih kot zunanjih vidikih;</w:t>
            </w:r>
          </w:p>
          <w:p w14:paraId="7D399DE9" w14:textId="77777777" w:rsidR="00E03711" w:rsidRDefault="00E03711" w:rsidP="005115F2">
            <w:pPr>
              <w:pStyle w:val="Guide-NormalBulletpoints"/>
              <w:numPr>
                <w:ilvl w:val="1"/>
                <w:numId w:val="147"/>
              </w:numPr>
              <w:spacing w:before="60"/>
              <w:jc w:val="left"/>
              <w:rPr>
                <w:lang w:val="sl-SI"/>
              </w:rPr>
            </w:pPr>
            <w:r>
              <w:rPr>
                <w:lang w:val="sl-SI"/>
              </w:rPr>
              <w:t xml:space="preserve">povezava s pravnim redom EU </w:t>
            </w:r>
            <w:r w:rsidRPr="00D10C38">
              <w:rPr>
                <w:i/>
                <w:iCs/>
                <w:lang w:val="sl-SI"/>
              </w:rPr>
              <w:t xml:space="preserve">(acquis communautaire) </w:t>
            </w:r>
            <w:r>
              <w:rPr>
                <w:lang w:val="sl-SI"/>
              </w:rPr>
              <w:t>in obstoječimi politikami EU;</w:t>
            </w:r>
          </w:p>
          <w:p w14:paraId="7D399DEA" w14:textId="77777777" w:rsidR="00E03711" w:rsidRDefault="00E03711" w:rsidP="005115F2">
            <w:pPr>
              <w:pStyle w:val="Guide-NormalBulletpoints"/>
              <w:numPr>
                <w:ilvl w:val="1"/>
                <w:numId w:val="147"/>
              </w:numPr>
              <w:spacing w:before="60"/>
              <w:jc w:val="left"/>
              <w:rPr>
                <w:lang w:val="sl-SI"/>
              </w:rPr>
            </w:pPr>
            <w:r>
              <w:rPr>
                <w:lang w:val="sl-SI"/>
              </w:rPr>
              <w:t>spodbujanje aktivnega državljanstva v EU in vrednot EU;</w:t>
            </w:r>
          </w:p>
          <w:p w14:paraId="7D399DEB" w14:textId="77777777" w:rsidR="00E03711" w:rsidRDefault="00E03711" w:rsidP="005115F2">
            <w:pPr>
              <w:pStyle w:val="Guide-NormalBulletpoints"/>
              <w:numPr>
                <w:ilvl w:val="1"/>
                <w:numId w:val="147"/>
              </w:numPr>
              <w:spacing w:before="60"/>
              <w:jc w:val="left"/>
              <w:rPr>
                <w:lang w:val="sl-SI"/>
              </w:rPr>
            </w:pPr>
            <w:r>
              <w:rPr>
                <w:lang w:val="sl-SI"/>
              </w:rPr>
              <w:t>krepitev zavedanja o EU in omogočanje prihodnje angažiranosti ter dialoga med narodi.</w:t>
            </w:r>
          </w:p>
          <w:p w14:paraId="7D399DEC" w14:textId="77777777" w:rsidR="00E03711" w:rsidRPr="00B22787" w:rsidRDefault="00E03711" w:rsidP="005115F2">
            <w:pPr>
              <w:pStyle w:val="Guide-NormalBulletpoints"/>
              <w:numPr>
                <w:ilvl w:val="0"/>
                <w:numId w:val="147"/>
              </w:numPr>
              <w:spacing w:before="60"/>
              <w:jc w:val="left"/>
              <w:rPr>
                <w:lang w:val="sl-SI"/>
              </w:rPr>
            </w:pPr>
            <w:r w:rsidRPr="00D10C38">
              <w:rPr>
                <w:b/>
                <w:bCs/>
                <w:lang w:val="sl-SI"/>
              </w:rPr>
              <w:t>ustreznost</w:t>
            </w:r>
            <w:r w:rsidRPr="00C6615D">
              <w:rPr>
                <w:lang w:val="sl-SI"/>
              </w:rPr>
              <w:t xml:space="preserve"> predloga v zvezi z</w:t>
            </w:r>
            <w:r>
              <w:rPr>
                <w:lang w:val="sl-SI"/>
              </w:rPr>
              <w:t xml:space="preserve"> </w:t>
            </w:r>
            <w:r w:rsidRPr="00C6615D">
              <w:rPr>
                <w:lang w:val="sl-SI"/>
              </w:rPr>
              <w:t xml:space="preserve">enim ali več naslednjimi cilji </w:t>
            </w:r>
            <w:r w:rsidRPr="00B22787">
              <w:rPr>
                <w:lang w:val="sl-SI"/>
              </w:rPr>
              <w:t>aktivnosti Jean Monnet:</w:t>
            </w:r>
          </w:p>
          <w:p w14:paraId="7D399DED" w14:textId="77777777" w:rsidR="00E03711" w:rsidRDefault="00E03711" w:rsidP="005115F2">
            <w:pPr>
              <w:pStyle w:val="Guide-NormalBulletpoints"/>
              <w:numPr>
                <w:ilvl w:val="1"/>
                <w:numId w:val="147"/>
              </w:numPr>
              <w:spacing w:before="60"/>
              <w:jc w:val="left"/>
              <w:rPr>
                <w:lang w:val="sl-SI"/>
              </w:rPr>
            </w:pPr>
            <w:r>
              <w:rPr>
                <w:lang w:val="sl-SI"/>
              </w:rPr>
              <w:t>spodbujanje odličnosti pri poučevanju in raziskovanju o evropskih študijah;</w:t>
            </w:r>
          </w:p>
          <w:p w14:paraId="7D399DEE" w14:textId="77777777" w:rsidR="00E03711" w:rsidRDefault="00E03711" w:rsidP="005115F2">
            <w:pPr>
              <w:pStyle w:val="Guide-NormalBulletpoints"/>
              <w:numPr>
                <w:ilvl w:val="1"/>
                <w:numId w:val="147"/>
              </w:numPr>
              <w:spacing w:before="60"/>
              <w:jc w:val="left"/>
              <w:rPr>
                <w:lang w:val="sl-SI"/>
              </w:rPr>
            </w:pPr>
            <w:r>
              <w:rPr>
                <w:lang w:val="sl-SI"/>
              </w:rPr>
              <w:t>spodbujanje ustvarjanja novega poučevanja/aktivnosti pri evropskih študijah;</w:t>
            </w:r>
          </w:p>
          <w:p w14:paraId="7D399DEF" w14:textId="77777777" w:rsidR="00E03711" w:rsidRDefault="00E03711" w:rsidP="005115F2">
            <w:pPr>
              <w:pStyle w:val="Guide-NormalBulletpoints"/>
              <w:numPr>
                <w:ilvl w:val="1"/>
                <w:numId w:val="147"/>
              </w:numPr>
              <w:spacing w:before="60"/>
              <w:jc w:val="left"/>
              <w:rPr>
                <w:lang w:val="sl-SI"/>
              </w:rPr>
            </w:pPr>
            <w:r>
              <w:rPr>
                <w:lang w:val="sl-SI"/>
              </w:rPr>
              <w:t>ustvarjanje znanja in vpogledov, ki lahko podpirajo oblikovanje politik EU in krepijo vlogo EU v globaliziranem svetu;</w:t>
            </w:r>
          </w:p>
          <w:p w14:paraId="7D399DF0" w14:textId="77777777" w:rsidR="00E03711" w:rsidRDefault="00E03711" w:rsidP="005115F2">
            <w:pPr>
              <w:pStyle w:val="Guide-NormalBulletpoints"/>
              <w:numPr>
                <w:ilvl w:val="1"/>
                <w:numId w:val="147"/>
              </w:numPr>
              <w:spacing w:before="60"/>
              <w:jc w:val="left"/>
              <w:rPr>
                <w:lang w:val="sl-SI"/>
              </w:rPr>
            </w:pPr>
            <w:r>
              <w:rPr>
                <w:lang w:val="sl-SI"/>
              </w:rPr>
              <w:t>vsebovanje koristi za sisteme politki, znotraj katerih je opredeljen;</w:t>
            </w:r>
          </w:p>
          <w:p w14:paraId="7D399DF1" w14:textId="77777777" w:rsidR="00E03711" w:rsidRDefault="00E03711" w:rsidP="005115F2">
            <w:pPr>
              <w:pStyle w:val="Guide-NormalBulletpoints"/>
              <w:numPr>
                <w:ilvl w:val="1"/>
                <w:numId w:val="147"/>
              </w:numPr>
              <w:spacing w:before="60"/>
              <w:jc w:val="left"/>
              <w:rPr>
                <w:lang w:val="sl-SI"/>
              </w:rPr>
            </w:pPr>
            <w:r>
              <w:rPr>
                <w:lang w:val="sl-SI"/>
              </w:rPr>
              <w:t>spodbujanje dialoga med akademskim svetom in širšo družbo;</w:t>
            </w:r>
          </w:p>
          <w:p w14:paraId="7D399DF2" w14:textId="77777777" w:rsidR="00E03711" w:rsidRDefault="00E03711" w:rsidP="005115F2">
            <w:pPr>
              <w:pStyle w:val="Guide-NormalBulletpoints"/>
              <w:numPr>
                <w:ilvl w:val="1"/>
                <w:numId w:val="147"/>
              </w:numPr>
              <w:spacing w:before="60"/>
              <w:jc w:val="left"/>
              <w:rPr>
                <w:lang w:val="sl-SI"/>
              </w:rPr>
            </w:pPr>
            <w:r>
              <w:rPr>
                <w:lang w:val="sl-SI"/>
              </w:rPr>
              <w:t>vključevanje akterjev civilne družbe, oblikovalcev politike, javnih uslužbencev, predstavnikov izobraževanja in predstavnikov medijev na različnih ravneh;</w:t>
            </w:r>
          </w:p>
          <w:p w14:paraId="7D399DF3" w14:textId="77777777" w:rsidR="00E03711" w:rsidRDefault="00E03711" w:rsidP="005115F2">
            <w:pPr>
              <w:pStyle w:val="Guide-NormalBulletpoints"/>
              <w:numPr>
                <w:ilvl w:val="1"/>
                <w:numId w:val="147"/>
              </w:numPr>
              <w:spacing w:before="60"/>
              <w:jc w:val="left"/>
              <w:rPr>
                <w:lang w:val="sl-SI"/>
              </w:rPr>
            </w:pPr>
            <w:r>
              <w:rPr>
                <w:lang w:val="sl-SI"/>
              </w:rPr>
              <w:t>širjenje znanja o EU v širši družbi, zunaj akademskih krogov in specializiranega občinstva;</w:t>
            </w:r>
          </w:p>
          <w:p w14:paraId="7D399DF4" w14:textId="77777777" w:rsidR="00E03711" w:rsidRPr="001048FE" w:rsidRDefault="00E03711" w:rsidP="005115F2">
            <w:pPr>
              <w:pStyle w:val="Guide-NormalBulletpoints"/>
              <w:numPr>
                <w:ilvl w:val="1"/>
                <w:numId w:val="147"/>
              </w:numPr>
              <w:spacing w:before="60"/>
              <w:jc w:val="left"/>
              <w:rPr>
                <w:lang w:val="sl-SI"/>
              </w:rPr>
            </w:pPr>
            <w:r>
              <w:rPr>
                <w:lang w:val="sl-SI"/>
              </w:rPr>
              <w:t>približanje EU javnosti.</w:t>
            </w:r>
          </w:p>
          <w:p w14:paraId="7D399DF5" w14:textId="77777777" w:rsidR="00E03711" w:rsidRPr="001048FE" w:rsidRDefault="00E03711" w:rsidP="005115F2">
            <w:pPr>
              <w:pStyle w:val="Guide-NormalBulletpoints"/>
              <w:numPr>
                <w:ilvl w:val="0"/>
                <w:numId w:val="151"/>
              </w:numPr>
              <w:spacing w:before="60"/>
              <w:jc w:val="left"/>
              <w:rPr>
                <w:lang w:val="sl-SI"/>
              </w:rPr>
            </w:pPr>
            <w:r w:rsidRPr="00D10C38">
              <w:rPr>
                <w:b/>
                <w:bCs/>
                <w:lang w:val="sl-SI"/>
              </w:rPr>
              <w:t>v kolikšni meri</w:t>
            </w:r>
            <w:r w:rsidRPr="001048FE">
              <w:rPr>
                <w:lang w:val="sl-SI"/>
              </w:rPr>
              <w:t xml:space="preserve"> predlog</w:t>
            </w:r>
            <w:r>
              <w:rPr>
                <w:lang w:val="sl-SI"/>
              </w:rPr>
              <w:t xml:space="preserve"> dosega </w:t>
            </w:r>
            <w:r w:rsidRPr="00D10C38">
              <w:rPr>
                <w:b/>
                <w:bCs/>
                <w:lang w:val="sl-SI"/>
              </w:rPr>
              <w:t>prednostne ciljne skupine</w:t>
            </w:r>
            <w:r w:rsidRPr="001048FE">
              <w:rPr>
                <w:lang w:val="sl-SI"/>
              </w:rPr>
              <w:t>:</w:t>
            </w:r>
          </w:p>
          <w:p w14:paraId="7D399DF6" w14:textId="77777777" w:rsidR="00E03711" w:rsidRPr="001048FE" w:rsidRDefault="00E03711" w:rsidP="005115F2">
            <w:pPr>
              <w:pStyle w:val="Guide-ListDash"/>
              <w:numPr>
                <w:ilvl w:val="1"/>
                <w:numId w:val="147"/>
              </w:numPr>
              <w:spacing w:before="60" w:after="60"/>
              <w:jc w:val="left"/>
              <w:rPr>
                <w:lang w:val="sl-SI"/>
              </w:rPr>
            </w:pPr>
            <w:r w:rsidRPr="001048FE">
              <w:rPr>
                <w:lang w:val="sl-SI"/>
              </w:rPr>
              <w:t>institucije ali akademiki, ki še niso prejeli sredstev Jean Monnet;</w:t>
            </w:r>
          </w:p>
          <w:p w14:paraId="7D399DF7" w14:textId="77777777" w:rsidR="00E03711" w:rsidRDefault="00E03711" w:rsidP="005115F2">
            <w:pPr>
              <w:pStyle w:val="Guide-ListDash"/>
              <w:numPr>
                <w:ilvl w:val="1"/>
                <w:numId w:val="152"/>
              </w:numPr>
              <w:spacing w:before="60" w:after="60"/>
              <w:jc w:val="left"/>
              <w:rPr>
                <w:lang w:val="sl-SI"/>
              </w:rPr>
            </w:pPr>
            <w:r w:rsidRPr="001048FE">
              <w:rPr>
                <w:lang w:val="sl-SI"/>
              </w:rPr>
              <w:t>študenti</w:t>
            </w:r>
            <w:r>
              <w:rPr>
                <w:lang w:val="sl-SI"/>
              </w:rPr>
              <w:t>/občinstva</w:t>
            </w:r>
            <w:r w:rsidRPr="001048FE">
              <w:rPr>
                <w:lang w:val="sl-SI"/>
              </w:rPr>
              <w:t>, ki ne pridejo samodejno v stik z evropskimi študijami (na področjih</w:t>
            </w:r>
            <w:r>
              <w:rPr>
                <w:lang w:val="sl-SI"/>
              </w:rPr>
              <w:t xml:space="preserve"> izven prava, ekonomije in politologije</w:t>
            </w:r>
            <w:r w:rsidRPr="001048FE">
              <w:rPr>
                <w:lang w:val="sl-SI"/>
              </w:rPr>
              <w:t>)</w:t>
            </w:r>
            <w:r>
              <w:rPr>
                <w:lang w:val="sl-SI"/>
              </w:rPr>
              <w:t>;</w:t>
            </w:r>
          </w:p>
          <w:p w14:paraId="7D399DF8" w14:textId="77777777" w:rsidR="00E03711" w:rsidRPr="001048FE" w:rsidRDefault="00E03711" w:rsidP="005115F2">
            <w:pPr>
              <w:pStyle w:val="Guide-ListDash"/>
              <w:numPr>
                <w:ilvl w:val="1"/>
                <w:numId w:val="157"/>
              </w:numPr>
              <w:spacing w:before="60" w:after="60"/>
              <w:rPr>
                <w:lang w:val="sl-SI"/>
              </w:rPr>
            </w:pPr>
            <w:r>
              <w:rPr>
                <w:lang w:val="sl-SI"/>
              </w:rPr>
              <w:t>pri tretjih državah, potencial projekta, da okrepi javno diplomacijo EU.</w:t>
            </w:r>
          </w:p>
        </w:tc>
      </w:tr>
      <w:tr w:rsidR="00E03711" w:rsidRPr="00C60205" w14:paraId="7D399DFE" w14:textId="77777777" w:rsidTr="0002223E">
        <w:trPr>
          <w:cantSplit/>
          <w:trHeight w:val="283"/>
        </w:trPr>
        <w:tc>
          <w:tcPr>
            <w:tcW w:w="844" w:type="pct"/>
            <w:shd w:val="clear" w:color="auto" w:fill="FFFFFF"/>
            <w:vAlign w:val="center"/>
          </w:tcPr>
          <w:p w14:paraId="7D399DFA" w14:textId="77777777" w:rsidR="00E03711" w:rsidRPr="00F769E0" w:rsidRDefault="00E03711" w:rsidP="002B6230">
            <w:pPr>
              <w:pStyle w:val="GUIDE-NORMAL"/>
              <w:spacing w:before="60" w:after="60"/>
              <w:jc w:val="left"/>
              <w:rPr>
                <w:rFonts w:cs="Tahoma"/>
                <w:b/>
                <w:lang w:val="sl-SI" w:eastAsia="en-GB"/>
              </w:rPr>
            </w:pPr>
            <w:r w:rsidRPr="00F769E0">
              <w:rPr>
                <w:rFonts w:cs="Tahoma"/>
                <w:b/>
                <w:lang w:val="sl-SI" w:eastAsia="en-GB"/>
              </w:rPr>
              <w:t xml:space="preserve">Kakovost zasnove in izvedbe projekta </w:t>
            </w:r>
            <w:r w:rsidRPr="00F769E0">
              <w:rPr>
                <w:rFonts w:cs="Tahoma"/>
                <w:b/>
                <w:lang w:val="sl-SI" w:eastAsia="en-GB"/>
              </w:rPr>
              <w:br/>
              <w:t>(največ 25 točk)</w:t>
            </w:r>
          </w:p>
        </w:tc>
        <w:tc>
          <w:tcPr>
            <w:tcW w:w="4156" w:type="pct"/>
            <w:shd w:val="clear" w:color="auto" w:fill="FFFFFF"/>
            <w:vAlign w:val="center"/>
          </w:tcPr>
          <w:p w14:paraId="7D399DFB" w14:textId="77777777" w:rsidR="00E03711" w:rsidRPr="006E61F8" w:rsidRDefault="00E03711" w:rsidP="005115F2">
            <w:pPr>
              <w:pStyle w:val="Guide-NormalBulletpoints"/>
              <w:numPr>
                <w:ilvl w:val="0"/>
                <w:numId w:val="156"/>
              </w:numPr>
              <w:rPr>
                <w:lang w:val="sl-SI"/>
              </w:rPr>
            </w:pPr>
            <w:r w:rsidRPr="006E61F8">
              <w:rPr>
                <w:lang w:val="sl-SI"/>
              </w:rPr>
              <w:t xml:space="preserve">jasnost, celovitost in kakovost </w:t>
            </w:r>
            <w:r>
              <w:rPr>
                <w:lang w:val="sl-SI"/>
              </w:rPr>
              <w:t xml:space="preserve">predloga in </w:t>
            </w:r>
            <w:r w:rsidRPr="00D10C38">
              <w:rPr>
                <w:b/>
                <w:bCs/>
                <w:lang w:val="sl-SI"/>
              </w:rPr>
              <w:t>delovnega programa</w:t>
            </w:r>
            <w:r w:rsidRPr="006E61F8">
              <w:rPr>
                <w:lang w:val="sl-SI"/>
              </w:rPr>
              <w:t xml:space="preserve">, vključno z </w:t>
            </w:r>
            <w:r w:rsidRPr="00D10C38">
              <w:rPr>
                <w:b/>
                <w:bCs/>
                <w:lang w:val="sl-SI"/>
              </w:rPr>
              <w:t>ustreznim</w:t>
            </w:r>
            <w:r w:rsidRPr="006E61F8">
              <w:rPr>
                <w:lang w:val="sl-SI"/>
              </w:rPr>
              <w:t xml:space="preserve"> </w:t>
            </w:r>
            <w:r w:rsidRPr="00D10C38">
              <w:rPr>
                <w:b/>
                <w:bCs/>
                <w:lang w:val="sl-SI"/>
              </w:rPr>
              <w:t>načrtovanjem</w:t>
            </w:r>
            <w:r>
              <w:rPr>
                <w:lang w:val="sl-SI"/>
              </w:rPr>
              <w:t xml:space="preserve"> faz </w:t>
            </w:r>
            <w:r w:rsidRPr="006E61F8">
              <w:rPr>
                <w:lang w:val="sl-SI"/>
              </w:rPr>
              <w:t>priprav</w:t>
            </w:r>
            <w:r>
              <w:rPr>
                <w:lang w:val="sl-SI"/>
              </w:rPr>
              <w:t>e</w:t>
            </w:r>
            <w:r w:rsidRPr="006E61F8">
              <w:rPr>
                <w:lang w:val="sl-SI"/>
              </w:rPr>
              <w:t>, izvajanj</w:t>
            </w:r>
            <w:r>
              <w:rPr>
                <w:lang w:val="sl-SI"/>
              </w:rPr>
              <w:t>a</w:t>
            </w:r>
            <w:r w:rsidRPr="006E61F8">
              <w:rPr>
                <w:lang w:val="sl-SI"/>
              </w:rPr>
              <w:t>, ocenjevanj</w:t>
            </w:r>
            <w:r>
              <w:rPr>
                <w:lang w:val="sl-SI"/>
              </w:rPr>
              <w:t>a</w:t>
            </w:r>
            <w:r w:rsidRPr="006E61F8">
              <w:rPr>
                <w:lang w:val="sl-SI"/>
              </w:rPr>
              <w:t>, nadaljnje</w:t>
            </w:r>
            <w:r>
              <w:rPr>
                <w:lang w:val="sl-SI"/>
              </w:rPr>
              <w:t>ga</w:t>
            </w:r>
            <w:r w:rsidRPr="006E61F8">
              <w:rPr>
                <w:lang w:val="sl-SI"/>
              </w:rPr>
              <w:t xml:space="preserve"> spremljanj</w:t>
            </w:r>
            <w:r>
              <w:rPr>
                <w:lang w:val="sl-SI"/>
              </w:rPr>
              <w:t>a</w:t>
            </w:r>
            <w:r w:rsidRPr="006E61F8">
              <w:rPr>
                <w:lang w:val="sl-SI"/>
              </w:rPr>
              <w:t xml:space="preserve"> in razširjanj</w:t>
            </w:r>
            <w:r>
              <w:rPr>
                <w:lang w:val="sl-SI"/>
              </w:rPr>
              <w:t>a</w:t>
            </w:r>
            <w:r w:rsidRPr="006E61F8">
              <w:rPr>
                <w:lang w:val="sl-SI"/>
              </w:rPr>
              <w:t>;</w:t>
            </w:r>
          </w:p>
          <w:p w14:paraId="7D399DFC" w14:textId="77777777" w:rsidR="00E03711" w:rsidRPr="009A2C2A" w:rsidRDefault="00E03711" w:rsidP="005115F2">
            <w:pPr>
              <w:pStyle w:val="Guide-NormalBulletpoints"/>
              <w:numPr>
                <w:ilvl w:val="0"/>
                <w:numId w:val="156"/>
              </w:numPr>
              <w:rPr>
                <w:lang w:val="sl-SI"/>
              </w:rPr>
            </w:pPr>
            <w:r w:rsidRPr="00D10C38">
              <w:rPr>
                <w:b/>
                <w:bCs/>
                <w:lang w:val="sl-SI"/>
              </w:rPr>
              <w:t>skladnost</w:t>
            </w:r>
            <w:r>
              <w:rPr>
                <w:lang w:val="sl-SI"/>
              </w:rPr>
              <w:t xml:space="preserve"> </w:t>
            </w:r>
            <w:r w:rsidRPr="009A2C2A">
              <w:rPr>
                <w:lang w:val="sl-SI"/>
              </w:rPr>
              <w:t>ciljev projekta</w:t>
            </w:r>
            <w:r>
              <w:rPr>
                <w:lang w:val="sl-SI"/>
              </w:rPr>
              <w:t xml:space="preserve"> in</w:t>
            </w:r>
            <w:r w:rsidRPr="009A2C2A">
              <w:rPr>
                <w:lang w:val="sl-SI"/>
              </w:rPr>
              <w:t xml:space="preserve"> aktivnosti;</w:t>
            </w:r>
          </w:p>
          <w:p w14:paraId="7D399DFD" w14:textId="77777777" w:rsidR="00E03711" w:rsidRPr="001048FE" w:rsidRDefault="00E03711" w:rsidP="005115F2">
            <w:pPr>
              <w:pStyle w:val="Guide-NormalBulletpoints"/>
              <w:numPr>
                <w:ilvl w:val="0"/>
                <w:numId w:val="156"/>
              </w:numPr>
              <w:spacing w:before="60"/>
              <w:jc w:val="left"/>
              <w:rPr>
                <w:lang w:val="sl-SI"/>
              </w:rPr>
            </w:pPr>
            <w:r w:rsidRPr="009A2C2A">
              <w:rPr>
                <w:lang w:val="sl-SI"/>
              </w:rPr>
              <w:t>kakovost</w:t>
            </w:r>
            <w:r>
              <w:rPr>
                <w:lang w:val="sl-SI"/>
              </w:rPr>
              <w:t>, novost</w:t>
            </w:r>
            <w:r w:rsidRPr="009A2C2A">
              <w:rPr>
                <w:lang w:val="sl-SI"/>
              </w:rPr>
              <w:t xml:space="preserve"> in izvedljivost </w:t>
            </w:r>
            <w:r>
              <w:rPr>
                <w:lang w:val="sl-SI"/>
              </w:rPr>
              <w:t xml:space="preserve">projekta samega ter izvedljivost </w:t>
            </w:r>
            <w:r w:rsidRPr="009A2C2A">
              <w:rPr>
                <w:lang w:val="sl-SI"/>
              </w:rPr>
              <w:t>predlagane metodologije.</w:t>
            </w:r>
          </w:p>
        </w:tc>
      </w:tr>
      <w:tr w:rsidR="00E03711" w:rsidRPr="00C60205" w14:paraId="7D399E01" w14:textId="77777777" w:rsidTr="0002223E">
        <w:trPr>
          <w:cantSplit/>
          <w:trHeight w:val="283"/>
        </w:trPr>
        <w:tc>
          <w:tcPr>
            <w:tcW w:w="844" w:type="pct"/>
            <w:shd w:val="clear" w:color="auto" w:fill="FFFFFF"/>
            <w:vAlign w:val="center"/>
          </w:tcPr>
          <w:p w14:paraId="7D399DFF" w14:textId="77777777" w:rsidR="00E03711" w:rsidRPr="00F769E0" w:rsidRDefault="00E03711" w:rsidP="002B6230">
            <w:pPr>
              <w:pStyle w:val="GUIDE-NORMAL"/>
              <w:spacing w:before="60" w:after="60"/>
              <w:jc w:val="left"/>
              <w:rPr>
                <w:rFonts w:cs="Tahoma"/>
                <w:b/>
                <w:lang w:val="sl-SI" w:eastAsia="en-GB"/>
              </w:rPr>
            </w:pPr>
            <w:r w:rsidRPr="00F769E0">
              <w:rPr>
                <w:rFonts w:cs="Tahoma"/>
                <w:b/>
                <w:lang w:val="sl-SI" w:eastAsia="en-GB"/>
              </w:rPr>
              <w:t xml:space="preserve">Kakovost projektne skupine </w:t>
            </w:r>
            <w:r w:rsidRPr="00F769E0">
              <w:rPr>
                <w:rFonts w:cs="Tahoma"/>
                <w:b/>
                <w:lang w:val="sl-SI" w:eastAsia="en-GB"/>
              </w:rPr>
              <w:br/>
              <w:t>(največ 25 točk)</w:t>
            </w:r>
          </w:p>
        </w:tc>
        <w:tc>
          <w:tcPr>
            <w:tcW w:w="4156" w:type="pct"/>
            <w:shd w:val="clear" w:color="auto" w:fill="FFFFFF"/>
            <w:vAlign w:val="center"/>
          </w:tcPr>
          <w:p w14:paraId="7D399E00" w14:textId="77777777" w:rsidR="00E03711" w:rsidRPr="001048FE" w:rsidRDefault="00E03711" w:rsidP="005115F2">
            <w:pPr>
              <w:pStyle w:val="Guide-NormalBulletpoints"/>
              <w:numPr>
                <w:ilvl w:val="0"/>
                <w:numId w:val="156"/>
              </w:numPr>
              <w:spacing w:before="60"/>
              <w:jc w:val="left"/>
              <w:rPr>
                <w:lang w:val="sl-SI"/>
              </w:rPr>
            </w:pPr>
            <w:r w:rsidRPr="001048FE">
              <w:rPr>
                <w:lang w:val="sl-SI"/>
              </w:rPr>
              <w:t>ustreznost</w:t>
            </w:r>
            <w:r>
              <w:rPr>
                <w:lang w:val="sl-SI"/>
              </w:rPr>
              <w:t xml:space="preserve"> in komplementarnost</w:t>
            </w:r>
            <w:r w:rsidRPr="001048FE">
              <w:rPr>
                <w:lang w:val="sl-SI"/>
              </w:rPr>
              <w:t xml:space="preserve"> profila in strokovnega znanja ključnega osebja </w:t>
            </w:r>
            <w:r>
              <w:rPr>
                <w:lang w:val="sl-SI"/>
              </w:rPr>
              <w:t>pri aktivnostih, predlaganih v projektu</w:t>
            </w:r>
            <w:r w:rsidRPr="001048FE">
              <w:rPr>
                <w:lang w:val="sl-SI"/>
              </w:rPr>
              <w:t>– na akademskem in neakademskem področju</w:t>
            </w:r>
            <w:r>
              <w:rPr>
                <w:lang w:val="sl-SI"/>
              </w:rPr>
              <w:t>, kjer je to ustrezno</w:t>
            </w:r>
            <w:r w:rsidRPr="001048FE">
              <w:rPr>
                <w:lang w:val="sl-SI"/>
              </w:rPr>
              <w:t>.</w:t>
            </w:r>
          </w:p>
        </w:tc>
      </w:tr>
      <w:tr w:rsidR="00E03711" w:rsidRPr="00C60205" w14:paraId="7D399E11" w14:textId="77777777" w:rsidTr="0002223E">
        <w:trPr>
          <w:cantSplit/>
          <w:trHeight w:val="283"/>
        </w:trPr>
        <w:tc>
          <w:tcPr>
            <w:tcW w:w="844" w:type="pct"/>
            <w:shd w:val="clear" w:color="auto" w:fill="FFFFFF"/>
            <w:vAlign w:val="center"/>
          </w:tcPr>
          <w:p w14:paraId="7D399E02" w14:textId="77777777" w:rsidR="00E03711" w:rsidRPr="00F769E0" w:rsidRDefault="00E03711" w:rsidP="002B6230">
            <w:pPr>
              <w:pStyle w:val="GUIDE-NORMAL"/>
              <w:spacing w:before="60" w:after="60"/>
              <w:jc w:val="left"/>
              <w:rPr>
                <w:rFonts w:cs="Tahoma"/>
                <w:b/>
                <w:lang w:val="sl-SI" w:eastAsia="en-GB"/>
              </w:rPr>
            </w:pPr>
            <w:r w:rsidRPr="00F769E0">
              <w:rPr>
                <w:rFonts w:cs="Tahoma"/>
                <w:b/>
                <w:lang w:val="sl-SI" w:eastAsia="en-GB"/>
              </w:rPr>
              <w:t>Učinek in razširjanje (največ 25 točk)</w:t>
            </w:r>
          </w:p>
        </w:tc>
        <w:tc>
          <w:tcPr>
            <w:tcW w:w="4156" w:type="pct"/>
            <w:shd w:val="clear" w:color="auto" w:fill="FFFFFF"/>
            <w:vAlign w:val="center"/>
          </w:tcPr>
          <w:p w14:paraId="7D399E03" w14:textId="77777777" w:rsidR="00E03711" w:rsidRPr="001048FE" w:rsidRDefault="00E03711" w:rsidP="005115F2">
            <w:pPr>
              <w:pStyle w:val="Guide-NormalBulletpoints"/>
              <w:numPr>
                <w:ilvl w:val="0"/>
                <w:numId w:val="150"/>
              </w:numPr>
              <w:spacing w:before="60"/>
              <w:jc w:val="left"/>
              <w:rPr>
                <w:lang w:val="sl-SI"/>
              </w:rPr>
            </w:pPr>
            <w:r w:rsidRPr="00D10C38">
              <w:rPr>
                <w:b/>
                <w:bCs/>
                <w:lang w:val="sl-SI"/>
              </w:rPr>
              <w:t>pričakovan</w:t>
            </w:r>
            <w:r>
              <w:rPr>
                <w:b/>
                <w:bCs/>
                <w:lang w:val="sl-SI"/>
              </w:rPr>
              <w:t>i</w:t>
            </w:r>
            <w:r w:rsidRPr="00D10C38">
              <w:rPr>
                <w:b/>
                <w:bCs/>
                <w:lang w:val="sl-SI"/>
              </w:rPr>
              <w:t xml:space="preserve"> učinek</w:t>
            </w:r>
            <w:r w:rsidRPr="001048FE">
              <w:rPr>
                <w:lang w:val="sl-SI"/>
              </w:rPr>
              <w:t xml:space="preserve"> projekta</w:t>
            </w:r>
            <w:r>
              <w:rPr>
                <w:lang w:val="sl-SI"/>
              </w:rPr>
              <w:t xml:space="preserve"> v smislu dolgoročnih učinkov</w:t>
            </w:r>
            <w:r w:rsidRPr="001048FE">
              <w:rPr>
                <w:lang w:val="sl-SI"/>
              </w:rPr>
              <w:t>:</w:t>
            </w:r>
          </w:p>
          <w:p w14:paraId="7D399E04" w14:textId="77777777" w:rsidR="00E03711" w:rsidRPr="001048FE" w:rsidRDefault="00E03711" w:rsidP="005115F2">
            <w:pPr>
              <w:pStyle w:val="Guide-ListDash"/>
              <w:numPr>
                <w:ilvl w:val="1"/>
                <w:numId w:val="153"/>
              </w:numPr>
              <w:spacing w:before="60" w:after="60"/>
              <w:jc w:val="left"/>
              <w:rPr>
                <w:lang w:val="sl-SI"/>
              </w:rPr>
            </w:pPr>
            <w:r w:rsidRPr="001048FE">
              <w:rPr>
                <w:lang w:val="sl-SI"/>
              </w:rPr>
              <w:t xml:space="preserve">na institucijo, ki </w:t>
            </w:r>
            <w:r>
              <w:rPr>
                <w:lang w:val="sl-SI"/>
              </w:rPr>
              <w:t xml:space="preserve">gosti </w:t>
            </w:r>
            <w:r w:rsidRPr="001048FE">
              <w:rPr>
                <w:lang w:val="sl-SI"/>
              </w:rPr>
              <w:t>ukrep Jean Monnet;</w:t>
            </w:r>
          </w:p>
          <w:p w14:paraId="7D399E05" w14:textId="77777777" w:rsidR="00E03711" w:rsidRPr="001048FE" w:rsidRDefault="00E03711" w:rsidP="005115F2">
            <w:pPr>
              <w:pStyle w:val="Guide-ListDash"/>
              <w:numPr>
                <w:ilvl w:val="1"/>
                <w:numId w:val="153"/>
              </w:numPr>
              <w:spacing w:before="60" w:after="60"/>
              <w:jc w:val="left"/>
              <w:rPr>
                <w:lang w:val="sl-SI"/>
              </w:rPr>
            </w:pPr>
            <w:r w:rsidRPr="001048FE">
              <w:rPr>
                <w:lang w:val="sl-SI"/>
              </w:rPr>
              <w:t>na študente in učeče se, ki imajo koristi od ukrepa Jean Monnet;</w:t>
            </w:r>
          </w:p>
          <w:p w14:paraId="7D399E06" w14:textId="77777777" w:rsidR="00E03711" w:rsidRPr="001048FE" w:rsidRDefault="00E03711" w:rsidP="005115F2">
            <w:pPr>
              <w:pStyle w:val="Guide-ListDash"/>
              <w:numPr>
                <w:ilvl w:val="1"/>
                <w:numId w:val="153"/>
              </w:numPr>
              <w:spacing w:before="60" w:after="60"/>
              <w:jc w:val="left"/>
              <w:rPr>
                <w:lang w:val="sl-SI"/>
              </w:rPr>
            </w:pPr>
            <w:r w:rsidRPr="001048FE">
              <w:rPr>
                <w:lang w:val="sl-SI"/>
              </w:rPr>
              <w:t>na druge organizacije in posameznike, ki so vključeni na lokalni, regionalni, nacionalni in/ali evropski ravni</w:t>
            </w:r>
            <w:r>
              <w:rPr>
                <w:lang w:val="sl-SI"/>
              </w:rPr>
              <w:t>.</w:t>
            </w:r>
          </w:p>
          <w:p w14:paraId="7D399E07" w14:textId="77777777" w:rsidR="00E03711" w:rsidRDefault="00E03711" w:rsidP="005115F2">
            <w:pPr>
              <w:pStyle w:val="Guide-NormalBulletpoints"/>
              <w:numPr>
                <w:ilvl w:val="0"/>
                <w:numId w:val="150"/>
              </w:numPr>
              <w:spacing w:before="60"/>
              <w:jc w:val="left"/>
              <w:rPr>
                <w:lang w:val="sl-SI"/>
              </w:rPr>
            </w:pPr>
            <w:r w:rsidRPr="00D10C38">
              <w:rPr>
                <w:b/>
                <w:bCs/>
                <w:lang w:val="sl-SI"/>
              </w:rPr>
              <w:t>ustreznost in kakovost ukrepov</w:t>
            </w:r>
            <w:r w:rsidRPr="001048FE">
              <w:rPr>
                <w:lang w:val="sl-SI"/>
              </w:rPr>
              <w:t>, katerih cilj je razširjanje rezultatov aktivnosti na instituciji, ki gosti ukrep Jean Monnet, in drugod;</w:t>
            </w:r>
          </w:p>
          <w:p w14:paraId="7D399E08" w14:textId="77777777" w:rsidR="00E03711" w:rsidRDefault="00E03711" w:rsidP="005115F2">
            <w:pPr>
              <w:pStyle w:val="Guide-NormalBulletpoints"/>
              <w:numPr>
                <w:ilvl w:val="1"/>
                <w:numId w:val="150"/>
              </w:numPr>
              <w:spacing w:before="60"/>
              <w:jc w:val="left"/>
              <w:rPr>
                <w:lang w:val="sl-SI"/>
              </w:rPr>
            </w:pPr>
            <w:r>
              <w:rPr>
                <w:lang w:val="sl-SI"/>
              </w:rPr>
              <w:t>širjenje novic;</w:t>
            </w:r>
          </w:p>
          <w:p w14:paraId="7D399E09" w14:textId="77777777" w:rsidR="00E03711" w:rsidRDefault="00E03711" w:rsidP="005115F2">
            <w:pPr>
              <w:pStyle w:val="Guide-NormalBulletpoints"/>
              <w:numPr>
                <w:ilvl w:val="1"/>
                <w:numId w:val="150"/>
              </w:numPr>
              <w:spacing w:before="60"/>
              <w:jc w:val="left"/>
              <w:rPr>
                <w:lang w:val="sl-SI"/>
              </w:rPr>
            </w:pPr>
            <w:r>
              <w:rPr>
                <w:lang w:val="sl-SI"/>
              </w:rPr>
              <w:t>ozaveščanje o projektih in rezultatih, krepitev vidnosti udeležencev in organizacij;</w:t>
            </w:r>
          </w:p>
          <w:p w14:paraId="7D399E0A" w14:textId="77777777" w:rsidR="00E03711" w:rsidRDefault="00E03711" w:rsidP="005115F2">
            <w:pPr>
              <w:pStyle w:val="Guide-NormalBulletpoints"/>
              <w:numPr>
                <w:ilvl w:val="1"/>
                <w:numId w:val="150"/>
              </w:numPr>
              <w:spacing w:before="60"/>
              <w:jc w:val="left"/>
              <w:rPr>
                <w:lang w:val="sl-SI"/>
              </w:rPr>
            </w:pPr>
            <w:r>
              <w:rPr>
                <w:lang w:val="sl-SI"/>
              </w:rPr>
              <w:t>navezovanje stikov s skupinami zunaj institucij visokošolskega izobraževanja;</w:t>
            </w:r>
          </w:p>
          <w:p w14:paraId="7D399E0B" w14:textId="77777777" w:rsidR="00E03711" w:rsidRPr="003B5459" w:rsidRDefault="00E03711" w:rsidP="005115F2">
            <w:pPr>
              <w:pStyle w:val="Guide-NormalBulletpoints"/>
              <w:numPr>
                <w:ilvl w:val="1"/>
                <w:numId w:val="150"/>
              </w:numPr>
              <w:spacing w:before="60"/>
              <w:jc w:val="left"/>
              <w:rPr>
                <w:lang w:val="sl-SI"/>
              </w:rPr>
            </w:pPr>
            <w:r>
              <w:rPr>
                <w:lang w:val="sl-SI"/>
              </w:rPr>
              <w:t>prenosljivost in prevod v nove politike ter izboljšane prakse.</w:t>
            </w:r>
          </w:p>
          <w:p w14:paraId="7D399E0C" w14:textId="77777777" w:rsidR="00E03711" w:rsidRDefault="00E03711" w:rsidP="005115F2">
            <w:pPr>
              <w:pStyle w:val="Guide-NormalBulletpoints"/>
              <w:numPr>
                <w:ilvl w:val="0"/>
                <w:numId w:val="150"/>
              </w:numPr>
              <w:spacing w:before="60"/>
              <w:jc w:val="left"/>
              <w:rPr>
                <w:lang w:val="sl-SI"/>
              </w:rPr>
            </w:pPr>
            <w:r w:rsidRPr="004E4C36">
              <w:rPr>
                <w:b/>
                <w:bCs/>
                <w:lang w:val="sl-SI"/>
              </w:rPr>
              <w:t>v kolikšni meri</w:t>
            </w:r>
            <w:r>
              <w:rPr>
                <w:lang w:val="sl-SI"/>
              </w:rPr>
              <w:t xml:space="preserve"> bodo predvidena orodja za razširjanje dosegla ciljno občinstvo preko:</w:t>
            </w:r>
          </w:p>
          <w:p w14:paraId="7D399E0D" w14:textId="77777777" w:rsidR="00E03711" w:rsidRDefault="00E03711" w:rsidP="005115F2">
            <w:pPr>
              <w:pStyle w:val="Guide-NormalBulletpoints"/>
              <w:numPr>
                <w:ilvl w:val="1"/>
                <w:numId w:val="150"/>
              </w:numPr>
              <w:spacing w:before="60"/>
              <w:jc w:val="left"/>
              <w:rPr>
                <w:lang w:val="sl-SI"/>
              </w:rPr>
            </w:pPr>
            <w:r>
              <w:rPr>
                <w:lang w:val="sl-SI"/>
              </w:rPr>
              <w:t>izpostavljenosti medijem (vključno z družbenimi mediji, publikacijami itd.);</w:t>
            </w:r>
          </w:p>
          <w:p w14:paraId="7D399E0E" w14:textId="77777777" w:rsidR="00E03711" w:rsidRDefault="00E03711" w:rsidP="005115F2">
            <w:pPr>
              <w:pStyle w:val="Guide-NormalBulletpoints"/>
              <w:numPr>
                <w:ilvl w:val="1"/>
                <w:numId w:val="150"/>
              </w:numPr>
              <w:spacing w:before="60"/>
              <w:jc w:val="left"/>
              <w:rPr>
                <w:lang w:val="sl-SI"/>
              </w:rPr>
            </w:pPr>
            <w:r>
              <w:rPr>
                <w:lang w:val="sl-SI"/>
              </w:rPr>
              <w:t>prireditev;</w:t>
            </w:r>
          </w:p>
          <w:p w14:paraId="7D399E0F" w14:textId="77777777" w:rsidR="00E03711" w:rsidRDefault="00E03711" w:rsidP="005115F2">
            <w:pPr>
              <w:pStyle w:val="Guide-NormalBulletpoints"/>
              <w:numPr>
                <w:ilvl w:val="1"/>
                <w:numId w:val="150"/>
              </w:numPr>
              <w:spacing w:before="60"/>
              <w:jc w:val="left"/>
              <w:rPr>
                <w:lang w:val="sl-SI"/>
              </w:rPr>
            </w:pPr>
            <w:r>
              <w:rPr>
                <w:lang w:val="sl-SI"/>
              </w:rPr>
              <w:t>tečajev usposabljanja;</w:t>
            </w:r>
          </w:p>
          <w:p w14:paraId="7D399E10" w14:textId="77777777" w:rsidR="00E03711" w:rsidRPr="001048FE" w:rsidRDefault="00E03711" w:rsidP="005115F2">
            <w:pPr>
              <w:pStyle w:val="Guide-NormalBulletpoints"/>
              <w:numPr>
                <w:ilvl w:val="1"/>
                <w:numId w:val="150"/>
              </w:numPr>
              <w:spacing w:before="60"/>
              <w:jc w:val="left"/>
              <w:rPr>
                <w:lang w:val="sl-SI"/>
              </w:rPr>
            </w:pPr>
            <w:r w:rsidRPr="009B07B9">
              <w:rPr>
                <w:lang w:val="sl-SI"/>
              </w:rPr>
              <w:t>uporabe novih tehnologij (večpredstavnostna orodja), vključno z odprtimi izobraževalnimi viri (OER).</w:t>
            </w:r>
          </w:p>
        </w:tc>
      </w:tr>
    </w:tbl>
    <w:p w14:paraId="7D399E12" w14:textId="77777777" w:rsidR="00E03711" w:rsidRPr="001048FE" w:rsidRDefault="00E03711" w:rsidP="004F1B66">
      <w:pPr>
        <w:pStyle w:val="GUIDE-NORMAL"/>
        <w:rPr>
          <w:lang w:val="sl-SI"/>
        </w:rPr>
      </w:pPr>
      <w:r w:rsidRPr="001048FE">
        <w:rPr>
          <w:lang w:val="sl-SI"/>
        </w:rPr>
        <w:t>Za upoštevanje pri dodeljevanju sredstev morajo predlogi doseči vsaj 60 točk. Poleg tega morajo doseči vsaj 13 točk v vsaki od navedenih kategorij meril za dodelitev.</w:t>
      </w:r>
    </w:p>
    <w:p w14:paraId="7D399E13" w14:textId="77777777" w:rsidR="00E03711" w:rsidRPr="001048FE" w:rsidRDefault="00E03711" w:rsidP="002A25C9">
      <w:pPr>
        <w:pStyle w:val="Guide-Heading4"/>
        <w:rPr>
          <w:lang w:val="sl-SI"/>
        </w:rPr>
      </w:pPr>
      <w:bookmarkStart w:id="311" w:name="_Toc527401187"/>
      <w:r w:rsidRPr="001048FE">
        <w:rPr>
          <w:lang w:val="sl-SI"/>
        </w:rPr>
        <w:t>Kaj je še treba vedeti o centru odličnosti Jean Monnet?</w:t>
      </w:r>
      <w:bookmarkEnd w:id="311"/>
    </w:p>
    <w:p w14:paraId="7D399E14" w14:textId="77777777" w:rsidR="00E03711" w:rsidRPr="001048FE" w:rsidRDefault="00E03711" w:rsidP="002A25C9">
      <w:pPr>
        <w:pStyle w:val="Guide-Heading5"/>
        <w:rPr>
          <w:lang w:val="sl-SI"/>
        </w:rPr>
      </w:pPr>
      <w:r w:rsidRPr="001048FE">
        <w:rPr>
          <w:lang w:val="sl-SI"/>
        </w:rPr>
        <w:t>Učinek in razširjanje</w:t>
      </w:r>
    </w:p>
    <w:p w14:paraId="7D399E15" w14:textId="77777777" w:rsidR="00E03711" w:rsidRPr="001048FE" w:rsidRDefault="00E03711" w:rsidP="004F1B66">
      <w:pPr>
        <w:pStyle w:val="GUIDE-NORMAL"/>
        <w:rPr>
          <w:lang w:val="sl-SI"/>
        </w:rPr>
      </w:pPr>
      <w:r w:rsidRPr="001048FE">
        <w:rPr>
          <w:lang w:val="sl-SI"/>
        </w:rPr>
        <w:t>Centri odličnosti Jean Monnet morajo razširjati in uporabiti rezultate organiziranih aktivnosti poučevanja in raziskovanja tudi zunaj kroga neposredno vključenih deležnikov. To bo znatno okrepilo učinek in prispevalo k sistemski spremembi.</w:t>
      </w:r>
    </w:p>
    <w:p w14:paraId="7D399E16" w14:textId="77777777" w:rsidR="00E03711" w:rsidRPr="001048FE" w:rsidRDefault="00E03711" w:rsidP="004F1B66">
      <w:pPr>
        <w:pStyle w:val="GUIDE-NORMAL"/>
        <w:rPr>
          <w:lang w:val="sl-SI"/>
        </w:rPr>
      </w:pPr>
      <w:r w:rsidRPr="001048FE">
        <w:rPr>
          <w:lang w:val="sl-SI"/>
        </w:rPr>
        <w:t>Za okrepitev učinka bi v svoje aktivnosti razširjanja morala vključiti ustvarjanje in zagotavljanje prosto dostopnih učnih virov (PDUV) ter aktivnosti odprtega izobraževanja za odzivanje na tehnološki napredek. To bo spodbudilo bolj prilagodljive in ustvarjalne načine učenja ter doseglo vedno večje število študentov, strokovnjakov, oblikovalcev politik in drugih zainteresiranih skupin.</w:t>
      </w:r>
    </w:p>
    <w:p w14:paraId="7D399E17" w14:textId="77777777" w:rsidR="00E03711" w:rsidRPr="001048FE" w:rsidRDefault="00E03711" w:rsidP="004F1B66">
      <w:pPr>
        <w:pStyle w:val="GUIDE-NORMAL"/>
        <w:rPr>
          <w:lang w:val="sl-SI"/>
        </w:rPr>
      </w:pPr>
      <w:r w:rsidRPr="001048FE">
        <w:rPr>
          <w:lang w:val="sl-SI"/>
        </w:rPr>
        <w:t>Centri odličnosti Jean Monnet bodo morali zagotoviti posodabljanje svojega razdelka v spletnem orodju za program Erasmus+, kjer bodo na voljo vse informacije o aktivnostih programa Jean Monnet. Projekti se bodo močno spodbujali k uporabi ustreznih obstoječih platform in orodij (tj. imenik projektov Jean Monnet, virtualna skupnost Jean Monnet). Z izvajanjem teh nalog, ki so del splošnega orodja informacijske tehnologije za Erasmus+, se bo zagotovilo, da bo širša javnost obveščena o institucijah in njihovih programih Jean Monnet. Prejemniki nepovratnih sredstev bodo morali zagotoviti redno posodabljanje orodja z rezultati svojega dela.</w:t>
      </w:r>
    </w:p>
    <w:p w14:paraId="7D399E18" w14:textId="77777777" w:rsidR="00E03711" w:rsidRPr="001048FE" w:rsidRDefault="00E03711" w:rsidP="004F1B66">
      <w:pPr>
        <w:pStyle w:val="GUIDE-NORMAL"/>
        <w:rPr>
          <w:lang w:val="sl-SI"/>
        </w:rPr>
      </w:pPr>
      <w:r w:rsidRPr="001048FE">
        <w:rPr>
          <w:lang w:val="sl-SI"/>
        </w:rPr>
        <w:t>Centri odličnosti Jean Monnet se spodbujajo, da:</w:t>
      </w:r>
    </w:p>
    <w:p w14:paraId="7D399E19" w14:textId="77777777" w:rsidR="00E03711" w:rsidRPr="001048FE" w:rsidRDefault="00E03711" w:rsidP="005115F2">
      <w:pPr>
        <w:pStyle w:val="Guide-NormalBulletpoints"/>
        <w:numPr>
          <w:ilvl w:val="0"/>
          <w:numId w:val="335"/>
        </w:numPr>
        <w:rPr>
          <w:lang w:val="sl-SI"/>
        </w:rPr>
      </w:pPr>
      <w:r w:rsidRPr="001048FE">
        <w:rPr>
          <w:lang w:val="sl-SI"/>
        </w:rPr>
        <w:t xml:space="preserve">se udeležijo dogodkov razširjanja in informativnih dogodkov na evropski in nacionalni ravni; </w:t>
      </w:r>
    </w:p>
    <w:p w14:paraId="7D399E1A" w14:textId="77777777" w:rsidR="00E03711" w:rsidRPr="001048FE" w:rsidRDefault="00E03711" w:rsidP="005115F2">
      <w:pPr>
        <w:pStyle w:val="Guide-NormalBulletpoints"/>
        <w:numPr>
          <w:ilvl w:val="0"/>
          <w:numId w:val="335"/>
        </w:numPr>
        <w:rPr>
          <w:lang w:val="sl-SI"/>
        </w:rPr>
      </w:pPr>
      <w:r w:rsidRPr="001048FE">
        <w:rPr>
          <w:lang w:val="sl-SI"/>
        </w:rPr>
        <w:t>organizirajo dogodke (predavanja, seminarje, delavnice itd.) z oblikovalci politik na lokalni (npr. župani in svetniki), regionalni in nacionalni ravni ter tudi z organizirano civilno družbo in šolami;</w:t>
      </w:r>
    </w:p>
    <w:p w14:paraId="7D399E1B" w14:textId="77777777" w:rsidR="00E03711" w:rsidRPr="001048FE" w:rsidRDefault="00E03711" w:rsidP="005115F2">
      <w:pPr>
        <w:pStyle w:val="Guide-NormalBulletpoints"/>
        <w:numPr>
          <w:ilvl w:val="0"/>
          <w:numId w:val="335"/>
        </w:numPr>
        <w:rPr>
          <w:lang w:val="sl-SI"/>
        </w:rPr>
      </w:pPr>
      <w:r w:rsidRPr="001048FE">
        <w:rPr>
          <w:lang w:val="sl-SI"/>
        </w:rPr>
        <w:t>razširjajo rezultate svojih aktivnosti z organizacijo seminarjev ali predavanj, ki so namenjeni in prilagojeni za najširšo javnost in predstavnike civilne družbe;</w:t>
      </w:r>
    </w:p>
    <w:p w14:paraId="7D399E1C" w14:textId="77777777" w:rsidR="00E03711" w:rsidRPr="001048FE" w:rsidRDefault="00E03711" w:rsidP="005115F2">
      <w:pPr>
        <w:pStyle w:val="Guide-NormalBulletpoints"/>
        <w:numPr>
          <w:ilvl w:val="0"/>
          <w:numId w:val="335"/>
        </w:numPr>
        <w:rPr>
          <w:lang w:val="sl-SI"/>
        </w:rPr>
      </w:pPr>
      <w:r w:rsidRPr="001048FE">
        <w:rPr>
          <w:lang w:val="sl-SI"/>
        </w:rPr>
        <w:t>se povezujejo z drugimi centri odličnosti, katedrami in koordinatorji modulov Jean</w:t>
      </w:r>
      <w:r>
        <w:rPr>
          <w:lang w:val="sl-SI"/>
        </w:rPr>
        <w:t xml:space="preserve"> Monnet</w:t>
      </w:r>
      <w:r w:rsidRPr="001048FE">
        <w:rPr>
          <w:lang w:val="sl-SI"/>
        </w:rPr>
        <w:t>;</w:t>
      </w:r>
    </w:p>
    <w:p w14:paraId="7D399E1D" w14:textId="77777777" w:rsidR="00E03711" w:rsidRPr="001048FE" w:rsidRDefault="00E03711" w:rsidP="005115F2">
      <w:pPr>
        <w:pStyle w:val="Guide-NormalBulletpoints"/>
        <w:numPr>
          <w:ilvl w:val="0"/>
          <w:numId w:val="335"/>
        </w:numPr>
        <w:rPr>
          <w:lang w:val="sl-SI"/>
        </w:rPr>
      </w:pPr>
      <w:r w:rsidRPr="001048FE">
        <w:rPr>
          <w:lang w:val="sl-SI"/>
        </w:rPr>
        <w:t>uporabljajo prosto dostopne učne vire (PDUV), objavljajo povzetke, vsebino in razpored svojih aktivnosti ter pričakovane rezultate.</w:t>
      </w:r>
    </w:p>
    <w:p w14:paraId="7D399E1E" w14:textId="77777777" w:rsidR="00E03711" w:rsidRPr="001048FE" w:rsidRDefault="00E03711" w:rsidP="004F1B66">
      <w:pPr>
        <w:pStyle w:val="Guide-Heading5"/>
        <w:rPr>
          <w:lang w:val="sl-SI"/>
        </w:rPr>
        <w:sectPr w:rsidR="00E03711" w:rsidRPr="001048FE" w:rsidSect="00E15ED3">
          <w:headerReference w:type="even" r:id="rId123"/>
          <w:headerReference w:type="default" r:id="rId124"/>
          <w:endnotePr>
            <w:numFmt w:val="decimal"/>
          </w:endnotePr>
          <w:pgSz w:w="11910" w:h="16840" w:code="9"/>
          <w:pgMar w:top="1134" w:right="1418" w:bottom="1134" w:left="1418" w:header="284" w:footer="567" w:gutter="0"/>
          <w:cols w:space="720"/>
          <w:docGrid w:linePitch="326"/>
        </w:sectPr>
      </w:pPr>
    </w:p>
    <w:p w14:paraId="7D399E1F" w14:textId="77777777" w:rsidR="00E03711" w:rsidRPr="001048FE" w:rsidRDefault="00E03711" w:rsidP="002A25C9">
      <w:pPr>
        <w:pStyle w:val="Guide-Heading5"/>
        <w:rPr>
          <w:lang w:val="sl-SI"/>
        </w:rPr>
      </w:pPr>
      <w:r w:rsidRPr="001048FE">
        <w:rPr>
          <w:lang w:val="sl-SI"/>
        </w:rPr>
        <w:t>Kakšna so pravila za dodelitev sredstev?</w:t>
      </w:r>
    </w:p>
    <w:p w14:paraId="7D399E20" w14:textId="77777777" w:rsidR="00E03711" w:rsidRPr="001048FE" w:rsidRDefault="00E03711" w:rsidP="004F1B66">
      <w:pPr>
        <w:pStyle w:val="GUIDE-NORMAL"/>
        <w:rPr>
          <w:lang w:val="sl-SI"/>
        </w:rPr>
      </w:pPr>
      <w:r w:rsidRPr="001048FE">
        <w:rPr>
          <w:lang w:val="sl-SI"/>
        </w:rPr>
        <w:t>Če je projekt izbran, veljajo naslednja pravila za dodelitev nepovratnih sredstev:</w:t>
      </w:r>
    </w:p>
    <w:tbl>
      <w:tblPr>
        <w:tblW w:w="5000" w:type="pct"/>
        <w:tblLayout w:type="fixed"/>
        <w:tblLook w:val="0000" w:firstRow="0" w:lastRow="0" w:firstColumn="0" w:lastColumn="0" w:noHBand="0" w:noVBand="0"/>
      </w:tblPr>
      <w:tblGrid>
        <w:gridCol w:w="1642"/>
        <w:gridCol w:w="6446"/>
        <w:gridCol w:w="2227"/>
        <w:gridCol w:w="2535"/>
        <w:gridCol w:w="1938"/>
      </w:tblGrid>
      <w:tr w:rsidR="00E03711" w:rsidRPr="008C6F8C" w14:paraId="7D399E25" w14:textId="77777777" w:rsidTr="0052571F">
        <w:trPr>
          <w:trHeight w:val="20"/>
        </w:trPr>
        <w:tc>
          <w:tcPr>
            <w:tcW w:w="49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9E21" w14:textId="77777777" w:rsidR="00E03711" w:rsidRPr="00F769E0" w:rsidRDefault="00E03711" w:rsidP="00E95467">
            <w:pPr>
              <w:pStyle w:val="Guide-Table"/>
              <w:rPr>
                <w:rFonts w:cs="Tahoma"/>
                <w:b/>
                <w:lang w:val="sl-SI" w:eastAsia="en-GB"/>
              </w:rPr>
            </w:pPr>
            <w:r w:rsidRPr="00F769E0">
              <w:rPr>
                <w:rFonts w:cs="Tahoma"/>
                <w:b/>
                <w:lang w:val="sl-SI" w:eastAsia="en-GB"/>
              </w:rPr>
              <w:t>Upravičeni stroški</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E22" w14:textId="77777777" w:rsidR="00E03711" w:rsidRPr="00F769E0" w:rsidRDefault="00E03711" w:rsidP="00E95467">
            <w:pPr>
              <w:pStyle w:val="Guide-Table"/>
              <w:rPr>
                <w:rFonts w:cs="Tahoma"/>
                <w:b/>
                <w:lang w:val="sl-SI" w:eastAsia="en-GB"/>
              </w:rPr>
            </w:pPr>
            <w:r w:rsidRPr="00F769E0">
              <w:rPr>
                <w:rFonts w:cs="Tahoma"/>
                <w:b/>
                <w:lang w:val="sl-SI" w:eastAsia="en-GB"/>
              </w:rPr>
              <w:t>Mehanizem financiranja</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E23" w14:textId="77777777" w:rsidR="00E03711" w:rsidRPr="00F769E0" w:rsidRDefault="00E03711" w:rsidP="00E95467">
            <w:pPr>
              <w:pStyle w:val="Guide-Table"/>
              <w:rPr>
                <w:rFonts w:cs="Tahoma"/>
                <w:b/>
                <w:lang w:val="sl-SI" w:eastAsia="en-GB"/>
              </w:rPr>
            </w:pPr>
            <w:r w:rsidRPr="00F769E0">
              <w:rPr>
                <w:rFonts w:cs="Tahoma"/>
                <w:b/>
                <w:lang w:val="sl-SI" w:eastAsia="en-GB"/>
              </w:rPr>
              <w:t>Znesek</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E24" w14:textId="77777777" w:rsidR="00E03711" w:rsidRPr="00F769E0" w:rsidRDefault="00E03711" w:rsidP="00E95467">
            <w:pPr>
              <w:pStyle w:val="Guide-Table"/>
              <w:rPr>
                <w:rFonts w:cs="Tahoma"/>
                <w:b/>
                <w:lang w:val="sl-SI" w:eastAsia="en-GB"/>
              </w:rPr>
            </w:pPr>
            <w:r w:rsidRPr="00F769E0">
              <w:rPr>
                <w:rFonts w:cs="Tahoma"/>
                <w:b/>
                <w:lang w:val="sl-SI" w:eastAsia="en-GB"/>
              </w:rPr>
              <w:t>Pravilo dodelitve</w:t>
            </w:r>
          </w:p>
        </w:tc>
      </w:tr>
      <w:tr w:rsidR="00E03711" w:rsidRPr="00C60205" w14:paraId="7D399E35" w14:textId="77777777" w:rsidTr="0052571F">
        <w:trPr>
          <w:trHeight w:val="20"/>
        </w:trPr>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E26" w14:textId="77777777" w:rsidR="00E03711" w:rsidRPr="00F769E0" w:rsidRDefault="00E03711" w:rsidP="007573AD">
            <w:pPr>
              <w:pStyle w:val="GUIDE-NORMAL"/>
              <w:spacing w:before="60" w:after="60"/>
              <w:jc w:val="left"/>
              <w:rPr>
                <w:rFonts w:cs="Tahoma"/>
                <w:b/>
                <w:lang w:val="sl-SI" w:eastAsia="en-GB"/>
              </w:rPr>
            </w:pPr>
            <w:r w:rsidRPr="00F769E0">
              <w:rPr>
                <w:rFonts w:cs="Tahoma"/>
                <w:b/>
                <w:lang w:val="sl-SI" w:eastAsia="en-GB"/>
              </w:rPr>
              <w:t>Stroški aktivnosti</w:t>
            </w:r>
          </w:p>
        </w:tc>
        <w:tc>
          <w:tcPr>
            <w:tcW w:w="3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E27" w14:textId="77777777" w:rsidR="00E03711" w:rsidRPr="00F769E0" w:rsidRDefault="00E03711" w:rsidP="007573AD">
            <w:pPr>
              <w:pStyle w:val="GUIDE-NORMAL"/>
              <w:spacing w:before="60" w:after="60"/>
              <w:jc w:val="left"/>
              <w:rPr>
                <w:rFonts w:cs="Tahoma"/>
                <w:lang w:val="sl-SI" w:eastAsia="en-GB"/>
              </w:rPr>
            </w:pPr>
            <w:r w:rsidRPr="00F769E0">
              <w:rPr>
                <w:rFonts w:cs="Tahoma"/>
                <w:lang w:val="sl-SI" w:eastAsia="en-GB"/>
              </w:rPr>
              <w:t>Upravičeni neposredni stroški:</w:t>
            </w:r>
          </w:p>
          <w:p w14:paraId="7D399E28" w14:textId="77777777" w:rsidR="00E03711" w:rsidRPr="001048FE" w:rsidRDefault="00E03711" w:rsidP="007573AD">
            <w:pPr>
              <w:pStyle w:val="Guide-NormalBulletpoints"/>
              <w:spacing w:before="60"/>
              <w:jc w:val="left"/>
              <w:rPr>
                <w:lang w:val="sl-SI"/>
              </w:rPr>
            </w:pPr>
            <w:r w:rsidRPr="001048FE">
              <w:rPr>
                <w:lang w:val="sl-SI"/>
              </w:rPr>
              <w:t>stroški osebja;</w:t>
            </w:r>
          </w:p>
          <w:p w14:paraId="7D399E29" w14:textId="77777777" w:rsidR="00E03711" w:rsidRPr="001048FE" w:rsidRDefault="00E03711" w:rsidP="007573AD">
            <w:pPr>
              <w:pStyle w:val="Guide-NormalBulletpoints"/>
              <w:spacing w:before="60"/>
              <w:jc w:val="left"/>
              <w:rPr>
                <w:lang w:val="sl-SI"/>
              </w:rPr>
            </w:pPr>
            <w:r w:rsidRPr="001048FE">
              <w:rPr>
                <w:lang w:val="sl-SI"/>
              </w:rPr>
              <w:t>potni stroški in stroški bivanja;</w:t>
            </w:r>
          </w:p>
          <w:p w14:paraId="7D399E2A" w14:textId="77777777" w:rsidR="00E03711" w:rsidRPr="001048FE" w:rsidRDefault="00E03711" w:rsidP="007573AD">
            <w:pPr>
              <w:pStyle w:val="Guide-NormalBulletpoints"/>
              <w:spacing w:before="60"/>
              <w:jc w:val="left"/>
              <w:rPr>
                <w:lang w:val="sl-SI"/>
              </w:rPr>
            </w:pPr>
            <w:r w:rsidRPr="001048FE">
              <w:rPr>
                <w:lang w:val="sl-SI"/>
              </w:rPr>
              <w:t>stroški oddaje naročil podizvajalcem (največ 30 % upravičenih neposrednih stroškov);</w:t>
            </w:r>
          </w:p>
          <w:p w14:paraId="7D399E2B" w14:textId="77777777" w:rsidR="00E03711" w:rsidRPr="001048FE" w:rsidRDefault="00E03711" w:rsidP="007573AD">
            <w:pPr>
              <w:pStyle w:val="Guide-NormalBulletpoints"/>
              <w:spacing w:before="60"/>
              <w:jc w:val="left"/>
              <w:rPr>
                <w:lang w:val="sl-SI"/>
              </w:rPr>
            </w:pPr>
            <w:r w:rsidRPr="001048FE">
              <w:rPr>
                <w:lang w:val="sl-SI"/>
              </w:rPr>
              <w:t>stroški opreme (največ 10 % upravičenih neposrednih stroškov);</w:t>
            </w:r>
          </w:p>
          <w:p w14:paraId="7D399E2C" w14:textId="77777777" w:rsidR="00E03711" w:rsidRPr="001048FE" w:rsidRDefault="00E03711" w:rsidP="007573AD">
            <w:pPr>
              <w:pStyle w:val="Guide-NormalBulletpoints"/>
              <w:spacing w:before="60"/>
              <w:jc w:val="left"/>
              <w:rPr>
                <w:lang w:val="sl-SI"/>
              </w:rPr>
            </w:pPr>
            <w:r w:rsidRPr="001048FE">
              <w:rPr>
                <w:lang w:val="sl-SI"/>
              </w:rPr>
              <w:t>stroški poučevanja;</w:t>
            </w:r>
          </w:p>
          <w:p w14:paraId="7D399E2D" w14:textId="77777777" w:rsidR="00E03711" w:rsidRPr="001048FE" w:rsidRDefault="00E03711" w:rsidP="007573AD">
            <w:pPr>
              <w:pStyle w:val="Guide-NormalBulletpoints"/>
              <w:spacing w:before="60"/>
              <w:jc w:val="left"/>
              <w:rPr>
                <w:lang w:val="sl-SI"/>
              </w:rPr>
            </w:pPr>
            <w:r w:rsidRPr="001048FE">
              <w:rPr>
                <w:lang w:val="sl-SI"/>
              </w:rPr>
              <w:t>drugi stroški (vključno s stroški katerih koli obveznih finančnih revizij/revizijskih potrdil).</w:t>
            </w:r>
          </w:p>
          <w:p w14:paraId="7D399E2E" w14:textId="77777777" w:rsidR="00E03711" w:rsidRPr="00F769E0" w:rsidRDefault="00E03711" w:rsidP="007573AD">
            <w:pPr>
              <w:pStyle w:val="GUIDE-NORMAL"/>
              <w:spacing w:before="60" w:after="60"/>
              <w:jc w:val="left"/>
              <w:rPr>
                <w:rFonts w:cs="Tahoma"/>
                <w:lang w:val="sl-SI" w:eastAsia="en-GB"/>
              </w:rPr>
            </w:pPr>
            <w:r w:rsidRPr="00F769E0">
              <w:rPr>
                <w:rFonts w:cs="Tahoma"/>
                <w:lang w:val="sl-SI" w:eastAsia="en-GB"/>
              </w:rPr>
              <w:t xml:space="preserve">Upravičeni posredni stroški </w:t>
            </w:r>
          </w:p>
          <w:p w14:paraId="7D399E2F" w14:textId="77777777" w:rsidR="00E03711" w:rsidRPr="00F769E0" w:rsidRDefault="00E03711" w:rsidP="007573AD">
            <w:pPr>
              <w:pStyle w:val="GUIDE-NORMAL"/>
              <w:spacing w:before="60" w:after="60"/>
              <w:jc w:val="left"/>
              <w:rPr>
                <w:rFonts w:cs="Tahoma"/>
                <w:lang w:val="sl-SI" w:eastAsia="en-GB"/>
              </w:rPr>
            </w:pPr>
            <w:r w:rsidRPr="00FC4A70">
              <w:rPr>
                <w:rFonts w:eastAsia="Calibri" w:cs="Calibri"/>
                <w:bdr w:val="nil"/>
                <w:lang w:val="sl-SI" w:eastAsia="en-GB"/>
              </w:rPr>
              <w:t>Pavšalni znesek, ki ne presega 7 % upravičenih neposrednih stroškov projekta, je upravičen v okviru posrednih stroškov in predstavlja splošne administrativne stroške upravičenca, ki niso že zdaj kriti iz upravičenih neposrednih stroškov (npr. računi za elektriko ali internet, stroški prostorov itd.), a jih je mogoče obračunati pri projektu.</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E30" w14:textId="77777777" w:rsidR="00E03711" w:rsidRPr="00F769E0" w:rsidRDefault="00E03711" w:rsidP="007573AD">
            <w:pPr>
              <w:pStyle w:val="GUIDE-NORMAL"/>
              <w:spacing w:before="60" w:after="60"/>
              <w:jc w:val="left"/>
              <w:rPr>
                <w:rFonts w:cs="Tahoma"/>
                <w:lang w:val="sl-SI" w:eastAsia="en-GB"/>
              </w:rPr>
            </w:pPr>
            <w:r w:rsidRPr="00F769E0">
              <w:rPr>
                <w:rFonts w:cs="Tahoma"/>
                <w:lang w:val="sl-SI" w:eastAsia="en-GB"/>
              </w:rPr>
              <w:t>Dejanski stroški</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E31" w14:textId="77777777" w:rsidR="00E03711" w:rsidRPr="00F769E0" w:rsidRDefault="00E03711" w:rsidP="007573AD">
            <w:pPr>
              <w:pStyle w:val="GUIDE-NORMAL"/>
              <w:spacing w:before="60" w:after="60"/>
              <w:jc w:val="left"/>
              <w:rPr>
                <w:rFonts w:cs="Tahoma"/>
                <w:lang w:val="sl-SI" w:eastAsia="en-GB"/>
              </w:rPr>
            </w:pPr>
            <w:r w:rsidRPr="00F769E0">
              <w:rPr>
                <w:rFonts w:cs="Tahoma"/>
                <w:lang w:val="sl-SI" w:eastAsia="en-GB"/>
              </w:rPr>
              <w:t>80 % skupnih upravičenih stroškov</w:t>
            </w:r>
          </w:p>
          <w:p w14:paraId="7D399E32" w14:textId="77777777" w:rsidR="00E03711" w:rsidRPr="00F769E0" w:rsidRDefault="00E03711" w:rsidP="007573AD">
            <w:pPr>
              <w:pStyle w:val="GUIDE-NORMAL"/>
              <w:spacing w:before="60" w:after="60"/>
              <w:jc w:val="left"/>
              <w:rPr>
                <w:rFonts w:cs="Tahoma"/>
                <w:lang w:val="sl-SI" w:eastAsia="en-GB"/>
              </w:rPr>
            </w:pPr>
            <w:r w:rsidRPr="00F769E0">
              <w:rPr>
                <w:rFonts w:cs="Tahoma"/>
                <w:lang w:val="sl-SI" w:eastAsia="en-GB"/>
              </w:rPr>
              <w:t>(razen če prijavitelj zahteva nižji % nepovratnih sredstev).</w:t>
            </w:r>
          </w:p>
          <w:p w14:paraId="7D399E33" w14:textId="77777777" w:rsidR="00E03711" w:rsidRPr="00F769E0" w:rsidRDefault="00E03711" w:rsidP="007573AD">
            <w:pPr>
              <w:pStyle w:val="GUIDE-NORMAL"/>
              <w:spacing w:before="60" w:after="60"/>
              <w:jc w:val="left"/>
              <w:rPr>
                <w:rFonts w:cs="Tahoma"/>
                <w:lang w:val="sl-SI" w:eastAsia="en-GB"/>
              </w:rPr>
            </w:pPr>
            <w:r w:rsidRPr="00F769E0">
              <w:rPr>
                <w:rFonts w:cs="Tahoma"/>
                <w:lang w:val="sl-SI" w:eastAsia="en-GB"/>
              </w:rPr>
              <w:t>Največ 100 000 EUR maximum</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E34" w14:textId="77777777" w:rsidR="00E03711" w:rsidRPr="00F769E0" w:rsidRDefault="00E03711" w:rsidP="007573AD">
            <w:pPr>
              <w:pStyle w:val="GUIDE-NORMAL"/>
              <w:spacing w:before="60" w:after="60"/>
              <w:jc w:val="left"/>
              <w:rPr>
                <w:rFonts w:cs="Tahoma"/>
                <w:lang w:val="sl-SI" w:eastAsia="en-GB"/>
              </w:rPr>
            </w:pPr>
            <w:r w:rsidRPr="00FC4A70">
              <w:rPr>
                <w:rFonts w:eastAsia="Calibri" w:cs="Calibri"/>
                <w:bdr w:val="nil"/>
                <w:shd w:val="clear" w:color="auto" w:fill="auto"/>
                <w:lang w:val="sl-SI"/>
              </w:rPr>
              <w:t>Pogojno: stroški nastanejo v povezavi z aktivnostjo in so nujni za njeno izvedbo.</w:t>
            </w:r>
          </w:p>
        </w:tc>
      </w:tr>
    </w:tbl>
    <w:p w14:paraId="7D399E36" w14:textId="77777777" w:rsidR="00E03711" w:rsidRDefault="00E03711">
      <w:pPr>
        <w:widowControl/>
        <w:suppressAutoHyphens w:val="0"/>
        <w:autoSpaceDN/>
        <w:textAlignment w:val="auto"/>
        <w:rPr>
          <w:rFonts w:eastAsia="Times New Roman"/>
          <w:b/>
          <w:smallCaps/>
          <w:sz w:val="28"/>
          <w:szCs w:val="20"/>
          <w:lang w:val="sl-SI"/>
        </w:rPr>
      </w:pPr>
      <w:bookmarkStart w:id="312" w:name="Soutien_Jean_Monnet_à_des_associations"/>
      <w:bookmarkStart w:id="313" w:name="_bookmark51"/>
      <w:bookmarkEnd w:id="312"/>
      <w:bookmarkEnd w:id="313"/>
    </w:p>
    <w:p w14:paraId="7D399E37" w14:textId="77777777" w:rsidR="00E03711" w:rsidRDefault="00E03711">
      <w:pPr>
        <w:widowControl/>
        <w:suppressAutoHyphens w:val="0"/>
        <w:autoSpaceDN/>
        <w:textAlignment w:val="auto"/>
        <w:rPr>
          <w:rFonts w:eastAsia="Times New Roman"/>
          <w:b/>
          <w:smallCaps/>
          <w:sz w:val="28"/>
          <w:szCs w:val="20"/>
          <w:lang w:val="sl-SI"/>
        </w:rPr>
      </w:pPr>
      <w:r>
        <w:rPr>
          <w:rFonts w:eastAsia="Times New Roman"/>
          <w:b/>
          <w:smallCaps/>
          <w:sz w:val="28"/>
          <w:szCs w:val="20"/>
          <w:lang w:val="sl-SI"/>
        </w:rPr>
        <w:br w:type="page"/>
      </w:r>
    </w:p>
    <w:p w14:paraId="7D399E38" w14:textId="77777777" w:rsidR="00E03711" w:rsidRDefault="00E03711">
      <w:pPr>
        <w:widowControl/>
        <w:suppressAutoHyphens w:val="0"/>
        <w:autoSpaceDN/>
        <w:textAlignment w:val="auto"/>
        <w:rPr>
          <w:rFonts w:eastAsia="Times New Roman"/>
          <w:b/>
          <w:smallCaps/>
          <w:sz w:val="28"/>
          <w:szCs w:val="20"/>
          <w:lang w:val="sl-SI"/>
        </w:rPr>
        <w:sectPr w:rsidR="00E03711" w:rsidSect="00073E87">
          <w:endnotePr>
            <w:numFmt w:val="decimal"/>
          </w:endnotePr>
          <w:pgSz w:w="16840" w:h="11910" w:orient="landscape" w:code="9"/>
          <w:pgMar w:top="1418" w:right="1134" w:bottom="1418" w:left="1134" w:header="284" w:footer="567" w:gutter="0"/>
          <w:cols w:space="720"/>
          <w:docGrid w:linePitch="326"/>
        </w:sectPr>
      </w:pPr>
    </w:p>
    <w:p w14:paraId="7D399E39" w14:textId="77777777" w:rsidR="00E03711" w:rsidRDefault="00E03711">
      <w:pPr>
        <w:pStyle w:val="Guide-Heading3"/>
        <w:rPr>
          <w:lang w:val="sl-SI"/>
        </w:rPr>
      </w:pPr>
      <w:bookmarkStart w:id="314" w:name="_Toc527400928"/>
      <w:bookmarkStart w:id="315" w:name="_Toc527401188"/>
      <w:r w:rsidRPr="001048FE">
        <w:rPr>
          <w:lang w:val="sl-SI"/>
        </w:rPr>
        <w:t>Podpora Jean Monnet za združenja</w:t>
      </w:r>
      <w:bookmarkEnd w:id="314"/>
      <w:bookmarkEnd w:id="315"/>
    </w:p>
    <w:p w14:paraId="7D399E3A" w14:textId="77777777" w:rsidR="00E03711" w:rsidRPr="001048FE" w:rsidRDefault="00E03711" w:rsidP="009748CD">
      <w:pPr>
        <w:pStyle w:val="GUIDE-NORMAL"/>
        <w:rPr>
          <w:lang w:val="sl-SI"/>
        </w:rPr>
      </w:pPr>
      <w:r w:rsidRPr="001048FE">
        <w:rPr>
          <w:lang w:val="sl-SI"/>
        </w:rPr>
        <w:t xml:space="preserve">Program Jean Monnet podpira združenja, katerih izrecni namen je prispevati k študiju o evropskem procesu povezovanja. Taka združenja bi morala biti interdisciplinarna in odprta za vse zainteresirane profesorje, učitelje in raziskovalce, specializirane za vprašanja Evropske unije v ustrezni državi ali regiji. Morajo biti reprezentativna za akademsko skupnost v študijah Evropske unije na regionalni, nacionalni in mednarodni ravni. </w:t>
      </w:r>
    </w:p>
    <w:p w14:paraId="7D399E3B" w14:textId="77777777" w:rsidR="00E03711" w:rsidRPr="001048FE" w:rsidRDefault="00E03711" w:rsidP="002A25C9">
      <w:pPr>
        <w:pStyle w:val="Guide-Heading4"/>
        <w:rPr>
          <w:lang w:val="sl-SI"/>
        </w:rPr>
      </w:pPr>
      <w:bookmarkStart w:id="316" w:name="_Toc527401189"/>
      <w:r w:rsidRPr="001048FE">
        <w:rPr>
          <w:lang w:val="sl-SI"/>
        </w:rPr>
        <w:t>Katere aktivnosti so podprte v okviru tega ukrepa?</w:t>
      </w:r>
      <w:bookmarkEnd w:id="316"/>
    </w:p>
    <w:p w14:paraId="7D399E3C" w14:textId="77777777" w:rsidR="00E03711" w:rsidRPr="001048FE" w:rsidRDefault="00E03711" w:rsidP="009748CD">
      <w:pPr>
        <w:pStyle w:val="GUIDE-NORMAL"/>
        <w:rPr>
          <w:lang w:val="sl-SI"/>
        </w:rPr>
      </w:pPr>
      <w:r w:rsidRPr="001048FE">
        <w:rPr>
          <w:lang w:val="sl-SI"/>
        </w:rPr>
        <w:t>V življenjskem ciklu nepovratnih sredstev lahko združenja običajno izvedejo široko paleto aktivnosti, na primer:</w:t>
      </w:r>
    </w:p>
    <w:p w14:paraId="7D399E3D" w14:textId="77777777" w:rsidR="00E03711" w:rsidRPr="001048FE" w:rsidRDefault="00E03711" w:rsidP="009748CD">
      <w:pPr>
        <w:pStyle w:val="Guide-NormalBulletpoints"/>
        <w:rPr>
          <w:lang w:val="sl-SI"/>
        </w:rPr>
      </w:pPr>
      <w:r w:rsidRPr="001048FE">
        <w:rPr>
          <w:lang w:val="sl-SI"/>
        </w:rPr>
        <w:t>organizirajo in izvajajo zakonsko določene aktivnosti združenj, ki obravnavajo študije in vprašanja Evropske unije (npr. izdaja glasila, postavitev namenskega spletišča, organizacija letnega srečanja odbora, organizacija posebnih promocijskih dogodkov s ciljem zagotoviti večjo prepoznavnost vsebin Evropske unije itd.);</w:t>
      </w:r>
    </w:p>
    <w:p w14:paraId="7D399E3E" w14:textId="77777777" w:rsidR="00E03711" w:rsidRPr="001048FE" w:rsidRDefault="00E03711" w:rsidP="009748CD">
      <w:pPr>
        <w:pStyle w:val="Guide-NormalBulletpoints"/>
        <w:rPr>
          <w:lang w:val="sl-SI"/>
        </w:rPr>
      </w:pPr>
      <w:r w:rsidRPr="001048FE">
        <w:rPr>
          <w:lang w:val="sl-SI"/>
        </w:rPr>
        <w:t>izvajajo raziskava na področju posebnih evropskih vprašanj zato, da lahko svetujejo lokalnim, regionalnim, nacionalnim in evropskim oblikovalcem politik in razširjajo rezultate med ustanovami, ki so vpletena v ta vprašanja, vključno z institucijami EU, kot tudi med širšo javnostjo in s tem krepijo aktivno državljanstvo.</w:t>
      </w:r>
    </w:p>
    <w:p w14:paraId="7D399E3F" w14:textId="77777777" w:rsidR="00E03711" w:rsidRPr="001048FE" w:rsidRDefault="00E03711" w:rsidP="009748CD">
      <w:pPr>
        <w:pStyle w:val="Guide-Heading4"/>
        <w:rPr>
          <w:lang w:val="sl-SI"/>
        </w:rPr>
      </w:pPr>
      <w:bookmarkStart w:id="317" w:name="_Toc527401190"/>
      <w:r w:rsidRPr="001048FE">
        <w:rPr>
          <w:lang w:val="sl-SI"/>
        </w:rPr>
        <w:t>Kakšna je vloga združenj?</w:t>
      </w:r>
      <w:bookmarkEnd w:id="317"/>
    </w:p>
    <w:p w14:paraId="7D399E40" w14:textId="77777777" w:rsidR="00E03711" w:rsidRPr="001048FE" w:rsidRDefault="00E03711" w:rsidP="009748CD">
      <w:pPr>
        <w:pStyle w:val="GUIDE-NORMAL"/>
        <w:rPr>
          <w:lang w:val="sl-SI"/>
        </w:rPr>
      </w:pPr>
      <w:r w:rsidRPr="001048FE">
        <w:rPr>
          <w:lang w:val="sl-SI"/>
        </w:rPr>
        <w:t>Združenja Jean Monnet bi morala postati referenčne točke za tematska področja Evropske unije, ki jih pokrivajo.</w:t>
      </w:r>
    </w:p>
    <w:p w14:paraId="7D399E41" w14:textId="77777777" w:rsidR="00E03711" w:rsidRPr="001048FE" w:rsidRDefault="00E03711" w:rsidP="009748CD">
      <w:pPr>
        <w:pStyle w:val="GUIDE-NORMAL"/>
        <w:rPr>
          <w:lang w:val="sl-SI"/>
        </w:rPr>
      </w:pPr>
      <w:r w:rsidRPr="001048FE">
        <w:rPr>
          <w:lang w:val="sl-SI"/>
        </w:rPr>
        <w:t>Prevzela bodo vlogo izvajanja multiplikacijskega učinka in razširjanja znanja; prispevala bodo tudi k zbiranju in uporabi informacij ter zagotavljanju analiz in vizij za posebne vsebine.</w:t>
      </w:r>
    </w:p>
    <w:p w14:paraId="7D399E42" w14:textId="77777777" w:rsidR="00E03711" w:rsidRPr="001048FE" w:rsidRDefault="00E03711" w:rsidP="009748CD">
      <w:pPr>
        <w:pStyle w:val="GUIDE-NORMAL"/>
        <w:rPr>
          <w:lang w:val="sl-SI"/>
        </w:rPr>
      </w:pPr>
      <w:r w:rsidRPr="001048FE">
        <w:rPr>
          <w:lang w:val="sl-SI"/>
        </w:rPr>
        <w:t>Združenja so dokončno odgovorna za svoje predloge. Aktivnosti, navedene v njihovem delovnem programu, morajo izvajati ves čas trajanja obdobja, za katerega so bila dodeljena nepovratna sredstva.</w:t>
      </w:r>
    </w:p>
    <w:p w14:paraId="7D399E43" w14:textId="77777777" w:rsidR="00E03711" w:rsidRPr="001048FE" w:rsidRDefault="00E03711" w:rsidP="009748CD">
      <w:pPr>
        <w:pStyle w:val="Guide-Heading4"/>
        <w:rPr>
          <w:lang w:val="sl-SI"/>
        </w:rPr>
      </w:pPr>
      <w:bookmarkStart w:id="318" w:name="_Toc527401191"/>
      <w:r w:rsidRPr="001048FE">
        <w:rPr>
          <w:lang w:val="sl-SI"/>
        </w:rPr>
        <w:t>Kakšna so merila za oceno podpore Jean Monnet za združenja?</w:t>
      </w:r>
      <w:bookmarkEnd w:id="318"/>
    </w:p>
    <w:p w14:paraId="7D399E44" w14:textId="77777777" w:rsidR="00E03711" w:rsidRPr="001048FE" w:rsidRDefault="00E03711" w:rsidP="009748CD">
      <w:pPr>
        <w:pStyle w:val="GUIDE-NORMAL"/>
        <w:rPr>
          <w:lang w:val="sl-SI"/>
        </w:rPr>
      </w:pPr>
      <w:r w:rsidRPr="001048FE">
        <w:rPr>
          <w:lang w:val="sl-SI"/>
        </w:rPr>
        <w:t>V nadaljevanju so navedena uradna merila, ki jih mora izpolniti podpora Jean Monnet za združenja za upravičenost do nepovratnih sredstev Erasmus+:</w:t>
      </w:r>
    </w:p>
    <w:p w14:paraId="7D399E45" w14:textId="77777777" w:rsidR="00E03711" w:rsidRPr="001048FE" w:rsidRDefault="00E03711" w:rsidP="009748CD">
      <w:pPr>
        <w:pStyle w:val="Guide-Heading5"/>
        <w:rPr>
          <w:lang w:val="sl-SI"/>
        </w:rPr>
      </w:pPr>
      <w:r w:rsidRPr="001048FE">
        <w:rPr>
          <w:lang w:val="sl-SI"/>
        </w:rPr>
        <w:t>Merila za upravičenost</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68"/>
        <w:gridCol w:w="7722"/>
      </w:tblGrid>
      <w:tr w:rsidR="00E03711" w:rsidRPr="00C60205" w14:paraId="7D399E4C" w14:textId="77777777" w:rsidTr="00B56774">
        <w:trPr>
          <w:cantSplit/>
          <w:trHeight w:val="20"/>
        </w:trPr>
        <w:tc>
          <w:tcPr>
            <w:tcW w:w="844" w:type="pct"/>
            <w:shd w:val="clear" w:color="auto" w:fill="auto"/>
            <w:vAlign w:val="center"/>
          </w:tcPr>
          <w:p w14:paraId="7D399E46" w14:textId="77777777" w:rsidR="00E03711" w:rsidRPr="00F769E0" w:rsidRDefault="00E03711" w:rsidP="00D651C5">
            <w:pPr>
              <w:pStyle w:val="GUIDE-NORMAL"/>
              <w:spacing w:before="60" w:after="60"/>
              <w:jc w:val="left"/>
              <w:rPr>
                <w:rFonts w:cs="Tahoma"/>
                <w:b/>
                <w:lang w:val="sl-SI" w:eastAsia="en-GB"/>
              </w:rPr>
            </w:pPr>
            <w:r w:rsidRPr="00F769E0">
              <w:rPr>
                <w:rFonts w:cs="Tahoma"/>
                <w:b/>
                <w:lang w:val="sl-SI" w:eastAsia="en-GB"/>
              </w:rPr>
              <w:t>Kdo se lahko prijavi?</w:t>
            </w:r>
          </w:p>
        </w:tc>
        <w:tc>
          <w:tcPr>
            <w:tcW w:w="4156" w:type="pct"/>
            <w:shd w:val="clear" w:color="auto" w:fill="auto"/>
            <w:vAlign w:val="center"/>
          </w:tcPr>
          <w:p w14:paraId="7D399E47" w14:textId="77777777" w:rsidR="00E03711" w:rsidRPr="00F769E0" w:rsidRDefault="00E03711" w:rsidP="00D651C5">
            <w:pPr>
              <w:pStyle w:val="GUIDE-NORMAL"/>
              <w:spacing w:before="60" w:after="60"/>
              <w:jc w:val="left"/>
              <w:rPr>
                <w:rFonts w:cs="Tahoma"/>
                <w:lang w:val="sl-SI" w:eastAsia="en-GB"/>
              </w:rPr>
            </w:pPr>
            <w:r w:rsidRPr="00F769E0">
              <w:rPr>
                <w:rFonts w:cs="Tahoma"/>
                <w:lang w:val="sl-SI" w:eastAsia="en-GB"/>
              </w:rPr>
              <w:t xml:space="preserve">Katero koli združenje profesorjev in raziskovalcev, specializiranih za študije Evropske unije, s sedežem v kateri koli državi sveta. </w:t>
            </w:r>
          </w:p>
          <w:p w14:paraId="7D399E48" w14:textId="77777777" w:rsidR="00E03711" w:rsidRPr="00F769E0" w:rsidRDefault="00E03711" w:rsidP="00D651C5">
            <w:pPr>
              <w:pStyle w:val="GUIDE-NORMAL"/>
              <w:spacing w:before="60" w:after="60"/>
              <w:jc w:val="left"/>
              <w:rPr>
                <w:rFonts w:cs="Tahoma"/>
                <w:lang w:val="sl-SI" w:eastAsia="en-GB"/>
              </w:rPr>
            </w:pPr>
            <w:r w:rsidRPr="00F769E0">
              <w:rPr>
                <w:rFonts w:cs="Tahoma"/>
                <w:lang w:val="sl-SI" w:eastAsia="en-GB"/>
              </w:rPr>
              <w:t>Izrecni namen združenja mora biti prispevanje k študiju o evropskem procesu povezovanja na nacionalni ali mednarodni ravni.</w:t>
            </w:r>
          </w:p>
          <w:p w14:paraId="7D399E49" w14:textId="77777777" w:rsidR="00E03711" w:rsidRPr="00FC4A70" w:rsidRDefault="00E03711" w:rsidP="00A13051">
            <w:pPr>
              <w:widowControl/>
              <w:shd w:val="clear" w:color="auto" w:fill="FFFFFF"/>
              <w:suppressAutoHyphens w:val="0"/>
              <w:autoSpaceDN/>
              <w:spacing w:beforeLines="40" w:before="96" w:afterLines="40" w:after="96"/>
              <w:jc w:val="both"/>
              <w:textAlignment w:val="auto"/>
              <w:rPr>
                <w:rFonts w:eastAsia="Calibri" w:cs="Times New Roman"/>
                <w:kern w:val="0"/>
                <w:sz w:val="18"/>
                <w:szCs w:val="22"/>
                <w:lang w:val="it-IT" w:eastAsia="en-US"/>
              </w:rPr>
            </w:pPr>
            <w:r w:rsidRPr="00FC4A70">
              <w:rPr>
                <w:rFonts w:eastAsia="Calibri" w:cs="Calibri"/>
                <w:kern w:val="0"/>
                <w:sz w:val="18"/>
                <w:szCs w:val="18"/>
                <w:bdr w:val="nil"/>
                <w:lang w:val="sl-SI" w:eastAsia="en-US"/>
              </w:rPr>
              <w:t>Združenje mora imeti interdisciplinarni značaj.</w:t>
            </w:r>
          </w:p>
          <w:p w14:paraId="7D399E4A" w14:textId="77777777" w:rsidR="00E03711" w:rsidRPr="0030441A" w:rsidRDefault="00E03711" w:rsidP="00A13051">
            <w:pPr>
              <w:widowControl/>
              <w:shd w:val="clear" w:color="auto" w:fill="FFFFFF"/>
              <w:suppressAutoHyphens w:val="0"/>
              <w:autoSpaceDN/>
              <w:spacing w:beforeLines="40" w:before="96" w:afterLines="40" w:after="96" w:line="276" w:lineRule="auto"/>
              <w:jc w:val="both"/>
              <w:textAlignment w:val="auto"/>
              <w:rPr>
                <w:rFonts w:eastAsia="Calibri" w:cs="Times New Roman"/>
                <w:vanish/>
                <w:kern w:val="0"/>
                <w:szCs w:val="22"/>
                <w:lang w:val="pl-PL" w:eastAsia="en-US"/>
              </w:rPr>
            </w:pPr>
            <w:r w:rsidRPr="00FC4A70">
              <w:rPr>
                <w:rFonts w:eastAsia="Calibri" w:cs="Calibri"/>
                <w:sz w:val="18"/>
                <w:szCs w:val="18"/>
                <w:bdr w:val="nil"/>
                <w:shd w:val="clear" w:color="auto" w:fill="FFFFFF"/>
                <w:lang w:val="sl-SI"/>
              </w:rPr>
              <w:t>Podpora se bo zagotovila samo za uradno registrirana združenja z neodvisnim pravnim statusom.</w:t>
            </w:r>
          </w:p>
          <w:p w14:paraId="7D399E4B" w14:textId="77777777" w:rsidR="00E03711" w:rsidRPr="00F769E0" w:rsidRDefault="00E03711" w:rsidP="00D651C5">
            <w:pPr>
              <w:pStyle w:val="GUIDE-NORMAL"/>
              <w:spacing w:before="60" w:after="60"/>
              <w:jc w:val="left"/>
              <w:rPr>
                <w:rFonts w:eastAsia="Calibri" w:cs="Tahoma"/>
                <w:lang w:val="sl-SI" w:eastAsia="en-GB"/>
              </w:rPr>
            </w:pPr>
            <w:r w:rsidRPr="00F769E0">
              <w:rPr>
                <w:rFonts w:cs="Tahoma"/>
                <w:lang w:val="sl-SI" w:eastAsia="en-GB"/>
              </w:rPr>
              <w:t>Posamezniki ne morejo neposredno oddati vloge za nepovratna sredstva.</w:t>
            </w:r>
          </w:p>
        </w:tc>
      </w:tr>
      <w:tr w:rsidR="00E03711" w:rsidRPr="008C6F8C" w14:paraId="7D399E4F" w14:textId="77777777" w:rsidTr="00B56774">
        <w:trPr>
          <w:cantSplit/>
          <w:trHeight w:val="20"/>
        </w:trPr>
        <w:tc>
          <w:tcPr>
            <w:tcW w:w="844" w:type="pct"/>
            <w:shd w:val="clear" w:color="auto" w:fill="auto"/>
            <w:vAlign w:val="center"/>
          </w:tcPr>
          <w:p w14:paraId="7D399E4D" w14:textId="77777777" w:rsidR="00E03711" w:rsidRPr="00F769E0" w:rsidRDefault="00E03711" w:rsidP="00D651C5">
            <w:pPr>
              <w:pStyle w:val="GUIDE-NORMAL"/>
              <w:spacing w:before="60" w:after="60"/>
              <w:jc w:val="left"/>
              <w:rPr>
                <w:rFonts w:eastAsia="Calibri" w:cs="Tahoma"/>
                <w:b/>
                <w:lang w:val="sl-SI" w:eastAsia="en-GB"/>
              </w:rPr>
            </w:pPr>
            <w:r w:rsidRPr="00F769E0">
              <w:rPr>
                <w:rFonts w:eastAsia="Calibri" w:cs="Tahoma"/>
                <w:b/>
                <w:lang w:val="sl-SI" w:eastAsia="en-GB"/>
              </w:rPr>
              <w:t>Trajanje projekta</w:t>
            </w:r>
          </w:p>
        </w:tc>
        <w:tc>
          <w:tcPr>
            <w:tcW w:w="4156" w:type="pct"/>
            <w:shd w:val="clear" w:color="auto" w:fill="auto"/>
            <w:vAlign w:val="center"/>
          </w:tcPr>
          <w:p w14:paraId="7D399E4E" w14:textId="77777777" w:rsidR="00E03711" w:rsidRPr="00F769E0" w:rsidRDefault="00E03711" w:rsidP="00D651C5">
            <w:pPr>
              <w:pStyle w:val="GUIDE-NORMAL"/>
              <w:spacing w:before="60" w:after="60"/>
              <w:jc w:val="left"/>
              <w:rPr>
                <w:rFonts w:eastAsia="Calibri" w:cs="Tahoma"/>
                <w:lang w:val="sl-SI" w:eastAsia="en-GB"/>
              </w:rPr>
            </w:pPr>
            <w:r w:rsidRPr="00F769E0">
              <w:rPr>
                <w:rFonts w:cs="Tahoma"/>
                <w:lang w:val="sl-SI" w:eastAsia="en-GB"/>
              </w:rPr>
              <w:t>Tri leta.</w:t>
            </w:r>
          </w:p>
        </w:tc>
      </w:tr>
      <w:tr w:rsidR="00E03711" w:rsidRPr="00C60205" w14:paraId="7D399E52" w14:textId="77777777" w:rsidTr="00B56774">
        <w:trPr>
          <w:cantSplit/>
          <w:trHeight w:val="20"/>
        </w:trPr>
        <w:tc>
          <w:tcPr>
            <w:tcW w:w="844" w:type="pct"/>
            <w:shd w:val="clear" w:color="auto" w:fill="auto"/>
            <w:vAlign w:val="center"/>
          </w:tcPr>
          <w:p w14:paraId="7D399E50" w14:textId="77777777" w:rsidR="00E03711" w:rsidRPr="00F769E0" w:rsidRDefault="00E03711" w:rsidP="00D651C5">
            <w:pPr>
              <w:pStyle w:val="GUIDE-NORMAL"/>
              <w:spacing w:before="60" w:after="60"/>
              <w:jc w:val="left"/>
              <w:rPr>
                <w:rFonts w:eastAsia="Calibri" w:cs="Tahoma"/>
                <w:b/>
                <w:lang w:val="sl-SI" w:eastAsia="en-GB"/>
              </w:rPr>
            </w:pPr>
            <w:r w:rsidRPr="00F769E0">
              <w:rPr>
                <w:rFonts w:cs="Tahoma"/>
                <w:b/>
                <w:lang w:val="sl-SI" w:eastAsia="en-GB"/>
              </w:rPr>
              <w:t>Kje se prijaviti?</w:t>
            </w:r>
          </w:p>
        </w:tc>
        <w:tc>
          <w:tcPr>
            <w:tcW w:w="4156" w:type="pct"/>
            <w:shd w:val="clear" w:color="auto" w:fill="auto"/>
            <w:vAlign w:val="center"/>
          </w:tcPr>
          <w:p w14:paraId="7D399E51" w14:textId="77777777" w:rsidR="00E03711" w:rsidRPr="00F769E0" w:rsidRDefault="00E03711" w:rsidP="00D651C5">
            <w:pPr>
              <w:pStyle w:val="GUIDE-NORMAL"/>
              <w:spacing w:before="60" w:after="60"/>
              <w:jc w:val="left"/>
              <w:rPr>
                <w:rFonts w:eastAsia="Calibri" w:cs="Tahoma"/>
                <w:lang w:val="sl-SI" w:eastAsia="en-GB"/>
              </w:rPr>
            </w:pPr>
            <w:r w:rsidRPr="00F769E0">
              <w:rPr>
                <w:rFonts w:cs="Tahoma"/>
                <w:lang w:val="sl-SI" w:eastAsia="en-GB"/>
              </w:rPr>
              <w:t>Pri Izvajalski agenciji za izobraževanje, avdiovizualno področje in kulturo v Bruslju.</w:t>
            </w:r>
          </w:p>
        </w:tc>
      </w:tr>
      <w:tr w:rsidR="00E03711" w:rsidRPr="00C60205" w14:paraId="7D399E55" w14:textId="77777777" w:rsidTr="00B56774">
        <w:trPr>
          <w:cantSplit/>
          <w:trHeight w:val="20"/>
        </w:trPr>
        <w:tc>
          <w:tcPr>
            <w:tcW w:w="844" w:type="pct"/>
            <w:shd w:val="clear" w:color="auto" w:fill="auto"/>
            <w:vAlign w:val="center"/>
          </w:tcPr>
          <w:p w14:paraId="7D399E53" w14:textId="77777777" w:rsidR="00E03711" w:rsidRPr="00F769E0" w:rsidRDefault="00E03711" w:rsidP="00D651C5">
            <w:pPr>
              <w:pStyle w:val="GUIDE-NORMAL"/>
              <w:spacing w:before="60" w:after="60"/>
              <w:jc w:val="left"/>
              <w:rPr>
                <w:rFonts w:eastAsia="Calibri" w:cs="Tahoma"/>
                <w:b/>
                <w:lang w:val="sl-SI" w:eastAsia="en-GB"/>
              </w:rPr>
            </w:pPr>
            <w:r w:rsidRPr="00F769E0">
              <w:rPr>
                <w:rFonts w:cs="Tahoma"/>
                <w:b/>
                <w:lang w:val="sl-SI" w:eastAsia="en-GB"/>
              </w:rPr>
              <w:t>Kdaj se prijaviti?</w:t>
            </w:r>
          </w:p>
        </w:tc>
        <w:tc>
          <w:tcPr>
            <w:tcW w:w="4156" w:type="pct"/>
            <w:shd w:val="clear" w:color="auto" w:fill="auto"/>
            <w:vAlign w:val="center"/>
          </w:tcPr>
          <w:p w14:paraId="7D399E54" w14:textId="77777777" w:rsidR="00E03711" w:rsidRPr="00F769E0" w:rsidRDefault="00E03711" w:rsidP="00D651C5">
            <w:pPr>
              <w:pStyle w:val="GUIDE-NORMAL"/>
              <w:spacing w:before="60" w:after="60"/>
              <w:jc w:val="left"/>
              <w:rPr>
                <w:rFonts w:eastAsia="Calibri" w:cs="Tahoma"/>
                <w:lang w:val="sl-SI" w:eastAsia="en-GB"/>
              </w:rPr>
            </w:pPr>
            <w:r w:rsidRPr="00F769E0">
              <w:rPr>
                <w:rFonts w:cs="Tahoma"/>
                <w:lang w:val="sl-SI" w:eastAsia="en-GB"/>
              </w:rPr>
              <w:t xml:space="preserve">Prijavitelji morajo vlogo za nepovratna sredstva oddati do </w:t>
            </w:r>
            <w:r w:rsidRPr="00F769E0">
              <w:rPr>
                <w:rFonts w:cs="Tahoma"/>
                <w:b/>
                <w:lang w:val="sl-SI" w:eastAsia="en-GB"/>
              </w:rPr>
              <w:t>2</w:t>
            </w:r>
            <w:r>
              <w:rPr>
                <w:rFonts w:cs="Tahoma"/>
                <w:b/>
                <w:lang w:val="sl-SI" w:eastAsia="en-GB"/>
              </w:rPr>
              <w:t>0</w:t>
            </w:r>
            <w:r w:rsidRPr="00F769E0">
              <w:rPr>
                <w:rFonts w:cs="Tahoma"/>
                <w:b/>
                <w:lang w:val="sl-SI" w:eastAsia="en-GB"/>
              </w:rPr>
              <w:t>. februarja do 1</w:t>
            </w:r>
            <w:r>
              <w:rPr>
                <w:rFonts w:cs="Tahoma"/>
                <w:b/>
                <w:lang w:val="sl-SI" w:eastAsia="en-GB"/>
              </w:rPr>
              <w:t>7</w:t>
            </w:r>
            <w:r w:rsidRPr="00F769E0">
              <w:rPr>
                <w:rFonts w:cs="Tahoma"/>
                <w:b/>
                <w:lang w:val="sl-SI" w:eastAsia="en-GB"/>
              </w:rPr>
              <w:t xml:space="preserve">. ure (po bruseljskem času) </w:t>
            </w:r>
            <w:r w:rsidRPr="00F769E0">
              <w:rPr>
                <w:rFonts w:cs="Tahoma"/>
                <w:lang w:val="sl-SI" w:eastAsia="en-GB"/>
              </w:rPr>
              <w:t>za projekte, ki se začnejo 1. septembra istega leta</w:t>
            </w:r>
          </w:p>
        </w:tc>
      </w:tr>
      <w:tr w:rsidR="00E03711" w:rsidRPr="00C60205" w14:paraId="7D399E58" w14:textId="77777777" w:rsidTr="00B56774">
        <w:trPr>
          <w:cantSplit/>
          <w:trHeight w:val="20"/>
        </w:trPr>
        <w:tc>
          <w:tcPr>
            <w:tcW w:w="844" w:type="pct"/>
            <w:shd w:val="clear" w:color="auto" w:fill="auto"/>
            <w:vAlign w:val="center"/>
          </w:tcPr>
          <w:p w14:paraId="7D399E56" w14:textId="77777777" w:rsidR="00E03711" w:rsidRPr="00F769E0" w:rsidRDefault="00E03711" w:rsidP="00D651C5">
            <w:pPr>
              <w:pStyle w:val="GUIDE-NORMAL"/>
              <w:spacing w:before="60" w:after="60"/>
              <w:jc w:val="left"/>
              <w:rPr>
                <w:rFonts w:eastAsia="Calibri" w:cs="Tahoma"/>
                <w:b/>
                <w:lang w:val="sl-SI" w:eastAsia="en-GB"/>
              </w:rPr>
            </w:pPr>
            <w:r w:rsidRPr="00F769E0">
              <w:rPr>
                <w:rFonts w:cs="Tahoma"/>
                <w:b/>
                <w:lang w:val="sl-SI" w:eastAsia="en-GB"/>
              </w:rPr>
              <w:t>Kako se prijaviti?</w:t>
            </w:r>
          </w:p>
        </w:tc>
        <w:tc>
          <w:tcPr>
            <w:tcW w:w="4156" w:type="pct"/>
            <w:shd w:val="clear" w:color="auto" w:fill="auto"/>
            <w:vAlign w:val="center"/>
          </w:tcPr>
          <w:p w14:paraId="7D399E57" w14:textId="77777777" w:rsidR="00E03711" w:rsidRPr="00F769E0" w:rsidRDefault="00E03711" w:rsidP="00D651C5">
            <w:pPr>
              <w:pStyle w:val="GUIDE-NORMAL"/>
              <w:spacing w:before="60" w:after="60"/>
              <w:jc w:val="left"/>
              <w:rPr>
                <w:rFonts w:eastAsia="Calibri" w:cs="Tahoma"/>
                <w:lang w:val="sl-SI" w:eastAsia="en-GB"/>
              </w:rPr>
            </w:pPr>
            <w:r w:rsidRPr="00F769E0">
              <w:rPr>
                <w:rFonts w:cs="Tahoma"/>
                <w:lang w:val="sl-SI" w:eastAsia="en-GB"/>
              </w:rPr>
              <w:t>Za podrobnosti o postopku prijave glej del C tega vodnika</w:t>
            </w:r>
          </w:p>
        </w:tc>
      </w:tr>
    </w:tbl>
    <w:p w14:paraId="7D399E59" w14:textId="77777777" w:rsidR="00E03711" w:rsidRPr="001048FE" w:rsidRDefault="00E03711" w:rsidP="00D651C5">
      <w:pPr>
        <w:pStyle w:val="GUIDE-NORMAL"/>
        <w:rPr>
          <w:lang w:val="sl-SI"/>
        </w:rPr>
      </w:pPr>
      <w:r w:rsidRPr="001048FE">
        <w:rPr>
          <w:lang w:val="sl-SI"/>
        </w:rPr>
        <w:t>Organizacije prijaviteljice bodo ocenjene tudi z merili za izključitev in izbor. Za več informacij glej del C tega vodnika.</w:t>
      </w:r>
    </w:p>
    <w:p w14:paraId="7D399E5A" w14:textId="77777777" w:rsidR="00E03711" w:rsidRPr="001048FE" w:rsidRDefault="00E03711" w:rsidP="00D651C5">
      <w:pPr>
        <w:pStyle w:val="Guide-Heading5"/>
        <w:rPr>
          <w:lang w:val="sl-SI"/>
        </w:rPr>
      </w:pPr>
      <w:r w:rsidRPr="001048FE">
        <w:rPr>
          <w:lang w:val="sl-SI"/>
        </w:rPr>
        <w:t>Merila za dodelitev</w:t>
      </w:r>
    </w:p>
    <w:p w14:paraId="7D399E5B" w14:textId="77777777" w:rsidR="00E03711" w:rsidRPr="001048FE" w:rsidRDefault="00E03711" w:rsidP="00D651C5">
      <w:pPr>
        <w:pStyle w:val="GUIDE-NORMAL"/>
        <w:rPr>
          <w:lang w:val="sl-SI"/>
        </w:rPr>
      </w:pPr>
      <w:r w:rsidRPr="001048FE">
        <w:rPr>
          <w:lang w:val="sl-SI"/>
        </w:rPr>
        <w:t>Projekti bodo ocenjeni z naslednjimi merili:</w:t>
      </w:r>
    </w:p>
    <w:tbl>
      <w:tblPr>
        <w:tblW w:w="5007"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Look w:val="0000" w:firstRow="0" w:lastRow="0" w:firstColumn="0" w:lastColumn="0" w:noHBand="0" w:noVBand="0"/>
      </w:tblPr>
      <w:tblGrid>
        <w:gridCol w:w="1568"/>
        <w:gridCol w:w="7735"/>
      </w:tblGrid>
      <w:tr w:rsidR="00E03711" w:rsidRPr="00654F6A" w14:paraId="7D399E6F" w14:textId="77777777" w:rsidTr="00B56774">
        <w:trPr>
          <w:cantSplit/>
          <w:trHeight w:val="57"/>
        </w:trPr>
        <w:tc>
          <w:tcPr>
            <w:tcW w:w="843" w:type="pct"/>
            <w:shd w:val="clear" w:color="auto" w:fill="FFFFFF"/>
            <w:vAlign w:val="center"/>
          </w:tcPr>
          <w:p w14:paraId="7D399E5C" w14:textId="77777777" w:rsidR="00E03711" w:rsidRPr="00F769E0" w:rsidRDefault="00E03711" w:rsidP="00ED319D">
            <w:pPr>
              <w:pStyle w:val="GUIDE-NORMAL"/>
              <w:spacing w:before="60" w:after="60"/>
              <w:jc w:val="left"/>
              <w:rPr>
                <w:rFonts w:eastAsia="Calibri" w:cs="Tahoma"/>
                <w:b/>
                <w:lang w:val="sl-SI" w:eastAsia="en-GB"/>
              </w:rPr>
            </w:pPr>
            <w:r w:rsidRPr="00F769E0">
              <w:rPr>
                <w:rFonts w:cs="Tahoma"/>
                <w:b/>
                <w:lang w:val="sl-SI" w:eastAsia="en-GB"/>
              </w:rPr>
              <w:t xml:space="preserve">Ustreznost projekta </w:t>
            </w:r>
            <w:r w:rsidRPr="00F769E0">
              <w:rPr>
                <w:rFonts w:cs="Tahoma"/>
                <w:b/>
                <w:lang w:val="sl-SI" w:eastAsia="en-GB"/>
              </w:rPr>
              <w:br/>
              <w:t>(največ 25 točk)</w:t>
            </w:r>
          </w:p>
        </w:tc>
        <w:tc>
          <w:tcPr>
            <w:tcW w:w="4157" w:type="pct"/>
            <w:shd w:val="clear" w:color="auto" w:fill="FFFFFF"/>
            <w:vAlign w:val="center"/>
          </w:tcPr>
          <w:p w14:paraId="7D399E5D" w14:textId="77777777" w:rsidR="00E03711" w:rsidRDefault="00E03711" w:rsidP="005115F2">
            <w:pPr>
              <w:pStyle w:val="Guide-NormalBulletpoints"/>
              <w:numPr>
                <w:ilvl w:val="0"/>
                <w:numId w:val="147"/>
              </w:numPr>
              <w:spacing w:before="60"/>
              <w:jc w:val="left"/>
              <w:rPr>
                <w:lang w:val="sl-SI"/>
              </w:rPr>
            </w:pPr>
            <w:r>
              <w:rPr>
                <w:lang w:val="sl-SI"/>
              </w:rPr>
              <w:t xml:space="preserve">v kolikšni meri je predlog znotraj </w:t>
            </w:r>
            <w:r w:rsidRPr="00D10C38">
              <w:rPr>
                <w:b/>
                <w:bCs/>
                <w:lang w:val="sl-SI"/>
              </w:rPr>
              <w:t>okvira</w:t>
            </w:r>
            <w:r>
              <w:rPr>
                <w:lang w:val="sl-SI"/>
              </w:rPr>
              <w:t xml:space="preserve"> študij Evropske unije:</w:t>
            </w:r>
          </w:p>
          <w:p w14:paraId="7D399E5E" w14:textId="77777777" w:rsidR="00E03711" w:rsidRDefault="00E03711" w:rsidP="005115F2">
            <w:pPr>
              <w:pStyle w:val="Guide-NormalBulletpoints"/>
              <w:numPr>
                <w:ilvl w:val="1"/>
                <w:numId w:val="147"/>
              </w:numPr>
              <w:spacing w:before="60"/>
              <w:jc w:val="left"/>
              <w:rPr>
                <w:lang w:val="sl-SI"/>
              </w:rPr>
            </w:pPr>
            <w:r>
              <w:rPr>
                <w:lang w:val="sl-SI"/>
              </w:rPr>
              <w:t>v celoti tvori študij Evropske unije, s posebnim poudarkom na integracijskem procesu EU tako v notranjih kot zunanjih vidikih;</w:t>
            </w:r>
          </w:p>
          <w:p w14:paraId="7D399E5F" w14:textId="77777777" w:rsidR="00E03711" w:rsidRDefault="00E03711" w:rsidP="005115F2">
            <w:pPr>
              <w:pStyle w:val="Guide-NormalBulletpoints"/>
              <w:numPr>
                <w:ilvl w:val="1"/>
                <w:numId w:val="147"/>
              </w:numPr>
              <w:spacing w:before="60"/>
              <w:jc w:val="left"/>
              <w:rPr>
                <w:lang w:val="sl-SI"/>
              </w:rPr>
            </w:pPr>
            <w:r>
              <w:rPr>
                <w:lang w:val="sl-SI"/>
              </w:rPr>
              <w:t xml:space="preserve">povezava s pravnim redom EU </w:t>
            </w:r>
            <w:r w:rsidRPr="00D10C38">
              <w:rPr>
                <w:i/>
                <w:iCs/>
                <w:lang w:val="sl-SI"/>
              </w:rPr>
              <w:t xml:space="preserve">(acquis communautaire) </w:t>
            </w:r>
            <w:r>
              <w:rPr>
                <w:lang w:val="sl-SI"/>
              </w:rPr>
              <w:t>in obstoječimi politikami EU;</w:t>
            </w:r>
          </w:p>
          <w:p w14:paraId="7D399E60" w14:textId="77777777" w:rsidR="00E03711" w:rsidRDefault="00E03711" w:rsidP="005115F2">
            <w:pPr>
              <w:pStyle w:val="Guide-NormalBulletpoints"/>
              <w:numPr>
                <w:ilvl w:val="1"/>
                <w:numId w:val="147"/>
              </w:numPr>
              <w:spacing w:before="60"/>
              <w:jc w:val="left"/>
              <w:rPr>
                <w:lang w:val="sl-SI"/>
              </w:rPr>
            </w:pPr>
            <w:r>
              <w:rPr>
                <w:lang w:val="sl-SI"/>
              </w:rPr>
              <w:t>spodbujanje aktivnega državljanstva v EU in vrednot EU;</w:t>
            </w:r>
          </w:p>
          <w:p w14:paraId="7D399E61" w14:textId="77777777" w:rsidR="00E03711" w:rsidRDefault="00E03711" w:rsidP="005115F2">
            <w:pPr>
              <w:pStyle w:val="Guide-NormalBulletpoints"/>
              <w:numPr>
                <w:ilvl w:val="1"/>
                <w:numId w:val="147"/>
              </w:numPr>
              <w:spacing w:before="60"/>
              <w:jc w:val="left"/>
              <w:rPr>
                <w:lang w:val="sl-SI"/>
              </w:rPr>
            </w:pPr>
            <w:r>
              <w:rPr>
                <w:lang w:val="sl-SI"/>
              </w:rPr>
              <w:t>krepitev zavedanja o EU in omogočanje prihodnje angažiranosti ter dialoga med narodi.</w:t>
            </w:r>
          </w:p>
          <w:p w14:paraId="7D399E62" w14:textId="77777777" w:rsidR="00E03711" w:rsidRPr="00B22787" w:rsidRDefault="00E03711" w:rsidP="005115F2">
            <w:pPr>
              <w:pStyle w:val="Guide-NormalBulletpoints"/>
              <w:numPr>
                <w:ilvl w:val="0"/>
                <w:numId w:val="147"/>
              </w:numPr>
              <w:spacing w:before="60"/>
              <w:jc w:val="left"/>
              <w:rPr>
                <w:lang w:val="sl-SI"/>
              </w:rPr>
            </w:pPr>
            <w:r w:rsidRPr="00D10C38">
              <w:rPr>
                <w:b/>
                <w:bCs/>
                <w:lang w:val="sl-SI"/>
              </w:rPr>
              <w:t>ustreznost</w:t>
            </w:r>
            <w:r w:rsidRPr="00C6615D">
              <w:rPr>
                <w:lang w:val="sl-SI"/>
              </w:rPr>
              <w:t xml:space="preserve"> predloga v zvezi z</w:t>
            </w:r>
            <w:r>
              <w:rPr>
                <w:lang w:val="sl-SI"/>
              </w:rPr>
              <w:t xml:space="preserve"> </w:t>
            </w:r>
            <w:r w:rsidRPr="00C6615D">
              <w:rPr>
                <w:lang w:val="sl-SI"/>
              </w:rPr>
              <w:t xml:space="preserve">enim ali več naslednjimi cilji </w:t>
            </w:r>
            <w:r w:rsidRPr="00B22787">
              <w:rPr>
                <w:lang w:val="sl-SI"/>
              </w:rPr>
              <w:t>aktivnosti Jean Monnet:</w:t>
            </w:r>
          </w:p>
          <w:p w14:paraId="7D399E63" w14:textId="77777777" w:rsidR="00E03711" w:rsidRDefault="00E03711" w:rsidP="005115F2">
            <w:pPr>
              <w:pStyle w:val="Guide-NormalBulletpoints"/>
              <w:numPr>
                <w:ilvl w:val="1"/>
                <w:numId w:val="147"/>
              </w:numPr>
              <w:spacing w:before="60"/>
              <w:jc w:val="left"/>
              <w:rPr>
                <w:lang w:val="sl-SI"/>
              </w:rPr>
            </w:pPr>
            <w:r>
              <w:rPr>
                <w:lang w:val="sl-SI"/>
              </w:rPr>
              <w:t>spodbujanje odličnosti pri poučevanju in raziskovanju o evropskih študijah;</w:t>
            </w:r>
          </w:p>
          <w:p w14:paraId="7D399E64" w14:textId="77777777" w:rsidR="00E03711" w:rsidRDefault="00E03711" w:rsidP="005115F2">
            <w:pPr>
              <w:pStyle w:val="Guide-NormalBulletpoints"/>
              <w:numPr>
                <w:ilvl w:val="1"/>
                <w:numId w:val="147"/>
              </w:numPr>
              <w:spacing w:before="60"/>
              <w:jc w:val="left"/>
              <w:rPr>
                <w:lang w:val="sl-SI"/>
              </w:rPr>
            </w:pPr>
            <w:r>
              <w:rPr>
                <w:lang w:val="sl-SI"/>
              </w:rPr>
              <w:t>spodbujanje ustvarjanja novega poučevanja/aktivnosti pri evropskih študijah;</w:t>
            </w:r>
          </w:p>
          <w:p w14:paraId="7D399E65" w14:textId="77777777" w:rsidR="00E03711" w:rsidRDefault="00E03711" w:rsidP="005115F2">
            <w:pPr>
              <w:pStyle w:val="Guide-NormalBulletpoints"/>
              <w:numPr>
                <w:ilvl w:val="1"/>
                <w:numId w:val="147"/>
              </w:numPr>
              <w:spacing w:before="60"/>
              <w:jc w:val="left"/>
              <w:rPr>
                <w:lang w:val="sl-SI"/>
              </w:rPr>
            </w:pPr>
            <w:r>
              <w:rPr>
                <w:lang w:val="sl-SI"/>
              </w:rPr>
              <w:t>ustvarjanje znanja in vpogledov, ki lahko podpirajo oblikovanje politik EU in krepijo vlogo EU v globaliziranem svetu;</w:t>
            </w:r>
          </w:p>
          <w:p w14:paraId="7D399E66" w14:textId="77777777" w:rsidR="00E03711" w:rsidRDefault="00E03711" w:rsidP="005115F2">
            <w:pPr>
              <w:pStyle w:val="Guide-NormalBulletpoints"/>
              <w:numPr>
                <w:ilvl w:val="1"/>
                <w:numId w:val="147"/>
              </w:numPr>
              <w:spacing w:before="60"/>
              <w:jc w:val="left"/>
              <w:rPr>
                <w:lang w:val="sl-SI"/>
              </w:rPr>
            </w:pPr>
            <w:r>
              <w:rPr>
                <w:lang w:val="sl-SI"/>
              </w:rPr>
              <w:t>vsebovanje koristi za sisteme politki, znotraj katerih je opredeljen;</w:t>
            </w:r>
          </w:p>
          <w:p w14:paraId="7D399E67" w14:textId="77777777" w:rsidR="00E03711" w:rsidRDefault="00E03711" w:rsidP="005115F2">
            <w:pPr>
              <w:pStyle w:val="Guide-NormalBulletpoints"/>
              <w:numPr>
                <w:ilvl w:val="1"/>
                <w:numId w:val="147"/>
              </w:numPr>
              <w:spacing w:before="60"/>
              <w:jc w:val="left"/>
              <w:rPr>
                <w:lang w:val="sl-SI"/>
              </w:rPr>
            </w:pPr>
            <w:r>
              <w:rPr>
                <w:lang w:val="sl-SI"/>
              </w:rPr>
              <w:t>spodbujanje dialoga med akademskim svetom in širšo družbo;</w:t>
            </w:r>
          </w:p>
          <w:p w14:paraId="7D399E68" w14:textId="77777777" w:rsidR="00E03711" w:rsidRDefault="00E03711" w:rsidP="005115F2">
            <w:pPr>
              <w:pStyle w:val="Guide-NormalBulletpoints"/>
              <w:numPr>
                <w:ilvl w:val="1"/>
                <w:numId w:val="147"/>
              </w:numPr>
              <w:spacing w:before="60"/>
              <w:jc w:val="left"/>
              <w:rPr>
                <w:lang w:val="sl-SI"/>
              </w:rPr>
            </w:pPr>
            <w:r>
              <w:rPr>
                <w:lang w:val="sl-SI"/>
              </w:rPr>
              <w:t>vključevanje akterjev civilne družbe, oblikovalcev politike, javnih uslužbencev, predstavnikov izobraževanja in predstavnikov medijev na različnih ravneh;</w:t>
            </w:r>
          </w:p>
          <w:p w14:paraId="7D399E69" w14:textId="77777777" w:rsidR="00E03711" w:rsidRDefault="00E03711" w:rsidP="005115F2">
            <w:pPr>
              <w:pStyle w:val="Guide-NormalBulletpoints"/>
              <w:numPr>
                <w:ilvl w:val="1"/>
                <w:numId w:val="147"/>
              </w:numPr>
              <w:spacing w:before="60"/>
              <w:jc w:val="left"/>
              <w:rPr>
                <w:lang w:val="sl-SI"/>
              </w:rPr>
            </w:pPr>
            <w:r>
              <w:rPr>
                <w:lang w:val="sl-SI"/>
              </w:rPr>
              <w:t>širjenje znanja o EU v širši družbi, zunaj akademskih krogov in specializiranega občinstva;</w:t>
            </w:r>
          </w:p>
          <w:p w14:paraId="7D399E6A" w14:textId="77777777" w:rsidR="00E03711" w:rsidRPr="001048FE" w:rsidRDefault="00E03711" w:rsidP="005115F2">
            <w:pPr>
              <w:pStyle w:val="Guide-NormalBulletpoints"/>
              <w:numPr>
                <w:ilvl w:val="1"/>
                <w:numId w:val="147"/>
              </w:numPr>
              <w:spacing w:before="60"/>
              <w:jc w:val="left"/>
              <w:rPr>
                <w:lang w:val="sl-SI"/>
              </w:rPr>
            </w:pPr>
            <w:r>
              <w:rPr>
                <w:lang w:val="sl-SI"/>
              </w:rPr>
              <w:t>približanje EU javnosti.</w:t>
            </w:r>
          </w:p>
          <w:p w14:paraId="7D399E6B" w14:textId="77777777" w:rsidR="00E03711" w:rsidRPr="001048FE" w:rsidRDefault="00E03711" w:rsidP="005115F2">
            <w:pPr>
              <w:pStyle w:val="Guide-NormalBulletpoints"/>
              <w:numPr>
                <w:ilvl w:val="0"/>
                <w:numId w:val="151"/>
              </w:numPr>
              <w:spacing w:before="60"/>
              <w:jc w:val="left"/>
              <w:rPr>
                <w:lang w:val="sl-SI"/>
              </w:rPr>
            </w:pPr>
            <w:r w:rsidRPr="00D10C38">
              <w:rPr>
                <w:b/>
                <w:bCs/>
                <w:lang w:val="sl-SI"/>
              </w:rPr>
              <w:t>v kolikšni meri</w:t>
            </w:r>
            <w:r w:rsidRPr="001048FE">
              <w:rPr>
                <w:lang w:val="sl-SI"/>
              </w:rPr>
              <w:t xml:space="preserve"> predlog</w:t>
            </w:r>
            <w:r>
              <w:rPr>
                <w:lang w:val="sl-SI"/>
              </w:rPr>
              <w:t xml:space="preserve"> dosega </w:t>
            </w:r>
            <w:r w:rsidRPr="00D10C38">
              <w:rPr>
                <w:b/>
                <w:bCs/>
                <w:lang w:val="sl-SI"/>
              </w:rPr>
              <w:t>prednostne ciljne skupine</w:t>
            </w:r>
            <w:r w:rsidRPr="001048FE">
              <w:rPr>
                <w:lang w:val="sl-SI"/>
              </w:rPr>
              <w:t>:</w:t>
            </w:r>
          </w:p>
          <w:p w14:paraId="7D399E6C" w14:textId="77777777" w:rsidR="00E03711" w:rsidRPr="001048FE" w:rsidRDefault="00E03711" w:rsidP="005115F2">
            <w:pPr>
              <w:pStyle w:val="Guide-ListDash"/>
              <w:numPr>
                <w:ilvl w:val="1"/>
                <w:numId w:val="147"/>
              </w:numPr>
              <w:spacing w:before="60" w:after="60"/>
              <w:jc w:val="left"/>
              <w:rPr>
                <w:lang w:val="sl-SI"/>
              </w:rPr>
            </w:pPr>
            <w:r w:rsidRPr="001048FE">
              <w:rPr>
                <w:lang w:val="sl-SI"/>
              </w:rPr>
              <w:t>institucije ali akademiki, ki še niso prejeli sredstev Jean Monnet;</w:t>
            </w:r>
          </w:p>
          <w:p w14:paraId="7D399E6D" w14:textId="77777777" w:rsidR="00E03711" w:rsidRDefault="00E03711" w:rsidP="005115F2">
            <w:pPr>
              <w:pStyle w:val="Guide-ListDash"/>
              <w:numPr>
                <w:ilvl w:val="1"/>
                <w:numId w:val="152"/>
              </w:numPr>
              <w:spacing w:before="60" w:after="60"/>
              <w:jc w:val="left"/>
              <w:rPr>
                <w:lang w:val="sl-SI"/>
              </w:rPr>
            </w:pPr>
            <w:r w:rsidRPr="001048FE">
              <w:rPr>
                <w:lang w:val="sl-SI"/>
              </w:rPr>
              <w:t>študenti</w:t>
            </w:r>
            <w:r>
              <w:rPr>
                <w:lang w:val="sl-SI"/>
              </w:rPr>
              <w:t>/občinstva</w:t>
            </w:r>
            <w:r w:rsidRPr="001048FE">
              <w:rPr>
                <w:lang w:val="sl-SI"/>
              </w:rPr>
              <w:t>, ki ne pridejo samodejno v stik z evropskimi študijami (na področjih</w:t>
            </w:r>
            <w:r>
              <w:rPr>
                <w:lang w:val="sl-SI"/>
              </w:rPr>
              <w:t xml:space="preserve"> izven prava, ekonomije in politologije</w:t>
            </w:r>
            <w:r w:rsidRPr="001048FE">
              <w:rPr>
                <w:lang w:val="sl-SI"/>
              </w:rPr>
              <w:t>)</w:t>
            </w:r>
            <w:r>
              <w:rPr>
                <w:lang w:val="sl-SI"/>
              </w:rPr>
              <w:t>;</w:t>
            </w:r>
          </w:p>
          <w:p w14:paraId="7D399E6E" w14:textId="77777777" w:rsidR="00E03711" w:rsidRPr="001048FE" w:rsidRDefault="00E03711" w:rsidP="005115F2">
            <w:pPr>
              <w:pStyle w:val="Guide-ListDash"/>
              <w:numPr>
                <w:ilvl w:val="1"/>
                <w:numId w:val="159"/>
              </w:numPr>
              <w:spacing w:before="60" w:after="60"/>
              <w:rPr>
                <w:lang w:val="sl-SI"/>
              </w:rPr>
            </w:pPr>
            <w:r>
              <w:rPr>
                <w:lang w:val="sl-SI"/>
              </w:rPr>
              <w:t>pri tretjih državah, potencial projekta, da okrepi javno diplomacijo EU.</w:t>
            </w:r>
          </w:p>
        </w:tc>
      </w:tr>
      <w:tr w:rsidR="00E03711" w:rsidRPr="00C60205" w14:paraId="7D399E74" w14:textId="77777777" w:rsidTr="00B56774">
        <w:trPr>
          <w:cantSplit/>
          <w:trHeight w:val="57"/>
        </w:trPr>
        <w:tc>
          <w:tcPr>
            <w:tcW w:w="843" w:type="pct"/>
            <w:shd w:val="clear" w:color="auto" w:fill="FFFFFF"/>
            <w:vAlign w:val="center"/>
          </w:tcPr>
          <w:p w14:paraId="7D399E70" w14:textId="77777777" w:rsidR="00E03711" w:rsidRPr="00F769E0" w:rsidRDefault="00E03711" w:rsidP="00ED319D">
            <w:pPr>
              <w:pStyle w:val="GUIDE-NORMAL"/>
              <w:spacing w:before="60" w:after="60"/>
              <w:jc w:val="left"/>
              <w:rPr>
                <w:rFonts w:cs="Tahoma"/>
                <w:b/>
                <w:lang w:val="sl-SI" w:eastAsia="en-GB"/>
              </w:rPr>
            </w:pPr>
            <w:r w:rsidRPr="00F769E0">
              <w:rPr>
                <w:rFonts w:cs="Tahoma"/>
                <w:b/>
                <w:lang w:val="sl-SI" w:eastAsia="en-GB"/>
              </w:rPr>
              <w:t>Kakovost zasnove in izvedbe projekta</w:t>
            </w:r>
            <w:r w:rsidRPr="00F769E0">
              <w:rPr>
                <w:rFonts w:cs="Tahoma"/>
                <w:b/>
                <w:lang w:val="sl-SI" w:eastAsia="en-GB"/>
              </w:rPr>
              <w:br/>
              <w:t>(največ 25 točk)</w:t>
            </w:r>
          </w:p>
        </w:tc>
        <w:tc>
          <w:tcPr>
            <w:tcW w:w="4157" w:type="pct"/>
            <w:shd w:val="clear" w:color="auto" w:fill="FFFFFF"/>
            <w:vAlign w:val="center"/>
          </w:tcPr>
          <w:p w14:paraId="7D399E71" w14:textId="77777777" w:rsidR="00E03711" w:rsidRPr="006E61F8" w:rsidRDefault="00E03711" w:rsidP="005115F2">
            <w:pPr>
              <w:pStyle w:val="Guide-NormalBulletpoints"/>
              <w:numPr>
                <w:ilvl w:val="0"/>
                <w:numId w:val="158"/>
              </w:numPr>
              <w:ind w:left="340" w:hanging="340"/>
              <w:rPr>
                <w:lang w:val="sl-SI"/>
              </w:rPr>
            </w:pPr>
            <w:r w:rsidRPr="006E61F8">
              <w:rPr>
                <w:lang w:val="sl-SI"/>
              </w:rPr>
              <w:t xml:space="preserve">jasnost, celovitost in kakovost </w:t>
            </w:r>
            <w:r>
              <w:rPr>
                <w:lang w:val="sl-SI"/>
              </w:rPr>
              <w:t xml:space="preserve">predloga in </w:t>
            </w:r>
            <w:r w:rsidRPr="00D10C38">
              <w:rPr>
                <w:b/>
                <w:bCs/>
                <w:lang w:val="sl-SI"/>
              </w:rPr>
              <w:t>delovnega programa</w:t>
            </w:r>
            <w:r w:rsidRPr="006E61F8">
              <w:rPr>
                <w:lang w:val="sl-SI"/>
              </w:rPr>
              <w:t xml:space="preserve">, vključno z </w:t>
            </w:r>
            <w:r w:rsidRPr="00D10C38">
              <w:rPr>
                <w:b/>
                <w:bCs/>
                <w:lang w:val="sl-SI"/>
              </w:rPr>
              <w:t>ustreznim</w:t>
            </w:r>
            <w:r w:rsidRPr="006E61F8">
              <w:rPr>
                <w:lang w:val="sl-SI"/>
              </w:rPr>
              <w:t xml:space="preserve"> </w:t>
            </w:r>
            <w:r w:rsidRPr="00D10C38">
              <w:rPr>
                <w:b/>
                <w:bCs/>
                <w:lang w:val="sl-SI"/>
              </w:rPr>
              <w:t>načrtovanjem</w:t>
            </w:r>
            <w:r>
              <w:rPr>
                <w:lang w:val="sl-SI"/>
              </w:rPr>
              <w:t xml:space="preserve"> faz </w:t>
            </w:r>
            <w:r w:rsidRPr="006E61F8">
              <w:rPr>
                <w:lang w:val="sl-SI"/>
              </w:rPr>
              <w:t>priprav</w:t>
            </w:r>
            <w:r>
              <w:rPr>
                <w:lang w:val="sl-SI"/>
              </w:rPr>
              <w:t>e</w:t>
            </w:r>
            <w:r w:rsidRPr="006E61F8">
              <w:rPr>
                <w:lang w:val="sl-SI"/>
              </w:rPr>
              <w:t>, izvajanj</w:t>
            </w:r>
            <w:r>
              <w:rPr>
                <w:lang w:val="sl-SI"/>
              </w:rPr>
              <w:t>a</w:t>
            </w:r>
            <w:r w:rsidRPr="006E61F8">
              <w:rPr>
                <w:lang w:val="sl-SI"/>
              </w:rPr>
              <w:t>, ocenjevanj</w:t>
            </w:r>
            <w:r>
              <w:rPr>
                <w:lang w:val="sl-SI"/>
              </w:rPr>
              <w:t>a</w:t>
            </w:r>
            <w:r w:rsidRPr="006E61F8">
              <w:rPr>
                <w:lang w:val="sl-SI"/>
              </w:rPr>
              <w:t>, nadaljnje</w:t>
            </w:r>
            <w:r>
              <w:rPr>
                <w:lang w:val="sl-SI"/>
              </w:rPr>
              <w:t>ga</w:t>
            </w:r>
            <w:r w:rsidRPr="006E61F8">
              <w:rPr>
                <w:lang w:val="sl-SI"/>
              </w:rPr>
              <w:t xml:space="preserve"> spremljanj</w:t>
            </w:r>
            <w:r>
              <w:rPr>
                <w:lang w:val="sl-SI"/>
              </w:rPr>
              <w:t>a</w:t>
            </w:r>
            <w:r w:rsidRPr="006E61F8">
              <w:rPr>
                <w:lang w:val="sl-SI"/>
              </w:rPr>
              <w:t xml:space="preserve"> in razširjanj</w:t>
            </w:r>
            <w:r>
              <w:rPr>
                <w:lang w:val="sl-SI"/>
              </w:rPr>
              <w:t>a</w:t>
            </w:r>
            <w:r w:rsidRPr="006E61F8">
              <w:rPr>
                <w:lang w:val="sl-SI"/>
              </w:rPr>
              <w:t>;</w:t>
            </w:r>
          </w:p>
          <w:p w14:paraId="7D399E72" w14:textId="77777777" w:rsidR="00E03711" w:rsidRPr="009A2C2A" w:rsidRDefault="00E03711" w:rsidP="005115F2">
            <w:pPr>
              <w:pStyle w:val="Guide-NormalBulletpoints"/>
              <w:numPr>
                <w:ilvl w:val="0"/>
                <w:numId w:val="158"/>
              </w:numPr>
              <w:ind w:left="340" w:hanging="340"/>
              <w:rPr>
                <w:lang w:val="sl-SI"/>
              </w:rPr>
            </w:pPr>
            <w:r w:rsidRPr="00D10C38">
              <w:rPr>
                <w:b/>
                <w:bCs/>
                <w:lang w:val="sl-SI"/>
              </w:rPr>
              <w:t>skladnost</w:t>
            </w:r>
            <w:r>
              <w:rPr>
                <w:lang w:val="sl-SI"/>
              </w:rPr>
              <w:t xml:space="preserve"> </w:t>
            </w:r>
            <w:r w:rsidRPr="009A2C2A">
              <w:rPr>
                <w:lang w:val="sl-SI"/>
              </w:rPr>
              <w:t>ciljev projekta</w:t>
            </w:r>
            <w:r>
              <w:rPr>
                <w:lang w:val="sl-SI"/>
              </w:rPr>
              <w:t xml:space="preserve"> in</w:t>
            </w:r>
            <w:r w:rsidRPr="009A2C2A">
              <w:rPr>
                <w:lang w:val="sl-SI"/>
              </w:rPr>
              <w:t xml:space="preserve"> aktivnosti;</w:t>
            </w:r>
          </w:p>
          <w:p w14:paraId="7D399E73" w14:textId="77777777" w:rsidR="00E03711" w:rsidRPr="001048FE" w:rsidRDefault="00E03711" w:rsidP="005115F2">
            <w:pPr>
              <w:pStyle w:val="Guide-NormalBulletpoints"/>
              <w:numPr>
                <w:ilvl w:val="0"/>
                <w:numId w:val="158"/>
              </w:numPr>
              <w:spacing w:before="60"/>
              <w:ind w:left="340" w:hanging="340"/>
              <w:rPr>
                <w:lang w:val="sl-SI"/>
              </w:rPr>
            </w:pPr>
            <w:r w:rsidRPr="009A2C2A">
              <w:rPr>
                <w:lang w:val="sl-SI"/>
              </w:rPr>
              <w:t>kakovost</w:t>
            </w:r>
            <w:r>
              <w:rPr>
                <w:lang w:val="sl-SI"/>
              </w:rPr>
              <w:t>, novost</w:t>
            </w:r>
            <w:r w:rsidRPr="009A2C2A">
              <w:rPr>
                <w:lang w:val="sl-SI"/>
              </w:rPr>
              <w:t xml:space="preserve"> in izvedljivost </w:t>
            </w:r>
            <w:r>
              <w:rPr>
                <w:lang w:val="sl-SI"/>
              </w:rPr>
              <w:t xml:space="preserve">projekta samega ter izvedljivost </w:t>
            </w:r>
            <w:r w:rsidRPr="009A2C2A">
              <w:rPr>
                <w:lang w:val="sl-SI"/>
              </w:rPr>
              <w:t>predlagane metodologije.</w:t>
            </w:r>
          </w:p>
        </w:tc>
      </w:tr>
      <w:tr w:rsidR="00E03711" w:rsidRPr="00C60205" w14:paraId="7D399E77" w14:textId="77777777" w:rsidTr="00B56774">
        <w:trPr>
          <w:cantSplit/>
          <w:trHeight w:val="57"/>
        </w:trPr>
        <w:tc>
          <w:tcPr>
            <w:tcW w:w="843" w:type="pct"/>
            <w:shd w:val="clear" w:color="auto" w:fill="FFFFFF"/>
            <w:vAlign w:val="center"/>
          </w:tcPr>
          <w:p w14:paraId="7D399E75" w14:textId="77777777" w:rsidR="00E03711" w:rsidRPr="00F769E0" w:rsidRDefault="00E03711" w:rsidP="00ED319D">
            <w:pPr>
              <w:pStyle w:val="GUIDE-NORMAL"/>
              <w:spacing w:before="60" w:after="60"/>
              <w:jc w:val="left"/>
              <w:rPr>
                <w:rFonts w:eastAsia="Calibri" w:cs="Tahoma"/>
                <w:b/>
                <w:lang w:val="sl-SI" w:eastAsia="en-GB"/>
              </w:rPr>
            </w:pPr>
            <w:r w:rsidRPr="00F769E0">
              <w:rPr>
                <w:rFonts w:cs="Tahoma"/>
                <w:b/>
                <w:lang w:val="sl-SI" w:eastAsia="en-GB"/>
              </w:rPr>
              <w:t>Kakovost projektne skupine (največ 25 točk)</w:t>
            </w:r>
          </w:p>
        </w:tc>
        <w:tc>
          <w:tcPr>
            <w:tcW w:w="4157" w:type="pct"/>
            <w:shd w:val="clear" w:color="auto" w:fill="FFFFFF"/>
            <w:vAlign w:val="center"/>
          </w:tcPr>
          <w:p w14:paraId="7D399E76" w14:textId="77777777" w:rsidR="00E03711" w:rsidRPr="001048FE" w:rsidRDefault="00E03711" w:rsidP="005115F2">
            <w:pPr>
              <w:pStyle w:val="Guide-NormalBulletpoints"/>
              <w:numPr>
                <w:ilvl w:val="0"/>
                <w:numId w:val="158"/>
              </w:numPr>
              <w:spacing w:before="60"/>
              <w:ind w:left="340" w:hanging="340"/>
              <w:rPr>
                <w:lang w:val="sl-SI"/>
              </w:rPr>
            </w:pPr>
            <w:r w:rsidRPr="001048FE">
              <w:rPr>
                <w:lang w:val="sl-SI"/>
              </w:rPr>
              <w:t>ustreznost</w:t>
            </w:r>
            <w:r>
              <w:rPr>
                <w:lang w:val="sl-SI"/>
              </w:rPr>
              <w:t xml:space="preserve"> in komplementarnost</w:t>
            </w:r>
            <w:r w:rsidRPr="001048FE">
              <w:rPr>
                <w:lang w:val="sl-SI"/>
              </w:rPr>
              <w:t xml:space="preserve"> profila in strokovnega znanja ključnega osebja </w:t>
            </w:r>
            <w:r>
              <w:rPr>
                <w:lang w:val="sl-SI"/>
              </w:rPr>
              <w:t>pri aktivnostih, predlaganih v projektu</w:t>
            </w:r>
            <w:r w:rsidRPr="001048FE">
              <w:rPr>
                <w:lang w:val="sl-SI"/>
              </w:rPr>
              <w:t>– na akademskem in neakademskem področju</w:t>
            </w:r>
            <w:r>
              <w:rPr>
                <w:lang w:val="sl-SI"/>
              </w:rPr>
              <w:t>, kjer je to ustrezno</w:t>
            </w:r>
            <w:r w:rsidRPr="001048FE">
              <w:rPr>
                <w:lang w:val="sl-SI"/>
              </w:rPr>
              <w:t>.</w:t>
            </w:r>
          </w:p>
        </w:tc>
      </w:tr>
      <w:tr w:rsidR="00E03711" w:rsidRPr="00C60205" w14:paraId="7D399E87" w14:textId="77777777" w:rsidTr="00B56774">
        <w:trPr>
          <w:cantSplit/>
          <w:trHeight w:val="57"/>
        </w:trPr>
        <w:tc>
          <w:tcPr>
            <w:tcW w:w="843" w:type="pct"/>
            <w:shd w:val="clear" w:color="auto" w:fill="FFFFFF"/>
            <w:vAlign w:val="center"/>
          </w:tcPr>
          <w:p w14:paraId="7D399E78" w14:textId="77777777" w:rsidR="00E03711" w:rsidRPr="00F769E0" w:rsidRDefault="00E03711" w:rsidP="00ED319D">
            <w:pPr>
              <w:pStyle w:val="GUIDE-NORMAL"/>
              <w:spacing w:before="60" w:after="60"/>
              <w:jc w:val="left"/>
              <w:rPr>
                <w:rFonts w:eastAsia="Calibri" w:cs="Tahoma"/>
                <w:b/>
                <w:lang w:val="sl-SI" w:eastAsia="en-GB"/>
              </w:rPr>
            </w:pPr>
            <w:r w:rsidRPr="00F769E0">
              <w:rPr>
                <w:rFonts w:cs="Tahoma"/>
                <w:b/>
                <w:lang w:val="sl-SI" w:eastAsia="en-GB"/>
              </w:rPr>
              <w:t xml:space="preserve">Učinek in razširjanje </w:t>
            </w:r>
            <w:r w:rsidRPr="00F769E0">
              <w:rPr>
                <w:rFonts w:cs="Tahoma"/>
                <w:b/>
                <w:lang w:val="sl-SI" w:eastAsia="en-GB"/>
              </w:rPr>
              <w:br/>
              <w:t>(največ 25 točk)</w:t>
            </w:r>
          </w:p>
        </w:tc>
        <w:tc>
          <w:tcPr>
            <w:tcW w:w="4157" w:type="pct"/>
            <w:shd w:val="clear" w:color="auto" w:fill="FFFFFF"/>
            <w:vAlign w:val="center"/>
          </w:tcPr>
          <w:p w14:paraId="7D399E79" w14:textId="77777777" w:rsidR="00E03711" w:rsidRPr="001048FE" w:rsidRDefault="00E03711" w:rsidP="005115F2">
            <w:pPr>
              <w:pStyle w:val="Guide-NormalBulletpoints"/>
              <w:numPr>
                <w:ilvl w:val="0"/>
                <w:numId w:val="150"/>
              </w:numPr>
              <w:spacing w:before="60"/>
              <w:jc w:val="left"/>
              <w:rPr>
                <w:lang w:val="sl-SI"/>
              </w:rPr>
            </w:pPr>
            <w:r w:rsidRPr="00D10C38">
              <w:rPr>
                <w:b/>
                <w:bCs/>
                <w:lang w:val="sl-SI"/>
              </w:rPr>
              <w:t>pričakovan</w:t>
            </w:r>
            <w:r>
              <w:rPr>
                <w:b/>
                <w:bCs/>
                <w:lang w:val="sl-SI"/>
              </w:rPr>
              <w:t>i</w:t>
            </w:r>
            <w:r w:rsidRPr="00D10C38">
              <w:rPr>
                <w:b/>
                <w:bCs/>
                <w:lang w:val="sl-SI"/>
              </w:rPr>
              <w:t xml:space="preserve"> učinek</w:t>
            </w:r>
            <w:r w:rsidRPr="001048FE">
              <w:rPr>
                <w:lang w:val="sl-SI"/>
              </w:rPr>
              <w:t xml:space="preserve"> projekta</w:t>
            </w:r>
            <w:r>
              <w:rPr>
                <w:lang w:val="sl-SI"/>
              </w:rPr>
              <w:t xml:space="preserve"> v smislu dolgoročnih učinkov</w:t>
            </w:r>
            <w:r w:rsidRPr="001048FE">
              <w:rPr>
                <w:lang w:val="sl-SI"/>
              </w:rPr>
              <w:t>:</w:t>
            </w:r>
          </w:p>
          <w:p w14:paraId="7D399E7A" w14:textId="77777777" w:rsidR="00E03711" w:rsidRPr="001048FE" w:rsidRDefault="00E03711" w:rsidP="005115F2">
            <w:pPr>
              <w:pStyle w:val="Guide-ListDash"/>
              <w:numPr>
                <w:ilvl w:val="1"/>
                <w:numId w:val="153"/>
              </w:numPr>
              <w:spacing w:before="60" w:after="60"/>
              <w:jc w:val="left"/>
              <w:rPr>
                <w:lang w:val="sl-SI"/>
              </w:rPr>
            </w:pPr>
            <w:r w:rsidRPr="001048FE">
              <w:rPr>
                <w:lang w:val="sl-SI"/>
              </w:rPr>
              <w:t xml:space="preserve">na institucijo, ki </w:t>
            </w:r>
            <w:r>
              <w:rPr>
                <w:lang w:val="sl-SI"/>
              </w:rPr>
              <w:t xml:space="preserve">gosti </w:t>
            </w:r>
            <w:r w:rsidRPr="001048FE">
              <w:rPr>
                <w:lang w:val="sl-SI"/>
              </w:rPr>
              <w:t>ukrep Jean Monnet;</w:t>
            </w:r>
          </w:p>
          <w:p w14:paraId="7D399E7B" w14:textId="77777777" w:rsidR="00E03711" w:rsidRPr="001048FE" w:rsidRDefault="00E03711" w:rsidP="005115F2">
            <w:pPr>
              <w:pStyle w:val="Guide-ListDash"/>
              <w:numPr>
                <w:ilvl w:val="1"/>
                <w:numId w:val="153"/>
              </w:numPr>
              <w:spacing w:before="60" w:after="60"/>
              <w:jc w:val="left"/>
              <w:rPr>
                <w:lang w:val="sl-SI"/>
              </w:rPr>
            </w:pPr>
            <w:r w:rsidRPr="001048FE">
              <w:rPr>
                <w:lang w:val="sl-SI"/>
              </w:rPr>
              <w:t>na študente in učeče se, ki imajo koristi od ukrepa Jean Monnet;</w:t>
            </w:r>
          </w:p>
          <w:p w14:paraId="7D399E7C" w14:textId="77777777" w:rsidR="00E03711" w:rsidRPr="001048FE" w:rsidRDefault="00E03711" w:rsidP="005115F2">
            <w:pPr>
              <w:pStyle w:val="Guide-ListDash"/>
              <w:numPr>
                <w:ilvl w:val="1"/>
                <w:numId w:val="153"/>
              </w:numPr>
              <w:spacing w:before="60" w:after="60"/>
              <w:jc w:val="left"/>
              <w:rPr>
                <w:lang w:val="sl-SI"/>
              </w:rPr>
            </w:pPr>
            <w:r w:rsidRPr="001048FE">
              <w:rPr>
                <w:lang w:val="sl-SI"/>
              </w:rPr>
              <w:t>na druge organizacije in posameznike, ki so vključeni na lokalni, regionalni, nacionalni in/ali evropski ravni</w:t>
            </w:r>
            <w:r>
              <w:rPr>
                <w:lang w:val="sl-SI"/>
              </w:rPr>
              <w:t>.</w:t>
            </w:r>
          </w:p>
          <w:p w14:paraId="7D399E7D" w14:textId="77777777" w:rsidR="00E03711" w:rsidRDefault="00E03711" w:rsidP="005115F2">
            <w:pPr>
              <w:pStyle w:val="Guide-NormalBulletpoints"/>
              <w:numPr>
                <w:ilvl w:val="0"/>
                <w:numId w:val="150"/>
              </w:numPr>
              <w:spacing w:before="60"/>
              <w:jc w:val="left"/>
              <w:rPr>
                <w:lang w:val="sl-SI"/>
              </w:rPr>
            </w:pPr>
            <w:r w:rsidRPr="00D10C38">
              <w:rPr>
                <w:b/>
                <w:bCs/>
                <w:lang w:val="sl-SI"/>
              </w:rPr>
              <w:t>ustreznost in kakovost ukrepov</w:t>
            </w:r>
            <w:r w:rsidRPr="001048FE">
              <w:rPr>
                <w:lang w:val="sl-SI"/>
              </w:rPr>
              <w:t>, katerih cilj je razširjanje rezultatov aktivnosti na instituciji, ki gosti ukrep Jean Monnet, in drugod;</w:t>
            </w:r>
          </w:p>
          <w:p w14:paraId="7D399E7E" w14:textId="77777777" w:rsidR="00E03711" w:rsidRDefault="00E03711" w:rsidP="005115F2">
            <w:pPr>
              <w:pStyle w:val="Guide-NormalBulletpoints"/>
              <w:numPr>
                <w:ilvl w:val="1"/>
                <w:numId w:val="150"/>
              </w:numPr>
              <w:spacing w:before="60"/>
              <w:jc w:val="left"/>
              <w:rPr>
                <w:lang w:val="sl-SI"/>
              </w:rPr>
            </w:pPr>
            <w:r>
              <w:rPr>
                <w:lang w:val="sl-SI"/>
              </w:rPr>
              <w:t>širjenje novic;</w:t>
            </w:r>
          </w:p>
          <w:p w14:paraId="7D399E7F" w14:textId="77777777" w:rsidR="00E03711" w:rsidRDefault="00E03711" w:rsidP="005115F2">
            <w:pPr>
              <w:pStyle w:val="Guide-NormalBulletpoints"/>
              <w:numPr>
                <w:ilvl w:val="1"/>
                <w:numId w:val="150"/>
              </w:numPr>
              <w:spacing w:before="60"/>
              <w:jc w:val="left"/>
              <w:rPr>
                <w:lang w:val="sl-SI"/>
              </w:rPr>
            </w:pPr>
            <w:r>
              <w:rPr>
                <w:lang w:val="sl-SI"/>
              </w:rPr>
              <w:t>ozaveščanje o projektih in rezultatih, krepitev vidnosti udeležencev in organizacij;</w:t>
            </w:r>
          </w:p>
          <w:p w14:paraId="7D399E80" w14:textId="77777777" w:rsidR="00E03711" w:rsidRDefault="00E03711" w:rsidP="005115F2">
            <w:pPr>
              <w:pStyle w:val="Guide-NormalBulletpoints"/>
              <w:numPr>
                <w:ilvl w:val="1"/>
                <w:numId w:val="150"/>
              </w:numPr>
              <w:spacing w:before="60"/>
              <w:jc w:val="left"/>
              <w:rPr>
                <w:lang w:val="sl-SI"/>
              </w:rPr>
            </w:pPr>
            <w:r>
              <w:rPr>
                <w:lang w:val="sl-SI"/>
              </w:rPr>
              <w:t>navezovanje stikov s skupinami zunaj institucij visokošolskega izobraževanja;</w:t>
            </w:r>
          </w:p>
          <w:p w14:paraId="7D399E81" w14:textId="77777777" w:rsidR="00E03711" w:rsidRPr="003B5459" w:rsidRDefault="00E03711" w:rsidP="005115F2">
            <w:pPr>
              <w:pStyle w:val="Guide-NormalBulletpoints"/>
              <w:numPr>
                <w:ilvl w:val="1"/>
                <w:numId w:val="150"/>
              </w:numPr>
              <w:spacing w:before="60"/>
              <w:jc w:val="left"/>
              <w:rPr>
                <w:lang w:val="sl-SI"/>
              </w:rPr>
            </w:pPr>
            <w:r>
              <w:rPr>
                <w:lang w:val="sl-SI"/>
              </w:rPr>
              <w:t>prenosljivost in prevod v nove politike ter izboljšane prakse.</w:t>
            </w:r>
          </w:p>
          <w:p w14:paraId="7D399E82" w14:textId="77777777" w:rsidR="00E03711" w:rsidRDefault="00E03711" w:rsidP="005115F2">
            <w:pPr>
              <w:pStyle w:val="Guide-NormalBulletpoints"/>
              <w:numPr>
                <w:ilvl w:val="0"/>
                <w:numId w:val="150"/>
              </w:numPr>
              <w:spacing w:before="60"/>
              <w:jc w:val="left"/>
              <w:rPr>
                <w:lang w:val="sl-SI"/>
              </w:rPr>
            </w:pPr>
            <w:r w:rsidRPr="000A1737">
              <w:rPr>
                <w:b/>
                <w:bCs/>
                <w:lang w:val="sl-SI"/>
              </w:rPr>
              <w:t>v kolikšni meri</w:t>
            </w:r>
            <w:r>
              <w:rPr>
                <w:lang w:val="sl-SI"/>
              </w:rPr>
              <w:t xml:space="preserve"> bodo predvidena orodja za razširjanje dosegla ciljno občinstvo preko:</w:t>
            </w:r>
          </w:p>
          <w:p w14:paraId="7D399E83" w14:textId="77777777" w:rsidR="00E03711" w:rsidRDefault="00E03711" w:rsidP="005115F2">
            <w:pPr>
              <w:pStyle w:val="Guide-NormalBulletpoints"/>
              <w:numPr>
                <w:ilvl w:val="1"/>
                <w:numId w:val="150"/>
              </w:numPr>
              <w:spacing w:before="60"/>
              <w:jc w:val="left"/>
              <w:rPr>
                <w:lang w:val="sl-SI"/>
              </w:rPr>
            </w:pPr>
            <w:r>
              <w:rPr>
                <w:lang w:val="sl-SI"/>
              </w:rPr>
              <w:t>izpostavljenosti medijem (vključno z družbenimi mediji, publikacijami itd.);</w:t>
            </w:r>
          </w:p>
          <w:p w14:paraId="7D399E84" w14:textId="77777777" w:rsidR="00E03711" w:rsidRDefault="00E03711" w:rsidP="005115F2">
            <w:pPr>
              <w:pStyle w:val="Guide-NormalBulletpoints"/>
              <w:numPr>
                <w:ilvl w:val="1"/>
                <w:numId w:val="150"/>
              </w:numPr>
              <w:spacing w:before="60"/>
              <w:jc w:val="left"/>
              <w:rPr>
                <w:lang w:val="sl-SI"/>
              </w:rPr>
            </w:pPr>
            <w:r>
              <w:rPr>
                <w:lang w:val="sl-SI"/>
              </w:rPr>
              <w:t>prireditev;</w:t>
            </w:r>
          </w:p>
          <w:p w14:paraId="7D399E85" w14:textId="77777777" w:rsidR="00E03711" w:rsidRDefault="00E03711" w:rsidP="005115F2">
            <w:pPr>
              <w:pStyle w:val="Guide-NormalBulletpoints"/>
              <w:numPr>
                <w:ilvl w:val="1"/>
                <w:numId w:val="150"/>
              </w:numPr>
              <w:spacing w:before="60"/>
              <w:jc w:val="left"/>
              <w:rPr>
                <w:lang w:val="sl-SI"/>
              </w:rPr>
            </w:pPr>
            <w:r>
              <w:rPr>
                <w:lang w:val="sl-SI"/>
              </w:rPr>
              <w:t>tečajev usposabljanja;</w:t>
            </w:r>
          </w:p>
          <w:p w14:paraId="7D399E86" w14:textId="77777777" w:rsidR="00E03711" w:rsidRPr="001048FE" w:rsidRDefault="00E03711" w:rsidP="005115F2">
            <w:pPr>
              <w:pStyle w:val="Guide-NormalBulletpoints"/>
              <w:numPr>
                <w:ilvl w:val="1"/>
                <w:numId w:val="150"/>
              </w:numPr>
              <w:spacing w:before="60"/>
              <w:jc w:val="left"/>
              <w:rPr>
                <w:lang w:val="sl-SI"/>
              </w:rPr>
            </w:pPr>
            <w:r w:rsidRPr="009B07B9">
              <w:rPr>
                <w:lang w:val="sl-SI"/>
              </w:rPr>
              <w:t>uporabe novih tehnologij (večpredstavnostna orodja), vključno z odprtimi izobraževalnimi viri (OER).</w:t>
            </w:r>
          </w:p>
        </w:tc>
      </w:tr>
    </w:tbl>
    <w:p w14:paraId="7D399E88" w14:textId="77777777" w:rsidR="00E03711" w:rsidRPr="001048FE" w:rsidRDefault="00E03711" w:rsidP="006D509B">
      <w:pPr>
        <w:pStyle w:val="GUIDE-NORMAL"/>
        <w:rPr>
          <w:lang w:val="sl-SI"/>
        </w:rPr>
      </w:pPr>
      <w:r w:rsidRPr="001048FE">
        <w:rPr>
          <w:lang w:val="sl-SI"/>
        </w:rPr>
        <w:t>Za</w:t>
      </w:r>
      <w:r w:rsidRPr="001048FE">
        <w:rPr>
          <w:spacing w:val="-16"/>
          <w:lang w:val="sl-SI"/>
        </w:rPr>
        <w:t xml:space="preserve"> </w:t>
      </w:r>
      <w:r w:rsidRPr="001048FE">
        <w:rPr>
          <w:lang w:val="sl-SI"/>
        </w:rPr>
        <w:t>upoštevanje</w:t>
      </w:r>
      <w:r w:rsidRPr="001048FE">
        <w:rPr>
          <w:spacing w:val="-16"/>
          <w:lang w:val="sl-SI"/>
        </w:rPr>
        <w:t xml:space="preserve"> </w:t>
      </w:r>
      <w:r w:rsidRPr="001048FE">
        <w:rPr>
          <w:lang w:val="sl-SI"/>
        </w:rPr>
        <w:t>pri</w:t>
      </w:r>
      <w:r w:rsidRPr="001048FE">
        <w:rPr>
          <w:spacing w:val="-16"/>
          <w:lang w:val="sl-SI"/>
        </w:rPr>
        <w:t xml:space="preserve"> </w:t>
      </w:r>
      <w:r w:rsidRPr="001048FE">
        <w:rPr>
          <w:lang w:val="sl-SI"/>
        </w:rPr>
        <w:t>dodeljevanju</w:t>
      </w:r>
      <w:r w:rsidRPr="001048FE">
        <w:rPr>
          <w:spacing w:val="-16"/>
          <w:lang w:val="sl-SI"/>
        </w:rPr>
        <w:t xml:space="preserve"> </w:t>
      </w:r>
      <w:r w:rsidRPr="001048FE">
        <w:rPr>
          <w:lang w:val="sl-SI"/>
        </w:rPr>
        <w:t>sredstev</w:t>
      </w:r>
      <w:r w:rsidRPr="001048FE">
        <w:rPr>
          <w:spacing w:val="-16"/>
          <w:lang w:val="sl-SI"/>
        </w:rPr>
        <w:t xml:space="preserve"> </w:t>
      </w:r>
      <w:r w:rsidRPr="001048FE">
        <w:rPr>
          <w:lang w:val="sl-SI"/>
        </w:rPr>
        <w:t>morajo</w:t>
      </w:r>
      <w:r w:rsidRPr="001048FE">
        <w:rPr>
          <w:spacing w:val="-16"/>
          <w:lang w:val="sl-SI"/>
        </w:rPr>
        <w:t xml:space="preserve"> </w:t>
      </w:r>
      <w:r w:rsidRPr="001048FE">
        <w:rPr>
          <w:lang w:val="sl-SI"/>
        </w:rPr>
        <w:t>predlogi</w:t>
      </w:r>
      <w:r w:rsidRPr="001048FE">
        <w:rPr>
          <w:spacing w:val="-16"/>
          <w:lang w:val="sl-SI"/>
        </w:rPr>
        <w:t xml:space="preserve"> </w:t>
      </w:r>
      <w:r w:rsidRPr="001048FE">
        <w:rPr>
          <w:lang w:val="sl-SI"/>
        </w:rPr>
        <w:t>doseči</w:t>
      </w:r>
      <w:r w:rsidRPr="001048FE">
        <w:rPr>
          <w:spacing w:val="-16"/>
          <w:lang w:val="sl-SI"/>
        </w:rPr>
        <w:t xml:space="preserve"> </w:t>
      </w:r>
      <w:r w:rsidRPr="001048FE">
        <w:rPr>
          <w:lang w:val="sl-SI"/>
        </w:rPr>
        <w:t>vsaj</w:t>
      </w:r>
      <w:r w:rsidRPr="001048FE">
        <w:rPr>
          <w:spacing w:val="-16"/>
          <w:lang w:val="sl-SI"/>
        </w:rPr>
        <w:t xml:space="preserve"> </w:t>
      </w:r>
      <w:r w:rsidRPr="001048FE">
        <w:rPr>
          <w:lang w:val="sl-SI"/>
        </w:rPr>
        <w:t>60</w:t>
      </w:r>
      <w:r w:rsidRPr="001048FE">
        <w:rPr>
          <w:spacing w:val="-16"/>
          <w:lang w:val="sl-SI"/>
        </w:rPr>
        <w:t xml:space="preserve"> </w:t>
      </w:r>
      <w:r w:rsidRPr="001048FE">
        <w:rPr>
          <w:lang w:val="sl-SI"/>
        </w:rPr>
        <w:t>točk.</w:t>
      </w:r>
      <w:r w:rsidRPr="001048FE">
        <w:rPr>
          <w:spacing w:val="-16"/>
          <w:lang w:val="sl-SI"/>
        </w:rPr>
        <w:t xml:space="preserve"> </w:t>
      </w:r>
      <w:r w:rsidRPr="001048FE">
        <w:rPr>
          <w:lang w:val="sl-SI"/>
        </w:rPr>
        <w:t>Poleg</w:t>
      </w:r>
      <w:r w:rsidRPr="001048FE">
        <w:rPr>
          <w:spacing w:val="-16"/>
          <w:lang w:val="sl-SI"/>
        </w:rPr>
        <w:t xml:space="preserve"> </w:t>
      </w:r>
      <w:r w:rsidRPr="001048FE">
        <w:rPr>
          <w:lang w:val="sl-SI"/>
        </w:rPr>
        <w:t>tega</w:t>
      </w:r>
      <w:r w:rsidRPr="001048FE">
        <w:rPr>
          <w:spacing w:val="-16"/>
          <w:lang w:val="sl-SI"/>
        </w:rPr>
        <w:t xml:space="preserve"> </w:t>
      </w:r>
      <w:r w:rsidRPr="001048FE">
        <w:rPr>
          <w:lang w:val="sl-SI"/>
        </w:rPr>
        <w:t>morajo doseči vsaj 13 točk v vsaki od navedenih kategorij meril za</w:t>
      </w:r>
      <w:r w:rsidRPr="001048FE">
        <w:rPr>
          <w:spacing w:val="-40"/>
          <w:lang w:val="sl-SI"/>
        </w:rPr>
        <w:t xml:space="preserve"> </w:t>
      </w:r>
      <w:r w:rsidRPr="001048FE">
        <w:rPr>
          <w:lang w:val="sl-SI"/>
        </w:rPr>
        <w:t>dodelitev.</w:t>
      </w:r>
    </w:p>
    <w:p w14:paraId="7D399E89" w14:textId="77777777" w:rsidR="00E03711" w:rsidRPr="001048FE" w:rsidRDefault="00E03711" w:rsidP="006D509B">
      <w:pPr>
        <w:pStyle w:val="Guide-Heading4"/>
        <w:rPr>
          <w:lang w:val="sl-SI"/>
        </w:rPr>
      </w:pPr>
      <w:bookmarkStart w:id="319" w:name="_Toc527401192"/>
      <w:r w:rsidRPr="001048FE">
        <w:rPr>
          <w:lang w:val="sl-SI"/>
        </w:rPr>
        <w:t>Kaj je še treba vedeti o podpori Jean Monnet za združenja?</w:t>
      </w:r>
      <w:bookmarkEnd w:id="319"/>
    </w:p>
    <w:p w14:paraId="7D399E8A" w14:textId="77777777" w:rsidR="00E03711" w:rsidRPr="001048FE" w:rsidRDefault="00E03711" w:rsidP="006D509B">
      <w:pPr>
        <w:pStyle w:val="Guide-Heading5"/>
        <w:rPr>
          <w:lang w:val="sl-SI"/>
        </w:rPr>
      </w:pPr>
      <w:r w:rsidRPr="001048FE">
        <w:rPr>
          <w:lang w:val="sl-SI"/>
        </w:rPr>
        <w:t>Učinek in razširjanje</w:t>
      </w:r>
    </w:p>
    <w:p w14:paraId="7D399E8B" w14:textId="77777777" w:rsidR="00E03711" w:rsidRPr="001048FE" w:rsidRDefault="00E03711" w:rsidP="006D509B">
      <w:pPr>
        <w:pStyle w:val="GUIDE-NORMAL"/>
        <w:rPr>
          <w:lang w:val="sl-SI"/>
        </w:rPr>
      </w:pPr>
      <w:r w:rsidRPr="001048FE">
        <w:rPr>
          <w:lang w:val="sl-SI"/>
        </w:rPr>
        <w:t>Združenja, izbrana v okviru tega ukrepa, morajo razširjati in uporabiti rezultate svojih promocijskih aktivnosti tudi zunaj kroga neposredno vključenih deležnikov. To bo znatno okrepilo učinek in prispevalo k sistemski spremembi.</w:t>
      </w:r>
    </w:p>
    <w:p w14:paraId="7D399E8C" w14:textId="77777777" w:rsidR="00E03711" w:rsidRPr="001048FE" w:rsidRDefault="00E03711" w:rsidP="006D509B">
      <w:pPr>
        <w:pStyle w:val="GUIDE-NORMAL"/>
        <w:rPr>
          <w:lang w:val="sl-SI"/>
        </w:rPr>
      </w:pPr>
      <w:r w:rsidRPr="001048FE">
        <w:rPr>
          <w:lang w:val="sl-SI"/>
        </w:rPr>
        <w:t>Za okrepitev učinka bi v svoje aktivnosti razširjanja morala vključiti ustvarjanje in zagotavljanje prosto dostopnih učnih virov (PDUV) ter aktivnosti odprtega izobraževanja za odzivanje na tehnološki napredek. To bo spodbudilo bolj prilagodljive in ustvarjalne načine učenja ter doseglo vedno večje število študentov, strokovnjakov, oblikovalcev politik in drugih zainteresiranih skupin.</w:t>
      </w:r>
    </w:p>
    <w:p w14:paraId="7D399E8D" w14:textId="77777777" w:rsidR="00E03711" w:rsidRPr="001048FE" w:rsidRDefault="00E03711" w:rsidP="006D509B">
      <w:pPr>
        <w:pStyle w:val="GUIDE-NORMAL"/>
        <w:rPr>
          <w:lang w:val="sl-SI"/>
        </w:rPr>
      </w:pPr>
      <w:r w:rsidRPr="001048FE">
        <w:rPr>
          <w:lang w:val="sl-SI"/>
        </w:rPr>
        <w:t>Vsa združenja, ki jim bodo dodeljena nepovratna sredstva programa Jean Monnet, bodo morala zagotoviti posodabljanje svojega razdelka v spletnem orodju za program Erasmus+, kjer bodo na voljo vse informacije o aktivnostih programa Jean Monnet. Projekti se bodo močno spodbujali k uporabi ustreznih obstoječih platform in orodij (tj. imenik projektov Jean Monnet, virtualna skupnost Jean Monnet). Z izvajanjem teh nalog, ki so del splošnega orodja informacijske tehnologije za Erasmus+, se bo zagotovilo, da bo širša javnost obveščena o združenjih in njihovih aktivnostih Jean Monnet. Prejemniki nepovratnih sredstev bodo morali zagotoviti redno posodabljanje orodja z rezultati svojega</w:t>
      </w:r>
      <w:r w:rsidRPr="001048FE">
        <w:rPr>
          <w:spacing w:val="2"/>
          <w:lang w:val="sl-SI"/>
        </w:rPr>
        <w:t xml:space="preserve"> </w:t>
      </w:r>
      <w:r w:rsidRPr="001048FE">
        <w:rPr>
          <w:lang w:val="sl-SI"/>
        </w:rPr>
        <w:t>dela.</w:t>
      </w:r>
    </w:p>
    <w:p w14:paraId="7D399E8E" w14:textId="77777777" w:rsidR="00E03711" w:rsidRDefault="00E03711" w:rsidP="006D509B">
      <w:pPr>
        <w:pStyle w:val="GUIDE-NORMAL"/>
        <w:rPr>
          <w:lang w:val="sl-SI"/>
        </w:rPr>
        <w:sectPr w:rsidR="00E03711" w:rsidSect="00E15ED3">
          <w:headerReference w:type="even" r:id="rId125"/>
          <w:headerReference w:type="default" r:id="rId126"/>
          <w:endnotePr>
            <w:numFmt w:val="decimal"/>
          </w:endnotePr>
          <w:pgSz w:w="11910" w:h="16840" w:code="9"/>
          <w:pgMar w:top="1134" w:right="1418" w:bottom="1134" w:left="1418" w:header="284" w:footer="567" w:gutter="0"/>
          <w:cols w:space="720"/>
          <w:docGrid w:linePitch="326"/>
        </w:sectPr>
      </w:pPr>
    </w:p>
    <w:p w14:paraId="7D399E8F" w14:textId="77777777" w:rsidR="00E03711" w:rsidRPr="001048FE" w:rsidRDefault="00E03711" w:rsidP="006D509B">
      <w:pPr>
        <w:pStyle w:val="GUIDE-NORMAL"/>
        <w:rPr>
          <w:lang w:val="sl-SI"/>
        </w:rPr>
      </w:pPr>
      <w:r w:rsidRPr="001048FE">
        <w:rPr>
          <w:lang w:val="sl-SI"/>
        </w:rPr>
        <w:t>Če je projekt izbran, veljajo naslednja pravila za dodelitev nepovratnih sredstev:</w:t>
      </w:r>
    </w:p>
    <w:p w14:paraId="7D399E90" w14:textId="77777777" w:rsidR="00E03711" w:rsidRPr="001048FE" w:rsidRDefault="00E03711" w:rsidP="00BB3FBE">
      <w:pPr>
        <w:pStyle w:val="Guide-Heading5"/>
        <w:rPr>
          <w:lang w:val="sl-SI"/>
        </w:rPr>
      </w:pPr>
      <w:r w:rsidRPr="001048FE">
        <w:rPr>
          <w:lang w:val="sl-SI"/>
        </w:rPr>
        <w:t>Podpora Jean Monnet za združenja</w:t>
      </w:r>
      <w:bookmarkStart w:id="320" w:name="Soutien_à_des_associations_Jean_Monnet"/>
      <w:bookmarkEnd w:id="320"/>
    </w:p>
    <w:tbl>
      <w:tblPr>
        <w:tblW w:w="5000" w:type="pct"/>
        <w:tblLayout w:type="fixed"/>
        <w:tblLook w:val="0000" w:firstRow="0" w:lastRow="0" w:firstColumn="0" w:lastColumn="0" w:noHBand="0" w:noVBand="0"/>
      </w:tblPr>
      <w:tblGrid>
        <w:gridCol w:w="1668"/>
        <w:gridCol w:w="6650"/>
        <w:gridCol w:w="2082"/>
        <w:gridCol w:w="2313"/>
        <w:gridCol w:w="2075"/>
      </w:tblGrid>
      <w:tr w:rsidR="00E03711" w:rsidRPr="008C6F8C" w14:paraId="7D399E95" w14:textId="77777777" w:rsidTr="00B37EC0">
        <w:trPr>
          <w:trHeight w:val="20"/>
        </w:trPr>
        <w:tc>
          <w:tcPr>
            <w:tcW w:w="50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9E91" w14:textId="77777777" w:rsidR="00E03711" w:rsidRPr="00F769E0" w:rsidRDefault="00E03711" w:rsidP="00A13051">
            <w:pPr>
              <w:pStyle w:val="GUIDE-NORMAL"/>
              <w:spacing w:beforeLines="60" w:before="144" w:afterLines="60" w:after="144"/>
              <w:jc w:val="center"/>
              <w:rPr>
                <w:rFonts w:cs="Tahoma"/>
                <w:b/>
                <w:lang w:val="sl-SI" w:eastAsia="en-GB"/>
              </w:rPr>
            </w:pPr>
            <w:r w:rsidRPr="00F769E0">
              <w:rPr>
                <w:rFonts w:cs="Tahoma"/>
                <w:b/>
                <w:lang w:val="sl-SI" w:eastAsia="en-GB"/>
              </w:rPr>
              <w:t>Upravičeni stroški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E92" w14:textId="77777777" w:rsidR="00E03711" w:rsidRPr="00F769E0" w:rsidRDefault="00E03711" w:rsidP="00A13051">
            <w:pPr>
              <w:pStyle w:val="GUIDE-NORMAL"/>
              <w:spacing w:beforeLines="60" w:before="144" w:afterLines="60" w:after="144"/>
              <w:jc w:val="center"/>
              <w:rPr>
                <w:rFonts w:cs="Tahoma"/>
                <w:b/>
                <w:lang w:val="sl-SI" w:eastAsia="en-GB"/>
              </w:rPr>
            </w:pPr>
            <w:r w:rsidRPr="00F769E0">
              <w:rPr>
                <w:rFonts w:cs="Tahoma"/>
                <w:b/>
                <w:lang w:val="sl-SI" w:eastAsia="en-GB"/>
              </w:rPr>
              <w:t>Mehanizem financiranja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E93" w14:textId="77777777" w:rsidR="00E03711" w:rsidRPr="00F769E0" w:rsidRDefault="00E03711" w:rsidP="00A13051">
            <w:pPr>
              <w:pStyle w:val="GUIDE-NORMAL"/>
              <w:spacing w:beforeLines="60" w:before="144" w:afterLines="60" w:after="144"/>
              <w:jc w:val="center"/>
              <w:rPr>
                <w:rFonts w:cs="Tahoma"/>
                <w:b/>
                <w:lang w:val="sl-SI" w:eastAsia="en-GB"/>
              </w:rPr>
            </w:pPr>
            <w:r w:rsidRPr="00F769E0">
              <w:rPr>
                <w:rFonts w:cs="Tahoma"/>
                <w:b/>
                <w:lang w:val="sl-SI" w:eastAsia="en-GB"/>
              </w:rPr>
              <w:t>Znesek</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E94" w14:textId="77777777" w:rsidR="00E03711" w:rsidRPr="00F769E0" w:rsidRDefault="00E03711" w:rsidP="00A13051">
            <w:pPr>
              <w:pStyle w:val="GUIDE-NORMAL"/>
              <w:spacing w:beforeLines="60" w:before="144" w:afterLines="60" w:after="144"/>
              <w:jc w:val="center"/>
              <w:rPr>
                <w:rFonts w:cs="Tahoma"/>
                <w:b/>
                <w:lang w:val="sl-SI" w:eastAsia="en-GB"/>
              </w:rPr>
            </w:pPr>
            <w:r w:rsidRPr="00F769E0">
              <w:rPr>
                <w:rFonts w:cs="Tahoma"/>
                <w:b/>
                <w:lang w:val="sl-SI" w:eastAsia="en-GB"/>
              </w:rPr>
              <w:t>Pravilo dodelitve</w:t>
            </w:r>
          </w:p>
        </w:tc>
      </w:tr>
      <w:tr w:rsidR="00E03711" w:rsidRPr="00C60205" w14:paraId="7D399EA3" w14:textId="77777777" w:rsidTr="00B37EC0">
        <w:trPr>
          <w:trHeight w:val="20"/>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E96" w14:textId="77777777" w:rsidR="00E03711" w:rsidRPr="00F769E0" w:rsidRDefault="00E03711" w:rsidP="00BB3FBE">
            <w:pPr>
              <w:pStyle w:val="GUIDE-NORMAL"/>
              <w:spacing w:before="60" w:after="60"/>
              <w:jc w:val="left"/>
              <w:rPr>
                <w:rFonts w:cs="Tahoma"/>
                <w:b/>
                <w:lang w:val="sl-SI" w:eastAsia="en-GB"/>
              </w:rPr>
            </w:pPr>
            <w:r w:rsidRPr="00F769E0">
              <w:rPr>
                <w:rFonts w:cs="Tahoma"/>
                <w:b/>
                <w:lang w:val="sl-SI" w:eastAsia="en-GB"/>
              </w:rPr>
              <w:t>Stroški aktivnosti</w:t>
            </w:r>
          </w:p>
        </w:tc>
        <w:tc>
          <w:tcPr>
            <w:tcW w:w="40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E97" w14:textId="77777777" w:rsidR="00E03711" w:rsidRPr="00F769E0" w:rsidRDefault="00E03711" w:rsidP="00BB3FBE">
            <w:pPr>
              <w:pStyle w:val="GUIDE-NORMAL"/>
              <w:spacing w:before="60" w:after="60"/>
              <w:jc w:val="left"/>
              <w:rPr>
                <w:rFonts w:cs="Tahoma"/>
                <w:lang w:val="sl-SI" w:eastAsia="en-GB"/>
              </w:rPr>
            </w:pPr>
            <w:r w:rsidRPr="00F769E0">
              <w:rPr>
                <w:rFonts w:cs="Tahoma"/>
                <w:lang w:val="sl-SI" w:eastAsia="en-GB"/>
              </w:rPr>
              <w:t>Upravičeni neposredni stroški:</w:t>
            </w:r>
          </w:p>
          <w:p w14:paraId="7D399E98" w14:textId="77777777" w:rsidR="00E03711" w:rsidRPr="001048FE" w:rsidRDefault="00E03711" w:rsidP="005115F2">
            <w:pPr>
              <w:pStyle w:val="Guide-NormalBulletpoints"/>
              <w:numPr>
                <w:ilvl w:val="0"/>
                <w:numId w:val="488"/>
              </w:numPr>
              <w:spacing w:before="60"/>
              <w:jc w:val="left"/>
              <w:rPr>
                <w:lang w:val="sl-SI"/>
              </w:rPr>
            </w:pPr>
            <w:r w:rsidRPr="001048FE">
              <w:rPr>
                <w:lang w:val="sl-SI"/>
              </w:rPr>
              <w:t>stroški osebja;</w:t>
            </w:r>
          </w:p>
          <w:p w14:paraId="7D399E99" w14:textId="77777777" w:rsidR="00E03711" w:rsidRPr="001048FE" w:rsidRDefault="00E03711" w:rsidP="005115F2">
            <w:pPr>
              <w:pStyle w:val="Guide-NormalBulletpoints"/>
              <w:numPr>
                <w:ilvl w:val="0"/>
                <w:numId w:val="488"/>
              </w:numPr>
              <w:spacing w:before="60"/>
              <w:jc w:val="left"/>
              <w:rPr>
                <w:lang w:val="sl-SI"/>
              </w:rPr>
            </w:pPr>
            <w:r w:rsidRPr="001048FE">
              <w:rPr>
                <w:lang w:val="sl-SI"/>
              </w:rPr>
              <w:t>potni stroški in stroški bivanja;</w:t>
            </w:r>
          </w:p>
          <w:p w14:paraId="7D399E9A" w14:textId="77777777" w:rsidR="00E03711" w:rsidRPr="001048FE" w:rsidRDefault="00E03711" w:rsidP="005115F2">
            <w:pPr>
              <w:pStyle w:val="Guide-NormalBulletpoints"/>
              <w:numPr>
                <w:ilvl w:val="0"/>
                <w:numId w:val="488"/>
              </w:numPr>
              <w:spacing w:before="60"/>
              <w:jc w:val="left"/>
              <w:rPr>
                <w:lang w:val="sl-SI"/>
              </w:rPr>
            </w:pPr>
            <w:r w:rsidRPr="001048FE">
              <w:rPr>
                <w:lang w:val="sl-SI"/>
              </w:rPr>
              <w:t>stroški oddaje naročil podizvajalcem (največ 30 % upravičenih neposrednih stroškov);</w:t>
            </w:r>
          </w:p>
          <w:p w14:paraId="7D399E9B" w14:textId="77777777" w:rsidR="00E03711" w:rsidRPr="001048FE" w:rsidRDefault="00E03711" w:rsidP="005115F2">
            <w:pPr>
              <w:pStyle w:val="Guide-NormalBulletpoints"/>
              <w:numPr>
                <w:ilvl w:val="0"/>
                <w:numId w:val="488"/>
              </w:numPr>
              <w:spacing w:before="60"/>
              <w:jc w:val="left"/>
              <w:rPr>
                <w:lang w:val="sl-SI"/>
              </w:rPr>
            </w:pPr>
            <w:r w:rsidRPr="001048FE">
              <w:rPr>
                <w:lang w:val="sl-SI"/>
              </w:rPr>
              <w:t>stroški opreme (največ 10 % upravičenih neposrednih stroškov);</w:t>
            </w:r>
          </w:p>
          <w:p w14:paraId="7D399E9C" w14:textId="77777777" w:rsidR="00E03711" w:rsidRPr="001048FE" w:rsidRDefault="00E03711" w:rsidP="005115F2">
            <w:pPr>
              <w:pStyle w:val="Guide-NormalBulletpoints"/>
              <w:numPr>
                <w:ilvl w:val="0"/>
                <w:numId w:val="488"/>
              </w:numPr>
              <w:spacing w:before="60"/>
              <w:jc w:val="left"/>
              <w:rPr>
                <w:lang w:val="sl-SI"/>
              </w:rPr>
            </w:pPr>
            <w:r w:rsidRPr="001048FE">
              <w:rPr>
                <w:lang w:val="sl-SI"/>
              </w:rPr>
              <w:t>drugi stroški (vključno s stroški za obvezno finančno revizijo/revizijsko potrdilo).</w:t>
            </w:r>
          </w:p>
          <w:p w14:paraId="7D399E9D" w14:textId="77777777" w:rsidR="00E03711" w:rsidRPr="00F769E0" w:rsidRDefault="00E03711" w:rsidP="00BB3FBE">
            <w:pPr>
              <w:pStyle w:val="GUIDE-NORMAL"/>
              <w:spacing w:before="60" w:after="60"/>
              <w:jc w:val="left"/>
              <w:rPr>
                <w:rFonts w:cs="Tahoma"/>
                <w:lang w:val="sl-SI" w:eastAsia="en-GB"/>
              </w:rPr>
            </w:pPr>
            <w:r w:rsidRPr="00F769E0">
              <w:rPr>
                <w:rFonts w:cs="Tahoma"/>
                <w:lang w:val="sl-SI" w:eastAsia="en-GB"/>
              </w:rPr>
              <w:t xml:space="preserve">Upravičeni posredni stroški: </w:t>
            </w:r>
          </w:p>
          <w:p w14:paraId="7D399E9E" w14:textId="77777777" w:rsidR="00E03711" w:rsidRPr="00F769E0" w:rsidRDefault="00E03711" w:rsidP="00BB3FBE">
            <w:pPr>
              <w:pStyle w:val="GUIDE-NORMAL"/>
              <w:spacing w:before="60" w:after="60"/>
              <w:jc w:val="left"/>
              <w:rPr>
                <w:rFonts w:cs="Tahoma"/>
                <w:lang w:val="sl-SI" w:eastAsia="en-GB"/>
              </w:rPr>
            </w:pPr>
            <w:r w:rsidRPr="00FC4A70">
              <w:rPr>
                <w:rFonts w:eastAsia="Calibri" w:cs="Calibri"/>
                <w:bdr w:val="nil"/>
                <w:shd w:val="clear" w:color="auto" w:fill="auto"/>
                <w:lang w:val="sl-SI"/>
              </w:rPr>
              <w:t>Pavšalni znesek, ki ne presega 7 % upravičenih neposrednih stroškov projekta, je upravičen v okviru posrednih stroškov in predstavlja splošne administrativne stroške upravičenca, ki niso že zdaj kriti iz upravičenih neposrednih stroškov (npr. računi za elektriko ali internet, stroški prostorov itd.), a jih je mogoče obračunati pri projektu.</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E9F" w14:textId="77777777" w:rsidR="00E03711" w:rsidRPr="00F769E0" w:rsidRDefault="00E03711" w:rsidP="00BB3FBE">
            <w:pPr>
              <w:pStyle w:val="GUIDE-NORMAL"/>
              <w:spacing w:before="60" w:after="60"/>
              <w:jc w:val="left"/>
              <w:rPr>
                <w:rFonts w:cs="Tahoma"/>
                <w:lang w:val="sl-SI" w:eastAsia="en-GB"/>
              </w:rPr>
            </w:pPr>
            <w:r w:rsidRPr="00F769E0">
              <w:rPr>
                <w:rFonts w:cs="Tahoma"/>
                <w:lang w:val="sl-SI" w:eastAsia="en-GB"/>
              </w:rPr>
              <w:t>Dejanski stroški</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EA0" w14:textId="77777777" w:rsidR="00E03711" w:rsidRPr="00F769E0" w:rsidRDefault="00E03711" w:rsidP="00BB3FBE">
            <w:pPr>
              <w:pStyle w:val="GUIDE-NORMAL"/>
              <w:spacing w:before="60" w:after="60"/>
              <w:jc w:val="left"/>
              <w:rPr>
                <w:rFonts w:cs="Tahoma"/>
                <w:lang w:val="sl-SI" w:eastAsia="en-GB"/>
              </w:rPr>
            </w:pPr>
            <w:r w:rsidRPr="00F769E0">
              <w:rPr>
                <w:rFonts w:cs="Tahoma"/>
                <w:lang w:val="sl-SI" w:eastAsia="en-GB"/>
              </w:rPr>
              <w:t xml:space="preserve">Največ </w:t>
            </w:r>
            <w:r w:rsidRPr="00F769E0">
              <w:rPr>
                <w:rFonts w:cs="Tahoma"/>
                <w:lang w:val="sl-SI" w:eastAsia="en-GB"/>
              </w:rPr>
              <w:br/>
              <w:t>50 000 EUR.</w:t>
            </w:r>
          </w:p>
          <w:p w14:paraId="7D399EA1" w14:textId="77777777" w:rsidR="00E03711" w:rsidRPr="00F769E0" w:rsidRDefault="00E03711" w:rsidP="00BB3FBE">
            <w:pPr>
              <w:pStyle w:val="GUIDE-NORMAL"/>
              <w:spacing w:before="60" w:after="60"/>
              <w:jc w:val="left"/>
              <w:rPr>
                <w:rFonts w:cs="Tahoma"/>
                <w:lang w:val="sl-SI" w:eastAsia="en-GB"/>
              </w:rPr>
            </w:pPr>
            <w:r w:rsidRPr="00F769E0">
              <w:rPr>
                <w:rFonts w:cs="Tahoma"/>
                <w:lang w:val="sl-SI" w:eastAsia="en-GB"/>
              </w:rPr>
              <w:t>80 % skupnih upravičenih stroškov (razen če prijavitelj zahteva nižji % nepovratnih sredstev).</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EA2" w14:textId="77777777" w:rsidR="00E03711" w:rsidRPr="00F769E0" w:rsidRDefault="00E03711" w:rsidP="00BB3FBE">
            <w:pPr>
              <w:pStyle w:val="GUIDE-NORMAL"/>
              <w:spacing w:before="60" w:after="60"/>
              <w:jc w:val="left"/>
              <w:rPr>
                <w:rFonts w:cs="Tahoma"/>
                <w:lang w:val="sl-SI" w:eastAsia="en-GB"/>
              </w:rPr>
            </w:pPr>
            <w:r w:rsidRPr="00F769E0">
              <w:rPr>
                <w:rFonts w:cs="Tahoma"/>
                <w:lang w:val="sl-SI" w:eastAsia="en-GB"/>
              </w:rPr>
              <w:t xml:space="preserve">Pogoj: cilji </w:t>
            </w:r>
            <w:r w:rsidRPr="00F769E0">
              <w:rPr>
                <w:rFonts w:cs="Tahoma"/>
                <w:lang w:val="sl-SI" w:eastAsia="en-GB"/>
              </w:rPr>
              <w:br/>
              <w:t xml:space="preserve">in delovni program morajo biti jasno opredeljeni </w:t>
            </w:r>
            <w:r w:rsidRPr="00F769E0">
              <w:rPr>
                <w:rFonts w:cs="Tahoma"/>
                <w:lang w:val="sl-SI" w:eastAsia="en-GB"/>
              </w:rPr>
              <w:br/>
              <w:t>v prijavnem obrazcu.</w:t>
            </w:r>
          </w:p>
        </w:tc>
      </w:tr>
    </w:tbl>
    <w:p w14:paraId="7D399EA4" w14:textId="77777777" w:rsidR="00E03711" w:rsidRDefault="00E03711">
      <w:pPr>
        <w:widowControl/>
        <w:suppressAutoHyphens w:val="0"/>
        <w:autoSpaceDN/>
        <w:textAlignment w:val="auto"/>
        <w:rPr>
          <w:rFonts w:eastAsia="Times New Roman"/>
          <w:b/>
          <w:smallCaps/>
          <w:sz w:val="28"/>
          <w:szCs w:val="20"/>
          <w:lang w:val="sl-SI"/>
        </w:rPr>
      </w:pPr>
      <w:bookmarkStart w:id="321" w:name="Réseaux_Jean_Monnet_(débat_politique_ave"/>
      <w:bookmarkStart w:id="322" w:name="_bookmark52"/>
      <w:bookmarkEnd w:id="321"/>
      <w:bookmarkEnd w:id="322"/>
    </w:p>
    <w:p w14:paraId="7D399EA5" w14:textId="77777777" w:rsidR="00E03711" w:rsidRDefault="00E03711">
      <w:pPr>
        <w:widowControl/>
        <w:suppressAutoHyphens w:val="0"/>
        <w:autoSpaceDN/>
        <w:textAlignment w:val="auto"/>
        <w:rPr>
          <w:rFonts w:eastAsia="Times New Roman"/>
          <w:b/>
          <w:smallCaps/>
          <w:sz w:val="28"/>
          <w:szCs w:val="20"/>
          <w:lang w:val="sl-SI"/>
        </w:rPr>
      </w:pPr>
      <w:r>
        <w:rPr>
          <w:rFonts w:eastAsia="Times New Roman"/>
          <w:b/>
          <w:smallCaps/>
          <w:sz w:val="28"/>
          <w:szCs w:val="20"/>
          <w:lang w:val="sl-SI"/>
        </w:rPr>
        <w:br w:type="page"/>
      </w:r>
    </w:p>
    <w:p w14:paraId="7D399EA6" w14:textId="77777777" w:rsidR="00E03711" w:rsidRDefault="00E03711">
      <w:pPr>
        <w:widowControl/>
        <w:suppressAutoHyphens w:val="0"/>
        <w:autoSpaceDN/>
        <w:textAlignment w:val="auto"/>
        <w:rPr>
          <w:rFonts w:eastAsia="Times New Roman"/>
          <w:b/>
          <w:smallCaps/>
          <w:sz w:val="28"/>
          <w:szCs w:val="20"/>
          <w:lang w:val="sl-SI"/>
        </w:rPr>
        <w:sectPr w:rsidR="00E03711" w:rsidSect="00073E87">
          <w:endnotePr>
            <w:numFmt w:val="decimal"/>
          </w:endnotePr>
          <w:pgSz w:w="16840" w:h="11910" w:orient="landscape" w:code="9"/>
          <w:pgMar w:top="1418" w:right="1134" w:bottom="1418" w:left="1134" w:header="284" w:footer="567" w:gutter="0"/>
          <w:cols w:space="720"/>
          <w:docGrid w:linePitch="326"/>
        </w:sectPr>
      </w:pPr>
    </w:p>
    <w:p w14:paraId="7D399EA7" w14:textId="77777777" w:rsidR="00E03711" w:rsidRDefault="00E03711">
      <w:pPr>
        <w:pStyle w:val="Guide-Heading3"/>
        <w:rPr>
          <w:lang w:val="sl-SI"/>
        </w:rPr>
      </w:pPr>
      <w:bookmarkStart w:id="323" w:name="_Toc527400929"/>
      <w:bookmarkStart w:id="324" w:name="_Toc527401193"/>
      <w:r w:rsidRPr="001048FE">
        <w:rPr>
          <w:lang w:val="sl-SI"/>
        </w:rPr>
        <w:t>Omrežja Jean Monnet (strateške razprave z</w:t>
      </w:r>
      <w:bookmarkStart w:id="325" w:name="Omrežja_Jean_Monnet_(strateške_razprave_"/>
      <w:bookmarkEnd w:id="325"/>
      <w:r w:rsidRPr="001048FE">
        <w:rPr>
          <w:lang w:val="sl-SI"/>
        </w:rPr>
        <w:t xml:space="preserve"> akademskim okoljem)</w:t>
      </w:r>
      <w:bookmarkEnd w:id="323"/>
      <w:bookmarkEnd w:id="324"/>
    </w:p>
    <w:p w14:paraId="7D399EA8" w14:textId="77777777" w:rsidR="00E03711" w:rsidRPr="001048FE" w:rsidRDefault="00E03711" w:rsidP="0093002C">
      <w:pPr>
        <w:pStyle w:val="Guide-Heading4"/>
        <w:rPr>
          <w:lang w:val="sl-SI"/>
        </w:rPr>
      </w:pPr>
      <w:bookmarkStart w:id="326" w:name="_Toc527401194"/>
      <w:r w:rsidRPr="001048FE">
        <w:rPr>
          <w:lang w:val="sl-SI"/>
        </w:rPr>
        <w:t>Kaj je omrežje Jean Monnet?</w:t>
      </w:r>
      <w:bookmarkEnd w:id="326"/>
    </w:p>
    <w:p w14:paraId="7D399EA9" w14:textId="77777777" w:rsidR="00E03711" w:rsidRPr="001048FE" w:rsidRDefault="00E03711" w:rsidP="0093002C">
      <w:pPr>
        <w:pStyle w:val="GUIDE-NORMAL"/>
        <w:rPr>
          <w:lang w:val="sl-SI"/>
        </w:rPr>
      </w:pPr>
      <w:r w:rsidRPr="001048FE">
        <w:rPr>
          <w:lang w:val="sl-SI"/>
        </w:rPr>
        <w:t xml:space="preserve">Omrežja Jean Monnet spodbujajo ustvarjanje in razvoj konzorcijev mednarodnih akterjev </w:t>
      </w:r>
      <w:r w:rsidRPr="00BE14A8">
        <w:rPr>
          <w:lang w:val="sl-SI"/>
        </w:rPr>
        <w:t>(</w:t>
      </w:r>
      <w:r w:rsidRPr="00FC4A70">
        <w:rPr>
          <w:rFonts w:eastAsia="Calibri" w:cs="Calibri"/>
          <w:bdr w:val="nil"/>
          <w:lang w:val="sl-SI"/>
        </w:rPr>
        <w:t>visokošolske institucije, raziskovalni centri, združenja itd.</w:t>
      </w:r>
      <w:r w:rsidRPr="001048FE">
        <w:rPr>
          <w:lang w:val="sl-SI"/>
        </w:rPr>
        <w:t>) na področju študij Evropske unije.</w:t>
      </w:r>
    </w:p>
    <w:p w14:paraId="7D399EAA" w14:textId="77777777" w:rsidR="00E03711" w:rsidRPr="001048FE" w:rsidRDefault="00E03711" w:rsidP="0093002C">
      <w:pPr>
        <w:pStyle w:val="GUIDE-NORMAL"/>
        <w:rPr>
          <w:lang w:val="sl-SI"/>
        </w:rPr>
      </w:pPr>
      <w:r w:rsidRPr="001048FE">
        <w:rPr>
          <w:lang w:val="sl-SI"/>
        </w:rPr>
        <w:t>Prispevajo k zbiranju informacij, izmenjavi praks, grajenju znanja in spodbujanju evropskega procesa povezovanja po vsem svetu. Ta ukrep lahko podpira tudi krepitev obstoječih omrežij, ki podpirajo posebne aktivnosti, zlasti spodbujanje udeležbe mladih raziskovalcev v temah, povezanih z EU.</w:t>
      </w:r>
    </w:p>
    <w:p w14:paraId="7D399EAB" w14:textId="77777777" w:rsidR="00E03711" w:rsidRPr="001048FE" w:rsidRDefault="00E03711" w:rsidP="0093002C">
      <w:pPr>
        <w:pStyle w:val="GUIDE-NORMAL"/>
        <w:rPr>
          <w:lang w:val="sl-SI"/>
        </w:rPr>
      </w:pPr>
      <w:r w:rsidRPr="001048FE">
        <w:rPr>
          <w:lang w:val="sl-SI"/>
        </w:rPr>
        <w:t xml:space="preserve">Ti projekti bodo temeljili na predlogih, usmerjenih v aktivnosti, ki jih ni mogoče uspešno izvesti na nacionalni ravni in zahtevajo sodelovanje vsaj treh partnerskih </w:t>
      </w:r>
      <w:r>
        <w:rPr>
          <w:lang w:val="sl-SI"/>
        </w:rPr>
        <w:t>organizacij</w:t>
      </w:r>
      <w:r w:rsidRPr="001048FE">
        <w:rPr>
          <w:lang w:val="sl-SI"/>
        </w:rPr>
        <w:t xml:space="preserve"> (vključno z institucijo prijaviteljico) iz treh različnih držav. Cilj je izvajanje projektov, ki nimajo samo nacionalne, temveč tudi večnacionalno razsežnost.</w:t>
      </w:r>
    </w:p>
    <w:p w14:paraId="7D399EAC" w14:textId="77777777" w:rsidR="00E03711" w:rsidRPr="001048FE" w:rsidRDefault="00E03711" w:rsidP="002A25C9">
      <w:pPr>
        <w:pStyle w:val="Guide-Heading4"/>
        <w:rPr>
          <w:lang w:val="sl-SI"/>
        </w:rPr>
      </w:pPr>
      <w:bookmarkStart w:id="327" w:name="_Toc527401195"/>
      <w:r w:rsidRPr="001048FE">
        <w:rPr>
          <w:lang w:val="sl-SI"/>
        </w:rPr>
        <w:t>Katere aktivnosti so podprte v okviru tega ukrepa?</w:t>
      </w:r>
      <w:bookmarkEnd w:id="327"/>
    </w:p>
    <w:p w14:paraId="7D399EAD" w14:textId="77777777" w:rsidR="00E03711" w:rsidRPr="001048FE" w:rsidRDefault="00E03711" w:rsidP="0093002C">
      <w:pPr>
        <w:pStyle w:val="GUIDE-NORMAL"/>
        <w:rPr>
          <w:lang w:val="sl-SI"/>
        </w:rPr>
      </w:pPr>
      <w:r w:rsidRPr="001048FE">
        <w:rPr>
          <w:lang w:val="sl-SI"/>
        </w:rPr>
        <w:t>V življenjskem ciklu projekta lahko omrežja običajno izvedejo široko paleto aktivnosti, na primer:</w:t>
      </w:r>
    </w:p>
    <w:p w14:paraId="7D399EAE" w14:textId="77777777" w:rsidR="00E03711" w:rsidRPr="001048FE" w:rsidRDefault="00E03711" w:rsidP="005115F2">
      <w:pPr>
        <w:pStyle w:val="Guide-NormalBulletpoints"/>
        <w:numPr>
          <w:ilvl w:val="0"/>
          <w:numId w:val="336"/>
        </w:numPr>
        <w:rPr>
          <w:lang w:val="sl-SI"/>
        </w:rPr>
      </w:pPr>
      <w:r w:rsidRPr="00FC4A70">
        <w:rPr>
          <w:rFonts w:eastAsia="Calibri" w:cs="Calibri"/>
          <w:bdr w:val="nil"/>
          <w:lang w:val="sl-SI" w:eastAsia="zh-CN"/>
        </w:rPr>
        <w:t>zbiranje informacij in obveščanje o rezultatih o metodologijah, uporabljenih v raziskovanju in poučevanju študij EU na visoki ravni</w:t>
      </w:r>
      <w:r w:rsidRPr="001048FE">
        <w:rPr>
          <w:lang w:val="sl-SI"/>
        </w:rPr>
        <w:t>;</w:t>
      </w:r>
    </w:p>
    <w:p w14:paraId="7D399EAF" w14:textId="77777777" w:rsidR="00E03711" w:rsidRPr="001048FE" w:rsidRDefault="00E03711" w:rsidP="005115F2">
      <w:pPr>
        <w:pStyle w:val="Guide-NormalBulletpoints"/>
        <w:numPr>
          <w:ilvl w:val="0"/>
          <w:numId w:val="336"/>
        </w:numPr>
        <w:rPr>
          <w:rStyle w:val="Guide-Condensed-02"/>
          <w:lang w:val="sl-SI"/>
        </w:rPr>
      </w:pPr>
      <w:r w:rsidRPr="001048FE">
        <w:rPr>
          <w:rStyle w:val="Guide-Condensed-02"/>
          <w:lang w:val="sl-SI"/>
        </w:rPr>
        <w:t>krepitev sodelovanja med različnimi visokošolskimi institucijami in drugimi pomembnimi organi po Evropi in vsem svetu;</w:t>
      </w:r>
    </w:p>
    <w:p w14:paraId="7D399EB0" w14:textId="77777777" w:rsidR="00E03711" w:rsidRPr="001048FE" w:rsidRDefault="00E03711" w:rsidP="005115F2">
      <w:pPr>
        <w:pStyle w:val="Guide-NormalBulletpoints"/>
        <w:numPr>
          <w:ilvl w:val="0"/>
          <w:numId w:val="336"/>
        </w:numPr>
        <w:rPr>
          <w:lang w:val="sl-SI"/>
        </w:rPr>
      </w:pPr>
      <w:r w:rsidRPr="001048FE">
        <w:rPr>
          <w:lang w:val="sl-SI"/>
        </w:rPr>
        <w:t>izmenjavo znanja in strokovnega znanja za vzajemno krepitev dobre prakse;</w:t>
      </w:r>
    </w:p>
    <w:p w14:paraId="7D399EB1" w14:textId="77777777" w:rsidR="00E03711" w:rsidRPr="001048FE" w:rsidRDefault="00E03711" w:rsidP="005115F2">
      <w:pPr>
        <w:pStyle w:val="Guide-NormalBulletpoints"/>
        <w:numPr>
          <w:ilvl w:val="0"/>
          <w:numId w:val="336"/>
        </w:numPr>
        <w:rPr>
          <w:lang w:val="sl-SI"/>
        </w:rPr>
      </w:pPr>
      <w:r w:rsidRPr="001048FE">
        <w:rPr>
          <w:lang w:val="sl-SI"/>
        </w:rPr>
        <w:t>spodbujanje sodelovanja in ustvarjanja platforme za izmenjavo znanja na visoki ravni z javnimi akterji in službami Evropske komisije v zvezi z izjemno pomembnimi temami EU.</w:t>
      </w:r>
    </w:p>
    <w:p w14:paraId="7D399EB2" w14:textId="77777777" w:rsidR="00E03711" w:rsidRPr="001048FE" w:rsidRDefault="00E03711" w:rsidP="0093002C">
      <w:pPr>
        <w:pStyle w:val="Guide-Heading4"/>
        <w:rPr>
          <w:lang w:val="sl-SI"/>
        </w:rPr>
      </w:pPr>
      <w:bookmarkStart w:id="328" w:name="_Toc527401196"/>
      <w:r w:rsidRPr="001048FE">
        <w:rPr>
          <w:lang w:val="sl-SI"/>
        </w:rPr>
        <w:t>Kakšna je vloga organizacij, ki sodelujejo v omrežjih Jean Monnet?</w:t>
      </w:r>
      <w:bookmarkEnd w:id="328"/>
    </w:p>
    <w:p w14:paraId="7D399EB3" w14:textId="77777777" w:rsidR="00E03711" w:rsidRPr="001048FE" w:rsidRDefault="00E03711" w:rsidP="0093002C">
      <w:pPr>
        <w:pStyle w:val="GUIDE-NORMAL"/>
        <w:rPr>
          <w:lang w:val="sl-SI"/>
        </w:rPr>
      </w:pPr>
      <w:r w:rsidRPr="001048FE">
        <w:rPr>
          <w:lang w:val="sl-SI"/>
        </w:rPr>
        <w:t>Omrežja Jean Monnet bi morala postati referenčne točke za tematska področja Evropske unije, ki jih pokrivajo. Prevzela bodo vlogo izvajanja multiplikacijskega učinka in razširjanja znanja; prispevala bodo tudi k zbiranju in uporabi informacij ter zagotavljanju analiz in vizij za posebne vsebine.</w:t>
      </w:r>
    </w:p>
    <w:p w14:paraId="7D399EB4" w14:textId="77777777" w:rsidR="00E03711" w:rsidRPr="001048FE" w:rsidRDefault="00E03711" w:rsidP="0093002C">
      <w:pPr>
        <w:pStyle w:val="GUIDE-NORMAL"/>
        <w:rPr>
          <w:rStyle w:val="Guide-Condensed-02"/>
          <w:lang w:val="sl-SI"/>
        </w:rPr>
      </w:pPr>
      <w:r w:rsidRPr="001048FE">
        <w:rPr>
          <w:rStyle w:val="Guide-Condensed-02"/>
          <w:lang w:val="sl-SI"/>
        </w:rPr>
        <w:t>Visokošolske institucije, ki koordinirajo omrežja Jean Monnet, prevzamejo končno odgovornost za svoje prijave. Aktivnosti, navedene v njihovem delovnem programu, morajo izvajati ves čas trajanja obdobja, za katerega so bila dodeljena nepovratna sredstva.</w:t>
      </w:r>
    </w:p>
    <w:p w14:paraId="7D399EB5" w14:textId="77777777" w:rsidR="00E03711" w:rsidRPr="001048FE" w:rsidRDefault="00E03711" w:rsidP="0093002C">
      <w:pPr>
        <w:pStyle w:val="Guide-Heading4"/>
        <w:rPr>
          <w:lang w:val="sl-SI"/>
        </w:rPr>
      </w:pPr>
      <w:bookmarkStart w:id="329" w:name="_Toc527401197"/>
      <w:r w:rsidRPr="001048FE">
        <w:rPr>
          <w:lang w:val="sl-SI"/>
        </w:rPr>
        <w:t>Kakšna so merila za oceno podpore Jean Monnet za omrežja?</w:t>
      </w:r>
      <w:bookmarkEnd w:id="329"/>
    </w:p>
    <w:p w14:paraId="7D399EB6" w14:textId="77777777" w:rsidR="00E03711" w:rsidRPr="001048FE" w:rsidRDefault="00E03711" w:rsidP="0093002C">
      <w:pPr>
        <w:pStyle w:val="GUIDE-NORMAL"/>
        <w:rPr>
          <w:lang w:val="sl-SI"/>
        </w:rPr>
      </w:pPr>
      <w:r w:rsidRPr="001048FE">
        <w:rPr>
          <w:lang w:val="sl-SI"/>
        </w:rPr>
        <w:t>V nadaljevanju so navedena uradna merila, ki jih mora izpolniti omrežje Jean Monnet za upravičenost do nepovratnih sredstev Erasmus+:</w:t>
      </w:r>
    </w:p>
    <w:p w14:paraId="7D399EB7" w14:textId="77777777" w:rsidR="00E03711" w:rsidRPr="001048FE" w:rsidRDefault="00E03711" w:rsidP="0093002C">
      <w:pPr>
        <w:pStyle w:val="Guide-Heading5"/>
        <w:rPr>
          <w:lang w:val="sl-SI"/>
        </w:rPr>
      </w:pPr>
      <w:r w:rsidRPr="001048FE">
        <w:rPr>
          <w:lang w:val="sl-SI"/>
        </w:rPr>
        <w:t>Merila za upravičenost</w:t>
      </w:r>
    </w:p>
    <w:tbl>
      <w:tblPr>
        <w:tblW w:w="5096"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28"/>
        <w:gridCol w:w="7940"/>
      </w:tblGrid>
      <w:tr w:rsidR="00E03711" w:rsidRPr="00C60205" w14:paraId="7D399EBB" w14:textId="77777777" w:rsidTr="001923DD">
        <w:trPr>
          <w:cantSplit/>
        </w:trPr>
        <w:tc>
          <w:tcPr>
            <w:tcW w:w="807" w:type="pct"/>
            <w:shd w:val="clear" w:color="auto" w:fill="FFFFFF"/>
            <w:vAlign w:val="center"/>
          </w:tcPr>
          <w:p w14:paraId="7D399EB8" w14:textId="77777777" w:rsidR="00E03711" w:rsidRPr="00F769E0" w:rsidRDefault="00E03711" w:rsidP="0093002C">
            <w:pPr>
              <w:pStyle w:val="GUIDE-NORMAL"/>
              <w:spacing w:before="60" w:after="60"/>
              <w:jc w:val="left"/>
              <w:rPr>
                <w:rFonts w:cs="Tahoma"/>
                <w:b/>
                <w:lang w:val="sl-SI" w:eastAsia="en-GB"/>
              </w:rPr>
            </w:pPr>
            <w:r w:rsidRPr="00F769E0">
              <w:rPr>
                <w:rFonts w:cs="Tahoma"/>
                <w:b/>
                <w:lang w:val="sl-SI" w:eastAsia="en-GB"/>
              </w:rPr>
              <w:t>Kdo se lahko prijavi?</w:t>
            </w:r>
          </w:p>
        </w:tc>
        <w:tc>
          <w:tcPr>
            <w:tcW w:w="4193" w:type="pct"/>
            <w:shd w:val="clear" w:color="auto" w:fill="FFFFFF"/>
            <w:vAlign w:val="center"/>
          </w:tcPr>
          <w:p w14:paraId="7D399EB9" w14:textId="77777777" w:rsidR="00E03711" w:rsidRPr="00F769E0" w:rsidRDefault="00E03711" w:rsidP="0093002C">
            <w:pPr>
              <w:pStyle w:val="GUIDE-NORMAL"/>
              <w:spacing w:before="60" w:after="60"/>
              <w:jc w:val="left"/>
              <w:rPr>
                <w:rFonts w:cs="Tahoma"/>
                <w:lang w:val="sl-SI" w:eastAsia="en-GB"/>
              </w:rPr>
            </w:pPr>
            <w:r w:rsidRPr="00F769E0">
              <w:rPr>
                <w:rFonts w:cs="Tahoma"/>
                <w:lang w:val="sl-SI" w:eastAsia="en-GB"/>
              </w:rPr>
              <w:t>Visokošolska institucija ali druga organizacija s sedežem v kateri koli državi sveta. Visokošolske institucije s sedežem v državah programa Erasmus+ morajo biti nosilke veljavne Listine Erasmus za terciarno izobraževanje (ECHE). Listina ECHE ni zahtevana za sodelujoče visokošolske institucije iz partnerskih držav.</w:t>
            </w:r>
          </w:p>
          <w:p w14:paraId="7D399EBA" w14:textId="77777777" w:rsidR="00E03711" w:rsidRPr="00F769E0" w:rsidRDefault="00E03711" w:rsidP="002D6CB4">
            <w:pPr>
              <w:pStyle w:val="GUIDE-NORMAL"/>
              <w:spacing w:before="60" w:after="60"/>
              <w:jc w:val="left"/>
              <w:rPr>
                <w:rFonts w:cs="Tahoma"/>
                <w:lang w:val="sl-SI" w:eastAsia="en-GB"/>
              </w:rPr>
            </w:pPr>
            <w:r w:rsidRPr="00F769E0">
              <w:rPr>
                <w:rFonts w:cs="Tahoma"/>
                <w:lang w:val="sl-SI" w:eastAsia="en-GB"/>
              </w:rPr>
              <w:t>Prijavitelj mora biti koordinator omrežja, ki zajema vsaj tri sodelujoče institucije iz treh različnih držav. D Določene organizacije (opredeljene v uredbi, ki ustanavlja program Erasmus+) ) ki sledijo cilju v evropskem interesu, niso upravičene do prijave v okviru tega ukrepa</w:t>
            </w:r>
          </w:p>
        </w:tc>
      </w:tr>
      <w:tr w:rsidR="00E03711" w:rsidRPr="008C6F8C" w14:paraId="7D399EBE" w14:textId="77777777" w:rsidTr="001923DD">
        <w:trPr>
          <w:cantSplit/>
        </w:trPr>
        <w:tc>
          <w:tcPr>
            <w:tcW w:w="807" w:type="pct"/>
            <w:shd w:val="clear" w:color="auto" w:fill="FFFFFF"/>
            <w:vAlign w:val="center"/>
          </w:tcPr>
          <w:p w14:paraId="7D399EBC" w14:textId="77777777" w:rsidR="00E03711" w:rsidRPr="00F769E0" w:rsidRDefault="00E03711" w:rsidP="0093002C">
            <w:pPr>
              <w:pStyle w:val="GUIDE-NORMAL"/>
              <w:spacing w:before="60" w:after="60"/>
              <w:jc w:val="left"/>
              <w:rPr>
                <w:rFonts w:cs="Tahoma"/>
                <w:b/>
                <w:lang w:val="sl-SI" w:eastAsia="en-GB"/>
              </w:rPr>
            </w:pPr>
            <w:r w:rsidRPr="00F769E0">
              <w:rPr>
                <w:rFonts w:cs="Tahoma"/>
                <w:b/>
                <w:lang w:val="sl-SI" w:eastAsia="en-GB"/>
              </w:rPr>
              <w:t>Trajanje projekta</w:t>
            </w:r>
          </w:p>
        </w:tc>
        <w:tc>
          <w:tcPr>
            <w:tcW w:w="4193" w:type="pct"/>
            <w:shd w:val="clear" w:color="auto" w:fill="FFFFFF"/>
            <w:vAlign w:val="center"/>
          </w:tcPr>
          <w:p w14:paraId="7D399EBD" w14:textId="77777777" w:rsidR="00E03711" w:rsidRPr="00F769E0" w:rsidRDefault="00E03711" w:rsidP="0093002C">
            <w:pPr>
              <w:pStyle w:val="GUIDE-NORMAL"/>
              <w:spacing w:before="60" w:after="60"/>
              <w:jc w:val="left"/>
              <w:rPr>
                <w:rFonts w:cs="Tahoma"/>
                <w:lang w:val="sl-SI" w:eastAsia="en-GB"/>
              </w:rPr>
            </w:pPr>
            <w:r w:rsidRPr="00F769E0">
              <w:rPr>
                <w:rFonts w:cs="Tahoma"/>
                <w:lang w:val="sl-SI" w:eastAsia="en-GB"/>
              </w:rPr>
              <w:t>Tri leta.</w:t>
            </w:r>
          </w:p>
        </w:tc>
      </w:tr>
      <w:tr w:rsidR="00E03711" w:rsidRPr="00C60205" w14:paraId="7D399EC1" w14:textId="77777777" w:rsidTr="001923DD">
        <w:trPr>
          <w:cantSplit/>
        </w:trPr>
        <w:tc>
          <w:tcPr>
            <w:tcW w:w="807" w:type="pct"/>
            <w:shd w:val="clear" w:color="auto" w:fill="FFFFFF"/>
            <w:vAlign w:val="center"/>
          </w:tcPr>
          <w:p w14:paraId="7D399EBF" w14:textId="77777777" w:rsidR="00E03711" w:rsidRPr="00F769E0" w:rsidRDefault="00E03711" w:rsidP="0093002C">
            <w:pPr>
              <w:pStyle w:val="GUIDE-NORMAL"/>
              <w:spacing w:before="60" w:after="60"/>
              <w:jc w:val="left"/>
              <w:rPr>
                <w:rFonts w:cs="Tahoma"/>
                <w:b/>
                <w:lang w:val="sl-SI" w:eastAsia="en-GB"/>
              </w:rPr>
            </w:pPr>
            <w:r w:rsidRPr="00F769E0">
              <w:rPr>
                <w:rFonts w:cs="Tahoma"/>
                <w:b/>
                <w:lang w:val="sl-SI" w:eastAsia="en-GB"/>
              </w:rPr>
              <w:t>Kje se prijaviti?</w:t>
            </w:r>
          </w:p>
        </w:tc>
        <w:tc>
          <w:tcPr>
            <w:tcW w:w="4193" w:type="pct"/>
            <w:shd w:val="clear" w:color="auto" w:fill="FFFFFF"/>
            <w:vAlign w:val="center"/>
          </w:tcPr>
          <w:p w14:paraId="7D399EC0" w14:textId="77777777" w:rsidR="00E03711" w:rsidRPr="00F769E0" w:rsidRDefault="00E03711" w:rsidP="0093002C">
            <w:pPr>
              <w:pStyle w:val="GUIDE-NORMAL"/>
              <w:spacing w:before="60" w:after="60"/>
              <w:jc w:val="left"/>
              <w:rPr>
                <w:rFonts w:cs="Tahoma"/>
                <w:lang w:val="sl-SI" w:eastAsia="en-GB"/>
              </w:rPr>
            </w:pPr>
            <w:r w:rsidRPr="00F769E0">
              <w:rPr>
                <w:rFonts w:cs="Tahoma"/>
                <w:lang w:val="sl-SI" w:eastAsia="en-GB"/>
              </w:rPr>
              <w:t>Pri Izvajalski agenciji za izobraževanje, avdiovizualno področje in kulturo v Bruslju.</w:t>
            </w:r>
          </w:p>
        </w:tc>
      </w:tr>
      <w:tr w:rsidR="00E03711" w:rsidRPr="00C60205" w14:paraId="7D399EC4" w14:textId="77777777" w:rsidTr="001923DD">
        <w:trPr>
          <w:cantSplit/>
        </w:trPr>
        <w:tc>
          <w:tcPr>
            <w:tcW w:w="807" w:type="pct"/>
            <w:shd w:val="clear" w:color="auto" w:fill="FFFFFF"/>
            <w:vAlign w:val="center"/>
          </w:tcPr>
          <w:p w14:paraId="7D399EC2" w14:textId="77777777" w:rsidR="00E03711" w:rsidRPr="00F769E0" w:rsidRDefault="00E03711" w:rsidP="0093002C">
            <w:pPr>
              <w:pStyle w:val="GUIDE-NORMAL"/>
              <w:spacing w:before="60" w:after="60"/>
              <w:jc w:val="left"/>
              <w:rPr>
                <w:rFonts w:cs="Tahoma"/>
                <w:b/>
                <w:lang w:val="sl-SI" w:eastAsia="en-GB"/>
              </w:rPr>
            </w:pPr>
            <w:r w:rsidRPr="00F769E0">
              <w:rPr>
                <w:rFonts w:cs="Tahoma"/>
                <w:b/>
                <w:lang w:val="sl-SI" w:eastAsia="en-GB"/>
              </w:rPr>
              <w:t>Kdaj se prijaviti?</w:t>
            </w:r>
          </w:p>
        </w:tc>
        <w:tc>
          <w:tcPr>
            <w:tcW w:w="4193" w:type="pct"/>
            <w:shd w:val="clear" w:color="auto" w:fill="FFFFFF"/>
            <w:vAlign w:val="center"/>
          </w:tcPr>
          <w:p w14:paraId="7D399EC3" w14:textId="77777777" w:rsidR="00E03711" w:rsidRPr="00F769E0" w:rsidRDefault="00E03711" w:rsidP="0093002C">
            <w:pPr>
              <w:pStyle w:val="GUIDE-NORMAL"/>
              <w:spacing w:before="60" w:after="60"/>
              <w:jc w:val="left"/>
              <w:rPr>
                <w:rFonts w:cs="Tahoma"/>
                <w:lang w:val="sl-SI" w:eastAsia="en-GB"/>
              </w:rPr>
            </w:pPr>
            <w:r w:rsidRPr="00F769E0">
              <w:rPr>
                <w:rFonts w:cs="Tahoma"/>
                <w:lang w:val="sl-SI" w:eastAsia="en-GB"/>
              </w:rPr>
              <w:t xml:space="preserve">Prijavitelji morajo vlogo za nepovratna sredstva oddati do </w:t>
            </w:r>
            <w:r w:rsidRPr="00F769E0">
              <w:rPr>
                <w:rFonts w:cs="Tahoma"/>
                <w:b/>
                <w:lang w:val="sl-SI" w:eastAsia="en-GB"/>
              </w:rPr>
              <w:t>2</w:t>
            </w:r>
            <w:r>
              <w:rPr>
                <w:rFonts w:cs="Tahoma"/>
                <w:b/>
                <w:lang w:val="sl-SI" w:eastAsia="en-GB"/>
              </w:rPr>
              <w:t>0</w:t>
            </w:r>
            <w:r w:rsidRPr="00F769E0">
              <w:rPr>
                <w:rFonts w:cs="Tahoma"/>
                <w:b/>
                <w:lang w:val="sl-SI" w:eastAsia="en-GB"/>
              </w:rPr>
              <w:t>. februarja do 1</w:t>
            </w:r>
            <w:r>
              <w:rPr>
                <w:rFonts w:cs="Tahoma"/>
                <w:b/>
                <w:lang w:val="sl-SI" w:eastAsia="en-GB"/>
              </w:rPr>
              <w:t>7</w:t>
            </w:r>
            <w:r w:rsidRPr="00F769E0">
              <w:rPr>
                <w:rFonts w:cs="Tahoma"/>
                <w:b/>
                <w:lang w:val="sl-SI" w:eastAsia="en-GB"/>
              </w:rPr>
              <w:t>. ure (po bruseljskem času)</w:t>
            </w:r>
            <w:r w:rsidRPr="00F769E0">
              <w:rPr>
                <w:rFonts w:cs="Tahoma"/>
                <w:lang w:val="sl-SI" w:eastAsia="en-GB"/>
              </w:rPr>
              <w:t xml:space="preserve"> za projekte, ki se začnejo 1 septembra istega leta.</w:t>
            </w:r>
          </w:p>
        </w:tc>
      </w:tr>
      <w:tr w:rsidR="00E03711" w:rsidRPr="00C60205" w14:paraId="7D399EC7" w14:textId="77777777" w:rsidTr="001923DD">
        <w:trPr>
          <w:cantSplit/>
        </w:trPr>
        <w:tc>
          <w:tcPr>
            <w:tcW w:w="807" w:type="pct"/>
            <w:shd w:val="clear" w:color="auto" w:fill="FFFFFF"/>
            <w:vAlign w:val="center"/>
          </w:tcPr>
          <w:p w14:paraId="7D399EC5" w14:textId="77777777" w:rsidR="00E03711" w:rsidRPr="00F769E0" w:rsidRDefault="00E03711" w:rsidP="0093002C">
            <w:pPr>
              <w:pStyle w:val="GUIDE-NORMAL"/>
              <w:spacing w:before="60" w:after="60"/>
              <w:jc w:val="left"/>
              <w:rPr>
                <w:rFonts w:cs="Tahoma"/>
                <w:b/>
                <w:lang w:val="sl-SI" w:eastAsia="en-GB"/>
              </w:rPr>
            </w:pPr>
            <w:r w:rsidRPr="00F769E0">
              <w:rPr>
                <w:rFonts w:cs="Tahoma"/>
                <w:b/>
                <w:lang w:val="sl-SI" w:eastAsia="en-GB"/>
              </w:rPr>
              <w:t>Kako se prijaviti?</w:t>
            </w:r>
          </w:p>
        </w:tc>
        <w:tc>
          <w:tcPr>
            <w:tcW w:w="4193" w:type="pct"/>
            <w:shd w:val="clear" w:color="auto" w:fill="FFFFFF"/>
            <w:vAlign w:val="center"/>
          </w:tcPr>
          <w:p w14:paraId="7D399EC6" w14:textId="77777777" w:rsidR="00E03711" w:rsidRPr="00F769E0" w:rsidRDefault="00E03711" w:rsidP="0093002C">
            <w:pPr>
              <w:pStyle w:val="GUIDE-NORMAL"/>
              <w:spacing w:before="60" w:after="60"/>
              <w:jc w:val="left"/>
              <w:rPr>
                <w:rFonts w:cs="Tahoma"/>
                <w:lang w:val="sl-SI" w:eastAsia="en-GB"/>
              </w:rPr>
            </w:pPr>
            <w:r w:rsidRPr="00F769E0">
              <w:rPr>
                <w:rFonts w:cs="Tahoma"/>
                <w:lang w:val="sl-SI" w:eastAsia="en-GB"/>
              </w:rPr>
              <w:t>Za podrobnosti o postopku prijave glej del C tega vodnika.</w:t>
            </w:r>
          </w:p>
        </w:tc>
      </w:tr>
    </w:tbl>
    <w:p w14:paraId="7D399EC8" w14:textId="77777777" w:rsidR="00E03711" w:rsidRPr="001048FE" w:rsidRDefault="00E03711" w:rsidP="0093002C">
      <w:pPr>
        <w:pStyle w:val="GUIDE-NORMAL"/>
        <w:rPr>
          <w:lang w:val="sl-SI"/>
        </w:rPr>
      </w:pPr>
      <w:r w:rsidRPr="001048FE">
        <w:rPr>
          <w:lang w:val="sl-SI"/>
        </w:rPr>
        <w:t>Organizacije prijaviteljice bodo ocenjene tudi z merili za izključitev in izbor. Za več informacij glej del C tega vodnika.</w:t>
      </w:r>
    </w:p>
    <w:p w14:paraId="7D399EC9" w14:textId="77777777" w:rsidR="00E03711" w:rsidRPr="001048FE" w:rsidRDefault="00E03711" w:rsidP="002A25C9">
      <w:pPr>
        <w:pStyle w:val="Guide-Heading5"/>
        <w:rPr>
          <w:lang w:val="sl-SI"/>
        </w:rPr>
      </w:pPr>
      <w:r w:rsidRPr="001048FE">
        <w:rPr>
          <w:lang w:val="sl-SI"/>
        </w:rPr>
        <w:t>Merila za dodelitev</w:t>
      </w:r>
    </w:p>
    <w:p w14:paraId="7D399ECA" w14:textId="77777777" w:rsidR="00E03711" w:rsidRPr="001048FE" w:rsidRDefault="00E03711" w:rsidP="005C03EE">
      <w:pPr>
        <w:pStyle w:val="GUIDE-NORMAL"/>
        <w:rPr>
          <w:lang w:val="sl-SI"/>
        </w:rPr>
      </w:pPr>
      <w:r w:rsidRPr="001048FE">
        <w:rPr>
          <w:lang w:val="sl-SI"/>
        </w:rPr>
        <w:t>Projekti bodo ocenjeni z naslednjimi merili:</w:t>
      </w:r>
    </w:p>
    <w:tbl>
      <w:tblPr>
        <w:tblW w:w="5377" w:type="pct"/>
        <w:tblInd w:w="-252" w:type="dxa"/>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Look w:val="0000" w:firstRow="0" w:lastRow="0" w:firstColumn="0" w:lastColumn="0" w:noHBand="0" w:noVBand="0"/>
      </w:tblPr>
      <w:tblGrid>
        <w:gridCol w:w="1820"/>
        <w:gridCol w:w="8170"/>
      </w:tblGrid>
      <w:tr w:rsidR="00E03711" w:rsidRPr="00654F6A" w14:paraId="7D399EDE" w14:textId="77777777" w:rsidTr="001923DD">
        <w:trPr>
          <w:cantSplit/>
          <w:trHeight w:val="170"/>
        </w:trPr>
        <w:tc>
          <w:tcPr>
            <w:tcW w:w="911" w:type="pct"/>
            <w:shd w:val="clear" w:color="auto" w:fill="FFFFFF"/>
            <w:vAlign w:val="center"/>
          </w:tcPr>
          <w:p w14:paraId="7D399ECB" w14:textId="77777777" w:rsidR="00E03711" w:rsidRPr="00F769E0" w:rsidRDefault="00E03711" w:rsidP="00BB3FBE">
            <w:pPr>
              <w:pStyle w:val="GUIDE-NORMAL"/>
              <w:spacing w:before="60" w:after="60"/>
              <w:jc w:val="left"/>
              <w:rPr>
                <w:rFonts w:cs="Tahoma"/>
                <w:b/>
                <w:lang w:val="sl-SI" w:eastAsia="en-GB"/>
              </w:rPr>
            </w:pPr>
            <w:r w:rsidRPr="00F769E0">
              <w:rPr>
                <w:rFonts w:cs="Tahoma"/>
                <w:b/>
                <w:lang w:val="sl-SI" w:eastAsia="en-GB"/>
              </w:rPr>
              <w:t xml:space="preserve">Ustreznost projekta </w:t>
            </w:r>
            <w:r w:rsidRPr="00F769E0">
              <w:rPr>
                <w:rFonts w:cs="Tahoma"/>
                <w:b/>
                <w:lang w:val="sl-SI" w:eastAsia="en-GB"/>
              </w:rPr>
              <w:br/>
              <w:t>(največ 25 točk)</w:t>
            </w:r>
          </w:p>
        </w:tc>
        <w:tc>
          <w:tcPr>
            <w:tcW w:w="4089" w:type="pct"/>
            <w:shd w:val="clear" w:color="auto" w:fill="FFFFFF"/>
          </w:tcPr>
          <w:p w14:paraId="7D399ECC" w14:textId="77777777" w:rsidR="00E03711" w:rsidRDefault="00E03711" w:rsidP="005115F2">
            <w:pPr>
              <w:pStyle w:val="Guide-NormalBulletpoints"/>
              <w:numPr>
                <w:ilvl w:val="0"/>
                <w:numId w:val="147"/>
              </w:numPr>
              <w:spacing w:before="60"/>
              <w:jc w:val="left"/>
              <w:rPr>
                <w:lang w:val="sl-SI"/>
              </w:rPr>
            </w:pPr>
            <w:r>
              <w:rPr>
                <w:lang w:val="sl-SI"/>
              </w:rPr>
              <w:t xml:space="preserve">v kolikšni meri je predlog znotraj </w:t>
            </w:r>
            <w:r w:rsidRPr="00D10C38">
              <w:rPr>
                <w:b/>
                <w:bCs/>
                <w:lang w:val="sl-SI"/>
              </w:rPr>
              <w:t>okvira</w:t>
            </w:r>
            <w:r>
              <w:rPr>
                <w:lang w:val="sl-SI"/>
              </w:rPr>
              <w:t xml:space="preserve"> študij Evropske unije:</w:t>
            </w:r>
          </w:p>
          <w:p w14:paraId="7D399ECD" w14:textId="77777777" w:rsidR="00E03711" w:rsidRDefault="00E03711" w:rsidP="005115F2">
            <w:pPr>
              <w:pStyle w:val="Guide-NormalBulletpoints"/>
              <w:numPr>
                <w:ilvl w:val="1"/>
                <w:numId w:val="147"/>
              </w:numPr>
              <w:spacing w:before="60"/>
              <w:jc w:val="left"/>
              <w:rPr>
                <w:lang w:val="sl-SI"/>
              </w:rPr>
            </w:pPr>
            <w:r>
              <w:rPr>
                <w:lang w:val="sl-SI"/>
              </w:rPr>
              <w:t>v celoti tvori študij Evropske unije, s posebnim poudarkom na integracijskem procesu EU tako v notranjih kot zunanjih vidikih;</w:t>
            </w:r>
          </w:p>
          <w:p w14:paraId="7D399ECE" w14:textId="77777777" w:rsidR="00E03711" w:rsidRDefault="00E03711" w:rsidP="005115F2">
            <w:pPr>
              <w:pStyle w:val="Guide-NormalBulletpoints"/>
              <w:numPr>
                <w:ilvl w:val="1"/>
                <w:numId w:val="147"/>
              </w:numPr>
              <w:spacing w:before="60"/>
              <w:jc w:val="left"/>
              <w:rPr>
                <w:lang w:val="sl-SI"/>
              </w:rPr>
            </w:pPr>
            <w:r>
              <w:rPr>
                <w:lang w:val="sl-SI"/>
              </w:rPr>
              <w:t xml:space="preserve">povezava s pravnim redom EU </w:t>
            </w:r>
            <w:r w:rsidRPr="00D10C38">
              <w:rPr>
                <w:i/>
                <w:iCs/>
                <w:lang w:val="sl-SI"/>
              </w:rPr>
              <w:t xml:space="preserve">(acquis communautaire) </w:t>
            </w:r>
            <w:r>
              <w:rPr>
                <w:lang w:val="sl-SI"/>
              </w:rPr>
              <w:t>in obstoječimi politikami EU;</w:t>
            </w:r>
          </w:p>
          <w:p w14:paraId="7D399ECF" w14:textId="77777777" w:rsidR="00E03711" w:rsidRDefault="00E03711" w:rsidP="005115F2">
            <w:pPr>
              <w:pStyle w:val="Guide-NormalBulletpoints"/>
              <w:numPr>
                <w:ilvl w:val="1"/>
                <w:numId w:val="147"/>
              </w:numPr>
              <w:spacing w:before="60"/>
              <w:jc w:val="left"/>
              <w:rPr>
                <w:lang w:val="sl-SI"/>
              </w:rPr>
            </w:pPr>
            <w:r>
              <w:rPr>
                <w:lang w:val="sl-SI"/>
              </w:rPr>
              <w:t>spodbujanje aktivnega državljanstva v EU in vrednot EU;</w:t>
            </w:r>
          </w:p>
          <w:p w14:paraId="7D399ED0" w14:textId="77777777" w:rsidR="00E03711" w:rsidRDefault="00E03711" w:rsidP="005115F2">
            <w:pPr>
              <w:pStyle w:val="Guide-NormalBulletpoints"/>
              <w:numPr>
                <w:ilvl w:val="1"/>
                <w:numId w:val="147"/>
              </w:numPr>
              <w:spacing w:before="60"/>
              <w:jc w:val="left"/>
              <w:rPr>
                <w:lang w:val="sl-SI"/>
              </w:rPr>
            </w:pPr>
            <w:r>
              <w:rPr>
                <w:lang w:val="sl-SI"/>
              </w:rPr>
              <w:t>krepitev zavedanja o EU in omogočanje prihodnje angažiranosti ter dialoga med narodi.</w:t>
            </w:r>
          </w:p>
          <w:p w14:paraId="7D399ED1" w14:textId="77777777" w:rsidR="00E03711" w:rsidRPr="00B22787" w:rsidRDefault="00E03711" w:rsidP="005115F2">
            <w:pPr>
              <w:pStyle w:val="Guide-NormalBulletpoints"/>
              <w:numPr>
                <w:ilvl w:val="0"/>
                <w:numId w:val="147"/>
              </w:numPr>
              <w:spacing w:before="60"/>
              <w:jc w:val="left"/>
              <w:rPr>
                <w:lang w:val="sl-SI"/>
              </w:rPr>
            </w:pPr>
            <w:r w:rsidRPr="00D10C38">
              <w:rPr>
                <w:b/>
                <w:bCs/>
                <w:lang w:val="sl-SI"/>
              </w:rPr>
              <w:t>ustreznost</w:t>
            </w:r>
            <w:r w:rsidRPr="00C6615D">
              <w:rPr>
                <w:lang w:val="sl-SI"/>
              </w:rPr>
              <w:t xml:space="preserve"> predloga v zvezi z</w:t>
            </w:r>
            <w:r>
              <w:rPr>
                <w:lang w:val="sl-SI"/>
              </w:rPr>
              <w:t xml:space="preserve"> </w:t>
            </w:r>
            <w:r w:rsidRPr="00C6615D">
              <w:rPr>
                <w:lang w:val="sl-SI"/>
              </w:rPr>
              <w:t xml:space="preserve">enim ali več naslednjimi cilji </w:t>
            </w:r>
            <w:r w:rsidRPr="00B22787">
              <w:rPr>
                <w:lang w:val="sl-SI"/>
              </w:rPr>
              <w:t>aktivnosti Jean Monnet:</w:t>
            </w:r>
          </w:p>
          <w:p w14:paraId="7D399ED2" w14:textId="77777777" w:rsidR="00E03711" w:rsidRDefault="00E03711" w:rsidP="005115F2">
            <w:pPr>
              <w:pStyle w:val="Guide-NormalBulletpoints"/>
              <w:numPr>
                <w:ilvl w:val="1"/>
                <w:numId w:val="147"/>
              </w:numPr>
              <w:spacing w:before="60"/>
              <w:jc w:val="left"/>
              <w:rPr>
                <w:lang w:val="sl-SI"/>
              </w:rPr>
            </w:pPr>
            <w:r>
              <w:rPr>
                <w:lang w:val="sl-SI"/>
              </w:rPr>
              <w:t>spodbujanje odličnosti pri poučevanju in raziskovanju o evropskih študijah;</w:t>
            </w:r>
          </w:p>
          <w:p w14:paraId="7D399ED3" w14:textId="77777777" w:rsidR="00E03711" w:rsidRDefault="00E03711" w:rsidP="005115F2">
            <w:pPr>
              <w:pStyle w:val="Guide-NormalBulletpoints"/>
              <w:numPr>
                <w:ilvl w:val="1"/>
                <w:numId w:val="147"/>
              </w:numPr>
              <w:spacing w:before="60"/>
              <w:jc w:val="left"/>
              <w:rPr>
                <w:lang w:val="sl-SI"/>
              </w:rPr>
            </w:pPr>
            <w:r>
              <w:rPr>
                <w:lang w:val="sl-SI"/>
              </w:rPr>
              <w:t>spodbujanje ustvarjanja novega poučevanja/aktivnosti pri evropskih študijah;</w:t>
            </w:r>
          </w:p>
          <w:p w14:paraId="7D399ED4" w14:textId="77777777" w:rsidR="00E03711" w:rsidRDefault="00E03711" w:rsidP="005115F2">
            <w:pPr>
              <w:pStyle w:val="Guide-NormalBulletpoints"/>
              <w:numPr>
                <w:ilvl w:val="1"/>
                <w:numId w:val="147"/>
              </w:numPr>
              <w:spacing w:before="60"/>
              <w:jc w:val="left"/>
              <w:rPr>
                <w:lang w:val="sl-SI"/>
              </w:rPr>
            </w:pPr>
            <w:r>
              <w:rPr>
                <w:lang w:val="sl-SI"/>
              </w:rPr>
              <w:t>ustvarjanje znanja in vpogledov, ki lahko podpirajo oblikovanje politik EU in krepijo vlogo EU v globaliziranem svetu;</w:t>
            </w:r>
          </w:p>
          <w:p w14:paraId="7D399ED5" w14:textId="77777777" w:rsidR="00E03711" w:rsidRDefault="00E03711" w:rsidP="005115F2">
            <w:pPr>
              <w:pStyle w:val="Guide-NormalBulletpoints"/>
              <w:numPr>
                <w:ilvl w:val="1"/>
                <w:numId w:val="147"/>
              </w:numPr>
              <w:spacing w:before="60"/>
              <w:jc w:val="left"/>
              <w:rPr>
                <w:lang w:val="sl-SI"/>
              </w:rPr>
            </w:pPr>
            <w:r>
              <w:rPr>
                <w:lang w:val="sl-SI"/>
              </w:rPr>
              <w:t>vsebovanje koristi za sisteme politki, znotraj katerih je opredeljen;</w:t>
            </w:r>
          </w:p>
          <w:p w14:paraId="7D399ED6" w14:textId="77777777" w:rsidR="00E03711" w:rsidRDefault="00E03711" w:rsidP="005115F2">
            <w:pPr>
              <w:pStyle w:val="Guide-NormalBulletpoints"/>
              <w:numPr>
                <w:ilvl w:val="1"/>
                <w:numId w:val="147"/>
              </w:numPr>
              <w:spacing w:before="60"/>
              <w:jc w:val="left"/>
              <w:rPr>
                <w:lang w:val="sl-SI"/>
              </w:rPr>
            </w:pPr>
            <w:r>
              <w:rPr>
                <w:lang w:val="sl-SI"/>
              </w:rPr>
              <w:t>spodbujanje dialoga med akademskim svetom in širšo družbo;</w:t>
            </w:r>
          </w:p>
          <w:p w14:paraId="7D399ED7" w14:textId="77777777" w:rsidR="00E03711" w:rsidRDefault="00E03711" w:rsidP="005115F2">
            <w:pPr>
              <w:pStyle w:val="Guide-NormalBulletpoints"/>
              <w:numPr>
                <w:ilvl w:val="1"/>
                <w:numId w:val="147"/>
              </w:numPr>
              <w:spacing w:before="60"/>
              <w:jc w:val="left"/>
              <w:rPr>
                <w:lang w:val="sl-SI"/>
              </w:rPr>
            </w:pPr>
            <w:r>
              <w:rPr>
                <w:lang w:val="sl-SI"/>
              </w:rPr>
              <w:t>vključevanje akterjev civilne družbe, oblikovalcev politike, javnih uslužbencev, predstavnikov izobraževanja in predstavnikov medijev na različnih ravneh;</w:t>
            </w:r>
          </w:p>
          <w:p w14:paraId="7D399ED8" w14:textId="77777777" w:rsidR="00E03711" w:rsidRDefault="00E03711" w:rsidP="005115F2">
            <w:pPr>
              <w:pStyle w:val="Guide-NormalBulletpoints"/>
              <w:numPr>
                <w:ilvl w:val="1"/>
                <w:numId w:val="147"/>
              </w:numPr>
              <w:spacing w:before="60"/>
              <w:jc w:val="left"/>
              <w:rPr>
                <w:lang w:val="sl-SI"/>
              </w:rPr>
            </w:pPr>
            <w:r>
              <w:rPr>
                <w:lang w:val="sl-SI"/>
              </w:rPr>
              <w:t>širjenje znanja o EU v širši družbi, zunaj akademskih krogov in specializiranega občinstva;</w:t>
            </w:r>
          </w:p>
          <w:p w14:paraId="7D399ED9" w14:textId="77777777" w:rsidR="00E03711" w:rsidRPr="001048FE" w:rsidRDefault="00E03711" w:rsidP="005115F2">
            <w:pPr>
              <w:pStyle w:val="Guide-NormalBulletpoints"/>
              <w:numPr>
                <w:ilvl w:val="1"/>
                <w:numId w:val="147"/>
              </w:numPr>
              <w:spacing w:before="60"/>
              <w:jc w:val="left"/>
              <w:rPr>
                <w:lang w:val="sl-SI"/>
              </w:rPr>
            </w:pPr>
            <w:r>
              <w:rPr>
                <w:lang w:val="sl-SI"/>
              </w:rPr>
              <w:t>približanje EU javnosti.</w:t>
            </w:r>
          </w:p>
          <w:p w14:paraId="7D399EDA" w14:textId="77777777" w:rsidR="00E03711" w:rsidRPr="001048FE" w:rsidRDefault="00E03711" w:rsidP="005115F2">
            <w:pPr>
              <w:pStyle w:val="Guide-NormalBulletpoints"/>
              <w:numPr>
                <w:ilvl w:val="0"/>
                <w:numId w:val="151"/>
              </w:numPr>
              <w:spacing w:before="60"/>
              <w:jc w:val="left"/>
              <w:rPr>
                <w:lang w:val="sl-SI"/>
              </w:rPr>
            </w:pPr>
            <w:r w:rsidRPr="00D10C38">
              <w:rPr>
                <w:b/>
                <w:bCs/>
                <w:lang w:val="sl-SI"/>
              </w:rPr>
              <w:t>v kolikšni meri</w:t>
            </w:r>
            <w:r w:rsidRPr="001048FE">
              <w:rPr>
                <w:lang w:val="sl-SI"/>
              </w:rPr>
              <w:t xml:space="preserve"> predlog</w:t>
            </w:r>
            <w:r>
              <w:rPr>
                <w:lang w:val="sl-SI"/>
              </w:rPr>
              <w:t xml:space="preserve"> dosega </w:t>
            </w:r>
            <w:r w:rsidRPr="00D10C38">
              <w:rPr>
                <w:b/>
                <w:bCs/>
                <w:lang w:val="sl-SI"/>
              </w:rPr>
              <w:t>prednostne ciljne skupine</w:t>
            </w:r>
            <w:r w:rsidRPr="001048FE">
              <w:rPr>
                <w:lang w:val="sl-SI"/>
              </w:rPr>
              <w:t>:</w:t>
            </w:r>
          </w:p>
          <w:p w14:paraId="7D399EDB" w14:textId="77777777" w:rsidR="00E03711" w:rsidRPr="001048FE" w:rsidRDefault="00E03711" w:rsidP="005115F2">
            <w:pPr>
              <w:pStyle w:val="Guide-ListDash"/>
              <w:numPr>
                <w:ilvl w:val="1"/>
                <w:numId w:val="147"/>
              </w:numPr>
              <w:spacing w:before="60" w:after="60"/>
              <w:jc w:val="left"/>
              <w:rPr>
                <w:lang w:val="sl-SI"/>
              </w:rPr>
            </w:pPr>
            <w:r w:rsidRPr="001048FE">
              <w:rPr>
                <w:lang w:val="sl-SI"/>
              </w:rPr>
              <w:t>institucije ali akademiki, ki še niso prejeli sredstev Jean Monnet;</w:t>
            </w:r>
          </w:p>
          <w:p w14:paraId="7D399EDC" w14:textId="77777777" w:rsidR="00E03711" w:rsidRDefault="00E03711" w:rsidP="005115F2">
            <w:pPr>
              <w:pStyle w:val="Guide-ListDash"/>
              <w:numPr>
                <w:ilvl w:val="1"/>
                <w:numId w:val="152"/>
              </w:numPr>
              <w:spacing w:before="60" w:after="60"/>
              <w:jc w:val="left"/>
              <w:rPr>
                <w:lang w:val="sl-SI"/>
              </w:rPr>
            </w:pPr>
            <w:r w:rsidRPr="001048FE">
              <w:rPr>
                <w:lang w:val="sl-SI"/>
              </w:rPr>
              <w:t>študenti</w:t>
            </w:r>
            <w:r>
              <w:rPr>
                <w:lang w:val="sl-SI"/>
              </w:rPr>
              <w:t>/občinstva</w:t>
            </w:r>
            <w:r w:rsidRPr="001048FE">
              <w:rPr>
                <w:lang w:val="sl-SI"/>
              </w:rPr>
              <w:t>, ki ne pridejo samodejno v stik z evropskimi študijami (na področjih</w:t>
            </w:r>
            <w:r>
              <w:rPr>
                <w:lang w:val="sl-SI"/>
              </w:rPr>
              <w:t xml:space="preserve"> izven prava, ekonomije in politologije</w:t>
            </w:r>
            <w:r w:rsidRPr="001048FE">
              <w:rPr>
                <w:lang w:val="sl-SI"/>
              </w:rPr>
              <w:t>)</w:t>
            </w:r>
            <w:r>
              <w:rPr>
                <w:lang w:val="sl-SI"/>
              </w:rPr>
              <w:t>;</w:t>
            </w:r>
          </w:p>
          <w:p w14:paraId="7D399EDD" w14:textId="77777777" w:rsidR="00E03711" w:rsidRPr="001048FE" w:rsidRDefault="00E03711" w:rsidP="005115F2">
            <w:pPr>
              <w:pStyle w:val="Guide-ListDash"/>
              <w:numPr>
                <w:ilvl w:val="1"/>
                <w:numId w:val="161"/>
              </w:numPr>
              <w:spacing w:before="60" w:after="60"/>
              <w:ind w:left="1080"/>
              <w:jc w:val="left"/>
              <w:rPr>
                <w:lang w:val="sl-SI"/>
              </w:rPr>
            </w:pPr>
            <w:r>
              <w:rPr>
                <w:lang w:val="sl-SI"/>
              </w:rPr>
              <w:t>pri tretjih državah, potencial projekta, da okrepi javno diplomacijo EU.</w:t>
            </w:r>
          </w:p>
        </w:tc>
      </w:tr>
      <w:tr w:rsidR="00E03711" w:rsidRPr="00C60205" w14:paraId="7D399EE3" w14:textId="77777777" w:rsidTr="001923DD">
        <w:trPr>
          <w:cantSplit/>
          <w:trHeight w:val="170"/>
        </w:trPr>
        <w:tc>
          <w:tcPr>
            <w:tcW w:w="911" w:type="pct"/>
            <w:shd w:val="clear" w:color="auto" w:fill="FFFFFF"/>
            <w:vAlign w:val="center"/>
          </w:tcPr>
          <w:p w14:paraId="7D399EDF" w14:textId="77777777" w:rsidR="00E03711" w:rsidRPr="00F769E0" w:rsidRDefault="00E03711" w:rsidP="00BB3FBE">
            <w:pPr>
              <w:pStyle w:val="GUIDE-NORMAL"/>
              <w:spacing w:before="60" w:after="60"/>
              <w:jc w:val="left"/>
              <w:rPr>
                <w:rFonts w:cs="Tahoma"/>
                <w:b/>
                <w:lang w:val="sl-SI" w:eastAsia="en-GB"/>
              </w:rPr>
            </w:pPr>
            <w:r w:rsidRPr="00F769E0">
              <w:rPr>
                <w:rFonts w:cs="Tahoma"/>
                <w:b/>
                <w:lang w:val="sl-SI" w:eastAsia="en-GB"/>
              </w:rPr>
              <w:t xml:space="preserve">Kakovost zasnove in izvedbe projekta </w:t>
            </w:r>
            <w:r w:rsidRPr="00F769E0">
              <w:rPr>
                <w:rFonts w:cs="Tahoma"/>
                <w:b/>
                <w:lang w:val="sl-SI" w:eastAsia="en-GB"/>
              </w:rPr>
              <w:br/>
              <w:t>(največ 25 točk)</w:t>
            </w:r>
          </w:p>
        </w:tc>
        <w:tc>
          <w:tcPr>
            <w:tcW w:w="4089" w:type="pct"/>
            <w:shd w:val="clear" w:color="auto" w:fill="FFFFFF"/>
          </w:tcPr>
          <w:p w14:paraId="7D399EE0" w14:textId="77777777" w:rsidR="00E03711" w:rsidRPr="006E61F8" w:rsidRDefault="00E03711" w:rsidP="005115F2">
            <w:pPr>
              <w:pStyle w:val="Guide-NormalBulletpoints"/>
              <w:numPr>
                <w:ilvl w:val="0"/>
                <w:numId w:val="160"/>
              </w:numPr>
              <w:ind w:left="340" w:hanging="340"/>
              <w:rPr>
                <w:lang w:val="sl-SI"/>
              </w:rPr>
            </w:pPr>
            <w:r w:rsidRPr="006E61F8">
              <w:rPr>
                <w:lang w:val="sl-SI"/>
              </w:rPr>
              <w:t xml:space="preserve">jasnost, celovitost in kakovost </w:t>
            </w:r>
            <w:r>
              <w:rPr>
                <w:lang w:val="sl-SI"/>
              </w:rPr>
              <w:t xml:space="preserve">predloga in </w:t>
            </w:r>
            <w:r w:rsidRPr="00D10C38">
              <w:rPr>
                <w:b/>
                <w:bCs/>
                <w:lang w:val="sl-SI"/>
              </w:rPr>
              <w:t>delovnega programa</w:t>
            </w:r>
            <w:r w:rsidRPr="006E61F8">
              <w:rPr>
                <w:lang w:val="sl-SI"/>
              </w:rPr>
              <w:t xml:space="preserve">, vključno z </w:t>
            </w:r>
            <w:r w:rsidRPr="00D10C38">
              <w:rPr>
                <w:b/>
                <w:bCs/>
                <w:lang w:val="sl-SI"/>
              </w:rPr>
              <w:t>ustreznim</w:t>
            </w:r>
            <w:r w:rsidRPr="006E61F8">
              <w:rPr>
                <w:lang w:val="sl-SI"/>
              </w:rPr>
              <w:t xml:space="preserve"> </w:t>
            </w:r>
            <w:r w:rsidRPr="00D10C38">
              <w:rPr>
                <w:b/>
                <w:bCs/>
                <w:lang w:val="sl-SI"/>
              </w:rPr>
              <w:t>načrtovanjem</w:t>
            </w:r>
            <w:r>
              <w:rPr>
                <w:lang w:val="sl-SI"/>
              </w:rPr>
              <w:t xml:space="preserve"> faz </w:t>
            </w:r>
            <w:r w:rsidRPr="006E61F8">
              <w:rPr>
                <w:lang w:val="sl-SI"/>
              </w:rPr>
              <w:t>priprav</w:t>
            </w:r>
            <w:r>
              <w:rPr>
                <w:lang w:val="sl-SI"/>
              </w:rPr>
              <w:t>e</w:t>
            </w:r>
            <w:r w:rsidRPr="006E61F8">
              <w:rPr>
                <w:lang w:val="sl-SI"/>
              </w:rPr>
              <w:t>, izvajanj</w:t>
            </w:r>
            <w:r>
              <w:rPr>
                <w:lang w:val="sl-SI"/>
              </w:rPr>
              <w:t>a</w:t>
            </w:r>
            <w:r w:rsidRPr="006E61F8">
              <w:rPr>
                <w:lang w:val="sl-SI"/>
              </w:rPr>
              <w:t>, ocenjevanj</w:t>
            </w:r>
            <w:r>
              <w:rPr>
                <w:lang w:val="sl-SI"/>
              </w:rPr>
              <w:t>a</w:t>
            </w:r>
            <w:r w:rsidRPr="006E61F8">
              <w:rPr>
                <w:lang w:val="sl-SI"/>
              </w:rPr>
              <w:t>, nadaljnje</w:t>
            </w:r>
            <w:r>
              <w:rPr>
                <w:lang w:val="sl-SI"/>
              </w:rPr>
              <w:t>ga</w:t>
            </w:r>
            <w:r w:rsidRPr="006E61F8">
              <w:rPr>
                <w:lang w:val="sl-SI"/>
              </w:rPr>
              <w:t xml:space="preserve"> spremljanj</w:t>
            </w:r>
            <w:r>
              <w:rPr>
                <w:lang w:val="sl-SI"/>
              </w:rPr>
              <w:t>a</w:t>
            </w:r>
            <w:r w:rsidRPr="006E61F8">
              <w:rPr>
                <w:lang w:val="sl-SI"/>
              </w:rPr>
              <w:t xml:space="preserve"> in razširjanj</w:t>
            </w:r>
            <w:r>
              <w:rPr>
                <w:lang w:val="sl-SI"/>
              </w:rPr>
              <w:t>a</w:t>
            </w:r>
            <w:r w:rsidRPr="006E61F8">
              <w:rPr>
                <w:lang w:val="sl-SI"/>
              </w:rPr>
              <w:t>;</w:t>
            </w:r>
          </w:p>
          <w:p w14:paraId="7D399EE1" w14:textId="77777777" w:rsidR="00E03711" w:rsidRPr="009A2C2A" w:rsidRDefault="00E03711" w:rsidP="005115F2">
            <w:pPr>
              <w:pStyle w:val="Guide-NormalBulletpoints"/>
              <w:numPr>
                <w:ilvl w:val="0"/>
                <w:numId w:val="160"/>
              </w:numPr>
              <w:ind w:left="340" w:hanging="340"/>
              <w:rPr>
                <w:lang w:val="sl-SI"/>
              </w:rPr>
            </w:pPr>
            <w:r w:rsidRPr="00D10C38">
              <w:rPr>
                <w:b/>
                <w:bCs/>
                <w:lang w:val="sl-SI"/>
              </w:rPr>
              <w:t>skladnost</w:t>
            </w:r>
            <w:r>
              <w:rPr>
                <w:lang w:val="sl-SI"/>
              </w:rPr>
              <w:t xml:space="preserve"> </w:t>
            </w:r>
            <w:r w:rsidRPr="009A2C2A">
              <w:rPr>
                <w:lang w:val="sl-SI"/>
              </w:rPr>
              <w:t>ciljev projekta</w:t>
            </w:r>
            <w:r>
              <w:rPr>
                <w:lang w:val="sl-SI"/>
              </w:rPr>
              <w:t xml:space="preserve"> in</w:t>
            </w:r>
            <w:r w:rsidRPr="009A2C2A">
              <w:rPr>
                <w:lang w:val="sl-SI"/>
              </w:rPr>
              <w:t xml:space="preserve"> aktivnosti;</w:t>
            </w:r>
          </w:p>
          <w:p w14:paraId="7D399EE2" w14:textId="77777777" w:rsidR="00E03711" w:rsidRPr="001048FE" w:rsidRDefault="00E03711" w:rsidP="005115F2">
            <w:pPr>
              <w:pStyle w:val="Guide-NormalBulletpoints"/>
              <w:numPr>
                <w:ilvl w:val="0"/>
                <w:numId w:val="160"/>
              </w:numPr>
              <w:spacing w:before="60"/>
              <w:ind w:left="340" w:hanging="340"/>
              <w:jc w:val="left"/>
              <w:rPr>
                <w:lang w:val="sl-SI"/>
              </w:rPr>
            </w:pPr>
            <w:r w:rsidRPr="009A2C2A">
              <w:rPr>
                <w:lang w:val="sl-SI"/>
              </w:rPr>
              <w:t>kakovost</w:t>
            </w:r>
            <w:r>
              <w:rPr>
                <w:lang w:val="sl-SI"/>
              </w:rPr>
              <w:t>, novost</w:t>
            </w:r>
            <w:r w:rsidRPr="009A2C2A">
              <w:rPr>
                <w:lang w:val="sl-SI"/>
              </w:rPr>
              <w:t xml:space="preserve"> in izvedljivost </w:t>
            </w:r>
            <w:r>
              <w:rPr>
                <w:lang w:val="sl-SI"/>
              </w:rPr>
              <w:t xml:space="preserve">projekta samega ter izvedljivost </w:t>
            </w:r>
            <w:r w:rsidRPr="009A2C2A">
              <w:rPr>
                <w:lang w:val="sl-SI"/>
              </w:rPr>
              <w:t>predlagane metodologije.</w:t>
            </w:r>
          </w:p>
        </w:tc>
      </w:tr>
      <w:tr w:rsidR="00E03711" w:rsidRPr="00C60205" w14:paraId="7D399EE6" w14:textId="77777777" w:rsidTr="001923DD">
        <w:trPr>
          <w:cantSplit/>
          <w:trHeight w:val="170"/>
        </w:trPr>
        <w:tc>
          <w:tcPr>
            <w:tcW w:w="911" w:type="pct"/>
            <w:shd w:val="clear" w:color="auto" w:fill="FFFFFF"/>
            <w:vAlign w:val="center"/>
          </w:tcPr>
          <w:p w14:paraId="7D399EE4" w14:textId="77777777" w:rsidR="00E03711" w:rsidRPr="00F769E0" w:rsidRDefault="00E03711" w:rsidP="00BB3FBE">
            <w:pPr>
              <w:pStyle w:val="GUIDE-NORMAL"/>
              <w:spacing w:before="60" w:after="60"/>
              <w:jc w:val="left"/>
              <w:rPr>
                <w:rFonts w:cs="Tahoma"/>
                <w:b/>
                <w:lang w:val="sl-SI" w:eastAsia="en-GB"/>
              </w:rPr>
            </w:pPr>
            <w:r w:rsidRPr="00F769E0">
              <w:rPr>
                <w:rFonts w:cs="Tahoma"/>
                <w:b/>
                <w:lang w:val="sl-SI" w:eastAsia="en-GB"/>
              </w:rPr>
              <w:t xml:space="preserve">Kakovost projektne skupine </w:t>
            </w:r>
            <w:r w:rsidRPr="00F769E0">
              <w:rPr>
                <w:rFonts w:cs="Tahoma"/>
                <w:b/>
                <w:lang w:val="sl-SI" w:eastAsia="en-GB"/>
              </w:rPr>
              <w:br/>
              <w:t>(največ 25 točk)</w:t>
            </w:r>
          </w:p>
        </w:tc>
        <w:tc>
          <w:tcPr>
            <w:tcW w:w="4089" w:type="pct"/>
            <w:shd w:val="clear" w:color="auto" w:fill="FFFFFF"/>
          </w:tcPr>
          <w:p w14:paraId="7D399EE5" w14:textId="77777777" w:rsidR="00E03711" w:rsidRPr="001048FE" w:rsidRDefault="00E03711" w:rsidP="005115F2">
            <w:pPr>
              <w:pStyle w:val="Guide-NormalBulletpoints"/>
              <w:numPr>
                <w:ilvl w:val="0"/>
                <w:numId w:val="160"/>
              </w:numPr>
              <w:spacing w:before="60"/>
              <w:ind w:left="340" w:hanging="340"/>
              <w:jc w:val="left"/>
              <w:rPr>
                <w:lang w:val="sl-SI"/>
              </w:rPr>
            </w:pPr>
            <w:r w:rsidRPr="001048FE">
              <w:rPr>
                <w:lang w:val="sl-SI"/>
              </w:rPr>
              <w:t>ustreznost</w:t>
            </w:r>
            <w:r>
              <w:rPr>
                <w:lang w:val="sl-SI"/>
              </w:rPr>
              <w:t xml:space="preserve"> in komplementarnost</w:t>
            </w:r>
            <w:r w:rsidRPr="001048FE">
              <w:rPr>
                <w:lang w:val="sl-SI"/>
              </w:rPr>
              <w:t xml:space="preserve"> profila in strokovnega znanja ključnega osebja </w:t>
            </w:r>
            <w:r>
              <w:rPr>
                <w:lang w:val="sl-SI"/>
              </w:rPr>
              <w:t>pri aktivnostih, predlaganih v projektu</w:t>
            </w:r>
            <w:r w:rsidRPr="001048FE">
              <w:rPr>
                <w:lang w:val="sl-SI"/>
              </w:rPr>
              <w:t>– na akademskem in neakademskem področju</w:t>
            </w:r>
            <w:r>
              <w:rPr>
                <w:lang w:val="sl-SI"/>
              </w:rPr>
              <w:t>, kjer je to ustrezno</w:t>
            </w:r>
            <w:r w:rsidRPr="001048FE">
              <w:rPr>
                <w:lang w:val="sl-SI"/>
              </w:rPr>
              <w:t>.</w:t>
            </w:r>
          </w:p>
        </w:tc>
      </w:tr>
      <w:tr w:rsidR="00E03711" w:rsidRPr="00C60205" w14:paraId="7D399EF6" w14:textId="77777777" w:rsidTr="001923DD">
        <w:trPr>
          <w:cantSplit/>
          <w:trHeight w:val="170"/>
        </w:trPr>
        <w:tc>
          <w:tcPr>
            <w:tcW w:w="911" w:type="pct"/>
            <w:shd w:val="clear" w:color="auto" w:fill="FFFFFF"/>
            <w:vAlign w:val="center"/>
          </w:tcPr>
          <w:p w14:paraId="7D399EE7" w14:textId="77777777" w:rsidR="00E03711" w:rsidRPr="00F769E0" w:rsidRDefault="00E03711" w:rsidP="00BB3FBE">
            <w:pPr>
              <w:pStyle w:val="GUIDE-NORMAL"/>
              <w:spacing w:before="60" w:after="60"/>
              <w:jc w:val="left"/>
              <w:rPr>
                <w:rFonts w:cs="Tahoma"/>
                <w:b/>
                <w:lang w:val="sl-SI" w:eastAsia="en-GB"/>
              </w:rPr>
            </w:pPr>
            <w:r w:rsidRPr="00F769E0">
              <w:rPr>
                <w:rFonts w:cs="Tahoma"/>
                <w:b/>
                <w:lang w:val="sl-SI" w:eastAsia="en-GB"/>
              </w:rPr>
              <w:t xml:space="preserve">Učinek in razširjanje </w:t>
            </w:r>
            <w:r w:rsidRPr="00F769E0">
              <w:rPr>
                <w:rFonts w:cs="Tahoma"/>
                <w:b/>
                <w:lang w:val="sl-SI" w:eastAsia="en-GB"/>
              </w:rPr>
              <w:br/>
              <w:t>(največ 25 točk)</w:t>
            </w:r>
          </w:p>
        </w:tc>
        <w:tc>
          <w:tcPr>
            <w:tcW w:w="4089" w:type="pct"/>
            <w:shd w:val="clear" w:color="auto" w:fill="FFFFFF"/>
          </w:tcPr>
          <w:p w14:paraId="7D399EE8" w14:textId="77777777" w:rsidR="00E03711" w:rsidRPr="001048FE" w:rsidRDefault="00E03711" w:rsidP="005115F2">
            <w:pPr>
              <w:pStyle w:val="Guide-NormalBulletpoints"/>
              <w:numPr>
                <w:ilvl w:val="0"/>
                <w:numId w:val="150"/>
              </w:numPr>
              <w:spacing w:before="60"/>
              <w:jc w:val="left"/>
              <w:rPr>
                <w:lang w:val="sl-SI"/>
              </w:rPr>
            </w:pPr>
            <w:r w:rsidRPr="00D10C38">
              <w:rPr>
                <w:b/>
                <w:bCs/>
                <w:lang w:val="sl-SI"/>
              </w:rPr>
              <w:t>pričakovan</w:t>
            </w:r>
            <w:r>
              <w:rPr>
                <w:b/>
                <w:bCs/>
                <w:lang w:val="sl-SI"/>
              </w:rPr>
              <w:t>i</w:t>
            </w:r>
            <w:r w:rsidRPr="00D10C38">
              <w:rPr>
                <w:b/>
                <w:bCs/>
                <w:lang w:val="sl-SI"/>
              </w:rPr>
              <w:t xml:space="preserve"> učinek</w:t>
            </w:r>
            <w:r w:rsidRPr="001048FE">
              <w:rPr>
                <w:lang w:val="sl-SI"/>
              </w:rPr>
              <w:t xml:space="preserve"> projekta</w:t>
            </w:r>
            <w:r>
              <w:rPr>
                <w:lang w:val="sl-SI"/>
              </w:rPr>
              <w:t xml:space="preserve"> v smislu dolgoročnih učinkov</w:t>
            </w:r>
            <w:r w:rsidRPr="001048FE">
              <w:rPr>
                <w:lang w:val="sl-SI"/>
              </w:rPr>
              <w:t>:</w:t>
            </w:r>
          </w:p>
          <w:p w14:paraId="7D399EE9" w14:textId="77777777" w:rsidR="00E03711" w:rsidRPr="001048FE" w:rsidRDefault="00E03711" w:rsidP="005115F2">
            <w:pPr>
              <w:pStyle w:val="Guide-ListDash"/>
              <w:numPr>
                <w:ilvl w:val="1"/>
                <w:numId w:val="153"/>
              </w:numPr>
              <w:spacing w:before="60" w:after="60"/>
              <w:jc w:val="left"/>
              <w:rPr>
                <w:lang w:val="sl-SI"/>
              </w:rPr>
            </w:pPr>
            <w:r w:rsidRPr="001048FE">
              <w:rPr>
                <w:lang w:val="sl-SI"/>
              </w:rPr>
              <w:t xml:space="preserve">na institucijo, ki </w:t>
            </w:r>
            <w:r>
              <w:rPr>
                <w:lang w:val="sl-SI"/>
              </w:rPr>
              <w:t xml:space="preserve">gosti </w:t>
            </w:r>
            <w:r w:rsidRPr="001048FE">
              <w:rPr>
                <w:lang w:val="sl-SI"/>
              </w:rPr>
              <w:t>ukrep Jean Monnet;</w:t>
            </w:r>
          </w:p>
          <w:p w14:paraId="7D399EEA" w14:textId="77777777" w:rsidR="00E03711" w:rsidRPr="001048FE" w:rsidRDefault="00E03711" w:rsidP="005115F2">
            <w:pPr>
              <w:pStyle w:val="Guide-ListDash"/>
              <w:numPr>
                <w:ilvl w:val="1"/>
                <w:numId w:val="153"/>
              </w:numPr>
              <w:spacing w:before="60" w:after="60"/>
              <w:jc w:val="left"/>
              <w:rPr>
                <w:lang w:val="sl-SI"/>
              </w:rPr>
            </w:pPr>
            <w:r w:rsidRPr="001048FE">
              <w:rPr>
                <w:lang w:val="sl-SI"/>
              </w:rPr>
              <w:t>na študente in učeče se, ki imajo koristi od ukrepa Jean Monnet;</w:t>
            </w:r>
          </w:p>
          <w:p w14:paraId="7D399EEB" w14:textId="77777777" w:rsidR="00E03711" w:rsidRPr="001048FE" w:rsidRDefault="00E03711" w:rsidP="005115F2">
            <w:pPr>
              <w:pStyle w:val="Guide-ListDash"/>
              <w:numPr>
                <w:ilvl w:val="1"/>
                <w:numId w:val="153"/>
              </w:numPr>
              <w:spacing w:before="60" w:after="60"/>
              <w:jc w:val="left"/>
              <w:rPr>
                <w:lang w:val="sl-SI"/>
              </w:rPr>
            </w:pPr>
            <w:r w:rsidRPr="001048FE">
              <w:rPr>
                <w:lang w:val="sl-SI"/>
              </w:rPr>
              <w:t>na druge organizacije in posameznike, ki so vključeni na lokalni, regionalni, nacionalni in/ali evropski ravni</w:t>
            </w:r>
            <w:r>
              <w:rPr>
                <w:lang w:val="sl-SI"/>
              </w:rPr>
              <w:t>.</w:t>
            </w:r>
          </w:p>
          <w:p w14:paraId="7D399EEC" w14:textId="77777777" w:rsidR="00E03711" w:rsidRDefault="00E03711" w:rsidP="005115F2">
            <w:pPr>
              <w:pStyle w:val="Guide-NormalBulletpoints"/>
              <w:numPr>
                <w:ilvl w:val="0"/>
                <w:numId w:val="150"/>
              </w:numPr>
              <w:spacing w:before="60"/>
              <w:jc w:val="left"/>
              <w:rPr>
                <w:lang w:val="sl-SI"/>
              </w:rPr>
            </w:pPr>
            <w:r w:rsidRPr="00D10C38">
              <w:rPr>
                <w:b/>
                <w:bCs/>
                <w:lang w:val="sl-SI"/>
              </w:rPr>
              <w:t>ustreznost in kakovost ukrepov</w:t>
            </w:r>
            <w:r w:rsidRPr="001048FE">
              <w:rPr>
                <w:lang w:val="sl-SI"/>
              </w:rPr>
              <w:t>, katerih cilj je razširjanje rezultatov aktivnosti na instituciji, ki gosti ukrep Jean Monnet, in drugod;</w:t>
            </w:r>
          </w:p>
          <w:p w14:paraId="7D399EED" w14:textId="77777777" w:rsidR="00E03711" w:rsidRDefault="00E03711" w:rsidP="005115F2">
            <w:pPr>
              <w:pStyle w:val="Guide-NormalBulletpoints"/>
              <w:numPr>
                <w:ilvl w:val="1"/>
                <w:numId w:val="150"/>
              </w:numPr>
              <w:spacing w:before="60"/>
              <w:jc w:val="left"/>
              <w:rPr>
                <w:lang w:val="sl-SI"/>
              </w:rPr>
            </w:pPr>
            <w:r>
              <w:rPr>
                <w:lang w:val="sl-SI"/>
              </w:rPr>
              <w:t>širjenje novic;</w:t>
            </w:r>
          </w:p>
          <w:p w14:paraId="7D399EEE" w14:textId="77777777" w:rsidR="00E03711" w:rsidRDefault="00E03711" w:rsidP="005115F2">
            <w:pPr>
              <w:pStyle w:val="Guide-NormalBulletpoints"/>
              <w:numPr>
                <w:ilvl w:val="1"/>
                <w:numId w:val="150"/>
              </w:numPr>
              <w:spacing w:before="60"/>
              <w:jc w:val="left"/>
              <w:rPr>
                <w:lang w:val="sl-SI"/>
              </w:rPr>
            </w:pPr>
            <w:r>
              <w:rPr>
                <w:lang w:val="sl-SI"/>
              </w:rPr>
              <w:t>ozaveščanje o projektih in rezultatih, krepitev vidnosti udeležencev in organizacij;</w:t>
            </w:r>
          </w:p>
          <w:p w14:paraId="7D399EEF" w14:textId="77777777" w:rsidR="00E03711" w:rsidRDefault="00E03711" w:rsidP="005115F2">
            <w:pPr>
              <w:pStyle w:val="Guide-NormalBulletpoints"/>
              <w:numPr>
                <w:ilvl w:val="1"/>
                <w:numId w:val="150"/>
              </w:numPr>
              <w:spacing w:before="60"/>
              <w:jc w:val="left"/>
              <w:rPr>
                <w:lang w:val="sl-SI"/>
              </w:rPr>
            </w:pPr>
            <w:r>
              <w:rPr>
                <w:lang w:val="sl-SI"/>
              </w:rPr>
              <w:t>navezovanje stikov s skupinami zunaj institucij visokošolskega izobraževanja;</w:t>
            </w:r>
          </w:p>
          <w:p w14:paraId="7D399EF0" w14:textId="77777777" w:rsidR="00E03711" w:rsidRPr="003B5459" w:rsidRDefault="00E03711" w:rsidP="005115F2">
            <w:pPr>
              <w:pStyle w:val="Guide-NormalBulletpoints"/>
              <w:numPr>
                <w:ilvl w:val="1"/>
                <w:numId w:val="150"/>
              </w:numPr>
              <w:spacing w:before="60"/>
              <w:jc w:val="left"/>
              <w:rPr>
                <w:lang w:val="sl-SI"/>
              </w:rPr>
            </w:pPr>
            <w:r>
              <w:rPr>
                <w:lang w:val="sl-SI"/>
              </w:rPr>
              <w:t>prenosljivost in prevod v nove politike ter izboljšane prakse.</w:t>
            </w:r>
          </w:p>
          <w:p w14:paraId="7D399EF1" w14:textId="77777777" w:rsidR="00E03711" w:rsidRDefault="00E03711" w:rsidP="005115F2">
            <w:pPr>
              <w:pStyle w:val="Guide-NormalBulletpoints"/>
              <w:numPr>
                <w:ilvl w:val="0"/>
                <w:numId w:val="150"/>
              </w:numPr>
              <w:spacing w:before="60"/>
              <w:jc w:val="left"/>
              <w:rPr>
                <w:lang w:val="sl-SI"/>
              </w:rPr>
            </w:pPr>
            <w:r w:rsidRPr="000A1737">
              <w:rPr>
                <w:b/>
                <w:bCs/>
                <w:lang w:val="sl-SI"/>
              </w:rPr>
              <w:t>v kolikšni meri</w:t>
            </w:r>
            <w:r>
              <w:rPr>
                <w:lang w:val="sl-SI"/>
              </w:rPr>
              <w:t xml:space="preserve"> bodo predvidena orodja za razširjanje dosegla ciljno občinstvo preko:</w:t>
            </w:r>
          </w:p>
          <w:p w14:paraId="7D399EF2" w14:textId="77777777" w:rsidR="00E03711" w:rsidRDefault="00E03711" w:rsidP="005115F2">
            <w:pPr>
              <w:pStyle w:val="Guide-NormalBulletpoints"/>
              <w:numPr>
                <w:ilvl w:val="1"/>
                <w:numId w:val="150"/>
              </w:numPr>
              <w:spacing w:before="60"/>
              <w:jc w:val="left"/>
              <w:rPr>
                <w:lang w:val="sl-SI"/>
              </w:rPr>
            </w:pPr>
            <w:r>
              <w:rPr>
                <w:lang w:val="sl-SI"/>
              </w:rPr>
              <w:t>izpostavljenosti medijem (vključno z družbenimi mediji, publikacijami itd.);</w:t>
            </w:r>
          </w:p>
          <w:p w14:paraId="7D399EF3" w14:textId="77777777" w:rsidR="00E03711" w:rsidRDefault="00E03711" w:rsidP="005115F2">
            <w:pPr>
              <w:pStyle w:val="Guide-NormalBulletpoints"/>
              <w:numPr>
                <w:ilvl w:val="1"/>
                <w:numId w:val="150"/>
              </w:numPr>
              <w:spacing w:before="60"/>
              <w:jc w:val="left"/>
              <w:rPr>
                <w:lang w:val="sl-SI"/>
              </w:rPr>
            </w:pPr>
            <w:r>
              <w:rPr>
                <w:lang w:val="sl-SI"/>
              </w:rPr>
              <w:t>prireditev;</w:t>
            </w:r>
          </w:p>
          <w:p w14:paraId="7D399EF4" w14:textId="77777777" w:rsidR="00E03711" w:rsidRDefault="00E03711" w:rsidP="005115F2">
            <w:pPr>
              <w:pStyle w:val="Guide-NormalBulletpoints"/>
              <w:numPr>
                <w:ilvl w:val="1"/>
                <w:numId w:val="150"/>
              </w:numPr>
              <w:spacing w:before="60"/>
              <w:jc w:val="left"/>
              <w:rPr>
                <w:lang w:val="sl-SI"/>
              </w:rPr>
            </w:pPr>
            <w:r>
              <w:rPr>
                <w:lang w:val="sl-SI"/>
              </w:rPr>
              <w:t>tečajev usposabljanja;</w:t>
            </w:r>
          </w:p>
          <w:p w14:paraId="7D399EF5" w14:textId="77777777" w:rsidR="00E03711" w:rsidRPr="001048FE" w:rsidRDefault="00E03711" w:rsidP="005115F2">
            <w:pPr>
              <w:pStyle w:val="Guide-NormalBulletpoints"/>
              <w:numPr>
                <w:ilvl w:val="1"/>
                <w:numId w:val="150"/>
              </w:numPr>
              <w:spacing w:before="60"/>
              <w:jc w:val="left"/>
              <w:rPr>
                <w:lang w:val="sl-SI"/>
              </w:rPr>
            </w:pPr>
            <w:r w:rsidRPr="009B07B9">
              <w:rPr>
                <w:lang w:val="sl-SI"/>
              </w:rPr>
              <w:t>uporabe novih tehnologij (večpredstavnostna orodja), vključno z odprtimi izobraževalnimi viri (OER).</w:t>
            </w:r>
          </w:p>
        </w:tc>
      </w:tr>
    </w:tbl>
    <w:p w14:paraId="7D399EF7" w14:textId="77777777" w:rsidR="00E03711" w:rsidRPr="001048FE" w:rsidRDefault="00E03711" w:rsidP="00BB3FBE">
      <w:pPr>
        <w:pStyle w:val="GUIDE-NORMAL"/>
        <w:rPr>
          <w:lang w:val="sl-SI"/>
        </w:rPr>
      </w:pPr>
      <w:r w:rsidRPr="001048FE">
        <w:rPr>
          <w:lang w:val="sl-SI"/>
        </w:rPr>
        <w:t>Za upoštevanje pri dodeljevanju sredstev morajo predlogi doseči vsaj 60 točk. Poleg tega morajo doseči vsaj 13 točk v vsaki od navedenih kategorij meril za dodelitev.</w:t>
      </w:r>
    </w:p>
    <w:p w14:paraId="7D399EF8" w14:textId="77777777" w:rsidR="00E03711" w:rsidRPr="001048FE" w:rsidRDefault="00E03711" w:rsidP="00BB3FBE">
      <w:pPr>
        <w:pStyle w:val="Guide-Heading4"/>
        <w:rPr>
          <w:lang w:val="sl-SI"/>
        </w:rPr>
      </w:pPr>
      <w:bookmarkStart w:id="330" w:name="_Toc527401198"/>
      <w:r w:rsidRPr="001048FE">
        <w:rPr>
          <w:lang w:val="sl-SI"/>
        </w:rPr>
        <w:t>Kaj je še treba vedeti o podpori Jean Monnet za omrežja?</w:t>
      </w:r>
      <w:bookmarkEnd w:id="330"/>
    </w:p>
    <w:p w14:paraId="7D399EF9" w14:textId="77777777" w:rsidR="00E03711" w:rsidRPr="001048FE" w:rsidRDefault="00E03711" w:rsidP="00BB3FBE">
      <w:pPr>
        <w:pStyle w:val="Guide-Heading5"/>
        <w:rPr>
          <w:lang w:val="sl-SI"/>
        </w:rPr>
      </w:pPr>
      <w:r w:rsidRPr="001048FE">
        <w:rPr>
          <w:lang w:val="sl-SI"/>
        </w:rPr>
        <w:t>Učinek in razširjanje</w:t>
      </w:r>
    </w:p>
    <w:p w14:paraId="7D399EFA" w14:textId="77777777" w:rsidR="00E03711" w:rsidRPr="001048FE" w:rsidRDefault="00E03711" w:rsidP="00BB3FBE">
      <w:pPr>
        <w:pStyle w:val="GUIDE-NORMAL"/>
        <w:rPr>
          <w:lang w:val="sl-SI"/>
        </w:rPr>
      </w:pPr>
      <w:r w:rsidRPr="001048FE">
        <w:rPr>
          <w:lang w:val="sl-SI"/>
        </w:rPr>
        <w:t>Omrežja, izbrana v okviru tega ukrepa, morajo razširjati in uporabiti rezultate svojih aktivnosti tudi zunaj kroga neposredno vključenih udeležencev. To bo znatno okrepilo učinek in prispevalo k sistemski spremembi.</w:t>
      </w:r>
    </w:p>
    <w:p w14:paraId="7D399EFB" w14:textId="77777777" w:rsidR="00E03711" w:rsidRPr="001048FE" w:rsidRDefault="00E03711" w:rsidP="001923DD">
      <w:pPr>
        <w:pStyle w:val="GUIDE-NORMAL"/>
        <w:rPr>
          <w:lang w:val="sl-SI"/>
        </w:rPr>
      </w:pPr>
      <w:r w:rsidRPr="001048FE">
        <w:rPr>
          <w:lang w:val="sl-SI"/>
        </w:rPr>
        <w:t xml:space="preserve">Za okrepitev učinka bi v svoje aktivnosti razširjanja morala vključiti ustvarjanje orodij in dogodkov, ki </w:t>
      </w:r>
      <w:r>
        <w:rPr>
          <w:lang w:val="sl-SI"/>
        </w:rPr>
        <w:t>so prilagojeni njihovim ciljem.</w:t>
      </w:r>
      <w:r>
        <w:rPr>
          <w:lang w:val="sl-SI"/>
        </w:rPr>
        <w:br/>
      </w:r>
      <w:r w:rsidRPr="001048FE">
        <w:rPr>
          <w:lang w:val="sl-SI"/>
        </w:rPr>
        <w:t>Vsa omrežja Jean Monnet bodo morala zagotoviti posodabljanje svojega razdelka v spletnem orodju za program Erasmus+, kjer bodo na voljo vse informacije o aktivnostih programa Jean Monnet.</w:t>
      </w:r>
    </w:p>
    <w:p w14:paraId="7D399EFC" w14:textId="77777777" w:rsidR="00E03711" w:rsidRPr="001048FE" w:rsidRDefault="00E03711" w:rsidP="00BB3FBE">
      <w:pPr>
        <w:pStyle w:val="GUIDE-NORMAL"/>
        <w:rPr>
          <w:lang w:val="sl-SI"/>
        </w:rPr>
      </w:pPr>
      <w:r w:rsidRPr="001048FE">
        <w:rPr>
          <w:lang w:val="sl-SI"/>
        </w:rPr>
        <w:t>Projekti se bodo močno spodbujali k uporabi ustreznih obstoječih platform in orodij (tj. imenik projektov Jean Monnet, virtualna skupnost Jean Monnet). Z izvajanjem teh nalog, ki so del splošnega orodja informacijske tehnologije za Erasmus+, se zagotavlja obveščenost širše javnosti o aktivnostih omrežja Jean Monnet. Prejemniki nepovratnih sredstev bodo morali zagotoviti redno posodabljanje orodja z rezultati svojega dela.</w:t>
      </w:r>
    </w:p>
    <w:p w14:paraId="7D399EFD" w14:textId="77777777" w:rsidR="00E03711" w:rsidRDefault="00E03711" w:rsidP="00BB3FBE">
      <w:pPr>
        <w:pStyle w:val="Guide-Heading5"/>
        <w:rPr>
          <w:lang w:val="sl-SI"/>
        </w:rPr>
        <w:sectPr w:rsidR="00E03711" w:rsidSect="00E15ED3">
          <w:headerReference w:type="default" r:id="rId127"/>
          <w:endnotePr>
            <w:numFmt w:val="decimal"/>
          </w:endnotePr>
          <w:pgSz w:w="11910" w:h="16840" w:code="9"/>
          <w:pgMar w:top="1134" w:right="1418" w:bottom="1134" w:left="1418" w:header="284" w:footer="567" w:gutter="0"/>
          <w:cols w:space="720"/>
          <w:docGrid w:linePitch="326"/>
        </w:sectPr>
      </w:pPr>
    </w:p>
    <w:p w14:paraId="7D399EFE" w14:textId="77777777" w:rsidR="00E03711" w:rsidRPr="001048FE" w:rsidRDefault="00E03711" w:rsidP="00BB3FBE">
      <w:pPr>
        <w:pStyle w:val="Guide-Heading5"/>
        <w:rPr>
          <w:lang w:val="sl-SI"/>
        </w:rPr>
      </w:pPr>
      <w:r w:rsidRPr="001048FE">
        <w:rPr>
          <w:lang w:val="sl-SI"/>
        </w:rPr>
        <w:t>Kakšna so pravila za dodelitev sredstev?</w:t>
      </w:r>
    </w:p>
    <w:p w14:paraId="7D399EFF" w14:textId="77777777" w:rsidR="00E03711" w:rsidRPr="001048FE" w:rsidRDefault="00E03711" w:rsidP="00BB3FBE">
      <w:pPr>
        <w:pStyle w:val="GUIDE-NORMAL"/>
        <w:rPr>
          <w:lang w:val="sl-SI"/>
        </w:rPr>
      </w:pPr>
      <w:r w:rsidRPr="001048FE">
        <w:rPr>
          <w:lang w:val="sl-SI"/>
        </w:rPr>
        <w:t>Če je projekt izbran, veljajo naslednja pravila za dodelitev nepovratnih sredstev:</w:t>
      </w:r>
    </w:p>
    <w:tbl>
      <w:tblPr>
        <w:tblW w:w="5000" w:type="pct"/>
        <w:tblLayout w:type="fixed"/>
        <w:tblLook w:val="0000" w:firstRow="0" w:lastRow="0" w:firstColumn="0" w:lastColumn="0" w:noHBand="0" w:noVBand="0"/>
      </w:tblPr>
      <w:tblGrid>
        <w:gridCol w:w="1596"/>
        <w:gridCol w:w="6642"/>
        <w:gridCol w:w="1930"/>
        <w:gridCol w:w="2545"/>
        <w:gridCol w:w="2075"/>
      </w:tblGrid>
      <w:tr w:rsidR="00E03711" w:rsidRPr="008C6F8C" w14:paraId="7D399F04" w14:textId="77777777" w:rsidTr="00B37EC0">
        <w:trPr>
          <w:trHeight w:val="20"/>
        </w:trPr>
        <w:tc>
          <w:tcPr>
            <w:tcW w:w="50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9F00" w14:textId="77777777" w:rsidR="00E03711" w:rsidRPr="00F769E0" w:rsidRDefault="00E03711" w:rsidP="00907DA9">
            <w:pPr>
              <w:pStyle w:val="GUIDE-NORMAL"/>
              <w:spacing w:before="60" w:after="60"/>
              <w:jc w:val="center"/>
              <w:rPr>
                <w:rFonts w:cs="Tahoma"/>
                <w:b/>
                <w:lang w:val="sl-SI" w:eastAsia="en-GB"/>
              </w:rPr>
            </w:pPr>
            <w:r w:rsidRPr="00F769E0">
              <w:rPr>
                <w:rFonts w:cs="Tahoma"/>
                <w:b/>
                <w:lang w:val="sl-SI" w:eastAsia="en-GB"/>
              </w:rPr>
              <w:t>Upravičeni stroški</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01" w14:textId="77777777" w:rsidR="00E03711" w:rsidRPr="00F769E0" w:rsidRDefault="00E03711" w:rsidP="00907DA9">
            <w:pPr>
              <w:pStyle w:val="GUIDE-NORMAL"/>
              <w:spacing w:before="60" w:after="60"/>
              <w:jc w:val="center"/>
              <w:rPr>
                <w:rFonts w:cs="Tahoma"/>
                <w:b/>
                <w:lang w:val="sl-SI" w:eastAsia="en-GB"/>
              </w:rPr>
            </w:pPr>
            <w:r w:rsidRPr="00F769E0">
              <w:rPr>
                <w:rFonts w:cs="Tahoma"/>
                <w:b/>
                <w:lang w:val="sl-SI" w:eastAsia="en-GB"/>
              </w:rPr>
              <w:t>Mehanizem financiranja</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02" w14:textId="77777777" w:rsidR="00E03711" w:rsidRPr="00F769E0" w:rsidRDefault="00E03711" w:rsidP="00907DA9">
            <w:pPr>
              <w:pStyle w:val="GUIDE-NORMAL"/>
              <w:spacing w:before="60" w:after="60"/>
              <w:jc w:val="center"/>
              <w:rPr>
                <w:rFonts w:cs="Tahoma"/>
                <w:b/>
                <w:lang w:val="sl-SI" w:eastAsia="en-GB"/>
              </w:rPr>
            </w:pPr>
            <w:r w:rsidRPr="00F769E0">
              <w:rPr>
                <w:rFonts w:cs="Tahoma"/>
                <w:b/>
                <w:lang w:val="sl-SI" w:eastAsia="en-GB"/>
              </w:rPr>
              <w:t>Znesek</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03" w14:textId="77777777" w:rsidR="00E03711" w:rsidRPr="00F769E0" w:rsidRDefault="00E03711" w:rsidP="00907DA9">
            <w:pPr>
              <w:pStyle w:val="GUIDE-NORMAL"/>
              <w:spacing w:before="60" w:after="60"/>
              <w:jc w:val="center"/>
              <w:rPr>
                <w:rFonts w:cs="Tahoma"/>
                <w:b/>
                <w:lang w:val="sl-SI" w:eastAsia="en-GB"/>
              </w:rPr>
            </w:pPr>
            <w:r w:rsidRPr="00F769E0">
              <w:rPr>
                <w:rFonts w:cs="Tahoma"/>
                <w:b/>
                <w:lang w:val="sl-SI" w:eastAsia="en-GB"/>
              </w:rPr>
              <w:t>Pravilo dodelitve</w:t>
            </w:r>
          </w:p>
        </w:tc>
      </w:tr>
      <w:tr w:rsidR="00E03711" w:rsidRPr="00C60205" w14:paraId="7D399F12" w14:textId="77777777" w:rsidTr="00B37EC0">
        <w:trPr>
          <w:trHeight w:val="20"/>
        </w:trPr>
        <w:tc>
          <w:tcPr>
            <w:tcW w:w="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05" w14:textId="77777777" w:rsidR="00E03711" w:rsidRPr="00F769E0" w:rsidRDefault="00E03711" w:rsidP="00907DA9">
            <w:pPr>
              <w:pStyle w:val="GUIDE-NORMAL"/>
              <w:spacing w:before="60" w:after="60"/>
              <w:jc w:val="left"/>
              <w:rPr>
                <w:rFonts w:cs="Tahoma"/>
                <w:b/>
                <w:lang w:val="sl-SI" w:eastAsia="en-GB"/>
              </w:rPr>
            </w:pPr>
            <w:r w:rsidRPr="00F769E0">
              <w:rPr>
                <w:rFonts w:cs="Tahoma"/>
                <w:b/>
                <w:lang w:val="sl-SI" w:eastAsia="en-GB"/>
              </w:rPr>
              <w:t>Stroški aktivnosti</w:t>
            </w:r>
          </w:p>
        </w:tc>
        <w:tc>
          <w:tcPr>
            <w:tcW w:w="4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06" w14:textId="77777777" w:rsidR="00E03711" w:rsidRPr="00F769E0" w:rsidRDefault="00E03711" w:rsidP="00907DA9">
            <w:pPr>
              <w:pStyle w:val="GUIDE-NORMAL"/>
              <w:spacing w:before="60" w:after="60"/>
              <w:jc w:val="left"/>
              <w:rPr>
                <w:rFonts w:cs="Tahoma"/>
                <w:lang w:val="sl-SI" w:eastAsia="en-GB"/>
              </w:rPr>
            </w:pPr>
            <w:r w:rsidRPr="00F769E0">
              <w:rPr>
                <w:rFonts w:cs="Tahoma"/>
                <w:lang w:val="sl-SI" w:eastAsia="en-GB"/>
              </w:rPr>
              <w:t>Upravičeni neposredni stroški:</w:t>
            </w:r>
          </w:p>
          <w:p w14:paraId="7D399F07" w14:textId="77777777" w:rsidR="00E03711" w:rsidRPr="001048FE" w:rsidRDefault="00E03711" w:rsidP="005115F2">
            <w:pPr>
              <w:pStyle w:val="Guide-NormalBulletpoints"/>
              <w:numPr>
                <w:ilvl w:val="0"/>
                <w:numId w:val="337"/>
              </w:numPr>
              <w:spacing w:before="60"/>
              <w:jc w:val="left"/>
              <w:rPr>
                <w:lang w:val="sl-SI"/>
              </w:rPr>
            </w:pPr>
            <w:r w:rsidRPr="001048FE">
              <w:rPr>
                <w:lang w:val="sl-SI"/>
              </w:rPr>
              <w:t>stroški osebja;</w:t>
            </w:r>
          </w:p>
          <w:p w14:paraId="7D399F08" w14:textId="77777777" w:rsidR="00E03711" w:rsidRPr="001048FE" w:rsidRDefault="00E03711" w:rsidP="005115F2">
            <w:pPr>
              <w:pStyle w:val="Guide-NormalBulletpoints"/>
              <w:numPr>
                <w:ilvl w:val="0"/>
                <w:numId w:val="337"/>
              </w:numPr>
              <w:spacing w:before="60"/>
              <w:jc w:val="left"/>
              <w:rPr>
                <w:lang w:val="sl-SI"/>
              </w:rPr>
            </w:pPr>
            <w:r w:rsidRPr="001048FE">
              <w:rPr>
                <w:lang w:val="sl-SI"/>
              </w:rPr>
              <w:t>potni stroški in stroški bivanja;</w:t>
            </w:r>
          </w:p>
          <w:p w14:paraId="7D399F09" w14:textId="77777777" w:rsidR="00E03711" w:rsidRPr="001048FE" w:rsidRDefault="00E03711" w:rsidP="005115F2">
            <w:pPr>
              <w:pStyle w:val="Guide-NormalBulletpoints"/>
              <w:numPr>
                <w:ilvl w:val="0"/>
                <w:numId w:val="337"/>
              </w:numPr>
              <w:spacing w:before="60"/>
              <w:jc w:val="left"/>
              <w:rPr>
                <w:lang w:val="sl-SI"/>
              </w:rPr>
            </w:pPr>
            <w:r w:rsidRPr="001048FE">
              <w:rPr>
                <w:lang w:val="sl-SI"/>
              </w:rPr>
              <w:t>stroški oddaje naročil podizvajalcem (največ 30 % upravičenih neposrednih stroškov);</w:t>
            </w:r>
          </w:p>
          <w:p w14:paraId="7D399F0A" w14:textId="77777777" w:rsidR="00E03711" w:rsidRPr="001048FE" w:rsidRDefault="00E03711" w:rsidP="005115F2">
            <w:pPr>
              <w:pStyle w:val="Guide-NormalBulletpoints"/>
              <w:numPr>
                <w:ilvl w:val="0"/>
                <w:numId w:val="337"/>
              </w:numPr>
              <w:spacing w:before="60"/>
              <w:jc w:val="left"/>
              <w:rPr>
                <w:lang w:val="sl-SI"/>
              </w:rPr>
            </w:pPr>
            <w:r w:rsidRPr="001048FE">
              <w:rPr>
                <w:lang w:val="sl-SI"/>
              </w:rPr>
              <w:t>stroški opreme (največ 10 % upravičenih neposrednih stroškov);</w:t>
            </w:r>
          </w:p>
          <w:p w14:paraId="7D399F0B" w14:textId="77777777" w:rsidR="00E03711" w:rsidRPr="001048FE" w:rsidRDefault="00E03711" w:rsidP="005115F2">
            <w:pPr>
              <w:pStyle w:val="Guide-NormalBulletpoints"/>
              <w:numPr>
                <w:ilvl w:val="0"/>
                <w:numId w:val="337"/>
              </w:numPr>
              <w:spacing w:before="60"/>
              <w:jc w:val="left"/>
              <w:rPr>
                <w:lang w:val="sl-SI"/>
              </w:rPr>
            </w:pPr>
            <w:r w:rsidRPr="001048FE">
              <w:rPr>
                <w:lang w:val="sl-SI"/>
              </w:rPr>
              <w:t>stroški poučevanja;</w:t>
            </w:r>
          </w:p>
          <w:p w14:paraId="7D399F0C" w14:textId="77777777" w:rsidR="00E03711" w:rsidRPr="001048FE" w:rsidRDefault="00E03711" w:rsidP="005115F2">
            <w:pPr>
              <w:pStyle w:val="Guide-NormalBulletpoints"/>
              <w:numPr>
                <w:ilvl w:val="0"/>
                <w:numId w:val="337"/>
              </w:numPr>
              <w:spacing w:before="60"/>
              <w:jc w:val="left"/>
              <w:rPr>
                <w:lang w:val="sl-SI"/>
              </w:rPr>
            </w:pPr>
            <w:r w:rsidRPr="001048FE">
              <w:rPr>
                <w:lang w:val="sl-SI"/>
              </w:rPr>
              <w:t xml:space="preserve">drugi stroški (vključno s stroški za obvezno finančno revizijo/revizijsko potrdilo). </w:t>
            </w:r>
          </w:p>
          <w:p w14:paraId="7D399F0D" w14:textId="77777777" w:rsidR="00E03711" w:rsidRPr="00F769E0" w:rsidRDefault="00E03711" w:rsidP="00BE14A8">
            <w:pPr>
              <w:pStyle w:val="GUIDE-NORMAL"/>
              <w:jc w:val="left"/>
              <w:rPr>
                <w:rFonts w:cs="Tahoma"/>
                <w:lang w:val="sl-SI" w:eastAsia="en-GB"/>
              </w:rPr>
            </w:pPr>
            <w:r w:rsidRPr="00F769E0">
              <w:rPr>
                <w:rFonts w:cs="Tahoma"/>
                <w:lang w:val="sl-SI" w:eastAsia="en-GB"/>
              </w:rPr>
              <w:t xml:space="preserve">Upravičeni posredni stroški: </w:t>
            </w:r>
            <w:r w:rsidRPr="00F769E0">
              <w:rPr>
                <w:rFonts w:cs="Tahoma"/>
                <w:lang w:val="sl-SI" w:eastAsia="en-GB"/>
              </w:rPr>
              <w:br/>
            </w:r>
            <w:r w:rsidRPr="00FC4A70">
              <w:rPr>
                <w:rFonts w:eastAsia="Calibri" w:cs="Calibri"/>
                <w:bdr w:val="nil"/>
                <w:shd w:val="clear" w:color="auto" w:fill="auto"/>
                <w:lang w:val="sl-SI"/>
              </w:rPr>
              <w:t>Pavšalni znesek, ki ne presega 7 % upravičenih neposrednih stroškov projekta, je upravičen v okviru posrednih stroškov in predstavlja splošne administrativne stroške upravičenca, ki niso že zdaj kriti iz upravičenih neposrednih stroškov (npr. računi za elektriko ali internet, stroški prostorov itd.), a jih je mogoče obračunati pri projektu.</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0E" w14:textId="77777777" w:rsidR="00E03711" w:rsidRPr="00F769E0" w:rsidRDefault="00E03711" w:rsidP="00907DA9">
            <w:pPr>
              <w:pStyle w:val="GUIDE-NORMAL"/>
              <w:spacing w:before="60" w:after="60"/>
              <w:jc w:val="left"/>
              <w:rPr>
                <w:rFonts w:cs="Tahoma"/>
                <w:lang w:val="sl-SI" w:eastAsia="en-GB"/>
              </w:rPr>
            </w:pPr>
            <w:r w:rsidRPr="00F769E0">
              <w:rPr>
                <w:rFonts w:cs="Tahoma"/>
                <w:lang w:val="sl-SI" w:eastAsia="en-GB"/>
              </w:rPr>
              <w:t>Dejanski stroški</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0F" w14:textId="77777777" w:rsidR="00E03711" w:rsidRPr="00F769E0" w:rsidRDefault="00E03711" w:rsidP="00907DA9">
            <w:pPr>
              <w:pStyle w:val="GUIDE-NORMAL"/>
              <w:spacing w:before="60" w:after="60"/>
              <w:jc w:val="left"/>
              <w:rPr>
                <w:rFonts w:cs="Tahoma"/>
                <w:lang w:val="sl-SI" w:eastAsia="en-GB"/>
              </w:rPr>
            </w:pPr>
            <w:r w:rsidRPr="00F769E0">
              <w:rPr>
                <w:rFonts w:cs="Tahoma"/>
                <w:lang w:val="sl-SI" w:eastAsia="en-GB"/>
              </w:rPr>
              <w:t xml:space="preserve">Največ </w:t>
            </w:r>
            <w:r w:rsidRPr="00F769E0">
              <w:rPr>
                <w:rFonts w:cs="Tahoma"/>
                <w:lang w:val="sl-SI" w:eastAsia="en-GB"/>
              </w:rPr>
              <w:br/>
              <w:t>300 000 EUR.</w:t>
            </w:r>
          </w:p>
          <w:p w14:paraId="7D399F10" w14:textId="77777777" w:rsidR="00E03711" w:rsidRPr="00F769E0" w:rsidRDefault="00E03711" w:rsidP="00907DA9">
            <w:pPr>
              <w:pStyle w:val="GUIDE-NORMAL"/>
              <w:spacing w:before="60" w:after="60"/>
              <w:jc w:val="left"/>
              <w:rPr>
                <w:rFonts w:cs="Tahoma"/>
                <w:lang w:val="sl-SI" w:eastAsia="en-GB"/>
              </w:rPr>
            </w:pPr>
            <w:r w:rsidRPr="00F769E0">
              <w:rPr>
                <w:rFonts w:cs="Tahoma"/>
                <w:lang w:val="sl-SI" w:eastAsia="en-GB"/>
              </w:rPr>
              <w:t xml:space="preserve">80 % skupnih upravičenih stroškov (razen </w:t>
            </w:r>
            <w:r w:rsidRPr="00F769E0">
              <w:rPr>
                <w:rFonts w:cs="Tahoma"/>
                <w:lang w:val="sl-SI" w:eastAsia="en-GB"/>
              </w:rPr>
              <w:br/>
              <w:t>če prijavitelj zahteva nižji % nepovratnih sredstev).</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11" w14:textId="77777777" w:rsidR="00E03711" w:rsidRPr="00F769E0" w:rsidRDefault="00E03711" w:rsidP="00907DA9">
            <w:pPr>
              <w:pStyle w:val="GUIDE-NORMAL"/>
              <w:spacing w:before="60" w:after="60"/>
              <w:jc w:val="left"/>
              <w:rPr>
                <w:rFonts w:cs="Tahoma"/>
                <w:lang w:val="sl-SI" w:eastAsia="en-GB"/>
              </w:rPr>
            </w:pPr>
            <w:r w:rsidRPr="00F769E0">
              <w:rPr>
                <w:rFonts w:cs="Tahoma"/>
                <w:lang w:val="sl-SI" w:eastAsia="en-GB"/>
              </w:rPr>
              <w:t xml:space="preserve">Pogoj: cilji </w:t>
            </w:r>
            <w:r w:rsidRPr="00F769E0">
              <w:rPr>
                <w:rFonts w:cs="Tahoma"/>
                <w:lang w:val="sl-SI" w:eastAsia="en-GB"/>
              </w:rPr>
              <w:br/>
              <w:t xml:space="preserve">in delovni program morajo biti jasno opredeljeni </w:t>
            </w:r>
            <w:r w:rsidRPr="00F769E0">
              <w:rPr>
                <w:rFonts w:cs="Tahoma"/>
                <w:lang w:val="sl-SI" w:eastAsia="en-GB"/>
              </w:rPr>
              <w:br/>
              <w:t>v prijavnem obrazcu.</w:t>
            </w:r>
          </w:p>
        </w:tc>
      </w:tr>
    </w:tbl>
    <w:p w14:paraId="7D399F13" w14:textId="77777777" w:rsidR="00E03711" w:rsidRDefault="00E03711">
      <w:pPr>
        <w:widowControl/>
        <w:suppressAutoHyphens w:val="0"/>
        <w:autoSpaceDN/>
        <w:textAlignment w:val="auto"/>
        <w:rPr>
          <w:rFonts w:eastAsia="Times New Roman"/>
          <w:b/>
          <w:smallCaps/>
          <w:sz w:val="28"/>
          <w:szCs w:val="20"/>
          <w:lang w:val="sl-SI"/>
        </w:rPr>
      </w:pPr>
      <w:bookmarkStart w:id="331" w:name="Projets_Jean_Monnet_(débat_politique_ave"/>
      <w:bookmarkStart w:id="332" w:name="_bookmark53"/>
      <w:bookmarkEnd w:id="331"/>
      <w:bookmarkEnd w:id="332"/>
    </w:p>
    <w:p w14:paraId="7D399F14" w14:textId="77777777" w:rsidR="00E03711" w:rsidRDefault="00E03711">
      <w:pPr>
        <w:widowControl/>
        <w:suppressAutoHyphens w:val="0"/>
        <w:autoSpaceDN/>
        <w:textAlignment w:val="auto"/>
        <w:rPr>
          <w:rFonts w:eastAsia="Times New Roman"/>
          <w:b/>
          <w:smallCaps/>
          <w:sz w:val="28"/>
          <w:szCs w:val="20"/>
          <w:lang w:val="sl-SI"/>
        </w:rPr>
      </w:pPr>
      <w:r>
        <w:rPr>
          <w:rFonts w:eastAsia="Times New Roman"/>
          <w:b/>
          <w:smallCaps/>
          <w:sz w:val="28"/>
          <w:szCs w:val="20"/>
          <w:lang w:val="sl-SI"/>
        </w:rPr>
        <w:br w:type="page"/>
      </w:r>
    </w:p>
    <w:p w14:paraId="7D399F15" w14:textId="77777777" w:rsidR="00E03711" w:rsidRDefault="00E03711">
      <w:pPr>
        <w:widowControl/>
        <w:suppressAutoHyphens w:val="0"/>
        <w:autoSpaceDN/>
        <w:textAlignment w:val="auto"/>
        <w:rPr>
          <w:rFonts w:eastAsia="Times New Roman"/>
          <w:b/>
          <w:smallCaps/>
          <w:sz w:val="28"/>
          <w:szCs w:val="20"/>
          <w:lang w:val="sl-SI"/>
        </w:rPr>
        <w:sectPr w:rsidR="00E03711" w:rsidSect="00073E87">
          <w:endnotePr>
            <w:numFmt w:val="decimal"/>
          </w:endnotePr>
          <w:pgSz w:w="16840" w:h="11910" w:orient="landscape" w:code="9"/>
          <w:pgMar w:top="1418" w:right="1134" w:bottom="1418" w:left="1134" w:header="284" w:footer="567" w:gutter="0"/>
          <w:cols w:space="720"/>
          <w:docGrid w:linePitch="326"/>
        </w:sectPr>
      </w:pPr>
    </w:p>
    <w:p w14:paraId="7D399F16" w14:textId="77777777" w:rsidR="00E03711" w:rsidRDefault="00E03711">
      <w:pPr>
        <w:pStyle w:val="Guide-Heading3"/>
        <w:rPr>
          <w:lang w:val="sl-SI"/>
        </w:rPr>
      </w:pPr>
      <w:bookmarkStart w:id="333" w:name="_Toc527400930"/>
      <w:bookmarkStart w:id="334" w:name="_Toc527401199"/>
      <w:r w:rsidRPr="001048FE">
        <w:rPr>
          <w:lang w:val="sl-SI"/>
        </w:rPr>
        <w:t>Projekti Jean Monnet (strateške razprave z</w:t>
      </w:r>
      <w:bookmarkStart w:id="335" w:name="Projekti_Jean_Monnet_(strateške_razprave"/>
      <w:bookmarkEnd w:id="335"/>
      <w:r w:rsidRPr="001048FE">
        <w:rPr>
          <w:lang w:val="sl-SI"/>
        </w:rPr>
        <w:t xml:space="preserve"> akademskim okoljem)</w:t>
      </w:r>
      <w:bookmarkEnd w:id="333"/>
      <w:bookmarkEnd w:id="334"/>
    </w:p>
    <w:p w14:paraId="7D399F17" w14:textId="77777777" w:rsidR="00E03711" w:rsidRPr="001048FE" w:rsidRDefault="00E03711" w:rsidP="002A25C9">
      <w:pPr>
        <w:pStyle w:val="Guide-Heading4"/>
        <w:rPr>
          <w:lang w:val="sl-SI"/>
        </w:rPr>
      </w:pPr>
      <w:bookmarkStart w:id="336" w:name="_Toc527401200"/>
      <w:r w:rsidRPr="001048FE">
        <w:rPr>
          <w:lang w:val="sl-SI"/>
        </w:rPr>
        <w:t>Kaj je projekt Jean Monnet?</w:t>
      </w:r>
      <w:bookmarkEnd w:id="336"/>
    </w:p>
    <w:p w14:paraId="7D399F18" w14:textId="77777777" w:rsidR="00E03711" w:rsidRPr="001048FE" w:rsidRDefault="00E03711" w:rsidP="00907DA9">
      <w:pPr>
        <w:pStyle w:val="GUIDE-NORMAL"/>
        <w:rPr>
          <w:lang w:val="sl-SI"/>
        </w:rPr>
      </w:pPr>
      <w:r w:rsidRPr="001048FE">
        <w:rPr>
          <w:lang w:val="sl-SI"/>
        </w:rPr>
        <w:t>Projekti Jean Monnet podpirajo inovacije, medsebojno bogatenje in širitev vsebin Evropske unije. Ti projekti bodo temeljili na enostranskih predlogih – čeprav lahko v predlaganih aktivnostih sodelujejo drugi partnerji – in lahko trajajo od 12 do 24 mesecev.</w:t>
      </w:r>
    </w:p>
    <w:p w14:paraId="7D399F19" w14:textId="77777777" w:rsidR="00E03711" w:rsidRPr="001048FE" w:rsidRDefault="00E03711" w:rsidP="005115F2">
      <w:pPr>
        <w:pStyle w:val="Guide-NormalBulletpoints"/>
        <w:numPr>
          <w:ilvl w:val="0"/>
          <w:numId w:val="338"/>
        </w:numPr>
        <w:rPr>
          <w:lang w:val="sl-SI"/>
        </w:rPr>
      </w:pPr>
      <w:r w:rsidRPr="001048FE">
        <w:rPr>
          <w:lang w:val="sl-SI"/>
        </w:rPr>
        <w:t xml:space="preserve">Projekti </w:t>
      </w:r>
      <w:r w:rsidRPr="001048FE">
        <w:rPr>
          <w:b/>
          <w:lang w:val="sl-SI"/>
        </w:rPr>
        <w:t>„Inovacije“</w:t>
      </w:r>
      <w:r w:rsidRPr="001048FE">
        <w:rPr>
          <w:lang w:val="sl-SI"/>
        </w:rPr>
        <w:t xml:space="preserve"> bodo raziskovali nove vidike in različne metodologije, da bodo vsebine Evropske unije postale bolj privlačne in prilagojene različnim vrstam ciljne populacije (npr. projekti Spoznavanja EU v šoli);</w:t>
      </w:r>
    </w:p>
    <w:p w14:paraId="7D399F1A" w14:textId="77777777" w:rsidR="00E03711" w:rsidRPr="001048FE" w:rsidRDefault="00E03711" w:rsidP="005115F2">
      <w:pPr>
        <w:pStyle w:val="Guide-NormalBulletpoints"/>
        <w:numPr>
          <w:ilvl w:val="0"/>
          <w:numId w:val="338"/>
        </w:numPr>
        <w:rPr>
          <w:lang w:val="sl-SI"/>
        </w:rPr>
      </w:pPr>
      <w:r w:rsidRPr="001048FE">
        <w:rPr>
          <w:lang w:val="sl-SI"/>
        </w:rPr>
        <w:t xml:space="preserve">Projekti </w:t>
      </w:r>
      <w:r w:rsidRPr="001048FE">
        <w:rPr>
          <w:b/>
          <w:lang w:val="sl-SI"/>
        </w:rPr>
        <w:t>„Medsebojno bogatenje“</w:t>
      </w:r>
      <w:r w:rsidRPr="001048FE">
        <w:rPr>
          <w:lang w:val="sl-SI"/>
        </w:rPr>
        <w:t xml:space="preserve"> bodo spodbujali razpravo in premislek o vprašanjih Evropske unije ter okrepili znanje o Uniji in njenih procesih. Cilj teh projektov bo krepitev znanja EU v posebnih okoljih;</w:t>
      </w:r>
    </w:p>
    <w:p w14:paraId="7D399F1B" w14:textId="77777777" w:rsidR="00E03711" w:rsidRPr="001048FE" w:rsidRDefault="00E03711" w:rsidP="005115F2">
      <w:pPr>
        <w:pStyle w:val="Guide-NormalBulletpoints"/>
        <w:numPr>
          <w:ilvl w:val="0"/>
          <w:numId w:val="338"/>
        </w:numPr>
        <w:rPr>
          <w:lang w:val="sl-SI"/>
        </w:rPr>
      </w:pPr>
      <w:r w:rsidRPr="001048FE">
        <w:rPr>
          <w:lang w:val="sl-SI"/>
        </w:rPr>
        <w:t xml:space="preserve">Projekti </w:t>
      </w:r>
      <w:r w:rsidRPr="001048FE">
        <w:rPr>
          <w:b/>
          <w:lang w:val="sl-SI"/>
        </w:rPr>
        <w:t>„Širjenje vsebin“</w:t>
      </w:r>
      <w:r w:rsidRPr="001048FE">
        <w:rPr>
          <w:lang w:val="sl-SI"/>
        </w:rPr>
        <w:t xml:space="preserve"> bodo usmerjeni predvsem v aktivnosti obveščanja in razširjanja.</w:t>
      </w:r>
    </w:p>
    <w:p w14:paraId="7D399F1C" w14:textId="77777777" w:rsidR="00E03711" w:rsidRPr="001048FE" w:rsidRDefault="00E03711" w:rsidP="002A25C9">
      <w:pPr>
        <w:pStyle w:val="Guide-Heading4"/>
        <w:rPr>
          <w:lang w:val="sl-SI"/>
        </w:rPr>
      </w:pPr>
      <w:bookmarkStart w:id="337" w:name="_Toc527401201"/>
      <w:r w:rsidRPr="001048FE">
        <w:rPr>
          <w:lang w:val="sl-SI"/>
        </w:rPr>
        <w:t>Katere aktivnosti so podprte v okviru projektov Jean Monnet?</w:t>
      </w:r>
      <w:bookmarkEnd w:id="337"/>
    </w:p>
    <w:p w14:paraId="7D399F1D" w14:textId="77777777" w:rsidR="00E03711" w:rsidRPr="001048FE" w:rsidRDefault="00E03711" w:rsidP="00907DA9">
      <w:pPr>
        <w:pStyle w:val="GUIDE-NORMAL"/>
        <w:rPr>
          <w:lang w:val="sl-SI"/>
        </w:rPr>
      </w:pPr>
      <w:r w:rsidRPr="001048FE">
        <w:rPr>
          <w:lang w:val="sl-SI"/>
        </w:rPr>
        <w:t>Projekti Jean Monnet lahko v svojem življenjskem ciklu običajno izvedejo široko paleto aktivnosti, na primer: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03711" w:rsidRPr="00C60205" w14:paraId="7D399F2B" w14:textId="77777777" w:rsidTr="00237696">
        <w:trPr>
          <w:trHeight w:val="567"/>
        </w:trPr>
        <w:tc>
          <w:tcPr>
            <w:tcW w:w="9064" w:type="dxa"/>
            <w:shd w:val="clear" w:color="auto" w:fill="auto"/>
          </w:tcPr>
          <w:p w14:paraId="7D399F1E" w14:textId="77777777" w:rsidR="00E03711" w:rsidRPr="00F769E0" w:rsidRDefault="00E03711" w:rsidP="00237696">
            <w:pPr>
              <w:pStyle w:val="Guide-Heading7"/>
              <w:spacing w:before="60" w:after="60"/>
              <w:rPr>
                <w:rFonts w:cs="Tahoma"/>
                <w:lang w:val="sl-SI"/>
              </w:rPr>
            </w:pPr>
            <w:bookmarkStart w:id="338" w:name="«Innovation»"/>
            <w:bookmarkEnd w:id="338"/>
            <w:r w:rsidRPr="00F769E0">
              <w:rPr>
                <w:rFonts w:cs="Tahoma"/>
                <w:lang w:val="sl-SI"/>
              </w:rPr>
              <w:t>„Inovacije“</w:t>
            </w:r>
          </w:p>
          <w:p w14:paraId="7D399F1F" w14:textId="77777777" w:rsidR="00E03711" w:rsidRPr="00237696" w:rsidRDefault="00E03711" w:rsidP="005115F2">
            <w:pPr>
              <w:pStyle w:val="Guide-NormalBulletpoints"/>
              <w:numPr>
                <w:ilvl w:val="0"/>
                <w:numId w:val="339"/>
              </w:numPr>
              <w:spacing w:before="60"/>
              <w:rPr>
                <w:rFonts w:cs="Times New Roman"/>
                <w:lang w:val="sl-SI"/>
              </w:rPr>
            </w:pPr>
            <w:r w:rsidRPr="00237696">
              <w:rPr>
                <w:rFonts w:cs="Times New Roman"/>
                <w:lang w:val="sl-SI"/>
              </w:rPr>
              <w:t>razvijanje in preskušanje na novo zasnovanih metodologij, vsebin in orodij v zvezi s posebnimi temami Evropske unije;</w:t>
            </w:r>
          </w:p>
          <w:p w14:paraId="7D399F20" w14:textId="77777777" w:rsidR="00E03711" w:rsidRPr="00237696" w:rsidRDefault="00E03711" w:rsidP="005115F2">
            <w:pPr>
              <w:pStyle w:val="Guide-NormalBulletpoints"/>
              <w:numPr>
                <w:ilvl w:val="0"/>
                <w:numId w:val="339"/>
              </w:numPr>
              <w:spacing w:before="60"/>
              <w:rPr>
                <w:rFonts w:cs="Times New Roman"/>
                <w:lang w:val="sl-SI"/>
              </w:rPr>
            </w:pPr>
            <w:r w:rsidRPr="00237696">
              <w:rPr>
                <w:rFonts w:cs="Times New Roman"/>
                <w:lang w:val="sl-SI"/>
              </w:rPr>
              <w:t>ustvarjanje virtualnih učilnic o posebnih tematskih področjih in njihovo preskušanje v različnih okoljih;</w:t>
            </w:r>
          </w:p>
          <w:p w14:paraId="7D399F21" w14:textId="77777777" w:rsidR="00E03711" w:rsidRPr="00237696" w:rsidRDefault="00E03711" w:rsidP="005115F2">
            <w:pPr>
              <w:pStyle w:val="Guide-NormalBulletpoints"/>
              <w:numPr>
                <w:ilvl w:val="0"/>
                <w:numId w:val="339"/>
              </w:numPr>
              <w:spacing w:before="60"/>
              <w:rPr>
                <w:rFonts w:cs="Times New Roman"/>
                <w:lang w:val="sl-SI"/>
              </w:rPr>
            </w:pPr>
            <w:r w:rsidRPr="00237696">
              <w:rPr>
                <w:rFonts w:cs="Times New Roman"/>
                <w:lang w:val="sl-SI"/>
              </w:rPr>
              <w:t>oblikovanje, ustvarjanje in izvajanje orodij za samousposabljanje, ki spodbujajo aktivno državljanstvo v EU;</w:t>
            </w:r>
          </w:p>
          <w:p w14:paraId="7D399F22" w14:textId="77777777" w:rsidR="00E03711" w:rsidRPr="00237696" w:rsidRDefault="00E03711" w:rsidP="005115F2">
            <w:pPr>
              <w:pStyle w:val="Guide-NormalBulletpoints"/>
              <w:numPr>
                <w:ilvl w:val="0"/>
                <w:numId w:val="339"/>
              </w:numPr>
              <w:spacing w:before="60"/>
              <w:rPr>
                <w:rFonts w:cs="Times New Roman"/>
                <w:lang w:val="sl-SI"/>
              </w:rPr>
            </w:pPr>
            <w:r w:rsidRPr="00237696">
              <w:rPr>
                <w:rFonts w:cs="Times New Roman"/>
                <w:lang w:val="sl-SI"/>
              </w:rPr>
              <w:t>razvijanje in zagotavljanje ustreznih pedagoških vsebin in novega/prilagojenega didaktičnega gradiva za poučevanje v zvezi z vprašanji Evropske unije na ravni osnovnošolskega in srednješolskega izobraževanja (Spoznavanje EU v šoli);</w:t>
            </w:r>
          </w:p>
          <w:p w14:paraId="7D399F23" w14:textId="77777777" w:rsidR="00E03711" w:rsidRPr="00237696" w:rsidRDefault="00E03711" w:rsidP="005115F2">
            <w:pPr>
              <w:pStyle w:val="Guide-NormalBulletpoints"/>
              <w:numPr>
                <w:ilvl w:val="0"/>
                <w:numId w:val="339"/>
              </w:numPr>
              <w:spacing w:before="60"/>
              <w:rPr>
                <w:rFonts w:cs="Times New Roman"/>
                <w:lang w:val="sl-SI"/>
              </w:rPr>
            </w:pPr>
            <w:r w:rsidRPr="00237696">
              <w:rPr>
                <w:rFonts w:cs="Times New Roman"/>
                <w:lang w:val="sl-SI"/>
              </w:rPr>
              <w:t xml:space="preserve">oblikovanje in izvajanje aktivnosti usposabljanja in nadaljevalnega izobraževanja za učitelje, ki jih bodo opremile z ustreznim znanjem in spretnostmi za poučevanje vsebin Evropske unije; </w:t>
            </w:r>
          </w:p>
          <w:p w14:paraId="7D399F24" w14:textId="77777777" w:rsidR="00E03711" w:rsidRPr="00237696" w:rsidRDefault="00E03711" w:rsidP="005115F2">
            <w:pPr>
              <w:pStyle w:val="Guide-NormalBulletpoints"/>
              <w:numPr>
                <w:ilvl w:val="0"/>
                <w:numId w:val="339"/>
              </w:numPr>
              <w:spacing w:before="60"/>
              <w:rPr>
                <w:rFonts w:cs="Times New Roman"/>
                <w:lang w:val="sl-SI"/>
              </w:rPr>
            </w:pPr>
            <w:r w:rsidRPr="00237696">
              <w:rPr>
                <w:rFonts w:cs="Times New Roman"/>
                <w:lang w:val="sl-SI"/>
              </w:rPr>
              <w:t>zagotavljanje posebej oblikovanih aktivnosti v zvezi z Evropsko unijo za učence v osnovnih in dijake v srednjih šolah ter institucijah za poklicno izobraževanje in usposabljanje;</w:t>
            </w:r>
          </w:p>
          <w:p w14:paraId="7D399F25" w14:textId="77777777" w:rsidR="00E03711" w:rsidRPr="00F769E0" w:rsidRDefault="00E03711" w:rsidP="00237696">
            <w:pPr>
              <w:pStyle w:val="Guide-Heading7"/>
              <w:spacing w:before="60" w:after="60"/>
              <w:rPr>
                <w:rFonts w:cs="Tahoma"/>
                <w:lang w:val="sl-SI"/>
              </w:rPr>
            </w:pPr>
            <w:r w:rsidRPr="00F769E0">
              <w:rPr>
                <w:rFonts w:cs="Tahoma"/>
                <w:lang w:val="sl-SI"/>
              </w:rPr>
              <w:t>"Medsebojno bogatenje"</w:t>
            </w:r>
          </w:p>
          <w:p w14:paraId="7D399F26" w14:textId="77777777" w:rsidR="00E03711" w:rsidRPr="00237696" w:rsidRDefault="00E03711" w:rsidP="005115F2">
            <w:pPr>
              <w:pStyle w:val="Guide-NormalBulletpoints"/>
              <w:numPr>
                <w:ilvl w:val="0"/>
                <w:numId w:val="340"/>
              </w:numPr>
              <w:spacing w:before="60"/>
              <w:rPr>
                <w:rFonts w:cs="Times New Roman"/>
                <w:lang w:val="sl-SI"/>
              </w:rPr>
            </w:pPr>
            <w:r w:rsidRPr="00237696">
              <w:rPr>
                <w:rFonts w:cs="Times New Roman"/>
                <w:lang w:val="sl-SI"/>
              </w:rPr>
              <w:t xml:space="preserve">podpiranje kreiranja evropskih študij in/ali višanje ravni obstoječega znanja in/ali krepitev dinamike „oddelka/katedre/raziskovalne skupine“ v določeni državi na določeni visokošolski instituciji, ki je izrazila posebno zanimanje/potrebo med skupnimi akademskimi aktivnostmi; </w:t>
            </w:r>
          </w:p>
          <w:p w14:paraId="7D399F27" w14:textId="77777777" w:rsidR="00E03711" w:rsidRPr="00237696" w:rsidRDefault="00E03711" w:rsidP="005115F2">
            <w:pPr>
              <w:pStyle w:val="Guide-NormalBulletpoints"/>
              <w:numPr>
                <w:ilvl w:val="0"/>
                <w:numId w:val="340"/>
              </w:numPr>
              <w:spacing w:before="60"/>
              <w:rPr>
                <w:rFonts w:cs="Times New Roman"/>
                <w:lang w:val="sl-SI"/>
              </w:rPr>
            </w:pPr>
            <w:r w:rsidRPr="00237696">
              <w:rPr>
                <w:rFonts w:cs="Times New Roman"/>
                <w:lang w:val="sl-SI"/>
              </w:rPr>
              <w:t>skupno razvijanje vsebin in skupno poučevanje za študente z vključevanjem več institucij. Sodelujoče institucije lahko organizirajo skupne aktivnosti, pripravo orodij za podporo programom, izvedbo programov o vprašanjih EU, zlasti v tistih disciplinah, ki običajno niso povezana s to študijsko smerjo;</w:t>
            </w:r>
          </w:p>
          <w:p w14:paraId="7D399F28" w14:textId="77777777" w:rsidR="00E03711" w:rsidRPr="00F769E0" w:rsidRDefault="00E03711" w:rsidP="00237696">
            <w:pPr>
              <w:pStyle w:val="Guide-Heading7"/>
              <w:spacing w:before="60" w:after="60"/>
              <w:rPr>
                <w:rFonts w:cs="Tahoma"/>
                <w:lang w:val="sl-SI"/>
              </w:rPr>
            </w:pPr>
            <w:r w:rsidRPr="00F769E0">
              <w:rPr>
                <w:rFonts w:cs="Tahoma"/>
                <w:lang w:val="sl-SI"/>
              </w:rPr>
              <w:t>"Širjenje vsebin"</w:t>
            </w:r>
          </w:p>
          <w:p w14:paraId="7D399F29" w14:textId="77777777" w:rsidR="00E03711" w:rsidRPr="00237696" w:rsidRDefault="00E03711" w:rsidP="005115F2">
            <w:pPr>
              <w:pStyle w:val="Guide-NormalBulletpoints"/>
              <w:numPr>
                <w:ilvl w:val="0"/>
                <w:numId w:val="341"/>
              </w:numPr>
              <w:spacing w:before="60"/>
              <w:rPr>
                <w:rFonts w:cs="Times New Roman"/>
                <w:lang w:val="sl-SI"/>
              </w:rPr>
            </w:pPr>
            <w:r w:rsidRPr="00237696">
              <w:rPr>
                <w:rFonts w:cs="Times New Roman"/>
                <w:lang w:val="sl-SI"/>
              </w:rPr>
              <w:t>dejavno podpiranje aktivnosti obveščanja in razširjanja za osebje v javni upravi, strokovnjake na posebnih področjih in za civilno družbo kot celoto;</w:t>
            </w:r>
          </w:p>
          <w:p w14:paraId="7D399F2A" w14:textId="77777777" w:rsidR="00E03711" w:rsidRPr="00237696" w:rsidRDefault="00E03711" w:rsidP="005115F2">
            <w:pPr>
              <w:pStyle w:val="Guide-NormalBulletpoints"/>
              <w:numPr>
                <w:ilvl w:val="0"/>
                <w:numId w:val="341"/>
              </w:numPr>
              <w:spacing w:before="60"/>
              <w:rPr>
                <w:rFonts w:cs="Times New Roman"/>
                <w:lang w:val="sl-SI"/>
              </w:rPr>
            </w:pPr>
            <w:r w:rsidRPr="00237696">
              <w:rPr>
                <w:rFonts w:eastAsia="Calibri" w:cs="Calibri"/>
                <w:bdr w:val="nil"/>
                <w:lang w:val="sl-SI"/>
              </w:rPr>
              <w:t>organiziranje konferenc, seminarjev in/ali okroglih miz o relevantnih vprašanjih Evropske unije za najširši možni skupek deležnikov</w:t>
            </w:r>
            <w:r w:rsidRPr="00237696">
              <w:rPr>
                <w:rFonts w:cs="Times New Roman"/>
                <w:lang w:val="sl-SI"/>
              </w:rPr>
              <w:t>.</w:t>
            </w:r>
          </w:p>
        </w:tc>
      </w:tr>
    </w:tbl>
    <w:p w14:paraId="7D399F2C" w14:textId="77777777" w:rsidR="00E03711" w:rsidRPr="001048FE" w:rsidRDefault="00E03711" w:rsidP="002A25C9">
      <w:pPr>
        <w:pStyle w:val="Guide-Heading4"/>
        <w:rPr>
          <w:lang w:val="sl-SI"/>
        </w:rPr>
      </w:pPr>
      <w:bookmarkStart w:id="339" w:name="Quel_est_le_rôle_des_organisations_parti"/>
      <w:bookmarkStart w:id="340" w:name="_Toc527401202"/>
      <w:bookmarkEnd w:id="339"/>
      <w:r w:rsidRPr="001048FE">
        <w:rPr>
          <w:lang w:val="sl-SI"/>
        </w:rPr>
        <w:t>Kakšna je vloga organizacij, ki sodelujejo v projektih Jean Monnet?</w:t>
      </w:r>
      <w:bookmarkEnd w:id="340"/>
    </w:p>
    <w:p w14:paraId="7D399F2D" w14:textId="77777777" w:rsidR="00E03711" w:rsidRPr="001048FE" w:rsidRDefault="00E03711" w:rsidP="00907DA9">
      <w:pPr>
        <w:pStyle w:val="GUIDE-NORMAL"/>
        <w:rPr>
          <w:lang w:val="sl-SI"/>
        </w:rPr>
      </w:pPr>
      <w:r w:rsidRPr="001048FE">
        <w:rPr>
          <w:lang w:val="sl-SI"/>
        </w:rPr>
        <w:t>Institucija, ki predlaga projekt, mora pripraviti jasno in trajno strategijo s podrobno opisanim delovnim programom, vključno z informacijami o pričakovanih rezultatih. Utemeljiti mora potrebo po predlaganih aktivnostih, posredne in neposredne upravičence ter zagotoviti aktivno vlogo vseh sodelujočih organizacij.</w:t>
      </w:r>
    </w:p>
    <w:p w14:paraId="7D399F2E" w14:textId="77777777" w:rsidR="00E03711" w:rsidRPr="001048FE" w:rsidRDefault="00E03711" w:rsidP="00907DA9">
      <w:pPr>
        <w:pStyle w:val="GUIDE-NORMAL"/>
        <w:rPr>
          <w:lang w:val="sl-SI"/>
        </w:rPr>
      </w:pPr>
      <w:r w:rsidRPr="001048FE">
        <w:rPr>
          <w:lang w:val="sl-SI"/>
        </w:rPr>
        <w:t>Predloge podpiše zakoniti zastopnik visokošolskih institucij (ali drugih upravičenih organizacij) ter zagotovi informacije o pravnem statusu, ciljih in aktivnostih institucije prijaviteljice.</w:t>
      </w:r>
    </w:p>
    <w:p w14:paraId="7D399F2F" w14:textId="77777777" w:rsidR="00E03711" w:rsidRPr="001048FE" w:rsidRDefault="00E03711" w:rsidP="00907DA9">
      <w:pPr>
        <w:pStyle w:val="GUIDE-NORMAL"/>
        <w:rPr>
          <w:lang w:val="sl-SI"/>
        </w:rPr>
      </w:pPr>
      <w:r w:rsidRPr="001048FE">
        <w:rPr>
          <w:lang w:val="sl-SI"/>
        </w:rPr>
        <w:t>Visokošolske institucije (ali druge upravičene organizacije) prevzamejo končno odgovornost za svoje prijave. Aktivnosti, navedene v njihovih projektih, morajo izvajati ves čas trajanja projekta.</w:t>
      </w:r>
    </w:p>
    <w:p w14:paraId="7D399F30" w14:textId="77777777" w:rsidR="00E03711" w:rsidRPr="001048FE" w:rsidRDefault="00E03711" w:rsidP="00907DA9">
      <w:pPr>
        <w:pStyle w:val="GUIDE-NORMAL"/>
        <w:rPr>
          <w:lang w:val="sl-SI"/>
        </w:rPr>
      </w:pPr>
    </w:p>
    <w:p w14:paraId="7D399F31" w14:textId="77777777" w:rsidR="00E03711" w:rsidRPr="001048FE" w:rsidRDefault="00E03711" w:rsidP="00907DA9">
      <w:pPr>
        <w:pStyle w:val="Guide-Heading4"/>
        <w:rPr>
          <w:lang w:val="sl-SI"/>
        </w:rPr>
      </w:pPr>
      <w:bookmarkStart w:id="341" w:name="_Toc527401203"/>
      <w:r w:rsidRPr="001048FE">
        <w:rPr>
          <w:lang w:val="sl-SI"/>
        </w:rPr>
        <w:t>Kakšna so merila za oceno projekta Jean Monnet?</w:t>
      </w:r>
      <w:bookmarkEnd w:id="341"/>
    </w:p>
    <w:p w14:paraId="7D399F32" w14:textId="77777777" w:rsidR="00E03711" w:rsidRPr="001048FE" w:rsidRDefault="00E03711" w:rsidP="00907DA9">
      <w:pPr>
        <w:pStyle w:val="GUIDE-NORMAL"/>
        <w:rPr>
          <w:lang w:val="sl-SI"/>
        </w:rPr>
      </w:pPr>
      <w:r w:rsidRPr="001048FE">
        <w:rPr>
          <w:lang w:val="sl-SI"/>
        </w:rPr>
        <w:t>V nadaljevanju so navedena uradna merila, ki jih mora izpolniti projekt Jean Monnet za upravičenost do nepovratnih sredstev Erasmus+:</w:t>
      </w:r>
    </w:p>
    <w:p w14:paraId="7D399F33" w14:textId="77777777" w:rsidR="00E03711" w:rsidRPr="001048FE" w:rsidRDefault="00E03711" w:rsidP="00907DA9">
      <w:pPr>
        <w:pStyle w:val="Guide-Heading5"/>
        <w:rPr>
          <w:lang w:val="sl-SI"/>
        </w:rPr>
      </w:pPr>
      <w:r w:rsidRPr="001048FE">
        <w:rPr>
          <w:lang w:val="sl-SI"/>
        </w:rPr>
        <w:t>Merila za upravičenost</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68"/>
        <w:gridCol w:w="7722"/>
      </w:tblGrid>
      <w:tr w:rsidR="00E03711" w:rsidRPr="00C60205" w14:paraId="7D399F37" w14:textId="77777777" w:rsidTr="002B0769">
        <w:trPr>
          <w:cantSplit/>
        </w:trPr>
        <w:tc>
          <w:tcPr>
            <w:tcW w:w="844" w:type="pct"/>
            <w:shd w:val="clear" w:color="auto" w:fill="FFFFFF"/>
            <w:vAlign w:val="center"/>
          </w:tcPr>
          <w:p w14:paraId="7D399F34" w14:textId="77777777" w:rsidR="00E03711" w:rsidRPr="00F769E0" w:rsidRDefault="00E03711" w:rsidP="00907DA9">
            <w:pPr>
              <w:pStyle w:val="GUIDE-NORMAL"/>
              <w:spacing w:before="60" w:after="60"/>
              <w:jc w:val="left"/>
              <w:rPr>
                <w:rFonts w:cs="Tahoma"/>
                <w:b/>
                <w:lang w:val="sl-SI" w:eastAsia="en-GB"/>
              </w:rPr>
            </w:pPr>
            <w:r w:rsidRPr="00F769E0">
              <w:rPr>
                <w:rFonts w:cs="Tahoma"/>
                <w:b/>
                <w:lang w:val="sl-SI" w:eastAsia="en-GB"/>
              </w:rPr>
              <w:t>Kdo se lahko prijavi?</w:t>
            </w:r>
          </w:p>
        </w:tc>
        <w:tc>
          <w:tcPr>
            <w:tcW w:w="4156" w:type="pct"/>
            <w:shd w:val="clear" w:color="auto" w:fill="FFFFFF"/>
            <w:vAlign w:val="center"/>
          </w:tcPr>
          <w:p w14:paraId="7D399F35" w14:textId="77777777" w:rsidR="00E03711" w:rsidRPr="00F769E0" w:rsidRDefault="00E03711" w:rsidP="00907DA9">
            <w:pPr>
              <w:pStyle w:val="GUIDE-NORMAL"/>
              <w:spacing w:before="60" w:after="60"/>
              <w:rPr>
                <w:rFonts w:cs="Tahoma"/>
                <w:lang w:val="sl-SI" w:eastAsia="en-GB"/>
              </w:rPr>
            </w:pPr>
            <w:r w:rsidRPr="00F769E0">
              <w:rPr>
                <w:rFonts w:cs="Tahoma"/>
                <w:lang w:val="sl-SI" w:eastAsia="en-GB"/>
              </w:rPr>
              <w:t>Visokošolske institucije ali druge organizacij  s sedežem v kateri koli državi sveta. Visokošolske institucije s sedežem v državah programa Erasmus+ morajo biti nosilke veljavne Listine Erasmus za terciarno izobraževanje (ECHE). Listina ECHE ni zahtevana za sodelujoče visokošolske institucije iz partnerskih držav.</w:t>
            </w:r>
          </w:p>
          <w:p w14:paraId="7D399F36" w14:textId="77777777" w:rsidR="00E03711" w:rsidRPr="00F769E0" w:rsidRDefault="00E03711" w:rsidP="00907DA9">
            <w:pPr>
              <w:pStyle w:val="GUIDE-NORMAL"/>
              <w:spacing w:before="60" w:after="60"/>
              <w:rPr>
                <w:rFonts w:cs="Tahoma"/>
                <w:lang w:val="sl-SI" w:eastAsia="en-GB"/>
              </w:rPr>
            </w:pPr>
            <w:r w:rsidRPr="00F769E0">
              <w:rPr>
                <w:rFonts w:cs="Tahoma"/>
                <w:lang w:val="sl-SI" w:eastAsia="en-GB"/>
              </w:rPr>
              <w:t>Določene institucije (opredeljene v uredbi, ki ustanavlja program Erasmus+), ki sledijo cilju v evropskem interesu, niso upravičene do prijave v okviru tega ukrepa. Osnovnošolske in srednješolske ustanove niso upravičene do prijave, vendar lahko aktivno prispevajo k uresničevanju aktivnosti.</w:t>
            </w:r>
          </w:p>
        </w:tc>
      </w:tr>
      <w:tr w:rsidR="00E03711" w:rsidRPr="008C6F8C" w14:paraId="7D399F3A" w14:textId="77777777" w:rsidTr="002B0769">
        <w:trPr>
          <w:cantSplit/>
        </w:trPr>
        <w:tc>
          <w:tcPr>
            <w:tcW w:w="844" w:type="pct"/>
            <w:shd w:val="clear" w:color="auto" w:fill="FFFFFF"/>
            <w:vAlign w:val="center"/>
          </w:tcPr>
          <w:p w14:paraId="7D399F38" w14:textId="77777777" w:rsidR="00E03711" w:rsidRPr="00F769E0" w:rsidRDefault="00E03711" w:rsidP="00907DA9">
            <w:pPr>
              <w:pStyle w:val="GUIDE-NORMAL"/>
              <w:spacing w:before="60" w:after="60"/>
              <w:jc w:val="left"/>
              <w:rPr>
                <w:rFonts w:cs="Tahoma"/>
                <w:b/>
                <w:lang w:val="sl-SI" w:eastAsia="en-GB"/>
              </w:rPr>
            </w:pPr>
            <w:r w:rsidRPr="00F769E0">
              <w:rPr>
                <w:rFonts w:cs="Tahoma"/>
                <w:b/>
                <w:lang w:val="sl-SI" w:eastAsia="en-GB"/>
              </w:rPr>
              <w:t>Trajanje projekta</w:t>
            </w:r>
          </w:p>
        </w:tc>
        <w:tc>
          <w:tcPr>
            <w:tcW w:w="4156" w:type="pct"/>
            <w:shd w:val="clear" w:color="auto" w:fill="FFFFFF"/>
            <w:vAlign w:val="center"/>
          </w:tcPr>
          <w:p w14:paraId="7D399F39" w14:textId="77777777" w:rsidR="00E03711" w:rsidRPr="00F769E0" w:rsidRDefault="00E03711" w:rsidP="00907DA9">
            <w:pPr>
              <w:pStyle w:val="GUIDE-NORMAL"/>
              <w:spacing w:before="60" w:after="60"/>
              <w:rPr>
                <w:rFonts w:cs="Tahoma"/>
                <w:lang w:val="sl-SI" w:eastAsia="en-GB"/>
              </w:rPr>
            </w:pPr>
            <w:r w:rsidRPr="00F769E0">
              <w:rPr>
                <w:rFonts w:cs="Tahoma"/>
                <w:lang w:val="sl-SI" w:eastAsia="en-GB"/>
              </w:rPr>
              <w:t>12, 18 ali 24 mesecev.</w:t>
            </w:r>
          </w:p>
        </w:tc>
      </w:tr>
      <w:tr w:rsidR="00E03711" w:rsidRPr="00C60205" w14:paraId="7D399F3D" w14:textId="77777777" w:rsidTr="002B0769">
        <w:trPr>
          <w:cantSplit/>
        </w:trPr>
        <w:tc>
          <w:tcPr>
            <w:tcW w:w="844" w:type="pct"/>
            <w:shd w:val="clear" w:color="auto" w:fill="FFFFFF"/>
            <w:vAlign w:val="center"/>
          </w:tcPr>
          <w:p w14:paraId="7D399F3B" w14:textId="77777777" w:rsidR="00E03711" w:rsidRPr="00F769E0" w:rsidRDefault="00E03711" w:rsidP="00907DA9">
            <w:pPr>
              <w:pStyle w:val="GUIDE-NORMAL"/>
              <w:spacing w:before="60" w:after="60"/>
              <w:jc w:val="left"/>
              <w:rPr>
                <w:rFonts w:cs="Tahoma"/>
                <w:b/>
                <w:lang w:val="sl-SI" w:eastAsia="en-GB"/>
              </w:rPr>
            </w:pPr>
            <w:r w:rsidRPr="00F769E0">
              <w:rPr>
                <w:rFonts w:cs="Tahoma"/>
                <w:b/>
                <w:lang w:val="sl-SI" w:eastAsia="en-GB"/>
              </w:rPr>
              <w:t>Kje se prijaviti?</w:t>
            </w:r>
          </w:p>
        </w:tc>
        <w:tc>
          <w:tcPr>
            <w:tcW w:w="4156" w:type="pct"/>
            <w:shd w:val="clear" w:color="auto" w:fill="FFFFFF"/>
            <w:vAlign w:val="center"/>
          </w:tcPr>
          <w:p w14:paraId="7D399F3C" w14:textId="77777777" w:rsidR="00E03711" w:rsidRPr="00F769E0" w:rsidRDefault="00E03711" w:rsidP="00907DA9">
            <w:pPr>
              <w:pStyle w:val="GUIDE-NORMAL"/>
              <w:spacing w:before="60" w:after="60"/>
              <w:rPr>
                <w:rFonts w:cs="Tahoma"/>
                <w:lang w:val="sl-SI" w:eastAsia="en-GB"/>
              </w:rPr>
            </w:pPr>
            <w:r w:rsidRPr="00F769E0">
              <w:rPr>
                <w:rFonts w:cs="Tahoma"/>
                <w:lang w:val="sl-SI" w:eastAsia="en-GB"/>
              </w:rPr>
              <w:t>Pri Izvajalski agenciji za izobraževanje, avdiovizualno področje in kulturo v Bruslju.</w:t>
            </w:r>
          </w:p>
        </w:tc>
      </w:tr>
      <w:tr w:rsidR="00E03711" w:rsidRPr="00C60205" w14:paraId="7D399F40" w14:textId="77777777" w:rsidTr="002B0769">
        <w:trPr>
          <w:cantSplit/>
        </w:trPr>
        <w:tc>
          <w:tcPr>
            <w:tcW w:w="844" w:type="pct"/>
            <w:shd w:val="clear" w:color="auto" w:fill="FFFFFF"/>
            <w:vAlign w:val="center"/>
          </w:tcPr>
          <w:p w14:paraId="7D399F3E" w14:textId="77777777" w:rsidR="00E03711" w:rsidRPr="00F769E0" w:rsidRDefault="00E03711" w:rsidP="00907DA9">
            <w:pPr>
              <w:pStyle w:val="GUIDE-NORMAL"/>
              <w:spacing w:before="60" w:after="60"/>
              <w:jc w:val="left"/>
              <w:rPr>
                <w:rFonts w:cs="Tahoma"/>
                <w:b/>
                <w:lang w:val="sl-SI" w:eastAsia="en-GB"/>
              </w:rPr>
            </w:pPr>
            <w:r w:rsidRPr="00F769E0">
              <w:rPr>
                <w:rFonts w:cs="Tahoma"/>
                <w:b/>
                <w:lang w:val="sl-SI" w:eastAsia="en-GB"/>
              </w:rPr>
              <w:t>Kdaj se prijaviti?</w:t>
            </w:r>
          </w:p>
        </w:tc>
        <w:tc>
          <w:tcPr>
            <w:tcW w:w="4156" w:type="pct"/>
            <w:shd w:val="clear" w:color="auto" w:fill="FFFFFF"/>
            <w:vAlign w:val="center"/>
          </w:tcPr>
          <w:p w14:paraId="7D399F3F" w14:textId="77777777" w:rsidR="00E03711" w:rsidRPr="00F769E0" w:rsidRDefault="00E03711" w:rsidP="00907DA9">
            <w:pPr>
              <w:pStyle w:val="GUIDE-NORMAL"/>
              <w:spacing w:before="60" w:after="60"/>
              <w:rPr>
                <w:rFonts w:cs="Tahoma"/>
                <w:lang w:val="sl-SI" w:eastAsia="en-GB"/>
              </w:rPr>
            </w:pPr>
            <w:r w:rsidRPr="00F769E0">
              <w:rPr>
                <w:rFonts w:cs="Tahoma"/>
                <w:lang w:val="sl-SI" w:eastAsia="en-GB"/>
              </w:rPr>
              <w:t xml:space="preserve">Prijavitelji morajo vlogo za nepovratna sredstva oddati do </w:t>
            </w:r>
            <w:r w:rsidRPr="00F769E0">
              <w:rPr>
                <w:rFonts w:cs="Tahoma"/>
                <w:b/>
                <w:lang w:val="sl-SI" w:eastAsia="en-GB"/>
              </w:rPr>
              <w:t>2</w:t>
            </w:r>
            <w:r>
              <w:rPr>
                <w:rFonts w:cs="Tahoma"/>
                <w:b/>
                <w:lang w:val="sl-SI" w:eastAsia="en-GB"/>
              </w:rPr>
              <w:t>0</w:t>
            </w:r>
            <w:r w:rsidRPr="00F769E0">
              <w:rPr>
                <w:rFonts w:cs="Tahoma"/>
                <w:b/>
                <w:lang w:val="sl-SI" w:eastAsia="en-GB"/>
              </w:rPr>
              <w:t>. februarja do 1</w:t>
            </w:r>
            <w:r>
              <w:rPr>
                <w:rFonts w:cs="Tahoma"/>
                <w:b/>
                <w:lang w:val="sl-SI" w:eastAsia="en-GB"/>
              </w:rPr>
              <w:t>7</w:t>
            </w:r>
            <w:r w:rsidRPr="00F769E0">
              <w:rPr>
                <w:rFonts w:cs="Tahoma"/>
                <w:b/>
                <w:lang w:val="sl-SI" w:eastAsia="en-GB"/>
              </w:rPr>
              <w:t>. ure (po bruseljskem času)</w:t>
            </w:r>
            <w:r w:rsidRPr="00F769E0">
              <w:rPr>
                <w:rFonts w:cs="Tahoma"/>
                <w:lang w:val="sl-SI" w:eastAsia="en-GB"/>
              </w:rPr>
              <w:t xml:space="preserve"> za projekte, ki se začnejo 1. septembra istega leta.</w:t>
            </w:r>
          </w:p>
        </w:tc>
      </w:tr>
      <w:tr w:rsidR="00E03711" w:rsidRPr="00C60205" w14:paraId="7D399F43" w14:textId="77777777" w:rsidTr="002B0769">
        <w:trPr>
          <w:cantSplit/>
        </w:trPr>
        <w:tc>
          <w:tcPr>
            <w:tcW w:w="844" w:type="pct"/>
            <w:shd w:val="clear" w:color="auto" w:fill="FFFFFF"/>
            <w:vAlign w:val="center"/>
          </w:tcPr>
          <w:p w14:paraId="7D399F41" w14:textId="77777777" w:rsidR="00E03711" w:rsidRPr="00F769E0" w:rsidRDefault="00E03711" w:rsidP="00907DA9">
            <w:pPr>
              <w:pStyle w:val="GUIDE-NORMAL"/>
              <w:spacing w:before="60" w:after="60"/>
              <w:jc w:val="left"/>
              <w:rPr>
                <w:rFonts w:cs="Tahoma"/>
                <w:b/>
                <w:lang w:val="sl-SI" w:eastAsia="en-GB"/>
              </w:rPr>
            </w:pPr>
            <w:r w:rsidRPr="00F769E0">
              <w:rPr>
                <w:rFonts w:cs="Tahoma"/>
                <w:b/>
                <w:lang w:val="sl-SI" w:eastAsia="en-GB"/>
              </w:rPr>
              <w:t>Kako se prijaviti?</w:t>
            </w:r>
          </w:p>
        </w:tc>
        <w:tc>
          <w:tcPr>
            <w:tcW w:w="4156" w:type="pct"/>
            <w:shd w:val="clear" w:color="auto" w:fill="FFFFFF"/>
            <w:vAlign w:val="center"/>
          </w:tcPr>
          <w:p w14:paraId="7D399F42" w14:textId="77777777" w:rsidR="00E03711" w:rsidRPr="00F769E0" w:rsidRDefault="00E03711" w:rsidP="00907DA9">
            <w:pPr>
              <w:pStyle w:val="GUIDE-NORMAL"/>
              <w:spacing w:before="60" w:after="60"/>
              <w:rPr>
                <w:rFonts w:cs="Tahoma"/>
                <w:lang w:val="sl-SI" w:eastAsia="en-GB"/>
              </w:rPr>
            </w:pPr>
            <w:r w:rsidRPr="00F769E0">
              <w:rPr>
                <w:rFonts w:cs="Tahoma"/>
                <w:lang w:val="sl-SI" w:eastAsia="en-GB"/>
              </w:rPr>
              <w:t>Za podrobnosti o postopku prijave glej del C tega vodnika.</w:t>
            </w:r>
          </w:p>
        </w:tc>
      </w:tr>
    </w:tbl>
    <w:p w14:paraId="7D399F44" w14:textId="77777777" w:rsidR="00E03711" w:rsidRPr="001048FE" w:rsidRDefault="00E03711" w:rsidP="00907DA9">
      <w:pPr>
        <w:pStyle w:val="GUIDE-NORMAL"/>
        <w:rPr>
          <w:lang w:val="sl-SI"/>
        </w:rPr>
      </w:pPr>
      <w:r w:rsidRPr="001048FE">
        <w:rPr>
          <w:lang w:val="sl-SI"/>
        </w:rPr>
        <w:t>Organizacije prijaviteljice bodo ocenjene tudi z merili za izključitev in izbor. Za več informacij glej del C tega vodnika.</w:t>
      </w:r>
    </w:p>
    <w:p w14:paraId="7D399F45" w14:textId="77777777" w:rsidR="00E03711" w:rsidRPr="001048FE" w:rsidRDefault="00E03711" w:rsidP="002A25C9">
      <w:pPr>
        <w:pStyle w:val="Guide-Heading5"/>
        <w:rPr>
          <w:lang w:val="sl-SI"/>
        </w:rPr>
      </w:pPr>
      <w:r w:rsidRPr="001048FE">
        <w:rPr>
          <w:lang w:val="sl-SI"/>
        </w:rPr>
        <w:t>Merila za dodelitev</w:t>
      </w:r>
    </w:p>
    <w:p w14:paraId="7D399F46" w14:textId="77777777" w:rsidR="00E03711" w:rsidRPr="001048FE" w:rsidRDefault="00E03711" w:rsidP="00907DA9">
      <w:pPr>
        <w:pStyle w:val="GUIDE-NORMAL"/>
        <w:rPr>
          <w:lang w:val="sl-SI"/>
        </w:rPr>
      </w:pPr>
      <w:r w:rsidRPr="001048FE">
        <w:rPr>
          <w:lang w:val="sl-SI"/>
        </w:rPr>
        <w:t>Projekti bodo ocenjeni z naslednjimi merili:</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Look w:val="0000" w:firstRow="0" w:lastRow="0" w:firstColumn="0" w:lastColumn="0" w:noHBand="0" w:noVBand="0"/>
      </w:tblPr>
      <w:tblGrid>
        <w:gridCol w:w="1568"/>
        <w:gridCol w:w="7722"/>
      </w:tblGrid>
      <w:tr w:rsidR="00E03711" w:rsidRPr="00654F6A" w14:paraId="7D399F5A" w14:textId="77777777" w:rsidTr="002B0769">
        <w:trPr>
          <w:trHeight w:val="170"/>
        </w:trPr>
        <w:tc>
          <w:tcPr>
            <w:tcW w:w="844" w:type="pct"/>
            <w:shd w:val="clear" w:color="auto" w:fill="FFFFFF"/>
            <w:vAlign w:val="center"/>
          </w:tcPr>
          <w:p w14:paraId="7D399F47" w14:textId="77777777" w:rsidR="00E03711" w:rsidRPr="00F769E0" w:rsidRDefault="00E03711" w:rsidP="00880014">
            <w:pPr>
              <w:pStyle w:val="GUIDE-NORMAL"/>
              <w:jc w:val="left"/>
              <w:rPr>
                <w:rFonts w:cs="Tahoma"/>
                <w:b/>
                <w:lang w:val="sl-SI" w:eastAsia="en-GB"/>
              </w:rPr>
            </w:pPr>
            <w:r w:rsidRPr="00F769E0">
              <w:rPr>
                <w:rFonts w:cs="Tahoma"/>
                <w:b/>
                <w:lang w:val="sl-SI" w:eastAsia="en-GB"/>
              </w:rPr>
              <w:t xml:space="preserve">Ustreznost projekta </w:t>
            </w:r>
            <w:r w:rsidRPr="00F769E0">
              <w:rPr>
                <w:rFonts w:cs="Tahoma"/>
                <w:b/>
                <w:lang w:val="sl-SI" w:eastAsia="en-GB"/>
              </w:rPr>
              <w:br/>
              <w:t>(največ 25 točk)</w:t>
            </w:r>
          </w:p>
        </w:tc>
        <w:tc>
          <w:tcPr>
            <w:tcW w:w="4156" w:type="pct"/>
            <w:shd w:val="clear" w:color="auto" w:fill="FFFFFF"/>
            <w:vAlign w:val="center"/>
          </w:tcPr>
          <w:p w14:paraId="7D399F48" w14:textId="77777777" w:rsidR="00E03711" w:rsidRDefault="00E03711" w:rsidP="005115F2">
            <w:pPr>
              <w:pStyle w:val="Guide-NormalBulletpoints"/>
              <w:numPr>
                <w:ilvl w:val="0"/>
                <w:numId w:val="147"/>
              </w:numPr>
              <w:spacing w:before="60"/>
              <w:jc w:val="left"/>
              <w:rPr>
                <w:lang w:val="sl-SI"/>
              </w:rPr>
            </w:pPr>
            <w:r>
              <w:rPr>
                <w:lang w:val="sl-SI"/>
              </w:rPr>
              <w:t xml:space="preserve">v kolikšni meri je predlog znotraj </w:t>
            </w:r>
            <w:r w:rsidRPr="00D10C38">
              <w:rPr>
                <w:b/>
                <w:bCs/>
                <w:lang w:val="sl-SI"/>
              </w:rPr>
              <w:t>okvira</w:t>
            </w:r>
            <w:r>
              <w:rPr>
                <w:lang w:val="sl-SI"/>
              </w:rPr>
              <w:t xml:space="preserve"> študij Evropske unije:</w:t>
            </w:r>
          </w:p>
          <w:p w14:paraId="7D399F49" w14:textId="77777777" w:rsidR="00E03711" w:rsidRDefault="00E03711" w:rsidP="005115F2">
            <w:pPr>
              <w:pStyle w:val="Guide-NormalBulletpoints"/>
              <w:numPr>
                <w:ilvl w:val="1"/>
                <w:numId w:val="147"/>
              </w:numPr>
              <w:spacing w:before="60"/>
              <w:jc w:val="left"/>
              <w:rPr>
                <w:lang w:val="sl-SI"/>
              </w:rPr>
            </w:pPr>
            <w:r>
              <w:rPr>
                <w:lang w:val="sl-SI"/>
              </w:rPr>
              <w:t>v celoti tvori študij Evropske unije, s posebnim poudarkom na integracijskem procesu EU tako v notranjih kot zunanjih vidikih;</w:t>
            </w:r>
          </w:p>
          <w:p w14:paraId="7D399F4A" w14:textId="77777777" w:rsidR="00E03711" w:rsidRDefault="00E03711" w:rsidP="005115F2">
            <w:pPr>
              <w:pStyle w:val="Guide-NormalBulletpoints"/>
              <w:numPr>
                <w:ilvl w:val="1"/>
                <w:numId w:val="147"/>
              </w:numPr>
              <w:spacing w:before="60"/>
              <w:jc w:val="left"/>
              <w:rPr>
                <w:lang w:val="sl-SI"/>
              </w:rPr>
            </w:pPr>
            <w:r>
              <w:rPr>
                <w:lang w:val="sl-SI"/>
              </w:rPr>
              <w:t xml:space="preserve">povezava s pravnim redom EU </w:t>
            </w:r>
            <w:r w:rsidRPr="00D10C38">
              <w:rPr>
                <w:i/>
                <w:iCs/>
                <w:lang w:val="sl-SI"/>
              </w:rPr>
              <w:t xml:space="preserve">(acquis communautaire) </w:t>
            </w:r>
            <w:r>
              <w:rPr>
                <w:lang w:val="sl-SI"/>
              </w:rPr>
              <w:t>in obstoječimi politikami EU;</w:t>
            </w:r>
          </w:p>
          <w:p w14:paraId="7D399F4B" w14:textId="77777777" w:rsidR="00E03711" w:rsidRDefault="00E03711" w:rsidP="005115F2">
            <w:pPr>
              <w:pStyle w:val="Guide-NormalBulletpoints"/>
              <w:numPr>
                <w:ilvl w:val="1"/>
                <w:numId w:val="147"/>
              </w:numPr>
              <w:spacing w:before="60"/>
              <w:jc w:val="left"/>
              <w:rPr>
                <w:lang w:val="sl-SI"/>
              </w:rPr>
            </w:pPr>
            <w:r>
              <w:rPr>
                <w:lang w:val="sl-SI"/>
              </w:rPr>
              <w:t>spodbujanje aktivnega državljanstva v EU in vrednot EU;</w:t>
            </w:r>
          </w:p>
          <w:p w14:paraId="7D399F4C" w14:textId="77777777" w:rsidR="00E03711" w:rsidRDefault="00E03711" w:rsidP="005115F2">
            <w:pPr>
              <w:pStyle w:val="Guide-NormalBulletpoints"/>
              <w:numPr>
                <w:ilvl w:val="1"/>
                <w:numId w:val="147"/>
              </w:numPr>
              <w:spacing w:before="60"/>
              <w:jc w:val="left"/>
              <w:rPr>
                <w:lang w:val="sl-SI"/>
              </w:rPr>
            </w:pPr>
            <w:r>
              <w:rPr>
                <w:lang w:val="sl-SI"/>
              </w:rPr>
              <w:t>krepitev zavedanja o EU in omogočanje prihodnje angažiranosti ter dialoga med narodi.</w:t>
            </w:r>
          </w:p>
          <w:p w14:paraId="7D399F4D" w14:textId="77777777" w:rsidR="00E03711" w:rsidRPr="00B22787" w:rsidRDefault="00E03711" w:rsidP="005115F2">
            <w:pPr>
              <w:pStyle w:val="Guide-NormalBulletpoints"/>
              <w:numPr>
                <w:ilvl w:val="0"/>
                <w:numId w:val="147"/>
              </w:numPr>
              <w:spacing w:before="60"/>
              <w:jc w:val="left"/>
              <w:rPr>
                <w:lang w:val="sl-SI"/>
              </w:rPr>
            </w:pPr>
            <w:r w:rsidRPr="00D10C38">
              <w:rPr>
                <w:b/>
                <w:bCs/>
                <w:lang w:val="sl-SI"/>
              </w:rPr>
              <w:t>ustreznost</w:t>
            </w:r>
            <w:r w:rsidRPr="00C6615D">
              <w:rPr>
                <w:lang w:val="sl-SI"/>
              </w:rPr>
              <w:t xml:space="preserve"> predloga v zvezi z</w:t>
            </w:r>
            <w:r>
              <w:rPr>
                <w:lang w:val="sl-SI"/>
              </w:rPr>
              <w:t xml:space="preserve"> </w:t>
            </w:r>
            <w:r w:rsidRPr="00C6615D">
              <w:rPr>
                <w:lang w:val="sl-SI"/>
              </w:rPr>
              <w:t xml:space="preserve">enim ali več naslednjimi cilji </w:t>
            </w:r>
            <w:r w:rsidRPr="00B22787">
              <w:rPr>
                <w:lang w:val="sl-SI"/>
              </w:rPr>
              <w:t>aktivnosti Jean Monnet:</w:t>
            </w:r>
          </w:p>
          <w:p w14:paraId="7D399F4E" w14:textId="77777777" w:rsidR="00E03711" w:rsidRDefault="00E03711" w:rsidP="005115F2">
            <w:pPr>
              <w:pStyle w:val="Guide-NormalBulletpoints"/>
              <w:numPr>
                <w:ilvl w:val="1"/>
                <w:numId w:val="147"/>
              </w:numPr>
              <w:spacing w:before="60"/>
              <w:jc w:val="left"/>
              <w:rPr>
                <w:lang w:val="sl-SI"/>
              </w:rPr>
            </w:pPr>
            <w:r>
              <w:rPr>
                <w:lang w:val="sl-SI"/>
              </w:rPr>
              <w:t>spodbujanje odličnosti pri poučevanju in raziskovanju o evropskih študijah;</w:t>
            </w:r>
          </w:p>
          <w:p w14:paraId="7D399F4F" w14:textId="77777777" w:rsidR="00E03711" w:rsidRDefault="00E03711" w:rsidP="005115F2">
            <w:pPr>
              <w:pStyle w:val="Guide-NormalBulletpoints"/>
              <w:numPr>
                <w:ilvl w:val="1"/>
                <w:numId w:val="147"/>
              </w:numPr>
              <w:spacing w:before="60"/>
              <w:jc w:val="left"/>
              <w:rPr>
                <w:lang w:val="sl-SI"/>
              </w:rPr>
            </w:pPr>
            <w:r>
              <w:rPr>
                <w:lang w:val="sl-SI"/>
              </w:rPr>
              <w:t>spodbujanje ustvarjanja novega poučevanja/aktivnosti pri evropskih študijah;</w:t>
            </w:r>
          </w:p>
          <w:p w14:paraId="7D399F50" w14:textId="77777777" w:rsidR="00E03711" w:rsidRDefault="00E03711" w:rsidP="005115F2">
            <w:pPr>
              <w:pStyle w:val="Guide-NormalBulletpoints"/>
              <w:numPr>
                <w:ilvl w:val="1"/>
                <w:numId w:val="147"/>
              </w:numPr>
              <w:spacing w:before="60"/>
              <w:jc w:val="left"/>
              <w:rPr>
                <w:lang w:val="sl-SI"/>
              </w:rPr>
            </w:pPr>
            <w:r>
              <w:rPr>
                <w:lang w:val="sl-SI"/>
              </w:rPr>
              <w:t>ustvarjanje znanja in vpogledov, ki lahko podpirajo oblikovanje politik EU in krepijo vlogo EU v globaliziranem svetu;</w:t>
            </w:r>
          </w:p>
          <w:p w14:paraId="7D399F51" w14:textId="77777777" w:rsidR="00E03711" w:rsidRDefault="00E03711" w:rsidP="005115F2">
            <w:pPr>
              <w:pStyle w:val="Guide-NormalBulletpoints"/>
              <w:numPr>
                <w:ilvl w:val="1"/>
                <w:numId w:val="147"/>
              </w:numPr>
              <w:spacing w:before="60"/>
              <w:jc w:val="left"/>
              <w:rPr>
                <w:lang w:val="sl-SI"/>
              </w:rPr>
            </w:pPr>
            <w:r>
              <w:rPr>
                <w:lang w:val="sl-SI"/>
              </w:rPr>
              <w:t>vsebovanje koristi za sisteme politki, znotraj katerih je opredeljen;</w:t>
            </w:r>
          </w:p>
          <w:p w14:paraId="7D399F52" w14:textId="77777777" w:rsidR="00E03711" w:rsidRDefault="00E03711" w:rsidP="005115F2">
            <w:pPr>
              <w:pStyle w:val="Guide-NormalBulletpoints"/>
              <w:numPr>
                <w:ilvl w:val="1"/>
                <w:numId w:val="147"/>
              </w:numPr>
              <w:spacing w:before="60"/>
              <w:jc w:val="left"/>
              <w:rPr>
                <w:lang w:val="sl-SI"/>
              </w:rPr>
            </w:pPr>
            <w:r>
              <w:rPr>
                <w:lang w:val="sl-SI"/>
              </w:rPr>
              <w:t>spodbujanje dialoga med akademskim svetom in širšo družbo;</w:t>
            </w:r>
          </w:p>
          <w:p w14:paraId="7D399F53" w14:textId="77777777" w:rsidR="00E03711" w:rsidRDefault="00E03711" w:rsidP="005115F2">
            <w:pPr>
              <w:pStyle w:val="Guide-NormalBulletpoints"/>
              <w:numPr>
                <w:ilvl w:val="1"/>
                <w:numId w:val="147"/>
              </w:numPr>
              <w:spacing w:before="60"/>
              <w:jc w:val="left"/>
              <w:rPr>
                <w:lang w:val="sl-SI"/>
              </w:rPr>
            </w:pPr>
            <w:r>
              <w:rPr>
                <w:lang w:val="sl-SI"/>
              </w:rPr>
              <w:t>vključevanje akterjev civilne družbe, oblikovalcev politike, javnih uslužbencev, predstavnikov izobraževanja in predstavnikov medijev na različnih ravneh;</w:t>
            </w:r>
          </w:p>
          <w:p w14:paraId="7D399F54" w14:textId="77777777" w:rsidR="00E03711" w:rsidRDefault="00E03711" w:rsidP="005115F2">
            <w:pPr>
              <w:pStyle w:val="Guide-NormalBulletpoints"/>
              <w:numPr>
                <w:ilvl w:val="1"/>
                <w:numId w:val="147"/>
              </w:numPr>
              <w:spacing w:before="60"/>
              <w:jc w:val="left"/>
              <w:rPr>
                <w:lang w:val="sl-SI"/>
              </w:rPr>
            </w:pPr>
            <w:r>
              <w:rPr>
                <w:lang w:val="sl-SI"/>
              </w:rPr>
              <w:t>širjenje znanja o EU v širši družbi, zunaj akademskih krogov in specializiranega občinstva;</w:t>
            </w:r>
          </w:p>
          <w:p w14:paraId="7D399F55" w14:textId="77777777" w:rsidR="00E03711" w:rsidRPr="001048FE" w:rsidRDefault="00E03711" w:rsidP="005115F2">
            <w:pPr>
              <w:pStyle w:val="Guide-NormalBulletpoints"/>
              <w:numPr>
                <w:ilvl w:val="1"/>
                <w:numId w:val="147"/>
              </w:numPr>
              <w:spacing w:before="60"/>
              <w:jc w:val="left"/>
              <w:rPr>
                <w:lang w:val="sl-SI"/>
              </w:rPr>
            </w:pPr>
            <w:r>
              <w:rPr>
                <w:lang w:val="sl-SI"/>
              </w:rPr>
              <w:t>približanje EU javnosti.</w:t>
            </w:r>
          </w:p>
          <w:p w14:paraId="7D399F56" w14:textId="77777777" w:rsidR="00E03711" w:rsidRPr="001048FE" w:rsidRDefault="00E03711" w:rsidP="005115F2">
            <w:pPr>
              <w:pStyle w:val="Guide-NormalBulletpoints"/>
              <w:numPr>
                <w:ilvl w:val="0"/>
                <w:numId w:val="151"/>
              </w:numPr>
              <w:spacing w:before="60"/>
              <w:jc w:val="left"/>
              <w:rPr>
                <w:lang w:val="sl-SI"/>
              </w:rPr>
            </w:pPr>
            <w:r w:rsidRPr="00D10C38">
              <w:rPr>
                <w:b/>
                <w:bCs/>
                <w:lang w:val="sl-SI"/>
              </w:rPr>
              <w:t>v kolikšni meri</w:t>
            </w:r>
            <w:r w:rsidRPr="001048FE">
              <w:rPr>
                <w:lang w:val="sl-SI"/>
              </w:rPr>
              <w:t xml:space="preserve"> predlog</w:t>
            </w:r>
            <w:r>
              <w:rPr>
                <w:lang w:val="sl-SI"/>
              </w:rPr>
              <w:t xml:space="preserve"> dosega </w:t>
            </w:r>
            <w:r w:rsidRPr="00D10C38">
              <w:rPr>
                <w:b/>
                <w:bCs/>
                <w:lang w:val="sl-SI"/>
              </w:rPr>
              <w:t>prednostne ciljne skupine</w:t>
            </w:r>
            <w:r w:rsidRPr="001048FE">
              <w:rPr>
                <w:lang w:val="sl-SI"/>
              </w:rPr>
              <w:t>:</w:t>
            </w:r>
          </w:p>
          <w:p w14:paraId="7D399F57" w14:textId="77777777" w:rsidR="00E03711" w:rsidRPr="001048FE" w:rsidRDefault="00E03711" w:rsidP="005115F2">
            <w:pPr>
              <w:pStyle w:val="Guide-ListDash"/>
              <w:numPr>
                <w:ilvl w:val="1"/>
                <w:numId w:val="147"/>
              </w:numPr>
              <w:spacing w:before="60" w:after="60"/>
              <w:jc w:val="left"/>
              <w:rPr>
                <w:lang w:val="sl-SI"/>
              </w:rPr>
            </w:pPr>
            <w:r w:rsidRPr="001048FE">
              <w:rPr>
                <w:lang w:val="sl-SI"/>
              </w:rPr>
              <w:t>institucije ali akademiki, ki še niso prejeli sredstev Jean Monnet;</w:t>
            </w:r>
          </w:p>
          <w:p w14:paraId="7D399F58" w14:textId="77777777" w:rsidR="00E03711" w:rsidRDefault="00E03711" w:rsidP="005115F2">
            <w:pPr>
              <w:pStyle w:val="Guide-ListDash"/>
              <w:numPr>
                <w:ilvl w:val="1"/>
                <w:numId w:val="152"/>
              </w:numPr>
              <w:spacing w:before="60" w:after="60"/>
              <w:jc w:val="left"/>
              <w:rPr>
                <w:lang w:val="sl-SI"/>
              </w:rPr>
            </w:pPr>
            <w:r w:rsidRPr="001048FE">
              <w:rPr>
                <w:lang w:val="sl-SI"/>
              </w:rPr>
              <w:t>študenti</w:t>
            </w:r>
            <w:r>
              <w:rPr>
                <w:lang w:val="sl-SI"/>
              </w:rPr>
              <w:t>/občinstva</w:t>
            </w:r>
            <w:r w:rsidRPr="001048FE">
              <w:rPr>
                <w:lang w:val="sl-SI"/>
              </w:rPr>
              <w:t>, ki ne pridejo samodejno v stik z evropskimi študijami (na področjih</w:t>
            </w:r>
            <w:r>
              <w:rPr>
                <w:lang w:val="sl-SI"/>
              </w:rPr>
              <w:t xml:space="preserve"> izven prava, ekonomije in politologije</w:t>
            </w:r>
            <w:r w:rsidRPr="001048FE">
              <w:rPr>
                <w:lang w:val="sl-SI"/>
              </w:rPr>
              <w:t>)</w:t>
            </w:r>
            <w:r>
              <w:rPr>
                <w:lang w:val="sl-SI"/>
              </w:rPr>
              <w:t>;</w:t>
            </w:r>
          </w:p>
          <w:p w14:paraId="7D399F59" w14:textId="77777777" w:rsidR="00E03711" w:rsidRPr="00237696" w:rsidRDefault="00E03711" w:rsidP="005115F2">
            <w:pPr>
              <w:pStyle w:val="Guide-ListDash"/>
              <w:numPr>
                <w:ilvl w:val="1"/>
                <w:numId w:val="163"/>
              </w:numPr>
              <w:rPr>
                <w:rStyle w:val="Guide-Condensed-02"/>
                <w:spacing w:val="-8"/>
                <w:lang w:val="sl-SI"/>
              </w:rPr>
            </w:pPr>
            <w:r>
              <w:rPr>
                <w:lang w:val="sl-SI"/>
              </w:rPr>
              <w:t>pri tretjih državah, potencial projekta, da okrepi javno diplomacijo EU.</w:t>
            </w:r>
          </w:p>
        </w:tc>
      </w:tr>
      <w:tr w:rsidR="00E03711" w:rsidRPr="00C60205" w14:paraId="7D399F5F" w14:textId="77777777" w:rsidTr="002B0769">
        <w:trPr>
          <w:trHeight w:val="170"/>
        </w:trPr>
        <w:tc>
          <w:tcPr>
            <w:tcW w:w="844" w:type="pct"/>
            <w:shd w:val="clear" w:color="auto" w:fill="FFFFFF"/>
            <w:vAlign w:val="center"/>
          </w:tcPr>
          <w:p w14:paraId="7D399F5B" w14:textId="77777777" w:rsidR="00E03711" w:rsidRPr="00F769E0" w:rsidRDefault="00E03711" w:rsidP="00880014">
            <w:pPr>
              <w:pStyle w:val="GUIDE-NORMAL"/>
              <w:jc w:val="left"/>
              <w:rPr>
                <w:rFonts w:cs="Tahoma"/>
                <w:b/>
                <w:lang w:val="sl-SI" w:eastAsia="en-GB"/>
              </w:rPr>
            </w:pPr>
            <w:r w:rsidRPr="00F769E0">
              <w:rPr>
                <w:rFonts w:cs="Tahoma"/>
                <w:b/>
                <w:lang w:val="sl-SI" w:eastAsia="en-GB"/>
              </w:rPr>
              <w:t xml:space="preserve">Kakovost zasnove in izvedbe projekta </w:t>
            </w:r>
            <w:r w:rsidRPr="00F769E0">
              <w:rPr>
                <w:rFonts w:cs="Tahoma"/>
                <w:b/>
                <w:lang w:val="sl-SI" w:eastAsia="en-GB"/>
              </w:rPr>
              <w:br/>
              <w:t>(največ 25 točk)</w:t>
            </w:r>
          </w:p>
        </w:tc>
        <w:tc>
          <w:tcPr>
            <w:tcW w:w="4156" w:type="pct"/>
            <w:shd w:val="clear" w:color="auto" w:fill="FFFFFF"/>
            <w:vAlign w:val="center"/>
          </w:tcPr>
          <w:p w14:paraId="7D399F5C" w14:textId="77777777" w:rsidR="00E03711" w:rsidRPr="006E61F8" w:rsidRDefault="00E03711" w:rsidP="005115F2">
            <w:pPr>
              <w:pStyle w:val="Guide-NormalBulletpoints"/>
              <w:numPr>
                <w:ilvl w:val="0"/>
                <w:numId w:val="162"/>
              </w:numPr>
              <w:ind w:left="340" w:hanging="340"/>
              <w:rPr>
                <w:lang w:val="sl-SI"/>
              </w:rPr>
            </w:pPr>
            <w:r w:rsidRPr="006E61F8">
              <w:rPr>
                <w:lang w:val="sl-SI"/>
              </w:rPr>
              <w:t xml:space="preserve">jasnost, celovitost in kakovost </w:t>
            </w:r>
            <w:r>
              <w:rPr>
                <w:lang w:val="sl-SI"/>
              </w:rPr>
              <w:t xml:space="preserve">predloga in </w:t>
            </w:r>
            <w:r w:rsidRPr="00D10C38">
              <w:rPr>
                <w:b/>
                <w:bCs/>
                <w:lang w:val="sl-SI"/>
              </w:rPr>
              <w:t>delovnega programa</w:t>
            </w:r>
            <w:r w:rsidRPr="006E61F8">
              <w:rPr>
                <w:lang w:val="sl-SI"/>
              </w:rPr>
              <w:t xml:space="preserve">, vključno z </w:t>
            </w:r>
            <w:r w:rsidRPr="00D10C38">
              <w:rPr>
                <w:b/>
                <w:bCs/>
                <w:lang w:val="sl-SI"/>
              </w:rPr>
              <w:t>ustreznim</w:t>
            </w:r>
            <w:r w:rsidRPr="006E61F8">
              <w:rPr>
                <w:lang w:val="sl-SI"/>
              </w:rPr>
              <w:t xml:space="preserve"> </w:t>
            </w:r>
            <w:r w:rsidRPr="00D10C38">
              <w:rPr>
                <w:b/>
                <w:bCs/>
                <w:lang w:val="sl-SI"/>
              </w:rPr>
              <w:t>načrtovanjem</w:t>
            </w:r>
            <w:r>
              <w:rPr>
                <w:lang w:val="sl-SI"/>
              </w:rPr>
              <w:t xml:space="preserve"> faz </w:t>
            </w:r>
            <w:r w:rsidRPr="006E61F8">
              <w:rPr>
                <w:lang w:val="sl-SI"/>
              </w:rPr>
              <w:t>priprav</w:t>
            </w:r>
            <w:r>
              <w:rPr>
                <w:lang w:val="sl-SI"/>
              </w:rPr>
              <w:t>e</w:t>
            </w:r>
            <w:r w:rsidRPr="006E61F8">
              <w:rPr>
                <w:lang w:val="sl-SI"/>
              </w:rPr>
              <w:t>, izvajanj</w:t>
            </w:r>
            <w:r>
              <w:rPr>
                <w:lang w:val="sl-SI"/>
              </w:rPr>
              <w:t>a</w:t>
            </w:r>
            <w:r w:rsidRPr="006E61F8">
              <w:rPr>
                <w:lang w:val="sl-SI"/>
              </w:rPr>
              <w:t>, ocenjevanj</w:t>
            </w:r>
            <w:r>
              <w:rPr>
                <w:lang w:val="sl-SI"/>
              </w:rPr>
              <w:t>a</w:t>
            </w:r>
            <w:r w:rsidRPr="006E61F8">
              <w:rPr>
                <w:lang w:val="sl-SI"/>
              </w:rPr>
              <w:t>, nadaljnje</w:t>
            </w:r>
            <w:r>
              <w:rPr>
                <w:lang w:val="sl-SI"/>
              </w:rPr>
              <w:t>ga</w:t>
            </w:r>
            <w:r w:rsidRPr="006E61F8">
              <w:rPr>
                <w:lang w:val="sl-SI"/>
              </w:rPr>
              <w:t xml:space="preserve"> spremljanj</w:t>
            </w:r>
            <w:r>
              <w:rPr>
                <w:lang w:val="sl-SI"/>
              </w:rPr>
              <w:t>a</w:t>
            </w:r>
            <w:r w:rsidRPr="006E61F8">
              <w:rPr>
                <w:lang w:val="sl-SI"/>
              </w:rPr>
              <w:t xml:space="preserve"> in razširjanj</w:t>
            </w:r>
            <w:r>
              <w:rPr>
                <w:lang w:val="sl-SI"/>
              </w:rPr>
              <w:t>a</w:t>
            </w:r>
            <w:r w:rsidRPr="006E61F8">
              <w:rPr>
                <w:lang w:val="sl-SI"/>
              </w:rPr>
              <w:t>;</w:t>
            </w:r>
          </w:p>
          <w:p w14:paraId="7D399F5D" w14:textId="77777777" w:rsidR="00E03711" w:rsidRPr="009A2C2A" w:rsidRDefault="00E03711" w:rsidP="005115F2">
            <w:pPr>
              <w:pStyle w:val="Guide-NormalBulletpoints"/>
              <w:numPr>
                <w:ilvl w:val="0"/>
                <w:numId w:val="162"/>
              </w:numPr>
              <w:ind w:left="340" w:hanging="340"/>
              <w:rPr>
                <w:lang w:val="sl-SI"/>
              </w:rPr>
            </w:pPr>
            <w:r w:rsidRPr="00D10C38">
              <w:rPr>
                <w:b/>
                <w:bCs/>
                <w:lang w:val="sl-SI"/>
              </w:rPr>
              <w:t>skladnost</w:t>
            </w:r>
            <w:r>
              <w:rPr>
                <w:lang w:val="sl-SI"/>
              </w:rPr>
              <w:t xml:space="preserve"> </w:t>
            </w:r>
            <w:r w:rsidRPr="009A2C2A">
              <w:rPr>
                <w:lang w:val="sl-SI"/>
              </w:rPr>
              <w:t>ciljev projekta</w:t>
            </w:r>
            <w:r>
              <w:rPr>
                <w:lang w:val="sl-SI"/>
              </w:rPr>
              <w:t xml:space="preserve"> in</w:t>
            </w:r>
            <w:r w:rsidRPr="009A2C2A">
              <w:rPr>
                <w:lang w:val="sl-SI"/>
              </w:rPr>
              <w:t xml:space="preserve"> aktivnosti;</w:t>
            </w:r>
          </w:p>
          <w:p w14:paraId="7D399F5E" w14:textId="77777777" w:rsidR="00E03711" w:rsidRPr="001048FE" w:rsidRDefault="00E03711" w:rsidP="005115F2">
            <w:pPr>
              <w:pStyle w:val="Guide-NormalBulletpoints"/>
              <w:numPr>
                <w:ilvl w:val="0"/>
                <w:numId w:val="162"/>
              </w:numPr>
              <w:ind w:left="340" w:hanging="340"/>
              <w:rPr>
                <w:lang w:val="sl-SI"/>
              </w:rPr>
            </w:pPr>
            <w:r w:rsidRPr="009A2C2A">
              <w:rPr>
                <w:lang w:val="sl-SI"/>
              </w:rPr>
              <w:t>kakovost</w:t>
            </w:r>
            <w:r>
              <w:rPr>
                <w:lang w:val="sl-SI"/>
              </w:rPr>
              <w:t>, novost</w:t>
            </w:r>
            <w:r w:rsidRPr="009A2C2A">
              <w:rPr>
                <w:lang w:val="sl-SI"/>
              </w:rPr>
              <w:t xml:space="preserve"> in izvedljivost </w:t>
            </w:r>
            <w:r>
              <w:rPr>
                <w:lang w:val="sl-SI"/>
              </w:rPr>
              <w:t xml:space="preserve">projekta samega ter izvedljivost </w:t>
            </w:r>
            <w:r w:rsidRPr="009A2C2A">
              <w:rPr>
                <w:lang w:val="sl-SI"/>
              </w:rPr>
              <w:t>predlagane metodologije.</w:t>
            </w:r>
          </w:p>
        </w:tc>
      </w:tr>
      <w:tr w:rsidR="00E03711" w:rsidRPr="00C60205" w14:paraId="7D399F63" w14:textId="77777777" w:rsidTr="002B0769">
        <w:trPr>
          <w:trHeight w:val="170"/>
        </w:trPr>
        <w:tc>
          <w:tcPr>
            <w:tcW w:w="844" w:type="pct"/>
            <w:shd w:val="clear" w:color="auto" w:fill="FFFFFF"/>
            <w:vAlign w:val="center"/>
          </w:tcPr>
          <w:p w14:paraId="7D399F60" w14:textId="77777777" w:rsidR="00E03711" w:rsidRPr="00F769E0" w:rsidRDefault="00E03711" w:rsidP="00880014">
            <w:pPr>
              <w:pStyle w:val="GUIDE-NORMAL"/>
              <w:jc w:val="left"/>
              <w:rPr>
                <w:rFonts w:cs="Tahoma"/>
                <w:b/>
                <w:lang w:val="sl-SI" w:eastAsia="en-GB"/>
              </w:rPr>
            </w:pPr>
            <w:r w:rsidRPr="00F769E0">
              <w:rPr>
                <w:rFonts w:cs="Tahoma"/>
                <w:b/>
                <w:lang w:val="sl-SI" w:eastAsia="en-GB"/>
              </w:rPr>
              <w:t xml:space="preserve">Kakovost projektne skupine </w:t>
            </w:r>
            <w:r w:rsidRPr="00F769E0">
              <w:rPr>
                <w:rFonts w:cs="Tahoma"/>
                <w:b/>
                <w:lang w:val="sl-SI" w:eastAsia="en-GB"/>
              </w:rPr>
              <w:br/>
              <w:t>(največ 25 točk)</w:t>
            </w:r>
          </w:p>
        </w:tc>
        <w:tc>
          <w:tcPr>
            <w:tcW w:w="4156" w:type="pct"/>
            <w:shd w:val="clear" w:color="auto" w:fill="FFFFFF"/>
            <w:vAlign w:val="center"/>
          </w:tcPr>
          <w:p w14:paraId="7D399F61" w14:textId="77777777" w:rsidR="00E03711" w:rsidRPr="001048FE" w:rsidRDefault="00E03711" w:rsidP="005115F2">
            <w:pPr>
              <w:pStyle w:val="Guide-NormalBulletpoints"/>
              <w:numPr>
                <w:ilvl w:val="0"/>
                <w:numId w:val="162"/>
              </w:numPr>
              <w:ind w:left="340" w:hanging="340"/>
              <w:rPr>
                <w:lang w:val="sl-SI"/>
              </w:rPr>
            </w:pPr>
            <w:r w:rsidRPr="001048FE">
              <w:rPr>
                <w:lang w:val="sl-SI"/>
              </w:rPr>
              <w:t>ustreznost</w:t>
            </w:r>
            <w:r w:rsidRPr="001048FE">
              <w:rPr>
                <w:spacing w:val="-15"/>
                <w:lang w:val="sl-SI"/>
              </w:rPr>
              <w:t xml:space="preserve"> </w:t>
            </w:r>
            <w:r w:rsidRPr="001048FE">
              <w:rPr>
                <w:lang w:val="sl-SI"/>
              </w:rPr>
              <w:t>profila</w:t>
            </w:r>
            <w:r w:rsidRPr="001048FE">
              <w:rPr>
                <w:spacing w:val="-15"/>
                <w:lang w:val="sl-SI"/>
              </w:rPr>
              <w:t xml:space="preserve"> </w:t>
            </w:r>
            <w:r w:rsidRPr="001048FE">
              <w:rPr>
                <w:lang w:val="sl-SI"/>
              </w:rPr>
              <w:t>in</w:t>
            </w:r>
            <w:r w:rsidRPr="001048FE">
              <w:rPr>
                <w:spacing w:val="-15"/>
                <w:lang w:val="sl-SI"/>
              </w:rPr>
              <w:t xml:space="preserve"> </w:t>
            </w:r>
            <w:r w:rsidRPr="001048FE">
              <w:rPr>
                <w:lang w:val="sl-SI"/>
              </w:rPr>
              <w:t>strokovnega</w:t>
            </w:r>
            <w:r w:rsidRPr="001048FE">
              <w:rPr>
                <w:spacing w:val="-15"/>
                <w:lang w:val="sl-SI"/>
              </w:rPr>
              <w:t xml:space="preserve"> </w:t>
            </w:r>
            <w:r w:rsidRPr="001048FE">
              <w:rPr>
                <w:lang w:val="sl-SI"/>
              </w:rPr>
              <w:t>znanja</w:t>
            </w:r>
            <w:r w:rsidRPr="001048FE">
              <w:rPr>
                <w:spacing w:val="-15"/>
                <w:lang w:val="sl-SI"/>
              </w:rPr>
              <w:t xml:space="preserve"> </w:t>
            </w:r>
            <w:r w:rsidRPr="001048FE">
              <w:rPr>
                <w:lang w:val="sl-SI"/>
              </w:rPr>
              <w:t>ključnega</w:t>
            </w:r>
            <w:r w:rsidRPr="001048FE">
              <w:rPr>
                <w:spacing w:val="-15"/>
                <w:lang w:val="sl-SI"/>
              </w:rPr>
              <w:t xml:space="preserve"> </w:t>
            </w:r>
            <w:r w:rsidRPr="001048FE">
              <w:rPr>
                <w:lang w:val="sl-SI"/>
              </w:rPr>
              <w:t>osebja</w:t>
            </w:r>
            <w:r w:rsidRPr="001048FE">
              <w:rPr>
                <w:spacing w:val="-14"/>
                <w:lang w:val="sl-SI"/>
              </w:rPr>
              <w:t xml:space="preserve"> </w:t>
            </w:r>
            <w:r w:rsidRPr="001048FE">
              <w:rPr>
                <w:lang w:val="sl-SI"/>
              </w:rPr>
              <w:t xml:space="preserve">(na akademskem in neakademskem področju), vključenega v aktivnosti, ki </w:t>
            </w:r>
            <w:r>
              <w:rPr>
                <w:lang w:val="sl-SI"/>
              </w:rPr>
              <w:t>so predlagane</w:t>
            </w:r>
            <w:r w:rsidRPr="001048FE">
              <w:rPr>
                <w:lang w:val="sl-SI"/>
              </w:rPr>
              <w:t xml:space="preserve"> s</w:t>
            </w:r>
            <w:r w:rsidRPr="001048FE">
              <w:rPr>
                <w:spacing w:val="-12"/>
                <w:lang w:val="sl-SI"/>
              </w:rPr>
              <w:t xml:space="preserve"> </w:t>
            </w:r>
            <w:r w:rsidRPr="001048FE">
              <w:rPr>
                <w:lang w:val="sl-SI"/>
              </w:rPr>
              <w:t>projektom;</w:t>
            </w:r>
          </w:p>
          <w:p w14:paraId="7D399F62" w14:textId="77777777" w:rsidR="00E03711" w:rsidRPr="001048FE" w:rsidRDefault="00E03711" w:rsidP="005115F2">
            <w:pPr>
              <w:pStyle w:val="Guide-NormalBulletpoints"/>
              <w:numPr>
                <w:ilvl w:val="0"/>
                <w:numId w:val="162"/>
              </w:numPr>
              <w:ind w:left="340" w:hanging="340"/>
              <w:rPr>
                <w:lang w:val="sl-SI"/>
              </w:rPr>
            </w:pPr>
            <w:r w:rsidRPr="001048FE">
              <w:rPr>
                <w:lang w:val="sl-SI"/>
              </w:rPr>
              <w:t>za projekte, ki so ciljno usmerjeni v učence osnovnih in srednjih</w:t>
            </w:r>
            <w:r w:rsidRPr="001048FE">
              <w:rPr>
                <w:spacing w:val="-23"/>
                <w:lang w:val="sl-SI"/>
              </w:rPr>
              <w:t xml:space="preserve"> </w:t>
            </w:r>
            <w:r w:rsidRPr="001048FE">
              <w:rPr>
                <w:lang w:val="sl-SI"/>
              </w:rPr>
              <w:t>šol:</w:t>
            </w:r>
            <w:r w:rsidRPr="001048FE">
              <w:rPr>
                <w:spacing w:val="-23"/>
                <w:lang w:val="sl-SI"/>
              </w:rPr>
              <w:t xml:space="preserve"> </w:t>
            </w:r>
            <w:r w:rsidRPr="001048FE">
              <w:rPr>
                <w:lang w:val="sl-SI"/>
              </w:rPr>
              <w:t>sodelovanje</w:t>
            </w:r>
            <w:r w:rsidRPr="001048FE">
              <w:rPr>
                <w:spacing w:val="-23"/>
                <w:lang w:val="sl-SI"/>
              </w:rPr>
              <w:t xml:space="preserve"> </w:t>
            </w:r>
            <w:r w:rsidRPr="001048FE">
              <w:rPr>
                <w:lang w:val="sl-SI"/>
              </w:rPr>
              <w:t>osebja</w:t>
            </w:r>
            <w:r w:rsidRPr="001048FE">
              <w:rPr>
                <w:spacing w:val="-22"/>
                <w:lang w:val="sl-SI"/>
              </w:rPr>
              <w:t xml:space="preserve"> </w:t>
            </w:r>
            <w:r w:rsidRPr="001048FE">
              <w:rPr>
                <w:lang w:val="sl-SI"/>
              </w:rPr>
              <w:t>z</w:t>
            </w:r>
            <w:r w:rsidRPr="001048FE">
              <w:rPr>
                <w:spacing w:val="-23"/>
                <w:lang w:val="sl-SI"/>
              </w:rPr>
              <w:t xml:space="preserve"> </w:t>
            </w:r>
            <w:r w:rsidRPr="001048FE">
              <w:rPr>
                <w:lang w:val="sl-SI"/>
              </w:rPr>
              <w:t>ustreznimi</w:t>
            </w:r>
            <w:r w:rsidRPr="001048FE">
              <w:rPr>
                <w:spacing w:val="-23"/>
                <w:lang w:val="sl-SI"/>
              </w:rPr>
              <w:t xml:space="preserve"> </w:t>
            </w:r>
            <w:r w:rsidRPr="001048FE">
              <w:rPr>
                <w:lang w:val="sl-SI"/>
              </w:rPr>
              <w:t>pedagoškimi spretnostmi v</w:t>
            </w:r>
            <w:r w:rsidRPr="001048FE">
              <w:rPr>
                <w:spacing w:val="-4"/>
                <w:lang w:val="sl-SI"/>
              </w:rPr>
              <w:t xml:space="preserve"> </w:t>
            </w:r>
            <w:r w:rsidRPr="001048FE">
              <w:rPr>
                <w:lang w:val="sl-SI"/>
              </w:rPr>
              <w:t>projektu.</w:t>
            </w:r>
          </w:p>
        </w:tc>
      </w:tr>
      <w:tr w:rsidR="00E03711" w:rsidRPr="00C60205" w14:paraId="7D399F73" w14:textId="77777777" w:rsidTr="002B0769">
        <w:trPr>
          <w:trHeight w:val="170"/>
        </w:trPr>
        <w:tc>
          <w:tcPr>
            <w:tcW w:w="844" w:type="pct"/>
            <w:shd w:val="clear" w:color="auto" w:fill="FFFFFF"/>
            <w:vAlign w:val="center"/>
          </w:tcPr>
          <w:p w14:paraId="7D399F64" w14:textId="77777777" w:rsidR="00E03711" w:rsidRPr="00F769E0" w:rsidRDefault="00E03711" w:rsidP="00880014">
            <w:pPr>
              <w:pStyle w:val="GUIDE-NORMAL"/>
              <w:jc w:val="left"/>
              <w:rPr>
                <w:rFonts w:cs="Tahoma"/>
                <w:b/>
                <w:lang w:val="sl-SI" w:eastAsia="en-GB"/>
              </w:rPr>
            </w:pPr>
            <w:r w:rsidRPr="00F769E0">
              <w:rPr>
                <w:rFonts w:cs="Tahoma"/>
                <w:b/>
                <w:lang w:val="sl-SI" w:eastAsia="en-GB"/>
              </w:rPr>
              <w:t>Učinek in razširjanje (največ 25 točk)</w:t>
            </w:r>
          </w:p>
        </w:tc>
        <w:tc>
          <w:tcPr>
            <w:tcW w:w="4156" w:type="pct"/>
            <w:shd w:val="clear" w:color="auto" w:fill="FFFFFF"/>
            <w:vAlign w:val="center"/>
          </w:tcPr>
          <w:p w14:paraId="7D399F65" w14:textId="77777777" w:rsidR="00E03711" w:rsidRPr="001048FE" w:rsidRDefault="00E03711" w:rsidP="005115F2">
            <w:pPr>
              <w:pStyle w:val="Guide-NormalBulletpoints"/>
              <w:numPr>
                <w:ilvl w:val="0"/>
                <w:numId w:val="150"/>
              </w:numPr>
              <w:spacing w:before="60"/>
              <w:jc w:val="left"/>
              <w:rPr>
                <w:lang w:val="sl-SI"/>
              </w:rPr>
            </w:pPr>
            <w:r w:rsidRPr="00D10C38">
              <w:rPr>
                <w:b/>
                <w:bCs/>
                <w:lang w:val="sl-SI"/>
              </w:rPr>
              <w:t>pričakovan</w:t>
            </w:r>
            <w:r>
              <w:rPr>
                <w:b/>
                <w:bCs/>
                <w:lang w:val="sl-SI"/>
              </w:rPr>
              <w:t>i</w:t>
            </w:r>
            <w:r w:rsidRPr="00D10C38">
              <w:rPr>
                <w:b/>
                <w:bCs/>
                <w:lang w:val="sl-SI"/>
              </w:rPr>
              <w:t xml:space="preserve"> učinek</w:t>
            </w:r>
            <w:r w:rsidRPr="001048FE">
              <w:rPr>
                <w:lang w:val="sl-SI"/>
              </w:rPr>
              <w:t xml:space="preserve"> projekta</w:t>
            </w:r>
            <w:r>
              <w:rPr>
                <w:lang w:val="sl-SI"/>
              </w:rPr>
              <w:t xml:space="preserve"> v smislu dolgoročnih učinkov</w:t>
            </w:r>
            <w:r w:rsidRPr="001048FE">
              <w:rPr>
                <w:lang w:val="sl-SI"/>
              </w:rPr>
              <w:t>:</w:t>
            </w:r>
          </w:p>
          <w:p w14:paraId="7D399F66" w14:textId="77777777" w:rsidR="00E03711" w:rsidRPr="001048FE" w:rsidRDefault="00E03711" w:rsidP="005115F2">
            <w:pPr>
              <w:pStyle w:val="Guide-ListDash"/>
              <w:numPr>
                <w:ilvl w:val="1"/>
                <w:numId w:val="153"/>
              </w:numPr>
              <w:spacing w:before="60" w:after="60"/>
              <w:jc w:val="left"/>
              <w:rPr>
                <w:lang w:val="sl-SI"/>
              </w:rPr>
            </w:pPr>
            <w:r w:rsidRPr="001048FE">
              <w:rPr>
                <w:lang w:val="sl-SI"/>
              </w:rPr>
              <w:t xml:space="preserve">na institucijo, ki </w:t>
            </w:r>
            <w:r>
              <w:rPr>
                <w:lang w:val="sl-SI"/>
              </w:rPr>
              <w:t xml:space="preserve">gosti </w:t>
            </w:r>
            <w:r w:rsidRPr="001048FE">
              <w:rPr>
                <w:lang w:val="sl-SI"/>
              </w:rPr>
              <w:t>ukrep Jean Monnet;</w:t>
            </w:r>
          </w:p>
          <w:p w14:paraId="7D399F67" w14:textId="77777777" w:rsidR="00E03711" w:rsidRPr="001048FE" w:rsidRDefault="00E03711" w:rsidP="005115F2">
            <w:pPr>
              <w:pStyle w:val="Guide-ListDash"/>
              <w:numPr>
                <w:ilvl w:val="1"/>
                <w:numId w:val="153"/>
              </w:numPr>
              <w:spacing w:before="60" w:after="60"/>
              <w:jc w:val="left"/>
              <w:rPr>
                <w:lang w:val="sl-SI"/>
              </w:rPr>
            </w:pPr>
            <w:r w:rsidRPr="001048FE">
              <w:rPr>
                <w:lang w:val="sl-SI"/>
              </w:rPr>
              <w:t>na študente in učeče se, ki imajo koristi od ukrepa Jean Monnet;</w:t>
            </w:r>
          </w:p>
          <w:p w14:paraId="7D399F68" w14:textId="77777777" w:rsidR="00E03711" w:rsidRPr="001048FE" w:rsidRDefault="00E03711" w:rsidP="005115F2">
            <w:pPr>
              <w:pStyle w:val="Guide-ListDash"/>
              <w:numPr>
                <w:ilvl w:val="1"/>
                <w:numId w:val="153"/>
              </w:numPr>
              <w:spacing w:before="60" w:after="60"/>
              <w:jc w:val="left"/>
              <w:rPr>
                <w:lang w:val="sl-SI"/>
              </w:rPr>
            </w:pPr>
            <w:r w:rsidRPr="001048FE">
              <w:rPr>
                <w:lang w:val="sl-SI"/>
              </w:rPr>
              <w:t>na druge organizacije in posameznike, ki so vključeni na lokalni, regionalni, nacionalni in/ali evropski ravni</w:t>
            </w:r>
            <w:r>
              <w:rPr>
                <w:lang w:val="sl-SI"/>
              </w:rPr>
              <w:t>.</w:t>
            </w:r>
          </w:p>
          <w:p w14:paraId="7D399F69" w14:textId="77777777" w:rsidR="00E03711" w:rsidRDefault="00E03711" w:rsidP="005115F2">
            <w:pPr>
              <w:pStyle w:val="Guide-NormalBulletpoints"/>
              <w:numPr>
                <w:ilvl w:val="0"/>
                <w:numId w:val="150"/>
              </w:numPr>
              <w:spacing w:before="60"/>
              <w:jc w:val="left"/>
              <w:rPr>
                <w:lang w:val="sl-SI"/>
              </w:rPr>
            </w:pPr>
            <w:r w:rsidRPr="00D10C38">
              <w:rPr>
                <w:b/>
                <w:bCs/>
                <w:lang w:val="sl-SI"/>
              </w:rPr>
              <w:t>ustreznost in kakovost ukrepov</w:t>
            </w:r>
            <w:r w:rsidRPr="001048FE">
              <w:rPr>
                <w:lang w:val="sl-SI"/>
              </w:rPr>
              <w:t>, katerih cilj je razširjanje rezultatov aktivnosti na instituciji, ki gosti ukrep Jean Monnet, in drugod;</w:t>
            </w:r>
          </w:p>
          <w:p w14:paraId="7D399F6A" w14:textId="77777777" w:rsidR="00E03711" w:rsidRDefault="00E03711" w:rsidP="005115F2">
            <w:pPr>
              <w:pStyle w:val="Guide-NormalBulletpoints"/>
              <w:numPr>
                <w:ilvl w:val="1"/>
                <w:numId w:val="150"/>
              </w:numPr>
              <w:spacing w:before="60"/>
              <w:jc w:val="left"/>
              <w:rPr>
                <w:lang w:val="sl-SI"/>
              </w:rPr>
            </w:pPr>
            <w:r>
              <w:rPr>
                <w:lang w:val="sl-SI"/>
              </w:rPr>
              <w:t>širjenje novic;</w:t>
            </w:r>
          </w:p>
          <w:p w14:paraId="7D399F6B" w14:textId="77777777" w:rsidR="00E03711" w:rsidRDefault="00E03711" w:rsidP="005115F2">
            <w:pPr>
              <w:pStyle w:val="Guide-NormalBulletpoints"/>
              <w:numPr>
                <w:ilvl w:val="1"/>
                <w:numId w:val="150"/>
              </w:numPr>
              <w:spacing w:before="60"/>
              <w:jc w:val="left"/>
              <w:rPr>
                <w:lang w:val="sl-SI"/>
              </w:rPr>
            </w:pPr>
            <w:r>
              <w:rPr>
                <w:lang w:val="sl-SI"/>
              </w:rPr>
              <w:t>ozaveščanje o projektih in rezultatih, krepitev vidnosti udeležencev in organizacij;</w:t>
            </w:r>
          </w:p>
          <w:p w14:paraId="7D399F6C" w14:textId="77777777" w:rsidR="00E03711" w:rsidRDefault="00E03711" w:rsidP="005115F2">
            <w:pPr>
              <w:pStyle w:val="Guide-NormalBulletpoints"/>
              <w:numPr>
                <w:ilvl w:val="1"/>
                <w:numId w:val="150"/>
              </w:numPr>
              <w:spacing w:before="60"/>
              <w:jc w:val="left"/>
              <w:rPr>
                <w:lang w:val="sl-SI"/>
              </w:rPr>
            </w:pPr>
            <w:r>
              <w:rPr>
                <w:lang w:val="sl-SI"/>
              </w:rPr>
              <w:t>navezovanje stikov s skupinami zunaj institucij visokošolskega izobraževanja;</w:t>
            </w:r>
          </w:p>
          <w:p w14:paraId="7D399F6D" w14:textId="77777777" w:rsidR="00E03711" w:rsidRPr="003B5459" w:rsidRDefault="00E03711" w:rsidP="005115F2">
            <w:pPr>
              <w:pStyle w:val="Guide-NormalBulletpoints"/>
              <w:numPr>
                <w:ilvl w:val="1"/>
                <w:numId w:val="150"/>
              </w:numPr>
              <w:spacing w:before="60"/>
              <w:jc w:val="left"/>
              <w:rPr>
                <w:lang w:val="sl-SI"/>
              </w:rPr>
            </w:pPr>
            <w:r>
              <w:rPr>
                <w:lang w:val="sl-SI"/>
              </w:rPr>
              <w:t>prenosljivost in prevod v nove politike ter izboljšane prakse.</w:t>
            </w:r>
          </w:p>
          <w:p w14:paraId="7D399F6E" w14:textId="77777777" w:rsidR="00E03711" w:rsidRDefault="00E03711" w:rsidP="005115F2">
            <w:pPr>
              <w:pStyle w:val="Guide-NormalBulletpoints"/>
              <w:numPr>
                <w:ilvl w:val="0"/>
                <w:numId w:val="150"/>
              </w:numPr>
              <w:spacing w:before="60"/>
              <w:jc w:val="left"/>
              <w:rPr>
                <w:lang w:val="sl-SI"/>
              </w:rPr>
            </w:pPr>
            <w:r w:rsidRPr="00A607E3">
              <w:rPr>
                <w:b/>
                <w:bCs/>
                <w:lang w:val="sl-SI"/>
              </w:rPr>
              <w:t>v kolikšni meri</w:t>
            </w:r>
            <w:r>
              <w:rPr>
                <w:lang w:val="sl-SI"/>
              </w:rPr>
              <w:t xml:space="preserve"> bodo predvidena orodja za razširjanje dosegla ciljno občinstvo preko:</w:t>
            </w:r>
          </w:p>
          <w:p w14:paraId="7D399F6F" w14:textId="77777777" w:rsidR="00E03711" w:rsidRDefault="00E03711" w:rsidP="005115F2">
            <w:pPr>
              <w:pStyle w:val="Guide-NormalBulletpoints"/>
              <w:numPr>
                <w:ilvl w:val="1"/>
                <w:numId w:val="150"/>
              </w:numPr>
              <w:spacing w:before="60"/>
              <w:jc w:val="left"/>
              <w:rPr>
                <w:lang w:val="sl-SI"/>
              </w:rPr>
            </w:pPr>
            <w:r>
              <w:rPr>
                <w:lang w:val="sl-SI"/>
              </w:rPr>
              <w:t>izpostavljenosti medijem (vključno z družbenimi mediji, publikacijami itd.);</w:t>
            </w:r>
          </w:p>
          <w:p w14:paraId="7D399F70" w14:textId="77777777" w:rsidR="00E03711" w:rsidRDefault="00E03711" w:rsidP="005115F2">
            <w:pPr>
              <w:pStyle w:val="Guide-NormalBulletpoints"/>
              <w:numPr>
                <w:ilvl w:val="1"/>
                <w:numId w:val="150"/>
              </w:numPr>
              <w:spacing w:before="60"/>
              <w:jc w:val="left"/>
              <w:rPr>
                <w:lang w:val="sl-SI"/>
              </w:rPr>
            </w:pPr>
            <w:r>
              <w:rPr>
                <w:lang w:val="sl-SI"/>
              </w:rPr>
              <w:t>prireditev;</w:t>
            </w:r>
          </w:p>
          <w:p w14:paraId="7D399F71" w14:textId="77777777" w:rsidR="00E03711" w:rsidRDefault="00E03711" w:rsidP="005115F2">
            <w:pPr>
              <w:pStyle w:val="Guide-NormalBulletpoints"/>
              <w:numPr>
                <w:ilvl w:val="1"/>
                <w:numId w:val="150"/>
              </w:numPr>
              <w:spacing w:before="60"/>
              <w:jc w:val="left"/>
              <w:rPr>
                <w:lang w:val="sl-SI"/>
              </w:rPr>
            </w:pPr>
            <w:r>
              <w:rPr>
                <w:lang w:val="sl-SI"/>
              </w:rPr>
              <w:t>tečajev usposabljanja;</w:t>
            </w:r>
          </w:p>
          <w:p w14:paraId="7D399F72" w14:textId="77777777" w:rsidR="00E03711" w:rsidRPr="001048FE" w:rsidRDefault="00E03711" w:rsidP="005115F2">
            <w:pPr>
              <w:pStyle w:val="Guide-NormalBulletpoints"/>
              <w:numPr>
                <w:ilvl w:val="1"/>
                <w:numId w:val="150"/>
              </w:numPr>
              <w:spacing w:before="60"/>
              <w:jc w:val="left"/>
              <w:rPr>
                <w:lang w:val="sl-SI"/>
              </w:rPr>
            </w:pPr>
            <w:r w:rsidRPr="009B07B9">
              <w:rPr>
                <w:lang w:val="sl-SI"/>
              </w:rPr>
              <w:t>uporabe novih tehnologij (večpredstavnostna orodja), vključno z odprtimi izobraževalnimi viri (OER).</w:t>
            </w:r>
          </w:p>
        </w:tc>
      </w:tr>
    </w:tbl>
    <w:p w14:paraId="7D399F74" w14:textId="77777777" w:rsidR="00E03711" w:rsidRPr="001048FE" w:rsidRDefault="00E03711" w:rsidP="005C5442">
      <w:pPr>
        <w:pStyle w:val="GUIDE-NORMAL"/>
        <w:rPr>
          <w:lang w:val="sl-SI"/>
        </w:rPr>
      </w:pPr>
      <w:r w:rsidRPr="001048FE">
        <w:rPr>
          <w:lang w:val="sl-SI"/>
        </w:rPr>
        <w:t>Za upoštevanje pri dodeljevanju sredstev morajo predlogi doseči vsaj 60 točk. Poleg tega morajo doseči vsaj 13 točk v vsaki od navedenih kategorij meril za dodelitev.</w:t>
      </w:r>
    </w:p>
    <w:p w14:paraId="7D399F75" w14:textId="77777777" w:rsidR="00E03711" w:rsidRPr="001048FE" w:rsidRDefault="00E03711" w:rsidP="002A25C9">
      <w:pPr>
        <w:pStyle w:val="Guide-Heading4"/>
        <w:rPr>
          <w:lang w:val="sl-SI"/>
        </w:rPr>
      </w:pPr>
      <w:bookmarkStart w:id="342" w:name="_Toc527401204"/>
      <w:r w:rsidRPr="001048FE">
        <w:rPr>
          <w:lang w:val="sl-SI"/>
        </w:rPr>
        <w:t>Kaj je še treba vedeti o projektu Jean Monnet?</w:t>
      </w:r>
      <w:bookmarkEnd w:id="342"/>
    </w:p>
    <w:p w14:paraId="7D399F76" w14:textId="77777777" w:rsidR="00E03711" w:rsidRPr="001048FE" w:rsidRDefault="00E03711" w:rsidP="002A25C9">
      <w:pPr>
        <w:pStyle w:val="Guide-Heading5"/>
        <w:rPr>
          <w:lang w:val="sl-SI"/>
        </w:rPr>
      </w:pPr>
      <w:r w:rsidRPr="001048FE">
        <w:rPr>
          <w:lang w:val="sl-SI"/>
        </w:rPr>
        <w:t>Učinek in razširjanje</w:t>
      </w:r>
    </w:p>
    <w:p w14:paraId="7D399F77" w14:textId="77777777" w:rsidR="00E03711" w:rsidRPr="001048FE" w:rsidRDefault="00E03711" w:rsidP="005C5442">
      <w:pPr>
        <w:pStyle w:val="GUIDE-NORMAL"/>
        <w:rPr>
          <w:lang w:val="sl-SI"/>
        </w:rPr>
      </w:pPr>
      <w:r w:rsidRPr="001048FE">
        <w:rPr>
          <w:lang w:val="sl-SI"/>
        </w:rPr>
        <w:t>Projekti Jean Monnet morajo razširjati in uporabiti rezultate aktivnosti tudi zunaj kroga neposredno vključenih deležnikov. To bo znatno okrepilo učinek in prispevalo k sistemski spremembi.</w:t>
      </w:r>
    </w:p>
    <w:p w14:paraId="7D399F78" w14:textId="77777777" w:rsidR="00E03711" w:rsidRPr="001048FE" w:rsidRDefault="00E03711" w:rsidP="005C5442">
      <w:pPr>
        <w:pStyle w:val="GUIDE-NORMAL"/>
        <w:rPr>
          <w:lang w:val="sl-SI"/>
        </w:rPr>
      </w:pPr>
      <w:r w:rsidRPr="001048FE">
        <w:rPr>
          <w:lang w:val="sl-SI"/>
        </w:rPr>
        <w:t>Projekti Jean Monnet bodo morali zagotoviti posodabljanje svojega razdelka v spletnem orodju za program Erasmus+, kjer bodo na voljo vse informacije o aktivnostih programa Jean Monnet. Projekti se bodo močno spodbujali k uporabi ustreznih obstoječih platform in orodij (tj. imenik projektov Jean Monnet, virtualna skupnost Jean Monnet). Z izvajanjem teh nalog, ki so del splošnega orodja informacijske tehnologije za Erasmus+, se bo zagotovilo, da bo o rezultatih obveščena širša javnost. Prejemniki nepovratnih sredstev bodo morali zagotoviti redno posodabljanje orodja z rezultati svojega dela.</w:t>
      </w:r>
    </w:p>
    <w:p w14:paraId="7D399F79" w14:textId="77777777" w:rsidR="00E03711" w:rsidRPr="001048FE" w:rsidRDefault="00E03711" w:rsidP="005C5442">
      <w:pPr>
        <w:pStyle w:val="GUIDE-NORMAL"/>
        <w:rPr>
          <w:lang w:val="sl-SI"/>
        </w:rPr>
      </w:pPr>
      <w:r w:rsidRPr="001048FE">
        <w:rPr>
          <w:lang w:val="sl-SI"/>
        </w:rPr>
        <w:t>Projekti Jean Monnet se spodbujajo, da:</w:t>
      </w:r>
    </w:p>
    <w:p w14:paraId="7D399F7A" w14:textId="77777777" w:rsidR="00E03711" w:rsidRPr="001048FE" w:rsidRDefault="00E03711" w:rsidP="005115F2">
      <w:pPr>
        <w:pStyle w:val="Guide-NormalBulletpoints"/>
        <w:numPr>
          <w:ilvl w:val="0"/>
          <w:numId w:val="342"/>
        </w:numPr>
        <w:rPr>
          <w:lang w:val="sl-SI"/>
        </w:rPr>
      </w:pPr>
      <w:r w:rsidRPr="001048FE">
        <w:rPr>
          <w:lang w:val="sl-SI"/>
        </w:rPr>
        <w:t xml:space="preserve">se udeležijo dogodkov razširjanja in informativnih dogodkov na nacionalni in evropski ravni; </w:t>
      </w:r>
    </w:p>
    <w:p w14:paraId="7D399F7B" w14:textId="77777777" w:rsidR="00E03711" w:rsidRPr="001048FE" w:rsidRDefault="00E03711" w:rsidP="005115F2">
      <w:pPr>
        <w:pStyle w:val="Guide-NormalBulletpoints"/>
        <w:numPr>
          <w:ilvl w:val="0"/>
          <w:numId w:val="342"/>
        </w:numPr>
        <w:rPr>
          <w:lang w:val="sl-SI"/>
        </w:rPr>
      </w:pPr>
      <w:r w:rsidRPr="001048FE">
        <w:rPr>
          <w:lang w:val="sl-SI"/>
        </w:rPr>
        <w:t>organizirajo dogodke (predavanja, seminarje, delavnice itd.) z oblikovalci politik na lokalni (npr. župani in svetniki), regionalni in nacionalni ravni ter tudi z organizirano civilno družbo in šolami;</w:t>
      </w:r>
    </w:p>
    <w:p w14:paraId="7D399F7C" w14:textId="77777777" w:rsidR="00E03711" w:rsidRPr="001048FE" w:rsidRDefault="00E03711" w:rsidP="005115F2">
      <w:pPr>
        <w:pStyle w:val="Guide-NormalBulletpoints"/>
        <w:numPr>
          <w:ilvl w:val="0"/>
          <w:numId w:val="342"/>
        </w:numPr>
        <w:rPr>
          <w:lang w:val="sl-SI"/>
        </w:rPr>
      </w:pPr>
      <w:r w:rsidRPr="001048FE">
        <w:rPr>
          <w:lang w:val="sl-SI"/>
        </w:rPr>
        <w:t>razširjajo rezultate svojih aktivnosti z organizacijo seminarjev ali predavanj, ki so namenjeni in prilagojeni za najširšo javnost in predstavnike civilne družbe;</w:t>
      </w:r>
    </w:p>
    <w:p w14:paraId="7D399F7D" w14:textId="77777777" w:rsidR="00E03711" w:rsidRPr="001048FE" w:rsidRDefault="00E03711" w:rsidP="005115F2">
      <w:pPr>
        <w:pStyle w:val="Guide-NormalBulletpoints"/>
        <w:numPr>
          <w:ilvl w:val="0"/>
          <w:numId w:val="342"/>
        </w:numPr>
        <w:rPr>
          <w:lang w:val="sl-SI"/>
        </w:rPr>
      </w:pPr>
      <w:r w:rsidRPr="001048FE">
        <w:rPr>
          <w:lang w:val="sl-SI"/>
        </w:rPr>
        <w:t>se povezujejo s centri odličnosti, katedrami in koordinatorji modulov Jean Monnet ter podprtimi institucijami in združenji;</w:t>
      </w:r>
    </w:p>
    <w:p w14:paraId="7D399F7E" w14:textId="77777777" w:rsidR="00E03711" w:rsidRPr="001048FE" w:rsidRDefault="00E03711" w:rsidP="005115F2">
      <w:pPr>
        <w:pStyle w:val="Guide-NormalBulletpoints"/>
        <w:numPr>
          <w:ilvl w:val="0"/>
          <w:numId w:val="342"/>
        </w:numPr>
        <w:rPr>
          <w:lang w:val="sl-SI"/>
        </w:rPr>
      </w:pPr>
      <w:r w:rsidRPr="001048FE">
        <w:rPr>
          <w:lang w:val="sl-SI"/>
        </w:rPr>
        <w:t>uporabljajo prosto dostopne učne vire (PDUV), objavljajo povzetke, vsebino in razpored svojih aktivnosti ter pričakovane rezultate.</w:t>
      </w:r>
    </w:p>
    <w:p w14:paraId="7D399F7F" w14:textId="77777777" w:rsidR="00E03711" w:rsidRDefault="00E03711">
      <w:pPr>
        <w:widowControl/>
        <w:suppressAutoHyphens w:val="0"/>
        <w:autoSpaceDN/>
        <w:textAlignment w:val="auto"/>
        <w:rPr>
          <w:rFonts w:eastAsia="Times New Roman"/>
          <w:b/>
          <w:smallCaps/>
          <w:szCs w:val="20"/>
          <w:lang w:val="sl-SI"/>
        </w:rPr>
      </w:pPr>
    </w:p>
    <w:p w14:paraId="7D399F80" w14:textId="77777777" w:rsidR="00E03711" w:rsidRDefault="00E03711">
      <w:pPr>
        <w:widowControl/>
        <w:suppressAutoHyphens w:val="0"/>
        <w:autoSpaceDN/>
        <w:textAlignment w:val="auto"/>
        <w:rPr>
          <w:rFonts w:eastAsia="Times New Roman"/>
          <w:b/>
          <w:smallCaps/>
          <w:szCs w:val="20"/>
          <w:lang w:val="sl-SI"/>
        </w:rPr>
        <w:sectPr w:rsidR="00E03711" w:rsidSect="00E15ED3">
          <w:headerReference w:type="default" r:id="rId128"/>
          <w:endnotePr>
            <w:numFmt w:val="decimal"/>
          </w:endnotePr>
          <w:pgSz w:w="11910" w:h="16840" w:code="9"/>
          <w:pgMar w:top="1134" w:right="1418" w:bottom="1134" w:left="1418" w:header="284" w:footer="567" w:gutter="0"/>
          <w:cols w:space="720"/>
          <w:docGrid w:linePitch="326"/>
        </w:sectPr>
      </w:pPr>
    </w:p>
    <w:p w14:paraId="7D399F81" w14:textId="77777777" w:rsidR="00E03711" w:rsidRPr="001048FE" w:rsidRDefault="00E03711" w:rsidP="002A25C9">
      <w:pPr>
        <w:pStyle w:val="Guide-Heading4"/>
        <w:rPr>
          <w:lang w:val="sl-SI"/>
        </w:rPr>
      </w:pPr>
      <w:bookmarkStart w:id="343" w:name="_Toc527401205"/>
      <w:r w:rsidRPr="001048FE">
        <w:rPr>
          <w:lang w:val="sl-SI"/>
        </w:rPr>
        <w:t>Kakšna so pravila za dodelitev sredstev?</w:t>
      </w:r>
      <w:bookmarkEnd w:id="343"/>
    </w:p>
    <w:p w14:paraId="7D399F82" w14:textId="77777777" w:rsidR="00E03711" w:rsidRPr="001048FE" w:rsidRDefault="00E03711" w:rsidP="00785AB2">
      <w:pPr>
        <w:pStyle w:val="GUIDE-NORMAL"/>
        <w:rPr>
          <w:lang w:val="sl-SI"/>
        </w:rPr>
      </w:pPr>
      <w:r w:rsidRPr="001048FE">
        <w:rPr>
          <w:lang w:val="sl-SI"/>
        </w:rPr>
        <w:t>Proračun projekta je treba pripraviti v skladu z naslednjimi pravili za dodelitev sredstev (v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8"/>
      </w:tblGrid>
      <w:tr w:rsidR="00E03711" w:rsidRPr="00C60205" w14:paraId="7D399F84" w14:textId="77777777" w:rsidTr="008F42C1">
        <w:tc>
          <w:tcPr>
            <w:tcW w:w="5000" w:type="pct"/>
            <w:shd w:val="clear" w:color="auto" w:fill="auto"/>
          </w:tcPr>
          <w:p w14:paraId="7D399F83" w14:textId="77777777" w:rsidR="00E03711" w:rsidRPr="00237696" w:rsidRDefault="00E03711" w:rsidP="00237696">
            <w:pPr>
              <w:pStyle w:val="Guide-Table"/>
              <w:spacing w:before="60" w:after="60"/>
              <w:rPr>
                <w:b/>
                <w:lang w:val="sl-SI" w:eastAsia="en-GB"/>
              </w:rPr>
            </w:pPr>
            <w:r w:rsidRPr="00237696">
              <w:rPr>
                <w:b/>
                <w:lang w:val="sl-SI" w:eastAsia="en-GB"/>
              </w:rPr>
              <w:t>Najvišja vrednost dodeljenih sredstev za projekt Jean Monnet: 60 000 EUR (predstavlja lahko največ 75 % skupnih stroškov)</w:t>
            </w:r>
          </w:p>
        </w:tc>
      </w:tr>
    </w:tbl>
    <w:p w14:paraId="7D399F85" w14:textId="77777777" w:rsidR="00E03711" w:rsidRPr="001048FE" w:rsidRDefault="00E03711" w:rsidP="00920EF9">
      <w:pPr>
        <w:pStyle w:val="Guide-Table"/>
        <w:rPr>
          <w:lang w:val="sl-SI"/>
        </w:rPr>
      </w:pPr>
    </w:p>
    <w:tbl>
      <w:tblPr>
        <w:tblW w:w="5000" w:type="pct"/>
        <w:tblLayout w:type="fixed"/>
        <w:tblLook w:val="0000" w:firstRow="0" w:lastRow="0" w:firstColumn="0" w:lastColumn="0" w:noHBand="0" w:noVBand="0"/>
      </w:tblPr>
      <w:tblGrid>
        <w:gridCol w:w="2463"/>
        <w:gridCol w:w="4874"/>
        <w:gridCol w:w="2424"/>
        <w:gridCol w:w="5027"/>
      </w:tblGrid>
      <w:tr w:rsidR="00E03711" w:rsidRPr="008C6F8C" w14:paraId="7D399F89" w14:textId="77777777" w:rsidTr="00073E87">
        <w:trPr>
          <w:trHeight w:val="20"/>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9F86" w14:textId="77777777" w:rsidR="00E03711" w:rsidRPr="00F769E0" w:rsidRDefault="00E03711" w:rsidP="002B0769">
            <w:pPr>
              <w:pStyle w:val="GUIDE-NORMAL"/>
              <w:spacing w:before="60" w:after="60"/>
              <w:jc w:val="center"/>
              <w:rPr>
                <w:rFonts w:cs="Tahoma"/>
                <w:b/>
                <w:lang w:val="sl-SI" w:eastAsia="en-GB"/>
              </w:rPr>
            </w:pPr>
            <w:r w:rsidRPr="00F769E0">
              <w:rPr>
                <w:rFonts w:cs="Tahoma"/>
                <w:b/>
                <w:lang w:val="sl-SI" w:eastAsia="en-GB"/>
              </w:rPr>
              <w:t>Upravičeni stroški</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87" w14:textId="77777777" w:rsidR="00E03711" w:rsidRPr="00F769E0" w:rsidRDefault="00E03711" w:rsidP="002B0769">
            <w:pPr>
              <w:pStyle w:val="GUIDE-NORMAL"/>
              <w:spacing w:before="60" w:after="60"/>
              <w:jc w:val="center"/>
              <w:rPr>
                <w:rFonts w:cs="Tahoma"/>
                <w:b/>
                <w:lang w:val="sl-SI" w:eastAsia="en-GB"/>
              </w:rPr>
            </w:pPr>
            <w:r w:rsidRPr="00F769E0">
              <w:rPr>
                <w:rFonts w:cs="Tahoma"/>
                <w:b/>
                <w:lang w:val="sl-SI" w:eastAsia="en-GB"/>
              </w:rPr>
              <w:t>Mehanizem financiranja</w:t>
            </w: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88" w14:textId="77777777" w:rsidR="00E03711" w:rsidRPr="00F769E0" w:rsidRDefault="00E03711" w:rsidP="002B0769">
            <w:pPr>
              <w:pStyle w:val="GUIDE-NORMAL"/>
              <w:spacing w:before="60" w:after="60"/>
              <w:jc w:val="center"/>
              <w:rPr>
                <w:rFonts w:cs="Tahoma"/>
                <w:b/>
                <w:lang w:val="sl-SI" w:eastAsia="en-GB"/>
              </w:rPr>
            </w:pPr>
            <w:r w:rsidRPr="00F769E0">
              <w:rPr>
                <w:rFonts w:cs="Tahoma"/>
                <w:b/>
                <w:lang w:val="sl-SI" w:eastAsia="en-GB"/>
              </w:rPr>
              <w:t>Znesek</w:t>
            </w:r>
          </w:p>
        </w:tc>
      </w:tr>
      <w:tr w:rsidR="00E03711" w:rsidRPr="00C60205" w14:paraId="7D399F8E" w14:textId="77777777" w:rsidTr="00073E87">
        <w:trPr>
          <w:trHeight w:val="20"/>
        </w:trPr>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8A" w14:textId="77777777" w:rsidR="00E03711" w:rsidRPr="00F769E0" w:rsidRDefault="00E03711" w:rsidP="004E3AE0">
            <w:pPr>
              <w:pStyle w:val="GUIDE-NORMAL"/>
              <w:spacing w:before="60" w:after="60"/>
              <w:jc w:val="left"/>
              <w:rPr>
                <w:rFonts w:cs="Tahoma"/>
                <w:b/>
                <w:lang w:val="sl-SI" w:eastAsia="en-GB"/>
              </w:rPr>
            </w:pPr>
            <w:r w:rsidRPr="00F769E0">
              <w:rPr>
                <w:rFonts w:cs="Tahoma"/>
                <w:b/>
                <w:lang w:val="sl-SI" w:eastAsia="en-GB"/>
              </w:rPr>
              <w:t>Udeležba na konferencah</w:t>
            </w:r>
          </w:p>
        </w:tc>
        <w:tc>
          <w:tcPr>
            <w:tcW w:w="4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8B" w14:textId="77777777" w:rsidR="00E03711" w:rsidRPr="00F769E0" w:rsidRDefault="00E03711" w:rsidP="004E3AE0">
            <w:pPr>
              <w:pStyle w:val="GUIDE-NORMAL"/>
              <w:spacing w:before="60" w:after="60"/>
              <w:jc w:val="left"/>
              <w:rPr>
                <w:rFonts w:cs="Tahoma"/>
                <w:lang w:val="sl-SI" w:eastAsia="en-GB"/>
              </w:rPr>
            </w:pPr>
            <w:r w:rsidRPr="00F769E0">
              <w:rPr>
                <w:rFonts w:cs="Tahoma"/>
                <w:lang w:val="sl-SI" w:eastAsia="en-GB"/>
              </w:rPr>
              <w:t>Prispevek za stroške, povezane z organizacijo konferenc, seminarjev, delavnic itd., razen za stroške, povezane z udeležbo govornikov, ki niso lokalni prebivalci.</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8C" w14:textId="77777777" w:rsidR="00E03711" w:rsidRPr="00F769E0" w:rsidRDefault="00E03711" w:rsidP="004E3AE0">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8D" w14:textId="77777777" w:rsidR="00E03711" w:rsidRPr="00F769E0" w:rsidRDefault="00E03711" w:rsidP="004E3AE0">
            <w:pPr>
              <w:pStyle w:val="GUIDE-NORMAL"/>
              <w:spacing w:before="60" w:after="60"/>
              <w:jc w:val="left"/>
              <w:rPr>
                <w:rFonts w:cs="Tahoma"/>
                <w:lang w:val="sl-SI" w:eastAsia="en-GB"/>
              </w:rPr>
            </w:pPr>
            <w:r w:rsidRPr="00F22E7C">
              <w:rPr>
                <w:rFonts w:cs="Tahoma"/>
                <w:bdr w:val="single" w:sz="4" w:space="0" w:color="auto"/>
                <w:lang w:val="sl-SI" w:eastAsia="en-GB"/>
              </w:rPr>
              <w:t>D.2</w:t>
            </w:r>
            <w:r w:rsidRPr="00F769E0">
              <w:rPr>
                <w:rFonts w:cs="Tahoma"/>
                <w:lang w:val="sl-SI" w:eastAsia="en-GB"/>
              </w:rPr>
              <w:t xml:space="preserve"> na dan na udeleženca</w:t>
            </w:r>
          </w:p>
        </w:tc>
      </w:tr>
      <w:tr w:rsidR="00E03711" w:rsidRPr="00C60205" w14:paraId="7D399F93" w14:textId="77777777" w:rsidTr="00073E87">
        <w:trPr>
          <w:trHeight w:val="20"/>
        </w:trPr>
        <w:tc>
          <w:tcPr>
            <w:tcW w:w="2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F8F" w14:textId="77777777" w:rsidR="00E03711" w:rsidRPr="00F769E0" w:rsidRDefault="00E03711" w:rsidP="004E3AE0">
            <w:pPr>
              <w:pStyle w:val="GUIDE-NORMAL"/>
              <w:spacing w:before="60" w:after="60"/>
              <w:jc w:val="left"/>
              <w:rPr>
                <w:rFonts w:cs="Tahoma"/>
                <w:b/>
                <w:lang w:val="sl-SI" w:eastAsia="en-GB"/>
              </w:rPr>
            </w:pPr>
            <w:r w:rsidRPr="00F769E0">
              <w:rPr>
                <w:rFonts w:cs="Tahoma"/>
                <w:b/>
                <w:lang w:val="sl-SI" w:eastAsia="en-GB"/>
              </w:rPr>
              <w:t>Pot (govorniki, ki niso lokalni prebivalci)</w:t>
            </w:r>
          </w:p>
        </w:tc>
        <w:tc>
          <w:tcPr>
            <w:tcW w:w="48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F90" w14:textId="77777777" w:rsidR="00E03711" w:rsidRPr="00F769E0" w:rsidRDefault="00E03711" w:rsidP="00584D43">
            <w:pPr>
              <w:pStyle w:val="GUIDE-NORMAL"/>
              <w:spacing w:before="60" w:after="60"/>
              <w:jc w:val="left"/>
              <w:rPr>
                <w:rFonts w:cs="Tahoma"/>
                <w:lang w:val="sl-SI" w:eastAsia="en-GB"/>
              </w:rPr>
            </w:pPr>
            <w:r w:rsidRPr="00F769E0">
              <w:rPr>
                <w:rFonts w:cs="Tahoma"/>
                <w:lang w:val="sl-SI" w:eastAsia="en-GB"/>
              </w:rPr>
              <w:t>Prispevek za potne stroške govornikov, ki niso lokalni prebivalci in se udeležijo konference, glede na razdaljo poti. Razdaljo je treba izračunati s kalkulatorjem razdalje, ki ga podpira Evropska komisija</w:t>
            </w:r>
            <w:r w:rsidRPr="00F769E0">
              <w:rPr>
                <w:rStyle w:val="FootnoteReference"/>
                <w:rFonts w:cs="Tahoma"/>
                <w:lang w:val="sl-SI" w:eastAsia="en-GB"/>
              </w:rPr>
              <w:footnoteReference w:id="235"/>
            </w:r>
            <w:r w:rsidRPr="00F769E0">
              <w:rPr>
                <w:rFonts w:cs="Tahoma"/>
                <w:lang w:val="sl-SI" w:eastAsia="en-GB"/>
              </w:rPr>
              <w:t>, pri čemer je treba navesti razdaljo enosmerne poti za izračun zneska nepovratnih sredstev EU za kritje povratne poti</w:t>
            </w:r>
            <w:r w:rsidRPr="00F769E0">
              <w:rPr>
                <w:rStyle w:val="FootnoteReference"/>
                <w:rFonts w:cs="Tahoma"/>
                <w:lang w:val="sl-SI" w:eastAsia="en-GB"/>
              </w:rPr>
              <w:footnoteReference w:id="236"/>
            </w:r>
            <w:r w:rsidRPr="00F769E0">
              <w:rPr>
                <w:rFonts w:cs="Tahoma"/>
                <w:lang w:val="sl-SI" w:eastAsia="en-GB"/>
              </w:rPr>
              <w:t>.</w:t>
            </w:r>
          </w:p>
        </w:tc>
        <w:tc>
          <w:tcPr>
            <w:tcW w:w="23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9F91" w14:textId="77777777" w:rsidR="00E03711" w:rsidRPr="00F769E0" w:rsidRDefault="00E03711" w:rsidP="004E3AE0">
            <w:pPr>
              <w:pStyle w:val="GUIDE-NORMAL"/>
              <w:spacing w:before="60" w:after="60"/>
              <w:jc w:val="left"/>
              <w:rPr>
                <w:rFonts w:cs="Tahoma"/>
                <w:lang w:val="sl-SI" w:eastAsia="en-GB"/>
              </w:rPr>
            </w:pPr>
            <w:r w:rsidRPr="00F769E0">
              <w:rPr>
                <w:rFonts w:cs="Tahoma"/>
                <w:lang w:val="sl-SI" w:eastAsia="en-GB"/>
              </w:rPr>
              <w:t>Stroški na</w:t>
            </w:r>
            <w:r w:rsidRPr="00F769E0">
              <w:rPr>
                <w:rFonts w:cs="Tahoma"/>
                <w:lang w:val="sl-SI" w:eastAsia="en-GB"/>
              </w:rPr>
              <w:br/>
              <w:t>enoto</w:t>
            </w: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14:paraId="7D399F92" w14:textId="77777777" w:rsidR="00E03711" w:rsidRPr="00F769E0" w:rsidRDefault="00E03711" w:rsidP="004E3AE0">
            <w:pPr>
              <w:pStyle w:val="GUIDE-NORMAL"/>
              <w:spacing w:before="60" w:after="60"/>
              <w:jc w:val="left"/>
              <w:rPr>
                <w:rFonts w:cs="Tahoma"/>
                <w:lang w:val="sl-SI" w:eastAsia="en-GB"/>
              </w:rPr>
            </w:pPr>
            <w:r w:rsidRPr="00F769E0">
              <w:rPr>
                <w:rFonts w:cs="Tahoma"/>
                <w:lang w:val="sl-SI" w:eastAsia="en-GB"/>
              </w:rPr>
              <w:t xml:space="preserve">Za razdalje od 100 do 499 KM: </w:t>
            </w:r>
            <w:r w:rsidRPr="00F769E0">
              <w:rPr>
                <w:rFonts w:cs="Tahoma"/>
                <w:lang w:val="sl-SI" w:eastAsia="en-GB"/>
              </w:rPr>
              <w:br/>
              <w:t>180 EUR na udeleženca</w:t>
            </w:r>
          </w:p>
        </w:tc>
      </w:tr>
      <w:tr w:rsidR="00E03711" w:rsidRPr="00C60205" w14:paraId="7D399F98" w14:textId="77777777" w:rsidTr="00073E87">
        <w:trPr>
          <w:trHeight w:val="20"/>
        </w:trPr>
        <w:tc>
          <w:tcPr>
            <w:tcW w:w="2425" w:type="dxa"/>
            <w:vMerge/>
            <w:tcBorders>
              <w:top w:val="nil"/>
              <w:left w:val="single" w:sz="4" w:space="0" w:color="000000"/>
              <w:bottom w:val="single" w:sz="4" w:space="0" w:color="000000"/>
              <w:right w:val="single" w:sz="4" w:space="0" w:color="000000"/>
            </w:tcBorders>
            <w:shd w:val="clear" w:color="auto" w:fill="auto"/>
            <w:vAlign w:val="center"/>
          </w:tcPr>
          <w:p w14:paraId="7D399F94" w14:textId="77777777" w:rsidR="00E03711" w:rsidRPr="00F769E0" w:rsidRDefault="00E03711" w:rsidP="004E3AE0">
            <w:pPr>
              <w:pStyle w:val="GUIDE-NORMAL"/>
              <w:spacing w:before="60" w:after="60"/>
              <w:jc w:val="left"/>
              <w:rPr>
                <w:rFonts w:cs="Tahoma"/>
                <w:b/>
                <w:lang w:val="sl-SI" w:eastAsia="en-GB"/>
              </w:rPr>
            </w:pPr>
          </w:p>
        </w:tc>
        <w:tc>
          <w:tcPr>
            <w:tcW w:w="4800" w:type="dxa"/>
            <w:vMerge/>
            <w:tcBorders>
              <w:top w:val="nil"/>
              <w:left w:val="single" w:sz="4" w:space="0" w:color="000000"/>
              <w:bottom w:val="single" w:sz="4" w:space="0" w:color="000000"/>
              <w:right w:val="single" w:sz="4" w:space="0" w:color="000000"/>
            </w:tcBorders>
            <w:shd w:val="clear" w:color="auto" w:fill="auto"/>
            <w:vAlign w:val="center"/>
          </w:tcPr>
          <w:p w14:paraId="7D399F95" w14:textId="77777777" w:rsidR="00E03711" w:rsidRPr="00F769E0" w:rsidRDefault="00E03711" w:rsidP="004E3AE0">
            <w:pPr>
              <w:pStyle w:val="GUIDE-NORMAL"/>
              <w:spacing w:before="60" w:after="60"/>
              <w:jc w:val="left"/>
              <w:rPr>
                <w:rFonts w:cs="Tahoma"/>
                <w:lang w:val="sl-SI" w:eastAsia="en-GB"/>
              </w:rPr>
            </w:pPr>
          </w:p>
        </w:tc>
        <w:tc>
          <w:tcPr>
            <w:tcW w:w="2387" w:type="dxa"/>
            <w:vMerge/>
            <w:tcBorders>
              <w:top w:val="nil"/>
              <w:left w:val="single" w:sz="4" w:space="0" w:color="000000"/>
              <w:bottom w:val="single" w:sz="4" w:space="0" w:color="000000"/>
              <w:right w:val="single" w:sz="4" w:space="0" w:color="000000"/>
            </w:tcBorders>
            <w:shd w:val="clear" w:color="auto" w:fill="auto"/>
            <w:vAlign w:val="center"/>
          </w:tcPr>
          <w:p w14:paraId="7D399F96" w14:textId="77777777" w:rsidR="00E03711" w:rsidRPr="00F769E0" w:rsidRDefault="00E03711" w:rsidP="004E3AE0">
            <w:pPr>
              <w:pStyle w:val="GUIDE-NORMAL"/>
              <w:spacing w:before="60" w:after="60"/>
              <w:jc w:val="left"/>
              <w:rPr>
                <w:rFonts w:cs="Tahoma"/>
                <w:lang w:val="sl-SI" w:eastAsia="en-GB"/>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14:paraId="7D399F97" w14:textId="77777777" w:rsidR="00E03711" w:rsidRPr="00F769E0" w:rsidRDefault="00E03711" w:rsidP="004E3AE0">
            <w:pPr>
              <w:pStyle w:val="GUIDE-NORMAL"/>
              <w:spacing w:before="60" w:after="60"/>
              <w:jc w:val="left"/>
              <w:rPr>
                <w:rFonts w:cs="Tahoma"/>
                <w:lang w:val="sl-SI" w:eastAsia="en-GB"/>
              </w:rPr>
            </w:pPr>
            <w:r w:rsidRPr="00F769E0">
              <w:rPr>
                <w:rFonts w:cs="Tahoma"/>
                <w:lang w:val="sl-SI" w:eastAsia="en-GB"/>
              </w:rPr>
              <w:t xml:space="preserve">Za razdalje od 500 do 1999 KM: </w:t>
            </w:r>
            <w:r w:rsidRPr="00F769E0">
              <w:rPr>
                <w:rFonts w:cs="Tahoma"/>
                <w:lang w:val="sl-SI" w:eastAsia="en-GB"/>
              </w:rPr>
              <w:br/>
              <w:t>275 EUR na udeleženca</w:t>
            </w:r>
          </w:p>
        </w:tc>
      </w:tr>
      <w:tr w:rsidR="00E03711" w:rsidRPr="00C60205" w14:paraId="7D399F9D" w14:textId="77777777" w:rsidTr="00073E87">
        <w:trPr>
          <w:trHeight w:val="20"/>
        </w:trPr>
        <w:tc>
          <w:tcPr>
            <w:tcW w:w="2425" w:type="dxa"/>
            <w:vMerge/>
            <w:tcBorders>
              <w:top w:val="nil"/>
              <w:left w:val="single" w:sz="4" w:space="0" w:color="000000"/>
              <w:bottom w:val="single" w:sz="4" w:space="0" w:color="000000"/>
              <w:right w:val="single" w:sz="4" w:space="0" w:color="000000"/>
            </w:tcBorders>
            <w:shd w:val="clear" w:color="auto" w:fill="auto"/>
            <w:vAlign w:val="center"/>
          </w:tcPr>
          <w:p w14:paraId="7D399F99" w14:textId="77777777" w:rsidR="00E03711" w:rsidRPr="00F769E0" w:rsidRDefault="00E03711" w:rsidP="004E3AE0">
            <w:pPr>
              <w:pStyle w:val="GUIDE-NORMAL"/>
              <w:spacing w:before="60" w:after="60"/>
              <w:jc w:val="left"/>
              <w:rPr>
                <w:rFonts w:cs="Tahoma"/>
                <w:b/>
                <w:lang w:val="sl-SI" w:eastAsia="en-GB"/>
              </w:rPr>
            </w:pPr>
          </w:p>
        </w:tc>
        <w:tc>
          <w:tcPr>
            <w:tcW w:w="4800" w:type="dxa"/>
            <w:vMerge/>
            <w:tcBorders>
              <w:top w:val="nil"/>
              <w:left w:val="single" w:sz="4" w:space="0" w:color="000000"/>
              <w:bottom w:val="single" w:sz="4" w:space="0" w:color="000000"/>
              <w:right w:val="single" w:sz="4" w:space="0" w:color="000000"/>
            </w:tcBorders>
            <w:shd w:val="clear" w:color="auto" w:fill="auto"/>
            <w:vAlign w:val="center"/>
          </w:tcPr>
          <w:p w14:paraId="7D399F9A" w14:textId="77777777" w:rsidR="00E03711" w:rsidRPr="00F769E0" w:rsidRDefault="00E03711" w:rsidP="004E3AE0">
            <w:pPr>
              <w:pStyle w:val="GUIDE-NORMAL"/>
              <w:spacing w:before="60" w:after="60"/>
              <w:jc w:val="left"/>
              <w:rPr>
                <w:rFonts w:cs="Tahoma"/>
                <w:lang w:val="sl-SI" w:eastAsia="en-GB"/>
              </w:rPr>
            </w:pPr>
          </w:p>
        </w:tc>
        <w:tc>
          <w:tcPr>
            <w:tcW w:w="2387" w:type="dxa"/>
            <w:vMerge/>
            <w:tcBorders>
              <w:top w:val="nil"/>
              <w:left w:val="single" w:sz="4" w:space="0" w:color="000000"/>
              <w:bottom w:val="single" w:sz="4" w:space="0" w:color="000000"/>
              <w:right w:val="single" w:sz="4" w:space="0" w:color="000000"/>
            </w:tcBorders>
            <w:shd w:val="clear" w:color="auto" w:fill="auto"/>
            <w:vAlign w:val="center"/>
          </w:tcPr>
          <w:p w14:paraId="7D399F9B" w14:textId="77777777" w:rsidR="00E03711" w:rsidRPr="00F769E0" w:rsidRDefault="00E03711" w:rsidP="004E3AE0">
            <w:pPr>
              <w:pStyle w:val="GUIDE-NORMAL"/>
              <w:spacing w:before="60" w:after="60"/>
              <w:jc w:val="left"/>
              <w:rPr>
                <w:rFonts w:cs="Tahoma"/>
                <w:lang w:val="sl-SI" w:eastAsia="en-GB"/>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14:paraId="7D399F9C" w14:textId="77777777" w:rsidR="00E03711" w:rsidRPr="00F769E0" w:rsidRDefault="00E03711" w:rsidP="004E3AE0">
            <w:pPr>
              <w:pStyle w:val="GUIDE-NORMAL"/>
              <w:spacing w:before="60" w:after="60"/>
              <w:jc w:val="left"/>
              <w:rPr>
                <w:rFonts w:cs="Tahoma"/>
                <w:lang w:val="sl-SI" w:eastAsia="en-GB"/>
              </w:rPr>
            </w:pPr>
            <w:r w:rsidRPr="00F769E0">
              <w:rPr>
                <w:rFonts w:cs="Tahoma"/>
                <w:lang w:val="sl-SI" w:eastAsia="en-GB"/>
              </w:rPr>
              <w:t xml:space="preserve">Za razdalje od 2000 do 2999 KM: </w:t>
            </w:r>
            <w:r w:rsidRPr="00F769E0">
              <w:rPr>
                <w:rFonts w:cs="Tahoma"/>
                <w:lang w:val="sl-SI" w:eastAsia="en-GB"/>
              </w:rPr>
              <w:br/>
              <w:t>360 EUR na udeleženca</w:t>
            </w:r>
          </w:p>
        </w:tc>
      </w:tr>
      <w:tr w:rsidR="00E03711" w:rsidRPr="00C60205" w14:paraId="7D399FA2" w14:textId="77777777" w:rsidTr="00073E87">
        <w:trPr>
          <w:trHeight w:val="20"/>
        </w:trPr>
        <w:tc>
          <w:tcPr>
            <w:tcW w:w="2425" w:type="dxa"/>
            <w:vMerge/>
            <w:tcBorders>
              <w:top w:val="nil"/>
              <w:left w:val="single" w:sz="4" w:space="0" w:color="000000"/>
              <w:bottom w:val="single" w:sz="4" w:space="0" w:color="000000"/>
              <w:right w:val="single" w:sz="4" w:space="0" w:color="000000"/>
            </w:tcBorders>
            <w:shd w:val="clear" w:color="auto" w:fill="auto"/>
            <w:vAlign w:val="center"/>
          </w:tcPr>
          <w:p w14:paraId="7D399F9E" w14:textId="77777777" w:rsidR="00E03711" w:rsidRPr="00F769E0" w:rsidRDefault="00E03711" w:rsidP="004E3AE0">
            <w:pPr>
              <w:pStyle w:val="GUIDE-NORMAL"/>
              <w:spacing w:before="60" w:after="60"/>
              <w:jc w:val="left"/>
              <w:rPr>
                <w:rFonts w:cs="Tahoma"/>
                <w:b/>
                <w:lang w:val="sl-SI" w:eastAsia="en-GB"/>
              </w:rPr>
            </w:pPr>
          </w:p>
        </w:tc>
        <w:tc>
          <w:tcPr>
            <w:tcW w:w="4800" w:type="dxa"/>
            <w:vMerge/>
            <w:tcBorders>
              <w:top w:val="nil"/>
              <w:left w:val="single" w:sz="4" w:space="0" w:color="000000"/>
              <w:bottom w:val="single" w:sz="4" w:space="0" w:color="000000"/>
              <w:right w:val="single" w:sz="4" w:space="0" w:color="000000"/>
            </w:tcBorders>
            <w:shd w:val="clear" w:color="auto" w:fill="auto"/>
            <w:vAlign w:val="center"/>
          </w:tcPr>
          <w:p w14:paraId="7D399F9F" w14:textId="77777777" w:rsidR="00E03711" w:rsidRPr="00F769E0" w:rsidRDefault="00E03711" w:rsidP="004E3AE0">
            <w:pPr>
              <w:pStyle w:val="GUIDE-NORMAL"/>
              <w:spacing w:before="60" w:after="60"/>
              <w:jc w:val="left"/>
              <w:rPr>
                <w:rFonts w:cs="Tahoma"/>
                <w:lang w:val="sl-SI" w:eastAsia="en-GB"/>
              </w:rPr>
            </w:pPr>
          </w:p>
        </w:tc>
        <w:tc>
          <w:tcPr>
            <w:tcW w:w="2387" w:type="dxa"/>
            <w:vMerge/>
            <w:tcBorders>
              <w:top w:val="nil"/>
              <w:left w:val="single" w:sz="4" w:space="0" w:color="000000"/>
              <w:bottom w:val="single" w:sz="4" w:space="0" w:color="000000"/>
              <w:right w:val="single" w:sz="4" w:space="0" w:color="000000"/>
            </w:tcBorders>
            <w:shd w:val="clear" w:color="auto" w:fill="auto"/>
            <w:vAlign w:val="center"/>
          </w:tcPr>
          <w:p w14:paraId="7D399FA0" w14:textId="77777777" w:rsidR="00E03711" w:rsidRPr="00F769E0" w:rsidRDefault="00E03711" w:rsidP="004E3AE0">
            <w:pPr>
              <w:pStyle w:val="GUIDE-NORMAL"/>
              <w:spacing w:before="60" w:after="60"/>
              <w:jc w:val="left"/>
              <w:rPr>
                <w:rFonts w:cs="Tahoma"/>
                <w:lang w:val="sl-SI" w:eastAsia="en-GB"/>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14:paraId="7D399FA1" w14:textId="77777777" w:rsidR="00E03711" w:rsidRPr="00F769E0" w:rsidRDefault="00E03711" w:rsidP="004E3AE0">
            <w:pPr>
              <w:pStyle w:val="GUIDE-NORMAL"/>
              <w:spacing w:before="60" w:after="60"/>
              <w:jc w:val="left"/>
              <w:rPr>
                <w:rFonts w:cs="Tahoma"/>
                <w:lang w:val="sl-SI" w:eastAsia="en-GB"/>
              </w:rPr>
            </w:pPr>
            <w:r w:rsidRPr="00F769E0">
              <w:rPr>
                <w:rFonts w:cs="Tahoma"/>
                <w:lang w:val="sl-SI" w:eastAsia="en-GB"/>
              </w:rPr>
              <w:t xml:space="preserve">Za razdalje od 3000 do 3999 KM: </w:t>
            </w:r>
            <w:r w:rsidRPr="00F769E0">
              <w:rPr>
                <w:rFonts w:cs="Tahoma"/>
                <w:lang w:val="sl-SI" w:eastAsia="en-GB"/>
              </w:rPr>
              <w:br/>
              <w:t>530 EUR na udeleženca</w:t>
            </w:r>
          </w:p>
        </w:tc>
      </w:tr>
      <w:tr w:rsidR="00E03711" w:rsidRPr="00C60205" w14:paraId="7D399FA7" w14:textId="77777777" w:rsidTr="00073E87">
        <w:trPr>
          <w:trHeight w:val="20"/>
        </w:trPr>
        <w:tc>
          <w:tcPr>
            <w:tcW w:w="2425" w:type="dxa"/>
            <w:vMerge/>
            <w:tcBorders>
              <w:top w:val="nil"/>
              <w:left w:val="single" w:sz="4" w:space="0" w:color="000000"/>
              <w:bottom w:val="single" w:sz="4" w:space="0" w:color="000000"/>
              <w:right w:val="single" w:sz="4" w:space="0" w:color="000000"/>
            </w:tcBorders>
            <w:shd w:val="clear" w:color="auto" w:fill="auto"/>
            <w:vAlign w:val="center"/>
          </w:tcPr>
          <w:p w14:paraId="7D399FA3" w14:textId="77777777" w:rsidR="00E03711" w:rsidRPr="00F769E0" w:rsidRDefault="00E03711" w:rsidP="004E3AE0">
            <w:pPr>
              <w:pStyle w:val="GUIDE-NORMAL"/>
              <w:spacing w:before="60" w:after="60"/>
              <w:jc w:val="left"/>
              <w:rPr>
                <w:rFonts w:cs="Tahoma"/>
                <w:b/>
                <w:lang w:val="sl-SI" w:eastAsia="en-GB"/>
              </w:rPr>
            </w:pPr>
          </w:p>
        </w:tc>
        <w:tc>
          <w:tcPr>
            <w:tcW w:w="4800" w:type="dxa"/>
            <w:vMerge/>
            <w:tcBorders>
              <w:top w:val="nil"/>
              <w:left w:val="single" w:sz="4" w:space="0" w:color="000000"/>
              <w:bottom w:val="single" w:sz="4" w:space="0" w:color="000000"/>
              <w:right w:val="single" w:sz="4" w:space="0" w:color="000000"/>
            </w:tcBorders>
            <w:shd w:val="clear" w:color="auto" w:fill="auto"/>
            <w:vAlign w:val="center"/>
          </w:tcPr>
          <w:p w14:paraId="7D399FA4" w14:textId="77777777" w:rsidR="00E03711" w:rsidRPr="00F769E0" w:rsidRDefault="00E03711" w:rsidP="004E3AE0">
            <w:pPr>
              <w:pStyle w:val="GUIDE-NORMAL"/>
              <w:spacing w:before="60" w:after="60"/>
              <w:jc w:val="left"/>
              <w:rPr>
                <w:rFonts w:cs="Tahoma"/>
                <w:lang w:val="sl-SI" w:eastAsia="en-GB"/>
              </w:rPr>
            </w:pPr>
          </w:p>
        </w:tc>
        <w:tc>
          <w:tcPr>
            <w:tcW w:w="2387" w:type="dxa"/>
            <w:vMerge/>
            <w:tcBorders>
              <w:top w:val="nil"/>
              <w:left w:val="single" w:sz="4" w:space="0" w:color="000000"/>
              <w:bottom w:val="single" w:sz="4" w:space="0" w:color="000000"/>
              <w:right w:val="single" w:sz="4" w:space="0" w:color="000000"/>
            </w:tcBorders>
            <w:shd w:val="clear" w:color="auto" w:fill="auto"/>
            <w:vAlign w:val="center"/>
          </w:tcPr>
          <w:p w14:paraId="7D399FA5" w14:textId="77777777" w:rsidR="00E03711" w:rsidRPr="00F769E0" w:rsidRDefault="00E03711" w:rsidP="004E3AE0">
            <w:pPr>
              <w:pStyle w:val="GUIDE-NORMAL"/>
              <w:spacing w:before="60" w:after="60"/>
              <w:jc w:val="left"/>
              <w:rPr>
                <w:rFonts w:cs="Tahoma"/>
                <w:lang w:val="sl-SI" w:eastAsia="en-GB"/>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14:paraId="7D399FA6" w14:textId="77777777" w:rsidR="00E03711" w:rsidRPr="00F769E0" w:rsidRDefault="00E03711" w:rsidP="004E3AE0">
            <w:pPr>
              <w:pStyle w:val="GUIDE-NORMAL"/>
              <w:spacing w:before="60" w:after="60"/>
              <w:jc w:val="left"/>
              <w:rPr>
                <w:rFonts w:cs="Tahoma"/>
                <w:lang w:val="sl-SI" w:eastAsia="en-GB"/>
              </w:rPr>
            </w:pPr>
            <w:r w:rsidRPr="00F769E0">
              <w:rPr>
                <w:rFonts w:cs="Tahoma"/>
                <w:lang w:val="sl-SI" w:eastAsia="en-GB"/>
              </w:rPr>
              <w:t xml:space="preserve">Za razdalje od 4000 do 7999 KM: </w:t>
            </w:r>
            <w:r w:rsidRPr="00F769E0">
              <w:rPr>
                <w:rFonts w:cs="Tahoma"/>
                <w:lang w:val="sl-SI" w:eastAsia="en-GB"/>
              </w:rPr>
              <w:br/>
              <w:t>820 EUR na udeleženca</w:t>
            </w:r>
          </w:p>
        </w:tc>
      </w:tr>
      <w:tr w:rsidR="00E03711" w:rsidRPr="00C60205" w14:paraId="7D399FAC" w14:textId="77777777" w:rsidTr="00073E87">
        <w:trPr>
          <w:trHeight w:val="20"/>
        </w:trPr>
        <w:tc>
          <w:tcPr>
            <w:tcW w:w="2425" w:type="dxa"/>
            <w:vMerge/>
            <w:tcBorders>
              <w:top w:val="nil"/>
              <w:left w:val="single" w:sz="4" w:space="0" w:color="000000"/>
              <w:bottom w:val="single" w:sz="4" w:space="0" w:color="000000"/>
              <w:right w:val="single" w:sz="4" w:space="0" w:color="000000"/>
            </w:tcBorders>
            <w:shd w:val="clear" w:color="auto" w:fill="auto"/>
            <w:vAlign w:val="center"/>
          </w:tcPr>
          <w:p w14:paraId="7D399FA8" w14:textId="77777777" w:rsidR="00E03711" w:rsidRPr="00F769E0" w:rsidRDefault="00E03711" w:rsidP="004E3AE0">
            <w:pPr>
              <w:pStyle w:val="GUIDE-NORMAL"/>
              <w:spacing w:before="60" w:after="60"/>
              <w:jc w:val="left"/>
              <w:rPr>
                <w:rFonts w:cs="Tahoma"/>
                <w:b/>
                <w:lang w:val="sl-SI" w:eastAsia="en-GB"/>
              </w:rPr>
            </w:pPr>
          </w:p>
        </w:tc>
        <w:tc>
          <w:tcPr>
            <w:tcW w:w="4800" w:type="dxa"/>
            <w:vMerge/>
            <w:tcBorders>
              <w:top w:val="nil"/>
              <w:left w:val="single" w:sz="4" w:space="0" w:color="000000"/>
              <w:bottom w:val="single" w:sz="4" w:space="0" w:color="000000"/>
              <w:right w:val="single" w:sz="4" w:space="0" w:color="000000"/>
            </w:tcBorders>
            <w:shd w:val="clear" w:color="auto" w:fill="auto"/>
            <w:vAlign w:val="center"/>
          </w:tcPr>
          <w:p w14:paraId="7D399FA9" w14:textId="77777777" w:rsidR="00E03711" w:rsidRPr="00F769E0" w:rsidRDefault="00E03711" w:rsidP="004E3AE0">
            <w:pPr>
              <w:pStyle w:val="GUIDE-NORMAL"/>
              <w:spacing w:before="60" w:after="60"/>
              <w:jc w:val="left"/>
              <w:rPr>
                <w:rFonts w:cs="Tahoma"/>
                <w:lang w:val="sl-SI" w:eastAsia="en-GB"/>
              </w:rPr>
            </w:pPr>
          </w:p>
        </w:tc>
        <w:tc>
          <w:tcPr>
            <w:tcW w:w="2387" w:type="dxa"/>
            <w:vMerge/>
            <w:tcBorders>
              <w:top w:val="nil"/>
              <w:left w:val="single" w:sz="4" w:space="0" w:color="000000"/>
              <w:bottom w:val="single" w:sz="4" w:space="0" w:color="000000"/>
              <w:right w:val="single" w:sz="4" w:space="0" w:color="000000"/>
            </w:tcBorders>
            <w:shd w:val="clear" w:color="auto" w:fill="auto"/>
            <w:vAlign w:val="center"/>
          </w:tcPr>
          <w:p w14:paraId="7D399FAA" w14:textId="77777777" w:rsidR="00E03711" w:rsidRPr="00F769E0" w:rsidRDefault="00E03711" w:rsidP="004E3AE0">
            <w:pPr>
              <w:pStyle w:val="GUIDE-NORMAL"/>
              <w:spacing w:before="60" w:after="60"/>
              <w:jc w:val="left"/>
              <w:rPr>
                <w:rFonts w:cs="Tahoma"/>
                <w:lang w:val="sl-SI" w:eastAsia="en-GB"/>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tcPr>
          <w:p w14:paraId="7D399FAB" w14:textId="77777777" w:rsidR="00E03711" w:rsidRPr="00F769E0" w:rsidRDefault="00E03711" w:rsidP="004E3AE0">
            <w:pPr>
              <w:pStyle w:val="GUIDE-NORMAL"/>
              <w:spacing w:before="60" w:after="60"/>
              <w:jc w:val="left"/>
              <w:rPr>
                <w:rFonts w:cs="Tahoma"/>
                <w:lang w:val="sl-SI" w:eastAsia="en-GB"/>
              </w:rPr>
            </w:pPr>
            <w:r w:rsidRPr="00F769E0">
              <w:rPr>
                <w:rFonts w:cs="Tahoma"/>
                <w:lang w:val="sl-SI" w:eastAsia="en-GB"/>
              </w:rPr>
              <w:t>For travel distances of 8000 KM or more: 1500 EUR na udeleženca</w:t>
            </w:r>
          </w:p>
        </w:tc>
      </w:tr>
      <w:tr w:rsidR="00E03711" w:rsidRPr="00C60205" w14:paraId="7D399FB1" w14:textId="77777777" w:rsidTr="00073E87">
        <w:trPr>
          <w:trHeight w:val="20"/>
        </w:trPr>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AD" w14:textId="77777777" w:rsidR="00E03711" w:rsidRPr="00F769E0" w:rsidRDefault="00E03711" w:rsidP="004E3AE0">
            <w:pPr>
              <w:pStyle w:val="GUIDE-NORMAL"/>
              <w:spacing w:before="60" w:after="60"/>
              <w:jc w:val="left"/>
              <w:rPr>
                <w:rFonts w:cs="Tahoma"/>
                <w:b/>
                <w:lang w:val="sl-SI" w:eastAsia="en-GB"/>
              </w:rPr>
            </w:pPr>
            <w:r w:rsidRPr="00F769E0">
              <w:rPr>
                <w:rFonts w:cs="Tahoma"/>
                <w:b/>
                <w:lang w:val="sl-SI" w:eastAsia="en-GB"/>
              </w:rPr>
              <w:t>Stroški bivanja (govorniki, ki niso lokalni prebivalci)</w:t>
            </w:r>
          </w:p>
        </w:tc>
        <w:tc>
          <w:tcPr>
            <w:tcW w:w="4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AE" w14:textId="77777777" w:rsidR="00E03711" w:rsidRPr="00F769E0" w:rsidRDefault="00E03711" w:rsidP="004E3AE0">
            <w:pPr>
              <w:pStyle w:val="GUIDE-NORMAL"/>
              <w:spacing w:before="60" w:after="60"/>
              <w:jc w:val="left"/>
              <w:rPr>
                <w:rFonts w:cs="Tahoma"/>
                <w:lang w:val="sl-SI" w:eastAsia="en-GB"/>
              </w:rPr>
            </w:pPr>
            <w:r w:rsidRPr="00F769E0">
              <w:rPr>
                <w:rFonts w:cs="Tahoma"/>
                <w:lang w:val="sl-SI" w:eastAsia="en-GB"/>
              </w:rPr>
              <w:t>Prispevek za stroške bivanja govornikov, ki niso lokalni prebivalci in se udeležijo konferenc.</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AF" w14:textId="77777777" w:rsidR="00E03711" w:rsidRPr="00F769E0" w:rsidRDefault="00E03711" w:rsidP="004E3AE0">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B0" w14:textId="77777777" w:rsidR="00E03711" w:rsidRPr="00F769E0" w:rsidRDefault="00E03711" w:rsidP="004E3AE0">
            <w:pPr>
              <w:pStyle w:val="GUIDE-NORMAL"/>
              <w:spacing w:before="60" w:after="60"/>
              <w:jc w:val="left"/>
              <w:rPr>
                <w:rFonts w:cs="Tahoma"/>
                <w:lang w:val="sl-SI" w:eastAsia="en-GB"/>
              </w:rPr>
            </w:pPr>
            <w:r w:rsidRPr="00F22E7C">
              <w:rPr>
                <w:rFonts w:cs="Tahoma"/>
                <w:bdr w:val="single" w:sz="4" w:space="0" w:color="auto"/>
                <w:lang w:val="sl-SI" w:eastAsia="en-GB"/>
              </w:rPr>
              <w:t>D.3</w:t>
            </w:r>
            <w:r w:rsidRPr="00F769E0">
              <w:rPr>
                <w:rFonts w:cs="Tahoma"/>
                <w:lang w:val="sl-SI" w:eastAsia="en-GB"/>
              </w:rPr>
              <w:t xml:space="preserve"> na dan na udeleženc</w:t>
            </w:r>
          </w:p>
        </w:tc>
      </w:tr>
      <w:tr w:rsidR="00E03711" w:rsidRPr="008C6F8C" w14:paraId="7D399FB6" w14:textId="77777777" w:rsidTr="00073E87">
        <w:trPr>
          <w:trHeight w:val="20"/>
        </w:trPr>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B2" w14:textId="77777777" w:rsidR="00E03711" w:rsidRPr="00F769E0" w:rsidRDefault="00E03711" w:rsidP="004E3AE0">
            <w:pPr>
              <w:pStyle w:val="GUIDE-NORMAL"/>
              <w:spacing w:before="60" w:after="60"/>
              <w:jc w:val="left"/>
              <w:rPr>
                <w:rFonts w:cs="Tahoma"/>
                <w:b/>
                <w:lang w:val="sl-SI" w:eastAsia="en-GB"/>
              </w:rPr>
            </w:pPr>
            <w:bookmarkStart w:id="344" w:name="Coûts_unitaires_Jean_Monnet"/>
            <w:bookmarkEnd w:id="344"/>
            <w:r w:rsidRPr="00F769E0">
              <w:rPr>
                <w:rFonts w:cs="Tahoma"/>
                <w:b/>
                <w:lang w:val="sl-SI" w:eastAsia="en-GB"/>
              </w:rPr>
              <w:t>Dopolnilne aktivnosti</w:t>
            </w:r>
          </w:p>
        </w:tc>
        <w:tc>
          <w:tcPr>
            <w:tcW w:w="4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B3" w14:textId="77777777" w:rsidR="00E03711" w:rsidRPr="00F769E0" w:rsidRDefault="00E03711" w:rsidP="004E3AE0">
            <w:pPr>
              <w:pStyle w:val="GUIDE-NORMAL"/>
              <w:spacing w:before="60" w:after="60"/>
              <w:jc w:val="left"/>
              <w:rPr>
                <w:rFonts w:cs="Tahoma"/>
                <w:lang w:val="sl-SI" w:eastAsia="en-GB"/>
              </w:rPr>
            </w:pPr>
            <w:r w:rsidRPr="00F769E0">
              <w:rPr>
                <w:rFonts w:cs="Tahoma"/>
                <w:lang w:val="sl-SI" w:eastAsia="en-GB"/>
              </w:rPr>
              <w:t>Prispevek za kakršne koli dodatne, postranske stroške, povezane z dopolnilnimi aktivnostmi, ki so bile razvite za ta ukrep: npr. akademsko nadaljnje spremljanje dogodka, ustvarjanje in vzdrževanje spletišča, oblikovanje, tiskanje in razširjanje publikacij; stroški tolmačenja; stroški ustvarjanja.</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B4" w14:textId="77777777" w:rsidR="00E03711" w:rsidRPr="00F769E0" w:rsidRDefault="00E03711" w:rsidP="004E3AE0">
            <w:pPr>
              <w:pStyle w:val="GUIDE-NORMAL"/>
              <w:spacing w:before="60" w:after="60"/>
              <w:jc w:val="left"/>
              <w:rPr>
                <w:rFonts w:cs="Tahoma"/>
                <w:lang w:val="sl-SI" w:eastAsia="en-GB"/>
              </w:rPr>
            </w:pPr>
            <w:r w:rsidRPr="00F769E0">
              <w:rPr>
                <w:rFonts w:cs="Tahoma"/>
                <w:lang w:val="sl-SI" w:eastAsia="en-GB"/>
              </w:rPr>
              <w:t>Pavšalni</w:t>
            </w:r>
            <w:r w:rsidRPr="00F769E0">
              <w:rPr>
                <w:rFonts w:cs="Tahoma"/>
                <w:lang w:val="sl-SI" w:eastAsia="en-GB"/>
              </w:rPr>
              <w:br/>
              <w:t>znesek</w:t>
            </w:r>
          </w:p>
        </w:tc>
        <w:tc>
          <w:tcPr>
            <w:tcW w:w="4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9FB5" w14:textId="77777777" w:rsidR="00E03711" w:rsidRPr="00F769E0" w:rsidRDefault="00E03711" w:rsidP="00584D43">
            <w:pPr>
              <w:pStyle w:val="GUIDE-NORMAL"/>
              <w:spacing w:before="60" w:after="60"/>
              <w:jc w:val="left"/>
              <w:rPr>
                <w:rFonts w:cs="Tahoma"/>
                <w:lang w:val="sl-SI" w:eastAsia="en-GB"/>
              </w:rPr>
            </w:pPr>
            <w:r w:rsidRPr="00F769E0">
              <w:rPr>
                <w:rFonts w:cs="Tahoma"/>
                <w:lang w:val="sl-SI" w:eastAsia="en-GB"/>
              </w:rPr>
              <w:t>25 000 EUR</w:t>
            </w:r>
          </w:p>
        </w:tc>
      </w:tr>
    </w:tbl>
    <w:p w14:paraId="7D399FB7" w14:textId="77777777" w:rsidR="00E03711" w:rsidRDefault="00E03711" w:rsidP="004B71A1">
      <w:pPr>
        <w:pStyle w:val="GUIDE-NORMAL"/>
        <w:rPr>
          <w:lang w:val="sl-SI"/>
        </w:rPr>
      </w:pPr>
      <w:r w:rsidRPr="001048FE">
        <w:rPr>
          <w:lang w:val="sl-SI"/>
        </w:rPr>
        <w:t>Posamezni zneski, ki veljajo za projekte Jean Monnet, so navedeni v poglavju „Stroški na enoto za program Jean Monnet“ ob koncu poglavja o programu Jean Monnet v tem delu vodnika.</w:t>
      </w:r>
      <w:r>
        <w:rPr>
          <w:lang w:val="sl-SI"/>
        </w:rPr>
        <w:t xml:space="preserve">3.4.9. </w:t>
      </w:r>
      <w:r w:rsidRPr="001048FE">
        <w:rPr>
          <w:lang w:val="sl-SI"/>
        </w:rPr>
        <w:t>Stroški na enoto za program Jean Monnet</w:t>
      </w:r>
    </w:p>
    <w:p w14:paraId="7D399FB8" w14:textId="77777777" w:rsidR="0031785E" w:rsidRPr="0031785E" w:rsidRDefault="0031785E" w:rsidP="0031785E">
      <w:pPr>
        <w:pStyle w:val="GUIDE-NORMAL"/>
        <w:outlineLvl w:val="2"/>
        <w:rPr>
          <w:b/>
          <w:smallCaps/>
          <w:sz w:val="28"/>
          <w:szCs w:val="20"/>
          <w:shd w:val="clear" w:color="auto" w:fill="auto"/>
          <w:lang w:val="sl-SI"/>
        </w:rPr>
      </w:pPr>
      <w:r w:rsidRPr="0031785E">
        <w:rPr>
          <w:b/>
          <w:smallCaps/>
          <w:sz w:val="28"/>
          <w:szCs w:val="20"/>
          <w:shd w:val="clear" w:color="auto" w:fill="auto"/>
          <w:lang w:val="sl-SI"/>
        </w:rPr>
        <w:t>Stroški na enoto za program Jean Monnet</w:t>
      </w:r>
    </w:p>
    <w:p w14:paraId="7D399FB9" w14:textId="77777777" w:rsidR="00E03711" w:rsidRPr="001048FE" w:rsidRDefault="00E03711" w:rsidP="004E3AE0">
      <w:pPr>
        <w:pStyle w:val="Guide-Heading4"/>
        <w:rPr>
          <w:lang w:val="sl-SI"/>
        </w:rPr>
      </w:pPr>
      <w:bookmarkStart w:id="345" w:name="_Toc527401206"/>
      <w:r w:rsidRPr="001048FE">
        <w:rPr>
          <w:lang w:val="sl-SI"/>
        </w:rPr>
        <w:t>D.1– Nacionalni stroški poučevanja (v EUR na učno</w:t>
      </w:r>
      <w:r w:rsidRPr="001048FE">
        <w:rPr>
          <w:spacing w:val="32"/>
          <w:lang w:val="sl-SI"/>
        </w:rPr>
        <w:t xml:space="preserve"> </w:t>
      </w:r>
      <w:r w:rsidRPr="001048FE">
        <w:rPr>
          <w:lang w:val="sl-SI"/>
        </w:rPr>
        <w:t>uro)</w:t>
      </w:r>
      <w:bookmarkEnd w:id="345"/>
    </w:p>
    <w:p w14:paraId="7D399FBA" w14:textId="77777777" w:rsidR="00E03711" w:rsidRPr="001048FE" w:rsidRDefault="00E03711" w:rsidP="004E3AE0">
      <w:pPr>
        <w:pStyle w:val="GUIDE-NORMAL"/>
        <w:rPr>
          <w:lang w:val="sl-SI"/>
        </w:rPr>
      </w:pPr>
      <w:r w:rsidRPr="001048FE">
        <w:rPr>
          <w:lang w:val="sl-SI"/>
        </w:rPr>
        <w:t>Zneski so odvisni od države, kjer se izvaja aktivnost poučevanja.</w:t>
      </w:r>
    </w:p>
    <w:p w14:paraId="7D399FBB" w14:textId="77777777" w:rsidR="00E03711" w:rsidRDefault="00E03711" w:rsidP="00E66776">
      <w:pPr>
        <w:pStyle w:val="GUIDE-NORMAL"/>
        <w:spacing w:before="0" w:after="0"/>
        <w:jc w:val="center"/>
        <w:rPr>
          <w:rFonts w:cs="Tahoma"/>
          <w:b/>
          <w:lang w:val="sl-SI" w:eastAsia="en-GB"/>
        </w:rPr>
        <w:sectPr w:rsidR="00E03711" w:rsidSect="00073E87">
          <w:headerReference w:type="even" r:id="rId129"/>
          <w:headerReference w:type="default" r:id="rId130"/>
          <w:endnotePr>
            <w:numFmt w:val="decimal"/>
          </w:endnotePr>
          <w:pgSz w:w="16840" w:h="11910" w:orient="landscape" w:code="9"/>
          <w:pgMar w:top="1418" w:right="1134" w:bottom="1418" w:left="1134" w:header="284" w:footer="567" w:gutter="0"/>
          <w:cols w:space="720"/>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885"/>
      </w:tblGrid>
      <w:tr w:rsidR="00E03711" w:rsidRPr="008C6F8C" w14:paraId="7D399FBD" w14:textId="77777777" w:rsidTr="00416BBB">
        <w:trPr>
          <w:trHeight w:val="20"/>
        </w:trPr>
        <w:tc>
          <w:tcPr>
            <w:tcW w:w="5000" w:type="pct"/>
            <w:gridSpan w:val="2"/>
            <w:shd w:val="clear" w:color="auto" w:fill="auto"/>
          </w:tcPr>
          <w:p w14:paraId="7D399FBC" w14:textId="77777777" w:rsidR="00E03711" w:rsidRPr="00F769E0" w:rsidRDefault="00E03711" w:rsidP="00E66776">
            <w:pPr>
              <w:pStyle w:val="GUIDE-NORMAL"/>
              <w:spacing w:before="0" w:after="0"/>
              <w:jc w:val="center"/>
              <w:rPr>
                <w:rFonts w:cs="Tahoma"/>
                <w:b/>
                <w:lang w:val="sl-SI" w:eastAsia="en-GB"/>
              </w:rPr>
            </w:pPr>
            <w:r w:rsidRPr="00F769E0">
              <w:rPr>
                <w:rFonts w:cs="Tahoma"/>
                <w:b/>
                <w:lang w:val="sl-SI" w:eastAsia="en-GB"/>
              </w:rPr>
              <w:t>Države Programa</w:t>
            </w:r>
          </w:p>
        </w:tc>
      </w:tr>
      <w:tr w:rsidR="00E03711" w:rsidRPr="008C6F8C" w14:paraId="7D399FC0" w14:textId="77777777" w:rsidTr="00416BBB">
        <w:trPr>
          <w:trHeight w:val="20"/>
        </w:trPr>
        <w:tc>
          <w:tcPr>
            <w:tcW w:w="4037" w:type="pct"/>
          </w:tcPr>
          <w:p w14:paraId="7D399FBE"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Belgija</w:t>
            </w:r>
          </w:p>
        </w:tc>
        <w:tc>
          <w:tcPr>
            <w:tcW w:w="963" w:type="pct"/>
          </w:tcPr>
          <w:p w14:paraId="7D399FBF"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200</w:t>
            </w:r>
          </w:p>
        </w:tc>
      </w:tr>
      <w:tr w:rsidR="00E03711" w:rsidRPr="008C6F8C" w14:paraId="7D399FC3" w14:textId="77777777" w:rsidTr="00416BBB">
        <w:trPr>
          <w:trHeight w:val="20"/>
        </w:trPr>
        <w:tc>
          <w:tcPr>
            <w:tcW w:w="4037" w:type="pct"/>
          </w:tcPr>
          <w:p w14:paraId="7D399FC1"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Bolgarija</w:t>
            </w:r>
          </w:p>
        </w:tc>
        <w:tc>
          <w:tcPr>
            <w:tcW w:w="963" w:type="pct"/>
          </w:tcPr>
          <w:p w14:paraId="7D399FC2"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80</w:t>
            </w:r>
          </w:p>
        </w:tc>
      </w:tr>
      <w:tr w:rsidR="00E03711" w:rsidRPr="008C6F8C" w14:paraId="7D399FC6"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9FC4"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Češka</w:t>
            </w:r>
          </w:p>
        </w:tc>
        <w:tc>
          <w:tcPr>
            <w:tcW w:w="963" w:type="pct"/>
            <w:tcBorders>
              <w:top w:val="single" w:sz="4" w:space="0" w:color="auto"/>
              <w:left w:val="single" w:sz="4" w:space="0" w:color="auto"/>
              <w:bottom w:val="single" w:sz="4" w:space="0" w:color="auto"/>
              <w:right w:val="single" w:sz="4" w:space="0" w:color="auto"/>
            </w:tcBorders>
          </w:tcPr>
          <w:p w14:paraId="7D399FC5"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107</w:t>
            </w:r>
          </w:p>
        </w:tc>
      </w:tr>
      <w:tr w:rsidR="00E03711" w:rsidRPr="008C6F8C" w14:paraId="7D399FC9"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9FC7"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Danska</w:t>
            </w:r>
          </w:p>
        </w:tc>
        <w:tc>
          <w:tcPr>
            <w:tcW w:w="963" w:type="pct"/>
            <w:tcBorders>
              <w:top w:val="single" w:sz="4" w:space="0" w:color="auto"/>
              <w:left w:val="single" w:sz="4" w:space="0" w:color="auto"/>
              <w:bottom w:val="single" w:sz="4" w:space="0" w:color="auto"/>
              <w:right w:val="single" w:sz="4" w:space="0" w:color="auto"/>
            </w:tcBorders>
          </w:tcPr>
          <w:p w14:paraId="7D399FC8"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200</w:t>
            </w:r>
          </w:p>
        </w:tc>
      </w:tr>
      <w:tr w:rsidR="00E03711" w:rsidRPr="008C6F8C" w14:paraId="7D399FCC"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9FCA"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Nemčija</w:t>
            </w:r>
          </w:p>
        </w:tc>
        <w:tc>
          <w:tcPr>
            <w:tcW w:w="963" w:type="pct"/>
            <w:tcBorders>
              <w:top w:val="single" w:sz="4" w:space="0" w:color="auto"/>
              <w:left w:val="single" w:sz="4" w:space="0" w:color="auto"/>
              <w:bottom w:val="single" w:sz="4" w:space="0" w:color="auto"/>
              <w:right w:val="single" w:sz="4" w:space="0" w:color="auto"/>
            </w:tcBorders>
          </w:tcPr>
          <w:p w14:paraId="7D399FCB"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200</w:t>
            </w:r>
          </w:p>
        </w:tc>
      </w:tr>
      <w:tr w:rsidR="00E03711" w:rsidRPr="008C6F8C" w14:paraId="7D399FCF"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9FCD"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Estonija</w:t>
            </w:r>
          </w:p>
        </w:tc>
        <w:tc>
          <w:tcPr>
            <w:tcW w:w="963" w:type="pct"/>
            <w:tcBorders>
              <w:top w:val="single" w:sz="4" w:space="0" w:color="auto"/>
              <w:left w:val="single" w:sz="4" w:space="0" w:color="auto"/>
              <w:bottom w:val="single" w:sz="4" w:space="0" w:color="auto"/>
              <w:right w:val="single" w:sz="4" w:space="0" w:color="auto"/>
            </w:tcBorders>
          </w:tcPr>
          <w:p w14:paraId="7D399FCE"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107</w:t>
            </w:r>
          </w:p>
        </w:tc>
      </w:tr>
      <w:tr w:rsidR="00E03711" w:rsidRPr="008C6F8C" w14:paraId="7D399FD2"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9FD0"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Irska</w:t>
            </w:r>
          </w:p>
        </w:tc>
        <w:tc>
          <w:tcPr>
            <w:tcW w:w="963" w:type="pct"/>
            <w:tcBorders>
              <w:top w:val="single" w:sz="4" w:space="0" w:color="auto"/>
              <w:left w:val="single" w:sz="4" w:space="0" w:color="auto"/>
              <w:bottom w:val="single" w:sz="4" w:space="0" w:color="auto"/>
              <w:right w:val="single" w:sz="4" w:space="0" w:color="auto"/>
            </w:tcBorders>
          </w:tcPr>
          <w:p w14:paraId="7D399FD1"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172</w:t>
            </w:r>
          </w:p>
        </w:tc>
      </w:tr>
      <w:tr w:rsidR="00E03711" w:rsidRPr="008C6F8C" w14:paraId="7D399FD5"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9FD3"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Grčija</w:t>
            </w:r>
          </w:p>
        </w:tc>
        <w:tc>
          <w:tcPr>
            <w:tcW w:w="963" w:type="pct"/>
            <w:tcBorders>
              <w:top w:val="single" w:sz="4" w:space="0" w:color="auto"/>
              <w:left w:val="single" w:sz="4" w:space="0" w:color="auto"/>
              <w:bottom w:val="single" w:sz="4" w:space="0" w:color="auto"/>
              <w:right w:val="single" w:sz="4" w:space="0" w:color="auto"/>
            </w:tcBorders>
          </w:tcPr>
          <w:p w14:paraId="7D399FD4"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129</w:t>
            </w:r>
          </w:p>
        </w:tc>
      </w:tr>
      <w:tr w:rsidR="00E03711" w:rsidRPr="008C6F8C" w14:paraId="7D399FD8"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9FD6"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Španija</w:t>
            </w:r>
          </w:p>
        </w:tc>
        <w:tc>
          <w:tcPr>
            <w:tcW w:w="963" w:type="pct"/>
            <w:tcBorders>
              <w:top w:val="single" w:sz="4" w:space="0" w:color="auto"/>
              <w:left w:val="single" w:sz="4" w:space="0" w:color="auto"/>
              <w:bottom w:val="single" w:sz="4" w:space="0" w:color="auto"/>
              <w:right w:val="single" w:sz="4" w:space="0" w:color="auto"/>
            </w:tcBorders>
          </w:tcPr>
          <w:p w14:paraId="7D399FD7"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161</w:t>
            </w:r>
          </w:p>
        </w:tc>
      </w:tr>
      <w:tr w:rsidR="00E03711" w:rsidRPr="008C6F8C" w14:paraId="7D399FDB"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9FD9"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Francija</w:t>
            </w:r>
          </w:p>
        </w:tc>
        <w:tc>
          <w:tcPr>
            <w:tcW w:w="963" w:type="pct"/>
            <w:tcBorders>
              <w:top w:val="single" w:sz="4" w:space="0" w:color="auto"/>
              <w:left w:val="single" w:sz="4" w:space="0" w:color="auto"/>
              <w:bottom w:val="single" w:sz="4" w:space="0" w:color="auto"/>
              <w:right w:val="single" w:sz="4" w:space="0" w:color="auto"/>
            </w:tcBorders>
          </w:tcPr>
          <w:p w14:paraId="7D399FDA"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184</w:t>
            </w:r>
          </w:p>
        </w:tc>
      </w:tr>
      <w:tr w:rsidR="00E03711" w:rsidRPr="008C6F8C" w14:paraId="7D399FDE" w14:textId="77777777" w:rsidTr="00416BBB">
        <w:trPr>
          <w:trHeight w:val="20"/>
        </w:trPr>
        <w:tc>
          <w:tcPr>
            <w:tcW w:w="4037" w:type="pct"/>
          </w:tcPr>
          <w:p w14:paraId="7D399FDC"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Hrvaška</w:t>
            </w:r>
          </w:p>
        </w:tc>
        <w:tc>
          <w:tcPr>
            <w:tcW w:w="963" w:type="pct"/>
          </w:tcPr>
          <w:p w14:paraId="7D399FDD"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96</w:t>
            </w:r>
          </w:p>
        </w:tc>
      </w:tr>
      <w:tr w:rsidR="00E03711" w:rsidRPr="008C6F8C" w14:paraId="7D399FE1"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9FDF"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Italija</w:t>
            </w:r>
          </w:p>
        </w:tc>
        <w:tc>
          <w:tcPr>
            <w:tcW w:w="963" w:type="pct"/>
            <w:tcBorders>
              <w:top w:val="single" w:sz="4" w:space="0" w:color="auto"/>
              <w:left w:val="single" w:sz="4" w:space="0" w:color="auto"/>
              <w:bottom w:val="single" w:sz="4" w:space="0" w:color="auto"/>
              <w:right w:val="single" w:sz="4" w:space="0" w:color="auto"/>
            </w:tcBorders>
          </w:tcPr>
          <w:p w14:paraId="7D399FE0"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166</w:t>
            </w:r>
          </w:p>
        </w:tc>
      </w:tr>
      <w:tr w:rsidR="00E03711" w:rsidRPr="008C6F8C" w14:paraId="7D399FE4" w14:textId="77777777" w:rsidTr="00416BBB">
        <w:trPr>
          <w:trHeight w:val="20"/>
        </w:trPr>
        <w:tc>
          <w:tcPr>
            <w:tcW w:w="4037" w:type="pct"/>
          </w:tcPr>
          <w:p w14:paraId="7D399FE2"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Ciper</w:t>
            </w:r>
          </w:p>
        </w:tc>
        <w:tc>
          <w:tcPr>
            <w:tcW w:w="963" w:type="pct"/>
          </w:tcPr>
          <w:p w14:paraId="7D399FE3"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151</w:t>
            </w:r>
          </w:p>
        </w:tc>
      </w:tr>
      <w:tr w:rsidR="00E03711" w:rsidRPr="008C6F8C" w14:paraId="7D399FE7"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9FE5"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Latvija</w:t>
            </w:r>
          </w:p>
        </w:tc>
        <w:tc>
          <w:tcPr>
            <w:tcW w:w="963" w:type="pct"/>
            <w:tcBorders>
              <w:top w:val="single" w:sz="4" w:space="0" w:color="auto"/>
              <w:left w:val="single" w:sz="4" w:space="0" w:color="auto"/>
              <w:bottom w:val="single" w:sz="4" w:space="0" w:color="auto"/>
              <w:right w:val="single" w:sz="4" w:space="0" w:color="auto"/>
            </w:tcBorders>
          </w:tcPr>
          <w:p w14:paraId="7D399FE6"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98</w:t>
            </w:r>
          </w:p>
        </w:tc>
      </w:tr>
      <w:tr w:rsidR="00E03711" w:rsidRPr="008C6F8C" w14:paraId="7D399FEA"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9FE8"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Litva</w:t>
            </w:r>
          </w:p>
        </w:tc>
        <w:tc>
          <w:tcPr>
            <w:tcW w:w="963" w:type="pct"/>
            <w:tcBorders>
              <w:top w:val="single" w:sz="4" w:space="0" w:color="auto"/>
              <w:left w:val="single" w:sz="4" w:space="0" w:color="auto"/>
              <w:bottom w:val="single" w:sz="4" w:space="0" w:color="auto"/>
              <w:right w:val="single" w:sz="4" w:space="0" w:color="auto"/>
            </w:tcBorders>
          </w:tcPr>
          <w:p w14:paraId="7D399FE9"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106</w:t>
            </w:r>
          </w:p>
        </w:tc>
      </w:tr>
      <w:tr w:rsidR="00E03711" w:rsidRPr="008C6F8C" w14:paraId="7D399FED"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9FEB"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Luksemburg</w:t>
            </w:r>
          </w:p>
        </w:tc>
        <w:tc>
          <w:tcPr>
            <w:tcW w:w="963" w:type="pct"/>
            <w:tcBorders>
              <w:top w:val="single" w:sz="4" w:space="0" w:color="auto"/>
              <w:left w:val="single" w:sz="4" w:space="0" w:color="auto"/>
              <w:bottom w:val="single" w:sz="4" w:space="0" w:color="auto"/>
              <w:right w:val="single" w:sz="4" w:space="0" w:color="auto"/>
            </w:tcBorders>
          </w:tcPr>
          <w:p w14:paraId="7D399FEC"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200</w:t>
            </w:r>
          </w:p>
        </w:tc>
      </w:tr>
      <w:tr w:rsidR="00E03711" w:rsidRPr="008C6F8C" w14:paraId="7D399FF0"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9FEE"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Madžarska</w:t>
            </w:r>
          </w:p>
        </w:tc>
        <w:tc>
          <w:tcPr>
            <w:tcW w:w="963" w:type="pct"/>
            <w:tcBorders>
              <w:top w:val="single" w:sz="4" w:space="0" w:color="auto"/>
              <w:left w:val="single" w:sz="4" w:space="0" w:color="auto"/>
              <w:bottom w:val="single" w:sz="4" w:space="0" w:color="auto"/>
              <w:right w:val="single" w:sz="4" w:space="0" w:color="auto"/>
            </w:tcBorders>
          </w:tcPr>
          <w:p w14:paraId="7D399FEF"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104</w:t>
            </w:r>
          </w:p>
        </w:tc>
      </w:tr>
      <w:tr w:rsidR="00E03711" w:rsidRPr="008C6F8C" w14:paraId="7D399FF3"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9FF1"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Malta</w:t>
            </w:r>
          </w:p>
        </w:tc>
        <w:tc>
          <w:tcPr>
            <w:tcW w:w="963" w:type="pct"/>
            <w:tcBorders>
              <w:top w:val="single" w:sz="4" w:space="0" w:color="auto"/>
              <w:left w:val="single" w:sz="4" w:space="0" w:color="auto"/>
              <w:bottom w:val="single" w:sz="4" w:space="0" w:color="auto"/>
              <w:right w:val="single" w:sz="4" w:space="0" w:color="auto"/>
            </w:tcBorders>
          </w:tcPr>
          <w:p w14:paraId="7D399FF2"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138</w:t>
            </w:r>
          </w:p>
        </w:tc>
      </w:tr>
      <w:tr w:rsidR="00E03711" w:rsidRPr="008C6F8C" w14:paraId="7D399FF6"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9FF4"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Nizozemska</w:t>
            </w:r>
          </w:p>
        </w:tc>
        <w:tc>
          <w:tcPr>
            <w:tcW w:w="963" w:type="pct"/>
            <w:tcBorders>
              <w:top w:val="single" w:sz="4" w:space="0" w:color="auto"/>
              <w:left w:val="single" w:sz="4" w:space="0" w:color="auto"/>
              <w:bottom w:val="single" w:sz="4" w:space="0" w:color="auto"/>
              <w:right w:val="single" w:sz="4" w:space="0" w:color="auto"/>
            </w:tcBorders>
          </w:tcPr>
          <w:p w14:paraId="7D399FF5"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200</w:t>
            </w:r>
          </w:p>
        </w:tc>
      </w:tr>
      <w:tr w:rsidR="00E03711" w:rsidRPr="008C6F8C" w14:paraId="7D399FF9"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9FF7"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Avstrija</w:t>
            </w:r>
          </w:p>
        </w:tc>
        <w:tc>
          <w:tcPr>
            <w:tcW w:w="963" w:type="pct"/>
            <w:tcBorders>
              <w:top w:val="single" w:sz="4" w:space="0" w:color="auto"/>
              <w:left w:val="single" w:sz="4" w:space="0" w:color="auto"/>
              <w:bottom w:val="single" w:sz="4" w:space="0" w:color="auto"/>
              <w:right w:val="single" w:sz="4" w:space="0" w:color="auto"/>
            </w:tcBorders>
          </w:tcPr>
          <w:p w14:paraId="7D399FF8"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200</w:t>
            </w:r>
          </w:p>
        </w:tc>
      </w:tr>
      <w:tr w:rsidR="00E03711" w:rsidRPr="008C6F8C" w14:paraId="7D399FFC"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9FFA"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Poljska</w:t>
            </w:r>
          </w:p>
        </w:tc>
        <w:tc>
          <w:tcPr>
            <w:tcW w:w="963" w:type="pct"/>
            <w:tcBorders>
              <w:top w:val="single" w:sz="4" w:space="0" w:color="auto"/>
              <w:left w:val="single" w:sz="4" w:space="0" w:color="auto"/>
              <w:bottom w:val="single" w:sz="4" w:space="0" w:color="auto"/>
              <w:right w:val="single" w:sz="4" w:space="0" w:color="auto"/>
            </w:tcBorders>
          </w:tcPr>
          <w:p w14:paraId="7D399FFB"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104</w:t>
            </w:r>
          </w:p>
        </w:tc>
      </w:tr>
      <w:tr w:rsidR="00E03711" w:rsidRPr="008C6F8C" w14:paraId="7D399FFF"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9FFD"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Portugalska</w:t>
            </w:r>
          </w:p>
        </w:tc>
        <w:tc>
          <w:tcPr>
            <w:tcW w:w="963" w:type="pct"/>
            <w:tcBorders>
              <w:top w:val="single" w:sz="4" w:space="0" w:color="auto"/>
              <w:left w:val="single" w:sz="4" w:space="0" w:color="auto"/>
              <w:bottom w:val="single" w:sz="4" w:space="0" w:color="auto"/>
              <w:right w:val="single" w:sz="4" w:space="0" w:color="auto"/>
            </w:tcBorders>
          </w:tcPr>
          <w:p w14:paraId="7D399FFE"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126</w:t>
            </w:r>
          </w:p>
        </w:tc>
      </w:tr>
      <w:tr w:rsidR="00E03711" w:rsidRPr="008C6F8C" w14:paraId="7D39A002"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00"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Romunija</w:t>
            </w:r>
          </w:p>
        </w:tc>
        <w:tc>
          <w:tcPr>
            <w:tcW w:w="963" w:type="pct"/>
            <w:tcBorders>
              <w:top w:val="single" w:sz="4" w:space="0" w:color="auto"/>
              <w:left w:val="single" w:sz="4" w:space="0" w:color="auto"/>
              <w:bottom w:val="single" w:sz="4" w:space="0" w:color="auto"/>
              <w:right w:val="single" w:sz="4" w:space="0" w:color="auto"/>
            </w:tcBorders>
          </w:tcPr>
          <w:p w14:paraId="7D39A001"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81</w:t>
            </w:r>
          </w:p>
        </w:tc>
      </w:tr>
      <w:tr w:rsidR="00E03711" w:rsidRPr="008C6F8C" w14:paraId="7D39A005"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03"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Slovenija</w:t>
            </w:r>
          </w:p>
        </w:tc>
        <w:tc>
          <w:tcPr>
            <w:tcW w:w="963" w:type="pct"/>
            <w:tcBorders>
              <w:top w:val="single" w:sz="4" w:space="0" w:color="auto"/>
              <w:left w:val="single" w:sz="4" w:space="0" w:color="auto"/>
              <w:bottom w:val="single" w:sz="4" w:space="0" w:color="auto"/>
              <w:right w:val="single" w:sz="4" w:space="0" w:color="auto"/>
            </w:tcBorders>
          </w:tcPr>
          <w:p w14:paraId="7D39A004"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136</w:t>
            </w:r>
          </w:p>
        </w:tc>
      </w:tr>
      <w:tr w:rsidR="00E03711" w:rsidRPr="008C6F8C" w14:paraId="7D39A008"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06"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Slovaška</w:t>
            </w:r>
          </w:p>
        </w:tc>
        <w:tc>
          <w:tcPr>
            <w:tcW w:w="963" w:type="pct"/>
            <w:tcBorders>
              <w:top w:val="single" w:sz="4" w:space="0" w:color="auto"/>
              <w:left w:val="single" w:sz="4" w:space="0" w:color="auto"/>
              <w:bottom w:val="single" w:sz="4" w:space="0" w:color="auto"/>
              <w:right w:val="single" w:sz="4" w:space="0" w:color="auto"/>
            </w:tcBorders>
          </w:tcPr>
          <w:p w14:paraId="7D39A007"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114</w:t>
            </w:r>
          </w:p>
        </w:tc>
      </w:tr>
      <w:tr w:rsidR="00E03711" w:rsidRPr="008C6F8C" w14:paraId="7D39A00B" w14:textId="77777777" w:rsidTr="00416BBB">
        <w:trPr>
          <w:trHeight w:val="20"/>
        </w:trPr>
        <w:tc>
          <w:tcPr>
            <w:tcW w:w="4037" w:type="pct"/>
          </w:tcPr>
          <w:p w14:paraId="7D39A009"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Finska</w:t>
            </w:r>
          </w:p>
        </w:tc>
        <w:tc>
          <w:tcPr>
            <w:tcW w:w="963" w:type="pct"/>
          </w:tcPr>
          <w:p w14:paraId="7D39A00A"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193</w:t>
            </w:r>
          </w:p>
        </w:tc>
      </w:tr>
      <w:tr w:rsidR="00E03711" w:rsidRPr="008C6F8C" w14:paraId="7D39A00E"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0C"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Švedska</w:t>
            </w:r>
          </w:p>
        </w:tc>
        <w:tc>
          <w:tcPr>
            <w:tcW w:w="963" w:type="pct"/>
            <w:tcBorders>
              <w:top w:val="single" w:sz="4" w:space="0" w:color="auto"/>
              <w:left w:val="single" w:sz="4" w:space="0" w:color="auto"/>
              <w:bottom w:val="single" w:sz="4" w:space="0" w:color="auto"/>
              <w:right w:val="single" w:sz="4" w:space="0" w:color="auto"/>
            </w:tcBorders>
          </w:tcPr>
          <w:p w14:paraId="7D39A00D"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200</w:t>
            </w:r>
          </w:p>
        </w:tc>
      </w:tr>
      <w:tr w:rsidR="00E03711" w:rsidRPr="008C6F8C" w14:paraId="7D39A011"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0F" w14:textId="77777777" w:rsidR="00E03711" w:rsidRPr="00F769E0" w:rsidRDefault="00E03711" w:rsidP="00E66776">
            <w:pPr>
              <w:pStyle w:val="GUIDE-NORMAL"/>
              <w:spacing w:before="0" w:after="0"/>
              <w:rPr>
                <w:rFonts w:cs="Tahoma"/>
                <w:lang w:val="sl-SI" w:eastAsia="en-GB"/>
              </w:rPr>
            </w:pPr>
            <w:r w:rsidRPr="00F769E0">
              <w:rPr>
                <w:rFonts w:cs="Tahoma"/>
                <w:lang w:val="sl-SI" w:eastAsia="en-GB"/>
              </w:rPr>
              <w:t>Združeno kraljestvo</w:t>
            </w:r>
          </w:p>
        </w:tc>
        <w:tc>
          <w:tcPr>
            <w:tcW w:w="963" w:type="pct"/>
            <w:tcBorders>
              <w:top w:val="single" w:sz="4" w:space="0" w:color="auto"/>
              <w:left w:val="single" w:sz="4" w:space="0" w:color="auto"/>
              <w:bottom w:val="single" w:sz="4" w:space="0" w:color="auto"/>
              <w:right w:val="single" w:sz="4" w:space="0" w:color="auto"/>
            </w:tcBorders>
          </w:tcPr>
          <w:p w14:paraId="7D39A010"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184</w:t>
            </w:r>
          </w:p>
        </w:tc>
      </w:tr>
      <w:tr w:rsidR="00E03711" w:rsidRPr="008C6F8C" w14:paraId="7D39A014" w14:textId="77777777" w:rsidTr="00416BBB">
        <w:trPr>
          <w:trHeight w:val="20"/>
        </w:trPr>
        <w:tc>
          <w:tcPr>
            <w:tcW w:w="4037" w:type="pct"/>
          </w:tcPr>
          <w:p w14:paraId="7D39A012" w14:textId="77777777" w:rsidR="00E03711" w:rsidRPr="00F769E0" w:rsidRDefault="00E03711" w:rsidP="00E66776">
            <w:pPr>
              <w:pStyle w:val="GUIDE-NORMAL"/>
              <w:spacing w:before="0" w:after="0"/>
              <w:jc w:val="left"/>
              <w:rPr>
                <w:rFonts w:cs="Tahoma"/>
                <w:lang w:val="sl-SI" w:eastAsia="en-GB"/>
              </w:rPr>
            </w:pPr>
            <w:r w:rsidRPr="00F769E0">
              <w:rPr>
                <w:rFonts w:cs="Tahoma"/>
                <w:lang w:val="sl-SI" w:eastAsia="en-GB"/>
              </w:rPr>
              <w:t>Srbija</w:t>
            </w:r>
          </w:p>
        </w:tc>
        <w:tc>
          <w:tcPr>
            <w:tcW w:w="963" w:type="pct"/>
          </w:tcPr>
          <w:p w14:paraId="7D39A013"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80</w:t>
            </w:r>
          </w:p>
        </w:tc>
      </w:tr>
      <w:tr w:rsidR="00E03711" w:rsidRPr="008C6F8C" w14:paraId="7D39A017" w14:textId="77777777" w:rsidTr="00416BBB">
        <w:trPr>
          <w:trHeight w:val="20"/>
        </w:trPr>
        <w:tc>
          <w:tcPr>
            <w:tcW w:w="4037" w:type="pct"/>
          </w:tcPr>
          <w:p w14:paraId="7D39A015" w14:textId="77777777" w:rsidR="00E03711" w:rsidRPr="00F769E0" w:rsidRDefault="00E03711">
            <w:pPr>
              <w:pStyle w:val="GUIDE-NORMAL"/>
              <w:spacing w:before="0" w:after="0"/>
              <w:jc w:val="left"/>
              <w:rPr>
                <w:rFonts w:cs="Tahoma"/>
                <w:lang w:val="sl-SI" w:eastAsia="en-GB"/>
              </w:rPr>
            </w:pPr>
            <w:r>
              <w:rPr>
                <w:rFonts w:cs="Tahoma"/>
                <w:lang w:val="sl-SI" w:eastAsia="en-GB"/>
              </w:rPr>
              <w:t>R</w:t>
            </w:r>
            <w:r w:rsidRPr="00F769E0">
              <w:rPr>
                <w:rFonts w:cs="Tahoma"/>
                <w:lang w:val="sl-SI" w:eastAsia="en-GB"/>
              </w:rPr>
              <w:t xml:space="preserve">epublika </w:t>
            </w:r>
            <w:r>
              <w:rPr>
                <w:rFonts w:cs="Tahoma"/>
                <w:lang w:val="sl-SI" w:eastAsia="en-GB"/>
              </w:rPr>
              <w:t xml:space="preserve">Severna </w:t>
            </w:r>
            <w:r w:rsidRPr="00F769E0">
              <w:rPr>
                <w:rFonts w:cs="Tahoma"/>
                <w:lang w:val="sl-SI" w:eastAsia="en-GB"/>
              </w:rPr>
              <w:t>Makedonija</w:t>
            </w:r>
          </w:p>
        </w:tc>
        <w:tc>
          <w:tcPr>
            <w:tcW w:w="963" w:type="pct"/>
          </w:tcPr>
          <w:p w14:paraId="7D39A016"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80</w:t>
            </w:r>
          </w:p>
        </w:tc>
      </w:tr>
      <w:tr w:rsidR="00E03711" w:rsidRPr="008C6F8C" w14:paraId="7D39A01A" w14:textId="77777777" w:rsidTr="00416BBB">
        <w:trPr>
          <w:trHeight w:val="20"/>
        </w:trPr>
        <w:tc>
          <w:tcPr>
            <w:tcW w:w="4037" w:type="pct"/>
          </w:tcPr>
          <w:p w14:paraId="7D39A018" w14:textId="77777777" w:rsidR="00E03711" w:rsidRPr="00F769E0" w:rsidRDefault="00E03711" w:rsidP="00E66776">
            <w:pPr>
              <w:pStyle w:val="GUIDE-NORMAL"/>
              <w:spacing w:before="0" w:after="0"/>
              <w:jc w:val="left"/>
              <w:rPr>
                <w:rFonts w:cs="Tahoma"/>
                <w:lang w:val="sl-SI" w:eastAsia="en-GB"/>
              </w:rPr>
            </w:pPr>
            <w:r w:rsidRPr="00F769E0">
              <w:rPr>
                <w:rFonts w:cs="Tahoma"/>
                <w:lang w:val="sl-SI" w:eastAsia="en-GB"/>
              </w:rPr>
              <w:t>Islandija</w:t>
            </w:r>
          </w:p>
        </w:tc>
        <w:tc>
          <w:tcPr>
            <w:tcW w:w="963" w:type="pct"/>
          </w:tcPr>
          <w:p w14:paraId="7D39A019"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159</w:t>
            </w:r>
          </w:p>
        </w:tc>
      </w:tr>
      <w:tr w:rsidR="00E03711" w:rsidRPr="008C6F8C" w14:paraId="7D39A01D"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1B" w14:textId="77777777" w:rsidR="00E03711" w:rsidRPr="00F769E0" w:rsidRDefault="00E03711" w:rsidP="00E66776">
            <w:pPr>
              <w:pStyle w:val="GUIDE-NORMAL"/>
              <w:spacing w:before="0" w:after="0"/>
              <w:jc w:val="left"/>
              <w:rPr>
                <w:rFonts w:cs="Tahoma"/>
                <w:lang w:val="sl-SI" w:eastAsia="en-GB"/>
              </w:rPr>
            </w:pPr>
            <w:r w:rsidRPr="00F769E0">
              <w:rPr>
                <w:rFonts w:cs="Tahoma"/>
                <w:lang w:val="sl-SI" w:eastAsia="en-GB"/>
              </w:rPr>
              <w:t>Lihtenštajn</w:t>
            </w:r>
          </w:p>
        </w:tc>
        <w:tc>
          <w:tcPr>
            <w:tcW w:w="963" w:type="pct"/>
            <w:tcBorders>
              <w:top w:val="single" w:sz="4" w:space="0" w:color="auto"/>
              <w:left w:val="single" w:sz="4" w:space="0" w:color="auto"/>
              <w:bottom w:val="single" w:sz="4" w:space="0" w:color="auto"/>
              <w:right w:val="single" w:sz="4" w:space="0" w:color="auto"/>
            </w:tcBorders>
          </w:tcPr>
          <w:p w14:paraId="7D39A01C"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80</w:t>
            </w:r>
          </w:p>
        </w:tc>
      </w:tr>
      <w:tr w:rsidR="00E03711" w:rsidRPr="008C6F8C" w14:paraId="7D39A020" w14:textId="77777777" w:rsidTr="00416BBB">
        <w:trPr>
          <w:trHeight w:val="20"/>
        </w:trPr>
        <w:tc>
          <w:tcPr>
            <w:tcW w:w="4037" w:type="pct"/>
          </w:tcPr>
          <w:p w14:paraId="7D39A01E" w14:textId="77777777" w:rsidR="00E03711" w:rsidRPr="00F769E0" w:rsidRDefault="00E03711" w:rsidP="00E66776">
            <w:pPr>
              <w:pStyle w:val="GUIDE-NORMAL"/>
              <w:spacing w:before="0" w:after="0"/>
              <w:jc w:val="left"/>
              <w:rPr>
                <w:rFonts w:cs="Tahoma"/>
                <w:lang w:val="sl-SI" w:eastAsia="en-GB"/>
              </w:rPr>
            </w:pPr>
            <w:r w:rsidRPr="00F769E0">
              <w:rPr>
                <w:rFonts w:cs="Tahoma"/>
                <w:lang w:val="sl-SI" w:eastAsia="en-GB"/>
              </w:rPr>
              <w:t>Norveška</w:t>
            </w:r>
          </w:p>
        </w:tc>
        <w:tc>
          <w:tcPr>
            <w:tcW w:w="963" w:type="pct"/>
          </w:tcPr>
          <w:p w14:paraId="7D39A01F"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200</w:t>
            </w:r>
          </w:p>
        </w:tc>
      </w:tr>
      <w:tr w:rsidR="00E03711" w:rsidRPr="008C6F8C" w14:paraId="7D39A023" w14:textId="77777777" w:rsidTr="00416BBB">
        <w:trPr>
          <w:trHeight w:val="226"/>
        </w:trPr>
        <w:tc>
          <w:tcPr>
            <w:tcW w:w="4037" w:type="pct"/>
          </w:tcPr>
          <w:p w14:paraId="7D39A021" w14:textId="77777777" w:rsidR="00E03711" w:rsidRPr="00F769E0" w:rsidRDefault="00E03711" w:rsidP="00E66776">
            <w:pPr>
              <w:pStyle w:val="GUIDE-NORMAL"/>
              <w:spacing w:before="0" w:after="0"/>
              <w:jc w:val="left"/>
              <w:rPr>
                <w:rFonts w:cs="Tahoma"/>
                <w:lang w:val="sl-SI" w:eastAsia="en-GB"/>
              </w:rPr>
            </w:pPr>
            <w:r w:rsidRPr="00F769E0">
              <w:rPr>
                <w:rFonts w:cs="Tahoma"/>
                <w:lang w:val="sl-SI" w:eastAsia="en-GB"/>
              </w:rPr>
              <w:t>Turčija</w:t>
            </w:r>
          </w:p>
        </w:tc>
        <w:tc>
          <w:tcPr>
            <w:tcW w:w="963" w:type="pct"/>
          </w:tcPr>
          <w:p w14:paraId="7D39A022" w14:textId="77777777" w:rsidR="00E03711" w:rsidRPr="00F769E0" w:rsidRDefault="00E03711" w:rsidP="00E66776">
            <w:pPr>
              <w:pStyle w:val="GUIDE-NORMAL"/>
              <w:spacing w:before="0" w:after="0"/>
              <w:jc w:val="center"/>
              <w:rPr>
                <w:rFonts w:cs="Tahoma"/>
                <w:lang w:val="sl-SI" w:eastAsia="en-GB"/>
              </w:rPr>
            </w:pPr>
            <w:r w:rsidRPr="00F769E0">
              <w:rPr>
                <w:rFonts w:cs="Tahoma"/>
                <w:lang w:val="sl-SI" w:eastAsia="en-GB"/>
              </w:rPr>
              <w:t>87</w:t>
            </w:r>
          </w:p>
        </w:tc>
      </w:tr>
    </w:tbl>
    <w:p w14:paraId="7D39A024" w14:textId="77777777" w:rsidR="00E03711" w:rsidRDefault="00E0371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885"/>
      </w:tblGrid>
      <w:tr w:rsidR="00E03711" w:rsidRPr="00F769E0" w14:paraId="7D39A026" w14:textId="77777777" w:rsidTr="00416BBB">
        <w:trPr>
          <w:trHeight w:val="20"/>
        </w:trPr>
        <w:tc>
          <w:tcPr>
            <w:tcW w:w="5000" w:type="pct"/>
            <w:gridSpan w:val="2"/>
            <w:shd w:val="clear" w:color="auto" w:fill="auto"/>
          </w:tcPr>
          <w:p w14:paraId="7D39A025" w14:textId="77777777" w:rsidR="00E03711" w:rsidRPr="00F769E0" w:rsidRDefault="00E03711" w:rsidP="001923DD">
            <w:pPr>
              <w:pStyle w:val="GUIDE-NORMAL"/>
              <w:spacing w:before="0" w:after="0"/>
              <w:jc w:val="center"/>
              <w:rPr>
                <w:rFonts w:cs="Tahoma"/>
                <w:b/>
                <w:lang w:val="sl-SI" w:eastAsia="en-GB"/>
              </w:rPr>
            </w:pPr>
            <w:bookmarkStart w:id="346" w:name="_Toc527401207"/>
            <w:r w:rsidRPr="00F769E0">
              <w:rPr>
                <w:rFonts w:cs="Tahoma"/>
                <w:b/>
                <w:bCs/>
                <w:lang w:val="sl-SI" w:eastAsia="en-GB"/>
              </w:rPr>
              <w:t>Partnerske države</w:t>
            </w:r>
          </w:p>
        </w:tc>
      </w:tr>
      <w:tr w:rsidR="00E03711" w:rsidRPr="00F769E0" w14:paraId="7D39A029" w14:textId="77777777" w:rsidTr="00416BBB">
        <w:trPr>
          <w:trHeight w:val="20"/>
        </w:trPr>
        <w:tc>
          <w:tcPr>
            <w:tcW w:w="4037" w:type="pct"/>
          </w:tcPr>
          <w:p w14:paraId="7D39A027"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Antigva in Barbuda</w:t>
            </w:r>
          </w:p>
        </w:tc>
        <w:tc>
          <w:tcPr>
            <w:tcW w:w="963" w:type="pct"/>
          </w:tcPr>
          <w:p w14:paraId="7D39A028"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92</w:t>
            </w:r>
          </w:p>
        </w:tc>
      </w:tr>
      <w:tr w:rsidR="00E03711" w:rsidRPr="00F769E0" w14:paraId="7D39A02C" w14:textId="77777777" w:rsidTr="00416BBB">
        <w:trPr>
          <w:trHeight w:val="20"/>
        </w:trPr>
        <w:tc>
          <w:tcPr>
            <w:tcW w:w="4037" w:type="pct"/>
          </w:tcPr>
          <w:p w14:paraId="7D39A02A"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Avstralija</w:t>
            </w:r>
          </w:p>
        </w:tc>
        <w:tc>
          <w:tcPr>
            <w:tcW w:w="963" w:type="pct"/>
          </w:tcPr>
          <w:p w14:paraId="7D39A02B"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200</w:t>
            </w:r>
          </w:p>
        </w:tc>
      </w:tr>
      <w:tr w:rsidR="00E03711" w:rsidRPr="00F769E0" w14:paraId="7D39A02F"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2D"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Bahrajn</w:t>
            </w:r>
          </w:p>
        </w:tc>
        <w:tc>
          <w:tcPr>
            <w:tcW w:w="963" w:type="pct"/>
            <w:tcBorders>
              <w:top w:val="single" w:sz="4" w:space="0" w:color="auto"/>
              <w:left w:val="single" w:sz="4" w:space="0" w:color="auto"/>
              <w:bottom w:val="single" w:sz="4" w:space="0" w:color="auto"/>
              <w:right w:val="single" w:sz="4" w:space="0" w:color="auto"/>
            </w:tcBorders>
          </w:tcPr>
          <w:p w14:paraId="7D39A02E"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110</w:t>
            </w:r>
          </w:p>
        </w:tc>
      </w:tr>
      <w:tr w:rsidR="00E03711" w:rsidRPr="00F769E0" w14:paraId="7D39A032"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30"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Barbados</w:t>
            </w:r>
          </w:p>
        </w:tc>
        <w:tc>
          <w:tcPr>
            <w:tcW w:w="963" w:type="pct"/>
            <w:tcBorders>
              <w:top w:val="single" w:sz="4" w:space="0" w:color="auto"/>
              <w:left w:val="single" w:sz="4" w:space="0" w:color="auto"/>
              <w:bottom w:val="single" w:sz="4" w:space="0" w:color="auto"/>
              <w:right w:val="single" w:sz="4" w:space="0" w:color="auto"/>
            </w:tcBorders>
          </w:tcPr>
          <w:p w14:paraId="7D39A031"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94</w:t>
            </w:r>
          </w:p>
        </w:tc>
      </w:tr>
      <w:tr w:rsidR="00E03711" w:rsidRPr="00F769E0" w14:paraId="7D39A035"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33"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Brunej</w:t>
            </w:r>
          </w:p>
        </w:tc>
        <w:tc>
          <w:tcPr>
            <w:tcW w:w="963" w:type="pct"/>
            <w:tcBorders>
              <w:top w:val="single" w:sz="4" w:space="0" w:color="auto"/>
              <w:left w:val="single" w:sz="4" w:space="0" w:color="auto"/>
              <w:bottom w:val="single" w:sz="4" w:space="0" w:color="auto"/>
              <w:right w:val="single" w:sz="4" w:space="0" w:color="auto"/>
            </w:tcBorders>
          </w:tcPr>
          <w:p w14:paraId="7D39A034"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200</w:t>
            </w:r>
          </w:p>
        </w:tc>
      </w:tr>
      <w:tr w:rsidR="00E03711" w:rsidRPr="00F769E0" w14:paraId="7D39A038"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36"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Kanada</w:t>
            </w:r>
          </w:p>
        </w:tc>
        <w:tc>
          <w:tcPr>
            <w:tcW w:w="963" w:type="pct"/>
            <w:tcBorders>
              <w:top w:val="single" w:sz="4" w:space="0" w:color="auto"/>
              <w:left w:val="single" w:sz="4" w:space="0" w:color="auto"/>
              <w:bottom w:val="single" w:sz="4" w:space="0" w:color="auto"/>
              <w:right w:val="single" w:sz="4" w:space="0" w:color="auto"/>
            </w:tcBorders>
          </w:tcPr>
          <w:p w14:paraId="7D39A037"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200</w:t>
            </w:r>
          </w:p>
        </w:tc>
      </w:tr>
      <w:tr w:rsidR="00E03711" w:rsidRPr="00F769E0" w14:paraId="7D39A03B"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39"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Čile</w:t>
            </w:r>
          </w:p>
        </w:tc>
        <w:tc>
          <w:tcPr>
            <w:tcW w:w="963" w:type="pct"/>
            <w:tcBorders>
              <w:top w:val="single" w:sz="4" w:space="0" w:color="auto"/>
              <w:left w:val="single" w:sz="4" w:space="0" w:color="auto"/>
              <w:bottom w:val="single" w:sz="4" w:space="0" w:color="auto"/>
              <w:right w:val="single" w:sz="4" w:space="0" w:color="auto"/>
            </w:tcBorders>
          </w:tcPr>
          <w:p w14:paraId="7D39A03A"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83</w:t>
            </w:r>
          </w:p>
        </w:tc>
      </w:tr>
      <w:tr w:rsidR="00E03711" w:rsidRPr="00F769E0" w14:paraId="7D39A03E"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3C"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Ekvatorialna Gvineja</w:t>
            </w:r>
          </w:p>
        </w:tc>
        <w:tc>
          <w:tcPr>
            <w:tcW w:w="963" w:type="pct"/>
            <w:tcBorders>
              <w:top w:val="single" w:sz="4" w:space="0" w:color="auto"/>
              <w:left w:val="single" w:sz="4" w:space="0" w:color="auto"/>
              <w:bottom w:val="single" w:sz="4" w:space="0" w:color="auto"/>
              <w:right w:val="single" w:sz="4" w:space="0" w:color="auto"/>
            </w:tcBorders>
          </w:tcPr>
          <w:p w14:paraId="7D39A03D"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131</w:t>
            </w:r>
          </w:p>
        </w:tc>
      </w:tr>
      <w:tr w:rsidR="00E03711" w:rsidRPr="00F769E0" w14:paraId="7D39A041"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3F"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Hongkong</w:t>
            </w:r>
          </w:p>
        </w:tc>
        <w:tc>
          <w:tcPr>
            <w:tcW w:w="963" w:type="pct"/>
            <w:tcBorders>
              <w:top w:val="single" w:sz="4" w:space="0" w:color="auto"/>
              <w:left w:val="single" w:sz="4" w:space="0" w:color="auto"/>
              <w:bottom w:val="single" w:sz="4" w:space="0" w:color="auto"/>
              <w:right w:val="single" w:sz="4" w:space="0" w:color="auto"/>
            </w:tcBorders>
          </w:tcPr>
          <w:p w14:paraId="7D39A040"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200</w:t>
            </w:r>
          </w:p>
        </w:tc>
      </w:tr>
      <w:tr w:rsidR="00E03711" w:rsidRPr="00F769E0" w14:paraId="7D39A044"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42"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Izrael</w:t>
            </w:r>
          </w:p>
        </w:tc>
        <w:tc>
          <w:tcPr>
            <w:tcW w:w="963" w:type="pct"/>
            <w:tcBorders>
              <w:top w:val="single" w:sz="4" w:space="0" w:color="auto"/>
              <w:left w:val="single" w:sz="4" w:space="0" w:color="auto"/>
              <w:bottom w:val="single" w:sz="4" w:space="0" w:color="auto"/>
              <w:right w:val="single" w:sz="4" w:space="0" w:color="auto"/>
            </w:tcBorders>
          </w:tcPr>
          <w:p w14:paraId="7D39A043"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144</w:t>
            </w:r>
          </w:p>
        </w:tc>
      </w:tr>
      <w:tr w:rsidR="00E03711" w:rsidRPr="00F769E0" w14:paraId="7D39A047" w14:textId="77777777" w:rsidTr="00416BBB">
        <w:trPr>
          <w:trHeight w:val="20"/>
        </w:trPr>
        <w:tc>
          <w:tcPr>
            <w:tcW w:w="4037" w:type="pct"/>
          </w:tcPr>
          <w:p w14:paraId="7D39A045"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Japonska</w:t>
            </w:r>
          </w:p>
        </w:tc>
        <w:tc>
          <w:tcPr>
            <w:tcW w:w="963" w:type="pct"/>
          </w:tcPr>
          <w:p w14:paraId="7D39A046"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178</w:t>
            </w:r>
          </w:p>
        </w:tc>
      </w:tr>
      <w:tr w:rsidR="00E03711" w:rsidRPr="00F769E0" w14:paraId="7D39A04A"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48"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Republika Koreja</w:t>
            </w:r>
          </w:p>
        </w:tc>
        <w:tc>
          <w:tcPr>
            <w:tcW w:w="963" w:type="pct"/>
            <w:tcBorders>
              <w:top w:val="single" w:sz="4" w:space="0" w:color="auto"/>
              <w:left w:val="single" w:sz="4" w:space="0" w:color="auto"/>
              <w:bottom w:val="single" w:sz="4" w:space="0" w:color="auto"/>
              <w:right w:val="single" w:sz="4" w:space="0" w:color="auto"/>
            </w:tcBorders>
          </w:tcPr>
          <w:p w14:paraId="7D39A049"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153</w:t>
            </w:r>
          </w:p>
        </w:tc>
      </w:tr>
      <w:tr w:rsidR="00E03711" w:rsidRPr="00F769E0" w14:paraId="7D39A04D" w14:textId="77777777" w:rsidTr="00416BBB">
        <w:trPr>
          <w:trHeight w:val="20"/>
        </w:trPr>
        <w:tc>
          <w:tcPr>
            <w:tcW w:w="4037" w:type="pct"/>
          </w:tcPr>
          <w:p w14:paraId="7D39A04B"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Kuvajt</w:t>
            </w:r>
          </w:p>
        </w:tc>
        <w:tc>
          <w:tcPr>
            <w:tcW w:w="963" w:type="pct"/>
          </w:tcPr>
          <w:p w14:paraId="7D39A04C"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200</w:t>
            </w:r>
          </w:p>
        </w:tc>
      </w:tr>
      <w:tr w:rsidR="00E03711" w:rsidRPr="00F769E0" w14:paraId="7D39A050"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4E"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Libija</w:t>
            </w:r>
          </w:p>
        </w:tc>
        <w:tc>
          <w:tcPr>
            <w:tcW w:w="963" w:type="pct"/>
            <w:tcBorders>
              <w:top w:val="single" w:sz="4" w:space="0" w:color="auto"/>
              <w:left w:val="single" w:sz="4" w:space="0" w:color="auto"/>
              <w:bottom w:val="single" w:sz="4" w:space="0" w:color="auto"/>
              <w:right w:val="single" w:sz="4" w:space="0" w:color="auto"/>
            </w:tcBorders>
          </w:tcPr>
          <w:p w14:paraId="7D39A04F"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90</w:t>
            </w:r>
          </w:p>
        </w:tc>
      </w:tr>
      <w:tr w:rsidR="00E03711" w:rsidRPr="00F769E0" w14:paraId="7D39A053"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51"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Mehika</w:t>
            </w:r>
          </w:p>
        </w:tc>
        <w:tc>
          <w:tcPr>
            <w:tcW w:w="963" w:type="pct"/>
            <w:tcBorders>
              <w:top w:val="single" w:sz="4" w:space="0" w:color="auto"/>
              <w:left w:val="single" w:sz="4" w:space="0" w:color="auto"/>
              <w:bottom w:val="single" w:sz="4" w:space="0" w:color="auto"/>
              <w:right w:val="single" w:sz="4" w:space="0" w:color="auto"/>
            </w:tcBorders>
          </w:tcPr>
          <w:p w14:paraId="7D39A052"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86</w:t>
            </w:r>
          </w:p>
        </w:tc>
      </w:tr>
      <w:tr w:rsidR="00E03711" w:rsidRPr="00F769E0" w14:paraId="7D39A056"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54"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Nova Zelandija</w:t>
            </w:r>
          </w:p>
        </w:tc>
        <w:tc>
          <w:tcPr>
            <w:tcW w:w="963" w:type="pct"/>
            <w:tcBorders>
              <w:top w:val="single" w:sz="4" w:space="0" w:color="auto"/>
              <w:left w:val="single" w:sz="4" w:space="0" w:color="auto"/>
              <w:bottom w:val="single" w:sz="4" w:space="0" w:color="auto"/>
              <w:right w:val="single" w:sz="4" w:space="0" w:color="auto"/>
            </w:tcBorders>
          </w:tcPr>
          <w:p w14:paraId="7D39A055"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153</w:t>
            </w:r>
          </w:p>
        </w:tc>
      </w:tr>
      <w:tr w:rsidR="00E03711" w:rsidRPr="00F769E0" w14:paraId="7D39A059"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57"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Oman</w:t>
            </w:r>
          </w:p>
        </w:tc>
        <w:tc>
          <w:tcPr>
            <w:tcW w:w="963" w:type="pct"/>
            <w:tcBorders>
              <w:top w:val="single" w:sz="4" w:space="0" w:color="auto"/>
              <w:left w:val="single" w:sz="4" w:space="0" w:color="auto"/>
              <w:bottom w:val="single" w:sz="4" w:space="0" w:color="auto"/>
              <w:right w:val="single" w:sz="4" w:space="0" w:color="auto"/>
            </w:tcBorders>
          </w:tcPr>
          <w:p w14:paraId="7D39A058"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131</w:t>
            </w:r>
          </w:p>
        </w:tc>
      </w:tr>
      <w:tr w:rsidR="00E03711" w:rsidRPr="00F769E0" w14:paraId="7D39A05C"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5A"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Katar</w:t>
            </w:r>
          </w:p>
        </w:tc>
        <w:tc>
          <w:tcPr>
            <w:tcW w:w="963" w:type="pct"/>
            <w:tcBorders>
              <w:top w:val="single" w:sz="4" w:space="0" w:color="auto"/>
              <w:left w:val="single" w:sz="4" w:space="0" w:color="auto"/>
              <w:bottom w:val="single" w:sz="4" w:space="0" w:color="auto"/>
              <w:right w:val="single" w:sz="4" w:space="0" w:color="auto"/>
            </w:tcBorders>
          </w:tcPr>
          <w:p w14:paraId="7D39A05B"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200</w:t>
            </w:r>
          </w:p>
        </w:tc>
      </w:tr>
      <w:tr w:rsidR="00E03711" w:rsidRPr="00F769E0" w14:paraId="7D39A05F"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5D"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Saint Kitts in Nevis</w:t>
            </w:r>
          </w:p>
        </w:tc>
        <w:tc>
          <w:tcPr>
            <w:tcW w:w="963" w:type="pct"/>
            <w:tcBorders>
              <w:top w:val="single" w:sz="4" w:space="0" w:color="auto"/>
              <w:left w:val="single" w:sz="4" w:space="0" w:color="auto"/>
              <w:bottom w:val="single" w:sz="4" w:space="0" w:color="auto"/>
              <w:right w:val="single" w:sz="4" w:space="0" w:color="auto"/>
            </w:tcBorders>
          </w:tcPr>
          <w:p w14:paraId="7D39A05E"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84</w:t>
            </w:r>
          </w:p>
        </w:tc>
      </w:tr>
      <w:tr w:rsidR="00E03711" w:rsidRPr="00F769E0" w14:paraId="7D39A062"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60"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Saudova Arabija</w:t>
            </w:r>
          </w:p>
        </w:tc>
        <w:tc>
          <w:tcPr>
            <w:tcW w:w="963" w:type="pct"/>
            <w:tcBorders>
              <w:top w:val="single" w:sz="4" w:space="0" w:color="auto"/>
              <w:left w:val="single" w:sz="4" w:space="0" w:color="auto"/>
              <w:bottom w:val="single" w:sz="4" w:space="0" w:color="auto"/>
              <w:right w:val="single" w:sz="4" w:space="0" w:color="auto"/>
            </w:tcBorders>
          </w:tcPr>
          <w:p w14:paraId="7D39A061"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126</w:t>
            </w:r>
          </w:p>
        </w:tc>
      </w:tr>
      <w:tr w:rsidR="00E03711" w:rsidRPr="00F769E0" w14:paraId="7D39A065"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63"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Sejšeli</w:t>
            </w:r>
          </w:p>
        </w:tc>
        <w:tc>
          <w:tcPr>
            <w:tcW w:w="963" w:type="pct"/>
            <w:tcBorders>
              <w:top w:val="single" w:sz="4" w:space="0" w:color="auto"/>
              <w:left w:val="single" w:sz="4" w:space="0" w:color="auto"/>
              <w:bottom w:val="single" w:sz="4" w:space="0" w:color="auto"/>
              <w:right w:val="single" w:sz="4" w:space="0" w:color="auto"/>
            </w:tcBorders>
          </w:tcPr>
          <w:p w14:paraId="7D39A064"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126</w:t>
            </w:r>
          </w:p>
        </w:tc>
      </w:tr>
      <w:tr w:rsidR="00E03711" w:rsidRPr="00F769E0" w14:paraId="7D39A068"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66"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Singapur</w:t>
            </w:r>
          </w:p>
        </w:tc>
        <w:tc>
          <w:tcPr>
            <w:tcW w:w="963" w:type="pct"/>
            <w:tcBorders>
              <w:top w:val="single" w:sz="4" w:space="0" w:color="auto"/>
              <w:left w:val="single" w:sz="4" w:space="0" w:color="auto"/>
              <w:bottom w:val="single" w:sz="4" w:space="0" w:color="auto"/>
              <w:right w:val="single" w:sz="4" w:space="0" w:color="auto"/>
            </w:tcBorders>
          </w:tcPr>
          <w:p w14:paraId="7D39A067"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200</w:t>
            </w:r>
          </w:p>
        </w:tc>
      </w:tr>
      <w:tr w:rsidR="00E03711" w:rsidRPr="00F769E0" w14:paraId="7D39A06B"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69"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Švica</w:t>
            </w:r>
          </w:p>
        </w:tc>
        <w:tc>
          <w:tcPr>
            <w:tcW w:w="963" w:type="pct"/>
            <w:tcBorders>
              <w:top w:val="single" w:sz="4" w:space="0" w:color="auto"/>
              <w:left w:val="single" w:sz="4" w:space="0" w:color="auto"/>
              <w:bottom w:val="single" w:sz="4" w:space="0" w:color="auto"/>
              <w:right w:val="single" w:sz="4" w:space="0" w:color="auto"/>
            </w:tcBorders>
          </w:tcPr>
          <w:p w14:paraId="7D39A06A"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200</w:t>
            </w:r>
          </w:p>
        </w:tc>
      </w:tr>
      <w:tr w:rsidR="00E03711" w:rsidRPr="00F769E0" w14:paraId="7D39A06E"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6C" w14:textId="77777777" w:rsidR="00E03711" w:rsidRPr="00F769E0" w:rsidRDefault="00E03711" w:rsidP="001923DD">
            <w:pPr>
              <w:pStyle w:val="GUIDE-NORMAL"/>
              <w:spacing w:before="0" w:after="0"/>
              <w:jc w:val="left"/>
              <w:rPr>
                <w:rFonts w:cs="Tahoma"/>
                <w:lang w:val="sl-SI" w:eastAsia="en-GB"/>
              </w:rPr>
            </w:pPr>
            <w:r w:rsidRPr="00F769E0">
              <w:rPr>
                <w:rFonts w:cs="Tahoma"/>
                <w:lang w:val="sl-SI" w:eastAsia="en-GB"/>
              </w:rPr>
              <w:t xml:space="preserve">Ozemlje Rusije, kot je priznano </w:t>
            </w:r>
            <w:r w:rsidRPr="00F769E0">
              <w:rPr>
                <w:rFonts w:cs="Tahoma"/>
                <w:lang w:val="sl-SI" w:eastAsia="en-GB"/>
              </w:rPr>
              <w:br/>
              <w:t>z mednarodnim pravom</w:t>
            </w:r>
          </w:p>
        </w:tc>
        <w:tc>
          <w:tcPr>
            <w:tcW w:w="963" w:type="pct"/>
            <w:tcBorders>
              <w:top w:val="single" w:sz="4" w:space="0" w:color="auto"/>
              <w:left w:val="single" w:sz="4" w:space="0" w:color="auto"/>
              <w:bottom w:val="single" w:sz="4" w:space="0" w:color="auto"/>
              <w:right w:val="single" w:sz="4" w:space="0" w:color="auto"/>
            </w:tcBorders>
            <w:vAlign w:val="center"/>
          </w:tcPr>
          <w:p w14:paraId="7D39A06D"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109</w:t>
            </w:r>
          </w:p>
        </w:tc>
      </w:tr>
      <w:tr w:rsidR="00E03711" w:rsidRPr="00F769E0" w14:paraId="7D39A071"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6F"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Trinidad in Tobago</w:t>
            </w:r>
          </w:p>
        </w:tc>
        <w:tc>
          <w:tcPr>
            <w:tcW w:w="963" w:type="pct"/>
            <w:tcBorders>
              <w:top w:val="single" w:sz="4" w:space="0" w:color="auto"/>
              <w:left w:val="single" w:sz="4" w:space="0" w:color="auto"/>
              <w:bottom w:val="single" w:sz="4" w:space="0" w:color="auto"/>
              <w:right w:val="single" w:sz="4" w:space="0" w:color="auto"/>
            </w:tcBorders>
          </w:tcPr>
          <w:p w14:paraId="7D39A070"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115</w:t>
            </w:r>
          </w:p>
        </w:tc>
      </w:tr>
      <w:tr w:rsidR="00E03711" w:rsidRPr="00F769E0" w14:paraId="7D39A074" w14:textId="77777777" w:rsidTr="00416BBB">
        <w:trPr>
          <w:trHeight w:val="20"/>
        </w:trPr>
        <w:tc>
          <w:tcPr>
            <w:tcW w:w="4037" w:type="pct"/>
          </w:tcPr>
          <w:p w14:paraId="7D39A072"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Združeni arabski emirati</w:t>
            </w:r>
          </w:p>
        </w:tc>
        <w:tc>
          <w:tcPr>
            <w:tcW w:w="963" w:type="pct"/>
          </w:tcPr>
          <w:p w14:paraId="7D39A073"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200</w:t>
            </w:r>
          </w:p>
        </w:tc>
      </w:tr>
      <w:tr w:rsidR="00E03711" w:rsidRPr="00F769E0" w14:paraId="7D39A077"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75"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Združene države Amerike</w:t>
            </w:r>
          </w:p>
        </w:tc>
        <w:tc>
          <w:tcPr>
            <w:tcW w:w="963" w:type="pct"/>
            <w:tcBorders>
              <w:top w:val="single" w:sz="4" w:space="0" w:color="auto"/>
              <w:left w:val="single" w:sz="4" w:space="0" w:color="auto"/>
              <w:bottom w:val="single" w:sz="4" w:space="0" w:color="auto"/>
              <w:right w:val="single" w:sz="4" w:space="0" w:color="auto"/>
            </w:tcBorders>
          </w:tcPr>
          <w:p w14:paraId="7D39A076"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200</w:t>
            </w:r>
          </w:p>
        </w:tc>
      </w:tr>
      <w:tr w:rsidR="00E03711" w:rsidRPr="00F769E0" w14:paraId="7D39A07A" w14:textId="77777777" w:rsidTr="00416BBB">
        <w:trPr>
          <w:trHeight w:val="20"/>
        </w:trPr>
        <w:tc>
          <w:tcPr>
            <w:tcW w:w="4037" w:type="pct"/>
            <w:tcBorders>
              <w:top w:val="single" w:sz="4" w:space="0" w:color="auto"/>
              <w:left w:val="single" w:sz="4" w:space="0" w:color="auto"/>
              <w:bottom w:val="single" w:sz="4" w:space="0" w:color="auto"/>
              <w:right w:val="single" w:sz="4" w:space="0" w:color="auto"/>
            </w:tcBorders>
          </w:tcPr>
          <w:p w14:paraId="7D39A078" w14:textId="77777777" w:rsidR="00E03711" w:rsidRPr="00F769E0" w:rsidRDefault="00E03711" w:rsidP="001923DD">
            <w:pPr>
              <w:pStyle w:val="GUIDE-NORMAL"/>
              <w:spacing w:before="0" w:after="0"/>
              <w:rPr>
                <w:rFonts w:cs="Tahoma"/>
                <w:lang w:val="sl-SI" w:eastAsia="en-GB"/>
              </w:rPr>
            </w:pPr>
            <w:r w:rsidRPr="00F769E0">
              <w:rPr>
                <w:rFonts w:cs="Tahoma"/>
                <w:lang w:val="sl-SI" w:eastAsia="en-GB"/>
              </w:rPr>
              <w:t>Druge države</w:t>
            </w:r>
          </w:p>
        </w:tc>
        <w:tc>
          <w:tcPr>
            <w:tcW w:w="963" w:type="pct"/>
            <w:tcBorders>
              <w:top w:val="single" w:sz="4" w:space="0" w:color="auto"/>
              <w:left w:val="single" w:sz="4" w:space="0" w:color="auto"/>
              <w:bottom w:val="single" w:sz="4" w:space="0" w:color="auto"/>
              <w:right w:val="single" w:sz="4" w:space="0" w:color="auto"/>
            </w:tcBorders>
          </w:tcPr>
          <w:p w14:paraId="7D39A079" w14:textId="77777777" w:rsidR="00E03711" w:rsidRPr="00F769E0" w:rsidRDefault="00E03711" w:rsidP="001923DD">
            <w:pPr>
              <w:pStyle w:val="GUIDE-NORMAL"/>
              <w:spacing w:before="0" w:after="0"/>
              <w:jc w:val="center"/>
              <w:rPr>
                <w:rFonts w:cs="Tahoma"/>
                <w:lang w:val="sl-SI" w:eastAsia="en-GB"/>
              </w:rPr>
            </w:pPr>
            <w:r w:rsidRPr="00F769E0">
              <w:rPr>
                <w:rFonts w:cs="Tahoma"/>
                <w:lang w:val="sl-SI" w:eastAsia="en-GB"/>
              </w:rPr>
              <w:t>80</w:t>
            </w:r>
          </w:p>
        </w:tc>
      </w:tr>
    </w:tbl>
    <w:p w14:paraId="7D39A07B" w14:textId="77777777" w:rsidR="00E03711" w:rsidRDefault="00E03711" w:rsidP="00E66776">
      <w:pPr>
        <w:pStyle w:val="Guide-Heading4"/>
        <w:rPr>
          <w:lang w:val="sl-SI"/>
        </w:rPr>
        <w:sectPr w:rsidR="00E03711" w:rsidSect="00416BBB">
          <w:headerReference w:type="default" r:id="rId131"/>
          <w:endnotePr>
            <w:numFmt w:val="decimal"/>
          </w:endnotePr>
          <w:type w:val="continuous"/>
          <w:pgSz w:w="16840" w:h="11910" w:orient="landscape" w:code="9"/>
          <w:pgMar w:top="1418" w:right="1134" w:bottom="1418" w:left="1134" w:header="284" w:footer="567" w:gutter="0"/>
          <w:cols w:num="3" w:space="720"/>
          <w:docGrid w:linePitch="326"/>
        </w:sectPr>
      </w:pPr>
    </w:p>
    <w:p w14:paraId="7D39A07C" w14:textId="77777777" w:rsidR="00E03711" w:rsidRPr="001048FE" w:rsidRDefault="00E03711" w:rsidP="00E66776">
      <w:pPr>
        <w:pStyle w:val="Guide-Heading4"/>
        <w:rPr>
          <w:lang w:val="sl-SI"/>
        </w:rPr>
      </w:pPr>
      <w:r w:rsidRPr="001048FE">
        <w:rPr>
          <w:lang w:val="sl-SI"/>
        </w:rPr>
        <w:t>D.2 –</w:t>
      </w:r>
      <w:bookmarkStart w:id="347" w:name="D.3_-_Frais_de_subsistance:_intervenants"/>
      <w:bookmarkEnd w:id="347"/>
      <w:r w:rsidRPr="001048FE">
        <w:rPr>
          <w:lang w:val="sl-SI"/>
        </w:rPr>
        <w:t xml:space="preserve"> </w:t>
      </w:r>
      <w:r w:rsidRPr="00392A79">
        <w:rPr>
          <w:sz w:val="23"/>
          <w:szCs w:val="23"/>
          <w:lang w:val="sl-SI"/>
        </w:rPr>
        <w:t>N</w:t>
      </w:r>
      <w:r w:rsidRPr="00392A79">
        <w:rPr>
          <w:sz w:val="19"/>
          <w:szCs w:val="19"/>
          <w:lang w:val="sl-SI"/>
        </w:rPr>
        <w:t xml:space="preserve">ACIONALNI STROŠKI KONFERENCE </w:t>
      </w:r>
      <w:r w:rsidRPr="00392A79">
        <w:rPr>
          <w:sz w:val="23"/>
          <w:szCs w:val="23"/>
          <w:lang w:val="sl-SI"/>
        </w:rPr>
        <w:t>(</w:t>
      </w:r>
      <w:r w:rsidRPr="00392A79">
        <w:rPr>
          <w:sz w:val="19"/>
          <w:szCs w:val="19"/>
          <w:lang w:val="sl-SI"/>
        </w:rPr>
        <w:t xml:space="preserve">V </w:t>
      </w:r>
      <w:r w:rsidRPr="00392A79">
        <w:rPr>
          <w:sz w:val="23"/>
          <w:szCs w:val="23"/>
          <w:lang w:val="sl-SI"/>
        </w:rPr>
        <w:t xml:space="preserve">EUR </w:t>
      </w:r>
      <w:r w:rsidRPr="00392A79">
        <w:rPr>
          <w:sz w:val="19"/>
          <w:szCs w:val="19"/>
          <w:lang w:val="sl-SI"/>
        </w:rPr>
        <w:t>NA DAN</w:t>
      </w:r>
      <w:r w:rsidRPr="00392A79">
        <w:rPr>
          <w:sz w:val="23"/>
          <w:szCs w:val="23"/>
          <w:lang w:val="sl-SI"/>
        </w:rPr>
        <w:t>)</w:t>
      </w:r>
      <w:bookmarkEnd w:id="346"/>
    </w:p>
    <w:p w14:paraId="7D39A07D" w14:textId="77777777" w:rsidR="00E03711" w:rsidRDefault="00E03711" w:rsidP="002B4CAF">
      <w:pPr>
        <w:pStyle w:val="Guide-Table"/>
        <w:rPr>
          <w:rFonts w:cs="Tahoma"/>
          <w:b/>
          <w:lang w:val="sl-SI" w:eastAsia="en-GB"/>
        </w:rPr>
        <w:sectPr w:rsidR="00E03711" w:rsidSect="00416BBB">
          <w:endnotePr>
            <w:numFmt w:val="decimal"/>
          </w:endnotePr>
          <w:type w:val="continuous"/>
          <w:pgSz w:w="16840" w:h="11910" w:orient="landscape" w:code="9"/>
          <w:pgMar w:top="1418" w:right="1134" w:bottom="1418" w:left="1134" w:header="284" w:footer="567" w:gutter="0"/>
          <w:cols w:space="720"/>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8"/>
        <w:gridCol w:w="1335"/>
      </w:tblGrid>
      <w:tr w:rsidR="00E03711" w:rsidRPr="008C6F8C" w14:paraId="7D39A07F" w14:textId="77777777" w:rsidTr="00416BBB">
        <w:tc>
          <w:tcPr>
            <w:tcW w:w="5000" w:type="pct"/>
            <w:gridSpan w:val="2"/>
            <w:shd w:val="clear" w:color="auto" w:fill="auto"/>
            <w:vAlign w:val="center"/>
          </w:tcPr>
          <w:p w14:paraId="7D39A07E" w14:textId="77777777" w:rsidR="00E03711" w:rsidRPr="00F769E0" w:rsidRDefault="00E03711" w:rsidP="002B4CAF">
            <w:pPr>
              <w:pStyle w:val="Guide-Table"/>
              <w:rPr>
                <w:rFonts w:cs="Tahoma"/>
                <w:b/>
                <w:lang w:val="sl-SI" w:eastAsia="en-GB"/>
              </w:rPr>
            </w:pPr>
            <w:r w:rsidRPr="00F769E0">
              <w:rPr>
                <w:rFonts w:cs="Tahoma"/>
                <w:b/>
                <w:lang w:val="sl-SI" w:eastAsia="en-GB"/>
              </w:rPr>
              <w:t>Države Programa</w:t>
            </w:r>
          </w:p>
        </w:tc>
      </w:tr>
      <w:tr w:rsidR="00E03711" w:rsidRPr="008C6F8C" w14:paraId="7D39A082" w14:textId="77777777" w:rsidTr="00416BBB">
        <w:tc>
          <w:tcPr>
            <w:tcW w:w="3547" w:type="pct"/>
            <w:vAlign w:val="center"/>
          </w:tcPr>
          <w:p w14:paraId="7D39A080" w14:textId="77777777" w:rsidR="00E03711" w:rsidRPr="00F769E0" w:rsidRDefault="00E03711" w:rsidP="00DE01AB">
            <w:pPr>
              <w:pStyle w:val="Guide-Table"/>
              <w:jc w:val="left"/>
              <w:rPr>
                <w:rFonts w:cs="Tahoma"/>
                <w:lang w:val="sl-SI" w:eastAsia="en-GB"/>
              </w:rPr>
            </w:pPr>
            <w:r w:rsidRPr="00F769E0">
              <w:rPr>
                <w:rFonts w:cs="Tahoma"/>
                <w:lang w:val="sl-SI" w:eastAsia="en-GB"/>
              </w:rPr>
              <w:t>Belgija</w:t>
            </w:r>
          </w:p>
        </w:tc>
        <w:tc>
          <w:tcPr>
            <w:tcW w:w="1453" w:type="pct"/>
          </w:tcPr>
          <w:p w14:paraId="7D39A081" w14:textId="77777777" w:rsidR="00E03711" w:rsidRPr="00F769E0" w:rsidRDefault="00E03711" w:rsidP="00DE01AB">
            <w:pPr>
              <w:pStyle w:val="Guide-Table"/>
              <w:rPr>
                <w:rFonts w:cs="Tahoma"/>
                <w:lang w:val="sl-SI" w:eastAsia="en-GB"/>
              </w:rPr>
            </w:pPr>
            <w:r w:rsidRPr="00F769E0">
              <w:rPr>
                <w:rFonts w:cs="Tahoma"/>
                <w:lang w:val="sl-SI" w:eastAsia="en-GB"/>
              </w:rPr>
              <w:t>88</w:t>
            </w:r>
          </w:p>
        </w:tc>
      </w:tr>
      <w:tr w:rsidR="00E03711" w:rsidRPr="008C6F8C" w14:paraId="7D39A085" w14:textId="77777777" w:rsidTr="00416BBB">
        <w:trPr>
          <w:trHeight w:val="225"/>
        </w:trPr>
        <w:tc>
          <w:tcPr>
            <w:tcW w:w="3547" w:type="pct"/>
            <w:vAlign w:val="center"/>
          </w:tcPr>
          <w:p w14:paraId="7D39A083" w14:textId="77777777" w:rsidR="00E03711" w:rsidRPr="00F769E0" w:rsidRDefault="00E03711" w:rsidP="00DE01AB">
            <w:pPr>
              <w:pStyle w:val="Guide-Table"/>
              <w:jc w:val="left"/>
              <w:rPr>
                <w:rFonts w:cs="Tahoma"/>
                <w:lang w:val="sl-SI" w:eastAsia="en-GB"/>
              </w:rPr>
            </w:pPr>
            <w:r w:rsidRPr="00F769E0">
              <w:rPr>
                <w:rFonts w:cs="Tahoma"/>
                <w:lang w:val="sl-SI" w:eastAsia="en-GB"/>
              </w:rPr>
              <w:t>Bolgarija</w:t>
            </w:r>
          </w:p>
        </w:tc>
        <w:tc>
          <w:tcPr>
            <w:tcW w:w="1453" w:type="pct"/>
          </w:tcPr>
          <w:p w14:paraId="7D39A084" w14:textId="77777777" w:rsidR="00E03711" w:rsidRPr="00F769E0" w:rsidRDefault="00E03711" w:rsidP="00DE01AB">
            <w:pPr>
              <w:pStyle w:val="Guide-Table"/>
              <w:rPr>
                <w:rFonts w:cs="Tahoma"/>
                <w:lang w:val="sl-SI" w:eastAsia="en-GB"/>
              </w:rPr>
            </w:pPr>
            <w:r w:rsidRPr="00F769E0">
              <w:rPr>
                <w:rFonts w:cs="Tahoma"/>
                <w:lang w:val="sl-SI" w:eastAsia="en-GB"/>
              </w:rPr>
              <w:t>40</w:t>
            </w:r>
          </w:p>
        </w:tc>
      </w:tr>
      <w:tr w:rsidR="00E03711" w:rsidRPr="008C6F8C" w14:paraId="7D39A088" w14:textId="77777777" w:rsidTr="00416BBB">
        <w:tc>
          <w:tcPr>
            <w:tcW w:w="3547" w:type="pct"/>
            <w:tcBorders>
              <w:top w:val="single" w:sz="4" w:space="0" w:color="auto"/>
              <w:left w:val="single" w:sz="4" w:space="0" w:color="auto"/>
              <w:bottom w:val="single" w:sz="4" w:space="0" w:color="auto"/>
              <w:right w:val="single" w:sz="4" w:space="0" w:color="auto"/>
            </w:tcBorders>
          </w:tcPr>
          <w:p w14:paraId="7D39A086" w14:textId="77777777" w:rsidR="00E03711" w:rsidRPr="00F769E0" w:rsidRDefault="00E03711" w:rsidP="00DE01AB">
            <w:pPr>
              <w:pStyle w:val="Guide-Table"/>
              <w:jc w:val="left"/>
              <w:rPr>
                <w:rFonts w:cs="Tahoma"/>
                <w:lang w:val="sl-SI" w:eastAsia="en-GB"/>
              </w:rPr>
            </w:pPr>
            <w:r w:rsidRPr="00F769E0">
              <w:rPr>
                <w:rFonts w:cs="Tahoma"/>
                <w:lang w:val="sl-SI" w:eastAsia="en-GB"/>
              </w:rPr>
              <w:t>Češka</w:t>
            </w:r>
          </w:p>
        </w:tc>
        <w:tc>
          <w:tcPr>
            <w:tcW w:w="1453" w:type="pct"/>
            <w:tcBorders>
              <w:top w:val="single" w:sz="4" w:space="0" w:color="auto"/>
              <w:left w:val="single" w:sz="4" w:space="0" w:color="auto"/>
              <w:bottom w:val="single" w:sz="4" w:space="0" w:color="auto"/>
              <w:right w:val="single" w:sz="4" w:space="0" w:color="auto"/>
            </w:tcBorders>
          </w:tcPr>
          <w:p w14:paraId="7D39A087" w14:textId="77777777" w:rsidR="00E03711" w:rsidRPr="00F769E0" w:rsidRDefault="00E03711" w:rsidP="00DE01AB">
            <w:pPr>
              <w:pStyle w:val="Guide-Table"/>
              <w:rPr>
                <w:rFonts w:cs="Tahoma"/>
                <w:lang w:val="sl-SI" w:eastAsia="en-GB"/>
              </w:rPr>
            </w:pPr>
            <w:r w:rsidRPr="00F769E0">
              <w:rPr>
                <w:rFonts w:cs="Tahoma"/>
                <w:lang w:val="sl-SI" w:eastAsia="en-GB"/>
              </w:rPr>
              <w:t>55</w:t>
            </w:r>
          </w:p>
        </w:tc>
      </w:tr>
      <w:tr w:rsidR="00E03711" w:rsidRPr="008C6F8C" w14:paraId="7D39A08B" w14:textId="77777777" w:rsidTr="00416BBB">
        <w:tc>
          <w:tcPr>
            <w:tcW w:w="3547" w:type="pct"/>
            <w:tcBorders>
              <w:top w:val="single" w:sz="4" w:space="0" w:color="auto"/>
              <w:left w:val="single" w:sz="4" w:space="0" w:color="auto"/>
              <w:bottom w:val="single" w:sz="4" w:space="0" w:color="auto"/>
              <w:right w:val="single" w:sz="4" w:space="0" w:color="auto"/>
            </w:tcBorders>
          </w:tcPr>
          <w:p w14:paraId="7D39A089" w14:textId="77777777" w:rsidR="00E03711" w:rsidRPr="00F769E0" w:rsidRDefault="00E03711" w:rsidP="00DE01AB">
            <w:pPr>
              <w:pStyle w:val="Guide-Table"/>
              <w:jc w:val="left"/>
              <w:rPr>
                <w:rFonts w:cs="Tahoma"/>
                <w:lang w:val="sl-SI" w:eastAsia="en-GB"/>
              </w:rPr>
            </w:pPr>
            <w:r w:rsidRPr="00F769E0">
              <w:rPr>
                <w:rFonts w:cs="Tahoma"/>
                <w:lang w:val="sl-SI" w:eastAsia="en-GB"/>
              </w:rPr>
              <w:t>Danska</w:t>
            </w:r>
          </w:p>
        </w:tc>
        <w:tc>
          <w:tcPr>
            <w:tcW w:w="1453" w:type="pct"/>
            <w:tcBorders>
              <w:top w:val="single" w:sz="4" w:space="0" w:color="auto"/>
              <w:left w:val="single" w:sz="4" w:space="0" w:color="auto"/>
              <w:bottom w:val="single" w:sz="4" w:space="0" w:color="auto"/>
              <w:right w:val="single" w:sz="4" w:space="0" w:color="auto"/>
            </w:tcBorders>
          </w:tcPr>
          <w:p w14:paraId="7D39A08A" w14:textId="77777777" w:rsidR="00E03711" w:rsidRPr="00F769E0" w:rsidRDefault="00E03711" w:rsidP="00DE01AB">
            <w:pPr>
              <w:pStyle w:val="Guide-Table"/>
              <w:rPr>
                <w:rFonts w:cs="Tahoma"/>
                <w:lang w:val="sl-SI" w:eastAsia="en-GB"/>
              </w:rPr>
            </w:pPr>
            <w:r w:rsidRPr="00F769E0">
              <w:rPr>
                <w:rFonts w:cs="Tahoma"/>
                <w:lang w:val="sl-SI" w:eastAsia="en-GB"/>
              </w:rPr>
              <w:t>94</w:t>
            </w:r>
          </w:p>
        </w:tc>
      </w:tr>
      <w:tr w:rsidR="00E03711" w:rsidRPr="008C6F8C" w14:paraId="7D39A08E" w14:textId="77777777" w:rsidTr="00416BBB">
        <w:tc>
          <w:tcPr>
            <w:tcW w:w="3547" w:type="pct"/>
            <w:tcBorders>
              <w:top w:val="single" w:sz="4" w:space="0" w:color="auto"/>
              <w:left w:val="single" w:sz="4" w:space="0" w:color="auto"/>
              <w:bottom w:val="single" w:sz="4" w:space="0" w:color="auto"/>
              <w:right w:val="single" w:sz="4" w:space="0" w:color="auto"/>
            </w:tcBorders>
          </w:tcPr>
          <w:p w14:paraId="7D39A08C" w14:textId="77777777" w:rsidR="00E03711" w:rsidRPr="00F769E0" w:rsidRDefault="00E03711" w:rsidP="00DE01AB">
            <w:pPr>
              <w:pStyle w:val="Guide-Table"/>
              <w:jc w:val="left"/>
              <w:rPr>
                <w:rFonts w:cs="Tahoma"/>
                <w:lang w:val="sl-SI" w:eastAsia="en-GB"/>
              </w:rPr>
            </w:pPr>
            <w:r w:rsidRPr="00F769E0">
              <w:rPr>
                <w:rFonts w:cs="Tahoma"/>
                <w:lang w:val="sl-SI" w:eastAsia="en-GB"/>
              </w:rPr>
              <w:t>Nemčija</w:t>
            </w:r>
          </w:p>
        </w:tc>
        <w:tc>
          <w:tcPr>
            <w:tcW w:w="1453" w:type="pct"/>
            <w:tcBorders>
              <w:top w:val="single" w:sz="4" w:space="0" w:color="auto"/>
              <w:left w:val="single" w:sz="4" w:space="0" w:color="auto"/>
              <w:bottom w:val="single" w:sz="4" w:space="0" w:color="auto"/>
              <w:right w:val="single" w:sz="4" w:space="0" w:color="auto"/>
            </w:tcBorders>
          </w:tcPr>
          <w:p w14:paraId="7D39A08D" w14:textId="77777777" w:rsidR="00E03711" w:rsidRPr="00F769E0" w:rsidRDefault="00E03711" w:rsidP="00DE01AB">
            <w:pPr>
              <w:pStyle w:val="Guide-Table"/>
              <w:rPr>
                <w:rFonts w:cs="Tahoma"/>
                <w:lang w:val="sl-SI" w:eastAsia="en-GB"/>
              </w:rPr>
            </w:pPr>
            <w:r w:rsidRPr="00F769E0">
              <w:rPr>
                <w:rFonts w:cs="Tahoma"/>
                <w:lang w:val="sl-SI" w:eastAsia="en-GB"/>
              </w:rPr>
              <w:t>90</w:t>
            </w:r>
          </w:p>
        </w:tc>
      </w:tr>
      <w:tr w:rsidR="00E03711" w:rsidRPr="008C6F8C" w14:paraId="7D39A091" w14:textId="77777777" w:rsidTr="00416BBB">
        <w:tc>
          <w:tcPr>
            <w:tcW w:w="3547" w:type="pct"/>
            <w:tcBorders>
              <w:top w:val="single" w:sz="4" w:space="0" w:color="auto"/>
              <w:left w:val="single" w:sz="4" w:space="0" w:color="auto"/>
              <w:bottom w:val="single" w:sz="4" w:space="0" w:color="auto"/>
              <w:right w:val="single" w:sz="4" w:space="0" w:color="auto"/>
            </w:tcBorders>
          </w:tcPr>
          <w:p w14:paraId="7D39A08F" w14:textId="77777777" w:rsidR="00E03711" w:rsidRPr="00F769E0" w:rsidRDefault="00E03711" w:rsidP="00DE01AB">
            <w:pPr>
              <w:pStyle w:val="Guide-Table"/>
              <w:jc w:val="left"/>
              <w:rPr>
                <w:rFonts w:cs="Tahoma"/>
                <w:lang w:val="sl-SI" w:eastAsia="en-GB"/>
              </w:rPr>
            </w:pPr>
            <w:r w:rsidRPr="00F769E0">
              <w:rPr>
                <w:rFonts w:cs="Tahoma"/>
                <w:lang w:val="sl-SI" w:eastAsia="en-GB"/>
              </w:rPr>
              <w:t>Estonija</w:t>
            </w:r>
          </w:p>
        </w:tc>
        <w:tc>
          <w:tcPr>
            <w:tcW w:w="1453" w:type="pct"/>
            <w:tcBorders>
              <w:top w:val="single" w:sz="4" w:space="0" w:color="auto"/>
              <w:left w:val="single" w:sz="4" w:space="0" w:color="auto"/>
              <w:bottom w:val="single" w:sz="4" w:space="0" w:color="auto"/>
              <w:right w:val="single" w:sz="4" w:space="0" w:color="auto"/>
            </w:tcBorders>
          </w:tcPr>
          <w:p w14:paraId="7D39A090" w14:textId="77777777" w:rsidR="00E03711" w:rsidRPr="00F769E0" w:rsidRDefault="00E03711" w:rsidP="00DE01AB">
            <w:pPr>
              <w:pStyle w:val="Guide-Table"/>
              <w:rPr>
                <w:rFonts w:cs="Tahoma"/>
                <w:lang w:val="sl-SI" w:eastAsia="en-GB"/>
              </w:rPr>
            </w:pPr>
            <w:r w:rsidRPr="00F769E0">
              <w:rPr>
                <w:rFonts w:cs="Tahoma"/>
                <w:lang w:val="sl-SI" w:eastAsia="en-GB"/>
              </w:rPr>
              <w:t>47</w:t>
            </w:r>
          </w:p>
        </w:tc>
      </w:tr>
      <w:tr w:rsidR="00E03711" w:rsidRPr="008C6F8C" w14:paraId="7D39A094" w14:textId="77777777" w:rsidTr="00416BBB">
        <w:tc>
          <w:tcPr>
            <w:tcW w:w="3547" w:type="pct"/>
            <w:tcBorders>
              <w:top w:val="single" w:sz="4" w:space="0" w:color="auto"/>
              <w:left w:val="single" w:sz="4" w:space="0" w:color="auto"/>
              <w:bottom w:val="single" w:sz="4" w:space="0" w:color="auto"/>
              <w:right w:val="single" w:sz="4" w:space="0" w:color="auto"/>
            </w:tcBorders>
          </w:tcPr>
          <w:p w14:paraId="7D39A092" w14:textId="77777777" w:rsidR="00E03711" w:rsidRPr="00F769E0" w:rsidRDefault="00E03711" w:rsidP="00DE01AB">
            <w:pPr>
              <w:pStyle w:val="Guide-Table"/>
              <w:jc w:val="left"/>
              <w:rPr>
                <w:rFonts w:cs="Tahoma"/>
                <w:lang w:val="sl-SI" w:eastAsia="en-GB"/>
              </w:rPr>
            </w:pPr>
            <w:r w:rsidRPr="00F769E0">
              <w:rPr>
                <w:rFonts w:cs="Tahoma"/>
                <w:lang w:val="sl-SI" w:eastAsia="en-GB"/>
              </w:rPr>
              <w:t>Irska</w:t>
            </w:r>
          </w:p>
        </w:tc>
        <w:tc>
          <w:tcPr>
            <w:tcW w:w="1453" w:type="pct"/>
            <w:tcBorders>
              <w:top w:val="single" w:sz="4" w:space="0" w:color="auto"/>
              <w:left w:val="single" w:sz="4" w:space="0" w:color="auto"/>
              <w:bottom w:val="single" w:sz="4" w:space="0" w:color="auto"/>
              <w:right w:val="single" w:sz="4" w:space="0" w:color="auto"/>
            </w:tcBorders>
          </w:tcPr>
          <w:p w14:paraId="7D39A093" w14:textId="77777777" w:rsidR="00E03711" w:rsidRPr="00F769E0" w:rsidRDefault="00E03711" w:rsidP="00DE01AB">
            <w:pPr>
              <w:pStyle w:val="Guide-Table"/>
              <w:rPr>
                <w:rFonts w:cs="Tahoma"/>
                <w:lang w:val="sl-SI" w:eastAsia="en-GB"/>
              </w:rPr>
            </w:pPr>
            <w:r w:rsidRPr="00F769E0">
              <w:rPr>
                <w:rFonts w:cs="Tahoma"/>
                <w:lang w:val="sl-SI" w:eastAsia="en-GB"/>
              </w:rPr>
              <w:t>75</w:t>
            </w:r>
          </w:p>
        </w:tc>
      </w:tr>
      <w:tr w:rsidR="00E03711" w:rsidRPr="008C6F8C" w14:paraId="7D39A097" w14:textId="77777777" w:rsidTr="00416BBB">
        <w:tc>
          <w:tcPr>
            <w:tcW w:w="3547" w:type="pct"/>
            <w:tcBorders>
              <w:top w:val="single" w:sz="4" w:space="0" w:color="auto"/>
              <w:left w:val="single" w:sz="4" w:space="0" w:color="auto"/>
              <w:bottom w:val="single" w:sz="4" w:space="0" w:color="auto"/>
              <w:right w:val="single" w:sz="4" w:space="0" w:color="auto"/>
            </w:tcBorders>
          </w:tcPr>
          <w:p w14:paraId="7D39A095" w14:textId="77777777" w:rsidR="00E03711" w:rsidRPr="00F769E0" w:rsidRDefault="00E03711" w:rsidP="00DE01AB">
            <w:pPr>
              <w:pStyle w:val="Guide-Table"/>
              <w:jc w:val="left"/>
              <w:rPr>
                <w:rFonts w:cs="Tahoma"/>
                <w:lang w:val="sl-SI" w:eastAsia="en-GB"/>
              </w:rPr>
            </w:pPr>
            <w:r w:rsidRPr="00F769E0">
              <w:rPr>
                <w:rFonts w:cs="Tahoma"/>
                <w:lang w:val="sl-SI" w:eastAsia="en-GB"/>
              </w:rPr>
              <w:t>Grčija</w:t>
            </w:r>
          </w:p>
        </w:tc>
        <w:tc>
          <w:tcPr>
            <w:tcW w:w="1453" w:type="pct"/>
            <w:tcBorders>
              <w:top w:val="single" w:sz="4" w:space="0" w:color="auto"/>
              <w:left w:val="single" w:sz="4" w:space="0" w:color="auto"/>
              <w:bottom w:val="single" w:sz="4" w:space="0" w:color="auto"/>
              <w:right w:val="single" w:sz="4" w:space="0" w:color="auto"/>
            </w:tcBorders>
          </w:tcPr>
          <w:p w14:paraId="7D39A096" w14:textId="77777777" w:rsidR="00E03711" w:rsidRPr="00F769E0" w:rsidRDefault="00E03711" w:rsidP="00DE01AB">
            <w:pPr>
              <w:pStyle w:val="Guide-Table"/>
              <w:rPr>
                <w:rFonts w:cs="Tahoma"/>
                <w:lang w:val="sl-SI" w:eastAsia="en-GB"/>
              </w:rPr>
            </w:pPr>
            <w:r w:rsidRPr="00F769E0">
              <w:rPr>
                <w:rFonts w:cs="Tahoma"/>
                <w:lang w:val="sl-SI" w:eastAsia="en-GB"/>
              </w:rPr>
              <w:t>56</w:t>
            </w:r>
          </w:p>
        </w:tc>
      </w:tr>
      <w:tr w:rsidR="00E03711" w:rsidRPr="008C6F8C" w14:paraId="7D39A09A" w14:textId="77777777" w:rsidTr="00416BBB">
        <w:tc>
          <w:tcPr>
            <w:tcW w:w="3547" w:type="pct"/>
            <w:tcBorders>
              <w:top w:val="single" w:sz="4" w:space="0" w:color="auto"/>
              <w:left w:val="single" w:sz="4" w:space="0" w:color="auto"/>
              <w:bottom w:val="single" w:sz="4" w:space="0" w:color="auto"/>
              <w:right w:val="single" w:sz="4" w:space="0" w:color="auto"/>
            </w:tcBorders>
          </w:tcPr>
          <w:p w14:paraId="7D39A098" w14:textId="77777777" w:rsidR="00E03711" w:rsidRPr="00F769E0" w:rsidRDefault="00E03711" w:rsidP="00DE01AB">
            <w:pPr>
              <w:pStyle w:val="Guide-Table"/>
              <w:jc w:val="left"/>
              <w:rPr>
                <w:rFonts w:cs="Tahoma"/>
                <w:lang w:val="sl-SI" w:eastAsia="en-GB"/>
              </w:rPr>
            </w:pPr>
            <w:r w:rsidRPr="00F769E0">
              <w:rPr>
                <w:rFonts w:cs="Tahoma"/>
                <w:lang w:val="sl-SI" w:eastAsia="en-GB"/>
              </w:rPr>
              <w:t>Španija</w:t>
            </w:r>
          </w:p>
        </w:tc>
        <w:tc>
          <w:tcPr>
            <w:tcW w:w="1453" w:type="pct"/>
            <w:tcBorders>
              <w:top w:val="single" w:sz="4" w:space="0" w:color="auto"/>
              <w:left w:val="single" w:sz="4" w:space="0" w:color="auto"/>
              <w:bottom w:val="single" w:sz="4" w:space="0" w:color="auto"/>
              <w:right w:val="single" w:sz="4" w:space="0" w:color="auto"/>
            </w:tcBorders>
          </w:tcPr>
          <w:p w14:paraId="7D39A099" w14:textId="77777777" w:rsidR="00E03711" w:rsidRPr="00F769E0" w:rsidRDefault="00E03711" w:rsidP="00DE01AB">
            <w:pPr>
              <w:pStyle w:val="Guide-Table"/>
              <w:rPr>
                <w:rFonts w:cs="Tahoma"/>
                <w:lang w:val="sl-SI" w:eastAsia="en-GB"/>
              </w:rPr>
            </w:pPr>
            <w:r w:rsidRPr="00F769E0">
              <w:rPr>
                <w:rFonts w:cs="Tahoma"/>
                <w:lang w:val="sl-SI" w:eastAsia="en-GB"/>
              </w:rPr>
              <w:t>70</w:t>
            </w:r>
          </w:p>
        </w:tc>
      </w:tr>
      <w:tr w:rsidR="00E03711" w:rsidRPr="008C6F8C" w14:paraId="7D39A09D" w14:textId="77777777" w:rsidTr="00416BBB">
        <w:tc>
          <w:tcPr>
            <w:tcW w:w="3547" w:type="pct"/>
          </w:tcPr>
          <w:p w14:paraId="7D39A09B" w14:textId="77777777" w:rsidR="00E03711" w:rsidRPr="00F769E0" w:rsidRDefault="00E03711" w:rsidP="00DE01AB">
            <w:pPr>
              <w:pStyle w:val="Guide-Table"/>
              <w:jc w:val="left"/>
              <w:rPr>
                <w:rFonts w:cs="Tahoma"/>
                <w:lang w:val="sl-SI" w:eastAsia="en-GB"/>
              </w:rPr>
            </w:pPr>
            <w:r w:rsidRPr="00F769E0">
              <w:rPr>
                <w:rFonts w:cs="Tahoma"/>
                <w:lang w:val="sl-SI" w:eastAsia="en-GB"/>
              </w:rPr>
              <w:t>Francija</w:t>
            </w:r>
          </w:p>
        </w:tc>
        <w:tc>
          <w:tcPr>
            <w:tcW w:w="1453" w:type="pct"/>
          </w:tcPr>
          <w:p w14:paraId="7D39A09C" w14:textId="77777777" w:rsidR="00E03711" w:rsidRPr="00F769E0" w:rsidRDefault="00E03711" w:rsidP="00DE01AB">
            <w:pPr>
              <w:pStyle w:val="Guide-Table"/>
              <w:rPr>
                <w:rFonts w:cs="Tahoma"/>
                <w:lang w:val="sl-SI" w:eastAsia="en-GB"/>
              </w:rPr>
            </w:pPr>
            <w:r w:rsidRPr="00F769E0">
              <w:rPr>
                <w:rFonts w:cs="Tahoma"/>
                <w:lang w:val="sl-SI" w:eastAsia="en-GB"/>
              </w:rPr>
              <w:t>80</w:t>
            </w:r>
          </w:p>
        </w:tc>
      </w:tr>
      <w:tr w:rsidR="00E03711" w:rsidRPr="008C6F8C" w14:paraId="7D39A0A0" w14:textId="77777777" w:rsidTr="00416BBB">
        <w:tc>
          <w:tcPr>
            <w:tcW w:w="3547" w:type="pct"/>
            <w:tcBorders>
              <w:top w:val="single" w:sz="4" w:space="0" w:color="auto"/>
              <w:left w:val="single" w:sz="4" w:space="0" w:color="auto"/>
              <w:bottom w:val="single" w:sz="4" w:space="0" w:color="auto"/>
              <w:right w:val="single" w:sz="4" w:space="0" w:color="auto"/>
            </w:tcBorders>
          </w:tcPr>
          <w:p w14:paraId="7D39A09E" w14:textId="77777777" w:rsidR="00E03711" w:rsidRPr="00F769E0" w:rsidRDefault="00E03711" w:rsidP="00DE01AB">
            <w:pPr>
              <w:pStyle w:val="Guide-Table"/>
              <w:jc w:val="left"/>
              <w:rPr>
                <w:rFonts w:cs="Tahoma"/>
                <w:lang w:val="sl-SI" w:eastAsia="en-GB"/>
              </w:rPr>
            </w:pPr>
            <w:r w:rsidRPr="00F769E0">
              <w:rPr>
                <w:rFonts w:cs="Tahoma"/>
                <w:lang w:val="sl-SI" w:eastAsia="en-GB"/>
              </w:rPr>
              <w:t>Hrvaška</w:t>
            </w:r>
          </w:p>
        </w:tc>
        <w:tc>
          <w:tcPr>
            <w:tcW w:w="1453" w:type="pct"/>
            <w:tcBorders>
              <w:top w:val="single" w:sz="4" w:space="0" w:color="auto"/>
              <w:left w:val="single" w:sz="4" w:space="0" w:color="auto"/>
              <w:bottom w:val="single" w:sz="4" w:space="0" w:color="auto"/>
              <w:right w:val="single" w:sz="4" w:space="0" w:color="auto"/>
            </w:tcBorders>
          </w:tcPr>
          <w:p w14:paraId="7D39A09F" w14:textId="77777777" w:rsidR="00E03711" w:rsidRPr="00F769E0" w:rsidRDefault="00E03711" w:rsidP="00DE01AB">
            <w:pPr>
              <w:pStyle w:val="Guide-Table"/>
              <w:rPr>
                <w:rFonts w:cs="Tahoma"/>
                <w:lang w:val="sl-SI" w:eastAsia="en-GB"/>
              </w:rPr>
            </w:pPr>
            <w:r w:rsidRPr="00F769E0">
              <w:rPr>
                <w:rFonts w:cs="Tahoma"/>
                <w:lang w:val="sl-SI" w:eastAsia="en-GB"/>
              </w:rPr>
              <w:t>42</w:t>
            </w:r>
          </w:p>
        </w:tc>
      </w:tr>
      <w:tr w:rsidR="00E03711" w:rsidRPr="008C6F8C" w14:paraId="7D39A0A3" w14:textId="77777777" w:rsidTr="00416BBB">
        <w:tc>
          <w:tcPr>
            <w:tcW w:w="3547" w:type="pct"/>
          </w:tcPr>
          <w:p w14:paraId="7D39A0A1" w14:textId="77777777" w:rsidR="00E03711" w:rsidRPr="00F769E0" w:rsidRDefault="00E03711" w:rsidP="00DE01AB">
            <w:pPr>
              <w:pStyle w:val="Guide-Table"/>
              <w:jc w:val="left"/>
              <w:rPr>
                <w:rFonts w:cs="Tahoma"/>
                <w:lang w:val="sl-SI" w:eastAsia="en-GB"/>
              </w:rPr>
            </w:pPr>
            <w:r w:rsidRPr="00F769E0">
              <w:rPr>
                <w:rFonts w:cs="Tahoma"/>
                <w:lang w:val="sl-SI" w:eastAsia="en-GB"/>
              </w:rPr>
              <w:t>Italija</w:t>
            </w:r>
          </w:p>
        </w:tc>
        <w:tc>
          <w:tcPr>
            <w:tcW w:w="1453" w:type="pct"/>
          </w:tcPr>
          <w:p w14:paraId="7D39A0A2" w14:textId="77777777" w:rsidR="00E03711" w:rsidRPr="00F769E0" w:rsidRDefault="00E03711" w:rsidP="00DE01AB">
            <w:pPr>
              <w:pStyle w:val="Guide-Table"/>
              <w:rPr>
                <w:rFonts w:cs="Tahoma"/>
                <w:lang w:val="sl-SI" w:eastAsia="en-GB"/>
              </w:rPr>
            </w:pPr>
            <w:r w:rsidRPr="00F769E0">
              <w:rPr>
                <w:rFonts w:cs="Tahoma"/>
                <w:lang w:val="sl-SI" w:eastAsia="en-GB"/>
              </w:rPr>
              <w:t>73</w:t>
            </w:r>
          </w:p>
        </w:tc>
      </w:tr>
      <w:tr w:rsidR="00E03711" w:rsidRPr="008C6F8C" w14:paraId="7D39A0A6" w14:textId="77777777" w:rsidTr="00416BBB">
        <w:tc>
          <w:tcPr>
            <w:tcW w:w="3547" w:type="pct"/>
            <w:tcBorders>
              <w:top w:val="single" w:sz="4" w:space="0" w:color="auto"/>
              <w:left w:val="single" w:sz="4" w:space="0" w:color="auto"/>
              <w:bottom w:val="single" w:sz="4" w:space="0" w:color="auto"/>
              <w:right w:val="single" w:sz="4" w:space="0" w:color="auto"/>
            </w:tcBorders>
          </w:tcPr>
          <w:p w14:paraId="7D39A0A4" w14:textId="77777777" w:rsidR="00E03711" w:rsidRPr="00F769E0" w:rsidRDefault="00E03711" w:rsidP="00DE01AB">
            <w:pPr>
              <w:pStyle w:val="Guide-Table"/>
              <w:jc w:val="left"/>
              <w:rPr>
                <w:rFonts w:cs="Tahoma"/>
                <w:lang w:val="sl-SI" w:eastAsia="en-GB"/>
              </w:rPr>
            </w:pPr>
            <w:r w:rsidRPr="00F769E0">
              <w:rPr>
                <w:rFonts w:cs="Tahoma"/>
                <w:lang w:val="sl-SI" w:eastAsia="en-GB"/>
              </w:rPr>
              <w:t>Ciper</w:t>
            </w:r>
          </w:p>
        </w:tc>
        <w:tc>
          <w:tcPr>
            <w:tcW w:w="1453" w:type="pct"/>
            <w:tcBorders>
              <w:top w:val="single" w:sz="4" w:space="0" w:color="auto"/>
              <w:left w:val="single" w:sz="4" w:space="0" w:color="auto"/>
              <w:bottom w:val="single" w:sz="4" w:space="0" w:color="auto"/>
              <w:right w:val="single" w:sz="4" w:space="0" w:color="auto"/>
            </w:tcBorders>
          </w:tcPr>
          <w:p w14:paraId="7D39A0A5" w14:textId="77777777" w:rsidR="00E03711" w:rsidRPr="00F769E0" w:rsidRDefault="00E03711" w:rsidP="00DE01AB">
            <w:pPr>
              <w:pStyle w:val="Guide-Table"/>
              <w:rPr>
                <w:rFonts w:cs="Tahoma"/>
                <w:lang w:val="sl-SI" w:eastAsia="en-GB"/>
              </w:rPr>
            </w:pPr>
            <w:r w:rsidRPr="00F769E0">
              <w:rPr>
                <w:rFonts w:cs="Tahoma"/>
                <w:lang w:val="sl-SI" w:eastAsia="en-GB"/>
              </w:rPr>
              <w:t>66</w:t>
            </w:r>
          </w:p>
        </w:tc>
      </w:tr>
      <w:tr w:rsidR="00E03711" w:rsidRPr="008C6F8C" w14:paraId="7D39A0A9" w14:textId="77777777" w:rsidTr="00416BBB">
        <w:tc>
          <w:tcPr>
            <w:tcW w:w="3547" w:type="pct"/>
            <w:tcBorders>
              <w:top w:val="single" w:sz="4" w:space="0" w:color="auto"/>
              <w:left w:val="single" w:sz="4" w:space="0" w:color="auto"/>
              <w:bottom w:val="single" w:sz="4" w:space="0" w:color="auto"/>
              <w:right w:val="single" w:sz="4" w:space="0" w:color="auto"/>
            </w:tcBorders>
          </w:tcPr>
          <w:p w14:paraId="7D39A0A7" w14:textId="77777777" w:rsidR="00E03711" w:rsidRPr="00F769E0" w:rsidRDefault="00E03711" w:rsidP="00DE01AB">
            <w:pPr>
              <w:pStyle w:val="Guide-Table"/>
              <w:jc w:val="left"/>
              <w:rPr>
                <w:rFonts w:cs="Tahoma"/>
                <w:lang w:val="sl-SI" w:eastAsia="en-GB"/>
              </w:rPr>
            </w:pPr>
            <w:r w:rsidRPr="00F769E0">
              <w:rPr>
                <w:rFonts w:cs="Tahoma"/>
                <w:lang w:val="sl-SI" w:eastAsia="en-GB"/>
              </w:rPr>
              <w:t>Latvija</w:t>
            </w:r>
          </w:p>
        </w:tc>
        <w:tc>
          <w:tcPr>
            <w:tcW w:w="1453" w:type="pct"/>
            <w:tcBorders>
              <w:top w:val="single" w:sz="4" w:space="0" w:color="auto"/>
              <w:left w:val="single" w:sz="4" w:space="0" w:color="auto"/>
              <w:bottom w:val="single" w:sz="4" w:space="0" w:color="auto"/>
              <w:right w:val="single" w:sz="4" w:space="0" w:color="auto"/>
            </w:tcBorders>
          </w:tcPr>
          <w:p w14:paraId="7D39A0A8" w14:textId="77777777" w:rsidR="00E03711" w:rsidRPr="00F769E0" w:rsidRDefault="00E03711" w:rsidP="00DE01AB">
            <w:pPr>
              <w:pStyle w:val="Guide-Table"/>
              <w:rPr>
                <w:rFonts w:cs="Tahoma"/>
                <w:lang w:val="sl-SI" w:eastAsia="en-GB"/>
              </w:rPr>
            </w:pPr>
            <w:r w:rsidRPr="00F769E0">
              <w:rPr>
                <w:rFonts w:cs="Tahoma"/>
                <w:lang w:val="sl-SI" w:eastAsia="en-GB"/>
              </w:rPr>
              <w:t>43</w:t>
            </w:r>
          </w:p>
        </w:tc>
      </w:tr>
      <w:tr w:rsidR="00E03711" w:rsidRPr="008C6F8C" w14:paraId="7D39A0AC" w14:textId="77777777" w:rsidTr="00416BBB">
        <w:tc>
          <w:tcPr>
            <w:tcW w:w="3547" w:type="pct"/>
            <w:tcBorders>
              <w:top w:val="single" w:sz="4" w:space="0" w:color="auto"/>
              <w:left w:val="single" w:sz="4" w:space="0" w:color="auto"/>
              <w:bottom w:val="single" w:sz="4" w:space="0" w:color="auto"/>
              <w:right w:val="single" w:sz="4" w:space="0" w:color="auto"/>
            </w:tcBorders>
          </w:tcPr>
          <w:p w14:paraId="7D39A0AA" w14:textId="77777777" w:rsidR="00E03711" w:rsidRPr="00F769E0" w:rsidRDefault="00E03711" w:rsidP="00DE01AB">
            <w:pPr>
              <w:pStyle w:val="Guide-Table"/>
              <w:jc w:val="left"/>
              <w:rPr>
                <w:rFonts w:cs="Tahoma"/>
                <w:lang w:val="sl-SI" w:eastAsia="en-GB"/>
              </w:rPr>
            </w:pPr>
            <w:r w:rsidRPr="00F769E0">
              <w:rPr>
                <w:rFonts w:cs="Tahoma"/>
                <w:lang w:val="sl-SI" w:eastAsia="en-GB"/>
              </w:rPr>
              <w:t>Litva</w:t>
            </w:r>
          </w:p>
        </w:tc>
        <w:tc>
          <w:tcPr>
            <w:tcW w:w="1453" w:type="pct"/>
            <w:tcBorders>
              <w:top w:val="single" w:sz="4" w:space="0" w:color="auto"/>
              <w:left w:val="single" w:sz="4" w:space="0" w:color="auto"/>
              <w:bottom w:val="single" w:sz="4" w:space="0" w:color="auto"/>
              <w:right w:val="single" w:sz="4" w:space="0" w:color="auto"/>
            </w:tcBorders>
          </w:tcPr>
          <w:p w14:paraId="7D39A0AB" w14:textId="77777777" w:rsidR="00E03711" w:rsidRPr="00F769E0" w:rsidRDefault="00E03711" w:rsidP="00DE01AB">
            <w:pPr>
              <w:pStyle w:val="Guide-Table"/>
              <w:rPr>
                <w:rFonts w:cs="Tahoma"/>
                <w:lang w:val="sl-SI" w:eastAsia="en-GB"/>
              </w:rPr>
            </w:pPr>
            <w:r w:rsidRPr="00F769E0">
              <w:rPr>
                <w:rFonts w:cs="Tahoma"/>
                <w:lang w:val="sl-SI" w:eastAsia="en-GB"/>
              </w:rPr>
              <w:t>47</w:t>
            </w:r>
          </w:p>
        </w:tc>
      </w:tr>
      <w:tr w:rsidR="00E03711" w:rsidRPr="008C6F8C" w14:paraId="7D39A0AF" w14:textId="77777777" w:rsidTr="00416BBB">
        <w:tc>
          <w:tcPr>
            <w:tcW w:w="3547" w:type="pct"/>
            <w:tcBorders>
              <w:top w:val="single" w:sz="4" w:space="0" w:color="auto"/>
              <w:left w:val="single" w:sz="4" w:space="0" w:color="auto"/>
              <w:bottom w:val="single" w:sz="4" w:space="0" w:color="auto"/>
              <w:right w:val="single" w:sz="4" w:space="0" w:color="auto"/>
            </w:tcBorders>
          </w:tcPr>
          <w:p w14:paraId="7D39A0AD" w14:textId="77777777" w:rsidR="00E03711" w:rsidRPr="00F769E0" w:rsidRDefault="00E03711" w:rsidP="00DE01AB">
            <w:pPr>
              <w:pStyle w:val="Guide-Table"/>
              <w:jc w:val="left"/>
              <w:rPr>
                <w:rFonts w:cs="Tahoma"/>
                <w:lang w:val="sl-SI" w:eastAsia="en-GB"/>
              </w:rPr>
            </w:pPr>
            <w:r w:rsidRPr="00F769E0">
              <w:rPr>
                <w:rFonts w:cs="Tahoma"/>
                <w:lang w:val="sl-SI" w:eastAsia="en-GB"/>
              </w:rPr>
              <w:t>Luksemburg</w:t>
            </w:r>
          </w:p>
        </w:tc>
        <w:tc>
          <w:tcPr>
            <w:tcW w:w="1453" w:type="pct"/>
            <w:tcBorders>
              <w:top w:val="single" w:sz="4" w:space="0" w:color="auto"/>
              <w:left w:val="single" w:sz="4" w:space="0" w:color="auto"/>
              <w:bottom w:val="single" w:sz="4" w:space="0" w:color="auto"/>
              <w:right w:val="single" w:sz="4" w:space="0" w:color="auto"/>
            </w:tcBorders>
          </w:tcPr>
          <w:p w14:paraId="7D39A0AE" w14:textId="77777777" w:rsidR="00E03711" w:rsidRPr="00F769E0" w:rsidRDefault="00E03711" w:rsidP="00DE01AB">
            <w:pPr>
              <w:pStyle w:val="Guide-Table"/>
              <w:rPr>
                <w:rFonts w:cs="Tahoma"/>
                <w:lang w:val="sl-SI" w:eastAsia="en-GB"/>
              </w:rPr>
            </w:pPr>
            <w:r w:rsidRPr="00F769E0">
              <w:rPr>
                <w:rFonts w:cs="Tahoma"/>
                <w:lang w:val="sl-SI" w:eastAsia="en-GB"/>
              </w:rPr>
              <w:t>144</w:t>
            </w:r>
          </w:p>
        </w:tc>
      </w:tr>
      <w:tr w:rsidR="00E03711" w:rsidRPr="008C6F8C" w14:paraId="7D39A0B2" w14:textId="77777777" w:rsidTr="00416BBB">
        <w:tc>
          <w:tcPr>
            <w:tcW w:w="3547" w:type="pct"/>
            <w:tcBorders>
              <w:top w:val="single" w:sz="4" w:space="0" w:color="auto"/>
              <w:left w:val="single" w:sz="4" w:space="0" w:color="auto"/>
              <w:bottom w:val="single" w:sz="4" w:space="0" w:color="auto"/>
              <w:right w:val="single" w:sz="4" w:space="0" w:color="auto"/>
            </w:tcBorders>
          </w:tcPr>
          <w:p w14:paraId="7D39A0B0" w14:textId="77777777" w:rsidR="00E03711" w:rsidRPr="00F769E0" w:rsidRDefault="00E03711" w:rsidP="00DE01AB">
            <w:pPr>
              <w:pStyle w:val="Guide-Table"/>
              <w:jc w:val="left"/>
              <w:rPr>
                <w:rFonts w:cs="Tahoma"/>
                <w:lang w:val="sl-SI" w:eastAsia="en-GB"/>
              </w:rPr>
            </w:pPr>
            <w:r w:rsidRPr="00F769E0">
              <w:rPr>
                <w:rFonts w:cs="Tahoma"/>
                <w:lang w:val="sl-SI" w:eastAsia="en-GB"/>
              </w:rPr>
              <w:t>Madžarska</w:t>
            </w:r>
          </w:p>
        </w:tc>
        <w:tc>
          <w:tcPr>
            <w:tcW w:w="1453" w:type="pct"/>
            <w:tcBorders>
              <w:top w:val="single" w:sz="4" w:space="0" w:color="auto"/>
              <w:left w:val="single" w:sz="4" w:space="0" w:color="auto"/>
              <w:bottom w:val="single" w:sz="4" w:space="0" w:color="auto"/>
              <w:right w:val="single" w:sz="4" w:space="0" w:color="auto"/>
            </w:tcBorders>
          </w:tcPr>
          <w:p w14:paraId="7D39A0B1" w14:textId="77777777" w:rsidR="00E03711" w:rsidRPr="00F769E0" w:rsidRDefault="00E03711" w:rsidP="00DE01AB">
            <w:pPr>
              <w:pStyle w:val="Guide-Table"/>
              <w:rPr>
                <w:rFonts w:cs="Tahoma"/>
                <w:lang w:val="sl-SI" w:eastAsia="en-GB"/>
              </w:rPr>
            </w:pPr>
            <w:r w:rsidRPr="00F769E0">
              <w:rPr>
                <w:rFonts w:cs="Tahoma"/>
                <w:lang w:val="sl-SI" w:eastAsia="en-GB"/>
              </w:rPr>
              <w:t>46</w:t>
            </w:r>
          </w:p>
        </w:tc>
      </w:tr>
      <w:tr w:rsidR="00E03711" w:rsidRPr="008C6F8C" w14:paraId="7D39A0B5" w14:textId="77777777" w:rsidTr="00416BBB">
        <w:tc>
          <w:tcPr>
            <w:tcW w:w="3547" w:type="pct"/>
            <w:tcBorders>
              <w:top w:val="single" w:sz="4" w:space="0" w:color="auto"/>
              <w:left w:val="single" w:sz="4" w:space="0" w:color="auto"/>
              <w:bottom w:val="single" w:sz="4" w:space="0" w:color="auto"/>
              <w:right w:val="single" w:sz="4" w:space="0" w:color="auto"/>
            </w:tcBorders>
          </w:tcPr>
          <w:p w14:paraId="7D39A0B3" w14:textId="77777777" w:rsidR="00E03711" w:rsidRPr="00F769E0" w:rsidRDefault="00E03711" w:rsidP="00DE01AB">
            <w:pPr>
              <w:pStyle w:val="Guide-Table"/>
              <w:jc w:val="left"/>
              <w:rPr>
                <w:rFonts w:cs="Tahoma"/>
                <w:lang w:val="sl-SI" w:eastAsia="en-GB"/>
              </w:rPr>
            </w:pPr>
            <w:r w:rsidRPr="00F769E0">
              <w:rPr>
                <w:rFonts w:cs="Tahoma"/>
                <w:lang w:val="sl-SI" w:eastAsia="en-GB"/>
              </w:rPr>
              <w:t>Malta</w:t>
            </w:r>
          </w:p>
        </w:tc>
        <w:tc>
          <w:tcPr>
            <w:tcW w:w="1453" w:type="pct"/>
            <w:tcBorders>
              <w:top w:val="single" w:sz="4" w:space="0" w:color="auto"/>
              <w:left w:val="single" w:sz="4" w:space="0" w:color="auto"/>
              <w:bottom w:val="single" w:sz="4" w:space="0" w:color="auto"/>
              <w:right w:val="single" w:sz="4" w:space="0" w:color="auto"/>
            </w:tcBorders>
          </w:tcPr>
          <w:p w14:paraId="7D39A0B4" w14:textId="77777777" w:rsidR="00E03711" w:rsidRPr="00F769E0" w:rsidRDefault="00E03711" w:rsidP="00DE01AB">
            <w:pPr>
              <w:pStyle w:val="Guide-Table"/>
              <w:rPr>
                <w:rFonts w:cs="Tahoma"/>
                <w:lang w:val="sl-SI" w:eastAsia="en-GB"/>
              </w:rPr>
            </w:pPr>
            <w:r w:rsidRPr="00F769E0">
              <w:rPr>
                <w:rFonts w:cs="Tahoma"/>
                <w:lang w:val="sl-SI" w:eastAsia="en-GB"/>
              </w:rPr>
              <w:t>60</w:t>
            </w:r>
          </w:p>
        </w:tc>
      </w:tr>
      <w:tr w:rsidR="00E03711" w:rsidRPr="008C6F8C" w14:paraId="7D39A0B8" w14:textId="77777777" w:rsidTr="00416BBB">
        <w:tc>
          <w:tcPr>
            <w:tcW w:w="3547" w:type="pct"/>
            <w:tcBorders>
              <w:top w:val="single" w:sz="4" w:space="0" w:color="auto"/>
              <w:left w:val="single" w:sz="4" w:space="0" w:color="auto"/>
              <w:bottom w:val="single" w:sz="4" w:space="0" w:color="auto"/>
              <w:right w:val="single" w:sz="4" w:space="0" w:color="auto"/>
            </w:tcBorders>
          </w:tcPr>
          <w:p w14:paraId="7D39A0B6" w14:textId="77777777" w:rsidR="00E03711" w:rsidRPr="00F769E0" w:rsidRDefault="00E03711" w:rsidP="00DE01AB">
            <w:pPr>
              <w:pStyle w:val="Guide-Table"/>
              <w:jc w:val="left"/>
              <w:rPr>
                <w:rFonts w:cs="Tahoma"/>
                <w:lang w:val="sl-SI" w:eastAsia="en-GB"/>
              </w:rPr>
            </w:pPr>
            <w:r w:rsidRPr="00F769E0">
              <w:rPr>
                <w:rFonts w:cs="Tahoma"/>
                <w:lang w:val="sl-SI" w:eastAsia="en-GB"/>
              </w:rPr>
              <w:t>Nizozemska</w:t>
            </w:r>
          </w:p>
        </w:tc>
        <w:tc>
          <w:tcPr>
            <w:tcW w:w="1453" w:type="pct"/>
            <w:tcBorders>
              <w:top w:val="single" w:sz="4" w:space="0" w:color="auto"/>
              <w:left w:val="single" w:sz="4" w:space="0" w:color="auto"/>
              <w:bottom w:val="single" w:sz="4" w:space="0" w:color="auto"/>
              <w:right w:val="single" w:sz="4" w:space="0" w:color="auto"/>
            </w:tcBorders>
          </w:tcPr>
          <w:p w14:paraId="7D39A0B7" w14:textId="77777777" w:rsidR="00E03711" w:rsidRPr="00F769E0" w:rsidRDefault="00E03711" w:rsidP="00DE01AB">
            <w:pPr>
              <w:pStyle w:val="Guide-Table"/>
              <w:rPr>
                <w:rFonts w:cs="Tahoma"/>
                <w:lang w:val="sl-SI" w:eastAsia="en-GB"/>
              </w:rPr>
            </w:pPr>
            <w:r w:rsidRPr="00F769E0">
              <w:rPr>
                <w:rFonts w:cs="Tahoma"/>
                <w:lang w:val="sl-SI" w:eastAsia="en-GB"/>
              </w:rPr>
              <w:t>97</w:t>
            </w:r>
          </w:p>
        </w:tc>
      </w:tr>
      <w:tr w:rsidR="00E03711" w:rsidRPr="008C6F8C" w14:paraId="7D39A0BB" w14:textId="77777777" w:rsidTr="00416BBB">
        <w:tc>
          <w:tcPr>
            <w:tcW w:w="3547" w:type="pct"/>
            <w:tcBorders>
              <w:top w:val="single" w:sz="4" w:space="0" w:color="auto"/>
              <w:left w:val="single" w:sz="4" w:space="0" w:color="auto"/>
              <w:bottom w:val="single" w:sz="4" w:space="0" w:color="auto"/>
              <w:right w:val="single" w:sz="4" w:space="0" w:color="auto"/>
            </w:tcBorders>
          </w:tcPr>
          <w:p w14:paraId="7D39A0B9" w14:textId="77777777" w:rsidR="00E03711" w:rsidRPr="00F769E0" w:rsidRDefault="00E03711" w:rsidP="00DE01AB">
            <w:pPr>
              <w:pStyle w:val="Guide-Table"/>
              <w:jc w:val="left"/>
              <w:rPr>
                <w:rFonts w:cs="Tahoma"/>
                <w:lang w:val="sl-SI" w:eastAsia="en-GB"/>
              </w:rPr>
            </w:pPr>
            <w:r w:rsidRPr="00F769E0">
              <w:rPr>
                <w:rFonts w:cs="Tahoma"/>
                <w:lang w:val="sl-SI" w:eastAsia="en-GB"/>
              </w:rPr>
              <w:t>Avstrija</w:t>
            </w:r>
          </w:p>
        </w:tc>
        <w:tc>
          <w:tcPr>
            <w:tcW w:w="1453" w:type="pct"/>
            <w:tcBorders>
              <w:top w:val="single" w:sz="4" w:space="0" w:color="auto"/>
              <w:left w:val="single" w:sz="4" w:space="0" w:color="auto"/>
              <w:bottom w:val="single" w:sz="4" w:space="0" w:color="auto"/>
              <w:right w:val="single" w:sz="4" w:space="0" w:color="auto"/>
            </w:tcBorders>
          </w:tcPr>
          <w:p w14:paraId="7D39A0BA" w14:textId="77777777" w:rsidR="00E03711" w:rsidRPr="00F769E0" w:rsidRDefault="00E03711" w:rsidP="00DE01AB">
            <w:pPr>
              <w:pStyle w:val="Guide-Table"/>
              <w:rPr>
                <w:rFonts w:cs="Tahoma"/>
                <w:lang w:val="sl-SI" w:eastAsia="en-GB"/>
              </w:rPr>
            </w:pPr>
            <w:r w:rsidRPr="00F769E0">
              <w:rPr>
                <w:rFonts w:cs="Tahoma"/>
                <w:lang w:val="sl-SI" w:eastAsia="en-GB"/>
              </w:rPr>
              <w:t>94</w:t>
            </w:r>
          </w:p>
        </w:tc>
      </w:tr>
      <w:tr w:rsidR="00E03711" w:rsidRPr="008C6F8C" w14:paraId="7D39A0BE" w14:textId="77777777" w:rsidTr="00416BBB">
        <w:tc>
          <w:tcPr>
            <w:tcW w:w="3547" w:type="pct"/>
            <w:tcBorders>
              <w:top w:val="single" w:sz="4" w:space="0" w:color="auto"/>
              <w:left w:val="single" w:sz="4" w:space="0" w:color="auto"/>
              <w:bottom w:val="single" w:sz="4" w:space="0" w:color="auto"/>
              <w:right w:val="single" w:sz="4" w:space="0" w:color="auto"/>
            </w:tcBorders>
          </w:tcPr>
          <w:p w14:paraId="7D39A0BC" w14:textId="77777777" w:rsidR="00E03711" w:rsidRPr="00F769E0" w:rsidRDefault="00E03711" w:rsidP="00DE01AB">
            <w:pPr>
              <w:pStyle w:val="Guide-Table"/>
              <w:jc w:val="left"/>
              <w:rPr>
                <w:rFonts w:cs="Tahoma"/>
                <w:lang w:val="sl-SI" w:eastAsia="en-GB"/>
              </w:rPr>
            </w:pPr>
            <w:r w:rsidRPr="00F769E0">
              <w:rPr>
                <w:rFonts w:cs="Tahoma"/>
                <w:lang w:val="sl-SI" w:eastAsia="en-GB"/>
              </w:rPr>
              <w:t>Poljska</w:t>
            </w:r>
          </w:p>
        </w:tc>
        <w:tc>
          <w:tcPr>
            <w:tcW w:w="1453" w:type="pct"/>
            <w:tcBorders>
              <w:top w:val="single" w:sz="4" w:space="0" w:color="auto"/>
              <w:left w:val="single" w:sz="4" w:space="0" w:color="auto"/>
              <w:bottom w:val="single" w:sz="4" w:space="0" w:color="auto"/>
              <w:right w:val="single" w:sz="4" w:space="0" w:color="auto"/>
            </w:tcBorders>
          </w:tcPr>
          <w:p w14:paraId="7D39A0BD" w14:textId="77777777" w:rsidR="00E03711" w:rsidRPr="00F769E0" w:rsidRDefault="00E03711" w:rsidP="00DE01AB">
            <w:pPr>
              <w:pStyle w:val="Guide-Table"/>
              <w:rPr>
                <w:rFonts w:cs="Tahoma"/>
                <w:lang w:val="sl-SI" w:eastAsia="en-GB"/>
              </w:rPr>
            </w:pPr>
            <w:r w:rsidRPr="00F769E0">
              <w:rPr>
                <w:rFonts w:cs="Tahoma"/>
                <w:lang w:val="sl-SI" w:eastAsia="en-GB"/>
              </w:rPr>
              <w:t>45</w:t>
            </w:r>
          </w:p>
        </w:tc>
      </w:tr>
      <w:tr w:rsidR="00E03711" w:rsidRPr="008C6F8C" w14:paraId="7D39A0C1" w14:textId="77777777" w:rsidTr="00416BBB">
        <w:tc>
          <w:tcPr>
            <w:tcW w:w="3547" w:type="pct"/>
            <w:tcBorders>
              <w:top w:val="single" w:sz="4" w:space="0" w:color="auto"/>
              <w:left w:val="single" w:sz="4" w:space="0" w:color="auto"/>
              <w:bottom w:val="single" w:sz="4" w:space="0" w:color="auto"/>
              <w:right w:val="single" w:sz="4" w:space="0" w:color="auto"/>
            </w:tcBorders>
          </w:tcPr>
          <w:p w14:paraId="7D39A0BF" w14:textId="77777777" w:rsidR="00E03711" w:rsidRPr="00F769E0" w:rsidRDefault="00E03711" w:rsidP="00DE01AB">
            <w:pPr>
              <w:pStyle w:val="Guide-Table"/>
              <w:jc w:val="left"/>
              <w:rPr>
                <w:rFonts w:cs="Tahoma"/>
                <w:lang w:val="sl-SI" w:eastAsia="en-GB"/>
              </w:rPr>
            </w:pPr>
            <w:r w:rsidRPr="00F769E0">
              <w:rPr>
                <w:rFonts w:cs="Tahoma"/>
                <w:lang w:val="sl-SI" w:eastAsia="en-GB"/>
              </w:rPr>
              <w:t>Portugalska</w:t>
            </w:r>
          </w:p>
        </w:tc>
        <w:tc>
          <w:tcPr>
            <w:tcW w:w="1453" w:type="pct"/>
            <w:tcBorders>
              <w:top w:val="single" w:sz="4" w:space="0" w:color="auto"/>
              <w:left w:val="single" w:sz="4" w:space="0" w:color="auto"/>
              <w:bottom w:val="single" w:sz="4" w:space="0" w:color="auto"/>
              <w:right w:val="single" w:sz="4" w:space="0" w:color="auto"/>
            </w:tcBorders>
          </w:tcPr>
          <w:p w14:paraId="7D39A0C0" w14:textId="77777777" w:rsidR="00E03711" w:rsidRPr="00F769E0" w:rsidRDefault="00E03711" w:rsidP="00DE01AB">
            <w:pPr>
              <w:pStyle w:val="Guide-Table"/>
              <w:rPr>
                <w:rFonts w:cs="Tahoma"/>
                <w:lang w:val="sl-SI" w:eastAsia="en-GB"/>
              </w:rPr>
            </w:pPr>
            <w:r w:rsidRPr="00F769E0">
              <w:rPr>
                <w:rFonts w:cs="Tahoma"/>
                <w:lang w:val="sl-SI" w:eastAsia="en-GB"/>
              </w:rPr>
              <w:t>55</w:t>
            </w:r>
          </w:p>
        </w:tc>
      </w:tr>
      <w:tr w:rsidR="00E03711" w:rsidRPr="008C6F8C" w14:paraId="7D39A0C4" w14:textId="77777777" w:rsidTr="00416BBB">
        <w:tc>
          <w:tcPr>
            <w:tcW w:w="3547" w:type="pct"/>
            <w:tcBorders>
              <w:top w:val="single" w:sz="4" w:space="0" w:color="auto"/>
              <w:left w:val="single" w:sz="4" w:space="0" w:color="auto"/>
              <w:bottom w:val="single" w:sz="4" w:space="0" w:color="auto"/>
              <w:right w:val="single" w:sz="4" w:space="0" w:color="auto"/>
            </w:tcBorders>
          </w:tcPr>
          <w:p w14:paraId="7D39A0C2" w14:textId="77777777" w:rsidR="00E03711" w:rsidRPr="00F769E0" w:rsidRDefault="00E03711" w:rsidP="00DE01AB">
            <w:pPr>
              <w:pStyle w:val="Guide-Table"/>
              <w:jc w:val="left"/>
              <w:rPr>
                <w:rFonts w:cs="Tahoma"/>
                <w:lang w:val="sl-SI" w:eastAsia="en-GB"/>
              </w:rPr>
            </w:pPr>
            <w:r w:rsidRPr="00F769E0">
              <w:rPr>
                <w:rFonts w:cs="Tahoma"/>
                <w:lang w:val="sl-SI" w:eastAsia="en-GB"/>
              </w:rPr>
              <w:t>Romunija</w:t>
            </w:r>
          </w:p>
        </w:tc>
        <w:tc>
          <w:tcPr>
            <w:tcW w:w="1453" w:type="pct"/>
            <w:tcBorders>
              <w:top w:val="single" w:sz="4" w:space="0" w:color="auto"/>
              <w:left w:val="single" w:sz="4" w:space="0" w:color="auto"/>
              <w:bottom w:val="single" w:sz="4" w:space="0" w:color="auto"/>
              <w:right w:val="single" w:sz="4" w:space="0" w:color="auto"/>
            </w:tcBorders>
          </w:tcPr>
          <w:p w14:paraId="7D39A0C3" w14:textId="77777777" w:rsidR="00E03711" w:rsidRPr="00F769E0" w:rsidRDefault="00E03711" w:rsidP="00DE01AB">
            <w:pPr>
              <w:pStyle w:val="Guide-Table"/>
              <w:rPr>
                <w:rFonts w:cs="Tahoma"/>
                <w:lang w:val="sl-SI" w:eastAsia="en-GB"/>
              </w:rPr>
            </w:pPr>
            <w:r w:rsidRPr="00F769E0">
              <w:rPr>
                <w:rFonts w:cs="Tahoma"/>
                <w:lang w:val="sl-SI" w:eastAsia="en-GB"/>
              </w:rPr>
              <w:t>40</w:t>
            </w:r>
          </w:p>
        </w:tc>
      </w:tr>
      <w:tr w:rsidR="00E03711" w:rsidRPr="008C6F8C" w14:paraId="7D39A0C7" w14:textId="77777777" w:rsidTr="00416BBB">
        <w:tc>
          <w:tcPr>
            <w:tcW w:w="3547" w:type="pct"/>
            <w:tcBorders>
              <w:top w:val="single" w:sz="4" w:space="0" w:color="auto"/>
              <w:left w:val="single" w:sz="4" w:space="0" w:color="auto"/>
              <w:bottom w:val="single" w:sz="4" w:space="0" w:color="auto"/>
              <w:right w:val="single" w:sz="4" w:space="0" w:color="auto"/>
            </w:tcBorders>
          </w:tcPr>
          <w:p w14:paraId="7D39A0C5" w14:textId="77777777" w:rsidR="00E03711" w:rsidRPr="00F769E0" w:rsidRDefault="00E03711" w:rsidP="00DE01AB">
            <w:pPr>
              <w:pStyle w:val="Guide-Table"/>
              <w:jc w:val="left"/>
              <w:rPr>
                <w:rFonts w:cs="Tahoma"/>
                <w:lang w:val="sl-SI" w:eastAsia="en-GB"/>
              </w:rPr>
            </w:pPr>
            <w:r w:rsidRPr="00F769E0">
              <w:rPr>
                <w:rFonts w:cs="Tahoma"/>
                <w:lang w:val="sl-SI" w:eastAsia="en-GB"/>
              </w:rPr>
              <w:t>Slovenija</w:t>
            </w:r>
          </w:p>
        </w:tc>
        <w:tc>
          <w:tcPr>
            <w:tcW w:w="1453" w:type="pct"/>
            <w:tcBorders>
              <w:top w:val="single" w:sz="4" w:space="0" w:color="auto"/>
              <w:left w:val="single" w:sz="4" w:space="0" w:color="auto"/>
              <w:bottom w:val="single" w:sz="4" w:space="0" w:color="auto"/>
              <w:right w:val="single" w:sz="4" w:space="0" w:color="auto"/>
            </w:tcBorders>
          </w:tcPr>
          <w:p w14:paraId="7D39A0C6" w14:textId="77777777" w:rsidR="00E03711" w:rsidRPr="00F769E0" w:rsidRDefault="00E03711" w:rsidP="00DE01AB">
            <w:pPr>
              <w:pStyle w:val="Guide-Table"/>
              <w:rPr>
                <w:rFonts w:cs="Tahoma"/>
                <w:lang w:val="sl-SI" w:eastAsia="en-GB"/>
              </w:rPr>
            </w:pPr>
            <w:r w:rsidRPr="00F769E0">
              <w:rPr>
                <w:rFonts w:cs="Tahoma"/>
                <w:lang w:val="sl-SI" w:eastAsia="en-GB"/>
              </w:rPr>
              <w:t>59</w:t>
            </w:r>
          </w:p>
        </w:tc>
      </w:tr>
      <w:tr w:rsidR="00E03711" w:rsidRPr="008C6F8C" w14:paraId="7D39A0CA" w14:textId="77777777" w:rsidTr="00416BBB">
        <w:tc>
          <w:tcPr>
            <w:tcW w:w="3547" w:type="pct"/>
          </w:tcPr>
          <w:p w14:paraId="7D39A0C8" w14:textId="77777777" w:rsidR="00E03711" w:rsidRPr="00F769E0" w:rsidRDefault="00E03711" w:rsidP="00DE01AB">
            <w:pPr>
              <w:pStyle w:val="Guide-Table"/>
              <w:jc w:val="left"/>
              <w:rPr>
                <w:rFonts w:cs="Tahoma"/>
                <w:lang w:val="sl-SI" w:eastAsia="en-GB"/>
              </w:rPr>
            </w:pPr>
            <w:r w:rsidRPr="00F769E0">
              <w:rPr>
                <w:rFonts w:cs="Tahoma"/>
                <w:lang w:val="sl-SI" w:eastAsia="en-GB"/>
              </w:rPr>
              <w:t>Srbija</w:t>
            </w:r>
          </w:p>
        </w:tc>
        <w:tc>
          <w:tcPr>
            <w:tcW w:w="1453" w:type="pct"/>
          </w:tcPr>
          <w:p w14:paraId="7D39A0C9" w14:textId="77777777" w:rsidR="00E03711" w:rsidRPr="00F769E0" w:rsidRDefault="00E03711" w:rsidP="00DE01AB">
            <w:pPr>
              <w:pStyle w:val="Guide-Table"/>
              <w:rPr>
                <w:rFonts w:cs="Tahoma"/>
                <w:lang w:val="sl-SI" w:eastAsia="en-GB"/>
              </w:rPr>
            </w:pPr>
            <w:r w:rsidRPr="00F769E0">
              <w:rPr>
                <w:rFonts w:cs="Tahoma"/>
                <w:lang w:val="sl-SI" w:eastAsia="en-GB"/>
              </w:rPr>
              <w:t>40</w:t>
            </w:r>
          </w:p>
        </w:tc>
      </w:tr>
      <w:tr w:rsidR="00E03711" w:rsidRPr="008C6F8C" w14:paraId="7D39A0CD" w14:textId="77777777" w:rsidTr="00416BBB">
        <w:tc>
          <w:tcPr>
            <w:tcW w:w="3547" w:type="pct"/>
          </w:tcPr>
          <w:p w14:paraId="7D39A0CB" w14:textId="77777777" w:rsidR="00E03711" w:rsidRPr="00F769E0" w:rsidRDefault="00E03711" w:rsidP="00DE01AB">
            <w:pPr>
              <w:pStyle w:val="Guide-Table"/>
              <w:jc w:val="left"/>
              <w:rPr>
                <w:rFonts w:cs="Tahoma"/>
                <w:lang w:val="sl-SI" w:eastAsia="en-GB"/>
              </w:rPr>
            </w:pPr>
            <w:r w:rsidRPr="00F769E0">
              <w:rPr>
                <w:rFonts w:cs="Tahoma"/>
                <w:lang w:val="sl-SI" w:eastAsia="en-GB"/>
              </w:rPr>
              <w:t>Slovaška</w:t>
            </w:r>
          </w:p>
        </w:tc>
        <w:tc>
          <w:tcPr>
            <w:tcW w:w="1453" w:type="pct"/>
          </w:tcPr>
          <w:p w14:paraId="7D39A0CC" w14:textId="77777777" w:rsidR="00E03711" w:rsidRPr="00F769E0" w:rsidRDefault="00E03711" w:rsidP="00DE01AB">
            <w:pPr>
              <w:pStyle w:val="Guide-Table"/>
              <w:rPr>
                <w:rFonts w:cs="Tahoma"/>
                <w:lang w:val="sl-SI" w:eastAsia="en-GB"/>
              </w:rPr>
            </w:pPr>
            <w:r w:rsidRPr="00F769E0">
              <w:rPr>
                <w:rFonts w:cs="Tahoma"/>
                <w:lang w:val="sl-SI" w:eastAsia="en-GB"/>
              </w:rPr>
              <w:t>50</w:t>
            </w:r>
          </w:p>
        </w:tc>
      </w:tr>
      <w:tr w:rsidR="00E03711" w:rsidRPr="008C6F8C" w14:paraId="7D39A0D0" w14:textId="77777777" w:rsidTr="00416BBB">
        <w:tc>
          <w:tcPr>
            <w:tcW w:w="3547" w:type="pct"/>
            <w:tcBorders>
              <w:top w:val="single" w:sz="4" w:space="0" w:color="auto"/>
              <w:left w:val="single" w:sz="4" w:space="0" w:color="auto"/>
              <w:bottom w:val="single" w:sz="4" w:space="0" w:color="auto"/>
              <w:right w:val="single" w:sz="4" w:space="0" w:color="auto"/>
            </w:tcBorders>
          </w:tcPr>
          <w:p w14:paraId="7D39A0CE" w14:textId="77777777" w:rsidR="00E03711" w:rsidRPr="00F769E0" w:rsidRDefault="00E03711" w:rsidP="00DE01AB">
            <w:pPr>
              <w:pStyle w:val="Guide-Table"/>
              <w:jc w:val="left"/>
              <w:rPr>
                <w:rFonts w:cs="Tahoma"/>
                <w:lang w:val="sl-SI" w:eastAsia="en-GB"/>
              </w:rPr>
            </w:pPr>
            <w:r w:rsidRPr="00F769E0">
              <w:rPr>
                <w:rFonts w:cs="Tahoma"/>
                <w:lang w:val="sl-SI" w:eastAsia="en-GB"/>
              </w:rPr>
              <w:t>Finska</w:t>
            </w:r>
          </w:p>
        </w:tc>
        <w:tc>
          <w:tcPr>
            <w:tcW w:w="1453" w:type="pct"/>
            <w:tcBorders>
              <w:top w:val="single" w:sz="4" w:space="0" w:color="auto"/>
              <w:left w:val="single" w:sz="4" w:space="0" w:color="auto"/>
              <w:bottom w:val="single" w:sz="4" w:space="0" w:color="auto"/>
              <w:right w:val="single" w:sz="4" w:space="0" w:color="auto"/>
            </w:tcBorders>
          </w:tcPr>
          <w:p w14:paraId="7D39A0CF" w14:textId="77777777" w:rsidR="00E03711" w:rsidRPr="00F769E0" w:rsidRDefault="00E03711" w:rsidP="00DE01AB">
            <w:pPr>
              <w:pStyle w:val="Guide-Table"/>
              <w:rPr>
                <w:rFonts w:cs="Tahoma"/>
                <w:lang w:val="sl-SI" w:eastAsia="en-GB"/>
              </w:rPr>
            </w:pPr>
            <w:r w:rsidRPr="00F769E0">
              <w:rPr>
                <w:rFonts w:cs="Tahoma"/>
                <w:lang w:val="sl-SI" w:eastAsia="en-GB"/>
              </w:rPr>
              <w:t>84</w:t>
            </w:r>
          </w:p>
        </w:tc>
      </w:tr>
      <w:tr w:rsidR="00E03711" w:rsidRPr="008C6F8C" w14:paraId="7D39A0D3" w14:textId="77777777" w:rsidTr="00416BBB">
        <w:tc>
          <w:tcPr>
            <w:tcW w:w="3547" w:type="pct"/>
            <w:tcBorders>
              <w:top w:val="single" w:sz="4" w:space="0" w:color="auto"/>
              <w:left w:val="single" w:sz="4" w:space="0" w:color="auto"/>
              <w:bottom w:val="single" w:sz="4" w:space="0" w:color="auto"/>
              <w:right w:val="single" w:sz="4" w:space="0" w:color="auto"/>
            </w:tcBorders>
          </w:tcPr>
          <w:p w14:paraId="7D39A0D1" w14:textId="77777777" w:rsidR="00E03711" w:rsidRPr="00F769E0" w:rsidRDefault="00E03711" w:rsidP="00DE01AB">
            <w:pPr>
              <w:pStyle w:val="Guide-Table"/>
              <w:jc w:val="left"/>
              <w:rPr>
                <w:rFonts w:cs="Tahoma"/>
                <w:lang w:val="sl-SI" w:eastAsia="en-GB"/>
              </w:rPr>
            </w:pPr>
            <w:r w:rsidRPr="00F769E0">
              <w:rPr>
                <w:rFonts w:cs="Tahoma"/>
                <w:lang w:val="sl-SI" w:eastAsia="en-GB"/>
              </w:rPr>
              <w:t>Švedska</w:t>
            </w:r>
          </w:p>
        </w:tc>
        <w:tc>
          <w:tcPr>
            <w:tcW w:w="1453" w:type="pct"/>
            <w:tcBorders>
              <w:top w:val="single" w:sz="4" w:space="0" w:color="auto"/>
              <w:left w:val="single" w:sz="4" w:space="0" w:color="auto"/>
              <w:bottom w:val="single" w:sz="4" w:space="0" w:color="auto"/>
              <w:right w:val="single" w:sz="4" w:space="0" w:color="auto"/>
            </w:tcBorders>
          </w:tcPr>
          <w:p w14:paraId="7D39A0D2" w14:textId="77777777" w:rsidR="00E03711" w:rsidRPr="00F769E0" w:rsidRDefault="00E03711" w:rsidP="00DE01AB">
            <w:pPr>
              <w:pStyle w:val="Guide-Table"/>
              <w:rPr>
                <w:rFonts w:cs="Tahoma"/>
                <w:lang w:val="sl-SI" w:eastAsia="en-GB"/>
              </w:rPr>
            </w:pPr>
            <w:r w:rsidRPr="00F769E0">
              <w:rPr>
                <w:rFonts w:cs="Tahoma"/>
                <w:lang w:val="sl-SI" w:eastAsia="en-GB"/>
              </w:rPr>
              <w:t>95</w:t>
            </w:r>
          </w:p>
        </w:tc>
      </w:tr>
      <w:tr w:rsidR="00E03711" w:rsidRPr="008C6F8C" w14:paraId="7D39A0D6" w14:textId="77777777" w:rsidTr="00416BBB">
        <w:tc>
          <w:tcPr>
            <w:tcW w:w="3547" w:type="pct"/>
          </w:tcPr>
          <w:p w14:paraId="7D39A0D4" w14:textId="77777777" w:rsidR="00E03711" w:rsidRPr="00F769E0" w:rsidRDefault="00E03711" w:rsidP="00DE01AB">
            <w:pPr>
              <w:pStyle w:val="Guide-Table"/>
              <w:jc w:val="left"/>
              <w:rPr>
                <w:rFonts w:cs="Tahoma"/>
                <w:lang w:val="sl-SI" w:eastAsia="en-GB"/>
              </w:rPr>
            </w:pPr>
            <w:r w:rsidRPr="00F769E0">
              <w:rPr>
                <w:rFonts w:cs="Tahoma"/>
                <w:lang w:val="sl-SI" w:eastAsia="en-GB"/>
              </w:rPr>
              <w:t>Združeno kraljestvo</w:t>
            </w:r>
          </w:p>
        </w:tc>
        <w:tc>
          <w:tcPr>
            <w:tcW w:w="1453" w:type="pct"/>
          </w:tcPr>
          <w:p w14:paraId="7D39A0D5" w14:textId="77777777" w:rsidR="00E03711" w:rsidRPr="00F769E0" w:rsidRDefault="00E03711" w:rsidP="00DE01AB">
            <w:pPr>
              <w:pStyle w:val="Guide-Table"/>
              <w:rPr>
                <w:rFonts w:cs="Tahoma"/>
                <w:lang w:val="sl-SI" w:eastAsia="en-GB"/>
              </w:rPr>
            </w:pPr>
            <w:r w:rsidRPr="00F769E0">
              <w:rPr>
                <w:rFonts w:cs="Tahoma"/>
                <w:lang w:val="sl-SI" w:eastAsia="en-GB"/>
              </w:rPr>
              <w:t>81</w:t>
            </w:r>
          </w:p>
        </w:tc>
      </w:tr>
      <w:tr w:rsidR="00E03711" w:rsidRPr="008C6F8C" w14:paraId="7D39A0D9" w14:textId="77777777" w:rsidTr="00416BBB">
        <w:tc>
          <w:tcPr>
            <w:tcW w:w="3547" w:type="pct"/>
          </w:tcPr>
          <w:p w14:paraId="7D39A0D7" w14:textId="77777777" w:rsidR="00E03711" w:rsidRPr="00F769E0" w:rsidRDefault="00E03711">
            <w:pPr>
              <w:pStyle w:val="Guide-Table"/>
              <w:jc w:val="left"/>
              <w:rPr>
                <w:rFonts w:cs="Tahoma"/>
                <w:lang w:val="sl-SI" w:eastAsia="en-GB"/>
              </w:rPr>
            </w:pPr>
            <w:r>
              <w:rPr>
                <w:rFonts w:cs="Tahoma"/>
                <w:lang w:val="sl-SI" w:eastAsia="en-GB"/>
              </w:rPr>
              <w:t>R</w:t>
            </w:r>
            <w:r w:rsidRPr="00F769E0">
              <w:rPr>
                <w:rFonts w:cs="Tahoma"/>
                <w:lang w:val="sl-SI" w:eastAsia="en-GB"/>
              </w:rPr>
              <w:t xml:space="preserve">epublika </w:t>
            </w:r>
            <w:r>
              <w:rPr>
                <w:rFonts w:cs="Tahoma"/>
                <w:lang w:val="sl-SI" w:eastAsia="en-GB"/>
              </w:rPr>
              <w:t xml:space="preserve">Severna </w:t>
            </w:r>
            <w:r w:rsidRPr="00F769E0">
              <w:rPr>
                <w:rFonts w:cs="Tahoma"/>
                <w:lang w:val="sl-SI" w:eastAsia="en-GB"/>
              </w:rPr>
              <w:t>Makedonija</w:t>
            </w:r>
          </w:p>
        </w:tc>
        <w:tc>
          <w:tcPr>
            <w:tcW w:w="1453" w:type="pct"/>
            <w:vAlign w:val="center"/>
          </w:tcPr>
          <w:p w14:paraId="7D39A0D8" w14:textId="77777777" w:rsidR="00E03711" w:rsidRPr="00F769E0" w:rsidRDefault="00E03711" w:rsidP="00DE01AB">
            <w:pPr>
              <w:pStyle w:val="Guide-Table"/>
              <w:rPr>
                <w:rFonts w:cs="Tahoma"/>
                <w:lang w:val="sl-SI" w:eastAsia="en-GB"/>
              </w:rPr>
            </w:pPr>
            <w:r w:rsidRPr="00F769E0">
              <w:rPr>
                <w:rFonts w:cs="Tahoma"/>
                <w:lang w:val="sl-SI" w:eastAsia="en-GB"/>
              </w:rPr>
              <w:t>40</w:t>
            </w:r>
          </w:p>
        </w:tc>
      </w:tr>
      <w:tr w:rsidR="00E03711" w:rsidRPr="008C6F8C" w14:paraId="7D39A0DC" w14:textId="77777777" w:rsidTr="00416BBB">
        <w:tc>
          <w:tcPr>
            <w:tcW w:w="3547" w:type="pct"/>
            <w:tcBorders>
              <w:top w:val="single" w:sz="4" w:space="0" w:color="auto"/>
              <w:left w:val="single" w:sz="4" w:space="0" w:color="auto"/>
              <w:bottom w:val="single" w:sz="4" w:space="0" w:color="auto"/>
              <w:right w:val="single" w:sz="4" w:space="0" w:color="auto"/>
            </w:tcBorders>
          </w:tcPr>
          <w:p w14:paraId="7D39A0DA" w14:textId="77777777" w:rsidR="00E03711" w:rsidRPr="00F769E0" w:rsidRDefault="00E03711" w:rsidP="00DE01AB">
            <w:pPr>
              <w:pStyle w:val="Guide-Table"/>
              <w:jc w:val="left"/>
              <w:rPr>
                <w:rFonts w:cs="Tahoma"/>
                <w:lang w:val="sl-SI" w:eastAsia="en-GB"/>
              </w:rPr>
            </w:pPr>
            <w:r w:rsidRPr="00F769E0">
              <w:rPr>
                <w:rFonts w:cs="Tahoma"/>
                <w:lang w:val="sl-SI" w:eastAsia="en-GB"/>
              </w:rPr>
              <w:t>Islandija</w:t>
            </w:r>
          </w:p>
        </w:tc>
        <w:tc>
          <w:tcPr>
            <w:tcW w:w="1453" w:type="pct"/>
            <w:tcBorders>
              <w:top w:val="single" w:sz="4" w:space="0" w:color="auto"/>
              <w:left w:val="single" w:sz="4" w:space="0" w:color="auto"/>
              <w:bottom w:val="single" w:sz="4" w:space="0" w:color="auto"/>
              <w:right w:val="single" w:sz="4" w:space="0" w:color="auto"/>
            </w:tcBorders>
          </w:tcPr>
          <w:p w14:paraId="7D39A0DB" w14:textId="77777777" w:rsidR="00E03711" w:rsidRPr="00F769E0" w:rsidRDefault="00E03711" w:rsidP="00DE01AB">
            <w:pPr>
              <w:pStyle w:val="Guide-Table"/>
              <w:rPr>
                <w:rFonts w:cs="Tahoma"/>
                <w:lang w:val="sl-SI" w:eastAsia="en-GB"/>
              </w:rPr>
            </w:pPr>
            <w:r w:rsidRPr="00F769E0">
              <w:rPr>
                <w:rFonts w:cs="Tahoma"/>
                <w:lang w:val="sl-SI" w:eastAsia="en-GB"/>
              </w:rPr>
              <w:t>69</w:t>
            </w:r>
          </w:p>
        </w:tc>
      </w:tr>
      <w:tr w:rsidR="00E03711" w:rsidRPr="008C6F8C" w14:paraId="7D39A0DF" w14:textId="77777777" w:rsidTr="00416BBB">
        <w:tc>
          <w:tcPr>
            <w:tcW w:w="3547" w:type="pct"/>
          </w:tcPr>
          <w:p w14:paraId="7D39A0DD" w14:textId="77777777" w:rsidR="00E03711" w:rsidRPr="00F769E0" w:rsidRDefault="00E03711" w:rsidP="00DE01AB">
            <w:pPr>
              <w:pStyle w:val="Guide-Table"/>
              <w:jc w:val="left"/>
              <w:rPr>
                <w:rFonts w:cs="Tahoma"/>
                <w:lang w:val="sl-SI" w:eastAsia="en-GB"/>
              </w:rPr>
            </w:pPr>
            <w:r w:rsidRPr="00F769E0">
              <w:rPr>
                <w:rFonts w:cs="Tahoma"/>
                <w:lang w:val="sl-SI" w:eastAsia="en-GB"/>
              </w:rPr>
              <w:t>Lihtenštajn</w:t>
            </w:r>
          </w:p>
        </w:tc>
        <w:tc>
          <w:tcPr>
            <w:tcW w:w="1453" w:type="pct"/>
          </w:tcPr>
          <w:p w14:paraId="7D39A0DE" w14:textId="77777777" w:rsidR="00E03711" w:rsidRPr="00F769E0" w:rsidRDefault="00E03711" w:rsidP="00DE01AB">
            <w:pPr>
              <w:pStyle w:val="Guide-Table"/>
              <w:rPr>
                <w:rFonts w:cs="Tahoma"/>
                <w:lang w:val="sl-SI" w:eastAsia="en-GB"/>
              </w:rPr>
            </w:pPr>
            <w:r w:rsidRPr="00F769E0">
              <w:rPr>
                <w:rFonts w:cs="Tahoma"/>
                <w:lang w:val="sl-SI" w:eastAsia="en-GB"/>
              </w:rPr>
              <w:t>40</w:t>
            </w:r>
          </w:p>
        </w:tc>
      </w:tr>
      <w:tr w:rsidR="00E03711" w:rsidRPr="008C6F8C" w14:paraId="7D39A0E2" w14:textId="77777777" w:rsidTr="00416BBB">
        <w:tc>
          <w:tcPr>
            <w:tcW w:w="3547" w:type="pct"/>
          </w:tcPr>
          <w:p w14:paraId="7D39A0E0" w14:textId="77777777" w:rsidR="00E03711" w:rsidRPr="00F769E0" w:rsidRDefault="00E03711" w:rsidP="00DE01AB">
            <w:pPr>
              <w:pStyle w:val="Guide-Table"/>
              <w:jc w:val="left"/>
              <w:rPr>
                <w:rFonts w:cs="Tahoma"/>
                <w:lang w:val="sl-SI" w:eastAsia="en-GB"/>
              </w:rPr>
            </w:pPr>
            <w:r w:rsidRPr="00F769E0">
              <w:rPr>
                <w:rFonts w:cs="Tahoma"/>
                <w:lang w:val="sl-SI" w:eastAsia="en-GB"/>
              </w:rPr>
              <w:t>Norveška</w:t>
            </w:r>
          </w:p>
        </w:tc>
        <w:tc>
          <w:tcPr>
            <w:tcW w:w="1453" w:type="pct"/>
          </w:tcPr>
          <w:p w14:paraId="7D39A0E1" w14:textId="77777777" w:rsidR="00E03711" w:rsidRPr="00F769E0" w:rsidRDefault="00E03711" w:rsidP="00DE01AB">
            <w:pPr>
              <w:pStyle w:val="Guide-Table"/>
              <w:rPr>
                <w:rFonts w:cs="Tahoma"/>
                <w:lang w:val="sl-SI" w:eastAsia="en-GB"/>
              </w:rPr>
            </w:pPr>
            <w:r w:rsidRPr="00F769E0">
              <w:rPr>
                <w:rFonts w:cs="Tahoma"/>
                <w:lang w:val="sl-SI" w:eastAsia="en-GB"/>
              </w:rPr>
              <w:t>138</w:t>
            </w:r>
          </w:p>
        </w:tc>
      </w:tr>
      <w:tr w:rsidR="00E03711" w:rsidRPr="008C6F8C" w14:paraId="7D39A0E5" w14:textId="77777777" w:rsidTr="00416BBB">
        <w:tc>
          <w:tcPr>
            <w:tcW w:w="3547" w:type="pct"/>
          </w:tcPr>
          <w:p w14:paraId="7D39A0E3" w14:textId="77777777" w:rsidR="00E03711" w:rsidRPr="00F769E0" w:rsidRDefault="00E03711" w:rsidP="00DE01AB">
            <w:pPr>
              <w:pStyle w:val="Guide-Table"/>
              <w:jc w:val="left"/>
              <w:rPr>
                <w:rFonts w:cs="Tahoma"/>
                <w:lang w:val="sl-SI" w:eastAsia="en-GB"/>
              </w:rPr>
            </w:pPr>
            <w:r w:rsidRPr="00F769E0">
              <w:rPr>
                <w:rFonts w:cs="Tahoma"/>
                <w:lang w:val="sl-SI" w:eastAsia="en-GB"/>
              </w:rPr>
              <w:t>Turčija</w:t>
            </w:r>
          </w:p>
        </w:tc>
        <w:tc>
          <w:tcPr>
            <w:tcW w:w="1453" w:type="pct"/>
          </w:tcPr>
          <w:p w14:paraId="7D39A0E4" w14:textId="77777777" w:rsidR="00E03711" w:rsidRPr="00F769E0" w:rsidRDefault="00E03711" w:rsidP="00DE01AB">
            <w:pPr>
              <w:pStyle w:val="Guide-Table"/>
              <w:rPr>
                <w:rFonts w:cs="Tahoma"/>
                <w:lang w:val="sl-SI" w:eastAsia="en-GB"/>
              </w:rPr>
            </w:pPr>
            <w:r w:rsidRPr="00F769E0">
              <w:rPr>
                <w:rFonts w:cs="Tahoma"/>
                <w:lang w:val="sl-SI" w:eastAsia="en-GB"/>
              </w:rPr>
              <w:t>40</w:t>
            </w:r>
          </w:p>
        </w:tc>
      </w:tr>
    </w:tbl>
    <w:p w14:paraId="7D39A0E6" w14:textId="77777777" w:rsidR="00E03711" w:rsidRDefault="00E0371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8"/>
        <w:gridCol w:w="1335"/>
      </w:tblGrid>
      <w:tr w:rsidR="00E03711" w:rsidRPr="00F769E0" w14:paraId="7D39A0E8" w14:textId="77777777" w:rsidTr="00416BBB">
        <w:tc>
          <w:tcPr>
            <w:tcW w:w="5000" w:type="pct"/>
            <w:gridSpan w:val="2"/>
            <w:shd w:val="clear" w:color="auto" w:fill="auto"/>
          </w:tcPr>
          <w:p w14:paraId="7D39A0E7" w14:textId="77777777" w:rsidR="00E03711" w:rsidRPr="00F769E0" w:rsidRDefault="00E03711" w:rsidP="001923DD">
            <w:pPr>
              <w:pStyle w:val="GUIDE-NORMAL"/>
              <w:spacing w:before="0" w:after="0"/>
              <w:jc w:val="center"/>
              <w:rPr>
                <w:rFonts w:cs="Tahoma"/>
                <w:lang w:val="sl-SI" w:eastAsia="en-GB"/>
              </w:rPr>
            </w:pPr>
            <w:bookmarkStart w:id="348" w:name="_Toc527401208"/>
            <w:r w:rsidRPr="00F769E0">
              <w:rPr>
                <w:rFonts w:cs="Tahoma"/>
                <w:b/>
                <w:bCs/>
                <w:lang w:val="sl-SI" w:eastAsia="en-GB"/>
              </w:rPr>
              <w:t>Partnerske države</w:t>
            </w:r>
          </w:p>
        </w:tc>
      </w:tr>
      <w:tr w:rsidR="00E03711" w:rsidRPr="00F769E0" w14:paraId="7D39A0EB" w14:textId="77777777" w:rsidTr="00416BBB">
        <w:tc>
          <w:tcPr>
            <w:tcW w:w="3547" w:type="pct"/>
          </w:tcPr>
          <w:p w14:paraId="7D39A0E9" w14:textId="77777777" w:rsidR="00E03711" w:rsidRPr="00F769E0" w:rsidRDefault="00E03711" w:rsidP="001923DD">
            <w:pPr>
              <w:pStyle w:val="Guide-Table"/>
              <w:jc w:val="left"/>
              <w:rPr>
                <w:rFonts w:cs="Tahoma"/>
                <w:lang w:val="sl-SI" w:eastAsia="en-GB"/>
              </w:rPr>
            </w:pPr>
            <w:r w:rsidRPr="00F769E0">
              <w:rPr>
                <w:rFonts w:cs="Tahoma"/>
                <w:lang w:val="sl-SI" w:eastAsia="en-GB"/>
              </w:rPr>
              <w:t>Argentina</w:t>
            </w:r>
          </w:p>
        </w:tc>
        <w:tc>
          <w:tcPr>
            <w:tcW w:w="1453" w:type="pct"/>
          </w:tcPr>
          <w:p w14:paraId="7D39A0EA" w14:textId="77777777" w:rsidR="00E03711" w:rsidRPr="00F769E0" w:rsidRDefault="00E03711" w:rsidP="001923DD">
            <w:pPr>
              <w:pStyle w:val="Guide-Table"/>
              <w:rPr>
                <w:rFonts w:cs="Tahoma"/>
                <w:lang w:val="sl-SI" w:eastAsia="en-GB"/>
              </w:rPr>
            </w:pPr>
            <w:r w:rsidRPr="00F769E0">
              <w:rPr>
                <w:rFonts w:cs="Tahoma"/>
                <w:lang w:val="sl-SI" w:eastAsia="en-GB"/>
              </w:rPr>
              <w:t>44</w:t>
            </w:r>
          </w:p>
        </w:tc>
      </w:tr>
      <w:tr w:rsidR="00E03711" w:rsidRPr="00F769E0" w14:paraId="7D39A0EE" w14:textId="77777777" w:rsidTr="00416BBB">
        <w:trPr>
          <w:trHeight w:val="225"/>
        </w:trPr>
        <w:tc>
          <w:tcPr>
            <w:tcW w:w="3547" w:type="pct"/>
          </w:tcPr>
          <w:p w14:paraId="7D39A0EC" w14:textId="77777777" w:rsidR="00E03711" w:rsidRPr="00F769E0" w:rsidRDefault="00E03711" w:rsidP="001923DD">
            <w:pPr>
              <w:pStyle w:val="Guide-Table"/>
              <w:jc w:val="left"/>
              <w:rPr>
                <w:rFonts w:cs="Tahoma"/>
                <w:lang w:val="sl-SI" w:eastAsia="en-GB"/>
              </w:rPr>
            </w:pPr>
            <w:r w:rsidRPr="00F769E0">
              <w:rPr>
                <w:rFonts w:cs="Tahoma"/>
                <w:lang w:val="sl-SI" w:eastAsia="en-GB"/>
              </w:rPr>
              <w:t>Avstralija</w:t>
            </w:r>
          </w:p>
        </w:tc>
        <w:tc>
          <w:tcPr>
            <w:tcW w:w="1453" w:type="pct"/>
          </w:tcPr>
          <w:p w14:paraId="7D39A0ED" w14:textId="77777777" w:rsidR="00E03711" w:rsidRPr="00F769E0" w:rsidRDefault="00E03711" w:rsidP="001923DD">
            <w:pPr>
              <w:pStyle w:val="Guide-Table"/>
              <w:rPr>
                <w:rFonts w:cs="Tahoma"/>
                <w:lang w:val="sl-SI" w:eastAsia="en-GB"/>
              </w:rPr>
            </w:pPr>
            <w:r w:rsidRPr="00F769E0">
              <w:rPr>
                <w:rFonts w:cs="Tahoma"/>
                <w:lang w:val="sl-SI" w:eastAsia="en-GB"/>
              </w:rPr>
              <w:t>90</w:t>
            </w:r>
          </w:p>
        </w:tc>
      </w:tr>
      <w:tr w:rsidR="00E03711" w:rsidRPr="00F769E0" w14:paraId="7D39A0F1" w14:textId="77777777" w:rsidTr="00416BBB">
        <w:tc>
          <w:tcPr>
            <w:tcW w:w="3547" w:type="pct"/>
            <w:tcBorders>
              <w:top w:val="single" w:sz="4" w:space="0" w:color="auto"/>
              <w:left w:val="single" w:sz="4" w:space="0" w:color="auto"/>
              <w:bottom w:val="single" w:sz="4" w:space="0" w:color="auto"/>
              <w:right w:val="single" w:sz="4" w:space="0" w:color="auto"/>
            </w:tcBorders>
          </w:tcPr>
          <w:p w14:paraId="7D39A0EF" w14:textId="77777777" w:rsidR="00E03711" w:rsidRPr="00F769E0" w:rsidRDefault="00E03711" w:rsidP="001923DD">
            <w:pPr>
              <w:pStyle w:val="Guide-Table"/>
              <w:jc w:val="left"/>
              <w:rPr>
                <w:rFonts w:cs="Tahoma"/>
                <w:lang w:val="sl-SI" w:eastAsia="en-GB"/>
              </w:rPr>
            </w:pPr>
            <w:r w:rsidRPr="00F769E0">
              <w:rPr>
                <w:rFonts w:cs="Tahoma"/>
                <w:lang w:val="sl-SI" w:eastAsia="en-GB"/>
              </w:rPr>
              <w:t>Bahrajn</w:t>
            </w:r>
          </w:p>
        </w:tc>
        <w:tc>
          <w:tcPr>
            <w:tcW w:w="1453" w:type="pct"/>
            <w:tcBorders>
              <w:top w:val="single" w:sz="4" w:space="0" w:color="auto"/>
              <w:left w:val="single" w:sz="4" w:space="0" w:color="auto"/>
              <w:bottom w:val="single" w:sz="4" w:space="0" w:color="auto"/>
              <w:right w:val="single" w:sz="4" w:space="0" w:color="auto"/>
            </w:tcBorders>
          </w:tcPr>
          <w:p w14:paraId="7D39A0F0" w14:textId="77777777" w:rsidR="00E03711" w:rsidRPr="00F769E0" w:rsidRDefault="00E03711" w:rsidP="001923DD">
            <w:pPr>
              <w:pStyle w:val="Guide-Table"/>
              <w:rPr>
                <w:rFonts w:cs="Tahoma"/>
                <w:lang w:val="sl-SI" w:eastAsia="en-GB"/>
              </w:rPr>
            </w:pPr>
            <w:r w:rsidRPr="00F769E0">
              <w:rPr>
                <w:rFonts w:cs="Tahoma"/>
                <w:lang w:val="sl-SI" w:eastAsia="en-GB"/>
              </w:rPr>
              <w:t>43</w:t>
            </w:r>
          </w:p>
        </w:tc>
      </w:tr>
      <w:tr w:rsidR="00E03711" w:rsidRPr="00F769E0" w14:paraId="7D39A0F4" w14:textId="77777777" w:rsidTr="00416BBB">
        <w:tc>
          <w:tcPr>
            <w:tcW w:w="3547" w:type="pct"/>
            <w:tcBorders>
              <w:top w:val="single" w:sz="4" w:space="0" w:color="auto"/>
              <w:left w:val="single" w:sz="4" w:space="0" w:color="auto"/>
              <w:bottom w:val="single" w:sz="4" w:space="0" w:color="auto"/>
              <w:right w:val="single" w:sz="4" w:space="0" w:color="auto"/>
            </w:tcBorders>
          </w:tcPr>
          <w:p w14:paraId="7D39A0F2" w14:textId="77777777" w:rsidR="00E03711" w:rsidRPr="00F769E0" w:rsidRDefault="00E03711" w:rsidP="001923DD">
            <w:pPr>
              <w:pStyle w:val="Guide-Table"/>
              <w:jc w:val="left"/>
              <w:rPr>
                <w:rFonts w:cs="Tahoma"/>
                <w:lang w:val="sl-SI" w:eastAsia="en-GB"/>
              </w:rPr>
            </w:pPr>
            <w:r w:rsidRPr="00F769E0">
              <w:rPr>
                <w:rFonts w:cs="Tahoma"/>
                <w:lang w:val="sl-SI" w:eastAsia="en-GB"/>
              </w:rPr>
              <w:t>Barbados</w:t>
            </w:r>
          </w:p>
        </w:tc>
        <w:tc>
          <w:tcPr>
            <w:tcW w:w="1453" w:type="pct"/>
            <w:tcBorders>
              <w:top w:val="single" w:sz="4" w:space="0" w:color="auto"/>
              <w:left w:val="single" w:sz="4" w:space="0" w:color="auto"/>
              <w:bottom w:val="single" w:sz="4" w:space="0" w:color="auto"/>
              <w:right w:val="single" w:sz="4" w:space="0" w:color="auto"/>
            </w:tcBorders>
          </w:tcPr>
          <w:p w14:paraId="7D39A0F3" w14:textId="77777777" w:rsidR="00E03711" w:rsidRPr="00F769E0" w:rsidRDefault="00E03711" w:rsidP="001923DD">
            <w:pPr>
              <w:pStyle w:val="Guide-Table"/>
              <w:rPr>
                <w:rFonts w:cs="Tahoma"/>
                <w:lang w:val="sl-SI" w:eastAsia="en-GB"/>
              </w:rPr>
            </w:pPr>
            <w:r w:rsidRPr="00F769E0">
              <w:rPr>
                <w:rFonts w:cs="Tahoma"/>
                <w:lang w:val="sl-SI" w:eastAsia="en-GB"/>
              </w:rPr>
              <w:t>41</w:t>
            </w:r>
          </w:p>
        </w:tc>
      </w:tr>
      <w:tr w:rsidR="00E03711" w:rsidRPr="00F769E0" w14:paraId="7D39A0F7" w14:textId="77777777" w:rsidTr="00416BBB">
        <w:tc>
          <w:tcPr>
            <w:tcW w:w="3547" w:type="pct"/>
            <w:tcBorders>
              <w:top w:val="single" w:sz="4" w:space="0" w:color="auto"/>
              <w:left w:val="single" w:sz="4" w:space="0" w:color="auto"/>
              <w:bottom w:val="single" w:sz="4" w:space="0" w:color="auto"/>
              <w:right w:val="single" w:sz="4" w:space="0" w:color="auto"/>
            </w:tcBorders>
          </w:tcPr>
          <w:p w14:paraId="7D39A0F5" w14:textId="77777777" w:rsidR="00E03711" w:rsidRPr="00F769E0" w:rsidRDefault="00E03711" w:rsidP="001923DD">
            <w:pPr>
              <w:pStyle w:val="Guide-Table"/>
              <w:jc w:val="left"/>
              <w:rPr>
                <w:rFonts w:cs="Tahoma"/>
                <w:lang w:val="sl-SI" w:eastAsia="en-GB"/>
              </w:rPr>
            </w:pPr>
            <w:r w:rsidRPr="00F769E0">
              <w:rPr>
                <w:rFonts w:cs="Tahoma"/>
                <w:lang w:val="sl-SI" w:eastAsia="en-GB"/>
              </w:rPr>
              <w:t>Brunej</w:t>
            </w:r>
          </w:p>
        </w:tc>
        <w:tc>
          <w:tcPr>
            <w:tcW w:w="1453" w:type="pct"/>
            <w:tcBorders>
              <w:top w:val="single" w:sz="4" w:space="0" w:color="auto"/>
              <w:left w:val="single" w:sz="4" w:space="0" w:color="auto"/>
              <w:bottom w:val="single" w:sz="4" w:space="0" w:color="auto"/>
              <w:right w:val="single" w:sz="4" w:space="0" w:color="auto"/>
            </w:tcBorders>
          </w:tcPr>
          <w:p w14:paraId="7D39A0F6" w14:textId="77777777" w:rsidR="00E03711" w:rsidRPr="00F769E0" w:rsidRDefault="00E03711" w:rsidP="001923DD">
            <w:pPr>
              <w:pStyle w:val="Guide-Table"/>
              <w:rPr>
                <w:rFonts w:cs="Tahoma"/>
                <w:lang w:val="sl-SI" w:eastAsia="en-GB"/>
              </w:rPr>
            </w:pPr>
            <w:r w:rsidRPr="00F769E0">
              <w:rPr>
                <w:rFonts w:cs="Tahoma"/>
                <w:lang w:val="sl-SI" w:eastAsia="en-GB"/>
              </w:rPr>
              <w:t>115</w:t>
            </w:r>
          </w:p>
        </w:tc>
      </w:tr>
      <w:tr w:rsidR="00E03711" w:rsidRPr="00F769E0" w14:paraId="7D39A0FA" w14:textId="77777777" w:rsidTr="00416BBB">
        <w:tc>
          <w:tcPr>
            <w:tcW w:w="3547" w:type="pct"/>
            <w:tcBorders>
              <w:top w:val="single" w:sz="4" w:space="0" w:color="auto"/>
              <w:left w:val="single" w:sz="4" w:space="0" w:color="auto"/>
              <w:bottom w:val="single" w:sz="4" w:space="0" w:color="auto"/>
              <w:right w:val="single" w:sz="4" w:space="0" w:color="auto"/>
            </w:tcBorders>
          </w:tcPr>
          <w:p w14:paraId="7D39A0F8" w14:textId="77777777" w:rsidR="00E03711" w:rsidRPr="00F769E0" w:rsidRDefault="00E03711" w:rsidP="001923DD">
            <w:pPr>
              <w:pStyle w:val="Guide-Table"/>
              <w:jc w:val="left"/>
              <w:rPr>
                <w:rFonts w:cs="Tahoma"/>
                <w:lang w:val="sl-SI" w:eastAsia="en-GB"/>
              </w:rPr>
            </w:pPr>
            <w:r w:rsidRPr="00F769E0">
              <w:rPr>
                <w:rFonts w:cs="Tahoma"/>
                <w:lang w:val="sl-SI" w:eastAsia="en-GB"/>
              </w:rPr>
              <w:t>Kanada</w:t>
            </w:r>
          </w:p>
        </w:tc>
        <w:tc>
          <w:tcPr>
            <w:tcW w:w="1453" w:type="pct"/>
            <w:tcBorders>
              <w:top w:val="single" w:sz="4" w:space="0" w:color="auto"/>
              <w:left w:val="single" w:sz="4" w:space="0" w:color="auto"/>
              <w:bottom w:val="single" w:sz="4" w:space="0" w:color="auto"/>
              <w:right w:val="single" w:sz="4" w:space="0" w:color="auto"/>
            </w:tcBorders>
          </w:tcPr>
          <w:p w14:paraId="7D39A0F9" w14:textId="77777777" w:rsidR="00E03711" w:rsidRPr="00F769E0" w:rsidRDefault="00E03711" w:rsidP="001923DD">
            <w:pPr>
              <w:pStyle w:val="Guide-Table"/>
              <w:rPr>
                <w:rFonts w:cs="Tahoma"/>
                <w:lang w:val="sl-SI" w:eastAsia="en-GB"/>
              </w:rPr>
            </w:pPr>
            <w:r w:rsidRPr="00F769E0">
              <w:rPr>
                <w:rFonts w:cs="Tahoma"/>
                <w:lang w:val="sl-SI" w:eastAsia="en-GB"/>
              </w:rPr>
              <w:t>89</w:t>
            </w:r>
          </w:p>
        </w:tc>
      </w:tr>
      <w:tr w:rsidR="00E03711" w:rsidRPr="00F769E0" w14:paraId="7D39A0FD" w14:textId="77777777" w:rsidTr="00416BBB">
        <w:tc>
          <w:tcPr>
            <w:tcW w:w="3547" w:type="pct"/>
            <w:tcBorders>
              <w:top w:val="single" w:sz="4" w:space="0" w:color="auto"/>
              <w:left w:val="single" w:sz="4" w:space="0" w:color="auto"/>
              <w:bottom w:val="single" w:sz="4" w:space="0" w:color="auto"/>
              <w:right w:val="single" w:sz="4" w:space="0" w:color="auto"/>
            </w:tcBorders>
          </w:tcPr>
          <w:p w14:paraId="7D39A0FB" w14:textId="77777777" w:rsidR="00E03711" w:rsidRPr="00F769E0" w:rsidRDefault="00E03711" w:rsidP="001923DD">
            <w:pPr>
              <w:pStyle w:val="Guide-Table"/>
              <w:jc w:val="left"/>
              <w:rPr>
                <w:rFonts w:cs="Tahoma"/>
                <w:lang w:val="sl-SI" w:eastAsia="en-GB"/>
              </w:rPr>
            </w:pPr>
            <w:r w:rsidRPr="00F769E0">
              <w:rPr>
                <w:rFonts w:cs="Tahoma"/>
                <w:lang w:val="sl-SI" w:eastAsia="en-GB"/>
              </w:rPr>
              <w:t>Ekvatorialna Gvineja</w:t>
            </w:r>
          </w:p>
        </w:tc>
        <w:tc>
          <w:tcPr>
            <w:tcW w:w="1453" w:type="pct"/>
            <w:tcBorders>
              <w:top w:val="single" w:sz="4" w:space="0" w:color="auto"/>
              <w:left w:val="single" w:sz="4" w:space="0" w:color="auto"/>
              <w:bottom w:val="single" w:sz="4" w:space="0" w:color="auto"/>
              <w:right w:val="single" w:sz="4" w:space="0" w:color="auto"/>
            </w:tcBorders>
          </w:tcPr>
          <w:p w14:paraId="7D39A0FC" w14:textId="77777777" w:rsidR="00E03711" w:rsidRPr="00F769E0" w:rsidRDefault="00E03711" w:rsidP="001923DD">
            <w:pPr>
              <w:pStyle w:val="Guide-Table"/>
              <w:rPr>
                <w:rFonts w:cs="Tahoma"/>
                <w:lang w:val="sl-SI" w:eastAsia="en-GB"/>
              </w:rPr>
            </w:pPr>
            <w:r w:rsidRPr="00F769E0">
              <w:rPr>
                <w:rFonts w:cs="Tahoma"/>
                <w:lang w:val="sl-SI" w:eastAsia="en-GB"/>
              </w:rPr>
              <w:t>57</w:t>
            </w:r>
          </w:p>
        </w:tc>
      </w:tr>
      <w:tr w:rsidR="00E03711" w:rsidRPr="00F769E0" w14:paraId="7D39A100" w14:textId="77777777" w:rsidTr="00416BBB">
        <w:tc>
          <w:tcPr>
            <w:tcW w:w="3547" w:type="pct"/>
            <w:tcBorders>
              <w:top w:val="single" w:sz="4" w:space="0" w:color="auto"/>
              <w:left w:val="single" w:sz="4" w:space="0" w:color="auto"/>
              <w:bottom w:val="single" w:sz="4" w:space="0" w:color="auto"/>
              <w:right w:val="single" w:sz="4" w:space="0" w:color="auto"/>
            </w:tcBorders>
          </w:tcPr>
          <w:p w14:paraId="7D39A0FE" w14:textId="77777777" w:rsidR="00E03711" w:rsidRPr="00F769E0" w:rsidRDefault="00E03711" w:rsidP="001923DD">
            <w:pPr>
              <w:pStyle w:val="Guide-Table"/>
              <w:jc w:val="left"/>
              <w:rPr>
                <w:rFonts w:cs="Tahoma"/>
                <w:lang w:val="sl-SI" w:eastAsia="en-GB"/>
              </w:rPr>
            </w:pPr>
            <w:r w:rsidRPr="00F769E0">
              <w:rPr>
                <w:rFonts w:cs="Tahoma"/>
                <w:lang w:val="sl-SI" w:eastAsia="en-GB"/>
              </w:rPr>
              <w:t>Hongkong</w:t>
            </w:r>
          </w:p>
        </w:tc>
        <w:tc>
          <w:tcPr>
            <w:tcW w:w="1453" w:type="pct"/>
            <w:tcBorders>
              <w:top w:val="single" w:sz="4" w:space="0" w:color="auto"/>
              <w:left w:val="single" w:sz="4" w:space="0" w:color="auto"/>
              <w:bottom w:val="single" w:sz="4" w:space="0" w:color="auto"/>
              <w:right w:val="single" w:sz="4" w:space="0" w:color="auto"/>
            </w:tcBorders>
          </w:tcPr>
          <w:p w14:paraId="7D39A0FF" w14:textId="77777777" w:rsidR="00E03711" w:rsidRPr="00F769E0" w:rsidRDefault="00E03711" w:rsidP="001923DD">
            <w:pPr>
              <w:pStyle w:val="Guide-Table"/>
              <w:rPr>
                <w:rFonts w:cs="Tahoma"/>
                <w:lang w:val="sl-SI" w:eastAsia="en-GB"/>
              </w:rPr>
            </w:pPr>
            <w:r w:rsidRPr="00F769E0">
              <w:rPr>
                <w:rFonts w:cs="Tahoma"/>
                <w:lang w:val="sl-SI" w:eastAsia="en-GB"/>
              </w:rPr>
              <w:t>117</w:t>
            </w:r>
          </w:p>
        </w:tc>
      </w:tr>
      <w:tr w:rsidR="00E03711" w:rsidRPr="00F769E0" w14:paraId="7D39A103" w14:textId="77777777" w:rsidTr="00416BBB">
        <w:tc>
          <w:tcPr>
            <w:tcW w:w="3547" w:type="pct"/>
            <w:tcBorders>
              <w:top w:val="single" w:sz="4" w:space="0" w:color="auto"/>
              <w:left w:val="single" w:sz="4" w:space="0" w:color="auto"/>
              <w:bottom w:val="single" w:sz="4" w:space="0" w:color="auto"/>
              <w:right w:val="single" w:sz="4" w:space="0" w:color="auto"/>
            </w:tcBorders>
          </w:tcPr>
          <w:p w14:paraId="7D39A101" w14:textId="77777777" w:rsidR="00E03711" w:rsidRPr="00F769E0" w:rsidRDefault="00E03711" w:rsidP="001923DD">
            <w:pPr>
              <w:pStyle w:val="Guide-Table"/>
              <w:jc w:val="left"/>
              <w:rPr>
                <w:rFonts w:cs="Tahoma"/>
                <w:lang w:val="sl-SI" w:eastAsia="en-GB"/>
              </w:rPr>
            </w:pPr>
            <w:r w:rsidRPr="00F769E0">
              <w:rPr>
                <w:rFonts w:cs="Tahoma"/>
                <w:lang w:val="sl-SI" w:eastAsia="en-GB"/>
              </w:rPr>
              <w:t>Izrael</w:t>
            </w:r>
          </w:p>
        </w:tc>
        <w:tc>
          <w:tcPr>
            <w:tcW w:w="1453" w:type="pct"/>
            <w:tcBorders>
              <w:top w:val="single" w:sz="4" w:space="0" w:color="auto"/>
              <w:left w:val="single" w:sz="4" w:space="0" w:color="auto"/>
              <w:bottom w:val="single" w:sz="4" w:space="0" w:color="auto"/>
              <w:right w:val="single" w:sz="4" w:space="0" w:color="auto"/>
            </w:tcBorders>
          </w:tcPr>
          <w:p w14:paraId="7D39A102" w14:textId="77777777" w:rsidR="00E03711" w:rsidRPr="00F769E0" w:rsidRDefault="00E03711" w:rsidP="001923DD">
            <w:pPr>
              <w:pStyle w:val="Guide-Table"/>
              <w:rPr>
                <w:rFonts w:cs="Tahoma"/>
                <w:lang w:val="sl-SI" w:eastAsia="en-GB"/>
              </w:rPr>
            </w:pPr>
            <w:r w:rsidRPr="00F769E0">
              <w:rPr>
                <w:rFonts w:cs="Tahoma"/>
                <w:lang w:val="sl-SI" w:eastAsia="en-GB"/>
              </w:rPr>
              <w:t>63</w:t>
            </w:r>
          </w:p>
        </w:tc>
      </w:tr>
      <w:tr w:rsidR="00E03711" w:rsidRPr="00F769E0" w14:paraId="7D39A106" w14:textId="77777777" w:rsidTr="00416BBB">
        <w:tc>
          <w:tcPr>
            <w:tcW w:w="3547" w:type="pct"/>
          </w:tcPr>
          <w:p w14:paraId="7D39A104" w14:textId="77777777" w:rsidR="00E03711" w:rsidRPr="00F769E0" w:rsidRDefault="00E03711" w:rsidP="001923DD">
            <w:pPr>
              <w:pStyle w:val="Guide-Table"/>
              <w:jc w:val="left"/>
              <w:rPr>
                <w:rFonts w:cs="Tahoma"/>
                <w:lang w:val="sl-SI" w:eastAsia="en-GB"/>
              </w:rPr>
            </w:pPr>
            <w:r w:rsidRPr="00F769E0">
              <w:rPr>
                <w:rFonts w:cs="Tahoma"/>
                <w:lang w:val="sl-SI" w:eastAsia="en-GB"/>
              </w:rPr>
              <w:t>Japonska</w:t>
            </w:r>
          </w:p>
        </w:tc>
        <w:tc>
          <w:tcPr>
            <w:tcW w:w="1453" w:type="pct"/>
          </w:tcPr>
          <w:p w14:paraId="7D39A105" w14:textId="77777777" w:rsidR="00E03711" w:rsidRPr="00F769E0" w:rsidRDefault="00E03711" w:rsidP="001923DD">
            <w:pPr>
              <w:pStyle w:val="Guide-Table"/>
              <w:rPr>
                <w:rFonts w:cs="Tahoma"/>
                <w:lang w:val="sl-SI" w:eastAsia="en-GB"/>
              </w:rPr>
            </w:pPr>
            <w:r w:rsidRPr="00F769E0">
              <w:rPr>
                <w:rFonts w:cs="Tahoma"/>
                <w:lang w:val="sl-SI" w:eastAsia="en-GB"/>
              </w:rPr>
              <w:t>78</w:t>
            </w:r>
          </w:p>
        </w:tc>
      </w:tr>
      <w:tr w:rsidR="00E03711" w:rsidRPr="00F769E0" w14:paraId="7D39A109" w14:textId="77777777" w:rsidTr="00416BBB">
        <w:tc>
          <w:tcPr>
            <w:tcW w:w="3547" w:type="pct"/>
            <w:tcBorders>
              <w:top w:val="single" w:sz="4" w:space="0" w:color="auto"/>
              <w:left w:val="single" w:sz="4" w:space="0" w:color="auto"/>
              <w:bottom w:val="single" w:sz="4" w:space="0" w:color="auto"/>
              <w:right w:val="single" w:sz="4" w:space="0" w:color="auto"/>
            </w:tcBorders>
          </w:tcPr>
          <w:p w14:paraId="7D39A107" w14:textId="77777777" w:rsidR="00E03711" w:rsidRPr="00F769E0" w:rsidRDefault="00E03711" w:rsidP="001923DD">
            <w:pPr>
              <w:pStyle w:val="Guide-Table"/>
              <w:jc w:val="left"/>
              <w:rPr>
                <w:rFonts w:cs="Tahoma"/>
                <w:lang w:val="sl-SI" w:eastAsia="en-GB"/>
              </w:rPr>
            </w:pPr>
            <w:r w:rsidRPr="00F769E0">
              <w:rPr>
                <w:rFonts w:cs="Tahoma"/>
                <w:lang w:val="sl-SI" w:eastAsia="en-GB"/>
              </w:rPr>
              <w:t>Republika Koreja</w:t>
            </w:r>
          </w:p>
        </w:tc>
        <w:tc>
          <w:tcPr>
            <w:tcW w:w="1453" w:type="pct"/>
            <w:tcBorders>
              <w:top w:val="single" w:sz="4" w:space="0" w:color="auto"/>
              <w:left w:val="single" w:sz="4" w:space="0" w:color="auto"/>
              <w:bottom w:val="single" w:sz="4" w:space="0" w:color="auto"/>
              <w:right w:val="single" w:sz="4" w:space="0" w:color="auto"/>
            </w:tcBorders>
          </w:tcPr>
          <w:p w14:paraId="7D39A108" w14:textId="77777777" w:rsidR="00E03711" w:rsidRPr="00F769E0" w:rsidRDefault="00E03711" w:rsidP="001923DD">
            <w:pPr>
              <w:pStyle w:val="Guide-Table"/>
              <w:rPr>
                <w:rFonts w:cs="Tahoma"/>
                <w:lang w:val="sl-SI" w:eastAsia="en-GB"/>
              </w:rPr>
            </w:pPr>
            <w:r w:rsidRPr="00F769E0">
              <w:rPr>
                <w:rFonts w:cs="Tahoma"/>
                <w:lang w:val="sl-SI" w:eastAsia="en-GB"/>
              </w:rPr>
              <w:t>67</w:t>
            </w:r>
          </w:p>
        </w:tc>
      </w:tr>
      <w:tr w:rsidR="00E03711" w:rsidRPr="00F769E0" w14:paraId="7D39A10C" w14:textId="77777777" w:rsidTr="00416BBB">
        <w:tc>
          <w:tcPr>
            <w:tcW w:w="3547" w:type="pct"/>
          </w:tcPr>
          <w:p w14:paraId="7D39A10A" w14:textId="77777777" w:rsidR="00E03711" w:rsidRPr="00F769E0" w:rsidRDefault="00E03711" w:rsidP="001923DD">
            <w:pPr>
              <w:pStyle w:val="Guide-Table"/>
              <w:jc w:val="left"/>
              <w:rPr>
                <w:rFonts w:cs="Tahoma"/>
                <w:lang w:val="sl-SI" w:eastAsia="en-GB"/>
              </w:rPr>
            </w:pPr>
            <w:r w:rsidRPr="00F769E0">
              <w:rPr>
                <w:rFonts w:cs="Tahoma"/>
                <w:lang w:val="sl-SI" w:eastAsia="en-GB"/>
              </w:rPr>
              <w:t>Kuvajt</w:t>
            </w:r>
          </w:p>
        </w:tc>
        <w:tc>
          <w:tcPr>
            <w:tcW w:w="1453" w:type="pct"/>
          </w:tcPr>
          <w:p w14:paraId="7D39A10B" w14:textId="77777777" w:rsidR="00E03711" w:rsidRPr="00F769E0" w:rsidRDefault="00E03711" w:rsidP="001923DD">
            <w:pPr>
              <w:pStyle w:val="Guide-Table"/>
              <w:rPr>
                <w:rFonts w:cs="Tahoma"/>
                <w:lang w:val="sl-SI" w:eastAsia="en-GB"/>
              </w:rPr>
            </w:pPr>
            <w:r w:rsidRPr="00F769E0">
              <w:rPr>
                <w:rFonts w:cs="Tahoma"/>
                <w:lang w:val="sl-SI" w:eastAsia="en-GB"/>
              </w:rPr>
              <w:t>110</w:t>
            </w:r>
          </w:p>
        </w:tc>
      </w:tr>
      <w:tr w:rsidR="00E03711" w:rsidRPr="00F769E0" w14:paraId="7D39A10F" w14:textId="77777777" w:rsidTr="00416BBB">
        <w:tc>
          <w:tcPr>
            <w:tcW w:w="3547" w:type="pct"/>
            <w:tcBorders>
              <w:top w:val="single" w:sz="4" w:space="0" w:color="auto"/>
              <w:left w:val="single" w:sz="4" w:space="0" w:color="auto"/>
              <w:bottom w:val="single" w:sz="4" w:space="0" w:color="auto"/>
              <w:right w:val="single" w:sz="4" w:space="0" w:color="auto"/>
            </w:tcBorders>
          </w:tcPr>
          <w:p w14:paraId="7D39A10D" w14:textId="77777777" w:rsidR="00E03711" w:rsidRPr="00F769E0" w:rsidRDefault="00E03711" w:rsidP="001923DD">
            <w:pPr>
              <w:pStyle w:val="Guide-Table"/>
              <w:jc w:val="left"/>
              <w:rPr>
                <w:rFonts w:cs="Tahoma"/>
                <w:lang w:val="sl-SI" w:eastAsia="en-GB"/>
              </w:rPr>
            </w:pPr>
            <w:r w:rsidRPr="00F769E0">
              <w:rPr>
                <w:rFonts w:cs="Tahoma"/>
                <w:lang w:val="sl-SI" w:eastAsia="en-GB"/>
              </w:rPr>
              <w:t>Macau</w:t>
            </w:r>
          </w:p>
        </w:tc>
        <w:tc>
          <w:tcPr>
            <w:tcW w:w="1453" w:type="pct"/>
            <w:tcBorders>
              <w:top w:val="single" w:sz="4" w:space="0" w:color="auto"/>
              <w:left w:val="single" w:sz="4" w:space="0" w:color="auto"/>
              <w:bottom w:val="single" w:sz="4" w:space="0" w:color="auto"/>
              <w:right w:val="single" w:sz="4" w:space="0" w:color="auto"/>
            </w:tcBorders>
          </w:tcPr>
          <w:p w14:paraId="7D39A10E" w14:textId="77777777" w:rsidR="00E03711" w:rsidRPr="00F769E0" w:rsidRDefault="00E03711" w:rsidP="001923DD">
            <w:pPr>
              <w:pStyle w:val="Guide-Table"/>
              <w:rPr>
                <w:rFonts w:cs="Tahoma"/>
                <w:lang w:val="sl-SI" w:eastAsia="en-GB"/>
              </w:rPr>
            </w:pPr>
            <w:r w:rsidRPr="00F769E0">
              <w:rPr>
                <w:rFonts w:cs="Tahoma"/>
                <w:lang w:val="sl-SI" w:eastAsia="en-GB"/>
              </w:rPr>
              <w:t>154</w:t>
            </w:r>
          </w:p>
        </w:tc>
      </w:tr>
      <w:tr w:rsidR="00E03711" w:rsidRPr="00F769E0" w14:paraId="7D39A112" w14:textId="77777777" w:rsidTr="00416BBB">
        <w:tc>
          <w:tcPr>
            <w:tcW w:w="3547" w:type="pct"/>
            <w:tcBorders>
              <w:top w:val="single" w:sz="4" w:space="0" w:color="auto"/>
              <w:left w:val="single" w:sz="4" w:space="0" w:color="auto"/>
              <w:bottom w:val="single" w:sz="4" w:space="0" w:color="auto"/>
              <w:right w:val="single" w:sz="4" w:space="0" w:color="auto"/>
            </w:tcBorders>
          </w:tcPr>
          <w:p w14:paraId="7D39A110" w14:textId="77777777" w:rsidR="00E03711" w:rsidRPr="00F769E0" w:rsidRDefault="00E03711" w:rsidP="001923DD">
            <w:pPr>
              <w:pStyle w:val="Guide-Table"/>
              <w:jc w:val="left"/>
              <w:rPr>
                <w:rFonts w:cs="Tahoma"/>
                <w:lang w:val="sl-SI" w:eastAsia="en-GB"/>
              </w:rPr>
            </w:pPr>
            <w:r w:rsidRPr="00F769E0">
              <w:rPr>
                <w:rFonts w:cs="Tahoma"/>
                <w:lang w:val="sl-SI" w:eastAsia="en-GB"/>
              </w:rPr>
              <w:t>Nova Zelandija</w:t>
            </w:r>
          </w:p>
        </w:tc>
        <w:tc>
          <w:tcPr>
            <w:tcW w:w="1453" w:type="pct"/>
            <w:tcBorders>
              <w:top w:val="single" w:sz="4" w:space="0" w:color="auto"/>
              <w:left w:val="single" w:sz="4" w:space="0" w:color="auto"/>
              <w:bottom w:val="single" w:sz="4" w:space="0" w:color="auto"/>
              <w:right w:val="single" w:sz="4" w:space="0" w:color="auto"/>
            </w:tcBorders>
          </w:tcPr>
          <w:p w14:paraId="7D39A111" w14:textId="77777777" w:rsidR="00E03711" w:rsidRPr="00F769E0" w:rsidRDefault="00E03711" w:rsidP="001923DD">
            <w:pPr>
              <w:pStyle w:val="Guide-Table"/>
              <w:rPr>
                <w:rFonts w:cs="Tahoma"/>
                <w:lang w:val="sl-SI" w:eastAsia="en-GB"/>
              </w:rPr>
            </w:pPr>
            <w:r w:rsidRPr="00F769E0">
              <w:rPr>
                <w:rFonts w:cs="Tahoma"/>
                <w:lang w:val="sl-SI" w:eastAsia="en-GB"/>
              </w:rPr>
              <w:t>67</w:t>
            </w:r>
          </w:p>
        </w:tc>
      </w:tr>
      <w:tr w:rsidR="00E03711" w:rsidRPr="00F769E0" w14:paraId="7D39A115" w14:textId="77777777" w:rsidTr="00416BBB">
        <w:tc>
          <w:tcPr>
            <w:tcW w:w="3547" w:type="pct"/>
            <w:tcBorders>
              <w:top w:val="single" w:sz="4" w:space="0" w:color="auto"/>
              <w:left w:val="single" w:sz="4" w:space="0" w:color="auto"/>
              <w:bottom w:val="single" w:sz="4" w:space="0" w:color="auto"/>
              <w:right w:val="single" w:sz="4" w:space="0" w:color="auto"/>
            </w:tcBorders>
          </w:tcPr>
          <w:p w14:paraId="7D39A113" w14:textId="77777777" w:rsidR="00E03711" w:rsidRPr="00F769E0" w:rsidRDefault="00E03711" w:rsidP="001923DD">
            <w:pPr>
              <w:pStyle w:val="Guide-Table"/>
              <w:jc w:val="left"/>
              <w:rPr>
                <w:rFonts w:cs="Tahoma"/>
                <w:lang w:val="sl-SI" w:eastAsia="en-GB"/>
              </w:rPr>
            </w:pPr>
            <w:r w:rsidRPr="00F769E0">
              <w:rPr>
                <w:rFonts w:cs="Tahoma"/>
                <w:lang w:val="sl-SI" w:eastAsia="en-GB"/>
              </w:rPr>
              <w:t>Oman</w:t>
            </w:r>
          </w:p>
        </w:tc>
        <w:tc>
          <w:tcPr>
            <w:tcW w:w="1453" w:type="pct"/>
            <w:tcBorders>
              <w:top w:val="single" w:sz="4" w:space="0" w:color="auto"/>
              <w:left w:val="single" w:sz="4" w:space="0" w:color="auto"/>
              <w:bottom w:val="single" w:sz="4" w:space="0" w:color="auto"/>
              <w:right w:val="single" w:sz="4" w:space="0" w:color="auto"/>
            </w:tcBorders>
          </w:tcPr>
          <w:p w14:paraId="7D39A114" w14:textId="77777777" w:rsidR="00E03711" w:rsidRPr="00F769E0" w:rsidRDefault="00E03711" w:rsidP="001923DD">
            <w:pPr>
              <w:pStyle w:val="Guide-Table"/>
              <w:rPr>
                <w:rFonts w:cs="Tahoma"/>
                <w:lang w:val="sl-SI" w:eastAsia="en-GB"/>
              </w:rPr>
            </w:pPr>
            <w:r w:rsidRPr="00F769E0">
              <w:rPr>
                <w:rFonts w:cs="Tahoma"/>
                <w:lang w:val="sl-SI" w:eastAsia="en-GB"/>
              </w:rPr>
              <w:t>57</w:t>
            </w:r>
          </w:p>
        </w:tc>
      </w:tr>
      <w:tr w:rsidR="00E03711" w:rsidRPr="00F769E0" w14:paraId="7D39A118" w14:textId="77777777" w:rsidTr="00416BBB">
        <w:tc>
          <w:tcPr>
            <w:tcW w:w="3547" w:type="pct"/>
            <w:tcBorders>
              <w:top w:val="single" w:sz="4" w:space="0" w:color="auto"/>
              <w:left w:val="single" w:sz="4" w:space="0" w:color="auto"/>
              <w:bottom w:val="single" w:sz="4" w:space="0" w:color="auto"/>
              <w:right w:val="single" w:sz="4" w:space="0" w:color="auto"/>
            </w:tcBorders>
          </w:tcPr>
          <w:p w14:paraId="7D39A116" w14:textId="77777777" w:rsidR="00E03711" w:rsidRPr="00F769E0" w:rsidRDefault="00E03711" w:rsidP="001923DD">
            <w:pPr>
              <w:pStyle w:val="Guide-Table"/>
              <w:jc w:val="left"/>
              <w:rPr>
                <w:rFonts w:cs="Tahoma"/>
                <w:lang w:val="sl-SI" w:eastAsia="en-GB"/>
              </w:rPr>
            </w:pPr>
            <w:r w:rsidRPr="00F769E0">
              <w:rPr>
                <w:rFonts w:cs="Tahoma"/>
                <w:lang w:val="sl-SI" w:eastAsia="en-GB"/>
              </w:rPr>
              <w:t>Katar</w:t>
            </w:r>
          </w:p>
        </w:tc>
        <w:tc>
          <w:tcPr>
            <w:tcW w:w="1453" w:type="pct"/>
            <w:tcBorders>
              <w:top w:val="single" w:sz="4" w:space="0" w:color="auto"/>
              <w:left w:val="single" w:sz="4" w:space="0" w:color="auto"/>
              <w:bottom w:val="single" w:sz="4" w:space="0" w:color="auto"/>
              <w:right w:val="single" w:sz="4" w:space="0" w:color="auto"/>
            </w:tcBorders>
          </w:tcPr>
          <w:p w14:paraId="7D39A117" w14:textId="77777777" w:rsidR="00E03711" w:rsidRPr="00F769E0" w:rsidRDefault="00E03711" w:rsidP="001923DD">
            <w:pPr>
              <w:pStyle w:val="Guide-Table"/>
              <w:rPr>
                <w:rFonts w:cs="Tahoma"/>
                <w:lang w:val="sl-SI" w:eastAsia="en-GB"/>
              </w:rPr>
            </w:pPr>
            <w:r w:rsidRPr="00F769E0">
              <w:rPr>
                <w:rFonts w:cs="Tahoma"/>
                <w:lang w:val="sl-SI" w:eastAsia="en-GB"/>
              </w:rPr>
              <w:t>194</w:t>
            </w:r>
          </w:p>
        </w:tc>
      </w:tr>
      <w:tr w:rsidR="00E03711" w:rsidRPr="00F769E0" w14:paraId="7D39A11B" w14:textId="77777777" w:rsidTr="00416BBB">
        <w:tc>
          <w:tcPr>
            <w:tcW w:w="3547" w:type="pct"/>
            <w:tcBorders>
              <w:top w:val="single" w:sz="4" w:space="0" w:color="auto"/>
              <w:left w:val="single" w:sz="4" w:space="0" w:color="auto"/>
              <w:bottom w:val="single" w:sz="4" w:space="0" w:color="auto"/>
              <w:right w:val="single" w:sz="4" w:space="0" w:color="auto"/>
            </w:tcBorders>
          </w:tcPr>
          <w:p w14:paraId="7D39A119" w14:textId="77777777" w:rsidR="00E03711" w:rsidRPr="00F769E0" w:rsidRDefault="00E03711" w:rsidP="001923DD">
            <w:pPr>
              <w:pStyle w:val="Guide-Table"/>
              <w:jc w:val="left"/>
              <w:rPr>
                <w:rFonts w:cs="Tahoma"/>
                <w:lang w:val="sl-SI" w:eastAsia="en-GB"/>
              </w:rPr>
            </w:pPr>
            <w:r w:rsidRPr="00F769E0">
              <w:rPr>
                <w:rFonts w:cs="Tahoma"/>
                <w:lang w:val="sl-SI" w:eastAsia="en-GB"/>
              </w:rPr>
              <w:t>Saudova Arabija</w:t>
            </w:r>
          </w:p>
        </w:tc>
        <w:tc>
          <w:tcPr>
            <w:tcW w:w="1453" w:type="pct"/>
            <w:tcBorders>
              <w:top w:val="single" w:sz="4" w:space="0" w:color="auto"/>
              <w:left w:val="single" w:sz="4" w:space="0" w:color="auto"/>
              <w:bottom w:val="single" w:sz="4" w:space="0" w:color="auto"/>
              <w:right w:val="single" w:sz="4" w:space="0" w:color="auto"/>
            </w:tcBorders>
          </w:tcPr>
          <w:p w14:paraId="7D39A11A" w14:textId="77777777" w:rsidR="00E03711" w:rsidRPr="00F769E0" w:rsidRDefault="00E03711" w:rsidP="001923DD">
            <w:pPr>
              <w:pStyle w:val="Guide-Table"/>
              <w:rPr>
                <w:rFonts w:cs="Tahoma"/>
                <w:lang w:val="sl-SI" w:eastAsia="en-GB"/>
              </w:rPr>
            </w:pPr>
            <w:r w:rsidRPr="00F769E0">
              <w:rPr>
                <w:rFonts w:cs="Tahoma"/>
                <w:lang w:val="sl-SI" w:eastAsia="en-GB"/>
              </w:rPr>
              <w:t>55</w:t>
            </w:r>
          </w:p>
        </w:tc>
      </w:tr>
      <w:tr w:rsidR="00E03711" w:rsidRPr="00F769E0" w14:paraId="7D39A11E" w14:textId="77777777" w:rsidTr="00416BBB">
        <w:tc>
          <w:tcPr>
            <w:tcW w:w="3547" w:type="pct"/>
            <w:tcBorders>
              <w:top w:val="single" w:sz="4" w:space="0" w:color="auto"/>
              <w:left w:val="single" w:sz="4" w:space="0" w:color="auto"/>
              <w:bottom w:val="single" w:sz="4" w:space="0" w:color="auto"/>
              <w:right w:val="single" w:sz="4" w:space="0" w:color="auto"/>
            </w:tcBorders>
          </w:tcPr>
          <w:p w14:paraId="7D39A11C" w14:textId="77777777" w:rsidR="00E03711" w:rsidRPr="00F769E0" w:rsidRDefault="00E03711" w:rsidP="001923DD">
            <w:pPr>
              <w:pStyle w:val="Guide-Table"/>
              <w:jc w:val="left"/>
              <w:rPr>
                <w:rFonts w:cs="Tahoma"/>
                <w:lang w:val="sl-SI" w:eastAsia="en-GB"/>
              </w:rPr>
            </w:pPr>
            <w:r w:rsidRPr="00F769E0">
              <w:rPr>
                <w:rFonts w:cs="Tahoma"/>
                <w:lang w:val="sl-SI" w:eastAsia="en-GB"/>
              </w:rPr>
              <w:t>Sejšeli</w:t>
            </w:r>
          </w:p>
        </w:tc>
        <w:tc>
          <w:tcPr>
            <w:tcW w:w="1453" w:type="pct"/>
            <w:tcBorders>
              <w:top w:val="single" w:sz="4" w:space="0" w:color="auto"/>
              <w:left w:val="single" w:sz="4" w:space="0" w:color="auto"/>
              <w:bottom w:val="single" w:sz="4" w:space="0" w:color="auto"/>
              <w:right w:val="single" w:sz="4" w:space="0" w:color="auto"/>
            </w:tcBorders>
          </w:tcPr>
          <w:p w14:paraId="7D39A11D" w14:textId="77777777" w:rsidR="00E03711" w:rsidRPr="00F769E0" w:rsidRDefault="00E03711" w:rsidP="001923DD">
            <w:pPr>
              <w:pStyle w:val="Guide-Table"/>
              <w:rPr>
                <w:rFonts w:cs="Tahoma"/>
                <w:lang w:val="sl-SI" w:eastAsia="en-GB"/>
              </w:rPr>
            </w:pPr>
            <w:r w:rsidRPr="00F769E0">
              <w:rPr>
                <w:rFonts w:cs="Tahoma"/>
                <w:lang w:val="sl-SI" w:eastAsia="en-GB"/>
              </w:rPr>
              <w:t>55</w:t>
            </w:r>
          </w:p>
        </w:tc>
      </w:tr>
      <w:tr w:rsidR="00E03711" w:rsidRPr="00F769E0" w14:paraId="7D39A121" w14:textId="77777777" w:rsidTr="00416BBB">
        <w:tc>
          <w:tcPr>
            <w:tcW w:w="3547" w:type="pct"/>
            <w:tcBorders>
              <w:top w:val="single" w:sz="4" w:space="0" w:color="auto"/>
              <w:left w:val="single" w:sz="4" w:space="0" w:color="auto"/>
              <w:bottom w:val="single" w:sz="4" w:space="0" w:color="auto"/>
              <w:right w:val="single" w:sz="4" w:space="0" w:color="auto"/>
            </w:tcBorders>
          </w:tcPr>
          <w:p w14:paraId="7D39A11F" w14:textId="77777777" w:rsidR="00E03711" w:rsidRPr="00F769E0" w:rsidRDefault="00E03711" w:rsidP="001923DD">
            <w:pPr>
              <w:pStyle w:val="Guide-Table"/>
              <w:jc w:val="left"/>
              <w:rPr>
                <w:rFonts w:cs="Tahoma"/>
                <w:lang w:val="sl-SI" w:eastAsia="en-GB"/>
              </w:rPr>
            </w:pPr>
            <w:r w:rsidRPr="00F769E0">
              <w:rPr>
                <w:rFonts w:cs="Tahoma"/>
                <w:lang w:val="sl-SI" w:eastAsia="en-GB"/>
              </w:rPr>
              <w:t>Singapur</w:t>
            </w:r>
          </w:p>
        </w:tc>
        <w:tc>
          <w:tcPr>
            <w:tcW w:w="1453" w:type="pct"/>
            <w:tcBorders>
              <w:top w:val="single" w:sz="4" w:space="0" w:color="auto"/>
              <w:left w:val="single" w:sz="4" w:space="0" w:color="auto"/>
              <w:bottom w:val="single" w:sz="4" w:space="0" w:color="auto"/>
              <w:right w:val="single" w:sz="4" w:space="0" w:color="auto"/>
            </w:tcBorders>
            <w:vAlign w:val="center"/>
          </w:tcPr>
          <w:p w14:paraId="7D39A120" w14:textId="77777777" w:rsidR="00E03711" w:rsidRPr="00F769E0" w:rsidRDefault="00E03711" w:rsidP="001923DD">
            <w:pPr>
              <w:pStyle w:val="Guide-Table"/>
              <w:rPr>
                <w:rFonts w:cs="Tahoma"/>
                <w:lang w:val="sl-SI" w:eastAsia="en-GB"/>
              </w:rPr>
            </w:pPr>
            <w:r w:rsidRPr="00F769E0">
              <w:rPr>
                <w:rFonts w:cs="Tahoma"/>
                <w:lang w:val="sl-SI" w:eastAsia="en-GB"/>
              </w:rPr>
              <w:t>133</w:t>
            </w:r>
          </w:p>
        </w:tc>
      </w:tr>
      <w:tr w:rsidR="00E03711" w:rsidRPr="00F769E0" w14:paraId="7D39A124" w14:textId="77777777" w:rsidTr="00416BBB">
        <w:tc>
          <w:tcPr>
            <w:tcW w:w="3547" w:type="pct"/>
            <w:tcBorders>
              <w:top w:val="single" w:sz="4" w:space="0" w:color="auto"/>
              <w:left w:val="single" w:sz="4" w:space="0" w:color="auto"/>
              <w:bottom w:val="single" w:sz="4" w:space="0" w:color="auto"/>
              <w:right w:val="single" w:sz="4" w:space="0" w:color="auto"/>
            </w:tcBorders>
          </w:tcPr>
          <w:p w14:paraId="7D39A122" w14:textId="77777777" w:rsidR="00E03711" w:rsidRPr="00F769E0" w:rsidRDefault="00E03711" w:rsidP="001923DD">
            <w:pPr>
              <w:pStyle w:val="Guide-Table"/>
              <w:jc w:val="left"/>
              <w:rPr>
                <w:rFonts w:cs="Tahoma"/>
                <w:lang w:val="sl-SI" w:eastAsia="en-GB"/>
              </w:rPr>
            </w:pPr>
            <w:r w:rsidRPr="00F769E0">
              <w:rPr>
                <w:rFonts w:cs="Tahoma"/>
                <w:lang w:val="sl-SI" w:eastAsia="en-GB"/>
              </w:rPr>
              <w:t>Švica</w:t>
            </w:r>
          </w:p>
        </w:tc>
        <w:tc>
          <w:tcPr>
            <w:tcW w:w="1453" w:type="pct"/>
            <w:tcBorders>
              <w:top w:val="single" w:sz="4" w:space="0" w:color="auto"/>
              <w:left w:val="single" w:sz="4" w:space="0" w:color="auto"/>
              <w:bottom w:val="single" w:sz="4" w:space="0" w:color="auto"/>
              <w:right w:val="single" w:sz="4" w:space="0" w:color="auto"/>
            </w:tcBorders>
            <w:vAlign w:val="center"/>
          </w:tcPr>
          <w:p w14:paraId="7D39A123" w14:textId="77777777" w:rsidR="00E03711" w:rsidRPr="00F769E0" w:rsidRDefault="00E03711" w:rsidP="001923DD">
            <w:pPr>
              <w:pStyle w:val="Guide-Table"/>
              <w:rPr>
                <w:rFonts w:cs="Tahoma"/>
                <w:lang w:val="sl-SI" w:eastAsia="en-GB"/>
              </w:rPr>
            </w:pPr>
            <w:r w:rsidRPr="00F769E0">
              <w:rPr>
                <w:rFonts w:cs="Tahoma"/>
                <w:lang w:val="sl-SI" w:eastAsia="en-GB"/>
              </w:rPr>
              <w:t>118</w:t>
            </w:r>
          </w:p>
        </w:tc>
      </w:tr>
      <w:tr w:rsidR="00E03711" w:rsidRPr="00F769E0" w14:paraId="7D39A127" w14:textId="77777777" w:rsidTr="00416BBB">
        <w:tc>
          <w:tcPr>
            <w:tcW w:w="3547" w:type="pct"/>
            <w:tcBorders>
              <w:top w:val="single" w:sz="4" w:space="0" w:color="auto"/>
              <w:left w:val="single" w:sz="4" w:space="0" w:color="auto"/>
              <w:bottom w:val="single" w:sz="4" w:space="0" w:color="auto"/>
              <w:right w:val="single" w:sz="4" w:space="0" w:color="auto"/>
            </w:tcBorders>
          </w:tcPr>
          <w:p w14:paraId="7D39A125" w14:textId="77777777" w:rsidR="00E03711" w:rsidRPr="00F769E0" w:rsidRDefault="00E03711" w:rsidP="001923DD">
            <w:pPr>
              <w:pStyle w:val="Guide-Table"/>
              <w:jc w:val="left"/>
              <w:rPr>
                <w:rFonts w:cs="Tahoma"/>
                <w:lang w:val="sl-SI" w:eastAsia="en-GB"/>
              </w:rPr>
            </w:pPr>
            <w:r w:rsidRPr="00F769E0">
              <w:rPr>
                <w:rFonts w:cs="Tahoma"/>
                <w:lang w:val="sl-SI" w:eastAsia="en-GB"/>
              </w:rPr>
              <w:t xml:space="preserve">Ozemlje Rusije, kot je priznano </w:t>
            </w:r>
            <w:r w:rsidRPr="00F769E0">
              <w:rPr>
                <w:rFonts w:cs="Tahoma"/>
                <w:lang w:val="sl-SI" w:eastAsia="en-GB"/>
              </w:rPr>
              <w:br/>
              <w:t>z mednarodnim pravom</w:t>
            </w:r>
          </w:p>
        </w:tc>
        <w:tc>
          <w:tcPr>
            <w:tcW w:w="1453" w:type="pct"/>
            <w:tcBorders>
              <w:top w:val="single" w:sz="4" w:space="0" w:color="auto"/>
              <w:left w:val="single" w:sz="4" w:space="0" w:color="auto"/>
              <w:bottom w:val="single" w:sz="4" w:space="0" w:color="auto"/>
              <w:right w:val="single" w:sz="4" w:space="0" w:color="auto"/>
            </w:tcBorders>
            <w:vAlign w:val="center"/>
          </w:tcPr>
          <w:p w14:paraId="7D39A126" w14:textId="77777777" w:rsidR="00E03711" w:rsidRPr="00F769E0" w:rsidRDefault="00E03711" w:rsidP="001923DD">
            <w:pPr>
              <w:pStyle w:val="Guide-Table"/>
              <w:rPr>
                <w:rFonts w:cs="Tahoma"/>
                <w:lang w:val="sl-SI" w:eastAsia="en-GB"/>
              </w:rPr>
            </w:pPr>
            <w:r w:rsidRPr="00F769E0">
              <w:rPr>
                <w:rFonts w:cs="Tahoma"/>
                <w:lang w:val="sl-SI" w:eastAsia="en-GB"/>
              </w:rPr>
              <w:t>50</w:t>
            </w:r>
          </w:p>
        </w:tc>
      </w:tr>
      <w:tr w:rsidR="00E03711" w:rsidRPr="00F769E0" w14:paraId="7D39A12A" w14:textId="77777777" w:rsidTr="00416BBB">
        <w:tc>
          <w:tcPr>
            <w:tcW w:w="3547" w:type="pct"/>
            <w:tcBorders>
              <w:top w:val="single" w:sz="4" w:space="0" w:color="auto"/>
              <w:left w:val="single" w:sz="4" w:space="0" w:color="auto"/>
              <w:bottom w:val="single" w:sz="4" w:space="0" w:color="auto"/>
              <w:right w:val="single" w:sz="4" w:space="0" w:color="auto"/>
            </w:tcBorders>
          </w:tcPr>
          <w:p w14:paraId="7D39A128" w14:textId="77777777" w:rsidR="00E03711" w:rsidRPr="00F769E0" w:rsidRDefault="00E03711" w:rsidP="001923DD">
            <w:pPr>
              <w:pStyle w:val="Guide-Table"/>
              <w:jc w:val="left"/>
              <w:rPr>
                <w:rFonts w:cs="Tahoma"/>
                <w:lang w:val="sl-SI" w:eastAsia="en-GB"/>
              </w:rPr>
            </w:pPr>
            <w:r w:rsidRPr="00F769E0">
              <w:rPr>
                <w:rFonts w:cs="Tahoma"/>
                <w:lang w:val="sl-SI" w:eastAsia="en-GB"/>
              </w:rPr>
              <w:t>Trinidad in Tobago</w:t>
            </w:r>
          </w:p>
        </w:tc>
        <w:tc>
          <w:tcPr>
            <w:tcW w:w="1453" w:type="pct"/>
            <w:tcBorders>
              <w:top w:val="single" w:sz="4" w:space="0" w:color="auto"/>
              <w:left w:val="single" w:sz="4" w:space="0" w:color="auto"/>
              <w:bottom w:val="single" w:sz="4" w:space="0" w:color="auto"/>
              <w:right w:val="single" w:sz="4" w:space="0" w:color="auto"/>
            </w:tcBorders>
            <w:vAlign w:val="center"/>
          </w:tcPr>
          <w:p w14:paraId="7D39A129" w14:textId="77777777" w:rsidR="00E03711" w:rsidRPr="00F769E0" w:rsidRDefault="00E03711" w:rsidP="001923DD">
            <w:pPr>
              <w:pStyle w:val="Guide-Table"/>
              <w:rPr>
                <w:rFonts w:cs="Tahoma"/>
                <w:lang w:val="sl-SI" w:eastAsia="en-GB"/>
              </w:rPr>
            </w:pPr>
            <w:r w:rsidRPr="00F769E0">
              <w:rPr>
                <w:rFonts w:cs="Tahoma"/>
                <w:lang w:val="sl-SI" w:eastAsia="en-GB"/>
              </w:rPr>
              <w:t>107</w:t>
            </w:r>
          </w:p>
        </w:tc>
      </w:tr>
      <w:tr w:rsidR="00E03711" w:rsidRPr="00F769E0" w14:paraId="7D39A12D" w14:textId="77777777" w:rsidTr="00416BBB">
        <w:tc>
          <w:tcPr>
            <w:tcW w:w="3547" w:type="pct"/>
            <w:tcBorders>
              <w:top w:val="single" w:sz="4" w:space="0" w:color="auto"/>
              <w:left w:val="single" w:sz="4" w:space="0" w:color="auto"/>
              <w:bottom w:val="single" w:sz="4" w:space="0" w:color="auto"/>
              <w:right w:val="single" w:sz="4" w:space="0" w:color="auto"/>
            </w:tcBorders>
            <w:vAlign w:val="center"/>
          </w:tcPr>
          <w:p w14:paraId="7D39A12B" w14:textId="77777777" w:rsidR="00E03711" w:rsidRPr="00F769E0" w:rsidRDefault="00E03711" w:rsidP="001923DD">
            <w:pPr>
              <w:pStyle w:val="Guide-Table"/>
              <w:jc w:val="left"/>
              <w:rPr>
                <w:rFonts w:cs="Tahoma"/>
                <w:lang w:val="sl-SI" w:eastAsia="en-GB"/>
              </w:rPr>
            </w:pPr>
            <w:r w:rsidRPr="00F769E0">
              <w:rPr>
                <w:rFonts w:cs="Tahoma"/>
                <w:lang w:val="sl-SI" w:eastAsia="en-GB"/>
              </w:rPr>
              <w:t>Združeni arabski emirati</w:t>
            </w:r>
          </w:p>
        </w:tc>
        <w:tc>
          <w:tcPr>
            <w:tcW w:w="1453" w:type="pct"/>
            <w:tcBorders>
              <w:top w:val="single" w:sz="4" w:space="0" w:color="auto"/>
              <w:left w:val="single" w:sz="4" w:space="0" w:color="auto"/>
              <w:bottom w:val="single" w:sz="4" w:space="0" w:color="auto"/>
              <w:right w:val="single" w:sz="4" w:space="0" w:color="auto"/>
            </w:tcBorders>
            <w:vAlign w:val="center"/>
          </w:tcPr>
          <w:p w14:paraId="7D39A12C" w14:textId="77777777" w:rsidR="00E03711" w:rsidRPr="00F769E0" w:rsidRDefault="00E03711" w:rsidP="001923DD">
            <w:pPr>
              <w:pStyle w:val="Guide-Table"/>
              <w:rPr>
                <w:rFonts w:cs="Tahoma"/>
                <w:lang w:val="sl-SI" w:eastAsia="en-GB"/>
              </w:rPr>
            </w:pPr>
            <w:r w:rsidRPr="00F769E0">
              <w:rPr>
                <w:rFonts w:cs="Tahoma"/>
                <w:lang w:val="sl-SI" w:eastAsia="en-GB"/>
              </w:rPr>
              <w:t>109</w:t>
            </w:r>
          </w:p>
        </w:tc>
      </w:tr>
      <w:tr w:rsidR="00E03711" w:rsidRPr="00F769E0" w14:paraId="7D39A130" w14:textId="77777777" w:rsidTr="00416BBB">
        <w:tc>
          <w:tcPr>
            <w:tcW w:w="3547" w:type="pct"/>
            <w:tcBorders>
              <w:top w:val="single" w:sz="4" w:space="0" w:color="auto"/>
              <w:left w:val="single" w:sz="4" w:space="0" w:color="auto"/>
              <w:bottom w:val="single" w:sz="4" w:space="0" w:color="auto"/>
              <w:right w:val="single" w:sz="4" w:space="0" w:color="auto"/>
            </w:tcBorders>
            <w:vAlign w:val="center"/>
          </w:tcPr>
          <w:p w14:paraId="7D39A12E" w14:textId="77777777" w:rsidR="00E03711" w:rsidRPr="00F769E0" w:rsidRDefault="00E03711" w:rsidP="001923DD">
            <w:pPr>
              <w:pStyle w:val="Guide-Table"/>
              <w:jc w:val="left"/>
              <w:rPr>
                <w:rFonts w:cs="Tahoma"/>
                <w:lang w:val="sl-SI" w:eastAsia="en-GB"/>
              </w:rPr>
            </w:pPr>
            <w:r w:rsidRPr="00F769E0">
              <w:rPr>
                <w:rFonts w:cs="Tahoma"/>
                <w:lang w:val="sl-SI" w:eastAsia="en-GB"/>
              </w:rPr>
              <w:t>Druge države</w:t>
            </w:r>
          </w:p>
        </w:tc>
        <w:tc>
          <w:tcPr>
            <w:tcW w:w="1453" w:type="pct"/>
            <w:tcBorders>
              <w:top w:val="single" w:sz="4" w:space="0" w:color="auto"/>
              <w:left w:val="single" w:sz="4" w:space="0" w:color="auto"/>
              <w:bottom w:val="single" w:sz="4" w:space="0" w:color="auto"/>
              <w:right w:val="single" w:sz="4" w:space="0" w:color="auto"/>
            </w:tcBorders>
            <w:vAlign w:val="center"/>
          </w:tcPr>
          <w:p w14:paraId="7D39A12F" w14:textId="77777777" w:rsidR="00E03711" w:rsidRPr="00F769E0" w:rsidRDefault="00E03711" w:rsidP="001923DD">
            <w:pPr>
              <w:pStyle w:val="Guide-Table"/>
              <w:rPr>
                <w:rFonts w:cs="Tahoma"/>
                <w:lang w:val="sl-SI" w:eastAsia="en-GB"/>
              </w:rPr>
            </w:pPr>
            <w:r w:rsidRPr="00F769E0">
              <w:rPr>
                <w:rFonts w:cs="Tahoma"/>
                <w:lang w:val="sl-SI" w:eastAsia="en-GB"/>
              </w:rPr>
              <w:t>40</w:t>
            </w:r>
          </w:p>
        </w:tc>
      </w:tr>
    </w:tbl>
    <w:p w14:paraId="7D39A131" w14:textId="77777777" w:rsidR="00E03711" w:rsidRDefault="00E03711" w:rsidP="00DE01AB">
      <w:pPr>
        <w:pStyle w:val="Guide-Heading4"/>
        <w:rPr>
          <w:lang w:val="sl-SI"/>
        </w:rPr>
        <w:sectPr w:rsidR="00E03711" w:rsidSect="00416BBB">
          <w:endnotePr>
            <w:numFmt w:val="decimal"/>
          </w:endnotePr>
          <w:type w:val="continuous"/>
          <w:pgSz w:w="16840" w:h="11910" w:orient="landscape" w:code="9"/>
          <w:pgMar w:top="1418" w:right="1134" w:bottom="1418" w:left="1134" w:header="284" w:footer="567" w:gutter="0"/>
          <w:cols w:num="3" w:space="720"/>
          <w:docGrid w:linePitch="326"/>
        </w:sectPr>
      </w:pPr>
    </w:p>
    <w:p w14:paraId="7D39A132" w14:textId="77777777" w:rsidR="00E03711" w:rsidRDefault="00E03711">
      <w:pPr>
        <w:widowControl/>
        <w:suppressAutoHyphens w:val="0"/>
        <w:autoSpaceDN/>
        <w:textAlignment w:val="auto"/>
        <w:rPr>
          <w:rFonts w:eastAsia="Times New Roman" w:cs="Times New Roman"/>
          <w:b/>
          <w:smallCaps/>
          <w:szCs w:val="20"/>
          <w:lang w:val="sl-SI"/>
        </w:rPr>
      </w:pPr>
      <w:r>
        <w:rPr>
          <w:lang w:val="sl-SI"/>
        </w:rPr>
        <w:br w:type="page"/>
      </w:r>
    </w:p>
    <w:p w14:paraId="7D39A133" w14:textId="77777777" w:rsidR="00E03711" w:rsidRDefault="00E03711" w:rsidP="00DE01AB">
      <w:pPr>
        <w:pStyle w:val="Guide-Heading4"/>
        <w:rPr>
          <w:lang w:val="sl-SI"/>
        </w:rPr>
        <w:sectPr w:rsidR="00E03711" w:rsidSect="001923DD">
          <w:endnotePr>
            <w:numFmt w:val="decimal"/>
          </w:endnotePr>
          <w:type w:val="continuous"/>
          <w:pgSz w:w="16840" w:h="11910" w:orient="landscape" w:code="9"/>
          <w:pgMar w:top="1418" w:right="1134" w:bottom="1418" w:left="1134" w:header="284" w:footer="567" w:gutter="0"/>
          <w:cols w:num="3" w:space="720"/>
          <w:docGrid w:linePitch="326"/>
        </w:sectPr>
      </w:pPr>
    </w:p>
    <w:p w14:paraId="7D39A134" w14:textId="77777777" w:rsidR="00E03711" w:rsidRPr="001048FE" w:rsidRDefault="00E03711" w:rsidP="00DE01AB">
      <w:pPr>
        <w:pStyle w:val="Guide-Heading4"/>
        <w:rPr>
          <w:lang w:val="sl-SI"/>
        </w:rPr>
      </w:pPr>
      <w:r w:rsidRPr="001048FE">
        <w:rPr>
          <w:lang w:val="sl-SI"/>
        </w:rPr>
        <w:t>D.3 - Stroški bivanja: govorniki, ki niso lokalni prebivalci (v EUR na</w:t>
      </w:r>
      <w:r w:rsidRPr="001048FE">
        <w:rPr>
          <w:spacing w:val="5"/>
          <w:lang w:val="sl-SI"/>
        </w:rPr>
        <w:t xml:space="preserve"> </w:t>
      </w:r>
      <w:r w:rsidRPr="001048FE">
        <w:rPr>
          <w:lang w:val="sl-SI"/>
        </w:rPr>
        <w:t>dan)</w:t>
      </w:r>
      <w:bookmarkEnd w:id="348"/>
    </w:p>
    <w:p w14:paraId="7D39A135" w14:textId="77777777" w:rsidR="00E03711" w:rsidRDefault="00E03711" w:rsidP="00416BBB">
      <w:pPr>
        <w:pStyle w:val="GUIDE-NORMAL"/>
        <w:rPr>
          <w:rFonts w:cs="Tahoma"/>
          <w:b/>
          <w:lang w:val="sl-SI" w:eastAsia="en-GB"/>
        </w:rPr>
        <w:sectPr w:rsidR="00E03711" w:rsidSect="00416BBB">
          <w:endnotePr>
            <w:numFmt w:val="decimal"/>
          </w:endnotePr>
          <w:type w:val="continuous"/>
          <w:pgSz w:w="16840" w:h="11910" w:orient="landscape" w:code="9"/>
          <w:pgMar w:top="1418" w:right="1134" w:bottom="1418" w:left="1134" w:header="284" w:footer="567" w:gutter="0"/>
          <w:cols w:space="720"/>
          <w:docGrid w:linePitch="326"/>
        </w:sectPr>
      </w:pPr>
      <w:r w:rsidRPr="001048FE">
        <w:rPr>
          <w:lang w:val="sl-SI"/>
        </w:rPr>
        <w:t>Zneski so odvisni od države, kjer se izvaja aktivnost.</w:t>
      </w:r>
      <w:r w:rsidRPr="001048FE">
        <w:rPr>
          <w:lang w:val="sl-SI"/>
        </w:rPr>
        <w:tab/>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8"/>
        <w:gridCol w:w="1335"/>
        <w:gridCol w:w="15"/>
      </w:tblGrid>
      <w:tr w:rsidR="00E03711" w:rsidRPr="008C6F8C" w14:paraId="7D39A137" w14:textId="77777777" w:rsidTr="001923DD">
        <w:trPr>
          <w:gridAfter w:val="1"/>
          <w:wAfter w:w="16" w:type="pct"/>
        </w:trPr>
        <w:tc>
          <w:tcPr>
            <w:tcW w:w="4984" w:type="pct"/>
            <w:gridSpan w:val="2"/>
            <w:shd w:val="clear" w:color="auto" w:fill="auto"/>
            <w:vAlign w:val="center"/>
          </w:tcPr>
          <w:p w14:paraId="7D39A136" w14:textId="77777777" w:rsidR="00E03711" w:rsidRPr="00F769E0" w:rsidRDefault="00E03711" w:rsidP="004E47F7">
            <w:pPr>
              <w:pStyle w:val="Guide-Table"/>
              <w:rPr>
                <w:rFonts w:cs="Tahoma"/>
                <w:b/>
                <w:lang w:val="sl-SI" w:eastAsia="en-GB"/>
              </w:rPr>
            </w:pPr>
            <w:r w:rsidRPr="00F769E0">
              <w:rPr>
                <w:rFonts w:cs="Tahoma"/>
                <w:b/>
                <w:lang w:val="sl-SI" w:eastAsia="en-GB"/>
              </w:rPr>
              <w:t>Države Programa</w:t>
            </w:r>
          </w:p>
        </w:tc>
      </w:tr>
      <w:tr w:rsidR="00E03711" w:rsidRPr="008C6F8C" w14:paraId="7D39A13A" w14:textId="77777777" w:rsidTr="001923DD">
        <w:trPr>
          <w:trHeight w:val="198"/>
        </w:trPr>
        <w:tc>
          <w:tcPr>
            <w:tcW w:w="3535" w:type="pct"/>
          </w:tcPr>
          <w:p w14:paraId="7D39A138" w14:textId="77777777" w:rsidR="00E03711" w:rsidRPr="00F769E0" w:rsidRDefault="00E03711" w:rsidP="006A5E9C">
            <w:pPr>
              <w:pStyle w:val="Guide-Table"/>
              <w:jc w:val="left"/>
              <w:rPr>
                <w:rFonts w:cs="Tahoma"/>
                <w:lang w:val="sl-SI" w:eastAsia="en-GB"/>
              </w:rPr>
            </w:pPr>
            <w:r w:rsidRPr="00F769E0">
              <w:rPr>
                <w:rFonts w:cs="Tahoma"/>
                <w:lang w:val="sl-SI" w:eastAsia="en-GB"/>
              </w:rPr>
              <w:t>Belgija</w:t>
            </w:r>
          </w:p>
        </w:tc>
        <w:tc>
          <w:tcPr>
            <w:tcW w:w="1465" w:type="pct"/>
            <w:gridSpan w:val="2"/>
          </w:tcPr>
          <w:p w14:paraId="7D39A139" w14:textId="77777777" w:rsidR="00E03711" w:rsidRPr="00F769E0" w:rsidRDefault="00E03711" w:rsidP="006A5E9C">
            <w:pPr>
              <w:pStyle w:val="Guide-Table"/>
              <w:rPr>
                <w:rFonts w:cs="Tahoma"/>
                <w:lang w:val="sl-SI" w:eastAsia="en-GB"/>
              </w:rPr>
            </w:pPr>
            <w:r w:rsidRPr="00F769E0">
              <w:rPr>
                <w:rFonts w:cs="Tahoma"/>
                <w:lang w:val="sl-SI" w:eastAsia="en-GB"/>
              </w:rPr>
              <w:t>232</w:t>
            </w:r>
          </w:p>
        </w:tc>
      </w:tr>
      <w:tr w:rsidR="00E03711" w:rsidRPr="008C6F8C" w14:paraId="7D39A13D" w14:textId="77777777" w:rsidTr="001923DD">
        <w:tc>
          <w:tcPr>
            <w:tcW w:w="3535" w:type="pct"/>
          </w:tcPr>
          <w:p w14:paraId="7D39A13B" w14:textId="77777777" w:rsidR="00E03711" w:rsidRPr="00F769E0" w:rsidRDefault="00E03711" w:rsidP="006A5E9C">
            <w:pPr>
              <w:pStyle w:val="Guide-Table"/>
              <w:jc w:val="left"/>
              <w:rPr>
                <w:rFonts w:cs="Tahoma"/>
                <w:lang w:val="sl-SI" w:eastAsia="en-GB"/>
              </w:rPr>
            </w:pPr>
            <w:r w:rsidRPr="00F769E0">
              <w:rPr>
                <w:rFonts w:cs="Tahoma"/>
                <w:lang w:val="sl-SI" w:eastAsia="en-GB"/>
              </w:rPr>
              <w:t>Bolgarija</w:t>
            </w:r>
          </w:p>
        </w:tc>
        <w:tc>
          <w:tcPr>
            <w:tcW w:w="1465" w:type="pct"/>
            <w:gridSpan w:val="2"/>
          </w:tcPr>
          <w:p w14:paraId="7D39A13C" w14:textId="77777777" w:rsidR="00E03711" w:rsidRPr="00F769E0" w:rsidRDefault="00E03711" w:rsidP="006A5E9C">
            <w:pPr>
              <w:pStyle w:val="Guide-Table"/>
              <w:rPr>
                <w:rFonts w:cs="Tahoma"/>
                <w:lang w:val="sl-SI" w:eastAsia="en-GB"/>
              </w:rPr>
            </w:pPr>
            <w:r w:rsidRPr="00F769E0">
              <w:rPr>
                <w:rFonts w:cs="Tahoma"/>
                <w:lang w:val="sl-SI" w:eastAsia="en-GB"/>
              </w:rPr>
              <w:t>227</w:t>
            </w:r>
          </w:p>
        </w:tc>
      </w:tr>
      <w:tr w:rsidR="00E03711" w:rsidRPr="008C6F8C" w14:paraId="7D39A140" w14:textId="77777777" w:rsidTr="001923DD">
        <w:tc>
          <w:tcPr>
            <w:tcW w:w="3535" w:type="pct"/>
            <w:tcBorders>
              <w:top w:val="single" w:sz="4" w:space="0" w:color="auto"/>
              <w:left w:val="single" w:sz="4" w:space="0" w:color="auto"/>
              <w:bottom w:val="single" w:sz="4" w:space="0" w:color="auto"/>
              <w:right w:val="single" w:sz="4" w:space="0" w:color="auto"/>
            </w:tcBorders>
          </w:tcPr>
          <w:p w14:paraId="7D39A13E" w14:textId="77777777" w:rsidR="00E03711" w:rsidRPr="00F769E0" w:rsidRDefault="00E03711" w:rsidP="006A5E9C">
            <w:pPr>
              <w:pStyle w:val="Guide-Table"/>
              <w:jc w:val="left"/>
              <w:rPr>
                <w:rFonts w:cs="Tahoma"/>
                <w:lang w:val="sl-SI" w:eastAsia="en-GB"/>
              </w:rPr>
            </w:pPr>
            <w:r w:rsidRPr="00F769E0">
              <w:rPr>
                <w:rFonts w:cs="Tahoma"/>
                <w:lang w:val="sl-SI" w:eastAsia="en-GB"/>
              </w:rPr>
              <w:t>Češka</w:t>
            </w:r>
          </w:p>
        </w:tc>
        <w:tc>
          <w:tcPr>
            <w:tcW w:w="1465" w:type="pct"/>
            <w:gridSpan w:val="2"/>
            <w:tcBorders>
              <w:top w:val="single" w:sz="4" w:space="0" w:color="auto"/>
              <w:left w:val="single" w:sz="4" w:space="0" w:color="auto"/>
              <w:bottom w:val="single" w:sz="4" w:space="0" w:color="auto"/>
            </w:tcBorders>
          </w:tcPr>
          <w:p w14:paraId="7D39A13F" w14:textId="77777777" w:rsidR="00E03711" w:rsidRPr="00F769E0" w:rsidRDefault="00E03711" w:rsidP="006A5E9C">
            <w:pPr>
              <w:pStyle w:val="Guide-Table"/>
              <w:rPr>
                <w:rFonts w:cs="Tahoma"/>
                <w:lang w:val="sl-SI" w:eastAsia="en-GB"/>
              </w:rPr>
            </w:pPr>
            <w:r w:rsidRPr="00F769E0">
              <w:rPr>
                <w:rFonts w:cs="Tahoma"/>
                <w:lang w:val="sl-SI" w:eastAsia="en-GB"/>
              </w:rPr>
              <w:t>230</w:t>
            </w:r>
          </w:p>
        </w:tc>
      </w:tr>
      <w:tr w:rsidR="00E03711" w:rsidRPr="008C6F8C" w14:paraId="7D39A143" w14:textId="77777777" w:rsidTr="001923DD">
        <w:tc>
          <w:tcPr>
            <w:tcW w:w="3535" w:type="pct"/>
            <w:tcBorders>
              <w:top w:val="single" w:sz="4" w:space="0" w:color="auto"/>
              <w:left w:val="single" w:sz="4" w:space="0" w:color="auto"/>
              <w:bottom w:val="single" w:sz="4" w:space="0" w:color="auto"/>
              <w:right w:val="single" w:sz="4" w:space="0" w:color="auto"/>
            </w:tcBorders>
          </w:tcPr>
          <w:p w14:paraId="7D39A141" w14:textId="77777777" w:rsidR="00E03711" w:rsidRPr="00F769E0" w:rsidRDefault="00E03711" w:rsidP="006A5E9C">
            <w:pPr>
              <w:pStyle w:val="Guide-Table"/>
              <w:jc w:val="left"/>
              <w:rPr>
                <w:rFonts w:cs="Tahoma"/>
                <w:lang w:val="sl-SI" w:eastAsia="en-GB"/>
              </w:rPr>
            </w:pPr>
            <w:r w:rsidRPr="00F769E0">
              <w:rPr>
                <w:rFonts w:cs="Tahoma"/>
                <w:lang w:val="sl-SI" w:eastAsia="en-GB"/>
              </w:rPr>
              <w:t>Danska</w:t>
            </w:r>
          </w:p>
        </w:tc>
        <w:tc>
          <w:tcPr>
            <w:tcW w:w="1465" w:type="pct"/>
            <w:gridSpan w:val="2"/>
            <w:tcBorders>
              <w:top w:val="single" w:sz="4" w:space="0" w:color="auto"/>
              <w:left w:val="single" w:sz="4" w:space="0" w:color="auto"/>
              <w:bottom w:val="single" w:sz="4" w:space="0" w:color="auto"/>
            </w:tcBorders>
          </w:tcPr>
          <w:p w14:paraId="7D39A142" w14:textId="77777777" w:rsidR="00E03711" w:rsidRPr="00F769E0" w:rsidRDefault="00E03711" w:rsidP="006A5E9C">
            <w:pPr>
              <w:pStyle w:val="Guide-Table"/>
              <w:rPr>
                <w:rFonts w:cs="Tahoma"/>
                <w:lang w:val="sl-SI" w:eastAsia="en-GB"/>
              </w:rPr>
            </w:pPr>
            <w:r w:rsidRPr="00F769E0">
              <w:rPr>
                <w:rFonts w:cs="Tahoma"/>
                <w:lang w:val="sl-SI" w:eastAsia="en-GB"/>
              </w:rPr>
              <w:t>270</w:t>
            </w:r>
          </w:p>
        </w:tc>
      </w:tr>
      <w:tr w:rsidR="00E03711" w:rsidRPr="008C6F8C" w14:paraId="7D39A146" w14:textId="77777777" w:rsidTr="001923DD">
        <w:tc>
          <w:tcPr>
            <w:tcW w:w="3535" w:type="pct"/>
            <w:tcBorders>
              <w:top w:val="single" w:sz="4" w:space="0" w:color="auto"/>
              <w:left w:val="single" w:sz="4" w:space="0" w:color="auto"/>
              <w:bottom w:val="single" w:sz="4" w:space="0" w:color="auto"/>
              <w:right w:val="single" w:sz="4" w:space="0" w:color="auto"/>
            </w:tcBorders>
          </w:tcPr>
          <w:p w14:paraId="7D39A144" w14:textId="77777777" w:rsidR="00E03711" w:rsidRPr="00F769E0" w:rsidRDefault="00E03711" w:rsidP="006A5E9C">
            <w:pPr>
              <w:pStyle w:val="Guide-Table"/>
              <w:jc w:val="left"/>
              <w:rPr>
                <w:rFonts w:cs="Tahoma"/>
                <w:lang w:val="sl-SI" w:eastAsia="en-GB"/>
              </w:rPr>
            </w:pPr>
            <w:r w:rsidRPr="00F769E0">
              <w:rPr>
                <w:rFonts w:cs="Tahoma"/>
                <w:lang w:val="sl-SI" w:eastAsia="en-GB"/>
              </w:rPr>
              <w:t>Nemčija</w:t>
            </w:r>
          </w:p>
        </w:tc>
        <w:tc>
          <w:tcPr>
            <w:tcW w:w="1465" w:type="pct"/>
            <w:gridSpan w:val="2"/>
            <w:tcBorders>
              <w:top w:val="single" w:sz="4" w:space="0" w:color="auto"/>
              <w:left w:val="single" w:sz="4" w:space="0" w:color="auto"/>
              <w:bottom w:val="single" w:sz="4" w:space="0" w:color="auto"/>
            </w:tcBorders>
          </w:tcPr>
          <w:p w14:paraId="7D39A145" w14:textId="77777777" w:rsidR="00E03711" w:rsidRPr="00F769E0" w:rsidRDefault="00E03711" w:rsidP="006A5E9C">
            <w:pPr>
              <w:pStyle w:val="Guide-Table"/>
              <w:rPr>
                <w:rFonts w:cs="Tahoma"/>
                <w:lang w:val="sl-SI" w:eastAsia="en-GB"/>
              </w:rPr>
            </w:pPr>
            <w:r w:rsidRPr="00F769E0">
              <w:rPr>
                <w:rFonts w:cs="Tahoma"/>
                <w:lang w:val="sl-SI" w:eastAsia="en-GB"/>
              </w:rPr>
              <w:t>208</w:t>
            </w:r>
          </w:p>
        </w:tc>
      </w:tr>
      <w:tr w:rsidR="00E03711" w:rsidRPr="008C6F8C" w14:paraId="7D39A149" w14:textId="77777777" w:rsidTr="001923DD">
        <w:tc>
          <w:tcPr>
            <w:tcW w:w="3535" w:type="pct"/>
            <w:tcBorders>
              <w:top w:val="single" w:sz="4" w:space="0" w:color="auto"/>
              <w:left w:val="single" w:sz="4" w:space="0" w:color="auto"/>
              <w:bottom w:val="single" w:sz="4" w:space="0" w:color="auto"/>
              <w:right w:val="single" w:sz="4" w:space="0" w:color="auto"/>
            </w:tcBorders>
          </w:tcPr>
          <w:p w14:paraId="7D39A147" w14:textId="77777777" w:rsidR="00E03711" w:rsidRPr="00F769E0" w:rsidRDefault="00E03711" w:rsidP="006A5E9C">
            <w:pPr>
              <w:pStyle w:val="Guide-Table"/>
              <w:jc w:val="left"/>
              <w:rPr>
                <w:rFonts w:cs="Tahoma"/>
                <w:lang w:val="sl-SI" w:eastAsia="en-GB"/>
              </w:rPr>
            </w:pPr>
            <w:r w:rsidRPr="00F769E0">
              <w:rPr>
                <w:rFonts w:cs="Tahoma"/>
                <w:lang w:val="sl-SI" w:eastAsia="en-GB"/>
              </w:rPr>
              <w:t>Estonija</w:t>
            </w:r>
          </w:p>
        </w:tc>
        <w:tc>
          <w:tcPr>
            <w:tcW w:w="1465" w:type="pct"/>
            <w:gridSpan w:val="2"/>
            <w:tcBorders>
              <w:top w:val="single" w:sz="4" w:space="0" w:color="auto"/>
              <w:left w:val="single" w:sz="4" w:space="0" w:color="auto"/>
              <w:bottom w:val="single" w:sz="4" w:space="0" w:color="auto"/>
            </w:tcBorders>
          </w:tcPr>
          <w:p w14:paraId="7D39A148" w14:textId="77777777" w:rsidR="00E03711" w:rsidRPr="00F769E0" w:rsidRDefault="00E03711" w:rsidP="006A5E9C">
            <w:pPr>
              <w:pStyle w:val="Guide-Table"/>
              <w:rPr>
                <w:rFonts w:cs="Tahoma"/>
                <w:lang w:val="sl-SI" w:eastAsia="en-GB"/>
              </w:rPr>
            </w:pPr>
            <w:r w:rsidRPr="00F769E0">
              <w:rPr>
                <w:rFonts w:cs="Tahoma"/>
                <w:lang w:val="sl-SI" w:eastAsia="en-GB"/>
              </w:rPr>
              <w:t>181</w:t>
            </w:r>
          </w:p>
        </w:tc>
      </w:tr>
      <w:tr w:rsidR="00E03711" w:rsidRPr="008C6F8C" w14:paraId="7D39A14C" w14:textId="77777777" w:rsidTr="001923DD">
        <w:tc>
          <w:tcPr>
            <w:tcW w:w="3535" w:type="pct"/>
            <w:tcBorders>
              <w:top w:val="single" w:sz="4" w:space="0" w:color="auto"/>
              <w:left w:val="single" w:sz="4" w:space="0" w:color="auto"/>
              <w:bottom w:val="single" w:sz="4" w:space="0" w:color="auto"/>
              <w:right w:val="single" w:sz="4" w:space="0" w:color="auto"/>
            </w:tcBorders>
          </w:tcPr>
          <w:p w14:paraId="7D39A14A" w14:textId="77777777" w:rsidR="00E03711" w:rsidRPr="00F769E0" w:rsidRDefault="00E03711" w:rsidP="006A5E9C">
            <w:pPr>
              <w:pStyle w:val="Guide-Table"/>
              <w:jc w:val="left"/>
              <w:rPr>
                <w:rFonts w:cs="Tahoma"/>
                <w:lang w:val="sl-SI" w:eastAsia="en-GB"/>
              </w:rPr>
            </w:pPr>
            <w:r w:rsidRPr="00F769E0">
              <w:rPr>
                <w:rFonts w:cs="Tahoma"/>
                <w:lang w:val="sl-SI" w:eastAsia="en-GB"/>
              </w:rPr>
              <w:t>Irska</w:t>
            </w:r>
          </w:p>
        </w:tc>
        <w:tc>
          <w:tcPr>
            <w:tcW w:w="1465" w:type="pct"/>
            <w:gridSpan w:val="2"/>
            <w:tcBorders>
              <w:top w:val="single" w:sz="4" w:space="0" w:color="auto"/>
              <w:left w:val="single" w:sz="4" w:space="0" w:color="auto"/>
              <w:bottom w:val="single" w:sz="4" w:space="0" w:color="auto"/>
            </w:tcBorders>
          </w:tcPr>
          <w:p w14:paraId="7D39A14B" w14:textId="77777777" w:rsidR="00E03711" w:rsidRPr="00F769E0" w:rsidRDefault="00E03711" w:rsidP="006A5E9C">
            <w:pPr>
              <w:pStyle w:val="Guide-Table"/>
              <w:rPr>
                <w:rFonts w:cs="Tahoma"/>
                <w:lang w:val="sl-SI" w:eastAsia="en-GB"/>
              </w:rPr>
            </w:pPr>
            <w:r w:rsidRPr="00F769E0">
              <w:rPr>
                <w:rFonts w:cs="Tahoma"/>
                <w:lang w:val="sl-SI" w:eastAsia="en-GB"/>
              </w:rPr>
              <w:t>254</w:t>
            </w:r>
          </w:p>
        </w:tc>
      </w:tr>
      <w:tr w:rsidR="00E03711" w:rsidRPr="008C6F8C" w14:paraId="7D39A14F" w14:textId="77777777" w:rsidTr="001923DD">
        <w:tc>
          <w:tcPr>
            <w:tcW w:w="3535" w:type="pct"/>
            <w:tcBorders>
              <w:top w:val="single" w:sz="4" w:space="0" w:color="auto"/>
              <w:left w:val="single" w:sz="4" w:space="0" w:color="auto"/>
              <w:bottom w:val="single" w:sz="4" w:space="0" w:color="auto"/>
              <w:right w:val="single" w:sz="4" w:space="0" w:color="auto"/>
            </w:tcBorders>
          </w:tcPr>
          <w:p w14:paraId="7D39A14D" w14:textId="77777777" w:rsidR="00E03711" w:rsidRPr="00F769E0" w:rsidRDefault="00E03711" w:rsidP="006A5E9C">
            <w:pPr>
              <w:pStyle w:val="Guide-Table"/>
              <w:jc w:val="left"/>
              <w:rPr>
                <w:rFonts w:cs="Tahoma"/>
                <w:lang w:val="sl-SI" w:eastAsia="en-GB"/>
              </w:rPr>
            </w:pPr>
            <w:r w:rsidRPr="00F769E0">
              <w:rPr>
                <w:rFonts w:cs="Tahoma"/>
                <w:lang w:val="sl-SI" w:eastAsia="en-GB"/>
              </w:rPr>
              <w:t>Grčija</w:t>
            </w:r>
          </w:p>
        </w:tc>
        <w:tc>
          <w:tcPr>
            <w:tcW w:w="1465" w:type="pct"/>
            <w:gridSpan w:val="2"/>
            <w:tcBorders>
              <w:top w:val="single" w:sz="4" w:space="0" w:color="auto"/>
              <w:left w:val="single" w:sz="4" w:space="0" w:color="auto"/>
              <w:bottom w:val="single" w:sz="4" w:space="0" w:color="auto"/>
            </w:tcBorders>
          </w:tcPr>
          <w:p w14:paraId="7D39A14E" w14:textId="77777777" w:rsidR="00E03711" w:rsidRPr="00F769E0" w:rsidRDefault="00E03711" w:rsidP="006A5E9C">
            <w:pPr>
              <w:pStyle w:val="Guide-Table"/>
              <w:rPr>
                <w:rFonts w:cs="Tahoma"/>
                <w:lang w:val="sl-SI" w:eastAsia="en-GB"/>
              </w:rPr>
            </w:pPr>
            <w:r w:rsidRPr="00F769E0">
              <w:rPr>
                <w:rFonts w:cs="Tahoma"/>
                <w:lang w:val="sl-SI" w:eastAsia="en-GB"/>
              </w:rPr>
              <w:t>222</w:t>
            </w:r>
          </w:p>
        </w:tc>
      </w:tr>
      <w:tr w:rsidR="00E03711" w:rsidRPr="008C6F8C" w14:paraId="7D39A152" w14:textId="77777777" w:rsidTr="001923DD">
        <w:tc>
          <w:tcPr>
            <w:tcW w:w="3535" w:type="pct"/>
            <w:tcBorders>
              <w:top w:val="single" w:sz="4" w:space="0" w:color="auto"/>
              <w:left w:val="single" w:sz="4" w:space="0" w:color="auto"/>
              <w:bottom w:val="single" w:sz="4" w:space="0" w:color="auto"/>
              <w:right w:val="single" w:sz="4" w:space="0" w:color="auto"/>
            </w:tcBorders>
          </w:tcPr>
          <w:p w14:paraId="7D39A150" w14:textId="77777777" w:rsidR="00E03711" w:rsidRPr="00F769E0" w:rsidRDefault="00E03711" w:rsidP="006A5E9C">
            <w:pPr>
              <w:pStyle w:val="Guide-Table"/>
              <w:jc w:val="left"/>
              <w:rPr>
                <w:rFonts w:cs="Tahoma"/>
                <w:lang w:val="sl-SI" w:eastAsia="en-GB"/>
              </w:rPr>
            </w:pPr>
            <w:r w:rsidRPr="00F769E0">
              <w:rPr>
                <w:rFonts w:cs="Tahoma"/>
                <w:lang w:val="sl-SI" w:eastAsia="en-GB"/>
              </w:rPr>
              <w:t>Španija</w:t>
            </w:r>
          </w:p>
        </w:tc>
        <w:tc>
          <w:tcPr>
            <w:tcW w:w="1465" w:type="pct"/>
            <w:gridSpan w:val="2"/>
            <w:tcBorders>
              <w:top w:val="single" w:sz="4" w:space="0" w:color="auto"/>
              <w:left w:val="single" w:sz="4" w:space="0" w:color="auto"/>
              <w:bottom w:val="single" w:sz="4" w:space="0" w:color="auto"/>
            </w:tcBorders>
          </w:tcPr>
          <w:p w14:paraId="7D39A151" w14:textId="77777777" w:rsidR="00E03711" w:rsidRPr="00F769E0" w:rsidRDefault="00E03711" w:rsidP="006A5E9C">
            <w:pPr>
              <w:pStyle w:val="Guide-Table"/>
              <w:rPr>
                <w:rFonts w:cs="Tahoma"/>
                <w:lang w:val="sl-SI" w:eastAsia="en-GB"/>
              </w:rPr>
            </w:pPr>
            <w:r w:rsidRPr="00F769E0">
              <w:rPr>
                <w:rFonts w:cs="Tahoma"/>
                <w:lang w:val="sl-SI" w:eastAsia="en-GB"/>
              </w:rPr>
              <w:t>212</w:t>
            </w:r>
          </w:p>
        </w:tc>
      </w:tr>
      <w:tr w:rsidR="00E03711" w:rsidRPr="008C6F8C" w14:paraId="7D39A155" w14:textId="77777777" w:rsidTr="001923DD">
        <w:tc>
          <w:tcPr>
            <w:tcW w:w="3535" w:type="pct"/>
            <w:tcBorders>
              <w:top w:val="single" w:sz="4" w:space="0" w:color="auto"/>
              <w:left w:val="single" w:sz="4" w:space="0" w:color="auto"/>
              <w:bottom w:val="single" w:sz="4" w:space="0" w:color="auto"/>
              <w:right w:val="single" w:sz="4" w:space="0" w:color="auto"/>
            </w:tcBorders>
          </w:tcPr>
          <w:p w14:paraId="7D39A153" w14:textId="77777777" w:rsidR="00E03711" w:rsidRPr="00F769E0" w:rsidRDefault="00E03711" w:rsidP="006A5E9C">
            <w:pPr>
              <w:pStyle w:val="Guide-Table"/>
              <w:jc w:val="left"/>
              <w:rPr>
                <w:rFonts w:cs="Tahoma"/>
                <w:lang w:val="sl-SI" w:eastAsia="en-GB"/>
              </w:rPr>
            </w:pPr>
            <w:r w:rsidRPr="00F769E0">
              <w:rPr>
                <w:rFonts w:cs="Tahoma"/>
                <w:lang w:val="sl-SI" w:eastAsia="en-GB"/>
              </w:rPr>
              <w:t>Francija</w:t>
            </w:r>
          </w:p>
        </w:tc>
        <w:tc>
          <w:tcPr>
            <w:tcW w:w="1465" w:type="pct"/>
            <w:gridSpan w:val="2"/>
            <w:tcBorders>
              <w:top w:val="single" w:sz="4" w:space="0" w:color="auto"/>
              <w:left w:val="single" w:sz="4" w:space="0" w:color="auto"/>
              <w:bottom w:val="single" w:sz="4" w:space="0" w:color="auto"/>
            </w:tcBorders>
          </w:tcPr>
          <w:p w14:paraId="7D39A154" w14:textId="77777777" w:rsidR="00E03711" w:rsidRPr="00F769E0" w:rsidRDefault="00E03711" w:rsidP="006A5E9C">
            <w:pPr>
              <w:pStyle w:val="Guide-Table"/>
              <w:rPr>
                <w:rFonts w:cs="Tahoma"/>
                <w:lang w:val="sl-SI" w:eastAsia="en-GB"/>
              </w:rPr>
            </w:pPr>
            <w:r w:rsidRPr="00F769E0">
              <w:rPr>
                <w:rFonts w:cs="Tahoma"/>
                <w:lang w:val="sl-SI" w:eastAsia="en-GB"/>
              </w:rPr>
              <w:t>245</w:t>
            </w:r>
          </w:p>
        </w:tc>
      </w:tr>
      <w:tr w:rsidR="00E03711" w:rsidRPr="008C6F8C" w14:paraId="7D39A158" w14:textId="77777777" w:rsidTr="001923DD">
        <w:tc>
          <w:tcPr>
            <w:tcW w:w="3535" w:type="pct"/>
          </w:tcPr>
          <w:p w14:paraId="7D39A156" w14:textId="77777777" w:rsidR="00E03711" w:rsidRPr="00F769E0" w:rsidRDefault="00E03711" w:rsidP="006A5E9C">
            <w:pPr>
              <w:pStyle w:val="Guide-Table"/>
              <w:jc w:val="left"/>
              <w:rPr>
                <w:rFonts w:cs="Tahoma"/>
                <w:lang w:val="sl-SI" w:eastAsia="en-GB"/>
              </w:rPr>
            </w:pPr>
            <w:r w:rsidRPr="00F769E0">
              <w:rPr>
                <w:rFonts w:cs="Tahoma"/>
                <w:lang w:val="sl-SI" w:eastAsia="en-GB"/>
              </w:rPr>
              <w:t>Hrvaška</w:t>
            </w:r>
          </w:p>
        </w:tc>
        <w:tc>
          <w:tcPr>
            <w:tcW w:w="1465" w:type="pct"/>
            <w:gridSpan w:val="2"/>
          </w:tcPr>
          <w:p w14:paraId="7D39A157" w14:textId="77777777" w:rsidR="00E03711" w:rsidRPr="00F769E0" w:rsidRDefault="00E03711" w:rsidP="006A5E9C">
            <w:pPr>
              <w:pStyle w:val="Guide-Table"/>
              <w:rPr>
                <w:rFonts w:cs="Tahoma"/>
                <w:lang w:val="sl-SI" w:eastAsia="en-GB"/>
              </w:rPr>
            </w:pPr>
            <w:r w:rsidRPr="00F769E0">
              <w:rPr>
                <w:rFonts w:cs="Tahoma"/>
                <w:lang w:val="sl-SI" w:eastAsia="en-GB"/>
              </w:rPr>
              <w:t>180</w:t>
            </w:r>
          </w:p>
        </w:tc>
      </w:tr>
      <w:tr w:rsidR="00E03711" w:rsidRPr="008C6F8C" w14:paraId="7D39A15B" w14:textId="77777777" w:rsidTr="001923DD">
        <w:trPr>
          <w:trHeight w:val="282"/>
        </w:trPr>
        <w:tc>
          <w:tcPr>
            <w:tcW w:w="3535" w:type="pct"/>
            <w:tcBorders>
              <w:top w:val="single" w:sz="4" w:space="0" w:color="auto"/>
              <w:left w:val="single" w:sz="4" w:space="0" w:color="auto"/>
              <w:bottom w:val="single" w:sz="4" w:space="0" w:color="auto"/>
              <w:right w:val="single" w:sz="4" w:space="0" w:color="auto"/>
            </w:tcBorders>
          </w:tcPr>
          <w:p w14:paraId="7D39A159" w14:textId="77777777" w:rsidR="00E03711" w:rsidRPr="00F769E0" w:rsidRDefault="00E03711" w:rsidP="006A5E9C">
            <w:pPr>
              <w:pStyle w:val="Guide-Table"/>
              <w:jc w:val="left"/>
              <w:rPr>
                <w:rFonts w:cs="Tahoma"/>
                <w:lang w:val="sl-SI" w:eastAsia="en-GB"/>
              </w:rPr>
            </w:pPr>
            <w:r w:rsidRPr="00F769E0">
              <w:rPr>
                <w:rFonts w:cs="Tahoma"/>
                <w:lang w:val="sl-SI" w:eastAsia="en-GB"/>
              </w:rPr>
              <w:t>Italija</w:t>
            </w:r>
          </w:p>
        </w:tc>
        <w:tc>
          <w:tcPr>
            <w:tcW w:w="1465" w:type="pct"/>
            <w:gridSpan w:val="2"/>
            <w:tcBorders>
              <w:top w:val="single" w:sz="4" w:space="0" w:color="auto"/>
              <w:left w:val="single" w:sz="4" w:space="0" w:color="auto"/>
              <w:bottom w:val="single" w:sz="4" w:space="0" w:color="auto"/>
            </w:tcBorders>
          </w:tcPr>
          <w:p w14:paraId="7D39A15A" w14:textId="77777777" w:rsidR="00E03711" w:rsidRPr="00F769E0" w:rsidRDefault="00E03711" w:rsidP="006A5E9C">
            <w:pPr>
              <w:pStyle w:val="Guide-Table"/>
              <w:rPr>
                <w:rFonts w:cs="Tahoma"/>
                <w:lang w:val="sl-SI" w:eastAsia="en-GB"/>
              </w:rPr>
            </w:pPr>
            <w:r w:rsidRPr="00F769E0">
              <w:rPr>
                <w:rFonts w:cs="Tahoma"/>
                <w:lang w:val="sl-SI" w:eastAsia="en-GB"/>
              </w:rPr>
              <w:t>230</w:t>
            </w:r>
          </w:p>
        </w:tc>
      </w:tr>
      <w:tr w:rsidR="00E03711" w:rsidRPr="008C6F8C" w14:paraId="7D39A15E" w14:textId="77777777" w:rsidTr="001923DD">
        <w:tc>
          <w:tcPr>
            <w:tcW w:w="3535" w:type="pct"/>
          </w:tcPr>
          <w:p w14:paraId="7D39A15C" w14:textId="77777777" w:rsidR="00E03711" w:rsidRPr="00F769E0" w:rsidRDefault="00E03711" w:rsidP="006A5E9C">
            <w:pPr>
              <w:pStyle w:val="Guide-Table"/>
              <w:jc w:val="left"/>
              <w:rPr>
                <w:rFonts w:cs="Tahoma"/>
                <w:lang w:val="sl-SI" w:eastAsia="en-GB"/>
              </w:rPr>
            </w:pPr>
            <w:r w:rsidRPr="00F769E0">
              <w:rPr>
                <w:rFonts w:cs="Tahoma"/>
                <w:lang w:val="sl-SI" w:eastAsia="en-GB"/>
              </w:rPr>
              <w:t>Ciper</w:t>
            </w:r>
          </w:p>
        </w:tc>
        <w:tc>
          <w:tcPr>
            <w:tcW w:w="1465" w:type="pct"/>
            <w:gridSpan w:val="2"/>
          </w:tcPr>
          <w:p w14:paraId="7D39A15D" w14:textId="77777777" w:rsidR="00E03711" w:rsidRPr="00F769E0" w:rsidRDefault="00E03711" w:rsidP="006A5E9C">
            <w:pPr>
              <w:pStyle w:val="Guide-Table"/>
              <w:rPr>
                <w:rFonts w:cs="Tahoma"/>
                <w:lang w:val="sl-SI" w:eastAsia="en-GB"/>
              </w:rPr>
            </w:pPr>
            <w:r w:rsidRPr="00F769E0">
              <w:rPr>
                <w:rFonts w:cs="Tahoma"/>
                <w:lang w:val="sl-SI" w:eastAsia="en-GB"/>
              </w:rPr>
              <w:t>238</w:t>
            </w:r>
          </w:p>
        </w:tc>
      </w:tr>
      <w:tr w:rsidR="00E03711" w:rsidRPr="008C6F8C" w14:paraId="7D39A161" w14:textId="77777777" w:rsidTr="001923DD">
        <w:tc>
          <w:tcPr>
            <w:tcW w:w="3535" w:type="pct"/>
            <w:tcBorders>
              <w:top w:val="single" w:sz="4" w:space="0" w:color="auto"/>
              <w:left w:val="single" w:sz="4" w:space="0" w:color="auto"/>
              <w:bottom w:val="single" w:sz="4" w:space="0" w:color="auto"/>
              <w:right w:val="single" w:sz="4" w:space="0" w:color="auto"/>
            </w:tcBorders>
          </w:tcPr>
          <w:p w14:paraId="7D39A15F" w14:textId="77777777" w:rsidR="00E03711" w:rsidRPr="00F769E0" w:rsidRDefault="00E03711" w:rsidP="006A5E9C">
            <w:pPr>
              <w:pStyle w:val="Guide-Table"/>
              <w:jc w:val="left"/>
              <w:rPr>
                <w:rFonts w:cs="Tahoma"/>
                <w:lang w:val="sl-SI" w:eastAsia="en-GB"/>
              </w:rPr>
            </w:pPr>
            <w:r w:rsidRPr="00F769E0">
              <w:rPr>
                <w:rFonts w:cs="Tahoma"/>
                <w:lang w:val="sl-SI" w:eastAsia="en-GB"/>
              </w:rPr>
              <w:t>Latvija</w:t>
            </w:r>
          </w:p>
        </w:tc>
        <w:tc>
          <w:tcPr>
            <w:tcW w:w="1465" w:type="pct"/>
            <w:gridSpan w:val="2"/>
            <w:tcBorders>
              <w:top w:val="single" w:sz="4" w:space="0" w:color="auto"/>
              <w:left w:val="single" w:sz="4" w:space="0" w:color="auto"/>
              <w:bottom w:val="single" w:sz="4" w:space="0" w:color="auto"/>
            </w:tcBorders>
          </w:tcPr>
          <w:p w14:paraId="7D39A160" w14:textId="77777777" w:rsidR="00E03711" w:rsidRPr="00F769E0" w:rsidRDefault="00E03711" w:rsidP="006A5E9C">
            <w:pPr>
              <w:pStyle w:val="Guide-Table"/>
              <w:rPr>
                <w:rFonts w:cs="Tahoma"/>
                <w:lang w:val="sl-SI" w:eastAsia="en-GB"/>
              </w:rPr>
            </w:pPr>
            <w:r w:rsidRPr="00F769E0">
              <w:rPr>
                <w:rFonts w:cs="Tahoma"/>
                <w:lang w:val="sl-SI" w:eastAsia="en-GB"/>
              </w:rPr>
              <w:t>211</w:t>
            </w:r>
          </w:p>
        </w:tc>
      </w:tr>
      <w:tr w:rsidR="00E03711" w:rsidRPr="008C6F8C" w14:paraId="7D39A164" w14:textId="77777777" w:rsidTr="001923DD">
        <w:tc>
          <w:tcPr>
            <w:tcW w:w="3535" w:type="pct"/>
            <w:tcBorders>
              <w:top w:val="single" w:sz="4" w:space="0" w:color="auto"/>
              <w:left w:val="single" w:sz="4" w:space="0" w:color="auto"/>
              <w:bottom w:val="single" w:sz="4" w:space="0" w:color="auto"/>
              <w:right w:val="single" w:sz="4" w:space="0" w:color="auto"/>
            </w:tcBorders>
          </w:tcPr>
          <w:p w14:paraId="7D39A162" w14:textId="77777777" w:rsidR="00E03711" w:rsidRPr="00F769E0" w:rsidRDefault="00E03711" w:rsidP="006A5E9C">
            <w:pPr>
              <w:pStyle w:val="Guide-Table"/>
              <w:jc w:val="left"/>
              <w:rPr>
                <w:rFonts w:cs="Tahoma"/>
                <w:lang w:val="sl-SI" w:eastAsia="en-GB"/>
              </w:rPr>
            </w:pPr>
            <w:r w:rsidRPr="00F769E0">
              <w:rPr>
                <w:rFonts w:cs="Tahoma"/>
                <w:lang w:val="sl-SI" w:eastAsia="en-GB"/>
              </w:rPr>
              <w:t>Litva</w:t>
            </w:r>
          </w:p>
        </w:tc>
        <w:tc>
          <w:tcPr>
            <w:tcW w:w="1465" w:type="pct"/>
            <w:gridSpan w:val="2"/>
            <w:tcBorders>
              <w:top w:val="single" w:sz="4" w:space="0" w:color="auto"/>
              <w:left w:val="single" w:sz="4" w:space="0" w:color="auto"/>
              <w:bottom w:val="single" w:sz="4" w:space="0" w:color="auto"/>
            </w:tcBorders>
          </w:tcPr>
          <w:p w14:paraId="7D39A163" w14:textId="77777777" w:rsidR="00E03711" w:rsidRPr="00F769E0" w:rsidRDefault="00E03711" w:rsidP="006A5E9C">
            <w:pPr>
              <w:pStyle w:val="Guide-Table"/>
              <w:rPr>
                <w:rFonts w:cs="Tahoma"/>
                <w:lang w:val="sl-SI" w:eastAsia="en-GB"/>
              </w:rPr>
            </w:pPr>
            <w:r w:rsidRPr="00F769E0">
              <w:rPr>
                <w:rFonts w:cs="Tahoma"/>
                <w:lang w:val="sl-SI" w:eastAsia="en-GB"/>
              </w:rPr>
              <w:t>183</w:t>
            </w:r>
          </w:p>
        </w:tc>
      </w:tr>
      <w:tr w:rsidR="00E03711" w:rsidRPr="008C6F8C" w14:paraId="7D39A167" w14:textId="77777777" w:rsidTr="001923DD">
        <w:tc>
          <w:tcPr>
            <w:tcW w:w="3535" w:type="pct"/>
            <w:tcBorders>
              <w:top w:val="single" w:sz="4" w:space="0" w:color="auto"/>
              <w:left w:val="single" w:sz="4" w:space="0" w:color="auto"/>
              <w:bottom w:val="single" w:sz="4" w:space="0" w:color="auto"/>
              <w:right w:val="single" w:sz="4" w:space="0" w:color="auto"/>
            </w:tcBorders>
          </w:tcPr>
          <w:p w14:paraId="7D39A165" w14:textId="77777777" w:rsidR="00E03711" w:rsidRPr="00F769E0" w:rsidRDefault="00E03711" w:rsidP="006A5E9C">
            <w:pPr>
              <w:pStyle w:val="Guide-Table"/>
              <w:jc w:val="left"/>
              <w:rPr>
                <w:rFonts w:cs="Tahoma"/>
                <w:lang w:val="sl-SI" w:eastAsia="en-GB"/>
              </w:rPr>
            </w:pPr>
            <w:r w:rsidRPr="00F769E0">
              <w:rPr>
                <w:rFonts w:cs="Tahoma"/>
                <w:lang w:val="sl-SI" w:eastAsia="en-GB"/>
              </w:rPr>
              <w:t>Luksemburg</w:t>
            </w:r>
          </w:p>
        </w:tc>
        <w:tc>
          <w:tcPr>
            <w:tcW w:w="1465" w:type="pct"/>
            <w:gridSpan w:val="2"/>
            <w:tcBorders>
              <w:top w:val="single" w:sz="4" w:space="0" w:color="auto"/>
              <w:left w:val="single" w:sz="4" w:space="0" w:color="auto"/>
              <w:bottom w:val="single" w:sz="4" w:space="0" w:color="auto"/>
            </w:tcBorders>
          </w:tcPr>
          <w:p w14:paraId="7D39A166" w14:textId="77777777" w:rsidR="00E03711" w:rsidRPr="00F769E0" w:rsidRDefault="00E03711" w:rsidP="006A5E9C">
            <w:pPr>
              <w:pStyle w:val="Guide-Table"/>
              <w:rPr>
                <w:rFonts w:cs="Tahoma"/>
                <w:lang w:val="sl-SI" w:eastAsia="en-GB"/>
              </w:rPr>
            </w:pPr>
            <w:r w:rsidRPr="00F769E0">
              <w:rPr>
                <w:rFonts w:cs="Tahoma"/>
                <w:lang w:val="sl-SI" w:eastAsia="en-GB"/>
              </w:rPr>
              <w:t>237</w:t>
            </w:r>
          </w:p>
        </w:tc>
      </w:tr>
      <w:tr w:rsidR="00E03711" w:rsidRPr="008C6F8C" w14:paraId="7D39A16A" w14:textId="77777777" w:rsidTr="001923DD">
        <w:tc>
          <w:tcPr>
            <w:tcW w:w="3535" w:type="pct"/>
            <w:tcBorders>
              <w:top w:val="single" w:sz="4" w:space="0" w:color="auto"/>
              <w:left w:val="single" w:sz="4" w:space="0" w:color="auto"/>
              <w:bottom w:val="single" w:sz="4" w:space="0" w:color="auto"/>
              <w:right w:val="single" w:sz="4" w:space="0" w:color="auto"/>
            </w:tcBorders>
          </w:tcPr>
          <w:p w14:paraId="7D39A168" w14:textId="77777777" w:rsidR="00E03711" w:rsidRPr="00F769E0" w:rsidRDefault="00E03711" w:rsidP="006A5E9C">
            <w:pPr>
              <w:pStyle w:val="Guide-Table"/>
              <w:jc w:val="left"/>
              <w:rPr>
                <w:rFonts w:cs="Tahoma"/>
                <w:lang w:val="sl-SI" w:eastAsia="en-GB"/>
              </w:rPr>
            </w:pPr>
            <w:r w:rsidRPr="00F769E0">
              <w:rPr>
                <w:rFonts w:cs="Tahoma"/>
                <w:lang w:val="sl-SI" w:eastAsia="en-GB"/>
              </w:rPr>
              <w:t>Madžarska</w:t>
            </w:r>
          </w:p>
        </w:tc>
        <w:tc>
          <w:tcPr>
            <w:tcW w:w="1465" w:type="pct"/>
            <w:gridSpan w:val="2"/>
            <w:tcBorders>
              <w:top w:val="single" w:sz="4" w:space="0" w:color="auto"/>
              <w:left w:val="single" w:sz="4" w:space="0" w:color="auto"/>
              <w:bottom w:val="single" w:sz="4" w:space="0" w:color="auto"/>
              <w:right w:val="single" w:sz="4" w:space="0" w:color="auto"/>
            </w:tcBorders>
          </w:tcPr>
          <w:p w14:paraId="7D39A169" w14:textId="77777777" w:rsidR="00E03711" w:rsidRPr="00F769E0" w:rsidRDefault="00E03711" w:rsidP="006A5E9C">
            <w:pPr>
              <w:pStyle w:val="Guide-Table"/>
              <w:rPr>
                <w:rFonts w:cs="Tahoma"/>
                <w:lang w:val="sl-SI" w:eastAsia="en-GB"/>
              </w:rPr>
            </w:pPr>
            <w:r w:rsidRPr="00F769E0">
              <w:rPr>
                <w:rFonts w:cs="Tahoma"/>
                <w:lang w:val="sl-SI" w:eastAsia="en-GB"/>
              </w:rPr>
              <w:t>222</w:t>
            </w:r>
          </w:p>
        </w:tc>
      </w:tr>
      <w:tr w:rsidR="00E03711" w:rsidRPr="00F769E0" w14:paraId="7D39A16D" w14:textId="77777777" w:rsidTr="001923DD">
        <w:trPr>
          <w:trHeight w:val="198"/>
        </w:trPr>
        <w:tc>
          <w:tcPr>
            <w:tcW w:w="3535" w:type="pct"/>
          </w:tcPr>
          <w:p w14:paraId="7D39A16B" w14:textId="77777777" w:rsidR="00E03711" w:rsidRPr="00F769E0" w:rsidRDefault="00E03711" w:rsidP="001923DD">
            <w:pPr>
              <w:pStyle w:val="Guide-Table"/>
              <w:jc w:val="left"/>
              <w:rPr>
                <w:rFonts w:cs="Tahoma"/>
                <w:lang w:val="sl-SI" w:eastAsia="en-GB"/>
              </w:rPr>
            </w:pPr>
            <w:r w:rsidRPr="00F769E0">
              <w:rPr>
                <w:rFonts w:cs="Tahoma"/>
                <w:lang w:val="sl-SI" w:eastAsia="en-GB"/>
              </w:rPr>
              <w:t>Malta</w:t>
            </w:r>
          </w:p>
        </w:tc>
        <w:tc>
          <w:tcPr>
            <w:tcW w:w="1465" w:type="pct"/>
            <w:gridSpan w:val="2"/>
          </w:tcPr>
          <w:p w14:paraId="7D39A16C" w14:textId="77777777" w:rsidR="00E03711" w:rsidRPr="00F769E0" w:rsidRDefault="00E03711" w:rsidP="001923DD">
            <w:pPr>
              <w:pStyle w:val="Guide-Table"/>
              <w:rPr>
                <w:rFonts w:cs="Tahoma"/>
                <w:lang w:val="sl-SI" w:eastAsia="en-GB"/>
              </w:rPr>
            </w:pPr>
            <w:r w:rsidRPr="00F769E0">
              <w:rPr>
                <w:rFonts w:cs="Tahoma"/>
                <w:lang w:val="sl-SI" w:eastAsia="en-GB"/>
              </w:rPr>
              <w:t>205</w:t>
            </w:r>
          </w:p>
        </w:tc>
      </w:tr>
      <w:tr w:rsidR="00E03711" w:rsidRPr="00F769E0" w14:paraId="7D39A170" w14:textId="77777777" w:rsidTr="001923DD">
        <w:tc>
          <w:tcPr>
            <w:tcW w:w="3535" w:type="pct"/>
          </w:tcPr>
          <w:p w14:paraId="7D39A16E" w14:textId="77777777" w:rsidR="00E03711" w:rsidRPr="00F769E0" w:rsidRDefault="00E03711" w:rsidP="001923DD">
            <w:pPr>
              <w:pStyle w:val="Guide-Table"/>
              <w:jc w:val="left"/>
              <w:rPr>
                <w:rFonts w:cs="Tahoma"/>
                <w:lang w:val="sl-SI" w:eastAsia="en-GB"/>
              </w:rPr>
            </w:pPr>
            <w:r w:rsidRPr="00F769E0">
              <w:rPr>
                <w:rFonts w:cs="Tahoma"/>
                <w:lang w:val="sl-SI" w:eastAsia="en-GB"/>
              </w:rPr>
              <w:t>Nizozemska</w:t>
            </w:r>
          </w:p>
        </w:tc>
        <w:tc>
          <w:tcPr>
            <w:tcW w:w="1465" w:type="pct"/>
            <w:gridSpan w:val="2"/>
          </w:tcPr>
          <w:p w14:paraId="7D39A16F" w14:textId="77777777" w:rsidR="00E03711" w:rsidRPr="00F769E0" w:rsidRDefault="00E03711" w:rsidP="001923DD">
            <w:pPr>
              <w:pStyle w:val="Guide-Table"/>
              <w:rPr>
                <w:rFonts w:cs="Tahoma"/>
                <w:lang w:val="sl-SI" w:eastAsia="en-GB"/>
              </w:rPr>
            </w:pPr>
            <w:r w:rsidRPr="00F769E0">
              <w:rPr>
                <w:rFonts w:cs="Tahoma"/>
                <w:lang w:val="sl-SI" w:eastAsia="en-GB"/>
              </w:rPr>
              <w:t>263</w:t>
            </w:r>
          </w:p>
        </w:tc>
      </w:tr>
      <w:tr w:rsidR="00E03711" w:rsidRPr="00F769E0" w14:paraId="7D39A173" w14:textId="77777777" w:rsidTr="001923DD">
        <w:tc>
          <w:tcPr>
            <w:tcW w:w="3535" w:type="pct"/>
          </w:tcPr>
          <w:p w14:paraId="7D39A171" w14:textId="77777777" w:rsidR="00E03711" w:rsidRPr="00F769E0" w:rsidRDefault="00E03711" w:rsidP="001923DD">
            <w:pPr>
              <w:pStyle w:val="Guide-Table"/>
              <w:jc w:val="left"/>
              <w:rPr>
                <w:rFonts w:cs="Tahoma"/>
                <w:lang w:val="sl-SI" w:eastAsia="en-GB"/>
              </w:rPr>
            </w:pPr>
            <w:r w:rsidRPr="00F769E0">
              <w:rPr>
                <w:rFonts w:cs="Tahoma"/>
                <w:lang w:val="sl-SI" w:eastAsia="en-GB"/>
              </w:rPr>
              <w:t>Avstrija</w:t>
            </w:r>
          </w:p>
        </w:tc>
        <w:tc>
          <w:tcPr>
            <w:tcW w:w="1465" w:type="pct"/>
            <w:gridSpan w:val="2"/>
          </w:tcPr>
          <w:p w14:paraId="7D39A172" w14:textId="77777777" w:rsidR="00E03711" w:rsidRPr="00F769E0" w:rsidRDefault="00E03711" w:rsidP="001923DD">
            <w:pPr>
              <w:pStyle w:val="Guide-Table"/>
              <w:rPr>
                <w:rFonts w:cs="Tahoma"/>
                <w:lang w:val="sl-SI" w:eastAsia="en-GB"/>
              </w:rPr>
            </w:pPr>
            <w:r w:rsidRPr="00F769E0">
              <w:rPr>
                <w:rFonts w:cs="Tahoma"/>
                <w:lang w:val="sl-SI" w:eastAsia="en-GB"/>
              </w:rPr>
              <w:t>225</w:t>
            </w:r>
          </w:p>
        </w:tc>
      </w:tr>
      <w:tr w:rsidR="00E03711" w:rsidRPr="00F769E0" w14:paraId="7D39A176" w14:textId="77777777" w:rsidTr="001923DD">
        <w:tc>
          <w:tcPr>
            <w:tcW w:w="3535" w:type="pct"/>
          </w:tcPr>
          <w:p w14:paraId="7D39A174" w14:textId="77777777" w:rsidR="00E03711" w:rsidRPr="00F769E0" w:rsidRDefault="00E03711" w:rsidP="001923DD">
            <w:pPr>
              <w:pStyle w:val="Guide-Table"/>
              <w:jc w:val="left"/>
              <w:rPr>
                <w:rFonts w:cs="Tahoma"/>
                <w:lang w:val="sl-SI" w:eastAsia="en-GB"/>
              </w:rPr>
            </w:pPr>
            <w:r w:rsidRPr="00F769E0">
              <w:rPr>
                <w:rFonts w:cs="Tahoma"/>
                <w:lang w:val="sl-SI" w:eastAsia="en-GB"/>
              </w:rPr>
              <w:t>Poljska</w:t>
            </w:r>
          </w:p>
        </w:tc>
        <w:tc>
          <w:tcPr>
            <w:tcW w:w="1465" w:type="pct"/>
            <w:gridSpan w:val="2"/>
          </w:tcPr>
          <w:p w14:paraId="7D39A175" w14:textId="77777777" w:rsidR="00E03711" w:rsidRPr="00F769E0" w:rsidRDefault="00E03711" w:rsidP="001923DD">
            <w:pPr>
              <w:pStyle w:val="Guide-Table"/>
              <w:rPr>
                <w:rFonts w:cs="Tahoma"/>
                <w:lang w:val="sl-SI" w:eastAsia="en-GB"/>
              </w:rPr>
            </w:pPr>
            <w:r w:rsidRPr="00F769E0">
              <w:rPr>
                <w:rFonts w:cs="Tahoma"/>
                <w:lang w:val="sl-SI" w:eastAsia="en-GB"/>
              </w:rPr>
              <w:t>217</w:t>
            </w:r>
          </w:p>
        </w:tc>
      </w:tr>
      <w:tr w:rsidR="00E03711" w:rsidRPr="00F769E0" w14:paraId="7D39A179" w14:textId="77777777" w:rsidTr="001923DD">
        <w:tc>
          <w:tcPr>
            <w:tcW w:w="3535" w:type="pct"/>
          </w:tcPr>
          <w:p w14:paraId="7D39A177" w14:textId="77777777" w:rsidR="00E03711" w:rsidRPr="00F769E0" w:rsidRDefault="00E03711" w:rsidP="001923DD">
            <w:pPr>
              <w:pStyle w:val="Guide-Table"/>
              <w:jc w:val="left"/>
              <w:rPr>
                <w:rFonts w:cs="Tahoma"/>
                <w:lang w:val="sl-SI" w:eastAsia="en-GB"/>
              </w:rPr>
            </w:pPr>
            <w:r w:rsidRPr="00F769E0">
              <w:rPr>
                <w:rFonts w:cs="Tahoma"/>
                <w:lang w:val="sl-SI" w:eastAsia="en-GB"/>
              </w:rPr>
              <w:t>Portugalska</w:t>
            </w:r>
          </w:p>
        </w:tc>
        <w:tc>
          <w:tcPr>
            <w:tcW w:w="1465" w:type="pct"/>
            <w:gridSpan w:val="2"/>
          </w:tcPr>
          <w:p w14:paraId="7D39A178" w14:textId="77777777" w:rsidR="00E03711" w:rsidRPr="00F769E0" w:rsidRDefault="00E03711" w:rsidP="001923DD">
            <w:pPr>
              <w:pStyle w:val="Guide-Table"/>
              <w:rPr>
                <w:rFonts w:cs="Tahoma"/>
                <w:lang w:val="sl-SI" w:eastAsia="en-GB"/>
              </w:rPr>
            </w:pPr>
            <w:r w:rsidRPr="00F769E0">
              <w:rPr>
                <w:rFonts w:cs="Tahoma"/>
                <w:lang w:val="sl-SI" w:eastAsia="en-GB"/>
              </w:rPr>
              <w:t>204</w:t>
            </w:r>
          </w:p>
        </w:tc>
      </w:tr>
      <w:tr w:rsidR="00E03711" w:rsidRPr="00F769E0" w14:paraId="7D39A17C" w14:textId="77777777" w:rsidTr="001923DD">
        <w:tc>
          <w:tcPr>
            <w:tcW w:w="3535" w:type="pct"/>
          </w:tcPr>
          <w:p w14:paraId="7D39A17A" w14:textId="77777777" w:rsidR="00E03711" w:rsidRPr="00F769E0" w:rsidRDefault="00E03711" w:rsidP="001923DD">
            <w:pPr>
              <w:pStyle w:val="Guide-Table"/>
              <w:jc w:val="left"/>
              <w:rPr>
                <w:rFonts w:cs="Tahoma"/>
                <w:lang w:val="sl-SI" w:eastAsia="en-GB"/>
              </w:rPr>
            </w:pPr>
            <w:r w:rsidRPr="00F769E0">
              <w:rPr>
                <w:rFonts w:cs="Tahoma"/>
                <w:lang w:val="sl-SI" w:eastAsia="en-GB"/>
              </w:rPr>
              <w:t>Romunija</w:t>
            </w:r>
          </w:p>
        </w:tc>
        <w:tc>
          <w:tcPr>
            <w:tcW w:w="1465" w:type="pct"/>
            <w:gridSpan w:val="2"/>
          </w:tcPr>
          <w:p w14:paraId="7D39A17B" w14:textId="77777777" w:rsidR="00E03711" w:rsidRPr="00F769E0" w:rsidRDefault="00E03711" w:rsidP="001923DD">
            <w:pPr>
              <w:pStyle w:val="Guide-Table"/>
              <w:rPr>
                <w:rFonts w:cs="Tahoma"/>
                <w:lang w:val="sl-SI" w:eastAsia="en-GB"/>
              </w:rPr>
            </w:pPr>
            <w:r w:rsidRPr="00F769E0">
              <w:rPr>
                <w:rFonts w:cs="Tahoma"/>
                <w:lang w:val="sl-SI" w:eastAsia="en-GB"/>
              </w:rPr>
              <w:t>222</w:t>
            </w:r>
          </w:p>
        </w:tc>
      </w:tr>
      <w:tr w:rsidR="00E03711" w:rsidRPr="00F769E0" w14:paraId="7D39A17F" w14:textId="77777777" w:rsidTr="001923DD">
        <w:tc>
          <w:tcPr>
            <w:tcW w:w="3535" w:type="pct"/>
          </w:tcPr>
          <w:p w14:paraId="7D39A17D" w14:textId="77777777" w:rsidR="00E03711" w:rsidRPr="00F769E0" w:rsidRDefault="00E03711" w:rsidP="001923DD">
            <w:pPr>
              <w:pStyle w:val="Guide-Table"/>
              <w:jc w:val="left"/>
              <w:rPr>
                <w:rFonts w:cs="Tahoma"/>
                <w:lang w:val="sl-SI" w:eastAsia="en-GB"/>
              </w:rPr>
            </w:pPr>
            <w:r w:rsidRPr="00F769E0">
              <w:rPr>
                <w:rFonts w:cs="Tahoma"/>
                <w:lang w:val="sl-SI" w:eastAsia="en-GB"/>
              </w:rPr>
              <w:t>Slovenija</w:t>
            </w:r>
          </w:p>
        </w:tc>
        <w:tc>
          <w:tcPr>
            <w:tcW w:w="1465" w:type="pct"/>
            <w:gridSpan w:val="2"/>
          </w:tcPr>
          <w:p w14:paraId="7D39A17E" w14:textId="77777777" w:rsidR="00E03711" w:rsidRPr="00F769E0" w:rsidRDefault="00E03711" w:rsidP="001923DD">
            <w:pPr>
              <w:pStyle w:val="Guide-Table"/>
              <w:rPr>
                <w:rFonts w:cs="Tahoma"/>
                <w:lang w:val="sl-SI" w:eastAsia="en-GB"/>
              </w:rPr>
            </w:pPr>
            <w:r w:rsidRPr="00F769E0">
              <w:rPr>
                <w:rFonts w:cs="Tahoma"/>
                <w:lang w:val="sl-SI" w:eastAsia="en-GB"/>
              </w:rPr>
              <w:t>180</w:t>
            </w:r>
          </w:p>
        </w:tc>
      </w:tr>
      <w:tr w:rsidR="00E03711" w:rsidRPr="00F769E0" w14:paraId="7D39A182" w14:textId="77777777" w:rsidTr="001923DD">
        <w:tc>
          <w:tcPr>
            <w:tcW w:w="3535" w:type="pct"/>
          </w:tcPr>
          <w:p w14:paraId="7D39A180" w14:textId="77777777" w:rsidR="00E03711" w:rsidRPr="00F769E0" w:rsidRDefault="00E03711" w:rsidP="001923DD">
            <w:pPr>
              <w:pStyle w:val="Guide-Table"/>
              <w:jc w:val="left"/>
              <w:rPr>
                <w:rFonts w:cs="Tahoma"/>
                <w:lang w:val="sl-SI" w:eastAsia="en-GB"/>
              </w:rPr>
            </w:pPr>
            <w:r w:rsidRPr="00F769E0">
              <w:rPr>
                <w:rFonts w:cs="Tahoma"/>
                <w:lang w:val="sl-SI" w:eastAsia="en-GB"/>
              </w:rPr>
              <w:t>Slovaška</w:t>
            </w:r>
          </w:p>
        </w:tc>
        <w:tc>
          <w:tcPr>
            <w:tcW w:w="1465" w:type="pct"/>
            <w:gridSpan w:val="2"/>
          </w:tcPr>
          <w:p w14:paraId="7D39A181" w14:textId="77777777" w:rsidR="00E03711" w:rsidRPr="00F769E0" w:rsidRDefault="00E03711" w:rsidP="001923DD">
            <w:pPr>
              <w:pStyle w:val="Guide-Table"/>
              <w:rPr>
                <w:rFonts w:cs="Tahoma"/>
                <w:lang w:val="sl-SI" w:eastAsia="en-GB"/>
              </w:rPr>
            </w:pPr>
            <w:r w:rsidRPr="00F769E0">
              <w:rPr>
                <w:rFonts w:cs="Tahoma"/>
                <w:lang w:val="sl-SI" w:eastAsia="en-GB"/>
              </w:rPr>
              <w:t>205</w:t>
            </w:r>
          </w:p>
        </w:tc>
      </w:tr>
      <w:tr w:rsidR="00E03711" w:rsidRPr="00F769E0" w14:paraId="7D39A185" w14:textId="77777777" w:rsidTr="001923DD">
        <w:tc>
          <w:tcPr>
            <w:tcW w:w="3535" w:type="pct"/>
          </w:tcPr>
          <w:p w14:paraId="7D39A183" w14:textId="77777777" w:rsidR="00E03711" w:rsidRPr="00F769E0" w:rsidRDefault="00E03711" w:rsidP="001923DD">
            <w:pPr>
              <w:pStyle w:val="Guide-Table"/>
              <w:jc w:val="left"/>
              <w:rPr>
                <w:rFonts w:cs="Tahoma"/>
                <w:lang w:val="sl-SI" w:eastAsia="en-GB"/>
              </w:rPr>
            </w:pPr>
            <w:r w:rsidRPr="00F769E0">
              <w:rPr>
                <w:rFonts w:cs="Tahoma"/>
                <w:lang w:val="sl-SI" w:eastAsia="en-GB"/>
              </w:rPr>
              <w:t>Finska</w:t>
            </w:r>
          </w:p>
        </w:tc>
        <w:tc>
          <w:tcPr>
            <w:tcW w:w="1465" w:type="pct"/>
            <w:gridSpan w:val="2"/>
          </w:tcPr>
          <w:p w14:paraId="7D39A184" w14:textId="77777777" w:rsidR="00E03711" w:rsidRPr="00F769E0" w:rsidRDefault="00E03711" w:rsidP="001923DD">
            <w:pPr>
              <w:pStyle w:val="Guide-Table"/>
              <w:rPr>
                <w:rFonts w:cs="Tahoma"/>
                <w:lang w:val="sl-SI" w:eastAsia="en-GB"/>
              </w:rPr>
            </w:pPr>
            <w:r w:rsidRPr="00F769E0">
              <w:rPr>
                <w:rFonts w:cs="Tahoma"/>
                <w:lang w:val="sl-SI" w:eastAsia="en-GB"/>
              </w:rPr>
              <w:t>244</w:t>
            </w:r>
          </w:p>
        </w:tc>
      </w:tr>
      <w:tr w:rsidR="00E03711" w:rsidRPr="00F769E0" w14:paraId="7D39A188" w14:textId="77777777" w:rsidTr="001923DD">
        <w:tc>
          <w:tcPr>
            <w:tcW w:w="3535" w:type="pct"/>
          </w:tcPr>
          <w:p w14:paraId="7D39A186" w14:textId="77777777" w:rsidR="00E03711" w:rsidRPr="00F769E0" w:rsidRDefault="00E03711" w:rsidP="001923DD">
            <w:pPr>
              <w:pStyle w:val="Guide-Table"/>
              <w:jc w:val="left"/>
              <w:rPr>
                <w:rFonts w:cs="Tahoma"/>
                <w:lang w:val="sl-SI" w:eastAsia="en-GB"/>
              </w:rPr>
            </w:pPr>
            <w:r w:rsidRPr="00F769E0">
              <w:rPr>
                <w:rFonts w:cs="Tahoma"/>
                <w:lang w:val="sl-SI" w:eastAsia="en-GB"/>
              </w:rPr>
              <w:t>Švedska</w:t>
            </w:r>
          </w:p>
        </w:tc>
        <w:tc>
          <w:tcPr>
            <w:tcW w:w="1465" w:type="pct"/>
            <w:gridSpan w:val="2"/>
          </w:tcPr>
          <w:p w14:paraId="7D39A187" w14:textId="77777777" w:rsidR="00E03711" w:rsidRPr="00F769E0" w:rsidRDefault="00E03711" w:rsidP="001923DD">
            <w:pPr>
              <w:pStyle w:val="Guide-Table"/>
              <w:rPr>
                <w:rFonts w:cs="Tahoma"/>
                <w:lang w:val="sl-SI" w:eastAsia="en-GB"/>
              </w:rPr>
            </w:pPr>
            <w:r w:rsidRPr="00F769E0">
              <w:rPr>
                <w:rFonts w:cs="Tahoma"/>
                <w:lang w:val="sl-SI" w:eastAsia="en-GB"/>
              </w:rPr>
              <w:t>257</w:t>
            </w:r>
          </w:p>
        </w:tc>
      </w:tr>
      <w:tr w:rsidR="00E03711" w:rsidRPr="00F769E0" w14:paraId="7D39A18B" w14:textId="77777777" w:rsidTr="001923DD">
        <w:tc>
          <w:tcPr>
            <w:tcW w:w="3535" w:type="pct"/>
            <w:vAlign w:val="center"/>
          </w:tcPr>
          <w:p w14:paraId="7D39A189" w14:textId="77777777" w:rsidR="00E03711" w:rsidRPr="00F769E0" w:rsidRDefault="00E03711" w:rsidP="001923DD">
            <w:pPr>
              <w:pStyle w:val="Guide-Table"/>
              <w:jc w:val="left"/>
              <w:rPr>
                <w:rFonts w:cs="Tahoma"/>
                <w:lang w:val="sl-SI" w:eastAsia="en-GB"/>
              </w:rPr>
            </w:pPr>
            <w:r w:rsidRPr="00F769E0">
              <w:rPr>
                <w:rFonts w:cs="Tahoma"/>
                <w:lang w:val="sl-SI" w:eastAsia="en-GB"/>
              </w:rPr>
              <w:t>Združeno</w:t>
            </w:r>
            <w:r w:rsidRPr="00F769E0">
              <w:rPr>
                <w:rFonts w:cs="Tahoma"/>
                <w:spacing w:val="2"/>
                <w:lang w:val="sl-SI" w:eastAsia="en-GB"/>
              </w:rPr>
              <w:t xml:space="preserve"> </w:t>
            </w:r>
            <w:r w:rsidRPr="00F769E0">
              <w:rPr>
                <w:rFonts w:cs="Tahoma"/>
                <w:lang w:val="sl-SI" w:eastAsia="en-GB"/>
              </w:rPr>
              <w:t>kraljestvo</w:t>
            </w:r>
          </w:p>
        </w:tc>
        <w:tc>
          <w:tcPr>
            <w:tcW w:w="1465" w:type="pct"/>
            <w:gridSpan w:val="2"/>
            <w:vAlign w:val="center"/>
          </w:tcPr>
          <w:p w14:paraId="7D39A18A" w14:textId="77777777" w:rsidR="00E03711" w:rsidRPr="00F769E0" w:rsidRDefault="00E03711" w:rsidP="001923DD">
            <w:pPr>
              <w:pStyle w:val="Guide-Table"/>
              <w:rPr>
                <w:rFonts w:cs="Tahoma"/>
                <w:lang w:val="sl-SI" w:eastAsia="en-GB"/>
              </w:rPr>
            </w:pPr>
            <w:r w:rsidRPr="00F769E0">
              <w:rPr>
                <w:rFonts w:cs="Tahoma"/>
                <w:lang w:val="sl-SI" w:eastAsia="en-GB"/>
              </w:rPr>
              <w:t>276</w:t>
            </w:r>
          </w:p>
        </w:tc>
      </w:tr>
      <w:tr w:rsidR="00E03711" w:rsidRPr="00F769E0" w14:paraId="7D39A18E" w14:textId="77777777" w:rsidTr="001923DD">
        <w:tc>
          <w:tcPr>
            <w:tcW w:w="3535" w:type="pct"/>
            <w:vAlign w:val="center"/>
          </w:tcPr>
          <w:p w14:paraId="7D39A18C" w14:textId="77777777" w:rsidR="00E03711" w:rsidRPr="00F769E0" w:rsidRDefault="00E03711">
            <w:pPr>
              <w:pStyle w:val="Guide-Table"/>
              <w:jc w:val="left"/>
              <w:rPr>
                <w:rFonts w:cs="Tahoma"/>
                <w:lang w:val="sl-SI" w:eastAsia="en-GB"/>
              </w:rPr>
            </w:pPr>
            <w:r>
              <w:rPr>
                <w:rFonts w:cs="Tahoma"/>
                <w:lang w:val="sl-SI" w:eastAsia="en-GB"/>
              </w:rPr>
              <w:t>R</w:t>
            </w:r>
            <w:r w:rsidRPr="00F769E0">
              <w:rPr>
                <w:rFonts w:cs="Tahoma"/>
                <w:lang w:val="sl-SI" w:eastAsia="en-GB"/>
              </w:rPr>
              <w:t xml:space="preserve">epublika </w:t>
            </w:r>
            <w:r>
              <w:rPr>
                <w:rFonts w:cs="Tahoma"/>
                <w:lang w:val="sl-SI" w:eastAsia="en-GB"/>
              </w:rPr>
              <w:t xml:space="preserve">Severna </w:t>
            </w:r>
            <w:r w:rsidRPr="00F769E0">
              <w:rPr>
                <w:rFonts w:cs="Tahoma"/>
                <w:lang w:val="sl-SI" w:eastAsia="en-GB"/>
              </w:rPr>
              <w:t>Makedonija</w:t>
            </w:r>
          </w:p>
        </w:tc>
        <w:tc>
          <w:tcPr>
            <w:tcW w:w="1465" w:type="pct"/>
            <w:gridSpan w:val="2"/>
            <w:vAlign w:val="center"/>
          </w:tcPr>
          <w:p w14:paraId="7D39A18D" w14:textId="77777777" w:rsidR="00E03711" w:rsidRPr="00F769E0" w:rsidRDefault="00E03711" w:rsidP="001923DD">
            <w:pPr>
              <w:pStyle w:val="Guide-Table"/>
              <w:rPr>
                <w:rFonts w:cs="Tahoma"/>
                <w:lang w:val="sl-SI" w:eastAsia="en-GB"/>
              </w:rPr>
            </w:pPr>
            <w:r w:rsidRPr="00F769E0">
              <w:rPr>
                <w:rFonts w:cs="Tahoma"/>
                <w:lang w:val="sl-SI" w:eastAsia="en-GB"/>
              </w:rPr>
              <w:t>210</w:t>
            </w:r>
          </w:p>
        </w:tc>
      </w:tr>
      <w:tr w:rsidR="00E03711" w:rsidRPr="00F769E0" w14:paraId="7D39A191" w14:textId="77777777" w:rsidTr="001923DD">
        <w:tc>
          <w:tcPr>
            <w:tcW w:w="3535" w:type="pct"/>
            <w:vAlign w:val="center"/>
          </w:tcPr>
          <w:p w14:paraId="7D39A18F" w14:textId="77777777" w:rsidR="00E03711" w:rsidRPr="00F769E0" w:rsidRDefault="00E03711" w:rsidP="001923DD">
            <w:pPr>
              <w:pStyle w:val="Guide-Table"/>
              <w:jc w:val="left"/>
              <w:rPr>
                <w:rFonts w:cs="Tahoma"/>
                <w:lang w:val="sl-SI" w:eastAsia="en-GB"/>
              </w:rPr>
            </w:pPr>
            <w:r w:rsidRPr="00F769E0">
              <w:rPr>
                <w:rFonts w:cs="Tahoma"/>
                <w:lang w:val="sl-SI" w:eastAsia="en-GB"/>
              </w:rPr>
              <w:t>Islandija</w:t>
            </w:r>
          </w:p>
        </w:tc>
        <w:tc>
          <w:tcPr>
            <w:tcW w:w="1465" w:type="pct"/>
            <w:gridSpan w:val="2"/>
          </w:tcPr>
          <w:p w14:paraId="7D39A190" w14:textId="77777777" w:rsidR="00E03711" w:rsidRPr="00F769E0" w:rsidRDefault="00E03711" w:rsidP="001923DD">
            <w:pPr>
              <w:pStyle w:val="Guide-Table"/>
              <w:rPr>
                <w:rFonts w:cs="Tahoma"/>
                <w:lang w:val="sl-SI" w:eastAsia="en-GB"/>
              </w:rPr>
            </w:pPr>
            <w:r w:rsidRPr="00F769E0">
              <w:rPr>
                <w:rFonts w:cs="Tahoma"/>
                <w:lang w:val="sl-SI" w:eastAsia="en-GB"/>
              </w:rPr>
              <w:t>245</w:t>
            </w:r>
          </w:p>
        </w:tc>
      </w:tr>
      <w:tr w:rsidR="00E03711" w:rsidRPr="00F769E0" w14:paraId="7D39A194" w14:textId="77777777" w:rsidTr="001923DD">
        <w:tc>
          <w:tcPr>
            <w:tcW w:w="3535" w:type="pct"/>
            <w:vAlign w:val="center"/>
          </w:tcPr>
          <w:p w14:paraId="7D39A192" w14:textId="77777777" w:rsidR="00E03711" w:rsidRPr="00F769E0" w:rsidRDefault="00E03711" w:rsidP="001923DD">
            <w:pPr>
              <w:pStyle w:val="Guide-Table"/>
              <w:jc w:val="left"/>
              <w:rPr>
                <w:rFonts w:cs="Tahoma"/>
                <w:lang w:val="sl-SI" w:eastAsia="en-GB"/>
              </w:rPr>
            </w:pPr>
            <w:r w:rsidRPr="00F769E0">
              <w:rPr>
                <w:rFonts w:cs="Tahoma"/>
                <w:lang w:val="sl-SI" w:eastAsia="en-GB"/>
              </w:rPr>
              <w:t>Lihtenštajn</w:t>
            </w:r>
          </w:p>
        </w:tc>
        <w:tc>
          <w:tcPr>
            <w:tcW w:w="1465" w:type="pct"/>
            <w:gridSpan w:val="2"/>
          </w:tcPr>
          <w:p w14:paraId="7D39A193" w14:textId="77777777" w:rsidR="00E03711" w:rsidRPr="00F769E0" w:rsidRDefault="00E03711" w:rsidP="001923DD">
            <w:pPr>
              <w:pStyle w:val="Guide-Table"/>
              <w:rPr>
                <w:rFonts w:cs="Tahoma"/>
                <w:lang w:val="sl-SI" w:eastAsia="en-GB"/>
              </w:rPr>
            </w:pPr>
            <w:r w:rsidRPr="00F769E0">
              <w:rPr>
                <w:rFonts w:cs="Tahoma"/>
                <w:lang w:val="sl-SI" w:eastAsia="en-GB"/>
              </w:rPr>
              <w:t>175</w:t>
            </w:r>
          </w:p>
        </w:tc>
      </w:tr>
      <w:tr w:rsidR="00E03711" w:rsidRPr="00F769E0" w14:paraId="7D39A197" w14:textId="77777777" w:rsidTr="001923DD">
        <w:tc>
          <w:tcPr>
            <w:tcW w:w="3535" w:type="pct"/>
            <w:vAlign w:val="center"/>
          </w:tcPr>
          <w:p w14:paraId="7D39A195" w14:textId="77777777" w:rsidR="00E03711" w:rsidRPr="00F769E0" w:rsidRDefault="00E03711" w:rsidP="001923DD">
            <w:pPr>
              <w:pStyle w:val="Guide-Table"/>
              <w:jc w:val="left"/>
              <w:rPr>
                <w:rFonts w:cs="Tahoma"/>
                <w:lang w:val="sl-SI" w:eastAsia="en-GB"/>
              </w:rPr>
            </w:pPr>
            <w:r w:rsidRPr="00F769E0">
              <w:rPr>
                <w:rFonts w:cs="Tahoma"/>
                <w:lang w:val="sl-SI" w:eastAsia="en-GB"/>
              </w:rPr>
              <w:t>Norveška</w:t>
            </w:r>
          </w:p>
        </w:tc>
        <w:tc>
          <w:tcPr>
            <w:tcW w:w="1465" w:type="pct"/>
            <w:gridSpan w:val="2"/>
          </w:tcPr>
          <w:p w14:paraId="7D39A196" w14:textId="77777777" w:rsidR="00E03711" w:rsidRPr="00F769E0" w:rsidRDefault="00E03711" w:rsidP="001923DD">
            <w:pPr>
              <w:pStyle w:val="Guide-Table"/>
              <w:rPr>
                <w:rFonts w:cs="Tahoma"/>
                <w:lang w:val="sl-SI" w:eastAsia="en-GB"/>
              </w:rPr>
            </w:pPr>
            <w:r w:rsidRPr="00F769E0">
              <w:rPr>
                <w:rFonts w:cs="Tahoma"/>
                <w:lang w:val="sl-SI" w:eastAsia="en-GB"/>
              </w:rPr>
              <w:t>220</w:t>
            </w:r>
          </w:p>
        </w:tc>
      </w:tr>
      <w:tr w:rsidR="00E03711" w:rsidRPr="00F769E0" w14:paraId="7D39A19A" w14:textId="77777777" w:rsidTr="001923DD">
        <w:tc>
          <w:tcPr>
            <w:tcW w:w="3535" w:type="pct"/>
            <w:tcBorders>
              <w:bottom w:val="single" w:sz="4" w:space="0" w:color="auto"/>
            </w:tcBorders>
            <w:vAlign w:val="center"/>
          </w:tcPr>
          <w:p w14:paraId="7D39A198" w14:textId="77777777" w:rsidR="00E03711" w:rsidRPr="00F769E0" w:rsidRDefault="00E03711" w:rsidP="001923DD">
            <w:pPr>
              <w:pStyle w:val="Guide-Table"/>
              <w:jc w:val="left"/>
              <w:rPr>
                <w:rFonts w:cs="Tahoma"/>
                <w:lang w:val="sl-SI" w:eastAsia="en-GB"/>
              </w:rPr>
            </w:pPr>
            <w:r w:rsidRPr="00F769E0">
              <w:rPr>
                <w:rFonts w:cs="Tahoma"/>
                <w:lang w:val="sl-SI" w:eastAsia="en-GB"/>
              </w:rPr>
              <w:t>Turčija</w:t>
            </w:r>
          </w:p>
        </w:tc>
        <w:tc>
          <w:tcPr>
            <w:tcW w:w="1465" w:type="pct"/>
            <w:gridSpan w:val="2"/>
            <w:tcBorders>
              <w:bottom w:val="single" w:sz="4" w:space="0" w:color="auto"/>
            </w:tcBorders>
          </w:tcPr>
          <w:p w14:paraId="7D39A199" w14:textId="77777777" w:rsidR="00E03711" w:rsidRPr="00F769E0" w:rsidRDefault="00E03711" w:rsidP="001923DD">
            <w:pPr>
              <w:pStyle w:val="Guide-Table"/>
              <w:rPr>
                <w:rFonts w:cs="Tahoma"/>
                <w:lang w:val="sl-SI" w:eastAsia="en-GB"/>
              </w:rPr>
            </w:pPr>
            <w:r w:rsidRPr="00F769E0">
              <w:rPr>
                <w:rFonts w:cs="Tahoma"/>
                <w:lang w:val="sl-SI" w:eastAsia="en-GB"/>
              </w:rPr>
              <w:t>220</w:t>
            </w:r>
          </w:p>
        </w:tc>
      </w:tr>
      <w:tr w:rsidR="00E03711" w:rsidRPr="00F769E0" w14:paraId="7D39A19D" w14:textId="77777777" w:rsidTr="001923DD">
        <w:tc>
          <w:tcPr>
            <w:tcW w:w="3535" w:type="pct"/>
            <w:tcBorders>
              <w:left w:val="single" w:sz="4" w:space="0" w:color="auto"/>
              <w:bottom w:val="single" w:sz="4" w:space="0" w:color="auto"/>
              <w:right w:val="single" w:sz="4" w:space="0" w:color="auto"/>
            </w:tcBorders>
          </w:tcPr>
          <w:p w14:paraId="7D39A19B" w14:textId="77777777" w:rsidR="00E03711" w:rsidRPr="00F769E0" w:rsidRDefault="00E03711" w:rsidP="001923DD">
            <w:pPr>
              <w:pStyle w:val="Guide-Table"/>
              <w:jc w:val="left"/>
              <w:rPr>
                <w:rFonts w:cs="Tahoma"/>
                <w:lang w:val="sl-SI" w:eastAsia="en-GB"/>
              </w:rPr>
            </w:pPr>
            <w:r w:rsidRPr="00F769E0">
              <w:rPr>
                <w:rFonts w:cs="Tahoma"/>
                <w:lang w:val="sl-SI" w:eastAsia="en-GB"/>
              </w:rPr>
              <w:t>Srbija</w:t>
            </w:r>
          </w:p>
        </w:tc>
        <w:tc>
          <w:tcPr>
            <w:tcW w:w="1465" w:type="pct"/>
            <w:gridSpan w:val="2"/>
            <w:tcBorders>
              <w:left w:val="single" w:sz="4" w:space="0" w:color="auto"/>
              <w:bottom w:val="single" w:sz="4" w:space="0" w:color="auto"/>
              <w:right w:val="single" w:sz="4" w:space="0" w:color="auto"/>
            </w:tcBorders>
          </w:tcPr>
          <w:p w14:paraId="7D39A19C" w14:textId="77777777" w:rsidR="00E03711" w:rsidRPr="00F769E0" w:rsidRDefault="00E03711" w:rsidP="001923DD">
            <w:pPr>
              <w:pStyle w:val="Guide-Table"/>
              <w:rPr>
                <w:rFonts w:cs="Tahoma"/>
                <w:lang w:val="sl-SI" w:eastAsia="en-GB"/>
              </w:rPr>
            </w:pPr>
            <w:r w:rsidRPr="00F769E0">
              <w:rPr>
                <w:rFonts w:cs="Tahoma"/>
                <w:lang w:val="sl-SI" w:eastAsia="en-GB"/>
              </w:rPr>
              <w:t>220</w:t>
            </w:r>
          </w:p>
        </w:tc>
      </w:tr>
    </w:tbl>
    <w:p w14:paraId="7D39A19E" w14:textId="77777777" w:rsidR="00E03711" w:rsidRDefault="00E03711">
      <w:pPr>
        <w:widowControl/>
        <w:suppressAutoHyphens w:val="0"/>
        <w:autoSpaceDN/>
        <w:textAlignment w:val="auto"/>
        <w:rPr>
          <w:rFonts w:eastAsia="Times New Roman" w:cs="Times New Roman"/>
          <w:color w:val="000000"/>
          <w:sz w:val="18"/>
          <w:szCs w:val="18"/>
          <w:shd w:val="clear" w:color="auto" w:fill="FFFFFF"/>
          <w:lang w:val="sl-SI"/>
        </w:rPr>
      </w:pPr>
    </w:p>
    <w:tbl>
      <w:tblPr>
        <w:tblW w:w="5000" w:type="pct"/>
        <w:tblLook w:val="0000" w:firstRow="0" w:lastRow="0" w:firstColumn="0" w:lastColumn="0" w:noHBand="0" w:noVBand="0"/>
      </w:tblPr>
      <w:tblGrid>
        <w:gridCol w:w="3258"/>
        <w:gridCol w:w="1335"/>
      </w:tblGrid>
      <w:tr w:rsidR="00E03711" w:rsidRPr="008C6F8C" w14:paraId="7D39A1A0" w14:textId="77777777" w:rsidTr="001923DD">
        <w:trPr>
          <w:trHeight w:val="2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A19F" w14:textId="77777777" w:rsidR="00E03711" w:rsidRPr="00F769E0" w:rsidRDefault="00E03711" w:rsidP="004E47F7">
            <w:pPr>
              <w:pStyle w:val="GUIDE-NORMAL"/>
              <w:spacing w:before="0" w:after="0"/>
              <w:jc w:val="center"/>
              <w:rPr>
                <w:rFonts w:cs="Tahoma"/>
                <w:b/>
                <w:bCs/>
                <w:lang w:val="sl-SI" w:eastAsia="en-GB"/>
              </w:rPr>
            </w:pPr>
            <w:r w:rsidRPr="00F769E0">
              <w:rPr>
                <w:rFonts w:cs="Tahoma"/>
                <w:b/>
                <w:bCs/>
                <w:lang w:val="sl-SI" w:eastAsia="en-GB"/>
              </w:rPr>
              <w:t>Partnerske države</w:t>
            </w:r>
          </w:p>
        </w:tc>
      </w:tr>
      <w:tr w:rsidR="00E03711" w:rsidRPr="008C6F8C" w14:paraId="7D39A1A3"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A1" w14:textId="77777777" w:rsidR="00E03711" w:rsidRPr="00F769E0" w:rsidRDefault="00E03711" w:rsidP="00370ABA">
            <w:pPr>
              <w:pStyle w:val="Guide-Table"/>
              <w:jc w:val="left"/>
              <w:rPr>
                <w:rFonts w:cs="Tahoma"/>
                <w:lang w:val="sl-SI" w:eastAsia="en-GB"/>
              </w:rPr>
            </w:pPr>
            <w:r w:rsidRPr="00F769E0">
              <w:rPr>
                <w:rFonts w:cs="Tahoma"/>
                <w:lang w:val="sl-SI" w:eastAsia="en-GB"/>
              </w:rPr>
              <w:t>Afganistan</w:t>
            </w:r>
          </w:p>
        </w:tc>
        <w:tc>
          <w:tcPr>
            <w:tcW w:w="1453" w:type="pct"/>
            <w:tcBorders>
              <w:top w:val="single" w:sz="4" w:space="0" w:color="000000"/>
              <w:left w:val="single" w:sz="4" w:space="0" w:color="000000"/>
              <w:bottom w:val="single" w:sz="4" w:space="0" w:color="000000"/>
              <w:right w:val="single" w:sz="4" w:space="0" w:color="000000"/>
            </w:tcBorders>
          </w:tcPr>
          <w:p w14:paraId="7D39A1A2" w14:textId="77777777" w:rsidR="00E03711" w:rsidRPr="00F769E0" w:rsidRDefault="00E03711" w:rsidP="00370ABA">
            <w:pPr>
              <w:pStyle w:val="Guide-Table"/>
              <w:rPr>
                <w:rFonts w:cs="Tahoma"/>
                <w:lang w:val="sl-SI" w:eastAsia="en-GB"/>
              </w:rPr>
            </w:pPr>
            <w:r w:rsidRPr="00F769E0">
              <w:rPr>
                <w:rFonts w:cs="Tahoma"/>
                <w:lang w:val="sl-SI" w:eastAsia="en-GB"/>
              </w:rPr>
              <w:t>125</w:t>
            </w:r>
          </w:p>
        </w:tc>
      </w:tr>
      <w:tr w:rsidR="00E03711" w:rsidRPr="008C6F8C" w14:paraId="7D39A1A6"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A4" w14:textId="77777777" w:rsidR="00E03711" w:rsidRPr="00F769E0" w:rsidRDefault="00E03711" w:rsidP="00370ABA">
            <w:pPr>
              <w:pStyle w:val="Guide-Table"/>
              <w:jc w:val="left"/>
              <w:rPr>
                <w:rFonts w:cs="Tahoma"/>
                <w:lang w:val="sl-SI" w:eastAsia="en-GB"/>
              </w:rPr>
            </w:pPr>
            <w:r w:rsidRPr="00F769E0">
              <w:rPr>
                <w:rFonts w:cs="Tahoma"/>
                <w:lang w:val="sl-SI" w:eastAsia="en-GB"/>
              </w:rPr>
              <w:t>Albanija</w:t>
            </w:r>
          </w:p>
        </w:tc>
        <w:tc>
          <w:tcPr>
            <w:tcW w:w="1453" w:type="pct"/>
            <w:tcBorders>
              <w:top w:val="single" w:sz="4" w:space="0" w:color="000000"/>
              <w:left w:val="single" w:sz="4" w:space="0" w:color="000000"/>
              <w:bottom w:val="single" w:sz="4" w:space="0" w:color="000000"/>
              <w:right w:val="single" w:sz="4" w:space="0" w:color="000000"/>
            </w:tcBorders>
          </w:tcPr>
          <w:p w14:paraId="7D39A1A5" w14:textId="77777777" w:rsidR="00E03711" w:rsidRPr="00F769E0" w:rsidRDefault="00E03711" w:rsidP="00370ABA">
            <w:pPr>
              <w:pStyle w:val="Guide-Table"/>
              <w:rPr>
                <w:rFonts w:cs="Tahoma"/>
                <w:lang w:val="sl-SI" w:eastAsia="en-GB"/>
              </w:rPr>
            </w:pPr>
            <w:r w:rsidRPr="00F769E0">
              <w:rPr>
                <w:rFonts w:cs="Tahoma"/>
                <w:lang w:val="sl-SI" w:eastAsia="en-GB"/>
              </w:rPr>
              <w:t>210</w:t>
            </w:r>
          </w:p>
        </w:tc>
      </w:tr>
      <w:tr w:rsidR="00E03711" w:rsidRPr="008C6F8C" w14:paraId="7D39A1A9"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A7" w14:textId="77777777" w:rsidR="00E03711" w:rsidRPr="00F769E0" w:rsidRDefault="00E03711" w:rsidP="00370ABA">
            <w:pPr>
              <w:pStyle w:val="Guide-Table"/>
              <w:jc w:val="left"/>
              <w:rPr>
                <w:rFonts w:cs="Tahoma"/>
                <w:lang w:val="sl-SI" w:eastAsia="en-GB"/>
              </w:rPr>
            </w:pPr>
            <w:r w:rsidRPr="00F769E0">
              <w:rPr>
                <w:rFonts w:cs="Tahoma"/>
                <w:lang w:val="sl-SI" w:eastAsia="en-GB"/>
              </w:rPr>
              <w:t>Alžirija</w:t>
            </w:r>
          </w:p>
        </w:tc>
        <w:tc>
          <w:tcPr>
            <w:tcW w:w="1453" w:type="pct"/>
            <w:tcBorders>
              <w:top w:val="single" w:sz="4" w:space="0" w:color="000000"/>
              <w:left w:val="single" w:sz="4" w:space="0" w:color="000000"/>
              <w:bottom w:val="single" w:sz="4" w:space="0" w:color="000000"/>
              <w:right w:val="single" w:sz="4" w:space="0" w:color="000000"/>
            </w:tcBorders>
          </w:tcPr>
          <w:p w14:paraId="7D39A1A8" w14:textId="77777777" w:rsidR="00E03711" w:rsidRPr="00F769E0" w:rsidRDefault="00E03711" w:rsidP="00370ABA">
            <w:pPr>
              <w:pStyle w:val="Guide-Table"/>
              <w:rPr>
                <w:rFonts w:cs="Tahoma"/>
                <w:lang w:val="sl-SI" w:eastAsia="en-GB"/>
              </w:rPr>
            </w:pPr>
            <w:r w:rsidRPr="00F769E0">
              <w:rPr>
                <w:rFonts w:cs="Tahoma"/>
                <w:lang w:val="sl-SI" w:eastAsia="en-GB"/>
              </w:rPr>
              <w:t>170</w:t>
            </w:r>
          </w:p>
        </w:tc>
      </w:tr>
      <w:tr w:rsidR="00E03711" w:rsidRPr="008C6F8C" w14:paraId="7D39A1AC"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AA" w14:textId="77777777" w:rsidR="00E03711" w:rsidRPr="00F769E0" w:rsidRDefault="00E03711" w:rsidP="00370ABA">
            <w:pPr>
              <w:pStyle w:val="Guide-Table"/>
              <w:jc w:val="left"/>
              <w:rPr>
                <w:rFonts w:cs="Tahoma"/>
                <w:lang w:val="sl-SI" w:eastAsia="en-GB"/>
              </w:rPr>
            </w:pPr>
            <w:r w:rsidRPr="00F769E0">
              <w:rPr>
                <w:rFonts w:cs="Tahoma"/>
                <w:lang w:val="sl-SI" w:eastAsia="en-GB"/>
              </w:rPr>
              <w:t>Andora</w:t>
            </w:r>
          </w:p>
        </w:tc>
        <w:tc>
          <w:tcPr>
            <w:tcW w:w="1453" w:type="pct"/>
            <w:tcBorders>
              <w:top w:val="single" w:sz="4" w:space="0" w:color="000000"/>
              <w:left w:val="single" w:sz="4" w:space="0" w:color="000000"/>
              <w:bottom w:val="single" w:sz="4" w:space="0" w:color="000000"/>
              <w:right w:val="single" w:sz="4" w:space="0" w:color="000000"/>
            </w:tcBorders>
          </w:tcPr>
          <w:p w14:paraId="7D39A1AB" w14:textId="77777777" w:rsidR="00E03711" w:rsidRPr="00F769E0" w:rsidRDefault="00E03711" w:rsidP="00370ABA">
            <w:pPr>
              <w:pStyle w:val="Guide-Table"/>
              <w:rPr>
                <w:rFonts w:cs="Tahoma"/>
                <w:lang w:val="sl-SI" w:eastAsia="en-GB"/>
              </w:rPr>
            </w:pPr>
            <w:r w:rsidRPr="00F769E0">
              <w:rPr>
                <w:rFonts w:cs="Tahoma"/>
                <w:lang w:val="sl-SI" w:eastAsia="en-GB"/>
              </w:rPr>
              <w:t>195</w:t>
            </w:r>
          </w:p>
        </w:tc>
      </w:tr>
      <w:tr w:rsidR="00E03711" w:rsidRPr="008C6F8C" w14:paraId="7D39A1AF"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AD" w14:textId="77777777" w:rsidR="00E03711" w:rsidRPr="00F769E0" w:rsidRDefault="00E03711" w:rsidP="00370ABA">
            <w:pPr>
              <w:pStyle w:val="Guide-Table"/>
              <w:jc w:val="left"/>
              <w:rPr>
                <w:rFonts w:cs="Tahoma"/>
                <w:lang w:val="sl-SI" w:eastAsia="en-GB"/>
              </w:rPr>
            </w:pPr>
            <w:r w:rsidRPr="00F769E0">
              <w:rPr>
                <w:rFonts w:cs="Tahoma"/>
                <w:lang w:val="sl-SI" w:eastAsia="en-GB"/>
              </w:rPr>
              <w:t>Angola</w:t>
            </w:r>
          </w:p>
        </w:tc>
        <w:tc>
          <w:tcPr>
            <w:tcW w:w="1453" w:type="pct"/>
            <w:tcBorders>
              <w:top w:val="single" w:sz="4" w:space="0" w:color="000000"/>
              <w:left w:val="single" w:sz="4" w:space="0" w:color="000000"/>
              <w:bottom w:val="single" w:sz="4" w:space="0" w:color="000000"/>
              <w:right w:val="single" w:sz="4" w:space="0" w:color="000000"/>
            </w:tcBorders>
          </w:tcPr>
          <w:p w14:paraId="7D39A1AE" w14:textId="77777777" w:rsidR="00E03711" w:rsidRPr="00F769E0" w:rsidRDefault="00E03711" w:rsidP="00370ABA">
            <w:pPr>
              <w:pStyle w:val="Guide-Table"/>
              <w:rPr>
                <w:rFonts w:cs="Tahoma"/>
                <w:lang w:val="sl-SI" w:eastAsia="en-GB"/>
              </w:rPr>
            </w:pPr>
            <w:r w:rsidRPr="00F769E0">
              <w:rPr>
                <w:rFonts w:cs="Tahoma"/>
                <w:lang w:val="sl-SI" w:eastAsia="en-GB"/>
              </w:rPr>
              <w:t>280</w:t>
            </w:r>
          </w:p>
        </w:tc>
      </w:tr>
      <w:tr w:rsidR="00E03711" w:rsidRPr="008C6F8C" w14:paraId="7D39A1B2"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B0" w14:textId="77777777" w:rsidR="00E03711" w:rsidRPr="00F769E0" w:rsidRDefault="00E03711" w:rsidP="00370ABA">
            <w:pPr>
              <w:pStyle w:val="Guide-Table"/>
              <w:jc w:val="left"/>
              <w:rPr>
                <w:rFonts w:cs="Tahoma"/>
                <w:lang w:val="sl-SI" w:eastAsia="en-GB"/>
              </w:rPr>
            </w:pPr>
            <w:r w:rsidRPr="00F769E0">
              <w:rPr>
                <w:rFonts w:cs="Tahoma"/>
                <w:lang w:val="sl-SI" w:eastAsia="en-GB"/>
              </w:rPr>
              <w:t>Antigva in Barbuda</w:t>
            </w:r>
          </w:p>
        </w:tc>
        <w:tc>
          <w:tcPr>
            <w:tcW w:w="1453" w:type="pct"/>
            <w:tcBorders>
              <w:top w:val="single" w:sz="4" w:space="0" w:color="000000"/>
              <w:left w:val="single" w:sz="4" w:space="0" w:color="000000"/>
              <w:bottom w:val="single" w:sz="4" w:space="0" w:color="000000"/>
              <w:right w:val="single" w:sz="4" w:space="0" w:color="000000"/>
            </w:tcBorders>
          </w:tcPr>
          <w:p w14:paraId="7D39A1B1" w14:textId="77777777" w:rsidR="00E03711" w:rsidRPr="00F769E0" w:rsidRDefault="00E03711" w:rsidP="00370ABA">
            <w:pPr>
              <w:pStyle w:val="Guide-Table"/>
              <w:rPr>
                <w:rFonts w:cs="Tahoma"/>
                <w:lang w:val="sl-SI" w:eastAsia="en-GB"/>
              </w:rPr>
            </w:pPr>
            <w:r w:rsidRPr="00F769E0">
              <w:rPr>
                <w:rFonts w:cs="Tahoma"/>
                <w:lang w:val="sl-SI" w:eastAsia="en-GB"/>
              </w:rPr>
              <w:t>225</w:t>
            </w:r>
          </w:p>
        </w:tc>
      </w:tr>
      <w:tr w:rsidR="00E03711" w:rsidRPr="008C6F8C" w14:paraId="7D39A1B5"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B3" w14:textId="77777777" w:rsidR="00E03711" w:rsidRPr="00F769E0" w:rsidRDefault="00E03711" w:rsidP="00370ABA">
            <w:pPr>
              <w:pStyle w:val="Guide-Table"/>
              <w:jc w:val="left"/>
              <w:rPr>
                <w:rFonts w:cs="Tahoma"/>
                <w:lang w:val="sl-SI" w:eastAsia="en-GB"/>
              </w:rPr>
            </w:pPr>
            <w:r w:rsidRPr="00F769E0">
              <w:rPr>
                <w:rFonts w:cs="Tahoma"/>
                <w:lang w:val="sl-SI" w:eastAsia="en-GB"/>
              </w:rPr>
              <w:t>Argentina</w:t>
            </w:r>
          </w:p>
        </w:tc>
        <w:tc>
          <w:tcPr>
            <w:tcW w:w="1453" w:type="pct"/>
            <w:tcBorders>
              <w:top w:val="single" w:sz="4" w:space="0" w:color="000000"/>
              <w:left w:val="single" w:sz="4" w:space="0" w:color="000000"/>
              <w:bottom w:val="single" w:sz="4" w:space="0" w:color="000000"/>
              <w:right w:val="single" w:sz="4" w:space="0" w:color="000000"/>
            </w:tcBorders>
          </w:tcPr>
          <w:p w14:paraId="7D39A1B4" w14:textId="77777777" w:rsidR="00E03711" w:rsidRPr="00F769E0" w:rsidRDefault="00E03711" w:rsidP="00370ABA">
            <w:pPr>
              <w:pStyle w:val="Guide-Table"/>
              <w:rPr>
                <w:rFonts w:cs="Tahoma"/>
                <w:lang w:val="sl-SI" w:eastAsia="en-GB"/>
              </w:rPr>
            </w:pPr>
            <w:r w:rsidRPr="00F769E0">
              <w:rPr>
                <w:rFonts w:cs="Tahoma"/>
                <w:lang w:val="sl-SI" w:eastAsia="en-GB"/>
              </w:rPr>
              <w:t>285</w:t>
            </w:r>
          </w:p>
        </w:tc>
      </w:tr>
      <w:tr w:rsidR="00E03711" w:rsidRPr="008C6F8C" w14:paraId="7D39A1B8"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B6" w14:textId="77777777" w:rsidR="00E03711" w:rsidRPr="00F769E0" w:rsidRDefault="00E03711" w:rsidP="00370ABA">
            <w:pPr>
              <w:pStyle w:val="Guide-Table"/>
              <w:jc w:val="left"/>
              <w:rPr>
                <w:rFonts w:cs="Tahoma"/>
                <w:lang w:val="sl-SI" w:eastAsia="en-GB"/>
              </w:rPr>
            </w:pPr>
            <w:r w:rsidRPr="00F769E0">
              <w:rPr>
                <w:rFonts w:cs="Tahoma"/>
                <w:lang w:val="sl-SI" w:eastAsia="en-GB"/>
              </w:rPr>
              <w:t>Armenija</w:t>
            </w:r>
          </w:p>
        </w:tc>
        <w:tc>
          <w:tcPr>
            <w:tcW w:w="1453" w:type="pct"/>
            <w:tcBorders>
              <w:top w:val="single" w:sz="4" w:space="0" w:color="000000"/>
              <w:left w:val="single" w:sz="4" w:space="0" w:color="000000"/>
              <w:bottom w:val="single" w:sz="4" w:space="0" w:color="000000"/>
              <w:right w:val="single" w:sz="4" w:space="0" w:color="000000"/>
            </w:tcBorders>
          </w:tcPr>
          <w:p w14:paraId="7D39A1B7" w14:textId="77777777" w:rsidR="00E03711" w:rsidRPr="00F769E0" w:rsidRDefault="00E03711" w:rsidP="00370ABA">
            <w:pPr>
              <w:pStyle w:val="Guide-Table"/>
              <w:rPr>
                <w:rFonts w:cs="Tahoma"/>
                <w:lang w:val="sl-SI" w:eastAsia="en-GB"/>
              </w:rPr>
            </w:pPr>
            <w:r w:rsidRPr="00F769E0">
              <w:rPr>
                <w:rFonts w:cs="Tahoma"/>
                <w:lang w:val="sl-SI" w:eastAsia="en-GB"/>
              </w:rPr>
              <w:t>280</w:t>
            </w:r>
          </w:p>
        </w:tc>
      </w:tr>
      <w:tr w:rsidR="00E03711" w:rsidRPr="008C6F8C" w14:paraId="7D39A1BB"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B9" w14:textId="77777777" w:rsidR="00E03711" w:rsidRPr="00F769E0" w:rsidRDefault="00E03711" w:rsidP="00370ABA">
            <w:pPr>
              <w:pStyle w:val="Guide-Table"/>
              <w:jc w:val="left"/>
              <w:rPr>
                <w:rFonts w:cs="Tahoma"/>
                <w:lang w:val="sl-SI" w:eastAsia="en-GB"/>
              </w:rPr>
            </w:pPr>
            <w:r w:rsidRPr="00F769E0">
              <w:rPr>
                <w:rFonts w:cs="Tahoma"/>
                <w:lang w:val="sl-SI" w:eastAsia="en-GB"/>
              </w:rPr>
              <w:t>Avstralija</w:t>
            </w:r>
          </w:p>
        </w:tc>
        <w:tc>
          <w:tcPr>
            <w:tcW w:w="1453" w:type="pct"/>
            <w:tcBorders>
              <w:top w:val="single" w:sz="4" w:space="0" w:color="000000"/>
              <w:left w:val="single" w:sz="4" w:space="0" w:color="000000"/>
              <w:bottom w:val="single" w:sz="4" w:space="0" w:color="000000"/>
              <w:right w:val="single" w:sz="4" w:space="0" w:color="000000"/>
            </w:tcBorders>
          </w:tcPr>
          <w:p w14:paraId="7D39A1BA" w14:textId="77777777" w:rsidR="00E03711" w:rsidRPr="00F769E0" w:rsidRDefault="00E03711" w:rsidP="00370ABA">
            <w:pPr>
              <w:pStyle w:val="Guide-Table"/>
              <w:rPr>
                <w:rFonts w:cs="Tahoma"/>
                <w:lang w:val="sl-SI" w:eastAsia="en-GB"/>
              </w:rPr>
            </w:pPr>
            <w:r w:rsidRPr="00F769E0">
              <w:rPr>
                <w:rFonts w:cs="Tahoma"/>
                <w:lang w:val="sl-SI" w:eastAsia="en-GB"/>
              </w:rPr>
              <w:t>210</w:t>
            </w:r>
          </w:p>
        </w:tc>
      </w:tr>
      <w:tr w:rsidR="00E03711" w:rsidRPr="008C6F8C" w14:paraId="7D39A1BE"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BC" w14:textId="77777777" w:rsidR="00E03711" w:rsidRPr="00F769E0" w:rsidRDefault="00E03711" w:rsidP="00370ABA">
            <w:pPr>
              <w:pStyle w:val="Guide-Table"/>
              <w:jc w:val="left"/>
              <w:rPr>
                <w:rFonts w:cs="Tahoma"/>
                <w:lang w:val="sl-SI" w:eastAsia="en-GB"/>
              </w:rPr>
            </w:pPr>
            <w:r w:rsidRPr="00F769E0">
              <w:rPr>
                <w:rFonts w:cs="Tahoma"/>
                <w:lang w:val="sl-SI" w:eastAsia="en-GB"/>
              </w:rPr>
              <w:t>Azerbajdžan</w:t>
            </w:r>
          </w:p>
        </w:tc>
        <w:tc>
          <w:tcPr>
            <w:tcW w:w="1453" w:type="pct"/>
            <w:tcBorders>
              <w:top w:val="single" w:sz="4" w:space="0" w:color="000000"/>
              <w:left w:val="single" w:sz="4" w:space="0" w:color="000000"/>
              <w:bottom w:val="single" w:sz="4" w:space="0" w:color="000000"/>
              <w:right w:val="single" w:sz="4" w:space="0" w:color="000000"/>
            </w:tcBorders>
          </w:tcPr>
          <w:p w14:paraId="7D39A1BD" w14:textId="77777777" w:rsidR="00E03711" w:rsidRPr="00F769E0" w:rsidRDefault="00E03711" w:rsidP="00370ABA">
            <w:pPr>
              <w:pStyle w:val="Guide-Table"/>
              <w:rPr>
                <w:rFonts w:cs="Tahoma"/>
                <w:lang w:val="sl-SI" w:eastAsia="en-GB"/>
              </w:rPr>
            </w:pPr>
            <w:r w:rsidRPr="00F769E0">
              <w:rPr>
                <w:rFonts w:cs="Tahoma"/>
                <w:lang w:val="sl-SI" w:eastAsia="en-GB"/>
              </w:rPr>
              <w:t>270</w:t>
            </w:r>
          </w:p>
        </w:tc>
      </w:tr>
      <w:tr w:rsidR="00E03711" w:rsidRPr="008C6F8C" w14:paraId="7D39A1C1"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BF" w14:textId="77777777" w:rsidR="00E03711" w:rsidRPr="00F769E0" w:rsidRDefault="00E03711" w:rsidP="00370ABA">
            <w:pPr>
              <w:pStyle w:val="Guide-Table"/>
              <w:jc w:val="left"/>
              <w:rPr>
                <w:rFonts w:cs="Tahoma"/>
                <w:lang w:val="sl-SI" w:eastAsia="en-GB"/>
              </w:rPr>
            </w:pPr>
            <w:r w:rsidRPr="00F769E0">
              <w:rPr>
                <w:rFonts w:cs="Tahoma"/>
                <w:lang w:val="sl-SI" w:eastAsia="en-GB"/>
              </w:rPr>
              <w:t>Bahami</w:t>
            </w:r>
          </w:p>
        </w:tc>
        <w:tc>
          <w:tcPr>
            <w:tcW w:w="1453" w:type="pct"/>
            <w:tcBorders>
              <w:top w:val="single" w:sz="4" w:space="0" w:color="000000"/>
              <w:left w:val="single" w:sz="4" w:space="0" w:color="000000"/>
              <w:bottom w:val="single" w:sz="4" w:space="0" w:color="000000"/>
              <w:right w:val="single" w:sz="4" w:space="0" w:color="000000"/>
            </w:tcBorders>
          </w:tcPr>
          <w:p w14:paraId="7D39A1C0" w14:textId="77777777" w:rsidR="00E03711" w:rsidRPr="00F769E0" w:rsidRDefault="00E03711" w:rsidP="00370ABA">
            <w:pPr>
              <w:pStyle w:val="Guide-Table"/>
              <w:rPr>
                <w:rFonts w:cs="Tahoma"/>
                <w:lang w:val="sl-SI" w:eastAsia="en-GB"/>
              </w:rPr>
            </w:pPr>
            <w:r w:rsidRPr="00F769E0">
              <w:rPr>
                <w:rFonts w:cs="Tahoma"/>
                <w:lang w:val="sl-SI" w:eastAsia="en-GB"/>
              </w:rPr>
              <w:t>190</w:t>
            </w:r>
          </w:p>
        </w:tc>
      </w:tr>
      <w:tr w:rsidR="00E03711" w:rsidRPr="008C6F8C" w14:paraId="7D39A1C4"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C2" w14:textId="77777777" w:rsidR="00E03711" w:rsidRPr="00F769E0" w:rsidRDefault="00E03711" w:rsidP="00370ABA">
            <w:pPr>
              <w:pStyle w:val="Guide-Table"/>
              <w:jc w:val="left"/>
              <w:rPr>
                <w:rFonts w:cs="Tahoma"/>
                <w:lang w:val="sl-SI" w:eastAsia="en-GB"/>
              </w:rPr>
            </w:pPr>
            <w:r w:rsidRPr="00F769E0">
              <w:rPr>
                <w:rFonts w:cs="Tahoma"/>
                <w:lang w:val="sl-SI" w:eastAsia="en-GB"/>
              </w:rPr>
              <w:t>Bahrajn</w:t>
            </w:r>
          </w:p>
        </w:tc>
        <w:tc>
          <w:tcPr>
            <w:tcW w:w="1453" w:type="pct"/>
            <w:tcBorders>
              <w:top w:val="single" w:sz="4" w:space="0" w:color="000000"/>
              <w:left w:val="single" w:sz="4" w:space="0" w:color="000000"/>
              <w:bottom w:val="single" w:sz="4" w:space="0" w:color="000000"/>
              <w:right w:val="single" w:sz="4" w:space="0" w:color="000000"/>
            </w:tcBorders>
          </w:tcPr>
          <w:p w14:paraId="7D39A1C3" w14:textId="77777777" w:rsidR="00E03711" w:rsidRPr="00F769E0" w:rsidRDefault="00E03711" w:rsidP="00370ABA">
            <w:pPr>
              <w:pStyle w:val="Guide-Table"/>
              <w:rPr>
                <w:rFonts w:cs="Tahoma"/>
                <w:lang w:val="sl-SI" w:eastAsia="en-GB"/>
              </w:rPr>
            </w:pPr>
            <w:r w:rsidRPr="00F769E0">
              <w:rPr>
                <w:rFonts w:cs="Tahoma"/>
                <w:lang w:val="sl-SI" w:eastAsia="en-GB"/>
              </w:rPr>
              <w:t>275</w:t>
            </w:r>
          </w:p>
        </w:tc>
      </w:tr>
      <w:tr w:rsidR="00E03711" w:rsidRPr="008C6F8C" w14:paraId="7D39A1C7"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C5" w14:textId="77777777" w:rsidR="00E03711" w:rsidRPr="00F769E0" w:rsidRDefault="00E03711" w:rsidP="00370ABA">
            <w:pPr>
              <w:pStyle w:val="Guide-Table"/>
              <w:jc w:val="left"/>
              <w:rPr>
                <w:rFonts w:cs="Tahoma"/>
                <w:lang w:val="sl-SI" w:eastAsia="en-GB"/>
              </w:rPr>
            </w:pPr>
            <w:r w:rsidRPr="00F769E0">
              <w:rPr>
                <w:rFonts w:cs="Tahoma"/>
                <w:lang w:val="sl-SI" w:eastAsia="en-GB"/>
              </w:rPr>
              <w:t>Bangladeš</w:t>
            </w:r>
          </w:p>
        </w:tc>
        <w:tc>
          <w:tcPr>
            <w:tcW w:w="1453" w:type="pct"/>
            <w:tcBorders>
              <w:top w:val="single" w:sz="4" w:space="0" w:color="000000"/>
              <w:left w:val="single" w:sz="4" w:space="0" w:color="000000"/>
              <w:bottom w:val="single" w:sz="4" w:space="0" w:color="000000"/>
              <w:right w:val="single" w:sz="4" w:space="0" w:color="000000"/>
            </w:tcBorders>
          </w:tcPr>
          <w:p w14:paraId="7D39A1C6" w14:textId="77777777" w:rsidR="00E03711" w:rsidRPr="00F769E0" w:rsidRDefault="00E03711" w:rsidP="00370ABA">
            <w:pPr>
              <w:pStyle w:val="Guide-Table"/>
              <w:rPr>
                <w:rFonts w:cs="Tahoma"/>
                <w:lang w:val="sl-SI" w:eastAsia="en-GB"/>
              </w:rPr>
            </w:pPr>
            <w:r w:rsidRPr="00F769E0">
              <w:rPr>
                <w:rFonts w:cs="Tahoma"/>
                <w:lang w:val="sl-SI" w:eastAsia="en-GB"/>
              </w:rPr>
              <w:t>190</w:t>
            </w:r>
          </w:p>
        </w:tc>
      </w:tr>
      <w:tr w:rsidR="00E03711" w:rsidRPr="008C6F8C" w14:paraId="7D39A1CA"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C8" w14:textId="77777777" w:rsidR="00E03711" w:rsidRPr="00F769E0" w:rsidRDefault="00E03711" w:rsidP="00370ABA">
            <w:pPr>
              <w:pStyle w:val="Guide-Table"/>
              <w:jc w:val="left"/>
              <w:rPr>
                <w:rFonts w:cs="Tahoma"/>
                <w:lang w:val="sl-SI" w:eastAsia="en-GB"/>
              </w:rPr>
            </w:pPr>
            <w:r w:rsidRPr="00F769E0">
              <w:rPr>
                <w:rFonts w:cs="Tahoma"/>
                <w:lang w:val="sl-SI" w:eastAsia="en-GB"/>
              </w:rPr>
              <w:t>Barbados</w:t>
            </w:r>
          </w:p>
        </w:tc>
        <w:tc>
          <w:tcPr>
            <w:tcW w:w="1453" w:type="pct"/>
            <w:tcBorders>
              <w:top w:val="single" w:sz="4" w:space="0" w:color="000000"/>
              <w:left w:val="single" w:sz="4" w:space="0" w:color="000000"/>
              <w:bottom w:val="single" w:sz="4" w:space="0" w:color="000000"/>
              <w:right w:val="single" w:sz="4" w:space="0" w:color="000000"/>
            </w:tcBorders>
          </w:tcPr>
          <w:p w14:paraId="7D39A1C9" w14:textId="77777777" w:rsidR="00E03711" w:rsidRPr="00F769E0" w:rsidRDefault="00E03711" w:rsidP="00370ABA">
            <w:pPr>
              <w:pStyle w:val="Guide-Table"/>
              <w:rPr>
                <w:rFonts w:cs="Tahoma"/>
                <w:lang w:val="sl-SI" w:eastAsia="en-GB"/>
              </w:rPr>
            </w:pPr>
            <w:r w:rsidRPr="00F769E0">
              <w:rPr>
                <w:rFonts w:cs="Tahoma"/>
                <w:lang w:val="sl-SI" w:eastAsia="en-GB"/>
              </w:rPr>
              <w:t>215</w:t>
            </w:r>
          </w:p>
        </w:tc>
      </w:tr>
      <w:tr w:rsidR="00E03711" w:rsidRPr="008C6F8C" w14:paraId="7D39A1CD"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CB" w14:textId="77777777" w:rsidR="00E03711" w:rsidRPr="00F769E0" w:rsidRDefault="00E03711" w:rsidP="00370ABA">
            <w:pPr>
              <w:pStyle w:val="Guide-Table"/>
              <w:jc w:val="left"/>
              <w:rPr>
                <w:rFonts w:cs="Tahoma"/>
                <w:lang w:val="sl-SI" w:eastAsia="en-GB"/>
              </w:rPr>
            </w:pPr>
            <w:r w:rsidRPr="00F769E0">
              <w:rPr>
                <w:rFonts w:cs="Tahoma"/>
                <w:lang w:val="sl-SI" w:eastAsia="en-GB"/>
              </w:rPr>
              <w:t>Belorusija</w:t>
            </w:r>
          </w:p>
        </w:tc>
        <w:tc>
          <w:tcPr>
            <w:tcW w:w="1453" w:type="pct"/>
            <w:tcBorders>
              <w:top w:val="single" w:sz="4" w:space="0" w:color="000000"/>
              <w:left w:val="single" w:sz="4" w:space="0" w:color="000000"/>
              <w:bottom w:val="single" w:sz="4" w:space="0" w:color="000000"/>
              <w:right w:val="single" w:sz="4" w:space="0" w:color="000000"/>
            </w:tcBorders>
          </w:tcPr>
          <w:p w14:paraId="7D39A1CC" w14:textId="77777777" w:rsidR="00E03711" w:rsidRPr="00F769E0" w:rsidRDefault="00E03711" w:rsidP="00370ABA">
            <w:pPr>
              <w:pStyle w:val="Guide-Table"/>
              <w:rPr>
                <w:rFonts w:cs="Tahoma"/>
                <w:lang w:val="sl-SI" w:eastAsia="en-GB"/>
              </w:rPr>
            </w:pPr>
            <w:r w:rsidRPr="00F769E0">
              <w:rPr>
                <w:rFonts w:cs="Tahoma"/>
                <w:lang w:val="sl-SI" w:eastAsia="en-GB"/>
              </w:rPr>
              <w:t>225</w:t>
            </w:r>
          </w:p>
        </w:tc>
      </w:tr>
      <w:tr w:rsidR="00E03711" w:rsidRPr="008C6F8C" w14:paraId="7D39A1D0"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CE" w14:textId="77777777" w:rsidR="00E03711" w:rsidRPr="00F769E0" w:rsidRDefault="00E03711" w:rsidP="00370ABA">
            <w:pPr>
              <w:pStyle w:val="Guide-Table"/>
              <w:jc w:val="left"/>
              <w:rPr>
                <w:rFonts w:cs="Tahoma"/>
                <w:lang w:val="sl-SI" w:eastAsia="en-GB"/>
              </w:rPr>
            </w:pPr>
            <w:r w:rsidRPr="00F769E0">
              <w:rPr>
                <w:rFonts w:cs="Tahoma"/>
                <w:lang w:val="sl-SI" w:eastAsia="en-GB"/>
              </w:rPr>
              <w:t>Belize</w:t>
            </w:r>
          </w:p>
        </w:tc>
        <w:tc>
          <w:tcPr>
            <w:tcW w:w="1453" w:type="pct"/>
            <w:tcBorders>
              <w:top w:val="single" w:sz="4" w:space="0" w:color="000000"/>
              <w:left w:val="single" w:sz="4" w:space="0" w:color="000000"/>
              <w:bottom w:val="single" w:sz="4" w:space="0" w:color="000000"/>
              <w:right w:val="single" w:sz="4" w:space="0" w:color="000000"/>
            </w:tcBorders>
          </w:tcPr>
          <w:p w14:paraId="7D39A1CF" w14:textId="77777777" w:rsidR="00E03711" w:rsidRPr="00F769E0" w:rsidRDefault="00E03711" w:rsidP="00370ABA">
            <w:pPr>
              <w:pStyle w:val="Guide-Table"/>
              <w:rPr>
                <w:rFonts w:cs="Tahoma"/>
                <w:lang w:val="sl-SI" w:eastAsia="en-GB"/>
              </w:rPr>
            </w:pPr>
            <w:r w:rsidRPr="00F769E0">
              <w:rPr>
                <w:rFonts w:cs="Tahoma"/>
                <w:lang w:val="sl-SI" w:eastAsia="en-GB"/>
              </w:rPr>
              <w:t>185</w:t>
            </w:r>
          </w:p>
        </w:tc>
      </w:tr>
      <w:tr w:rsidR="00E03711" w:rsidRPr="008C6F8C" w14:paraId="7D39A1D3"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D1" w14:textId="77777777" w:rsidR="00E03711" w:rsidRPr="00F769E0" w:rsidRDefault="00E03711" w:rsidP="00370ABA">
            <w:pPr>
              <w:pStyle w:val="Guide-Table"/>
              <w:jc w:val="left"/>
              <w:rPr>
                <w:rFonts w:cs="Tahoma"/>
                <w:lang w:val="sl-SI" w:eastAsia="en-GB"/>
              </w:rPr>
            </w:pPr>
            <w:r w:rsidRPr="00F769E0">
              <w:rPr>
                <w:rFonts w:cs="Tahoma"/>
                <w:lang w:val="sl-SI" w:eastAsia="en-GB"/>
              </w:rPr>
              <w:t>Benin</w:t>
            </w:r>
          </w:p>
        </w:tc>
        <w:tc>
          <w:tcPr>
            <w:tcW w:w="1453" w:type="pct"/>
            <w:tcBorders>
              <w:top w:val="single" w:sz="4" w:space="0" w:color="000000"/>
              <w:left w:val="single" w:sz="4" w:space="0" w:color="000000"/>
              <w:bottom w:val="single" w:sz="4" w:space="0" w:color="000000"/>
              <w:right w:val="single" w:sz="4" w:space="0" w:color="000000"/>
            </w:tcBorders>
          </w:tcPr>
          <w:p w14:paraId="7D39A1D2" w14:textId="77777777" w:rsidR="00E03711" w:rsidRPr="00F769E0" w:rsidRDefault="00E03711" w:rsidP="00370ABA">
            <w:pPr>
              <w:pStyle w:val="Guide-Table"/>
              <w:rPr>
                <w:rFonts w:cs="Tahoma"/>
                <w:lang w:val="sl-SI" w:eastAsia="en-GB"/>
              </w:rPr>
            </w:pPr>
            <w:r w:rsidRPr="00F769E0">
              <w:rPr>
                <w:rFonts w:cs="Tahoma"/>
                <w:lang w:val="sl-SI" w:eastAsia="en-GB"/>
              </w:rPr>
              <w:t>150</w:t>
            </w:r>
          </w:p>
        </w:tc>
      </w:tr>
      <w:tr w:rsidR="00E03711" w:rsidRPr="008C6F8C" w14:paraId="7D39A1D6"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D4" w14:textId="77777777" w:rsidR="00E03711" w:rsidRPr="00F769E0" w:rsidRDefault="00E03711" w:rsidP="00370ABA">
            <w:pPr>
              <w:pStyle w:val="Guide-Table"/>
              <w:jc w:val="left"/>
              <w:rPr>
                <w:rFonts w:cs="Tahoma"/>
                <w:lang w:val="sl-SI" w:eastAsia="en-GB"/>
              </w:rPr>
            </w:pPr>
            <w:r w:rsidRPr="00F769E0">
              <w:rPr>
                <w:rFonts w:cs="Tahoma"/>
                <w:lang w:val="sl-SI" w:eastAsia="en-GB"/>
              </w:rPr>
              <w:t>Butan</w:t>
            </w:r>
          </w:p>
        </w:tc>
        <w:tc>
          <w:tcPr>
            <w:tcW w:w="1453" w:type="pct"/>
            <w:tcBorders>
              <w:top w:val="single" w:sz="4" w:space="0" w:color="000000"/>
              <w:left w:val="single" w:sz="4" w:space="0" w:color="000000"/>
              <w:bottom w:val="single" w:sz="4" w:space="0" w:color="000000"/>
              <w:right w:val="single" w:sz="4" w:space="0" w:color="000000"/>
            </w:tcBorders>
          </w:tcPr>
          <w:p w14:paraId="7D39A1D5" w14:textId="77777777" w:rsidR="00E03711" w:rsidRPr="00F769E0" w:rsidRDefault="00E03711" w:rsidP="00370ABA">
            <w:pPr>
              <w:pStyle w:val="Guide-Table"/>
              <w:rPr>
                <w:rFonts w:cs="Tahoma"/>
                <w:lang w:val="sl-SI" w:eastAsia="en-GB"/>
              </w:rPr>
            </w:pPr>
            <w:r w:rsidRPr="00F769E0">
              <w:rPr>
                <w:rFonts w:cs="Tahoma"/>
                <w:lang w:val="sl-SI" w:eastAsia="en-GB"/>
              </w:rPr>
              <w:t>180</w:t>
            </w:r>
          </w:p>
        </w:tc>
      </w:tr>
      <w:tr w:rsidR="00E03711" w:rsidRPr="008C6F8C" w14:paraId="7D39A1D9"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D7" w14:textId="77777777" w:rsidR="00E03711" w:rsidRPr="00F769E0" w:rsidRDefault="00E03711" w:rsidP="00370ABA">
            <w:pPr>
              <w:pStyle w:val="Guide-Table"/>
              <w:jc w:val="left"/>
              <w:rPr>
                <w:rFonts w:cs="Tahoma"/>
                <w:lang w:val="sl-SI" w:eastAsia="en-GB"/>
              </w:rPr>
            </w:pPr>
            <w:r w:rsidRPr="00F769E0">
              <w:rPr>
                <w:rFonts w:cs="Tahoma"/>
                <w:lang w:val="sl-SI" w:eastAsia="en-GB"/>
              </w:rPr>
              <w:t>Bolivija</w:t>
            </w:r>
          </w:p>
        </w:tc>
        <w:tc>
          <w:tcPr>
            <w:tcW w:w="1453" w:type="pct"/>
            <w:tcBorders>
              <w:top w:val="single" w:sz="4" w:space="0" w:color="000000"/>
              <w:left w:val="single" w:sz="4" w:space="0" w:color="000000"/>
              <w:bottom w:val="single" w:sz="4" w:space="0" w:color="000000"/>
              <w:right w:val="single" w:sz="4" w:space="0" w:color="000000"/>
            </w:tcBorders>
          </w:tcPr>
          <w:p w14:paraId="7D39A1D8" w14:textId="77777777" w:rsidR="00E03711" w:rsidRPr="00F769E0" w:rsidRDefault="00E03711" w:rsidP="00370ABA">
            <w:pPr>
              <w:pStyle w:val="Guide-Table"/>
              <w:rPr>
                <w:rFonts w:cs="Tahoma"/>
                <w:lang w:val="sl-SI" w:eastAsia="en-GB"/>
              </w:rPr>
            </w:pPr>
            <w:r w:rsidRPr="00F769E0">
              <w:rPr>
                <w:rFonts w:cs="Tahoma"/>
                <w:lang w:val="sl-SI" w:eastAsia="en-GB"/>
              </w:rPr>
              <w:t>150</w:t>
            </w:r>
          </w:p>
        </w:tc>
      </w:tr>
      <w:tr w:rsidR="00E03711" w:rsidRPr="008C6F8C" w14:paraId="7D39A1DC"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DA" w14:textId="77777777" w:rsidR="00E03711" w:rsidRPr="00F769E0" w:rsidRDefault="00E03711" w:rsidP="00370ABA">
            <w:pPr>
              <w:pStyle w:val="Guide-Table"/>
              <w:jc w:val="left"/>
              <w:rPr>
                <w:rFonts w:cs="Tahoma"/>
                <w:lang w:val="sl-SI" w:eastAsia="en-GB"/>
              </w:rPr>
            </w:pPr>
            <w:r w:rsidRPr="00F769E0">
              <w:rPr>
                <w:rFonts w:cs="Tahoma"/>
                <w:lang w:val="sl-SI" w:eastAsia="en-GB"/>
              </w:rPr>
              <w:t>Bosna in Hercegovina</w:t>
            </w:r>
          </w:p>
        </w:tc>
        <w:tc>
          <w:tcPr>
            <w:tcW w:w="1453" w:type="pct"/>
            <w:tcBorders>
              <w:top w:val="single" w:sz="4" w:space="0" w:color="000000"/>
              <w:left w:val="single" w:sz="4" w:space="0" w:color="000000"/>
              <w:bottom w:val="single" w:sz="4" w:space="0" w:color="000000"/>
              <w:right w:val="single" w:sz="4" w:space="0" w:color="000000"/>
            </w:tcBorders>
          </w:tcPr>
          <w:p w14:paraId="7D39A1DB" w14:textId="77777777" w:rsidR="00E03711" w:rsidRPr="00F769E0" w:rsidRDefault="00E03711" w:rsidP="00370ABA">
            <w:pPr>
              <w:pStyle w:val="Guide-Table"/>
              <w:rPr>
                <w:rFonts w:cs="Tahoma"/>
                <w:lang w:val="sl-SI" w:eastAsia="en-GB"/>
              </w:rPr>
            </w:pPr>
            <w:r w:rsidRPr="00F769E0">
              <w:rPr>
                <w:rFonts w:cs="Tahoma"/>
                <w:lang w:val="sl-SI" w:eastAsia="en-GB"/>
              </w:rPr>
              <w:t>200</w:t>
            </w:r>
          </w:p>
        </w:tc>
      </w:tr>
      <w:tr w:rsidR="00E03711" w:rsidRPr="008C6F8C" w14:paraId="7D39A1DF"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DD" w14:textId="77777777" w:rsidR="00E03711" w:rsidRPr="00F769E0" w:rsidRDefault="00E03711" w:rsidP="00370ABA">
            <w:pPr>
              <w:pStyle w:val="Guide-Table"/>
              <w:jc w:val="left"/>
              <w:rPr>
                <w:rFonts w:cs="Tahoma"/>
                <w:lang w:val="sl-SI" w:eastAsia="en-GB"/>
              </w:rPr>
            </w:pPr>
            <w:r w:rsidRPr="00F769E0">
              <w:rPr>
                <w:rFonts w:cs="Tahoma"/>
                <w:lang w:val="sl-SI" w:eastAsia="en-GB"/>
              </w:rPr>
              <w:t>Bocvana</w:t>
            </w:r>
          </w:p>
        </w:tc>
        <w:tc>
          <w:tcPr>
            <w:tcW w:w="1453" w:type="pct"/>
            <w:tcBorders>
              <w:top w:val="single" w:sz="4" w:space="0" w:color="000000"/>
              <w:left w:val="single" w:sz="4" w:space="0" w:color="000000"/>
              <w:bottom w:val="single" w:sz="4" w:space="0" w:color="000000"/>
              <w:right w:val="single" w:sz="4" w:space="0" w:color="000000"/>
            </w:tcBorders>
          </w:tcPr>
          <w:p w14:paraId="7D39A1DE" w14:textId="77777777" w:rsidR="00E03711" w:rsidRPr="00F769E0" w:rsidRDefault="00E03711" w:rsidP="00370ABA">
            <w:pPr>
              <w:pStyle w:val="Guide-Table"/>
              <w:rPr>
                <w:rFonts w:cs="Tahoma"/>
                <w:lang w:val="sl-SI" w:eastAsia="en-GB"/>
              </w:rPr>
            </w:pPr>
            <w:r w:rsidRPr="00F769E0">
              <w:rPr>
                <w:rFonts w:cs="Tahoma"/>
                <w:lang w:val="sl-SI" w:eastAsia="en-GB"/>
              </w:rPr>
              <w:t>185</w:t>
            </w:r>
          </w:p>
        </w:tc>
      </w:tr>
      <w:tr w:rsidR="00E03711" w:rsidRPr="008C6F8C" w14:paraId="7D39A1E2"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E0" w14:textId="77777777" w:rsidR="00E03711" w:rsidRPr="00F769E0" w:rsidRDefault="00E03711" w:rsidP="00370ABA">
            <w:pPr>
              <w:pStyle w:val="Guide-Table"/>
              <w:jc w:val="left"/>
              <w:rPr>
                <w:rFonts w:cs="Tahoma"/>
                <w:lang w:val="sl-SI" w:eastAsia="en-GB"/>
              </w:rPr>
            </w:pPr>
            <w:r w:rsidRPr="00F769E0">
              <w:rPr>
                <w:rFonts w:cs="Tahoma"/>
                <w:lang w:val="sl-SI" w:eastAsia="en-GB"/>
              </w:rPr>
              <w:t>Brazilija</w:t>
            </w:r>
          </w:p>
        </w:tc>
        <w:tc>
          <w:tcPr>
            <w:tcW w:w="1453" w:type="pct"/>
            <w:tcBorders>
              <w:top w:val="single" w:sz="4" w:space="0" w:color="000000"/>
              <w:left w:val="single" w:sz="4" w:space="0" w:color="000000"/>
              <w:bottom w:val="single" w:sz="4" w:space="0" w:color="000000"/>
              <w:right w:val="single" w:sz="4" w:space="0" w:color="000000"/>
            </w:tcBorders>
          </w:tcPr>
          <w:p w14:paraId="7D39A1E1" w14:textId="77777777" w:rsidR="00E03711" w:rsidRPr="00F769E0" w:rsidRDefault="00E03711" w:rsidP="00370ABA">
            <w:pPr>
              <w:pStyle w:val="Guide-Table"/>
              <w:rPr>
                <w:rFonts w:cs="Tahoma"/>
                <w:lang w:val="sl-SI" w:eastAsia="en-GB"/>
              </w:rPr>
            </w:pPr>
            <w:r w:rsidRPr="00F769E0">
              <w:rPr>
                <w:rFonts w:cs="Tahoma"/>
                <w:lang w:val="sl-SI" w:eastAsia="en-GB"/>
              </w:rPr>
              <w:t>245</w:t>
            </w:r>
          </w:p>
        </w:tc>
      </w:tr>
      <w:tr w:rsidR="00E03711" w:rsidRPr="008C6F8C" w14:paraId="7D39A1E5"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E3" w14:textId="77777777" w:rsidR="00E03711" w:rsidRPr="00F769E0" w:rsidRDefault="00E03711" w:rsidP="00370ABA">
            <w:pPr>
              <w:pStyle w:val="Guide-Table"/>
              <w:jc w:val="left"/>
              <w:rPr>
                <w:rFonts w:cs="Tahoma"/>
                <w:lang w:val="sl-SI" w:eastAsia="en-GB"/>
              </w:rPr>
            </w:pPr>
            <w:r w:rsidRPr="00F769E0">
              <w:rPr>
                <w:rFonts w:cs="Tahoma"/>
                <w:lang w:val="sl-SI" w:eastAsia="en-GB"/>
              </w:rPr>
              <w:t>Brunej</w:t>
            </w:r>
          </w:p>
        </w:tc>
        <w:tc>
          <w:tcPr>
            <w:tcW w:w="1453" w:type="pct"/>
            <w:tcBorders>
              <w:top w:val="single" w:sz="4" w:space="0" w:color="000000"/>
              <w:left w:val="single" w:sz="4" w:space="0" w:color="000000"/>
              <w:bottom w:val="single" w:sz="4" w:space="0" w:color="000000"/>
              <w:right w:val="single" w:sz="4" w:space="0" w:color="000000"/>
            </w:tcBorders>
          </w:tcPr>
          <w:p w14:paraId="7D39A1E4" w14:textId="77777777" w:rsidR="00E03711" w:rsidRPr="00F769E0" w:rsidRDefault="00E03711" w:rsidP="00370ABA">
            <w:pPr>
              <w:pStyle w:val="Guide-Table"/>
              <w:rPr>
                <w:rFonts w:cs="Tahoma"/>
                <w:lang w:val="sl-SI" w:eastAsia="en-GB"/>
              </w:rPr>
            </w:pPr>
            <w:r w:rsidRPr="00F769E0">
              <w:rPr>
                <w:rFonts w:cs="Tahoma"/>
                <w:lang w:val="sl-SI" w:eastAsia="en-GB"/>
              </w:rPr>
              <w:t>225</w:t>
            </w:r>
          </w:p>
        </w:tc>
      </w:tr>
      <w:tr w:rsidR="00E03711" w:rsidRPr="008C6F8C" w14:paraId="7D39A1E8"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E6" w14:textId="77777777" w:rsidR="00E03711" w:rsidRPr="00F769E0" w:rsidRDefault="00E03711" w:rsidP="00370ABA">
            <w:pPr>
              <w:pStyle w:val="Guide-Table"/>
              <w:jc w:val="left"/>
              <w:rPr>
                <w:rFonts w:cs="Tahoma"/>
                <w:lang w:val="sl-SI" w:eastAsia="en-GB"/>
              </w:rPr>
            </w:pPr>
            <w:r w:rsidRPr="00F769E0">
              <w:rPr>
                <w:rFonts w:cs="Tahoma"/>
                <w:lang w:val="sl-SI" w:eastAsia="en-GB"/>
              </w:rPr>
              <w:t>Burkina Faso</w:t>
            </w:r>
          </w:p>
        </w:tc>
        <w:tc>
          <w:tcPr>
            <w:tcW w:w="1453" w:type="pct"/>
            <w:tcBorders>
              <w:top w:val="single" w:sz="4" w:space="0" w:color="000000"/>
              <w:left w:val="single" w:sz="4" w:space="0" w:color="000000"/>
              <w:bottom w:val="single" w:sz="4" w:space="0" w:color="000000"/>
              <w:right w:val="single" w:sz="4" w:space="0" w:color="000000"/>
            </w:tcBorders>
          </w:tcPr>
          <w:p w14:paraId="7D39A1E7" w14:textId="77777777" w:rsidR="00E03711" w:rsidRPr="00F769E0" w:rsidRDefault="00E03711" w:rsidP="00370ABA">
            <w:pPr>
              <w:pStyle w:val="Guide-Table"/>
              <w:rPr>
                <w:rFonts w:cs="Tahoma"/>
                <w:lang w:val="sl-SI" w:eastAsia="en-GB"/>
              </w:rPr>
            </w:pPr>
            <w:r w:rsidRPr="00F769E0">
              <w:rPr>
                <w:rFonts w:cs="Tahoma"/>
                <w:lang w:val="sl-SI" w:eastAsia="en-GB"/>
              </w:rPr>
              <w:t>145</w:t>
            </w:r>
          </w:p>
        </w:tc>
      </w:tr>
      <w:tr w:rsidR="00E03711" w:rsidRPr="008C6F8C" w14:paraId="7D39A1EB"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E9" w14:textId="77777777" w:rsidR="00E03711" w:rsidRPr="00F769E0" w:rsidRDefault="00E03711" w:rsidP="00370ABA">
            <w:pPr>
              <w:pStyle w:val="Guide-Table"/>
              <w:jc w:val="left"/>
              <w:rPr>
                <w:rFonts w:cs="Tahoma"/>
                <w:lang w:val="sl-SI" w:eastAsia="en-GB"/>
              </w:rPr>
            </w:pPr>
            <w:r w:rsidRPr="00F769E0">
              <w:rPr>
                <w:rFonts w:cs="Tahoma"/>
                <w:lang w:val="sl-SI" w:eastAsia="en-GB"/>
              </w:rPr>
              <w:t>Burundi</w:t>
            </w:r>
          </w:p>
        </w:tc>
        <w:tc>
          <w:tcPr>
            <w:tcW w:w="1453" w:type="pct"/>
            <w:tcBorders>
              <w:top w:val="single" w:sz="4" w:space="0" w:color="000000"/>
              <w:left w:val="single" w:sz="4" w:space="0" w:color="000000"/>
              <w:bottom w:val="single" w:sz="4" w:space="0" w:color="000000"/>
              <w:right w:val="single" w:sz="4" w:space="0" w:color="000000"/>
            </w:tcBorders>
          </w:tcPr>
          <w:p w14:paraId="7D39A1EA" w14:textId="77777777" w:rsidR="00E03711" w:rsidRPr="00F769E0" w:rsidRDefault="00E03711" w:rsidP="00370ABA">
            <w:pPr>
              <w:pStyle w:val="Guide-Table"/>
              <w:rPr>
                <w:rFonts w:cs="Tahoma"/>
                <w:lang w:val="sl-SI" w:eastAsia="en-GB"/>
              </w:rPr>
            </w:pPr>
            <w:r w:rsidRPr="00F769E0">
              <w:rPr>
                <w:rFonts w:cs="Tahoma"/>
                <w:lang w:val="sl-SI" w:eastAsia="en-GB"/>
              </w:rPr>
              <w:t>165</w:t>
            </w:r>
          </w:p>
        </w:tc>
      </w:tr>
      <w:tr w:rsidR="00E03711" w:rsidRPr="008C6F8C" w14:paraId="7D39A1EE"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EC" w14:textId="77777777" w:rsidR="00E03711" w:rsidRPr="00F769E0" w:rsidRDefault="00E03711" w:rsidP="00370ABA">
            <w:pPr>
              <w:pStyle w:val="Guide-Table"/>
              <w:jc w:val="left"/>
              <w:rPr>
                <w:rFonts w:cs="Tahoma"/>
                <w:lang w:val="sl-SI" w:eastAsia="en-GB"/>
              </w:rPr>
            </w:pPr>
            <w:r w:rsidRPr="00F769E0">
              <w:rPr>
                <w:rFonts w:cs="Tahoma"/>
                <w:lang w:val="sl-SI" w:eastAsia="en-GB"/>
              </w:rPr>
              <w:t>Kambodža</w:t>
            </w:r>
          </w:p>
        </w:tc>
        <w:tc>
          <w:tcPr>
            <w:tcW w:w="1453" w:type="pct"/>
            <w:tcBorders>
              <w:top w:val="single" w:sz="4" w:space="0" w:color="000000"/>
              <w:left w:val="single" w:sz="4" w:space="0" w:color="000000"/>
              <w:bottom w:val="single" w:sz="4" w:space="0" w:color="000000"/>
              <w:right w:val="single" w:sz="4" w:space="0" w:color="000000"/>
            </w:tcBorders>
          </w:tcPr>
          <w:p w14:paraId="7D39A1ED" w14:textId="77777777" w:rsidR="00E03711" w:rsidRPr="00F769E0" w:rsidRDefault="00E03711" w:rsidP="00370ABA">
            <w:pPr>
              <w:pStyle w:val="Guide-Table"/>
              <w:rPr>
                <w:rFonts w:cs="Tahoma"/>
                <w:lang w:val="sl-SI" w:eastAsia="en-GB"/>
              </w:rPr>
            </w:pPr>
            <w:r w:rsidRPr="00F769E0">
              <w:rPr>
                <w:rFonts w:cs="Tahoma"/>
                <w:lang w:val="sl-SI" w:eastAsia="en-GB"/>
              </w:rPr>
              <w:t>165</w:t>
            </w:r>
          </w:p>
        </w:tc>
      </w:tr>
      <w:tr w:rsidR="00E03711" w:rsidRPr="008C6F8C" w14:paraId="7D39A1F1"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EF" w14:textId="77777777" w:rsidR="00E03711" w:rsidRPr="00F769E0" w:rsidRDefault="00E03711" w:rsidP="00370ABA">
            <w:pPr>
              <w:pStyle w:val="Guide-Table"/>
              <w:jc w:val="left"/>
              <w:rPr>
                <w:rFonts w:cs="Tahoma"/>
                <w:lang w:val="sl-SI" w:eastAsia="en-GB"/>
              </w:rPr>
            </w:pPr>
            <w:r w:rsidRPr="00F769E0">
              <w:rPr>
                <w:rFonts w:cs="Tahoma"/>
                <w:lang w:val="sl-SI" w:eastAsia="en-GB"/>
              </w:rPr>
              <w:t>Kamerun</w:t>
            </w:r>
          </w:p>
        </w:tc>
        <w:tc>
          <w:tcPr>
            <w:tcW w:w="1453" w:type="pct"/>
            <w:tcBorders>
              <w:top w:val="single" w:sz="4" w:space="0" w:color="000000"/>
              <w:left w:val="single" w:sz="4" w:space="0" w:color="000000"/>
              <w:bottom w:val="single" w:sz="4" w:space="0" w:color="000000"/>
              <w:right w:val="single" w:sz="4" w:space="0" w:color="000000"/>
            </w:tcBorders>
          </w:tcPr>
          <w:p w14:paraId="7D39A1F0" w14:textId="77777777" w:rsidR="00E03711" w:rsidRPr="00F769E0" w:rsidRDefault="00E03711" w:rsidP="00370ABA">
            <w:pPr>
              <w:pStyle w:val="Guide-Table"/>
              <w:rPr>
                <w:rFonts w:cs="Tahoma"/>
                <w:lang w:val="sl-SI" w:eastAsia="en-GB"/>
              </w:rPr>
            </w:pPr>
            <w:r w:rsidRPr="00F769E0">
              <w:rPr>
                <w:rFonts w:cs="Tahoma"/>
                <w:lang w:val="sl-SI" w:eastAsia="en-GB"/>
              </w:rPr>
              <w:t>160</w:t>
            </w:r>
          </w:p>
        </w:tc>
      </w:tr>
      <w:tr w:rsidR="00E03711" w:rsidRPr="008C6F8C" w14:paraId="7D39A1F4"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F2" w14:textId="77777777" w:rsidR="00E03711" w:rsidRPr="00F769E0" w:rsidRDefault="00E03711" w:rsidP="00370ABA">
            <w:pPr>
              <w:pStyle w:val="Guide-Table"/>
              <w:jc w:val="left"/>
              <w:rPr>
                <w:rFonts w:cs="Tahoma"/>
                <w:lang w:val="sl-SI" w:eastAsia="en-GB"/>
              </w:rPr>
            </w:pPr>
            <w:r w:rsidRPr="00F769E0">
              <w:rPr>
                <w:rFonts w:cs="Tahoma"/>
                <w:lang w:val="sl-SI" w:eastAsia="en-GB"/>
              </w:rPr>
              <w:t>Kanada</w:t>
            </w:r>
          </w:p>
        </w:tc>
        <w:tc>
          <w:tcPr>
            <w:tcW w:w="1453" w:type="pct"/>
            <w:tcBorders>
              <w:top w:val="single" w:sz="4" w:space="0" w:color="000000"/>
              <w:left w:val="single" w:sz="4" w:space="0" w:color="000000"/>
              <w:bottom w:val="single" w:sz="4" w:space="0" w:color="000000"/>
              <w:right w:val="single" w:sz="4" w:space="0" w:color="000000"/>
            </w:tcBorders>
          </w:tcPr>
          <w:p w14:paraId="7D39A1F3" w14:textId="77777777" w:rsidR="00E03711" w:rsidRPr="00F769E0" w:rsidRDefault="00E03711" w:rsidP="00370ABA">
            <w:pPr>
              <w:pStyle w:val="Guide-Table"/>
              <w:rPr>
                <w:rFonts w:cs="Tahoma"/>
                <w:lang w:val="sl-SI" w:eastAsia="en-GB"/>
              </w:rPr>
            </w:pPr>
            <w:r w:rsidRPr="00F769E0">
              <w:rPr>
                <w:rFonts w:cs="Tahoma"/>
                <w:lang w:val="sl-SI" w:eastAsia="en-GB"/>
              </w:rPr>
              <w:t>230</w:t>
            </w:r>
          </w:p>
        </w:tc>
      </w:tr>
      <w:tr w:rsidR="00E03711" w:rsidRPr="008C6F8C" w14:paraId="7D39A1F7"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F5" w14:textId="77777777" w:rsidR="00E03711" w:rsidRPr="00F769E0" w:rsidRDefault="00E03711" w:rsidP="00370ABA">
            <w:pPr>
              <w:pStyle w:val="Guide-Table"/>
              <w:jc w:val="left"/>
              <w:rPr>
                <w:rFonts w:cs="Tahoma"/>
                <w:lang w:val="sl-SI" w:eastAsia="en-GB"/>
              </w:rPr>
            </w:pPr>
            <w:r w:rsidRPr="00F769E0">
              <w:rPr>
                <w:rFonts w:cs="Tahoma"/>
                <w:lang w:val="sl-SI" w:eastAsia="en-GB"/>
              </w:rPr>
              <w:t>Zelenortski otoki</w:t>
            </w:r>
          </w:p>
        </w:tc>
        <w:tc>
          <w:tcPr>
            <w:tcW w:w="1453" w:type="pct"/>
            <w:tcBorders>
              <w:top w:val="single" w:sz="4" w:space="0" w:color="000000"/>
              <w:left w:val="single" w:sz="4" w:space="0" w:color="000000"/>
              <w:bottom w:val="single" w:sz="4" w:space="0" w:color="000000"/>
              <w:right w:val="single" w:sz="4" w:space="0" w:color="000000"/>
            </w:tcBorders>
          </w:tcPr>
          <w:p w14:paraId="7D39A1F6" w14:textId="77777777" w:rsidR="00E03711" w:rsidRPr="00F769E0" w:rsidRDefault="00E03711" w:rsidP="00370ABA">
            <w:pPr>
              <w:pStyle w:val="Guide-Table"/>
              <w:rPr>
                <w:rFonts w:cs="Tahoma"/>
                <w:lang w:val="sl-SI" w:eastAsia="en-GB"/>
              </w:rPr>
            </w:pPr>
            <w:r w:rsidRPr="00F769E0">
              <w:rPr>
                <w:rFonts w:cs="Tahoma"/>
                <w:lang w:val="sl-SI" w:eastAsia="en-GB"/>
              </w:rPr>
              <w:t>125</w:t>
            </w:r>
          </w:p>
        </w:tc>
      </w:tr>
      <w:tr w:rsidR="00E03711" w:rsidRPr="008C6F8C" w14:paraId="7D39A1FA"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F8" w14:textId="77777777" w:rsidR="00E03711" w:rsidRPr="00F769E0" w:rsidRDefault="00E03711" w:rsidP="00370ABA">
            <w:pPr>
              <w:pStyle w:val="Guide-Table"/>
              <w:jc w:val="left"/>
              <w:rPr>
                <w:rFonts w:cs="Tahoma"/>
                <w:lang w:val="sl-SI" w:eastAsia="en-GB"/>
              </w:rPr>
            </w:pPr>
            <w:r w:rsidRPr="00F769E0">
              <w:rPr>
                <w:rFonts w:cs="Tahoma"/>
                <w:lang w:val="sl-SI" w:eastAsia="en-GB"/>
              </w:rPr>
              <w:t>Srednjeafriška republika</w:t>
            </w:r>
          </w:p>
        </w:tc>
        <w:tc>
          <w:tcPr>
            <w:tcW w:w="1453" w:type="pct"/>
            <w:tcBorders>
              <w:top w:val="single" w:sz="4" w:space="0" w:color="000000"/>
              <w:left w:val="single" w:sz="4" w:space="0" w:color="000000"/>
              <w:bottom w:val="single" w:sz="4" w:space="0" w:color="000000"/>
              <w:right w:val="single" w:sz="4" w:space="0" w:color="000000"/>
            </w:tcBorders>
          </w:tcPr>
          <w:p w14:paraId="7D39A1F9" w14:textId="77777777" w:rsidR="00E03711" w:rsidRPr="00F769E0" w:rsidRDefault="00E03711" w:rsidP="00370ABA">
            <w:pPr>
              <w:pStyle w:val="Guide-Table"/>
              <w:rPr>
                <w:rFonts w:cs="Tahoma"/>
                <w:lang w:val="sl-SI" w:eastAsia="en-GB"/>
              </w:rPr>
            </w:pPr>
            <w:r w:rsidRPr="00F769E0">
              <w:rPr>
                <w:rFonts w:cs="Tahoma"/>
                <w:lang w:val="sl-SI" w:eastAsia="en-GB"/>
              </w:rPr>
              <w:t>140</w:t>
            </w:r>
          </w:p>
        </w:tc>
      </w:tr>
      <w:tr w:rsidR="00E03711" w:rsidRPr="008C6F8C" w14:paraId="7D39A1FD"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FB" w14:textId="77777777" w:rsidR="00E03711" w:rsidRPr="00F769E0" w:rsidRDefault="00E03711" w:rsidP="00370ABA">
            <w:pPr>
              <w:pStyle w:val="Guide-Table"/>
              <w:jc w:val="left"/>
              <w:rPr>
                <w:rFonts w:cs="Tahoma"/>
                <w:lang w:val="sl-SI" w:eastAsia="en-GB"/>
              </w:rPr>
            </w:pPr>
            <w:r w:rsidRPr="00F769E0">
              <w:rPr>
                <w:rFonts w:cs="Tahoma"/>
                <w:lang w:val="sl-SI" w:eastAsia="en-GB"/>
              </w:rPr>
              <w:t>Čad</w:t>
            </w:r>
          </w:p>
        </w:tc>
        <w:tc>
          <w:tcPr>
            <w:tcW w:w="1453" w:type="pct"/>
            <w:tcBorders>
              <w:top w:val="single" w:sz="4" w:space="0" w:color="000000"/>
              <w:left w:val="single" w:sz="4" w:space="0" w:color="000000"/>
              <w:bottom w:val="single" w:sz="4" w:space="0" w:color="000000"/>
              <w:right w:val="single" w:sz="4" w:space="0" w:color="000000"/>
            </w:tcBorders>
          </w:tcPr>
          <w:p w14:paraId="7D39A1FC" w14:textId="77777777" w:rsidR="00E03711" w:rsidRPr="00F769E0" w:rsidRDefault="00E03711" w:rsidP="00370ABA">
            <w:pPr>
              <w:pStyle w:val="Guide-Table"/>
              <w:rPr>
                <w:rFonts w:cs="Tahoma"/>
                <w:lang w:val="sl-SI" w:eastAsia="en-GB"/>
              </w:rPr>
            </w:pPr>
            <w:r w:rsidRPr="00F769E0">
              <w:rPr>
                <w:rFonts w:cs="Tahoma"/>
                <w:lang w:val="sl-SI" w:eastAsia="en-GB"/>
              </w:rPr>
              <w:t>210</w:t>
            </w:r>
          </w:p>
        </w:tc>
      </w:tr>
      <w:tr w:rsidR="00E03711" w:rsidRPr="008C6F8C" w14:paraId="7D39A200"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1FE" w14:textId="77777777" w:rsidR="00E03711" w:rsidRPr="00F769E0" w:rsidRDefault="00E03711" w:rsidP="00370ABA">
            <w:pPr>
              <w:pStyle w:val="Guide-Table"/>
              <w:jc w:val="left"/>
              <w:rPr>
                <w:rFonts w:cs="Tahoma"/>
                <w:lang w:val="sl-SI" w:eastAsia="en-GB"/>
              </w:rPr>
            </w:pPr>
            <w:r w:rsidRPr="00F769E0">
              <w:rPr>
                <w:rFonts w:cs="Tahoma"/>
                <w:lang w:val="sl-SI" w:eastAsia="en-GB"/>
              </w:rPr>
              <w:t>Chile</w:t>
            </w:r>
          </w:p>
        </w:tc>
        <w:tc>
          <w:tcPr>
            <w:tcW w:w="1453" w:type="pct"/>
            <w:tcBorders>
              <w:top w:val="single" w:sz="4" w:space="0" w:color="000000"/>
              <w:left w:val="single" w:sz="4" w:space="0" w:color="000000"/>
              <w:bottom w:val="single" w:sz="4" w:space="0" w:color="000000"/>
              <w:right w:val="single" w:sz="4" w:space="0" w:color="000000"/>
            </w:tcBorders>
          </w:tcPr>
          <w:p w14:paraId="7D39A1FF" w14:textId="77777777" w:rsidR="00E03711" w:rsidRPr="00F769E0" w:rsidRDefault="00E03711" w:rsidP="00370ABA">
            <w:pPr>
              <w:pStyle w:val="Guide-Table"/>
              <w:rPr>
                <w:rFonts w:cs="Tahoma"/>
                <w:lang w:val="sl-SI" w:eastAsia="en-GB"/>
              </w:rPr>
            </w:pPr>
            <w:r w:rsidRPr="00F769E0">
              <w:rPr>
                <w:rFonts w:cs="Tahoma"/>
                <w:lang w:val="sl-SI" w:eastAsia="en-GB"/>
              </w:rPr>
              <w:t>245</w:t>
            </w:r>
          </w:p>
        </w:tc>
      </w:tr>
      <w:tr w:rsidR="00E03711" w:rsidRPr="008C6F8C" w14:paraId="7D39A203"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01" w14:textId="77777777" w:rsidR="00E03711" w:rsidRPr="00F769E0" w:rsidRDefault="00E03711" w:rsidP="00370ABA">
            <w:pPr>
              <w:pStyle w:val="Guide-Table"/>
              <w:jc w:val="left"/>
              <w:rPr>
                <w:rFonts w:cs="Tahoma"/>
                <w:lang w:val="sl-SI" w:eastAsia="en-GB"/>
              </w:rPr>
            </w:pPr>
            <w:r w:rsidRPr="00F769E0">
              <w:rPr>
                <w:rFonts w:cs="Tahoma"/>
                <w:lang w:val="sl-SI" w:eastAsia="en-GB"/>
              </w:rPr>
              <w:t>Kitajska</w:t>
            </w:r>
          </w:p>
        </w:tc>
        <w:tc>
          <w:tcPr>
            <w:tcW w:w="1453" w:type="pct"/>
            <w:tcBorders>
              <w:top w:val="single" w:sz="4" w:space="0" w:color="000000"/>
              <w:left w:val="single" w:sz="4" w:space="0" w:color="000000"/>
              <w:bottom w:val="single" w:sz="4" w:space="0" w:color="000000"/>
              <w:right w:val="single" w:sz="4" w:space="0" w:color="000000"/>
            </w:tcBorders>
          </w:tcPr>
          <w:p w14:paraId="7D39A202" w14:textId="77777777" w:rsidR="00E03711" w:rsidRPr="00F769E0" w:rsidRDefault="00E03711" w:rsidP="00370ABA">
            <w:pPr>
              <w:pStyle w:val="Guide-Table"/>
              <w:rPr>
                <w:rFonts w:cs="Tahoma"/>
                <w:lang w:val="sl-SI" w:eastAsia="en-GB"/>
              </w:rPr>
            </w:pPr>
            <w:r w:rsidRPr="00F769E0">
              <w:rPr>
                <w:rFonts w:cs="Tahoma"/>
                <w:lang w:val="sl-SI" w:eastAsia="en-GB"/>
              </w:rPr>
              <w:t>210</w:t>
            </w:r>
          </w:p>
        </w:tc>
      </w:tr>
      <w:tr w:rsidR="00E03711" w:rsidRPr="008C6F8C" w14:paraId="7D39A206"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04" w14:textId="77777777" w:rsidR="00E03711" w:rsidRPr="00F769E0" w:rsidRDefault="00E03711" w:rsidP="00370ABA">
            <w:pPr>
              <w:pStyle w:val="Guide-Table"/>
              <w:jc w:val="left"/>
              <w:rPr>
                <w:rFonts w:cs="Tahoma"/>
                <w:lang w:val="sl-SI" w:eastAsia="en-GB"/>
              </w:rPr>
            </w:pPr>
            <w:r w:rsidRPr="00F769E0">
              <w:rPr>
                <w:rFonts w:cs="Tahoma"/>
                <w:lang w:val="sl-SI" w:eastAsia="en-GB"/>
              </w:rPr>
              <w:t>Kolumbija</w:t>
            </w:r>
          </w:p>
        </w:tc>
        <w:tc>
          <w:tcPr>
            <w:tcW w:w="1453" w:type="pct"/>
            <w:tcBorders>
              <w:top w:val="single" w:sz="4" w:space="0" w:color="000000"/>
              <w:left w:val="single" w:sz="4" w:space="0" w:color="000000"/>
              <w:bottom w:val="single" w:sz="4" w:space="0" w:color="000000"/>
              <w:right w:val="single" w:sz="4" w:space="0" w:color="000000"/>
            </w:tcBorders>
          </w:tcPr>
          <w:p w14:paraId="7D39A205" w14:textId="77777777" w:rsidR="00E03711" w:rsidRPr="00F769E0" w:rsidRDefault="00E03711" w:rsidP="00370ABA">
            <w:pPr>
              <w:pStyle w:val="Guide-Table"/>
              <w:rPr>
                <w:rFonts w:cs="Tahoma"/>
                <w:lang w:val="sl-SI" w:eastAsia="en-GB"/>
              </w:rPr>
            </w:pPr>
            <w:r w:rsidRPr="00F769E0">
              <w:rPr>
                <w:rFonts w:cs="Tahoma"/>
                <w:lang w:val="sl-SI" w:eastAsia="en-GB"/>
              </w:rPr>
              <w:t>210</w:t>
            </w:r>
          </w:p>
        </w:tc>
      </w:tr>
      <w:tr w:rsidR="00E03711" w:rsidRPr="008C6F8C" w14:paraId="7D39A209"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07" w14:textId="77777777" w:rsidR="00E03711" w:rsidRPr="00F769E0" w:rsidRDefault="00E03711" w:rsidP="00370ABA">
            <w:pPr>
              <w:pStyle w:val="Guide-Table"/>
              <w:jc w:val="left"/>
              <w:rPr>
                <w:rFonts w:cs="Tahoma"/>
                <w:lang w:val="sl-SI" w:eastAsia="en-GB"/>
              </w:rPr>
            </w:pPr>
            <w:r w:rsidRPr="00F769E0">
              <w:rPr>
                <w:rFonts w:cs="Tahoma"/>
                <w:lang w:val="sl-SI" w:eastAsia="en-GB"/>
              </w:rPr>
              <w:t>Komori</w:t>
            </w:r>
          </w:p>
        </w:tc>
        <w:tc>
          <w:tcPr>
            <w:tcW w:w="1453" w:type="pct"/>
            <w:tcBorders>
              <w:top w:val="single" w:sz="4" w:space="0" w:color="000000"/>
              <w:left w:val="single" w:sz="4" w:space="0" w:color="000000"/>
              <w:bottom w:val="single" w:sz="4" w:space="0" w:color="000000"/>
              <w:right w:val="single" w:sz="4" w:space="0" w:color="000000"/>
            </w:tcBorders>
          </w:tcPr>
          <w:p w14:paraId="7D39A208" w14:textId="77777777" w:rsidR="00E03711" w:rsidRPr="00F769E0" w:rsidRDefault="00E03711" w:rsidP="00370ABA">
            <w:pPr>
              <w:pStyle w:val="Guide-Table"/>
              <w:rPr>
                <w:rFonts w:cs="Tahoma"/>
                <w:lang w:val="sl-SI" w:eastAsia="en-GB"/>
              </w:rPr>
            </w:pPr>
            <w:r w:rsidRPr="00F769E0">
              <w:rPr>
                <w:rFonts w:cs="Tahoma"/>
                <w:lang w:val="sl-SI" w:eastAsia="en-GB"/>
              </w:rPr>
              <w:t>135</w:t>
            </w:r>
          </w:p>
        </w:tc>
      </w:tr>
      <w:tr w:rsidR="00E03711" w:rsidRPr="008C6F8C" w14:paraId="7D39A20C"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0A" w14:textId="77777777" w:rsidR="00E03711" w:rsidRPr="00F769E0" w:rsidRDefault="00E03711" w:rsidP="00370ABA">
            <w:pPr>
              <w:pStyle w:val="Guide-Table"/>
              <w:jc w:val="left"/>
              <w:rPr>
                <w:rFonts w:cs="Tahoma"/>
                <w:lang w:val="sl-SI" w:eastAsia="en-GB"/>
              </w:rPr>
            </w:pPr>
            <w:r w:rsidRPr="00F769E0">
              <w:rPr>
                <w:rFonts w:cs="Tahoma"/>
                <w:lang w:val="sl-SI" w:eastAsia="en-GB"/>
              </w:rPr>
              <w:t>Jordanija</w:t>
            </w:r>
          </w:p>
        </w:tc>
        <w:tc>
          <w:tcPr>
            <w:tcW w:w="1453" w:type="pct"/>
            <w:tcBorders>
              <w:top w:val="single" w:sz="4" w:space="0" w:color="000000"/>
              <w:left w:val="single" w:sz="4" w:space="0" w:color="000000"/>
              <w:bottom w:val="single" w:sz="4" w:space="0" w:color="000000"/>
              <w:right w:val="single" w:sz="4" w:space="0" w:color="000000"/>
            </w:tcBorders>
          </w:tcPr>
          <w:p w14:paraId="7D39A20B" w14:textId="77777777" w:rsidR="00E03711" w:rsidRPr="00F769E0" w:rsidRDefault="00E03711" w:rsidP="00370ABA">
            <w:pPr>
              <w:pStyle w:val="Guide-Table"/>
              <w:rPr>
                <w:rFonts w:cs="Tahoma"/>
                <w:lang w:val="sl-SI" w:eastAsia="en-GB"/>
              </w:rPr>
            </w:pPr>
            <w:r w:rsidRPr="00F769E0">
              <w:rPr>
                <w:rFonts w:cs="Tahoma"/>
                <w:lang w:val="sl-SI" w:eastAsia="en-GB"/>
              </w:rPr>
              <w:t>195</w:t>
            </w:r>
          </w:p>
        </w:tc>
      </w:tr>
      <w:tr w:rsidR="00E03711" w:rsidRPr="008C6F8C" w14:paraId="7D39A20F"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0D" w14:textId="77777777" w:rsidR="00E03711" w:rsidRPr="00F769E0" w:rsidRDefault="00E03711" w:rsidP="00370ABA">
            <w:pPr>
              <w:pStyle w:val="Guide-Table"/>
              <w:jc w:val="left"/>
              <w:rPr>
                <w:rFonts w:cs="Tahoma"/>
                <w:lang w:val="sl-SI" w:eastAsia="en-GB"/>
              </w:rPr>
            </w:pPr>
            <w:r w:rsidRPr="00F769E0">
              <w:rPr>
                <w:rFonts w:cs="Tahoma"/>
                <w:lang w:val="sl-SI" w:eastAsia="en-GB"/>
              </w:rPr>
              <w:t>Kazahstan</w:t>
            </w:r>
          </w:p>
        </w:tc>
        <w:tc>
          <w:tcPr>
            <w:tcW w:w="1453" w:type="pct"/>
            <w:tcBorders>
              <w:top w:val="single" w:sz="4" w:space="0" w:color="000000"/>
              <w:left w:val="single" w:sz="4" w:space="0" w:color="000000"/>
              <w:bottom w:val="single" w:sz="4" w:space="0" w:color="000000"/>
              <w:right w:val="single" w:sz="4" w:space="0" w:color="000000"/>
            </w:tcBorders>
          </w:tcPr>
          <w:p w14:paraId="7D39A20E" w14:textId="77777777" w:rsidR="00E03711" w:rsidRPr="00F769E0" w:rsidRDefault="00E03711" w:rsidP="00370ABA">
            <w:pPr>
              <w:pStyle w:val="Guide-Table"/>
              <w:rPr>
                <w:rFonts w:cs="Tahoma"/>
                <w:lang w:val="sl-SI" w:eastAsia="en-GB"/>
              </w:rPr>
            </w:pPr>
            <w:r w:rsidRPr="00F769E0">
              <w:rPr>
                <w:rFonts w:cs="Tahoma"/>
                <w:lang w:val="sl-SI" w:eastAsia="en-GB"/>
              </w:rPr>
              <w:t>245</w:t>
            </w:r>
          </w:p>
        </w:tc>
      </w:tr>
      <w:tr w:rsidR="00E03711" w:rsidRPr="008C6F8C" w14:paraId="7D39A212"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10" w14:textId="77777777" w:rsidR="00E03711" w:rsidRPr="00F769E0" w:rsidRDefault="00E03711" w:rsidP="00370ABA">
            <w:pPr>
              <w:pStyle w:val="Guide-Table"/>
              <w:jc w:val="left"/>
              <w:rPr>
                <w:rFonts w:cs="Tahoma"/>
                <w:lang w:val="sl-SI" w:eastAsia="en-GB"/>
              </w:rPr>
            </w:pPr>
            <w:r w:rsidRPr="00F769E0">
              <w:rPr>
                <w:rFonts w:cs="Tahoma"/>
                <w:lang w:val="sl-SI" w:eastAsia="en-GB"/>
              </w:rPr>
              <w:t>Kenija</w:t>
            </w:r>
          </w:p>
        </w:tc>
        <w:tc>
          <w:tcPr>
            <w:tcW w:w="1453" w:type="pct"/>
            <w:tcBorders>
              <w:top w:val="single" w:sz="4" w:space="0" w:color="000000"/>
              <w:left w:val="single" w:sz="4" w:space="0" w:color="000000"/>
              <w:bottom w:val="single" w:sz="4" w:space="0" w:color="000000"/>
              <w:right w:val="single" w:sz="4" w:space="0" w:color="000000"/>
            </w:tcBorders>
          </w:tcPr>
          <w:p w14:paraId="7D39A211" w14:textId="77777777" w:rsidR="00E03711" w:rsidRPr="00F769E0" w:rsidRDefault="00E03711" w:rsidP="00370ABA">
            <w:pPr>
              <w:pStyle w:val="Guide-Table"/>
              <w:rPr>
                <w:rFonts w:cs="Tahoma"/>
                <w:lang w:val="sl-SI" w:eastAsia="en-GB"/>
              </w:rPr>
            </w:pPr>
            <w:r w:rsidRPr="00F769E0">
              <w:rPr>
                <w:rFonts w:cs="Tahoma"/>
                <w:lang w:val="sl-SI" w:eastAsia="en-GB"/>
              </w:rPr>
              <w:t>225</w:t>
            </w:r>
          </w:p>
        </w:tc>
      </w:tr>
      <w:tr w:rsidR="00E03711" w:rsidRPr="008C6F8C" w14:paraId="7D39A215"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13" w14:textId="77777777" w:rsidR="00E03711" w:rsidRPr="00F769E0" w:rsidRDefault="00E03711" w:rsidP="00370ABA">
            <w:pPr>
              <w:pStyle w:val="Guide-Table"/>
              <w:jc w:val="left"/>
              <w:rPr>
                <w:rFonts w:cs="Tahoma"/>
                <w:lang w:val="sl-SI" w:eastAsia="en-GB"/>
              </w:rPr>
            </w:pPr>
            <w:r w:rsidRPr="00F769E0">
              <w:rPr>
                <w:rFonts w:cs="Tahoma"/>
                <w:lang w:val="sl-SI" w:eastAsia="en-GB"/>
              </w:rPr>
              <w:t>Kiribati</w:t>
            </w:r>
          </w:p>
        </w:tc>
        <w:tc>
          <w:tcPr>
            <w:tcW w:w="1453" w:type="pct"/>
            <w:tcBorders>
              <w:top w:val="single" w:sz="4" w:space="0" w:color="000000"/>
              <w:left w:val="single" w:sz="4" w:space="0" w:color="000000"/>
              <w:bottom w:val="single" w:sz="4" w:space="0" w:color="000000"/>
              <w:right w:val="single" w:sz="4" w:space="0" w:color="000000"/>
            </w:tcBorders>
          </w:tcPr>
          <w:p w14:paraId="7D39A214" w14:textId="77777777" w:rsidR="00E03711" w:rsidRPr="00F769E0" w:rsidRDefault="00E03711" w:rsidP="00370ABA">
            <w:pPr>
              <w:pStyle w:val="Guide-Table"/>
              <w:rPr>
                <w:rFonts w:cs="Tahoma"/>
                <w:lang w:val="sl-SI" w:eastAsia="en-GB"/>
              </w:rPr>
            </w:pPr>
            <w:r w:rsidRPr="00F769E0">
              <w:rPr>
                <w:rFonts w:cs="Tahoma"/>
                <w:lang w:val="sl-SI" w:eastAsia="en-GB"/>
              </w:rPr>
              <w:t>205</w:t>
            </w:r>
          </w:p>
        </w:tc>
      </w:tr>
      <w:tr w:rsidR="00E03711" w:rsidRPr="008C6F8C" w14:paraId="7D39A218"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16" w14:textId="77777777" w:rsidR="00E03711" w:rsidRPr="00F769E0" w:rsidRDefault="00E03711" w:rsidP="00370ABA">
            <w:pPr>
              <w:pStyle w:val="Guide-Table"/>
              <w:jc w:val="left"/>
              <w:rPr>
                <w:rFonts w:cs="Tahoma"/>
                <w:lang w:val="sl-SI" w:eastAsia="en-GB"/>
              </w:rPr>
            </w:pPr>
            <w:r w:rsidRPr="00F769E0">
              <w:rPr>
                <w:rFonts w:cs="Tahoma"/>
                <w:lang w:val="sl-SI" w:eastAsia="en-GB"/>
              </w:rPr>
              <w:t>Demokratična ljudska republika Koreja</w:t>
            </w:r>
          </w:p>
        </w:tc>
        <w:tc>
          <w:tcPr>
            <w:tcW w:w="1453" w:type="pct"/>
            <w:tcBorders>
              <w:top w:val="single" w:sz="4" w:space="0" w:color="000000"/>
              <w:left w:val="single" w:sz="4" w:space="0" w:color="000000"/>
              <w:bottom w:val="single" w:sz="4" w:space="0" w:color="000000"/>
              <w:right w:val="single" w:sz="4" w:space="0" w:color="000000"/>
            </w:tcBorders>
          </w:tcPr>
          <w:p w14:paraId="7D39A217" w14:textId="77777777" w:rsidR="00E03711" w:rsidRPr="00F769E0" w:rsidRDefault="00E03711" w:rsidP="00370ABA">
            <w:pPr>
              <w:pStyle w:val="Guide-Table"/>
              <w:rPr>
                <w:rFonts w:cs="Tahoma"/>
                <w:lang w:val="sl-SI" w:eastAsia="en-GB"/>
              </w:rPr>
            </w:pPr>
            <w:r w:rsidRPr="00F769E0">
              <w:rPr>
                <w:rFonts w:cs="Tahoma"/>
                <w:lang w:val="sl-SI" w:eastAsia="en-GB"/>
              </w:rPr>
              <w:t>230</w:t>
            </w:r>
          </w:p>
        </w:tc>
      </w:tr>
      <w:tr w:rsidR="00E03711" w:rsidRPr="008C6F8C" w14:paraId="7D39A21B"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19" w14:textId="77777777" w:rsidR="00E03711" w:rsidRPr="00F769E0" w:rsidRDefault="00E03711" w:rsidP="00370ABA">
            <w:pPr>
              <w:pStyle w:val="Guide-Table"/>
              <w:jc w:val="left"/>
              <w:rPr>
                <w:rFonts w:cs="Tahoma"/>
                <w:lang w:val="sl-SI" w:eastAsia="en-GB"/>
              </w:rPr>
            </w:pPr>
            <w:r w:rsidRPr="00F769E0">
              <w:rPr>
                <w:rFonts w:cs="Tahoma"/>
                <w:lang w:val="sl-SI" w:eastAsia="en-GB"/>
              </w:rPr>
              <w:t>Republika Koreja</w:t>
            </w:r>
          </w:p>
        </w:tc>
        <w:tc>
          <w:tcPr>
            <w:tcW w:w="1453" w:type="pct"/>
            <w:tcBorders>
              <w:top w:val="single" w:sz="4" w:space="0" w:color="000000"/>
              <w:left w:val="single" w:sz="4" w:space="0" w:color="000000"/>
              <w:bottom w:val="single" w:sz="4" w:space="0" w:color="000000"/>
              <w:right w:val="single" w:sz="4" w:space="0" w:color="000000"/>
            </w:tcBorders>
          </w:tcPr>
          <w:p w14:paraId="7D39A21A" w14:textId="77777777" w:rsidR="00E03711" w:rsidRPr="00F769E0" w:rsidRDefault="00E03711" w:rsidP="00370ABA">
            <w:pPr>
              <w:pStyle w:val="Guide-Table"/>
              <w:rPr>
                <w:rFonts w:cs="Tahoma"/>
                <w:lang w:val="sl-SI" w:eastAsia="en-GB"/>
              </w:rPr>
            </w:pPr>
            <w:r w:rsidRPr="00F769E0">
              <w:rPr>
                <w:rFonts w:cs="Tahoma"/>
                <w:lang w:val="sl-SI" w:eastAsia="en-GB"/>
              </w:rPr>
              <w:t>300</w:t>
            </w:r>
          </w:p>
        </w:tc>
      </w:tr>
      <w:tr w:rsidR="00E03711" w:rsidRPr="008C6F8C" w14:paraId="7D39A21E"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1C" w14:textId="77777777" w:rsidR="00E03711" w:rsidRPr="00F769E0" w:rsidRDefault="00E03711" w:rsidP="00370ABA">
            <w:pPr>
              <w:pStyle w:val="Guide-Table"/>
              <w:jc w:val="left"/>
              <w:rPr>
                <w:rStyle w:val="Guide-Condensed-01"/>
                <w:rFonts w:cs="Tahoma"/>
                <w:lang w:val="sl-SI" w:eastAsia="en-GB"/>
              </w:rPr>
            </w:pPr>
            <w:r w:rsidRPr="00F769E0">
              <w:rPr>
                <w:rStyle w:val="Guide-Condensed-01"/>
                <w:rFonts w:cs="Tahoma"/>
                <w:lang w:val="sl-SI" w:eastAsia="en-GB"/>
              </w:rPr>
              <w:t>Kosovo, v skladu z resolucijo VSZN 1244 (1999)</w:t>
            </w:r>
          </w:p>
        </w:tc>
        <w:tc>
          <w:tcPr>
            <w:tcW w:w="1453" w:type="pct"/>
            <w:tcBorders>
              <w:top w:val="single" w:sz="4" w:space="0" w:color="000000"/>
              <w:left w:val="single" w:sz="4" w:space="0" w:color="000000"/>
              <w:bottom w:val="single" w:sz="4" w:space="0" w:color="000000"/>
              <w:right w:val="single" w:sz="4" w:space="0" w:color="000000"/>
            </w:tcBorders>
          </w:tcPr>
          <w:p w14:paraId="7D39A21D" w14:textId="77777777" w:rsidR="00E03711" w:rsidRPr="00F769E0" w:rsidRDefault="00E03711" w:rsidP="00370ABA">
            <w:pPr>
              <w:pStyle w:val="Guide-Table"/>
              <w:rPr>
                <w:rFonts w:cs="Tahoma"/>
                <w:lang w:val="sl-SI" w:eastAsia="en-GB"/>
              </w:rPr>
            </w:pPr>
            <w:r w:rsidRPr="00F769E0">
              <w:rPr>
                <w:rFonts w:cs="Tahoma"/>
                <w:lang w:val="sl-SI" w:eastAsia="en-GB"/>
              </w:rPr>
              <w:t>220</w:t>
            </w:r>
          </w:p>
        </w:tc>
      </w:tr>
      <w:tr w:rsidR="00E03711" w:rsidRPr="008C6F8C" w14:paraId="7D39A221"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1F" w14:textId="77777777" w:rsidR="00E03711" w:rsidRPr="00F769E0" w:rsidRDefault="00E03711" w:rsidP="00370ABA">
            <w:pPr>
              <w:pStyle w:val="Guide-Table"/>
              <w:jc w:val="left"/>
              <w:rPr>
                <w:rFonts w:cs="Tahoma"/>
                <w:lang w:val="sl-SI" w:eastAsia="en-GB"/>
              </w:rPr>
            </w:pPr>
            <w:r w:rsidRPr="00F769E0">
              <w:rPr>
                <w:rFonts w:cs="Tahoma"/>
                <w:lang w:val="sl-SI" w:eastAsia="en-GB"/>
              </w:rPr>
              <w:t>Kuvajt</w:t>
            </w:r>
          </w:p>
        </w:tc>
        <w:tc>
          <w:tcPr>
            <w:tcW w:w="1453" w:type="pct"/>
            <w:tcBorders>
              <w:top w:val="single" w:sz="4" w:space="0" w:color="000000"/>
              <w:left w:val="single" w:sz="4" w:space="0" w:color="000000"/>
              <w:bottom w:val="single" w:sz="4" w:space="0" w:color="000000"/>
              <w:right w:val="single" w:sz="4" w:space="0" w:color="000000"/>
            </w:tcBorders>
          </w:tcPr>
          <w:p w14:paraId="7D39A220" w14:textId="77777777" w:rsidR="00E03711" w:rsidRPr="00F769E0" w:rsidRDefault="00E03711" w:rsidP="00370ABA">
            <w:pPr>
              <w:pStyle w:val="Guide-Table"/>
              <w:rPr>
                <w:rFonts w:cs="Tahoma"/>
                <w:lang w:val="sl-SI" w:eastAsia="en-GB"/>
              </w:rPr>
            </w:pPr>
            <w:r w:rsidRPr="00F769E0">
              <w:rPr>
                <w:rFonts w:cs="Tahoma"/>
                <w:lang w:val="sl-SI" w:eastAsia="en-GB"/>
              </w:rPr>
              <w:t>280</w:t>
            </w:r>
          </w:p>
        </w:tc>
      </w:tr>
      <w:tr w:rsidR="00E03711" w:rsidRPr="008C6F8C" w14:paraId="7D39A224"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22" w14:textId="77777777" w:rsidR="00E03711" w:rsidRPr="00F769E0" w:rsidRDefault="00E03711" w:rsidP="00370ABA">
            <w:pPr>
              <w:pStyle w:val="Guide-Table"/>
              <w:jc w:val="left"/>
              <w:rPr>
                <w:rFonts w:cs="Tahoma"/>
                <w:lang w:val="sl-SI" w:eastAsia="en-GB"/>
              </w:rPr>
            </w:pPr>
            <w:r w:rsidRPr="00F769E0">
              <w:rPr>
                <w:rFonts w:cs="Tahoma"/>
                <w:lang w:val="sl-SI" w:eastAsia="en-GB"/>
              </w:rPr>
              <w:t>Kirgizistan</w:t>
            </w:r>
          </w:p>
        </w:tc>
        <w:tc>
          <w:tcPr>
            <w:tcW w:w="1453" w:type="pct"/>
            <w:tcBorders>
              <w:top w:val="single" w:sz="4" w:space="0" w:color="000000"/>
              <w:left w:val="single" w:sz="4" w:space="0" w:color="000000"/>
              <w:bottom w:val="single" w:sz="4" w:space="0" w:color="000000"/>
              <w:right w:val="single" w:sz="4" w:space="0" w:color="000000"/>
            </w:tcBorders>
          </w:tcPr>
          <w:p w14:paraId="7D39A223" w14:textId="77777777" w:rsidR="00E03711" w:rsidRPr="00F769E0" w:rsidRDefault="00E03711" w:rsidP="00370ABA">
            <w:pPr>
              <w:pStyle w:val="Guide-Table"/>
              <w:rPr>
                <w:rFonts w:cs="Tahoma"/>
                <w:lang w:val="sl-SI" w:eastAsia="en-GB"/>
              </w:rPr>
            </w:pPr>
            <w:r w:rsidRPr="00F769E0">
              <w:rPr>
                <w:rFonts w:cs="Tahoma"/>
                <w:lang w:val="sl-SI" w:eastAsia="en-GB"/>
              </w:rPr>
              <w:t>255</w:t>
            </w:r>
          </w:p>
        </w:tc>
      </w:tr>
      <w:tr w:rsidR="00E03711" w:rsidRPr="008C6F8C" w14:paraId="7D39A227"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25" w14:textId="77777777" w:rsidR="00E03711" w:rsidRPr="00F769E0" w:rsidRDefault="00E03711" w:rsidP="00370ABA">
            <w:pPr>
              <w:pStyle w:val="Guide-Table"/>
              <w:jc w:val="left"/>
              <w:rPr>
                <w:rFonts w:cs="Tahoma"/>
                <w:lang w:val="sl-SI" w:eastAsia="en-GB"/>
              </w:rPr>
            </w:pPr>
            <w:r w:rsidRPr="00F769E0">
              <w:rPr>
                <w:rFonts w:cs="Tahoma"/>
                <w:lang w:val="sl-SI" w:eastAsia="en-GB"/>
              </w:rPr>
              <w:t>Laos</w:t>
            </w:r>
          </w:p>
        </w:tc>
        <w:tc>
          <w:tcPr>
            <w:tcW w:w="1453" w:type="pct"/>
            <w:tcBorders>
              <w:top w:val="single" w:sz="4" w:space="0" w:color="000000"/>
              <w:left w:val="single" w:sz="4" w:space="0" w:color="000000"/>
              <w:bottom w:val="single" w:sz="4" w:space="0" w:color="000000"/>
              <w:right w:val="single" w:sz="4" w:space="0" w:color="000000"/>
            </w:tcBorders>
          </w:tcPr>
          <w:p w14:paraId="7D39A226" w14:textId="77777777" w:rsidR="00E03711" w:rsidRPr="00F769E0" w:rsidRDefault="00E03711" w:rsidP="00370ABA">
            <w:pPr>
              <w:pStyle w:val="Guide-Table"/>
              <w:rPr>
                <w:rFonts w:cs="Tahoma"/>
                <w:lang w:val="sl-SI" w:eastAsia="en-GB"/>
              </w:rPr>
            </w:pPr>
            <w:r w:rsidRPr="00F769E0">
              <w:rPr>
                <w:rFonts w:cs="Tahoma"/>
                <w:lang w:val="sl-SI" w:eastAsia="en-GB"/>
              </w:rPr>
              <w:t>195</w:t>
            </w:r>
          </w:p>
        </w:tc>
      </w:tr>
      <w:tr w:rsidR="00E03711" w:rsidRPr="008C6F8C" w14:paraId="7D39A22A"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28" w14:textId="77777777" w:rsidR="00E03711" w:rsidRPr="00F769E0" w:rsidRDefault="00E03711" w:rsidP="00370ABA">
            <w:pPr>
              <w:pStyle w:val="Guide-Table"/>
              <w:jc w:val="left"/>
              <w:rPr>
                <w:rFonts w:cs="Tahoma"/>
                <w:lang w:val="sl-SI" w:eastAsia="en-GB"/>
              </w:rPr>
            </w:pPr>
            <w:r w:rsidRPr="00F769E0">
              <w:rPr>
                <w:rFonts w:cs="Tahoma"/>
                <w:lang w:val="sl-SI" w:eastAsia="en-GB"/>
              </w:rPr>
              <w:t>Libanon</w:t>
            </w:r>
          </w:p>
        </w:tc>
        <w:tc>
          <w:tcPr>
            <w:tcW w:w="1453" w:type="pct"/>
            <w:tcBorders>
              <w:top w:val="single" w:sz="4" w:space="0" w:color="000000"/>
              <w:left w:val="single" w:sz="4" w:space="0" w:color="000000"/>
              <w:bottom w:val="single" w:sz="4" w:space="0" w:color="000000"/>
              <w:right w:val="single" w:sz="4" w:space="0" w:color="000000"/>
            </w:tcBorders>
          </w:tcPr>
          <w:p w14:paraId="7D39A229" w14:textId="77777777" w:rsidR="00E03711" w:rsidRPr="00F769E0" w:rsidRDefault="00E03711" w:rsidP="00370ABA">
            <w:pPr>
              <w:pStyle w:val="Guide-Table"/>
              <w:rPr>
                <w:rFonts w:cs="Tahoma"/>
                <w:lang w:val="sl-SI" w:eastAsia="en-GB"/>
              </w:rPr>
            </w:pPr>
            <w:r w:rsidRPr="00F769E0">
              <w:rPr>
                <w:rFonts w:cs="Tahoma"/>
                <w:lang w:val="sl-SI" w:eastAsia="en-GB"/>
              </w:rPr>
              <w:t>260</w:t>
            </w:r>
          </w:p>
        </w:tc>
      </w:tr>
      <w:tr w:rsidR="00E03711" w:rsidRPr="008C6F8C" w14:paraId="7D39A22D"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2B" w14:textId="77777777" w:rsidR="00E03711" w:rsidRPr="00F769E0" w:rsidRDefault="00E03711" w:rsidP="00370ABA">
            <w:pPr>
              <w:pStyle w:val="Guide-Table"/>
              <w:jc w:val="left"/>
              <w:rPr>
                <w:rFonts w:cs="Tahoma"/>
                <w:lang w:val="sl-SI" w:eastAsia="en-GB"/>
              </w:rPr>
            </w:pPr>
            <w:r w:rsidRPr="00F769E0">
              <w:rPr>
                <w:rFonts w:cs="Tahoma"/>
                <w:lang w:val="sl-SI" w:eastAsia="en-GB"/>
              </w:rPr>
              <w:t>Lesoto</w:t>
            </w:r>
          </w:p>
        </w:tc>
        <w:tc>
          <w:tcPr>
            <w:tcW w:w="1453" w:type="pct"/>
            <w:tcBorders>
              <w:top w:val="single" w:sz="4" w:space="0" w:color="000000"/>
              <w:left w:val="single" w:sz="4" w:space="0" w:color="000000"/>
              <w:bottom w:val="single" w:sz="4" w:space="0" w:color="000000"/>
              <w:right w:val="single" w:sz="4" w:space="0" w:color="000000"/>
            </w:tcBorders>
          </w:tcPr>
          <w:p w14:paraId="7D39A22C" w14:textId="77777777" w:rsidR="00E03711" w:rsidRPr="00F769E0" w:rsidRDefault="00E03711" w:rsidP="00370ABA">
            <w:pPr>
              <w:pStyle w:val="Guide-Table"/>
              <w:rPr>
                <w:rFonts w:cs="Tahoma"/>
                <w:lang w:val="sl-SI" w:eastAsia="en-GB"/>
              </w:rPr>
            </w:pPr>
            <w:r w:rsidRPr="00F769E0">
              <w:rPr>
                <w:rFonts w:cs="Tahoma"/>
                <w:lang w:val="sl-SI" w:eastAsia="en-GB"/>
              </w:rPr>
              <w:t>150</w:t>
            </w:r>
          </w:p>
        </w:tc>
      </w:tr>
      <w:tr w:rsidR="00E03711" w:rsidRPr="008C6F8C" w14:paraId="7D39A230"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2E" w14:textId="77777777" w:rsidR="00E03711" w:rsidRPr="00F769E0" w:rsidRDefault="00E03711" w:rsidP="00370ABA">
            <w:pPr>
              <w:pStyle w:val="Guide-Table"/>
              <w:jc w:val="left"/>
              <w:rPr>
                <w:rFonts w:cs="Tahoma"/>
                <w:lang w:val="sl-SI" w:eastAsia="en-GB"/>
              </w:rPr>
            </w:pPr>
            <w:r w:rsidRPr="00F769E0">
              <w:rPr>
                <w:rFonts w:cs="Tahoma"/>
                <w:lang w:val="sl-SI" w:eastAsia="en-GB"/>
              </w:rPr>
              <w:t>Liberija</w:t>
            </w:r>
          </w:p>
        </w:tc>
        <w:tc>
          <w:tcPr>
            <w:tcW w:w="1453" w:type="pct"/>
            <w:tcBorders>
              <w:top w:val="single" w:sz="4" w:space="0" w:color="000000"/>
              <w:left w:val="single" w:sz="4" w:space="0" w:color="000000"/>
              <w:bottom w:val="single" w:sz="4" w:space="0" w:color="000000"/>
              <w:right w:val="single" w:sz="4" w:space="0" w:color="000000"/>
            </w:tcBorders>
          </w:tcPr>
          <w:p w14:paraId="7D39A22F" w14:textId="77777777" w:rsidR="00E03711" w:rsidRPr="00F769E0" w:rsidRDefault="00E03711" w:rsidP="00370ABA">
            <w:pPr>
              <w:pStyle w:val="Guide-Table"/>
              <w:rPr>
                <w:rFonts w:cs="Tahoma"/>
                <w:lang w:val="sl-SI" w:eastAsia="en-GB"/>
              </w:rPr>
            </w:pPr>
            <w:r w:rsidRPr="00F769E0">
              <w:rPr>
                <w:rFonts w:cs="Tahoma"/>
                <w:lang w:val="sl-SI" w:eastAsia="en-GB"/>
              </w:rPr>
              <w:t>235</w:t>
            </w:r>
          </w:p>
        </w:tc>
      </w:tr>
      <w:tr w:rsidR="00E03711" w:rsidRPr="008C6F8C" w14:paraId="7D39A233"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31" w14:textId="77777777" w:rsidR="00E03711" w:rsidRPr="00F769E0" w:rsidRDefault="00E03711" w:rsidP="00370ABA">
            <w:pPr>
              <w:pStyle w:val="Guide-Table"/>
              <w:jc w:val="left"/>
              <w:rPr>
                <w:rFonts w:cs="Tahoma"/>
                <w:lang w:val="sl-SI" w:eastAsia="en-GB"/>
              </w:rPr>
            </w:pPr>
            <w:r w:rsidRPr="00F769E0">
              <w:rPr>
                <w:rFonts w:cs="Tahoma"/>
                <w:lang w:val="sl-SI" w:eastAsia="en-GB"/>
              </w:rPr>
              <w:t>Libija</w:t>
            </w:r>
          </w:p>
        </w:tc>
        <w:tc>
          <w:tcPr>
            <w:tcW w:w="1453" w:type="pct"/>
            <w:tcBorders>
              <w:top w:val="single" w:sz="4" w:space="0" w:color="000000"/>
              <w:left w:val="single" w:sz="4" w:space="0" w:color="000000"/>
              <w:bottom w:val="single" w:sz="4" w:space="0" w:color="000000"/>
              <w:right w:val="single" w:sz="4" w:space="0" w:color="000000"/>
            </w:tcBorders>
          </w:tcPr>
          <w:p w14:paraId="7D39A232" w14:textId="77777777" w:rsidR="00E03711" w:rsidRPr="00F769E0" w:rsidRDefault="00E03711" w:rsidP="00370ABA">
            <w:pPr>
              <w:pStyle w:val="Guide-Table"/>
              <w:rPr>
                <w:rFonts w:cs="Tahoma"/>
                <w:lang w:val="sl-SI" w:eastAsia="en-GB"/>
              </w:rPr>
            </w:pPr>
            <w:r w:rsidRPr="00F769E0">
              <w:rPr>
                <w:rFonts w:cs="Tahoma"/>
                <w:lang w:val="sl-SI" w:eastAsia="en-GB"/>
              </w:rPr>
              <w:t>225</w:t>
            </w:r>
          </w:p>
        </w:tc>
      </w:tr>
      <w:tr w:rsidR="00E03711" w:rsidRPr="008C6F8C" w14:paraId="7D39A236"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34" w14:textId="77777777" w:rsidR="00E03711" w:rsidRPr="00F769E0" w:rsidRDefault="00E03711" w:rsidP="00370ABA">
            <w:pPr>
              <w:pStyle w:val="Guide-Table"/>
              <w:jc w:val="left"/>
              <w:rPr>
                <w:rFonts w:cs="Tahoma"/>
                <w:lang w:val="sl-SI" w:eastAsia="en-GB"/>
              </w:rPr>
            </w:pPr>
            <w:r w:rsidRPr="00F769E0">
              <w:rPr>
                <w:rFonts w:cs="Tahoma"/>
                <w:lang w:val="sl-SI" w:eastAsia="en-GB"/>
              </w:rPr>
              <w:t>Macau</w:t>
            </w:r>
          </w:p>
        </w:tc>
        <w:tc>
          <w:tcPr>
            <w:tcW w:w="1453" w:type="pct"/>
            <w:tcBorders>
              <w:top w:val="single" w:sz="4" w:space="0" w:color="000000"/>
              <w:left w:val="single" w:sz="4" w:space="0" w:color="000000"/>
              <w:bottom w:val="single" w:sz="4" w:space="0" w:color="000000"/>
              <w:right w:val="single" w:sz="4" w:space="0" w:color="000000"/>
            </w:tcBorders>
          </w:tcPr>
          <w:p w14:paraId="7D39A235" w14:textId="77777777" w:rsidR="00E03711" w:rsidRPr="00F769E0" w:rsidRDefault="00E03711" w:rsidP="00370ABA">
            <w:pPr>
              <w:pStyle w:val="Guide-Table"/>
              <w:rPr>
                <w:rFonts w:cs="Tahoma"/>
                <w:lang w:val="sl-SI" w:eastAsia="en-GB"/>
              </w:rPr>
            </w:pPr>
            <w:r w:rsidRPr="00F769E0">
              <w:rPr>
                <w:rFonts w:cs="Tahoma"/>
                <w:lang w:val="sl-SI" w:eastAsia="en-GB"/>
              </w:rPr>
              <w:t>150</w:t>
            </w:r>
          </w:p>
        </w:tc>
      </w:tr>
      <w:tr w:rsidR="00E03711" w:rsidRPr="008C6F8C" w14:paraId="7D39A239"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37" w14:textId="77777777" w:rsidR="00E03711" w:rsidRPr="00F769E0" w:rsidRDefault="00E03711" w:rsidP="00370ABA">
            <w:pPr>
              <w:pStyle w:val="Guide-Table"/>
              <w:jc w:val="left"/>
              <w:rPr>
                <w:rFonts w:cs="Tahoma"/>
                <w:lang w:val="sl-SI" w:eastAsia="en-GB"/>
              </w:rPr>
            </w:pPr>
            <w:r w:rsidRPr="00F769E0">
              <w:rPr>
                <w:rFonts w:cs="Tahoma"/>
                <w:lang w:val="sl-SI" w:eastAsia="en-GB"/>
              </w:rPr>
              <w:t>Madagaskar</w:t>
            </w:r>
          </w:p>
        </w:tc>
        <w:tc>
          <w:tcPr>
            <w:tcW w:w="1453" w:type="pct"/>
            <w:tcBorders>
              <w:top w:val="single" w:sz="4" w:space="0" w:color="000000"/>
              <w:left w:val="single" w:sz="4" w:space="0" w:color="000000"/>
              <w:bottom w:val="single" w:sz="4" w:space="0" w:color="000000"/>
              <w:right w:val="single" w:sz="4" w:space="0" w:color="000000"/>
            </w:tcBorders>
          </w:tcPr>
          <w:p w14:paraId="7D39A238" w14:textId="77777777" w:rsidR="00E03711" w:rsidRPr="00F769E0" w:rsidRDefault="00E03711" w:rsidP="00370ABA">
            <w:pPr>
              <w:pStyle w:val="Guide-Table"/>
              <w:rPr>
                <w:rFonts w:cs="Tahoma"/>
                <w:lang w:val="sl-SI" w:eastAsia="en-GB"/>
              </w:rPr>
            </w:pPr>
            <w:r w:rsidRPr="00F769E0">
              <w:rPr>
                <w:rFonts w:cs="Tahoma"/>
                <w:lang w:val="sl-SI" w:eastAsia="en-GB"/>
              </w:rPr>
              <w:t>155</w:t>
            </w:r>
          </w:p>
        </w:tc>
      </w:tr>
      <w:tr w:rsidR="00E03711" w:rsidRPr="008C6F8C" w14:paraId="7D39A23C"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3A" w14:textId="77777777" w:rsidR="00E03711" w:rsidRPr="00F769E0" w:rsidRDefault="00E03711" w:rsidP="00370ABA">
            <w:pPr>
              <w:pStyle w:val="Guide-Table"/>
              <w:jc w:val="left"/>
              <w:rPr>
                <w:rFonts w:cs="Tahoma"/>
                <w:lang w:val="sl-SI" w:eastAsia="en-GB"/>
              </w:rPr>
            </w:pPr>
            <w:r w:rsidRPr="00F769E0">
              <w:rPr>
                <w:rFonts w:cs="Tahoma"/>
                <w:lang w:val="sl-SI" w:eastAsia="en-GB"/>
              </w:rPr>
              <w:t>Malavi</w:t>
            </w:r>
          </w:p>
        </w:tc>
        <w:tc>
          <w:tcPr>
            <w:tcW w:w="1453" w:type="pct"/>
            <w:tcBorders>
              <w:top w:val="single" w:sz="4" w:space="0" w:color="000000"/>
              <w:left w:val="single" w:sz="4" w:space="0" w:color="000000"/>
              <w:bottom w:val="single" w:sz="4" w:space="0" w:color="000000"/>
              <w:right w:val="single" w:sz="4" w:space="0" w:color="000000"/>
            </w:tcBorders>
          </w:tcPr>
          <w:p w14:paraId="7D39A23B" w14:textId="77777777" w:rsidR="00E03711" w:rsidRPr="00F769E0" w:rsidRDefault="00E03711" w:rsidP="00370ABA">
            <w:pPr>
              <w:pStyle w:val="Guide-Table"/>
              <w:rPr>
                <w:rFonts w:cs="Tahoma"/>
                <w:lang w:val="sl-SI" w:eastAsia="en-GB"/>
              </w:rPr>
            </w:pPr>
            <w:r w:rsidRPr="00F769E0">
              <w:rPr>
                <w:rFonts w:cs="Tahoma"/>
                <w:lang w:val="sl-SI" w:eastAsia="en-GB"/>
              </w:rPr>
              <w:t>215</w:t>
            </w:r>
          </w:p>
        </w:tc>
      </w:tr>
      <w:tr w:rsidR="00E03711" w:rsidRPr="008C6F8C" w14:paraId="7D39A23F"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3D" w14:textId="77777777" w:rsidR="00E03711" w:rsidRPr="00F769E0" w:rsidRDefault="00E03711" w:rsidP="00370ABA">
            <w:pPr>
              <w:pStyle w:val="Guide-Table"/>
              <w:jc w:val="left"/>
              <w:rPr>
                <w:rFonts w:cs="Tahoma"/>
                <w:lang w:val="sl-SI" w:eastAsia="en-GB"/>
              </w:rPr>
            </w:pPr>
            <w:r w:rsidRPr="00F769E0">
              <w:rPr>
                <w:rFonts w:cs="Tahoma"/>
                <w:lang w:val="sl-SI" w:eastAsia="en-GB"/>
              </w:rPr>
              <w:t>Malezija</w:t>
            </w:r>
          </w:p>
        </w:tc>
        <w:tc>
          <w:tcPr>
            <w:tcW w:w="1453" w:type="pct"/>
            <w:tcBorders>
              <w:top w:val="single" w:sz="4" w:space="0" w:color="000000"/>
              <w:left w:val="single" w:sz="4" w:space="0" w:color="000000"/>
              <w:bottom w:val="single" w:sz="4" w:space="0" w:color="000000"/>
              <w:right w:val="single" w:sz="4" w:space="0" w:color="000000"/>
            </w:tcBorders>
          </w:tcPr>
          <w:p w14:paraId="7D39A23E" w14:textId="77777777" w:rsidR="00E03711" w:rsidRPr="00F769E0" w:rsidRDefault="00E03711" w:rsidP="00370ABA">
            <w:pPr>
              <w:pStyle w:val="Guide-Table"/>
              <w:rPr>
                <w:rFonts w:cs="Tahoma"/>
                <w:lang w:val="sl-SI" w:eastAsia="en-GB"/>
              </w:rPr>
            </w:pPr>
            <w:r w:rsidRPr="00F769E0">
              <w:rPr>
                <w:rFonts w:cs="Tahoma"/>
                <w:lang w:val="sl-SI" w:eastAsia="en-GB"/>
              </w:rPr>
              <w:t>250</w:t>
            </w:r>
          </w:p>
        </w:tc>
      </w:tr>
      <w:tr w:rsidR="00E03711" w:rsidRPr="008C6F8C" w14:paraId="7D39A242"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40" w14:textId="77777777" w:rsidR="00E03711" w:rsidRPr="00F769E0" w:rsidRDefault="00E03711" w:rsidP="00370ABA">
            <w:pPr>
              <w:pStyle w:val="Guide-Table"/>
              <w:jc w:val="left"/>
              <w:rPr>
                <w:rFonts w:cs="Tahoma"/>
                <w:lang w:val="sl-SI" w:eastAsia="en-GB"/>
              </w:rPr>
            </w:pPr>
            <w:r w:rsidRPr="00F769E0">
              <w:rPr>
                <w:rFonts w:cs="Tahoma"/>
                <w:lang w:val="sl-SI" w:eastAsia="en-GB"/>
              </w:rPr>
              <w:t>Maldivi</w:t>
            </w:r>
          </w:p>
        </w:tc>
        <w:tc>
          <w:tcPr>
            <w:tcW w:w="1453" w:type="pct"/>
            <w:tcBorders>
              <w:top w:val="single" w:sz="4" w:space="0" w:color="000000"/>
              <w:left w:val="single" w:sz="4" w:space="0" w:color="000000"/>
              <w:bottom w:val="single" w:sz="4" w:space="0" w:color="000000"/>
              <w:right w:val="single" w:sz="4" w:space="0" w:color="000000"/>
            </w:tcBorders>
          </w:tcPr>
          <w:p w14:paraId="7D39A241" w14:textId="77777777" w:rsidR="00E03711" w:rsidRPr="00F769E0" w:rsidRDefault="00E03711" w:rsidP="00370ABA">
            <w:pPr>
              <w:pStyle w:val="Guide-Table"/>
              <w:rPr>
                <w:rFonts w:cs="Tahoma"/>
                <w:lang w:val="sl-SI" w:eastAsia="en-GB"/>
              </w:rPr>
            </w:pPr>
            <w:r w:rsidRPr="00F769E0">
              <w:rPr>
                <w:rFonts w:cs="Tahoma"/>
                <w:lang w:val="sl-SI" w:eastAsia="en-GB"/>
              </w:rPr>
              <w:t>185</w:t>
            </w:r>
          </w:p>
        </w:tc>
      </w:tr>
      <w:tr w:rsidR="00E03711" w:rsidRPr="008C6F8C" w14:paraId="7D39A245"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43" w14:textId="77777777" w:rsidR="00E03711" w:rsidRPr="00F769E0" w:rsidRDefault="00E03711" w:rsidP="00370ABA">
            <w:pPr>
              <w:pStyle w:val="Guide-Table"/>
              <w:jc w:val="left"/>
              <w:rPr>
                <w:rFonts w:cs="Tahoma"/>
                <w:lang w:val="sl-SI" w:eastAsia="en-GB"/>
              </w:rPr>
            </w:pPr>
            <w:r w:rsidRPr="00F769E0">
              <w:rPr>
                <w:rFonts w:cs="Tahoma"/>
                <w:lang w:val="sl-SI" w:eastAsia="en-GB"/>
              </w:rPr>
              <w:t>Mali</w:t>
            </w:r>
          </w:p>
        </w:tc>
        <w:tc>
          <w:tcPr>
            <w:tcW w:w="1453" w:type="pct"/>
            <w:tcBorders>
              <w:top w:val="single" w:sz="4" w:space="0" w:color="000000"/>
              <w:left w:val="single" w:sz="4" w:space="0" w:color="000000"/>
              <w:bottom w:val="single" w:sz="4" w:space="0" w:color="000000"/>
              <w:right w:val="single" w:sz="4" w:space="0" w:color="000000"/>
            </w:tcBorders>
          </w:tcPr>
          <w:p w14:paraId="7D39A244" w14:textId="77777777" w:rsidR="00E03711" w:rsidRPr="00F769E0" w:rsidRDefault="00E03711" w:rsidP="00370ABA">
            <w:pPr>
              <w:pStyle w:val="Guide-Table"/>
              <w:rPr>
                <w:rFonts w:cs="Tahoma"/>
                <w:lang w:val="sl-SI" w:eastAsia="en-GB"/>
              </w:rPr>
            </w:pPr>
            <w:r w:rsidRPr="00F769E0">
              <w:rPr>
                <w:rFonts w:cs="Tahoma"/>
                <w:lang w:val="sl-SI" w:eastAsia="en-GB"/>
              </w:rPr>
              <w:t>155</w:t>
            </w:r>
          </w:p>
        </w:tc>
      </w:tr>
      <w:tr w:rsidR="00E03711" w:rsidRPr="008C6F8C" w14:paraId="7D39A248"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46" w14:textId="77777777" w:rsidR="00E03711" w:rsidRPr="00F769E0" w:rsidRDefault="00E03711" w:rsidP="00370ABA">
            <w:pPr>
              <w:pStyle w:val="Guide-Table"/>
              <w:jc w:val="left"/>
              <w:rPr>
                <w:rFonts w:cs="Tahoma"/>
                <w:lang w:val="sl-SI" w:eastAsia="en-GB"/>
              </w:rPr>
            </w:pPr>
            <w:r w:rsidRPr="00F769E0">
              <w:rPr>
                <w:rFonts w:cs="Tahoma"/>
                <w:lang w:val="sl-SI" w:eastAsia="en-GB"/>
              </w:rPr>
              <w:t>Marshallovi otoki</w:t>
            </w:r>
          </w:p>
        </w:tc>
        <w:tc>
          <w:tcPr>
            <w:tcW w:w="1453" w:type="pct"/>
            <w:tcBorders>
              <w:top w:val="single" w:sz="4" w:space="0" w:color="000000"/>
              <w:left w:val="single" w:sz="4" w:space="0" w:color="000000"/>
              <w:bottom w:val="single" w:sz="4" w:space="0" w:color="000000"/>
              <w:right w:val="single" w:sz="4" w:space="0" w:color="000000"/>
            </w:tcBorders>
          </w:tcPr>
          <w:p w14:paraId="7D39A247" w14:textId="77777777" w:rsidR="00E03711" w:rsidRPr="00F769E0" w:rsidRDefault="00E03711" w:rsidP="00370ABA">
            <w:pPr>
              <w:pStyle w:val="Guide-Table"/>
              <w:rPr>
                <w:rFonts w:cs="Tahoma"/>
                <w:lang w:val="sl-SI" w:eastAsia="en-GB"/>
              </w:rPr>
            </w:pPr>
            <w:r w:rsidRPr="00F769E0">
              <w:rPr>
                <w:rFonts w:cs="Tahoma"/>
                <w:lang w:val="sl-SI" w:eastAsia="en-GB"/>
              </w:rPr>
              <w:t>185</w:t>
            </w:r>
          </w:p>
        </w:tc>
      </w:tr>
      <w:tr w:rsidR="00E03711" w:rsidRPr="008C6F8C" w14:paraId="7D39A24B"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49" w14:textId="77777777" w:rsidR="00E03711" w:rsidRPr="00F769E0" w:rsidRDefault="00E03711" w:rsidP="00370ABA">
            <w:pPr>
              <w:pStyle w:val="Guide-Table"/>
              <w:jc w:val="left"/>
              <w:rPr>
                <w:rFonts w:cs="Tahoma"/>
                <w:lang w:val="sl-SI" w:eastAsia="en-GB"/>
              </w:rPr>
            </w:pPr>
            <w:r w:rsidRPr="00F769E0">
              <w:rPr>
                <w:rFonts w:cs="Tahoma"/>
                <w:lang w:val="sl-SI" w:eastAsia="en-GB"/>
              </w:rPr>
              <w:t>Mavretanija</w:t>
            </w:r>
          </w:p>
        </w:tc>
        <w:tc>
          <w:tcPr>
            <w:tcW w:w="1453" w:type="pct"/>
            <w:tcBorders>
              <w:top w:val="single" w:sz="4" w:space="0" w:color="000000"/>
              <w:left w:val="single" w:sz="4" w:space="0" w:color="000000"/>
              <w:bottom w:val="single" w:sz="4" w:space="0" w:color="000000"/>
              <w:right w:val="single" w:sz="4" w:space="0" w:color="000000"/>
            </w:tcBorders>
          </w:tcPr>
          <w:p w14:paraId="7D39A24A" w14:textId="77777777" w:rsidR="00E03711" w:rsidRPr="00F769E0" w:rsidRDefault="00E03711" w:rsidP="00370ABA">
            <w:pPr>
              <w:pStyle w:val="Guide-Table"/>
              <w:rPr>
                <w:rFonts w:cs="Tahoma"/>
                <w:lang w:val="sl-SI" w:eastAsia="en-GB"/>
              </w:rPr>
            </w:pPr>
            <w:r w:rsidRPr="00F769E0">
              <w:rPr>
                <w:rFonts w:cs="Tahoma"/>
                <w:lang w:val="sl-SI" w:eastAsia="en-GB"/>
              </w:rPr>
              <w:t>125</w:t>
            </w:r>
          </w:p>
        </w:tc>
      </w:tr>
      <w:tr w:rsidR="00E03711" w:rsidRPr="008C6F8C" w14:paraId="7D39A24E"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4C" w14:textId="77777777" w:rsidR="00E03711" w:rsidRPr="00F769E0" w:rsidRDefault="00E03711" w:rsidP="00370ABA">
            <w:pPr>
              <w:pStyle w:val="Guide-Table"/>
              <w:jc w:val="left"/>
              <w:rPr>
                <w:rFonts w:cs="Tahoma"/>
                <w:lang w:val="sl-SI" w:eastAsia="en-GB"/>
              </w:rPr>
            </w:pPr>
            <w:r w:rsidRPr="00F769E0">
              <w:rPr>
                <w:rFonts w:cs="Tahoma"/>
                <w:lang w:val="sl-SI" w:eastAsia="en-GB"/>
              </w:rPr>
              <w:t>Mauritius</w:t>
            </w:r>
          </w:p>
        </w:tc>
        <w:tc>
          <w:tcPr>
            <w:tcW w:w="1453" w:type="pct"/>
            <w:tcBorders>
              <w:top w:val="single" w:sz="4" w:space="0" w:color="000000"/>
              <w:left w:val="single" w:sz="4" w:space="0" w:color="000000"/>
              <w:bottom w:val="single" w:sz="4" w:space="0" w:color="000000"/>
              <w:right w:val="single" w:sz="4" w:space="0" w:color="000000"/>
            </w:tcBorders>
          </w:tcPr>
          <w:p w14:paraId="7D39A24D" w14:textId="77777777" w:rsidR="00E03711" w:rsidRPr="00F769E0" w:rsidRDefault="00E03711" w:rsidP="00370ABA">
            <w:pPr>
              <w:pStyle w:val="Guide-Table"/>
              <w:rPr>
                <w:rFonts w:cs="Tahoma"/>
                <w:lang w:val="sl-SI" w:eastAsia="en-GB"/>
              </w:rPr>
            </w:pPr>
            <w:r w:rsidRPr="00F769E0">
              <w:rPr>
                <w:rFonts w:cs="Tahoma"/>
                <w:lang w:val="sl-SI" w:eastAsia="en-GB"/>
              </w:rPr>
              <w:t>200</w:t>
            </w:r>
          </w:p>
        </w:tc>
      </w:tr>
      <w:tr w:rsidR="00E03711" w:rsidRPr="008C6F8C" w14:paraId="7D39A251"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4F" w14:textId="77777777" w:rsidR="00E03711" w:rsidRPr="00F769E0" w:rsidRDefault="00E03711" w:rsidP="00370ABA">
            <w:pPr>
              <w:pStyle w:val="Guide-Table"/>
              <w:jc w:val="left"/>
              <w:rPr>
                <w:rFonts w:cs="Tahoma"/>
                <w:lang w:val="sl-SI" w:eastAsia="en-GB"/>
              </w:rPr>
            </w:pPr>
            <w:r w:rsidRPr="00F769E0">
              <w:rPr>
                <w:rFonts w:cs="Tahoma"/>
                <w:lang w:val="sl-SI" w:eastAsia="en-GB"/>
              </w:rPr>
              <w:t>Mehika</w:t>
            </w:r>
          </w:p>
        </w:tc>
        <w:tc>
          <w:tcPr>
            <w:tcW w:w="1453" w:type="pct"/>
            <w:tcBorders>
              <w:top w:val="single" w:sz="4" w:space="0" w:color="000000"/>
              <w:left w:val="single" w:sz="4" w:space="0" w:color="000000"/>
              <w:bottom w:val="single" w:sz="4" w:space="0" w:color="000000"/>
              <w:right w:val="single" w:sz="4" w:space="0" w:color="000000"/>
            </w:tcBorders>
          </w:tcPr>
          <w:p w14:paraId="7D39A250" w14:textId="77777777" w:rsidR="00E03711" w:rsidRPr="00F769E0" w:rsidRDefault="00E03711" w:rsidP="00370ABA">
            <w:pPr>
              <w:pStyle w:val="Guide-Table"/>
              <w:rPr>
                <w:rFonts w:cs="Tahoma"/>
                <w:lang w:val="sl-SI" w:eastAsia="en-GB"/>
              </w:rPr>
            </w:pPr>
            <w:r w:rsidRPr="00F769E0">
              <w:rPr>
                <w:rFonts w:cs="Tahoma"/>
                <w:lang w:val="sl-SI" w:eastAsia="en-GB"/>
              </w:rPr>
              <w:t>255</w:t>
            </w:r>
          </w:p>
        </w:tc>
      </w:tr>
      <w:tr w:rsidR="00E03711" w:rsidRPr="008C6F8C" w14:paraId="7D39A254"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52" w14:textId="77777777" w:rsidR="00E03711" w:rsidRPr="00F769E0" w:rsidRDefault="00E03711" w:rsidP="00370ABA">
            <w:pPr>
              <w:pStyle w:val="Guide-Table"/>
              <w:jc w:val="left"/>
              <w:rPr>
                <w:rFonts w:cs="Tahoma"/>
                <w:lang w:val="sl-SI" w:eastAsia="en-GB"/>
              </w:rPr>
            </w:pPr>
            <w:r w:rsidRPr="00F769E0">
              <w:rPr>
                <w:rFonts w:cs="Tahoma"/>
                <w:lang w:val="sl-SI" w:eastAsia="en-GB"/>
              </w:rPr>
              <w:t>Mikronezija</w:t>
            </w:r>
          </w:p>
        </w:tc>
        <w:tc>
          <w:tcPr>
            <w:tcW w:w="1453" w:type="pct"/>
            <w:tcBorders>
              <w:top w:val="single" w:sz="4" w:space="0" w:color="000000"/>
              <w:left w:val="single" w:sz="4" w:space="0" w:color="000000"/>
              <w:bottom w:val="single" w:sz="4" w:space="0" w:color="000000"/>
              <w:right w:val="single" w:sz="4" w:space="0" w:color="000000"/>
            </w:tcBorders>
          </w:tcPr>
          <w:p w14:paraId="7D39A253" w14:textId="77777777" w:rsidR="00E03711" w:rsidRPr="00F769E0" w:rsidRDefault="00E03711" w:rsidP="00370ABA">
            <w:pPr>
              <w:pStyle w:val="Guide-Table"/>
              <w:rPr>
                <w:rFonts w:cs="Tahoma"/>
                <w:lang w:val="sl-SI" w:eastAsia="en-GB"/>
              </w:rPr>
            </w:pPr>
            <w:r w:rsidRPr="00F769E0">
              <w:rPr>
                <w:rFonts w:cs="Tahoma"/>
                <w:lang w:val="sl-SI" w:eastAsia="en-GB"/>
              </w:rPr>
              <w:t>190</w:t>
            </w:r>
          </w:p>
        </w:tc>
      </w:tr>
      <w:tr w:rsidR="00E03711" w:rsidRPr="008C6F8C" w14:paraId="7D39A257"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55" w14:textId="77777777" w:rsidR="00E03711" w:rsidRPr="00F769E0" w:rsidRDefault="00E03711" w:rsidP="00370ABA">
            <w:pPr>
              <w:pStyle w:val="Guide-Table"/>
              <w:jc w:val="left"/>
              <w:rPr>
                <w:rFonts w:cs="Tahoma"/>
                <w:lang w:val="sl-SI" w:eastAsia="en-GB"/>
              </w:rPr>
            </w:pPr>
            <w:r w:rsidRPr="00F769E0">
              <w:rPr>
                <w:rFonts w:cs="Tahoma"/>
                <w:lang w:val="sl-SI" w:eastAsia="en-GB"/>
              </w:rPr>
              <w:t>Moldavija</w:t>
            </w:r>
          </w:p>
        </w:tc>
        <w:tc>
          <w:tcPr>
            <w:tcW w:w="1453" w:type="pct"/>
            <w:tcBorders>
              <w:top w:val="single" w:sz="4" w:space="0" w:color="000000"/>
              <w:left w:val="single" w:sz="4" w:space="0" w:color="000000"/>
              <w:bottom w:val="single" w:sz="4" w:space="0" w:color="000000"/>
              <w:right w:val="single" w:sz="4" w:space="0" w:color="000000"/>
            </w:tcBorders>
          </w:tcPr>
          <w:p w14:paraId="7D39A256" w14:textId="77777777" w:rsidR="00E03711" w:rsidRPr="00F769E0" w:rsidRDefault="00E03711" w:rsidP="00370ABA">
            <w:pPr>
              <w:pStyle w:val="Guide-Table"/>
              <w:rPr>
                <w:rFonts w:cs="Tahoma"/>
                <w:lang w:val="sl-SI" w:eastAsia="en-GB"/>
              </w:rPr>
            </w:pPr>
            <w:r w:rsidRPr="00F769E0">
              <w:rPr>
                <w:rFonts w:cs="Tahoma"/>
                <w:lang w:val="sl-SI" w:eastAsia="en-GB"/>
              </w:rPr>
              <w:t>250</w:t>
            </w:r>
          </w:p>
        </w:tc>
      </w:tr>
      <w:tr w:rsidR="00E03711" w:rsidRPr="008C6F8C" w14:paraId="7D39A25A"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58" w14:textId="77777777" w:rsidR="00E03711" w:rsidRPr="00F769E0" w:rsidRDefault="00E03711" w:rsidP="00370ABA">
            <w:pPr>
              <w:pStyle w:val="Guide-Table"/>
              <w:jc w:val="left"/>
              <w:rPr>
                <w:rFonts w:cs="Tahoma"/>
                <w:lang w:val="sl-SI" w:eastAsia="en-GB"/>
              </w:rPr>
            </w:pPr>
            <w:r w:rsidRPr="00F769E0">
              <w:rPr>
                <w:rFonts w:cs="Tahoma"/>
                <w:lang w:val="sl-SI" w:eastAsia="en-GB"/>
              </w:rPr>
              <w:t>Monako</w:t>
            </w:r>
          </w:p>
        </w:tc>
        <w:tc>
          <w:tcPr>
            <w:tcW w:w="1453" w:type="pct"/>
            <w:tcBorders>
              <w:top w:val="single" w:sz="4" w:space="0" w:color="000000"/>
              <w:left w:val="single" w:sz="4" w:space="0" w:color="000000"/>
              <w:bottom w:val="single" w:sz="4" w:space="0" w:color="000000"/>
              <w:right w:val="single" w:sz="4" w:space="0" w:color="000000"/>
            </w:tcBorders>
          </w:tcPr>
          <w:p w14:paraId="7D39A259" w14:textId="77777777" w:rsidR="00E03711" w:rsidRPr="00F769E0" w:rsidRDefault="00E03711" w:rsidP="00370ABA">
            <w:pPr>
              <w:pStyle w:val="Guide-Table"/>
              <w:rPr>
                <w:rFonts w:cs="Tahoma"/>
                <w:lang w:val="sl-SI" w:eastAsia="en-GB"/>
              </w:rPr>
            </w:pPr>
            <w:r w:rsidRPr="00F769E0">
              <w:rPr>
                <w:rFonts w:cs="Tahoma"/>
                <w:lang w:val="sl-SI" w:eastAsia="en-GB"/>
              </w:rPr>
              <w:t>170</w:t>
            </w:r>
          </w:p>
        </w:tc>
      </w:tr>
      <w:tr w:rsidR="00E03711" w:rsidRPr="008C6F8C" w14:paraId="7D39A25D"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5B" w14:textId="77777777" w:rsidR="00E03711" w:rsidRPr="00F769E0" w:rsidRDefault="00E03711" w:rsidP="00370ABA">
            <w:pPr>
              <w:pStyle w:val="Guide-Table"/>
              <w:jc w:val="left"/>
              <w:rPr>
                <w:rFonts w:cs="Tahoma"/>
                <w:lang w:val="sl-SI" w:eastAsia="en-GB"/>
              </w:rPr>
            </w:pPr>
            <w:r w:rsidRPr="00F769E0">
              <w:rPr>
                <w:rFonts w:cs="Tahoma"/>
                <w:lang w:val="sl-SI" w:eastAsia="en-GB"/>
              </w:rPr>
              <w:t>Mongolija</w:t>
            </w:r>
          </w:p>
        </w:tc>
        <w:tc>
          <w:tcPr>
            <w:tcW w:w="1453" w:type="pct"/>
            <w:tcBorders>
              <w:top w:val="single" w:sz="4" w:space="0" w:color="000000"/>
              <w:left w:val="single" w:sz="4" w:space="0" w:color="000000"/>
              <w:bottom w:val="single" w:sz="4" w:space="0" w:color="000000"/>
              <w:right w:val="single" w:sz="4" w:space="0" w:color="000000"/>
            </w:tcBorders>
          </w:tcPr>
          <w:p w14:paraId="7D39A25C" w14:textId="77777777" w:rsidR="00E03711" w:rsidRPr="00F769E0" w:rsidRDefault="00E03711" w:rsidP="00370ABA">
            <w:pPr>
              <w:pStyle w:val="Guide-Table"/>
              <w:rPr>
                <w:rFonts w:cs="Tahoma"/>
                <w:lang w:val="sl-SI" w:eastAsia="en-GB"/>
              </w:rPr>
            </w:pPr>
            <w:r w:rsidRPr="00F769E0">
              <w:rPr>
                <w:rFonts w:cs="Tahoma"/>
                <w:lang w:val="sl-SI" w:eastAsia="en-GB"/>
              </w:rPr>
              <w:t>160</w:t>
            </w:r>
          </w:p>
        </w:tc>
      </w:tr>
      <w:tr w:rsidR="00E03711" w:rsidRPr="008C6F8C" w14:paraId="7D39A260"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5E" w14:textId="77777777" w:rsidR="00E03711" w:rsidRPr="00F769E0" w:rsidRDefault="00E03711" w:rsidP="00370ABA">
            <w:pPr>
              <w:pStyle w:val="Guide-Table"/>
              <w:jc w:val="left"/>
              <w:rPr>
                <w:rFonts w:cs="Tahoma"/>
                <w:lang w:val="sl-SI" w:eastAsia="en-GB"/>
              </w:rPr>
            </w:pPr>
            <w:r w:rsidRPr="00F769E0">
              <w:rPr>
                <w:rFonts w:cs="Tahoma"/>
                <w:lang w:val="sl-SI" w:eastAsia="en-GB"/>
              </w:rPr>
              <w:t>Črna gora</w:t>
            </w:r>
          </w:p>
        </w:tc>
        <w:tc>
          <w:tcPr>
            <w:tcW w:w="1453" w:type="pct"/>
            <w:tcBorders>
              <w:top w:val="single" w:sz="4" w:space="0" w:color="000000"/>
              <w:left w:val="single" w:sz="4" w:space="0" w:color="000000"/>
              <w:bottom w:val="single" w:sz="4" w:space="0" w:color="000000"/>
              <w:right w:val="single" w:sz="4" w:space="0" w:color="000000"/>
            </w:tcBorders>
          </w:tcPr>
          <w:p w14:paraId="7D39A25F" w14:textId="77777777" w:rsidR="00E03711" w:rsidRPr="00F769E0" w:rsidRDefault="00E03711" w:rsidP="00370ABA">
            <w:pPr>
              <w:pStyle w:val="Guide-Table"/>
              <w:rPr>
                <w:rFonts w:cs="Tahoma"/>
                <w:lang w:val="sl-SI" w:eastAsia="en-GB"/>
              </w:rPr>
            </w:pPr>
            <w:r w:rsidRPr="00F769E0">
              <w:rPr>
                <w:rFonts w:cs="Tahoma"/>
                <w:lang w:val="sl-SI" w:eastAsia="en-GB"/>
              </w:rPr>
              <w:t>220</w:t>
            </w:r>
          </w:p>
        </w:tc>
      </w:tr>
      <w:tr w:rsidR="00E03711" w:rsidRPr="008C6F8C" w14:paraId="7D39A263"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61" w14:textId="77777777" w:rsidR="00E03711" w:rsidRPr="00F769E0" w:rsidRDefault="00E03711" w:rsidP="00370ABA">
            <w:pPr>
              <w:pStyle w:val="Guide-Table"/>
              <w:jc w:val="left"/>
              <w:rPr>
                <w:rFonts w:cs="Tahoma"/>
                <w:lang w:val="sl-SI" w:eastAsia="en-GB"/>
              </w:rPr>
            </w:pPr>
            <w:r w:rsidRPr="00F769E0">
              <w:rPr>
                <w:rFonts w:cs="Tahoma"/>
                <w:lang w:val="sl-SI" w:eastAsia="en-GB"/>
              </w:rPr>
              <w:t>Maroko</w:t>
            </w:r>
          </w:p>
        </w:tc>
        <w:tc>
          <w:tcPr>
            <w:tcW w:w="1453" w:type="pct"/>
            <w:tcBorders>
              <w:top w:val="single" w:sz="4" w:space="0" w:color="000000"/>
              <w:left w:val="single" w:sz="4" w:space="0" w:color="000000"/>
              <w:bottom w:val="single" w:sz="4" w:space="0" w:color="000000"/>
              <w:right w:val="single" w:sz="4" w:space="0" w:color="000000"/>
            </w:tcBorders>
          </w:tcPr>
          <w:p w14:paraId="7D39A262" w14:textId="77777777" w:rsidR="00E03711" w:rsidRPr="00F769E0" w:rsidRDefault="00E03711" w:rsidP="00370ABA">
            <w:pPr>
              <w:pStyle w:val="Guide-Table"/>
              <w:rPr>
                <w:rFonts w:cs="Tahoma"/>
                <w:lang w:val="sl-SI" w:eastAsia="en-GB"/>
              </w:rPr>
            </w:pPr>
            <w:r w:rsidRPr="00F769E0">
              <w:rPr>
                <w:rFonts w:cs="Tahoma"/>
                <w:lang w:val="sl-SI" w:eastAsia="en-GB"/>
              </w:rPr>
              <w:t>205</w:t>
            </w:r>
          </w:p>
        </w:tc>
      </w:tr>
      <w:tr w:rsidR="00E03711" w:rsidRPr="008C6F8C" w14:paraId="7D39A266"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64" w14:textId="77777777" w:rsidR="00E03711" w:rsidRPr="00F769E0" w:rsidRDefault="00E03711" w:rsidP="00370ABA">
            <w:pPr>
              <w:pStyle w:val="Guide-Table"/>
              <w:jc w:val="left"/>
              <w:rPr>
                <w:rFonts w:cs="Tahoma"/>
                <w:lang w:val="sl-SI" w:eastAsia="en-GB"/>
              </w:rPr>
            </w:pPr>
            <w:r w:rsidRPr="00F769E0">
              <w:rPr>
                <w:rFonts w:cs="Tahoma"/>
                <w:lang w:val="sl-SI" w:eastAsia="en-GB"/>
              </w:rPr>
              <w:t>Mozambik</w:t>
            </w:r>
          </w:p>
        </w:tc>
        <w:tc>
          <w:tcPr>
            <w:tcW w:w="1453" w:type="pct"/>
            <w:tcBorders>
              <w:top w:val="single" w:sz="4" w:space="0" w:color="000000"/>
              <w:left w:val="single" w:sz="4" w:space="0" w:color="000000"/>
              <w:bottom w:val="single" w:sz="4" w:space="0" w:color="000000"/>
              <w:right w:val="single" w:sz="4" w:space="0" w:color="000000"/>
            </w:tcBorders>
          </w:tcPr>
          <w:p w14:paraId="7D39A265" w14:textId="77777777" w:rsidR="00E03711" w:rsidRPr="00F769E0" w:rsidRDefault="00E03711" w:rsidP="00370ABA">
            <w:pPr>
              <w:pStyle w:val="Guide-Table"/>
              <w:rPr>
                <w:rFonts w:cs="Tahoma"/>
                <w:lang w:val="sl-SI" w:eastAsia="en-GB"/>
              </w:rPr>
            </w:pPr>
            <w:r w:rsidRPr="00F769E0">
              <w:rPr>
                <w:rFonts w:cs="Tahoma"/>
                <w:lang w:val="sl-SI" w:eastAsia="en-GB"/>
              </w:rPr>
              <w:t>200</w:t>
            </w:r>
          </w:p>
        </w:tc>
      </w:tr>
      <w:tr w:rsidR="00E03711" w:rsidRPr="008C6F8C" w14:paraId="7D39A269"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67" w14:textId="77777777" w:rsidR="00E03711" w:rsidRPr="00F769E0" w:rsidRDefault="00E03711" w:rsidP="00370ABA">
            <w:pPr>
              <w:pStyle w:val="Guide-Table"/>
              <w:jc w:val="left"/>
              <w:rPr>
                <w:rFonts w:cs="Tahoma"/>
                <w:lang w:val="sl-SI" w:eastAsia="en-GB"/>
              </w:rPr>
            </w:pPr>
            <w:r w:rsidRPr="00F769E0">
              <w:rPr>
                <w:rFonts w:cs="Tahoma"/>
                <w:lang w:val="sl-SI" w:eastAsia="en-GB"/>
              </w:rPr>
              <w:t>Mjanmar</w:t>
            </w:r>
          </w:p>
        </w:tc>
        <w:tc>
          <w:tcPr>
            <w:tcW w:w="1453" w:type="pct"/>
            <w:tcBorders>
              <w:top w:val="single" w:sz="4" w:space="0" w:color="000000"/>
              <w:left w:val="single" w:sz="4" w:space="0" w:color="000000"/>
              <w:bottom w:val="single" w:sz="4" w:space="0" w:color="000000"/>
              <w:right w:val="single" w:sz="4" w:space="0" w:color="000000"/>
            </w:tcBorders>
          </w:tcPr>
          <w:p w14:paraId="7D39A268" w14:textId="77777777" w:rsidR="00E03711" w:rsidRPr="00F769E0" w:rsidRDefault="00E03711" w:rsidP="00370ABA">
            <w:pPr>
              <w:pStyle w:val="Guide-Table"/>
              <w:rPr>
                <w:rFonts w:cs="Tahoma"/>
                <w:lang w:val="sl-SI" w:eastAsia="en-GB"/>
              </w:rPr>
            </w:pPr>
            <w:r w:rsidRPr="00F769E0">
              <w:rPr>
                <w:rFonts w:cs="Tahoma"/>
                <w:lang w:val="sl-SI" w:eastAsia="en-GB"/>
              </w:rPr>
              <w:t>125</w:t>
            </w:r>
          </w:p>
        </w:tc>
      </w:tr>
      <w:tr w:rsidR="00E03711" w:rsidRPr="008C6F8C" w14:paraId="7D39A26C"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6A" w14:textId="77777777" w:rsidR="00E03711" w:rsidRPr="00F769E0" w:rsidRDefault="00E03711" w:rsidP="00370ABA">
            <w:pPr>
              <w:pStyle w:val="Guide-Table"/>
              <w:jc w:val="left"/>
              <w:rPr>
                <w:rFonts w:cs="Tahoma"/>
                <w:lang w:val="sl-SI" w:eastAsia="en-GB"/>
              </w:rPr>
            </w:pPr>
            <w:r w:rsidRPr="00F769E0">
              <w:rPr>
                <w:rFonts w:cs="Tahoma"/>
                <w:lang w:val="sl-SI" w:eastAsia="en-GB"/>
              </w:rPr>
              <w:t>Namibija</w:t>
            </w:r>
          </w:p>
        </w:tc>
        <w:tc>
          <w:tcPr>
            <w:tcW w:w="1453" w:type="pct"/>
            <w:tcBorders>
              <w:top w:val="single" w:sz="4" w:space="0" w:color="000000"/>
              <w:left w:val="single" w:sz="4" w:space="0" w:color="000000"/>
              <w:bottom w:val="single" w:sz="4" w:space="0" w:color="000000"/>
              <w:right w:val="single" w:sz="4" w:space="0" w:color="000000"/>
            </w:tcBorders>
          </w:tcPr>
          <w:p w14:paraId="7D39A26B" w14:textId="77777777" w:rsidR="00E03711" w:rsidRPr="00F769E0" w:rsidRDefault="00E03711" w:rsidP="00370ABA">
            <w:pPr>
              <w:pStyle w:val="Guide-Table"/>
              <w:rPr>
                <w:rFonts w:cs="Tahoma"/>
                <w:lang w:val="sl-SI" w:eastAsia="en-GB"/>
              </w:rPr>
            </w:pPr>
            <w:r w:rsidRPr="00F769E0">
              <w:rPr>
                <w:rFonts w:cs="Tahoma"/>
                <w:lang w:val="sl-SI" w:eastAsia="en-GB"/>
              </w:rPr>
              <w:t>135</w:t>
            </w:r>
          </w:p>
        </w:tc>
      </w:tr>
      <w:tr w:rsidR="00E03711" w:rsidRPr="008C6F8C" w14:paraId="7D39A26F"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6D" w14:textId="77777777" w:rsidR="00E03711" w:rsidRPr="00F769E0" w:rsidRDefault="00E03711" w:rsidP="00370ABA">
            <w:pPr>
              <w:pStyle w:val="Guide-Table"/>
              <w:jc w:val="left"/>
              <w:rPr>
                <w:rFonts w:cs="Tahoma"/>
                <w:lang w:val="sl-SI" w:eastAsia="en-GB"/>
              </w:rPr>
            </w:pPr>
            <w:r w:rsidRPr="00F769E0">
              <w:rPr>
                <w:rFonts w:cs="Tahoma"/>
                <w:lang w:val="sl-SI" w:eastAsia="en-GB"/>
              </w:rPr>
              <w:t>Nauru</w:t>
            </w:r>
          </w:p>
        </w:tc>
        <w:tc>
          <w:tcPr>
            <w:tcW w:w="1453" w:type="pct"/>
            <w:tcBorders>
              <w:top w:val="single" w:sz="4" w:space="0" w:color="000000"/>
              <w:left w:val="single" w:sz="4" w:space="0" w:color="000000"/>
              <w:bottom w:val="single" w:sz="4" w:space="0" w:color="000000"/>
              <w:right w:val="single" w:sz="4" w:space="0" w:color="000000"/>
            </w:tcBorders>
          </w:tcPr>
          <w:p w14:paraId="7D39A26E" w14:textId="77777777" w:rsidR="00E03711" w:rsidRPr="00F769E0" w:rsidRDefault="00E03711" w:rsidP="00370ABA">
            <w:pPr>
              <w:pStyle w:val="Guide-Table"/>
              <w:rPr>
                <w:rFonts w:cs="Tahoma"/>
                <w:lang w:val="sl-SI" w:eastAsia="en-GB"/>
              </w:rPr>
            </w:pPr>
            <w:r w:rsidRPr="00F769E0">
              <w:rPr>
                <w:rFonts w:cs="Tahoma"/>
                <w:lang w:val="sl-SI" w:eastAsia="en-GB"/>
              </w:rPr>
              <w:t>185</w:t>
            </w:r>
          </w:p>
        </w:tc>
      </w:tr>
      <w:tr w:rsidR="00E03711" w:rsidRPr="008C6F8C" w14:paraId="7D39A272"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70" w14:textId="77777777" w:rsidR="00E03711" w:rsidRPr="00F769E0" w:rsidRDefault="00E03711" w:rsidP="00370ABA">
            <w:pPr>
              <w:pStyle w:val="Guide-Table"/>
              <w:jc w:val="left"/>
              <w:rPr>
                <w:rFonts w:cs="Tahoma"/>
                <w:lang w:val="sl-SI" w:eastAsia="en-GB"/>
              </w:rPr>
            </w:pPr>
            <w:r w:rsidRPr="00F769E0">
              <w:rPr>
                <w:rFonts w:cs="Tahoma"/>
                <w:lang w:val="sl-SI" w:eastAsia="en-GB"/>
              </w:rPr>
              <w:t>Nepal</w:t>
            </w:r>
          </w:p>
        </w:tc>
        <w:tc>
          <w:tcPr>
            <w:tcW w:w="1453" w:type="pct"/>
            <w:tcBorders>
              <w:top w:val="single" w:sz="4" w:space="0" w:color="000000"/>
              <w:left w:val="single" w:sz="4" w:space="0" w:color="000000"/>
              <w:bottom w:val="single" w:sz="4" w:space="0" w:color="000000"/>
              <w:right w:val="single" w:sz="4" w:space="0" w:color="000000"/>
            </w:tcBorders>
          </w:tcPr>
          <w:p w14:paraId="7D39A271" w14:textId="77777777" w:rsidR="00E03711" w:rsidRPr="00F769E0" w:rsidRDefault="00E03711" w:rsidP="00370ABA">
            <w:pPr>
              <w:pStyle w:val="Guide-Table"/>
              <w:rPr>
                <w:rFonts w:cs="Tahoma"/>
                <w:lang w:val="sl-SI" w:eastAsia="en-GB"/>
              </w:rPr>
            </w:pPr>
            <w:r w:rsidRPr="00F769E0">
              <w:rPr>
                <w:rFonts w:cs="Tahoma"/>
                <w:lang w:val="sl-SI" w:eastAsia="en-GB"/>
              </w:rPr>
              <w:t>185</w:t>
            </w:r>
          </w:p>
        </w:tc>
      </w:tr>
      <w:tr w:rsidR="00E03711" w:rsidRPr="008C6F8C" w14:paraId="7D39A275"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73" w14:textId="77777777" w:rsidR="00E03711" w:rsidRPr="00F769E0" w:rsidRDefault="00E03711" w:rsidP="00370ABA">
            <w:pPr>
              <w:pStyle w:val="Guide-Table"/>
              <w:jc w:val="left"/>
              <w:rPr>
                <w:rFonts w:cs="Tahoma"/>
                <w:lang w:val="sl-SI" w:eastAsia="en-GB"/>
              </w:rPr>
            </w:pPr>
            <w:r w:rsidRPr="00F769E0">
              <w:rPr>
                <w:rFonts w:cs="Tahoma"/>
                <w:lang w:val="sl-SI" w:eastAsia="en-GB"/>
              </w:rPr>
              <w:t>Nova Zelandija</w:t>
            </w:r>
          </w:p>
        </w:tc>
        <w:tc>
          <w:tcPr>
            <w:tcW w:w="1453" w:type="pct"/>
            <w:tcBorders>
              <w:top w:val="single" w:sz="4" w:space="0" w:color="000000"/>
              <w:left w:val="single" w:sz="4" w:space="0" w:color="000000"/>
              <w:bottom w:val="single" w:sz="4" w:space="0" w:color="000000"/>
              <w:right w:val="single" w:sz="4" w:space="0" w:color="000000"/>
            </w:tcBorders>
          </w:tcPr>
          <w:p w14:paraId="7D39A274" w14:textId="77777777" w:rsidR="00E03711" w:rsidRPr="00F769E0" w:rsidRDefault="00E03711" w:rsidP="00370ABA">
            <w:pPr>
              <w:pStyle w:val="Guide-Table"/>
              <w:rPr>
                <w:rFonts w:cs="Tahoma"/>
                <w:lang w:val="sl-SI" w:eastAsia="en-GB"/>
              </w:rPr>
            </w:pPr>
            <w:r w:rsidRPr="00F769E0">
              <w:rPr>
                <w:rFonts w:cs="Tahoma"/>
                <w:lang w:val="sl-SI" w:eastAsia="en-GB"/>
              </w:rPr>
              <w:t>185</w:t>
            </w:r>
          </w:p>
        </w:tc>
      </w:tr>
      <w:tr w:rsidR="00E03711" w:rsidRPr="008C6F8C" w14:paraId="7D39A278"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76" w14:textId="77777777" w:rsidR="00E03711" w:rsidRPr="00F769E0" w:rsidRDefault="00E03711" w:rsidP="00370ABA">
            <w:pPr>
              <w:pStyle w:val="Guide-Table"/>
              <w:jc w:val="left"/>
              <w:rPr>
                <w:rFonts w:cs="Tahoma"/>
                <w:lang w:val="sl-SI" w:eastAsia="en-GB"/>
              </w:rPr>
            </w:pPr>
            <w:r w:rsidRPr="00F769E0">
              <w:rPr>
                <w:rFonts w:cs="Tahoma"/>
                <w:lang w:val="sl-SI" w:eastAsia="en-GB"/>
              </w:rPr>
              <w:t>Nikaragva</w:t>
            </w:r>
          </w:p>
        </w:tc>
        <w:tc>
          <w:tcPr>
            <w:tcW w:w="1453" w:type="pct"/>
            <w:tcBorders>
              <w:top w:val="single" w:sz="4" w:space="0" w:color="000000"/>
              <w:left w:val="single" w:sz="4" w:space="0" w:color="000000"/>
              <w:bottom w:val="single" w:sz="4" w:space="0" w:color="000000"/>
              <w:right w:val="single" w:sz="4" w:space="0" w:color="000000"/>
            </w:tcBorders>
          </w:tcPr>
          <w:p w14:paraId="7D39A277" w14:textId="77777777" w:rsidR="00E03711" w:rsidRPr="00F769E0" w:rsidRDefault="00E03711" w:rsidP="00370ABA">
            <w:pPr>
              <w:pStyle w:val="Guide-Table"/>
              <w:rPr>
                <w:rFonts w:cs="Tahoma"/>
                <w:lang w:val="sl-SI" w:eastAsia="en-GB"/>
              </w:rPr>
            </w:pPr>
            <w:r w:rsidRPr="00F769E0">
              <w:rPr>
                <w:rFonts w:cs="Tahoma"/>
                <w:lang w:val="sl-SI" w:eastAsia="en-GB"/>
              </w:rPr>
              <w:t>185</w:t>
            </w:r>
          </w:p>
        </w:tc>
      </w:tr>
      <w:tr w:rsidR="00E03711" w:rsidRPr="008C6F8C" w14:paraId="7D39A27B"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79" w14:textId="77777777" w:rsidR="00E03711" w:rsidRPr="00F769E0" w:rsidRDefault="00E03711" w:rsidP="00370ABA">
            <w:pPr>
              <w:pStyle w:val="Guide-Table"/>
              <w:jc w:val="left"/>
              <w:rPr>
                <w:rFonts w:cs="Tahoma"/>
                <w:lang w:val="sl-SI" w:eastAsia="en-GB"/>
              </w:rPr>
            </w:pPr>
            <w:r w:rsidRPr="00F769E0">
              <w:rPr>
                <w:rFonts w:cs="Tahoma"/>
                <w:lang w:val="sl-SI" w:eastAsia="en-GB"/>
              </w:rPr>
              <w:t>Niger</w:t>
            </w:r>
          </w:p>
        </w:tc>
        <w:tc>
          <w:tcPr>
            <w:tcW w:w="1453" w:type="pct"/>
            <w:tcBorders>
              <w:top w:val="single" w:sz="4" w:space="0" w:color="000000"/>
              <w:left w:val="single" w:sz="4" w:space="0" w:color="000000"/>
              <w:bottom w:val="single" w:sz="4" w:space="0" w:color="000000"/>
              <w:right w:val="single" w:sz="4" w:space="0" w:color="000000"/>
            </w:tcBorders>
          </w:tcPr>
          <w:p w14:paraId="7D39A27A" w14:textId="77777777" w:rsidR="00E03711" w:rsidRPr="00F769E0" w:rsidRDefault="00E03711" w:rsidP="00370ABA">
            <w:pPr>
              <w:pStyle w:val="Guide-Table"/>
              <w:rPr>
                <w:rFonts w:cs="Tahoma"/>
                <w:lang w:val="sl-SI" w:eastAsia="en-GB"/>
              </w:rPr>
            </w:pPr>
            <w:r w:rsidRPr="00F769E0">
              <w:rPr>
                <w:rFonts w:cs="Tahoma"/>
                <w:lang w:val="sl-SI" w:eastAsia="en-GB"/>
              </w:rPr>
              <w:t>125</w:t>
            </w:r>
          </w:p>
        </w:tc>
      </w:tr>
      <w:tr w:rsidR="00E03711" w:rsidRPr="008C6F8C" w14:paraId="7D39A27E"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7C" w14:textId="77777777" w:rsidR="00E03711" w:rsidRPr="00F769E0" w:rsidRDefault="00E03711" w:rsidP="00370ABA">
            <w:pPr>
              <w:pStyle w:val="Guide-Table"/>
              <w:jc w:val="left"/>
              <w:rPr>
                <w:rFonts w:cs="Tahoma"/>
                <w:lang w:val="sl-SI" w:eastAsia="en-GB"/>
              </w:rPr>
            </w:pPr>
            <w:r w:rsidRPr="00F769E0">
              <w:rPr>
                <w:rFonts w:cs="Tahoma"/>
                <w:lang w:val="sl-SI" w:eastAsia="en-GB"/>
              </w:rPr>
              <w:t>Nigerija</w:t>
            </w:r>
          </w:p>
        </w:tc>
        <w:tc>
          <w:tcPr>
            <w:tcW w:w="1453" w:type="pct"/>
            <w:tcBorders>
              <w:top w:val="single" w:sz="4" w:space="0" w:color="000000"/>
              <w:left w:val="single" w:sz="4" w:space="0" w:color="000000"/>
              <w:bottom w:val="single" w:sz="4" w:space="0" w:color="000000"/>
              <w:right w:val="single" w:sz="4" w:space="0" w:color="000000"/>
            </w:tcBorders>
          </w:tcPr>
          <w:p w14:paraId="7D39A27D" w14:textId="77777777" w:rsidR="00E03711" w:rsidRPr="00F769E0" w:rsidRDefault="00E03711" w:rsidP="00370ABA">
            <w:pPr>
              <w:pStyle w:val="Guide-Table"/>
              <w:rPr>
                <w:rFonts w:cs="Tahoma"/>
                <w:lang w:val="sl-SI" w:eastAsia="en-GB"/>
              </w:rPr>
            </w:pPr>
            <w:r w:rsidRPr="00F769E0">
              <w:rPr>
                <w:rFonts w:cs="Tahoma"/>
                <w:lang w:val="sl-SI" w:eastAsia="en-GB"/>
              </w:rPr>
              <w:t>235</w:t>
            </w:r>
          </w:p>
        </w:tc>
      </w:tr>
      <w:tr w:rsidR="00E03711" w:rsidRPr="008C6F8C" w14:paraId="7D39A281"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7F" w14:textId="77777777" w:rsidR="00E03711" w:rsidRPr="00F769E0" w:rsidRDefault="00E03711" w:rsidP="00370ABA">
            <w:pPr>
              <w:pStyle w:val="Guide-Table"/>
              <w:jc w:val="left"/>
              <w:rPr>
                <w:rFonts w:cs="Tahoma"/>
                <w:lang w:val="sl-SI" w:eastAsia="en-GB"/>
              </w:rPr>
            </w:pPr>
            <w:r w:rsidRPr="00F769E0">
              <w:rPr>
                <w:rFonts w:cs="Tahoma"/>
                <w:lang w:val="sl-SI" w:eastAsia="en-GB"/>
              </w:rPr>
              <w:t>Niue</w:t>
            </w:r>
          </w:p>
        </w:tc>
        <w:tc>
          <w:tcPr>
            <w:tcW w:w="1453" w:type="pct"/>
            <w:tcBorders>
              <w:top w:val="single" w:sz="4" w:space="0" w:color="000000"/>
              <w:left w:val="single" w:sz="4" w:space="0" w:color="000000"/>
              <w:bottom w:val="single" w:sz="4" w:space="0" w:color="000000"/>
              <w:right w:val="single" w:sz="4" w:space="0" w:color="000000"/>
            </w:tcBorders>
          </w:tcPr>
          <w:p w14:paraId="7D39A280" w14:textId="77777777" w:rsidR="00E03711" w:rsidRPr="00F769E0" w:rsidRDefault="00E03711" w:rsidP="00370ABA">
            <w:pPr>
              <w:pStyle w:val="Guide-Table"/>
              <w:rPr>
                <w:rFonts w:cs="Tahoma"/>
                <w:lang w:val="sl-SI" w:eastAsia="en-GB"/>
              </w:rPr>
            </w:pPr>
            <w:r w:rsidRPr="00F769E0">
              <w:rPr>
                <w:rFonts w:cs="Tahoma"/>
                <w:lang w:val="sl-SI" w:eastAsia="en-GB"/>
              </w:rPr>
              <w:t>185</w:t>
            </w:r>
          </w:p>
        </w:tc>
      </w:tr>
      <w:tr w:rsidR="00E03711" w:rsidRPr="008C6F8C" w14:paraId="7D39A284"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82" w14:textId="77777777" w:rsidR="00E03711" w:rsidRPr="00F769E0" w:rsidRDefault="00E03711" w:rsidP="00370ABA">
            <w:pPr>
              <w:pStyle w:val="Guide-Table"/>
              <w:jc w:val="left"/>
              <w:rPr>
                <w:rFonts w:cs="Tahoma"/>
                <w:lang w:val="sl-SI" w:eastAsia="en-GB"/>
              </w:rPr>
            </w:pPr>
            <w:r w:rsidRPr="00F769E0">
              <w:rPr>
                <w:rFonts w:cs="Tahoma"/>
                <w:lang w:val="sl-SI" w:eastAsia="en-GB"/>
              </w:rPr>
              <w:t>Oman</w:t>
            </w:r>
          </w:p>
        </w:tc>
        <w:tc>
          <w:tcPr>
            <w:tcW w:w="1453" w:type="pct"/>
            <w:tcBorders>
              <w:top w:val="single" w:sz="4" w:space="0" w:color="000000"/>
              <w:left w:val="single" w:sz="4" w:space="0" w:color="000000"/>
              <w:bottom w:val="single" w:sz="4" w:space="0" w:color="000000"/>
              <w:right w:val="single" w:sz="4" w:space="0" w:color="000000"/>
            </w:tcBorders>
          </w:tcPr>
          <w:p w14:paraId="7D39A283" w14:textId="77777777" w:rsidR="00E03711" w:rsidRPr="00F769E0" w:rsidRDefault="00E03711" w:rsidP="00370ABA">
            <w:pPr>
              <w:pStyle w:val="Guide-Table"/>
              <w:rPr>
                <w:rFonts w:cs="Tahoma"/>
                <w:lang w:val="sl-SI" w:eastAsia="en-GB"/>
              </w:rPr>
            </w:pPr>
            <w:r w:rsidRPr="00F769E0">
              <w:rPr>
                <w:rFonts w:cs="Tahoma"/>
                <w:lang w:val="sl-SI" w:eastAsia="en-GB"/>
              </w:rPr>
              <w:t>205</w:t>
            </w:r>
          </w:p>
        </w:tc>
      </w:tr>
      <w:tr w:rsidR="00E03711" w:rsidRPr="008C6F8C" w14:paraId="7D39A287"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85" w14:textId="77777777" w:rsidR="00E03711" w:rsidRPr="00F769E0" w:rsidRDefault="00E03711" w:rsidP="00370ABA">
            <w:pPr>
              <w:pStyle w:val="Guide-Table"/>
              <w:jc w:val="left"/>
              <w:rPr>
                <w:rFonts w:cs="Tahoma"/>
                <w:lang w:val="sl-SI" w:eastAsia="en-GB"/>
              </w:rPr>
            </w:pPr>
            <w:r w:rsidRPr="00F769E0">
              <w:rPr>
                <w:rFonts w:cs="Tahoma"/>
                <w:lang w:val="sl-SI" w:eastAsia="en-GB"/>
              </w:rPr>
              <w:t>Pakistan</w:t>
            </w:r>
          </w:p>
        </w:tc>
        <w:tc>
          <w:tcPr>
            <w:tcW w:w="1453" w:type="pct"/>
            <w:tcBorders>
              <w:top w:val="single" w:sz="4" w:space="0" w:color="000000"/>
              <w:left w:val="single" w:sz="4" w:space="0" w:color="000000"/>
              <w:bottom w:val="single" w:sz="4" w:space="0" w:color="000000"/>
              <w:right w:val="single" w:sz="4" w:space="0" w:color="000000"/>
            </w:tcBorders>
          </w:tcPr>
          <w:p w14:paraId="7D39A286" w14:textId="77777777" w:rsidR="00E03711" w:rsidRPr="00F769E0" w:rsidRDefault="00E03711" w:rsidP="00370ABA">
            <w:pPr>
              <w:pStyle w:val="Guide-Table"/>
              <w:rPr>
                <w:rFonts w:cs="Tahoma"/>
                <w:lang w:val="sl-SI" w:eastAsia="en-GB"/>
              </w:rPr>
            </w:pPr>
            <w:r w:rsidRPr="00F769E0">
              <w:rPr>
                <w:rFonts w:cs="Tahoma"/>
                <w:lang w:val="sl-SI" w:eastAsia="en-GB"/>
              </w:rPr>
              <w:t>180</w:t>
            </w:r>
          </w:p>
        </w:tc>
      </w:tr>
      <w:tr w:rsidR="00E03711" w:rsidRPr="008C6F8C" w14:paraId="7D39A28A"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88" w14:textId="77777777" w:rsidR="00E03711" w:rsidRPr="00F769E0" w:rsidRDefault="00E03711" w:rsidP="00370ABA">
            <w:pPr>
              <w:pStyle w:val="Guide-Table"/>
              <w:jc w:val="left"/>
              <w:rPr>
                <w:rFonts w:cs="Tahoma"/>
                <w:lang w:val="sl-SI" w:eastAsia="en-GB"/>
              </w:rPr>
            </w:pPr>
            <w:r w:rsidRPr="00F769E0">
              <w:rPr>
                <w:rFonts w:cs="Tahoma"/>
                <w:lang w:val="sl-SI" w:eastAsia="en-GB"/>
              </w:rPr>
              <w:t>Palau</w:t>
            </w:r>
          </w:p>
        </w:tc>
        <w:tc>
          <w:tcPr>
            <w:tcW w:w="1453" w:type="pct"/>
            <w:tcBorders>
              <w:top w:val="single" w:sz="4" w:space="0" w:color="000000"/>
              <w:left w:val="single" w:sz="4" w:space="0" w:color="000000"/>
              <w:bottom w:val="single" w:sz="4" w:space="0" w:color="000000"/>
              <w:right w:val="single" w:sz="4" w:space="0" w:color="000000"/>
            </w:tcBorders>
          </w:tcPr>
          <w:p w14:paraId="7D39A289" w14:textId="77777777" w:rsidR="00E03711" w:rsidRPr="00F769E0" w:rsidRDefault="00E03711" w:rsidP="00370ABA">
            <w:pPr>
              <w:pStyle w:val="Guide-Table"/>
              <w:rPr>
                <w:rFonts w:cs="Tahoma"/>
                <w:lang w:val="sl-SI" w:eastAsia="en-GB"/>
              </w:rPr>
            </w:pPr>
            <w:r w:rsidRPr="00F769E0">
              <w:rPr>
                <w:rFonts w:cs="Tahoma"/>
                <w:lang w:val="sl-SI" w:eastAsia="en-GB"/>
              </w:rPr>
              <w:t>185</w:t>
            </w:r>
          </w:p>
        </w:tc>
      </w:tr>
      <w:tr w:rsidR="00E03711" w:rsidRPr="008C6F8C" w14:paraId="7D39A28D"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8B" w14:textId="77777777" w:rsidR="00E03711" w:rsidRPr="00F769E0" w:rsidRDefault="00E03711" w:rsidP="00370ABA">
            <w:pPr>
              <w:pStyle w:val="Guide-Table"/>
              <w:jc w:val="left"/>
              <w:rPr>
                <w:rFonts w:cs="Tahoma"/>
                <w:lang w:val="sl-SI" w:eastAsia="en-GB"/>
              </w:rPr>
            </w:pPr>
            <w:r w:rsidRPr="00F769E0">
              <w:rPr>
                <w:rFonts w:cs="Tahoma"/>
                <w:lang w:val="sl-SI" w:eastAsia="en-GB"/>
              </w:rPr>
              <w:t>Palestina</w:t>
            </w:r>
          </w:p>
        </w:tc>
        <w:tc>
          <w:tcPr>
            <w:tcW w:w="1453" w:type="pct"/>
            <w:tcBorders>
              <w:top w:val="single" w:sz="4" w:space="0" w:color="000000"/>
              <w:left w:val="single" w:sz="4" w:space="0" w:color="000000"/>
              <w:bottom w:val="single" w:sz="4" w:space="0" w:color="000000"/>
              <w:right w:val="single" w:sz="4" w:space="0" w:color="000000"/>
            </w:tcBorders>
          </w:tcPr>
          <w:p w14:paraId="7D39A28C" w14:textId="77777777" w:rsidR="00E03711" w:rsidRPr="00F769E0" w:rsidRDefault="00E03711" w:rsidP="00370ABA">
            <w:pPr>
              <w:pStyle w:val="Guide-Table"/>
              <w:rPr>
                <w:rFonts w:cs="Tahoma"/>
                <w:lang w:val="sl-SI" w:eastAsia="en-GB"/>
              </w:rPr>
            </w:pPr>
            <w:r w:rsidRPr="00F769E0">
              <w:rPr>
                <w:rFonts w:cs="Tahoma"/>
                <w:lang w:val="sl-SI" w:eastAsia="en-GB"/>
              </w:rPr>
              <w:t>170</w:t>
            </w:r>
          </w:p>
        </w:tc>
      </w:tr>
      <w:tr w:rsidR="00E03711" w:rsidRPr="008C6F8C" w14:paraId="7D39A290"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8E" w14:textId="77777777" w:rsidR="00E03711" w:rsidRPr="00F769E0" w:rsidRDefault="00E03711" w:rsidP="00370ABA">
            <w:pPr>
              <w:pStyle w:val="Guide-Table"/>
              <w:jc w:val="left"/>
              <w:rPr>
                <w:rFonts w:cs="Tahoma"/>
                <w:lang w:val="sl-SI" w:eastAsia="en-GB"/>
              </w:rPr>
            </w:pPr>
            <w:r w:rsidRPr="00F769E0">
              <w:rPr>
                <w:rFonts w:cs="Tahoma"/>
                <w:lang w:val="sl-SI" w:eastAsia="en-GB"/>
              </w:rPr>
              <w:t>Panama</w:t>
            </w:r>
          </w:p>
        </w:tc>
        <w:tc>
          <w:tcPr>
            <w:tcW w:w="1453" w:type="pct"/>
            <w:tcBorders>
              <w:top w:val="single" w:sz="4" w:space="0" w:color="000000"/>
              <w:left w:val="single" w:sz="4" w:space="0" w:color="000000"/>
              <w:bottom w:val="single" w:sz="4" w:space="0" w:color="000000"/>
              <w:right w:val="single" w:sz="4" w:space="0" w:color="000000"/>
            </w:tcBorders>
          </w:tcPr>
          <w:p w14:paraId="7D39A28F" w14:textId="77777777" w:rsidR="00E03711" w:rsidRPr="00F769E0" w:rsidRDefault="00E03711" w:rsidP="00370ABA">
            <w:pPr>
              <w:pStyle w:val="Guide-Table"/>
              <w:rPr>
                <w:rFonts w:cs="Tahoma"/>
                <w:lang w:val="sl-SI" w:eastAsia="en-GB"/>
              </w:rPr>
            </w:pPr>
            <w:r w:rsidRPr="00F769E0">
              <w:rPr>
                <w:rFonts w:cs="Tahoma"/>
                <w:lang w:val="sl-SI" w:eastAsia="en-GB"/>
              </w:rPr>
              <w:t>210</w:t>
            </w:r>
          </w:p>
        </w:tc>
      </w:tr>
      <w:tr w:rsidR="00E03711" w:rsidRPr="008C6F8C" w14:paraId="7D39A293"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91" w14:textId="77777777" w:rsidR="00E03711" w:rsidRPr="00F769E0" w:rsidRDefault="00E03711" w:rsidP="00370ABA">
            <w:pPr>
              <w:pStyle w:val="Guide-Table"/>
              <w:jc w:val="left"/>
              <w:rPr>
                <w:rFonts w:cs="Tahoma"/>
                <w:lang w:val="sl-SI" w:eastAsia="en-GB"/>
              </w:rPr>
            </w:pPr>
            <w:r w:rsidRPr="00F769E0">
              <w:rPr>
                <w:rFonts w:cs="Tahoma"/>
                <w:lang w:val="sl-SI" w:eastAsia="en-GB"/>
              </w:rPr>
              <w:t>Papua Nova Gvineja</w:t>
            </w:r>
          </w:p>
        </w:tc>
        <w:tc>
          <w:tcPr>
            <w:tcW w:w="1453" w:type="pct"/>
            <w:tcBorders>
              <w:top w:val="single" w:sz="4" w:space="0" w:color="000000"/>
              <w:left w:val="single" w:sz="4" w:space="0" w:color="000000"/>
              <w:bottom w:val="single" w:sz="4" w:space="0" w:color="000000"/>
              <w:right w:val="single" w:sz="4" w:space="0" w:color="000000"/>
            </w:tcBorders>
          </w:tcPr>
          <w:p w14:paraId="7D39A292" w14:textId="77777777" w:rsidR="00E03711" w:rsidRPr="00F769E0" w:rsidRDefault="00E03711" w:rsidP="00370ABA">
            <w:pPr>
              <w:pStyle w:val="Guide-Table"/>
              <w:rPr>
                <w:rFonts w:cs="Tahoma"/>
                <w:lang w:val="sl-SI" w:eastAsia="en-GB"/>
              </w:rPr>
            </w:pPr>
            <w:r w:rsidRPr="00F769E0">
              <w:rPr>
                <w:rFonts w:cs="Tahoma"/>
                <w:lang w:val="sl-SI" w:eastAsia="en-GB"/>
              </w:rPr>
              <w:t>190</w:t>
            </w:r>
          </w:p>
        </w:tc>
      </w:tr>
      <w:tr w:rsidR="00E03711" w:rsidRPr="008C6F8C" w14:paraId="7D39A296"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94" w14:textId="77777777" w:rsidR="00E03711" w:rsidRPr="00F769E0" w:rsidRDefault="00E03711" w:rsidP="00370ABA">
            <w:pPr>
              <w:pStyle w:val="Guide-Table"/>
              <w:jc w:val="left"/>
              <w:rPr>
                <w:rFonts w:cs="Tahoma"/>
                <w:lang w:val="sl-SI" w:eastAsia="en-GB"/>
              </w:rPr>
            </w:pPr>
            <w:r w:rsidRPr="00F769E0">
              <w:rPr>
                <w:rFonts w:cs="Tahoma"/>
                <w:lang w:val="sl-SI" w:eastAsia="en-GB"/>
              </w:rPr>
              <w:t>Paragvaj</w:t>
            </w:r>
          </w:p>
        </w:tc>
        <w:tc>
          <w:tcPr>
            <w:tcW w:w="1453" w:type="pct"/>
            <w:tcBorders>
              <w:top w:val="single" w:sz="4" w:space="0" w:color="000000"/>
              <w:left w:val="single" w:sz="4" w:space="0" w:color="000000"/>
              <w:bottom w:val="single" w:sz="4" w:space="0" w:color="000000"/>
              <w:right w:val="single" w:sz="4" w:space="0" w:color="000000"/>
            </w:tcBorders>
          </w:tcPr>
          <w:p w14:paraId="7D39A295" w14:textId="77777777" w:rsidR="00E03711" w:rsidRPr="00F769E0" w:rsidRDefault="00E03711" w:rsidP="00370ABA">
            <w:pPr>
              <w:pStyle w:val="Guide-Table"/>
              <w:rPr>
                <w:rFonts w:cs="Tahoma"/>
                <w:lang w:val="sl-SI" w:eastAsia="en-GB"/>
              </w:rPr>
            </w:pPr>
            <w:r w:rsidRPr="00F769E0">
              <w:rPr>
                <w:rFonts w:cs="Tahoma"/>
                <w:lang w:val="sl-SI" w:eastAsia="en-GB"/>
              </w:rPr>
              <w:t>190</w:t>
            </w:r>
          </w:p>
        </w:tc>
      </w:tr>
      <w:tr w:rsidR="00E03711" w:rsidRPr="008C6F8C" w14:paraId="7D39A299"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97" w14:textId="77777777" w:rsidR="00E03711" w:rsidRPr="00F769E0" w:rsidRDefault="00E03711" w:rsidP="00370ABA">
            <w:pPr>
              <w:pStyle w:val="Guide-Table"/>
              <w:jc w:val="left"/>
              <w:rPr>
                <w:rFonts w:cs="Tahoma"/>
                <w:lang w:val="sl-SI" w:eastAsia="en-GB"/>
              </w:rPr>
            </w:pPr>
            <w:r w:rsidRPr="00F769E0">
              <w:rPr>
                <w:rFonts w:cs="Tahoma"/>
                <w:lang w:val="sl-SI" w:eastAsia="en-GB"/>
              </w:rPr>
              <w:t>Peru</w:t>
            </w:r>
          </w:p>
        </w:tc>
        <w:tc>
          <w:tcPr>
            <w:tcW w:w="1453" w:type="pct"/>
            <w:tcBorders>
              <w:top w:val="single" w:sz="4" w:space="0" w:color="000000"/>
              <w:left w:val="single" w:sz="4" w:space="0" w:color="000000"/>
              <w:bottom w:val="single" w:sz="4" w:space="0" w:color="000000"/>
              <w:right w:val="single" w:sz="4" w:space="0" w:color="000000"/>
            </w:tcBorders>
          </w:tcPr>
          <w:p w14:paraId="7D39A298" w14:textId="77777777" w:rsidR="00E03711" w:rsidRPr="00F769E0" w:rsidRDefault="00E03711" w:rsidP="00370ABA">
            <w:pPr>
              <w:pStyle w:val="Guide-Table"/>
              <w:rPr>
                <w:rFonts w:cs="Tahoma"/>
                <w:lang w:val="sl-SI" w:eastAsia="en-GB"/>
              </w:rPr>
            </w:pPr>
            <w:r w:rsidRPr="00F769E0">
              <w:rPr>
                <w:rFonts w:cs="Tahoma"/>
                <w:lang w:val="sl-SI" w:eastAsia="en-GB"/>
              </w:rPr>
              <w:t>210</w:t>
            </w:r>
          </w:p>
        </w:tc>
      </w:tr>
      <w:tr w:rsidR="00E03711" w:rsidRPr="008C6F8C" w14:paraId="7D39A29C"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9A" w14:textId="77777777" w:rsidR="00E03711" w:rsidRPr="00F769E0" w:rsidRDefault="00E03711" w:rsidP="00370ABA">
            <w:pPr>
              <w:pStyle w:val="Guide-Table"/>
              <w:jc w:val="left"/>
              <w:rPr>
                <w:rFonts w:cs="Tahoma"/>
                <w:lang w:val="sl-SI" w:eastAsia="en-GB"/>
              </w:rPr>
            </w:pPr>
            <w:bookmarkStart w:id="349" w:name="Sport"/>
            <w:bookmarkStart w:id="350" w:name="_bookmark54"/>
            <w:bookmarkEnd w:id="349"/>
            <w:bookmarkEnd w:id="350"/>
            <w:r w:rsidRPr="00F769E0">
              <w:rPr>
                <w:rFonts w:cs="Tahoma"/>
                <w:lang w:val="sl-SI" w:eastAsia="en-GB"/>
              </w:rPr>
              <w:t>Filipini</w:t>
            </w:r>
          </w:p>
        </w:tc>
        <w:tc>
          <w:tcPr>
            <w:tcW w:w="1453" w:type="pct"/>
            <w:tcBorders>
              <w:top w:val="single" w:sz="4" w:space="0" w:color="000000"/>
              <w:left w:val="single" w:sz="4" w:space="0" w:color="000000"/>
              <w:bottom w:val="single" w:sz="4" w:space="0" w:color="000000"/>
              <w:right w:val="single" w:sz="4" w:space="0" w:color="000000"/>
            </w:tcBorders>
          </w:tcPr>
          <w:p w14:paraId="7D39A29B" w14:textId="77777777" w:rsidR="00E03711" w:rsidRPr="00F769E0" w:rsidRDefault="00E03711" w:rsidP="00370ABA">
            <w:pPr>
              <w:pStyle w:val="Guide-Table"/>
              <w:rPr>
                <w:rFonts w:cs="Tahoma"/>
                <w:lang w:val="sl-SI" w:eastAsia="en-GB"/>
              </w:rPr>
            </w:pPr>
            <w:r w:rsidRPr="00F769E0">
              <w:rPr>
                <w:rFonts w:cs="Tahoma"/>
                <w:lang w:val="sl-SI" w:eastAsia="en-GB"/>
              </w:rPr>
              <w:t>210</w:t>
            </w:r>
          </w:p>
        </w:tc>
      </w:tr>
      <w:tr w:rsidR="00E03711" w:rsidRPr="00F769E0" w14:paraId="7D39A29F"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9D" w14:textId="77777777" w:rsidR="00E03711" w:rsidRPr="00F769E0" w:rsidRDefault="00E03711" w:rsidP="001923DD">
            <w:pPr>
              <w:pStyle w:val="Guide-Table"/>
              <w:jc w:val="left"/>
              <w:rPr>
                <w:rFonts w:cs="Tahoma"/>
                <w:lang w:val="sl-SI" w:eastAsia="en-GB"/>
              </w:rPr>
            </w:pPr>
            <w:r w:rsidRPr="00F769E0">
              <w:rPr>
                <w:rFonts w:cs="Tahoma"/>
                <w:lang w:val="sl-SI" w:eastAsia="en-GB"/>
              </w:rPr>
              <w:t>Kongo</w:t>
            </w:r>
          </w:p>
        </w:tc>
        <w:tc>
          <w:tcPr>
            <w:tcW w:w="1453" w:type="pct"/>
            <w:tcBorders>
              <w:top w:val="single" w:sz="4" w:space="0" w:color="000000"/>
              <w:left w:val="single" w:sz="4" w:space="0" w:color="000000"/>
              <w:bottom w:val="single" w:sz="4" w:space="0" w:color="000000"/>
              <w:right w:val="single" w:sz="4" w:space="0" w:color="000000"/>
            </w:tcBorders>
          </w:tcPr>
          <w:p w14:paraId="7D39A29E" w14:textId="77777777" w:rsidR="00E03711" w:rsidRPr="00F769E0" w:rsidRDefault="00E03711" w:rsidP="001923DD">
            <w:pPr>
              <w:pStyle w:val="Guide-Table"/>
              <w:rPr>
                <w:rFonts w:cs="Tahoma"/>
                <w:lang w:val="sl-SI" w:eastAsia="en-GB"/>
              </w:rPr>
            </w:pPr>
            <w:r w:rsidRPr="00F769E0">
              <w:rPr>
                <w:rFonts w:cs="Tahoma"/>
                <w:lang w:val="sl-SI" w:eastAsia="en-GB"/>
              </w:rPr>
              <w:t>185</w:t>
            </w:r>
          </w:p>
        </w:tc>
      </w:tr>
      <w:tr w:rsidR="00E03711" w:rsidRPr="00F769E0" w14:paraId="7D39A2A2"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A0" w14:textId="77777777" w:rsidR="00E03711" w:rsidRPr="00F769E0" w:rsidRDefault="00E03711" w:rsidP="001923DD">
            <w:pPr>
              <w:pStyle w:val="Guide-Table"/>
              <w:jc w:val="left"/>
              <w:rPr>
                <w:rFonts w:cs="Tahoma"/>
                <w:lang w:val="sl-SI" w:eastAsia="en-GB"/>
              </w:rPr>
            </w:pPr>
            <w:r w:rsidRPr="00F769E0">
              <w:rPr>
                <w:rFonts w:cs="Tahoma"/>
                <w:lang w:val="sl-SI" w:eastAsia="en-GB"/>
              </w:rPr>
              <w:t>Demokratična Republika Kongo</w:t>
            </w:r>
          </w:p>
        </w:tc>
        <w:tc>
          <w:tcPr>
            <w:tcW w:w="1453" w:type="pct"/>
            <w:tcBorders>
              <w:top w:val="single" w:sz="4" w:space="0" w:color="000000"/>
              <w:left w:val="single" w:sz="4" w:space="0" w:color="000000"/>
              <w:bottom w:val="single" w:sz="4" w:space="0" w:color="000000"/>
              <w:right w:val="single" w:sz="4" w:space="0" w:color="000000"/>
            </w:tcBorders>
          </w:tcPr>
          <w:p w14:paraId="7D39A2A1" w14:textId="77777777" w:rsidR="00E03711" w:rsidRPr="00F769E0" w:rsidRDefault="00E03711" w:rsidP="001923DD">
            <w:pPr>
              <w:pStyle w:val="Guide-Table"/>
              <w:rPr>
                <w:rFonts w:cs="Tahoma"/>
                <w:lang w:val="sl-SI" w:eastAsia="en-GB"/>
              </w:rPr>
            </w:pPr>
            <w:r w:rsidRPr="00F769E0">
              <w:rPr>
                <w:rFonts w:cs="Tahoma"/>
                <w:lang w:val="sl-SI" w:eastAsia="en-GB"/>
              </w:rPr>
              <w:t>245</w:t>
            </w:r>
          </w:p>
        </w:tc>
      </w:tr>
      <w:tr w:rsidR="00E03711" w:rsidRPr="00F769E0" w14:paraId="7D39A2A5"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A3" w14:textId="77777777" w:rsidR="00E03711" w:rsidRPr="00F769E0" w:rsidRDefault="00E03711" w:rsidP="001923DD">
            <w:pPr>
              <w:pStyle w:val="Guide-Table"/>
              <w:jc w:val="left"/>
              <w:rPr>
                <w:rFonts w:cs="Tahoma"/>
                <w:lang w:val="sl-SI" w:eastAsia="en-GB"/>
              </w:rPr>
            </w:pPr>
            <w:r w:rsidRPr="00F769E0">
              <w:rPr>
                <w:rFonts w:cs="Tahoma"/>
                <w:lang w:val="sl-SI" w:eastAsia="en-GB"/>
              </w:rPr>
              <w:t>Cookovi otoki</w:t>
            </w:r>
          </w:p>
        </w:tc>
        <w:tc>
          <w:tcPr>
            <w:tcW w:w="1453" w:type="pct"/>
            <w:tcBorders>
              <w:top w:val="single" w:sz="4" w:space="0" w:color="000000"/>
              <w:left w:val="single" w:sz="4" w:space="0" w:color="000000"/>
              <w:bottom w:val="single" w:sz="4" w:space="0" w:color="000000"/>
              <w:right w:val="single" w:sz="4" w:space="0" w:color="000000"/>
            </w:tcBorders>
          </w:tcPr>
          <w:p w14:paraId="7D39A2A4" w14:textId="77777777" w:rsidR="00E03711" w:rsidRPr="00F769E0" w:rsidRDefault="00E03711" w:rsidP="001923DD">
            <w:pPr>
              <w:pStyle w:val="Guide-Table"/>
              <w:rPr>
                <w:rFonts w:cs="Tahoma"/>
                <w:lang w:val="sl-SI" w:eastAsia="en-GB"/>
              </w:rPr>
            </w:pPr>
            <w:r w:rsidRPr="00F769E0">
              <w:rPr>
                <w:rFonts w:cs="Tahoma"/>
                <w:lang w:val="sl-SI" w:eastAsia="en-GB"/>
              </w:rPr>
              <w:t>185</w:t>
            </w:r>
          </w:p>
        </w:tc>
      </w:tr>
      <w:tr w:rsidR="00E03711" w:rsidRPr="00F769E0" w14:paraId="7D39A2A8"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A6" w14:textId="77777777" w:rsidR="00E03711" w:rsidRPr="00F769E0" w:rsidRDefault="00E03711" w:rsidP="001923DD">
            <w:pPr>
              <w:pStyle w:val="Guide-Table"/>
              <w:jc w:val="left"/>
              <w:rPr>
                <w:rFonts w:cs="Tahoma"/>
                <w:lang w:val="sl-SI" w:eastAsia="en-GB"/>
              </w:rPr>
            </w:pPr>
            <w:r w:rsidRPr="00F769E0">
              <w:rPr>
                <w:rFonts w:cs="Tahoma"/>
                <w:lang w:val="sl-SI" w:eastAsia="en-GB"/>
              </w:rPr>
              <w:t>Kostarika</w:t>
            </w:r>
          </w:p>
        </w:tc>
        <w:tc>
          <w:tcPr>
            <w:tcW w:w="1453" w:type="pct"/>
            <w:tcBorders>
              <w:top w:val="single" w:sz="4" w:space="0" w:color="000000"/>
              <w:left w:val="single" w:sz="4" w:space="0" w:color="000000"/>
              <w:bottom w:val="single" w:sz="4" w:space="0" w:color="000000"/>
              <w:right w:val="single" w:sz="4" w:space="0" w:color="000000"/>
            </w:tcBorders>
          </w:tcPr>
          <w:p w14:paraId="7D39A2A7" w14:textId="77777777" w:rsidR="00E03711" w:rsidRPr="00F769E0" w:rsidRDefault="00E03711" w:rsidP="001923DD">
            <w:pPr>
              <w:pStyle w:val="Guide-Table"/>
              <w:rPr>
                <w:rFonts w:cs="Tahoma"/>
                <w:lang w:val="sl-SI" w:eastAsia="en-GB"/>
              </w:rPr>
            </w:pPr>
            <w:r w:rsidRPr="00F769E0">
              <w:rPr>
                <w:rFonts w:cs="Tahoma"/>
                <w:lang w:val="sl-SI" w:eastAsia="en-GB"/>
              </w:rPr>
              <w:t>190</w:t>
            </w:r>
          </w:p>
        </w:tc>
      </w:tr>
      <w:tr w:rsidR="00E03711" w:rsidRPr="00F769E0" w14:paraId="7D39A2AB"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A9" w14:textId="77777777" w:rsidR="00E03711" w:rsidRPr="00F769E0" w:rsidRDefault="00E03711" w:rsidP="001923DD">
            <w:pPr>
              <w:pStyle w:val="Guide-Table"/>
              <w:jc w:val="left"/>
              <w:rPr>
                <w:rFonts w:cs="Tahoma"/>
                <w:lang w:val="sl-SI" w:eastAsia="en-GB"/>
              </w:rPr>
            </w:pPr>
            <w:r w:rsidRPr="00F769E0">
              <w:rPr>
                <w:rFonts w:cs="Tahoma"/>
                <w:lang w:val="sl-SI" w:eastAsia="en-GB"/>
              </w:rPr>
              <w:t>Kuba</w:t>
            </w:r>
          </w:p>
        </w:tc>
        <w:tc>
          <w:tcPr>
            <w:tcW w:w="1453" w:type="pct"/>
            <w:tcBorders>
              <w:top w:val="single" w:sz="4" w:space="0" w:color="000000"/>
              <w:left w:val="single" w:sz="4" w:space="0" w:color="000000"/>
              <w:bottom w:val="single" w:sz="4" w:space="0" w:color="000000"/>
              <w:right w:val="single" w:sz="4" w:space="0" w:color="000000"/>
            </w:tcBorders>
          </w:tcPr>
          <w:p w14:paraId="7D39A2AA" w14:textId="77777777" w:rsidR="00E03711" w:rsidRPr="00F769E0" w:rsidRDefault="00E03711" w:rsidP="001923DD">
            <w:pPr>
              <w:pStyle w:val="Guide-Table"/>
              <w:rPr>
                <w:rFonts w:cs="Tahoma"/>
                <w:lang w:val="sl-SI" w:eastAsia="en-GB"/>
              </w:rPr>
            </w:pPr>
            <w:r w:rsidRPr="00F769E0">
              <w:rPr>
                <w:rFonts w:cs="Tahoma"/>
                <w:lang w:val="sl-SI" w:eastAsia="en-GB"/>
              </w:rPr>
              <w:t>225</w:t>
            </w:r>
          </w:p>
        </w:tc>
      </w:tr>
      <w:tr w:rsidR="00E03711" w:rsidRPr="00F769E0" w14:paraId="7D39A2AE"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AC" w14:textId="77777777" w:rsidR="00E03711" w:rsidRPr="00F769E0" w:rsidRDefault="00E03711" w:rsidP="001923DD">
            <w:pPr>
              <w:pStyle w:val="Guide-Table"/>
              <w:jc w:val="left"/>
              <w:rPr>
                <w:rFonts w:cs="Tahoma"/>
                <w:lang w:val="sl-SI" w:eastAsia="en-GB"/>
              </w:rPr>
            </w:pPr>
            <w:r w:rsidRPr="00F769E0">
              <w:rPr>
                <w:rFonts w:cs="Tahoma"/>
                <w:lang w:val="sl-SI" w:eastAsia="en-GB"/>
              </w:rPr>
              <w:t>Džibuti</w:t>
            </w:r>
          </w:p>
        </w:tc>
        <w:tc>
          <w:tcPr>
            <w:tcW w:w="1453" w:type="pct"/>
            <w:tcBorders>
              <w:top w:val="single" w:sz="4" w:space="0" w:color="000000"/>
              <w:left w:val="single" w:sz="4" w:space="0" w:color="000000"/>
              <w:bottom w:val="single" w:sz="4" w:space="0" w:color="000000"/>
              <w:right w:val="single" w:sz="4" w:space="0" w:color="000000"/>
            </w:tcBorders>
          </w:tcPr>
          <w:p w14:paraId="7D39A2AD" w14:textId="77777777" w:rsidR="00E03711" w:rsidRPr="00F769E0" w:rsidRDefault="00E03711" w:rsidP="001923DD">
            <w:pPr>
              <w:pStyle w:val="Guide-Table"/>
              <w:rPr>
                <w:rFonts w:cs="Tahoma"/>
                <w:lang w:val="sl-SI" w:eastAsia="en-GB"/>
              </w:rPr>
            </w:pPr>
            <w:r w:rsidRPr="00F769E0">
              <w:rPr>
                <w:rFonts w:cs="Tahoma"/>
                <w:lang w:val="sl-SI" w:eastAsia="en-GB"/>
              </w:rPr>
              <w:t>235</w:t>
            </w:r>
          </w:p>
        </w:tc>
      </w:tr>
      <w:tr w:rsidR="00E03711" w:rsidRPr="00F769E0" w14:paraId="7D39A2B1"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AF" w14:textId="77777777" w:rsidR="00E03711" w:rsidRPr="00F769E0" w:rsidRDefault="00E03711" w:rsidP="001923DD">
            <w:pPr>
              <w:pStyle w:val="Guide-Table"/>
              <w:jc w:val="left"/>
              <w:rPr>
                <w:rFonts w:cs="Tahoma"/>
                <w:lang w:val="sl-SI" w:eastAsia="en-GB"/>
              </w:rPr>
            </w:pPr>
            <w:r w:rsidRPr="00F769E0">
              <w:rPr>
                <w:rFonts w:cs="Tahoma"/>
                <w:lang w:val="sl-SI" w:eastAsia="en-GB"/>
              </w:rPr>
              <w:t>Dominica</w:t>
            </w:r>
          </w:p>
        </w:tc>
        <w:tc>
          <w:tcPr>
            <w:tcW w:w="1453" w:type="pct"/>
            <w:tcBorders>
              <w:top w:val="single" w:sz="4" w:space="0" w:color="000000"/>
              <w:left w:val="single" w:sz="4" w:space="0" w:color="000000"/>
              <w:bottom w:val="single" w:sz="4" w:space="0" w:color="000000"/>
              <w:right w:val="single" w:sz="4" w:space="0" w:color="000000"/>
            </w:tcBorders>
          </w:tcPr>
          <w:p w14:paraId="7D39A2B0" w14:textId="77777777" w:rsidR="00E03711" w:rsidRPr="00F769E0" w:rsidRDefault="00E03711" w:rsidP="001923DD">
            <w:pPr>
              <w:pStyle w:val="Guide-Table"/>
              <w:rPr>
                <w:rFonts w:cs="Tahoma"/>
                <w:lang w:val="sl-SI" w:eastAsia="en-GB"/>
              </w:rPr>
            </w:pPr>
            <w:r w:rsidRPr="00F769E0">
              <w:rPr>
                <w:rFonts w:cs="Tahoma"/>
                <w:lang w:val="sl-SI" w:eastAsia="en-GB"/>
              </w:rPr>
              <w:t>215</w:t>
            </w:r>
          </w:p>
        </w:tc>
      </w:tr>
      <w:tr w:rsidR="00E03711" w:rsidRPr="00F769E0" w14:paraId="7D39A2B4"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B2" w14:textId="77777777" w:rsidR="00E03711" w:rsidRPr="00F769E0" w:rsidRDefault="00E03711" w:rsidP="001923DD">
            <w:pPr>
              <w:pStyle w:val="Guide-Table"/>
              <w:jc w:val="left"/>
              <w:rPr>
                <w:rFonts w:cs="Tahoma"/>
                <w:lang w:val="sl-SI" w:eastAsia="en-GB"/>
              </w:rPr>
            </w:pPr>
            <w:r w:rsidRPr="00F769E0">
              <w:rPr>
                <w:rFonts w:cs="Tahoma"/>
                <w:lang w:val="sl-SI" w:eastAsia="en-GB"/>
              </w:rPr>
              <w:t>Dominikanska republika</w:t>
            </w:r>
          </w:p>
        </w:tc>
        <w:tc>
          <w:tcPr>
            <w:tcW w:w="1453" w:type="pct"/>
            <w:tcBorders>
              <w:top w:val="single" w:sz="4" w:space="0" w:color="000000"/>
              <w:left w:val="single" w:sz="4" w:space="0" w:color="000000"/>
              <w:bottom w:val="single" w:sz="4" w:space="0" w:color="000000"/>
              <w:right w:val="single" w:sz="4" w:space="0" w:color="000000"/>
            </w:tcBorders>
          </w:tcPr>
          <w:p w14:paraId="7D39A2B3" w14:textId="77777777" w:rsidR="00E03711" w:rsidRPr="00F769E0" w:rsidRDefault="00E03711" w:rsidP="001923DD">
            <w:pPr>
              <w:pStyle w:val="Guide-Table"/>
              <w:rPr>
                <w:rFonts w:cs="Tahoma"/>
                <w:lang w:val="sl-SI" w:eastAsia="en-GB"/>
              </w:rPr>
            </w:pPr>
            <w:r w:rsidRPr="00F769E0">
              <w:rPr>
                <w:rFonts w:cs="Tahoma"/>
                <w:lang w:val="sl-SI" w:eastAsia="en-GB"/>
              </w:rPr>
              <w:t>230</w:t>
            </w:r>
          </w:p>
        </w:tc>
      </w:tr>
      <w:tr w:rsidR="00E03711" w:rsidRPr="00F769E0" w14:paraId="7D39A2B7"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B5" w14:textId="77777777" w:rsidR="00E03711" w:rsidRPr="00F769E0" w:rsidRDefault="00E03711" w:rsidP="001923DD">
            <w:pPr>
              <w:pStyle w:val="Guide-Table"/>
              <w:jc w:val="left"/>
              <w:rPr>
                <w:rFonts w:cs="Tahoma"/>
                <w:lang w:val="sl-SI" w:eastAsia="en-GB"/>
              </w:rPr>
            </w:pPr>
            <w:r w:rsidRPr="00F769E0">
              <w:rPr>
                <w:rFonts w:cs="Tahoma"/>
                <w:lang w:val="sl-SI" w:eastAsia="en-GB"/>
              </w:rPr>
              <w:t>Ekvador</w:t>
            </w:r>
          </w:p>
        </w:tc>
        <w:tc>
          <w:tcPr>
            <w:tcW w:w="1453" w:type="pct"/>
            <w:tcBorders>
              <w:top w:val="single" w:sz="4" w:space="0" w:color="000000"/>
              <w:left w:val="single" w:sz="4" w:space="0" w:color="000000"/>
              <w:bottom w:val="single" w:sz="4" w:space="0" w:color="000000"/>
              <w:right w:val="single" w:sz="4" w:space="0" w:color="000000"/>
            </w:tcBorders>
          </w:tcPr>
          <w:p w14:paraId="7D39A2B6" w14:textId="77777777" w:rsidR="00E03711" w:rsidRPr="00F769E0" w:rsidRDefault="00E03711" w:rsidP="001923DD">
            <w:pPr>
              <w:pStyle w:val="Guide-Table"/>
              <w:rPr>
                <w:rFonts w:cs="Tahoma"/>
                <w:lang w:val="sl-SI" w:eastAsia="en-GB"/>
              </w:rPr>
            </w:pPr>
            <w:r w:rsidRPr="00F769E0">
              <w:rPr>
                <w:rFonts w:cs="Tahoma"/>
                <w:lang w:val="sl-SI" w:eastAsia="en-GB"/>
              </w:rPr>
              <w:t>190</w:t>
            </w:r>
          </w:p>
        </w:tc>
      </w:tr>
      <w:tr w:rsidR="00E03711" w:rsidRPr="00F769E0" w14:paraId="7D39A2BA"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B8" w14:textId="77777777" w:rsidR="00E03711" w:rsidRPr="00F769E0" w:rsidRDefault="00E03711" w:rsidP="001923DD">
            <w:pPr>
              <w:pStyle w:val="Guide-Table"/>
              <w:jc w:val="left"/>
              <w:rPr>
                <w:rFonts w:cs="Tahoma"/>
                <w:lang w:val="sl-SI" w:eastAsia="en-GB"/>
              </w:rPr>
            </w:pPr>
            <w:r w:rsidRPr="00F769E0">
              <w:rPr>
                <w:rFonts w:cs="Tahoma"/>
                <w:lang w:val="sl-SI" w:eastAsia="en-GB"/>
              </w:rPr>
              <w:t>Egipt</w:t>
            </w:r>
          </w:p>
        </w:tc>
        <w:tc>
          <w:tcPr>
            <w:tcW w:w="1453" w:type="pct"/>
            <w:tcBorders>
              <w:top w:val="single" w:sz="4" w:space="0" w:color="000000"/>
              <w:left w:val="single" w:sz="4" w:space="0" w:color="000000"/>
              <w:bottom w:val="single" w:sz="4" w:space="0" w:color="000000"/>
              <w:right w:val="single" w:sz="4" w:space="0" w:color="000000"/>
            </w:tcBorders>
          </w:tcPr>
          <w:p w14:paraId="7D39A2B9" w14:textId="77777777" w:rsidR="00E03711" w:rsidRPr="00F769E0" w:rsidRDefault="00E03711" w:rsidP="001923DD">
            <w:pPr>
              <w:pStyle w:val="Guide-Table"/>
              <w:rPr>
                <w:rFonts w:cs="Tahoma"/>
                <w:lang w:val="sl-SI" w:eastAsia="en-GB"/>
              </w:rPr>
            </w:pPr>
            <w:r w:rsidRPr="00F769E0">
              <w:rPr>
                <w:rFonts w:cs="Tahoma"/>
                <w:lang w:val="sl-SI" w:eastAsia="en-GB"/>
              </w:rPr>
              <w:t>205</w:t>
            </w:r>
          </w:p>
        </w:tc>
      </w:tr>
      <w:tr w:rsidR="00E03711" w:rsidRPr="00F769E0" w14:paraId="7D39A2BD"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BB" w14:textId="77777777" w:rsidR="00E03711" w:rsidRPr="00F769E0" w:rsidRDefault="00E03711" w:rsidP="006A40CD">
            <w:pPr>
              <w:pStyle w:val="Guide-Table"/>
              <w:jc w:val="left"/>
              <w:rPr>
                <w:rFonts w:cs="Tahoma"/>
                <w:lang w:val="sl-SI" w:eastAsia="en-GB"/>
              </w:rPr>
            </w:pPr>
            <w:r>
              <w:rPr>
                <w:rFonts w:cs="Tahoma"/>
                <w:lang w:val="sl-SI" w:eastAsia="en-GB"/>
              </w:rPr>
              <w:t>Esvatini</w:t>
            </w:r>
          </w:p>
        </w:tc>
        <w:tc>
          <w:tcPr>
            <w:tcW w:w="1453" w:type="pct"/>
            <w:tcBorders>
              <w:top w:val="single" w:sz="4" w:space="0" w:color="000000"/>
              <w:left w:val="single" w:sz="4" w:space="0" w:color="000000"/>
              <w:bottom w:val="single" w:sz="4" w:space="0" w:color="000000"/>
              <w:right w:val="single" w:sz="4" w:space="0" w:color="000000"/>
            </w:tcBorders>
          </w:tcPr>
          <w:p w14:paraId="7D39A2BC" w14:textId="77777777" w:rsidR="00E03711" w:rsidRPr="00F769E0" w:rsidRDefault="00E03711" w:rsidP="006A40CD">
            <w:pPr>
              <w:pStyle w:val="Guide-Table"/>
              <w:rPr>
                <w:rFonts w:cs="Tahoma"/>
                <w:lang w:val="sl-SI" w:eastAsia="en-GB"/>
              </w:rPr>
            </w:pPr>
            <w:r w:rsidRPr="00F769E0">
              <w:rPr>
                <w:rFonts w:cs="Tahoma"/>
                <w:lang w:val="sl-SI" w:eastAsia="en-GB"/>
              </w:rPr>
              <w:t>140</w:t>
            </w:r>
          </w:p>
        </w:tc>
      </w:tr>
      <w:tr w:rsidR="00E03711" w:rsidRPr="00F769E0" w14:paraId="7D39A2C0"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BE" w14:textId="77777777" w:rsidR="00E03711" w:rsidRPr="00F769E0" w:rsidRDefault="00E03711" w:rsidP="001923DD">
            <w:pPr>
              <w:pStyle w:val="Guide-Table"/>
              <w:jc w:val="left"/>
              <w:rPr>
                <w:rFonts w:cs="Tahoma"/>
                <w:lang w:val="sl-SI" w:eastAsia="en-GB"/>
              </w:rPr>
            </w:pPr>
            <w:r w:rsidRPr="00F769E0">
              <w:rPr>
                <w:rFonts w:cs="Tahoma"/>
                <w:lang w:val="sl-SI" w:eastAsia="en-GB"/>
              </w:rPr>
              <w:t>Salvador</w:t>
            </w:r>
          </w:p>
        </w:tc>
        <w:tc>
          <w:tcPr>
            <w:tcW w:w="1453" w:type="pct"/>
            <w:tcBorders>
              <w:top w:val="single" w:sz="4" w:space="0" w:color="000000"/>
              <w:left w:val="single" w:sz="4" w:space="0" w:color="000000"/>
              <w:bottom w:val="single" w:sz="4" w:space="0" w:color="000000"/>
              <w:right w:val="single" w:sz="4" w:space="0" w:color="000000"/>
            </w:tcBorders>
          </w:tcPr>
          <w:p w14:paraId="7D39A2BF" w14:textId="77777777" w:rsidR="00E03711" w:rsidRPr="00F769E0" w:rsidRDefault="00E03711" w:rsidP="001923DD">
            <w:pPr>
              <w:pStyle w:val="Guide-Table"/>
              <w:rPr>
                <w:rFonts w:cs="Tahoma"/>
                <w:lang w:val="sl-SI" w:eastAsia="en-GB"/>
              </w:rPr>
            </w:pPr>
            <w:r w:rsidRPr="00F769E0">
              <w:rPr>
                <w:rFonts w:cs="Tahoma"/>
                <w:lang w:val="sl-SI" w:eastAsia="en-GB"/>
              </w:rPr>
              <w:t>180</w:t>
            </w:r>
          </w:p>
        </w:tc>
      </w:tr>
      <w:tr w:rsidR="00E03711" w:rsidRPr="00F769E0" w14:paraId="7D39A2C3"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C1" w14:textId="77777777" w:rsidR="00E03711" w:rsidRPr="00F769E0" w:rsidRDefault="00E03711" w:rsidP="001923DD">
            <w:pPr>
              <w:pStyle w:val="Guide-Table"/>
              <w:jc w:val="left"/>
              <w:rPr>
                <w:rFonts w:cs="Tahoma"/>
                <w:lang w:val="sl-SI" w:eastAsia="en-GB"/>
              </w:rPr>
            </w:pPr>
            <w:r w:rsidRPr="00F769E0">
              <w:rPr>
                <w:rFonts w:cs="Tahoma"/>
                <w:lang w:val="sl-SI" w:eastAsia="en-GB"/>
              </w:rPr>
              <w:t>Ekvatorialna Gvineja</w:t>
            </w:r>
          </w:p>
        </w:tc>
        <w:tc>
          <w:tcPr>
            <w:tcW w:w="1453" w:type="pct"/>
            <w:tcBorders>
              <w:top w:val="single" w:sz="4" w:space="0" w:color="000000"/>
              <w:left w:val="single" w:sz="4" w:space="0" w:color="000000"/>
              <w:bottom w:val="single" w:sz="4" w:space="0" w:color="000000"/>
              <w:right w:val="single" w:sz="4" w:space="0" w:color="000000"/>
            </w:tcBorders>
          </w:tcPr>
          <w:p w14:paraId="7D39A2C2" w14:textId="77777777" w:rsidR="00E03711" w:rsidRPr="00F769E0" w:rsidRDefault="00E03711" w:rsidP="001923DD">
            <w:pPr>
              <w:pStyle w:val="Guide-Table"/>
              <w:rPr>
                <w:rFonts w:cs="Tahoma"/>
                <w:lang w:val="sl-SI" w:eastAsia="en-GB"/>
              </w:rPr>
            </w:pPr>
            <w:r w:rsidRPr="00F769E0">
              <w:rPr>
                <w:rFonts w:cs="Tahoma"/>
                <w:lang w:val="sl-SI" w:eastAsia="en-GB"/>
              </w:rPr>
              <w:t>145</w:t>
            </w:r>
          </w:p>
        </w:tc>
      </w:tr>
      <w:tr w:rsidR="00E03711" w:rsidRPr="00F769E0" w14:paraId="7D39A2C6"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C4" w14:textId="77777777" w:rsidR="00E03711" w:rsidRPr="00F769E0" w:rsidRDefault="00E03711" w:rsidP="001923DD">
            <w:pPr>
              <w:pStyle w:val="Guide-Table"/>
              <w:jc w:val="left"/>
              <w:rPr>
                <w:rFonts w:cs="Tahoma"/>
                <w:lang w:val="sl-SI" w:eastAsia="en-GB"/>
              </w:rPr>
            </w:pPr>
            <w:r w:rsidRPr="00F769E0">
              <w:rPr>
                <w:rFonts w:cs="Tahoma"/>
                <w:lang w:val="sl-SI" w:eastAsia="en-GB"/>
              </w:rPr>
              <w:t>Eritreja</w:t>
            </w:r>
          </w:p>
        </w:tc>
        <w:tc>
          <w:tcPr>
            <w:tcW w:w="1453" w:type="pct"/>
            <w:tcBorders>
              <w:top w:val="single" w:sz="4" w:space="0" w:color="000000"/>
              <w:left w:val="single" w:sz="4" w:space="0" w:color="000000"/>
              <w:bottom w:val="single" w:sz="4" w:space="0" w:color="000000"/>
              <w:right w:val="single" w:sz="4" w:space="0" w:color="000000"/>
            </w:tcBorders>
          </w:tcPr>
          <w:p w14:paraId="7D39A2C5" w14:textId="77777777" w:rsidR="00E03711" w:rsidRPr="00F769E0" w:rsidRDefault="00E03711" w:rsidP="001923DD">
            <w:pPr>
              <w:pStyle w:val="Guide-Table"/>
              <w:rPr>
                <w:rFonts w:cs="Tahoma"/>
                <w:lang w:val="sl-SI" w:eastAsia="en-GB"/>
              </w:rPr>
            </w:pPr>
            <w:r w:rsidRPr="00F769E0">
              <w:rPr>
                <w:rFonts w:cs="Tahoma"/>
                <w:lang w:val="sl-SI" w:eastAsia="en-GB"/>
              </w:rPr>
              <w:t>130</w:t>
            </w:r>
          </w:p>
        </w:tc>
      </w:tr>
      <w:tr w:rsidR="00E03711" w:rsidRPr="00F769E0" w14:paraId="7D39A2C9"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C7" w14:textId="77777777" w:rsidR="00E03711" w:rsidRPr="00F769E0" w:rsidRDefault="00E03711" w:rsidP="001923DD">
            <w:pPr>
              <w:pStyle w:val="Guide-Table"/>
              <w:jc w:val="left"/>
              <w:rPr>
                <w:rFonts w:cs="Tahoma"/>
                <w:lang w:val="sl-SI" w:eastAsia="en-GB"/>
              </w:rPr>
            </w:pPr>
            <w:r w:rsidRPr="00F769E0">
              <w:rPr>
                <w:rFonts w:cs="Tahoma"/>
                <w:lang w:val="sl-SI" w:eastAsia="en-GB"/>
              </w:rPr>
              <w:t>Etiopija</w:t>
            </w:r>
          </w:p>
        </w:tc>
        <w:tc>
          <w:tcPr>
            <w:tcW w:w="1453" w:type="pct"/>
            <w:tcBorders>
              <w:top w:val="single" w:sz="4" w:space="0" w:color="000000"/>
              <w:left w:val="single" w:sz="4" w:space="0" w:color="000000"/>
              <w:bottom w:val="single" w:sz="4" w:space="0" w:color="000000"/>
              <w:right w:val="single" w:sz="4" w:space="0" w:color="000000"/>
            </w:tcBorders>
          </w:tcPr>
          <w:p w14:paraId="7D39A2C8" w14:textId="77777777" w:rsidR="00E03711" w:rsidRPr="00F769E0" w:rsidRDefault="00E03711" w:rsidP="001923DD">
            <w:pPr>
              <w:pStyle w:val="Guide-Table"/>
              <w:rPr>
                <w:rFonts w:cs="Tahoma"/>
                <w:lang w:val="sl-SI" w:eastAsia="en-GB"/>
              </w:rPr>
            </w:pPr>
            <w:r w:rsidRPr="00F769E0">
              <w:rPr>
                <w:rFonts w:cs="Tahoma"/>
                <w:lang w:val="sl-SI" w:eastAsia="en-GB"/>
              </w:rPr>
              <w:t>195</w:t>
            </w:r>
          </w:p>
        </w:tc>
      </w:tr>
      <w:tr w:rsidR="00E03711" w:rsidRPr="00F769E0" w14:paraId="7D39A2CC"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CA" w14:textId="77777777" w:rsidR="00E03711" w:rsidRPr="00F769E0" w:rsidRDefault="00E03711" w:rsidP="001923DD">
            <w:pPr>
              <w:pStyle w:val="Guide-Table"/>
              <w:jc w:val="left"/>
              <w:rPr>
                <w:rFonts w:cs="Tahoma"/>
                <w:lang w:val="sl-SI" w:eastAsia="en-GB"/>
              </w:rPr>
            </w:pPr>
            <w:r w:rsidRPr="00F769E0">
              <w:rPr>
                <w:rFonts w:cs="Tahoma"/>
                <w:lang w:val="sl-SI" w:eastAsia="en-GB"/>
              </w:rPr>
              <w:t>Fidži</w:t>
            </w:r>
          </w:p>
        </w:tc>
        <w:tc>
          <w:tcPr>
            <w:tcW w:w="1453" w:type="pct"/>
            <w:tcBorders>
              <w:top w:val="single" w:sz="4" w:space="0" w:color="000000"/>
              <w:left w:val="single" w:sz="4" w:space="0" w:color="000000"/>
              <w:bottom w:val="single" w:sz="4" w:space="0" w:color="000000"/>
              <w:right w:val="single" w:sz="4" w:space="0" w:color="000000"/>
            </w:tcBorders>
          </w:tcPr>
          <w:p w14:paraId="7D39A2CB" w14:textId="77777777" w:rsidR="00E03711" w:rsidRPr="00F769E0" w:rsidRDefault="00E03711" w:rsidP="001923DD">
            <w:pPr>
              <w:pStyle w:val="Guide-Table"/>
              <w:rPr>
                <w:rFonts w:cs="Tahoma"/>
                <w:lang w:val="sl-SI" w:eastAsia="en-GB"/>
              </w:rPr>
            </w:pPr>
            <w:r w:rsidRPr="00F769E0">
              <w:rPr>
                <w:rFonts w:cs="Tahoma"/>
                <w:lang w:val="sl-SI" w:eastAsia="en-GB"/>
              </w:rPr>
              <w:t>170</w:t>
            </w:r>
          </w:p>
        </w:tc>
      </w:tr>
      <w:tr w:rsidR="00E03711" w:rsidRPr="00F769E0" w14:paraId="7D39A2CF"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CD" w14:textId="77777777" w:rsidR="00E03711" w:rsidRPr="00F769E0" w:rsidRDefault="00E03711" w:rsidP="001923DD">
            <w:pPr>
              <w:pStyle w:val="Guide-Table"/>
              <w:jc w:val="left"/>
              <w:rPr>
                <w:rFonts w:cs="Tahoma"/>
                <w:lang w:val="sl-SI" w:eastAsia="en-GB"/>
              </w:rPr>
            </w:pPr>
            <w:r w:rsidRPr="00F769E0">
              <w:rPr>
                <w:rFonts w:cs="Tahoma"/>
                <w:lang w:val="sl-SI" w:eastAsia="en-GB"/>
              </w:rPr>
              <w:t>Gabon</w:t>
            </w:r>
          </w:p>
        </w:tc>
        <w:tc>
          <w:tcPr>
            <w:tcW w:w="1453" w:type="pct"/>
            <w:tcBorders>
              <w:top w:val="single" w:sz="4" w:space="0" w:color="000000"/>
              <w:left w:val="single" w:sz="4" w:space="0" w:color="000000"/>
              <w:bottom w:val="single" w:sz="4" w:space="0" w:color="000000"/>
              <w:right w:val="single" w:sz="4" w:space="0" w:color="000000"/>
            </w:tcBorders>
          </w:tcPr>
          <w:p w14:paraId="7D39A2CE" w14:textId="77777777" w:rsidR="00E03711" w:rsidRPr="00F769E0" w:rsidRDefault="00E03711" w:rsidP="001923DD">
            <w:pPr>
              <w:pStyle w:val="Guide-Table"/>
              <w:rPr>
                <w:rFonts w:cs="Tahoma"/>
                <w:lang w:val="sl-SI" w:eastAsia="en-GB"/>
              </w:rPr>
            </w:pPr>
            <w:r w:rsidRPr="00F769E0">
              <w:rPr>
                <w:rFonts w:cs="Tahoma"/>
                <w:lang w:val="sl-SI" w:eastAsia="en-GB"/>
              </w:rPr>
              <w:t>190</w:t>
            </w:r>
          </w:p>
        </w:tc>
      </w:tr>
      <w:tr w:rsidR="00E03711" w:rsidRPr="00F769E0" w14:paraId="7D39A2D2"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D0" w14:textId="77777777" w:rsidR="00E03711" w:rsidRPr="00F769E0" w:rsidRDefault="00E03711" w:rsidP="001923DD">
            <w:pPr>
              <w:pStyle w:val="Guide-Table"/>
              <w:jc w:val="left"/>
              <w:rPr>
                <w:rFonts w:cs="Tahoma"/>
                <w:lang w:val="sl-SI" w:eastAsia="en-GB"/>
              </w:rPr>
            </w:pPr>
            <w:r w:rsidRPr="00F769E0">
              <w:rPr>
                <w:rFonts w:cs="Tahoma"/>
                <w:lang w:val="sl-SI" w:eastAsia="en-GB"/>
              </w:rPr>
              <w:t>Gambija</w:t>
            </w:r>
          </w:p>
        </w:tc>
        <w:tc>
          <w:tcPr>
            <w:tcW w:w="1453" w:type="pct"/>
            <w:tcBorders>
              <w:top w:val="single" w:sz="4" w:space="0" w:color="000000"/>
              <w:left w:val="single" w:sz="4" w:space="0" w:color="000000"/>
              <w:bottom w:val="single" w:sz="4" w:space="0" w:color="000000"/>
              <w:right w:val="single" w:sz="4" w:space="0" w:color="000000"/>
            </w:tcBorders>
          </w:tcPr>
          <w:p w14:paraId="7D39A2D1" w14:textId="77777777" w:rsidR="00E03711" w:rsidRPr="00F769E0" w:rsidRDefault="00E03711" w:rsidP="001923DD">
            <w:pPr>
              <w:pStyle w:val="Guide-Table"/>
              <w:rPr>
                <w:rFonts w:cs="Tahoma"/>
                <w:lang w:val="sl-SI" w:eastAsia="en-GB"/>
              </w:rPr>
            </w:pPr>
            <w:r w:rsidRPr="00F769E0">
              <w:rPr>
                <w:rFonts w:cs="Tahoma"/>
                <w:lang w:val="sl-SI" w:eastAsia="en-GB"/>
              </w:rPr>
              <w:t>170</w:t>
            </w:r>
          </w:p>
        </w:tc>
      </w:tr>
      <w:tr w:rsidR="00E03711" w:rsidRPr="00F769E0" w14:paraId="7D39A2D5"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D3" w14:textId="77777777" w:rsidR="00E03711" w:rsidRPr="00F769E0" w:rsidRDefault="00E03711" w:rsidP="001923DD">
            <w:pPr>
              <w:pStyle w:val="Guide-Table"/>
              <w:jc w:val="left"/>
              <w:rPr>
                <w:rFonts w:cs="Tahoma"/>
                <w:lang w:val="sl-SI" w:eastAsia="en-GB"/>
              </w:rPr>
            </w:pPr>
            <w:r w:rsidRPr="00F769E0">
              <w:rPr>
                <w:rFonts w:cs="Tahoma"/>
                <w:lang w:val="sl-SI" w:eastAsia="en-GB"/>
              </w:rPr>
              <w:t>Gruzija</w:t>
            </w:r>
          </w:p>
        </w:tc>
        <w:tc>
          <w:tcPr>
            <w:tcW w:w="1453" w:type="pct"/>
            <w:tcBorders>
              <w:top w:val="single" w:sz="4" w:space="0" w:color="000000"/>
              <w:left w:val="single" w:sz="4" w:space="0" w:color="000000"/>
              <w:bottom w:val="single" w:sz="4" w:space="0" w:color="000000"/>
              <w:right w:val="single" w:sz="4" w:space="0" w:color="000000"/>
            </w:tcBorders>
          </w:tcPr>
          <w:p w14:paraId="7D39A2D4" w14:textId="77777777" w:rsidR="00E03711" w:rsidRPr="00F769E0" w:rsidRDefault="00E03711" w:rsidP="001923DD">
            <w:pPr>
              <w:pStyle w:val="Guide-Table"/>
              <w:rPr>
                <w:rFonts w:cs="Tahoma"/>
                <w:lang w:val="sl-SI" w:eastAsia="en-GB"/>
              </w:rPr>
            </w:pPr>
            <w:r w:rsidRPr="00F769E0">
              <w:rPr>
                <w:rFonts w:cs="Tahoma"/>
                <w:lang w:val="sl-SI" w:eastAsia="en-GB"/>
              </w:rPr>
              <w:t>295</w:t>
            </w:r>
          </w:p>
        </w:tc>
      </w:tr>
      <w:tr w:rsidR="00E03711" w:rsidRPr="00F769E0" w14:paraId="7D39A2D8"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D6" w14:textId="77777777" w:rsidR="00E03711" w:rsidRPr="00F769E0" w:rsidRDefault="00E03711" w:rsidP="001923DD">
            <w:pPr>
              <w:pStyle w:val="Guide-Table"/>
              <w:jc w:val="left"/>
              <w:rPr>
                <w:rFonts w:cs="Tahoma"/>
                <w:lang w:val="sl-SI" w:eastAsia="en-GB"/>
              </w:rPr>
            </w:pPr>
            <w:r w:rsidRPr="00F769E0">
              <w:rPr>
                <w:rFonts w:cs="Tahoma"/>
                <w:lang w:val="sl-SI" w:eastAsia="en-GB"/>
              </w:rPr>
              <w:t>Gana</w:t>
            </w:r>
          </w:p>
        </w:tc>
        <w:tc>
          <w:tcPr>
            <w:tcW w:w="1453" w:type="pct"/>
            <w:tcBorders>
              <w:top w:val="single" w:sz="4" w:space="0" w:color="000000"/>
              <w:left w:val="single" w:sz="4" w:space="0" w:color="000000"/>
              <w:bottom w:val="single" w:sz="4" w:space="0" w:color="000000"/>
              <w:right w:val="single" w:sz="4" w:space="0" w:color="000000"/>
            </w:tcBorders>
          </w:tcPr>
          <w:p w14:paraId="7D39A2D7" w14:textId="77777777" w:rsidR="00E03711" w:rsidRPr="00F769E0" w:rsidRDefault="00E03711" w:rsidP="001923DD">
            <w:pPr>
              <w:pStyle w:val="Guide-Table"/>
              <w:rPr>
                <w:rFonts w:cs="Tahoma"/>
                <w:lang w:val="sl-SI" w:eastAsia="en-GB"/>
              </w:rPr>
            </w:pPr>
            <w:r w:rsidRPr="00F769E0">
              <w:rPr>
                <w:rFonts w:cs="Tahoma"/>
                <w:lang w:val="sl-SI" w:eastAsia="en-GB"/>
              </w:rPr>
              <w:t>210</w:t>
            </w:r>
          </w:p>
        </w:tc>
      </w:tr>
      <w:tr w:rsidR="00E03711" w:rsidRPr="00F769E0" w14:paraId="7D39A2DB"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D9" w14:textId="77777777" w:rsidR="00E03711" w:rsidRPr="00F769E0" w:rsidRDefault="00E03711" w:rsidP="001923DD">
            <w:pPr>
              <w:pStyle w:val="Guide-Table"/>
              <w:jc w:val="left"/>
              <w:rPr>
                <w:rFonts w:cs="Tahoma"/>
                <w:lang w:val="sl-SI" w:eastAsia="en-GB"/>
              </w:rPr>
            </w:pPr>
            <w:r w:rsidRPr="00F769E0">
              <w:rPr>
                <w:rFonts w:cs="Tahoma"/>
                <w:lang w:val="sl-SI" w:eastAsia="en-GB"/>
              </w:rPr>
              <w:t>Granada</w:t>
            </w:r>
          </w:p>
        </w:tc>
        <w:tc>
          <w:tcPr>
            <w:tcW w:w="1453" w:type="pct"/>
            <w:tcBorders>
              <w:top w:val="single" w:sz="4" w:space="0" w:color="000000"/>
              <w:left w:val="single" w:sz="4" w:space="0" w:color="000000"/>
              <w:bottom w:val="single" w:sz="4" w:space="0" w:color="000000"/>
              <w:right w:val="single" w:sz="4" w:space="0" w:color="000000"/>
            </w:tcBorders>
          </w:tcPr>
          <w:p w14:paraId="7D39A2DA" w14:textId="77777777" w:rsidR="00E03711" w:rsidRPr="00F769E0" w:rsidRDefault="00E03711" w:rsidP="001923DD">
            <w:pPr>
              <w:pStyle w:val="Guide-Table"/>
              <w:rPr>
                <w:rFonts w:cs="Tahoma"/>
                <w:lang w:val="sl-SI" w:eastAsia="en-GB"/>
              </w:rPr>
            </w:pPr>
            <w:r w:rsidRPr="00F769E0">
              <w:rPr>
                <w:rFonts w:cs="Tahoma"/>
                <w:lang w:val="sl-SI" w:eastAsia="en-GB"/>
              </w:rPr>
              <w:t>215</w:t>
            </w:r>
          </w:p>
        </w:tc>
      </w:tr>
      <w:tr w:rsidR="00E03711" w:rsidRPr="00F769E0" w14:paraId="7D39A2DE"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DC" w14:textId="77777777" w:rsidR="00E03711" w:rsidRPr="00F769E0" w:rsidRDefault="00E03711" w:rsidP="001923DD">
            <w:pPr>
              <w:pStyle w:val="Guide-Table"/>
              <w:jc w:val="left"/>
              <w:rPr>
                <w:rFonts w:cs="Tahoma"/>
                <w:lang w:val="sl-SI" w:eastAsia="en-GB"/>
              </w:rPr>
            </w:pPr>
            <w:r w:rsidRPr="00F769E0">
              <w:rPr>
                <w:rFonts w:cs="Tahoma"/>
                <w:lang w:val="sl-SI" w:eastAsia="en-GB"/>
              </w:rPr>
              <w:t>Gvatemala</w:t>
            </w:r>
          </w:p>
        </w:tc>
        <w:tc>
          <w:tcPr>
            <w:tcW w:w="1453" w:type="pct"/>
            <w:tcBorders>
              <w:top w:val="single" w:sz="4" w:space="0" w:color="000000"/>
              <w:left w:val="single" w:sz="4" w:space="0" w:color="000000"/>
              <w:bottom w:val="single" w:sz="4" w:space="0" w:color="000000"/>
              <w:right w:val="single" w:sz="4" w:space="0" w:color="000000"/>
            </w:tcBorders>
          </w:tcPr>
          <w:p w14:paraId="7D39A2DD" w14:textId="77777777" w:rsidR="00E03711" w:rsidRPr="00F769E0" w:rsidRDefault="00E03711" w:rsidP="001923DD">
            <w:pPr>
              <w:pStyle w:val="Guide-Table"/>
              <w:rPr>
                <w:rFonts w:cs="Tahoma"/>
                <w:lang w:val="sl-SI" w:eastAsia="en-GB"/>
              </w:rPr>
            </w:pPr>
            <w:r w:rsidRPr="00F769E0">
              <w:rPr>
                <w:rFonts w:cs="Tahoma"/>
                <w:lang w:val="sl-SI" w:eastAsia="en-GB"/>
              </w:rPr>
              <w:t>175</w:t>
            </w:r>
          </w:p>
        </w:tc>
      </w:tr>
      <w:tr w:rsidR="00E03711" w:rsidRPr="00F769E0" w14:paraId="7D39A2E1"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DF" w14:textId="77777777" w:rsidR="00E03711" w:rsidRPr="00F769E0" w:rsidRDefault="00E03711" w:rsidP="001923DD">
            <w:pPr>
              <w:pStyle w:val="Guide-Table"/>
              <w:jc w:val="left"/>
              <w:rPr>
                <w:rFonts w:cs="Tahoma"/>
                <w:lang w:val="sl-SI" w:eastAsia="en-GB"/>
              </w:rPr>
            </w:pPr>
            <w:r w:rsidRPr="00F769E0">
              <w:rPr>
                <w:rFonts w:cs="Tahoma"/>
                <w:lang w:val="sl-SI" w:eastAsia="en-GB"/>
              </w:rPr>
              <w:t>Gvineja</w:t>
            </w:r>
          </w:p>
        </w:tc>
        <w:tc>
          <w:tcPr>
            <w:tcW w:w="1453" w:type="pct"/>
            <w:tcBorders>
              <w:top w:val="single" w:sz="4" w:space="0" w:color="000000"/>
              <w:left w:val="single" w:sz="4" w:space="0" w:color="000000"/>
              <w:bottom w:val="single" w:sz="4" w:space="0" w:color="000000"/>
              <w:right w:val="single" w:sz="4" w:space="0" w:color="000000"/>
            </w:tcBorders>
          </w:tcPr>
          <w:p w14:paraId="7D39A2E0" w14:textId="77777777" w:rsidR="00E03711" w:rsidRPr="00F769E0" w:rsidRDefault="00E03711" w:rsidP="001923DD">
            <w:pPr>
              <w:pStyle w:val="Guide-Table"/>
              <w:rPr>
                <w:rFonts w:cs="Tahoma"/>
                <w:lang w:val="sl-SI" w:eastAsia="en-GB"/>
              </w:rPr>
            </w:pPr>
            <w:r w:rsidRPr="00F769E0">
              <w:rPr>
                <w:rFonts w:cs="Tahoma"/>
                <w:lang w:val="sl-SI" w:eastAsia="en-GB"/>
              </w:rPr>
              <w:t>185</w:t>
            </w:r>
          </w:p>
        </w:tc>
      </w:tr>
      <w:tr w:rsidR="00E03711" w:rsidRPr="00F769E0" w14:paraId="7D39A2E4"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E2" w14:textId="77777777" w:rsidR="00E03711" w:rsidRPr="00F769E0" w:rsidRDefault="00E03711" w:rsidP="001923DD">
            <w:pPr>
              <w:pStyle w:val="Guide-Table"/>
              <w:jc w:val="left"/>
              <w:rPr>
                <w:rFonts w:cs="Tahoma"/>
                <w:lang w:val="sl-SI" w:eastAsia="en-GB"/>
              </w:rPr>
            </w:pPr>
            <w:r w:rsidRPr="00F769E0">
              <w:rPr>
                <w:rFonts w:cs="Tahoma"/>
                <w:lang w:val="sl-SI" w:eastAsia="en-GB"/>
              </w:rPr>
              <w:t>Gvineja Bissau</w:t>
            </w:r>
          </w:p>
        </w:tc>
        <w:tc>
          <w:tcPr>
            <w:tcW w:w="1453" w:type="pct"/>
            <w:tcBorders>
              <w:top w:val="single" w:sz="4" w:space="0" w:color="000000"/>
              <w:left w:val="single" w:sz="4" w:space="0" w:color="000000"/>
              <w:bottom w:val="single" w:sz="4" w:space="0" w:color="000000"/>
              <w:right w:val="single" w:sz="4" w:space="0" w:color="000000"/>
            </w:tcBorders>
          </w:tcPr>
          <w:p w14:paraId="7D39A2E3" w14:textId="77777777" w:rsidR="00E03711" w:rsidRPr="00F769E0" w:rsidRDefault="00E03711" w:rsidP="001923DD">
            <w:pPr>
              <w:pStyle w:val="Guide-Table"/>
              <w:rPr>
                <w:rFonts w:cs="Tahoma"/>
                <w:lang w:val="sl-SI" w:eastAsia="en-GB"/>
              </w:rPr>
            </w:pPr>
            <w:r w:rsidRPr="00F769E0">
              <w:rPr>
                <w:rFonts w:cs="Tahoma"/>
                <w:lang w:val="sl-SI" w:eastAsia="en-GB"/>
              </w:rPr>
              <w:t>140</w:t>
            </w:r>
          </w:p>
        </w:tc>
      </w:tr>
      <w:tr w:rsidR="00E03711" w:rsidRPr="00F769E0" w14:paraId="7D39A2E7"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E5" w14:textId="77777777" w:rsidR="00E03711" w:rsidRPr="00F769E0" w:rsidRDefault="00E03711" w:rsidP="001923DD">
            <w:pPr>
              <w:pStyle w:val="Guide-Table"/>
              <w:jc w:val="left"/>
              <w:rPr>
                <w:rFonts w:cs="Tahoma"/>
                <w:lang w:val="sl-SI" w:eastAsia="en-GB"/>
              </w:rPr>
            </w:pPr>
            <w:r w:rsidRPr="00F769E0">
              <w:rPr>
                <w:rFonts w:cs="Tahoma"/>
                <w:lang w:val="sl-SI" w:eastAsia="en-GB"/>
              </w:rPr>
              <w:t>Gvajana</w:t>
            </w:r>
          </w:p>
        </w:tc>
        <w:tc>
          <w:tcPr>
            <w:tcW w:w="1453" w:type="pct"/>
            <w:tcBorders>
              <w:top w:val="single" w:sz="4" w:space="0" w:color="000000"/>
              <w:left w:val="single" w:sz="4" w:space="0" w:color="000000"/>
              <w:bottom w:val="single" w:sz="4" w:space="0" w:color="000000"/>
              <w:right w:val="single" w:sz="4" w:space="0" w:color="000000"/>
            </w:tcBorders>
          </w:tcPr>
          <w:p w14:paraId="7D39A2E6" w14:textId="77777777" w:rsidR="00E03711" w:rsidRPr="00F769E0" w:rsidRDefault="00E03711" w:rsidP="001923DD">
            <w:pPr>
              <w:pStyle w:val="Guide-Table"/>
              <w:rPr>
                <w:rFonts w:cs="Tahoma"/>
                <w:lang w:val="sl-SI" w:eastAsia="en-GB"/>
              </w:rPr>
            </w:pPr>
            <w:r w:rsidRPr="00F769E0">
              <w:rPr>
                <w:rFonts w:cs="Tahoma"/>
                <w:lang w:val="sl-SI" w:eastAsia="en-GB"/>
              </w:rPr>
              <w:t>210</w:t>
            </w:r>
          </w:p>
        </w:tc>
      </w:tr>
      <w:tr w:rsidR="00E03711" w:rsidRPr="00F769E0" w14:paraId="7D39A2EA"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E8" w14:textId="77777777" w:rsidR="00E03711" w:rsidRPr="00F769E0" w:rsidRDefault="00E03711" w:rsidP="001923DD">
            <w:pPr>
              <w:pStyle w:val="Guide-Table"/>
              <w:jc w:val="left"/>
              <w:rPr>
                <w:rFonts w:cs="Tahoma"/>
                <w:lang w:val="sl-SI" w:eastAsia="en-GB"/>
              </w:rPr>
            </w:pPr>
            <w:r w:rsidRPr="00F769E0">
              <w:rPr>
                <w:rFonts w:cs="Tahoma"/>
                <w:lang w:val="sl-SI" w:eastAsia="en-GB"/>
              </w:rPr>
              <w:t>Haiti</w:t>
            </w:r>
          </w:p>
        </w:tc>
        <w:tc>
          <w:tcPr>
            <w:tcW w:w="1453" w:type="pct"/>
            <w:tcBorders>
              <w:top w:val="single" w:sz="4" w:space="0" w:color="000000"/>
              <w:left w:val="single" w:sz="4" w:space="0" w:color="000000"/>
              <w:bottom w:val="single" w:sz="4" w:space="0" w:color="000000"/>
              <w:right w:val="single" w:sz="4" w:space="0" w:color="000000"/>
            </w:tcBorders>
          </w:tcPr>
          <w:p w14:paraId="7D39A2E9" w14:textId="77777777" w:rsidR="00E03711" w:rsidRPr="00F769E0" w:rsidRDefault="00E03711" w:rsidP="001923DD">
            <w:pPr>
              <w:pStyle w:val="Guide-Table"/>
              <w:rPr>
                <w:rFonts w:cs="Tahoma"/>
                <w:lang w:val="sl-SI" w:eastAsia="en-GB"/>
              </w:rPr>
            </w:pPr>
            <w:r w:rsidRPr="00F769E0">
              <w:rPr>
                <w:rFonts w:cs="Tahoma"/>
                <w:lang w:val="sl-SI" w:eastAsia="en-GB"/>
              </w:rPr>
              <w:t>190</w:t>
            </w:r>
          </w:p>
        </w:tc>
      </w:tr>
      <w:tr w:rsidR="00E03711" w:rsidRPr="00F769E0" w14:paraId="7D39A2ED"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EB" w14:textId="77777777" w:rsidR="00E03711" w:rsidRPr="00F769E0" w:rsidRDefault="00E03711" w:rsidP="001923DD">
            <w:pPr>
              <w:pStyle w:val="Guide-Table"/>
              <w:jc w:val="left"/>
              <w:rPr>
                <w:rFonts w:cs="Tahoma"/>
                <w:lang w:val="sl-SI" w:eastAsia="en-GB"/>
              </w:rPr>
            </w:pPr>
            <w:r w:rsidRPr="00F769E0">
              <w:rPr>
                <w:rFonts w:cs="Tahoma"/>
                <w:lang w:val="sl-SI" w:eastAsia="en-GB"/>
              </w:rPr>
              <w:t>Honduras</w:t>
            </w:r>
          </w:p>
        </w:tc>
        <w:tc>
          <w:tcPr>
            <w:tcW w:w="1453" w:type="pct"/>
            <w:tcBorders>
              <w:top w:val="single" w:sz="4" w:space="0" w:color="000000"/>
              <w:left w:val="single" w:sz="4" w:space="0" w:color="000000"/>
              <w:bottom w:val="single" w:sz="4" w:space="0" w:color="000000"/>
              <w:right w:val="single" w:sz="4" w:space="0" w:color="000000"/>
            </w:tcBorders>
          </w:tcPr>
          <w:p w14:paraId="7D39A2EC" w14:textId="77777777" w:rsidR="00E03711" w:rsidRPr="00F769E0" w:rsidRDefault="00E03711" w:rsidP="001923DD">
            <w:pPr>
              <w:pStyle w:val="Guide-Table"/>
              <w:rPr>
                <w:rFonts w:cs="Tahoma"/>
                <w:lang w:val="sl-SI" w:eastAsia="en-GB"/>
              </w:rPr>
            </w:pPr>
            <w:r w:rsidRPr="00F769E0">
              <w:rPr>
                <w:rFonts w:cs="Tahoma"/>
                <w:lang w:val="sl-SI" w:eastAsia="en-GB"/>
              </w:rPr>
              <w:t>175</w:t>
            </w:r>
          </w:p>
        </w:tc>
      </w:tr>
      <w:tr w:rsidR="00E03711" w:rsidRPr="00F769E0" w14:paraId="7D39A2F0"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EE" w14:textId="77777777" w:rsidR="00E03711" w:rsidRPr="00F769E0" w:rsidRDefault="00E03711" w:rsidP="001923DD">
            <w:pPr>
              <w:pStyle w:val="Guide-Table"/>
              <w:jc w:val="left"/>
              <w:rPr>
                <w:rFonts w:cs="Tahoma"/>
                <w:lang w:val="sl-SI" w:eastAsia="en-GB"/>
              </w:rPr>
            </w:pPr>
            <w:r w:rsidRPr="00F769E0">
              <w:rPr>
                <w:rFonts w:cs="Tahoma"/>
                <w:lang w:val="sl-SI" w:eastAsia="en-GB"/>
              </w:rPr>
              <w:t>Hongkong</w:t>
            </w:r>
          </w:p>
        </w:tc>
        <w:tc>
          <w:tcPr>
            <w:tcW w:w="1453" w:type="pct"/>
            <w:tcBorders>
              <w:top w:val="single" w:sz="4" w:space="0" w:color="000000"/>
              <w:left w:val="single" w:sz="4" w:space="0" w:color="000000"/>
              <w:bottom w:val="single" w:sz="4" w:space="0" w:color="000000"/>
              <w:right w:val="single" w:sz="4" w:space="0" w:color="000000"/>
            </w:tcBorders>
          </w:tcPr>
          <w:p w14:paraId="7D39A2EF" w14:textId="77777777" w:rsidR="00E03711" w:rsidRPr="00F769E0" w:rsidRDefault="00E03711" w:rsidP="001923DD">
            <w:pPr>
              <w:pStyle w:val="Guide-Table"/>
              <w:rPr>
                <w:rFonts w:cs="Tahoma"/>
                <w:lang w:val="sl-SI" w:eastAsia="en-GB"/>
              </w:rPr>
            </w:pPr>
            <w:r w:rsidRPr="00F769E0">
              <w:rPr>
                <w:rFonts w:cs="Tahoma"/>
                <w:lang w:val="sl-SI" w:eastAsia="en-GB"/>
              </w:rPr>
              <w:t>265</w:t>
            </w:r>
          </w:p>
        </w:tc>
      </w:tr>
      <w:tr w:rsidR="00E03711" w:rsidRPr="00F769E0" w14:paraId="7D39A2F3"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F1" w14:textId="77777777" w:rsidR="00E03711" w:rsidRPr="00F769E0" w:rsidRDefault="00E03711" w:rsidP="001923DD">
            <w:pPr>
              <w:pStyle w:val="Guide-Table"/>
              <w:jc w:val="left"/>
              <w:rPr>
                <w:rFonts w:cs="Tahoma"/>
                <w:lang w:val="sl-SI" w:eastAsia="en-GB"/>
              </w:rPr>
            </w:pPr>
            <w:r w:rsidRPr="00F769E0">
              <w:rPr>
                <w:rFonts w:cs="Tahoma"/>
                <w:lang w:val="sl-SI" w:eastAsia="en-GB"/>
              </w:rPr>
              <w:t>Indija</w:t>
            </w:r>
          </w:p>
        </w:tc>
        <w:tc>
          <w:tcPr>
            <w:tcW w:w="1453" w:type="pct"/>
            <w:tcBorders>
              <w:top w:val="single" w:sz="4" w:space="0" w:color="000000"/>
              <w:left w:val="single" w:sz="4" w:space="0" w:color="000000"/>
              <w:bottom w:val="single" w:sz="4" w:space="0" w:color="000000"/>
              <w:right w:val="single" w:sz="4" w:space="0" w:color="000000"/>
            </w:tcBorders>
          </w:tcPr>
          <w:p w14:paraId="7D39A2F2" w14:textId="77777777" w:rsidR="00E03711" w:rsidRPr="00F769E0" w:rsidRDefault="00E03711" w:rsidP="001923DD">
            <w:pPr>
              <w:pStyle w:val="Guide-Table"/>
              <w:rPr>
                <w:rFonts w:cs="Tahoma"/>
                <w:lang w:val="sl-SI" w:eastAsia="en-GB"/>
              </w:rPr>
            </w:pPr>
            <w:r w:rsidRPr="00F769E0">
              <w:rPr>
                <w:rFonts w:cs="Tahoma"/>
                <w:lang w:val="sl-SI" w:eastAsia="en-GB"/>
              </w:rPr>
              <w:t>245</w:t>
            </w:r>
          </w:p>
        </w:tc>
      </w:tr>
      <w:tr w:rsidR="00E03711" w:rsidRPr="00F769E0" w14:paraId="7D39A2F6"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F4" w14:textId="77777777" w:rsidR="00E03711" w:rsidRPr="00F769E0" w:rsidRDefault="00E03711" w:rsidP="001923DD">
            <w:pPr>
              <w:pStyle w:val="Guide-Table"/>
              <w:jc w:val="left"/>
              <w:rPr>
                <w:rFonts w:cs="Tahoma"/>
                <w:lang w:val="sl-SI" w:eastAsia="en-GB"/>
              </w:rPr>
            </w:pPr>
            <w:r w:rsidRPr="00F769E0">
              <w:rPr>
                <w:rFonts w:cs="Tahoma"/>
                <w:lang w:val="sl-SI" w:eastAsia="en-GB"/>
              </w:rPr>
              <w:t>Indonezija</w:t>
            </w:r>
          </w:p>
        </w:tc>
        <w:tc>
          <w:tcPr>
            <w:tcW w:w="1453" w:type="pct"/>
            <w:tcBorders>
              <w:top w:val="single" w:sz="4" w:space="0" w:color="000000"/>
              <w:left w:val="single" w:sz="4" w:space="0" w:color="000000"/>
              <w:bottom w:val="single" w:sz="4" w:space="0" w:color="000000"/>
              <w:right w:val="single" w:sz="4" w:space="0" w:color="000000"/>
            </w:tcBorders>
          </w:tcPr>
          <w:p w14:paraId="7D39A2F5" w14:textId="77777777" w:rsidR="00E03711" w:rsidRPr="00F769E0" w:rsidRDefault="00E03711" w:rsidP="001923DD">
            <w:pPr>
              <w:pStyle w:val="Guide-Table"/>
              <w:rPr>
                <w:rFonts w:cs="Tahoma"/>
                <w:lang w:val="sl-SI" w:eastAsia="en-GB"/>
              </w:rPr>
            </w:pPr>
            <w:r w:rsidRPr="00F769E0">
              <w:rPr>
                <w:rFonts w:cs="Tahoma"/>
                <w:lang w:val="sl-SI" w:eastAsia="en-GB"/>
              </w:rPr>
              <w:t>195</w:t>
            </w:r>
          </w:p>
        </w:tc>
      </w:tr>
      <w:tr w:rsidR="00E03711" w:rsidRPr="00F769E0" w14:paraId="7D39A2F9"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F7" w14:textId="77777777" w:rsidR="00E03711" w:rsidRPr="00F769E0" w:rsidRDefault="00E03711" w:rsidP="001923DD">
            <w:pPr>
              <w:pStyle w:val="Guide-Table"/>
              <w:jc w:val="left"/>
              <w:rPr>
                <w:rFonts w:cs="Tahoma"/>
                <w:lang w:val="sl-SI" w:eastAsia="en-GB"/>
              </w:rPr>
            </w:pPr>
            <w:r w:rsidRPr="00F769E0">
              <w:rPr>
                <w:rFonts w:cs="Tahoma"/>
                <w:lang w:val="sl-SI" w:eastAsia="en-GB"/>
              </w:rPr>
              <w:t>Iran</w:t>
            </w:r>
          </w:p>
        </w:tc>
        <w:tc>
          <w:tcPr>
            <w:tcW w:w="1453" w:type="pct"/>
            <w:tcBorders>
              <w:top w:val="single" w:sz="4" w:space="0" w:color="000000"/>
              <w:left w:val="single" w:sz="4" w:space="0" w:color="000000"/>
              <w:bottom w:val="single" w:sz="4" w:space="0" w:color="000000"/>
              <w:right w:val="single" w:sz="4" w:space="0" w:color="000000"/>
            </w:tcBorders>
          </w:tcPr>
          <w:p w14:paraId="7D39A2F8" w14:textId="77777777" w:rsidR="00E03711" w:rsidRPr="00F769E0" w:rsidRDefault="00E03711" w:rsidP="001923DD">
            <w:pPr>
              <w:pStyle w:val="Guide-Table"/>
              <w:rPr>
                <w:rFonts w:cs="Tahoma"/>
                <w:lang w:val="sl-SI" w:eastAsia="en-GB"/>
              </w:rPr>
            </w:pPr>
            <w:r w:rsidRPr="00F769E0">
              <w:rPr>
                <w:rFonts w:cs="Tahoma"/>
                <w:lang w:val="sl-SI" w:eastAsia="en-GB"/>
              </w:rPr>
              <w:t>200</w:t>
            </w:r>
          </w:p>
        </w:tc>
      </w:tr>
      <w:tr w:rsidR="00E03711" w:rsidRPr="00F769E0" w14:paraId="7D39A2FC"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FA" w14:textId="77777777" w:rsidR="00E03711" w:rsidRPr="00F769E0" w:rsidRDefault="00E03711" w:rsidP="001923DD">
            <w:pPr>
              <w:pStyle w:val="Guide-Table"/>
              <w:jc w:val="left"/>
              <w:rPr>
                <w:rFonts w:cs="Tahoma"/>
                <w:lang w:val="sl-SI" w:eastAsia="en-GB"/>
              </w:rPr>
            </w:pPr>
            <w:r w:rsidRPr="00F769E0">
              <w:rPr>
                <w:rFonts w:cs="Tahoma"/>
                <w:lang w:val="sl-SI" w:eastAsia="en-GB"/>
              </w:rPr>
              <w:t>Irak</w:t>
            </w:r>
          </w:p>
        </w:tc>
        <w:tc>
          <w:tcPr>
            <w:tcW w:w="1453" w:type="pct"/>
            <w:tcBorders>
              <w:top w:val="single" w:sz="4" w:space="0" w:color="000000"/>
              <w:left w:val="single" w:sz="4" w:space="0" w:color="000000"/>
              <w:bottom w:val="single" w:sz="4" w:space="0" w:color="000000"/>
              <w:right w:val="single" w:sz="4" w:space="0" w:color="000000"/>
            </w:tcBorders>
          </w:tcPr>
          <w:p w14:paraId="7D39A2FB" w14:textId="77777777" w:rsidR="00E03711" w:rsidRPr="00F769E0" w:rsidRDefault="00E03711" w:rsidP="001923DD">
            <w:pPr>
              <w:pStyle w:val="Guide-Table"/>
              <w:rPr>
                <w:rFonts w:cs="Tahoma"/>
                <w:lang w:val="sl-SI" w:eastAsia="en-GB"/>
              </w:rPr>
            </w:pPr>
            <w:r w:rsidRPr="00F769E0">
              <w:rPr>
                <w:rFonts w:cs="Tahoma"/>
                <w:lang w:val="sl-SI" w:eastAsia="en-GB"/>
              </w:rPr>
              <w:t>145</w:t>
            </w:r>
          </w:p>
        </w:tc>
      </w:tr>
      <w:tr w:rsidR="00E03711" w:rsidRPr="00F769E0" w14:paraId="7D39A2FF"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2FD" w14:textId="77777777" w:rsidR="00E03711" w:rsidRPr="00F769E0" w:rsidRDefault="00E03711" w:rsidP="001923DD">
            <w:pPr>
              <w:pStyle w:val="Guide-Table"/>
              <w:jc w:val="left"/>
              <w:rPr>
                <w:rFonts w:cs="Tahoma"/>
                <w:lang w:val="sl-SI" w:eastAsia="en-GB"/>
              </w:rPr>
            </w:pPr>
            <w:r w:rsidRPr="00F769E0">
              <w:rPr>
                <w:rFonts w:cs="Tahoma"/>
                <w:lang w:val="sl-SI" w:eastAsia="en-GB"/>
              </w:rPr>
              <w:t>Izrael</w:t>
            </w:r>
          </w:p>
        </w:tc>
        <w:tc>
          <w:tcPr>
            <w:tcW w:w="1453" w:type="pct"/>
            <w:tcBorders>
              <w:top w:val="single" w:sz="4" w:space="0" w:color="000000"/>
              <w:left w:val="single" w:sz="4" w:space="0" w:color="000000"/>
              <w:bottom w:val="single" w:sz="4" w:space="0" w:color="000000"/>
              <w:right w:val="single" w:sz="4" w:space="0" w:color="000000"/>
            </w:tcBorders>
          </w:tcPr>
          <w:p w14:paraId="7D39A2FE" w14:textId="77777777" w:rsidR="00E03711" w:rsidRPr="00F769E0" w:rsidRDefault="00E03711" w:rsidP="001923DD">
            <w:pPr>
              <w:pStyle w:val="Guide-Table"/>
              <w:rPr>
                <w:rFonts w:cs="Tahoma"/>
                <w:lang w:val="sl-SI" w:eastAsia="en-GB"/>
              </w:rPr>
            </w:pPr>
            <w:r w:rsidRPr="00F769E0">
              <w:rPr>
                <w:rFonts w:cs="Tahoma"/>
                <w:lang w:val="sl-SI" w:eastAsia="en-GB"/>
              </w:rPr>
              <w:t>315</w:t>
            </w:r>
          </w:p>
        </w:tc>
      </w:tr>
      <w:tr w:rsidR="00E03711" w:rsidRPr="00F769E0" w14:paraId="7D39A302"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00" w14:textId="77777777" w:rsidR="00E03711" w:rsidRPr="00F769E0" w:rsidRDefault="00E03711" w:rsidP="001923DD">
            <w:pPr>
              <w:pStyle w:val="Guide-Table"/>
              <w:jc w:val="left"/>
              <w:rPr>
                <w:rFonts w:cs="Tahoma"/>
                <w:lang w:val="sl-SI" w:eastAsia="en-GB"/>
              </w:rPr>
            </w:pPr>
            <w:r w:rsidRPr="00F769E0">
              <w:rPr>
                <w:rFonts w:cs="Tahoma"/>
                <w:lang w:val="sl-SI" w:eastAsia="en-GB"/>
              </w:rPr>
              <w:t>Slonokoščena obala</w:t>
            </w:r>
          </w:p>
        </w:tc>
        <w:tc>
          <w:tcPr>
            <w:tcW w:w="1453" w:type="pct"/>
            <w:tcBorders>
              <w:top w:val="single" w:sz="4" w:space="0" w:color="000000"/>
              <w:left w:val="single" w:sz="4" w:space="0" w:color="000000"/>
              <w:bottom w:val="single" w:sz="4" w:space="0" w:color="000000"/>
              <w:right w:val="single" w:sz="4" w:space="0" w:color="000000"/>
            </w:tcBorders>
          </w:tcPr>
          <w:p w14:paraId="7D39A301" w14:textId="77777777" w:rsidR="00E03711" w:rsidRPr="00F769E0" w:rsidRDefault="00E03711" w:rsidP="001923DD">
            <w:pPr>
              <w:pStyle w:val="Guide-Table"/>
              <w:rPr>
                <w:rFonts w:cs="Tahoma"/>
                <w:lang w:val="sl-SI" w:eastAsia="en-GB"/>
              </w:rPr>
            </w:pPr>
            <w:r w:rsidRPr="00F769E0">
              <w:rPr>
                <w:rFonts w:cs="Tahoma"/>
                <w:lang w:val="sl-SI" w:eastAsia="en-GB"/>
              </w:rPr>
              <w:t>190</w:t>
            </w:r>
          </w:p>
        </w:tc>
      </w:tr>
      <w:tr w:rsidR="00E03711" w:rsidRPr="00F769E0" w14:paraId="7D39A305"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03" w14:textId="77777777" w:rsidR="00E03711" w:rsidRPr="00F769E0" w:rsidRDefault="00E03711" w:rsidP="001923DD">
            <w:pPr>
              <w:pStyle w:val="Guide-Table"/>
              <w:jc w:val="left"/>
              <w:rPr>
                <w:rFonts w:cs="Tahoma"/>
                <w:lang w:val="sl-SI" w:eastAsia="en-GB"/>
              </w:rPr>
            </w:pPr>
            <w:r w:rsidRPr="00F769E0">
              <w:rPr>
                <w:rFonts w:cs="Tahoma"/>
                <w:lang w:val="sl-SI" w:eastAsia="en-GB"/>
              </w:rPr>
              <w:t>Jamajka</w:t>
            </w:r>
          </w:p>
        </w:tc>
        <w:tc>
          <w:tcPr>
            <w:tcW w:w="1453" w:type="pct"/>
            <w:tcBorders>
              <w:top w:val="single" w:sz="4" w:space="0" w:color="000000"/>
              <w:left w:val="single" w:sz="4" w:space="0" w:color="000000"/>
              <w:bottom w:val="single" w:sz="4" w:space="0" w:color="000000"/>
              <w:right w:val="single" w:sz="4" w:space="0" w:color="000000"/>
            </w:tcBorders>
          </w:tcPr>
          <w:p w14:paraId="7D39A304" w14:textId="77777777" w:rsidR="00E03711" w:rsidRPr="00F769E0" w:rsidRDefault="00E03711" w:rsidP="001923DD">
            <w:pPr>
              <w:pStyle w:val="Guide-Table"/>
              <w:rPr>
                <w:rFonts w:cs="Tahoma"/>
                <w:lang w:val="sl-SI" w:eastAsia="en-GB"/>
              </w:rPr>
            </w:pPr>
            <w:r w:rsidRPr="00F769E0">
              <w:rPr>
                <w:rFonts w:cs="Tahoma"/>
                <w:lang w:val="sl-SI" w:eastAsia="en-GB"/>
              </w:rPr>
              <w:t>230</w:t>
            </w:r>
          </w:p>
        </w:tc>
      </w:tr>
      <w:tr w:rsidR="00E03711" w:rsidRPr="00F769E0" w14:paraId="7D39A308"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06" w14:textId="77777777" w:rsidR="00E03711" w:rsidRPr="00F769E0" w:rsidRDefault="00E03711" w:rsidP="001923DD">
            <w:pPr>
              <w:pStyle w:val="Guide-Table"/>
              <w:jc w:val="left"/>
              <w:rPr>
                <w:rFonts w:cs="Tahoma"/>
                <w:lang w:val="sl-SI" w:eastAsia="en-GB"/>
              </w:rPr>
            </w:pPr>
            <w:r w:rsidRPr="00F769E0">
              <w:rPr>
                <w:rFonts w:cs="Tahoma"/>
                <w:lang w:val="sl-SI" w:eastAsia="en-GB"/>
              </w:rPr>
              <w:t>Japonska</w:t>
            </w:r>
          </w:p>
        </w:tc>
        <w:tc>
          <w:tcPr>
            <w:tcW w:w="1453" w:type="pct"/>
            <w:tcBorders>
              <w:top w:val="single" w:sz="4" w:space="0" w:color="000000"/>
              <w:left w:val="single" w:sz="4" w:space="0" w:color="000000"/>
              <w:bottom w:val="single" w:sz="4" w:space="0" w:color="000000"/>
              <w:right w:val="single" w:sz="4" w:space="0" w:color="000000"/>
            </w:tcBorders>
          </w:tcPr>
          <w:p w14:paraId="7D39A307" w14:textId="77777777" w:rsidR="00E03711" w:rsidRPr="00F769E0" w:rsidRDefault="00E03711" w:rsidP="001923DD">
            <w:pPr>
              <w:pStyle w:val="Guide-Table"/>
              <w:rPr>
                <w:rFonts w:cs="Tahoma"/>
                <w:lang w:val="sl-SI" w:eastAsia="en-GB"/>
              </w:rPr>
            </w:pPr>
            <w:r w:rsidRPr="00F769E0">
              <w:rPr>
                <w:rFonts w:cs="Tahoma"/>
                <w:lang w:val="sl-SI" w:eastAsia="en-GB"/>
              </w:rPr>
              <w:t>405</w:t>
            </w:r>
          </w:p>
        </w:tc>
      </w:tr>
      <w:tr w:rsidR="00E03711" w:rsidRPr="00F769E0" w14:paraId="7D39A30B"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09" w14:textId="77777777" w:rsidR="00E03711" w:rsidRPr="00F769E0" w:rsidRDefault="00E03711" w:rsidP="001923DD">
            <w:pPr>
              <w:pStyle w:val="Guide-Table"/>
              <w:jc w:val="left"/>
              <w:rPr>
                <w:rFonts w:cs="Tahoma"/>
                <w:lang w:val="sl-SI" w:eastAsia="en-GB"/>
              </w:rPr>
            </w:pPr>
            <w:r w:rsidRPr="00F769E0">
              <w:rPr>
                <w:rFonts w:cs="Tahoma"/>
                <w:lang w:val="sl-SI" w:eastAsia="en-GB"/>
              </w:rPr>
              <w:t>Katar</w:t>
            </w:r>
          </w:p>
        </w:tc>
        <w:tc>
          <w:tcPr>
            <w:tcW w:w="1453" w:type="pct"/>
            <w:tcBorders>
              <w:top w:val="single" w:sz="4" w:space="0" w:color="000000"/>
              <w:left w:val="single" w:sz="4" w:space="0" w:color="000000"/>
              <w:bottom w:val="single" w:sz="4" w:space="0" w:color="000000"/>
              <w:right w:val="single" w:sz="4" w:space="0" w:color="000000"/>
            </w:tcBorders>
          </w:tcPr>
          <w:p w14:paraId="7D39A30A" w14:textId="77777777" w:rsidR="00E03711" w:rsidRPr="00F769E0" w:rsidRDefault="00E03711" w:rsidP="001923DD">
            <w:pPr>
              <w:pStyle w:val="Guide-Table"/>
              <w:rPr>
                <w:rFonts w:cs="Tahoma"/>
                <w:lang w:val="sl-SI" w:eastAsia="en-GB"/>
              </w:rPr>
            </w:pPr>
            <w:r w:rsidRPr="00F769E0">
              <w:rPr>
                <w:rFonts w:cs="Tahoma"/>
                <w:lang w:val="sl-SI" w:eastAsia="en-GB"/>
              </w:rPr>
              <w:t>200</w:t>
            </w:r>
          </w:p>
        </w:tc>
      </w:tr>
      <w:tr w:rsidR="00E03711" w:rsidRPr="00F769E0" w14:paraId="7D39A30E"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0C" w14:textId="77777777" w:rsidR="00E03711" w:rsidRPr="00F769E0" w:rsidRDefault="00E03711" w:rsidP="001923DD">
            <w:pPr>
              <w:pStyle w:val="Guide-Table"/>
              <w:jc w:val="left"/>
              <w:rPr>
                <w:rFonts w:cs="Tahoma"/>
                <w:lang w:val="sl-SI" w:eastAsia="en-GB"/>
              </w:rPr>
            </w:pPr>
            <w:r w:rsidRPr="00F769E0">
              <w:rPr>
                <w:rFonts w:cs="Tahoma"/>
                <w:lang w:val="sl-SI" w:eastAsia="en-GB"/>
              </w:rPr>
              <w:t>Ruanda</w:t>
            </w:r>
          </w:p>
        </w:tc>
        <w:tc>
          <w:tcPr>
            <w:tcW w:w="1453" w:type="pct"/>
            <w:tcBorders>
              <w:top w:val="single" w:sz="4" w:space="0" w:color="000000"/>
              <w:left w:val="single" w:sz="4" w:space="0" w:color="000000"/>
              <w:bottom w:val="single" w:sz="4" w:space="0" w:color="000000"/>
              <w:right w:val="single" w:sz="4" w:space="0" w:color="000000"/>
            </w:tcBorders>
          </w:tcPr>
          <w:p w14:paraId="7D39A30D" w14:textId="77777777" w:rsidR="00E03711" w:rsidRPr="00F769E0" w:rsidRDefault="00E03711" w:rsidP="001923DD">
            <w:pPr>
              <w:pStyle w:val="Guide-Table"/>
              <w:rPr>
                <w:rFonts w:cs="Tahoma"/>
                <w:lang w:val="sl-SI" w:eastAsia="en-GB"/>
              </w:rPr>
            </w:pPr>
            <w:r w:rsidRPr="00F769E0">
              <w:rPr>
                <w:rFonts w:cs="Tahoma"/>
                <w:lang w:val="sl-SI" w:eastAsia="en-GB"/>
              </w:rPr>
              <w:t>225</w:t>
            </w:r>
          </w:p>
        </w:tc>
      </w:tr>
      <w:tr w:rsidR="00E03711" w:rsidRPr="00F769E0" w14:paraId="7D39A311"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0F" w14:textId="77777777" w:rsidR="00E03711" w:rsidRPr="00F769E0" w:rsidRDefault="00E03711" w:rsidP="001923DD">
            <w:pPr>
              <w:pStyle w:val="Guide-Table"/>
              <w:jc w:val="left"/>
              <w:rPr>
                <w:rFonts w:cs="Tahoma"/>
                <w:lang w:val="sl-SI" w:eastAsia="en-GB"/>
              </w:rPr>
            </w:pPr>
            <w:r w:rsidRPr="00F769E0">
              <w:rPr>
                <w:rFonts w:cs="Tahoma"/>
                <w:lang w:val="sl-SI" w:eastAsia="en-GB"/>
              </w:rPr>
              <w:t>Saint Kitts in Nevis</w:t>
            </w:r>
          </w:p>
        </w:tc>
        <w:tc>
          <w:tcPr>
            <w:tcW w:w="1453" w:type="pct"/>
            <w:tcBorders>
              <w:top w:val="single" w:sz="4" w:space="0" w:color="000000"/>
              <w:left w:val="single" w:sz="4" w:space="0" w:color="000000"/>
              <w:bottom w:val="single" w:sz="4" w:space="0" w:color="000000"/>
              <w:right w:val="single" w:sz="4" w:space="0" w:color="000000"/>
            </w:tcBorders>
          </w:tcPr>
          <w:p w14:paraId="7D39A310" w14:textId="77777777" w:rsidR="00E03711" w:rsidRPr="00F769E0" w:rsidRDefault="00E03711" w:rsidP="001923DD">
            <w:pPr>
              <w:pStyle w:val="Guide-Table"/>
              <w:rPr>
                <w:rFonts w:cs="Tahoma"/>
                <w:lang w:val="sl-SI" w:eastAsia="en-GB"/>
              </w:rPr>
            </w:pPr>
            <w:r w:rsidRPr="00F769E0">
              <w:rPr>
                <w:rFonts w:cs="Tahoma"/>
                <w:lang w:val="sl-SI" w:eastAsia="en-GB"/>
              </w:rPr>
              <w:t>270</w:t>
            </w:r>
          </w:p>
        </w:tc>
      </w:tr>
      <w:tr w:rsidR="00E03711" w:rsidRPr="00F769E0" w14:paraId="7D39A314"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12" w14:textId="77777777" w:rsidR="00E03711" w:rsidRPr="00F769E0" w:rsidRDefault="00E03711" w:rsidP="001923DD">
            <w:pPr>
              <w:pStyle w:val="Guide-Table"/>
              <w:jc w:val="left"/>
              <w:rPr>
                <w:rFonts w:cs="Tahoma"/>
                <w:lang w:val="sl-SI" w:eastAsia="en-GB"/>
              </w:rPr>
            </w:pPr>
            <w:r w:rsidRPr="00F769E0">
              <w:rPr>
                <w:rFonts w:cs="Tahoma"/>
                <w:lang w:val="sl-SI" w:eastAsia="en-GB"/>
              </w:rPr>
              <w:t>Sveta Lucija</w:t>
            </w:r>
          </w:p>
        </w:tc>
        <w:tc>
          <w:tcPr>
            <w:tcW w:w="1453" w:type="pct"/>
            <w:tcBorders>
              <w:top w:val="single" w:sz="4" w:space="0" w:color="000000"/>
              <w:left w:val="single" w:sz="4" w:space="0" w:color="000000"/>
              <w:bottom w:val="single" w:sz="4" w:space="0" w:color="000000"/>
              <w:right w:val="single" w:sz="4" w:space="0" w:color="000000"/>
            </w:tcBorders>
          </w:tcPr>
          <w:p w14:paraId="7D39A313" w14:textId="77777777" w:rsidR="00E03711" w:rsidRPr="00F769E0" w:rsidRDefault="00E03711" w:rsidP="001923DD">
            <w:pPr>
              <w:pStyle w:val="Guide-Table"/>
              <w:rPr>
                <w:rFonts w:cs="Tahoma"/>
                <w:lang w:val="sl-SI" w:eastAsia="en-GB"/>
              </w:rPr>
            </w:pPr>
            <w:r w:rsidRPr="00F769E0">
              <w:rPr>
                <w:rFonts w:cs="Tahoma"/>
                <w:lang w:val="sl-SI" w:eastAsia="en-GB"/>
              </w:rPr>
              <w:t>215</w:t>
            </w:r>
          </w:p>
        </w:tc>
      </w:tr>
      <w:tr w:rsidR="00E03711" w:rsidRPr="00F769E0" w14:paraId="7D39A317"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15" w14:textId="77777777" w:rsidR="00E03711" w:rsidRPr="00F769E0" w:rsidRDefault="00E03711" w:rsidP="001923DD">
            <w:pPr>
              <w:pStyle w:val="Guide-Table"/>
              <w:jc w:val="left"/>
              <w:rPr>
                <w:rFonts w:cs="Tahoma"/>
                <w:lang w:val="sl-SI" w:eastAsia="en-GB"/>
              </w:rPr>
            </w:pPr>
            <w:r w:rsidRPr="00F769E0">
              <w:rPr>
                <w:rFonts w:cs="Tahoma"/>
                <w:lang w:val="sl-SI" w:eastAsia="en-GB"/>
              </w:rPr>
              <w:t>Saint Vincent in Grenadine</w:t>
            </w:r>
          </w:p>
        </w:tc>
        <w:tc>
          <w:tcPr>
            <w:tcW w:w="1453" w:type="pct"/>
            <w:tcBorders>
              <w:top w:val="single" w:sz="4" w:space="0" w:color="000000"/>
              <w:left w:val="single" w:sz="4" w:space="0" w:color="000000"/>
              <w:bottom w:val="single" w:sz="4" w:space="0" w:color="000000"/>
              <w:right w:val="single" w:sz="4" w:space="0" w:color="000000"/>
            </w:tcBorders>
          </w:tcPr>
          <w:p w14:paraId="7D39A316" w14:textId="77777777" w:rsidR="00E03711" w:rsidRPr="00F769E0" w:rsidRDefault="00E03711" w:rsidP="001923DD">
            <w:pPr>
              <w:pStyle w:val="Guide-Table"/>
              <w:rPr>
                <w:rFonts w:cs="Tahoma"/>
                <w:lang w:val="sl-SI" w:eastAsia="en-GB"/>
              </w:rPr>
            </w:pPr>
            <w:r w:rsidRPr="00F769E0">
              <w:rPr>
                <w:rFonts w:cs="Tahoma"/>
                <w:lang w:val="sl-SI" w:eastAsia="en-GB"/>
              </w:rPr>
              <w:t>265</w:t>
            </w:r>
          </w:p>
        </w:tc>
      </w:tr>
      <w:tr w:rsidR="00E03711" w:rsidRPr="00F769E0" w14:paraId="7D39A31A"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18" w14:textId="77777777" w:rsidR="00E03711" w:rsidRPr="00F769E0" w:rsidRDefault="00E03711" w:rsidP="001923DD">
            <w:pPr>
              <w:pStyle w:val="Guide-Table"/>
              <w:jc w:val="left"/>
              <w:rPr>
                <w:rFonts w:cs="Tahoma"/>
                <w:lang w:val="sl-SI" w:eastAsia="en-GB"/>
              </w:rPr>
            </w:pPr>
            <w:r w:rsidRPr="00F769E0">
              <w:rPr>
                <w:rFonts w:cs="Tahoma"/>
                <w:lang w:val="sl-SI" w:eastAsia="en-GB"/>
              </w:rPr>
              <w:t>Samoa</w:t>
            </w:r>
          </w:p>
        </w:tc>
        <w:tc>
          <w:tcPr>
            <w:tcW w:w="1453" w:type="pct"/>
            <w:tcBorders>
              <w:top w:val="single" w:sz="4" w:space="0" w:color="000000"/>
              <w:left w:val="single" w:sz="4" w:space="0" w:color="000000"/>
              <w:bottom w:val="single" w:sz="4" w:space="0" w:color="000000"/>
              <w:right w:val="single" w:sz="4" w:space="0" w:color="000000"/>
            </w:tcBorders>
          </w:tcPr>
          <w:p w14:paraId="7D39A319" w14:textId="77777777" w:rsidR="00E03711" w:rsidRPr="00F769E0" w:rsidRDefault="00E03711" w:rsidP="001923DD">
            <w:pPr>
              <w:pStyle w:val="Guide-Table"/>
              <w:rPr>
                <w:rFonts w:cs="Tahoma"/>
                <w:lang w:val="sl-SI" w:eastAsia="en-GB"/>
              </w:rPr>
            </w:pPr>
            <w:r w:rsidRPr="00F769E0">
              <w:rPr>
                <w:rFonts w:cs="Tahoma"/>
                <w:lang w:val="sl-SI" w:eastAsia="en-GB"/>
              </w:rPr>
              <w:t>185</w:t>
            </w:r>
          </w:p>
        </w:tc>
      </w:tr>
      <w:tr w:rsidR="00E03711" w:rsidRPr="00F769E0" w14:paraId="7D39A31D"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1B" w14:textId="77777777" w:rsidR="00E03711" w:rsidRPr="00F769E0" w:rsidRDefault="00E03711" w:rsidP="001923DD">
            <w:pPr>
              <w:pStyle w:val="Guide-Table"/>
              <w:jc w:val="left"/>
              <w:rPr>
                <w:rFonts w:cs="Tahoma"/>
                <w:lang w:val="sl-SI" w:eastAsia="en-GB"/>
              </w:rPr>
            </w:pPr>
            <w:r w:rsidRPr="00F769E0">
              <w:rPr>
                <w:rFonts w:cs="Tahoma"/>
                <w:lang w:val="sl-SI" w:eastAsia="en-GB"/>
              </w:rPr>
              <w:t>San Marino</w:t>
            </w:r>
          </w:p>
        </w:tc>
        <w:tc>
          <w:tcPr>
            <w:tcW w:w="1453" w:type="pct"/>
            <w:tcBorders>
              <w:top w:val="single" w:sz="4" w:space="0" w:color="000000"/>
              <w:left w:val="single" w:sz="4" w:space="0" w:color="000000"/>
              <w:bottom w:val="single" w:sz="4" w:space="0" w:color="000000"/>
              <w:right w:val="single" w:sz="4" w:space="0" w:color="000000"/>
            </w:tcBorders>
          </w:tcPr>
          <w:p w14:paraId="7D39A31C" w14:textId="77777777" w:rsidR="00E03711" w:rsidRPr="00F769E0" w:rsidRDefault="00E03711" w:rsidP="001923DD">
            <w:pPr>
              <w:pStyle w:val="Guide-Table"/>
              <w:rPr>
                <w:rFonts w:cs="Tahoma"/>
                <w:lang w:val="sl-SI" w:eastAsia="en-GB"/>
              </w:rPr>
            </w:pPr>
            <w:r w:rsidRPr="00F769E0">
              <w:rPr>
                <w:rFonts w:cs="Tahoma"/>
                <w:lang w:val="sl-SI" w:eastAsia="en-GB"/>
              </w:rPr>
              <w:t>175</w:t>
            </w:r>
          </w:p>
        </w:tc>
      </w:tr>
      <w:tr w:rsidR="00E03711" w:rsidRPr="00F769E0" w14:paraId="7D39A320"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1E" w14:textId="77777777" w:rsidR="00E03711" w:rsidRPr="00F769E0" w:rsidRDefault="00E03711" w:rsidP="001923DD">
            <w:pPr>
              <w:pStyle w:val="Guide-Table"/>
              <w:jc w:val="left"/>
              <w:rPr>
                <w:rFonts w:cs="Tahoma"/>
                <w:lang w:val="sl-SI" w:eastAsia="en-GB"/>
              </w:rPr>
            </w:pPr>
            <w:r w:rsidRPr="00F769E0">
              <w:rPr>
                <w:rFonts w:cs="Tahoma"/>
                <w:lang w:val="sl-SI" w:eastAsia="en-GB"/>
              </w:rPr>
              <w:t>São Tomé in Príncipe</w:t>
            </w:r>
          </w:p>
        </w:tc>
        <w:tc>
          <w:tcPr>
            <w:tcW w:w="1453" w:type="pct"/>
            <w:tcBorders>
              <w:top w:val="single" w:sz="4" w:space="0" w:color="000000"/>
              <w:left w:val="single" w:sz="4" w:space="0" w:color="000000"/>
              <w:bottom w:val="single" w:sz="4" w:space="0" w:color="000000"/>
              <w:right w:val="single" w:sz="4" w:space="0" w:color="000000"/>
            </w:tcBorders>
          </w:tcPr>
          <w:p w14:paraId="7D39A31F" w14:textId="77777777" w:rsidR="00E03711" w:rsidRPr="00F769E0" w:rsidRDefault="00E03711" w:rsidP="001923DD">
            <w:pPr>
              <w:pStyle w:val="Guide-Table"/>
              <w:rPr>
                <w:rFonts w:cs="Tahoma"/>
                <w:lang w:val="sl-SI" w:eastAsia="en-GB"/>
              </w:rPr>
            </w:pPr>
            <w:r w:rsidRPr="00F769E0">
              <w:rPr>
                <w:rFonts w:cs="Tahoma"/>
                <w:lang w:val="sl-SI" w:eastAsia="en-GB"/>
              </w:rPr>
              <w:t>155</w:t>
            </w:r>
          </w:p>
        </w:tc>
      </w:tr>
      <w:tr w:rsidR="00E03711" w:rsidRPr="00F769E0" w14:paraId="7D39A323"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21" w14:textId="77777777" w:rsidR="00E03711" w:rsidRPr="00F769E0" w:rsidRDefault="00E03711" w:rsidP="001923DD">
            <w:pPr>
              <w:pStyle w:val="Guide-Table"/>
              <w:jc w:val="left"/>
              <w:rPr>
                <w:rFonts w:cs="Tahoma"/>
                <w:lang w:val="sl-SI" w:eastAsia="en-GB"/>
              </w:rPr>
            </w:pPr>
            <w:r w:rsidRPr="00F769E0">
              <w:rPr>
                <w:rFonts w:cs="Tahoma"/>
                <w:lang w:val="sl-SI" w:eastAsia="en-GB"/>
              </w:rPr>
              <w:t>Saudova Arabija</w:t>
            </w:r>
          </w:p>
        </w:tc>
        <w:tc>
          <w:tcPr>
            <w:tcW w:w="1453" w:type="pct"/>
            <w:tcBorders>
              <w:top w:val="single" w:sz="4" w:space="0" w:color="000000"/>
              <w:left w:val="single" w:sz="4" w:space="0" w:color="000000"/>
              <w:bottom w:val="single" w:sz="4" w:space="0" w:color="000000"/>
              <w:right w:val="single" w:sz="4" w:space="0" w:color="000000"/>
            </w:tcBorders>
          </w:tcPr>
          <w:p w14:paraId="7D39A322" w14:textId="77777777" w:rsidR="00E03711" w:rsidRPr="00F769E0" w:rsidRDefault="00E03711" w:rsidP="001923DD">
            <w:pPr>
              <w:pStyle w:val="Guide-Table"/>
              <w:rPr>
                <w:rFonts w:cs="Tahoma"/>
                <w:lang w:val="sl-SI" w:eastAsia="en-GB"/>
              </w:rPr>
            </w:pPr>
            <w:r w:rsidRPr="00F769E0">
              <w:rPr>
                <w:rFonts w:cs="Tahoma"/>
                <w:lang w:val="sl-SI" w:eastAsia="en-GB"/>
              </w:rPr>
              <w:t>280</w:t>
            </w:r>
          </w:p>
        </w:tc>
      </w:tr>
      <w:tr w:rsidR="00E03711" w:rsidRPr="00F769E0" w14:paraId="7D39A326"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24" w14:textId="77777777" w:rsidR="00E03711" w:rsidRPr="00F769E0" w:rsidRDefault="00E03711" w:rsidP="001923DD">
            <w:pPr>
              <w:pStyle w:val="Guide-Table"/>
              <w:jc w:val="left"/>
              <w:rPr>
                <w:rFonts w:cs="Tahoma"/>
                <w:lang w:val="sl-SI" w:eastAsia="en-GB"/>
              </w:rPr>
            </w:pPr>
            <w:r w:rsidRPr="00F769E0">
              <w:rPr>
                <w:rFonts w:cs="Tahoma"/>
                <w:lang w:val="sl-SI" w:eastAsia="en-GB"/>
              </w:rPr>
              <w:t>Senegal</w:t>
            </w:r>
          </w:p>
        </w:tc>
        <w:tc>
          <w:tcPr>
            <w:tcW w:w="1453" w:type="pct"/>
            <w:tcBorders>
              <w:top w:val="single" w:sz="4" w:space="0" w:color="000000"/>
              <w:left w:val="single" w:sz="4" w:space="0" w:color="000000"/>
              <w:bottom w:val="single" w:sz="4" w:space="0" w:color="000000"/>
              <w:right w:val="single" w:sz="4" w:space="0" w:color="000000"/>
            </w:tcBorders>
          </w:tcPr>
          <w:p w14:paraId="7D39A325" w14:textId="77777777" w:rsidR="00E03711" w:rsidRPr="00F769E0" w:rsidRDefault="00E03711" w:rsidP="001923DD">
            <w:pPr>
              <w:pStyle w:val="Guide-Table"/>
              <w:rPr>
                <w:rFonts w:cs="Tahoma"/>
                <w:lang w:val="sl-SI" w:eastAsia="en-GB"/>
              </w:rPr>
            </w:pPr>
            <w:r w:rsidRPr="00F769E0">
              <w:rPr>
                <w:rFonts w:cs="Tahoma"/>
                <w:lang w:val="sl-SI" w:eastAsia="en-GB"/>
              </w:rPr>
              <w:t>200</w:t>
            </w:r>
          </w:p>
        </w:tc>
      </w:tr>
      <w:tr w:rsidR="00E03711" w:rsidRPr="00F769E0" w14:paraId="7D39A329"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27" w14:textId="77777777" w:rsidR="00E03711" w:rsidRPr="00F769E0" w:rsidRDefault="00E03711" w:rsidP="001923DD">
            <w:pPr>
              <w:pStyle w:val="Guide-Table"/>
              <w:jc w:val="left"/>
              <w:rPr>
                <w:rFonts w:cs="Tahoma"/>
                <w:lang w:val="sl-SI" w:eastAsia="en-GB"/>
              </w:rPr>
            </w:pPr>
            <w:r w:rsidRPr="00F769E0">
              <w:rPr>
                <w:rFonts w:cs="Tahoma"/>
                <w:lang w:val="sl-SI" w:eastAsia="en-GB"/>
              </w:rPr>
              <w:t>Sejšeli</w:t>
            </w:r>
          </w:p>
        </w:tc>
        <w:tc>
          <w:tcPr>
            <w:tcW w:w="1453" w:type="pct"/>
            <w:tcBorders>
              <w:top w:val="single" w:sz="4" w:space="0" w:color="000000"/>
              <w:left w:val="single" w:sz="4" w:space="0" w:color="000000"/>
              <w:bottom w:val="single" w:sz="4" w:space="0" w:color="000000"/>
              <w:right w:val="single" w:sz="4" w:space="0" w:color="000000"/>
            </w:tcBorders>
          </w:tcPr>
          <w:p w14:paraId="7D39A328" w14:textId="77777777" w:rsidR="00E03711" w:rsidRPr="00F769E0" w:rsidRDefault="00E03711" w:rsidP="001923DD">
            <w:pPr>
              <w:pStyle w:val="Guide-Table"/>
              <w:rPr>
                <w:rFonts w:cs="Tahoma"/>
                <w:lang w:val="sl-SI" w:eastAsia="en-GB"/>
              </w:rPr>
            </w:pPr>
            <w:r w:rsidRPr="00F769E0">
              <w:rPr>
                <w:rFonts w:cs="Tahoma"/>
                <w:lang w:val="sl-SI" w:eastAsia="en-GB"/>
              </w:rPr>
              <w:t>225</w:t>
            </w:r>
          </w:p>
        </w:tc>
      </w:tr>
      <w:tr w:rsidR="00E03711" w:rsidRPr="00F769E0" w14:paraId="7D39A32C"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2A" w14:textId="77777777" w:rsidR="00E03711" w:rsidRPr="00F769E0" w:rsidRDefault="00E03711" w:rsidP="001923DD">
            <w:pPr>
              <w:pStyle w:val="Guide-Table"/>
              <w:jc w:val="left"/>
              <w:rPr>
                <w:rFonts w:cs="Tahoma"/>
                <w:lang w:val="sl-SI" w:eastAsia="en-GB"/>
              </w:rPr>
            </w:pPr>
            <w:r w:rsidRPr="00F769E0">
              <w:rPr>
                <w:rFonts w:cs="Tahoma"/>
                <w:lang w:val="sl-SI" w:eastAsia="en-GB"/>
              </w:rPr>
              <w:t>Sierra Leone</w:t>
            </w:r>
          </w:p>
        </w:tc>
        <w:tc>
          <w:tcPr>
            <w:tcW w:w="1453" w:type="pct"/>
            <w:tcBorders>
              <w:top w:val="single" w:sz="4" w:space="0" w:color="000000"/>
              <w:left w:val="single" w:sz="4" w:space="0" w:color="000000"/>
              <w:bottom w:val="single" w:sz="4" w:space="0" w:color="000000"/>
              <w:right w:val="single" w:sz="4" w:space="0" w:color="000000"/>
            </w:tcBorders>
          </w:tcPr>
          <w:p w14:paraId="7D39A32B" w14:textId="77777777" w:rsidR="00E03711" w:rsidRPr="00F769E0" w:rsidRDefault="00E03711" w:rsidP="001923DD">
            <w:pPr>
              <w:pStyle w:val="Guide-Table"/>
              <w:rPr>
                <w:rFonts w:cs="Tahoma"/>
                <w:lang w:val="sl-SI" w:eastAsia="en-GB"/>
              </w:rPr>
            </w:pPr>
            <w:r w:rsidRPr="00F769E0">
              <w:rPr>
                <w:rFonts w:cs="Tahoma"/>
                <w:lang w:val="sl-SI" w:eastAsia="en-GB"/>
              </w:rPr>
              <w:t>190</w:t>
            </w:r>
          </w:p>
        </w:tc>
      </w:tr>
      <w:tr w:rsidR="00E03711" w:rsidRPr="00F769E0" w14:paraId="7D39A32F"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2D" w14:textId="77777777" w:rsidR="00E03711" w:rsidRPr="00F769E0" w:rsidRDefault="00E03711" w:rsidP="001923DD">
            <w:pPr>
              <w:pStyle w:val="Guide-Table"/>
              <w:jc w:val="left"/>
              <w:rPr>
                <w:rFonts w:cs="Tahoma"/>
                <w:lang w:val="sl-SI" w:eastAsia="en-GB"/>
              </w:rPr>
            </w:pPr>
            <w:r w:rsidRPr="00F769E0">
              <w:rPr>
                <w:rFonts w:cs="Tahoma"/>
                <w:lang w:val="sl-SI" w:eastAsia="en-GB"/>
              </w:rPr>
              <w:t>Singapur</w:t>
            </w:r>
          </w:p>
        </w:tc>
        <w:tc>
          <w:tcPr>
            <w:tcW w:w="1453" w:type="pct"/>
            <w:tcBorders>
              <w:top w:val="single" w:sz="4" w:space="0" w:color="000000"/>
              <w:left w:val="single" w:sz="4" w:space="0" w:color="000000"/>
              <w:bottom w:val="single" w:sz="4" w:space="0" w:color="000000"/>
              <w:right w:val="single" w:sz="4" w:space="0" w:color="000000"/>
            </w:tcBorders>
          </w:tcPr>
          <w:p w14:paraId="7D39A32E" w14:textId="77777777" w:rsidR="00E03711" w:rsidRPr="00F769E0" w:rsidRDefault="00E03711" w:rsidP="001923DD">
            <w:pPr>
              <w:pStyle w:val="Guide-Table"/>
              <w:rPr>
                <w:rFonts w:cs="Tahoma"/>
                <w:lang w:val="sl-SI" w:eastAsia="en-GB"/>
              </w:rPr>
            </w:pPr>
            <w:r w:rsidRPr="00F769E0">
              <w:rPr>
                <w:rFonts w:cs="Tahoma"/>
                <w:lang w:val="sl-SI" w:eastAsia="en-GB"/>
              </w:rPr>
              <w:t>225</w:t>
            </w:r>
          </w:p>
        </w:tc>
      </w:tr>
      <w:tr w:rsidR="00E03711" w:rsidRPr="00F769E0" w14:paraId="7D39A332"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30" w14:textId="77777777" w:rsidR="00E03711" w:rsidRPr="00F769E0" w:rsidRDefault="00E03711" w:rsidP="001923DD">
            <w:pPr>
              <w:pStyle w:val="Guide-Table"/>
              <w:jc w:val="left"/>
              <w:rPr>
                <w:rFonts w:cs="Tahoma"/>
                <w:lang w:val="sl-SI" w:eastAsia="en-GB"/>
              </w:rPr>
            </w:pPr>
            <w:r w:rsidRPr="00F769E0">
              <w:rPr>
                <w:rFonts w:cs="Tahoma"/>
                <w:lang w:val="sl-SI" w:eastAsia="en-GB"/>
              </w:rPr>
              <w:t>Salomonovi otoki</w:t>
            </w:r>
          </w:p>
        </w:tc>
        <w:tc>
          <w:tcPr>
            <w:tcW w:w="1453" w:type="pct"/>
            <w:tcBorders>
              <w:top w:val="single" w:sz="4" w:space="0" w:color="000000"/>
              <w:left w:val="single" w:sz="4" w:space="0" w:color="000000"/>
              <w:bottom w:val="single" w:sz="4" w:space="0" w:color="000000"/>
              <w:right w:val="single" w:sz="4" w:space="0" w:color="000000"/>
            </w:tcBorders>
          </w:tcPr>
          <w:p w14:paraId="7D39A331" w14:textId="77777777" w:rsidR="00E03711" w:rsidRPr="00F769E0" w:rsidRDefault="00E03711" w:rsidP="001923DD">
            <w:pPr>
              <w:pStyle w:val="Guide-Table"/>
              <w:rPr>
                <w:rFonts w:cs="Tahoma"/>
                <w:lang w:val="sl-SI" w:eastAsia="en-GB"/>
              </w:rPr>
            </w:pPr>
            <w:r w:rsidRPr="00F769E0">
              <w:rPr>
                <w:rFonts w:cs="Tahoma"/>
                <w:lang w:val="sl-SI" w:eastAsia="en-GB"/>
              </w:rPr>
              <w:t>170</w:t>
            </w:r>
          </w:p>
        </w:tc>
      </w:tr>
      <w:tr w:rsidR="00E03711" w:rsidRPr="00F769E0" w14:paraId="7D39A335"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33" w14:textId="77777777" w:rsidR="00E03711" w:rsidRPr="00F769E0" w:rsidRDefault="00E03711" w:rsidP="001923DD">
            <w:pPr>
              <w:pStyle w:val="Guide-Table"/>
              <w:jc w:val="left"/>
              <w:rPr>
                <w:rFonts w:cs="Tahoma"/>
                <w:lang w:val="sl-SI" w:eastAsia="en-GB"/>
              </w:rPr>
            </w:pPr>
            <w:r w:rsidRPr="00F769E0">
              <w:rPr>
                <w:rFonts w:cs="Tahoma"/>
                <w:lang w:val="sl-SI" w:eastAsia="en-GB"/>
              </w:rPr>
              <w:t>Somalija</w:t>
            </w:r>
          </w:p>
        </w:tc>
        <w:tc>
          <w:tcPr>
            <w:tcW w:w="1453" w:type="pct"/>
            <w:tcBorders>
              <w:top w:val="single" w:sz="4" w:space="0" w:color="000000"/>
              <w:left w:val="single" w:sz="4" w:space="0" w:color="000000"/>
              <w:bottom w:val="single" w:sz="4" w:space="0" w:color="000000"/>
              <w:right w:val="single" w:sz="4" w:space="0" w:color="000000"/>
            </w:tcBorders>
          </w:tcPr>
          <w:p w14:paraId="7D39A334" w14:textId="77777777" w:rsidR="00E03711" w:rsidRPr="00F769E0" w:rsidRDefault="00E03711" w:rsidP="001923DD">
            <w:pPr>
              <w:pStyle w:val="Guide-Table"/>
              <w:rPr>
                <w:rFonts w:cs="Tahoma"/>
                <w:lang w:val="sl-SI" w:eastAsia="en-GB"/>
              </w:rPr>
            </w:pPr>
            <w:r w:rsidRPr="00F769E0">
              <w:rPr>
                <w:rFonts w:cs="Tahoma"/>
                <w:lang w:val="sl-SI" w:eastAsia="en-GB"/>
              </w:rPr>
              <w:t>175</w:t>
            </w:r>
          </w:p>
        </w:tc>
      </w:tr>
      <w:tr w:rsidR="00E03711" w:rsidRPr="00F769E0" w14:paraId="7D39A338"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36" w14:textId="77777777" w:rsidR="00E03711" w:rsidRPr="00F769E0" w:rsidRDefault="00E03711" w:rsidP="001923DD">
            <w:pPr>
              <w:pStyle w:val="Guide-Table"/>
              <w:jc w:val="left"/>
              <w:rPr>
                <w:rFonts w:cs="Tahoma"/>
                <w:lang w:val="sl-SI" w:eastAsia="en-GB"/>
              </w:rPr>
            </w:pPr>
            <w:r w:rsidRPr="00F769E0">
              <w:rPr>
                <w:rFonts w:cs="Tahoma"/>
                <w:lang w:val="sl-SI" w:eastAsia="en-GB"/>
              </w:rPr>
              <w:t>Južna Afrika</w:t>
            </w:r>
          </w:p>
        </w:tc>
        <w:tc>
          <w:tcPr>
            <w:tcW w:w="1453" w:type="pct"/>
            <w:tcBorders>
              <w:top w:val="single" w:sz="4" w:space="0" w:color="000000"/>
              <w:left w:val="single" w:sz="4" w:space="0" w:color="000000"/>
              <w:bottom w:val="single" w:sz="4" w:space="0" w:color="000000"/>
              <w:right w:val="single" w:sz="4" w:space="0" w:color="000000"/>
            </w:tcBorders>
          </w:tcPr>
          <w:p w14:paraId="7D39A337" w14:textId="77777777" w:rsidR="00E03711" w:rsidRPr="00F769E0" w:rsidRDefault="00E03711" w:rsidP="001923DD">
            <w:pPr>
              <w:pStyle w:val="Guide-Table"/>
              <w:rPr>
                <w:rFonts w:cs="Tahoma"/>
                <w:lang w:val="sl-SI" w:eastAsia="en-GB"/>
              </w:rPr>
            </w:pPr>
            <w:r w:rsidRPr="00F769E0">
              <w:rPr>
                <w:rFonts w:cs="Tahoma"/>
                <w:lang w:val="sl-SI" w:eastAsia="en-GB"/>
              </w:rPr>
              <w:t>195</w:t>
            </w:r>
          </w:p>
        </w:tc>
      </w:tr>
      <w:tr w:rsidR="00E03711" w:rsidRPr="00F769E0" w14:paraId="7D39A33B"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39" w14:textId="77777777" w:rsidR="00E03711" w:rsidRPr="00F769E0" w:rsidRDefault="00E03711" w:rsidP="001923DD">
            <w:pPr>
              <w:pStyle w:val="Guide-Table"/>
              <w:jc w:val="left"/>
              <w:rPr>
                <w:rFonts w:cs="Tahoma"/>
                <w:lang w:val="sl-SI" w:eastAsia="en-GB"/>
              </w:rPr>
            </w:pPr>
            <w:r w:rsidRPr="00F769E0">
              <w:rPr>
                <w:rFonts w:cs="Tahoma"/>
                <w:lang w:val="sl-SI" w:eastAsia="en-GB"/>
              </w:rPr>
              <w:t>Srilanka</w:t>
            </w:r>
          </w:p>
        </w:tc>
        <w:tc>
          <w:tcPr>
            <w:tcW w:w="1453" w:type="pct"/>
            <w:tcBorders>
              <w:top w:val="single" w:sz="4" w:space="0" w:color="000000"/>
              <w:left w:val="single" w:sz="4" w:space="0" w:color="000000"/>
              <w:bottom w:val="single" w:sz="4" w:space="0" w:color="000000"/>
              <w:right w:val="single" w:sz="4" w:space="0" w:color="000000"/>
            </w:tcBorders>
          </w:tcPr>
          <w:p w14:paraId="7D39A33A" w14:textId="77777777" w:rsidR="00E03711" w:rsidRPr="00F769E0" w:rsidRDefault="00E03711" w:rsidP="001923DD">
            <w:pPr>
              <w:pStyle w:val="Guide-Table"/>
              <w:rPr>
                <w:rFonts w:cs="Tahoma"/>
                <w:lang w:val="sl-SI" w:eastAsia="en-GB"/>
              </w:rPr>
            </w:pPr>
            <w:r w:rsidRPr="00F769E0">
              <w:rPr>
                <w:rFonts w:cs="Tahoma"/>
                <w:lang w:val="sl-SI" w:eastAsia="en-GB"/>
              </w:rPr>
              <w:t>155</w:t>
            </w:r>
          </w:p>
        </w:tc>
      </w:tr>
      <w:tr w:rsidR="00E03711" w:rsidRPr="00F769E0" w14:paraId="7D39A33E"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3C" w14:textId="77777777" w:rsidR="00E03711" w:rsidRPr="00F769E0" w:rsidRDefault="00E03711" w:rsidP="001923DD">
            <w:pPr>
              <w:pStyle w:val="Guide-Table"/>
              <w:jc w:val="left"/>
              <w:rPr>
                <w:rFonts w:cs="Tahoma"/>
                <w:lang w:val="sl-SI" w:eastAsia="en-GB"/>
              </w:rPr>
            </w:pPr>
            <w:r w:rsidRPr="00F769E0">
              <w:rPr>
                <w:rFonts w:cs="Tahoma"/>
                <w:lang w:val="sl-SI" w:eastAsia="en-GB"/>
              </w:rPr>
              <w:t>Sudan</w:t>
            </w:r>
          </w:p>
        </w:tc>
        <w:tc>
          <w:tcPr>
            <w:tcW w:w="1453" w:type="pct"/>
            <w:tcBorders>
              <w:top w:val="single" w:sz="4" w:space="0" w:color="000000"/>
              <w:left w:val="single" w:sz="4" w:space="0" w:color="000000"/>
              <w:bottom w:val="single" w:sz="4" w:space="0" w:color="000000"/>
              <w:right w:val="single" w:sz="4" w:space="0" w:color="000000"/>
            </w:tcBorders>
          </w:tcPr>
          <w:p w14:paraId="7D39A33D" w14:textId="77777777" w:rsidR="00E03711" w:rsidRPr="00F769E0" w:rsidRDefault="00E03711" w:rsidP="001923DD">
            <w:pPr>
              <w:pStyle w:val="Guide-Table"/>
              <w:rPr>
                <w:rFonts w:cs="Tahoma"/>
                <w:lang w:val="sl-SI" w:eastAsia="en-GB"/>
              </w:rPr>
            </w:pPr>
            <w:r w:rsidRPr="00F769E0">
              <w:rPr>
                <w:rFonts w:cs="Tahoma"/>
                <w:lang w:val="sl-SI" w:eastAsia="en-GB"/>
              </w:rPr>
              <w:t>270</w:t>
            </w:r>
          </w:p>
        </w:tc>
      </w:tr>
      <w:tr w:rsidR="00E03711" w:rsidRPr="00F769E0" w14:paraId="7D39A341"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3F" w14:textId="77777777" w:rsidR="00E03711" w:rsidRPr="00F769E0" w:rsidRDefault="00E03711" w:rsidP="001923DD">
            <w:pPr>
              <w:pStyle w:val="Guide-Table"/>
              <w:jc w:val="left"/>
              <w:rPr>
                <w:rFonts w:cs="Tahoma"/>
                <w:lang w:val="sl-SI" w:eastAsia="en-GB"/>
              </w:rPr>
            </w:pPr>
            <w:r w:rsidRPr="00F769E0">
              <w:rPr>
                <w:rFonts w:cs="Tahoma"/>
                <w:lang w:val="sl-SI" w:eastAsia="en-GB"/>
              </w:rPr>
              <w:t>Surinam</w:t>
            </w:r>
          </w:p>
        </w:tc>
        <w:tc>
          <w:tcPr>
            <w:tcW w:w="1453" w:type="pct"/>
            <w:tcBorders>
              <w:top w:val="single" w:sz="4" w:space="0" w:color="000000"/>
              <w:left w:val="single" w:sz="4" w:space="0" w:color="000000"/>
              <w:bottom w:val="single" w:sz="4" w:space="0" w:color="000000"/>
              <w:right w:val="single" w:sz="4" w:space="0" w:color="000000"/>
            </w:tcBorders>
          </w:tcPr>
          <w:p w14:paraId="7D39A340" w14:textId="77777777" w:rsidR="00E03711" w:rsidRPr="00F769E0" w:rsidRDefault="00E03711" w:rsidP="001923DD">
            <w:pPr>
              <w:pStyle w:val="Guide-Table"/>
              <w:rPr>
                <w:rFonts w:cs="Tahoma"/>
                <w:lang w:val="sl-SI" w:eastAsia="en-GB"/>
              </w:rPr>
            </w:pPr>
            <w:r w:rsidRPr="00F769E0">
              <w:rPr>
                <w:rFonts w:cs="Tahoma"/>
                <w:lang w:val="sl-SI" w:eastAsia="en-GB"/>
              </w:rPr>
              <w:t>180</w:t>
            </w:r>
          </w:p>
        </w:tc>
      </w:tr>
      <w:tr w:rsidR="00E03711" w:rsidRPr="00F769E0" w14:paraId="7D39A344"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42" w14:textId="77777777" w:rsidR="00E03711" w:rsidRPr="00F769E0" w:rsidRDefault="00E03711" w:rsidP="001923DD">
            <w:pPr>
              <w:pStyle w:val="Guide-Table"/>
              <w:jc w:val="left"/>
              <w:rPr>
                <w:rFonts w:cs="Tahoma"/>
                <w:lang w:val="sl-SI" w:eastAsia="en-GB"/>
              </w:rPr>
            </w:pPr>
            <w:r w:rsidRPr="00F769E0">
              <w:rPr>
                <w:rFonts w:cs="Tahoma"/>
                <w:lang w:val="sl-SI" w:eastAsia="en-GB"/>
              </w:rPr>
              <w:t>Švica</w:t>
            </w:r>
          </w:p>
        </w:tc>
        <w:tc>
          <w:tcPr>
            <w:tcW w:w="1453" w:type="pct"/>
            <w:tcBorders>
              <w:top w:val="single" w:sz="4" w:space="0" w:color="000000"/>
              <w:left w:val="single" w:sz="4" w:space="0" w:color="000000"/>
              <w:bottom w:val="single" w:sz="4" w:space="0" w:color="000000"/>
              <w:right w:val="single" w:sz="4" w:space="0" w:color="000000"/>
            </w:tcBorders>
          </w:tcPr>
          <w:p w14:paraId="7D39A343" w14:textId="77777777" w:rsidR="00E03711" w:rsidRPr="00F769E0" w:rsidRDefault="00E03711" w:rsidP="001923DD">
            <w:pPr>
              <w:pStyle w:val="Guide-Table"/>
              <w:rPr>
                <w:rFonts w:cs="Tahoma"/>
                <w:lang w:val="sl-SI" w:eastAsia="en-GB"/>
              </w:rPr>
            </w:pPr>
            <w:r w:rsidRPr="00F769E0">
              <w:rPr>
                <w:rFonts w:cs="Tahoma"/>
                <w:lang w:val="sl-SI" w:eastAsia="en-GB"/>
              </w:rPr>
              <w:t>220</w:t>
            </w:r>
          </w:p>
        </w:tc>
      </w:tr>
      <w:tr w:rsidR="00E03711" w:rsidRPr="00F769E0" w14:paraId="7D39A347"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45" w14:textId="77777777" w:rsidR="00E03711" w:rsidRPr="00F769E0" w:rsidRDefault="00E03711" w:rsidP="001923DD">
            <w:pPr>
              <w:pStyle w:val="Guide-Table"/>
              <w:jc w:val="left"/>
              <w:rPr>
                <w:rFonts w:cs="Tahoma"/>
                <w:lang w:val="sl-SI" w:eastAsia="en-GB"/>
              </w:rPr>
            </w:pPr>
            <w:r w:rsidRPr="00F769E0">
              <w:rPr>
                <w:rFonts w:cs="Tahoma"/>
                <w:lang w:val="sl-SI" w:eastAsia="en-GB"/>
              </w:rPr>
              <w:t>Sirija</w:t>
            </w:r>
          </w:p>
        </w:tc>
        <w:tc>
          <w:tcPr>
            <w:tcW w:w="1453" w:type="pct"/>
            <w:tcBorders>
              <w:top w:val="single" w:sz="4" w:space="0" w:color="000000"/>
              <w:left w:val="single" w:sz="4" w:space="0" w:color="000000"/>
              <w:bottom w:val="single" w:sz="4" w:space="0" w:color="000000"/>
              <w:right w:val="single" w:sz="4" w:space="0" w:color="000000"/>
            </w:tcBorders>
          </w:tcPr>
          <w:p w14:paraId="7D39A346" w14:textId="77777777" w:rsidR="00E03711" w:rsidRPr="00F769E0" w:rsidRDefault="00E03711" w:rsidP="001923DD">
            <w:pPr>
              <w:pStyle w:val="Guide-Table"/>
              <w:rPr>
                <w:rFonts w:cs="Tahoma"/>
                <w:lang w:val="sl-SI" w:eastAsia="en-GB"/>
              </w:rPr>
            </w:pPr>
            <w:r w:rsidRPr="00F769E0">
              <w:rPr>
                <w:rFonts w:cs="Tahoma"/>
                <w:lang w:val="sl-SI" w:eastAsia="en-GB"/>
              </w:rPr>
              <w:t>225</w:t>
            </w:r>
          </w:p>
        </w:tc>
      </w:tr>
      <w:tr w:rsidR="00E03711" w:rsidRPr="00F769E0" w14:paraId="7D39A34A"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48" w14:textId="77777777" w:rsidR="00E03711" w:rsidRPr="00F769E0" w:rsidRDefault="00E03711" w:rsidP="001923DD">
            <w:pPr>
              <w:pStyle w:val="Guide-Table"/>
              <w:jc w:val="left"/>
              <w:rPr>
                <w:rFonts w:cs="Tahoma"/>
                <w:lang w:val="sl-SI" w:eastAsia="en-GB"/>
              </w:rPr>
            </w:pPr>
            <w:r w:rsidRPr="00F769E0">
              <w:rPr>
                <w:rFonts w:cs="Tahoma"/>
                <w:lang w:val="sl-SI" w:eastAsia="en-GB"/>
              </w:rPr>
              <w:t>Tadžikistan</w:t>
            </w:r>
          </w:p>
        </w:tc>
        <w:tc>
          <w:tcPr>
            <w:tcW w:w="1453" w:type="pct"/>
            <w:tcBorders>
              <w:top w:val="single" w:sz="4" w:space="0" w:color="000000"/>
              <w:left w:val="single" w:sz="4" w:space="0" w:color="000000"/>
              <w:bottom w:val="single" w:sz="4" w:space="0" w:color="000000"/>
              <w:right w:val="single" w:sz="4" w:space="0" w:color="000000"/>
            </w:tcBorders>
          </w:tcPr>
          <w:p w14:paraId="7D39A349" w14:textId="77777777" w:rsidR="00E03711" w:rsidRPr="00F769E0" w:rsidRDefault="00E03711" w:rsidP="001923DD">
            <w:pPr>
              <w:pStyle w:val="Guide-Table"/>
              <w:rPr>
                <w:rFonts w:cs="Tahoma"/>
                <w:lang w:val="sl-SI" w:eastAsia="en-GB"/>
              </w:rPr>
            </w:pPr>
            <w:r w:rsidRPr="00F769E0">
              <w:rPr>
                <w:rFonts w:cs="Tahoma"/>
                <w:lang w:val="sl-SI" w:eastAsia="en-GB"/>
              </w:rPr>
              <w:t>185</w:t>
            </w:r>
          </w:p>
        </w:tc>
      </w:tr>
      <w:tr w:rsidR="00E03711" w:rsidRPr="00F769E0" w14:paraId="7D39A34D"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4B" w14:textId="77777777" w:rsidR="00E03711" w:rsidRPr="00F769E0" w:rsidRDefault="00E03711" w:rsidP="001923DD">
            <w:pPr>
              <w:pStyle w:val="Guide-Table"/>
              <w:jc w:val="left"/>
              <w:rPr>
                <w:rFonts w:cs="Tahoma"/>
                <w:lang w:val="sl-SI" w:eastAsia="en-GB"/>
              </w:rPr>
            </w:pPr>
            <w:r w:rsidRPr="00F769E0">
              <w:rPr>
                <w:rFonts w:cs="Tahoma"/>
                <w:lang w:val="sl-SI" w:eastAsia="en-GB"/>
              </w:rPr>
              <w:t>Tajvan</w:t>
            </w:r>
          </w:p>
        </w:tc>
        <w:tc>
          <w:tcPr>
            <w:tcW w:w="1453" w:type="pct"/>
            <w:tcBorders>
              <w:top w:val="single" w:sz="4" w:space="0" w:color="000000"/>
              <w:left w:val="single" w:sz="4" w:space="0" w:color="000000"/>
              <w:bottom w:val="single" w:sz="4" w:space="0" w:color="000000"/>
              <w:right w:val="single" w:sz="4" w:space="0" w:color="000000"/>
            </w:tcBorders>
          </w:tcPr>
          <w:p w14:paraId="7D39A34C" w14:textId="77777777" w:rsidR="00E03711" w:rsidRPr="00F769E0" w:rsidRDefault="00E03711" w:rsidP="001923DD">
            <w:pPr>
              <w:pStyle w:val="Guide-Table"/>
              <w:rPr>
                <w:rFonts w:cs="Tahoma"/>
                <w:lang w:val="sl-SI" w:eastAsia="en-GB"/>
              </w:rPr>
            </w:pPr>
            <w:r w:rsidRPr="00F769E0">
              <w:rPr>
                <w:rFonts w:cs="Tahoma"/>
                <w:lang w:val="sl-SI" w:eastAsia="en-GB"/>
              </w:rPr>
              <w:t>255</w:t>
            </w:r>
          </w:p>
        </w:tc>
      </w:tr>
      <w:tr w:rsidR="00E03711" w:rsidRPr="00F769E0" w14:paraId="7D39A350"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4E" w14:textId="77777777" w:rsidR="00E03711" w:rsidRPr="00F769E0" w:rsidRDefault="00E03711" w:rsidP="001923DD">
            <w:pPr>
              <w:pStyle w:val="Guide-Table"/>
              <w:jc w:val="left"/>
              <w:rPr>
                <w:rFonts w:cs="Tahoma"/>
                <w:lang w:val="sl-SI" w:eastAsia="en-GB"/>
              </w:rPr>
            </w:pPr>
            <w:r w:rsidRPr="00F769E0">
              <w:rPr>
                <w:rFonts w:cs="Tahoma"/>
                <w:lang w:val="sl-SI" w:eastAsia="en-GB"/>
              </w:rPr>
              <w:t>Tanzanija</w:t>
            </w:r>
          </w:p>
        </w:tc>
        <w:tc>
          <w:tcPr>
            <w:tcW w:w="1453" w:type="pct"/>
            <w:tcBorders>
              <w:top w:val="single" w:sz="4" w:space="0" w:color="000000"/>
              <w:left w:val="single" w:sz="4" w:space="0" w:color="000000"/>
              <w:bottom w:val="single" w:sz="4" w:space="0" w:color="000000"/>
              <w:right w:val="single" w:sz="4" w:space="0" w:color="000000"/>
            </w:tcBorders>
          </w:tcPr>
          <w:p w14:paraId="7D39A34F" w14:textId="77777777" w:rsidR="00E03711" w:rsidRPr="00F769E0" w:rsidRDefault="00E03711" w:rsidP="001923DD">
            <w:pPr>
              <w:pStyle w:val="Guide-Table"/>
              <w:rPr>
                <w:rFonts w:cs="Tahoma"/>
                <w:lang w:val="sl-SI" w:eastAsia="en-GB"/>
              </w:rPr>
            </w:pPr>
            <w:r w:rsidRPr="00F769E0">
              <w:rPr>
                <w:rFonts w:cs="Tahoma"/>
                <w:lang w:val="sl-SI" w:eastAsia="en-GB"/>
              </w:rPr>
              <w:t>250</w:t>
            </w:r>
          </w:p>
        </w:tc>
      </w:tr>
      <w:tr w:rsidR="00E03711" w:rsidRPr="00F769E0" w14:paraId="7D39A353"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51" w14:textId="77777777" w:rsidR="00E03711" w:rsidRPr="00F769E0" w:rsidRDefault="00E03711" w:rsidP="001923DD">
            <w:pPr>
              <w:pStyle w:val="Guide-Table"/>
              <w:jc w:val="left"/>
              <w:rPr>
                <w:rFonts w:cs="Tahoma"/>
                <w:lang w:val="sl-SI" w:eastAsia="en-GB"/>
              </w:rPr>
            </w:pPr>
            <w:r w:rsidRPr="00F769E0">
              <w:rPr>
                <w:rFonts w:cs="Tahoma"/>
                <w:lang w:val="sl-SI" w:eastAsia="en-GB"/>
              </w:rPr>
              <w:t xml:space="preserve">Ozemlje Rusije, kot je priznano </w:t>
            </w:r>
            <w:r w:rsidRPr="00F769E0">
              <w:rPr>
                <w:rFonts w:cs="Tahoma"/>
                <w:lang w:val="sl-SI" w:eastAsia="en-GB"/>
              </w:rPr>
              <w:br/>
              <w:t>z mednarodnim</w:t>
            </w:r>
            <w:r w:rsidRPr="00F769E0">
              <w:rPr>
                <w:rFonts w:cs="Tahoma"/>
                <w:spacing w:val="60"/>
                <w:lang w:val="sl-SI" w:eastAsia="en-GB"/>
              </w:rPr>
              <w:t xml:space="preserve"> </w:t>
            </w:r>
            <w:r w:rsidRPr="00F769E0">
              <w:rPr>
                <w:rFonts w:cs="Tahoma"/>
                <w:lang w:val="sl-SI" w:eastAsia="en-GB"/>
              </w:rPr>
              <w:t>pravom</w:t>
            </w:r>
          </w:p>
        </w:tc>
        <w:tc>
          <w:tcPr>
            <w:tcW w:w="1453" w:type="pct"/>
            <w:tcBorders>
              <w:top w:val="single" w:sz="4" w:space="0" w:color="000000"/>
              <w:left w:val="single" w:sz="4" w:space="0" w:color="000000"/>
              <w:bottom w:val="single" w:sz="4" w:space="0" w:color="000000"/>
              <w:right w:val="single" w:sz="4" w:space="0" w:color="000000"/>
            </w:tcBorders>
          </w:tcPr>
          <w:p w14:paraId="7D39A352" w14:textId="77777777" w:rsidR="00E03711" w:rsidRPr="00F769E0" w:rsidRDefault="00E03711" w:rsidP="001923DD">
            <w:pPr>
              <w:pStyle w:val="Guide-Table"/>
              <w:rPr>
                <w:rFonts w:cs="Tahoma"/>
                <w:lang w:val="sl-SI" w:eastAsia="en-GB"/>
              </w:rPr>
            </w:pPr>
            <w:r w:rsidRPr="00F769E0">
              <w:rPr>
                <w:rFonts w:cs="Tahoma"/>
                <w:lang w:val="sl-SI" w:eastAsia="en-GB"/>
              </w:rPr>
              <w:t>365</w:t>
            </w:r>
          </w:p>
        </w:tc>
      </w:tr>
      <w:tr w:rsidR="00E03711" w:rsidRPr="00F769E0" w14:paraId="7D39A356"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54" w14:textId="77777777" w:rsidR="00E03711" w:rsidRPr="00F769E0" w:rsidRDefault="00E03711" w:rsidP="001923DD">
            <w:pPr>
              <w:pStyle w:val="Guide-Table"/>
              <w:jc w:val="left"/>
              <w:rPr>
                <w:rFonts w:cs="Tahoma"/>
                <w:lang w:val="sl-SI" w:eastAsia="en-GB"/>
              </w:rPr>
            </w:pPr>
            <w:r w:rsidRPr="00F769E0">
              <w:rPr>
                <w:rFonts w:cs="Tahoma"/>
                <w:lang w:val="sl-SI" w:eastAsia="en-GB"/>
              </w:rPr>
              <w:t xml:space="preserve">Ozemlje Ukrajine, kot je priznano </w:t>
            </w:r>
            <w:r w:rsidRPr="00F769E0">
              <w:rPr>
                <w:rFonts w:cs="Tahoma"/>
                <w:lang w:val="sl-SI" w:eastAsia="en-GB"/>
              </w:rPr>
              <w:br/>
              <w:t xml:space="preserve">z mednarodnim pravom </w:t>
            </w:r>
          </w:p>
        </w:tc>
        <w:tc>
          <w:tcPr>
            <w:tcW w:w="1453" w:type="pct"/>
            <w:tcBorders>
              <w:top w:val="single" w:sz="4" w:space="0" w:color="000000"/>
              <w:left w:val="single" w:sz="4" w:space="0" w:color="000000"/>
              <w:bottom w:val="single" w:sz="4" w:space="0" w:color="000000"/>
              <w:right w:val="single" w:sz="4" w:space="0" w:color="000000"/>
            </w:tcBorders>
          </w:tcPr>
          <w:p w14:paraId="7D39A355" w14:textId="77777777" w:rsidR="00E03711" w:rsidRPr="00F769E0" w:rsidRDefault="00E03711" w:rsidP="001923DD">
            <w:pPr>
              <w:pStyle w:val="Guide-Table"/>
              <w:rPr>
                <w:rFonts w:cs="Tahoma"/>
                <w:lang w:val="sl-SI" w:eastAsia="en-GB"/>
              </w:rPr>
            </w:pPr>
            <w:r w:rsidRPr="00F769E0">
              <w:rPr>
                <w:rFonts w:cs="Tahoma"/>
                <w:lang w:val="sl-SI" w:eastAsia="en-GB"/>
              </w:rPr>
              <w:t>270</w:t>
            </w:r>
          </w:p>
        </w:tc>
      </w:tr>
      <w:tr w:rsidR="00E03711" w:rsidRPr="00F769E0" w14:paraId="7D39A359"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57" w14:textId="77777777" w:rsidR="00E03711" w:rsidRPr="00F769E0" w:rsidRDefault="00E03711" w:rsidP="001923DD">
            <w:pPr>
              <w:pStyle w:val="Guide-Table"/>
              <w:jc w:val="left"/>
              <w:rPr>
                <w:rFonts w:cs="Tahoma"/>
                <w:lang w:val="sl-SI" w:eastAsia="en-GB"/>
              </w:rPr>
            </w:pPr>
            <w:r w:rsidRPr="00F769E0">
              <w:rPr>
                <w:rFonts w:cs="Tahoma"/>
                <w:lang w:val="sl-SI" w:eastAsia="en-GB"/>
              </w:rPr>
              <w:t>Tajska</w:t>
            </w:r>
          </w:p>
        </w:tc>
        <w:tc>
          <w:tcPr>
            <w:tcW w:w="1453" w:type="pct"/>
            <w:tcBorders>
              <w:top w:val="single" w:sz="4" w:space="0" w:color="000000"/>
              <w:left w:val="single" w:sz="4" w:space="0" w:color="000000"/>
              <w:bottom w:val="single" w:sz="4" w:space="0" w:color="000000"/>
              <w:right w:val="single" w:sz="4" w:space="0" w:color="000000"/>
            </w:tcBorders>
          </w:tcPr>
          <w:p w14:paraId="7D39A358" w14:textId="77777777" w:rsidR="00E03711" w:rsidRPr="00F769E0" w:rsidRDefault="00E03711" w:rsidP="001923DD">
            <w:pPr>
              <w:pStyle w:val="Guide-Table"/>
              <w:rPr>
                <w:rFonts w:cs="Tahoma"/>
                <w:lang w:val="sl-SI" w:eastAsia="en-GB"/>
              </w:rPr>
            </w:pPr>
            <w:r w:rsidRPr="00F769E0">
              <w:rPr>
                <w:rFonts w:cs="Tahoma"/>
                <w:lang w:val="sl-SI" w:eastAsia="en-GB"/>
              </w:rPr>
              <w:t>205</w:t>
            </w:r>
          </w:p>
        </w:tc>
      </w:tr>
      <w:tr w:rsidR="00E03711" w:rsidRPr="00F769E0" w14:paraId="7D39A35C"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5A" w14:textId="77777777" w:rsidR="00E03711" w:rsidRPr="00F769E0" w:rsidRDefault="00E03711" w:rsidP="001923DD">
            <w:pPr>
              <w:pStyle w:val="Guide-Table"/>
              <w:jc w:val="left"/>
              <w:rPr>
                <w:rFonts w:cs="Tahoma"/>
                <w:lang w:val="sl-SI" w:eastAsia="en-GB"/>
              </w:rPr>
            </w:pPr>
            <w:r w:rsidRPr="00F769E0">
              <w:rPr>
                <w:rFonts w:cs="Tahoma"/>
                <w:lang w:val="sl-SI" w:eastAsia="en-GB"/>
              </w:rPr>
              <w:t>Demokratična republika Vzhodni Timor</w:t>
            </w:r>
          </w:p>
        </w:tc>
        <w:tc>
          <w:tcPr>
            <w:tcW w:w="1453" w:type="pct"/>
            <w:tcBorders>
              <w:top w:val="single" w:sz="4" w:space="0" w:color="000000"/>
              <w:left w:val="single" w:sz="4" w:space="0" w:color="000000"/>
              <w:bottom w:val="single" w:sz="4" w:space="0" w:color="000000"/>
              <w:right w:val="single" w:sz="4" w:space="0" w:color="000000"/>
            </w:tcBorders>
          </w:tcPr>
          <w:p w14:paraId="7D39A35B" w14:textId="77777777" w:rsidR="00E03711" w:rsidRPr="00F769E0" w:rsidRDefault="00E03711" w:rsidP="001923DD">
            <w:pPr>
              <w:pStyle w:val="Guide-Table"/>
              <w:rPr>
                <w:rFonts w:cs="Tahoma"/>
                <w:lang w:val="sl-SI" w:eastAsia="en-GB"/>
              </w:rPr>
            </w:pPr>
            <w:r w:rsidRPr="00F769E0">
              <w:rPr>
                <w:rFonts w:cs="Tahoma"/>
                <w:lang w:val="sl-SI" w:eastAsia="en-GB"/>
              </w:rPr>
              <w:t>160</w:t>
            </w:r>
          </w:p>
        </w:tc>
      </w:tr>
      <w:tr w:rsidR="00E03711" w:rsidRPr="00F769E0" w14:paraId="7D39A35F"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5D" w14:textId="77777777" w:rsidR="00E03711" w:rsidRPr="00F769E0" w:rsidRDefault="00E03711" w:rsidP="001923DD">
            <w:pPr>
              <w:pStyle w:val="Guide-Table"/>
              <w:jc w:val="left"/>
              <w:rPr>
                <w:rFonts w:cs="Tahoma"/>
                <w:lang w:val="sl-SI" w:eastAsia="en-GB"/>
              </w:rPr>
            </w:pPr>
            <w:r w:rsidRPr="00F769E0">
              <w:rPr>
                <w:rFonts w:cs="Tahoma"/>
                <w:lang w:val="sl-SI" w:eastAsia="en-GB"/>
              </w:rPr>
              <w:t>Togo</w:t>
            </w:r>
          </w:p>
        </w:tc>
        <w:tc>
          <w:tcPr>
            <w:tcW w:w="1453" w:type="pct"/>
            <w:tcBorders>
              <w:top w:val="single" w:sz="4" w:space="0" w:color="000000"/>
              <w:left w:val="single" w:sz="4" w:space="0" w:color="000000"/>
              <w:bottom w:val="single" w:sz="4" w:space="0" w:color="000000"/>
              <w:right w:val="single" w:sz="4" w:space="0" w:color="000000"/>
            </w:tcBorders>
          </w:tcPr>
          <w:p w14:paraId="7D39A35E" w14:textId="77777777" w:rsidR="00E03711" w:rsidRPr="00F769E0" w:rsidRDefault="00E03711" w:rsidP="001923DD">
            <w:pPr>
              <w:pStyle w:val="Guide-Table"/>
              <w:rPr>
                <w:rFonts w:cs="Tahoma"/>
                <w:lang w:val="sl-SI" w:eastAsia="en-GB"/>
              </w:rPr>
            </w:pPr>
            <w:r w:rsidRPr="00F769E0">
              <w:rPr>
                <w:rFonts w:cs="Tahoma"/>
                <w:lang w:val="sl-SI" w:eastAsia="en-GB"/>
              </w:rPr>
              <w:t>155</w:t>
            </w:r>
          </w:p>
        </w:tc>
      </w:tr>
      <w:tr w:rsidR="00E03711" w:rsidRPr="00F769E0" w14:paraId="7D39A362"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60" w14:textId="77777777" w:rsidR="00E03711" w:rsidRPr="00F769E0" w:rsidRDefault="00E03711" w:rsidP="001923DD">
            <w:pPr>
              <w:pStyle w:val="Guide-Table"/>
              <w:jc w:val="left"/>
              <w:rPr>
                <w:rFonts w:cs="Tahoma"/>
                <w:lang w:val="sl-SI" w:eastAsia="en-GB"/>
              </w:rPr>
            </w:pPr>
            <w:r w:rsidRPr="00F769E0">
              <w:rPr>
                <w:rFonts w:cs="Tahoma"/>
                <w:lang w:val="sl-SI" w:eastAsia="en-GB"/>
              </w:rPr>
              <w:t>Tonga</w:t>
            </w:r>
          </w:p>
        </w:tc>
        <w:tc>
          <w:tcPr>
            <w:tcW w:w="1453" w:type="pct"/>
            <w:tcBorders>
              <w:top w:val="single" w:sz="4" w:space="0" w:color="000000"/>
              <w:left w:val="single" w:sz="4" w:space="0" w:color="000000"/>
              <w:bottom w:val="single" w:sz="4" w:space="0" w:color="000000"/>
              <w:right w:val="single" w:sz="4" w:space="0" w:color="000000"/>
            </w:tcBorders>
          </w:tcPr>
          <w:p w14:paraId="7D39A361" w14:textId="77777777" w:rsidR="00E03711" w:rsidRPr="00F769E0" w:rsidRDefault="00E03711" w:rsidP="001923DD">
            <w:pPr>
              <w:pStyle w:val="Guide-Table"/>
              <w:rPr>
                <w:rFonts w:cs="Tahoma"/>
                <w:lang w:val="sl-SI" w:eastAsia="en-GB"/>
              </w:rPr>
            </w:pPr>
            <w:r w:rsidRPr="00F769E0">
              <w:rPr>
                <w:rFonts w:cs="Tahoma"/>
                <w:lang w:val="sl-SI" w:eastAsia="en-GB"/>
              </w:rPr>
              <w:t>155</w:t>
            </w:r>
          </w:p>
        </w:tc>
      </w:tr>
      <w:tr w:rsidR="00E03711" w:rsidRPr="00F769E0" w14:paraId="7D39A365"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63" w14:textId="77777777" w:rsidR="00E03711" w:rsidRPr="00F769E0" w:rsidRDefault="00E03711" w:rsidP="001923DD">
            <w:pPr>
              <w:pStyle w:val="Guide-Table"/>
              <w:jc w:val="left"/>
              <w:rPr>
                <w:rFonts w:cs="Tahoma"/>
                <w:lang w:val="sl-SI" w:eastAsia="en-GB"/>
              </w:rPr>
            </w:pPr>
            <w:r w:rsidRPr="00F769E0">
              <w:rPr>
                <w:rFonts w:cs="Tahoma"/>
                <w:lang w:val="sl-SI" w:eastAsia="en-GB"/>
              </w:rPr>
              <w:t>Trinidad in Tobago</w:t>
            </w:r>
          </w:p>
        </w:tc>
        <w:tc>
          <w:tcPr>
            <w:tcW w:w="1453" w:type="pct"/>
            <w:tcBorders>
              <w:top w:val="single" w:sz="4" w:space="0" w:color="000000"/>
              <w:left w:val="single" w:sz="4" w:space="0" w:color="000000"/>
              <w:bottom w:val="single" w:sz="4" w:space="0" w:color="000000"/>
              <w:right w:val="single" w:sz="4" w:space="0" w:color="000000"/>
            </w:tcBorders>
          </w:tcPr>
          <w:p w14:paraId="7D39A364" w14:textId="77777777" w:rsidR="00E03711" w:rsidRPr="00F769E0" w:rsidRDefault="00E03711" w:rsidP="001923DD">
            <w:pPr>
              <w:pStyle w:val="Guide-Table"/>
              <w:rPr>
                <w:rFonts w:cs="Tahoma"/>
                <w:lang w:val="sl-SI" w:eastAsia="en-GB"/>
              </w:rPr>
            </w:pPr>
            <w:r w:rsidRPr="00F769E0">
              <w:rPr>
                <w:rFonts w:cs="Tahoma"/>
                <w:lang w:val="sl-SI" w:eastAsia="en-GB"/>
              </w:rPr>
              <w:t>175</w:t>
            </w:r>
          </w:p>
        </w:tc>
      </w:tr>
      <w:tr w:rsidR="00E03711" w:rsidRPr="00F769E0" w14:paraId="7D39A368"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66" w14:textId="77777777" w:rsidR="00E03711" w:rsidRPr="00F769E0" w:rsidRDefault="00E03711" w:rsidP="001923DD">
            <w:pPr>
              <w:pStyle w:val="Guide-Table"/>
              <w:jc w:val="left"/>
              <w:rPr>
                <w:rFonts w:cs="Tahoma"/>
                <w:lang w:val="sl-SI" w:eastAsia="en-GB"/>
              </w:rPr>
            </w:pPr>
            <w:r w:rsidRPr="00F769E0">
              <w:rPr>
                <w:rFonts w:cs="Tahoma"/>
                <w:lang w:val="sl-SI" w:eastAsia="en-GB"/>
              </w:rPr>
              <w:t>Tunizija</w:t>
            </w:r>
          </w:p>
        </w:tc>
        <w:tc>
          <w:tcPr>
            <w:tcW w:w="1453" w:type="pct"/>
            <w:tcBorders>
              <w:top w:val="single" w:sz="4" w:space="0" w:color="000000"/>
              <w:left w:val="single" w:sz="4" w:space="0" w:color="000000"/>
              <w:bottom w:val="single" w:sz="4" w:space="0" w:color="000000"/>
              <w:right w:val="single" w:sz="4" w:space="0" w:color="000000"/>
            </w:tcBorders>
          </w:tcPr>
          <w:p w14:paraId="7D39A367" w14:textId="77777777" w:rsidR="00E03711" w:rsidRPr="00F769E0" w:rsidRDefault="00E03711" w:rsidP="001923DD">
            <w:pPr>
              <w:pStyle w:val="Guide-Table"/>
              <w:rPr>
                <w:rFonts w:cs="Tahoma"/>
                <w:lang w:val="sl-SI" w:eastAsia="en-GB"/>
              </w:rPr>
            </w:pPr>
            <w:r w:rsidRPr="00F769E0">
              <w:rPr>
                <w:rFonts w:cs="Tahoma"/>
                <w:lang w:val="sl-SI" w:eastAsia="en-GB"/>
              </w:rPr>
              <w:t>145</w:t>
            </w:r>
          </w:p>
        </w:tc>
      </w:tr>
      <w:tr w:rsidR="00E03711" w:rsidRPr="00F769E0" w14:paraId="7D39A36B"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69" w14:textId="77777777" w:rsidR="00E03711" w:rsidRPr="00F769E0" w:rsidRDefault="00E03711" w:rsidP="001923DD">
            <w:pPr>
              <w:pStyle w:val="Guide-Table"/>
              <w:jc w:val="left"/>
              <w:rPr>
                <w:rFonts w:cs="Tahoma"/>
                <w:lang w:val="sl-SI" w:eastAsia="en-GB"/>
              </w:rPr>
            </w:pPr>
            <w:r w:rsidRPr="00F769E0">
              <w:rPr>
                <w:rFonts w:cs="Tahoma"/>
                <w:lang w:val="sl-SI" w:eastAsia="en-GB"/>
              </w:rPr>
              <w:t>Turkmenistan</w:t>
            </w:r>
          </w:p>
        </w:tc>
        <w:tc>
          <w:tcPr>
            <w:tcW w:w="1453" w:type="pct"/>
            <w:tcBorders>
              <w:top w:val="single" w:sz="4" w:space="0" w:color="000000"/>
              <w:left w:val="single" w:sz="4" w:space="0" w:color="000000"/>
              <w:bottom w:val="single" w:sz="4" w:space="0" w:color="000000"/>
              <w:right w:val="single" w:sz="4" w:space="0" w:color="000000"/>
            </w:tcBorders>
          </w:tcPr>
          <w:p w14:paraId="7D39A36A" w14:textId="77777777" w:rsidR="00E03711" w:rsidRPr="00F769E0" w:rsidRDefault="00E03711" w:rsidP="001923DD">
            <w:pPr>
              <w:pStyle w:val="Guide-Table"/>
              <w:rPr>
                <w:rFonts w:cs="Tahoma"/>
                <w:lang w:val="sl-SI" w:eastAsia="en-GB"/>
              </w:rPr>
            </w:pPr>
            <w:r w:rsidRPr="00F769E0">
              <w:rPr>
                <w:rFonts w:cs="Tahoma"/>
                <w:lang w:val="sl-SI" w:eastAsia="en-GB"/>
              </w:rPr>
              <w:t>230</w:t>
            </w:r>
          </w:p>
        </w:tc>
      </w:tr>
      <w:tr w:rsidR="00E03711" w:rsidRPr="00F769E0" w14:paraId="7D39A36E"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6C" w14:textId="77777777" w:rsidR="00E03711" w:rsidRPr="00F769E0" w:rsidRDefault="00E03711" w:rsidP="001923DD">
            <w:pPr>
              <w:pStyle w:val="Guide-Table"/>
              <w:jc w:val="left"/>
              <w:rPr>
                <w:rFonts w:cs="Tahoma"/>
                <w:lang w:val="sl-SI" w:eastAsia="en-GB"/>
              </w:rPr>
            </w:pPr>
            <w:r w:rsidRPr="00F769E0">
              <w:rPr>
                <w:rFonts w:cs="Tahoma"/>
                <w:lang w:val="sl-SI" w:eastAsia="en-GB"/>
              </w:rPr>
              <w:t>Tuvalu</w:t>
            </w:r>
          </w:p>
        </w:tc>
        <w:tc>
          <w:tcPr>
            <w:tcW w:w="1453" w:type="pct"/>
            <w:tcBorders>
              <w:top w:val="single" w:sz="4" w:space="0" w:color="000000"/>
              <w:left w:val="single" w:sz="4" w:space="0" w:color="000000"/>
              <w:bottom w:val="single" w:sz="4" w:space="0" w:color="000000"/>
              <w:right w:val="single" w:sz="4" w:space="0" w:color="000000"/>
            </w:tcBorders>
          </w:tcPr>
          <w:p w14:paraId="7D39A36D" w14:textId="77777777" w:rsidR="00E03711" w:rsidRPr="00F769E0" w:rsidRDefault="00E03711" w:rsidP="001923DD">
            <w:pPr>
              <w:pStyle w:val="Guide-Table"/>
              <w:rPr>
                <w:rFonts w:cs="Tahoma"/>
                <w:lang w:val="sl-SI" w:eastAsia="en-GB"/>
              </w:rPr>
            </w:pPr>
            <w:r w:rsidRPr="00F769E0">
              <w:rPr>
                <w:rFonts w:cs="Tahoma"/>
                <w:lang w:val="sl-SI" w:eastAsia="en-GB"/>
              </w:rPr>
              <w:t>185</w:t>
            </w:r>
          </w:p>
        </w:tc>
      </w:tr>
      <w:tr w:rsidR="00E03711" w:rsidRPr="00F769E0" w14:paraId="7D39A371"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6F" w14:textId="77777777" w:rsidR="00E03711" w:rsidRPr="00F769E0" w:rsidRDefault="00E03711" w:rsidP="001923DD">
            <w:pPr>
              <w:pStyle w:val="Guide-Table"/>
              <w:jc w:val="left"/>
              <w:rPr>
                <w:rFonts w:cs="Tahoma"/>
                <w:lang w:val="sl-SI" w:eastAsia="en-GB"/>
              </w:rPr>
            </w:pPr>
            <w:r w:rsidRPr="00F769E0">
              <w:rPr>
                <w:rFonts w:cs="Tahoma"/>
                <w:lang w:val="sl-SI" w:eastAsia="en-GB"/>
              </w:rPr>
              <w:t>Uganda</w:t>
            </w:r>
          </w:p>
        </w:tc>
        <w:tc>
          <w:tcPr>
            <w:tcW w:w="1453" w:type="pct"/>
            <w:tcBorders>
              <w:top w:val="single" w:sz="4" w:space="0" w:color="000000"/>
              <w:left w:val="single" w:sz="4" w:space="0" w:color="000000"/>
              <w:bottom w:val="single" w:sz="4" w:space="0" w:color="000000"/>
              <w:right w:val="single" w:sz="4" w:space="0" w:color="000000"/>
            </w:tcBorders>
          </w:tcPr>
          <w:p w14:paraId="7D39A370" w14:textId="77777777" w:rsidR="00E03711" w:rsidRPr="00F769E0" w:rsidRDefault="00E03711" w:rsidP="001923DD">
            <w:pPr>
              <w:pStyle w:val="Guide-Table"/>
              <w:rPr>
                <w:rFonts w:cs="Tahoma"/>
                <w:lang w:val="sl-SI" w:eastAsia="en-GB"/>
              </w:rPr>
            </w:pPr>
            <w:r w:rsidRPr="00F769E0">
              <w:rPr>
                <w:rFonts w:cs="Tahoma"/>
                <w:lang w:val="sl-SI" w:eastAsia="en-GB"/>
              </w:rPr>
              <w:t>235</w:t>
            </w:r>
          </w:p>
        </w:tc>
      </w:tr>
      <w:tr w:rsidR="00E03711" w:rsidRPr="00F769E0" w14:paraId="7D39A374"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72" w14:textId="77777777" w:rsidR="00E03711" w:rsidRPr="00F769E0" w:rsidRDefault="00E03711" w:rsidP="001923DD">
            <w:pPr>
              <w:pStyle w:val="Guide-Table"/>
              <w:jc w:val="left"/>
              <w:rPr>
                <w:rFonts w:cs="Tahoma"/>
                <w:lang w:val="sl-SI" w:eastAsia="en-GB"/>
              </w:rPr>
            </w:pPr>
            <w:r w:rsidRPr="00F769E0">
              <w:rPr>
                <w:rFonts w:cs="Tahoma"/>
                <w:lang w:val="sl-SI" w:eastAsia="en-GB"/>
              </w:rPr>
              <w:t>Združeni arabski emirati</w:t>
            </w:r>
          </w:p>
        </w:tc>
        <w:tc>
          <w:tcPr>
            <w:tcW w:w="1453" w:type="pct"/>
            <w:tcBorders>
              <w:top w:val="single" w:sz="4" w:space="0" w:color="000000"/>
              <w:left w:val="single" w:sz="4" w:space="0" w:color="000000"/>
              <w:bottom w:val="single" w:sz="4" w:space="0" w:color="000000"/>
              <w:right w:val="single" w:sz="4" w:space="0" w:color="000000"/>
            </w:tcBorders>
          </w:tcPr>
          <w:p w14:paraId="7D39A373" w14:textId="77777777" w:rsidR="00E03711" w:rsidRPr="00F769E0" w:rsidRDefault="00E03711" w:rsidP="001923DD">
            <w:pPr>
              <w:pStyle w:val="Guide-Table"/>
              <w:rPr>
                <w:rFonts w:cs="Tahoma"/>
                <w:lang w:val="sl-SI" w:eastAsia="en-GB"/>
              </w:rPr>
            </w:pPr>
            <w:r w:rsidRPr="00F769E0">
              <w:rPr>
                <w:rFonts w:cs="Tahoma"/>
                <w:lang w:val="sl-SI" w:eastAsia="en-GB"/>
              </w:rPr>
              <w:t>265</w:t>
            </w:r>
          </w:p>
        </w:tc>
      </w:tr>
      <w:tr w:rsidR="00E03711" w:rsidRPr="00F769E0" w14:paraId="7D39A377"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75" w14:textId="77777777" w:rsidR="00E03711" w:rsidRPr="00F769E0" w:rsidRDefault="00E03711" w:rsidP="001923DD">
            <w:pPr>
              <w:pStyle w:val="Guide-Table"/>
              <w:jc w:val="left"/>
              <w:rPr>
                <w:rFonts w:cs="Tahoma"/>
                <w:lang w:val="sl-SI" w:eastAsia="en-GB"/>
              </w:rPr>
            </w:pPr>
            <w:r w:rsidRPr="00F769E0">
              <w:rPr>
                <w:rFonts w:cs="Tahoma"/>
                <w:lang w:val="sl-SI" w:eastAsia="en-GB"/>
              </w:rPr>
              <w:t>Združene države Amerike</w:t>
            </w:r>
          </w:p>
        </w:tc>
        <w:tc>
          <w:tcPr>
            <w:tcW w:w="1453" w:type="pct"/>
            <w:tcBorders>
              <w:top w:val="single" w:sz="4" w:space="0" w:color="000000"/>
              <w:left w:val="single" w:sz="4" w:space="0" w:color="000000"/>
              <w:bottom w:val="single" w:sz="4" w:space="0" w:color="000000"/>
              <w:right w:val="single" w:sz="4" w:space="0" w:color="000000"/>
            </w:tcBorders>
          </w:tcPr>
          <w:p w14:paraId="7D39A376" w14:textId="77777777" w:rsidR="00E03711" w:rsidRPr="00F769E0" w:rsidRDefault="00E03711" w:rsidP="001923DD">
            <w:pPr>
              <w:pStyle w:val="Guide-Table"/>
              <w:rPr>
                <w:rFonts w:cs="Tahoma"/>
                <w:lang w:val="sl-SI" w:eastAsia="en-GB"/>
              </w:rPr>
            </w:pPr>
            <w:r w:rsidRPr="00F769E0">
              <w:rPr>
                <w:rFonts w:cs="Tahoma"/>
                <w:lang w:val="sl-SI" w:eastAsia="en-GB"/>
              </w:rPr>
              <w:t>280</w:t>
            </w:r>
          </w:p>
        </w:tc>
      </w:tr>
      <w:tr w:rsidR="00E03711" w:rsidRPr="00F769E0" w14:paraId="7D39A37A"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78" w14:textId="77777777" w:rsidR="00E03711" w:rsidRPr="00F769E0" w:rsidRDefault="00E03711" w:rsidP="001923DD">
            <w:pPr>
              <w:pStyle w:val="Guide-Table"/>
              <w:jc w:val="left"/>
              <w:rPr>
                <w:rFonts w:cs="Tahoma"/>
                <w:lang w:val="sl-SI" w:eastAsia="en-GB"/>
              </w:rPr>
            </w:pPr>
            <w:r w:rsidRPr="00F769E0">
              <w:rPr>
                <w:rFonts w:cs="Tahoma"/>
                <w:lang w:val="sl-SI" w:eastAsia="en-GB"/>
              </w:rPr>
              <w:t>Urugvaj</w:t>
            </w:r>
          </w:p>
        </w:tc>
        <w:tc>
          <w:tcPr>
            <w:tcW w:w="1453" w:type="pct"/>
            <w:tcBorders>
              <w:top w:val="single" w:sz="4" w:space="0" w:color="000000"/>
              <w:left w:val="single" w:sz="4" w:space="0" w:color="000000"/>
              <w:bottom w:val="single" w:sz="4" w:space="0" w:color="000000"/>
              <w:right w:val="single" w:sz="4" w:space="0" w:color="000000"/>
            </w:tcBorders>
          </w:tcPr>
          <w:p w14:paraId="7D39A379" w14:textId="77777777" w:rsidR="00E03711" w:rsidRPr="00F769E0" w:rsidRDefault="00E03711" w:rsidP="001923DD">
            <w:pPr>
              <w:pStyle w:val="Guide-Table"/>
              <w:rPr>
                <w:rFonts w:cs="Tahoma"/>
                <w:lang w:val="sl-SI" w:eastAsia="en-GB"/>
              </w:rPr>
            </w:pPr>
            <w:r w:rsidRPr="00F769E0">
              <w:rPr>
                <w:rFonts w:cs="Tahoma"/>
                <w:lang w:val="sl-SI" w:eastAsia="en-GB"/>
              </w:rPr>
              <w:t>215</w:t>
            </w:r>
          </w:p>
        </w:tc>
      </w:tr>
      <w:tr w:rsidR="00E03711" w:rsidRPr="00F769E0" w14:paraId="7D39A37D"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7B" w14:textId="77777777" w:rsidR="00E03711" w:rsidRPr="00F769E0" w:rsidRDefault="00E03711" w:rsidP="001923DD">
            <w:pPr>
              <w:pStyle w:val="Guide-Table"/>
              <w:jc w:val="left"/>
              <w:rPr>
                <w:rFonts w:cs="Tahoma"/>
                <w:lang w:val="sl-SI" w:eastAsia="en-GB"/>
              </w:rPr>
            </w:pPr>
            <w:r w:rsidRPr="00F769E0">
              <w:rPr>
                <w:rFonts w:cs="Tahoma"/>
                <w:lang w:val="sl-SI" w:eastAsia="en-GB"/>
              </w:rPr>
              <w:t>Uzbekistan</w:t>
            </w:r>
          </w:p>
        </w:tc>
        <w:tc>
          <w:tcPr>
            <w:tcW w:w="1453" w:type="pct"/>
            <w:tcBorders>
              <w:top w:val="single" w:sz="4" w:space="0" w:color="000000"/>
              <w:left w:val="single" w:sz="4" w:space="0" w:color="000000"/>
              <w:bottom w:val="single" w:sz="4" w:space="0" w:color="000000"/>
              <w:right w:val="single" w:sz="4" w:space="0" w:color="000000"/>
            </w:tcBorders>
          </w:tcPr>
          <w:p w14:paraId="7D39A37C" w14:textId="77777777" w:rsidR="00E03711" w:rsidRPr="00F769E0" w:rsidRDefault="00E03711" w:rsidP="001923DD">
            <w:pPr>
              <w:pStyle w:val="Guide-Table"/>
              <w:rPr>
                <w:rFonts w:cs="Tahoma"/>
                <w:lang w:val="sl-SI" w:eastAsia="en-GB"/>
              </w:rPr>
            </w:pPr>
            <w:r w:rsidRPr="00F769E0">
              <w:rPr>
                <w:rFonts w:cs="Tahoma"/>
                <w:lang w:val="sl-SI" w:eastAsia="en-GB"/>
              </w:rPr>
              <w:t>230</w:t>
            </w:r>
          </w:p>
        </w:tc>
      </w:tr>
      <w:tr w:rsidR="00E03711" w:rsidRPr="00F769E0" w14:paraId="7D39A380"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7E" w14:textId="77777777" w:rsidR="00E03711" w:rsidRPr="00F769E0" w:rsidRDefault="00E03711" w:rsidP="001923DD">
            <w:pPr>
              <w:pStyle w:val="Guide-Table"/>
              <w:jc w:val="left"/>
              <w:rPr>
                <w:rFonts w:cs="Tahoma"/>
                <w:lang w:val="sl-SI" w:eastAsia="en-GB"/>
              </w:rPr>
            </w:pPr>
            <w:r w:rsidRPr="00F769E0">
              <w:rPr>
                <w:rFonts w:cs="Tahoma"/>
                <w:lang w:val="sl-SI" w:eastAsia="en-GB"/>
              </w:rPr>
              <w:t>Vanuatu</w:t>
            </w:r>
          </w:p>
        </w:tc>
        <w:tc>
          <w:tcPr>
            <w:tcW w:w="1453" w:type="pct"/>
            <w:tcBorders>
              <w:top w:val="single" w:sz="4" w:space="0" w:color="000000"/>
              <w:left w:val="single" w:sz="4" w:space="0" w:color="000000"/>
              <w:bottom w:val="single" w:sz="4" w:space="0" w:color="000000"/>
              <w:right w:val="single" w:sz="4" w:space="0" w:color="000000"/>
            </w:tcBorders>
          </w:tcPr>
          <w:p w14:paraId="7D39A37F" w14:textId="77777777" w:rsidR="00E03711" w:rsidRPr="00F769E0" w:rsidRDefault="00E03711" w:rsidP="001923DD">
            <w:pPr>
              <w:pStyle w:val="Guide-Table"/>
              <w:rPr>
                <w:rFonts w:cs="Tahoma"/>
                <w:lang w:val="sl-SI" w:eastAsia="en-GB"/>
              </w:rPr>
            </w:pPr>
            <w:r w:rsidRPr="00F769E0">
              <w:rPr>
                <w:rFonts w:cs="Tahoma"/>
                <w:lang w:val="sl-SI" w:eastAsia="en-GB"/>
              </w:rPr>
              <w:t>170</w:t>
            </w:r>
          </w:p>
        </w:tc>
      </w:tr>
      <w:tr w:rsidR="00E03711" w:rsidRPr="00F769E0" w14:paraId="7D39A383"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81" w14:textId="77777777" w:rsidR="00E03711" w:rsidRPr="00F769E0" w:rsidRDefault="00E03711" w:rsidP="001923DD">
            <w:pPr>
              <w:pStyle w:val="Guide-Table"/>
              <w:jc w:val="left"/>
              <w:rPr>
                <w:rFonts w:cs="Tahoma"/>
                <w:lang w:val="sl-SI" w:eastAsia="en-GB"/>
              </w:rPr>
            </w:pPr>
            <w:r w:rsidRPr="00F769E0">
              <w:rPr>
                <w:rFonts w:cs="Tahoma"/>
                <w:lang w:val="sl-SI" w:eastAsia="en-GB"/>
              </w:rPr>
              <w:t>Vatikanska mestna država</w:t>
            </w:r>
          </w:p>
        </w:tc>
        <w:tc>
          <w:tcPr>
            <w:tcW w:w="1453" w:type="pct"/>
            <w:tcBorders>
              <w:top w:val="single" w:sz="4" w:space="0" w:color="000000"/>
              <w:left w:val="single" w:sz="4" w:space="0" w:color="000000"/>
              <w:bottom w:val="single" w:sz="4" w:space="0" w:color="000000"/>
              <w:right w:val="single" w:sz="4" w:space="0" w:color="000000"/>
            </w:tcBorders>
          </w:tcPr>
          <w:p w14:paraId="7D39A382" w14:textId="77777777" w:rsidR="00E03711" w:rsidRPr="00F769E0" w:rsidRDefault="00E03711" w:rsidP="001923DD">
            <w:pPr>
              <w:pStyle w:val="Guide-Table"/>
              <w:rPr>
                <w:rFonts w:cs="Tahoma"/>
                <w:lang w:val="sl-SI" w:eastAsia="en-GB"/>
              </w:rPr>
            </w:pPr>
            <w:r w:rsidRPr="00F769E0">
              <w:rPr>
                <w:rFonts w:cs="Tahoma"/>
                <w:lang w:val="sl-SI" w:eastAsia="en-GB"/>
              </w:rPr>
              <w:t>175</w:t>
            </w:r>
          </w:p>
        </w:tc>
      </w:tr>
      <w:tr w:rsidR="00E03711" w:rsidRPr="00F769E0" w14:paraId="7D39A386"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84" w14:textId="77777777" w:rsidR="00E03711" w:rsidRPr="00F769E0" w:rsidRDefault="00E03711" w:rsidP="001923DD">
            <w:pPr>
              <w:pStyle w:val="Guide-Table"/>
              <w:jc w:val="left"/>
              <w:rPr>
                <w:rFonts w:cs="Tahoma"/>
                <w:lang w:val="sl-SI" w:eastAsia="en-GB"/>
              </w:rPr>
            </w:pPr>
            <w:r w:rsidRPr="00F769E0">
              <w:rPr>
                <w:rFonts w:cs="Tahoma"/>
                <w:lang w:val="sl-SI" w:eastAsia="en-GB"/>
              </w:rPr>
              <w:t>Venezuela</w:t>
            </w:r>
          </w:p>
        </w:tc>
        <w:tc>
          <w:tcPr>
            <w:tcW w:w="1453" w:type="pct"/>
            <w:tcBorders>
              <w:top w:val="single" w:sz="4" w:space="0" w:color="000000"/>
              <w:left w:val="single" w:sz="4" w:space="0" w:color="000000"/>
              <w:bottom w:val="single" w:sz="4" w:space="0" w:color="000000"/>
              <w:right w:val="single" w:sz="4" w:space="0" w:color="000000"/>
            </w:tcBorders>
          </w:tcPr>
          <w:p w14:paraId="7D39A385" w14:textId="77777777" w:rsidR="00E03711" w:rsidRPr="00F769E0" w:rsidRDefault="00E03711" w:rsidP="001923DD">
            <w:pPr>
              <w:pStyle w:val="Guide-Table"/>
              <w:rPr>
                <w:rFonts w:cs="Tahoma"/>
                <w:lang w:val="sl-SI" w:eastAsia="en-GB"/>
              </w:rPr>
            </w:pPr>
            <w:r w:rsidRPr="00F769E0">
              <w:rPr>
                <w:rFonts w:cs="Tahoma"/>
                <w:lang w:val="sl-SI" w:eastAsia="en-GB"/>
              </w:rPr>
              <w:t>210</w:t>
            </w:r>
          </w:p>
        </w:tc>
      </w:tr>
      <w:tr w:rsidR="00E03711" w:rsidRPr="00F769E0" w14:paraId="7D39A389"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87" w14:textId="77777777" w:rsidR="00E03711" w:rsidRPr="00F769E0" w:rsidRDefault="00E03711" w:rsidP="001923DD">
            <w:pPr>
              <w:pStyle w:val="Guide-Table"/>
              <w:jc w:val="left"/>
              <w:rPr>
                <w:rFonts w:cs="Tahoma"/>
                <w:lang w:val="sl-SI" w:eastAsia="en-GB"/>
              </w:rPr>
            </w:pPr>
            <w:r w:rsidRPr="00F769E0">
              <w:rPr>
                <w:rFonts w:cs="Tahoma"/>
                <w:lang w:val="sl-SI" w:eastAsia="en-GB"/>
              </w:rPr>
              <w:t>Vietnam</w:t>
            </w:r>
          </w:p>
        </w:tc>
        <w:tc>
          <w:tcPr>
            <w:tcW w:w="1453" w:type="pct"/>
            <w:tcBorders>
              <w:top w:val="single" w:sz="4" w:space="0" w:color="000000"/>
              <w:left w:val="single" w:sz="4" w:space="0" w:color="000000"/>
              <w:bottom w:val="single" w:sz="4" w:space="0" w:color="000000"/>
              <w:right w:val="single" w:sz="4" w:space="0" w:color="000000"/>
            </w:tcBorders>
          </w:tcPr>
          <w:p w14:paraId="7D39A388" w14:textId="77777777" w:rsidR="00E03711" w:rsidRPr="00F769E0" w:rsidRDefault="00E03711" w:rsidP="001923DD">
            <w:pPr>
              <w:pStyle w:val="Guide-Table"/>
              <w:rPr>
                <w:rFonts w:cs="Tahoma"/>
                <w:lang w:val="sl-SI" w:eastAsia="en-GB"/>
              </w:rPr>
            </w:pPr>
            <w:r w:rsidRPr="00F769E0">
              <w:rPr>
                <w:rFonts w:cs="Tahoma"/>
                <w:lang w:val="sl-SI" w:eastAsia="en-GB"/>
              </w:rPr>
              <w:t>255</w:t>
            </w:r>
          </w:p>
        </w:tc>
      </w:tr>
      <w:tr w:rsidR="00E03711" w:rsidRPr="00F769E0" w14:paraId="7D39A38C"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8A" w14:textId="77777777" w:rsidR="00E03711" w:rsidRPr="00F769E0" w:rsidRDefault="00E03711" w:rsidP="001923DD">
            <w:pPr>
              <w:pStyle w:val="Guide-Table"/>
              <w:jc w:val="left"/>
              <w:rPr>
                <w:rFonts w:cs="Tahoma"/>
                <w:lang w:val="sl-SI" w:eastAsia="en-GB"/>
              </w:rPr>
            </w:pPr>
            <w:r w:rsidRPr="00F769E0">
              <w:rPr>
                <w:rFonts w:cs="Tahoma"/>
                <w:lang w:val="sl-SI" w:eastAsia="en-GB"/>
              </w:rPr>
              <w:t>Jemen</w:t>
            </w:r>
          </w:p>
        </w:tc>
        <w:tc>
          <w:tcPr>
            <w:tcW w:w="1453" w:type="pct"/>
            <w:tcBorders>
              <w:top w:val="single" w:sz="4" w:space="0" w:color="000000"/>
              <w:left w:val="single" w:sz="4" w:space="0" w:color="000000"/>
              <w:bottom w:val="single" w:sz="4" w:space="0" w:color="000000"/>
              <w:right w:val="single" w:sz="4" w:space="0" w:color="000000"/>
            </w:tcBorders>
          </w:tcPr>
          <w:p w14:paraId="7D39A38B" w14:textId="77777777" w:rsidR="00E03711" w:rsidRPr="00F769E0" w:rsidRDefault="00E03711" w:rsidP="001923DD">
            <w:pPr>
              <w:pStyle w:val="Guide-Table"/>
              <w:rPr>
                <w:rFonts w:cs="Tahoma"/>
                <w:lang w:val="sl-SI" w:eastAsia="en-GB"/>
              </w:rPr>
            </w:pPr>
            <w:r w:rsidRPr="00F769E0">
              <w:rPr>
                <w:rFonts w:cs="Tahoma"/>
                <w:lang w:val="sl-SI" w:eastAsia="en-GB"/>
              </w:rPr>
              <w:t>225</w:t>
            </w:r>
          </w:p>
        </w:tc>
      </w:tr>
      <w:tr w:rsidR="00E03711" w:rsidRPr="00F769E0" w14:paraId="7D39A38F"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8D" w14:textId="77777777" w:rsidR="00E03711" w:rsidRPr="00F769E0" w:rsidRDefault="00E03711" w:rsidP="001923DD">
            <w:pPr>
              <w:pStyle w:val="Guide-Table"/>
              <w:jc w:val="left"/>
              <w:rPr>
                <w:rFonts w:cs="Tahoma"/>
                <w:lang w:val="sl-SI" w:eastAsia="en-GB"/>
              </w:rPr>
            </w:pPr>
            <w:r w:rsidRPr="00F769E0">
              <w:rPr>
                <w:rFonts w:cs="Tahoma"/>
                <w:lang w:val="sl-SI" w:eastAsia="en-GB"/>
              </w:rPr>
              <w:t>Zambija</w:t>
            </w:r>
          </w:p>
        </w:tc>
        <w:tc>
          <w:tcPr>
            <w:tcW w:w="1453" w:type="pct"/>
            <w:tcBorders>
              <w:top w:val="single" w:sz="4" w:space="0" w:color="000000"/>
              <w:left w:val="single" w:sz="4" w:space="0" w:color="000000"/>
              <w:bottom w:val="single" w:sz="4" w:space="0" w:color="000000"/>
              <w:right w:val="single" w:sz="4" w:space="0" w:color="000000"/>
            </w:tcBorders>
          </w:tcPr>
          <w:p w14:paraId="7D39A38E" w14:textId="77777777" w:rsidR="00E03711" w:rsidRPr="00F769E0" w:rsidRDefault="00E03711" w:rsidP="001923DD">
            <w:pPr>
              <w:pStyle w:val="Guide-Table"/>
              <w:rPr>
                <w:rFonts w:cs="Tahoma"/>
                <w:lang w:val="sl-SI" w:eastAsia="en-GB"/>
              </w:rPr>
            </w:pPr>
            <w:r w:rsidRPr="00F769E0">
              <w:rPr>
                <w:rFonts w:cs="Tahoma"/>
                <w:lang w:val="sl-SI" w:eastAsia="en-GB"/>
              </w:rPr>
              <w:t>185</w:t>
            </w:r>
          </w:p>
        </w:tc>
      </w:tr>
      <w:tr w:rsidR="00E03711" w:rsidRPr="00F769E0" w14:paraId="7D39A392"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90" w14:textId="77777777" w:rsidR="00E03711" w:rsidRPr="00F769E0" w:rsidRDefault="00E03711" w:rsidP="001923DD">
            <w:pPr>
              <w:pStyle w:val="Guide-Table"/>
              <w:jc w:val="left"/>
              <w:rPr>
                <w:rFonts w:cs="Tahoma"/>
                <w:lang w:val="sl-SI" w:eastAsia="en-GB"/>
              </w:rPr>
            </w:pPr>
            <w:r w:rsidRPr="00F769E0">
              <w:rPr>
                <w:rFonts w:cs="Tahoma"/>
                <w:lang w:val="sl-SI" w:eastAsia="en-GB"/>
              </w:rPr>
              <w:t>Zimbabve</w:t>
            </w:r>
          </w:p>
        </w:tc>
        <w:tc>
          <w:tcPr>
            <w:tcW w:w="1453" w:type="pct"/>
            <w:tcBorders>
              <w:top w:val="single" w:sz="4" w:space="0" w:color="000000"/>
              <w:left w:val="single" w:sz="4" w:space="0" w:color="000000"/>
              <w:bottom w:val="single" w:sz="4" w:space="0" w:color="000000"/>
              <w:right w:val="single" w:sz="4" w:space="0" w:color="000000"/>
            </w:tcBorders>
          </w:tcPr>
          <w:p w14:paraId="7D39A391" w14:textId="77777777" w:rsidR="00E03711" w:rsidRPr="00F769E0" w:rsidRDefault="00E03711" w:rsidP="001923DD">
            <w:pPr>
              <w:pStyle w:val="Guide-Table"/>
              <w:rPr>
                <w:rFonts w:cs="Tahoma"/>
                <w:lang w:val="sl-SI" w:eastAsia="en-GB"/>
              </w:rPr>
            </w:pPr>
            <w:r w:rsidRPr="00F769E0">
              <w:rPr>
                <w:rFonts w:cs="Tahoma"/>
                <w:lang w:val="sl-SI" w:eastAsia="en-GB"/>
              </w:rPr>
              <w:t>165</w:t>
            </w:r>
          </w:p>
        </w:tc>
      </w:tr>
      <w:tr w:rsidR="00E03711" w:rsidRPr="00F769E0" w14:paraId="7D39A395" w14:textId="77777777" w:rsidTr="001923DD">
        <w:trPr>
          <w:trHeight w:val="20"/>
        </w:trPr>
        <w:tc>
          <w:tcPr>
            <w:tcW w:w="3547" w:type="pct"/>
            <w:tcBorders>
              <w:top w:val="single" w:sz="4" w:space="0" w:color="000000"/>
              <w:left w:val="single" w:sz="4" w:space="0" w:color="000000"/>
              <w:bottom w:val="single" w:sz="4" w:space="0" w:color="000000"/>
              <w:right w:val="single" w:sz="4" w:space="0" w:color="000000"/>
            </w:tcBorders>
          </w:tcPr>
          <w:p w14:paraId="7D39A393" w14:textId="77777777" w:rsidR="00E03711" w:rsidRPr="00F769E0" w:rsidRDefault="00E03711" w:rsidP="001923DD">
            <w:pPr>
              <w:pStyle w:val="Guide-Table"/>
              <w:jc w:val="left"/>
              <w:rPr>
                <w:rFonts w:cs="Tahoma"/>
                <w:lang w:val="sl-SI" w:eastAsia="en-GB"/>
              </w:rPr>
            </w:pPr>
            <w:r w:rsidRPr="00F769E0">
              <w:rPr>
                <w:rFonts w:cs="Tahoma"/>
                <w:lang w:val="sl-SI" w:eastAsia="en-GB"/>
              </w:rPr>
              <w:t>Druge države</w:t>
            </w:r>
          </w:p>
        </w:tc>
        <w:tc>
          <w:tcPr>
            <w:tcW w:w="1453" w:type="pct"/>
            <w:tcBorders>
              <w:top w:val="single" w:sz="4" w:space="0" w:color="000000"/>
              <w:left w:val="single" w:sz="4" w:space="0" w:color="000000"/>
              <w:bottom w:val="single" w:sz="4" w:space="0" w:color="000000"/>
              <w:right w:val="single" w:sz="4" w:space="0" w:color="000000"/>
            </w:tcBorders>
          </w:tcPr>
          <w:p w14:paraId="7D39A394" w14:textId="77777777" w:rsidR="00E03711" w:rsidRPr="00F769E0" w:rsidRDefault="00E03711" w:rsidP="001923DD">
            <w:pPr>
              <w:pStyle w:val="Guide-Table"/>
              <w:rPr>
                <w:rFonts w:cs="Tahoma"/>
                <w:lang w:val="sl-SI" w:eastAsia="en-GB"/>
              </w:rPr>
            </w:pPr>
            <w:r w:rsidRPr="00F769E0">
              <w:rPr>
                <w:rFonts w:cs="Tahoma"/>
                <w:lang w:val="sl-SI" w:eastAsia="en-GB"/>
              </w:rPr>
              <w:t>205</w:t>
            </w:r>
          </w:p>
        </w:tc>
      </w:tr>
    </w:tbl>
    <w:p w14:paraId="7D39A396" w14:textId="77777777" w:rsidR="00E03711" w:rsidRDefault="00E03711">
      <w:pPr>
        <w:widowControl/>
        <w:suppressAutoHyphens w:val="0"/>
        <w:autoSpaceDN/>
        <w:textAlignment w:val="auto"/>
        <w:rPr>
          <w:rFonts w:eastAsia="Times New Roman" w:cs="Times New Roman"/>
          <w:sz w:val="18"/>
          <w:szCs w:val="18"/>
          <w:shd w:val="clear" w:color="auto" w:fill="FFFFFF"/>
          <w:lang w:val="sl-SI"/>
        </w:rPr>
        <w:sectPr w:rsidR="00E03711" w:rsidSect="001923DD">
          <w:endnotePr>
            <w:numFmt w:val="decimal"/>
          </w:endnotePr>
          <w:type w:val="continuous"/>
          <w:pgSz w:w="16840" w:h="11910" w:orient="landscape" w:code="9"/>
          <w:pgMar w:top="1418" w:right="1134" w:bottom="1418" w:left="1134" w:header="284" w:footer="567" w:gutter="0"/>
          <w:cols w:num="3" w:space="720"/>
          <w:docGrid w:linePitch="326"/>
        </w:sectPr>
      </w:pPr>
    </w:p>
    <w:p w14:paraId="7D39A397" w14:textId="77777777" w:rsidR="00E03711" w:rsidRPr="001048FE" w:rsidRDefault="00E03711" w:rsidP="006F6C8B">
      <w:pPr>
        <w:pStyle w:val="GUIDE-NORMAL"/>
        <w:rPr>
          <w:lang w:val="sl-SI"/>
        </w:rPr>
        <w:sectPr w:rsidR="00E03711" w:rsidRPr="001048FE" w:rsidSect="001923DD">
          <w:endnotePr>
            <w:numFmt w:val="decimal"/>
          </w:endnotePr>
          <w:type w:val="continuous"/>
          <w:pgSz w:w="16840" w:h="11910" w:orient="landscape" w:code="9"/>
          <w:pgMar w:top="1418" w:right="1134" w:bottom="1418" w:left="1134" w:header="284" w:footer="567" w:gutter="0"/>
          <w:cols w:space="720"/>
          <w:docGrid w:linePitch="326"/>
        </w:sectPr>
      </w:pPr>
    </w:p>
    <w:p w14:paraId="7D39A398" w14:textId="77777777" w:rsidR="00E03711" w:rsidRDefault="00E03711">
      <w:pPr>
        <w:pStyle w:val="Guide-Heading2"/>
        <w:rPr>
          <w:lang w:val="sl-SI"/>
        </w:rPr>
      </w:pPr>
      <w:bookmarkStart w:id="351" w:name="_Toc527400931"/>
      <w:bookmarkStart w:id="352" w:name="_Toc527401209"/>
      <w:r w:rsidRPr="001048FE">
        <w:rPr>
          <w:lang w:val="sl-SI"/>
        </w:rPr>
        <w:t>Šport</w:t>
      </w:r>
      <w:bookmarkEnd w:id="351"/>
      <w:bookmarkEnd w:id="352"/>
    </w:p>
    <w:p w14:paraId="7D39A399" w14:textId="77777777" w:rsidR="00E03711" w:rsidRDefault="00E03711">
      <w:pPr>
        <w:pStyle w:val="Guide-Heading3"/>
        <w:rPr>
          <w:lang w:val="sl-SI"/>
        </w:rPr>
      </w:pPr>
      <w:bookmarkStart w:id="353" w:name="Quelles_sont_les_actions_bénéficiant_d’u"/>
      <w:bookmarkStart w:id="354" w:name="_Toc527400932"/>
      <w:bookmarkStart w:id="355" w:name="_Toc527401210"/>
      <w:bookmarkEnd w:id="353"/>
      <w:r w:rsidRPr="001048FE">
        <w:rPr>
          <w:lang w:val="sl-SI"/>
        </w:rPr>
        <w:t>Kateri ukrepi so podprti?</w:t>
      </w:r>
      <w:bookmarkEnd w:id="354"/>
      <w:bookmarkEnd w:id="355"/>
    </w:p>
    <w:p w14:paraId="7D39A39A" w14:textId="77777777" w:rsidR="00E03711" w:rsidRPr="001048FE" w:rsidRDefault="00E03711" w:rsidP="00370ABA">
      <w:pPr>
        <w:pStyle w:val="GUIDE-NORMAL"/>
        <w:rPr>
          <w:lang w:val="sl-SI"/>
        </w:rPr>
      </w:pPr>
      <w:r w:rsidRPr="001048FE">
        <w:rPr>
          <w:lang w:val="sl-SI"/>
        </w:rPr>
        <w:t xml:space="preserve">S tem vodnikom za prijavitelje se izvajajo naslednji ukrepi na področju športa: </w:t>
      </w:r>
    </w:p>
    <w:p w14:paraId="7D39A39B" w14:textId="77777777" w:rsidR="00E03711" w:rsidRPr="001048FE" w:rsidRDefault="00E03711" w:rsidP="005115F2">
      <w:pPr>
        <w:pStyle w:val="Guide-NormalBulletpoints"/>
        <w:numPr>
          <w:ilvl w:val="0"/>
          <w:numId w:val="382"/>
        </w:numPr>
        <w:rPr>
          <w:lang w:val="sl-SI"/>
        </w:rPr>
      </w:pPr>
      <w:r w:rsidRPr="001048FE">
        <w:rPr>
          <w:lang w:val="sl-SI"/>
        </w:rPr>
        <w:t>partnerska sodelovanja;</w:t>
      </w:r>
    </w:p>
    <w:p w14:paraId="7D39A39C" w14:textId="77777777" w:rsidR="00E03711" w:rsidRPr="001048FE" w:rsidRDefault="00E03711" w:rsidP="005115F2">
      <w:pPr>
        <w:pStyle w:val="Guide-NormalBulletpoints"/>
        <w:numPr>
          <w:ilvl w:val="0"/>
          <w:numId w:val="382"/>
        </w:numPr>
        <w:rPr>
          <w:lang w:val="sl-SI"/>
        </w:rPr>
      </w:pPr>
      <w:r w:rsidRPr="001048FE">
        <w:rPr>
          <w:lang w:val="sl-SI"/>
        </w:rPr>
        <w:t xml:space="preserve">majhna partnerska sodelovanja; </w:t>
      </w:r>
    </w:p>
    <w:p w14:paraId="7D39A39D" w14:textId="77777777" w:rsidR="00E03711" w:rsidRPr="001048FE" w:rsidRDefault="00E03711" w:rsidP="005115F2">
      <w:pPr>
        <w:pStyle w:val="Guide-NormalBulletpoints"/>
        <w:numPr>
          <w:ilvl w:val="0"/>
          <w:numId w:val="382"/>
        </w:numPr>
        <w:rPr>
          <w:lang w:val="sl-SI"/>
        </w:rPr>
      </w:pPr>
      <w:r w:rsidRPr="001048FE">
        <w:rPr>
          <w:lang w:val="sl-SI"/>
        </w:rPr>
        <w:t>neprofitne evropske športne prireditve.</w:t>
      </w:r>
    </w:p>
    <w:p w14:paraId="7D39A39E" w14:textId="77777777" w:rsidR="00E03711" w:rsidRPr="001048FE" w:rsidRDefault="00E03711" w:rsidP="00370ABA">
      <w:pPr>
        <w:pStyle w:val="GUIDE-NORMAL"/>
        <w:rPr>
          <w:lang w:val="sl-SI"/>
        </w:rPr>
      </w:pPr>
      <w:r w:rsidRPr="001048FE">
        <w:rPr>
          <w:lang w:val="sl-SI"/>
        </w:rPr>
        <w:t>Poleg tega program Erasmus+ podpira tudi ukrepe za krepitev dejanske podlage za oblikovanje politik (študije, zbiranje podatkov, ankete itd.) ter spodbujanje dialoga s pomembnimi evropskimi deležniki (športni forum EU, dogodki v okviru predsedovanja EU, konference, srečanja, seminarji itd.). Te ukrepe bo izvajala Evropska komisija neposredno ali prek Izvajalske agencije.</w:t>
      </w:r>
    </w:p>
    <w:p w14:paraId="7D39A39F" w14:textId="77777777" w:rsidR="00E03711" w:rsidRPr="001048FE" w:rsidRDefault="00E03711" w:rsidP="00370ABA">
      <w:pPr>
        <w:pStyle w:val="GUIDE-NORMAL"/>
        <w:rPr>
          <w:lang w:val="sl-SI"/>
        </w:rPr>
      </w:pPr>
      <w:r w:rsidRPr="001048FE">
        <w:rPr>
          <w:lang w:val="sl-SI"/>
        </w:rPr>
        <w:t>Program Erasmus+ sledi naslednjim posebnim ciljem na področju športa:</w:t>
      </w:r>
    </w:p>
    <w:p w14:paraId="7D39A3A0" w14:textId="77777777" w:rsidR="00E03711" w:rsidRPr="001048FE" w:rsidRDefault="00E03711" w:rsidP="005115F2">
      <w:pPr>
        <w:pStyle w:val="Guide-NormalBulletpoints"/>
        <w:numPr>
          <w:ilvl w:val="0"/>
          <w:numId w:val="383"/>
        </w:numPr>
        <w:rPr>
          <w:lang w:val="sl-SI"/>
        </w:rPr>
      </w:pPr>
      <w:r w:rsidRPr="001048FE">
        <w:rPr>
          <w:lang w:val="sl-SI"/>
        </w:rPr>
        <w:t>spopadati se s čezmejnimi dejavniki, ki ogrožajo integriteto športa, kot so uživanje prepovedanih poživil, vnaprejšnji dogovori o rezultatih tekmovanj in nasilje ter vse oblike nestrpnosti in diskriminacije;</w:t>
      </w:r>
    </w:p>
    <w:p w14:paraId="7D39A3A1" w14:textId="77777777" w:rsidR="00E03711" w:rsidRPr="001048FE" w:rsidRDefault="00E03711" w:rsidP="005115F2">
      <w:pPr>
        <w:pStyle w:val="Guide-NormalBulletpoints"/>
        <w:numPr>
          <w:ilvl w:val="0"/>
          <w:numId w:val="383"/>
        </w:numPr>
        <w:rPr>
          <w:lang w:val="sl-SI"/>
        </w:rPr>
      </w:pPr>
      <w:r w:rsidRPr="001048FE">
        <w:rPr>
          <w:lang w:val="sl-SI"/>
        </w:rPr>
        <w:t xml:space="preserve">spodbujati in podpirati dobro upravljanje v športu in dvojne poklicne poti športnikov; </w:t>
      </w:r>
    </w:p>
    <w:p w14:paraId="7D39A3A2" w14:textId="77777777" w:rsidR="00E03711" w:rsidRPr="001048FE" w:rsidRDefault="00E03711" w:rsidP="005115F2">
      <w:pPr>
        <w:pStyle w:val="Guide-NormalBulletpoints"/>
        <w:numPr>
          <w:ilvl w:val="0"/>
          <w:numId w:val="383"/>
        </w:numPr>
        <w:rPr>
          <w:lang w:val="sl-SI"/>
        </w:rPr>
      </w:pPr>
      <w:r w:rsidRPr="001048FE">
        <w:rPr>
          <w:lang w:val="sl-SI"/>
        </w:rPr>
        <w:t>spodbujati prostovoljske dejavnosti v športu ter socialno vključevanje, enake možnosti in zavest o pomenu telesne dejavnosti, ki izboljšuje zdravje, z večjo udeležbo v športu in enakopravnim dostopom do športa za vse.</w:t>
      </w:r>
    </w:p>
    <w:p w14:paraId="7D39A3A3" w14:textId="77777777" w:rsidR="00E03711" w:rsidRPr="001048FE" w:rsidRDefault="00E03711" w:rsidP="00370ABA">
      <w:pPr>
        <w:pStyle w:val="GUIDE-NORMAL"/>
        <w:rPr>
          <w:lang w:val="sl-SI"/>
        </w:rPr>
      </w:pPr>
      <w:r w:rsidRPr="001048FE">
        <w:rPr>
          <w:lang w:val="sl-SI"/>
        </w:rPr>
        <w:t>Kot je zagotovljeno z uredbo, ki ustanavlja program Erasmus+, je treba pozornost nameniti množičnem športu.</w:t>
      </w:r>
    </w:p>
    <w:p w14:paraId="7D39A3A4" w14:textId="77777777" w:rsidR="00E03711" w:rsidRPr="001048FE" w:rsidRDefault="00E03711" w:rsidP="00370ABA">
      <w:pPr>
        <w:pStyle w:val="GUIDE-NORMAL"/>
        <w:rPr>
          <w:lang w:val="sl-SI"/>
        </w:rPr>
      </w:pPr>
      <w:r w:rsidRPr="001048FE">
        <w:rPr>
          <w:lang w:val="sl-SI"/>
        </w:rPr>
        <w:t>Pričakovani rezultat ukrepov na področju športa je razvoj evropske razsežnosti v športu z ustvarjanjem, izmenjavo in razširjanjem izkušenj in znanja o različnih vprašanjih v zvezi s športom na evropski ravni.</w:t>
      </w:r>
    </w:p>
    <w:p w14:paraId="7D39A3A5" w14:textId="77777777" w:rsidR="00E03711" w:rsidRPr="001048FE" w:rsidRDefault="00E03711" w:rsidP="00370ABA">
      <w:pPr>
        <w:pStyle w:val="GUIDE-NORMAL"/>
        <w:rPr>
          <w:lang w:val="sl-SI"/>
        </w:rPr>
      </w:pPr>
      <w:r w:rsidRPr="001048FE">
        <w:rPr>
          <w:lang w:val="sl-SI"/>
        </w:rPr>
        <w:t>Nazadnje bi morali športni projekti, ki so podprti s programom Erasmus+, prispevati k večji udeležbi v športu, telesni dejavnosti in prostovoljstvu.</w:t>
      </w:r>
    </w:p>
    <w:p w14:paraId="7D39A3A6" w14:textId="77777777" w:rsidR="00E03711" w:rsidRPr="001048FE" w:rsidRDefault="00E03711" w:rsidP="00370ABA">
      <w:pPr>
        <w:pStyle w:val="GUIDE-NORMAL"/>
        <w:rPr>
          <w:lang w:val="sl-SI"/>
        </w:rPr>
      </w:pPr>
      <w:r w:rsidRPr="001048FE">
        <w:rPr>
          <w:lang w:val="sl-SI"/>
        </w:rPr>
        <w:t>Natančneje:</w:t>
      </w:r>
    </w:p>
    <w:p w14:paraId="7D39A3A7" w14:textId="77777777" w:rsidR="00E03711" w:rsidRPr="001048FE" w:rsidRDefault="00E03711" w:rsidP="005115F2">
      <w:pPr>
        <w:pStyle w:val="Guide-NormalBulletpoints"/>
        <w:numPr>
          <w:ilvl w:val="0"/>
          <w:numId w:val="384"/>
        </w:numPr>
        <w:rPr>
          <w:lang w:val="sl-SI"/>
        </w:rPr>
      </w:pPr>
      <w:r w:rsidRPr="001048FE">
        <w:rPr>
          <w:lang w:val="sl-SI"/>
        </w:rPr>
        <w:t>h krepitvi znanja in ozaveščenosti o športu in telesni dejavnosti v državah Programa;</w:t>
      </w:r>
    </w:p>
    <w:p w14:paraId="7D39A3A8" w14:textId="77777777" w:rsidR="00E03711" w:rsidRPr="001048FE" w:rsidRDefault="00E03711" w:rsidP="005115F2">
      <w:pPr>
        <w:pStyle w:val="Guide-NormalBulletpoints"/>
        <w:numPr>
          <w:ilvl w:val="0"/>
          <w:numId w:val="384"/>
        </w:numPr>
        <w:rPr>
          <w:lang w:val="sl-SI"/>
        </w:rPr>
      </w:pPr>
      <w:r w:rsidRPr="001048FE">
        <w:rPr>
          <w:lang w:val="sl-SI"/>
        </w:rPr>
        <w:t>k večji ozaveščenosti o vlogi športa pri spodbujanju socialnega vključevanja, enakih možnosti in telesne dejavnosti, ki izboljšuje zdravje;</w:t>
      </w:r>
    </w:p>
    <w:p w14:paraId="7D39A3A9" w14:textId="77777777" w:rsidR="00E03711" w:rsidRPr="001048FE" w:rsidRDefault="00E03711" w:rsidP="005115F2">
      <w:pPr>
        <w:pStyle w:val="Guide-NormalBulletpoints"/>
        <w:numPr>
          <w:ilvl w:val="0"/>
          <w:numId w:val="384"/>
        </w:numPr>
        <w:rPr>
          <w:lang w:val="sl-SI"/>
        </w:rPr>
      </w:pPr>
      <w:r w:rsidRPr="001048FE">
        <w:rPr>
          <w:lang w:val="sl-SI"/>
        </w:rPr>
        <w:t>k okrepljenemu sodelovanju med institucijami in organizacijami, aktivnimi na področju športa in telesne dejavnosti;</w:t>
      </w:r>
    </w:p>
    <w:p w14:paraId="7D39A3AA" w14:textId="77777777" w:rsidR="00E03711" w:rsidRPr="001048FE" w:rsidRDefault="00E03711" w:rsidP="005115F2">
      <w:pPr>
        <w:pStyle w:val="Guide-NormalBulletpoints"/>
        <w:numPr>
          <w:ilvl w:val="0"/>
          <w:numId w:val="384"/>
        </w:numPr>
        <w:rPr>
          <w:lang w:val="sl-SI"/>
        </w:rPr>
      </w:pPr>
      <w:r w:rsidRPr="001048FE">
        <w:rPr>
          <w:lang w:val="sl-SI"/>
        </w:rPr>
        <w:t>k boljšemu vključevanju športnih organizacij in drugih ustreznih organizacij iz različnih držav Programa v izboljšana omrežja;</w:t>
      </w:r>
    </w:p>
    <w:p w14:paraId="7D39A3AB" w14:textId="77777777" w:rsidR="00E03711" w:rsidRPr="001048FE" w:rsidRDefault="00E03711" w:rsidP="005115F2">
      <w:pPr>
        <w:pStyle w:val="Guide-NormalBulletpoints"/>
        <w:numPr>
          <w:ilvl w:val="0"/>
          <w:numId w:val="384"/>
        </w:numPr>
        <w:rPr>
          <w:lang w:val="sl-SI"/>
        </w:rPr>
      </w:pPr>
      <w:r w:rsidRPr="001048FE">
        <w:rPr>
          <w:lang w:val="sl-SI"/>
        </w:rPr>
        <w:t>k boljši izmenjavi dobrih praks.</w:t>
      </w:r>
    </w:p>
    <w:p w14:paraId="7D39A3AC" w14:textId="77777777" w:rsidR="00E03711" w:rsidRPr="001048FE" w:rsidRDefault="00E03711" w:rsidP="00370ABA">
      <w:pPr>
        <w:pStyle w:val="GUIDE-NORMAL"/>
        <w:rPr>
          <w:lang w:val="sl-SI"/>
        </w:rPr>
      </w:pPr>
      <w:r w:rsidRPr="001048FE">
        <w:rPr>
          <w:lang w:val="sl-SI"/>
        </w:rPr>
        <w:t>Ukrepi na področju športa bodo po pričakovanjih prispevali k izvajanju evropskega tedna športa, tj. pobude, ki jo je pripravila Komisija za spodbujanje športa in telesne dejavnosti v Evropski uniji glede na vse manjšo udeležbo.</w:t>
      </w:r>
    </w:p>
    <w:p w14:paraId="7D39A3AD" w14:textId="77777777" w:rsidR="00E03711" w:rsidRPr="001048FE" w:rsidRDefault="00E03711" w:rsidP="00370ABA">
      <w:pPr>
        <w:pStyle w:val="GUIDE-NORMAL"/>
        <w:rPr>
          <w:lang w:val="sl-SI"/>
        </w:rPr>
      </w:pPr>
      <w:r w:rsidRPr="001048FE">
        <w:rPr>
          <w:lang w:val="sl-SI"/>
        </w:rPr>
        <w:t>Evropski teden športa bo organiziran v sledečem okvirju: uradna otvoritev, vodilna prireditev in pet tematskih dni, pri čemer bo vsak dan posvečen drugačni temi: izobraževanje, delovna mesta, zunanje aktivnosti, športni klubi in fitnes centri. Poleg drugih aktivnosti bo evropski teden športa spodbujal organizacijo čezmejnih aktivnosti za povečanje ozaveščenosti.</w:t>
      </w:r>
    </w:p>
    <w:p w14:paraId="7D39A3AE" w14:textId="77777777" w:rsidR="00E03711" w:rsidRPr="001048FE" w:rsidRDefault="00E03711" w:rsidP="00370ABA">
      <w:pPr>
        <w:pStyle w:val="GUIDE-NORMAL"/>
        <w:rPr>
          <w:lang w:val="sl-SI"/>
        </w:rPr>
      </w:pPr>
      <w:r w:rsidRPr="001048FE">
        <w:rPr>
          <w:lang w:val="sl-SI"/>
        </w:rPr>
        <w:t xml:space="preserve">Od leta 2017 bo </w:t>
      </w:r>
      <w:hyperlink r:id="rId132">
        <w:r w:rsidRPr="001048FE">
          <w:rPr>
            <w:rStyle w:val="Hyperlink"/>
            <w:lang w:val="sl-SI"/>
          </w:rPr>
          <w:t>evropski teden športa</w:t>
        </w:r>
        <w:r w:rsidRPr="001048FE">
          <w:rPr>
            <w:lang w:val="sl-SI"/>
          </w:rPr>
          <w:t xml:space="preserve"> </w:t>
        </w:r>
      </w:hyperlink>
      <w:r w:rsidRPr="001048FE">
        <w:rPr>
          <w:lang w:val="sl-SI"/>
        </w:rPr>
        <w:t>potekal med 23. in 30. septembrom. Poleg aktivnosti, ki jih organizira Evropska komisija, bodo države članice organizirale nacionalne aktivnosti in koordinirale lokalne aktivnosti.</w:t>
      </w:r>
    </w:p>
    <w:p w14:paraId="7D39A3AF" w14:textId="77777777" w:rsidR="00E03711" w:rsidRPr="001048FE" w:rsidRDefault="00E03711" w:rsidP="00370ABA">
      <w:pPr>
        <w:pStyle w:val="GUIDE-NORMAL"/>
        <w:rPr>
          <w:lang w:val="sl-SI"/>
        </w:rPr>
      </w:pPr>
      <w:r w:rsidRPr="001048FE">
        <w:rPr>
          <w:lang w:val="sl-SI"/>
        </w:rPr>
        <w:t>Za dodatne informacije o evropskemu tednu športa 20</w:t>
      </w:r>
      <w:r>
        <w:rPr>
          <w:lang w:val="sl-SI"/>
        </w:rPr>
        <w:t>20</w:t>
      </w:r>
      <w:r w:rsidRPr="001048FE">
        <w:rPr>
          <w:lang w:val="sl-SI"/>
        </w:rPr>
        <w:t xml:space="preserve"> glej</w:t>
      </w:r>
      <w:r w:rsidR="00F22E7C">
        <w:rPr>
          <w:lang w:val="sl-SI"/>
        </w:rPr>
        <w:t xml:space="preserve"> </w:t>
      </w:r>
      <w:hyperlink w:history="1"/>
      <w:hyperlink r:id="rId133" w:history="1">
        <w:r w:rsidRPr="004E4C36">
          <w:rPr>
            <w:rStyle w:val="Hyperlink"/>
            <w:lang w:val="sl-SI"/>
          </w:rPr>
          <w:t>https://ec.europa.eu/sport/week_en</w:t>
        </w:r>
      </w:hyperlink>
    </w:p>
    <w:p w14:paraId="7D39A3B0" w14:textId="77777777" w:rsidR="00E03711" w:rsidRDefault="00E03711">
      <w:pPr>
        <w:widowControl/>
        <w:suppressAutoHyphens w:val="0"/>
        <w:autoSpaceDN/>
        <w:textAlignment w:val="auto"/>
        <w:rPr>
          <w:lang w:val="sl-SI"/>
        </w:rPr>
      </w:pPr>
      <w:bookmarkStart w:id="356" w:name="Projets_de_collaboration"/>
      <w:bookmarkStart w:id="357" w:name="_bookmark55"/>
      <w:bookmarkEnd w:id="356"/>
      <w:bookmarkEnd w:id="357"/>
      <w:r>
        <w:rPr>
          <w:lang w:val="sl-SI"/>
        </w:rPr>
        <w:br w:type="page"/>
      </w:r>
    </w:p>
    <w:p w14:paraId="7D39A3B1" w14:textId="77777777" w:rsidR="00E03711" w:rsidRPr="001048FE" w:rsidRDefault="00E03711" w:rsidP="00382921">
      <w:pPr>
        <w:rPr>
          <w:lang w:val="sl-SI"/>
        </w:rPr>
        <w:sectPr w:rsidR="00E03711" w:rsidRPr="001048FE" w:rsidSect="00E15ED3">
          <w:headerReference w:type="default" r:id="rId134"/>
          <w:endnotePr>
            <w:numFmt w:val="decimal"/>
          </w:endnotePr>
          <w:pgSz w:w="11910" w:h="16840" w:code="9"/>
          <w:pgMar w:top="1134" w:right="1418" w:bottom="1134" w:left="1418" w:header="284" w:footer="567" w:gutter="0"/>
          <w:cols w:space="720"/>
          <w:docGrid w:linePitch="326"/>
        </w:sectPr>
      </w:pPr>
    </w:p>
    <w:p w14:paraId="7D39A3B2" w14:textId="77777777" w:rsidR="00E03711" w:rsidRDefault="00E03711">
      <w:pPr>
        <w:pStyle w:val="Guide-Heading3"/>
        <w:rPr>
          <w:lang w:val="sl-SI"/>
        </w:rPr>
      </w:pPr>
      <w:bookmarkStart w:id="358" w:name="_Toc527400933"/>
      <w:bookmarkStart w:id="359" w:name="_Toc527401211"/>
      <w:r w:rsidRPr="001048FE">
        <w:rPr>
          <w:lang w:val="sl-SI"/>
        </w:rPr>
        <w:t>Partnerska sodelovanja</w:t>
      </w:r>
      <w:bookmarkEnd w:id="358"/>
      <w:bookmarkEnd w:id="359"/>
    </w:p>
    <w:p w14:paraId="7D39A3B3" w14:textId="77777777" w:rsidR="00E03711" w:rsidRPr="001048FE" w:rsidRDefault="00E03711" w:rsidP="008C730A">
      <w:pPr>
        <w:pStyle w:val="Guide-Heading4"/>
        <w:rPr>
          <w:lang w:val="sl-SI"/>
        </w:rPr>
      </w:pPr>
      <w:bookmarkStart w:id="360" w:name="_Toc527401212"/>
      <w:r w:rsidRPr="001048FE">
        <w:rPr>
          <w:lang w:val="sl-SI"/>
        </w:rPr>
        <w:t>Kakšni so cilji partnerskega sodelovanja?</w:t>
      </w:r>
      <w:bookmarkEnd w:id="360"/>
    </w:p>
    <w:p w14:paraId="7D39A3B4" w14:textId="77777777" w:rsidR="00E03711" w:rsidRPr="001048FE" w:rsidRDefault="00E03711" w:rsidP="00382921">
      <w:pPr>
        <w:pStyle w:val="GUIDE-NORMAL"/>
        <w:rPr>
          <w:lang w:val="sl-SI"/>
        </w:rPr>
      </w:pPr>
      <w:r w:rsidRPr="001048FE">
        <w:rPr>
          <w:lang w:val="sl-SI"/>
        </w:rPr>
        <w:t>Partnerska sodelovanja ponujajo priložnost za razvijanje, prenašanje in/ali izvajanje inovativnih rezultatov in/ali vključevanje v intenzivno razširjanje in uporabo obstoječih in novih rezultatov ali inovativnih zamisli na različnih področjih, povezanih s športom ali telesno dejavnostjo. Vključujejo različne organizacije in akterje v športu ter na drugih področjih, vključno z javnimi organi na lokalni, regionalni, nacionalni in evropski ravni, športnimi organizacijami, organizacijami, ki so povezane s športom, in izobraževalnimi organi. Partnerska sodelovanja so zlasti inovativni projekti s ciljem:</w:t>
      </w:r>
    </w:p>
    <w:p w14:paraId="7D39A3B5" w14:textId="77777777" w:rsidR="00E03711" w:rsidRPr="001048FE" w:rsidRDefault="00E03711" w:rsidP="005115F2">
      <w:pPr>
        <w:pStyle w:val="Guide-NormalBulletpoints"/>
        <w:numPr>
          <w:ilvl w:val="0"/>
          <w:numId w:val="385"/>
        </w:numPr>
        <w:rPr>
          <w:lang w:val="sl-SI"/>
        </w:rPr>
      </w:pPr>
      <w:r w:rsidRPr="001048FE">
        <w:rPr>
          <w:lang w:val="sl-SI"/>
        </w:rPr>
        <w:t>spodbujati udeležbo v športu in telesni dejavnosti, zlasti s podpiranjem izvajanja priporočila Sveta o spodbujanju zdravju koristnih telesnih dejavnosti ter s skladnostjo s smernicami EU o telesni dejavnosti</w:t>
      </w:r>
      <w:r>
        <w:rPr>
          <w:lang w:val="sl-SI"/>
        </w:rPr>
        <w:t xml:space="preserve"> in Pozivom k bolj zdravemu življenju v </w:t>
      </w:r>
      <w:r w:rsidRPr="00FC4A70">
        <w:rPr>
          <w:lang w:val="sl-SI"/>
        </w:rPr>
        <w:t>Tartuju</w:t>
      </w:r>
      <w:r w:rsidRPr="001048FE">
        <w:rPr>
          <w:lang w:val="sl-SI"/>
        </w:rPr>
        <w:t>;</w:t>
      </w:r>
    </w:p>
    <w:p w14:paraId="7D39A3B6" w14:textId="77777777" w:rsidR="00E03711" w:rsidRPr="001048FE" w:rsidRDefault="00E03711" w:rsidP="005115F2">
      <w:pPr>
        <w:pStyle w:val="Guide-NormalBulletpoints"/>
        <w:numPr>
          <w:ilvl w:val="0"/>
          <w:numId w:val="385"/>
        </w:numPr>
        <w:rPr>
          <w:lang w:val="sl-SI"/>
        </w:rPr>
      </w:pPr>
      <w:r w:rsidRPr="001048FE">
        <w:rPr>
          <w:lang w:val="sl-SI"/>
        </w:rPr>
        <w:t>spodbujati udeležbo v športu in telesni dejavnosti, zlasti s podpiranjem izvajanja evropskega tedna športa;</w:t>
      </w:r>
    </w:p>
    <w:p w14:paraId="7D39A3B7" w14:textId="77777777" w:rsidR="00E03711" w:rsidRPr="001048FE" w:rsidRDefault="00E03711" w:rsidP="005115F2">
      <w:pPr>
        <w:pStyle w:val="Guide-NormalBulletpoints"/>
        <w:numPr>
          <w:ilvl w:val="0"/>
          <w:numId w:val="385"/>
        </w:numPr>
        <w:rPr>
          <w:lang w:val="sl-SI"/>
        </w:rPr>
      </w:pPr>
      <w:r w:rsidRPr="001048FE">
        <w:rPr>
          <w:lang w:val="sl-SI"/>
        </w:rPr>
        <w:t>spodbujati izobrazbo v športu in prek njega, s posebnim poudarkom na razvoju spretnosti, ter podpirati izvajanje smernic EU o dvojni poklicni poti športnikov;</w:t>
      </w:r>
    </w:p>
    <w:p w14:paraId="7D39A3B8" w14:textId="77777777" w:rsidR="00E03711" w:rsidRPr="001048FE" w:rsidRDefault="00E03711" w:rsidP="005115F2">
      <w:pPr>
        <w:pStyle w:val="Guide-NormalBulletpoints"/>
        <w:numPr>
          <w:ilvl w:val="0"/>
          <w:numId w:val="385"/>
        </w:numPr>
        <w:rPr>
          <w:lang w:val="sl-SI"/>
        </w:rPr>
      </w:pPr>
      <w:r w:rsidRPr="001048FE">
        <w:rPr>
          <w:lang w:val="sl-SI"/>
        </w:rPr>
        <w:t>spodbujati prostovoljske dejavnosti v športu;</w:t>
      </w:r>
    </w:p>
    <w:p w14:paraId="7D39A3B9" w14:textId="77777777" w:rsidR="00E03711" w:rsidRPr="001048FE" w:rsidRDefault="00E03711" w:rsidP="005115F2">
      <w:pPr>
        <w:pStyle w:val="Guide-NormalBulletpoints"/>
        <w:numPr>
          <w:ilvl w:val="0"/>
          <w:numId w:val="385"/>
        </w:numPr>
        <w:rPr>
          <w:lang w:val="sl-SI"/>
        </w:rPr>
      </w:pPr>
      <w:r w:rsidRPr="001048FE">
        <w:rPr>
          <w:lang w:val="sl-SI"/>
        </w:rPr>
        <w:t xml:space="preserve">preprečevati uživanje prepovedanih poživil zlasti v množičnem športu; </w:t>
      </w:r>
    </w:p>
    <w:p w14:paraId="7D39A3BA" w14:textId="77777777" w:rsidR="00E03711" w:rsidRPr="001048FE" w:rsidRDefault="00E03711" w:rsidP="005115F2">
      <w:pPr>
        <w:pStyle w:val="Guide-NormalBulletpoints"/>
        <w:numPr>
          <w:ilvl w:val="0"/>
          <w:numId w:val="385"/>
        </w:numPr>
        <w:rPr>
          <w:lang w:val="sl-SI"/>
        </w:rPr>
      </w:pPr>
      <w:r w:rsidRPr="001048FE">
        <w:rPr>
          <w:lang w:val="sl-SI"/>
        </w:rPr>
        <w:t>preprečevati vnaprejšnje dogovore o rezultatih tekmovanj;</w:t>
      </w:r>
    </w:p>
    <w:p w14:paraId="7D39A3BB" w14:textId="77777777" w:rsidR="00E03711" w:rsidRPr="001048FE" w:rsidRDefault="00E03711" w:rsidP="005115F2">
      <w:pPr>
        <w:pStyle w:val="Guide-NormalBulletpoints"/>
        <w:numPr>
          <w:ilvl w:val="0"/>
          <w:numId w:val="385"/>
        </w:numPr>
        <w:rPr>
          <w:lang w:val="sl-SI"/>
        </w:rPr>
      </w:pPr>
      <w:r w:rsidRPr="001048FE">
        <w:rPr>
          <w:lang w:val="sl-SI"/>
        </w:rPr>
        <w:t>izboljšati upravljanje v športu;</w:t>
      </w:r>
    </w:p>
    <w:p w14:paraId="7D39A3BC" w14:textId="77777777" w:rsidR="00E03711" w:rsidRPr="001048FE" w:rsidRDefault="00E03711" w:rsidP="005115F2">
      <w:pPr>
        <w:pStyle w:val="Guide-NormalBulletpoints"/>
        <w:numPr>
          <w:ilvl w:val="0"/>
          <w:numId w:val="385"/>
        </w:numPr>
        <w:rPr>
          <w:lang w:val="sl-SI"/>
        </w:rPr>
      </w:pPr>
      <w:r w:rsidRPr="001048FE">
        <w:rPr>
          <w:lang w:val="sl-SI"/>
        </w:rPr>
        <w:t xml:space="preserve">preprečevati nasilje, rasizem, diskriminacijo in nestrpnost v športu; </w:t>
      </w:r>
    </w:p>
    <w:p w14:paraId="7D39A3BD" w14:textId="77777777" w:rsidR="00E03711" w:rsidRPr="001048FE" w:rsidRDefault="00E03711" w:rsidP="005115F2">
      <w:pPr>
        <w:pStyle w:val="Guide-NormalBulletpoints"/>
        <w:numPr>
          <w:ilvl w:val="0"/>
          <w:numId w:val="385"/>
        </w:numPr>
        <w:rPr>
          <w:lang w:val="sl-SI"/>
        </w:rPr>
      </w:pPr>
      <w:r w:rsidRPr="001048FE">
        <w:rPr>
          <w:lang w:val="sl-SI"/>
        </w:rPr>
        <w:t>spodbujati socialno vključevanje in enake možnost v športu.</w:t>
      </w:r>
    </w:p>
    <w:p w14:paraId="7D39A3BE" w14:textId="77777777" w:rsidR="00E03711" w:rsidRPr="001048FE" w:rsidRDefault="00E03711" w:rsidP="00382921">
      <w:pPr>
        <w:pStyle w:val="GUIDE-NORMAL"/>
        <w:rPr>
          <w:lang w:val="sl-SI"/>
        </w:rPr>
      </w:pPr>
      <w:r w:rsidRPr="001048FE">
        <w:rPr>
          <w:lang w:val="sl-SI"/>
        </w:rPr>
        <w:t>Na vseh teh področjih bi bilo treba spodbujati enakost spolov. Spodbujati bi bilo treba sodelovanje s partnerskimi državami.</w:t>
      </w:r>
    </w:p>
    <w:p w14:paraId="7D39A3BF" w14:textId="77777777" w:rsidR="00E03711" w:rsidRPr="001048FE" w:rsidRDefault="00E03711" w:rsidP="00382921">
      <w:pPr>
        <w:pStyle w:val="GUIDE-NORMAL"/>
        <w:rPr>
          <w:lang w:val="sl-SI"/>
        </w:rPr>
      </w:pPr>
      <w:r w:rsidRPr="001048FE">
        <w:rPr>
          <w:lang w:val="sl-SI"/>
        </w:rPr>
        <w:t>Partnerska sodelovanja bi morala spodbujati ustvarjanje in razvoj evropskih omrežij na področju športa. EU pri tem lahko zagotavlja priložnosti za krepitev sodelovanja med deležniki, ki brez ukrepanja EU ne bi bilo mogoče. Partnerska sodelovanja bi morala tudi krepiti sinergije z lokalnimi, regionalnimi, nacionalnimi in mednarodnimi politikami ter med njimi, da spodbujajo športno in telesno dejavnost ter reševanje s športom povezanih izzivov.</w:t>
      </w:r>
    </w:p>
    <w:p w14:paraId="7D39A3C0" w14:textId="77777777" w:rsidR="00E03711" w:rsidRPr="001048FE" w:rsidRDefault="00E03711" w:rsidP="00382921">
      <w:pPr>
        <w:pStyle w:val="GUIDE-NORMAL"/>
        <w:rPr>
          <w:lang w:val="sl-SI"/>
        </w:rPr>
      </w:pPr>
      <w:r w:rsidRPr="001048FE">
        <w:rPr>
          <w:lang w:val="sl-SI"/>
        </w:rPr>
        <w:t>V okviru partnerskih sodelovanj namerava program Erasmus+ podpirati preskušanje in razvijanje novih oblik projektov in mednarodnih sodelovanj na področju športa, ki imajo dobre možnosti za bolj obširno spodbujanje razvoja pobud in so podprte z nacionalnimi programi financiranja ali drugimi evropskimi sredstvi, na primer evropskimi strukturnimi in investicijskimi skladi.</w:t>
      </w:r>
    </w:p>
    <w:p w14:paraId="7D39A3C1" w14:textId="77777777" w:rsidR="00E03711" w:rsidRPr="001048FE" w:rsidRDefault="00E03711" w:rsidP="00382921">
      <w:pPr>
        <w:pStyle w:val="GUIDE-NORMAL"/>
        <w:rPr>
          <w:lang w:val="sl-SI"/>
        </w:rPr>
      </w:pPr>
      <w:r w:rsidRPr="001048FE">
        <w:rPr>
          <w:lang w:val="sl-SI"/>
        </w:rPr>
        <w:t>Komisija bo prek Izvajalske agencije v enem letu izvedla en krog izbirnega postopka.</w:t>
      </w:r>
    </w:p>
    <w:p w14:paraId="7D39A3C2" w14:textId="77777777" w:rsidR="00E03711" w:rsidRPr="001048FE" w:rsidRDefault="00E03711" w:rsidP="008C730A">
      <w:pPr>
        <w:pStyle w:val="Guide-Heading4"/>
        <w:rPr>
          <w:lang w:val="sl-SI"/>
        </w:rPr>
      </w:pPr>
      <w:bookmarkStart w:id="361" w:name="_Toc527401213"/>
      <w:r w:rsidRPr="001048FE">
        <w:rPr>
          <w:lang w:val="sl-SI"/>
        </w:rPr>
        <w:t>Katere aktivnosti so podprte v okviru tega ukrepa?</w:t>
      </w:r>
      <w:bookmarkEnd w:id="361"/>
    </w:p>
    <w:p w14:paraId="7D39A3C3" w14:textId="77777777" w:rsidR="00E03711" w:rsidRPr="001048FE" w:rsidRDefault="00E03711" w:rsidP="00382921">
      <w:pPr>
        <w:pStyle w:val="GUIDE-NORMAL"/>
        <w:rPr>
          <w:lang w:val="sl-SI"/>
        </w:rPr>
      </w:pPr>
      <w:r w:rsidRPr="001048FE">
        <w:rPr>
          <w:lang w:val="sl-SI"/>
        </w:rPr>
        <w:t>Erasmus+ ponuja izjemno prilagodljivost v zvezi z aktivnostmi, ki jih lahko izvajajo partnerska sodelovanja, če je v predlogu utemeljeno, da so te aktivnosti najustreznejše za doseganje ciljev, opredeljenih za projekt. Partnerska sodelovanja lahko običajno izvedejo široko paleto aktivnosti, na primer:</w:t>
      </w:r>
    </w:p>
    <w:p w14:paraId="7D39A3C4" w14:textId="77777777" w:rsidR="00E03711" w:rsidRPr="001048FE" w:rsidRDefault="00E03711" w:rsidP="005115F2">
      <w:pPr>
        <w:pStyle w:val="Guide-NormalBulletpoints"/>
        <w:numPr>
          <w:ilvl w:val="0"/>
          <w:numId w:val="386"/>
        </w:numPr>
        <w:rPr>
          <w:lang w:val="sl-SI"/>
        </w:rPr>
      </w:pPr>
      <w:r w:rsidRPr="001048FE">
        <w:rPr>
          <w:lang w:val="sl-SI"/>
        </w:rPr>
        <w:t>mreženje med deležniki;</w:t>
      </w:r>
    </w:p>
    <w:p w14:paraId="7D39A3C5" w14:textId="77777777" w:rsidR="00E03711" w:rsidRPr="001048FE" w:rsidRDefault="00E03711" w:rsidP="005115F2">
      <w:pPr>
        <w:pStyle w:val="Guide-NormalBulletpoints"/>
        <w:numPr>
          <w:ilvl w:val="0"/>
          <w:numId w:val="386"/>
        </w:numPr>
        <w:rPr>
          <w:lang w:val="sl-SI"/>
        </w:rPr>
      </w:pPr>
      <w:r w:rsidRPr="001048FE">
        <w:rPr>
          <w:lang w:val="sl-SI"/>
        </w:rPr>
        <w:t>razvoj, opredeljevanje, spodbujanje in deljenje dobrih praks;</w:t>
      </w:r>
    </w:p>
    <w:p w14:paraId="7D39A3C6" w14:textId="77777777" w:rsidR="00E03711" w:rsidRPr="001048FE" w:rsidRDefault="00E03711" w:rsidP="005115F2">
      <w:pPr>
        <w:pStyle w:val="Guide-NormalBulletpoints"/>
        <w:numPr>
          <w:ilvl w:val="0"/>
          <w:numId w:val="386"/>
        </w:numPr>
        <w:rPr>
          <w:lang w:val="sl-SI"/>
        </w:rPr>
      </w:pPr>
      <w:r w:rsidRPr="001048FE">
        <w:rPr>
          <w:lang w:val="sl-SI"/>
        </w:rPr>
        <w:t>pripravo, razvoj in izvajanje modulov in orodij za izobraževanje in usposabljanje;</w:t>
      </w:r>
    </w:p>
    <w:p w14:paraId="7D39A3C7" w14:textId="77777777" w:rsidR="00E03711" w:rsidRPr="001048FE" w:rsidRDefault="00E03711" w:rsidP="005115F2">
      <w:pPr>
        <w:pStyle w:val="Guide-NormalBulletpoints"/>
        <w:numPr>
          <w:ilvl w:val="0"/>
          <w:numId w:val="386"/>
        </w:numPr>
        <w:rPr>
          <w:lang w:val="sl-SI"/>
        </w:rPr>
      </w:pPr>
      <w:r w:rsidRPr="001048FE">
        <w:rPr>
          <w:lang w:val="sl-SI"/>
        </w:rPr>
        <w:t>aktivnosti za krepitev kompetenc multiplikatorjev na področju športa ter razvoj spremljanja in primerjalne analize kazalnikov, zlasti v zvezi s spodbujanjem etičnega ravnanja in etičnih kodeksov ravnanja med športniki;</w:t>
      </w:r>
    </w:p>
    <w:p w14:paraId="7D39A3C8" w14:textId="77777777" w:rsidR="00E03711" w:rsidRDefault="00E03711" w:rsidP="005115F2">
      <w:pPr>
        <w:pStyle w:val="Guide-NormalBulletpoints"/>
        <w:numPr>
          <w:ilvl w:val="0"/>
          <w:numId w:val="386"/>
        </w:numPr>
        <w:rPr>
          <w:lang w:val="sl-SI"/>
        </w:rPr>
      </w:pPr>
      <w:r w:rsidRPr="001048FE">
        <w:rPr>
          <w:lang w:val="sl-SI"/>
        </w:rPr>
        <w:t>aktivnosti ozaveščanja o dodani vrednosti športa in telesne dejavnosti v zvezi z osebnim, družbenim in poklicnim razvojem posameznikov;</w:t>
      </w:r>
      <w:r w:rsidRPr="00392A79">
        <w:rPr>
          <w:lang w:val="sl-SI"/>
        </w:rPr>
        <w:t xml:space="preserve"> </w:t>
      </w:r>
    </w:p>
    <w:p w14:paraId="7D39A3C9" w14:textId="77777777" w:rsidR="00E03711" w:rsidRPr="001048FE" w:rsidRDefault="00E03711" w:rsidP="005115F2">
      <w:pPr>
        <w:pStyle w:val="Guide-NormalBulletpoints"/>
        <w:numPr>
          <w:ilvl w:val="0"/>
          <w:numId w:val="386"/>
        </w:numPr>
        <w:rPr>
          <w:lang w:val="sl-SI"/>
        </w:rPr>
      </w:pPr>
      <w:r w:rsidRPr="001048FE">
        <w:rPr>
          <w:lang w:val="sl-SI"/>
        </w:rPr>
        <w:t>aktivnosti za spodbujanje inovativnih sinergij med področjem športa in področji zdravja, izobraževanja, usposabljanja in mladine;</w:t>
      </w:r>
    </w:p>
    <w:p w14:paraId="7D39A3CA" w14:textId="77777777" w:rsidR="00E03711" w:rsidRPr="001048FE" w:rsidRDefault="00E03711" w:rsidP="005115F2">
      <w:pPr>
        <w:pStyle w:val="Guide-NormalBulletpoints"/>
        <w:numPr>
          <w:ilvl w:val="0"/>
          <w:numId w:val="386"/>
        </w:numPr>
        <w:rPr>
          <w:lang w:val="sl-SI"/>
        </w:rPr>
      </w:pPr>
      <w:r w:rsidRPr="001048FE">
        <w:rPr>
          <w:lang w:val="sl-SI"/>
        </w:rPr>
        <w:t>aktivnosti za izboljšanje strokovnih podlag iz športa za spopadanje z družbenimi in gospodarskimi izzivi (zbiranje podatkov, študije, ankete, svetovanje ipd.);</w:t>
      </w:r>
    </w:p>
    <w:p w14:paraId="7D39A3CB" w14:textId="77777777" w:rsidR="00E03711" w:rsidRPr="00392A79" w:rsidRDefault="00E03711" w:rsidP="005115F2">
      <w:pPr>
        <w:pStyle w:val="Guide-NormalBulletpoints"/>
        <w:numPr>
          <w:ilvl w:val="0"/>
          <w:numId w:val="386"/>
        </w:numPr>
        <w:rPr>
          <w:lang w:val="sl-SI"/>
        </w:rPr>
      </w:pPr>
      <w:r w:rsidRPr="001048FE">
        <w:rPr>
          <w:lang w:val="sl-SI"/>
        </w:rPr>
        <w:t>konference, seminarje, srečanja, dogodke in ukrepe za ozaveščanje, ki podpirajo navedene aktivnosti.</w:t>
      </w:r>
    </w:p>
    <w:p w14:paraId="7D39A3CC" w14:textId="77777777" w:rsidR="00E03711" w:rsidRPr="001048FE" w:rsidRDefault="00E03711" w:rsidP="00382921">
      <w:pPr>
        <w:pStyle w:val="Guide-NormalBulletpoints"/>
        <w:rPr>
          <w:lang w:val="sl-SI"/>
        </w:rPr>
        <w:sectPr w:rsidR="00E03711" w:rsidRPr="001048FE" w:rsidSect="00E15ED3">
          <w:headerReference w:type="even" r:id="rId135"/>
          <w:headerReference w:type="default" r:id="rId136"/>
          <w:endnotePr>
            <w:numFmt w:val="decimal"/>
          </w:endnotePr>
          <w:pgSz w:w="11910" w:h="16840" w:code="9"/>
          <w:pgMar w:top="1134" w:right="1418" w:bottom="1134" w:left="1418" w:header="284" w:footer="567" w:gutter="0"/>
          <w:cols w:space="720"/>
          <w:docGrid w:linePitch="326"/>
        </w:sectPr>
      </w:pPr>
    </w:p>
    <w:p w14:paraId="7D39A3CD" w14:textId="77777777" w:rsidR="00E03711" w:rsidRPr="001048FE" w:rsidRDefault="00E03711" w:rsidP="00382921">
      <w:pPr>
        <w:rPr>
          <w:lang w:val="sl-SI"/>
        </w:rPr>
      </w:pPr>
    </w:p>
    <w:p w14:paraId="7D39A3CE" w14:textId="77777777" w:rsidR="00E03711" w:rsidRPr="001048FE" w:rsidRDefault="00E03711" w:rsidP="008C730A">
      <w:pPr>
        <w:pStyle w:val="Guide-Heading4"/>
        <w:rPr>
          <w:lang w:val="sl-SI"/>
        </w:rPr>
      </w:pPr>
      <w:bookmarkStart w:id="362" w:name="_Toc527401214"/>
      <w:r w:rsidRPr="001048FE">
        <w:rPr>
          <w:lang w:val="sl-SI"/>
        </w:rPr>
        <w:t>Kdo lahko sodeluje v partnerskem sodelovanju?</w:t>
      </w:r>
      <w:bookmarkEnd w:id="362"/>
    </w:p>
    <w:p w14:paraId="7D39A3CF" w14:textId="77777777" w:rsidR="00E03711" w:rsidRPr="001048FE" w:rsidRDefault="00E03711" w:rsidP="00382921">
      <w:pPr>
        <w:pStyle w:val="GUIDE-NORMAL"/>
        <w:rPr>
          <w:lang w:val="sl-SI"/>
        </w:rPr>
      </w:pPr>
      <w:r w:rsidRPr="001048FE">
        <w:rPr>
          <w:lang w:val="sl-SI"/>
        </w:rPr>
        <w:t>V partnerskih sodelovanjih lahko sodeluje katera koli vrsta javnih institucij ali organizacij, aktivnih na področju športa in telesne dejavnosti. Glede na cilj projekta bi v partnerska sodelovanja moral biti vključen ustrezen in raznolik nabor partnerjev, da lahko ustvarijo vzajemne koristi na podlagi različnih izkušenj, profilov in strokovnega znanja ter ustrezne in visokokakovostne rezultate projekta.</w:t>
      </w:r>
    </w:p>
    <w:p w14:paraId="7D39A3D0" w14:textId="77777777" w:rsidR="00E03711" w:rsidRPr="001048FE" w:rsidRDefault="00E03711" w:rsidP="00382921">
      <w:pPr>
        <w:pStyle w:val="GUIDE-NORMAL"/>
        <w:rPr>
          <w:lang w:val="sl-SI"/>
        </w:rPr>
      </w:pPr>
      <w:r w:rsidRPr="001048FE">
        <w:rPr>
          <w:lang w:val="sl-SI"/>
        </w:rPr>
        <w:t>Partnerska sodelovanja so namenjena sodelovanju med organizacijami s sedežem v državah Programa.</w:t>
      </w:r>
    </w:p>
    <w:p w14:paraId="7D39A3D1" w14:textId="77777777" w:rsidR="00E03711" w:rsidRPr="001048FE" w:rsidRDefault="00E03711" w:rsidP="00382921">
      <w:pPr>
        <w:pStyle w:val="GUIDE-NORMAL"/>
        <w:rPr>
          <w:lang w:val="sl-SI"/>
        </w:rPr>
      </w:pPr>
      <w:r w:rsidRPr="001048FE">
        <w:rPr>
          <w:lang w:val="sl-SI"/>
        </w:rPr>
        <w:t>Partnersko sodelovanje bi moralo vključevati:</w:t>
      </w:r>
    </w:p>
    <w:p w14:paraId="7D39A3D2" w14:textId="77777777" w:rsidR="00E03711" w:rsidRPr="001048FE" w:rsidRDefault="00E03711" w:rsidP="005115F2">
      <w:pPr>
        <w:pStyle w:val="Guide-NormalBulletpoints"/>
        <w:numPr>
          <w:ilvl w:val="0"/>
          <w:numId w:val="387"/>
        </w:numPr>
        <w:rPr>
          <w:lang w:val="sl-SI"/>
        </w:rPr>
      </w:pPr>
      <w:r w:rsidRPr="001048FE">
        <w:rPr>
          <w:lang w:val="sl-SI"/>
        </w:rPr>
        <w:t>prijavitelja/koordinatorja: organizacija, ki odda predlog projekta v imenu vseh partnerjev. Ko je projekt odobren, prijavitelj/koordinator postane glavni upravičenec nepovratnih sredstev EU in podpiše sporazum o nepovratnih sredstvih za več upravičencev v imenu vseh sodelujočih organizacij. Njegovo koordiniranje zajema naslednje dolžnosti:</w:t>
      </w:r>
    </w:p>
    <w:p w14:paraId="7D39A3D3" w14:textId="77777777" w:rsidR="00E03711" w:rsidRPr="001048FE" w:rsidRDefault="00E03711" w:rsidP="008F42C1">
      <w:pPr>
        <w:pStyle w:val="Guide-ListDash"/>
        <w:numPr>
          <w:ilvl w:val="1"/>
          <w:numId w:val="52"/>
        </w:numPr>
        <w:rPr>
          <w:lang w:val="sl-SI"/>
        </w:rPr>
      </w:pPr>
      <w:r w:rsidRPr="001048FE">
        <w:rPr>
          <w:lang w:val="sl-SI"/>
        </w:rPr>
        <w:t>predstavlja sodelujoče organizacije in deluje v njihovem imenu v odnosu do Evropske komisije;</w:t>
      </w:r>
    </w:p>
    <w:p w14:paraId="7D39A3D4" w14:textId="77777777" w:rsidR="00E03711" w:rsidRPr="001048FE" w:rsidRDefault="00E03711" w:rsidP="008F42C1">
      <w:pPr>
        <w:pStyle w:val="Guide-ListDash"/>
        <w:numPr>
          <w:ilvl w:val="1"/>
          <w:numId w:val="52"/>
        </w:numPr>
        <w:rPr>
          <w:lang w:val="sl-SI"/>
        </w:rPr>
      </w:pPr>
      <w:r w:rsidRPr="001048FE">
        <w:rPr>
          <w:lang w:val="sl-SI"/>
        </w:rPr>
        <w:t>nosi finančno in pravno odgovornost za primerno operativno, administrativno in finančno izvajanje celotnega projekta;</w:t>
      </w:r>
    </w:p>
    <w:p w14:paraId="7D39A3D5" w14:textId="77777777" w:rsidR="00E03711" w:rsidRPr="001048FE" w:rsidRDefault="00E03711" w:rsidP="008F42C1">
      <w:pPr>
        <w:pStyle w:val="Guide-ListDash"/>
        <w:numPr>
          <w:ilvl w:val="1"/>
          <w:numId w:val="52"/>
        </w:numPr>
        <w:rPr>
          <w:lang w:val="sl-SI"/>
        </w:rPr>
      </w:pPr>
      <w:r w:rsidRPr="001048FE">
        <w:rPr>
          <w:lang w:val="sl-SI"/>
        </w:rPr>
        <w:t xml:space="preserve">koordinira partnersko sodelovanje v sodelovanju z vsemi drugimi partnerji projekta; </w:t>
      </w:r>
    </w:p>
    <w:p w14:paraId="7D39A3D6" w14:textId="77777777" w:rsidR="00E03711" w:rsidRPr="001048FE" w:rsidRDefault="00E03711" w:rsidP="005115F2">
      <w:pPr>
        <w:pStyle w:val="Guide-NormalBulletpoints"/>
        <w:numPr>
          <w:ilvl w:val="0"/>
          <w:numId w:val="388"/>
        </w:numPr>
        <w:rPr>
          <w:lang w:val="sl-SI"/>
        </w:rPr>
      </w:pPr>
      <w:r w:rsidRPr="001048FE">
        <w:rPr>
          <w:lang w:val="sl-SI"/>
        </w:rPr>
        <w:t>partnerje: organizacije, ki aktivno prispevajo k pripravi, izvajanju in ocenjevanju partnerskega sodelovanja. Vsak partner mora podpisati mandat, s katerim podpisnik pooblasti koordinatorja, da med izvajanjem projekta deluje v njegovem imenu.</w:t>
      </w:r>
    </w:p>
    <w:p w14:paraId="7D39A3D7" w14:textId="77777777" w:rsidR="00E03711" w:rsidRPr="001048FE" w:rsidRDefault="00E03711" w:rsidP="00382921">
      <w:pPr>
        <w:pStyle w:val="Guide-Heading4"/>
        <w:rPr>
          <w:lang w:val="sl-SI"/>
        </w:rPr>
      </w:pPr>
      <w:bookmarkStart w:id="363" w:name="_Toc527401215"/>
      <w:r w:rsidRPr="001048FE">
        <w:rPr>
          <w:lang w:val="sl-SI"/>
        </w:rPr>
        <w:t>Kakšna so merila za oceno partnerskega sodelovanja?</w:t>
      </w:r>
      <w:bookmarkEnd w:id="363"/>
    </w:p>
    <w:p w14:paraId="7D39A3D8" w14:textId="77777777" w:rsidR="00E03711" w:rsidRPr="001048FE" w:rsidRDefault="00E03711" w:rsidP="00382921">
      <w:pPr>
        <w:pStyle w:val="GUIDE-NORMAL"/>
        <w:rPr>
          <w:lang w:val="sl-SI"/>
        </w:rPr>
      </w:pPr>
      <w:r w:rsidRPr="001048FE">
        <w:rPr>
          <w:lang w:val="sl-SI"/>
        </w:rPr>
        <w:t>Seznam v nadaljevanju navaja uradna merila, ki jih mora izpolniti partnersko sodelovanje za upravičenost do nepovratnih sredstev Erasmus+:</w:t>
      </w:r>
    </w:p>
    <w:p w14:paraId="7D39A3D9" w14:textId="77777777" w:rsidR="00E03711" w:rsidRPr="001048FE" w:rsidRDefault="00E03711" w:rsidP="00382921">
      <w:pPr>
        <w:pStyle w:val="Guide-Heading5"/>
        <w:rPr>
          <w:lang w:val="sl-SI"/>
        </w:rPr>
      </w:pPr>
      <w:r w:rsidRPr="001048FE">
        <w:rPr>
          <w:lang w:val="sl-SI"/>
        </w:rPr>
        <w:t>Merila za upravičenost</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68"/>
        <w:gridCol w:w="7722"/>
      </w:tblGrid>
      <w:tr w:rsidR="00E03711" w:rsidRPr="002C560E" w14:paraId="7D39A3E8" w14:textId="77777777" w:rsidTr="00AB6CE7">
        <w:trPr>
          <w:cantSplit/>
          <w:trHeight w:val="20"/>
        </w:trPr>
        <w:tc>
          <w:tcPr>
            <w:tcW w:w="844" w:type="pct"/>
            <w:shd w:val="clear" w:color="auto" w:fill="FFFFFF"/>
            <w:vAlign w:val="center"/>
          </w:tcPr>
          <w:p w14:paraId="7D39A3DA" w14:textId="77777777" w:rsidR="00E03711" w:rsidRPr="001048FE" w:rsidRDefault="00E03711" w:rsidP="00283D9E">
            <w:pPr>
              <w:spacing w:before="60" w:after="60"/>
              <w:rPr>
                <w:b/>
                <w:sz w:val="18"/>
                <w:lang w:val="sl-SI"/>
              </w:rPr>
            </w:pPr>
            <w:r w:rsidRPr="001048FE">
              <w:rPr>
                <w:b/>
                <w:sz w:val="18"/>
                <w:lang w:val="sl-SI"/>
              </w:rPr>
              <w:t>Upravičene sodelujoče organizacije</w:t>
            </w:r>
          </w:p>
        </w:tc>
        <w:tc>
          <w:tcPr>
            <w:tcW w:w="4156" w:type="pct"/>
            <w:shd w:val="clear" w:color="auto" w:fill="FFFFFF"/>
          </w:tcPr>
          <w:p w14:paraId="7D39A3DB" w14:textId="77777777" w:rsidR="00E03711" w:rsidRPr="00F769E0" w:rsidRDefault="00E03711" w:rsidP="00283D9E">
            <w:pPr>
              <w:pStyle w:val="GUIDE-NORMAL"/>
              <w:spacing w:before="60" w:after="60"/>
              <w:jc w:val="left"/>
              <w:rPr>
                <w:rFonts w:cs="Tahoma"/>
                <w:lang w:val="sl-SI" w:eastAsia="en-GB"/>
              </w:rPr>
            </w:pPr>
            <w:r w:rsidRPr="00F769E0">
              <w:rPr>
                <w:rFonts w:cs="Tahoma"/>
                <w:lang w:val="sl-SI" w:eastAsia="en-GB"/>
              </w:rPr>
              <w:t>Katera koli organizacija ali javni organ s povezanimi subjekti (če obstajajo), ki je aktiven na področju športa in ima sedež v državi Programa ali kateri koli partnerski državi sveta (glej poglavje „Upravičene države“ v delu A tega vodnika).</w:t>
            </w:r>
          </w:p>
          <w:p w14:paraId="7D39A3DC" w14:textId="77777777" w:rsidR="00E03711" w:rsidRPr="00F769E0" w:rsidRDefault="00E03711" w:rsidP="00283D9E">
            <w:pPr>
              <w:pStyle w:val="GUIDE-NORMAL"/>
              <w:spacing w:before="60" w:after="60"/>
              <w:jc w:val="left"/>
              <w:rPr>
                <w:rFonts w:cs="Tahoma"/>
                <w:lang w:val="sl-SI" w:eastAsia="en-GB"/>
              </w:rPr>
            </w:pPr>
            <w:r w:rsidRPr="00F769E0">
              <w:rPr>
                <w:rFonts w:cs="Tahoma"/>
                <w:lang w:val="sl-SI" w:eastAsia="en-GB"/>
              </w:rPr>
              <w:t>Taka organizacija je lahko na primer (neizčrpen seznam):</w:t>
            </w:r>
          </w:p>
          <w:p w14:paraId="7D39A3DD" w14:textId="77777777" w:rsidR="00E03711" w:rsidRPr="001048FE" w:rsidRDefault="00E03711" w:rsidP="005115F2">
            <w:pPr>
              <w:pStyle w:val="Guide-NormalBulletpoints"/>
              <w:numPr>
                <w:ilvl w:val="0"/>
                <w:numId w:val="388"/>
              </w:numPr>
              <w:spacing w:before="60"/>
              <w:jc w:val="left"/>
              <w:rPr>
                <w:lang w:val="sl-SI"/>
              </w:rPr>
            </w:pPr>
            <w:r w:rsidRPr="001048FE">
              <w:rPr>
                <w:lang w:val="sl-SI"/>
              </w:rPr>
              <w:t>javni organ, pristojen za področje športa, na lokalni, regionalni ali nacionalni ravni;</w:t>
            </w:r>
          </w:p>
          <w:p w14:paraId="7D39A3DE" w14:textId="77777777" w:rsidR="00E03711" w:rsidRPr="001048FE" w:rsidRDefault="00E03711" w:rsidP="005115F2">
            <w:pPr>
              <w:pStyle w:val="Guide-NormalBulletpoints"/>
              <w:numPr>
                <w:ilvl w:val="0"/>
                <w:numId w:val="388"/>
              </w:numPr>
              <w:spacing w:before="60"/>
              <w:jc w:val="left"/>
              <w:rPr>
                <w:lang w:val="sl-SI"/>
              </w:rPr>
            </w:pPr>
            <w:r w:rsidRPr="001048FE">
              <w:rPr>
                <w:lang w:val="sl-SI"/>
              </w:rPr>
              <w:t>nacionalni olimpijski komite ali nacionalno športno združenje;</w:t>
            </w:r>
          </w:p>
          <w:p w14:paraId="7D39A3DF" w14:textId="77777777" w:rsidR="00E03711" w:rsidRPr="001048FE" w:rsidRDefault="00E03711" w:rsidP="005115F2">
            <w:pPr>
              <w:pStyle w:val="Guide-NormalBulletpoints"/>
              <w:numPr>
                <w:ilvl w:val="0"/>
                <w:numId w:val="388"/>
              </w:numPr>
              <w:spacing w:before="60"/>
              <w:jc w:val="left"/>
              <w:rPr>
                <w:lang w:val="sl-SI"/>
              </w:rPr>
            </w:pPr>
            <w:r w:rsidRPr="001048FE">
              <w:rPr>
                <w:lang w:val="sl-SI"/>
              </w:rPr>
              <w:t>športna organizacija na lokalni, regionalni, nacionalni, evropski ali mednarodni ravni;</w:t>
            </w:r>
          </w:p>
          <w:p w14:paraId="7D39A3E0" w14:textId="77777777" w:rsidR="00E03711" w:rsidRPr="001048FE" w:rsidRDefault="00E03711" w:rsidP="005115F2">
            <w:pPr>
              <w:pStyle w:val="Guide-NormalBulletpoints"/>
              <w:numPr>
                <w:ilvl w:val="0"/>
                <w:numId w:val="388"/>
              </w:numPr>
              <w:spacing w:before="60"/>
              <w:jc w:val="left"/>
              <w:rPr>
                <w:lang w:val="sl-SI"/>
              </w:rPr>
            </w:pPr>
            <w:r w:rsidRPr="001048FE">
              <w:rPr>
                <w:lang w:val="sl-SI"/>
              </w:rPr>
              <w:t>nacionalna športna liga;</w:t>
            </w:r>
          </w:p>
          <w:p w14:paraId="7D39A3E1" w14:textId="77777777" w:rsidR="00E03711" w:rsidRPr="001048FE" w:rsidRDefault="00E03711" w:rsidP="005115F2">
            <w:pPr>
              <w:pStyle w:val="Guide-NormalBulletpoints"/>
              <w:numPr>
                <w:ilvl w:val="0"/>
                <w:numId w:val="388"/>
              </w:numPr>
              <w:spacing w:before="60"/>
              <w:jc w:val="left"/>
              <w:rPr>
                <w:lang w:val="sl-SI"/>
              </w:rPr>
            </w:pPr>
            <w:r w:rsidRPr="001048FE">
              <w:rPr>
                <w:lang w:val="sl-SI"/>
              </w:rPr>
              <w:t>športni klub;</w:t>
            </w:r>
          </w:p>
          <w:p w14:paraId="7D39A3E2" w14:textId="77777777" w:rsidR="00E03711" w:rsidRPr="001048FE" w:rsidRDefault="00E03711" w:rsidP="005115F2">
            <w:pPr>
              <w:pStyle w:val="Guide-NormalBulletpoints"/>
              <w:numPr>
                <w:ilvl w:val="0"/>
                <w:numId w:val="388"/>
              </w:numPr>
              <w:spacing w:before="60"/>
              <w:jc w:val="left"/>
              <w:rPr>
                <w:lang w:val="sl-SI"/>
              </w:rPr>
            </w:pPr>
            <w:r w:rsidRPr="001048FE">
              <w:rPr>
                <w:lang w:val="sl-SI"/>
              </w:rPr>
              <w:t>organizacija ali zveza, ki predstavlja športnike;</w:t>
            </w:r>
          </w:p>
          <w:p w14:paraId="7D39A3E3" w14:textId="77777777" w:rsidR="00E03711" w:rsidRPr="001048FE" w:rsidRDefault="00E03711" w:rsidP="005115F2">
            <w:pPr>
              <w:pStyle w:val="Guide-NormalBulletpoints"/>
              <w:numPr>
                <w:ilvl w:val="0"/>
                <w:numId w:val="388"/>
              </w:numPr>
              <w:spacing w:before="60"/>
              <w:jc w:val="left"/>
              <w:rPr>
                <w:lang w:val="sl-SI"/>
              </w:rPr>
            </w:pPr>
            <w:r w:rsidRPr="001048FE">
              <w:rPr>
                <w:lang w:val="sl-SI"/>
              </w:rPr>
              <w:t>organizacija ali zveze, ki predstavljajo strokovnjake in prostovoljce na področju športa (na primer trenerje, menedžerje itd.);</w:t>
            </w:r>
          </w:p>
          <w:p w14:paraId="7D39A3E4" w14:textId="77777777" w:rsidR="00E03711" w:rsidRPr="001048FE" w:rsidRDefault="00E03711" w:rsidP="005115F2">
            <w:pPr>
              <w:pStyle w:val="Guide-NormalBulletpoints"/>
              <w:numPr>
                <w:ilvl w:val="0"/>
                <w:numId w:val="388"/>
              </w:numPr>
              <w:spacing w:before="60"/>
              <w:jc w:val="left"/>
              <w:rPr>
                <w:lang w:val="sl-SI"/>
              </w:rPr>
            </w:pPr>
            <w:r w:rsidRPr="001048FE">
              <w:rPr>
                <w:lang w:val="sl-SI"/>
              </w:rPr>
              <w:t>organizacija, ki predstavlja gibanje „šport za vse“;</w:t>
            </w:r>
          </w:p>
          <w:p w14:paraId="7D39A3E5" w14:textId="77777777" w:rsidR="00E03711" w:rsidRPr="001048FE" w:rsidRDefault="00E03711" w:rsidP="005115F2">
            <w:pPr>
              <w:pStyle w:val="Guide-NormalBulletpoints"/>
              <w:numPr>
                <w:ilvl w:val="0"/>
                <w:numId w:val="388"/>
              </w:numPr>
              <w:spacing w:before="60"/>
              <w:jc w:val="left"/>
              <w:rPr>
                <w:lang w:val="sl-SI"/>
              </w:rPr>
            </w:pPr>
            <w:r w:rsidRPr="001048FE">
              <w:rPr>
                <w:lang w:val="sl-SI"/>
              </w:rPr>
              <w:t>organizacija, aktivna na področju spodbujanja telesne dejavnosti;</w:t>
            </w:r>
          </w:p>
          <w:p w14:paraId="7D39A3E6" w14:textId="77777777" w:rsidR="00E03711" w:rsidRPr="001048FE" w:rsidRDefault="00E03711" w:rsidP="005115F2">
            <w:pPr>
              <w:pStyle w:val="Guide-NormalBulletpoints"/>
              <w:numPr>
                <w:ilvl w:val="0"/>
                <w:numId w:val="388"/>
              </w:numPr>
              <w:spacing w:before="60"/>
              <w:jc w:val="left"/>
              <w:rPr>
                <w:lang w:val="sl-SI"/>
              </w:rPr>
            </w:pPr>
            <w:r w:rsidRPr="001048FE">
              <w:rPr>
                <w:lang w:val="sl-SI"/>
              </w:rPr>
              <w:t>organizacija, ki predstavlja sektor rekreativnih aktivnosti;</w:t>
            </w:r>
          </w:p>
          <w:p w14:paraId="7D39A3E7" w14:textId="77777777" w:rsidR="00E03711" w:rsidRPr="001048FE" w:rsidRDefault="00E03711" w:rsidP="005115F2">
            <w:pPr>
              <w:pStyle w:val="Guide-NormalBulletpoints"/>
              <w:numPr>
                <w:ilvl w:val="0"/>
                <w:numId w:val="388"/>
              </w:numPr>
              <w:spacing w:before="60"/>
              <w:jc w:val="left"/>
              <w:rPr>
                <w:lang w:val="sl-SI"/>
              </w:rPr>
            </w:pPr>
            <w:r w:rsidRPr="001048FE">
              <w:rPr>
                <w:lang w:val="sl-SI"/>
              </w:rPr>
              <w:t>organizacija, aktivna na področju izobraževanja, usposabljanja ali mladine.</w:t>
            </w:r>
          </w:p>
        </w:tc>
      </w:tr>
      <w:tr w:rsidR="00E03711" w:rsidRPr="00654F6A" w14:paraId="7D39A3EB" w14:textId="77777777" w:rsidTr="00AB6CE7">
        <w:trPr>
          <w:cantSplit/>
          <w:trHeight w:val="20"/>
        </w:trPr>
        <w:tc>
          <w:tcPr>
            <w:tcW w:w="844" w:type="pct"/>
            <w:shd w:val="clear" w:color="auto" w:fill="FFFFFF"/>
            <w:vAlign w:val="center"/>
          </w:tcPr>
          <w:p w14:paraId="7D39A3E9" w14:textId="77777777" w:rsidR="00E03711" w:rsidRPr="001048FE" w:rsidRDefault="00E03711" w:rsidP="00283D9E">
            <w:pPr>
              <w:spacing w:before="60" w:after="60"/>
              <w:rPr>
                <w:b/>
                <w:sz w:val="18"/>
                <w:lang w:val="sl-SI"/>
              </w:rPr>
            </w:pPr>
            <w:r w:rsidRPr="001048FE">
              <w:rPr>
                <w:b/>
                <w:sz w:val="18"/>
                <w:lang w:val="sl-SI"/>
              </w:rPr>
              <w:t>Kdo se lahko prijavi?</w:t>
            </w:r>
          </w:p>
        </w:tc>
        <w:tc>
          <w:tcPr>
            <w:tcW w:w="4156" w:type="pct"/>
            <w:shd w:val="clear" w:color="auto" w:fill="FFFFFF"/>
          </w:tcPr>
          <w:p w14:paraId="7D39A3EA" w14:textId="77777777" w:rsidR="00E03711" w:rsidRPr="00F769E0" w:rsidRDefault="00E03711" w:rsidP="00283D9E">
            <w:pPr>
              <w:pStyle w:val="GUIDE-NORMAL"/>
              <w:spacing w:before="60" w:after="60"/>
              <w:jc w:val="left"/>
              <w:rPr>
                <w:rFonts w:cs="Tahoma"/>
                <w:lang w:val="sl-SI" w:eastAsia="en-GB"/>
              </w:rPr>
            </w:pPr>
            <w:r w:rsidRPr="00F769E0">
              <w:rPr>
                <w:rFonts w:cs="Tahoma"/>
                <w:lang w:val="sl-SI" w:eastAsia="en-GB"/>
              </w:rPr>
              <w:t>Prijavitelj je lahko katera koli sodelujoča organizacija s sedežem v državi Programa. Ta organizacija se prijavi v imenu vseh sodelujočih organizacij, ki so vključene v projekt.</w:t>
            </w:r>
          </w:p>
        </w:tc>
      </w:tr>
      <w:tr w:rsidR="00E03711" w:rsidRPr="002C560E" w14:paraId="7D39A3EE" w14:textId="77777777" w:rsidTr="00AB6CE7">
        <w:trPr>
          <w:cantSplit/>
          <w:trHeight w:val="20"/>
        </w:trPr>
        <w:tc>
          <w:tcPr>
            <w:tcW w:w="844" w:type="pct"/>
            <w:shd w:val="clear" w:color="auto" w:fill="FFFFFF"/>
            <w:vAlign w:val="center"/>
          </w:tcPr>
          <w:p w14:paraId="7D39A3EC" w14:textId="77777777" w:rsidR="00E03711" w:rsidRPr="00F769E0" w:rsidRDefault="00E03711" w:rsidP="00283D9E">
            <w:pPr>
              <w:pStyle w:val="GUIDE-NORMAL"/>
              <w:spacing w:before="60" w:after="60"/>
              <w:jc w:val="left"/>
              <w:rPr>
                <w:rFonts w:cs="Tahoma"/>
                <w:b/>
                <w:lang w:val="sl-SI" w:eastAsia="en-GB"/>
              </w:rPr>
            </w:pPr>
            <w:r w:rsidRPr="00F769E0">
              <w:rPr>
                <w:rFonts w:cs="Tahoma"/>
                <w:b/>
                <w:lang w:val="sl-SI" w:eastAsia="en-GB"/>
              </w:rPr>
              <w:t>Število in profil sodelujočih organizacij</w:t>
            </w:r>
          </w:p>
        </w:tc>
        <w:tc>
          <w:tcPr>
            <w:tcW w:w="4156" w:type="pct"/>
            <w:shd w:val="clear" w:color="auto" w:fill="FFFFFF"/>
            <w:vAlign w:val="center"/>
          </w:tcPr>
          <w:p w14:paraId="7D39A3ED" w14:textId="77777777" w:rsidR="00E03711" w:rsidRPr="00F769E0" w:rsidRDefault="00E03711" w:rsidP="00283D9E">
            <w:pPr>
              <w:pStyle w:val="GUIDE-NORMAL"/>
              <w:spacing w:before="60" w:after="60"/>
              <w:jc w:val="left"/>
              <w:rPr>
                <w:rFonts w:cs="Tahoma"/>
                <w:lang w:val="sl-SI" w:eastAsia="en-GB"/>
              </w:rPr>
            </w:pPr>
            <w:r w:rsidRPr="00F769E0">
              <w:rPr>
                <w:rFonts w:cs="Tahoma"/>
                <w:lang w:val="sl-SI" w:eastAsia="en-GB"/>
              </w:rPr>
              <w:t>Partnersko sodelovanje je mednarodno in vključuje vsaj pet organizacij iz petih različnih držav Programa. Ni omejenega števila sodelujočih organizacij. Vendar so proračunska sredstva za vodenje in izvajanje projekta omejena navzgor (znesek enakovreden 10 partnerjem). Ob oddaji vloge za nepovratna sredstva morajo biti opredeljene vse sodelujoče organizacije.</w:t>
            </w:r>
          </w:p>
        </w:tc>
      </w:tr>
      <w:tr w:rsidR="00E03711" w:rsidRPr="002C560E" w14:paraId="7D39A3F1" w14:textId="77777777" w:rsidTr="00AB6CE7">
        <w:trPr>
          <w:cantSplit/>
          <w:trHeight w:val="20"/>
        </w:trPr>
        <w:tc>
          <w:tcPr>
            <w:tcW w:w="844" w:type="pct"/>
            <w:shd w:val="clear" w:color="auto" w:fill="FFFFFF"/>
            <w:vAlign w:val="center"/>
          </w:tcPr>
          <w:p w14:paraId="7D39A3EF" w14:textId="77777777" w:rsidR="00E03711" w:rsidRPr="001048FE" w:rsidRDefault="00E03711" w:rsidP="00283D9E">
            <w:pPr>
              <w:spacing w:before="60" w:after="60"/>
              <w:rPr>
                <w:b/>
                <w:sz w:val="18"/>
                <w:lang w:val="sl-SI"/>
              </w:rPr>
            </w:pPr>
            <w:r w:rsidRPr="001048FE">
              <w:rPr>
                <w:b/>
                <w:sz w:val="18"/>
                <w:lang w:val="sl-SI"/>
              </w:rPr>
              <w:t>Trajanje projekta</w:t>
            </w:r>
          </w:p>
        </w:tc>
        <w:tc>
          <w:tcPr>
            <w:tcW w:w="4156" w:type="pct"/>
            <w:shd w:val="clear" w:color="auto" w:fill="FFFFFF"/>
            <w:vAlign w:val="center"/>
          </w:tcPr>
          <w:p w14:paraId="7D39A3F0" w14:textId="77777777" w:rsidR="00E03711" w:rsidRPr="00F769E0" w:rsidRDefault="00E03711" w:rsidP="00283D9E">
            <w:pPr>
              <w:pStyle w:val="GUIDE-NORMAL"/>
              <w:spacing w:before="60" w:after="60"/>
              <w:jc w:val="left"/>
              <w:rPr>
                <w:rFonts w:cs="Tahoma"/>
                <w:lang w:val="sl-SI" w:eastAsia="en-GB"/>
              </w:rPr>
            </w:pPr>
            <w:r w:rsidRPr="00F769E0">
              <w:rPr>
                <w:rFonts w:cs="Tahoma"/>
                <w:lang w:val="sl-SI" w:eastAsia="en-GB"/>
              </w:rPr>
              <w:t>Trajanje mora biti izbrano ob prijavi (12, 18, 24, 30 ali 36 mesecev) na podlagi cilja projekta in vrste aktivnosti, ki so predvidene v tem času.</w:t>
            </w:r>
          </w:p>
        </w:tc>
      </w:tr>
      <w:tr w:rsidR="00E03711" w:rsidRPr="002C560E" w14:paraId="7D39A3F4" w14:textId="77777777" w:rsidTr="00AB6CE7">
        <w:trPr>
          <w:cantSplit/>
          <w:trHeight w:val="20"/>
        </w:trPr>
        <w:tc>
          <w:tcPr>
            <w:tcW w:w="844" w:type="pct"/>
            <w:shd w:val="clear" w:color="auto" w:fill="FFFFFF"/>
            <w:vAlign w:val="center"/>
          </w:tcPr>
          <w:p w14:paraId="7D39A3F2" w14:textId="77777777" w:rsidR="00E03711" w:rsidRPr="001048FE" w:rsidRDefault="00E03711" w:rsidP="00283D9E">
            <w:pPr>
              <w:spacing w:before="60" w:after="60"/>
              <w:rPr>
                <w:b/>
                <w:sz w:val="18"/>
                <w:lang w:val="sl-SI"/>
              </w:rPr>
            </w:pPr>
            <w:r w:rsidRPr="001048FE">
              <w:rPr>
                <w:b/>
                <w:sz w:val="18"/>
                <w:lang w:val="sl-SI"/>
              </w:rPr>
              <w:t>Kraji izvajanja aktivnosti</w:t>
            </w:r>
          </w:p>
        </w:tc>
        <w:tc>
          <w:tcPr>
            <w:tcW w:w="4156" w:type="pct"/>
            <w:shd w:val="clear" w:color="auto" w:fill="FFFFFF"/>
            <w:vAlign w:val="center"/>
          </w:tcPr>
          <w:p w14:paraId="7D39A3F3" w14:textId="77777777" w:rsidR="00E03711" w:rsidRPr="00F769E0" w:rsidRDefault="00E03711" w:rsidP="00283D9E">
            <w:pPr>
              <w:pStyle w:val="GUIDE-NORMAL"/>
              <w:spacing w:before="60" w:after="60"/>
              <w:jc w:val="left"/>
              <w:rPr>
                <w:rFonts w:cs="Tahoma"/>
                <w:lang w:val="sl-SI" w:eastAsia="en-GB"/>
              </w:rPr>
            </w:pPr>
            <w:r w:rsidRPr="00F769E0">
              <w:rPr>
                <w:rFonts w:cs="Tahoma"/>
                <w:lang w:val="sl-SI" w:eastAsia="en-GB"/>
              </w:rPr>
              <w:t>Aktivnosti se morajo izvajati v (eni ali več) državah organizacij, ki sodelujejo v partnerskem sodelovanju.</w:t>
            </w:r>
          </w:p>
        </w:tc>
      </w:tr>
      <w:tr w:rsidR="00E03711" w:rsidRPr="002C560E" w14:paraId="7D39A3F7" w14:textId="77777777" w:rsidTr="00AB6CE7">
        <w:trPr>
          <w:cantSplit/>
          <w:trHeight w:val="20"/>
        </w:trPr>
        <w:tc>
          <w:tcPr>
            <w:tcW w:w="844" w:type="pct"/>
            <w:shd w:val="clear" w:color="auto" w:fill="FFFFFF"/>
            <w:vAlign w:val="center"/>
          </w:tcPr>
          <w:p w14:paraId="7D39A3F5" w14:textId="77777777" w:rsidR="00E03711" w:rsidRPr="00F769E0" w:rsidRDefault="00E03711" w:rsidP="00283D9E">
            <w:pPr>
              <w:pStyle w:val="GUIDE-NORMAL"/>
              <w:spacing w:before="60" w:after="60"/>
              <w:jc w:val="left"/>
              <w:rPr>
                <w:rFonts w:cs="Tahoma"/>
                <w:b/>
                <w:lang w:val="sl-SI" w:eastAsia="en-GB"/>
              </w:rPr>
            </w:pPr>
            <w:r w:rsidRPr="00F769E0">
              <w:rPr>
                <w:rFonts w:cs="Tahoma"/>
                <w:b/>
                <w:lang w:val="sl-SI" w:eastAsia="en-GB"/>
              </w:rPr>
              <w:t>Kje</w:t>
            </w:r>
            <w:r w:rsidRPr="00F769E0">
              <w:rPr>
                <w:rFonts w:cs="Tahoma"/>
                <w:b/>
                <w:spacing w:val="6"/>
                <w:lang w:val="sl-SI" w:eastAsia="en-GB"/>
              </w:rPr>
              <w:t xml:space="preserve"> </w:t>
            </w:r>
            <w:r w:rsidRPr="00F769E0">
              <w:rPr>
                <w:rFonts w:cs="Tahoma"/>
                <w:b/>
                <w:lang w:val="sl-SI" w:eastAsia="en-GB"/>
              </w:rPr>
              <w:t>se</w:t>
            </w:r>
            <w:r w:rsidRPr="00F769E0">
              <w:rPr>
                <w:rFonts w:cs="Tahoma"/>
                <w:b/>
                <w:spacing w:val="6"/>
                <w:lang w:val="sl-SI" w:eastAsia="en-GB"/>
              </w:rPr>
              <w:t xml:space="preserve"> </w:t>
            </w:r>
            <w:r w:rsidRPr="00F769E0">
              <w:rPr>
                <w:rFonts w:cs="Tahoma"/>
                <w:b/>
                <w:lang w:val="sl-SI" w:eastAsia="en-GB"/>
              </w:rPr>
              <w:t>prijaviti?</w:t>
            </w:r>
          </w:p>
        </w:tc>
        <w:tc>
          <w:tcPr>
            <w:tcW w:w="4156" w:type="pct"/>
            <w:shd w:val="clear" w:color="auto" w:fill="FFFFFF"/>
            <w:vAlign w:val="center"/>
          </w:tcPr>
          <w:p w14:paraId="7D39A3F6" w14:textId="77777777" w:rsidR="00E03711" w:rsidRPr="00F769E0" w:rsidRDefault="00E03711" w:rsidP="00283D9E">
            <w:pPr>
              <w:pStyle w:val="GUIDE-NORMAL"/>
              <w:spacing w:before="60" w:after="60"/>
              <w:jc w:val="left"/>
              <w:rPr>
                <w:rFonts w:cs="Tahoma"/>
                <w:lang w:val="sl-SI" w:eastAsia="en-GB"/>
              </w:rPr>
            </w:pPr>
            <w:r w:rsidRPr="00F769E0">
              <w:rPr>
                <w:rFonts w:cs="Tahoma"/>
                <w:lang w:val="sl-SI" w:eastAsia="en-GB"/>
              </w:rPr>
              <w:t>Pri Izvajalski agenciji za izobraževanje, avdiovizualno področje in kulturo v Bruslju.</w:t>
            </w:r>
          </w:p>
        </w:tc>
      </w:tr>
      <w:tr w:rsidR="00E03711" w:rsidRPr="002C560E" w14:paraId="7D39A3FA" w14:textId="77777777" w:rsidTr="00AB6CE7">
        <w:trPr>
          <w:cantSplit/>
          <w:trHeight w:val="20"/>
        </w:trPr>
        <w:tc>
          <w:tcPr>
            <w:tcW w:w="844" w:type="pct"/>
            <w:shd w:val="clear" w:color="auto" w:fill="FFFFFF"/>
            <w:vAlign w:val="center"/>
          </w:tcPr>
          <w:p w14:paraId="7D39A3F8" w14:textId="77777777" w:rsidR="00E03711" w:rsidRPr="001048FE" w:rsidRDefault="00E03711" w:rsidP="00283D9E">
            <w:pPr>
              <w:spacing w:before="60" w:after="60"/>
              <w:rPr>
                <w:b/>
                <w:sz w:val="18"/>
                <w:lang w:val="sl-SI"/>
              </w:rPr>
            </w:pPr>
            <w:r w:rsidRPr="001048FE">
              <w:rPr>
                <w:b/>
                <w:sz w:val="18"/>
                <w:lang w:val="sl-SI"/>
              </w:rPr>
              <w:t>Kdaj se prijaviti?</w:t>
            </w:r>
          </w:p>
        </w:tc>
        <w:tc>
          <w:tcPr>
            <w:tcW w:w="4156" w:type="pct"/>
            <w:shd w:val="clear" w:color="auto" w:fill="FFFFFF"/>
            <w:vAlign w:val="center"/>
          </w:tcPr>
          <w:p w14:paraId="7D39A3F9" w14:textId="77777777" w:rsidR="00E03711" w:rsidRPr="00F769E0" w:rsidRDefault="00E03711" w:rsidP="0018118A">
            <w:pPr>
              <w:pStyle w:val="GUIDE-NORMAL"/>
              <w:spacing w:before="60" w:after="60"/>
              <w:jc w:val="left"/>
              <w:rPr>
                <w:rFonts w:cs="Tahoma"/>
                <w:lang w:val="sl-SI" w:eastAsia="en-GB"/>
              </w:rPr>
            </w:pPr>
            <w:r w:rsidRPr="00F769E0">
              <w:rPr>
                <w:rFonts w:cs="Tahoma"/>
                <w:lang w:val="sl-SI" w:eastAsia="en-GB"/>
              </w:rPr>
              <w:t xml:space="preserve">Prijavitelji morajo vlogo za nepovratna sredstva oddati do </w:t>
            </w:r>
            <w:r>
              <w:rPr>
                <w:rFonts w:cs="Tahoma"/>
                <w:b/>
                <w:lang w:val="sl-SI" w:eastAsia="en-GB"/>
              </w:rPr>
              <w:t>2</w:t>
            </w:r>
            <w:r w:rsidRPr="00F769E0">
              <w:rPr>
                <w:rFonts w:cs="Tahoma"/>
                <w:b/>
                <w:lang w:val="sl-SI" w:eastAsia="en-GB"/>
              </w:rPr>
              <w:t>. aprila do 1</w:t>
            </w:r>
            <w:r>
              <w:rPr>
                <w:rFonts w:cs="Tahoma"/>
                <w:b/>
                <w:lang w:val="sl-SI" w:eastAsia="en-GB"/>
              </w:rPr>
              <w:t>7</w:t>
            </w:r>
            <w:r w:rsidRPr="00F769E0">
              <w:rPr>
                <w:rFonts w:cs="Tahoma"/>
                <w:b/>
                <w:lang w:val="sl-SI" w:eastAsia="en-GB"/>
              </w:rPr>
              <w:t xml:space="preserve">. ure (po bruseljskem času) </w:t>
            </w:r>
            <w:r w:rsidRPr="00F769E0">
              <w:rPr>
                <w:rFonts w:cs="Tahoma"/>
                <w:lang w:val="sl-SI" w:eastAsia="en-GB"/>
              </w:rPr>
              <w:t>za projekte, ki se začnejo 1. januarja naslednjega leta.</w:t>
            </w:r>
          </w:p>
        </w:tc>
      </w:tr>
      <w:tr w:rsidR="00E03711" w:rsidRPr="002C560E" w14:paraId="7D39A3FD" w14:textId="77777777" w:rsidTr="00AB6CE7">
        <w:trPr>
          <w:cantSplit/>
          <w:trHeight w:val="20"/>
        </w:trPr>
        <w:tc>
          <w:tcPr>
            <w:tcW w:w="844" w:type="pct"/>
            <w:shd w:val="clear" w:color="auto" w:fill="FFFFFF"/>
            <w:vAlign w:val="center"/>
          </w:tcPr>
          <w:p w14:paraId="7D39A3FB" w14:textId="77777777" w:rsidR="00E03711" w:rsidRPr="001048FE" w:rsidRDefault="00E03711" w:rsidP="00283D9E">
            <w:pPr>
              <w:spacing w:before="60" w:after="60"/>
              <w:rPr>
                <w:b/>
                <w:sz w:val="18"/>
                <w:lang w:val="sl-SI"/>
              </w:rPr>
            </w:pPr>
            <w:r w:rsidRPr="001048FE">
              <w:rPr>
                <w:b/>
                <w:sz w:val="18"/>
                <w:lang w:val="sl-SI"/>
              </w:rPr>
              <w:t>Kako se prijaviti?</w:t>
            </w:r>
          </w:p>
        </w:tc>
        <w:tc>
          <w:tcPr>
            <w:tcW w:w="4156" w:type="pct"/>
            <w:shd w:val="clear" w:color="auto" w:fill="FFFFFF"/>
            <w:vAlign w:val="center"/>
          </w:tcPr>
          <w:p w14:paraId="7D39A3FC" w14:textId="77777777" w:rsidR="00E03711" w:rsidRPr="00F769E0" w:rsidRDefault="00E03711" w:rsidP="00283D9E">
            <w:pPr>
              <w:pStyle w:val="GUIDE-NORMAL"/>
              <w:spacing w:before="60" w:after="60"/>
              <w:jc w:val="left"/>
              <w:rPr>
                <w:rFonts w:cs="Tahoma"/>
                <w:lang w:val="sl-SI" w:eastAsia="en-GB"/>
              </w:rPr>
            </w:pPr>
            <w:r w:rsidRPr="00F769E0">
              <w:rPr>
                <w:rFonts w:cs="Tahoma"/>
                <w:lang w:val="sl-SI" w:eastAsia="en-GB"/>
              </w:rPr>
              <w:t>Za več podrobnosti o postopku prijave glej del C tega vodnika.</w:t>
            </w:r>
          </w:p>
        </w:tc>
      </w:tr>
    </w:tbl>
    <w:p w14:paraId="7D39A3FE" w14:textId="77777777" w:rsidR="00E03711" w:rsidRPr="001048FE" w:rsidRDefault="00E03711" w:rsidP="00283D9E">
      <w:pPr>
        <w:pStyle w:val="GUIDE-NORMAL"/>
        <w:rPr>
          <w:lang w:val="sl-SI"/>
        </w:rPr>
      </w:pPr>
      <w:r w:rsidRPr="001048FE">
        <w:rPr>
          <w:lang w:val="sl-SI"/>
        </w:rPr>
        <w:t xml:space="preserve">Organizacije prijaviteljice bodo ocenjene z ustreznimi </w:t>
      </w:r>
      <w:r w:rsidRPr="001048FE">
        <w:rPr>
          <w:b/>
          <w:lang w:val="sl-SI"/>
        </w:rPr>
        <w:t>merili za izključitev in izbor</w:t>
      </w:r>
      <w:r w:rsidRPr="001048FE">
        <w:rPr>
          <w:lang w:val="sl-SI"/>
        </w:rPr>
        <w:t>. Za več informacij glej del C tega vodnika.</w:t>
      </w:r>
    </w:p>
    <w:p w14:paraId="7D39A3FF" w14:textId="77777777" w:rsidR="00E03711" w:rsidRPr="001048FE" w:rsidRDefault="00E03711" w:rsidP="00283D9E">
      <w:pPr>
        <w:pStyle w:val="Guide-Heading5"/>
        <w:rPr>
          <w:lang w:val="sl-SI"/>
        </w:rPr>
      </w:pPr>
      <w:r w:rsidRPr="001048FE">
        <w:rPr>
          <w:lang w:val="sl-SI"/>
        </w:rPr>
        <w:t>Merila za dodelitev</w:t>
      </w:r>
    </w:p>
    <w:p w14:paraId="7D39A400" w14:textId="77777777" w:rsidR="00E03711" w:rsidRPr="001048FE" w:rsidRDefault="00E03711" w:rsidP="00283D9E">
      <w:pPr>
        <w:pStyle w:val="GUIDE-NORMAL"/>
        <w:rPr>
          <w:lang w:val="sl-SI"/>
        </w:rPr>
      </w:pPr>
      <w:r w:rsidRPr="001048FE">
        <w:rPr>
          <w:lang w:val="sl-SI"/>
        </w:rPr>
        <w:t>Okvirna razdelitev za različne kategorije partnerskega sodelovanja:</w:t>
      </w:r>
    </w:p>
    <w:p w14:paraId="7D39A401" w14:textId="77777777" w:rsidR="00E03711" w:rsidRPr="001048FE" w:rsidRDefault="00E03711" w:rsidP="005115F2">
      <w:pPr>
        <w:pStyle w:val="Guide-NormalBulletpoints"/>
        <w:numPr>
          <w:ilvl w:val="0"/>
          <w:numId w:val="406"/>
        </w:numPr>
        <w:rPr>
          <w:lang w:val="sl-SI"/>
        </w:rPr>
      </w:pPr>
      <w:r w:rsidRPr="001048FE">
        <w:rPr>
          <w:lang w:val="sl-SI"/>
        </w:rPr>
        <w:t xml:space="preserve">približno </w:t>
      </w:r>
      <w:r>
        <w:rPr>
          <w:lang w:val="sl-SI"/>
        </w:rPr>
        <w:t>30</w:t>
      </w:r>
      <w:r w:rsidRPr="001048FE">
        <w:rPr>
          <w:lang w:val="sl-SI"/>
        </w:rPr>
        <w:t xml:space="preserve"> % za prednostni nalogi 1 in 2 (projekti, ki podpirajo udeležbo v športu in telesni dejavnosti);</w:t>
      </w:r>
    </w:p>
    <w:p w14:paraId="7D39A402" w14:textId="77777777" w:rsidR="00E03711" w:rsidRPr="001048FE" w:rsidRDefault="00E03711" w:rsidP="005115F2">
      <w:pPr>
        <w:pStyle w:val="Guide-NormalBulletpoints"/>
        <w:numPr>
          <w:ilvl w:val="0"/>
          <w:numId w:val="406"/>
        </w:numPr>
        <w:rPr>
          <w:lang w:val="sl-SI"/>
        </w:rPr>
      </w:pPr>
      <w:r w:rsidRPr="001048FE">
        <w:rPr>
          <w:lang w:val="sl-SI"/>
        </w:rPr>
        <w:t xml:space="preserve">približno </w:t>
      </w:r>
      <w:r>
        <w:rPr>
          <w:lang w:val="sl-SI"/>
        </w:rPr>
        <w:t>20</w:t>
      </w:r>
      <w:r w:rsidRPr="001048FE">
        <w:rPr>
          <w:lang w:val="sl-SI"/>
        </w:rPr>
        <w:t xml:space="preserve"> % za prednostni nalogi 3 in 4 (projekti, ki podpirajo izobraževanje v športu in prek njega,</w:t>
      </w:r>
      <w:r w:rsidRPr="001048FE">
        <w:rPr>
          <w:spacing w:val="-10"/>
          <w:lang w:val="sl-SI"/>
        </w:rPr>
        <w:t xml:space="preserve"> </w:t>
      </w:r>
      <w:r w:rsidRPr="001048FE">
        <w:rPr>
          <w:lang w:val="sl-SI"/>
        </w:rPr>
        <w:t>s</w:t>
      </w:r>
      <w:r w:rsidRPr="001048FE">
        <w:rPr>
          <w:spacing w:val="-10"/>
          <w:lang w:val="sl-SI"/>
        </w:rPr>
        <w:t xml:space="preserve"> </w:t>
      </w:r>
      <w:r w:rsidRPr="001048FE">
        <w:rPr>
          <w:lang w:val="sl-SI"/>
        </w:rPr>
        <w:t>posebnim</w:t>
      </w:r>
      <w:r w:rsidRPr="001048FE">
        <w:rPr>
          <w:spacing w:val="-10"/>
          <w:lang w:val="sl-SI"/>
        </w:rPr>
        <w:t xml:space="preserve"> </w:t>
      </w:r>
      <w:r w:rsidRPr="001048FE">
        <w:rPr>
          <w:lang w:val="sl-SI"/>
        </w:rPr>
        <w:t>poudarkom</w:t>
      </w:r>
      <w:r w:rsidRPr="001048FE">
        <w:rPr>
          <w:spacing w:val="-10"/>
          <w:lang w:val="sl-SI"/>
        </w:rPr>
        <w:t xml:space="preserve"> </w:t>
      </w:r>
      <w:r w:rsidRPr="001048FE">
        <w:rPr>
          <w:lang w:val="sl-SI"/>
        </w:rPr>
        <w:t>na</w:t>
      </w:r>
      <w:r w:rsidRPr="001048FE">
        <w:rPr>
          <w:spacing w:val="-10"/>
          <w:lang w:val="sl-SI"/>
        </w:rPr>
        <w:t xml:space="preserve"> </w:t>
      </w:r>
      <w:r w:rsidRPr="001048FE">
        <w:rPr>
          <w:lang w:val="sl-SI"/>
        </w:rPr>
        <w:t>razvoju</w:t>
      </w:r>
      <w:r w:rsidRPr="001048FE">
        <w:rPr>
          <w:spacing w:val="-10"/>
          <w:lang w:val="sl-SI"/>
        </w:rPr>
        <w:t xml:space="preserve"> </w:t>
      </w:r>
      <w:r w:rsidRPr="001048FE">
        <w:rPr>
          <w:lang w:val="sl-SI"/>
        </w:rPr>
        <w:t>spretnosti,</w:t>
      </w:r>
      <w:r w:rsidRPr="001048FE">
        <w:rPr>
          <w:spacing w:val="-10"/>
          <w:lang w:val="sl-SI"/>
        </w:rPr>
        <w:t xml:space="preserve"> </w:t>
      </w:r>
      <w:r w:rsidRPr="001048FE">
        <w:rPr>
          <w:lang w:val="sl-SI"/>
        </w:rPr>
        <w:t>ter</w:t>
      </w:r>
      <w:r w:rsidRPr="001048FE">
        <w:rPr>
          <w:spacing w:val="-10"/>
          <w:lang w:val="sl-SI"/>
        </w:rPr>
        <w:t xml:space="preserve"> </w:t>
      </w:r>
      <w:r w:rsidRPr="001048FE">
        <w:rPr>
          <w:lang w:val="sl-SI"/>
        </w:rPr>
        <w:t>izvajanje</w:t>
      </w:r>
      <w:r w:rsidRPr="001048FE">
        <w:rPr>
          <w:spacing w:val="-10"/>
          <w:lang w:val="sl-SI"/>
        </w:rPr>
        <w:t xml:space="preserve"> </w:t>
      </w:r>
      <w:r w:rsidRPr="001048FE">
        <w:rPr>
          <w:lang w:val="sl-SI"/>
        </w:rPr>
        <w:t>smernic</w:t>
      </w:r>
      <w:r w:rsidRPr="001048FE">
        <w:rPr>
          <w:spacing w:val="-10"/>
          <w:lang w:val="sl-SI"/>
        </w:rPr>
        <w:t xml:space="preserve"> </w:t>
      </w:r>
      <w:r w:rsidRPr="001048FE">
        <w:rPr>
          <w:lang w:val="sl-SI"/>
        </w:rPr>
        <w:t>EU</w:t>
      </w:r>
      <w:r w:rsidRPr="001048FE">
        <w:rPr>
          <w:spacing w:val="-10"/>
          <w:lang w:val="sl-SI"/>
        </w:rPr>
        <w:t xml:space="preserve"> </w:t>
      </w:r>
      <w:r w:rsidRPr="001048FE">
        <w:rPr>
          <w:lang w:val="sl-SI"/>
        </w:rPr>
        <w:t>o</w:t>
      </w:r>
      <w:r w:rsidRPr="001048FE">
        <w:rPr>
          <w:spacing w:val="-9"/>
          <w:lang w:val="sl-SI"/>
        </w:rPr>
        <w:t xml:space="preserve"> </w:t>
      </w:r>
      <w:r w:rsidRPr="001048FE">
        <w:rPr>
          <w:lang w:val="sl-SI"/>
        </w:rPr>
        <w:t>dvojni</w:t>
      </w:r>
      <w:r w:rsidRPr="001048FE">
        <w:rPr>
          <w:spacing w:val="-10"/>
          <w:lang w:val="sl-SI"/>
        </w:rPr>
        <w:t xml:space="preserve"> </w:t>
      </w:r>
      <w:r w:rsidRPr="001048FE">
        <w:rPr>
          <w:lang w:val="sl-SI"/>
        </w:rPr>
        <w:t>poklicni poti športnikov</w:t>
      </w:r>
      <w:r w:rsidRPr="001048FE">
        <w:rPr>
          <w:rStyle w:val="FootnoteReference"/>
          <w:lang w:val="sl-SI"/>
        </w:rPr>
        <w:footnoteReference w:id="237"/>
      </w:r>
      <w:r w:rsidRPr="001048FE">
        <w:rPr>
          <w:lang w:val="sl-SI"/>
        </w:rPr>
        <w:t>, in projekti, ki podpirajo prostovoljske aktivnosti v</w:t>
      </w:r>
      <w:r w:rsidRPr="001048FE">
        <w:rPr>
          <w:spacing w:val="-3"/>
          <w:lang w:val="sl-SI"/>
        </w:rPr>
        <w:t xml:space="preserve"> </w:t>
      </w:r>
      <w:r w:rsidRPr="001048FE">
        <w:rPr>
          <w:lang w:val="sl-SI"/>
        </w:rPr>
        <w:t>športu);</w:t>
      </w:r>
    </w:p>
    <w:p w14:paraId="7D39A403" w14:textId="77777777" w:rsidR="00E03711" w:rsidRPr="001048FE" w:rsidRDefault="00E03711" w:rsidP="005115F2">
      <w:pPr>
        <w:pStyle w:val="Guide-NormalBulletpoints"/>
        <w:numPr>
          <w:ilvl w:val="0"/>
          <w:numId w:val="406"/>
        </w:numPr>
        <w:rPr>
          <w:lang w:val="sl-SI"/>
        </w:rPr>
      </w:pPr>
      <w:r w:rsidRPr="001048FE">
        <w:rPr>
          <w:lang w:val="sl-SI"/>
        </w:rPr>
        <w:t>približno 20 % za prednostne naloge 5, 6 in 7 (projekti, ki podpirajo integriteto športa, kot so boj proti dopingu, boj proti prirejanju izidov tekem in dobro upravljanje športa);</w:t>
      </w:r>
    </w:p>
    <w:p w14:paraId="7D39A404" w14:textId="77777777" w:rsidR="00E03711" w:rsidRPr="001048FE" w:rsidRDefault="00E03711" w:rsidP="005115F2">
      <w:pPr>
        <w:pStyle w:val="Guide-NormalBulletpoints"/>
        <w:numPr>
          <w:ilvl w:val="0"/>
          <w:numId w:val="406"/>
        </w:numPr>
        <w:rPr>
          <w:sz w:val="22"/>
          <w:lang w:val="sl-SI"/>
        </w:rPr>
      </w:pPr>
      <w:r w:rsidRPr="001048FE">
        <w:rPr>
          <w:lang w:val="sl-SI"/>
        </w:rPr>
        <w:t>približno 30 % za prednostni nalogi 8 in 9 (projekti za boj proti nasilju, rasizmu, diskriminaciji in nestrpnosti v športu, projekti za spodbujanje socialne vključenosti in enakih možnosti v športu).</w:t>
      </w:r>
    </w:p>
    <w:p w14:paraId="7D39A405" w14:textId="77777777" w:rsidR="00E03711" w:rsidRPr="001048FE" w:rsidRDefault="00E03711" w:rsidP="00283D9E">
      <w:pPr>
        <w:pStyle w:val="GUIDE-NORMAL"/>
        <w:rPr>
          <w:lang w:val="sl-SI"/>
        </w:rPr>
      </w:pPr>
      <w:r w:rsidRPr="001048FE">
        <w:rPr>
          <w:lang w:val="sl-SI"/>
        </w:rPr>
        <w:t>Projekti bodo v okviru teh kategorij ocenjeni z naslednjimi merili:</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Look w:val="0000" w:firstRow="0" w:lastRow="0" w:firstColumn="0" w:lastColumn="0" w:noHBand="0" w:noVBand="0"/>
      </w:tblPr>
      <w:tblGrid>
        <w:gridCol w:w="1568"/>
        <w:gridCol w:w="7722"/>
      </w:tblGrid>
      <w:tr w:rsidR="00E03711" w:rsidRPr="002C560E" w14:paraId="7D39A40F" w14:textId="77777777" w:rsidTr="00AB6CE7">
        <w:trPr>
          <w:trHeight w:val="20"/>
        </w:trPr>
        <w:tc>
          <w:tcPr>
            <w:tcW w:w="844" w:type="pct"/>
            <w:shd w:val="clear" w:color="auto" w:fill="FFFFFF"/>
            <w:vAlign w:val="center"/>
          </w:tcPr>
          <w:p w14:paraId="7D39A406" w14:textId="77777777" w:rsidR="00E03711" w:rsidRPr="00F769E0" w:rsidRDefault="00E03711" w:rsidP="00283D9E">
            <w:pPr>
              <w:pStyle w:val="GUIDE-NORMAL"/>
              <w:jc w:val="left"/>
              <w:rPr>
                <w:rFonts w:cs="Tahoma"/>
                <w:b/>
                <w:lang w:val="sl-SI" w:eastAsia="en-GB"/>
              </w:rPr>
            </w:pPr>
            <w:r w:rsidRPr="00F769E0">
              <w:rPr>
                <w:rFonts w:cs="Tahoma"/>
                <w:b/>
                <w:lang w:val="sl-SI" w:eastAsia="en-GB"/>
              </w:rPr>
              <w:t xml:space="preserve">Ustreznost projekta </w:t>
            </w:r>
            <w:r w:rsidRPr="00F769E0">
              <w:rPr>
                <w:rFonts w:cs="Tahoma"/>
                <w:b/>
                <w:lang w:val="sl-SI" w:eastAsia="en-GB"/>
              </w:rPr>
              <w:br/>
              <w:t>(največ 30 točk)</w:t>
            </w:r>
          </w:p>
        </w:tc>
        <w:tc>
          <w:tcPr>
            <w:tcW w:w="4156" w:type="pct"/>
            <w:shd w:val="clear" w:color="auto" w:fill="FFFFFF"/>
          </w:tcPr>
          <w:p w14:paraId="7D39A407" w14:textId="77777777" w:rsidR="00E03711" w:rsidRPr="001048FE" w:rsidRDefault="00E03711" w:rsidP="005115F2">
            <w:pPr>
              <w:pStyle w:val="Guide-NormalBulletpoints"/>
              <w:numPr>
                <w:ilvl w:val="0"/>
                <w:numId w:val="164"/>
              </w:numPr>
              <w:jc w:val="left"/>
              <w:rPr>
                <w:lang w:val="sl-SI"/>
              </w:rPr>
            </w:pPr>
            <w:r w:rsidRPr="001048FE">
              <w:rPr>
                <w:lang w:val="sl-SI"/>
              </w:rPr>
              <w:t>ustreznost predloga v zvezi s:</w:t>
            </w:r>
          </w:p>
          <w:p w14:paraId="7D39A408" w14:textId="77777777" w:rsidR="00E03711" w:rsidRPr="001048FE" w:rsidRDefault="00E03711" w:rsidP="005115F2">
            <w:pPr>
              <w:pStyle w:val="Guide-ListDash"/>
              <w:numPr>
                <w:ilvl w:val="1"/>
                <w:numId w:val="165"/>
              </w:numPr>
              <w:jc w:val="left"/>
              <w:rPr>
                <w:lang w:val="sl-SI"/>
              </w:rPr>
            </w:pPr>
            <w:r w:rsidRPr="001048FE">
              <w:rPr>
                <w:lang w:val="sl-SI"/>
              </w:rPr>
              <w:t>cilji evropskih politik na področju športa;</w:t>
            </w:r>
          </w:p>
          <w:p w14:paraId="7D39A409" w14:textId="77777777" w:rsidR="00E03711" w:rsidRPr="001048FE" w:rsidRDefault="00E03711" w:rsidP="005115F2">
            <w:pPr>
              <w:pStyle w:val="Guide-ListDash"/>
              <w:numPr>
                <w:ilvl w:val="1"/>
                <w:numId w:val="165"/>
              </w:numPr>
              <w:jc w:val="left"/>
              <w:rPr>
                <w:lang w:val="sl-SI"/>
              </w:rPr>
            </w:pPr>
            <w:r w:rsidRPr="001048FE">
              <w:rPr>
                <w:lang w:val="sl-SI"/>
              </w:rPr>
              <w:t>cilji in prednostnimi nalogami tega ukrepa (glej poglavje „Kakšni so cilji majhnega partnerskega sodelovanja?“);</w:t>
            </w:r>
          </w:p>
          <w:p w14:paraId="7D39A40A" w14:textId="77777777" w:rsidR="00E03711" w:rsidRPr="001048FE" w:rsidRDefault="00E03711" w:rsidP="005115F2">
            <w:pPr>
              <w:pStyle w:val="Guide-NormalBulletpoints"/>
              <w:numPr>
                <w:ilvl w:val="0"/>
                <w:numId w:val="164"/>
              </w:numPr>
              <w:jc w:val="left"/>
              <w:rPr>
                <w:lang w:val="sl-SI"/>
              </w:rPr>
            </w:pPr>
            <w:r w:rsidRPr="001048FE">
              <w:rPr>
                <w:lang w:val="sl-SI"/>
              </w:rPr>
              <w:t>v kolikšni meri:</w:t>
            </w:r>
          </w:p>
          <w:p w14:paraId="7D39A40B" w14:textId="77777777" w:rsidR="00E03711" w:rsidRPr="001048FE" w:rsidRDefault="00E03711" w:rsidP="005115F2">
            <w:pPr>
              <w:pStyle w:val="Guide-ListDash"/>
              <w:numPr>
                <w:ilvl w:val="1"/>
                <w:numId w:val="165"/>
              </w:numPr>
              <w:jc w:val="left"/>
              <w:rPr>
                <w:lang w:val="sl-SI"/>
              </w:rPr>
            </w:pPr>
            <w:r w:rsidRPr="001048FE">
              <w:rPr>
                <w:lang w:val="sl-SI"/>
              </w:rPr>
              <w:t>predlog temelji na pravi in ustrezni analizi potreb;</w:t>
            </w:r>
          </w:p>
          <w:p w14:paraId="7D39A40C" w14:textId="77777777" w:rsidR="00E03711" w:rsidRPr="001048FE" w:rsidRDefault="00E03711" w:rsidP="005115F2">
            <w:pPr>
              <w:pStyle w:val="Guide-ListDash"/>
              <w:numPr>
                <w:ilvl w:val="1"/>
                <w:numId w:val="165"/>
              </w:numPr>
              <w:jc w:val="left"/>
              <w:rPr>
                <w:lang w:val="sl-SI"/>
              </w:rPr>
            </w:pPr>
            <w:r w:rsidRPr="001048FE">
              <w:rPr>
                <w:lang w:val="sl-SI"/>
              </w:rPr>
              <w:t>so cilji jasno opredeljeni, realistični in obravnavajo vprašanja, ki so povezana s sodelujočimi organizacijami in ciljnimi skupinami;</w:t>
            </w:r>
          </w:p>
          <w:p w14:paraId="7D39A40D" w14:textId="77777777" w:rsidR="00E03711" w:rsidRPr="001048FE" w:rsidRDefault="00E03711" w:rsidP="005115F2">
            <w:pPr>
              <w:pStyle w:val="Guide-ListDash"/>
              <w:numPr>
                <w:ilvl w:val="1"/>
                <w:numId w:val="165"/>
              </w:numPr>
              <w:jc w:val="left"/>
              <w:rPr>
                <w:lang w:val="sl-SI"/>
              </w:rPr>
            </w:pPr>
            <w:r w:rsidRPr="001048FE">
              <w:rPr>
                <w:lang w:val="sl-SI"/>
              </w:rPr>
              <w:t>je predlog inovativen in/ali dopolnjuje druge pobude, ki jih že izvajajo sodelujoče organizacije;</w:t>
            </w:r>
          </w:p>
          <w:p w14:paraId="7D39A40E" w14:textId="77777777" w:rsidR="00E03711" w:rsidRPr="001048FE" w:rsidRDefault="00E03711" w:rsidP="005115F2">
            <w:pPr>
              <w:pStyle w:val="Guide-ListDash"/>
              <w:numPr>
                <w:ilvl w:val="1"/>
                <w:numId w:val="165"/>
              </w:numPr>
              <w:jc w:val="left"/>
              <w:rPr>
                <w:lang w:val="sl-SI"/>
              </w:rPr>
            </w:pPr>
            <w:r w:rsidRPr="001048FE">
              <w:rPr>
                <w:lang w:val="sl-SI"/>
              </w:rPr>
              <w:t>predlog prispeva dodano vrednost na ravni EU z rezultati, ki jih ne bi bilo mogoče doseči z izvajanjem aktivnosti v samo eni državi.</w:t>
            </w:r>
          </w:p>
        </w:tc>
      </w:tr>
      <w:tr w:rsidR="00E03711" w:rsidRPr="002C560E" w14:paraId="7D39A417" w14:textId="77777777" w:rsidTr="00AB6CE7">
        <w:trPr>
          <w:trHeight w:val="20"/>
        </w:trPr>
        <w:tc>
          <w:tcPr>
            <w:tcW w:w="844" w:type="pct"/>
            <w:shd w:val="clear" w:color="auto" w:fill="FFFFFF"/>
            <w:vAlign w:val="center"/>
          </w:tcPr>
          <w:p w14:paraId="7D39A410" w14:textId="77777777" w:rsidR="00E03711" w:rsidRPr="00F769E0" w:rsidRDefault="00E03711" w:rsidP="00283D9E">
            <w:pPr>
              <w:pStyle w:val="GUIDE-NORMAL"/>
              <w:jc w:val="left"/>
              <w:rPr>
                <w:rFonts w:cs="Tahoma"/>
                <w:b/>
                <w:lang w:val="sl-SI" w:eastAsia="en-GB"/>
              </w:rPr>
            </w:pPr>
            <w:r w:rsidRPr="00F769E0">
              <w:rPr>
                <w:rFonts w:cs="Tahoma"/>
                <w:b/>
                <w:lang w:val="sl-SI" w:eastAsia="en-GB"/>
              </w:rPr>
              <w:t>Kakovost</w:t>
            </w:r>
            <w:r w:rsidRPr="00F769E0">
              <w:rPr>
                <w:rFonts w:cs="Tahoma"/>
                <w:b/>
                <w:spacing w:val="-20"/>
                <w:lang w:val="sl-SI" w:eastAsia="en-GB"/>
              </w:rPr>
              <w:t xml:space="preserve"> </w:t>
            </w:r>
            <w:r w:rsidRPr="00F769E0">
              <w:rPr>
                <w:rFonts w:cs="Tahoma"/>
                <w:b/>
                <w:lang w:val="sl-SI" w:eastAsia="en-GB"/>
              </w:rPr>
              <w:t>zasnove</w:t>
            </w:r>
            <w:r w:rsidRPr="00F769E0">
              <w:rPr>
                <w:rFonts w:cs="Tahoma"/>
                <w:b/>
                <w:spacing w:val="-20"/>
                <w:lang w:val="sl-SI" w:eastAsia="en-GB"/>
              </w:rPr>
              <w:t xml:space="preserve"> </w:t>
            </w:r>
            <w:r w:rsidRPr="00F769E0">
              <w:rPr>
                <w:rFonts w:cs="Tahoma"/>
                <w:b/>
                <w:lang w:val="sl-SI" w:eastAsia="en-GB"/>
              </w:rPr>
              <w:t>in</w:t>
            </w:r>
            <w:r w:rsidRPr="00F769E0">
              <w:rPr>
                <w:rFonts w:cs="Tahoma"/>
                <w:b/>
                <w:spacing w:val="-20"/>
                <w:lang w:val="sl-SI" w:eastAsia="en-GB"/>
              </w:rPr>
              <w:t xml:space="preserve"> </w:t>
            </w:r>
            <w:r w:rsidRPr="00F769E0">
              <w:rPr>
                <w:rFonts w:cs="Tahoma"/>
                <w:b/>
                <w:lang w:val="sl-SI" w:eastAsia="en-GB"/>
              </w:rPr>
              <w:t xml:space="preserve">izvedbe projekta </w:t>
            </w:r>
            <w:r w:rsidRPr="00F769E0">
              <w:rPr>
                <w:rFonts w:cs="Tahoma"/>
                <w:b/>
                <w:lang w:val="sl-SI" w:eastAsia="en-GB"/>
              </w:rPr>
              <w:br/>
              <w:t>(največ 20 točk)</w:t>
            </w:r>
          </w:p>
        </w:tc>
        <w:tc>
          <w:tcPr>
            <w:tcW w:w="4156" w:type="pct"/>
            <w:shd w:val="clear" w:color="auto" w:fill="FFFFFF"/>
          </w:tcPr>
          <w:p w14:paraId="7D39A411" w14:textId="77777777" w:rsidR="00E03711" w:rsidRPr="001048FE" w:rsidRDefault="00E03711" w:rsidP="005115F2">
            <w:pPr>
              <w:pStyle w:val="Guide-NormalBulletpoints"/>
              <w:numPr>
                <w:ilvl w:val="0"/>
                <w:numId w:val="164"/>
              </w:numPr>
              <w:jc w:val="left"/>
              <w:rPr>
                <w:lang w:val="sl-SI"/>
              </w:rPr>
            </w:pPr>
            <w:r w:rsidRPr="001048FE">
              <w:rPr>
                <w:lang w:val="sl-SI"/>
              </w:rPr>
              <w:t>jasnost, celovitost in kakovost delovnega programa, vključno z ustreznimi fazami za pripravo, izvajanje, spremljanje, ocenjevanje in razširjanje;</w:t>
            </w:r>
          </w:p>
          <w:p w14:paraId="7D39A412" w14:textId="77777777" w:rsidR="00E03711" w:rsidRPr="001048FE" w:rsidRDefault="00E03711" w:rsidP="005115F2">
            <w:pPr>
              <w:pStyle w:val="Guide-NormalBulletpoints"/>
              <w:numPr>
                <w:ilvl w:val="0"/>
                <w:numId w:val="164"/>
              </w:numPr>
              <w:jc w:val="left"/>
              <w:rPr>
                <w:lang w:val="sl-SI"/>
              </w:rPr>
            </w:pPr>
            <w:r w:rsidRPr="001048FE">
              <w:rPr>
                <w:lang w:val="sl-SI"/>
              </w:rPr>
              <w:t>usklajenost ciljev projekta, metodologije, aktivnosti in predlaganega proračuna;</w:t>
            </w:r>
          </w:p>
          <w:p w14:paraId="7D39A413" w14:textId="77777777" w:rsidR="00E03711" w:rsidRPr="001048FE" w:rsidRDefault="00E03711" w:rsidP="005115F2">
            <w:pPr>
              <w:pStyle w:val="Guide-NormalBulletpoints"/>
              <w:numPr>
                <w:ilvl w:val="0"/>
                <w:numId w:val="164"/>
              </w:numPr>
              <w:jc w:val="left"/>
              <w:rPr>
                <w:lang w:val="sl-SI"/>
              </w:rPr>
            </w:pPr>
            <w:r w:rsidRPr="001048FE">
              <w:rPr>
                <w:lang w:val="sl-SI"/>
              </w:rPr>
              <w:t>kakovost in izvedljivost predlagane metodologije;</w:t>
            </w:r>
          </w:p>
          <w:p w14:paraId="7D39A414" w14:textId="77777777" w:rsidR="00E03711" w:rsidRPr="001048FE" w:rsidRDefault="00E03711" w:rsidP="005115F2">
            <w:pPr>
              <w:pStyle w:val="Guide-NormalBulletpoints"/>
              <w:numPr>
                <w:ilvl w:val="0"/>
                <w:numId w:val="164"/>
              </w:numPr>
              <w:jc w:val="left"/>
              <w:rPr>
                <w:lang w:val="sl-SI"/>
              </w:rPr>
            </w:pPr>
            <w:r w:rsidRPr="001048FE">
              <w:rPr>
                <w:lang w:val="sl-SI"/>
              </w:rPr>
              <w:t>obstoj in kakovost praktičnih ureditev (časovni razpored, organizacija, naloge in odgovornosti so dobro opredeljeni in realistični);</w:t>
            </w:r>
          </w:p>
          <w:p w14:paraId="7D39A415" w14:textId="77777777" w:rsidR="00E03711" w:rsidRPr="001048FE" w:rsidRDefault="00E03711" w:rsidP="005115F2">
            <w:pPr>
              <w:pStyle w:val="Guide-NormalBulletpoints"/>
              <w:numPr>
                <w:ilvl w:val="0"/>
                <w:numId w:val="164"/>
              </w:numPr>
              <w:jc w:val="left"/>
              <w:rPr>
                <w:lang w:val="sl-SI"/>
              </w:rPr>
            </w:pPr>
            <w:r w:rsidRPr="001048FE">
              <w:rPr>
                <w:lang w:val="sl-SI"/>
              </w:rPr>
              <w:t>obstoj in ustreznost ukrepov za nadzor kakovosti, da se zagotovijo visokokakovostna izvedba projekta, pravočasni zaključek in poraba sredstev v okviru proračuna;</w:t>
            </w:r>
          </w:p>
          <w:p w14:paraId="7D39A416" w14:textId="77777777" w:rsidR="00E03711" w:rsidRPr="001048FE" w:rsidRDefault="00E03711" w:rsidP="005115F2">
            <w:pPr>
              <w:pStyle w:val="Guide-NormalBulletpoints"/>
              <w:numPr>
                <w:ilvl w:val="0"/>
                <w:numId w:val="164"/>
              </w:numPr>
              <w:jc w:val="left"/>
              <w:rPr>
                <w:lang w:val="sl-SI"/>
              </w:rPr>
            </w:pPr>
            <w:r w:rsidRPr="001048FE">
              <w:rPr>
                <w:lang w:val="sl-SI"/>
              </w:rPr>
              <w:t>v kolikšni meri je projekt stroškovno učinkovit in dodeljuje ustrezna sredstva posameznih aktivnostim.</w:t>
            </w:r>
          </w:p>
        </w:tc>
      </w:tr>
      <w:tr w:rsidR="00E03711" w:rsidRPr="002C560E" w14:paraId="7D39A41E" w14:textId="77777777" w:rsidTr="00B405CA">
        <w:trPr>
          <w:trHeight w:val="2757"/>
        </w:trPr>
        <w:tc>
          <w:tcPr>
            <w:tcW w:w="844" w:type="pct"/>
            <w:shd w:val="clear" w:color="auto" w:fill="FFFFFF"/>
            <w:vAlign w:val="center"/>
          </w:tcPr>
          <w:p w14:paraId="7D39A418" w14:textId="77777777" w:rsidR="00E03711" w:rsidRPr="00F769E0" w:rsidRDefault="00E03711" w:rsidP="00283D9E">
            <w:pPr>
              <w:pStyle w:val="GUIDE-NORMAL"/>
              <w:jc w:val="left"/>
              <w:rPr>
                <w:rFonts w:cs="Tahoma"/>
                <w:b/>
                <w:lang w:val="sl-SI" w:eastAsia="en-GB"/>
              </w:rPr>
            </w:pPr>
            <w:r w:rsidRPr="00F769E0">
              <w:rPr>
                <w:rFonts w:cs="Tahoma"/>
                <w:b/>
                <w:lang w:val="sl-SI" w:eastAsia="en-GB"/>
              </w:rPr>
              <w:t>Kakovost projektne skupine in dogovorov o sodelovanju (največ 20 točk)</w:t>
            </w:r>
          </w:p>
        </w:tc>
        <w:tc>
          <w:tcPr>
            <w:tcW w:w="4156" w:type="pct"/>
            <w:shd w:val="clear" w:color="auto" w:fill="FFFFFF"/>
          </w:tcPr>
          <w:p w14:paraId="7D39A419" w14:textId="77777777" w:rsidR="00E03711" w:rsidRPr="001048FE" w:rsidRDefault="00E03711" w:rsidP="005115F2">
            <w:pPr>
              <w:pStyle w:val="Guide-NormalBulletpoints"/>
              <w:numPr>
                <w:ilvl w:val="0"/>
                <w:numId w:val="164"/>
              </w:numPr>
              <w:rPr>
                <w:lang w:val="sl-SI"/>
              </w:rPr>
            </w:pPr>
            <w:r w:rsidRPr="001048FE">
              <w:rPr>
                <w:lang w:val="sl-SI"/>
              </w:rPr>
              <w:t>v kolikšni meri:</w:t>
            </w:r>
          </w:p>
          <w:p w14:paraId="7D39A41A" w14:textId="77777777" w:rsidR="00E03711" w:rsidRPr="00822A26" w:rsidRDefault="00E03711" w:rsidP="005115F2">
            <w:pPr>
              <w:pStyle w:val="Guide-ListDash"/>
              <w:numPr>
                <w:ilvl w:val="1"/>
                <w:numId w:val="165"/>
              </w:numPr>
              <w:rPr>
                <w:lang w:val="sl-SI"/>
              </w:rPr>
            </w:pPr>
            <w:r w:rsidRPr="001048FE">
              <w:rPr>
                <w:lang w:val="sl-SI"/>
              </w:rPr>
              <w:t xml:space="preserve">kadar je to ustrezno, projekt vključuje ustrezen nabor sodelujočih organizacij, ki se dopolnjujejo in imajo potreben profil, </w:t>
            </w:r>
            <w:r w:rsidRPr="00FC4A70">
              <w:rPr>
                <w:rFonts w:eastAsia="Calibri" w:cs="Calibri"/>
                <w:bdr w:val="nil"/>
                <w:lang w:val="sl-SI"/>
              </w:rPr>
              <w:t>vključno s potrebnim profilom in kapacitetami znanja na področju športne politike in prakse</w:t>
            </w:r>
            <w:r w:rsidRPr="009417F5">
              <w:rPr>
                <w:rFonts w:eastAsia="Calibri" w:cs="Calibri"/>
                <w:bdr w:val="nil"/>
                <w:lang w:val="sl-SI"/>
              </w:rPr>
              <w:t>;</w:t>
            </w:r>
          </w:p>
          <w:p w14:paraId="7D39A41B" w14:textId="77777777" w:rsidR="00E03711" w:rsidRPr="001048FE" w:rsidRDefault="00E03711" w:rsidP="005115F2">
            <w:pPr>
              <w:pStyle w:val="Guide-ListDash"/>
              <w:numPr>
                <w:ilvl w:val="1"/>
                <w:numId w:val="165"/>
              </w:numPr>
              <w:rPr>
                <w:lang w:val="sl-SI"/>
              </w:rPr>
            </w:pPr>
            <w:r w:rsidRPr="001048FE">
              <w:rPr>
                <w:lang w:val="sl-SI"/>
              </w:rPr>
              <w:t>izkušnje in strokovno znanje za uspešno izvedbo vseh vidikov projekta;</w:t>
            </w:r>
          </w:p>
          <w:p w14:paraId="7D39A41C" w14:textId="77777777" w:rsidR="00E03711" w:rsidRPr="001048FE" w:rsidRDefault="00E03711" w:rsidP="005115F2">
            <w:pPr>
              <w:pStyle w:val="Guide-ListDash"/>
              <w:numPr>
                <w:ilvl w:val="1"/>
                <w:numId w:val="165"/>
              </w:numPr>
              <w:rPr>
                <w:lang w:val="sl-SI"/>
              </w:rPr>
            </w:pPr>
            <w:r w:rsidRPr="001048FE">
              <w:rPr>
                <w:lang w:val="sl-SI"/>
              </w:rPr>
              <w:t>sta iz porazdelitve odgovornosti in nalog razvidna zavezanost in aktivno prispevanje vseh sodelujočih organizacij;</w:t>
            </w:r>
          </w:p>
          <w:p w14:paraId="7D39A41D" w14:textId="77777777" w:rsidR="00E03711" w:rsidRPr="00FC4A70" w:rsidRDefault="00E03711" w:rsidP="005115F2">
            <w:pPr>
              <w:pStyle w:val="Guide-ListDash"/>
              <w:numPr>
                <w:ilvl w:val="1"/>
                <w:numId w:val="165"/>
              </w:numPr>
              <w:rPr>
                <w:lang w:val="sl-SI"/>
              </w:rPr>
            </w:pPr>
            <w:r w:rsidRPr="00FC4A70">
              <w:rPr>
                <w:lang w:val="sl-SI"/>
              </w:rPr>
              <w:t>kadar je to ustrezno, v kolikšni meri vključenost sodelujoče organizacije iz partnerske države prispeva bistveno dodano vrednost k projektu.</w:t>
            </w:r>
          </w:p>
        </w:tc>
      </w:tr>
      <w:tr w:rsidR="00E03711" w:rsidRPr="002C560E" w14:paraId="7D39A427" w14:textId="77777777" w:rsidTr="00AB6CE7">
        <w:trPr>
          <w:trHeight w:val="20"/>
        </w:trPr>
        <w:tc>
          <w:tcPr>
            <w:tcW w:w="844" w:type="pct"/>
            <w:shd w:val="clear" w:color="auto" w:fill="FFFFFF"/>
            <w:vAlign w:val="center"/>
          </w:tcPr>
          <w:p w14:paraId="7D39A41F" w14:textId="77777777" w:rsidR="00E03711" w:rsidRPr="00F769E0" w:rsidRDefault="00E03711" w:rsidP="00283D9E">
            <w:pPr>
              <w:pStyle w:val="GUIDE-NORMAL"/>
              <w:jc w:val="left"/>
              <w:rPr>
                <w:rFonts w:cs="Tahoma"/>
                <w:b/>
                <w:lang w:val="sl-SI" w:eastAsia="en-GB"/>
              </w:rPr>
            </w:pPr>
            <w:r w:rsidRPr="00F769E0">
              <w:rPr>
                <w:rFonts w:cs="Tahoma"/>
                <w:b/>
                <w:lang w:val="sl-SI" w:eastAsia="en-GB"/>
              </w:rPr>
              <w:t>Učinek in razširjanje</w:t>
            </w:r>
            <w:r w:rsidRPr="00F769E0">
              <w:rPr>
                <w:rFonts w:cs="Tahoma"/>
                <w:b/>
                <w:lang w:val="sl-SI" w:eastAsia="en-GB"/>
              </w:rPr>
              <w:br/>
              <w:t>(največ 30 točk)</w:t>
            </w:r>
          </w:p>
        </w:tc>
        <w:tc>
          <w:tcPr>
            <w:tcW w:w="4156" w:type="pct"/>
            <w:shd w:val="clear" w:color="auto" w:fill="FFFFFF"/>
          </w:tcPr>
          <w:p w14:paraId="7D39A420" w14:textId="77777777" w:rsidR="00E03711" w:rsidRPr="001048FE" w:rsidRDefault="00E03711" w:rsidP="005115F2">
            <w:pPr>
              <w:pStyle w:val="Guide-NormalBulletpoints"/>
              <w:numPr>
                <w:ilvl w:val="0"/>
                <w:numId w:val="164"/>
              </w:numPr>
              <w:rPr>
                <w:lang w:val="sl-SI"/>
              </w:rPr>
            </w:pPr>
            <w:r w:rsidRPr="001048FE">
              <w:rPr>
                <w:lang w:val="sl-SI"/>
              </w:rPr>
              <w:t>kakovost ukrepov za ocenjevanje rezultatov projekta;</w:t>
            </w:r>
          </w:p>
          <w:p w14:paraId="7D39A421" w14:textId="77777777" w:rsidR="00E03711" w:rsidRPr="001048FE" w:rsidRDefault="00E03711" w:rsidP="005115F2">
            <w:pPr>
              <w:pStyle w:val="Guide-NormalBulletpoints"/>
              <w:numPr>
                <w:ilvl w:val="0"/>
                <w:numId w:val="164"/>
              </w:numPr>
              <w:rPr>
                <w:lang w:val="sl-SI"/>
              </w:rPr>
            </w:pPr>
            <w:r w:rsidRPr="001048FE">
              <w:rPr>
                <w:lang w:val="sl-SI"/>
              </w:rPr>
              <w:t>morebitni učinek projekta:</w:t>
            </w:r>
          </w:p>
          <w:p w14:paraId="7D39A422" w14:textId="77777777" w:rsidR="00E03711" w:rsidRPr="001048FE" w:rsidRDefault="00E03711" w:rsidP="005115F2">
            <w:pPr>
              <w:pStyle w:val="Guide-ListDash"/>
              <w:numPr>
                <w:ilvl w:val="1"/>
                <w:numId w:val="165"/>
              </w:numPr>
              <w:rPr>
                <w:lang w:val="sl-SI"/>
              </w:rPr>
            </w:pPr>
            <w:r w:rsidRPr="001048FE">
              <w:rPr>
                <w:lang w:val="sl-SI"/>
              </w:rPr>
              <w:t>na udeležence in sodelujoče organizacije med življenjskim ciklom projekta in po njem;</w:t>
            </w:r>
          </w:p>
          <w:p w14:paraId="7D39A423" w14:textId="77777777" w:rsidR="00E03711" w:rsidRPr="001048FE" w:rsidRDefault="00E03711" w:rsidP="005115F2">
            <w:pPr>
              <w:pStyle w:val="Guide-ListDash"/>
              <w:numPr>
                <w:ilvl w:val="1"/>
                <w:numId w:val="165"/>
              </w:numPr>
              <w:rPr>
                <w:lang w:val="sl-SI"/>
              </w:rPr>
            </w:pPr>
            <w:r w:rsidRPr="001048FE">
              <w:rPr>
                <w:lang w:val="sl-SI"/>
              </w:rPr>
              <w:t>na druga področja, poleg organizacij in posameznikov, ki neposredno sodelujejo v projektu, na lokalni, regionalni, nacionalni in/ali evropski ravni;</w:t>
            </w:r>
          </w:p>
          <w:p w14:paraId="7D39A424" w14:textId="77777777" w:rsidR="00E03711" w:rsidRPr="001048FE" w:rsidRDefault="00E03711" w:rsidP="005115F2">
            <w:pPr>
              <w:pStyle w:val="Guide-NormalBulletpoints"/>
              <w:numPr>
                <w:ilvl w:val="0"/>
                <w:numId w:val="164"/>
              </w:numPr>
              <w:rPr>
                <w:lang w:val="sl-SI"/>
              </w:rPr>
            </w:pPr>
            <w:r w:rsidRPr="001048FE">
              <w:rPr>
                <w:lang w:val="sl-SI"/>
              </w:rPr>
              <w:t>kakovost načrta za razširjanje: ustreznost in kakovost ukrepov, katerih cilj je izmenjava rezultatov projekta v sodelujočih organizacijah in drugod;</w:t>
            </w:r>
          </w:p>
          <w:p w14:paraId="7D39A425" w14:textId="77777777" w:rsidR="00E03711" w:rsidRPr="001048FE" w:rsidRDefault="00E03711" w:rsidP="005115F2">
            <w:pPr>
              <w:pStyle w:val="Guide-NormalBulletpoints"/>
              <w:numPr>
                <w:ilvl w:val="0"/>
                <w:numId w:val="164"/>
              </w:numPr>
              <w:rPr>
                <w:lang w:val="sl-SI"/>
              </w:rPr>
            </w:pPr>
            <w:r w:rsidRPr="001048FE">
              <w:rPr>
                <w:lang w:val="sl-SI"/>
              </w:rPr>
              <w:t>če je ustrezno, v kolikšni meri predlog opiše, kako se bo omogočil prost dostop z odprtimi licencami do ustvarjenih gradiv, dokumentov in nosilcev podatkov ter kako se bo o njih obveščalo; predlog ne vsebuje nesorazmernih omejitev;</w:t>
            </w:r>
          </w:p>
          <w:p w14:paraId="7D39A426" w14:textId="77777777" w:rsidR="00E03711" w:rsidRPr="001048FE" w:rsidRDefault="00E03711" w:rsidP="005115F2">
            <w:pPr>
              <w:pStyle w:val="Guide-NormalBulletpoints"/>
              <w:numPr>
                <w:ilvl w:val="0"/>
                <w:numId w:val="164"/>
              </w:numPr>
              <w:rPr>
                <w:lang w:val="sl-SI"/>
              </w:rPr>
            </w:pPr>
            <w:r w:rsidRPr="001048FE">
              <w:rPr>
                <w:lang w:val="sl-SI"/>
              </w:rPr>
              <w:t>kakovost načrtov za zagotavljanje trajnosti projekta: ali lahko projekt po porabi nepovratnih sredstev EU še naprej dosega učinek in rezultate.</w:t>
            </w:r>
          </w:p>
        </w:tc>
      </w:tr>
    </w:tbl>
    <w:p w14:paraId="7D39A428" w14:textId="77777777" w:rsidR="00E03711" w:rsidRPr="001048FE" w:rsidRDefault="00E03711" w:rsidP="00283D9E">
      <w:pPr>
        <w:pStyle w:val="GUIDE-NORMAL"/>
        <w:rPr>
          <w:lang w:val="sl-SI"/>
        </w:rPr>
      </w:pPr>
      <w:r w:rsidRPr="001048FE">
        <w:rPr>
          <w:lang w:val="sl-SI"/>
        </w:rPr>
        <w:t>Za upoštevanje pri dodeljevanju sredstev morajo predlogi doseči vsaj 60 točk. Poleg tega morajo doseči vsaj polovico vseh možnih točk v vsaki od navedenih kategorij meril za dodelitev (tj. vsaj 15 točk za kategoriji „Ustreznost projekta“ ter „Učinek in razširjanje“; 10 točk za kategoriji „Kakovost zasnove in izvedbe projekta“ in „Kakovost projektne skupine in dogovorov o sodelovanju“.</w:t>
      </w:r>
    </w:p>
    <w:p w14:paraId="7D39A429" w14:textId="77777777" w:rsidR="00E03711" w:rsidRDefault="00E03711">
      <w:pPr>
        <w:widowControl/>
        <w:suppressAutoHyphens w:val="0"/>
        <w:autoSpaceDN/>
        <w:textAlignment w:val="auto"/>
        <w:rPr>
          <w:rFonts w:eastAsia="Times New Roman"/>
          <w:b/>
          <w:smallCaps/>
          <w:sz w:val="22"/>
          <w:szCs w:val="20"/>
          <w:lang w:val="sl-SI"/>
        </w:rPr>
        <w:sectPr w:rsidR="00E03711" w:rsidSect="00E15ED3">
          <w:headerReference w:type="default" r:id="rId137"/>
          <w:endnotePr>
            <w:numFmt w:val="decimal"/>
          </w:endnotePr>
          <w:pgSz w:w="11910" w:h="16840" w:code="9"/>
          <w:pgMar w:top="1134" w:right="1418" w:bottom="1134" w:left="1418" w:header="284" w:footer="567" w:gutter="0"/>
          <w:cols w:space="720"/>
          <w:docGrid w:linePitch="326"/>
        </w:sectPr>
      </w:pPr>
    </w:p>
    <w:p w14:paraId="7D39A42A" w14:textId="77777777" w:rsidR="00E03711" w:rsidRPr="001048FE" w:rsidRDefault="00E03711" w:rsidP="00B22A0F">
      <w:pPr>
        <w:pStyle w:val="Guide-Heading5"/>
        <w:rPr>
          <w:lang w:val="sl-SI"/>
        </w:rPr>
      </w:pPr>
      <w:r w:rsidRPr="001048FE">
        <w:rPr>
          <w:lang w:val="sl-SI"/>
        </w:rPr>
        <w:t>Kakšna so pravila za dodelitev sredstev?</w:t>
      </w:r>
    </w:p>
    <w:p w14:paraId="7D39A42B" w14:textId="77777777" w:rsidR="00E03711" w:rsidRPr="001048FE" w:rsidRDefault="00E03711" w:rsidP="00B22A0F">
      <w:pPr>
        <w:pStyle w:val="GUIDE-NORMAL"/>
        <w:rPr>
          <w:lang w:val="sl-SI"/>
        </w:rPr>
      </w:pPr>
      <w:r w:rsidRPr="001048FE">
        <w:rPr>
          <w:lang w:val="sl-SI"/>
        </w:rPr>
        <w:t>Proračun projekta je treba pripraviti v skladu z naslednjimi pravili za dodelitev sredstev (v 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8"/>
      </w:tblGrid>
      <w:tr w:rsidR="00E03711" w:rsidRPr="002C560E" w14:paraId="7D39A42D" w14:textId="77777777" w:rsidTr="00CB46AB">
        <w:tc>
          <w:tcPr>
            <w:tcW w:w="14778" w:type="dxa"/>
            <w:shd w:val="clear" w:color="auto" w:fill="auto"/>
          </w:tcPr>
          <w:p w14:paraId="7D39A42C" w14:textId="77777777" w:rsidR="00E03711" w:rsidRPr="00237696" w:rsidRDefault="00E03711" w:rsidP="00237696">
            <w:pPr>
              <w:pStyle w:val="Guide-Table"/>
              <w:spacing w:before="60" w:after="60"/>
              <w:rPr>
                <w:b/>
                <w:lang w:val="sl-SI" w:eastAsia="en-GB"/>
              </w:rPr>
            </w:pPr>
            <w:r w:rsidRPr="00237696">
              <w:rPr>
                <w:b/>
                <w:lang w:val="sl-SI" w:eastAsia="en-GB"/>
              </w:rPr>
              <w:t>Najvišja dodeljena nepovratna sredstva za partnerska sodelovanja: 400 000 EUR</w:t>
            </w:r>
          </w:p>
        </w:tc>
      </w:tr>
    </w:tbl>
    <w:p w14:paraId="7D39A42E" w14:textId="77777777" w:rsidR="00E03711" w:rsidRPr="001048FE" w:rsidRDefault="00E03711" w:rsidP="00C36B25">
      <w:pPr>
        <w:pStyle w:val="Guide-Table"/>
        <w:rPr>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3531"/>
        <w:gridCol w:w="2082"/>
        <w:gridCol w:w="2082"/>
        <w:gridCol w:w="1618"/>
        <w:gridCol w:w="3233"/>
      </w:tblGrid>
      <w:tr w:rsidR="00E03711" w:rsidRPr="008C6F8C" w14:paraId="7D39A433" w14:textId="77777777" w:rsidTr="00073E87">
        <w:trPr>
          <w:trHeight w:val="20"/>
        </w:trPr>
        <w:tc>
          <w:tcPr>
            <w:tcW w:w="1952" w:type="pct"/>
            <w:gridSpan w:val="2"/>
            <w:shd w:val="clear" w:color="auto" w:fill="auto"/>
            <w:vAlign w:val="center"/>
          </w:tcPr>
          <w:p w14:paraId="7D39A42F" w14:textId="77777777" w:rsidR="00E03711" w:rsidRPr="00237696" w:rsidRDefault="00E03711" w:rsidP="00237696">
            <w:pPr>
              <w:pStyle w:val="GUIDE-NORMAL"/>
              <w:spacing w:before="60" w:after="60"/>
              <w:jc w:val="center"/>
              <w:rPr>
                <w:b/>
                <w:lang w:val="sl-SI" w:eastAsia="en-GB"/>
              </w:rPr>
            </w:pPr>
            <w:r w:rsidRPr="00237696">
              <w:rPr>
                <w:b/>
                <w:lang w:val="sl-SI" w:eastAsia="en-GB"/>
              </w:rPr>
              <w:t>Upravičeni stroški</w:t>
            </w:r>
          </w:p>
        </w:tc>
        <w:tc>
          <w:tcPr>
            <w:tcW w:w="704" w:type="pct"/>
            <w:shd w:val="clear" w:color="auto" w:fill="auto"/>
            <w:vAlign w:val="center"/>
          </w:tcPr>
          <w:p w14:paraId="7D39A430" w14:textId="77777777" w:rsidR="00E03711" w:rsidRPr="00237696" w:rsidRDefault="00E03711" w:rsidP="00237696">
            <w:pPr>
              <w:pStyle w:val="GUIDE-NORMAL"/>
              <w:spacing w:before="60" w:after="60"/>
              <w:jc w:val="center"/>
              <w:rPr>
                <w:b/>
                <w:lang w:val="sl-SI" w:eastAsia="en-GB"/>
              </w:rPr>
            </w:pPr>
            <w:r w:rsidRPr="00237696">
              <w:rPr>
                <w:b/>
                <w:lang w:val="sl-SI" w:eastAsia="en-GB"/>
              </w:rPr>
              <w:t>Mehanizem financiranja</w:t>
            </w:r>
          </w:p>
        </w:tc>
        <w:tc>
          <w:tcPr>
            <w:tcW w:w="1251" w:type="pct"/>
            <w:gridSpan w:val="2"/>
            <w:shd w:val="clear" w:color="auto" w:fill="auto"/>
            <w:vAlign w:val="center"/>
          </w:tcPr>
          <w:p w14:paraId="7D39A431" w14:textId="77777777" w:rsidR="00E03711" w:rsidRPr="00237696" w:rsidRDefault="00E03711" w:rsidP="00237696">
            <w:pPr>
              <w:pStyle w:val="GUIDE-NORMAL"/>
              <w:spacing w:before="60" w:after="60"/>
              <w:jc w:val="center"/>
              <w:rPr>
                <w:b/>
                <w:lang w:val="sl-SI" w:eastAsia="en-GB"/>
              </w:rPr>
            </w:pPr>
            <w:r w:rsidRPr="00237696">
              <w:rPr>
                <w:b/>
                <w:lang w:val="sl-SI" w:eastAsia="en-GB"/>
              </w:rPr>
              <w:t>Znesek</w:t>
            </w:r>
          </w:p>
        </w:tc>
        <w:tc>
          <w:tcPr>
            <w:tcW w:w="1093" w:type="pct"/>
            <w:shd w:val="clear" w:color="auto" w:fill="auto"/>
            <w:vAlign w:val="center"/>
          </w:tcPr>
          <w:p w14:paraId="7D39A432" w14:textId="77777777" w:rsidR="00E03711" w:rsidRPr="00237696" w:rsidRDefault="00E03711" w:rsidP="00237696">
            <w:pPr>
              <w:pStyle w:val="GUIDE-NORMAL"/>
              <w:spacing w:before="60" w:after="60"/>
              <w:jc w:val="center"/>
              <w:rPr>
                <w:b/>
                <w:lang w:val="sl-SI" w:eastAsia="en-GB"/>
              </w:rPr>
            </w:pPr>
            <w:r w:rsidRPr="00237696">
              <w:rPr>
                <w:b/>
                <w:lang w:val="sl-SI" w:eastAsia="en-GB"/>
              </w:rPr>
              <w:t>Pravilo dodelitve</w:t>
            </w:r>
          </w:p>
        </w:tc>
      </w:tr>
      <w:tr w:rsidR="00E03711" w:rsidRPr="002C560E" w14:paraId="7D39A43A" w14:textId="77777777" w:rsidTr="00073E87">
        <w:trPr>
          <w:trHeight w:val="20"/>
        </w:trPr>
        <w:tc>
          <w:tcPr>
            <w:tcW w:w="758" w:type="pct"/>
            <w:vMerge w:val="restart"/>
            <w:shd w:val="clear" w:color="auto" w:fill="auto"/>
            <w:vAlign w:val="center"/>
          </w:tcPr>
          <w:p w14:paraId="7D39A434" w14:textId="77777777" w:rsidR="00E03711" w:rsidRPr="00237696" w:rsidRDefault="00E03711" w:rsidP="00237696">
            <w:pPr>
              <w:pStyle w:val="GUIDE-NORMAL"/>
              <w:spacing w:before="60" w:after="60"/>
              <w:jc w:val="left"/>
              <w:rPr>
                <w:b/>
                <w:lang w:val="sl-SI" w:eastAsia="en-GB"/>
              </w:rPr>
            </w:pPr>
            <w:r w:rsidRPr="00237696">
              <w:rPr>
                <w:b/>
                <w:lang w:val="sl-SI" w:eastAsia="en-GB"/>
              </w:rPr>
              <w:t xml:space="preserve">Upravljanje </w:t>
            </w:r>
            <w:r w:rsidRPr="00237696">
              <w:rPr>
                <w:b/>
                <w:lang w:val="sl-SI" w:eastAsia="en-GB"/>
              </w:rPr>
              <w:br/>
              <w:t>in izvajanje projekta</w:t>
            </w:r>
          </w:p>
        </w:tc>
        <w:tc>
          <w:tcPr>
            <w:tcW w:w="1194" w:type="pct"/>
            <w:vMerge w:val="restart"/>
            <w:shd w:val="clear" w:color="auto" w:fill="auto"/>
            <w:vAlign w:val="center"/>
          </w:tcPr>
          <w:p w14:paraId="7D39A435" w14:textId="77777777" w:rsidR="00E03711" w:rsidRPr="00237696" w:rsidRDefault="00E03711" w:rsidP="00237696">
            <w:pPr>
              <w:pStyle w:val="GUIDE-NORMAL"/>
              <w:spacing w:before="60" w:after="60"/>
              <w:jc w:val="left"/>
              <w:rPr>
                <w:lang w:val="sl-SI" w:eastAsia="en-GB"/>
              </w:rPr>
            </w:pPr>
            <w:r w:rsidRPr="00237696">
              <w:rPr>
                <w:lang w:val="sl-SI" w:eastAsia="en-GB"/>
              </w:rPr>
              <w:t>Upravljanje projekta (npr. načrtovanje, finance, koordinacija in obveščanje med partnerji itd.); gradiva, orodja, pristopi itd. za učenje/poučevanje/usposabljanje v malem obsegu. Virtualno sodelovanje in aktivnosti lokalnih projektov; obveščanje, spodbujanje in razširjanje (npr. brošure, zloženke, spletne informacije itd.).</w:t>
            </w:r>
          </w:p>
        </w:tc>
        <w:tc>
          <w:tcPr>
            <w:tcW w:w="704" w:type="pct"/>
            <w:shd w:val="clear" w:color="auto" w:fill="auto"/>
            <w:vAlign w:val="center"/>
          </w:tcPr>
          <w:p w14:paraId="7D39A436" w14:textId="77777777" w:rsidR="00E03711" w:rsidRPr="00237696" w:rsidRDefault="00E03711" w:rsidP="00237696">
            <w:pPr>
              <w:pStyle w:val="GUIDE-NORMAL"/>
              <w:spacing w:before="60" w:after="60"/>
              <w:jc w:val="left"/>
              <w:rPr>
                <w:lang w:val="sl-SI" w:eastAsia="en-GB"/>
              </w:rPr>
            </w:pPr>
            <w:r w:rsidRPr="00237696">
              <w:rPr>
                <w:lang w:val="sl-SI" w:eastAsia="en-GB"/>
              </w:rPr>
              <w:t xml:space="preserve">Prispevek </w:t>
            </w:r>
            <w:r w:rsidRPr="00237696">
              <w:rPr>
                <w:lang w:val="sl-SI" w:eastAsia="en-GB"/>
              </w:rPr>
              <w:br/>
              <w:t xml:space="preserve">za stroške </w:t>
            </w:r>
            <w:r w:rsidRPr="00237696">
              <w:rPr>
                <w:lang w:val="sl-SI" w:eastAsia="en-GB"/>
              </w:rPr>
              <w:br/>
              <w:t>na enoto</w:t>
            </w:r>
          </w:p>
        </w:tc>
        <w:tc>
          <w:tcPr>
            <w:tcW w:w="704" w:type="pct"/>
            <w:shd w:val="clear" w:color="auto" w:fill="auto"/>
            <w:vAlign w:val="center"/>
          </w:tcPr>
          <w:p w14:paraId="7D39A437" w14:textId="77777777" w:rsidR="00E03711" w:rsidRPr="00237696" w:rsidRDefault="00E03711" w:rsidP="00237696">
            <w:pPr>
              <w:pStyle w:val="GUIDE-NORMAL"/>
              <w:spacing w:before="60" w:after="60"/>
              <w:jc w:val="left"/>
              <w:rPr>
                <w:lang w:val="sl-SI" w:eastAsia="en-GB"/>
              </w:rPr>
            </w:pPr>
            <w:r w:rsidRPr="00237696">
              <w:rPr>
                <w:lang w:val="sl-SI" w:eastAsia="en-GB"/>
              </w:rPr>
              <w:t>Prispevek za aktivnosti koordinatorske organizacije: 500 EUR na mesec</w:t>
            </w:r>
          </w:p>
        </w:tc>
        <w:tc>
          <w:tcPr>
            <w:tcW w:w="547" w:type="pct"/>
            <w:vMerge w:val="restart"/>
            <w:shd w:val="clear" w:color="auto" w:fill="auto"/>
            <w:vAlign w:val="center"/>
          </w:tcPr>
          <w:p w14:paraId="7D39A438" w14:textId="77777777" w:rsidR="00E03711" w:rsidRPr="00237696" w:rsidRDefault="00E03711" w:rsidP="00237696">
            <w:pPr>
              <w:pStyle w:val="GUIDE-NORMAL"/>
              <w:spacing w:before="60" w:after="60"/>
              <w:jc w:val="left"/>
              <w:rPr>
                <w:lang w:val="sl-SI" w:eastAsia="en-GB"/>
              </w:rPr>
            </w:pPr>
            <w:r w:rsidRPr="00237696">
              <w:rPr>
                <w:lang w:val="sl-SI" w:eastAsia="en-GB"/>
              </w:rPr>
              <w:t xml:space="preserve">Največ </w:t>
            </w:r>
            <w:r w:rsidRPr="00237696">
              <w:rPr>
                <w:lang w:val="sl-SI" w:eastAsia="en-GB"/>
              </w:rPr>
              <w:br/>
              <w:t>2 750 EUR na mesec.</w:t>
            </w:r>
          </w:p>
        </w:tc>
        <w:tc>
          <w:tcPr>
            <w:tcW w:w="1093" w:type="pct"/>
            <w:vMerge w:val="restart"/>
            <w:shd w:val="clear" w:color="auto" w:fill="auto"/>
            <w:vAlign w:val="center"/>
          </w:tcPr>
          <w:p w14:paraId="7D39A439" w14:textId="77777777" w:rsidR="00E03711" w:rsidRPr="00237696" w:rsidRDefault="00E03711" w:rsidP="00237696">
            <w:pPr>
              <w:pStyle w:val="GUIDE-NORMAL"/>
              <w:spacing w:before="60" w:after="60"/>
              <w:jc w:val="left"/>
              <w:rPr>
                <w:lang w:val="sl-SI" w:eastAsia="en-GB"/>
              </w:rPr>
            </w:pPr>
            <w:r w:rsidRPr="00237696">
              <w:rPr>
                <w:lang w:val="sl-SI" w:eastAsia="en-GB"/>
              </w:rPr>
              <w:t>Glede na trajanje partnerskega sodelovanja in število vključenih sodelujočih organizacij.</w:t>
            </w:r>
          </w:p>
        </w:tc>
      </w:tr>
      <w:tr w:rsidR="00E03711" w:rsidRPr="002C560E" w14:paraId="7D39A441" w14:textId="77777777" w:rsidTr="00073E87">
        <w:trPr>
          <w:trHeight w:val="20"/>
        </w:trPr>
        <w:tc>
          <w:tcPr>
            <w:tcW w:w="758" w:type="pct"/>
            <w:vMerge/>
            <w:shd w:val="clear" w:color="auto" w:fill="auto"/>
            <w:vAlign w:val="center"/>
          </w:tcPr>
          <w:p w14:paraId="7D39A43B" w14:textId="77777777" w:rsidR="00E03711" w:rsidRPr="00237696" w:rsidRDefault="00E03711" w:rsidP="00237696">
            <w:pPr>
              <w:pStyle w:val="GUIDE-NORMAL"/>
              <w:spacing w:before="60" w:after="60"/>
              <w:jc w:val="left"/>
              <w:rPr>
                <w:b/>
                <w:lang w:val="sl-SI" w:eastAsia="en-GB"/>
              </w:rPr>
            </w:pPr>
          </w:p>
        </w:tc>
        <w:tc>
          <w:tcPr>
            <w:tcW w:w="1194" w:type="pct"/>
            <w:vMerge/>
            <w:shd w:val="clear" w:color="auto" w:fill="auto"/>
            <w:vAlign w:val="center"/>
          </w:tcPr>
          <w:p w14:paraId="7D39A43C" w14:textId="77777777" w:rsidR="00E03711" w:rsidRPr="00237696" w:rsidRDefault="00E03711" w:rsidP="00237696">
            <w:pPr>
              <w:pStyle w:val="GUIDE-NORMAL"/>
              <w:spacing w:before="60" w:after="60"/>
              <w:jc w:val="left"/>
              <w:rPr>
                <w:lang w:val="sl-SI" w:eastAsia="en-GB"/>
              </w:rPr>
            </w:pPr>
          </w:p>
        </w:tc>
        <w:tc>
          <w:tcPr>
            <w:tcW w:w="704" w:type="pct"/>
            <w:shd w:val="clear" w:color="auto" w:fill="auto"/>
            <w:vAlign w:val="center"/>
          </w:tcPr>
          <w:p w14:paraId="7D39A43D" w14:textId="77777777" w:rsidR="00E03711" w:rsidRPr="00237696" w:rsidRDefault="00E03711" w:rsidP="00237696">
            <w:pPr>
              <w:pStyle w:val="GUIDE-NORMAL"/>
              <w:spacing w:before="60" w:after="60"/>
              <w:jc w:val="left"/>
              <w:rPr>
                <w:lang w:val="sl-SI" w:eastAsia="en-GB"/>
              </w:rPr>
            </w:pPr>
            <w:r w:rsidRPr="00237696">
              <w:rPr>
                <w:lang w:val="sl-SI" w:eastAsia="en-GB"/>
              </w:rPr>
              <w:t xml:space="preserve">Prispevek </w:t>
            </w:r>
            <w:r w:rsidRPr="00237696">
              <w:rPr>
                <w:lang w:val="sl-SI" w:eastAsia="en-GB"/>
              </w:rPr>
              <w:br/>
              <w:t xml:space="preserve">za stroške </w:t>
            </w:r>
            <w:r w:rsidRPr="00237696">
              <w:rPr>
                <w:lang w:val="sl-SI" w:eastAsia="en-GB"/>
              </w:rPr>
              <w:br/>
              <w:t>na enoto</w:t>
            </w:r>
          </w:p>
        </w:tc>
        <w:tc>
          <w:tcPr>
            <w:tcW w:w="704" w:type="pct"/>
            <w:shd w:val="clear" w:color="auto" w:fill="auto"/>
            <w:vAlign w:val="center"/>
          </w:tcPr>
          <w:p w14:paraId="7D39A43E" w14:textId="77777777" w:rsidR="00E03711" w:rsidRPr="00237696" w:rsidRDefault="00E03711" w:rsidP="00237696">
            <w:pPr>
              <w:pStyle w:val="GUIDE-NORMAL"/>
              <w:spacing w:before="60" w:after="60"/>
              <w:jc w:val="left"/>
              <w:rPr>
                <w:lang w:val="sl-SI" w:eastAsia="en-GB"/>
              </w:rPr>
            </w:pPr>
            <w:r w:rsidRPr="00237696">
              <w:rPr>
                <w:lang w:val="sl-SI" w:eastAsia="en-GB"/>
              </w:rPr>
              <w:t>Prispevek za aktivnosti drugih sodelujočih organizacij: 250 EUR na organizacijo na mesec.</w:t>
            </w:r>
          </w:p>
        </w:tc>
        <w:tc>
          <w:tcPr>
            <w:tcW w:w="547" w:type="pct"/>
            <w:vMerge/>
            <w:shd w:val="clear" w:color="auto" w:fill="auto"/>
            <w:vAlign w:val="center"/>
          </w:tcPr>
          <w:p w14:paraId="7D39A43F" w14:textId="77777777" w:rsidR="00E03711" w:rsidRPr="00237696" w:rsidRDefault="00E03711" w:rsidP="00237696">
            <w:pPr>
              <w:pStyle w:val="GUIDE-NORMAL"/>
              <w:spacing w:before="60" w:after="60"/>
              <w:jc w:val="left"/>
              <w:rPr>
                <w:lang w:val="sl-SI" w:eastAsia="en-GB"/>
              </w:rPr>
            </w:pPr>
          </w:p>
        </w:tc>
        <w:tc>
          <w:tcPr>
            <w:tcW w:w="1093" w:type="pct"/>
            <w:vMerge/>
            <w:shd w:val="clear" w:color="auto" w:fill="auto"/>
            <w:vAlign w:val="center"/>
          </w:tcPr>
          <w:p w14:paraId="7D39A440" w14:textId="77777777" w:rsidR="00E03711" w:rsidRPr="00237696" w:rsidRDefault="00E03711" w:rsidP="00237696">
            <w:pPr>
              <w:pStyle w:val="GUIDE-NORMAL"/>
              <w:spacing w:before="60" w:after="60"/>
              <w:jc w:val="left"/>
              <w:rPr>
                <w:lang w:val="sl-SI" w:eastAsia="en-GB"/>
              </w:rPr>
            </w:pPr>
          </w:p>
        </w:tc>
      </w:tr>
      <w:tr w:rsidR="00E03711" w:rsidRPr="002C560E" w14:paraId="7D39A447" w14:textId="77777777" w:rsidTr="00073E87">
        <w:trPr>
          <w:trHeight w:val="20"/>
        </w:trPr>
        <w:tc>
          <w:tcPr>
            <w:tcW w:w="758" w:type="pct"/>
            <w:vMerge w:val="restart"/>
            <w:shd w:val="clear" w:color="auto" w:fill="auto"/>
            <w:vAlign w:val="center"/>
          </w:tcPr>
          <w:p w14:paraId="7D39A442" w14:textId="77777777" w:rsidR="00E03711" w:rsidRPr="00237696" w:rsidRDefault="00E03711" w:rsidP="00237696">
            <w:pPr>
              <w:pStyle w:val="GUIDE-NORMAL"/>
              <w:spacing w:before="60" w:after="60"/>
              <w:jc w:val="left"/>
              <w:rPr>
                <w:b/>
                <w:lang w:val="sl-SI" w:eastAsia="en-GB"/>
              </w:rPr>
            </w:pPr>
            <w:r w:rsidRPr="00237696">
              <w:rPr>
                <w:b/>
                <w:lang w:val="sl-SI" w:eastAsia="en-GB"/>
              </w:rPr>
              <w:t>Mednarodna projektna srečanja</w:t>
            </w:r>
          </w:p>
        </w:tc>
        <w:tc>
          <w:tcPr>
            <w:tcW w:w="1194" w:type="pct"/>
            <w:vMerge w:val="restart"/>
            <w:shd w:val="clear" w:color="auto" w:fill="auto"/>
            <w:vAlign w:val="center"/>
          </w:tcPr>
          <w:p w14:paraId="7D39A443" w14:textId="77777777" w:rsidR="00E03711" w:rsidRPr="00237696" w:rsidRDefault="00E03711" w:rsidP="00237696">
            <w:pPr>
              <w:pStyle w:val="GUIDE-NORMAL"/>
              <w:spacing w:before="60" w:after="60"/>
              <w:jc w:val="left"/>
              <w:rPr>
                <w:lang w:val="sl-SI" w:eastAsia="en-GB"/>
              </w:rPr>
            </w:pPr>
            <w:r w:rsidRPr="00237696">
              <w:rPr>
                <w:lang w:val="sl-SI" w:eastAsia="en-GB"/>
              </w:rPr>
              <w:t>Udeležba na srečanjih med partnerji projekta, ki jih gosti ena od sodelujočih organizacij, za namene izvajanja in koordinacije; Prispevek za potne stroške in stroške bivanja.</w:t>
            </w:r>
          </w:p>
        </w:tc>
        <w:tc>
          <w:tcPr>
            <w:tcW w:w="704" w:type="pct"/>
            <w:vMerge w:val="restart"/>
            <w:shd w:val="clear" w:color="auto" w:fill="auto"/>
            <w:vAlign w:val="center"/>
          </w:tcPr>
          <w:p w14:paraId="7D39A444" w14:textId="77777777" w:rsidR="00E03711" w:rsidRPr="00237696" w:rsidRDefault="00E03711" w:rsidP="00237696">
            <w:pPr>
              <w:pStyle w:val="GUIDE-NORMAL"/>
              <w:spacing w:before="60" w:after="60"/>
              <w:jc w:val="left"/>
              <w:rPr>
                <w:lang w:val="sl-SI" w:eastAsia="en-GB"/>
              </w:rPr>
            </w:pPr>
            <w:r w:rsidRPr="00237696">
              <w:rPr>
                <w:lang w:val="sl-SI" w:eastAsia="en-GB"/>
              </w:rPr>
              <w:t xml:space="preserve">Prispevek </w:t>
            </w:r>
            <w:r w:rsidRPr="00237696">
              <w:rPr>
                <w:lang w:val="sl-SI" w:eastAsia="en-GB"/>
              </w:rPr>
              <w:br/>
              <w:t xml:space="preserve">za stroške </w:t>
            </w:r>
            <w:r w:rsidRPr="00237696">
              <w:rPr>
                <w:lang w:val="sl-SI" w:eastAsia="en-GB"/>
              </w:rPr>
              <w:br/>
              <w:t>na enoto</w:t>
            </w:r>
          </w:p>
        </w:tc>
        <w:tc>
          <w:tcPr>
            <w:tcW w:w="1251" w:type="pct"/>
            <w:gridSpan w:val="2"/>
            <w:shd w:val="clear" w:color="auto" w:fill="auto"/>
            <w:vAlign w:val="center"/>
          </w:tcPr>
          <w:p w14:paraId="7D39A445" w14:textId="77777777" w:rsidR="00E03711" w:rsidRPr="00237696" w:rsidRDefault="00E03711" w:rsidP="00237696">
            <w:pPr>
              <w:pStyle w:val="GUIDE-NORMAL"/>
              <w:spacing w:before="60" w:after="60"/>
              <w:jc w:val="left"/>
              <w:rPr>
                <w:lang w:val="sl-SI" w:eastAsia="en-GB"/>
              </w:rPr>
            </w:pPr>
            <w:r w:rsidRPr="00237696">
              <w:rPr>
                <w:lang w:val="sl-SI" w:eastAsia="en-GB"/>
              </w:rPr>
              <w:t>Za razdalje od 100 do 1 999 km: 575 EUR na udeleženca na srečanje.</w:t>
            </w:r>
          </w:p>
        </w:tc>
        <w:tc>
          <w:tcPr>
            <w:tcW w:w="1093" w:type="pct"/>
            <w:vMerge w:val="restart"/>
            <w:shd w:val="clear" w:color="auto" w:fill="auto"/>
            <w:vAlign w:val="center"/>
          </w:tcPr>
          <w:p w14:paraId="7D39A446" w14:textId="77777777" w:rsidR="00E03711" w:rsidRPr="00237696" w:rsidRDefault="00E03711" w:rsidP="00237696">
            <w:pPr>
              <w:pStyle w:val="GUIDE-NORMAL"/>
              <w:spacing w:before="60" w:after="60"/>
              <w:jc w:val="left"/>
              <w:rPr>
                <w:lang w:val="sl-SI" w:eastAsia="en-GB"/>
              </w:rPr>
            </w:pPr>
            <w:r w:rsidRPr="00237696">
              <w:rPr>
                <w:lang w:val="sl-SI" w:eastAsia="en-GB"/>
              </w:rPr>
              <w:t xml:space="preserve">Pogoj: prijavitelji morajo utemeljiti potrebo po srečanjih glede na število srečanj in vključene udeležence. Razdaljo </w:t>
            </w:r>
            <w:r w:rsidRPr="00237696">
              <w:rPr>
                <w:lang w:val="sl-SI" w:eastAsia="en-GB"/>
              </w:rPr>
              <w:br/>
              <w:t>je treba izračunati s kalkulatorjem razdalje, ki ga podpira Evropska komisija.</w:t>
            </w:r>
          </w:p>
        </w:tc>
      </w:tr>
      <w:tr w:rsidR="00E03711" w:rsidRPr="002C560E" w14:paraId="7D39A44D" w14:textId="77777777" w:rsidTr="00073E87">
        <w:trPr>
          <w:trHeight w:val="20"/>
        </w:trPr>
        <w:tc>
          <w:tcPr>
            <w:tcW w:w="758" w:type="pct"/>
            <w:vMerge/>
            <w:shd w:val="clear" w:color="auto" w:fill="auto"/>
            <w:vAlign w:val="center"/>
          </w:tcPr>
          <w:p w14:paraId="7D39A448" w14:textId="77777777" w:rsidR="00E03711" w:rsidRPr="00237696" w:rsidRDefault="00E03711" w:rsidP="00237696">
            <w:pPr>
              <w:pStyle w:val="GUIDE-NORMAL"/>
              <w:spacing w:before="60" w:after="60"/>
              <w:jc w:val="left"/>
              <w:rPr>
                <w:lang w:val="sl-SI" w:eastAsia="en-GB"/>
              </w:rPr>
            </w:pPr>
          </w:p>
        </w:tc>
        <w:tc>
          <w:tcPr>
            <w:tcW w:w="1194" w:type="pct"/>
            <w:vMerge/>
            <w:shd w:val="clear" w:color="auto" w:fill="auto"/>
            <w:vAlign w:val="center"/>
          </w:tcPr>
          <w:p w14:paraId="7D39A449" w14:textId="77777777" w:rsidR="00E03711" w:rsidRPr="00237696" w:rsidRDefault="00E03711" w:rsidP="00237696">
            <w:pPr>
              <w:pStyle w:val="GUIDE-NORMAL"/>
              <w:spacing w:before="60" w:after="60"/>
              <w:jc w:val="left"/>
              <w:rPr>
                <w:lang w:val="sl-SI" w:eastAsia="en-GB"/>
              </w:rPr>
            </w:pPr>
          </w:p>
        </w:tc>
        <w:tc>
          <w:tcPr>
            <w:tcW w:w="704" w:type="pct"/>
            <w:vMerge/>
            <w:shd w:val="clear" w:color="auto" w:fill="auto"/>
            <w:vAlign w:val="center"/>
          </w:tcPr>
          <w:p w14:paraId="7D39A44A" w14:textId="77777777" w:rsidR="00E03711" w:rsidRPr="00237696" w:rsidRDefault="00E03711" w:rsidP="00237696">
            <w:pPr>
              <w:pStyle w:val="GUIDE-NORMAL"/>
              <w:spacing w:before="60" w:after="60"/>
              <w:jc w:val="left"/>
              <w:rPr>
                <w:lang w:val="sl-SI" w:eastAsia="en-GB"/>
              </w:rPr>
            </w:pPr>
          </w:p>
        </w:tc>
        <w:tc>
          <w:tcPr>
            <w:tcW w:w="1251" w:type="pct"/>
            <w:gridSpan w:val="2"/>
            <w:shd w:val="clear" w:color="auto" w:fill="auto"/>
            <w:vAlign w:val="center"/>
          </w:tcPr>
          <w:p w14:paraId="7D39A44B" w14:textId="77777777" w:rsidR="00E03711" w:rsidRPr="00237696" w:rsidRDefault="00E03711" w:rsidP="00237696">
            <w:pPr>
              <w:pStyle w:val="GUIDE-NORMAL"/>
              <w:spacing w:before="60" w:after="60"/>
              <w:jc w:val="left"/>
              <w:rPr>
                <w:lang w:val="sl-SI" w:eastAsia="en-GB"/>
              </w:rPr>
            </w:pPr>
            <w:r w:rsidRPr="00237696">
              <w:rPr>
                <w:lang w:val="sl-SI" w:eastAsia="en-GB"/>
              </w:rPr>
              <w:t>Za razdalje 2 000 km ali več: 760 EUR na udeleženca na srečanje.</w:t>
            </w:r>
          </w:p>
        </w:tc>
        <w:tc>
          <w:tcPr>
            <w:tcW w:w="1093" w:type="pct"/>
            <w:vMerge/>
            <w:shd w:val="clear" w:color="auto" w:fill="auto"/>
            <w:vAlign w:val="center"/>
          </w:tcPr>
          <w:p w14:paraId="7D39A44C" w14:textId="77777777" w:rsidR="00E03711" w:rsidRPr="00237696" w:rsidRDefault="00E03711" w:rsidP="00237696">
            <w:pPr>
              <w:pStyle w:val="GUIDE-NORMAL"/>
              <w:spacing w:before="60" w:after="60"/>
              <w:jc w:val="left"/>
              <w:rPr>
                <w:lang w:val="sl-SI" w:eastAsia="en-GB"/>
              </w:rPr>
            </w:pPr>
          </w:p>
        </w:tc>
      </w:tr>
      <w:tr w:rsidR="00E03711" w:rsidRPr="002C560E" w14:paraId="7D39A455" w14:textId="77777777" w:rsidTr="00073E87">
        <w:trPr>
          <w:trHeight w:val="20"/>
        </w:trPr>
        <w:tc>
          <w:tcPr>
            <w:tcW w:w="758" w:type="pct"/>
            <w:shd w:val="clear" w:color="auto" w:fill="auto"/>
            <w:vAlign w:val="center"/>
          </w:tcPr>
          <w:p w14:paraId="7D39A44E" w14:textId="77777777" w:rsidR="00E03711" w:rsidRPr="00237696" w:rsidRDefault="00E03711" w:rsidP="00237696">
            <w:pPr>
              <w:pStyle w:val="GUIDE-NORMAL"/>
              <w:spacing w:before="60" w:after="60"/>
              <w:jc w:val="left"/>
              <w:rPr>
                <w:b/>
                <w:lang w:val="sl-SI" w:eastAsia="en-GB"/>
              </w:rPr>
            </w:pPr>
            <w:r w:rsidRPr="00237696">
              <w:rPr>
                <w:b/>
                <w:lang w:val="sl-SI" w:eastAsia="en-GB"/>
              </w:rPr>
              <w:t>Izredni stroški</w:t>
            </w:r>
          </w:p>
        </w:tc>
        <w:tc>
          <w:tcPr>
            <w:tcW w:w="1194" w:type="pct"/>
            <w:shd w:val="clear" w:color="auto" w:fill="auto"/>
            <w:vAlign w:val="center"/>
          </w:tcPr>
          <w:p w14:paraId="7D39A44F" w14:textId="77777777" w:rsidR="00E03711" w:rsidRPr="00237696" w:rsidRDefault="00E03711" w:rsidP="00237696">
            <w:pPr>
              <w:pStyle w:val="GUIDE-NORMAL"/>
              <w:spacing w:before="60" w:after="60"/>
              <w:jc w:val="left"/>
              <w:rPr>
                <w:lang w:val="sl-SI" w:eastAsia="en-GB"/>
              </w:rPr>
            </w:pPr>
            <w:r w:rsidRPr="00237696">
              <w:rPr>
                <w:lang w:val="sl-SI" w:eastAsia="en-GB"/>
              </w:rPr>
              <w:t>Prispevek za dejanske stroške, povezane z oddajo naročil podizvajalcem ali nakupom blaga in storitev.</w:t>
            </w:r>
          </w:p>
          <w:p w14:paraId="7D39A450" w14:textId="77777777" w:rsidR="00E03711" w:rsidRPr="00237696" w:rsidRDefault="00E03711" w:rsidP="00237696">
            <w:pPr>
              <w:pStyle w:val="GUIDE-NORMAL"/>
              <w:spacing w:before="60" w:after="60"/>
              <w:jc w:val="left"/>
              <w:rPr>
                <w:lang w:val="sl-SI" w:eastAsia="en-GB"/>
              </w:rPr>
            </w:pPr>
            <w:r w:rsidRPr="00237696">
              <w:rPr>
                <w:lang w:val="sl-SI" w:eastAsia="en-GB"/>
              </w:rPr>
              <w:t>Stroški zagotavljanja finančnega jamstva, če ga zahteva Izvajalska agencija.</w:t>
            </w:r>
          </w:p>
        </w:tc>
        <w:tc>
          <w:tcPr>
            <w:tcW w:w="704" w:type="pct"/>
            <w:shd w:val="clear" w:color="auto" w:fill="auto"/>
            <w:vAlign w:val="center"/>
          </w:tcPr>
          <w:p w14:paraId="7D39A451" w14:textId="77777777" w:rsidR="00E03711" w:rsidRPr="00237696" w:rsidRDefault="00E03711" w:rsidP="00237696">
            <w:pPr>
              <w:pStyle w:val="GUIDE-NORMAL"/>
              <w:spacing w:before="60" w:after="60"/>
              <w:jc w:val="left"/>
              <w:rPr>
                <w:lang w:val="sl-SI" w:eastAsia="en-GB"/>
              </w:rPr>
            </w:pPr>
            <w:r w:rsidRPr="00237696">
              <w:rPr>
                <w:lang w:val="sl-SI" w:eastAsia="en-GB"/>
              </w:rPr>
              <w:t>Dejanski stroški</w:t>
            </w:r>
          </w:p>
        </w:tc>
        <w:tc>
          <w:tcPr>
            <w:tcW w:w="1251" w:type="pct"/>
            <w:gridSpan w:val="2"/>
            <w:shd w:val="clear" w:color="auto" w:fill="auto"/>
            <w:vAlign w:val="center"/>
          </w:tcPr>
          <w:p w14:paraId="7D39A452" w14:textId="77777777" w:rsidR="00E03711" w:rsidRPr="00237696" w:rsidRDefault="00E03711" w:rsidP="00237696">
            <w:pPr>
              <w:pStyle w:val="GUIDE-NORMAL"/>
              <w:spacing w:before="60" w:after="60"/>
              <w:jc w:val="left"/>
              <w:rPr>
                <w:lang w:val="sl-SI" w:eastAsia="en-GB"/>
              </w:rPr>
            </w:pPr>
            <w:r w:rsidRPr="00237696">
              <w:rPr>
                <w:lang w:val="sl-SI" w:eastAsia="en-GB"/>
              </w:rPr>
              <w:t>80 % upravičenih stroškov.</w:t>
            </w:r>
          </w:p>
          <w:p w14:paraId="7D39A453" w14:textId="77777777" w:rsidR="00E03711" w:rsidRPr="00237696" w:rsidRDefault="00E03711" w:rsidP="00237696">
            <w:pPr>
              <w:pStyle w:val="GUIDE-NORMAL"/>
              <w:spacing w:before="60" w:after="60"/>
              <w:jc w:val="left"/>
              <w:rPr>
                <w:lang w:val="sl-SI" w:eastAsia="en-GB"/>
              </w:rPr>
            </w:pPr>
            <w:r w:rsidRPr="00237696">
              <w:rPr>
                <w:lang w:val="sl-SI" w:eastAsia="en-GB"/>
              </w:rPr>
              <w:t>Največ 50 000 EUR na projekt (brez stroškov za zagotavljanje finančnega jamstva).</w:t>
            </w:r>
          </w:p>
        </w:tc>
        <w:tc>
          <w:tcPr>
            <w:tcW w:w="1093" w:type="pct"/>
            <w:shd w:val="clear" w:color="auto" w:fill="auto"/>
            <w:vAlign w:val="center"/>
          </w:tcPr>
          <w:p w14:paraId="7D39A454" w14:textId="77777777" w:rsidR="00E03711" w:rsidRPr="00237696" w:rsidRDefault="00E03711" w:rsidP="00237696">
            <w:pPr>
              <w:pStyle w:val="GUIDE-NORMAL"/>
              <w:spacing w:before="60" w:after="60"/>
              <w:jc w:val="left"/>
              <w:rPr>
                <w:lang w:val="sl-SI" w:eastAsia="en-GB"/>
              </w:rPr>
            </w:pPr>
            <w:r w:rsidRPr="00237696">
              <w:rPr>
                <w:lang w:val="sl-SI" w:eastAsia="en-GB"/>
              </w:rPr>
              <w:t>Pogoj: oddaja naročil podizvajalcem mora biti povezana s storitvami, ki jih sodelujoče organizacije iz utemeljenih razlogov ne morejo neposredno zagotoviti. V zvezi z opremo se ne more upoštevati standardna pisarniška oprema ali oprema, ki jo običajno uporabljajo sodelujoče organizacije.</w:t>
            </w:r>
          </w:p>
        </w:tc>
      </w:tr>
    </w:tbl>
    <w:p w14:paraId="7D39A456" w14:textId="77777777" w:rsidR="00E03711" w:rsidRPr="001048FE" w:rsidRDefault="00E03711" w:rsidP="007A4ACE">
      <w:pPr>
        <w:pStyle w:val="Guide-Table"/>
        <w:rPr>
          <w:lang w:val="sl-SI"/>
        </w:rPr>
      </w:pPr>
    </w:p>
    <w:p w14:paraId="7D39A457" w14:textId="77777777" w:rsidR="00E03711" w:rsidRDefault="00E03711">
      <w:pPr>
        <w:widowControl/>
        <w:suppressAutoHyphens w:val="0"/>
        <w:autoSpaceDN/>
        <w:textAlignment w:val="auto"/>
        <w:rPr>
          <w:lang w:val="sl-SI"/>
        </w:rPr>
      </w:pPr>
      <w:r>
        <w:rPr>
          <w:lang w:val="sl-SI"/>
        </w:rPr>
        <w:br w:type="page"/>
      </w:r>
    </w:p>
    <w:tbl>
      <w:tblPr>
        <w:tblW w:w="5000" w:type="pct"/>
        <w:tblLayout w:type="fixed"/>
        <w:tblLook w:val="0000" w:firstRow="0" w:lastRow="0" w:firstColumn="0" w:lastColumn="0" w:noHBand="0" w:noVBand="0"/>
      </w:tblPr>
      <w:tblGrid>
        <w:gridCol w:w="2074"/>
        <w:gridCol w:w="3469"/>
        <w:gridCol w:w="1620"/>
        <w:gridCol w:w="2080"/>
        <w:gridCol w:w="1620"/>
        <w:gridCol w:w="3925"/>
      </w:tblGrid>
      <w:tr w:rsidR="00E03711" w:rsidRPr="002C560E" w14:paraId="7D39A459" w14:textId="77777777" w:rsidTr="00073E87">
        <w:trPr>
          <w:trHeight w:val="20"/>
        </w:trPr>
        <w:tc>
          <w:tcPr>
            <w:tcW w:w="14562" w:type="dxa"/>
            <w:gridSpan w:val="6"/>
            <w:tcBorders>
              <w:top w:val="single" w:sz="4" w:space="0" w:color="000000"/>
              <w:left w:val="single" w:sz="4" w:space="0" w:color="000000"/>
              <w:bottom w:val="single" w:sz="4" w:space="0" w:color="000000"/>
              <w:right w:val="single" w:sz="4" w:space="0" w:color="000000"/>
            </w:tcBorders>
            <w:vAlign w:val="center"/>
          </w:tcPr>
          <w:p w14:paraId="7D39A458" w14:textId="77777777" w:rsidR="00E03711" w:rsidRPr="00F769E0" w:rsidRDefault="00E03711" w:rsidP="00BB37EE">
            <w:pPr>
              <w:pStyle w:val="GUIDE-NORMAL"/>
              <w:spacing w:before="60" w:after="60"/>
              <w:jc w:val="center"/>
              <w:rPr>
                <w:rFonts w:cs="Tahoma"/>
                <w:b/>
                <w:lang w:val="sl-SI" w:eastAsia="en-GB"/>
              </w:rPr>
            </w:pPr>
            <w:r w:rsidRPr="00F769E0">
              <w:rPr>
                <w:rFonts w:cs="Tahoma"/>
                <w:b/>
                <w:lang w:val="sl-SI" w:eastAsia="en-GB"/>
              </w:rPr>
              <w:t>Dodatna sredstva za velika partnerska sodelovanja</w:t>
            </w:r>
          </w:p>
        </w:tc>
      </w:tr>
      <w:tr w:rsidR="00E03711" w:rsidRPr="002C560E" w14:paraId="7D39A461" w14:textId="77777777" w:rsidTr="00073E87">
        <w:trPr>
          <w:trHeight w:val="20"/>
        </w:trPr>
        <w:tc>
          <w:tcPr>
            <w:tcW w:w="2043" w:type="dxa"/>
            <w:vMerge w:val="restart"/>
            <w:tcBorders>
              <w:top w:val="single" w:sz="4" w:space="0" w:color="000000"/>
              <w:left w:val="single" w:sz="4" w:space="0" w:color="000000"/>
              <w:bottom w:val="single" w:sz="4" w:space="0" w:color="000000"/>
              <w:right w:val="single" w:sz="4" w:space="0" w:color="000000"/>
            </w:tcBorders>
            <w:vAlign w:val="center"/>
          </w:tcPr>
          <w:p w14:paraId="7D39A45A" w14:textId="77777777" w:rsidR="00E03711" w:rsidRPr="00F769E0" w:rsidRDefault="00E03711" w:rsidP="00BB37EE">
            <w:pPr>
              <w:pStyle w:val="GUIDE-NORMAL"/>
              <w:spacing w:before="60" w:after="60"/>
              <w:jc w:val="left"/>
              <w:rPr>
                <w:rFonts w:cs="Tahoma"/>
                <w:b/>
                <w:lang w:val="sl-SI" w:eastAsia="en-GB"/>
              </w:rPr>
            </w:pPr>
            <w:r w:rsidRPr="00F769E0">
              <w:rPr>
                <w:rFonts w:cs="Tahoma"/>
                <w:b/>
                <w:lang w:val="sl-SI" w:eastAsia="en-GB"/>
              </w:rPr>
              <w:t>Intelektualni rezultati</w:t>
            </w:r>
          </w:p>
        </w:tc>
        <w:tc>
          <w:tcPr>
            <w:tcW w:w="3416" w:type="dxa"/>
            <w:vMerge w:val="restart"/>
            <w:tcBorders>
              <w:top w:val="single" w:sz="4" w:space="0" w:color="000000"/>
              <w:left w:val="single" w:sz="4" w:space="0" w:color="000000"/>
              <w:bottom w:val="single" w:sz="4" w:space="0" w:color="000000"/>
              <w:right w:val="single" w:sz="4" w:space="0" w:color="000000"/>
            </w:tcBorders>
            <w:vAlign w:val="center"/>
          </w:tcPr>
          <w:p w14:paraId="7D39A45B" w14:textId="77777777" w:rsidR="00E03711" w:rsidRPr="00F769E0" w:rsidRDefault="00E03711" w:rsidP="00BB37EE">
            <w:pPr>
              <w:pStyle w:val="GUIDE-NORMAL"/>
              <w:spacing w:before="60" w:after="60"/>
              <w:jc w:val="left"/>
              <w:rPr>
                <w:rFonts w:cs="Tahoma"/>
                <w:lang w:val="sl-SI" w:eastAsia="en-GB"/>
              </w:rPr>
            </w:pPr>
            <w:r w:rsidRPr="00F769E0">
              <w:rPr>
                <w:rFonts w:cs="Tahoma"/>
                <w:lang w:val="sl-SI" w:eastAsia="en-GB"/>
              </w:rPr>
              <w:t>Intelektualni rezultati/konkretni izdelki projekta (na primer smernice, pedagoška gradiva, prosto dostopni učni viri (PDUV), IT orodja, analize, študije, metode vzajemnega učenja, ankete in poročila, izumi itd., na primer nove športne igre itd.)</w:t>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14:paraId="7D39A45C" w14:textId="77777777" w:rsidR="00E03711" w:rsidRPr="00F769E0" w:rsidRDefault="00E03711" w:rsidP="00BB37EE">
            <w:pPr>
              <w:pStyle w:val="GUIDE-NORMAL"/>
              <w:spacing w:before="60" w:after="60"/>
              <w:jc w:val="left"/>
              <w:rPr>
                <w:rFonts w:cs="Tahoma"/>
                <w:lang w:val="sl-SI" w:eastAsia="en-GB"/>
              </w:rPr>
            </w:pPr>
            <w:r w:rsidRPr="00F769E0">
              <w:rPr>
                <w:rFonts w:cs="Tahoma"/>
                <w:lang w:val="sl-SI" w:eastAsia="en-GB"/>
              </w:rPr>
              <w:t>Prispevek za stroške na enoto</w:t>
            </w:r>
          </w:p>
        </w:tc>
        <w:tc>
          <w:tcPr>
            <w:tcW w:w="3643" w:type="dxa"/>
            <w:gridSpan w:val="2"/>
            <w:tcBorders>
              <w:top w:val="single" w:sz="4" w:space="0" w:color="000000"/>
              <w:left w:val="single" w:sz="4" w:space="0" w:color="000000"/>
              <w:bottom w:val="single" w:sz="4" w:space="0" w:color="000000"/>
              <w:right w:val="single" w:sz="4" w:space="0" w:color="000000"/>
            </w:tcBorders>
            <w:vAlign w:val="center"/>
          </w:tcPr>
          <w:p w14:paraId="7D39A45D" w14:textId="77777777" w:rsidR="00E03711" w:rsidRPr="00F769E0" w:rsidRDefault="00E03711" w:rsidP="00BB37EE">
            <w:pPr>
              <w:pStyle w:val="GUIDE-NORMAL"/>
              <w:spacing w:before="60" w:after="60"/>
              <w:jc w:val="left"/>
              <w:rPr>
                <w:rFonts w:cs="Tahoma"/>
                <w:lang w:val="sl-SI" w:eastAsia="en-GB"/>
              </w:rPr>
            </w:pPr>
            <w:r w:rsidRPr="00E71C4A">
              <w:rPr>
                <w:rFonts w:cs="Tahoma"/>
                <w:bdr w:val="single" w:sz="4" w:space="0" w:color="auto"/>
                <w:lang w:val="sl-SI" w:eastAsia="en-GB"/>
              </w:rPr>
              <w:t>B5.1</w:t>
            </w:r>
            <w:r w:rsidRPr="00F769E0">
              <w:rPr>
                <w:rFonts w:cs="Tahoma"/>
                <w:lang w:val="sl-SI" w:eastAsia="en-GB"/>
              </w:rPr>
              <w:t xml:space="preserve"> na menedžerja na dan dela na projektu.</w:t>
            </w:r>
          </w:p>
        </w:tc>
        <w:tc>
          <w:tcPr>
            <w:tcW w:w="3865" w:type="dxa"/>
            <w:vMerge w:val="restart"/>
            <w:tcBorders>
              <w:top w:val="single" w:sz="4" w:space="0" w:color="000000"/>
              <w:left w:val="single" w:sz="4" w:space="0" w:color="000000"/>
              <w:bottom w:val="single" w:sz="4" w:space="0" w:color="000000"/>
              <w:right w:val="single" w:sz="4" w:space="0" w:color="000000"/>
            </w:tcBorders>
            <w:vAlign w:val="center"/>
          </w:tcPr>
          <w:p w14:paraId="7D39A45E" w14:textId="77777777" w:rsidR="00E03711" w:rsidRPr="00F769E0" w:rsidRDefault="00E03711" w:rsidP="00BB37EE">
            <w:pPr>
              <w:pStyle w:val="GUIDE-NORMAL"/>
              <w:spacing w:before="60" w:after="60"/>
              <w:jc w:val="left"/>
              <w:rPr>
                <w:rFonts w:cs="Tahoma"/>
                <w:lang w:val="sl-SI" w:eastAsia="en-GB"/>
              </w:rPr>
            </w:pPr>
            <w:r w:rsidRPr="00F769E0">
              <w:rPr>
                <w:rFonts w:cs="Tahoma"/>
                <w:lang w:val="sl-SI" w:eastAsia="en-GB"/>
              </w:rPr>
              <w:t>Pogoj: stroški osebja za menedžerje in administrativno osebje naj bi bili kriti že v okviru postavke</w:t>
            </w:r>
          </w:p>
          <w:p w14:paraId="7D39A45F" w14:textId="77777777" w:rsidR="00E03711" w:rsidRPr="00F769E0" w:rsidRDefault="00E03711" w:rsidP="00BB37EE">
            <w:pPr>
              <w:pStyle w:val="GUIDE-NORMAL"/>
              <w:spacing w:before="60" w:after="60"/>
              <w:jc w:val="left"/>
              <w:rPr>
                <w:rFonts w:cs="Tahoma"/>
                <w:lang w:val="sl-SI" w:eastAsia="en-GB"/>
              </w:rPr>
            </w:pPr>
            <w:r w:rsidRPr="00F769E0">
              <w:rPr>
                <w:rFonts w:cs="Tahoma"/>
                <w:lang w:val="sl-SI" w:eastAsia="en-GB"/>
              </w:rPr>
              <w:t>„Upravljanje in izvajanje projekta“. Za preprečevanje morebitnega prekrivanja s tako postavko bodo morali prijavitelji utemeljiti vrsto in znesek stroškov osebja, za katera bodo oddali vlogo v zvezi z vsakim posameznim predlaganim rezultatom.</w:t>
            </w:r>
          </w:p>
          <w:p w14:paraId="7D39A460" w14:textId="77777777" w:rsidR="00E03711" w:rsidRPr="00F769E0" w:rsidRDefault="00E03711" w:rsidP="00BB37EE">
            <w:pPr>
              <w:pStyle w:val="GUIDE-NORMAL"/>
              <w:spacing w:before="60" w:after="60"/>
              <w:jc w:val="left"/>
              <w:rPr>
                <w:rFonts w:cs="Tahoma"/>
                <w:lang w:val="sl-SI" w:eastAsia="en-GB"/>
              </w:rPr>
            </w:pPr>
            <w:r w:rsidRPr="00F769E0">
              <w:rPr>
                <w:rFonts w:cs="Tahoma"/>
                <w:lang w:val="sl-SI" w:eastAsia="en-GB"/>
              </w:rPr>
              <w:t>Za upravičenost do te vrste podpore z nepovratnimi sredstvi bi kakovost in količina priprav morali biti precejšnji. Rezultati bi morali dokazovati svoj potencial za širšo uporabo in izkoriščanje ter učinek.</w:t>
            </w:r>
          </w:p>
        </w:tc>
      </w:tr>
      <w:tr w:rsidR="00E03711" w:rsidRPr="002C560E" w14:paraId="7D39A467" w14:textId="77777777" w:rsidTr="00073E87">
        <w:trPr>
          <w:trHeight w:val="20"/>
        </w:trPr>
        <w:tc>
          <w:tcPr>
            <w:tcW w:w="2043" w:type="dxa"/>
            <w:vMerge/>
            <w:tcBorders>
              <w:top w:val="nil"/>
              <w:left w:val="single" w:sz="4" w:space="0" w:color="000000"/>
              <w:bottom w:val="single" w:sz="4" w:space="0" w:color="000000"/>
              <w:right w:val="single" w:sz="4" w:space="0" w:color="000000"/>
            </w:tcBorders>
            <w:vAlign w:val="center"/>
          </w:tcPr>
          <w:p w14:paraId="7D39A462" w14:textId="77777777" w:rsidR="00E03711" w:rsidRPr="00F769E0" w:rsidRDefault="00E03711" w:rsidP="00BB37EE">
            <w:pPr>
              <w:pStyle w:val="GUIDE-NORMAL"/>
              <w:jc w:val="left"/>
              <w:rPr>
                <w:rFonts w:cs="Tahoma"/>
                <w:b/>
                <w:lang w:val="sl-SI" w:eastAsia="en-GB"/>
              </w:rPr>
            </w:pPr>
          </w:p>
        </w:tc>
        <w:tc>
          <w:tcPr>
            <w:tcW w:w="3416" w:type="dxa"/>
            <w:vMerge/>
            <w:tcBorders>
              <w:top w:val="nil"/>
              <w:left w:val="single" w:sz="4" w:space="0" w:color="000000"/>
              <w:bottom w:val="single" w:sz="4" w:space="0" w:color="000000"/>
              <w:right w:val="single" w:sz="4" w:space="0" w:color="000000"/>
            </w:tcBorders>
            <w:vAlign w:val="center"/>
          </w:tcPr>
          <w:p w14:paraId="7D39A463" w14:textId="77777777" w:rsidR="00E03711" w:rsidRPr="00F769E0" w:rsidRDefault="00E03711" w:rsidP="00BB37EE">
            <w:pPr>
              <w:pStyle w:val="GUIDE-NORMAL"/>
              <w:jc w:val="left"/>
              <w:rPr>
                <w:rFonts w:cs="Tahoma"/>
                <w:lang w:val="sl-SI" w:eastAsia="en-GB"/>
              </w:rPr>
            </w:pPr>
          </w:p>
        </w:tc>
        <w:tc>
          <w:tcPr>
            <w:tcW w:w="1595" w:type="dxa"/>
            <w:vMerge/>
            <w:tcBorders>
              <w:top w:val="nil"/>
              <w:left w:val="single" w:sz="4" w:space="0" w:color="000000"/>
              <w:bottom w:val="single" w:sz="4" w:space="0" w:color="000000"/>
              <w:right w:val="single" w:sz="4" w:space="0" w:color="000000"/>
            </w:tcBorders>
            <w:vAlign w:val="center"/>
          </w:tcPr>
          <w:p w14:paraId="7D39A464" w14:textId="77777777" w:rsidR="00E03711" w:rsidRPr="00F769E0" w:rsidRDefault="00E03711" w:rsidP="00BB37EE">
            <w:pPr>
              <w:pStyle w:val="GUIDE-NORMAL"/>
              <w:jc w:val="left"/>
              <w:rPr>
                <w:rFonts w:cs="Tahoma"/>
                <w:lang w:val="sl-SI" w:eastAsia="en-GB"/>
              </w:rPr>
            </w:pPr>
          </w:p>
        </w:tc>
        <w:tc>
          <w:tcPr>
            <w:tcW w:w="3643" w:type="dxa"/>
            <w:gridSpan w:val="2"/>
            <w:tcBorders>
              <w:top w:val="single" w:sz="4" w:space="0" w:color="000000"/>
              <w:left w:val="single" w:sz="4" w:space="0" w:color="000000"/>
              <w:bottom w:val="single" w:sz="4" w:space="0" w:color="000000"/>
              <w:right w:val="single" w:sz="4" w:space="0" w:color="000000"/>
            </w:tcBorders>
            <w:vAlign w:val="center"/>
          </w:tcPr>
          <w:p w14:paraId="7D39A465" w14:textId="77777777" w:rsidR="00E03711" w:rsidRPr="00F769E0" w:rsidRDefault="00E03711" w:rsidP="00BB37EE">
            <w:pPr>
              <w:pStyle w:val="GUIDE-NORMAL"/>
              <w:spacing w:before="60" w:after="60"/>
              <w:jc w:val="left"/>
              <w:rPr>
                <w:rFonts w:cs="Tahoma"/>
                <w:lang w:val="sl-SI" w:eastAsia="en-GB"/>
              </w:rPr>
            </w:pPr>
            <w:r w:rsidRPr="00E71C4A">
              <w:rPr>
                <w:rFonts w:cs="Tahoma"/>
                <w:bdr w:val="single" w:sz="4" w:space="0" w:color="auto"/>
                <w:lang w:val="sl-SI" w:eastAsia="en-GB"/>
              </w:rPr>
              <w:t>B5.2</w:t>
            </w:r>
            <w:r w:rsidRPr="00F769E0">
              <w:rPr>
                <w:rFonts w:cs="Tahoma"/>
                <w:lang w:val="sl-SI" w:eastAsia="en-GB"/>
              </w:rPr>
              <w:t xml:space="preserve"> na raziskovalca/učitelja/</w:t>
            </w:r>
            <w:r w:rsidRPr="00F769E0">
              <w:rPr>
                <w:rFonts w:cs="Tahoma"/>
                <w:lang w:val="sl-SI" w:eastAsia="en-GB"/>
              </w:rPr>
              <w:br/>
              <w:t>trenerja/vodjo usposabljanja/mladinskega delavca na dan dela na projektu.</w:t>
            </w:r>
          </w:p>
        </w:tc>
        <w:tc>
          <w:tcPr>
            <w:tcW w:w="3865" w:type="dxa"/>
            <w:vMerge/>
            <w:tcBorders>
              <w:top w:val="nil"/>
              <w:left w:val="single" w:sz="4" w:space="0" w:color="000000"/>
              <w:bottom w:val="single" w:sz="4" w:space="0" w:color="000000"/>
              <w:right w:val="single" w:sz="4" w:space="0" w:color="000000"/>
            </w:tcBorders>
            <w:vAlign w:val="center"/>
          </w:tcPr>
          <w:p w14:paraId="7D39A466" w14:textId="77777777" w:rsidR="00E03711" w:rsidRPr="00F769E0" w:rsidRDefault="00E03711" w:rsidP="00BB37EE">
            <w:pPr>
              <w:pStyle w:val="GUIDE-NORMAL"/>
              <w:jc w:val="left"/>
              <w:rPr>
                <w:rFonts w:cs="Tahoma"/>
                <w:lang w:val="sl-SI" w:eastAsia="en-GB"/>
              </w:rPr>
            </w:pPr>
          </w:p>
        </w:tc>
      </w:tr>
      <w:tr w:rsidR="00E03711" w:rsidRPr="002C560E" w14:paraId="7D39A46D" w14:textId="77777777" w:rsidTr="00073E87">
        <w:trPr>
          <w:trHeight w:val="20"/>
        </w:trPr>
        <w:tc>
          <w:tcPr>
            <w:tcW w:w="2043" w:type="dxa"/>
            <w:vMerge/>
            <w:tcBorders>
              <w:top w:val="nil"/>
              <w:left w:val="single" w:sz="4" w:space="0" w:color="000000"/>
              <w:bottom w:val="single" w:sz="4" w:space="0" w:color="000000"/>
              <w:right w:val="single" w:sz="4" w:space="0" w:color="000000"/>
            </w:tcBorders>
            <w:vAlign w:val="center"/>
          </w:tcPr>
          <w:p w14:paraId="7D39A468" w14:textId="77777777" w:rsidR="00E03711" w:rsidRPr="00F769E0" w:rsidRDefault="00E03711" w:rsidP="00BB37EE">
            <w:pPr>
              <w:pStyle w:val="GUIDE-NORMAL"/>
              <w:jc w:val="left"/>
              <w:rPr>
                <w:rFonts w:cs="Tahoma"/>
                <w:b/>
                <w:lang w:val="sl-SI" w:eastAsia="en-GB"/>
              </w:rPr>
            </w:pPr>
          </w:p>
        </w:tc>
        <w:tc>
          <w:tcPr>
            <w:tcW w:w="3416" w:type="dxa"/>
            <w:vMerge/>
            <w:tcBorders>
              <w:top w:val="nil"/>
              <w:left w:val="single" w:sz="4" w:space="0" w:color="000000"/>
              <w:bottom w:val="single" w:sz="4" w:space="0" w:color="000000"/>
              <w:right w:val="single" w:sz="4" w:space="0" w:color="000000"/>
            </w:tcBorders>
            <w:vAlign w:val="center"/>
          </w:tcPr>
          <w:p w14:paraId="7D39A469" w14:textId="77777777" w:rsidR="00E03711" w:rsidRPr="00F769E0" w:rsidRDefault="00E03711" w:rsidP="00BB37EE">
            <w:pPr>
              <w:pStyle w:val="GUIDE-NORMAL"/>
              <w:jc w:val="left"/>
              <w:rPr>
                <w:rFonts w:cs="Tahoma"/>
                <w:lang w:val="sl-SI" w:eastAsia="en-GB"/>
              </w:rPr>
            </w:pPr>
          </w:p>
        </w:tc>
        <w:tc>
          <w:tcPr>
            <w:tcW w:w="1595" w:type="dxa"/>
            <w:vMerge/>
            <w:tcBorders>
              <w:top w:val="nil"/>
              <w:left w:val="single" w:sz="4" w:space="0" w:color="000000"/>
              <w:bottom w:val="single" w:sz="4" w:space="0" w:color="000000"/>
              <w:right w:val="single" w:sz="4" w:space="0" w:color="000000"/>
            </w:tcBorders>
            <w:vAlign w:val="center"/>
          </w:tcPr>
          <w:p w14:paraId="7D39A46A" w14:textId="77777777" w:rsidR="00E03711" w:rsidRPr="00F769E0" w:rsidRDefault="00E03711" w:rsidP="00BB37EE">
            <w:pPr>
              <w:pStyle w:val="GUIDE-NORMAL"/>
              <w:jc w:val="left"/>
              <w:rPr>
                <w:rFonts w:cs="Tahoma"/>
                <w:lang w:val="sl-SI" w:eastAsia="en-GB"/>
              </w:rPr>
            </w:pPr>
          </w:p>
        </w:tc>
        <w:tc>
          <w:tcPr>
            <w:tcW w:w="3643" w:type="dxa"/>
            <w:gridSpan w:val="2"/>
            <w:tcBorders>
              <w:top w:val="single" w:sz="4" w:space="0" w:color="000000"/>
              <w:left w:val="single" w:sz="4" w:space="0" w:color="000000"/>
              <w:bottom w:val="single" w:sz="4" w:space="0" w:color="000000"/>
              <w:right w:val="single" w:sz="4" w:space="0" w:color="000000"/>
            </w:tcBorders>
            <w:vAlign w:val="center"/>
          </w:tcPr>
          <w:p w14:paraId="7D39A46B" w14:textId="77777777" w:rsidR="00E03711" w:rsidRPr="00F769E0" w:rsidRDefault="00E03711" w:rsidP="00BB37EE">
            <w:pPr>
              <w:pStyle w:val="GUIDE-NORMAL"/>
              <w:spacing w:before="60" w:after="60"/>
              <w:jc w:val="left"/>
              <w:rPr>
                <w:rFonts w:cs="Tahoma"/>
                <w:lang w:val="sl-SI" w:eastAsia="en-GB"/>
              </w:rPr>
            </w:pPr>
            <w:r w:rsidRPr="00F769E0">
              <w:rPr>
                <w:rFonts w:cs="Tahoma"/>
                <w:lang w:val="sl-SI" w:eastAsia="en-GB"/>
              </w:rPr>
              <w:t>B5.3 na tehnično osebje na dan dela na projektu.</w:t>
            </w:r>
          </w:p>
        </w:tc>
        <w:tc>
          <w:tcPr>
            <w:tcW w:w="3865" w:type="dxa"/>
            <w:vMerge/>
            <w:tcBorders>
              <w:top w:val="nil"/>
              <w:left w:val="single" w:sz="4" w:space="0" w:color="000000"/>
              <w:bottom w:val="single" w:sz="4" w:space="0" w:color="000000"/>
              <w:right w:val="single" w:sz="4" w:space="0" w:color="000000"/>
            </w:tcBorders>
            <w:vAlign w:val="center"/>
          </w:tcPr>
          <w:p w14:paraId="7D39A46C" w14:textId="77777777" w:rsidR="00E03711" w:rsidRPr="00F769E0" w:rsidRDefault="00E03711" w:rsidP="00BB37EE">
            <w:pPr>
              <w:pStyle w:val="GUIDE-NORMAL"/>
              <w:jc w:val="left"/>
              <w:rPr>
                <w:rFonts w:cs="Tahoma"/>
                <w:lang w:val="sl-SI" w:eastAsia="en-GB"/>
              </w:rPr>
            </w:pPr>
          </w:p>
        </w:tc>
      </w:tr>
      <w:tr w:rsidR="00E03711" w:rsidRPr="002C560E" w14:paraId="7D39A473" w14:textId="77777777" w:rsidTr="00073E87">
        <w:trPr>
          <w:trHeight w:val="20"/>
        </w:trPr>
        <w:tc>
          <w:tcPr>
            <w:tcW w:w="2043" w:type="dxa"/>
            <w:vMerge/>
            <w:tcBorders>
              <w:top w:val="nil"/>
              <w:left w:val="single" w:sz="4" w:space="0" w:color="000000"/>
              <w:bottom w:val="single" w:sz="4" w:space="0" w:color="000000"/>
              <w:right w:val="single" w:sz="4" w:space="0" w:color="000000"/>
            </w:tcBorders>
            <w:vAlign w:val="center"/>
          </w:tcPr>
          <w:p w14:paraId="7D39A46E" w14:textId="77777777" w:rsidR="00E03711" w:rsidRPr="00F769E0" w:rsidRDefault="00E03711" w:rsidP="00BB37EE">
            <w:pPr>
              <w:pStyle w:val="GUIDE-NORMAL"/>
              <w:jc w:val="left"/>
              <w:rPr>
                <w:rFonts w:cs="Tahoma"/>
                <w:b/>
                <w:lang w:val="sl-SI" w:eastAsia="en-GB"/>
              </w:rPr>
            </w:pPr>
          </w:p>
        </w:tc>
        <w:tc>
          <w:tcPr>
            <w:tcW w:w="3416" w:type="dxa"/>
            <w:vMerge/>
            <w:tcBorders>
              <w:top w:val="nil"/>
              <w:left w:val="single" w:sz="4" w:space="0" w:color="000000"/>
              <w:bottom w:val="single" w:sz="4" w:space="0" w:color="000000"/>
              <w:right w:val="single" w:sz="4" w:space="0" w:color="000000"/>
            </w:tcBorders>
            <w:vAlign w:val="center"/>
          </w:tcPr>
          <w:p w14:paraId="7D39A46F" w14:textId="77777777" w:rsidR="00E03711" w:rsidRPr="00F769E0" w:rsidRDefault="00E03711" w:rsidP="00BB37EE">
            <w:pPr>
              <w:pStyle w:val="GUIDE-NORMAL"/>
              <w:jc w:val="left"/>
              <w:rPr>
                <w:rFonts w:cs="Tahoma"/>
                <w:lang w:val="sl-SI" w:eastAsia="en-GB"/>
              </w:rPr>
            </w:pPr>
          </w:p>
        </w:tc>
        <w:tc>
          <w:tcPr>
            <w:tcW w:w="1595" w:type="dxa"/>
            <w:vMerge/>
            <w:tcBorders>
              <w:top w:val="nil"/>
              <w:left w:val="single" w:sz="4" w:space="0" w:color="000000"/>
              <w:bottom w:val="single" w:sz="4" w:space="0" w:color="000000"/>
              <w:right w:val="single" w:sz="4" w:space="0" w:color="000000"/>
            </w:tcBorders>
            <w:vAlign w:val="center"/>
          </w:tcPr>
          <w:p w14:paraId="7D39A470" w14:textId="77777777" w:rsidR="00E03711" w:rsidRPr="00F769E0" w:rsidRDefault="00E03711" w:rsidP="00BB37EE">
            <w:pPr>
              <w:pStyle w:val="GUIDE-NORMAL"/>
              <w:jc w:val="left"/>
              <w:rPr>
                <w:rFonts w:cs="Tahoma"/>
                <w:lang w:val="sl-SI" w:eastAsia="en-GB"/>
              </w:rPr>
            </w:pPr>
          </w:p>
        </w:tc>
        <w:tc>
          <w:tcPr>
            <w:tcW w:w="3643" w:type="dxa"/>
            <w:gridSpan w:val="2"/>
            <w:tcBorders>
              <w:top w:val="single" w:sz="4" w:space="0" w:color="000000"/>
              <w:left w:val="single" w:sz="4" w:space="0" w:color="000000"/>
              <w:bottom w:val="single" w:sz="4" w:space="0" w:color="000000"/>
              <w:right w:val="single" w:sz="4" w:space="0" w:color="000000"/>
            </w:tcBorders>
            <w:vAlign w:val="center"/>
          </w:tcPr>
          <w:p w14:paraId="7D39A471" w14:textId="77777777" w:rsidR="00E03711" w:rsidRPr="00F769E0" w:rsidRDefault="00E03711" w:rsidP="00BB37EE">
            <w:pPr>
              <w:pStyle w:val="GUIDE-NORMAL"/>
              <w:spacing w:before="60" w:after="60"/>
              <w:jc w:val="left"/>
              <w:rPr>
                <w:rFonts w:cs="Tahoma"/>
                <w:lang w:val="sl-SI" w:eastAsia="en-GB"/>
              </w:rPr>
            </w:pPr>
            <w:r w:rsidRPr="00E71C4A">
              <w:rPr>
                <w:rFonts w:cs="Tahoma"/>
                <w:bdr w:val="single" w:sz="4" w:space="0" w:color="auto"/>
                <w:lang w:val="sl-SI" w:eastAsia="en-GB"/>
              </w:rPr>
              <w:t>B5.4</w:t>
            </w:r>
            <w:r w:rsidRPr="00F769E0">
              <w:rPr>
                <w:rFonts w:cs="Tahoma"/>
                <w:lang w:val="sl-SI" w:eastAsia="en-GB"/>
              </w:rPr>
              <w:t xml:space="preserve"> na administrativno osebje na dan dela na projektu.</w:t>
            </w:r>
          </w:p>
        </w:tc>
        <w:tc>
          <w:tcPr>
            <w:tcW w:w="3865" w:type="dxa"/>
            <w:vMerge/>
            <w:tcBorders>
              <w:top w:val="nil"/>
              <w:left w:val="single" w:sz="4" w:space="0" w:color="000000"/>
              <w:bottom w:val="single" w:sz="4" w:space="0" w:color="000000"/>
              <w:right w:val="single" w:sz="4" w:space="0" w:color="000000"/>
            </w:tcBorders>
            <w:vAlign w:val="center"/>
          </w:tcPr>
          <w:p w14:paraId="7D39A472" w14:textId="77777777" w:rsidR="00E03711" w:rsidRPr="00F769E0" w:rsidRDefault="00E03711" w:rsidP="00BB37EE">
            <w:pPr>
              <w:pStyle w:val="GUIDE-NORMAL"/>
              <w:jc w:val="left"/>
              <w:rPr>
                <w:rFonts w:cs="Tahoma"/>
                <w:lang w:val="sl-SI" w:eastAsia="en-GB"/>
              </w:rPr>
            </w:pPr>
          </w:p>
        </w:tc>
      </w:tr>
      <w:tr w:rsidR="00E03711" w:rsidRPr="002C560E" w14:paraId="7D39A47A" w14:textId="77777777" w:rsidTr="00073E87">
        <w:trPr>
          <w:trHeight w:val="20"/>
        </w:trPr>
        <w:tc>
          <w:tcPr>
            <w:tcW w:w="2043" w:type="dxa"/>
            <w:vMerge w:val="restart"/>
            <w:tcBorders>
              <w:top w:val="single" w:sz="4" w:space="0" w:color="000000"/>
              <w:left w:val="single" w:sz="4" w:space="0" w:color="000000"/>
              <w:bottom w:val="single" w:sz="4" w:space="0" w:color="000000"/>
              <w:right w:val="single" w:sz="4" w:space="0" w:color="000000"/>
            </w:tcBorders>
            <w:vAlign w:val="center"/>
          </w:tcPr>
          <w:p w14:paraId="7D39A474" w14:textId="77777777" w:rsidR="00E03711" w:rsidRPr="00F769E0" w:rsidRDefault="00E03711" w:rsidP="00BB37EE">
            <w:pPr>
              <w:pStyle w:val="GUIDE-NORMAL"/>
              <w:spacing w:before="60" w:after="60"/>
              <w:jc w:val="left"/>
              <w:rPr>
                <w:rFonts w:cs="Tahoma"/>
                <w:b/>
                <w:lang w:val="sl-SI" w:eastAsia="en-GB"/>
              </w:rPr>
            </w:pPr>
            <w:r w:rsidRPr="00F769E0">
              <w:rPr>
                <w:rFonts w:cs="Tahoma"/>
                <w:b/>
                <w:lang w:val="sl-SI" w:eastAsia="en-GB"/>
              </w:rPr>
              <w:t>Multiplikativne športne prireditve</w:t>
            </w:r>
          </w:p>
        </w:tc>
        <w:tc>
          <w:tcPr>
            <w:tcW w:w="3416" w:type="dxa"/>
            <w:vMerge w:val="restart"/>
            <w:tcBorders>
              <w:top w:val="single" w:sz="4" w:space="0" w:color="000000"/>
              <w:left w:val="single" w:sz="4" w:space="0" w:color="000000"/>
              <w:bottom w:val="single" w:sz="4" w:space="0" w:color="000000"/>
              <w:right w:val="single" w:sz="4" w:space="0" w:color="000000"/>
            </w:tcBorders>
            <w:vAlign w:val="center"/>
          </w:tcPr>
          <w:p w14:paraId="7D39A475" w14:textId="77777777" w:rsidR="00E03711" w:rsidRPr="00F769E0" w:rsidRDefault="00E03711" w:rsidP="00BB37EE">
            <w:pPr>
              <w:pStyle w:val="GUIDE-NORMAL"/>
              <w:spacing w:before="60" w:after="60"/>
              <w:jc w:val="left"/>
              <w:rPr>
                <w:rFonts w:cs="Tahoma"/>
                <w:lang w:val="sl-SI" w:eastAsia="en-GB"/>
              </w:rPr>
            </w:pPr>
            <w:r w:rsidRPr="00F769E0">
              <w:rPr>
                <w:rFonts w:cs="Tahoma"/>
                <w:lang w:val="sl-SI" w:eastAsia="en-GB"/>
              </w:rPr>
              <w:t>Prispevek za stroške, povezane z nacionalnimi in mednarodnimi konferencami, seminarji, dogodki, izmenjavo in razširjanjem intelektualnih rezultatov projekta (razen potnih stroškov in stroškov bivanja predstavnikov sodelujočih organizacij, vključenih v dogodek).</w:t>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14:paraId="7D39A476" w14:textId="77777777" w:rsidR="00E03711" w:rsidRPr="00F769E0" w:rsidRDefault="00E03711" w:rsidP="00BB37EE">
            <w:pPr>
              <w:pStyle w:val="GUIDE-NORMAL"/>
              <w:spacing w:before="60" w:after="60"/>
              <w:jc w:val="left"/>
              <w:rPr>
                <w:rFonts w:cs="Tahoma"/>
                <w:lang w:val="sl-SI" w:eastAsia="en-GB"/>
              </w:rPr>
            </w:pPr>
            <w:r w:rsidRPr="00F769E0">
              <w:rPr>
                <w:rFonts w:cs="Tahoma"/>
                <w:lang w:val="sl-SI" w:eastAsia="en-GB"/>
              </w:rPr>
              <w:t>Prispevek za stroške na enoto</w:t>
            </w:r>
          </w:p>
        </w:tc>
        <w:tc>
          <w:tcPr>
            <w:tcW w:w="2048" w:type="dxa"/>
            <w:tcBorders>
              <w:top w:val="single" w:sz="4" w:space="0" w:color="000000"/>
              <w:left w:val="single" w:sz="4" w:space="0" w:color="000000"/>
              <w:bottom w:val="single" w:sz="4" w:space="0" w:color="000000"/>
              <w:right w:val="single" w:sz="4" w:space="0" w:color="000000"/>
            </w:tcBorders>
            <w:vAlign w:val="center"/>
          </w:tcPr>
          <w:p w14:paraId="7D39A477" w14:textId="77777777" w:rsidR="00E03711" w:rsidRPr="00F769E0" w:rsidRDefault="00E03711" w:rsidP="00BB37EE">
            <w:pPr>
              <w:pStyle w:val="GUIDE-NORMAL"/>
              <w:spacing w:before="60" w:after="60"/>
              <w:jc w:val="left"/>
              <w:rPr>
                <w:rFonts w:cs="Tahoma"/>
                <w:lang w:val="sl-SI" w:eastAsia="en-GB"/>
              </w:rPr>
            </w:pPr>
            <w:r w:rsidRPr="00F769E0">
              <w:rPr>
                <w:rFonts w:cs="Tahoma"/>
                <w:lang w:val="sl-SI" w:eastAsia="en-GB"/>
              </w:rPr>
              <w:t>100 EUR na lokalnega udeleženca (tj. udeleženci iz države, kjer se izvaja dogodek).</w:t>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14:paraId="7D39A478" w14:textId="77777777" w:rsidR="00E03711" w:rsidRPr="00F769E0" w:rsidRDefault="00E03711" w:rsidP="00BB37EE">
            <w:pPr>
              <w:pStyle w:val="GUIDE-NORMAL"/>
              <w:spacing w:before="60" w:after="60"/>
              <w:jc w:val="left"/>
              <w:rPr>
                <w:rFonts w:cs="Tahoma"/>
                <w:lang w:val="sl-SI" w:eastAsia="en-GB"/>
              </w:rPr>
            </w:pPr>
            <w:r w:rsidRPr="00F769E0">
              <w:rPr>
                <w:rFonts w:cs="Tahoma"/>
                <w:lang w:val="sl-SI" w:eastAsia="en-GB"/>
              </w:rPr>
              <w:t xml:space="preserve">Največ </w:t>
            </w:r>
            <w:r w:rsidRPr="00F769E0">
              <w:rPr>
                <w:rFonts w:cs="Tahoma"/>
                <w:lang w:val="sl-SI" w:eastAsia="en-GB"/>
              </w:rPr>
              <w:br/>
              <w:t>30 000 EUR na projekt.</w:t>
            </w:r>
          </w:p>
        </w:tc>
        <w:tc>
          <w:tcPr>
            <w:tcW w:w="3865" w:type="dxa"/>
            <w:vMerge w:val="restart"/>
            <w:tcBorders>
              <w:top w:val="single" w:sz="4" w:space="0" w:color="000000"/>
              <w:left w:val="single" w:sz="4" w:space="0" w:color="000000"/>
              <w:bottom w:val="single" w:sz="4" w:space="0" w:color="000000"/>
              <w:right w:val="single" w:sz="4" w:space="0" w:color="000000"/>
            </w:tcBorders>
            <w:vAlign w:val="center"/>
          </w:tcPr>
          <w:p w14:paraId="7D39A479" w14:textId="77777777" w:rsidR="00E03711" w:rsidRPr="00F769E0" w:rsidRDefault="00E03711" w:rsidP="00BB37EE">
            <w:pPr>
              <w:pStyle w:val="GUIDE-NORMAL"/>
              <w:spacing w:before="60" w:after="60"/>
              <w:jc w:val="left"/>
              <w:rPr>
                <w:rFonts w:cs="Tahoma"/>
                <w:lang w:val="sl-SI" w:eastAsia="en-GB"/>
              </w:rPr>
            </w:pPr>
            <w:r w:rsidRPr="00F769E0">
              <w:rPr>
                <w:rFonts w:cs="Tahoma"/>
                <w:lang w:val="sl-SI" w:eastAsia="en-GB"/>
              </w:rPr>
              <w:t>Pogoj: podpora za multiplikativne dogodke je zagotovljena le, če so neposredno povezani s pripravo intelektualnih rezultatov projekta. Projekt, ki mu ni bila dodeljena podpora z nepovratnimi sredstvi za pripravo intelektualnih rezultatov, ne more prejeti podpore za organizacijo multiplikativnih dogodkov.</w:t>
            </w:r>
          </w:p>
        </w:tc>
      </w:tr>
      <w:tr w:rsidR="00E03711" w:rsidRPr="002C560E" w14:paraId="7D39A481" w14:textId="77777777" w:rsidTr="00073E87">
        <w:trPr>
          <w:trHeight w:val="20"/>
        </w:trPr>
        <w:tc>
          <w:tcPr>
            <w:tcW w:w="2043" w:type="dxa"/>
            <w:vMerge/>
            <w:tcBorders>
              <w:top w:val="nil"/>
              <w:left w:val="single" w:sz="4" w:space="0" w:color="000000"/>
              <w:bottom w:val="single" w:sz="4" w:space="0" w:color="000000"/>
              <w:right w:val="single" w:sz="4" w:space="0" w:color="000000"/>
            </w:tcBorders>
            <w:vAlign w:val="center"/>
          </w:tcPr>
          <w:p w14:paraId="7D39A47B" w14:textId="77777777" w:rsidR="00E03711" w:rsidRPr="001048FE" w:rsidRDefault="00E03711" w:rsidP="007A4ACE">
            <w:pPr>
              <w:pStyle w:val="GUIDE-NORMAL"/>
              <w:spacing w:before="60" w:after="60"/>
              <w:jc w:val="left"/>
              <w:rPr>
                <w:rFonts w:ascii="Times New Roman" w:hAnsi="Times New Roman"/>
                <w:sz w:val="2"/>
                <w:szCs w:val="2"/>
                <w:lang w:val="sl-SI" w:eastAsia="en-GB"/>
              </w:rPr>
            </w:pPr>
          </w:p>
        </w:tc>
        <w:tc>
          <w:tcPr>
            <w:tcW w:w="3416" w:type="dxa"/>
            <w:vMerge/>
            <w:tcBorders>
              <w:top w:val="nil"/>
              <w:left w:val="single" w:sz="4" w:space="0" w:color="000000"/>
              <w:bottom w:val="single" w:sz="4" w:space="0" w:color="000000"/>
              <w:right w:val="single" w:sz="4" w:space="0" w:color="000000"/>
            </w:tcBorders>
            <w:vAlign w:val="center"/>
          </w:tcPr>
          <w:p w14:paraId="7D39A47C" w14:textId="77777777" w:rsidR="00E03711" w:rsidRPr="001048FE" w:rsidRDefault="00E03711" w:rsidP="007A4ACE">
            <w:pPr>
              <w:pStyle w:val="GUIDE-NORMAL"/>
              <w:spacing w:before="60" w:after="60"/>
              <w:jc w:val="left"/>
              <w:rPr>
                <w:rFonts w:ascii="Times New Roman" w:hAnsi="Times New Roman"/>
                <w:sz w:val="2"/>
                <w:szCs w:val="2"/>
                <w:lang w:val="sl-SI" w:eastAsia="en-GB"/>
              </w:rPr>
            </w:pPr>
          </w:p>
        </w:tc>
        <w:tc>
          <w:tcPr>
            <w:tcW w:w="1595" w:type="dxa"/>
            <w:vMerge/>
            <w:tcBorders>
              <w:top w:val="nil"/>
              <w:left w:val="single" w:sz="4" w:space="0" w:color="000000"/>
              <w:bottom w:val="single" w:sz="4" w:space="0" w:color="000000"/>
              <w:right w:val="single" w:sz="4" w:space="0" w:color="000000"/>
            </w:tcBorders>
            <w:vAlign w:val="center"/>
          </w:tcPr>
          <w:p w14:paraId="7D39A47D" w14:textId="77777777" w:rsidR="00E03711" w:rsidRPr="001048FE" w:rsidRDefault="00E03711" w:rsidP="007A4ACE">
            <w:pPr>
              <w:pStyle w:val="GUIDE-NORMAL"/>
              <w:spacing w:before="60" w:after="60"/>
              <w:jc w:val="left"/>
              <w:rPr>
                <w:rFonts w:ascii="Times New Roman" w:hAnsi="Times New Roman"/>
                <w:sz w:val="2"/>
                <w:szCs w:val="2"/>
                <w:lang w:val="sl-SI" w:eastAsia="en-GB"/>
              </w:rPr>
            </w:pPr>
          </w:p>
        </w:tc>
        <w:tc>
          <w:tcPr>
            <w:tcW w:w="2048" w:type="dxa"/>
            <w:tcBorders>
              <w:top w:val="single" w:sz="4" w:space="0" w:color="000000"/>
              <w:left w:val="single" w:sz="4" w:space="0" w:color="000000"/>
              <w:bottom w:val="single" w:sz="4" w:space="0" w:color="000000"/>
              <w:right w:val="single" w:sz="4" w:space="0" w:color="000000"/>
            </w:tcBorders>
            <w:vAlign w:val="center"/>
          </w:tcPr>
          <w:p w14:paraId="7D39A47E" w14:textId="77777777" w:rsidR="00E03711" w:rsidRPr="00F769E0" w:rsidRDefault="00E03711" w:rsidP="00BB37EE">
            <w:pPr>
              <w:pStyle w:val="GUIDE-NORMAL"/>
              <w:spacing w:before="60" w:after="60"/>
              <w:jc w:val="left"/>
              <w:rPr>
                <w:rFonts w:cs="Tahoma"/>
                <w:lang w:val="sl-SI" w:eastAsia="en-GB"/>
              </w:rPr>
            </w:pPr>
            <w:r w:rsidRPr="00F769E0">
              <w:rPr>
                <w:rFonts w:cs="Tahoma"/>
                <w:lang w:val="sl-SI" w:eastAsia="en-GB"/>
              </w:rPr>
              <w:t>150 EUR na mednarodnega udeleženca (tj. udeleženci iz drugih držav).</w:t>
            </w:r>
          </w:p>
        </w:tc>
        <w:tc>
          <w:tcPr>
            <w:tcW w:w="1595" w:type="dxa"/>
            <w:vMerge/>
            <w:tcBorders>
              <w:top w:val="nil"/>
              <w:left w:val="single" w:sz="4" w:space="0" w:color="000000"/>
              <w:bottom w:val="single" w:sz="4" w:space="0" w:color="000000"/>
              <w:right w:val="single" w:sz="4" w:space="0" w:color="000000"/>
            </w:tcBorders>
            <w:vAlign w:val="center"/>
          </w:tcPr>
          <w:p w14:paraId="7D39A47F" w14:textId="77777777" w:rsidR="00E03711" w:rsidRPr="001048FE" w:rsidRDefault="00E03711" w:rsidP="007A4ACE">
            <w:pPr>
              <w:pStyle w:val="GUIDE-NORMAL"/>
              <w:spacing w:before="60" w:after="60"/>
              <w:jc w:val="left"/>
              <w:rPr>
                <w:rFonts w:ascii="Times New Roman" w:hAnsi="Times New Roman"/>
                <w:sz w:val="2"/>
                <w:szCs w:val="2"/>
                <w:lang w:val="sl-SI" w:eastAsia="en-GB"/>
              </w:rPr>
            </w:pPr>
          </w:p>
        </w:tc>
        <w:tc>
          <w:tcPr>
            <w:tcW w:w="3865" w:type="dxa"/>
            <w:vMerge/>
            <w:tcBorders>
              <w:top w:val="nil"/>
              <w:left w:val="single" w:sz="4" w:space="0" w:color="000000"/>
              <w:bottom w:val="single" w:sz="4" w:space="0" w:color="000000"/>
              <w:right w:val="single" w:sz="4" w:space="0" w:color="000000"/>
            </w:tcBorders>
            <w:vAlign w:val="center"/>
          </w:tcPr>
          <w:p w14:paraId="7D39A480" w14:textId="77777777" w:rsidR="00E03711" w:rsidRPr="001048FE" w:rsidRDefault="00E03711" w:rsidP="007A4ACE">
            <w:pPr>
              <w:pStyle w:val="GUIDE-NORMAL"/>
              <w:spacing w:before="60" w:after="60"/>
              <w:jc w:val="left"/>
              <w:rPr>
                <w:rFonts w:ascii="Times New Roman" w:hAnsi="Times New Roman"/>
                <w:sz w:val="2"/>
                <w:szCs w:val="2"/>
                <w:lang w:val="sl-SI" w:eastAsia="en-GB"/>
              </w:rPr>
            </w:pPr>
          </w:p>
        </w:tc>
      </w:tr>
    </w:tbl>
    <w:p w14:paraId="7D39A482" w14:textId="77777777" w:rsidR="00E03711" w:rsidRDefault="00E03711" w:rsidP="008C730A">
      <w:pPr>
        <w:pStyle w:val="Guide-Heading5"/>
        <w:rPr>
          <w:lang w:val="sl-SI"/>
        </w:rPr>
      </w:pPr>
      <w:bookmarkStart w:id="364" w:name="Tableau_A_–_Productions_intellectuelles_"/>
      <w:bookmarkEnd w:id="364"/>
    </w:p>
    <w:p w14:paraId="7D39A483" w14:textId="77777777" w:rsidR="00E03711" w:rsidRDefault="00E03711">
      <w:pPr>
        <w:widowControl/>
        <w:suppressAutoHyphens w:val="0"/>
        <w:autoSpaceDN/>
        <w:textAlignment w:val="auto"/>
        <w:rPr>
          <w:rFonts w:eastAsia="Times New Roman" w:cs="Times New Roman"/>
          <w:b/>
          <w:smallCaps/>
          <w:sz w:val="22"/>
          <w:szCs w:val="20"/>
          <w:lang w:val="sl-SI"/>
        </w:rPr>
      </w:pPr>
      <w:r>
        <w:rPr>
          <w:lang w:val="sl-SI"/>
        </w:rPr>
        <w:br w:type="page"/>
      </w:r>
    </w:p>
    <w:p w14:paraId="7D39A484" w14:textId="77777777" w:rsidR="00E03711" w:rsidRPr="001048FE" w:rsidRDefault="00E03711" w:rsidP="008C730A">
      <w:pPr>
        <w:pStyle w:val="Guide-Heading5"/>
        <w:rPr>
          <w:lang w:val="sl-SI"/>
        </w:rPr>
      </w:pPr>
      <w:r w:rsidRPr="001048FE">
        <w:rPr>
          <w:lang w:val="sl-SI"/>
        </w:rPr>
        <w:t>Preglednica A – Priprava intelektualnih rezultatov (zneski v EUR na dan)</w:t>
      </w:r>
    </w:p>
    <w:p w14:paraId="7D39A485" w14:textId="77777777" w:rsidR="00E03711" w:rsidRPr="001048FE" w:rsidRDefault="00E03711" w:rsidP="00BB37EE">
      <w:pPr>
        <w:pStyle w:val="GUIDE-NORMAL"/>
        <w:rPr>
          <w:rStyle w:val="Guide-Condensed-01"/>
          <w:lang w:val="sl-SI"/>
        </w:rPr>
      </w:pPr>
      <w:r w:rsidRPr="001048FE">
        <w:rPr>
          <w:rStyle w:val="Guide-Condensed-01"/>
          <w:lang w:val="sl-SI"/>
        </w:rPr>
        <w:t>Ta sredstva se lahko uporabljajo samo za stroške osebja organizacij, ki sodelujejo v projektu za pripravo intelektualnih rezultatov. Zneski so odvisni od: a) profila osebja, ki je vključeno v projekt, in b) države sodelujoče organizacije, iz katere prihaja to osebje.</w:t>
      </w:r>
    </w:p>
    <w:tbl>
      <w:tblPr>
        <w:tblW w:w="5003" w:type="pct"/>
        <w:tblLayout w:type="fixed"/>
        <w:tblLook w:val="0000" w:firstRow="0" w:lastRow="0" w:firstColumn="0" w:lastColumn="0" w:noHBand="0" w:noVBand="0"/>
      </w:tblPr>
      <w:tblGrid>
        <w:gridCol w:w="6475"/>
        <w:gridCol w:w="1850"/>
        <w:gridCol w:w="2311"/>
        <w:gridCol w:w="1850"/>
        <w:gridCol w:w="2311"/>
      </w:tblGrid>
      <w:tr w:rsidR="00E03711" w:rsidRPr="008C6F8C" w14:paraId="7D39A48B" w14:textId="77777777" w:rsidTr="00217AE4">
        <w:trPr>
          <w:trHeight w:val="20"/>
        </w:trPr>
        <w:tc>
          <w:tcPr>
            <w:tcW w:w="3969" w:type="dxa"/>
            <w:vMerge w:val="restart"/>
            <w:tcBorders>
              <w:top w:val="none" w:sz="6" w:space="0" w:color="auto"/>
              <w:left w:val="none" w:sz="6" w:space="0" w:color="auto"/>
              <w:bottom w:val="single" w:sz="6" w:space="0" w:color="000000"/>
              <w:right w:val="single" w:sz="6" w:space="0" w:color="000000"/>
            </w:tcBorders>
            <w:shd w:val="clear" w:color="auto" w:fill="auto"/>
            <w:vAlign w:val="center"/>
          </w:tcPr>
          <w:p w14:paraId="7D39A486" w14:textId="77777777" w:rsidR="00E03711" w:rsidRPr="00F769E0" w:rsidRDefault="00E03711" w:rsidP="0042083E">
            <w:pPr>
              <w:pStyle w:val="Guide-Table"/>
              <w:jc w:val="left"/>
              <w:rPr>
                <w:rFonts w:cs="Tahoma"/>
                <w:lang w:val="sl-SI" w:eastAsia="en-GB"/>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87" w14:textId="77777777" w:rsidR="00E03711" w:rsidRPr="00F769E0" w:rsidRDefault="00E03711" w:rsidP="00BB37EE">
            <w:pPr>
              <w:pStyle w:val="Guide-Table"/>
              <w:spacing w:before="60" w:after="60"/>
              <w:rPr>
                <w:rFonts w:cs="Tahoma"/>
                <w:b/>
                <w:lang w:val="sl-SI" w:eastAsia="en-GB"/>
              </w:rPr>
            </w:pPr>
            <w:r w:rsidRPr="00F769E0">
              <w:rPr>
                <w:rFonts w:cs="Tahoma"/>
                <w:b/>
                <w:lang w:val="sl-SI" w:eastAsia="en-GB"/>
              </w:rPr>
              <w:t>Menedžer</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88" w14:textId="77777777" w:rsidR="00E03711" w:rsidRPr="00F769E0" w:rsidRDefault="00E03711" w:rsidP="00BB37EE">
            <w:pPr>
              <w:pStyle w:val="GUIDE-NORMAL"/>
              <w:spacing w:before="60" w:after="60"/>
              <w:jc w:val="center"/>
              <w:rPr>
                <w:rStyle w:val="Guide-Condensed-01"/>
                <w:rFonts w:cs="Tahoma"/>
                <w:b/>
                <w:lang w:val="sl-SI" w:eastAsia="en-GB"/>
              </w:rPr>
            </w:pPr>
            <w:r w:rsidRPr="00F769E0">
              <w:rPr>
                <w:rStyle w:val="Guide-Condensed-01"/>
                <w:rFonts w:cs="Tahoma"/>
                <w:b/>
                <w:lang w:val="sl-SI" w:eastAsia="en-GB"/>
              </w:rPr>
              <w:t>Učitelj/vodja usposabljanja/</w:t>
            </w:r>
            <w:r w:rsidRPr="00F769E0">
              <w:rPr>
                <w:rStyle w:val="Guide-Condensed-01"/>
                <w:rFonts w:cs="Tahoma"/>
                <w:b/>
                <w:lang w:val="sl-SI" w:eastAsia="en-GB"/>
              </w:rPr>
              <w:br/>
              <w:t>raziskovalec/ Mladinski delavec</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89" w14:textId="77777777" w:rsidR="00E03711" w:rsidRPr="00F769E0" w:rsidRDefault="00E03711" w:rsidP="00BB37EE">
            <w:pPr>
              <w:pStyle w:val="Guide-Table"/>
              <w:spacing w:before="60" w:after="60"/>
              <w:rPr>
                <w:rFonts w:cs="Tahoma"/>
                <w:b/>
                <w:lang w:val="sl-SI" w:eastAsia="en-GB"/>
              </w:rPr>
            </w:pPr>
            <w:r w:rsidRPr="00F769E0">
              <w:rPr>
                <w:rFonts w:cs="Tahoma"/>
                <w:b/>
                <w:lang w:val="sl-SI" w:eastAsia="en-GB"/>
              </w:rPr>
              <w:t>Tehnično osebje</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8A" w14:textId="77777777" w:rsidR="00E03711" w:rsidRPr="00F769E0" w:rsidRDefault="00E03711" w:rsidP="00BB37EE">
            <w:pPr>
              <w:pStyle w:val="Guide-Table"/>
              <w:spacing w:before="60" w:after="60"/>
              <w:rPr>
                <w:rFonts w:cs="Tahoma"/>
                <w:b/>
                <w:lang w:val="sl-SI" w:eastAsia="en-GB"/>
              </w:rPr>
            </w:pPr>
            <w:r w:rsidRPr="00F769E0">
              <w:rPr>
                <w:rFonts w:cs="Tahoma"/>
                <w:b/>
                <w:lang w:val="sl-SI" w:eastAsia="en-GB"/>
              </w:rPr>
              <w:t>Administrativno osebje</w:t>
            </w:r>
          </w:p>
        </w:tc>
      </w:tr>
      <w:tr w:rsidR="00E03711" w:rsidRPr="008C6F8C" w14:paraId="7D39A491" w14:textId="77777777" w:rsidTr="00217AE4">
        <w:trPr>
          <w:trHeight w:val="20"/>
        </w:trPr>
        <w:tc>
          <w:tcPr>
            <w:tcW w:w="3969" w:type="dxa"/>
            <w:vMerge/>
            <w:tcBorders>
              <w:top w:val="nil"/>
              <w:left w:val="none" w:sz="6" w:space="0" w:color="auto"/>
              <w:bottom w:val="single" w:sz="6" w:space="0" w:color="000000"/>
              <w:right w:val="single" w:sz="6" w:space="0" w:color="000000"/>
            </w:tcBorders>
            <w:shd w:val="clear" w:color="auto" w:fill="auto"/>
            <w:vAlign w:val="center"/>
          </w:tcPr>
          <w:p w14:paraId="7D39A48C" w14:textId="77777777" w:rsidR="00E03711" w:rsidRPr="00F769E0" w:rsidRDefault="00E03711" w:rsidP="0042083E">
            <w:pPr>
              <w:pStyle w:val="Guide-Table"/>
              <w:jc w:val="left"/>
              <w:rPr>
                <w:rFonts w:cs="Tahoma"/>
                <w:sz w:val="2"/>
                <w:szCs w:val="2"/>
                <w:lang w:val="sl-SI" w:eastAsia="en-GB"/>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8D" w14:textId="77777777" w:rsidR="00E03711" w:rsidRPr="00F769E0" w:rsidRDefault="00E03711" w:rsidP="0042083E">
            <w:pPr>
              <w:pStyle w:val="Guide-Table"/>
              <w:rPr>
                <w:rFonts w:cs="Tahoma"/>
                <w:b/>
                <w:lang w:val="sl-SI" w:eastAsia="en-GB"/>
              </w:rPr>
            </w:pPr>
            <w:r w:rsidRPr="00F769E0">
              <w:rPr>
                <w:rFonts w:cs="Tahoma"/>
                <w:b/>
                <w:lang w:val="sl-SI" w:eastAsia="en-GB"/>
              </w:rPr>
              <w:t>B5.1</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8E" w14:textId="77777777" w:rsidR="00E03711" w:rsidRPr="00F769E0" w:rsidRDefault="00E03711" w:rsidP="0042083E">
            <w:pPr>
              <w:pStyle w:val="Guide-Table"/>
              <w:rPr>
                <w:rFonts w:cs="Tahoma"/>
                <w:b/>
                <w:lang w:val="sl-SI" w:eastAsia="en-GB"/>
              </w:rPr>
            </w:pPr>
            <w:r w:rsidRPr="00F769E0">
              <w:rPr>
                <w:rFonts w:cs="Tahoma"/>
                <w:b/>
                <w:lang w:val="sl-SI" w:eastAsia="en-GB"/>
              </w:rPr>
              <w:t>B5.2</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8F" w14:textId="77777777" w:rsidR="00E03711" w:rsidRPr="00F769E0" w:rsidRDefault="00E03711" w:rsidP="0042083E">
            <w:pPr>
              <w:pStyle w:val="Guide-Table"/>
              <w:rPr>
                <w:rFonts w:cs="Tahoma"/>
                <w:b/>
                <w:lang w:val="sl-SI" w:eastAsia="en-GB"/>
              </w:rPr>
            </w:pPr>
            <w:r w:rsidRPr="00F769E0">
              <w:rPr>
                <w:rFonts w:cs="Tahoma"/>
                <w:b/>
                <w:lang w:val="sl-SI" w:eastAsia="en-GB"/>
              </w:rPr>
              <w:t>B5.3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90" w14:textId="77777777" w:rsidR="00E03711" w:rsidRPr="00F769E0" w:rsidRDefault="00E03711" w:rsidP="0042083E">
            <w:pPr>
              <w:pStyle w:val="Guide-Table"/>
              <w:rPr>
                <w:rFonts w:cs="Tahoma"/>
                <w:b/>
                <w:lang w:val="sl-SI" w:eastAsia="en-GB"/>
              </w:rPr>
            </w:pPr>
            <w:r w:rsidRPr="00F769E0">
              <w:rPr>
                <w:rFonts w:cs="Tahoma"/>
                <w:b/>
                <w:lang w:val="sl-SI" w:eastAsia="en-GB"/>
              </w:rPr>
              <w:t>B5.4</w:t>
            </w:r>
          </w:p>
        </w:tc>
      </w:tr>
      <w:tr w:rsidR="00E03711" w:rsidRPr="008C6F8C" w14:paraId="7D39A497" w14:textId="77777777" w:rsidTr="00217AE4">
        <w:trPr>
          <w:trHeight w:val="20"/>
        </w:trPr>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92" w14:textId="77777777" w:rsidR="00E03711" w:rsidRPr="00F769E0" w:rsidRDefault="00E03711" w:rsidP="00BB37EE">
            <w:pPr>
              <w:pStyle w:val="GUIDE-NORMAL"/>
              <w:spacing w:before="60" w:after="60"/>
              <w:jc w:val="left"/>
              <w:rPr>
                <w:rFonts w:cs="Tahoma"/>
                <w:b/>
                <w:lang w:val="sl-SI" w:eastAsia="en-GB"/>
              </w:rPr>
            </w:pPr>
            <w:r w:rsidRPr="00F769E0">
              <w:rPr>
                <w:rFonts w:cs="Tahoma"/>
                <w:b/>
                <w:lang w:val="sl-SI" w:eastAsia="en-GB"/>
              </w:rPr>
              <w:t>Danska, Irska, Luksemburg, Nizozemska, Avstrija, Švedska, Lihtenštajn, Norveška</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93" w14:textId="77777777" w:rsidR="00E03711" w:rsidRPr="00F769E0" w:rsidRDefault="00E03711" w:rsidP="00BB37EE">
            <w:pPr>
              <w:pStyle w:val="Guide-Table"/>
              <w:spacing w:before="60" w:after="60"/>
              <w:rPr>
                <w:rFonts w:cs="Tahoma"/>
                <w:lang w:val="sl-SI" w:eastAsia="en-GB"/>
              </w:rPr>
            </w:pPr>
            <w:r w:rsidRPr="00F769E0">
              <w:rPr>
                <w:rFonts w:cs="Tahoma"/>
                <w:lang w:val="sl-SI" w:eastAsia="en-GB"/>
              </w:rPr>
              <w:t>294</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94" w14:textId="77777777" w:rsidR="00E03711" w:rsidRPr="00F769E0" w:rsidRDefault="00E03711" w:rsidP="00BB37EE">
            <w:pPr>
              <w:pStyle w:val="Guide-Table"/>
              <w:spacing w:before="60" w:after="60"/>
              <w:rPr>
                <w:rFonts w:cs="Tahoma"/>
                <w:lang w:val="sl-SI" w:eastAsia="en-GB"/>
              </w:rPr>
            </w:pPr>
            <w:r w:rsidRPr="00F769E0">
              <w:rPr>
                <w:rFonts w:cs="Tahoma"/>
                <w:lang w:val="sl-SI" w:eastAsia="en-GB"/>
              </w:rPr>
              <w:t>241</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95" w14:textId="77777777" w:rsidR="00E03711" w:rsidRPr="00F769E0" w:rsidRDefault="00E03711" w:rsidP="00BB37EE">
            <w:pPr>
              <w:pStyle w:val="Guide-Table"/>
              <w:spacing w:before="60" w:after="60"/>
              <w:rPr>
                <w:rFonts w:cs="Tahoma"/>
                <w:lang w:val="sl-SI" w:eastAsia="en-GB"/>
              </w:rPr>
            </w:pPr>
            <w:r w:rsidRPr="00F769E0">
              <w:rPr>
                <w:rFonts w:cs="Tahoma"/>
                <w:lang w:val="sl-SI" w:eastAsia="en-GB"/>
              </w:rPr>
              <w:t>190</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96" w14:textId="77777777" w:rsidR="00E03711" w:rsidRPr="00F769E0" w:rsidRDefault="00E03711" w:rsidP="00BB37EE">
            <w:pPr>
              <w:pStyle w:val="Guide-Table"/>
              <w:spacing w:before="60" w:after="60"/>
              <w:rPr>
                <w:rFonts w:cs="Tahoma"/>
                <w:lang w:val="sl-SI" w:eastAsia="en-GB"/>
              </w:rPr>
            </w:pPr>
            <w:r w:rsidRPr="00F769E0">
              <w:rPr>
                <w:rFonts w:cs="Tahoma"/>
                <w:lang w:val="sl-SI" w:eastAsia="en-GB"/>
              </w:rPr>
              <w:t>157</w:t>
            </w:r>
          </w:p>
        </w:tc>
      </w:tr>
      <w:tr w:rsidR="00E03711" w:rsidRPr="008C6F8C" w14:paraId="7D39A49D" w14:textId="77777777" w:rsidTr="00217AE4">
        <w:trPr>
          <w:trHeight w:val="20"/>
        </w:trPr>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98" w14:textId="77777777" w:rsidR="00E03711" w:rsidRPr="00F769E0" w:rsidRDefault="00E03711" w:rsidP="00BB37EE">
            <w:pPr>
              <w:pStyle w:val="GUIDE-NORMAL"/>
              <w:spacing w:before="60" w:after="60"/>
              <w:jc w:val="left"/>
              <w:rPr>
                <w:rFonts w:cs="Tahoma"/>
                <w:b/>
                <w:lang w:val="sl-SI" w:eastAsia="en-GB"/>
              </w:rPr>
            </w:pPr>
            <w:r w:rsidRPr="00F769E0">
              <w:rPr>
                <w:rFonts w:cs="Tahoma"/>
                <w:b/>
                <w:lang w:val="sl-SI" w:eastAsia="en-GB"/>
              </w:rPr>
              <w:t>Belgija, Nemčija, Francija, Italija, Finska, Združeno kraljestvo, Islandija</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99" w14:textId="77777777" w:rsidR="00E03711" w:rsidRPr="00F769E0" w:rsidRDefault="00E03711" w:rsidP="00BB37EE">
            <w:pPr>
              <w:pStyle w:val="Guide-Table"/>
              <w:spacing w:before="60" w:after="60"/>
              <w:rPr>
                <w:rFonts w:cs="Tahoma"/>
                <w:lang w:val="sl-SI" w:eastAsia="en-GB"/>
              </w:rPr>
            </w:pPr>
            <w:r w:rsidRPr="00F769E0">
              <w:rPr>
                <w:rFonts w:cs="Tahoma"/>
                <w:lang w:val="sl-SI" w:eastAsia="en-GB"/>
              </w:rPr>
              <w:t>280</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9A" w14:textId="77777777" w:rsidR="00E03711" w:rsidRPr="00F769E0" w:rsidRDefault="00E03711" w:rsidP="00BB37EE">
            <w:pPr>
              <w:pStyle w:val="Guide-Table"/>
              <w:spacing w:before="60" w:after="60"/>
              <w:rPr>
                <w:rFonts w:cs="Tahoma"/>
                <w:lang w:val="sl-SI" w:eastAsia="en-GB"/>
              </w:rPr>
            </w:pPr>
            <w:r w:rsidRPr="00F769E0">
              <w:rPr>
                <w:rFonts w:cs="Tahoma"/>
                <w:lang w:val="sl-SI" w:eastAsia="en-GB"/>
              </w:rPr>
              <w:t>214</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9B" w14:textId="77777777" w:rsidR="00E03711" w:rsidRPr="00F769E0" w:rsidRDefault="00E03711" w:rsidP="00BB37EE">
            <w:pPr>
              <w:pStyle w:val="Guide-Table"/>
              <w:spacing w:before="60" w:after="60"/>
              <w:rPr>
                <w:rFonts w:cs="Tahoma"/>
                <w:lang w:val="sl-SI" w:eastAsia="en-GB"/>
              </w:rPr>
            </w:pPr>
            <w:r w:rsidRPr="00F769E0">
              <w:rPr>
                <w:rFonts w:cs="Tahoma"/>
                <w:lang w:val="sl-SI" w:eastAsia="en-GB"/>
              </w:rPr>
              <w:t>162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9C" w14:textId="77777777" w:rsidR="00E03711" w:rsidRPr="00F769E0" w:rsidRDefault="00E03711" w:rsidP="00BB37EE">
            <w:pPr>
              <w:pStyle w:val="Guide-Table"/>
              <w:spacing w:before="60" w:after="60"/>
              <w:rPr>
                <w:rFonts w:cs="Tahoma"/>
                <w:lang w:val="sl-SI" w:eastAsia="en-GB"/>
              </w:rPr>
            </w:pPr>
            <w:r w:rsidRPr="00F769E0">
              <w:rPr>
                <w:rFonts w:cs="Tahoma"/>
                <w:lang w:val="sl-SI" w:eastAsia="en-GB"/>
              </w:rPr>
              <w:t>131</w:t>
            </w:r>
          </w:p>
        </w:tc>
      </w:tr>
      <w:tr w:rsidR="00E03711" w:rsidRPr="008C6F8C" w14:paraId="7D39A4A3" w14:textId="77777777" w:rsidTr="00217AE4">
        <w:trPr>
          <w:trHeight w:val="20"/>
        </w:trPr>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9E" w14:textId="77777777" w:rsidR="00E03711" w:rsidRPr="00F769E0" w:rsidRDefault="00E03711" w:rsidP="00BB37EE">
            <w:pPr>
              <w:pStyle w:val="GUIDE-NORMAL"/>
              <w:spacing w:before="60" w:after="60"/>
              <w:jc w:val="left"/>
              <w:rPr>
                <w:rFonts w:cs="Tahoma"/>
                <w:b/>
                <w:lang w:val="sl-SI" w:eastAsia="en-GB"/>
              </w:rPr>
            </w:pPr>
            <w:r w:rsidRPr="00F769E0">
              <w:rPr>
                <w:rFonts w:cs="Tahoma"/>
                <w:b/>
                <w:lang w:val="sl-SI" w:eastAsia="en-GB"/>
              </w:rPr>
              <w:t>Češka, Grčija, Španija, Ciper, Malta, Portugalska, Slovenija</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9F" w14:textId="77777777" w:rsidR="00E03711" w:rsidRPr="00F769E0" w:rsidRDefault="00E03711" w:rsidP="00BB37EE">
            <w:pPr>
              <w:pStyle w:val="Guide-Table"/>
              <w:spacing w:before="60" w:after="60"/>
              <w:rPr>
                <w:rFonts w:cs="Tahoma"/>
                <w:lang w:val="sl-SI" w:eastAsia="en-GB"/>
              </w:rPr>
            </w:pPr>
            <w:r w:rsidRPr="00F769E0">
              <w:rPr>
                <w:rFonts w:cs="Tahoma"/>
                <w:lang w:val="sl-SI" w:eastAsia="en-GB"/>
              </w:rPr>
              <w:t>164</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A0" w14:textId="77777777" w:rsidR="00E03711" w:rsidRPr="00F769E0" w:rsidRDefault="00E03711" w:rsidP="00BB37EE">
            <w:pPr>
              <w:pStyle w:val="Guide-Table"/>
              <w:spacing w:before="60" w:after="60"/>
              <w:rPr>
                <w:rFonts w:cs="Tahoma"/>
                <w:lang w:val="sl-SI" w:eastAsia="en-GB"/>
              </w:rPr>
            </w:pPr>
            <w:r w:rsidRPr="00F769E0">
              <w:rPr>
                <w:rFonts w:cs="Tahoma"/>
                <w:lang w:val="sl-SI" w:eastAsia="en-GB"/>
              </w:rPr>
              <w:t>137</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A1" w14:textId="77777777" w:rsidR="00E03711" w:rsidRPr="00F769E0" w:rsidRDefault="00E03711" w:rsidP="00BB37EE">
            <w:pPr>
              <w:pStyle w:val="Guide-Table"/>
              <w:spacing w:before="60" w:after="60"/>
              <w:rPr>
                <w:rFonts w:cs="Tahoma"/>
                <w:lang w:val="sl-SI" w:eastAsia="en-GB"/>
              </w:rPr>
            </w:pPr>
            <w:r w:rsidRPr="00F769E0">
              <w:rPr>
                <w:rFonts w:cs="Tahoma"/>
                <w:lang w:val="sl-SI" w:eastAsia="en-GB"/>
              </w:rPr>
              <w:t>102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A2" w14:textId="77777777" w:rsidR="00E03711" w:rsidRPr="00F769E0" w:rsidRDefault="00E03711" w:rsidP="00BB37EE">
            <w:pPr>
              <w:pStyle w:val="Guide-Table"/>
              <w:spacing w:before="60" w:after="60"/>
              <w:rPr>
                <w:rFonts w:cs="Tahoma"/>
                <w:lang w:val="sl-SI" w:eastAsia="en-GB"/>
              </w:rPr>
            </w:pPr>
            <w:r w:rsidRPr="00F769E0">
              <w:rPr>
                <w:rFonts w:cs="Tahoma"/>
                <w:lang w:val="sl-SI" w:eastAsia="en-GB"/>
              </w:rPr>
              <w:t>78</w:t>
            </w:r>
          </w:p>
        </w:tc>
      </w:tr>
      <w:tr w:rsidR="00E03711" w:rsidRPr="008C6F8C" w14:paraId="7D39A4A9" w14:textId="77777777" w:rsidTr="00217AE4">
        <w:trPr>
          <w:trHeight w:val="20"/>
        </w:trPr>
        <w:tc>
          <w:tcPr>
            <w:tcW w:w="3969"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A4A4" w14:textId="77777777" w:rsidR="00E03711" w:rsidRPr="00F769E0" w:rsidRDefault="00E03711">
            <w:pPr>
              <w:pStyle w:val="GUIDE-NORMAL"/>
              <w:spacing w:before="60" w:after="60"/>
              <w:jc w:val="left"/>
              <w:rPr>
                <w:rFonts w:cs="Tahoma"/>
                <w:b/>
                <w:lang w:val="sl-SI" w:eastAsia="en-GB"/>
              </w:rPr>
            </w:pPr>
            <w:r w:rsidRPr="00F769E0">
              <w:rPr>
                <w:rFonts w:cs="Tahoma"/>
                <w:b/>
                <w:lang w:val="sl-SI" w:eastAsia="en-GB"/>
              </w:rPr>
              <w:t xml:space="preserve">Bolgarija, Estonija, Hrvaška, Latvija, Litva, Madžarska, Poljska, Romunija, Slovaška, Srbija, </w:t>
            </w:r>
            <w:r>
              <w:rPr>
                <w:rFonts w:cs="Tahoma"/>
                <w:b/>
                <w:lang w:val="sl-SI" w:eastAsia="en-GB"/>
              </w:rPr>
              <w:t>R</w:t>
            </w:r>
            <w:r w:rsidRPr="00F769E0">
              <w:rPr>
                <w:rFonts w:cs="Tahoma"/>
                <w:b/>
                <w:lang w:val="sl-SI" w:eastAsia="en-GB"/>
              </w:rPr>
              <w:t xml:space="preserve">epublika </w:t>
            </w:r>
            <w:r>
              <w:rPr>
                <w:rFonts w:cs="Tahoma"/>
                <w:b/>
                <w:lang w:val="sl-SI" w:eastAsia="en-GB"/>
              </w:rPr>
              <w:t xml:space="preserve">Severna </w:t>
            </w:r>
            <w:r w:rsidRPr="00F769E0">
              <w:rPr>
                <w:rFonts w:cs="Tahoma"/>
                <w:b/>
                <w:lang w:val="sl-SI" w:eastAsia="en-GB"/>
              </w:rPr>
              <w:t>Makedonija, Turčija</w:t>
            </w:r>
          </w:p>
        </w:tc>
        <w:tc>
          <w:tcPr>
            <w:tcW w:w="1134"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A4A5" w14:textId="77777777" w:rsidR="00E03711" w:rsidRPr="00F769E0" w:rsidRDefault="00E03711" w:rsidP="00BB37EE">
            <w:pPr>
              <w:pStyle w:val="Guide-Table"/>
              <w:spacing w:before="60" w:after="60"/>
              <w:rPr>
                <w:rFonts w:cs="Tahoma"/>
                <w:lang w:val="sl-SI" w:eastAsia="en-GB"/>
              </w:rPr>
            </w:pPr>
            <w:r w:rsidRPr="00F769E0">
              <w:rPr>
                <w:rFonts w:cs="Tahoma"/>
                <w:lang w:val="sl-SI" w:eastAsia="en-GB"/>
              </w:rPr>
              <w:t>88</w:t>
            </w:r>
          </w:p>
        </w:tc>
        <w:tc>
          <w:tcPr>
            <w:tcW w:w="1417"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A4A6" w14:textId="77777777" w:rsidR="00E03711" w:rsidRPr="00F769E0" w:rsidRDefault="00E03711" w:rsidP="00BB37EE">
            <w:pPr>
              <w:pStyle w:val="Guide-Table"/>
              <w:spacing w:before="60" w:after="60"/>
              <w:rPr>
                <w:rFonts w:cs="Tahoma"/>
                <w:lang w:val="sl-SI" w:eastAsia="en-GB"/>
              </w:rPr>
            </w:pPr>
            <w:r w:rsidRPr="00F769E0">
              <w:rPr>
                <w:rFonts w:cs="Tahoma"/>
                <w:lang w:val="sl-SI" w:eastAsia="en-GB"/>
              </w:rPr>
              <w:t>74</w:t>
            </w:r>
          </w:p>
        </w:tc>
        <w:tc>
          <w:tcPr>
            <w:tcW w:w="1134"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A4A7" w14:textId="77777777" w:rsidR="00E03711" w:rsidRPr="00F769E0" w:rsidRDefault="00E03711" w:rsidP="00BB37EE">
            <w:pPr>
              <w:pStyle w:val="Guide-Table"/>
              <w:spacing w:before="60" w:after="60"/>
              <w:rPr>
                <w:rFonts w:cs="Tahoma"/>
                <w:lang w:val="sl-SI" w:eastAsia="en-GB"/>
              </w:rPr>
            </w:pPr>
            <w:r w:rsidRPr="00F769E0">
              <w:rPr>
                <w:rFonts w:cs="Tahoma"/>
                <w:lang w:val="sl-SI" w:eastAsia="en-GB"/>
              </w:rPr>
              <w:t>55</w:t>
            </w:r>
          </w:p>
        </w:tc>
        <w:tc>
          <w:tcPr>
            <w:tcW w:w="1417"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A4A8" w14:textId="77777777" w:rsidR="00E03711" w:rsidRPr="00F769E0" w:rsidRDefault="00E03711" w:rsidP="00BB37EE">
            <w:pPr>
              <w:pStyle w:val="Guide-Table"/>
              <w:spacing w:before="60" w:after="60"/>
              <w:rPr>
                <w:rFonts w:cs="Tahoma"/>
                <w:lang w:val="sl-SI" w:eastAsia="en-GB"/>
              </w:rPr>
            </w:pPr>
            <w:r w:rsidRPr="00F769E0">
              <w:rPr>
                <w:rFonts w:cs="Tahoma"/>
                <w:lang w:val="sl-SI" w:eastAsia="en-GB"/>
              </w:rPr>
              <w:t>39</w:t>
            </w:r>
          </w:p>
        </w:tc>
      </w:tr>
    </w:tbl>
    <w:p w14:paraId="7D39A4AA" w14:textId="77777777" w:rsidR="00E03711" w:rsidRDefault="00E03711" w:rsidP="00BB37EE">
      <w:pPr>
        <w:pStyle w:val="Guide-Heading5"/>
        <w:rPr>
          <w:lang w:val="sl-SI"/>
        </w:rPr>
      </w:pPr>
      <w:bookmarkStart w:id="365" w:name="Tableau_B_–_Productions_intellectuelles_"/>
      <w:bookmarkEnd w:id="365"/>
    </w:p>
    <w:p w14:paraId="7D39A4AB" w14:textId="77777777" w:rsidR="00E03711" w:rsidRDefault="00E03711">
      <w:pPr>
        <w:widowControl/>
        <w:suppressAutoHyphens w:val="0"/>
        <w:autoSpaceDN/>
        <w:textAlignment w:val="auto"/>
        <w:rPr>
          <w:rFonts w:eastAsia="Times New Roman" w:cs="Times New Roman"/>
          <w:b/>
          <w:smallCaps/>
          <w:sz w:val="22"/>
          <w:szCs w:val="20"/>
          <w:lang w:val="sl-SI"/>
        </w:rPr>
      </w:pPr>
      <w:r>
        <w:rPr>
          <w:lang w:val="sl-SI"/>
        </w:rPr>
        <w:br w:type="page"/>
      </w:r>
    </w:p>
    <w:p w14:paraId="7D39A4AC" w14:textId="77777777" w:rsidR="00E03711" w:rsidRPr="001048FE" w:rsidRDefault="00E03711" w:rsidP="00BB37EE">
      <w:pPr>
        <w:pStyle w:val="Guide-Heading5"/>
        <w:rPr>
          <w:lang w:val="sl-SI"/>
        </w:rPr>
      </w:pPr>
      <w:r w:rsidRPr="001048FE">
        <w:rPr>
          <w:lang w:val="sl-SI"/>
        </w:rPr>
        <w:t>Preglednica B – Priprava intelektualnih rezultatov (zneski v EUR na dan)</w:t>
      </w:r>
    </w:p>
    <w:p w14:paraId="7D39A4AD" w14:textId="77777777" w:rsidR="00E03711" w:rsidRPr="001048FE" w:rsidRDefault="00E03711" w:rsidP="00BB37EE">
      <w:pPr>
        <w:pStyle w:val="GUIDE-NORMAL"/>
        <w:rPr>
          <w:rStyle w:val="Guide-Condensed-02"/>
          <w:lang w:val="sl-SI"/>
        </w:rPr>
      </w:pPr>
      <w:r w:rsidRPr="001048FE">
        <w:rPr>
          <w:rStyle w:val="Guide-Condensed-02"/>
          <w:lang w:val="sl-SI"/>
        </w:rPr>
        <w:t>Ta sredstva se lahko uporabljajo samo za stroške osebja organizacij, ki sodelujejo v projektu za pripravo intelektualnih rezultatov. Zneski so odvisni od: a) profila osebja, ki je vključeno v projekt, in b) države sodelujoče organizacije, iz katere prihaja to osebje.</w:t>
      </w:r>
    </w:p>
    <w:tbl>
      <w:tblPr>
        <w:tblW w:w="5002" w:type="pct"/>
        <w:tblLayout w:type="fixed"/>
        <w:tblLook w:val="0000" w:firstRow="0" w:lastRow="0" w:firstColumn="0" w:lastColumn="0" w:noHBand="0" w:noVBand="0"/>
      </w:tblPr>
      <w:tblGrid>
        <w:gridCol w:w="7036"/>
        <w:gridCol w:w="1656"/>
        <w:gridCol w:w="2034"/>
        <w:gridCol w:w="2034"/>
        <w:gridCol w:w="2034"/>
      </w:tblGrid>
      <w:tr w:rsidR="00E03711" w:rsidRPr="008C6F8C" w14:paraId="7D39A4B6" w14:textId="77777777" w:rsidTr="00392A79">
        <w:trPr>
          <w:trHeight w:val="20"/>
        </w:trPr>
        <w:tc>
          <w:tcPr>
            <w:tcW w:w="6930" w:type="dxa"/>
            <w:vMerge w:val="restart"/>
            <w:tcBorders>
              <w:top w:val="none" w:sz="6" w:space="0" w:color="auto"/>
              <w:left w:val="none" w:sz="6" w:space="0" w:color="auto"/>
              <w:bottom w:val="single" w:sz="6" w:space="0" w:color="000000"/>
              <w:right w:val="single" w:sz="6" w:space="0" w:color="000000"/>
            </w:tcBorders>
            <w:shd w:val="clear" w:color="auto" w:fill="auto"/>
            <w:vAlign w:val="center"/>
          </w:tcPr>
          <w:p w14:paraId="7D39A4AE" w14:textId="77777777" w:rsidR="00E03711" w:rsidRPr="001048FE" w:rsidRDefault="00E03711" w:rsidP="0042083E">
            <w:pPr>
              <w:pStyle w:val="GUIDE-NORMAL"/>
              <w:spacing w:before="60" w:after="60"/>
              <w:jc w:val="left"/>
              <w:rPr>
                <w:rFonts w:ascii="Times New Roman" w:hAnsi="Times New Roman"/>
                <w:lang w:val="sl-SI" w:eastAsia="en-GB"/>
              </w:rPr>
            </w:pPr>
          </w:p>
        </w:tc>
        <w:tc>
          <w:tcPr>
            <w:tcW w:w="16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AF" w14:textId="77777777" w:rsidR="00E03711" w:rsidRPr="00F769E0" w:rsidRDefault="00E03711" w:rsidP="0042083E">
            <w:pPr>
              <w:pStyle w:val="GUIDE-NORMAL"/>
              <w:spacing w:before="60" w:after="60"/>
              <w:jc w:val="center"/>
              <w:rPr>
                <w:rFonts w:cs="Tahoma"/>
                <w:b/>
                <w:lang w:val="sl-SI" w:eastAsia="en-GB"/>
              </w:rPr>
            </w:pPr>
          </w:p>
          <w:p w14:paraId="7D39A4B0" w14:textId="77777777" w:rsidR="00E03711" w:rsidRPr="00F769E0" w:rsidRDefault="00E03711" w:rsidP="0042083E">
            <w:pPr>
              <w:pStyle w:val="GUIDE-NORMAL"/>
              <w:spacing w:before="60" w:after="60"/>
              <w:jc w:val="center"/>
              <w:rPr>
                <w:rFonts w:cs="Tahoma"/>
                <w:b/>
                <w:lang w:val="sl-SI" w:eastAsia="en-GB"/>
              </w:rPr>
            </w:pPr>
            <w:r w:rsidRPr="00F769E0">
              <w:rPr>
                <w:rFonts w:cs="Tahoma"/>
                <w:b/>
                <w:lang w:val="sl-SI" w:eastAsia="en-GB"/>
              </w:rPr>
              <w:t>Menedžer</w:t>
            </w:r>
          </w:p>
        </w:tc>
        <w:tc>
          <w:tcPr>
            <w:tcW w:w="20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B1" w14:textId="77777777" w:rsidR="00E03711" w:rsidRPr="00F769E0" w:rsidRDefault="00E03711" w:rsidP="0042083E">
            <w:pPr>
              <w:pStyle w:val="GUIDE-NORMAL"/>
              <w:spacing w:before="60" w:after="60"/>
              <w:jc w:val="center"/>
              <w:rPr>
                <w:rFonts w:cs="Tahoma"/>
                <w:b/>
                <w:sz w:val="16"/>
                <w:szCs w:val="16"/>
                <w:lang w:val="sl-SI" w:eastAsia="en-GB"/>
              </w:rPr>
            </w:pPr>
            <w:r>
              <w:rPr>
                <w:rStyle w:val="Guide-Condensed-01"/>
                <w:rFonts w:cs="Tahoma"/>
                <w:b/>
                <w:sz w:val="16"/>
                <w:szCs w:val="16"/>
                <w:lang w:val="sl-SI" w:eastAsia="en-GB"/>
              </w:rPr>
              <w:t>Učitelj/vodja usposa-bljanja/</w:t>
            </w:r>
            <w:r w:rsidRPr="00F769E0">
              <w:rPr>
                <w:rStyle w:val="Guide-Condensed-01"/>
                <w:rFonts w:cs="Tahoma"/>
                <w:b/>
                <w:sz w:val="16"/>
                <w:szCs w:val="16"/>
                <w:lang w:val="sl-SI" w:eastAsia="en-GB"/>
              </w:rPr>
              <w:t>raziskovalec/ Mladinski delavec</w:t>
            </w:r>
          </w:p>
        </w:tc>
        <w:tc>
          <w:tcPr>
            <w:tcW w:w="20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B2" w14:textId="77777777" w:rsidR="00E03711" w:rsidRPr="00F769E0" w:rsidRDefault="00E03711" w:rsidP="0042083E">
            <w:pPr>
              <w:pStyle w:val="GUIDE-NORMAL"/>
              <w:spacing w:before="60" w:after="60"/>
              <w:jc w:val="center"/>
              <w:rPr>
                <w:rFonts w:cs="Tahoma"/>
                <w:b/>
                <w:lang w:val="sl-SI" w:eastAsia="en-GB"/>
              </w:rPr>
            </w:pPr>
          </w:p>
          <w:p w14:paraId="7D39A4B3" w14:textId="77777777" w:rsidR="00E03711" w:rsidRPr="00F769E0" w:rsidRDefault="00E03711" w:rsidP="0042083E">
            <w:pPr>
              <w:pStyle w:val="GUIDE-NORMAL"/>
              <w:spacing w:before="60" w:after="60"/>
              <w:jc w:val="center"/>
              <w:rPr>
                <w:rFonts w:cs="Tahoma"/>
                <w:b/>
                <w:lang w:val="sl-SI" w:eastAsia="en-GB"/>
              </w:rPr>
            </w:pPr>
            <w:r w:rsidRPr="00F769E0">
              <w:rPr>
                <w:rFonts w:cs="Tahoma"/>
                <w:b/>
                <w:lang w:val="sl-SI" w:eastAsia="en-GB"/>
              </w:rPr>
              <w:t>Tehnično osebje</w:t>
            </w:r>
          </w:p>
        </w:tc>
        <w:tc>
          <w:tcPr>
            <w:tcW w:w="20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B4" w14:textId="77777777" w:rsidR="00E03711" w:rsidRPr="00F769E0" w:rsidRDefault="00E03711" w:rsidP="0042083E">
            <w:pPr>
              <w:pStyle w:val="GUIDE-NORMAL"/>
              <w:spacing w:before="60" w:after="60"/>
              <w:jc w:val="center"/>
              <w:rPr>
                <w:rFonts w:cs="Tahoma"/>
                <w:b/>
                <w:lang w:val="sl-SI" w:eastAsia="en-GB"/>
              </w:rPr>
            </w:pPr>
          </w:p>
          <w:p w14:paraId="7D39A4B5" w14:textId="77777777" w:rsidR="00E03711" w:rsidRPr="00F769E0" w:rsidRDefault="00E03711" w:rsidP="0042083E">
            <w:pPr>
              <w:pStyle w:val="GUIDE-NORMAL"/>
              <w:spacing w:before="60" w:after="60"/>
              <w:jc w:val="center"/>
              <w:rPr>
                <w:rFonts w:cs="Tahoma"/>
                <w:b/>
                <w:lang w:val="sl-SI" w:eastAsia="en-GB"/>
              </w:rPr>
            </w:pPr>
            <w:r w:rsidRPr="00F769E0">
              <w:rPr>
                <w:rFonts w:cs="Tahoma"/>
                <w:b/>
                <w:lang w:val="sl-SI" w:eastAsia="en-GB"/>
              </w:rPr>
              <w:t>Administrativno osebje</w:t>
            </w:r>
          </w:p>
        </w:tc>
      </w:tr>
      <w:tr w:rsidR="00E03711" w:rsidRPr="008C6F8C" w14:paraId="7D39A4BC" w14:textId="77777777" w:rsidTr="00392A79">
        <w:trPr>
          <w:trHeight w:val="20"/>
        </w:trPr>
        <w:tc>
          <w:tcPr>
            <w:tcW w:w="6930" w:type="dxa"/>
            <w:vMerge/>
            <w:tcBorders>
              <w:top w:val="nil"/>
              <w:left w:val="none" w:sz="6" w:space="0" w:color="auto"/>
              <w:bottom w:val="single" w:sz="6" w:space="0" w:color="000000"/>
              <w:right w:val="single" w:sz="6" w:space="0" w:color="000000"/>
            </w:tcBorders>
            <w:shd w:val="clear" w:color="auto" w:fill="auto"/>
            <w:vAlign w:val="center"/>
          </w:tcPr>
          <w:p w14:paraId="7D39A4B7" w14:textId="77777777" w:rsidR="00E03711" w:rsidRPr="00F769E0" w:rsidRDefault="00E03711" w:rsidP="0042083E">
            <w:pPr>
              <w:pStyle w:val="GUIDE-NORMAL"/>
              <w:spacing w:before="60" w:after="60"/>
              <w:jc w:val="left"/>
              <w:rPr>
                <w:rFonts w:cs="Tahoma"/>
                <w:sz w:val="2"/>
                <w:szCs w:val="2"/>
                <w:lang w:val="sl-SI" w:eastAsia="en-GB"/>
              </w:rPr>
            </w:pPr>
          </w:p>
        </w:tc>
        <w:tc>
          <w:tcPr>
            <w:tcW w:w="16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B8" w14:textId="77777777" w:rsidR="00E03711" w:rsidRPr="00F769E0" w:rsidRDefault="00E03711" w:rsidP="0042083E">
            <w:pPr>
              <w:pStyle w:val="GUIDE-NORMAL"/>
              <w:spacing w:before="60" w:after="60"/>
              <w:jc w:val="center"/>
              <w:rPr>
                <w:rFonts w:cs="Tahoma"/>
                <w:b/>
                <w:lang w:val="sl-SI" w:eastAsia="en-GB"/>
              </w:rPr>
            </w:pPr>
            <w:r w:rsidRPr="00F769E0">
              <w:rPr>
                <w:rFonts w:cs="Tahoma"/>
                <w:b/>
                <w:lang w:val="sl-SI" w:eastAsia="en-GB"/>
              </w:rPr>
              <w:t>B5.1</w:t>
            </w:r>
          </w:p>
        </w:tc>
        <w:tc>
          <w:tcPr>
            <w:tcW w:w="20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B9" w14:textId="77777777" w:rsidR="00E03711" w:rsidRPr="00F769E0" w:rsidRDefault="00E03711" w:rsidP="0042083E">
            <w:pPr>
              <w:pStyle w:val="GUIDE-NORMAL"/>
              <w:spacing w:before="60" w:after="60"/>
              <w:jc w:val="center"/>
              <w:rPr>
                <w:rFonts w:cs="Tahoma"/>
                <w:b/>
                <w:lang w:val="sl-SI" w:eastAsia="en-GB"/>
              </w:rPr>
            </w:pPr>
            <w:r w:rsidRPr="00F769E0">
              <w:rPr>
                <w:rFonts w:cs="Tahoma"/>
                <w:b/>
                <w:lang w:val="sl-SI" w:eastAsia="en-GB"/>
              </w:rPr>
              <w:t>B5.2</w:t>
            </w:r>
          </w:p>
        </w:tc>
        <w:tc>
          <w:tcPr>
            <w:tcW w:w="20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BA" w14:textId="77777777" w:rsidR="00E03711" w:rsidRPr="00F769E0" w:rsidRDefault="00E03711" w:rsidP="0042083E">
            <w:pPr>
              <w:pStyle w:val="GUIDE-NORMAL"/>
              <w:spacing w:before="60" w:after="60"/>
              <w:jc w:val="center"/>
              <w:rPr>
                <w:rFonts w:cs="Tahoma"/>
                <w:b/>
                <w:lang w:val="sl-SI" w:eastAsia="en-GB"/>
              </w:rPr>
            </w:pPr>
            <w:r w:rsidRPr="00F769E0">
              <w:rPr>
                <w:rFonts w:cs="Tahoma"/>
                <w:b/>
                <w:lang w:val="sl-SI" w:eastAsia="en-GB"/>
              </w:rPr>
              <w:t>B5.3</w:t>
            </w:r>
          </w:p>
        </w:tc>
        <w:tc>
          <w:tcPr>
            <w:tcW w:w="20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BB" w14:textId="77777777" w:rsidR="00E03711" w:rsidRPr="00F769E0" w:rsidRDefault="00E03711" w:rsidP="0042083E">
            <w:pPr>
              <w:pStyle w:val="GUIDE-NORMAL"/>
              <w:spacing w:before="60" w:after="60"/>
              <w:jc w:val="center"/>
              <w:rPr>
                <w:rFonts w:cs="Tahoma"/>
                <w:b/>
                <w:lang w:val="sl-SI" w:eastAsia="en-GB"/>
              </w:rPr>
            </w:pPr>
            <w:r w:rsidRPr="00F769E0">
              <w:rPr>
                <w:rFonts w:cs="Tahoma"/>
                <w:b/>
                <w:lang w:val="sl-SI" w:eastAsia="en-GB"/>
              </w:rPr>
              <w:t>B5.4</w:t>
            </w:r>
          </w:p>
        </w:tc>
      </w:tr>
      <w:tr w:rsidR="00E03711" w:rsidRPr="008C6F8C" w14:paraId="7D39A4C2" w14:textId="77777777" w:rsidTr="00392A79">
        <w:trPr>
          <w:trHeight w:val="20"/>
        </w:trPr>
        <w:tc>
          <w:tcPr>
            <w:tcW w:w="69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BD" w14:textId="77777777" w:rsidR="00E03711" w:rsidRPr="00F769E0" w:rsidRDefault="00E03711" w:rsidP="005104F6">
            <w:pPr>
              <w:pStyle w:val="GUIDE-NORMAL"/>
              <w:spacing w:before="60" w:after="60"/>
              <w:jc w:val="left"/>
              <w:rPr>
                <w:rFonts w:cs="Tahoma"/>
                <w:b/>
                <w:lang w:val="sl-SI" w:eastAsia="en-GB"/>
              </w:rPr>
            </w:pPr>
            <w:r w:rsidRPr="00F769E0">
              <w:rPr>
                <w:rFonts w:cs="Tahoma"/>
                <w:b/>
                <w:lang w:val="sl-SI" w:eastAsia="en-GB"/>
              </w:rPr>
              <w:t>Avstralija, Kanada, Kuvajt, Macao, Monako, Katar, San Marino, Švica, Združene države Amerike</w:t>
            </w:r>
          </w:p>
        </w:tc>
        <w:tc>
          <w:tcPr>
            <w:tcW w:w="16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BE" w14:textId="77777777" w:rsidR="00E03711" w:rsidRPr="00F769E0" w:rsidRDefault="00E03711" w:rsidP="005104F6">
            <w:pPr>
              <w:pStyle w:val="GUIDE-NORMAL"/>
              <w:spacing w:before="60" w:after="60"/>
              <w:jc w:val="center"/>
              <w:rPr>
                <w:rFonts w:cs="Tahoma"/>
                <w:lang w:val="sl-SI" w:eastAsia="en-GB"/>
              </w:rPr>
            </w:pPr>
            <w:r w:rsidRPr="00F769E0">
              <w:rPr>
                <w:rFonts w:cs="Tahoma"/>
                <w:lang w:val="sl-SI" w:eastAsia="en-GB"/>
              </w:rPr>
              <w:t>294</w:t>
            </w:r>
          </w:p>
        </w:tc>
        <w:tc>
          <w:tcPr>
            <w:tcW w:w="20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BF" w14:textId="77777777" w:rsidR="00E03711" w:rsidRPr="00F769E0" w:rsidRDefault="00E03711" w:rsidP="005104F6">
            <w:pPr>
              <w:pStyle w:val="GUIDE-NORMAL"/>
              <w:spacing w:before="60" w:after="60"/>
              <w:jc w:val="center"/>
              <w:rPr>
                <w:rFonts w:cs="Tahoma"/>
                <w:lang w:val="sl-SI" w:eastAsia="en-GB"/>
              </w:rPr>
            </w:pPr>
            <w:r w:rsidRPr="00F769E0">
              <w:rPr>
                <w:rFonts w:cs="Tahoma"/>
                <w:lang w:val="sl-SI" w:eastAsia="en-GB"/>
              </w:rPr>
              <w:t>241</w:t>
            </w:r>
          </w:p>
        </w:tc>
        <w:tc>
          <w:tcPr>
            <w:tcW w:w="20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C0" w14:textId="77777777" w:rsidR="00E03711" w:rsidRPr="00F769E0" w:rsidRDefault="00E03711" w:rsidP="005104F6">
            <w:pPr>
              <w:pStyle w:val="GUIDE-NORMAL"/>
              <w:spacing w:before="60" w:after="60"/>
              <w:jc w:val="center"/>
              <w:rPr>
                <w:rFonts w:cs="Tahoma"/>
                <w:lang w:val="sl-SI" w:eastAsia="en-GB"/>
              </w:rPr>
            </w:pPr>
            <w:r w:rsidRPr="00F769E0">
              <w:rPr>
                <w:rFonts w:cs="Tahoma"/>
                <w:lang w:val="sl-SI" w:eastAsia="en-GB"/>
              </w:rPr>
              <w:t>190</w:t>
            </w:r>
          </w:p>
        </w:tc>
        <w:tc>
          <w:tcPr>
            <w:tcW w:w="20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C1" w14:textId="77777777" w:rsidR="00E03711" w:rsidRPr="00F769E0" w:rsidRDefault="00E03711" w:rsidP="005104F6">
            <w:pPr>
              <w:pStyle w:val="GUIDE-NORMAL"/>
              <w:spacing w:before="60" w:after="60"/>
              <w:jc w:val="center"/>
              <w:rPr>
                <w:rFonts w:cs="Tahoma"/>
                <w:lang w:val="sl-SI" w:eastAsia="en-GB"/>
              </w:rPr>
            </w:pPr>
            <w:r w:rsidRPr="00F769E0">
              <w:rPr>
                <w:rFonts w:cs="Tahoma"/>
                <w:lang w:val="sl-SI" w:eastAsia="en-GB"/>
              </w:rPr>
              <w:t>157</w:t>
            </w:r>
          </w:p>
        </w:tc>
      </w:tr>
      <w:tr w:rsidR="00E03711" w:rsidRPr="008C6F8C" w14:paraId="7D39A4C8" w14:textId="77777777" w:rsidTr="00392A79">
        <w:trPr>
          <w:trHeight w:val="20"/>
        </w:trPr>
        <w:tc>
          <w:tcPr>
            <w:tcW w:w="69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C3" w14:textId="77777777" w:rsidR="00E03711" w:rsidRPr="00F769E0" w:rsidRDefault="00E03711" w:rsidP="005104F6">
            <w:pPr>
              <w:pStyle w:val="GUIDE-NORMAL"/>
              <w:spacing w:before="60" w:after="60"/>
              <w:jc w:val="left"/>
              <w:rPr>
                <w:rFonts w:cs="Tahoma"/>
                <w:b/>
                <w:lang w:val="sl-SI" w:eastAsia="en-GB"/>
              </w:rPr>
            </w:pPr>
            <w:r w:rsidRPr="00F769E0">
              <w:rPr>
                <w:rFonts w:cs="Tahoma"/>
                <w:b/>
                <w:lang w:val="sl-SI" w:eastAsia="en-GB"/>
              </w:rPr>
              <w:t>Andora, Brunej, Japonska, Nova Zelandija, Singapur, Združeni arabski emirati, Vatikanska mestna država</w:t>
            </w:r>
          </w:p>
        </w:tc>
        <w:tc>
          <w:tcPr>
            <w:tcW w:w="16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C4" w14:textId="77777777" w:rsidR="00E03711" w:rsidRPr="00F769E0" w:rsidRDefault="00E03711" w:rsidP="005104F6">
            <w:pPr>
              <w:pStyle w:val="GUIDE-NORMAL"/>
              <w:spacing w:before="60" w:after="60"/>
              <w:jc w:val="center"/>
              <w:rPr>
                <w:rFonts w:cs="Tahoma"/>
                <w:lang w:val="sl-SI" w:eastAsia="en-GB"/>
              </w:rPr>
            </w:pPr>
            <w:r w:rsidRPr="00F769E0">
              <w:rPr>
                <w:rFonts w:cs="Tahoma"/>
                <w:lang w:val="sl-SI" w:eastAsia="en-GB"/>
              </w:rPr>
              <w:t>280</w:t>
            </w:r>
          </w:p>
        </w:tc>
        <w:tc>
          <w:tcPr>
            <w:tcW w:w="20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C5" w14:textId="77777777" w:rsidR="00E03711" w:rsidRPr="00F769E0" w:rsidRDefault="00E03711" w:rsidP="005104F6">
            <w:pPr>
              <w:pStyle w:val="GUIDE-NORMAL"/>
              <w:spacing w:before="60" w:after="60"/>
              <w:jc w:val="center"/>
              <w:rPr>
                <w:rFonts w:cs="Tahoma"/>
                <w:lang w:val="sl-SI" w:eastAsia="en-GB"/>
              </w:rPr>
            </w:pPr>
            <w:r w:rsidRPr="00F769E0">
              <w:rPr>
                <w:rFonts w:cs="Tahoma"/>
                <w:lang w:val="sl-SI" w:eastAsia="en-GB"/>
              </w:rPr>
              <w:t>214</w:t>
            </w:r>
          </w:p>
        </w:tc>
        <w:tc>
          <w:tcPr>
            <w:tcW w:w="20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C6" w14:textId="77777777" w:rsidR="00E03711" w:rsidRPr="00F769E0" w:rsidRDefault="00E03711" w:rsidP="005104F6">
            <w:pPr>
              <w:pStyle w:val="GUIDE-NORMAL"/>
              <w:spacing w:before="60" w:after="60"/>
              <w:jc w:val="center"/>
              <w:rPr>
                <w:rFonts w:cs="Tahoma"/>
                <w:lang w:val="sl-SI" w:eastAsia="en-GB"/>
              </w:rPr>
            </w:pPr>
            <w:r w:rsidRPr="00F769E0">
              <w:rPr>
                <w:rFonts w:cs="Tahoma"/>
                <w:lang w:val="sl-SI" w:eastAsia="en-GB"/>
              </w:rPr>
              <w:t>162</w:t>
            </w:r>
          </w:p>
        </w:tc>
        <w:tc>
          <w:tcPr>
            <w:tcW w:w="20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C7" w14:textId="77777777" w:rsidR="00E03711" w:rsidRPr="00F769E0" w:rsidRDefault="00E03711" w:rsidP="005104F6">
            <w:pPr>
              <w:pStyle w:val="GUIDE-NORMAL"/>
              <w:spacing w:before="60" w:after="60"/>
              <w:jc w:val="center"/>
              <w:rPr>
                <w:rFonts w:cs="Tahoma"/>
                <w:lang w:val="sl-SI" w:eastAsia="en-GB"/>
              </w:rPr>
            </w:pPr>
            <w:r w:rsidRPr="00F769E0">
              <w:rPr>
                <w:rFonts w:cs="Tahoma"/>
                <w:lang w:val="sl-SI" w:eastAsia="en-GB"/>
              </w:rPr>
              <w:t>131</w:t>
            </w:r>
          </w:p>
        </w:tc>
      </w:tr>
      <w:tr w:rsidR="00E03711" w:rsidRPr="008C6F8C" w14:paraId="7D39A4CE" w14:textId="77777777" w:rsidTr="00392A79">
        <w:trPr>
          <w:trHeight w:val="20"/>
        </w:trPr>
        <w:tc>
          <w:tcPr>
            <w:tcW w:w="69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C9" w14:textId="77777777" w:rsidR="00E03711" w:rsidRPr="00F769E0" w:rsidRDefault="00E03711" w:rsidP="005104F6">
            <w:pPr>
              <w:pStyle w:val="GUIDE-NORMAL"/>
              <w:spacing w:before="60" w:after="60"/>
              <w:jc w:val="left"/>
              <w:rPr>
                <w:rFonts w:cs="Tahoma"/>
                <w:b/>
                <w:lang w:val="sl-SI" w:eastAsia="en-GB"/>
              </w:rPr>
            </w:pPr>
            <w:r w:rsidRPr="00F769E0">
              <w:rPr>
                <w:rFonts w:cs="Tahoma"/>
                <w:b/>
                <w:lang w:val="sl-SI" w:eastAsia="en-GB"/>
              </w:rPr>
              <w:t>Bahami, Bahrajn, Hongkong, Izrael, (Republika) Koreja, Oman, Saudova Arabija, Tajvan</w:t>
            </w:r>
          </w:p>
        </w:tc>
        <w:tc>
          <w:tcPr>
            <w:tcW w:w="16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CA" w14:textId="77777777" w:rsidR="00E03711" w:rsidRPr="00F769E0" w:rsidRDefault="00E03711" w:rsidP="005104F6">
            <w:pPr>
              <w:pStyle w:val="GUIDE-NORMAL"/>
              <w:spacing w:before="60" w:after="60"/>
              <w:jc w:val="center"/>
              <w:rPr>
                <w:rFonts w:cs="Tahoma"/>
                <w:lang w:val="sl-SI" w:eastAsia="en-GB"/>
              </w:rPr>
            </w:pPr>
            <w:r w:rsidRPr="00F769E0">
              <w:rPr>
                <w:rFonts w:cs="Tahoma"/>
                <w:lang w:val="sl-SI" w:eastAsia="en-GB"/>
              </w:rPr>
              <w:t>164</w:t>
            </w:r>
          </w:p>
        </w:tc>
        <w:tc>
          <w:tcPr>
            <w:tcW w:w="20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CB" w14:textId="77777777" w:rsidR="00E03711" w:rsidRPr="00F769E0" w:rsidRDefault="00E03711" w:rsidP="005104F6">
            <w:pPr>
              <w:pStyle w:val="GUIDE-NORMAL"/>
              <w:spacing w:before="60" w:after="60"/>
              <w:jc w:val="center"/>
              <w:rPr>
                <w:rFonts w:cs="Tahoma"/>
                <w:lang w:val="sl-SI" w:eastAsia="en-GB"/>
              </w:rPr>
            </w:pPr>
            <w:r w:rsidRPr="00F769E0">
              <w:rPr>
                <w:rFonts w:cs="Tahoma"/>
                <w:lang w:val="sl-SI" w:eastAsia="en-GB"/>
              </w:rPr>
              <w:t>137</w:t>
            </w:r>
          </w:p>
        </w:tc>
        <w:tc>
          <w:tcPr>
            <w:tcW w:w="20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CC" w14:textId="77777777" w:rsidR="00E03711" w:rsidRPr="00F769E0" w:rsidRDefault="00E03711" w:rsidP="005104F6">
            <w:pPr>
              <w:pStyle w:val="GUIDE-NORMAL"/>
              <w:spacing w:before="60" w:after="60"/>
              <w:jc w:val="center"/>
              <w:rPr>
                <w:rFonts w:cs="Tahoma"/>
                <w:lang w:val="sl-SI" w:eastAsia="en-GB"/>
              </w:rPr>
            </w:pPr>
            <w:r w:rsidRPr="00F769E0">
              <w:rPr>
                <w:rFonts w:cs="Tahoma"/>
                <w:lang w:val="sl-SI" w:eastAsia="en-GB"/>
              </w:rPr>
              <w:t>102</w:t>
            </w:r>
          </w:p>
        </w:tc>
        <w:tc>
          <w:tcPr>
            <w:tcW w:w="20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39A4CD" w14:textId="77777777" w:rsidR="00E03711" w:rsidRPr="00F769E0" w:rsidRDefault="00E03711" w:rsidP="005104F6">
            <w:pPr>
              <w:pStyle w:val="GUIDE-NORMAL"/>
              <w:spacing w:before="60" w:after="60"/>
              <w:jc w:val="center"/>
              <w:rPr>
                <w:rFonts w:cs="Tahoma"/>
                <w:lang w:val="sl-SI" w:eastAsia="en-GB"/>
              </w:rPr>
            </w:pPr>
            <w:r w:rsidRPr="00F769E0">
              <w:rPr>
                <w:rFonts w:cs="Tahoma"/>
                <w:lang w:val="sl-SI" w:eastAsia="en-GB"/>
              </w:rPr>
              <w:t>78</w:t>
            </w:r>
          </w:p>
        </w:tc>
      </w:tr>
      <w:tr w:rsidR="00E03711" w:rsidRPr="008C6F8C" w14:paraId="7D39A4D8" w14:textId="77777777" w:rsidTr="00392A79">
        <w:trPr>
          <w:trHeight w:val="20"/>
        </w:trPr>
        <w:tc>
          <w:tcPr>
            <w:tcW w:w="6930"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A4CF" w14:textId="77777777" w:rsidR="00E03711" w:rsidRPr="00F769E0" w:rsidRDefault="00E03711" w:rsidP="006A40CD">
            <w:pPr>
              <w:pStyle w:val="GUIDE-NORMAL"/>
              <w:spacing w:before="60" w:after="60"/>
              <w:jc w:val="left"/>
              <w:rPr>
                <w:rFonts w:cs="Tahoma"/>
                <w:b/>
                <w:lang w:val="sl-SI" w:eastAsia="en-GB"/>
              </w:rPr>
            </w:pPr>
            <w:r w:rsidRPr="00F769E0">
              <w:rPr>
                <w:rFonts w:cs="Tahoma"/>
                <w:b/>
                <w:lang w:val="sl-SI" w:eastAsia="en-GB"/>
              </w:rPr>
              <w:t>Afganistan, Albanija, Alžirija, Angola, Antigva in Barbuda, Argentina, Armenija, Azerbajdžan, Bangladeš, Barbados, Belorusija, Belize, Benin, Butan, Bolivija, Bosna in Hercegovina, Bocvana, Brazilija, Burkina Faso, Burundi, Kambodža, Kamerun, Zelenortski otoki, Srednjeafriška republika, Čad, Čile, Kitajska, Kolumbija, Komori, Kongo, Demokratična republika Kongo, Cookovi otoki, Kostarika, Kuba, Džibuti, Dominika, Dominikanska republika, Ekvador, Egipt, Salvador, Ekvatorialna Gvineja Eritreja,</w:t>
            </w:r>
            <w:r>
              <w:rPr>
                <w:rFonts w:cs="Tahoma"/>
                <w:b/>
                <w:lang w:val="sl-SI" w:eastAsia="en-GB"/>
              </w:rPr>
              <w:t xml:space="preserve"> Esvatini</w:t>
            </w:r>
            <w:r w:rsidRPr="00F769E0">
              <w:rPr>
                <w:rFonts w:cs="Tahoma"/>
                <w:b/>
                <w:lang w:val="sl-SI" w:eastAsia="en-GB"/>
              </w:rPr>
              <w:t>, Etiopija, Fidži, Gabon, Gambija, Gruzija, Gana, Grenada, Gvatemala, Gvineja, Gvineja Bissau, Gvajana, Haiti, Honduras, Indija, Indonezija, Iran, Irak, Slonokoščena obala, Jamajka, Jordanija, Kazahstan, Kenija, Kiribati, Demokratična ljudska republika Koreja, Kosovo, Kirgizistan, Laos, Libanon, Lesoto, Liberija, Libija, Madagaskar, Malavi, Malezija, Maldivi, Mali, Marshallovi otoki, Mavretanija, Mauritius, Mehika, Federativne države Mikronezije, Moldavija, Mongolija, Črna gora, Maroko, Mozambik, Mjanmar, Namibija, Nauru, Nepal, Nikaragva, Niger, Nigerija, Niue, Pakistan, Palau, Palestina, Panama, Papua Nova Gvineja, Paragvaj, Peru, Filipini, Ruanda, Sint Kitts in Nevis, Sveta Lucija, Saint Vincent in Grenadine, Samoa, Sao Tome in Principe, Senegal, Sejšeli, Sierra Leone, Salomonovi otoki, Somalija, Južna Afrika, Južni Sudan, Šrilanka, Sudan, Surinam, Sirija, Tadžikistan, Tanzanija, ozemlje Rusije, kot je priznano z mednarodnim pravom, ozemlje Ukrajine, kot je priznano z mednarodnim pravom, Tajska, Demokratična republika Vzhodni Timor, Togo, Tonga, Trinidad in Tobago, Tunizija, Turkmenistan, Tuvalu, Uganda, Urugvaj, Uzbekistan, Vanuatu, Venezuela, Vietnam, Jemen, Zambija, Zimbabve</w:t>
            </w:r>
          </w:p>
        </w:tc>
        <w:tc>
          <w:tcPr>
            <w:tcW w:w="1631"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A4D0" w14:textId="77777777" w:rsidR="00E03711" w:rsidRPr="00F769E0" w:rsidRDefault="00E03711" w:rsidP="005104F6">
            <w:pPr>
              <w:pStyle w:val="GUIDE-NORMAL"/>
              <w:spacing w:before="60" w:after="60"/>
              <w:jc w:val="center"/>
              <w:rPr>
                <w:rFonts w:cs="Tahoma"/>
                <w:lang w:val="sl-SI" w:eastAsia="en-GB"/>
              </w:rPr>
            </w:pPr>
          </w:p>
          <w:p w14:paraId="7D39A4D1" w14:textId="77777777" w:rsidR="00E03711" w:rsidRPr="00F769E0" w:rsidRDefault="00E03711" w:rsidP="005104F6">
            <w:pPr>
              <w:pStyle w:val="GUIDE-NORMAL"/>
              <w:spacing w:before="60" w:after="60"/>
              <w:jc w:val="center"/>
              <w:rPr>
                <w:rFonts w:cs="Tahoma"/>
                <w:lang w:val="sl-SI" w:eastAsia="en-GB"/>
              </w:rPr>
            </w:pPr>
            <w:r w:rsidRPr="00F769E0">
              <w:rPr>
                <w:rFonts w:cs="Tahoma"/>
                <w:lang w:val="sl-SI" w:eastAsia="en-GB"/>
              </w:rPr>
              <w:t>88</w:t>
            </w:r>
          </w:p>
        </w:tc>
        <w:tc>
          <w:tcPr>
            <w:tcW w:w="2003"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A4D2" w14:textId="77777777" w:rsidR="00E03711" w:rsidRPr="00F769E0" w:rsidRDefault="00E03711" w:rsidP="005104F6">
            <w:pPr>
              <w:pStyle w:val="GUIDE-NORMAL"/>
              <w:spacing w:before="60" w:after="60"/>
              <w:jc w:val="center"/>
              <w:rPr>
                <w:rFonts w:cs="Tahoma"/>
                <w:lang w:val="sl-SI" w:eastAsia="en-GB"/>
              </w:rPr>
            </w:pPr>
          </w:p>
          <w:p w14:paraId="7D39A4D3" w14:textId="77777777" w:rsidR="00E03711" w:rsidRPr="00F769E0" w:rsidRDefault="00E03711" w:rsidP="005104F6">
            <w:pPr>
              <w:pStyle w:val="GUIDE-NORMAL"/>
              <w:spacing w:before="60" w:after="60"/>
              <w:jc w:val="center"/>
              <w:rPr>
                <w:rFonts w:cs="Tahoma"/>
                <w:lang w:val="sl-SI" w:eastAsia="en-GB"/>
              </w:rPr>
            </w:pPr>
            <w:r w:rsidRPr="00F769E0">
              <w:rPr>
                <w:rFonts w:cs="Tahoma"/>
                <w:lang w:val="sl-SI" w:eastAsia="en-GB"/>
              </w:rPr>
              <w:t>74</w:t>
            </w:r>
          </w:p>
        </w:tc>
        <w:tc>
          <w:tcPr>
            <w:tcW w:w="2003"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A4D4" w14:textId="77777777" w:rsidR="00E03711" w:rsidRPr="00F769E0" w:rsidRDefault="00E03711" w:rsidP="005104F6">
            <w:pPr>
              <w:pStyle w:val="GUIDE-NORMAL"/>
              <w:spacing w:before="60" w:after="60"/>
              <w:jc w:val="center"/>
              <w:rPr>
                <w:rFonts w:cs="Tahoma"/>
                <w:lang w:val="sl-SI" w:eastAsia="en-GB"/>
              </w:rPr>
            </w:pPr>
          </w:p>
          <w:p w14:paraId="7D39A4D5" w14:textId="77777777" w:rsidR="00E03711" w:rsidRPr="00F769E0" w:rsidRDefault="00E03711" w:rsidP="005104F6">
            <w:pPr>
              <w:pStyle w:val="GUIDE-NORMAL"/>
              <w:spacing w:before="60" w:after="60"/>
              <w:jc w:val="center"/>
              <w:rPr>
                <w:rFonts w:cs="Tahoma"/>
                <w:lang w:val="sl-SI" w:eastAsia="en-GB"/>
              </w:rPr>
            </w:pPr>
            <w:r w:rsidRPr="00F769E0">
              <w:rPr>
                <w:rFonts w:cs="Tahoma"/>
                <w:lang w:val="sl-SI" w:eastAsia="en-GB"/>
              </w:rPr>
              <w:t>55</w:t>
            </w:r>
          </w:p>
        </w:tc>
        <w:tc>
          <w:tcPr>
            <w:tcW w:w="2003"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D39A4D6" w14:textId="77777777" w:rsidR="00E03711" w:rsidRPr="00F769E0" w:rsidRDefault="00E03711" w:rsidP="005104F6">
            <w:pPr>
              <w:pStyle w:val="GUIDE-NORMAL"/>
              <w:spacing w:before="60" w:after="60"/>
              <w:jc w:val="center"/>
              <w:rPr>
                <w:rFonts w:cs="Tahoma"/>
                <w:lang w:val="sl-SI" w:eastAsia="en-GB"/>
              </w:rPr>
            </w:pPr>
          </w:p>
          <w:p w14:paraId="7D39A4D7" w14:textId="77777777" w:rsidR="00E03711" w:rsidRPr="00F769E0" w:rsidRDefault="00E03711" w:rsidP="005104F6">
            <w:pPr>
              <w:pStyle w:val="GUIDE-NORMAL"/>
              <w:spacing w:before="60" w:after="60"/>
              <w:jc w:val="center"/>
              <w:rPr>
                <w:rFonts w:cs="Tahoma"/>
                <w:lang w:val="sl-SI" w:eastAsia="en-GB"/>
              </w:rPr>
            </w:pPr>
            <w:r w:rsidRPr="00F769E0">
              <w:rPr>
                <w:rFonts w:cs="Tahoma"/>
                <w:lang w:val="sl-SI" w:eastAsia="en-GB"/>
              </w:rPr>
              <w:t>39</w:t>
            </w:r>
          </w:p>
        </w:tc>
      </w:tr>
    </w:tbl>
    <w:p w14:paraId="7D39A4D9" w14:textId="77777777" w:rsidR="00E03711" w:rsidRDefault="00E03711" w:rsidP="005115F2">
      <w:pPr>
        <w:pStyle w:val="Guide-Heading3"/>
        <w:numPr>
          <w:ilvl w:val="2"/>
          <w:numId w:val="105"/>
        </w:numPr>
        <w:rPr>
          <w:lang w:val="sl-SI"/>
        </w:rPr>
        <w:sectPr w:rsidR="00E03711" w:rsidSect="00073E87">
          <w:endnotePr>
            <w:numFmt w:val="decimal"/>
          </w:endnotePr>
          <w:pgSz w:w="16840" w:h="11910" w:orient="landscape" w:code="9"/>
          <w:pgMar w:top="1418" w:right="1134" w:bottom="1418" w:left="1134" w:header="284" w:footer="567" w:gutter="0"/>
          <w:cols w:space="720"/>
          <w:docGrid w:linePitch="326"/>
        </w:sectPr>
      </w:pPr>
      <w:bookmarkStart w:id="366" w:name="Petits_projets_de_collaboration"/>
      <w:bookmarkStart w:id="367" w:name="_bookmark56"/>
      <w:bookmarkEnd w:id="366"/>
      <w:bookmarkEnd w:id="367"/>
    </w:p>
    <w:p w14:paraId="7D39A4DA" w14:textId="77777777" w:rsidR="00E03711" w:rsidRDefault="00E03711">
      <w:pPr>
        <w:pStyle w:val="Guide-Heading3"/>
        <w:rPr>
          <w:lang w:val="sl-SI"/>
        </w:rPr>
      </w:pPr>
      <w:bookmarkStart w:id="368" w:name="_Toc527400934"/>
      <w:bookmarkStart w:id="369" w:name="_Toc527401216"/>
      <w:r w:rsidRPr="001048FE">
        <w:rPr>
          <w:lang w:val="sl-SI"/>
        </w:rPr>
        <w:t>Majhna partnerska sodelovanja</w:t>
      </w:r>
      <w:bookmarkEnd w:id="368"/>
      <w:bookmarkEnd w:id="369"/>
    </w:p>
    <w:p w14:paraId="7D39A4DB" w14:textId="77777777" w:rsidR="00E03711" w:rsidRPr="001048FE" w:rsidRDefault="00E03711" w:rsidP="008C730A">
      <w:pPr>
        <w:pStyle w:val="Guide-Heading4"/>
        <w:rPr>
          <w:lang w:val="sl-SI"/>
        </w:rPr>
      </w:pPr>
      <w:bookmarkStart w:id="370" w:name="Quels_sont_les_objectifs_d'un_petit_proj"/>
      <w:bookmarkStart w:id="371" w:name="_Toc527401217"/>
      <w:bookmarkEnd w:id="370"/>
      <w:r w:rsidRPr="001048FE">
        <w:rPr>
          <w:lang w:val="sl-SI"/>
        </w:rPr>
        <w:t>Kakšni so cilji majhnega partnerskega sodelovanja?</w:t>
      </w:r>
      <w:bookmarkEnd w:id="371"/>
    </w:p>
    <w:p w14:paraId="7D39A4DC" w14:textId="77777777" w:rsidR="00E03711" w:rsidRPr="001048FE" w:rsidRDefault="00E03711" w:rsidP="00DF77BE">
      <w:pPr>
        <w:pStyle w:val="GUIDE-NORMAL"/>
        <w:rPr>
          <w:lang w:val="sl-SI"/>
        </w:rPr>
      </w:pPr>
      <w:r w:rsidRPr="001048FE">
        <w:rPr>
          <w:lang w:val="sl-SI"/>
        </w:rPr>
        <w:t>Majhna partnerska sodelovanja bodo organizacijam omogočila, da razvijejo in krepijo omrežja, povečajo svoje zmogljivosti za delovanje na nadnacionalni ravni, izmenjajo dobre prakse ter primerjajo ideje in metode na različnih področjih, povezanih s športom in telesno dejavnostjo. Izbrani projekti lahko tudi privedejo do otipljivih rezultatov in pričakuje se, da bodo razširjali rezultate svojih aktivnosti, čeprav na način, ki je sorazmeren z namenom in obsegom projekta. Majhna partnerska sodelovanja vključujejo različne organizacije, med drugim zlasti javne organe na lokalni, regionalni in nacionalni ravni, športne organizacije, organizacije, ki so povezane s športom, in izobraževalne organe. Prizadevala si bodo zlasti za zagotavljanje stalnosti pripravljalnih ukrepov iz leta 2013 in so zlasti ukrepi, namenjeni:</w:t>
      </w:r>
    </w:p>
    <w:p w14:paraId="7D39A4DD" w14:textId="77777777" w:rsidR="00E03711" w:rsidRPr="001048FE" w:rsidRDefault="00E03711" w:rsidP="005115F2">
      <w:pPr>
        <w:pStyle w:val="Guide-NormalBulletpoints"/>
        <w:numPr>
          <w:ilvl w:val="0"/>
          <w:numId w:val="389"/>
        </w:numPr>
        <w:rPr>
          <w:lang w:val="sl-SI"/>
        </w:rPr>
      </w:pPr>
      <w:r w:rsidRPr="001048FE">
        <w:rPr>
          <w:lang w:val="sl-SI"/>
        </w:rPr>
        <w:t xml:space="preserve">spodbujanju socialnega vključevanja in enakih možnosti v športu; </w:t>
      </w:r>
    </w:p>
    <w:p w14:paraId="7D39A4DE" w14:textId="77777777" w:rsidR="00E03711" w:rsidRPr="001048FE" w:rsidRDefault="00E03711" w:rsidP="005115F2">
      <w:pPr>
        <w:pStyle w:val="Guide-NormalBulletpoints"/>
        <w:numPr>
          <w:ilvl w:val="0"/>
          <w:numId w:val="389"/>
        </w:numPr>
        <w:rPr>
          <w:lang w:val="sl-SI"/>
        </w:rPr>
      </w:pPr>
      <w:r w:rsidRPr="001048FE">
        <w:rPr>
          <w:lang w:val="sl-SI"/>
        </w:rPr>
        <w:t>spodbujanju tradicionalnih evropskih športov in iger;</w:t>
      </w:r>
    </w:p>
    <w:p w14:paraId="7D39A4DF" w14:textId="77777777" w:rsidR="00E03711" w:rsidRPr="001048FE" w:rsidRDefault="00E03711" w:rsidP="005115F2">
      <w:pPr>
        <w:pStyle w:val="Guide-NormalBulletpoints"/>
        <w:numPr>
          <w:ilvl w:val="0"/>
          <w:numId w:val="389"/>
        </w:numPr>
        <w:rPr>
          <w:lang w:val="sl-SI"/>
        </w:rPr>
      </w:pPr>
      <w:r w:rsidRPr="001048FE">
        <w:rPr>
          <w:lang w:val="sl-SI"/>
        </w:rPr>
        <w:t>podpiranju mobilnost prostovoljcev, trenerjev, menedžerjev in osebja neprofitnih športnih organizacij;</w:t>
      </w:r>
    </w:p>
    <w:p w14:paraId="7D39A4E0" w14:textId="77777777" w:rsidR="00E03711" w:rsidRPr="001048FE" w:rsidRDefault="00E03711" w:rsidP="005115F2">
      <w:pPr>
        <w:pStyle w:val="Guide-NormalBulletpoints"/>
        <w:numPr>
          <w:ilvl w:val="0"/>
          <w:numId w:val="389"/>
        </w:numPr>
        <w:rPr>
          <w:lang w:val="sl-SI"/>
        </w:rPr>
      </w:pPr>
      <w:r w:rsidRPr="001048FE">
        <w:rPr>
          <w:lang w:val="sl-SI"/>
        </w:rPr>
        <w:t>varovanju športnikov, zlasti najmlajših, pred zdravstvenimi in varnostnimi tveganji z izboljšanjem pogojev za trening in tekmovanja;</w:t>
      </w:r>
    </w:p>
    <w:p w14:paraId="7D39A4E1" w14:textId="77777777" w:rsidR="00E03711" w:rsidRPr="001048FE" w:rsidRDefault="00E03711" w:rsidP="005115F2">
      <w:pPr>
        <w:pStyle w:val="Guide-NormalBulletpoints"/>
        <w:numPr>
          <w:ilvl w:val="0"/>
          <w:numId w:val="389"/>
        </w:numPr>
        <w:rPr>
          <w:lang w:val="sl-SI"/>
        </w:rPr>
      </w:pPr>
      <w:r w:rsidRPr="001048FE">
        <w:rPr>
          <w:lang w:val="sl-SI"/>
        </w:rPr>
        <w:t>spodbujanju izobrazbe v športu in prek njega, s posebnim poudarkom na razvoju spretnosti.</w:t>
      </w:r>
    </w:p>
    <w:p w14:paraId="7D39A4E2" w14:textId="77777777" w:rsidR="00E03711" w:rsidRPr="001048FE" w:rsidRDefault="00E03711" w:rsidP="00DF77BE">
      <w:pPr>
        <w:pStyle w:val="GUIDE-NORMAL"/>
        <w:rPr>
          <w:lang w:val="sl-SI"/>
        </w:rPr>
      </w:pPr>
      <w:r w:rsidRPr="001048FE">
        <w:rPr>
          <w:lang w:val="sl-SI"/>
        </w:rPr>
        <w:t>Majhna partnerska sodelovanja bi morala spodbujati ustvarjanje in razvijanje evropskih omrežij na področju športa. Na podlagi teh lahko EU zagotovi priložnosti za okrepljeno sodelovanje med deležniki, ki ne bi obstajale brez ukrepa EU. Majhna partnerska sodelovanja bi morala tudi krepiti sinergije z lokalnimi, regionalnimi, nacionalnimi in mednarodnimi politikami ter med njimi, da spodbujajo športno in telesno dejavnost ter reševanje s športom povezanih izzivov.</w:t>
      </w:r>
    </w:p>
    <w:p w14:paraId="7D39A4E3" w14:textId="77777777" w:rsidR="00E03711" w:rsidRPr="001048FE" w:rsidRDefault="00E03711" w:rsidP="00DF77BE">
      <w:pPr>
        <w:pStyle w:val="GUIDE-NORMAL"/>
        <w:rPr>
          <w:lang w:val="sl-SI"/>
        </w:rPr>
      </w:pPr>
      <w:r w:rsidRPr="001048FE">
        <w:rPr>
          <w:lang w:val="sl-SI"/>
        </w:rPr>
        <w:t xml:space="preserve">Majhna partnerska sodelovanja bi morala vključevati najmanj en lokalni ali regionalni športni klub. </w:t>
      </w:r>
    </w:p>
    <w:p w14:paraId="7D39A4E4" w14:textId="77777777" w:rsidR="00E03711" w:rsidRPr="001048FE" w:rsidRDefault="00E03711" w:rsidP="00DF77BE">
      <w:pPr>
        <w:pStyle w:val="GUIDE-NORMAL"/>
        <w:rPr>
          <w:lang w:val="sl-SI"/>
        </w:rPr>
      </w:pPr>
      <w:r w:rsidRPr="001048FE">
        <w:rPr>
          <w:lang w:val="sl-SI"/>
        </w:rPr>
        <w:t>Komisija bo prek Izvajalske agencije v enem letu izvedla en krog izbirnega postopka.</w:t>
      </w:r>
    </w:p>
    <w:p w14:paraId="7D39A4E5" w14:textId="77777777" w:rsidR="00E03711" w:rsidRPr="001048FE" w:rsidRDefault="00E03711" w:rsidP="008D6218">
      <w:pPr>
        <w:pStyle w:val="Guide-Heading4"/>
        <w:rPr>
          <w:lang w:val="sl-SI"/>
        </w:rPr>
      </w:pPr>
      <w:bookmarkStart w:id="372" w:name="_Toc527401218"/>
      <w:r w:rsidRPr="001048FE">
        <w:rPr>
          <w:lang w:val="sl-SI"/>
        </w:rPr>
        <w:t>Katere aktivnosti so podprte v okviru tega ukrepa?</w:t>
      </w:r>
      <w:bookmarkEnd w:id="372"/>
    </w:p>
    <w:p w14:paraId="7D39A4E6" w14:textId="77777777" w:rsidR="00E03711" w:rsidRPr="001048FE" w:rsidRDefault="00E03711" w:rsidP="00DF77BE">
      <w:pPr>
        <w:pStyle w:val="GUIDE-NORMAL"/>
        <w:rPr>
          <w:lang w:val="sl-SI"/>
        </w:rPr>
      </w:pPr>
      <w:r w:rsidRPr="001048FE">
        <w:rPr>
          <w:lang w:val="sl-SI"/>
        </w:rPr>
        <w:t>Erasmus+ ponuja izjemno prilagodljivost v zvezi z aktivnostmi, ki jih lahko izvajajo majhna partnerska sodelovanja, če je v predlogu utemeljeno, da so te aktivnosti najustreznejše za doseganje ciljev, opredeljenih za projekt. Majhna partnerska sodelovanja lahko običajno izvedejo široko paleto aktivnosti, na primer:</w:t>
      </w:r>
    </w:p>
    <w:p w14:paraId="7D39A4E7" w14:textId="77777777" w:rsidR="00E03711" w:rsidRPr="001048FE" w:rsidRDefault="00E03711" w:rsidP="005115F2">
      <w:pPr>
        <w:pStyle w:val="Guide-NormalBulletpoints"/>
        <w:numPr>
          <w:ilvl w:val="0"/>
          <w:numId w:val="390"/>
        </w:numPr>
        <w:rPr>
          <w:lang w:val="sl-SI"/>
        </w:rPr>
      </w:pPr>
      <w:r w:rsidRPr="001048FE">
        <w:rPr>
          <w:lang w:val="sl-SI"/>
        </w:rPr>
        <w:t>mreženje med deležniki;</w:t>
      </w:r>
    </w:p>
    <w:p w14:paraId="7D39A4E8" w14:textId="77777777" w:rsidR="00E03711" w:rsidRPr="001048FE" w:rsidRDefault="00E03711" w:rsidP="005115F2">
      <w:pPr>
        <w:pStyle w:val="Guide-NormalBulletpoints"/>
        <w:numPr>
          <w:ilvl w:val="0"/>
          <w:numId w:val="390"/>
        </w:numPr>
        <w:rPr>
          <w:lang w:val="sl-SI"/>
        </w:rPr>
      </w:pPr>
      <w:r w:rsidRPr="001048FE">
        <w:rPr>
          <w:lang w:val="sl-SI"/>
        </w:rPr>
        <w:t>spodbujanje, opredeljevanje in deljenje dobrih praks;</w:t>
      </w:r>
    </w:p>
    <w:p w14:paraId="7D39A4E9" w14:textId="77777777" w:rsidR="00E03711" w:rsidRPr="001048FE" w:rsidRDefault="00E03711" w:rsidP="005115F2">
      <w:pPr>
        <w:pStyle w:val="Guide-NormalBulletpoints"/>
        <w:numPr>
          <w:ilvl w:val="0"/>
          <w:numId w:val="390"/>
        </w:numPr>
        <w:rPr>
          <w:lang w:val="sl-SI"/>
        </w:rPr>
      </w:pPr>
      <w:r w:rsidRPr="001048FE">
        <w:rPr>
          <w:lang w:val="sl-SI"/>
        </w:rPr>
        <w:t xml:space="preserve">pripravo, razvoj in izvajanje modulov in orodij za izobraževanje in usposabljanje; </w:t>
      </w:r>
    </w:p>
    <w:p w14:paraId="7D39A4EA" w14:textId="77777777" w:rsidR="00E03711" w:rsidRPr="001048FE" w:rsidRDefault="00E03711" w:rsidP="005115F2">
      <w:pPr>
        <w:pStyle w:val="Guide-NormalBulletpoints"/>
        <w:numPr>
          <w:ilvl w:val="0"/>
          <w:numId w:val="390"/>
        </w:numPr>
        <w:rPr>
          <w:lang w:val="sl-SI"/>
        </w:rPr>
      </w:pPr>
      <w:r w:rsidRPr="001048FE">
        <w:rPr>
          <w:lang w:val="sl-SI"/>
        </w:rPr>
        <w:t>aktivnosti ozaveščanja o dodani vrednosti športa in telesne dejavnosti v zvezi z osebnim, družbenim in poklicnim razvojem posameznikov;</w:t>
      </w:r>
    </w:p>
    <w:p w14:paraId="7D39A4EB" w14:textId="77777777" w:rsidR="00E03711" w:rsidRPr="001048FE" w:rsidRDefault="00E03711" w:rsidP="005115F2">
      <w:pPr>
        <w:pStyle w:val="Guide-NormalBulletpoints"/>
        <w:numPr>
          <w:ilvl w:val="0"/>
          <w:numId w:val="390"/>
        </w:numPr>
        <w:rPr>
          <w:lang w:val="sl-SI"/>
        </w:rPr>
      </w:pPr>
      <w:r w:rsidRPr="001048FE">
        <w:rPr>
          <w:lang w:val="sl-SI"/>
        </w:rPr>
        <w:t>konference, seminarje, srečanja, dogodke in ukrepe za ozaveščanje, ki podpirajo navedene aktivnosti.</w:t>
      </w:r>
    </w:p>
    <w:p w14:paraId="7D39A4EC" w14:textId="77777777" w:rsidR="00E03711" w:rsidRPr="001048FE" w:rsidRDefault="00E03711" w:rsidP="00E444CA">
      <w:pPr>
        <w:pStyle w:val="Guide-Heading4"/>
        <w:rPr>
          <w:lang w:val="sl-SI"/>
        </w:rPr>
      </w:pPr>
      <w:bookmarkStart w:id="373" w:name="_Toc527401219"/>
      <w:r w:rsidRPr="001048FE">
        <w:rPr>
          <w:lang w:val="sl-SI"/>
        </w:rPr>
        <w:t>Kdo lahko sodeluje v majhnem partnerskem sodelovanju?</w:t>
      </w:r>
      <w:bookmarkEnd w:id="373"/>
    </w:p>
    <w:p w14:paraId="7D39A4ED" w14:textId="77777777" w:rsidR="00E03711" w:rsidRPr="001048FE" w:rsidRDefault="00E03711" w:rsidP="00DF77BE">
      <w:pPr>
        <w:pStyle w:val="GUIDE-NORMAL"/>
        <w:rPr>
          <w:lang w:val="sl-SI"/>
        </w:rPr>
      </w:pPr>
      <w:r w:rsidRPr="001048FE">
        <w:rPr>
          <w:lang w:val="sl-SI"/>
        </w:rPr>
        <w:t>V majhnih partnerskih sodelovanjih lahko sodeluje katera koli vrsta javnih institucij ali organizacij, dejavnih na področju športa in telesne dejavnosti. Glede na cilj projekta bi v majhna partnerska sodelovanja moral biti vključen ustrezen in raznolik nabor partnerjev, da lahko ustvarijo vzajemne koristi na podlagi različnih izkušenj, profilov in strokovnega znanja ter ustrezne in visokokakovostne rezultate projekta.</w:t>
      </w:r>
    </w:p>
    <w:p w14:paraId="7D39A4EE" w14:textId="77777777" w:rsidR="00E03711" w:rsidRPr="001048FE" w:rsidRDefault="00E03711" w:rsidP="00DF77BE">
      <w:pPr>
        <w:pStyle w:val="GUIDE-NORMAL"/>
        <w:rPr>
          <w:lang w:val="sl-SI"/>
        </w:rPr>
      </w:pPr>
      <w:r w:rsidRPr="001048FE">
        <w:rPr>
          <w:lang w:val="sl-SI"/>
        </w:rPr>
        <w:t>Majhna partnerska sodelovanja so namenjena sodelovanju med organizacijami s sedežem v državah Programa.</w:t>
      </w:r>
    </w:p>
    <w:p w14:paraId="7D39A4EF" w14:textId="77777777" w:rsidR="00E03711" w:rsidRPr="001048FE" w:rsidRDefault="00E03711">
      <w:pPr>
        <w:widowControl/>
        <w:suppressAutoHyphens w:val="0"/>
        <w:autoSpaceDN/>
        <w:textAlignment w:val="auto"/>
        <w:rPr>
          <w:rFonts w:eastAsia="Times New Roman"/>
          <w:sz w:val="18"/>
          <w:szCs w:val="18"/>
          <w:shd w:val="clear" w:color="auto" w:fill="FFFFFF"/>
          <w:lang w:val="sl-SI" w:eastAsia="en-GB"/>
        </w:rPr>
      </w:pPr>
      <w:r w:rsidRPr="001048FE">
        <w:rPr>
          <w:lang w:val="sl-SI"/>
        </w:rPr>
        <w:br w:type="page"/>
      </w:r>
    </w:p>
    <w:p w14:paraId="7D39A4F0" w14:textId="77777777" w:rsidR="00E03711" w:rsidRPr="001048FE" w:rsidRDefault="00E03711" w:rsidP="00DF77BE">
      <w:pPr>
        <w:pStyle w:val="GUIDE-NORMAL"/>
        <w:rPr>
          <w:lang w:val="sl-SI"/>
        </w:rPr>
      </w:pPr>
      <w:r w:rsidRPr="001048FE">
        <w:rPr>
          <w:lang w:val="sl-SI"/>
        </w:rPr>
        <w:t>Majhno partnersko sodelovanje bi moralo vključevati:</w:t>
      </w:r>
    </w:p>
    <w:p w14:paraId="7D39A4F1" w14:textId="77777777" w:rsidR="00E03711" w:rsidRPr="001048FE" w:rsidRDefault="00E03711" w:rsidP="00D04325">
      <w:pPr>
        <w:pStyle w:val="Guide-NormalBulletpoints"/>
        <w:rPr>
          <w:lang w:val="sl-SI"/>
        </w:rPr>
      </w:pPr>
      <w:r w:rsidRPr="001048FE">
        <w:rPr>
          <w:lang w:val="sl-SI"/>
        </w:rPr>
        <w:t>prijavitelja/koordinatorja: organizacija, ki odda predlog projekta v imenu vseh partnerjev. Ko je projekt odobren, prijavitelj/koordinator postane glavni upravičenec nepovratnih sredstev EU in podpiše sporazum o nepovratnih sredstvih. Za več informacij o finančni in pogodbeni ureditvi glej del C tega vodnika. V njegovo vlogo koordinacije so zajete naslednje dolžnosti:</w:t>
      </w:r>
    </w:p>
    <w:p w14:paraId="7D39A4F2" w14:textId="77777777" w:rsidR="00E03711" w:rsidRPr="001048FE" w:rsidRDefault="00E03711" w:rsidP="005115F2">
      <w:pPr>
        <w:pStyle w:val="Guide-ListDash"/>
        <w:numPr>
          <w:ilvl w:val="0"/>
          <w:numId w:val="166"/>
        </w:numPr>
        <w:rPr>
          <w:lang w:val="sl-SI"/>
        </w:rPr>
      </w:pPr>
      <w:r w:rsidRPr="001048FE">
        <w:rPr>
          <w:lang w:val="sl-SI"/>
        </w:rPr>
        <w:t>predstavlja sodelujoče organizacije in deluje v njihovem imenu v odnosu do Evropske komisije;</w:t>
      </w:r>
    </w:p>
    <w:p w14:paraId="7D39A4F3" w14:textId="77777777" w:rsidR="00E03711" w:rsidRPr="001048FE" w:rsidRDefault="00E03711" w:rsidP="005115F2">
      <w:pPr>
        <w:pStyle w:val="Guide-ListDash"/>
        <w:numPr>
          <w:ilvl w:val="0"/>
          <w:numId w:val="166"/>
        </w:numPr>
        <w:rPr>
          <w:lang w:val="sl-SI"/>
        </w:rPr>
      </w:pPr>
      <w:r w:rsidRPr="001048FE">
        <w:rPr>
          <w:lang w:val="sl-SI"/>
        </w:rPr>
        <w:t>nosi finančno in pravno odgovornost za primerno operativno, administrativno in finančno izvajanje celotnega projekta;</w:t>
      </w:r>
    </w:p>
    <w:p w14:paraId="7D39A4F4" w14:textId="77777777" w:rsidR="00E03711" w:rsidRPr="001048FE" w:rsidRDefault="00E03711" w:rsidP="005115F2">
      <w:pPr>
        <w:pStyle w:val="Guide-ListDash"/>
        <w:numPr>
          <w:ilvl w:val="0"/>
          <w:numId w:val="166"/>
        </w:numPr>
        <w:rPr>
          <w:lang w:val="sl-SI"/>
        </w:rPr>
      </w:pPr>
      <w:r w:rsidRPr="001048FE">
        <w:rPr>
          <w:lang w:val="sl-SI"/>
        </w:rPr>
        <w:t xml:space="preserve">koordinira partnersko sodelovanje v sodelovanju z vsemi drugimi partnerji projekta; </w:t>
      </w:r>
    </w:p>
    <w:p w14:paraId="7D39A4F5" w14:textId="77777777" w:rsidR="00E03711" w:rsidRPr="001048FE" w:rsidRDefault="00E03711" w:rsidP="005115F2">
      <w:pPr>
        <w:pStyle w:val="Guide-ListDash"/>
        <w:numPr>
          <w:ilvl w:val="0"/>
          <w:numId w:val="166"/>
        </w:numPr>
        <w:rPr>
          <w:lang w:val="sl-SI"/>
        </w:rPr>
      </w:pPr>
      <w:r w:rsidRPr="001048FE">
        <w:rPr>
          <w:lang w:val="sl-SI"/>
        </w:rPr>
        <w:t>prejme finančno podporo EU v okviru programa Erasmus+ in je odgovoren za razdelitev sredstev med partnerje, vključene v projekt;</w:t>
      </w:r>
    </w:p>
    <w:p w14:paraId="7D39A4F6" w14:textId="77777777" w:rsidR="00E03711" w:rsidRPr="001048FE" w:rsidRDefault="00E03711" w:rsidP="00D04325">
      <w:pPr>
        <w:pStyle w:val="Guide-NormalBulletpoints"/>
        <w:rPr>
          <w:lang w:val="sl-SI"/>
        </w:rPr>
      </w:pPr>
      <w:r w:rsidRPr="001048FE">
        <w:rPr>
          <w:lang w:val="sl-SI"/>
        </w:rPr>
        <w:t>partnerje: organizacije, ki aktivno prispevajo k pripravi, izvajanju in ocenjevanju majhnega partnerskega sodelovanja.</w:t>
      </w:r>
    </w:p>
    <w:p w14:paraId="7D39A4F7" w14:textId="77777777" w:rsidR="00E03711" w:rsidRPr="001048FE" w:rsidRDefault="00E03711" w:rsidP="00D04325">
      <w:pPr>
        <w:pStyle w:val="Guide-Heading4"/>
        <w:rPr>
          <w:lang w:val="sl-SI"/>
        </w:rPr>
      </w:pPr>
      <w:bookmarkStart w:id="374" w:name="_Toc527401220"/>
      <w:r w:rsidRPr="001048FE">
        <w:rPr>
          <w:lang w:val="sl-SI"/>
        </w:rPr>
        <w:t>Kakšna so merila za oceno majhnega partnerskega sodelovanja?</w:t>
      </w:r>
      <w:bookmarkEnd w:id="374"/>
    </w:p>
    <w:p w14:paraId="7D39A4F8" w14:textId="77777777" w:rsidR="00E03711" w:rsidRPr="001048FE" w:rsidRDefault="00E03711" w:rsidP="00DF77BE">
      <w:pPr>
        <w:pStyle w:val="GUIDE-NORMAL"/>
        <w:rPr>
          <w:lang w:val="sl-SI"/>
        </w:rPr>
      </w:pPr>
      <w:r w:rsidRPr="001048FE">
        <w:rPr>
          <w:lang w:val="sl-SI"/>
        </w:rPr>
        <w:t>Seznam v nadaljevanju navaja uradna merila, ki jih mora izpolniti majhno partnersko sodelovanje za upravičenost do nepovratnih sredstev Erasmus+:</w:t>
      </w:r>
    </w:p>
    <w:p w14:paraId="7D39A4F9" w14:textId="77777777" w:rsidR="00E03711" w:rsidRPr="001048FE" w:rsidRDefault="00E03711" w:rsidP="00D04325">
      <w:pPr>
        <w:pStyle w:val="Guide-Heading5"/>
        <w:rPr>
          <w:lang w:val="sl-SI"/>
        </w:rPr>
      </w:pPr>
      <w:r w:rsidRPr="001048FE">
        <w:rPr>
          <w:lang w:val="sl-SI"/>
        </w:rPr>
        <w:t>Merila za upravičenost</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68"/>
        <w:gridCol w:w="7722"/>
      </w:tblGrid>
      <w:tr w:rsidR="00E03711" w:rsidRPr="00B760F2" w14:paraId="7D39A507" w14:textId="77777777" w:rsidTr="00584909">
        <w:trPr>
          <w:cantSplit/>
          <w:trHeight w:val="20"/>
        </w:trPr>
        <w:tc>
          <w:tcPr>
            <w:tcW w:w="844" w:type="pct"/>
            <w:shd w:val="clear" w:color="auto" w:fill="FFFFFF"/>
            <w:vAlign w:val="center"/>
          </w:tcPr>
          <w:p w14:paraId="7D39A4FA" w14:textId="77777777" w:rsidR="00E03711" w:rsidRPr="00F769E0" w:rsidRDefault="00E03711" w:rsidP="005D7901">
            <w:pPr>
              <w:pStyle w:val="Guide-Table"/>
              <w:spacing w:before="60" w:after="60"/>
              <w:jc w:val="left"/>
              <w:rPr>
                <w:rFonts w:cs="Tahoma"/>
                <w:b/>
                <w:lang w:val="sl-SI" w:eastAsia="en-GB"/>
              </w:rPr>
            </w:pPr>
            <w:r w:rsidRPr="00F769E0">
              <w:rPr>
                <w:rFonts w:cs="Tahoma"/>
                <w:b/>
                <w:lang w:val="sl-SI" w:eastAsia="en-GB"/>
              </w:rPr>
              <w:t>Upravičene sodelujoče organizacije</w:t>
            </w:r>
          </w:p>
        </w:tc>
        <w:tc>
          <w:tcPr>
            <w:tcW w:w="4156" w:type="pct"/>
            <w:shd w:val="clear" w:color="auto" w:fill="FFFFFF"/>
          </w:tcPr>
          <w:p w14:paraId="7D39A4FB" w14:textId="77777777" w:rsidR="00E03711" w:rsidRPr="00F769E0" w:rsidRDefault="00E03711" w:rsidP="003A78C7">
            <w:pPr>
              <w:pStyle w:val="GUIDE-NORMAL"/>
              <w:spacing w:before="60" w:after="60"/>
              <w:jc w:val="left"/>
              <w:rPr>
                <w:rFonts w:cs="Tahoma"/>
                <w:lang w:val="sl-SI" w:eastAsia="en-GB"/>
              </w:rPr>
            </w:pPr>
            <w:r w:rsidRPr="00F769E0">
              <w:rPr>
                <w:rFonts w:cs="Tahoma"/>
                <w:lang w:val="sl-SI" w:eastAsia="en-GB"/>
              </w:rPr>
              <w:t>Katera koli organizacija ali javni organ, dejaven na področju športa, s sedežem v državi Programa ali kateri koli partnerski državi sveta (glej razdelek „Upravičene države“ v delu A tega vodnika).</w:t>
            </w:r>
          </w:p>
          <w:p w14:paraId="7D39A4FC" w14:textId="77777777" w:rsidR="00E03711" w:rsidRPr="00F769E0" w:rsidRDefault="00E03711" w:rsidP="003A78C7">
            <w:pPr>
              <w:pStyle w:val="GUIDE-NORMAL"/>
              <w:spacing w:before="60" w:after="60"/>
              <w:rPr>
                <w:rFonts w:cs="Tahoma"/>
                <w:lang w:val="sl-SI" w:eastAsia="en-GB"/>
              </w:rPr>
            </w:pPr>
            <w:r w:rsidRPr="00F769E0">
              <w:rPr>
                <w:rFonts w:cs="Tahoma"/>
                <w:lang w:val="sl-SI" w:eastAsia="en-GB"/>
              </w:rPr>
              <w:t xml:space="preserve">Taka organizacija je lahko na primer (neizčrpen seznam): </w:t>
            </w:r>
          </w:p>
          <w:p w14:paraId="7D39A4FD" w14:textId="77777777" w:rsidR="00E03711" w:rsidRPr="001048FE" w:rsidRDefault="00E03711" w:rsidP="005115F2">
            <w:pPr>
              <w:pStyle w:val="Guide-NormalBulletpoints"/>
              <w:numPr>
                <w:ilvl w:val="0"/>
                <w:numId w:val="391"/>
              </w:numPr>
              <w:spacing w:before="60"/>
              <w:jc w:val="left"/>
              <w:rPr>
                <w:lang w:val="sl-SI"/>
              </w:rPr>
            </w:pPr>
            <w:r w:rsidRPr="001048FE">
              <w:rPr>
                <w:lang w:val="sl-SI"/>
              </w:rPr>
              <w:t>javni organ, pristojen za področje športa, na lokalni, regionalni ali nacionalni ravni;</w:t>
            </w:r>
          </w:p>
          <w:p w14:paraId="7D39A4FE" w14:textId="77777777" w:rsidR="00E03711" w:rsidRPr="001048FE" w:rsidRDefault="00E03711" w:rsidP="005115F2">
            <w:pPr>
              <w:pStyle w:val="Guide-NormalBulletpoints"/>
              <w:numPr>
                <w:ilvl w:val="0"/>
                <w:numId w:val="391"/>
              </w:numPr>
              <w:spacing w:before="60"/>
              <w:jc w:val="left"/>
              <w:rPr>
                <w:lang w:val="sl-SI"/>
              </w:rPr>
            </w:pPr>
            <w:r w:rsidRPr="001048FE">
              <w:rPr>
                <w:lang w:val="sl-SI"/>
              </w:rPr>
              <w:t>nacionalni olimpijski komite ali nacionalno športno združenje;</w:t>
            </w:r>
          </w:p>
          <w:p w14:paraId="7D39A4FF" w14:textId="77777777" w:rsidR="00E03711" w:rsidRPr="001048FE" w:rsidRDefault="00E03711" w:rsidP="005115F2">
            <w:pPr>
              <w:pStyle w:val="Guide-NormalBulletpoints"/>
              <w:numPr>
                <w:ilvl w:val="0"/>
                <w:numId w:val="391"/>
              </w:numPr>
              <w:spacing w:before="60"/>
              <w:jc w:val="left"/>
              <w:rPr>
                <w:lang w:val="sl-SI"/>
              </w:rPr>
            </w:pPr>
            <w:r w:rsidRPr="001048FE">
              <w:rPr>
                <w:lang w:val="sl-SI"/>
              </w:rPr>
              <w:t>športna organizacija na lokalni, regionalni ali nacionalni ravni;</w:t>
            </w:r>
          </w:p>
          <w:p w14:paraId="7D39A500" w14:textId="77777777" w:rsidR="00E03711" w:rsidRPr="001048FE" w:rsidRDefault="00E03711" w:rsidP="005115F2">
            <w:pPr>
              <w:pStyle w:val="Guide-NormalBulletpoints"/>
              <w:numPr>
                <w:ilvl w:val="0"/>
                <w:numId w:val="391"/>
              </w:numPr>
              <w:spacing w:before="60"/>
              <w:jc w:val="left"/>
              <w:rPr>
                <w:lang w:val="sl-SI"/>
              </w:rPr>
            </w:pPr>
            <w:r w:rsidRPr="001048FE">
              <w:rPr>
                <w:lang w:val="sl-SI"/>
              </w:rPr>
              <w:t>nacionalna športna liga;</w:t>
            </w:r>
          </w:p>
          <w:p w14:paraId="7D39A501" w14:textId="77777777" w:rsidR="00E03711" w:rsidRPr="001048FE" w:rsidRDefault="00E03711" w:rsidP="005115F2">
            <w:pPr>
              <w:pStyle w:val="Guide-NormalBulletpoints"/>
              <w:numPr>
                <w:ilvl w:val="0"/>
                <w:numId w:val="391"/>
              </w:numPr>
              <w:spacing w:before="60"/>
              <w:jc w:val="left"/>
              <w:rPr>
                <w:lang w:val="sl-SI"/>
              </w:rPr>
            </w:pPr>
            <w:r w:rsidRPr="001048FE">
              <w:rPr>
                <w:lang w:val="sl-SI"/>
              </w:rPr>
              <w:t>športni klub;</w:t>
            </w:r>
          </w:p>
          <w:p w14:paraId="7D39A502" w14:textId="77777777" w:rsidR="00E03711" w:rsidRPr="001048FE" w:rsidRDefault="00E03711" w:rsidP="005115F2">
            <w:pPr>
              <w:pStyle w:val="Guide-NormalBulletpoints"/>
              <w:numPr>
                <w:ilvl w:val="0"/>
                <w:numId w:val="391"/>
              </w:numPr>
              <w:spacing w:before="60"/>
              <w:jc w:val="left"/>
              <w:rPr>
                <w:lang w:val="sl-SI"/>
              </w:rPr>
            </w:pPr>
            <w:r w:rsidRPr="001048FE">
              <w:rPr>
                <w:lang w:val="sl-SI"/>
              </w:rPr>
              <w:t>organizacija ali zveza, ki predstavlja športnike;</w:t>
            </w:r>
          </w:p>
          <w:p w14:paraId="7D39A503" w14:textId="77777777" w:rsidR="00E03711" w:rsidRPr="001048FE" w:rsidRDefault="00E03711" w:rsidP="005115F2">
            <w:pPr>
              <w:pStyle w:val="Guide-NormalBulletpoints"/>
              <w:numPr>
                <w:ilvl w:val="0"/>
                <w:numId w:val="391"/>
              </w:numPr>
              <w:spacing w:before="60"/>
              <w:jc w:val="left"/>
              <w:rPr>
                <w:lang w:val="sl-SI"/>
              </w:rPr>
            </w:pPr>
            <w:r w:rsidRPr="001048FE">
              <w:rPr>
                <w:lang w:val="sl-SI"/>
              </w:rPr>
              <w:t>organizacija ali zveze, ki predstavljajo strokovnjake in prostovoljce na področju športa (na primer trenerje, menedžerje itd.);</w:t>
            </w:r>
          </w:p>
          <w:p w14:paraId="7D39A504" w14:textId="77777777" w:rsidR="00E03711" w:rsidRPr="001048FE" w:rsidRDefault="00E03711" w:rsidP="005115F2">
            <w:pPr>
              <w:pStyle w:val="Guide-NormalBulletpoints"/>
              <w:numPr>
                <w:ilvl w:val="0"/>
                <w:numId w:val="391"/>
              </w:numPr>
              <w:spacing w:before="60"/>
              <w:jc w:val="left"/>
              <w:rPr>
                <w:lang w:val="sl-SI"/>
              </w:rPr>
            </w:pPr>
            <w:r w:rsidRPr="001048FE">
              <w:rPr>
                <w:lang w:val="sl-SI"/>
              </w:rPr>
              <w:t>organizacija, ki predstavlja gibanje „šport za vse“;</w:t>
            </w:r>
          </w:p>
          <w:p w14:paraId="7D39A505" w14:textId="77777777" w:rsidR="00E03711" w:rsidRPr="001048FE" w:rsidRDefault="00E03711" w:rsidP="005115F2">
            <w:pPr>
              <w:pStyle w:val="Guide-NormalBulletpoints"/>
              <w:numPr>
                <w:ilvl w:val="0"/>
                <w:numId w:val="391"/>
              </w:numPr>
              <w:spacing w:before="60"/>
              <w:jc w:val="left"/>
              <w:rPr>
                <w:lang w:val="sl-SI"/>
              </w:rPr>
            </w:pPr>
            <w:r w:rsidRPr="001048FE">
              <w:rPr>
                <w:lang w:val="sl-SI"/>
              </w:rPr>
              <w:t>organizacija, aktivna na področju spodbujanja telesne dejavnosti;</w:t>
            </w:r>
          </w:p>
          <w:p w14:paraId="7D39A506" w14:textId="77777777" w:rsidR="00E03711" w:rsidRPr="001048FE" w:rsidRDefault="00E03711" w:rsidP="005115F2">
            <w:pPr>
              <w:pStyle w:val="Guide-NormalBulletpoints"/>
              <w:numPr>
                <w:ilvl w:val="0"/>
                <w:numId w:val="391"/>
              </w:numPr>
              <w:spacing w:before="60"/>
              <w:jc w:val="left"/>
              <w:rPr>
                <w:lang w:val="sl-SI"/>
              </w:rPr>
            </w:pPr>
            <w:r w:rsidRPr="001048FE">
              <w:rPr>
                <w:lang w:val="sl-SI"/>
              </w:rPr>
              <w:t>organizacija, ki predstavlja sektor rekreativnih aktivnosti.</w:t>
            </w:r>
          </w:p>
        </w:tc>
      </w:tr>
      <w:tr w:rsidR="00E03711" w:rsidRPr="00B760F2" w14:paraId="7D39A50A" w14:textId="77777777" w:rsidTr="00584909">
        <w:trPr>
          <w:cantSplit/>
          <w:trHeight w:val="20"/>
        </w:trPr>
        <w:tc>
          <w:tcPr>
            <w:tcW w:w="844" w:type="pct"/>
            <w:shd w:val="clear" w:color="auto" w:fill="FFFFFF"/>
            <w:vAlign w:val="center"/>
          </w:tcPr>
          <w:p w14:paraId="7D39A508" w14:textId="77777777" w:rsidR="00E03711" w:rsidRPr="00F769E0" w:rsidRDefault="00E03711" w:rsidP="005D7901">
            <w:pPr>
              <w:pStyle w:val="Guide-Table"/>
              <w:spacing w:before="60" w:after="60"/>
              <w:jc w:val="left"/>
              <w:rPr>
                <w:rFonts w:cs="Tahoma"/>
                <w:b/>
                <w:lang w:val="sl-SI" w:eastAsia="en-GB"/>
              </w:rPr>
            </w:pPr>
            <w:r w:rsidRPr="00F769E0">
              <w:rPr>
                <w:rFonts w:cs="Tahoma"/>
                <w:b/>
                <w:lang w:val="sl-SI" w:eastAsia="en-GB"/>
              </w:rPr>
              <w:t>Kdo se lahko prijavi?</w:t>
            </w:r>
          </w:p>
        </w:tc>
        <w:tc>
          <w:tcPr>
            <w:tcW w:w="4156" w:type="pct"/>
            <w:shd w:val="clear" w:color="auto" w:fill="FFFFFF"/>
          </w:tcPr>
          <w:p w14:paraId="7D39A509" w14:textId="77777777" w:rsidR="00E03711" w:rsidRPr="00F769E0" w:rsidRDefault="00E03711" w:rsidP="005D7901">
            <w:pPr>
              <w:pStyle w:val="GUIDE-NORMAL"/>
              <w:spacing w:before="60" w:after="60"/>
              <w:jc w:val="left"/>
              <w:rPr>
                <w:rFonts w:cs="Tahoma"/>
                <w:lang w:val="sl-SI" w:eastAsia="en-GB"/>
              </w:rPr>
            </w:pPr>
            <w:r w:rsidRPr="00F769E0">
              <w:rPr>
                <w:rFonts w:cs="Tahoma"/>
                <w:lang w:val="sl-SI" w:eastAsia="en-GB"/>
              </w:rPr>
              <w:t>Prijavitelj je lahko katera koli sodelujoča organizacija s sedežem v državi Programa. Ta organizacija se prijavi v imenu vseh sodelujočih organizacij, ki so vključene v projekt.</w:t>
            </w:r>
          </w:p>
        </w:tc>
      </w:tr>
      <w:tr w:rsidR="00E03711" w:rsidRPr="002C560E" w14:paraId="7D39A50D" w14:textId="77777777" w:rsidTr="00584909">
        <w:trPr>
          <w:cantSplit/>
          <w:trHeight w:val="20"/>
        </w:trPr>
        <w:tc>
          <w:tcPr>
            <w:tcW w:w="844" w:type="pct"/>
            <w:shd w:val="clear" w:color="auto" w:fill="FFFFFF"/>
            <w:vAlign w:val="center"/>
          </w:tcPr>
          <w:p w14:paraId="7D39A50B" w14:textId="77777777" w:rsidR="00E03711" w:rsidRPr="00F769E0" w:rsidRDefault="00E03711" w:rsidP="005D7901">
            <w:pPr>
              <w:pStyle w:val="Guide-Table"/>
              <w:spacing w:before="60" w:after="60"/>
              <w:jc w:val="left"/>
              <w:rPr>
                <w:rFonts w:cs="Tahoma"/>
                <w:b/>
                <w:lang w:val="sl-SI" w:eastAsia="en-GB"/>
              </w:rPr>
            </w:pPr>
            <w:r w:rsidRPr="00F769E0">
              <w:rPr>
                <w:rFonts w:cs="Tahoma"/>
                <w:b/>
                <w:lang w:val="sl-SI" w:eastAsia="en-GB"/>
              </w:rPr>
              <w:t>Število in profil sodelujočih organizacij</w:t>
            </w:r>
          </w:p>
        </w:tc>
        <w:tc>
          <w:tcPr>
            <w:tcW w:w="4156" w:type="pct"/>
            <w:shd w:val="clear" w:color="auto" w:fill="FFFFFF"/>
          </w:tcPr>
          <w:p w14:paraId="7D39A50C" w14:textId="77777777" w:rsidR="00E03711" w:rsidRPr="00F769E0" w:rsidRDefault="00E03711" w:rsidP="005D7901">
            <w:pPr>
              <w:pStyle w:val="GUIDE-NORMAL"/>
              <w:spacing w:before="60" w:after="60"/>
              <w:jc w:val="left"/>
              <w:rPr>
                <w:rFonts w:cs="Tahoma"/>
                <w:lang w:val="sl-SI" w:eastAsia="en-GB"/>
              </w:rPr>
            </w:pPr>
            <w:r w:rsidRPr="00F769E0">
              <w:rPr>
                <w:rFonts w:cs="Tahoma"/>
                <w:lang w:val="sl-SI" w:eastAsia="en-GB"/>
              </w:rPr>
              <w:t>Majhno partnersko sodelovanje je mednarodno in vključuje vsaj tri organizacije iz treh različnih držav Programa. Ni omejenega števila sodelujočih organizacij. Vendar so proračunska sredstva za vodenje in izvajanje projekta omejena navzgor (znesek enakovreden petim partnerjem). Ob oddaji vloge za nepovratna sredstva morajo biti opredeljene vse sodelujoče organizacije.</w:t>
            </w:r>
          </w:p>
        </w:tc>
      </w:tr>
      <w:tr w:rsidR="00E03711" w:rsidRPr="002C560E" w14:paraId="7D39A510" w14:textId="77777777" w:rsidTr="00584909">
        <w:trPr>
          <w:cantSplit/>
          <w:trHeight w:val="20"/>
        </w:trPr>
        <w:tc>
          <w:tcPr>
            <w:tcW w:w="844" w:type="pct"/>
            <w:shd w:val="clear" w:color="auto" w:fill="FFFFFF"/>
            <w:vAlign w:val="center"/>
          </w:tcPr>
          <w:p w14:paraId="7D39A50E" w14:textId="77777777" w:rsidR="00E03711" w:rsidRPr="00F769E0" w:rsidRDefault="00E03711" w:rsidP="005D7901">
            <w:pPr>
              <w:pStyle w:val="Guide-Table"/>
              <w:spacing w:before="60" w:after="60"/>
              <w:jc w:val="left"/>
              <w:rPr>
                <w:rFonts w:cs="Tahoma"/>
                <w:b/>
                <w:lang w:val="sl-SI" w:eastAsia="en-GB"/>
              </w:rPr>
            </w:pPr>
            <w:r w:rsidRPr="00F769E0">
              <w:rPr>
                <w:rFonts w:cs="Tahoma"/>
                <w:b/>
                <w:lang w:val="sl-SI" w:eastAsia="en-GB"/>
              </w:rPr>
              <w:t>Trajanje projekta</w:t>
            </w:r>
          </w:p>
        </w:tc>
        <w:tc>
          <w:tcPr>
            <w:tcW w:w="4156" w:type="pct"/>
            <w:shd w:val="clear" w:color="auto" w:fill="FFFFFF"/>
            <w:vAlign w:val="center"/>
          </w:tcPr>
          <w:p w14:paraId="7D39A50F" w14:textId="77777777" w:rsidR="00E03711" w:rsidRPr="00F769E0" w:rsidRDefault="00E03711" w:rsidP="005D7901">
            <w:pPr>
              <w:pStyle w:val="GUIDE-NORMAL"/>
              <w:spacing w:before="60" w:after="60"/>
              <w:jc w:val="left"/>
              <w:rPr>
                <w:rFonts w:cs="Tahoma"/>
                <w:lang w:val="sl-SI" w:eastAsia="en-GB"/>
              </w:rPr>
            </w:pPr>
            <w:r w:rsidRPr="00F769E0">
              <w:rPr>
                <w:rFonts w:cs="Tahoma"/>
                <w:lang w:val="sl-SI" w:eastAsia="en-GB"/>
              </w:rPr>
              <w:t>Od 12 do 24 mesecev. Trajanje mora biti izbrano ob prijavi (12, 18 ali 24 mesecev) na podlagi cilja projekta in vrste aktivnosti, ki so predvidene v tem času.</w:t>
            </w:r>
          </w:p>
        </w:tc>
      </w:tr>
      <w:tr w:rsidR="00E03711" w:rsidRPr="002C560E" w14:paraId="7D39A513" w14:textId="77777777" w:rsidTr="00584909">
        <w:trPr>
          <w:cantSplit/>
          <w:trHeight w:val="20"/>
        </w:trPr>
        <w:tc>
          <w:tcPr>
            <w:tcW w:w="844" w:type="pct"/>
            <w:shd w:val="clear" w:color="auto" w:fill="FFFFFF"/>
            <w:vAlign w:val="center"/>
          </w:tcPr>
          <w:p w14:paraId="7D39A511" w14:textId="77777777" w:rsidR="00E03711" w:rsidRPr="00F769E0" w:rsidRDefault="00E03711" w:rsidP="005D7901">
            <w:pPr>
              <w:pStyle w:val="Guide-Table"/>
              <w:spacing w:before="60" w:after="60"/>
              <w:jc w:val="left"/>
              <w:rPr>
                <w:rFonts w:cs="Tahoma"/>
                <w:b/>
                <w:lang w:val="sl-SI" w:eastAsia="en-GB"/>
              </w:rPr>
            </w:pPr>
            <w:r w:rsidRPr="00F769E0">
              <w:rPr>
                <w:rFonts w:cs="Tahoma"/>
                <w:b/>
                <w:lang w:val="sl-SI" w:eastAsia="en-GB"/>
              </w:rPr>
              <w:t>Kraji izvajanja aktivnosti</w:t>
            </w:r>
          </w:p>
        </w:tc>
        <w:tc>
          <w:tcPr>
            <w:tcW w:w="4156" w:type="pct"/>
            <w:shd w:val="clear" w:color="auto" w:fill="FFFFFF"/>
            <w:vAlign w:val="center"/>
          </w:tcPr>
          <w:p w14:paraId="7D39A512" w14:textId="77777777" w:rsidR="00E03711" w:rsidRPr="00F769E0" w:rsidRDefault="00E03711" w:rsidP="005D7901">
            <w:pPr>
              <w:pStyle w:val="GUIDE-NORMAL"/>
              <w:spacing w:before="60" w:after="60"/>
              <w:jc w:val="left"/>
              <w:rPr>
                <w:rFonts w:cs="Tahoma"/>
                <w:lang w:val="sl-SI" w:eastAsia="en-GB"/>
              </w:rPr>
            </w:pPr>
            <w:r w:rsidRPr="00F769E0">
              <w:rPr>
                <w:rFonts w:cs="Tahoma"/>
                <w:lang w:val="sl-SI" w:eastAsia="en-GB"/>
              </w:rPr>
              <w:t>Aktivnosti se morajo izvajati v (eni ali več) državah organizacij, ki sodelujejo v majhnem partnerskem sodelovanju.</w:t>
            </w:r>
          </w:p>
        </w:tc>
      </w:tr>
      <w:tr w:rsidR="00E03711" w:rsidRPr="002C560E" w14:paraId="7D39A516" w14:textId="77777777" w:rsidTr="00584909">
        <w:trPr>
          <w:cantSplit/>
          <w:trHeight w:val="20"/>
        </w:trPr>
        <w:tc>
          <w:tcPr>
            <w:tcW w:w="844" w:type="pct"/>
            <w:shd w:val="clear" w:color="auto" w:fill="FFFFFF"/>
            <w:vAlign w:val="center"/>
          </w:tcPr>
          <w:p w14:paraId="7D39A514" w14:textId="77777777" w:rsidR="00E03711" w:rsidRPr="00F769E0" w:rsidRDefault="00E03711" w:rsidP="005D7901">
            <w:pPr>
              <w:pStyle w:val="Guide-Table"/>
              <w:spacing w:before="60" w:after="60"/>
              <w:jc w:val="left"/>
              <w:rPr>
                <w:rFonts w:cs="Tahoma"/>
                <w:b/>
                <w:lang w:val="sl-SI" w:eastAsia="en-GB"/>
              </w:rPr>
            </w:pPr>
            <w:r w:rsidRPr="00F769E0">
              <w:rPr>
                <w:rFonts w:cs="Tahoma"/>
                <w:b/>
                <w:lang w:val="sl-SI" w:eastAsia="en-GB"/>
              </w:rPr>
              <w:t>Kje se prijaviti?</w:t>
            </w:r>
          </w:p>
        </w:tc>
        <w:tc>
          <w:tcPr>
            <w:tcW w:w="4156" w:type="pct"/>
            <w:shd w:val="clear" w:color="auto" w:fill="FFFFFF"/>
            <w:vAlign w:val="center"/>
          </w:tcPr>
          <w:p w14:paraId="7D39A515" w14:textId="77777777" w:rsidR="00E03711" w:rsidRPr="00F769E0" w:rsidRDefault="00E03711" w:rsidP="005D7901">
            <w:pPr>
              <w:pStyle w:val="GUIDE-NORMAL"/>
              <w:spacing w:before="60" w:after="60"/>
              <w:jc w:val="left"/>
              <w:rPr>
                <w:rFonts w:cs="Tahoma"/>
                <w:lang w:val="sl-SI" w:eastAsia="en-GB"/>
              </w:rPr>
            </w:pPr>
            <w:r w:rsidRPr="00F769E0">
              <w:rPr>
                <w:rFonts w:cs="Tahoma"/>
                <w:lang w:val="sl-SI" w:eastAsia="en-GB"/>
              </w:rPr>
              <w:t>Pri Izvajalski agenciji za izobraževanje, avdiovizualno področje in kulturo v Bruslju.</w:t>
            </w:r>
          </w:p>
        </w:tc>
      </w:tr>
      <w:tr w:rsidR="00E03711" w:rsidRPr="002C560E" w14:paraId="7D39A519" w14:textId="77777777" w:rsidTr="00584909">
        <w:trPr>
          <w:cantSplit/>
          <w:trHeight w:val="20"/>
        </w:trPr>
        <w:tc>
          <w:tcPr>
            <w:tcW w:w="844" w:type="pct"/>
            <w:shd w:val="clear" w:color="auto" w:fill="FFFFFF"/>
            <w:vAlign w:val="center"/>
          </w:tcPr>
          <w:p w14:paraId="7D39A517" w14:textId="77777777" w:rsidR="00E03711" w:rsidRPr="00F769E0" w:rsidRDefault="00E03711" w:rsidP="005D7901">
            <w:pPr>
              <w:pStyle w:val="Guide-Table"/>
              <w:spacing w:before="60" w:after="60"/>
              <w:jc w:val="left"/>
              <w:rPr>
                <w:rFonts w:cs="Tahoma"/>
                <w:b/>
                <w:lang w:val="sl-SI" w:eastAsia="en-GB"/>
              </w:rPr>
            </w:pPr>
            <w:r w:rsidRPr="00F769E0">
              <w:rPr>
                <w:rFonts w:cs="Tahoma"/>
                <w:b/>
                <w:lang w:val="sl-SI" w:eastAsia="en-GB"/>
              </w:rPr>
              <w:t>Kdaj se prijaviti?</w:t>
            </w:r>
          </w:p>
        </w:tc>
        <w:tc>
          <w:tcPr>
            <w:tcW w:w="4156" w:type="pct"/>
            <w:shd w:val="clear" w:color="auto" w:fill="FFFFFF"/>
            <w:vAlign w:val="center"/>
          </w:tcPr>
          <w:p w14:paraId="7D39A518" w14:textId="77777777" w:rsidR="00E03711" w:rsidRPr="00F769E0" w:rsidRDefault="00E03711" w:rsidP="005D7901">
            <w:pPr>
              <w:pStyle w:val="GUIDE-NORMAL"/>
              <w:spacing w:before="60" w:after="60"/>
              <w:jc w:val="left"/>
              <w:rPr>
                <w:rFonts w:cs="Tahoma"/>
                <w:lang w:val="sl-SI" w:eastAsia="en-GB"/>
              </w:rPr>
            </w:pPr>
            <w:r w:rsidRPr="00F769E0">
              <w:rPr>
                <w:rFonts w:cs="Tahoma"/>
                <w:lang w:val="sl-SI" w:eastAsia="en-GB"/>
              </w:rPr>
              <w:t xml:space="preserve">Prijavitelji morajo vlogo za nepovratna sredstva oddati do </w:t>
            </w:r>
            <w:r>
              <w:rPr>
                <w:rFonts w:cs="Tahoma"/>
                <w:b/>
                <w:lang w:val="sl-SI" w:eastAsia="en-GB"/>
              </w:rPr>
              <w:t>2</w:t>
            </w:r>
            <w:r w:rsidRPr="00F769E0">
              <w:rPr>
                <w:rFonts w:cs="Tahoma"/>
                <w:b/>
                <w:lang w:val="sl-SI" w:eastAsia="en-GB"/>
              </w:rPr>
              <w:t>. aprila do 1</w:t>
            </w:r>
            <w:r>
              <w:rPr>
                <w:rFonts w:cs="Tahoma"/>
                <w:b/>
                <w:lang w:val="sl-SI" w:eastAsia="en-GB"/>
              </w:rPr>
              <w:t>7</w:t>
            </w:r>
            <w:r w:rsidRPr="00F769E0">
              <w:rPr>
                <w:rFonts w:cs="Tahoma"/>
                <w:b/>
                <w:lang w:val="sl-SI" w:eastAsia="en-GB"/>
              </w:rPr>
              <w:t>. ure (po bruseljskem času)</w:t>
            </w:r>
            <w:r w:rsidRPr="00F769E0">
              <w:rPr>
                <w:rFonts w:cs="Tahoma"/>
                <w:lang w:val="sl-SI" w:eastAsia="en-GB"/>
              </w:rPr>
              <w:t xml:space="preserve"> za projekte, ki se začnejo 1. januarja naslednjega leta.</w:t>
            </w:r>
          </w:p>
        </w:tc>
      </w:tr>
      <w:tr w:rsidR="00E03711" w:rsidRPr="002C560E" w14:paraId="7D39A51C" w14:textId="77777777" w:rsidTr="00584909">
        <w:trPr>
          <w:cantSplit/>
          <w:trHeight w:val="20"/>
        </w:trPr>
        <w:tc>
          <w:tcPr>
            <w:tcW w:w="844" w:type="pct"/>
            <w:shd w:val="clear" w:color="auto" w:fill="FFFFFF"/>
            <w:vAlign w:val="center"/>
          </w:tcPr>
          <w:p w14:paraId="7D39A51A" w14:textId="77777777" w:rsidR="00E03711" w:rsidRPr="00F769E0" w:rsidRDefault="00E03711" w:rsidP="005D7901">
            <w:pPr>
              <w:pStyle w:val="Guide-Table"/>
              <w:spacing w:before="60" w:after="60"/>
              <w:jc w:val="left"/>
              <w:rPr>
                <w:rFonts w:cs="Tahoma"/>
                <w:b/>
                <w:lang w:val="sl-SI" w:eastAsia="en-GB"/>
              </w:rPr>
            </w:pPr>
            <w:r w:rsidRPr="00F769E0">
              <w:rPr>
                <w:rFonts w:cs="Tahoma"/>
                <w:b/>
                <w:lang w:val="sl-SI" w:eastAsia="en-GB"/>
              </w:rPr>
              <w:t>Kako se prijaviti?</w:t>
            </w:r>
          </w:p>
        </w:tc>
        <w:tc>
          <w:tcPr>
            <w:tcW w:w="4156" w:type="pct"/>
            <w:shd w:val="clear" w:color="auto" w:fill="FFFFFF"/>
            <w:vAlign w:val="center"/>
          </w:tcPr>
          <w:p w14:paraId="7D39A51B" w14:textId="77777777" w:rsidR="00E03711" w:rsidRPr="00F769E0" w:rsidRDefault="00E03711" w:rsidP="005D7901">
            <w:pPr>
              <w:pStyle w:val="GUIDE-NORMAL"/>
              <w:spacing w:before="60" w:after="60"/>
              <w:jc w:val="left"/>
              <w:rPr>
                <w:rFonts w:cs="Tahoma"/>
                <w:lang w:val="sl-SI" w:eastAsia="en-GB"/>
              </w:rPr>
            </w:pPr>
            <w:r w:rsidRPr="00F769E0">
              <w:rPr>
                <w:rFonts w:cs="Tahoma"/>
                <w:lang w:val="sl-SI" w:eastAsia="en-GB"/>
              </w:rPr>
              <w:t>Za več podrobnosti o postopku prijave glej del C tega vodnika.</w:t>
            </w:r>
          </w:p>
        </w:tc>
      </w:tr>
    </w:tbl>
    <w:p w14:paraId="7D39A51D" w14:textId="77777777" w:rsidR="00E03711" w:rsidRPr="001048FE" w:rsidRDefault="00E03711" w:rsidP="005D7901">
      <w:pPr>
        <w:pStyle w:val="GUIDE-NORMAL"/>
        <w:rPr>
          <w:lang w:val="sl-SI"/>
        </w:rPr>
      </w:pPr>
      <w:r w:rsidRPr="001048FE">
        <w:rPr>
          <w:lang w:val="sl-SI"/>
        </w:rPr>
        <w:t>Organizacije prijaviteljice bodo ocenjene z ustreznimi merili za izključitev in izbor. Za več informacij glej del C tega vodnika.</w:t>
      </w:r>
    </w:p>
    <w:p w14:paraId="7D39A51E" w14:textId="77777777" w:rsidR="00E03711" w:rsidRPr="001048FE" w:rsidRDefault="00E03711" w:rsidP="00E444CA">
      <w:pPr>
        <w:pStyle w:val="Guide-Heading5"/>
        <w:rPr>
          <w:lang w:val="sl-SI"/>
        </w:rPr>
      </w:pPr>
      <w:r w:rsidRPr="001048FE">
        <w:rPr>
          <w:lang w:val="sl-SI"/>
        </w:rPr>
        <w:t>Merila za dodelitev</w:t>
      </w:r>
    </w:p>
    <w:p w14:paraId="7D39A51F" w14:textId="77777777" w:rsidR="00E03711" w:rsidRPr="001048FE" w:rsidRDefault="00E03711" w:rsidP="005D7901">
      <w:pPr>
        <w:pStyle w:val="GUIDE-NORMAL"/>
        <w:rPr>
          <w:lang w:val="sl-SI"/>
        </w:rPr>
      </w:pPr>
      <w:r w:rsidRPr="001048FE">
        <w:rPr>
          <w:lang w:val="sl-SI"/>
        </w:rPr>
        <w:t>Projekti bodo v okviru teh kategorij ocenjeni z naslednjimi merili:</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Look w:val="0000" w:firstRow="0" w:lastRow="0" w:firstColumn="0" w:lastColumn="0" w:noHBand="0" w:noVBand="0"/>
      </w:tblPr>
      <w:tblGrid>
        <w:gridCol w:w="1568"/>
        <w:gridCol w:w="7722"/>
      </w:tblGrid>
      <w:tr w:rsidR="00E03711" w:rsidRPr="002C560E" w14:paraId="7D39A529" w14:textId="77777777" w:rsidTr="00584909">
        <w:trPr>
          <w:trHeight w:val="113"/>
        </w:trPr>
        <w:tc>
          <w:tcPr>
            <w:tcW w:w="844" w:type="pct"/>
            <w:shd w:val="clear" w:color="auto" w:fill="FFFFFF"/>
            <w:vAlign w:val="center"/>
          </w:tcPr>
          <w:p w14:paraId="7D39A520" w14:textId="77777777" w:rsidR="00E03711" w:rsidRPr="00F769E0" w:rsidRDefault="00E03711" w:rsidP="005D7901">
            <w:pPr>
              <w:pStyle w:val="GUIDE-NORMAL"/>
              <w:jc w:val="left"/>
              <w:rPr>
                <w:rFonts w:cs="Tahoma"/>
                <w:b/>
                <w:lang w:val="sl-SI" w:eastAsia="en-GB"/>
              </w:rPr>
            </w:pPr>
            <w:r w:rsidRPr="00F769E0">
              <w:rPr>
                <w:rFonts w:cs="Tahoma"/>
                <w:b/>
                <w:lang w:val="sl-SI" w:eastAsia="en-GB"/>
              </w:rPr>
              <w:t xml:space="preserve">Ustreznost projekta </w:t>
            </w:r>
            <w:r w:rsidRPr="00F769E0">
              <w:rPr>
                <w:rFonts w:cs="Tahoma"/>
                <w:b/>
                <w:lang w:val="sl-SI" w:eastAsia="en-GB"/>
              </w:rPr>
              <w:br/>
              <w:t>(največ 30 točk)</w:t>
            </w:r>
          </w:p>
        </w:tc>
        <w:tc>
          <w:tcPr>
            <w:tcW w:w="4156" w:type="pct"/>
            <w:shd w:val="clear" w:color="auto" w:fill="FFFFFF"/>
          </w:tcPr>
          <w:p w14:paraId="7D39A521" w14:textId="77777777" w:rsidR="00E03711" w:rsidRPr="001048FE" w:rsidRDefault="00E03711" w:rsidP="005115F2">
            <w:pPr>
              <w:pStyle w:val="Guide-NormalBulletpoints"/>
              <w:numPr>
                <w:ilvl w:val="0"/>
                <w:numId w:val="166"/>
              </w:numPr>
              <w:rPr>
                <w:lang w:val="sl-SI"/>
              </w:rPr>
            </w:pPr>
            <w:r w:rsidRPr="001048FE">
              <w:rPr>
                <w:lang w:val="sl-SI"/>
              </w:rPr>
              <w:t>ustreznost predloga v zvezi s:</w:t>
            </w:r>
          </w:p>
          <w:p w14:paraId="7D39A522" w14:textId="77777777" w:rsidR="00E03711" w:rsidRPr="001048FE" w:rsidRDefault="00E03711" w:rsidP="005115F2">
            <w:pPr>
              <w:pStyle w:val="Guide-ListDash"/>
              <w:numPr>
                <w:ilvl w:val="1"/>
                <w:numId w:val="167"/>
              </w:numPr>
              <w:rPr>
                <w:lang w:val="sl-SI"/>
              </w:rPr>
            </w:pPr>
            <w:r w:rsidRPr="001048FE">
              <w:rPr>
                <w:lang w:val="sl-SI"/>
              </w:rPr>
              <w:t>cilji evropskih politik na področju športa;</w:t>
            </w:r>
          </w:p>
          <w:p w14:paraId="7D39A523" w14:textId="77777777" w:rsidR="00E03711" w:rsidRPr="001048FE" w:rsidRDefault="00E03711" w:rsidP="005115F2">
            <w:pPr>
              <w:pStyle w:val="Guide-ListDash"/>
              <w:numPr>
                <w:ilvl w:val="1"/>
                <w:numId w:val="167"/>
              </w:numPr>
              <w:rPr>
                <w:lang w:val="sl-SI"/>
              </w:rPr>
            </w:pPr>
            <w:r w:rsidRPr="001048FE">
              <w:rPr>
                <w:lang w:val="sl-SI"/>
              </w:rPr>
              <w:t>cilji in prednostnimi nalogami tega ukrepa (glej poglavje „Kakšni so cilji majhnega partnerskega sodelovanja?“);</w:t>
            </w:r>
          </w:p>
          <w:p w14:paraId="7D39A524" w14:textId="77777777" w:rsidR="00E03711" w:rsidRPr="001048FE" w:rsidRDefault="00E03711" w:rsidP="005115F2">
            <w:pPr>
              <w:pStyle w:val="Guide-NormalBulletpoints"/>
              <w:numPr>
                <w:ilvl w:val="0"/>
                <w:numId w:val="166"/>
              </w:numPr>
              <w:rPr>
                <w:lang w:val="sl-SI"/>
              </w:rPr>
            </w:pPr>
            <w:r w:rsidRPr="001048FE">
              <w:rPr>
                <w:lang w:val="sl-SI"/>
              </w:rPr>
              <w:t>v kolikšni meri:</w:t>
            </w:r>
          </w:p>
          <w:p w14:paraId="7D39A525" w14:textId="77777777" w:rsidR="00E03711" w:rsidRPr="001048FE" w:rsidRDefault="00E03711" w:rsidP="005115F2">
            <w:pPr>
              <w:pStyle w:val="Guide-ListDash"/>
              <w:numPr>
                <w:ilvl w:val="1"/>
                <w:numId w:val="167"/>
              </w:numPr>
              <w:rPr>
                <w:lang w:val="sl-SI"/>
              </w:rPr>
            </w:pPr>
            <w:r w:rsidRPr="001048FE">
              <w:rPr>
                <w:lang w:val="sl-SI"/>
              </w:rPr>
              <w:t>predlog temelji na pravi in ustrezni analizi potreb;</w:t>
            </w:r>
          </w:p>
          <w:p w14:paraId="7D39A526" w14:textId="77777777" w:rsidR="00E03711" w:rsidRPr="001048FE" w:rsidRDefault="00E03711" w:rsidP="005115F2">
            <w:pPr>
              <w:pStyle w:val="Guide-ListDash"/>
              <w:numPr>
                <w:ilvl w:val="1"/>
                <w:numId w:val="167"/>
              </w:numPr>
              <w:rPr>
                <w:lang w:val="sl-SI"/>
              </w:rPr>
            </w:pPr>
            <w:r w:rsidRPr="001048FE">
              <w:rPr>
                <w:lang w:val="sl-SI"/>
              </w:rPr>
              <w:t>so cilji jasno opredeljeni, realistični in obravnavajo vprašanja, ki so poveza-na s sodelujočimi organizacijami in ciljnimi skupinami;</w:t>
            </w:r>
          </w:p>
          <w:p w14:paraId="7D39A527" w14:textId="77777777" w:rsidR="00E03711" w:rsidRPr="001048FE" w:rsidRDefault="00E03711" w:rsidP="005115F2">
            <w:pPr>
              <w:pStyle w:val="Guide-ListDash"/>
              <w:numPr>
                <w:ilvl w:val="1"/>
                <w:numId w:val="167"/>
              </w:numPr>
              <w:rPr>
                <w:lang w:val="sl-SI"/>
              </w:rPr>
            </w:pPr>
            <w:r w:rsidRPr="001048FE">
              <w:rPr>
                <w:lang w:val="sl-SI"/>
              </w:rPr>
              <w:t>je predlog inovativen in/ali dopolnjuje druge pobude, ki jih že izvajajo sodelujoče organizacije;</w:t>
            </w:r>
          </w:p>
          <w:p w14:paraId="7D39A528" w14:textId="77777777" w:rsidR="00E03711" w:rsidRPr="001048FE" w:rsidRDefault="00E03711" w:rsidP="005115F2">
            <w:pPr>
              <w:pStyle w:val="Guide-ListDash"/>
              <w:numPr>
                <w:ilvl w:val="1"/>
                <w:numId w:val="167"/>
              </w:numPr>
              <w:rPr>
                <w:lang w:val="sl-SI"/>
              </w:rPr>
            </w:pPr>
            <w:r w:rsidRPr="001048FE">
              <w:rPr>
                <w:lang w:val="sl-SI"/>
              </w:rPr>
              <w:t>predlog prispeva dodano vrednost na ravni EU z rezultati, ki jih ne bi bilo mogoče doseči z izvajanjem aktivnosti v samo eni državi.</w:t>
            </w:r>
          </w:p>
        </w:tc>
      </w:tr>
      <w:tr w:rsidR="00E03711" w:rsidRPr="002C560E" w14:paraId="7D39A531" w14:textId="77777777" w:rsidTr="00584909">
        <w:trPr>
          <w:trHeight w:val="113"/>
        </w:trPr>
        <w:tc>
          <w:tcPr>
            <w:tcW w:w="844" w:type="pct"/>
            <w:shd w:val="clear" w:color="auto" w:fill="FFFFFF"/>
            <w:vAlign w:val="center"/>
          </w:tcPr>
          <w:p w14:paraId="7D39A52A" w14:textId="77777777" w:rsidR="00E03711" w:rsidRPr="00F769E0" w:rsidRDefault="00E03711" w:rsidP="005D7901">
            <w:pPr>
              <w:pStyle w:val="GUIDE-NORMAL"/>
              <w:jc w:val="left"/>
              <w:rPr>
                <w:rFonts w:cs="Tahoma"/>
                <w:b/>
                <w:lang w:val="sl-SI" w:eastAsia="en-GB"/>
              </w:rPr>
            </w:pPr>
            <w:r w:rsidRPr="00F769E0">
              <w:rPr>
                <w:rFonts w:cs="Tahoma"/>
                <w:b/>
                <w:lang w:val="sl-SI" w:eastAsia="en-GB"/>
              </w:rPr>
              <w:t xml:space="preserve">Kakovost </w:t>
            </w:r>
            <w:r w:rsidRPr="00F769E0">
              <w:rPr>
                <w:rFonts w:cs="Tahoma"/>
                <w:b/>
                <w:lang w:val="sl-SI" w:eastAsia="en-GB"/>
              </w:rPr>
              <w:br/>
              <w:t>zasnove in izvedbe projekta (največ 20 točk)</w:t>
            </w:r>
          </w:p>
        </w:tc>
        <w:tc>
          <w:tcPr>
            <w:tcW w:w="4156" w:type="pct"/>
            <w:shd w:val="clear" w:color="auto" w:fill="FFFFFF"/>
          </w:tcPr>
          <w:p w14:paraId="7D39A52B" w14:textId="77777777" w:rsidR="00E03711" w:rsidRPr="001048FE" w:rsidRDefault="00E03711" w:rsidP="005115F2">
            <w:pPr>
              <w:pStyle w:val="Guide-NormalBulletpoints"/>
              <w:numPr>
                <w:ilvl w:val="0"/>
                <w:numId w:val="166"/>
              </w:numPr>
              <w:rPr>
                <w:lang w:val="sl-SI"/>
              </w:rPr>
            </w:pPr>
            <w:r w:rsidRPr="001048FE">
              <w:rPr>
                <w:lang w:val="sl-SI"/>
              </w:rPr>
              <w:t>jasnost, celovitost in kakovost delovnega programa, vključno z ustreznimi fazami za pripravo, izvajanje, spremljanje, ocenjevanje in razširjanje;</w:t>
            </w:r>
          </w:p>
          <w:p w14:paraId="7D39A52C" w14:textId="77777777" w:rsidR="00E03711" w:rsidRPr="001048FE" w:rsidRDefault="00E03711" w:rsidP="005115F2">
            <w:pPr>
              <w:pStyle w:val="Guide-NormalBulletpoints"/>
              <w:numPr>
                <w:ilvl w:val="0"/>
                <w:numId w:val="166"/>
              </w:numPr>
              <w:rPr>
                <w:lang w:val="sl-SI"/>
              </w:rPr>
            </w:pPr>
            <w:r w:rsidRPr="001048FE">
              <w:rPr>
                <w:lang w:val="sl-SI"/>
              </w:rPr>
              <w:t>usklajenost ciljev projekta, metodologije, aktivnosti in predlaganega proračuna;</w:t>
            </w:r>
          </w:p>
          <w:p w14:paraId="7D39A52D" w14:textId="77777777" w:rsidR="00E03711" w:rsidRPr="001048FE" w:rsidRDefault="00E03711" w:rsidP="005115F2">
            <w:pPr>
              <w:pStyle w:val="Guide-NormalBulletpoints"/>
              <w:numPr>
                <w:ilvl w:val="0"/>
                <w:numId w:val="166"/>
              </w:numPr>
              <w:rPr>
                <w:lang w:val="sl-SI"/>
              </w:rPr>
            </w:pPr>
            <w:r w:rsidRPr="001048FE">
              <w:rPr>
                <w:lang w:val="sl-SI"/>
              </w:rPr>
              <w:t>kakovost in izvedljivost predlagane metodologije;</w:t>
            </w:r>
          </w:p>
          <w:p w14:paraId="7D39A52E" w14:textId="77777777" w:rsidR="00E03711" w:rsidRPr="001048FE" w:rsidRDefault="00E03711" w:rsidP="005115F2">
            <w:pPr>
              <w:pStyle w:val="Guide-NormalBulletpoints"/>
              <w:numPr>
                <w:ilvl w:val="0"/>
                <w:numId w:val="166"/>
              </w:numPr>
              <w:rPr>
                <w:lang w:val="sl-SI"/>
              </w:rPr>
            </w:pPr>
            <w:r w:rsidRPr="001048FE">
              <w:rPr>
                <w:lang w:val="sl-SI"/>
              </w:rPr>
              <w:t>obstoj in kakovost praktičnih ureditev (časovni razpored, organizacija, naloge in odgovornosti so dobro opredeljeni in realistični);</w:t>
            </w:r>
          </w:p>
          <w:p w14:paraId="7D39A52F" w14:textId="77777777" w:rsidR="00E03711" w:rsidRPr="001048FE" w:rsidRDefault="00E03711" w:rsidP="005115F2">
            <w:pPr>
              <w:pStyle w:val="Guide-NormalBulletpoints"/>
              <w:numPr>
                <w:ilvl w:val="0"/>
                <w:numId w:val="166"/>
              </w:numPr>
              <w:rPr>
                <w:lang w:val="sl-SI"/>
              </w:rPr>
            </w:pPr>
            <w:r w:rsidRPr="001048FE">
              <w:rPr>
                <w:lang w:val="sl-SI"/>
              </w:rPr>
              <w:t>obstoj in ustreznost ukrepov za nadzor kakovosti, da se zagotovijo visokokako-vostna izvedba projekta, pravočasni zaključek in poraba sredstev v okviru prora-čuna;</w:t>
            </w:r>
          </w:p>
          <w:p w14:paraId="7D39A530" w14:textId="77777777" w:rsidR="00E03711" w:rsidRPr="001048FE" w:rsidRDefault="00E03711" w:rsidP="005115F2">
            <w:pPr>
              <w:pStyle w:val="Guide-NormalBulletpoints"/>
              <w:numPr>
                <w:ilvl w:val="0"/>
                <w:numId w:val="166"/>
              </w:numPr>
              <w:rPr>
                <w:lang w:val="sl-SI"/>
              </w:rPr>
            </w:pPr>
            <w:r w:rsidRPr="001048FE">
              <w:rPr>
                <w:lang w:val="sl-SI"/>
              </w:rPr>
              <w:t>v kolikšni meri je projekt stroškovno učinkovit in dodeljuje ustrezna sredstva posameznih aktivnostim.</w:t>
            </w:r>
          </w:p>
        </w:tc>
      </w:tr>
      <w:tr w:rsidR="00E03711" w:rsidRPr="002C560E" w14:paraId="7D39A537" w14:textId="77777777" w:rsidTr="00584909">
        <w:trPr>
          <w:trHeight w:val="113"/>
        </w:trPr>
        <w:tc>
          <w:tcPr>
            <w:tcW w:w="844" w:type="pct"/>
            <w:shd w:val="clear" w:color="auto" w:fill="FFFFFF"/>
            <w:vAlign w:val="center"/>
          </w:tcPr>
          <w:p w14:paraId="7D39A532" w14:textId="77777777" w:rsidR="00E03711" w:rsidRPr="00F769E0" w:rsidRDefault="00E03711" w:rsidP="005D7901">
            <w:pPr>
              <w:pStyle w:val="GUIDE-NORMAL"/>
              <w:jc w:val="left"/>
              <w:rPr>
                <w:rFonts w:cs="Tahoma"/>
                <w:b/>
                <w:lang w:val="sl-SI" w:eastAsia="en-GB"/>
              </w:rPr>
            </w:pPr>
            <w:r w:rsidRPr="00F769E0">
              <w:rPr>
                <w:rFonts w:cs="Tahoma"/>
                <w:b/>
                <w:lang w:val="sl-SI" w:eastAsia="en-GB"/>
              </w:rPr>
              <w:t xml:space="preserve">Kakovost projektne skupine in dogovorov </w:t>
            </w:r>
            <w:r w:rsidRPr="00F769E0">
              <w:rPr>
                <w:rFonts w:cs="Tahoma"/>
                <w:b/>
                <w:lang w:val="sl-SI" w:eastAsia="en-GB"/>
              </w:rPr>
              <w:br/>
              <w:t>o sodelovanju (največ 20 točk)</w:t>
            </w:r>
          </w:p>
        </w:tc>
        <w:tc>
          <w:tcPr>
            <w:tcW w:w="4156" w:type="pct"/>
            <w:shd w:val="clear" w:color="auto" w:fill="FFFFFF"/>
          </w:tcPr>
          <w:p w14:paraId="7D39A533" w14:textId="77777777" w:rsidR="00E03711" w:rsidRPr="001048FE" w:rsidRDefault="00E03711" w:rsidP="005115F2">
            <w:pPr>
              <w:pStyle w:val="Guide-NormalBulletpoints"/>
              <w:numPr>
                <w:ilvl w:val="0"/>
                <w:numId w:val="166"/>
              </w:numPr>
              <w:rPr>
                <w:lang w:val="sl-SI"/>
              </w:rPr>
            </w:pPr>
            <w:r w:rsidRPr="001048FE">
              <w:rPr>
                <w:lang w:val="sl-SI"/>
              </w:rPr>
              <w:t>v kolikšni meri:</w:t>
            </w:r>
          </w:p>
          <w:p w14:paraId="7D39A534" w14:textId="77777777" w:rsidR="00E03711" w:rsidRPr="001048FE" w:rsidRDefault="00E03711" w:rsidP="005115F2">
            <w:pPr>
              <w:pStyle w:val="Guide-ListDash"/>
              <w:numPr>
                <w:ilvl w:val="1"/>
                <w:numId w:val="167"/>
              </w:numPr>
              <w:rPr>
                <w:lang w:val="sl-SI"/>
              </w:rPr>
            </w:pPr>
            <w:r w:rsidRPr="001048FE">
              <w:rPr>
                <w:lang w:val="sl-SI"/>
              </w:rPr>
              <w:t>kadar je to ustrezno, projekt vključuje ustrezen nabor sodelujočih organiza-cij, ki se dopolnjujejo in imajo potreben profil, izkušnje in strokovno znanje za uspešno izvedbo vseh vidikov projekta</w:t>
            </w:r>
            <w:r w:rsidRPr="008633EA">
              <w:rPr>
                <w:lang w:val="sl-SI"/>
              </w:rPr>
              <w:t xml:space="preserve">, </w:t>
            </w:r>
            <w:r w:rsidRPr="00FC4A70">
              <w:rPr>
                <w:rFonts w:eastAsia="Calibri" w:cs="Calibri"/>
                <w:bdr w:val="nil"/>
                <w:lang w:val="sl-SI"/>
              </w:rPr>
              <w:t>vključno s potrebnim profilom in kapacitetami znanja na področju športne politike in prakse</w:t>
            </w:r>
            <w:r w:rsidRPr="008633EA">
              <w:rPr>
                <w:lang w:val="sl-SI"/>
              </w:rPr>
              <w:t>;</w:t>
            </w:r>
          </w:p>
          <w:p w14:paraId="7D39A535" w14:textId="77777777" w:rsidR="00E03711" w:rsidRPr="001048FE" w:rsidRDefault="00E03711" w:rsidP="005115F2">
            <w:pPr>
              <w:pStyle w:val="Guide-ListDash"/>
              <w:numPr>
                <w:ilvl w:val="1"/>
                <w:numId w:val="167"/>
              </w:numPr>
              <w:rPr>
                <w:lang w:val="sl-SI"/>
              </w:rPr>
            </w:pPr>
            <w:r w:rsidRPr="001048FE">
              <w:rPr>
                <w:lang w:val="sl-SI"/>
              </w:rPr>
              <w:t>sta iz porazdelitve odgovornosti in nalog razvidna zavezanost in aktivno prispevanje vseh sodelujočih organizacij;</w:t>
            </w:r>
          </w:p>
          <w:p w14:paraId="7D39A536" w14:textId="77777777" w:rsidR="00E03711" w:rsidRPr="001048FE" w:rsidRDefault="00E03711" w:rsidP="005115F2">
            <w:pPr>
              <w:pStyle w:val="Guide-NormalBulletpoints"/>
              <w:numPr>
                <w:ilvl w:val="1"/>
                <w:numId w:val="167"/>
              </w:numPr>
              <w:rPr>
                <w:lang w:val="sl-SI"/>
              </w:rPr>
            </w:pPr>
            <w:r w:rsidRPr="001048FE">
              <w:rPr>
                <w:lang w:val="sl-SI"/>
              </w:rPr>
              <w:t>kadar je to ustrezno, v kolikšni meri vključenost sodelujoče organizacije iz partnerske države prispeva bistveno dodano vrednost k projektu.</w:t>
            </w:r>
          </w:p>
        </w:tc>
      </w:tr>
      <w:tr w:rsidR="00E03711" w:rsidRPr="002C560E" w14:paraId="7D39A540" w14:textId="77777777" w:rsidTr="00584909">
        <w:trPr>
          <w:trHeight w:val="113"/>
        </w:trPr>
        <w:tc>
          <w:tcPr>
            <w:tcW w:w="844" w:type="pct"/>
            <w:shd w:val="clear" w:color="auto" w:fill="FFFFFF"/>
            <w:vAlign w:val="center"/>
          </w:tcPr>
          <w:p w14:paraId="7D39A538" w14:textId="77777777" w:rsidR="00E03711" w:rsidRPr="00F769E0" w:rsidRDefault="00E03711" w:rsidP="005D7901">
            <w:pPr>
              <w:pStyle w:val="GUIDE-NORMAL"/>
              <w:jc w:val="left"/>
              <w:rPr>
                <w:rFonts w:cs="Tahoma"/>
                <w:b/>
                <w:lang w:val="sl-SI" w:eastAsia="en-GB"/>
              </w:rPr>
            </w:pPr>
            <w:r w:rsidRPr="00F769E0">
              <w:rPr>
                <w:rFonts w:cs="Tahoma"/>
                <w:b/>
                <w:lang w:val="sl-SI" w:eastAsia="en-GB"/>
              </w:rPr>
              <w:t>Učinek in razširjanje (največ 30 točk)</w:t>
            </w:r>
          </w:p>
        </w:tc>
        <w:tc>
          <w:tcPr>
            <w:tcW w:w="4156" w:type="pct"/>
            <w:shd w:val="clear" w:color="auto" w:fill="FFFFFF"/>
          </w:tcPr>
          <w:p w14:paraId="7D39A539" w14:textId="77777777" w:rsidR="00E03711" w:rsidRPr="001048FE" w:rsidRDefault="00E03711" w:rsidP="005115F2">
            <w:pPr>
              <w:pStyle w:val="Guide-NormalBulletpoints"/>
              <w:numPr>
                <w:ilvl w:val="0"/>
                <w:numId w:val="166"/>
              </w:numPr>
              <w:rPr>
                <w:lang w:val="sl-SI"/>
              </w:rPr>
            </w:pPr>
            <w:r w:rsidRPr="001048FE">
              <w:rPr>
                <w:lang w:val="sl-SI"/>
              </w:rPr>
              <w:t>kakovost ukrepov za ocenjevanje rezultatov projekta;</w:t>
            </w:r>
          </w:p>
          <w:p w14:paraId="7D39A53A" w14:textId="77777777" w:rsidR="00E03711" w:rsidRPr="001048FE" w:rsidRDefault="00E03711" w:rsidP="005115F2">
            <w:pPr>
              <w:pStyle w:val="Guide-NormalBulletpoints"/>
              <w:numPr>
                <w:ilvl w:val="0"/>
                <w:numId w:val="166"/>
              </w:numPr>
              <w:rPr>
                <w:lang w:val="sl-SI"/>
              </w:rPr>
            </w:pPr>
            <w:r w:rsidRPr="001048FE">
              <w:rPr>
                <w:lang w:val="sl-SI"/>
              </w:rPr>
              <w:t>morebitni učinek projekta:</w:t>
            </w:r>
          </w:p>
          <w:p w14:paraId="7D39A53B" w14:textId="77777777" w:rsidR="00E03711" w:rsidRPr="001048FE" w:rsidRDefault="00E03711" w:rsidP="005115F2">
            <w:pPr>
              <w:pStyle w:val="Guide-ListDash"/>
              <w:numPr>
                <w:ilvl w:val="1"/>
                <w:numId w:val="167"/>
              </w:numPr>
              <w:rPr>
                <w:lang w:val="sl-SI"/>
              </w:rPr>
            </w:pPr>
            <w:r w:rsidRPr="001048FE">
              <w:rPr>
                <w:lang w:val="sl-SI"/>
              </w:rPr>
              <w:t>na udeležence in sodelujoče organizacije med življenjskim ciklom projekta in po njem;</w:t>
            </w:r>
          </w:p>
          <w:p w14:paraId="7D39A53C" w14:textId="77777777" w:rsidR="00E03711" w:rsidRPr="001048FE" w:rsidRDefault="00E03711" w:rsidP="005115F2">
            <w:pPr>
              <w:pStyle w:val="Guide-ListDash"/>
              <w:numPr>
                <w:ilvl w:val="1"/>
                <w:numId w:val="167"/>
              </w:numPr>
              <w:rPr>
                <w:lang w:val="sl-SI"/>
              </w:rPr>
            </w:pPr>
            <w:r w:rsidRPr="001048FE">
              <w:rPr>
                <w:lang w:val="sl-SI"/>
              </w:rPr>
              <w:t>na druga področja, poleg organizacij in posameznikov, ki neposredno sode-lujejo v projektu, na lokalni, regionalni, nacionalni in/ali evropski ravni;</w:t>
            </w:r>
          </w:p>
          <w:p w14:paraId="7D39A53D" w14:textId="77777777" w:rsidR="00E03711" w:rsidRPr="001048FE" w:rsidRDefault="00E03711" w:rsidP="005115F2">
            <w:pPr>
              <w:pStyle w:val="Guide-NormalBulletpoints"/>
              <w:numPr>
                <w:ilvl w:val="0"/>
                <w:numId w:val="166"/>
              </w:numPr>
              <w:rPr>
                <w:lang w:val="sl-SI"/>
              </w:rPr>
            </w:pPr>
            <w:r w:rsidRPr="001048FE">
              <w:rPr>
                <w:lang w:val="sl-SI"/>
              </w:rPr>
              <w:t>kakovost načrta za razširjanje: ustreznost in kakovost ukrepov, katerih cilj je izmenjava rezultatov projekta v sodelujočih organizacijah in drugod;</w:t>
            </w:r>
          </w:p>
          <w:p w14:paraId="7D39A53E" w14:textId="77777777" w:rsidR="00E03711" w:rsidRPr="001048FE" w:rsidRDefault="00E03711" w:rsidP="005115F2">
            <w:pPr>
              <w:pStyle w:val="Guide-NormalBulletpoints"/>
              <w:numPr>
                <w:ilvl w:val="0"/>
                <w:numId w:val="166"/>
              </w:numPr>
              <w:rPr>
                <w:lang w:val="sl-SI"/>
              </w:rPr>
            </w:pPr>
            <w:r w:rsidRPr="001048FE">
              <w:rPr>
                <w:lang w:val="sl-SI"/>
              </w:rPr>
              <w:t>če je ustrezno, v kolikšni meri predlog opiše, kako se bo omogočil prost dostop z odprtimi licencami do ustvarjenih gradiv, dokumentov in nosilcev podatkov ter kako se bo o njih obveščalo; predlog ne vsebuje nesorazmernih omejitev;</w:t>
            </w:r>
          </w:p>
          <w:p w14:paraId="7D39A53F" w14:textId="77777777" w:rsidR="00E03711" w:rsidRPr="001048FE" w:rsidRDefault="00E03711" w:rsidP="005115F2">
            <w:pPr>
              <w:pStyle w:val="Guide-NormalBulletpoints"/>
              <w:numPr>
                <w:ilvl w:val="0"/>
                <w:numId w:val="166"/>
              </w:numPr>
              <w:rPr>
                <w:lang w:val="sl-SI"/>
              </w:rPr>
            </w:pPr>
            <w:r w:rsidRPr="001048FE">
              <w:rPr>
                <w:lang w:val="sl-SI"/>
              </w:rPr>
              <w:t>kakovost načrtov za zagotavljanje trajnosti projekta: ali lahko projekt po porabi nepovratnih sredstev EU še naprej dosega učinek in rezultate.</w:t>
            </w:r>
          </w:p>
        </w:tc>
      </w:tr>
    </w:tbl>
    <w:p w14:paraId="7D39A541" w14:textId="77777777" w:rsidR="00E03711" w:rsidRDefault="00E03711" w:rsidP="006D7285">
      <w:pPr>
        <w:pStyle w:val="GUIDE-NORMAL"/>
        <w:rPr>
          <w:lang w:val="sl-SI"/>
        </w:rPr>
        <w:sectPr w:rsidR="00E03711" w:rsidSect="00E15ED3">
          <w:headerReference w:type="default" r:id="rId138"/>
          <w:endnotePr>
            <w:numFmt w:val="decimal"/>
          </w:endnotePr>
          <w:pgSz w:w="11910" w:h="16840" w:code="9"/>
          <w:pgMar w:top="1134" w:right="1418" w:bottom="1134" w:left="1418" w:header="284" w:footer="567" w:gutter="0"/>
          <w:cols w:space="720"/>
          <w:docGrid w:linePitch="326"/>
        </w:sectPr>
      </w:pPr>
      <w:r w:rsidRPr="001048FE">
        <w:rPr>
          <w:lang w:val="sl-SI"/>
        </w:rPr>
        <w:t>Za upoštevanje pri dodeljevanju sredstev morajo predlogi doseči vsaj 60 točk. Poleg tega morajo doseči vsaj polovico vseh možnih točk v vsaki od navedenih kategorij meril za dodelitev (tj. vsaj 15 točk za kategoriji „Ustreznost projekta“ ter „Učinek in razširjanje“; 10 točk za kategoriji „Kakovost zasnove in izvedbe projekta“ in „Kakovost projektne skupine in dogovorov o sodelovanju“.</w:t>
      </w:r>
    </w:p>
    <w:p w14:paraId="7D39A542" w14:textId="77777777" w:rsidR="00E03711" w:rsidRPr="001048FE" w:rsidRDefault="00E03711" w:rsidP="006D7285">
      <w:pPr>
        <w:pStyle w:val="Guide-Heading5"/>
        <w:rPr>
          <w:lang w:val="sl-SI"/>
        </w:rPr>
      </w:pPr>
      <w:r w:rsidRPr="001048FE">
        <w:rPr>
          <w:lang w:val="sl-SI"/>
        </w:rPr>
        <w:t>Kakšna so pravila za dodelitev sredstev?</w:t>
      </w:r>
    </w:p>
    <w:p w14:paraId="7D39A543" w14:textId="77777777" w:rsidR="00E03711" w:rsidRPr="001048FE" w:rsidRDefault="00E03711" w:rsidP="006D7285">
      <w:pPr>
        <w:pStyle w:val="GUIDE-NORMAL"/>
        <w:rPr>
          <w:lang w:val="sl-SI"/>
        </w:rPr>
      </w:pPr>
      <w:r w:rsidRPr="001048FE">
        <w:rPr>
          <w:lang w:val="sl-SI"/>
        </w:rPr>
        <w:t>Proračun projekta je treba pripraviti v skladu z naslednjimi pravili za dodelitev sredstev (v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8"/>
      </w:tblGrid>
      <w:tr w:rsidR="00E03711" w:rsidRPr="002C560E" w14:paraId="7D39A545" w14:textId="77777777" w:rsidTr="00073E87">
        <w:tc>
          <w:tcPr>
            <w:tcW w:w="5000" w:type="pct"/>
            <w:shd w:val="clear" w:color="auto" w:fill="auto"/>
          </w:tcPr>
          <w:p w14:paraId="7D39A544" w14:textId="77777777" w:rsidR="00E03711" w:rsidRPr="00237696" w:rsidRDefault="00E03711" w:rsidP="00237696">
            <w:pPr>
              <w:pStyle w:val="Guide-Table"/>
              <w:spacing w:before="60" w:after="60"/>
              <w:rPr>
                <w:b/>
                <w:lang w:val="sl-SI" w:eastAsia="en-GB"/>
              </w:rPr>
            </w:pPr>
            <w:r w:rsidRPr="00237696">
              <w:rPr>
                <w:b/>
                <w:lang w:val="sl-SI" w:eastAsia="en-GB"/>
              </w:rPr>
              <w:t>Najvišja dodeljena nepovratna sredstva za majhna partnerska sodelovanja: 60 000 EUR.</w:t>
            </w:r>
          </w:p>
        </w:tc>
      </w:tr>
    </w:tbl>
    <w:p w14:paraId="7D39A546" w14:textId="77777777" w:rsidR="00E03711" w:rsidRPr="001048FE" w:rsidRDefault="00E03711" w:rsidP="00584909">
      <w:pPr>
        <w:pStyle w:val="Guide-Table"/>
        <w:rPr>
          <w:lang w:val="sl-SI"/>
        </w:rPr>
      </w:pPr>
    </w:p>
    <w:tbl>
      <w:tblPr>
        <w:tblW w:w="5000" w:type="pct"/>
        <w:tblLook w:val="0000" w:firstRow="0" w:lastRow="0" w:firstColumn="0" w:lastColumn="0" w:noHBand="0" w:noVBand="0"/>
      </w:tblPr>
      <w:tblGrid>
        <w:gridCol w:w="1703"/>
        <w:gridCol w:w="3378"/>
        <w:gridCol w:w="1931"/>
        <w:gridCol w:w="2384"/>
        <w:gridCol w:w="1420"/>
        <w:gridCol w:w="3972"/>
      </w:tblGrid>
      <w:tr w:rsidR="00E03711" w:rsidRPr="008C6F8C" w14:paraId="7D39A54B" w14:textId="77777777" w:rsidTr="00073E87">
        <w:trPr>
          <w:trHeight w:val="20"/>
        </w:trPr>
        <w:tc>
          <w:tcPr>
            <w:tcW w:w="17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A547" w14:textId="77777777" w:rsidR="00E03711" w:rsidRPr="00F769E0" w:rsidRDefault="00E03711" w:rsidP="00584909">
            <w:pPr>
              <w:pStyle w:val="GUIDE-NORMAL"/>
              <w:spacing w:before="60" w:after="60"/>
              <w:jc w:val="center"/>
              <w:rPr>
                <w:rFonts w:cs="Tahoma"/>
                <w:b/>
                <w:lang w:val="sl-SI" w:eastAsia="en-GB"/>
              </w:rPr>
            </w:pPr>
            <w:r w:rsidRPr="00F769E0">
              <w:rPr>
                <w:rFonts w:cs="Tahoma"/>
                <w:b/>
                <w:lang w:val="sl-SI" w:eastAsia="en-GB"/>
              </w:rPr>
              <w:t>Upravičeni stroški</w:t>
            </w:r>
          </w:p>
        </w:tc>
        <w:tc>
          <w:tcPr>
            <w:tcW w:w="6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A548" w14:textId="77777777" w:rsidR="00E03711" w:rsidRPr="00F769E0" w:rsidRDefault="00E03711" w:rsidP="00584909">
            <w:pPr>
              <w:pStyle w:val="GUIDE-NORMAL"/>
              <w:spacing w:before="60" w:after="60"/>
              <w:jc w:val="center"/>
              <w:rPr>
                <w:rFonts w:cs="Tahoma"/>
                <w:b/>
                <w:lang w:val="sl-SI" w:eastAsia="en-GB"/>
              </w:rPr>
            </w:pPr>
            <w:r w:rsidRPr="00F769E0">
              <w:rPr>
                <w:rFonts w:cs="Tahoma"/>
                <w:b/>
                <w:lang w:val="sl-SI" w:eastAsia="en-GB"/>
              </w:rPr>
              <w:t>Mehanizem financiranja</w:t>
            </w:r>
          </w:p>
        </w:tc>
        <w:tc>
          <w:tcPr>
            <w:tcW w:w="1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A549" w14:textId="77777777" w:rsidR="00E03711" w:rsidRPr="00F769E0" w:rsidRDefault="00E03711" w:rsidP="00584909">
            <w:pPr>
              <w:pStyle w:val="GUIDE-NORMAL"/>
              <w:spacing w:before="60" w:after="60"/>
              <w:jc w:val="center"/>
              <w:rPr>
                <w:rFonts w:cs="Tahoma"/>
                <w:b/>
                <w:lang w:val="sl-SI" w:eastAsia="en-GB"/>
              </w:rPr>
            </w:pPr>
            <w:r w:rsidRPr="00F769E0">
              <w:rPr>
                <w:rFonts w:cs="Tahoma"/>
                <w:b/>
                <w:lang w:val="sl-SI" w:eastAsia="en-GB"/>
              </w:rPr>
              <w:t>Znesek</w:t>
            </w:r>
          </w:p>
        </w:tc>
        <w:tc>
          <w:tcPr>
            <w:tcW w:w="13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A54A" w14:textId="77777777" w:rsidR="00E03711" w:rsidRPr="00F769E0" w:rsidRDefault="00E03711" w:rsidP="00584909">
            <w:pPr>
              <w:pStyle w:val="GUIDE-NORMAL"/>
              <w:spacing w:before="60" w:after="60"/>
              <w:jc w:val="center"/>
              <w:rPr>
                <w:rFonts w:cs="Tahoma"/>
                <w:b/>
                <w:lang w:val="sl-SI" w:eastAsia="en-GB"/>
              </w:rPr>
            </w:pPr>
            <w:r w:rsidRPr="00F769E0">
              <w:rPr>
                <w:rFonts w:cs="Tahoma"/>
                <w:b/>
                <w:lang w:val="sl-SI" w:eastAsia="en-GB"/>
              </w:rPr>
              <w:t>Pravilo dodelitve</w:t>
            </w:r>
          </w:p>
        </w:tc>
      </w:tr>
      <w:tr w:rsidR="00E03711" w:rsidRPr="002C560E" w14:paraId="7D39A552" w14:textId="77777777" w:rsidTr="00073E87">
        <w:trPr>
          <w:trHeight w:val="20"/>
        </w:trPr>
        <w:tc>
          <w:tcPr>
            <w:tcW w:w="57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A54C" w14:textId="77777777" w:rsidR="00E03711" w:rsidRPr="00F769E0" w:rsidRDefault="00E03711" w:rsidP="00B56D0B">
            <w:pPr>
              <w:pStyle w:val="GUIDE-NORMAL"/>
              <w:spacing w:before="60" w:after="60"/>
              <w:jc w:val="left"/>
              <w:rPr>
                <w:rFonts w:cs="Tahoma"/>
                <w:b/>
                <w:lang w:val="sl-SI" w:eastAsia="en-GB"/>
              </w:rPr>
            </w:pPr>
            <w:r w:rsidRPr="00F769E0">
              <w:rPr>
                <w:rFonts w:cs="Tahoma"/>
                <w:b/>
                <w:lang w:val="sl-SI" w:eastAsia="en-GB"/>
              </w:rPr>
              <w:t>Upravljanje in izvajanje projekta</w:t>
            </w:r>
          </w:p>
        </w:tc>
        <w:tc>
          <w:tcPr>
            <w:tcW w:w="114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A54D" w14:textId="77777777" w:rsidR="00E03711" w:rsidRPr="00F769E0" w:rsidRDefault="00E03711" w:rsidP="00B56D0B">
            <w:pPr>
              <w:pStyle w:val="GUIDE-NORMAL"/>
              <w:spacing w:before="60" w:after="60"/>
              <w:jc w:val="left"/>
              <w:rPr>
                <w:rFonts w:cs="Tahoma"/>
                <w:lang w:val="sl-SI" w:eastAsia="en-GB"/>
              </w:rPr>
            </w:pPr>
            <w:r w:rsidRPr="00F769E0">
              <w:rPr>
                <w:rFonts w:cs="Tahoma"/>
                <w:lang w:val="sl-SI" w:eastAsia="en-GB"/>
              </w:rPr>
              <w:t>Upravljanje projekta (npr. načrtovanje, finance, koordinacija in obveščanje med partnerji itd.); gradiva, orodja, pristopi itd. za učenje/poučevanje/usposabljanje v malem obsegu. Virtualno sodelovanje in aktivnosti lokalnih projektov; obveščanje, spodbujanje in razširjanje (npr. brošure, zloženke, spletne informacije itd.).</w:t>
            </w:r>
          </w:p>
        </w:tc>
        <w:tc>
          <w:tcPr>
            <w:tcW w:w="6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A54E" w14:textId="77777777" w:rsidR="00E03711" w:rsidRPr="00F769E0" w:rsidRDefault="00E03711" w:rsidP="00B56D0B">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A54F" w14:textId="77777777" w:rsidR="00E03711" w:rsidRPr="00F769E0" w:rsidRDefault="00E03711" w:rsidP="00B56D0B">
            <w:pPr>
              <w:pStyle w:val="GUIDE-NORMAL"/>
              <w:spacing w:before="60" w:after="60"/>
              <w:jc w:val="left"/>
              <w:rPr>
                <w:rFonts w:cs="Tahoma"/>
                <w:lang w:val="sl-SI" w:eastAsia="en-GB"/>
              </w:rPr>
            </w:pPr>
            <w:r w:rsidRPr="00F769E0">
              <w:rPr>
                <w:rFonts w:cs="Tahoma"/>
                <w:lang w:val="sl-SI" w:eastAsia="en-GB"/>
              </w:rPr>
              <w:t xml:space="preserve">Prispevek za aktivnosti koordinatorske organizacije: </w:t>
            </w:r>
            <w:r w:rsidRPr="00F769E0">
              <w:rPr>
                <w:rFonts w:cs="Tahoma"/>
                <w:lang w:val="sl-SI" w:eastAsia="en-GB"/>
              </w:rPr>
              <w:br/>
              <w:t>500 EUR na mesec</w:t>
            </w:r>
          </w:p>
        </w:tc>
        <w:tc>
          <w:tcPr>
            <w:tcW w:w="48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A550" w14:textId="77777777" w:rsidR="00E03711" w:rsidRPr="00F769E0" w:rsidRDefault="00E03711" w:rsidP="00B56D0B">
            <w:pPr>
              <w:pStyle w:val="GUIDE-NORMAL"/>
              <w:spacing w:before="60" w:after="60"/>
              <w:jc w:val="left"/>
              <w:rPr>
                <w:rFonts w:cs="Tahoma"/>
                <w:lang w:val="sl-SI" w:eastAsia="en-GB"/>
              </w:rPr>
            </w:pPr>
            <w:r w:rsidRPr="00F769E0">
              <w:rPr>
                <w:rFonts w:cs="Tahoma"/>
                <w:lang w:val="sl-SI" w:eastAsia="en-GB"/>
              </w:rPr>
              <w:t xml:space="preserve">Največ </w:t>
            </w:r>
            <w:r w:rsidRPr="00F769E0">
              <w:rPr>
                <w:rFonts w:cs="Tahoma"/>
                <w:lang w:val="sl-SI" w:eastAsia="en-GB"/>
              </w:rPr>
              <w:br/>
              <w:t>1 500 EUR na mesec</w:t>
            </w:r>
          </w:p>
        </w:tc>
        <w:tc>
          <w:tcPr>
            <w:tcW w:w="134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A551" w14:textId="77777777" w:rsidR="00E03711" w:rsidRPr="00F769E0" w:rsidRDefault="00E03711" w:rsidP="00B56D0B">
            <w:pPr>
              <w:pStyle w:val="GUIDE-NORMAL"/>
              <w:spacing w:before="60" w:after="60"/>
              <w:jc w:val="left"/>
              <w:rPr>
                <w:rFonts w:cs="Tahoma"/>
                <w:lang w:val="sl-SI" w:eastAsia="en-GB"/>
              </w:rPr>
            </w:pPr>
            <w:r w:rsidRPr="00F769E0">
              <w:rPr>
                <w:rFonts w:cs="Tahoma"/>
                <w:lang w:val="sl-SI" w:eastAsia="en-GB"/>
              </w:rPr>
              <w:t>Glede na trajanje majhnega partnerskega sodelovanja in število vključenih sodelujočih organizacij.</w:t>
            </w:r>
          </w:p>
        </w:tc>
      </w:tr>
      <w:tr w:rsidR="00E03711" w:rsidRPr="002C560E" w14:paraId="7D39A559" w14:textId="77777777" w:rsidTr="00073E87">
        <w:trPr>
          <w:trHeight w:val="20"/>
        </w:trPr>
        <w:tc>
          <w:tcPr>
            <w:tcW w:w="576" w:type="pct"/>
            <w:vMerge/>
            <w:tcBorders>
              <w:top w:val="nil"/>
              <w:left w:val="single" w:sz="4" w:space="0" w:color="000000"/>
              <w:bottom w:val="single" w:sz="4" w:space="0" w:color="000000"/>
              <w:right w:val="single" w:sz="4" w:space="0" w:color="000000"/>
            </w:tcBorders>
            <w:shd w:val="clear" w:color="auto" w:fill="auto"/>
            <w:vAlign w:val="center"/>
          </w:tcPr>
          <w:p w14:paraId="7D39A553" w14:textId="77777777" w:rsidR="00E03711" w:rsidRPr="00F769E0" w:rsidRDefault="00E03711" w:rsidP="00B56D0B">
            <w:pPr>
              <w:pStyle w:val="GUIDE-NORMAL"/>
              <w:spacing w:before="60" w:after="60"/>
              <w:jc w:val="left"/>
              <w:rPr>
                <w:rFonts w:cs="Tahoma"/>
                <w:b/>
                <w:lang w:val="sl-SI" w:eastAsia="en-GB"/>
              </w:rPr>
            </w:pPr>
          </w:p>
        </w:tc>
        <w:tc>
          <w:tcPr>
            <w:tcW w:w="1141" w:type="pct"/>
            <w:vMerge/>
            <w:tcBorders>
              <w:top w:val="nil"/>
              <w:left w:val="single" w:sz="4" w:space="0" w:color="000000"/>
              <w:bottom w:val="single" w:sz="4" w:space="0" w:color="000000"/>
              <w:right w:val="single" w:sz="4" w:space="0" w:color="000000"/>
            </w:tcBorders>
            <w:shd w:val="clear" w:color="auto" w:fill="auto"/>
            <w:vAlign w:val="center"/>
          </w:tcPr>
          <w:p w14:paraId="7D39A554" w14:textId="77777777" w:rsidR="00E03711" w:rsidRPr="00F769E0" w:rsidRDefault="00E03711" w:rsidP="00B56D0B">
            <w:pPr>
              <w:pStyle w:val="GUIDE-NORMAL"/>
              <w:spacing w:before="60" w:after="60"/>
              <w:jc w:val="left"/>
              <w:rPr>
                <w:rFonts w:cs="Tahoma"/>
                <w:lang w:val="sl-SI" w:eastAsia="en-GB"/>
              </w:rPr>
            </w:pPr>
          </w:p>
        </w:tc>
        <w:tc>
          <w:tcPr>
            <w:tcW w:w="6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A555" w14:textId="77777777" w:rsidR="00E03711" w:rsidRPr="00F769E0" w:rsidRDefault="00E03711" w:rsidP="00B56D0B">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A556" w14:textId="77777777" w:rsidR="00E03711" w:rsidRPr="00F769E0" w:rsidRDefault="00E03711" w:rsidP="00B56D0B">
            <w:pPr>
              <w:pStyle w:val="GUIDE-NORMAL"/>
              <w:spacing w:before="60" w:after="60"/>
              <w:jc w:val="left"/>
              <w:rPr>
                <w:rFonts w:cs="Tahoma"/>
                <w:lang w:val="sl-SI" w:eastAsia="en-GB"/>
              </w:rPr>
            </w:pPr>
            <w:r w:rsidRPr="00F769E0">
              <w:rPr>
                <w:rFonts w:cs="Tahoma"/>
                <w:lang w:val="sl-SI" w:eastAsia="en-GB"/>
              </w:rPr>
              <w:t xml:space="preserve">Prispevek za aktivnosti drugih sodelujočih organizacij: </w:t>
            </w:r>
            <w:r w:rsidRPr="00F769E0">
              <w:rPr>
                <w:rFonts w:cs="Tahoma"/>
                <w:lang w:val="sl-SI" w:eastAsia="en-GB"/>
              </w:rPr>
              <w:br/>
              <w:t xml:space="preserve">250 EUR na organizacijo </w:t>
            </w:r>
            <w:r w:rsidRPr="00F769E0">
              <w:rPr>
                <w:rFonts w:cs="Tahoma"/>
                <w:lang w:val="sl-SI" w:eastAsia="en-GB"/>
              </w:rPr>
              <w:br/>
              <w:t>na mesec</w:t>
            </w:r>
          </w:p>
        </w:tc>
        <w:tc>
          <w:tcPr>
            <w:tcW w:w="480" w:type="pct"/>
            <w:vMerge/>
            <w:tcBorders>
              <w:top w:val="nil"/>
              <w:left w:val="single" w:sz="4" w:space="0" w:color="000000"/>
              <w:bottom w:val="single" w:sz="4" w:space="0" w:color="000000"/>
              <w:right w:val="single" w:sz="4" w:space="0" w:color="000000"/>
            </w:tcBorders>
            <w:shd w:val="clear" w:color="auto" w:fill="auto"/>
            <w:vAlign w:val="center"/>
          </w:tcPr>
          <w:p w14:paraId="7D39A557" w14:textId="77777777" w:rsidR="00E03711" w:rsidRPr="00F769E0" w:rsidRDefault="00E03711" w:rsidP="00B56D0B">
            <w:pPr>
              <w:pStyle w:val="GUIDE-NORMAL"/>
              <w:spacing w:before="60" w:after="60"/>
              <w:jc w:val="left"/>
              <w:rPr>
                <w:rFonts w:cs="Tahoma"/>
                <w:lang w:val="sl-SI" w:eastAsia="en-GB"/>
              </w:rPr>
            </w:pPr>
          </w:p>
        </w:tc>
        <w:tc>
          <w:tcPr>
            <w:tcW w:w="1343" w:type="pct"/>
            <w:vMerge/>
            <w:tcBorders>
              <w:top w:val="nil"/>
              <w:left w:val="single" w:sz="4" w:space="0" w:color="000000"/>
              <w:bottom w:val="single" w:sz="4" w:space="0" w:color="000000"/>
              <w:right w:val="single" w:sz="4" w:space="0" w:color="000000"/>
            </w:tcBorders>
            <w:shd w:val="clear" w:color="auto" w:fill="auto"/>
            <w:vAlign w:val="center"/>
          </w:tcPr>
          <w:p w14:paraId="7D39A558" w14:textId="77777777" w:rsidR="00E03711" w:rsidRPr="00F769E0" w:rsidRDefault="00E03711" w:rsidP="00B56D0B">
            <w:pPr>
              <w:pStyle w:val="GUIDE-NORMAL"/>
              <w:spacing w:before="60" w:after="60"/>
              <w:jc w:val="left"/>
              <w:rPr>
                <w:rFonts w:cs="Tahoma"/>
                <w:lang w:val="sl-SI" w:eastAsia="en-GB"/>
              </w:rPr>
            </w:pPr>
          </w:p>
        </w:tc>
      </w:tr>
      <w:tr w:rsidR="00E03711" w:rsidRPr="002C560E" w14:paraId="7D39A55F" w14:textId="77777777" w:rsidTr="00073E87">
        <w:trPr>
          <w:trHeight w:val="1153"/>
        </w:trPr>
        <w:tc>
          <w:tcPr>
            <w:tcW w:w="57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A55A" w14:textId="77777777" w:rsidR="00E03711" w:rsidRPr="00F769E0" w:rsidRDefault="00E03711" w:rsidP="00B56D0B">
            <w:pPr>
              <w:pStyle w:val="GUIDE-NORMAL"/>
              <w:spacing w:before="60" w:after="60"/>
              <w:jc w:val="left"/>
              <w:rPr>
                <w:rFonts w:cs="Tahoma"/>
                <w:b/>
                <w:lang w:val="sl-SI" w:eastAsia="en-GB"/>
              </w:rPr>
            </w:pPr>
            <w:r w:rsidRPr="00F769E0">
              <w:rPr>
                <w:rFonts w:cs="Tahoma"/>
                <w:b/>
                <w:lang w:val="sl-SI" w:eastAsia="en-GB"/>
              </w:rPr>
              <w:t>Mednarodna projektna srečanja</w:t>
            </w:r>
          </w:p>
        </w:tc>
        <w:tc>
          <w:tcPr>
            <w:tcW w:w="114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A55B" w14:textId="77777777" w:rsidR="00E03711" w:rsidRPr="00F769E0" w:rsidRDefault="00E03711" w:rsidP="00B56D0B">
            <w:pPr>
              <w:pStyle w:val="GUIDE-NORMAL"/>
              <w:spacing w:before="60" w:after="60"/>
              <w:jc w:val="left"/>
              <w:rPr>
                <w:rFonts w:cs="Tahoma"/>
                <w:lang w:val="sl-SI" w:eastAsia="en-GB"/>
              </w:rPr>
            </w:pPr>
            <w:r w:rsidRPr="00F769E0">
              <w:rPr>
                <w:rFonts w:cs="Tahoma"/>
                <w:lang w:val="sl-SI" w:eastAsia="en-GB"/>
              </w:rPr>
              <w:t>Udeležba na srečanjih med partnerji projekta, ki jih gosti ena od sodelujočih organizacij, za namene izvajanja in koordinacije; Prispevek za potne stroške in stroške bivanja</w:t>
            </w:r>
          </w:p>
        </w:tc>
        <w:tc>
          <w:tcPr>
            <w:tcW w:w="65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A55C" w14:textId="77777777" w:rsidR="00E03711" w:rsidRPr="00F769E0" w:rsidRDefault="00E03711" w:rsidP="00B56D0B">
            <w:pPr>
              <w:pStyle w:val="GUIDE-NORMAL"/>
              <w:spacing w:before="60" w:after="60"/>
              <w:jc w:val="left"/>
              <w:rPr>
                <w:rFonts w:cs="Tahoma"/>
                <w:lang w:val="sl-SI" w:eastAsia="en-GB"/>
              </w:rPr>
            </w:pPr>
            <w:r w:rsidRPr="00F769E0">
              <w:rPr>
                <w:rFonts w:cs="Tahoma"/>
                <w:lang w:val="sl-SI" w:eastAsia="en-GB"/>
              </w:rPr>
              <w:t xml:space="preserve">Prispevek </w:t>
            </w:r>
            <w:r w:rsidRPr="00F769E0">
              <w:rPr>
                <w:rFonts w:cs="Tahoma"/>
                <w:lang w:val="sl-SI" w:eastAsia="en-GB"/>
              </w:rPr>
              <w:br/>
              <w:t xml:space="preserve">za stroške </w:t>
            </w:r>
            <w:r w:rsidRPr="00F769E0">
              <w:rPr>
                <w:rFonts w:cs="Tahoma"/>
                <w:lang w:val="sl-SI" w:eastAsia="en-GB"/>
              </w:rPr>
              <w:br/>
              <w:t>na enoto</w:t>
            </w:r>
          </w:p>
        </w:tc>
        <w:tc>
          <w:tcPr>
            <w:tcW w:w="1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A55D" w14:textId="77777777" w:rsidR="00E03711" w:rsidRPr="00F769E0" w:rsidRDefault="00E03711" w:rsidP="00B56D0B">
            <w:pPr>
              <w:pStyle w:val="GUIDE-NORMAL"/>
              <w:spacing w:before="60" w:after="60"/>
              <w:jc w:val="left"/>
              <w:rPr>
                <w:rFonts w:cs="Tahoma"/>
                <w:lang w:val="sl-SI" w:eastAsia="en-GB"/>
              </w:rPr>
            </w:pPr>
            <w:r w:rsidRPr="00F769E0">
              <w:rPr>
                <w:rFonts w:cs="Tahoma"/>
                <w:lang w:val="sl-SI" w:eastAsia="en-GB"/>
              </w:rPr>
              <w:t xml:space="preserve">Za razdalje od 100 do </w:t>
            </w:r>
            <w:r w:rsidRPr="00F769E0">
              <w:rPr>
                <w:rFonts w:cs="Tahoma"/>
                <w:lang w:val="sl-SI" w:eastAsia="en-GB"/>
              </w:rPr>
              <w:br/>
              <w:t>1 999 km: 575 EUR na udeleženca na srečanje</w:t>
            </w:r>
          </w:p>
        </w:tc>
        <w:tc>
          <w:tcPr>
            <w:tcW w:w="134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9A55E" w14:textId="77777777" w:rsidR="00E03711" w:rsidRPr="00F769E0" w:rsidRDefault="00E03711" w:rsidP="00B56D0B">
            <w:pPr>
              <w:pStyle w:val="GUIDE-NORMAL"/>
              <w:spacing w:before="60" w:after="60"/>
              <w:jc w:val="left"/>
              <w:rPr>
                <w:rFonts w:cs="Tahoma"/>
                <w:lang w:val="sl-SI" w:eastAsia="en-GB"/>
              </w:rPr>
            </w:pPr>
            <w:r w:rsidRPr="00F769E0">
              <w:rPr>
                <w:rFonts w:cs="Tahoma"/>
                <w:lang w:val="sl-SI" w:eastAsia="en-GB"/>
              </w:rPr>
              <w:t>Pogoj: prijavitelji morajo utemeljiti potrebo po srečanjih glede na število srečanj in vključene udeležence. Razdaljo je treba izračunati s kalkulatorjem razdalje, ki ga podpira Evropska komisija.</w:t>
            </w:r>
          </w:p>
        </w:tc>
      </w:tr>
      <w:tr w:rsidR="00E03711" w:rsidRPr="002C560E" w14:paraId="7D39A565" w14:textId="77777777" w:rsidTr="00073E87">
        <w:trPr>
          <w:trHeight w:val="1154"/>
        </w:trPr>
        <w:tc>
          <w:tcPr>
            <w:tcW w:w="576" w:type="pct"/>
            <w:vMerge/>
            <w:tcBorders>
              <w:top w:val="nil"/>
              <w:left w:val="single" w:sz="4" w:space="0" w:color="000000"/>
              <w:bottom w:val="single" w:sz="4" w:space="0" w:color="000000"/>
              <w:right w:val="single" w:sz="4" w:space="0" w:color="000000"/>
            </w:tcBorders>
            <w:shd w:val="clear" w:color="auto" w:fill="auto"/>
            <w:vAlign w:val="center"/>
          </w:tcPr>
          <w:p w14:paraId="7D39A560" w14:textId="77777777" w:rsidR="00E03711" w:rsidRPr="00F769E0" w:rsidRDefault="00E03711" w:rsidP="00B56D0B">
            <w:pPr>
              <w:pStyle w:val="GUIDE-NORMAL"/>
              <w:spacing w:before="60" w:after="60"/>
              <w:jc w:val="left"/>
              <w:rPr>
                <w:rFonts w:cs="Tahoma"/>
                <w:b/>
                <w:lang w:val="sl-SI" w:eastAsia="en-GB"/>
              </w:rPr>
            </w:pPr>
          </w:p>
        </w:tc>
        <w:tc>
          <w:tcPr>
            <w:tcW w:w="1141" w:type="pct"/>
            <w:vMerge/>
            <w:tcBorders>
              <w:top w:val="nil"/>
              <w:left w:val="single" w:sz="4" w:space="0" w:color="000000"/>
              <w:bottom w:val="single" w:sz="4" w:space="0" w:color="000000"/>
              <w:right w:val="single" w:sz="4" w:space="0" w:color="000000"/>
            </w:tcBorders>
            <w:shd w:val="clear" w:color="auto" w:fill="auto"/>
            <w:vAlign w:val="center"/>
          </w:tcPr>
          <w:p w14:paraId="7D39A561" w14:textId="77777777" w:rsidR="00E03711" w:rsidRPr="00F769E0" w:rsidRDefault="00E03711" w:rsidP="00B56D0B">
            <w:pPr>
              <w:pStyle w:val="GUIDE-NORMAL"/>
              <w:spacing w:before="60" w:after="60"/>
              <w:jc w:val="left"/>
              <w:rPr>
                <w:rFonts w:cs="Tahoma"/>
                <w:lang w:val="sl-SI" w:eastAsia="en-GB"/>
              </w:rPr>
            </w:pPr>
          </w:p>
        </w:tc>
        <w:tc>
          <w:tcPr>
            <w:tcW w:w="653" w:type="pct"/>
            <w:vMerge/>
            <w:tcBorders>
              <w:top w:val="nil"/>
              <w:left w:val="single" w:sz="4" w:space="0" w:color="000000"/>
              <w:bottom w:val="single" w:sz="4" w:space="0" w:color="000000"/>
              <w:right w:val="single" w:sz="4" w:space="0" w:color="000000"/>
            </w:tcBorders>
            <w:shd w:val="clear" w:color="auto" w:fill="auto"/>
            <w:vAlign w:val="center"/>
          </w:tcPr>
          <w:p w14:paraId="7D39A562" w14:textId="77777777" w:rsidR="00E03711" w:rsidRPr="00F769E0" w:rsidRDefault="00E03711" w:rsidP="00B56D0B">
            <w:pPr>
              <w:pStyle w:val="GUIDE-NORMAL"/>
              <w:spacing w:before="60" w:after="60"/>
              <w:jc w:val="left"/>
              <w:rPr>
                <w:rFonts w:cs="Tahoma"/>
                <w:lang w:val="sl-SI" w:eastAsia="en-GB"/>
              </w:rPr>
            </w:pPr>
          </w:p>
        </w:tc>
        <w:tc>
          <w:tcPr>
            <w:tcW w:w="1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A563" w14:textId="77777777" w:rsidR="00E03711" w:rsidRPr="00F769E0" w:rsidRDefault="00E03711" w:rsidP="00B56D0B">
            <w:pPr>
              <w:pStyle w:val="GUIDE-NORMAL"/>
              <w:spacing w:before="60" w:after="60"/>
              <w:jc w:val="left"/>
              <w:rPr>
                <w:rFonts w:cs="Tahoma"/>
                <w:lang w:val="sl-SI" w:eastAsia="en-GB"/>
              </w:rPr>
            </w:pPr>
            <w:r w:rsidRPr="00F769E0">
              <w:rPr>
                <w:rFonts w:cs="Tahoma"/>
                <w:lang w:val="sl-SI" w:eastAsia="en-GB"/>
              </w:rPr>
              <w:t>Za razdalje 2 000 km ali več: 760 EUR na udeleženca na srečanje</w:t>
            </w:r>
          </w:p>
        </w:tc>
        <w:tc>
          <w:tcPr>
            <w:tcW w:w="1343" w:type="pct"/>
            <w:vMerge/>
            <w:tcBorders>
              <w:top w:val="nil"/>
              <w:left w:val="single" w:sz="4" w:space="0" w:color="000000"/>
              <w:bottom w:val="single" w:sz="4" w:space="0" w:color="000000"/>
              <w:right w:val="single" w:sz="4" w:space="0" w:color="000000"/>
            </w:tcBorders>
            <w:shd w:val="clear" w:color="auto" w:fill="auto"/>
            <w:vAlign w:val="center"/>
          </w:tcPr>
          <w:p w14:paraId="7D39A564" w14:textId="77777777" w:rsidR="00E03711" w:rsidRPr="00F769E0" w:rsidRDefault="00E03711" w:rsidP="00B56D0B">
            <w:pPr>
              <w:pStyle w:val="GUIDE-NORMAL"/>
              <w:spacing w:before="60" w:after="60"/>
              <w:jc w:val="left"/>
              <w:rPr>
                <w:rFonts w:cs="Tahoma"/>
                <w:lang w:val="sl-SI" w:eastAsia="en-GB"/>
              </w:rPr>
            </w:pPr>
          </w:p>
        </w:tc>
      </w:tr>
      <w:tr w:rsidR="00E03711" w:rsidRPr="002C560E" w14:paraId="7D39A56B" w14:textId="77777777" w:rsidTr="00073E87">
        <w:trPr>
          <w:trHeight w:val="20"/>
        </w:trPr>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A566" w14:textId="77777777" w:rsidR="00E03711" w:rsidRPr="00F769E0" w:rsidRDefault="00E03711" w:rsidP="00B56D0B">
            <w:pPr>
              <w:pStyle w:val="GUIDE-NORMAL"/>
              <w:spacing w:before="60" w:after="60"/>
              <w:jc w:val="left"/>
              <w:rPr>
                <w:rFonts w:cs="Tahoma"/>
                <w:b/>
                <w:lang w:val="sl-SI" w:eastAsia="en-GB"/>
              </w:rPr>
            </w:pPr>
            <w:r w:rsidRPr="00F769E0">
              <w:rPr>
                <w:rFonts w:cs="Tahoma"/>
                <w:b/>
                <w:lang w:val="sl-SI" w:eastAsia="en-GB"/>
              </w:rPr>
              <w:t>Izredni stroški</w:t>
            </w:r>
          </w:p>
        </w:tc>
        <w:tc>
          <w:tcPr>
            <w:tcW w:w="11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A567" w14:textId="77777777" w:rsidR="00E03711" w:rsidRPr="00F769E0" w:rsidRDefault="00E03711" w:rsidP="00725687">
            <w:pPr>
              <w:pStyle w:val="GUIDE-NORMAL"/>
              <w:spacing w:before="60" w:after="60"/>
              <w:jc w:val="left"/>
              <w:rPr>
                <w:rFonts w:cs="Tahoma"/>
                <w:lang w:val="sl-SI" w:eastAsia="en-GB"/>
              </w:rPr>
            </w:pPr>
            <w:r w:rsidRPr="00F769E0">
              <w:rPr>
                <w:rFonts w:cs="Tahoma"/>
                <w:lang w:val="sl-SI" w:eastAsia="en-GB"/>
              </w:rPr>
              <w:t>Prispevek za dejanske stroške, povezane z oddajo naročil podizvajalcem ali nakupom blaga in storitev.</w:t>
            </w:r>
          </w:p>
        </w:tc>
        <w:tc>
          <w:tcPr>
            <w:tcW w:w="6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A568" w14:textId="77777777" w:rsidR="00E03711" w:rsidRPr="00F769E0" w:rsidRDefault="00E03711" w:rsidP="00B56D0B">
            <w:pPr>
              <w:pStyle w:val="GUIDE-NORMAL"/>
              <w:spacing w:before="60" w:after="60"/>
              <w:jc w:val="left"/>
              <w:rPr>
                <w:rFonts w:cs="Tahoma"/>
                <w:lang w:val="sl-SI" w:eastAsia="en-GB"/>
              </w:rPr>
            </w:pPr>
            <w:r w:rsidRPr="00F769E0">
              <w:rPr>
                <w:rFonts w:cs="Tahoma"/>
                <w:lang w:val="sl-SI" w:eastAsia="en-GB"/>
              </w:rPr>
              <w:t>Dejanski stroški</w:t>
            </w:r>
          </w:p>
        </w:tc>
        <w:tc>
          <w:tcPr>
            <w:tcW w:w="1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39A569" w14:textId="77777777" w:rsidR="00E03711" w:rsidRPr="00F769E0" w:rsidRDefault="00E03711" w:rsidP="00B56D0B">
            <w:pPr>
              <w:pStyle w:val="GUIDE-NORMAL"/>
              <w:spacing w:before="60" w:after="60"/>
              <w:jc w:val="left"/>
              <w:rPr>
                <w:rFonts w:cs="Tahoma"/>
                <w:lang w:val="sl-SI" w:eastAsia="en-GB"/>
              </w:rPr>
            </w:pPr>
            <w:r w:rsidRPr="00F769E0">
              <w:rPr>
                <w:rFonts w:cs="Tahoma"/>
                <w:lang w:val="sl-SI" w:eastAsia="en-GB"/>
              </w:rPr>
              <w:t>80 % upravičenih stroškov Največ 10 000 EUR na projekt (brez stroškov za zagotavljanje finančnega jamstva)</w:t>
            </w:r>
          </w:p>
        </w:tc>
        <w:tc>
          <w:tcPr>
            <w:tcW w:w="13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A56A" w14:textId="77777777" w:rsidR="00E03711" w:rsidRPr="00F769E0" w:rsidRDefault="00E03711" w:rsidP="00B56D0B">
            <w:pPr>
              <w:pStyle w:val="GUIDE-NORMAL"/>
              <w:spacing w:before="60" w:after="60"/>
              <w:jc w:val="left"/>
              <w:rPr>
                <w:rFonts w:cs="Tahoma"/>
                <w:lang w:val="sl-SI" w:eastAsia="en-GB"/>
              </w:rPr>
            </w:pPr>
            <w:r w:rsidRPr="00F769E0">
              <w:rPr>
                <w:rFonts w:cs="Tahoma"/>
                <w:lang w:val="sl-SI" w:eastAsia="en-GB"/>
              </w:rPr>
              <w:t>Pogoj: oddaja naročil podizvajalcem mora biti povezana s storitvami, ki jih sodelujoče organizacije iz utemeljenih razlogov ne morejo neposredno zagotoviti. V zvezi z opremo se ne more upoštevati standardna pisarniška oprema ali oprema, ki jo običajno uporabljajo sodelujoče organizacije.</w:t>
            </w:r>
          </w:p>
        </w:tc>
      </w:tr>
    </w:tbl>
    <w:p w14:paraId="7D39A56C" w14:textId="77777777" w:rsidR="00E03711" w:rsidRDefault="00E03711">
      <w:pPr>
        <w:widowControl/>
        <w:suppressAutoHyphens w:val="0"/>
        <w:autoSpaceDN/>
        <w:textAlignment w:val="auto"/>
        <w:rPr>
          <w:rFonts w:eastAsia="Times New Roman"/>
          <w:b/>
          <w:smallCaps/>
          <w:sz w:val="28"/>
          <w:szCs w:val="20"/>
          <w:lang w:val="sl-SI"/>
        </w:rPr>
        <w:sectPr w:rsidR="00E03711" w:rsidSect="00073E87">
          <w:endnotePr>
            <w:numFmt w:val="decimal"/>
          </w:endnotePr>
          <w:pgSz w:w="16840" w:h="11910" w:orient="landscape" w:code="9"/>
          <w:pgMar w:top="1418" w:right="1134" w:bottom="1418" w:left="1134" w:header="284" w:footer="567" w:gutter="0"/>
          <w:cols w:space="720"/>
          <w:docGrid w:linePitch="326"/>
        </w:sectPr>
      </w:pPr>
      <w:bookmarkStart w:id="375" w:name="Manifestations_sportives_européennes_à_b"/>
      <w:bookmarkStart w:id="376" w:name="_bookmark57"/>
      <w:bookmarkEnd w:id="375"/>
      <w:bookmarkEnd w:id="376"/>
    </w:p>
    <w:p w14:paraId="7D39A56D" w14:textId="77777777" w:rsidR="00E03711" w:rsidRDefault="00E03711">
      <w:pPr>
        <w:pStyle w:val="Guide-Heading3"/>
        <w:rPr>
          <w:lang w:val="sl-SI"/>
        </w:rPr>
      </w:pPr>
      <w:bookmarkStart w:id="377" w:name="_Toc527400935"/>
      <w:bookmarkStart w:id="378" w:name="_Toc527401221"/>
      <w:r w:rsidRPr="001048FE">
        <w:rPr>
          <w:lang w:val="sl-SI"/>
        </w:rPr>
        <w:t>Neprofitne evropske športne prireditve</w:t>
      </w:r>
      <w:bookmarkEnd w:id="377"/>
      <w:bookmarkEnd w:id="378"/>
    </w:p>
    <w:p w14:paraId="7D39A56E" w14:textId="77777777" w:rsidR="00E03711" w:rsidRPr="001048FE" w:rsidRDefault="00E03711" w:rsidP="00942D70">
      <w:pPr>
        <w:pStyle w:val="Guide-Heading4"/>
        <w:rPr>
          <w:lang w:val="sl-SI"/>
        </w:rPr>
      </w:pPr>
      <w:bookmarkStart w:id="379" w:name="_Toc527401222"/>
      <w:r w:rsidRPr="001048FE">
        <w:rPr>
          <w:lang w:val="sl-SI"/>
        </w:rPr>
        <w:t>Kakšni so cilji neprofitne evropske športne prireditve?</w:t>
      </w:r>
      <w:bookmarkEnd w:id="379"/>
    </w:p>
    <w:p w14:paraId="7D39A56F" w14:textId="77777777" w:rsidR="00E03711" w:rsidRPr="001048FE" w:rsidRDefault="00E03711" w:rsidP="00652E1F">
      <w:pPr>
        <w:pStyle w:val="GUIDE-NORMAL"/>
        <w:rPr>
          <w:lang w:val="sl-SI"/>
        </w:rPr>
      </w:pPr>
      <w:r w:rsidRPr="001048FE">
        <w:rPr>
          <w:lang w:val="sl-SI"/>
        </w:rPr>
        <w:t>Namen tega ukrepa je podpirati:</w:t>
      </w:r>
    </w:p>
    <w:p w14:paraId="7D39A570" w14:textId="77777777" w:rsidR="00E03711" w:rsidRDefault="00E03711" w:rsidP="005115F2">
      <w:pPr>
        <w:pStyle w:val="Guide-NormalBulletpoints"/>
        <w:numPr>
          <w:ilvl w:val="0"/>
          <w:numId w:val="407"/>
        </w:numPr>
        <w:rPr>
          <w:lang w:val="sl-SI"/>
        </w:rPr>
      </w:pPr>
      <w:r w:rsidRPr="001048FE">
        <w:rPr>
          <w:lang w:val="sl-SI"/>
        </w:rPr>
        <w:t xml:space="preserve">prostovoljstvo v športu; </w:t>
      </w:r>
    </w:p>
    <w:p w14:paraId="7D39A571" w14:textId="77777777" w:rsidR="00E03711" w:rsidRPr="001048FE" w:rsidRDefault="00E03711" w:rsidP="005115F2">
      <w:pPr>
        <w:pStyle w:val="Guide-NormalBulletpoints"/>
        <w:numPr>
          <w:ilvl w:val="0"/>
          <w:numId w:val="407"/>
        </w:numPr>
        <w:rPr>
          <w:lang w:val="sl-SI"/>
        </w:rPr>
      </w:pPr>
      <w:r w:rsidRPr="001048FE">
        <w:rPr>
          <w:lang w:val="sl-SI"/>
        </w:rPr>
        <w:t xml:space="preserve">socialno vključenost skozi šport; </w:t>
      </w:r>
    </w:p>
    <w:p w14:paraId="7D39A572" w14:textId="77777777" w:rsidR="00E03711" w:rsidRPr="001048FE" w:rsidRDefault="00E03711" w:rsidP="005115F2">
      <w:pPr>
        <w:pStyle w:val="Guide-NormalBulletpoints"/>
        <w:numPr>
          <w:ilvl w:val="0"/>
          <w:numId w:val="407"/>
        </w:numPr>
        <w:rPr>
          <w:lang w:val="sl-SI"/>
        </w:rPr>
      </w:pPr>
      <w:r w:rsidRPr="001048FE">
        <w:rPr>
          <w:lang w:val="sl-SI"/>
        </w:rPr>
        <w:t>enakost med spoloma v športu:</w:t>
      </w:r>
    </w:p>
    <w:p w14:paraId="7D39A573" w14:textId="77777777" w:rsidR="00E03711" w:rsidRPr="001048FE" w:rsidRDefault="00E03711" w:rsidP="005115F2">
      <w:pPr>
        <w:pStyle w:val="Guide-NormalBulletpoints"/>
        <w:numPr>
          <w:ilvl w:val="0"/>
          <w:numId w:val="407"/>
        </w:numPr>
        <w:rPr>
          <w:lang w:val="sl-SI"/>
        </w:rPr>
      </w:pPr>
      <w:r w:rsidRPr="001048FE">
        <w:rPr>
          <w:lang w:val="sl-SI"/>
        </w:rPr>
        <w:t xml:space="preserve">fizično dejavnost za izboljšanje zdravja; </w:t>
      </w:r>
    </w:p>
    <w:p w14:paraId="7D39A574" w14:textId="77777777" w:rsidR="00E03711" w:rsidRPr="001048FE" w:rsidRDefault="00E03711" w:rsidP="005115F2">
      <w:pPr>
        <w:pStyle w:val="Guide-NormalBulletpoints"/>
        <w:numPr>
          <w:ilvl w:val="0"/>
          <w:numId w:val="407"/>
        </w:numPr>
        <w:rPr>
          <w:lang w:val="sl-SI"/>
        </w:rPr>
      </w:pPr>
      <w:r w:rsidRPr="001048FE">
        <w:rPr>
          <w:lang w:val="sl-SI"/>
        </w:rPr>
        <w:t>izvajanje evropskega tedna športa.</w:t>
      </w:r>
    </w:p>
    <w:p w14:paraId="7D39A575" w14:textId="77777777" w:rsidR="00E03711" w:rsidRPr="001048FE" w:rsidRDefault="00E03711" w:rsidP="00652E1F">
      <w:pPr>
        <w:pStyle w:val="GUIDE-NORMAL"/>
        <w:rPr>
          <w:lang w:val="sl-SI"/>
        </w:rPr>
      </w:pPr>
      <w:r w:rsidRPr="001048FE">
        <w:rPr>
          <w:lang w:val="sl-SI"/>
        </w:rPr>
        <w:t xml:space="preserve">Komisija bo prek Izvajalske agencije v enem letu izvedla en krog izbirnega postopka. </w:t>
      </w:r>
    </w:p>
    <w:p w14:paraId="7D39A576" w14:textId="77777777" w:rsidR="00E03711" w:rsidRPr="001048FE" w:rsidRDefault="00E03711" w:rsidP="00652E1F">
      <w:pPr>
        <w:pStyle w:val="GUIDE-NORMAL"/>
        <w:rPr>
          <w:lang w:val="sl-SI"/>
        </w:rPr>
      </w:pPr>
      <w:r w:rsidRPr="001048FE">
        <w:rPr>
          <w:lang w:val="sl-SI"/>
        </w:rPr>
        <w:t>Okvirna razdelitev za različne kategorije neprofitnih evropskih športnih prireditev:</w:t>
      </w:r>
    </w:p>
    <w:p w14:paraId="7D39A577" w14:textId="77777777" w:rsidR="00E03711" w:rsidRPr="001048FE" w:rsidRDefault="00E03711" w:rsidP="005115F2">
      <w:pPr>
        <w:pStyle w:val="Guide-NormalBulletpoints"/>
        <w:numPr>
          <w:ilvl w:val="0"/>
          <w:numId w:val="408"/>
        </w:numPr>
        <w:rPr>
          <w:lang w:val="sl-SI"/>
        </w:rPr>
      </w:pPr>
      <w:r w:rsidRPr="001048FE">
        <w:rPr>
          <w:lang w:val="sl-SI"/>
        </w:rPr>
        <w:t>približno 30 % za dogodke za izvedbo evropskega tedna športa;</w:t>
      </w:r>
    </w:p>
    <w:p w14:paraId="7D39A578" w14:textId="77777777" w:rsidR="00E03711" w:rsidRPr="001048FE" w:rsidRDefault="00E03711" w:rsidP="005115F2">
      <w:pPr>
        <w:pStyle w:val="Guide-NormalBulletpoints"/>
        <w:numPr>
          <w:ilvl w:val="0"/>
          <w:numId w:val="408"/>
        </w:numPr>
        <w:rPr>
          <w:lang w:val="sl-SI"/>
        </w:rPr>
      </w:pPr>
      <w:r w:rsidRPr="001048FE">
        <w:rPr>
          <w:lang w:val="sl-SI"/>
        </w:rPr>
        <w:t>približno 70 % za dogodke, ki niso povezani z evropskim tednom športa (povezani so na primer s prostovoljstvom v športu, socialno vključenostjo skozi šport, enakostjo spolov v športu, zdravju koristnimi telesnimi dejavnostmi).</w:t>
      </w:r>
    </w:p>
    <w:p w14:paraId="7D39A579" w14:textId="77777777" w:rsidR="00E03711" w:rsidRPr="001048FE" w:rsidRDefault="00E03711" w:rsidP="00E1047E">
      <w:pPr>
        <w:pStyle w:val="GUIDE-NORMAL"/>
        <w:spacing w:before="200" w:after="200"/>
        <w:rPr>
          <w:lang w:val="sl-SI"/>
        </w:rPr>
      </w:pPr>
      <w:r w:rsidRPr="001048FE">
        <w:rPr>
          <w:lang w:val="sl-SI"/>
        </w:rPr>
        <w:t>Približno štirje dogodki bi morali biti izbrani za izvedbo evropskega tedna športa. Osredotočeni bi morali biti na teme, ki so opredeljene za izvedbo evropskega tedna športa (in sicer: izobraževanje, delovna mesta, zunanje aktivnosti, športni klubi in fitness centri).</w:t>
      </w:r>
    </w:p>
    <w:p w14:paraId="7D39A57A" w14:textId="77777777" w:rsidR="00E03711" w:rsidRPr="001048FE" w:rsidRDefault="00E03711" w:rsidP="00E1047E">
      <w:pPr>
        <w:pStyle w:val="GUIDE-NORMAL"/>
        <w:spacing w:before="200" w:after="200"/>
        <w:rPr>
          <w:lang w:val="sl-SI"/>
        </w:rPr>
      </w:pPr>
      <w:r w:rsidRPr="001048FE">
        <w:rPr>
          <w:lang w:val="sl-SI"/>
        </w:rPr>
        <w:t xml:space="preserve">Izbrati bi bilo treba približno </w:t>
      </w:r>
      <w:r>
        <w:rPr>
          <w:lang w:val="sl-SI"/>
        </w:rPr>
        <w:t>osem</w:t>
      </w:r>
      <w:r w:rsidRPr="001048FE">
        <w:rPr>
          <w:lang w:val="sl-SI"/>
        </w:rPr>
        <w:t xml:space="preserve"> dogodkov, ki niso povezani z evropskim tednom športa. V zvezi z zgornjimi temami (tj. prostovoljstvo, socialna vključenost, spol, telesna dejavnost za krepitev zdravja (HEPA)) bi se moral najmanj en dogodek osredotočati na zunanjo razsežnost športa (na primer športno diplomacijo), najmanj eden pa na vlogo množičnega športa pri podpiranju ciljev tega ukrepa (prostovoljstvo v športu, socialna vključenost v športu in prek njega, enakost spolov v športu, zdravju koristne telesne dejavnosti).</w:t>
      </w:r>
    </w:p>
    <w:p w14:paraId="7D39A57B" w14:textId="77777777" w:rsidR="00E03711" w:rsidRPr="001048FE" w:rsidRDefault="00E03711" w:rsidP="00E1047E">
      <w:pPr>
        <w:pStyle w:val="GUIDE-NORMAL"/>
        <w:spacing w:before="200" w:after="200"/>
        <w:rPr>
          <w:lang w:val="sl-SI"/>
        </w:rPr>
      </w:pPr>
      <w:r w:rsidRPr="001048FE">
        <w:rPr>
          <w:lang w:val="sl-SI"/>
        </w:rPr>
        <w:t>Pri vseh prireditvah bi se morala spodbujati enakost spolov. Spodbujati bi se moralo sodelovanje s partnerskimi državami.</w:t>
      </w:r>
    </w:p>
    <w:p w14:paraId="7D39A57C" w14:textId="77777777" w:rsidR="00E03711" w:rsidRPr="001048FE" w:rsidRDefault="00E03711" w:rsidP="00942D70">
      <w:pPr>
        <w:pStyle w:val="Guide-Heading4"/>
        <w:rPr>
          <w:lang w:val="sl-SI"/>
        </w:rPr>
      </w:pPr>
      <w:bookmarkStart w:id="380" w:name="_Toc527401223"/>
      <w:r w:rsidRPr="001048FE">
        <w:rPr>
          <w:lang w:val="sl-SI"/>
        </w:rPr>
        <w:t>Kaj je neprofitna evropska športna prireditev?</w:t>
      </w:r>
      <w:bookmarkEnd w:id="380"/>
    </w:p>
    <w:p w14:paraId="7D39A57D" w14:textId="77777777" w:rsidR="00E03711" w:rsidRPr="001048FE" w:rsidRDefault="00E03711" w:rsidP="00652E1F">
      <w:pPr>
        <w:pStyle w:val="GUIDE-NORMAL"/>
        <w:rPr>
          <w:lang w:val="sl-SI"/>
        </w:rPr>
      </w:pPr>
      <w:r w:rsidRPr="001048FE">
        <w:rPr>
          <w:lang w:val="sl-SI"/>
        </w:rPr>
        <w:t>Ta ukrep zagotavlja finančno podporo za:</w:t>
      </w:r>
    </w:p>
    <w:p w14:paraId="7D39A57E" w14:textId="77777777" w:rsidR="00E03711" w:rsidRPr="001048FE" w:rsidRDefault="00E03711" w:rsidP="005115F2">
      <w:pPr>
        <w:pStyle w:val="Guide-NormalBulletpoints"/>
        <w:numPr>
          <w:ilvl w:val="0"/>
          <w:numId w:val="409"/>
        </w:numPr>
        <w:rPr>
          <w:lang w:val="sl-SI"/>
        </w:rPr>
      </w:pPr>
      <w:r w:rsidRPr="001048FE">
        <w:rPr>
          <w:lang w:val="sl-SI"/>
        </w:rPr>
        <w:t>športne prireditve na evropski ravni, ki so organizirane v eni državi Programa;</w:t>
      </w:r>
    </w:p>
    <w:p w14:paraId="7D39A57F" w14:textId="77777777" w:rsidR="00E03711" w:rsidRPr="001048FE" w:rsidRDefault="00E03711" w:rsidP="005115F2">
      <w:pPr>
        <w:pStyle w:val="Guide-NormalBulletpoints"/>
        <w:numPr>
          <w:ilvl w:val="0"/>
          <w:numId w:val="409"/>
        </w:numPr>
        <w:rPr>
          <w:lang w:val="sl-SI"/>
        </w:rPr>
      </w:pPr>
      <w:r w:rsidRPr="001048FE">
        <w:rPr>
          <w:lang w:val="sl-SI"/>
        </w:rPr>
        <w:t>nacionalne prireditve – ki jih organizirajo organizacije ali javni organi, aktivni na področju športa, v več državah Programa hkrati.</w:t>
      </w:r>
    </w:p>
    <w:p w14:paraId="7D39A580" w14:textId="77777777" w:rsidR="00E03711" w:rsidRPr="001048FE" w:rsidRDefault="00E03711" w:rsidP="00652E1F">
      <w:pPr>
        <w:pStyle w:val="GUIDE-NORMAL"/>
        <w:rPr>
          <w:lang w:val="sl-SI"/>
        </w:rPr>
      </w:pPr>
      <w:r w:rsidRPr="001048FE">
        <w:rPr>
          <w:lang w:val="sl-SI"/>
        </w:rPr>
        <w:t>Pričakovani rezultati teh prireditev so:</w:t>
      </w:r>
    </w:p>
    <w:p w14:paraId="7D39A581" w14:textId="77777777" w:rsidR="00E03711" w:rsidRPr="001048FE" w:rsidRDefault="00E03711" w:rsidP="005115F2">
      <w:pPr>
        <w:pStyle w:val="Guide-NormalBulletpoints"/>
        <w:numPr>
          <w:ilvl w:val="0"/>
          <w:numId w:val="410"/>
        </w:numPr>
        <w:rPr>
          <w:lang w:val="sl-SI"/>
        </w:rPr>
      </w:pPr>
      <w:r w:rsidRPr="001048FE">
        <w:rPr>
          <w:lang w:val="sl-SI"/>
        </w:rPr>
        <w:t>večja ozaveščenost o vlogi športa pri spodbujanju socialnega vključevanja, enakih možnosti in telesne dejavnosti, ki izboljšuje zdravje;</w:t>
      </w:r>
    </w:p>
    <w:p w14:paraId="7D39A582" w14:textId="77777777" w:rsidR="00E03711" w:rsidRPr="001048FE" w:rsidRDefault="00E03711" w:rsidP="005115F2">
      <w:pPr>
        <w:pStyle w:val="Guide-NormalBulletpoints"/>
        <w:numPr>
          <w:ilvl w:val="0"/>
          <w:numId w:val="410"/>
        </w:numPr>
        <w:rPr>
          <w:lang w:val="sl-SI"/>
        </w:rPr>
      </w:pPr>
      <w:r w:rsidRPr="001048FE">
        <w:rPr>
          <w:lang w:val="sl-SI"/>
        </w:rPr>
        <w:t>večja udeležba v športu, telesni dejavnosti in prostovoljstvu.</w:t>
      </w:r>
    </w:p>
    <w:p w14:paraId="7D39A583" w14:textId="77777777" w:rsidR="00E03711" w:rsidRPr="001048FE" w:rsidRDefault="00E03711" w:rsidP="00942D70">
      <w:pPr>
        <w:pStyle w:val="Guide-Heading4"/>
        <w:rPr>
          <w:lang w:val="sl-SI"/>
        </w:rPr>
      </w:pPr>
      <w:bookmarkStart w:id="381" w:name="_Toc527401224"/>
      <w:r w:rsidRPr="001048FE">
        <w:rPr>
          <w:lang w:val="sl-SI"/>
        </w:rPr>
        <w:t>Katere aktivnosti so podprte v okviru tega ukrepa?</w:t>
      </w:r>
      <w:bookmarkEnd w:id="381"/>
    </w:p>
    <w:p w14:paraId="7D39A584" w14:textId="77777777" w:rsidR="00E03711" w:rsidRPr="001048FE" w:rsidRDefault="00E03711" w:rsidP="00652E1F">
      <w:pPr>
        <w:pStyle w:val="GUIDE-NORMAL"/>
        <w:rPr>
          <w:lang w:val="sl-SI"/>
        </w:rPr>
      </w:pPr>
      <w:r w:rsidRPr="001048FE">
        <w:rPr>
          <w:lang w:val="sl-SI"/>
        </w:rPr>
        <w:t>Podpora prireditvam pomeni dodelitev nepovratnih sredstev EU posameznim organizacijam, ki so odgovorne za pripravo, organizacijo in nadaljnje spremljanje določene prireditve. V okviru tega ukrepa bodo podprte naslednje standardne aktivnosti (neizčrpen seznam):</w:t>
      </w:r>
    </w:p>
    <w:p w14:paraId="7D39A585" w14:textId="77777777" w:rsidR="00E03711" w:rsidRPr="001048FE" w:rsidRDefault="00E03711" w:rsidP="005115F2">
      <w:pPr>
        <w:pStyle w:val="Guide-NormalBulletpoints"/>
        <w:numPr>
          <w:ilvl w:val="0"/>
          <w:numId w:val="411"/>
        </w:numPr>
        <w:rPr>
          <w:lang w:val="sl-SI"/>
        </w:rPr>
      </w:pPr>
      <w:r w:rsidRPr="001048FE">
        <w:rPr>
          <w:lang w:val="sl-SI"/>
        </w:rPr>
        <w:t>priprava prireditve;</w:t>
      </w:r>
    </w:p>
    <w:p w14:paraId="7D39A586" w14:textId="77777777" w:rsidR="00E03711" w:rsidRPr="001048FE" w:rsidRDefault="00E03711" w:rsidP="005115F2">
      <w:pPr>
        <w:pStyle w:val="Guide-NormalBulletpoints"/>
        <w:numPr>
          <w:ilvl w:val="0"/>
          <w:numId w:val="411"/>
        </w:numPr>
        <w:rPr>
          <w:lang w:val="sl-SI"/>
        </w:rPr>
      </w:pPr>
      <w:r w:rsidRPr="001048FE">
        <w:rPr>
          <w:lang w:val="sl-SI"/>
        </w:rPr>
        <w:t>organizacija izobraževanja za športnike, mentorje, organizatorje in prostovoljce pred prireditvijo;</w:t>
      </w:r>
    </w:p>
    <w:p w14:paraId="7D39A587" w14:textId="77777777" w:rsidR="00E03711" w:rsidRPr="001048FE" w:rsidRDefault="00E03711" w:rsidP="005115F2">
      <w:pPr>
        <w:pStyle w:val="Guide-NormalBulletpoints"/>
        <w:numPr>
          <w:ilvl w:val="0"/>
          <w:numId w:val="411"/>
        </w:numPr>
        <w:rPr>
          <w:lang w:val="sl-SI"/>
        </w:rPr>
      </w:pPr>
      <w:r w:rsidRPr="001048FE">
        <w:rPr>
          <w:lang w:val="sl-SI"/>
        </w:rPr>
        <w:t>organizacija prireditve;</w:t>
      </w:r>
    </w:p>
    <w:p w14:paraId="7D39A588" w14:textId="77777777" w:rsidR="00E03711" w:rsidRPr="001048FE" w:rsidRDefault="00E03711" w:rsidP="005115F2">
      <w:pPr>
        <w:pStyle w:val="Guide-NormalBulletpoints"/>
        <w:numPr>
          <w:ilvl w:val="0"/>
          <w:numId w:val="411"/>
        </w:numPr>
        <w:rPr>
          <w:lang w:val="sl-SI"/>
        </w:rPr>
      </w:pPr>
      <w:r w:rsidRPr="001048FE">
        <w:rPr>
          <w:lang w:val="sl-SI"/>
        </w:rPr>
        <w:t xml:space="preserve">organizacija spremljevalnih aktivnosti športne prireditve (konference, seminarji); </w:t>
      </w:r>
    </w:p>
    <w:p w14:paraId="7D39A589" w14:textId="77777777" w:rsidR="00E03711" w:rsidRPr="001048FE" w:rsidRDefault="00E03711" w:rsidP="005115F2">
      <w:pPr>
        <w:pStyle w:val="Guide-NormalBulletpoints"/>
        <w:numPr>
          <w:ilvl w:val="0"/>
          <w:numId w:val="411"/>
        </w:numPr>
        <w:rPr>
          <w:lang w:val="sl-SI"/>
        </w:rPr>
      </w:pPr>
      <w:r w:rsidRPr="001048FE">
        <w:rPr>
          <w:lang w:val="sl-SI"/>
        </w:rPr>
        <w:t xml:space="preserve">izvajanje aktivnosti po prireditvi (ocenjevanje, priprava prihodnjih načrtov); </w:t>
      </w:r>
    </w:p>
    <w:p w14:paraId="7D39A58A" w14:textId="77777777" w:rsidR="00E03711" w:rsidRPr="001048FE" w:rsidRDefault="00E03711" w:rsidP="005115F2">
      <w:pPr>
        <w:pStyle w:val="Guide-NormalBulletpoints"/>
        <w:numPr>
          <w:ilvl w:val="0"/>
          <w:numId w:val="411"/>
        </w:numPr>
        <w:rPr>
          <w:lang w:val="sl-SI"/>
        </w:rPr>
      </w:pPr>
      <w:r w:rsidRPr="001048FE">
        <w:rPr>
          <w:lang w:val="sl-SI"/>
        </w:rPr>
        <w:t>aktivnosti obveščanja, povezane s temo prireditve.</w:t>
      </w:r>
    </w:p>
    <w:p w14:paraId="7D39A58B" w14:textId="77777777" w:rsidR="00E03711" w:rsidRPr="001048FE" w:rsidRDefault="00E03711" w:rsidP="00652E1F">
      <w:pPr>
        <w:pStyle w:val="Guide-Heading4"/>
        <w:rPr>
          <w:lang w:val="sl-SI"/>
        </w:rPr>
      </w:pPr>
      <w:bookmarkStart w:id="382" w:name="_Toc527401225"/>
      <w:r w:rsidRPr="001048FE">
        <w:rPr>
          <w:lang w:val="sl-SI"/>
        </w:rPr>
        <w:t>Katere aktivnosti niso upravičene v okviru tega ukrepa?</w:t>
      </w:r>
      <w:bookmarkEnd w:id="382"/>
    </w:p>
    <w:p w14:paraId="7D39A58C" w14:textId="77777777" w:rsidR="00E03711" w:rsidRPr="001048FE" w:rsidRDefault="00E03711" w:rsidP="005115F2">
      <w:pPr>
        <w:pStyle w:val="Guide-NormalBulletpoints"/>
        <w:numPr>
          <w:ilvl w:val="0"/>
          <w:numId w:val="412"/>
        </w:numPr>
        <w:rPr>
          <w:lang w:val="sl-SI"/>
        </w:rPr>
      </w:pPr>
      <w:r w:rsidRPr="001048FE">
        <w:rPr>
          <w:lang w:val="sl-SI"/>
        </w:rPr>
        <w:t>Športna tekmovanja, ki jih redno organizirajo mednarodne, evropske ali nacionalne športne zveze/lige;</w:t>
      </w:r>
    </w:p>
    <w:p w14:paraId="7D39A58D" w14:textId="77777777" w:rsidR="00E03711" w:rsidRPr="001048FE" w:rsidRDefault="00E03711" w:rsidP="005115F2">
      <w:pPr>
        <w:pStyle w:val="Guide-NormalBulletpoints"/>
        <w:numPr>
          <w:ilvl w:val="0"/>
          <w:numId w:val="412"/>
        </w:numPr>
        <w:rPr>
          <w:lang w:val="sl-SI"/>
        </w:rPr>
      </w:pPr>
      <w:r w:rsidRPr="001048FE">
        <w:rPr>
          <w:lang w:val="sl-SI"/>
        </w:rPr>
        <w:t>profesionalna športna tekmovanja.</w:t>
      </w:r>
    </w:p>
    <w:p w14:paraId="7D39A58E" w14:textId="77777777" w:rsidR="00E03711" w:rsidRPr="001048FE" w:rsidRDefault="00E03711" w:rsidP="00652E1F">
      <w:pPr>
        <w:pStyle w:val="Guide-Heading4"/>
        <w:rPr>
          <w:lang w:val="sl-SI"/>
        </w:rPr>
      </w:pPr>
      <w:bookmarkStart w:id="383" w:name="_Toc527401226"/>
      <w:r w:rsidRPr="001048FE">
        <w:rPr>
          <w:lang w:val="sl-SI"/>
        </w:rPr>
        <w:t>Kakšna so merila za oceno neprofitne evropske športne prireditve?</w:t>
      </w:r>
      <w:bookmarkEnd w:id="383"/>
    </w:p>
    <w:p w14:paraId="7D39A58F" w14:textId="77777777" w:rsidR="00E03711" w:rsidRPr="001048FE" w:rsidRDefault="00E03711" w:rsidP="00652E1F">
      <w:pPr>
        <w:pStyle w:val="GUIDE-NORMAL"/>
        <w:rPr>
          <w:lang w:val="sl-SI"/>
        </w:rPr>
      </w:pPr>
      <w:r w:rsidRPr="001048FE">
        <w:rPr>
          <w:lang w:val="sl-SI"/>
        </w:rPr>
        <w:t>Seznam v nadaljevanju navaja uradna merila, ki jih mora izpolniti neprofitna evropska športna prireditev za upravičenost do nepovratnih sredstev Erasmus+:</w:t>
      </w:r>
    </w:p>
    <w:p w14:paraId="7D39A590" w14:textId="77777777" w:rsidR="00E03711" w:rsidRPr="001048FE" w:rsidRDefault="00E03711" w:rsidP="00652E1F">
      <w:pPr>
        <w:pStyle w:val="Guide-Heading5"/>
        <w:rPr>
          <w:lang w:val="sl-SI"/>
        </w:rPr>
      </w:pPr>
      <w:r w:rsidRPr="001048FE">
        <w:rPr>
          <w:lang w:val="sl-SI"/>
        </w:rPr>
        <w:t>Merila za upravičenost</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Look w:val="0000" w:firstRow="0" w:lastRow="0" w:firstColumn="0" w:lastColumn="0" w:noHBand="0" w:noVBand="0"/>
      </w:tblPr>
      <w:tblGrid>
        <w:gridCol w:w="1568"/>
        <w:gridCol w:w="7722"/>
      </w:tblGrid>
      <w:tr w:rsidR="00E03711" w:rsidRPr="002C560E" w14:paraId="7D39A596" w14:textId="77777777" w:rsidTr="00B405CA">
        <w:trPr>
          <w:cantSplit/>
        </w:trPr>
        <w:tc>
          <w:tcPr>
            <w:tcW w:w="844" w:type="pct"/>
            <w:shd w:val="clear" w:color="auto" w:fill="FFFFFF"/>
            <w:vAlign w:val="center"/>
          </w:tcPr>
          <w:p w14:paraId="7D39A591" w14:textId="77777777" w:rsidR="00E03711" w:rsidRPr="00F769E0" w:rsidRDefault="00E03711" w:rsidP="00C605A9">
            <w:pPr>
              <w:pStyle w:val="GUIDE-NORMAL"/>
              <w:spacing w:before="60" w:after="60"/>
              <w:jc w:val="left"/>
              <w:rPr>
                <w:rFonts w:cs="Tahoma"/>
                <w:b/>
                <w:lang w:val="sl-SI" w:eastAsia="en-GB"/>
              </w:rPr>
            </w:pPr>
            <w:r w:rsidRPr="00F769E0">
              <w:rPr>
                <w:rFonts w:cs="Tahoma"/>
                <w:b/>
                <w:lang w:val="sl-SI" w:eastAsia="en-GB"/>
              </w:rPr>
              <w:t>Kdo se lahko prijavi?</w:t>
            </w:r>
          </w:p>
        </w:tc>
        <w:tc>
          <w:tcPr>
            <w:tcW w:w="4156" w:type="pct"/>
            <w:shd w:val="clear" w:color="auto" w:fill="FFFFFF"/>
            <w:vAlign w:val="center"/>
          </w:tcPr>
          <w:p w14:paraId="7D39A592" w14:textId="77777777" w:rsidR="00E03711" w:rsidRPr="00F769E0" w:rsidRDefault="00E03711" w:rsidP="00C605A9">
            <w:pPr>
              <w:pStyle w:val="GUIDE-NORMAL"/>
              <w:spacing w:before="60" w:after="60"/>
              <w:jc w:val="left"/>
              <w:rPr>
                <w:rFonts w:cs="Tahoma"/>
                <w:lang w:val="sl-SI" w:eastAsia="en-GB"/>
              </w:rPr>
            </w:pPr>
            <w:r w:rsidRPr="00F769E0">
              <w:rPr>
                <w:rFonts w:cs="Tahoma"/>
                <w:lang w:val="sl-SI" w:eastAsia="en-GB"/>
              </w:rPr>
              <w:t>Kateri koli javni organi ali organizacija, ki je aktivna na področju športa in ima sedež v državi Programa. Taka organizacija je lahko na primer (neizčrpen seznam):</w:t>
            </w:r>
          </w:p>
          <w:p w14:paraId="7D39A593" w14:textId="77777777" w:rsidR="00E03711" w:rsidRPr="001048FE" w:rsidRDefault="00E03711" w:rsidP="00C605A9">
            <w:pPr>
              <w:pStyle w:val="Guide-NormalBulletpoints"/>
              <w:spacing w:before="60"/>
              <w:rPr>
                <w:lang w:val="sl-SI"/>
              </w:rPr>
            </w:pPr>
            <w:r w:rsidRPr="001048FE">
              <w:rPr>
                <w:lang w:val="sl-SI"/>
              </w:rPr>
              <w:t>javni organ, pristojen za področje športa, na lokalni, regionalni ali nacionalni ravni;</w:t>
            </w:r>
          </w:p>
          <w:p w14:paraId="7D39A594" w14:textId="77777777" w:rsidR="00E03711" w:rsidRPr="001048FE" w:rsidRDefault="00E03711" w:rsidP="00C605A9">
            <w:pPr>
              <w:pStyle w:val="Guide-NormalBulletpoints"/>
              <w:spacing w:before="60"/>
              <w:rPr>
                <w:lang w:val="sl-SI"/>
              </w:rPr>
            </w:pPr>
            <w:r w:rsidRPr="001048FE">
              <w:rPr>
                <w:lang w:val="sl-SI"/>
              </w:rPr>
              <w:t>športna organizacija na lokalni, regionalni, nacionalni, evropski ali mednarodni ravni;</w:t>
            </w:r>
          </w:p>
          <w:p w14:paraId="7D39A595" w14:textId="77777777" w:rsidR="00E03711" w:rsidRPr="001048FE" w:rsidRDefault="00E03711" w:rsidP="00C605A9">
            <w:pPr>
              <w:pStyle w:val="Guide-NormalBulletpoints"/>
              <w:spacing w:before="60"/>
              <w:rPr>
                <w:lang w:val="sl-SI"/>
              </w:rPr>
            </w:pPr>
            <w:r w:rsidRPr="001048FE">
              <w:rPr>
                <w:lang w:val="sl-SI"/>
              </w:rPr>
              <w:t>koordinator nacionalne prireditve, organizirane v okviru evropske prireditve na področju športa.</w:t>
            </w:r>
          </w:p>
        </w:tc>
      </w:tr>
      <w:tr w:rsidR="00E03711" w:rsidRPr="002C560E" w14:paraId="7D39A59B" w14:textId="77777777" w:rsidTr="00B405CA">
        <w:trPr>
          <w:cantSplit/>
        </w:trPr>
        <w:tc>
          <w:tcPr>
            <w:tcW w:w="844" w:type="pct"/>
            <w:shd w:val="clear" w:color="auto" w:fill="FFFFFF"/>
            <w:vAlign w:val="center"/>
          </w:tcPr>
          <w:p w14:paraId="7D39A597" w14:textId="77777777" w:rsidR="00E03711" w:rsidRPr="00F769E0" w:rsidRDefault="00E03711" w:rsidP="00C605A9">
            <w:pPr>
              <w:pStyle w:val="GUIDE-NORMAL"/>
              <w:spacing w:before="60" w:after="60"/>
              <w:jc w:val="left"/>
              <w:rPr>
                <w:rFonts w:cs="Tahoma"/>
                <w:b/>
                <w:lang w:val="sl-SI" w:eastAsia="en-GB"/>
              </w:rPr>
            </w:pPr>
            <w:r w:rsidRPr="00F769E0">
              <w:rPr>
                <w:rFonts w:cs="Tahoma"/>
                <w:b/>
                <w:lang w:val="sl-SI" w:eastAsia="en-GB"/>
              </w:rPr>
              <w:t>Upravičeni dogodki in udeleženci</w:t>
            </w:r>
          </w:p>
        </w:tc>
        <w:tc>
          <w:tcPr>
            <w:tcW w:w="4156" w:type="pct"/>
            <w:shd w:val="clear" w:color="auto" w:fill="FFFFFF"/>
            <w:vAlign w:val="center"/>
          </w:tcPr>
          <w:p w14:paraId="7D39A598" w14:textId="77777777" w:rsidR="00E03711" w:rsidRPr="00F769E0" w:rsidRDefault="00E03711" w:rsidP="00C605A9">
            <w:pPr>
              <w:pStyle w:val="GUIDE-NORMAL"/>
              <w:spacing w:before="60" w:after="60"/>
              <w:jc w:val="left"/>
              <w:rPr>
                <w:rFonts w:cs="Tahoma"/>
                <w:lang w:val="sl-SI" w:eastAsia="en-GB"/>
              </w:rPr>
            </w:pPr>
            <w:r w:rsidRPr="00F769E0">
              <w:rPr>
                <w:rFonts w:cs="Tahoma"/>
                <w:lang w:val="sl-SI" w:eastAsia="en-GB"/>
              </w:rPr>
              <w:t>Športne prireditve na evropski ravni, organizirane v eni državi, morajo vključevati udeležence iz vsaj 10 držav Programa</w:t>
            </w:r>
          </w:p>
          <w:p w14:paraId="7D39A599" w14:textId="77777777" w:rsidR="00E03711" w:rsidRPr="00F769E0" w:rsidRDefault="00E03711" w:rsidP="00C605A9">
            <w:pPr>
              <w:pStyle w:val="GUIDE-NORMAL"/>
              <w:spacing w:before="60" w:after="60"/>
              <w:jc w:val="left"/>
              <w:rPr>
                <w:rFonts w:cs="Tahoma"/>
                <w:lang w:val="sl-SI" w:eastAsia="en-GB"/>
              </w:rPr>
            </w:pPr>
            <w:r w:rsidRPr="00F769E0">
              <w:rPr>
                <w:rFonts w:cs="Tahoma"/>
                <w:lang w:val="sl-SI" w:eastAsia="en-GB"/>
              </w:rPr>
              <w:t>ALI</w:t>
            </w:r>
          </w:p>
          <w:p w14:paraId="7D39A59A" w14:textId="77777777" w:rsidR="00E03711" w:rsidRPr="00F769E0" w:rsidRDefault="00E03711" w:rsidP="00C605A9">
            <w:pPr>
              <w:pStyle w:val="GUIDE-NORMAL"/>
              <w:spacing w:before="60" w:after="60"/>
              <w:jc w:val="left"/>
              <w:rPr>
                <w:rFonts w:cs="Tahoma"/>
                <w:lang w:val="sl-SI" w:eastAsia="en-GB"/>
              </w:rPr>
            </w:pPr>
            <w:r w:rsidRPr="00F769E0">
              <w:rPr>
                <w:rFonts w:cs="Tahoma"/>
                <w:lang w:val="sl-SI" w:eastAsia="en-GB"/>
              </w:rPr>
              <w:t>športne prireditve, organizirane v več državah Programa hkrati, morajo vključevati udeležence iz vsaj 10 držav Programa. Ta pogoj je izpolnjen, če ti udeleženci sodelujejo pri vseh prireditvah. Ob oddaji vloge za nepovratna sredstva morajo biti opredeljene vse sodelujoče organizacije.</w:t>
            </w:r>
          </w:p>
        </w:tc>
      </w:tr>
      <w:tr w:rsidR="00E03711" w:rsidRPr="002C560E" w14:paraId="7D39A59E" w14:textId="77777777" w:rsidTr="00B405CA">
        <w:trPr>
          <w:cantSplit/>
        </w:trPr>
        <w:tc>
          <w:tcPr>
            <w:tcW w:w="844" w:type="pct"/>
            <w:shd w:val="clear" w:color="auto" w:fill="FFFFFF"/>
            <w:vAlign w:val="center"/>
          </w:tcPr>
          <w:p w14:paraId="7D39A59C" w14:textId="77777777" w:rsidR="00E03711" w:rsidRPr="00F769E0" w:rsidRDefault="00E03711" w:rsidP="00C605A9">
            <w:pPr>
              <w:pStyle w:val="GUIDE-NORMAL"/>
              <w:spacing w:before="60" w:after="60"/>
              <w:jc w:val="left"/>
              <w:rPr>
                <w:rFonts w:cs="Tahoma"/>
                <w:b/>
                <w:lang w:val="sl-SI" w:eastAsia="en-GB"/>
              </w:rPr>
            </w:pPr>
            <w:r w:rsidRPr="00F769E0">
              <w:rPr>
                <w:rFonts w:cs="Tahoma"/>
                <w:b/>
                <w:lang w:val="sl-SI" w:eastAsia="en-GB"/>
              </w:rPr>
              <w:t>Trajanje projekta</w:t>
            </w:r>
          </w:p>
        </w:tc>
        <w:tc>
          <w:tcPr>
            <w:tcW w:w="4156" w:type="pct"/>
            <w:shd w:val="clear" w:color="auto" w:fill="FFFFFF"/>
            <w:vAlign w:val="center"/>
          </w:tcPr>
          <w:p w14:paraId="7D39A59D" w14:textId="77777777" w:rsidR="00E03711" w:rsidRPr="00F769E0" w:rsidRDefault="00E03711" w:rsidP="00C605A9">
            <w:pPr>
              <w:pStyle w:val="GUIDE-NORMAL"/>
              <w:spacing w:before="60" w:after="60"/>
              <w:jc w:val="left"/>
              <w:rPr>
                <w:rFonts w:cs="Tahoma"/>
                <w:lang w:val="sl-SI" w:eastAsia="en-GB"/>
              </w:rPr>
            </w:pPr>
            <w:r w:rsidRPr="00F769E0">
              <w:rPr>
                <w:rFonts w:cs="Tahoma"/>
                <w:lang w:val="sl-SI" w:eastAsia="en-GB"/>
              </w:rPr>
              <w:t>Največ 1 leto (od priprav prireditve do nadaljnjega spremljanja).</w:t>
            </w:r>
          </w:p>
        </w:tc>
      </w:tr>
      <w:tr w:rsidR="00E03711" w:rsidRPr="002C560E" w14:paraId="7D39A5A1" w14:textId="77777777" w:rsidTr="00B405CA">
        <w:trPr>
          <w:cantSplit/>
        </w:trPr>
        <w:tc>
          <w:tcPr>
            <w:tcW w:w="844" w:type="pct"/>
            <w:shd w:val="clear" w:color="auto" w:fill="FFFFFF"/>
            <w:vAlign w:val="center"/>
          </w:tcPr>
          <w:p w14:paraId="7D39A59F" w14:textId="77777777" w:rsidR="00E03711" w:rsidRPr="00F769E0" w:rsidRDefault="00E03711" w:rsidP="00C605A9">
            <w:pPr>
              <w:pStyle w:val="GUIDE-NORMAL"/>
              <w:spacing w:before="60" w:after="60"/>
              <w:jc w:val="left"/>
              <w:rPr>
                <w:rFonts w:cs="Tahoma"/>
                <w:b/>
                <w:lang w:val="sl-SI" w:eastAsia="en-GB"/>
              </w:rPr>
            </w:pPr>
            <w:r w:rsidRPr="00F769E0">
              <w:rPr>
                <w:rFonts w:cs="Tahoma"/>
                <w:b/>
                <w:lang w:val="sl-SI" w:eastAsia="en-GB"/>
              </w:rPr>
              <w:t>Datumi prireditve</w:t>
            </w:r>
          </w:p>
        </w:tc>
        <w:tc>
          <w:tcPr>
            <w:tcW w:w="4156" w:type="pct"/>
            <w:shd w:val="clear" w:color="auto" w:fill="FFFFFF"/>
            <w:vAlign w:val="center"/>
          </w:tcPr>
          <w:p w14:paraId="7D39A5A0" w14:textId="77777777" w:rsidR="00E03711" w:rsidRPr="00F769E0" w:rsidRDefault="00E03711" w:rsidP="00C605A9">
            <w:pPr>
              <w:pStyle w:val="GUIDE-NORMAL"/>
              <w:spacing w:before="60" w:after="60"/>
              <w:jc w:val="left"/>
              <w:rPr>
                <w:rFonts w:cs="Tahoma"/>
                <w:lang w:val="sl-SI" w:eastAsia="en-GB"/>
              </w:rPr>
            </w:pPr>
            <w:r w:rsidRPr="00F769E0">
              <w:rPr>
                <w:rFonts w:cs="Tahoma"/>
                <w:lang w:val="sl-SI" w:eastAsia="en-GB"/>
              </w:rPr>
              <w:t>Prireditve morajo potekati v naslednjem letu (kadar koli do 31. oktobra).</w:t>
            </w:r>
          </w:p>
        </w:tc>
      </w:tr>
      <w:tr w:rsidR="00E03711" w:rsidRPr="008C6F8C" w14:paraId="7D39A5A5" w14:textId="77777777" w:rsidTr="00B405CA">
        <w:trPr>
          <w:cantSplit/>
        </w:trPr>
        <w:tc>
          <w:tcPr>
            <w:tcW w:w="844" w:type="pct"/>
            <w:shd w:val="clear" w:color="auto" w:fill="FFFFFF"/>
            <w:vAlign w:val="center"/>
          </w:tcPr>
          <w:p w14:paraId="7D39A5A2" w14:textId="77777777" w:rsidR="00E03711" w:rsidRPr="00F769E0" w:rsidRDefault="00E03711" w:rsidP="00C605A9">
            <w:pPr>
              <w:pStyle w:val="GUIDE-NORMAL"/>
              <w:spacing w:before="60" w:after="60"/>
              <w:jc w:val="left"/>
              <w:rPr>
                <w:rFonts w:cs="Tahoma"/>
                <w:b/>
                <w:lang w:val="sl-SI" w:eastAsia="en-GB"/>
              </w:rPr>
            </w:pPr>
            <w:r w:rsidRPr="00F769E0">
              <w:rPr>
                <w:rFonts w:cs="Tahoma"/>
                <w:b/>
                <w:lang w:val="sl-SI" w:eastAsia="en-GB"/>
              </w:rPr>
              <w:t>Kje se prijaviti?</w:t>
            </w:r>
          </w:p>
        </w:tc>
        <w:tc>
          <w:tcPr>
            <w:tcW w:w="4156" w:type="pct"/>
            <w:shd w:val="clear" w:color="auto" w:fill="FFFFFF"/>
            <w:vAlign w:val="center"/>
          </w:tcPr>
          <w:p w14:paraId="7D39A5A3" w14:textId="77777777" w:rsidR="00E03711" w:rsidRPr="00F769E0" w:rsidRDefault="00E03711" w:rsidP="00C605A9">
            <w:pPr>
              <w:pStyle w:val="GUIDE-NORMAL"/>
              <w:spacing w:before="60" w:after="60"/>
              <w:jc w:val="left"/>
              <w:rPr>
                <w:rFonts w:cs="Tahoma"/>
                <w:lang w:val="sl-SI" w:eastAsia="en-GB"/>
              </w:rPr>
            </w:pPr>
            <w:r w:rsidRPr="00F769E0">
              <w:rPr>
                <w:rFonts w:cs="Tahoma"/>
                <w:lang w:val="sl-SI" w:eastAsia="en-GB"/>
              </w:rPr>
              <w:t>Pri Izvajalski agenciji za izobraževanje, avdiovizualno področje in kulturo v</w:t>
            </w:r>
          </w:p>
          <w:p w14:paraId="7D39A5A4" w14:textId="77777777" w:rsidR="00E03711" w:rsidRPr="00F769E0" w:rsidRDefault="00E03711" w:rsidP="00C605A9">
            <w:pPr>
              <w:pStyle w:val="GUIDE-NORMAL"/>
              <w:spacing w:before="60" w:after="60"/>
              <w:jc w:val="left"/>
              <w:rPr>
                <w:rFonts w:cs="Tahoma"/>
                <w:lang w:val="sl-SI" w:eastAsia="en-GB"/>
              </w:rPr>
            </w:pPr>
            <w:r w:rsidRPr="00F769E0">
              <w:rPr>
                <w:rFonts w:cs="Tahoma"/>
                <w:lang w:val="sl-SI" w:eastAsia="en-GB"/>
              </w:rPr>
              <w:t>Bruslju.</w:t>
            </w:r>
          </w:p>
        </w:tc>
      </w:tr>
      <w:tr w:rsidR="00E03711" w:rsidRPr="002C560E" w14:paraId="7D39A5A8" w14:textId="77777777" w:rsidTr="00B405CA">
        <w:trPr>
          <w:cantSplit/>
        </w:trPr>
        <w:tc>
          <w:tcPr>
            <w:tcW w:w="844" w:type="pct"/>
            <w:shd w:val="clear" w:color="auto" w:fill="FFFFFF"/>
            <w:vAlign w:val="center"/>
          </w:tcPr>
          <w:p w14:paraId="7D39A5A6" w14:textId="77777777" w:rsidR="00E03711" w:rsidRPr="00F769E0" w:rsidRDefault="00E03711" w:rsidP="00C605A9">
            <w:pPr>
              <w:pStyle w:val="GUIDE-NORMAL"/>
              <w:spacing w:before="60" w:after="60"/>
              <w:jc w:val="left"/>
              <w:rPr>
                <w:rFonts w:cs="Tahoma"/>
                <w:b/>
                <w:lang w:val="sl-SI" w:eastAsia="en-GB"/>
              </w:rPr>
            </w:pPr>
            <w:r w:rsidRPr="00F769E0">
              <w:rPr>
                <w:rFonts w:cs="Tahoma"/>
                <w:b/>
                <w:lang w:val="sl-SI" w:eastAsia="en-GB"/>
              </w:rPr>
              <w:t>Kdaj se prijaviti?</w:t>
            </w:r>
          </w:p>
        </w:tc>
        <w:tc>
          <w:tcPr>
            <w:tcW w:w="4156" w:type="pct"/>
            <w:shd w:val="clear" w:color="auto" w:fill="FFFFFF"/>
            <w:vAlign w:val="center"/>
          </w:tcPr>
          <w:p w14:paraId="7D39A5A7" w14:textId="77777777" w:rsidR="00E03711" w:rsidRPr="00F769E0" w:rsidRDefault="00E03711" w:rsidP="00725687">
            <w:pPr>
              <w:pStyle w:val="GUIDE-NORMAL"/>
              <w:spacing w:before="60" w:after="60"/>
              <w:jc w:val="left"/>
              <w:rPr>
                <w:rFonts w:cs="Tahoma"/>
                <w:lang w:val="sl-SI" w:eastAsia="en-GB"/>
              </w:rPr>
            </w:pPr>
            <w:r w:rsidRPr="00FC4A70">
              <w:rPr>
                <w:rFonts w:eastAsia="Calibri" w:cs="Calibri"/>
                <w:bdr w:val="nil"/>
                <w:shd w:val="clear" w:color="auto" w:fill="auto"/>
                <w:lang w:val="sl-SI"/>
              </w:rPr>
              <w:t xml:space="preserve">Prijavitelji morajo vlogo za nepovratna sredstva oddati do </w:t>
            </w:r>
            <w:r w:rsidRPr="00860232">
              <w:rPr>
                <w:rFonts w:eastAsia="Calibri" w:cs="Calibri"/>
                <w:b/>
                <w:bCs/>
                <w:bdr w:val="nil"/>
                <w:shd w:val="clear" w:color="auto" w:fill="auto"/>
                <w:lang w:val="sl-SI"/>
              </w:rPr>
              <w:t>2.</w:t>
            </w:r>
            <w:r w:rsidRPr="00FC4A70">
              <w:rPr>
                <w:rFonts w:eastAsia="Calibri" w:cs="Calibri"/>
                <w:bdr w:val="nil"/>
                <w:shd w:val="clear" w:color="auto" w:fill="auto"/>
                <w:lang w:val="sl-SI"/>
              </w:rPr>
              <w:t xml:space="preserve"> </w:t>
            </w:r>
            <w:r w:rsidRPr="00FC4A70">
              <w:rPr>
                <w:rFonts w:eastAsia="Calibri" w:cs="Calibri"/>
                <w:b/>
                <w:bCs/>
                <w:bdr w:val="nil"/>
                <w:shd w:val="clear" w:color="auto" w:fill="auto"/>
                <w:lang w:val="sl-SI"/>
              </w:rPr>
              <w:t>aprila</w:t>
            </w:r>
            <w:r w:rsidRPr="00FC4A70">
              <w:rPr>
                <w:rFonts w:eastAsia="Calibri" w:cs="Calibri"/>
                <w:bdr w:val="nil"/>
                <w:shd w:val="clear" w:color="auto" w:fill="auto"/>
                <w:lang w:val="sl-SI"/>
              </w:rPr>
              <w:t xml:space="preserve"> </w:t>
            </w:r>
            <w:r w:rsidRPr="00FC4A70">
              <w:rPr>
                <w:rFonts w:eastAsia="Calibri" w:cs="Calibri"/>
                <w:b/>
                <w:bCs/>
                <w:bdr w:val="nil"/>
                <w:shd w:val="clear" w:color="auto" w:fill="auto"/>
                <w:lang w:val="sl-SI"/>
              </w:rPr>
              <w:t>do 1</w:t>
            </w:r>
            <w:r>
              <w:rPr>
                <w:rFonts w:eastAsia="Calibri" w:cs="Calibri"/>
                <w:b/>
                <w:bCs/>
                <w:bdr w:val="nil"/>
                <w:shd w:val="clear" w:color="auto" w:fill="auto"/>
                <w:lang w:val="sl-SI"/>
              </w:rPr>
              <w:t>7</w:t>
            </w:r>
            <w:r w:rsidRPr="00FC4A70">
              <w:rPr>
                <w:rFonts w:eastAsia="Calibri" w:cs="Calibri"/>
                <w:b/>
                <w:bCs/>
                <w:bdr w:val="nil"/>
                <w:shd w:val="clear" w:color="auto" w:fill="auto"/>
                <w:lang w:val="sl-SI"/>
              </w:rPr>
              <w:t>. ure (po bruseljskem času)</w:t>
            </w:r>
            <w:r w:rsidRPr="00FC4A70">
              <w:rPr>
                <w:rFonts w:eastAsia="Calibri" w:cs="Calibri"/>
                <w:bdr w:val="nil"/>
                <w:shd w:val="clear" w:color="auto" w:fill="auto"/>
                <w:lang w:val="sl-SI"/>
              </w:rPr>
              <w:t xml:space="preserve"> za </w:t>
            </w:r>
            <w:r>
              <w:rPr>
                <w:rFonts w:eastAsia="Calibri" w:cs="Calibri"/>
                <w:bdr w:val="nil"/>
                <w:shd w:val="clear" w:color="auto" w:fill="auto"/>
                <w:lang w:val="sl-SI"/>
              </w:rPr>
              <w:t>projekte</w:t>
            </w:r>
            <w:r w:rsidRPr="00FC4A70">
              <w:rPr>
                <w:rFonts w:eastAsia="Calibri" w:cs="Calibri"/>
                <w:bdr w:val="nil"/>
                <w:shd w:val="clear" w:color="auto" w:fill="auto"/>
                <w:lang w:val="sl-SI"/>
              </w:rPr>
              <w:t>, ki se začnejo 1. novembra istega leta.</w:t>
            </w:r>
          </w:p>
        </w:tc>
      </w:tr>
      <w:tr w:rsidR="00E03711" w:rsidRPr="002C560E" w14:paraId="7D39A5AB" w14:textId="77777777" w:rsidTr="00B405CA">
        <w:trPr>
          <w:cantSplit/>
        </w:trPr>
        <w:tc>
          <w:tcPr>
            <w:tcW w:w="844" w:type="pct"/>
            <w:shd w:val="clear" w:color="auto" w:fill="FFFFFF"/>
            <w:vAlign w:val="center"/>
          </w:tcPr>
          <w:p w14:paraId="7D39A5A9" w14:textId="77777777" w:rsidR="00E03711" w:rsidRPr="00F769E0" w:rsidRDefault="00E03711" w:rsidP="00C605A9">
            <w:pPr>
              <w:pStyle w:val="GUIDE-NORMAL"/>
              <w:spacing w:before="60" w:after="60"/>
              <w:jc w:val="left"/>
              <w:rPr>
                <w:rFonts w:cs="Tahoma"/>
                <w:b/>
                <w:lang w:val="sl-SI" w:eastAsia="en-GB"/>
              </w:rPr>
            </w:pPr>
            <w:r w:rsidRPr="00F769E0">
              <w:rPr>
                <w:rFonts w:cs="Tahoma"/>
                <w:b/>
                <w:lang w:val="sl-SI" w:eastAsia="en-GB"/>
              </w:rPr>
              <w:t>Kako se prijaviti?</w:t>
            </w:r>
          </w:p>
        </w:tc>
        <w:tc>
          <w:tcPr>
            <w:tcW w:w="4156" w:type="pct"/>
            <w:shd w:val="clear" w:color="auto" w:fill="FFFFFF"/>
            <w:vAlign w:val="center"/>
          </w:tcPr>
          <w:p w14:paraId="7D39A5AA" w14:textId="77777777" w:rsidR="00E03711" w:rsidRPr="00F769E0" w:rsidRDefault="00E03711" w:rsidP="00C605A9">
            <w:pPr>
              <w:pStyle w:val="GUIDE-NORMAL"/>
              <w:spacing w:before="60" w:after="60"/>
              <w:jc w:val="left"/>
              <w:rPr>
                <w:rFonts w:cs="Tahoma"/>
                <w:lang w:val="sl-SI" w:eastAsia="en-GB"/>
              </w:rPr>
            </w:pPr>
            <w:r w:rsidRPr="00F769E0">
              <w:rPr>
                <w:rFonts w:cs="Tahoma"/>
                <w:lang w:val="sl-SI" w:eastAsia="en-GB"/>
              </w:rPr>
              <w:t>Za več podrobnosti o postopku prijave glej del C tega vodnika.</w:t>
            </w:r>
          </w:p>
        </w:tc>
      </w:tr>
    </w:tbl>
    <w:p w14:paraId="7D39A5AC" w14:textId="77777777" w:rsidR="00E03711" w:rsidRPr="001048FE" w:rsidRDefault="00E03711" w:rsidP="001F1A0E">
      <w:pPr>
        <w:pStyle w:val="GUIDE-NORMAL"/>
        <w:rPr>
          <w:lang w:val="sl-SI"/>
        </w:rPr>
      </w:pPr>
      <w:r w:rsidRPr="001048FE">
        <w:rPr>
          <w:lang w:val="sl-SI"/>
        </w:rPr>
        <w:t xml:space="preserve">Organizacije prijaviteljice bodo ocenjene z ustreznimi </w:t>
      </w:r>
      <w:r w:rsidRPr="001048FE">
        <w:rPr>
          <w:b/>
          <w:lang w:val="sl-SI"/>
        </w:rPr>
        <w:t>merili za izključitev in izbor</w:t>
      </w:r>
      <w:r w:rsidRPr="001048FE">
        <w:rPr>
          <w:lang w:val="sl-SI"/>
        </w:rPr>
        <w:t>. Za več informacij glej del C tega vodnika.</w:t>
      </w:r>
    </w:p>
    <w:p w14:paraId="7D39A5AD" w14:textId="77777777" w:rsidR="00E03711" w:rsidRPr="001048FE" w:rsidRDefault="00E03711" w:rsidP="00942D70">
      <w:pPr>
        <w:pStyle w:val="Guide-Heading5"/>
        <w:rPr>
          <w:lang w:val="sl-SI"/>
        </w:rPr>
        <w:sectPr w:rsidR="00E03711" w:rsidRPr="001048FE" w:rsidSect="00E15ED3">
          <w:headerReference w:type="default" r:id="rId139"/>
          <w:endnotePr>
            <w:numFmt w:val="decimal"/>
          </w:endnotePr>
          <w:pgSz w:w="11910" w:h="16840" w:code="9"/>
          <w:pgMar w:top="1134" w:right="1418" w:bottom="1134" w:left="1418" w:header="284" w:footer="567" w:gutter="0"/>
          <w:cols w:space="720"/>
          <w:docGrid w:linePitch="326"/>
        </w:sectPr>
      </w:pPr>
    </w:p>
    <w:p w14:paraId="7D39A5AE" w14:textId="77777777" w:rsidR="00E03711" w:rsidRPr="001048FE" w:rsidRDefault="00E03711" w:rsidP="00942D70">
      <w:pPr>
        <w:pStyle w:val="Guide-Heading5"/>
        <w:rPr>
          <w:lang w:val="sl-SI"/>
        </w:rPr>
      </w:pPr>
      <w:r w:rsidRPr="001048FE">
        <w:rPr>
          <w:lang w:val="sl-SI"/>
        </w:rPr>
        <w:t>Merila za dodelitev</w:t>
      </w:r>
    </w:p>
    <w:p w14:paraId="7D39A5AF" w14:textId="77777777" w:rsidR="00E03711" w:rsidRPr="001048FE" w:rsidRDefault="00E03711" w:rsidP="001F1A0E">
      <w:pPr>
        <w:pStyle w:val="GUIDE-NORMAL"/>
        <w:rPr>
          <w:lang w:val="sl-SI"/>
        </w:rPr>
      </w:pPr>
      <w:r w:rsidRPr="001048FE">
        <w:rPr>
          <w:lang w:val="sl-SI"/>
        </w:rPr>
        <w:t>Projekti bodo ocenjeni z naslednjimi merili:</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Look w:val="0000" w:firstRow="0" w:lastRow="0" w:firstColumn="0" w:lastColumn="0" w:noHBand="0" w:noVBand="0"/>
      </w:tblPr>
      <w:tblGrid>
        <w:gridCol w:w="1568"/>
        <w:gridCol w:w="7722"/>
      </w:tblGrid>
      <w:tr w:rsidR="00E03711" w:rsidRPr="002C560E" w14:paraId="7D39A5B9" w14:textId="77777777" w:rsidTr="00B405CA">
        <w:trPr>
          <w:cantSplit/>
          <w:trHeight w:val="397"/>
        </w:trPr>
        <w:tc>
          <w:tcPr>
            <w:tcW w:w="844" w:type="pct"/>
            <w:shd w:val="clear" w:color="auto" w:fill="FFFFFF"/>
            <w:vAlign w:val="center"/>
          </w:tcPr>
          <w:p w14:paraId="7D39A5B0" w14:textId="77777777" w:rsidR="00E03711" w:rsidRPr="00F769E0" w:rsidRDefault="00E03711" w:rsidP="001F1A0E">
            <w:pPr>
              <w:pStyle w:val="GUIDE-NORMAL"/>
              <w:jc w:val="left"/>
              <w:rPr>
                <w:rFonts w:cs="Tahoma"/>
                <w:b/>
                <w:lang w:val="sl-SI" w:eastAsia="en-GB"/>
              </w:rPr>
            </w:pPr>
            <w:r w:rsidRPr="00F769E0">
              <w:rPr>
                <w:rFonts w:cs="Tahoma"/>
                <w:b/>
                <w:lang w:val="sl-SI" w:eastAsia="en-GB"/>
              </w:rPr>
              <w:t xml:space="preserve">Ustreznost projekta </w:t>
            </w:r>
            <w:r w:rsidRPr="00F769E0">
              <w:rPr>
                <w:rFonts w:cs="Tahoma"/>
                <w:b/>
                <w:lang w:val="sl-SI" w:eastAsia="en-GB"/>
              </w:rPr>
              <w:br/>
              <w:t>(največ 30 točk)</w:t>
            </w:r>
          </w:p>
        </w:tc>
        <w:tc>
          <w:tcPr>
            <w:tcW w:w="4156" w:type="pct"/>
            <w:shd w:val="clear" w:color="auto" w:fill="FFFFFF"/>
          </w:tcPr>
          <w:p w14:paraId="7D39A5B1" w14:textId="77777777" w:rsidR="00E03711" w:rsidRPr="001048FE" w:rsidRDefault="00E03711" w:rsidP="005115F2">
            <w:pPr>
              <w:pStyle w:val="Guide-NormalBulletpoints"/>
              <w:numPr>
                <w:ilvl w:val="0"/>
                <w:numId w:val="414"/>
              </w:numPr>
              <w:ind w:left="322" w:hanging="322"/>
              <w:rPr>
                <w:lang w:val="sl-SI"/>
              </w:rPr>
            </w:pPr>
            <w:r w:rsidRPr="001048FE">
              <w:rPr>
                <w:lang w:val="sl-SI"/>
              </w:rPr>
              <w:t>ustreznost predloga v zvezi s:</w:t>
            </w:r>
          </w:p>
          <w:p w14:paraId="7D39A5B2" w14:textId="77777777" w:rsidR="00E03711" w:rsidRPr="001048FE" w:rsidRDefault="00E03711" w:rsidP="00FD4DA2">
            <w:pPr>
              <w:pStyle w:val="Guide-ListDash"/>
              <w:rPr>
                <w:lang w:val="sl-SI"/>
              </w:rPr>
            </w:pPr>
            <w:r w:rsidRPr="001048FE">
              <w:rPr>
                <w:lang w:val="sl-SI"/>
              </w:rPr>
              <w:t>cilji evropskih politik na področju športa;</w:t>
            </w:r>
          </w:p>
          <w:p w14:paraId="7D39A5B3" w14:textId="77777777" w:rsidR="00E03711" w:rsidRPr="001048FE" w:rsidRDefault="00E03711" w:rsidP="00FD4DA2">
            <w:pPr>
              <w:pStyle w:val="Guide-ListDash"/>
              <w:rPr>
                <w:lang w:val="sl-SI"/>
              </w:rPr>
            </w:pPr>
            <w:r w:rsidRPr="001048FE">
              <w:rPr>
                <w:lang w:val="sl-SI"/>
              </w:rPr>
              <w:t>cilji in prednostnimi nalogami tega ukrepa (glej poglavje „Kakšni so cilji neprofitne evropske športne prireditve?“ ).</w:t>
            </w:r>
          </w:p>
          <w:p w14:paraId="7D39A5B4" w14:textId="77777777" w:rsidR="00E03711" w:rsidRPr="001048FE" w:rsidRDefault="00E03711" w:rsidP="005115F2">
            <w:pPr>
              <w:pStyle w:val="Guide-NormalBulletpoints"/>
              <w:numPr>
                <w:ilvl w:val="0"/>
                <w:numId w:val="414"/>
              </w:numPr>
              <w:ind w:left="322" w:hanging="322"/>
              <w:rPr>
                <w:lang w:val="sl-SI"/>
              </w:rPr>
            </w:pPr>
            <w:r w:rsidRPr="001048FE">
              <w:rPr>
                <w:lang w:val="sl-SI"/>
              </w:rPr>
              <w:t>v kolikšni meri:</w:t>
            </w:r>
          </w:p>
          <w:p w14:paraId="7D39A5B5" w14:textId="77777777" w:rsidR="00E03711" w:rsidRPr="001048FE" w:rsidRDefault="00E03711" w:rsidP="00FD4DA2">
            <w:pPr>
              <w:pStyle w:val="Guide-ListDash"/>
              <w:rPr>
                <w:lang w:val="sl-SI"/>
              </w:rPr>
            </w:pPr>
            <w:r w:rsidRPr="001048FE">
              <w:rPr>
                <w:lang w:val="sl-SI"/>
              </w:rPr>
              <w:t>predlog temelji na pravi in ustrezni analizi potreb;</w:t>
            </w:r>
          </w:p>
          <w:p w14:paraId="7D39A5B6" w14:textId="77777777" w:rsidR="00E03711" w:rsidRPr="001048FE" w:rsidRDefault="00E03711" w:rsidP="00FD4DA2">
            <w:pPr>
              <w:pStyle w:val="Guide-ListDash"/>
              <w:rPr>
                <w:lang w:val="sl-SI"/>
              </w:rPr>
            </w:pPr>
            <w:r w:rsidRPr="001048FE">
              <w:rPr>
                <w:lang w:val="sl-SI"/>
              </w:rPr>
              <w:t>so cilji jasno opredeljeni, realistični in obravnavajo vprašanja, ki so povezana s sodelujočimi organizacijami in ciljnimi skupinami;</w:t>
            </w:r>
          </w:p>
          <w:p w14:paraId="7D39A5B7" w14:textId="77777777" w:rsidR="00E03711" w:rsidRPr="001048FE" w:rsidRDefault="00E03711" w:rsidP="00FD4DA2">
            <w:pPr>
              <w:pStyle w:val="Guide-ListDash"/>
              <w:rPr>
                <w:lang w:val="sl-SI"/>
              </w:rPr>
            </w:pPr>
            <w:r w:rsidRPr="001048FE">
              <w:rPr>
                <w:lang w:val="sl-SI"/>
              </w:rPr>
              <w:t>je predlog inovativen in/ali dopolnjuje druge pobude, ki jih že izvajajo sodelujoče organizacije;</w:t>
            </w:r>
          </w:p>
          <w:p w14:paraId="7D39A5B8" w14:textId="77777777" w:rsidR="00E03711" w:rsidRPr="001048FE" w:rsidRDefault="00E03711" w:rsidP="00FD4DA2">
            <w:pPr>
              <w:pStyle w:val="Guide-ListDash"/>
              <w:rPr>
                <w:lang w:val="sl-SI"/>
              </w:rPr>
            </w:pPr>
            <w:r w:rsidRPr="001048FE">
              <w:rPr>
                <w:lang w:val="sl-SI"/>
              </w:rPr>
              <w:t>predlog prispeva dodano vrednost na ravni EU z rezultati, ki jih ne bi bilo mogoče doseči z izvajanjem aktivnosti v samo eni državi.</w:t>
            </w:r>
          </w:p>
        </w:tc>
      </w:tr>
      <w:tr w:rsidR="00E03711" w:rsidRPr="002C560E" w14:paraId="7D39A5C1" w14:textId="77777777" w:rsidTr="00B405CA">
        <w:trPr>
          <w:cantSplit/>
          <w:trHeight w:val="397"/>
        </w:trPr>
        <w:tc>
          <w:tcPr>
            <w:tcW w:w="844" w:type="pct"/>
            <w:shd w:val="clear" w:color="auto" w:fill="FFFFFF"/>
            <w:vAlign w:val="center"/>
          </w:tcPr>
          <w:p w14:paraId="7D39A5BA" w14:textId="77777777" w:rsidR="00E03711" w:rsidRPr="00F769E0" w:rsidRDefault="00E03711" w:rsidP="001F1A0E">
            <w:pPr>
              <w:pStyle w:val="GUIDE-NORMAL"/>
              <w:jc w:val="left"/>
              <w:rPr>
                <w:rFonts w:cs="Tahoma"/>
                <w:b/>
                <w:lang w:val="sl-SI" w:eastAsia="en-GB"/>
              </w:rPr>
            </w:pPr>
            <w:r w:rsidRPr="00F769E0">
              <w:rPr>
                <w:rFonts w:cs="Tahoma"/>
                <w:b/>
                <w:lang w:val="sl-SI" w:eastAsia="en-GB"/>
              </w:rPr>
              <w:t>Kakovost zasnove in izvedbe projekta (največ 40 točk)</w:t>
            </w:r>
          </w:p>
        </w:tc>
        <w:tc>
          <w:tcPr>
            <w:tcW w:w="4156" w:type="pct"/>
            <w:shd w:val="clear" w:color="auto" w:fill="FFFFFF"/>
          </w:tcPr>
          <w:p w14:paraId="7D39A5BB" w14:textId="77777777" w:rsidR="00E03711" w:rsidRPr="001048FE" w:rsidRDefault="00E03711" w:rsidP="005115F2">
            <w:pPr>
              <w:pStyle w:val="Guide-NormalBulletpoints"/>
              <w:numPr>
                <w:ilvl w:val="0"/>
                <w:numId w:val="413"/>
              </w:numPr>
              <w:ind w:left="322" w:hanging="322"/>
              <w:rPr>
                <w:lang w:val="sl-SI"/>
              </w:rPr>
            </w:pPr>
            <w:r w:rsidRPr="001048FE">
              <w:rPr>
                <w:lang w:val="sl-SI"/>
              </w:rPr>
              <w:t>jasnost, celovitost in kakovost delovnega programa, vključno z ustreznimi fazami za pripravo, izvajanje, spremljanje, ocenjevanje in razširjanje;</w:t>
            </w:r>
          </w:p>
          <w:p w14:paraId="7D39A5BC" w14:textId="77777777" w:rsidR="00E03711" w:rsidRPr="001048FE" w:rsidRDefault="00E03711" w:rsidP="005115F2">
            <w:pPr>
              <w:pStyle w:val="Guide-NormalBulletpoints"/>
              <w:numPr>
                <w:ilvl w:val="0"/>
                <w:numId w:val="413"/>
              </w:numPr>
              <w:ind w:left="322" w:hanging="322"/>
              <w:rPr>
                <w:lang w:val="sl-SI"/>
              </w:rPr>
            </w:pPr>
            <w:r w:rsidRPr="001048FE">
              <w:rPr>
                <w:lang w:val="sl-SI"/>
              </w:rPr>
              <w:t>usklajenost ciljev projekta, metodologije, aktivnosti in predlaganega proračuna;</w:t>
            </w:r>
          </w:p>
          <w:p w14:paraId="7D39A5BD" w14:textId="77777777" w:rsidR="00E03711" w:rsidRPr="001048FE" w:rsidRDefault="00E03711" w:rsidP="005115F2">
            <w:pPr>
              <w:pStyle w:val="Guide-NormalBulletpoints"/>
              <w:numPr>
                <w:ilvl w:val="0"/>
                <w:numId w:val="413"/>
              </w:numPr>
              <w:ind w:left="322" w:hanging="322"/>
              <w:rPr>
                <w:lang w:val="sl-SI"/>
              </w:rPr>
            </w:pPr>
            <w:r w:rsidRPr="001048FE">
              <w:rPr>
                <w:lang w:val="sl-SI"/>
              </w:rPr>
              <w:t>kakovost in izvedljivost predlagane metodologije;</w:t>
            </w:r>
          </w:p>
          <w:p w14:paraId="7D39A5BE" w14:textId="77777777" w:rsidR="00E03711" w:rsidRPr="001048FE" w:rsidRDefault="00E03711" w:rsidP="005115F2">
            <w:pPr>
              <w:pStyle w:val="Guide-NormalBulletpoints"/>
              <w:numPr>
                <w:ilvl w:val="0"/>
                <w:numId w:val="413"/>
              </w:numPr>
              <w:ind w:left="322" w:hanging="322"/>
              <w:rPr>
                <w:lang w:val="sl-SI"/>
              </w:rPr>
            </w:pPr>
            <w:r w:rsidRPr="001048FE">
              <w:rPr>
                <w:lang w:val="sl-SI"/>
              </w:rPr>
              <w:t>obstoj in kakovost praktičnih ureditev (časovni razpored, organizacija, naloge in odgovornosti so dobro opredeljeni in realistični);</w:t>
            </w:r>
          </w:p>
          <w:p w14:paraId="7D39A5BF" w14:textId="77777777" w:rsidR="00E03711" w:rsidRPr="001048FE" w:rsidRDefault="00E03711" w:rsidP="005115F2">
            <w:pPr>
              <w:pStyle w:val="Guide-NormalBulletpoints"/>
              <w:numPr>
                <w:ilvl w:val="0"/>
                <w:numId w:val="413"/>
              </w:numPr>
              <w:ind w:left="322" w:hanging="322"/>
              <w:rPr>
                <w:lang w:val="sl-SI"/>
              </w:rPr>
            </w:pPr>
            <w:r w:rsidRPr="001048FE">
              <w:rPr>
                <w:lang w:val="sl-SI"/>
              </w:rPr>
              <w:t>obstoj in ustreznost ukrepov za nadzor kakovosti, da se zagotovijo visokokakovostna izvedba projekta, pravočasni zaključek in poraba sredstev v okviru proračuna;</w:t>
            </w:r>
          </w:p>
          <w:p w14:paraId="7D39A5C0" w14:textId="77777777" w:rsidR="00E03711" w:rsidRPr="001048FE" w:rsidRDefault="00E03711" w:rsidP="005115F2">
            <w:pPr>
              <w:pStyle w:val="Guide-NormalBulletpoints"/>
              <w:numPr>
                <w:ilvl w:val="0"/>
                <w:numId w:val="413"/>
              </w:numPr>
              <w:ind w:left="322" w:hanging="322"/>
              <w:rPr>
                <w:lang w:val="sl-SI"/>
              </w:rPr>
            </w:pPr>
            <w:r w:rsidRPr="001048FE">
              <w:rPr>
                <w:lang w:val="sl-SI"/>
              </w:rPr>
              <w:t>v kolikšni meri je projekt stroškovno učinkovit in dodeljuje ustrezna sredstva posameznih aktivnostim.</w:t>
            </w:r>
          </w:p>
        </w:tc>
      </w:tr>
      <w:tr w:rsidR="00E03711" w:rsidRPr="002C560E" w14:paraId="7D39A5C9" w14:textId="77777777" w:rsidTr="00B405CA">
        <w:trPr>
          <w:cantSplit/>
          <w:trHeight w:val="397"/>
        </w:trPr>
        <w:tc>
          <w:tcPr>
            <w:tcW w:w="844" w:type="pct"/>
            <w:shd w:val="clear" w:color="auto" w:fill="FFFFFF"/>
            <w:vAlign w:val="center"/>
          </w:tcPr>
          <w:p w14:paraId="7D39A5C2" w14:textId="77777777" w:rsidR="00E03711" w:rsidRPr="00F769E0" w:rsidRDefault="00E03711" w:rsidP="001F1A0E">
            <w:pPr>
              <w:pStyle w:val="GUIDE-NORMAL"/>
              <w:jc w:val="left"/>
              <w:rPr>
                <w:rFonts w:cs="Tahoma"/>
                <w:b/>
                <w:lang w:val="sl-SI" w:eastAsia="en-GB"/>
              </w:rPr>
            </w:pPr>
            <w:r w:rsidRPr="00F769E0">
              <w:rPr>
                <w:rFonts w:cs="Tahoma"/>
                <w:b/>
                <w:lang w:val="sl-SI" w:eastAsia="en-GB"/>
              </w:rPr>
              <w:t>Učinek in razširjanje (največ 30 točk)</w:t>
            </w:r>
          </w:p>
        </w:tc>
        <w:tc>
          <w:tcPr>
            <w:tcW w:w="4156" w:type="pct"/>
            <w:shd w:val="clear" w:color="auto" w:fill="FFFFFF"/>
          </w:tcPr>
          <w:p w14:paraId="7D39A5C3" w14:textId="77777777" w:rsidR="00E03711" w:rsidRPr="00217849" w:rsidRDefault="00E03711" w:rsidP="005115F2">
            <w:pPr>
              <w:pStyle w:val="Guide-ListDash"/>
              <w:numPr>
                <w:ilvl w:val="0"/>
                <w:numId w:val="415"/>
              </w:numPr>
              <w:tabs>
                <w:tab w:val="clear" w:pos="720"/>
                <w:tab w:val="num" w:pos="322"/>
              </w:tabs>
              <w:ind w:left="322" w:hanging="322"/>
              <w:rPr>
                <w:lang w:val="sl-SI"/>
              </w:rPr>
            </w:pPr>
            <w:r w:rsidRPr="00217849">
              <w:rPr>
                <w:lang w:val="sl-SI"/>
              </w:rPr>
              <w:t>kakovost ukrepov za ocenjevanje rezultatov projekta;</w:t>
            </w:r>
          </w:p>
          <w:p w14:paraId="7D39A5C4" w14:textId="77777777" w:rsidR="00E03711" w:rsidRPr="001048FE" w:rsidRDefault="00E03711" w:rsidP="005115F2">
            <w:pPr>
              <w:pStyle w:val="Guide-ListDash"/>
              <w:numPr>
                <w:ilvl w:val="0"/>
                <w:numId w:val="415"/>
              </w:numPr>
              <w:tabs>
                <w:tab w:val="clear" w:pos="720"/>
                <w:tab w:val="num" w:pos="322"/>
              </w:tabs>
              <w:ind w:left="322" w:hanging="322"/>
            </w:pPr>
            <w:r w:rsidRPr="001048FE">
              <w:t>morebitni učinek projekta:</w:t>
            </w:r>
          </w:p>
          <w:p w14:paraId="7D39A5C5" w14:textId="77777777" w:rsidR="00E03711" w:rsidRPr="001048FE" w:rsidRDefault="00E03711" w:rsidP="00FD4DA2">
            <w:pPr>
              <w:pStyle w:val="Guide-ListDash"/>
              <w:rPr>
                <w:lang w:val="sl-SI"/>
              </w:rPr>
            </w:pPr>
            <w:r w:rsidRPr="001048FE">
              <w:rPr>
                <w:lang w:val="sl-SI"/>
              </w:rPr>
              <w:t>na udeležence in sodelujoče organizacije med življenjskim ciklom projekta in po njem;</w:t>
            </w:r>
          </w:p>
          <w:p w14:paraId="7D39A5C6" w14:textId="77777777" w:rsidR="00E03711" w:rsidRPr="001048FE" w:rsidRDefault="00E03711" w:rsidP="00FD4DA2">
            <w:pPr>
              <w:pStyle w:val="Guide-ListDash"/>
              <w:rPr>
                <w:lang w:val="sl-SI"/>
              </w:rPr>
            </w:pPr>
            <w:r w:rsidRPr="001048FE">
              <w:rPr>
                <w:lang w:val="sl-SI"/>
              </w:rPr>
              <w:t>na druga področja, poleg organizacij in posameznikov, ki neposredno sodelujejo v projektu, na lokalni, regionalni, nacionalni in/ali evropski ravni;</w:t>
            </w:r>
          </w:p>
          <w:p w14:paraId="7D39A5C7" w14:textId="77777777" w:rsidR="00E03711" w:rsidRPr="00217849" w:rsidRDefault="00E03711" w:rsidP="005115F2">
            <w:pPr>
              <w:pStyle w:val="Guide-ListDash"/>
              <w:numPr>
                <w:ilvl w:val="0"/>
                <w:numId w:val="415"/>
              </w:numPr>
              <w:tabs>
                <w:tab w:val="clear" w:pos="720"/>
                <w:tab w:val="num" w:pos="322"/>
              </w:tabs>
              <w:ind w:left="322" w:hanging="322"/>
              <w:rPr>
                <w:lang w:val="sl-SI"/>
              </w:rPr>
            </w:pPr>
            <w:r w:rsidRPr="00217849">
              <w:rPr>
                <w:lang w:val="sl-SI"/>
              </w:rPr>
              <w:t>kakovost načrta za razširjanje: ustreznost in kakovost ukrepov, katerih cilj je izmenjava rezultatov projekta v sodelujočih organizacijah in drugod;</w:t>
            </w:r>
          </w:p>
          <w:p w14:paraId="7D39A5C8" w14:textId="77777777" w:rsidR="00E03711" w:rsidRPr="00217849" w:rsidRDefault="00E03711" w:rsidP="005115F2">
            <w:pPr>
              <w:pStyle w:val="Guide-ListDash"/>
              <w:numPr>
                <w:ilvl w:val="0"/>
                <w:numId w:val="415"/>
              </w:numPr>
              <w:tabs>
                <w:tab w:val="clear" w:pos="720"/>
                <w:tab w:val="num" w:pos="322"/>
              </w:tabs>
              <w:ind w:left="322" w:hanging="322"/>
              <w:rPr>
                <w:lang w:val="sl-SI"/>
              </w:rPr>
            </w:pPr>
            <w:r w:rsidRPr="00217849">
              <w:rPr>
                <w:lang w:val="sl-SI"/>
              </w:rPr>
              <w:t>kakovost ukrepov za zagotavljanje prepoznavnosti ter medijsko poročanje o prireditvi in podpori EU.</w:t>
            </w:r>
          </w:p>
        </w:tc>
      </w:tr>
    </w:tbl>
    <w:p w14:paraId="7D39A5CA" w14:textId="77777777" w:rsidR="00E03711" w:rsidRPr="001048FE" w:rsidRDefault="00E03711" w:rsidP="00FD4DA2">
      <w:pPr>
        <w:pStyle w:val="GUIDE-NORMAL"/>
        <w:rPr>
          <w:lang w:val="sl-SI"/>
        </w:rPr>
      </w:pPr>
      <w:r w:rsidRPr="001048FE">
        <w:rPr>
          <w:lang w:val="sl-SI"/>
        </w:rPr>
        <w:t>Za upoštevanje pri dodeljevanju sredstev morajo predlogi doseči vsaj 60 točk. Poleg tega morajo doseči vsaj polovico vseh možnih točk v vsaki od navedenih kategorij meril za dodelitev (tj. vsaj 15 točk za kategoriji „Ustreznost projekta“ ter „Učinek in razširjanje“; 20 točk za kategorijo „Kakovost zasnove in izvedbe projekta“).</w:t>
      </w:r>
    </w:p>
    <w:p w14:paraId="7D39A5CB" w14:textId="77777777" w:rsidR="00E03711" w:rsidRDefault="00E03711">
      <w:pPr>
        <w:widowControl/>
        <w:suppressAutoHyphens w:val="0"/>
        <w:autoSpaceDN/>
        <w:textAlignment w:val="auto"/>
        <w:rPr>
          <w:rFonts w:eastAsia="Times New Roman"/>
          <w:b/>
          <w:smallCaps/>
          <w:szCs w:val="20"/>
          <w:lang w:val="sl-SI"/>
        </w:rPr>
        <w:sectPr w:rsidR="00E03711" w:rsidSect="00E15ED3">
          <w:endnotePr>
            <w:numFmt w:val="decimal"/>
          </w:endnotePr>
          <w:pgSz w:w="11910" w:h="16840" w:code="9"/>
          <w:pgMar w:top="1134" w:right="1418" w:bottom="1134" w:left="1418" w:header="284" w:footer="567" w:gutter="0"/>
          <w:cols w:space="720"/>
          <w:docGrid w:linePitch="326"/>
        </w:sectPr>
      </w:pPr>
      <w:bookmarkStart w:id="384" w:name="Quelles_sont_les_règles_de_financement?"/>
      <w:bookmarkEnd w:id="384"/>
    </w:p>
    <w:p w14:paraId="7D39A5CC" w14:textId="77777777" w:rsidR="00E03711" w:rsidRPr="001048FE" w:rsidRDefault="00E03711" w:rsidP="00482800">
      <w:pPr>
        <w:pStyle w:val="Guide-Heading4"/>
        <w:rPr>
          <w:lang w:val="sl-SI"/>
        </w:rPr>
      </w:pPr>
      <w:bookmarkStart w:id="385" w:name="_Toc527401227"/>
      <w:r w:rsidRPr="001048FE">
        <w:rPr>
          <w:lang w:val="sl-SI"/>
        </w:rPr>
        <w:t>Kakšna so pravila za dodelitev sredstev?</w:t>
      </w:r>
      <w:bookmarkEnd w:id="385"/>
    </w:p>
    <w:p w14:paraId="7D39A5CD" w14:textId="77777777" w:rsidR="00E03711" w:rsidRPr="001048FE" w:rsidRDefault="00E03711" w:rsidP="00482800">
      <w:pPr>
        <w:pStyle w:val="GUIDE-NORMAL"/>
        <w:rPr>
          <w:lang w:val="sl-SI"/>
        </w:rPr>
      </w:pPr>
      <w:r w:rsidRPr="001048FE">
        <w:rPr>
          <w:lang w:val="sl-SI"/>
        </w:rPr>
        <w:t>Proračun projekta je treba pripraviti v skladu z naslednjimi pravili za dodelitev sredstev (v EUR):</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1476"/>
        <w:gridCol w:w="6326"/>
        <w:gridCol w:w="2135"/>
        <w:gridCol w:w="3165"/>
        <w:gridCol w:w="1686"/>
      </w:tblGrid>
      <w:tr w:rsidR="00E03711" w:rsidRPr="008C6F8C" w14:paraId="7D39A5D2" w14:textId="77777777" w:rsidTr="00073E87">
        <w:trPr>
          <w:trHeight w:val="397"/>
        </w:trPr>
        <w:tc>
          <w:tcPr>
            <w:tcW w:w="2638" w:type="pct"/>
            <w:gridSpan w:val="2"/>
            <w:shd w:val="clear" w:color="auto" w:fill="auto"/>
            <w:vAlign w:val="center"/>
          </w:tcPr>
          <w:p w14:paraId="7D39A5CE" w14:textId="77777777" w:rsidR="00E03711" w:rsidRPr="00F769E0" w:rsidRDefault="00E03711" w:rsidP="009822C0">
            <w:pPr>
              <w:pStyle w:val="GUIDE-NORMAL"/>
              <w:spacing w:before="60" w:after="60"/>
              <w:jc w:val="center"/>
              <w:rPr>
                <w:rFonts w:cs="Tahoma"/>
                <w:b/>
                <w:lang w:val="sl-SI" w:eastAsia="en-GB"/>
              </w:rPr>
            </w:pPr>
            <w:r w:rsidRPr="00F769E0">
              <w:rPr>
                <w:rFonts w:cs="Tahoma"/>
                <w:b/>
                <w:lang w:val="sl-SI" w:eastAsia="en-GB"/>
              </w:rPr>
              <w:t>Upravičeni stroški</w:t>
            </w:r>
          </w:p>
        </w:tc>
        <w:tc>
          <w:tcPr>
            <w:tcW w:w="722" w:type="pct"/>
            <w:shd w:val="clear" w:color="auto" w:fill="auto"/>
            <w:vAlign w:val="center"/>
          </w:tcPr>
          <w:p w14:paraId="7D39A5CF" w14:textId="77777777" w:rsidR="00E03711" w:rsidRPr="00F769E0" w:rsidRDefault="00E03711" w:rsidP="009822C0">
            <w:pPr>
              <w:pStyle w:val="GUIDE-NORMAL"/>
              <w:spacing w:before="60" w:after="60"/>
              <w:jc w:val="center"/>
              <w:rPr>
                <w:rFonts w:cs="Tahoma"/>
                <w:b/>
                <w:lang w:val="sl-SI" w:eastAsia="en-GB"/>
              </w:rPr>
            </w:pPr>
            <w:r w:rsidRPr="00F769E0">
              <w:rPr>
                <w:rFonts w:cs="Tahoma"/>
                <w:b/>
                <w:lang w:val="sl-SI" w:eastAsia="en-GB"/>
              </w:rPr>
              <w:t>Mehanizem financiranja</w:t>
            </w:r>
          </w:p>
        </w:tc>
        <w:tc>
          <w:tcPr>
            <w:tcW w:w="1070" w:type="pct"/>
            <w:shd w:val="clear" w:color="auto" w:fill="auto"/>
            <w:vAlign w:val="center"/>
          </w:tcPr>
          <w:p w14:paraId="7D39A5D0" w14:textId="77777777" w:rsidR="00E03711" w:rsidRPr="00F769E0" w:rsidRDefault="00E03711" w:rsidP="009822C0">
            <w:pPr>
              <w:pStyle w:val="GUIDE-NORMAL"/>
              <w:spacing w:before="60" w:after="60"/>
              <w:jc w:val="center"/>
              <w:rPr>
                <w:rFonts w:cs="Tahoma"/>
                <w:b/>
                <w:lang w:val="sl-SI" w:eastAsia="en-GB"/>
              </w:rPr>
            </w:pPr>
            <w:r w:rsidRPr="00F769E0">
              <w:rPr>
                <w:rFonts w:cs="Tahoma"/>
                <w:b/>
                <w:lang w:val="sl-SI" w:eastAsia="en-GB"/>
              </w:rPr>
              <w:t>Znesek</w:t>
            </w:r>
          </w:p>
        </w:tc>
        <w:tc>
          <w:tcPr>
            <w:tcW w:w="570" w:type="pct"/>
            <w:shd w:val="clear" w:color="auto" w:fill="auto"/>
            <w:vAlign w:val="center"/>
          </w:tcPr>
          <w:p w14:paraId="7D39A5D1" w14:textId="77777777" w:rsidR="00E03711" w:rsidRPr="00F769E0" w:rsidRDefault="00E03711" w:rsidP="009822C0">
            <w:pPr>
              <w:pStyle w:val="GUIDE-NORMAL"/>
              <w:spacing w:before="60" w:after="60"/>
              <w:jc w:val="center"/>
              <w:rPr>
                <w:rFonts w:cs="Tahoma"/>
                <w:b/>
                <w:lang w:val="sl-SI" w:eastAsia="en-GB"/>
              </w:rPr>
            </w:pPr>
            <w:r w:rsidRPr="00F769E0">
              <w:rPr>
                <w:rFonts w:cs="Tahoma"/>
                <w:b/>
                <w:lang w:val="sl-SI" w:eastAsia="en-GB"/>
              </w:rPr>
              <w:t>Pravilo dodelitve</w:t>
            </w:r>
          </w:p>
        </w:tc>
      </w:tr>
      <w:tr w:rsidR="00E03711" w:rsidRPr="002C560E" w14:paraId="7D39A5EB" w14:textId="77777777" w:rsidTr="00073E87">
        <w:trPr>
          <w:trHeight w:val="227"/>
        </w:trPr>
        <w:tc>
          <w:tcPr>
            <w:tcW w:w="499" w:type="pct"/>
            <w:shd w:val="clear" w:color="auto" w:fill="auto"/>
            <w:vAlign w:val="center"/>
          </w:tcPr>
          <w:p w14:paraId="7D39A5D3" w14:textId="77777777" w:rsidR="00E03711" w:rsidRPr="00F769E0" w:rsidRDefault="00E03711" w:rsidP="009822C0">
            <w:pPr>
              <w:pStyle w:val="GUIDE-NORMAL"/>
              <w:spacing w:before="60" w:after="60"/>
              <w:jc w:val="left"/>
              <w:rPr>
                <w:rFonts w:cs="Tahoma"/>
                <w:b/>
                <w:lang w:val="sl-SI" w:eastAsia="en-GB"/>
              </w:rPr>
            </w:pPr>
            <w:r w:rsidRPr="00F769E0">
              <w:rPr>
                <w:rFonts w:cs="Tahoma"/>
                <w:b/>
                <w:lang w:val="sl-SI" w:eastAsia="en-GB"/>
              </w:rPr>
              <w:t>Stroški aktiv-nosti</w:t>
            </w:r>
          </w:p>
        </w:tc>
        <w:tc>
          <w:tcPr>
            <w:tcW w:w="2139" w:type="pct"/>
            <w:shd w:val="clear" w:color="auto" w:fill="auto"/>
            <w:vAlign w:val="center"/>
          </w:tcPr>
          <w:p w14:paraId="7D39A5D4" w14:textId="77777777" w:rsidR="00E03711" w:rsidRPr="00F769E0" w:rsidRDefault="00E03711" w:rsidP="009822C0">
            <w:pPr>
              <w:pStyle w:val="GUIDE-NORMAL"/>
              <w:spacing w:before="60" w:after="60"/>
              <w:jc w:val="left"/>
              <w:rPr>
                <w:rFonts w:cs="Tahoma"/>
                <w:lang w:val="sl-SI" w:eastAsia="en-GB"/>
              </w:rPr>
            </w:pPr>
            <w:r w:rsidRPr="00F769E0">
              <w:rPr>
                <w:rFonts w:cs="Tahoma"/>
                <w:lang w:val="sl-SI" w:eastAsia="en-GB"/>
              </w:rPr>
              <w:t>Stroški, neposredno povezani z izvajanjem dopolnilnih aktivnosti projekta, vključno z naslednjimi:</w:t>
            </w:r>
          </w:p>
          <w:p w14:paraId="7D39A5D5" w14:textId="77777777" w:rsidR="00E03711" w:rsidRPr="00F769E0" w:rsidRDefault="00E03711" w:rsidP="009822C0">
            <w:pPr>
              <w:pStyle w:val="GUIDE-NORMAL"/>
              <w:spacing w:before="60" w:after="60"/>
              <w:jc w:val="left"/>
              <w:rPr>
                <w:rFonts w:cs="Tahoma"/>
                <w:lang w:val="sl-SI" w:eastAsia="en-GB"/>
              </w:rPr>
            </w:pPr>
            <w:r w:rsidRPr="00F769E0">
              <w:rPr>
                <w:rFonts w:cs="Tahoma"/>
                <w:lang w:val="sl-SI" w:eastAsia="en-GB"/>
              </w:rPr>
              <w:t>upravičeni neposredni stroški:</w:t>
            </w:r>
          </w:p>
          <w:p w14:paraId="7D39A5D6" w14:textId="77777777" w:rsidR="00E03711" w:rsidRPr="001048FE" w:rsidRDefault="00E03711" w:rsidP="005115F2">
            <w:pPr>
              <w:pStyle w:val="Guide-NormalBulletpoints"/>
              <w:numPr>
                <w:ilvl w:val="0"/>
                <w:numId w:val="416"/>
              </w:numPr>
              <w:spacing w:before="60"/>
              <w:rPr>
                <w:lang w:val="sl-SI"/>
              </w:rPr>
            </w:pPr>
            <w:r w:rsidRPr="001048FE">
              <w:rPr>
                <w:lang w:val="sl-SI"/>
              </w:rPr>
              <w:t>osebje;</w:t>
            </w:r>
          </w:p>
          <w:p w14:paraId="7D39A5D7" w14:textId="77777777" w:rsidR="00E03711" w:rsidRPr="001048FE" w:rsidRDefault="00E03711" w:rsidP="005115F2">
            <w:pPr>
              <w:pStyle w:val="Guide-NormalBulletpoints"/>
              <w:numPr>
                <w:ilvl w:val="0"/>
                <w:numId w:val="416"/>
              </w:numPr>
              <w:spacing w:before="60"/>
              <w:rPr>
                <w:lang w:val="sl-SI"/>
              </w:rPr>
            </w:pPr>
            <w:r w:rsidRPr="001048FE">
              <w:rPr>
                <w:lang w:val="sl-SI"/>
              </w:rPr>
              <w:t>potni stroški in stroški bivanja;</w:t>
            </w:r>
          </w:p>
          <w:p w14:paraId="7D39A5D8" w14:textId="77777777" w:rsidR="00E03711" w:rsidRPr="001048FE" w:rsidRDefault="00E03711" w:rsidP="005115F2">
            <w:pPr>
              <w:pStyle w:val="Guide-NormalBulletpoints"/>
              <w:numPr>
                <w:ilvl w:val="0"/>
                <w:numId w:val="416"/>
              </w:numPr>
              <w:spacing w:before="60"/>
              <w:rPr>
                <w:lang w:val="sl-SI"/>
              </w:rPr>
            </w:pPr>
            <w:r w:rsidRPr="001048FE">
              <w:rPr>
                <w:lang w:val="sl-SI"/>
              </w:rPr>
              <w:t>oprema;</w:t>
            </w:r>
          </w:p>
          <w:p w14:paraId="7D39A5D9" w14:textId="77777777" w:rsidR="00E03711" w:rsidRPr="001048FE" w:rsidRDefault="00E03711" w:rsidP="005115F2">
            <w:pPr>
              <w:pStyle w:val="Guide-NormalBulletpoints"/>
              <w:numPr>
                <w:ilvl w:val="0"/>
                <w:numId w:val="416"/>
              </w:numPr>
              <w:spacing w:before="60"/>
              <w:rPr>
                <w:lang w:val="sl-SI"/>
              </w:rPr>
            </w:pPr>
            <w:r w:rsidRPr="001048FE">
              <w:rPr>
                <w:lang w:val="sl-SI"/>
              </w:rPr>
              <w:t>potrošni material in dobava;</w:t>
            </w:r>
          </w:p>
          <w:p w14:paraId="7D39A5DA" w14:textId="77777777" w:rsidR="00E03711" w:rsidRPr="001048FE" w:rsidRDefault="00E03711" w:rsidP="005115F2">
            <w:pPr>
              <w:pStyle w:val="Guide-NormalBulletpoints"/>
              <w:numPr>
                <w:ilvl w:val="0"/>
                <w:numId w:val="416"/>
              </w:numPr>
              <w:spacing w:before="60"/>
              <w:rPr>
                <w:lang w:val="sl-SI"/>
              </w:rPr>
            </w:pPr>
            <w:r w:rsidRPr="001048FE">
              <w:rPr>
                <w:lang w:val="sl-SI"/>
              </w:rPr>
              <w:t>oddaja naročil podizvajalcem;</w:t>
            </w:r>
          </w:p>
          <w:p w14:paraId="7D39A5DB" w14:textId="77777777" w:rsidR="00E03711" w:rsidRPr="001048FE" w:rsidRDefault="00E03711" w:rsidP="005115F2">
            <w:pPr>
              <w:pStyle w:val="Guide-NormalBulletpoints"/>
              <w:numPr>
                <w:ilvl w:val="0"/>
                <w:numId w:val="416"/>
              </w:numPr>
              <w:spacing w:before="60"/>
              <w:rPr>
                <w:lang w:val="sl-SI"/>
              </w:rPr>
            </w:pPr>
            <w:r w:rsidRPr="001048FE">
              <w:rPr>
                <w:lang w:val="sl-SI"/>
              </w:rPr>
              <w:t>dajatve, davki in stroški;</w:t>
            </w:r>
          </w:p>
          <w:p w14:paraId="7D39A5DC" w14:textId="77777777" w:rsidR="00E03711" w:rsidRPr="001048FE" w:rsidRDefault="00E03711" w:rsidP="005115F2">
            <w:pPr>
              <w:pStyle w:val="Guide-NormalBulletpoints"/>
              <w:numPr>
                <w:ilvl w:val="0"/>
                <w:numId w:val="416"/>
              </w:numPr>
              <w:spacing w:before="60"/>
              <w:rPr>
                <w:lang w:val="sl-SI"/>
              </w:rPr>
            </w:pPr>
            <w:r w:rsidRPr="001048FE">
              <w:rPr>
                <w:lang w:val="sl-SI"/>
              </w:rPr>
              <w:t>drugi stroški.</w:t>
            </w:r>
          </w:p>
          <w:p w14:paraId="7D39A5DD" w14:textId="77777777" w:rsidR="00E03711" w:rsidRPr="00F769E0" w:rsidRDefault="00E03711" w:rsidP="009822C0">
            <w:pPr>
              <w:pStyle w:val="GUIDE-NORMAL"/>
              <w:spacing w:before="60" w:after="60"/>
              <w:jc w:val="left"/>
              <w:rPr>
                <w:rFonts w:cs="Tahoma"/>
                <w:lang w:val="sl-SI" w:eastAsia="en-GB"/>
              </w:rPr>
            </w:pPr>
            <w:r w:rsidRPr="00F769E0">
              <w:rPr>
                <w:rFonts w:cs="Tahoma"/>
                <w:lang w:val="sl-SI" w:eastAsia="en-GB"/>
              </w:rPr>
              <w:t>Posredni stroški:</w:t>
            </w:r>
          </w:p>
          <w:p w14:paraId="7D39A5DE" w14:textId="77777777" w:rsidR="00E03711" w:rsidRPr="00F769E0" w:rsidRDefault="00E03711" w:rsidP="009822C0">
            <w:pPr>
              <w:pStyle w:val="GUIDE-NORMAL"/>
              <w:spacing w:before="60" w:after="60"/>
              <w:jc w:val="left"/>
              <w:rPr>
                <w:rFonts w:cs="Tahoma"/>
                <w:lang w:val="sl-SI" w:eastAsia="en-GB"/>
              </w:rPr>
            </w:pPr>
            <w:r w:rsidRPr="00FC4A70">
              <w:rPr>
                <w:rFonts w:eastAsia="Calibri" w:cs="Calibri"/>
                <w:bdr w:val="nil"/>
                <w:shd w:val="clear" w:color="auto" w:fill="auto"/>
                <w:lang w:val="sl-SI"/>
              </w:rPr>
              <w:t>Pavšalni znesek, ki ne presega 7 % upravičenih neposrednih stroškov projekta, je upravičen v okviru posrednih stroškov in predstavlja splošne administrativne stroške upravičenca, ki niso že zdaj kriti iz upravičenih neposrednih stroškov (npr. računi za elektriko ali internet, stroški prostorov itd.), a jih je mogoče obračunati pri projektu.</w:t>
            </w:r>
          </w:p>
        </w:tc>
        <w:tc>
          <w:tcPr>
            <w:tcW w:w="722" w:type="pct"/>
            <w:shd w:val="clear" w:color="auto" w:fill="auto"/>
            <w:vAlign w:val="center"/>
          </w:tcPr>
          <w:p w14:paraId="7D39A5DF" w14:textId="77777777" w:rsidR="00E03711" w:rsidRPr="00F769E0" w:rsidRDefault="00E03711" w:rsidP="009822C0">
            <w:pPr>
              <w:pStyle w:val="GUIDE-NORMAL"/>
              <w:spacing w:before="60" w:after="60"/>
              <w:jc w:val="left"/>
              <w:rPr>
                <w:rFonts w:cs="Tahoma"/>
                <w:lang w:val="sl-SI" w:eastAsia="en-GB"/>
              </w:rPr>
            </w:pPr>
          </w:p>
          <w:p w14:paraId="7D39A5E0" w14:textId="77777777" w:rsidR="00E03711" w:rsidRPr="00F769E0" w:rsidRDefault="00E03711" w:rsidP="009822C0">
            <w:pPr>
              <w:pStyle w:val="GUIDE-NORMAL"/>
              <w:spacing w:before="60" w:after="60"/>
              <w:jc w:val="left"/>
              <w:rPr>
                <w:rFonts w:cs="Tahoma"/>
                <w:lang w:val="sl-SI" w:eastAsia="en-GB"/>
              </w:rPr>
            </w:pPr>
            <w:r w:rsidRPr="00F769E0">
              <w:rPr>
                <w:rFonts w:cs="Tahoma"/>
                <w:lang w:val="sl-SI" w:eastAsia="en-GB"/>
              </w:rPr>
              <w:t>Dejanski stroški</w:t>
            </w:r>
          </w:p>
        </w:tc>
        <w:tc>
          <w:tcPr>
            <w:tcW w:w="1070" w:type="pct"/>
            <w:shd w:val="clear" w:color="auto" w:fill="auto"/>
            <w:vAlign w:val="center"/>
          </w:tcPr>
          <w:p w14:paraId="7D39A5E1" w14:textId="77777777" w:rsidR="00E03711" w:rsidRDefault="00E03711" w:rsidP="009A2706">
            <w:pPr>
              <w:rPr>
                <w:snapToGrid w:val="0"/>
                <w:sz w:val="18"/>
                <w:szCs w:val="18"/>
              </w:rPr>
            </w:pPr>
            <w:r>
              <w:rPr>
                <w:snapToGrid w:val="0"/>
                <w:sz w:val="18"/>
              </w:rPr>
              <w:t xml:space="preserve">Najvišja dodeljena nepovratna sredstva: </w:t>
            </w:r>
          </w:p>
          <w:p w14:paraId="7D39A5E2" w14:textId="77777777" w:rsidR="00E03711" w:rsidRPr="0019773D" w:rsidRDefault="00E03711" w:rsidP="009A2706">
            <w:pPr>
              <w:rPr>
                <w:b/>
                <w:snapToGrid w:val="0"/>
                <w:sz w:val="18"/>
                <w:szCs w:val="18"/>
              </w:rPr>
            </w:pPr>
          </w:p>
          <w:p w14:paraId="7D39A5E3" w14:textId="77777777" w:rsidR="00E03711" w:rsidRPr="00C60205" w:rsidRDefault="00E03711" w:rsidP="002D7FF4">
            <w:pPr>
              <w:numPr>
                <w:ilvl w:val="0"/>
                <w:numId w:val="58"/>
              </w:numPr>
              <w:jc w:val="both"/>
              <w:rPr>
                <w:snapToGrid w:val="0"/>
                <w:sz w:val="18"/>
                <w:szCs w:val="18"/>
              </w:rPr>
            </w:pPr>
            <w:r w:rsidRPr="00C60205">
              <w:rPr>
                <w:sz w:val="18"/>
              </w:rPr>
              <w:t xml:space="preserve">za neprofitne evropske športne prireditve, organizirane med evropskim tednom športa: </w:t>
            </w:r>
            <w:r w:rsidRPr="00C60205">
              <w:rPr>
                <w:b/>
                <w:snapToGrid w:val="0"/>
                <w:sz w:val="18"/>
              </w:rPr>
              <w:t xml:space="preserve">300 000 EUR; </w:t>
            </w:r>
          </w:p>
          <w:p w14:paraId="7D39A5E4" w14:textId="77777777" w:rsidR="00E03711" w:rsidRPr="00C60205" w:rsidRDefault="00E03711" w:rsidP="009A2706">
            <w:pPr>
              <w:ind w:left="360"/>
              <w:rPr>
                <w:snapToGrid w:val="0"/>
                <w:sz w:val="18"/>
                <w:szCs w:val="18"/>
              </w:rPr>
            </w:pPr>
          </w:p>
          <w:p w14:paraId="7D39A5E5" w14:textId="77777777" w:rsidR="00E03711" w:rsidRPr="00C60205" w:rsidRDefault="00E03711" w:rsidP="002D7FF4">
            <w:pPr>
              <w:numPr>
                <w:ilvl w:val="0"/>
                <w:numId w:val="58"/>
              </w:numPr>
              <w:jc w:val="both"/>
              <w:rPr>
                <w:snapToGrid w:val="0"/>
                <w:sz w:val="18"/>
                <w:szCs w:val="18"/>
              </w:rPr>
            </w:pPr>
            <w:r w:rsidRPr="00C60205">
              <w:rPr>
                <w:sz w:val="18"/>
              </w:rPr>
              <w:t>za neprofitne evropske športne prireditve, ki niso povezane z evropskim tednom športa:</w:t>
            </w:r>
            <w:r w:rsidRPr="00C60205">
              <w:rPr>
                <w:b/>
                <w:snapToGrid w:val="0"/>
                <w:sz w:val="18"/>
              </w:rPr>
              <w:t xml:space="preserve">  </w:t>
            </w:r>
          </w:p>
          <w:p w14:paraId="7D39A5E6" w14:textId="77777777" w:rsidR="00E03711" w:rsidRPr="00C60205" w:rsidRDefault="00E03711" w:rsidP="009A2706">
            <w:pPr>
              <w:ind w:left="360"/>
              <w:rPr>
                <w:snapToGrid w:val="0"/>
                <w:sz w:val="18"/>
                <w:szCs w:val="18"/>
              </w:rPr>
            </w:pPr>
          </w:p>
          <w:p w14:paraId="7D39A5E7" w14:textId="77777777" w:rsidR="00E03711" w:rsidRPr="00FC4A70" w:rsidRDefault="00E03711" w:rsidP="002D7FF4">
            <w:pPr>
              <w:numPr>
                <w:ilvl w:val="0"/>
                <w:numId w:val="59"/>
              </w:numPr>
              <w:jc w:val="both"/>
              <w:rPr>
                <w:snapToGrid w:val="0"/>
                <w:sz w:val="18"/>
                <w:szCs w:val="18"/>
                <w:lang w:val="pl-PL"/>
              </w:rPr>
            </w:pPr>
            <w:r w:rsidRPr="00FC4A70">
              <w:rPr>
                <w:snapToGrid w:val="0"/>
                <w:sz w:val="18"/>
                <w:lang w:val="pl-PL"/>
              </w:rPr>
              <w:t>srednje obsežni dogodki:</w:t>
            </w:r>
            <w:r w:rsidRPr="00FC4A70">
              <w:rPr>
                <w:b/>
                <w:snapToGrid w:val="0"/>
                <w:sz w:val="18"/>
                <w:lang w:val="pl-PL"/>
              </w:rPr>
              <w:t xml:space="preserve"> največ 500 000 EUR; </w:t>
            </w:r>
          </w:p>
          <w:p w14:paraId="7D39A5E8" w14:textId="77777777" w:rsidR="00E03711" w:rsidRPr="00FC4A70" w:rsidRDefault="00E03711" w:rsidP="00FC4A70">
            <w:pPr>
              <w:pStyle w:val="ListParagraph"/>
              <w:jc w:val="both"/>
              <w:textAlignment w:val="auto"/>
              <w:rPr>
                <w:snapToGrid w:val="0"/>
                <w:sz w:val="18"/>
                <w:szCs w:val="18"/>
                <w:lang w:val="pl-PL"/>
              </w:rPr>
            </w:pPr>
          </w:p>
          <w:p w14:paraId="7D39A5E9" w14:textId="77777777" w:rsidR="00E03711" w:rsidRPr="00F769E0" w:rsidRDefault="00E03711" w:rsidP="009822C0">
            <w:pPr>
              <w:pStyle w:val="GUIDE-NORMAL"/>
              <w:spacing w:before="60" w:after="60"/>
              <w:jc w:val="left"/>
              <w:rPr>
                <w:rFonts w:cs="Tahoma"/>
                <w:lang w:val="sl-SI" w:eastAsia="en-GB"/>
              </w:rPr>
            </w:pPr>
            <w:r w:rsidRPr="00F769E0">
              <w:rPr>
                <w:rFonts w:cs="Tahoma"/>
                <w:lang w:val="sl-SI" w:eastAsia="en-GB"/>
              </w:rPr>
              <w:t>Največ 80 % skupnih upravičenih stroškov.</w:t>
            </w:r>
          </w:p>
        </w:tc>
        <w:tc>
          <w:tcPr>
            <w:tcW w:w="570" w:type="pct"/>
            <w:shd w:val="clear" w:color="auto" w:fill="auto"/>
            <w:vAlign w:val="center"/>
          </w:tcPr>
          <w:p w14:paraId="7D39A5EA" w14:textId="77777777" w:rsidR="00E03711" w:rsidRPr="00F769E0" w:rsidRDefault="00E03711" w:rsidP="009822C0">
            <w:pPr>
              <w:pStyle w:val="GUIDE-NORMAL"/>
              <w:spacing w:before="60" w:after="60"/>
              <w:jc w:val="left"/>
              <w:rPr>
                <w:rFonts w:cs="Tahoma"/>
                <w:lang w:val="sl-SI" w:eastAsia="en-GB"/>
              </w:rPr>
            </w:pPr>
            <w:r w:rsidRPr="00F769E0">
              <w:rPr>
                <w:rFonts w:cs="Tahoma"/>
                <w:lang w:val="sl-SI" w:eastAsia="en-GB"/>
              </w:rPr>
              <w:t>Pogoj: zahtevani proračun je upravičen glede na načrto-vane aktivnosti.</w:t>
            </w:r>
          </w:p>
        </w:tc>
      </w:tr>
    </w:tbl>
    <w:p w14:paraId="7D39A5EC" w14:textId="77777777" w:rsidR="00E03711" w:rsidRPr="001048FE" w:rsidRDefault="00E03711" w:rsidP="006F6C8B">
      <w:pPr>
        <w:pStyle w:val="GUIDE-NORMAL"/>
        <w:rPr>
          <w:lang w:val="sl-SI"/>
        </w:rPr>
      </w:pPr>
    </w:p>
    <w:p w14:paraId="7D39A5ED" w14:textId="77777777" w:rsidR="00E03711" w:rsidRPr="001048FE" w:rsidRDefault="00E03711" w:rsidP="006F6C8B">
      <w:pPr>
        <w:pStyle w:val="GUIDE-NORMAL"/>
        <w:rPr>
          <w:lang w:val="sl-SI"/>
        </w:rPr>
      </w:pPr>
    </w:p>
    <w:p w14:paraId="7D39A5EE" w14:textId="77777777" w:rsidR="00E03711" w:rsidRPr="001048FE" w:rsidRDefault="00E03711" w:rsidP="00DF0678">
      <w:pPr>
        <w:pStyle w:val="Guide-Heading1"/>
        <w:rPr>
          <w:lang w:val="sl-SI"/>
        </w:rPr>
        <w:sectPr w:rsidR="00E03711" w:rsidRPr="001048FE" w:rsidSect="00073E87">
          <w:endnotePr>
            <w:numFmt w:val="decimal"/>
          </w:endnotePr>
          <w:pgSz w:w="16840" w:h="11910" w:orient="landscape" w:code="9"/>
          <w:pgMar w:top="1418" w:right="1134" w:bottom="1418" w:left="1134" w:header="284" w:footer="567" w:gutter="0"/>
          <w:cols w:space="720"/>
          <w:docGrid w:linePitch="326"/>
        </w:sectPr>
      </w:pPr>
      <w:bookmarkStart w:id="386" w:name="Partie_C_–_Informations_pour_les_candida"/>
      <w:bookmarkStart w:id="387" w:name="_bookmark58"/>
      <w:bookmarkEnd w:id="386"/>
      <w:bookmarkEnd w:id="387"/>
    </w:p>
    <w:p w14:paraId="7D39A5EF" w14:textId="77777777" w:rsidR="00E03711" w:rsidRPr="001048FE" w:rsidRDefault="00E03711" w:rsidP="004B71A1">
      <w:pPr>
        <w:pStyle w:val="Guide-Heading1"/>
        <w:ind w:left="720"/>
        <w:jc w:val="left"/>
        <w:rPr>
          <w:lang w:val="sl-SI"/>
        </w:rPr>
      </w:pPr>
      <w:bookmarkStart w:id="388" w:name="_Toc527400936"/>
      <w:bookmarkStart w:id="389" w:name="_Toc527401228"/>
      <w:r w:rsidRPr="001048FE">
        <w:rPr>
          <w:lang w:val="sl-SI"/>
        </w:rPr>
        <w:t>Del C – Informacije za prijavitelje</w:t>
      </w:r>
      <w:bookmarkEnd w:id="388"/>
      <w:bookmarkEnd w:id="389"/>
    </w:p>
    <w:p w14:paraId="7D39A5F0" w14:textId="77777777" w:rsidR="00E03711" w:rsidRPr="001048FE" w:rsidRDefault="00E03711" w:rsidP="004F513A">
      <w:pPr>
        <w:pStyle w:val="GUIDE-NORMAL"/>
        <w:rPr>
          <w:lang w:val="sl-SI"/>
        </w:rPr>
      </w:pPr>
      <w:r w:rsidRPr="001048FE">
        <w:rPr>
          <w:lang w:val="sl-SI"/>
        </w:rPr>
        <w:t>Vse tiste organizacije (vključno z neformalnimi skupinami), ki nameravajo oddati predlog projekta za finančno podporo EU v okviru programa Erasmus+, naj si skrbno preberejo to poglavje, napisano v skladu z določbami</w:t>
      </w:r>
      <w:r>
        <w:rPr>
          <w:lang w:val="sl-SI"/>
        </w:rPr>
        <w:t xml:space="preserve"> veljavne</w:t>
      </w:r>
      <w:r w:rsidRPr="001048FE">
        <w:rPr>
          <w:lang w:val="sl-SI"/>
        </w:rPr>
        <w:t xml:space="preserve"> finančne uredbe</w:t>
      </w:r>
      <w:r w:rsidRPr="001048FE">
        <w:rPr>
          <w:rStyle w:val="FootnoteReference"/>
          <w:lang w:val="sl-SI"/>
        </w:rPr>
        <w:footnoteReference w:id="238"/>
      </w:r>
      <w:r w:rsidRPr="001048FE">
        <w:rPr>
          <w:lang w:val="sl-SI"/>
        </w:rPr>
        <w:t>, ki se uporablja za splošni proračun Evropske unije (v nadaljnjem besedilu: finančna uredba EU).</w:t>
      </w:r>
    </w:p>
    <w:p w14:paraId="7D39A5F1" w14:textId="77777777" w:rsidR="00E03711" w:rsidRPr="001048FE" w:rsidRDefault="00E03711" w:rsidP="004F513A">
      <w:pPr>
        <w:pStyle w:val="GUIDE-NORMAL"/>
        <w:rPr>
          <w:lang w:val="sl-SI"/>
        </w:rPr>
      </w:pPr>
      <w:r w:rsidRPr="001048FE">
        <w:rPr>
          <w:lang w:val="sl-SI"/>
        </w:rPr>
        <w:t>Posamezniki niso upravičeni do oddaje predlogov projektov v okviru programa Erasmus+, razen tisti, ki se prijavljajo v imenu skupine (vsaj štirih) mladih, ki so aktivni na področju mladinskega dela, vendar ne nujno v okviru mladinske organizacije (v nadaljnjem besedilu: neformalna skupina mladih).</w:t>
      </w:r>
    </w:p>
    <w:p w14:paraId="7D39A5F2" w14:textId="77777777" w:rsidR="00E03711" w:rsidRDefault="00E03711">
      <w:pPr>
        <w:pStyle w:val="Guide-Heading2"/>
        <w:rPr>
          <w:lang w:val="sl-SI"/>
        </w:rPr>
      </w:pPr>
      <w:bookmarkStart w:id="390" w:name="Quelle_est_la_procédure_à_suivre_pour_so"/>
      <w:bookmarkStart w:id="391" w:name="_bookmark59"/>
      <w:bookmarkStart w:id="392" w:name="_Toc527400937"/>
      <w:bookmarkStart w:id="393" w:name="_Toc527401229"/>
      <w:bookmarkEnd w:id="390"/>
      <w:bookmarkEnd w:id="391"/>
      <w:r w:rsidRPr="001048FE">
        <w:rPr>
          <w:lang w:val="sl-SI"/>
        </w:rPr>
        <w:t>Kaj je treba storiti za oddajo prijave za</w:t>
      </w:r>
      <w:bookmarkStart w:id="394" w:name="Kaj_je_treba_storiti_za_oddajo_prijave_z"/>
      <w:bookmarkEnd w:id="394"/>
      <w:r w:rsidRPr="001048FE">
        <w:rPr>
          <w:lang w:val="sl-SI"/>
        </w:rPr>
        <w:t xml:space="preserve"> Erasmus+?</w:t>
      </w:r>
      <w:bookmarkEnd w:id="392"/>
      <w:bookmarkEnd w:id="393"/>
    </w:p>
    <w:p w14:paraId="7D39A5F3" w14:textId="77777777" w:rsidR="00E03711" w:rsidRPr="001048FE" w:rsidRDefault="00E03711" w:rsidP="00030686">
      <w:pPr>
        <w:pStyle w:val="GUIDE-NORMAL"/>
        <w:rPr>
          <w:lang w:val="sl-SI"/>
        </w:rPr>
      </w:pPr>
      <w:r w:rsidRPr="001048FE">
        <w:rPr>
          <w:lang w:val="sl-SI"/>
        </w:rPr>
        <w:t xml:space="preserve">Za oddajo predloga projekta Erasmus+ morajo prijavitelji slediti naslednjim štirim korakom: </w:t>
      </w:r>
    </w:p>
    <w:p w14:paraId="7D39A5F4" w14:textId="77777777" w:rsidR="00E03711" w:rsidRPr="00860232" w:rsidRDefault="00E03711" w:rsidP="005115F2">
      <w:pPr>
        <w:pStyle w:val="Guide-NormalBulletpoints"/>
        <w:numPr>
          <w:ilvl w:val="0"/>
          <w:numId w:val="270"/>
        </w:numPr>
        <w:rPr>
          <w:lang w:val="sl-SI"/>
        </w:rPr>
      </w:pPr>
      <w:r w:rsidRPr="001048FE">
        <w:rPr>
          <w:lang w:val="sl-SI"/>
        </w:rPr>
        <w:t>vsaka organizacija, vključena v prijavo, se mora</w:t>
      </w:r>
      <w:r>
        <w:rPr>
          <w:lang w:val="sl-SI"/>
        </w:rPr>
        <w:t xml:space="preserve"> registrirati:</w:t>
      </w:r>
    </w:p>
    <w:p w14:paraId="7D39A5F5" w14:textId="77777777" w:rsidR="00E03711" w:rsidRDefault="00E03711" w:rsidP="005115F2">
      <w:pPr>
        <w:pStyle w:val="Guide-NormalBulletpoints"/>
        <w:numPr>
          <w:ilvl w:val="1"/>
          <w:numId w:val="270"/>
        </w:numPr>
        <w:rPr>
          <w:lang w:val="sl-SI"/>
        </w:rPr>
      </w:pPr>
      <w:r>
        <w:rPr>
          <w:lang w:val="sl-SI"/>
        </w:rPr>
        <w:t>Za ukrepe, ki jih upravlja izvajalska agencija, se morajo organizacije registrirati na portalu za financiranje in razpisne priložnosti</w:t>
      </w:r>
      <w:r w:rsidRPr="001048FE">
        <w:rPr>
          <w:lang w:val="sl-SI"/>
        </w:rPr>
        <w:t xml:space="preserve"> in mora</w:t>
      </w:r>
      <w:r>
        <w:rPr>
          <w:lang w:val="sl-SI"/>
        </w:rPr>
        <w:t>jo</w:t>
      </w:r>
      <w:r w:rsidRPr="001048FE">
        <w:rPr>
          <w:lang w:val="sl-SI"/>
        </w:rPr>
        <w:t xml:space="preserve"> prejeti identifikacijsko kodo udeleženca (PIC). Organizacijam/skupinam, ki so kodo PIC že prejele v okviru sodelovanja v drugih programih EU, se ni treba več registrirati. Koda PIC, pridobljena v okviru prejšnje registracije, se lahko uporablja tudi za prijavo v okviru programa Erasmus+.</w:t>
      </w:r>
    </w:p>
    <w:p w14:paraId="7D39A5F6" w14:textId="77777777" w:rsidR="00E03711" w:rsidRPr="001048FE" w:rsidRDefault="00E03711" w:rsidP="005115F2">
      <w:pPr>
        <w:pStyle w:val="Guide-NormalBulletpoints"/>
        <w:numPr>
          <w:ilvl w:val="1"/>
          <w:numId w:val="270"/>
        </w:numPr>
        <w:rPr>
          <w:lang w:val="sl-SI"/>
        </w:rPr>
      </w:pPr>
      <w:r>
        <w:rPr>
          <w:lang w:val="sl-SI"/>
        </w:rPr>
        <w:t>Za ukrepe, ki jih upravljajo nacionalne agencije, se morajo organizacije registrirati v sistemu za registracijo organizacij za Erasmus+ in evropsko solidarnostno enoto ter prejeti identifikacijsko kodo organizacije. Organizacije, ki imajo kodo PIC in so se že prej prijavile za financiranje v programih Erasmus+ ali evropske solidarnostne enote prek nacionalnih agencij, naj se ne registrirajo znova – identifikacijska koda organizacije jim bo dodeljena samodejno.</w:t>
      </w:r>
    </w:p>
    <w:p w14:paraId="7D39A5F7" w14:textId="77777777" w:rsidR="00E03711" w:rsidRPr="001048FE" w:rsidRDefault="00E03711" w:rsidP="005115F2">
      <w:pPr>
        <w:pStyle w:val="Guide-NormalBulletpoints"/>
        <w:numPr>
          <w:ilvl w:val="0"/>
          <w:numId w:val="270"/>
        </w:numPr>
        <w:rPr>
          <w:lang w:val="sl-SI"/>
        </w:rPr>
      </w:pPr>
      <w:r w:rsidRPr="001048FE">
        <w:rPr>
          <w:lang w:val="sl-SI"/>
        </w:rPr>
        <w:t>preverjanje skladnosti z merili Programa za ustrezen ukrep/področje;</w:t>
      </w:r>
    </w:p>
    <w:p w14:paraId="7D39A5F8" w14:textId="77777777" w:rsidR="00E03711" w:rsidRPr="001048FE" w:rsidRDefault="00E03711" w:rsidP="005115F2">
      <w:pPr>
        <w:pStyle w:val="Guide-NormalBulletpoints"/>
        <w:numPr>
          <w:ilvl w:val="0"/>
          <w:numId w:val="270"/>
        </w:numPr>
        <w:rPr>
          <w:lang w:val="sl-SI"/>
        </w:rPr>
      </w:pPr>
      <w:r w:rsidRPr="001048FE">
        <w:rPr>
          <w:lang w:val="sl-SI"/>
        </w:rPr>
        <w:t>preverjanje finančnih pogojev;</w:t>
      </w:r>
    </w:p>
    <w:p w14:paraId="7D39A5F9" w14:textId="77777777" w:rsidR="00E03711" w:rsidRPr="001048FE" w:rsidRDefault="00E03711" w:rsidP="005115F2">
      <w:pPr>
        <w:pStyle w:val="Guide-NormalBulletpoints"/>
        <w:numPr>
          <w:ilvl w:val="0"/>
          <w:numId w:val="270"/>
        </w:numPr>
        <w:rPr>
          <w:lang w:val="sl-SI"/>
        </w:rPr>
      </w:pPr>
      <w:r w:rsidRPr="001048FE">
        <w:rPr>
          <w:lang w:val="sl-SI"/>
        </w:rPr>
        <w:t>izpolnitev in oddaja prijavnega obrazca.</w:t>
      </w:r>
    </w:p>
    <w:p w14:paraId="7D39A5FA" w14:textId="77777777" w:rsidR="00E03711" w:rsidRDefault="00E03711">
      <w:pPr>
        <w:pStyle w:val="Guide-Heading3"/>
        <w:rPr>
          <w:lang w:val="sl-SI"/>
        </w:rPr>
      </w:pPr>
      <w:bookmarkStart w:id="395" w:name="_Toc527400938"/>
      <w:bookmarkStart w:id="396" w:name="_Toc527401230"/>
      <w:r w:rsidRPr="001048FE">
        <w:rPr>
          <w:lang w:val="sl-SI"/>
        </w:rPr>
        <w:t xml:space="preserve">Korak 1: registracija </w:t>
      </w:r>
      <w:bookmarkEnd w:id="395"/>
      <w:bookmarkEnd w:id="396"/>
      <w:r>
        <w:rPr>
          <w:lang w:val="sl-SI"/>
        </w:rPr>
        <w:t>organizacije</w:t>
      </w:r>
    </w:p>
    <w:p w14:paraId="7D39A5FB" w14:textId="77777777" w:rsidR="00E03711" w:rsidRDefault="00E03711" w:rsidP="00030686">
      <w:pPr>
        <w:pStyle w:val="GUIDE-NORMAL"/>
        <w:rPr>
          <w:lang w:val="sl-SI"/>
        </w:rPr>
      </w:pPr>
      <w:r w:rsidRPr="001048FE">
        <w:rPr>
          <w:lang w:val="sl-SI"/>
        </w:rPr>
        <w:t>Vse organizacije, vključene v prijavo, se morajo registrirati, če tega še niso storile.</w:t>
      </w:r>
    </w:p>
    <w:p w14:paraId="7D39A5FC" w14:textId="77777777" w:rsidR="00E03711" w:rsidRPr="004E4C36" w:rsidRDefault="00E03711" w:rsidP="00860232">
      <w:pPr>
        <w:pStyle w:val="Guide-Heading4"/>
        <w:spacing w:before="200" w:after="200"/>
        <w:rPr>
          <w:rFonts w:cs="Tahoma"/>
          <w:lang w:val="sl-SI"/>
        </w:rPr>
      </w:pPr>
      <w:r w:rsidRPr="004E4C36">
        <w:rPr>
          <w:rFonts w:cs="Tahoma"/>
          <w:lang w:val="sl-SI"/>
        </w:rPr>
        <w:t>Ukrepi, ki jih upravlja izvajalska agencija</w:t>
      </w:r>
    </w:p>
    <w:p w14:paraId="7D39A5FD" w14:textId="77777777" w:rsidR="00E03711" w:rsidRPr="001048FE" w:rsidRDefault="00E03711" w:rsidP="00030686">
      <w:pPr>
        <w:pStyle w:val="GUIDE-NORMAL"/>
        <w:rPr>
          <w:lang w:val="sl-SI"/>
        </w:rPr>
      </w:pPr>
      <w:r w:rsidRPr="001048FE">
        <w:rPr>
          <w:lang w:val="sl-SI"/>
        </w:rPr>
        <w:t>Za registracijo na portalu za</w:t>
      </w:r>
      <w:r>
        <w:rPr>
          <w:lang w:val="sl-SI"/>
        </w:rPr>
        <w:t xml:space="preserve"> financiranje in razpisne priložnosti </w:t>
      </w:r>
      <w:r w:rsidRPr="001048FE">
        <w:rPr>
          <w:lang w:val="sl-SI"/>
        </w:rPr>
        <w:t>mora oseba, ki predstavlja organizacijo (ali neformalno skupino mladih), slediti naslednjim korakom:</w:t>
      </w:r>
    </w:p>
    <w:p w14:paraId="7D39A5FE" w14:textId="77777777" w:rsidR="00E03711" w:rsidRPr="001048FE" w:rsidRDefault="00E03711" w:rsidP="00C80136">
      <w:pPr>
        <w:pStyle w:val="Guide-NormalBulletpoints"/>
        <w:numPr>
          <w:ilvl w:val="0"/>
          <w:numId w:val="271"/>
        </w:numPr>
        <w:jc w:val="left"/>
        <w:rPr>
          <w:lang w:val="sl-SI"/>
        </w:rPr>
      </w:pPr>
      <w:r w:rsidRPr="001048FE">
        <w:rPr>
          <w:lang w:val="sl-SI"/>
        </w:rPr>
        <w:t>ustvarjanje računa</w:t>
      </w:r>
      <w:r>
        <w:rPr>
          <w:lang w:val="sl-SI"/>
        </w:rPr>
        <w:t xml:space="preserve"> za prijavo</w:t>
      </w:r>
      <w:r w:rsidRPr="001048FE">
        <w:rPr>
          <w:lang w:val="sl-SI"/>
        </w:rPr>
        <w:t xml:space="preserve"> </w:t>
      </w:r>
      <w:r>
        <w:rPr>
          <w:lang w:val="sl-SI"/>
        </w:rPr>
        <w:t>EU</w:t>
      </w:r>
      <w:r w:rsidRPr="001048FE">
        <w:rPr>
          <w:lang w:val="sl-SI"/>
        </w:rPr>
        <w:t xml:space="preserve"> (razen če oseba, ki predstavlja organizacijo/skupino, že ima račun). Nove račune</w:t>
      </w:r>
      <w:r>
        <w:rPr>
          <w:lang w:val="sl-SI"/>
        </w:rPr>
        <w:t xml:space="preserve"> za prijavo</w:t>
      </w:r>
      <w:r w:rsidRPr="001048FE">
        <w:rPr>
          <w:lang w:val="sl-SI"/>
        </w:rPr>
        <w:t xml:space="preserve"> </w:t>
      </w:r>
      <w:r>
        <w:rPr>
          <w:lang w:val="sl-SI"/>
        </w:rPr>
        <w:t>EU</w:t>
      </w:r>
      <w:r w:rsidRPr="001048FE">
        <w:rPr>
          <w:lang w:val="sl-SI"/>
        </w:rPr>
        <w:t xml:space="preserve"> je mogoče ustvariti na naslednjem spletišču: </w:t>
      </w:r>
      <w:hyperlink r:id="rId140" w:history="1">
        <w:r w:rsidR="00C80136" w:rsidRPr="004D2068">
          <w:rPr>
            <w:rStyle w:val="Hyperlink"/>
            <w:lang w:val="sl-SI"/>
          </w:rPr>
          <w:t>https://webgate.ec.europa.eu/cas/</w:t>
        </w:r>
      </w:hyperlink>
      <w:r w:rsidR="00C80136">
        <w:rPr>
          <w:rStyle w:val="Hyperlink"/>
          <w:lang w:val="sl-SI"/>
        </w:rPr>
        <w:t xml:space="preserve"> </w:t>
      </w:r>
      <w:r w:rsidR="00C80136">
        <w:rPr>
          <w:lang w:val="sl-SI"/>
        </w:rPr>
        <w:t>;</w:t>
      </w:r>
    </w:p>
    <w:p w14:paraId="7D39A5FF" w14:textId="77777777" w:rsidR="00E03711" w:rsidRPr="001048FE" w:rsidRDefault="00E03711" w:rsidP="00C80136">
      <w:pPr>
        <w:pStyle w:val="Guide-NormalBulletpoints"/>
        <w:numPr>
          <w:ilvl w:val="0"/>
          <w:numId w:val="271"/>
        </w:numPr>
        <w:jc w:val="left"/>
        <w:rPr>
          <w:lang w:val="sl-SI"/>
        </w:rPr>
      </w:pPr>
      <w:r>
        <w:rPr>
          <w:lang w:val="sl-SI"/>
        </w:rPr>
        <w:t xml:space="preserve">dostop do </w:t>
      </w:r>
      <w:r w:rsidRPr="001048FE">
        <w:rPr>
          <w:lang w:val="sl-SI"/>
        </w:rPr>
        <w:t>portal</w:t>
      </w:r>
      <w:r>
        <w:rPr>
          <w:lang w:val="sl-SI"/>
        </w:rPr>
        <w:t>a za financiranje in razpisne priložnosti</w:t>
      </w:r>
      <w:r w:rsidRPr="001048FE">
        <w:rPr>
          <w:lang w:val="sl-SI"/>
        </w:rPr>
        <w:t xml:space="preserve"> na spletišču </w:t>
      </w:r>
      <w:hyperlink r:id="rId141" w:history="1">
        <w:r w:rsidR="00C80136" w:rsidRPr="004D2068">
          <w:rPr>
            <w:rStyle w:val="Hyperlink"/>
            <w:lang w:val="sl-SI"/>
          </w:rPr>
          <w:t xml:space="preserve">https://ec.europa.eu/info/funding-tenders/opportunities/portal/screen/home </w:t>
        </w:r>
      </w:hyperlink>
      <w:r w:rsidRPr="001048FE">
        <w:rPr>
          <w:lang w:val="sl-SI"/>
        </w:rPr>
        <w:t>in registracija v imenu organizacije/skupine. Navodila in pogosto zastavljena vprašanja so na voljo na portalu.</w:t>
      </w:r>
    </w:p>
    <w:p w14:paraId="7D39A600" w14:textId="77777777" w:rsidR="00E03711" w:rsidRDefault="00E03711" w:rsidP="00C80136">
      <w:pPr>
        <w:pStyle w:val="GUIDE-NORMAL"/>
        <w:rPr>
          <w:lang w:val="sl-SI"/>
        </w:rPr>
      </w:pPr>
      <w:r w:rsidRPr="001048FE">
        <w:rPr>
          <w:lang w:val="sl-SI"/>
        </w:rPr>
        <w:t>Organizacija/skupina se mora registrirati le enkrat. Ko je registracija končana, organizacija/skupina prejme identifikacijsko kodo udeleženca (PIC). Koda PIC je edinstveni identifikator, ki je potreben za oddajo prijave in organizaciji/skupini omogoča preprostejše izpolnjevanje prijavnih obrazcev (tj. z vnosom kode PIC v obrazec se v obrazcu samodejno prikažejo vse informacije, ki jih je zagotovila organizacija/skupina ob registraciji).</w:t>
      </w:r>
    </w:p>
    <w:p w14:paraId="7D39A601" w14:textId="77777777" w:rsidR="00E03711" w:rsidRPr="004E4C36" w:rsidRDefault="00E03711" w:rsidP="00860232">
      <w:pPr>
        <w:pStyle w:val="Guide-Heading4"/>
        <w:spacing w:before="200" w:after="200"/>
        <w:rPr>
          <w:rFonts w:cs="Tahoma"/>
          <w:lang w:val="sl-SI"/>
        </w:rPr>
      </w:pPr>
      <w:r w:rsidRPr="004E4C36">
        <w:rPr>
          <w:rFonts w:cs="Tahoma"/>
          <w:lang w:val="sl-SI"/>
        </w:rPr>
        <w:t>Ukrepi, ki jih upravljajo nacionalne agencije</w:t>
      </w:r>
    </w:p>
    <w:p w14:paraId="7D39A602" w14:textId="77777777" w:rsidR="00E03711" w:rsidRDefault="00E03711" w:rsidP="00030686">
      <w:pPr>
        <w:pStyle w:val="GUIDE-NORMAL"/>
        <w:rPr>
          <w:lang w:val="sl-SI"/>
        </w:rPr>
      </w:pPr>
      <w:r>
        <w:rPr>
          <w:lang w:val="sl-SI"/>
        </w:rPr>
        <w:t>Za registracijo v sistemu za registracijo organizacij za Erasmus+ in evropsko solidarnostno enoto, mora oseba, ki zastopa organizacijo (oziroma neformalno skupino mladih) izvesti te korake:</w:t>
      </w:r>
    </w:p>
    <w:p w14:paraId="7D39A603" w14:textId="77777777" w:rsidR="00E03711" w:rsidRDefault="00E03711" w:rsidP="005115F2">
      <w:pPr>
        <w:pStyle w:val="GUIDE-NORMAL"/>
        <w:numPr>
          <w:ilvl w:val="0"/>
          <w:numId w:val="272"/>
        </w:numPr>
        <w:rPr>
          <w:lang w:val="sl-SI"/>
        </w:rPr>
      </w:pPr>
      <w:r>
        <w:rPr>
          <w:lang w:val="sl-SI"/>
        </w:rPr>
        <w:t xml:space="preserve">Ustvariti prijavni račun za EU (razen če oseba, ki zastopa organizacijo/skupino že ima račun). Nove prijavne račune za EU je mogoče ustvariti na tem spletnem naslovu: </w:t>
      </w:r>
      <w:hyperlink r:id="rId142" w:history="1">
        <w:r w:rsidRPr="004E4C36">
          <w:rPr>
            <w:rStyle w:val="Hyperlink"/>
            <w:lang w:val="sl-SI"/>
          </w:rPr>
          <w:t>https://webgate.ec.europa.eu/cas/eim/external/register.cgi</w:t>
        </w:r>
      </w:hyperlink>
    </w:p>
    <w:p w14:paraId="7D39A604" w14:textId="77777777" w:rsidR="00E03711" w:rsidRDefault="00E03711" w:rsidP="00C80136">
      <w:pPr>
        <w:pStyle w:val="GUIDE-NORMAL"/>
        <w:numPr>
          <w:ilvl w:val="0"/>
          <w:numId w:val="272"/>
        </w:numPr>
        <w:jc w:val="left"/>
        <w:rPr>
          <w:lang w:val="sl-SI"/>
        </w:rPr>
      </w:pPr>
      <w:r>
        <w:rPr>
          <w:lang w:val="sl-SI"/>
        </w:rPr>
        <w:t xml:space="preserve">Dostopiti do sistema za registracijo organizacij za Erasmus+ in evropsko solidarnostno enoto </w:t>
      </w:r>
      <w:hyperlink r:id="rId143" w:history="1">
        <w:r w:rsidR="00C80136" w:rsidRPr="004D2068">
          <w:rPr>
            <w:rStyle w:val="Hyperlink"/>
            <w:lang w:val="sl-SI"/>
          </w:rPr>
          <w:t>https://webgate.ec.europa.eu/erasmus-esc/organisation-registration</w:t>
        </w:r>
      </w:hyperlink>
      <w:r w:rsidR="00C80136">
        <w:rPr>
          <w:lang w:val="sl-SI"/>
        </w:rPr>
        <w:t xml:space="preserve"> </w:t>
      </w:r>
      <w:r>
        <w:rPr>
          <w:lang w:val="sl-SI"/>
        </w:rPr>
        <w:t>in se registrirati v imenu organizacije/skupine.</w:t>
      </w:r>
    </w:p>
    <w:p w14:paraId="7D39A605" w14:textId="77777777" w:rsidR="00E03711" w:rsidRDefault="00E03711" w:rsidP="00030686">
      <w:pPr>
        <w:pStyle w:val="GUIDE-NORMAL"/>
        <w:rPr>
          <w:lang w:val="sl-SI"/>
        </w:rPr>
      </w:pPr>
      <w:r>
        <w:rPr>
          <w:lang w:val="sl-SI"/>
        </w:rPr>
        <w:t>Organizaciji/skupini se je potrebno registrirati samo enkrat. Ko je registracija dokončana, bo organizacija/skupina pridobila identifikacijsko kodo organizacije.</w:t>
      </w:r>
    </w:p>
    <w:p w14:paraId="7D39A606" w14:textId="77777777" w:rsidR="00E03711" w:rsidRDefault="00E03711" w:rsidP="00030686">
      <w:pPr>
        <w:pStyle w:val="GUIDE-NORMAL"/>
        <w:rPr>
          <w:lang w:val="sl-SI"/>
        </w:rPr>
      </w:pPr>
      <w:r>
        <w:rPr>
          <w:lang w:val="sl-SI"/>
        </w:rPr>
        <w:t>Organizacije, ki imajo kodo PIC in so se že prej prijavile za financiranje v programih Erasmus+ ali evropskih solidarnostnih enotah prek nacionalnih agencij, bodo samodejno prejele identifikacijsko kodo organizacije. Organizacija lahko preveri svojo identifikacijsko kodo ali spremeni informacije, ki so povezane z organizacijo, v sistemu za registracijo organizacij za Erasmus+ in evropske solidarnostne enote.</w:t>
      </w:r>
    </w:p>
    <w:p w14:paraId="7D39A607" w14:textId="77777777" w:rsidR="00E03711" w:rsidRPr="001048FE" w:rsidRDefault="00E03711" w:rsidP="00030686">
      <w:pPr>
        <w:pStyle w:val="GUIDE-NORMAL"/>
        <w:rPr>
          <w:lang w:val="sl-SI"/>
        </w:rPr>
      </w:pPr>
      <w:r>
        <w:rPr>
          <w:lang w:val="sl-SI"/>
        </w:rPr>
        <w:t>Kot pri kodi PIC boste z vnosom identifikacijske kode organizacije v obrazec naložili vse informacije, ki jih je navedla organizacija/skupina v fazi registracije, in jih prikazali v obrazcu.</w:t>
      </w:r>
    </w:p>
    <w:p w14:paraId="7D39A608" w14:textId="77777777" w:rsidR="00E03711" w:rsidRPr="001048FE" w:rsidRDefault="00E03711" w:rsidP="00955AAC">
      <w:pPr>
        <w:pStyle w:val="Guide-Heading4"/>
        <w:rPr>
          <w:lang w:val="sl-SI"/>
        </w:rPr>
      </w:pPr>
      <w:bookmarkStart w:id="397" w:name="_Toc527401231"/>
      <w:r w:rsidRPr="001048FE">
        <w:rPr>
          <w:lang w:val="sl-SI"/>
        </w:rPr>
        <w:t>Dokaz o pravnem statusu in finan</w:t>
      </w:r>
      <w:r w:rsidRPr="001048FE">
        <w:rPr>
          <w:rFonts w:eastAsia="Calibri"/>
          <w:lang w:val="sl-SI"/>
        </w:rPr>
        <w:t>č</w:t>
      </w:r>
      <w:r w:rsidRPr="001048FE">
        <w:rPr>
          <w:lang w:val="sl-SI"/>
        </w:rPr>
        <w:t>ni zmogljivosti</w:t>
      </w:r>
      <w:bookmarkEnd w:id="397"/>
    </w:p>
    <w:p w14:paraId="7D39A609" w14:textId="77777777" w:rsidR="00E03711" w:rsidRPr="001048FE" w:rsidRDefault="00E03711" w:rsidP="00030686">
      <w:pPr>
        <w:pStyle w:val="GUIDE-NORMAL"/>
        <w:rPr>
          <w:lang w:val="sl-SI"/>
        </w:rPr>
      </w:pPr>
      <w:r>
        <w:rPr>
          <w:lang w:val="sl-SI"/>
        </w:rPr>
        <w:t xml:space="preserve">Kot del postopka registracije </w:t>
      </w:r>
      <w:r w:rsidRPr="001048FE">
        <w:rPr>
          <w:lang w:val="sl-SI"/>
        </w:rPr>
        <w:t>morajo organizacije naložiti tudi naslednje dokumente:</w:t>
      </w:r>
    </w:p>
    <w:p w14:paraId="7D39A60A" w14:textId="77777777" w:rsidR="00E03711" w:rsidRPr="001048FE" w:rsidRDefault="00E03711" w:rsidP="005115F2">
      <w:pPr>
        <w:pStyle w:val="Guide-NormalBulletpoints"/>
        <w:numPr>
          <w:ilvl w:val="0"/>
          <w:numId w:val="273"/>
        </w:numPr>
        <w:jc w:val="left"/>
        <w:rPr>
          <w:lang w:val="sl-SI"/>
        </w:rPr>
      </w:pPr>
      <w:r w:rsidRPr="001048FE">
        <w:rPr>
          <w:lang w:val="sl-SI"/>
        </w:rPr>
        <w:t xml:space="preserve">obrazec za pravno osebo (ta obrazec je mogoče prenesti s spletišča Evropske komisije: </w:t>
      </w:r>
      <w:hyperlink r:id="rId144">
        <w:r w:rsidRPr="001048FE">
          <w:rPr>
            <w:rStyle w:val="Hyperlink"/>
            <w:lang w:val="sl-SI"/>
          </w:rPr>
          <w:t>http://ec.europa.eu/budget/contracts_grants/info_contracts/legal_entities/legal_entities_en.cfm</w:t>
        </w:r>
      </w:hyperlink>
      <w:r w:rsidRPr="001048FE">
        <w:rPr>
          <w:lang w:val="sl-SI"/>
        </w:rPr>
        <w:t>) ;</w:t>
      </w:r>
    </w:p>
    <w:p w14:paraId="7D39A60B" w14:textId="77777777" w:rsidR="00E03711" w:rsidRPr="001048FE" w:rsidRDefault="00E03711" w:rsidP="005115F2">
      <w:pPr>
        <w:pStyle w:val="Guide-NormalBulletpoints"/>
        <w:numPr>
          <w:ilvl w:val="0"/>
          <w:numId w:val="273"/>
        </w:numPr>
        <w:jc w:val="left"/>
        <w:rPr>
          <w:lang w:val="sl-SI"/>
        </w:rPr>
      </w:pPr>
      <w:r w:rsidRPr="001048FE">
        <w:rPr>
          <w:lang w:val="sl-SI"/>
        </w:rPr>
        <w:t xml:space="preserve">obrazec za finančno identifikacijo. Obrazec je treba izpolniti glede na državo, kjer se nahaja banka računa organizacije, čeprav ima organizacija prijaviteljica uradni sedež v drugi državi (ta obrazec je mogoče prenesti z naslova: </w:t>
      </w:r>
      <w:hyperlink r:id="rId145">
        <w:r w:rsidRPr="001048FE">
          <w:rPr>
            <w:rStyle w:val="Hyperlink"/>
            <w:lang w:val="sl-SI"/>
          </w:rPr>
          <w:t>http://ec.europa.eu/budget/contracts_grants/info_contracts/financial_id/financial_id_en.cfm</w:t>
        </w:r>
      </w:hyperlink>
      <w:r w:rsidRPr="001048FE">
        <w:rPr>
          <w:lang w:val="sl-SI"/>
        </w:rPr>
        <w:t>).</w:t>
      </w:r>
    </w:p>
    <w:p w14:paraId="7D39A60C" w14:textId="77777777" w:rsidR="00E03711" w:rsidRPr="001048FE" w:rsidRDefault="00E03711" w:rsidP="00030686">
      <w:pPr>
        <w:pStyle w:val="GUIDE-NORMAL"/>
        <w:rPr>
          <w:lang w:val="sl-SI"/>
        </w:rPr>
      </w:pPr>
      <w:r w:rsidRPr="001048FE">
        <w:rPr>
          <w:lang w:val="sl-SI"/>
        </w:rPr>
        <w:t>Za nepovratna sredstva, ki presegajo 60 000 EUR, bodo prijavitelji morda morali naložiti posebne dokumente za dokazilo njihove finančne zmogljivosti. Za več informacij glej poglavje „Merila za izbor“ v nadaljevanju.</w:t>
      </w:r>
    </w:p>
    <w:p w14:paraId="7D39A60D" w14:textId="77777777" w:rsidR="00E03711" w:rsidRPr="001048FE" w:rsidRDefault="00E03711" w:rsidP="00030686">
      <w:pPr>
        <w:pStyle w:val="GUIDE-NORMAL"/>
        <w:rPr>
          <w:lang w:val="sl-SI"/>
        </w:rPr>
      </w:pPr>
      <w:r w:rsidRPr="001048FE">
        <w:rPr>
          <w:lang w:val="sl-SI"/>
        </w:rPr>
        <w:t>Obrazec za finančno identifikacijo je treba zagotoviti samo za organizacijo prijaviteljico in se za partnerske organizacije ne zahteva.</w:t>
      </w:r>
    </w:p>
    <w:p w14:paraId="7D39A60E" w14:textId="77777777" w:rsidR="00E03711" w:rsidRDefault="00E03711">
      <w:pPr>
        <w:pStyle w:val="Guide-Heading3"/>
        <w:rPr>
          <w:lang w:val="sl-SI"/>
        </w:rPr>
      </w:pPr>
      <w:bookmarkStart w:id="398" w:name="_Toc527400939"/>
      <w:bookmarkStart w:id="399" w:name="_Toc527401232"/>
      <w:r w:rsidRPr="001048FE">
        <w:rPr>
          <w:lang w:val="sl-SI"/>
        </w:rPr>
        <w:t>Korak 2: preverjanje skladnosti z merili</w:t>
      </w:r>
      <w:bookmarkStart w:id="400" w:name="Korak_2:_preverjanje_skladnosti_z_merili"/>
      <w:bookmarkEnd w:id="400"/>
      <w:r w:rsidRPr="001048FE">
        <w:rPr>
          <w:lang w:val="sl-SI"/>
        </w:rPr>
        <w:t xml:space="preserve"> Programa</w:t>
      </w:r>
      <w:bookmarkEnd w:id="398"/>
      <w:bookmarkEnd w:id="399"/>
    </w:p>
    <w:p w14:paraId="7D39A60F" w14:textId="77777777" w:rsidR="00E03711" w:rsidRPr="001048FE" w:rsidRDefault="00E03711" w:rsidP="00030686">
      <w:pPr>
        <w:pStyle w:val="GUIDE-NORMAL"/>
        <w:rPr>
          <w:lang w:val="sl-SI"/>
        </w:rPr>
      </w:pPr>
      <w:r w:rsidRPr="001048FE">
        <w:rPr>
          <w:lang w:val="sl-SI"/>
        </w:rPr>
        <w:t>Med razvojem projekta in pred oddajo vloge za podporo EU morajo sodelujoče organizacije preveriti, ali projekt upošteva naslednja merila glede upravičenosti, izključitve, izbora in dodelitve.</w:t>
      </w:r>
    </w:p>
    <w:p w14:paraId="7D39A610" w14:textId="77777777" w:rsidR="00E03711" w:rsidRPr="001048FE" w:rsidRDefault="00E03711" w:rsidP="00030686">
      <w:pPr>
        <w:pStyle w:val="Guide-Heading4"/>
        <w:rPr>
          <w:lang w:val="sl-SI"/>
        </w:rPr>
      </w:pPr>
      <w:bookmarkStart w:id="401" w:name="_Toc527401233"/>
      <w:r w:rsidRPr="001048FE">
        <w:rPr>
          <w:lang w:val="sl-SI"/>
        </w:rPr>
        <w:t>Merila za upravi</w:t>
      </w:r>
      <w:r w:rsidRPr="001048FE">
        <w:rPr>
          <w:rFonts w:eastAsia="Calibri"/>
          <w:lang w:val="sl-SI"/>
        </w:rPr>
        <w:t>č</w:t>
      </w:r>
      <w:r w:rsidRPr="001048FE">
        <w:rPr>
          <w:lang w:val="sl-SI"/>
        </w:rPr>
        <w:t>enost</w:t>
      </w:r>
      <w:bookmarkEnd w:id="401"/>
    </w:p>
    <w:p w14:paraId="7D39A611" w14:textId="77777777" w:rsidR="00E03711" w:rsidRPr="001048FE" w:rsidRDefault="00E03711" w:rsidP="00030686">
      <w:pPr>
        <w:pStyle w:val="GUIDE-NORMAL"/>
        <w:rPr>
          <w:lang w:val="sl-SI"/>
        </w:rPr>
      </w:pPr>
      <w:r w:rsidRPr="001048FE">
        <w:rPr>
          <w:lang w:val="sl-SI"/>
        </w:rPr>
        <w:t>Merila za upravičenost so povezana predvsem z vrsto projekta in aktivnosti (vključno s trajanjem, sodelujočimi organizacijami itd., kadar je to ustrezno), ciljno skupino (npr. status in število vključenih udeležencev) in pogoji za oddajo vloge za nepovratna sredstva v okviru takega projekta (npr. roki za oddajo, pravilno izpolnjen prijavni obrazec itd.).</w:t>
      </w:r>
    </w:p>
    <w:p w14:paraId="7D39A612" w14:textId="77777777" w:rsidR="00E03711" w:rsidRDefault="00E03711" w:rsidP="00030686">
      <w:pPr>
        <w:pStyle w:val="GUIDE-NORMAL"/>
        <w:rPr>
          <w:lang w:val="sl-SI"/>
        </w:rPr>
      </w:pPr>
      <w:r w:rsidRPr="001048FE">
        <w:rPr>
          <w:lang w:val="sl-SI"/>
        </w:rPr>
        <w:t>Za upravičenost mora projekt izpolniti vsa merila za upravičenost, ki so povezana z ukrepom, v okviru katerega se odda predlog projekta. Če projekt ne izpolnjuje teh meril ob prijavi, bo zavrnjen brez nadaljnjega ocenjevanja. V primeru mobilnosti in štipendij EMJMD, podprtih v okviru ključnega ukrepa 1 ali ključnega ukrepa 2, se lahko nekatera merila za upravičenost (npr. trajanje, profil udeležencev itd.) izjemoma preverijo le med izvajanjem projekta ali v zadnji fazi poročanja (ne ob prijavi). Ob prijavi morajo prijavitelji izjaviti, da bo projekt izpolnjeval ta merila. Če pa se med izvajanjem projekta ali v zadnji fazi poročanja ugotovi, da ta merila niso bila izpolnjena, se lahko udeleženci ali aktivnost štejejo za neupravičene, zaradi česar se lahko zniža znesek nepovratnih sredstev EU, ki je bil prvotno dodeljen projektu, ali pa je treba ta znesek vrniti.</w:t>
      </w:r>
    </w:p>
    <w:p w14:paraId="1AA4EB00" w14:textId="730F2326" w:rsidR="00B760F2" w:rsidRPr="00654F6A" w:rsidRDefault="00B760F2" w:rsidP="00B760F2">
      <w:pPr>
        <w:rPr>
          <w:sz w:val="18"/>
          <w:szCs w:val="18"/>
          <w:lang w:val="sl-SI"/>
        </w:rPr>
      </w:pPr>
      <w:r w:rsidRPr="00654F6A">
        <w:rPr>
          <w:b/>
          <w:sz w:val="18"/>
          <w:szCs w:val="18"/>
          <w:lang w:val="sl-SI"/>
        </w:rPr>
        <w:t>Za prijavitelje iz Združenega kraljestva:</w:t>
      </w:r>
      <w:r w:rsidRPr="00654F6A">
        <w:rPr>
          <w:sz w:val="18"/>
          <w:szCs w:val="18"/>
          <w:lang w:val="sl-SI"/>
        </w:rPr>
        <w:t xml:space="preserve"> Po začetku veljavnosti sporazuma o izstopu med EU in Združenim kraljestvom</w:t>
      </w:r>
      <w:r>
        <w:rPr>
          <w:rStyle w:val="FootnoteReference"/>
          <w:sz w:val="18"/>
          <w:szCs w:val="18"/>
          <w:lang w:val="sl-SI"/>
        </w:rPr>
        <w:footnoteReference w:id="239"/>
      </w:r>
      <w:r w:rsidRPr="00654F6A">
        <w:rPr>
          <w:sz w:val="18"/>
          <w:szCs w:val="18"/>
          <w:lang w:val="sl-SI"/>
        </w:rPr>
        <w:t xml:space="preserve"> 1. februarja 2020, zlasti v skladu s členom 127(6), členom 137 in členom 138 sporazuma, sklicevanja na fizične ali pravne osebe s prebivališčem ali sedežem v državi članici Evropske unije vključujejo fizične ali pravne osebe s prebivališčem ali sedežem v Združenem kraljestvu. Osebe s prebivališčem v Združenem kraljestvu in subjekti iz Združenega kraljestva so zato upravičeni do sodelovanja pri vseh ukrepih v sklopu tega programa do njegovega zaključka.</w:t>
      </w:r>
    </w:p>
    <w:p w14:paraId="442C0EDB" w14:textId="4E662725" w:rsidR="00B760F2" w:rsidRPr="00FC4A70" w:rsidRDefault="00B760F2" w:rsidP="00FC4A70">
      <w:pPr>
        <w:pStyle w:val="Guide-Normal0"/>
        <w:rPr>
          <w:vanish/>
          <w:lang w:val="sl-SI"/>
        </w:rPr>
      </w:pPr>
    </w:p>
    <w:p w14:paraId="7D39A614" w14:textId="77777777" w:rsidR="00E03711" w:rsidRPr="001048FE" w:rsidRDefault="00E03711" w:rsidP="00030686">
      <w:pPr>
        <w:pStyle w:val="GUIDE-NORMAL"/>
        <w:rPr>
          <w:lang w:val="sl-SI"/>
        </w:rPr>
      </w:pPr>
      <w:r w:rsidRPr="001048FE">
        <w:rPr>
          <w:lang w:val="sl-SI"/>
        </w:rPr>
        <w:t>Posebna merila za upravičenost, ki veljajo za posamezne ukrepe, ki se izvajajo z Vodnikom za prijavitelje Erasmus+, so opisana v delu B tega vodnika.</w:t>
      </w:r>
    </w:p>
    <w:p w14:paraId="7D39A615" w14:textId="77777777" w:rsidR="00E03711" w:rsidRPr="001048FE" w:rsidRDefault="00E03711" w:rsidP="00030686">
      <w:pPr>
        <w:pStyle w:val="Guide-Heading4"/>
        <w:rPr>
          <w:lang w:val="sl-SI"/>
        </w:rPr>
      </w:pPr>
      <w:bookmarkStart w:id="402" w:name="_Toc527401234"/>
      <w:r w:rsidRPr="001048FE">
        <w:rPr>
          <w:lang w:val="sl-SI"/>
        </w:rPr>
        <w:t>Merila za izklju</w:t>
      </w:r>
      <w:r w:rsidRPr="001048FE">
        <w:rPr>
          <w:rFonts w:eastAsia="Calibri"/>
          <w:lang w:val="sl-SI"/>
        </w:rPr>
        <w:t>č</w:t>
      </w:r>
      <w:r w:rsidRPr="001048FE">
        <w:rPr>
          <w:lang w:val="sl-SI"/>
        </w:rPr>
        <w:t>itev</w:t>
      </w:r>
      <w:bookmarkEnd w:id="402"/>
    </w:p>
    <w:p w14:paraId="7D39A616" w14:textId="77777777" w:rsidR="00E03711" w:rsidRPr="00FC4A70" w:rsidRDefault="00E03711" w:rsidP="0089323B">
      <w:pPr>
        <w:pStyle w:val="Guide-Normal0"/>
        <w:rPr>
          <w:lang w:val="sl-SI"/>
        </w:rPr>
      </w:pPr>
      <w:r>
        <w:rPr>
          <w:rFonts w:eastAsia="Calibri" w:cs="Calibri"/>
          <w:kern w:val="3"/>
          <w:sz w:val="18"/>
          <w:szCs w:val="18"/>
          <w:bdr w:val="nil"/>
          <w:shd w:val="clear" w:color="auto" w:fill="FFFFFF"/>
          <w:lang w:val="sl-SI" w:eastAsia="en-GB"/>
        </w:rPr>
        <w:t>V skladu s členoma 136-140 in/ali 141 finančne uredbe EU bo prijavitelj izključen iz sodelovanja na razpisih za zbiranje predlogov v okviru programa Erasmus+ ali zavrnjen v postopku dodelitve nepovratnih sredstev, če je v kateri koli od naslednjih okoliščin:</w:t>
      </w:r>
      <w:r w:rsidRPr="00FC4A70">
        <w:rPr>
          <w:rStyle w:val="FootnoteReference"/>
        </w:rPr>
        <w:footnoteReference w:id="240"/>
      </w:r>
      <w:r w:rsidRPr="00FC4A70">
        <w:rPr>
          <w:rFonts w:eastAsia="Calibri" w:cs="Calibri"/>
          <w:kern w:val="3"/>
          <w:sz w:val="18"/>
          <w:szCs w:val="18"/>
          <w:bdr w:val="nil"/>
          <w:shd w:val="clear" w:color="auto" w:fill="FFFFFF"/>
          <w:lang w:val="sl-SI"/>
        </w:rPr>
        <w:t>:</w:t>
      </w:r>
    </w:p>
    <w:p w14:paraId="7D39A617" w14:textId="77777777" w:rsidR="00E03711" w:rsidRPr="00FC4A70" w:rsidRDefault="00E03711" w:rsidP="0089323B">
      <w:pPr>
        <w:pStyle w:val="Guide-Normal0"/>
        <w:rPr>
          <w:lang w:val="sl-SI"/>
        </w:rPr>
      </w:pPr>
    </w:p>
    <w:p w14:paraId="7D39A618" w14:textId="77777777" w:rsidR="00E03711" w:rsidRPr="00FC4A70" w:rsidRDefault="00E03711" w:rsidP="0089323B">
      <w:pPr>
        <w:tabs>
          <w:tab w:val="left" w:pos="284"/>
        </w:tabs>
        <w:spacing w:after="80"/>
        <w:jc w:val="both"/>
        <w:rPr>
          <w:sz w:val="18"/>
          <w:lang w:val="sl-SI"/>
        </w:rPr>
      </w:pPr>
      <w:r w:rsidRPr="00FC4A70">
        <w:rPr>
          <w:rFonts w:eastAsia="Calibri" w:cs="Calibri"/>
          <w:sz w:val="18"/>
          <w:szCs w:val="18"/>
          <w:bdr w:val="nil"/>
          <w:lang w:val="sl-SI"/>
        </w:rPr>
        <w:t xml:space="preserve">a) je prijavitelj v stečaju, postopku zaradi insolventnosti ali postopku likvidacije, kadar njegova sredstva upravlja </w:t>
      </w:r>
      <w:r>
        <w:rPr>
          <w:rFonts w:eastAsia="Calibri" w:cs="Calibri"/>
          <w:sz w:val="18"/>
          <w:szCs w:val="18"/>
          <w:bdr w:val="nil"/>
          <w:lang w:val="sl-SI"/>
        </w:rPr>
        <w:t>likvidator</w:t>
      </w:r>
      <w:r w:rsidRPr="00FC4A70">
        <w:rPr>
          <w:rFonts w:eastAsia="Calibri" w:cs="Calibri"/>
          <w:sz w:val="18"/>
          <w:szCs w:val="18"/>
          <w:bdr w:val="nil"/>
          <w:lang w:val="sl-SI"/>
        </w:rPr>
        <w:t xml:space="preserve"> ali sodišče, kadar ima dogovor z upniki, če so njegove poslovne dejavnosti začasno ustavljene ali kadar je v kakršni koli podobni situaciji, ki nastane zaradi podobnega postopka, določenega v zakonodaji Unije ali nacionaln</w:t>
      </w:r>
      <w:r>
        <w:rPr>
          <w:rFonts w:eastAsia="Calibri" w:cs="Calibri"/>
          <w:sz w:val="18"/>
          <w:szCs w:val="18"/>
          <w:bdr w:val="nil"/>
          <w:lang w:val="sl-SI"/>
        </w:rPr>
        <w:t>em pravu</w:t>
      </w:r>
      <w:r w:rsidRPr="00FC4A70">
        <w:rPr>
          <w:rFonts w:eastAsia="Calibri" w:cs="Calibri"/>
          <w:sz w:val="18"/>
          <w:szCs w:val="18"/>
          <w:bdr w:val="nil"/>
          <w:lang w:val="sl-SI"/>
        </w:rPr>
        <w:t>;</w:t>
      </w:r>
    </w:p>
    <w:p w14:paraId="7D39A619" w14:textId="77777777" w:rsidR="00E03711" w:rsidRPr="00FC4A70" w:rsidRDefault="00E03711" w:rsidP="0089323B">
      <w:pPr>
        <w:tabs>
          <w:tab w:val="left" w:pos="284"/>
        </w:tabs>
        <w:spacing w:after="80"/>
        <w:jc w:val="both"/>
        <w:rPr>
          <w:sz w:val="18"/>
          <w:lang w:val="sl-SI"/>
        </w:rPr>
      </w:pPr>
      <w:r w:rsidRPr="00FC4A70">
        <w:rPr>
          <w:rFonts w:eastAsia="Calibri" w:cs="Calibri"/>
          <w:sz w:val="18"/>
          <w:szCs w:val="18"/>
          <w:bdr w:val="nil"/>
          <w:lang w:val="sl-SI"/>
        </w:rPr>
        <w:t>b) je s pravnomočno sodbo ali pravnomočno upravno odločbo ugotovljeno, da prijavitelj krši svoje obveznosti v zvezi s plačilom davkov ali prispevki</w:t>
      </w:r>
      <w:r>
        <w:rPr>
          <w:rFonts w:eastAsia="Calibri" w:cs="Calibri"/>
          <w:sz w:val="18"/>
          <w:szCs w:val="18"/>
          <w:bdr w:val="nil"/>
          <w:lang w:val="sl-SI"/>
        </w:rPr>
        <w:t xml:space="preserve"> za</w:t>
      </w:r>
      <w:r w:rsidRPr="00616235">
        <w:rPr>
          <w:rFonts w:eastAsia="Calibri" w:cs="Calibri"/>
          <w:sz w:val="18"/>
          <w:szCs w:val="18"/>
          <w:bdr w:val="nil"/>
          <w:lang w:val="sl-SI"/>
        </w:rPr>
        <w:t xml:space="preserve"> socialn</w:t>
      </w:r>
      <w:r>
        <w:rPr>
          <w:rFonts w:eastAsia="Calibri" w:cs="Calibri"/>
          <w:sz w:val="18"/>
          <w:szCs w:val="18"/>
          <w:bdr w:val="nil"/>
          <w:lang w:val="sl-SI"/>
        </w:rPr>
        <w:t>o</w:t>
      </w:r>
      <w:r w:rsidRPr="00616235">
        <w:rPr>
          <w:rFonts w:eastAsia="Calibri" w:cs="Calibri"/>
          <w:sz w:val="18"/>
          <w:szCs w:val="18"/>
          <w:bdr w:val="nil"/>
          <w:lang w:val="sl-SI"/>
        </w:rPr>
        <w:t xml:space="preserve"> varnost</w:t>
      </w:r>
      <w:r w:rsidRPr="00FC4A70">
        <w:rPr>
          <w:rFonts w:eastAsia="Calibri" w:cs="Calibri"/>
          <w:sz w:val="18"/>
          <w:szCs w:val="18"/>
          <w:bdr w:val="nil"/>
          <w:lang w:val="sl-SI"/>
        </w:rPr>
        <w:t xml:space="preserve"> v skladu z veljavnim pravom;</w:t>
      </w:r>
    </w:p>
    <w:p w14:paraId="7D39A61A" w14:textId="77777777" w:rsidR="00E03711" w:rsidRPr="00FC4A70" w:rsidRDefault="00E03711" w:rsidP="0089323B">
      <w:pPr>
        <w:tabs>
          <w:tab w:val="left" w:pos="284"/>
        </w:tabs>
        <w:spacing w:after="80"/>
        <w:jc w:val="both"/>
        <w:rPr>
          <w:sz w:val="18"/>
          <w:lang w:val="sl-SI"/>
        </w:rPr>
      </w:pPr>
      <w:r w:rsidRPr="00FC4A70">
        <w:rPr>
          <w:rFonts w:eastAsia="Calibri" w:cs="Calibri"/>
          <w:sz w:val="18"/>
          <w:szCs w:val="18"/>
          <w:bdr w:val="nil"/>
          <w:lang w:val="sl-SI"/>
        </w:rPr>
        <w:t>c) je bilo s pravnomočno sodbo ali pravnomočno upravno odločbo ugotovljeno, da je prijavitelj zagrešil hudo kršitev poklicnih pravil, s tem ko je kršil veljavne zakone ali druge predpise ali etične standarde stroke, ki ji pripada, ali s tem, ko je ravnal krivdno, pri čemer to ravnanje, če kaže na naklep ali hudo malomarnost, vpliva na njegovo strokovno verodostojnost, med drugim zlasti</w:t>
      </w:r>
      <w:r>
        <w:rPr>
          <w:rFonts w:eastAsia="Calibri" w:cs="Calibri"/>
          <w:sz w:val="18"/>
          <w:szCs w:val="18"/>
          <w:bdr w:val="nil"/>
          <w:lang w:val="sl-SI"/>
        </w:rPr>
        <w:t xml:space="preserve"> na</w:t>
      </w:r>
      <w:r w:rsidRPr="00FC4A70">
        <w:rPr>
          <w:rFonts w:eastAsia="Calibri" w:cs="Calibri"/>
          <w:sz w:val="18"/>
          <w:szCs w:val="18"/>
          <w:bdr w:val="nil"/>
          <w:lang w:val="sl-SI"/>
        </w:rPr>
        <w:t xml:space="preserve"> naslednje:</w:t>
      </w:r>
    </w:p>
    <w:p w14:paraId="7D39A61B" w14:textId="77777777" w:rsidR="00E03711" w:rsidRPr="00FC4A70" w:rsidRDefault="00E03711" w:rsidP="0089323B">
      <w:pPr>
        <w:tabs>
          <w:tab w:val="left" w:pos="284"/>
        </w:tabs>
        <w:spacing w:after="80"/>
        <w:ind w:left="284"/>
        <w:jc w:val="both"/>
        <w:rPr>
          <w:sz w:val="18"/>
          <w:lang w:val="sl-SI"/>
        </w:rPr>
      </w:pPr>
      <w:r w:rsidRPr="00FC4A70">
        <w:rPr>
          <w:rFonts w:eastAsia="Calibri" w:cs="Calibri"/>
          <w:sz w:val="18"/>
          <w:szCs w:val="18"/>
          <w:bdr w:val="nil"/>
          <w:lang w:val="sl-SI"/>
        </w:rPr>
        <w:t>(i) zavajanje z namenom goljufije ali iz malomarnosti pri dajanju informacij, ki se zahtevajo zaradi preverjanja neobstoja razlogov za izključitev ali izpolnjevanja meril upravičenosti ali meril za izbor ali pri izpolnjevanju pravnih obveznosti;</w:t>
      </w:r>
    </w:p>
    <w:p w14:paraId="7D39A61C" w14:textId="77777777" w:rsidR="00E03711" w:rsidRPr="00FC4A70" w:rsidRDefault="00E03711" w:rsidP="0089323B">
      <w:pPr>
        <w:tabs>
          <w:tab w:val="left" w:pos="284"/>
        </w:tabs>
        <w:spacing w:after="80"/>
        <w:ind w:left="284"/>
        <w:jc w:val="both"/>
        <w:rPr>
          <w:sz w:val="18"/>
          <w:lang w:val="sl-SI"/>
        </w:rPr>
      </w:pPr>
      <w:r w:rsidRPr="00FC4A70">
        <w:rPr>
          <w:rFonts w:eastAsia="Calibri" w:cs="Calibri"/>
          <w:sz w:val="18"/>
          <w:szCs w:val="18"/>
          <w:bdr w:val="nil"/>
          <w:lang w:val="sl-SI"/>
        </w:rPr>
        <w:t>(ii) sklepanje dogovorov z drugimi osebami ali subjekti z namenom izkrivljanja konkurence;</w:t>
      </w:r>
    </w:p>
    <w:p w14:paraId="7D39A61D" w14:textId="77777777" w:rsidR="00E03711" w:rsidRPr="0030441A" w:rsidRDefault="00E03711" w:rsidP="0089323B">
      <w:pPr>
        <w:tabs>
          <w:tab w:val="left" w:pos="284"/>
        </w:tabs>
        <w:spacing w:after="80"/>
        <w:ind w:left="284"/>
        <w:jc w:val="both"/>
        <w:rPr>
          <w:sz w:val="18"/>
          <w:lang w:val="sl-SI"/>
        </w:rPr>
      </w:pPr>
      <w:r w:rsidRPr="00FC4A70">
        <w:rPr>
          <w:rFonts w:eastAsia="Calibri" w:cs="Calibri"/>
          <w:sz w:val="18"/>
          <w:szCs w:val="18"/>
          <w:bdr w:val="nil"/>
          <w:lang w:val="sl-SI"/>
        </w:rPr>
        <w:t>(iii) kršenje pravic intelektualne lastnine;</w:t>
      </w:r>
    </w:p>
    <w:p w14:paraId="7D39A61E" w14:textId="77777777" w:rsidR="00E03711" w:rsidRPr="0030441A" w:rsidRDefault="00E03711" w:rsidP="0089323B">
      <w:pPr>
        <w:tabs>
          <w:tab w:val="left" w:pos="284"/>
        </w:tabs>
        <w:spacing w:after="80"/>
        <w:ind w:left="284"/>
        <w:jc w:val="both"/>
        <w:rPr>
          <w:sz w:val="18"/>
          <w:lang w:val="sl-SI"/>
        </w:rPr>
      </w:pPr>
      <w:r w:rsidRPr="00FC4A70">
        <w:rPr>
          <w:rFonts w:eastAsia="Calibri" w:cs="Calibri"/>
          <w:sz w:val="18"/>
          <w:szCs w:val="18"/>
          <w:bdr w:val="nil"/>
          <w:lang w:val="sl-SI"/>
        </w:rPr>
        <w:t xml:space="preserve">(iv) poskus vplivanja na </w:t>
      </w:r>
      <w:r>
        <w:rPr>
          <w:rFonts w:eastAsia="Calibri" w:cs="Calibri"/>
          <w:sz w:val="18"/>
          <w:szCs w:val="18"/>
          <w:bdr w:val="nil"/>
          <w:lang w:val="sl-SI"/>
        </w:rPr>
        <w:t xml:space="preserve">postopek </w:t>
      </w:r>
      <w:r w:rsidRPr="00616235">
        <w:rPr>
          <w:rFonts w:eastAsia="Calibri" w:cs="Calibri"/>
          <w:sz w:val="18"/>
          <w:szCs w:val="18"/>
          <w:bdr w:val="nil"/>
          <w:lang w:val="sl-SI"/>
        </w:rPr>
        <w:t>odločanj</w:t>
      </w:r>
      <w:r>
        <w:rPr>
          <w:rFonts w:eastAsia="Calibri" w:cs="Calibri"/>
          <w:sz w:val="18"/>
          <w:szCs w:val="18"/>
          <w:bdr w:val="nil"/>
          <w:lang w:val="sl-SI"/>
        </w:rPr>
        <w:t>a</w:t>
      </w:r>
      <w:r w:rsidRPr="00FC4A70">
        <w:rPr>
          <w:rFonts w:eastAsia="Calibri" w:cs="Calibri"/>
          <w:sz w:val="18"/>
          <w:szCs w:val="18"/>
          <w:bdr w:val="nil"/>
          <w:lang w:val="sl-SI"/>
        </w:rPr>
        <w:t xml:space="preserve"> </w:t>
      </w:r>
      <w:r>
        <w:rPr>
          <w:rFonts w:eastAsia="Calibri" w:cs="Calibri"/>
          <w:sz w:val="18"/>
          <w:szCs w:val="18"/>
          <w:bdr w:val="nil"/>
          <w:lang w:val="sl-SI"/>
        </w:rPr>
        <w:t xml:space="preserve">odgovornega </w:t>
      </w:r>
      <w:r w:rsidRPr="00FC4A70">
        <w:rPr>
          <w:rFonts w:eastAsia="Calibri" w:cs="Calibri"/>
          <w:sz w:val="18"/>
          <w:szCs w:val="18"/>
          <w:bdr w:val="nil"/>
          <w:lang w:val="sl-SI"/>
        </w:rPr>
        <w:t>odredbodajalc</w:t>
      </w:r>
      <w:r>
        <w:rPr>
          <w:rFonts w:eastAsia="Calibri" w:cs="Calibri"/>
          <w:sz w:val="18"/>
          <w:szCs w:val="18"/>
          <w:bdr w:val="nil"/>
          <w:lang w:val="sl-SI"/>
        </w:rPr>
        <w:t xml:space="preserve">a med </w:t>
      </w:r>
      <w:r w:rsidRPr="00616235">
        <w:rPr>
          <w:rFonts w:eastAsia="Calibri" w:cs="Calibri"/>
          <w:sz w:val="18"/>
          <w:szCs w:val="18"/>
          <w:bdr w:val="nil"/>
          <w:lang w:val="sl-SI"/>
        </w:rPr>
        <w:t>postop</w:t>
      </w:r>
      <w:r>
        <w:rPr>
          <w:rFonts w:eastAsia="Calibri" w:cs="Calibri"/>
          <w:sz w:val="18"/>
          <w:szCs w:val="18"/>
          <w:bdr w:val="nil"/>
          <w:lang w:val="sl-SI"/>
        </w:rPr>
        <w:t>kom</w:t>
      </w:r>
      <w:r w:rsidRPr="00FC4A70">
        <w:rPr>
          <w:rFonts w:eastAsia="Calibri" w:cs="Calibri"/>
          <w:sz w:val="18"/>
          <w:szCs w:val="18"/>
          <w:bdr w:val="nil"/>
          <w:lang w:val="sl-SI"/>
        </w:rPr>
        <w:t xml:space="preserve"> </w:t>
      </w:r>
      <w:r>
        <w:rPr>
          <w:rFonts w:eastAsia="Calibri" w:cs="Calibri"/>
          <w:sz w:val="18"/>
          <w:szCs w:val="18"/>
          <w:bdr w:val="nil"/>
          <w:lang w:val="sl-SI"/>
        </w:rPr>
        <w:t>dodeljevanja</w:t>
      </w:r>
      <w:r w:rsidRPr="00FC4A70">
        <w:rPr>
          <w:rFonts w:eastAsia="Calibri" w:cs="Calibri"/>
          <w:sz w:val="18"/>
          <w:szCs w:val="18"/>
          <w:bdr w:val="nil"/>
          <w:lang w:val="sl-SI"/>
        </w:rPr>
        <w:t xml:space="preserve">; </w:t>
      </w:r>
    </w:p>
    <w:p w14:paraId="7D39A61F" w14:textId="77777777" w:rsidR="00E03711" w:rsidRPr="0030441A" w:rsidRDefault="00E03711" w:rsidP="0089323B">
      <w:pPr>
        <w:tabs>
          <w:tab w:val="left" w:pos="284"/>
        </w:tabs>
        <w:spacing w:after="80"/>
        <w:ind w:left="284"/>
        <w:jc w:val="both"/>
        <w:rPr>
          <w:sz w:val="18"/>
          <w:lang w:val="sl-SI"/>
        </w:rPr>
      </w:pPr>
      <w:r w:rsidRPr="00FC4A70">
        <w:rPr>
          <w:rFonts w:eastAsia="Calibri" w:cs="Calibri"/>
          <w:sz w:val="18"/>
          <w:szCs w:val="18"/>
          <w:bdr w:val="nil"/>
          <w:lang w:val="sl-SI"/>
        </w:rPr>
        <w:t xml:space="preserve">(v) poskus pridobitve zaupnih informacij, zaradi katerih bi lahko imel neupravičeno prednost v postopku </w:t>
      </w:r>
      <w:r>
        <w:rPr>
          <w:rFonts w:eastAsia="Calibri" w:cs="Calibri"/>
          <w:sz w:val="18"/>
          <w:szCs w:val="18"/>
          <w:bdr w:val="nil"/>
          <w:lang w:val="sl-SI"/>
        </w:rPr>
        <w:t>dodeljevanja</w:t>
      </w:r>
      <w:r w:rsidRPr="00FC4A70">
        <w:rPr>
          <w:rFonts w:eastAsia="Calibri" w:cs="Calibri"/>
          <w:sz w:val="18"/>
          <w:szCs w:val="18"/>
          <w:bdr w:val="nil"/>
          <w:lang w:val="sl-SI"/>
        </w:rPr>
        <w:t>;</w:t>
      </w:r>
    </w:p>
    <w:p w14:paraId="7D39A620" w14:textId="77777777" w:rsidR="00E03711" w:rsidRPr="0030441A" w:rsidRDefault="00E03711" w:rsidP="0089323B">
      <w:pPr>
        <w:tabs>
          <w:tab w:val="left" w:pos="284"/>
        </w:tabs>
        <w:spacing w:after="80"/>
        <w:jc w:val="both"/>
        <w:rPr>
          <w:sz w:val="18"/>
          <w:lang w:val="sl-SI"/>
        </w:rPr>
      </w:pPr>
      <w:r w:rsidRPr="00FC4A70">
        <w:rPr>
          <w:rFonts w:eastAsia="Calibri" w:cs="Calibri"/>
          <w:sz w:val="18"/>
          <w:szCs w:val="18"/>
          <w:bdr w:val="nil"/>
          <w:lang w:val="sl-SI"/>
        </w:rPr>
        <w:t>d)</w:t>
      </w:r>
      <w:r w:rsidRPr="00FC4A70">
        <w:rPr>
          <w:rFonts w:eastAsia="Calibri" w:cs="Calibri"/>
          <w:sz w:val="18"/>
          <w:szCs w:val="18"/>
          <w:bdr w:val="nil"/>
          <w:lang w:val="sl-SI"/>
        </w:rPr>
        <w:tab/>
        <w:t>je bilo s pravnomočno sodbo ugotovljeno, da je prijavitelj kriv česarkoli od naslednjega:</w:t>
      </w:r>
    </w:p>
    <w:p w14:paraId="7D39A621" w14:textId="77777777" w:rsidR="00E03711" w:rsidRPr="0030441A" w:rsidRDefault="00E03711" w:rsidP="0089323B">
      <w:pPr>
        <w:tabs>
          <w:tab w:val="left" w:pos="284"/>
        </w:tabs>
        <w:spacing w:after="80"/>
        <w:ind w:left="284"/>
        <w:jc w:val="both"/>
        <w:rPr>
          <w:sz w:val="18"/>
          <w:lang w:val="sl-SI"/>
        </w:rPr>
      </w:pPr>
      <w:r w:rsidRPr="00FC4A70">
        <w:rPr>
          <w:rFonts w:eastAsia="Calibri" w:cs="Calibri"/>
          <w:sz w:val="18"/>
          <w:szCs w:val="18"/>
          <w:bdr w:val="nil"/>
          <w:lang w:val="sl-SI"/>
        </w:rPr>
        <w:t>(i) goljufija v smislu člena</w:t>
      </w:r>
      <w:bookmarkStart w:id="404" w:name="_DV_C2134"/>
      <w:r w:rsidRPr="00FC4A70">
        <w:rPr>
          <w:rFonts w:eastAsia="Calibri" w:cs="Calibri"/>
          <w:sz w:val="18"/>
          <w:szCs w:val="18"/>
          <w:bdr w:val="nil"/>
          <w:lang w:val="sl-SI"/>
        </w:rPr>
        <w:t xml:space="preserve"> 3 Direktive (EU) 2017/1371 Evropskega parlamenta in Sveta</w:t>
      </w:r>
      <w:r w:rsidRPr="00FC4A70">
        <w:rPr>
          <w:rFonts w:eastAsia="Times New Roman" w:cs="Calibri"/>
          <w:noProof/>
          <w:sz w:val="18"/>
          <w:szCs w:val="18"/>
          <w:vertAlign w:val="superscript"/>
          <w:lang w:val="en-GB" w:eastAsia="en-GB"/>
        </w:rPr>
        <w:footnoteReference w:id="241"/>
      </w:r>
      <w:r w:rsidRPr="00FC4A70">
        <w:rPr>
          <w:rFonts w:eastAsia="Calibri" w:cs="Calibri"/>
          <w:sz w:val="18"/>
          <w:szCs w:val="18"/>
          <w:bdr w:val="nil"/>
          <w:lang w:val="sl-SI"/>
        </w:rPr>
        <w:t xml:space="preserve"> in člena</w:t>
      </w:r>
      <w:bookmarkStart w:id="405" w:name="_DV_M2370"/>
      <w:bookmarkEnd w:id="404"/>
      <w:bookmarkEnd w:id="405"/>
      <w:r w:rsidRPr="00FC4A70">
        <w:rPr>
          <w:rFonts w:eastAsia="Calibri" w:cs="Calibri"/>
          <w:sz w:val="18"/>
          <w:szCs w:val="18"/>
          <w:bdr w:val="nil"/>
          <w:lang w:val="sl-SI"/>
        </w:rPr>
        <w:t xml:space="preserve"> 1 Konvencije o zaščiti finančnih interesov Evropskih skupnosti, pripravljene z Aktom Sveta z dne 26. julija</w:t>
      </w:r>
      <w:bookmarkStart w:id="406" w:name="_DV_C2136"/>
      <w:r w:rsidRPr="00FC4A70">
        <w:rPr>
          <w:rFonts w:eastAsia="Calibri" w:cs="Calibri"/>
          <w:sz w:val="18"/>
          <w:szCs w:val="18"/>
          <w:bdr w:val="nil"/>
          <w:lang w:val="sl-SI"/>
        </w:rPr>
        <w:t xml:space="preserve"> 1995</w:t>
      </w:r>
      <w:r w:rsidRPr="00FC4A70">
        <w:rPr>
          <w:rFonts w:cs="Calibri"/>
          <w:sz w:val="18"/>
          <w:szCs w:val="18"/>
          <w:vertAlign w:val="superscript"/>
          <w:lang w:val="en-GB" w:bidi="lo-LA"/>
        </w:rPr>
        <w:footnoteReference w:id="242"/>
      </w:r>
      <w:bookmarkEnd w:id="406"/>
      <w:r w:rsidRPr="00FC4A70">
        <w:rPr>
          <w:rFonts w:eastAsia="Calibri" w:cs="Calibri"/>
          <w:sz w:val="18"/>
          <w:szCs w:val="18"/>
          <w:bdr w:val="nil"/>
          <w:lang w:val="sl-SI"/>
        </w:rPr>
        <w:t>;</w:t>
      </w:r>
    </w:p>
    <w:p w14:paraId="7D39A622" w14:textId="77777777" w:rsidR="00E03711" w:rsidRPr="0030441A" w:rsidRDefault="00E03711" w:rsidP="0089323B">
      <w:pPr>
        <w:tabs>
          <w:tab w:val="left" w:pos="284"/>
        </w:tabs>
        <w:spacing w:after="80"/>
        <w:ind w:left="284"/>
        <w:jc w:val="both"/>
        <w:rPr>
          <w:sz w:val="18"/>
          <w:lang w:val="sl-SI"/>
        </w:rPr>
      </w:pPr>
      <w:r w:rsidRPr="00FC4A70">
        <w:rPr>
          <w:rFonts w:eastAsia="Calibri" w:cs="Calibri"/>
          <w:sz w:val="18"/>
          <w:szCs w:val="18"/>
          <w:bdr w:val="nil"/>
          <w:lang w:val="sl-SI"/>
        </w:rPr>
        <w:t>(ii) korupcija, kot je opredeljena v členu</w:t>
      </w:r>
      <w:bookmarkStart w:id="407" w:name="_DV_C2139"/>
      <w:r w:rsidRPr="00FC4A70">
        <w:rPr>
          <w:rFonts w:eastAsia="Calibri" w:cs="Calibri"/>
          <w:sz w:val="18"/>
          <w:szCs w:val="18"/>
          <w:bdr w:val="nil"/>
          <w:lang w:val="sl-SI"/>
        </w:rPr>
        <w:t xml:space="preserve"> 4(2) Direktive (EU) 2017/1371 ali aktivna korupcija v smislu člena </w:t>
      </w:r>
      <w:bookmarkStart w:id="408" w:name="_DV_M2372"/>
      <w:bookmarkEnd w:id="407"/>
      <w:bookmarkEnd w:id="408"/>
      <w:r w:rsidRPr="00FC4A70">
        <w:rPr>
          <w:rFonts w:eastAsia="Calibri" w:cs="Calibri"/>
          <w:sz w:val="18"/>
          <w:szCs w:val="18"/>
          <w:bdr w:val="nil"/>
          <w:lang w:val="sl-SI"/>
        </w:rPr>
        <w:t>3 Konvencije o boju proti korupciji uradnikov Evropskih skupnosti ali uradnikov držav članic Evropske unije, pripravljene z Aktom Sveta z dne 26. maja</w:t>
      </w:r>
      <w:bookmarkStart w:id="409" w:name="_DV_C2141"/>
      <w:r w:rsidRPr="00FC4A70">
        <w:rPr>
          <w:rFonts w:eastAsia="Calibri" w:cs="Calibri"/>
          <w:sz w:val="18"/>
          <w:szCs w:val="18"/>
          <w:bdr w:val="nil"/>
          <w:lang w:val="sl-SI"/>
        </w:rPr>
        <w:t xml:space="preserve"> 1997</w:t>
      </w:r>
      <w:r w:rsidRPr="004E0501">
        <w:rPr>
          <w:rFonts w:eastAsia="Times New Roman" w:cs="Calibri"/>
          <w:noProof/>
          <w:sz w:val="18"/>
          <w:szCs w:val="18"/>
          <w:vertAlign w:val="superscript"/>
          <w:lang w:val="en-GB" w:eastAsia="en-GB"/>
        </w:rPr>
        <w:footnoteReference w:id="243"/>
      </w:r>
      <w:bookmarkStart w:id="411" w:name="_DV_M2373"/>
      <w:bookmarkEnd w:id="409"/>
      <w:bookmarkEnd w:id="411"/>
      <w:r w:rsidRPr="004E0501">
        <w:rPr>
          <w:rFonts w:eastAsia="Calibri" w:cs="Calibri"/>
          <w:sz w:val="18"/>
          <w:szCs w:val="18"/>
          <w:bdr w:val="nil"/>
          <w:vertAlign w:val="superscript"/>
          <w:lang w:val="sl-SI"/>
        </w:rPr>
        <w:t xml:space="preserve"> </w:t>
      </w:r>
      <w:bookmarkStart w:id="412" w:name="_DV_C2144"/>
      <w:r w:rsidRPr="00FC4A70">
        <w:rPr>
          <w:rFonts w:eastAsia="Calibri" w:cs="Calibri"/>
          <w:sz w:val="18"/>
          <w:szCs w:val="18"/>
          <w:bdr w:val="nil"/>
          <w:lang w:val="sl-SI"/>
        </w:rPr>
        <w:t xml:space="preserve">ali dejanjem, o katerem govori </w:t>
      </w:r>
      <w:bookmarkStart w:id="413" w:name="_DV_M2374"/>
      <w:bookmarkEnd w:id="412"/>
      <w:bookmarkEnd w:id="413"/>
      <w:r w:rsidRPr="00FC4A70">
        <w:rPr>
          <w:rFonts w:eastAsia="Calibri" w:cs="Calibri"/>
          <w:sz w:val="18"/>
          <w:szCs w:val="18"/>
          <w:bdr w:val="nil"/>
          <w:lang w:val="sl-SI"/>
        </w:rPr>
        <w:t>člen 2(1) Okvirnega sklepa Sveta 2003/568/PNZ</w:t>
      </w:r>
      <w:bookmarkStart w:id="414" w:name="_DV_C2146"/>
      <w:r w:rsidRPr="004E0501">
        <w:rPr>
          <w:rFonts w:eastAsia="Times New Roman" w:cs="Calibri"/>
          <w:noProof/>
          <w:sz w:val="18"/>
          <w:szCs w:val="18"/>
          <w:vertAlign w:val="superscript"/>
          <w:lang w:val="en-GB" w:eastAsia="en-GB"/>
        </w:rPr>
        <w:footnoteReference w:id="244"/>
      </w:r>
      <w:bookmarkStart w:id="416" w:name="_DV_M2375"/>
      <w:bookmarkEnd w:id="414"/>
      <w:bookmarkEnd w:id="416"/>
      <w:r w:rsidRPr="004E0501">
        <w:rPr>
          <w:rFonts w:eastAsia="Calibri" w:cs="Calibri"/>
          <w:sz w:val="18"/>
          <w:szCs w:val="18"/>
          <w:bdr w:val="nil"/>
          <w:vertAlign w:val="superscript"/>
          <w:lang w:val="sl-SI"/>
        </w:rPr>
        <w:t>,</w:t>
      </w:r>
      <w:r w:rsidRPr="00FC4A70">
        <w:rPr>
          <w:rFonts w:eastAsia="Calibri" w:cs="Calibri"/>
          <w:sz w:val="18"/>
          <w:szCs w:val="18"/>
          <w:bdr w:val="nil"/>
          <w:lang w:val="sl-SI"/>
        </w:rPr>
        <w:t xml:space="preserve"> ali korupcija, kot je opredeljena v drugih veljavnih zakonih;</w:t>
      </w:r>
    </w:p>
    <w:p w14:paraId="7D39A623" w14:textId="77777777" w:rsidR="00E03711" w:rsidRPr="0030441A" w:rsidRDefault="00E03711" w:rsidP="0089323B">
      <w:pPr>
        <w:tabs>
          <w:tab w:val="left" w:pos="284"/>
        </w:tabs>
        <w:spacing w:after="80"/>
        <w:ind w:left="284"/>
        <w:jc w:val="both"/>
        <w:rPr>
          <w:sz w:val="18"/>
          <w:lang w:val="sl-SI"/>
        </w:rPr>
      </w:pPr>
      <w:r w:rsidRPr="00FC4A70">
        <w:rPr>
          <w:rFonts w:eastAsia="Calibri" w:cs="Calibri"/>
          <w:sz w:val="18"/>
          <w:szCs w:val="18"/>
          <w:bdr w:val="nil"/>
          <w:lang w:val="sl-SI"/>
        </w:rPr>
        <w:t>(iii) ravnanje, povezano s</w:t>
      </w:r>
      <w:bookmarkStart w:id="417" w:name="_DV_M2377"/>
      <w:bookmarkEnd w:id="417"/>
      <w:r w:rsidRPr="00FC4A70">
        <w:rPr>
          <w:rFonts w:eastAsia="Calibri" w:cs="Calibri"/>
          <w:sz w:val="18"/>
          <w:szCs w:val="18"/>
          <w:bdr w:val="nil"/>
          <w:lang w:val="sl-SI"/>
        </w:rPr>
        <w:t xml:space="preserve"> hudodelsko združbo, kot </w:t>
      </w:r>
      <w:bookmarkStart w:id="418" w:name="_DV_C2152"/>
      <w:r>
        <w:rPr>
          <w:rFonts w:eastAsia="Calibri" w:cs="Calibri"/>
          <w:sz w:val="18"/>
          <w:szCs w:val="18"/>
          <w:bdr w:val="nil"/>
          <w:lang w:val="sl-SI"/>
        </w:rPr>
        <w:t xml:space="preserve">je </w:t>
      </w:r>
      <w:r w:rsidRPr="00FC4A70">
        <w:rPr>
          <w:rFonts w:eastAsia="Calibri" w:cs="Calibri"/>
          <w:sz w:val="18"/>
          <w:szCs w:val="18"/>
          <w:bdr w:val="nil"/>
          <w:lang w:val="sl-SI"/>
        </w:rPr>
        <w:t>navedeno</w:t>
      </w:r>
      <w:bookmarkStart w:id="419" w:name="_DV_M2378"/>
      <w:bookmarkEnd w:id="418"/>
      <w:bookmarkEnd w:id="419"/>
      <w:r w:rsidRPr="00FC4A70">
        <w:rPr>
          <w:rFonts w:eastAsia="Calibri" w:cs="Calibri"/>
          <w:sz w:val="18"/>
          <w:szCs w:val="18"/>
          <w:bdr w:val="nil"/>
          <w:lang w:val="sl-SI"/>
        </w:rPr>
        <w:t xml:space="preserve"> v členu 2 Okvirnega sklepa Sveta 2008/841/PNZ</w:t>
      </w:r>
      <w:bookmarkStart w:id="420" w:name="_DV_C2154"/>
      <w:r w:rsidRPr="00FC4A70">
        <w:rPr>
          <w:rFonts w:cs="Calibri"/>
          <w:sz w:val="18"/>
          <w:szCs w:val="18"/>
          <w:vertAlign w:val="superscript"/>
          <w:lang w:val="en-GB" w:bidi="lo-LA"/>
        </w:rPr>
        <w:footnoteReference w:id="245"/>
      </w:r>
      <w:bookmarkEnd w:id="420"/>
      <w:r w:rsidRPr="00FC4A70">
        <w:rPr>
          <w:rFonts w:eastAsia="Calibri" w:cs="Calibri"/>
          <w:sz w:val="18"/>
          <w:szCs w:val="18"/>
          <w:bdr w:val="nil"/>
          <w:lang w:val="sl-SI"/>
        </w:rPr>
        <w:t>;</w:t>
      </w:r>
    </w:p>
    <w:p w14:paraId="7D39A624" w14:textId="77777777" w:rsidR="00E03711" w:rsidRPr="0030441A" w:rsidRDefault="00E03711" w:rsidP="0089323B">
      <w:pPr>
        <w:tabs>
          <w:tab w:val="left" w:pos="284"/>
          <w:tab w:val="left" w:pos="709"/>
        </w:tabs>
        <w:spacing w:after="80"/>
        <w:ind w:left="284"/>
        <w:jc w:val="both"/>
        <w:rPr>
          <w:sz w:val="18"/>
          <w:lang w:val="sl-SI"/>
        </w:rPr>
      </w:pPr>
      <w:r w:rsidRPr="00FC4A70">
        <w:rPr>
          <w:rFonts w:eastAsia="Calibri" w:cs="Calibri"/>
          <w:sz w:val="18"/>
          <w:szCs w:val="18"/>
          <w:bdr w:val="nil"/>
          <w:lang w:val="sl-SI"/>
        </w:rPr>
        <w:t xml:space="preserve">(iv) pranje denarja ali financiranje terorizma </w:t>
      </w:r>
      <w:bookmarkStart w:id="422" w:name="_DV_C2158"/>
      <w:r w:rsidRPr="00FC4A70">
        <w:rPr>
          <w:rFonts w:eastAsia="Calibri" w:cs="Calibri"/>
          <w:sz w:val="18"/>
          <w:szCs w:val="18"/>
          <w:bdr w:val="nil"/>
          <w:lang w:val="sl-SI"/>
        </w:rPr>
        <w:t>v smislu</w:t>
      </w:r>
      <w:bookmarkStart w:id="423" w:name="_DV_M2381"/>
      <w:bookmarkEnd w:id="422"/>
      <w:bookmarkEnd w:id="423"/>
      <w:r w:rsidRPr="00FC4A70">
        <w:rPr>
          <w:rFonts w:eastAsia="Calibri" w:cs="Calibri"/>
          <w:sz w:val="18"/>
          <w:szCs w:val="18"/>
          <w:bdr w:val="nil"/>
          <w:lang w:val="sl-SI"/>
        </w:rPr>
        <w:t xml:space="preserve"> člena 1</w:t>
      </w:r>
      <w:bookmarkStart w:id="424" w:name="_DV_C2159"/>
      <w:r w:rsidRPr="00FC4A70">
        <w:rPr>
          <w:rFonts w:eastAsia="Calibri" w:cs="Calibri"/>
          <w:sz w:val="18"/>
          <w:szCs w:val="18"/>
          <w:bdr w:val="nil"/>
          <w:lang w:val="sl-SI"/>
        </w:rPr>
        <w:t>(3), (4) in (5)</w:t>
      </w:r>
      <w:bookmarkStart w:id="425" w:name="_DV_M2382"/>
      <w:bookmarkEnd w:id="424"/>
      <w:bookmarkEnd w:id="425"/>
      <w:r w:rsidRPr="00FC4A70">
        <w:rPr>
          <w:rFonts w:eastAsia="Calibri" w:cs="Calibri"/>
          <w:sz w:val="18"/>
          <w:szCs w:val="18"/>
          <w:bdr w:val="nil"/>
          <w:lang w:val="sl-SI"/>
        </w:rPr>
        <w:t xml:space="preserve"> Direktive </w:t>
      </w:r>
      <w:bookmarkStart w:id="426" w:name="_DV_C2161"/>
      <w:r w:rsidRPr="00FC4A70">
        <w:rPr>
          <w:rFonts w:eastAsia="Calibri" w:cs="Calibri"/>
          <w:sz w:val="18"/>
          <w:szCs w:val="18"/>
          <w:bdr w:val="nil"/>
          <w:lang w:val="sl-SI"/>
        </w:rPr>
        <w:t>(EU) 2015/849</w:t>
      </w:r>
      <w:bookmarkStart w:id="427" w:name="_DV_M2383"/>
      <w:bookmarkEnd w:id="426"/>
      <w:bookmarkEnd w:id="427"/>
      <w:r w:rsidRPr="00FC4A70">
        <w:rPr>
          <w:rFonts w:eastAsia="Calibri" w:cs="Calibri"/>
          <w:sz w:val="18"/>
          <w:szCs w:val="18"/>
          <w:bdr w:val="nil"/>
          <w:lang w:val="sl-SI"/>
        </w:rPr>
        <w:t xml:space="preserve"> Evropskega parlamenta in Sveta</w:t>
      </w:r>
      <w:bookmarkStart w:id="428" w:name="_DV_C2163"/>
      <w:r w:rsidRPr="00FC4A70">
        <w:rPr>
          <w:rFonts w:cs="Calibri"/>
          <w:sz w:val="18"/>
          <w:szCs w:val="18"/>
          <w:vertAlign w:val="superscript"/>
          <w:lang w:val="en-GB" w:bidi="lo-LA"/>
        </w:rPr>
        <w:footnoteReference w:id="246"/>
      </w:r>
      <w:bookmarkEnd w:id="428"/>
      <w:r w:rsidRPr="00FC4A70">
        <w:rPr>
          <w:rFonts w:eastAsia="Calibri" w:cs="Calibri"/>
          <w:sz w:val="18"/>
          <w:szCs w:val="18"/>
          <w:bdr w:val="nil"/>
          <w:lang w:val="sl-SI"/>
        </w:rPr>
        <w:t>;</w:t>
      </w:r>
    </w:p>
    <w:p w14:paraId="7D39A625" w14:textId="77777777" w:rsidR="00E03711" w:rsidRPr="0030441A" w:rsidRDefault="00E03711" w:rsidP="0089323B">
      <w:pPr>
        <w:tabs>
          <w:tab w:val="left" w:pos="284"/>
          <w:tab w:val="left" w:pos="709"/>
        </w:tabs>
        <w:spacing w:after="80"/>
        <w:ind w:left="284"/>
        <w:jc w:val="both"/>
        <w:rPr>
          <w:sz w:val="18"/>
          <w:lang w:val="sl-SI"/>
        </w:rPr>
      </w:pPr>
      <w:r w:rsidRPr="00FC4A70">
        <w:rPr>
          <w:rFonts w:eastAsia="Calibri" w:cs="Calibri"/>
          <w:sz w:val="18"/>
          <w:szCs w:val="18"/>
          <w:bdr w:val="nil"/>
          <w:lang w:val="sl-SI"/>
        </w:rPr>
        <w:t>(v) terorističnih kaznivih dejanj oziroma kaznivih dejanj, povezanih s terorističnimi dejavnostmi, kot so opredeljena v členu 1 oziroma 3 Okvirnega sklepa Sveta 2002/475/PNZ</w:t>
      </w:r>
      <w:bookmarkStart w:id="430" w:name="_DV_C2169"/>
      <w:r w:rsidRPr="00FC4A70">
        <w:rPr>
          <w:rStyle w:val="FootnoteReference"/>
          <w:rFonts w:cs="Calibri"/>
          <w:sz w:val="18"/>
          <w:szCs w:val="18"/>
          <w:lang w:val="en-GB" w:bidi="lo-LA"/>
        </w:rPr>
        <w:footnoteReference w:id="247"/>
      </w:r>
      <w:bookmarkStart w:id="432" w:name="_DV_M2386"/>
      <w:bookmarkEnd w:id="430"/>
      <w:bookmarkEnd w:id="432"/>
      <w:r w:rsidRPr="00FC4A70">
        <w:rPr>
          <w:rFonts w:eastAsia="Calibri" w:cs="Calibri"/>
          <w:sz w:val="18"/>
          <w:szCs w:val="18"/>
          <w:bdr w:val="nil"/>
          <w:lang w:val="sl-SI"/>
        </w:rPr>
        <w:t>, ali spodbujanja k storitvi takšnih kaznivih dejanj, pomoči ali podpore pri tem ali poskusa storitve takšnih kaznivih dejanj, kot je navedeno v členu 4 tega sklepa;</w:t>
      </w:r>
    </w:p>
    <w:p w14:paraId="7D39A626" w14:textId="77777777" w:rsidR="00E03711" w:rsidRPr="0030441A" w:rsidRDefault="00E03711" w:rsidP="0089323B">
      <w:pPr>
        <w:tabs>
          <w:tab w:val="left" w:pos="284"/>
          <w:tab w:val="left" w:pos="709"/>
        </w:tabs>
        <w:spacing w:after="80"/>
        <w:ind w:left="284"/>
        <w:jc w:val="both"/>
        <w:rPr>
          <w:sz w:val="18"/>
          <w:lang w:val="sl-SI"/>
        </w:rPr>
      </w:pPr>
      <w:r w:rsidRPr="00FC4A70">
        <w:rPr>
          <w:rFonts w:eastAsia="Calibri" w:cs="Calibri"/>
          <w:sz w:val="18"/>
          <w:szCs w:val="18"/>
          <w:bdr w:val="nil"/>
          <w:lang w:val="sl-SI"/>
        </w:rPr>
        <w:t>(vi)</w:t>
      </w:r>
      <w:r w:rsidRPr="00FC4A70">
        <w:rPr>
          <w:rFonts w:eastAsia="Calibri" w:cs="Calibri"/>
          <w:sz w:val="18"/>
          <w:szCs w:val="18"/>
          <w:bdr w:val="nil"/>
          <w:lang w:val="sl-SI"/>
        </w:rPr>
        <w:tab/>
      </w:r>
      <w:r>
        <w:rPr>
          <w:rFonts w:eastAsia="Calibri" w:cs="Calibri"/>
          <w:sz w:val="18"/>
          <w:szCs w:val="18"/>
          <w:bdr w:val="nil"/>
          <w:lang w:val="sl-SI"/>
        </w:rPr>
        <w:t xml:space="preserve">vpletenost v </w:t>
      </w:r>
      <w:r w:rsidRPr="00FC4A70">
        <w:rPr>
          <w:rFonts w:eastAsia="Calibri" w:cs="Calibri"/>
          <w:sz w:val="18"/>
          <w:szCs w:val="18"/>
          <w:bdr w:val="nil"/>
          <w:lang w:val="sl-SI"/>
        </w:rPr>
        <w:t xml:space="preserve">delo otrok ali druga </w:t>
      </w:r>
      <w:bookmarkStart w:id="433" w:name="_DV_C2173"/>
      <w:r w:rsidRPr="00FC4A70">
        <w:rPr>
          <w:rFonts w:eastAsia="Calibri" w:cs="Calibri"/>
          <w:color w:val="000000"/>
          <w:sz w:val="18"/>
          <w:szCs w:val="18"/>
          <w:bdr w:val="nil"/>
          <w:lang w:val="sl-SI"/>
        </w:rPr>
        <w:t>kazniva dejanja, povezana s</w:t>
      </w:r>
      <w:bookmarkStart w:id="434" w:name="_DV_M2388"/>
      <w:bookmarkEnd w:id="433"/>
      <w:bookmarkEnd w:id="434"/>
      <w:r w:rsidRPr="00FC4A70">
        <w:rPr>
          <w:rFonts w:eastAsia="Calibri" w:cs="Calibri"/>
          <w:sz w:val="18"/>
          <w:szCs w:val="18"/>
          <w:bdr w:val="nil"/>
          <w:lang w:val="sl-SI"/>
        </w:rPr>
        <w:t xml:space="preserve"> trgovino z ljudmi, kot</w:t>
      </w:r>
      <w:r>
        <w:rPr>
          <w:rFonts w:eastAsia="Calibri" w:cs="Calibri"/>
          <w:sz w:val="18"/>
          <w:szCs w:val="18"/>
          <w:bdr w:val="nil"/>
          <w:lang w:val="sl-SI"/>
        </w:rPr>
        <w:t xml:space="preserve"> je</w:t>
      </w:r>
      <w:r w:rsidRPr="00FC4A70">
        <w:rPr>
          <w:rFonts w:eastAsia="Calibri" w:cs="Calibri"/>
          <w:sz w:val="18"/>
          <w:szCs w:val="18"/>
          <w:bdr w:val="nil"/>
          <w:lang w:val="sl-SI"/>
        </w:rPr>
        <w:t xml:space="preserve"> </w:t>
      </w:r>
      <w:bookmarkStart w:id="435" w:name="_DV_C2175"/>
      <w:r w:rsidRPr="00FC4A70">
        <w:rPr>
          <w:rFonts w:eastAsia="Calibri" w:cs="Calibri"/>
          <w:color w:val="000000"/>
          <w:sz w:val="18"/>
          <w:szCs w:val="18"/>
          <w:bdr w:val="nil"/>
          <w:lang w:val="sl-SI"/>
        </w:rPr>
        <w:t>navedeno</w:t>
      </w:r>
      <w:bookmarkStart w:id="436" w:name="_DV_M2389"/>
      <w:bookmarkEnd w:id="435"/>
      <w:bookmarkEnd w:id="436"/>
      <w:r w:rsidRPr="00FC4A70">
        <w:rPr>
          <w:rFonts w:eastAsia="Calibri" w:cs="Calibri"/>
          <w:sz w:val="18"/>
          <w:szCs w:val="18"/>
          <w:bdr w:val="nil"/>
          <w:lang w:val="sl-SI"/>
        </w:rPr>
        <w:t xml:space="preserve"> v členu 2 Direktive 2011/36/EU Evropskega parlamenta in Sveta</w:t>
      </w:r>
      <w:bookmarkStart w:id="437" w:name="_DV_C2177"/>
      <w:r w:rsidRPr="00FC4A70">
        <w:rPr>
          <w:rStyle w:val="FootnoteReference"/>
          <w:rFonts w:cs="Calibri"/>
          <w:sz w:val="18"/>
          <w:szCs w:val="18"/>
          <w:lang w:val="en-GB" w:bidi="lo-LA"/>
        </w:rPr>
        <w:footnoteReference w:id="248"/>
      </w:r>
      <w:bookmarkEnd w:id="437"/>
      <w:r w:rsidRPr="00FC4A70">
        <w:rPr>
          <w:rFonts w:eastAsia="Calibri" w:cs="Calibri"/>
          <w:sz w:val="18"/>
          <w:szCs w:val="18"/>
          <w:bdr w:val="nil"/>
          <w:lang w:val="sl-SI"/>
        </w:rPr>
        <w:t>;</w:t>
      </w:r>
    </w:p>
    <w:p w14:paraId="7D39A627" w14:textId="77777777" w:rsidR="00E03711" w:rsidRPr="0030441A" w:rsidRDefault="00E03711" w:rsidP="0089323B">
      <w:pPr>
        <w:tabs>
          <w:tab w:val="left" w:pos="284"/>
        </w:tabs>
        <w:spacing w:after="80"/>
        <w:jc w:val="both"/>
        <w:rPr>
          <w:rFonts w:cs="Calibri"/>
          <w:sz w:val="18"/>
          <w:szCs w:val="18"/>
          <w:lang w:val="sl-SI" w:bidi="lo-LA"/>
        </w:rPr>
      </w:pPr>
      <w:r w:rsidRPr="00FC4A70">
        <w:rPr>
          <w:rFonts w:eastAsia="Calibri" w:cs="Calibri"/>
          <w:sz w:val="18"/>
          <w:szCs w:val="18"/>
          <w:bdr w:val="nil"/>
          <w:lang w:val="sl-SI"/>
        </w:rPr>
        <w:t>e)</w:t>
      </w:r>
      <w:r w:rsidRPr="00FC4A70">
        <w:rPr>
          <w:rFonts w:eastAsia="Calibri" w:cs="Calibri"/>
          <w:sz w:val="18"/>
          <w:szCs w:val="18"/>
          <w:bdr w:val="nil"/>
          <w:lang w:val="sl-SI"/>
        </w:rPr>
        <w:tab/>
        <w:t xml:space="preserve">prijavitelju </w:t>
      </w:r>
      <w:r>
        <w:rPr>
          <w:rFonts w:eastAsia="Calibri" w:cs="Calibri"/>
          <w:sz w:val="18"/>
          <w:szCs w:val="18"/>
          <w:bdr w:val="nil"/>
          <w:lang w:val="sl-SI"/>
        </w:rPr>
        <w:t xml:space="preserve">je zelo </w:t>
      </w:r>
      <w:r w:rsidRPr="00616235">
        <w:rPr>
          <w:rFonts w:eastAsia="Calibri" w:cs="Calibri"/>
          <w:sz w:val="18"/>
          <w:szCs w:val="18"/>
          <w:bdr w:val="nil"/>
          <w:lang w:val="sl-SI"/>
        </w:rPr>
        <w:t>pomanjkljivo</w:t>
      </w:r>
      <w:r w:rsidRPr="00FC4A70">
        <w:rPr>
          <w:rFonts w:eastAsia="Calibri" w:cs="Calibri"/>
          <w:sz w:val="18"/>
          <w:szCs w:val="18"/>
          <w:bdr w:val="nil"/>
          <w:lang w:val="sl-SI"/>
        </w:rPr>
        <w:t xml:space="preserve"> </w:t>
      </w:r>
      <w:r w:rsidRPr="00616235">
        <w:rPr>
          <w:rFonts w:eastAsia="Calibri" w:cs="Calibri"/>
          <w:sz w:val="18"/>
          <w:szCs w:val="18"/>
          <w:bdr w:val="nil"/>
          <w:lang w:val="sl-SI"/>
        </w:rPr>
        <w:t>izpolnjeva</w:t>
      </w:r>
      <w:r>
        <w:rPr>
          <w:rFonts w:eastAsia="Calibri" w:cs="Calibri"/>
          <w:sz w:val="18"/>
          <w:szCs w:val="18"/>
          <w:bdr w:val="nil"/>
          <w:lang w:val="sl-SI"/>
        </w:rPr>
        <w:t>l</w:t>
      </w:r>
      <w:r w:rsidRPr="00616235">
        <w:rPr>
          <w:rFonts w:eastAsia="Calibri" w:cs="Calibri"/>
          <w:sz w:val="18"/>
          <w:szCs w:val="18"/>
          <w:bdr w:val="nil"/>
          <w:lang w:val="sl-SI"/>
        </w:rPr>
        <w:t xml:space="preserve"> glavn</w:t>
      </w:r>
      <w:r>
        <w:rPr>
          <w:rFonts w:eastAsia="Calibri" w:cs="Calibri"/>
          <w:sz w:val="18"/>
          <w:szCs w:val="18"/>
          <w:bdr w:val="nil"/>
          <w:lang w:val="sl-SI"/>
        </w:rPr>
        <w:t>e</w:t>
      </w:r>
      <w:r w:rsidRPr="00FC4A70">
        <w:rPr>
          <w:rFonts w:eastAsia="Calibri" w:cs="Calibri"/>
          <w:sz w:val="18"/>
          <w:szCs w:val="18"/>
          <w:bdr w:val="nil"/>
          <w:lang w:val="sl-SI"/>
        </w:rPr>
        <w:t xml:space="preserve"> </w:t>
      </w:r>
      <w:r>
        <w:rPr>
          <w:rFonts w:eastAsia="Calibri" w:cs="Calibri"/>
          <w:sz w:val="18"/>
          <w:szCs w:val="18"/>
          <w:bdr w:val="nil"/>
          <w:lang w:val="sl-SI"/>
        </w:rPr>
        <w:t xml:space="preserve">naloge </w:t>
      </w:r>
      <w:r w:rsidRPr="00FC4A70">
        <w:rPr>
          <w:rFonts w:eastAsia="Calibri" w:cs="Calibri"/>
          <w:sz w:val="18"/>
          <w:szCs w:val="18"/>
          <w:bdr w:val="nil"/>
          <w:lang w:val="sl-SI"/>
        </w:rPr>
        <w:t xml:space="preserve">pri </w:t>
      </w:r>
      <w:r>
        <w:rPr>
          <w:rFonts w:eastAsia="Calibri" w:cs="Calibri"/>
          <w:sz w:val="18"/>
          <w:szCs w:val="18"/>
          <w:bdr w:val="nil"/>
          <w:lang w:val="sl-SI"/>
        </w:rPr>
        <w:t>i</w:t>
      </w:r>
      <w:r w:rsidRPr="0030441A">
        <w:rPr>
          <w:rFonts w:eastAsia="Calibri" w:cs="Calibri"/>
          <w:sz w:val="18"/>
          <w:szCs w:val="18"/>
          <w:bdr w:val="nil"/>
          <w:lang w:val="sl-SI"/>
        </w:rPr>
        <w:t xml:space="preserve">zvrševanju </w:t>
      </w:r>
      <w:r w:rsidRPr="00FC4A70">
        <w:rPr>
          <w:rFonts w:eastAsia="Calibri" w:cs="Calibri"/>
          <w:sz w:val="18"/>
          <w:szCs w:val="18"/>
          <w:bdr w:val="nil"/>
          <w:lang w:val="sl-SI"/>
        </w:rPr>
        <w:t>pravnih obveznosti, ki se financirajo iz proračuna, kar je:</w:t>
      </w:r>
    </w:p>
    <w:p w14:paraId="7D39A628" w14:textId="77777777" w:rsidR="00E03711" w:rsidRPr="0030441A" w:rsidRDefault="00E03711" w:rsidP="0089323B">
      <w:pPr>
        <w:tabs>
          <w:tab w:val="left" w:pos="284"/>
        </w:tabs>
        <w:spacing w:after="80"/>
        <w:ind w:left="284"/>
        <w:jc w:val="both"/>
        <w:rPr>
          <w:rFonts w:eastAsia="Times New Roman" w:cs="Calibri"/>
          <w:noProof/>
          <w:sz w:val="18"/>
          <w:szCs w:val="18"/>
          <w:lang w:val="sl-SI" w:eastAsia="en-GB"/>
        </w:rPr>
      </w:pPr>
      <w:r w:rsidRPr="00FC4A70">
        <w:rPr>
          <w:rFonts w:eastAsia="Calibri" w:cs="Calibri"/>
          <w:noProof/>
          <w:sz w:val="18"/>
          <w:szCs w:val="18"/>
          <w:bdr w:val="nil"/>
          <w:lang w:val="sl-SI" w:eastAsia="en-GB"/>
        </w:rPr>
        <w:t xml:space="preserve">(i) </w:t>
      </w:r>
      <w:r w:rsidRPr="00FC4A70">
        <w:rPr>
          <w:rFonts w:ascii="Times New Roman" w:eastAsia="Times New Roman" w:hAnsi="Times New Roman" w:cs="Times New Roman"/>
          <w:noProof/>
          <w:color w:val="000000"/>
          <w:bdr w:val="nil"/>
          <w:lang w:val="sl-SI" w:eastAsia="en-GB"/>
        </w:rPr>
        <w:t xml:space="preserve"> </w:t>
      </w:r>
      <w:r>
        <w:rPr>
          <w:rFonts w:eastAsia="Calibri" w:cs="Calibri"/>
          <w:noProof/>
          <w:color w:val="000000"/>
          <w:sz w:val="18"/>
          <w:szCs w:val="18"/>
          <w:bdr w:val="nil"/>
          <w:lang w:val="sl-SI" w:eastAsia="en-GB"/>
        </w:rPr>
        <w:t xml:space="preserve">privedlo do predčasnega preklica </w:t>
      </w:r>
      <w:r w:rsidRPr="00FC4A70">
        <w:rPr>
          <w:rFonts w:eastAsia="Calibri" w:cs="Calibri"/>
          <w:noProof/>
          <w:color w:val="000000"/>
          <w:sz w:val="18"/>
          <w:szCs w:val="18"/>
          <w:bdr w:val="nil"/>
          <w:lang w:val="sl-SI" w:eastAsia="en-GB"/>
        </w:rPr>
        <w:t>pravnih obveznosti</w:t>
      </w:r>
      <w:r w:rsidRPr="00FC4A70">
        <w:rPr>
          <w:rFonts w:eastAsia="Calibri" w:cs="Calibri"/>
          <w:noProof/>
          <w:sz w:val="18"/>
          <w:szCs w:val="18"/>
          <w:bdr w:val="nil"/>
          <w:lang w:val="sl-SI" w:eastAsia="en-GB"/>
        </w:rPr>
        <w:t>;</w:t>
      </w:r>
    </w:p>
    <w:p w14:paraId="7D39A629" w14:textId="77777777" w:rsidR="00E03711" w:rsidRPr="00FC4A70" w:rsidRDefault="00E03711" w:rsidP="0089323B">
      <w:pPr>
        <w:tabs>
          <w:tab w:val="left" w:pos="284"/>
        </w:tabs>
        <w:spacing w:after="80"/>
        <w:ind w:left="284"/>
        <w:jc w:val="both"/>
        <w:rPr>
          <w:rFonts w:eastAsia="Calibri" w:cs="Calibri"/>
          <w:noProof/>
          <w:color w:val="000000"/>
          <w:sz w:val="18"/>
          <w:szCs w:val="18"/>
          <w:bdr w:val="nil"/>
          <w:lang w:val="sl-SI" w:eastAsia="en-GB"/>
        </w:rPr>
      </w:pPr>
      <w:r w:rsidRPr="00FC4A70">
        <w:rPr>
          <w:rFonts w:eastAsia="Calibri" w:cs="Calibri"/>
          <w:noProof/>
          <w:sz w:val="18"/>
          <w:szCs w:val="18"/>
          <w:bdr w:val="nil"/>
          <w:lang w:val="sl-SI" w:eastAsia="en-GB"/>
        </w:rPr>
        <w:t xml:space="preserve">(ii) </w:t>
      </w:r>
      <w:r>
        <w:rPr>
          <w:rFonts w:eastAsia="Calibri" w:cs="Calibri"/>
          <w:noProof/>
          <w:color w:val="000000"/>
          <w:sz w:val="18"/>
          <w:szCs w:val="18"/>
          <w:bdr w:val="nil"/>
          <w:lang w:val="sl-SI" w:eastAsia="en-GB"/>
        </w:rPr>
        <w:t xml:space="preserve">privedlo do uporabe pavšalnih </w:t>
      </w:r>
      <w:r w:rsidRPr="00616235">
        <w:rPr>
          <w:rFonts w:eastAsia="Calibri" w:cs="Calibri"/>
          <w:noProof/>
          <w:color w:val="000000"/>
          <w:sz w:val="18"/>
          <w:szCs w:val="18"/>
          <w:bdr w:val="nil"/>
          <w:lang w:val="sl-SI" w:eastAsia="en-GB"/>
        </w:rPr>
        <w:t>odškodnin ali drug</w:t>
      </w:r>
      <w:r>
        <w:rPr>
          <w:rFonts w:eastAsia="Calibri" w:cs="Calibri"/>
          <w:noProof/>
          <w:color w:val="000000"/>
          <w:sz w:val="18"/>
          <w:szCs w:val="18"/>
          <w:bdr w:val="nil"/>
          <w:lang w:val="sl-SI" w:eastAsia="en-GB"/>
        </w:rPr>
        <w:t>ih</w:t>
      </w:r>
      <w:r w:rsidRPr="00616235">
        <w:rPr>
          <w:rFonts w:eastAsia="Calibri" w:cs="Calibri"/>
          <w:noProof/>
          <w:color w:val="000000"/>
          <w:sz w:val="18"/>
          <w:szCs w:val="18"/>
          <w:bdr w:val="nil"/>
          <w:lang w:val="sl-SI" w:eastAsia="en-GB"/>
        </w:rPr>
        <w:t xml:space="preserve"> pogodben</w:t>
      </w:r>
      <w:r>
        <w:rPr>
          <w:rFonts w:eastAsia="Calibri" w:cs="Calibri"/>
          <w:noProof/>
          <w:color w:val="000000"/>
          <w:sz w:val="18"/>
          <w:szCs w:val="18"/>
          <w:bdr w:val="nil"/>
          <w:lang w:val="sl-SI" w:eastAsia="en-GB"/>
        </w:rPr>
        <w:t>ih</w:t>
      </w:r>
      <w:r w:rsidRPr="00616235">
        <w:rPr>
          <w:rFonts w:eastAsia="Calibri" w:cs="Calibri"/>
          <w:noProof/>
          <w:color w:val="000000"/>
          <w:sz w:val="18"/>
          <w:szCs w:val="18"/>
          <w:bdr w:val="nil"/>
          <w:lang w:val="sl-SI" w:eastAsia="en-GB"/>
        </w:rPr>
        <w:t xml:space="preserve"> kaz</w:t>
      </w:r>
      <w:r w:rsidRPr="00FC4A70">
        <w:rPr>
          <w:rFonts w:eastAsia="Calibri" w:cs="Calibri"/>
          <w:noProof/>
          <w:color w:val="000000"/>
          <w:sz w:val="18"/>
          <w:szCs w:val="18"/>
          <w:bdr w:val="nil"/>
          <w:lang w:val="sl-SI" w:eastAsia="en-GB"/>
        </w:rPr>
        <w:t>n</w:t>
      </w:r>
      <w:r>
        <w:rPr>
          <w:rFonts w:eastAsia="Calibri" w:cs="Calibri"/>
          <w:noProof/>
          <w:color w:val="000000"/>
          <w:sz w:val="18"/>
          <w:szCs w:val="18"/>
          <w:bdr w:val="nil"/>
          <w:lang w:val="sl-SI" w:eastAsia="en-GB"/>
        </w:rPr>
        <w:t>i</w:t>
      </w:r>
      <w:r w:rsidRPr="00FC4A70">
        <w:rPr>
          <w:rFonts w:eastAsia="Calibri" w:cs="Calibri"/>
          <w:noProof/>
          <w:color w:val="000000"/>
          <w:sz w:val="18"/>
          <w:szCs w:val="18"/>
          <w:bdr w:val="nil"/>
          <w:lang w:val="sl-SI" w:eastAsia="en-GB"/>
        </w:rPr>
        <w:t>; ali;</w:t>
      </w:r>
    </w:p>
    <w:p w14:paraId="7D39A62A" w14:textId="77777777" w:rsidR="00E03711" w:rsidRPr="00FC4A70" w:rsidRDefault="00E03711" w:rsidP="0089323B">
      <w:pPr>
        <w:tabs>
          <w:tab w:val="left" w:pos="284"/>
        </w:tabs>
        <w:spacing w:after="80"/>
        <w:ind w:left="284" w:hanging="284"/>
        <w:jc w:val="both"/>
        <w:rPr>
          <w:rFonts w:eastAsia="Calibri" w:cs="Calibri"/>
          <w:noProof/>
          <w:color w:val="000000"/>
          <w:sz w:val="18"/>
          <w:szCs w:val="18"/>
          <w:bdr w:val="nil"/>
          <w:lang w:val="sl-SI" w:eastAsia="en-GB"/>
        </w:rPr>
      </w:pPr>
      <w:r w:rsidRPr="00FC4A70">
        <w:rPr>
          <w:rFonts w:eastAsia="Calibri" w:cs="Calibri"/>
          <w:noProof/>
          <w:sz w:val="18"/>
          <w:szCs w:val="18"/>
          <w:bdr w:val="nil"/>
          <w:lang w:val="sl-SI" w:eastAsia="en-GB"/>
        </w:rPr>
        <w:tab/>
        <w:t>(</w:t>
      </w:r>
      <w:r w:rsidRPr="00FC4A70">
        <w:rPr>
          <w:rFonts w:eastAsia="Calibri" w:cs="Calibri"/>
          <w:noProof/>
          <w:color w:val="000000"/>
          <w:sz w:val="18"/>
          <w:szCs w:val="18"/>
          <w:bdr w:val="nil"/>
          <w:lang w:val="sl-SI" w:eastAsia="en-GB"/>
        </w:rPr>
        <w:t>iii) bilo razkrito s strani odredbodajalca, OLAF ali Računskega sodišča</w:t>
      </w:r>
      <w:bookmarkStart w:id="439" w:name="_DV_M2392"/>
      <w:bookmarkEnd w:id="439"/>
      <w:r w:rsidRPr="00FC4A70">
        <w:rPr>
          <w:rFonts w:eastAsia="Calibri" w:cs="Calibri"/>
          <w:noProof/>
          <w:color w:val="000000"/>
          <w:sz w:val="18"/>
          <w:szCs w:val="18"/>
          <w:bdr w:val="nil"/>
          <w:lang w:val="sl-SI" w:eastAsia="en-GB"/>
        </w:rPr>
        <w:t xml:space="preserve"> po preverjanju, reviziji ali preiskavi; </w:t>
      </w:r>
    </w:p>
    <w:p w14:paraId="7D39A62B" w14:textId="77777777" w:rsidR="00E03711" w:rsidRPr="00FC4A70" w:rsidRDefault="00E03711" w:rsidP="0089323B">
      <w:pPr>
        <w:tabs>
          <w:tab w:val="left" w:pos="284"/>
        </w:tabs>
        <w:spacing w:after="80"/>
        <w:jc w:val="both"/>
        <w:rPr>
          <w:rFonts w:eastAsia="Calibri" w:cs="Calibri"/>
          <w:noProof/>
          <w:color w:val="000000"/>
          <w:sz w:val="18"/>
          <w:szCs w:val="18"/>
          <w:bdr w:val="nil"/>
          <w:lang w:val="sl-SI" w:eastAsia="en-GB"/>
        </w:rPr>
      </w:pPr>
      <w:r w:rsidRPr="00FC4A70">
        <w:rPr>
          <w:rFonts w:eastAsia="Calibri" w:cs="Calibri"/>
          <w:noProof/>
          <w:color w:val="000000"/>
          <w:sz w:val="18"/>
          <w:szCs w:val="18"/>
          <w:bdr w:val="nil"/>
          <w:lang w:val="sl-SI" w:eastAsia="en-GB"/>
        </w:rPr>
        <w:t>f)</w:t>
      </w:r>
      <w:r w:rsidRPr="00FC4A70">
        <w:rPr>
          <w:rFonts w:eastAsia="Calibri" w:cs="Calibri"/>
          <w:noProof/>
          <w:color w:val="000000"/>
          <w:sz w:val="18"/>
          <w:szCs w:val="18"/>
          <w:bdr w:val="nil"/>
          <w:lang w:val="sl-SI" w:eastAsia="en-GB"/>
        </w:rPr>
        <w:tab/>
        <w:t>je s pravnomočno sodbo ali pravnomočno upravno odločbo ugotovljeno, da je prijavitelj storil nepravilnost v smislu člena 1(2) Uredbe Sveta (ES, Euratom) št. 2988/</w:t>
      </w:r>
      <w:bookmarkStart w:id="440" w:name="_DV_C2182"/>
      <w:r w:rsidRPr="00FC4A70">
        <w:rPr>
          <w:rFonts w:eastAsia="Calibri" w:cs="Calibri"/>
          <w:noProof/>
          <w:color w:val="000000"/>
          <w:sz w:val="18"/>
          <w:szCs w:val="18"/>
          <w:bdr w:val="nil"/>
          <w:lang w:val="sl-SI" w:eastAsia="en-GB"/>
        </w:rPr>
        <w:t>95</w:t>
      </w:r>
      <w:r w:rsidRPr="004E0501">
        <w:rPr>
          <w:sz w:val="18"/>
          <w:szCs w:val="18"/>
          <w:vertAlign w:val="superscript"/>
          <w:lang w:val="sl-SI"/>
        </w:rPr>
        <w:footnoteReference w:id="249"/>
      </w:r>
      <w:bookmarkEnd w:id="440"/>
      <w:r w:rsidRPr="00FC4A70">
        <w:rPr>
          <w:rFonts w:eastAsia="Calibri" w:cs="Calibri"/>
          <w:noProof/>
          <w:color w:val="000000"/>
          <w:sz w:val="18"/>
          <w:szCs w:val="18"/>
          <w:bdr w:val="nil"/>
          <w:lang w:val="sl-SI" w:eastAsia="en-GB"/>
        </w:rPr>
        <w:t>;</w:t>
      </w:r>
    </w:p>
    <w:p w14:paraId="7D39A62C" w14:textId="77777777" w:rsidR="00E03711" w:rsidRPr="00FC4A70" w:rsidRDefault="00E03711" w:rsidP="0089323B">
      <w:pPr>
        <w:tabs>
          <w:tab w:val="left" w:pos="284"/>
        </w:tabs>
        <w:spacing w:after="80"/>
        <w:jc w:val="both"/>
        <w:rPr>
          <w:rFonts w:eastAsia="Times New Roman"/>
          <w:noProof/>
          <w:sz w:val="18"/>
          <w:szCs w:val="18"/>
          <w:lang w:val="sl-SI" w:eastAsia="en-GB"/>
        </w:rPr>
      </w:pPr>
      <w:r w:rsidRPr="00FC4A70">
        <w:rPr>
          <w:rFonts w:eastAsia="Calibri" w:cs="Calibri"/>
          <w:noProof/>
          <w:sz w:val="18"/>
          <w:szCs w:val="18"/>
          <w:bdr w:val="nil"/>
          <w:lang w:val="sl-SI" w:eastAsia="en-GB"/>
        </w:rPr>
        <w:t>g)</w:t>
      </w:r>
      <w:r w:rsidRPr="00FC4A70">
        <w:rPr>
          <w:rFonts w:eastAsia="Calibri" w:cs="Calibri"/>
          <w:noProof/>
          <w:sz w:val="18"/>
          <w:szCs w:val="18"/>
          <w:bdr w:val="nil"/>
          <w:lang w:val="sl-SI" w:eastAsia="en-GB"/>
        </w:rPr>
        <w:tab/>
        <w:t>je s pravnomočno sodbo ali pravnomočno upravno odločbo ugotovljeno, da je prijavitelj ustanovil subjekt v drugi jurisdikciji z namenom zaobiti davčne, socialne in druge pravne obveznosti v jurisdikciji, kjer ima registriran sedež, upravo ali glavni kraj poslovanja;</w:t>
      </w:r>
    </w:p>
    <w:p w14:paraId="7D39A62D" w14:textId="77777777" w:rsidR="00E03711" w:rsidRPr="00FC4A70" w:rsidRDefault="00E03711" w:rsidP="0089323B">
      <w:pPr>
        <w:tabs>
          <w:tab w:val="left" w:pos="284"/>
        </w:tabs>
        <w:spacing w:after="80"/>
        <w:jc w:val="both"/>
        <w:rPr>
          <w:rFonts w:eastAsia="Times New Roman"/>
          <w:noProof/>
          <w:sz w:val="18"/>
          <w:szCs w:val="18"/>
          <w:lang w:val="sl-SI" w:eastAsia="en-GB"/>
        </w:rPr>
      </w:pPr>
      <w:r w:rsidRPr="00FC4A70">
        <w:rPr>
          <w:rFonts w:eastAsia="Calibri" w:cs="Calibri"/>
          <w:noProof/>
          <w:sz w:val="18"/>
          <w:szCs w:val="18"/>
          <w:bdr w:val="nil"/>
          <w:lang w:val="sl-SI" w:eastAsia="en-GB"/>
        </w:rPr>
        <w:t>h)</w:t>
      </w:r>
      <w:r w:rsidRPr="00FC4A70">
        <w:rPr>
          <w:rFonts w:eastAsia="Calibri" w:cs="Calibri"/>
          <w:noProof/>
          <w:sz w:val="18"/>
          <w:szCs w:val="18"/>
          <w:bdr w:val="nil"/>
          <w:lang w:val="sl-SI" w:eastAsia="en-GB"/>
        </w:rPr>
        <w:tab/>
        <w:t>je s pravnomočno sodbo ali pravnomočno upravno odločbo ugotovljeno, da je bil subjekt ustanovljen z namenom iz točke (g) zgoraj;</w:t>
      </w:r>
    </w:p>
    <w:p w14:paraId="7D39A62E" w14:textId="77777777" w:rsidR="00E03711" w:rsidRPr="00FC4A70" w:rsidRDefault="00E03711" w:rsidP="0089323B">
      <w:pPr>
        <w:tabs>
          <w:tab w:val="left" w:pos="284"/>
        </w:tabs>
        <w:spacing w:after="80"/>
        <w:jc w:val="both"/>
        <w:rPr>
          <w:sz w:val="18"/>
          <w:lang w:val="sl-SI"/>
        </w:rPr>
      </w:pPr>
      <w:r w:rsidRPr="00FC4A70">
        <w:rPr>
          <w:rFonts w:eastAsia="Calibri" w:cs="Calibri"/>
          <w:noProof/>
          <w:sz w:val="18"/>
          <w:szCs w:val="18"/>
          <w:bdr w:val="nil"/>
          <w:lang w:val="sl-SI" w:eastAsia="en-GB"/>
        </w:rPr>
        <w:t>i)</w:t>
      </w:r>
      <w:r w:rsidRPr="00FC4A70">
        <w:rPr>
          <w:rFonts w:eastAsia="Calibri" w:cs="Calibri"/>
          <w:noProof/>
          <w:sz w:val="18"/>
          <w:szCs w:val="18"/>
          <w:bdr w:val="nil"/>
          <w:lang w:val="sl-SI" w:eastAsia="en-GB"/>
        </w:rPr>
        <w:tab/>
        <w:t xml:space="preserve">če ni nobene pravnomočne sodbe, ali kadar je ustrezno, pravnomočne upravne odločbe in je prijavitelj v eni od okoliščin iz točk od (c) (d), (f), (g) in (h) zgoraj zlasti zaradi: </w:t>
      </w:r>
    </w:p>
    <w:p w14:paraId="7D39A62F" w14:textId="77777777" w:rsidR="00E03711" w:rsidRPr="00FC4A70" w:rsidRDefault="00E03711" w:rsidP="0089323B">
      <w:pPr>
        <w:tabs>
          <w:tab w:val="left" w:pos="284"/>
          <w:tab w:val="left" w:pos="709"/>
        </w:tabs>
        <w:spacing w:after="80"/>
        <w:ind w:left="284"/>
        <w:jc w:val="both"/>
        <w:rPr>
          <w:sz w:val="18"/>
          <w:lang w:val="sl-SI"/>
        </w:rPr>
      </w:pPr>
      <w:r w:rsidRPr="00FC4A70">
        <w:rPr>
          <w:rFonts w:eastAsia="Calibri" w:cs="Calibri"/>
          <w:sz w:val="18"/>
          <w:szCs w:val="18"/>
          <w:bdr w:val="nil"/>
          <w:lang w:val="sl-SI"/>
        </w:rPr>
        <w:t xml:space="preserve">i. dejstev, ugotovljenih med revizijami ali preiskavami, ki so jih izvedle </w:t>
      </w:r>
      <w:bookmarkStart w:id="442" w:name="_DV_C2198"/>
      <w:r w:rsidRPr="00FC4A70">
        <w:rPr>
          <w:rFonts w:eastAsia="Calibri" w:cs="Calibri"/>
          <w:color w:val="000000"/>
          <w:sz w:val="18"/>
          <w:szCs w:val="18"/>
          <w:bdr w:val="nil"/>
          <w:lang w:val="sl-SI"/>
        </w:rPr>
        <w:t xml:space="preserve">EPPO za tiste države članice okrepljenega povezovanja v skladu z Uredbo sveta (EU) 2017/1939, Računsko sodišče, OLAF ali </w:t>
      </w:r>
      <w:bookmarkStart w:id="443" w:name="_DV_M2406"/>
      <w:bookmarkStart w:id="444" w:name="_DV_C2199"/>
      <w:bookmarkStart w:id="445" w:name="_DV_M2407"/>
      <w:bookmarkEnd w:id="442"/>
      <w:bookmarkEnd w:id="443"/>
      <w:bookmarkEnd w:id="444"/>
      <w:bookmarkEnd w:id="445"/>
      <w:r w:rsidRPr="00FC4A70">
        <w:rPr>
          <w:rFonts w:eastAsia="Calibri" w:cs="Calibri"/>
          <w:color w:val="000000"/>
          <w:sz w:val="18"/>
          <w:szCs w:val="18"/>
          <w:bdr w:val="nil"/>
          <w:lang w:val="sl-SI"/>
        </w:rPr>
        <w:t>notranji</w:t>
      </w:r>
      <w:r w:rsidRPr="00FC4A70">
        <w:rPr>
          <w:rFonts w:eastAsia="Calibri" w:cs="Calibri"/>
          <w:sz w:val="18"/>
          <w:szCs w:val="18"/>
          <w:bdr w:val="nil"/>
          <w:lang w:val="sl-SI"/>
        </w:rPr>
        <w:t xml:space="preserve"> </w:t>
      </w:r>
      <w:bookmarkStart w:id="446" w:name="_DV_C2201"/>
      <w:r w:rsidRPr="00FC4A70">
        <w:rPr>
          <w:rFonts w:eastAsia="Calibri" w:cs="Calibri"/>
          <w:color w:val="000000"/>
          <w:sz w:val="18"/>
          <w:szCs w:val="18"/>
          <w:bdr w:val="nil"/>
          <w:lang w:val="sl-SI"/>
        </w:rPr>
        <w:t>revizor</w:t>
      </w:r>
      <w:bookmarkStart w:id="447" w:name="_DV_M2408"/>
      <w:bookmarkEnd w:id="446"/>
      <w:bookmarkEnd w:id="447"/>
      <w:r w:rsidRPr="00FC4A70">
        <w:rPr>
          <w:rFonts w:eastAsia="Calibri" w:cs="Calibri"/>
          <w:sz w:val="18"/>
          <w:szCs w:val="18"/>
          <w:bdr w:val="nil"/>
          <w:lang w:val="sl-SI"/>
        </w:rPr>
        <w:t xml:space="preserve"> ali med katerim koli drugim preverjanjem, revizijo ali nadzorom, za katero je odgovoren odredbodajalec; </w:t>
      </w:r>
    </w:p>
    <w:p w14:paraId="7D39A630" w14:textId="77777777" w:rsidR="00E03711" w:rsidRPr="00FC4A70" w:rsidRDefault="00E03711" w:rsidP="0089323B">
      <w:pPr>
        <w:tabs>
          <w:tab w:val="left" w:pos="284"/>
          <w:tab w:val="left" w:pos="709"/>
        </w:tabs>
        <w:spacing w:after="80"/>
        <w:ind w:left="284"/>
        <w:jc w:val="both"/>
        <w:rPr>
          <w:sz w:val="18"/>
          <w:lang w:val="sl-SI"/>
        </w:rPr>
      </w:pPr>
      <w:r w:rsidRPr="00FC4A70">
        <w:rPr>
          <w:rFonts w:eastAsia="Calibri" w:cs="Calibri"/>
          <w:sz w:val="18"/>
          <w:szCs w:val="18"/>
          <w:bdr w:val="nil"/>
          <w:lang w:val="sl-SI"/>
        </w:rPr>
        <w:t xml:space="preserve">ii. nepravnomočnih upravnih odločb, ki lahko vključujejo disciplinske ukrepe, ki jih je sprejel pristojni nadzorni organ, odgovoren za to, da preveri, ali se uporabljajo standardi poklicne etike; </w:t>
      </w:r>
    </w:p>
    <w:p w14:paraId="7D39A631" w14:textId="77777777" w:rsidR="00E03711" w:rsidRPr="00FC4A70" w:rsidRDefault="00E03711" w:rsidP="0089323B">
      <w:pPr>
        <w:tabs>
          <w:tab w:val="left" w:pos="284"/>
          <w:tab w:val="left" w:pos="709"/>
        </w:tabs>
        <w:spacing w:after="80"/>
        <w:ind w:left="284"/>
        <w:jc w:val="both"/>
        <w:rPr>
          <w:rFonts w:eastAsia="Times New Roman"/>
          <w:noProof/>
          <w:sz w:val="18"/>
          <w:szCs w:val="18"/>
          <w:lang w:val="sl-SI" w:eastAsia="en-GB"/>
        </w:rPr>
      </w:pPr>
      <w:r w:rsidRPr="00FC4A70">
        <w:rPr>
          <w:rFonts w:eastAsia="Calibri" w:cs="Calibri"/>
          <w:sz w:val="18"/>
          <w:szCs w:val="18"/>
          <w:bdr w:val="nil"/>
          <w:lang w:val="sl-SI"/>
        </w:rPr>
        <w:t>iii. dejstev</w:t>
      </w:r>
      <w:r w:rsidRPr="00FC4A70">
        <w:rPr>
          <w:rFonts w:eastAsia="Calibri" w:cs="Calibri"/>
          <w:color w:val="000000"/>
          <w:sz w:val="18"/>
          <w:szCs w:val="18"/>
          <w:bdr w:val="nil"/>
          <w:lang w:val="sl-SI"/>
        </w:rPr>
        <w:t xml:space="preserve">, navedenih v </w:t>
      </w:r>
      <w:bookmarkStart w:id="448" w:name="_DV_M2411"/>
      <w:bookmarkEnd w:id="448"/>
      <w:r w:rsidRPr="00FC4A70">
        <w:rPr>
          <w:rFonts w:eastAsia="Calibri" w:cs="Calibri"/>
          <w:sz w:val="18"/>
          <w:szCs w:val="18"/>
          <w:bdr w:val="nil"/>
          <w:lang w:val="sl-SI"/>
        </w:rPr>
        <w:t xml:space="preserve">sklepih oseb in subjektov, ki upravljajo sredstva Unije v skladu s točko (c) prvega pododstavka člena 62(1); </w:t>
      </w:r>
    </w:p>
    <w:p w14:paraId="7D39A632" w14:textId="77777777" w:rsidR="00E03711" w:rsidRPr="00FC4A70" w:rsidRDefault="00E03711" w:rsidP="0089323B">
      <w:pPr>
        <w:tabs>
          <w:tab w:val="left" w:pos="284"/>
          <w:tab w:val="left" w:pos="709"/>
        </w:tabs>
        <w:spacing w:after="80"/>
        <w:ind w:left="284"/>
        <w:jc w:val="both"/>
        <w:rPr>
          <w:sz w:val="18"/>
          <w:lang w:val="sl-SI"/>
        </w:rPr>
      </w:pPr>
      <w:r w:rsidRPr="00FC4A70">
        <w:rPr>
          <w:rFonts w:eastAsia="Calibri" w:cs="Calibri"/>
          <w:noProof/>
          <w:sz w:val="18"/>
          <w:szCs w:val="18"/>
          <w:bdr w:val="nil"/>
          <w:lang w:val="sl-SI" w:eastAsia="en-GB"/>
        </w:rPr>
        <w:t xml:space="preserve">iv. informacij, </w:t>
      </w:r>
      <w:r w:rsidRPr="00FC4A70">
        <w:rPr>
          <w:rFonts w:eastAsia="Calibri" w:cs="Calibri"/>
          <w:noProof/>
          <w:color w:val="000000"/>
          <w:sz w:val="18"/>
          <w:szCs w:val="18"/>
          <w:bdr w:val="nil"/>
          <w:lang w:val="sl-SI" w:eastAsia="en-GB"/>
        </w:rPr>
        <w:t>ki se prenašajo v skladu s točko (d) člena 142(2) Finančne uredbe EU, s</w:t>
      </w:r>
      <w:bookmarkStart w:id="449" w:name="_DV_M2412"/>
      <w:bookmarkEnd w:id="449"/>
      <w:r w:rsidRPr="00FC4A70">
        <w:rPr>
          <w:rFonts w:eastAsia="Calibri" w:cs="Calibri"/>
          <w:noProof/>
          <w:sz w:val="18"/>
          <w:szCs w:val="18"/>
          <w:bdr w:val="nil"/>
          <w:lang w:val="sl-SI" w:eastAsia="en-GB"/>
        </w:rPr>
        <w:t xml:space="preserve"> strani entitet, ki upravljajo </w:t>
      </w:r>
      <w:bookmarkStart w:id="450" w:name="_DV_C2207"/>
      <w:r w:rsidRPr="00FC4A70">
        <w:rPr>
          <w:rFonts w:eastAsia="Calibri" w:cs="Calibri"/>
          <w:noProof/>
          <w:color w:val="000000"/>
          <w:sz w:val="18"/>
          <w:szCs w:val="18"/>
          <w:bdr w:val="nil"/>
          <w:lang w:val="sl-SI" w:eastAsia="en-GB"/>
        </w:rPr>
        <w:t>sredstva Unije</w:t>
      </w:r>
      <w:bookmarkStart w:id="451" w:name="_DV_M2413"/>
      <w:bookmarkEnd w:id="450"/>
      <w:bookmarkEnd w:id="451"/>
      <w:r w:rsidRPr="00FC4A70">
        <w:rPr>
          <w:rFonts w:eastAsia="Calibri" w:cs="Calibri"/>
          <w:noProof/>
          <w:sz w:val="18"/>
          <w:szCs w:val="18"/>
          <w:bdr w:val="nil"/>
          <w:lang w:val="sl-SI" w:eastAsia="en-GB"/>
        </w:rPr>
        <w:t xml:space="preserve"> v skladu s </w:t>
      </w:r>
      <w:bookmarkStart w:id="452" w:name="_DV_C2208"/>
      <w:r w:rsidRPr="00FC4A70">
        <w:rPr>
          <w:rFonts w:eastAsia="Calibri" w:cs="Calibri"/>
          <w:noProof/>
          <w:color w:val="000000"/>
          <w:sz w:val="18"/>
          <w:szCs w:val="18"/>
          <w:bdr w:val="nil"/>
          <w:lang w:val="sl-SI" w:eastAsia="en-GB"/>
        </w:rPr>
        <w:t>točko (b)</w:t>
      </w:r>
      <w:r w:rsidRPr="00FC4A70">
        <w:rPr>
          <w:rFonts w:ascii="Times New Roman" w:eastAsia="Times New Roman" w:hAnsi="Times New Roman" w:cs="Times New Roman"/>
          <w:noProof/>
          <w:color w:val="000000"/>
          <w:bdr w:val="nil"/>
          <w:lang w:val="sl-SI" w:eastAsia="en-GB"/>
        </w:rPr>
        <w:t xml:space="preserve"> </w:t>
      </w:r>
      <w:bookmarkStart w:id="453" w:name="_DV_M2414"/>
      <w:bookmarkEnd w:id="452"/>
      <w:bookmarkEnd w:id="453"/>
      <w:r w:rsidRPr="00FC4A70">
        <w:rPr>
          <w:rFonts w:eastAsia="Calibri" w:cs="Calibri"/>
          <w:noProof/>
          <w:sz w:val="18"/>
          <w:szCs w:val="18"/>
          <w:bdr w:val="nil"/>
          <w:lang w:val="sl-SI" w:eastAsia="en-GB"/>
        </w:rPr>
        <w:t>prvega pododstavka člena</w:t>
      </w:r>
      <w:bookmarkStart w:id="454" w:name="_DV_C2210"/>
      <w:r w:rsidRPr="00FC4A70">
        <w:rPr>
          <w:rFonts w:eastAsia="Calibri" w:cs="Calibri"/>
          <w:noProof/>
          <w:sz w:val="18"/>
          <w:szCs w:val="18"/>
          <w:bdr w:val="nil"/>
          <w:lang w:val="sl-SI" w:eastAsia="en-GB"/>
        </w:rPr>
        <w:t xml:space="preserve"> </w:t>
      </w:r>
      <w:r w:rsidRPr="00FC4A70">
        <w:rPr>
          <w:rFonts w:eastAsia="Calibri" w:cs="Calibri"/>
          <w:noProof/>
          <w:color w:val="000000"/>
          <w:sz w:val="18"/>
          <w:szCs w:val="18"/>
          <w:bdr w:val="nil"/>
          <w:lang w:val="sl-SI" w:eastAsia="en-GB"/>
        </w:rPr>
        <w:t>62(1)</w:t>
      </w:r>
      <w:bookmarkEnd w:id="454"/>
      <w:r w:rsidRPr="00FC4A70">
        <w:rPr>
          <w:rFonts w:eastAsia="Calibri" w:cs="Calibri"/>
          <w:noProof/>
          <w:color w:val="000000"/>
          <w:sz w:val="18"/>
          <w:szCs w:val="18"/>
          <w:bdr w:val="nil"/>
          <w:lang w:val="sl-SI" w:eastAsia="en-GB"/>
        </w:rPr>
        <w:t xml:space="preserve"> Finančne uredbe EU</w:t>
      </w:r>
      <w:r w:rsidRPr="00FC4A70">
        <w:rPr>
          <w:rFonts w:eastAsia="Calibri" w:cs="Calibri"/>
          <w:noProof/>
          <w:sz w:val="18"/>
          <w:szCs w:val="18"/>
          <w:bdr w:val="nil"/>
          <w:lang w:val="sl-SI" w:eastAsia="en-GB"/>
        </w:rPr>
        <w:t>.</w:t>
      </w:r>
    </w:p>
    <w:p w14:paraId="7D39A633" w14:textId="77777777" w:rsidR="00E03711" w:rsidRDefault="00E03711" w:rsidP="0089323B">
      <w:pPr>
        <w:tabs>
          <w:tab w:val="left" w:pos="284"/>
          <w:tab w:val="left" w:pos="709"/>
        </w:tabs>
        <w:spacing w:after="80"/>
        <w:ind w:left="284"/>
        <w:jc w:val="both"/>
        <w:rPr>
          <w:rFonts w:eastAsia="Calibri" w:cs="Calibri"/>
          <w:noProof/>
          <w:sz w:val="18"/>
          <w:szCs w:val="18"/>
          <w:bdr w:val="nil"/>
          <w:lang w:val="sl-SI" w:eastAsia="en-GB"/>
        </w:rPr>
      </w:pPr>
      <w:r w:rsidRPr="00FC4A70">
        <w:rPr>
          <w:rFonts w:eastAsia="Calibri" w:cs="Calibri"/>
          <w:noProof/>
          <w:sz w:val="18"/>
          <w:szCs w:val="18"/>
          <w:bdr w:val="nil"/>
          <w:lang w:val="sl-SI" w:eastAsia="en-GB"/>
        </w:rPr>
        <w:t xml:space="preserve">v. sklepov Komisije v zvezi s kršitvijo pravil </w:t>
      </w:r>
      <w:bookmarkStart w:id="455" w:name="_DV_M2417"/>
      <w:bookmarkEnd w:id="455"/>
      <w:r w:rsidRPr="00FC4A70">
        <w:rPr>
          <w:rFonts w:eastAsia="Calibri" w:cs="Calibri"/>
          <w:noProof/>
          <w:sz w:val="18"/>
          <w:szCs w:val="18"/>
          <w:bdr w:val="nil"/>
          <w:lang w:val="sl-SI" w:eastAsia="en-GB"/>
        </w:rPr>
        <w:t>Unije</w:t>
      </w:r>
      <w:bookmarkStart w:id="456" w:name="_DV_M2418"/>
      <w:bookmarkEnd w:id="456"/>
      <w:r w:rsidRPr="00FC4A70">
        <w:rPr>
          <w:rFonts w:eastAsia="Calibri" w:cs="Calibri"/>
          <w:noProof/>
          <w:sz w:val="18"/>
          <w:szCs w:val="18"/>
          <w:bdr w:val="nil"/>
          <w:lang w:val="sl-SI" w:eastAsia="en-GB"/>
        </w:rPr>
        <w:t xml:space="preserve"> o </w:t>
      </w:r>
      <w:bookmarkStart w:id="457" w:name="_DV_C2214"/>
      <w:r w:rsidRPr="00FC4A70">
        <w:rPr>
          <w:rFonts w:eastAsia="Calibri" w:cs="Calibri"/>
          <w:noProof/>
          <w:color w:val="000000"/>
          <w:sz w:val="18"/>
          <w:szCs w:val="18"/>
          <w:bdr w:val="nil"/>
          <w:lang w:val="sl-SI" w:eastAsia="en-GB"/>
        </w:rPr>
        <w:t>konkurenci</w:t>
      </w:r>
      <w:bookmarkStart w:id="458" w:name="_DV_M2419"/>
      <w:bookmarkEnd w:id="457"/>
      <w:bookmarkEnd w:id="458"/>
      <w:r w:rsidRPr="00FC4A70">
        <w:rPr>
          <w:rFonts w:eastAsia="Calibri" w:cs="Calibri"/>
          <w:noProof/>
          <w:sz w:val="18"/>
          <w:szCs w:val="18"/>
          <w:bdr w:val="nil"/>
          <w:lang w:val="sl-SI" w:eastAsia="en-GB"/>
        </w:rPr>
        <w:t xml:space="preserve"> ali sklepov nacionalnega pristojnega organa v zvezi s kršitvijo prava Unije o konkurenci ali nacionalnega konkurenčnega prava.</w:t>
      </w:r>
    </w:p>
    <w:p w14:paraId="7D39A634" w14:textId="77777777" w:rsidR="00E03711" w:rsidRPr="009B6570" w:rsidRDefault="00E03711" w:rsidP="009B6570">
      <w:pPr>
        <w:tabs>
          <w:tab w:val="left" w:pos="284"/>
          <w:tab w:val="left" w:pos="709"/>
        </w:tabs>
        <w:spacing w:after="80"/>
        <w:ind w:left="284"/>
        <w:jc w:val="both"/>
        <w:rPr>
          <w:lang w:val="sl-SI"/>
        </w:rPr>
      </w:pPr>
      <w:r>
        <w:rPr>
          <w:rFonts w:eastAsia="Calibri" w:cs="Calibri"/>
          <w:noProof/>
          <w:sz w:val="18"/>
          <w:szCs w:val="18"/>
          <w:bdr w:val="nil"/>
          <w:lang w:val="sl-SI" w:eastAsia="en-GB"/>
        </w:rPr>
        <w:t xml:space="preserve">vi) </w:t>
      </w:r>
      <w:r w:rsidRPr="009B6570">
        <w:rPr>
          <w:sz w:val="18"/>
          <w:szCs w:val="18"/>
          <w:lang w:val="sl-SI"/>
        </w:rPr>
        <w:t>sklepov o izključitvi, ki jih sprejme odredbodajalec institucije EU, evropskega urada ali agencije ali urada EU</w:t>
      </w:r>
      <w:r>
        <w:rPr>
          <w:sz w:val="18"/>
          <w:szCs w:val="18"/>
          <w:lang w:val="sl-SI"/>
        </w:rPr>
        <w:t>.</w:t>
      </w:r>
      <w:r w:rsidRPr="009B6570">
        <w:rPr>
          <w:sz w:val="18"/>
          <w:szCs w:val="18"/>
          <w:lang w:val="sl-SI"/>
        </w:rPr>
        <w:t xml:space="preserve"> </w:t>
      </w:r>
    </w:p>
    <w:p w14:paraId="7D39A635" w14:textId="77777777" w:rsidR="00E03711" w:rsidRDefault="00E03711" w:rsidP="0089323B">
      <w:pPr>
        <w:tabs>
          <w:tab w:val="left" w:pos="284"/>
          <w:tab w:val="left" w:pos="709"/>
        </w:tabs>
        <w:spacing w:after="80"/>
        <w:ind w:left="284"/>
        <w:jc w:val="both"/>
        <w:rPr>
          <w:sz w:val="18"/>
          <w:lang w:val="sl-SI"/>
        </w:rPr>
      </w:pPr>
    </w:p>
    <w:p w14:paraId="7D39A636" w14:textId="77777777" w:rsidR="00E03711" w:rsidRPr="00FC4A70" w:rsidRDefault="00E03711" w:rsidP="0089323B">
      <w:pPr>
        <w:tabs>
          <w:tab w:val="left" w:pos="284"/>
          <w:tab w:val="left" w:pos="709"/>
        </w:tabs>
        <w:spacing w:after="80"/>
        <w:ind w:left="284"/>
        <w:jc w:val="both"/>
        <w:rPr>
          <w:sz w:val="18"/>
          <w:lang w:val="sl-SI"/>
        </w:rPr>
      </w:pPr>
    </w:p>
    <w:p w14:paraId="7D39A637" w14:textId="77777777" w:rsidR="00E03711" w:rsidRPr="00FC4A70" w:rsidRDefault="00E03711" w:rsidP="0089323B">
      <w:pPr>
        <w:tabs>
          <w:tab w:val="left" w:pos="284"/>
        </w:tabs>
        <w:spacing w:after="80"/>
        <w:jc w:val="both"/>
        <w:rPr>
          <w:rFonts w:eastAsia="Times New Roman"/>
          <w:noProof/>
          <w:sz w:val="18"/>
          <w:szCs w:val="18"/>
          <w:lang w:val="sl-SI" w:eastAsia="en-GB"/>
        </w:rPr>
      </w:pPr>
      <w:r w:rsidRPr="00FC4A70">
        <w:rPr>
          <w:rFonts w:eastAsia="Calibri" w:cs="Calibri"/>
          <w:noProof/>
          <w:sz w:val="18"/>
          <w:szCs w:val="18"/>
          <w:bdr w:val="nil"/>
          <w:lang w:val="sl-SI" w:eastAsia="en-GB"/>
        </w:rPr>
        <w:t>j)</w:t>
      </w:r>
      <w:r w:rsidRPr="00FC4A70">
        <w:rPr>
          <w:rFonts w:eastAsia="Calibri" w:cs="Calibri"/>
          <w:noProof/>
          <w:sz w:val="18"/>
          <w:szCs w:val="18"/>
          <w:bdr w:val="nil"/>
          <w:lang w:val="sl-SI" w:eastAsia="en-GB"/>
        </w:rPr>
        <w:tab/>
        <w:t xml:space="preserve">prijavitelj iz člena 135(2), kjer:  </w:t>
      </w:r>
    </w:p>
    <w:p w14:paraId="7D39A638" w14:textId="77777777" w:rsidR="00E03711" w:rsidRPr="00FC4A70" w:rsidRDefault="00E03711" w:rsidP="0089323B">
      <w:pPr>
        <w:tabs>
          <w:tab w:val="left" w:pos="284"/>
          <w:tab w:val="left" w:pos="709"/>
        </w:tabs>
        <w:spacing w:after="80"/>
        <w:ind w:left="284"/>
        <w:jc w:val="both"/>
        <w:rPr>
          <w:sz w:val="18"/>
          <w:lang w:val="sl-SI"/>
        </w:rPr>
      </w:pPr>
      <w:r w:rsidRPr="00FC4A70">
        <w:rPr>
          <w:rFonts w:eastAsia="Calibri" w:cs="Calibri"/>
          <w:noProof/>
          <w:sz w:val="18"/>
          <w:szCs w:val="18"/>
          <w:bdr w:val="nil"/>
          <w:lang w:val="sl-SI" w:eastAsia="en-GB"/>
        </w:rPr>
        <w:t xml:space="preserve">i. fizična ali pravna oseba, ki je član administrativnega, upravnega ali nadzornega organa prijavitelja iz člena 135(2) ali oseba, ki je pravni zastopnik prijavitelja, ima možnost odločanja ali nad njim nadzor, se je znašla v eni ali več situacij iz točk (c) do (h) zgoraj; </w:t>
      </w:r>
    </w:p>
    <w:p w14:paraId="7D39A639" w14:textId="77777777" w:rsidR="00E03711" w:rsidRPr="00FC4A70" w:rsidRDefault="00E03711" w:rsidP="0089323B">
      <w:pPr>
        <w:tabs>
          <w:tab w:val="left" w:pos="284"/>
          <w:tab w:val="left" w:pos="709"/>
        </w:tabs>
        <w:spacing w:after="80"/>
        <w:ind w:left="284"/>
        <w:jc w:val="both"/>
        <w:rPr>
          <w:rFonts w:eastAsia="Calibri" w:cs="Calibri"/>
          <w:noProof/>
          <w:sz w:val="18"/>
          <w:szCs w:val="18"/>
          <w:bdr w:val="nil"/>
          <w:lang w:val="sl-SI" w:eastAsia="en-GB"/>
        </w:rPr>
      </w:pPr>
      <w:r w:rsidRPr="00FC4A70">
        <w:rPr>
          <w:rFonts w:eastAsia="Calibri" w:cs="Calibri"/>
          <w:noProof/>
          <w:sz w:val="18"/>
          <w:szCs w:val="18"/>
          <w:bdr w:val="nil"/>
          <w:lang w:val="sl-SI" w:eastAsia="en-GB"/>
        </w:rPr>
        <w:t>ii. fizična ali pravna oseba, ki prevzame neomejeno odgovornost za dolgove prijavitelja iz člena 135(</w:t>
      </w:r>
      <w:bookmarkStart w:id="459" w:name="_DV_M2444"/>
      <w:bookmarkEnd w:id="459"/>
      <w:r w:rsidRPr="00FC4A70">
        <w:rPr>
          <w:rFonts w:eastAsia="Calibri" w:cs="Calibri"/>
          <w:i/>
          <w:iCs/>
          <w:noProof/>
          <w:color w:val="000000"/>
          <w:sz w:val="18"/>
          <w:szCs w:val="18"/>
          <w:bdr w:val="nil"/>
          <w:lang w:val="sl-SI" w:eastAsia="en-GB"/>
        </w:rPr>
        <w:t>2</w:t>
      </w:r>
      <w:r w:rsidRPr="00FC4A70">
        <w:rPr>
          <w:rFonts w:eastAsia="Calibri" w:cs="Calibri"/>
          <w:noProof/>
          <w:sz w:val="18"/>
          <w:szCs w:val="18"/>
          <w:bdr w:val="nil"/>
          <w:lang w:val="sl-SI" w:eastAsia="en-GB"/>
        </w:rPr>
        <w:t>), se je znašla v eni ali več situacij iz točk (a) ali (b) zgoraj;</w:t>
      </w:r>
    </w:p>
    <w:p w14:paraId="7D39A63A" w14:textId="77777777" w:rsidR="00E03711" w:rsidRPr="00FC4A70" w:rsidRDefault="00E03711" w:rsidP="0089323B">
      <w:pPr>
        <w:tabs>
          <w:tab w:val="left" w:pos="284"/>
          <w:tab w:val="left" w:pos="709"/>
        </w:tabs>
        <w:spacing w:after="80"/>
        <w:ind w:left="284"/>
        <w:jc w:val="both"/>
        <w:rPr>
          <w:rFonts w:eastAsia="Times New Roman"/>
          <w:noProof/>
          <w:sz w:val="18"/>
          <w:szCs w:val="18"/>
          <w:lang w:val="sl-SI" w:eastAsia="en-GB"/>
        </w:rPr>
      </w:pPr>
      <w:r w:rsidRPr="00FC4A70">
        <w:rPr>
          <w:rFonts w:eastAsia="Calibri" w:cs="Calibri"/>
          <w:noProof/>
          <w:sz w:val="18"/>
          <w:szCs w:val="18"/>
          <w:bdr w:val="nil"/>
          <w:lang w:val="sl-SI" w:eastAsia="en-GB"/>
        </w:rPr>
        <w:t>iii. fizična oseba, ki je bistvena za dodeljevanje ali uresničevanje pravnih obveznosti se je znašla v eni ali več situacij iz točk (c) do (</w:t>
      </w:r>
      <w:r w:rsidRPr="00FC4A70">
        <w:rPr>
          <w:rFonts w:eastAsia="Calibri" w:cs="Calibri"/>
          <w:i/>
          <w:iCs/>
          <w:noProof/>
          <w:color w:val="000000"/>
          <w:sz w:val="18"/>
          <w:szCs w:val="18"/>
          <w:bdr w:val="nil"/>
          <w:lang w:val="sl-SI" w:eastAsia="en-GB"/>
        </w:rPr>
        <w:t>h</w:t>
      </w:r>
      <w:r w:rsidRPr="00FC4A70">
        <w:rPr>
          <w:rFonts w:eastAsia="Calibri" w:cs="Calibri"/>
          <w:noProof/>
          <w:sz w:val="18"/>
          <w:szCs w:val="18"/>
          <w:bdr w:val="nil"/>
          <w:lang w:val="sl-SI" w:eastAsia="en-GB"/>
        </w:rPr>
        <w:t>) zgoraj.</w:t>
      </w:r>
    </w:p>
    <w:p w14:paraId="7D39A63B" w14:textId="77777777" w:rsidR="00E03711" w:rsidRPr="001048FE" w:rsidRDefault="00E03711" w:rsidP="00030686">
      <w:pPr>
        <w:pStyle w:val="GUIDE-NORMAL"/>
        <w:rPr>
          <w:lang w:val="sl-SI"/>
        </w:rPr>
      </w:pPr>
      <w:bookmarkStart w:id="460" w:name="_DV_M2446"/>
      <w:bookmarkEnd w:id="460"/>
      <w:r w:rsidRPr="001048FE">
        <w:rPr>
          <w:lang w:val="sl-SI"/>
        </w:rPr>
        <w:t>Če je prijavitelj v kateri koli od navedenih situacij za izključitev, mora navesti ukrepe, ki jih je sprejel za odpravo situacije za izključitev, s čimer dokaže, da je zanesljiv. Ukrepi lahko vključujejo na primer tehnične, organizacijske in kadrovske ukrepe za preprečitev nadaljnjih ponovitev, nadomestilo za škodo ali plačilo glob. To ne velja za situacije iz točke (d) tega oddelka.</w:t>
      </w:r>
    </w:p>
    <w:p w14:paraId="7D39A63C" w14:textId="77777777" w:rsidR="00E03711" w:rsidRPr="001048FE" w:rsidRDefault="00E03711" w:rsidP="00030686">
      <w:pPr>
        <w:pStyle w:val="GUIDE-NORMAL"/>
        <w:rPr>
          <w:lang w:val="sl-SI"/>
        </w:rPr>
      </w:pPr>
      <w:r w:rsidRPr="001048FE">
        <w:rPr>
          <w:lang w:val="sl-SI"/>
        </w:rPr>
        <w:t>V primerih iz točk od (c) do (</w:t>
      </w:r>
      <w:r>
        <w:rPr>
          <w:lang w:val="sl-SI"/>
        </w:rPr>
        <w:t>h</w:t>
      </w:r>
      <w:r w:rsidRPr="001048FE">
        <w:rPr>
          <w:lang w:val="sl-SI"/>
        </w:rPr>
        <w:t>) in če ni nobene pravnomočne sodbe, ali kadar je ustrezno, pravnomočne upravne odločbe, lahko nacionalna ali Izvajalska agencija prijavitelja začasno izključi iz sodelovanja na razpisu za zbiranje predlogov, če bi njegova udeležba pomenila resno in neposredno grožnjo za finančne interese Unije.</w:t>
      </w:r>
    </w:p>
    <w:p w14:paraId="7D39A63D" w14:textId="77777777" w:rsidR="00E03711" w:rsidRPr="001048FE" w:rsidRDefault="00E03711" w:rsidP="00030686">
      <w:pPr>
        <w:pStyle w:val="GUIDE-NORMAL"/>
        <w:rPr>
          <w:lang w:val="sl-SI"/>
        </w:rPr>
      </w:pPr>
      <w:r w:rsidRPr="001048FE">
        <w:rPr>
          <w:lang w:val="sl-SI"/>
        </w:rPr>
        <w:t>Če so v ukrepu, za katerega je prijavitelj predložil predlog, predvidene posebne določbe za udeležbo povezanih subjektov, tudi zanje veljajo ista merila za izključitev. Prijaviteljem ali, kadar je ustrezno, povezanim subjektom se lahko zavrne sodelovanje v tem postopku in izrečejo upravne sankcije (izključitev ali denarna kazen), če se izkaže, da so izjave ali informacije, predložene kot pogoj za sodelovanje v tem postopku, lažne.</w:t>
      </w:r>
    </w:p>
    <w:p w14:paraId="7D39A63E" w14:textId="77777777" w:rsidR="00E03711" w:rsidRPr="001048FE" w:rsidRDefault="00E03711" w:rsidP="00517C47">
      <w:pPr>
        <w:pStyle w:val="GUIDE-NORMAL"/>
        <w:rPr>
          <w:lang w:val="sl-SI"/>
        </w:rPr>
      </w:pPr>
      <w:r w:rsidRPr="001048FE">
        <w:rPr>
          <w:lang w:val="sl-SI"/>
        </w:rPr>
        <w:t>Nacionalna ali Izvajalska agencija lahko na svojem spletišču objavi naslednje informacije, povezane z izključitvijo, in kadar je ustrezno, denarno kaznijo v primerih iz točk (c)</w:t>
      </w:r>
      <w:r>
        <w:rPr>
          <w:lang w:val="sl-SI"/>
        </w:rPr>
        <w:t xml:space="preserve"> do (h</w:t>
      </w:r>
      <w:r w:rsidRPr="001048FE">
        <w:rPr>
          <w:lang w:val="sl-SI"/>
        </w:rPr>
        <w:t>) zgornjega oddelka:</w:t>
      </w:r>
    </w:p>
    <w:p w14:paraId="7D39A63F" w14:textId="77777777" w:rsidR="00E03711" w:rsidRDefault="00E03711" w:rsidP="005115F2">
      <w:pPr>
        <w:pStyle w:val="Guide-NormalBulletpoints"/>
        <w:numPr>
          <w:ilvl w:val="0"/>
          <w:numId w:val="170"/>
        </w:numPr>
        <w:rPr>
          <w:lang w:val="sl-SI"/>
        </w:rPr>
      </w:pPr>
      <w:r w:rsidRPr="001048FE">
        <w:rPr>
          <w:lang w:val="sl-SI"/>
        </w:rPr>
        <w:t>ime zadevnega prijavitelja;</w:t>
      </w:r>
    </w:p>
    <w:p w14:paraId="7D39A640" w14:textId="77777777" w:rsidR="00E03711" w:rsidRDefault="00E03711" w:rsidP="005115F2">
      <w:pPr>
        <w:pStyle w:val="Guide-NormalBulletpoints"/>
        <w:numPr>
          <w:ilvl w:val="0"/>
          <w:numId w:val="170"/>
        </w:numPr>
        <w:rPr>
          <w:lang w:val="sl-SI"/>
        </w:rPr>
      </w:pPr>
      <w:r w:rsidRPr="001048FE">
        <w:rPr>
          <w:lang w:val="sl-SI"/>
        </w:rPr>
        <w:t>situacija za izključitev;</w:t>
      </w:r>
    </w:p>
    <w:p w14:paraId="7D39A641" w14:textId="77777777" w:rsidR="00E03711" w:rsidRDefault="00E03711" w:rsidP="005115F2">
      <w:pPr>
        <w:pStyle w:val="Guide-NormalBulletpoints"/>
        <w:numPr>
          <w:ilvl w:val="0"/>
          <w:numId w:val="170"/>
        </w:numPr>
        <w:rPr>
          <w:lang w:val="sl-SI"/>
        </w:rPr>
      </w:pPr>
      <w:r w:rsidRPr="001048FE">
        <w:rPr>
          <w:lang w:val="sl-SI"/>
        </w:rPr>
        <w:t>trajanje izključitve in/ali znesek denarne kazni.</w:t>
      </w:r>
    </w:p>
    <w:p w14:paraId="7D39A642" w14:textId="77777777" w:rsidR="00E03711" w:rsidRPr="001048FE" w:rsidRDefault="00E03711" w:rsidP="00517C47">
      <w:pPr>
        <w:pStyle w:val="GUIDE-NORMAL"/>
        <w:rPr>
          <w:lang w:val="sl-SI"/>
        </w:rPr>
      </w:pPr>
      <w:r w:rsidRPr="001048FE">
        <w:rPr>
          <w:lang w:val="sl-SI"/>
        </w:rPr>
        <w:t>Ta merila za izključitev veljajo za prijavitelje v okviru vseh ukrepov programa Erasmus+. Prijavitelji morajo v primeru vloge za nepovratna sredstva EU predložiti častno izjavo, s katero potrjujejo, da niso v nobeni od navedenih okoliščin. Ta častna izjava je poseben razdelek ali priloga k prijavnemu obrazcu.</w:t>
      </w:r>
    </w:p>
    <w:p w14:paraId="7D39A643" w14:textId="77777777" w:rsidR="00E03711" w:rsidRPr="001048FE" w:rsidRDefault="00E03711" w:rsidP="00030686">
      <w:pPr>
        <w:pStyle w:val="GUIDE-NORMAL"/>
        <w:rPr>
          <w:lang w:val="sl-SI"/>
        </w:rPr>
      </w:pPr>
      <w:r w:rsidRPr="001048FE">
        <w:rPr>
          <w:lang w:val="sl-SI"/>
        </w:rPr>
        <w:t>V primeru predlogov, predloženih v imenu konzorcija partnerjev, opisana merila veljajo za vse sodelujoče organizacije, ki so vključene v projekt.</w:t>
      </w:r>
    </w:p>
    <w:p w14:paraId="7D39A644" w14:textId="77777777" w:rsidR="00E03711" w:rsidRPr="001048FE" w:rsidRDefault="00E03711" w:rsidP="00030686">
      <w:pPr>
        <w:pStyle w:val="GUIDE-NORMAL"/>
        <w:rPr>
          <w:lang w:val="sl-SI"/>
        </w:rPr>
      </w:pPr>
      <w:r>
        <w:rPr>
          <w:rFonts w:eastAsia="Calibri" w:cs="Calibri"/>
          <w:bdr w:val="nil"/>
          <w:lang w:val="sl-SI" w:eastAsia="en-GB"/>
        </w:rPr>
        <w:t>V skladu s členi od 136 do 142 finančne uredbe EU se lahko prijaviteljem, ki so dali zavajajoče informacije ali so hudo kršili pogodbene obveznosti v predhodnem postopku dodelitve nepovratnih sredstev, izrečejo upravne ali denarne kazni.</w:t>
      </w:r>
      <w:r w:rsidRPr="001048FE">
        <w:rPr>
          <w:rStyle w:val="FootnoteReference"/>
          <w:lang w:val="sl-SI"/>
        </w:rPr>
        <w:footnoteReference w:id="250"/>
      </w:r>
    </w:p>
    <w:p w14:paraId="7D39A645" w14:textId="77777777" w:rsidR="00E03711" w:rsidRPr="001048FE" w:rsidRDefault="00E03711" w:rsidP="00030686">
      <w:pPr>
        <w:pStyle w:val="GUIDE-NORMAL"/>
        <w:rPr>
          <w:lang w:val="sl-SI"/>
        </w:rPr>
      </w:pPr>
      <w:r w:rsidRPr="001048FE">
        <w:rPr>
          <w:lang w:val="sl-SI"/>
        </w:rPr>
        <w:t>Poleg tega Komisija meni, da so ali bi lahko bile v primeru izvajanja ukrepov, ki so zajeti v vodniku za prijavitelje, naslednje organizacije v navzkrižju interesov in torej niso ali ne bi mogle biti upravičene do sodelovanja:</w:t>
      </w:r>
    </w:p>
    <w:p w14:paraId="7D39A646" w14:textId="77777777" w:rsidR="00E03711" w:rsidRPr="001048FE" w:rsidRDefault="00E03711" w:rsidP="005115F2">
      <w:pPr>
        <w:pStyle w:val="Guide-NormalBulletpoints"/>
        <w:numPr>
          <w:ilvl w:val="0"/>
          <w:numId w:val="275"/>
        </w:numPr>
        <w:rPr>
          <w:lang w:val="sl-SI"/>
        </w:rPr>
      </w:pPr>
      <w:r w:rsidRPr="001048FE">
        <w:rPr>
          <w:lang w:val="sl-SI"/>
        </w:rPr>
        <w:t>nacionalni organi, ki so pristojni za nadzor nacionalnih agencij in izvajanje programa Erasmus+ v svoji državi, ne morejo oddati vloge za kateri koli ukrep, ki ga upravljajo nacionalne agencije v kateri koli državi, ali v njem sodelovati, lahko pa se prijavijo za sodelovanje (kot prijavitelji ali partnerji) v ukrepih, ki jih upravlja Izvajalska agencija ali GD EAC, razen če to ni izrecno izključeno za zadevni ukrep (kot je navedeno v delu B tega vodnika);</w:t>
      </w:r>
    </w:p>
    <w:p w14:paraId="7D39A647" w14:textId="77777777" w:rsidR="00E03711" w:rsidRPr="001048FE" w:rsidRDefault="00E03711" w:rsidP="005115F2">
      <w:pPr>
        <w:pStyle w:val="Guide-NormalBulletpoints"/>
        <w:numPr>
          <w:ilvl w:val="0"/>
          <w:numId w:val="274"/>
        </w:numPr>
        <w:rPr>
          <w:lang w:val="sl-SI"/>
        </w:rPr>
      </w:pPr>
      <w:r w:rsidRPr="001048FE">
        <w:rPr>
          <w:lang w:val="sl-SI"/>
        </w:rPr>
        <w:t>nacionalne agencije (edina aktivnost njihovega pravnega subjekta) ali oddelki pravnih subjektov v nacionalnih agencijah, ki se ukvarjajo z aktivnostmi zunaj pristojnosti nacionalnih agencij, ne morejo oddati vloge za kateri koli ukrep, ki se izvaja s tem vodnikom, ali v njem sodelovati;</w:t>
      </w:r>
    </w:p>
    <w:p w14:paraId="7D39A648" w14:textId="77777777" w:rsidR="00E03711" w:rsidRPr="001048FE" w:rsidRDefault="00E03711" w:rsidP="005115F2">
      <w:pPr>
        <w:pStyle w:val="Guide-NormalBulletpoints"/>
        <w:numPr>
          <w:ilvl w:val="0"/>
          <w:numId w:val="274"/>
        </w:numPr>
        <w:rPr>
          <w:lang w:val="sl-SI"/>
        </w:rPr>
      </w:pPr>
      <w:r w:rsidRPr="001048FE">
        <w:rPr>
          <w:lang w:val="sl-SI"/>
        </w:rPr>
        <w:t>strukture in omrežja, ki so opredeljeni ali določeni v pravni podlagi programa Erasmus+ ali katerega koli drugega letnega delovnega programa, ki ga sprejme Komisija za izvajanje programa Erasmus+, ker bodo prejeli poseben finančni prispevek Komisije v okviru izvajanja programa Erasmus+, ter ki jih gosti pravni subjekt, ki gosti tudi nacionalno agencijo, ne morejo oddati vloge za kateri koli ukrep, ki ga upravljajo nacionalne agencije programa Erasmus+ v kateri koli državi, ali v njem sodelovati, lahko pa se prijavijo za sodelovanje (kot prijavitelji ali partnerji) v ukrepih, ki jih upravlja Izvajalska agencija ali GD EAC, razen če to ni izrecno izključeno za zadevni ukrep (kot je navedeno v delu B tega vodnika); pred dodelitvijo nepovratnih sredstev ali naročila morajo dokazati, da niso v navzkrižju interesov, ker so sprejeli previdnostne ukrepe ali ker njihova notranja organizacija predvideva jasno ločevanje interesov. Poleg tega je treba opredeliti stroške in prihodke posameznih ukrepov ali aktivnosti, za katere se dodelijo sredstva EU. Sklep o priznanju, da obstaja zadostno zagotovilo, da niso v dejanskem navzkrižju interesov, v okviru lastne pristojnosti in odgovornosti sprejme Izvajalska agencija ali GD EAC, pri katerem so se prijavili;</w:t>
      </w:r>
    </w:p>
    <w:p w14:paraId="7D39A649" w14:textId="77777777" w:rsidR="00E03711" w:rsidRPr="001048FE" w:rsidRDefault="00E03711" w:rsidP="005115F2">
      <w:pPr>
        <w:pStyle w:val="Guide-NormalBulletpoints"/>
        <w:numPr>
          <w:ilvl w:val="0"/>
          <w:numId w:val="274"/>
        </w:numPr>
        <w:rPr>
          <w:lang w:val="sl-SI"/>
        </w:rPr>
      </w:pPr>
      <w:r w:rsidRPr="001048FE">
        <w:rPr>
          <w:lang w:val="sl-SI"/>
        </w:rPr>
        <w:t>pravni subjekti, ki gostijo nacionalne agencije programa Erasmus+, vendar se ukvarjajo z drugimi aktivnostmi v okviru programa Erasmus+ ali zunaj njega, ter subjekti, ki so povezani s temi pravnimi subjekti, ne morejo oddati vloge za kateri koli ukrep, ki ga upravljajo nacionalne agencije v kateri koli državi, ali v njem sodelovati, lahko pa se načeloma prijavijo za sodelovanje v ukrepih, ki jih upravlja Izvajalska agencija ali GD EAC, razen če to ni izrecno izključeno za zadevni ukrep (kot je navedeno v delu B tega vodnika). Vendar morajo pred dodelitvijo nepovratnih sredstev ali naročila dokazati, da niso v navzkrižju interesov, ker so sprejeli previdnostne ukrepe ali ker njihova notranja organizacija predvideva jasno ločevanje interesov (npr. minimalno ločevanje računov, ločevanje področij poročanja in odločanja, ukrepi za preprečevanje dostopa do zaščitenih informacij). Poleg tega je treba opredeliti stroške in prihodke posameznih ukrepov ali aktivnosti, za katere se dodelijo sredstva EU. Sklep o priznanju, da obstaja zadostno zagotovilo, da niso v dejanskem navzkrižju interesov, v okviru lastne pristojnosti in odgovornosti sprejme institucija, pri kateri so se prijavili.</w:t>
      </w:r>
    </w:p>
    <w:p w14:paraId="7D39A64A" w14:textId="77777777" w:rsidR="00E03711" w:rsidRPr="001048FE" w:rsidRDefault="00E03711" w:rsidP="00955AAC">
      <w:pPr>
        <w:pStyle w:val="Guide-Heading4"/>
        <w:rPr>
          <w:lang w:val="sl-SI"/>
        </w:rPr>
      </w:pPr>
      <w:bookmarkStart w:id="461" w:name="_Toc527401235"/>
      <w:r w:rsidRPr="001048FE">
        <w:rPr>
          <w:lang w:val="sl-SI"/>
        </w:rPr>
        <w:t>Merila za izbor</w:t>
      </w:r>
      <w:bookmarkEnd w:id="461"/>
    </w:p>
    <w:p w14:paraId="7D39A64B" w14:textId="77777777" w:rsidR="00E03711" w:rsidRPr="001048FE" w:rsidRDefault="00E03711" w:rsidP="00030686">
      <w:pPr>
        <w:pStyle w:val="GUIDE-NORMAL"/>
        <w:rPr>
          <w:lang w:val="sl-SI"/>
        </w:rPr>
      </w:pPr>
      <w:r w:rsidRPr="001048FE">
        <w:rPr>
          <w:lang w:val="sl-SI"/>
        </w:rPr>
        <w:t>Z merili za izbor nacionalna ali Izvajalska agencija oceni finančno in operativno zmogljivost prijavitelja za izvedbo predlaganega projekta.</w:t>
      </w:r>
    </w:p>
    <w:p w14:paraId="7D39A64C" w14:textId="77777777" w:rsidR="00E03711" w:rsidRPr="001048FE" w:rsidRDefault="00E03711" w:rsidP="005F7392">
      <w:pPr>
        <w:pStyle w:val="Guide-Heading5"/>
        <w:rPr>
          <w:lang w:val="sl-SI"/>
        </w:rPr>
      </w:pPr>
      <w:r w:rsidRPr="001048FE">
        <w:rPr>
          <w:lang w:val="sl-SI"/>
        </w:rPr>
        <w:t>Finančna zmogljivost</w:t>
      </w:r>
    </w:p>
    <w:p w14:paraId="7D39A64D" w14:textId="77777777" w:rsidR="00E03711" w:rsidRPr="001048FE" w:rsidRDefault="00E03711" w:rsidP="00030686">
      <w:pPr>
        <w:pStyle w:val="GUIDE-NORMAL"/>
        <w:rPr>
          <w:lang w:val="sl-SI"/>
        </w:rPr>
      </w:pPr>
      <w:r w:rsidRPr="001048FE">
        <w:rPr>
          <w:lang w:val="sl-SI"/>
        </w:rPr>
        <w:t>Finančna zmogljivost pomeni, da ima prijavitelj stalna in zadostna finančna sredstva za izvajanje svoje aktivnosti v celotnem obdobju, v katerem se izvaja projekt, ali v letu, za katerega se dodelijo nepovratna sredstva, in za prispevanje k njegovemu financiranju.</w:t>
      </w:r>
    </w:p>
    <w:p w14:paraId="7D39A64E" w14:textId="77777777" w:rsidR="00E03711" w:rsidRPr="001048FE" w:rsidRDefault="00E03711" w:rsidP="00E1047E">
      <w:pPr>
        <w:pStyle w:val="GUIDE-NORMAL"/>
        <w:spacing w:before="60" w:after="60"/>
        <w:rPr>
          <w:lang w:val="sl-SI"/>
        </w:rPr>
      </w:pPr>
      <w:r w:rsidRPr="001048FE">
        <w:rPr>
          <w:lang w:val="sl-SI"/>
        </w:rPr>
        <w:t xml:space="preserve">Preverjanje finančne zmogljivosti ne velja za: </w:t>
      </w:r>
    </w:p>
    <w:p w14:paraId="7D39A64F" w14:textId="77777777" w:rsidR="00E03711" w:rsidRPr="001048FE" w:rsidRDefault="00E03711" w:rsidP="005115F2">
      <w:pPr>
        <w:pStyle w:val="Guide-NormalBulletpoints"/>
        <w:numPr>
          <w:ilvl w:val="0"/>
          <w:numId w:val="276"/>
        </w:numPr>
        <w:spacing w:before="60"/>
        <w:rPr>
          <w:lang w:val="sl-SI"/>
        </w:rPr>
      </w:pPr>
      <w:r w:rsidRPr="001048FE">
        <w:rPr>
          <w:lang w:val="sl-SI"/>
        </w:rPr>
        <w:t>javne organizacije</w:t>
      </w:r>
      <w:r>
        <w:rPr>
          <w:lang w:val="sl-SI"/>
        </w:rPr>
        <w:t>, vključno z organizacijami Držav članic</w:t>
      </w:r>
      <w:r w:rsidRPr="001048FE">
        <w:rPr>
          <w:rStyle w:val="FootnoteReference"/>
          <w:lang w:val="sl-SI"/>
        </w:rPr>
        <w:footnoteReference w:id="251"/>
      </w:r>
      <w:r w:rsidRPr="001048FE">
        <w:rPr>
          <w:lang w:val="sl-SI"/>
        </w:rPr>
        <w:t xml:space="preserve">; </w:t>
      </w:r>
    </w:p>
    <w:p w14:paraId="7D39A650" w14:textId="77777777" w:rsidR="00E03711" w:rsidRPr="001048FE" w:rsidRDefault="00E03711" w:rsidP="005115F2">
      <w:pPr>
        <w:pStyle w:val="Guide-NormalBulletpoints"/>
        <w:numPr>
          <w:ilvl w:val="0"/>
          <w:numId w:val="276"/>
        </w:numPr>
        <w:spacing w:before="60"/>
        <w:rPr>
          <w:lang w:val="sl-SI"/>
        </w:rPr>
      </w:pPr>
      <w:r w:rsidRPr="001048FE">
        <w:rPr>
          <w:lang w:val="sl-SI"/>
        </w:rPr>
        <w:t>mednarodne organizacije.</w:t>
      </w:r>
    </w:p>
    <w:p w14:paraId="7D39A651" w14:textId="77777777" w:rsidR="00E03711" w:rsidRPr="001048FE" w:rsidRDefault="00E03711" w:rsidP="00030686">
      <w:pPr>
        <w:pStyle w:val="GUIDE-NORMAL"/>
        <w:rPr>
          <w:lang w:val="sl-SI"/>
        </w:rPr>
      </w:pPr>
      <w:r w:rsidRPr="001048FE">
        <w:rPr>
          <w:lang w:val="sl-SI"/>
        </w:rPr>
        <w:t xml:space="preserve">V primeru vlog za nepovratna sredstva EU, ki jih oddajo druge vrste organizacij (tj. ne tiste, ki so navedene zgoraj) in </w:t>
      </w:r>
      <w:r w:rsidRPr="001048FE">
        <w:rPr>
          <w:u w:val="single"/>
          <w:lang w:val="sl-SI"/>
        </w:rPr>
        <w:t>ne presegajo 60 000 EUR</w:t>
      </w:r>
      <w:r w:rsidRPr="001048FE">
        <w:rPr>
          <w:lang w:val="sl-SI"/>
        </w:rPr>
        <w:t>, morajo prijavitelji zagotoviti častno izjavo, s katero potrjujejo zadostno finančno zmogljivost za izvedbo projekta. Ta častna izjava je poseben razdelek prijavnega obrazca.</w:t>
      </w:r>
    </w:p>
    <w:p w14:paraId="7D39A652" w14:textId="77777777" w:rsidR="00E03711" w:rsidRPr="001048FE" w:rsidRDefault="00E03711" w:rsidP="00030686">
      <w:pPr>
        <w:pStyle w:val="GUIDE-NORMAL"/>
        <w:rPr>
          <w:lang w:val="sl-SI"/>
        </w:rPr>
      </w:pPr>
      <w:r w:rsidRPr="001048FE">
        <w:rPr>
          <w:lang w:val="sl-SI"/>
        </w:rPr>
        <w:t xml:space="preserve">V primeru vlog za nepovratna sredstva EU, ki jih oddajo druge vrste organizacij </w:t>
      </w:r>
      <w:r w:rsidRPr="001048FE">
        <w:rPr>
          <w:u w:val="single"/>
          <w:lang w:val="sl-SI"/>
        </w:rPr>
        <w:t>in presegajo 60 000 EUR</w:t>
      </w:r>
      <w:r w:rsidRPr="001048FE">
        <w:rPr>
          <w:lang w:val="sl-SI"/>
        </w:rPr>
        <w:t>, mora prijavitelj poleg izjave o častnih namenih na portal za udeležence naložiti naslednje dokumente:</w:t>
      </w:r>
    </w:p>
    <w:p w14:paraId="7D39A653" w14:textId="77777777" w:rsidR="00E03711" w:rsidRPr="001048FE" w:rsidRDefault="00E03711" w:rsidP="005115F2">
      <w:pPr>
        <w:pStyle w:val="Guide-NormalBulletpoints"/>
        <w:numPr>
          <w:ilvl w:val="0"/>
          <w:numId w:val="277"/>
        </w:numPr>
        <w:rPr>
          <w:lang w:val="sl-SI"/>
        </w:rPr>
      </w:pPr>
      <w:r w:rsidRPr="001048FE">
        <w:rPr>
          <w:lang w:val="sl-SI"/>
        </w:rPr>
        <w:t>za ukrepe, ki jih upravljajo nacionalne agencije: izkaz uspeha in bilanco stanja prijavitelja za zadnje proračunsko leto, za katero je bil pripravljen zaključni račun;</w:t>
      </w:r>
    </w:p>
    <w:p w14:paraId="7D39A654" w14:textId="77777777" w:rsidR="00E03711" w:rsidRPr="001048FE" w:rsidRDefault="00E03711" w:rsidP="005115F2">
      <w:pPr>
        <w:pStyle w:val="Guide-NormalBulletpoints"/>
        <w:numPr>
          <w:ilvl w:val="0"/>
          <w:numId w:val="277"/>
        </w:numPr>
        <w:rPr>
          <w:lang w:val="sl-SI"/>
        </w:rPr>
      </w:pPr>
      <w:r w:rsidRPr="001048FE">
        <w:rPr>
          <w:lang w:val="sl-SI"/>
        </w:rPr>
        <w:t>za ukrepe, ki jih upravlja Izvajalska agencija: obrazec za finančno zmogljivost, ki se izpolni z ustreznimi zakonskimi računovodskimi podatki in finančnimi izkazi (vključno z izkazom uspeha in bilanco stanja ter drugimi prilogami, če je potrebno) za zadnji dve proračunski leti, za kateri je bil pripravljen zaključni račun;</w:t>
      </w:r>
    </w:p>
    <w:p w14:paraId="7D39A655" w14:textId="77777777" w:rsidR="00E03711" w:rsidRPr="001048FE" w:rsidRDefault="00E03711" w:rsidP="005115F2">
      <w:pPr>
        <w:pStyle w:val="Guide-NormalBulletpoints"/>
        <w:numPr>
          <w:ilvl w:val="0"/>
          <w:numId w:val="277"/>
        </w:numPr>
        <w:rPr>
          <w:lang w:val="sl-SI"/>
        </w:rPr>
      </w:pPr>
      <w:r w:rsidRPr="001048FE">
        <w:rPr>
          <w:lang w:val="sl-SI"/>
        </w:rPr>
        <w:t>za subjekte, ki ne morejo predložiti navedenih dokumentov, ker so bili na novo ustanovljeni, lahko te dokumente nadomesti izjava o finančnih interesih ali izjava o zavarovanju, ki navaja poklicna tveganja prijavitelja.</w:t>
      </w:r>
    </w:p>
    <w:p w14:paraId="7D39A656" w14:textId="77777777" w:rsidR="00E03711" w:rsidRPr="001048FE" w:rsidRDefault="00E03711" w:rsidP="00030686">
      <w:pPr>
        <w:pStyle w:val="GUIDE-NORMAL"/>
        <w:rPr>
          <w:lang w:val="sl-SI"/>
        </w:rPr>
      </w:pPr>
      <w:r w:rsidRPr="001048FE">
        <w:rPr>
          <w:lang w:val="sl-SI"/>
        </w:rPr>
        <w:t xml:space="preserve">Organizacije morajo te dokumente naložiti na portal za udeležence ob registraciji na portalu (glej poglavje „Korak 1: registracija na portalu za udeležence“) </w:t>
      </w:r>
      <w:r w:rsidRPr="00FC4A70">
        <w:rPr>
          <w:rFonts w:eastAsia="Calibri" w:cs="Calibri"/>
          <w:bdr w:val="nil"/>
          <w:lang w:val="sl-SI"/>
        </w:rPr>
        <w:t>ali ko z njimi stopijo v stik iz službe EU za potrjevanje, da bi kot prijavitelji posredovali potrebno podporno dokumentacijo. V primeru centraliziranega ukrepa bo ta zahteva poslana prek sistema elektronskega sporočanja, ki je del registra udeležencev.</w:t>
      </w:r>
    </w:p>
    <w:p w14:paraId="7D39A657" w14:textId="77777777" w:rsidR="00E03711" w:rsidRPr="001048FE" w:rsidRDefault="00E03711" w:rsidP="00030686">
      <w:pPr>
        <w:pStyle w:val="GUIDE-NORMAL"/>
        <w:rPr>
          <w:lang w:val="sl-SI"/>
        </w:rPr>
      </w:pPr>
      <w:r w:rsidRPr="001048FE">
        <w:rPr>
          <w:lang w:val="sl-SI"/>
        </w:rPr>
        <w:t>Po oceni tveganja, ki jo opravi nacionalna agencija, in če je bil predlog predložen v imenu konzorcija partnerjev, lahko v primeru dvomov o finančni zmogljivosti katere koli od sodelujočih organizacij, ki so vključene v projekt, nacionalna ali Izvajalska agencija zahteva enake dokumente od sodelujočih organizacij, tudi če je znesek nepovratnih sredstev pod pragom 60 000 EUR ali če skupni znesek nepovratnih sredstev za isto organizacijo presega prag 60 000 EUR.</w:t>
      </w:r>
    </w:p>
    <w:p w14:paraId="7D39A658" w14:textId="77777777" w:rsidR="00E03711" w:rsidRPr="001048FE" w:rsidRDefault="00E03711" w:rsidP="00030686">
      <w:pPr>
        <w:pStyle w:val="GUIDE-NORMAL"/>
        <w:rPr>
          <w:lang w:val="sl-SI"/>
        </w:rPr>
      </w:pPr>
      <w:r w:rsidRPr="001048FE">
        <w:rPr>
          <w:lang w:val="sl-SI"/>
        </w:rPr>
        <w:t>Kadar vloga zadeva nepovratna sredstva za projekt, za katerega znesek presega 750 000 EUR, se lahko poleg zgoraj navedenega zahteva revizijsko poročilo, ki ga pripravi pooblaščeni zunanji revizor. V poročilu so potrjeni računi za zadnje proračunsko leto, za katero so podatki na voljo.</w:t>
      </w:r>
    </w:p>
    <w:p w14:paraId="7D39A659" w14:textId="77777777" w:rsidR="00E03711" w:rsidRPr="001048FE" w:rsidRDefault="00E03711" w:rsidP="00030686">
      <w:pPr>
        <w:pStyle w:val="GUIDE-NORMAL"/>
        <w:rPr>
          <w:lang w:val="sl-SI"/>
        </w:rPr>
      </w:pPr>
      <w:r w:rsidRPr="001048FE">
        <w:rPr>
          <w:lang w:val="sl-SI"/>
        </w:rPr>
        <w:t>Če po analizi teh dokumentov nacionalna ali Izvajalska agencija sklene, da ni bila dokazana zahtevana finančna zmogljivost ali da ta ni zadovoljiva, lahko:</w:t>
      </w:r>
    </w:p>
    <w:p w14:paraId="7D39A65A" w14:textId="77777777" w:rsidR="00E03711" w:rsidRPr="001048FE" w:rsidRDefault="00E03711" w:rsidP="005115F2">
      <w:pPr>
        <w:pStyle w:val="Guide-NormalBulletpoints"/>
        <w:numPr>
          <w:ilvl w:val="0"/>
          <w:numId w:val="278"/>
        </w:numPr>
        <w:rPr>
          <w:lang w:val="sl-SI"/>
        </w:rPr>
      </w:pPr>
      <w:r w:rsidRPr="001048FE">
        <w:rPr>
          <w:lang w:val="sl-SI"/>
        </w:rPr>
        <w:t>zaprosi za dodatne informacije;</w:t>
      </w:r>
    </w:p>
    <w:p w14:paraId="7D39A65B" w14:textId="77777777" w:rsidR="00E03711" w:rsidRPr="001048FE" w:rsidRDefault="00E03711" w:rsidP="005115F2">
      <w:pPr>
        <w:pStyle w:val="Guide-NormalBulletpoints"/>
        <w:numPr>
          <w:ilvl w:val="0"/>
          <w:numId w:val="278"/>
        </w:numPr>
        <w:rPr>
          <w:lang w:val="sl-SI"/>
        </w:rPr>
      </w:pPr>
      <w:r w:rsidRPr="001048FE">
        <w:rPr>
          <w:lang w:val="sl-SI"/>
        </w:rPr>
        <w:t>ponudi sporazum o nepovratnih sredstvih ali sklep o prehodnem financiranju s finančnim jamstvom</w:t>
      </w:r>
      <w:r w:rsidRPr="001048FE">
        <w:rPr>
          <w:rStyle w:val="FootnoteReference"/>
          <w:lang w:val="sl-SI"/>
        </w:rPr>
        <w:footnoteReference w:id="252"/>
      </w:r>
      <w:r w:rsidRPr="001048FE">
        <w:rPr>
          <w:lang w:val="sl-SI"/>
        </w:rPr>
        <w:t>;</w:t>
      </w:r>
    </w:p>
    <w:p w14:paraId="7D39A65C" w14:textId="77777777" w:rsidR="00E03711" w:rsidRPr="001048FE" w:rsidRDefault="00E03711" w:rsidP="005115F2">
      <w:pPr>
        <w:pStyle w:val="Guide-NormalBulletpoints"/>
        <w:numPr>
          <w:ilvl w:val="0"/>
          <w:numId w:val="278"/>
        </w:numPr>
        <w:rPr>
          <w:lang w:val="sl-SI"/>
        </w:rPr>
      </w:pPr>
      <w:r w:rsidRPr="001048FE">
        <w:rPr>
          <w:lang w:val="sl-SI"/>
        </w:rPr>
        <w:t>ponudi sporazum o nepovratnih sredstvih ali sklep o nepovratnih sredstvih brez predhodnega financiranja ali z manjšim predhodnim financiranjem;</w:t>
      </w:r>
    </w:p>
    <w:p w14:paraId="7D39A65D" w14:textId="77777777" w:rsidR="00E03711" w:rsidRPr="001048FE" w:rsidRDefault="00E03711" w:rsidP="005115F2">
      <w:pPr>
        <w:pStyle w:val="Guide-NormalBulletpoints"/>
        <w:numPr>
          <w:ilvl w:val="0"/>
          <w:numId w:val="278"/>
        </w:numPr>
        <w:rPr>
          <w:lang w:val="sl-SI"/>
        </w:rPr>
      </w:pPr>
      <w:r w:rsidRPr="001048FE">
        <w:rPr>
          <w:lang w:val="sl-SI"/>
        </w:rPr>
        <w:t>ponudi sporazum o nepovratnih sredstvih ali sklep o nepovratnih sredstvih s predhodnim financiranjem, ki je razdeljeno na več obrokov;</w:t>
      </w:r>
    </w:p>
    <w:p w14:paraId="7D39A65E" w14:textId="77777777" w:rsidR="00E03711" w:rsidRPr="001048FE" w:rsidRDefault="00E03711" w:rsidP="005115F2">
      <w:pPr>
        <w:pStyle w:val="Guide-NormalBulletpoints"/>
        <w:numPr>
          <w:ilvl w:val="0"/>
          <w:numId w:val="278"/>
        </w:numPr>
        <w:rPr>
          <w:lang w:val="sl-SI"/>
        </w:rPr>
      </w:pPr>
      <w:r w:rsidRPr="001048FE">
        <w:rPr>
          <w:lang w:val="sl-SI"/>
        </w:rPr>
        <w:t>zavrne vlogo.</w:t>
      </w:r>
    </w:p>
    <w:p w14:paraId="7D39A65F" w14:textId="77777777" w:rsidR="00E03711" w:rsidRPr="001048FE" w:rsidRDefault="00E03711" w:rsidP="00955AAC">
      <w:pPr>
        <w:pStyle w:val="Guide-Heading5"/>
        <w:rPr>
          <w:lang w:val="sl-SI"/>
        </w:rPr>
      </w:pPr>
      <w:r w:rsidRPr="001048FE">
        <w:rPr>
          <w:lang w:val="sl-SI"/>
        </w:rPr>
        <w:t>Operativna zmogljivost</w:t>
      </w:r>
      <w:r w:rsidRPr="001048FE">
        <w:rPr>
          <w:lang w:val="sl-SI"/>
        </w:rPr>
        <w:tab/>
      </w:r>
    </w:p>
    <w:p w14:paraId="7D39A660" w14:textId="77777777" w:rsidR="00E03711" w:rsidRPr="001048FE" w:rsidRDefault="00E03711" w:rsidP="00030686">
      <w:pPr>
        <w:pStyle w:val="GUIDE-NORMAL"/>
        <w:rPr>
          <w:lang w:val="sl-SI"/>
        </w:rPr>
      </w:pPr>
      <w:r w:rsidRPr="001048FE">
        <w:rPr>
          <w:lang w:val="sl-SI"/>
        </w:rPr>
        <w:t>Operativna zmogljivost pomeni, da ima prijavitelj zahtevane strokovne kompetence in kvalifikacije za izvedbo predlaganega projekta. Prijavitelji morajo zagotoviti častno izjavo, s katero potrjujejo zadostno finančno zmogljivost za izvedbo projekta. Poleg tega, če bo to zahtevano v prijavnem obrazcu in če nepovratna sredstva presegajo 60.00 EUR, bodo prijavitelji morda morali predložiti življenjepise ključnih oseb, ki so vključene v projekt, da prikažejo njihove ustrezne strokovne izkušnje ali druga dokazila, kot so:</w:t>
      </w:r>
    </w:p>
    <w:p w14:paraId="7D39A661" w14:textId="77777777" w:rsidR="00E03711" w:rsidRPr="001048FE" w:rsidRDefault="00E03711" w:rsidP="00B010B0">
      <w:pPr>
        <w:pStyle w:val="Guide-NormalBulletpoints"/>
        <w:rPr>
          <w:lang w:val="sl-SI"/>
        </w:rPr>
      </w:pPr>
      <w:r w:rsidRPr="001048FE">
        <w:rPr>
          <w:lang w:val="sl-SI"/>
        </w:rPr>
        <w:t>seznam zadevnih publikacij glavne skupine;</w:t>
      </w:r>
    </w:p>
    <w:p w14:paraId="7D39A662" w14:textId="77777777" w:rsidR="00E03711" w:rsidRPr="001048FE" w:rsidRDefault="00E03711" w:rsidP="00030686">
      <w:pPr>
        <w:pStyle w:val="Guide-NormalBulletpoints"/>
        <w:rPr>
          <w:rStyle w:val="Guide-Condensed-02"/>
          <w:lang w:val="sl-SI"/>
        </w:rPr>
      </w:pPr>
      <w:r w:rsidRPr="001048FE">
        <w:rPr>
          <w:rStyle w:val="Guide-Condensed-02"/>
          <w:lang w:val="sl-SI"/>
        </w:rPr>
        <w:t>izčrpen seznam prejšnjih projektov, ki so bili opravljeni in povezani s področjem politike ali z določenim zadevnim ukrepom.</w:t>
      </w:r>
    </w:p>
    <w:p w14:paraId="7D39A663" w14:textId="77777777" w:rsidR="00E03711" w:rsidRPr="001048FE" w:rsidRDefault="00E03711" w:rsidP="00955AAC">
      <w:pPr>
        <w:pStyle w:val="Guide-Heading4"/>
        <w:rPr>
          <w:lang w:val="sl-SI"/>
        </w:rPr>
      </w:pPr>
      <w:bookmarkStart w:id="462" w:name="_Toc527401236"/>
      <w:r w:rsidRPr="001048FE">
        <w:rPr>
          <w:lang w:val="sl-SI"/>
        </w:rPr>
        <w:t>Merila za dodelitev</w:t>
      </w:r>
      <w:bookmarkEnd w:id="462"/>
    </w:p>
    <w:p w14:paraId="7D39A664" w14:textId="77777777" w:rsidR="00E03711" w:rsidRPr="001048FE" w:rsidRDefault="00E03711" w:rsidP="00030686">
      <w:pPr>
        <w:pStyle w:val="GUIDE-NORMAL"/>
        <w:rPr>
          <w:lang w:val="sl-SI"/>
        </w:rPr>
      </w:pPr>
      <w:r w:rsidRPr="001048FE">
        <w:rPr>
          <w:lang w:val="sl-SI"/>
        </w:rPr>
        <w:t>Na podlagi meril za dodelitev lahko nacionalna ali Izvajalska agencija oceni kakovost predlogov projektov, ki so predloženi v okviru programa Erasmus+.</w:t>
      </w:r>
    </w:p>
    <w:p w14:paraId="7D39A665" w14:textId="77777777" w:rsidR="00E03711" w:rsidRPr="001048FE" w:rsidRDefault="00E03711" w:rsidP="00030686">
      <w:pPr>
        <w:pStyle w:val="GUIDE-NORMAL"/>
        <w:rPr>
          <w:lang w:val="sl-SI"/>
        </w:rPr>
      </w:pPr>
      <w:r w:rsidRPr="001048FE">
        <w:rPr>
          <w:lang w:val="sl-SI"/>
        </w:rPr>
        <w:t>V mejah proračunskih sredstev, ki so na voljo za vsak ukrep, bodo nepovratna sredstva dodeljena tistim projektom, ki najbolje upoštevajo ta merila kakovosti.</w:t>
      </w:r>
    </w:p>
    <w:p w14:paraId="7D39A666" w14:textId="77777777" w:rsidR="00E03711" w:rsidRPr="001048FE" w:rsidRDefault="00E03711" w:rsidP="00030686">
      <w:pPr>
        <w:pStyle w:val="GUIDE-NORMAL"/>
        <w:rPr>
          <w:lang w:val="sl-SI"/>
        </w:rPr>
      </w:pPr>
      <w:r w:rsidRPr="001048FE">
        <w:rPr>
          <w:lang w:val="sl-SI"/>
        </w:rPr>
        <w:t>Popoln sklop meril za dodelitev, ki veljajo za posamezne ukrepe, ki se izvajajo z Vodnikom za prijavitelje Erasmus+, je opisan v delu B tega vodnika.</w:t>
      </w:r>
    </w:p>
    <w:p w14:paraId="7D39A667" w14:textId="77777777" w:rsidR="00E03711" w:rsidRDefault="00E03711">
      <w:pPr>
        <w:pStyle w:val="Guide-Heading3"/>
        <w:rPr>
          <w:lang w:val="sl-SI"/>
        </w:rPr>
      </w:pPr>
      <w:bookmarkStart w:id="463" w:name="Étape_3:_vérification_des_conditions_fin"/>
      <w:bookmarkStart w:id="464" w:name="_bookmark62"/>
      <w:bookmarkStart w:id="465" w:name="_Toc527400940"/>
      <w:bookmarkStart w:id="466" w:name="_Toc527401237"/>
      <w:bookmarkEnd w:id="463"/>
      <w:bookmarkEnd w:id="464"/>
      <w:r w:rsidRPr="001048FE">
        <w:rPr>
          <w:lang w:val="sl-SI"/>
        </w:rPr>
        <w:t>Korak 3: Preverjanje ﬁnančnih pogojev</w:t>
      </w:r>
      <w:bookmarkEnd w:id="465"/>
      <w:bookmarkEnd w:id="466"/>
    </w:p>
    <w:p w14:paraId="7D39A668" w14:textId="77777777" w:rsidR="00E03711" w:rsidRPr="001048FE" w:rsidRDefault="00E03711" w:rsidP="00955AAC">
      <w:pPr>
        <w:pStyle w:val="Guide-Heading4"/>
        <w:rPr>
          <w:lang w:val="sl-SI"/>
        </w:rPr>
      </w:pPr>
      <w:bookmarkStart w:id="467" w:name="_Toc527401238"/>
      <w:r w:rsidRPr="001048FE">
        <w:rPr>
          <w:lang w:val="sl-SI"/>
        </w:rPr>
        <w:t>Vrste nepovratnih sredstev</w:t>
      </w:r>
      <w:bookmarkEnd w:id="467"/>
    </w:p>
    <w:p w14:paraId="7D39A669" w14:textId="77777777" w:rsidR="00E03711" w:rsidRPr="001048FE" w:rsidRDefault="00E03711" w:rsidP="00C03915">
      <w:pPr>
        <w:pStyle w:val="GUIDE-NORMAL"/>
        <w:rPr>
          <w:lang w:val="sl-SI"/>
        </w:rPr>
      </w:pPr>
      <w:r w:rsidRPr="001048FE">
        <w:rPr>
          <w:lang w:val="sl-SI"/>
        </w:rPr>
        <w:t>Vrste nepovratnih sredstev so lahko naslednje</w:t>
      </w:r>
      <w:r w:rsidRPr="001048FE">
        <w:rPr>
          <w:rStyle w:val="FootnoteReference"/>
          <w:lang w:val="sl-SI"/>
        </w:rPr>
        <w:footnoteReference w:id="253"/>
      </w:r>
      <w:r w:rsidRPr="001048FE">
        <w:rPr>
          <w:lang w:val="sl-SI"/>
        </w:rPr>
        <w:t>:</w:t>
      </w:r>
    </w:p>
    <w:p w14:paraId="7D39A66A" w14:textId="77777777" w:rsidR="00E03711" w:rsidRPr="001048FE" w:rsidRDefault="00E03711" w:rsidP="005115F2">
      <w:pPr>
        <w:pStyle w:val="Guide-NormalBulletpoints"/>
        <w:numPr>
          <w:ilvl w:val="0"/>
          <w:numId w:val="279"/>
        </w:numPr>
        <w:rPr>
          <w:lang w:val="sl-SI"/>
        </w:rPr>
      </w:pPr>
      <w:r w:rsidRPr="001048FE">
        <w:rPr>
          <w:lang w:val="sl-SI"/>
        </w:rPr>
        <w:t>povračilo določenega deleža dejansko nastalih upravičenih stroškov: npr. znesek, dodeljen v okviru strateških partnerstev za kritje dodatnih stroškov, ki so povezani z udeležbo oseb s posebnimi potrebami;</w:t>
      </w:r>
    </w:p>
    <w:p w14:paraId="7D39A66B" w14:textId="77777777" w:rsidR="00E03711" w:rsidRPr="001048FE" w:rsidRDefault="00E03711" w:rsidP="005115F2">
      <w:pPr>
        <w:pStyle w:val="Guide-NormalBulletpoints"/>
        <w:numPr>
          <w:ilvl w:val="0"/>
          <w:numId w:val="279"/>
        </w:numPr>
        <w:rPr>
          <w:lang w:val="sl-SI"/>
        </w:rPr>
      </w:pPr>
      <w:r w:rsidRPr="001048FE">
        <w:rPr>
          <w:lang w:val="sl-SI"/>
        </w:rPr>
        <w:t>povračilo na podlagi prispevka za stroške na enoto: npr. znesek, dodeljen za individualno podporo v okviru projektov mobilnosti na področju izobraževanja, usposabljanja in mladine; pavšalni zneski: npr. znesek, dodeljen za prispevanje k izvajanju dopolnilnih aktivnosti v okviru projektov Jean Monnet;</w:t>
      </w:r>
    </w:p>
    <w:p w14:paraId="7D39A66C" w14:textId="77777777" w:rsidR="00E03711" w:rsidRPr="001048FE" w:rsidRDefault="00E03711" w:rsidP="005115F2">
      <w:pPr>
        <w:pStyle w:val="Guide-NormalBulletpoints"/>
        <w:numPr>
          <w:ilvl w:val="0"/>
          <w:numId w:val="279"/>
        </w:numPr>
        <w:rPr>
          <w:lang w:val="sl-SI"/>
        </w:rPr>
      </w:pPr>
      <w:r w:rsidRPr="001048FE">
        <w:rPr>
          <w:lang w:val="sl-SI"/>
        </w:rPr>
        <w:t>pavšalno financiranje: znesek, dodeljen za kritje posrednih stroškov za neprofitne športne prireditve;</w:t>
      </w:r>
    </w:p>
    <w:p w14:paraId="7D39A66D" w14:textId="77777777" w:rsidR="00E03711" w:rsidRPr="001048FE" w:rsidRDefault="00E03711" w:rsidP="005115F2">
      <w:pPr>
        <w:pStyle w:val="Guide-NormalBulletpoints"/>
        <w:numPr>
          <w:ilvl w:val="0"/>
          <w:numId w:val="279"/>
        </w:numPr>
        <w:rPr>
          <w:lang w:val="sl-SI"/>
        </w:rPr>
      </w:pPr>
      <w:r w:rsidRPr="001048FE">
        <w:rPr>
          <w:lang w:val="sl-SI"/>
        </w:rPr>
        <w:t>kombinacija zgoraj naštetega.</w:t>
      </w:r>
    </w:p>
    <w:p w14:paraId="7D39A66E" w14:textId="77777777" w:rsidR="00E03711" w:rsidRPr="001048FE" w:rsidRDefault="00E03711" w:rsidP="00C03915">
      <w:pPr>
        <w:pStyle w:val="GUIDE-NORMAL"/>
        <w:rPr>
          <w:lang w:val="sl-SI"/>
        </w:rPr>
      </w:pPr>
      <w:r w:rsidRPr="001048FE">
        <w:rPr>
          <w:lang w:val="sl-SI"/>
        </w:rPr>
        <w:t>Mehanizem financiranja, ki se uporablja v okviru programa Erasmus+, v večini primerov zagotavlja nepovratna sredstva na podlagi povračila na osnovi prispevka za stroške na enoto. Ta vrsta nepovratnih sredstev omogoča prijaviteljem preprost izračun zahtevanega zneska nepovratnih sredstev in olajša realistično finančno načrtovanje projekta.</w:t>
      </w:r>
    </w:p>
    <w:p w14:paraId="7D39A66F" w14:textId="77777777" w:rsidR="00E03711" w:rsidRPr="00237696" w:rsidRDefault="00E03711" w:rsidP="00C03915">
      <w:pPr>
        <w:pStyle w:val="GUIDE-NORMAL"/>
        <w:rPr>
          <w:spacing w:val="-2"/>
          <w:lang w:val="sl-SI"/>
        </w:rPr>
      </w:pPr>
      <w:r w:rsidRPr="001048FE">
        <w:rPr>
          <w:rStyle w:val="Guide-Condensed-01"/>
          <w:lang w:val="sl-SI"/>
        </w:rPr>
        <w:t>Za več informacij o tem, katera vrsta nepovratnih sredstev se uporablja za vsak element sredstev v okviru posameznih ukrepov Erasmus+, ki so zajeti v ta vodnik, glej stolpec „Mehanizem financiranja“ v preglednicah „Pravila za dodelitev sredstev“ v delu B.</w:t>
      </w:r>
    </w:p>
    <w:p w14:paraId="7D39A670" w14:textId="77777777" w:rsidR="00E03711" w:rsidRPr="001048FE" w:rsidRDefault="00E03711" w:rsidP="00C03915">
      <w:pPr>
        <w:pStyle w:val="Guide-Heading4"/>
        <w:rPr>
          <w:lang w:val="sl-SI"/>
        </w:rPr>
      </w:pPr>
      <w:bookmarkStart w:id="468" w:name="_Toc527401239"/>
      <w:r w:rsidRPr="001048FE">
        <w:rPr>
          <w:lang w:val="sl-SI"/>
        </w:rPr>
        <w:t>Načela, ki se uporabljajo za nepovratna sredstva EU</w:t>
      </w:r>
      <w:bookmarkEnd w:id="468"/>
    </w:p>
    <w:p w14:paraId="7D39A671" w14:textId="77777777" w:rsidR="00E03711" w:rsidRPr="001048FE" w:rsidRDefault="00E03711" w:rsidP="00955AAC">
      <w:pPr>
        <w:pStyle w:val="Guide-Heading5"/>
        <w:rPr>
          <w:lang w:val="sl-SI"/>
        </w:rPr>
      </w:pPr>
      <w:r w:rsidRPr="001048FE">
        <w:rPr>
          <w:lang w:val="sl-SI"/>
        </w:rPr>
        <w:t>Neveljavnost za nazaj</w:t>
      </w:r>
    </w:p>
    <w:p w14:paraId="7D39A672" w14:textId="77777777" w:rsidR="00E03711" w:rsidRPr="001048FE" w:rsidRDefault="00E03711" w:rsidP="00C03915">
      <w:pPr>
        <w:pStyle w:val="GUIDE-NORMAL"/>
        <w:rPr>
          <w:lang w:val="sl-SI"/>
        </w:rPr>
      </w:pPr>
      <w:r w:rsidRPr="001048FE">
        <w:rPr>
          <w:lang w:val="sl-SI"/>
        </w:rPr>
        <w:t>Nobenih nepovratnih sredstev EU ni mogoče retroaktivno dodeliti za projekte, ki so že zaključeni.</w:t>
      </w:r>
    </w:p>
    <w:p w14:paraId="7D39A673" w14:textId="77777777" w:rsidR="00E03711" w:rsidRPr="001048FE" w:rsidRDefault="00E03711" w:rsidP="00C03915">
      <w:pPr>
        <w:pStyle w:val="GUIDE-NORMAL"/>
        <w:rPr>
          <w:lang w:val="sl-SI"/>
        </w:rPr>
      </w:pPr>
      <w:r w:rsidRPr="001048FE">
        <w:rPr>
          <w:lang w:val="sl-SI"/>
        </w:rPr>
        <w:t xml:space="preserve">Nepovratna sredstva EU se lahko dodelijo za projekt, ki se je že začel, vendar le v primeru, če lahko prijavitelj </w:t>
      </w:r>
      <w:r>
        <w:rPr>
          <w:lang w:val="sl-SI"/>
        </w:rPr>
        <w:t xml:space="preserve">v predlogu projekta </w:t>
      </w:r>
      <w:r w:rsidRPr="001048FE">
        <w:rPr>
          <w:lang w:val="sl-SI"/>
        </w:rPr>
        <w:t>dokaže, da se je projekt moral začeti še pred podpisom sporazuma o nepovratnih sredstvih ali obvestilom o sklepu o nepovratnih sredstvih. V takih primerih stroški, ki so upravičeni do financiranja, ne smejo nastati pred dnem oddaje vloge za nepovratna sredstva.</w:t>
      </w:r>
    </w:p>
    <w:p w14:paraId="7D39A674" w14:textId="77777777" w:rsidR="00E03711" w:rsidRPr="001048FE" w:rsidRDefault="00E03711" w:rsidP="00C03915">
      <w:pPr>
        <w:pStyle w:val="GUIDE-NORMAL"/>
        <w:rPr>
          <w:lang w:val="sl-SI"/>
        </w:rPr>
      </w:pPr>
      <w:r w:rsidRPr="001048FE">
        <w:rPr>
          <w:lang w:val="sl-SI"/>
        </w:rPr>
        <w:t>Če prijavitelj začne izvajati projekt pred podpisom sporazuma o nepovratnih sredstvih ali obvestilom o sklepu o nepovratnih sredstvih, tveganje prevzame prijavitelj.</w:t>
      </w:r>
    </w:p>
    <w:p w14:paraId="7D39A675" w14:textId="77777777" w:rsidR="00E03711" w:rsidRPr="001048FE" w:rsidRDefault="00E03711" w:rsidP="00955AAC">
      <w:pPr>
        <w:pStyle w:val="Guide-Heading5"/>
        <w:rPr>
          <w:lang w:val="sl-SI"/>
        </w:rPr>
      </w:pPr>
      <w:r w:rsidRPr="001048FE">
        <w:rPr>
          <w:lang w:val="sl-SI"/>
        </w:rPr>
        <w:t>Nekumulativno dodeljevanje</w:t>
      </w:r>
    </w:p>
    <w:p w14:paraId="7D39A676" w14:textId="77777777" w:rsidR="00E03711" w:rsidRPr="001048FE" w:rsidRDefault="00E03711" w:rsidP="00C03915">
      <w:pPr>
        <w:pStyle w:val="GUIDE-NORMAL"/>
        <w:rPr>
          <w:lang w:val="sl-SI"/>
        </w:rPr>
      </w:pPr>
      <w:r w:rsidRPr="001048FE">
        <w:rPr>
          <w:lang w:val="sl-SI"/>
        </w:rPr>
        <w:t>Vsak projekt, ki ga financira EU, je upravičen do samo enega zneska nepovratnih sredstev iz proračuna EU za samo enega upravičenca. Isti stroški se iz proračuna Unije nikoli ne financirajo dvakrat.</w:t>
      </w:r>
    </w:p>
    <w:p w14:paraId="7D39A677" w14:textId="77777777" w:rsidR="00E03711" w:rsidRPr="001048FE" w:rsidRDefault="00E03711" w:rsidP="00C03915">
      <w:pPr>
        <w:pStyle w:val="GUIDE-NORMAL"/>
        <w:rPr>
          <w:lang w:val="sl-SI"/>
        </w:rPr>
      </w:pPr>
      <w:r w:rsidRPr="001048FE">
        <w:rPr>
          <w:lang w:val="sl-SI"/>
        </w:rPr>
        <w:t>Da bi se izognili tveganju dvojne dodelitve sredstev, mora prijavitelj v ustreznem razdelku prijavnega obrazca navesti vire in zneske katerega koli drugega financiranja, ki ga prejme ali za katerega zaprosi v letu bodisi za isti projekt bodisi kateri koli drug projekt, vključno z nepovratnimi sredstvi za poslovanje.</w:t>
      </w:r>
    </w:p>
    <w:p w14:paraId="7D39A678" w14:textId="77777777" w:rsidR="00E03711" w:rsidRPr="001048FE" w:rsidRDefault="00E03711" w:rsidP="00C03915">
      <w:pPr>
        <w:pStyle w:val="GUIDE-NORMAL"/>
        <w:rPr>
          <w:lang w:val="sl-SI"/>
        </w:rPr>
      </w:pPr>
      <w:r w:rsidRPr="001048FE">
        <w:rPr>
          <w:lang w:val="sl-SI"/>
        </w:rPr>
        <w:t>Identične ali zelo podobne vloge – ki jih bo vložil isti prijavitelj ali drugi partnerji istega konzorcija – bodo posebej ocenjene, da se izključi tveganje dvojne dodelitve sredstev, in se lahko vse zavrnejo.</w:t>
      </w:r>
    </w:p>
    <w:p w14:paraId="7D39A679" w14:textId="77777777" w:rsidR="00E03711" w:rsidRPr="001048FE" w:rsidRDefault="00E03711" w:rsidP="00C03915">
      <w:pPr>
        <w:pStyle w:val="Guide-Heading5"/>
        <w:rPr>
          <w:lang w:val="sl-SI"/>
        </w:rPr>
        <w:sectPr w:rsidR="00E03711" w:rsidRPr="001048FE" w:rsidSect="007F4890">
          <w:headerReference w:type="even" r:id="rId146"/>
          <w:headerReference w:type="default" r:id="rId147"/>
          <w:endnotePr>
            <w:numFmt w:val="decimal"/>
          </w:endnotePr>
          <w:pgSz w:w="11910" w:h="16840" w:code="9"/>
          <w:pgMar w:top="1134" w:right="1418" w:bottom="1134" w:left="1418" w:header="283" w:footer="567" w:gutter="0"/>
          <w:cols w:space="720"/>
          <w:docGrid w:linePitch="326"/>
        </w:sectPr>
      </w:pPr>
    </w:p>
    <w:p w14:paraId="7D39A67A" w14:textId="77777777" w:rsidR="00E03711" w:rsidRPr="001048FE" w:rsidRDefault="00E03711" w:rsidP="00C03915">
      <w:pPr>
        <w:pStyle w:val="Guide-Heading5"/>
        <w:rPr>
          <w:lang w:val="sl-SI"/>
        </w:rPr>
      </w:pPr>
      <w:r w:rsidRPr="001048FE">
        <w:rPr>
          <w:lang w:val="sl-SI"/>
        </w:rPr>
        <w:t>Večkratne oddaje</w:t>
      </w:r>
    </w:p>
    <w:p w14:paraId="7D39A67B" w14:textId="77777777" w:rsidR="00E03711" w:rsidRPr="001048FE" w:rsidRDefault="00E03711" w:rsidP="00C03915">
      <w:pPr>
        <w:pStyle w:val="GUIDE-NORMAL"/>
        <w:rPr>
          <w:lang w:val="sl-SI"/>
        </w:rPr>
      </w:pPr>
      <w:r w:rsidRPr="001048FE">
        <w:rPr>
          <w:lang w:val="sl-SI"/>
        </w:rPr>
        <w:t>Za decentralizirane ukrepe, ki jih upravljajo nacionalne agencije programa Erasmus+, bodo vloge, ki jih isti prijavitelj ali konzorcij dvakrat ali večkrat odda pri isti agenciji ali različnih agencijah, zavrnjene. Kadar bodo različni prijavitelji ali konzorciji oddali iste ali zelo podobne vloge, bodo te posebej ocenjene in se lahko vse zavrnejo.</w:t>
      </w:r>
    </w:p>
    <w:p w14:paraId="7D39A67C" w14:textId="77777777" w:rsidR="00E03711" w:rsidRPr="001048FE" w:rsidRDefault="00E03711" w:rsidP="00955AAC">
      <w:pPr>
        <w:pStyle w:val="Guide-Heading5"/>
        <w:rPr>
          <w:lang w:val="sl-SI"/>
        </w:rPr>
      </w:pPr>
      <w:r w:rsidRPr="001048FE">
        <w:rPr>
          <w:lang w:val="sl-SI"/>
        </w:rPr>
        <w:t>Neprofitnost in sofinanciranje</w:t>
      </w:r>
    </w:p>
    <w:p w14:paraId="7D39A67D" w14:textId="77777777" w:rsidR="00E03711" w:rsidRPr="001048FE" w:rsidRDefault="00E03711" w:rsidP="00C03915">
      <w:pPr>
        <w:pStyle w:val="GUIDE-NORMAL"/>
        <w:rPr>
          <w:rStyle w:val="Guide-Condensed-01"/>
          <w:lang w:val="sl-SI"/>
        </w:rPr>
      </w:pPr>
      <w:r w:rsidRPr="00FC4A70">
        <w:rPr>
          <w:rFonts w:eastAsia="Calibri" w:cs="Calibri"/>
          <w:bdr w:val="nil"/>
          <w:lang w:val="sl-SI"/>
        </w:rPr>
        <w:t xml:space="preserve">Z nepovratnimi sredstvi iz proračuna Unije si upravičenec v okviru projekta, ki ga izvaja upravičenec, ne sme prizadevati za dobiček ali ga ustvarjati. Dobiček se obravnava kot presežek v plačilni bilanci, ko prejemki presegajo izdatke za ukrep ali program, če so prejemki omejeni le na nepovratna sredstva Unije in so prihodki ustvarjeni s tem ukrepom ali delovnim </w:t>
      </w:r>
      <w:r>
        <w:rPr>
          <w:rFonts w:eastAsia="Calibri" w:cs="Calibri"/>
          <w:bdr w:val="nil"/>
          <w:lang w:val="sl-SI"/>
        </w:rPr>
        <w:t>programom</w:t>
      </w:r>
      <w:r>
        <w:rPr>
          <w:rStyle w:val="FootnoteReference"/>
          <w:rFonts w:eastAsia="Calibri" w:cs="Calibri"/>
          <w:bdr w:val="nil"/>
          <w:lang w:val="sl-SI"/>
        </w:rPr>
        <w:footnoteReference w:id="254"/>
      </w:r>
      <w:r>
        <w:rPr>
          <w:rFonts w:eastAsia="Calibri" w:cs="Calibri"/>
          <w:bdr w:val="nil"/>
          <w:lang w:val="sl-SI"/>
        </w:rPr>
        <w:t>. Na</w:t>
      </w:r>
      <w:r w:rsidRPr="001048FE">
        <w:rPr>
          <w:rStyle w:val="Guide-Condensed-01"/>
          <w:lang w:val="sl-SI"/>
        </w:rPr>
        <w:t>čelo</w:t>
      </w:r>
      <w:r>
        <w:rPr>
          <w:rStyle w:val="Guide-Condensed-01"/>
          <w:lang w:val="sl-SI"/>
        </w:rPr>
        <w:t xml:space="preserve"> </w:t>
      </w:r>
      <w:r w:rsidRPr="001048FE">
        <w:rPr>
          <w:rStyle w:val="Guide-Condensed-01"/>
          <w:lang w:val="sl-SI"/>
        </w:rPr>
        <w:t>neprofitnosti se ne uporablja za nepovratna sredstva, ki so zagotovljena v obliki stroškov na enoto, pavšalnega zneska ali pavšalnega financiranja, vključno s štipendijami, in vloge za nepovratna sredstva, ki ne presegajo 60 000 EUR. Sofinanciranje v obliki prispevkov v naravi se ne upošteva za namene izračuna dobička, ki se ustvari z nepovratnimi sredstvi.</w:t>
      </w:r>
    </w:p>
    <w:p w14:paraId="7D39A67E" w14:textId="77777777" w:rsidR="00E03711" w:rsidRPr="001048FE" w:rsidRDefault="00E03711" w:rsidP="00C03915">
      <w:pPr>
        <w:pStyle w:val="GUIDE-NORMAL"/>
        <w:rPr>
          <w:lang w:val="sl-SI"/>
        </w:rPr>
      </w:pPr>
      <w:r w:rsidRPr="001048FE">
        <w:rPr>
          <w:lang w:val="sl-SI"/>
        </w:rPr>
        <w:t>Nepovratna sredstva EU so spodbuda za izvajanje projekta, ki ne bi bil izvedljiv brez finančne podpore EU, in temeljijo na načelu sofinanciranja. Sofinanciranje pomeni, da z nepovratnimi sredstvi EU ni mogoče financirati vseh stroškov projekta; za projekt je treba zagotoviti druge vire sofinanciranja, ki niso nepovratna sredstva EU (na primer lastni viri upravičenca, prihodek, ustvarjen z ukrepom, finančni prispevki tretjih oseb).</w:t>
      </w:r>
    </w:p>
    <w:p w14:paraId="7D39A67F" w14:textId="77777777" w:rsidR="00E03711" w:rsidRPr="001048FE" w:rsidRDefault="00E03711" w:rsidP="00C03915">
      <w:pPr>
        <w:pStyle w:val="GUIDE-NORMAL"/>
        <w:rPr>
          <w:lang w:val="sl-SI"/>
        </w:rPr>
      </w:pPr>
      <w:r w:rsidRPr="001048FE">
        <w:rPr>
          <w:lang w:val="sl-SI"/>
        </w:rPr>
        <w:t>Če so nepovratna sredstva EU zagotovljena v obliki stroškov na enoto, pavšalnega zneska ali pavšalnega financiranja – to velja za večino ukrepov, ki so zajeti v ta vodnik –, Komisija vnaprej zagotovi upoštevanje načel neprofitnosti in sofinanciranja za celoten ukrep z opredelitvijo stopenj ali odstotkov takih enot, pavšalnih zneskov ali pavšalnega financiranja. Na splošno se predvideva spoštovanje načel neprofitnosti in sofinanciranja, zato prijaviteljem ni treba zagotoviti informacij o virih sredstev, ki niso nepovratna sredstva EU, ali utemeljiti stroškov, ki nastanejo s projektom.</w:t>
      </w:r>
    </w:p>
    <w:p w14:paraId="7D39A680" w14:textId="77777777" w:rsidR="00E03711" w:rsidRPr="001048FE" w:rsidRDefault="00E03711" w:rsidP="00C03915">
      <w:pPr>
        <w:pStyle w:val="GUIDE-NORMAL"/>
        <w:rPr>
          <w:lang w:val="sl-SI"/>
        </w:rPr>
      </w:pPr>
      <w:r w:rsidRPr="001048FE">
        <w:rPr>
          <w:lang w:val="sl-SI"/>
        </w:rPr>
        <w:t>Vendar plačilo nepovratnih sredstev na podlagi povračila na osnovi prispevka za stroške na enoto, pavšalnih zneskov ali pavšalnega financiranja ne posega v pravico do dostopa do zakonitih dokumentov upravičencev. Če se s preverjanjem ali revizijo razkrije, da dogodek, ki ustvarja finančna sredstva, ni bil izveden (npr. niso se izvedle aktivnosti projekta, ki so bile odobrene ob prijavi, udeleženci niso sodelovali v aktivnostih itd.), in je upravičenec prejel neupravičeno plačilo v okviru nepovratnih sredstev na podlagi povračila na osnovi prispevka za stroške na enoto, pavšalnih zneskov ali pavšalnega financiranja, ima nacionalna ali Izvajalska agencija pravico izterjati znesek v višini nepovratnih sredstev. In podobno, če kakovost izvedenih aktivnosti ali ustvarjenih realizacij ni zadostna, se lahko znesek nepovratnih sredstev zniža delno ali v celoti, čeprav so se aktivnosti izvedle in so upravičene.</w:t>
      </w:r>
    </w:p>
    <w:p w14:paraId="7D39A681" w14:textId="77777777" w:rsidR="00E03711" w:rsidRPr="001048FE" w:rsidRDefault="00E03711" w:rsidP="00C03915">
      <w:pPr>
        <w:pStyle w:val="GUIDE-NORMAL"/>
        <w:rPr>
          <w:lang w:val="sl-SI"/>
        </w:rPr>
      </w:pPr>
      <w:r w:rsidRPr="001048FE">
        <w:rPr>
          <w:lang w:val="sl-SI"/>
        </w:rPr>
        <w:t>Poleg tega lahko Evropska komisija za statistične namene in namene spremljanja na vzorcih upravičencev izvede ankete, katerih cilj je količinsko opredeliti dejanske stroške projektov, ki so bili financirani na podlagi povračila na osnovi prispevka na stroške na enoto, pavšalnih zneskov ali pavšalnega financiranja.</w:t>
      </w:r>
    </w:p>
    <w:p w14:paraId="7D39A682" w14:textId="77777777" w:rsidR="00E03711" w:rsidRPr="001048FE" w:rsidRDefault="00E03711" w:rsidP="00955AAC">
      <w:pPr>
        <w:pStyle w:val="Guide-Heading4"/>
        <w:rPr>
          <w:lang w:val="sl-SI"/>
        </w:rPr>
      </w:pPr>
      <w:bookmarkStart w:id="469" w:name="_Toc527401240"/>
      <w:r w:rsidRPr="001048FE">
        <w:rPr>
          <w:lang w:val="sl-SI"/>
        </w:rPr>
        <w:t>Posebne določbe, ki se uporabljajo za nepovratna sredstva, plačana na osnovi povračila določenega deleža upravičenih stroškov</w:t>
      </w:r>
      <w:bookmarkEnd w:id="469"/>
    </w:p>
    <w:p w14:paraId="7D39A683" w14:textId="77777777" w:rsidR="00E03711" w:rsidRPr="001048FE" w:rsidRDefault="00E03711" w:rsidP="00C03915">
      <w:pPr>
        <w:pStyle w:val="GUIDE-NORMAL"/>
        <w:rPr>
          <w:rStyle w:val="Guide-Condensed-02"/>
          <w:lang w:val="sl-SI"/>
        </w:rPr>
      </w:pPr>
      <w:r w:rsidRPr="001048FE">
        <w:rPr>
          <w:rStyle w:val="Guide-Condensed-02"/>
          <w:lang w:val="sl-SI"/>
        </w:rPr>
        <w:t>Če se nepovratna sredstva EU zagotovijo kot povračilo določenega deleža upravičenih stroškov, se uporabljajo naslednje določbe:</w:t>
      </w:r>
    </w:p>
    <w:p w14:paraId="7D39A684" w14:textId="77777777" w:rsidR="00E03711" w:rsidRPr="001048FE" w:rsidRDefault="00E03711" w:rsidP="00955AAC">
      <w:pPr>
        <w:pStyle w:val="Guide-Heading5"/>
        <w:rPr>
          <w:lang w:val="sl-SI"/>
        </w:rPr>
        <w:sectPr w:rsidR="00E03711" w:rsidRPr="001048FE" w:rsidSect="007F4890">
          <w:endnotePr>
            <w:numFmt w:val="decimal"/>
          </w:endnotePr>
          <w:pgSz w:w="11910" w:h="16840" w:code="9"/>
          <w:pgMar w:top="1134" w:right="1418" w:bottom="1134" w:left="1418" w:header="283" w:footer="567" w:gutter="0"/>
          <w:cols w:space="720"/>
          <w:docGrid w:linePitch="326"/>
        </w:sectPr>
      </w:pPr>
    </w:p>
    <w:p w14:paraId="7D39A685" w14:textId="77777777" w:rsidR="00E03711" w:rsidRPr="001048FE" w:rsidRDefault="00E03711" w:rsidP="00955AAC">
      <w:pPr>
        <w:pStyle w:val="Guide-Heading5"/>
        <w:rPr>
          <w:lang w:val="sl-SI"/>
        </w:rPr>
      </w:pPr>
      <w:r w:rsidRPr="001048FE">
        <w:rPr>
          <w:lang w:val="sl-SI"/>
        </w:rPr>
        <w:t>Upravičeni stroški</w:t>
      </w:r>
    </w:p>
    <w:p w14:paraId="7D39A686" w14:textId="77777777" w:rsidR="00E03711" w:rsidRPr="001048FE" w:rsidRDefault="00E03711" w:rsidP="00C03915">
      <w:pPr>
        <w:pStyle w:val="GUIDE-NORMAL"/>
        <w:rPr>
          <w:lang w:val="sl-SI"/>
        </w:rPr>
      </w:pPr>
      <w:r w:rsidRPr="001048FE">
        <w:rPr>
          <w:lang w:val="sl-SI"/>
        </w:rPr>
        <w:t>Nepovratna sredstva EU ne smejo presegati skupnega zneska, ki ga določi nacionalna ali Izvajalska agencija ob izbiri projekta na podlagi predvidenih upravičenih stroškov, navedenih v prijavnem obrazcu. Upravičeni stroški so dejanski stroški, ki jih je imel upravičenec do nepovratnih sredstev in ki izpolnjujejo vsa naslednja merila:</w:t>
      </w:r>
    </w:p>
    <w:p w14:paraId="7D39A687" w14:textId="77777777" w:rsidR="00E03711" w:rsidRPr="001048FE" w:rsidRDefault="00E03711" w:rsidP="005115F2">
      <w:pPr>
        <w:pStyle w:val="Guide-NormalBulletpoints"/>
        <w:numPr>
          <w:ilvl w:val="0"/>
          <w:numId w:val="280"/>
        </w:numPr>
        <w:rPr>
          <w:lang w:val="sl-SI"/>
        </w:rPr>
      </w:pPr>
      <w:r w:rsidRPr="001048FE">
        <w:rPr>
          <w:lang w:val="sl-SI"/>
        </w:rPr>
        <w:t>nastali so v življenjskem ciklu projekta, razen stroškov, povezanih s končnimi poročili in revizijskimi potrdili;</w:t>
      </w:r>
    </w:p>
    <w:p w14:paraId="7D39A688" w14:textId="77777777" w:rsidR="00E03711" w:rsidRPr="001048FE" w:rsidRDefault="00E03711" w:rsidP="005115F2">
      <w:pPr>
        <w:pStyle w:val="Guide-NormalBulletpoints"/>
        <w:numPr>
          <w:ilvl w:val="0"/>
          <w:numId w:val="280"/>
        </w:numPr>
        <w:rPr>
          <w:lang w:val="sl-SI"/>
        </w:rPr>
      </w:pPr>
      <w:r w:rsidRPr="001048FE">
        <w:rPr>
          <w:lang w:val="sl-SI"/>
        </w:rPr>
        <w:t>navedeni so v oceni celotnega proračuna za projekt;</w:t>
      </w:r>
    </w:p>
    <w:p w14:paraId="7D39A689" w14:textId="77777777" w:rsidR="00E03711" w:rsidRPr="001048FE" w:rsidRDefault="00E03711" w:rsidP="005115F2">
      <w:pPr>
        <w:pStyle w:val="Guide-NormalBulletpoints"/>
        <w:numPr>
          <w:ilvl w:val="0"/>
          <w:numId w:val="280"/>
        </w:numPr>
        <w:rPr>
          <w:lang w:val="sl-SI"/>
        </w:rPr>
      </w:pPr>
      <w:r w:rsidRPr="001048FE">
        <w:rPr>
          <w:lang w:val="sl-SI"/>
        </w:rPr>
        <w:t xml:space="preserve">potrebni so za izvajanje projekta, ki je predmet nepovratnih sredstev; </w:t>
      </w:r>
    </w:p>
    <w:p w14:paraId="7D39A68A" w14:textId="77777777" w:rsidR="00E03711" w:rsidRPr="001048FE" w:rsidRDefault="00E03711" w:rsidP="005115F2">
      <w:pPr>
        <w:pStyle w:val="Guide-NormalBulletpoints"/>
        <w:numPr>
          <w:ilvl w:val="0"/>
          <w:numId w:val="280"/>
        </w:numPr>
        <w:rPr>
          <w:lang w:val="sl-SI"/>
        </w:rPr>
      </w:pPr>
      <w:r w:rsidRPr="001048FE">
        <w:rPr>
          <w:lang w:val="sl-SI"/>
        </w:rPr>
        <w:t>so določljivi in preverljivi ter zlasti prikazani v računovodskih izkazih upravičenca in pripravljeni v skladu z računovodskimi standardi, ki se uporabljajo v državi, kjer ima upravičenec svoj sedež, in v skladu z običajno prakso stroškovnega računovodstva upravičenca;</w:t>
      </w:r>
    </w:p>
    <w:p w14:paraId="7D39A68B" w14:textId="77777777" w:rsidR="00E03711" w:rsidRPr="001048FE" w:rsidRDefault="00E03711" w:rsidP="005115F2">
      <w:pPr>
        <w:pStyle w:val="Guide-NormalBulletpoints"/>
        <w:numPr>
          <w:ilvl w:val="0"/>
          <w:numId w:val="280"/>
        </w:numPr>
        <w:rPr>
          <w:lang w:val="sl-SI"/>
        </w:rPr>
      </w:pPr>
      <w:r w:rsidRPr="001048FE">
        <w:rPr>
          <w:lang w:val="sl-SI"/>
        </w:rPr>
        <w:t>ustrezajo zahtevam davčne in socialne zakonodaje, ki se uporablja;</w:t>
      </w:r>
    </w:p>
    <w:p w14:paraId="7D39A68C" w14:textId="77777777" w:rsidR="00E03711" w:rsidRPr="001048FE" w:rsidRDefault="00E03711" w:rsidP="005115F2">
      <w:pPr>
        <w:pStyle w:val="Guide-NormalBulletpoints"/>
        <w:numPr>
          <w:ilvl w:val="0"/>
          <w:numId w:val="280"/>
        </w:numPr>
        <w:rPr>
          <w:lang w:val="sl-SI"/>
        </w:rPr>
      </w:pPr>
      <w:r w:rsidRPr="001048FE">
        <w:rPr>
          <w:lang w:val="sl-SI"/>
        </w:rPr>
        <w:t>so smotrni, utemeljeni in v skladu z načelom dobrega finančnega poslovodenja, zlasti glede gospodarnosti in učinkovitosti.</w:t>
      </w:r>
    </w:p>
    <w:p w14:paraId="7D39A68D" w14:textId="77777777" w:rsidR="00E03711" w:rsidRPr="001048FE" w:rsidRDefault="00E03711" w:rsidP="005115F2">
      <w:pPr>
        <w:pStyle w:val="Guide-NormalBulletpoints"/>
        <w:numPr>
          <w:ilvl w:val="0"/>
          <w:numId w:val="280"/>
        </w:numPr>
        <w:rPr>
          <w:lang w:val="sl-SI"/>
        </w:rPr>
      </w:pPr>
      <w:r w:rsidRPr="001048FE">
        <w:rPr>
          <w:lang w:val="sl-SI"/>
        </w:rPr>
        <w:t>niso kriti z nepovratnimi sredstvi EU v obliki prispevka za stroške na enoto, pavšalnih zneskov ali pavšalnega financiranja.</w:t>
      </w:r>
    </w:p>
    <w:p w14:paraId="7D39A68E" w14:textId="77777777" w:rsidR="00E03711" w:rsidRPr="001048FE" w:rsidRDefault="00E03711" w:rsidP="00C03915">
      <w:pPr>
        <w:pStyle w:val="GUIDE-NORMAL"/>
        <w:rPr>
          <w:lang w:val="sl-SI"/>
        </w:rPr>
      </w:pPr>
      <w:r w:rsidRPr="001048FE">
        <w:rPr>
          <w:lang w:val="sl-SI"/>
        </w:rPr>
        <w:t>Upravičene so tudi naslednje vrste stroškov:</w:t>
      </w:r>
    </w:p>
    <w:p w14:paraId="7D39A68F" w14:textId="77777777" w:rsidR="00E03711" w:rsidRPr="001048FE" w:rsidRDefault="00E03711" w:rsidP="005115F2">
      <w:pPr>
        <w:pStyle w:val="Guide-NormalBulletpoints"/>
        <w:numPr>
          <w:ilvl w:val="0"/>
          <w:numId w:val="281"/>
        </w:numPr>
        <w:rPr>
          <w:lang w:val="sl-SI"/>
        </w:rPr>
      </w:pPr>
      <w:r w:rsidRPr="001048FE">
        <w:rPr>
          <w:lang w:val="sl-SI"/>
        </w:rPr>
        <w:t>stroški, povezani z jamstvom za predhodno financiranje, ki ga predloži upravičenec do nepovratnih sredstev, kadar to jamstvo zahteva nacionalna ali Izvajalska agencija;</w:t>
      </w:r>
    </w:p>
    <w:p w14:paraId="7D39A690" w14:textId="77777777" w:rsidR="00E03711" w:rsidRPr="00FC4A70" w:rsidRDefault="00E03711" w:rsidP="005115F2">
      <w:pPr>
        <w:pStyle w:val="Guide-NormalBulletpoints"/>
        <w:numPr>
          <w:ilvl w:val="0"/>
          <w:numId w:val="281"/>
        </w:numPr>
        <w:rPr>
          <w:lang w:val="sl-SI"/>
        </w:rPr>
      </w:pPr>
      <w:r w:rsidRPr="00FC4A70">
        <w:rPr>
          <w:rFonts w:eastAsia="Calibri"/>
          <w:bdr w:val="nil"/>
          <w:lang w:val="sl-SI"/>
        </w:rPr>
        <w:t>stroški, ki se nanašajo na potrdila o finančnih izkazih in poročila o preverjanju, če je taka potrdila in poročila treba predložiti pri zahtevi za plačilo nacionalne ali izvajalske agencije;</w:t>
      </w:r>
    </w:p>
    <w:p w14:paraId="7D39A691" w14:textId="77777777" w:rsidR="00E03711" w:rsidRPr="001048FE" w:rsidRDefault="00E03711" w:rsidP="005115F2">
      <w:pPr>
        <w:pStyle w:val="Guide-NormalBulletpoints"/>
        <w:numPr>
          <w:ilvl w:val="0"/>
          <w:numId w:val="281"/>
        </w:numPr>
        <w:rPr>
          <w:lang w:val="sl-SI"/>
        </w:rPr>
      </w:pPr>
      <w:r w:rsidRPr="001048FE">
        <w:rPr>
          <w:lang w:val="sl-SI"/>
        </w:rPr>
        <w:t>stroški amortizacije, če jih je upravičenec dejansko imel.</w:t>
      </w:r>
    </w:p>
    <w:p w14:paraId="7D39A692" w14:textId="77777777" w:rsidR="00E03711" w:rsidRPr="001048FE" w:rsidRDefault="00E03711" w:rsidP="00C03915">
      <w:pPr>
        <w:pStyle w:val="GUIDE-NORMAL"/>
        <w:rPr>
          <w:lang w:val="sl-SI"/>
        </w:rPr>
      </w:pPr>
      <w:r w:rsidRPr="001048FE">
        <w:rPr>
          <w:lang w:val="sl-SI"/>
        </w:rPr>
        <w:t>Notranja računovodska praksa in revizijski postopki upravičenca morajo omogočati neposredno uskladitev stroškov in prihodkov, ki so bili prijavljeni za projekt, z ustreznimi računovodskimi izkazi in dokazili.</w:t>
      </w:r>
    </w:p>
    <w:p w14:paraId="7D39A693" w14:textId="77777777" w:rsidR="00E03711" w:rsidRPr="001048FE" w:rsidRDefault="00E03711" w:rsidP="00C03915">
      <w:pPr>
        <w:pStyle w:val="GUIDE-NORMAL"/>
        <w:rPr>
          <w:u w:val="single"/>
          <w:lang w:val="sl-SI"/>
        </w:rPr>
      </w:pPr>
      <w:r w:rsidRPr="001048FE">
        <w:rPr>
          <w:u w:val="single"/>
          <w:lang w:val="sl-SI"/>
        </w:rPr>
        <w:t>Davek na dodano vrednost (DDV)</w:t>
      </w:r>
    </w:p>
    <w:p w14:paraId="7D39A694" w14:textId="77777777" w:rsidR="00E03711" w:rsidRPr="001048FE" w:rsidRDefault="00E03711" w:rsidP="00C03915">
      <w:pPr>
        <w:pStyle w:val="GUIDE-NORMAL"/>
        <w:rPr>
          <w:lang w:val="sl-SI"/>
        </w:rPr>
      </w:pPr>
      <w:r w:rsidRPr="001048FE">
        <w:rPr>
          <w:lang w:val="sl-SI"/>
        </w:rPr>
        <w:t>Davek na dodano vrednost se upošteva kot upravičen strošek le takrat, kadar ga ni mogoče povrniti v skladu z veljavno nacionalno zakonodajo o DDV</w:t>
      </w:r>
      <w:r w:rsidRPr="001048FE">
        <w:rPr>
          <w:rStyle w:val="FootnoteReference"/>
          <w:lang w:val="sl-SI"/>
        </w:rPr>
        <w:footnoteReference w:id="255"/>
      </w:r>
      <w:r w:rsidRPr="001048FE">
        <w:rPr>
          <w:lang w:val="sl-SI"/>
        </w:rPr>
        <w:t>. Edina izjema so aktivnosti ali transakcije, pri katerih državni, regionalni in lokalni organi ter drugi javni organi delujejo kot javni organi</w:t>
      </w:r>
      <w:r w:rsidRPr="001048FE">
        <w:rPr>
          <w:rStyle w:val="FootnoteReference"/>
          <w:lang w:val="sl-SI"/>
        </w:rPr>
        <w:footnoteReference w:id="256"/>
      </w:r>
      <w:r w:rsidRPr="001048FE">
        <w:rPr>
          <w:lang w:val="sl-SI"/>
        </w:rPr>
        <w:t>. Poleg tega:</w:t>
      </w:r>
    </w:p>
    <w:p w14:paraId="7D39A695" w14:textId="77777777" w:rsidR="00E03711" w:rsidRPr="001048FE" w:rsidRDefault="00E03711" w:rsidP="005115F2">
      <w:pPr>
        <w:pStyle w:val="Guide-NormalBulletpoints"/>
        <w:numPr>
          <w:ilvl w:val="0"/>
          <w:numId w:val="282"/>
        </w:numPr>
        <w:rPr>
          <w:lang w:val="sl-SI"/>
        </w:rPr>
      </w:pPr>
      <w:r w:rsidRPr="001048FE">
        <w:rPr>
          <w:lang w:val="sl-SI"/>
        </w:rPr>
        <w:t>odbitni DDV, ki se dejansko ne odbije (zaradi nacionalnih pogojev ali nepremišljenosti upravičencev), ni upravičen;</w:t>
      </w:r>
    </w:p>
    <w:p w14:paraId="7D39A696" w14:textId="77777777" w:rsidR="00E03711" w:rsidRPr="001048FE" w:rsidRDefault="00E03711" w:rsidP="005115F2">
      <w:pPr>
        <w:pStyle w:val="Guide-NormalBulletpoints"/>
        <w:numPr>
          <w:ilvl w:val="0"/>
          <w:numId w:val="282"/>
        </w:numPr>
        <w:rPr>
          <w:lang w:val="sl-SI"/>
        </w:rPr>
      </w:pPr>
      <w:r w:rsidRPr="001048FE">
        <w:rPr>
          <w:lang w:val="sl-SI"/>
        </w:rPr>
        <w:t>direktiva o DDV se ne uporablja za države, ki niso države EU. Organizacije iz partnerskih držav se lahko oprostijo plačila davkov (vključno z DDV), dajatev in stroškov, če je bil podpisan sporazum med Evropsko komisijo in partnersko državo, v kateri ima organizacija sedež.</w:t>
      </w:r>
    </w:p>
    <w:p w14:paraId="7D39A697" w14:textId="77777777" w:rsidR="00E03711" w:rsidRPr="001048FE" w:rsidRDefault="00E03711" w:rsidP="00C03915">
      <w:pPr>
        <w:pStyle w:val="GUIDE-NORMAL"/>
        <w:rPr>
          <w:u w:val="single"/>
          <w:lang w:val="sl-SI"/>
        </w:rPr>
      </w:pPr>
      <w:r w:rsidRPr="001048FE">
        <w:rPr>
          <w:u w:val="single"/>
          <w:lang w:val="sl-SI"/>
        </w:rPr>
        <w:t>Upravičeni posredni stroški</w:t>
      </w:r>
    </w:p>
    <w:p w14:paraId="7D39A698" w14:textId="77777777" w:rsidR="00E03711" w:rsidRPr="00FC4A70" w:rsidRDefault="00E03711" w:rsidP="000B4501">
      <w:pPr>
        <w:pStyle w:val="Guide-Normal0"/>
        <w:rPr>
          <w:vanish/>
          <w:lang w:val="sl-SI"/>
        </w:rPr>
      </w:pPr>
      <w:r w:rsidRPr="00FC4A70">
        <w:rPr>
          <w:rFonts w:eastAsia="Calibri" w:cs="Calibri"/>
          <w:kern w:val="3"/>
          <w:sz w:val="18"/>
          <w:szCs w:val="18"/>
          <w:bdr w:val="nil"/>
          <w:shd w:val="clear" w:color="auto" w:fill="FFFFFF"/>
          <w:lang w:val="sl-SI"/>
        </w:rPr>
        <w:t>Za nekatere vrste projektov (za več informacij o pravilih za dodelitev sredstev v okviru ukrepov glej del B tega vodnika) je v okviru posrednih stroškov upravičen pavšalni znesek, ki ne presega 7 % upravičenih neposrednih stroškov projekta in predstavlja splošne administrativne stroške, ki niso že zdaj kriti iz upravičenih neposrednih stroškov (npr. računi za elektriko ali internet, stroški prostorov, stroški redno zaposlenega osebja itd.), a jih je mogoče obračunati pri projektu.</w:t>
      </w:r>
      <w:r>
        <w:rPr>
          <w:rFonts w:eastAsia="Calibri" w:cs="Calibri"/>
          <w:vanish/>
          <w:kern w:val="3"/>
          <w:sz w:val="18"/>
          <w:szCs w:val="18"/>
          <w:bdr w:val="nil"/>
          <w:shd w:val="clear" w:color="auto" w:fill="FFFFFF"/>
          <w:lang w:val="sl-SI"/>
        </w:rPr>
        <w:t xml:space="preserve"> </w:t>
      </w:r>
    </w:p>
    <w:p w14:paraId="7D39A699" w14:textId="77777777" w:rsidR="00E03711" w:rsidRPr="001048FE" w:rsidRDefault="00E03711" w:rsidP="00C03915">
      <w:pPr>
        <w:pStyle w:val="GUIDE-NORMAL"/>
        <w:rPr>
          <w:lang w:val="sl-SI"/>
        </w:rPr>
      </w:pPr>
      <w:r w:rsidRPr="001048FE">
        <w:rPr>
          <w:lang w:val="sl-SI"/>
        </w:rPr>
        <w:t>Posredni stroški ne smejo vključevati stroškov iz drugih proračunskih kategorij. Posredni stroški niso upravičeni, kadar je upravičenec iz proračuna Unije že prejel nepovratna sredstva za poslovanje (na primer v okviru razpisov za zbiranje predlogov za sodelovanje s civilno družbo v okviru programa Erasmus+).</w:t>
      </w:r>
    </w:p>
    <w:p w14:paraId="7D39A69A" w14:textId="77777777" w:rsidR="00E03711" w:rsidRPr="001048FE" w:rsidRDefault="00E03711" w:rsidP="00955AAC">
      <w:pPr>
        <w:pStyle w:val="Guide-Heading5"/>
        <w:rPr>
          <w:lang w:val="sl-SI"/>
        </w:rPr>
        <w:sectPr w:rsidR="00E03711" w:rsidRPr="001048FE" w:rsidSect="007F4890">
          <w:endnotePr>
            <w:numFmt w:val="decimal"/>
          </w:endnotePr>
          <w:pgSz w:w="11910" w:h="16840" w:code="9"/>
          <w:pgMar w:top="1134" w:right="1418" w:bottom="1134" w:left="1418" w:header="283" w:footer="567" w:gutter="0"/>
          <w:cols w:space="720"/>
          <w:docGrid w:linePitch="326"/>
        </w:sectPr>
      </w:pPr>
    </w:p>
    <w:p w14:paraId="7D39A69B" w14:textId="77777777" w:rsidR="00E03711" w:rsidRPr="001048FE" w:rsidRDefault="00E03711" w:rsidP="00955AAC">
      <w:pPr>
        <w:pStyle w:val="Guide-Heading5"/>
        <w:rPr>
          <w:lang w:val="sl-SI"/>
        </w:rPr>
      </w:pPr>
      <w:r w:rsidRPr="001048FE">
        <w:rPr>
          <w:lang w:val="sl-SI"/>
        </w:rPr>
        <w:t>Neupravičeni stroški</w:t>
      </w:r>
    </w:p>
    <w:p w14:paraId="7D39A69C" w14:textId="77777777" w:rsidR="00E03711" w:rsidRPr="001048FE" w:rsidRDefault="00E03711" w:rsidP="00C03915">
      <w:pPr>
        <w:pStyle w:val="GUIDE-NORMAL"/>
        <w:rPr>
          <w:lang w:val="sl-SI"/>
        </w:rPr>
      </w:pPr>
      <w:r w:rsidRPr="001048FE">
        <w:rPr>
          <w:lang w:val="sl-SI"/>
        </w:rPr>
        <w:t xml:space="preserve">Naslednji stroški niso upravičeni: </w:t>
      </w:r>
    </w:p>
    <w:p w14:paraId="7D39A69D" w14:textId="77777777" w:rsidR="00E03711" w:rsidRPr="001048FE" w:rsidRDefault="00E03711" w:rsidP="005115F2">
      <w:pPr>
        <w:pStyle w:val="Guide-NormalBulletpoints"/>
        <w:numPr>
          <w:ilvl w:val="0"/>
          <w:numId w:val="283"/>
        </w:numPr>
        <w:rPr>
          <w:lang w:val="sl-SI"/>
        </w:rPr>
      </w:pPr>
      <w:r w:rsidRPr="001048FE">
        <w:rPr>
          <w:lang w:val="sl-SI"/>
        </w:rPr>
        <w:t>donos kapitala;</w:t>
      </w:r>
    </w:p>
    <w:p w14:paraId="7D39A69E" w14:textId="77777777" w:rsidR="00E03711" w:rsidRPr="001048FE" w:rsidRDefault="00E03711" w:rsidP="005115F2">
      <w:pPr>
        <w:pStyle w:val="Guide-NormalBulletpoints"/>
        <w:numPr>
          <w:ilvl w:val="0"/>
          <w:numId w:val="283"/>
        </w:numPr>
        <w:rPr>
          <w:lang w:val="sl-SI"/>
        </w:rPr>
      </w:pPr>
      <w:r w:rsidRPr="001048FE">
        <w:rPr>
          <w:lang w:val="sl-SI"/>
        </w:rPr>
        <w:t xml:space="preserve">dolgovi in stroški servisiranja dolga; </w:t>
      </w:r>
    </w:p>
    <w:p w14:paraId="7D39A69F" w14:textId="77777777" w:rsidR="00E03711" w:rsidRPr="001048FE" w:rsidRDefault="00E03711" w:rsidP="005115F2">
      <w:pPr>
        <w:pStyle w:val="Guide-NormalBulletpoints"/>
        <w:numPr>
          <w:ilvl w:val="0"/>
          <w:numId w:val="283"/>
        </w:numPr>
        <w:rPr>
          <w:lang w:val="sl-SI"/>
        </w:rPr>
      </w:pPr>
      <w:r w:rsidRPr="001048FE">
        <w:rPr>
          <w:lang w:val="sl-SI"/>
        </w:rPr>
        <w:t xml:space="preserve">rezervacije za izgube ali dolgove; </w:t>
      </w:r>
    </w:p>
    <w:p w14:paraId="7D39A6A0" w14:textId="77777777" w:rsidR="00E03711" w:rsidRPr="001048FE" w:rsidRDefault="00E03711" w:rsidP="005115F2">
      <w:pPr>
        <w:pStyle w:val="Guide-NormalBulletpoints"/>
        <w:numPr>
          <w:ilvl w:val="0"/>
          <w:numId w:val="283"/>
        </w:numPr>
        <w:rPr>
          <w:lang w:val="sl-SI"/>
        </w:rPr>
      </w:pPr>
      <w:r w:rsidRPr="001048FE">
        <w:rPr>
          <w:lang w:val="sl-SI"/>
        </w:rPr>
        <w:t>dolgovane obresti;</w:t>
      </w:r>
    </w:p>
    <w:p w14:paraId="7D39A6A1" w14:textId="77777777" w:rsidR="00E03711" w:rsidRPr="001048FE" w:rsidRDefault="00E03711" w:rsidP="005115F2">
      <w:pPr>
        <w:pStyle w:val="Guide-NormalBulletpoints"/>
        <w:numPr>
          <w:ilvl w:val="0"/>
          <w:numId w:val="283"/>
        </w:numPr>
        <w:rPr>
          <w:lang w:val="sl-SI"/>
        </w:rPr>
      </w:pPr>
      <w:r w:rsidRPr="001048FE">
        <w:rPr>
          <w:lang w:val="sl-SI"/>
        </w:rPr>
        <w:t xml:space="preserve">dvomljivi dolgovi; </w:t>
      </w:r>
    </w:p>
    <w:p w14:paraId="7D39A6A2" w14:textId="77777777" w:rsidR="00E03711" w:rsidRPr="001048FE" w:rsidRDefault="00E03711" w:rsidP="005115F2">
      <w:pPr>
        <w:pStyle w:val="Guide-NormalBulletpoints"/>
        <w:numPr>
          <w:ilvl w:val="0"/>
          <w:numId w:val="283"/>
        </w:numPr>
        <w:rPr>
          <w:lang w:val="sl-SI"/>
        </w:rPr>
      </w:pPr>
      <w:r w:rsidRPr="001048FE">
        <w:rPr>
          <w:lang w:val="sl-SI"/>
        </w:rPr>
        <w:t>tečajne izgube;</w:t>
      </w:r>
    </w:p>
    <w:p w14:paraId="7D39A6A3" w14:textId="77777777" w:rsidR="00E03711" w:rsidRPr="001048FE" w:rsidRDefault="00E03711" w:rsidP="005115F2">
      <w:pPr>
        <w:pStyle w:val="Guide-NormalBulletpoints"/>
        <w:numPr>
          <w:ilvl w:val="0"/>
          <w:numId w:val="283"/>
        </w:numPr>
        <w:rPr>
          <w:lang w:val="sl-SI"/>
        </w:rPr>
      </w:pPr>
      <w:r w:rsidRPr="001048FE">
        <w:rPr>
          <w:lang w:val="sl-SI"/>
        </w:rPr>
        <w:t>DDV, kadar ga je mogoče povrniti v skladu z veljavno nacionalno zakonodajo o DDV (glej zgoraj navedeni odstavek o davku na dodano vrednost);</w:t>
      </w:r>
    </w:p>
    <w:p w14:paraId="7D39A6A4" w14:textId="77777777" w:rsidR="00E03711" w:rsidRPr="001048FE" w:rsidRDefault="00E03711" w:rsidP="005115F2">
      <w:pPr>
        <w:pStyle w:val="Guide-NormalBulletpoints"/>
        <w:numPr>
          <w:ilvl w:val="0"/>
          <w:numId w:val="283"/>
        </w:numPr>
        <w:rPr>
          <w:lang w:val="sl-SI"/>
        </w:rPr>
      </w:pPr>
      <w:r w:rsidRPr="001048FE">
        <w:rPr>
          <w:lang w:val="sl-SI"/>
        </w:rPr>
        <w:t>stroški, ki jih prijavi upravičenec in so kriti z drugim projektom ali delovnim programom, ki prejema nepovratna sredstva EU (glej zgoraj navedeni odstavek o upravičenih posrednih stroških);</w:t>
      </w:r>
    </w:p>
    <w:p w14:paraId="7D39A6A5" w14:textId="77777777" w:rsidR="00E03711" w:rsidRDefault="00E03711" w:rsidP="005115F2">
      <w:pPr>
        <w:pStyle w:val="Guide-NormalBulletpoints"/>
        <w:numPr>
          <w:ilvl w:val="0"/>
          <w:numId w:val="283"/>
        </w:numPr>
        <w:rPr>
          <w:lang w:val="sl-SI"/>
        </w:rPr>
      </w:pPr>
      <w:r w:rsidRPr="001048FE">
        <w:rPr>
          <w:lang w:val="sl-SI"/>
        </w:rPr>
        <w:t xml:space="preserve">prekomerni ali nepremišljeni izdatki; </w:t>
      </w:r>
    </w:p>
    <w:p w14:paraId="7D39A6A6" w14:textId="77777777" w:rsidR="00E03711" w:rsidRPr="001048FE" w:rsidRDefault="00E03711" w:rsidP="005115F2">
      <w:pPr>
        <w:pStyle w:val="Guide-NormalBulletpoints"/>
        <w:numPr>
          <w:ilvl w:val="0"/>
          <w:numId w:val="283"/>
        </w:numPr>
        <w:rPr>
          <w:lang w:val="sl-SI"/>
        </w:rPr>
      </w:pPr>
      <w:r w:rsidRPr="001048FE">
        <w:rPr>
          <w:lang w:val="sl-SI"/>
        </w:rPr>
        <w:t>prispevki v naravi;</w:t>
      </w:r>
    </w:p>
    <w:p w14:paraId="7D39A6A7" w14:textId="77777777" w:rsidR="00E03711" w:rsidRPr="001048FE" w:rsidRDefault="00E03711" w:rsidP="005115F2">
      <w:pPr>
        <w:pStyle w:val="Guide-NormalBulletpoints"/>
        <w:numPr>
          <w:ilvl w:val="0"/>
          <w:numId w:val="283"/>
        </w:numPr>
        <w:rPr>
          <w:lang w:val="sl-SI"/>
        </w:rPr>
      </w:pPr>
      <w:r w:rsidRPr="001048FE">
        <w:rPr>
          <w:lang w:val="sl-SI"/>
        </w:rPr>
        <w:t>v primeru najema ali zakupa opreme, stroški kakršne koli možnosti odkupa ob koncu obdobja najema ali zakupa;</w:t>
      </w:r>
    </w:p>
    <w:p w14:paraId="7D39A6A8" w14:textId="77777777" w:rsidR="00E03711" w:rsidRPr="001048FE" w:rsidRDefault="00E03711" w:rsidP="005115F2">
      <w:pPr>
        <w:pStyle w:val="Guide-NormalBulletpoints"/>
        <w:numPr>
          <w:ilvl w:val="0"/>
          <w:numId w:val="283"/>
        </w:numPr>
        <w:rPr>
          <w:lang w:val="sl-SI"/>
        </w:rPr>
      </w:pPr>
      <w:r w:rsidRPr="001048FE">
        <w:rPr>
          <w:lang w:val="sl-SI"/>
        </w:rPr>
        <w:t>stroški odpiranja in upravljanja bančnih računov (vključno s stroški prenosov iz nacionalne ali Izvajalske agencije ali v nacionalno ali Izvajalsko agencijo, ki jih zaračuna banka upravičenca).</w:t>
      </w:r>
    </w:p>
    <w:p w14:paraId="7D39A6A9" w14:textId="77777777" w:rsidR="00E03711" w:rsidRPr="001048FE" w:rsidRDefault="00E03711" w:rsidP="00955AAC">
      <w:pPr>
        <w:pStyle w:val="Guide-Heading5"/>
        <w:rPr>
          <w:lang w:val="sl-SI"/>
        </w:rPr>
      </w:pPr>
      <w:r w:rsidRPr="001048FE">
        <w:rPr>
          <w:lang w:val="sl-SI"/>
        </w:rPr>
        <w:t>Viri financiranja</w:t>
      </w:r>
    </w:p>
    <w:p w14:paraId="7D39A6AA" w14:textId="77777777" w:rsidR="00E03711" w:rsidRPr="001048FE" w:rsidRDefault="00E03711" w:rsidP="00C03915">
      <w:pPr>
        <w:pStyle w:val="GUIDE-NORMAL"/>
        <w:rPr>
          <w:lang w:val="sl-SI"/>
        </w:rPr>
      </w:pPr>
      <w:r w:rsidRPr="001048FE">
        <w:rPr>
          <w:lang w:val="sl-SI"/>
        </w:rPr>
        <w:t>Prijavitelj mora v prijavnem obrazcu navesti prispevke iz drugih virov, ki niso nepovratna sredstva EU. Zunanje sofinanciranje je lahko v obliki lastnih sredstev upravičenca, finančnih prispevkov od tretjih oseb ali prihodka, ki se ustvari s projektom. Če je iz končnega poročila in zahtevka za plačilo razlike razvidno, da prihodek presega upravičene stroške, ki so nastali s projektom</w:t>
      </w:r>
      <w:r>
        <w:rPr>
          <w:lang w:val="sl-SI"/>
        </w:rPr>
        <w:t xml:space="preserve"> (gl. razdelek o neprofitnosti in sofinanciranju)</w:t>
      </w:r>
      <w:r w:rsidRPr="001048FE">
        <w:rPr>
          <w:lang w:val="sl-SI"/>
        </w:rPr>
        <w:t>, ima nacionalna ali Izvajalska agencija pravico izterjati odstotek dobička, ki ustreza prispevku Unije k upravičenim stroškom, ki jih je upravičenec dejansko imel z izvajanjem ukrepa. Ta določba se ne uporablja za projekte, ki zahtevajo sredstva, ki ne presegajo 60 000 EUR.</w:t>
      </w:r>
    </w:p>
    <w:p w14:paraId="7D39A6AB" w14:textId="77777777" w:rsidR="00E03711" w:rsidRPr="001048FE" w:rsidRDefault="00E03711" w:rsidP="00E1047E">
      <w:pPr>
        <w:pStyle w:val="GUIDE-NORMAL"/>
        <w:rPr>
          <w:lang w:val="sl-SI"/>
        </w:rPr>
      </w:pPr>
      <w:r w:rsidRPr="001048FE">
        <w:rPr>
          <w:lang w:val="sl-SI"/>
        </w:rPr>
        <w:t>Prispevki v naravi se ne štejejo kot morebitni vir sofinanciranja.</w:t>
      </w:r>
      <w:bookmarkStart w:id="470" w:name="Étape_4:_remplissage_et_soumission_du_fo"/>
      <w:bookmarkStart w:id="471" w:name="_bookmark63"/>
      <w:bookmarkEnd w:id="470"/>
      <w:bookmarkEnd w:id="471"/>
    </w:p>
    <w:p w14:paraId="7D39A6AC" w14:textId="77777777" w:rsidR="00E03711" w:rsidRDefault="00E03711">
      <w:pPr>
        <w:pStyle w:val="Guide-Heading3"/>
        <w:rPr>
          <w:lang w:val="sl-SI"/>
        </w:rPr>
      </w:pPr>
      <w:bookmarkStart w:id="472" w:name="_Toc527400941"/>
      <w:bookmarkStart w:id="473" w:name="_Toc527401241"/>
      <w:r w:rsidRPr="001048FE">
        <w:rPr>
          <w:lang w:val="sl-SI"/>
        </w:rPr>
        <w:t>Korak 4: izpolnitev in oddaja prijavnega</w:t>
      </w:r>
      <w:bookmarkStart w:id="474" w:name="Korak_4:_izpolnitev_in_oddaja_prijavnega"/>
      <w:bookmarkEnd w:id="474"/>
      <w:r w:rsidRPr="001048FE">
        <w:rPr>
          <w:lang w:val="sl-SI"/>
        </w:rPr>
        <w:t xml:space="preserve"> obrazca</w:t>
      </w:r>
      <w:bookmarkEnd w:id="472"/>
      <w:bookmarkEnd w:id="473"/>
    </w:p>
    <w:p w14:paraId="7D39A6AD" w14:textId="77777777" w:rsidR="00E03711" w:rsidRPr="001048FE" w:rsidRDefault="00E03711" w:rsidP="00C460F1">
      <w:pPr>
        <w:pStyle w:val="GUIDE-NORMAL"/>
        <w:rPr>
          <w:lang w:val="sl-SI"/>
        </w:rPr>
      </w:pPr>
      <w:r w:rsidRPr="001048FE">
        <w:rPr>
          <w:lang w:val="sl-SI"/>
        </w:rPr>
        <w:t>Če želijo prijavitelji zaprositi za nepovratna sredstva EU v okviru programa Erasmus+, morajo uporabiti obrazce, ki so pripravljeni za posamezne ukrepe in so na voljo na spletiščih Evropske komisije, nacionalnih agencij in Izvajalske agencije (za kontaktne podatke glej Prilogo IV k temu vodniku).</w:t>
      </w:r>
    </w:p>
    <w:p w14:paraId="7D39A6AE" w14:textId="77777777" w:rsidR="00E03711" w:rsidRPr="001048FE" w:rsidRDefault="00E03711" w:rsidP="00C460F1">
      <w:pPr>
        <w:pStyle w:val="GUIDE-NORMAL"/>
        <w:rPr>
          <w:lang w:val="sl-SI"/>
        </w:rPr>
      </w:pPr>
      <w:r w:rsidRPr="001048FE">
        <w:rPr>
          <w:lang w:val="sl-SI"/>
        </w:rPr>
        <w:t>V primeru predlogov projektov, ki se oddajajo v imenu konzorcijev, koordinatorska organizacija ali skupina odda eno vlogo za celoten projekt v imenu vseh sodelujočih organizacij. Vlogo je treba oddati pri ustrezni nacionalni ali Izvajalski agenciji (glej poglavje „Kje se prijaviti?“ za posamezni ukrep v delu B tega vodnika).</w:t>
      </w:r>
    </w:p>
    <w:p w14:paraId="7D39A6AF" w14:textId="77777777" w:rsidR="00E03711" w:rsidRPr="001048FE" w:rsidRDefault="00E03711" w:rsidP="00955AAC">
      <w:pPr>
        <w:pStyle w:val="Guide-Heading4"/>
        <w:rPr>
          <w:lang w:val="sl-SI"/>
        </w:rPr>
      </w:pPr>
      <w:bookmarkStart w:id="475" w:name="_Toc527401242"/>
      <w:r w:rsidRPr="001048FE">
        <w:rPr>
          <w:lang w:val="sl-SI"/>
        </w:rPr>
        <w:t>Postopek prijave</w:t>
      </w:r>
      <w:bookmarkEnd w:id="475"/>
    </w:p>
    <w:p w14:paraId="7D39A6B0" w14:textId="77777777" w:rsidR="00E03711" w:rsidRPr="001048FE" w:rsidRDefault="00E03711" w:rsidP="00955AAC">
      <w:pPr>
        <w:pStyle w:val="Guide-Heading5"/>
        <w:rPr>
          <w:lang w:val="sl-SI"/>
        </w:rPr>
      </w:pPr>
      <w:r w:rsidRPr="001048FE">
        <w:rPr>
          <w:lang w:val="sl-SI"/>
        </w:rPr>
        <w:t>Spletni elektronski obrazci</w:t>
      </w:r>
    </w:p>
    <w:p w14:paraId="7D39A6B1" w14:textId="77777777" w:rsidR="00E03711" w:rsidRPr="001048FE" w:rsidRDefault="00E03711" w:rsidP="00C460F1">
      <w:pPr>
        <w:pStyle w:val="GUIDE-NORMAL"/>
        <w:rPr>
          <w:lang w:val="sl-SI"/>
        </w:rPr>
      </w:pPr>
      <w:r w:rsidRPr="001048FE">
        <w:rPr>
          <w:lang w:val="sl-SI"/>
        </w:rPr>
        <w:t>Za večino ukrepov Programa morajo prijavitelji svojo vlogo oddati elektronsko pri ustrezni nacionalni ali Izvajalski agenciji ter uporabiti pravi elektronski obrazec, vključno z vsemi zahtevanimi prilogami.</w:t>
      </w:r>
      <w:r>
        <w:rPr>
          <w:lang w:val="sl-SI"/>
        </w:rPr>
        <w:t xml:space="preserve"> </w:t>
      </w:r>
      <w:r w:rsidRPr="00FC4A70">
        <w:rPr>
          <w:rFonts w:eastAsia="Calibri" w:cs="Calibri"/>
          <w:bdr w:val="nil"/>
          <w:lang w:val="sl-SI"/>
        </w:rPr>
        <w:t xml:space="preserve">Vloge, poslane po pošti, kurirski službi, telefaksu ali e-pošti, </w:t>
      </w:r>
      <w:r w:rsidRPr="00FC4A70">
        <w:rPr>
          <w:rFonts w:eastAsia="Calibri" w:cs="Calibri"/>
          <w:u w:val="single"/>
          <w:bdr w:val="nil"/>
          <w:lang w:val="sl-SI"/>
        </w:rPr>
        <w:t>ne bodo upoštevane</w:t>
      </w:r>
      <w:r w:rsidRPr="00FC4A70">
        <w:rPr>
          <w:rFonts w:eastAsia="Calibri" w:cs="Calibri"/>
          <w:bdr w:val="nil"/>
          <w:lang w:val="sl-SI"/>
        </w:rPr>
        <w:t>.</w:t>
      </w:r>
    </w:p>
    <w:p w14:paraId="7D39A6B2" w14:textId="77777777" w:rsidR="00E03711" w:rsidRPr="001048FE" w:rsidRDefault="00E03711" w:rsidP="00C460F1">
      <w:pPr>
        <w:pStyle w:val="GUIDE-NORMAL"/>
        <w:rPr>
          <w:lang w:val="sl-SI"/>
        </w:rPr>
      </w:pPr>
      <w:r w:rsidRPr="001048FE">
        <w:rPr>
          <w:lang w:val="sl-SI"/>
        </w:rPr>
        <w:t>Ta elektronski obrazec mora biti izpolnjen v enem od uradnih jezikov, ki se uporabljajo v državah Programa. V primeru centraliziranih ukrepov, ki jih upravlja Izvajalska agencija, morajo prijavitelji izpolniti obrazec v enem od uradnih jezikov EU.</w:t>
      </w:r>
    </w:p>
    <w:p w14:paraId="7D39A6B3" w14:textId="77777777" w:rsidR="00E03711" w:rsidRPr="001048FE" w:rsidRDefault="00E03711" w:rsidP="00C460F1">
      <w:pPr>
        <w:pStyle w:val="GUIDE-NORMAL"/>
        <w:rPr>
          <w:lang w:val="sl-SI"/>
        </w:rPr>
      </w:pPr>
      <w:r w:rsidRPr="001048FE">
        <w:rPr>
          <w:lang w:val="sl-SI"/>
        </w:rPr>
        <w:t>Za več informacij glej navodila o tem, kako izpolniti in oddati elektronski obrazec. V teh navodilih so na voljo tudi informacije o tem, kaj storiti v primeru tehničnih težav; na voljo so na spletiščih nacionalnih agencij (posebej za decentralizirane ukrepe), Izvajalske agencije (posebej za centralizirane ukrepe) in Evropske komisije.</w:t>
      </w:r>
    </w:p>
    <w:p w14:paraId="7D39A6B4" w14:textId="77777777" w:rsidR="00E03711" w:rsidRPr="001048FE" w:rsidRDefault="00E03711" w:rsidP="00C460F1">
      <w:pPr>
        <w:pStyle w:val="GUIDE-NORMAL"/>
        <w:rPr>
          <w:lang w:val="sl-SI"/>
        </w:rPr>
      </w:pPr>
      <w:r w:rsidRPr="001048FE">
        <w:rPr>
          <w:lang w:val="sl-SI"/>
        </w:rPr>
        <w:t>V primeru večkratne oddaje iste vloge v istem krogu izbirnega postopka pri isti nacionalni agenciji ali Izvajalski agenciji bo nacionalna ali Izvajalska agencija vedno štela kot veljavno zadnjo različico, ki je bila oddana pred iztekom roka. V primeru večkratne oddaje istih ali zelo podobnih vlog iste organizacije prijaviteljice ali konzorcija pri različnih agencijah bodo vse vloge samodejno zavrnjene (glej poglavje o nekumulativnem dodeljevanju).</w:t>
      </w:r>
    </w:p>
    <w:p w14:paraId="7D39A6B5" w14:textId="77777777" w:rsidR="00E03711" w:rsidRPr="001048FE" w:rsidRDefault="00E03711" w:rsidP="00955AAC">
      <w:pPr>
        <w:pStyle w:val="Guide-Heading5"/>
        <w:rPr>
          <w:lang w:val="sl-SI"/>
        </w:rPr>
      </w:pPr>
      <w:r w:rsidRPr="001048FE">
        <w:rPr>
          <w:lang w:val="sl-SI"/>
        </w:rPr>
        <w:t>Prijavni obrazci v tiskani obliki</w:t>
      </w:r>
    </w:p>
    <w:p w14:paraId="7D39A6B6" w14:textId="77777777" w:rsidR="00E03711" w:rsidRPr="001048FE" w:rsidRDefault="00E03711" w:rsidP="00C460F1">
      <w:pPr>
        <w:pStyle w:val="GUIDE-NORMAL"/>
        <w:rPr>
          <w:lang w:val="sl-SI"/>
        </w:rPr>
      </w:pPr>
      <w:r w:rsidRPr="001048FE">
        <w:rPr>
          <w:lang w:val="sl-SI"/>
        </w:rPr>
        <w:t>Nekateri centralizirani ukrepi Programa morda niso podprti z elektronskimi obrazci. Za te ukrepe je treba vloge poslati Izvajalski agenciji po pošti (velja datum poštnega žiga) ali s kurirsko službo (velja datum, ko kurirska služba prevzame pošiljko) (glej kontaktne podatke v Prilogi IV k temu vodniku). Vloge, poslane po telefaksu ali e-pošti, ne bodo upoštevane.</w:t>
      </w:r>
    </w:p>
    <w:p w14:paraId="7D39A6B7" w14:textId="77777777" w:rsidR="00E03711" w:rsidRPr="001048FE" w:rsidRDefault="00E03711" w:rsidP="00C460F1">
      <w:pPr>
        <w:pStyle w:val="GUIDE-NORMAL"/>
        <w:rPr>
          <w:lang w:val="sl-SI"/>
        </w:rPr>
      </w:pPr>
      <w:r w:rsidRPr="001048FE">
        <w:rPr>
          <w:lang w:val="sl-SI"/>
        </w:rPr>
        <w:t>Prijavitelji ne morejo spreminjati svoje vloge za nepovratna sredstva po izteku roka za oddajo.</w:t>
      </w:r>
    </w:p>
    <w:p w14:paraId="7D39A6B8" w14:textId="77777777" w:rsidR="00E03711" w:rsidRPr="001048FE" w:rsidRDefault="00E03711" w:rsidP="00955AAC">
      <w:pPr>
        <w:pStyle w:val="Guide-Heading5"/>
        <w:rPr>
          <w:lang w:val="sl-SI"/>
        </w:rPr>
      </w:pPr>
      <w:r w:rsidRPr="001048FE">
        <w:rPr>
          <w:lang w:val="sl-SI"/>
        </w:rPr>
        <w:t>Upoštevanje roka</w:t>
      </w:r>
    </w:p>
    <w:p w14:paraId="7D39A6B9" w14:textId="77777777" w:rsidR="00E03711" w:rsidRPr="001048FE" w:rsidRDefault="00E03711" w:rsidP="00C460F1">
      <w:pPr>
        <w:pStyle w:val="GUIDE-NORMAL"/>
        <w:rPr>
          <w:lang w:val="sl-SI"/>
        </w:rPr>
      </w:pPr>
      <w:r w:rsidRPr="001048FE">
        <w:rPr>
          <w:lang w:val="sl-SI"/>
        </w:rPr>
        <w:t>Vloga mora biti oddana do roka, ki je določen za vsak ukrep. Roki za oddajo predlogov projektov za vsak ukrep so navedeni v poglavjih „Merila za upravičenost“ v delu B tega vodnika.</w:t>
      </w:r>
    </w:p>
    <w:p w14:paraId="7D39A6BA" w14:textId="77777777" w:rsidR="00E03711" w:rsidRDefault="00E03711" w:rsidP="00860232">
      <w:pPr>
        <w:pStyle w:val="GUIDE-NORMAL"/>
        <w:pBdr>
          <w:top w:val="single" w:sz="4" w:space="1" w:color="auto"/>
          <w:left w:val="single" w:sz="4" w:space="4" w:color="auto"/>
          <w:bottom w:val="single" w:sz="4" w:space="1" w:color="auto"/>
          <w:right w:val="single" w:sz="4" w:space="4" w:color="auto"/>
        </w:pBdr>
        <w:rPr>
          <w:b/>
          <w:lang w:val="sl-SI"/>
        </w:rPr>
      </w:pPr>
      <w:r w:rsidRPr="001048FE">
        <w:rPr>
          <w:b/>
          <w:lang w:val="sl-SI"/>
        </w:rPr>
        <w:t xml:space="preserve">Opomba: </w:t>
      </w:r>
    </w:p>
    <w:p w14:paraId="7D39A6BB" w14:textId="77777777" w:rsidR="00E03711" w:rsidRDefault="00E03711" w:rsidP="00860232">
      <w:pPr>
        <w:pStyle w:val="GUIDE-NORMAL"/>
        <w:pBdr>
          <w:top w:val="single" w:sz="4" w:space="1" w:color="auto"/>
          <w:left w:val="single" w:sz="4" w:space="4" w:color="auto"/>
          <w:bottom w:val="single" w:sz="4" w:space="1" w:color="auto"/>
          <w:right w:val="single" w:sz="4" w:space="4" w:color="auto"/>
        </w:pBdr>
        <w:rPr>
          <w:b/>
          <w:lang w:val="sl-SI"/>
        </w:rPr>
      </w:pPr>
      <w:r>
        <w:rPr>
          <w:b/>
          <w:lang w:val="sl-SI"/>
        </w:rPr>
        <w:t xml:space="preserve">Za decentralizirane ukrepe, ne glede na datum roka, je </w:t>
      </w:r>
      <w:r w:rsidRPr="001048FE">
        <w:rPr>
          <w:b/>
          <w:lang w:val="sl-SI"/>
        </w:rPr>
        <w:t>rok za oddajo elektronskih obrazcev vedno do 12. ure (opoldne po bruseljskem času)</w:t>
      </w:r>
    </w:p>
    <w:p w14:paraId="7D39A6BC" w14:textId="038278F4" w:rsidR="00E03711" w:rsidRDefault="00E03711" w:rsidP="00860232">
      <w:pPr>
        <w:pStyle w:val="GUIDE-NORMAL"/>
        <w:pBdr>
          <w:top w:val="single" w:sz="4" w:space="1" w:color="auto"/>
          <w:left w:val="single" w:sz="4" w:space="4" w:color="auto"/>
          <w:bottom w:val="single" w:sz="4" w:space="1" w:color="auto"/>
          <w:right w:val="single" w:sz="4" w:space="4" w:color="auto"/>
        </w:pBdr>
        <w:rPr>
          <w:b/>
          <w:lang w:val="sl-SI"/>
        </w:rPr>
      </w:pPr>
      <w:r>
        <w:rPr>
          <w:b/>
          <w:lang w:val="sl-SI"/>
        </w:rPr>
        <w:t>Za centralizirane ukrepe</w:t>
      </w:r>
      <w:r w:rsidR="00C1690F">
        <w:rPr>
          <w:b/>
          <w:lang w:val="sl-SI"/>
        </w:rPr>
        <w:t>, ki jih zajema ta vodnik po programu</w:t>
      </w:r>
      <w:r w:rsidR="00D85E55">
        <w:rPr>
          <w:b/>
          <w:lang w:val="sl-SI"/>
        </w:rPr>
        <w:t>,</w:t>
      </w:r>
      <w:r>
        <w:rPr>
          <w:b/>
          <w:lang w:val="sl-SI"/>
        </w:rPr>
        <w:t xml:space="preserve"> in v skladu z zahtevami </w:t>
      </w:r>
      <w:r w:rsidR="00BC3A3F">
        <w:rPr>
          <w:b/>
          <w:lang w:val="sl-SI"/>
        </w:rPr>
        <w:t xml:space="preserve">portala </w:t>
      </w:r>
      <w:r w:rsidR="00515A7A">
        <w:rPr>
          <w:b/>
          <w:lang w:val="sl-SI"/>
        </w:rPr>
        <w:t xml:space="preserve">Komisije za financiranje in priložnosti </w:t>
      </w:r>
      <w:r w:rsidR="00701DA5">
        <w:rPr>
          <w:b/>
          <w:lang w:val="sl-SI"/>
        </w:rPr>
        <w:t>natečajev</w:t>
      </w:r>
      <w:r w:rsidR="00D85E55">
        <w:rPr>
          <w:b/>
          <w:lang w:val="sl-SI"/>
        </w:rPr>
        <w:t xml:space="preserve"> (FTOP)</w:t>
      </w:r>
      <w:r>
        <w:rPr>
          <w:b/>
          <w:lang w:val="sl-SI"/>
        </w:rPr>
        <w:t>, je rok za oddajo predlogov za EACEA 17.00 (po bruseljskem času).</w:t>
      </w:r>
    </w:p>
    <w:p w14:paraId="7D39A6BD" w14:textId="77777777" w:rsidR="00E03711" w:rsidRDefault="00E03711" w:rsidP="00860232">
      <w:pPr>
        <w:pStyle w:val="GUIDE-NORMAL"/>
        <w:pBdr>
          <w:top w:val="single" w:sz="4" w:space="1" w:color="auto"/>
          <w:left w:val="single" w:sz="4" w:space="4" w:color="auto"/>
          <w:bottom w:val="single" w:sz="4" w:space="1" w:color="auto"/>
          <w:right w:val="single" w:sz="4" w:space="4" w:color="auto"/>
        </w:pBdr>
        <w:rPr>
          <w:b/>
          <w:lang w:val="sl-SI"/>
        </w:rPr>
      </w:pPr>
      <w:r w:rsidRPr="001048FE">
        <w:rPr>
          <w:b/>
          <w:lang w:val="sl-SI"/>
        </w:rPr>
        <w:t>Prijavitelji s sedežem v državah v drugih časovnih pasovih naj skrbno upoštevajo časovno razliko, da se izognejo zavrnitvi.</w:t>
      </w:r>
      <w:bookmarkStart w:id="476" w:name="Kaj_sledi_po_oddaji_vloge?"/>
      <w:bookmarkEnd w:id="476"/>
    </w:p>
    <w:p w14:paraId="7D39A6BE" w14:textId="77777777" w:rsidR="00E03711" w:rsidRDefault="00E03711" w:rsidP="00C460F1">
      <w:pPr>
        <w:pStyle w:val="GUIDE-NORMAL"/>
        <w:rPr>
          <w:b/>
          <w:lang w:val="sl-SI"/>
        </w:rPr>
        <w:sectPr w:rsidR="00E03711" w:rsidSect="007F4890">
          <w:headerReference w:type="default" r:id="rId148"/>
          <w:endnotePr>
            <w:numFmt w:val="decimal"/>
          </w:endnotePr>
          <w:pgSz w:w="11910" w:h="16840" w:code="9"/>
          <w:pgMar w:top="1134" w:right="1418" w:bottom="1134" w:left="1418" w:header="283" w:footer="567" w:gutter="0"/>
          <w:cols w:space="720"/>
          <w:docGrid w:linePitch="326"/>
        </w:sectPr>
      </w:pPr>
    </w:p>
    <w:p w14:paraId="7D39A6BF" w14:textId="77777777" w:rsidR="00E03711" w:rsidRPr="001048FE" w:rsidRDefault="00E03711" w:rsidP="009A2C2A">
      <w:pPr>
        <w:pStyle w:val="Guide-Heading2"/>
        <w:rPr>
          <w:lang w:val="sl-SI"/>
        </w:rPr>
      </w:pPr>
      <w:bookmarkStart w:id="477" w:name="_Toc527400942"/>
      <w:bookmarkStart w:id="478" w:name="_Toc527401243"/>
      <w:r w:rsidRPr="001048FE">
        <w:rPr>
          <w:lang w:val="sl-SI"/>
        </w:rPr>
        <w:t>Kaj sledi po oddaji vloge?</w:t>
      </w:r>
      <w:bookmarkEnd w:id="477"/>
      <w:bookmarkEnd w:id="478"/>
    </w:p>
    <w:p w14:paraId="7D39A6C0" w14:textId="77777777" w:rsidR="00E03711" w:rsidRDefault="00E03711" w:rsidP="004B71A1">
      <w:pPr>
        <w:pStyle w:val="GUIDE-NORMAL"/>
        <w:rPr>
          <w:lang w:val="sl-SI"/>
        </w:rPr>
      </w:pPr>
      <w:r w:rsidRPr="001048FE">
        <w:rPr>
          <w:lang w:val="sl-SI"/>
        </w:rPr>
        <w:t>Vse prijave, ki jih prejmejo nacionalne agencije ali Izvajalska agencija, gredo v postopek ocenjevanja.</w:t>
      </w:r>
    </w:p>
    <w:p w14:paraId="7D39A6C1" w14:textId="77777777" w:rsidR="00E03711" w:rsidRPr="00DE0934" w:rsidRDefault="00E03711" w:rsidP="00DE0934">
      <w:pPr>
        <w:pStyle w:val="GUIDE-NORMAL"/>
        <w:outlineLvl w:val="3"/>
        <w:rPr>
          <w:b/>
          <w:bCs/>
          <w:lang w:val="sl-SI"/>
        </w:rPr>
      </w:pPr>
      <w:r w:rsidRPr="00DE0934">
        <w:rPr>
          <w:b/>
          <w:bCs/>
          <w:lang w:val="sl-SI"/>
        </w:rPr>
        <w:t>Postopek ocenjevanja</w:t>
      </w:r>
    </w:p>
    <w:p w14:paraId="7D39A6C2" w14:textId="77777777" w:rsidR="00E03711" w:rsidRPr="001048FE" w:rsidRDefault="00E03711" w:rsidP="00C460F1">
      <w:pPr>
        <w:pStyle w:val="GUIDE-NORMAL"/>
        <w:rPr>
          <w:lang w:val="sl-SI"/>
        </w:rPr>
      </w:pPr>
      <w:r w:rsidRPr="001048FE">
        <w:rPr>
          <w:lang w:val="sl-SI"/>
        </w:rPr>
        <w:t>Nacionalna ali Izvajalska agencija, ki prejme vlogo, oceni predloge projektov izključno na podlagi meril, navedenih v tem vodniku. Ocenjevanje zajema:</w:t>
      </w:r>
    </w:p>
    <w:p w14:paraId="7D39A6C3" w14:textId="77777777" w:rsidR="00E03711" w:rsidRPr="001048FE" w:rsidRDefault="00E03711" w:rsidP="005115F2">
      <w:pPr>
        <w:pStyle w:val="Guide-NormalBulletpoints"/>
        <w:numPr>
          <w:ilvl w:val="0"/>
          <w:numId w:val="417"/>
        </w:numPr>
        <w:rPr>
          <w:lang w:val="sl-SI"/>
        </w:rPr>
      </w:pPr>
      <w:r w:rsidRPr="001048FE">
        <w:rPr>
          <w:lang w:val="sl-SI"/>
        </w:rPr>
        <w:t>uradno preverjanje, ali so upoštevana merila za upravičenost in izključitev;</w:t>
      </w:r>
    </w:p>
    <w:p w14:paraId="7D39A6C4" w14:textId="77777777" w:rsidR="00E03711" w:rsidRPr="001048FE" w:rsidRDefault="00E03711" w:rsidP="005115F2">
      <w:pPr>
        <w:pStyle w:val="Guide-NormalBulletpoints"/>
        <w:numPr>
          <w:ilvl w:val="0"/>
          <w:numId w:val="417"/>
        </w:numPr>
        <w:rPr>
          <w:lang w:val="sl-SI"/>
        </w:rPr>
      </w:pPr>
      <w:r w:rsidRPr="001048FE">
        <w:rPr>
          <w:lang w:val="sl-SI"/>
        </w:rPr>
        <w:t>oceno kakovosti za ovrednotenje tega, v kolikšni meri sodelujoče organizacije izpolnjujejo merila za izbor (tj. operativna in finančna zmogljivost) in v kolikšni meri projekt izpolnjuje merila za dodelitev. Taka ocena kakovosti se v večini primerov izvede s podporo neodvisnih strokovnjakov. Strokovnjaki bodo v svoji oceni upoštevali smernice, ki jih je razvila Evropska komisija; te smernice bodo na voljo na spletiščih Evropske komisije in agencij, ki so odgovorne za upravljanje projektov Erasmus+;</w:t>
      </w:r>
    </w:p>
    <w:p w14:paraId="7D39A6C5" w14:textId="77777777" w:rsidR="00E03711" w:rsidRPr="001048FE" w:rsidRDefault="00E03711" w:rsidP="005115F2">
      <w:pPr>
        <w:pStyle w:val="Guide-NormalBulletpoints"/>
        <w:numPr>
          <w:ilvl w:val="0"/>
          <w:numId w:val="417"/>
        </w:numPr>
        <w:rPr>
          <w:lang w:val="sl-SI"/>
        </w:rPr>
      </w:pPr>
      <w:r w:rsidRPr="001048FE">
        <w:rPr>
          <w:lang w:val="sl-SI"/>
        </w:rPr>
        <w:t>preverjanje, ali v zvezi s predlogom obstaja tveganje za dvojno financiranje. Po potrebi se tako preverjanje izvede v sodelovanju z drugimi agencijami ali deležniki.</w:t>
      </w:r>
    </w:p>
    <w:p w14:paraId="7D39A6C6" w14:textId="77777777" w:rsidR="00E03711" w:rsidRPr="001048FE" w:rsidRDefault="00E03711" w:rsidP="00C460F1">
      <w:pPr>
        <w:pStyle w:val="GUIDE-NORMAL"/>
        <w:rPr>
          <w:lang w:val="sl-SI"/>
        </w:rPr>
      </w:pPr>
      <w:r w:rsidRPr="001048FE">
        <w:rPr>
          <w:lang w:val="sl-SI"/>
        </w:rPr>
        <w:t>Nacionalna ali Izvajalska agencija imenuje odbor za ocenjevanje, ki bo nadzoroval upravljanje celotnega postopka izbora. Na podlagi ocene, ki jo izvedejo strokovnjaki, bo odbor za ocenjevanje določil seznam predlaganih projektov za izbor.</w:t>
      </w:r>
    </w:p>
    <w:p w14:paraId="7D39A6C7" w14:textId="77777777" w:rsidR="00E03711" w:rsidRDefault="00E03711" w:rsidP="004B71A1">
      <w:pPr>
        <w:pStyle w:val="GUIDE-NORMAL"/>
        <w:rPr>
          <w:lang w:val="sl-SI"/>
        </w:rPr>
      </w:pPr>
      <w:r w:rsidRPr="001048FE">
        <w:rPr>
          <w:lang w:val="sl-SI"/>
        </w:rPr>
        <w:t>Za vse ukrepe iz tega vodnika se lahko od prijaviteljev med postopkom ocenjevanja zahteva, da predložijo dodatne informacije ali pojasnijo dokazila, predložena v zvezi z vlogo, če takšne informacije ali pojasnila predloga ne spreminjajo znatno. Dodatne informacije in pojasnila so še zlasti utemeljeni v primeru očitnih pisnih napak prijavitelja ali v tistih primerih, ko – za projekte, ki so financirani s sporazumi za več upravičencev – manjka eden ali več mandatov partnerjev (za sporazume za več upravičencev glej poglavje „Sporazum/sklep o nepovratnih sredstvih“ v nadaljevanju).</w:t>
      </w:r>
    </w:p>
    <w:p w14:paraId="7D39A6C8" w14:textId="77777777" w:rsidR="00E03711" w:rsidRPr="004B71A1" w:rsidRDefault="00E03711" w:rsidP="00DE0934">
      <w:pPr>
        <w:pStyle w:val="GUIDE-NORMAL"/>
        <w:outlineLvl w:val="3"/>
        <w:rPr>
          <w:b/>
          <w:bCs/>
          <w:lang w:val="sl-SI"/>
        </w:rPr>
      </w:pPr>
      <w:r w:rsidRPr="004B71A1">
        <w:rPr>
          <w:b/>
          <w:bCs/>
          <w:lang w:val="sl-SI"/>
        </w:rPr>
        <w:t>Končna odločitev</w:t>
      </w:r>
    </w:p>
    <w:p w14:paraId="7D39A6C9" w14:textId="77777777" w:rsidR="00E03711" w:rsidRPr="001048FE" w:rsidRDefault="00E03711" w:rsidP="00C460F1">
      <w:pPr>
        <w:pStyle w:val="GUIDE-NORMAL"/>
        <w:rPr>
          <w:lang w:val="sl-SI"/>
        </w:rPr>
      </w:pPr>
      <w:r w:rsidRPr="001048FE">
        <w:rPr>
          <w:lang w:val="sl-SI"/>
        </w:rPr>
        <w:t>Ob koncu postopka ocenjevanja se nacionalna ali Izvajalska agencija odloči, katerim projektom bodo dodeljena nepovratna sredstva na podlagi:</w:t>
      </w:r>
    </w:p>
    <w:p w14:paraId="7D39A6CA" w14:textId="77777777" w:rsidR="00E03711" w:rsidRPr="001048FE" w:rsidRDefault="00E03711" w:rsidP="005115F2">
      <w:pPr>
        <w:pStyle w:val="Guide-NormalBulletpoints"/>
        <w:numPr>
          <w:ilvl w:val="0"/>
          <w:numId w:val="418"/>
        </w:numPr>
        <w:rPr>
          <w:lang w:val="sl-SI"/>
        </w:rPr>
      </w:pPr>
      <w:r w:rsidRPr="001048FE">
        <w:rPr>
          <w:lang w:val="sl-SI"/>
        </w:rPr>
        <w:t>seznama razvrstitve, ki ga predlaga odbor za ocenjevanje;</w:t>
      </w:r>
    </w:p>
    <w:p w14:paraId="7D39A6CB" w14:textId="77777777" w:rsidR="00E03711" w:rsidRPr="001048FE" w:rsidRDefault="00E03711" w:rsidP="005115F2">
      <w:pPr>
        <w:pStyle w:val="Guide-NormalBulletpoints"/>
        <w:numPr>
          <w:ilvl w:val="0"/>
          <w:numId w:val="418"/>
        </w:numPr>
        <w:rPr>
          <w:lang w:val="sl-SI"/>
        </w:rPr>
      </w:pPr>
      <w:r w:rsidRPr="001048FE">
        <w:rPr>
          <w:lang w:val="sl-SI"/>
        </w:rPr>
        <w:t>proračuna, ki je na voljo za kateri koli ukrep (ali katero koli aktivnost v okviru ukrepa).</w:t>
      </w:r>
    </w:p>
    <w:p w14:paraId="7D39A6CC" w14:textId="77777777" w:rsidR="00E03711" w:rsidRPr="001048FE" w:rsidRDefault="00E03711" w:rsidP="00C460F1">
      <w:pPr>
        <w:pStyle w:val="GUIDE-NORMAL"/>
        <w:rPr>
          <w:lang w:val="sl-SI"/>
        </w:rPr>
      </w:pPr>
      <w:r w:rsidRPr="001048FE">
        <w:rPr>
          <w:lang w:val="sl-SI"/>
        </w:rPr>
        <w:t>Po zaključku postopka izbora se dokumenti vloge in priloženo gradivo ne pošljejo nazaj prijavitelju, ne glede na izid postopka.</w:t>
      </w:r>
    </w:p>
    <w:p w14:paraId="7D39A6CD" w14:textId="77777777" w:rsidR="00E03711" w:rsidRPr="001048FE" w:rsidRDefault="00E03711" w:rsidP="001C5D8E">
      <w:pPr>
        <w:pStyle w:val="Guide-Heading3"/>
        <w:rPr>
          <w:lang w:val="sl-SI"/>
        </w:rPr>
      </w:pPr>
      <w:bookmarkStart w:id="479" w:name="_Toc527400943"/>
      <w:bookmarkStart w:id="480" w:name="_Toc527401244"/>
      <w:r w:rsidRPr="001048FE">
        <w:rPr>
          <w:lang w:val="sl-SI"/>
        </w:rPr>
        <w:t>Obvestilo o sklepih o dodelitvi nepovratnih sredstev</w:t>
      </w:r>
      <w:bookmarkEnd w:id="479"/>
      <w:bookmarkEnd w:id="480"/>
    </w:p>
    <w:p w14:paraId="7D39A6CE" w14:textId="77777777" w:rsidR="00E03711" w:rsidRDefault="00E03711" w:rsidP="00C460F1">
      <w:pPr>
        <w:pStyle w:val="GUIDE-NORMAL"/>
        <w:rPr>
          <w:lang w:val="sl-SI"/>
        </w:rPr>
      </w:pPr>
      <w:r w:rsidRPr="001048FE">
        <w:rPr>
          <w:lang w:val="sl-SI"/>
        </w:rPr>
        <w:t>Okvirni koledar za obvestila o rezultatih izbora v okviru posameznih ukrepov je naveden v poglavju „Roki življenjskega cikla projekta in načini plačila“ v nadaljevanju.</w:t>
      </w:r>
    </w:p>
    <w:p w14:paraId="7D39A6CF" w14:textId="77777777" w:rsidR="00E03711" w:rsidRDefault="00E03711" w:rsidP="00C460F1">
      <w:pPr>
        <w:pStyle w:val="GUIDE-NORMAL"/>
        <w:rPr>
          <w:lang w:val="sl-SI"/>
        </w:rPr>
        <w:sectPr w:rsidR="00E03711" w:rsidSect="00B4677D">
          <w:endnotePr>
            <w:numFmt w:val="decimal"/>
          </w:endnotePr>
          <w:type w:val="continuous"/>
          <w:pgSz w:w="11910" w:h="16840" w:code="9"/>
          <w:pgMar w:top="1134" w:right="1418" w:bottom="1134" w:left="1418" w:header="283" w:footer="567" w:gutter="0"/>
          <w:cols w:space="720"/>
          <w:docGrid w:linePitch="326"/>
        </w:sectPr>
      </w:pPr>
    </w:p>
    <w:p w14:paraId="7D39A6D0" w14:textId="77777777" w:rsidR="00E03711" w:rsidRDefault="00E03711">
      <w:pPr>
        <w:pStyle w:val="Guide-Heading2"/>
        <w:rPr>
          <w:lang w:val="sl-SI"/>
        </w:rPr>
      </w:pPr>
      <w:bookmarkStart w:id="481" w:name="Que_se_passe-t-il_après_l’approbation_de"/>
      <w:bookmarkStart w:id="482" w:name="_bookmark68"/>
      <w:bookmarkStart w:id="483" w:name="_Toc527400944"/>
      <w:bookmarkStart w:id="484" w:name="_Toc527401245"/>
      <w:bookmarkEnd w:id="481"/>
      <w:bookmarkEnd w:id="482"/>
      <w:r w:rsidRPr="001048FE">
        <w:rPr>
          <w:lang w:val="sl-SI"/>
        </w:rPr>
        <w:t>Kaj sledi po odobritvi vloge?</w:t>
      </w:r>
      <w:bookmarkEnd w:id="483"/>
      <w:bookmarkEnd w:id="484"/>
    </w:p>
    <w:p w14:paraId="7D39A6D1" w14:textId="77777777" w:rsidR="00E03711" w:rsidRDefault="00E03711">
      <w:pPr>
        <w:pStyle w:val="Guide-Heading3"/>
        <w:rPr>
          <w:lang w:val="sl-SI"/>
        </w:rPr>
      </w:pPr>
      <w:bookmarkStart w:id="485" w:name="Convention/décision_de_subvention"/>
      <w:bookmarkStart w:id="486" w:name="_bookmark69"/>
      <w:bookmarkStart w:id="487" w:name="_Toc527400945"/>
      <w:bookmarkStart w:id="488" w:name="_Toc527401246"/>
      <w:bookmarkEnd w:id="485"/>
      <w:bookmarkEnd w:id="486"/>
      <w:r w:rsidRPr="001048FE">
        <w:rPr>
          <w:lang w:val="sl-SI"/>
        </w:rPr>
        <w:t>Sporazum/sklep o nepovratnih sredstvih</w:t>
      </w:r>
      <w:bookmarkEnd w:id="487"/>
      <w:bookmarkEnd w:id="488"/>
    </w:p>
    <w:p w14:paraId="7D39A6D2" w14:textId="77777777" w:rsidR="00E03711" w:rsidRPr="001048FE" w:rsidRDefault="00E03711" w:rsidP="00C460F1">
      <w:pPr>
        <w:pStyle w:val="GUIDE-NORMAL"/>
        <w:rPr>
          <w:lang w:val="sl-SI"/>
        </w:rPr>
      </w:pPr>
      <w:r w:rsidRPr="001048FE">
        <w:rPr>
          <w:lang w:val="sl-SI"/>
        </w:rPr>
        <w:t>Če je projekt izbran za nepovratna sredstva EU v okviru programa Erasmus+:</w:t>
      </w:r>
    </w:p>
    <w:p w14:paraId="7D39A6D3" w14:textId="77777777" w:rsidR="00E03711" w:rsidRPr="001048FE" w:rsidRDefault="00E03711" w:rsidP="005115F2">
      <w:pPr>
        <w:pStyle w:val="Guide-NormalBulletpoints"/>
        <w:numPr>
          <w:ilvl w:val="0"/>
          <w:numId w:val="419"/>
        </w:numPr>
        <w:rPr>
          <w:lang w:val="sl-SI"/>
        </w:rPr>
      </w:pPr>
      <w:r w:rsidRPr="001048FE">
        <w:rPr>
          <w:lang w:val="sl-SI"/>
        </w:rPr>
        <w:t>je prijavitelj izbranega projekta obveščen o sklepu o nepovratnih sredstvih, ki ga je sprejela Izvajalska agencija. Po prejetju sklepa/obvestila o sklepu prijavitelj postane upravičenec do nepovratnih sredstev EU in lahko začne izvajati projekt</w:t>
      </w:r>
      <w:r w:rsidRPr="001048FE">
        <w:rPr>
          <w:rStyle w:val="FootnoteReference"/>
          <w:lang w:val="sl-SI"/>
        </w:rPr>
        <w:footnoteReference w:id="257"/>
      </w:r>
      <w:r w:rsidRPr="001048FE">
        <w:rPr>
          <w:lang w:val="sl-SI"/>
        </w:rPr>
        <w:t>;</w:t>
      </w:r>
    </w:p>
    <w:p w14:paraId="7D39A6D4" w14:textId="77777777" w:rsidR="00E03711" w:rsidRPr="001048FE" w:rsidRDefault="00E03711" w:rsidP="005115F2">
      <w:pPr>
        <w:pStyle w:val="Guide-NormalBulletpoints"/>
        <w:numPr>
          <w:ilvl w:val="0"/>
          <w:numId w:val="419"/>
        </w:numPr>
        <w:rPr>
          <w:lang w:val="sl-SI"/>
        </w:rPr>
      </w:pPr>
      <w:r w:rsidRPr="001048FE">
        <w:rPr>
          <w:lang w:val="sl-SI"/>
        </w:rPr>
        <w:t>nacionalna ali Izvajalska agencija, ki izbere projekt, in prijavitelj podpišeta sporazum o nepovratnih sredstvih. Prijavitelj bo prejel sporazum o nepovratnih sredstvih, ki ga mora podpisati njegov zakoniti zastopnik in ki se mora vrniti nacionalni ali Izvajalski agenciji; nacionalna ali Izvajalska agencija je zadnja podpisnica, ki podpiše sporazum. Ko sporazum podpišeta obe strani, prijavitelj postane upravičenec do nepovratnih sredstev EU in lahko začne izvajati projekt</w:t>
      </w:r>
      <w:r w:rsidRPr="001048FE">
        <w:rPr>
          <w:rStyle w:val="FootnoteReference"/>
          <w:lang w:val="sl-SI"/>
        </w:rPr>
        <w:footnoteReference w:id="258"/>
      </w:r>
    </w:p>
    <w:p w14:paraId="7D39A6D5" w14:textId="77777777" w:rsidR="00E03711" w:rsidRPr="001048FE" w:rsidRDefault="00E03711" w:rsidP="00C460F1">
      <w:pPr>
        <w:pStyle w:val="GUIDE-NORMAL"/>
        <w:rPr>
          <w:lang w:val="sl-SI"/>
        </w:rPr>
      </w:pPr>
      <w:r w:rsidRPr="001048FE">
        <w:rPr>
          <w:lang w:val="sl-SI"/>
        </w:rPr>
        <w:t>Glede na vrsto ukrepa so lahko sporazumi o nepovratnih sredstvih v obliki sporazumov za enega upravičenca, pri čemer je prijavitelj edini upravičenec, ali sporazumov za več upravičencev, pri čemer vse partnerske organizacije konzorcija postanejo upravičenke do sporazuma. Sporazum za več upravičencev podpiše koordinator, ki je edina kontaktna točka za nacionalno ali Izvajalsko agencijo. Vse druge organizacije, ki sodelujejo v projektu (soupravičenke), pa podpišejo mandat, s katerim koordinatorju dodelijo odgovornost, da deluje kot glavni upravičenec. Praviloma morajo biti mandati za prijavitelja od vsakega partnerja zagotovljeni ob prijavi. Če se ti mandati zagotovijo pozneje, morajo biti na voljo najpozneje ob podpisu sporazuma o nepovratnih sredstvih.</w:t>
      </w:r>
    </w:p>
    <w:p w14:paraId="7D39A6D6" w14:textId="77777777" w:rsidR="00E03711" w:rsidRPr="001048FE" w:rsidRDefault="00E03711" w:rsidP="00C460F1">
      <w:pPr>
        <w:pStyle w:val="GUIDE-NORMAL"/>
        <w:rPr>
          <w:lang w:val="sl-SI"/>
        </w:rPr>
      </w:pPr>
      <w:r w:rsidRPr="001048FE">
        <w:rPr>
          <w:lang w:val="sl-SI"/>
        </w:rPr>
        <w:t>Opomba: mandati niso zahtevani za partnerske organizacije v državah, ki niso države organizacije prijaviteljice v primeru projektov mobilnosti za študente in osebje v visokošolskem izobraževanju, projekte mobilnosti za dijake in osebje v PIU, projekte mobilnosti za šolsko osebje in projekte mobilnosti za osebje v izobraževanju odraslih. Mandat za organizacijo prijaviteljico pa morajo zagotoviti organizacije, ki so članice nacionalnih konzorcijev na področju visokošolskega izobraževanja, PIU, šolskega izobraževanja in izobraževanja odraslih.</w:t>
      </w:r>
    </w:p>
    <w:p w14:paraId="7D39A6D7" w14:textId="77777777" w:rsidR="00E03711" w:rsidRPr="001048FE" w:rsidRDefault="00E03711" w:rsidP="00C460F1">
      <w:pPr>
        <w:pStyle w:val="GUIDE-NORMAL"/>
        <w:rPr>
          <w:lang w:val="sl-SI"/>
        </w:rPr>
      </w:pPr>
      <w:r w:rsidRPr="001048FE">
        <w:rPr>
          <w:lang w:val="sl-SI"/>
        </w:rPr>
        <w:t>Izjema so strateška partnerstva v obliki „partnerstev za šolske izmenjave“, v okviru katerih bo vsaka sodelujoča organizacija, ki sodeluje v izbranem projektu, podpisala sporazum o nepovratnih sredstvih – posebej za svoj delež nepovratnih sredstev – z nacionalno agencijo, ki ima sedež v državi te organizacije.</w:t>
      </w:r>
    </w:p>
    <w:p w14:paraId="7D39A6D8" w14:textId="77777777" w:rsidR="00E03711" w:rsidRPr="001048FE" w:rsidRDefault="00E03711" w:rsidP="00C460F1">
      <w:pPr>
        <w:pStyle w:val="GUIDE-NORMAL"/>
        <w:rPr>
          <w:lang w:val="sl-SI"/>
        </w:rPr>
      </w:pPr>
      <w:r w:rsidRPr="001048FE">
        <w:rPr>
          <w:lang w:val="sl-SI"/>
        </w:rPr>
        <w:t>Vzorci sporazumov in sklepov o nepovratnih sredstvih, ki se uporabljajo v okviru programa Erasmus+, bodo med letom na voljo na spletiščih Evropske komisije in Izvajalske agencije.</w:t>
      </w:r>
    </w:p>
    <w:p w14:paraId="7D39A6D9" w14:textId="77777777" w:rsidR="00E03711" w:rsidRPr="001048FE" w:rsidRDefault="00E03711" w:rsidP="00C460F1">
      <w:pPr>
        <w:pStyle w:val="GUIDE-NORMAL"/>
        <w:rPr>
          <w:lang w:val="sl-SI"/>
        </w:rPr>
      </w:pPr>
      <w:r w:rsidRPr="001048FE">
        <w:rPr>
          <w:lang w:val="sl-SI"/>
        </w:rPr>
        <w:t>Okvirni koledar za prejetje sporazumov in sklepov o nepovratnih sredstvih v okviru posameznih ukrepov je naveden v poglavju „Roki življenjskega cikla projekta in načini plačila“ v nadaljevanju.</w:t>
      </w:r>
    </w:p>
    <w:p w14:paraId="7D39A6DA" w14:textId="77777777" w:rsidR="00E03711" w:rsidRDefault="00E03711">
      <w:pPr>
        <w:pStyle w:val="Guide-Heading3"/>
        <w:rPr>
          <w:lang w:val="sl-SI"/>
        </w:rPr>
      </w:pPr>
      <w:bookmarkStart w:id="489" w:name="Montant_de_la_subvention"/>
      <w:bookmarkStart w:id="490" w:name="_bookmark70"/>
      <w:bookmarkStart w:id="491" w:name="_Toc527400946"/>
      <w:bookmarkStart w:id="492" w:name="_Toc527401247"/>
      <w:bookmarkEnd w:id="489"/>
      <w:bookmarkEnd w:id="490"/>
      <w:r w:rsidRPr="001048FE">
        <w:rPr>
          <w:lang w:val="sl-SI"/>
        </w:rPr>
        <w:t>Znesek nepovratnih sredstev</w:t>
      </w:r>
      <w:bookmarkEnd w:id="491"/>
      <w:bookmarkEnd w:id="492"/>
    </w:p>
    <w:p w14:paraId="7D39A6DB" w14:textId="77777777" w:rsidR="00E03711" w:rsidRPr="001048FE" w:rsidRDefault="00E03711" w:rsidP="00745238">
      <w:pPr>
        <w:pStyle w:val="GUIDE-NORMAL"/>
        <w:rPr>
          <w:lang w:val="sl-SI"/>
        </w:rPr>
      </w:pPr>
      <w:r w:rsidRPr="001048FE">
        <w:rPr>
          <w:lang w:val="sl-SI"/>
        </w:rPr>
        <w:t>Sprejetje vloge ne pomeni zavezanosti k dodelitvi sredstev v višini zneska, ki ga je zahteval prijavitelj. Zahtevani znesek sredstev se lahko zmanjša na podlagi posebnih finančnih pravil, ki se uporabljajo za zadevni ukrep.</w:t>
      </w:r>
    </w:p>
    <w:p w14:paraId="7D39A6DC" w14:textId="77777777" w:rsidR="00E03711" w:rsidRPr="001048FE" w:rsidRDefault="00E03711" w:rsidP="00745238">
      <w:pPr>
        <w:pStyle w:val="GUIDE-NORMAL"/>
        <w:rPr>
          <w:lang w:val="sl-SI"/>
        </w:rPr>
      </w:pPr>
      <w:r w:rsidRPr="001048FE">
        <w:rPr>
          <w:lang w:val="sl-SI"/>
        </w:rPr>
        <w:t>Dodelitev nepovratnih sredstev v zadevnem krogu izbirnega postopka ne pomeni upravičenosti do sredstev tudi v naslednjih krogih.</w:t>
      </w:r>
    </w:p>
    <w:p w14:paraId="7D39A6DD" w14:textId="77777777" w:rsidR="00E03711" w:rsidRPr="001048FE" w:rsidRDefault="00E03711" w:rsidP="00745238">
      <w:pPr>
        <w:pStyle w:val="GUIDE-NORMAL"/>
        <w:rPr>
          <w:lang w:val="sl-SI"/>
        </w:rPr>
      </w:pPr>
      <w:r w:rsidRPr="001048FE">
        <w:rPr>
          <w:lang w:val="sl-SI"/>
        </w:rPr>
        <w:t>Treba je vedeti, da je znesek nepovratnih sredstev, predviden v sporazumu, najvišji znesek, ki ga ni mogoče zvišati, četudi upravičenec zahteva višji znesek.</w:t>
      </w:r>
    </w:p>
    <w:p w14:paraId="7D39A6DE" w14:textId="77777777" w:rsidR="00E03711" w:rsidRPr="001048FE" w:rsidRDefault="00E03711" w:rsidP="00745238">
      <w:pPr>
        <w:pStyle w:val="GUIDE-NORMAL"/>
        <w:rPr>
          <w:lang w:val="sl-SI"/>
        </w:rPr>
      </w:pPr>
      <w:r w:rsidRPr="001048FE">
        <w:rPr>
          <w:lang w:val="sl-SI"/>
        </w:rPr>
        <w:t>Sredstva, ki jih prenese Izvajalska agencija ali nacionalna agencija, morajo biti opredeljena na bančnem računu ali podračunu, ki ga navede upravičenec za plačilo nepovratnih sredstev.</w:t>
      </w:r>
    </w:p>
    <w:p w14:paraId="7D39A6DF" w14:textId="77777777" w:rsidR="00E03711" w:rsidRDefault="00E03711">
      <w:pPr>
        <w:pStyle w:val="Guide-Heading3"/>
        <w:rPr>
          <w:lang w:val="sl-SI"/>
        </w:rPr>
      </w:pPr>
      <w:bookmarkStart w:id="493" w:name="Modalités_de_paiement"/>
      <w:bookmarkStart w:id="494" w:name="_bookmark71"/>
      <w:bookmarkStart w:id="495" w:name="_Toc527400947"/>
      <w:bookmarkStart w:id="496" w:name="_Toc527401248"/>
      <w:bookmarkEnd w:id="493"/>
      <w:bookmarkEnd w:id="494"/>
      <w:r w:rsidRPr="001048FE">
        <w:rPr>
          <w:lang w:val="sl-SI"/>
        </w:rPr>
        <w:t>Plačilni postopki</w:t>
      </w:r>
      <w:bookmarkEnd w:id="495"/>
      <w:bookmarkEnd w:id="496"/>
    </w:p>
    <w:p w14:paraId="7D39A6E0" w14:textId="77777777" w:rsidR="00E03711" w:rsidRPr="001048FE" w:rsidRDefault="00E03711" w:rsidP="00FF4F33">
      <w:pPr>
        <w:pStyle w:val="GUIDE-NORMAL"/>
        <w:rPr>
          <w:lang w:val="sl-SI"/>
        </w:rPr>
      </w:pPr>
      <w:r w:rsidRPr="001048FE">
        <w:rPr>
          <w:lang w:val="sl-SI"/>
        </w:rPr>
        <w:t>Glede na vrsto ukrepa, trajanje sporazuma/sklepa o nepovratnih sredstvih in oceno finančnega tveganja veljajo za projekte, ki so podprti v okviru programa Erasmus+, različni plačilni postopki.</w:t>
      </w:r>
    </w:p>
    <w:p w14:paraId="7D39A6E1" w14:textId="77777777" w:rsidR="00E03711" w:rsidRPr="001048FE" w:rsidRDefault="00E03711" w:rsidP="00FF4F33">
      <w:pPr>
        <w:pStyle w:val="GUIDE-NORMAL"/>
        <w:rPr>
          <w:lang w:val="sl-SI"/>
        </w:rPr>
      </w:pPr>
      <w:r w:rsidRPr="001048FE">
        <w:rPr>
          <w:lang w:val="sl-SI"/>
        </w:rPr>
        <w:t>Razen za prvo plačilo v okviru predhodnega financiranja se bodo druga plačila ali izterjatve izvedle na podlagi analize poročil ali zahtevkov za plačilo, ki jih predloži upravičenec (predloge teh dokumentov bodo na voljo med letom na spletiščih nacionalnih agencij in Izvajalske agencije).</w:t>
      </w:r>
    </w:p>
    <w:p w14:paraId="7D39A6E2" w14:textId="77777777" w:rsidR="00E03711" w:rsidRPr="001048FE" w:rsidRDefault="00E03711" w:rsidP="00FF4F33">
      <w:pPr>
        <w:pStyle w:val="GUIDE-NORMAL"/>
        <w:rPr>
          <w:lang w:val="sl-SI"/>
        </w:rPr>
      </w:pPr>
      <w:r w:rsidRPr="001048FE">
        <w:rPr>
          <w:lang w:val="sl-SI"/>
        </w:rPr>
        <w:t>Plačilni postopki, ki se uporabljajo v okviru programa Erasmus+, so opisani v nadaljevanju.</w:t>
      </w:r>
    </w:p>
    <w:p w14:paraId="7D39A6E3" w14:textId="77777777" w:rsidR="00E03711" w:rsidRPr="001048FE" w:rsidRDefault="00E03711" w:rsidP="00FF4F33">
      <w:pPr>
        <w:pStyle w:val="Guide-Heading4"/>
        <w:rPr>
          <w:lang w:val="sl-SI"/>
        </w:rPr>
      </w:pPr>
      <w:bookmarkStart w:id="497" w:name="_Toc527401249"/>
      <w:r w:rsidRPr="001048FE">
        <w:rPr>
          <w:lang w:val="sl-SI"/>
        </w:rPr>
        <w:t>Plačilo v okviru predhodnega financiranja</w:t>
      </w:r>
      <w:bookmarkEnd w:id="497"/>
    </w:p>
    <w:p w14:paraId="7D39A6E4" w14:textId="77777777" w:rsidR="00E03711" w:rsidRPr="001048FE" w:rsidRDefault="00E03711" w:rsidP="00FF4F33">
      <w:pPr>
        <w:pStyle w:val="GUIDE-NORMAL"/>
        <w:rPr>
          <w:lang w:val="sl-SI"/>
        </w:rPr>
      </w:pPr>
      <w:r w:rsidRPr="001048FE">
        <w:rPr>
          <w:lang w:val="sl-SI"/>
        </w:rPr>
        <w:t>Plačilo v okviru predhodnega financiranja se bo preneslo k upravičencu v 30 dneh od dneva, ko zadnja od dveh podpisnic podpiše sporazum o nepovratnih sredstvih ali ko upravičenec prejme obvestilo o sklepu o nepovratnih sredstvih, in, kadar je to ustrezno, ko so zagotovljena vsa ustrezna jamstva (glej poglavje „Finančno jamstvo“ v nadaljevanju). Namen predhodnega financiranja je upravičencu zagotoviti likvidna sredstva. Nacionalne agencije ali Izvajalska agencija se lahko odločijo za razdelitev prvega plačila v okviru predhodnega financiranja na več obrokov. Prav tako se lahko odločijo, da znižajo znesek predhodnega financiranja ali pa ga sploh ne zagotovijo, če je bilo ugotovljeno, da finančna zmogljivost upravičenca ni zadovoljiva.</w:t>
      </w:r>
    </w:p>
    <w:p w14:paraId="7D39A6E5" w14:textId="77777777" w:rsidR="00E03711" w:rsidRPr="001048FE" w:rsidRDefault="00E03711" w:rsidP="00FF4F33">
      <w:pPr>
        <w:pStyle w:val="Guide-Heading4"/>
        <w:rPr>
          <w:lang w:val="sl-SI"/>
        </w:rPr>
      </w:pPr>
      <w:bookmarkStart w:id="498" w:name="_Toc527401250"/>
      <w:r w:rsidRPr="001048FE">
        <w:rPr>
          <w:lang w:val="sl-SI"/>
        </w:rPr>
        <w:t>Nadaljnja plačila v okviru predhodnega financiranja</w:t>
      </w:r>
      <w:bookmarkEnd w:id="498"/>
    </w:p>
    <w:p w14:paraId="7D39A6E6" w14:textId="77777777" w:rsidR="00E03711" w:rsidRPr="001048FE" w:rsidRDefault="00E03711" w:rsidP="00FF4F33">
      <w:pPr>
        <w:pStyle w:val="GUIDE-NORMAL"/>
        <w:rPr>
          <w:lang w:val="sl-SI"/>
        </w:rPr>
      </w:pPr>
      <w:r w:rsidRPr="001048FE">
        <w:rPr>
          <w:lang w:val="sl-SI"/>
        </w:rPr>
        <w:t>V okviru nekaterih ukrepov, se bo drugo – in v nekaterih primerih tretje – plačilo v okviru predhodnega financiranja preneslo upravičencu v 60 koledarskih dneh od takrat, ko nacionalna ali Izvajalska agencija od upravičenca prejme nadaljnje zahtevke za plačilo v okviru predhodnega financiranja, ali če je zahtevku za nadaljnje plačilo v okviru predhodnega financiranja priloženo vmesno poročilo. Ta nadaljnja plačila v okviru predhodnega financiranja se lahko zahtevajo, ko je porabljenih vsaj 70 % prejšnjega plačila v okviru predhodnega financiranja. Če je iz izkaza o uporabi prejšnjih plačil v okviru predhodnega financiranja razvidno, da je bilo za kritje stroškov ukrepa porabljenih manj kot 70 % prejšnjega plačila v okviru predhodnega financiranja, se znesek novega predhodnega financiranja, ki bo izplačan, zmanjša za neporabljeni znesek prejšnjega predhodnega financiranja.</w:t>
      </w:r>
    </w:p>
    <w:p w14:paraId="7D39A6E7" w14:textId="77777777" w:rsidR="00E03711" w:rsidRPr="001048FE" w:rsidRDefault="00E03711" w:rsidP="00FF4F33">
      <w:pPr>
        <w:pStyle w:val="Guide-Heading4"/>
        <w:rPr>
          <w:lang w:val="sl-SI"/>
        </w:rPr>
      </w:pPr>
      <w:bookmarkStart w:id="499" w:name="_Toc527401251"/>
      <w:r w:rsidRPr="001048FE">
        <w:rPr>
          <w:lang w:val="sl-SI"/>
        </w:rPr>
        <w:t>Vmesno poročilo ali poročilo o napredku/tehnično poročilo</w:t>
      </w:r>
      <w:bookmarkEnd w:id="499"/>
    </w:p>
    <w:p w14:paraId="7D39A6E8" w14:textId="77777777" w:rsidR="00E03711" w:rsidRPr="001048FE" w:rsidRDefault="00E03711" w:rsidP="00FF4F33">
      <w:pPr>
        <w:pStyle w:val="GUIDE-NORMAL"/>
        <w:rPr>
          <w:lang w:val="sl-SI"/>
        </w:rPr>
      </w:pPr>
      <w:r w:rsidRPr="001048FE">
        <w:rPr>
          <w:lang w:val="sl-SI"/>
        </w:rPr>
        <w:t>Od upravičencev se bo v okviru nekaterih ukrepov zahtevalo, naj predložijo vmesno poročilo, ki bo spremljalo zahtevek za nadaljnje plačilo v okviru predhodnega financiranja. V drugih primerih se bo od upravičencev prav tako zahtevalo, naj predložijo poročilo o napredku/tehnično poročilo z informacijami o izvajanju projekta. Poročila o napredku/tehnična poročila ne sprožijo nadaljnjega plačila v okviru predhodnega financiranja. Vmesno poročilo in poročilo o napredku/tehnično poročilo je treba predložiti do roka, ki je naveden v sporazumu ali sklepu o nepovratnih sredstvih.</w:t>
      </w:r>
    </w:p>
    <w:p w14:paraId="7D39A6E9" w14:textId="77777777" w:rsidR="00E03711" w:rsidRPr="001048FE" w:rsidRDefault="00E03711" w:rsidP="00FF4F33">
      <w:pPr>
        <w:pStyle w:val="Guide-Heading4"/>
        <w:rPr>
          <w:lang w:val="sl-SI"/>
        </w:rPr>
      </w:pPr>
      <w:bookmarkStart w:id="500" w:name="_Toc527401252"/>
      <w:r w:rsidRPr="001048FE">
        <w:rPr>
          <w:lang w:val="sl-SI"/>
        </w:rPr>
        <w:t>Plačilo ali povračilo razlike</w:t>
      </w:r>
      <w:bookmarkEnd w:id="500"/>
    </w:p>
    <w:p w14:paraId="7D39A6EA" w14:textId="77777777" w:rsidR="00E03711" w:rsidRPr="001048FE" w:rsidRDefault="00E03711" w:rsidP="00FF4F33">
      <w:pPr>
        <w:pStyle w:val="GUIDE-NORMAL"/>
        <w:rPr>
          <w:lang w:val="sl-SI"/>
        </w:rPr>
      </w:pPr>
      <w:r w:rsidRPr="001048FE">
        <w:rPr>
          <w:lang w:val="sl-SI"/>
        </w:rPr>
        <w:t>Znesek zadnjega plačila, ki ga prejme upravičenec, bo določen na podlagi končnega poročila, ki ga je treba predložiti do roka, navedenega v sporazumu ali sklepu o nepovratnih sredstvih. Če a) dogodki, na podlagi katerih se pridobijo nepovratna sredstva, niso izvedeni ali če so izvedeni drugače, kot je bilo načrtovano; ali b) so upravičeni stroški, ki jih je dejansko imel upravičenec, nižji od tistih, ki so bili načrtovani ob prijavi; ali c) je kakovost izvedenih aktivnosti/realizacij nezadostna, se lahko znesek sredstev sorazmerno zmanjša ali, kadar je to ustrezno, se od upravičenca zahteva, da povrne kakršne koli presežne zneske, ki jih je že prejel s plačilom v okviru predhodnega financiranja.</w:t>
      </w:r>
    </w:p>
    <w:p w14:paraId="7D39A6EB" w14:textId="77777777" w:rsidR="00E03711" w:rsidRPr="001048FE" w:rsidRDefault="00E03711" w:rsidP="00FF4F33">
      <w:pPr>
        <w:pStyle w:val="GUIDE-NORMAL"/>
        <w:rPr>
          <w:lang w:val="sl-SI"/>
        </w:rPr>
      </w:pPr>
      <w:r w:rsidRPr="001048FE">
        <w:rPr>
          <w:lang w:val="sl-SI"/>
        </w:rPr>
        <w:t>V okviru nekaterih ukrepov nacionalna ali Izvajalska agencija prenese 100 % dodeljenih nepovratnih sredstev z obroki v okviru predhodnega financiranja. V takih primerih se ne izvede plačilo razlike.</w:t>
      </w:r>
    </w:p>
    <w:p w14:paraId="7D39A6EC" w14:textId="77777777" w:rsidR="00E03711" w:rsidRPr="001048FE" w:rsidRDefault="00E03711" w:rsidP="004E0501">
      <w:pPr>
        <w:pStyle w:val="GUIDE-NORMAL"/>
        <w:rPr>
          <w:lang w:val="sl-SI"/>
        </w:rPr>
      </w:pPr>
      <w:r w:rsidRPr="001048FE">
        <w:rPr>
          <w:lang w:val="sl-SI"/>
        </w:rPr>
        <w:t>Vendar če – na podlagi končnega poročila, ki ga upravičenec predloži do roka, navedenega v sporazumu o nepovratnih sredstvih – a) dogodki, na podlagi katerih se pridobijo nepovratna sredstva, niso izvedeni ali če so izvedeni drugače, kot je bilo načrtovano; ali b) so upravičeni stroški, ki jih je dejansko imel upravičenec, nižji od tistih, ki so bili načrtovani ob prijavi; ali c) je kakovost izvedenih aktivnosti/realizacij nezadostna, se bo od upravičenca zahtevalo, da povrne kakršne koli presežne zneske, ki jih je že prejel s plačilom v okviru predhodnega financiranja.</w:t>
      </w:r>
    </w:p>
    <w:p w14:paraId="7D39A6ED" w14:textId="77777777" w:rsidR="00E03711" w:rsidRPr="001048FE" w:rsidRDefault="00E03711" w:rsidP="00FF4F33">
      <w:pPr>
        <w:pStyle w:val="GUIDE-NORMAL"/>
        <w:rPr>
          <w:lang w:val="sl-SI"/>
        </w:rPr>
      </w:pPr>
      <w:r w:rsidRPr="001048FE">
        <w:rPr>
          <w:lang w:val="sl-SI"/>
        </w:rPr>
        <w:t>Praviloma se izvede zadnje plačilo ali izda zahtevek za povračilo razlike v 60 koledarskih dneh od prejetje končnega poročila.</w:t>
      </w:r>
    </w:p>
    <w:p w14:paraId="7D39A6EE" w14:textId="77777777" w:rsidR="00E03711" w:rsidRPr="001048FE" w:rsidRDefault="00E03711" w:rsidP="00FF4F33">
      <w:pPr>
        <w:pStyle w:val="GUIDE-NORMAL"/>
        <w:rPr>
          <w:lang w:val="sl-SI"/>
        </w:rPr>
      </w:pPr>
      <w:r w:rsidRPr="001048FE">
        <w:rPr>
          <w:lang w:val="sl-SI"/>
        </w:rPr>
        <w:t>Za več informacij in podrobnosti o načinih plačila, ki se uporabljajo za posamezne ukrepe, glej poglavje „Roki življenjskega cikla projekta in načini plačila“ v nadaljevanju.</w:t>
      </w:r>
    </w:p>
    <w:p w14:paraId="7D39A6EF" w14:textId="77777777" w:rsidR="00E03711" w:rsidRPr="001048FE" w:rsidRDefault="00E03711" w:rsidP="001C5D8E">
      <w:pPr>
        <w:pStyle w:val="Guide-Heading4"/>
        <w:rPr>
          <w:lang w:val="sl-SI"/>
        </w:rPr>
      </w:pPr>
      <w:bookmarkStart w:id="501" w:name="_Toc527401253"/>
      <w:r w:rsidRPr="001048FE">
        <w:rPr>
          <w:lang w:val="sl-SI"/>
        </w:rPr>
        <w:t>Denarne kazni</w:t>
      </w:r>
      <w:bookmarkEnd w:id="501"/>
    </w:p>
    <w:p w14:paraId="7D39A6F0" w14:textId="77777777" w:rsidR="00E03711" w:rsidRPr="001048FE" w:rsidRDefault="00E03711" w:rsidP="00FF4F33">
      <w:pPr>
        <w:pStyle w:val="GUIDE-NORMAL"/>
        <w:rPr>
          <w:lang w:val="sl-SI"/>
        </w:rPr>
      </w:pPr>
      <w:r w:rsidRPr="001048FE">
        <w:rPr>
          <w:lang w:val="sl-SI"/>
        </w:rPr>
        <w:t>Upravičencem centraliziranih ukrepov, za katere se ugotovi resna kršitev pogodbenih obveznosti, se lahko izrečejo denarne kazni, navedene v pogojih iz sporazuma o nepovratnih sredstvih.</w:t>
      </w:r>
    </w:p>
    <w:p w14:paraId="7D39A6F1" w14:textId="77777777" w:rsidR="00E03711" w:rsidRPr="001048FE" w:rsidRDefault="00E03711" w:rsidP="00FF4F33">
      <w:pPr>
        <w:pStyle w:val="Guide-Heading3"/>
        <w:rPr>
          <w:lang w:val="sl-SI"/>
        </w:rPr>
        <w:sectPr w:rsidR="00E03711" w:rsidRPr="001048FE" w:rsidSect="00F26CDD">
          <w:headerReference w:type="default" r:id="rId149"/>
          <w:endnotePr>
            <w:numFmt w:val="decimal"/>
          </w:endnotePr>
          <w:type w:val="continuous"/>
          <w:pgSz w:w="11910" w:h="16840" w:code="9"/>
          <w:pgMar w:top="1134" w:right="1418" w:bottom="1134" w:left="1418" w:header="283" w:footer="567" w:gutter="0"/>
          <w:cols w:space="720"/>
          <w:docGrid w:linePitch="326"/>
        </w:sectPr>
      </w:pPr>
      <w:bookmarkStart w:id="502" w:name="Échéances_sur_le_cycle_de_vie_du_projet_"/>
      <w:bookmarkStart w:id="503" w:name="_bookmark72"/>
      <w:bookmarkEnd w:id="502"/>
      <w:bookmarkEnd w:id="503"/>
    </w:p>
    <w:p w14:paraId="7D39A6F2" w14:textId="77777777" w:rsidR="00E03711" w:rsidRPr="001048FE" w:rsidRDefault="00E03711" w:rsidP="004B71A1">
      <w:pPr>
        <w:pStyle w:val="Guide-Heading3"/>
        <w:ind w:left="1440"/>
        <w:rPr>
          <w:lang w:val="sl-SI"/>
        </w:rPr>
      </w:pPr>
      <w:bookmarkStart w:id="504" w:name="_Toc527400948"/>
      <w:bookmarkStart w:id="505" w:name="_Toc527401254"/>
      <w:r w:rsidRPr="001048FE">
        <w:rPr>
          <w:lang w:val="sl-SI"/>
        </w:rPr>
        <w:t>Roki življenjskega cikla projekta in načini</w:t>
      </w:r>
      <w:bookmarkStart w:id="506" w:name="Roki_življenjskega_cikla_projekta_in_nač"/>
      <w:bookmarkEnd w:id="506"/>
      <w:r w:rsidRPr="001048FE">
        <w:rPr>
          <w:lang w:val="sl-SI"/>
        </w:rPr>
        <w:t xml:space="preserve"> plačila</w:t>
      </w:r>
      <w:bookmarkEnd w:id="504"/>
      <w:bookmarkEnd w:id="505"/>
    </w:p>
    <w:tbl>
      <w:tblPr>
        <w:tblW w:w="5000" w:type="pct"/>
        <w:tblLook w:val="0000" w:firstRow="0" w:lastRow="0" w:firstColumn="0" w:lastColumn="0" w:noHBand="0" w:noVBand="0"/>
      </w:tblPr>
      <w:tblGrid>
        <w:gridCol w:w="2774"/>
        <w:gridCol w:w="2079"/>
        <w:gridCol w:w="2079"/>
        <w:gridCol w:w="3008"/>
        <w:gridCol w:w="1145"/>
        <w:gridCol w:w="1355"/>
        <w:gridCol w:w="2348"/>
      </w:tblGrid>
      <w:tr w:rsidR="00E03711" w:rsidRPr="008C6F8C" w14:paraId="7D39A6F6" w14:textId="77777777" w:rsidTr="00073E87">
        <w:trPr>
          <w:trHeight w:val="20"/>
        </w:trPr>
        <w:tc>
          <w:tcPr>
            <w:tcW w:w="938" w:type="pct"/>
            <w:vMerge w:val="restart"/>
            <w:tcBorders>
              <w:top w:val="none" w:sz="6" w:space="0" w:color="auto"/>
              <w:left w:val="none" w:sz="6" w:space="0" w:color="auto"/>
              <w:bottom w:val="single" w:sz="4" w:space="0" w:color="000000"/>
              <w:right w:val="single" w:sz="4" w:space="0" w:color="000000"/>
            </w:tcBorders>
            <w:vAlign w:val="center"/>
          </w:tcPr>
          <w:p w14:paraId="7D39A6F3" w14:textId="77777777" w:rsidR="00E03711" w:rsidRPr="00F769E0" w:rsidRDefault="00E03711" w:rsidP="00115134">
            <w:pPr>
              <w:pStyle w:val="GUIDE-NORMAL"/>
              <w:spacing w:before="60" w:after="60"/>
              <w:jc w:val="left"/>
              <w:rPr>
                <w:rFonts w:cs="Tahoma"/>
                <w:lang w:val="sl-SI" w:eastAsia="en-GB"/>
              </w:rPr>
            </w:pPr>
          </w:p>
        </w:tc>
        <w:tc>
          <w:tcPr>
            <w:tcW w:w="2423" w:type="pct"/>
            <w:gridSpan w:val="3"/>
            <w:tcBorders>
              <w:top w:val="single" w:sz="4" w:space="0" w:color="000000"/>
              <w:left w:val="single" w:sz="4" w:space="0" w:color="000000"/>
              <w:bottom w:val="single" w:sz="4" w:space="0" w:color="000000"/>
              <w:right w:val="single" w:sz="4" w:space="0" w:color="000000"/>
            </w:tcBorders>
            <w:vAlign w:val="center"/>
          </w:tcPr>
          <w:p w14:paraId="7D39A6F4" w14:textId="77777777" w:rsidR="00E03711" w:rsidRPr="00F769E0" w:rsidRDefault="00E03711" w:rsidP="00115134">
            <w:pPr>
              <w:pStyle w:val="GUIDE-NORMAL"/>
              <w:spacing w:before="60" w:after="60"/>
              <w:jc w:val="center"/>
              <w:rPr>
                <w:rFonts w:cs="Tahoma"/>
                <w:b/>
                <w:lang w:val="sl-SI" w:eastAsia="en-GB"/>
              </w:rPr>
            </w:pPr>
            <w:r w:rsidRPr="00F769E0">
              <w:rPr>
                <w:rFonts w:cs="Tahoma"/>
                <w:b/>
                <w:lang w:val="sl-SI" w:eastAsia="en-GB"/>
              </w:rPr>
              <w:t>Roki življenjskega cikla projekta</w:t>
            </w:r>
          </w:p>
        </w:tc>
        <w:tc>
          <w:tcPr>
            <w:tcW w:w="1639" w:type="pct"/>
            <w:gridSpan w:val="3"/>
            <w:tcBorders>
              <w:top w:val="single" w:sz="4" w:space="0" w:color="000000"/>
              <w:left w:val="single" w:sz="4" w:space="0" w:color="000000"/>
              <w:bottom w:val="single" w:sz="4" w:space="0" w:color="000000"/>
              <w:right w:val="single" w:sz="4" w:space="0" w:color="000000"/>
            </w:tcBorders>
            <w:vAlign w:val="center"/>
          </w:tcPr>
          <w:p w14:paraId="7D39A6F5" w14:textId="77777777" w:rsidR="00E03711" w:rsidRPr="00F769E0" w:rsidRDefault="00E03711" w:rsidP="00115134">
            <w:pPr>
              <w:pStyle w:val="GUIDE-NORMAL"/>
              <w:spacing w:before="60" w:after="60"/>
              <w:jc w:val="center"/>
              <w:rPr>
                <w:rFonts w:cs="Tahoma"/>
                <w:b/>
                <w:lang w:val="sl-SI" w:eastAsia="en-GB"/>
              </w:rPr>
            </w:pPr>
            <w:r w:rsidRPr="00F769E0">
              <w:rPr>
                <w:rFonts w:cs="Tahoma"/>
                <w:b/>
                <w:lang w:val="sl-SI" w:eastAsia="en-GB"/>
              </w:rPr>
              <w:t>Načini plačila</w:t>
            </w:r>
          </w:p>
        </w:tc>
      </w:tr>
      <w:tr w:rsidR="00E03711" w:rsidRPr="002C560E" w14:paraId="7D39A6FE" w14:textId="77777777" w:rsidTr="00073E87">
        <w:trPr>
          <w:trHeight w:val="20"/>
        </w:trPr>
        <w:tc>
          <w:tcPr>
            <w:tcW w:w="938" w:type="pct"/>
            <w:vMerge/>
            <w:tcBorders>
              <w:top w:val="nil"/>
              <w:left w:val="none" w:sz="6" w:space="0" w:color="auto"/>
              <w:bottom w:val="single" w:sz="4" w:space="0" w:color="000000"/>
              <w:right w:val="single" w:sz="4" w:space="0" w:color="000000"/>
            </w:tcBorders>
            <w:vAlign w:val="center"/>
          </w:tcPr>
          <w:p w14:paraId="7D39A6F7" w14:textId="77777777" w:rsidR="00E03711" w:rsidRPr="00F769E0" w:rsidRDefault="00E03711" w:rsidP="00115134">
            <w:pPr>
              <w:pStyle w:val="GUIDE-NORMAL"/>
              <w:spacing w:before="60" w:after="60"/>
              <w:jc w:val="left"/>
              <w:rPr>
                <w:rFonts w:cs="Tahoma"/>
                <w:lang w:val="sl-SI" w:eastAsia="en-GB"/>
              </w:rPr>
            </w:pPr>
          </w:p>
        </w:tc>
        <w:tc>
          <w:tcPr>
            <w:tcW w:w="703" w:type="pct"/>
            <w:tcBorders>
              <w:top w:val="single" w:sz="4" w:space="0" w:color="000000"/>
              <w:left w:val="single" w:sz="4" w:space="0" w:color="000000"/>
              <w:bottom w:val="single" w:sz="4" w:space="0" w:color="000000"/>
              <w:right w:val="single" w:sz="4" w:space="0" w:color="000000"/>
            </w:tcBorders>
            <w:vAlign w:val="center"/>
          </w:tcPr>
          <w:p w14:paraId="7D39A6F8" w14:textId="77777777" w:rsidR="00E03711" w:rsidRPr="00F769E0" w:rsidRDefault="00E03711" w:rsidP="00115134">
            <w:pPr>
              <w:pStyle w:val="GUIDE-NORMAL"/>
              <w:spacing w:before="60" w:after="60"/>
              <w:jc w:val="center"/>
              <w:rPr>
                <w:rFonts w:cs="Tahoma"/>
                <w:b/>
                <w:lang w:val="sl-SI" w:eastAsia="en-GB"/>
              </w:rPr>
            </w:pPr>
            <w:r w:rsidRPr="00F769E0">
              <w:rPr>
                <w:rFonts w:cs="Tahoma"/>
                <w:b/>
                <w:lang w:val="sl-SI" w:eastAsia="en-GB"/>
              </w:rPr>
              <w:t>Okvirni datum obvestila o sklepu o nepovratnih sredstvih</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6F9" w14:textId="77777777" w:rsidR="00E03711" w:rsidRPr="00F769E0" w:rsidRDefault="00E03711" w:rsidP="00115134">
            <w:pPr>
              <w:pStyle w:val="GUIDE-NORMAL"/>
              <w:spacing w:before="60" w:after="60"/>
              <w:jc w:val="center"/>
              <w:rPr>
                <w:rFonts w:cs="Tahoma"/>
                <w:b/>
                <w:lang w:val="sl-SI" w:eastAsia="en-GB"/>
              </w:rPr>
            </w:pPr>
            <w:r w:rsidRPr="00F769E0">
              <w:rPr>
                <w:rFonts w:cs="Tahoma"/>
                <w:b/>
                <w:lang w:val="sl-SI" w:eastAsia="en-GB"/>
              </w:rPr>
              <w:t>Okvirni datum za podpis sporazuma o nepovratnih sredstvih</w:t>
            </w:r>
          </w:p>
        </w:tc>
        <w:tc>
          <w:tcPr>
            <w:tcW w:w="1016" w:type="pct"/>
            <w:tcBorders>
              <w:top w:val="single" w:sz="4" w:space="0" w:color="000000"/>
              <w:left w:val="single" w:sz="4" w:space="0" w:color="000000"/>
              <w:bottom w:val="single" w:sz="4" w:space="0" w:color="000000"/>
              <w:right w:val="single" w:sz="4" w:space="0" w:color="000000"/>
            </w:tcBorders>
            <w:vAlign w:val="center"/>
          </w:tcPr>
          <w:p w14:paraId="7D39A6FA" w14:textId="77777777" w:rsidR="00E03711" w:rsidRPr="00F769E0" w:rsidRDefault="00E03711" w:rsidP="00115134">
            <w:pPr>
              <w:pStyle w:val="GUIDE-NORMAL"/>
              <w:spacing w:before="60" w:after="60"/>
              <w:jc w:val="center"/>
              <w:rPr>
                <w:rFonts w:cs="Tahoma"/>
                <w:b/>
                <w:lang w:val="sl-SI" w:eastAsia="en-GB"/>
              </w:rPr>
            </w:pPr>
            <w:r w:rsidRPr="00F769E0">
              <w:rPr>
                <w:rFonts w:cs="Tahoma"/>
                <w:b/>
                <w:lang w:val="sl-SI" w:eastAsia="en-GB"/>
              </w:rPr>
              <w:t>Datum zadnjega plačila/zahtevka za povračilo razlike</w:t>
            </w:r>
          </w:p>
        </w:tc>
        <w:tc>
          <w:tcPr>
            <w:tcW w:w="387"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D39A6FB" w14:textId="77777777" w:rsidR="00E03711" w:rsidRPr="00F769E0" w:rsidRDefault="00E03711" w:rsidP="00115134">
            <w:pPr>
              <w:pStyle w:val="GUIDE-NORMAL"/>
              <w:spacing w:before="60" w:after="60"/>
              <w:jc w:val="center"/>
              <w:rPr>
                <w:rFonts w:cs="Tahoma"/>
                <w:b/>
                <w:lang w:val="sl-SI" w:eastAsia="en-GB"/>
              </w:rPr>
            </w:pPr>
            <w:r w:rsidRPr="00F769E0">
              <w:rPr>
                <w:rFonts w:cs="Tahoma"/>
                <w:b/>
                <w:lang w:val="sl-SI" w:eastAsia="en-GB"/>
              </w:rPr>
              <w:t>Št. obro-kov predhodnega financiranja</w:t>
            </w:r>
          </w:p>
        </w:tc>
        <w:tc>
          <w:tcPr>
            <w:tcW w:w="458" w:type="pct"/>
            <w:tcBorders>
              <w:top w:val="single" w:sz="4" w:space="0" w:color="000000"/>
              <w:left w:val="single" w:sz="4" w:space="0" w:color="000000"/>
              <w:bottom w:val="single" w:sz="4" w:space="0" w:color="000000"/>
              <w:right w:val="single" w:sz="4" w:space="0" w:color="000000"/>
            </w:tcBorders>
            <w:vAlign w:val="center"/>
          </w:tcPr>
          <w:p w14:paraId="7D39A6FC" w14:textId="77777777" w:rsidR="00E03711" w:rsidRPr="00F769E0" w:rsidRDefault="00E03711" w:rsidP="00115134">
            <w:pPr>
              <w:pStyle w:val="GUIDE-NORMAL"/>
              <w:spacing w:before="60" w:after="60"/>
              <w:jc w:val="center"/>
              <w:rPr>
                <w:rFonts w:cs="Tahoma"/>
                <w:b/>
                <w:lang w:val="sl-SI" w:eastAsia="en-GB"/>
              </w:rPr>
            </w:pPr>
            <w:r w:rsidRPr="00F769E0">
              <w:rPr>
                <w:rFonts w:cs="Tahoma"/>
                <w:b/>
                <w:lang w:val="sl-SI" w:eastAsia="en-GB"/>
              </w:rPr>
              <w:t>Vmesno (tehnično) poročilo</w:t>
            </w:r>
          </w:p>
        </w:tc>
        <w:tc>
          <w:tcPr>
            <w:tcW w:w="794" w:type="pct"/>
            <w:tcBorders>
              <w:top w:val="single" w:sz="4" w:space="0" w:color="000000"/>
              <w:left w:val="single" w:sz="4" w:space="0" w:color="000000"/>
              <w:bottom w:val="single" w:sz="4" w:space="0" w:color="000000"/>
              <w:right w:val="single" w:sz="4" w:space="0" w:color="000000"/>
            </w:tcBorders>
            <w:vAlign w:val="center"/>
          </w:tcPr>
          <w:p w14:paraId="7D39A6FD" w14:textId="77777777" w:rsidR="00E03711" w:rsidRPr="00F769E0" w:rsidRDefault="00E03711" w:rsidP="00115134">
            <w:pPr>
              <w:pStyle w:val="GUIDE-NORMAL"/>
              <w:spacing w:before="60" w:after="60"/>
              <w:jc w:val="center"/>
              <w:rPr>
                <w:rFonts w:cs="Tahoma"/>
                <w:b/>
                <w:lang w:val="sl-SI" w:eastAsia="en-GB"/>
              </w:rPr>
            </w:pPr>
            <w:r w:rsidRPr="00F769E0">
              <w:rPr>
                <w:rFonts w:cs="Tahoma"/>
                <w:b/>
                <w:lang w:val="sl-SI" w:eastAsia="en-GB"/>
              </w:rPr>
              <w:t>% nepovratnih sredstev, ki se zagotovi v različnih fazah</w:t>
            </w:r>
          </w:p>
        </w:tc>
      </w:tr>
      <w:tr w:rsidR="00E03711" w:rsidRPr="008C6F8C" w14:paraId="7D39A706" w14:textId="77777777" w:rsidTr="00073E87">
        <w:trPr>
          <w:trHeight w:val="20"/>
        </w:trPr>
        <w:tc>
          <w:tcPr>
            <w:tcW w:w="938" w:type="pct"/>
            <w:tcBorders>
              <w:top w:val="single" w:sz="4" w:space="0" w:color="000000"/>
              <w:left w:val="single" w:sz="4" w:space="0" w:color="000000"/>
              <w:bottom w:val="single" w:sz="4" w:space="0" w:color="000000"/>
              <w:right w:val="single" w:sz="4" w:space="0" w:color="000000"/>
            </w:tcBorders>
            <w:vAlign w:val="center"/>
          </w:tcPr>
          <w:p w14:paraId="7D39A6FF" w14:textId="77777777" w:rsidR="00E03711" w:rsidRPr="00F769E0" w:rsidRDefault="00E03711" w:rsidP="00115134">
            <w:pPr>
              <w:pStyle w:val="GUIDE-NORMAL"/>
              <w:spacing w:before="60" w:after="60"/>
              <w:jc w:val="left"/>
              <w:rPr>
                <w:rFonts w:cs="Tahoma"/>
                <w:b/>
                <w:lang w:val="sl-SI" w:eastAsia="en-GB"/>
              </w:rPr>
            </w:pPr>
            <w:r w:rsidRPr="00F769E0">
              <w:rPr>
                <w:rFonts w:cs="Tahoma"/>
                <w:b/>
                <w:lang w:val="sl-SI" w:eastAsia="en-GB"/>
              </w:rPr>
              <w:t>KU1 – Mobilnost za študente in osebje v visokošolskem izobraževanju</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00"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4 mesece </w:t>
            </w:r>
            <w:r w:rsidRPr="00F769E0">
              <w:rPr>
                <w:rFonts w:cs="Tahoma"/>
                <w:lang w:val="sl-SI" w:eastAsia="en-GB"/>
              </w:rPr>
              <w:br/>
              <w:t>od roka za oddajo</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01"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4 mesece </w:t>
            </w:r>
            <w:r w:rsidRPr="00F769E0">
              <w:rPr>
                <w:rFonts w:cs="Tahoma"/>
                <w:lang w:val="sl-SI" w:eastAsia="en-GB"/>
              </w:rPr>
              <w:br/>
              <w:t>od roka za oddajo</w:t>
            </w:r>
          </w:p>
        </w:tc>
        <w:tc>
          <w:tcPr>
            <w:tcW w:w="1016" w:type="pct"/>
            <w:tcBorders>
              <w:top w:val="single" w:sz="4" w:space="0" w:color="000000"/>
              <w:left w:val="single" w:sz="4" w:space="0" w:color="000000"/>
              <w:bottom w:val="single" w:sz="4" w:space="0" w:color="000000"/>
              <w:right w:val="single" w:sz="4" w:space="0" w:color="000000"/>
            </w:tcBorders>
            <w:vAlign w:val="center"/>
          </w:tcPr>
          <w:p w14:paraId="7D39A702"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V 60 koledarskih dneh po tem, ko NA prejme končno poročilo</w:t>
            </w:r>
          </w:p>
        </w:tc>
        <w:tc>
          <w:tcPr>
            <w:tcW w:w="387"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D39A703"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2.</w:t>
            </w:r>
          </w:p>
        </w:tc>
        <w:tc>
          <w:tcPr>
            <w:tcW w:w="458" w:type="pct"/>
            <w:tcBorders>
              <w:top w:val="single" w:sz="4" w:space="0" w:color="000000"/>
              <w:left w:val="single" w:sz="4" w:space="0" w:color="000000"/>
              <w:bottom w:val="single" w:sz="4" w:space="0" w:color="000000"/>
              <w:right w:val="single" w:sz="4" w:space="0" w:color="000000"/>
            </w:tcBorders>
            <w:vAlign w:val="center"/>
          </w:tcPr>
          <w:p w14:paraId="7D39A704"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Da</w:t>
            </w:r>
          </w:p>
        </w:tc>
        <w:tc>
          <w:tcPr>
            <w:tcW w:w="794" w:type="pct"/>
            <w:tcBorders>
              <w:top w:val="single" w:sz="4" w:space="0" w:color="000000"/>
              <w:left w:val="single" w:sz="4" w:space="0" w:color="000000"/>
              <w:bottom w:val="single" w:sz="4" w:space="0" w:color="000000"/>
              <w:right w:val="single" w:sz="4" w:space="0" w:color="000000"/>
            </w:tcBorders>
            <w:vAlign w:val="center"/>
          </w:tcPr>
          <w:p w14:paraId="7D39A705"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Pred. fin.: 80 %-20 % Razlika:0 %</w:t>
            </w:r>
          </w:p>
        </w:tc>
      </w:tr>
      <w:tr w:rsidR="00E03711" w:rsidRPr="008C6F8C" w14:paraId="7D39A70E" w14:textId="77777777" w:rsidTr="00073E87">
        <w:trPr>
          <w:trHeight w:val="20"/>
        </w:trPr>
        <w:tc>
          <w:tcPr>
            <w:tcW w:w="938" w:type="pct"/>
            <w:tcBorders>
              <w:top w:val="single" w:sz="4" w:space="0" w:color="000000"/>
              <w:left w:val="single" w:sz="4" w:space="0" w:color="000000"/>
              <w:bottom w:val="single" w:sz="4" w:space="0" w:color="000000"/>
              <w:right w:val="single" w:sz="4" w:space="0" w:color="000000"/>
            </w:tcBorders>
            <w:vAlign w:val="center"/>
          </w:tcPr>
          <w:p w14:paraId="7D39A707" w14:textId="77777777" w:rsidR="00E03711" w:rsidRPr="00F769E0" w:rsidRDefault="00E03711" w:rsidP="00115134">
            <w:pPr>
              <w:pStyle w:val="GUIDE-NORMAL"/>
              <w:spacing w:before="60" w:after="60"/>
              <w:jc w:val="left"/>
              <w:rPr>
                <w:rFonts w:cs="Tahoma"/>
                <w:b/>
                <w:lang w:val="sl-SI" w:eastAsia="en-GB"/>
              </w:rPr>
            </w:pPr>
            <w:r w:rsidRPr="00F769E0">
              <w:rPr>
                <w:rFonts w:cs="Tahoma"/>
                <w:b/>
                <w:lang w:val="sl-SI" w:eastAsia="en-GB"/>
              </w:rPr>
              <w:t xml:space="preserve">KU1 – Druge vrste mobilnosti </w:t>
            </w:r>
            <w:r w:rsidRPr="00F769E0">
              <w:rPr>
                <w:rFonts w:cs="Tahoma"/>
                <w:b/>
                <w:lang w:val="sl-SI" w:eastAsia="en-GB"/>
              </w:rPr>
              <w:br/>
              <w:t>(PIU, šolsko izobraževanje, izobraževanje odraslih in mladina)</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08"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4 mesece </w:t>
            </w:r>
            <w:r w:rsidRPr="00F769E0">
              <w:rPr>
                <w:rFonts w:cs="Tahoma"/>
                <w:lang w:val="sl-SI" w:eastAsia="en-GB"/>
              </w:rPr>
              <w:br/>
              <w:t>od roka za oddajo</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09"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4 mesece </w:t>
            </w:r>
            <w:r w:rsidRPr="00F769E0">
              <w:rPr>
                <w:rFonts w:cs="Tahoma"/>
                <w:lang w:val="sl-SI" w:eastAsia="en-GB"/>
              </w:rPr>
              <w:br/>
              <w:t>od roka za oddajo</w:t>
            </w:r>
          </w:p>
        </w:tc>
        <w:tc>
          <w:tcPr>
            <w:tcW w:w="1016" w:type="pct"/>
            <w:tcBorders>
              <w:top w:val="single" w:sz="4" w:space="0" w:color="000000"/>
              <w:left w:val="single" w:sz="4" w:space="0" w:color="000000"/>
              <w:bottom w:val="single" w:sz="4" w:space="0" w:color="000000"/>
              <w:right w:val="single" w:sz="4" w:space="0" w:color="000000"/>
            </w:tcBorders>
            <w:vAlign w:val="center"/>
          </w:tcPr>
          <w:p w14:paraId="7D39A70A"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V 60 koledarskih dneh po tem, ko NA prejme končno poročilo</w:t>
            </w:r>
          </w:p>
        </w:tc>
        <w:tc>
          <w:tcPr>
            <w:tcW w:w="387" w:type="pct"/>
            <w:tcBorders>
              <w:top w:val="single" w:sz="4" w:space="0" w:color="000000"/>
              <w:left w:val="single" w:sz="4" w:space="0" w:color="000000"/>
              <w:bottom w:val="single" w:sz="4" w:space="0" w:color="000000"/>
              <w:right w:val="single" w:sz="4" w:space="0" w:color="000000"/>
            </w:tcBorders>
            <w:vAlign w:val="center"/>
          </w:tcPr>
          <w:p w14:paraId="7D39A70B"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1.</w:t>
            </w:r>
          </w:p>
        </w:tc>
        <w:tc>
          <w:tcPr>
            <w:tcW w:w="458" w:type="pct"/>
            <w:tcBorders>
              <w:top w:val="single" w:sz="4" w:space="0" w:color="000000"/>
              <w:left w:val="single" w:sz="4" w:space="0" w:color="000000"/>
              <w:bottom w:val="single" w:sz="4" w:space="0" w:color="000000"/>
              <w:right w:val="single" w:sz="4" w:space="0" w:color="000000"/>
            </w:tcBorders>
            <w:vAlign w:val="center"/>
          </w:tcPr>
          <w:p w14:paraId="7D39A70C"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Ne</w:t>
            </w:r>
          </w:p>
        </w:tc>
        <w:tc>
          <w:tcPr>
            <w:tcW w:w="794" w:type="pct"/>
            <w:tcBorders>
              <w:top w:val="single" w:sz="4" w:space="0" w:color="000000"/>
              <w:left w:val="single" w:sz="4" w:space="0" w:color="000000"/>
              <w:bottom w:val="single" w:sz="4" w:space="0" w:color="000000"/>
              <w:right w:val="single" w:sz="4" w:space="0" w:color="000000"/>
            </w:tcBorders>
            <w:vAlign w:val="center"/>
          </w:tcPr>
          <w:p w14:paraId="7D39A70D"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Pred. fin.: 80 %-20 % Razlika:0 %</w:t>
            </w:r>
          </w:p>
        </w:tc>
      </w:tr>
      <w:tr w:rsidR="00E03711" w:rsidRPr="008C6F8C" w14:paraId="7D39A716" w14:textId="77777777" w:rsidTr="00073E87">
        <w:trPr>
          <w:trHeight w:val="20"/>
        </w:trPr>
        <w:tc>
          <w:tcPr>
            <w:tcW w:w="938" w:type="pct"/>
            <w:tcBorders>
              <w:top w:val="single" w:sz="4" w:space="0" w:color="000000"/>
              <w:left w:val="single" w:sz="4" w:space="0" w:color="000000"/>
              <w:bottom w:val="single" w:sz="4" w:space="0" w:color="000000"/>
              <w:right w:val="single" w:sz="4" w:space="0" w:color="000000"/>
            </w:tcBorders>
            <w:vAlign w:val="center"/>
          </w:tcPr>
          <w:p w14:paraId="7D39A70F" w14:textId="77777777" w:rsidR="00E03711" w:rsidRPr="00F769E0" w:rsidRDefault="00E03711" w:rsidP="00115134">
            <w:pPr>
              <w:pStyle w:val="GUIDE-NORMAL"/>
              <w:spacing w:before="60" w:after="60"/>
              <w:jc w:val="left"/>
              <w:rPr>
                <w:rFonts w:cs="Tahoma"/>
                <w:b/>
                <w:lang w:val="sl-SI" w:eastAsia="en-GB"/>
              </w:rPr>
            </w:pPr>
            <w:r w:rsidRPr="00F769E0">
              <w:rPr>
                <w:rFonts w:cs="Tahoma"/>
                <w:b/>
                <w:lang w:val="sl-SI" w:eastAsia="en-GB"/>
              </w:rPr>
              <w:t>KU1 – PIU (izbirno)</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10"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4 mesece </w:t>
            </w:r>
            <w:r w:rsidRPr="00F769E0">
              <w:rPr>
                <w:rFonts w:cs="Tahoma"/>
                <w:lang w:val="sl-SI" w:eastAsia="en-GB"/>
              </w:rPr>
              <w:br/>
              <w:t>od roka za oddajo</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11"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4 mesece </w:t>
            </w:r>
            <w:r w:rsidRPr="00F769E0">
              <w:rPr>
                <w:rFonts w:cs="Tahoma"/>
                <w:lang w:val="sl-SI" w:eastAsia="en-GB"/>
              </w:rPr>
              <w:br/>
              <w:t>od roka za oddajo</w:t>
            </w:r>
          </w:p>
        </w:tc>
        <w:tc>
          <w:tcPr>
            <w:tcW w:w="1016" w:type="pct"/>
            <w:tcBorders>
              <w:top w:val="single" w:sz="4" w:space="0" w:color="000000"/>
              <w:left w:val="single" w:sz="4" w:space="0" w:color="000000"/>
              <w:bottom w:val="single" w:sz="4" w:space="0" w:color="000000"/>
              <w:right w:val="single" w:sz="4" w:space="0" w:color="000000"/>
            </w:tcBorders>
            <w:vAlign w:val="center"/>
          </w:tcPr>
          <w:p w14:paraId="7D39A712"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V 60 koledarskih dneh po tem, ko NA prejme končno poročilo</w:t>
            </w:r>
          </w:p>
        </w:tc>
        <w:tc>
          <w:tcPr>
            <w:tcW w:w="387" w:type="pct"/>
            <w:tcBorders>
              <w:top w:val="single" w:sz="4" w:space="0" w:color="000000"/>
              <w:left w:val="single" w:sz="4" w:space="0" w:color="000000"/>
              <w:bottom w:val="single" w:sz="4" w:space="0" w:color="000000"/>
              <w:right w:val="single" w:sz="4" w:space="0" w:color="000000"/>
            </w:tcBorders>
            <w:vAlign w:val="center"/>
          </w:tcPr>
          <w:p w14:paraId="7D39A713"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2</w:t>
            </w:r>
          </w:p>
        </w:tc>
        <w:tc>
          <w:tcPr>
            <w:tcW w:w="458" w:type="pct"/>
            <w:tcBorders>
              <w:top w:val="single" w:sz="4" w:space="0" w:color="000000"/>
              <w:left w:val="single" w:sz="4" w:space="0" w:color="000000"/>
              <w:bottom w:val="single" w:sz="4" w:space="0" w:color="000000"/>
              <w:right w:val="single" w:sz="4" w:space="0" w:color="000000"/>
            </w:tcBorders>
            <w:vAlign w:val="center"/>
          </w:tcPr>
          <w:p w14:paraId="7D39A714"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Da</w:t>
            </w:r>
          </w:p>
        </w:tc>
        <w:tc>
          <w:tcPr>
            <w:tcW w:w="794" w:type="pct"/>
            <w:tcBorders>
              <w:top w:val="single" w:sz="4" w:space="0" w:color="000000"/>
              <w:left w:val="single" w:sz="4" w:space="0" w:color="000000"/>
              <w:bottom w:val="single" w:sz="4" w:space="0" w:color="000000"/>
              <w:right w:val="single" w:sz="4" w:space="0" w:color="000000"/>
            </w:tcBorders>
            <w:vAlign w:val="center"/>
          </w:tcPr>
          <w:p w14:paraId="7D39A715"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Pred. fin.: 80 %-20 % Razlika:0 %</w:t>
            </w:r>
          </w:p>
        </w:tc>
      </w:tr>
      <w:tr w:rsidR="00E03711" w:rsidRPr="008C6F8C" w14:paraId="7D39A71F" w14:textId="77777777" w:rsidTr="00073E87">
        <w:trPr>
          <w:trHeight w:val="20"/>
        </w:trPr>
        <w:tc>
          <w:tcPr>
            <w:tcW w:w="938" w:type="pct"/>
            <w:tcBorders>
              <w:top w:val="single" w:sz="4" w:space="0" w:color="000000"/>
              <w:left w:val="single" w:sz="4" w:space="0" w:color="000000"/>
              <w:bottom w:val="single" w:sz="4" w:space="0" w:color="000000"/>
              <w:right w:val="single" w:sz="4" w:space="0" w:color="000000"/>
            </w:tcBorders>
            <w:vAlign w:val="center"/>
          </w:tcPr>
          <w:p w14:paraId="7D39A717" w14:textId="77777777" w:rsidR="00E03711" w:rsidRPr="00F769E0" w:rsidRDefault="00E03711" w:rsidP="00115134">
            <w:pPr>
              <w:pStyle w:val="GUIDE-NORMAL"/>
              <w:spacing w:before="60" w:after="60"/>
              <w:jc w:val="left"/>
              <w:rPr>
                <w:rFonts w:cs="Tahoma"/>
                <w:b/>
                <w:lang w:val="sl-SI" w:eastAsia="en-GB"/>
              </w:rPr>
            </w:pPr>
            <w:r w:rsidRPr="00F769E0">
              <w:rPr>
                <w:rFonts w:cs="Tahoma"/>
                <w:b/>
                <w:lang w:val="sl-SI" w:eastAsia="en-GB"/>
              </w:rPr>
              <w:t>KU1 – Skupni magistrski študij Erasmus Mundus</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18"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5 mesece </w:t>
            </w:r>
            <w:r w:rsidRPr="00F769E0">
              <w:rPr>
                <w:rFonts w:cs="Tahoma"/>
                <w:lang w:val="sl-SI" w:eastAsia="en-GB"/>
              </w:rPr>
              <w:br/>
              <w:t>od roka za oddajo</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19"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6 mesece </w:t>
            </w:r>
            <w:r w:rsidRPr="00F769E0">
              <w:rPr>
                <w:rFonts w:cs="Tahoma"/>
                <w:lang w:val="sl-SI" w:eastAsia="en-GB"/>
              </w:rPr>
              <w:br/>
              <w:t>od roka za oddajo</w:t>
            </w:r>
          </w:p>
        </w:tc>
        <w:tc>
          <w:tcPr>
            <w:tcW w:w="1016" w:type="pct"/>
            <w:tcBorders>
              <w:top w:val="single" w:sz="4" w:space="0" w:color="000000"/>
              <w:left w:val="single" w:sz="4" w:space="0" w:color="000000"/>
              <w:bottom w:val="single" w:sz="4" w:space="0" w:color="000000"/>
              <w:right w:val="single" w:sz="4" w:space="0" w:color="000000"/>
            </w:tcBorders>
            <w:vAlign w:val="center"/>
          </w:tcPr>
          <w:p w14:paraId="7D39A71A" w14:textId="77777777" w:rsidR="00E03711" w:rsidRPr="00237696" w:rsidRDefault="00E03711" w:rsidP="00373117">
            <w:pPr>
              <w:widowControl/>
              <w:suppressAutoHyphens w:val="0"/>
              <w:autoSpaceDN/>
              <w:textAlignment w:val="auto"/>
              <w:rPr>
                <w:rFonts w:cs="Times New Roman"/>
                <w:kern w:val="0"/>
                <w:sz w:val="18"/>
                <w:szCs w:val="18"/>
                <w:lang w:val="sl-SI" w:eastAsia="fr-FR"/>
              </w:rPr>
            </w:pPr>
            <w:r w:rsidRPr="00237696">
              <w:rPr>
                <w:rFonts w:cs="Times New Roman"/>
                <w:kern w:val="0"/>
                <w:sz w:val="18"/>
                <w:szCs w:val="18"/>
                <w:lang w:val="sl-SI" w:eastAsia="fr-FR"/>
              </w:rPr>
              <w:t>Ni predvideno</w:t>
            </w:r>
          </w:p>
          <w:p w14:paraId="7D39A71B" w14:textId="77777777" w:rsidR="00E03711" w:rsidRPr="001048FE" w:rsidRDefault="00E03711" w:rsidP="00373117">
            <w:pPr>
              <w:widowControl/>
              <w:suppressAutoHyphens w:val="0"/>
              <w:autoSpaceDN/>
              <w:textAlignment w:val="auto"/>
              <w:rPr>
                <w:rFonts w:ascii="Helvetica" w:hAnsi="Helvetica" w:cs="Times New Roman"/>
                <w:kern w:val="0"/>
                <w:sz w:val="16"/>
                <w:szCs w:val="16"/>
                <w:lang w:val="sl-SI" w:eastAsia="fr-FR"/>
              </w:rPr>
            </w:pPr>
            <w:r w:rsidRPr="00237696">
              <w:rPr>
                <w:rFonts w:cs="Times New Roman"/>
                <w:kern w:val="0"/>
                <w:sz w:val="18"/>
                <w:szCs w:val="18"/>
                <w:lang w:val="sl-SI" w:eastAsia="fr-FR"/>
              </w:rPr>
              <w:t>plačilo razlike</w:t>
            </w:r>
          </w:p>
        </w:tc>
        <w:tc>
          <w:tcPr>
            <w:tcW w:w="387" w:type="pct"/>
            <w:tcBorders>
              <w:top w:val="single" w:sz="4" w:space="0" w:color="000000"/>
              <w:left w:val="single" w:sz="4" w:space="0" w:color="000000"/>
              <w:bottom w:val="single" w:sz="4" w:space="0" w:color="000000"/>
              <w:right w:val="single" w:sz="4" w:space="0" w:color="000000"/>
            </w:tcBorders>
            <w:vAlign w:val="center"/>
          </w:tcPr>
          <w:p w14:paraId="7D39A71C"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3.</w:t>
            </w:r>
          </w:p>
        </w:tc>
        <w:tc>
          <w:tcPr>
            <w:tcW w:w="458" w:type="pct"/>
            <w:tcBorders>
              <w:top w:val="single" w:sz="4" w:space="0" w:color="000000"/>
              <w:left w:val="single" w:sz="4" w:space="0" w:color="000000"/>
              <w:bottom w:val="single" w:sz="4" w:space="0" w:color="000000"/>
              <w:right w:val="single" w:sz="4" w:space="0" w:color="000000"/>
            </w:tcBorders>
            <w:vAlign w:val="center"/>
          </w:tcPr>
          <w:p w14:paraId="7D39A71D"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Ne</w:t>
            </w:r>
          </w:p>
        </w:tc>
        <w:tc>
          <w:tcPr>
            <w:tcW w:w="794" w:type="pct"/>
            <w:tcBorders>
              <w:top w:val="single" w:sz="4" w:space="0" w:color="000000"/>
              <w:left w:val="single" w:sz="4" w:space="0" w:color="000000"/>
              <w:bottom w:val="single" w:sz="4" w:space="0" w:color="000000"/>
              <w:right w:val="single" w:sz="4" w:space="0" w:color="000000"/>
            </w:tcBorders>
            <w:vAlign w:val="center"/>
          </w:tcPr>
          <w:p w14:paraId="7D39A71E"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Pred. fin.: 25 %-50 %-25 % Razlika:0 %</w:t>
            </w:r>
          </w:p>
        </w:tc>
      </w:tr>
      <w:tr w:rsidR="00E03711" w:rsidRPr="008C6F8C" w14:paraId="7D39A727" w14:textId="77777777" w:rsidTr="00073E87">
        <w:trPr>
          <w:trHeight w:val="20"/>
        </w:trPr>
        <w:tc>
          <w:tcPr>
            <w:tcW w:w="938" w:type="pct"/>
            <w:tcBorders>
              <w:top w:val="single" w:sz="4" w:space="0" w:color="000000"/>
              <w:left w:val="single" w:sz="4" w:space="0" w:color="000000"/>
              <w:bottom w:val="single" w:sz="4" w:space="0" w:color="000000"/>
              <w:right w:val="single" w:sz="4" w:space="0" w:color="000000"/>
            </w:tcBorders>
            <w:vAlign w:val="center"/>
          </w:tcPr>
          <w:p w14:paraId="7D39A720" w14:textId="77777777" w:rsidR="00E03711" w:rsidRPr="00F769E0" w:rsidRDefault="00E03711" w:rsidP="00115134">
            <w:pPr>
              <w:pStyle w:val="GUIDE-NORMAL"/>
              <w:spacing w:before="60" w:after="60"/>
              <w:jc w:val="left"/>
              <w:rPr>
                <w:rFonts w:cs="Tahoma"/>
                <w:b/>
                <w:lang w:val="sl-SI" w:eastAsia="en-GB"/>
              </w:rPr>
            </w:pPr>
            <w:r w:rsidRPr="00F769E0">
              <w:rPr>
                <w:rFonts w:cs="Tahoma"/>
                <w:b/>
                <w:lang w:val="sl-SI" w:eastAsia="en-GB"/>
              </w:rPr>
              <w:t>KU2 – Strateška partnerstva, ki trajajo do 2 leti</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21"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4 mesece </w:t>
            </w:r>
            <w:r w:rsidRPr="00F769E0">
              <w:rPr>
                <w:rFonts w:cs="Tahoma"/>
                <w:lang w:val="sl-SI" w:eastAsia="en-GB"/>
              </w:rPr>
              <w:br/>
              <w:t>od roka za oddajo</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22"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5 mesece </w:t>
            </w:r>
            <w:r w:rsidRPr="00F769E0">
              <w:rPr>
                <w:rFonts w:cs="Tahoma"/>
                <w:lang w:val="sl-SI" w:eastAsia="en-GB"/>
              </w:rPr>
              <w:br/>
              <w:t>od roka za oddajo</w:t>
            </w:r>
          </w:p>
        </w:tc>
        <w:tc>
          <w:tcPr>
            <w:tcW w:w="1016" w:type="pct"/>
            <w:tcBorders>
              <w:top w:val="single" w:sz="4" w:space="0" w:color="000000"/>
              <w:left w:val="single" w:sz="4" w:space="0" w:color="000000"/>
              <w:bottom w:val="single" w:sz="4" w:space="0" w:color="000000"/>
              <w:right w:val="single" w:sz="4" w:space="0" w:color="000000"/>
            </w:tcBorders>
            <w:vAlign w:val="center"/>
          </w:tcPr>
          <w:p w14:paraId="7D39A723"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V 60 koledarskih dneh po tem, ko NA prejme končno poročilo</w:t>
            </w:r>
          </w:p>
        </w:tc>
        <w:tc>
          <w:tcPr>
            <w:tcW w:w="387" w:type="pct"/>
            <w:tcBorders>
              <w:top w:val="single" w:sz="4" w:space="0" w:color="000000"/>
              <w:left w:val="single" w:sz="4" w:space="0" w:color="000000"/>
              <w:bottom w:val="single" w:sz="4" w:space="0" w:color="000000"/>
              <w:right w:val="single" w:sz="4" w:space="0" w:color="000000"/>
            </w:tcBorders>
            <w:vAlign w:val="center"/>
          </w:tcPr>
          <w:p w14:paraId="7D39A724"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1.</w:t>
            </w:r>
          </w:p>
        </w:tc>
        <w:tc>
          <w:tcPr>
            <w:tcW w:w="458" w:type="pct"/>
            <w:tcBorders>
              <w:top w:val="single" w:sz="4" w:space="0" w:color="000000"/>
              <w:left w:val="single" w:sz="4" w:space="0" w:color="000000"/>
              <w:bottom w:val="single" w:sz="4" w:space="0" w:color="000000"/>
              <w:right w:val="single" w:sz="4" w:space="0" w:color="000000"/>
            </w:tcBorders>
            <w:vAlign w:val="center"/>
          </w:tcPr>
          <w:p w14:paraId="7D39A725"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Ne</w:t>
            </w:r>
          </w:p>
        </w:tc>
        <w:tc>
          <w:tcPr>
            <w:tcW w:w="794" w:type="pct"/>
            <w:tcBorders>
              <w:top w:val="single" w:sz="4" w:space="0" w:color="000000"/>
              <w:left w:val="single" w:sz="4" w:space="0" w:color="000000"/>
              <w:bottom w:val="single" w:sz="4" w:space="0" w:color="000000"/>
              <w:right w:val="single" w:sz="4" w:space="0" w:color="000000"/>
            </w:tcBorders>
            <w:vAlign w:val="center"/>
          </w:tcPr>
          <w:p w14:paraId="7D39A726"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Pred. fin.: 80 % Razlika:20 %</w:t>
            </w:r>
          </w:p>
        </w:tc>
      </w:tr>
      <w:tr w:rsidR="00E03711" w:rsidRPr="008C6F8C" w14:paraId="7D39A72F" w14:textId="77777777" w:rsidTr="00073E87">
        <w:trPr>
          <w:trHeight w:val="20"/>
        </w:trPr>
        <w:tc>
          <w:tcPr>
            <w:tcW w:w="938" w:type="pct"/>
            <w:tcBorders>
              <w:top w:val="single" w:sz="4" w:space="0" w:color="000000"/>
              <w:left w:val="single" w:sz="4" w:space="0" w:color="000000"/>
              <w:bottom w:val="single" w:sz="4" w:space="0" w:color="000000"/>
              <w:right w:val="single" w:sz="4" w:space="0" w:color="000000"/>
            </w:tcBorders>
            <w:vAlign w:val="center"/>
          </w:tcPr>
          <w:p w14:paraId="7D39A728" w14:textId="77777777" w:rsidR="00E03711" w:rsidRPr="00F769E0" w:rsidRDefault="00E03711" w:rsidP="00115134">
            <w:pPr>
              <w:pStyle w:val="GUIDE-NORMAL"/>
              <w:spacing w:before="60" w:after="60"/>
              <w:jc w:val="left"/>
              <w:rPr>
                <w:rFonts w:cs="Tahoma"/>
                <w:b/>
                <w:lang w:val="sl-SI" w:eastAsia="en-GB"/>
              </w:rPr>
            </w:pPr>
            <w:r w:rsidRPr="00F769E0">
              <w:rPr>
                <w:rFonts w:cs="Tahoma"/>
                <w:b/>
                <w:lang w:val="sl-SI" w:eastAsia="en-GB"/>
              </w:rPr>
              <w:t>KU2 – Strateška partnerstva, ki trajajo od 2 do 3 let</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29"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4 mesece </w:t>
            </w:r>
            <w:r w:rsidRPr="00F769E0">
              <w:rPr>
                <w:rFonts w:cs="Tahoma"/>
                <w:lang w:val="sl-SI" w:eastAsia="en-GB"/>
              </w:rPr>
              <w:br/>
              <w:t>od roka za oddajo</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2A"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5 mesece </w:t>
            </w:r>
            <w:r w:rsidRPr="00F769E0">
              <w:rPr>
                <w:rFonts w:cs="Tahoma"/>
                <w:lang w:val="sl-SI" w:eastAsia="en-GB"/>
              </w:rPr>
              <w:br/>
              <w:t>od roka za oddajo</w:t>
            </w:r>
          </w:p>
        </w:tc>
        <w:tc>
          <w:tcPr>
            <w:tcW w:w="1016" w:type="pct"/>
            <w:tcBorders>
              <w:top w:val="single" w:sz="4" w:space="0" w:color="000000"/>
              <w:left w:val="single" w:sz="4" w:space="0" w:color="000000"/>
              <w:bottom w:val="single" w:sz="4" w:space="0" w:color="000000"/>
              <w:right w:val="single" w:sz="4" w:space="0" w:color="000000"/>
            </w:tcBorders>
            <w:vAlign w:val="center"/>
          </w:tcPr>
          <w:p w14:paraId="7D39A72B"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V 60 koledarskih dneh po tem, ko NA prejme končno poročilo</w:t>
            </w:r>
          </w:p>
        </w:tc>
        <w:tc>
          <w:tcPr>
            <w:tcW w:w="387" w:type="pct"/>
            <w:tcBorders>
              <w:top w:val="single" w:sz="4" w:space="0" w:color="000000"/>
              <w:left w:val="single" w:sz="4" w:space="0" w:color="000000"/>
              <w:bottom w:val="single" w:sz="4" w:space="0" w:color="000000"/>
              <w:right w:val="single" w:sz="4" w:space="0" w:color="000000"/>
            </w:tcBorders>
            <w:vAlign w:val="center"/>
          </w:tcPr>
          <w:p w14:paraId="7D39A72C"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2.</w:t>
            </w:r>
          </w:p>
        </w:tc>
        <w:tc>
          <w:tcPr>
            <w:tcW w:w="458" w:type="pct"/>
            <w:tcBorders>
              <w:top w:val="single" w:sz="4" w:space="0" w:color="000000"/>
              <w:left w:val="single" w:sz="4" w:space="0" w:color="000000"/>
              <w:bottom w:val="single" w:sz="4" w:space="0" w:color="000000"/>
              <w:right w:val="single" w:sz="4" w:space="0" w:color="000000"/>
            </w:tcBorders>
            <w:vAlign w:val="center"/>
          </w:tcPr>
          <w:p w14:paraId="7D39A72D"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Da</w:t>
            </w:r>
          </w:p>
        </w:tc>
        <w:tc>
          <w:tcPr>
            <w:tcW w:w="794" w:type="pct"/>
            <w:tcBorders>
              <w:top w:val="single" w:sz="4" w:space="0" w:color="000000"/>
              <w:left w:val="single" w:sz="4" w:space="0" w:color="000000"/>
              <w:bottom w:val="single" w:sz="4" w:space="0" w:color="000000"/>
              <w:right w:val="single" w:sz="4" w:space="0" w:color="000000"/>
            </w:tcBorders>
            <w:vAlign w:val="center"/>
          </w:tcPr>
          <w:p w14:paraId="7D39A72E"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Pred. fin.: 40 %-40 % Razlika:</w:t>
            </w:r>
            <w:r w:rsidRPr="00F769E0">
              <w:rPr>
                <w:rFonts w:cs="Tahoma"/>
                <w:lang w:val="sl-SI" w:eastAsia="en-GB"/>
              </w:rPr>
              <w:br/>
              <w:t>20 %</w:t>
            </w:r>
          </w:p>
        </w:tc>
      </w:tr>
      <w:tr w:rsidR="00E03711" w:rsidRPr="008C6F8C" w14:paraId="7D39A737" w14:textId="77777777" w:rsidTr="00073E87">
        <w:trPr>
          <w:trHeight w:val="20"/>
        </w:trPr>
        <w:tc>
          <w:tcPr>
            <w:tcW w:w="938" w:type="pct"/>
            <w:tcBorders>
              <w:top w:val="single" w:sz="4" w:space="0" w:color="000000"/>
              <w:left w:val="single" w:sz="4" w:space="0" w:color="000000"/>
              <w:bottom w:val="single" w:sz="4" w:space="0" w:color="000000"/>
              <w:right w:val="single" w:sz="4" w:space="0" w:color="000000"/>
            </w:tcBorders>
            <w:vAlign w:val="center"/>
          </w:tcPr>
          <w:p w14:paraId="7D39A730" w14:textId="77777777" w:rsidR="00E03711" w:rsidRPr="00F769E0" w:rsidRDefault="00E03711" w:rsidP="00115134">
            <w:pPr>
              <w:pStyle w:val="GUIDE-NORMAL"/>
              <w:spacing w:before="60" w:after="60"/>
              <w:jc w:val="left"/>
              <w:rPr>
                <w:rFonts w:cs="Tahoma"/>
                <w:b/>
                <w:lang w:val="sl-SI" w:eastAsia="en-GB"/>
              </w:rPr>
            </w:pPr>
            <w:r w:rsidRPr="00F769E0">
              <w:rPr>
                <w:rFonts w:cs="Tahoma"/>
                <w:b/>
                <w:lang w:val="sl-SI" w:eastAsia="en-GB"/>
              </w:rPr>
              <w:t>KU2 – Strateška partnerstva v obliki partnerstev za izmenjavo med šolami (izbirno)</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31"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4 mesece </w:t>
            </w:r>
            <w:r w:rsidRPr="00F769E0">
              <w:rPr>
                <w:rFonts w:cs="Tahoma"/>
                <w:lang w:val="sl-SI" w:eastAsia="en-GB"/>
              </w:rPr>
              <w:br/>
              <w:t>od roka za oddajo</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32"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6 mesece </w:t>
            </w:r>
            <w:r w:rsidRPr="00F769E0">
              <w:rPr>
                <w:rFonts w:cs="Tahoma"/>
                <w:lang w:val="sl-SI" w:eastAsia="en-GB"/>
              </w:rPr>
              <w:br/>
              <w:t>od roka za oddajo</w:t>
            </w:r>
          </w:p>
        </w:tc>
        <w:tc>
          <w:tcPr>
            <w:tcW w:w="1016" w:type="pct"/>
            <w:tcBorders>
              <w:top w:val="single" w:sz="4" w:space="0" w:color="000000"/>
              <w:left w:val="single" w:sz="4" w:space="0" w:color="000000"/>
              <w:bottom w:val="single" w:sz="4" w:space="0" w:color="000000"/>
              <w:right w:val="single" w:sz="4" w:space="0" w:color="000000"/>
            </w:tcBorders>
            <w:vAlign w:val="center"/>
          </w:tcPr>
          <w:p w14:paraId="7D39A733"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V 60 koledarskih dneh po tem, ko vse vključene NA prejmejo končno poročilo</w:t>
            </w:r>
          </w:p>
        </w:tc>
        <w:tc>
          <w:tcPr>
            <w:tcW w:w="387" w:type="pct"/>
            <w:tcBorders>
              <w:top w:val="single" w:sz="4" w:space="0" w:color="000000"/>
              <w:left w:val="single" w:sz="4" w:space="0" w:color="000000"/>
              <w:bottom w:val="single" w:sz="4" w:space="0" w:color="000000"/>
              <w:right w:val="single" w:sz="4" w:space="0" w:color="000000"/>
            </w:tcBorders>
            <w:vAlign w:val="center"/>
          </w:tcPr>
          <w:p w14:paraId="7D39A734"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2.</w:t>
            </w:r>
          </w:p>
        </w:tc>
        <w:tc>
          <w:tcPr>
            <w:tcW w:w="458" w:type="pct"/>
            <w:tcBorders>
              <w:top w:val="single" w:sz="4" w:space="0" w:color="000000"/>
              <w:left w:val="single" w:sz="4" w:space="0" w:color="000000"/>
              <w:bottom w:val="single" w:sz="4" w:space="0" w:color="000000"/>
              <w:right w:val="single" w:sz="4" w:space="0" w:color="000000"/>
            </w:tcBorders>
            <w:vAlign w:val="center"/>
          </w:tcPr>
          <w:p w14:paraId="7D39A735"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Da</w:t>
            </w:r>
          </w:p>
        </w:tc>
        <w:tc>
          <w:tcPr>
            <w:tcW w:w="794" w:type="pct"/>
            <w:tcBorders>
              <w:top w:val="single" w:sz="4" w:space="0" w:color="000000"/>
              <w:left w:val="single" w:sz="4" w:space="0" w:color="000000"/>
              <w:bottom w:val="single" w:sz="4" w:space="0" w:color="000000"/>
              <w:right w:val="single" w:sz="4" w:space="0" w:color="000000"/>
            </w:tcBorders>
            <w:vAlign w:val="center"/>
          </w:tcPr>
          <w:p w14:paraId="7D39A736"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Pred. fin.: 80 %-20 % Razlika:0 %</w:t>
            </w:r>
          </w:p>
        </w:tc>
      </w:tr>
      <w:tr w:rsidR="00E03711" w:rsidRPr="008C6F8C" w14:paraId="7D39A73F" w14:textId="77777777" w:rsidTr="00073E87">
        <w:trPr>
          <w:trHeight w:val="20"/>
        </w:trPr>
        <w:tc>
          <w:tcPr>
            <w:tcW w:w="938" w:type="pct"/>
            <w:tcBorders>
              <w:top w:val="single" w:sz="4" w:space="0" w:color="000000"/>
              <w:left w:val="single" w:sz="4" w:space="0" w:color="000000"/>
              <w:bottom w:val="single" w:sz="4" w:space="0" w:color="000000"/>
              <w:right w:val="single" w:sz="4" w:space="0" w:color="000000"/>
            </w:tcBorders>
            <w:vAlign w:val="center"/>
          </w:tcPr>
          <w:p w14:paraId="7D39A738" w14:textId="77777777" w:rsidR="00E03711" w:rsidRPr="00F769E0" w:rsidRDefault="00E03711" w:rsidP="00115134">
            <w:pPr>
              <w:pStyle w:val="GUIDE-NORMAL"/>
              <w:spacing w:before="60" w:after="60"/>
              <w:jc w:val="left"/>
              <w:rPr>
                <w:rFonts w:cs="Tahoma"/>
                <w:b/>
                <w:lang w:val="sl-SI" w:eastAsia="en-GB"/>
              </w:rPr>
            </w:pPr>
            <w:r w:rsidRPr="00F769E0">
              <w:rPr>
                <w:rFonts w:cs="Tahoma"/>
                <w:b/>
                <w:lang w:val="sl-SI" w:eastAsia="en-GB"/>
              </w:rPr>
              <w:t>KU2 – Koalicije znanja (vključno z evropskimi univerzami) in koalicije sektorskih spretnosti</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39"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5 mesece </w:t>
            </w:r>
            <w:r w:rsidRPr="00F769E0">
              <w:rPr>
                <w:rFonts w:cs="Tahoma"/>
                <w:lang w:val="sl-SI" w:eastAsia="en-GB"/>
              </w:rPr>
              <w:br/>
              <w:t>od roka za oddajo</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3A"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7 mesece </w:t>
            </w:r>
            <w:r w:rsidRPr="00F769E0">
              <w:rPr>
                <w:rFonts w:cs="Tahoma"/>
                <w:lang w:val="sl-SI" w:eastAsia="en-GB"/>
              </w:rPr>
              <w:br/>
              <w:t>od roka za oddajo</w:t>
            </w:r>
          </w:p>
        </w:tc>
        <w:tc>
          <w:tcPr>
            <w:tcW w:w="1016" w:type="pct"/>
            <w:tcBorders>
              <w:top w:val="single" w:sz="4" w:space="0" w:color="000000"/>
              <w:left w:val="single" w:sz="4" w:space="0" w:color="000000"/>
              <w:bottom w:val="single" w:sz="4" w:space="0" w:color="000000"/>
              <w:right w:val="single" w:sz="4" w:space="0" w:color="000000"/>
            </w:tcBorders>
            <w:vAlign w:val="center"/>
          </w:tcPr>
          <w:p w14:paraId="7D39A73B"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V 60 dneh po tem, ko EACEA prejme končno poročilo</w:t>
            </w:r>
          </w:p>
        </w:tc>
        <w:tc>
          <w:tcPr>
            <w:tcW w:w="387" w:type="pct"/>
            <w:tcBorders>
              <w:top w:val="single" w:sz="4" w:space="0" w:color="000000"/>
              <w:left w:val="single" w:sz="4" w:space="0" w:color="000000"/>
              <w:bottom w:val="single" w:sz="4" w:space="0" w:color="000000"/>
              <w:right w:val="single" w:sz="4" w:space="0" w:color="000000"/>
            </w:tcBorders>
            <w:vAlign w:val="center"/>
          </w:tcPr>
          <w:p w14:paraId="7D39A73C"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2.</w:t>
            </w:r>
          </w:p>
        </w:tc>
        <w:tc>
          <w:tcPr>
            <w:tcW w:w="458" w:type="pct"/>
            <w:tcBorders>
              <w:top w:val="single" w:sz="4" w:space="0" w:color="000000"/>
              <w:left w:val="single" w:sz="4" w:space="0" w:color="000000"/>
              <w:bottom w:val="single" w:sz="4" w:space="0" w:color="000000"/>
              <w:right w:val="single" w:sz="4" w:space="0" w:color="000000"/>
            </w:tcBorders>
            <w:vAlign w:val="center"/>
          </w:tcPr>
          <w:p w14:paraId="7D39A73D"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Da</w:t>
            </w:r>
          </w:p>
        </w:tc>
        <w:tc>
          <w:tcPr>
            <w:tcW w:w="794" w:type="pct"/>
            <w:tcBorders>
              <w:top w:val="single" w:sz="4" w:space="0" w:color="000000"/>
              <w:left w:val="single" w:sz="4" w:space="0" w:color="000000"/>
              <w:bottom w:val="single" w:sz="4" w:space="0" w:color="000000"/>
              <w:right w:val="single" w:sz="4" w:space="0" w:color="000000"/>
            </w:tcBorders>
            <w:vAlign w:val="center"/>
          </w:tcPr>
          <w:p w14:paraId="7D39A73E"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Pred. fin.: 40 %-40 % Razlika:</w:t>
            </w:r>
            <w:r w:rsidRPr="00F769E0">
              <w:rPr>
                <w:rFonts w:cs="Tahoma"/>
                <w:lang w:val="sl-SI" w:eastAsia="en-GB"/>
              </w:rPr>
              <w:br/>
              <w:t>20 %</w:t>
            </w:r>
          </w:p>
        </w:tc>
      </w:tr>
      <w:tr w:rsidR="00E03711" w:rsidRPr="008C6F8C" w14:paraId="7D39A747" w14:textId="77777777" w:rsidTr="00073E87">
        <w:trPr>
          <w:trHeight w:val="20"/>
        </w:trPr>
        <w:tc>
          <w:tcPr>
            <w:tcW w:w="938" w:type="pct"/>
            <w:tcBorders>
              <w:top w:val="single" w:sz="4" w:space="0" w:color="000000"/>
              <w:left w:val="single" w:sz="4" w:space="0" w:color="000000"/>
              <w:bottom w:val="single" w:sz="4" w:space="0" w:color="000000"/>
              <w:right w:val="single" w:sz="4" w:space="0" w:color="000000"/>
            </w:tcBorders>
            <w:vAlign w:val="center"/>
          </w:tcPr>
          <w:p w14:paraId="7D39A740" w14:textId="77777777" w:rsidR="00E03711" w:rsidRPr="00F769E0" w:rsidRDefault="00E03711" w:rsidP="00115134">
            <w:pPr>
              <w:pStyle w:val="GUIDE-NORMAL"/>
              <w:spacing w:before="60" w:after="60"/>
              <w:jc w:val="left"/>
              <w:rPr>
                <w:rFonts w:cs="Tahoma"/>
                <w:b/>
                <w:lang w:val="sl-SI" w:eastAsia="en-GB"/>
              </w:rPr>
            </w:pPr>
            <w:r w:rsidRPr="00F769E0">
              <w:rPr>
                <w:rFonts w:cs="Tahoma"/>
                <w:b/>
                <w:lang w:val="sl-SI" w:eastAsia="en-GB"/>
              </w:rPr>
              <w:t>KU2 – Krepitev zmogljivosti na področju visokošolskega izobraževanja</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41"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6 mesece </w:t>
            </w:r>
            <w:r w:rsidRPr="00F769E0">
              <w:rPr>
                <w:rFonts w:cs="Tahoma"/>
                <w:lang w:val="sl-SI" w:eastAsia="en-GB"/>
              </w:rPr>
              <w:br/>
              <w:t>od roka za oddajo</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42"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7 mesece </w:t>
            </w:r>
            <w:r w:rsidRPr="00F769E0">
              <w:rPr>
                <w:rFonts w:cs="Tahoma"/>
                <w:lang w:val="sl-SI" w:eastAsia="en-GB"/>
              </w:rPr>
              <w:br/>
              <w:t>od roka za oddajo</w:t>
            </w:r>
          </w:p>
        </w:tc>
        <w:tc>
          <w:tcPr>
            <w:tcW w:w="1016" w:type="pct"/>
            <w:tcBorders>
              <w:top w:val="single" w:sz="4" w:space="0" w:color="000000"/>
              <w:left w:val="single" w:sz="4" w:space="0" w:color="000000"/>
              <w:bottom w:val="single" w:sz="4" w:space="0" w:color="000000"/>
              <w:right w:val="single" w:sz="4" w:space="0" w:color="000000"/>
            </w:tcBorders>
            <w:vAlign w:val="center"/>
          </w:tcPr>
          <w:p w14:paraId="7D39A743"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V 60 dneh po tem, ko EACEA prejme končno poročilo</w:t>
            </w:r>
          </w:p>
        </w:tc>
        <w:tc>
          <w:tcPr>
            <w:tcW w:w="387" w:type="pct"/>
            <w:tcBorders>
              <w:top w:val="single" w:sz="4" w:space="0" w:color="000000"/>
              <w:left w:val="single" w:sz="4" w:space="0" w:color="000000"/>
              <w:bottom w:val="single" w:sz="4" w:space="0" w:color="000000"/>
              <w:right w:val="single" w:sz="4" w:space="0" w:color="000000"/>
            </w:tcBorders>
            <w:vAlign w:val="center"/>
          </w:tcPr>
          <w:p w14:paraId="7D39A744"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2.</w:t>
            </w:r>
          </w:p>
        </w:tc>
        <w:tc>
          <w:tcPr>
            <w:tcW w:w="458" w:type="pct"/>
            <w:tcBorders>
              <w:top w:val="single" w:sz="4" w:space="0" w:color="000000"/>
              <w:left w:val="single" w:sz="4" w:space="0" w:color="000000"/>
              <w:bottom w:val="single" w:sz="4" w:space="0" w:color="000000"/>
              <w:right w:val="single" w:sz="4" w:space="0" w:color="000000"/>
            </w:tcBorders>
            <w:vAlign w:val="center"/>
          </w:tcPr>
          <w:p w14:paraId="7D39A745"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Da</w:t>
            </w:r>
          </w:p>
        </w:tc>
        <w:tc>
          <w:tcPr>
            <w:tcW w:w="794" w:type="pct"/>
            <w:tcBorders>
              <w:top w:val="single" w:sz="4" w:space="0" w:color="000000"/>
              <w:left w:val="single" w:sz="4" w:space="0" w:color="000000"/>
              <w:bottom w:val="single" w:sz="4" w:space="0" w:color="000000"/>
              <w:right w:val="single" w:sz="4" w:space="0" w:color="000000"/>
            </w:tcBorders>
            <w:vAlign w:val="center"/>
          </w:tcPr>
          <w:p w14:paraId="7D39A746"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Pred. fin.: 50 %-40 % Razlika:</w:t>
            </w:r>
            <w:r w:rsidRPr="00F769E0">
              <w:rPr>
                <w:rFonts w:cs="Tahoma"/>
                <w:lang w:val="sl-SI" w:eastAsia="en-GB"/>
              </w:rPr>
              <w:br/>
              <w:t>10 %</w:t>
            </w:r>
          </w:p>
        </w:tc>
      </w:tr>
      <w:tr w:rsidR="00E03711" w:rsidRPr="008C6F8C" w14:paraId="7D39A74F" w14:textId="77777777" w:rsidTr="00073E87">
        <w:trPr>
          <w:trHeight w:val="20"/>
        </w:trPr>
        <w:tc>
          <w:tcPr>
            <w:tcW w:w="938" w:type="pct"/>
            <w:tcBorders>
              <w:top w:val="single" w:sz="4" w:space="0" w:color="000000"/>
              <w:left w:val="single" w:sz="4" w:space="0" w:color="000000"/>
              <w:bottom w:val="single" w:sz="4" w:space="0" w:color="000000"/>
              <w:right w:val="single" w:sz="4" w:space="0" w:color="000000"/>
            </w:tcBorders>
            <w:vAlign w:val="center"/>
          </w:tcPr>
          <w:p w14:paraId="7D39A748" w14:textId="77777777" w:rsidR="00E03711" w:rsidRPr="00F769E0" w:rsidRDefault="00E03711" w:rsidP="00115134">
            <w:pPr>
              <w:pStyle w:val="GUIDE-NORMAL"/>
              <w:spacing w:before="60" w:after="60"/>
              <w:jc w:val="left"/>
              <w:rPr>
                <w:rFonts w:cs="Tahoma"/>
                <w:b/>
                <w:lang w:val="sl-SI" w:eastAsia="en-GB"/>
              </w:rPr>
            </w:pPr>
            <w:r w:rsidRPr="00F769E0">
              <w:rPr>
                <w:rFonts w:cs="Tahoma"/>
                <w:b/>
                <w:lang w:val="sl-SI" w:eastAsia="en-GB"/>
              </w:rPr>
              <w:t>KU2 – Krepitev zmogljivosti na področju mladine</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49"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5 mesece </w:t>
            </w:r>
            <w:r w:rsidRPr="00F769E0">
              <w:rPr>
                <w:rFonts w:cs="Tahoma"/>
                <w:lang w:val="sl-SI" w:eastAsia="en-GB"/>
              </w:rPr>
              <w:br/>
              <w:t>od roka za oddajo</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4A"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6 mesece </w:t>
            </w:r>
            <w:r w:rsidRPr="00F769E0">
              <w:rPr>
                <w:rFonts w:cs="Tahoma"/>
                <w:lang w:val="sl-SI" w:eastAsia="en-GB"/>
              </w:rPr>
              <w:br/>
              <w:t>od roka za oddajo</w:t>
            </w:r>
          </w:p>
        </w:tc>
        <w:tc>
          <w:tcPr>
            <w:tcW w:w="1016" w:type="pct"/>
            <w:tcBorders>
              <w:top w:val="single" w:sz="4" w:space="0" w:color="000000"/>
              <w:left w:val="single" w:sz="4" w:space="0" w:color="000000"/>
              <w:bottom w:val="single" w:sz="4" w:space="0" w:color="000000"/>
              <w:right w:val="single" w:sz="4" w:space="0" w:color="000000"/>
            </w:tcBorders>
            <w:vAlign w:val="center"/>
          </w:tcPr>
          <w:p w14:paraId="7D39A74B"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V 60 dneh po tem, ko EACEA prejme končno poročilo</w:t>
            </w:r>
          </w:p>
        </w:tc>
        <w:tc>
          <w:tcPr>
            <w:tcW w:w="387" w:type="pct"/>
            <w:tcBorders>
              <w:top w:val="single" w:sz="4" w:space="0" w:color="000000"/>
              <w:left w:val="single" w:sz="4" w:space="0" w:color="000000"/>
              <w:bottom w:val="single" w:sz="4" w:space="0" w:color="000000"/>
              <w:right w:val="single" w:sz="4" w:space="0" w:color="000000"/>
            </w:tcBorders>
            <w:vAlign w:val="center"/>
          </w:tcPr>
          <w:p w14:paraId="7D39A74C"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1.</w:t>
            </w:r>
          </w:p>
        </w:tc>
        <w:tc>
          <w:tcPr>
            <w:tcW w:w="458" w:type="pct"/>
            <w:tcBorders>
              <w:top w:val="single" w:sz="4" w:space="0" w:color="000000"/>
              <w:left w:val="single" w:sz="4" w:space="0" w:color="000000"/>
              <w:bottom w:val="single" w:sz="4" w:space="0" w:color="000000"/>
              <w:right w:val="single" w:sz="4" w:space="0" w:color="000000"/>
            </w:tcBorders>
            <w:vAlign w:val="center"/>
          </w:tcPr>
          <w:p w14:paraId="7D39A74D"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Da</w:t>
            </w:r>
          </w:p>
        </w:tc>
        <w:tc>
          <w:tcPr>
            <w:tcW w:w="794" w:type="pct"/>
            <w:tcBorders>
              <w:top w:val="single" w:sz="4" w:space="0" w:color="000000"/>
              <w:left w:val="single" w:sz="4" w:space="0" w:color="000000"/>
              <w:bottom w:val="single" w:sz="4" w:space="0" w:color="000000"/>
              <w:right w:val="single" w:sz="4" w:space="0" w:color="000000"/>
            </w:tcBorders>
            <w:vAlign w:val="center"/>
          </w:tcPr>
          <w:p w14:paraId="7D39A74E"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Pred. fin.: 80 % Razlika:20 %</w:t>
            </w:r>
          </w:p>
        </w:tc>
      </w:tr>
      <w:tr w:rsidR="00E03711" w:rsidRPr="008C6F8C" w14:paraId="7D39A757" w14:textId="77777777" w:rsidTr="00073E87">
        <w:trPr>
          <w:trHeight w:val="20"/>
        </w:trPr>
        <w:tc>
          <w:tcPr>
            <w:tcW w:w="938" w:type="pct"/>
            <w:tcBorders>
              <w:top w:val="single" w:sz="4" w:space="0" w:color="000000"/>
              <w:left w:val="single" w:sz="4" w:space="0" w:color="000000"/>
              <w:bottom w:val="single" w:sz="4" w:space="0" w:color="000000"/>
              <w:right w:val="single" w:sz="4" w:space="0" w:color="000000"/>
            </w:tcBorders>
            <w:vAlign w:val="center"/>
          </w:tcPr>
          <w:p w14:paraId="7D39A750" w14:textId="77777777" w:rsidR="00E03711" w:rsidRPr="00F769E0" w:rsidRDefault="00E03711" w:rsidP="00C31AE8">
            <w:pPr>
              <w:pStyle w:val="GUIDE-NORMAL"/>
              <w:spacing w:before="60" w:after="60"/>
              <w:jc w:val="left"/>
              <w:rPr>
                <w:rFonts w:cs="Tahoma"/>
                <w:b/>
                <w:lang w:val="sl-SI" w:eastAsia="en-GB"/>
              </w:rPr>
            </w:pPr>
            <w:r w:rsidRPr="00F769E0">
              <w:rPr>
                <w:rFonts w:cs="Tahoma"/>
                <w:b/>
                <w:lang w:val="sl-SI" w:eastAsia="en-GB"/>
              </w:rPr>
              <w:t>KU3 – Projekti za dialog mladih</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51"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4 mesece </w:t>
            </w:r>
            <w:r w:rsidRPr="00F769E0">
              <w:rPr>
                <w:rFonts w:cs="Tahoma"/>
                <w:lang w:val="sl-SI" w:eastAsia="en-GB"/>
              </w:rPr>
              <w:br/>
              <w:t>od roka za oddajo</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52"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4 mesece </w:t>
            </w:r>
            <w:r w:rsidRPr="00F769E0">
              <w:rPr>
                <w:rFonts w:cs="Tahoma"/>
                <w:lang w:val="sl-SI" w:eastAsia="en-GB"/>
              </w:rPr>
              <w:br/>
              <w:t>od roka za oddajo</w:t>
            </w:r>
          </w:p>
        </w:tc>
        <w:tc>
          <w:tcPr>
            <w:tcW w:w="1016" w:type="pct"/>
            <w:tcBorders>
              <w:top w:val="single" w:sz="4" w:space="0" w:color="000000"/>
              <w:left w:val="single" w:sz="4" w:space="0" w:color="000000"/>
              <w:bottom w:val="single" w:sz="4" w:space="0" w:color="000000"/>
              <w:right w:val="single" w:sz="4" w:space="0" w:color="000000"/>
            </w:tcBorders>
            <w:vAlign w:val="center"/>
          </w:tcPr>
          <w:p w14:paraId="7D39A753"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V 60 koledarskih dneh po tem, ko NA prejme končno poročilo</w:t>
            </w:r>
          </w:p>
        </w:tc>
        <w:tc>
          <w:tcPr>
            <w:tcW w:w="387" w:type="pct"/>
            <w:tcBorders>
              <w:top w:val="single" w:sz="4" w:space="0" w:color="000000"/>
              <w:left w:val="single" w:sz="4" w:space="0" w:color="000000"/>
              <w:bottom w:val="single" w:sz="4" w:space="0" w:color="000000"/>
              <w:right w:val="single" w:sz="4" w:space="0" w:color="000000"/>
            </w:tcBorders>
            <w:vAlign w:val="center"/>
          </w:tcPr>
          <w:p w14:paraId="7D39A754"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1.</w:t>
            </w:r>
          </w:p>
        </w:tc>
        <w:tc>
          <w:tcPr>
            <w:tcW w:w="458" w:type="pct"/>
            <w:tcBorders>
              <w:top w:val="single" w:sz="4" w:space="0" w:color="000000"/>
              <w:left w:val="single" w:sz="4" w:space="0" w:color="000000"/>
              <w:bottom w:val="single" w:sz="4" w:space="0" w:color="000000"/>
              <w:right w:val="single" w:sz="4" w:space="0" w:color="000000"/>
            </w:tcBorders>
            <w:vAlign w:val="center"/>
          </w:tcPr>
          <w:p w14:paraId="7D39A755"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Ne</w:t>
            </w:r>
          </w:p>
        </w:tc>
        <w:tc>
          <w:tcPr>
            <w:tcW w:w="794" w:type="pct"/>
            <w:tcBorders>
              <w:top w:val="single" w:sz="4" w:space="0" w:color="000000"/>
              <w:left w:val="single" w:sz="4" w:space="0" w:color="000000"/>
              <w:bottom w:val="single" w:sz="4" w:space="0" w:color="000000"/>
              <w:right w:val="single" w:sz="4" w:space="0" w:color="000000"/>
            </w:tcBorders>
            <w:vAlign w:val="center"/>
          </w:tcPr>
          <w:p w14:paraId="7D39A756"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Pred. fin.: 80 % Razlika:20 %</w:t>
            </w:r>
          </w:p>
        </w:tc>
      </w:tr>
      <w:tr w:rsidR="00E03711" w:rsidRPr="008C6F8C" w14:paraId="7D39A75F" w14:textId="77777777" w:rsidTr="00073E87">
        <w:trPr>
          <w:trHeight w:val="20"/>
        </w:trPr>
        <w:tc>
          <w:tcPr>
            <w:tcW w:w="938" w:type="pct"/>
            <w:tcBorders>
              <w:top w:val="single" w:sz="4" w:space="0" w:color="000000"/>
              <w:left w:val="single" w:sz="4" w:space="0" w:color="000000"/>
              <w:bottom w:val="single" w:sz="4" w:space="0" w:color="000000"/>
              <w:right w:val="single" w:sz="4" w:space="0" w:color="000000"/>
            </w:tcBorders>
            <w:vAlign w:val="center"/>
          </w:tcPr>
          <w:p w14:paraId="7D39A758" w14:textId="77777777" w:rsidR="00E03711" w:rsidRPr="00F769E0" w:rsidRDefault="00E03711" w:rsidP="00115134">
            <w:pPr>
              <w:pStyle w:val="GUIDE-NORMAL"/>
              <w:spacing w:before="60" w:after="60"/>
              <w:jc w:val="left"/>
              <w:rPr>
                <w:rFonts w:cs="Tahoma"/>
                <w:b/>
                <w:lang w:val="sl-SI" w:eastAsia="en-GB"/>
              </w:rPr>
            </w:pPr>
            <w:r w:rsidRPr="00F769E0">
              <w:rPr>
                <w:rFonts w:cs="Tahoma"/>
                <w:b/>
                <w:lang w:val="sl-SI" w:eastAsia="en-GB"/>
              </w:rPr>
              <w:t>Aktivnosti programa Jean Monnet</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59"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5 mesece </w:t>
            </w:r>
            <w:r w:rsidRPr="00F769E0">
              <w:rPr>
                <w:rFonts w:cs="Tahoma"/>
                <w:lang w:val="sl-SI" w:eastAsia="en-GB"/>
              </w:rPr>
              <w:br/>
              <w:t>od roka za oddajo</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5A"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6 mesece </w:t>
            </w:r>
            <w:r w:rsidRPr="00F769E0">
              <w:rPr>
                <w:rFonts w:cs="Tahoma"/>
                <w:lang w:val="sl-SI" w:eastAsia="en-GB"/>
              </w:rPr>
              <w:br/>
              <w:t>od roka za oddajo</w:t>
            </w:r>
          </w:p>
        </w:tc>
        <w:tc>
          <w:tcPr>
            <w:tcW w:w="1016" w:type="pct"/>
            <w:tcBorders>
              <w:top w:val="single" w:sz="4" w:space="0" w:color="000000"/>
              <w:left w:val="single" w:sz="4" w:space="0" w:color="000000"/>
              <w:bottom w:val="single" w:sz="4" w:space="0" w:color="000000"/>
              <w:right w:val="single" w:sz="4" w:space="0" w:color="000000"/>
            </w:tcBorders>
            <w:vAlign w:val="center"/>
          </w:tcPr>
          <w:p w14:paraId="7D39A75B"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V 60 dneh po tem, ko EACEA prejme končno poročilo</w:t>
            </w:r>
          </w:p>
        </w:tc>
        <w:tc>
          <w:tcPr>
            <w:tcW w:w="387" w:type="pct"/>
            <w:tcBorders>
              <w:top w:val="single" w:sz="4" w:space="0" w:color="000000"/>
              <w:left w:val="single" w:sz="4" w:space="0" w:color="000000"/>
              <w:bottom w:val="single" w:sz="4" w:space="0" w:color="000000"/>
              <w:right w:val="single" w:sz="4" w:space="0" w:color="000000"/>
            </w:tcBorders>
            <w:vAlign w:val="center"/>
          </w:tcPr>
          <w:p w14:paraId="7D39A75C"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1.</w:t>
            </w:r>
          </w:p>
        </w:tc>
        <w:tc>
          <w:tcPr>
            <w:tcW w:w="458" w:type="pct"/>
            <w:tcBorders>
              <w:top w:val="single" w:sz="4" w:space="0" w:color="000000"/>
              <w:left w:val="single" w:sz="4" w:space="0" w:color="000000"/>
              <w:bottom w:val="single" w:sz="4" w:space="0" w:color="000000"/>
              <w:right w:val="single" w:sz="4" w:space="0" w:color="000000"/>
            </w:tcBorders>
            <w:vAlign w:val="center"/>
          </w:tcPr>
          <w:p w14:paraId="7D39A75D"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Da</w:t>
            </w:r>
          </w:p>
        </w:tc>
        <w:tc>
          <w:tcPr>
            <w:tcW w:w="794" w:type="pct"/>
            <w:tcBorders>
              <w:top w:val="single" w:sz="4" w:space="0" w:color="000000"/>
              <w:left w:val="single" w:sz="4" w:space="0" w:color="000000"/>
              <w:bottom w:val="single" w:sz="4" w:space="0" w:color="000000"/>
              <w:right w:val="single" w:sz="4" w:space="0" w:color="000000"/>
            </w:tcBorders>
            <w:vAlign w:val="center"/>
          </w:tcPr>
          <w:p w14:paraId="7D39A75E"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Pred. fin.: 70 % Razlika:30 %</w:t>
            </w:r>
          </w:p>
        </w:tc>
      </w:tr>
      <w:tr w:rsidR="00E03711" w:rsidRPr="008C6F8C" w14:paraId="7D39A767" w14:textId="77777777" w:rsidTr="00073E87">
        <w:trPr>
          <w:trHeight w:val="20"/>
        </w:trPr>
        <w:tc>
          <w:tcPr>
            <w:tcW w:w="938" w:type="pct"/>
            <w:tcBorders>
              <w:top w:val="single" w:sz="4" w:space="0" w:color="000000"/>
              <w:left w:val="single" w:sz="4" w:space="0" w:color="000000"/>
              <w:bottom w:val="single" w:sz="4" w:space="0" w:color="000000"/>
              <w:right w:val="single" w:sz="4" w:space="0" w:color="000000"/>
            </w:tcBorders>
            <w:vAlign w:val="center"/>
          </w:tcPr>
          <w:p w14:paraId="7D39A760" w14:textId="77777777" w:rsidR="00E03711" w:rsidRPr="00F769E0" w:rsidRDefault="00E03711" w:rsidP="00115134">
            <w:pPr>
              <w:pStyle w:val="GUIDE-NORMAL"/>
              <w:spacing w:before="60" w:after="60"/>
              <w:jc w:val="left"/>
              <w:rPr>
                <w:rFonts w:cs="Tahoma"/>
                <w:b/>
                <w:lang w:val="sl-SI" w:eastAsia="en-GB"/>
              </w:rPr>
            </w:pPr>
            <w:r w:rsidRPr="00F769E0">
              <w:rPr>
                <w:rFonts w:cs="Tahoma"/>
                <w:b/>
                <w:lang w:val="sl-SI" w:eastAsia="en-GB"/>
              </w:rPr>
              <w:t>Šport – Partnerska sodelovanja</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61"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5 mesece </w:t>
            </w:r>
            <w:r w:rsidRPr="00F769E0">
              <w:rPr>
                <w:rFonts w:cs="Tahoma"/>
                <w:lang w:val="sl-SI" w:eastAsia="en-GB"/>
              </w:rPr>
              <w:br/>
              <w:t>od roka za oddajo</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62"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6 mesece </w:t>
            </w:r>
            <w:r w:rsidRPr="00F769E0">
              <w:rPr>
                <w:rFonts w:cs="Tahoma"/>
                <w:lang w:val="sl-SI" w:eastAsia="en-GB"/>
              </w:rPr>
              <w:br/>
              <w:t>od roka za oddajo</w:t>
            </w:r>
          </w:p>
        </w:tc>
        <w:tc>
          <w:tcPr>
            <w:tcW w:w="1016" w:type="pct"/>
            <w:tcBorders>
              <w:top w:val="single" w:sz="4" w:space="0" w:color="000000"/>
              <w:left w:val="single" w:sz="4" w:space="0" w:color="000000"/>
              <w:bottom w:val="single" w:sz="4" w:space="0" w:color="000000"/>
              <w:right w:val="single" w:sz="4" w:space="0" w:color="000000"/>
            </w:tcBorders>
            <w:vAlign w:val="center"/>
          </w:tcPr>
          <w:p w14:paraId="7D39A763"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V 60 dneh po tem, ko EACEA prejme končno poročilo</w:t>
            </w:r>
          </w:p>
        </w:tc>
        <w:tc>
          <w:tcPr>
            <w:tcW w:w="387" w:type="pct"/>
            <w:tcBorders>
              <w:top w:val="single" w:sz="4" w:space="0" w:color="000000"/>
              <w:left w:val="single" w:sz="4" w:space="0" w:color="000000"/>
              <w:bottom w:val="single" w:sz="4" w:space="0" w:color="000000"/>
              <w:right w:val="single" w:sz="4" w:space="0" w:color="000000"/>
            </w:tcBorders>
            <w:vAlign w:val="center"/>
          </w:tcPr>
          <w:p w14:paraId="7D39A764"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1.</w:t>
            </w:r>
          </w:p>
        </w:tc>
        <w:tc>
          <w:tcPr>
            <w:tcW w:w="458" w:type="pct"/>
            <w:tcBorders>
              <w:top w:val="single" w:sz="4" w:space="0" w:color="000000"/>
              <w:left w:val="single" w:sz="4" w:space="0" w:color="000000"/>
              <w:bottom w:val="single" w:sz="4" w:space="0" w:color="000000"/>
              <w:right w:val="single" w:sz="4" w:space="0" w:color="000000"/>
            </w:tcBorders>
            <w:vAlign w:val="center"/>
          </w:tcPr>
          <w:p w14:paraId="7D39A765"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Ne</w:t>
            </w:r>
          </w:p>
        </w:tc>
        <w:tc>
          <w:tcPr>
            <w:tcW w:w="794" w:type="pct"/>
            <w:tcBorders>
              <w:top w:val="single" w:sz="4" w:space="0" w:color="000000"/>
              <w:left w:val="single" w:sz="4" w:space="0" w:color="000000"/>
              <w:bottom w:val="single" w:sz="4" w:space="0" w:color="000000"/>
              <w:right w:val="single" w:sz="4" w:space="0" w:color="000000"/>
            </w:tcBorders>
            <w:vAlign w:val="center"/>
          </w:tcPr>
          <w:p w14:paraId="7D39A766"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Pred. fin.: 70 % Razlika:30 %</w:t>
            </w:r>
          </w:p>
        </w:tc>
      </w:tr>
      <w:tr w:rsidR="00E03711" w:rsidRPr="008C6F8C" w14:paraId="7D39A76F" w14:textId="77777777" w:rsidTr="00073E87">
        <w:trPr>
          <w:trHeight w:val="20"/>
        </w:trPr>
        <w:tc>
          <w:tcPr>
            <w:tcW w:w="938" w:type="pct"/>
            <w:tcBorders>
              <w:top w:val="single" w:sz="4" w:space="0" w:color="000000"/>
              <w:left w:val="single" w:sz="4" w:space="0" w:color="000000"/>
              <w:bottom w:val="single" w:sz="4" w:space="0" w:color="000000"/>
              <w:right w:val="single" w:sz="4" w:space="0" w:color="000000"/>
            </w:tcBorders>
            <w:vAlign w:val="center"/>
          </w:tcPr>
          <w:p w14:paraId="7D39A768" w14:textId="77777777" w:rsidR="00E03711" w:rsidRPr="00F769E0" w:rsidRDefault="00E03711" w:rsidP="00115134">
            <w:pPr>
              <w:pStyle w:val="GUIDE-NORMAL"/>
              <w:spacing w:before="60" w:after="60"/>
              <w:jc w:val="left"/>
              <w:rPr>
                <w:rFonts w:cs="Tahoma"/>
                <w:b/>
                <w:lang w:val="sl-SI" w:eastAsia="en-GB"/>
              </w:rPr>
            </w:pPr>
            <w:r w:rsidRPr="00F769E0">
              <w:rPr>
                <w:rFonts w:cs="Tahoma"/>
                <w:b/>
                <w:lang w:val="sl-SI" w:eastAsia="en-GB"/>
              </w:rPr>
              <w:t>Šport – Partnerska sodelovanja manjšega obsega</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69"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5 mesece </w:t>
            </w:r>
            <w:r w:rsidRPr="00F769E0">
              <w:rPr>
                <w:rFonts w:cs="Tahoma"/>
                <w:lang w:val="sl-SI" w:eastAsia="en-GB"/>
              </w:rPr>
              <w:br/>
              <w:t>od roka za oddajo</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6A"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6 mesece </w:t>
            </w:r>
            <w:r w:rsidRPr="00F769E0">
              <w:rPr>
                <w:rFonts w:cs="Tahoma"/>
                <w:lang w:val="sl-SI" w:eastAsia="en-GB"/>
              </w:rPr>
              <w:br/>
              <w:t>od roka za oddajo</w:t>
            </w:r>
          </w:p>
        </w:tc>
        <w:tc>
          <w:tcPr>
            <w:tcW w:w="1016" w:type="pct"/>
            <w:tcBorders>
              <w:top w:val="single" w:sz="4" w:space="0" w:color="000000"/>
              <w:left w:val="single" w:sz="4" w:space="0" w:color="000000"/>
              <w:bottom w:val="single" w:sz="4" w:space="0" w:color="000000"/>
              <w:right w:val="single" w:sz="4" w:space="0" w:color="000000"/>
            </w:tcBorders>
            <w:vAlign w:val="center"/>
          </w:tcPr>
          <w:p w14:paraId="7D39A76B"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V 60 dneh po tem, ko EACEA prejme končno poročilo</w:t>
            </w:r>
          </w:p>
        </w:tc>
        <w:tc>
          <w:tcPr>
            <w:tcW w:w="387" w:type="pct"/>
            <w:tcBorders>
              <w:top w:val="single" w:sz="4" w:space="0" w:color="000000"/>
              <w:left w:val="single" w:sz="4" w:space="0" w:color="000000"/>
              <w:bottom w:val="single" w:sz="4" w:space="0" w:color="000000"/>
              <w:right w:val="single" w:sz="4" w:space="0" w:color="000000"/>
            </w:tcBorders>
            <w:vAlign w:val="center"/>
          </w:tcPr>
          <w:p w14:paraId="7D39A76C"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1</w:t>
            </w:r>
          </w:p>
        </w:tc>
        <w:tc>
          <w:tcPr>
            <w:tcW w:w="458" w:type="pct"/>
            <w:tcBorders>
              <w:top w:val="single" w:sz="4" w:space="0" w:color="000000"/>
              <w:left w:val="single" w:sz="4" w:space="0" w:color="000000"/>
              <w:bottom w:val="single" w:sz="4" w:space="0" w:color="000000"/>
              <w:right w:val="single" w:sz="4" w:space="0" w:color="000000"/>
            </w:tcBorders>
            <w:vAlign w:val="center"/>
          </w:tcPr>
          <w:p w14:paraId="7D39A76D"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Ne</w:t>
            </w:r>
          </w:p>
        </w:tc>
        <w:tc>
          <w:tcPr>
            <w:tcW w:w="794" w:type="pct"/>
            <w:tcBorders>
              <w:top w:val="single" w:sz="4" w:space="0" w:color="000000"/>
              <w:left w:val="single" w:sz="4" w:space="0" w:color="000000"/>
              <w:bottom w:val="single" w:sz="4" w:space="0" w:color="000000"/>
              <w:right w:val="single" w:sz="4" w:space="0" w:color="000000"/>
            </w:tcBorders>
            <w:vAlign w:val="center"/>
          </w:tcPr>
          <w:p w14:paraId="7D39A76E"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Pred. fin.: 70 % Razlika:30 %</w:t>
            </w:r>
          </w:p>
        </w:tc>
      </w:tr>
      <w:tr w:rsidR="00E03711" w:rsidRPr="008C6F8C" w14:paraId="7D39A778" w14:textId="77777777" w:rsidTr="00073E87">
        <w:trPr>
          <w:trHeight w:val="20"/>
        </w:trPr>
        <w:tc>
          <w:tcPr>
            <w:tcW w:w="938" w:type="pct"/>
            <w:tcBorders>
              <w:top w:val="single" w:sz="4" w:space="0" w:color="000000"/>
              <w:left w:val="single" w:sz="4" w:space="0" w:color="000000"/>
              <w:bottom w:val="single" w:sz="4" w:space="0" w:color="000000"/>
              <w:right w:val="single" w:sz="4" w:space="0" w:color="000000"/>
            </w:tcBorders>
            <w:vAlign w:val="center"/>
          </w:tcPr>
          <w:p w14:paraId="7D39A770" w14:textId="77777777" w:rsidR="00E03711" w:rsidRPr="00F769E0" w:rsidRDefault="00E03711" w:rsidP="00115134">
            <w:pPr>
              <w:pStyle w:val="GUIDE-NORMAL"/>
              <w:spacing w:before="60" w:after="60"/>
              <w:jc w:val="left"/>
              <w:rPr>
                <w:rFonts w:cs="Tahoma"/>
                <w:b/>
                <w:lang w:val="sl-SI" w:eastAsia="en-GB"/>
              </w:rPr>
            </w:pPr>
            <w:r w:rsidRPr="00F769E0">
              <w:rPr>
                <w:rFonts w:cs="Tahoma"/>
                <w:b/>
                <w:lang w:val="sl-SI" w:eastAsia="en-GB"/>
              </w:rPr>
              <w:t>Šport – Neprofitne evropske športne prireditve</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71"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5 mesece </w:t>
            </w:r>
            <w:r w:rsidRPr="00F769E0">
              <w:rPr>
                <w:rFonts w:cs="Tahoma"/>
                <w:lang w:val="sl-SI" w:eastAsia="en-GB"/>
              </w:rPr>
              <w:br/>
              <w:t>od roka za oddajo</w:t>
            </w:r>
          </w:p>
        </w:tc>
        <w:tc>
          <w:tcPr>
            <w:tcW w:w="703" w:type="pct"/>
            <w:tcBorders>
              <w:top w:val="single" w:sz="4" w:space="0" w:color="000000"/>
              <w:left w:val="single" w:sz="4" w:space="0" w:color="000000"/>
              <w:bottom w:val="single" w:sz="4" w:space="0" w:color="000000"/>
              <w:right w:val="single" w:sz="4" w:space="0" w:color="000000"/>
            </w:tcBorders>
            <w:vAlign w:val="center"/>
          </w:tcPr>
          <w:p w14:paraId="7D39A772"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 xml:space="preserve">6 mesece </w:t>
            </w:r>
            <w:r w:rsidRPr="00F769E0">
              <w:rPr>
                <w:rFonts w:cs="Tahoma"/>
                <w:lang w:val="sl-SI" w:eastAsia="en-GB"/>
              </w:rPr>
              <w:br/>
              <w:t>od roka za oddajo</w:t>
            </w:r>
          </w:p>
        </w:tc>
        <w:tc>
          <w:tcPr>
            <w:tcW w:w="1016" w:type="pct"/>
            <w:tcBorders>
              <w:top w:val="single" w:sz="4" w:space="0" w:color="000000"/>
              <w:left w:val="single" w:sz="4" w:space="0" w:color="000000"/>
              <w:bottom w:val="single" w:sz="4" w:space="0" w:color="000000"/>
              <w:right w:val="single" w:sz="4" w:space="0" w:color="000000"/>
            </w:tcBorders>
            <w:vAlign w:val="center"/>
          </w:tcPr>
          <w:p w14:paraId="7D39A773"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V 60 dneh po tem, ko EACEA prejme končno poročilo</w:t>
            </w:r>
          </w:p>
        </w:tc>
        <w:tc>
          <w:tcPr>
            <w:tcW w:w="387" w:type="pct"/>
            <w:tcBorders>
              <w:top w:val="single" w:sz="4" w:space="0" w:color="000000"/>
              <w:left w:val="single" w:sz="4" w:space="0" w:color="000000"/>
              <w:bottom w:val="single" w:sz="4" w:space="0" w:color="000000"/>
              <w:right w:val="single" w:sz="4" w:space="0" w:color="000000"/>
            </w:tcBorders>
            <w:vAlign w:val="center"/>
          </w:tcPr>
          <w:p w14:paraId="7D39A774"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1.</w:t>
            </w:r>
          </w:p>
        </w:tc>
        <w:tc>
          <w:tcPr>
            <w:tcW w:w="458" w:type="pct"/>
            <w:tcBorders>
              <w:top w:val="single" w:sz="4" w:space="0" w:color="000000"/>
              <w:left w:val="single" w:sz="4" w:space="0" w:color="000000"/>
              <w:bottom w:val="single" w:sz="4" w:space="0" w:color="000000"/>
              <w:right w:val="single" w:sz="4" w:space="0" w:color="000000"/>
            </w:tcBorders>
            <w:vAlign w:val="center"/>
          </w:tcPr>
          <w:p w14:paraId="7D39A775" w14:textId="77777777" w:rsidR="00E03711" w:rsidRPr="00F769E0" w:rsidRDefault="00E03711" w:rsidP="00115134">
            <w:pPr>
              <w:pStyle w:val="GUIDE-NORMAL"/>
              <w:spacing w:before="60" w:after="60"/>
              <w:jc w:val="center"/>
              <w:rPr>
                <w:rFonts w:cs="Tahoma"/>
                <w:lang w:val="sl-SI" w:eastAsia="en-GB"/>
              </w:rPr>
            </w:pPr>
            <w:r w:rsidRPr="00F769E0">
              <w:rPr>
                <w:rFonts w:cs="Tahoma"/>
                <w:lang w:val="sl-SI" w:eastAsia="en-GB"/>
              </w:rPr>
              <w:t>Ne</w:t>
            </w:r>
          </w:p>
        </w:tc>
        <w:tc>
          <w:tcPr>
            <w:tcW w:w="794" w:type="pct"/>
            <w:tcBorders>
              <w:top w:val="single" w:sz="4" w:space="0" w:color="000000"/>
              <w:left w:val="single" w:sz="4" w:space="0" w:color="000000"/>
              <w:bottom w:val="single" w:sz="4" w:space="0" w:color="000000"/>
              <w:right w:val="single" w:sz="4" w:space="0" w:color="000000"/>
            </w:tcBorders>
            <w:vAlign w:val="center"/>
          </w:tcPr>
          <w:p w14:paraId="7D39A776"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Pred. fin.: 70 %</w:t>
            </w:r>
          </w:p>
          <w:p w14:paraId="7D39A777" w14:textId="77777777" w:rsidR="00E03711" w:rsidRPr="00F769E0" w:rsidRDefault="00E03711" w:rsidP="00115134">
            <w:pPr>
              <w:pStyle w:val="GUIDE-NORMAL"/>
              <w:spacing w:before="60" w:after="60"/>
              <w:jc w:val="left"/>
              <w:rPr>
                <w:rFonts w:cs="Tahoma"/>
                <w:lang w:val="sl-SI" w:eastAsia="en-GB"/>
              </w:rPr>
            </w:pPr>
            <w:r w:rsidRPr="00F769E0">
              <w:rPr>
                <w:rFonts w:cs="Tahoma"/>
                <w:lang w:val="sl-SI" w:eastAsia="en-GB"/>
              </w:rPr>
              <w:t>Razlika:30 %</w:t>
            </w:r>
          </w:p>
        </w:tc>
      </w:tr>
    </w:tbl>
    <w:p w14:paraId="7D39A779" w14:textId="77777777" w:rsidR="00E03711" w:rsidRPr="001048FE" w:rsidRDefault="00E03711" w:rsidP="00A721F8">
      <w:pPr>
        <w:pStyle w:val="Guide-Table"/>
        <w:rPr>
          <w:lang w:val="sl-SI"/>
        </w:rPr>
      </w:pPr>
    </w:p>
    <w:p w14:paraId="7D39A77A" w14:textId="77777777" w:rsidR="00E03711" w:rsidRPr="001048FE" w:rsidRDefault="00E03711" w:rsidP="0062747A">
      <w:pPr>
        <w:pStyle w:val="GUIDE-NORMAL"/>
        <w:rPr>
          <w:lang w:val="sl-SI"/>
        </w:rPr>
      </w:pPr>
      <w:r w:rsidRPr="001048FE">
        <w:rPr>
          <w:lang w:val="sl-SI"/>
        </w:rPr>
        <w:t>Za strateška partnerstva v obliki partnerstev za izmenjavo med šolami in projekte na področju PIU v okviru ključnega ukrepa 1 ter odvisno od nacionalnega pravnega okvira in pravnega statusa organizacij, ki so vključene v projekt, lahko nacionalna agencija uporabi model 100-odstotnega predhodnega financiranja. Za projekte na področju PIU v okviru ključnega ukrepa 1 lahko nacionalna agencija uporabi model 100-odstotnega predhodnega financiranja samo, če je prijavitelj šola v skladu z nacionalno zakonodajo. Kadar se ta model ne uporablja, se bodo uporabili drugi modeli financiranja, ki veljajo za te ukrepe.</w:t>
      </w:r>
    </w:p>
    <w:p w14:paraId="7D39A77B" w14:textId="77777777" w:rsidR="00E03711" w:rsidRPr="001048FE" w:rsidRDefault="00E03711" w:rsidP="0062747A">
      <w:pPr>
        <w:pStyle w:val="GUIDE-NORMAL"/>
        <w:rPr>
          <w:lang w:val="sl-SI"/>
        </w:rPr>
      </w:pPr>
      <w:r w:rsidRPr="001048FE">
        <w:rPr>
          <w:lang w:val="sl-SI"/>
        </w:rPr>
        <w:t>Upoštevajte, da so okvirni datumi, ki so navedeni v zgornji razpredelnici, zgolj splošne narave in ne pomenijo pravne obveznosti za nacionalne agencije in Izvajalsko agencijo. Podobno velja za navedene načine plačila in treba je upoštevati, da se bodo na splošno uporabljali, vendar da se glede na posamezne okoliščine zadevne organizacije prijaviteljice ali konzorcija (npr. glede na finančno zmogljivost) lahko zagotovijo drugačne ureditve v sporazumu ali sklepu o nepovratnih sredstvih. V primeru pomanjkanja odobrenih sredstev EU za zadevno proračunsko leto se lahko plačila v okviru predhodnega financiranja nadalje zmanjšajo.</w:t>
      </w:r>
    </w:p>
    <w:p w14:paraId="7D39A77C" w14:textId="77777777" w:rsidR="00E03711" w:rsidRDefault="00E03711">
      <w:pPr>
        <w:widowControl/>
        <w:suppressAutoHyphens w:val="0"/>
        <w:autoSpaceDN/>
        <w:textAlignment w:val="auto"/>
        <w:rPr>
          <w:rFonts w:eastAsia="Times New Roman" w:cs="Times New Roman"/>
          <w:b/>
          <w:smallCaps/>
          <w:sz w:val="32"/>
          <w:szCs w:val="18"/>
          <w:lang w:val="sl-SI"/>
        </w:rPr>
      </w:pPr>
      <w:bookmarkStart w:id="507" w:name="Autres_dispositions_contractuelles_impor"/>
      <w:bookmarkStart w:id="508" w:name="_bookmark73"/>
      <w:bookmarkEnd w:id="507"/>
      <w:bookmarkEnd w:id="508"/>
      <w:r>
        <w:rPr>
          <w:lang w:val="sl-SI"/>
        </w:rPr>
        <w:br w:type="page"/>
      </w:r>
    </w:p>
    <w:p w14:paraId="7D39A77D" w14:textId="77777777" w:rsidR="00E03711" w:rsidRPr="001048FE" w:rsidRDefault="00E03711" w:rsidP="00E90D07">
      <w:pPr>
        <w:pStyle w:val="Guide-Heading2"/>
        <w:rPr>
          <w:lang w:val="sl-SI"/>
        </w:rPr>
        <w:sectPr w:rsidR="00E03711" w:rsidRPr="001048FE" w:rsidSect="00073E87">
          <w:endnotePr>
            <w:numFmt w:val="decimal"/>
          </w:endnotePr>
          <w:pgSz w:w="16840" w:h="11910" w:orient="landscape" w:code="9"/>
          <w:pgMar w:top="1418" w:right="1134" w:bottom="1418" w:left="1134" w:header="283" w:footer="567" w:gutter="0"/>
          <w:cols w:space="720"/>
          <w:docGrid w:linePitch="326"/>
        </w:sectPr>
      </w:pPr>
    </w:p>
    <w:p w14:paraId="7D39A77E" w14:textId="77777777" w:rsidR="00E03711" w:rsidRDefault="00E03711">
      <w:pPr>
        <w:pStyle w:val="Guide-Heading2"/>
        <w:rPr>
          <w:lang w:val="sl-SI"/>
        </w:rPr>
      </w:pPr>
      <w:bookmarkStart w:id="509" w:name="_Toc527400949"/>
      <w:bookmarkStart w:id="510" w:name="_Toc527401255"/>
      <w:r w:rsidRPr="001048FE">
        <w:rPr>
          <w:lang w:val="sl-SI"/>
        </w:rPr>
        <w:t>Druge pomembne pogodbene določbe</w:t>
      </w:r>
      <w:bookmarkEnd w:id="509"/>
      <w:bookmarkEnd w:id="510"/>
    </w:p>
    <w:p w14:paraId="7D39A77F" w14:textId="77777777" w:rsidR="00E03711" w:rsidRDefault="00E03711">
      <w:pPr>
        <w:pStyle w:val="Guide-Heading3"/>
        <w:rPr>
          <w:lang w:val="sl-SI"/>
        </w:rPr>
      </w:pPr>
      <w:bookmarkStart w:id="511" w:name="Garantie_financière"/>
      <w:bookmarkStart w:id="512" w:name="_Toc527400950"/>
      <w:bookmarkStart w:id="513" w:name="_Toc527401256"/>
      <w:bookmarkEnd w:id="511"/>
      <w:r w:rsidRPr="001048FE">
        <w:rPr>
          <w:lang w:val="sl-SI"/>
        </w:rPr>
        <w:t>Finančno jamstvo</w:t>
      </w:r>
      <w:bookmarkEnd w:id="512"/>
      <w:bookmarkEnd w:id="513"/>
    </w:p>
    <w:p w14:paraId="7D39A780" w14:textId="77777777" w:rsidR="00E03711" w:rsidRPr="001048FE" w:rsidRDefault="00E03711" w:rsidP="00C47209">
      <w:pPr>
        <w:pStyle w:val="GUIDE-NORMAL"/>
        <w:rPr>
          <w:lang w:val="sl-SI"/>
        </w:rPr>
      </w:pPr>
      <w:r w:rsidRPr="001048FE">
        <w:rPr>
          <w:lang w:val="sl-SI"/>
        </w:rPr>
        <w:t>Če se ugotovi, da finančna zmogljivost ni zadovoljiva, lahko nacionalna ali Izvajalska agencija zahteva od upravičenca, ki so mu bila dodeljena nepovratna sredstva, ki presegajo 60 000 EUR, da vnaprej predloži jamstvo za zmanjšanje finančnega tveganja, povezanega s predhodnim financiranjem. To jamstvo se lahko zahteva za plačila v okviru predhodnega financiranja do enake višine zneska.</w:t>
      </w:r>
    </w:p>
    <w:p w14:paraId="7D39A781" w14:textId="77777777" w:rsidR="00E03711" w:rsidRPr="001048FE" w:rsidRDefault="00E03711" w:rsidP="00C47209">
      <w:pPr>
        <w:pStyle w:val="GUIDE-NORMAL"/>
        <w:rPr>
          <w:lang w:val="sl-SI"/>
        </w:rPr>
      </w:pPr>
      <w:r w:rsidRPr="001048FE">
        <w:rPr>
          <w:lang w:val="sl-SI"/>
        </w:rPr>
        <w:t>Namen takega jamstva je, da banka ali finančna institucija zagotavlja nepreklicno kolateralno poroštvo za obveznosti upravičenca na podlagi sporazuma ali sklepa o nepovratnih sredstvih ali se zavezuje, da jih bo na prvi poziv poravnala.</w:t>
      </w:r>
    </w:p>
    <w:p w14:paraId="7D39A782" w14:textId="77777777" w:rsidR="00E03711" w:rsidRPr="001048FE" w:rsidRDefault="00E03711" w:rsidP="00C47209">
      <w:pPr>
        <w:pStyle w:val="GUIDE-NORMAL"/>
        <w:rPr>
          <w:lang w:val="sl-SI"/>
        </w:rPr>
      </w:pPr>
      <w:r w:rsidRPr="001048FE">
        <w:rPr>
          <w:lang w:val="sl-SI"/>
        </w:rPr>
        <w:t>To finančno jamstvo v evrih zagotovi odobrena banka ali finančna institucija s sedežem v državi članici EU. Če ima upravičenec sedež v državi, ki ni država EU, lahko nacionalna ali Izvajalska agencija pristane, da jamstvo zagotovi banka ali finančna institucija s sedežem v taki državi, če presodi, da banka ali finančna institucija zagotavlja enako finančno varnost in pogoje kot institucije v državah članicah EU.</w:t>
      </w:r>
    </w:p>
    <w:p w14:paraId="7D39A783" w14:textId="77777777" w:rsidR="00E03711" w:rsidRPr="001048FE" w:rsidRDefault="00E03711" w:rsidP="00C47209">
      <w:pPr>
        <w:pStyle w:val="GUIDE-NORMAL"/>
        <w:rPr>
          <w:lang w:val="sl-SI"/>
        </w:rPr>
      </w:pPr>
      <w:r w:rsidRPr="001048FE">
        <w:rPr>
          <w:lang w:val="sl-SI"/>
        </w:rPr>
        <w:t>To jamstvo lahko nadomesti skupno jamstvo tretje osebe ali več jamstev tretje osebe od sodelujočih organizacij, ki so podpisnice istega sporazuma o nepovratnih sredstvih.</w:t>
      </w:r>
    </w:p>
    <w:p w14:paraId="7D39A784" w14:textId="77777777" w:rsidR="00E03711" w:rsidRPr="001048FE" w:rsidRDefault="00E03711" w:rsidP="00C47209">
      <w:pPr>
        <w:pStyle w:val="GUIDE-NORMAL"/>
        <w:rPr>
          <w:lang w:val="sl-SI"/>
        </w:rPr>
      </w:pPr>
      <w:r w:rsidRPr="001048FE">
        <w:rPr>
          <w:lang w:val="sl-SI"/>
        </w:rPr>
        <w:t>Jamstvo se bo sprostilo, ko se bo predhodno financiranje sčasoma poračunalo z vmesnimi plačili ali plačili razlike upravičencu v skladu s pogoji iz sporazuma ali sklepa o nepovratnih sredstvih. Če bo razlika plačana s povračilom, se bo jamstvo sprostilo, ko bo upravičenec obveščen.</w:t>
      </w:r>
      <w:bookmarkStart w:id="514" w:name="_bookmark64"/>
      <w:bookmarkEnd w:id="514"/>
    </w:p>
    <w:p w14:paraId="7D39A785" w14:textId="77777777" w:rsidR="00E03711" w:rsidRDefault="00E03711">
      <w:pPr>
        <w:pStyle w:val="Guide-Heading3"/>
        <w:rPr>
          <w:lang w:val="sl-SI"/>
        </w:rPr>
      </w:pPr>
      <w:bookmarkStart w:id="515" w:name="_Toc527400951"/>
      <w:bookmarkStart w:id="516" w:name="_Toc527401257"/>
      <w:r w:rsidRPr="001048FE">
        <w:rPr>
          <w:lang w:val="sl-SI"/>
        </w:rPr>
        <w:t>Oddaja naročil podizvajalcem in dodelitev</w:t>
      </w:r>
      <w:bookmarkStart w:id="517" w:name="Oddaja_naročil_podizvajalcem_in_dodelite"/>
      <w:bookmarkEnd w:id="517"/>
      <w:r w:rsidRPr="001048FE">
        <w:rPr>
          <w:lang w:val="sl-SI"/>
        </w:rPr>
        <w:t xml:space="preserve"> pogodb o izvedbi javnih naročil</w:t>
      </w:r>
      <w:bookmarkEnd w:id="515"/>
      <w:bookmarkEnd w:id="516"/>
    </w:p>
    <w:p w14:paraId="7D39A786" w14:textId="77777777" w:rsidR="00E03711" w:rsidRPr="001048FE" w:rsidRDefault="00E03711" w:rsidP="00C47209">
      <w:pPr>
        <w:pStyle w:val="GUIDE-NORMAL"/>
        <w:rPr>
          <w:lang w:val="sl-SI"/>
        </w:rPr>
      </w:pPr>
      <w:r w:rsidRPr="001048FE">
        <w:rPr>
          <w:lang w:val="sl-SI"/>
        </w:rPr>
        <w:t>Upravičenec lahko odda naročila podizvajalcem za posebne tehnične storitve, ki zahtevajo specializirane spretnosti (v zvezi s področjem prava, računovodstva, davka, človeških virov, informacijske tehnologije itd.), ali pogodbe o izvedbi javnih naročil. Stroški, ki jih ima upravičenec s to vrsto storitev, se torej lahko štejejo kot upravičeni stroški, če izpolnjujejo vsa druga merila, navedena v sporazumu ali sklepu o nepovratnih sredstev.</w:t>
      </w:r>
    </w:p>
    <w:p w14:paraId="7D39A787" w14:textId="77777777" w:rsidR="00E03711" w:rsidRPr="001048FE" w:rsidRDefault="00E03711" w:rsidP="00C47209">
      <w:pPr>
        <w:pStyle w:val="GUIDE-NORMAL"/>
        <w:rPr>
          <w:lang w:val="sl-SI"/>
        </w:rPr>
      </w:pPr>
      <w:r w:rsidRPr="001048FE">
        <w:rPr>
          <w:lang w:val="sl-SI"/>
        </w:rPr>
        <w:t>Kadar izvajanje projekta zahteva sklepanje pogodb za blago, delo ali storitve (izvedbo javnega naročila), morajo upravičenci dodeliti pogodbo ekonomsko najugodnejši ponudbi, npr. ponudbi, ki ponuja najboljše razmerje med kakovostjo in ceno, ali po potrebi ponudbi z najnižjo ceno, ter pri tem zagotoviti, da ne pride do navzkrižja interesov in da se ohrani dokumentacija za primer revizije.</w:t>
      </w:r>
    </w:p>
    <w:p w14:paraId="7D39A788" w14:textId="77777777" w:rsidR="00E03711" w:rsidRPr="001048FE" w:rsidRDefault="00E03711" w:rsidP="00C47209">
      <w:pPr>
        <w:pStyle w:val="GUIDE-NORMAL"/>
        <w:rPr>
          <w:lang w:val="sl-SI"/>
        </w:rPr>
      </w:pPr>
      <w:r w:rsidRPr="001048FE">
        <w:rPr>
          <w:lang w:val="sl-SI"/>
        </w:rPr>
        <w:t>V primeru izvedbe javnega naročila, ki presega 60 000 EUR (ali 25 000 EUR za krepitev zmogljivosti na področju visokošolskega izobraževanja), lahko nacionalna ali Izvajalska agencija za naročnika poleg pravil, navedenih v prejšnjem odstavku, uvede dodatna posebna pravila. Ta posebna pravila bodo objavljena na spletiščih nacionalnih agencij in Izvajalske agencije.</w:t>
      </w:r>
      <w:bookmarkStart w:id="518" w:name="_bookmark65"/>
      <w:bookmarkEnd w:id="518"/>
    </w:p>
    <w:p w14:paraId="7D39A789" w14:textId="77777777" w:rsidR="00E03711" w:rsidRDefault="00E03711">
      <w:pPr>
        <w:pStyle w:val="Guide-Heading3"/>
        <w:rPr>
          <w:lang w:val="sl-SI"/>
        </w:rPr>
      </w:pPr>
      <w:bookmarkStart w:id="519" w:name="_Toc527400952"/>
      <w:bookmarkStart w:id="520" w:name="_Toc527401258"/>
      <w:r w:rsidRPr="001048FE">
        <w:rPr>
          <w:lang w:val="sl-SI"/>
        </w:rPr>
        <w:t>Informacije o dodeljenih nepovratnih</w:t>
      </w:r>
      <w:bookmarkStart w:id="521" w:name="Informacije_o_dodeljenih_nepovratnih_sre"/>
      <w:bookmarkEnd w:id="521"/>
      <w:r w:rsidRPr="001048FE">
        <w:rPr>
          <w:lang w:val="sl-SI"/>
        </w:rPr>
        <w:t xml:space="preserve"> sredstvih</w:t>
      </w:r>
      <w:bookmarkEnd w:id="519"/>
      <w:bookmarkEnd w:id="520"/>
    </w:p>
    <w:p w14:paraId="7D39A78A" w14:textId="77777777" w:rsidR="00E03711" w:rsidRPr="001048FE" w:rsidRDefault="00E03711" w:rsidP="00C47209">
      <w:pPr>
        <w:pStyle w:val="GUIDE-NORMAL"/>
        <w:rPr>
          <w:lang w:val="sl-SI"/>
        </w:rPr>
      </w:pPr>
      <w:r w:rsidRPr="001048FE">
        <w:rPr>
          <w:lang w:val="sl-SI"/>
        </w:rPr>
        <w:t>V skladu z načelom preglednosti in zahtevo po naknadnem obveščanju javnosti morajo biti informacije o prejemnikih sredstev EU objavljene na spletišču Komisije, Izvajalske agencije in/ali nacionalnih agencij v prvi polovici leta po zaključku poslovnega leta, za katerega so bila sredstva dodeljena.</w:t>
      </w:r>
    </w:p>
    <w:p w14:paraId="7D39A78B" w14:textId="77777777" w:rsidR="00E03711" w:rsidRPr="001048FE" w:rsidRDefault="00E03711" w:rsidP="00C47209">
      <w:pPr>
        <w:pStyle w:val="GUIDE-NORMAL"/>
        <w:rPr>
          <w:lang w:val="sl-SI"/>
        </w:rPr>
      </w:pPr>
      <w:r w:rsidRPr="001048FE">
        <w:rPr>
          <w:lang w:val="sl-SI"/>
        </w:rPr>
        <w:t>Podatki se lahko objavijo tudi s katerim koli drugim ustreznim sredstvom obveščanja, vključno z Uradnim listom Evropske unije.</w:t>
      </w:r>
    </w:p>
    <w:p w14:paraId="7D39A78C" w14:textId="77777777" w:rsidR="00E03711" w:rsidRPr="001048FE" w:rsidRDefault="00E03711" w:rsidP="00C47209">
      <w:pPr>
        <w:pStyle w:val="GUIDE-NORMAL"/>
        <w:rPr>
          <w:lang w:val="sl-SI"/>
        </w:rPr>
      </w:pPr>
      <w:r w:rsidRPr="001048FE">
        <w:rPr>
          <w:lang w:val="sl-SI"/>
        </w:rPr>
        <w:t xml:space="preserve">Nacionalne agencije in Izvajalska agencija bodo objavile naslednje informacije: </w:t>
      </w:r>
    </w:p>
    <w:p w14:paraId="7D39A78D" w14:textId="77777777" w:rsidR="00E03711" w:rsidRPr="001048FE" w:rsidRDefault="00E03711" w:rsidP="005115F2">
      <w:pPr>
        <w:pStyle w:val="Guide-NormalBulletpoints"/>
        <w:numPr>
          <w:ilvl w:val="0"/>
          <w:numId w:val="392"/>
        </w:numPr>
        <w:rPr>
          <w:lang w:val="sl-SI"/>
        </w:rPr>
      </w:pPr>
      <w:r w:rsidRPr="001048FE">
        <w:rPr>
          <w:lang w:val="sl-SI"/>
        </w:rPr>
        <w:t>ime in naslov upravičenca;</w:t>
      </w:r>
    </w:p>
    <w:p w14:paraId="7D39A78E" w14:textId="77777777" w:rsidR="00E03711" w:rsidRPr="001048FE" w:rsidRDefault="00E03711" w:rsidP="005115F2">
      <w:pPr>
        <w:pStyle w:val="Guide-NormalBulletpoints"/>
        <w:numPr>
          <w:ilvl w:val="0"/>
          <w:numId w:val="392"/>
        </w:numPr>
        <w:rPr>
          <w:lang w:val="sl-SI"/>
        </w:rPr>
      </w:pPr>
      <w:r w:rsidRPr="001048FE">
        <w:rPr>
          <w:lang w:val="sl-SI"/>
        </w:rPr>
        <w:t xml:space="preserve">znesek dodeljenih nepovratnih sredstev; </w:t>
      </w:r>
    </w:p>
    <w:p w14:paraId="7D39A78F" w14:textId="77777777" w:rsidR="00E03711" w:rsidRPr="001048FE" w:rsidRDefault="00E03711" w:rsidP="005115F2">
      <w:pPr>
        <w:pStyle w:val="Guide-NormalBulletpoints"/>
        <w:numPr>
          <w:ilvl w:val="0"/>
          <w:numId w:val="392"/>
        </w:numPr>
        <w:rPr>
          <w:lang w:val="sl-SI"/>
        </w:rPr>
      </w:pPr>
      <w:r w:rsidRPr="001048FE">
        <w:rPr>
          <w:lang w:val="sl-SI"/>
        </w:rPr>
        <w:t>narava in namen dodelitve.</w:t>
      </w:r>
    </w:p>
    <w:p w14:paraId="7D39A790" w14:textId="77777777" w:rsidR="00E03711" w:rsidRPr="001048FE" w:rsidRDefault="00E03711" w:rsidP="00C47209">
      <w:pPr>
        <w:pStyle w:val="GUIDE-NORMAL"/>
        <w:rPr>
          <w:lang w:val="sl-SI"/>
        </w:rPr>
      </w:pPr>
      <w:r w:rsidRPr="001048FE">
        <w:rPr>
          <w:lang w:val="sl-SI"/>
        </w:rPr>
        <w:t>Na utemeljeno in ustrezno podprto prošnjo upravičenca se objava opusti, če bi razkritje teh informacij lahko ogrozilo pravice in svoboščine zadevnih posameznikov, ki jih ščiti Listina Evropske unije o temeljnih pravicah, ali škodilo poslovnim interesom upravičencev.</w:t>
      </w:r>
    </w:p>
    <w:p w14:paraId="7D39A791" w14:textId="77777777" w:rsidR="00E03711" w:rsidRPr="001048FE" w:rsidRDefault="00E03711" w:rsidP="00C47209">
      <w:pPr>
        <w:pStyle w:val="GUIDE-NORMAL"/>
        <w:rPr>
          <w:lang w:val="sl-SI"/>
        </w:rPr>
      </w:pPr>
      <w:r w:rsidRPr="001048FE">
        <w:rPr>
          <w:lang w:val="sl-SI"/>
        </w:rPr>
        <w:t>V zvezi z osebnimi podatki fizičnih oseb se objavljene informacije odstranijo dve leti po koncu poslovnega leta, za katerega so bila dodeljena sredstva.</w:t>
      </w:r>
    </w:p>
    <w:p w14:paraId="7D39A792" w14:textId="77777777" w:rsidR="00E03711" w:rsidRPr="001048FE" w:rsidRDefault="00E03711" w:rsidP="00C47209">
      <w:pPr>
        <w:pStyle w:val="GUIDE-NORMAL"/>
        <w:rPr>
          <w:lang w:val="sl-SI"/>
        </w:rPr>
      </w:pPr>
      <w:r w:rsidRPr="001048FE">
        <w:rPr>
          <w:lang w:val="sl-SI"/>
        </w:rPr>
        <w:t>Enako velja za osebne podatke, navedene v uradnih nazivih pravnih oseb (npr. združenje ali podjetje, ki ima v nazivu imena ustanoviteljev).</w:t>
      </w:r>
    </w:p>
    <w:p w14:paraId="7D39A793" w14:textId="77777777" w:rsidR="00E03711" w:rsidRPr="001048FE" w:rsidRDefault="00E03711" w:rsidP="00C47209">
      <w:pPr>
        <w:pStyle w:val="GUIDE-NORMAL"/>
        <w:rPr>
          <w:lang w:val="sl-SI"/>
        </w:rPr>
      </w:pPr>
      <w:r w:rsidRPr="001048FE">
        <w:rPr>
          <w:lang w:val="sl-SI"/>
        </w:rPr>
        <w:t>Te informacije ne bodo objavljene za štipendije, ki se plačajo fizičnim osebam, in drugo neposredno podporo, izplačano najbolj pomoči potrebnim fizičnim osebam (begunci in brezposelne osebe).</w:t>
      </w:r>
    </w:p>
    <w:p w14:paraId="7D39A794" w14:textId="77777777" w:rsidR="00E03711" w:rsidRPr="001048FE" w:rsidRDefault="00E03711" w:rsidP="00C47209">
      <w:pPr>
        <w:pStyle w:val="GUIDE-NORMAL"/>
        <w:rPr>
          <w:lang w:val="sl-SI"/>
        </w:rPr>
      </w:pPr>
      <w:r w:rsidRPr="001048FE">
        <w:rPr>
          <w:lang w:val="sl-SI"/>
        </w:rPr>
        <w:t>Organizacije upravičenke tudi niso pooblaščene za objavo teh vrst informacij v zvezi z osebami, ki prejmejo nepovratna sredstva za mobilnost v okviru programa Erasmus+.</w:t>
      </w:r>
      <w:bookmarkStart w:id="522" w:name="Obveščanje_javnosti"/>
      <w:bookmarkStart w:id="523" w:name="_bookmark66"/>
      <w:bookmarkEnd w:id="522"/>
      <w:bookmarkEnd w:id="523"/>
    </w:p>
    <w:p w14:paraId="7D39A795" w14:textId="77777777" w:rsidR="00E03711" w:rsidRDefault="00E03711">
      <w:pPr>
        <w:pStyle w:val="Guide-Heading3"/>
        <w:rPr>
          <w:lang w:val="sl-SI"/>
        </w:rPr>
      </w:pPr>
      <w:bookmarkStart w:id="524" w:name="_Toc527400953"/>
      <w:bookmarkStart w:id="525" w:name="_Toc527401259"/>
      <w:r w:rsidRPr="001048FE">
        <w:rPr>
          <w:lang w:val="sl-SI"/>
        </w:rPr>
        <w:t>Obveščanje javnosti</w:t>
      </w:r>
      <w:bookmarkEnd w:id="524"/>
      <w:bookmarkEnd w:id="525"/>
    </w:p>
    <w:p w14:paraId="7D39A796" w14:textId="77777777" w:rsidR="00E03711" w:rsidRPr="001048FE" w:rsidRDefault="00E03711" w:rsidP="00C47209">
      <w:pPr>
        <w:pStyle w:val="GUIDE-NORMAL"/>
        <w:rPr>
          <w:lang w:val="sl-SI"/>
        </w:rPr>
      </w:pPr>
      <w:r w:rsidRPr="001048FE">
        <w:rPr>
          <w:lang w:val="sl-SI"/>
        </w:rPr>
        <w:t>Poleg zahtev v zvezi s prepoznavnostjo projekta ter razširjanjem in uporabo njegovih rezultatov (kar so merila za dodelitev) mora vsak odobreni projekt izpolniti obveznost glede minimalnega obveščanja javnosti.</w:t>
      </w:r>
    </w:p>
    <w:p w14:paraId="7D39A797" w14:textId="77777777" w:rsidR="00E03711" w:rsidRPr="001048FE" w:rsidRDefault="00E03711" w:rsidP="00C47209">
      <w:pPr>
        <w:pStyle w:val="GUIDE-NORMAL"/>
        <w:rPr>
          <w:lang w:val="sl-SI"/>
        </w:rPr>
      </w:pPr>
      <w:r w:rsidRPr="001048FE">
        <w:rPr>
          <w:lang w:val="sl-SI"/>
        </w:rPr>
        <w:t>Upravičenci morajo jasno navesti podporo Evropske unije v vseh obvestilih ali publikacijah, ne glede na vrsto ali sredstvo obveščanja, vključno z internetom, ter pri izvajanju vseh aktivnosti, za katere se uporabljajo nepovratna sredstva.</w:t>
      </w:r>
    </w:p>
    <w:p w14:paraId="7D39A798" w14:textId="77777777" w:rsidR="00E03711" w:rsidRPr="001048FE" w:rsidRDefault="00E03711" w:rsidP="00C47209">
      <w:pPr>
        <w:pStyle w:val="GUIDE-NORMAL"/>
        <w:rPr>
          <w:lang w:val="sl-SI"/>
        </w:rPr>
      </w:pPr>
      <w:r w:rsidRPr="001048FE">
        <w:rPr>
          <w:lang w:val="sl-SI"/>
        </w:rPr>
        <w:t>To je treba storiti v skladu z določbami, ki so zajete v sporazum ali sklep o nepovratnih sredstvih. Če se te določbe ne upoštevajo v celoti, se lahko zmanjšajo nepovratna sredstva upravičenca.</w:t>
      </w:r>
    </w:p>
    <w:p w14:paraId="7D39A799" w14:textId="77777777" w:rsidR="00E03711" w:rsidRPr="001048FE" w:rsidRDefault="00E03711" w:rsidP="00C47209">
      <w:pPr>
        <w:pStyle w:val="GUIDE-NORMAL"/>
        <w:rPr>
          <w:lang w:val="sl-SI"/>
        </w:rPr>
      </w:pPr>
      <w:r w:rsidRPr="001048FE">
        <w:rPr>
          <w:lang w:val="sl-SI"/>
        </w:rPr>
        <w:t>Za nadaljnje zahteve v zvezi s prepoznavnostjo projekta glej smernice za razširjanje za upravičence v Prilogi II k temu vodniku.</w:t>
      </w:r>
      <w:bookmarkStart w:id="526" w:name="Preverjanja_in_revizije"/>
      <w:bookmarkStart w:id="527" w:name="_bookmark67"/>
      <w:bookmarkEnd w:id="526"/>
      <w:bookmarkEnd w:id="527"/>
    </w:p>
    <w:p w14:paraId="7D39A79A" w14:textId="77777777" w:rsidR="00E03711" w:rsidRDefault="00E03711">
      <w:pPr>
        <w:pStyle w:val="Guide-Heading3"/>
        <w:rPr>
          <w:lang w:val="sl-SI"/>
        </w:rPr>
      </w:pPr>
      <w:bookmarkStart w:id="528" w:name="_Toc527400954"/>
      <w:bookmarkStart w:id="529" w:name="_Toc527401260"/>
      <w:r w:rsidRPr="001048FE">
        <w:rPr>
          <w:lang w:val="sl-SI"/>
        </w:rPr>
        <w:t>Preverjanja in revizije</w:t>
      </w:r>
      <w:bookmarkEnd w:id="528"/>
      <w:bookmarkEnd w:id="529"/>
    </w:p>
    <w:p w14:paraId="7D39A79B" w14:textId="77777777" w:rsidR="00E03711" w:rsidRPr="001048FE" w:rsidRDefault="00E03711" w:rsidP="00C47209">
      <w:pPr>
        <w:pStyle w:val="GUIDE-NORMAL"/>
        <w:rPr>
          <w:lang w:val="sl-SI"/>
        </w:rPr>
      </w:pPr>
      <w:r w:rsidRPr="001048FE">
        <w:rPr>
          <w:lang w:val="sl-SI"/>
        </w:rPr>
        <w:t>Nacionalna ali Izvajalska agencija in/ali Evropska komisija lahko izvede tehnična in finančna preverjanja ter revizije v zvezi z uporabo nepovratnih sredstev. Preveri lahko tudi zakonite dokumente upravičenca (ali soupravičenca) za namene rednega ocenjevanja stroškov na enoto, pavšalnih zneskov ali pavšalnega financiranja. Upravičenec (ali soupravičenec) se s podpisom svojega zakonitega zastopnika zaveže, da bo zagotovil dokaz o ustrezni uporabi nepovratnih sredstev. Evropska komisija, Izvajalska agencija, nacionalne agencije in/ali Računsko sodišče ali organ, ki ga te institucije pooblastijo, lahko preveri, kako so se uporabila nepovratna sredstva, kadar koli v petih letih, ali treh letih za nepovratna sredstva, ki ne presegajo 60 000 EUR, z začetkom od datuma plačila razlike ali izvedbe povračila, ki ga opravi nacionalna ali Izvajalska agencija. Upravičenci torej v tem obdobju hranijo evidence, izvirnike dokazil, statistične podatke in druge dokumente, povezane z nepovratnimi sredstvi.</w:t>
      </w:r>
    </w:p>
    <w:p w14:paraId="7D39A79C" w14:textId="77777777" w:rsidR="00E03711" w:rsidRPr="001048FE" w:rsidRDefault="00E03711" w:rsidP="00C47209">
      <w:pPr>
        <w:pStyle w:val="GUIDE-NORMAL"/>
        <w:rPr>
          <w:lang w:val="sl-SI"/>
        </w:rPr>
      </w:pPr>
      <w:r w:rsidRPr="001048FE">
        <w:rPr>
          <w:lang w:val="sl-SI"/>
        </w:rPr>
        <w:t>V primeru centraliziranih ukrepov, ki jih upravlja Izvajalska agencija, se lahko uporabijo različne vrste revizijskih postopkov glede na vrsto zadevnega ukrepa in višino dodeljenih nepovratnih sredstev (kadar je to ustrezno, se za nepovratna sredstva, ki presegajo 60 000 EUR in so nižja od 750 000 EUR, uporabi Vrsta revizije I; za nepovratna sredstva v znesku 750 000 EUR ali več pa Vrsta revizije II). Več informacij je na voljo na spletišču Izvajalske agencije.</w:t>
      </w:r>
    </w:p>
    <w:p w14:paraId="7D39A79D" w14:textId="77777777" w:rsidR="00E03711" w:rsidRPr="001048FE" w:rsidRDefault="00E03711" w:rsidP="00C47209">
      <w:pPr>
        <w:pStyle w:val="GUIDE-NORMAL"/>
        <w:rPr>
          <w:lang w:val="sl-SI"/>
        </w:rPr>
      </w:pPr>
      <w:r w:rsidRPr="001048FE">
        <w:rPr>
          <w:lang w:val="sl-SI"/>
        </w:rPr>
        <w:t>Določbe v zvezi s preverjanji in revizijami so podrobno opisane v sporazumu ali sklepu o nepovratnih sredstvih.</w:t>
      </w:r>
    </w:p>
    <w:p w14:paraId="7D39A79E" w14:textId="77777777" w:rsidR="00E03711" w:rsidRDefault="00E03711">
      <w:pPr>
        <w:pStyle w:val="Guide-Heading3"/>
        <w:rPr>
          <w:lang w:val="sl-SI"/>
        </w:rPr>
      </w:pPr>
      <w:bookmarkStart w:id="530" w:name="Varstvo_podatkov"/>
      <w:bookmarkStart w:id="531" w:name="_Toc527400955"/>
      <w:bookmarkStart w:id="532" w:name="_Toc527401261"/>
      <w:bookmarkEnd w:id="530"/>
      <w:r w:rsidRPr="001048FE">
        <w:rPr>
          <w:lang w:val="sl-SI"/>
        </w:rPr>
        <w:t>Varstvo podatkov</w:t>
      </w:r>
      <w:bookmarkEnd w:id="531"/>
      <w:bookmarkEnd w:id="532"/>
    </w:p>
    <w:p w14:paraId="7D39A79F" w14:textId="77777777" w:rsidR="00E03711" w:rsidRPr="001048FE" w:rsidRDefault="00E03711" w:rsidP="00C47209">
      <w:pPr>
        <w:pStyle w:val="GUIDE-NORMAL"/>
        <w:rPr>
          <w:lang w:val="sl-SI"/>
        </w:rPr>
      </w:pPr>
      <w:r w:rsidRPr="001048FE">
        <w:rPr>
          <w:lang w:val="sl-SI"/>
        </w:rPr>
        <w:t>Vse osebne podatke, vključene v prijavni obrazec ali sporazum/sklep o nepovratnih sredstvih, bo nacionalna ali Izvajalska agencija ali Evropska komisija obdelala v skladu z:</w:t>
      </w:r>
    </w:p>
    <w:p w14:paraId="7D39A7A0" w14:textId="77777777" w:rsidR="00E03711" w:rsidRPr="000B4501" w:rsidRDefault="00E03711" w:rsidP="00BC4B10">
      <w:pPr>
        <w:pStyle w:val="Guide-NormalBulletpoints"/>
        <w:rPr>
          <w:lang w:val="sl-SI"/>
        </w:rPr>
      </w:pPr>
      <w:r w:rsidRPr="001048FE">
        <w:rPr>
          <w:lang w:val="sl-SI"/>
        </w:rPr>
        <w:t xml:space="preserve">Uredbo </w:t>
      </w:r>
      <w:r>
        <w:rPr>
          <w:lang w:val="sl-SI"/>
        </w:rPr>
        <w:t xml:space="preserve">EU 2018/1725 </w:t>
      </w:r>
      <w:r w:rsidRPr="001048FE">
        <w:rPr>
          <w:lang w:val="sl-SI"/>
        </w:rPr>
        <w:t xml:space="preserve">Evropskega parlamenta in Sveta </w:t>
      </w:r>
      <w:r>
        <w:rPr>
          <w:lang w:val="sl-SI"/>
        </w:rPr>
        <w:t>z dne 23. oktobra 2018</w:t>
      </w:r>
      <w:r>
        <w:rPr>
          <w:rStyle w:val="FootnoteReference"/>
          <w:lang w:val="sl-SI"/>
        </w:rPr>
        <w:footnoteReference w:id="259"/>
      </w:r>
      <w:r>
        <w:rPr>
          <w:lang w:val="sl-SI"/>
        </w:rPr>
        <w:t xml:space="preserve"> </w:t>
      </w:r>
      <w:r w:rsidRPr="001048FE">
        <w:rPr>
          <w:lang w:val="sl-SI"/>
        </w:rPr>
        <w:t xml:space="preserve">o varstvu </w:t>
      </w:r>
      <w:r>
        <w:rPr>
          <w:lang w:val="sl-SI"/>
        </w:rPr>
        <w:t xml:space="preserve">fizičnih oseb </w:t>
      </w:r>
      <w:r w:rsidRPr="001048FE">
        <w:rPr>
          <w:lang w:val="sl-SI"/>
        </w:rPr>
        <w:t xml:space="preserve"> pri obdelavi osebnih podatkov v institucijah in organih</w:t>
      </w:r>
      <w:r>
        <w:rPr>
          <w:lang w:val="sl-SI"/>
        </w:rPr>
        <w:t>, uradov in agencij</w:t>
      </w:r>
      <w:r w:rsidRPr="001048FE">
        <w:rPr>
          <w:lang w:val="sl-SI"/>
        </w:rPr>
        <w:t xml:space="preserve"> </w:t>
      </w:r>
      <w:r>
        <w:rPr>
          <w:lang w:val="sl-SI"/>
        </w:rPr>
        <w:t>Unije</w:t>
      </w:r>
      <w:r w:rsidRPr="001048FE">
        <w:rPr>
          <w:lang w:val="sl-SI"/>
        </w:rPr>
        <w:t xml:space="preserve"> in o prostem pretoku takih podatkov</w:t>
      </w:r>
      <w:r>
        <w:rPr>
          <w:lang w:val="sl-SI"/>
        </w:rPr>
        <w:t xml:space="preserve">; </w:t>
      </w:r>
      <w:r>
        <w:rPr>
          <w:rFonts w:eastAsia="Calibri" w:cs="Calibri"/>
          <w:bdr w:val="nil"/>
          <w:lang w:val="sl-SI" w:eastAsia="zh-CN"/>
        </w:rPr>
        <w:t xml:space="preserve">razveljavlja </w:t>
      </w:r>
      <w:r w:rsidRPr="00FC4A70">
        <w:rPr>
          <w:rFonts w:eastAsia="Calibri" w:cs="Calibri"/>
          <w:bdr w:val="nil"/>
          <w:lang w:val="sl-SI" w:eastAsia="zh-CN"/>
        </w:rPr>
        <w:t>Uredb</w:t>
      </w:r>
      <w:r>
        <w:rPr>
          <w:rFonts w:eastAsia="Calibri" w:cs="Calibri"/>
          <w:bdr w:val="nil"/>
          <w:lang w:val="sl-SI" w:eastAsia="zh-CN"/>
        </w:rPr>
        <w:t>e</w:t>
      </w:r>
      <w:r w:rsidRPr="00FC4A70">
        <w:rPr>
          <w:rFonts w:eastAsia="Calibri" w:cs="Calibri"/>
          <w:bdr w:val="nil"/>
          <w:lang w:val="sl-SI" w:eastAsia="zh-CN"/>
        </w:rPr>
        <w:t xml:space="preserve"> (ES) št. 45/2001</w:t>
      </w:r>
      <w:r>
        <w:rPr>
          <w:rFonts w:eastAsia="Calibri" w:cs="Calibri"/>
          <w:bdr w:val="nil"/>
          <w:lang w:val="sl-SI" w:eastAsia="zh-CN"/>
        </w:rPr>
        <w:t xml:space="preserve"> in Sklep št. 1247/2002/ES (besedilo, relevantno za EGP)</w:t>
      </w:r>
      <w:r w:rsidRPr="000B4501">
        <w:rPr>
          <w:lang w:val="sl-SI"/>
        </w:rPr>
        <w:t xml:space="preserve">; </w:t>
      </w:r>
    </w:p>
    <w:p w14:paraId="7D39A7A1" w14:textId="77777777" w:rsidR="00E03711" w:rsidRPr="001048FE" w:rsidRDefault="00E03711" w:rsidP="00BC4B10">
      <w:pPr>
        <w:pStyle w:val="Guide-NormalBulletpoints"/>
        <w:rPr>
          <w:lang w:val="sl-SI"/>
        </w:rPr>
      </w:pPr>
      <w:r w:rsidRPr="00FC4A70">
        <w:rPr>
          <w:rFonts w:eastAsia="Calibri" w:cs="Calibri"/>
          <w:bdr w:val="nil"/>
          <w:lang w:val="sl-SI"/>
        </w:rPr>
        <w:t xml:space="preserve">drugo po vrsti in v kolikor ne velja Uredba </w:t>
      </w:r>
      <w:r>
        <w:rPr>
          <w:rFonts w:eastAsia="Calibri" w:cs="Calibri"/>
          <w:bdr w:val="nil"/>
          <w:lang w:val="sl-SI"/>
        </w:rPr>
        <w:t>2018/1725</w:t>
      </w:r>
      <w:r w:rsidRPr="00FC4A70">
        <w:rPr>
          <w:rFonts w:eastAsia="Calibri" w:cs="Calibri"/>
          <w:bdr w:val="nil"/>
          <w:lang w:val="sl-SI"/>
        </w:rPr>
        <w:t xml:space="preserve"> – Splošn</w:t>
      </w:r>
      <w:r>
        <w:rPr>
          <w:rFonts w:eastAsia="Calibri" w:cs="Calibri"/>
          <w:bdr w:val="nil"/>
          <w:lang w:val="sl-SI"/>
        </w:rPr>
        <w:t>o</w:t>
      </w:r>
      <w:r w:rsidRPr="00FC4A70">
        <w:rPr>
          <w:rFonts w:eastAsia="Calibri" w:cs="Calibri"/>
          <w:bdr w:val="nil"/>
          <w:lang w:val="sl-SI"/>
        </w:rPr>
        <w:t xml:space="preserve"> uredb</w:t>
      </w:r>
      <w:r>
        <w:rPr>
          <w:rFonts w:eastAsia="Calibri" w:cs="Calibri"/>
          <w:bdr w:val="nil"/>
          <w:lang w:val="sl-SI"/>
        </w:rPr>
        <w:t>o</w:t>
      </w:r>
      <w:r w:rsidRPr="00FC4A70">
        <w:rPr>
          <w:rFonts w:eastAsia="Calibri" w:cs="Calibri"/>
          <w:bdr w:val="nil"/>
          <w:lang w:val="sl-SI"/>
        </w:rPr>
        <w:t xml:space="preserve"> EU o varstvu podatkov (GDPR ali Uredba EU 2016/679 Evropskega parlamenta in Sveta)</w:t>
      </w:r>
      <w:r>
        <w:rPr>
          <w:rFonts w:eastAsia="Calibri" w:cs="Calibri"/>
          <w:bdr w:val="nil"/>
          <w:lang w:val="sl-SI"/>
        </w:rPr>
        <w:t xml:space="preserve"> z dne 27. aprila 2016</w:t>
      </w:r>
      <w:r>
        <w:rPr>
          <w:rStyle w:val="FootnoteReference"/>
          <w:rFonts w:eastAsia="Calibri" w:cs="Calibri"/>
          <w:bdr w:val="nil"/>
          <w:lang w:val="sl-SI"/>
        </w:rPr>
        <w:footnoteReference w:id="260"/>
      </w:r>
      <w:r w:rsidRPr="00FC4A70">
        <w:rPr>
          <w:rFonts w:eastAsia="Calibri" w:cs="Calibri"/>
          <w:bdr w:val="nil"/>
          <w:lang w:val="sl-SI"/>
        </w:rPr>
        <w:t xml:space="preserve"> ali nacionaln</w:t>
      </w:r>
      <w:r>
        <w:rPr>
          <w:rFonts w:eastAsia="Calibri" w:cs="Calibri"/>
          <w:bdr w:val="nil"/>
          <w:lang w:val="sl-SI"/>
        </w:rPr>
        <w:t>o</w:t>
      </w:r>
      <w:r w:rsidRPr="00FC4A70">
        <w:rPr>
          <w:rFonts w:eastAsia="Calibri" w:cs="Calibri"/>
          <w:bdr w:val="nil"/>
          <w:lang w:val="sl-SI"/>
        </w:rPr>
        <w:t xml:space="preserve"> zakonodaj</w:t>
      </w:r>
      <w:r>
        <w:rPr>
          <w:rFonts w:eastAsia="Calibri" w:cs="Calibri"/>
          <w:bdr w:val="nil"/>
          <w:lang w:val="sl-SI"/>
        </w:rPr>
        <w:t>o</w:t>
      </w:r>
      <w:r w:rsidRPr="00FC4A70">
        <w:rPr>
          <w:rFonts w:eastAsia="Calibri" w:cs="Calibri"/>
          <w:bdr w:val="nil"/>
          <w:lang w:val="sl-SI"/>
        </w:rPr>
        <w:t xml:space="preserve"> o varstvu podatkov, v primeru, da GDPR ne velja (države, ki niso članice EU)</w:t>
      </w:r>
      <w:r w:rsidRPr="001048FE">
        <w:rPr>
          <w:lang w:val="sl-SI"/>
        </w:rPr>
        <w:t>.</w:t>
      </w:r>
    </w:p>
    <w:p w14:paraId="7D39A7A2" w14:textId="77777777" w:rsidR="00E03711" w:rsidRPr="001048FE" w:rsidRDefault="00E03711" w:rsidP="00C47209">
      <w:pPr>
        <w:pStyle w:val="GUIDE-NORMAL"/>
        <w:rPr>
          <w:lang w:val="sl-SI"/>
        </w:rPr>
      </w:pPr>
      <w:r w:rsidRPr="001048FE">
        <w:rPr>
          <w:lang w:val="sl-SI"/>
        </w:rPr>
        <w:t>Razen če niso vprašanja označena kot izbirna, so odgovori prijavitelja na vprašanja v prijavnem obrazcu zahtevani za ocenjevanje in nadaljnjo obdelavo vloge za nepovratna sredstva v skladu z Vodnikom za prijavitelje Erasmus+. Oddelek ali enota, odgovorna za zadevni program nepovratnih sredstev Unije (subjekt v vlogi upravljavca podatkov), bo osebne podatke obdelovala izključno v ta namen. Osebni podatki se lahko na podlagi potrebe po seznanitvi s podatki posredujejo tretjim osebam, ki so vključene v oceno vlog ali postopek upravljanja nepovratnih sredstev, brez poseganja v možnost posredovanja teh podatkov organom, ki so odgovorni za spremljanje in inšpekcijo v skladu z zakonodajo Evropske unije, ali organom, ki so pooblaščeni za izvedbo ocenjevanja Programa ali katerih koli ukrepov Programa. Predvsem se lahko zaradi varstva finančnih interesov Unije osebni podatki posredujejo službam za notranjo revizijo, Evropskemu računskemu sodišču, komisiji za finančne nepravilnosti ali Evropskemu uradu za boj proti goljufijam ter med odredbodajalci Komisije in izvajalskimi agencijami. Prijavitelj ima pravico, da ima dostop do svojih osebnih podatkov in da jih popravi. Če ima prijavitelj kakršna koli vprašanja v zvezi z obdelavo svojih osebnih podatkov, jih naslovi na agencijo, ki je izbrala projekt. V primeru sporov lahko prijavitelj kadar koli uveljavlja pravico do pomoči Evropskega nadzornika za varstvo podatkov. Več informacij v zvezi z obdelavo osebnih podatkov je navedenih v sporazumu ali sklepu o nepovratnih sredstvih.</w:t>
      </w:r>
    </w:p>
    <w:p w14:paraId="7D39A7A3" w14:textId="77777777" w:rsidR="00E03711" w:rsidRPr="001048FE" w:rsidRDefault="00E03711" w:rsidP="00C47209">
      <w:pPr>
        <w:pStyle w:val="GUIDE-NORMAL"/>
        <w:rPr>
          <w:lang w:val="sl-SI"/>
        </w:rPr>
      </w:pPr>
      <w:r w:rsidRPr="001048FE">
        <w:rPr>
          <w:lang w:val="sl-SI"/>
        </w:rPr>
        <w:t>V zvezi z obdelavo osebnih podatkov v okviru programa Erasmus+ je na spletišču Komisije in Izvajalske agencije na voljo podrobno opisana izjava o varstvu osebnih podatkov, vključno s kontaktnimi podatki.</w:t>
      </w:r>
    </w:p>
    <w:p w14:paraId="7D39A7A4" w14:textId="77777777" w:rsidR="00E03711" w:rsidRPr="001048FE" w:rsidRDefault="00E03711" w:rsidP="00C47209">
      <w:pPr>
        <w:pStyle w:val="GUIDE-NORMAL"/>
        <w:rPr>
          <w:lang w:val="sl-SI"/>
        </w:rPr>
      </w:pPr>
      <w:r w:rsidRPr="001048FE">
        <w:rPr>
          <w:lang w:val="sl-SI"/>
        </w:rPr>
        <w:t xml:space="preserve">V okviru centraliziranih ukrepov, ki jih upravlja Izvajalska agencija, so prijavitelji ‒ in če gre za pravne subjekte, osebe, ki so članice upravnega, vodstvenega ali nadzornega organa prijavitelja ali imajo pooblastila za zastopanje, odločanje ali nadzor v zvezi z navedenim prijaviteljem, ali fizične ali pravne osebe, ki prevzamejo neomejeno odgovornost za dolgove prijavitelja ‒ obveščeni, da lahko odredbodajalec agencije njihove osebne podatke (naziv, ime v primeru fizične osebe, naslov, pravno obliko ter naziv in ime oseb s pooblastili za zastopanje, odločanje ali nadzor, če gre za pravno osebo) registrira v sistem za zgodnje odkrivanje in izključitev, če so v kateri koli od situacij iz Uredbe (EU, Euratom) št. </w:t>
      </w:r>
      <w:r>
        <w:rPr>
          <w:lang w:val="sl-SI"/>
        </w:rPr>
        <w:t>2018/1046</w:t>
      </w:r>
      <w:r w:rsidRPr="001048FE">
        <w:rPr>
          <w:lang w:val="sl-SI"/>
        </w:rPr>
        <w:t xml:space="preserve"> Evropskega parlamenta in Sveta z dne </w:t>
      </w:r>
      <w:r>
        <w:rPr>
          <w:lang w:val="sl-SI"/>
        </w:rPr>
        <w:t>18. julija</w:t>
      </w:r>
      <w:r w:rsidRPr="001048FE">
        <w:rPr>
          <w:lang w:val="sl-SI"/>
        </w:rPr>
        <w:t xml:space="preserve"> 201</w:t>
      </w:r>
      <w:r>
        <w:rPr>
          <w:lang w:val="sl-SI"/>
        </w:rPr>
        <w:t>8</w:t>
      </w:r>
      <w:r w:rsidRPr="001048FE">
        <w:rPr>
          <w:lang w:val="sl-SI"/>
        </w:rPr>
        <w:t xml:space="preserve"> o finančnih pravilih, ki se uporabljajo za splošni proračun Unije.</w:t>
      </w:r>
      <w:bookmarkStart w:id="533" w:name="Zahteva_glede_prostega_dostopa"/>
      <w:bookmarkEnd w:id="533"/>
    </w:p>
    <w:p w14:paraId="7D39A7A5" w14:textId="77777777" w:rsidR="00E03711" w:rsidRDefault="00E03711">
      <w:pPr>
        <w:pStyle w:val="Guide-Heading3"/>
        <w:rPr>
          <w:lang w:val="sl-SI"/>
        </w:rPr>
      </w:pPr>
      <w:bookmarkStart w:id="534" w:name="_Toc527400956"/>
      <w:bookmarkStart w:id="535" w:name="_Toc527401262"/>
      <w:r w:rsidRPr="001048FE">
        <w:rPr>
          <w:lang w:val="sl-SI"/>
        </w:rPr>
        <w:t>Zahteva glede prostega dostopa</w:t>
      </w:r>
      <w:bookmarkEnd w:id="534"/>
      <w:bookmarkEnd w:id="535"/>
    </w:p>
    <w:p w14:paraId="7D39A7A6" w14:textId="77777777" w:rsidR="00E03711" w:rsidRPr="001048FE" w:rsidRDefault="00E03711" w:rsidP="00C47209">
      <w:pPr>
        <w:pStyle w:val="GUIDE-NORMAL"/>
        <w:rPr>
          <w:lang w:val="sl-SI"/>
        </w:rPr>
      </w:pPr>
      <w:r w:rsidRPr="001048FE">
        <w:rPr>
          <w:lang w:val="sl-SI"/>
        </w:rPr>
        <w:t>Erasmus+ spodbuja prost dostop do rezultatov projektov, s čimer podpira učenje, poučevanje, usposabljanje in mladinsko delo. Namen je, da se zagotovi uporabnost javno financiranih gradiv za splošno javnost, da se povečajo vrednost, prepoznavnost in ponovna uporaba spoznanj in dela v okviru projekta ter da se zagotovi dolgoročni dostop do rezultatov, tudi če npr. konzorcij upravičenca preneha obstajati.</w:t>
      </w:r>
    </w:p>
    <w:p w14:paraId="7D39A7A7" w14:textId="77777777" w:rsidR="00E03711" w:rsidRPr="001048FE" w:rsidRDefault="00E03711" w:rsidP="00C47209">
      <w:pPr>
        <w:pStyle w:val="GUIDE-NORMAL"/>
        <w:rPr>
          <w:lang w:val="sl-SI"/>
        </w:rPr>
      </w:pPr>
      <w:r w:rsidRPr="001048FE">
        <w:rPr>
          <w:lang w:val="sl-SI"/>
        </w:rPr>
        <w:t>Program Erasmus+ upravičence zlasti zavezuje, da vse učne vire, ki nastanejo v okviru podprtih projektov (dokumenti, nosilci podatkov, programska oprema ali druga gradiva), dajo na voljo javnosti z odprtimi licencami (glej naslednje poglavje). Takšna gradiva se imenujejo prosto dostopni učni viri (PDUV). Poleg tega morajo upravičenci zagotoviti, da so PDUV na voljo v uredljivi digitalni obliki, prosto dostopni na internetu (brez stroškov, registracije ali drugih omejitev) in da so, kadar je mogoče, na voljo na primerni in prosto dostopni platformi, torej ne samo na posebnem spletišču projekta ali institucije. Zahteva po prostem dostopu je obvezna in ne posega v pravice intelektualne lastnine upravičencev do nepovratnih sredstev.</w:t>
      </w:r>
    </w:p>
    <w:p w14:paraId="7D39A7A8" w14:textId="77777777" w:rsidR="00E03711" w:rsidRDefault="00E03711">
      <w:pPr>
        <w:pStyle w:val="Guide-Heading3"/>
        <w:rPr>
          <w:lang w:val="sl-SI"/>
        </w:rPr>
      </w:pPr>
      <w:bookmarkStart w:id="536" w:name="_Toc527400957"/>
      <w:bookmarkStart w:id="537" w:name="_Toc527401263"/>
      <w:r w:rsidRPr="001048FE">
        <w:rPr>
          <w:lang w:val="sl-SI"/>
        </w:rPr>
        <w:t>Odprta licenca in pravice intelektualne</w:t>
      </w:r>
      <w:bookmarkStart w:id="538" w:name="Odprta_licenca_in_pravice_intelektualne_"/>
      <w:bookmarkEnd w:id="538"/>
      <w:r w:rsidRPr="001048FE">
        <w:rPr>
          <w:lang w:val="sl-SI"/>
        </w:rPr>
        <w:t xml:space="preserve"> lastnine</w:t>
      </w:r>
      <w:bookmarkEnd w:id="536"/>
      <w:bookmarkEnd w:id="537"/>
    </w:p>
    <w:p w14:paraId="7D39A7A9" w14:textId="77777777" w:rsidR="00E03711" w:rsidRPr="001048FE" w:rsidRDefault="00E03711" w:rsidP="00C47209">
      <w:pPr>
        <w:pStyle w:val="GUIDE-NORMAL"/>
        <w:rPr>
          <w:lang w:val="sl-SI"/>
        </w:rPr>
      </w:pPr>
      <w:r w:rsidRPr="001048FE">
        <w:rPr>
          <w:lang w:val="sl-SI"/>
        </w:rPr>
        <w:t>Avtorska pravica ustvarjalcu katerega koli izvirnega dela – npr. učnega vira – načeloma podeljuje izključno pravico do uporabe tega dela. Licence so običajen način, s katerim imetniki avtorskih pravic drugim omogočijo uporabo svojih del. Licenca določa pogoje, pod katerimi imetnik pravic določenim posameznikom ali organizacijam podeli pravico do uporabe svojega dela.</w:t>
      </w:r>
    </w:p>
    <w:p w14:paraId="7D39A7AA" w14:textId="77777777" w:rsidR="00E03711" w:rsidRPr="001048FE" w:rsidRDefault="00E03711" w:rsidP="00C47209">
      <w:pPr>
        <w:pStyle w:val="GUIDE-NORMAL"/>
        <w:rPr>
          <w:lang w:val="sl-SI"/>
        </w:rPr>
      </w:pPr>
      <w:r w:rsidRPr="001048FE">
        <w:rPr>
          <w:lang w:val="sl-SI"/>
        </w:rPr>
        <w:t>Odprta licenca je način, s katerim imetnik avtorskih pravic (ustvarjalec ali drugi imetnik pravic) splošni javnosti podeli veljavno dovoljenje za uporabo svojega dela. Uporabljena odprta licenca je običajno navedena na delu samem ali tam, kjer se delo deli z drugimi. Kot pri drugih licencah odprta licenca ne pomeni prenosa avtorskih pravic ali drugih pravic intelektualne lastnine. Kdor podeli odprto licenco za svoje delo, ostane imetnik avtorskih pravic za svoje gradivo in ga lahko uporablja, kot želi, npr. za trženje rezultatov svojih projektov. Natančneje, odprta licenca, uporabljena za učni vir, ustvarjen s podporo programa Erasmus+, mora javnosti (tj. vsem tretjim stranem) omogočiti najmanj prosto:</w:t>
      </w:r>
    </w:p>
    <w:p w14:paraId="7D39A7AB" w14:textId="77777777" w:rsidR="00E03711" w:rsidRPr="001048FE" w:rsidRDefault="00E03711" w:rsidP="005115F2">
      <w:pPr>
        <w:pStyle w:val="Guide-NormalBulletpoints"/>
        <w:numPr>
          <w:ilvl w:val="0"/>
          <w:numId w:val="420"/>
        </w:numPr>
        <w:rPr>
          <w:lang w:val="sl-SI"/>
        </w:rPr>
      </w:pPr>
      <w:r w:rsidRPr="001048FE">
        <w:rPr>
          <w:lang w:val="sl-SI"/>
        </w:rPr>
        <w:t>uporabo dela;</w:t>
      </w:r>
    </w:p>
    <w:p w14:paraId="7D39A7AC" w14:textId="77777777" w:rsidR="00E03711" w:rsidRPr="001048FE" w:rsidRDefault="00E03711" w:rsidP="005115F2">
      <w:pPr>
        <w:pStyle w:val="Guide-NormalBulletpoints"/>
        <w:numPr>
          <w:ilvl w:val="0"/>
          <w:numId w:val="420"/>
        </w:numPr>
        <w:rPr>
          <w:lang w:val="sl-SI"/>
        </w:rPr>
      </w:pPr>
      <w:r w:rsidRPr="001048FE">
        <w:rPr>
          <w:lang w:val="sl-SI"/>
        </w:rPr>
        <w:t>prilagajanje dela svojim potrebam (npr. prevajanje, krajšanje, spreminjanje glede na lokalni kontekst itd.);</w:t>
      </w:r>
    </w:p>
    <w:p w14:paraId="7D39A7AD" w14:textId="77777777" w:rsidR="00E03711" w:rsidRDefault="00E03711" w:rsidP="005115F2">
      <w:pPr>
        <w:pStyle w:val="Guide-NormalBulletpoints"/>
        <w:numPr>
          <w:ilvl w:val="0"/>
          <w:numId w:val="420"/>
        </w:numPr>
        <w:rPr>
          <w:lang w:val="sl-SI"/>
        </w:rPr>
      </w:pPr>
      <w:r w:rsidRPr="004E0501">
        <w:rPr>
          <w:lang w:val="sl-SI"/>
        </w:rPr>
        <w:t>reproduciranje in deljenje izvirnega ali prilagojenega dela z drugimi (npr. s študenti v razredu, na spletu, s kolegi).</w:t>
      </w:r>
    </w:p>
    <w:p w14:paraId="7D39A7AE" w14:textId="77777777" w:rsidR="00E03711" w:rsidRPr="001048FE" w:rsidRDefault="00E03711" w:rsidP="00C47209">
      <w:pPr>
        <w:pStyle w:val="GUIDE-NORMAL"/>
        <w:rPr>
          <w:lang w:val="sl-SI"/>
        </w:rPr>
      </w:pPr>
      <w:r w:rsidRPr="001048FE">
        <w:rPr>
          <w:lang w:val="sl-SI"/>
        </w:rPr>
        <w:t>Erasmus+ upravičence spodbuja k uporabi čim bolj odprtih licenc</w:t>
      </w:r>
      <w:r w:rsidRPr="001048FE">
        <w:rPr>
          <w:rStyle w:val="FootnoteReference"/>
          <w:lang w:val="sl-SI"/>
        </w:rPr>
        <w:footnoteReference w:id="261"/>
      </w:r>
      <w:r w:rsidRPr="001048FE">
        <w:rPr>
          <w:lang w:val="sl-SI"/>
        </w:rPr>
        <w:t>, vendar lahko upravičenci za zagotovitev največjega učinka svojih del izberejo odprte licence s posebnimi pogoji, zlasti:</w:t>
      </w:r>
    </w:p>
    <w:p w14:paraId="7D39A7AF" w14:textId="77777777" w:rsidR="00E03711" w:rsidRPr="001048FE" w:rsidRDefault="00E03711" w:rsidP="005115F2">
      <w:pPr>
        <w:pStyle w:val="Guide-NormalBulletpoints"/>
        <w:numPr>
          <w:ilvl w:val="0"/>
          <w:numId w:val="393"/>
        </w:numPr>
        <w:rPr>
          <w:lang w:val="sl-SI"/>
        </w:rPr>
      </w:pPr>
      <w:r w:rsidRPr="001048FE">
        <w:rPr>
          <w:lang w:val="sl-SI"/>
        </w:rPr>
        <w:t>da je treba povsod, kjer se delo ali njegova izvedena različica uporablja ali deli, navesti ustvarjalca;</w:t>
      </w:r>
    </w:p>
    <w:p w14:paraId="7D39A7B0" w14:textId="77777777" w:rsidR="00E03711" w:rsidRPr="001048FE" w:rsidRDefault="00E03711" w:rsidP="005115F2">
      <w:pPr>
        <w:pStyle w:val="Guide-NormalBulletpoints"/>
        <w:numPr>
          <w:ilvl w:val="0"/>
          <w:numId w:val="393"/>
        </w:numPr>
        <w:rPr>
          <w:lang w:val="sl-SI"/>
        </w:rPr>
      </w:pPr>
      <w:r w:rsidRPr="001048FE">
        <w:rPr>
          <w:lang w:val="sl-SI"/>
        </w:rPr>
        <w:t>da se delo ne sme uporabljati v komercialne namene (npr. prodajati s strani tretjih oseb, vključiti v učbenike, ki so naprodaj, itd.);</w:t>
      </w:r>
    </w:p>
    <w:p w14:paraId="7D39A7B1" w14:textId="77777777" w:rsidR="00E03711" w:rsidRPr="001048FE" w:rsidRDefault="00E03711" w:rsidP="005115F2">
      <w:pPr>
        <w:pStyle w:val="Guide-NormalBulletpoints"/>
        <w:numPr>
          <w:ilvl w:val="0"/>
          <w:numId w:val="393"/>
        </w:numPr>
        <w:rPr>
          <w:lang w:val="sl-SI"/>
        </w:rPr>
      </w:pPr>
      <w:r w:rsidRPr="001048FE">
        <w:rPr>
          <w:lang w:val="sl-SI"/>
        </w:rPr>
        <w:t>da je treba vse izvedene različice deliti z isto licenco ali pod enakimi licenčnimi pogoji.</w:t>
      </w:r>
    </w:p>
    <w:p w14:paraId="7D39A7B2" w14:textId="77777777" w:rsidR="00E03711" w:rsidRPr="001048FE" w:rsidRDefault="00E03711" w:rsidP="00A12060">
      <w:pPr>
        <w:pStyle w:val="GUIDE-NORMAL"/>
        <w:rPr>
          <w:lang w:val="sl-SI"/>
        </w:rPr>
      </w:pPr>
      <w:r w:rsidRPr="001048FE">
        <w:rPr>
          <w:lang w:val="sl-SI"/>
        </w:rPr>
        <w:t>Upravičenci Erasmus+ lahko izberejo katero koli odprto licenco ali celo razvijejo svojo, vendar se jih močno spodbuja, da uporabijo poznane obstoječe licence, primerne za to vrsto virov, in se tako izognejo podvajanju dela, zagotovijo pravno varnost in omogočijo združevanje več različnih del. Licenca ne sme vsebovati kakršnih koli pogojev, ki bi omejevali skupino uporabnikov, od njih zahtevali, da se registrirajo, sodelujejo ali se kako drugače zavežejo h kateri koli posebni dejavnosti ali ki bi določali, da je treba za uporabo zaprositi ali o njej poročati.</w:t>
      </w:r>
    </w:p>
    <w:p w14:paraId="7D39A7B3" w14:textId="77777777" w:rsidR="00E03711" w:rsidRDefault="00E03711">
      <w:pPr>
        <w:pStyle w:val="Guide-Heading3"/>
        <w:rPr>
          <w:lang w:val="sl-SI"/>
        </w:rPr>
      </w:pPr>
      <w:bookmarkStart w:id="539" w:name="Pravila,_ki_se_uporabljajo"/>
      <w:bookmarkStart w:id="540" w:name="_Toc527400958"/>
      <w:bookmarkStart w:id="541" w:name="_Toc527401264"/>
      <w:bookmarkEnd w:id="539"/>
      <w:r w:rsidRPr="001048FE">
        <w:rPr>
          <w:lang w:val="sl-SI"/>
        </w:rPr>
        <w:t>Pravila, ki se uporabljajo</w:t>
      </w:r>
      <w:bookmarkEnd w:id="540"/>
      <w:bookmarkEnd w:id="541"/>
    </w:p>
    <w:p w14:paraId="7D39A7B4" w14:textId="77777777" w:rsidR="00E03711" w:rsidRPr="001048FE" w:rsidRDefault="00E03711" w:rsidP="00A12060">
      <w:pPr>
        <w:pStyle w:val="GUIDE-NORMAL"/>
        <w:rPr>
          <w:lang w:val="sl-SI"/>
        </w:rPr>
      </w:pPr>
      <w:r w:rsidRPr="001048FE">
        <w:rPr>
          <w:lang w:val="sl-SI"/>
        </w:rPr>
        <w:t>Uredba (EU, Eurat</w:t>
      </w:r>
      <w:r>
        <w:rPr>
          <w:lang w:val="sl-SI"/>
        </w:rPr>
        <w:t>o</w:t>
      </w:r>
      <w:r w:rsidRPr="001048FE">
        <w:rPr>
          <w:lang w:val="sl-SI"/>
        </w:rPr>
        <w:t xml:space="preserve">m) št. </w:t>
      </w:r>
      <w:r>
        <w:rPr>
          <w:lang w:val="sl-SI"/>
        </w:rPr>
        <w:t>2018/1046</w:t>
      </w:r>
      <w:r w:rsidRPr="001048FE">
        <w:rPr>
          <w:lang w:val="sl-SI"/>
        </w:rPr>
        <w:t xml:space="preserve"> Evropskega parlamenta in Sveta z dne </w:t>
      </w:r>
      <w:r>
        <w:rPr>
          <w:lang w:val="sl-SI"/>
        </w:rPr>
        <w:t>18. Julija 2018</w:t>
      </w:r>
      <w:r w:rsidRPr="001048FE">
        <w:rPr>
          <w:lang w:val="sl-SI"/>
        </w:rPr>
        <w:t xml:space="preserve"> o finančnih pravilih, ki se uporabljajo za splošni proračun Unije (UL L </w:t>
      </w:r>
      <w:r>
        <w:rPr>
          <w:lang w:val="sl-SI"/>
        </w:rPr>
        <w:t>193, 30.7.2018</w:t>
      </w:r>
      <w:r w:rsidRPr="001048FE">
        <w:rPr>
          <w:lang w:val="sl-SI"/>
        </w:rPr>
        <w:t>)</w:t>
      </w:r>
      <w:r>
        <w:rPr>
          <w:lang w:val="sl-SI"/>
        </w:rPr>
        <w:t>.</w:t>
      </w:r>
    </w:p>
    <w:p w14:paraId="7D39A7B5" w14:textId="77777777" w:rsidR="00E03711" w:rsidRDefault="00E03711">
      <w:pPr>
        <w:widowControl/>
        <w:suppressAutoHyphens w:val="0"/>
        <w:autoSpaceDN/>
        <w:textAlignment w:val="auto"/>
        <w:rPr>
          <w:rFonts w:eastAsia="Times New Roman" w:cs="Times New Roman"/>
          <w:b/>
          <w:smallCaps/>
          <w:sz w:val="40"/>
          <w:szCs w:val="20"/>
          <w:lang w:val="sl-SI"/>
        </w:rPr>
      </w:pPr>
      <w:bookmarkStart w:id="542" w:name="Annex_I"/>
      <w:bookmarkStart w:id="543" w:name="_bookmark74"/>
      <w:bookmarkEnd w:id="542"/>
      <w:bookmarkEnd w:id="543"/>
      <w:r>
        <w:rPr>
          <w:lang w:val="sl-SI"/>
        </w:rPr>
        <w:br w:type="page"/>
      </w:r>
    </w:p>
    <w:p w14:paraId="7D39A7B6" w14:textId="77777777" w:rsidR="00E03711" w:rsidRPr="001048FE" w:rsidRDefault="00E03711" w:rsidP="00307741">
      <w:pPr>
        <w:pStyle w:val="Guide-Heading1"/>
        <w:rPr>
          <w:lang w:val="sl-SI"/>
        </w:rPr>
        <w:sectPr w:rsidR="00E03711" w:rsidRPr="001048FE" w:rsidSect="007F4890">
          <w:headerReference w:type="default" r:id="rId150"/>
          <w:endnotePr>
            <w:numFmt w:val="decimal"/>
          </w:endnotePr>
          <w:pgSz w:w="11910" w:h="16840" w:code="9"/>
          <w:pgMar w:top="1134" w:right="1418" w:bottom="1134" w:left="1418" w:header="283" w:footer="567" w:gutter="0"/>
          <w:cols w:space="720"/>
          <w:docGrid w:linePitch="326"/>
        </w:sectPr>
      </w:pPr>
    </w:p>
    <w:p w14:paraId="7D39A7B7" w14:textId="77777777" w:rsidR="00E03711" w:rsidRPr="001048FE" w:rsidRDefault="00E03711" w:rsidP="004B71A1">
      <w:pPr>
        <w:pStyle w:val="Guide-Heading1"/>
        <w:ind w:left="720"/>
        <w:rPr>
          <w:lang w:val="sl-SI"/>
        </w:rPr>
      </w:pPr>
      <w:bookmarkStart w:id="544" w:name="_Toc527400959"/>
      <w:bookmarkStart w:id="545" w:name="_Toc527401265"/>
      <w:r w:rsidRPr="001048FE">
        <w:rPr>
          <w:lang w:val="sl-SI"/>
        </w:rPr>
        <w:t>Priloga I</w:t>
      </w:r>
      <w:bookmarkEnd w:id="544"/>
      <w:bookmarkEnd w:id="545"/>
    </w:p>
    <w:p w14:paraId="7D39A7B8" w14:textId="77777777" w:rsidR="00E03711" w:rsidRPr="001048FE" w:rsidRDefault="00E03711" w:rsidP="002A1A19">
      <w:pPr>
        <w:pStyle w:val="Guide-BigSubtitle"/>
        <w:rPr>
          <w:lang w:val="sl-SI"/>
        </w:rPr>
      </w:pPr>
      <w:r w:rsidRPr="001048FE">
        <w:rPr>
          <w:lang w:val="sl-SI"/>
        </w:rPr>
        <w:t>Posebna pravila in informacije glede mobilnosti, strateških partnerstev in krepitve zmogljivosti na področju visokošolskega izobraževanja</w:t>
      </w:r>
    </w:p>
    <w:p w14:paraId="7D39A7B9" w14:textId="77777777" w:rsidR="00E03711" w:rsidRDefault="00E03711" w:rsidP="002A1A19">
      <w:pPr>
        <w:pStyle w:val="GUIDE-NORMAL"/>
        <w:rPr>
          <w:lang w:val="sl-SI"/>
        </w:rPr>
      </w:pPr>
      <w:r w:rsidRPr="001048FE">
        <w:rPr>
          <w:lang w:val="sl-SI"/>
        </w:rPr>
        <w:t>V to prilogo so zajeta dodatna merila in pomembne informacije o pripravi, izvajanju in nadaljnjem spremljanju projektov mobilnosti in mobilnosti med visokošolskim študijem prve stopnje ter več konkretnih primerov aktivnosti, ki jih je mogoče izvesti v okviru strateških partnerstev na področju izobraževanja, usposabljanja in mladine, in dodatne informacije o krepitvi zmogljivosti na področju projektov visokošolskega izobraževanja. Organizacije, ki nameravajo razviti projekt v okviru teh ukrepov, naj si pred oddajo vloge za nepovratna sredstva skrbno preberejo ustrezne dele te priloge.</w:t>
      </w:r>
    </w:p>
    <w:bookmarkStart w:id="546" w:name="Projets_de_mobilité_pour_les_étudiants_e"/>
    <w:bookmarkStart w:id="547" w:name="_bookmark75"/>
    <w:bookmarkEnd w:id="546"/>
    <w:bookmarkEnd w:id="547"/>
    <w:p w14:paraId="7D39A7BA" w14:textId="47AAA09A" w:rsidR="00401913" w:rsidRPr="00401913" w:rsidRDefault="00CB66AB" w:rsidP="00401913">
      <w:pPr>
        <w:pStyle w:val="TOC2"/>
        <w:rPr>
          <w:rFonts w:asciiTheme="minorHAnsi" w:eastAsiaTheme="minorEastAsia" w:hAnsiTheme="minorHAnsi" w:cstheme="minorBidi"/>
          <w:bCs w:val="0"/>
          <w:kern w:val="0"/>
          <w:sz w:val="22"/>
          <w:szCs w:val="22"/>
          <w:lang w:val="sl-SI" w:eastAsia="ja-JP"/>
        </w:rPr>
      </w:pPr>
      <w:r>
        <w:rPr>
          <w:rStyle w:val="Hyperlink"/>
          <w:lang w:val="sl-SI"/>
        </w:rPr>
        <w:fldChar w:fldCharType="begin"/>
      </w:r>
      <w:r w:rsidR="00401913">
        <w:rPr>
          <w:rStyle w:val="Hyperlink"/>
          <w:lang w:val="sl-SI"/>
        </w:rPr>
        <w:instrText xml:space="preserve"> HYPERLINK \l "_Toc527401266" </w:instrText>
      </w:r>
      <w:r>
        <w:rPr>
          <w:rStyle w:val="Hyperlink"/>
          <w:lang w:val="sl-SI"/>
        </w:rPr>
        <w:fldChar w:fldCharType="separate"/>
      </w:r>
      <w:r w:rsidR="00401913" w:rsidRPr="000E0FDD">
        <w:rPr>
          <w:rStyle w:val="Hyperlink"/>
          <w:lang w:val="sl-SI"/>
        </w:rPr>
        <w:t>Projekt mobilnosti za študente in osebje v visokošolskem izobraževanju</w:t>
      </w:r>
      <w:r w:rsidR="00401913" w:rsidRPr="00401913">
        <w:rPr>
          <w:webHidden/>
          <w:lang w:val="sl-SI"/>
        </w:rPr>
        <w:tab/>
      </w:r>
      <w:r>
        <w:rPr>
          <w:webHidden/>
        </w:rPr>
        <w:fldChar w:fldCharType="begin"/>
      </w:r>
      <w:r w:rsidR="00401913" w:rsidRPr="00401913">
        <w:rPr>
          <w:webHidden/>
          <w:lang w:val="sl-SI"/>
        </w:rPr>
        <w:instrText xml:space="preserve"> PAGEREF _Toc527401266 \h </w:instrText>
      </w:r>
      <w:r>
        <w:rPr>
          <w:webHidden/>
        </w:rPr>
      </w:r>
      <w:r>
        <w:rPr>
          <w:webHidden/>
        </w:rPr>
        <w:fldChar w:fldCharType="separate"/>
      </w:r>
      <w:r w:rsidR="00A6094F">
        <w:rPr>
          <w:webHidden/>
          <w:lang w:val="sl-SI"/>
        </w:rPr>
        <w:t>273</w:t>
      </w:r>
      <w:r>
        <w:rPr>
          <w:webHidden/>
        </w:rPr>
        <w:fldChar w:fldCharType="end"/>
      </w:r>
      <w:r>
        <w:fldChar w:fldCharType="end"/>
      </w:r>
    </w:p>
    <w:p w14:paraId="7D39A7BB" w14:textId="6A46E0A3" w:rsidR="00401913" w:rsidRPr="00401913" w:rsidRDefault="002C560E" w:rsidP="00401913">
      <w:pPr>
        <w:pStyle w:val="TOC2"/>
        <w:rPr>
          <w:rFonts w:asciiTheme="minorHAnsi" w:eastAsiaTheme="minorEastAsia" w:hAnsiTheme="minorHAnsi" w:cstheme="minorBidi"/>
          <w:bCs w:val="0"/>
          <w:kern w:val="0"/>
          <w:sz w:val="22"/>
          <w:szCs w:val="22"/>
          <w:lang w:val="sl-SI" w:eastAsia="ja-JP"/>
        </w:rPr>
      </w:pPr>
      <w:hyperlink w:anchor="_Toc527401279" w:history="1">
        <w:r w:rsidR="00401913" w:rsidRPr="000E0FDD">
          <w:rPr>
            <w:rStyle w:val="Hyperlink"/>
            <w:lang w:val="sl-SI"/>
          </w:rPr>
          <w:t>Projekt mobilnosti za dijake in osebje v poklicnem izobraževanju in usposabljanju</w:t>
        </w:r>
        <w:r w:rsidR="00401913" w:rsidRPr="00401913">
          <w:rPr>
            <w:webHidden/>
            <w:lang w:val="sl-SI"/>
          </w:rPr>
          <w:tab/>
        </w:r>
        <w:r w:rsidR="00CB66AB">
          <w:rPr>
            <w:webHidden/>
          </w:rPr>
          <w:fldChar w:fldCharType="begin"/>
        </w:r>
        <w:r w:rsidR="00401913" w:rsidRPr="00401913">
          <w:rPr>
            <w:webHidden/>
            <w:lang w:val="sl-SI"/>
          </w:rPr>
          <w:instrText xml:space="preserve"> PAGEREF _Toc527401279 \h </w:instrText>
        </w:r>
        <w:r w:rsidR="00CB66AB">
          <w:rPr>
            <w:webHidden/>
          </w:rPr>
        </w:r>
        <w:r w:rsidR="00CB66AB">
          <w:rPr>
            <w:webHidden/>
          </w:rPr>
          <w:fldChar w:fldCharType="separate"/>
        </w:r>
        <w:r w:rsidR="00A6094F">
          <w:rPr>
            <w:webHidden/>
            <w:lang w:val="sl-SI"/>
          </w:rPr>
          <w:t>280</w:t>
        </w:r>
        <w:r w:rsidR="00CB66AB">
          <w:rPr>
            <w:webHidden/>
          </w:rPr>
          <w:fldChar w:fldCharType="end"/>
        </w:r>
      </w:hyperlink>
    </w:p>
    <w:p w14:paraId="7D39A7BC" w14:textId="67DB76B8" w:rsidR="00401913" w:rsidRPr="00401913" w:rsidRDefault="002C560E" w:rsidP="00401913">
      <w:pPr>
        <w:pStyle w:val="TOC2"/>
        <w:rPr>
          <w:rFonts w:asciiTheme="minorHAnsi" w:eastAsiaTheme="minorEastAsia" w:hAnsiTheme="minorHAnsi" w:cstheme="minorBidi"/>
          <w:bCs w:val="0"/>
          <w:kern w:val="0"/>
          <w:sz w:val="22"/>
          <w:szCs w:val="22"/>
          <w:lang w:val="sl-SI" w:eastAsia="ja-JP"/>
        </w:rPr>
      </w:pPr>
      <w:hyperlink w:anchor="_Toc527401296" w:history="1">
        <w:r w:rsidR="00401913" w:rsidRPr="000E0FDD">
          <w:rPr>
            <w:rStyle w:val="Hyperlink"/>
            <w:lang w:val="sl-SI"/>
          </w:rPr>
          <w:t>Projekt mobilnosti za šolsko osebje</w:t>
        </w:r>
        <w:r w:rsidR="00401913" w:rsidRPr="00401913">
          <w:rPr>
            <w:webHidden/>
            <w:lang w:val="sl-SI"/>
          </w:rPr>
          <w:tab/>
        </w:r>
        <w:r w:rsidR="00CB66AB">
          <w:rPr>
            <w:webHidden/>
          </w:rPr>
          <w:fldChar w:fldCharType="begin"/>
        </w:r>
        <w:r w:rsidR="00401913" w:rsidRPr="00401913">
          <w:rPr>
            <w:webHidden/>
            <w:lang w:val="sl-SI"/>
          </w:rPr>
          <w:instrText xml:space="preserve"> PAGEREF _Toc527401296 \h </w:instrText>
        </w:r>
        <w:r w:rsidR="00CB66AB">
          <w:rPr>
            <w:webHidden/>
          </w:rPr>
        </w:r>
        <w:r w:rsidR="00CB66AB">
          <w:rPr>
            <w:webHidden/>
          </w:rPr>
          <w:fldChar w:fldCharType="separate"/>
        </w:r>
        <w:r w:rsidR="00A6094F">
          <w:rPr>
            <w:webHidden/>
            <w:lang w:val="sl-SI"/>
          </w:rPr>
          <w:t>286</w:t>
        </w:r>
        <w:r w:rsidR="00CB66AB">
          <w:rPr>
            <w:webHidden/>
          </w:rPr>
          <w:fldChar w:fldCharType="end"/>
        </w:r>
      </w:hyperlink>
    </w:p>
    <w:p w14:paraId="7D39A7BD" w14:textId="157C9F8A" w:rsidR="00401913" w:rsidRPr="00401913" w:rsidRDefault="002C560E" w:rsidP="00401913">
      <w:pPr>
        <w:pStyle w:val="TOC2"/>
        <w:rPr>
          <w:rFonts w:asciiTheme="minorHAnsi" w:eastAsiaTheme="minorEastAsia" w:hAnsiTheme="minorHAnsi" w:cstheme="minorBidi"/>
          <w:bCs w:val="0"/>
          <w:kern w:val="0"/>
          <w:sz w:val="22"/>
          <w:szCs w:val="22"/>
          <w:lang w:val="sl-SI" w:eastAsia="ja-JP"/>
        </w:rPr>
      </w:pPr>
      <w:hyperlink w:anchor="_Toc527401305" w:history="1">
        <w:r w:rsidR="00401913" w:rsidRPr="000E0FDD">
          <w:rPr>
            <w:rStyle w:val="Hyperlink"/>
            <w:lang w:val="sl-SI"/>
          </w:rPr>
          <w:t>Projekt mobilnosti za osebje v izobraževanju odraslih</w:t>
        </w:r>
        <w:r w:rsidR="00401913" w:rsidRPr="00401913">
          <w:rPr>
            <w:webHidden/>
            <w:lang w:val="sl-SI"/>
          </w:rPr>
          <w:tab/>
        </w:r>
        <w:r w:rsidR="00CB66AB">
          <w:rPr>
            <w:webHidden/>
          </w:rPr>
          <w:fldChar w:fldCharType="begin"/>
        </w:r>
        <w:r w:rsidR="00401913" w:rsidRPr="00401913">
          <w:rPr>
            <w:webHidden/>
            <w:lang w:val="sl-SI"/>
          </w:rPr>
          <w:instrText xml:space="preserve"> PAGEREF _Toc527401305 \h </w:instrText>
        </w:r>
        <w:r w:rsidR="00CB66AB">
          <w:rPr>
            <w:webHidden/>
          </w:rPr>
        </w:r>
        <w:r w:rsidR="00CB66AB">
          <w:rPr>
            <w:webHidden/>
          </w:rPr>
          <w:fldChar w:fldCharType="separate"/>
        </w:r>
        <w:r w:rsidR="00A6094F">
          <w:rPr>
            <w:webHidden/>
            <w:lang w:val="sl-SI"/>
          </w:rPr>
          <w:t>289</w:t>
        </w:r>
        <w:r w:rsidR="00CB66AB">
          <w:rPr>
            <w:webHidden/>
          </w:rPr>
          <w:fldChar w:fldCharType="end"/>
        </w:r>
      </w:hyperlink>
    </w:p>
    <w:p w14:paraId="7D39A7BE" w14:textId="6F5B9E82" w:rsidR="00401913" w:rsidRPr="00401913" w:rsidRDefault="002C560E" w:rsidP="00401913">
      <w:pPr>
        <w:pStyle w:val="TOC2"/>
        <w:rPr>
          <w:rFonts w:asciiTheme="minorHAnsi" w:eastAsiaTheme="minorEastAsia" w:hAnsiTheme="minorHAnsi" w:cstheme="minorBidi"/>
          <w:bCs w:val="0"/>
          <w:kern w:val="0"/>
          <w:sz w:val="22"/>
          <w:szCs w:val="22"/>
          <w:lang w:val="sv-SE" w:eastAsia="ja-JP"/>
        </w:rPr>
      </w:pPr>
      <w:hyperlink w:anchor="_Toc527401314" w:history="1">
        <w:r w:rsidR="00401913" w:rsidRPr="000E0FDD">
          <w:rPr>
            <w:rStyle w:val="Hyperlink"/>
            <w:lang w:val="sl-SI"/>
          </w:rPr>
          <w:t>Projekti mobilnosti za mlade in mladinske delavce</w:t>
        </w:r>
        <w:r w:rsidR="00401913" w:rsidRPr="00401913">
          <w:rPr>
            <w:webHidden/>
            <w:lang w:val="sv-SE"/>
          </w:rPr>
          <w:tab/>
        </w:r>
        <w:r w:rsidR="00CB66AB">
          <w:rPr>
            <w:webHidden/>
          </w:rPr>
          <w:fldChar w:fldCharType="begin"/>
        </w:r>
        <w:r w:rsidR="00401913" w:rsidRPr="00401913">
          <w:rPr>
            <w:webHidden/>
            <w:lang w:val="sv-SE"/>
          </w:rPr>
          <w:instrText xml:space="preserve"> PAGEREF _Toc527401314 \h </w:instrText>
        </w:r>
        <w:r w:rsidR="00CB66AB">
          <w:rPr>
            <w:webHidden/>
          </w:rPr>
        </w:r>
        <w:r w:rsidR="00CB66AB">
          <w:rPr>
            <w:webHidden/>
          </w:rPr>
          <w:fldChar w:fldCharType="separate"/>
        </w:r>
        <w:r w:rsidR="00A6094F">
          <w:rPr>
            <w:webHidden/>
            <w:lang w:val="sv-SE"/>
          </w:rPr>
          <w:t>291</w:t>
        </w:r>
        <w:r w:rsidR="00CB66AB">
          <w:rPr>
            <w:webHidden/>
          </w:rPr>
          <w:fldChar w:fldCharType="end"/>
        </w:r>
      </w:hyperlink>
    </w:p>
    <w:p w14:paraId="7D39A7BF" w14:textId="3C31512D" w:rsidR="00401913" w:rsidRPr="00401913" w:rsidRDefault="002C560E" w:rsidP="00401913">
      <w:pPr>
        <w:pStyle w:val="TOC2"/>
        <w:rPr>
          <w:rFonts w:asciiTheme="minorHAnsi" w:eastAsiaTheme="minorEastAsia" w:hAnsiTheme="minorHAnsi" w:cstheme="minorBidi"/>
          <w:bCs w:val="0"/>
          <w:kern w:val="0"/>
          <w:sz w:val="22"/>
          <w:szCs w:val="22"/>
          <w:lang w:val="sv-SE" w:eastAsia="ja-JP"/>
        </w:rPr>
      </w:pPr>
      <w:hyperlink w:anchor="_Toc527401327" w:history="1">
        <w:r w:rsidR="00401913" w:rsidRPr="000E0FDD">
          <w:rPr>
            <w:rStyle w:val="Hyperlink"/>
            <w:lang w:val="sl-SI"/>
          </w:rPr>
          <w:t>Skupni magistrski študij Erasmus Mundus</w:t>
        </w:r>
        <w:r w:rsidR="00401913" w:rsidRPr="00401913">
          <w:rPr>
            <w:webHidden/>
            <w:lang w:val="sv-SE"/>
          </w:rPr>
          <w:tab/>
        </w:r>
        <w:r w:rsidR="00CB66AB">
          <w:rPr>
            <w:webHidden/>
          </w:rPr>
          <w:fldChar w:fldCharType="begin"/>
        </w:r>
        <w:r w:rsidR="00401913" w:rsidRPr="00401913">
          <w:rPr>
            <w:webHidden/>
            <w:lang w:val="sv-SE"/>
          </w:rPr>
          <w:instrText xml:space="preserve"> PAGEREF _Toc527401327 \h </w:instrText>
        </w:r>
        <w:r w:rsidR="00CB66AB">
          <w:rPr>
            <w:webHidden/>
          </w:rPr>
        </w:r>
        <w:r w:rsidR="00CB66AB">
          <w:rPr>
            <w:webHidden/>
          </w:rPr>
          <w:fldChar w:fldCharType="separate"/>
        </w:r>
        <w:r w:rsidR="00A6094F">
          <w:rPr>
            <w:webHidden/>
            <w:lang w:val="sv-SE"/>
          </w:rPr>
          <w:t>296</w:t>
        </w:r>
        <w:r w:rsidR="00CB66AB">
          <w:rPr>
            <w:webHidden/>
          </w:rPr>
          <w:fldChar w:fldCharType="end"/>
        </w:r>
      </w:hyperlink>
    </w:p>
    <w:p w14:paraId="7D39A7C0" w14:textId="71A45280" w:rsidR="00401913" w:rsidRPr="00401913" w:rsidRDefault="002C560E" w:rsidP="00401913">
      <w:pPr>
        <w:pStyle w:val="TOC2"/>
        <w:rPr>
          <w:rFonts w:asciiTheme="minorHAnsi" w:eastAsiaTheme="minorEastAsia" w:hAnsiTheme="minorHAnsi" w:cstheme="minorBidi"/>
          <w:bCs w:val="0"/>
          <w:kern w:val="0"/>
          <w:sz w:val="22"/>
          <w:szCs w:val="22"/>
          <w:lang w:val="sv-SE" w:eastAsia="ja-JP"/>
        </w:rPr>
      </w:pPr>
      <w:hyperlink w:anchor="_Toc527401332" w:history="1">
        <w:r w:rsidR="00401913" w:rsidRPr="000E0FDD">
          <w:rPr>
            <w:rStyle w:val="Hyperlink"/>
            <w:lang w:val="sl-SI"/>
          </w:rPr>
          <w:t>Strateška partnerstva</w:t>
        </w:r>
        <w:r w:rsidR="00401913" w:rsidRPr="00401913">
          <w:rPr>
            <w:webHidden/>
            <w:lang w:val="sv-SE"/>
          </w:rPr>
          <w:tab/>
        </w:r>
        <w:r w:rsidR="00CB66AB">
          <w:rPr>
            <w:webHidden/>
          </w:rPr>
          <w:fldChar w:fldCharType="begin"/>
        </w:r>
        <w:r w:rsidR="00401913" w:rsidRPr="00401913">
          <w:rPr>
            <w:webHidden/>
            <w:lang w:val="sv-SE"/>
          </w:rPr>
          <w:instrText xml:space="preserve"> PAGEREF _Toc527401332 \h </w:instrText>
        </w:r>
        <w:r w:rsidR="00CB66AB">
          <w:rPr>
            <w:webHidden/>
          </w:rPr>
        </w:r>
        <w:r w:rsidR="00CB66AB">
          <w:rPr>
            <w:webHidden/>
          </w:rPr>
          <w:fldChar w:fldCharType="separate"/>
        </w:r>
        <w:r w:rsidR="00A6094F">
          <w:rPr>
            <w:webHidden/>
            <w:lang w:val="sv-SE"/>
          </w:rPr>
          <w:t>299</w:t>
        </w:r>
        <w:r w:rsidR="00CB66AB">
          <w:rPr>
            <w:webHidden/>
          </w:rPr>
          <w:fldChar w:fldCharType="end"/>
        </w:r>
      </w:hyperlink>
    </w:p>
    <w:p w14:paraId="7D39A7C1" w14:textId="70D13609" w:rsidR="00401913" w:rsidRPr="00401913" w:rsidRDefault="002C560E" w:rsidP="00401913">
      <w:pPr>
        <w:pStyle w:val="TOC2"/>
        <w:rPr>
          <w:rFonts w:asciiTheme="minorHAnsi" w:eastAsiaTheme="minorEastAsia" w:hAnsiTheme="minorHAnsi" w:cstheme="minorBidi"/>
          <w:bCs w:val="0"/>
          <w:kern w:val="0"/>
          <w:sz w:val="22"/>
          <w:szCs w:val="22"/>
          <w:lang w:val="sv-SE" w:eastAsia="ja-JP"/>
        </w:rPr>
      </w:pPr>
      <w:hyperlink w:anchor="_Toc527401364" w:history="1">
        <w:r w:rsidR="00401913" w:rsidRPr="000E0FDD">
          <w:rPr>
            <w:rStyle w:val="Hyperlink"/>
            <w:lang w:val="sl-SI"/>
          </w:rPr>
          <w:t>Krepitev zmogljivosti na področju visokošolskega izobraževanja</w:t>
        </w:r>
        <w:r w:rsidR="00401913" w:rsidRPr="00401913">
          <w:rPr>
            <w:webHidden/>
            <w:lang w:val="sv-SE"/>
          </w:rPr>
          <w:tab/>
        </w:r>
        <w:r w:rsidR="00CB66AB">
          <w:rPr>
            <w:webHidden/>
          </w:rPr>
          <w:fldChar w:fldCharType="begin"/>
        </w:r>
        <w:r w:rsidR="00401913" w:rsidRPr="00401913">
          <w:rPr>
            <w:webHidden/>
            <w:lang w:val="sv-SE"/>
          </w:rPr>
          <w:instrText xml:space="preserve"> PAGEREF _Toc527401364 \h </w:instrText>
        </w:r>
        <w:r w:rsidR="00CB66AB">
          <w:rPr>
            <w:webHidden/>
          </w:rPr>
        </w:r>
        <w:r w:rsidR="00CB66AB">
          <w:rPr>
            <w:webHidden/>
          </w:rPr>
          <w:fldChar w:fldCharType="separate"/>
        </w:r>
        <w:r w:rsidR="00A6094F">
          <w:rPr>
            <w:webHidden/>
            <w:lang w:val="sv-SE"/>
          </w:rPr>
          <w:t>313</w:t>
        </w:r>
        <w:r w:rsidR="00CB66AB">
          <w:rPr>
            <w:webHidden/>
          </w:rPr>
          <w:fldChar w:fldCharType="end"/>
        </w:r>
      </w:hyperlink>
    </w:p>
    <w:p w14:paraId="7D39A7C2" w14:textId="77777777" w:rsidR="00E03711" w:rsidRPr="00401913" w:rsidRDefault="00E03711" w:rsidP="00F54CA9">
      <w:pPr>
        <w:pStyle w:val="TOC2"/>
        <w:rPr>
          <w:rFonts w:asciiTheme="minorHAnsi" w:eastAsiaTheme="minorEastAsia" w:hAnsiTheme="minorHAnsi" w:cstheme="minorBidi"/>
          <w:bCs w:val="0"/>
          <w:kern w:val="0"/>
          <w:sz w:val="22"/>
          <w:szCs w:val="22"/>
          <w:lang w:val="sv-SE" w:eastAsia="ja-JP"/>
        </w:rPr>
      </w:pPr>
    </w:p>
    <w:p w14:paraId="7D39A7C3" w14:textId="77777777" w:rsidR="00E03711" w:rsidRPr="00217849" w:rsidRDefault="00E03711" w:rsidP="00A95E30">
      <w:pPr>
        <w:pStyle w:val="Guide-Heading2"/>
        <w:rPr>
          <w:lang w:val="sl-SI"/>
        </w:rPr>
        <w:sectPr w:rsidR="00E03711" w:rsidRPr="00217849" w:rsidSect="007F4890">
          <w:headerReference w:type="default" r:id="rId151"/>
          <w:endnotePr>
            <w:numFmt w:val="decimal"/>
          </w:endnotePr>
          <w:pgSz w:w="11910" w:h="16840" w:code="9"/>
          <w:pgMar w:top="1134" w:right="1418" w:bottom="1134" w:left="1418" w:header="283" w:footer="567" w:gutter="0"/>
          <w:cols w:space="720"/>
          <w:docGrid w:linePitch="326"/>
        </w:sectPr>
      </w:pPr>
    </w:p>
    <w:p w14:paraId="7D39A7C4" w14:textId="77777777" w:rsidR="00E03711" w:rsidRDefault="00E03711">
      <w:pPr>
        <w:pStyle w:val="Guide-Heading2"/>
        <w:rPr>
          <w:lang w:val="sl-SI"/>
        </w:rPr>
      </w:pPr>
      <w:bookmarkStart w:id="548" w:name="_Toc527400960"/>
      <w:bookmarkStart w:id="549" w:name="_Toc527401266"/>
      <w:r w:rsidRPr="001048FE">
        <w:rPr>
          <w:lang w:val="sl-SI"/>
        </w:rPr>
        <w:t>Projekt mobilnosti za študente in osebje v</w:t>
      </w:r>
      <w:bookmarkStart w:id="550" w:name="Projekt_mobilnosti_za_študente_in_osebje"/>
      <w:bookmarkEnd w:id="550"/>
      <w:r w:rsidRPr="001048FE">
        <w:rPr>
          <w:lang w:val="sl-SI"/>
        </w:rPr>
        <w:t xml:space="preserve"> visokošolskem izobraževanju</w:t>
      </w:r>
      <w:bookmarkEnd w:id="548"/>
      <w:bookmarkEnd w:id="549"/>
    </w:p>
    <w:p w14:paraId="7D39A7C5" w14:textId="77777777" w:rsidR="00E03711" w:rsidRDefault="00E03711" w:rsidP="004E0501">
      <w:pPr>
        <w:pStyle w:val="Guide-AnnexHeading3"/>
        <w:numPr>
          <w:ilvl w:val="0"/>
          <w:numId w:val="0"/>
        </w:numPr>
        <w:rPr>
          <w:lang w:val="sl-SI"/>
        </w:rPr>
      </w:pPr>
      <w:bookmarkStart w:id="551" w:name="_Toc524425605"/>
      <w:bookmarkStart w:id="552" w:name="_Toc526422843"/>
      <w:bookmarkStart w:id="553" w:name="_Toc527400961"/>
      <w:bookmarkStart w:id="554" w:name="_Toc527401267"/>
      <w:r w:rsidRPr="004E0501">
        <w:rPr>
          <w:lang w:val="sl-SI"/>
        </w:rPr>
        <w:t>1.</w:t>
      </w:r>
      <w:r>
        <w:rPr>
          <w:lang w:val="sl-SI"/>
        </w:rPr>
        <w:t xml:space="preserve"> </w:t>
      </w:r>
      <w:r w:rsidRPr="001048FE">
        <w:rPr>
          <w:lang w:val="sl-SI"/>
        </w:rPr>
        <w:t>Pred</w:t>
      </w:r>
      <w:r w:rsidRPr="001048FE">
        <w:rPr>
          <w:spacing w:val="5"/>
          <w:lang w:val="sl-SI"/>
        </w:rPr>
        <w:t xml:space="preserve"> </w:t>
      </w:r>
      <w:r w:rsidRPr="001048FE">
        <w:rPr>
          <w:lang w:val="sl-SI"/>
        </w:rPr>
        <w:t>mobilnostjo</w:t>
      </w:r>
      <w:bookmarkEnd w:id="551"/>
      <w:bookmarkEnd w:id="552"/>
      <w:bookmarkEnd w:id="553"/>
      <w:bookmarkEnd w:id="554"/>
    </w:p>
    <w:p w14:paraId="7D39A7C6" w14:textId="77777777" w:rsidR="00E03711" w:rsidRPr="001048FE" w:rsidRDefault="00E03711" w:rsidP="00A95E30">
      <w:pPr>
        <w:pStyle w:val="Guide-Heading4"/>
        <w:rPr>
          <w:lang w:val="sl-SI"/>
        </w:rPr>
      </w:pPr>
      <w:bookmarkStart w:id="555" w:name="_Toc527401268"/>
      <w:r w:rsidRPr="001048FE">
        <w:rPr>
          <w:lang w:val="sl-SI"/>
        </w:rPr>
        <w:t>A: Akreditacija sodelujočih organizacij</w:t>
      </w:r>
      <w:bookmarkEnd w:id="555"/>
    </w:p>
    <w:p w14:paraId="7D39A7C7" w14:textId="77777777" w:rsidR="00E03711" w:rsidRPr="001048FE" w:rsidRDefault="00E03711" w:rsidP="00A95E30">
      <w:pPr>
        <w:pStyle w:val="Guide-Heading5"/>
        <w:rPr>
          <w:lang w:val="sl-SI"/>
        </w:rPr>
      </w:pPr>
      <w:r w:rsidRPr="001048FE">
        <w:rPr>
          <w:lang w:val="sl-SI"/>
        </w:rPr>
        <w:t>Listina Erasmus za terciarno izobraževanje</w:t>
      </w:r>
    </w:p>
    <w:p w14:paraId="7D39A7C8" w14:textId="77777777" w:rsidR="00E03711" w:rsidRPr="001048FE" w:rsidRDefault="00E03711" w:rsidP="00A95E30">
      <w:pPr>
        <w:pStyle w:val="GUIDE-NORMAL"/>
        <w:rPr>
          <w:lang w:val="sl-SI"/>
        </w:rPr>
      </w:pPr>
      <w:r w:rsidRPr="001048FE">
        <w:rPr>
          <w:lang w:val="sl-SI"/>
        </w:rPr>
        <w:t>Listina</w:t>
      </w:r>
      <w:r w:rsidRPr="001048FE">
        <w:rPr>
          <w:spacing w:val="-17"/>
          <w:lang w:val="sl-SI"/>
        </w:rPr>
        <w:t xml:space="preserve"> </w:t>
      </w:r>
      <w:r w:rsidRPr="001048FE">
        <w:rPr>
          <w:lang w:val="sl-SI"/>
        </w:rPr>
        <w:t>Erasmus</w:t>
      </w:r>
      <w:r w:rsidRPr="001048FE">
        <w:rPr>
          <w:spacing w:val="-17"/>
          <w:lang w:val="sl-SI"/>
        </w:rPr>
        <w:t xml:space="preserve"> </w:t>
      </w:r>
      <w:r w:rsidRPr="001048FE">
        <w:rPr>
          <w:lang w:val="sl-SI"/>
        </w:rPr>
        <w:t>za</w:t>
      </w:r>
      <w:r w:rsidRPr="001048FE">
        <w:rPr>
          <w:spacing w:val="-17"/>
          <w:lang w:val="sl-SI"/>
        </w:rPr>
        <w:t xml:space="preserve"> </w:t>
      </w:r>
      <w:r w:rsidRPr="001048FE">
        <w:rPr>
          <w:lang w:val="sl-SI"/>
        </w:rPr>
        <w:t>terciarno</w:t>
      </w:r>
      <w:r w:rsidRPr="001048FE">
        <w:rPr>
          <w:spacing w:val="-17"/>
          <w:lang w:val="sl-SI"/>
        </w:rPr>
        <w:t xml:space="preserve"> </w:t>
      </w:r>
      <w:r w:rsidRPr="001048FE">
        <w:rPr>
          <w:lang w:val="sl-SI"/>
        </w:rPr>
        <w:t>izobraževanje</w:t>
      </w:r>
      <w:r w:rsidRPr="001048FE">
        <w:rPr>
          <w:spacing w:val="-17"/>
          <w:lang w:val="sl-SI"/>
        </w:rPr>
        <w:t xml:space="preserve"> </w:t>
      </w:r>
      <w:r w:rsidRPr="001048FE">
        <w:rPr>
          <w:lang w:val="sl-SI"/>
        </w:rPr>
        <w:t>(ECHE)</w:t>
      </w:r>
      <w:r w:rsidRPr="001048FE">
        <w:rPr>
          <w:spacing w:val="-17"/>
          <w:lang w:val="sl-SI"/>
        </w:rPr>
        <w:t xml:space="preserve"> </w:t>
      </w:r>
      <w:r w:rsidRPr="001048FE">
        <w:rPr>
          <w:lang w:val="sl-SI"/>
        </w:rPr>
        <w:t>zagotavlja</w:t>
      </w:r>
      <w:r w:rsidRPr="001048FE">
        <w:rPr>
          <w:spacing w:val="-17"/>
          <w:lang w:val="sl-SI"/>
        </w:rPr>
        <w:t xml:space="preserve"> </w:t>
      </w:r>
      <w:r w:rsidRPr="001048FE">
        <w:rPr>
          <w:lang w:val="sl-SI"/>
        </w:rPr>
        <w:t>splošni</w:t>
      </w:r>
      <w:r w:rsidRPr="001048FE">
        <w:rPr>
          <w:spacing w:val="-17"/>
          <w:lang w:val="sl-SI"/>
        </w:rPr>
        <w:t xml:space="preserve"> </w:t>
      </w:r>
      <w:r w:rsidRPr="001048FE">
        <w:rPr>
          <w:lang w:val="sl-SI"/>
        </w:rPr>
        <w:t>okvir</w:t>
      </w:r>
      <w:r w:rsidRPr="001048FE">
        <w:rPr>
          <w:spacing w:val="-16"/>
          <w:lang w:val="sl-SI"/>
        </w:rPr>
        <w:t xml:space="preserve"> </w:t>
      </w:r>
      <w:r w:rsidRPr="001048FE">
        <w:rPr>
          <w:lang w:val="sl-SI"/>
        </w:rPr>
        <w:t>kakovosti</w:t>
      </w:r>
      <w:r w:rsidRPr="001048FE">
        <w:rPr>
          <w:spacing w:val="-17"/>
          <w:lang w:val="sl-SI"/>
        </w:rPr>
        <w:t xml:space="preserve"> </w:t>
      </w:r>
      <w:r w:rsidRPr="001048FE">
        <w:rPr>
          <w:lang w:val="sl-SI"/>
        </w:rPr>
        <w:t>za</w:t>
      </w:r>
      <w:r w:rsidRPr="001048FE">
        <w:rPr>
          <w:spacing w:val="-17"/>
          <w:lang w:val="sl-SI"/>
        </w:rPr>
        <w:t xml:space="preserve"> </w:t>
      </w:r>
      <w:r w:rsidRPr="001048FE">
        <w:rPr>
          <w:lang w:val="sl-SI"/>
        </w:rPr>
        <w:t>evropske</w:t>
      </w:r>
      <w:r w:rsidRPr="001048FE">
        <w:rPr>
          <w:spacing w:val="-17"/>
          <w:lang w:val="sl-SI"/>
        </w:rPr>
        <w:t xml:space="preserve"> </w:t>
      </w:r>
      <w:r w:rsidRPr="001048FE">
        <w:rPr>
          <w:lang w:val="sl-SI"/>
        </w:rPr>
        <w:t>in mednarodne</w:t>
      </w:r>
      <w:r w:rsidRPr="001048FE">
        <w:rPr>
          <w:spacing w:val="-10"/>
          <w:lang w:val="sl-SI"/>
        </w:rPr>
        <w:t xml:space="preserve"> </w:t>
      </w:r>
      <w:r w:rsidRPr="001048FE">
        <w:rPr>
          <w:lang w:val="sl-SI"/>
        </w:rPr>
        <w:t>aktivnosti</w:t>
      </w:r>
      <w:r w:rsidRPr="001048FE">
        <w:rPr>
          <w:spacing w:val="-10"/>
          <w:lang w:val="sl-SI"/>
        </w:rPr>
        <w:t xml:space="preserve"> </w:t>
      </w:r>
      <w:r w:rsidRPr="001048FE">
        <w:rPr>
          <w:lang w:val="sl-SI"/>
        </w:rPr>
        <w:t>sodelovanja,</w:t>
      </w:r>
      <w:r w:rsidRPr="001048FE">
        <w:rPr>
          <w:spacing w:val="-10"/>
          <w:lang w:val="sl-SI"/>
        </w:rPr>
        <w:t xml:space="preserve"> </w:t>
      </w:r>
      <w:r w:rsidRPr="001048FE">
        <w:rPr>
          <w:lang w:val="sl-SI"/>
        </w:rPr>
        <w:t>ki</w:t>
      </w:r>
      <w:r w:rsidRPr="001048FE">
        <w:rPr>
          <w:spacing w:val="-10"/>
          <w:lang w:val="sl-SI"/>
        </w:rPr>
        <w:t xml:space="preserve"> </w:t>
      </w:r>
      <w:r w:rsidRPr="001048FE">
        <w:rPr>
          <w:lang w:val="sl-SI"/>
        </w:rPr>
        <w:t>jih</w:t>
      </w:r>
      <w:r w:rsidRPr="001048FE">
        <w:rPr>
          <w:spacing w:val="-10"/>
          <w:lang w:val="sl-SI"/>
        </w:rPr>
        <w:t xml:space="preserve"> </w:t>
      </w:r>
      <w:r w:rsidRPr="001048FE">
        <w:rPr>
          <w:lang w:val="sl-SI"/>
        </w:rPr>
        <w:t>v</w:t>
      </w:r>
      <w:r w:rsidRPr="001048FE">
        <w:rPr>
          <w:spacing w:val="-10"/>
          <w:lang w:val="sl-SI"/>
        </w:rPr>
        <w:t xml:space="preserve"> </w:t>
      </w:r>
      <w:r w:rsidRPr="001048FE">
        <w:rPr>
          <w:lang w:val="sl-SI"/>
        </w:rPr>
        <w:t>okviru</w:t>
      </w:r>
      <w:r w:rsidRPr="001048FE">
        <w:rPr>
          <w:spacing w:val="-9"/>
          <w:lang w:val="sl-SI"/>
        </w:rPr>
        <w:t xml:space="preserve"> </w:t>
      </w:r>
      <w:r w:rsidRPr="001048FE">
        <w:rPr>
          <w:lang w:val="sl-SI"/>
        </w:rPr>
        <w:t>Programa</w:t>
      </w:r>
      <w:r w:rsidRPr="001048FE">
        <w:rPr>
          <w:spacing w:val="-10"/>
          <w:lang w:val="sl-SI"/>
        </w:rPr>
        <w:t xml:space="preserve"> </w:t>
      </w:r>
      <w:r w:rsidRPr="001048FE">
        <w:rPr>
          <w:lang w:val="sl-SI"/>
        </w:rPr>
        <w:t>lahko</w:t>
      </w:r>
      <w:r w:rsidRPr="001048FE">
        <w:rPr>
          <w:spacing w:val="-10"/>
          <w:lang w:val="sl-SI"/>
        </w:rPr>
        <w:t xml:space="preserve"> </w:t>
      </w:r>
      <w:r w:rsidRPr="001048FE">
        <w:rPr>
          <w:lang w:val="sl-SI"/>
        </w:rPr>
        <w:t>izvede</w:t>
      </w:r>
      <w:r w:rsidRPr="001048FE">
        <w:rPr>
          <w:spacing w:val="-10"/>
          <w:lang w:val="sl-SI"/>
        </w:rPr>
        <w:t xml:space="preserve"> </w:t>
      </w:r>
      <w:r w:rsidRPr="001048FE">
        <w:rPr>
          <w:lang w:val="sl-SI"/>
        </w:rPr>
        <w:t>visokošolska</w:t>
      </w:r>
      <w:r w:rsidRPr="001048FE">
        <w:rPr>
          <w:spacing w:val="-10"/>
          <w:lang w:val="sl-SI"/>
        </w:rPr>
        <w:t xml:space="preserve"> </w:t>
      </w:r>
      <w:r w:rsidRPr="001048FE">
        <w:rPr>
          <w:lang w:val="sl-SI"/>
        </w:rPr>
        <w:t>institucija.</w:t>
      </w:r>
    </w:p>
    <w:p w14:paraId="7D39A7C9" w14:textId="77777777" w:rsidR="00E03711" w:rsidRPr="001048FE" w:rsidRDefault="00E03711" w:rsidP="00A95E30">
      <w:pPr>
        <w:pStyle w:val="GUIDE-NORMAL"/>
        <w:rPr>
          <w:lang w:val="sl-SI"/>
        </w:rPr>
      </w:pPr>
      <w:r w:rsidRPr="001048FE">
        <w:rPr>
          <w:lang w:val="sl-SI"/>
        </w:rPr>
        <w:t>Dodelitev Listine Erasmus za terciarno izobraževanje je pogoj, ki ga morajo izpolnjevati vse visokošolske institucije, ki so iz držav Programa in želijo biti v okviru Programa vključene v učno mobilnost posameznikov in/ali sodelovanje na področju inovacij in dobrih praks. Za visokošolske institucije iz partnerskih držav Listina Erasmus za terciarno izobraževanje ni zahtevana in okvir kakovosti se bo zagotovil z medinstitucionalnimi sporazumi med visokošolskimi institucijami (glej spodaj).</w:t>
      </w:r>
    </w:p>
    <w:p w14:paraId="7D39A7CA" w14:textId="77777777" w:rsidR="00E03711" w:rsidRPr="001048FE" w:rsidRDefault="00E03711" w:rsidP="00A95E30">
      <w:pPr>
        <w:pStyle w:val="GUIDE-NORMAL"/>
        <w:rPr>
          <w:rStyle w:val="Hyperlink"/>
          <w:color w:val="auto"/>
          <w:u w:val="none"/>
          <w:lang w:val="sl-SI"/>
        </w:rPr>
      </w:pPr>
      <w:r w:rsidRPr="001048FE">
        <w:rPr>
          <w:lang w:val="sl-SI"/>
        </w:rPr>
        <w:t xml:space="preserve">Razpis za zbiranje predlogov za dodelitev Listine Erasmus za terciarno izobraževanje vsako leto objavi Izvajalska agencija </w:t>
      </w:r>
      <w:r w:rsidRPr="001048FE">
        <w:rPr>
          <w:lang w:val="sl-SI"/>
        </w:rPr>
        <w:br/>
        <w:t xml:space="preserve">v Bruslju. Če je listina dodeljena, je veljavna celotno obdobje trajanja Programa. Pogoji za vlogo za pridobitev Listine </w:t>
      </w:r>
      <w:r w:rsidRPr="001048FE">
        <w:rPr>
          <w:lang w:val="sl-SI"/>
        </w:rPr>
        <w:br/>
        <w:t xml:space="preserve">Erasmus za terciarno izobraževanje so opisani na </w:t>
      </w:r>
      <w:hyperlink r:id="rId152">
        <w:r w:rsidRPr="001048FE">
          <w:rPr>
            <w:lang w:val="sl-SI"/>
          </w:rPr>
          <w:t>spletišču Izvajalske agencije</w:t>
        </w:r>
      </w:hyperlink>
      <w:r w:rsidRPr="001048FE">
        <w:rPr>
          <w:lang w:val="sl-SI"/>
        </w:rPr>
        <w:t xml:space="preserve">: </w:t>
      </w:r>
      <w:hyperlink r:id="rId153">
        <w:r w:rsidRPr="001048FE">
          <w:rPr>
            <w:rStyle w:val="Hyperlink"/>
            <w:lang w:val="sl-SI"/>
          </w:rPr>
          <w:t>https://eacea.ec.europa.eu/erasmus-plus/funding/erasmus-charter-for-higher-education-2014-2020_e</w:t>
        </w:r>
      </w:hyperlink>
      <w:hyperlink r:id="rId154">
        <w:r w:rsidRPr="001048FE">
          <w:rPr>
            <w:rStyle w:val="Hyperlink"/>
            <w:lang w:val="sl-SI"/>
          </w:rPr>
          <w:t>n.</w:t>
        </w:r>
      </w:hyperlink>
    </w:p>
    <w:p w14:paraId="7D39A7CB" w14:textId="77777777" w:rsidR="00E03711" w:rsidRPr="001048FE" w:rsidRDefault="00E03711" w:rsidP="00FF6BF0">
      <w:pPr>
        <w:pStyle w:val="GUIDE-NORMAL"/>
        <w:rPr>
          <w:lang w:val="sl-SI"/>
        </w:rPr>
      </w:pPr>
      <w:r w:rsidRPr="001048FE">
        <w:rPr>
          <w:lang w:val="sl-SI"/>
        </w:rPr>
        <w:t>Visokošolske institucije morajo med izvajanjem projekta spoštovati vse določbe Listine Erasmus za terciarno izobraževanje. Skladnost bo spremljala nacionalna agencija, katere strategija spremljanja bo temeljila na Vodniku za spremljanje Listine Erasmus za terciarno izobraževanje (</w:t>
      </w:r>
      <w:hyperlink r:id="rId155" w:history="1">
        <w:r w:rsidRPr="00FF6BF0">
          <w:rPr>
            <w:rStyle w:val="Hyperlink"/>
            <w:lang w:val="sl-SI"/>
          </w:rPr>
          <w:t>https://ec.europa.eu/programmes/erasmus-plus/resources/documents/erasmus-charter-higher-education-monitoring-guide_en</w:t>
        </w:r>
      </w:hyperlink>
      <w:r w:rsidRPr="001048FE">
        <w:rPr>
          <w:lang w:val="sl-SI"/>
        </w:rPr>
        <w:t>), novem priročniku, ki zagotavlja nabor dogovorjenih smernic in primerov dobrih praks na področju spremljanja in izboljšanja skladnosti z Listino Erasmus za terciarno izobraževanje.</w:t>
      </w:r>
    </w:p>
    <w:p w14:paraId="7D39A7CC" w14:textId="77777777" w:rsidR="00E03711" w:rsidRPr="001048FE" w:rsidRDefault="00E03711" w:rsidP="00A95E30">
      <w:pPr>
        <w:pStyle w:val="GUIDE-NORMAL"/>
        <w:rPr>
          <w:lang w:val="sl-SI"/>
        </w:rPr>
      </w:pPr>
      <w:r w:rsidRPr="001048FE">
        <w:rPr>
          <w:lang w:val="sl-SI"/>
        </w:rPr>
        <w:t>Visokošolske</w:t>
      </w:r>
      <w:r w:rsidRPr="001048FE">
        <w:rPr>
          <w:spacing w:val="-5"/>
          <w:lang w:val="sl-SI"/>
        </w:rPr>
        <w:t xml:space="preserve"> </w:t>
      </w:r>
      <w:r w:rsidRPr="001048FE">
        <w:rPr>
          <w:lang w:val="sl-SI"/>
        </w:rPr>
        <w:t>institucije,</w:t>
      </w:r>
      <w:r w:rsidRPr="001048FE">
        <w:rPr>
          <w:spacing w:val="-5"/>
          <w:lang w:val="sl-SI"/>
        </w:rPr>
        <w:t xml:space="preserve"> </w:t>
      </w:r>
      <w:r w:rsidRPr="001048FE">
        <w:rPr>
          <w:lang w:val="sl-SI"/>
        </w:rPr>
        <w:t>ki</w:t>
      </w:r>
      <w:r w:rsidRPr="001048FE">
        <w:rPr>
          <w:spacing w:val="-5"/>
          <w:lang w:val="sl-SI"/>
        </w:rPr>
        <w:t xml:space="preserve"> </w:t>
      </w:r>
      <w:r w:rsidRPr="001048FE">
        <w:rPr>
          <w:lang w:val="sl-SI"/>
        </w:rPr>
        <w:t>se</w:t>
      </w:r>
      <w:r w:rsidRPr="001048FE">
        <w:rPr>
          <w:spacing w:val="-5"/>
          <w:lang w:val="sl-SI"/>
        </w:rPr>
        <w:t xml:space="preserve"> </w:t>
      </w:r>
      <w:r w:rsidRPr="001048FE">
        <w:rPr>
          <w:lang w:val="sl-SI"/>
        </w:rPr>
        <w:t>prijavljajo</w:t>
      </w:r>
      <w:r w:rsidRPr="001048FE">
        <w:rPr>
          <w:spacing w:val="-5"/>
          <w:lang w:val="sl-SI"/>
        </w:rPr>
        <w:t xml:space="preserve"> </w:t>
      </w:r>
      <w:r w:rsidRPr="001048FE">
        <w:rPr>
          <w:lang w:val="sl-SI"/>
        </w:rPr>
        <w:t>za</w:t>
      </w:r>
      <w:r w:rsidRPr="001048FE">
        <w:rPr>
          <w:spacing w:val="-5"/>
          <w:lang w:val="sl-SI"/>
        </w:rPr>
        <w:t xml:space="preserve"> </w:t>
      </w:r>
      <w:r w:rsidRPr="001048FE">
        <w:rPr>
          <w:lang w:val="sl-SI"/>
        </w:rPr>
        <w:t>projekte</w:t>
      </w:r>
      <w:r w:rsidRPr="001048FE">
        <w:rPr>
          <w:spacing w:val="-5"/>
          <w:lang w:val="sl-SI"/>
        </w:rPr>
        <w:t xml:space="preserve"> </w:t>
      </w:r>
      <w:r w:rsidRPr="001048FE">
        <w:rPr>
          <w:lang w:val="sl-SI"/>
        </w:rPr>
        <w:t>Erasmus+</w:t>
      </w:r>
      <w:r w:rsidRPr="001048FE">
        <w:rPr>
          <w:spacing w:val="-5"/>
          <w:lang w:val="sl-SI"/>
        </w:rPr>
        <w:t xml:space="preserve"> </w:t>
      </w:r>
      <w:r w:rsidRPr="001048FE">
        <w:rPr>
          <w:lang w:val="sl-SI"/>
        </w:rPr>
        <w:t>in</w:t>
      </w:r>
      <w:r w:rsidRPr="001048FE">
        <w:rPr>
          <w:spacing w:val="-5"/>
          <w:lang w:val="sl-SI"/>
        </w:rPr>
        <w:t xml:space="preserve"> </w:t>
      </w:r>
      <w:r w:rsidRPr="001048FE">
        <w:rPr>
          <w:lang w:val="sl-SI"/>
        </w:rPr>
        <w:t>v</w:t>
      </w:r>
      <w:r w:rsidRPr="001048FE">
        <w:rPr>
          <w:spacing w:val="-5"/>
          <w:lang w:val="sl-SI"/>
        </w:rPr>
        <w:t xml:space="preserve"> </w:t>
      </w:r>
      <w:r w:rsidRPr="001048FE">
        <w:rPr>
          <w:lang w:val="sl-SI"/>
        </w:rPr>
        <w:t>njih</w:t>
      </w:r>
      <w:r w:rsidRPr="001048FE">
        <w:rPr>
          <w:spacing w:val="-5"/>
          <w:lang w:val="sl-SI"/>
        </w:rPr>
        <w:t xml:space="preserve"> </w:t>
      </w:r>
      <w:r w:rsidRPr="001048FE">
        <w:rPr>
          <w:lang w:val="sl-SI"/>
        </w:rPr>
        <w:t>sodelujejo,</w:t>
      </w:r>
      <w:r w:rsidRPr="001048FE">
        <w:rPr>
          <w:spacing w:val="-5"/>
          <w:lang w:val="sl-SI"/>
        </w:rPr>
        <w:t xml:space="preserve"> </w:t>
      </w:r>
      <w:r w:rsidRPr="001048FE">
        <w:rPr>
          <w:lang w:val="sl-SI"/>
        </w:rPr>
        <w:t>naj</w:t>
      </w:r>
      <w:r w:rsidRPr="001048FE">
        <w:rPr>
          <w:spacing w:val="-5"/>
          <w:lang w:val="sl-SI"/>
        </w:rPr>
        <w:t xml:space="preserve"> </w:t>
      </w:r>
      <w:r w:rsidRPr="001048FE">
        <w:rPr>
          <w:lang w:val="sl-SI"/>
        </w:rPr>
        <w:t>v</w:t>
      </w:r>
      <w:r w:rsidRPr="001048FE">
        <w:rPr>
          <w:spacing w:val="-5"/>
          <w:lang w:val="sl-SI"/>
        </w:rPr>
        <w:t xml:space="preserve"> </w:t>
      </w:r>
      <w:r w:rsidRPr="001048FE">
        <w:rPr>
          <w:lang w:val="sl-SI"/>
        </w:rPr>
        <w:t>tem</w:t>
      </w:r>
      <w:r w:rsidRPr="001048FE">
        <w:rPr>
          <w:spacing w:val="-5"/>
          <w:lang w:val="sl-SI"/>
        </w:rPr>
        <w:t xml:space="preserve"> </w:t>
      </w:r>
      <w:r w:rsidRPr="001048FE">
        <w:rPr>
          <w:lang w:val="sl-SI"/>
        </w:rPr>
        <w:t>vodniku poiščejo</w:t>
      </w:r>
      <w:r w:rsidRPr="001048FE">
        <w:rPr>
          <w:spacing w:val="-11"/>
          <w:lang w:val="sl-SI"/>
        </w:rPr>
        <w:t xml:space="preserve"> </w:t>
      </w:r>
      <w:r w:rsidRPr="001048FE">
        <w:rPr>
          <w:lang w:val="sl-SI"/>
        </w:rPr>
        <w:t>informacije</w:t>
      </w:r>
      <w:r w:rsidRPr="001048FE">
        <w:rPr>
          <w:spacing w:val="-11"/>
          <w:lang w:val="sl-SI"/>
        </w:rPr>
        <w:t xml:space="preserve"> </w:t>
      </w:r>
      <w:r w:rsidRPr="001048FE">
        <w:rPr>
          <w:lang w:val="sl-SI"/>
        </w:rPr>
        <w:t>o</w:t>
      </w:r>
      <w:r w:rsidRPr="001048FE">
        <w:rPr>
          <w:spacing w:val="-10"/>
          <w:lang w:val="sl-SI"/>
        </w:rPr>
        <w:t xml:space="preserve"> </w:t>
      </w:r>
      <w:r w:rsidRPr="001048FE">
        <w:rPr>
          <w:lang w:val="sl-SI"/>
        </w:rPr>
        <w:t>prednostnih</w:t>
      </w:r>
      <w:r w:rsidRPr="001048FE">
        <w:rPr>
          <w:spacing w:val="-11"/>
          <w:lang w:val="sl-SI"/>
        </w:rPr>
        <w:t xml:space="preserve"> </w:t>
      </w:r>
      <w:r w:rsidRPr="001048FE">
        <w:rPr>
          <w:lang w:val="sl-SI"/>
        </w:rPr>
        <w:t>področjih</w:t>
      </w:r>
      <w:r w:rsidRPr="001048FE">
        <w:rPr>
          <w:spacing w:val="-11"/>
          <w:lang w:val="sl-SI"/>
        </w:rPr>
        <w:t xml:space="preserve"> </w:t>
      </w:r>
      <w:r w:rsidRPr="001048FE">
        <w:rPr>
          <w:lang w:val="sl-SI"/>
        </w:rPr>
        <w:t>skladnosti</w:t>
      </w:r>
      <w:r w:rsidRPr="001048FE">
        <w:rPr>
          <w:spacing w:val="-11"/>
          <w:lang w:val="sl-SI"/>
        </w:rPr>
        <w:t xml:space="preserve"> </w:t>
      </w:r>
      <w:r w:rsidRPr="001048FE">
        <w:rPr>
          <w:lang w:val="sl-SI"/>
        </w:rPr>
        <w:t>z</w:t>
      </w:r>
      <w:r w:rsidRPr="001048FE">
        <w:rPr>
          <w:spacing w:val="-11"/>
          <w:lang w:val="sl-SI"/>
        </w:rPr>
        <w:t xml:space="preserve"> </w:t>
      </w:r>
      <w:r w:rsidRPr="001048FE">
        <w:rPr>
          <w:lang w:val="sl-SI"/>
        </w:rPr>
        <w:t>Listino</w:t>
      </w:r>
      <w:r w:rsidRPr="001048FE">
        <w:rPr>
          <w:spacing w:val="-11"/>
          <w:lang w:val="sl-SI"/>
        </w:rPr>
        <w:t xml:space="preserve"> </w:t>
      </w:r>
      <w:r w:rsidRPr="001048FE">
        <w:rPr>
          <w:lang w:val="sl-SI"/>
        </w:rPr>
        <w:t>Erasmus</w:t>
      </w:r>
      <w:r w:rsidRPr="001048FE">
        <w:rPr>
          <w:spacing w:val="-11"/>
          <w:lang w:val="sl-SI"/>
        </w:rPr>
        <w:t xml:space="preserve"> </w:t>
      </w:r>
      <w:r w:rsidRPr="001048FE">
        <w:rPr>
          <w:lang w:val="sl-SI"/>
        </w:rPr>
        <w:t>za</w:t>
      </w:r>
      <w:r w:rsidRPr="001048FE">
        <w:rPr>
          <w:spacing w:val="-11"/>
          <w:lang w:val="sl-SI"/>
        </w:rPr>
        <w:t xml:space="preserve"> </w:t>
      </w:r>
      <w:r w:rsidRPr="001048FE">
        <w:rPr>
          <w:lang w:val="sl-SI"/>
        </w:rPr>
        <w:t>terciarno</w:t>
      </w:r>
      <w:r w:rsidRPr="001048FE">
        <w:rPr>
          <w:spacing w:val="-11"/>
          <w:lang w:val="sl-SI"/>
        </w:rPr>
        <w:t xml:space="preserve"> </w:t>
      </w:r>
      <w:r w:rsidRPr="001048FE">
        <w:rPr>
          <w:lang w:val="sl-SI"/>
        </w:rPr>
        <w:t>izobraževanje ter o razpoložljivih orodjih, smernicah in spletnih</w:t>
      </w:r>
      <w:r w:rsidRPr="001048FE">
        <w:rPr>
          <w:spacing w:val="-17"/>
          <w:lang w:val="sl-SI"/>
        </w:rPr>
        <w:t xml:space="preserve"> </w:t>
      </w:r>
      <w:r w:rsidRPr="001048FE">
        <w:rPr>
          <w:lang w:val="sl-SI"/>
        </w:rPr>
        <w:t>povezavah.</w:t>
      </w:r>
    </w:p>
    <w:p w14:paraId="7D39A7CD" w14:textId="77777777" w:rsidR="00E03711" w:rsidRPr="001048FE" w:rsidRDefault="00E03711" w:rsidP="00A95E30">
      <w:pPr>
        <w:pStyle w:val="GUIDE-NORMAL"/>
        <w:rPr>
          <w:lang w:val="sl-SI"/>
        </w:rPr>
      </w:pPr>
      <w:r w:rsidRPr="001048FE">
        <w:rPr>
          <w:lang w:val="sl-SI"/>
        </w:rPr>
        <w:t>Ob kršitvi kakršnih koli načel in obveznosti Listine Erasmus za terciarno izobraževanje lahko Evropska komisija listino prekliče.</w:t>
      </w:r>
    </w:p>
    <w:p w14:paraId="7D39A7CE" w14:textId="77777777" w:rsidR="00E03711" w:rsidRPr="001048FE" w:rsidRDefault="00E03711" w:rsidP="00A95E30">
      <w:pPr>
        <w:pStyle w:val="Guide-Heading5"/>
        <w:rPr>
          <w:lang w:val="sl-SI"/>
        </w:rPr>
      </w:pPr>
      <w:r w:rsidRPr="001048FE">
        <w:rPr>
          <w:lang w:val="sl-SI"/>
        </w:rPr>
        <w:t>Akreditacija konzorcija</w:t>
      </w:r>
    </w:p>
    <w:p w14:paraId="7D39A7CF" w14:textId="77777777" w:rsidR="00E03711" w:rsidRPr="001048FE" w:rsidRDefault="00E03711" w:rsidP="00A95E30">
      <w:pPr>
        <w:pStyle w:val="GUIDE-NORMAL"/>
        <w:rPr>
          <w:lang w:val="sl-SI"/>
        </w:rPr>
      </w:pPr>
      <w:r w:rsidRPr="001048FE">
        <w:rPr>
          <w:lang w:val="sl-SI"/>
        </w:rPr>
        <w:t>Nacionalni konzorcij za mobilnost na področju visokošolskega izobraževanja lahko podpira katero koli od štirih upravičenih aktivnosti mobilnosti v projektu mobilnosti v visokošolskem izobraževanju.</w:t>
      </w:r>
    </w:p>
    <w:p w14:paraId="7D39A7D0" w14:textId="77777777" w:rsidR="00E03711" w:rsidRPr="001048FE" w:rsidRDefault="00E03711" w:rsidP="00A95E30">
      <w:pPr>
        <w:pStyle w:val="GUIDE-NORMAL"/>
        <w:rPr>
          <w:lang w:val="sl-SI"/>
        </w:rPr>
      </w:pPr>
      <w:r w:rsidRPr="001048FE">
        <w:rPr>
          <w:lang w:val="sl-SI"/>
        </w:rPr>
        <w:t>Namen konzorcijev za mobilnost je olajšati organizacijo mobilnosti in zagotoviti dodano vrednost v zvezi s kakovostjo aktivnosti v primerjavi s tem, kaj bi lahko ponudile posamezne visokošolske institucije pošiljateljice. Organizacije, ki so članice nacionalnega konzorcija za mobilnost, lahko združijo ali vzajemno uporabljajo storitve, povezane z organizacijo mobilnosti. Skupne aktivnosti lahko vključujejo skupno administrativno, pogodbeno in finančno upravljanje mobilnosti, skupni izbor in/ali priprave in spremljanje udeležencev ter, kadar je to ustrezno, osrednjo točko za iskanje podjetij in navezovanje stikov med podjetji in udeleženci. Nacionalni konzorcij za mobilnost ima lahko tudi vlogo posrednika za prihajajoče študente in praktikante. To vključuje iskanje organizacije gostiteljice v regiji, kjer se nahajajo partnerji konzorcija za mobilnost, in zagotavljanje pomoči, če je ta potrebna.</w:t>
      </w:r>
    </w:p>
    <w:p w14:paraId="7D39A7D1" w14:textId="77777777" w:rsidR="00E03711" w:rsidRPr="001048FE" w:rsidRDefault="00E03711" w:rsidP="00A95E30">
      <w:pPr>
        <w:pStyle w:val="GUIDE-NORMAL"/>
        <w:rPr>
          <w:lang w:val="sl-SI"/>
        </w:rPr>
      </w:pPr>
      <w:r w:rsidRPr="001048FE">
        <w:rPr>
          <w:lang w:val="sl-SI"/>
        </w:rPr>
        <w:t>Koordinator konzorcija, morda skupaj z drugimi organizacijami/organizacijami posrednicami,</w:t>
      </w:r>
      <w:r w:rsidRPr="001048FE">
        <w:rPr>
          <w:spacing w:val="-43"/>
          <w:lang w:val="sl-SI"/>
        </w:rPr>
        <w:t xml:space="preserve"> </w:t>
      </w:r>
      <w:r w:rsidRPr="001048FE">
        <w:rPr>
          <w:lang w:val="sl-SI"/>
        </w:rPr>
        <w:t>ima lahko</w:t>
      </w:r>
      <w:r w:rsidRPr="001048FE">
        <w:rPr>
          <w:spacing w:val="-8"/>
          <w:lang w:val="sl-SI"/>
        </w:rPr>
        <w:t xml:space="preserve"> </w:t>
      </w:r>
      <w:r w:rsidRPr="001048FE">
        <w:rPr>
          <w:lang w:val="sl-SI"/>
        </w:rPr>
        <w:t>aktivno</w:t>
      </w:r>
      <w:r w:rsidRPr="001048FE">
        <w:rPr>
          <w:spacing w:val="-8"/>
          <w:lang w:val="sl-SI"/>
        </w:rPr>
        <w:t xml:space="preserve"> </w:t>
      </w:r>
      <w:r w:rsidRPr="001048FE">
        <w:rPr>
          <w:lang w:val="sl-SI"/>
        </w:rPr>
        <w:t>vlogo</w:t>
      </w:r>
      <w:r w:rsidRPr="001048FE">
        <w:rPr>
          <w:spacing w:val="-8"/>
          <w:lang w:val="sl-SI"/>
        </w:rPr>
        <w:t xml:space="preserve"> </w:t>
      </w:r>
      <w:r w:rsidRPr="001048FE">
        <w:rPr>
          <w:lang w:val="sl-SI"/>
        </w:rPr>
        <w:t>pri</w:t>
      </w:r>
      <w:r w:rsidRPr="001048FE">
        <w:rPr>
          <w:spacing w:val="-8"/>
          <w:lang w:val="sl-SI"/>
        </w:rPr>
        <w:t xml:space="preserve"> </w:t>
      </w:r>
      <w:r w:rsidRPr="001048FE">
        <w:rPr>
          <w:lang w:val="sl-SI"/>
        </w:rPr>
        <w:t>spodbujanju</w:t>
      </w:r>
      <w:r w:rsidRPr="001048FE">
        <w:rPr>
          <w:spacing w:val="-8"/>
          <w:lang w:val="sl-SI"/>
        </w:rPr>
        <w:t xml:space="preserve"> </w:t>
      </w:r>
      <w:r w:rsidRPr="001048FE">
        <w:rPr>
          <w:lang w:val="sl-SI"/>
        </w:rPr>
        <w:t>navezovanja</w:t>
      </w:r>
      <w:r w:rsidRPr="001048FE">
        <w:rPr>
          <w:spacing w:val="-8"/>
          <w:lang w:val="sl-SI"/>
        </w:rPr>
        <w:t xml:space="preserve"> </w:t>
      </w:r>
      <w:r w:rsidRPr="001048FE">
        <w:rPr>
          <w:lang w:val="sl-SI"/>
        </w:rPr>
        <w:t>stikov</w:t>
      </w:r>
      <w:r w:rsidRPr="001048FE">
        <w:rPr>
          <w:spacing w:val="-8"/>
          <w:lang w:val="sl-SI"/>
        </w:rPr>
        <w:t xml:space="preserve"> </w:t>
      </w:r>
      <w:r w:rsidRPr="001048FE">
        <w:rPr>
          <w:lang w:val="sl-SI"/>
        </w:rPr>
        <w:t>s</w:t>
      </w:r>
      <w:r w:rsidRPr="001048FE">
        <w:rPr>
          <w:spacing w:val="-8"/>
          <w:lang w:val="sl-SI"/>
        </w:rPr>
        <w:t xml:space="preserve"> </w:t>
      </w:r>
      <w:r w:rsidRPr="001048FE">
        <w:rPr>
          <w:lang w:val="sl-SI"/>
        </w:rPr>
        <w:t>podjetji,</w:t>
      </w:r>
      <w:r w:rsidRPr="001048FE">
        <w:rPr>
          <w:spacing w:val="-8"/>
          <w:lang w:val="sl-SI"/>
        </w:rPr>
        <w:t xml:space="preserve"> </w:t>
      </w:r>
      <w:r w:rsidRPr="001048FE">
        <w:rPr>
          <w:lang w:val="sl-SI"/>
        </w:rPr>
        <w:t>iskanju</w:t>
      </w:r>
      <w:r w:rsidRPr="001048FE">
        <w:rPr>
          <w:spacing w:val="-8"/>
          <w:lang w:val="sl-SI"/>
        </w:rPr>
        <w:t xml:space="preserve"> </w:t>
      </w:r>
      <w:r w:rsidRPr="001048FE">
        <w:rPr>
          <w:lang w:val="sl-SI"/>
        </w:rPr>
        <w:t>priložnosti</w:t>
      </w:r>
      <w:r w:rsidRPr="001048FE">
        <w:rPr>
          <w:spacing w:val="-8"/>
          <w:lang w:val="sl-SI"/>
        </w:rPr>
        <w:t xml:space="preserve"> </w:t>
      </w:r>
      <w:r w:rsidRPr="001048FE">
        <w:rPr>
          <w:lang w:val="sl-SI"/>
        </w:rPr>
        <w:t>za</w:t>
      </w:r>
      <w:r w:rsidRPr="001048FE">
        <w:rPr>
          <w:spacing w:val="-8"/>
          <w:lang w:val="sl-SI"/>
        </w:rPr>
        <w:t xml:space="preserve"> </w:t>
      </w:r>
      <w:r w:rsidRPr="001048FE">
        <w:rPr>
          <w:lang w:val="sl-SI"/>
        </w:rPr>
        <w:t>prakse</w:t>
      </w:r>
      <w:r w:rsidRPr="001048FE">
        <w:rPr>
          <w:spacing w:val="-8"/>
          <w:lang w:val="sl-SI"/>
        </w:rPr>
        <w:t xml:space="preserve"> </w:t>
      </w:r>
      <w:r w:rsidRPr="001048FE">
        <w:rPr>
          <w:lang w:val="sl-SI"/>
        </w:rPr>
        <w:t>in usposabljanja za osebje, promociji teh aktivnosti, zagotavljanju informacij</w:t>
      </w:r>
      <w:r w:rsidRPr="001048FE">
        <w:rPr>
          <w:spacing w:val="-24"/>
          <w:lang w:val="sl-SI"/>
        </w:rPr>
        <w:t xml:space="preserve"> </w:t>
      </w:r>
      <w:r w:rsidRPr="001048FE">
        <w:rPr>
          <w:lang w:val="sl-SI"/>
        </w:rPr>
        <w:t>itd.</w:t>
      </w:r>
    </w:p>
    <w:p w14:paraId="7D39A7D2" w14:textId="77777777" w:rsidR="00E03711" w:rsidRPr="001048FE" w:rsidRDefault="00E03711" w:rsidP="00A95E30">
      <w:pPr>
        <w:pStyle w:val="GUIDE-NORMAL"/>
        <w:rPr>
          <w:lang w:val="sl-SI"/>
        </w:rPr>
      </w:pPr>
      <w:r w:rsidRPr="001048FE">
        <w:rPr>
          <w:lang w:val="sl-SI"/>
        </w:rPr>
        <w:t>Koordinator</w:t>
      </w:r>
      <w:r w:rsidRPr="001048FE">
        <w:rPr>
          <w:spacing w:val="-11"/>
          <w:lang w:val="sl-SI"/>
        </w:rPr>
        <w:t xml:space="preserve"> </w:t>
      </w:r>
      <w:r w:rsidRPr="001048FE">
        <w:rPr>
          <w:lang w:val="sl-SI"/>
        </w:rPr>
        <w:t>konzorcija</w:t>
      </w:r>
      <w:r w:rsidRPr="001048FE">
        <w:rPr>
          <w:spacing w:val="-11"/>
          <w:lang w:val="sl-SI"/>
        </w:rPr>
        <w:t xml:space="preserve"> </w:t>
      </w:r>
      <w:r w:rsidRPr="001048FE">
        <w:rPr>
          <w:lang w:val="sl-SI"/>
        </w:rPr>
        <w:t>je</w:t>
      </w:r>
      <w:r w:rsidRPr="001048FE">
        <w:rPr>
          <w:spacing w:val="-11"/>
          <w:lang w:val="sl-SI"/>
        </w:rPr>
        <w:t xml:space="preserve"> </w:t>
      </w:r>
      <w:r w:rsidRPr="001048FE">
        <w:rPr>
          <w:lang w:val="sl-SI"/>
        </w:rPr>
        <w:t>pozvan,</w:t>
      </w:r>
      <w:r w:rsidRPr="001048FE">
        <w:rPr>
          <w:spacing w:val="-11"/>
          <w:lang w:val="sl-SI"/>
        </w:rPr>
        <w:t xml:space="preserve"> </w:t>
      </w:r>
      <w:r w:rsidRPr="001048FE">
        <w:rPr>
          <w:lang w:val="sl-SI"/>
        </w:rPr>
        <w:t>naj</w:t>
      </w:r>
      <w:r w:rsidRPr="001048FE">
        <w:rPr>
          <w:spacing w:val="-11"/>
          <w:lang w:val="sl-SI"/>
        </w:rPr>
        <w:t xml:space="preserve"> </w:t>
      </w:r>
      <w:r w:rsidRPr="001048FE">
        <w:rPr>
          <w:lang w:val="sl-SI"/>
        </w:rPr>
        <w:t>se</w:t>
      </w:r>
      <w:r w:rsidRPr="001048FE">
        <w:rPr>
          <w:spacing w:val="-11"/>
          <w:lang w:val="sl-SI"/>
        </w:rPr>
        <w:t xml:space="preserve"> </w:t>
      </w:r>
      <w:r w:rsidRPr="001048FE">
        <w:rPr>
          <w:lang w:val="sl-SI"/>
        </w:rPr>
        <w:t>usklajuje</w:t>
      </w:r>
      <w:r w:rsidRPr="001048FE">
        <w:rPr>
          <w:spacing w:val="-11"/>
          <w:lang w:val="sl-SI"/>
        </w:rPr>
        <w:t xml:space="preserve"> </w:t>
      </w:r>
      <w:r w:rsidRPr="001048FE">
        <w:rPr>
          <w:lang w:val="sl-SI"/>
        </w:rPr>
        <w:t>s</w:t>
      </w:r>
      <w:r w:rsidRPr="001048FE">
        <w:rPr>
          <w:spacing w:val="-11"/>
          <w:lang w:val="sl-SI"/>
        </w:rPr>
        <w:t xml:space="preserve"> </w:t>
      </w:r>
      <w:r w:rsidRPr="001048FE">
        <w:rPr>
          <w:lang w:val="sl-SI"/>
        </w:rPr>
        <w:t>konzorciji</w:t>
      </w:r>
      <w:r w:rsidRPr="001048FE">
        <w:rPr>
          <w:spacing w:val="-11"/>
          <w:lang w:val="sl-SI"/>
        </w:rPr>
        <w:t xml:space="preserve"> </w:t>
      </w:r>
      <w:r w:rsidRPr="001048FE">
        <w:rPr>
          <w:lang w:val="sl-SI"/>
        </w:rPr>
        <w:t>iz</w:t>
      </w:r>
      <w:r w:rsidRPr="001048FE">
        <w:rPr>
          <w:spacing w:val="-11"/>
          <w:lang w:val="sl-SI"/>
        </w:rPr>
        <w:t xml:space="preserve"> </w:t>
      </w:r>
      <w:r w:rsidRPr="001048FE">
        <w:rPr>
          <w:lang w:val="sl-SI"/>
        </w:rPr>
        <w:t>drugih</w:t>
      </w:r>
      <w:r w:rsidRPr="001048FE">
        <w:rPr>
          <w:spacing w:val="-11"/>
          <w:lang w:val="sl-SI"/>
        </w:rPr>
        <w:t xml:space="preserve"> </w:t>
      </w:r>
      <w:r w:rsidRPr="001048FE">
        <w:rPr>
          <w:lang w:val="sl-SI"/>
        </w:rPr>
        <w:t>držav,</w:t>
      </w:r>
      <w:r w:rsidRPr="001048FE">
        <w:rPr>
          <w:spacing w:val="-11"/>
          <w:lang w:val="sl-SI"/>
        </w:rPr>
        <w:t xml:space="preserve"> </w:t>
      </w:r>
      <w:r w:rsidRPr="001048FE">
        <w:rPr>
          <w:lang w:val="sl-SI"/>
        </w:rPr>
        <w:t>da</w:t>
      </w:r>
      <w:r w:rsidRPr="001048FE">
        <w:rPr>
          <w:spacing w:val="-11"/>
          <w:lang w:val="sl-SI"/>
        </w:rPr>
        <w:t xml:space="preserve"> </w:t>
      </w:r>
      <w:r w:rsidRPr="001048FE">
        <w:rPr>
          <w:lang w:val="sl-SI"/>
        </w:rPr>
        <w:t>se</w:t>
      </w:r>
      <w:r w:rsidRPr="001048FE">
        <w:rPr>
          <w:spacing w:val="-11"/>
          <w:lang w:val="sl-SI"/>
        </w:rPr>
        <w:t xml:space="preserve"> </w:t>
      </w:r>
      <w:r w:rsidRPr="001048FE">
        <w:rPr>
          <w:lang w:val="sl-SI"/>
        </w:rPr>
        <w:t>povečata razpoložljivost in kakovost praks in podprejo študentske prakse</w:t>
      </w:r>
      <w:r w:rsidRPr="001048FE">
        <w:rPr>
          <w:spacing w:val="-33"/>
          <w:lang w:val="sl-SI"/>
        </w:rPr>
        <w:t xml:space="preserve"> </w:t>
      </w:r>
      <w:r w:rsidRPr="001048FE">
        <w:rPr>
          <w:lang w:val="sl-SI"/>
        </w:rPr>
        <w:t>Erasmus+.</w:t>
      </w:r>
    </w:p>
    <w:p w14:paraId="7D39A7D3" w14:textId="77777777" w:rsidR="00E03711" w:rsidRPr="001048FE" w:rsidRDefault="00E03711" w:rsidP="007F239A">
      <w:pPr>
        <w:pStyle w:val="GUIDE-NORMAL"/>
        <w:rPr>
          <w:lang w:val="sl-SI"/>
        </w:rPr>
      </w:pPr>
      <w:r w:rsidRPr="001048FE">
        <w:rPr>
          <w:lang w:val="sl-SI"/>
        </w:rPr>
        <w:t>Vsaka visokošolska institucija pošiljateljica ostane odgovorna za kakovost, vsebino in priznavanje obdobij</w:t>
      </w:r>
      <w:r w:rsidRPr="001048FE">
        <w:rPr>
          <w:spacing w:val="-12"/>
          <w:lang w:val="sl-SI"/>
        </w:rPr>
        <w:t xml:space="preserve"> </w:t>
      </w:r>
      <w:r w:rsidRPr="001048FE">
        <w:rPr>
          <w:lang w:val="sl-SI"/>
        </w:rPr>
        <w:t>mobilnosti.</w:t>
      </w:r>
      <w:r w:rsidRPr="001048FE">
        <w:rPr>
          <w:spacing w:val="-13"/>
          <w:lang w:val="sl-SI"/>
        </w:rPr>
        <w:t xml:space="preserve"> </w:t>
      </w:r>
      <w:r w:rsidRPr="001048FE">
        <w:rPr>
          <w:lang w:val="sl-SI"/>
        </w:rPr>
        <w:t>Vsak</w:t>
      </w:r>
      <w:r w:rsidRPr="001048FE">
        <w:rPr>
          <w:spacing w:val="-13"/>
          <w:lang w:val="sl-SI"/>
        </w:rPr>
        <w:t xml:space="preserve"> </w:t>
      </w:r>
      <w:r w:rsidRPr="001048FE">
        <w:rPr>
          <w:lang w:val="sl-SI"/>
        </w:rPr>
        <w:t>član</w:t>
      </w:r>
      <w:r w:rsidRPr="001048FE">
        <w:rPr>
          <w:spacing w:val="-13"/>
          <w:lang w:val="sl-SI"/>
        </w:rPr>
        <w:t xml:space="preserve"> </w:t>
      </w:r>
      <w:r w:rsidRPr="001048FE">
        <w:rPr>
          <w:lang w:val="sl-SI"/>
        </w:rPr>
        <w:t>konzorcija</w:t>
      </w:r>
      <w:r w:rsidRPr="001048FE">
        <w:rPr>
          <w:spacing w:val="-13"/>
          <w:lang w:val="sl-SI"/>
        </w:rPr>
        <w:t xml:space="preserve"> </w:t>
      </w:r>
      <w:r w:rsidRPr="001048FE">
        <w:rPr>
          <w:lang w:val="sl-SI"/>
        </w:rPr>
        <w:t>mora</w:t>
      </w:r>
      <w:r w:rsidRPr="001048FE">
        <w:rPr>
          <w:spacing w:val="-13"/>
          <w:lang w:val="sl-SI"/>
        </w:rPr>
        <w:t xml:space="preserve"> </w:t>
      </w:r>
      <w:r w:rsidRPr="001048FE">
        <w:rPr>
          <w:lang w:val="sl-SI"/>
        </w:rPr>
        <w:t>s</w:t>
      </w:r>
      <w:r w:rsidRPr="001048FE">
        <w:rPr>
          <w:spacing w:val="-13"/>
          <w:lang w:val="sl-SI"/>
        </w:rPr>
        <w:t xml:space="preserve"> </w:t>
      </w:r>
      <w:r w:rsidRPr="001048FE">
        <w:rPr>
          <w:lang w:val="sl-SI"/>
        </w:rPr>
        <w:t>koordinatorjem</w:t>
      </w:r>
      <w:r w:rsidRPr="001048FE">
        <w:rPr>
          <w:spacing w:val="-13"/>
          <w:lang w:val="sl-SI"/>
        </w:rPr>
        <w:t xml:space="preserve"> </w:t>
      </w:r>
      <w:r w:rsidRPr="001048FE">
        <w:rPr>
          <w:lang w:val="sl-SI"/>
        </w:rPr>
        <w:t>konzorcija</w:t>
      </w:r>
      <w:r w:rsidRPr="001048FE">
        <w:rPr>
          <w:spacing w:val="-13"/>
          <w:lang w:val="sl-SI"/>
        </w:rPr>
        <w:t xml:space="preserve"> </w:t>
      </w:r>
      <w:r w:rsidRPr="001048FE">
        <w:rPr>
          <w:lang w:val="sl-SI"/>
        </w:rPr>
        <w:t>podpisati</w:t>
      </w:r>
      <w:r w:rsidRPr="001048FE">
        <w:rPr>
          <w:spacing w:val="-13"/>
          <w:lang w:val="sl-SI"/>
        </w:rPr>
        <w:t xml:space="preserve"> </w:t>
      </w:r>
      <w:r w:rsidRPr="001048FE">
        <w:rPr>
          <w:lang w:val="sl-SI"/>
        </w:rPr>
        <w:t>sporazum,</w:t>
      </w:r>
      <w:r w:rsidRPr="001048FE">
        <w:rPr>
          <w:spacing w:val="-13"/>
          <w:lang w:val="sl-SI"/>
        </w:rPr>
        <w:t xml:space="preserve"> </w:t>
      </w:r>
      <w:r w:rsidRPr="001048FE">
        <w:rPr>
          <w:lang w:val="sl-SI"/>
        </w:rPr>
        <w:t>da</w:t>
      </w:r>
      <w:r w:rsidRPr="001048FE">
        <w:rPr>
          <w:spacing w:val="-13"/>
          <w:lang w:val="sl-SI"/>
        </w:rPr>
        <w:t xml:space="preserve"> </w:t>
      </w:r>
      <w:r w:rsidRPr="001048FE">
        <w:rPr>
          <w:lang w:val="sl-SI"/>
        </w:rPr>
        <w:t>se opredelijo vloge in odgovornosti ter administrativne in finančne ureditve; v načinih sodelovanja so navedeni</w:t>
      </w:r>
      <w:r w:rsidRPr="001048FE">
        <w:rPr>
          <w:spacing w:val="-13"/>
          <w:lang w:val="sl-SI"/>
        </w:rPr>
        <w:t xml:space="preserve"> </w:t>
      </w:r>
      <w:r w:rsidRPr="001048FE">
        <w:rPr>
          <w:lang w:val="sl-SI"/>
        </w:rPr>
        <w:t>mehanizmi</w:t>
      </w:r>
      <w:r w:rsidRPr="001048FE">
        <w:rPr>
          <w:spacing w:val="-13"/>
          <w:lang w:val="sl-SI"/>
        </w:rPr>
        <w:t xml:space="preserve"> </w:t>
      </w:r>
      <w:r w:rsidRPr="001048FE">
        <w:rPr>
          <w:lang w:val="sl-SI"/>
        </w:rPr>
        <w:t>za</w:t>
      </w:r>
      <w:r w:rsidRPr="001048FE">
        <w:rPr>
          <w:spacing w:val="-13"/>
          <w:lang w:val="sl-SI"/>
        </w:rPr>
        <w:t xml:space="preserve"> </w:t>
      </w:r>
      <w:r w:rsidRPr="001048FE">
        <w:rPr>
          <w:lang w:val="sl-SI"/>
        </w:rPr>
        <w:t>pripravo,</w:t>
      </w:r>
      <w:r w:rsidRPr="001048FE">
        <w:rPr>
          <w:spacing w:val="-13"/>
          <w:lang w:val="sl-SI"/>
        </w:rPr>
        <w:t xml:space="preserve"> </w:t>
      </w:r>
      <w:r w:rsidRPr="001048FE">
        <w:rPr>
          <w:lang w:val="sl-SI"/>
        </w:rPr>
        <w:t>zagotavljanje</w:t>
      </w:r>
      <w:r w:rsidRPr="001048FE">
        <w:rPr>
          <w:spacing w:val="-13"/>
          <w:lang w:val="sl-SI"/>
        </w:rPr>
        <w:t xml:space="preserve"> </w:t>
      </w:r>
      <w:r w:rsidRPr="001048FE">
        <w:rPr>
          <w:lang w:val="sl-SI"/>
        </w:rPr>
        <w:t>kakovosti,</w:t>
      </w:r>
      <w:r w:rsidRPr="001048FE">
        <w:rPr>
          <w:spacing w:val="-13"/>
          <w:lang w:val="sl-SI"/>
        </w:rPr>
        <w:t xml:space="preserve"> </w:t>
      </w:r>
      <w:r w:rsidRPr="001048FE">
        <w:rPr>
          <w:lang w:val="sl-SI"/>
        </w:rPr>
        <w:t>nadaljnje</w:t>
      </w:r>
      <w:r w:rsidRPr="001048FE">
        <w:rPr>
          <w:spacing w:val="-13"/>
          <w:lang w:val="sl-SI"/>
        </w:rPr>
        <w:t xml:space="preserve"> </w:t>
      </w:r>
      <w:r w:rsidRPr="001048FE">
        <w:rPr>
          <w:lang w:val="sl-SI"/>
        </w:rPr>
        <w:t>spremljanje</w:t>
      </w:r>
      <w:r w:rsidRPr="001048FE">
        <w:rPr>
          <w:spacing w:val="-13"/>
          <w:lang w:val="sl-SI"/>
        </w:rPr>
        <w:t xml:space="preserve"> </w:t>
      </w:r>
      <w:r w:rsidRPr="001048FE">
        <w:rPr>
          <w:lang w:val="sl-SI"/>
        </w:rPr>
        <w:t>obdobij</w:t>
      </w:r>
      <w:r w:rsidRPr="001048FE">
        <w:rPr>
          <w:spacing w:val="-12"/>
          <w:lang w:val="sl-SI"/>
        </w:rPr>
        <w:t xml:space="preserve"> </w:t>
      </w:r>
      <w:r w:rsidRPr="001048FE">
        <w:rPr>
          <w:lang w:val="sl-SI"/>
        </w:rPr>
        <w:t>mobilnosti</w:t>
      </w:r>
      <w:r w:rsidRPr="001048FE">
        <w:rPr>
          <w:spacing w:val="-13"/>
          <w:lang w:val="sl-SI"/>
        </w:rPr>
        <w:t xml:space="preserve"> </w:t>
      </w:r>
      <w:r w:rsidRPr="001048FE">
        <w:rPr>
          <w:lang w:val="sl-SI"/>
        </w:rPr>
        <w:t>in podobno. Poleg tega mora vsaka visokošolska institucija pošiljateljica podpisati medinstitucionalne sporazume (glej naslednje poglavje) z visokošolskimi institucijami, ki sprejmejo njene študente in osebje.</w:t>
      </w:r>
    </w:p>
    <w:p w14:paraId="7D39A7D4" w14:textId="77777777" w:rsidR="00E03711" w:rsidRPr="001048FE" w:rsidRDefault="00E03711" w:rsidP="007F239A">
      <w:pPr>
        <w:pStyle w:val="GUIDE-NORMAL"/>
        <w:rPr>
          <w:lang w:val="sl-SI"/>
        </w:rPr>
      </w:pPr>
      <w:r w:rsidRPr="001048FE">
        <w:rPr>
          <w:lang w:val="sl-SI"/>
        </w:rPr>
        <w:t>Nacionalni konzorcij za mobilnost lahko prejme sredstva, le če mu je bila podeljena akreditacija za konzorcij. Če ocena nacionalnega konzorcija za mobilnost ni uspešna, se mora konzorcij za akreditacijo in financiranje znova prijaviti naslednje leto.</w:t>
      </w:r>
    </w:p>
    <w:p w14:paraId="7D39A7D5" w14:textId="77777777" w:rsidR="00E03711" w:rsidRPr="001048FE" w:rsidRDefault="00E03711" w:rsidP="00A95E30">
      <w:pPr>
        <w:pStyle w:val="GUIDE-NORMAL"/>
        <w:rPr>
          <w:lang w:val="sl-SI"/>
        </w:rPr>
      </w:pPr>
      <w:r w:rsidRPr="001048FE">
        <w:rPr>
          <w:lang w:val="sl-SI"/>
        </w:rPr>
        <w:t>Nacionalna agencija bo spremljala skladnost z akreditacijo za konzorcij. V primeru kakršnih koli večjih</w:t>
      </w:r>
      <w:r w:rsidRPr="001048FE">
        <w:rPr>
          <w:spacing w:val="-18"/>
          <w:lang w:val="sl-SI"/>
        </w:rPr>
        <w:t xml:space="preserve"> </w:t>
      </w:r>
      <w:r w:rsidRPr="001048FE">
        <w:rPr>
          <w:lang w:val="sl-SI"/>
        </w:rPr>
        <w:t>težav</w:t>
      </w:r>
      <w:r w:rsidRPr="001048FE">
        <w:rPr>
          <w:spacing w:val="-18"/>
          <w:lang w:val="sl-SI"/>
        </w:rPr>
        <w:t xml:space="preserve"> </w:t>
      </w:r>
      <w:r w:rsidRPr="001048FE">
        <w:rPr>
          <w:lang w:val="sl-SI"/>
        </w:rPr>
        <w:t>(npr.</w:t>
      </w:r>
      <w:r w:rsidRPr="001048FE">
        <w:rPr>
          <w:spacing w:val="-18"/>
          <w:lang w:val="sl-SI"/>
        </w:rPr>
        <w:t xml:space="preserve"> </w:t>
      </w:r>
      <w:r w:rsidRPr="001048FE">
        <w:rPr>
          <w:lang w:val="sl-SI"/>
        </w:rPr>
        <w:t>nepravilna</w:t>
      </w:r>
      <w:r w:rsidRPr="001048FE">
        <w:rPr>
          <w:spacing w:val="-18"/>
          <w:lang w:val="sl-SI"/>
        </w:rPr>
        <w:t xml:space="preserve"> </w:t>
      </w:r>
      <w:r w:rsidRPr="001048FE">
        <w:rPr>
          <w:lang w:val="sl-SI"/>
        </w:rPr>
        <w:t>uporaba</w:t>
      </w:r>
      <w:r w:rsidRPr="001048FE">
        <w:rPr>
          <w:spacing w:val="-18"/>
          <w:lang w:val="sl-SI"/>
        </w:rPr>
        <w:t xml:space="preserve"> </w:t>
      </w:r>
      <w:r w:rsidRPr="001048FE">
        <w:rPr>
          <w:lang w:val="sl-SI"/>
        </w:rPr>
        <w:t>sredstev,</w:t>
      </w:r>
      <w:r w:rsidRPr="001048FE">
        <w:rPr>
          <w:spacing w:val="-18"/>
          <w:lang w:val="sl-SI"/>
        </w:rPr>
        <w:t xml:space="preserve"> </w:t>
      </w:r>
      <w:r w:rsidRPr="001048FE">
        <w:rPr>
          <w:lang w:val="sl-SI"/>
        </w:rPr>
        <w:t>nespoštovanje</w:t>
      </w:r>
      <w:r w:rsidRPr="001048FE">
        <w:rPr>
          <w:spacing w:val="-18"/>
          <w:lang w:val="sl-SI"/>
        </w:rPr>
        <w:t xml:space="preserve"> </w:t>
      </w:r>
      <w:r w:rsidRPr="001048FE">
        <w:rPr>
          <w:lang w:val="sl-SI"/>
        </w:rPr>
        <w:t>obveznosti</w:t>
      </w:r>
      <w:r w:rsidRPr="001048FE">
        <w:rPr>
          <w:spacing w:val="-17"/>
          <w:lang w:val="sl-SI"/>
        </w:rPr>
        <w:t xml:space="preserve"> </w:t>
      </w:r>
      <w:r w:rsidRPr="001048FE">
        <w:rPr>
          <w:lang w:val="sl-SI"/>
        </w:rPr>
        <w:t>in</w:t>
      </w:r>
      <w:r w:rsidRPr="001048FE">
        <w:rPr>
          <w:spacing w:val="-18"/>
          <w:lang w:val="sl-SI"/>
        </w:rPr>
        <w:t xml:space="preserve"> </w:t>
      </w:r>
      <w:r w:rsidRPr="001048FE">
        <w:rPr>
          <w:lang w:val="sl-SI"/>
        </w:rPr>
        <w:t>nezadovoljiva</w:t>
      </w:r>
      <w:r w:rsidRPr="001048FE">
        <w:rPr>
          <w:spacing w:val="-18"/>
          <w:lang w:val="sl-SI"/>
        </w:rPr>
        <w:t xml:space="preserve"> </w:t>
      </w:r>
      <w:r w:rsidRPr="001048FE">
        <w:rPr>
          <w:lang w:val="sl-SI"/>
        </w:rPr>
        <w:t>finančna zmogljivost) ali kakršnih koli kršitev obveznosti konzorcija lahko nacionalna agencija prekliče akreditacijo. Nacionalna agencija zahteva od koordinatorja konzorcija, da jo nemudoma obvesti o kakršnih</w:t>
      </w:r>
      <w:r w:rsidRPr="001048FE">
        <w:rPr>
          <w:spacing w:val="-13"/>
          <w:lang w:val="sl-SI"/>
        </w:rPr>
        <w:t xml:space="preserve"> </w:t>
      </w:r>
      <w:r w:rsidRPr="001048FE">
        <w:rPr>
          <w:lang w:val="sl-SI"/>
        </w:rPr>
        <w:t>koli</w:t>
      </w:r>
      <w:r w:rsidRPr="001048FE">
        <w:rPr>
          <w:spacing w:val="-13"/>
          <w:lang w:val="sl-SI"/>
        </w:rPr>
        <w:t xml:space="preserve"> </w:t>
      </w:r>
      <w:r w:rsidRPr="001048FE">
        <w:rPr>
          <w:lang w:val="sl-SI"/>
        </w:rPr>
        <w:t>spremembah</w:t>
      </w:r>
      <w:r w:rsidRPr="001048FE">
        <w:rPr>
          <w:spacing w:val="-13"/>
          <w:lang w:val="sl-SI"/>
        </w:rPr>
        <w:t xml:space="preserve"> </w:t>
      </w:r>
      <w:r w:rsidRPr="001048FE">
        <w:rPr>
          <w:lang w:val="sl-SI"/>
        </w:rPr>
        <w:t>glede</w:t>
      </w:r>
      <w:r w:rsidRPr="001048FE">
        <w:rPr>
          <w:spacing w:val="-13"/>
          <w:lang w:val="sl-SI"/>
        </w:rPr>
        <w:t xml:space="preserve"> </w:t>
      </w:r>
      <w:r w:rsidRPr="001048FE">
        <w:rPr>
          <w:lang w:val="sl-SI"/>
        </w:rPr>
        <w:t>sestave,</w:t>
      </w:r>
      <w:r w:rsidRPr="001048FE">
        <w:rPr>
          <w:spacing w:val="-13"/>
          <w:lang w:val="sl-SI"/>
        </w:rPr>
        <w:t xml:space="preserve"> </w:t>
      </w:r>
      <w:r w:rsidRPr="001048FE">
        <w:rPr>
          <w:lang w:val="sl-SI"/>
        </w:rPr>
        <w:t>okoliščin</w:t>
      </w:r>
      <w:r w:rsidRPr="001048FE">
        <w:rPr>
          <w:spacing w:val="-12"/>
          <w:lang w:val="sl-SI"/>
        </w:rPr>
        <w:t xml:space="preserve"> </w:t>
      </w:r>
      <w:r w:rsidRPr="001048FE">
        <w:rPr>
          <w:lang w:val="sl-SI"/>
        </w:rPr>
        <w:t>ali</w:t>
      </w:r>
      <w:r w:rsidRPr="001048FE">
        <w:rPr>
          <w:spacing w:val="-13"/>
          <w:lang w:val="sl-SI"/>
        </w:rPr>
        <w:t xml:space="preserve"> </w:t>
      </w:r>
      <w:r w:rsidRPr="001048FE">
        <w:rPr>
          <w:lang w:val="sl-SI"/>
        </w:rPr>
        <w:t>statusa</w:t>
      </w:r>
      <w:r w:rsidRPr="001048FE">
        <w:rPr>
          <w:spacing w:val="-13"/>
          <w:lang w:val="sl-SI"/>
        </w:rPr>
        <w:t xml:space="preserve"> </w:t>
      </w:r>
      <w:r w:rsidRPr="001048FE">
        <w:rPr>
          <w:lang w:val="sl-SI"/>
        </w:rPr>
        <w:t>konzorcija,</w:t>
      </w:r>
      <w:r w:rsidRPr="001048FE">
        <w:rPr>
          <w:spacing w:val="-13"/>
          <w:lang w:val="sl-SI"/>
        </w:rPr>
        <w:t xml:space="preserve"> </w:t>
      </w:r>
      <w:r w:rsidRPr="001048FE">
        <w:rPr>
          <w:lang w:val="sl-SI"/>
        </w:rPr>
        <w:t>zaradi</w:t>
      </w:r>
      <w:r w:rsidRPr="001048FE">
        <w:rPr>
          <w:spacing w:val="-13"/>
          <w:lang w:val="sl-SI"/>
        </w:rPr>
        <w:t xml:space="preserve"> </w:t>
      </w:r>
      <w:r w:rsidRPr="001048FE">
        <w:rPr>
          <w:lang w:val="sl-SI"/>
        </w:rPr>
        <w:t>katerih</w:t>
      </w:r>
      <w:r w:rsidRPr="001048FE">
        <w:rPr>
          <w:spacing w:val="-13"/>
          <w:lang w:val="sl-SI"/>
        </w:rPr>
        <w:t xml:space="preserve"> </w:t>
      </w:r>
      <w:r w:rsidRPr="001048FE">
        <w:rPr>
          <w:lang w:val="sl-SI"/>
        </w:rPr>
        <w:t>bodo</w:t>
      </w:r>
      <w:r w:rsidRPr="001048FE">
        <w:rPr>
          <w:spacing w:val="-13"/>
          <w:lang w:val="sl-SI"/>
        </w:rPr>
        <w:t xml:space="preserve"> </w:t>
      </w:r>
      <w:r w:rsidRPr="001048FE">
        <w:rPr>
          <w:lang w:val="sl-SI"/>
        </w:rPr>
        <w:t>morda potrebne spremembe ali preklic</w:t>
      </w:r>
      <w:r w:rsidRPr="001048FE">
        <w:rPr>
          <w:spacing w:val="-9"/>
          <w:lang w:val="sl-SI"/>
        </w:rPr>
        <w:t xml:space="preserve"> </w:t>
      </w:r>
      <w:r w:rsidRPr="001048FE">
        <w:rPr>
          <w:lang w:val="sl-SI"/>
        </w:rPr>
        <w:t>akreditacije.</w:t>
      </w:r>
    </w:p>
    <w:p w14:paraId="7D39A7D6" w14:textId="77777777" w:rsidR="00E03711" w:rsidRPr="001048FE" w:rsidRDefault="00E03711" w:rsidP="007F239A">
      <w:pPr>
        <w:pStyle w:val="Guide-Heading4"/>
        <w:rPr>
          <w:lang w:val="sl-SI"/>
        </w:rPr>
      </w:pPr>
      <w:bookmarkStart w:id="556" w:name="_Toc527401269"/>
      <w:r w:rsidRPr="001048FE">
        <w:rPr>
          <w:lang w:val="sl-SI"/>
        </w:rPr>
        <w:t>B: Medinstitucionalni sporazum</w:t>
      </w:r>
      <w:bookmarkEnd w:id="556"/>
    </w:p>
    <w:p w14:paraId="7D39A7D7" w14:textId="77777777" w:rsidR="00E03711" w:rsidRPr="001048FE" w:rsidRDefault="00E03711" w:rsidP="00FF6BF0">
      <w:pPr>
        <w:pStyle w:val="GUIDE-NORMAL"/>
        <w:rPr>
          <w:lang w:val="sl-SI"/>
        </w:rPr>
      </w:pPr>
      <w:r w:rsidRPr="001048FE">
        <w:rPr>
          <w:lang w:val="sl-SI"/>
        </w:rPr>
        <w:t>Mobilnost študentov za študij in mobilnost osebja za poučevanje med visokošolskimi institucijami se izvaja</w:t>
      </w:r>
      <w:r w:rsidRPr="001048FE">
        <w:rPr>
          <w:spacing w:val="-16"/>
          <w:lang w:val="sl-SI"/>
        </w:rPr>
        <w:t xml:space="preserve"> </w:t>
      </w:r>
      <w:r w:rsidRPr="001048FE">
        <w:rPr>
          <w:lang w:val="sl-SI"/>
        </w:rPr>
        <w:t>kot</w:t>
      </w:r>
      <w:r w:rsidRPr="001048FE">
        <w:rPr>
          <w:spacing w:val="-16"/>
          <w:lang w:val="sl-SI"/>
        </w:rPr>
        <w:t xml:space="preserve"> </w:t>
      </w:r>
      <w:r w:rsidRPr="001048FE">
        <w:rPr>
          <w:lang w:val="sl-SI"/>
        </w:rPr>
        <w:t>del</w:t>
      </w:r>
      <w:r w:rsidRPr="001048FE">
        <w:rPr>
          <w:spacing w:val="-16"/>
          <w:lang w:val="sl-SI"/>
        </w:rPr>
        <w:t xml:space="preserve"> </w:t>
      </w:r>
      <w:r w:rsidRPr="001048FE">
        <w:rPr>
          <w:lang w:val="sl-SI"/>
        </w:rPr>
        <w:t>medinstitucionalnega</w:t>
      </w:r>
      <w:r w:rsidRPr="001048FE">
        <w:rPr>
          <w:spacing w:val="-16"/>
          <w:lang w:val="sl-SI"/>
        </w:rPr>
        <w:t xml:space="preserve"> </w:t>
      </w:r>
      <w:r w:rsidRPr="001048FE">
        <w:rPr>
          <w:lang w:val="sl-SI"/>
        </w:rPr>
        <w:t>sporazuma</w:t>
      </w:r>
      <w:r w:rsidRPr="001048FE">
        <w:rPr>
          <w:spacing w:val="-16"/>
          <w:lang w:val="sl-SI"/>
        </w:rPr>
        <w:t xml:space="preserve"> </w:t>
      </w:r>
      <w:r w:rsidRPr="001048FE">
        <w:rPr>
          <w:lang w:val="sl-SI"/>
        </w:rPr>
        <w:t>med</w:t>
      </w:r>
      <w:r w:rsidRPr="001048FE">
        <w:rPr>
          <w:spacing w:val="-16"/>
          <w:lang w:val="sl-SI"/>
        </w:rPr>
        <w:t xml:space="preserve"> </w:t>
      </w:r>
      <w:r w:rsidRPr="001048FE">
        <w:rPr>
          <w:lang w:val="sl-SI"/>
        </w:rPr>
        <w:t>visokošolskimi</w:t>
      </w:r>
      <w:r w:rsidRPr="001048FE">
        <w:rPr>
          <w:spacing w:val="-16"/>
          <w:lang w:val="sl-SI"/>
        </w:rPr>
        <w:t xml:space="preserve"> </w:t>
      </w:r>
      <w:r w:rsidRPr="001048FE">
        <w:rPr>
          <w:lang w:val="sl-SI"/>
        </w:rPr>
        <w:t>institucijami.</w:t>
      </w:r>
      <w:r w:rsidRPr="001048FE">
        <w:rPr>
          <w:spacing w:val="-16"/>
          <w:lang w:val="sl-SI"/>
        </w:rPr>
        <w:t xml:space="preserve"> </w:t>
      </w:r>
      <w:r w:rsidRPr="001048FE">
        <w:rPr>
          <w:lang w:val="sl-SI"/>
        </w:rPr>
        <w:t>Predloge</w:t>
      </w:r>
      <w:r w:rsidRPr="001048FE">
        <w:rPr>
          <w:spacing w:val="-16"/>
          <w:lang w:val="sl-SI"/>
        </w:rPr>
        <w:t xml:space="preserve"> </w:t>
      </w:r>
      <w:r w:rsidRPr="001048FE">
        <w:rPr>
          <w:lang w:val="sl-SI"/>
        </w:rPr>
        <w:t>so</w:t>
      </w:r>
      <w:r w:rsidRPr="001048FE">
        <w:rPr>
          <w:spacing w:val="-16"/>
          <w:lang w:val="sl-SI"/>
        </w:rPr>
        <w:t xml:space="preserve"> </w:t>
      </w:r>
      <w:r w:rsidRPr="001048FE">
        <w:rPr>
          <w:lang w:val="sl-SI"/>
        </w:rPr>
        <w:t>na</w:t>
      </w:r>
      <w:r w:rsidRPr="001048FE">
        <w:rPr>
          <w:spacing w:val="-16"/>
          <w:lang w:val="sl-SI"/>
        </w:rPr>
        <w:t xml:space="preserve"> </w:t>
      </w:r>
      <w:r w:rsidRPr="001048FE">
        <w:rPr>
          <w:lang w:val="sl-SI"/>
        </w:rPr>
        <w:t>voljo na</w:t>
      </w:r>
      <w:r w:rsidRPr="001048FE">
        <w:rPr>
          <w:spacing w:val="-3"/>
          <w:lang w:val="sl-SI"/>
        </w:rPr>
        <w:t xml:space="preserve"> </w:t>
      </w:r>
      <w:r w:rsidRPr="001048FE">
        <w:rPr>
          <w:lang w:val="sl-SI"/>
        </w:rPr>
        <w:t xml:space="preserve">spletišču: </w:t>
      </w:r>
      <w:hyperlink r:id="rId156" w:history="1">
        <w:r w:rsidRPr="00FF6BF0">
          <w:rPr>
            <w:rStyle w:val="Hyperlink"/>
            <w:lang w:val="pt-PT"/>
          </w:rPr>
          <w:t>https://ec.europa.eu/programmes/erasmus-plus/resources/documents/applicants/inter-institutional-agreement_en</w:t>
        </w:r>
      </w:hyperlink>
      <w:r w:rsidRPr="001048FE">
        <w:rPr>
          <w:lang w:val="sl-SI"/>
        </w:rPr>
        <w:t>. Medinstitucionalne sporazume lahko podpišeta dve ali več visokošolskih institucij.</w:t>
      </w:r>
    </w:p>
    <w:p w14:paraId="7D39A7D8" w14:textId="77777777" w:rsidR="00E03711" w:rsidRPr="001048FE" w:rsidRDefault="00E03711" w:rsidP="00A95E30">
      <w:pPr>
        <w:pStyle w:val="GUIDE-NORMAL"/>
        <w:rPr>
          <w:lang w:val="sl-SI"/>
        </w:rPr>
      </w:pPr>
      <w:r w:rsidRPr="001048FE">
        <w:rPr>
          <w:lang w:val="sl-SI"/>
        </w:rPr>
        <w:t>Z</w:t>
      </w:r>
      <w:r w:rsidRPr="001048FE">
        <w:rPr>
          <w:spacing w:val="-8"/>
          <w:lang w:val="sl-SI"/>
        </w:rPr>
        <w:t xml:space="preserve"> </w:t>
      </w:r>
      <w:r w:rsidRPr="001048FE">
        <w:rPr>
          <w:lang w:val="sl-SI"/>
        </w:rPr>
        <w:t>medinstitucionalnim</w:t>
      </w:r>
      <w:r w:rsidRPr="001048FE">
        <w:rPr>
          <w:spacing w:val="-8"/>
          <w:lang w:val="sl-SI"/>
        </w:rPr>
        <w:t xml:space="preserve"> </w:t>
      </w:r>
      <w:r w:rsidRPr="001048FE">
        <w:rPr>
          <w:lang w:val="sl-SI"/>
        </w:rPr>
        <w:t>sporazumom</w:t>
      </w:r>
      <w:r w:rsidRPr="001048FE">
        <w:rPr>
          <w:spacing w:val="-8"/>
          <w:lang w:val="sl-SI"/>
        </w:rPr>
        <w:t xml:space="preserve"> </w:t>
      </w:r>
      <w:r w:rsidRPr="001048FE">
        <w:rPr>
          <w:lang w:val="sl-SI"/>
        </w:rPr>
        <w:t>se</w:t>
      </w:r>
      <w:r w:rsidRPr="001048FE">
        <w:rPr>
          <w:spacing w:val="-8"/>
          <w:lang w:val="sl-SI"/>
        </w:rPr>
        <w:t xml:space="preserve"> </w:t>
      </w:r>
      <w:r w:rsidRPr="001048FE">
        <w:rPr>
          <w:lang w:val="sl-SI"/>
        </w:rPr>
        <w:t>v</w:t>
      </w:r>
      <w:r w:rsidRPr="001048FE">
        <w:rPr>
          <w:spacing w:val="-8"/>
          <w:lang w:val="sl-SI"/>
        </w:rPr>
        <w:t xml:space="preserve"> </w:t>
      </w:r>
      <w:r w:rsidRPr="001048FE">
        <w:rPr>
          <w:lang w:val="sl-SI"/>
        </w:rPr>
        <w:t>primeru</w:t>
      </w:r>
      <w:r w:rsidRPr="001048FE">
        <w:rPr>
          <w:spacing w:val="-8"/>
          <w:lang w:val="sl-SI"/>
        </w:rPr>
        <w:t xml:space="preserve"> </w:t>
      </w:r>
      <w:r w:rsidRPr="001048FE">
        <w:rPr>
          <w:lang w:val="sl-SI"/>
        </w:rPr>
        <w:t>mobilnosti</w:t>
      </w:r>
      <w:r w:rsidRPr="001048FE">
        <w:rPr>
          <w:spacing w:val="-8"/>
          <w:lang w:val="sl-SI"/>
        </w:rPr>
        <w:t xml:space="preserve"> </w:t>
      </w:r>
      <w:r w:rsidRPr="001048FE">
        <w:rPr>
          <w:lang w:val="sl-SI"/>
        </w:rPr>
        <w:t>med</w:t>
      </w:r>
      <w:r w:rsidRPr="001048FE">
        <w:rPr>
          <w:spacing w:val="-8"/>
          <w:lang w:val="sl-SI"/>
        </w:rPr>
        <w:t xml:space="preserve"> </w:t>
      </w:r>
      <w:r w:rsidRPr="001048FE">
        <w:rPr>
          <w:lang w:val="sl-SI"/>
        </w:rPr>
        <w:t>državami</w:t>
      </w:r>
      <w:r w:rsidRPr="001048FE">
        <w:rPr>
          <w:spacing w:val="-8"/>
          <w:lang w:val="sl-SI"/>
        </w:rPr>
        <w:t xml:space="preserve"> </w:t>
      </w:r>
      <w:r w:rsidRPr="001048FE">
        <w:rPr>
          <w:lang w:val="sl-SI"/>
        </w:rPr>
        <w:t>Programa</w:t>
      </w:r>
      <w:r w:rsidRPr="001048FE">
        <w:rPr>
          <w:spacing w:val="-8"/>
          <w:lang w:val="sl-SI"/>
        </w:rPr>
        <w:t xml:space="preserve"> </w:t>
      </w:r>
      <w:r w:rsidRPr="001048FE">
        <w:rPr>
          <w:lang w:val="sl-SI"/>
        </w:rPr>
        <w:t>in</w:t>
      </w:r>
      <w:r w:rsidRPr="001048FE">
        <w:rPr>
          <w:spacing w:val="-8"/>
          <w:lang w:val="sl-SI"/>
        </w:rPr>
        <w:t xml:space="preserve"> </w:t>
      </w:r>
      <w:r w:rsidRPr="001048FE">
        <w:rPr>
          <w:lang w:val="sl-SI"/>
        </w:rPr>
        <w:t>partnerskimi državami</w:t>
      </w:r>
      <w:r w:rsidRPr="001048FE">
        <w:rPr>
          <w:spacing w:val="-15"/>
          <w:lang w:val="sl-SI"/>
        </w:rPr>
        <w:t xml:space="preserve"> </w:t>
      </w:r>
      <w:r w:rsidRPr="001048FE">
        <w:rPr>
          <w:lang w:val="sl-SI"/>
        </w:rPr>
        <w:t>opredelijo</w:t>
      </w:r>
      <w:r w:rsidRPr="001048FE">
        <w:rPr>
          <w:spacing w:val="-14"/>
          <w:lang w:val="sl-SI"/>
        </w:rPr>
        <w:t xml:space="preserve"> </w:t>
      </w:r>
      <w:r w:rsidRPr="001048FE">
        <w:rPr>
          <w:lang w:val="sl-SI"/>
        </w:rPr>
        <w:t>splošna</w:t>
      </w:r>
      <w:r w:rsidRPr="001048FE">
        <w:rPr>
          <w:spacing w:val="-15"/>
          <w:lang w:val="sl-SI"/>
        </w:rPr>
        <w:t xml:space="preserve"> </w:t>
      </w:r>
      <w:r w:rsidRPr="001048FE">
        <w:rPr>
          <w:lang w:val="sl-SI"/>
        </w:rPr>
        <w:t>načela,</w:t>
      </w:r>
      <w:r w:rsidRPr="001048FE">
        <w:rPr>
          <w:spacing w:val="-15"/>
          <w:lang w:val="sl-SI"/>
        </w:rPr>
        <w:t xml:space="preserve"> </w:t>
      </w:r>
      <w:r w:rsidRPr="001048FE">
        <w:rPr>
          <w:lang w:val="sl-SI"/>
        </w:rPr>
        <w:t>ki</w:t>
      </w:r>
      <w:r w:rsidRPr="001048FE">
        <w:rPr>
          <w:spacing w:val="-15"/>
          <w:lang w:val="sl-SI"/>
        </w:rPr>
        <w:t xml:space="preserve"> </w:t>
      </w:r>
      <w:r w:rsidRPr="001048FE">
        <w:rPr>
          <w:lang w:val="sl-SI"/>
        </w:rPr>
        <w:t>so</w:t>
      </w:r>
      <w:r w:rsidRPr="001048FE">
        <w:rPr>
          <w:spacing w:val="-15"/>
          <w:lang w:val="sl-SI"/>
        </w:rPr>
        <w:t xml:space="preserve"> </w:t>
      </w:r>
      <w:r w:rsidRPr="001048FE">
        <w:rPr>
          <w:lang w:val="sl-SI"/>
        </w:rPr>
        <w:t>upoštevana</w:t>
      </w:r>
      <w:r w:rsidRPr="001048FE">
        <w:rPr>
          <w:spacing w:val="-15"/>
          <w:lang w:val="sl-SI"/>
        </w:rPr>
        <w:t xml:space="preserve"> </w:t>
      </w:r>
      <w:r w:rsidRPr="001048FE">
        <w:rPr>
          <w:lang w:val="sl-SI"/>
        </w:rPr>
        <w:t>v</w:t>
      </w:r>
      <w:r w:rsidRPr="001048FE">
        <w:rPr>
          <w:spacing w:val="-15"/>
          <w:lang w:val="sl-SI"/>
        </w:rPr>
        <w:t xml:space="preserve"> </w:t>
      </w:r>
      <w:r w:rsidRPr="001048FE">
        <w:rPr>
          <w:lang w:val="sl-SI"/>
        </w:rPr>
        <w:t>Listini</w:t>
      </w:r>
      <w:r w:rsidRPr="001048FE">
        <w:rPr>
          <w:spacing w:val="-15"/>
          <w:lang w:val="sl-SI"/>
        </w:rPr>
        <w:t xml:space="preserve"> </w:t>
      </w:r>
      <w:r w:rsidRPr="001048FE">
        <w:rPr>
          <w:lang w:val="sl-SI"/>
        </w:rPr>
        <w:t>Erasmus</w:t>
      </w:r>
      <w:r w:rsidRPr="001048FE">
        <w:rPr>
          <w:spacing w:val="-15"/>
          <w:lang w:val="sl-SI"/>
        </w:rPr>
        <w:t xml:space="preserve"> </w:t>
      </w:r>
      <w:r w:rsidRPr="001048FE">
        <w:rPr>
          <w:lang w:val="sl-SI"/>
        </w:rPr>
        <w:t>za</w:t>
      </w:r>
      <w:r w:rsidRPr="001048FE">
        <w:rPr>
          <w:spacing w:val="-15"/>
          <w:lang w:val="sl-SI"/>
        </w:rPr>
        <w:t xml:space="preserve"> </w:t>
      </w:r>
      <w:r w:rsidRPr="001048FE">
        <w:rPr>
          <w:lang w:val="sl-SI"/>
        </w:rPr>
        <w:t>terciarno</w:t>
      </w:r>
      <w:r w:rsidRPr="001048FE">
        <w:rPr>
          <w:spacing w:val="-15"/>
          <w:lang w:val="sl-SI"/>
        </w:rPr>
        <w:t xml:space="preserve"> </w:t>
      </w:r>
      <w:r w:rsidRPr="001048FE">
        <w:rPr>
          <w:lang w:val="sl-SI"/>
        </w:rPr>
        <w:t>izobraževanje,</w:t>
      </w:r>
      <w:r w:rsidRPr="001048FE">
        <w:rPr>
          <w:spacing w:val="-15"/>
          <w:lang w:val="sl-SI"/>
        </w:rPr>
        <w:t xml:space="preserve"> </w:t>
      </w:r>
      <w:r w:rsidRPr="001048FE">
        <w:rPr>
          <w:lang w:val="sl-SI"/>
        </w:rPr>
        <w:t>in obe strani se bosta zavezali k izvajanju teh</w:t>
      </w:r>
      <w:r w:rsidRPr="001048FE">
        <w:rPr>
          <w:spacing w:val="-26"/>
          <w:lang w:val="sl-SI"/>
        </w:rPr>
        <w:t xml:space="preserve"> </w:t>
      </w:r>
      <w:r w:rsidRPr="001048FE">
        <w:rPr>
          <w:lang w:val="sl-SI"/>
        </w:rPr>
        <w:t>načel.</w:t>
      </w:r>
    </w:p>
    <w:p w14:paraId="7D39A7D9" w14:textId="77777777" w:rsidR="00E03711" w:rsidRPr="001048FE" w:rsidRDefault="00E03711" w:rsidP="00A95E30">
      <w:pPr>
        <w:pStyle w:val="GUIDE-NORMAL"/>
        <w:rPr>
          <w:lang w:val="sl-SI"/>
        </w:rPr>
      </w:pPr>
      <w:r w:rsidRPr="001048FE">
        <w:rPr>
          <w:lang w:val="sl-SI"/>
        </w:rPr>
        <w:t>Medinstitucionalni</w:t>
      </w:r>
      <w:r w:rsidRPr="001048FE">
        <w:rPr>
          <w:spacing w:val="-13"/>
          <w:lang w:val="sl-SI"/>
        </w:rPr>
        <w:t xml:space="preserve"> </w:t>
      </w:r>
      <w:r w:rsidRPr="001048FE">
        <w:rPr>
          <w:lang w:val="sl-SI"/>
        </w:rPr>
        <w:t>sporazum</w:t>
      </w:r>
      <w:r w:rsidRPr="001048FE">
        <w:rPr>
          <w:spacing w:val="-13"/>
          <w:lang w:val="sl-SI"/>
        </w:rPr>
        <w:t xml:space="preserve"> </w:t>
      </w:r>
      <w:r w:rsidRPr="001048FE">
        <w:rPr>
          <w:lang w:val="sl-SI"/>
        </w:rPr>
        <w:t>se</w:t>
      </w:r>
      <w:r w:rsidRPr="001048FE">
        <w:rPr>
          <w:spacing w:val="-13"/>
          <w:lang w:val="sl-SI"/>
        </w:rPr>
        <w:t xml:space="preserve"> </w:t>
      </w:r>
      <w:r w:rsidRPr="001048FE">
        <w:rPr>
          <w:lang w:val="sl-SI"/>
        </w:rPr>
        <w:t>lahko</w:t>
      </w:r>
      <w:r w:rsidRPr="001048FE">
        <w:rPr>
          <w:spacing w:val="-13"/>
          <w:lang w:val="sl-SI"/>
        </w:rPr>
        <w:t xml:space="preserve"> </w:t>
      </w:r>
      <w:r w:rsidRPr="001048FE">
        <w:rPr>
          <w:lang w:val="sl-SI"/>
        </w:rPr>
        <w:t>tudi</w:t>
      </w:r>
      <w:r w:rsidRPr="001048FE">
        <w:rPr>
          <w:spacing w:val="-13"/>
          <w:lang w:val="sl-SI"/>
        </w:rPr>
        <w:t xml:space="preserve"> </w:t>
      </w:r>
      <w:r w:rsidRPr="001048FE">
        <w:rPr>
          <w:lang w:val="sl-SI"/>
        </w:rPr>
        <w:t>razširi,</w:t>
      </w:r>
      <w:r w:rsidRPr="001048FE">
        <w:rPr>
          <w:spacing w:val="-13"/>
          <w:lang w:val="sl-SI"/>
        </w:rPr>
        <w:t xml:space="preserve"> </w:t>
      </w:r>
      <w:r w:rsidRPr="001048FE">
        <w:rPr>
          <w:lang w:val="sl-SI"/>
        </w:rPr>
        <w:t>tako</w:t>
      </w:r>
      <w:r w:rsidRPr="001048FE">
        <w:rPr>
          <w:spacing w:val="-13"/>
          <w:lang w:val="sl-SI"/>
        </w:rPr>
        <w:t xml:space="preserve"> </w:t>
      </w:r>
      <w:r w:rsidRPr="001048FE">
        <w:rPr>
          <w:lang w:val="sl-SI"/>
        </w:rPr>
        <w:t>da</w:t>
      </w:r>
      <w:r w:rsidRPr="001048FE">
        <w:rPr>
          <w:spacing w:val="-13"/>
          <w:lang w:val="sl-SI"/>
        </w:rPr>
        <w:t xml:space="preserve"> </w:t>
      </w:r>
      <w:r w:rsidRPr="001048FE">
        <w:rPr>
          <w:lang w:val="sl-SI"/>
        </w:rPr>
        <w:t>zajame</w:t>
      </w:r>
      <w:r w:rsidRPr="001048FE">
        <w:rPr>
          <w:spacing w:val="-13"/>
          <w:lang w:val="sl-SI"/>
        </w:rPr>
        <w:t xml:space="preserve"> </w:t>
      </w:r>
      <w:r w:rsidRPr="001048FE">
        <w:rPr>
          <w:lang w:val="sl-SI"/>
        </w:rPr>
        <w:t>mobilnost</w:t>
      </w:r>
      <w:r w:rsidRPr="001048FE">
        <w:rPr>
          <w:spacing w:val="-13"/>
          <w:lang w:val="sl-SI"/>
        </w:rPr>
        <w:t xml:space="preserve"> </w:t>
      </w:r>
      <w:r w:rsidRPr="001048FE">
        <w:rPr>
          <w:lang w:val="sl-SI"/>
        </w:rPr>
        <w:t>študentov</w:t>
      </w:r>
      <w:r w:rsidRPr="001048FE">
        <w:rPr>
          <w:spacing w:val="-13"/>
          <w:lang w:val="sl-SI"/>
        </w:rPr>
        <w:t xml:space="preserve"> </w:t>
      </w:r>
      <w:r w:rsidRPr="001048FE">
        <w:rPr>
          <w:lang w:val="sl-SI"/>
        </w:rPr>
        <w:t>za</w:t>
      </w:r>
      <w:r w:rsidRPr="001048FE">
        <w:rPr>
          <w:spacing w:val="-13"/>
          <w:lang w:val="sl-SI"/>
        </w:rPr>
        <w:t xml:space="preserve"> </w:t>
      </w:r>
      <w:r w:rsidRPr="001048FE">
        <w:rPr>
          <w:lang w:val="sl-SI"/>
        </w:rPr>
        <w:t>prakso in/ali mobilnost osebja za usposabljanje, pri čemer se zanaša na znanje partnerskih institucij o podjetjih za namene opredeljevanja podjetij/organizacij gostiteljic v</w:t>
      </w:r>
      <w:r w:rsidRPr="001048FE">
        <w:rPr>
          <w:spacing w:val="-8"/>
          <w:lang w:val="sl-SI"/>
        </w:rPr>
        <w:t xml:space="preserve"> </w:t>
      </w:r>
      <w:r w:rsidRPr="001048FE">
        <w:rPr>
          <w:lang w:val="sl-SI"/>
        </w:rPr>
        <w:t>tujini.</w:t>
      </w:r>
    </w:p>
    <w:p w14:paraId="7D39A7DA" w14:textId="77777777" w:rsidR="00E03711" w:rsidRPr="001048FE" w:rsidRDefault="00E03711" w:rsidP="00A95E30">
      <w:pPr>
        <w:pStyle w:val="Guide-Heading4"/>
        <w:rPr>
          <w:lang w:val="sl-SI"/>
        </w:rPr>
      </w:pPr>
      <w:bookmarkStart w:id="557" w:name="_Toc527401270"/>
      <w:r w:rsidRPr="001048FE">
        <w:rPr>
          <w:lang w:val="sl-SI"/>
        </w:rPr>
        <w:t>C: Orodje za mobilnost (Mobility Tool+)</w:t>
      </w:r>
      <w:bookmarkEnd w:id="557"/>
    </w:p>
    <w:p w14:paraId="7D39A7DB" w14:textId="77777777" w:rsidR="00E03711" w:rsidRPr="001048FE" w:rsidRDefault="00E03711" w:rsidP="00A95E30">
      <w:pPr>
        <w:pStyle w:val="GUIDE-NORMAL"/>
        <w:rPr>
          <w:lang w:val="sl-SI"/>
        </w:rPr>
      </w:pPr>
      <w:r w:rsidRPr="001048FE">
        <w:rPr>
          <w:lang w:val="sl-SI"/>
        </w:rPr>
        <w:t>Čim prej po izboru udeležencev mora upravičena organizacija vnesti splošne informacije o udeležencu in vrsti mobilnosti, ki jo bo izvedel (npr. ime udeleženca, državo gostiteljico, trajanje mobilnosti itd.), v orodje za mobilnost (Mobility Tool+). Organizacija upravičenka mora tudi najmanj enkrat mesečno med življenjskim ciklom projekta posodabljati podatke v orodju za mobilnost ob kakršni koli novi spremembi v zvezi z udeleženci ali aktivnostmi mobilnosti.</w:t>
      </w:r>
    </w:p>
    <w:p w14:paraId="7D39A7DC" w14:textId="77777777" w:rsidR="00E03711" w:rsidRPr="001048FE" w:rsidRDefault="00E03711" w:rsidP="00A95E30">
      <w:pPr>
        <w:pStyle w:val="GUIDE-NORMAL"/>
        <w:rPr>
          <w:lang w:val="sl-SI"/>
        </w:rPr>
      </w:pPr>
      <w:r w:rsidRPr="001048FE">
        <w:rPr>
          <w:lang w:val="sl-SI"/>
        </w:rPr>
        <w:t xml:space="preserve">Za projekte mobilnosti med državami Programa in partnerskimi državami je treba v orodju za mobilnost s pomočjo </w:t>
      </w:r>
      <w:r>
        <w:rPr>
          <w:lang w:val="sl-SI"/>
        </w:rPr>
        <w:t>identifikacijske kode organizacije</w:t>
      </w:r>
      <w:r w:rsidRPr="001048FE">
        <w:rPr>
          <w:lang w:val="sl-SI"/>
        </w:rPr>
        <w:t xml:space="preserve"> opredeliti visokošolske institucije v partnerskih državah. Če visokošolska institucija v partnerski državi še nima </w:t>
      </w:r>
      <w:r>
        <w:rPr>
          <w:lang w:val="sl-SI"/>
        </w:rPr>
        <w:t xml:space="preserve">identifikacijske </w:t>
      </w:r>
      <w:r w:rsidRPr="001048FE">
        <w:rPr>
          <w:lang w:val="sl-SI"/>
        </w:rPr>
        <w:t xml:space="preserve">kode </w:t>
      </w:r>
      <w:r>
        <w:rPr>
          <w:lang w:val="sl-SI"/>
        </w:rPr>
        <w:t>organizacije</w:t>
      </w:r>
      <w:r w:rsidRPr="001048FE">
        <w:rPr>
          <w:lang w:val="sl-SI"/>
        </w:rPr>
        <w:t xml:space="preserve"> na podlagi prejšnjega sodelovanja v program</w:t>
      </w:r>
      <w:r>
        <w:rPr>
          <w:lang w:val="sl-SI"/>
        </w:rPr>
        <w:t>u</w:t>
      </w:r>
      <w:r w:rsidRPr="001048FE">
        <w:rPr>
          <w:lang w:val="sl-SI"/>
        </w:rPr>
        <w:t xml:space="preserve"> </w:t>
      </w:r>
      <w:r>
        <w:rPr>
          <w:lang w:val="sl-SI"/>
        </w:rPr>
        <w:t>Erasmus+</w:t>
      </w:r>
      <w:r w:rsidRPr="001048FE">
        <w:rPr>
          <w:lang w:val="sl-SI"/>
        </w:rPr>
        <w:t xml:space="preserve">, se mora </w:t>
      </w:r>
      <w:r>
        <w:rPr>
          <w:lang w:val="sl-SI"/>
        </w:rPr>
        <w:t xml:space="preserve">zanjo </w:t>
      </w:r>
      <w:r w:rsidRPr="001048FE">
        <w:rPr>
          <w:lang w:val="sl-SI"/>
        </w:rPr>
        <w:t xml:space="preserve">registrirati </w:t>
      </w:r>
      <w:r>
        <w:rPr>
          <w:lang w:val="sl-SI"/>
        </w:rPr>
        <w:t xml:space="preserve">v sistemu za registracijo organizacij za programih Erasmus+ in evropski solidarnostni enoti,  </w:t>
      </w:r>
      <w:r w:rsidRPr="001048FE">
        <w:rPr>
          <w:lang w:val="sl-SI"/>
        </w:rPr>
        <w:t>in jo sporočiti upravičencu.</w:t>
      </w:r>
      <w:r>
        <w:rPr>
          <w:lang w:val="sl-SI"/>
        </w:rPr>
        <w:t xml:space="preserve"> Organizacije, ki imajo kodo PIC in so že pri nacionalnih agencijah zaprosile za financiranje v programih Erasmus+ ali evropski solidarnostni enoti, bodo samodejno dobile identifikacijsko kodo organizacije. To je mogoče preveriti v sistemu za registracijo organizacij za Erasmus+ in evropsko solidarnostno enoto.</w:t>
      </w:r>
    </w:p>
    <w:p w14:paraId="7D39A7DD" w14:textId="77777777" w:rsidR="00E03711" w:rsidRPr="001048FE" w:rsidRDefault="00E03711" w:rsidP="00A95E30">
      <w:pPr>
        <w:pStyle w:val="GUIDE-NORMAL"/>
        <w:rPr>
          <w:lang w:val="sl-SI"/>
        </w:rPr>
      </w:pPr>
      <w:r w:rsidRPr="001048FE">
        <w:rPr>
          <w:lang w:val="sl-SI"/>
        </w:rPr>
        <w:t>Orodje za mobilnost bo zagotavljalo podporo pri izvajanju aktivnosti mobilnosti za upravičence programa Erasmus+. Upravičenci bodo lahko z orodjem za mobilnost ustvarili vnaprej izpolnjena poročila na podlagi vnesenih informacij. V orodju za mobilnost bodo na voljo tudi poročila, ki jih bodo izpolnili udeleženci mobilnosti.</w:t>
      </w:r>
    </w:p>
    <w:p w14:paraId="7D39A7DE" w14:textId="77777777" w:rsidR="00E03711" w:rsidRPr="001048FE" w:rsidRDefault="00E03711" w:rsidP="00A95E30">
      <w:pPr>
        <w:pStyle w:val="Guide-Heading4"/>
        <w:rPr>
          <w:lang w:val="sl-SI"/>
        </w:rPr>
      </w:pPr>
      <w:bookmarkStart w:id="558" w:name="_Toc527401271"/>
      <w:r w:rsidRPr="001048FE">
        <w:rPr>
          <w:lang w:val="sl-SI"/>
        </w:rPr>
        <w:t>D: Pogoji udeležbe študentov</w:t>
      </w:r>
      <w:bookmarkEnd w:id="558"/>
    </w:p>
    <w:p w14:paraId="7D39A7DF" w14:textId="77777777" w:rsidR="00E03711" w:rsidRPr="001048FE" w:rsidRDefault="00E03711" w:rsidP="00A95E30">
      <w:pPr>
        <w:pStyle w:val="Guide-Heading5"/>
        <w:rPr>
          <w:lang w:val="sl-SI"/>
        </w:rPr>
      </w:pPr>
      <w:r w:rsidRPr="001048FE">
        <w:rPr>
          <w:lang w:val="sl-SI"/>
        </w:rPr>
        <w:t>Izbor</w:t>
      </w:r>
    </w:p>
    <w:p w14:paraId="7D39A7E0" w14:textId="77777777" w:rsidR="00E03711" w:rsidRPr="001048FE" w:rsidRDefault="00E03711" w:rsidP="00A95E30">
      <w:pPr>
        <w:pStyle w:val="GUIDE-NORMAL"/>
        <w:rPr>
          <w:lang w:val="sl-SI"/>
        </w:rPr>
      </w:pPr>
      <w:r w:rsidRPr="001048FE">
        <w:rPr>
          <w:lang w:val="sl-SI"/>
        </w:rPr>
        <w:t>Študenti se prijavijo pri svoji visokošolski instituciji, ki izvaja izbor udeležencev v ukrepu mobilnosti. Izbor študentov – in postopek za dodeljevanje nepovratnih sredstev tem študentom – mora biti pravičen, pregleden, dosleden in dokumentiran, dostop do njega pa mora biti na voljo za vse strani, vključene v postopek izbora.</w:t>
      </w:r>
    </w:p>
    <w:p w14:paraId="7D39A7E1" w14:textId="77777777" w:rsidR="00E03711" w:rsidRPr="001048FE" w:rsidRDefault="00E03711" w:rsidP="00A95E30">
      <w:pPr>
        <w:pStyle w:val="GUIDE-NORMAL"/>
        <w:rPr>
          <w:lang w:val="sl-SI"/>
        </w:rPr>
      </w:pPr>
      <w:r w:rsidRPr="001048FE">
        <w:rPr>
          <w:lang w:val="sl-SI"/>
        </w:rPr>
        <w:t>Visokošolska institucija sprejme vse potrebne ukrepe, da prepreči kakršno koli navzkrižje interesov v zvezi z osebami, ki lahko sodelujejo v organih za izbor ali postopku za izbor študentov.</w:t>
      </w:r>
    </w:p>
    <w:p w14:paraId="7D39A7E2" w14:textId="77777777" w:rsidR="00E03711" w:rsidRPr="001048FE" w:rsidRDefault="00E03711" w:rsidP="00A95E30">
      <w:pPr>
        <w:pStyle w:val="GUIDE-NORMAL"/>
        <w:rPr>
          <w:lang w:val="sl-SI"/>
        </w:rPr>
      </w:pPr>
      <w:r w:rsidRPr="001048FE">
        <w:rPr>
          <w:lang w:val="sl-SI"/>
        </w:rPr>
        <w:t>Merila za izbor – kot so, na primer: akademski uspeh kandidata, predhodne izkušnje v mobilnosti, motivacija, predhodne izkušnje v državi gostiteljici (npr. povratek v državo izvora) itd. – bodo javno objavljena. Za študente iz partnerskih držav bo prvo merilo za izbor uspešnost pri študij, pri enaki uspešnosti pa imajo prednost študenti iz socialno-ekonomskih okolij z manj možnostmi (vključujoč begunce, prosilce za azil in migrante).</w:t>
      </w:r>
    </w:p>
    <w:p w14:paraId="7D39A7E3" w14:textId="77777777" w:rsidR="00E03711" w:rsidRPr="001048FE" w:rsidRDefault="00E03711" w:rsidP="00A95E30">
      <w:pPr>
        <w:pStyle w:val="GUIDE-NORMAL"/>
        <w:rPr>
          <w:lang w:val="sl-SI"/>
        </w:rPr>
      </w:pPr>
      <w:r w:rsidRPr="001048FE">
        <w:rPr>
          <w:lang w:val="sl-SI"/>
        </w:rPr>
        <w:t>Prednost</w:t>
      </w:r>
      <w:r w:rsidRPr="001048FE">
        <w:rPr>
          <w:spacing w:val="-5"/>
          <w:lang w:val="sl-SI"/>
        </w:rPr>
        <w:t xml:space="preserve"> </w:t>
      </w:r>
      <w:r w:rsidRPr="001048FE">
        <w:rPr>
          <w:lang w:val="sl-SI"/>
        </w:rPr>
        <w:t>bodo</w:t>
      </w:r>
      <w:r w:rsidRPr="001048FE">
        <w:rPr>
          <w:spacing w:val="-5"/>
          <w:lang w:val="sl-SI"/>
        </w:rPr>
        <w:t xml:space="preserve"> </w:t>
      </w:r>
      <w:r w:rsidRPr="001048FE">
        <w:rPr>
          <w:lang w:val="sl-SI"/>
        </w:rPr>
        <w:t>imeli</w:t>
      </w:r>
      <w:r w:rsidRPr="001048FE">
        <w:rPr>
          <w:spacing w:val="-5"/>
          <w:lang w:val="sl-SI"/>
        </w:rPr>
        <w:t xml:space="preserve"> </w:t>
      </w:r>
      <w:r w:rsidRPr="001048FE">
        <w:rPr>
          <w:lang w:val="sl-SI"/>
        </w:rPr>
        <w:t>študenti,</w:t>
      </w:r>
      <w:r w:rsidRPr="001048FE">
        <w:rPr>
          <w:spacing w:val="-5"/>
          <w:lang w:val="sl-SI"/>
        </w:rPr>
        <w:t xml:space="preserve"> </w:t>
      </w:r>
      <w:r w:rsidRPr="001048FE">
        <w:rPr>
          <w:lang w:val="sl-SI"/>
        </w:rPr>
        <w:t>ki</w:t>
      </w:r>
      <w:r w:rsidRPr="001048FE">
        <w:rPr>
          <w:spacing w:val="-5"/>
          <w:lang w:val="sl-SI"/>
        </w:rPr>
        <w:t xml:space="preserve"> </w:t>
      </w:r>
      <w:r w:rsidRPr="001048FE">
        <w:rPr>
          <w:lang w:val="sl-SI"/>
        </w:rPr>
        <w:t>se</w:t>
      </w:r>
      <w:r w:rsidRPr="001048FE">
        <w:rPr>
          <w:spacing w:val="-5"/>
          <w:lang w:val="sl-SI"/>
        </w:rPr>
        <w:t xml:space="preserve"> </w:t>
      </w:r>
      <w:r w:rsidRPr="001048FE">
        <w:rPr>
          <w:lang w:val="sl-SI"/>
        </w:rPr>
        <w:t>še</w:t>
      </w:r>
      <w:r w:rsidRPr="001048FE">
        <w:rPr>
          <w:spacing w:val="-5"/>
          <w:lang w:val="sl-SI"/>
        </w:rPr>
        <w:t xml:space="preserve"> </w:t>
      </w:r>
      <w:r w:rsidRPr="001048FE">
        <w:rPr>
          <w:lang w:val="sl-SI"/>
        </w:rPr>
        <w:t>niso</w:t>
      </w:r>
      <w:r w:rsidRPr="001048FE">
        <w:rPr>
          <w:spacing w:val="-5"/>
          <w:lang w:val="sl-SI"/>
        </w:rPr>
        <w:t xml:space="preserve"> </w:t>
      </w:r>
      <w:r w:rsidRPr="001048FE">
        <w:rPr>
          <w:lang w:val="sl-SI"/>
        </w:rPr>
        <w:t>udeležili</w:t>
      </w:r>
      <w:r w:rsidRPr="001048FE">
        <w:rPr>
          <w:spacing w:val="-5"/>
          <w:lang w:val="sl-SI"/>
        </w:rPr>
        <w:t xml:space="preserve"> </w:t>
      </w:r>
      <w:r w:rsidRPr="001048FE">
        <w:rPr>
          <w:lang w:val="sl-SI"/>
        </w:rPr>
        <w:t>ukrepov</w:t>
      </w:r>
      <w:r w:rsidRPr="001048FE">
        <w:rPr>
          <w:spacing w:val="-5"/>
          <w:lang w:val="sl-SI"/>
        </w:rPr>
        <w:t xml:space="preserve"> </w:t>
      </w:r>
      <w:r w:rsidRPr="001048FE">
        <w:rPr>
          <w:lang w:val="sl-SI"/>
        </w:rPr>
        <w:t>mobilnosti</w:t>
      </w:r>
      <w:r w:rsidRPr="001048FE">
        <w:rPr>
          <w:spacing w:val="-5"/>
          <w:lang w:val="sl-SI"/>
        </w:rPr>
        <w:t xml:space="preserve"> </w:t>
      </w:r>
      <w:r w:rsidRPr="001048FE">
        <w:rPr>
          <w:lang w:val="sl-SI"/>
        </w:rPr>
        <w:t>v</w:t>
      </w:r>
      <w:r w:rsidRPr="001048FE">
        <w:rPr>
          <w:spacing w:val="-5"/>
          <w:lang w:val="sl-SI"/>
        </w:rPr>
        <w:t xml:space="preserve"> </w:t>
      </w:r>
      <w:r w:rsidRPr="001048FE">
        <w:rPr>
          <w:lang w:val="sl-SI"/>
        </w:rPr>
        <w:t>istem</w:t>
      </w:r>
      <w:r w:rsidRPr="001048FE">
        <w:rPr>
          <w:spacing w:val="-5"/>
          <w:lang w:val="sl-SI"/>
        </w:rPr>
        <w:t xml:space="preserve"> </w:t>
      </w:r>
      <w:r w:rsidRPr="001048FE">
        <w:rPr>
          <w:lang w:val="sl-SI"/>
        </w:rPr>
        <w:t>ciklu</w:t>
      </w:r>
      <w:r w:rsidRPr="001048FE">
        <w:rPr>
          <w:spacing w:val="-5"/>
          <w:lang w:val="sl-SI"/>
        </w:rPr>
        <w:t xml:space="preserve"> </w:t>
      </w:r>
      <w:r w:rsidRPr="001048FE">
        <w:rPr>
          <w:lang w:val="sl-SI"/>
        </w:rPr>
        <w:t>študija</w:t>
      </w:r>
      <w:r w:rsidRPr="001048FE">
        <w:rPr>
          <w:spacing w:val="-5"/>
          <w:lang w:val="sl-SI"/>
        </w:rPr>
        <w:t xml:space="preserve"> </w:t>
      </w:r>
      <w:r w:rsidRPr="001048FE">
        <w:rPr>
          <w:lang w:val="sl-SI"/>
        </w:rPr>
        <w:t>v</w:t>
      </w:r>
      <w:r w:rsidRPr="001048FE">
        <w:rPr>
          <w:spacing w:val="-5"/>
          <w:lang w:val="sl-SI"/>
        </w:rPr>
        <w:t xml:space="preserve"> </w:t>
      </w:r>
      <w:r w:rsidRPr="001048FE">
        <w:rPr>
          <w:lang w:val="sl-SI"/>
        </w:rPr>
        <w:t>okviru programov Erasmus Vseživljenjsko učenje, Erasmus Mundus ali Erasmus+. V primeru magistrskih programov</w:t>
      </w:r>
      <w:r w:rsidRPr="001048FE">
        <w:rPr>
          <w:spacing w:val="-16"/>
          <w:lang w:val="sl-SI"/>
        </w:rPr>
        <w:t xml:space="preserve"> </w:t>
      </w:r>
      <w:r w:rsidRPr="001048FE">
        <w:rPr>
          <w:lang w:val="sl-SI"/>
        </w:rPr>
        <w:t>Erasmus</w:t>
      </w:r>
      <w:r w:rsidRPr="001048FE">
        <w:rPr>
          <w:spacing w:val="-16"/>
          <w:lang w:val="sl-SI"/>
        </w:rPr>
        <w:t xml:space="preserve"> </w:t>
      </w:r>
      <w:r w:rsidRPr="001048FE">
        <w:rPr>
          <w:lang w:val="sl-SI"/>
        </w:rPr>
        <w:t>Mundus</w:t>
      </w:r>
      <w:r w:rsidRPr="001048FE">
        <w:rPr>
          <w:spacing w:val="-16"/>
          <w:lang w:val="sl-SI"/>
        </w:rPr>
        <w:t xml:space="preserve"> </w:t>
      </w:r>
      <w:r w:rsidRPr="001048FE">
        <w:rPr>
          <w:lang w:val="sl-SI"/>
        </w:rPr>
        <w:t>in</w:t>
      </w:r>
      <w:r w:rsidRPr="001048FE">
        <w:rPr>
          <w:spacing w:val="-16"/>
          <w:lang w:val="sl-SI"/>
        </w:rPr>
        <w:t xml:space="preserve"> </w:t>
      </w:r>
      <w:r w:rsidRPr="001048FE">
        <w:rPr>
          <w:lang w:val="sl-SI"/>
        </w:rPr>
        <w:t>skupnih</w:t>
      </w:r>
      <w:r w:rsidRPr="001048FE">
        <w:rPr>
          <w:spacing w:val="-16"/>
          <w:lang w:val="sl-SI"/>
        </w:rPr>
        <w:t xml:space="preserve"> </w:t>
      </w:r>
      <w:r w:rsidRPr="001048FE">
        <w:rPr>
          <w:lang w:val="sl-SI"/>
        </w:rPr>
        <w:t>magistrskih</w:t>
      </w:r>
      <w:r w:rsidRPr="001048FE">
        <w:rPr>
          <w:spacing w:val="-16"/>
          <w:lang w:val="sl-SI"/>
        </w:rPr>
        <w:t xml:space="preserve"> </w:t>
      </w:r>
      <w:r w:rsidRPr="001048FE">
        <w:rPr>
          <w:lang w:val="sl-SI"/>
        </w:rPr>
        <w:t>študijev</w:t>
      </w:r>
      <w:r w:rsidRPr="001048FE">
        <w:rPr>
          <w:spacing w:val="-16"/>
          <w:lang w:val="sl-SI"/>
        </w:rPr>
        <w:t xml:space="preserve"> </w:t>
      </w:r>
      <w:r w:rsidRPr="001048FE">
        <w:rPr>
          <w:lang w:val="sl-SI"/>
        </w:rPr>
        <w:t>Erasmus</w:t>
      </w:r>
      <w:r w:rsidRPr="001048FE">
        <w:rPr>
          <w:spacing w:val="-16"/>
          <w:lang w:val="sl-SI"/>
        </w:rPr>
        <w:t xml:space="preserve"> </w:t>
      </w:r>
      <w:r w:rsidRPr="001048FE">
        <w:rPr>
          <w:lang w:val="sl-SI"/>
        </w:rPr>
        <w:t>Mundus</w:t>
      </w:r>
      <w:r w:rsidRPr="001048FE">
        <w:rPr>
          <w:spacing w:val="-16"/>
          <w:lang w:val="sl-SI"/>
        </w:rPr>
        <w:t xml:space="preserve"> </w:t>
      </w:r>
      <w:r w:rsidRPr="001048FE">
        <w:rPr>
          <w:lang w:val="sl-SI"/>
        </w:rPr>
        <w:t>se</w:t>
      </w:r>
      <w:r w:rsidRPr="001048FE">
        <w:rPr>
          <w:spacing w:val="-16"/>
          <w:lang w:val="sl-SI"/>
        </w:rPr>
        <w:t xml:space="preserve"> </w:t>
      </w:r>
      <w:r w:rsidRPr="001048FE">
        <w:rPr>
          <w:lang w:val="sl-SI"/>
        </w:rPr>
        <w:t>prejšnja</w:t>
      </w:r>
      <w:r w:rsidRPr="001048FE">
        <w:rPr>
          <w:spacing w:val="-16"/>
          <w:lang w:val="sl-SI"/>
        </w:rPr>
        <w:t xml:space="preserve"> </w:t>
      </w:r>
      <w:r w:rsidRPr="001048FE">
        <w:rPr>
          <w:lang w:val="sl-SI"/>
        </w:rPr>
        <w:t>udeležba upošteva le za prejemnike</w:t>
      </w:r>
      <w:r w:rsidRPr="001048FE">
        <w:rPr>
          <w:spacing w:val="-11"/>
          <w:lang w:val="sl-SI"/>
        </w:rPr>
        <w:t xml:space="preserve"> </w:t>
      </w:r>
      <w:r w:rsidRPr="001048FE">
        <w:rPr>
          <w:lang w:val="sl-SI"/>
        </w:rPr>
        <w:t>štipendij.</w:t>
      </w:r>
    </w:p>
    <w:p w14:paraId="7D39A7E4" w14:textId="77777777" w:rsidR="00E03711" w:rsidRPr="001048FE" w:rsidRDefault="00E03711" w:rsidP="00A95E30">
      <w:pPr>
        <w:pStyle w:val="GUIDE-NORMAL"/>
        <w:rPr>
          <w:lang w:val="sl-SI"/>
        </w:rPr>
      </w:pPr>
      <w:r w:rsidRPr="001048FE">
        <w:rPr>
          <w:lang w:val="sl-SI"/>
        </w:rPr>
        <w:t>Ko so študenti izbrani, bi od svoje institucije pošiljateljice morali prejeti študentsko listino Erasmus+, ki opredeljuje pravice in obveznosti študentov v zvezi z njihovim obdobjem študija ali prakse v tujini ter pojasnjuje različne korake, ki jih je treba opraviti pred in med mobilnostjo ter po njej.</w:t>
      </w:r>
    </w:p>
    <w:p w14:paraId="7D39A7E5" w14:textId="77777777" w:rsidR="00E03711" w:rsidRPr="001048FE" w:rsidRDefault="00E03711" w:rsidP="00A95E30">
      <w:pPr>
        <w:pStyle w:val="Guide-Heading5"/>
        <w:rPr>
          <w:lang w:val="sl-SI"/>
        </w:rPr>
      </w:pPr>
      <w:r w:rsidRPr="001048FE">
        <w:rPr>
          <w:lang w:val="sl-SI"/>
        </w:rPr>
        <w:t>Sporazum s študentom</w:t>
      </w:r>
    </w:p>
    <w:p w14:paraId="7D39A7E6" w14:textId="77777777" w:rsidR="00E03711" w:rsidRPr="001048FE" w:rsidRDefault="00E03711" w:rsidP="00A95E30">
      <w:pPr>
        <w:pStyle w:val="GUIDE-NORMAL"/>
        <w:rPr>
          <w:lang w:val="sl-SI"/>
        </w:rPr>
      </w:pPr>
      <w:r w:rsidRPr="001048FE">
        <w:rPr>
          <w:lang w:val="sl-SI"/>
        </w:rPr>
        <w:t>Pred odhodom mora vsak izbrani študent podpisati sporazum, ki vključuje tudi „študijski sporazum“ z</w:t>
      </w:r>
      <w:r w:rsidRPr="001048FE">
        <w:rPr>
          <w:spacing w:val="-9"/>
          <w:lang w:val="sl-SI"/>
        </w:rPr>
        <w:t xml:space="preserve"> </w:t>
      </w:r>
      <w:r w:rsidRPr="001048FE">
        <w:rPr>
          <w:lang w:val="sl-SI"/>
        </w:rPr>
        <w:t>opredeljenim</w:t>
      </w:r>
      <w:r w:rsidRPr="001048FE">
        <w:rPr>
          <w:spacing w:val="-8"/>
          <w:lang w:val="sl-SI"/>
        </w:rPr>
        <w:t xml:space="preserve"> </w:t>
      </w:r>
      <w:r w:rsidRPr="001048FE">
        <w:rPr>
          <w:lang w:val="sl-SI"/>
        </w:rPr>
        <w:t>programom</w:t>
      </w:r>
      <w:r w:rsidRPr="001048FE">
        <w:rPr>
          <w:spacing w:val="-9"/>
          <w:lang w:val="sl-SI"/>
        </w:rPr>
        <w:t xml:space="preserve"> </w:t>
      </w:r>
      <w:r w:rsidRPr="001048FE">
        <w:rPr>
          <w:lang w:val="sl-SI"/>
        </w:rPr>
        <w:t>študija</w:t>
      </w:r>
      <w:r w:rsidRPr="001048FE">
        <w:rPr>
          <w:spacing w:val="-9"/>
          <w:lang w:val="sl-SI"/>
        </w:rPr>
        <w:t xml:space="preserve"> </w:t>
      </w:r>
      <w:r w:rsidRPr="001048FE">
        <w:rPr>
          <w:lang w:val="sl-SI"/>
        </w:rPr>
        <w:t>in/ali</w:t>
      </w:r>
      <w:r w:rsidRPr="001048FE">
        <w:rPr>
          <w:spacing w:val="-9"/>
          <w:lang w:val="sl-SI"/>
        </w:rPr>
        <w:t xml:space="preserve"> </w:t>
      </w:r>
      <w:r w:rsidRPr="001048FE">
        <w:rPr>
          <w:lang w:val="sl-SI"/>
        </w:rPr>
        <w:t>prakse,</w:t>
      </w:r>
      <w:r w:rsidRPr="001048FE">
        <w:rPr>
          <w:spacing w:val="-9"/>
          <w:lang w:val="sl-SI"/>
        </w:rPr>
        <w:t xml:space="preserve"> </w:t>
      </w:r>
      <w:r w:rsidRPr="001048FE">
        <w:rPr>
          <w:lang w:val="sl-SI"/>
        </w:rPr>
        <w:t>ki</w:t>
      </w:r>
      <w:r w:rsidRPr="001048FE">
        <w:rPr>
          <w:spacing w:val="-9"/>
          <w:lang w:val="sl-SI"/>
        </w:rPr>
        <w:t xml:space="preserve"> </w:t>
      </w:r>
      <w:r w:rsidRPr="001048FE">
        <w:rPr>
          <w:lang w:val="sl-SI"/>
        </w:rPr>
        <w:t>se</w:t>
      </w:r>
      <w:r w:rsidRPr="001048FE">
        <w:rPr>
          <w:spacing w:val="-9"/>
          <w:lang w:val="sl-SI"/>
        </w:rPr>
        <w:t xml:space="preserve"> </w:t>
      </w:r>
      <w:r w:rsidRPr="001048FE">
        <w:rPr>
          <w:lang w:val="sl-SI"/>
        </w:rPr>
        <w:t>bo</w:t>
      </w:r>
      <w:r w:rsidRPr="001048FE">
        <w:rPr>
          <w:spacing w:val="-9"/>
          <w:lang w:val="sl-SI"/>
        </w:rPr>
        <w:t xml:space="preserve"> </w:t>
      </w:r>
      <w:r w:rsidRPr="001048FE">
        <w:rPr>
          <w:lang w:val="sl-SI"/>
        </w:rPr>
        <w:t>opravil</w:t>
      </w:r>
      <w:r w:rsidRPr="001048FE">
        <w:rPr>
          <w:spacing w:val="-8"/>
          <w:lang w:val="sl-SI"/>
        </w:rPr>
        <w:t xml:space="preserve"> </w:t>
      </w:r>
      <w:r w:rsidRPr="001048FE">
        <w:rPr>
          <w:lang w:val="sl-SI"/>
        </w:rPr>
        <w:t>na</w:t>
      </w:r>
      <w:r w:rsidRPr="001048FE">
        <w:rPr>
          <w:spacing w:val="-9"/>
          <w:lang w:val="sl-SI"/>
        </w:rPr>
        <w:t xml:space="preserve"> </w:t>
      </w:r>
      <w:r w:rsidRPr="001048FE">
        <w:rPr>
          <w:lang w:val="sl-SI"/>
        </w:rPr>
        <w:t>podlagi</w:t>
      </w:r>
      <w:r w:rsidRPr="001048FE">
        <w:rPr>
          <w:spacing w:val="-9"/>
          <w:lang w:val="sl-SI"/>
        </w:rPr>
        <w:t xml:space="preserve"> </w:t>
      </w:r>
      <w:r w:rsidRPr="001048FE">
        <w:rPr>
          <w:lang w:val="sl-SI"/>
        </w:rPr>
        <w:t>dogovora</w:t>
      </w:r>
      <w:r w:rsidRPr="001048FE">
        <w:rPr>
          <w:spacing w:val="-9"/>
          <w:lang w:val="sl-SI"/>
        </w:rPr>
        <w:t xml:space="preserve"> </w:t>
      </w:r>
      <w:r w:rsidRPr="001048FE">
        <w:rPr>
          <w:lang w:val="sl-SI"/>
        </w:rPr>
        <w:t>med</w:t>
      </w:r>
      <w:r w:rsidRPr="001048FE">
        <w:rPr>
          <w:spacing w:val="-9"/>
          <w:lang w:val="sl-SI"/>
        </w:rPr>
        <w:t xml:space="preserve"> </w:t>
      </w:r>
      <w:r w:rsidRPr="001048FE">
        <w:rPr>
          <w:lang w:val="sl-SI"/>
        </w:rPr>
        <w:t xml:space="preserve">študentom ter organizacijama pošiljateljico in gostiteljico. Predloga je na voljo na spletišču: </w:t>
      </w:r>
      <w:hyperlink r:id="rId157">
        <w:r w:rsidRPr="001048FE">
          <w:rPr>
            <w:rStyle w:val="Hyperlink"/>
            <w:lang w:val="sl-SI"/>
          </w:rPr>
          <w:t>http://ec.europa.eu/education/opportunities/higher-education/quality-framework_en.htm</w:t>
        </w:r>
      </w:hyperlink>
      <w:r w:rsidRPr="001048FE">
        <w:rPr>
          <w:lang w:val="sl-SI"/>
        </w:rPr>
        <w:t>.</w:t>
      </w:r>
    </w:p>
    <w:p w14:paraId="7D39A7E7" w14:textId="77777777" w:rsidR="00E03711" w:rsidRPr="001048FE" w:rsidRDefault="00E03711" w:rsidP="00A95E30">
      <w:pPr>
        <w:pStyle w:val="GUIDE-NORMAL"/>
        <w:rPr>
          <w:lang w:val="sl-SI"/>
        </w:rPr>
      </w:pPr>
      <w:r w:rsidRPr="001048FE">
        <w:rPr>
          <w:lang w:val="sl-SI"/>
        </w:rPr>
        <w:t>Ta študijski sporazum opredeljuje ciljne učne izide za obdobje učenja v tujini in navaja formalne določbe o priznavanju. V sporazumu je naveden tudi kraj obdobja študija in/ali prakse. V tem študijskem sporazumu se morata institucija pošiljateljica in študent tudi dogovoriti o ravni jezikovnega</w:t>
      </w:r>
      <w:r w:rsidRPr="001048FE">
        <w:rPr>
          <w:spacing w:val="-19"/>
          <w:lang w:val="sl-SI"/>
        </w:rPr>
        <w:t xml:space="preserve"> </w:t>
      </w:r>
      <w:r w:rsidRPr="001048FE">
        <w:rPr>
          <w:lang w:val="sl-SI"/>
        </w:rPr>
        <w:t>znanja</w:t>
      </w:r>
      <w:r w:rsidRPr="001048FE">
        <w:rPr>
          <w:spacing w:val="-19"/>
          <w:lang w:val="sl-SI"/>
        </w:rPr>
        <w:t xml:space="preserve"> </w:t>
      </w:r>
      <w:r w:rsidRPr="001048FE">
        <w:rPr>
          <w:lang w:val="sl-SI"/>
        </w:rPr>
        <w:t>(glavnega</w:t>
      </w:r>
      <w:r w:rsidRPr="001048FE">
        <w:rPr>
          <w:spacing w:val="-19"/>
          <w:lang w:val="sl-SI"/>
        </w:rPr>
        <w:t xml:space="preserve"> </w:t>
      </w:r>
      <w:r w:rsidRPr="001048FE">
        <w:rPr>
          <w:lang w:val="sl-SI"/>
        </w:rPr>
        <w:t>jezika</w:t>
      </w:r>
      <w:r w:rsidRPr="001048FE">
        <w:rPr>
          <w:spacing w:val="-19"/>
          <w:lang w:val="sl-SI"/>
        </w:rPr>
        <w:t xml:space="preserve"> </w:t>
      </w:r>
      <w:r w:rsidRPr="001048FE">
        <w:rPr>
          <w:lang w:val="sl-SI"/>
        </w:rPr>
        <w:t>poučevanja</w:t>
      </w:r>
      <w:r w:rsidRPr="001048FE">
        <w:rPr>
          <w:spacing w:val="-19"/>
          <w:lang w:val="sl-SI"/>
        </w:rPr>
        <w:t xml:space="preserve"> </w:t>
      </w:r>
      <w:r w:rsidRPr="001048FE">
        <w:rPr>
          <w:lang w:val="sl-SI"/>
        </w:rPr>
        <w:t>ali</w:t>
      </w:r>
      <w:r w:rsidRPr="001048FE">
        <w:rPr>
          <w:spacing w:val="-19"/>
          <w:lang w:val="sl-SI"/>
        </w:rPr>
        <w:t xml:space="preserve"> </w:t>
      </w:r>
      <w:r w:rsidRPr="001048FE">
        <w:rPr>
          <w:lang w:val="sl-SI"/>
        </w:rPr>
        <w:t>na</w:t>
      </w:r>
      <w:r w:rsidRPr="001048FE">
        <w:rPr>
          <w:spacing w:val="-19"/>
          <w:lang w:val="sl-SI"/>
        </w:rPr>
        <w:t xml:space="preserve"> </w:t>
      </w:r>
      <w:r w:rsidRPr="001048FE">
        <w:rPr>
          <w:lang w:val="sl-SI"/>
        </w:rPr>
        <w:t>delovnem</w:t>
      </w:r>
      <w:r w:rsidRPr="001048FE">
        <w:rPr>
          <w:spacing w:val="-19"/>
          <w:lang w:val="sl-SI"/>
        </w:rPr>
        <w:t xml:space="preserve"> </w:t>
      </w:r>
      <w:r w:rsidRPr="001048FE">
        <w:rPr>
          <w:lang w:val="sl-SI"/>
        </w:rPr>
        <w:t>mestu),</w:t>
      </w:r>
      <w:r w:rsidRPr="001048FE">
        <w:rPr>
          <w:spacing w:val="-19"/>
          <w:lang w:val="sl-SI"/>
        </w:rPr>
        <w:t xml:space="preserve"> </w:t>
      </w:r>
      <w:r w:rsidRPr="001048FE">
        <w:rPr>
          <w:lang w:val="sl-SI"/>
        </w:rPr>
        <w:t>ki</w:t>
      </w:r>
      <w:r w:rsidRPr="001048FE">
        <w:rPr>
          <w:spacing w:val="-19"/>
          <w:lang w:val="sl-SI"/>
        </w:rPr>
        <w:t xml:space="preserve"> </w:t>
      </w:r>
      <w:r w:rsidRPr="001048FE">
        <w:rPr>
          <w:lang w:val="sl-SI"/>
        </w:rPr>
        <w:t>jo</w:t>
      </w:r>
      <w:r w:rsidRPr="001048FE">
        <w:rPr>
          <w:spacing w:val="-19"/>
          <w:lang w:val="sl-SI"/>
        </w:rPr>
        <w:t xml:space="preserve"> </w:t>
      </w:r>
      <w:r w:rsidRPr="001048FE">
        <w:rPr>
          <w:lang w:val="sl-SI"/>
        </w:rPr>
        <w:t>mora</w:t>
      </w:r>
      <w:r w:rsidRPr="001048FE">
        <w:rPr>
          <w:spacing w:val="-19"/>
          <w:lang w:val="sl-SI"/>
        </w:rPr>
        <w:t xml:space="preserve"> </w:t>
      </w:r>
      <w:r w:rsidRPr="001048FE">
        <w:rPr>
          <w:lang w:val="sl-SI"/>
        </w:rPr>
        <w:t>študent</w:t>
      </w:r>
      <w:r w:rsidRPr="001048FE">
        <w:rPr>
          <w:spacing w:val="-19"/>
          <w:lang w:val="sl-SI"/>
        </w:rPr>
        <w:t xml:space="preserve"> </w:t>
      </w:r>
      <w:r w:rsidRPr="001048FE">
        <w:rPr>
          <w:lang w:val="sl-SI"/>
        </w:rPr>
        <w:t>doseči</w:t>
      </w:r>
      <w:r w:rsidRPr="001048FE">
        <w:rPr>
          <w:spacing w:val="-19"/>
          <w:lang w:val="sl-SI"/>
        </w:rPr>
        <w:t xml:space="preserve"> </w:t>
      </w:r>
      <w:r w:rsidRPr="001048FE">
        <w:rPr>
          <w:lang w:val="sl-SI"/>
        </w:rPr>
        <w:t>do začetka</w:t>
      </w:r>
      <w:r w:rsidRPr="001048FE">
        <w:rPr>
          <w:spacing w:val="-15"/>
          <w:lang w:val="sl-SI"/>
        </w:rPr>
        <w:t xml:space="preserve"> </w:t>
      </w:r>
      <w:r w:rsidRPr="001048FE">
        <w:rPr>
          <w:lang w:val="sl-SI"/>
        </w:rPr>
        <w:t>obdobja</w:t>
      </w:r>
      <w:r w:rsidRPr="001048FE">
        <w:rPr>
          <w:spacing w:val="-14"/>
          <w:lang w:val="sl-SI"/>
        </w:rPr>
        <w:t xml:space="preserve"> </w:t>
      </w:r>
      <w:r w:rsidRPr="001048FE">
        <w:rPr>
          <w:lang w:val="sl-SI"/>
        </w:rPr>
        <w:t>študija/prakse</w:t>
      </w:r>
      <w:r w:rsidRPr="001048FE">
        <w:rPr>
          <w:spacing w:val="-15"/>
          <w:lang w:val="sl-SI"/>
        </w:rPr>
        <w:t xml:space="preserve"> </w:t>
      </w:r>
      <w:r w:rsidRPr="001048FE">
        <w:rPr>
          <w:lang w:val="sl-SI"/>
        </w:rPr>
        <w:t>in</w:t>
      </w:r>
      <w:r w:rsidRPr="001048FE">
        <w:rPr>
          <w:spacing w:val="-15"/>
          <w:lang w:val="sl-SI"/>
        </w:rPr>
        <w:t xml:space="preserve"> </w:t>
      </w:r>
      <w:r w:rsidRPr="001048FE">
        <w:rPr>
          <w:lang w:val="sl-SI"/>
        </w:rPr>
        <w:t>je</w:t>
      </w:r>
      <w:r w:rsidRPr="001048FE">
        <w:rPr>
          <w:spacing w:val="-15"/>
          <w:lang w:val="sl-SI"/>
        </w:rPr>
        <w:t xml:space="preserve"> </w:t>
      </w:r>
      <w:r w:rsidRPr="001048FE">
        <w:rPr>
          <w:lang w:val="sl-SI"/>
        </w:rPr>
        <w:t>v</w:t>
      </w:r>
      <w:r w:rsidRPr="001048FE">
        <w:rPr>
          <w:spacing w:val="-15"/>
          <w:lang w:val="sl-SI"/>
        </w:rPr>
        <w:t xml:space="preserve"> </w:t>
      </w:r>
      <w:r w:rsidRPr="001048FE">
        <w:rPr>
          <w:lang w:val="sl-SI"/>
        </w:rPr>
        <w:t>skladu</w:t>
      </w:r>
      <w:r w:rsidRPr="001048FE">
        <w:rPr>
          <w:spacing w:val="-15"/>
          <w:lang w:val="sl-SI"/>
        </w:rPr>
        <w:t xml:space="preserve"> </w:t>
      </w:r>
      <w:r w:rsidRPr="001048FE">
        <w:rPr>
          <w:lang w:val="sl-SI"/>
        </w:rPr>
        <w:t>s</w:t>
      </w:r>
      <w:r w:rsidRPr="001048FE">
        <w:rPr>
          <w:spacing w:val="-15"/>
          <w:lang w:val="sl-SI"/>
        </w:rPr>
        <w:t xml:space="preserve"> </w:t>
      </w:r>
      <w:r w:rsidRPr="001048FE">
        <w:rPr>
          <w:lang w:val="sl-SI"/>
        </w:rPr>
        <w:t>priporočeno</w:t>
      </w:r>
      <w:r w:rsidRPr="001048FE">
        <w:rPr>
          <w:spacing w:val="-15"/>
          <w:lang w:val="sl-SI"/>
        </w:rPr>
        <w:t xml:space="preserve"> </w:t>
      </w:r>
      <w:r w:rsidRPr="001048FE">
        <w:rPr>
          <w:lang w:val="sl-SI"/>
        </w:rPr>
        <w:t>ravnjo,</w:t>
      </w:r>
      <w:r w:rsidRPr="001048FE">
        <w:rPr>
          <w:spacing w:val="-15"/>
          <w:lang w:val="sl-SI"/>
        </w:rPr>
        <w:t xml:space="preserve"> </w:t>
      </w:r>
      <w:r w:rsidRPr="001048FE">
        <w:rPr>
          <w:lang w:val="sl-SI"/>
        </w:rPr>
        <w:t>navedeno</w:t>
      </w:r>
      <w:r w:rsidRPr="001048FE">
        <w:rPr>
          <w:spacing w:val="-15"/>
          <w:lang w:val="sl-SI"/>
        </w:rPr>
        <w:t xml:space="preserve"> </w:t>
      </w:r>
      <w:r w:rsidRPr="001048FE">
        <w:rPr>
          <w:lang w:val="sl-SI"/>
        </w:rPr>
        <w:t>v</w:t>
      </w:r>
      <w:r w:rsidRPr="001048FE">
        <w:rPr>
          <w:spacing w:val="-15"/>
          <w:lang w:val="sl-SI"/>
        </w:rPr>
        <w:t xml:space="preserve"> </w:t>
      </w:r>
      <w:r w:rsidRPr="001048FE">
        <w:rPr>
          <w:lang w:val="sl-SI"/>
        </w:rPr>
        <w:t>medinstitucionalnem sporazumu med institucijo pošiljateljico in gostiteljico (ali v skladu s pričakovanji podjetja v primeru prakse).</w:t>
      </w:r>
    </w:p>
    <w:p w14:paraId="7D39A7E8" w14:textId="77777777" w:rsidR="00E03711" w:rsidRPr="001048FE" w:rsidRDefault="00E03711" w:rsidP="00A95E30">
      <w:pPr>
        <w:pStyle w:val="GUIDE-NORMAL"/>
        <w:rPr>
          <w:lang w:val="sl-SI"/>
        </w:rPr>
      </w:pPr>
      <w:r w:rsidRPr="001048FE">
        <w:rPr>
          <w:lang w:val="sl-SI"/>
        </w:rPr>
        <w:t>Kadar je to ustrezno, se bosta institucija pošiljateljica in študent dogovorila o najustreznejši jezikovni podpori, ki se bo zagotovila, da lahko študent doseže dogovorjeno raven (glej naslednji odstavek o spletni storitvi za jezikovno podporo).</w:t>
      </w:r>
    </w:p>
    <w:p w14:paraId="7D39A7E9" w14:textId="77777777" w:rsidR="00E03711" w:rsidRPr="001048FE" w:rsidRDefault="00E03711" w:rsidP="00A95E30">
      <w:pPr>
        <w:pStyle w:val="Guide-Heading5"/>
        <w:rPr>
          <w:lang w:val="sl-SI"/>
        </w:rPr>
      </w:pPr>
      <w:r w:rsidRPr="001048FE">
        <w:rPr>
          <w:lang w:val="sl-SI"/>
        </w:rPr>
        <w:t>Nepovratna sredstva za študente</w:t>
      </w:r>
    </w:p>
    <w:p w14:paraId="7D39A7EA" w14:textId="77777777" w:rsidR="00E03711" w:rsidRPr="001048FE" w:rsidRDefault="00E03711" w:rsidP="00A95E30">
      <w:pPr>
        <w:pStyle w:val="GUIDE-NORMAL"/>
        <w:rPr>
          <w:lang w:val="sl-SI"/>
        </w:rPr>
      </w:pPr>
      <w:r w:rsidRPr="001048FE">
        <w:rPr>
          <w:lang w:val="sl-SI"/>
        </w:rPr>
        <w:t>Študenti so upravičeni do „študentskih nepovratnih sredstev“ za pokrivanje višjih stroškov, ki jih ustvarja obdobje mobilnosti v tujini. V ta nepovratna sredstva je lahko zajeto eno ali oboje od naslednjega:</w:t>
      </w:r>
    </w:p>
    <w:p w14:paraId="7D39A7EB" w14:textId="77777777" w:rsidR="00E03711" w:rsidRPr="001048FE" w:rsidRDefault="00E03711" w:rsidP="005115F2">
      <w:pPr>
        <w:pStyle w:val="Guide-NormalBulletpoints"/>
        <w:numPr>
          <w:ilvl w:val="0"/>
          <w:numId w:val="421"/>
        </w:numPr>
        <w:rPr>
          <w:lang w:val="sl-SI"/>
        </w:rPr>
      </w:pPr>
      <w:r w:rsidRPr="001048FE">
        <w:rPr>
          <w:lang w:val="sl-SI"/>
        </w:rPr>
        <w:t>nepovratna</w:t>
      </w:r>
      <w:r w:rsidRPr="001048FE">
        <w:rPr>
          <w:spacing w:val="-13"/>
          <w:lang w:val="sl-SI"/>
        </w:rPr>
        <w:t xml:space="preserve"> </w:t>
      </w:r>
      <w:r w:rsidRPr="001048FE">
        <w:rPr>
          <w:lang w:val="sl-SI"/>
        </w:rPr>
        <w:t>sredstva</w:t>
      </w:r>
      <w:r w:rsidRPr="001048FE">
        <w:rPr>
          <w:spacing w:val="-13"/>
          <w:lang w:val="sl-SI"/>
        </w:rPr>
        <w:t xml:space="preserve"> </w:t>
      </w:r>
      <w:r w:rsidRPr="001048FE">
        <w:rPr>
          <w:lang w:val="sl-SI"/>
        </w:rPr>
        <w:t>EU,</w:t>
      </w:r>
      <w:r w:rsidRPr="001048FE">
        <w:rPr>
          <w:spacing w:val="-13"/>
          <w:lang w:val="sl-SI"/>
        </w:rPr>
        <w:t xml:space="preserve"> </w:t>
      </w:r>
      <w:r w:rsidRPr="001048FE">
        <w:rPr>
          <w:lang w:val="sl-SI"/>
        </w:rPr>
        <w:t>ki</w:t>
      </w:r>
      <w:r w:rsidRPr="001048FE">
        <w:rPr>
          <w:spacing w:val="-13"/>
          <w:lang w:val="sl-SI"/>
        </w:rPr>
        <w:t xml:space="preserve"> </w:t>
      </w:r>
      <w:r w:rsidRPr="001048FE">
        <w:rPr>
          <w:lang w:val="sl-SI"/>
        </w:rPr>
        <w:t>se</w:t>
      </w:r>
      <w:r w:rsidRPr="001048FE">
        <w:rPr>
          <w:spacing w:val="-13"/>
          <w:lang w:val="sl-SI"/>
        </w:rPr>
        <w:t xml:space="preserve"> </w:t>
      </w:r>
      <w:r w:rsidRPr="001048FE">
        <w:rPr>
          <w:lang w:val="sl-SI"/>
        </w:rPr>
        <w:t>izračunajo</w:t>
      </w:r>
      <w:r w:rsidRPr="001048FE">
        <w:rPr>
          <w:spacing w:val="-13"/>
          <w:lang w:val="sl-SI"/>
        </w:rPr>
        <w:t xml:space="preserve"> </w:t>
      </w:r>
      <w:r w:rsidRPr="001048FE">
        <w:rPr>
          <w:lang w:val="sl-SI"/>
        </w:rPr>
        <w:t>na</w:t>
      </w:r>
      <w:r w:rsidRPr="001048FE">
        <w:rPr>
          <w:spacing w:val="-13"/>
          <w:lang w:val="sl-SI"/>
        </w:rPr>
        <w:t xml:space="preserve"> </w:t>
      </w:r>
      <w:r w:rsidRPr="001048FE">
        <w:rPr>
          <w:lang w:val="sl-SI"/>
        </w:rPr>
        <w:t>mesec</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plačajo</w:t>
      </w:r>
      <w:r w:rsidRPr="001048FE">
        <w:rPr>
          <w:spacing w:val="-13"/>
          <w:lang w:val="sl-SI"/>
        </w:rPr>
        <w:t xml:space="preserve"> </w:t>
      </w:r>
      <w:r w:rsidRPr="001048FE">
        <w:rPr>
          <w:lang w:val="sl-SI"/>
        </w:rPr>
        <w:t>v</w:t>
      </w:r>
      <w:r w:rsidRPr="001048FE">
        <w:rPr>
          <w:spacing w:val="-13"/>
          <w:lang w:val="sl-SI"/>
        </w:rPr>
        <w:t xml:space="preserve"> </w:t>
      </w:r>
      <w:r w:rsidRPr="001048FE">
        <w:rPr>
          <w:lang w:val="sl-SI"/>
        </w:rPr>
        <w:t>obliki</w:t>
      </w:r>
      <w:r w:rsidRPr="001048FE">
        <w:rPr>
          <w:spacing w:val="-12"/>
          <w:lang w:val="sl-SI"/>
        </w:rPr>
        <w:t xml:space="preserve"> </w:t>
      </w:r>
      <w:r w:rsidRPr="001048FE">
        <w:rPr>
          <w:lang w:val="sl-SI"/>
        </w:rPr>
        <w:t>stroškov</w:t>
      </w:r>
      <w:r w:rsidRPr="001048FE">
        <w:rPr>
          <w:spacing w:val="-13"/>
          <w:lang w:val="sl-SI"/>
        </w:rPr>
        <w:t xml:space="preserve"> </w:t>
      </w:r>
      <w:r w:rsidRPr="001048FE">
        <w:rPr>
          <w:lang w:val="sl-SI"/>
        </w:rPr>
        <w:t>na</w:t>
      </w:r>
      <w:r w:rsidRPr="001048FE">
        <w:rPr>
          <w:spacing w:val="-13"/>
          <w:lang w:val="sl-SI"/>
        </w:rPr>
        <w:t xml:space="preserve"> </w:t>
      </w:r>
      <w:r w:rsidRPr="001048FE">
        <w:rPr>
          <w:lang w:val="sl-SI"/>
        </w:rPr>
        <w:t>enoto</w:t>
      </w:r>
      <w:r w:rsidRPr="001048FE">
        <w:rPr>
          <w:spacing w:val="-13"/>
          <w:lang w:val="sl-SI"/>
        </w:rPr>
        <w:t xml:space="preserve"> </w:t>
      </w:r>
      <w:r w:rsidRPr="001048FE">
        <w:rPr>
          <w:lang w:val="sl-SI"/>
        </w:rPr>
        <w:t>(glej poglavje „Pravila za dodelitev sredstev“ v delu B tega vodnika),</w:t>
      </w:r>
      <w:r w:rsidRPr="001048FE">
        <w:rPr>
          <w:spacing w:val="-30"/>
          <w:lang w:val="sl-SI"/>
        </w:rPr>
        <w:t xml:space="preserve"> </w:t>
      </w:r>
      <w:r w:rsidRPr="001048FE">
        <w:rPr>
          <w:lang w:val="sl-SI"/>
        </w:rPr>
        <w:t>in/ali</w:t>
      </w:r>
    </w:p>
    <w:p w14:paraId="7D39A7EC" w14:textId="77777777" w:rsidR="00E03711" w:rsidRPr="001048FE" w:rsidRDefault="00E03711" w:rsidP="005115F2">
      <w:pPr>
        <w:pStyle w:val="Guide-NormalBulletpoints"/>
        <w:numPr>
          <w:ilvl w:val="0"/>
          <w:numId w:val="421"/>
        </w:numPr>
        <w:rPr>
          <w:lang w:val="sl-SI"/>
        </w:rPr>
      </w:pPr>
      <w:r w:rsidRPr="001048FE">
        <w:rPr>
          <w:lang w:val="sl-SI"/>
        </w:rPr>
        <w:t>nacionalna, regionalna ali lokalna nepovratna sredstva, ki jih zagotovi javni ali zasebni donator ali se zagotovijo s shemo za posojila.</w:t>
      </w:r>
    </w:p>
    <w:p w14:paraId="7D39A7ED" w14:textId="77777777" w:rsidR="00E03711" w:rsidRPr="001048FE" w:rsidRDefault="00E03711" w:rsidP="00A95E30">
      <w:pPr>
        <w:pStyle w:val="GUIDE-NORMAL"/>
        <w:rPr>
          <w:lang w:val="sl-SI"/>
        </w:rPr>
      </w:pPr>
      <w:r w:rsidRPr="001048FE">
        <w:rPr>
          <w:lang w:val="sl-SI"/>
        </w:rPr>
        <w:t>Do njih so upravičeni tudi študenti z ničelnimi nepovratnimi sredstvi iz sredstev EU (za študij in prakse), tj. študenti, ki izpolnjujejo vsa merila za upravičenost za študente programa Erasmus+ in v celoti izkoristijo vse prednosti študentov programa Erasmus+, ne da bi prejeli nepovratna sredstva EU za mobilnost. Pravila, opredeljena v tem vodniku za prijavitelje, razen tistih v zvezi z dodelitvijo nepovratnih sredstev, se uporabljajo tudi za študente z ničelnimi nepovratnimi sredstvi iz sredstev EU.</w:t>
      </w:r>
      <w:r w:rsidRPr="001048FE">
        <w:rPr>
          <w:spacing w:val="-11"/>
          <w:lang w:val="sl-SI"/>
        </w:rPr>
        <w:t xml:space="preserve"> </w:t>
      </w:r>
      <w:r w:rsidRPr="001048FE">
        <w:rPr>
          <w:lang w:val="sl-SI"/>
        </w:rPr>
        <w:t>Število</w:t>
      </w:r>
      <w:r w:rsidRPr="001048FE">
        <w:rPr>
          <w:spacing w:val="-11"/>
          <w:lang w:val="sl-SI"/>
        </w:rPr>
        <w:t xml:space="preserve"> </w:t>
      </w:r>
      <w:r w:rsidRPr="001048FE">
        <w:rPr>
          <w:lang w:val="sl-SI"/>
        </w:rPr>
        <w:t>študentov</w:t>
      </w:r>
      <w:r w:rsidRPr="001048FE">
        <w:rPr>
          <w:spacing w:val="-11"/>
          <w:lang w:val="sl-SI"/>
        </w:rPr>
        <w:t xml:space="preserve"> </w:t>
      </w:r>
      <w:r w:rsidRPr="001048FE">
        <w:rPr>
          <w:lang w:val="sl-SI"/>
        </w:rPr>
        <w:t>z</w:t>
      </w:r>
      <w:r w:rsidRPr="001048FE">
        <w:rPr>
          <w:spacing w:val="-11"/>
          <w:lang w:val="sl-SI"/>
        </w:rPr>
        <w:t xml:space="preserve"> </w:t>
      </w:r>
      <w:r w:rsidRPr="001048FE">
        <w:rPr>
          <w:lang w:val="sl-SI"/>
        </w:rPr>
        <w:t>ničelnimi</w:t>
      </w:r>
      <w:r w:rsidRPr="001048FE">
        <w:rPr>
          <w:spacing w:val="-11"/>
          <w:lang w:val="sl-SI"/>
        </w:rPr>
        <w:t xml:space="preserve"> </w:t>
      </w:r>
      <w:r w:rsidRPr="001048FE">
        <w:rPr>
          <w:lang w:val="sl-SI"/>
        </w:rPr>
        <w:t>nepovratnimi</w:t>
      </w:r>
      <w:r w:rsidRPr="001048FE">
        <w:rPr>
          <w:spacing w:val="-11"/>
          <w:lang w:val="sl-SI"/>
        </w:rPr>
        <w:t xml:space="preserve"> </w:t>
      </w:r>
      <w:r w:rsidRPr="001048FE">
        <w:rPr>
          <w:lang w:val="sl-SI"/>
        </w:rPr>
        <w:t>sredstvi</w:t>
      </w:r>
      <w:r w:rsidRPr="001048FE">
        <w:rPr>
          <w:spacing w:val="-11"/>
          <w:lang w:val="sl-SI"/>
        </w:rPr>
        <w:t xml:space="preserve"> </w:t>
      </w:r>
      <w:r w:rsidRPr="001048FE">
        <w:rPr>
          <w:lang w:val="sl-SI"/>
        </w:rPr>
        <w:t>iz</w:t>
      </w:r>
      <w:r w:rsidRPr="001048FE">
        <w:rPr>
          <w:spacing w:val="-11"/>
          <w:lang w:val="sl-SI"/>
        </w:rPr>
        <w:t xml:space="preserve"> </w:t>
      </w:r>
      <w:r w:rsidRPr="001048FE">
        <w:rPr>
          <w:lang w:val="sl-SI"/>
        </w:rPr>
        <w:t>sredstev</w:t>
      </w:r>
      <w:r w:rsidRPr="001048FE">
        <w:rPr>
          <w:spacing w:val="-11"/>
          <w:lang w:val="sl-SI"/>
        </w:rPr>
        <w:t xml:space="preserve"> </w:t>
      </w:r>
      <w:r w:rsidRPr="001048FE">
        <w:rPr>
          <w:lang w:val="sl-SI"/>
        </w:rPr>
        <w:t>EU</w:t>
      </w:r>
      <w:r w:rsidRPr="001048FE">
        <w:rPr>
          <w:spacing w:val="-11"/>
          <w:lang w:val="sl-SI"/>
        </w:rPr>
        <w:t xml:space="preserve"> </w:t>
      </w:r>
      <w:r w:rsidRPr="001048FE">
        <w:rPr>
          <w:lang w:val="sl-SI"/>
        </w:rPr>
        <w:t>za</w:t>
      </w:r>
      <w:r w:rsidRPr="001048FE">
        <w:rPr>
          <w:spacing w:val="-11"/>
          <w:lang w:val="sl-SI"/>
        </w:rPr>
        <w:t xml:space="preserve"> </w:t>
      </w:r>
      <w:r w:rsidRPr="001048FE">
        <w:rPr>
          <w:lang w:val="sl-SI"/>
        </w:rPr>
        <w:t>celotno</w:t>
      </w:r>
      <w:r w:rsidRPr="001048FE">
        <w:rPr>
          <w:spacing w:val="-11"/>
          <w:lang w:val="sl-SI"/>
        </w:rPr>
        <w:t xml:space="preserve"> </w:t>
      </w:r>
      <w:r w:rsidRPr="001048FE">
        <w:rPr>
          <w:lang w:val="sl-SI"/>
        </w:rPr>
        <w:t>obdobje</w:t>
      </w:r>
      <w:r w:rsidRPr="001048FE">
        <w:rPr>
          <w:spacing w:val="-10"/>
          <w:lang w:val="sl-SI"/>
        </w:rPr>
        <w:t xml:space="preserve"> </w:t>
      </w:r>
      <w:r w:rsidRPr="001048FE">
        <w:rPr>
          <w:lang w:val="sl-SI"/>
        </w:rPr>
        <w:t>mobilnosti se</w:t>
      </w:r>
      <w:r w:rsidRPr="001048FE">
        <w:rPr>
          <w:spacing w:val="-15"/>
          <w:lang w:val="sl-SI"/>
        </w:rPr>
        <w:t xml:space="preserve"> </w:t>
      </w:r>
      <w:r w:rsidRPr="001048FE">
        <w:rPr>
          <w:lang w:val="sl-SI"/>
        </w:rPr>
        <w:t>upošteva</w:t>
      </w:r>
      <w:r w:rsidRPr="001048FE">
        <w:rPr>
          <w:spacing w:val="-15"/>
          <w:lang w:val="sl-SI"/>
        </w:rPr>
        <w:t xml:space="preserve"> </w:t>
      </w:r>
      <w:r w:rsidRPr="001048FE">
        <w:rPr>
          <w:lang w:val="sl-SI"/>
        </w:rPr>
        <w:t>v</w:t>
      </w:r>
      <w:r w:rsidRPr="001048FE">
        <w:rPr>
          <w:spacing w:val="-15"/>
          <w:lang w:val="sl-SI"/>
        </w:rPr>
        <w:t xml:space="preserve"> </w:t>
      </w:r>
      <w:r w:rsidRPr="001048FE">
        <w:rPr>
          <w:lang w:val="sl-SI"/>
        </w:rPr>
        <w:t>statistiki</w:t>
      </w:r>
      <w:r w:rsidRPr="001048FE">
        <w:rPr>
          <w:spacing w:val="-15"/>
          <w:lang w:val="sl-SI"/>
        </w:rPr>
        <w:t xml:space="preserve"> </w:t>
      </w:r>
      <w:r w:rsidRPr="001048FE">
        <w:rPr>
          <w:lang w:val="sl-SI"/>
        </w:rPr>
        <w:t>za</w:t>
      </w:r>
      <w:r w:rsidRPr="001048FE">
        <w:rPr>
          <w:spacing w:val="-15"/>
          <w:lang w:val="sl-SI"/>
        </w:rPr>
        <w:t xml:space="preserve"> </w:t>
      </w:r>
      <w:r w:rsidRPr="001048FE">
        <w:rPr>
          <w:lang w:val="sl-SI"/>
        </w:rPr>
        <w:t>kazalnik</w:t>
      </w:r>
      <w:r w:rsidRPr="001048FE">
        <w:rPr>
          <w:spacing w:val="-15"/>
          <w:lang w:val="sl-SI"/>
        </w:rPr>
        <w:t xml:space="preserve"> </w:t>
      </w:r>
      <w:r w:rsidRPr="001048FE">
        <w:rPr>
          <w:lang w:val="sl-SI"/>
        </w:rPr>
        <w:t>uspešnosti,</w:t>
      </w:r>
      <w:r w:rsidRPr="001048FE">
        <w:rPr>
          <w:spacing w:val="-15"/>
          <w:lang w:val="sl-SI"/>
        </w:rPr>
        <w:t xml:space="preserve"> </w:t>
      </w:r>
      <w:r w:rsidRPr="001048FE">
        <w:rPr>
          <w:lang w:val="sl-SI"/>
        </w:rPr>
        <w:t>ki</w:t>
      </w:r>
      <w:r w:rsidRPr="001048FE">
        <w:rPr>
          <w:spacing w:val="-15"/>
          <w:lang w:val="sl-SI"/>
        </w:rPr>
        <w:t xml:space="preserve"> </w:t>
      </w:r>
      <w:r w:rsidRPr="001048FE">
        <w:rPr>
          <w:lang w:val="sl-SI"/>
        </w:rPr>
        <w:t>se</w:t>
      </w:r>
      <w:r w:rsidRPr="001048FE">
        <w:rPr>
          <w:spacing w:val="-15"/>
          <w:lang w:val="sl-SI"/>
        </w:rPr>
        <w:t xml:space="preserve"> </w:t>
      </w:r>
      <w:r w:rsidRPr="001048FE">
        <w:rPr>
          <w:lang w:val="sl-SI"/>
        </w:rPr>
        <w:t>uporablja</w:t>
      </w:r>
      <w:r w:rsidRPr="001048FE">
        <w:rPr>
          <w:spacing w:val="-15"/>
          <w:lang w:val="sl-SI"/>
        </w:rPr>
        <w:t xml:space="preserve"> </w:t>
      </w:r>
      <w:r w:rsidRPr="001048FE">
        <w:rPr>
          <w:lang w:val="sl-SI"/>
        </w:rPr>
        <w:t>za</w:t>
      </w:r>
      <w:r w:rsidRPr="001048FE">
        <w:rPr>
          <w:spacing w:val="-15"/>
          <w:lang w:val="sl-SI"/>
        </w:rPr>
        <w:t xml:space="preserve"> </w:t>
      </w:r>
      <w:r w:rsidRPr="001048FE">
        <w:rPr>
          <w:lang w:val="sl-SI"/>
        </w:rPr>
        <w:t>dodeljevanje</w:t>
      </w:r>
      <w:r w:rsidRPr="001048FE">
        <w:rPr>
          <w:spacing w:val="-15"/>
          <w:lang w:val="sl-SI"/>
        </w:rPr>
        <w:t xml:space="preserve"> </w:t>
      </w:r>
      <w:r w:rsidRPr="001048FE">
        <w:rPr>
          <w:lang w:val="sl-SI"/>
        </w:rPr>
        <w:t>proračunskih</w:t>
      </w:r>
      <w:r w:rsidRPr="001048FE">
        <w:rPr>
          <w:spacing w:val="-15"/>
          <w:lang w:val="sl-SI"/>
        </w:rPr>
        <w:t xml:space="preserve"> </w:t>
      </w:r>
      <w:r w:rsidRPr="001048FE">
        <w:rPr>
          <w:lang w:val="sl-SI"/>
        </w:rPr>
        <w:t>sredstev EU</w:t>
      </w:r>
      <w:r w:rsidRPr="001048FE">
        <w:rPr>
          <w:spacing w:val="-3"/>
          <w:lang w:val="sl-SI"/>
        </w:rPr>
        <w:t xml:space="preserve"> </w:t>
      </w:r>
      <w:r w:rsidRPr="001048FE">
        <w:rPr>
          <w:lang w:val="sl-SI"/>
        </w:rPr>
        <w:t>državam.</w:t>
      </w:r>
    </w:p>
    <w:p w14:paraId="7D39A7EE" w14:textId="77777777" w:rsidR="00E03711" w:rsidRPr="001048FE" w:rsidRDefault="00E03711" w:rsidP="00A95E30">
      <w:pPr>
        <w:pStyle w:val="GUIDE-NORMAL"/>
        <w:rPr>
          <w:lang w:val="sl-SI"/>
        </w:rPr>
      </w:pPr>
      <w:r w:rsidRPr="001048FE">
        <w:rPr>
          <w:lang w:val="sl-SI"/>
        </w:rPr>
        <w:t>Študentom, ki se udeležijo projekta mobilnosti v visokošolskem izobraževanju, podprtega s programom</w:t>
      </w:r>
      <w:r w:rsidRPr="001048FE">
        <w:rPr>
          <w:spacing w:val="-15"/>
          <w:lang w:val="sl-SI"/>
        </w:rPr>
        <w:t xml:space="preserve"> </w:t>
      </w:r>
      <w:r w:rsidRPr="001048FE">
        <w:rPr>
          <w:lang w:val="sl-SI"/>
        </w:rPr>
        <w:t>Erasmus+</w:t>
      </w:r>
      <w:r w:rsidRPr="001048FE">
        <w:rPr>
          <w:spacing w:val="-15"/>
          <w:lang w:val="sl-SI"/>
        </w:rPr>
        <w:t xml:space="preserve"> </w:t>
      </w:r>
      <w:r w:rsidRPr="001048FE">
        <w:rPr>
          <w:lang w:val="sl-SI"/>
        </w:rPr>
        <w:t>–</w:t>
      </w:r>
      <w:r w:rsidRPr="001048FE">
        <w:rPr>
          <w:spacing w:val="-15"/>
          <w:lang w:val="sl-SI"/>
        </w:rPr>
        <w:t xml:space="preserve"> </w:t>
      </w:r>
      <w:r w:rsidRPr="001048FE">
        <w:rPr>
          <w:lang w:val="sl-SI"/>
        </w:rPr>
        <w:t>če</w:t>
      </w:r>
      <w:r w:rsidRPr="001048FE">
        <w:rPr>
          <w:spacing w:val="-15"/>
          <w:lang w:val="sl-SI"/>
        </w:rPr>
        <w:t xml:space="preserve"> </w:t>
      </w:r>
      <w:r w:rsidRPr="001048FE">
        <w:rPr>
          <w:lang w:val="sl-SI"/>
        </w:rPr>
        <w:t>za</w:t>
      </w:r>
      <w:r w:rsidRPr="001048FE">
        <w:rPr>
          <w:spacing w:val="-15"/>
          <w:lang w:val="sl-SI"/>
        </w:rPr>
        <w:t xml:space="preserve"> </w:t>
      </w:r>
      <w:r w:rsidRPr="001048FE">
        <w:rPr>
          <w:lang w:val="sl-SI"/>
        </w:rPr>
        <w:t>svojo</w:t>
      </w:r>
      <w:r w:rsidRPr="001048FE">
        <w:rPr>
          <w:spacing w:val="-15"/>
          <w:lang w:val="sl-SI"/>
        </w:rPr>
        <w:t xml:space="preserve"> </w:t>
      </w:r>
      <w:r w:rsidRPr="001048FE">
        <w:rPr>
          <w:lang w:val="sl-SI"/>
        </w:rPr>
        <w:t>udeležbo</w:t>
      </w:r>
      <w:r w:rsidRPr="001048FE">
        <w:rPr>
          <w:spacing w:val="-15"/>
          <w:lang w:val="sl-SI"/>
        </w:rPr>
        <w:t xml:space="preserve"> </w:t>
      </w:r>
      <w:r w:rsidRPr="001048FE">
        <w:rPr>
          <w:lang w:val="sl-SI"/>
        </w:rPr>
        <w:t>prejmejo</w:t>
      </w:r>
      <w:r w:rsidRPr="001048FE">
        <w:rPr>
          <w:spacing w:val="-15"/>
          <w:lang w:val="sl-SI"/>
        </w:rPr>
        <w:t xml:space="preserve"> </w:t>
      </w:r>
      <w:r w:rsidRPr="001048FE">
        <w:rPr>
          <w:lang w:val="sl-SI"/>
        </w:rPr>
        <w:t>nepovratna</w:t>
      </w:r>
      <w:r w:rsidRPr="001048FE">
        <w:rPr>
          <w:spacing w:val="-15"/>
          <w:lang w:val="sl-SI"/>
        </w:rPr>
        <w:t xml:space="preserve"> </w:t>
      </w:r>
      <w:r w:rsidRPr="001048FE">
        <w:rPr>
          <w:lang w:val="sl-SI"/>
        </w:rPr>
        <w:t>sredstva</w:t>
      </w:r>
      <w:r w:rsidRPr="001048FE">
        <w:rPr>
          <w:spacing w:val="-15"/>
          <w:lang w:val="sl-SI"/>
        </w:rPr>
        <w:t xml:space="preserve"> </w:t>
      </w:r>
      <w:r w:rsidRPr="001048FE">
        <w:rPr>
          <w:lang w:val="sl-SI"/>
        </w:rPr>
        <w:t>EU</w:t>
      </w:r>
      <w:r w:rsidRPr="001048FE">
        <w:rPr>
          <w:spacing w:val="-15"/>
          <w:lang w:val="sl-SI"/>
        </w:rPr>
        <w:t xml:space="preserve"> </w:t>
      </w:r>
      <w:r w:rsidRPr="001048FE">
        <w:rPr>
          <w:lang w:val="sl-SI"/>
        </w:rPr>
        <w:t>Erasmus+</w:t>
      </w:r>
      <w:r w:rsidRPr="001048FE">
        <w:rPr>
          <w:spacing w:val="-15"/>
          <w:lang w:val="sl-SI"/>
        </w:rPr>
        <w:t xml:space="preserve"> </w:t>
      </w:r>
      <w:r w:rsidRPr="001048FE">
        <w:rPr>
          <w:lang w:val="sl-SI"/>
        </w:rPr>
        <w:t>ali</w:t>
      </w:r>
      <w:r w:rsidRPr="001048FE">
        <w:rPr>
          <w:spacing w:val="-15"/>
          <w:lang w:val="sl-SI"/>
        </w:rPr>
        <w:t xml:space="preserve"> </w:t>
      </w:r>
      <w:r w:rsidRPr="001048FE">
        <w:rPr>
          <w:lang w:val="sl-SI"/>
        </w:rPr>
        <w:t>ne</w:t>
      </w:r>
      <w:r w:rsidRPr="001048FE">
        <w:rPr>
          <w:spacing w:val="-15"/>
          <w:lang w:val="sl-SI"/>
        </w:rPr>
        <w:t xml:space="preserve"> </w:t>
      </w:r>
      <w:r w:rsidRPr="001048FE">
        <w:rPr>
          <w:lang w:val="sl-SI"/>
        </w:rPr>
        <w:t>–</w:t>
      </w:r>
      <w:r w:rsidRPr="001048FE">
        <w:rPr>
          <w:spacing w:val="-15"/>
          <w:lang w:val="sl-SI"/>
        </w:rPr>
        <w:t xml:space="preserve"> </w:t>
      </w:r>
      <w:r w:rsidRPr="001048FE">
        <w:rPr>
          <w:lang w:val="sl-SI"/>
        </w:rPr>
        <w:t>ni treba plačati stroškov šolnine, registracije, izpitov in dostopa do laboratorija ali knjižnice na instituciji</w:t>
      </w:r>
      <w:r w:rsidRPr="001048FE">
        <w:rPr>
          <w:spacing w:val="-2"/>
          <w:lang w:val="sl-SI"/>
        </w:rPr>
        <w:t xml:space="preserve"> </w:t>
      </w:r>
      <w:r w:rsidRPr="001048FE">
        <w:rPr>
          <w:lang w:val="sl-SI"/>
        </w:rPr>
        <w:t>gostiteljici.</w:t>
      </w:r>
    </w:p>
    <w:p w14:paraId="7D39A7EF" w14:textId="77777777" w:rsidR="00E03711" w:rsidRPr="001048FE" w:rsidRDefault="00E03711" w:rsidP="00A95E30">
      <w:pPr>
        <w:pStyle w:val="GUIDE-NORMAL"/>
        <w:rPr>
          <w:lang w:val="sl-SI"/>
        </w:rPr>
      </w:pPr>
      <w:r w:rsidRPr="001048FE">
        <w:rPr>
          <w:lang w:val="sl-SI"/>
        </w:rPr>
        <w:t>Lahko pa se jim zaračunajo stroški v manjših zneskih, na primer za zavarovanje, študentske zveze, uporabo različnega gradiva, kot so fotokopije ali laboratorijski proizvodi, na enaki osnovi, kot se ti stroški zaračunavajo lokalnim študentom. Odhajajoči študenti niso odgovorni za kritje kakršnih koli dodatnih stroškov v zvezi z organizacijo ali administrativnimi postopki njihovega obdobja mobilnosti.</w:t>
      </w:r>
    </w:p>
    <w:p w14:paraId="7D39A7F0" w14:textId="77777777" w:rsidR="00E03711" w:rsidRPr="001048FE" w:rsidRDefault="00E03711" w:rsidP="00A95E30">
      <w:pPr>
        <w:pStyle w:val="GUIDE-NORMAL"/>
        <w:rPr>
          <w:lang w:val="sl-SI"/>
        </w:rPr>
      </w:pPr>
      <w:r w:rsidRPr="001048FE">
        <w:rPr>
          <w:lang w:val="sl-SI"/>
        </w:rPr>
        <w:t>Poleg tega se mora med obdobjem v tujini ohraniti upravičenost do kakršnih koli nepovratnih sredstev ali posojil, ki se dodelijo študentom za študij na njihovi instituciji pošiljateljici.</w:t>
      </w:r>
    </w:p>
    <w:p w14:paraId="7D39A7F1" w14:textId="77777777" w:rsidR="00E03711" w:rsidRPr="001048FE" w:rsidRDefault="00E03711" w:rsidP="00A95E30">
      <w:pPr>
        <w:pStyle w:val="GUIDE-NORMAL"/>
        <w:rPr>
          <w:lang w:val="sl-SI"/>
        </w:rPr>
      </w:pPr>
      <w:r w:rsidRPr="001048FE">
        <w:rPr>
          <w:lang w:val="sl-SI"/>
        </w:rPr>
        <w:t>Če v primeru prakse podjetje/organizacija prejemnica študentu dodeli dodatek ali kakršno koli drugo plačilo, je to združljivo z nepovratnimi sredstvi EU Erasmus+. Obdobje</w:t>
      </w:r>
      <w:r w:rsidRPr="001048FE">
        <w:rPr>
          <w:spacing w:val="-17"/>
          <w:lang w:val="sl-SI"/>
        </w:rPr>
        <w:t xml:space="preserve"> </w:t>
      </w:r>
      <w:r w:rsidRPr="001048FE">
        <w:rPr>
          <w:lang w:val="sl-SI"/>
        </w:rPr>
        <w:t>mobilnosti</w:t>
      </w:r>
      <w:r w:rsidRPr="001048FE">
        <w:rPr>
          <w:spacing w:val="-17"/>
          <w:lang w:val="sl-SI"/>
        </w:rPr>
        <w:t xml:space="preserve"> </w:t>
      </w:r>
      <w:r w:rsidRPr="001048FE">
        <w:rPr>
          <w:lang w:val="sl-SI"/>
        </w:rPr>
        <w:t>je</w:t>
      </w:r>
      <w:r w:rsidRPr="001048FE">
        <w:rPr>
          <w:spacing w:val="-17"/>
          <w:lang w:val="sl-SI"/>
        </w:rPr>
        <w:t xml:space="preserve"> </w:t>
      </w:r>
      <w:r w:rsidRPr="001048FE">
        <w:rPr>
          <w:lang w:val="sl-SI"/>
        </w:rPr>
        <w:t>združljivo</w:t>
      </w:r>
      <w:r w:rsidRPr="001048FE">
        <w:rPr>
          <w:spacing w:val="-17"/>
          <w:lang w:val="sl-SI"/>
        </w:rPr>
        <w:t xml:space="preserve"> </w:t>
      </w:r>
      <w:r w:rsidRPr="001048FE">
        <w:rPr>
          <w:lang w:val="sl-SI"/>
        </w:rPr>
        <w:t>z</w:t>
      </w:r>
      <w:r w:rsidRPr="001048FE">
        <w:rPr>
          <w:spacing w:val="-17"/>
          <w:lang w:val="sl-SI"/>
        </w:rPr>
        <w:t xml:space="preserve"> </w:t>
      </w:r>
      <w:r w:rsidRPr="001048FE">
        <w:rPr>
          <w:lang w:val="sl-SI"/>
        </w:rPr>
        <w:t>zaposlitvijo</w:t>
      </w:r>
      <w:r w:rsidRPr="001048FE">
        <w:rPr>
          <w:spacing w:val="-17"/>
          <w:lang w:val="sl-SI"/>
        </w:rPr>
        <w:t xml:space="preserve"> </w:t>
      </w:r>
      <w:r w:rsidRPr="001048FE">
        <w:rPr>
          <w:lang w:val="sl-SI"/>
        </w:rPr>
        <w:t>za</w:t>
      </w:r>
      <w:r w:rsidRPr="001048FE">
        <w:rPr>
          <w:spacing w:val="-17"/>
          <w:lang w:val="sl-SI"/>
        </w:rPr>
        <w:t xml:space="preserve"> </w:t>
      </w:r>
      <w:r w:rsidRPr="001048FE">
        <w:rPr>
          <w:lang w:val="sl-SI"/>
        </w:rPr>
        <w:t>skrajšani</w:t>
      </w:r>
      <w:r w:rsidRPr="001048FE">
        <w:rPr>
          <w:spacing w:val="-17"/>
          <w:lang w:val="sl-SI"/>
        </w:rPr>
        <w:t xml:space="preserve"> </w:t>
      </w:r>
      <w:r w:rsidRPr="001048FE">
        <w:rPr>
          <w:lang w:val="sl-SI"/>
        </w:rPr>
        <w:t>delovni</w:t>
      </w:r>
      <w:r w:rsidRPr="001048FE">
        <w:rPr>
          <w:spacing w:val="-17"/>
          <w:lang w:val="sl-SI"/>
        </w:rPr>
        <w:t xml:space="preserve"> </w:t>
      </w:r>
      <w:r w:rsidRPr="001048FE">
        <w:rPr>
          <w:lang w:val="sl-SI"/>
        </w:rPr>
        <w:t>čas,</w:t>
      </w:r>
      <w:r w:rsidRPr="001048FE">
        <w:rPr>
          <w:spacing w:val="-17"/>
          <w:lang w:val="sl-SI"/>
        </w:rPr>
        <w:t xml:space="preserve"> </w:t>
      </w:r>
      <w:r w:rsidRPr="001048FE">
        <w:rPr>
          <w:lang w:val="sl-SI"/>
        </w:rPr>
        <w:t>zato</w:t>
      </w:r>
      <w:r w:rsidRPr="001048FE">
        <w:rPr>
          <w:spacing w:val="-17"/>
          <w:lang w:val="sl-SI"/>
        </w:rPr>
        <w:t xml:space="preserve"> </w:t>
      </w:r>
      <w:r w:rsidRPr="001048FE">
        <w:rPr>
          <w:lang w:val="sl-SI"/>
        </w:rPr>
        <w:t>so</w:t>
      </w:r>
      <w:r w:rsidRPr="001048FE">
        <w:rPr>
          <w:spacing w:val="-17"/>
          <w:lang w:val="sl-SI"/>
        </w:rPr>
        <w:t xml:space="preserve"> </w:t>
      </w:r>
      <w:r w:rsidRPr="001048FE">
        <w:rPr>
          <w:lang w:val="sl-SI"/>
        </w:rPr>
        <w:t>nepovratna</w:t>
      </w:r>
      <w:r w:rsidRPr="001048FE">
        <w:rPr>
          <w:spacing w:val="-17"/>
          <w:lang w:val="sl-SI"/>
        </w:rPr>
        <w:t xml:space="preserve"> </w:t>
      </w:r>
      <w:r w:rsidRPr="001048FE">
        <w:rPr>
          <w:lang w:val="sl-SI"/>
        </w:rPr>
        <w:t>sredstva EU Erasmus+, če jih študent prejme, združljiva tudi s prihodkom, ki ga prejme študent, če izvaja aktivnosti, predvidene v dogovorjenem programu</w:t>
      </w:r>
      <w:r w:rsidRPr="001048FE">
        <w:rPr>
          <w:spacing w:val="-14"/>
          <w:lang w:val="sl-SI"/>
        </w:rPr>
        <w:t xml:space="preserve"> </w:t>
      </w:r>
      <w:r w:rsidRPr="001048FE">
        <w:rPr>
          <w:lang w:val="sl-SI"/>
        </w:rPr>
        <w:t>mobilnosti.</w:t>
      </w:r>
    </w:p>
    <w:p w14:paraId="7D39A7F2" w14:textId="77777777" w:rsidR="00E03711" w:rsidRPr="001048FE" w:rsidRDefault="00E03711" w:rsidP="00A95E30">
      <w:pPr>
        <w:pStyle w:val="GUIDE-NORMAL"/>
        <w:rPr>
          <w:lang w:val="sl-SI"/>
        </w:rPr>
      </w:pPr>
      <w:r w:rsidRPr="001048FE">
        <w:rPr>
          <w:lang w:val="sl-SI"/>
        </w:rPr>
        <w:t>Študenti, ki se udeležijo projekta mobilnosti v visokošolskem izobraževanju (za študij ali prakso v tujini), ne morejo hkrati biti upravičenci do štipendije za skupni magistrski študij Erasmus Mundus ali obratno.</w:t>
      </w:r>
    </w:p>
    <w:p w14:paraId="7D39A7F3" w14:textId="77777777" w:rsidR="00E03711" w:rsidRPr="001048FE" w:rsidRDefault="00E03711" w:rsidP="00A95E30">
      <w:pPr>
        <w:pStyle w:val="GUIDE-NORMAL"/>
        <w:rPr>
          <w:lang w:val="sl-SI"/>
        </w:rPr>
      </w:pPr>
      <w:r w:rsidRPr="001048FE">
        <w:rPr>
          <w:lang w:val="sl-SI"/>
        </w:rPr>
        <w:t>Študenti, ki prejmejo nepovratna sredstva EU Erasmus+, jih v celoti ali delno povrnejo, če ne izpolnjujejo pogojev iz sporazuma o nepovratnih sredstvih (razen če načrtovanih aktivnosti v tujini niso</w:t>
      </w:r>
      <w:r w:rsidRPr="001048FE">
        <w:rPr>
          <w:spacing w:val="-9"/>
          <w:lang w:val="sl-SI"/>
        </w:rPr>
        <w:t xml:space="preserve"> </w:t>
      </w:r>
      <w:r w:rsidRPr="001048FE">
        <w:rPr>
          <w:lang w:val="sl-SI"/>
        </w:rPr>
        <w:t>mogli</w:t>
      </w:r>
      <w:r w:rsidRPr="001048FE">
        <w:rPr>
          <w:spacing w:val="-9"/>
          <w:lang w:val="sl-SI"/>
        </w:rPr>
        <w:t xml:space="preserve"> </w:t>
      </w:r>
      <w:r w:rsidRPr="001048FE">
        <w:rPr>
          <w:lang w:val="sl-SI"/>
        </w:rPr>
        <w:t>dokončati</w:t>
      </w:r>
      <w:r w:rsidRPr="001048FE">
        <w:rPr>
          <w:spacing w:val="-9"/>
          <w:lang w:val="sl-SI"/>
        </w:rPr>
        <w:t xml:space="preserve"> </w:t>
      </w:r>
      <w:r w:rsidRPr="001048FE">
        <w:rPr>
          <w:lang w:val="sl-SI"/>
        </w:rPr>
        <w:t>zaradi</w:t>
      </w:r>
      <w:r w:rsidRPr="001048FE">
        <w:rPr>
          <w:spacing w:val="-9"/>
          <w:lang w:val="sl-SI"/>
        </w:rPr>
        <w:t xml:space="preserve"> </w:t>
      </w:r>
      <w:r w:rsidRPr="001048FE">
        <w:rPr>
          <w:lang w:val="sl-SI"/>
        </w:rPr>
        <w:t>višje</w:t>
      </w:r>
      <w:r w:rsidRPr="001048FE">
        <w:rPr>
          <w:spacing w:val="-9"/>
          <w:lang w:val="sl-SI"/>
        </w:rPr>
        <w:t xml:space="preserve"> </w:t>
      </w:r>
      <w:r w:rsidRPr="001048FE">
        <w:rPr>
          <w:lang w:val="sl-SI"/>
        </w:rPr>
        <w:t>sile).</w:t>
      </w:r>
      <w:r w:rsidRPr="001048FE">
        <w:rPr>
          <w:spacing w:val="-9"/>
          <w:lang w:val="sl-SI"/>
        </w:rPr>
        <w:t xml:space="preserve"> </w:t>
      </w:r>
      <w:r w:rsidRPr="001048FE">
        <w:rPr>
          <w:lang w:val="sl-SI"/>
        </w:rPr>
        <w:t>Od</w:t>
      </w:r>
      <w:r w:rsidRPr="001048FE">
        <w:rPr>
          <w:spacing w:val="-9"/>
          <w:lang w:val="sl-SI"/>
        </w:rPr>
        <w:t xml:space="preserve"> </w:t>
      </w:r>
      <w:r w:rsidRPr="001048FE">
        <w:rPr>
          <w:lang w:val="sl-SI"/>
        </w:rPr>
        <w:t>njih</w:t>
      </w:r>
      <w:r w:rsidRPr="001048FE">
        <w:rPr>
          <w:spacing w:val="-9"/>
          <w:lang w:val="sl-SI"/>
        </w:rPr>
        <w:t xml:space="preserve"> </w:t>
      </w:r>
      <w:r w:rsidRPr="001048FE">
        <w:rPr>
          <w:lang w:val="sl-SI"/>
        </w:rPr>
        <w:t>se</w:t>
      </w:r>
      <w:r w:rsidRPr="001048FE">
        <w:rPr>
          <w:spacing w:val="-9"/>
          <w:lang w:val="sl-SI"/>
        </w:rPr>
        <w:t xml:space="preserve"> </w:t>
      </w:r>
      <w:r w:rsidRPr="001048FE">
        <w:rPr>
          <w:lang w:val="sl-SI"/>
        </w:rPr>
        <w:t>lahko</w:t>
      </w:r>
      <w:r w:rsidRPr="001048FE">
        <w:rPr>
          <w:spacing w:val="-9"/>
          <w:lang w:val="sl-SI"/>
        </w:rPr>
        <w:t xml:space="preserve"> </w:t>
      </w:r>
      <w:r w:rsidRPr="001048FE">
        <w:rPr>
          <w:lang w:val="sl-SI"/>
        </w:rPr>
        <w:t>zahteva,</w:t>
      </w:r>
      <w:r w:rsidRPr="001048FE">
        <w:rPr>
          <w:spacing w:val="-9"/>
          <w:lang w:val="sl-SI"/>
        </w:rPr>
        <w:t xml:space="preserve"> </w:t>
      </w:r>
      <w:r w:rsidRPr="001048FE">
        <w:rPr>
          <w:lang w:val="sl-SI"/>
        </w:rPr>
        <w:t>da</w:t>
      </w:r>
      <w:r w:rsidRPr="001048FE">
        <w:rPr>
          <w:spacing w:val="-9"/>
          <w:lang w:val="sl-SI"/>
        </w:rPr>
        <w:t xml:space="preserve"> </w:t>
      </w:r>
      <w:r w:rsidRPr="001048FE">
        <w:rPr>
          <w:lang w:val="sl-SI"/>
        </w:rPr>
        <w:t>delno</w:t>
      </w:r>
      <w:r w:rsidRPr="001048FE">
        <w:rPr>
          <w:spacing w:val="-9"/>
          <w:lang w:val="sl-SI"/>
        </w:rPr>
        <w:t xml:space="preserve"> </w:t>
      </w:r>
      <w:r w:rsidRPr="001048FE">
        <w:rPr>
          <w:lang w:val="sl-SI"/>
        </w:rPr>
        <w:t>ali</w:t>
      </w:r>
      <w:r w:rsidRPr="001048FE">
        <w:rPr>
          <w:spacing w:val="-9"/>
          <w:lang w:val="sl-SI"/>
        </w:rPr>
        <w:t xml:space="preserve"> </w:t>
      </w:r>
      <w:r w:rsidRPr="001048FE">
        <w:rPr>
          <w:lang w:val="sl-SI"/>
        </w:rPr>
        <w:t>v</w:t>
      </w:r>
      <w:r w:rsidRPr="001048FE">
        <w:rPr>
          <w:spacing w:val="-9"/>
          <w:lang w:val="sl-SI"/>
        </w:rPr>
        <w:t xml:space="preserve"> </w:t>
      </w:r>
      <w:r w:rsidRPr="001048FE">
        <w:rPr>
          <w:lang w:val="sl-SI"/>
        </w:rPr>
        <w:t>celoti</w:t>
      </w:r>
      <w:r w:rsidRPr="001048FE">
        <w:rPr>
          <w:spacing w:val="-9"/>
          <w:lang w:val="sl-SI"/>
        </w:rPr>
        <w:t xml:space="preserve"> </w:t>
      </w:r>
      <w:r w:rsidRPr="001048FE">
        <w:rPr>
          <w:lang w:val="sl-SI"/>
        </w:rPr>
        <w:t>povrnejo</w:t>
      </w:r>
      <w:r w:rsidRPr="001048FE">
        <w:rPr>
          <w:spacing w:val="-9"/>
          <w:lang w:val="sl-SI"/>
        </w:rPr>
        <w:t xml:space="preserve"> </w:t>
      </w:r>
      <w:r w:rsidRPr="001048FE">
        <w:rPr>
          <w:lang w:val="sl-SI"/>
        </w:rPr>
        <w:t>prejeta nepovratna</w:t>
      </w:r>
      <w:r w:rsidRPr="001048FE">
        <w:rPr>
          <w:spacing w:val="-6"/>
          <w:lang w:val="sl-SI"/>
        </w:rPr>
        <w:t xml:space="preserve"> </w:t>
      </w:r>
      <w:r w:rsidRPr="001048FE">
        <w:rPr>
          <w:lang w:val="sl-SI"/>
        </w:rPr>
        <w:t>sredstva</w:t>
      </w:r>
      <w:r w:rsidRPr="001048FE">
        <w:rPr>
          <w:spacing w:val="-6"/>
          <w:lang w:val="sl-SI"/>
        </w:rPr>
        <w:t xml:space="preserve"> </w:t>
      </w:r>
      <w:r w:rsidRPr="001048FE">
        <w:rPr>
          <w:lang w:val="sl-SI"/>
        </w:rPr>
        <w:t>EU,</w:t>
      </w:r>
      <w:r w:rsidRPr="001048FE">
        <w:rPr>
          <w:spacing w:val="-6"/>
          <w:lang w:val="sl-SI"/>
        </w:rPr>
        <w:t xml:space="preserve"> </w:t>
      </w:r>
      <w:r w:rsidRPr="001048FE">
        <w:rPr>
          <w:lang w:val="sl-SI"/>
        </w:rPr>
        <w:t>če</w:t>
      </w:r>
      <w:r w:rsidRPr="001048FE">
        <w:rPr>
          <w:spacing w:val="-6"/>
          <w:lang w:val="sl-SI"/>
        </w:rPr>
        <w:t xml:space="preserve"> </w:t>
      </w:r>
      <w:r w:rsidRPr="001048FE">
        <w:rPr>
          <w:lang w:val="sl-SI"/>
        </w:rPr>
        <w:t>ne</w:t>
      </w:r>
      <w:r w:rsidRPr="001048FE">
        <w:rPr>
          <w:spacing w:val="-6"/>
          <w:lang w:val="sl-SI"/>
        </w:rPr>
        <w:t xml:space="preserve"> </w:t>
      </w:r>
      <w:r w:rsidRPr="001048FE">
        <w:rPr>
          <w:lang w:val="sl-SI"/>
        </w:rPr>
        <w:t>izpolnijo</w:t>
      </w:r>
      <w:r w:rsidRPr="001048FE">
        <w:rPr>
          <w:spacing w:val="-6"/>
          <w:lang w:val="sl-SI"/>
        </w:rPr>
        <w:t xml:space="preserve"> </w:t>
      </w:r>
      <w:r w:rsidRPr="001048FE">
        <w:rPr>
          <w:lang w:val="sl-SI"/>
        </w:rPr>
        <w:t>in</w:t>
      </w:r>
      <w:r w:rsidRPr="001048FE">
        <w:rPr>
          <w:spacing w:val="-6"/>
          <w:lang w:val="sl-SI"/>
        </w:rPr>
        <w:t xml:space="preserve"> </w:t>
      </w:r>
      <w:r w:rsidRPr="001048FE">
        <w:rPr>
          <w:lang w:val="sl-SI"/>
        </w:rPr>
        <w:t>ne</w:t>
      </w:r>
      <w:r w:rsidRPr="001048FE">
        <w:rPr>
          <w:spacing w:val="-6"/>
          <w:lang w:val="sl-SI"/>
        </w:rPr>
        <w:t xml:space="preserve"> </w:t>
      </w:r>
      <w:r w:rsidRPr="001048FE">
        <w:rPr>
          <w:lang w:val="sl-SI"/>
        </w:rPr>
        <w:t>predložijo</w:t>
      </w:r>
      <w:r w:rsidRPr="001048FE">
        <w:rPr>
          <w:spacing w:val="-6"/>
          <w:lang w:val="sl-SI"/>
        </w:rPr>
        <w:t xml:space="preserve"> </w:t>
      </w:r>
      <w:r w:rsidRPr="001048FE">
        <w:rPr>
          <w:lang w:val="sl-SI"/>
        </w:rPr>
        <w:t>končnega</w:t>
      </w:r>
      <w:r w:rsidRPr="001048FE">
        <w:rPr>
          <w:spacing w:val="-6"/>
          <w:lang w:val="sl-SI"/>
        </w:rPr>
        <w:t xml:space="preserve"> </w:t>
      </w:r>
      <w:r w:rsidRPr="001048FE">
        <w:rPr>
          <w:lang w:val="sl-SI"/>
        </w:rPr>
        <w:t>spletnega</w:t>
      </w:r>
      <w:r w:rsidRPr="001048FE">
        <w:rPr>
          <w:spacing w:val="-6"/>
          <w:lang w:val="sl-SI"/>
        </w:rPr>
        <w:t xml:space="preserve"> </w:t>
      </w:r>
      <w:r w:rsidRPr="001048FE">
        <w:rPr>
          <w:lang w:val="sl-SI"/>
        </w:rPr>
        <w:t>poročila.</w:t>
      </w:r>
    </w:p>
    <w:p w14:paraId="7D39A7F4" w14:textId="77777777" w:rsidR="00E03711" w:rsidRPr="001048FE" w:rsidRDefault="00E03711" w:rsidP="00A95E30">
      <w:pPr>
        <w:pStyle w:val="Guide-Heading5"/>
        <w:rPr>
          <w:lang w:val="sl-SI"/>
        </w:rPr>
      </w:pPr>
      <w:r w:rsidRPr="001048FE">
        <w:rPr>
          <w:lang w:val="sl-SI"/>
        </w:rPr>
        <w:t>Spletna jezikovna podpora</w:t>
      </w:r>
    </w:p>
    <w:p w14:paraId="7D39A7F5" w14:textId="77777777" w:rsidR="00E03711" w:rsidRPr="001048FE" w:rsidRDefault="00E03711" w:rsidP="00A95E30">
      <w:pPr>
        <w:pStyle w:val="GUIDE-NORMAL"/>
        <w:rPr>
          <w:lang w:val="sl-SI"/>
        </w:rPr>
      </w:pPr>
      <w:r w:rsidRPr="001048FE">
        <w:rPr>
          <w:lang w:val="sl-SI"/>
        </w:rPr>
        <w:t>S podpisom Listine Erasmus za terciarno izobraževanje se visokošolske institucije zavežejo, da bodo za udeležence mobilnosti zagotovile vso potrebno podporo glede jezikovne priprave. V zvezi s tem se bo v okviru Programa sčasoma začela izvajati spletna jezikovna podpora za vse aktivnosti mobilnosti med državami Programa, ki trajajo dva meseca ali dlje. Evropska komisija dostop do take spletne podpore omogoči za izbrane študente, da bi ocenila njihovo znanje jezika, ki ga bodo uporabljali pri študiju ali izvajanju prakse v</w:t>
      </w:r>
      <w:r w:rsidRPr="001048FE">
        <w:rPr>
          <w:spacing w:val="12"/>
          <w:lang w:val="sl-SI"/>
        </w:rPr>
        <w:t xml:space="preserve"> </w:t>
      </w:r>
      <w:r w:rsidRPr="001048FE">
        <w:rPr>
          <w:lang w:val="sl-SI"/>
        </w:rPr>
        <w:t>tujini.</w:t>
      </w:r>
    </w:p>
    <w:p w14:paraId="7D39A7F6" w14:textId="77777777" w:rsidR="00E03711" w:rsidRPr="001048FE" w:rsidRDefault="00E03711" w:rsidP="00A95E30">
      <w:pPr>
        <w:pStyle w:val="GUIDE-NORMAL"/>
        <w:rPr>
          <w:lang w:val="sl-SI"/>
        </w:rPr>
      </w:pPr>
      <w:r w:rsidRPr="001048FE">
        <w:rPr>
          <w:lang w:val="sl-SI"/>
        </w:rPr>
        <w:t>S tem orodjem bodo lahko po potrebi tudi izboljšali znanje jezika pred in/ali med obdobjem mobilnosti. Udeleženci, ki imajo najmanj raven B2 znanja glavnega jezika poučevanja ali delovnega mesta,</w:t>
      </w:r>
      <w:r w:rsidRPr="001048FE">
        <w:rPr>
          <w:spacing w:val="15"/>
          <w:lang w:val="sl-SI"/>
        </w:rPr>
        <w:t xml:space="preserve"> </w:t>
      </w:r>
      <w:r w:rsidRPr="001048FE">
        <w:rPr>
          <w:lang w:val="sl-SI"/>
        </w:rPr>
        <w:t>lahko</w:t>
      </w:r>
      <w:r w:rsidRPr="001048FE">
        <w:rPr>
          <w:spacing w:val="15"/>
          <w:lang w:val="sl-SI"/>
        </w:rPr>
        <w:t xml:space="preserve"> </w:t>
      </w:r>
      <w:r w:rsidRPr="001048FE">
        <w:rPr>
          <w:lang w:val="sl-SI"/>
        </w:rPr>
        <w:t>tečaj</w:t>
      </w:r>
      <w:r w:rsidRPr="001048FE">
        <w:rPr>
          <w:spacing w:val="15"/>
          <w:lang w:val="sl-SI"/>
        </w:rPr>
        <w:t xml:space="preserve"> </w:t>
      </w:r>
      <w:r w:rsidRPr="001048FE">
        <w:rPr>
          <w:lang w:val="sl-SI"/>
        </w:rPr>
        <w:t>spletne</w:t>
      </w:r>
      <w:r w:rsidRPr="001048FE">
        <w:rPr>
          <w:spacing w:val="15"/>
          <w:lang w:val="sl-SI"/>
        </w:rPr>
        <w:t xml:space="preserve"> </w:t>
      </w:r>
      <w:r w:rsidRPr="001048FE">
        <w:rPr>
          <w:lang w:val="sl-SI"/>
        </w:rPr>
        <w:t>jezikovne</w:t>
      </w:r>
      <w:r w:rsidRPr="001048FE">
        <w:rPr>
          <w:spacing w:val="15"/>
          <w:lang w:val="sl-SI"/>
        </w:rPr>
        <w:t xml:space="preserve"> </w:t>
      </w:r>
      <w:r w:rsidRPr="001048FE">
        <w:rPr>
          <w:lang w:val="sl-SI"/>
        </w:rPr>
        <w:t>podpore</w:t>
      </w:r>
      <w:r w:rsidRPr="001048FE">
        <w:rPr>
          <w:spacing w:val="15"/>
          <w:lang w:val="sl-SI"/>
        </w:rPr>
        <w:t xml:space="preserve"> </w:t>
      </w:r>
      <w:r w:rsidRPr="001048FE">
        <w:rPr>
          <w:lang w:val="sl-SI"/>
        </w:rPr>
        <w:t>opravijo</w:t>
      </w:r>
      <w:r w:rsidRPr="001048FE">
        <w:rPr>
          <w:spacing w:val="15"/>
          <w:lang w:val="sl-SI"/>
        </w:rPr>
        <w:t xml:space="preserve"> </w:t>
      </w:r>
      <w:r w:rsidRPr="001048FE">
        <w:rPr>
          <w:lang w:val="sl-SI"/>
        </w:rPr>
        <w:t>v</w:t>
      </w:r>
      <w:r w:rsidRPr="001048FE">
        <w:rPr>
          <w:spacing w:val="15"/>
          <w:lang w:val="sl-SI"/>
        </w:rPr>
        <w:t xml:space="preserve"> </w:t>
      </w:r>
      <w:r w:rsidRPr="001048FE">
        <w:rPr>
          <w:lang w:val="sl-SI"/>
        </w:rPr>
        <w:t>jeziku</w:t>
      </w:r>
      <w:r w:rsidRPr="001048FE">
        <w:rPr>
          <w:spacing w:val="15"/>
          <w:lang w:val="sl-SI"/>
        </w:rPr>
        <w:t xml:space="preserve"> </w:t>
      </w:r>
      <w:r w:rsidRPr="001048FE">
        <w:rPr>
          <w:lang w:val="sl-SI"/>
        </w:rPr>
        <w:t>države</w:t>
      </w:r>
      <w:r w:rsidRPr="001048FE">
        <w:rPr>
          <w:spacing w:val="15"/>
          <w:lang w:val="sl-SI"/>
        </w:rPr>
        <w:t xml:space="preserve"> </w:t>
      </w:r>
      <w:r w:rsidRPr="001048FE">
        <w:rPr>
          <w:lang w:val="sl-SI"/>
        </w:rPr>
        <w:t>gostiteljice,</w:t>
      </w:r>
      <w:r w:rsidRPr="001048FE">
        <w:rPr>
          <w:spacing w:val="15"/>
          <w:lang w:val="sl-SI"/>
        </w:rPr>
        <w:t xml:space="preserve"> </w:t>
      </w:r>
      <w:r w:rsidRPr="001048FE">
        <w:rPr>
          <w:lang w:val="sl-SI"/>
        </w:rPr>
        <w:t>če</w:t>
      </w:r>
      <w:r w:rsidRPr="001048FE">
        <w:rPr>
          <w:spacing w:val="15"/>
          <w:lang w:val="sl-SI"/>
        </w:rPr>
        <w:t xml:space="preserve"> </w:t>
      </w:r>
      <w:r w:rsidRPr="001048FE">
        <w:rPr>
          <w:lang w:val="sl-SI"/>
        </w:rPr>
        <w:t>je</w:t>
      </w:r>
      <w:r w:rsidRPr="001048FE">
        <w:rPr>
          <w:spacing w:val="15"/>
          <w:lang w:val="sl-SI"/>
        </w:rPr>
        <w:t xml:space="preserve"> </w:t>
      </w:r>
      <w:r w:rsidRPr="001048FE">
        <w:rPr>
          <w:lang w:val="sl-SI"/>
        </w:rPr>
        <w:t>na</w:t>
      </w:r>
      <w:r w:rsidRPr="001048FE">
        <w:rPr>
          <w:spacing w:val="15"/>
          <w:lang w:val="sl-SI"/>
        </w:rPr>
        <w:t xml:space="preserve"> </w:t>
      </w:r>
      <w:r w:rsidRPr="001048FE">
        <w:rPr>
          <w:lang w:val="sl-SI"/>
        </w:rPr>
        <w:t>voljo. Zagotavljanje jezikovne podpore temelji na vzajemnem zaupanju med institucijo pošiljateljico in institucijo gostiteljico. Priporočena raven znanja jezika je navedena v medinstitucionalnih in učnih sporazumih</w:t>
      </w:r>
      <w:r w:rsidRPr="001048FE">
        <w:rPr>
          <w:spacing w:val="-17"/>
          <w:lang w:val="sl-SI"/>
        </w:rPr>
        <w:t xml:space="preserve"> </w:t>
      </w:r>
      <w:r w:rsidRPr="001048FE">
        <w:rPr>
          <w:lang w:val="sl-SI"/>
        </w:rPr>
        <w:t>ter</w:t>
      </w:r>
      <w:r w:rsidRPr="001048FE">
        <w:rPr>
          <w:spacing w:val="-17"/>
          <w:lang w:val="sl-SI"/>
        </w:rPr>
        <w:t xml:space="preserve"> </w:t>
      </w:r>
      <w:r w:rsidRPr="001048FE">
        <w:rPr>
          <w:lang w:val="sl-SI"/>
        </w:rPr>
        <w:t>tako</w:t>
      </w:r>
      <w:r w:rsidRPr="001048FE">
        <w:rPr>
          <w:spacing w:val="-17"/>
          <w:lang w:val="sl-SI"/>
        </w:rPr>
        <w:t xml:space="preserve"> </w:t>
      </w:r>
      <w:r w:rsidRPr="001048FE">
        <w:rPr>
          <w:lang w:val="sl-SI"/>
        </w:rPr>
        <w:t>dogovorjena</w:t>
      </w:r>
      <w:r w:rsidRPr="001048FE">
        <w:rPr>
          <w:spacing w:val="-17"/>
          <w:lang w:val="sl-SI"/>
        </w:rPr>
        <w:t xml:space="preserve"> </w:t>
      </w:r>
      <w:r w:rsidRPr="001048FE">
        <w:rPr>
          <w:lang w:val="sl-SI"/>
        </w:rPr>
        <w:t>med</w:t>
      </w:r>
      <w:r w:rsidRPr="001048FE">
        <w:rPr>
          <w:spacing w:val="-17"/>
          <w:lang w:val="sl-SI"/>
        </w:rPr>
        <w:t xml:space="preserve"> </w:t>
      </w:r>
      <w:r w:rsidRPr="001048FE">
        <w:rPr>
          <w:lang w:val="sl-SI"/>
        </w:rPr>
        <w:t>vsemi</w:t>
      </w:r>
      <w:r w:rsidRPr="001048FE">
        <w:rPr>
          <w:spacing w:val="-17"/>
          <w:lang w:val="sl-SI"/>
        </w:rPr>
        <w:t xml:space="preserve"> </w:t>
      </w:r>
      <w:r w:rsidRPr="001048FE">
        <w:rPr>
          <w:lang w:val="sl-SI"/>
        </w:rPr>
        <w:t>tremi</w:t>
      </w:r>
      <w:r w:rsidRPr="001048FE">
        <w:rPr>
          <w:spacing w:val="-17"/>
          <w:lang w:val="sl-SI"/>
        </w:rPr>
        <w:t xml:space="preserve"> </w:t>
      </w:r>
      <w:r w:rsidRPr="001048FE">
        <w:rPr>
          <w:lang w:val="sl-SI"/>
        </w:rPr>
        <w:t>stranmi.</w:t>
      </w:r>
      <w:r w:rsidRPr="001048FE">
        <w:rPr>
          <w:spacing w:val="-17"/>
          <w:lang w:val="sl-SI"/>
        </w:rPr>
        <w:t xml:space="preserve"> </w:t>
      </w:r>
      <w:r w:rsidRPr="001048FE">
        <w:rPr>
          <w:lang w:val="sl-SI"/>
        </w:rPr>
        <w:t>S</w:t>
      </w:r>
      <w:r w:rsidRPr="001048FE">
        <w:rPr>
          <w:spacing w:val="-17"/>
          <w:lang w:val="sl-SI"/>
        </w:rPr>
        <w:t xml:space="preserve"> </w:t>
      </w:r>
      <w:r w:rsidRPr="001048FE">
        <w:rPr>
          <w:lang w:val="sl-SI"/>
        </w:rPr>
        <w:t>programom</w:t>
      </w:r>
      <w:r w:rsidRPr="001048FE">
        <w:rPr>
          <w:spacing w:val="-17"/>
          <w:lang w:val="sl-SI"/>
        </w:rPr>
        <w:t xml:space="preserve"> </w:t>
      </w:r>
      <w:r w:rsidRPr="001048FE">
        <w:rPr>
          <w:lang w:val="sl-SI"/>
        </w:rPr>
        <w:t>Erasmus+</w:t>
      </w:r>
      <w:r w:rsidRPr="001048FE">
        <w:rPr>
          <w:spacing w:val="-17"/>
          <w:lang w:val="sl-SI"/>
        </w:rPr>
        <w:t xml:space="preserve"> </w:t>
      </w:r>
      <w:r w:rsidRPr="001048FE">
        <w:rPr>
          <w:lang w:val="sl-SI"/>
        </w:rPr>
        <w:t>se</w:t>
      </w:r>
      <w:r w:rsidRPr="001048FE">
        <w:rPr>
          <w:spacing w:val="-17"/>
          <w:lang w:val="sl-SI"/>
        </w:rPr>
        <w:t xml:space="preserve"> </w:t>
      </w:r>
      <w:r w:rsidRPr="001048FE">
        <w:rPr>
          <w:lang w:val="sl-SI"/>
        </w:rPr>
        <w:t>visokošolske institucije pošiljateljice zavežejo zagotovitvi, da bodo odhajajoči študenti imeli zahtevano raven znanja jezika, in tak vzajemen dogovor bi moral</w:t>
      </w:r>
      <w:r w:rsidRPr="001048FE">
        <w:rPr>
          <w:spacing w:val="-30"/>
          <w:lang w:val="sl-SI"/>
        </w:rPr>
        <w:t xml:space="preserve"> </w:t>
      </w:r>
      <w:r w:rsidRPr="001048FE">
        <w:rPr>
          <w:lang w:val="sl-SI"/>
        </w:rPr>
        <w:t>zadostovati.</w:t>
      </w:r>
    </w:p>
    <w:p w14:paraId="7D39A7F7" w14:textId="77777777" w:rsidR="00E03711" w:rsidRDefault="00E03711" w:rsidP="00A95E30">
      <w:pPr>
        <w:pStyle w:val="GUIDE-NORMAL"/>
        <w:rPr>
          <w:lang w:val="sl-SI"/>
        </w:rPr>
      </w:pPr>
      <w:r w:rsidRPr="001048FE">
        <w:rPr>
          <w:lang w:val="sl-SI"/>
        </w:rPr>
        <w:t>Visokošolske institucije pošiljateljice morajo svojim študentom zagotoviti najprimernejšo jezikovno podporo,</w:t>
      </w:r>
      <w:r w:rsidRPr="001048FE">
        <w:rPr>
          <w:spacing w:val="-10"/>
          <w:lang w:val="sl-SI"/>
        </w:rPr>
        <w:t xml:space="preserve"> </w:t>
      </w:r>
      <w:r w:rsidRPr="001048FE">
        <w:rPr>
          <w:lang w:val="sl-SI"/>
        </w:rPr>
        <w:t>bodisi</w:t>
      </w:r>
      <w:r w:rsidRPr="001048FE">
        <w:rPr>
          <w:spacing w:val="-10"/>
          <w:lang w:val="sl-SI"/>
        </w:rPr>
        <w:t xml:space="preserve"> </w:t>
      </w:r>
      <w:r w:rsidRPr="001048FE">
        <w:rPr>
          <w:lang w:val="sl-SI"/>
        </w:rPr>
        <w:t>s</w:t>
      </w:r>
      <w:r w:rsidRPr="001048FE">
        <w:rPr>
          <w:spacing w:val="-10"/>
          <w:lang w:val="sl-SI"/>
        </w:rPr>
        <w:t xml:space="preserve"> </w:t>
      </w:r>
      <w:r w:rsidRPr="001048FE">
        <w:rPr>
          <w:lang w:val="sl-SI"/>
        </w:rPr>
        <w:t>spletno</w:t>
      </w:r>
      <w:r w:rsidRPr="001048FE">
        <w:rPr>
          <w:spacing w:val="-10"/>
          <w:lang w:val="sl-SI"/>
        </w:rPr>
        <w:t xml:space="preserve"> </w:t>
      </w:r>
      <w:r w:rsidRPr="001048FE">
        <w:rPr>
          <w:lang w:val="sl-SI"/>
        </w:rPr>
        <w:t>jezikovno</w:t>
      </w:r>
      <w:r w:rsidRPr="001048FE">
        <w:rPr>
          <w:spacing w:val="-10"/>
          <w:lang w:val="sl-SI"/>
        </w:rPr>
        <w:t xml:space="preserve"> </w:t>
      </w:r>
      <w:r w:rsidRPr="001048FE">
        <w:rPr>
          <w:lang w:val="sl-SI"/>
        </w:rPr>
        <w:t>podporo</w:t>
      </w:r>
      <w:r w:rsidRPr="001048FE">
        <w:rPr>
          <w:spacing w:val="-10"/>
          <w:lang w:val="sl-SI"/>
        </w:rPr>
        <w:t xml:space="preserve"> </w:t>
      </w:r>
      <w:r w:rsidRPr="001048FE">
        <w:rPr>
          <w:lang w:val="sl-SI"/>
        </w:rPr>
        <w:t>bodisi</w:t>
      </w:r>
      <w:r w:rsidRPr="001048FE">
        <w:rPr>
          <w:spacing w:val="-10"/>
          <w:lang w:val="sl-SI"/>
        </w:rPr>
        <w:t xml:space="preserve"> </w:t>
      </w:r>
      <w:r w:rsidRPr="001048FE">
        <w:rPr>
          <w:lang w:val="sl-SI"/>
        </w:rPr>
        <w:t>na</w:t>
      </w:r>
      <w:r w:rsidRPr="001048FE">
        <w:rPr>
          <w:spacing w:val="-10"/>
          <w:lang w:val="sl-SI"/>
        </w:rPr>
        <w:t xml:space="preserve"> </w:t>
      </w:r>
      <w:r w:rsidRPr="001048FE">
        <w:rPr>
          <w:lang w:val="sl-SI"/>
        </w:rPr>
        <w:t>kakšen</w:t>
      </w:r>
      <w:r w:rsidRPr="001048FE">
        <w:rPr>
          <w:spacing w:val="-10"/>
          <w:lang w:val="sl-SI"/>
        </w:rPr>
        <w:t xml:space="preserve"> </w:t>
      </w:r>
      <w:r w:rsidRPr="001048FE">
        <w:rPr>
          <w:lang w:val="sl-SI"/>
        </w:rPr>
        <w:t>drug</w:t>
      </w:r>
      <w:r w:rsidRPr="001048FE">
        <w:rPr>
          <w:spacing w:val="-10"/>
          <w:lang w:val="sl-SI"/>
        </w:rPr>
        <w:t xml:space="preserve"> </w:t>
      </w:r>
      <w:r w:rsidRPr="001048FE">
        <w:rPr>
          <w:lang w:val="sl-SI"/>
        </w:rPr>
        <w:t>način,</w:t>
      </w:r>
      <w:r w:rsidRPr="001048FE">
        <w:rPr>
          <w:spacing w:val="-10"/>
          <w:lang w:val="sl-SI"/>
        </w:rPr>
        <w:t xml:space="preserve"> </w:t>
      </w:r>
      <w:r w:rsidRPr="001048FE">
        <w:rPr>
          <w:lang w:val="sl-SI"/>
        </w:rPr>
        <w:t>ki</w:t>
      </w:r>
      <w:r w:rsidRPr="001048FE">
        <w:rPr>
          <w:spacing w:val="-10"/>
          <w:lang w:val="sl-SI"/>
        </w:rPr>
        <w:t xml:space="preserve"> </w:t>
      </w:r>
      <w:r w:rsidRPr="001048FE">
        <w:rPr>
          <w:lang w:val="sl-SI"/>
        </w:rPr>
        <w:t>ga</w:t>
      </w:r>
      <w:r w:rsidRPr="001048FE">
        <w:rPr>
          <w:spacing w:val="-10"/>
          <w:lang w:val="sl-SI"/>
        </w:rPr>
        <w:t xml:space="preserve"> </w:t>
      </w:r>
      <w:r w:rsidRPr="001048FE">
        <w:rPr>
          <w:lang w:val="sl-SI"/>
        </w:rPr>
        <w:t>je</w:t>
      </w:r>
      <w:r w:rsidRPr="001048FE">
        <w:rPr>
          <w:spacing w:val="-10"/>
          <w:lang w:val="sl-SI"/>
        </w:rPr>
        <w:t xml:space="preserve"> </w:t>
      </w:r>
      <w:r w:rsidRPr="001048FE">
        <w:rPr>
          <w:lang w:val="sl-SI"/>
        </w:rPr>
        <w:t>mogoče</w:t>
      </w:r>
      <w:r w:rsidRPr="001048FE">
        <w:rPr>
          <w:spacing w:val="-10"/>
          <w:lang w:val="sl-SI"/>
        </w:rPr>
        <w:t xml:space="preserve"> </w:t>
      </w:r>
      <w:r w:rsidRPr="001048FE">
        <w:rPr>
          <w:lang w:val="sl-SI"/>
        </w:rPr>
        <w:t>financirati z organizacijsko podporo, za zagotovitev, da študenti pridobijo priporočeno raven znanja, dogovorjeno z institucijo gostiteljico pred začetkom mobilnost. Zato visokošolskim institucijam pošiljateljicam institucijam gostiteljicam ni treba poslati rezultatov preverjanja znanja jezika, pridobljenega s spletno jezikovno podporo. Študenti sami odločijo, ali se strinjajo z razkritjem rezultatov njihovega preverjanja znanja jezika, pridobljenega s spletno jezikovno podporo, instituciji gostiteljici.</w:t>
      </w:r>
    </w:p>
    <w:p w14:paraId="7D39A7F8" w14:textId="77777777" w:rsidR="00E03711" w:rsidRPr="001048FE" w:rsidRDefault="00E03711" w:rsidP="00A95E30">
      <w:pPr>
        <w:pStyle w:val="GUIDE-NORMAL"/>
        <w:rPr>
          <w:lang w:val="sl-SI"/>
        </w:rPr>
      </w:pPr>
      <w:r w:rsidRPr="001048FE">
        <w:rPr>
          <w:lang w:val="sl-SI"/>
        </w:rPr>
        <w:t>Spletna jezikovna podpora se bo zagotovila na naslednji način:</w:t>
      </w:r>
    </w:p>
    <w:p w14:paraId="7D39A7F9" w14:textId="77777777" w:rsidR="00E03711" w:rsidRPr="001048FE" w:rsidRDefault="00E03711" w:rsidP="005115F2">
      <w:pPr>
        <w:pStyle w:val="Guide-NormalBulletpoints"/>
        <w:numPr>
          <w:ilvl w:val="0"/>
          <w:numId w:val="422"/>
        </w:numPr>
        <w:rPr>
          <w:lang w:val="sl-SI"/>
        </w:rPr>
      </w:pPr>
      <w:r w:rsidRPr="001048FE">
        <w:rPr>
          <w:lang w:val="sl-SI"/>
        </w:rPr>
        <w:t>nacionalne</w:t>
      </w:r>
      <w:r w:rsidRPr="001048FE">
        <w:rPr>
          <w:spacing w:val="-15"/>
          <w:lang w:val="sl-SI"/>
        </w:rPr>
        <w:t xml:space="preserve"> </w:t>
      </w:r>
      <w:r w:rsidRPr="001048FE">
        <w:rPr>
          <w:lang w:val="sl-SI"/>
        </w:rPr>
        <w:t>agencije</w:t>
      </w:r>
      <w:r w:rsidRPr="001048FE">
        <w:rPr>
          <w:spacing w:val="-15"/>
          <w:lang w:val="sl-SI"/>
        </w:rPr>
        <w:t xml:space="preserve"> </w:t>
      </w:r>
      <w:r w:rsidRPr="001048FE">
        <w:rPr>
          <w:lang w:val="sl-SI"/>
        </w:rPr>
        <w:t>dodelijo</w:t>
      </w:r>
      <w:r w:rsidRPr="001048FE">
        <w:rPr>
          <w:spacing w:val="-15"/>
          <w:lang w:val="sl-SI"/>
        </w:rPr>
        <w:t xml:space="preserve"> </w:t>
      </w:r>
      <w:r w:rsidRPr="001048FE">
        <w:rPr>
          <w:lang w:val="sl-SI"/>
        </w:rPr>
        <w:t>visokošolskim</w:t>
      </w:r>
      <w:r w:rsidRPr="001048FE">
        <w:rPr>
          <w:spacing w:val="-15"/>
          <w:lang w:val="sl-SI"/>
        </w:rPr>
        <w:t xml:space="preserve"> </w:t>
      </w:r>
      <w:r w:rsidRPr="001048FE">
        <w:rPr>
          <w:lang w:val="sl-SI"/>
        </w:rPr>
        <w:t>institucijam</w:t>
      </w:r>
      <w:r w:rsidRPr="001048FE">
        <w:rPr>
          <w:spacing w:val="-15"/>
          <w:lang w:val="sl-SI"/>
        </w:rPr>
        <w:t xml:space="preserve"> </w:t>
      </w:r>
      <w:r w:rsidRPr="001048FE">
        <w:rPr>
          <w:lang w:val="sl-SI"/>
        </w:rPr>
        <w:t>spletne</w:t>
      </w:r>
      <w:r w:rsidRPr="001048FE">
        <w:rPr>
          <w:spacing w:val="-15"/>
          <w:lang w:val="sl-SI"/>
        </w:rPr>
        <w:t xml:space="preserve"> </w:t>
      </w:r>
      <w:r w:rsidRPr="001048FE">
        <w:rPr>
          <w:lang w:val="sl-SI"/>
        </w:rPr>
        <w:t>licence</w:t>
      </w:r>
      <w:r w:rsidRPr="001048FE">
        <w:rPr>
          <w:spacing w:val="-15"/>
          <w:lang w:val="sl-SI"/>
        </w:rPr>
        <w:t xml:space="preserve"> </w:t>
      </w:r>
      <w:r w:rsidRPr="001048FE">
        <w:rPr>
          <w:lang w:val="sl-SI"/>
        </w:rPr>
        <w:t>v</w:t>
      </w:r>
      <w:r w:rsidRPr="001048FE">
        <w:rPr>
          <w:spacing w:val="-15"/>
          <w:lang w:val="sl-SI"/>
        </w:rPr>
        <w:t xml:space="preserve"> </w:t>
      </w:r>
      <w:r w:rsidRPr="001048FE">
        <w:rPr>
          <w:lang w:val="sl-SI"/>
        </w:rPr>
        <w:t>skladu</w:t>
      </w:r>
      <w:r w:rsidRPr="001048FE">
        <w:rPr>
          <w:spacing w:val="-15"/>
          <w:lang w:val="sl-SI"/>
        </w:rPr>
        <w:t xml:space="preserve"> </w:t>
      </w:r>
      <w:r w:rsidRPr="001048FE">
        <w:rPr>
          <w:lang w:val="sl-SI"/>
        </w:rPr>
        <w:t>s</w:t>
      </w:r>
      <w:r w:rsidRPr="001048FE">
        <w:rPr>
          <w:spacing w:val="-15"/>
          <w:lang w:val="sl-SI"/>
        </w:rPr>
        <w:t xml:space="preserve"> </w:t>
      </w:r>
      <w:r w:rsidRPr="001048FE">
        <w:rPr>
          <w:lang w:val="sl-SI"/>
        </w:rPr>
        <w:t>splošnimi merili, ki jih opredeli Evropska</w:t>
      </w:r>
      <w:r w:rsidRPr="001048FE">
        <w:rPr>
          <w:spacing w:val="-7"/>
          <w:lang w:val="sl-SI"/>
        </w:rPr>
        <w:t xml:space="preserve"> </w:t>
      </w:r>
      <w:r w:rsidRPr="001048FE">
        <w:rPr>
          <w:lang w:val="sl-SI"/>
        </w:rPr>
        <w:t>komisija;</w:t>
      </w:r>
    </w:p>
    <w:p w14:paraId="7D39A7FA" w14:textId="77777777" w:rsidR="00E03711" w:rsidRPr="001048FE" w:rsidRDefault="00E03711" w:rsidP="005115F2">
      <w:pPr>
        <w:pStyle w:val="Guide-NormalBulletpoints"/>
        <w:numPr>
          <w:ilvl w:val="0"/>
          <w:numId w:val="422"/>
        </w:numPr>
        <w:rPr>
          <w:lang w:val="sl-SI"/>
        </w:rPr>
      </w:pPr>
      <w:r w:rsidRPr="001048FE">
        <w:rPr>
          <w:lang w:val="sl-SI"/>
        </w:rPr>
        <w:t>vsi študenti (razen govorci maternega jezika in v ustrezno utemeljenih primerih), izbrani s strani visokošolskih institucij, bodo lahko izkoristili uporabo spletne storitve in morajo opraviti spletni preskus, da se oceni znanje njihovega glavnega jezika, ki ga bodo uporabljali med študijem ali prakso v tujini. To je predpogoj pred odhodom na mobilnost. Rezultati tega preskusa bodo posredovani študentu in visokošolski instituciji pošiljateljici. Na podlagi tega bo lahko visokošolska institucija pošiljateljica količinsko opredelila število študentov, ki bodo morda morali opraviti spletni jezikovni tečaj;</w:t>
      </w:r>
    </w:p>
    <w:p w14:paraId="7D39A7FB" w14:textId="77777777" w:rsidR="00E03711" w:rsidRPr="001048FE" w:rsidRDefault="00E03711" w:rsidP="005115F2">
      <w:pPr>
        <w:pStyle w:val="Guide-NormalBulletpoints"/>
        <w:numPr>
          <w:ilvl w:val="0"/>
          <w:numId w:val="422"/>
        </w:numPr>
        <w:rPr>
          <w:lang w:val="sl-SI"/>
        </w:rPr>
      </w:pPr>
      <w:r w:rsidRPr="001048FE">
        <w:rPr>
          <w:lang w:val="sl-SI"/>
        </w:rPr>
        <w:t>glede na število spletnih licenc, ki bodo na voljo za jezikovne tečaje, bodo visokošolske institucije razdelile licence v skladu s potrebami študentov. Študenti bodo prevzeli odgovornost</w:t>
      </w:r>
      <w:r w:rsidRPr="001048FE">
        <w:rPr>
          <w:spacing w:val="-19"/>
          <w:lang w:val="sl-SI"/>
        </w:rPr>
        <w:t xml:space="preserve"> </w:t>
      </w:r>
      <w:r w:rsidRPr="001048FE">
        <w:rPr>
          <w:lang w:val="sl-SI"/>
        </w:rPr>
        <w:t>za</w:t>
      </w:r>
      <w:r w:rsidRPr="001048FE">
        <w:rPr>
          <w:spacing w:val="-20"/>
          <w:lang w:val="sl-SI"/>
        </w:rPr>
        <w:t xml:space="preserve"> </w:t>
      </w:r>
      <w:r w:rsidRPr="001048FE">
        <w:rPr>
          <w:lang w:val="sl-SI"/>
        </w:rPr>
        <w:t>opravljanje</w:t>
      </w:r>
      <w:r w:rsidRPr="001048FE">
        <w:rPr>
          <w:spacing w:val="-19"/>
          <w:lang w:val="sl-SI"/>
        </w:rPr>
        <w:t xml:space="preserve"> </w:t>
      </w:r>
      <w:r w:rsidRPr="001048FE">
        <w:rPr>
          <w:lang w:val="sl-SI"/>
        </w:rPr>
        <w:t>spletnega</w:t>
      </w:r>
      <w:r w:rsidRPr="001048FE">
        <w:rPr>
          <w:spacing w:val="-20"/>
          <w:lang w:val="sl-SI"/>
        </w:rPr>
        <w:t xml:space="preserve"> </w:t>
      </w:r>
      <w:r w:rsidRPr="001048FE">
        <w:rPr>
          <w:lang w:val="sl-SI"/>
        </w:rPr>
        <w:t>tečaja,</w:t>
      </w:r>
      <w:r w:rsidRPr="001048FE">
        <w:rPr>
          <w:spacing w:val="-20"/>
          <w:lang w:val="sl-SI"/>
        </w:rPr>
        <w:t xml:space="preserve"> </w:t>
      </w:r>
      <w:r w:rsidRPr="001048FE">
        <w:rPr>
          <w:lang w:val="sl-SI"/>
        </w:rPr>
        <w:t>kot</w:t>
      </w:r>
      <w:r w:rsidRPr="001048FE">
        <w:rPr>
          <w:spacing w:val="-20"/>
          <w:lang w:val="sl-SI"/>
        </w:rPr>
        <w:t xml:space="preserve"> </w:t>
      </w:r>
      <w:r w:rsidRPr="001048FE">
        <w:rPr>
          <w:lang w:val="sl-SI"/>
        </w:rPr>
        <w:t>je</w:t>
      </w:r>
      <w:r w:rsidRPr="001048FE">
        <w:rPr>
          <w:spacing w:val="-20"/>
          <w:lang w:val="sl-SI"/>
        </w:rPr>
        <w:t xml:space="preserve"> </w:t>
      </w:r>
      <w:r w:rsidRPr="001048FE">
        <w:rPr>
          <w:lang w:val="sl-SI"/>
        </w:rPr>
        <w:t>navedeno</w:t>
      </w:r>
      <w:r w:rsidRPr="001048FE">
        <w:rPr>
          <w:spacing w:val="-20"/>
          <w:lang w:val="sl-SI"/>
        </w:rPr>
        <w:t xml:space="preserve"> </w:t>
      </w:r>
      <w:r w:rsidRPr="001048FE">
        <w:rPr>
          <w:lang w:val="sl-SI"/>
        </w:rPr>
        <w:t>in</w:t>
      </w:r>
      <w:r w:rsidRPr="001048FE">
        <w:rPr>
          <w:spacing w:val="-20"/>
          <w:lang w:val="sl-SI"/>
        </w:rPr>
        <w:t xml:space="preserve"> </w:t>
      </w:r>
      <w:r w:rsidRPr="001048FE">
        <w:rPr>
          <w:lang w:val="sl-SI"/>
        </w:rPr>
        <w:t>dogovorjeno</w:t>
      </w:r>
      <w:r w:rsidRPr="001048FE">
        <w:rPr>
          <w:spacing w:val="-20"/>
          <w:lang w:val="sl-SI"/>
        </w:rPr>
        <w:t xml:space="preserve"> </w:t>
      </w:r>
      <w:r w:rsidRPr="001048FE">
        <w:rPr>
          <w:lang w:val="sl-SI"/>
        </w:rPr>
        <w:t>v</w:t>
      </w:r>
      <w:r w:rsidRPr="001048FE">
        <w:rPr>
          <w:spacing w:val="-20"/>
          <w:lang w:val="sl-SI"/>
        </w:rPr>
        <w:t xml:space="preserve"> </w:t>
      </w:r>
      <w:r w:rsidRPr="001048FE">
        <w:rPr>
          <w:lang w:val="sl-SI"/>
        </w:rPr>
        <w:t>sporazumu</w:t>
      </w:r>
      <w:r w:rsidRPr="001048FE">
        <w:rPr>
          <w:spacing w:val="-20"/>
          <w:lang w:val="sl-SI"/>
        </w:rPr>
        <w:t xml:space="preserve"> </w:t>
      </w:r>
      <w:r w:rsidRPr="001048FE">
        <w:rPr>
          <w:lang w:val="sl-SI"/>
        </w:rPr>
        <w:t>o nepovratnih</w:t>
      </w:r>
      <w:r w:rsidRPr="001048FE">
        <w:rPr>
          <w:spacing w:val="-3"/>
          <w:lang w:val="sl-SI"/>
        </w:rPr>
        <w:t xml:space="preserve"> </w:t>
      </w:r>
      <w:r w:rsidRPr="001048FE">
        <w:rPr>
          <w:lang w:val="sl-SI"/>
        </w:rPr>
        <w:t>sredstvih;</w:t>
      </w:r>
    </w:p>
    <w:p w14:paraId="7D39A7FC" w14:textId="77777777" w:rsidR="00E03711" w:rsidRPr="001048FE" w:rsidRDefault="00E03711" w:rsidP="005115F2">
      <w:pPr>
        <w:pStyle w:val="Guide-NormalBulletpoints"/>
        <w:numPr>
          <w:ilvl w:val="0"/>
          <w:numId w:val="422"/>
        </w:numPr>
        <w:rPr>
          <w:lang w:val="sl-SI"/>
        </w:rPr>
      </w:pPr>
      <w:r w:rsidRPr="001048FE">
        <w:rPr>
          <w:lang w:val="sl-SI"/>
        </w:rPr>
        <w:t>ob</w:t>
      </w:r>
      <w:r w:rsidRPr="001048FE">
        <w:rPr>
          <w:spacing w:val="-11"/>
          <w:lang w:val="sl-SI"/>
        </w:rPr>
        <w:t xml:space="preserve"> </w:t>
      </w:r>
      <w:r w:rsidRPr="001048FE">
        <w:rPr>
          <w:lang w:val="sl-SI"/>
        </w:rPr>
        <w:t>koncu</w:t>
      </w:r>
      <w:r w:rsidRPr="001048FE">
        <w:rPr>
          <w:spacing w:val="-12"/>
          <w:lang w:val="sl-SI"/>
        </w:rPr>
        <w:t xml:space="preserve"> </w:t>
      </w:r>
      <w:r w:rsidRPr="001048FE">
        <w:rPr>
          <w:lang w:val="sl-SI"/>
        </w:rPr>
        <w:t>obdobja</w:t>
      </w:r>
      <w:r w:rsidRPr="001048FE">
        <w:rPr>
          <w:spacing w:val="-11"/>
          <w:lang w:val="sl-SI"/>
        </w:rPr>
        <w:t xml:space="preserve"> </w:t>
      </w:r>
      <w:r w:rsidRPr="001048FE">
        <w:rPr>
          <w:lang w:val="sl-SI"/>
        </w:rPr>
        <w:t>mobilnosti</w:t>
      </w:r>
      <w:r w:rsidRPr="001048FE">
        <w:rPr>
          <w:spacing w:val="-12"/>
          <w:lang w:val="sl-SI"/>
        </w:rPr>
        <w:t xml:space="preserve"> </w:t>
      </w:r>
      <w:r w:rsidRPr="001048FE">
        <w:rPr>
          <w:lang w:val="sl-SI"/>
        </w:rPr>
        <w:t>bo</w:t>
      </w:r>
      <w:r w:rsidRPr="001048FE">
        <w:rPr>
          <w:spacing w:val="-12"/>
          <w:lang w:val="sl-SI"/>
        </w:rPr>
        <w:t xml:space="preserve"> </w:t>
      </w:r>
      <w:r w:rsidRPr="001048FE">
        <w:rPr>
          <w:lang w:val="sl-SI"/>
        </w:rPr>
        <w:t>študent</w:t>
      </w:r>
      <w:r w:rsidRPr="001048FE">
        <w:rPr>
          <w:spacing w:val="-12"/>
          <w:lang w:val="sl-SI"/>
        </w:rPr>
        <w:t xml:space="preserve"> </w:t>
      </w:r>
      <w:r w:rsidRPr="001048FE">
        <w:rPr>
          <w:lang w:val="sl-SI"/>
        </w:rPr>
        <w:t>opravil</w:t>
      </w:r>
      <w:r w:rsidRPr="001048FE">
        <w:rPr>
          <w:spacing w:val="-11"/>
          <w:lang w:val="sl-SI"/>
        </w:rPr>
        <w:t xml:space="preserve"> </w:t>
      </w:r>
      <w:r w:rsidRPr="001048FE">
        <w:rPr>
          <w:lang w:val="sl-SI"/>
        </w:rPr>
        <w:t>drugo</w:t>
      </w:r>
      <w:r w:rsidRPr="001048FE">
        <w:rPr>
          <w:spacing w:val="-12"/>
          <w:lang w:val="sl-SI"/>
        </w:rPr>
        <w:t xml:space="preserve"> </w:t>
      </w:r>
      <w:r w:rsidRPr="001048FE">
        <w:rPr>
          <w:lang w:val="sl-SI"/>
        </w:rPr>
        <w:t>oceno,</w:t>
      </w:r>
      <w:r w:rsidRPr="001048FE">
        <w:rPr>
          <w:spacing w:val="-11"/>
          <w:lang w:val="sl-SI"/>
        </w:rPr>
        <w:t xml:space="preserve"> </w:t>
      </w:r>
      <w:r w:rsidRPr="001048FE">
        <w:rPr>
          <w:lang w:val="sl-SI"/>
        </w:rPr>
        <w:t>da</w:t>
      </w:r>
      <w:r w:rsidRPr="001048FE">
        <w:rPr>
          <w:spacing w:val="-12"/>
          <w:lang w:val="sl-SI"/>
        </w:rPr>
        <w:t xml:space="preserve"> </w:t>
      </w:r>
      <w:r w:rsidRPr="001048FE">
        <w:rPr>
          <w:lang w:val="sl-SI"/>
        </w:rPr>
        <w:t>se</w:t>
      </w:r>
      <w:r w:rsidRPr="001048FE">
        <w:rPr>
          <w:spacing w:val="-12"/>
          <w:lang w:val="sl-SI"/>
        </w:rPr>
        <w:t xml:space="preserve"> </w:t>
      </w:r>
      <w:r w:rsidRPr="001048FE">
        <w:rPr>
          <w:lang w:val="sl-SI"/>
        </w:rPr>
        <w:t>ugotovi</w:t>
      </w:r>
      <w:r w:rsidRPr="001048FE">
        <w:rPr>
          <w:spacing w:val="-12"/>
          <w:lang w:val="sl-SI"/>
        </w:rPr>
        <w:t xml:space="preserve"> </w:t>
      </w:r>
      <w:r w:rsidRPr="001048FE">
        <w:rPr>
          <w:lang w:val="sl-SI"/>
        </w:rPr>
        <w:t>napredek</w:t>
      </w:r>
      <w:r w:rsidRPr="001048FE">
        <w:rPr>
          <w:spacing w:val="-12"/>
          <w:lang w:val="sl-SI"/>
        </w:rPr>
        <w:t xml:space="preserve"> </w:t>
      </w:r>
      <w:r w:rsidRPr="001048FE">
        <w:rPr>
          <w:lang w:val="sl-SI"/>
        </w:rPr>
        <w:t>v</w:t>
      </w:r>
      <w:r w:rsidRPr="001048FE">
        <w:rPr>
          <w:spacing w:val="-12"/>
          <w:lang w:val="sl-SI"/>
        </w:rPr>
        <w:t xml:space="preserve"> </w:t>
      </w:r>
      <w:r w:rsidRPr="001048FE">
        <w:rPr>
          <w:lang w:val="sl-SI"/>
        </w:rPr>
        <w:t>učenju jezika. Rezultati bodo posredovani študentu in visokošolski instituciji</w:t>
      </w:r>
      <w:r w:rsidRPr="001048FE">
        <w:rPr>
          <w:spacing w:val="-15"/>
          <w:lang w:val="sl-SI"/>
        </w:rPr>
        <w:t xml:space="preserve"> </w:t>
      </w:r>
      <w:r w:rsidRPr="001048FE">
        <w:rPr>
          <w:lang w:val="sl-SI"/>
        </w:rPr>
        <w:t>pošiljateljici.</w:t>
      </w:r>
    </w:p>
    <w:p w14:paraId="7D39A7FD" w14:textId="77777777" w:rsidR="00E03711" w:rsidRPr="001048FE" w:rsidRDefault="00E03711" w:rsidP="00A95E30">
      <w:pPr>
        <w:pStyle w:val="GUIDE-NORMAL"/>
        <w:rPr>
          <w:lang w:val="sl-SI"/>
        </w:rPr>
      </w:pPr>
      <w:r w:rsidRPr="001048FE">
        <w:rPr>
          <w:lang w:val="sl-SI"/>
        </w:rPr>
        <w:t xml:space="preserve">Več informacij je na voljo na </w:t>
      </w:r>
      <w:hyperlink r:id="rId158" w:anchor="tab-1-1">
        <w:r w:rsidRPr="001048FE">
          <w:rPr>
            <w:lang w:val="sl-SI"/>
          </w:rPr>
          <w:t xml:space="preserve">spletiščih </w:t>
        </w:r>
        <w:r w:rsidRPr="001048FE">
          <w:rPr>
            <w:rStyle w:val="Hyperlink"/>
            <w:lang w:val="sl-SI"/>
          </w:rPr>
          <w:t>Evropske komisije</w:t>
        </w:r>
        <w:r w:rsidRPr="001048FE">
          <w:rPr>
            <w:lang w:val="sl-SI"/>
          </w:rPr>
          <w:t xml:space="preserve"> </w:t>
        </w:r>
      </w:hyperlink>
      <w:r w:rsidRPr="001048FE">
        <w:rPr>
          <w:lang w:val="sl-SI"/>
        </w:rPr>
        <w:t xml:space="preserve">in </w:t>
      </w:r>
      <w:hyperlink r:id="rId159">
        <w:r w:rsidRPr="001048FE">
          <w:rPr>
            <w:rStyle w:val="Hyperlink"/>
            <w:lang w:val="sl-SI"/>
          </w:rPr>
          <w:t>nacionalnih agencij</w:t>
        </w:r>
      </w:hyperlink>
      <w:r w:rsidRPr="001048FE">
        <w:rPr>
          <w:lang w:val="sl-SI"/>
        </w:rPr>
        <w:t>.</w:t>
      </w:r>
    </w:p>
    <w:p w14:paraId="7D39A7FE" w14:textId="77777777" w:rsidR="00E03711" w:rsidRPr="00237696" w:rsidRDefault="00E03711" w:rsidP="00D4772F">
      <w:pPr>
        <w:pStyle w:val="GUIDE-NORMAL"/>
        <w:rPr>
          <w:color w:val="FF0000"/>
          <w:lang w:val="sl-SI"/>
        </w:rPr>
      </w:pPr>
      <w:r w:rsidRPr="001048FE">
        <w:rPr>
          <w:lang w:val="sl-SI"/>
        </w:rPr>
        <w:t>Za vse druge vrste mobilnosti ali če spletna storitev Komisije ni na voljo za zadevni jezik, lahko visokošolske institucije za študente zagotovijo druge vrste jezikovne podpore, ki bo financirana v okviru nepovratnih sredstev „Organizacijska podpora“.</w:t>
      </w:r>
    </w:p>
    <w:p w14:paraId="7D39A7FF" w14:textId="77777777" w:rsidR="00E03711" w:rsidRDefault="00E03711" w:rsidP="00D4772F">
      <w:pPr>
        <w:pStyle w:val="Guide-Heading4"/>
        <w:rPr>
          <w:lang w:val="sl-SI"/>
        </w:rPr>
        <w:sectPr w:rsidR="00E03711" w:rsidSect="007F4890">
          <w:headerReference w:type="even" r:id="rId160"/>
          <w:headerReference w:type="default" r:id="rId161"/>
          <w:endnotePr>
            <w:numFmt w:val="decimal"/>
          </w:endnotePr>
          <w:pgSz w:w="11910" w:h="16840" w:code="9"/>
          <w:pgMar w:top="1134" w:right="1418" w:bottom="1134" w:left="1418" w:header="283" w:footer="567" w:gutter="0"/>
          <w:cols w:space="720"/>
          <w:docGrid w:linePitch="326"/>
        </w:sectPr>
      </w:pPr>
    </w:p>
    <w:p w14:paraId="7D39A800" w14:textId="77777777" w:rsidR="00E03711" w:rsidRPr="001048FE" w:rsidRDefault="00E03711" w:rsidP="00D4772F">
      <w:pPr>
        <w:pStyle w:val="Guide-Heading4"/>
        <w:rPr>
          <w:lang w:val="sl-SI"/>
        </w:rPr>
      </w:pPr>
      <w:bookmarkStart w:id="559" w:name="_Toc527401272"/>
      <w:r w:rsidRPr="001048FE">
        <w:rPr>
          <w:lang w:val="sl-SI"/>
        </w:rPr>
        <w:t>E: Pogoji udeležbe osebja</w:t>
      </w:r>
      <w:bookmarkEnd w:id="559"/>
    </w:p>
    <w:p w14:paraId="7D39A801" w14:textId="77777777" w:rsidR="00E03711" w:rsidRPr="001048FE" w:rsidRDefault="00E03711" w:rsidP="00D4772F">
      <w:pPr>
        <w:pStyle w:val="Guide-Heading5"/>
        <w:rPr>
          <w:lang w:val="sl-SI"/>
        </w:rPr>
      </w:pPr>
      <w:r w:rsidRPr="001048FE">
        <w:rPr>
          <w:lang w:val="sl-SI"/>
        </w:rPr>
        <w:t>Izbor</w:t>
      </w:r>
    </w:p>
    <w:p w14:paraId="7D39A802" w14:textId="77777777" w:rsidR="00E03711" w:rsidRPr="001048FE" w:rsidRDefault="00E03711" w:rsidP="00D4772F">
      <w:pPr>
        <w:pStyle w:val="GUIDE-NORMAL"/>
        <w:rPr>
          <w:lang w:val="sl-SI"/>
        </w:rPr>
      </w:pPr>
      <w:r w:rsidRPr="001048FE">
        <w:rPr>
          <w:lang w:val="sl-SI"/>
        </w:rPr>
        <w:t>Visokošolska</w:t>
      </w:r>
      <w:r w:rsidRPr="001048FE">
        <w:rPr>
          <w:spacing w:val="-39"/>
          <w:lang w:val="sl-SI"/>
        </w:rPr>
        <w:t xml:space="preserve"> </w:t>
      </w:r>
      <w:r w:rsidRPr="001048FE">
        <w:rPr>
          <w:lang w:val="sl-SI"/>
        </w:rPr>
        <w:t>institucija</w:t>
      </w:r>
      <w:r w:rsidRPr="001048FE">
        <w:rPr>
          <w:spacing w:val="-39"/>
          <w:lang w:val="sl-SI"/>
        </w:rPr>
        <w:t xml:space="preserve"> </w:t>
      </w:r>
      <w:r w:rsidRPr="001048FE">
        <w:rPr>
          <w:lang w:val="sl-SI"/>
        </w:rPr>
        <w:t>pošiljateljica</w:t>
      </w:r>
      <w:r w:rsidRPr="001048FE">
        <w:rPr>
          <w:spacing w:val="-39"/>
          <w:lang w:val="sl-SI"/>
        </w:rPr>
        <w:t xml:space="preserve"> </w:t>
      </w:r>
      <w:r w:rsidRPr="001048FE">
        <w:rPr>
          <w:lang w:val="sl-SI"/>
        </w:rPr>
        <w:t>mora</w:t>
      </w:r>
      <w:r w:rsidRPr="001048FE">
        <w:rPr>
          <w:spacing w:val="-39"/>
          <w:lang w:val="sl-SI"/>
        </w:rPr>
        <w:t xml:space="preserve"> </w:t>
      </w:r>
      <w:r w:rsidRPr="001048FE">
        <w:rPr>
          <w:lang w:val="sl-SI"/>
        </w:rPr>
        <w:t>pravično</w:t>
      </w:r>
      <w:r w:rsidRPr="001048FE">
        <w:rPr>
          <w:spacing w:val="-39"/>
          <w:lang w:val="sl-SI"/>
        </w:rPr>
        <w:t xml:space="preserve"> </w:t>
      </w:r>
      <w:r w:rsidRPr="001048FE">
        <w:rPr>
          <w:lang w:val="sl-SI"/>
        </w:rPr>
        <w:t>in</w:t>
      </w:r>
      <w:r w:rsidRPr="001048FE">
        <w:rPr>
          <w:spacing w:val="-39"/>
          <w:lang w:val="sl-SI"/>
        </w:rPr>
        <w:t xml:space="preserve"> </w:t>
      </w:r>
      <w:r w:rsidRPr="001048FE">
        <w:rPr>
          <w:lang w:val="sl-SI"/>
        </w:rPr>
        <w:t>pregledno</w:t>
      </w:r>
      <w:r w:rsidRPr="001048FE">
        <w:rPr>
          <w:spacing w:val="-39"/>
          <w:lang w:val="sl-SI"/>
        </w:rPr>
        <w:t xml:space="preserve"> </w:t>
      </w:r>
      <w:r w:rsidRPr="001048FE">
        <w:rPr>
          <w:lang w:val="sl-SI"/>
        </w:rPr>
        <w:t>izbrati</w:t>
      </w:r>
      <w:r w:rsidRPr="001048FE">
        <w:rPr>
          <w:spacing w:val="-39"/>
          <w:lang w:val="sl-SI"/>
        </w:rPr>
        <w:t xml:space="preserve"> </w:t>
      </w:r>
      <w:r w:rsidRPr="001048FE">
        <w:rPr>
          <w:lang w:val="sl-SI"/>
        </w:rPr>
        <w:t>svoje</w:t>
      </w:r>
      <w:r w:rsidRPr="001048FE">
        <w:rPr>
          <w:spacing w:val="-39"/>
          <w:lang w:val="sl-SI"/>
        </w:rPr>
        <w:t xml:space="preserve"> </w:t>
      </w:r>
      <w:r w:rsidRPr="001048FE">
        <w:rPr>
          <w:lang w:val="sl-SI"/>
        </w:rPr>
        <w:t>osebje,</w:t>
      </w:r>
      <w:r w:rsidRPr="001048FE">
        <w:rPr>
          <w:spacing w:val="-39"/>
          <w:lang w:val="sl-SI"/>
        </w:rPr>
        <w:t xml:space="preserve"> </w:t>
      </w:r>
      <w:r w:rsidRPr="001048FE">
        <w:rPr>
          <w:lang w:val="sl-SI"/>
        </w:rPr>
        <w:t>ki</w:t>
      </w:r>
      <w:r w:rsidRPr="001048FE">
        <w:rPr>
          <w:spacing w:val="-39"/>
          <w:lang w:val="sl-SI"/>
        </w:rPr>
        <w:t xml:space="preserve"> </w:t>
      </w:r>
      <w:r w:rsidRPr="001048FE">
        <w:rPr>
          <w:lang w:val="sl-SI"/>
        </w:rPr>
        <w:t>se</w:t>
      </w:r>
      <w:r w:rsidRPr="001048FE">
        <w:rPr>
          <w:spacing w:val="-39"/>
          <w:lang w:val="sl-SI"/>
        </w:rPr>
        <w:t xml:space="preserve"> </w:t>
      </w:r>
      <w:r w:rsidRPr="001048FE">
        <w:rPr>
          <w:lang w:val="sl-SI"/>
        </w:rPr>
        <w:t>udeleži projekta</w:t>
      </w:r>
      <w:r w:rsidRPr="001048FE">
        <w:rPr>
          <w:spacing w:val="-17"/>
          <w:lang w:val="sl-SI"/>
        </w:rPr>
        <w:t xml:space="preserve"> </w:t>
      </w:r>
      <w:r w:rsidRPr="001048FE">
        <w:rPr>
          <w:lang w:val="sl-SI"/>
        </w:rPr>
        <w:t>mobilnosti</w:t>
      </w:r>
      <w:r w:rsidRPr="001048FE">
        <w:rPr>
          <w:spacing w:val="-17"/>
          <w:lang w:val="sl-SI"/>
        </w:rPr>
        <w:t xml:space="preserve"> </w:t>
      </w:r>
      <w:r w:rsidRPr="001048FE">
        <w:rPr>
          <w:lang w:val="sl-SI"/>
        </w:rPr>
        <w:t>v</w:t>
      </w:r>
      <w:r w:rsidRPr="001048FE">
        <w:rPr>
          <w:spacing w:val="-17"/>
          <w:lang w:val="sl-SI"/>
        </w:rPr>
        <w:t xml:space="preserve"> </w:t>
      </w:r>
      <w:r w:rsidRPr="001048FE">
        <w:rPr>
          <w:lang w:val="sl-SI"/>
        </w:rPr>
        <w:t>visokošolskem</w:t>
      </w:r>
      <w:r w:rsidRPr="001048FE">
        <w:rPr>
          <w:spacing w:val="-17"/>
          <w:lang w:val="sl-SI"/>
        </w:rPr>
        <w:t xml:space="preserve"> </w:t>
      </w:r>
      <w:r w:rsidRPr="001048FE">
        <w:rPr>
          <w:lang w:val="sl-SI"/>
        </w:rPr>
        <w:t>izobraževanju.</w:t>
      </w:r>
      <w:r w:rsidRPr="001048FE">
        <w:rPr>
          <w:spacing w:val="-17"/>
          <w:lang w:val="sl-SI"/>
        </w:rPr>
        <w:t xml:space="preserve"> </w:t>
      </w:r>
      <w:r w:rsidRPr="001048FE">
        <w:rPr>
          <w:lang w:val="sl-SI"/>
        </w:rPr>
        <w:t>Pred</w:t>
      </w:r>
      <w:r w:rsidRPr="001048FE">
        <w:rPr>
          <w:spacing w:val="-17"/>
          <w:lang w:val="sl-SI"/>
        </w:rPr>
        <w:t xml:space="preserve"> </w:t>
      </w:r>
      <w:r w:rsidRPr="001048FE">
        <w:rPr>
          <w:lang w:val="sl-SI"/>
        </w:rPr>
        <w:t>odhodom</w:t>
      </w:r>
      <w:r w:rsidRPr="001048FE">
        <w:rPr>
          <w:spacing w:val="-16"/>
          <w:lang w:val="sl-SI"/>
        </w:rPr>
        <w:t xml:space="preserve"> </w:t>
      </w:r>
      <w:r w:rsidRPr="001048FE">
        <w:rPr>
          <w:lang w:val="sl-SI"/>
        </w:rPr>
        <w:t>se</w:t>
      </w:r>
      <w:r w:rsidRPr="001048FE">
        <w:rPr>
          <w:spacing w:val="-17"/>
          <w:lang w:val="sl-SI"/>
        </w:rPr>
        <w:t xml:space="preserve"> </w:t>
      </w:r>
      <w:r w:rsidRPr="001048FE">
        <w:rPr>
          <w:lang w:val="sl-SI"/>
        </w:rPr>
        <w:t>morajo</w:t>
      </w:r>
      <w:r w:rsidRPr="001048FE">
        <w:rPr>
          <w:spacing w:val="-17"/>
          <w:lang w:val="sl-SI"/>
        </w:rPr>
        <w:t xml:space="preserve"> </w:t>
      </w:r>
      <w:r w:rsidRPr="001048FE">
        <w:rPr>
          <w:lang w:val="sl-SI"/>
        </w:rPr>
        <w:t>dogovoriti</w:t>
      </w:r>
      <w:r w:rsidRPr="001048FE">
        <w:rPr>
          <w:spacing w:val="-17"/>
          <w:lang w:val="sl-SI"/>
        </w:rPr>
        <w:t xml:space="preserve"> </w:t>
      </w:r>
      <w:r w:rsidRPr="001048FE">
        <w:rPr>
          <w:lang w:val="sl-SI"/>
        </w:rPr>
        <w:t>o</w:t>
      </w:r>
      <w:r w:rsidRPr="001048FE">
        <w:rPr>
          <w:spacing w:val="-16"/>
          <w:lang w:val="sl-SI"/>
        </w:rPr>
        <w:t xml:space="preserve"> </w:t>
      </w:r>
      <w:r w:rsidRPr="001048FE">
        <w:rPr>
          <w:lang w:val="sl-SI"/>
        </w:rPr>
        <w:t>programu mobilnosti z institucijami/podjetji</w:t>
      </w:r>
      <w:r w:rsidRPr="001048FE">
        <w:rPr>
          <w:spacing w:val="-20"/>
          <w:lang w:val="sl-SI"/>
        </w:rPr>
        <w:t xml:space="preserve"> </w:t>
      </w:r>
      <w:r w:rsidRPr="001048FE">
        <w:rPr>
          <w:lang w:val="sl-SI"/>
        </w:rPr>
        <w:t>pošiljatelji/gostitelji.</w:t>
      </w:r>
    </w:p>
    <w:p w14:paraId="7D39A803" w14:textId="77777777" w:rsidR="00E03711" w:rsidRPr="001048FE" w:rsidRDefault="00E03711" w:rsidP="00D4772F">
      <w:pPr>
        <w:pStyle w:val="GUIDE-NORMAL"/>
        <w:rPr>
          <w:lang w:val="sl-SI"/>
        </w:rPr>
      </w:pPr>
      <w:r w:rsidRPr="001048FE">
        <w:rPr>
          <w:lang w:val="sl-SI"/>
        </w:rPr>
        <w:t>Izbor učiteljev in osebja visokošolske institucije izvede visokošolska institucija. Postopek izbora in dodelitve nepovratnih sredstev mora biti pravičen, pregleden, dosleden in dokumentiran, dostop do njega pa mora biti na voljo za vse strani, vključene v postopek izbora. Merila za izbor (na primer prednostna obravnava osebja, ki gre v prvič tujino, omejitev števila aktivnosti mobilnosti na člana osebja v določenem časovnem obdobju itd.) bodo javno objavljena.</w:t>
      </w:r>
    </w:p>
    <w:p w14:paraId="7D39A804" w14:textId="77777777" w:rsidR="00E03711" w:rsidRPr="001048FE" w:rsidRDefault="00E03711" w:rsidP="00D4772F">
      <w:pPr>
        <w:pStyle w:val="GUIDE-NORMAL"/>
        <w:rPr>
          <w:lang w:val="sl-SI"/>
        </w:rPr>
      </w:pPr>
      <w:r w:rsidRPr="001048FE">
        <w:rPr>
          <w:lang w:val="sl-SI"/>
        </w:rPr>
        <w:t>Visokošolska institucija sprejme vse potrebne ukrepe, da prepreči kakršno koli navzkrižje interesov v zvezi z osebami, ki lahko sodelujejo v organih za izbor ali postopku za izbor posameznih upravičencev.</w:t>
      </w:r>
    </w:p>
    <w:p w14:paraId="7D39A805" w14:textId="77777777" w:rsidR="00E03711" w:rsidRPr="001048FE" w:rsidRDefault="00E03711" w:rsidP="00D4772F">
      <w:pPr>
        <w:pStyle w:val="GUIDE-NORMAL"/>
        <w:rPr>
          <w:lang w:val="sl-SI"/>
        </w:rPr>
      </w:pPr>
      <w:r w:rsidRPr="001048FE">
        <w:rPr>
          <w:lang w:val="sl-SI"/>
        </w:rPr>
        <w:t>V primeru mobilnosti osebja iz podjetja na visokošolsko institucijo institucija pošlje vabilo članu osebja podjetja; nepovratna sredstva upravlja visokošolska institucija gostiteljica ali, v primeru mobilnosti med državo Programa in partnersko državo, upravičenec.</w:t>
      </w:r>
    </w:p>
    <w:p w14:paraId="7D39A806" w14:textId="77777777" w:rsidR="00E03711" w:rsidRPr="001048FE" w:rsidRDefault="00E03711" w:rsidP="007F239A">
      <w:pPr>
        <w:pStyle w:val="Guide-Heading5"/>
        <w:rPr>
          <w:lang w:val="sl-SI"/>
        </w:rPr>
      </w:pPr>
      <w:r w:rsidRPr="001048FE">
        <w:rPr>
          <w:lang w:val="sl-SI"/>
        </w:rPr>
        <w:t>Sporazum o mobilnosti</w:t>
      </w:r>
    </w:p>
    <w:p w14:paraId="7D39A807" w14:textId="77777777" w:rsidR="00E03711" w:rsidRPr="001048FE" w:rsidRDefault="00E03711" w:rsidP="00D4772F">
      <w:pPr>
        <w:pStyle w:val="GUIDE-NORMAL"/>
        <w:rPr>
          <w:lang w:val="sl-SI"/>
        </w:rPr>
      </w:pPr>
      <w:r w:rsidRPr="001048FE">
        <w:rPr>
          <w:lang w:val="sl-SI"/>
        </w:rPr>
        <w:t>Izbor osebja visokošolske institucije bo opravila institucija pošiljateljica na podlagi osnutka programa mobilnosti, ki ga bo predložil član osebja po posvetovanju z institucijo/podjetjem gostiteljem. Pred odhodom se obe strani, institucija/podjetje pošiljatelj in institucija/podjetje gostitelj, uradno dogovorita o končnem programu mobilnosti (z izmenjavo pisem ali elektronskih sporočil).</w:t>
      </w:r>
    </w:p>
    <w:p w14:paraId="7D39A808" w14:textId="77777777" w:rsidR="00E03711" w:rsidRPr="001048FE" w:rsidRDefault="00E03711" w:rsidP="00D4772F">
      <w:pPr>
        <w:pStyle w:val="GUIDE-NORMAL"/>
        <w:rPr>
          <w:lang w:val="sl-SI"/>
        </w:rPr>
      </w:pPr>
      <w:r w:rsidRPr="001048FE">
        <w:rPr>
          <w:lang w:val="sl-SI"/>
        </w:rPr>
        <w:t>Obe strani, institucija/podjetje pošiljatelj in institucija/podjetje gostitelj, sta odgovorni za kakovost obdobja mobilnosti v tujini.</w:t>
      </w:r>
    </w:p>
    <w:p w14:paraId="7D39A809" w14:textId="77777777" w:rsidR="00E03711" w:rsidRPr="001048FE" w:rsidRDefault="00E03711" w:rsidP="00D4772F">
      <w:pPr>
        <w:pStyle w:val="Guide-Heading5"/>
        <w:rPr>
          <w:lang w:val="sl-SI"/>
        </w:rPr>
      </w:pPr>
      <w:r w:rsidRPr="001048FE">
        <w:rPr>
          <w:lang w:val="sl-SI"/>
        </w:rPr>
        <w:t>Nepovratna sredstva za osebje</w:t>
      </w:r>
    </w:p>
    <w:p w14:paraId="7D39A80A" w14:textId="77777777" w:rsidR="00E03711" w:rsidRPr="001048FE" w:rsidRDefault="00E03711" w:rsidP="00D4772F">
      <w:pPr>
        <w:pStyle w:val="GUIDE-NORMAL"/>
        <w:rPr>
          <w:lang w:val="sl-SI"/>
        </w:rPr>
      </w:pPr>
      <w:r w:rsidRPr="001048FE">
        <w:rPr>
          <w:lang w:val="sl-SI"/>
        </w:rPr>
        <w:t>Finančna pravila za obe vrsti mobilnosti osebja so enaka. Nepovratna sredstva so prispevek za potne stroške in stroške bivanja v obdobju poučevanja ali usposabljanja v tujini (glej poglavje „Pravila za dodelitev sredstev“ v delu B tega vodnika).</w:t>
      </w:r>
    </w:p>
    <w:p w14:paraId="7D39A80B" w14:textId="77777777" w:rsidR="00E03711" w:rsidRPr="001048FE" w:rsidRDefault="00E03711" w:rsidP="00D4772F">
      <w:pPr>
        <w:pStyle w:val="GUIDE-NORMAL"/>
        <w:rPr>
          <w:lang w:val="sl-SI"/>
        </w:rPr>
      </w:pPr>
      <w:r w:rsidRPr="001048FE">
        <w:rPr>
          <w:lang w:val="sl-SI"/>
        </w:rPr>
        <w:t>Dovoljena je mobilnost visokošolskega osebja z ničelnimi nepovratnimi sredstvi iz sredstev EU.</w:t>
      </w:r>
    </w:p>
    <w:p w14:paraId="7D39A80C" w14:textId="77777777" w:rsidR="00E03711" w:rsidRDefault="00E03711" w:rsidP="004E0501">
      <w:pPr>
        <w:pStyle w:val="Guide-AnnexHeading3"/>
        <w:numPr>
          <w:ilvl w:val="0"/>
          <w:numId w:val="0"/>
        </w:numPr>
        <w:ind w:left="360" w:hanging="360"/>
        <w:rPr>
          <w:lang w:val="sl-SI"/>
        </w:rPr>
      </w:pPr>
      <w:bookmarkStart w:id="560" w:name="_Toc524425606"/>
      <w:bookmarkStart w:id="561" w:name="_Toc526422844"/>
      <w:bookmarkStart w:id="562" w:name="_Toc527400962"/>
      <w:bookmarkStart w:id="563" w:name="_Toc527401273"/>
      <w:r w:rsidRPr="004E0501">
        <w:rPr>
          <w:lang w:val="sl-SI"/>
        </w:rPr>
        <w:t>2.</w:t>
      </w:r>
      <w:r>
        <w:rPr>
          <w:lang w:val="sl-SI"/>
        </w:rPr>
        <w:t xml:space="preserve"> </w:t>
      </w:r>
      <w:r w:rsidRPr="001048FE">
        <w:rPr>
          <w:lang w:val="sl-SI"/>
        </w:rPr>
        <w:t>Med mobilnostjo</w:t>
      </w:r>
      <w:bookmarkEnd w:id="560"/>
      <w:bookmarkEnd w:id="561"/>
      <w:bookmarkEnd w:id="562"/>
      <w:bookmarkEnd w:id="563"/>
    </w:p>
    <w:p w14:paraId="7D39A80D" w14:textId="77777777" w:rsidR="00E03711" w:rsidRPr="001048FE" w:rsidRDefault="00E03711" w:rsidP="00D4772F">
      <w:pPr>
        <w:pStyle w:val="Guide-Heading4"/>
        <w:rPr>
          <w:lang w:val="sl-SI"/>
        </w:rPr>
      </w:pPr>
      <w:bookmarkStart w:id="564" w:name="_Toc527401274"/>
      <w:r w:rsidRPr="001048FE">
        <w:rPr>
          <w:lang w:val="sl-SI"/>
        </w:rPr>
        <w:t>Prekinitev mobilnosti študenta</w:t>
      </w:r>
      <w:bookmarkEnd w:id="564"/>
    </w:p>
    <w:p w14:paraId="7D39A80E" w14:textId="77777777" w:rsidR="00E03711" w:rsidRPr="001048FE" w:rsidRDefault="00E03711" w:rsidP="00D4772F">
      <w:pPr>
        <w:pStyle w:val="GUIDE-NORMAL"/>
        <w:rPr>
          <w:lang w:val="sl-SI"/>
        </w:rPr>
      </w:pPr>
      <w:r w:rsidRPr="001048FE">
        <w:rPr>
          <w:lang w:val="sl-SI"/>
        </w:rPr>
        <w:t>Kadar se obdobje mobilnosti študenta prekine, na primer zaradi vrzeli med koncem jezikovnega tečaja</w:t>
      </w:r>
      <w:r w:rsidRPr="001048FE">
        <w:rPr>
          <w:spacing w:val="-16"/>
          <w:lang w:val="sl-SI"/>
        </w:rPr>
        <w:t xml:space="preserve"> </w:t>
      </w:r>
      <w:r w:rsidRPr="001048FE">
        <w:rPr>
          <w:lang w:val="sl-SI"/>
        </w:rPr>
        <w:t>in</w:t>
      </w:r>
      <w:r w:rsidRPr="001048FE">
        <w:rPr>
          <w:spacing w:val="-16"/>
          <w:lang w:val="sl-SI"/>
        </w:rPr>
        <w:t xml:space="preserve"> </w:t>
      </w:r>
      <w:r w:rsidRPr="001048FE">
        <w:rPr>
          <w:lang w:val="sl-SI"/>
        </w:rPr>
        <w:t>začetkom</w:t>
      </w:r>
      <w:r w:rsidRPr="001048FE">
        <w:rPr>
          <w:spacing w:val="-16"/>
          <w:lang w:val="sl-SI"/>
        </w:rPr>
        <w:t xml:space="preserve"> </w:t>
      </w:r>
      <w:r w:rsidRPr="001048FE">
        <w:rPr>
          <w:lang w:val="sl-SI"/>
        </w:rPr>
        <w:t>dejanskega</w:t>
      </w:r>
      <w:r w:rsidRPr="001048FE">
        <w:rPr>
          <w:spacing w:val="-16"/>
          <w:lang w:val="sl-SI"/>
        </w:rPr>
        <w:t xml:space="preserve"> </w:t>
      </w:r>
      <w:r w:rsidRPr="001048FE">
        <w:rPr>
          <w:lang w:val="sl-SI"/>
        </w:rPr>
        <w:t>študija/prakse,</w:t>
      </w:r>
      <w:r w:rsidRPr="001048FE">
        <w:rPr>
          <w:spacing w:val="-16"/>
          <w:lang w:val="sl-SI"/>
        </w:rPr>
        <w:t xml:space="preserve"> </w:t>
      </w:r>
      <w:r w:rsidRPr="001048FE">
        <w:rPr>
          <w:lang w:val="sl-SI"/>
        </w:rPr>
        <w:t>se</w:t>
      </w:r>
      <w:r w:rsidRPr="001048FE">
        <w:rPr>
          <w:spacing w:val="-16"/>
          <w:lang w:val="sl-SI"/>
        </w:rPr>
        <w:t xml:space="preserve"> </w:t>
      </w:r>
      <w:r w:rsidRPr="001048FE">
        <w:rPr>
          <w:lang w:val="sl-SI"/>
        </w:rPr>
        <w:t>število</w:t>
      </w:r>
      <w:r w:rsidRPr="001048FE">
        <w:rPr>
          <w:spacing w:val="-16"/>
          <w:lang w:val="sl-SI"/>
        </w:rPr>
        <w:t xml:space="preserve"> </w:t>
      </w:r>
      <w:r w:rsidRPr="001048FE">
        <w:rPr>
          <w:lang w:val="sl-SI"/>
        </w:rPr>
        <w:t>dni</w:t>
      </w:r>
      <w:r w:rsidRPr="001048FE">
        <w:rPr>
          <w:spacing w:val="-16"/>
          <w:lang w:val="sl-SI"/>
        </w:rPr>
        <w:t xml:space="preserve"> </w:t>
      </w:r>
      <w:r w:rsidRPr="001048FE">
        <w:rPr>
          <w:lang w:val="sl-SI"/>
        </w:rPr>
        <w:t>prekinitve</w:t>
      </w:r>
      <w:r w:rsidRPr="001048FE">
        <w:rPr>
          <w:spacing w:val="-16"/>
          <w:lang w:val="sl-SI"/>
        </w:rPr>
        <w:t xml:space="preserve"> </w:t>
      </w:r>
      <w:r w:rsidRPr="001048FE">
        <w:rPr>
          <w:lang w:val="sl-SI"/>
        </w:rPr>
        <w:t>vnese</w:t>
      </w:r>
      <w:r w:rsidRPr="001048FE">
        <w:rPr>
          <w:spacing w:val="-16"/>
          <w:lang w:val="sl-SI"/>
        </w:rPr>
        <w:t xml:space="preserve"> </w:t>
      </w:r>
      <w:r w:rsidRPr="001048FE">
        <w:rPr>
          <w:lang w:val="sl-SI"/>
        </w:rPr>
        <w:t>v</w:t>
      </w:r>
      <w:r w:rsidRPr="001048FE">
        <w:rPr>
          <w:spacing w:val="-16"/>
          <w:lang w:val="sl-SI"/>
        </w:rPr>
        <w:t xml:space="preserve"> </w:t>
      </w:r>
      <w:r w:rsidRPr="001048FE">
        <w:rPr>
          <w:lang w:val="sl-SI"/>
        </w:rPr>
        <w:t>orodje</w:t>
      </w:r>
      <w:r w:rsidRPr="001048FE">
        <w:rPr>
          <w:spacing w:val="-15"/>
          <w:lang w:val="sl-SI"/>
        </w:rPr>
        <w:t xml:space="preserve"> </w:t>
      </w:r>
      <w:r w:rsidRPr="001048FE">
        <w:rPr>
          <w:lang w:val="sl-SI"/>
        </w:rPr>
        <w:t>za</w:t>
      </w:r>
      <w:r w:rsidRPr="001048FE">
        <w:rPr>
          <w:spacing w:val="-16"/>
          <w:lang w:val="sl-SI"/>
        </w:rPr>
        <w:t xml:space="preserve"> </w:t>
      </w:r>
      <w:r w:rsidRPr="001048FE">
        <w:rPr>
          <w:lang w:val="sl-SI"/>
        </w:rPr>
        <w:t>mobilnost (Mobility Tool+) v obliki šifre in znesek nepovratnih sredstev se ustrezno</w:t>
      </w:r>
      <w:r w:rsidRPr="001048FE">
        <w:rPr>
          <w:spacing w:val="-20"/>
          <w:lang w:val="sl-SI"/>
        </w:rPr>
        <w:t xml:space="preserve"> </w:t>
      </w:r>
      <w:r w:rsidRPr="001048FE">
        <w:rPr>
          <w:lang w:val="sl-SI"/>
        </w:rPr>
        <w:t>prilagodi.</w:t>
      </w:r>
    </w:p>
    <w:p w14:paraId="7D39A80F" w14:textId="77777777" w:rsidR="00E03711" w:rsidRPr="001048FE" w:rsidRDefault="00E03711" w:rsidP="00D4772F">
      <w:pPr>
        <w:pStyle w:val="GUIDE-NORMAL"/>
        <w:rPr>
          <w:lang w:val="sl-SI"/>
        </w:rPr>
      </w:pPr>
      <w:r w:rsidRPr="001048FE">
        <w:rPr>
          <w:lang w:val="sl-SI"/>
        </w:rPr>
        <w:t>V primeru praks med državami Programa se lahko obdobje mobilnosti v tujini prekine zaradi dopustov v podjetju, če je podjetje v tem obdobju zaprto. Nepovratna sredstva se v tem obdobju ohranijo. Obdobje zaprtja se ne šteje v okviru najmanjšega trajanja obdobja prakse, ampak traja največ 12 mesecev na posamezno stopnjo študija, za katero lahko isti študent prejme nepovratna sredstva za obdobja mobilnosti.</w:t>
      </w:r>
    </w:p>
    <w:p w14:paraId="7D39A810" w14:textId="77777777" w:rsidR="00E03711" w:rsidRDefault="00E03711" w:rsidP="00B01685">
      <w:pPr>
        <w:pStyle w:val="Guide-Heading4"/>
        <w:rPr>
          <w:lang w:val="sl-SI"/>
        </w:rPr>
        <w:sectPr w:rsidR="00E03711" w:rsidSect="007F4890">
          <w:endnotePr>
            <w:numFmt w:val="decimal"/>
          </w:endnotePr>
          <w:pgSz w:w="11910" w:h="16840" w:code="9"/>
          <w:pgMar w:top="1134" w:right="1418" w:bottom="1134" w:left="1418" w:header="283" w:footer="567" w:gutter="0"/>
          <w:cols w:space="720"/>
          <w:docGrid w:linePitch="326"/>
        </w:sectPr>
      </w:pPr>
    </w:p>
    <w:p w14:paraId="7D39A811" w14:textId="77777777" w:rsidR="00E03711" w:rsidRPr="001048FE" w:rsidRDefault="00E03711" w:rsidP="00B01685">
      <w:pPr>
        <w:pStyle w:val="Guide-Heading4"/>
        <w:rPr>
          <w:lang w:val="sl-SI"/>
        </w:rPr>
      </w:pPr>
      <w:bookmarkStart w:id="565" w:name="_Toc527401275"/>
      <w:r w:rsidRPr="001048FE">
        <w:rPr>
          <w:lang w:val="sl-SI"/>
        </w:rPr>
        <w:t>Podaljšanje mobilnosti</w:t>
      </w:r>
      <w:r w:rsidRPr="001048FE">
        <w:rPr>
          <w:spacing w:val="-56"/>
          <w:lang w:val="sl-SI"/>
        </w:rPr>
        <w:t xml:space="preserve"> </w:t>
      </w:r>
      <w:r w:rsidRPr="001048FE">
        <w:rPr>
          <w:lang w:val="sl-SI"/>
        </w:rPr>
        <w:t>študenta</w:t>
      </w:r>
      <w:bookmarkEnd w:id="565"/>
    </w:p>
    <w:p w14:paraId="7D39A812" w14:textId="77777777" w:rsidR="00E03711" w:rsidRPr="001048FE" w:rsidRDefault="00E03711" w:rsidP="00B01685">
      <w:pPr>
        <w:pStyle w:val="GUIDE-NORMAL"/>
        <w:rPr>
          <w:lang w:val="sl-SI"/>
        </w:rPr>
      </w:pPr>
      <w:r w:rsidRPr="001048FE">
        <w:rPr>
          <w:lang w:val="sl-SI"/>
        </w:rPr>
        <w:t>Organizaciji pošiljateljica in gostiteljica se lahko dogovorita za podaljšanje obdobja mobilnosti, ki se izvaja, če sta izpolnjena naslednja pogoja:</w:t>
      </w:r>
    </w:p>
    <w:p w14:paraId="7D39A813" w14:textId="77777777" w:rsidR="00E03711" w:rsidRPr="001048FE" w:rsidRDefault="00E03711" w:rsidP="005115F2">
      <w:pPr>
        <w:pStyle w:val="Guide-NormalBulletpoints"/>
        <w:numPr>
          <w:ilvl w:val="0"/>
          <w:numId w:val="423"/>
        </w:numPr>
        <w:rPr>
          <w:lang w:val="sl-SI"/>
        </w:rPr>
      </w:pPr>
      <w:r w:rsidRPr="001048FE">
        <w:rPr>
          <w:lang w:val="sl-SI"/>
        </w:rPr>
        <w:t>zahtevek</w:t>
      </w:r>
      <w:r w:rsidRPr="001048FE">
        <w:rPr>
          <w:spacing w:val="-20"/>
          <w:lang w:val="sl-SI"/>
        </w:rPr>
        <w:t xml:space="preserve"> </w:t>
      </w:r>
      <w:r w:rsidRPr="001048FE">
        <w:rPr>
          <w:lang w:val="sl-SI"/>
        </w:rPr>
        <w:t>za</w:t>
      </w:r>
      <w:r w:rsidRPr="001048FE">
        <w:rPr>
          <w:spacing w:val="-20"/>
          <w:lang w:val="sl-SI"/>
        </w:rPr>
        <w:t xml:space="preserve"> </w:t>
      </w:r>
      <w:r w:rsidRPr="001048FE">
        <w:rPr>
          <w:lang w:val="sl-SI"/>
        </w:rPr>
        <w:t>podaljšanje</w:t>
      </w:r>
      <w:r w:rsidRPr="001048FE">
        <w:rPr>
          <w:spacing w:val="-20"/>
          <w:lang w:val="sl-SI"/>
        </w:rPr>
        <w:t xml:space="preserve"> </w:t>
      </w:r>
      <w:r w:rsidRPr="001048FE">
        <w:rPr>
          <w:lang w:val="sl-SI"/>
        </w:rPr>
        <w:t>obdobja</w:t>
      </w:r>
      <w:r w:rsidRPr="001048FE">
        <w:rPr>
          <w:spacing w:val="-20"/>
          <w:lang w:val="sl-SI"/>
        </w:rPr>
        <w:t xml:space="preserve"> </w:t>
      </w:r>
      <w:r w:rsidRPr="001048FE">
        <w:rPr>
          <w:lang w:val="sl-SI"/>
        </w:rPr>
        <w:t>mobilnosti</w:t>
      </w:r>
      <w:r w:rsidRPr="001048FE">
        <w:rPr>
          <w:spacing w:val="-20"/>
          <w:lang w:val="sl-SI"/>
        </w:rPr>
        <w:t xml:space="preserve"> </w:t>
      </w:r>
      <w:r w:rsidRPr="001048FE">
        <w:rPr>
          <w:lang w:val="sl-SI"/>
        </w:rPr>
        <w:t>je</w:t>
      </w:r>
      <w:r w:rsidRPr="001048FE">
        <w:rPr>
          <w:spacing w:val="-20"/>
          <w:lang w:val="sl-SI"/>
        </w:rPr>
        <w:t xml:space="preserve"> </w:t>
      </w:r>
      <w:r w:rsidRPr="001048FE">
        <w:rPr>
          <w:lang w:val="sl-SI"/>
        </w:rPr>
        <w:t>treba</w:t>
      </w:r>
      <w:r w:rsidRPr="001048FE">
        <w:rPr>
          <w:spacing w:val="-20"/>
          <w:lang w:val="sl-SI"/>
        </w:rPr>
        <w:t xml:space="preserve"> </w:t>
      </w:r>
      <w:r w:rsidRPr="001048FE">
        <w:rPr>
          <w:lang w:val="sl-SI"/>
        </w:rPr>
        <w:t>oddati</w:t>
      </w:r>
      <w:r w:rsidRPr="001048FE">
        <w:rPr>
          <w:spacing w:val="-20"/>
          <w:lang w:val="sl-SI"/>
        </w:rPr>
        <w:t xml:space="preserve"> </w:t>
      </w:r>
      <w:r w:rsidRPr="001048FE">
        <w:rPr>
          <w:lang w:val="sl-SI"/>
        </w:rPr>
        <w:t>najpozneje</w:t>
      </w:r>
      <w:r w:rsidRPr="001048FE">
        <w:rPr>
          <w:spacing w:val="-20"/>
          <w:lang w:val="sl-SI"/>
        </w:rPr>
        <w:t xml:space="preserve"> </w:t>
      </w:r>
      <w:r w:rsidRPr="001048FE">
        <w:rPr>
          <w:lang w:val="sl-SI"/>
        </w:rPr>
        <w:t>en</w:t>
      </w:r>
      <w:r w:rsidRPr="001048FE">
        <w:rPr>
          <w:spacing w:val="-20"/>
          <w:lang w:val="sl-SI"/>
        </w:rPr>
        <w:t xml:space="preserve"> </w:t>
      </w:r>
      <w:r w:rsidRPr="001048FE">
        <w:rPr>
          <w:lang w:val="sl-SI"/>
        </w:rPr>
        <w:t>mesec</w:t>
      </w:r>
      <w:r w:rsidRPr="001048FE">
        <w:rPr>
          <w:spacing w:val="-20"/>
          <w:lang w:val="sl-SI"/>
        </w:rPr>
        <w:t xml:space="preserve"> </w:t>
      </w:r>
      <w:r w:rsidRPr="001048FE">
        <w:rPr>
          <w:lang w:val="sl-SI"/>
        </w:rPr>
        <w:t>pred</w:t>
      </w:r>
      <w:r w:rsidRPr="001048FE">
        <w:rPr>
          <w:spacing w:val="-20"/>
          <w:lang w:val="sl-SI"/>
        </w:rPr>
        <w:t xml:space="preserve"> </w:t>
      </w:r>
      <w:r w:rsidRPr="001048FE">
        <w:rPr>
          <w:lang w:val="sl-SI"/>
        </w:rPr>
        <w:t>koncem prvotno načrtovanega obdobja</w:t>
      </w:r>
      <w:r w:rsidRPr="001048FE">
        <w:rPr>
          <w:spacing w:val="-7"/>
          <w:lang w:val="sl-SI"/>
        </w:rPr>
        <w:t xml:space="preserve"> </w:t>
      </w:r>
      <w:r w:rsidRPr="001048FE">
        <w:rPr>
          <w:lang w:val="sl-SI"/>
        </w:rPr>
        <w:t>mobilnosti;</w:t>
      </w:r>
    </w:p>
    <w:p w14:paraId="7D39A814" w14:textId="77777777" w:rsidR="00E03711" w:rsidRPr="001048FE" w:rsidRDefault="00E03711" w:rsidP="005115F2">
      <w:pPr>
        <w:pStyle w:val="Guide-NormalBulletpoints"/>
        <w:numPr>
          <w:ilvl w:val="0"/>
          <w:numId w:val="423"/>
        </w:numPr>
        <w:rPr>
          <w:lang w:val="sl-SI"/>
        </w:rPr>
      </w:pPr>
      <w:r w:rsidRPr="001048FE">
        <w:rPr>
          <w:lang w:val="sl-SI"/>
        </w:rPr>
        <w:t>če</w:t>
      </w:r>
      <w:r w:rsidRPr="001048FE">
        <w:rPr>
          <w:spacing w:val="-13"/>
          <w:lang w:val="sl-SI"/>
        </w:rPr>
        <w:t xml:space="preserve"> </w:t>
      </w:r>
      <w:r w:rsidRPr="001048FE">
        <w:rPr>
          <w:lang w:val="sl-SI"/>
        </w:rPr>
        <w:t>zahtevek</w:t>
      </w:r>
      <w:r w:rsidRPr="001048FE">
        <w:rPr>
          <w:spacing w:val="-13"/>
          <w:lang w:val="sl-SI"/>
        </w:rPr>
        <w:t xml:space="preserve"> </w:t>
      </w:r>
      <w:r w:rsidRPr="001048FE">
        <w:rPr>
          <w:lang w:val="sl-SI"/>
        </w:rPr>
        <w:t>sprejmejo</w:t>
      </w:r>
      <w:r w:rsidRPr="001048FE">
        <w:rPr>
          <w:spacing w:val="-13"/>
          <w:lang w:val="sl-SI"/>
        </w:rPr>
        <w:t xml:space="preserve"> </w:t>
      </w:r>
      <w:r w:rsidRPr="001048FE">
        <w:rPr>
          <w:lang w:val="sl-SI"/>
        </w:rPr>
        <w:t>vse</w:t>
      </w:r>
      <w:r w:rsidRPr="001048FE">
        <w:rPr>
          <w:spacing w:val="-13"/>
          <w:lang w:val="sl-SI"/>
        </w:rPr>
        <w:t xml:space="preserve"> </w:t>
      </w:r>
      <w:r w:rsidRPr="001048FE">
        <w:rPr>
          <w:lang w:val="sl-SI"/>
        </w:rPr>
        <w:t>strani,</w:t>
      </w:r>
      <w:r w:rsidRPr="001048FE">
        <w:rPr>
          <w:spacing w:val="-13"/>
          <w:lang w:val="sl-SI"/>
        </w:rPr>
        <w:t xml:space="preserve"> </w:t>
      </w:r>
      <w:r w:rsidRPr="001048FE">
        <w:rPr>
          <w:lang w:val="sl-SI"/>
        </w:rPr>
        <w:t>je</w:t>
      </w:r>
      <w:r w:rsidRPr="001048FE">
        <w:rPr>
          <w:spacing w:val="-13"/>
          <w:lang w:val="sl-SI"/>
        </w:rPr>
        <w:t xml:space="preserve"> </w:t>
      </w:r>
      <w:r w:rsidRPr="001048FE">
        <w:rPr>
          <w:lang w:val="sl-SI"/>
        </w:rPr>
        <w:t>treba</w:t>
      </w:r>
      <w:r w:rsidRPr="001048FE">
        <w:rPr>
          <w:spacing w:val="-13"/>
          <w:lang w:val="sl-SI"/>
        </w:rPr>
        <w:t xml:space="preserve"> </w:t>
      </w:r>
      <w:r w:rsidRPr="001048FE">
        <w:rPr>
          <w:lang w:val="sl-SI"/>
        </w:rPr>
        <w:t>spremeniti</w:t>
      </w:r>
      <w:r w:rsidRPr="001048FE">
        <w:rPr>
          <w:spacing w:val="-13"/>
          <w:lang w:val="sl-SI"/>
        </w:rPr>
        <w:t xml:space="preserve"> </w:t>
      </w:r>
      <w:r w:rsidRPr="001048FE">
        <w:rPr>
          <w:lang w:val="sl-SI"/>
        </w:rPr>
        <w:t>sporazum</w:t>
      </w:r>
      <w:r w:rsidRPr="001048FE">
        <w:rPr>
          <w:spacing w:val="-13"/>
          <w:lang w:val="sl-SI"/>
        </w:rPr>
        <w:t xml:space="preserve"> </w:t>
      </w:r>
      <w:r w:rsidRPr="001048FE">
        <w:rPr>
          <w:lang w:val="sl-SI"/>
        </w:rPr>
        <w:t>o</w:t>
      </w:r>
      <w:r w:rsidRPr="001048FE">
        <w:rPr>
          <w:spacing w:val="-12"/>
          <w:lang w:val="sl-SI"/>
        </w:rPr>
        <w:t xml:space="preserve"> </w:t>
      </w:r>
      <w:r w:rsidRPr="001048FE">
        <w:rPr>
          <w:lang w:val="sl-SI"/>
        </w:rPr>
        <w:t>nepovratnih</w:t>
      </w:r>
      <w:r w:rsidRPr="001048FE">
        <w:rPr>
          <w:spacing w:val="-13"/>
          <w:lang w:val="sl-SI"/>
        </w:rPr>
        <w:t xml:space="preserve"> </w:t>
      </w:r>
      <w:r w:rsidRPr="001048FE">
        <w:rPr>
          <w:lang w:val="sl-SI"/>
        </w:rPr>
        <w:t>sredstvih</w:t>
      </w:r>
      <w:r w:rsidRPr="001048FE">
        <w:rPr>
          <w:spacing w:val="-13"/>
          <w:lang w:val="sl-SI"/>
        </w:rPr>
        <w:t xml:space="preserve"> </w:t>
      </w:r>
      <w:r w:rsidRPr="001048FE">
        <w:rPr>
          <w:lang w:val="sl-SI"/>
        </w:rPr>
        <w:t>in opraviti vse potrebno v zvezi s podaljšanjem trajanja</w:t>
      </w:r>
      <w:r w:rsidRPr="001048FE">
        <w:rPr>
          <w:spacing w:val="-29"/>
          <w:lang w:val="sl-SI"/>
        </w:rPr>
        <w:t xml:space="preserve"> </w:t>
      </w:r>
      <w:r w:rsidRPr="001048FE">
        <w:rPr>
          <w:lang w:val="sl-SI"/>
        </w:rPr>
        <w:t>obdobja;</w:t>
      </w:r>
    </w:p>
    <w:p w14:paraId="7D39A815" w14:textId="77777777" w:rsidR="00E03711" w:rsidRPr="001048FE" w:rsidRDefault="00E03711" w:rsidP="005115F2">
      <w:pPr>
        <w:pStyle w:val="Guide-NormalBulletpoints"/>
        <w:numPr>
          <w:ilvl w:val="0"/>
          <w:numId w:val="423"/>
        </w:numPr>
        <w:rPr>
          <w:lang w:val="sl-SI"/>
        </w:rPr>
      </w:pPr>
      <w:r w:rsidRPr="001048FE">
        <w:rPr>
          <w:lang w:val="sl-SI"/>
        </w:rPr>
        <w:t>če študent prejme nepovratna sredstva Erasmus+, lahko institucija pošiljateljica spremeni znesek</w:t>
      </w:r>
      <w:r w:rsidRPr="001048FE">
        <w:rPr>
          <w:spacing w:val="-21"/>
          <w:lang w:val="sl-SI"/>
        </w:rPr>
        <w:t xml:space="preserve"> </w:t>
      </w:r>
      <w:r w:rsidRPr="001048FE">
        <w:rPr>
          <w:lang w:val="sl-SI"/>
        </w:rPr>
        <w:t>nepovratnih</w:t>
      </w:r>
      <w:r w:rsidRPr="001048FE">
        <w:rPr>
          <w:spacing w:val="-21"/>
          <w:lang w:val="sl-SI"/>
        </w:rPr>
        <w:t xml:space="preserve"> </w:t>
      </w:r>
      <w:r w:rsidRPr="001048FE">
        <w:rPr>
          <w:lang w:val="sl-SI"/>
        </w:rPr>
        <w:t>sredstev,</w:t>
      </w:r>
      <w:r w:rsidRPr="001048FE">
        <w:rPr>
          <w:spacing w:val="-21"/>
          <w:lang w:val="sl-SI"/>
        </w:rPr>
        <w:t xml:space="preserve"> </w:t>
      </w:r>
      <w:r w:rsidRPr="001048FE">
        <w:rPr>
          <w:lang w:val="sl-SI"/>
        </w:rPr>
        <w:t>da</w:t>
      </w:r>
      <w:r w:rsidRPr="001048FE">
        <w:rPr>
          <w:spacing w:val="-21"/>
          <w:lang w:val="sl-SI"/>
        </w:rPr>
        <w:t xml:space="preserve"> </w:t>
      </w:r>
      <w:r w:rsidRPr="001048FE">
        <w:rPr>
          <w:lang w:val="sl-SI"/>
        </w:rPr>
        <w:t>upošteva</w:t>
      </w:r>
      <w:r w:rsidRPr="001048FE">
        <w:rPr>
          <w:spacing w:val="-21"/>
          <w:lang w:val="sl-SI"/>
        </w:rPr>
        <w:t xml:space="preserve"> </w:t>
      </w:r>
      <w:r w:rsidRPr="001048FE">
        <w:rPr>
          <w:lang w:val="sl-SI"/>
        </w:rPr>
        <w:t>daljše</w:t>
      </w:r>
      <w:r w:rsidRPr="001048FE">
        <w:rPr>
          <w:spacing w:val="-21"/>
          <w:lang w:val="sl-SI"/>
        </w:rPr>
        <w:t xml:space="preserve"> </w:t>
      </w:r>
      <w:r w:rsidRPr="001048FE">
        <w:rPr>
          <w:lang w:val="sl-SI"/>
        </w:rPr>
        <w:t>trajanje,</w:t>
      </w:r>
      <w:r w:rsidRPr="001048FE">
        <w:rPr>
          <w:spacing w:val="-21"/>
          <w:lang w:val="sl-SI"/>
        </w:rPr>
        <w:t xml:space="preserve"> </w:t>
      </w:r>
      <w:r w:rsidRPr="001048FE">
        <w:rPr>
          <w:lang w:val="sl-SI"/>
        </w:rPr>
        <w:t>ali</w:t>
      </w:r>
      <w:r w:rsidRPr="001048FE">
        <w:rPr>
          <w:spacing w:val="-21"/>
          <w:lang w:val="sl-SI"/>
        </w:rPr>
        <w:t xml:space="preserve"> </w:t>
      </w:r>
      <w:r w:rsidRPr="001048FE">
        <w:rPr>
          <w:lang w:val="sl-SI"/>
        </w:rPr>
        <w:t>sklene</w:t>
      </w:r>
      <w:r w:rsidRPr="001048FE">
        <w:rPr>
          <w:spacing w:val="-21"/>
          <w:lang w:val="sl-SI"/>
        </w:rPr>
        <w:t xml:space="preserve"> </w:t>
      </w:r>
      <w:r w:rsidRPr="001048FE">
        <w:rPr>
          <w:lang w:val="sl-SI"/>
        </w:rPr>
        <w:t>sporazum</w:t>
      </w:r>
      <w:r w:rsidRPr="001048FE">
        <w:rPr>
          <w:spacing w:val="-21"/>
          <w:lang w:val="sl-SI"/>
        </w:rPr>
        <w:t xml:space="preserve"> </w:t>
      </w:r>
      <w:r w:rsidRPr="001048FE">
        <w:rPr>
          <w:lang w:val="sl-SI"/>
        </w:rPr>
        <w:t>s</w:t>
      </w:r>
      <w:r w:rsidRPr="001048FE">
        <w:rPr>
          <w:spacing w:val="-21"/>
          <w:lang w:val="sl-SI"/>
        </w:rPr>
        <w:t xml:space="preserve"> </w:t>
      </w:r>
      <w:r w:rsidRPr="001048FE">
        <w:rPr>
          <w:lang w:val="sl-SI"/>
        </w:rPr>
        <w:t>študentom,</w:t>
      </w:r>
      <w:r w:rsidRPr="001048FE">
        <w:rPr>
          <w:spacing w:val="-21"/>
          <w:lang w:val="sl-SI"/>
        </w:rPr>
        <w:t xml:space="preserve"> </w:t>
      </w:r>
      <w:r w:rsidRPr="001048FE">
        <w:rPr>
          <w:lang w:val="sl-SI"/>
        </w:rPr>
        <w:t xml:space="preserve">da se dodatni dnevi štejejo za obdobje „z ničelnimi nepovratnimi sredstvi iz sredstev EU“; </w:t>
      </w:r>
    </w:p>
    <w:p w14:paraId="7D39A816" w14:textId="77777777" w:rsidR="00E03711" w:rsidRPr="001048FE" w:rsidRDefault="00E03711" w:rsidP="005115F2">
      <w:pPr>
        <w:pStyle w:val="Guide-NormalBulletpoints"/>
        <w:numPr>
          <w:ilvl w:val="0"/>
          <w:numId w:val="423"/>
        </w:numPr>
        <w:rPr>
          <w:lang w:val="sl-SI"/>
        </w:rPr>
      </w:pPr>
      <w:r w:rsidRPr="001048FE">
        <w:rPr>
          <w:lang w:val="sl-SI"/>
        </w:rPr>
        <w:t>dejanski datumi začetka in konca obdobja mobilnosti se vključijo v prepis ocen institucije gostiteljice ali potrdilo o praksi študenta v skladu z naslednjimi opredelitvami:</w:t>
      </w:r>
      <w:r w:rsidRPr="001048FE">
        <w:rPr>
          <w:spacing w:val="-11"/>
          <w:lang w:val="sl-SI"/>
        </w:rPr>
        <w:t xml:space="preserve"> </w:t>
      </w:r>
      <w:r w:rsidRPr="001048FE">
        <w:rPr>
          <w:lang w:val="sl-SI"/>
        </w:rPr>
        <w:t>o</w:t>
      </w:r>
    </w:p>
    <w:p w14:paraId="7D39A817" w14:textId="77777777" w:rsidR="00E03711" w:rsidRPr="001048FE" w:rsidRDefault="00E03711" w:rsidP="0039023C">
      <w:pPr>
        <w:pStyle w:val="Guide-ListDash"/>
        <w:numPr>
          <w:ilvl w:val="1"/>
          <w:numId w:val="52"/>
        </w:numPr>
        <w:rPr>
          <w:lang w:val="sl-SI"/>
        </w:rPr>
      </w:pPr>
      <w:r w:rsidRPr="001048FE">
        <w:rPr>
          <w:lang w:val="sl-SI"/>
        </w:rPr>
        <w:t>datum začetka mora biti prvi dan, ko se mora študent zglasiti v organizaciji gostiteljici (to</w:t>
      </w:r>
      <w:r w:rsidRPr="001048FE">
        <w:rPr>
          <w:spacing w:val="-16"/>
          <w:lang w:val="sl-SI"/>
        </w:rPr>
        <w:t xml:space="preserve"> </w:t>
      </w:r>
      <w:r w:rsidRPr="001048FE">
        <w:rPr>
          <w:lang w:val="sl-SI"/>
        </w:rPr>
        <w:t>je</w:t>
      </w:r>
      <w:r w:rsidRPr="001048FE">
        <w:rPr>
          <w:spacing w:val="-16"/>
          <w:lang w:val="sl-SI"/>
        </w:rPr>
        <w:t xml:space="preserve"> </w:t>
      </w:r>
      <w:r w:rsidRPr="001048FE">
        <w:rPr>
          <w:lang w:val="sl-SI"/>
        </w:rPr>
        <w:t>lahko</w:t>
      </w:r>
      <w:r w:rsidRPr="001048FE">
        <w:rPr>
          <w:spacing w:val="-16"/>
          <w:lang w:val="sl-SI"/>
        </w:rPr>
        <w:t xml:space="preserve"> </w:t>
      </w:r>
      <w:r w:rsidRPr="001048FE">
        <w:rPr>
          <w:lang w:val="sl-SI"/>
        </w:rPr>
        <w:t>na</w:t>
      </w:r>
      <w:r w:rsidRPr="001048FE">
        <w:rPr>
          <w:spacing w:val="-16"/>
          <w:lang w:val="sl-SI"/>
        </w:rPr>
        <w:t xml:space="preserve"> </w:t>
      </w:r>
      <w:r w:rsidRPr="001048FE">
        <w:rPr>
          <w:lang w:val="sl-SI"/>
        </w:rPr>
        <w:t>primer</w:t>
      </w:r>
      <w:r w:rsidRPr="001048FE">
        <w:rPr>
          <w:spacing w:val="-16"/>
          <w:lang w:val="sl-SI"/>
        </w:rPr>
        <w:t xml:space="preserve"> </w:t>
      </w:r>
      <w:r w:rsidRPr="001048FE">
        <w:rPr>
          <w:lang w:val="sl-SI"/>
        </w:rPr>
        <w:t>datum</w:t>
      </w:r>
      <w:r w:rsidRPr="001048FE">
        <w:rPr>
          <w:spacing w:val="-16"/>
          <w:lang w:val="sl-SI"/>
        </w:rPr>
        <w:t xml:space="preserve"> </w:t>
      </w:r>
      <w:r w:rsidRPr="001048FE">
        <w:rPr>
          <w:lang w:val="sl-SI"/>
        </w:rPr>
        <w:t>začetka</w:t>
      </w:r>
      <w:r w:rsidRPr="001048FE">
        <w:rPr>
          <w:spacing w:val="-16"/>
          <w:lang w:val="sl-SI"/>
        </w:rPr>
        <w:t xml:space="preserve"> </w:t>
      </w:r>
      <w:r w:rsidRPr="001048FE">
        <w:rPr>
          <w:lang w:val="sl-SI"/>
        </w:rPr>
        <w:t>prvega</w:t>
      </w:r>
      <w:r w:rsidRPr="001048FE">
        <w:rPr>
          <w:spacing w:val="-16"/>
          <w:lang w:val="sl-SI"/>
        </w:rPr>
        <w:t xml:space="preserve"> </w:t>
      </w:r>
      <w:r w:rsidRPr="001048FE">
        <w:rPr>
          <w:lang w:val="sl-SI"/>
        </w:rPr>
        <w:t>tečaja/prvega</w:t>
      </w:r>
      <w:r w:rsidRPr="001048FE">
        <w:rPr>
          <w:spacing w:val="-16"/>
          <w:lang w:val="sl-SI"/>
        </w:rPr>
        <w:t xml:space="preserve"> </w:t>
      </w:r>
      <w:r w:rsidRPr="001048FE">
        <w:rPr>
          <w:lang w:val="sl-SI"/>
        </w:rPr>
        <w:t>delovnega</w:t>
      </w:r>
      <w:r w:rsidRPr="001048FE">
        <w:rPr>
          <w:spacing w:val="-16"/>
          <w:lang w:val="sl-SI"/>
        </w:rPr>
        <w:t xml:space="preserve"> </w:t>
      </w:r>
      <w:r w:rsidRPr="001048FE">
        <w:rPr>
          <w:lang w:val="sl-SI"/>
        </w:rPr>
        <w:t>dne,</w:t>
      </w:r>
      <w:r w:rsidRPr="001048FE">
        <w:rPr>
          <w:spacing w:val="-16"/>
          <w:lang w:val="sl-SI"/>
        </w:rPr>
        <w:t xml:space="preserve"> </w:t>
      </w:r>
      <w:r w:rsidRPr="001048FE">
        <w:rPr>
          <w:lang w:val="sl-SI"/>
        </w:rPr>
        <w:t>dogodka</w:t>
      </w:r>
      <w:r w:rsidRPr="001048FE">
        <w:rPr>
          <w:spacing w:val="-16"/>
          <w:lang w:val="sl-SI"/>
        </w:rPr>
        <w:t xml:space="preserve"> </w:t>
      </w:r>
      <w:r w:rsidRPr="001048FE">
        <w:rPr>
          <w:lang w:val="sl-SI"/>
        </w:rPr>
        <w:t>za dobrodošlico, ki ga organizira institucija gostiteljica, ali jezikovnega in medkulturnega tečaja);</w:t>
      </w:r>
      <w:r w:rsidRPr="001048FE">
        <w:rPr>
          <w:spacing w:val="-3"/>
          <w:lang w:val="sl-SI"/>
        </w:rPr>
        <w:t xml:space="preserve"> </w:t>
      </w:r>
      <w:r w:rsidRPr="001048FE">
        <w:rPr>
          <w:lang w:val="sl-SI"/>
        </w:rPr>
        <w:t>o</w:t>
      </w:r>
    </w:p>
    <w:p w14:paraId="7D39A818" w14:textId="77777777" w:rsidR="00E03711" w:rsidRPr="001048FE" w:rsidRDefault="00E03711" w:rsidP="0039023C">
      <w:pPr>
        <w:pStyle w:val="Guide-ListDash"/>
        <w:numPr>
          <w:ilvl w:val="1"/>
          <w:numId w:val="52"/>
        </w:numPr>
        <w:rPr>
          <w:lang w:val="sl-SI"/>
        </w:rPr>
      </w:pPr>
      <w:r w:rsidRPr="001048FE">
        <w:rPr>
          <w:lang w:val="sl-SI"/>
        </w:rPr>
        <w:t>končni datum mora biti zadnji dan, ko mora biti študent prisoten v organizaciji gostiteljici (to je lahko na primer zadnji dan obdobja preverjanja znanja/tečaja/dela/obveznega obdobja študija);</w:t>
      </w:r>
    </w:p>
    <w:p w14:paraId="7D39A819" w14:textId="77777777" w:rsidR="00E03711" w:rsidRPr="001048FE" w:rsidRDefault="00E03711" w:rsidP="005115F2">
      <w:pPr>
        <w:pStyle w:val="Guide-NormalBulletpoints"/>
        <w:numPr>
          <w:ilvl w:val="0"/>
          <w:numId w:val="423"/>
        </w:numPr>
        <w:rPr>
          <w:lang w:val="sl-SI"/>
        </w:rPr>
      </w:pPr>
      <w:r w:rsidRPr="001048FE">
        <w:rPr>
          <w:lang w:val="sl-SI"/>
        </w:rPr>
        <w:t>dejansko trajanje, opredeljeno zgoraj, je obdobje, ki ga morajo visokošolske institucije navesti v končnih poročilih, in je največje število mesecev, ki ga lahko pokrivajo nepovratna sredstva EU.</w:t>
      </w:r>
      <w:r w:rsidRPr="001048FE">
        <w:rPr>
          <w:spacing w:val="-12"/>
          <w:lang w:val="sl-SI"/>
        </w:rPr>
        <w:t xml:space="preserve"> </w:t>
      </w:r>
      <w:r w:rsidRPr="001048FE">
        <w:rPr>
          <w:lang w:val="sl-SI"/>
        </w:rPr>
        <w:t>Kadar</w:t>
      </w:r>
      <w:r w:rsidRPr="001048FE">
        <w:rPr>
          <w:spacing w:val="-12"/>
          <w:lang w:val="sl-SI"/>
        </w:rPr>
        <w:t xml:space="preserve"> </w:t>
      </w:r>
      <w:r w:rsidRPr="001048FE">
        <w:rPr>
          <w:lang w:val="sl-SI"/>
        </w:rPr>
        <w:t>se</w:t>
      </w:r>
      <w:r w:rsidRPr="001048FE">
        <w:rPr>
          <w:spacing w:val="-12"/>
          <w:lang w:val="sl-SI"/>
        </w:rPr>
        <w:t xml:space="preserve"> </w:t>
      </w:r>
      <w:r w:rsidRPr="001048FE">
        <w:rPr>
          <w:lang w:val="sl-SI"/>
        </w:rPr>
        <w:t>podaljšanje</w:t>
      </w:r>
      <w:r w:rsidRPr="001048FE">
        <w:rPr>
          <w:spacing w:val="-12"/>
          <w:lang w:val="sl-SI"/>
        </w:rPr>
        <w:t xml:space="preserve"> </w:t>
      </w:r>
      <w:r w:rsidRPr="001048FE">
        <w:rPr>
          <w:lang w:val="sl-SI"/>
        </w:rPr>
        <w:t>mobilnosti</w:t>
      </w:r>
      <w:r w:rsidRPr="001048FE">
        <w:rPr>
          <w:spacing w:val="-12"/>
          <w:lang w:val="sl-SI"/>
        </w:rPr>
        <w:t xml:space="preserve"> </w:t>
      </w:r>
      <w:r w:rsidRPr="001048FE">
        <w:rPr>
          <w:lang w:val="sl-SI"/>
        </w:rPr>
        <w:t>študenta</w:t>
      </w:r>
      <w:r w:rsidRPr="001048FE">
        <w:rPr>
          <w:spacing w:val="-12"/>
          <w:lang w:val="sl-SI"/>
        </w:rPr>
        <w:t xml:space="preserve"> </w:t>
      </w:r>
      <w:r w:rsidRPr="001048FE">
        <w:rPr>
          <w:lang w:val="sl-SI"/>
        </w:rPr>
        <w:t>šteje</w:t>
      </w:r>
      <w:r w:rsidRPr="001048FE">
        <w:rPr>
          <w:spacing w:val="-12"/>
          <w:lang w:val="sl-SI"/>
        </w:rPr>
        <w:t xml:space="preserve"> </w:t>
      </w:r>
      <w:r w:rsidRPr="001048FE">
        <w:rPr>
          <w:lang w:val="sl-SI"/>
        </w:rPr>
        <w:t>za</w:t>
      </w:r>
      <w:r w:rsidRPr="001048FE">
        <w:rPr>
          <w:spacing w:val="-12"/>
          <w:lang w:val="sl-SI"/>
        </w:rPr>
        <w:t xml:space="preserve"> </w:t>
      </w:r>
      <w:r w:rsidRPr="001048FE">
        <w:rPr>
          <w:lang w:val="sl-SI"/>
        </w:rPr>
        <w:t>dneve</w:t>
      </w:r>
      <w:r w:rsidRPr="001048FE">
        <w:rPr>
          <w:spacing w:val="-12"/>
          <w:lang w:val="sl-SI"/>
        </w:rPr>
        <w:t xml:space="preserve"> </w:t>
      </w:r>
      <w:r w:rsidRPr="001048FE">
        <w:rPr>
          <w:lang w:val="sl-SI"/>
        </w:rPr>
        <w:t>„z</w:t>
      </w:r>
      <w:r w:rsidRPr="001048FE">
        <w:rPr>
          <w:spacing w:val="-12"/>
          <w:lang w:val="sl-SI"/>
        </w:rPr>
        <w:t xml:space="preserve"> </w:t>
      </w:r>
      <w:r w:rsidRPr="001048FE">
        <w:rPr>
          <w:lang w:val="sl-SI"/>
        </w:rPr>
        <w:t>ničelnimi</w:t>
      </w:r>
      <w:r w:rsidRPr="001048FE">
        <w:rPr>
          <w:spacing w:val="-12"/>
          <w:lang w:val="sl-SI"/>
        </w:rPr>
        <w:t xml:space="preserve"> </w:t>
      </w:r>
      <w:r w:rsidRPr="001048FE">
        <w:rPr>
          <w:lang w:val="sl-SI"/>
        </w:rPr>
        <w:t>nepovratnimi</w:t>
      </w:r>
      <w:r w:rsidRPr="001048FE">
        <w:rPr>
          <w:spacing w:val="-12"/>
          <w:lang w:val="sl-SI"/>
        </w:rPr>
        <w:t xml:space="preserve"> </w:t>
      </w:r>
      <w:r w:rsidRPr="001048FE">
        <w:rPr>
          <w:lang w:val="sl-SI"/>
        </w:rPr>
        <w:t>sredstvi iz sredstev EU“, se ti dnevi odštejejo od celotnega trajanja obdobja mobilnosti za izračun končnega zneska nepovratnih</w:t>
      </w:r>
      <w:r w:rsidRPr="001048FE">
        <w:rPr>
          <w:spacing w:val="-10"/>
          <w:lang w:val="sl-SI"/>
        </w:rPr>
        <w:t xml:space="preserve"> </w:t>
      </w:r>
      <w:r w:rsidRPr="001048FE">
        <w:rPr>
          <w:lang w:val="sl-SI"/>
        </w:rPr>
        <w:t>sredstev;</w:t>
      </w:r>
    </w:p>
    <w:p w14:paraId="7D39A81A" w14:textId="77777777" w:rsidR="00E03711" w:rsidRPr="001048FE" w:rsidRDefault="00E03711" w:rsidP="005115F2">
      <w:pPr>
        <w:pStyle w:val="Guide-NormalBulletpoints"/>
        <w:numPr>
          <w:ilvl w:val="0"/>
          <w:numId w:val="423"/>
        </w:numPr>
        <w:rPr>
          <w:lang w:val="sl-SI"/>
        </w:rPr>
      </w:pPr>
      <w:r w:rsidRPr="001048FE">
        <w:rPr>
          <w:lang w:val="sl-SI"/>
        </w:rPr>
        <w:t>dodatno obdobje mora brez prekinitev slediti obdobju mobilnosti, ki se že izvaja. Med tema obdobjema</w:t>
      </w:r>
      <w:r w:rsidRPr="001048FE">
        <w:rPr>
          <w:spacing w:val="-10"/>
          <w:lang w:val="sl-SI"/>
        </w:rPr>
        <w:t xml:space="preserve"> </w:t>
      </w:r>
      <w:r w:rsidRPr="001048FE">
        <w:rPr>
          <w:lang w:val="sl-SI"/>
        </w:rPr>
        <w:t>ne</w:t>
      </w:r>
      <w:r w:rsidRPr="001048FE">
        <w:rPr>
          <w:spacing w:val="-11"/>
          <w:lang w:val="sl-SI"/>
        </w:rPr>
        <w:t xml:space="preserve"> </w:t>
      </w:r>
      <w:r w:rsidRPr="001048FE">
        <w:rPr>
          <w:lang w:val="sl-SI"/>
        </w:rPr>
        <w:t>sme</w:t>
      </w:r>
      <w:r w:rsidRPr="001048FE">
        <w:rPr>
          <w:spacing w:val="-11"/>
          <w:lang w:val="sl-SI"/>
        </w:rPr>
        <w:t xml:space="preserve"> </w:t>
      </w:r>
      <w:r w:rsidRPr="001048FE">
        <w:rPr>
          <w:lang w:val="sl-SI"/>
        </w:rPr>
        <w:t>biti</w:t>
      </w:r>
      <w:r w:rsidRPr="001048FE">
        <w:rPr>
          <w:spacing w:val="-11"/>
          <w:lang w:val="sl-SI"/>
        </w:rPr>
        <w:t xml:space="preserve"> </w:t>
      </w:r>
      <w:r w:rsidRPr="001048FE">
        <w:rPr>
          <w:lang w:val="sl-SI"/>
        </w:rPr>
        <w:t>nobenih</w:t>
      </w:r>
      <w:r w:rsidRPr="001048FE">
        <w:rPr>
          <w:spacing w:val="-11"/>
          <w:lang w:val="sl-SI"/>
        </w:rPr>
        <w:t xml:space="preserve"> </w:t>
      </w:r>
      <w:r w:rsidRPr="001048FE">
        <w:rPr>
          <w:lang w:val="sl-SI"/>
        </w:rPr>
        <w:t>premorov</w:t>
      </w:r>
      <w:r w:rsidRPr="001048FE">
        <w:rPr>
          <w:spacing w:val="-11"/>
          <w:lang w:val="sl-SI"/>
        </w:rPr>
        <w:t xml:space="preserve"> </w:t>
      </w:r>
      <w:r w:rsidRPr="001048FE">
        <w:rPr>
          <w:lang w:val="sl-SI"/>
        </w:rPr>
        <w:t>(dopusti</w:t>
      </w:r>
      <w:r w:rsidRPr="001048FE">
        <w:rPr>
          <w:spacing w:val="-11"/>
          <w:lang w:val="sl-SI"/>
        </w:rPr>
        <w:t xml:space="preserve"> </w:t>
      </w:r>
      <w:r w:rsidRPr="001048FE">
        <w:rPr>
          <w:lang w:val="sl-SI"/>
        </w:rPr>
        <w:t>in</w:t>
      </w:r>
      <w:r w:rsidRPr="001048FE">
        <w:rPr>
          <w:spacing w:val="-11"/>
          <w:lang w:val="sl-SI"/>
        </w:rPr>
        <w:t xml:space="preserve"> </w:t>
      </w:r>
      <w:r w:rsidRPr="001048FE">
        <w:rPr>
          <w:lang w:val="sl-SI"/>
        </w:rPr>
        <w:t>zaprtja</w:t>
      </w:r>
      <w:r w:rsidRPr="001048FE">
        <w:rPr>
          <w:spacing w:val="-11"/>
          <w:lang w:val="sl-SI"/>
        </w:rPr>
        <w:t xml:space="preserve"> </w:t>
      </w:r>
      <w:r w:rsidRPr="001048FE">
        <w:rPr>
          <w:lang w:val="sl-SI"/>
        </w:rPr>
        <w:t>univerze/podjetja</w:t>
      </w:r>
      <w:r w:rsidRPr="001048FE">
        <w:rPr>
          <w:spacing w:val="-11"/>
          <w:lang w:val="sl-SI"/>
        </w:rPr>
        <w:t xml:space="preserve"> </w:t>
      </w:r>
      <w:r w:rsidRPr="001048FE">
        <w:rPr>
          <w:lang w:val="sl-SI"/>
        </w:rPr>
        <w:t>se</w:t>
      </w:r>
      <w:r w:rsidRPr="001048FE">
        <w:rPr>
          <w:spacing w:val="-11"/>
          <w:lang w:val="sl-SI"/>
        </w:rPr>
        <w:t xml:space="preserve"> </w:t>
      </w:r>
      <w:r w:rsidRPr="001048FE">
        <w:rPr>
          <w:lang w:val="sl-SI"/>
        </w:rPr>
        <w:t>ne</w:t>
      </w:r>
      <w:r w:rsidRPr="001048FE">
        <w:rPr>
          <w:spacing w:val="-11"/>
          <w:lang w:val="sl-SI"/>
        </w:rPr>
        <w:t xml:space="preserve"> </w:t>
      </w:r>
      <w:r w:rsidRPr="001048FE">
        <w:rPr>
          <w:lang w:val="sl-SI"/>
        </w:rPr>
        <w:t>štejejo</w:t>
      </w:r>
      <w:r w:rsidRPr="001048FE">
        <w:rPr>
          <w:spacing w:val="-11"/>
          <w:lang w:val="sl-SI"/>
        </w:rPr>
        <w:t xml:space="preserve"> </w:t>
      </w:r>
      <w:r w:rsidRPr="001048FE">
        <w:rPr>
          <w:lang w:val="sl-SI"/>
        </w:rPr>
        <w:t>kot „premori“), razen če so ustrezno utemeljeni in jih odobri nacionalna agencija.</w:t>
      </w:r>
    </w:p>
    <w:p w14:paraId="7D39A81B" w14:textId="77777777" w:rsidR="00E03711" w:rsidRDefault="00E03711" w:rsidP="004E0501">
      <w:pPr>
        <w:pStyle w:val="Guide-AnnexHeading3"/>
        <w:numPr>
          <w:ilvl w:val="0"/>
          <w:numId w:val="0"/>
        </w:numPr>
        <w:ind w:left="360" w:hanging="360"/>
        <w:rPr>
          <w:lang w:val="sl-SI"/>
        </w:rPr>
      </w:pPr>
      <w:bookmarkStart w:id="566" w:name="_Toc524425607"/>
      <w:bookmarkStart w:id="567" w:name="_Toc526422845"/>
      <w:bookmarkStart w:id="568" w:name="_Toc527400963"/>
      <w:bookmarkStart w:id="569" w:name="_Toc527401276"/>
      <w:r w:rsidRPr="004E0501">
        <w:rPr>
          <w:lang w:val="sl-SI"/>
        </w:rPr>
        <w:t>3.</w:t>
      </w:r>
      <w:r>
        <w:rPr>
          <w:lang w:val="sl-SI"/>
        </w:rPr>
        <w:t xml:space="preserve"> </w:t>
      </w:r>
      <w:r w:rsidRPr="001048FE">
        <w:rPr>
          <w:lang w:val="sl-SI"/>
        </w:rPr>
        <w:t>Po</w:t>
      </w:r>
      <w:r w:rsidRPr="001048FE">
        <w:rPr>
          <w:spacing w:val="5"/>
          <w:lang w:val="sl-SI"/>
        </w:rPr>
        <w:t xml:space="preserve"> </w:t>
      </w:r>
      <w:r w:rsidRPr="001048FE">
        <w:rPr>
          <w:lang w:val="sl-SI"/>
        </w:rPr>
        <w:t>mobilnosti</w:t>
      </w:r>
      <w:bookmarkEnd w:id="566"/>
      <w:bookmarkEnd w:id="567"/>
      <w:bookmarkEnd w:id="568"/>
      <w:bookmarkEnd w:id="569"/>
    </w:p>
    <w:p w14:paraId="7D39A81C" w14:textId="77777777" w:rsidR="00E03711" w:rsidRPr="001048FE" w:rsidRDefault="00E03711" w:rsidP="00FB59BF">
      <w:pPr>
        <w:pStyle w:val="Guide-Heading4"/>
        <w:rPr>
          <w:lang w:val="sl-SI"/>
        </w:rPr>
      </w:pPr>
      <w:bookmarkStart w:id="570" w:name="_Toc527401277"/>
      <w:r w:rsidRPr="001048FE">
        <w:rPr>
          <w:lang w:val="sl-SI"/>
        </w:rPr>
        <w:t>A: Priznavanje učnih izidov</w:t>
      </w:r>
      <w:bookmarkEnd w:id="570"/>
    </w:p>
    <w:p w14:paraId="7D39A81D" w14:textId="77777777" w:rsidR="00E03711" w:rsidRPr="001048FE" w:rsidRDefault="00E03711" w:rsidP="00FB59BF">
      <w:pPr>
        <w:pStyle w:val="GUIDE-NORMAL"/>
        <w:rPr>
          <w:lang w:val="sl-SI"/>
        </w:rPr>
      </w:pPr>
      <w:r w:rsidRPr="001048FE">
        <w:rPr>
          <w:lang w:val="sl-SI"/>
        </w:rPr>
        <w:t>Ob koncu obdobja v tujini mora institucija/podjetje gostitelj za študenta in njegovo visokošolsko institucijo zagotoviti prepis ocen ali potrdilo o praksi („prepis dela“), ki potrjuje izide dogovorjenega programa.</w:t>
      </w:r>
    </w:p>
    <w:p w14:paraId="7D39A81E" w14:textId="77777777" w:rsidR="00E03711" w:rsidRPr="001048FE" w:rsidRDefault="00E03711" w:rsidP="00FB59BF">
      <w:pPr>
        <w:pStyle w:val="GUIDE-NORMAL"/>
        <w:rPr>
          <w:lang w:val="sl-SI"/>
        </w:rPr>
      </w:pPr>
      <w:r w:rsidRPr="001048FE">
        <w:rPr>
          <w:lang w:val="sl-SI"/>
        </w:rPr>
        <w:t>V nadaljnjem spremljanju obdobja mobilnosti institucija pošiljateljica uradno prizna kreditne točke, ki so bile dodeljene v tujini za formalno učenje novih kompetenc (z uporabo kreditnih točk ECTS ali enakovrednega sistema), po potrebi tudi za prakse, in dokumentirajo se rezultati neformalnega in priložnostnega</w:t>
      </w:r>
      <w:r w:rsidRPr="001048FE">
        <w:rPr>
          <w:spacing w:val="-10"/>
          <w:lang w:val="sl-SI"/>
        </w:rPr>
        <w:t xml:space="preserve"> </w:t>
      </w:r>
      <w:r w:rsidRPr="001048FE">
        <w:rPr>
          <w:lang w:val="sl-SI"/>
        </w:rPr>
        <w:t>učenja</w:t>
      </w:r>
      <w:r w:rsidRPr="001048FE">
        <w:rPr>
          <w:spacing w:val="-10"/>
          <w:lang w:val="sl-SI"/>
        </w:rPr>
        <w:t xml:space="preserve"> </w:t>
      </w:r>
      <w:r w:rsidRPr="001048FE">
        <w:rPr>
          <w:lang w:val="sl-SI"/>
        </w:rPr>
        <w:t>zunaj</w:t>
      </w:r>
      <w:r w:rsidRPr="001048FE">
        <w:rPr>
          <w:spacing w:val="-10"/>
          <w:lang w:val="sl-SI"/>
        </w:rPr>
        <w:t xml:space="preserve"> </w:t>
      </w:r>
      <w:r w:rsidRPr="001048FE">
        <w:rPr>
          <w:lang w:val="sl-SI"/>
        </w:rPr>
        <w:t>učilnice</w:t>
      </w:r>
      <w:r w:rsidRPr="001048FE">
        <w:rPr>
          <w:spacing w:val="-10"/>
          <w:lang w:val="sl-SI"/>
        </w:rPr>
        <w:t xml:space="preserve"> </w:t>
      </w:r>
      <w:r w:rsidRPr="001048FE">
        <w:rPr>
          <w:lang w:val="sl-SI"/>
        </w:rPr>
        <w:t>ali</w:t>
      </w:r>
      <w:r w:rsidRPr="001048FE">
        <w:rPr>
          <w:spacing w:val="-10"/>
          <w:lang w:val="sl-SI"/>
        </w:rPr>
        <w:t xml:space="preserve"> </w:t>
      </w:r>
      <w:r w:rsidRPr="001048FE">
        <w:rPr>
          <w:lang w:val="sl-SI"/>
        </w:rPr>
        <w:t>delovnega</w:t>
      </w:r>
      <w:r w:rsidRPr="001048FE">
        <w:rPr>
          <w:spacing w:val="-10"/>
          <w:lang w:val="sl-SI"/>
        </w:rPr>
        <w:t xml:space="preserve"> </w:t>
      </w:r>
      <w:r w:rsidRPr="001048FE">
        <w:rPr>
          <w:lang w:val="sl-SI"/>
        </w:rPr>
        <w:t>mesta</w:t>
      </w:r>
      <w:r w:rsidRPr="001048FE">
        <w:rPr>
          <w:spacing w:val="-10"/>
          <w:lang w:val="sl-SI"/>
        </w:rPr>
        <w:t xml:space="preserve"> </w:t>
      </w:r>
      <w:r w:rsidRPr="001048FE">
        <w:rPr>
          <w:lang w:val="sl-SI"/>
        </w:rPr>
        <w:t>(z</w:t>
      </w:r>
      <w:r w:rsidRPr="001048FE">
        <w:rPr>
          <w:spacing w:val="-10"/>
          <w:lang w:val="sl-SI"/>
        </w:rPr>
        <w:t xml:space="preserve"> </w:t>
      </w:r>
      <w:r w:rsidRPr="001048FE">
        <w:rPr>
          <w:lang w:val="sl-SI"/>
        </w:rPr>
        <w:t>uporabo</w:t>
      </w:r>
      <w:r w:rsidRPr="001048FE">
        <w:rPr>
          <w:spacing w:val="-10"/>
          <w:lang w:val="sl-SI"/>
        </w:rPr>
        <w:t xml:space="preserve"> </w:t>
      </w:r>
      <w:r w:rsidRPr="001048FE">
        <w:rPr>
          <w:lang w:val="sl-SI"/>
        </w:rPr>
        <w:t>priloge</w:t>
      </w:r>
      <w:r w:rsidRPr="001048FE">
        <w:rPr>
          <w:spacing w:val="-10"/>
          <w:lang w:val="sl-SI"/>
        </w:rPr>
        <w:t xml:space="preserve"> </w:t>
      </w:r>
      <w:r w:rsidRPr="001048FE">
        <w:rPr>
          <w:lang w:val="sl-SI"/>
        </w:rPr>
        <w:t>k</w:t>
      </w:r>
      <w:r w:rsidRPr="001048FE">
        <w:rPr>
          <w:spacing w:val="-10"/>
          <w:lang w:val="sl-SI"/>
        </w:rPr>
        <w:t xml:space="preserve"> </w:t>
      </w:r>
      <w:r w:rsidRPr="001048FE">
        <w:rPr>
          <w:lang w:val="sl-SI"/>
        </w:rPr>
        <w:t>diplomi).</w:t>
      </w:r>
      <w:r w:rsidRPr="001048FE">
        <w:rPr>
          <w:spacing w:val="-10"/>
          <w:lang w:val="sl-SI"/>
        </w:rPr>
        <w:t xml:space="preserve"> </w:t>
      </w:r>
      <w:r w:rsidRPr="001048FE">
        <w:rPr>
          <w:lang w:val="sl-SI"/>
        </w:rPr>
        <w:t>Vendar</w:t>
      </w:r>
      <w:r w:rsidRPr="001048FE">
        <w:rPr>
          <w:spacing w:val="-10"/>
          <w:lang w:val="sl-SI"/>
        </w:rPr>
        <w:t xml:space="preserve"> </w:t>
      </w:r>
      <w:r w:rsidRPr="001048FE">
        <w:rPr>
          <w:lang w:val="sl-SI"/>
        </w:rPr>
        <w:t>to</w:t>
      </w:r>
      <w:r w:rsidRPr="001048FE">
        <w:rPr>
          <w:spacing w:val="-10"/>
          <w:lang w:val="sl-SI"/>
        </w:rPr>
        <w:t xml:space="preserve"> </w:t>
      </w:r>
      <w:r w:rsidRPr="001048FE">
        <w:rPr>
          <w:lang w:val="sl-SI"/>
        </w:rPr>
        <w:t>ne velja za prakse, ki jih izvajajo novi</w:t>
      </w:r>
      <w:r w:rsidRPr="001048FE">
        <w:rPr>
          <w:spacing w:val="-15"/>
          <w:lang w:val="sl-SI"/>
        </w:rPr>
        <w:t xml:space="preserve"> </w:t>
      </w:r>
      <w:r w:rsidRPr="001048FE">
        <w:rPr>
          <w:lang w:val="sl-SI"/>
        </w:rPr>
        <w:t>diplomanti.</w:t>
      </w:r>
    </w:p>
    <w:p w14:paraId="7D39A81F" w14:textId="77777777" w:rsidR="00E03711" w:rsidRPr="001048FE" w:rsidRDefault="00E03711" w:rsidP="00FB59BF">
      <w:pPr>
        <w:pStyle w:val="GUIDE-NORMAL"/>
        <w:rPr>
          <w:lang w:val="sl-SI"/>
        </w:rPr>
        <w:sectPr w:rsidR="00E03711" w:rsidRPr="001048FE" w:rsidSect="007F4890">
          <w:endnotePr>
            <w:numFmt w:val="decimal"/>
          </w:endnotePr>
          <w:pgSz w:w="11910" w:h="16840" w:code="9"/>
          <w:pgMar w:top="1134" w:right="1418" w:bottom="1134" w:left="1418" w:header="283" w:footer="567" w:gutter="0"/>
          <w:cols w:space="720"/>
          <w:docGrid w:linePitch="326"/>
        </w:sectPr>
      </w:pPr>
    </w:p>
    <w:p w14:paraId="7D39A820" w14:textId="77777777" w:rsidR="00E03711" w:rsidRPr="001048FE" w:rsidRDefault="00E03711" w:rsidP="00FB59BF">
      <w:pPr>
        <w:pStyle w:val="GUIDE-NORMAL"/>
        <w:rPr>
          <w:lang w:val="sl-SI"/>
        </w:rPr>
      </w:pPr>
      <w:r w:rsidRPr="001048FE">
        <w:rPr>
          <w:lang w:val="sl-SI"/>
        </w:rPr>
        <w:t>O</w:t>
      </w:r>
      <w:r w:rsidRPr="001048FE">
        <w:rPr>
          <w:spacing w:val="-12"/>
          <w:lang w:val="sl-SI"/>
        </w:rPr>
        <w:t xml:space="preserve"> </w:t>
      </w:r>
      <w:r w:rsidRPr="001048FE">
        <w:rPr>
          <w:lang w:val="sl-SI"/>
        </w:rPr>
        <w:t>rezultatih</w:t>
      </w:r>
      <w:r w:rsidRPr="001048FE">
        <w:rPr>
          <w:spacing w:val="-12"/>
          <w:lang w:val="sl-SI"/>
        </w:rPr>
        <w:t xml:space="preserve"> </w:t>
      </w:r>
      <w:r w:rsidRPr="001048FE">
        <w:rPr>
          <w:lang w:val="sl-SI"/>
        </w:rPr>
        <w:t>ocene</w:t>
      </w:r>
      <w:r w:rsidRPr="001048FE">
        <w:rPr>
          <w:spacing w:val="-12"/>
          <w:lang w:val="sl-SI"/>
        </w:rPr>
        <w:t xml:space="preserve"> </w:t>
      </w:r>
      <w:r w:rsidRPr="001048FE">
        <w:rPr>
          <w:lang w:val="sl-SI"/>
        </w:rPr>
        <w:t>znanja</w:t>
      </w:r>
      <w:r w:rsidRPr="001048FE">
        <w:rPr>
          <w:spacing w:val="-12"/>
          <w:lang w:val="sl-SI"/>
        </w:rPr>
        <w:t xml:space="preserve"> </w:t>
      </w:r>
      <w:r w:rsidRPr="001048FE">
        <w:rPr>
          <w:lang w:val="sl-SI"/>
        </w:rPr>
        <w:t>jezikov</w:t>
      </w:r>
      <w:r w:rsidRPr="001048FE">
        <w:rPr>
          <w:spacing w:val="-12"/>
          <w:lang w:val="sl-SI"/>
        </w:rPr>
        <w:t xml:space="preserve"> </w:t>
      </w:r>
      <w:r w:rsidRPr="001048FE">
        <w:rPr>
          <w:lang w:val="sl-SI"/>
        </w:rPr>
        <w:t>in</w:t>
      </w:r>
      <w:r w:rsidRPr="001048FE">
        <w:rPr>
          <w:spacing w:val="-12"/>
          <w:lang w:val="sl-SI"/>
        </w:rPr>
        <w:t xml:space="preserve"> </w:t>
      </w:r>
      <w:r w:rsidRPr="001048FE">
        <w:rPr>
          <w:lang w:val="sl-SI"/>
        </w:rPr>
        <w:t>spletnih</w:t>
      </w:r>
      <w:r w:rsidRPr="001048FE">
        <w:rPr>
          <w:spacing w:val="-12"/>
          <w:lang w:val="sl-SI"/>
        </w:rPr>
        <w:t xml:space="preserve"> </w:t>
      </w:r>
      <w:r w:rsidRPr="001048FE">
        <w:rPr>
          <w:lang w:val="sl-SI"/>
        </w:rPr>
        <w:t>jezikovnih</w:t>
      </w:r>
      <w:r w:rsidRPr="001048FE">
        <w:rPr>
          <w:spacing w:val="-12"/>
          <w:lang w:val="sl-SI"/>
        </w:rPr>
        <w:t xml:space="preserve"> </w:t>
      </w:r>
      <w:r w:rsidRPr="001048FE">
        <w:rPr>
          <w:lang w:val="sl-SI"/>
        </w:rPr>
        <w:t>tečajev</w:t>
      </w:r>
      <w:r w:rsidRPr="001048FE">
        <w:rPr>
          <w:spacing w:val="-12"/>
          <w:lang w:val="sl-SI"/>
        </w:rPr>
        <w:t xml:space="preserve"> </w:t>
      </w:r>
      <w:r w:rsidRPr="001048FE">
        <w:rPr>
          <w:lang w:val="sl-SI"/>
        </w:rPr>
        <w:t>se</w:t>
      </w:r>
      <w:r w:rsidRPr="001048FE">
        <w:rPr>
          <w:spacing w:val="-12"/>
          <w:lang w:val="sl-SI"/>
        </w:rPr>
        <w:t xml:space="preserve"> </w:t>
      </w:r>
      <w:r w:rsidRPr="001048FE">
        <w:rPr>
          <w:lang w:val="sl-SI"/>
        </w:rPr>
        <w:t>bo</w:t>
      </w:r>
      <w:r w:rsidRPr="001048FE">
        <w:rPr>
          <w:spacing w:val="-12"/>
          <w:lang w:val="sl-SI"/>
        </w:rPr>
        <w:t xml:space="preserve"> </w:t>
      </w:r>
      <w:r w:rsidRPr="001048FE">
        <w:rPr>
          <w:lang w:val="sl-SI"/>
        </w:rPr>
        <w:t>poročalo</w:t>
      </w:r>
      <w:r w:rsidRPr="001048FE">
        <w:rPr>
          <w:spacing w:val="-12"/>
          <w:lang w:val="sl-SI"/>
        </w:rPr>
        <w:t xml:space="preserve"> </w:t>
      </w:r>
      <w:r w:rsidRPr="001048FE">
        <w:rPr>
          <w:lang w:val="sl-SI"/>
        </w:rPr>
        <w:t>centralno,</w:t>
      </w:r>
      <w:r w:rsidRPr="001048FE">
        <w:rPr>
          <w:spacing w:val="-12"/>
          <w:lang w:val="sl-SI"/>
        </w:rPr>
        <w:t xml:space="preserve"> </w:t>
      </w:r>
      <w:r w:rsidRPr="001048FE">
        <w:rPr>
          <w:lang w:val="sl-SI"/>
        </w:rPr>
        <w:t>ne</w:t>
      </w:r>
      <w:r w:rsidRPr="001048FE">
        <w:rPr>
          <w:spacing w:val="-12"/>
          <w:lang w:val="sl-SI"/>
        </w:rPr>
        <w:t xml:space="preserve"> </w:t>
      </w:r>
      <w:r w:rsidRPr="001048FE">
        <w:rPr>
          <w:lang w:val="sl-SI"/>
        </w:rPr>
        <w:t>bo</w:t>
      </w:r>
      <w:r w:rsidRPr="001048FE">
        <w:rPr>
          <w:spacing w:val="-12"/>
          <w:lang w:val="sl-SI"/>
        </w:rPr>
        <w:t xml:space="preserve"> </w:t>
      </w:r>
      <w:r w:rsidRPr="001048FE">
        <w:rPr>
          <w:lang w:val="sl-SI"/>
        </w:rPr>
        <w:t>pa zagotovljena nobena oblika formalnih</w:t>
      </w:r>
      <w:r w:rsidRPr="001048FE">
        <w:rPr>
          <w:spacing w:val="-8"/>
          <w:lang w:val="sl-SI"/>
        </w:rPr>
        <w:t xml:space="preserve"> </w:t>
      </w:r>
      <w:r w:rsidRPr="001048FE">
        <w:rPr>
          <w:lang w:val="sl-SI"/>
        </w:rPr>
        <w:t>kvalifikacij.</w:t>
      </w:r>
    </w:p>
    <w:p w14:paraId="7D39A821" w14:textId="77777777" w:rsidR="00E03711" w:rsidRPr="001048FE" w:rsidRDefault="00E03711" w:rsidP="00FB59BF">
      <w:pPr>
        <w:pStyle w:val="GUIDE-NORMAL"/>
        <w:rPr>
          <w:lang w:val="sl-SI"/>
        </w:rPr>
      </w:pPr>
      <w:r w:rsidRPr="001048FE">
        <w:rPr>
          <w:lang w:val="sl-SI"/>
        </w:rPr>
        <w:t>V zvezi z mobilnostjo osebja bi morala institucija pošiljateljica zagotoviti, da so učni izidi sodelujočega osebja ustrezno priznani ter se razširjajo in na široko uporabljajo v instituciji.</w:t>
      </w:r>
    </w:p>
    <w:p w14:paraId="7D39A822" w14:textId="77777777" w:rsidR="00E03711" w:rsidRPr="001048FE" w:rsidRDefault="00E03711" w:rsidP="00FB59BF">
      <w:pPr>
        <w:pStyle w:val="Guide-Heading4"/>
        <w:rPr>
          <w:lang w:val="sl-SI"/>
        </w:rPr>
      </w:pPr>
      <w:bookmarkStart w:id="571" w:name="_Toc527401278"/>
      <w:r w:rsidRPr="001048FE">
        <w:rPr>
          <w:lang w:val="sl-SI"/>
        </w:rPr>
        <w:t>B: Poročanje</w:t>
      </w:r>
      <w:bookmarkEnd w:id="571"/>
    </w:p>
    <w:p w14:paraId="7D39A823" w14:textId="77777777" w:rsidR="00E03711" w:rsidRPr="001048FE" w:rsidRDefault="00E03711" w:rsidP="00FB59BF">
      <w:pPr>
        <w:pStyle w:val="GUIDE-NORMAL"/>
        <w:rPr>
          <w:lang w:val="sl-SI"/>
        </w:rPr>
      </w:pPr>
      <w:r w:rsidRPr="001048FE">
        <w:rPr>
          <w:lang w:val="sl-SI"/>
        </w:rPr>
        <w:t>Ob koncu obdobja v tujini morajo vsi študenti in osebje, ki so opravili aktivnost mobilnosti, izpolniti in</w:t>
      </w:r>
      <w:r w:rsidRPr="001048FE">
        <w:rPr>
          <w:spacing w:val="-6"/>
          <w:lang w:val="sl-SI"/>
        </w:rPr>
        <w:t xml:space="preserve"> </w:t>
      </w:r>
      <w:r w:rsidRPr="001048FE">
        <w:rPr>
          <w:lang w:val="sl-SI"/>
        </w:rPr>
        <w:t>predložiti</w:t>
      </w:r>
      <w:r w:rsidRPr="001048FE">
        <w:rPr>
          <w:spacing w:val="-6"/>
          <w:lang w:val="sl-SI"/>
        </w:rPr>
        <w:t xml:space="preserve"> </w:t>
      </w:r>
      <w:r w:rsidRPr="001048FE">
        <w:rPr>
          <w:lang w:val="sl-SI"/>
        </w:rPr>
        <w:t>končno</w:t>
      </w:r>
      <w:r w:rsidRPr="001048FE">
        <w:rPr>
          <w:spacing w:val="-6"/>
          <w:lang w:val="sl-SI"/>
        </w:rPr>
        <w:t xml:space="preserve"> </w:t>
      </w:r>
      <w:r w:rsidRPr="001048FE">
        <w:rPr>
          <w:lang w:val="sl-SI"/>
        </w:rPr>
        <w:t>poročilo.</w:t>
      </w:r>
      <w:r w:rsidRPr="001048FE">
        <w:rPr>
          <w:spacing w:val="-6"/>
          <w:lang w:val="sl-SI"/>
        </w:rPr>
        <w:t xml:space="preserve"> </w:t>
      </w:r>
      <w:r w:rsidRPr="001048FE">
        <w:rPr>
          <w:lang w:val="sl-SI"/>
        </w:rPr>
        <w:t>Za</w:t>
      </w:r>
      <w:r w:rsidRPr="001048FE">
        <w:rPr>
          <w:spacing w:val="-6"/>
          <w:lang w:val="sl-SI"/>
        </w:rPr>
        <w:t xml:space="preserve"> </w:t>
      </w:r>
      <w:r w:rsidRPr="001048FE">
        <w:rPr>
          <w:lang w:val="sl-SI"/>
        </w:rPr>
        <w:t>mobilnost,</w:t>
      </w:r>
      <w:r w:rsidRPr="001048FE">
        <w:rPr>
          <w:spacing w:val="-6"/>
          <w:lang w:val="sl-SI"/>
        </w:rPr>
        <w:t xml:space="preserve"> </w:t>
      </w:r>
      <w:r w:rsidRPr="001048FE">
        <w:rPr>
          <w:lang w:val="sl-SI"/>
        </w:rPr>
        <w:t>ki</w:t>
      </w:r>
      <w:r w:rsidRPr="001048FE">
        <w:rPr>
          <w:spacing w:val="-6"/>
          <w:lang w:val="sl-SI"/>
        </w:rPr>
        <w:t xml:space="preserve"> </w:t>
      </w:r>
      <w:r w:rsidRPr="001048FE">
        <w:rPr>
          <w:lang w:val="sl-SI"/>
        </w:rPr>
        <w:t>traja</w:t>
      </w:r>
      <w:r w:rsidRPr="001048FE">
        <w:rPr>
          <w:spacing w:val="-6"/>
          <w:lang w:val="sl-SI"/>
        </w:rPr>
        <w:t xml:space="preserve"> </w:t>
      </w:r>
      <w:r w:rsidRPr="001048FE">
        <w:rPr>
          <w:lang w:val="sl-SI"/>
        </w:rPr>
        <w:t>dva</w:t>
      </w:r>
      <w:r w:rsidRPr="001048FE">
        <w:rPr>
          <w:spacing w:val="-6"/>
          <w:lang w:val="sl-SI"/>
        </w:rPr>
        <w:t xml:space="preserve"> </w:t>
      </w:r>
      <w:r w:rsidRPr="001048FE">
        <w:rPr>
          <w:lang w:val="sl-SI"/>
        </w:rPr>
        <w:t>meseca</w:t>
      </w:r>
      <w:r w:rsidRPr="001048FE">
        <w:rPr>
          <w:spacing w:val="-6"/>
          <w:lang w:val="sl-SI"/>
        </w:rPr>
        <w:t xml:space="preserve"> </w:t>
      </w:r>
      <w:r w:rsidRPr="001048FE">
        <w:rPr>
          <w:lang w:val="sl-SI"/>
        </w:rPr>
        <w:t>ali</w:t>
      </w:r>
      <w:r w:rsidRPr="001048FE">
        <w:rPr>
          <w:spacing w:val="-6"/>
          <w:lang w:val="sl-SI"/>
        </w:rPr>
        <w:t xml:space="preserve"> </w:t>
      </w:r>
      <w:r w:rsidRPr="001048FE">
        <w:rPr>
          <w:lang w:val="sl-SI"/>
        </w:rPr>
        <w:t>več,</w:t>
      </w:r>
      <w:r w:rsidRPr="001048FE">
        <w:rPr>
          <w:spacing w:val="-6"/>
          <w:lang w:val="sl-SI"/>
        </w:rPr>
        <w:t xml:space="preserve"> </w:t>
      </w:r>
      <w:r w:rsidRPr="001048FE">
        <w:rPr>
          <w:lang w:val="sl-SI"/>
        </w:rPr>
        <w:t>poročilo</w:t>
      </w:r>
      <w:r w:rsidRPr="001048FE">
        <w:rPr>
          <w:spacing w:val="-6"/>
          <w:lang w:val="sl-SI"/>
        </w:rPr>
        <w:t xml:space="preserve"> </w:t>
      </w:r>
      <w:r w:rsidRPr="001048FE">
        <w:rPr>
          <w:lang w:val="sl-SI"/>
        </w:rPr>
        <w:t>vključuje</w:t>
      </w:r>
      <w:r w:rsidRPr="001048FE">
        <w:rPr>
          <w:spacing w:val="-6"/>
          <w:lang w:val="sl-SI"/>
        </w:rPr>
        <w:t xml:space="preserve"> </w:t>
      </w:r>
      <w:r w:rsidRPr="001048FE">
        <w:rPr>
          <w:lang w:val="sl-SI"/>
        </w:rPr>
        <w:t>tudi</w:t>
      </w:r>
      <w:r w:rsidRPr="001048FE">
        <w:rPr>
          <w:spacing w:val="-6"/>
          <w:lang w:val="sl-SI"/>
        </w:rPr>
        <w:t xml:space="preserve"> </w:t>
      </w:r>
      <w:r w:rsidRPr="001048FE">
        <w:rPr>
          <w:lang w:val="sl-SI"/>
        </w:rPr>
        <w:t>oceno kakovosti jezikovne podpore, ki so jo prejeli med obdobjem</w:t>
      </w:r>
      <w:r w:rsidRPr="001048FE">
        <w:rPr>
          <w:spacing w:val="-31"/>
          <w:lang w:val="sl-SI"/>
        </w:rPr>
        <w:t xml:space="preserve"> </w:t>
      </w:r>
      <w:r w:rsidRPr="001048FE">
        <w:rPr>
          <w:lang w:val="sl-SI"/>
        </w:rPr>
        <w:t>mobilnosti.</w:t>
      </w:r>
    </w:p>
    <w:p w14:paraId="7D39A824" w14:textId="77777777" w:rsidR="00E03711" w:rsidRDefault="00E03711" w:rsidP="00FB59BF">
      <w:pPr>
        <w:pStyle w:val="GUIDE-NORMAL"/>
        <w:rPr>
          <w:lang w:val="sl-SI"/>
        </w:rPr>
      </w:pPr>
      <w:r w:rsidRPr="001048FE">
        <w:rPr>
          <w:lang w:val="sl-SI"/>
        </w:rPr>
        <w:t>Od tistih študentov in osebja, ki ne predložijo poročila, lahko njihova visokošolska institucija pošiljateljica</w:t>
      </w:r>
      <w:r w:rsidRPr="001048FE">
        <w:rPr>
          <w:spacing w:val="-12"/>
          <w:lang w:val="sl-SI"/>
        </w:rPr>
        <w:t xml:space="preserve"> </w:t>
      </w:r>
      <w:r w:rsidRPr="001048FE">
        <w:rPr>
          <w:lang w:val="sl-SI"/>
        </w:rPr>
        <w:t>zahteva,</w:t>
      </w:r>
      <w:r w:rsidRPr="001048FE">
        <w:rPr>
          <w:spacing w:val="-12"/>
          <w:lang w:val="sl-SI"/>
        </w:rPr>
        <w:t xml:space="preserve"> </w:t>
      </w:r>
      <w:r w:rsidRPr="001048FE">
        <w:rPr>
          <w:lang w:val="sl-SI"/>
        </w:rPr>
        <w:t>da</w:t>
      </w:r>
      <w:r w:rsidRPr="001048FE">
        <w:rPr>
          <w:spacing w:val="-12"/>
          <w:lang w:val="sl-SI"/>
        </w:rPr>
        <w:t xml:space="preserve"> </w:t>
      </w:r>
      <w:r w:rsidRPr="001048FE">
        <w:rPr>
          <w:lang w:val="sl-SI"/>
        </w:rPr>
        <w:t>delno</w:t>
      </w:r>
      <w:r w:rsidRPr="001048FE">
        <w:rPr>
          <w:spacing w:val="-12"/>
          <w:lang w:val="sl-SI"/>
        </w:rPr>
        <w:t xml:space="preserve"> </w:t>
      </w:r>
      <w:r w:rsidRPr="001048FE">
        <w:rPr>
          <w:lang w:val="sl-SI"/>
        </w:rPr>
        <w:t>ali</w:t>
      </w:r>
      <w:r w:rsidRPr="001048FE">
        <w:rPr>
          <w:spacing w:val="-12"/>
          <w:lang w:val="sl-SI"/>
        </w:rPr>
        <w:t xml:space="preserve"> </w:t>
      </w:r>
      <w:r w:rsidRPr="001048FE">
        <w:rPr>
          <w:lang w:val="sl-SI"/>
        </w:rPr>
        <w:t>v</w:t>
      </w:r>
      <w:r w:rsidRPr="001048FE">
        <w:rPr>
          <w:spacing w:val="-12"/>
          <w:lang w:val="sl-SI"/>
        </w:rPr>
        <w:t xml:space="preserve"> </w:t>
      </w:r>
      <w:r w:rsidRPr="001048FE">
        <w:rPr>
          <w:lang w:val="sl-SI"/>
        </w:rPr>
        <w:t>celoti</w:t>
      </w:r>
      <w:r w:rsidRPr="001048FE">
        <w:rPr>
          <w:spacing w:val="-12"/>
          <w:lang w:val="sl-SI"/>
        </w:rPr>
        <w:t xml:space="preserve"> </w:t>
      </w:r>
      <w:r w:rsidRPr="001048FE">
        <w:rPr>
          <w:lang w:val="sl-SI"/>
        </w:rPr>
        <w:t>povrnejo</w:t>
      </w:r>
      <w:r w:rsidRPr="001048FE">
        <w:rPr>
          <w:spacing w:val="-12"/>
          <w:lang w:val="sl-SI"/>
        </w:rPr>
        <w:t xml:space="preserve"> </w:t>
      </w:r>
      <w:r w:rsidRPr="001048FE">
        <w:rPr>
          <w:lang w:val="sl-SI"/>
        </w:rPr>
        <w:t>prejeta</w:t>
      </w:r>
      <w:r w:rsidRPr="001048FE">
        <w:rPr>
          <w:spacing w:val="-12"/>
          <w:lang w:val="sl-SI"/>
        </w:rPr>
        <w:t xml:space="preserve"> </w:t>
      </w:r>
      <w:r w:rsidRPr="001048FE">
        <w:rPr>
          <w:lang w:val="sl-SI"/>
        </w:rPr>
        <w:t>nepovratna</w:t>
      </w:r>
      <w:r w:rsidRPr="001048FE">
        <w:rPr>
          <w:spacing w:val="-12"/>
          <w:lang w:val="sl-SI"/>
        </w:rPr>
        <w:t xml:space="preserve"> </w:t>
      </w:r>
      <w:r w:rsidRPr="001048FE">
        <w:rPr>
          <w:lang w:val="sl-SI"/>
        </w:rPr>
        <w:t>sredstva</w:t>
      </w:r>
      <w:r w:rsidRPr="001048FE">
        <w:rPr>
          <w:spacing w:val="-12"/>
          <w:lang w:val="sl-SI"/>
        </w:rPr>
        <w:t xml:space="preserve"> </w:t>
      </w:r>
      <w:r w:rsidRPr="001048FE">
        <w:rPr>
          <w:lang w:val="sl-SI"/>
        </w:rPr>
        <w:t>EU.</w:t>
      </w:r>
      <w:r w:rsidRPr="001048FE">
        <w:rPr>
          <w:spacing w:val="-12"/>
          <w:lang w:val="sl-SI"/>
        </w:rPr>
        <w:t xml:space="preserve"> </w:t>
      </w:r>
      <w:r w:rsidRPr="001048FE">
        <w:rPr>
          <w:lang w:val="sl-SI"/>
        </w:rPr>
        <w:t>Povračilo</w:t>
      </w:r>
      <w:r w:rsidRPr="001048FE">
        <w:rPr>
          <w:spacing w:val="-12"/>
          <w:lang w:val="sl-SI"/>
        </w:rPr>
        <w:t xml:space="preserve"> </w:t>
      </w:r>
      <w:r w:rsidRPr="001048FE">
        <w:rPr>
          <w:lang w:val="sl-SI"/>
        </w:rPr>
        <w:t>se</w:t>
      </w:r>
      <w:r w:rsidRPr="001048FE">
        <w:rPr>
          <w:spacing w:val="-12"/>
          <w:lang w:val="sl-SI"/>
        </w:rPr>
        <w:t xml:space="preserve"> </w:t>
      </w:r>
      <w:r w:rsidRPr="001048FE">
        <w:rPr>
          <w:lang w:val="sl-SI"/>
        </w:rPr>
        <w:t>ne zahteva, če študenti ali člani osebja niso mogli dokončati načrtovanih aktivnosti v tujini zaradi višje sile. Upravičenec poroča o takih primerih in nacionalna agencija jih mora pisno</w:t>
      </w:r>
      <w:r w:rsidRPr="001048FE">
        <w:rPr>
          <w:spacing w:val="-30"/>
          <w:lang w:val="sl-SI"/>
        </w:rPr>
        <w:t xml:space="preserve"> </w:t>
      </w:r>
      <w:r w:rsidRPr="001048FE">
        <w:rPr>
          <w:lang w:val="sl-SI"/>
        </w:rPr>
        <w:t>odobriti.</w:t>
      </w:r>
    </w:p>
    <w:p w14:paraId="7D39A825" w14:textId="77777777" w:rsidR="00E03711" w:rsidRDefault="00E03711">
      <w:pPr>
        <w:widowControl/>
        <w:suppressAutoHyphens w:val="0"/>
        <w:autoSpaceDN/>
        <w:textAlignment w:val="auto"/>
        <w:rPr>
          <w:rFonts w:eastAsia="Times New Roman" w:cs="Times New Roman"/>
          <w:sz w:val="18"/>
          <w:szCs w:val="18"/>
          <w:shd w:val="clear" w:color="auto" w:fill="FFFFFF"/>
          <w:lang w:val="sl-SI"/>
        </w:rPr>
      </w:pPr>
      <w:r>
        <w:rPr>
          <w:lang w:val="sl-SI"/>
        </w:rPr>
        <w:br w:type="page"/>
      </w:r>
    </w:p>
    <w:p w14:paraId="7D39A826" w14:textId="77777777" w:rsidR="00E03711" w:rsidRPr="001048FE" w:rsidRDefault="00E03711" w:rsidP="00FB59BF">
      <w:pPr>
        <w:pStyle w:val="GUIDE-NORMAL"/>
        <w:rPr>
          <w:lang w:val="sl-SI"/>
        </w:rPr>
        <w:sectPr w:rsidR="00E03711" w:rsidRPr="001048FE" w:rsidSect="007F4890">
          <w:endnotePr>
            <w:numFmt w:val="decimal"/>
          </w:endnotePr>
          <w:pgSz w:w="11910" w:h="16840" w:code="9"/>
          <w:pgMar w:top="1134" w:right="1418" w:bottom="1134" w:left="1418" w:header="283" w:footer="567" w:gutter="0"/>
          <w:cols w:space="720"/>
          <w:docGrid w:linePitch="326"/>
        </w:sectPr>
      </w:pPr>
    </w:p>
    <w:p w14:paraId="7D39A827" w14:textId="77777777" w:rsidR="00E03711" w:rsidRDefault="00E03711">
      <w:pPr>
        <w:pStyle w:val="Guide-Heading2"/>
        <w:rPr>
          <w:lang w:val="sl-SI"/>
        </w:rPr>
      </w:pPr>
      <w:bookmarkStart w:id="572" w:name="_Toc527400964"/>
      <w:bookmarkStart w:id="573" w:name="_Toc527401279"/>
      <w:r w:rsidRPr="001048FE">
        <w:rPr>
          <w:lang w:val="sl-SI"/>
        </w:rPr>
        <w:t>Projekt mobilnosti za dijake in osebje v</w:t>
      </w:r>
      <w:bookmarkStart w:id="574" w:name="Projekt_mobilnosti_za_dijake_in_osebje_v"/>
      <w:bookmarkEnd w:id="574"/>
      <w:r w:rsidRPr="001048FE">
        <w:rPr>
          <w:lang w:val="sl-SI"/>
        </w:rPr>
        <w:t xml:space="preserve"> poklicnem izobraževanju in usposabljanju</w:t>
      </w:r>
      <w:bookmarkEnd w:id="572"/>
      <w:bookmarkEnd w:id="573"/>
    </w:p>
    <w:p w14:paraId="7D39A828" w14:textId="77777777" w:rsidR="00E03711" w:rsidRDefault="00E03711" w:rsidP="005115F2">
      <w:pPr>
        <w:pStyle w:val="Guide-AnnexHeading3"/>
        <w:numPr>
          <w:ilvl w:val="0"/>
          <w:numId w:val="425"/>
        </w:numPr>
        <w:ind w:left="360"/>
        <w:rPr>
          <w:lang w:val="sl-SI"/>
        </w:rPr>
      </w:pPr>
      <w:bookmarkStart w:id="575" w:name="_Toc524425609"/>
      <w:bookmarkStart w:id="576" w:name="_Toc526422847"/>
      <w:bookmarkStart w:id="577" w:name="_Toc527400965"/>
      <w:bookmarkStart w:id="578" w:name="_Toc527401280"/>
      <w:r w:rsidRPr="001048FE">
        <w:rPr>
          <w:lang w:val="sl-SI"/>
        </w:rPr>
        <w:t>Organizacijska</w:t>
      </w:r>
      <w:r w:rsidRPr="001048FE">
        <w:rPr>
          <w:spacing w:val="5"/>
          <w:lang w:val="sl-SI"/>
        </w:rPr>
        <w:t xml:space="preserve"> </w:t>
      </w:r>
      <w:r w:rsidRPr="001048FE">
        <w:rPr>
          <w:lang w:val="sl-SI"/>
        </w:rPr>
        <w:t>podpora</w:t>
      </w:r>
      <w:bookmarkEnd w:id="575"/>
      <w:bookmarkEnd w:id="576"/>
      <w:bookmarkEnd w:id="577"/>
      <w:bookmarkEnd w:id="578"/>
    </w:p>
    <w:p w14:paraId="7D39A829" w14:textId="77777777" w:rsidR="00E03711" w:rsidRPr="001048FE" w:rsidRDefault="00E03711" w:rsidP="00B35F65">
      <w:pPr>
        <w:pStyle w:val="GUIDE-NORMAL"/>
        <w:rPr>
          <w:lang w:val="sl-SI"/>
        </w:rPr>
      </w:pPr>
      <w:r w:rsidRPr="001048FE">
        <w:rPr>
          <w:lang w:val="sl-SI"/>
        </w:rPr>
        <w:t>Nepovratna sredstva za organizacijsko podporo je prispevek za kakršne koli stroške, ki jih imajo organizacije v zvezi z aktivnostmi, s katerimi podpirajo visokokakovostno mobilnost dijakov/učečih se in osebja. Na primer</w:t>
      </w:r>
      <w:r w:rsidRPr="001048FE">
        <w:rPr>
          <w:spacing w:val="6"/>
          <w:lang w:val="sl-SI"/>
        </w:rPr>
        <w:t xml:space="preserve"> </w:t>
      </w:r>
      <w:r w:rsidRPr="001048FE">
        <w:rPr>
          <w:lang w:val="sl-SI"/>
        </w:rPr>
        <w:t>za:</w:t>
      </w:r>
    </w:p>
    <w:p w14:paraId="7D39A82A" w14:textId="77777777" w:rsidR="00E03711" w:rsidRDefault="00E03711" w:rsidP="005115F2">
      <w:pPr>
        <w:pStyle w:val="Guide-NormalBulletpoints"/>
        <w:numPr>
          <w:ilvl w:val="0"/>
          <w:numId w:val="424"/>
        </w:numPr>
        <w:rPr>
          <w:lang w:val="sl-SI"/>
        </w:rPr>
      </w:pPr>
      <w:r w:rsidRPr="001048FE">
        <w:rPr>
          <w:lang w:val="sl-SI"/>
        </w:rPr>
        <w:t>zagotavljanje</w:t>
      </w:r>
      <w:r w:rsidRPr="001048FE">
        <w:rPr>
          <w:spacing w:val="-16"/>
          <w:lang w:val="sl-SI"/>
        </w:rPr>
        <w:t xml:space="preserve"> </w:t>
      </w:r>
      <w:r w:rsidRPr="001048FE">
        <w:rPr>
          <w:lang w:val="sl-SI"/>
        </w:rPr>
        <w:t>informacij</w:t>
      </w:r>
      <w:r w:rsidRPr="001048FE">
        <w:rPr>
          <w:spacing w:val="-16"/>
          <w:lang w:val="sl-SI"/>
        </w:rPr>
        <w:t xml:space="preserve"> </w:t>
      </w:r>
      <w:r w:rsidRPr="001048FE">
        <w:rPr>
          <w:lang w:val="sl-SI"/>
        </w:rPr>
        <w:t>in</w:t>
      </w:r>
      <w:r w:rsidRPr="001048FE">
        <w:rPr>
          <w:spacing w:val="-16"/>
          <w:lang w:val="sl-SI"/>
        </w:rPr>
        <w:t xml:space="preserve"> </w:t>
      </w:r>
      <w:r w:rsidRPr="001048FE">
        <w:rPr>
          <w:lang w:val="sl-SI"/>
        </w:rPr>
        <w:t>pomoči</w:t>
      </w:r>
      <w:r w:rsidRPr="001048FE">
        <w:rPr>
          <w:spacing w:val="-16"/>
          <w:lang w:val="sl-SI"/>
        </w:rPr>
        <w:t xml:space="preserve"> </w:t>
      </w:r>
      <w:r w:rsidRPr="001048FE">
        <w:rPr>
          <w:lang w:val="sl-SI"/>
        </w:rPr>
        <w:t>za</w:t>
      </w:r>
      <w:r w:rsidRPr="001048FE">
        <w:rPr>
          <w:spacing w:val="-16"/>
          <w:lang w:val="sl-SI"/>
        </w:rPr>
        <w:t xml:space="preserve"> </w:t>
      </w:r>
      <w:r w:rsidRPr="001048FE">
        <w:rPr>
          <w:lang w:val="sl-SI"/>
        </w:rPr>
        <w:t>dijake/učeče</w:t>
      </w:r>
      <w:r w:rsidRPr="001048FE">
        <w:rPr>
          <w:spacing w:val="-16"/>
          <w:lang w:val="sl-SI"/>
        </w:rPr>
        <w:t xml:space="preserve"> </w:t>
      </w:r>
      <w:r w:rsidRPr="001048FE">
        <w:rPr>
          <w:lang w:val="sl-SI"/>
        </w:rPr>
        <w:t>se</w:t>
      </w:r>
      <w:r w:rsidRPr="001048FE">
        <w:rPr>
          <w:spacing w:val="-16"/>
          <w:lang w:val="sl-SI"/>
        </w:rPr>
        <w:t xml:space="preserve"> </w:t>
      </w:r>
      <w:r w:rsidRPr="001048FE">
        <w:rPr>
          <w:lang w:val="sl-SI"/>
        </w:rPr>
        <w:t>in</w:t>
      </w:r>
      <w:r w:rsidRPr="001048FE">
        <w:rPr>
          <w:spacing w:val="-16"/>
          <w:lang w:val="sl-SI"/>
        </w:rPr>
        <w:t xml:space="preserve"> </w:t>
      </w:r>
      <w:r w:rsidRPr="001048FE">
        <w:rPr>
          <w:lang w:val="sl-SI"/>
        </w:rPr>
        <w:t xml:space="preserve">osebje; </w:t>
      </w:r>
    </w:p>
    <w:p w14:paraId="7D39A82B" w14:textId="77777777" w:rsidR="00E03711" w:rsidRPr="001048FE" w:rsidRDefault="00E03711" w:rsidP="005115F2">
      <w:pPr>
        <w:pStyle w:val="Guide-NormalBulletpoints"/>
        <w:numPr>
          <w:ilvl w:val="0"/>
          <w:numId w:val="424"/>
        </w:numPr>
        <w:rPr>
          <w:lang w:val="sl-SI"/>
        </w:rPr>
      </w:pPr>
      <w:r w:rsidRPr="001048FE">
        <w:rPr>
          <w:lang w:val="sl-SI"/>
        </w:rPr>
        <w:t>izbor udeležencev</w:t>
      </w:r>
      <w:r w:rsidRPr="001048FE">
        <w:rPr>
          <w:spacing w:val="-6"/>
          <w:lang w:val="sl-SI"/>
        </w:rPr>
        <w:t xml:space="preserve"> </w:t>
      </w:r>
      <w:r w:rsidRPr="001048FE">
        <w:rPr>
          <w:lang w:val="sl-SI"/>
        </w:rPr>
        <w:t>mobilnosti;</w:t>
      </w:r>
    </w:p>
    <w:p w14:paraId="7D39A82C" w14:textId="77777777" w:rsidR="00E03711" w:rsidRDefault="00E03711" w:rsidP="005115F2">
      <w:pPr>
        <w:pStyle w:val="Guide-NormalBulletpoints"/>
        <w:numPr>
          <w:ilvl w:val="0"/>
          <w:numId w:val="424"/>
        </w:numPr>
        <w:rPr>
          <w:lang w:val="sl-SI"/>
        </w:rPr>
      </w:pPr>
      <w:r w:rsidRPr="001048FE">
        <w:rPr>
          <w:lang w:val="sl-SI"/>
        </w:rPr>
        <w:t>pripravo učnih sporazumov, da se zagotovi popolno priznavanje vseh elementov i</w:t>
      </w:r>
      <w:r>
        <w:rPr>
          <w:lang w:val="sl-SI"/>
        </w:rPr>
        <w:t>zobraževanja dijakov/učečih se;</w:t>
      </w:r>
    </w:p>
    <w:p w14:paraId="7D39A82D" w14:textId="77777777" w:rsidR="00E03711" w:rsidRPr="001048FE" w:rsidRDefault="00E03711" w:rsidP="005115F2">
      <w:pPr>
        <w:pStyle w:val="Guide-NormalBulletpoints"/>
        <w:numPr>
          <w:ilvl w:val="0"/>
          <w:numId w:val="424"/>
        </w:numPr>
        <w:rPr>
          <w:lang w:val="sl-SI"/>
        </w:rPr>
      </w:pPr>
      <w:r w:rsidRPr="001048FE">
        <w:rPr>
          <w:lang w:val="sl-SI"/>
        </w:rPr>
        <w:t>pripravo in priznavanje sporazumov o mobilnosti za osebje;</w:t>
      </w:r>
    </w:p>
    <w:p w14:paraId="7D39A82E" w14:textId="77777777" w:rsidR="00E03711" w:rsidRPr="001048FE" w:rsidRDefault="00E03711" w:rsidP="005115F2">
      <w:pPr>
        <w:pStyle w:val="Guide-NormalBulletpoints"/>
        <w:numPr>
          <w:ilvl w:val="0"/>
          <w:numId w:val="424"/>
        </w:numPr>
        <w:rPr>
          <w:lang w:val="sl-SI"/>
        </w:rPr>
      </w:pPr>
      <w:r w:rsidRPr="001048FE">
        <w:rPr>
          <w:lang w:val="sl-SI"/>
        </w:rPr>
        <w:t>zagotavljanje jezikovne in medkulturne priprave za udeležence mobilnosti, zlasti jezikovnih tečajev za PIU za posamezni sektor;</w:t>
      </w:r>
    </w:p>
    <w:p w14:paraId="7D39A82F" w14:textId="77777777" w:rsidR="00E03711" w:rsidRDefault="00E03711" w:rsidP="005115F2">
      <w:pPr>
        <w:pStyle w:val="Guide-NormalBulletpoints"/>
        <w:numPr>
          <w:ilvl w:val="0"/>
          <w:numId w:val="424"/>
        </w:numPr>
        <w:rPr>
          <w:lang w:val="sl-SI"/>
        </w:rPr>
      </w:pPr>
      <w:r w:rsidRPr="001048FE">
        <w:rPr>
          <w:lang w:val="sl-SI"/>
        </w:rPr>
        <w:t>splošno upravljanje v zvezi s postavitvijo in upravljanjem projekta mobilnosti;</w:t>
      </w:r>
    </w:p>
    <w:p w14:paraId="7D39A830" w14:textId="77777777" w:rsidR="00E03711" w:rsidRPr="001048FE" w:rsidRDefault="00E03711" w:rsidP="005115F2">
      <w:pPr>
        <w:pStyle w:val="Guide-NormalBulletpoints"/>
        <w:numPr>
          <w:ilvl w:val="0"/>
          <w:numId w:val="424"/>
        </w:numPr>
        <w:rPr>
          <w:lang w:val="sl-SI"/>
        </w:rPr>
      </w:pPr>
      <w:r w:rsidRPr="001048FE">
        <w:rPr>
          <w:lang w:val="sl-SI"/>
        </w:rPr>
        <w:t>zagotavljanje učinkovitih ureditev za mentorstvo in nadzor udeležencev mobilnosti; posebne ureditve za zagotavljanje kakovosti praks v podjetjih.</w:t>
      </w:r>
    </w:p>
    <w:p w14:paraId="7D39A831" w14:textId="77777777" w:rsidR="00E03711" w:rsidRPr="001048FE" w:rsidRDefault="00E03711" w:rsidP="00B35F65">
      <w:pPr>
        <w:pStyle w:val="GUIDE-NORMAL"/>
        <w:rPr>
          <w:lang w:val="sl-SI"/>
        </w:rPr>
      </w:pPr>
      <w:r w:rsidRPr="001048FE">
        <w:rPr>
          <w:lang w:val="sl-SI"/>
        </w:rPr>
        <w:t>Pri odločitvi o končni dodelitvi nepovratnih sredstev se upošteva kakovost, s katero institucija izvede projekt in njeno nadaljnje spremljanje projekta. Kakovostna izvedba projekta mobilnosti bi morala slediti smernicam iz te priloge o mobilnosti za dijake in osebje v poklicnem izobraževanju in usposabljanju.</w:t>
      </w:r>
    </w:p>
    <w:p w14:paraId="7D39A832" w14:textId="77777777" w:rsidR="00E03711" w:rsidRDefault="00E03711" w:rsidP="005115F2">
      <w:pPr>
        <w:pStyle w:val="Guide-AnnexHeading3"/>
        <w:numPr>
          <w:ilvl w:val="0"/>
          <w:numId w:val="425"/>
        </w:numPr>
        <w:ind w:left="360"/>
        <w:rPr>
          <w:lang w:val="sl-SI"/>
        </w:rPr>
      </w:pPr>
      <w:bookmarkStart w:id="579" w:name="_Toc524425610"/>
      <w:bookmarkStart w:id="580" w:name="_Toc526422848"/>
      <w:bookmarkStart w:id="581" w:name="_Toc527400966"/>
      <w:bookmarkStart w:id="582" w:name="_Toc527401281"/>
      <w:r w:rsidRPr="001048FE">
        <w:rPr>
          <w:lang w:val="sl-SI"/>
        </w:rPr>
        <w:t>Pred</w:t>
      </w:r>
      <w:r w:rsidRPr="001048FE">
        <w:rPr>
          <w:spacing w:val="5"/>
          <w:lang w:val="sl-SI"/>
        </w:rPr>
        <w:t xml:space="preserve"> </w:t>
      </w:r>
      <w:r w:rsidRPr="001048FE">
        <w:rPr>
          <w:lang w:val="sl-SI"/>
        </w:rPr>
        <w:t>mobilnostjo</w:t>
      </w:r>
      <w:bookmarkEnd w:id="579"/>
      <w:bookmarkEnd w:id="580"/>
      <w:bookmarkEnd w:id="581"/>
      <w:bookmarkEnd w:id="582"/>
    </w:p>
    <w:p w14:paraId="7D39A833" w14:textId="77777777" w:rsidR="00E03711" w:rsidRPr="001048FE" w:rsidRDefault="00E03711" w:rsidP="00B35F65">
      <w:pPr>
        <w:pStyle w:val="Guide-Heading4"/>
        <w:rPr>
          <w:lang w:val="sl-SI"/>
        </w:rPr>
      </w:pPr>
      <w:bookmarkStart w:id="583" w:name="_Toc527401282"/>
      <w:r w:rsidRPr="001048FE">
        <w:rPr>
          <w:lang w:val="sl-SI"/>
        </w:rPr>
        <w:t>A: Akreditacija sodelujočih organizacij – listina za mobilnost PIU Erasmus+</w:t>
      </w:r>
      <w:bookmarkEnd w:id="583"/>
    </w:p>
    <w:p w14:paraId="7D39A834" w14:textId="77777777" w:rsidR="00E03711" w:rsidRPr="001048FE" w:rsidRDefault="00E03711" w:rsidP="00B35F65">
      <w:pPr>
        <w:pStyle w:val="GUIDE-NORMAL"/>
        <w:rPr>
          <w:rStyle w:val="Guide-Condensed-01"/>
          <w:lang w:val="sl-SI"/>
        </w:rPr>
      </w:pPr>
      <w:r w:rsidRPr="001048FE">
        <w:rPr>
          <w:rStyle w:val="Guide-Condensed-01"/>
          <w:lang w:val="sl-SI"/>
        </w:rPr>
        <w:t>Od leta 2015 naprej obstaja možnost, da se neakreditirane organizacije prijavijo za Listino Erasmus+ za mobilnost v PIU v ločenem letnem razpisu, ki ga objavijo nacionalne agencije, pod pogojem, da te organizacije izpolnjujejo predhodna merila za izbor in izkazujejo kakovost in trajnost svojih strategij za internacionalizacijo. Prosimo, da dosledno upoštevate dejstvo, da, če organizacije ne pridobijo nove listine Erasmus+ za mobilnost v PIU v določenem letu, jo bodo lahko uporabljale šele za udeležbo v mobilnosti v PIU od splošnega razpisa naprej. Npr. če se organizacija prijavi za listino v okviru določenega razpisa in se ta listina dodeli v letu 2016, se mora še vedno obenem prijaviti za projekt mobilnosti v PIU brez listine, če želi nadaljevati z mobilnostjo v okviru splošnega razpisa za leto 2016. Listino lahko uporabi šele pri razpisu v naslednjem letu (v tem primeru v letu 2017).</w:t>
      </w:r>
    </w:p>
    <w:p w14:paraId="7D39A835" w14:textId="77777777" w:rsidR="00E03711" w:rsidRPr="001048FE" w:rsidRDefault="00E03711" w:rsidP="00B35F65">
      <w:pPr>
        <w:pStyle w:val="GUIDE-NORMAL"/>
        <w:rPr>
          <w:lang w:val="sl-SI"/>
        </w:rPr>
      </w:pPr>
      <w:r w:rsidRPr="001048FE">
        <w:rPr>
          <w:lang w:val="sl-SI"/>
        </w:rPr>
        <w:t>Podrobnejše informacije so na voljo na spletiščih Evropske komisije in nacionalnih agencij.</w:t>
      </w:r>
    </w:p>
    <w:p w14:paraId="7D39A836" w14:textId="77777777" w:rsidR="00E03711" w:rsidRDefault="00E03711">
      <w:pPr>
        <w:pStyle w:val="Guide-Heading4"/>
        <w:rPr>
          <w:lang w:val="sl-SI"/>
        </w:rPr>
      </w:pPr>
      <w:bookmarkStart w:id="584" w:name="_Toc527401283"/>
      <w:r w:rsidRPr="001048FE">
        <w:rPr>
          <w:lang w:val="sl-SI"/>
        </w:rPr>
        <w:t>B: Evropska listina kakovosti za mobilnost</w:t>
      </w:r>
      <w:bookmarkEnd w:id="584"/>
    </w:p>
    <w:p w14:paraId="7D39A837" w14:textId="77777777" w:rsidR="00E03711" w:rsidRPr="001048FE" w:rsidRDefault="00E03711" w:rsidP="00B35F65">
      <w:pPr>
        <w:pStyle w:val="GUIDE-NORMAL"/>
        <w:rPr>
          <w:lang w:val="sl-SI"/>
        </w:rPr>
      </w:pPr>
      <w:r w:rsidRPr="001048FE">
        <w:rPr>
          <w:lang w:val="sl-SI"/>
        </w:rPr>
        <w:t>Organizacije PIU, ki načrtujejo organizacijo aktivnosti mobilnosti za dijake in osebje v PIU, morajo organizirati svoje aktivnosti v skladu z načeli in merili iz Evropske listine kakovosti za mobilnost</w:t>
      </w:r>
      <w:r w:rsidRPr="001048FE">
        <w:rPr>
          <w:rStyle w:val="FootnoteReference"/>
          <w:lang w:val="sl-SI"/>
        </w:rPr>
        <w:footnoteReference w:id="262"/>
      </w:r>
      <w:r w:rsidRPr="001048FE">
        <w:rPr>
          <w:lang w:val="sl-SI"/>
        </w:rPr>
        <w:t>.</w:t>
      </w:r>
    </w:p>
    <w:p w14:paraId="7D39A838" w14:textId="77777777" w:rsidR="00E03711" w:rsidRPr="001048FE" w:rsidRDefault="00E03711" w:rsidP="00B35F65">
      <w:pPr>
        <w:pStyle w:val="GUIDE-NORMAL"/>
        <w:rPr>
          <w:lang w:val="sl-SI"/>
        </w:rPr>
      </w:pPr>
      <w:r w:rsidRPr="001048FE">
        <w:rPr>
          <w:lang w:val="sl-SI"/>
        </w:rPr>
        <w:t>Evropska listina kakovosti za mobilnost je referenčni dokument za kakovost za bivanje med izobraževanjem in usposabljanjem v tujini. Listina zagotavlja smernice o ureditvah mobilnosti za učenje in druge namene, na primer o poklicni rasti, za dijake in osebje. Spoštovanje načel iz listine naj bi pomagalo zagotoviti, da bo izkušnja udeležencev mobilnosti v državi gostiteljici in državi izvora ob njihovem povratku vedno pozitivna ter da se bosta število in obseg izmenjav v izobraževanju in usposabljanju stalno izboljševala. Listina je na voljo na spletišču:</w:t>
      </w:r>
    </w:p>
    <w:p w14:paraId="7D39A839" w14:textId="77777777" w:rsidR="00E03711" w:rsidRPr="001048FE" w:rsidRDefault="002C560E" w:rsidP="00B35F65">
      <w:pPr>
        <w:pStyle w:val="GUIDE-NORMAL"/>
        <w:rPr>
          <w:lang w:val="sl-SI"/>
        </w:rPr>
      </w:pPr>
      <w:hyperlink r:id="rId162">
        <w:r w:rsidR="00E03711" w:rsidRPr="001048FE">
          <w:rPr>
            <w:rStyle w:val="Hyperlink"/>
            <w:lang w:val="sl-SI"/>
          </w:rPr>
          <w:t>http://europa.eu/legislation_summaries/education_training_youth/lifelong_learning/c11085_en.htm</w:t>
        </w:r>
      </w:hyperlink>
      <w:r w:rsidR="00E03711" w:rsidRPr="001048FE">
        <w:rPr>
          <w:lang w:val="sl-SI"/>
        </w:rPr>
        <w:t>.</w:t>
      </w:r>
    </w:p>
    <w:p w14:paraId="7D39A83A" w14:textId="77777777" w:rsidR="00E03711" w:rsidRPr="00237696" w:rsidRDefault="00E03711" w:rsidP="00801D92">
      <w:pPr>
        <w:pStyle w:val="BodyText"/>
        <w:spacing w:before="5"/>
        <w:rPr>
          <w:rFonts w:ascii="Calibri" w:hAnsi="Calibri"/>
          <w:color w:val="FF0000"/>
          <w:sz w:val="21"/>
          <w:lang w:val="sl-SI"/>
        </w:rPr>
      </w:pPr>
    </w:p>
    <w:p w14:paraId="7D39A83B" w14:textId="77777777" w:rsidR="00E03711" w:rsidRPr="001048FE" w:rsidRDefault="00E03711" w:rsidP="00B35F65">
      <w:pPr>
        <w:pStyle w:val="Guide-Heading4"/>
        <w:rPr>
          <w:lang w:val="sl-SI"/>
        </w:rPr>
      </w:pPr>
      <w:bookmarkStart w:id="585" w:name="_Toc527401284"/>
      <w:r w:rsidRPr="001048FE">
        <w:rPr>
          <w:lang w:val="sl-SI"/>
        </w:rPr>
        <w:t>C: ECVET - Memorandum o soglasju</w:t>
      </w:r>
      <w:bookmarkEnd w:id="585"/>
    </w:p>
    <w:p w14:paraId="7D39A83C" w14:textId="77777777" w:rsidR="00E03711" w:rsidRPr="001048FE" w:rsidRDefault="00E03711" w:rsidP="00B35F65">
      <w:pPr>
        <w:pStyle w:val="GUIDE-NORMAL"/>
        <w:rPr>
          <w:lang w:val="sl-SI"/>
        </w:rPr>
      </w:pPr>
      <w:r w:rsidRPr="001048FE">
        <w:rPr>
          <w:lang w:val="sl-SI"/>
        </w:rPr>
        <w:t>Organizacije</w:t>
      </w:r>
      <w:r w:rsidRPr="001048FE">
        <w:rPr>
          <w:spacing w:val="-8"/>
          <w:lang w:val="sl-SI"/>
        </w:rPr>
        <w:t xml:space="preserve"> </w:t>
      </w:r>
      <w:r w:rsidRPr="001048FE">
        <w:rPr>
          <w:lang w:val="sl-SI"/>
        </w:rPr>
        <w:t>PIU</w:t>
      </w:r>
      <w:r w:rsidRPr="001048FE">
        <w:rPr>
          <w:spacing w:val="-8"/>
          <w:lang w:val="sl-SI"/>
        </w:rPr>
        <w:t xml:space="preserve"> </w:t>
      </w:r>
      <w:r w:rsidRPr="001048FE">
        <w:rPr>
          <w:lang w:val="sl-SI"/>
        </w:rPr>
        <w:t>se</w:t>
      </w:r>
      <w:r w:rsidRPr="001048FE">
        <w:rPr>
          <w:spacing w:val="-8"/>
          <w:lang w:val="sl-SI"/>
        </w:rPr>
        <w:t xml:space="preserve"> </w:t>
      </w:r>
      <w:r w:rsidRPr="001048FE">
        <w:rPr>
          <w:lang w:val="sl-SI"/>
        </w:rPr>
        <w:t>lahko</w:t>
      </w:r>
      <w:r w:rsidRPr="001048FE">
        <w:rPr>
          <w:spacing w:val="-8"/>
          <w:lang w:val="sl-SI"/>
        </w:rPr>
        <w:t xml:space="preserve"> </w:t>
      </w:r>
      <w:r w:rsidRPr="001048FE">
        <w:rPr>
          <w:lang w:val="sl-SI"/>
        </w:rPr>
        <w:t>odločijo,</w:t>
      </w:r>
      <w:r w:rsidRPr="001048FE">
        <w:rPr>
          <w:spacing w:val="-8"/>
          <w:lang w:val="sl-SI"/>
        </w:rPr>
        <w:t xml:space="preserve"> </w:t>
      </w:r>
      <w:r w:rsidRPr="001048FE">
        <w:rPr>
          <w:lang w:val="sl-SI"/>
        </w:rPr>
        <w:t>da</w:t>
      </w:r>
      <w:r w:rsidRPr="001048FE">
        <w:rPr>
          <w:spacing w:val="-8"/>
          <w:lang w:val="sl-SI"/>
        </w:rPr>
        <w:t xml:space="preserve"> </w:t>
      </w:r>
      <w:r w:rsidRPr="001048FE">
        <w:rPr>
          <w:lang w:val="sl-SI"/>
        </w:rPr>
        <w:t>bodo</w:t>
      </w:r>
      <w:r w:rsidRPr="001048FE">
        <w:rPr>
          <w:spacing w:val="-8"/>
          <w:lang w:val="sl-SI"/>
        </w:rPr>
        <w:t xml:space="preserve"> </w:t>
      </w:r>
      <w:r w:rsidRPr="001048FE">
        <w:rPr>
          <w:lang w:val="sl-SI"/>
        </w:rPr>
        <w:t>v</w:t>
      </w:r>
      <w:r w:rsidRPr="001048FE">
        <w:rPr>
          <w:spacing w:val="-8"/>
          <w:lang w:val="sl-SI"/>
        </w:rPr>
        <w:t xml:space="preserve"> </w:t>
      </w:r>
      <w:r w:rsidRPr="001048FE">
        <w:rPr>
          <w:lang w:val="sl-SI"/>
        </w:rPr>
        <w:t>okviru</w:t>
      </w:r>
      <w:r w:rsidRPr="001048FE">
        <w:rPr>
          <w:spacing w:val="-8"/>
          <w:lang w:val="sl-SI"/>
        </w:rPr>
        <w:t xml:space="preserve"> </w:t>
      </w:r>
      <w:r w:rsidRPr="001048FE">
        <w:rPr>
          <w:lang w:val="sl-SI"/>
        </w:rPr>
        <w:t>svojih</w:t>
      </w:r>
      <w:r w:rsidRPr="001048FE">
        <w:rPr>
          <w:spacing w:val="-8"/>
          <w:lang w:val="sl-SI"/>
        </w:rPr>
        <w:t xml:space="preserve"> </w:t>
      </w:r>
      <w:r w:rsidRPr="001048FE">
        <w:rPr>
          <w:lang w:val="sl-SI"/>
        </w:rPr>
        <w:t>aktivnosti</w:t>
      </w:r>
      <w:r w:rsidRPr="001048FE">
        <w:rPr>
          <w:spacing w:val="-8"/>
          <w:lang w:val="sl-SI"/>
        </w:rPr>
        <w:t xml:space="preserve"> </w:t>
      </w:r>
      <w:r w:rsidRPr="001048FE">
        <w:rPr>
          <w:lang w:val="sl-SI"/>
        </w:rPr>
        <w:t>mobilnosti</w:t>
      </w:r>
      <w:r w:rsidRPr="001048FE">
        <w:rPr>
          <w:spacing w:val="-8"/>
          <w:lang w:val="sl-SI"/>
        </w:rPr>
        <w:t xml:space="preserve"> </w:t>
      </w:r>
      <w:r w:rsidRPr="001048FE">
        <w:rPr>
          <w:lang w:val="sl-SI"/>
        </w:rPr>
        <w:t>uporabile</w:t>
      </w:r>
      <w:r w:rsidRPr="001048FE">
        <w:rPr>
          <w:spacing w:val="-8"/>
          <w:lang w:val="sl-SI"/>
        </w:rPr>
        <w:t xml:space="preserve"> </w:t>
      </w:r>
      <w:r w:rsidRPr="001048FE">
        <w:rPr>
          <w:lang w:val="sl-SI"/>
        </w:rPr>
        <w:t>evropski sistem kreditnih točk v poklicnem izobraževanju in usposabljanju (ECVET) (več informacij v nadaljevanju).</w:t>
      </w:r>
      <w:r w:rsidRPr="001048FE">
        <w:rPr>
          <w:spacing w:val="-19"/>
          <w:lang w:val="sl-SI"/>
        </w:rPr>
        <w:t xml:space="preserve"> </w:t>
      </w:r>
      <w:r w:rsidRPr="001048FE">
        <w:rPr>
          <w:lang w:val="sl-SI"/>
        </w:rPr>
        <w:t>V</w:t>
      </w:r>
      <w:r w:rsidRPr="001048FE">
        <w:rPr>
          <w:spacing w:val="-19"/>
          <w:lang w:val="sl-SI"/>
        </w:rPr>
        <w:t xml:space="preserve"> </w:t>
      </w:r>
      <w:r w:rsidRPr="001048FE">
        <w:rPr>
          <w:lang w:val="sl-SI"/>
        </w:rPr>
        <w:t>teh</w:t>
      </w:r>
      <w:r w:rsidRPr="001048FE">
        <w:rPr>
          <w:spacing w:val="-19"/>
          <w:lang w:val="sl-SI"/>
        </w:rPr>
        <w:t xml:space="preserve"> </w:t>
      </w:r>
      <w:r w:rsidRPr="001048FE">
        <w:rPr>
          <w:lang w:val="sl-SI"/>
        </w:rPr>
        <w:t>primerih</w:t>
      </w:r>
      <w:r w:rsidRPr="001048FE">
        <w:rPr>
          <w:spacing w:val="-19"/>
          <w:lang w:val="sl-SI"/>
        </w:rPr>
        <w:t xml:space="preserve"> </w:t>
      </w:r>
      <w:r w:rsidRPr="001048FE">
        <w:rPr>
          <w:lang w:val="sl-SI"/>
        </w:rPr>
        <w:t>je</w:t>
      </w:r>
      <w:r w:rsidRPr="001048FE">
        <w:rPr>
          <w:spacing w:val="-19"/>
          <w:lang w:val="sl-SI"/>
        </w:rPr>
        <w:t xml:space="preserve"> </w:t>
      </w:r>
      <w:r w:rsidRPr="001048FE">
        <w:rPr>
          <w:lang w:val="sl-SI"/>
        </w:rPr>
        <w:t>pogoj</w:t>
      </w:r>
      <w:r w:rsidRPr="001048FE">
        <w:rPr>
          <w:spacing w:val="-19"/>
          <w:lang w:val="sl-SI"/>
        </w:rPr>
        <w:t xml:space="preserve"> </w:t>
      </w:r>
      <w:r w:rsidRPr="001048FE">
        <w:rPr>
          <w:lang w:val="sl-SI"/>
        </w:rPr>
        <w:t>za</w:t>
      </w:r>
      <w:r w:rsidRPr="001048FE">
        <w:rPr>
          <w:spacing w:val="-19"/>
          <w:lang w:val="sl-SI"/>
        </w:rPr>
        <w:t xml:space="preserve"> </w:t>
      </w:r>
      <w:r w:rsidRPr="001048FE">
        <w:rPr>
          <w:lang w:val="sl-SI"/>
        </w:rPr>
        <w:t>uporabo</w:t>
      </w:r>
      <w:r w:rsidRPr="001048FE">
        <w:rPr>
          <w:spacing w:val="-19"/>
          <w:lang w:val="sl-SI"/>
        </w:rPr>
        <w:t xml:space="preserve"> </w:t>
      </w:r>
      <w:r w:rsidRPr="001048FE">
        <w:rPr>
          <w:lang w:val="sl-SI"/>
        </w:rPr>
        <w:t>sistema</w:t>
      </w:r>
      <w:r w:rsidRPr="001048FE">
        <w:rPr>
          <w:spacing w:val="-19"/>
          <w:lang w:val="sl-SI"/>
        </w:rPr>
        <w:t xml:space="preserve"> </w:t>
      </w:r>
      <w:r w:rsidRPr="001048FE">
        <w:rPr>
          <w:lang w:val="sl-SI"/>
        </w:rPr>
        <w:t>ECVET</w:t>
      </w:r>
      <w:r w:rsidRPr="001048FE">
        <w:rPr>
          <w:spacing w:val="-19"/>
          <w:lang w:val="sl-SI"/>
        </w:rPr>
        <w:t xml:space="preserve"> </w:t>
      </w:r>
      <w:r w:rsidRPr="001048FE">
        <w:rPr>
          <w:lang w:val="sl-SI"/>
        </w:rPr>
        <w:t>vzpostavitev</w:t>
      </w:r>
      <w:r w:rsidRPr="001048FE">
        <w:rPr>
          <w:spacing w:val="-19"/>
          <w:lang w:val="sl-SI"/>
        </w:rPr>
        <w:t xml:space="preserve"> </w:t>
      </w:r>
      <w:r w:rsidRPr="001048FE">
        <w:rPr>
          <w:lang w:val="sl-SI"/>
        </w:rPr>
        <w:t>partnerstva</w:t>
      </w:r>
      <w:r w:rsidRPr="001048FE">
        <w:rPr>
          <w:spacing w:val="-19"/>
          <w:lang w:val="sl-SI"/>
        </w:rPr>
        <w:t xml:space="preserve"> </w:t>
      </w:r>
      <w:r w:rsidRPr="001048FE">
        <w:rPr>
          <w:lang w:val="sl-SI"/>
        </w:rPr>
        <w:t>ECVET. To partnerstvo mora združevati pristojne organizacije, ki so vključene</w:t>
      </w:r>
      <w:r w:rsidRPr="001048FE">
        <w:rPr>
          <w:spacing w:val="-26"/>
          <w:lang w:val="sl-SI"/>
        </w:rPr>
        <w:t xml:space="preserve"> </w:t>
      </w:r>
      <w:r w:rsidRPr="001048FE">
        <w:rPr>
          <w:lang w:val="sl-SI"/>
        </w:rPr>
        <w:t>v</w:t>
      </w:r>
    </w:p>
    <w:p w14:paraId="7D39A83D" w14:textId="77777777" w:rsidR="00E03711" w:rsidRPr="001048FE" w:rsidRDefault="00E03711" w:rsidP="002D7FF4">
      <w:pPr>
        <w:pStyle w:val="Guide-NormalBulletpoints"/>
        <w:numPr>
          <w:ilvl w:val="0"/>
          <w:numId w:val="57"/>
        </w:numPr>
        <w:rPr>
          <w:lang w:val="sl-SI"/>
        </w:rPr>
      </w:pPr>
      <w:r w:rsidRPr="001048FE">
        <w:rPr>
          <w:lang w:val="sl-SI"/>
        </w:rPr>
        <w:t>opredeljevanje ustreznih učnih izidov med</w:t>
      </w:r>
      <w:r w:rsidRPr="001048FE">
        <w:rPr>
          <w:spacing w:val="-13"/>
          <w:lang w:val="sl-SI"/>
        </w:rPr>
        <w:t xml:space="preserve"> </w:t>
      </w:r>
      <w:r w:rsidRPr="001048FE">
        <w:rPr>
          <w:lang w:val="sl-SI"/>
        </w:rPr>
        <w:t>mobilnostjo;</w:t>
      </w:r>
    </w:p>
    <w:p w14:paraId="7D39A83E" w14:textId="77777777" w:rsidR="00E03711" w:rsidRPr="001048FE" w:rsidRDefault="00E03711" w:rsidP="002D7FF4">
      <w:pPr>
        <w:pStyle w:val="Guide-NormalBulletpoints"/>
        <w:numPr>
          <w:ilvl w:val="0"/>
          <w:numId w:val="57"/>
        </w:numPr>
        <w:rPr>
          <w:lang w:val="sl-SI"/>
        </w:rPr>
      </w:pPr>
      <w:r w:rsidRPr="001048FE">
        <w:rPr>
          <w:lang w:val="sl-SI"/>
        </w:rPr>
        <w:t>zagotavljanje programov PIU, ki zadostijo tem</w:t>
      </w:r>
      <w:r w:rsidRPr="001048FE">
        <w:rPr>
          <w:spacing w:val="-18"/>
          <w:lang w:val="sl-SI"/>
        </w:rPr>
        <w:t xml:space="preserve"> </w:t>
      </w:r>
      <w:r w:rsidRPr="001048FE">
        <w:rPr>
          <w:lang w:val="sl-SI"/>
        </w:rPr>
        <w:t>potrebam;</w:t>
      </w:r>
    </w:p>
    <w:p w14:paraId="7D39A83F" w14:textId="77777777" w:rsidR="00E03711" w:rsidRPr="001048FE" w:rsidRDefault="00E03711" w:rsidP="002D7FF4">
      <w:pPr>
        <w:pStyle w:val="Guide-NormalBulletpoints"/>
        <w:numPr>
          <w:ilvl w:val="0"/>
          <w:numId w:val="57"/>
        </w:numPr>
        <w:rPr>
          <w:lang w:val="sl-SI"/>
        </w:rPr>
      </w:pPr>
      <w:r w:rsidRPr="001048FE">
        <w:rPr>
          <w:lang w:val="sl-SI"/>
        </w:rPr>
        <w:t>ocenjevanje tega, v kolikšni meri so udeleženci dosegli učne izide,</w:t>
      </w:r>
      <w:r w:rsidRPr="001048FE">
        <w:rPr>
          <w:spacing w:val="45"/>
          <w:lang w:val="sl-SI"/>
        </w:rPr>
        <w:t xml:space="preserve"> </w:t>
      </w:r>
      <w:r w:rsidRPr="001048FE">
        <w:rPr>
          <w:lang w:val="sl-SI"/>
        </w:rPr>
        <w:t>ter</w:t>
      </w:r>
    </w:p>
    <w:p w14:paraId="7D39A840" w14:textId="77777777" w:rsidR="00E03711" w:rsidRPr="001048FE" w:rsidRDefault="00E03711" w:rsidP="002D7FF4">
      <w:pPr>
        <w:pStyle w:val="Guide-NormalBulletpoints"/>
        <w:numPr>
          <w:ilvl w:val="0"/>
          <w:numId w:val="57"/>
        </w:numPr>
        <w:rPr>
          <w:lang w:val="sl-SI"/>
        </w:rPr>
      </w:pPr>
      <w:r w:rsidRPr="001048FE">
        <w:rPr>
          <w:lang w:val="sl-SI"/>
        </w:rPr>
        <w:t>potrjevanje</w:t>
      </w:r>
      <w:r w:rsidRPr="001048FE">
        <w:rPr>
          <w:spacing w:val="-9"/>
          <w:lang w:val="sl-SI"/>
        </w:rPr>
        <w:t xml:space="preserve"> </w:t>
      </w:r>
      <w:r w:rsidRPr="001048FE">
        <w:rPr>
          <w:lang w:val="sl-SI"/>
        </w:rPr>
        <w:t>in</w:t>
      </w:r>
      <w:r w:rsidRPr="001048FE">
        <w:rPr>
          <w:spacing w:val="-9"/>
          <w:lang w:val="sl-SI"/>
        </w:rPr>
        <w:t xml:space="preserve"> </w:t>
      </w:r>
      <w:r w:rsidRPr="001048FE">
        <w:rPr>
          <w:lang w:val="sl-SI"/>
        </w:rPr>
        <w:t>priznavanje</w:t>
      </w:r>
      <w:r w:rsidRPr="001048FE">
        <w:rPr>
          <w:spacing w:val="-9"/>
          <w:lang w:val="sl-SI"/>
        </w:rPr>
        <w:t xml:space="preserve"> </w:t>
      </w:r>
      <w:r w:rsidRPr="001048FE">
        <w:rPr>
          <w:lang w:val="sl-SI"/>
        </w:rPr>
        <w:t>kreditnih</w:t>
      </w:r>
      <w:r w:rsidRPr="001048FE">
        <w:rPr>
          <w:spacing w:val="-9"/>
          <w:lang w:val="sl-SI"/>
        </w:rPr>
        <w:t xml:space="preserve"> </w:t>
      </w:r>
      <w:r w:rsidRPr="001048FE">
        <w:rPr>
          <w:lang w:val="sl-SI"/>
        </w:rPr>
        <w:t>točk</w:t>
      </w:r>
      <w:r w:rsidRPr="001048FE">
        <w:rPr>
          <w:spacing w:val="-9"/>
          <w:lang w:val="sl-SI"/>
        </w:rPr>
        <w:t xml:space="preserve"> </w:t>
      </w:r>
      <w:r w:rsidRPr="001048FE">
        <w:rPr>
          <w:lang w:val="sl-SI"/>
        </w:rPr>
        <w:t>udeležencem</w:t>
      </w:r>
      <w:r w:rsidRPr="001048FE">
        <w:rPr>
          <w:spacing w:val="-9"/>
          <w:lang w:val="sl-SI"/>
        </w:rPr>
        <w:t xml:space="preserve"> </w:t>
      </w:r>
      <w:r w:rsidRPr="001048FE">
        <w:rPr>
          <w:lang w:val="sl-SI"/>
        </w:rPr>
        <w:t>ob</w:t>
      </w:r>
      <w:r w:rsidRPr="001048FE">
        <w:rPr>
          <w:spacing w:val="-8"/>
          <w:lang w:val="sl-SI"/>
        </w:rPr>
        <w:t xml:space="preserve"> </w:t>
      </w:r>
      <w:r w:rsidRPr="001048FE">
        <w:rPr>
          <w:lang w:val="sl-SI"/>
        </w:rPr>
        <w:t>njihovem</w:t>
      </w:r>
      <w:r w:rsidRPr="001048FE">
        <w:rPr>
          <w:spacing w:val="-9"/>
          <w:lang w:val="sl-SI"/>
        </w:rPr>
        <w:t xml:space="preserve"> </w:t>
      </w:r>
      <w:r w:rsidRPr="001048FE">
        <w:rPr>
          <w:lang w:val="sl-SI"/>
        </w:rPr>
        <w:t>povratku</w:t>
      </w:r>
      <w:r w:rsidRPr="001048FE">
        <w:rPr>
          <w:spacing w:val="-9"/>
          <w:lang w:val="sl-SI"/>
        </w:rPr>
        <w:t xml:space="preserve"> </w:t>
      </w:r>
      <w:r w:rsidRPr="001048FE">
        <w:rPr>
          <w:lang w:val="sl-SI"/>
        </w:rPr>
        <w:t>na</w:t>
      </w:r>
      <w:r w:rsidRPr="001048FE">
        <w:rPr>
          <w:spacing w:val="-9"/>
          <w:lang w:val="sl-SI"/>
        </w:rPr>
        <w:t xml:space="preserve"> </w:t>
      </w:r>
      <w:r w:rsidRPr="001048FE">
        <w:rPr>
          <w:lang w:val="sl-SI"/>
        </w:rPr>
        <w:t>domačo institucijo.</w:t>
      </w:r>
    </w:p>
    <w:p w14:paraId="7D39A841" w14:textId="77777777" w:rsidR="00E03711" w:rsidRPr="00237696" w:rsidRDefault="00E03711" w:rsidP="00801D92">
      <w:pPr>
        <w:pStyle w:val="BodyText"/>
        <w:spacing w:before="1"/>
        <w:rPr>
          <w:rFonts w:ascii="Calibri" w:hAnsi="Calibri"/>
          <w:color w:val="FF0000"/>
          <w:sz w:val="13"/>
          <w:lang w:val="sl-SI"/>
        </w:rPr>
      </w:pPr>
    </w:p>
    <w:p w14:paraId="7D39A842" w14:textId="77777777" w:rsidR="00E03711" w:rsidRPr="001048FE" w:rsidRDefault="00E03711" w:rsidP="00B35F65">
      <w:pPr>
        <w:pStyle w:val="GUIDE-NORMAL"/>
        <w:rPr>
          <w:lang w:val="sl-SI"/>
        </w:rPr>
      </w:pPr>
      <w:r w:rsidRPr="001048FE">
        <w:rPr>
          <w:lang w:val="sl-SI"/>
        </w:rPr>
        <w:t>Partnerstvo za mobilnost na podlagi sistema ECVET je mogoče formalizirati z memorandumom o soglasju.</w:t>
      </w:r>
    </w:p>
    <w:p w14:paraId="7D39A843" w14:textId="77777777" w:rsidR="00E03711" w:rsidRPr="001048FE" w:rsidRDefault="00E03711" w:rsidP="00B35F65">
      <w:pPr>
        <w:pStyle w:val="GUIDE-NORMAL"/>
        <w:rPr>
          <w:lang w:val="sl-SI"/>
        </w:rPr>
      </w:pPr>
      <w:r w:rsidRPr="001048FE">
        <w:rPr>
          <w:lang w:val="sl-SI"/>
        </w:rPr>
        <w:t>Memorandum</w:t>
      </w:r>
      <w:r w:rsidRPr="001048FE">
        <w:rPr>
          <w:spacing w:val="-14"/>
          <w:lang w:val="sl-SI"/>
        </w:rPr>
        <w:t xml:space="preserve"> </w:t>
      </w:r>
      <w:r w:rsidRPr="001048FE">
        <w:rPr>
          <w:lang w:val="sl-SI"/>
        </w:rPr>
        <w:t>o</w:t>
      </w:r>
      <w:r w:rsidRPr="001048FE">
        <w:rPr>
          <w:spacing w:val="-13"/>
          <w:lang w:val="sl-SI"/>
        </w:rPr>
        <w:t xml:space="preserve"> </w:t>
      </w:r>
      <w:r w:rsidRPr="001048FE">
        <w:rPr>
          <w:lang w:val="sl-SI"/>
        </w:rPr>
        <w:t>soglasju</w:t>
      </w:r>
      <w:r w:rsidRPr="001048FE">
        <w:rPr>
          <w:spacing w:val="-14"/>
          <w:lang w:val="sl-SI"/>
        </w:rPr>
        <w:t xml:space="preserve"> </w:t>
      </w:r>
      <w:r w:rsidRPr="001048FE">
        <w:rPr>
          <w:lang w:val="sl-SI"/>
        </w:rPr>
        <w:t>je</w:t>
      </w:r>
      <w:r w:rsidRPr="001048FE">
        <w:rPr>
          <w:spacing w:val="-14"/>
          <w:lang w:val="sl-SI"/>
        </w:rPr>
        <w:t xml:space="preserve"> </w:t>
      </w:r>
      <w:r w:rsidRPr="001048FE">
        <w:rPr>
          <w:lang w:val="sl-SI"/>
        </w:rPr>
        <w:t>sporazum</w:t>
      </w:r>
      <w:r w:rsidRPr="001048FE">
        <w:rPr>
          <w:spacing w:val="-14"/>
          <w:lang w:val="sl-SI"/>
        </w:rPr>
        <w:t xml:space="preserve"> </w:t>
      </w:r>
      <w:r w:rsidRPr="001048FE">
        <w:rPr>
          <w:lang w:val="sl-SI"/>
        </w:rPr>
        <w:t>med</w:t>
      </w:r>
      <w:r w:rsidRPr="001048FE">
        <w:rPr>
          <w:spacing w:val="-14"/>
          <w:lang w:val="sl-SI"/>
        </w:rPr>
        <w:t xml:space="preserve"> </w:t>
      </w:r>
      <w:r w:rsidRPr="001048FE">
        <w:rPr>
          <w:lang w:val="sl-SI"/>
        </w:rPr>
        <w:t>dvema</w:t>
      </w:r>
      <w:r w:rsidRPr="001048FE">
        <w:rPr>
          <w:spacing w:val="-14"/>
          <w:lang w:val="sl-SI"/>
        </w:rPr>
        <w:t xml:space="preserve"> </w:t>
      </w:r>
      <w:r w:rsidRPr="001048FE">
        <w:rPr>
          <w:lang w:val="sl-SI"/>
        </w:rPr>
        <w:t>pristojnima</w:t>
      </w:r>
      <w:r w:rsidRPr="001048FE">
        <w:rPr>
          <w:spacing w:val="-14"/>
          <w:lang w:val="sl-SI"/>
        </w:rPr>
        <w:t xml:space="preserve"> </w:t>
      </w:r>
      <w:r w:rsidRPr="001048FE">
        <w:rPr>
          <w:lang w:val="sl-SI"/>
        </w:rPr>
        <w:t>organizacijama,</w:t>
      </w:r>
      <w:r w:rsidRPr="001048FE">
        <w:rPr>
          <w:spacing w:val="-13"/>
          <w:lang w:val="sl-SI"/>
        </w:rPr>
        <w:t xml:space="preserve"> </w:t>
      </w:r>
      <w:r w:rsidRPr="001048FE">
        <w:rPr>
          <w:lang w:val="sl-SI"/>
        </w:rPr>
        <w:t>ki</w:t>
      </w:r>
      <w:r w:rsidRPr="001048FE">
        <w:rPr>
          <w:spacing w:val="-14"/>
          <w:lang w:val="sl-SI"/>
        </w:rPr>
        <w:t xml:space="preserve"> </w:t>
      </w:r>
      <w:r w:rsidRPr="001048FE">
        <w:rPr>
          <w:lang w:val="sl-SI"/>
        </w:rPr>
        <w:t>opredeli</w:t>
      </w:r>
      <w:r w:rsidRPr="001048FE">
        <w:rPr>
          <w:spacing w:val="-13"/>
          <w:lang w:val="sl-SI"/>
        </w:rPr>
        <w:t xml:space="preserve"> </w:t>
      </w:r>
      <w:r w:rsidRPr="001048FE">
        <w:rPr>
          <w:lang w:val="sl-SI"/>
        </w:rPr>
        <w:t>okvir</w:t>
      </w:r>
      <w:r w:rsidRPr="001048FE">
        <w:rPr>
          <w:spacing w:val="-13"/>
          <w:lang w:val="sl-SI"/>
        </w:rPr>
        <w:t xml:space="preserve"> </w:t>
      </w:r>
      <w:r w:rsidRPr="001048FE">
        <w:rPr>
          <w:lang w:val="sl-SI"/>
        </w:rPr>
        <w:t>za prenos kreditnih točk. Ta sporazum formalizira partnerstvo ECVET, tako da se v njem navede vzajemno sprejemanje statusa ter postopkov vključenih pristojnih organizacij in institucij. Določa tudi postopke partnerstev za</w:t>
      </w:r>
      <w:r w:rsidRPr="001048FE">
        <w:rPr>
          <w:spacing w:val="-12"/>
          <w:lang w:val="sl-SI"/>
        </w:rPr>
        <w:t xml:space="preserve"> </w:t>
      </w:r>
      <w:r w:rsidRPr="001048FE">
        <w:rPr>
          <w:lang w:val="sl-SI"/>
        </w:rPr>
        <w:t>sodelovanje.</w:t>
      </w:r>
    </w:p>
    <w:p w14:paraId="7D39A844" w14:textId="77777777" w:rsidR="00E03711" w:rsidRPr="001048FE" w:rsidRDefault="00E03711" w:rsidP="00B35F65">
      <w:pPr>
        <w:pStyle w:val="GUIDE-NORMAL"/>
        <w:rPr>
          <w:lang w:val="sl-SI"/>
        </w:rPr>
      </w:pPr>
      <w:r w:rsidRPr="001048FE">
        <w:rPr>
          <w:lang w:val="sl-SI"/>
        </w:rPr>
        <w:t xml:space="preserve">Memorandume o soglasju lahko oblikujejo omrežja pristojnih organizacij/institucij iz več držav/sistemov, lahko pa so glede na potrebe in ambicije partnerstev tudi dvostranska. Za več informacij in smernic o oblikovanju memoranduma o soglasju glej priročnik za uporabnike sistema ECVET, ki je na voljo na spletišču Evropske komisije, ali naslednji povezavi: </w:t>
      </w:r>
      <w:hyperlink r:id="rId163">
        <w:r w:rsidRPr="001048FE">
          <w:rPr>
            <w:rStyle w:val="Hyperlink"/>
            <w:lang w:val="sl-SI"/>
          </w:rPr>
          <w:t>http://ec.europa.eu/education/policy/vocational-policy/ecvet_sl.htm</w:t>
        </w:r>
        <w:r w:rsidRPr="001048FE">
          <w:rPr>
            <w:lang w:val="sl-SI"/>
          </w:rPr>
          <w:t xml:space="preserve"> </w:t>
        </w:r>
      </w:hyperlink>
      <w:r w:rsidRPr="001048FE">
        <w:rPr>
          <w:lang w:val="sl-SI"/>
        </w:rPr>
        <w:t xml:space="preserve">and </w:t>
      </w:r>
      <w:hyperlink r:id="rId164">
        <w:r w:rsidRPr="001048FE">
          <w:rPr>
            <w:rStyle w:val="Hyperlink"/>
            <w:lang w:val="sl-SI"/>
          </w:rPr>
          <w:t>http://www.ecvet-secretariat.eu</w:t>
        </w:r>
      </w:hyperlink>
    </w:p>
    <w:p w14:paraId="7D39A845" w14:textId="77777777" w:rsidR="00E03711" w:rsidRPr="001048FE" w:rsidRDefault="00E03711" w:rsidP="00B35F65">
      <w:pPr>
        <w:pStyle w:val="Guide-Heading4"/>
        <w:rPr>
          <w:lang w:val="sl-SI"/>
        </w:rPr>
      </w:pPr>
      <w:bookmarkStart w:id="586" w:name="_Toc527401285"/>
      <w:r w:rsidRPr="001048FE">
        <w:rPr>
          <w:lang w:val="sl-SI"/>
        </w:rPr>
        <w:t>D: Konzorcij za mobilnost</w:t>
      </w:r>
      <w:bookmarkEnd w:id="586"/>
    </w:p>
    <w:p w14:paraId="7D39A846" w14:textId="77777777" w:rsidR="00E03711" w:rsidRPr="001048FE" w:rsidRDefault="00E03711" w:rsidP="00B35F65">
      <w:pPr>
        <w:pStyle w:val="GUIDE-NORMAL"/>
        <w:rPr>
          <w:lang w:val="sl-SI"/>
        </w:rPr>
      </w:pPr>
      <w:r w:rsidRPr="001048FE">
        <w:rPr>
          <w:lang w:val="sl-SI"/>
        </w:rPr>
        <w:t>Poleg</w:t>
      </w:r>
      <w:r w:rsidRPr="001048FE">
        <w:rPr>
          <w:spacing w:val="-10"/>
          <w:lang w:val="sl-SI"/>
        </w:rPr>
        <w:t xml:space="preserve"> </w:t>
      </w:r>
      <w:r w:rsidRPr="001048FE">
        <w:rPr>
          <w:lang w:val="sl-SI"/>
        </w:rPr>
        <w:t>tega</w:t>
      </w:r>
      <w:r w:rsidRPr="001048FE">
        <w:rPr>
          <w:spacing w:val="-10"/>
          <w:lang w:val="sl-SI"/>
        </w:rPr>
        <w:t xml:space="preserve"> </w:t>
      </w:r>
      <w:r w:rsidRPr="001048FE">
        <w:rPr>
          <w:lang w:val="sl-SI"/>
        </w:rPr>
        <w:t>da</w:t>
      </w:r>
      <w:r w:rsidRPr="001048FE">
        <w:rPr>
          <w:spacing w:val="-10"/>
          <w:lang w:val="sl-SI"/>
        </w:rPr>
        <w:t xml:space="preserve"> </w:t>
      </w:r>
      <w:r w:rsidRPr="001048FE">
        <w:rPr>
          <w:lang w:val="sl-SI"/>
        </w:rPr>
        <w:t>se</w:t>
      </w:r>
      <w:r w:rsidRPr="001048FE">
        <w:rPr>
          <w:spacing w:val="-10"/>
          <w:lang w:val="sl-SI"/>
        </w:rPr>
        <w:t xml:space="preserve"> </w:t>
      </w:r>
      <w:r w:rsidRPr="001048FE">
        <w:rPr>
          <w:lang w:val="sl-SI"/>
        </w:rPr>
        <w:t>lahko</w:t>
      </w:r>
      <w:r w:rsidRPr="001048FE">
        <w:rPr>
          <w:spacing w:val="-10"/>
          <w:lang w:val="sl-SI"/>
        </w:rPr>
        <w:t xml:space="preserve"> </w:t>
      </w:r>
      <w:r w:rsidRPr="001048FE">
        <w:rPr>
          <w:lang w:val="sl-SI"/>
        </w:rPr>
        <w:t>ponudniki</w:t>
      </w:r>
      <w:r w:rsidRPr="001048FE">
        <w:rPr>
          <w:spacing w:val="-10"/>
          <w:lang w:val="sl-SI"/>
        </w:rPr>
        <w:t xml:space="preserve"> </w:t>
      </w:r>
      <w:r w:rsidRPr="001048FE">
        <w:rPr>
          <w:lang w:val="sl-SI"/>
        </w:rPr>
        <w:t>PIU</w:t>
      </w:r>
      <w:r w:rsidRPr="001048FE">
        <w:rPr>
          <w:spacing w:val="-10"/>
          <w:lang w:val="sl-SI"/>
        </w:rPr>
        <w:t xml:space="preserve"> </w:t>
      </w:r>
      <w:r w:rsidRPr="001048FE">
        <w:rPr>
          <w:lang w:val="sl-SI"/>
        </w:rPr>
        <w:t>prijavijo</w:t>
      </w:r>
      <w:r w:rsidRPr="001048FE">
        <w:rPr>
          <w:spacing w:val="-10"/>
          <w:lang w:val="sl-SI"/>
        </w:rPr>
        <w:t xml:space="preserve"> </w:t>
      </w:r>
      <w:r w:rsidRPr="001048FE">
        <w:rPr>
          <w:lang w:val="sl-SI"/>
        </w:rPr>
        <w:t>kot</w:t>
      </w:r>
      <w:r w:rsidRPr="001048FE">
        <w:rPr>
          <w:spacing w:val="-10"/>
          <w:lang w:val="sl-SI"/>
        </w:rPr>
        <w:t xml:space="preserve"> </w:t>
      </w:r>
      <w:r w:rsidRPr="001048FE">
        <w:rPr>
          <w:lang w:val="sl-SI"/>
        </w:rPr>
        <w:t>ena</w:t>
      </w:r>
      <w:r w:rsidRPr="001048FE">
        <w:rPr>
          <w:spacing w:val="-10"/>
          <w:lang w:val="sl-SI"/>
        </w:rPr>
        <w:t xml:space="preserve"> </w:t>
      </w:r>
      <w:r w:rsidRPr="001048FE">
        <w:rPr>
          <w:lang w:val="sl-SI"/>
        </w:rPr>
        <w:t>organizacija,</w:t>
      </w:r>
      <w:r w:rsidRPr="001048FE">
        <w:rPr>
          <w:spacing w:val="-9"/>
          <w:lang w:val="sl-SI"/>
        </w:rPr>
        <w:t xml:space="preserve"> </w:t>
      </w:r>
      <w:r w:rsidRPr="001048FE">
        <w:rPr>
          <w:lang w:val="sl-SI"/>
        </w:rPr>
        <w:t>se</w:t>
      </w:r>
      <w:r w:rsidRPr="001048FE">
        <w:rPr>
          <w:spacing w:val="-10"/>
          <w:lang w:val="sl-SI"/>
        </w:rPr>
        <w:t xml:space="preserve"> </w:t>
      </w:r>
      <w:r w:rsidRPr="001048FE">
        <w:rPr>
          <w:lang w:val="sl-SI"/>
        </w:rPr>
        <w:t>lahko</w:t>
      </w:r>
      <w:r w:rsidRPr="001048FE">
        <w:rPr>
          <w:spacing w:val="-10"/>
          <w:lang w:val="sl-SI"/>
        </w:rPr>
        <w:t xml:space="preserve"> </w:t>
      </w:r>
      <w:r w:rsidRPr="001048FE">
        <w:rPr>
          <w:lang w:val="sl-SI"/>
        </w:rPr>
        <w:t>nacionalni</w:t>
      </w:r>
      <w:r w:rsidRPr="001048FE">
        <w:rPr>
          <w:spacing w:val="-10"/>
          <w:lang w:val="sl-SI"/>
        </w:rPr>
        <w:t xml:space="preserve"> </w:t>
      </w:r>
      <w:r w:rsidRPr="001048FE">
        <w:rPr>
          <w:lang w:val="sl-SI"/>
        </w:rPr>
        <w:t>konzorcij</w:t>
      </w:r>
      <w:r w:rsidRPr="001048FE">
        <w:rPr>
          <w:spacing w:val="-10"/>
          <w:lang w:val="sl-SI"/>
        </w:rPr>
        <w:t xml:space="preserve"> </w:t>
      </w:r>
      <w:r w:rsidRPr="001048FE">
        <w:rPr>
          <w:lang w:val="sl-SI"/>
        </w:rPr>
        <w:t>za mobilnost prijavi tudi za projekt mobilnosti</w:t>
      </w:r>
      <w:r w:rsidRPr="001048FE">
        <w:rPr>
          <w:spacing w:val="-10"/>
          <w:lang w:val="sl-SI"/>
        </w:rPr>
        <w:t xml:space="preserve"> </w:t>
      </w:r>
      <w:r w:rsidRPr="001048FE">
        <w:rPr>
          <w:lang w:val="sl-SI"/>
        </w:rPr>
        <w:t>PIU.</w:t>
      </w:r>
    </w:p>
    <w:p w14:paraId="7D39A847" w14:textId="77777777" w:rsidR="00E03711" w:rsidRPr="001048FE" w:rsidRDefault="00E03711" w:rsidP="00B35F65">
      <w:pPr>
        <w:pStyle w:val="GUIDE-NORMAL"/>
        <w:rPr>
          <w:lang w:val="sl-SI"/>
        </w:rPr>
      </w:pPr>
      <w:r w:rsidRPr="001048FE">
        <w:rPr>
          <w:lang w:val="sl-SI"/>
        </w:rPr>
        <w:t>Namen konzorcijev za mobilnost je olajšati organizacijo mobilnosti in zagotoviti dodano vrednost v zvezi s kakovostjo aktivnosti v primerjavi s tem, kaj bi lahko ponudila vsaka posamezna institucija PIU</w:t>
      </w:r>
      <w:r w:rsidRPr="001048FE">
        <w:rPr>
          <w:spacing w:val="-11"/>
          <w:lang w:val="sl-SI"/>
        </w:rPr>
        <w:t xml:space="preserve"> </w:t>
      </w:r>
      <w:r w:rsidRPr="001048FE">
        <w:rPr>
          <w:lang w:val="sl-SI"/>
        </w:rPr>
        <w:t>pošiljateljica</w:t>
      </w:r>
      <w:r w:rsidRPr="001048FE">
        <w:rPr>
          <w:spacing w:val="-11"/>
          <w:lang w:val="sl-SI"/>
        </w:rPr>
        <w:t xml:space="preserve"> </w:t>
      </w:r>
      <w:r w:rsidRPr="001048FE">
        <w:rPr>
          <w:lang w:val="sl-SI"/>
        </w:rPr>
        <w:t>(npr.</w:t>
      </w:r>
      <w:r w:rsidRPr="001048FE">
        <w:rPr>
          <w:spacing w:val="-11"/>
          <w:lang w:val="sl-SI"/>
        </w:rPr>
        <w:t xml:space="preserve"> </w:t>
      </w:r>
      <w:r w:rsidRPr="001048FE">
        <w:rPr>
          <w:lang w:val="sl-SI"/>
        </w:rPr>
        <w:t>šola</w:t>
      </w:r>
      <w:r w:rsidRPr="001048FE">
        <w:rPr>
          <w:spacing w:val="-11"/>
          <w:lang w:val="sl-SI"/>
        </w:rPr>
        <w:t xml:space="preserve"> </w:t>
      </w:r>
      <w:r w:rsidRPr="001048FE">
        <w:rPr>
          <w:lang w:val="sl-SI"/>
        </w:rPr>
        <w:t>PIU).</w:t>
      </w:r>
      <w:r w:rsidRPr="001048FE">
        <w:rPr>
          <w:spacing w:val="-11"/>
          <w:lang w:val="sl-SI"/>
        </w:rPr>
        <w:t xml:space="preserve"> </w:t>
      </w:r>
      <w:r w:rsidRPr="001048FE">
        <w:rPr>
          <w:lang w:val="sl-SI"/>
        </w:rPr>
        <w:t>Od</w:t>
      </w:r>
      <w:r w:rsidRPr="001048FE">
        <w:rPr>
          <w:spacing w:val="-11"/>
          <w:lang w:val="sl-SI"/>
        </w:rPr>
        <w:t xml:space="preserve"> </w:t>
      </w:r>
      <w:r w:rsidRPr="001048FE">
        <w:rPr>
          <w:lang w:val="sl-SI"/>
        </w:rPr>
        <w:t>organizacij,</w:t>
      </w:r>
      <w:r w:rsidRPr="001048FE">
        <w:rPr>
          <w:spacing w:val="-10"/>
          <w:lang w:val="sl-SI"/>
        </w:rPr>
        <w:t xml:space="preserve"> </w:t>
      </w:r>
      <w:r w:rsidRPr="001048FE">
        <w:rPr>
          <w:lang w:val="sl-SI"/>
        </w:rPr>
        <w:t>ki</w:t>
      </w:r>
      <w:r w:rsidRPr="001048FE">
        <w:rPr>
          <w:spacing w:val="-11"/>
          <w:lang w:val="sl-SI"/>
        </w:rPr>
        <w:t xml:space="preserve"> </w:t>
      </w:r>
      <w:r w:rsidRPr="001048FE">
        <w:rPr>
          <w:lang w:val="sl-SI"/>
        </w:rPr>
        <w:t>so</w:t>
      </w:r>
      <w:r w:rsidRPr="001048FE">
        <w:rPr>
          <w:spacing w:val="-11"/>
          <w:lang w:val="sl-SI"/>
        </w:rPr>
        <w:t xml:space="preserve"> </w:t>
      </w:r>
      <w:r w:rsidRPr="001048FE">
        <w:rPr>
          <w:lang w:val="sl-SI"/>
        </w:rPr>
        <w:t>članice</w:t>
      </w:r>
      <w:r w:rsidRPr="001048FE">
        <w:rPr>
          <w:spacing w:val="-11"/>
          <w:lang w:val="sl-SI"/>
        </w:rPr>
        <w:t xml:space="preserve"> </w:t>
      </w:r>
      <w:r w:rsidRPr="001048FE">
        <w:rPr>
          <w:lang w:val="sl-SI"/>
        </w:rPr>
        <w:t>nacionalnega</w:t>
      </w:r>
      <w:r w:rsidRPr="001048FE">
        <w:rPr>
          <w:spacing w:val="-11"/>
          <w:lang w:val="sl-SI"/>
        </w:rPr>
        <w:t xml:space="preserve"> </w:t>
      </w:r>
      <w:r w:rsidRPr="001048FE">
        <w:rPr>
          <w:lang w:val="sl-SI"/>
        </w:rPr>
        <w:t>konzorcija</w:t>
      </w:r>
      <w:r w:rsidRPr="001048FE">
        <w:rPr>
          <w:spacing w:val="-11"/>
          <w:lang w:val="sl-SI"/>
        </w:rPr>
        <w:t xml:space="preserve"> </w:t>
      </w:r>
      <w:r w:rsidRPr="001048FE">
        <w:rPr>
          <w:lang w:val="sl-SI"/>
        </w:rPr>
        <w:t>za</w:t>
      </w:r>
      <w:r w:rsidRPr="001048FE">
        <w:rPr>
          <w:spacing w:val="-11"/>
          <w:lang w:val="sl-SI"/>
        </w:rPr>
        <w:t xml:space="preserve"> </w:t>
      </w:r>
      <w:r w:rsidRPr="001048FE">
        <w:rPr>
          <w:lang w:val="sl-SI"/>
        </w:rPr>
        <w:t>mobilnost, se pričakuje, da združijo ali vzajemno uporabljajo storitve, ki so povezane z organizacijo mobilnosti, ter</w:t>
      </w:r>
      <w:r w:rsidRPr="001048FE">
        <w:rPr>
          <w:spacing w:val="-17"/>
          <w:lang w:val="sl-SI"/>
        </w:rPr>
        <w:t xml:space="preserve"> </w:t>
      </w:r>
      <w:r w:rsidRPr="001048FE">
        <w:rPr>
          <w:lang w:val="sl-SI"/>
        </w:rPr>
        <w:t>da</w:t>
      </w:r>
      <w:r w:rsidRPr="001048FE">
        <w:rPr>
          <w:spacing w:val="-17"/>
          <w:lang w:val="sl-SI"/>
        </w:rPr>
        <w:t xml:space="preserve"> </w:t>
      </w:r>
      <w:r w:rsidRPr="001048FE">
        <w:rPr>
          <w:lang w:val="sl-SI"/>
        </w:rPr>
        <w:t>skupaj</w:t>
      </w:r>
      <w:r w:rsidRPr="001048FE">
        <w:rPr>
          <w:spacing w:val="-17"/>
          <w:lang w:val="sl-SI"/>
        </w:rPr>
        <w:t xml:space="preserve"> </w:t>
      </w:r>
      <w:r w:rsidRPr="001048FE">
        <w:rPr>
          <w:lang w:val="sl-SI"/>
        </w:rPr>
        <w:t>razvijajo</w:t>
      </w:r>
      <w:r w:rsidRPr="001048FE">
        <w:rPr>
          <w:spacing w:val="-17"/>
          <w:lang w:val="sl-SI"/>
        </w:rPr>
        <w:t xml:space="preserve"> </w:t>
      </w:r>
      <w:r w:rsidRPr="001048FE">
        <w:rPr>
          <w:lang w:val="sl-SI"/>
        </w:rPr>
        <w:t>svojo</w:t>
      </w:r>
      <w:r w:rsidRPr="001048FE">
        <w:rPr>
          <w:spacing w:val="-17"/>
          <w:lang w:val="sl-SI"/>
        </w:rPr>
        <w:t xml:space="preserve"> </w:t>
      </w:r>
      <w:r w:rsidRPr="001048FE">
        <w:rPr>
          <w:lang w:val="sl-SI"/>
        </w:rPr>
        <w:t>raven</w:t>
      </w:r>
      <w:r w:rsidRPr="001048FE">
        <w:rPr>
          <w:spacing w:val="-17"/>
          <w:lang w:val="sl-SI"/>
        </w:rPr>
        <w:t xml:space="preserve"> </w:t>
      </w:r>
      <w:r w:rsidRPr="001048FE">
        <w:rPr>
          <w:lang w:val="sl-SI"/>
        </w:rPr>
        <w:t>internacionalizacije</w:t>
      </w:r>
      <w:r w:rsidRPr="001048FE">
        <w:rPr>
          <w:spacing w:val="-17"/>
          <w:lang w:val="sl-SI"/>
        </w:rPr>
        <w:t xml:space="preserve"> </w:t>
      </w:r>
      <w:r w:rsidRPr="001048FE">
        <w:rPr>
          <w:lang w:val="sl-SI"/>
        </w:rPr>
        <w:t>z</w:t>
      </w:r>
      <w:r w:rsidRPr="001048FE">
        <w:rPr>
          <w:spacing w:val="-17"/>
          <w:lang w:val="sl-SI"/>
        </w:rPr>
        <w:t xml:space="preserve"> </w:t>
      </w:r>
      <w:r w:rsidRPr="001048FE">
        <w:rPr>
          <w:lang w:val="sl-SI"/>
        </w:rPr>
        <w:t>vzajemnim</w:t>
      </w:r>
      <w:r w:rsidRPr="001048FE">
        <w:rPr>
          <w:spacing w:val="-17"/>
          <w:lang w:val="sl-SI"/>
        </w:rPr>
        <w:t xml:space="preserve"> </w:t>
      </w:r>
      <w:r w:rsidRPr="001048FE">
        <w:rPr>
          <w:lang w:val="sl-SI"/>
        </w:rPr>
        <w:t>sodelovanjem</w:t>
      </w:r>
      <w:r w:rsidRPr="001048FE">
        <w:rPr>
          <w:spacing w:val="-17"/>
          <w:lang w:val="sl-SI"/>
        </w:rPr>
        <w:t xml:space="preserve"> </w:t>
      </w:r>
      <w:r w:rsidRPr="001048FE">
        <w:rPr>
          <w:lang w:val="sl-SI"/>
        </w:rPr>
        <w:t>in</w:t>
      </w:r>
      <w:r w:rsidRPr="001048FE">
        <w:rPr>
          <w:spacing w:val="-17"/>
          <w:lang w:val="sl-SI"/>
        </w:rPr>
        <w:t xml:space="preserve"> </w:t>
      </w:r>
      <w:r w:rsidRPr="001048FE">
        <w:rPr>
          <w:lang w:val="sl-SI"/>
        </w:rPr>
        <w:t>skupno</w:t>
      </w:r>
      <w:r w:rsidRPr="001048FE">
        <w:rPr>
          <w:spacing w:val="-17"/>
          <w:lang w:val="sl-SI"/>
        </w:rPr>
        <w:t xml:space="preserve"> </w:t>
      </w:r>
      <w:r w:rsidRPr="001048FE">
        <w:rPr>
          <w:lang w:val="sl-SI"/>
        </w:rPr>
        <w:t>uporabo stikov. Skupne aktivnosti običajno vključujejo skupno administrativno, pogodbeno in finančno upravljanje mobilnosti, skupni izbor in/ali priprave in spremljanje udeležencev ter, kadar je to ustrezno,</w:t>
      </w:r>
      <w:r w:rsidRPr="001048FE">
        <w:rPr>
          <w:spacing w:val="-7"/>
          <w:lang w:val="sl-SI"/>
        </w:rPr>
        <w:t xml:space="preserve"> </w:t>
      </w:r>
      <w:r w:rsidRPr="001048FE">
        <w:rPr>
          <w:lang w:val="sl-SI"/>
        </w:rPr>
        <w:t>osrednjo</w:t>
      </w:r>
      <w:r w:rsidRPr="001048FE">
        <w:rPr>
          <w:spacing w:val="-6"/>
          <w:lang w:val="sl-SI"/>
        </w:rPr>
        <w:t xml:space="preserve"> </w:t>
      </w:r>
      <w:r w:rsidRPr="001048FE">
        <w:rPr>
          <w:lang w:val="sl-SI"/>
        </w:rPr>
        <w:t>točko</w:t>
      </w:r>
      <w:r w:rsidRPr="001048FE">
        <w:rPr>
          <w:spacing w:val="-7"/>
          <w:lang w:val="sl-SI"/>
        </w:rPr>
        <w:t xml:space="preserve"> </w:t>
      </w:r>
      <w:r w:rsidRPr="001048FE">
        <w:rPr>
          <w:lang w:val="sl-SI"/>
        </w:rPr>
        <w:t>za</w:t>
      </w:r>
      <w:r w:rsidRPr="001048FE">
        <w:rPr>
          <w:spacing w:val="-7"/>
          <w:lang w:val="sl-SI"/>
        </w:rPr>
        <w:t xml:space="preserve"> </w:t>
      </w:r>
      <w:r w:rsidRPr="001048FE">
        <w:rPr>
          <w:lang w:val="sl-SI"/>
        </w:rPr>
        <w:t>iskanje</w:t>
      </w:r>
      <w:r w:rsidRPr="001048FE">
        <w:rPr>
          <w:spacing w:val="-7"/>
          <w:lang w:val="sl-SI"/>
        </w:rPr>
        <w:t xml:space="preserve"> </w:t>
      </w:r>
      <w:r w:rsidRPr="001048FE">
        <w:rPr>
          <w:lang w:val="sl-SI"/>
        </w:rPr>
        <w:t>podjetij</w:t>
      </w:r>
      <w:r w:rsidRPr="001048FE">
        <w:rPr>
          <w:spacing w:val="-7"/>
          <w:lang w:val="sl-SI"/>
        </w:rPr>
        <w:t xml:space="preserve"> </w:t>
      </w:r>
      <w:r w:rsidRPr="001048FE">
        <w:rPr>
          <w:lang w:val="sl-SI"/>
        </w:rPr>
        <w:t>in</w:t>
      </w:r>
      <w:r w:rsidRPr="001048FE">
        <w:rPr>
          <w:spacing w:val="-7"/>
          <w:lang w:val="sl-SI"/>
        </w:rPr>
        <w:t xml:space="preserve"> </w:t>
      </w:r>
      <w:r w:rsidRPr="001048FE">
        <w:rPr>
          <w:lang w:val="sl-SI"/>
        </w:rPr>
        <w:t>navezovanje</w:t>
      </w:r>
      <w:r w:rsidRPr="001048FE">
        <w:rPr>
          <w:spacing w:val="-7"/>
          <w:lang w:val="sl-SI"/>
        </w:rPr>
        <w:t xml:space="preserve"> </w:t>
      </w:r>
      <w:r w:rsidRPr="001048FE">
        <w:rPr>
          <w:lang w:val="sl-SI"/>
        </w:rPr>
        <w:t>stikov</w:t>
      </w:r>
      <w:r w:rsidRPr="001048FE">
        <w:rPr>
          <w:spacing w:val="-7"/>
          <w:lang w:val="sl-SI"/>
        </w:rPr>
        <w:t xml:space="preserve"> </w:t>
      </w:r>
      <w:r w:rsidRPr="001048FE">
        <w:rPr>
          <w:lang w:val="sl-SI"/>
        </w:rPr>
        <w:t>med</w:t>
      </w:r>
      <w:r w:rsidRPr="001048FE">
        <w:rPr>
          <w:spacing w:val="-7"/>
          <w:lang w:val="sl-SI"/>
        </w:rPr>
        <w:t xml:space="preserve"> </w:t>
      </w:r>
      <w:r w:rsidRPr="001048FE">
        <w:rPr>
          <w:lang w:val="sl-SI"/>
        </w:rPr>
        <w:t>podjetji</w:t>
      </w:r>
      <w:r w:rsidRPr="001048FE">
        <w:rPr>
          <w:spacing w:val="-7"/>
          <w:lang w:val="sl-SI"/>
        </w:rPr>
        <w:t xml:space="preserve"> </w:t>
      </w:r>
      <w:r w:rsidRPr="001048FE">
        <w:rPr>
          <w:lang w:val="sl-SI"/>
        </w:rPr>
        <w:t>in</w:t>
      </w:r>
      <w:r w:rsidRPr="001048FE">
        <w:rPr>
          <w:spacing w:val="-7"/>
          <w:lang w:val="sl-SI"/>
        </w:rPr>
        <w:t xml:space="preserve"> </w:t>
      </w:r>
      <w:r w:rsidRPr="001048FE">
        <w:rPr>
          <w:lang w:val="sl-SI"/>
        </w:rPr>
        <w:t>udeleženci.</w:t>
      </w:r>
    </w:p>
    <w:p w14:paraId="7D39A848" w14:textId="77777777" w:rsidR="00E03711" w:rsidRPr="001048FE" w:rsidRDefault="00E03711" w:rsidP="00B35F65">
      <w:pPr>
        <w:pStyle w:val="GUIDE-NORMAL"/>
        <w:rPr>
          <w:lang w:val="sl-SI"/>
        </w:rPr>
      </w:pPr>
      <w:r w:rsidRPr="001048FE">
        <w:rPr>
          <w:lang w:val="sl-SI"/>
        </w:rPr>
        <w:t>Nacionalni konzorcij za mobilnost ima lahko tudi vlogo posrednika za prihajajoče praktikante in osebje. To vključuje iskanje organizacije gostiteljice v regiji, kjer se nahajajo partnerji nacionalnega konzorcija za mobilnost, in zagotavljanje pomoči, če je ta potrebna.</w:t>
      </w:r>
    </w:p>
    <w:p w14:paraId="7D39A849" w14:textId="77777777" w:rsidR="00E03711" w:rsidRPr="001048FE" w:rsidRDefault="00E03711" w:rsidP="00B35F65">
      <w:pPr>
        <w:pStyle w:val="GUIDE-NORMAL"/>
        <w:rPr>
          <w:lang w:val="sl-SI"/>
        </w:rPr>
      </w:pPr>
      <w:r w:rsidRPr="001048FE">
        <w:rPr>
          <w:lang w:val="sl-SI"/>
        </w:rPr>
        <w:t>Koordinator konzorcija, morda skupaj z drugimi organizacijami/organizacijami posrednicami, mora imeti aktivno vlogo pri spodbujanju navezovanja stikov s podjetji, iskanju priložnosti za prakse in usposabljanja za osebje, promociji teh aktivnosti, zagotavljanju informacij itd.</w:t>
      </w:r>
    </w:p>
    <w:p w14:paraId="7D39A84A" w14:textId="77777777" w:rsidR="00E03711" w:rsidRPr="001048FE" w:rsidRDefault="00E03711" w:rsidP="00B35F65">
      <w:pPr>
        <w:pStyle w:val="GUIDE-NORMAL"/>
        <w:rPr>
          <w:lang w:val="sl-SI"/>
        </w:rPr>
      </w:pPr>
      <w:r w:rsidRPr="001048FE">
        <w:rPr>
          <w:lang w:val="sl-SI"/>
        </w:rPr>
        <w:t>Vsaka organizacija PIU pošiljateljica ostane odgovorna za kakovost, vsebino in priznavanje obdobij mobilnosti. Vsak član konzorcija mora s koordinatorjem konzorcija podpisati sporazum, da se opredelijo vloge in odgovornosti ter administrativne in finančne ureditve; v načinih sodelovanja so navedeni mehanizmi za pripravo, zagotavljanje kakovosti, nadaljnje spremljanje obdobij mobilnosti in podobno.</w:t>
      </w:r>
    </w:p>
    <w:p w14:paraId="7D39A84B" w14:textId="77777777" w:rsidR="00E03711" w:rsidRPr="001048FE" w:rsidRDefault="00E03711" w:rsidP="00B35F65">
      <w:pPr>
        <w:pStyle w:val="Guide-Heading4"/>
        <w:rPr>
          <w:lang w:val="sl-SI"/>
        </w:rPr>
      </w:pPr>
      <w:bookmarkStart w:id="587" w:name="_Toc527401286"/>
      <w:r w:rsidRPr="001048FE">
        <w:rPr>
          <w:lang w:val="sl-SI"/>
        </w:rPr>
        <w:t>E: Evropski razvojni načrt</w:t>
      </w:r>
      <w:bookmarkEnd w:id="587"/>
    </w:p>
    <w:p w14:paraId="7D39A84C" w14:textId="77777777" w:rsidR="00E03711" w:rsidRPr="001048FE" w:rsidRDefault="00E03711" w:rsidP="00B35F65">
      <w:pPr>
        <w:pStyle w:val="GUIDE-NORMAL"/>
        <w:rPr>
          <w:lang w:val="sl-SI"/>
        </w:rPr>
      </w:pPr>
      <w:r w:rsidRPr="001048FE">
        <w:rPr>
          <w:lang w:val="sl-SI"/>
        </w:rPr>
        <w:t>Evropski razvojni načrt se navezuje le na prijave od prijaviteljev, ki niso imetniki listine Erasmus+ za mobilnost v PIU. Čeprav se od tistih, ki nimajo listine, ne pričakuje, da so usmerjeni v internacionalizacijo ali trajnost v enaki meri kot organizacije, ki so bile akreditirane z listino, se od njih</w:t>
      </w:r>
      <w:r w:rsidRPr="001048FE">
        <w:rPr>
          <w:spacing w:val="-13"/>
          <w:lang w:val="sl-SI"/>
        </w:rPr>
        <w:t xml:space="preserve"> </w:t>
      </w:r>
      <w:r w:rsidRPr="001048FE">
        <w:rPr>
          <w:lang w:val="sl-SI"/>
        </w:rPr>
        <w:t>vseeno</w:t>
      </w:r>
      <w:r w:rsidRPr="001048FE">
        <w:rPr>
          <w:spacing w:val="-13"/>
          <w:lang w:val="sl-SI"/>
        </w:rPr>
        <w:t xml:space="preserve"> </w:t>
      </w:r>
      <w:r w:rsidRPr="001048FE">
        <w:rPr>
          <w:lang w:val="sl-SI"/>
        </w:rPr>
        <w:t>pričakuje,</w:t>
      </w:r>
      <w:r w:rsidRPr="001048FE">
        <w:rPr>
          <w:spacing w:val="-13"/>
          <w:lang w:val="sl-SI"/>
        </w:rPr>
        <w:t xml:space="preserve"> </w:t>
      </w:r>
      <w:r w:rsidRPr="001048FE">
        <w:rPr>
          <w:lang w:val="sl-SI"/>
        </w:rPr>
        <w:t>da</w:t>
      </w:r>
      <w:r w:rsidRPr="001048FE">
        <w:rPr>
          <w:spacing w:val="-13"/>
          <w:lang w:val="sl-SI"/>
        </w:rPr>
        <w:t xml:space="preserve"> </w:t>
      </w:r>
      <w:r w:rsidRPr="001048FE">
        <w:rPr>
          <w:lang w:val="sl-SI"/>
        </w:rPr>
        <w:t>bodo</w:t>
      </w:r>
      <w:r w:rsidRPr="001048FE">
        <w:rPr>
          <w:spacing w:val="-13"/>
          <w:lang w:val="sl-SI"/>
        </w:rPr>
        <w:t xml:space="preserve"> </w:t>
      </w:r>
      <w:r w:rsidRPr="001048FE">
        <w:rPr>
          <w:lang w:val="sl-SI"/>
        </w:rPr>
        <w:t>razmišljale</w:t>
      </w:r>
      <w:r w:rsidRPr="001048FE">
        <w:rPr>
          <w:spacing w:val="-13"/>
          <w:lang w:val="sl-SI"/>
        </w:rPr>
        <w:t xml:space="preserve"> </w:t>
      </w:r>
      <w:r w:rsidRPr="001048FE">
        <w:rPr>
          <w:lang w:val="sl-SI"/>
        </w:rPr>
        <w:t>o</w:t>
      </w:r>
      <w:r w:rsidRPr="001048FE">
        <w:rPr>
          <w:spacing w:val="-12"/>
          <w:lang w:val="sl-SI"/>
        </w:rPr>
        <w:t xml:space="preserve"> </w:t>
      </w:r>
      <w:r w:rsidRPr="001048FE">
        <w:rPr>
          <w:lang w:val="sl-SI"/>
        </w:rPr>
        <w:t>učinku</w:t>
      </w:r>
      <w:r w:rsidRPr="001048FE">
        <w:rPr>
          <w:spacing w:val="-13"/>
          <w:lang w:val="sl-SI"/>
        </w:rPr>
        <w:t xml:space="preserve"> </w:t>
      </w:r>
      <w:r w:rsidRPr="001048FE">
        <w:rPr>
          <w:lang w:val="sl-SI"/>
        </w:rPr>
        <w:t>mobilnosti</w:t>
      </w:r>
      <w:r w:rsidRPr="001048FE">
        <w:rPr>
          <w:spacing w:val="-13"/>
          <w:lang w:val="sl-SI"/>
        </w:rPr>
        <w:t xml:space="preserve"> </w:t>
      </w:r>
      <w:r w:rsidRPr="001048FE">
        <w:rPr>
          <w:lang w:val="sl-SI"/>
        </w:rPr>
        <w:t>na</w:t>
      </w:r>
      <w:r w:rsidRPr="001048FE">
        <w:rPr>
          <w:spacing w:val="-13"/>
          <w:lang w:val="sl-SI"/>
        </w:rPr>
        <w:t xml:space="preserve"> </w:t>
      </w:r>
      <w:r w:rsidRPr="001048FE">
        <w:rPr>
          <w:lang w:val="sl-SI"/>
        </w:rPr>
        <w:t>njihove</w:t>
      </w:r>
      <w:r w:rsidRPr="001048FE">
        <w:rPr>
          <w:spacing w:val="-13"/>
          <w:lang w:val="sl-SI"/>
        </w:rPr>
        <w:t xml:space="preserve"> </w:t>
      </w:r>
      <w:r w:rsidRPr="001048FE">
        <w:rPr>
          <w:lang w:val="sl-SI"/>
        </w:rPr>
        <w:t>zadevne</w:t>
      </w:r>
      <w:r w:rsidRPr="001048FE">
        <w:rPr>
          <w:spacing w:val="-13"/>
          <w:lang w:val="sl-SI"/>
        </w:rPr>
        <w:t xml:space="preserve"> </w:t>
      </w:r>
      <w:r w:rsidRPr="001048FE">
        <w:rPr>
          <w:lang w:val="sl-SI"/>
        </w:rPr>
        <w:t>organizacije</w:t>
      </w:r>
      <w:r w:rsidRPr="001048FE">
        <w:rPr>
          <w:spacing w:val="-12"/>
          <w:lang w:val="sl-SI"/>
        </w:rPr>
        <w:t xml:space="preserve"> </w:t>
      </w:r>
      <w:r w:rsidRPr="001048FE">
        <w:rPr>
          <w:lang w:val="sl-SI"/>
        </w:rPr>
        <w:t>poleg same mobilnosti. Pred prijavo mora ponudnik PIU ali koordinator nacionalnega konzorcija za mobilnost</w:t>
      </w:r>
      <w:r w:rsidRPr="001048FE">
        <w:rPr>
          <w:spacing w:val="-5"/>
          <w:lang w:val="sl-SI"/>
        </w:rPr>
        <w:t xml:space="preserve"> </w:t>
      </w:r>
      <w:r w:rsidRPr="001048FE">
        <w:rPr>
          <w:lang w:val="sl-SI"/>
        </w:rPr>
        <w:t>razviti</w:t>
      </w:r>
      <w:r w:rsidRPr="001048FE">
        <w:rPr>
          <w:spacing w:val="-5"/>
          <w:lang w:val="sl-SI"/>
        </w:rPr>
        <w:t xml:space="preserve"> </w:t>
      </w:r>
      <w:r w:rsidRPr="001048FE">
        <w:rPr>
          <w:lang w:val="sl-SI"/>
        </w:rPr>
        <w:t>evropski</w:t>
      </w:r>
      <w:r w:rsidRPr="001048FE">
        <w:rPr>
          <w:spacing w:val="-5"/>
          <w:lang w:val="sl-SI"/>
        </w:rPr>
        <w:t xml:space="preserve"> </w:t>
      </w:r>
      <w:r w:rsidRPr="001048FE">
        <w:rPr>
          <w:lang w:val="sl-SI"/>
        </w:rPr>
        <w:t>razvojni</w:t>
      </w:r>
      <w:r w:rsidRPr="001048FE">
        <w:rPr>
          <w:spacing w:val="-5"/>
          <w:lang w:val="sl-SI"/>
        </w:rPr>
        <w:t xml:space="preserve"> </w:t>
      </w:r>
      <w:r w:rsidRPr="001048FE">
        <w:rPr>
          <w:lang w:val="sl-SI"/>
        </w:rPr>
        <w:t>načrt:</w:t>
      </w:r>
      <w:r w:rsidRPr="001048FE">
        <w:rPr>
          <w:spacing w:val="-5"/>
          <w:lang w:val="sl-SI"/>
        </w:rPr>
        <w:t xml:space="preserve"> </w:t>
      </w:r>
      <w:r w:rsidRPr="001048FE">
        <w:rPr>
          <w:lang w:val="sl-SI"/>
        </w:rPr>
        <w:t>ta</w:t>
      </w:r>
      <w:r w:rsidRPr="001048FE">
        <w:rPr>
          <w:spacing w:val="-5"/>
          <w:lang w:val="sl-SI"/>
        </w:rPr>
        <w:t xml:space="preserve"> </w:t>
      </w:r>
      <w:r w:rsidRPr="001048FE">
        <w:rPr>
          <w:lang w:val="sl-SI"/>
        </w:rPr>
        <w:t>načrt</w:t>
      </w:r>
      <w:r w:rsidRPr="001048FE">
        <w:rPr>
          <w:spacing w:val="-5"/>
          <w:lang w:val="sl-SI"/>
        </w:rPr>
        <w:t xml:space="preserve"> </w:t>
      </w:r>
      <w:r w:rsidRPr="001048FE">
        <w:rPr>
          <w:lang w:val="sl-SI"/>
        </w:rPr>
        <w:t>je</w:t>
      </w:r>
      <w:r w:rsidRPr="001048FE">
        <w:rPr>
          <w:spacing w:val="-5"/>
          <w:lang w:val="sl-SI"/>
        </w:rPr>
        <w:t xml:space="preserve"> </w:t>
      </w:r>
      <w:r w:rsidRPr="001048FE">
        <w:rPr>
          <w:lang w:val="sl-SI"/>
        </w:rPr>
        <w:t>del</w:t>
      </w:r>
      <w:r w:rsidRPr="001048FE">
        <w:rPr>
          <w:spacing w:val="-5"/>
          <w:lang w:val="sl-SI"/>
        </w:rPr>
        <w:t xml:space="preserve"> </w:t>
      </w:r>
      <w:r w:rsidRPr="001048FE">
        <w:rPr>
          <w:lang w:val="sl-SI"/>
        </w:rPr>
        <w:t>prijavnega</w:t>
      </w:r>
      <w:r w:rsidRPr="001048FE">
        <w:rPr>
          <w:spacing w:val="-5"/>
          <w:lang w:val="sl-SI"/>
        </w:rPr>
        <w:t xml:space="preserve"> </w:t>
      </w:r>
      <w:r w:rsidRPr="001048FE">
        <w:rPr>
          <w:lang w:val="sl-SI"/>
        </w:rPr>
        <w:t>obrazca.</w:t>
      </w:r>
      <w:r w:rsidRPr="001048FE">
        <w:rPr>
          <w:spacing w:val="-5"/>
          <w:lang w:val="sl-SI"/>
        </w:rPr>
        <w:t xml:space="preserve"> </w:t>
      </w:r>
      <w:r w:rsidRPr="001048FE">
        <w:rPr>
          <w:lang w:val="sl-SI"/>
        </w:rPr>
        <w:t>Ta</w:t>
      </w:r>
      <w:r w:rsidRPr="001048FE">
        <w:rPr>
          <w:spacing w:val="-5"/>
          <w:lang w:val="sl-SI"/>
        </w:rPr>
        <w:t xml:space="preserve"> </w:t>
      </w:r>
      <w:r w:rsidRPr="001048FE">
        <w:rPr>
          <w:lang w:val="sl-SI"/>
        </w:rPr>
        <w:t>del</w:t>
      </w:r>
      <w:r w:rsidRPr="001048FE">
        <w:rPr>
          <w:spacing w:val="-5"/>
          <w:lang w:val="sl-SI"/>
        </w:rPr>
        <w:t xml:space="preserve"> </w:t>
      </w:r>
      <w:r w:rsidRPr="001048FE">
        <w:rPr>
          <w:lang w:val="sl-SI"/>
        </w:rPr>
        <w:t>prikazuje,</w:t>
      </w:r>
      <w:r w:rsidRPr="001048FE">
        <w:rPr>
          <w:spacing w:val="-5"/>
          <w:lang w:val="sl-SI"/>
        </w:rPr>
        <w:t xml:space="preserve"> </w:t>
      </w:r>
      <w:r w:rsidRPr="001048FE">
        <w:rPr>
          <w:lang w:val="sl-SI"/>
        </w:rPr>
        <w:t>kako</w:t>
      </w:r>
      <w:r w:rsidRPr="001048FE">
        <w:rPr>
          <w:spacing w:val="-5"/>
          <w:lang w:val="sl-SI"/>
        </w:rPr>
        <w:t xml:space="preserve"> </w:t>
      </w:r>
      <w:r w:rsidRPr="001048FE">
        <w:rPr>
          <w:lang w:val="sl-SI"/>
        </w:rPr>
        <w:t>so načrtovane aktivnosti mobilnosti vpete v širšo in dolgoročno strategijo razvoja in modernizacije ponudnikov PIU, vključenih v</w:t>
      </w:r>
      <w:r w:rsidRPr="001048FE">
        <w:rPr>
          <w:spacing w:val="-9"/>
          <w:lang w:val="sl-SI"/>
        </w:rPr>
        <w:t xml:space="preserve"> </w:t>
      </w:r>
      <w:r w:rsidRPr="001048FE">
        <w:rPr>
          <w:lang w:val="sl-SI"/>
        </w:rPr>
        <w:t>projekt.</w:t>
      </w:r>
    </w:p>
    <w:p w14:paraId="7D39A84D" w14:textId="77777777" w:rsidR="00E03711" w:rsidRPr="001048FE" w:rsidRDefault="00E03711" w:rsidP="00B35F65">
      <w:pPr>
        <w:pStyle w:val="GUIDE-NORMAL"/>
        <w:rPr>
          <w:rStyle w:val="Guide-Condensed-01"/>
          <w:lang w:val="sl-SI"/>
        </w:rPr>
      </w:pPr>
      <w:r w:rsidRPr="001048FE">
        <w:rPr>
          <w:rStyle w:val="Guide-Condensed-01"/>
          <w:lang w:val="sl-SI"/>
        </w:rPr>
        <w:t>Ta evropski razvojni načrt bo pomemben del ocene vlog za nepovratna sredstva in v njem bi morale biti zagotovljene naslednje informacije:</w:t>
      </w:r>
    </w:p>
    <w:p w14:paraId="7D39A84E" w14:textId="77777777" w:rsidR="00E03711" w:rsidRPr="001048FE" w:rsidRDefault="00E03711" w:rsidP="005115F2">
      <w:pPr>
        <w:pStyle w:val="Guide-NormalBulletpoints"/>
        <w:numPr>
          <w:ilvl w:val="0"/>
          <w:numId w:val="426"/>
        </w:numPr>
        <w:rPr>
          <w:lang w:val="sl-SI"/>
        </w:rPr>
      </w:pPr>
      <w:r w:rsidRPr="001048FE">
        <w:rPr>
          <w:lang w:val="sl-SI"/>
        </w:rPr>
        <w:t>potrebah ponudnikov PIU v smislu razvoja kakovosti in internacionalizacije (npr. v zvezi s kompetencami</w:t>
      </w:r>
      <w:r w:rsidRPr="001048FE">
        <w:rPr>
          <w:spacing w:val="-17"/>
          <w:lang w:val="sl-SI"/>
        </w:rPr>
        <w:t xml:space="preserve"> </w:t>
      </w:r>
      <w:r w:rsidRPr="001048FE">
        <w:rPr>
          <w:lang w:val="sl-SI"/>
        </w:rPr>
        <w:t>upravljanja,</w:t>
      </w:r>
      <w:r w:rsidRPr="001048FE">
        <w:rPr>
          <w:spacing w:val="-17"/>
          <w:lang w:val="sl-SI"/>
        </w:rPr>
        <w:t xml:space="preserve"> </w:t>
      </w:r>
      <w:r w:rsidRPr="001048FE">
        <w:rPr>
          <w:lang w:val="sl-SI"/>
        </w:rPr>
        <w:t>kompetencami</w:t>
      </w:r>
      <w:r w:rsidRPr="001048FE">
        <w:rPr>
          <w:spacing w:val="-17"/>
          <w:lang w:val="sl-SI"/>
        </w:rPr>
        <w:t xml:space="preserve"> </w:t>
      </w:r>
      <w:r w:rsidRPr="001048FE">
        <w:rPr>
          <w:lang w:val="sl-SI"/>
        </w:rPr>
        <w:t>osebja,</w:t>
      </w:r>
      <w:r w:rsidRPr="001048FE">
        <w:rPr>
          <w:spacing w:val="-17"/>
          <w:lang w:val="sl-SI"/>
        </w:rPr>
        <w:t xml:space="preserve"> </w:t>
      </w:r>
      <w:r w:rsidRPr="001048FE">
        <w:rPr>
          <w:lang w:val="sl-SI"/>
        </w:rPr>
        <w:t>novimi</w:t>
      </w:r>
      <w:r w:rsidRPr="001048FE">
        <w:rPr>
          <w:spacing w:val="-17"/>
          <w:lang w:val="sl-SI"/>
        </w:rPr>
        <w:t xml:space="preserve"> </w:t>
      </w:r>
      <w:r w:rsidRPr="001048FE">
        <w:rPr>
          <w:lang w:val="sl-SI"/>
        </w:rPr>
        <w:t>metodami</w:t>
      </w:r>
      <w:r w:rsidRPr="001048FE">
        <w:rPr>
          <w:spacing w:val="-17"/>
          <w:lang w:val="sl-SI"/>
        </w:rPr>
        <w:t xml:space="preserve"> </w:t>
      </w:r>
      <w:r w:rsidRPr="001048FE">
        <w:rPr>
          <w:lang w:val="sl-SI"/>
        </w:rPr>
        <w:t>in</w:t>
      </w:r>
      <w:r w:rsidRPr="001048FE">
        <w:rPr>
          <w:spacing w:val="-17"/>
          <w:lang w:val="sl-SI"/>
        </w:rPr>
        <w:t xml:space="preserve"> </w:t>
      </w:r>
      <w:r w:rsidRPr="001048FE">
        <w:rPr>
          <w:lang w:val="sl-SI"/>
        </w:rPr>
        <w:t>orodji</w:t>
      </w:r>
      <w:r w:rsidRPr="001048FE">
        <w:rPr>
          <w:spacing w:val="-17"/>
          <w:lang w:val="sl-SI"/>
        </w:rPr>
        <w:t xml:space="preserve"> </w:t>
      </w:r>
      <w:r w:rsidRPr="001048FE">
        <w:rPr>
          <w:lang w:val="sl-SI"/>
        </w:rPr>
        <w:t>za</w:t>
      </w:r>
      <w:r w:rsidRPr="001048FE">
        <w:rPr>
          <w:spacing w:val="-17"/>
          <w:lang w:val="sl-SI"/>
        </w:rPr>
        <w:t xml:space="preserve"> </w:t>
      </w:r>
      <w:r w:rsidRPr="001048FE">
        <w:rPr>
          <w:lang w:val="sl-SI"/>
        </w:rPr>
        <w:t>poučevanje, evropsko dimenzijo, jezikovnimi spretnostmi, učnimi načrti, organizacijo poučevanja, usposabljanjem in učenjem, krepitvijo povezav s partnerskimi ustanovami) in kako bodo načrtovane aktivnosti prispevale k zadostitvi teh</w:t>
      </w:r>
      <w:r w:rsidRPr="001048FE">
        <w:rPr>
          <w:spacing w:val="-14"/>
          <w:lang w:val="sl-SI"/>
        </w:rPr>
        <w:t xml:space="preserve"> </w:t>
      </w:r>
      <w:r w:rsidRPr="001048FE">
        <w:rPr>
          <w:lang w:val="sl-SI"/>
        </w:rPr>
        <w:t>potreb;</w:t>
      </w:r>
    </w:p>
    <w:p w14:paraId="7D39A84F" w14:textId="77777777" w:rsidR="00E03711" w:rsidRPr="001048FE" w:rsidRDefault="00E03711" w:rsidP="005115F2">
      <w:pPr>
        <w:pStyle w:val="Guide-NormalBulletpoints"/>
        <w:numPr>
          <w:ilvl w:val="0"/>
          <w:numId w:val="426"/>
        </w:numPr>
        <w:rPr>
          <w:lang w:val="sl-SI"/>
        </w:rPr>
      </w:pPr>
      <w:r w:rsidRPr="001048FE">
        <w:rPr>
          <w:lang w:val="sl-SI"/>
        </w:rPr>
        <w:t>pričakovanem</w:t>
      </w:r>
      <w:r w:rsidRPr="001048FE">
        <w:rPr>
          <w:spacing w:val="-15"/>
          <w:lang w:val="sl-SI"/>
        </w:rPr>
        <w:t xml:space="preserve"> </w:t>
      </w:r>
      <w:r w:rsidRPr="001048FE">
        <w:rPr>
          <w:lang w:val="sl-SI"/>
        </w:rPr>
        <w:t>učinku</w:t>
      </w:r>
      <w:r w:rsidRPr="001048FE">
        <w:rPr>
          <w:spacing w:val="-15"/>
          <w:lang w:val="sl-SI"/>
        </w:rPr>
        <w:t xml:space="preserve"> </w:t>
      </w:r>
      <w:r w:rsidRPr="001048FE">
        <w:rPr>
          <w:lang w:val="sl-SI"/>
        </w:rPr>
        <w:t>na</w:t>
      </w:r>
      <w:r w:rsidRPr="001048FE">
        <w:rPr>
          <w:spacing w:val="-15"/>
          <w:lang w:val="sl-SI"/>
        </w:rPr>
        <w:t xml:space="preserve"> </w:t>
      </w:r>
      <w:r w:rsidRPr="001048FE">
        <w:rPr>
          <w:lang w:val="sl-SI"/>
        </w:rPr>
        <w:t>dijake/učeče</w:t>
      </w:r>
      <w:r w:rsidRPr="001048FE">
        <w:rPr>
          <w:spacing w:val="-15"/>
          <w:lang w:val="sl-SI"/>
        </w:rPr>
        <w:t xml:space="preserve"> </w:t>
      </w:r>
      <w:r w:rsidRPr="001048FE">
        <w:rPr>
          <w:lang w:val="sl-SI"/>
        </w:rPr>
        <w:t>se,</w:t>
      </w:r>
      <w:r w:rsidRPr="001048FE">
        <w:rPr>
          <w:spacing w:val="-15"/>
          <w:lang w:val="sl-SI"/>
        </w:rPr>
        <w:t xml:space="preserve"> </w:t>
      </w:r>
      <w:r w:rsidRPr="001048FE">
        <w:rPr>
          <w:lang w:val="sl-SI"/>
        </w:rPr>
        <w:t>učitelje,</w:t>
      </w:r>
      <w:r w:rsidRPr="001048FE">
        <w:rPr>
          <w:spacing w:val="-15"/>
          <w:lang w:val="sl-SI"/>
        </w:rPr>
        <w:t xml:space="preserve"> </w:t>
      </w:r>
      <w:r w:rsidRPr="001048FE">
        <w:rPr>
          <w:lang w:val="sl-SI"/>
        </w:rPr>
        <w:t>vodje</w:t>
      </w:r>
      <w:r w:rsidRPr="001048FE">
        <w:rPr>
          <w:spacing w:val="-15"/>
          <w:lang w:val="sl-SI"/>
        </w:rPr>
        <w:t xml:space="preserve"> </w:t>
      </w:r>
      <w:r w:rsidRPr="001048FE">
        <w:rPr>
          <w:lang w:val="sl-SI"/>
        </w:rPr>
        <w:t>usposabljanja</w:t>
      </w:r>
      <w:r w:rsidRPr="001048FE">
        <w:rPr>
          <w:spacing w:val="-15"/>
          <w:lang w:val="sl-SI"/>
        </w:rPr>
        <w:t xml:space="preserve"> </w:t>
      </w:r>
      <w:r w:rsidRPr="001048FE">
        <w:rPr>
          <w:lang w:val="sl-SI"/>
        </w:rPr>
        <w:t>in</w:t>
      </w:r>
      <w:r w:rsidRPr="001048FE">
        <w:rPr>
          <w:spacing w:val="-15"/>
          <w:lang w:val="sl-SI"/>
        </w:rPr>
        <w:t xml:space="preserve"> </w:t>
      </w:r>
      <w:r w:rsidRPr="001048FE">
        <w:rPr>
          <w:lang w:val="sl-SI"/>
        </w:rPr>
        <w:t>druge</w:t>
      </w:r>
      <w:r w:rsidRPr="001048FE">
        <w:rPr>
          <w:spacing w:val="-15"/>
          <w:lang w:val="sl-SI"/>
        </w:rPr>
        <w:t xml:space="preserve"> </w:t>
      </w:r>
      <w:r w:rsidRPr="001048FE">
        <w:rPr>
          <w:lang w:val="sl-SI"/>
        </w:rPr>
        <w:t>osebe</w:t>
      </w:r>
      <w:r w:rsidRPr="001048FE">
        <w:rPr>
          <w:spacing w:val="-14"/>
          <w:lang w:val="sl-SI"/>
        </w:rPr>
        <w:t xml:space="preserve"> </w:t>
      </w:r>
      <w:r w:rsidRPr="001048FE">
        <w:rPr>
          <w:lang w:val="sl-SI"/>
        </w:rPr>
        <w:t>ter</w:t>
      </w:r>
      <w:r w:rsidRPr="001048FE">
        <w:rPr>
          <w:spacing w:val="-15"/>
          <w:lang w:val="sl-SI"/>
        </w:rPr>
        <w:t xml:space="preserve"> </w:t>
      </w:r>
      <w:r w:rsidRPr="001048FE">
        <w:rPr>
          <w:lang w:val="sl-SI"/>
        </w:rPr>
        <w:t>na ponudnika PIU na</w:t>
      </w:r>
      <w:r w:rsidRPr="001048FE">
        <w:rPr>
          <w:spacing w:val="-9"/>
          <w:lang w:val="sl-SI"/>
        </w:rPr>
        <w:t xml:space="preserve"> </w:t>
      </w:r>
      <w:r w:rsidRPr="001048FE">
        <w:rPr>
          <w:lang w:val="sl-SI"/>
        </w:rPr>
        <w:t>splošno;</w:t>
      </w:r>
    </w:p>
    <w:p w14:paraId="7D39A850" w14:textId="77777777" w:rsidR="00E03711" w:rsidRPr="001048FE" w:rsidRDefault="00E03711" w:rsidP="005115F2">
      <w:pPr>
        <w:pStyle w:val="Guide-NormalBulletpoints"/>
        <w:numPr>
          <w:ilvl w:val="0"/>
          <w:numId w:val="426"/>
        </w:numPr>
        <w:rPr>
          <w:lang w:val="sl-SI"/>
        </w:rPr>
      </w:pPr>
      <w:r w:rsidRPr="001048FE">
        <w:rPr>
          <w:lang w:val="sl-SI"/>
        </w:rPr>
        <w:t>načinu,</w:t>
      </w:r>
      <w:r w:rsidRPr="001048FE">
        <w:rPr>
          <w:spacing w:val="-13"/>
          <w:lang w:val="sl-SI"/>
        </w:rPr>
        <w:t xml:space="preserve"> </w:t>
      </w:r>
      <w:r w:rsidRPr="001048FE">
        <w:rPr>
          <w:lang w:val="sl-SI"/>
        </w:rPr>
        <w:t>na</w:t>
      </w:r>
      <w:r w:rsidRPr="001048FE">
        <w:rPr>
          <w:spacing w:val="-13"/>
          <w:lang w:val="sl-SI"/>
        </w:rPr>
        <w:t xml:space="preserve"> </w:t>
      </w:r>
      <w:r w:rsidRPr="001048FE">
        <w:rPr>
          <w:lang w:val="sl-SI"/>
        </w:rPr>
        <w:t>katerega</w:t>
      </w:r>
      <w:r w:rsidRPr="001048FE">
        <w:rPr>
          <w:spacing w:val="-13"/>
          <w:lang w:val="sl-SI"/>
        </w:rPr>
        <w:t xml:space="preserve"> </w:t>
      </w:r>
      <w:r w:rsidRPr="001048FE">
        <w:rPr>
          <w:lang w:val="sl-SI"/>
        </w:rPr>
        <w:t>šole</w:t>
      </w:r>
      <w:r w:rsidRPr="001048FE">
        <w:rPr>
          <w:spacing w:val="-13"/>
          <w:lang w:val="sl-SI"/>
        </w:rPr>
        <w:t xml:space="preserve"> </w:t>
      </w:r>
      <w:r w:rsidRPr="001048FE">
        <w:rPr>
          <w:lang w:val="sl-SI"/>
        </w:rPr>
        <w:t>v</w:t>
      </w:r>
      <w:r w:rsidRPr="001048FE">
        <w:rPr>
          <w:spacing w:val="-13"/>
          <w:lang w:val="sl-SI"/>
        </w:rPr>
        <w:t xml:space="preserve"> </w:t>
      </w:r>
      <w:r w:rsidRPr="001048FE">
        <w:rPr>
          <w:lang w:val="sl-SI"/>
        </w:rPr>
        <w:t>PIU</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družbe</w:t>
      </w:r>
      <w:r w:rsidRPr="001048FE">
        <w:rPr>
          <w:spacing w:val="-13"/>
          <w:lang w:val="sl-SI"/>
        </w:rPr>
        <w:t xml:space="preserve"> </w:t>
      </w:r>
      <w:r w:rsidRPr="001048FE">
        <w:rPr>
          <w:lang w:val="sl-SI"/>
        </w:rPr>
        <w:t>vključujejo</w:t>
      </w:r>
      <w:r w:rsidRPr="001048FE">
        <w:rPr>
          <w:spacing w:val="-13"/>
          <w:lang w:val="sl-SI"/>
        </w:rPr>
        <w:t xml:space="preserve"> </w:t>
      </w:r>
      <w:r w:rsidRPr="001048FE">
        <w:rPr>
          <w:lang w:val="sl-SI"/>
        </w:rPr>
        <w:t>kompetence</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izkušnje</w:t>
      </w:r>
      <w:r w:rsidRPr="001048FE">
        <w:rPr>
          <w:spacing w:val="-13"/>
          <w:lang w:val="sl-SI"/>
        </w:rPr>
        <w:t xml:space="preserve"> </w:t>
      </w:r>
      <w:r w:rsidRPr="001048FE">
        <w:rPr>
          <w:lang w:val="sl-SI"/>
        </w:rPr>
        <w:t>njihovega</w:t>
      </w:r>
      <w:r w:rsidRPr="001048FE">
        <w:rPr>
          <w:spacing w:val="-13"/>
          <w:lang w:val="sl-SI"/>
        </w:rPr>
        <w:t xml:space="preserve"> </w:t>
      </w:r>
      <w:r w:rsidRPr="001048FE">
        <w:rPr>
          <w:lang w:val="sl-SI"/>
        </w:rPr>
        <w:t>osebja</w:t>
      </w:r>
      <w:r w:rsidRPr="001048FE">
        <w:rPr>
          <w:spacing w:val="-12"/>
          <w:lang w:val="sl-SI"/>
        </w:rPr>
        <w:t xml:space="preserve"> </w:t>
      </w:r>
      <w:r w:rsidRPr="001048FE">
        <w:rPr>
          <w:lang w:val="sl-SI"/>
        </w:rPr>
        <w:t>v njihove učne načrte in/ali razvojne</w:t>
      </w:r>
      <w:r w:rsidRPr="001048FE">
        <w:rPr>
          <w:spacing w:val="-11"/>
          <w:lang w:val="sl-SI"/>
        </w:rPr>
        <w:t xml:space="preserve"> </w:t>
      </w:r>
      <w:r w:rsidRPr="001048FE">
        <w:rPr>
          <w:lang w:val="sl-SI"/>
        </w:rPr>
        <w:t>načrte;</w:t>
      </w:r>
    </w:p>
    <w:p w14:paraId="7D39A851" w14:textId="77777777" w:rsidR="00E03711" w:rsidRPr="001048FE" w:rsidRDefault="00E03711" w:rsidP="005115F2">
      <w:pPr>
        <w:pStyle w:val="Guide-NormalBulletpoints"/>
        <w:numPr>
          <w:ilvl w:val="0"/>
          <w:numId w:val="426"/>
        </w:numPr>
        <w:rPr>
          <w:lang w:val="sl-SI"/>
        </w:rPr>
      </w:pPr>
      <w:r w:rsidRPr="001048FE">
        <w:rPr>
          <w:lang w:val="sl-SI"/>
        </w:rPr>
        <w:t>načinu, na katerega se učenje na delovnem mestu lahko trajno izboljša s pomočjo mednarodnega sodelovanja.</w:t>
      </w:r>
    </w:p>
    <w:p w14:paraId="7D39A852" w14:textId="77777777" w:rsidR="00E03711" w:rsidRPr="001048FE" w:rsidRDefault="00E03711" w:rsidP="00B35F65">
      <w:pPr>
        <w:pStyle w:val="Guide-Heading4"/>
        <w:rPr>
          <w:lang w:val="sl-SI"/>
        </w:rPr>
      </w:pPr>
      <w:bookmarkStart w:id="588" w:name="_Toc527401287"/>
      <w:r w:rsidRPr="001048FE">
        <w:rPr>
          <w:lang w:val="sl-SI"/>
        </w:rPr>
        <w:t>F: Orodje za mobilnost (Mobility Tool+)</w:t>
      </w:r>
      <w:bookmarkEnd w:id="588"/>
    </w:p>
    <w:p w14:paraId="7D39A853" w14:textId="77777777" w:rsidR="00E03711" w:rsidRPr="001048FE" w:rsidRDefault="00E03711" w:rsidP="00B35F65">
      <w:pPr>
        <w:pStyle w:val="GUIDE-NORMAL"/>
        <w:rPr>
          <w:lang w:val="sl-SI"/>
        </w:rPr>
      </w:pPr>
      <w:r w:rsidRPr="001048FE">
        <w:rPr>
          <w:lang w:val="sl-SI"/>
        </w:rPr>
        <w:t>Čim prej po izboru udeležencev mora organizacija upravičenka vnesti splošne informacije o udeležencu in vrsti mobilnosti, ki jo bo izvedel (npr. ime udeleženca, državo gostiteljico, trajanje mobilnosti itd.), v orodje za mobilnost (Mobility Tool+). Organizacija upravičenka je odgovorna tudi za posodabljanje podatkov v orodju za mobilnost ob kakršni koli spremembi v zvezi z udeleženci ali aktivnostmi v življenjskem ciklu projekta mobilnosti. Upravičenci bodo lahko z orodjem za mobilnost ustvarili vnaprej izpolnjena poročila na podlagi vnesenih informacij. V orodju za mobilnost bodo na voljo tudi poročila, ki jih bodo izpolnili udeleženci mobilnosti.</w:t>
      </w:r>
    </w:p>
    <w:p w14:paraId="7D39A854" w14:textId="77777777" w:rsidR="00E03711" w:rsidRPr="001048FE" w:rsidRDefault="00E03711" w:rsidP="00B35F65">
      <w:pPr>
        <w:pStyle w:val="GUIDE-NORMAL"/>
        <w:rPr>
          <w:lang w:val="sl-SI"/>
        </w:rPr>
      </w:pPr>
      <w:r w:rsidRPr="001048FE">
        <w:rPr>
          <w:lang w:val="sl-SI"/>
        </w:rPr>
        <w:t>Več</w:t>
      </w:r>
      <w:r w:rsidRPr="001048FE">
        <w:rPr>
          <w:spacing w:val="-13"/>
          <w:lang w:val="sl-SI"/>
        </w:rPr>
        <w:t xml:space="preserve"> </w:t>
      </w:r>
      <w:r w:rsidRPr="001048FE">
        <w:rPr>
          <w:lang w:val="sl-SI"/>
        </w:rPr>
        <w:t>informacij</w:t>
      </w:r>
      <w:r w:rsidRPr="001048FE">
        <w:rPr>
          <w:spacing w:val="-13"/>
          <w:lang w:val="sl-SI"/>
        </w:rPr>
        <w:t xml:space="preserve"> </w:t>
      </w:r>
      <w:r w:rsidRPr="001048FE">
        <w:rPr>
          <w:lang w:val="sl-SI"/>
        </w:rPr>
        <w:t>o</w:t>
      </w:r>
      <w:r w:rsidRPr="001048FE">
        <w:rPr>
          <w:spacing w:val="-12"/>
          <w:lang w:val="sl-SI"/>
        </w:rPr>
        <w:t xml:space="preserve"> </w:t>
      </w:r>
      <w:r w:rsidRPr="001048FE">
        <w:rPr>
          <w:lang w:val="sl-SI"/>
        </w:rPr>
        <w:t>orodju</w:t>
      </w:r>
      <w:r w:rsidRPr="001048FE">
        <w:rPr>
          <w:spacing w:val="-12"/>
          <w:lang w:val="sl-SI"/>
        </w:rPr>
        <w:t xml:space="preserve"> </w:t>
      </w:r>
      <w:r w:rsidRPr="001048FE">
        <w:rPr>
          <w:lang w:val="sl-SI"/>
        </w:rPr>
        <w:t>za</w:t>
      </w:r>
      <w:r w:rsidRPr="001048FE">
        <w:rPr>
          <w:spacing w:val="-13"/>
          <w:lang w:val="sl-SI"/>
        </w:rPr>
        <w:t xml:space="preserve"> </w:t>
      </w:r>
      <w:r w:rsidRPr="001048FE">
        <w:rPr>
          <w:lang w:val="sl-SI"/>
        </w:rPr>
        <w:t>mobilnost</w:t>
      </w:r>
      <w:r w:rsidRPr="001048FE">
        <w:rPr>
          <w:spacing w:val="-13"/>
          <w:lang w:val="sl-SI"/>
        </w:rPr>
        <w:t xml:space="preserve"> </w:t>
      </w:r>
      <w:r w:rsidRPr="001048FE">
        <w:rPr>
          <w:lang w:val="sl-SI"/>
        </w:rPr>
        <w:t>ter</w:t>
      </w:r>
      <w:r w:rsidRPr="001048FE">
        <w:rPr>
          <w:spacing w:val="-13"/>
          <w:lang w:val="sl-SI"/>
        </w:rPr>
        <w:t xml:space="preserve"> </w:t>
      </w:r>
      <w:r w:rsidRPr="001048FE">
        <w:rPr>
          <w:lang w:val="sl-SI"/>
        </w:rPr>
        <w:t>o</w:t>
      </w:r>
      <w:r w:rsidRPr="001048FE">
        <w:rPr>
          <w:spacing w:val="-12"/>
          <w:lang w:val="sl-SI"/>
        </w:rPr>
        <w:t xml:space="preserve"> </w:t>
      </w:r>
      <w:r w:rsidRPr="001048FE">
        <w:rPr>
          <w:lang w:val="sl-SI"/>
        </w:rPr>
        <w:t>dostopu</w:t>
      </w:r>
      <w:r w:rsidRPr="001048FE">
        <w:rPr>
          <w:spacing w:val="-13"/>
          <w:lang w:val="sl-SI"/>
        </w:rPr>
        <w:t xml:space="preserve"> </w:t>
      </w:r>
      <w:r w:rsidRPr="001048FE">
        <w:rPr>
          <w:lang w:val="sl-SI"/>
        </w:rPr>
        <w:t>do</w:t>
      </w:r>
      <w:r w:rsidRPr="001048FE">
        <w:rPr>
          <w:spacing w:val="-13"/>
          <w:lang w:val="sl-SI"/>
        </w:rPr>
        <w:t xml:space="preserve"> </w:t>
      </w:r>
      <w:r w:rsidRPr="001048FE">
        <w:rPr>
          <w:lang w:val="sl-SI"/>
        </w:rPr>
        <w:t>njega</w:t>
      </w:r>
      <w:r w:rsidRPr="001048FE">
        <w:rPr>
          <w:spacing w:val="-13"/>
          <w:lang w:val="sl-SI"/>
        </w:rPr>
        <w:t xml:space="preserve"> </w:t>
      </w:r>
      <w:r w:rsidRPr="001048FE">
        <w:rPr>
          <w:lang w:val="sl-SI"/>
        </w:rPr>
        <w:t>bo</w:t>
      </w:r>
      <w:r w:rsidRPr="001048FE">
        <w:rPr>
          <w:spacing w:val="-13"/>
          <w:lang w:val="sl-SI"/>
        </w:rPr>
        <w:t xml:space="preserve"> </w:t>
      </w:r>
      <w:r w:rsidRPr="001048FE">
        <w:rPr>
          <w:lang w:val="sl-SI"/>
        </w:rPr>
        <w:t>zagotovljenih</w:t>
      </w:r>
      <w:r w:rsidRPr="001048FE">
        <w:rPr>
          <w:spacing w:val="-13"/>
          <w:lang w:val="sl-SI"/>
        </w:rPr>
        <w:t xml:space="preserve"> </w:t>
      </w:r>
      <w:r w:rsidRPr="001048FE">
        <w:rPr>
          <w:lang w:val="sl-SI"/>
        </w:rPr>
        <w:t>v</w:t>
      </w:r>
      <w:r w:rsidRPr="001048FE">
        <w:rPr>
          <w:spacing w:val="-13"/>
          <w:lang w:val="sl-SI"/>
        </w:rPr>
        <w:t xml:space="preserve"> </w:t>
      </w:r>
      <w:r w:rsidRPr="001048FE">
        <w:rPr>
          <w:lang w:val="sl-SI"/>
        </w:rPr>
        <w:t>sporazumu</w:t>
      </w:r>
      <w:r w:rsidRPr="001048FE">
        <w:rPr>
          <w:spacing w:val="-13"/>
          <w:lang w:val="sl-SI"/>
        </w:rPr>
        <w:t xml:space="preserve"> </w:t>
      </w:r>
      <w:r w:rsidRPr="001048FE">
        <w:rPr>
          <w:lang w:val="sl-SI"/>
        </w:rPr>
        <w:t>o nepovratnih sredstvih med nacionalno agencijo in</w:t>
      </w:r>
      <w:r w:rsidRPr="001048FE">
        <w:rPr>
          <w:spacing w:val="-23"/>
          <w:lang w:val="sl-SI"/>
        </w:rPr>
        <w:t xml:space="preserve"> </w:t>
      </w:r>
      <w:r w:rsidRPr="001048FE">
        <w:rPr>
          <w:lang w:val="sl-SI"/>
        </w:rPr>
        <w:t>upravičencem.</w:t>
      </w:r>
    </w:p>
    <w:p w14:paraId="7D39A855" w14:textId="77777777" w:rsidR="00E03711" w:rsidRPr="001048FE" w:rsidRDefault="00E03711" w:rsidP="00B35F65">
      <w:pPr>
        <w:pStyle w:val="Guide-Heading4"/>
        <w:rPr>
          <w:lang w:val="sl-SI"/>
        </w:rPr>
      </w:pPr>
      <w:bookmarkStart w:id="589" w:name="_Toc527401288"/>
      <w:r w:rsidRPr="001048FE">
        <w:rPr>
          <w:lang w:val="sl-SI"/>
        </w:rPr>
        <w:t>G: Pogoji udeležbe dijakov v PIU</w:t>
      </w:r>
      <w:bookmarkEnd w:id="589"/>
    </w:p>
    <w:p w14:paraId="7D39A856" w14:textId="77777777" w:rsidR="00E03711" w:rsidRPr="001048FE" w:rsidRDefault="00E03711" w:rsidP="00B35F65">
      <w:pPr>
        <w:pStyle w:val="Guide-Heading5"/>
        <w:rPr>
          <w:lang w:val="sl-SI"/>
        </w:rPr>
      </w:pPr>
      <w:r w:rsidRPr="001048FE">
        <w:rPr>
          <w:lang w:val="sl-SI"/>
        </w:rPr>
        <w:t>Izbor</w:t>
      </w:r>
    </w:p>
    <w:p w14:paraId="7D39A857" w14:textId="77777777" w:rsidR="00E03711" w:rsidRPr="001048FE" w:rsidRDefault="00E03711" w:rsidP="00B35F65">
      <w:pPr>
        <w:pStyle w:val="GUIDE-NORMAL"/>
        <w:rPr>
          <w:lang w:val="sl-SI"/>
        </w:rPr>
      </w:pPr>
      <w:r w:rsidRPr="001048FE">
        <w:rPr>
          <w:lang w:val="sl-SI"/>
        </w:rPr>
        <w:t>Organizacija</w:t>
      </w:r>
      <w:r w:rsidRPr="001048FE">
        <w:rPr>
          <w:spacing w:val="-11"/>
          <w:lang w:val="sl-SI"/>
        </w:rPr>
        <w:t xml:space="preserve"> </w:t>
      </w:r>
      <w:r w:rsidRPr="001048FE">
        <w:rPr>
          <w:lang w:val="sl-SI"/>
        </w:rPr>
        <w:t>pošiljateljica</w:t>
      </w:r>
      <w:r w:rsidRPr="001048FE">
        <w:rPr>
          <w:spacing w:val="-11"/>
          <w:lang w:val="sl-SI"/>
        </w:rPr>
        <w:t xml:space="preserve"> </w:t>
      </w:r>
      <w:r w:rsidRPr="001048FE">
        <w:rPr>
          <w:lang w:val="sl-SI"/>
        </w:rPr>
        <w:t>izvede</w:t>
      </w:r>
      <w:r w:rsidRPr="001048FE">
        <w:rPr>
          <w:spacing w:val="-11"/>
          <w:lang w:val="sl-SI"/>
        </w:rPr>
        <w:t xml:space="preserve"> </w:t>
      </w:r>
      <w:r w:rsidRPr="001048FE">
        <w:rPr>
          <w:lang w:val="sl-SI"/>
        </w:rPr>
        <w:t>izbor</w:t>
      </w:r>
      <w:r w:rsidRPr="001048FE">
        <w:rPr>
          <w:spacing w:val="-11"/>
          <w:lang w:val="sl-SI"/>
        </w:rPr>
        <w:t xml:space="preserve"> </w:t>
      </w:r>
      <w:r w:rsidRPr="001048FE">
        <w:rPr>
          <w:lang w:val="sl-SI"/>
        </w:rPr>
        <w:t>udeležencev</w:t>
      </w:r>
      <w:r w:rsidRPr="001048FE">
        <w:rPr>
          <w:spacing w:val="-11"/>
          <w:lang w:val="sl-SI"/>
        </w:rPr>
        <w:t xml:space="preserve"> </w:t>
      </w:r>
      <w:r w:rsidRPr="001048FE">
        <w:rPr>
          <w:lang w:val="sl-SI"/>
        </w:rPr>
        <w:t>v</w:t>
      </w:r>
      <w:r w:rsidRPr="001048FE">
        <w:rPr>
          <w:spacing w:val="-11"/>
          <w:lang w:val="sl-SI"/>
        </w:rPr>
        <w:t xml:space="preserve"> </w:t>
      </w:r>
      <w:r w:rsidRPr="001048FE">
        <w:rPr>
          <w:lang w:val="sl-SI"/>
        </w:rPr>
        <w:t>ukrepu</w:t>
      </w:r>
      <w:r w:rsidRPr="001048FE">
        <w:rPr>
          <w:spacing w:val="-11"/>
          <w:lang w:val="sl-SI"/>
        </w:rPr>
        <w:t xml:space="preserve"> </w:t>
      </w:r>
      <w:r w:rsidRPr="001048FE">
        <w:rPr>
          <w:lang w:val="sl-SI"/>
        </w:rPr>
        <w:t>mobilnosti.</w:t>
      </w:r>
      <w:r w:rsidRPr="001048FE">
        <w:rPr>
          <w:spacing w:val="-11"/>
          <w:lang w:val="sl-SI"/>
        </w:rPr>
        <w:t xml:space="preserve"> </w:t>
      </w:r>
      <w:r w:rsidRPr="001048FE">
        <w:rPr>
          <w:lang w:val="sl-SI"/>
        </w:rPr>
        <w:t>Izbor</w:t>
      </w:r>
      <w:r w:rsidRPr="001048FE">
        <w:rPr>
          <w:spacing w:val="-11"/>
          <w:lang w:val="sl-SI"/>
        </w:rPr>
        <w:t xml:space="preserve"> </w:t>
      </w:r>
      <w:r w:rsidRPr="001048FE">
        <w:rPr>
          <w:lang w:val="sl-SI"/>
        </w:rPr>
        <w:t>dijakov/učečih</w:t>
      </w:r>
      <w:r w:rsidRPr="001048FE">
        <w:rPr>
          <w:spacing w:val="-11"/>
          <w:lang w:val="sl-SI"/>
        </w:rPr>
        <w:t xml:space="preserve"> </w:t>
      </w:r>
      <w:r w:rsidRPr="001048FE">
        <w:rPr>
          <w:lang w:val="sl-SI"/>
        </w:rPr>
        <w:t>se</w:t>
      </w:r>
      <w:r w:rsidRPr="001048FE">
        <w:rPr>
          <w:spacing w:val="-11"/>
          <w:lang w:val="sl-SI"/>
        </w:rPr>
        <w:t xml:space="preserve"> </w:t>
      </w:r>
      <w:r w:rsidRPr="001048FE">
        <w:rPr>
          <w:lang w:val="sl-SI"/>
        </w:rPr>
        <w:t>–</w:t>
      </w:r>
      <w:r w:rsidRPr="001048FE">
        <w:rPr>
          <w:spacing w:val="-11"/>
          <w:lang w:val="sl-SI"/>
        </w:rPr>
        <w:t xml:space="preserve"> </w:t>
      </w:r>
      <w:r w:rsidRPr="001048FE">
        <w:rPr>
          <w:lang w:val="sl-SI"/>
        </w:rPr>
        <w:t>in postopek za dodeljevanje nepovratnih sredstev – mora biti pravičen, pregleden, dosleden in dokumentiran,</w:t>
      </w:r>
      <w:r w:rsidRPr="001048FE">
        <w:rPr>
          <w:spacing w:val="-8"/>
          <w:lang w:val="sl-SI"/>
        </w:rPr>
        <w:t xml:space="preserve"> </w:t>
      </w:r>
      <w:r w:rsidRPr="001048FE">
        <w:rPr>
          <w:lang w:val="sl-SI"/>
        </w:rPr>
        <w:t>dostop</w:t>
      </w:r>
      <w:r w:rsidRPr="001048FE">
        <w:rPr>
          <w:spacing w:val="-8"/>
          <w:lang w:val="sl-SI"/>
        </w:rPr>
        <w:t xml:space="preserve"> </w:t>
      </w:r>
      <w:r w:rsidRPr="001048FE">
        <w:rPr>
          <w:lang w:val="sl-SI"/>
        </w:rPr>
        <w:t>do</w:t>
      </w:r>
      <w:r w:rsidRPr="001048FE">
        <w:rPr>
          <w:spacing w:val="-8"/>
          <w:lang w:val="sl-SI"/>
        </w:rPr>
        <w:t xml:space="preserve"> </w:t>
      </w:r>
      <w:r w:rsidRPr="001048FE">
        <w:rPr>
          <w:lang w:val="sl-SI"/>
        </w:rPr>
        <w:t>njega</w:t>
      </w:r>
      <w:r w:rsidRPr="001048FE">
        <w:rPr>
          <w:spacing w:val="-8"/>
          <w:lang w:val="sl-SI"/>
        </w:rPr>
        <w:t xml:space="preserve"> </w:t>
      </w:r>
      <w:r w:rsidRPr="001048FE">
        <w:rPr>
          <w:lang w:val="sl-SI"/>
        </w:rPr>
        <w:t>pa</w:t>
      </w:r>
      <w:r w:rsidRPr="001048FE">
        <w:rPr>
          <w:spacing w:val="-8"/>
          <w:lang w:val="sl-SI"/>
        </w:rPr>
        <w:t xml:space="preserve"> </w:t>
      </w:r>
      <w:r w:rsidRPr="001048FE">
        <w:rPr>
          <w:lang w:val="sl-SI"/>
        </w:rPr>
        <w:t>mora</w:t>
      </w:r>
      <w:r w:rsidRPr="001048FE">
        <w:rPr>
          <w:spacing w:val="-8"/>
          <w:lang w:val="sl-SI"/>
        </w:rPr>
        <w:t xml:space="preserve"> </w:t>
      </w:r>
      <w:r w:rsidRPr="001048FE">
        <w:rPr>
          <w:lang w:val="sl-SI"/>
        </w:rPr>
        <w:t>biti</w:t>
      </w:r>
      <w:r w:rsidRPr="001048FE">
        <w:rPr>
          <w:spacing w:val="-8"/>
          <w:lang w:val="sl-SI"/>
        </w:rPr>
        <w:t xml:space="preserve"> </w:t>
      </w:r>
      <w:r w:rsidRPr="001048FE">
        <w:rPr>
          <w:lang w:val="sl-SI"/>
        </w:rPr>
        <w:t>na</w:t>
      </w:r>
      <w:r w:rsidRPr="001048FE">
        <w:rPr>
          <w:spacing w:val="-8"/>
          <w:lang w:val="sl-SI"/>
        </w:rPr>
        <w:t xml:space="preserve"> </w:t>
      </w:r>
      <w:r w:rsidRPr="001048FE">
        <w:rPr>
          <w:lang w:val="sl-SI"/>
        </w:rPr>
        <w:t>voljo</w:t>
      </w:r>
      <w:r w:rsidRPr="001048FE">
        <w:rPr>
          <w:spacing w:val="-8"/>
          <w:lang w:val="sl-SI"/>
        </w:rPr>
        <w:t xml:space="preserve"> </w:t>
      </w:r>
      <w:r w:rsidRPr="001048FE">
        <w:rPr>
          <w:lang w:val="sl-SI"/>
        </w:rPr>
        <w:t>za</w:t>
      </w:r>
      <w:r w:rsidRPr="001048FE">
        <w:rPr>
          <w:spacing w:val="-8"/>
          <w:lang w:val="sl-SI"/>
        </w:rPr>
        <w:t xml:space="preserve"> </w:t>
      </w:r>
      <w:r w:rsidRPr="001048FE">
        <w:rPr>
          <w:lang w:val="sl-SI"/>
        </w:rPr>
        <w:t>vse</w:t>
      </w:r>
      <w:r w:rsidRPr="001048FE">
        <w:rPr>
          <w:spacing w:val="-8"/>
          <w:lang w:val="sl-SI"/>
        </w:rPr>
        <w:t xml:space="preserve"> </w:t>
      </w:r>
      <w:r w:rsidRPr="001048FE">
        <w:rPr>
          <w:lang w:val="sl-SI"/>
        </w:rPr>
        <w:t>strani,</w:t>
      </w:r>
      <w:r w:rsidRPr="001048FE">
        <w:rPr>
          <w:spacing w:val="-8"/>
          <w:lang w:val="sl-SI"/>
        </w:rPr>
        <w:t xml:space="preserve"> </w:t>
      </w:r>
      <w:r w:rsidRPr="001048FE">
        <w:rPr>
          <w:lang w:val="sl-SI"/>
        </w:rPr>
        <w:t>vključene</w:t>
      </w:r>
      <w:r w:rsidRPr="001048FE">
        <w:rPr>
          <w:spacing w:val="-8"/>
          <w:lang w:val="sl-SI"/>
        </w:rPr>
        <w:t xml:space="preserve"> </w:t>
      </w:r>
      <w:r w:rsidRPr="001048FE">
        <w:rPr>
          <w:lang w:val="sl-SI"/>
        </w:rPr>
        <w:t>v</w:t>
      </w:r>
      <w:r w:rsidRPr="001048FE">
        <w:rPr>
          <w:spacing w:val="-8"/>
          <w:lang w:val="sl-SI"/>
        </w:rPr>
        <w:t xml:space="preserve"> </w:t>
      </w:r>
      <w:r w:rsidRPr="001048FE">
        <w:rPr>
          <w:lang w:val="sl-SI"/>
        </w:rPr>
        <w:t>postopek</w:t>
      </w:r>
      <w:r w:rsidRPr="001048FE">
        <w:rPr>
          <w:spacing w:val="-8"/>
          <w:lang w:val="sl-SI"/>
        </w:rPr>
        <w:t xml:space="preserve"> </w:t>
      </w:r>
      <w:r w:rsidRPr="001048FE">
        <w:rPr>
          <w:lang w:val="sl-SI"/>
        </w:rPr>
        <w:t>izbora.</w:t>
      </w:r>
    </w:p>
    <w:p w14:paraId="7D39A858" w14:textId="77777777" w:rsidR="00E03711" w:rsidRPr="001048FE" w:rsidRDefault="00E03711" w:rsidP="00B35F65">
      <w:pPr>
        <w:pStyle w:val="GUIDE-NORMAL"/>
        <w:rPr>
          <w:lang w:val="sl-SI"/>
        </w:rPr>
      </w:pPr>
      <w:r w:rsidRPr="001048FE">
        <w:rPr>
          <w:lang w:val="sl-SI"/>
        </w:rPr>
        <w:t>Organizacija pošiljateljica sprejme vse potrebne ukrepe, da prepreči kakršno koli navzkrižje interesov</w:t>
      </w:r>
      <w:r w:rsidRPr="001048FE">
        <w:rPr>
          <w:spacing w:val="-15"/>
          <w:lang w:val="sl-SI"/>
        </w:rPr>
        <w:t xml:space="preserve"> </w:t>
      </w:r>
      <w:r w:rsidRPr="001048FE">
        <w:rPr>
          <w:lang w:val="sl-SI"/>
        </w:rPr>
        <w:t>v</w:t>
      </w:r>
      <w:r w:rsidRPr="001048FE">
        <w:rPr>
          <w:spacing w:val="-15"/>
          <w:lang w:val="sl-SI"/>
        </w:rPr>
        <w:t xml:space="preserve"> </w:t>
      </w:r>
      <w:r w:rsidRPr="001048FE">
        <w:rPr>
          <w:lang w:val="sl-SI"/>
        </w:rPr>
        <w:t>zvezi</w:t>
      </w:r>
      <w:r w:rsidRPr="001048FE">
        <w:rPr>
          <w:spacing w:val="-15"/>
          <w:lang w:val="sl-SI"/>
        </w:rPr>
        <w:t xml:space="preserve"> </w:t>
      </w:r>
      <w:r w:rsidRPr="001048FE">
        <w:rPr>
          <w:lang w:val="sl-SI"/>
        </w:rPr>
        <w:t>z</w:t>
      </w:r>
      <w:r w:rsidRPr="001048FE">
        <w:rPr>
          <w:spacing w:val="-15"/>
          <w:lang w:val="sl-SI"/>
        </w:rPr>
        <w:t xml:space="preserve"> </w:t>
      </w:r>
      <w:r w:rsidRPr="001048FE">
        <w:rPr>
          <w:lang w:val="sl-SI"/>
        </w:rPr>
        <w:t>osebami,</w:t>
      </w:r>
      <w:r w:rsidRPr="001048FE">
        <w:rPr>
          <w:spacing w:val="-14"/>
          <w:lang w:val="sl-SI"/>
        </w:rPr>
        <w:t xml:space="preserve"> </w:t>
      </w:r>
      <w:r w:rsidRPr="001048FE">
        <w:rPr>
          <w:lang w:val="sl-SI"/>
        </w:rPr>
        <w:t>ki</w:t>
      </w:r>
      <w:r w:rsidRPr="001048FE">
        <w:rPr>
          <w:spacing w:val="-15"/>
          <w:lang w:val="sl-SI"/>
        </w:rPr>
        <w:t xml:space="preserve"> </w:t>
      </w:r>
      <w:r w:rsidRPr="001048FE">
        <w:rPr>
          <w:lang w:val="sl-SI"/>
        </w:rPr>
        <w:t>lahko</w:t>
      </w:r>
      <w:r w:rsidRPr="001048FE">
        <w:rPr>
          <w:spacing w:val="-15"/>
          <w:lang w:val="sl-SI"/>
        </w:rPr>
        <w:t xml:space="preserve"> </w:t>
      </w:r>
      <w:r w:rsidRPr="001048FE">
        <w:rPr>
          <w:lang w:val="sl-SI"/>
        </w:rPr>
        <w:t>sodelujejo</w:t>
      </w:r>
      <w:r w:rsidRPr="001048FE">
        <w:rPr>
          <w:spacing w:val="-15"/>
          <w:lang w:val="sl-SI"/>
        </w:rPr>
        <w:t xml:space="preserve"> </w:t>
      </w:r>
      <w:r w:rsidRPr="001048FE">
        <w:rPr>
          <w:lang w:val="sl-SI"/>
        </w:rPr>
        <w:t>v</w:t>
      </w:r>
      <w:r w:rsidRPr="001048FE">
        <w:rPr>
          <w:spacing w:val="-15"/>
          <w:lang w:val="sl-SI"/>
        </w:rPr>
        <w:t xml:space="preserve"> </w:t>
      </w:r>
      <w:r w:rsidRPr="001048FE">
        <w:rPr>
          <w:lang w:val="sl-SI"/>
        </w:rPr>
        <w:t>organih</w:t>
      </w:r>
      <w:r w:rsidRPr="001048FE">
        <w:rPr>
          <w:spacing w:val="-14"/>
          <w:lang w:val="sl-SI"/>
        </w:rPr>
        <w:t xml:space="preserve"> </w:t>
      </w:r>
      <w:r w:rsidRPr="001048FE">
        <w:rPr>
          <w:lang w:val="sl-SI"/>
        </w:rPr>
        <w:t>za</w:t>
      </w:r>
      <w:r w:rsidRPr="001048FE">
        <w:rPr>
          <w:spacing w:val="-15"/>
          <w:lang w:val="sl-SI"/>
        </w:rPr>
        <w:t xml:space="preserve"> </w:t>
      </w:r>
      <w:r w:rsidRPr="001048FE">
        <w:rPr>
          <w:lang w:val="sl-SI"/>
        </w:rPr>
        <w:t>izbor</w:t>
      </w:r>
      <w:r w:rsidRPr="001048FE">
        <w:rPr>
          <w:spacing w:val="-15"/>
          <w:lang w:val="sl-SI"/>
        </w:rPr>
        <w:t xml:space="preserve"> </w:t>
      </w:r>
      <w:r w:rsidRPr="001048FE">
        <w:rPr>
          <w:lang w:val="sl-SI"/>
        </w:rPr>
        <w:t>ali</w:t>
      </w:r>
      <w:r w:rsidRPr="001048FE">
        <w:rPr>
          <w:spacing w:val="-15"/>
          <w:lang w:val="sl-SI"/>
        </w:rPr>
        <w:t xml:space="preserve"> </w:t>
      </w:r>
      <w:r w:rsidRPr="001048FE">
        <w:rPr>
          <w:lang w:val="sl-SI"/>
        </w:rPr>
        <w:t>postopku</w:t>
      </w:r>
      <w:r w:rsidRPr="001048FE">
        <w:rPr>
          <w:spacing w:val="-15"/>
          <w:lang w:val="sl-SI"/>
        </w:rPr>
        <w:t xml:space="preserve"> </w:t>
      </w:r>
      <w:r w:rsidRPr="001048FE">
        <w:rPr>
          <w:lang w:val="sl-SI"/>
        </w:rPr>
        <w:t>za</w:t>
      </w:r>
      <w:r w:rsidRPr="001048FE">
        <w:rPr>
          <w:spacing w:val="-15"/>
          <w:lang w:val="sl-SI"/>
        </w:rPr>
        <w:t xml:space="preserve"> </w:t>
      </w:r>
      <w:r w:rsidRPr="001048FE">
        <w:rPr>
          <w:lang w:val="sl-SI"/>
        </w:rPr>
        <w:t>izbor</w:t>
      </w:r>
      <w:r w:rsidRPr="001048FE">
        <w:rPr>
          <w:spacing w:val="-15"/>
          <w:lang w:val="sl-SI"/>
        </w:rPr>
        <w:t xml:space="preserve"> </w:t>
      </w:r>
      <w:r w:rsidRPr="001048FE">
        <w:rPr>
          <w:lang w:val="sl-SI"/>
        </w:rPr>
        <w:t>posameznih udeležencev.</w:t>
      </w:r>
    </w:p>
    <w:p w14:paraId="7D39A859" w14:textId="77777777" w:rsidR="00E03711" w:rsidRPr="001048FE" w:rsidRDefault="00E03711" w:rsidP="00B35F65">
      <w:pPr>
        <w:pStyle w:val="Guide-Heading5"/>
        <w:rPr>
          <w:lang w:val="sl-SI"/>
        </w:rPr>
      </w:pPr>
      <w:r w:rsidRPr="001048FE">
        <w:rPr>
          <w:lang w:val="sl-SI"/>
        </w:rPr>
        <w:t>Spremljevalci</w:t>
      </w:r>
    </w:p>
    <w:p w14:paraId="7D39A85A" w14:textId="77777777" w:rsidR="00E03711" w:rsidRPr="001048FE" w:rsidRDefault="00E03711" w:rsidP="00B35F65">
      <w:pPr>
        <w:pStyle w:val="GUIDE-NORMAL"/>
        <w:rPr>
          <w:lang w:val="sl-SI"/>
        </w:rPr>
      </w:pPr>
      <w:r w:rsidRPr="001048FE">
        <w:rPr>
          <w:lang w:val="sl-SI"/>
        </w:rPr>
        <w:t>Dijake</w:t>
      </w:r>
      <w:r w:rsidRPr="001048FE">
        <w:rPr>
          <w:spacing w:val="-9"/>
          <w:lang w:val="sl-SI"/>
        </w:rPr>
        <w:t xml:space="preserve"> </w:t>
      </w:r>
      <w:r w:rsidRPr="001048FE">
        <w:rPr>
          <w:lang w:val="sl-SI"/>
        </w:rPr>
        <w:t>v</w:t>
      </w:r>
      <w:r w:rsidRPr="001048FE">
        <w:rPr>
          <w:spacing w:val="-9"/>
          <w:lang w:val="sl-SI"/>
        </w:rPr>
        <w:t xml:space="preserve"> </w:t>
      </w:r>
      <w:r w:rsidRPr="001048FE">
        <w:rPr>
          <w:lang w:val="sl-SI"/>
        </w:rPr>
        <w:t>PIU</w:t>
      </w:r>
      <w:r w:rsidRPr="001048FE">
        <w:rPr>
          <w:spacing w:val="-9"/>
          <w:lang w:val="sl-SI"/>
        </w:rPr>
        <w:t xml:space="preserve"> </w:t>
      </w:r>
      <w:r w:rsidRPr="001048FE">
        <w:rPr>
          <w:lang w:val="sl-SI"/>
        </w:rPr>
        <w:t>s</w:t>
      </w:r>
      <w:r w:rsidRPr="001048FE">
        <w:rPr>
          <w:spacing w:val="-9"/>
          <w:lang w:val="sl-SI"/>
        </w:rPr>
        <w:t xml:space="preserve"> </w:t>
      </w:r>
      <w:r w:rsidRPr="001048FE">
        <w:rPr>
          <w:lang w:val="sl-SI"/>
        </w:rPr>
        <w:t>posebnimi</w:t>
      </w:r>
      <w:r w:rsidRPr="001048FE">
        <w:rPr>
          <w:spacing w:val="-9"/>
          <w:lang w:val="sl-SI"/>
        </w:rPr>
        <w:t xml:space="preserve"> </w:t>
      </w:r>
      <w:r w:rsidRPr="001048FE">
        <w:rPr>
          <w:lang w:val="sl-SI"/>
        </w:rPr>
        <w:t>potrebami</w:t>
      </w:r>
      <w:r w:rsidRPr="001048FE">
        <w:rPr>
          <w:spacing w:val="-9"/>
          <w:lang w:val="sl-SI"/>
        </w:rPr>
        <w:t xml:space="preserve"> </w:t>
      </w:r>
      <w:r w:rsidRPr="001048FE">
        <w:rPr>
          <w:lang w:val="sl-SI"/>
        </w:rPr>
        <w:t>ali</w:t>
      </w:r>
      <w:r w:rsidRPr="001048FE">
        <w:rPr>
          <w:spacing w:val="-9"/>
          <w:lang w:val="sl-SI"/>
        </w:rPr>
        <w:t xml:space="preserve"> </w:t>
      </w:r>
      <w:r w:rsidRPr="001048FE">
        <w:rPr>
          <w:lang w:val="sl-SI"/>
        </w:rPr>
        <w:t>iz</w:t>
      </w:r>
      <w:r w:rsidRPr="001048FE">
        <w:rPr>
          <w:spacing w:val="-9"/>
          <w:lang w:val="sl-SI"/>
        </w:rPr>
        <w:t xml:space="preserve"> </w:t>
      </w:r>
      <w:r w:rsidRPr="001048FE">
        <w:rPr>
          <w:lang w:val="sl-SI"/>
        </w:rPr>
        <w:t>okolij</w:t>
      </w:r>
      <w:r w:rsidRPr="001048FE">
        <w:rPr>
          <w:spacing w:val="-8"/>
          <w:lang w:val="sl-SI"/>
        </w:rPr>
        <w:t xml:space="preserve"> </w:t>
      </w:r>
      <w:r w:rsidRPr="001048FE">
        <w:rPr>
          <w:lang w:val="sl-SI"/>
        </w:rPr>
        <w:t>z</w:t>
      </w:r>
      <w:r w:rsidRPr="001048FE">
        <w:rPr>
          <w:spacing w:val="-9"/>
          <w:lang w:val="sl-SI"/>
        </w:rPr>
        <w:t xml:space="preserve"> </w:t>
      </w:r>
      <w:r w:rsidRPr="001048FE">
        <w:rPr>
          <w:lang w:val="sl-SI"/>
        </w:rPr>
        <w:t>manj</w:t>
      </w:r>
      <w:r w:rsidRPr="001048FE">
        <w:rPr>
          <w:spacing w:val="-9"/>
          <w:lang w:val="sl-SI"/>
        </w:rPr>
        <w:t xml:space="preserve"> </w:t>
      </w:r>
      <w:r w:rsidRPr="001048FE">
        <w:rPr>
          <w:lang w:val="sl-SI"/>
        </w:rPr>
        <w:t>možnostmi</w:t>
      </w:r>
      <w:r w:rsidRPr="001048FE">
        <w:rPr>
          <w:spacing w:val="-9"/>
          <w:lang w:val="sl-SI"/>
        </w:rPr>
        <w:t xml:space="preserve"> </w:t>
      </w:r>
      <w:r w:rsidRPr="001048FE">
        <w:rPr>
          <w:lang w:val="sl-SI"/>
        </w:rPr>
        <w:t>lahko</w:t>
      </w:r>
      <w:r w:rsidRPr="001048FE">
        <w:rPr>
          <w:spacing w:val="-9"/>
          <w:lang w:val="sl-SI"/>
        </w:rPr>
        <w:t xml:space="preserve"> </w:t>
      </w:r>
      <w:r w:rsidRPr="001048FE">
        <w:rPr>
          <w:lang w:val="sl-SI"/>
        </w:rPr>
        <w:t>spremlja</w:t>
      </w:r>
      <w:r w:rsidRPr="001048FE">
        <w:rPr>
          <w:spacing w:val="-9"/>
          <w:lang w:val="sl-SI"/>
        </w:rPr>
        <w:t xml:space="preserve"> </w:t>
      </w:r>
      <w:r w:rsidRPr="001048FE">
        <w:rPr>
          <w:lang w:val="sl-SI"/>
        </w:rPr>
        <w:t>oseba,</w:t>
      </w:r>
      <w:r w:rsidRPr="001048FE">
        <w:rPr>
          <w:spacing w:val="-8"/>
          <w:lang w:val="sl-SI"/>
        </w:rPr>
        <w:t xml:space="preserve"> </w:t>
      </w:r>
      <w:r w:rsidRPr="001048FE">
        <w:rPr>
          <w:lang w:val="sl-SI"/>
        </w:rPr>
        <w:t>ki</w:t>
      </w:r>
      <w:r w:rsidRPr="001048FE">
        <w:rPr>
          <w:spacing w:val="-9"/>
          <w:lang w:val="sl-SI"/>
        </w:rPr>
        <w:t xml:space="preserve"> </w:t>
      </w:r>
      <w:r w:rsidRPr="001048FE">
        <w:rPr>
          <w:lang w:val="sl-SI"/>
        </w:rPr>
        <w:t>jim</w:t>
      </w:r>
      <w:r w:rsidRPr="001048FE">
        <w:rPr>
          <w:spacing w:val="-9"/>
          <w:lang w:val="sl-SI"/>
        </w:rPr>
        <w:t xml:space="preserve"> </w:t>
      </w:r>
      <w:r w:rsidRPr="001048FE">
        <w:rPr>
          <w:lang w:val="sl-SI"/>
        </w:rPr>
        <w:t>v obdobju mobilnosti nudi podporo. Vključenost spremljevalcev mora biti sorazmerna s številom vključenih dijakov (navadno en spremljevalec na skupino dijakov, ki opravljajo prakso v isti organizaciji</w:t>
      </w:r>
      <w:r w:rsidRPr="001048FE">
        <w:rPr>
          <w:spacing w:val="-1"/>
          <w:lang w:val="sl-SI"/>
        </w:rPr>
        <w:t xml:space="preserve"> </w:t>
      </w:r>
      <w:r w:rsidRPr="001048FE">
        <w:rPr>
          <w:lang w:val="sl-SI"/>
        </w:rPr>
        <w:t>gostiteljici).</w:t>
      </w:r>
    </w:p>
    <w:p w14:paraId="7D39A85B" w14:textId="77777777" w:rsidR="00E03711" w:rsidRPr="001048FE" w:rsidRDefault="00E03711" w:rsidP="00B35F65">
      <w:pPr>
        <w:pStyle w:val="GUIDE-NORMAL"/>
        <w:rPr>
          <w:lang w:val="sl-SI"/>
        </w:rPr>
      </w:pPr>
      <w:r w:rsidRPr="001048FE">
        <w:rPr>
          <w:lang w:val="sl-SI"/>
        </w:rPr>
        <w:t>Trajanje bivanja spremljevalcev v tujini bi tudi moralo biti sorazmerno s potrebami dijakov (običajno je bivanje, ki traja ves čas aktivnosti, sprejemljivo samo v primerih, če dijaki niso samostojni ali so mladoletni).</w:t>
      </w:r>
    </w:p>
    <w:p w14:paraId="7D39A85C" w14:textId="77777777" w:rsidR="00E03711" w:rsidRPr="001048FE" w:rsidRDefault="00E03711" w:rsidP="00B35F65">
      <w:pPr>
        <w:pStyle w:val="Guide-Heading5"/>
        <w:rPr>
          <w:lang w:val="sl-SI"/>
        </w:rPr>
      </w:pPr>
      <w:r w:rsidRPr="001048FE">
        <w:rPr>
          <w:lang w:val="sl-SI"/>
        </w:rPr>
        <w:t>Sporazum z dijakom</w:t>
      </w:r>
    </w:p>
    <w:p w14:paraId="7D39A85D" w14:textId="77777777" w:rsidR="00E03711" w:rsidRPr="001048FE" w:rsidRDefault="00E03711" w:rsidP="00B35F65">
      <w:pPr>
        <w:pStyle w:val="GUIDE-NORMAL"/>
        <w:rPr>
          <w:lang w:val="sl-SI"/>
        </w:rPr>
      </w:pPr>
      <w:r w:rsidRPr="001048FE">
        <w:rPr>
          <w:lang w:val="sl-SI"/>
        </w:rPr>
        <w:t>Pred odhodom morajo dijaki v PIU podpisati sporazum z organizacijama pošiljateljico in gostiteljico, ki vključuje tudi naslednje:</w:t>
      </w:r>
    </w:p>
    <w:p w14:paraId="7D39A85E" w14:textId="77777777" w:rsidR="00E03711" w:rsidRPr="001048FE" w:rsidRDefault="00E03711" w:rsidP="005115F2">
      <w:pPr>
        <w:pStyle w:val="Guide-NormalBulletpoints"/>
        <w:numPr>
          <w:ilvl w:val="0"/>
          <w:numId w:val="427"/>
        </w:numPr>
        <w:rPr>
          <w:lang w:val="sl-SI"/>
        </w:rPr>
      </w:pPr>
      <w:r w:rsidRPr="001048FE">
        <w:rPr>
          <w:lang w:val="sl-SI"/>
        </w:rPr>
        <w:t>„učni sporazum“ z opredeljenim programom usposabljanja, ki se bo izvedel na podlagi dogovora med dijakom ter organizacijama pošiljateljico in gostiteljico. Ta sporazum opredeljuje ciljne učne rezultate za obdobje učenja v tujini in navaja formalne določbe o priznavanju (npr. ECVET);</w:t>
      </w:r>
    </w:p>
    <w:p w14:paraId="7D39A85F" w14:textId="77777777" w:rsidR="00E03711" w:rsidRPr="001048FE" w:rsidRDefault="00E03711" w:rsidP="005115F2">
      <w:pPr>
        <w:pStyle w:val="Guide-NormalBulletpoints"/>
        <w:numPr>
          <w:ilvl w:val="0"/>
          <w:numId w:val="427"/>
        </w:numPr>
        <w:rPr>
          <w:lang w:val="sl-SI"/>
        </w:rPr>
      </w:pPr>
      <w:r w:rsidRPr="001048FE">
        <w:rPr>
          <w:lang w:val="sl-SI"/>
        </w:rPr>
        <w:t>„zavezanost kakovosti“, ki se priloži učnemu sporazumu ter navaja pravice in obveznosti praktikantov, organizacij pošiljateljice in gostiteljice ter po potrebi organizacij posrednic.</w:t>
      </w:r>
    </w:p>
    <w:p w14:paraId="7D39A860" w14:textId="77777777" w:rsidR="00E03711" w:rsidRPr="001048FE" w:rsidRDefault="00E03711">
      <w:pPr>
        <w:widowControl/>
        <w:suppressAutoHyphens w:val="0"/>
        <w:autoSpaceDN/>
        <w:textAlignment w:val="auto"/>
        <w:rPr>
          <w:rFonts w:eastAsia="Times New Roman"/>
          <w:sz w:val="18"/>
          <w:szCs w:val="18"/>
          <w:shd w:val="clear" w:color="auto" w:fill="FFFFFF"/>
          <w:lang w:val="sl-SI" w:eastAsia="en-GB"/>
        </w:rPr>
      </w:pPr>
      <w:r w:rsidRPr="001048FE">
        <w:rPr>
          <w:lang w:val="sl-SI"/>
        </w:rPr>
        <w:br w:type="page"/>
      </w:r>
    </w:p>
    <w:p w14:paraId="7D39A861" w14:textId="77777777" w:rsidR="00E03711" w:rsidRPr="001048FE" w:rsidRDefault="00E03711" w:rsidP="00B35F65">
      <w:pPr>
        <w:pStyle w:val="GUIDE-NORMAL"/>
        <w:rPr>
          <w:lang w:val="sl-SI"/>
        </w:rPr>
      </w:pPr>
      <w:r w:rsidRPr="001048FE">
        <w:rPr>
          <w:lang w:val="sl-SI"/>
        </w:rPr>
        <w:t>S podpisom učnega sporazuma so dijaki v PIU upravičeni do podpore v obliki nepovratnih sredstev med</w:t>
      </w:r>
      <w:r w:rsidRPr="001048FE">
        <w:rPr>
          <w:spacing w:val="15"/>
          <w:lang w:val="sl-SI"/>
        </w:rPr>
        <w:t xml:space="preserve"> </w:t>
      </w:r>
      <w:r w:rsidRPr="001048FE">
        <w:rPr>
          <w:lang w:val="sl-SI"/>
        </w:rPr>
        <w:t>obdobjem</w:t>
      </w:r>
      <w:r w:rsidRPr="001048FE">
        <w:rPr>
          <w:spacing w:val="15"/>
          <w:lang w:val="sl-SI"/>
        </w:rPr>
        <w:t xml:space="preserve"> </w:t>
      </w:r>
      <w:r w:rsidRPr="001048FE">
        <w:rPr>
          <w:lang w:val="sl-SI"/>
        </w:rPr>
        <w:t>prakse</w:t>
      </w:r>
      <w:r w:rsidRPr="001048FE">
        <w:rPr>
          <w:spacing w:val="15"/>
          <w:lang w:val="sl-SI"/>
        </w:rPr>
        <w:t xml:space="preserve"> </w:t>
      </w:r>
      <w:r w:rsidRPr="001048FE">
        <w:rPr>
          <w:lang w:val="sl-SI"/>
        </w:rPr>
        <w:t>v</w:t>
      </w:r>
      <w:r w:rsidRPr="001048FE">
        <w:rPr>
          <w:spacing w:val="15"/>
          <w:lang w:val="sl-SI"/>
        </w:rPr>
        <w:t xml:space="preserve"> </w:t>
      </w:r>
      <w:r w:rsidRPr="001048FE">
        <w:rPr>
          <w:lang w:val="sl-SI"/>
        </w:rPr>
        <w:t>tujini.</w:t>
      </w:r>
      <w:r w:rsidRPr="001048FE">
        <w:rPr>
          <w:spacing w:val="15"/>
          <w:lang w:val="sl-SI"/>
        </w:rPr>
        <w:t xml:space="preserve"> </w:t>
      </w:r>
      <w:r w:rsidRPr="001048FE">
        <w:rPr>
          <w:lang w:val="sl-SI"/>
        </w:rPr>
        <w:t>V</w:t>
      </w:r>
      <w:r w:rsidRPr="001048FE">
        <w:rPr>
          <w:spacing w:val="15"/>
          <w:lang w:val="sl-SI"/>
        </w:rPr>
        <w:t xml:space="preserve"> </w:t>
      </w:r>
      <w:r w:rsidRPr="001048FE">
        <w:rPr>
          <w:lang w:val="sl-SI"/>
        </w:rPr>
        <w:t>ta</w:t>
      </w:r>
      <w:r w:rsidRPr="001048FE">
        <w:rPr>
          <w:spacing w:val="15"/>
          <w:lang w:val="sl-SI"/>
        </w:rPr>
        <w:t xml:space="preserve"> </w:t>
      </w:r>
      <w:r w:rsidRPr="001048FE">
        <w:rPr>
          <w:lang w:val="sl-SI"/>
        </w:rPr>
        <w:t>nepovratna</w:t>
      </w:r>
      <w:r w:rsidRPr="001048FE">
        <w:rPr>
          <w:spacing w:val="15"/>
          <w:lang w:val="sl-SI"/>
        </w:rPr>
        <w:t xml:space="preserve"> </w:t>
      </w:r>
      <w:r w:rsidRPr="001048FE">
        <w:rPr>
          <w:lang w:val="sl-SI"/>
        </w:rPr>
        <w:t>sredstva</w:t>
      </w:r>
      <w:r w:rsidRPr="001048FE">
        <w:rPr>
          <w:spacing w:val="15"/>
          <w:lang w:val="sl-SI"/>
        </w:rPr>
        <w:t xml:space="preserve"> </w:t>
      </w:r>
      <w:r w:rsidRPr="001048FE">
        <w:rPr>
          <w:lang w:val="sl-SI"/>
        </w:rPr>
        <w:t>je</w:t>
      </w:r>
      <w:r w:rsidRPr="001048FE">
        <w:rPr>
          <w:spacing w:val="15"/>
          <w:lang w:val="sl-SI"/>
        </w:rPr>
        <w:t xml:space="preserve"> </w:t>
      </w:r>
      <w:r w:rsidRPr="001048FE">
        <w:rPr>
          <w:lang w:val="sl-SI"/>
        </w:rPr>
        <w:t>lahko</w:t>
      </w:r>
      <w:r w:rsidRPr="001048FE">
        <w:rPr>
          <w:spacing w:val="15"/>
          <w:lang w:val="sl-SI"/>
        </w:rPr>
        <w:t xml:space="preserve"> </w:t>
      </w:r>
      <w:r w:rsidRPr="001048FE">
        <w:rPr>
          <w:lang w:val="sl-SI"/>
        </w:rPr>
        <w:t>zajeto</w:t>
      </w:r>
      <w:r w:rsidRPr="001048FE">
        <w:rPr>
          <w:spacing w:val="15"/>
          <w:lang w:val="sl-SI"/>
        </w:rPr>
        <w:t xml:space="preserve"> </w:t>
      </w:r>
      <w:r w:rsidRPr="001048FE">
        <w:rPr>
          <w:lang w:val="sl-SI"/>
        </w:rPr>
        <w:t>eno</w:t>
      </w:r>
      <w:r w:rsidRPr="001048FE">
        <w:rPr>
          <w:spacing w:val="15"/>
          <w:lang w:val="sl-SI"/>
        </w:rPr>
        <w:t xml:space="preserve"> </w:t>
      </w:r>
      <w:r w:rsidRPr="001048FE">
        <w:rPr>
          <w:lang w:val="sl-SI"/>
        </w:rPr>
        <w:t>ali</w:t>
      </w:r>
      <w:r w:rsidRPr="001048FE">
        <w:rPr>
          <w:spacing w:val="15"/>
          <w:lang w:val="sl-SI"/>
        </w:rPr>
        <w:t xml:space="preserve"> </w:t>
      </w:r>
      <w:r w:rsidRPr="001048FE">
        <w:rPr>
          <w:lang w:val="sl-SI"/>
        </w:rPr>
        <w:t>oboje</w:t>
      </w:r>
      <w:r w:rsidRPr="001048FE">
        <w:rPr>
          <w:spacing w:val="15"/>
          <w:lang w:val="sl-SI"/>
        </w:rPr>
        <w:t xml:space="preserve"> </w:t>
      </w:r>
      <w:r w:rsidRPr="001048FE">
        <w:rPr>
          <w:lang w:val="sl-SI"/>
        </w:rPr>
        <w:t>od</w:t>
      </w:r>
      <w:r w:rsidRPr="001048FE">
        <w:rPr>
          <w:spacing w:val="15"/>
          <w:lang w:val="sl-SI"/>
        </w:rPr>
        <w:t xml:space="preserve"> </w:t>
      </w:r>
      <w:r w:rsidRPr="001048FE">
        <w:rPr>
          <w:lang w:val="sl-SI"/>
        </w:rPr>
        <w:t>naslednjega:</w:t>
      </w:r>
    </w:p>
    <w:p w14:paraId="7D39A862" w14:textId="77777777" w:rsidR="00E03711" w:rsidRPr="001048FE" w:rsidRDefault="00E03711" w:rsidP="005115F2">
      <w:pPr>
        <w:pStyle w:val="Guide-NormalBulletpoints"/>
        <w:numPr>
          <w:ilvl w:val="0"/>
          <w:numId w:val="428"/>
        </w:numPr>
        <w:rPr>
          <w:lang w:val="sl-SI"/>
        </w:rPr>
      </w:pPr>
      <w:r w:rsidRPr="001048FE">
        <w:rPr>
          <w:lang w:val="sl-SI"/>
        </w:rPr>
        <w:t>nepovratna</w:t>
      </w:r>
      <w:r w:rsidRPr="001048FE">
        <w:rPr>
          <w:spacing w:val="-11"/>
          <w:lang w:val="sl-SI"/>
        </w:rPr>
        <w:t xml:space="preserve"> </w:t>
      </w:r>
      <w:r w:rsidRPr="001048FE">
        <w:rPr>
          <w:lang w:val="sl-SI"/>
        </w:rPr>
        <w:t>sredstva</w:t>
      </w:r>
      <w:r w:rsidRPr="001048FE">
        <w:rPr>
          <w:spacing w:val="-11"/>
          <w:lang w:val="sl-SI"/>
        </w:rPr>
        <w:t xml:space="preserve"> </w:t>
      </w:r>
      <w:r w:rsidRPr="001048FE">
        <w:rPr>
          <w:lang w:val="sl-SI"/>
        </w:rPr>
        <w:t>EU,</w:t>
      </w:r>
      <w:r w:rsidRPr="001048FE">
        <w:rPr>
          <w:spacing w:val="-11"/>
          <w:lang w:val="sl-SI"/>
        </w:rPr>
        <w:t xml:space="preserve"> </w:t>
      </w:r>
      <w:r w:rsidRPr="001048FE">
        <w:rPr>
          <w:lang w:val="sl-SI"/>
        </w:rPr>
        <w:t>ki</w:t>
      </w:r>
      <w:r w:rsidRPr="001048FE">
        <w:rPr>
          <w:spacing w:val="-11"/>
          <w:lang w:val="sl-SI"/>
        </w:rPr>
        <w:t xml:space="preserve"> </w:t>
      </w:r>
      <w:r w:rsidRPr="001048FE">
        <w:rPr>
          <w:lang w:val="sl-SI"/>
        </w:rPr>
        <w:t>se</w:t>
      </w:r>
      <w:r w:rsidRPr="001048FE">
        <w:rPr>
          <w:spacing w:val="-11"/>
          <w:lang w:val="sl-SI"/>
        </w:rPr>
        <w:t xml:space="preserve"> </w:t>
      </w:r>
      <w:r w:rsidRPr="001048FE">
        <w:rPr>
          <w:lang w:val="sl-SI"/>
        </w:rPr>
        <w:t>izračunajo</w:t>
      </w:r>
      <w:r w:rsidRPr="001048FE">
        <w:rPr>
          <w:spacing w:val="-11"/>
          <w:lang w:val="sl-SI"/>
        </w:rPr>
        <w:t xml:space="preserve"> </w:t>
      </w:r>
      <w:r w:rsidRPr="001048FE">
        <w:rPr>
          <w:lang w:val="sl-SI"/>
        </w:rPr>
        <w:t>glede</w:t>
      </w:r>
      <w:r w:rsidRPr="001048FE">
        <w:rPr>
          <w:spacing w:val="-11"/>
          <w:lang w:val="sl-SI"/>
        </w:rPr>
        <w:t xml:space="preserve"> </w:t>
      </w:r>
      <w:r w:rsidRPr="001048FE">
        <w:rPr>
          <w:lang w:val="sl-SI"/>
        </w:rPr>
        <w:t>na</w:t>
      </w:r>
      <w:r w:rsidRPr="001048FE">
        <w:rPr>
          <w:spacing w:val="-11"/>
          <w:lang w:val="sl-SI"/>
        </w:rPr>
        <w:t xml:space="preserve"> </w:t>
      </w:r>
      <w:r w:rsidRPr="001048FE">
        <w:rPr>
          <w:lang w:val="sl-SI"/>
        </w:rPr>
        <w:t>dan</w:t>
      </w:r>
      <w:r w:rsidRPr="001048FE">
        <w:rPr>
          <w:spacing w:val="-11"/>
          <w:lang w:val="sl-SI"/>
        </w:rPr>
        <w:t xml:space="preserve"> </w:t>
      </w:r>
      <w:r w:rsidRPr="001048FE">
        <w:rPr>
          <w:lang w:val="sl-SI"/>
        </w:rPr>
        <w:t>aktivnosti</w:t>
      </w:r>
      <w:r w:rsidRPr="001048FE">
        <w:rPr>
          <w:spacing w:val="-11"/>
          <w:lang w:val="sl-SI"/>
        </w:rPr>
        <w:t xml:space="preserve"> </w:t>
      </w:r>
      <w:r w:rsidRPr="001048FE">
        <w:rPr>
          <w:lang w:val="sl-SI"/>
        </w:rPr>
        <w:t>(glej</w:t>
      </w:r>
      <w:r w:rsidRPr="001048FE">
        <w:rPr>
          <w:spacing w:val="-11"/>
          <w:lang w:val="sl-SI"/>
        </w:rPr>
        <w:t xml:space="preserve"> </w:t>
      </w:r>
      <w:r w:rsidRPr="001048FE">
        <w:rPr>
          <w:lang w:val="sl-SI"/>
        </w:rPr>
        <w:t>poglavje</w:t>
      </w:r>
      <w:r w:rsidRPr="001048FE">
        <w:rPr>
          <w:spacing w:val="-11"/>
          <w:lang w:val="sl-SI"/>
        </w:rPr>
        <w:t xml:space="preserve"> </w:t>
      </w:r>
      <w:r w:rsidRPr="001048FE">
        <w:rPr>
          <w:lang w:val="sl-SI"/>
        </w:rPr>
        <w:t>„Pravila</w:t>
      </w:r>
      <w:r w:rsidRPr="001048FE">
        <w:rPr>
          <w:spacing w:val="-11"/>
          <w:lang w:val="sl-SI"/>
        </w:rPr>
        <w:t xml:space="preserve"> </w:t>
      </w:r>
      <w:r w:rsidRPr="001048FE">
        <w:rPr>
          <w:lang w:val="sl-SI"/>
        </w:rPr>
        <w:t>za dodelitev sredstev“ v delu B tega vodnika),</w:t>
      </w:r>
      <w:r w:rsidRPr="001048FE">
        <w:rPr>
          <w:spacing w:val="-17"/>
          <w:lang w:val="sl-SI"/>
        </w:rPr>
        <w:t xml:space="preserve"> </w:t>
      </w:r>
      <w:r w:rsidRPr="001048FE">
        <w:rPr>
          <w:lang w:val="sl-SI"/>
        </w:rPr>
        <w:t>in/ali</w:t>
      </w:r>
    </w:p>
    <w:p w14:paraId="7D39A863" w14:textId="77777777" w:rsidR="00E03711" w:rsidRPr="001048FE" w:rsidRDefault="00E03711" w:rsidP="005115F2">
      <w:pPr>
        <w:pStyle w:val="Guide-NormalBulletpoints"/>
        <w:numPr>
          <w:ilvl w:val="0"/>
          <w:numId w:val="428"/>
        </w:numPr>
        <w:rPr>
          <w:lang w:val="sl-SI"/>
        </w:rPr>
      </w:pPr>
      <w:r w:rsidRPr="001048FE">
        <w:rPr>
          <w:lang w:val="sl-SI"/>
        </w:rPr>
        <w:t>nacionalna, regionalna ali lokalna nepovratna sredstva, ki jih zagotovi javni ali zasebni donator ali se zagotovijo s shemo za posojila.</w:t>
      </w:r>
    </w:p>
    <w:p w14:paraId="7D39A864" w14:textId="77777777" w:rsidR="00E03711" w:rsidRPr="001048FE" w:rsidRDefault="00E03711" w:rsidP="00373117">
      <w:pPr>
        <w:pStyle w:val="GUIDE-NORMAL"/>
        <w:rPr>
          <w:rStyle w:val="Guide-Condensed-01"/>
          <w:lang w:val="sl-SI"/>
        </w:rPr>
      </w:pPr>
      <w:r w:rsidRPr="001048FE">
        <w:rPr>
          <w:rStyle w:val="Guide-Condensed-01"/>
          <w:lang w:val="sl-SI"/>
        </w:rPr>
        <w:t>Dovoljeni so „dijaki v PIU z ničelnimi nepovratnimi sredstvi“ (tj. dijaki, ki opravijo prakse, izpolnjujejo merila za mobilnost PIU Erasmus+ in izkoristijo prednosti dijakov v programu Erasmus+, ne da bi prejeli nepovratna sredstva Erasmus+). Pravila, opredeljena v tem vodniku za prijavitelje, razen tistih v zvezi z dodelitvijo nepovratnih sredstev, se uporabljajo tudi za te „dijake v PIU z ničelnimi nepovratnimi sredstvi “.</w:t>
      </w:r>
    </w:p>
    <w:p w14:paraId="7D39A865" w14:textId="77777777" w:rsidR="00E03711" w:rsidRPr="001048FE" w:rsidRDefault="00E03711" w:rsidP="00B35F65">
      <w:pPr>
        <w:pStyle w:val="Guide-Heading5"/>
        <w:rPr>
          <w:lang w:val="sl-SI"/>
        </w:rPr>
      </w:pPr>
      <w:r w:rsidRPr="001048FE">
        <w:rPr>
          <w:lang w:val="sl-SI"/>
        </w:rPr>
        <w:t>Spletna jezikovna podpora</w:t>
      </w:r>
    </w:p>
    <w:p w14:paraId="7D39A866" w14:textId="77777777" w:rsidR="00E03711" w:rsidRPr="001048FE" w:rsidRDefault="00E03711" w:rsidP="00373117">
      <w:pPr>
        <w:pStyle w:val="GUIDE-NORMAL"/>
        <w:rPr>
          <w:rStyle w:val="Guide-Condensed-01"/>
          <w:lang w:val="sl-SI"/>
        </w:rPr>
      </w:pPr>
      <w:r w:rsidRPr="001048FE">
        <w:rPr>
          <w:rStyle w:val="Guide-Condensed-01"/>
          <w:lang w:val="sl-SI"/>
        </w:rPr>
        <w:t>Dijaki v PIU, ki se bodo udeležili aktivnosti mobilnosti, ki traja 19 dni ali dlje, so pred odhodom ali med mobilnostjo upravičeni do jezikovne podpore. V zvezi s tem Komisija omogoči dostop do spletne podpore za izbrane dijake v PIU, da bo ocenila njihovo znanje jezika, ki ga bodo uporabljali pri opravljanju prakse v tujini. S to storitvijo lahko po potrebi tudi izboljšajo znanje jezika pred in/ali med obdobjem mobilnosti. Udeleženci, ki imajo najmanj raven B2 znanje glavnega jezika delovnega mesta, lahko tečaj spletne jezikovne podpore opravijo v jeziku države gostiteljice, če je na voljo. Ta spletna storitev se bo sčasoma začela izvajati s programom.</w:t>
      </w:r>
    </w:p>
    <w:p w14:paraId="7D39A867" w14:textId="77777777" w:rsidR="00E03711" w:rsidRPr="001048FE" w:rsidRDefault="00E03711" w:rsidP="00B35F65">
      <w:pPr>
        <w:pStyle w:val="GUIDE-NORMAL"/>
        <w:rPr>
          <w:lang w:val="sl-SI"/>
        </w:rPr>
      </w:pPr>
      <w:r w:rsidRPr="001048FE">
        <w:rPr>
          <w:lang w:val="sl-SI"/>
        </w:rPr>
        <w:t>Jezikovna podpora se zagotovi na naslednji način:</w:t>
      </w:r>
    </w:p>
    <w:p w14:paraId="7D39A868" w14:textId="77777777" w:rsidR="00E03711" w:rsidRPr="001048FE" w:rsidRDefault="00E03711" w:rsidP="005115F2">
      <w:pPr>
        <w:pStyle w:val="Guide-NormalBulletpoints"/>
        <w:numPr>
          <w:ilvl w:val="0"/>
          <w:numId w:val="429"/>
        </w:numPr>
        <w:rPr>
          <w:lang w:val="sl-SI"/>
        </w:rPr>
      </w:pPr>
      <w:r w:rsidRPr="001048FE">
        <w:rPr>
          <w:lang w:val="sl-SI"/>
        </w:rPr>
        <w:t>ob prijavi za projekt mobilnosti PIU bo organizacija prijaviteljica ocenila potrebo po jezikovni podpori – v glavnem jeziku poučevanja ali dela – za dijake, ki bodo opravljali prakso v okviru projekta mobilnosti;</w:t>
      </w:r>
    </w:p>
    <w:p w14:paraId="7D39A869" w14:textId="77777777" w:rsidR="00E03711" w:rsidRPr="001048FE" w:rsidRDefault="00E03711" w:rsidP="005115F2">
      <w:pPr>
        <w:pStyle w:val="Guide-NormalBulletpoints"/>
        <w:numPr>
          <w:ilvl w:val="0"/>
          <w:numId w:val="429"/>
        </w:numPr>
        <w:rPr>
          <w:lang w:val="sl-SI"/>
        </w:rPr>
      </w:pPr>
      <w:r w:rsidRPr="001048FE">
        <w:rPr>
          <w:lang w:val="sl-SI"/>
        </w:rPr>
        <w:t>nacionalne</w:t>
      </w:r>
      <w:r w:rsidRPr="001048FE">
        <w:rPr>
          <w:spacing w:val="-17"/>
          <w:lang w:val="sl-SI"/>
        </w:rPr>
        <w:t xml:space="preserve"> </w:t>
      </w:r>
      <w:r w:rsidRPr="001048FE">
        <w:rPr>
          <w:lang w:val="sl-SI"/>
        </w:rPr>
        <w:t>agencije</w:t>
      </w:r>
      <w:r w:rsidRPr="001048FE">
        <w:rPr>
          <w:spacing w:val="-17"/>
          <w:lang w:val="sl-SI"/>
        </w:rPr>
        <w:t xml:space="preserve"> </w:t>
      </w:r>
      <w:r w:rsidRPr="001048FE">
        <w:rPr>
          <w:lang w:val="sl-SI"/>
        </w:rPr>
        <w:t>organizacijam</w:t>
      </w:r>
      <w:r w:rsidRPr="001048FE">
        <w:rPr>
          <w:spacing w:val="-16"/>
          <w:lang w:val="sl-SI"/>
        </w:rPr>
        <w:t xml:space="preserve"> </w:t>
      </w:r>
      <w:r w:rsidRPr="001048FE">
        <w:rPr>
          <w:lang w:val="sl-SI"/>
        </w:rPr>
        <w:t>upravičenkam</w:t>
      </w:r>
      <w:r w:rsidRPr="001048FE">
        <w:rPr>
          <w:spacing w:val="-17"/>
          <w:lang w:val="sl-SI"/>
        </w:rPr>
        <w:t xml:space="preserve"> </w:t>
      </w:r>
      <w:r w:rsidRPr="001048FE">
        <w:rPr>
          <w:lang w:val="sl-SI"/>
        </w:rPr>
        <w:t>dodelijo</w:t>
      </w:r>
      <w:r w:rsidRPr="001048FE">
        <w:rPr>
          <w:spacing w:val="-17"/>
          <w:lang w:val="sl-SI"/>
        </w:rPr>
        <w:t xml:space="preserve"> </w:t>
      </w:r>
      <w:r w:rsidRPr="001048FE">
        <w:rPr>
          <w:lang w:val="sl-SI"/>
        </w:rPr>
        <w:t>spletne</w:t>
      </w:r>
      <w:r w:rsidRPr="001048FE">
        <w:rPr>
          <w:spacing w:val="-17"/>
          <w:lang w:val="sl-SI"/>
        </w:rPr>
        <w:t xml:space="preserve"> </w:t>
      </w:r>
      <w:r w:rsidRPr="001048FE">
        <w:rPr>
          <w:lang w:val="sl-SI"/>
        </w:rPr>
        <w:t>licence</w:t>
      </w:r>
      <w:r w:rsidRPr="001048FE">
        <w:rPr>
          <w:spacing w:val="-17"/>
          <w:lang w:val="sl-SI"/>
        </w:rPr>
        <w:t xml:space="preserve"> </w:t>
      </w:r>
      <w:r w:rsidRPr="001048FE">
        <w:rPr>
          <w:lang w:val="sl-SI"/>
        </w:rPr>
        <w:t>v</w:t>
      </w:r>
      <w:r w:rsidRPr="001048FE">
        <w:rPr>
          <w:spacing w:val="-17"/>
          <w:lang w:val="sl-SI"/>
        </w:rPr>
        <w:t xml:space="preserve"> </w:t>
      </w:r>
      <w:r w:rsidRPr="001048FE">
        <w:rPr>
          <w:lang w:val="sl-SI"/>
        </w:rPr>
        <w:t>skladu</w:t>
      </w:r>
      <w:r w:rsidRPr="001048FE">
        <w:rPr>
          <w:spacing w:val="-17"/>
          <w:lang w:val="sl-SI"/>
        </w:rPr>
        <w:t xml:space="preserve"> </w:t>
      </w:r>
      <w:r w:rsidRPr="001048FE">
        <w:rPr>
          <w:lang w:val="sl-SI"/>
        </w:rPr>
        <w:t>s</w:t>
      </w:r>
      <w:r w:rsidRPr="001048FE">
        <w:rPr>
          <w:spacing w:val="-17"/>
          <w:lang w:val="sl-SI"/>
        </w:rPr>
        <w:t xml:space="preserve"> </w:t>
      </w:r>
      <w:r w:rsidRPr="001048FE">
        <w:rPr>
          <w:lang w:val="sl-SI"/>
        </w:rPr>
        <w:t>splošnimi merili, ki jih opredeli Evropska</w:t>
      </w:r>
      <w:r w:rsidRPr="001048FE">
        <w:rPr>
          <w:spacing w:val="-7"/>
          <w:lang w:val="sl-SI"/>
        </w:rPr>
        <w:t xml:space="preserve"> </w:t>
      </w:r>
      <w:r w:rsidRPr="001048FE">
        <w:rPr>
          <w:lang w:val="sl-SI"/>
        </w:rPr>
        <w:t>komisija;</w:t>
      </w:r>
    </w:p>
    <w:p w14:paraId="7D39A86A" w14:textId="77777777" w:rsidR="00E03711" w:rsidRPr="001048FE" w:rsidRDefault="00E03711" w:rsidP="005115F2">
      <w:pPr>
        <w:pStyle w:val="Guide-NormalBulletpoints"/>
        <w:numPr>
          <w:ilvl w:val="0"/>
          <w:numId w:val="429"/>
        </w:numPr>
        <w:rPr>
          <w:lang w:val="sl-SI"/>
        </w:rPr>
      </w:pPr>
      <w:r w:rsidRPr="001048FE">
        <w:rPr>
          <w:lang w:val="sl-SI"/>
        </w:rPr>
        <w:t>vsi dijaki (razen govorci maternega jezika), ko jih bo izbrala njihova organizacija pošiljateljica – pred podpisom njihovega učnega sporazuma – in ki bodo lahko izkoristili uporabo spletne storitve, bodo izvedli spletni preskus, da se oceni njihovo znanje izbranega jezika. Rezultati tega preskusa bodo posredovani dijaku in na prošnjo organizaciji pošiljateljici. Ti rezultati ne bodo vplivali na odhod dijaka v tujino;</w:t>
      </w:r>
    </w:p>
    <w:p w14:paraId="7D39A86B" w14:textId="77777777" w:rsidR="00E03711" w:rsidRPr="001048FE" w:rsidRDefault="00E03711" w:rsidP="005115F2">
      <w:pPr>
        <w:pStyle w:val="Guide-NormalBulletpoints"/>
        <w:numPr>
          <w:ilvl w:val="0"/>
          <w:numId w:val="429"/>
        </w:numPr>
        <w:rPr>
          <w:lang w:val="sl-SI"/>
        </w:rPr>
      </w:pPr>
      <w:r w:rsidRPr="001048FE">
        <w:rPr>
          <w:lang w:val="sl-SI"/>
        </w:rPr>
        <w:t>glede</w:t>
      </w:r>
      <w:r w:rsidRPr="001048FE">
        <w:rPr>
          <w:spacing w:val="-10"/>
          <w:lang w:val="sl-SI"/>
        </w:rPr>
        <w:t xml:space="preserve"> </w:t>
      </w:r>
      <w:r w:rsidRPr="001048FE">
        <w:rPr>
          <w:lang w:val="sl-SI"/>
        </w:rPr>
        <w:t>na</w:t>
      </w:r>
      <w:r w:rsidRPr="001048FE">
        <w:rPr>
          <w:spacing w:val="-10"/>
          <w:lang w:val="sl-SI"/>
        </w:rPr>
        <w:t xml:space="preserve"> </w:t>
      </w:r>
      <w:r w:rsidRPr="001048FE">
        <w:rPr>
          <w:lang w:val="sl-SI"/>
        </w:rPr>
        <w:t>število</w:t>
      </w:r>
      <w:r w:rsidRPr="001048FE">
        <w:rPr>
          <w:spacing w:val="-10"/>
          <w:lang w:val="sl-SI"/>
        </w:rPr>
        <w:t xml:space="preserve"> </w:t>
      </w:r>
      <w:r w:rsidRPr="001048FE">
        <w:rPr>
          <w:lang w:val="sl-SI"/>
        </w:rPr>
        <w:t>spletnih</w:t>
      </w:r>
      <w:r w:rsidRPr="001048FE">
        <w:rPr>
          <w:spacing w:val="-10"/>
          <w:lang w:val="sl-SI"/>
        </w:rPr>
        <w:t xml:space="preserve"> </w:t>
      </w:r>
      <w:r w:rsidRPr="001048FE">
        <w:rPr>
          <w:lang w:val="sl-SI"/>
        </w:rPr>
        <w:t>licenc,</w:t>
      </w:r>
      <w:r w:rsidRPr="001048FE">
        <w:rPr>
          <w:spacing w:val="-10"/>
          <w:lang w:val="sl-SI"/>
        </w:rPr>
        <w:t xml:space="preserve"> </w:t>
      </w:r>
      <w:r w:rsidRPr="001048FE">
        <w:rPr>
          <w:lang w:val="sl-SI"/>
        </w:rPr>
        <w:t>ki</w:t>
      </w:r>
      <w:r w:rsidRPr="001048FE">
        <w:rPr>
          <w:spacing w:val="-10"/>
          <w:lang w:val="sl-SI"/>
        </w:rPr>
        <w:t xml:space="preserve"> </w:t>
      </w:r>
      <w:r w:rsidRPr="001048FE">
        <w:rPr>
          <w:lang w:val="sl-SI"/>
        </w:rPr>
        <w:t>bodo</w:t>
      </w:r>
      <w:r w:rsidRPr="001048FE">
        <w:rPr>
          <w:spacing w:val="-10"/>
          <w:lang w:val="sl-SI"/>
        </w:rPr>
        <w:t xml:space="preserve"> </w:t>
      </w:r>
      <w:r w:rsidRPr="001048FE">
        <w:rPr>
          <w:lang w:val="sl-SI"/>
        </w:rPr>
        <w:t>na</w:t>
      </w:r>
      <w:r w:rsidRPr="001048FE">
        <w:rPr>
          <w:spacing w:val="-10"/>
          <w:lang w:val="sl-SI"/>
        </w:rPr>
        <w:t xml:space="preserve"> </w:t>
      </w:r>
      <w:r w:rsidRPr="001048FE">
        <w:rPr>
          <w:lang w:val="sl-SI"/>
        </w:rPr>
        <w:t>voljo</w:t>
      </w:r>
      <w:r w:rsidRPr="001048FE">
        <w:rPr>
          <w:spacing w:val="-10"/>
          <w:lang w:val="sl-SI"/>
        </w:rPr>
        <w:t xml:space="preserve"> </w:t>
      </w:r>
      <w:r w:rsidRPr="001048FE">
        <w:rPr>
          <w:lang w:val="sl-SI"/>
        </w:rPr>
        <w:t>za</w:t>
      </w:r>
      <w:r w:rsidRPr="001048FE">
        <w:rPr>
          <w:spacing w:val="-10"/>
          <w:lang w:val="sl-SI"/>
        </w:rPr>
        <w:t xml:space="preserve"> </w:t>
      </w:r>
      <w:r w:rsidRPr="001048FE">
        <w:rPr>
          <w:lang w:val="sl-SI"/>
        </w:rPr>
        <w:t>jezikovne</w:t>
      </w:r>
      <w:r w:rsidRPr="001048FE">
        <w:rPr>
          <w:spacing w:val="-10"/>
          <w:lang w:val="sl-SI"/>
        </w:rPr>
        <w:t xml:space="preserve"> </w:t>
      </w:r>
      <w:r w:rsidRPr="001048FE">
        <w:rPr>
          <w:lang w:val="sl-SI"/>
        </w:rPr>
        <w:t>tečaje,</w:t>
      </w:r>
      <w:r w:rsidRPr="001048FE">
        <w:rPr>
          <w:spacing w:val="-10"/>
          <w:lang w:val="sl-SI"/>
        </w:rPr>
        <w:t xml:space="preserve"> </w:t>
      </w:r>
      <w:r w:rsidRPr="001048FE">
        <w:rPr>
          <w:lang w:val="sl-SI"/>
        </w:rPr>
        <w:t>bodo</w:t>
      </w:r>
      <w:r w:rsidRPr="001048FE">
        <w:rPr>
          <w:spacing w:val="-10"/>
          <w:lang w:val="sl-SI"/>
        </w:rPr>
        <w:t xml:space="preserve"> </w:t>
      </w:r>
      <w:r w:rsidRPr="001048FE">
        <w:rPr>
          <w:lang w:val="sl-SI"/>
        </w:rPr>
        <w:t>tisti</w:t>
      </w:r>
      <w:r w:rsidRPr="001048FE">
        <w:rPr>
          <w:spacing w:val="-10"/>
          <w:lang w:val="sl-SI"/>
        </w:rPr>
        <w:t xml:space="preserve"> </w:t>
      </w:r>
      <w:r w:rsidRPr="001048FE">
        <w:rPr>
          <w:lang w:val="sl-SI"/>
        </w:rPr>
        <w:t>udeleženci,</w:t>
      </w:r>
      <w:r w:rsidRPr="001048FE">
        <w:rPr>
          <w:spacing w:val="-10"/>
          <w:lang w:val="sl-SI"/>
        </w:rPr>
        <w:t xml:space="preserve"> </w:t>
      </w:r>
      <w:r w:rsidRPr="001048FE">
        <w:rPr>
          <w:lang w:val="sl-SI"/>
        </w:rPr>
        <w:t>ki potrebujejo jezikovno podporo, morda dobili možnost za opravljanje spletnega jezikovnega tečaja;</w:t>
      </w:r>
    </w:p>
    <w:p w14:paraId="7D39A86C" w14:textId="77777777" w:rsidR="00E03711" w:rsidRPr="001048FE" w:rsidRDefault="00E03711" w:rsidP="005115F2">
      <w:pPr>
        <w:pStyle w:val="Guide-NormalBulletpoints"/>
        <w:numPr>
          <w:ilvl w:val="0"/>
          <w:numId w:val="429"/>
        </w:numPr>
        <w:rPr>
          <w:lang w:val="sl-SI"/>
        </w:rPr>
      </w:pPr>
      <w:r w:rsidRPr="001048FE">
        <w:rPr>
          <w:lang w:val="sl-SI"/>
        </w:rPr>
        <w:t>ob</w:t>
      </w:r>
      <w:r w:rsidRPr="001048FE">
        <w:rPr>
          <w:spacing w:val="-9"/>
          <w:lang w:val="sl-SI"/>
        </w:rPr>
        <w:t xml:space="preserve"> </w:t>
      </w:r>
      <w:r w:rsidRPr="001048FE">
        <w:rPr>
          <w:lang w:val="sl-SI"/>
        </w:rPr>
        <w:t>koncu</w:t>
      </w:r>
      <w:r w:rsidRPr="001048FE">
        <w:rPr>
          <w:spacing w:val="-10"/>
          <w:lang w:val="sl-SI"/>
        </w:rPr>
        <w:t xml:space="preserve"> </w:t>
      </w:r>
      <w:r w:rsidRPr="001048FE">
        <w:rPr>
          <w:lang w:val="sl-SI"/>
        </w:rPr>
        <w:t>prakse</w:t>
      </w:r>
      <w:r w:rsidRPr="001048FE">
        <w:rPr>
          <w:spacing w:val="-10"/>
          <w:lang w:val="sl-SI"/>
        </w:rPr>
        <w:t xml:space="preserve"> </w:t>
      </w:r>
      <w:r w:rsidRPr="001048FE">
        <w:rPr>
          <w:lang w:val="sl-SI"/>
        </w:rPr>
        <w:t>bodo</w:t>
      </w:r>
      <w:r w:rsidRPr="001048FE">
        <w:rPr>
          <w:spacing w:val="-10"/>
          <w:lang w:val="sl-SI"/>
        </w:rPr>
        <w:t xml:space="preserve"> </w:t>
      </w:r>
      <w:r w:rsidRPr="001048FE">
        <w:rPr>
          <w:lang w:val="sl-SI"/>
        </w:rPr>
        <w:t>dijaki</w:t>
      </w:r>
      <w:r w:rsidRPr="001048FE">
        <w:rPr>
          <w:spacing w:val="-10"/>
          <w:lang w:val="sl-SI"/>
        </w:rPr>
        <w:t xml:space="preserve"> </w:t>
      </w:r>
      <w:r w:rsidRPr="001048FE">
        <w:rPr>
          <w:lang w:val="sl-SI"/>
        </w:rPr>
        <w:t>v</w:t>
      </w:r>
      <w:r w:rsidRPr="001048FE">
        <w:rPr>
          <w:spacing w:val="-10"/>
          <w:lang w:val="sl-SI"/>
        </w:rPr>
        <w:t xml:space="preserve"> </w:t>
      </w:r>
      <w:r w:rsidRPr="001048FE">
        <w:rPr>
          <w:lang w:val="sl-SI"/>
        </w:rPr>
        <w:t>PIU</w:t>
      </w:r>
      <w:r w:rsidRPr="001048FE">
        <w:rPr>
          <w:spacing w:val="-10"/>
          <w:lang w:val="sl-SI"/>
        </w:rPr>
        <w:t xml:space="preserve"> </w:t>
      </w:r>
      <w:r w:rsidRPr="001048FE">
        <w:rPr>
          <w:lang w:val="sl-SI"/>
        </w:rPr>
        <w:t>opravili</w:t>
      </w:r>
      <w:r w:rsidRPr="001048FE">
        <w:rPr>
          <w:spacing w:val="-9"/>
          <w:lang w:val="sl-SI"/>
        </w:rPr>
        <w:t xml:space="preserve"> </w:t>
      </w:r>
      <w:r w:rsidRPr="001048FE">
        <w:rPr>
          <w:lang w:val="sl-SI"/>
        </w:rPr>
        <w:t>drugo</w:t>
      </w:r>
      <w:r w:rsidRPr="001048FE">
        <w:rPr>
          <w:spacing w:val="-10"/>
          <w:lang w:val="sl-SI"/>
        </w:rPr>
        <w:t xml:space="preserve"> </w:t>
      </w:r>
      <w:r w:rsidRPr="001048FE">
        <w:rPr>
          <w:lang w:val="sl-SI"/>
        </w:rPr>
        <w:t>oceno,</w:t>
      </w:r>
      <w:r w:rsidRPr="001048FE">
        <w:rPr>
          <w:spacing w:val="-9"/>
          <w:lang w:val="sl-SI"/>
        </w:rPr>
        <w:t xml:space="preserve"> </w:t>
      </w:r>
      <w:r w:rsidRPr="001048FE">
        <w:rPr>
          <w:lang w:val="sl-SI"/>
        </w:rPr>
        <w:t>da</w:t>
      </w:r>
      <w:r w:rsidRPr="001048FE">
        <w:rPr>
          <w:spacing w:val="-10"/>
          <w:lang w:val="sl-SI"/>
        </w:rPr>
        <w:t xml:space="preserve"> </w:t>
      </w:r>
      <w:r w:rsidRPr="001048FE">
        <w:rPr>
          <w:lang w:val="sl-SI"/>
        </w:rPr>
        <w:t>se</w:t>
      </w:r>
      <w:r w:rsidRPr="001048FE">
        <w:rPr>
          <w:spacing w:val="-10"/>
          <w:lang w:val="sl-SI"/>
        </w:rPr>
        <w:t xml:space="preserve"> </w:t>
      </w:r>
      <w:r w:rsidRPr="001048FE">
        <w:rPr>
          <w:lang w:val="sl-SI"/>
        </w:rPr>
        <w:t>ugotovi</w:t>
      </w:r>
      <w:r w:rsidRPr="001048FE">
        <w:rPr>
          <w:spacing w:val="-10"/>
          <w:lang w:val="sl-SI"/>
        </w:rPr>
        <w:t xml:space="preserve"> </w:t>
      </w:r>
      <w:r w:rsidRPr="001048FE">
        <w:rPr>
          <w:lang w:val="sl-SI"/>
        </w:rPr>
        <w:t>napredek</w:t>
      </w:r>
      <w:r w:rsidRPr="001048FE">
        <w:rPr>
          <w:spacing w:val="-10"/>
          <w:lang w:val="sl-SI"/>
        </w:rPr>
        <w:t xml:space="preserve"> </w:t>
      </w:r>
      <w:r w:rsidRPr="001048FE">
        <w:rPr>
          <w:lang w:val="sl-SI"/>
        </w:rPr>
        <w:t>v</w:t>
      </w:r>
      <w:r w:rsidRPr="001048FE">
        <w:rPr>
          <w:spacing w:val="-10"/>
          <w:lang w:val="sl-SI"/>
        </w:rPr>
        <w:t xml:space="preserve"> </w:t>
      </w:r>
      <w:r w:rsidRPr="001048FE">
        <w:rPr>
          <w:lang w:val="sl-SI"/>
        </w:rPr>
        <w:t>učenju jezika. Rezultati bodo posredovani dijaku in na prošnjo organizaciji</w:t>
      </w:r>
      <w:r w:rsidRPr="001048FE">
        <w:rPr>
          <w:spacing w:val="-21"/>
          <w:lang w:val="sl-SI"/>
        </w:rPr>
        <w:t xml:space="preserve"> </w:t>
      </w:r>
      <w:r w:rsidRPr="001048FE">
        <w:rPr>
          <w:lang w:val="sl-SI"/>
        </w:rPr>
        <w:t>pošiljateljici.</w:t>
      </w:r>
    </w:p>
    <w:p w14:paraId="7D39A86D" w14:textId="77777777" w:rsidR="00E03711" w:rsidRPr="001048FE" w:rsidRDefault="00E03711" w:rsidP="00B35F65">
      <w:pPr>
        <w:pStyle w:val="GUIDE-NORMAL"/>
        <w:rPr>
          <w:lang w:val="sl-SI"/>
        </w:rPr>
      </w:pPr>
      <w:r w:rsidRPr="001048FE">
        <w:rPr>
          <w:lang w:val="sl-SI"/>
        </w:rPr>
        <w:t>V začetnih fazah Programa spletna ocena in tečaji ne bodo na voljo v vseh jezikih EU in jezikovni tečaji</w:t>
      </w:r>
      <w:r w:rsidRPr="001048FE">
        <w:rPr>
          <w:spacing w:val="-12"/>
          <w:lang w:val="sl-SI"/>
        </w:rPr>
        <w:t xml:space="preserve"> </w:t>
      </w:r>
      <w:r w:rsidRPr="001048FE">
        <w:rPr>
          <w:lang w:val="sl-SI"/>
        </w:rPr>
        <w:t>morda</w:t>
      </w:r>
      <w:r w:rsidRPr="001048FE">
        <w:rPr>
          <w:spacing w:val="-12"/>
          <w:lang w:val="sl-SI"/>
        </w:rPr>
        <w:t xml:space="preserve"> </w:t>
      </w:r>
      <w:r w:rsidRPr="001048FE">
        <w:rPr>
          <w:lang w:val="sl-SI"/>
        </w:rPr>
        <w:t>ne</w:t>
      </w:r>
      <w:r w:rsidRPr="001048FE">
        <w:rPr>
          <w:spacing w:val="-12"/>
          <w:lang w:val="sl-SI"/>
        </w:rPr>
        <w:t xml:space="preserve"> </w:t>
      </w:r>
      <w:r w:rsidRPr="001048FE">
        <w:rPr>
          <w:lang w:val="sl-SI"/>
        </w:rPr>
        <w:t>bodo</w:t>
      </w:r>
      <w:r w:rsidRPr="001048FE">
        <w:rPr>
          <w:spacing w:val="-12"/>
          <w:lang w:val="sl-SI"/>
        </w:rPr>
        <w:t xml:space="preserve"> </w:t>
      </w:r>
      <w:r w:rsidRPr="001048FE">
        <w:rPr>
          <w:lang w:val="sl-SI"/>
        </w:rPr>
        <w:t>na</w:t>
      </w:r>
      <w:r w:rsidRPr="001048FE">
        <w:rPr>
          <w:spacing w:val="-12"/>
          <w:lang w:val="sl-SI"/>
        </w:rPr>
        <w:t xml:space="preserve"> </w:t>
      </w:r>
      <w:r w:rsidRPr="001048FE">
        <w:rPr>
          <w:lang w:val="sl-SI"/>
        </w:rPr>
        <w:t>voljo</w:t>
      </w:r>
      <w:r w:rsidRPr="001048FE">
        <w:rPr>
          <w:spacing w:val="-12"/>
          <w:lang w:val="sl-SI"/>
        </w:rPr>
        <w:t xml:space="preserve"> </w:t>
      </w:r>
      <w:r w:rsidRPr="001048FE">
        <w:rPr>
          <w:lang w:val="sl-SI"/>
        </w:rPr>
        <w:t>za</w:t>
      </w:r>
      <w:r w:rsidRPr="001048FE">
        <w:rPr>
          <w:spacing w:val="-12"/>
          <w:lang w:val="sl-SI"/>
        </w:rPr>
        <w:t xml:space="preserve"> </w:t>
      </w:r>
      <w:r w:rsidRPr="001048FE">
        <w:rPr>
          <w:lang w:val="sl-SI"/>
        </w:rPr>
        <w:t>vse</w:t>
      </w:r>
      <w:r w:rsidRPr="001048FE">
        <w:rPr>
          <w:spacing w:val="-12"/>
          <w:lang w:val="sl-SI"/>
        </w:rPr>
        <w:t xml:space="preserve"> </w:t>
      </w:r>
      <w:r w:rsidRPr="001048FE">
        <w:rPr>
          <w:lang w:val="sl-SI"/>
        </w:rPr>
        <w:t>udeležence,</w:t>
      </w:r>
      <w:r w:rsidRPr="001048FE">
        <w:rPr>
          <w:spacing w:val="-12"/>
          <w:lang w:val="sl-SI"/>
        </w:rPr>
        <w:t xml:space="preserve"> </w:t>
      </w:r>
      <w:r w:rsidRPr="001048FE">
        <w:rPr>
          <w:lang w:val="sl-SI"/>
        </w:rPr>
        <w:t>ki</w:t>
      </w:r>
      <w:r w:rsidRPr="001048FE">
        <w:rPr>
          <w:spacing w:val="-12"/>
          <w:lang w:val="sl-SI"/>
        </w:rPr>
        <w:t xml:space="preserve"> </w:t>
      </w:r>
      <w:r w:rsidRPr="001048FE">
        <w:rPr>
          <w:lang w:val="sl-SI"/>
        </w:rPr>
        <w:t>jih</w:t>
      </w:r>
      <w:r w:rsidRPr="001048FE">
        <w:rPr>
          <w:spacing w:val="-12"/>
          <w:lang w:val="sl-SI"/>
        </w:rPr>
        <w:t xml:space="preserve"> </w:t>
      </w:r>
      <w:r w:rsidRPr="001048FE">
        <w:rPr>
          <w:lang w:val="sl-SI"/>
        </w:rPr>
        <w:t>bodo</w:t>
      </w:r>
      <w:r w:rsidRPr="001048FE">
        <w:rPr>
          <w:spacing w:val="-12"/>
          <w:lang w:val="sl-SI"/>
        </w:rPr>
        <w:t xml:space="preserve"> </w:t>
      </w:r>
      <w:r w:rsidRPr="001048FE">
        <w:rPr>
          <w:lang w:val="sl-SI"/>
        </w:rPr>
        <w:t>potrebovali.</w:t>
      </w:r>
      <w:r w:rsidRPr="001048FE">
        <w:rPr>
          <w:spacing w:val="-12"/>
          <w:lang w:val="sl-SI"/>
        </w:rPr>
        <w:t xml:space="preserve"> </w:t>
      </w:r>
      <w:r w:rsidRPr="001048FE">
        <w:rPr>
          <w:lang w:val="sl-SI"/>
        </w:rPr>
        <w:t>Več</w:t>
      </w:r>
      <w:r w:rsidRPr="001048FE">
        <w:rPr>
          <w:spacing w:val="-12"/>
          <w:lang w:val="sl-SI"/>
        </w:rPr>
        <w:t xml:space="preserve"> </w:t>
      </w:r>
      <w:r w:rsidRPr="001048FE">
        <w:rPr>
          <w:lang w:val="sl-SI"/>
        </w:rPr>
        <w:t>informacij</w:t>
      </w:r>
      <w:r w:rsidRPr="001048FE">
        <w:rPr>
          <w:spacing w:val="-12"/>
          <w:lang w:val="sl-SI"/>
        </w:rPr>
        <w:t xml:space="preserve"> </w:t>
      </w:r>
      <w:r w:rsidRPr="001048FE">
        <w:rPr>
          <w:lang w:val="sl-SI"/>
        </w:rPr>
        <w:t>bo</w:t>
      </w:r>
      <w:r w:rsidRPr="001048FE">
        <w:rPr>
          <w:spacing w:val="-12"/>
          <w:lang w:val="sl-SI"/>
        </w:rPr>
        <w:t xml:space="preserve"> </w:t>
      </w:r>
      <w:r w:rsidRPr="001048FE">
        <w:rPr>
          <w:lang w:val="sl-SI"/>
        </w:rPr>
        <w:t>na</w:t>
      </w:r>
      <w:r w:rsidRPr="001048FE">
        <w:rPr>
          <w:spacing w:val="-12"/>
          <w:lang w:val="sl-SI"/>
        </w:rPr>
        <w:t xml:space="preserve"> </w:t>
      </w:r>
      <w:r w:rsidRPr="001048FE">
        <w:rPr>
          <w:lang w:val="sl-SI"/>
        </w:rPr>
        <w:t>voljo na spletiščih Komisije in nacionalnih</w:t>
      </w:r>
      <w:r w:rsidRPr="001048FE">
        <w:rPr>
          <w:spacing w:val="-13"/>
          <w:lang w:val="sl-SI"/>
        </w:rPr>
        <w:t xml:space="preserve"> </w:t>
      </w:r>
      <w:r w:rsidRPr="001048FE">
        <w:rPr>
          <w:lang w:val="sl-SI"/>
        </w:rPr>
        <w:t>agencij.</w:t>
      </w:r>
    </w:p>
    <w:p w14:paraId="7D39A86E" w14:textId="77777777" w:rsidR="00E03711" w:rsidRPr="001048FE" w:rsidRDefault="00E03711" w:rsidP="00B35F65">
      <w:pPr>
        <w:pStyle w:val="GUIDE-NORMAL"/>
        <w:rPr>
          <w:lang w:val="sl-SI"/>
        </w:rPr>
      </w:pPr>
      <w:r w:rsidRPr="001048FE">
        <w:rPr>
          <w:lang w:val="sl-SI"/>
        </w:rPr>
        <w:t>Sodelujoče organizacije v projektu mobilnosti PIU morajo zagotoviti jezikovno podporo za jezike, ki ne</w:t>
      </w:r>
      <w:r w:rsidRPr="001048FE">
        <w:rPr>
          <w:spacing w:val="-15"/>
          <w:lang w:val="sl-SI"/>
        </w:rPr>
        <w:t xml:space="preserve"> </w:t>
      </w:r>
      <w:r w:rsidRPr="001048FE">
        <w:rPr>
          <w:lang w:val="sl-SI"/>
        </w:rPr>
        <w:t>bodo</w:t>
      </w:r>
      <w:r w:rsidRPr="001048FE">
        <w:rPr>
          <w:spacing w:val="-15"/>
          <w:lang w:val="sl-SI"/>
        </w:rPr>
        <w:t xml:space="preserve"> </w:t>
      </w:r>
      <w:r w:rsidRPr="001048FE">
        <w:rPr>
          <w:lang w:val="sl-SI"/>
        </w:rPr>
        <w:t>zajeti</w:t>
      </w:r>
      <w:r w:rsidRPr="001048FE">
        <w:rPr>
          <w:spacing w:val="-15"/>
          <w:lang w:val="sl-SI"/>
        </w:rPr>
        <w:t xml:space="preserve"> </w:t>
      </w:r>
      <w:r w:rsidRPr="001048FE">
        <w:rPr>
          <w:lang w:val="sl-SI"/>
        </w:rPr>
        <w:t>v</w:t>
      </w:r>
      <w:r w:rsidRPr="001048FE">
        <w:rPr>
          <w:spacing w:val="-15"/>
          <w:lang w:val="sl-SI"/>
        </w:rPr>
        <w:t xml:space="preserve"> </w:t>
      </w:r>
      <w:r w:rsidRPr="001048FE">
        <w:rPr>
          <w:lang w:val="sl-SI"/>
        </w:rPr>
        <w:t>storitev</w:t>
      </w:r>
      <w:r w:rsidRPr="001048FE">
        <w:rPr>
          <w:spacing w:val="-15"/>
          <w:lang w:val="sl-SI"/>
        </w:rPr>
        <w:t xml:space="preserve"> </w:t>
      </w:r>
      <w:r w:rsidRPr="001048FE">
        <w:rPr>
          <w:lang w:val="sl-SI"/>
        </w:rPr>
        <w:t>Komisije;</w:t>
      </w:r>
      <w:r w:rsidRPr="001048FE">
        <w:rPr>
          <w:spacing w:val="-15"/>
          <w:lang w:val="sl-SI"/>
        </w:rPr>
        <w:t xml:space="preserve"> </w:t>
      </w:r>
      <w:r w:rsidRPr="001048FE">
        <w:rPr>
          <w:lang w:val="sl-SI"/>
        </w:rPr>
        <w:t>za</w:t>
      </w:r>
      <w:r w:rsidRPr="001048FE">
        <w:rPr>
          <w:spacing w:val="-15"/>
          <w:lang w:val="sl-SI"/>
        </w:rPr>
        <w:t xml:space="preserve"> </w:t>
      </w:r>
      <w:r w:rsidRPr="001048FE">
        <w:rPr>
          <w:lang w:val="sl-SI"/>
        </w:rPr>
        <w:t>ta</w:t>
      </w:r>
      <w:r w:rsidRPr="001048FE">
        <w:rPr>
          <w:spacing w:val="-15"/>
          <w:lang w:val="sl-SI"/>
        </w:rPr>
        <w:t xml:space="preserve"> </w:t>
      </w:r>
      <w:r w:rsidRPr="001048FE">
        <w:rPr>
          <w:lang w:val="sl-SI"/>
        </w:rPr>
        <w:t>namen</w:t>
      </w:r>
      <w:r w:rsidRPr="001048FE">
        <w:rPr>
          <w:spacing w:val="-15"/>
          <w:lang w:val="sl-SI"/>
        </w:rPr>
        <w:t xml:space="preserve"> </w:t>
      </w:r>
      <w:r w:rsidRPr="001048FE">
        <w:rPr>
          <w:lang w:val="sl-SI"/>
        </w:rPr>
        <w:t>se</w:t>
      </w:r>
      <w:r w:rsidRPr="001048FE">
        <w:rPr>
          <w:spacing w:val="-15"/>
          <w:lang w:val="sl-SI"/>
        </w:rPr>
        <w:t xml:space="preserve"> </w:t>
      </w:r>
      <w:r w:rsidRPr="001048FE">
        <w:rPr>
          <w:lang w:val="sl-SI"/>
        </w:rPr>
        <w:t>lahko</w:t>
      </w:r>
      <w:r w:rsidRPr="001048FE">
        <w:rPr>
          <w:spacing w:val="-15"/>
          <w:lang w:val="sl-SI"/>
        </w:rPr>
        <w:t xml:space="preserve"> </w:t>
      </w:r>
      <w:r w:rsidRPr="001048FE">
        <w:rPr>
          <w:lang w:val="sl-SI"/>
        </w:rPr>
        <w:t>zagotovijo</w:t>
      </w:r>
      <w:r w:rsidRPr="001048FE">
        <w:rPr>
          <w:spacing w:val="-15"/>
          <w:lang w:val="sl-SI"/>
        </w:rPr>
        <w:t xml:space="preserve"> </w:t>
      </w:r>
      <w:r w:rsidRPr="001048FE">
        <w:rPr>
          <w:lang w:val="sl-SI"/>
        </w:rPr>
        <w:t>posebna</w:t>
      </w:r>
      <w:r w:rsidRPr="001048FE">
        <w:rPr>
          <w:spacing w:val="-15"/>
          <w:lang w:val="sl-SI"/>
        </w:rPr>
        <w:t xml:space="preserve"> </w:t>
      </w:r>
      <w:r w:rsidRPr="001048FE">
        <w:rPr>
          <w:lang w:val="sl-SI"/>
        </w:rPr>
        <w:t>nepovratna</w:t>
      </w:r>
      <w:r w:rsidRPr="001048FE">
        <w:rPr>
          <w:spacing w:val="-15"/>
          <w:lang w:val="sl-SI"/>
        </w:rPr>
        <w:t xml:space="preserve"> </w:t>
      </w:r>
      <w:r w:rsidRPr="001048FE">
        <w:rPr>
          <w:lang w:val="sl-SI"/>
        </w:rPr>
        <w:t>sredstva</w:t>
      </w:r>
      <w:r w:rsidRPr="001048FE">
        <w:rPr>
          <w:spacing w:val="-15"/>
          <w:lang w:val="sl-SI"/>
        </w:rPr>
        <w:t xml:space="preserve"> </w:t>
      </w:r>
      <w:r w:rsidRPr="001048FE">
        <w:rPr>
          <w:lang w:val="sl-SI"/>
        </w:rPr>
        <w:t>iz razdelka „Jezikovna podpora“. Poleg tega lahko organizacije, vključene v projekt mobilnosti PIU, uporabijo nepovratna sredstva iz razdelka „Organizacijska podpora“ za obravnavanje potreb udeležencev</w:t>
      </w:r>
      <w:r w:rsidRPr="001048FE">
        <w:rPr>
          <w:spacing w:val="-17"/>
          <w:lang w:val="sl-SI"/>
        </w:rPr>
        <w:t xml:space="preserve"> </w:t>
      </w:r>
      <w:r w:rsidRPr="001048FE">
        <w:rPr>
          <w:lang w:val="sl-SI"/>
        </w:rPr>
        <w:t>v</w:t>
      </w:r>
      <w:r w:rsidRPr="001048FE">
        <w:rPr>
          <w:spacing w:val="-17"/>
          <w:lang w:val="sl-SI"/>
        </w:rPr>
        <w:t xml:space="preserve"> </w:t>
      </w:r>
      <w:r w:rsidRPr="001048FE">
        <w:rPr>
          <w:lang w:val="sl-SI"/>
        </w:rPr>
        <w:t>zvezi</w:t>
      </w:r>
      <w:r w:rsidRPr="001048FE">
        <w:rPr>
          <w:spacing w:val="-17"/>
          <w:lang w:val="sl-SI"/>
        </w:rPr>
        <w:t xml:space="preserve"> </w:t>
      </w:r>
      <w:r w:rsidRPr="001048FE">
        <w:rPr>
          <w:lang w:val="sl-SI"/>
        </w:rPr>
        <w:t>s</w:t>
      </w:r>
      <w:r w:rsidRPr="001048FE">
        <w:rPr>
          <w:spacing w:val="-17"/>
          <w:lang w:val="sl-SI"/>
        </w:rPr>
        <w:t xml:space="preserve"> </w:t>
      </w:r>
      <w:r w:rsidRPr="001048FE">
        <w:rPr>
          <w:lang w:val="sl-SI"/>
        </w:rPr>
        <w:t>pedagoško,</w:t>
      </w:r>
      <w:r w:rsidRPr="001048FE">
        <w:rPr>
          <w:spacing w:val="-17"/>
          <w:lang w:val="sl-SI"/>
        </w:rPr>
        <w:t xml:space="preserve"> </w:t>
      </w:r>
      <w:r w:rsidRPr="001048FE">
        <w:rPr>
          <w:lang w:val="sl-SI"/>
        </w:rPr>
        <w:t>medkulturno</w:t>
      </w:r>
      <w:r w:rsidRPr="001048FE">
        <w:rPr>
          <w:spacing w:val="-17"/>
          <w:lang w:val="sl-SI"/>
        </w:rPr>
        <w:t xml:space="preserve"> </w:t>
      </w:r>
      <w:r w:rsidRPr="001048FE">
        <w:rPr>
          <w:lang w:val="sl-SI"/>
        </w:rPr>
        <w:t>ali</w:t>
      </w:r>
      <w:r w:rsidRPr="001048FE">
        <w:rPr>
          <w:spacing w:val="-17"/>
          <w:lang w:val="sl-SI"/>
        </w:rPr>
        <w:t xml:space="preserve"> </w:t>
      </w:r>
      <w:r w:rsidRPr="001048FE">
        <w:rPr>
          <w:lang w:val="sl-SI"/>
        </w:rPr>
        <w:t>posebno</w:t>
      </w:r>
      <w:r w:rsidRPr="001048FE">
        <w:rPr>
          <w:spacing w:val="-17"/>
          <w:lang w:val="sl-SI"/>
        </w:rPr>
        <w:t xml:space="preserve"> </w:t>
      </w:r>
      <w:r w:rsidRPr="001048FE">
        <w:rPr>
          <w:lang w:val="sl-SI"/>
        </w:rPr>
        <w:t>jezikovno</w:t>
      </w:r>
      <w:r w:rsidRPr="001048FE">
        <w:rPr>
          <w:spacing w:val="-17"/>
          <w:lang w:val="sl-SI"/>
        </w:rPr>
        <w:t xml:space="preserve"> </w:t>
      </w:r>
      <w:r w:rsidRPr="001048FE">
        <w:rPr>
          <w:lang w:val="sl-SI"/>
        </w:rPr>
        <w:t>pripravo</w:t>
      </w:r>
      <w:r w:rsidRPr="001048FE">
        <w:rPr>
          <w:spacing w:val="-17"/>
          <w:lang w:val="sl-SI"/>
        </w:rPr>
        <w:t xml:space="preserve"> </w:t>
      </w:r>
      <w:r w:rsidRPr="001048FE">
        <w:rPr>
          <w:lang w:val="sl-SI"/>
        </w:rPr>
        <w:t>(glej</w:t>
      </w:r>
      <w:r w:rsidRPr="001048FE">
        <w:rPr>
          <w:spacing w:val="-17"/>
          <w:lang w:val="sl-SI"/>
        </w:rPr>
        <w:t xml:space="preserve"> </w:t>
      </w:r>
      <w:r w:rsidRPr="001048FE">
        <w:rPr>
          <w:lang w:val="sl-SI"/>
        </w:rPr>
        <w:t>poglavje</w:t>
      </w:r>
      <w:r w:rsidRPr="001048FE">
        <w:rPr>
          <w:spacing w:val="-17"/>
          <w:lang w:val="sl-SI"/>
        </w:rPr>
        <w:t xml:space="preserve"> </w:t>
      </w:r>
      <w:r w:rsidRPr="001048FE">
        <w:rPr>
          <w:lang w:val="sl-SI"/>
        </w:rPr>
        <w:t>„Pravila za dodelitev sredstev“ v delu B tega</w:t>
      </w:r>
      <w:r w:rsidRPr="001048FE">
        <w:rPr>
          <w:spacing w:val="-20"/>
          <w:lang w:val="sl-SI"/>
        </w:rPr>
        <w:t xml:space="preserve"> </w:t>
      </w:r>
      <w:r w:rsidRPr="001048FE">
        <w:rPr>
          <w:lang w:val="sl-SI"/>
        </w:rPr>
        <w:t>vodnika).</w:t>
      </w:r>
    </w:p>
    <w:p w14:paraId="7D39A86F" w14:textId="77777777" w:rsidR="00E03711" w:rsidRPr="001048FE" w:rsidRDefault="00E03711" w:rsidP="00B35F65">
      <w:pPr>
        <w:pStyle w:val="Guide-Heading4"/>
        <w:rPr>
          <w:lang w:val="sl-SI"/>
        </w:rPr>
      </w:pPr>
      <w:bookmarkStart w:id="590" w:name="_Toc527401289"/>
      <w:r w:rsidRPr="001048FE">
        <w:rPr>
          <w:lang w:val="sl-SI"/>
        </w:rPr>
        <w:t>H: Pogoji udeležbe osebja</w:t>
      </w:r>
      <w:bookmarkEnd w:id="590"/>
    </w:p>
    <w:p w14:paraId="7D39A870" w14:textId="77777777" w:rsidR="00E03711" w:rsidRPr="001048FE" w:rsidRDefault="00E03711" w:rsidP="00B35F65">
      <w:pPr>
        <w:pStyle w:val="Guide-Heading5"/>
        <w:rPr>
          <w:lang w:val="sl-SI"/>
        </w:rPr>
      </w:pPr>
      <w:r w:rsidRPr="001048FE">
        <w:rPr>
          <w:lang w:val="sl-SI"/>
        </w:rPr>
        <w:t>Izbor</w:t>
      </w:r>
    </w:p>
    <w:p w14:paraId="7D39A871" w14:textId="77777777" w:rsidR="00E03711" w:rsidRPr="001048FE" w:rsidRDefault="00E03711" w:rsidP="00904FA1">
      <w:pPr>
        <w:pStyle w:val="GUIDE-NORMAL"/>
        <w:spacing w:before="160" w:after="160"/>
        <w:rPr>
          <w:lang w:val="sl-SI"/>
        </w:rPr>
      </w:pPr>
      <w:r w:rsidRPr="001048FE">
        <w:rPr>
          <w:lang w:val="sl-SI"/>
        </w:rPr>
        <w:t>Izbor osebja izvede organizacija pošiljateljica. Postopek izbora in dodelitve nepovratnih sredstev mora biti pravičen, pregleden, dosleden in dokumentiran, dostop do njega pa mora biti na voljo za vse strani, vključene v postopek izbora.</w:t>
      </w:r>
    </w:p>
    <w:p w14:paraId="7D39A872" w14:textId="77777777" w:rsidR="00E03711" w:rsidRPr="001048FE" w:rsidRDefault="00E03711" w:rsidP="00904FA1">
      <w:pPr>
        <w:pStyle w:val="GUIDE-NORMAL"/>
        <w:spacing w:before="160" w:after="160"/>
        <w:rPr>
          <w:lang w:val="sl-SI"/>
        </w:rPr>
      </w:pPr>
      <w:r w:rsidRPr="001048FE">
        <w:rPr>
          <w:lang w:val="sl-SI"/>
        </w:rPr>
        <w:t>Organizacija pošiljateljica sprejme vse potrebne ukrepe, da prepreči kakršno koli navzkrižje interesov</w:t>
      </w:r>
      <w:r w:rsidRPr="001048FE">
        <w:rPr>
          <w:spacing w:val="-15"/>
          <w:lang w:val="sl-SI"/>
        </w:rPr>
        <w:t xml:space="preserve"> </w:t>
      </w:r>
      <w:r w:rsidRPr="001048FE">
        <w:rPr>
          <w:lang w:val="sl-SI"/>
        </w:rPr>
        <w:t>v</w:t>
      </w:r>
      <w:r w:rsidRPr="001048FE">
        <w:rPr>
          <w:spacing w:val="-15"/>
          <w:lang w:val="sl-SI"/>
        </w:rPr>
        <w:t xml:space="preserve"> </w:t>
      </w:r>
      <w:r w:rsidRPr="001048FE">
        <w:rPr>
          <w:lang w:val="sl-SI"/>
        </w:rPr>
        <w:t>zvezi</w:t>
      </w:r>
      <w:r w:rsidRPr="001048FE">
        <w:rPr>
          <w:spacing w:val="-15"/>
          <w:lang w:val="sl-SI"/>
        </w:rPr>
        <w:t xml:space="preserve"> </w:t>
      </w:r>
      <w:r w:rsidRPr="001048FE">
        <w:rPr>
          <w:lang w:val="sl-SI"/>
        </w:rPr>
        <w:t>z</w:t>
      </w:r>
      <w:r w:rsidRPr="001048FE">
        <w:rPr>
          <w:spacing w:val="-15"/>
          <w:lang w:val="sl-SI"/>
        </w:rPr>
        <w:t xml:space="preserve"> </w:t>
      </w:r>
      <w:r w:rsidRPr="001048FE">
        <w:rPr>
          <w:lang w:val="sl-SI"/>
        </w:rPr>
        <w:t>osebami,</w:t>
      </w:r>
      <w:r w:rsidRPr="001048FE">
        <w:rPr>
          <w:spacing w:val="-14"/>
          <w:lang w:val="sl-SI"/>
        </w:rPr>
        <w:t xml:space="preserve"> </w:t>
      </w:r>
      <w:r w:rsidRPr="001048FE">
        <w:rPr>
          <w:lang w:val="sl-SI"/>
        </w:rPr>
        <w:t>ki</w:t>
      </w:r>
      <w:r w:rsidRPr="001048FE">
        <w:rPr>
          <w:spacing w:val="-15"/>
          <w:lang w:val="sl-SI"/>
        </w:rPr>
        <w:t xml:space="preserve"> </w:t>
      </w:r>
      <w:r w:rsidRPr="001048FE">
        <w:rPr>
          <w:lang w:val="sl-SI"/>
        </w:rPr>
        <w:t>lahko</w:t>
      </w:r>
      <w:r w:rsidRPr="001048FE">
        <w:rPr>
          <w:spacing w:val="-15"/>
          <w:lang w:val="sl-SI"/>
        </w:rPr>
        <w:t xml:space="preserve"> </w:t>
      </w:r>
      <w:r w:rsidRPr="001048FE">
        <w:rPr>
          <w:lang w:val="sl-SI"/>
        </w:rPr>
        <w:t>sodelujejo</w:t>
      </w:r>
      <w:r w:rsidRPr="001048FE">
        <w:rPr>
          <w:spacing w:val="-15"/>
          <w:lang w:val="sl-SI"/>
        </w:rPr>
        <w:t xml:space="preserve"> </w:t>
      </w:r>
      <w:r w:rsidRPr="001048FE">
        <w:rPr>
          <w:lang w:val="sl-SI"/>
        </w:rPr>
        <w:t>v</w:t>
      </w:r>
      <w:r w:rsidRPr="001048FE">
        <w:rPr>
          <w:spacing w:val="-15"/>
          <w:lang w:val="sl-SI"/>
        </w:rPr>
        <w:t xml:space="preserve"> </w:t>
      </w:r>
      <w:r w:rsidRPr="001048FE">
        <w:rPr>
          <w:lang w:val="sl-SI"/>
        </w:rPr>
        <w:t>organih</w:t>
      </w:r>
      <w:r w:rsidRPr="001048FE">
        <w:rPr>
          <w:spacing w:val="-14"/>
          <w:lang w:val="sl-SI"/>
        </w:rPr>
        <w:t xml:space="preserve"> </w:t>
      </w:r>
      <w:r w:rsidRPr="001048FE">
        <w:rPr>
          <w:lang w:val="sl-SI"/>
        </w:rPr>
        <w:t>za</w:t>
      </w:r>
      <w:r w:rsidRPr="001048FE">
        <w:rPr>
          <w:spacing w:val="-15"/>
          <w:lang w:val="sl-SI"/>
        </w:rPr>
        <w:t xml:space="preserve"> </w:t>
      </w:r>
      <w:r w:rsidRPr="001048FE">
        <w:rPr>
          <w:lang w:val="sl-SI"/>
        </w:rPr>
        <w:t>izbor</w:t>
      </w:r>
      <w:r w:rsidRPr="001048FE">
        <w:rPr>
          <w:spacing w:val="-15"/>
          <w:lang w:val="sl-SI"/>
        </w:rPr>
        <w:t xml:space="preserve"> </w:t>
      </w:r>
      <w:r w:rsidRPr="001048FE">
        <w:rPr>
          <w:lang w:val="sl-SI"/>
        </w:rPr>
        <w:t>ali</w:t>
      </w:r>
      <w:r w:rsidRPr="001048FE">
        <w:rPr>
          <w:spacing w:val="-15"/>
          <w:lang w:val="sl-SI"/>
        </w:rPr>
        <w:t xml:space="preserve"> </w:t>
      </w:r>
      <w:r w:rsidRPr="001048FE">
        <w:rPr>
          <w:lang w:val="sl-SI"/>
        </w:rPr>
        <w:t>postopku</w:t>
      </w:r>
      <w:r w:rsidRPr="001048FE">
        <w:rPr>
          <w:spacing w:val="-15"/>
          <w:lang w:val="sl-SI"/>
        </w:rPr>
        <w:t xml:space="preserve"> </w:t>
      </w:r>
      <w:r w:rsidRPr="001048FE">
        <w:rPr>
          <w:lang w:val="sl-SI"/>
        </w:rPr>
        <w:t>za</w:t>
      </w:r>
      <w:r w:rsidRPr="001048FE">
        <w:rPr>
          <w:spacing w:val="-15"/>
          <w:lang w:val="sl-SI"/>
        </w:rPr>
        <w:t xml:space="preserve"> </w:t>
      </w:r>
      <w:r w:rsidRPr="001048FE">
        <w:rPr>
          <w:lang w:val="sl-SI"/>
        </w:rPr>
        <w:t>izbor</w:t>
      </w:r>
      <w:r w:rsidRPr="001048FE">
        <w:rPr>
          <w:spacing w:val="-15"/>
          <w:lang w:val="sl-SI"/>
        </w:rPr>
        <w:t xml:space="preserve"> </w:t>
      </w:r>
      <w:r w:rsidRPr="001048FE">
        <w:rPr>
          <w:lang w:val="sl-SI"/>
        </w:rPr>
        <w:t>posameznih upravičencev.</w:t>
      </w:r>
    </w:p>
    <w:p w14:paraId="7D39A873" w14:textId="77777777" w:rsidR="00E03711" w:rsidRPr="001048FE" w:rsidRDefault="00E03711" w:rsidP="00904FA1">
      <w:pPr>
        <w:pStyle w:val="GUIDE-NORMAL"/>
        <w:spacing w:before="160" w:after="160"/>
        <w:rPr>
          <w:lang w:val="sl-SI"/>
        </w:rPr>
      </w:pPr>
      <w:r w:rsidRPr="001048FE">
        <w:rPr>
          <w:lang w:val="sl-SI"/>
        </w:rPr>
        <w:t>Merila za izbor (prednostna obravnava osebja, ki gre v prvič tujino, omejitev števila aktivnosti mobilnosti na člana osebja v določenem časovnem obdobju itd.) bodo javno objavljena.</w:t>
      </w:r>
    </w:p>
    <w:p w14:paraId="7D39A874" w14:textId="77777777" w:rsidR="00E03711" w:rsidRPr="001048FE" w:rsidRDefault="00E03711" w:rsidP="001E2CC6">
      <w:pPr>
        <w:pStyle w:val="Guide-Heading5"/>
        <w:rPr>
          <w:lang w:val="sl-SI"/>
        </w:rPr>
      </w:pPr>
      <w:r w:rsidRPr="001048FE">
        <w:rPr>
          <w:lang w:val="sl-SI"/>
        </w:rPr>
        <w:t>Sporazum o mobilnosti</w:t>
      </w:r>
    </w:p>
    <w:p w14:paraId="7D39A875" w14:textId="77777777" w:rsidR="00E03711" w:rsidRPr="001048FE" w:rsidRDefault="00E03711" w:rsidP="001E2CC6">
      <w:pPr>
        <w:pStyle w:val="GUIDE-NORMAL"/>
        <w:rPr>
          <w:lang w:val="sl-SI"/>
        </w:rPr>
      </w:pPr>
      <w:r w:rsidRPr="001048FE">
        <w:rPr>
          <w:lang w:val="sl-SI"/>
        </w:rPr>
        <w:t>Izbor osebja bo opravila organizacija pošiljateljica na podlagi osnutka programa mobilnosti, ki ga bo predložil član osebja po posvetovanju z institucijo gostiteljico ali podjetjem/organizacijo. Pred odhodom se organizaciji pošiljateljica in gostiteljica uradno dogovorita o končnem programu mobilnosti z izmenjavo pisem ali elektronskih sporočil.</w:t>
      </w:r>
    </w:p>
    <w:p w14:paraId="7D39A876" w14:textId="77777777" w:rsidR="00E03711" w:rsidRPr="001048FE" w:rsidRDefault="00E03711" w:rsidP="001E2CC6">
      <w:pPr>
        <w:pStyle w:val="GUIDE-NORMAL"/>
        <w:rPr>
          <w:lang w:val="sl-SI"/>
        </w:rPr>
      </w:pPr>
      <w:r w:rsidRPr="001048FE">
        <w:rPr>
          <w:lang w:val="sl-SI"/>
        </w:rPr>
        <w:t>Obe organizaciji, pošiljateljica in gostiteljica, sta odgovorni za kakovost obdobja mobilnosti v tujini.</w:t>
      </w:r>
    </w:p>
    <w:p w14:paraId="7D39A877" w14:textId="77777777" w:rsidR="00E03711" w:rsidRDefault="00E03711" w:rsidP="00ED1E3E">
      <w:pPr>
        <w:pStyle w:val="Guide-AnnexHeading3"/>
        <w:numPr>
          <w:ilvl w:val="0"/>
          <w:numId w:val="0"/>
        </w:numPr>
        <w:ind w:left="360" w:hanging="360"/>
        <w:rPr>
          <w:lang w:val="sl-SI"/>
        </w:rPr>
      </w:pPr>
      <w:bookmarkStart w:id="591" w:name="_Toc524425611"/>
      <w:bookmarkStart w:id="592" w:name="_Toc526422849"/>
      <w:bookmarkStart w:id="593" w:name="_Toc527400967"/>
      <w:bookmarkStart w:id="594" w:name="_Toc527401290"/>
      <w:r w:rsidRPr="00ED1E3E">
        <w:rPr>
          <w:lang w:val="sl-SI"/>
        </w:rPr>
        <w:t>3.</w:t>
      </w:r>
      <w:r>
        <w:rPr>
          <w:lang w:val="sl-SI"/>
        </w:rPr>
        <w:t xml:space="preserve"> </w:t>
      </w:r>
      <w:r w:rsidRPr="001048FE">
        <w:rPr>
          <w:lang w:val="sl-SI"/>
        </w:rPr>
        <w:t>Med mobilnostjo</w:t>
      </w:r>
      <w:bookmarkEnd w:id="591"/>
      <w:bookmarkEnd w:id="592"/>
      <w:bookmarkEnd w:id="593"/>
      <w:bookmarkEnd w:id="594"/>
    </w:p>
    <w:p w14:paraId="7D39A878" w14:textId="77777777" w:rsidR="00E03711" w:rsidRPr="001048FE" w:rsidRDefault="00E03711" w:rsidP="001E2CC6">
      <w:pPr>
        <w:pStyle w:val="Guide-Heading4"/>
        <w:rPr>
          <w:lang w:val="sl-SI"/>
        </w:rPr>
      </w:pPr>
      <w:bookmarkStart w:id="595" w:name="_Toc527401291"/>
      <w:r w:rsidRPr="001048FE">
        <w:rPr>
          <w:lang w:val="sl-SI"/>
        </w:rPr>
        <w:t>Prekinitev mobilnosti dijakov</w:t>
      </w:r>
      <w:bookmarkEnd w:id="595"/>
    </w:p>
    <w:p w14:paraId="7D39A879" w14:textId="77777777" w:rsidR="00E03711" w:rsidRPr="001048FE" w:rsidRDefault="00E03711" w:rsidP="001E2CC6">
      <w:pPr>
        <w:pStyle w:val="GUIDE-NORMAL"/>
        <w:rPr>
          <w:lang w:val="sl-SI"/>
        </w:rPr>
      </w:pPr>
      <w:r w:rsidRPr="001048FE">
        <w:rPr>
          <w:lang w:val="sl-SI"/>
        </w:rPr>
        <w:t>V primeru praks se lahko obdobje mobilnosti v tujini prekine zaradi dopustov v podjetju, če je podjetje v tem obdobju zaprto. Nepovratna sredstva se v tem obdobju ohranijo. Obdobje zaprtja se ne šteje v okviru najmanjšega trajanja obdobja</w:t>
      </w:r>
      <w:r w:rsidRPr="001048FE">
        <w:rPr>
          <w:spacing w:val="22"/>
          <w:lang w:val="sl-SI"/>
        </w:rPr>
        <w:t xml:space="preserve"> </w:t>
      </w:r>
      <w:r w:rsidRPr="001048FE">
        <w:rPr>
          <w:lang w:val="sl-SI"/>
        </w:rPr>
        <w:t>prakse.</w:t>
      </w:r>
    </w:p>
    <w:p w14:paraId="7D39A87A" w14:textId="77777777" w:rsidR="00E03711" w:rsidRPr="001048FE" w:rsidRDefault="00E03711" w:rsidP="001E2CC6">
      <w:pPr>
        <w:pStyle w:val="Guide-Heading4"/>
        <w:rPr>
          <w:lang w:val="sl-SI"/>
        </w:rPr>
      </w:pPr>
      <w:bookmarkStart w:id="596" w:name="_Toc527401292"/>
      <w:r w:rsidRPr="001048FE">
        <w:rPr>
          <w:lang w:val="sl-SI"/>
        </w:rPr>
        <w:t>Podaljšanje mobilnosti dijakov</w:t>
      </w:r>
      <w:bookmarkEnd w:id="596"/>
    </w:p>
    <w:p w14:paraId="7D39A87B" w14:textId="77777777" w:rsidR="00E03711" w:rsidRPr="001048FE" w:rsidRDefault="00E03711" w:rsidP="001B1CB5">
      <w:pPr>
        <w:pStyle w:val="GUIDE-NORMAL"/>
        <w:rPr>
          <w:lang w:val="sl-SI"/>
        </w:rPr>
      </w:pPr>
      <w:r w:rsidRPr="001048FE">
        <w:rPr>
          <w:lang w:val="sl-SI"/>
        </w:rPr>
        <w:t>Organizaciji pošiljateljica in gostiteljica se lahko dogovorita za podaljšanje obdobja mobilnosti, ki se izvaja, če sta izpolnjena naslednja pogoja:</w:t>
      </w:r>
    </w:p>
    <w:p w14:paraId="7D39A87C" w14:textId="77777777" w:rsidR="00E03711" w:rsidRPr="001048FE" w:rsidRDefault="00E03711" w:rsidP="005115F2">
      <w:pPr>
        <w:pStyle w:val="Guide-NormalBulletpoints"/>
        <w:numPr>
          <w:ilvl w:val="0"/>
          <w:numId w:val="430"/>
        </w:numPr>
        <w:rPr>
          <w:lang w:val="sl-SI"/>
        </w:rPr>
      </w:pPr>
      <w:r w:rsidRPr="001048FE">
        <w:rPr>
          <w:lang w:val="sl-SI"/>
        </w:rPr>
        <w:t>pred koncem prvotno načrtovanega obdobja mobilnosti je treba spremeniti sporazum o nepovratnih sredstvih in opraviti vse potrebno v zvezi s podaljšanjem trajanja obdobja. Taka sprememba je še zlasti pomembna v tistih primerih, ko je treba oddati tudi zahtevek za podaljšanje mesečnih nepovratnih sredstev EU. Čeprav je trajanje obdobja mobilnosti opredeljeno v dijakovem potrdilu o udeležbi (to je obdobje, ki ga organizacije upravičenke navedejo v svojih končnih poročilih), je pravzaprav največje število mesecev, ki je krito z nepovratnimi sredstvi EU, tisto, ki je navedeno v sporazumu o mobilnosti ali v spremembah tega</w:t>
      </w:r>
      <w:r w:rsidRPr="001048FE">
        <w:rPr>
          <w:spacing w:val="-16"/>
          <w:lang w:val="sl-SI"/>
        </w:rPr>
        <w:t xml:space="preserve"> </w:t>
      </w:r>
      <w:r w:rsidRPr="001048FE">
        <w:rPr>
          <w:lang w:val="sl-SI"/>
        </w:rPr>
        <w:t>sporazuma.</w:t>
      </w:r>
      <w:r w:rsidRPr="001048FE">
        <w:rPr>
          <w:spacing w:val="-16"/>
          <w:lang w:val="sl-SI"/>
        </w:rPr>
        <w:t xml:space="preserve"> </w:t>
      </w:r>
      <w:r w:rsidRPr="001048FE">
        <w:rPr>
          <w:lang w:val="sl-SI"/>
        </w:rPr>
        <w:t>To</w:t>
      </w:r>
      <w:r w:rsidRPr="001048FE">
        <w:rPr>
          <w:spacing w:val="-16"/>
          <w:lang w:val="sl-SI"/>
        </w:rPr>
        <w:t xml:space="preserve"> </w:t>
      </w:r>
      <w:r w:rsidRPr="001048FE">
        <w:rPr>
          <w:lang w:val="sl-SI"/>
        </w:rPr>
        <w:t>velja,</w:t>
      </w:r>
      <w:r w:rsidRPr="001048FE">
        <w:rPr>
          <w:spacing w:val="-16"/>
          <w:lang w:val="sl-SI"/>
        </w:rPr>
        <w:t xml:space="preserve"> </w:t>
      </w:r>
      <w:r w:rsidRPr="001048FE">
        <w:rPr>
          <w:lang w:val="sl-SI"/>
        </w:rPr>
        <w:t>tudi</w:t>
      </w:r>
      <w:r w:rsidRPr="001048FE">
        <w:rPr>
          <w:spacing w:val="-16"/>
          <w:lang w:val="sl-SI"/>
        </w:rPr>
        <w:t xml:space="preserve"> </w:t>
      </w:r>
      <w:r w:rsidRPr="001048FE">
        <w:rPr>
          <w:lang w:val="sl-SI"/>
        </w:rPr>
        <w:t>če</w:t>
      </w:r>
      <w:r w:rsidRPr="001048FE">
        <w:rPr>
          <w:spacing w:val="-16"/>
          <w:lang w:val="sl-SI"/>
        </w:rPr>
        <w:t xml:space="preserve"> </w:t>
      </w:r>
      <w:r w:rsidRPr="001048FE">
        <w:rPr>
          <w:lang w:val="sl-SI"/>
        </w:rPr>
        <w:t>je</w:t>
      </w:r>
      <w:r w:rsidRPr="001048FE">
        <w:rPr>
          <w:spacing w:val="-16"/>
          <w:lang w:val="sl-SI"/>
        </w:rPr>
        <w:t xml:space="preserve"> </w:t>
      </w:r>
      <w:r w:rsidRPr="001048FE">
        <w:rPr>
          <w:lang w:val="sl-SI"/>
        </w:rPr>
        <w:t>trajanje,</w:t>
      </w:r>
      <w:r w:rsidRPr="001048FE">
        <w:rPr>
          <w:spacing w:val="-16"/>
          <w:lang w:val="sl-SI"/>
        </w:rPr>
        <w:t xml:space="preserve"> </w:t>
      </w:r>
      <w:r w:rsidRPr="001048FE">
        <w:rPr>
          <w:lang w:val="sl-SI"/>
        </w:rPr>
        <w:t>navedeno</w:t>
      </w:r>
      <w:r w:rsidRPr="001048FE">
        <w:rPr>
          <w:spacing w:val="-16"/>
          <w:lang w:val="sl-SI"/>
        </w:rPr>
        <w:t xml:space="preserve"> </w:t>
      </w:r>
      <w:r w:rsidRPr="001048FE">
        <w:rPr>
          <w:lang w:val="sl-SI"/>
        </w:rPr>
        <w:t>v</w:t>
      </w:r>
      <w:r w:rsidRPr="001048FE">
        <w:rPr>
          <w:spacing w:val="-16"/>
          <w:lang w:val="sl-SI"/>
        </w:rPr>
        <w:t xml:space="preserve"> </w:t>
      </w:r>
      <w:r w:rsidRPr="001048FE">
        <w:rPr>
          <w:lang w:val="sl-SI"/>
        </w:rPr>
        <w:t>učnem</w:t>
      </w:r>
      <w:r w:rsidRPr="001048FE">
        <w:rPr>
          <w:spacing w:val="-16"/>
          <w:lang w:val="sl-SI"/>
        </w:rPr>
        <w:t xml:space="preserve"> </w:t>
      </w:r>
      <w:r w:rsidRPr="001048FE">
        <w:rPr>
          <w:lang w:val="sl-SI"/>
        </w:rPr>
        <w:t>sporazumu,</w:t>
      </w:r>
      <w:r w:rsidRPr="001048FE">
        <w:rPr>
          <w:spacing w:val="-16"/>
          <w:lang w:val="sl-SI"/>
        </w:rPr>
        <w:t xml:space="preserve"> </w:t>
      </w:r>
      <w:r w:rsidRPr="001048FE">
        <w:rPr>
          <w:lang w:val="sl-SI"/>
        </w:rPr>
        <w:t>krajše</w:t>
      </w:r>
      <w:r w:rsidRPr="001048FE">
        <w:rPr>
          <w:spacing w:val="-16"/>
          <w:lang w:val="sl-SI"/>
        </w:rPr>
        <w:t xml:space="preserve"> </w:t>
      </w:r>
      <w:r w:rsidRPr="001048FE">
        <w:rPr>
          <w:lang w:val="sl-SI"/>
        </w:rPr>
        <w:t>od</w:t>
      </w:r>
      <w:r w:rsidRPr="001048FE">
        <w:rPr>
          <w:spacing w:val="-15"/>
          <w:lang w:val="sl-SI"/>
        </w:rPr>
        <w:t xml:space="preserve"> </w:t>
      </w:r>
      <w:r w:rsidRPr="001048FE">
        <w:rPr>
          <w:lang w:val="sl-SI"/>
        </w:rPr>
        <w:t>tega,</w:t>
      </w:r>
      <w:r w:rsidRPr="001048FE">
        <w:rPr>
          <w:spacing w:val="-16"/>
          <w:lang w:val="sl-SI"/>
        </w:rPr>
        <w:t xml:space="preserve"> </w:t>
      </w:r>
      <w:r w:rsidRPr="001048FE">
        <w:rPr>
          <w:lang w:val="sl-SI"/>
        </w:rPr>
        <w:t>ki je navedeno v potrdilu o</w:t>
      </w:r>
      <w:r w:rsidRPr="001048FE">
        <w:rPr>
          <w:spacing w:val="-11"/>
          <w:lang w:val="sl-SI"/>
        </w:rPr>
        <w:t xml:space="preserve"> </w:t>
      </w:r>
      <w:r w:rsidRPr="001048FE">
        <w:rPr>
          <w:lang w:val="sl-SI"/>
        </w:rPr>
        <w:t>udeležbi;</w:t>
      </w:r>
    </w:p>
    <w:p w14:paraId="7D39A87D" w14:textId="77777777" w:rsidR="00E03711" w:rsidRPr="001048FE" w:rsidRDefault="00E03711" w:rsidP="005115F2">
      <w:pPr>
        <w:pStyle w:val="Guide-NormalBulletpoints"/>
        <w:numPr>
          <w:ilvl w:val="0"/>
          <w:numId w:val="430"/>
        </w:numPr>
        <w:rPr>
          <w:lang w:val="sl-SI"/>
        </w:rPr>
      </w:pPr>
      <w:r w:rsidRPr="001048FE">
        <w:rPr>
          <w:lang w:val="sl-SI"/>
        </w:rPr>
        <w:t>dodatno obdobje mora brez prekinitev slediti obdobju mobilnosti, ki se že izvaja. Med tema obdobjema</w:t>
      </w:r>
      <w:r w:rsidRPr="001048FE">
        <w:rPr>
          <w:spacing w:val="-9"/>
          <w:lang w:val="sl-SI"/>
        </w:rPr>
        <w:t xml:space="preserve"> </w:t>
      </w:r>
      <w:r w:rsidRPr="001048FE">
        <w:rPr>
          <w:lang w:val="sl-SI"/>
        </w:rPr>
        <w:t>ne</w:t>
      </w:r>
      <w:r w:rsidRPr="001048FE">
        <w:rPr>
          <w:spacing w:val="-10"/>
          <w:lang w:val="sl-SI"/>
        </w:rPr>
        <w:t xml:space="preserve"> </w:t>
      </w:r>
      <w:r w:rsidRPr="001048FE">
        <w:rPr>
          <w:lang w:val="sl-SI"/>
        </w:rPr>
        <w:t>sme</w:t>
      </w:r>
      <w:r w:rsidRPr="001048FE">
        <w:rPr>
          <w:spacing w:val="-10"/>
          <w:lang w:val="sl-SI"/>
        </w:rPr>
        <w:t xml:space="preserve"> </w:t>
      </w:r>
      <w:r w:rsidRPr="001048FE">
        <w:rPr>
          <w:lang w:val="sl-SI"/>
        </w:rPr>
        <w:t>biti</w:t>
      </w:r>
      <w:r w:rsidRPr="001048FE">
        <w:rPr>
          <w:spacing w:val="-10"/>
          <w:lang w:val="sl-SI"/>
        </w:rPr>
        <w:t xml:space="preserve"> </w:t>
      </w:r>
      <w:r w:rsidRPr="001048FE">
        <w:rPr>
          <w:lang w:val="sl-SI"/>
        </w:rPr>
        <w:t>nobenih</w:t>
      </w:r>
      <w:r w:rsidRPr="001048FE">
        <w:rPr>
          <w:spacing w:val="-10"/>
          <w:lang w:val="sl-SI"/>
        </w:rPr>
        <w:t xml:space="preserve"> </w:t>
      </w:r>
      <w:r w:rsidRPr="001048FE">
        <w:rPr>
          <w:lang w:val="sl-SI"/>
        </w:rPr>
        <w:t>premorov</w:t>
      </w:r>
      <w:r w:rsidRPr="001048FE">
        <w:rPr>
          <w:spacing w:val="-10"/>
          <w:lang w:val="sl-SI"/>
        </w:rPr>
        <w:t xml:space="preserve"> </w:t>
      </w:r>
      <w:r w:rsidRPr="001048FE">
        <w:rPr>
          <w:lang w:val="sl-SI"/>
        </w:rPr>
        <w:t>(dopusti</w:t>
      </w:r>
      <w:r w:rsidRPr="001048FE">
        <w:rPr>
          <w:spacing w:val="-10"/>
          <w:lang w:val="sl-SI"/>
        </w:rPr>
        <w:t xml:space="preserve"> </w:t>
      </w:r>
      <w:r w:rsidRPr="001048FE">
        <w:rPr>
          <w:lang w:val="sl-SI"/>
        </w:rPr>
        <w:t>in</w:t>
      </w:r>
      <w:r w:rsidRPr="001048FE">
        <w:rPr>
          <w:spacing w:val="-10"/>
          <w:lang w:val="sl-SI"/>
        </w:rPr>
        <w:t xml:space="preserve"> </w:t>
      </w:r>
      <w:r w:rsidRPr="001048FE">
        <w:rPr>
          <w:lang w:val="sl-SI"/>
        </w:rPr>
        <w:t>zaprtja</w:t>
      </w:r>
      <w:r w:rsidRPr="001048FE">
        <w:rPr>
          <w:spacing w:val="-10"/>
          <w:lang w:val="sl-SI"/>
        </w:rPr>
        <w:t xml:space="preserve"> </w:t>
      </w:r>
      <w:r w:rsidRPr="001048FE">
        <w:rPr>
          <w:lang w:val="sl-SI"/>
        </w:rPr>
        <w:t>šol</w:t>
      </w:r>
      <w:r w:rsidRPr="001048FE">
        <w:rPr>
          <w:spacing w:val="-10"/>
          <w:lang w:val="sl-SI"/>
        </w:rPr>
        <w:t xml:space="preserve"> </w:t>
      </w:r>
      <w:r w:rsidRPr="001048FE">
        <w:rPr>
          <w:lang w:val="sl-SI"/>
        </w:rPr>
        <w:t>PIU/podjetij</w:t>
      </w:r>
      <w:r w:rsidRPr="001048FE">
        <w:rPr>
          <w:spacing w:val="-10"/>
          <w:lang w:val="sl-SI"/>
        </w:rPr>
        <w:t xml:space="preserve"> </w:t>
      </w:r>
      <w:r w:rsidRPr="001048FE">
        <w:rPr>
          <w:lang w:val="sl-SI"/>
        </w:rPr>
        <w:t>se</w:t>
      </w:r>
      <w:r w:rsidRPr="001048FE">
        <w:rPr>
          <w:spacing w:val="-10"/>
          <w:lang w:val="sl-SI"/>
        </w:rPr>
        <w:t xml:space="preserve"> </w:t>
      </w:r>
      <w:r w:rsidRPr="001048FE">
        <w:rPr>
          <w:lang w:val="sl-SI"/>
        </w:rPr>
        <w:t>ne</w:t>
      </w:r>
      <w:r w:rsidRPr="001048FE">
        <w:rPr>
          <w:spacing w:val="-10"/>
          <w:lang w:val="sl-SI"/>
        </w:rPr>
        <w:t xml:space="preserve"> </w:t>
      </w:r>
      <w:r w:rsidRPr="001048FE">
        <w:rPr>
          <w:lang w:val="sl-SI"/>
        </w:rPr>
        <w:t>štejejo</w:t>
      </w:r>
      <w:r w:rsidRPr="001048FE">
        <w:rPr>
          <w:spacing w:val="-10"/>
          <w:lang w:val="sl-SI"/>
        </w:rPr>
        <w:t xml:space="preserve"> </w:t>
      </w:r>
      <w:r w:rsidRPr="001048FE">
        <w:rPr>
          <w:lang w:val="sl-SI"/>
        </w:rPr>
        <w:t>kot „premori“), razen če so ustrezno utemeljena in jih odobri nacionalna agencija.</w:t>
      </w:r>
    </w:p>
    <w:p w14:paraId="7D39A87E" w14:textId="77777777" w:rsidR="00E03711" w:rsidRDefault="00E03711" w:rsidP="00ED1E3E">
      <w:pPr>
        <w:pStyle w:val="Guide-AnnexHeading3"/>
        <w:numPr>
          <w:ilvl w:val="0"/>
          <w:numId w:val="0"/>
        </w:numPr>
        <w:ind w:left="360" w:hanging="360"/>
        <w:rPr>
          <w:lang w:val="sl-SI"/>
        </w:rPr>
      </w:pPr>
      <w:bookmarkStart w:id="597" w:name="_Toc524425612"/>
      <w:bookmarkStart w:id="598" w:name="_Toc526422850"/>
      <w:bookmarkStart w:id="599" w:name="_Toc527400968"/>
      <w:bookmarkStart w:id="600" w:name="_Toc527401293"/>
      <w:r w:rsidRPr="00ED1E3E">
        <w:rPr>
          <w:lang w:val="sl-SI"/>
        </w:rPr>
        <w:t>4.</w:t>
      </w:r>
      <w:r>
        <w:rPr>
          <w:lang w:val="sl-SI"/>
        </w:rPr>
        <w:t xml:space="preserve"> </w:t>
      </w:r>
      <w:r w:rsidRPr="001048FE">
        <w:rPr>
          <w:lang w:val="sl-SI"/>
        </w:rPr>
        <w:t>Po</w:t>
      </w:r>
      <w:r w:rsidRPr="00ED1E3E">
        <w:rPr>
          <w:lang w:val="sl-SI"/>
        </w:rPr>
        <w:t xml:space="preserve"> </w:t>
      </w:r>
      <w:r w:rsidRPr="001048FE">
        <w:rPr>
          <w:lang w:val="sl-SI"/>
        </w:rPr>
        <w:t>mobilnosti</w:t>
      </w:r>
      <w:bookmarkEnd w:id="597"/>
      <w:bookmarkEnd w:id="598"/>
      <w:bookmarkEnd w:id="599"/>
      <w:bookmarkEnd w:id="600"/>
    </w:p>
    <w:p w14:paraId="7D39A87F" w14:textId="77777777" w:rsidR="00E03711" w:rsidRPr="001048FE" w:rsidRDefault="00E03711" w:rsidP="001B1CB5">
      <w:pPr>
        <w:pStyle w:val="Guide-Heading4"/>
        <w:rPr>
          <w:lang w:val="sl-SI"/>
        </w:rPr>
      </w:pPr>
      <w:bookmarkStart w:id="601" w:name="_Toc527401294"/>
      <w:r w:rsidRPr="001048FE">
        <w:rPr>
          <w:lang w:val="sl-SI"/>
        </w:rPr>
        <w:t>A: Priznavanje učnih izidov</w:t>
      </w:r>
      <w:bookmarkEnd w:id="601"/>
    </w:p>
    <w:p w14:paraId="7D39A880" w14:textId="77777777" w:rsidR="00E03711" w:rsidRPr="001048FE" w:rsidRDefault="00E03711" w:rsidP="001B1CB5">
      <w:pPr>
        <w:pStyle w:val="GUIDE-NORMAL"/>
        <w:rPr>
          <w:lang w:val="sl-SI"/>
        </w:rPr>
      </w:pPr>
      <w:r w:rsidRPr="001048FE">
        <w:rPr>
          <w:lang w:val="sl-SI"/>
        </w:rPr>
        <w:t xml:space="preserve">Vključeni organizaciji pošiljateljica in gostiteljica bi se ob koncu mobilnosti morali dogovoriti o izdaji potrdila o mobilnosti Europass. Za več informacij o tem postopku glej spletišče Europass: </w:t>
      </w:r>
      <w:hyperlink r:id="rId165">
        <w:r w:rsidRPr="001048FE">
          <w:rPr>
            <w:rStyle w:val="Hyperlink"/>
            <w:lang w:val="sl-SI"/>
          </w:rPr>
          <w:t>http://europass.cedefop.europa.eu/sl</w:t>
        </w:r>
      </w:hyperlink>
      <w:r w:rsidRPr="001048FE">
        <w:rPr>
          <w:lang w:val="sl-SI"/>
        </w:rPr>
        <w:t>.</w:t>
      </w:r>
    </w:p>
    <w:p w14:paraId="7D39A881" w14:textId="77777777" w:rsidR="00E03711" w:rsidRPr="001048FE" w:rsidRDefault="00E03711" w:rsidP="001B1CB5">
      <w:pPr>
        <w:pStyle w:val="GUIDE-NORMAL"/>
        <w:rPr>
          <w:lang w:val="sl-SI"/>
        </w:rPr>
      </w:pPr>
      <w:r w:rsidRPr="001048FE">
        <w:rPr>
          <w:lang w:val="sl-SI"/>
        </w:rPr>
        <w:t>O</w:t>
      </w:r>
      <w:r w:rsidRPr="001048FE">
        <w:rPr>
          <w:spacing w:val="-12"/>
          <w:lang w:val="sl-SI"/>
        </w:rPr>
        <w:t xml:space="preserve"> </w:t>
      </w:r>
      <w:r w:rsidRPr="001048FE">
        <w:rPr>
          <w:lang w:val="sl-SI"/>
        </w:rPr>
        <w:t>rezultatih</w:t>
      </w:r>
      <w:r w:rsidRPr="001048FE">
        <w:rPr>
          <w:spacing w:val="-12"/>
          <w:lang w:val="sl-SI"/>
        </w:rPr>
        <w:t xml:space="preserve"> </w:t>
      </w:r>
      <w:r w:rsidRPr="001048FE">
        <w:rPr>
          <w:lang w:val="sl-SI"/>
        </w:rPr>
        <w:t>ocene</w:t>
      </w:r>
      <w:r w:rsidRPr="001048FE">
        <w:rPr>
          <w:spacing w:val="-12"/>
          <w:lang w:val="sl-SI"/>
        </w:rPr>
        <w:t xml:space="preserve"> </w:t>
      </w:r>
      <w:r w:rsidRPr="001048FE">
        <w:rPr>
          <w:lang w:val="sl-SI"/>
        </w:rPr>
        <w:t>znanja</w:t>
      </w:r>
      <w:r w:rsidRPr="001048FE">
        <w:rPr>
          <w:spacing w:val="-12"/>
          <w:lang w:val="sl-SI"/>
        </w:rPr>
        <w:t xml:space="preserve"> </w:t>
      </w:r>
      <w:r w:rsidRPr="001048FE">
        <w:rPr>
          <w:lang w:val="sl-SI"/>
        </w:rPr>
        <w:t>jezikov</w:t>
      </w:r>
      <w:r w:rsidRPr="001048FE">
        <w:rPr>
          <w:spacing w:val="-12"/>
          <w:lang w:val="sl-SI"/>
        </w:rPr>
        <w:t xml:space="preserve"> </w:t>
      </w:r>
      <w:r w:rsidRPr="001048FE">
        <w:rPr>
          <w:lang w:val="sl-SI"/>
        </w:rPr>
        <w:t>in</w:t>
      </w:r>
      <w:r w:rsidRPr="001048FE">
        <w:rPr>
          <w:spacing w:val="-12"/>
          <w:lang w:val="sl-SI"/>
        </w:rPr>
        <w:t xml:space="preserve"> </w:t>
      </w:r>
      <w:r w:rsidRPr="001048FE">
        <w:rPr>
          <w:lang w:val="sl-SI"/>
        </w:rPr>
        <w:t>spletnih</w:t>
      </w:r>
      <w:r w:rsidRPr="001048FE">
        <w:rPr>
          <w:spacing w:val="-12"/>
          <w:lang w:val="sl-SI"/>
        </w:rPr>
        <w:t xml:space="preserve"> </w:t>
      </w:r>
      <w:r w:rsidRPr="001048FE">
        <w:rPr>
          <w:lang w:val="sl-SI"/>
        </w:rPr>
        <w:t>jezikovnih</w:t>
      </w:r>
      <w:r w:rsidRPr="001048FE">
        <w:rPr>
          <w:spacing w:val="-12"/>
          <w:lang w:val="sl-SI"/>
        </w:rPr>
        <w:t xml:space="preserve"> </w:t>
      </w:r>
      <w:r w:rsidRPr="001048FE">
        <w:rPr>
          <w:lang w:val="sl-SI"/>
        </w:rPr>
        <w:t>tečajev</w:t>
      </w:r>
      <w:r w:rsidRPr="001048FE">
        <w:rPr>
          <w:spacing w:val="-12"/>
          <w:lang w:val="sl-SI"/>
        </w:rPr>
        <w:t xml:space="preserve"> </w:t>
      </w:r>
      <w:r w:rsidRPr="001048FE">
        <w:rPr>
          <w:lang w:val="sl-SI"/>
        </w:rPr>
        <w:t>se</w:t>
      </w:r>
      <w:r w:rsidRPr="001048FE">
        <w:rPr>
          <w:spacing w:val="-12"/>
          <w:lang w:val="sl-SI"/>
        </w:rPr>
        <w:t xml:space="preserve"> </w:t>
      </w:r>
      <w:r w:rsidRPr="001048FE">
        <w:rPr>
          <w:lang w:val="sl-SI"/>
        </w:rPr>
        <w:t>bo</w:t>
      </w:r>
      <w:r w:rsidRPr="001048FE">
        <w:rPr>
          <w:spacing w:val="-12"/>
          <w:lang w:val="sl-SI"/>
        </w:rPr>
        <w:t xml:space="preserve"> </w:t>
      </w:r>
      <w:r w:rsidRPr="001048FE">
        <w:rPr>
          <w:lang w:val="sl-SI"/>
        </w:rPr>
        <w:t>poročalo</w:t>
      </w:r>
      <w:r w:rsidRPr="001048FE">
        <w:rPr>
          <w:spacing w:val="-12"/>
          <w:lang w:val="sl-SI"/>
        </w:rPr>
        <w:t xml:space="preserve"> </w:t>
      </w:r>
      <w:r w:rsidRPr="001048FE">
        <w:rPr>
          <w:lang w:val="sl-SI"/>
        </w:rPr>
        <w:t>centralno,</w:t>
      </w:r>
      <w:r w:rsidRPr="001048FE">
        <w:rPr>
          <w:spacing w:val="-12"/>
          <w:lang w:val="sl-SI"/>
        </w:rPr>
        <w:t xml:space="preserve"> </w:t>
      </w:r>
      <w:r w:rsidRPr="001048FE">
        <w:rPr>
          <w:lang w:val="sl-SI"/>
        </w:rPr>
        <w:t>ne</w:t>
      </w:r>
      <w:r w:rsidRPr="001048FE">
        <w:rPr>
          <w:spacing w:val="-12"/>
          <w:lang w:val="sl-SI"/>
        </w:rPr>
        <w:t xml:space="preserve"> </w:t>
      </w:r>
      <w:r w:rsidRPr="001048FE">
        <w:rPr>
          <w:lang w:val="sl-SI"/>
        </w:rPr>
        <w:t>bo</w:t>
      </w:r>
      <w:r w:rsidRPr="001048FE">
        <w:rPr>
          <w:spacing w:val="-12"/>
          <w:lang w:val="sl-SI"/>
        </w:rPr>
        <w:t xml:space="preserve"> </w:t>
      </w:r>
      <w:r w:rsidRPr="001048FE">
        <w:rPr>
          <w:lang w:val="sl-SI"/>
        </w:rPr>
        <w:t>pa zagotovljena nobena oblika formalnih</w:t>
      </w:r>
      <w:r w:rsidRPr="001048FE">
        <w:rPr>
          <w:spacing w:val="-8"/>
          <w:lang w:val="sl-SI"/>
        </w:rPr>
        <w:t xml:space="preserve"> </w:t>
      </w:r>
      <w:r w:rsidRPr="001048FE">
        <w:rPr>
          <w:lang w:val="sl-SI"/>
        </w:rPr>
        <w:t>kvalifikacij.</w:t>
      </w:r>
    </w:p>
    <w:p w14:paraId="7D39A882" w14:textId="77777777" w:rsidR="00E03711" w:rsidRPr="001048FE" w:rsidRDefault="00E03711" w:rsidP="001B1CB5">
      <w:pPr>
        <w:pStyle w:val="Guide-Heading5"/>
        <w:rPr>
          <w:lang w:val="sl-SI"/>
        </w:rPr>
        <w:sectPr w:rsidR="00E03711" w:rsidRPr="001048FE" w:rsidSect="00AA6A8A">
          <w:headerReference w:type="even" r:id="rId166"/>
          <w:headerReference w:type="default" r:id="rId167"/>
          <w:endnotePr>
            <w:numFmt w:val="decimal"/>
          </w:endnotePr>
          <w:pgSz w:w="11901" w:h="16817"/>
          <w:pgMar w:top="1134" w:right="1418" w:bottom="1134" w:left="1418" w:header="524" w:footer="450" w:gutter="0"/>
          <w:cols w:space="720"/>
        </w:sectPr>
      </w:pPr>
    </w:p>
    <w:p w14:paraId="7D39A883" w14:textId="77777777" w:rsidR="00E03711" w:rsidRPr="001048FE" w:rsidRDefault="00E03711" w:rsidP="001B1CB5">
      <w:pPr>
        <w:pStyle w:val="Guide-Heading5"/>
        <w:rPr>
          <w:lang w:val="sl-SI"/>
        </w:rPr>
      </w:pPr>
      <w:r w:rsidRPr="001048FE">
        <w:rPr>
          <w:lang w:val="sl-SI"/>
        </w:rPr>
        <w:t>ECVET</w:t>
      </w:r>
    </w:p>
    <w:p w14:paraId="7D39A884" w14:textId="77777777" w:rsidR="00E03711" w:rsidRPr="001048FE" w:rsidRDefault="00E03711" w:rsidP="001B1CB5">
      <w:pPr>
        <w:pStyle w:val="GUIDE-NORMAL"/>
        <w:rPr>
          <w:lang w:val="sl-SI"/>
        </w:rPr>
      </w:pPr>
      <w:r w:rsidRPr="001048FE">
        <w:rPr>
          <w:lang w:val="sl-SI"/>
        </w:rPr>
        <w:t>Organizacije PIU se lahko odločijo, da bodo v okviru svojih aktivnosti mobilnosti uporabile sistem ECVET. Sistem ECVET je skupni metodološki okvir, ki olajšuje zbiranje in prenos kreditnih točk za učne rezultate med različnimi sistemi kvalifikacij. Cilj sistema je spodbujati mednarodno mobilnost in dostop do vseživljenjskega učenja. Njegov namen ni nadomestiti nacionalne sisteme kvalifikacij, temveč</w:t>
      </w:r>
      <w:r w:rsidRPr="001048FE">
        <w:rPr>
          <w:spacing w:val="-10"/>
          <w:lang w:val="sl-SI"/>
        </w:rPr>
        <w:t xml:space="preserve"> </w:t>
      </w:r>
      <w:r w:rsidRPr="001048FE">
        <w:rPr>
          <w:lang w:val="sl-SI"/>
        </w:rPr>
        <w:t>doseči</w:t>
      </w:r>
      <w:r w:rsidRPr="001048FE">
        <w:rPr>
          <w:spacing w:val="-10"/>
          <w:lang w:val="sl-SI"/>
        </w:rPr>
        <w:t xml:space="preserve"> </w:t>
      </w:r>
      <w:r w:rsidRPr="001048FE">
        <w:rPr>
          <w:lang w:val="sl-SI"/>
        </w:rPr>
        <w:t>boljšo</w:t>
      </w:r>
      <w:r w:rsidRPr="001048FE">
        <w:rPr>
          <w:spacing w:val="-10"/>
          <w:lang w:val="sl-SI"/>
        </w:rPr>
        <w:t xml:space="preserve"> </w:t>
      </w:r>
      <w:r w:rsidRPr="001048FE">
        <w:rPr>
          <w:lang w:val="sl-SI"/>
        </w:rPr>
        <w:t>primerljivost</w:t>
      </w:r>
      <w:r w:rsidRPr="001048FE">
        <w:rPr>
          <w:spacing w:val="-10"/>
          <w:lang w:val="sl-SI"/>
        </w:rPr>
        <w:t xml:space="preserve"> </w:t>
      </w:r>
      <w:r w:rsidRPr="001048FE">
        <w:rPr>
          <w:lang w:val="sl-SI"/>
        </w:rPr>
        <w:t>in</w:t>
      </w:r>
      <w:r w:rsidRPr="001048FE">
        <w:rPr>
          <w:spacing w:val="-10"/>
          <w:lang w:val="sl-SI"/>
        </w:rPr>
        <w:t xml:space="preserve"> </w:t>
      </w:r>
      <w:r w:rsidRPr="001048FE">
        <w:rPr>
          <w:lang w:val="sl-SI"/>
        </w:rPr>
        <w:t>združljivost</w:t>
      </w:r>
      <w:r w:rsidRPr="001048FE">
        <w:rPr>
          <w:spacing w:val="-10"/>
          <w:lang w:val="sl-SI"/>
        </w:rPr>
        <w:t xml:space="preserve"> </w:t>
      </w:r>
      <w:r w:rsidRPr="001048FE">
        <w:rPr>
          <w:lang w:val="sl-SI"/>
        </w:rPr>
        <w:t>med</w:t>
      </w:r>
      <w:r w:rsidRPr="001048FE">
        <w:rPr>
          <w:spacing w:val="-10"/>
          <w:lang w:val="sl-SI"/>
        </w:rPr>
        <w:t xml:space="preserve"> </w:t>
      </w:r>
      <w:r w:rsidRPr="001048FE">
        <w:rPr>
          <w:lang w:val="sl-SI"/>
        </w:rPr>
        <w:t>njimi.</w:t>
      </w:r>
      <w:r w:rsidRPr="001048FE">
        <w:rPr>
          <w:spacing w:val="-10"/>
          <w:lang w:val="sl-SI"/>
        </w:rPr>
        <w:t xml:space="preserve"> </w:t>
      </w:r>
      <w:r w:rsidRPr="001048FE">
        <w:rPr>
          <w:lang w:val="sl-SI"/>
        </w:rPr>
        <w:t>ECVET</w:t>
      </w:r>
      <w:r w:rsidRPr="001048FE">
        <w:rPr>
          <w:spacing w:val="-10"/>
          <w:lang w:val="sl-SI"/>
        </w:rPr>
        <w:t xml:space="preserve"> </w:t>
      </w:r>
      <w:r w:rsidRPr="001048FE">
        <w:rPr>
          <w:lang w:val="sl-SI"/>
        </w:rPr>
        <w:t>se</w:t>
      </w:r>
      <w:r w:rsidRPr="001048FE">
        <w:rPr>
          <w:spacing w:val="-10"/>
          <w:lang w:val="sl-SI"/>
        </w:rPr>
        <w:t xml:space="preserve"> </w:t>
      </w:r>
      <w:r w:rsidRPr="001048FE">
        <w:rPr>
          <w:lang w:val="sl-SI"/>
        </w:rPr>
        <w:t>uporablja</w:t>
      </w:r>
      <w:r w:rsidRPr="001048FE">
        <w:rPr>
          <w:spacing w:val="-10"/>
          <w:lang w:val="sl-SI"/>
        </w:rPr>
        <w:t xml:space="preserve"> </w:t>
      </w:r>
      <w:r w:rsidRPr="001048FE">
        <w:rPr>
          <w:lang w:val="sl-SI"/>
        </w:rPr>
        <w:t>za</w:t>
      </w:r>
      <w:r w:rsidRPr="001048FE">
        <w:rPr>
          <w:spacing w:val="-10"/>
          <w:lang w:val="sl-SI"/>
        </w:rPr>
        <w:t xml:space="preserve"> </w:t>
      </w:r>
      <w:r w:rsidRPr="001048FE">
        <w:rPr>
          <w:lang w:val="sl-SI"/>
        </w:rPr>
        <w:t>vse</w:t>
      </w:r>
      <w:r w:rsidRPr="001048FE">
        <w:rPr>
          <w:spacing w:val="-10"/>
          <w:lang w:val="sl-SI"/>
        </w:rPr>
        <w:t xml:space="preserve"> </w:t>
      </w:r>
      <w:r w:rsidRPr="001048FE">
        <w:rPr>
          <w:lang w:val="sl-SI"/>
        </w:rPr>
        <w:t>rezultate,</w:t>
      </w:r>
      <w:r w:rsidRPr="001048FE">
        <w:rPr>
          <w:spacing w:val="-10"/>
          <w:lang w:val="sl-SI"/>
        </w:rPr>
        <w:t xml:space="preserve"> </w:t>
      </w:r>
      <w:r w:rsidRPr="001048FE">
        <w:rPr>
          <w:lang w:val="sl-SI"/>
        </w:rPr>
        <w:t>ki jih doseže posameznik v različnih oblikah izobraževanja in usposabljanja ter ki se nato prenesejo, priznajo in zberejo s ciljem pridobiti kvalifikacijo. Na podlagi te pobude se lahko evropskim državljanom</w:t>
      </w:r>
      <w:r w:rsidRPr="001048FE">
        <w:rPr>
          <w:spacing w:val="-11"/>
          <w:lang w:val="sl-SI"/>
        </w:rPr>
        <w:t xml:space="preserve"> </w:t>
      </w:r>
      <w:r w:rsidRPr="001048FE">
        <w:rPr>
          <w:lang w:val="sl-SI"/>
        </w:rPr>
        <w:t>lažje</w:t>
      </w:r>
      <w:r w:rsidRPr="001048FE">
        <w:rPr>
          <w:spacing w:val="-11"/>
          <w:lang w:val="sl-SI"/>
        </w:rPr>
        <w:t xml:space="preserve"> </w:t>
      </w:r>
      <w:r w:rsidRPr="001048FE">
        <w:rPr>
          <w:lang w:val="sl-SI"/>
        </w:rPr>
        <w:t>priznajo</w:t>
      </w:r>
      <w:r w:rsidRPr="001048FE">
        <w:rPr>
          <w:spacing w:val="-11"/>
          <w:lang w:val="sl-SI"/>
        </w:rPr>
        <w:t xml:space="preserve"> </w:t>
      </w:r>
      <w:r w:rsidRPr="001048FE">
        <w:rPr>
          <w:lang w:val="sl-SI"/>
        </w:rPr>
        <w:t>njihovo</w:t>
      </w:r>
      <w:r w:rsidRPr="001048FE">
        <w:rPr>
          <w:spacing w:val="-11"/>
          <w:lang w:val="sl-SI"/>
        </w:rPr>
        <w:t xml:space="preserve"> </w:t>
      </w:r>
      <w:r w:rsidRPr="001048FE">
        <w:rPr>
          <w:lang w:val="sl-SI"/>
        </w:rPr>
        <w:t>usposabljanje,</w:t>
      </w:r>
      <w:r w:rsidRPr="001048FE">
        <w:rPr>
          <w:spacing w:val="-11"/>
          <w:lang w:val="sl-SI"/>
        </w:rPr>
        <w:t xml:space="preserve"> </w:t>
      </w:r>
      <w:r w:rsidRPr="001048FE">
        <w:rPr>
          <w:lang w:val="sl-SI"/>
        </w:rPr>
        <w:t>spretnosti</w:t>
      </w:r>
      <w:r w:rsidRPr="001048FE">
        <w:rPr>
          <w:spacing w:val="-11"/>
          <w:lang w:val="sl-SI"/>
        </w:rPr>
        <w:t xml:space="preserve"> </w:t>
      </w:r>
      <w:r w:rsidRPr="001048FE">
        <w:rPr>
          <w:lang w:val="sl-SI"/>
        </w:rPr>
        <w:t>in</w:t>
      </w:r>
      <w:r w:rsidRPr="001048FE">
        <w:rPr>
          <w:spacing w:val="-11"/>
          <w:lang w:val="sl-SI"/>
        </w:rPr>
        <w:t xml:space="preserve"> </w:t>
      </w:r>
      <w:r w:rsidRPr="001048FE">
        <w:rPr>
          <w:lang w:val="sl-SI"/>
        </w:rPr>
        <w:t>znanje</w:t>
      </w:r>
      <w:r w:rsidRPr="001048FE">
        <w:rPr>
          <w:spacing w:val="-11"/>
          <w:lang w:val="sl-SI"/>
        </w:rPr>
        <w:t xml:space="preserve"> </w:t>
      </w:r>
      <w:r w:rsidRPr="001048FE">
        <w:rPr>
          <w:lang w:val="sl-SI"/>
        </w:rPr>
        <w:t>v</w:t>
      </w:r>
      <w:r w:rsidRPr="001048FE">
        <w:rPr>
          <w:spacing w:val="-11"/>
          <w:lang w:val="sl-SI"/>
        </w:rPr>
        <w:t xml:space="preserve"> </w:t>
      </w:r>
      <w:r w:rsidRPr="001048FE">
        <w:rPr>
          <w:lang w:val="sl-SI"/>
        </w:rPr>
        <w:t>drugi</w:t>
      </w:r>
      <w:r w:rsidRPr="001048FE">
        <w:rPr>
          <w:spacing w:val="-11"/>
          <w:lang w:val="sl-SI"/>
        </w:rPr>
        <w:t xml:space="preserve"> </w:t>
      </w:r>
      <w:r w:rsidRPr="001048FE">
        <w:rPr>
          <w:lang w:val="sl-SI"/>
        </w:rPr>
        <w:t>državi</w:t>
      </w:r>
      <w:r w:rsidRPr="001048FE">
        <w:rPr>
          <w:spacing w:val="-11"/>
          <w:lang w:val="sl-SI"/>
        </w:rPr>
        <w:t xml:space="preserve"> </w:t>
      </w:r>
      <w:r w:rsidRPr="001048FE">
        <w:rPr>
          <w:lang w:val="sl-SI"/>
        </w:rPr>
        <w:t>Programa.</w:t>
      </w:r>
      <w:r w:rsidRPr="001048FE">
        <w:rPr>
          <w:spacing w:val="-11"/>
          <w:lang w:val="sl-SI"/>
        </w:rPr>
        <w:t xml:space="preserve"> </w:t>
      </w:r>
      <w:r w:rsidRPr="001048FE">
        <w:rPr>
          <w:lang w:val="sl-SI"/>
        </w:rPr>
        <w:t>Več informacij o sistemu ECVET je na voljo na spletišču</w:t>
      </w:r>
      <w:r w:rsidRPr="001048FE">
        <w:rPr>
          <w:spacing w:val="-33"/>
          <w:lang w:val="sl-SI"/>
        </w:rPr>
        <w:t xml:space="preserve"> </w:t>
      </w:r>
      <w:r w:rsidRPr="001048FE">
        <w:rPr>
          <w:lang w:val="sl-SI"/>
        </w:rPr>
        <w:t>Komisije:</w:t>
      </w:r>
    </w:p>
    <w:p w14:paraId="7D39A885" w14:textId="77777777" w:rsidR="00E03711" w:rsidRPr="001048FE" w:rsidRDefault="002C560E" w:rsidP="001B1CB5">
      <w:pPr>
        <w:pStyle w:val="GUIDE-NORMAL"/>
        <w:rPr>
          <w:rStyle w:val="Hyperlink"/>
          <w:lang w:val="sl-SI"/>
        </w:rPr>
      </w:pPr>
      <w:hyperlink r:id="rId168">
        <w:r w:rsidR="00E03711" w:rsidRPr="001048FE">
          <w:rPr>
            <w:rStyle w:val="Hyperlink"/>
            <w:lang w:val="sl-SI"/>
          </w:rPr>
          <w:t>http://ec.europa.eu/education/policy/vocational-policy/ecvet_en.htm</w:t>
        </w:r>
      </w:hyperlink>
      <w:r w:rsidR="00E03711" w:rsidRPr="001048FE">
        <w:rPr>
          <w:rStyle w:val="Hyperlink"/>
          <w:u w:val="none"/>
          <w:lang w:val="sl-SI"/>
        </w:rPr>
        <w:t xml:space="preserve"> </w:t>
      </w:r>
    </w:p>
    <w:p w14:paraId="7D39A886" w14:textId="77777777" w:rsidR="00E03711" w:rsidRPr="001048FE" w:rsidRDefault="002C560E" w:rsidP="001B1CB5">
      <w:pPr>
        <w:pStyle w:val="GUIDE-NORMAL"/>
        <w:rPr>
          <w:rStyle w:val="Hyperlink"/>
          <w:lang w:val="sl-SI"/>
        </w:rPr>
      </w:pPr>
      <w:hyperlink r:id="rId169">
        <w:r w:rsidR="00E03711" w:rsidRPr="001048FE">
          <w:rPr>
            <w:rStyle w:val="Hyperlink"/>
            <w:lang w:val="sl-SI"/>
          </w:rPr>
          <w:t>http://www.ecvet-secretariat.eu</w:t>
        </w:r>
      </w:hyperlink>
    </w:p>
    <w:p w14:paraId="7D39A887" w14:textId="77777777" w:rsidR="00E03711" w:rsidRPr="001048FE" w:rsidRDefault="00E03711" w:rsidP="001B1CB5">
      <w:pPr>
        <w:pStyle w:val="GUIDE-NORMAL"/>
        <w:rPr>
          <w:lang w:val="sl-SI"/>
        </w:rPr>
      </w:pPr>
      <w:r w:rsidRPr="001048FE">
        <w:rPr>
          <w:lang w:val="sl-SI"/>
        </w:rPr>
        <w:t>Ob uporabi sistema ECVET morajo biti pridobljene kreditne točke, ki so bile zbrane z učnimi izidi, pregledne in navedene v memorandumu o soglasju med sodelujočimi organizacijami.</w:t>
      </w:r>
    </w:p>
    <w:p w14:paraId="7D39A888" w14:textId="77777777" w:rsidR="00E03711" w:rsidRPr="001048FE" w:rsidRDefault="00E03711" w:rsidP="00654621">
      <w:pPr>
        <w:pStyle w:val="Guide-Heading4"/>
        <w:rPr>
          <w:lang w:val="sl-SI"/>
        </w:rPr>
      </w:pPr>
      <w:bookmarkStart w:id="602" w:name="_Toc527401295"/>
      <w:r w:rsidRPr="001048FE">
        <w:rPr>
          <w:lang w:val="sl-SI"/>
        </w:rPr>
        <w:t>B: Poročanje</w:t>
      </w:r>
      <w:bookmarkEnd w:id="602"/>
    </w:p>
    <w:p w14:paraId="7D39A889" w14:textId="77777777" w:rsidR="00E03711" w:rsidRPr="001048FE" w:rsidRDefault="00E03711" w:rsidP="00ED6482">
      <w:pPr>
        <w:pStyle w:val="GUIDE-NORMAL"/>
        <w:rPr>
          <w:lang w:val="sl-SI"/>
        </w:rPr>
      </w:pPr>
      <w:r w:rsidRPr="001048FE">
        <w:rPr>
          <w:lang w:val="sl-SI"/>
        </w:rPr>
        <w:t>Ob koncu obdobja v tujini morajo vsi dijaki in osebje v PIU, ki so opravili aktivnost mobilnosti, izpolniti in predložiti končno poročilo. Za mobilnost, ki traja 19 dni ali dlje, poročilo vključuje tudi oceno kakovosti jezikovne podpore, ki so jo prejeli med obdobjem mobilnosti.</w:t>
      </w:r>
    </w:p>
    <w:p w14:paraId="7D39A88A" w14:textId="77777777" w:rsidR="00E03711" w:rsidRPr="001048FE" w:rsidRDefault="00E03711" w:rsidP="00F9511A">
      <w:pPr>
        <w:pStyle w:val="GUIDE-NORMAL"/>
        <w:rPr>
          <w:lang w:val="sl-SI"/>
        </w:rPr>
      </w:pPr>
      <w:r w:rsidRPr="001048FE">
        <w:rPr>
          <w:lang w:val="sl-SI"/>
        </w:rPr>
        <w:t>Od tistih dijakov in osebja, ki ne predložijo poročila, se lahko zahteva, da delno ali v celoti povrnejo prejeta nepovratna sredstva EU. Povračilo se ne zahteva, če dijaki ali člani osebja niso mogli dokončati načrtovanih aktivnosti v tujini zaradi višje sile. Organizacija pošiljateljica poroča o takih primerih in nacionalna agencija jih mora pisno odobriti.</w:t>
      </w:r>
      <w:bookmarkStart w:id="603" w:name="Projet_de_mobilité_pour_le_personnel_de_"/>
      <w:bookmarkStart w:id="604" w:name="_bookmark77"/>
      <w:bookmarkEnd w:id="603"/>
      <w:bookmarkEnd w:id="604"/>
    </w:p>
    <w:p w14:paraId="7D39A88B" w14:textId="77777777" w:rsidR="00E03711" w:rsidRDefault="00E03711">
      <w:pPr>
        <w:widowControl/>
        <w:suppressAutoHyphens w:val="0"/>
        <w:autoSpaceDN/>
        <w:textAlignment w:val="auto"/>
        <w:rPr>
          <w:rFonts w:eastAsia="Times New Roman" w:cs="Times New Roman"/>
          <w:b/>
          <w:smallCaps/>
          <w:sz w:val="32"/>
          <w:szCs w:val="18"/>
          <w:lang w:val="sl-SI"/>
        </w:rPr>
      </w:pPr>
      <w:r>
        <w:rPr>
          <w:lang w:val="sl-SI"/>
        </w:rPr>
        <w:br w:type="page"/>
      </w:r>
    </w:p>
    <w:p w14:paraId="7D39A88C" w14:textId="77777777" w:rsidR="00E03711" w:rsidRPr="001048FE" w:rsidRDefault="00E03711" w:rsidP="00125B7C">
      <w:pPr>
        <w:pStyle w:val="Guide-Heading2"/>
        <w:rPr>
          <w:lang w:val="sl-SI"/>
        </w:rPr>
        <w:sectPr w:rsidR="00E03711" w:rsidRPr="001048FE" w:rsidSect="00AA6A8A">
          <w:endnotePr>
            <w:numFmt w:val="decimal"/>
          </w:endnotePr>
          <w:pgSz w:w="11901" w:h="16817"/>
          <w:pgMar w:top="1134" w:right="1418" w:bottom="1134" w:left="1418" w:header="524" w:footer="450" w:gutter="0"/>
          <w:cols w:space="720"/>
        </w:sectPr>
      </w:pPr>
    </w:p>
    <w:p w14:paraId="7D39A88D" w14:textId="77777777" w:rsidR="00E03711" w:rsidRDefault="00E03711">
      <w:pPr>
        <w:pStyle w:val="Guide-Heading2"/>
        <w:rPr>
          <w:lang w:val="sl-SI"/>
        </w:rPr>
      </w:pPr>
      <w:bookmarkStart w:id="605" w:name="_Toc527400969"/>
      <w:bookmarkStart w:id="606" w:name="_Toc527401296"/>
      <w:r w:rsidRPr="001048FE">
        <w:rPr>
          <w:lang w:val="sl-SI"/>
        </w:rPr>
        <w:t>Projekt mobilnosti za šolsko osebje</w:t>
      </w:r>
      <w:bookmarkEnd w:id="605"/>
      <w:bookmarkEnd w:id="606"/>
    </w:p>
    <w:p w14:paraId="7D39A88E" w14:textId="77777777" w:rsidR="00E03711" w:rsidRPr="001048FE" w:rsidRDefault="00E03711" w:rsidP="00125B7C">
      <w:pPr>
        <w:pStyle w:val="GUIDE-NORMAL"/>
        <w:rPr>
          <w:lang w:val="sl-SI"/>
        </w:rPr>
      </w:pPr>
      <w:r w:rsidRPr="001048FE">
        <w:rPr>
          <w:lang w:val="sl-SI"/>
        </w:rPr>
        <w:t>Projekti mobilnosti omogočajo šolam, da šolskemu osebju zagotovijo priložnosti in pobude za pridobivanje novih kompetenc, ki so povezane s potrebami šole. Vodstvo šol bi moralo imeti aktivno vlogo pri načrtovanju, podpori in nadaljnjem spremljanju projekta mobilnosti.</w:t>
      </w:r>
    </w:p>
    <w:p w14:paraId="7D39A88F" w14:textId="77777777" w:rsidR="00E03711" w:rsidRPr="001048FE" w:rsidRDefault="00E03711" w:rsidP="00125B7C">
      <w:pPr>
        <w:pStyle w:val="GUIDE-NORMAL"/>
        <w:rPr>
          <w:lang w:val="sl-SI"/>
        </w:rPr>
      </w:pPr>
      <w:r w:rsidRPr="001048FE">
        <w:rPr>
          <w:lang w:val="sl-SI"/>
        </w:rPr>
        <w:t>Da se zagotovi in čim bolj izkoristi učinek teh aktivnosti na poklicni razvoj vsega osebja, bi morale šole poskrbeti, da se po zaključeni mobilnosti kompetence, ki jih je pridobilo njihovo osebje, razširjajo po vsej šoli in vključijo v prakso poučevanja na šoli.</w:t>
      </w:r>
    </w:p>
    <w:p w14:paraId="7D39A890" w14:textId="77777777" w:rsidR="00E03711" w:rsidRPr="001048FE" w:rsidRDefault="00E03711" w:rsidP="00125B7C">
      <w:pPr>
        <w:pStyle w:val="GUIDE-NORMAL"/>
        <w:rPr>
          <w:lang w:val="sl-SI"/>
        </w:rPr>
      </w:pPr>
      <w:r w:rsidRPr="001048FE">
        <w:rPr>
          <w:lang w:val="sl-SI"/>
        </w:rPr>
        <w:t>Pred prijavo bi morale šole skrbno razmisliti o tem, koliko članov osebja se lahko realistično udeleži mobilnosti med trajanjem projekta (tj. v 1 ali 2 letih), kakšne aktivnosti bodo opravljali in kako se lahko te aktivnosti učinkovito izvajajo na domači instituciji v prihodnje. Ob prijavi bodo organizacije prijaviteljice morale navesti okvirne številke, vrste in države gostiteljice načrtovanih aktivnosti mobilnosti.</w:t>
      </w:r>
    </w:p>
    <w:p w14:paraId="7D39A891" w14:textId="77777777" w:rsidR="00E03711" w:rsidRPr="001048FE" w:rsidRDefault="00E03711" w:rsidP="00125B7C">
      <w:pPr>
        <w:pStyle w:val="GUIDE-NORMAL"/>
        <w:rPr>
          <w:lang w:val="sl-SI"/>
        </w:rPr>
      </w:pPr>
      <w:r w:rsidRPr="001048FE">
        <w:rPr>
          <w:lang w:val="sl-SI"/>
        </w:rPr>
        <w:t>Če nacionalna agencija izbere projekt mobilnosti in potrdi zahtevana proračunska sredstva, lahko upravičenec začne z izborom udeležencev in podrobno organizacijo aktivnosti.</w:t>
      </w:r>
    </w:p>
    <w:p w14:paraId="7D39A892" w14:textId="77777777" w:rsidR="00E03711" w:rsidRDefault="00E03711" w:rsidP="00ED1E3E">
      <w:pPr>
        <w:pStyle w:val="Guide-AnnexHeading3"/>
        <w:numPr>
          <w:ilvl w:val="0"/>
          <w:numId w:val="0"/>
        </w:numPr>
        <w:rPr>
          <w:lang w:val="sl-SI"/>
        </w:rPr>
      </w:pPr>
      <w:bookmarkStart w:id="607" w:name="_Toc524425614"/>
      <w:bookmarkStart w:id="608" w:name="_Toc526422852"/>
      <w:bookmarkStart w:id="609" w:name="_Toc527400970"/>
      <w:bookmarkStart w:id="610" w:name="_Toc527401297"/>
      <w:r w:rsidRPr="00ED1E3E">
        <w:rPr>
          <w:lang w:val="sl-SI"/>
        </w:rPr>
        <w:t>1.</w:t>
      </w:r>
      <w:r>
        <w:rPr>
          <w:lang w:val="sl-SI"/>
        </w:rPr>
        <w:t xml:space="preserve"> </w:t>
      </w:r>
      <w:r w:rsidRPr="001048FE">
        <w:rPr>
          <w:lang w:val="sl-SI"/>
        </w:rPr>
        <w:t>Organizacijska podpora</w:t>
      </w:r>
      <w:bookmarkEnd w:id="607"/>
      <w:bookmarkEnd w:id="608"/>
      <w:bookmarkEnd w:id="609"/>
      <w:bookmarkEnd w:id="610"/>
    </w:p>
    <w:p w14:paraId="7D39A893" w14:textId="77777777" w:rsidR="00E03711" w:rsidRPr="001048FE" w:rsidRDefault="00E03711" w:rsidP="00AA6A8A">
      <w:pPr>
        <w:pStyle w:val="GUIDE-NORMAL"/>
        <w:rPr>
          <w:lang w:val="sl-SI"/>
        </w:rPr>
      </w:pPr>
      <w:r w:rsidRPr="001048FE">
        <w:rPr>
          <w:lang w:val="sl-SI"/>
        </w:rPr>
        <w:t>Nepovratna sredstva za organizacijsko podporo so prispevek za stroške, ki jih imajo institucije v zvezi z aktivnostmi, s katerimi podpirajo mobilnost osebja. Na primer za:</w:t>
      </w:r>
    </w:p>
    <w:p w14:paraId="7D39A894" w14:textId="77777777" w:rsidR="00E03711" w:rsidRPr="001048FE" w:rsidRDefault="00E03711" w:rsidP="005115F2">
      <w:pPr>
        <w:pStyle w:val="Guide-NormalBulletpoints"/>
        <w:numPr>
          <w:ilvl w:val="0"/>
          <w:numId w:val="431"/>
        </w:numPr>
        <w:rPr>
          <w:lang w:val="sl-SI"/>
        </w:rPr>
      </w:pPr>
      <w:r w:rsidRPr="001048FE">
        <w:rPr>
          <w:lang w:val="sl-SI"/>
        </w:rPr>
        <w:t>pripravo in nadaljnje spremljanje evropskega razvojnega načrta;</w:t>
      </w:r>
    </w:p>
    <w:p w14:paraId="7D39A895" w14:textId="77777777" w:rsidR="00E03711" w:rsidRPr="001048FE" w:rsidRDefault="00E03711" w:rsidP="005115F2">
      <w:pPr>
        <w:pStyle w:val="Guide-NormalBulletpoints"/>
        <w:numPr>
          <w:ilvl w:val="0"/>
          <w:numId w:val="431"/>
        </w:numPr>
        <w:rPr>
          <w:lang w:val="sl-SI"/>
        </w:rPr>
      </w:pPr>
      <w:r w:rsidRPr="001048FE">
        <w:rPr>
          <w:lang w:val="sl-SI"/>
        </w:rPr>
        <w:t>organizacijske ureditve s partnerskimi institucijami (predvsem v primeru izobraževalnega obiska na delovnem mestu ali programov poučevanja);</w:t>
      </w:r>
    </w:p>
    <w:p w14:paraId="7D39A896" w14:textId="77777777" w:rsidR="00E03711" w:rsidRPr="001048FE" w:rsidRDefault="00E03711" w:rsidP="005115F2">
      <w:pPr>
        <w:pStyle w:val="Guide-NormalBulletpoints"/>
        <w:numPr>
          <w:ilvl w:val="0"/>
          <w:numId w:val="431"/>
        </w:numPr>
        <w:rPr>
          <w:lang w:val="sl-SI"/>
        </w:rPr>
      </w:pPr>
      <w:r w:rsidRPr="001048FE">
        <w:rPr>
          <w:lang w:val="sl-SI"/>
        </w:rPr>
        <w:t xml:space="preserve">zagotavljanje informacij in pomoči za osebje; </w:t>
      </w:r>
    </w:p>
    <w:p w14:paraId="7D39A897" w14:textId="77777777" w:rsidR="00E03711" w:rsidRPr="001048FE" w:rsidRDefault="00E03711" w:rsidP="005115F2">
      <w:pPr>
        <w:pStyle w:val="Guide-NormalBulletpoints"/>
        <w:numPr>
          <w:ilvl w:val="0"/>
          <w:numId w:val="431"/>
        </w:numPr>
        <w:rPr>
          <w:lang w:val="sl-SI"/>
        </w:rPr>
      </w:pPr>
      <w:r w:rsidRPr="001048FE">
        <w:rPr>
          <w:lang w:val="sl-SI"/>
        </w:rPr>
        <w:t>izbor osebja za aktivnosti mobilnosti;</w:t>
      </w:r>
    </w:p>
    <w:p w14:paraId="7D39A898" w14:textId="77777777" w:rsidR="00E03711" w:rsidRPr="001048FE" w:rsidRDefault="00E03711" w:rsidP="005115F2">
      <w:pPr>
        <w:pStyle w:val="Guide-NormalBulletpoints"/>
        <w:numPr>
          <w:ilvl w:val="0"/>
          <w:numId w:val="431"/>
        </w:numPr>
        <w:rPr>
          <w:lang w:val="sl-SI"/>
        </w:rPr>
      </w:pPr>
      <w:r w:rsidRPr="001048FE">
        <w:rPr>
          <w:lang w:val="sl-SI"/>
        </w:rPr>
        <w:t>pripravo</w:t>
      </w:r>
      <w:r w:rsidRPr="001048FE">
        <w:rPr>
          <w:spacing w:val="-14"/>
          <w:lang w:val="sl-SI"/>
        </w:rPr>
        <w:t xml:space="preserve"> </w:t>
      </w:r>
      <w:r w:rsidRPr="001048FE">
        <w:rPr>
          <w:lang w:val="sl-SI"/>
        </w:rPr>
        <w:t>sporazumov</w:t>
      </w:r>
      <w:r w:rsidRPr="001048FE">
        <w:rPr>
          <w:spacing w:val="-14"/>
          <w:lang w:val="sl-SI"/>
        </w:rPr>
        <w:t xml:space="preserve"> </w:t>
      </w:r>
      <w:r w:rsidRPr="001048FE">
        <w:rPr>
          <w:lang w:val="sl-SI"/>
        </w:rPr>
        <w:t>o</w:t>
      </w:r>
      <w:r w:rsidRPr="001048FE">
        <w:rPr>
          <w:spacing w:val="-13"/>
          <w:lang w:val="sl-SI"/>
        </w:rPr>
        <w:t xml:space="preserve"> </w:t>
      </w:r>
      <w:r w:rsidRPr="001048FE">
        <w:rPr>
          <w:lang w:val="sl-SI"/>
        </w:rPr>
        <w:t>mobilnosti,</w:t>
      </w:r>
      <w:r w:rsidRPr="001048FE">
        <w:rPr>
          <w:spacing w:val="-14"/>
          <w:lang w:val="sl-SI"/>
        </w:rPr>
        <w:t xml:space="preserve"> </w:t>
      </w:r>
      <w:r w:rsidRPr="001048FE">
        <w:rPr>
          <w:lang w:val="sl-SI"/>
        </w:rPr>
        <w:t>da</w:t>
      </w:r>
      <w:r w:rsidRPr="001048FE">
        <w:rPr>
          <w:spacing w:val="-14"/>
          <w:lang w:val="sl-SI"/>
        </w:rPr>
        <w:t xml:space="preserve"> </w:t>
      </w:r>
      <w:r w:rsidRPr="001048FE">
        <w:rPr>
          <w:lang w:val="sl-SI"/>
        </w:rPr>
        <w:t>se</w:t>
      </w:r>
      <w:r w:rsidRPr="001048FE">
        <w:rPr>
          <w:spacing w:val="-14"/>
          <w:lang w:val="sl-SI"/>
        </w:rPr>
        <w:t xml:space="preserve"> </w:t>
      </w:r>
      <w:r w:rsidRPr="001048FE">
        <w:rPr>
          <w:lang w:val="sl-SI"/>
        </w:rPr>
        <w:t>zagotovita</w:t>
      </w:r>
      <w:r w:rsidRPr="001048FE">
        <w:rPr>
          <w:spacing w:val="-14"/>
          <w:lang w:val="sl-SI"/>
        </w:rPr>
        <w:t xml:space="preserve"> </w:t>
      </w:r>
      <w:r w:rsidRPr="001048FE">
        <w:rPr>
          <w:lang w:val="sl-SI"/>
        </w:rPr>
        <w:t>kakovost</w:t>
      </w:r>
      <w:r w:rsidRPr="001048FE">
        <w:rPr>
          <w:spacing w:val="-14"/>
          <w:lang w:val="sl-SI"/>
        </w:rPr>
        <w:t xml:space="preserve"> </w:t>
      </w:r>
      <w:r w:rsidRPr="001048FE">
        <w:rPr>
          <w:lang w:val="sl-SI"/>
        </w:rPr>
        <w:t>in</w:t>
      </w:r>
      <w:r w:rsidRPr="001048FE">
        <w:rPr>
          <w:spacing w:val="-14"/>
          <w:lang w:val="sl-SI"/>
        </w:rPr>
        <w:t xml:space="preserve"> </w:t>
      </w:r>
      <w:r w:rsidRPr="001048FE">
        <w:rPr>
          <w:lang w:val="sl-SI"/>
        </w:rPr>
        <w:t>priznavanje</w:t>
      </w:r>
      <w:r w:rsidRPr="001048FE">
        <w:rPr>
          <w:spacing w:val="-14"/>
          <w:lang w:val="sl-SI"/>
        </w:rPr>
        <w:t xml:space="preserve"> </w:t>
      </w:r>
      <w:r w:rsidRPr="001048FE">
        <w:rPr>
          <w:lang w:val="sl-SI"/>
        </w:rPr>
        <w:t>aktivnosti mobilnosti;</w:t>
      </w:r>
    </w:p>
    <w:p w14:paraId="7D39A899" w14:textId="77777777" w:rsidR="00E03711" w:rsidRPr="001048FE" w:rsidRDefault="00E03711" w:rsidP="005115F2">
      <w:pPr>
        <w:pStyle w:val="Guide-NormalBulletpoints"/>
        <w:numPr>
          <w:ilvl w:val="0"/>
          <w:numId w:val="431"/>
        </w:numPr>
        <w:rPr>
          <w:lang w:val="sl-SI"/>
        </w:rPr>
      </w:pPr>
      <w:r w:rsidRPr="001048FE">
        <w:rPr>
          <w:lang w:val="sl-SI"/>
        </w:rPr>
        <w:t xml:space="preserve">jezikovno in medkulturno pripravo osebja, ki se udeleži mobilnosti; </w:t>
      </w:r>
    </w:p>
    <w:p w14:paraId="7D39A89A" w14:textId="77777777" w:rsidR="00E03711" w:rsidRPr="001048FE" w:rsidRDefault="00E03711" w:rsidP="005115F2">
      <w:pPr>
        <w:pStyle w:val="Guide-NormalBulletpoints"/>
        <w:numPr>
          <w:ilvl w:val="0"/>
          <w:numId w:val="431"/>
        </w:numPr>
        <w:rPr>
          <w:lang w:val="sl-SI"/>
        </w:rPr>
      </w:pPr>
      <w:r w:rsidRPr="001048FE">
        <w:rPr>
          <w:lang w:val="sl-SI"/>
        </w:rPr>
        <w:t>lajšanje</w:t>
      </w:r>
      <w:r w:rsidRPr="001048FE">
        <w:rPr>
          <w:spacing w:val="-15"/>
          <w:lang w:val="sl-SI"/>
        </w:rPr>
        <w:t xml:space="preserve"> </w:t>
      </w:r>
      <w:r w:rsidRPr="001048FE">
        <w:rPr>
          <w:lang w:val="sl-SI"/>
        </w:rPr>
        <w:t>vključevanja</w:t>
      </w:r>
      <w:r w:rsidRPr="001048FE">
        <w:rPr>
          <w:spacing w:val="-15"/>
          <w:lang w:val="sl-SI"/>
        </w:rPr>
        <w:t xml:space="preserve"> </w:t>
      </w:r>
      <w:r w:rsidRPr="001048FE">
        <w:rPr>
          <w:lang w:val="sl-SI"/>
        </w:rPr>
        <w:t>prihajajočega</w:t>
      </w:r>
      <w:r w:rsidRPr="001048FE">
        <w:rPr>
          <w:spacing w:val="-15"/>
          <w:lang w:val="sl-SI"/>
        </w:rPr>
        <w:t xml:space="preserve"> </w:t>
      </w:r>
      <w:r w:rsidRPr="001048FE">
        <w:rPr>
          <w:lang w:val="sl-SI"/>
        </w:rPr>
        <w:t>osebja,</w:t>
      </w:r>
      <w:r w:rsidRPr="001048FE">
        <w:rPr>
          <w:spacing w:val="-14"/>
          <w:lang w:val="sl-SI"/>
        </w:rPr>
        <w:t xml:space="preserve"> </w:t>
      </w:r>
      <w:r w:rsidRPr="001048FE">
        <w:rPr>
          <w:lang w:val="sl-SI"/>
        </w:rPr>
        <w:t>ki</w:t>
      </w:r>
      <w:r w:rsidRPr="001048FE">
        <w:rPr>
          <w:spacing w:val="-15"/>
          <w:lang w:val="sl-SI"/>
        </w:rPr>
        <w:t xml:space="preserve"> </w:t>
      </w:r>
      <w:r w:rsidRPr="001048FE">
        <w:rPr>
          <w:lang w:val="sl-SI"/>
        </w:rPr>
        <w:t>se</w:t>
      </w:r>
      <w:r w:rsidRPr="001048FE">
        <w:rPr>
          <w:spacing w:val="-15"/>
          <w:lang w:val="sl-SI"/>
        </w:rPr>
        <w:t xml:space="preserve"> </w:t>
      </w:r>
      <w:r w:rsidRPr="001048FE">
        <w:rPr>
          <w:lang w:val="sl-SI"/>
        </w:rPr>
        <w:t>udeleži</w:t>
      </w:r>
      <w:r w:rsidRPr="001048FE">
        <w:rPr>
          <w:spacing w:val="-15"/>
          <w:lang w:val="sl-SI"/>
        </w:rPr>
        <w:t xml:space="preserve"> </w:t>
      </w:r>
      <w:r w:rsidRPr="001048FE">
        <w:rPr>
          <w:lang w:val="sl-SI"/>
        </w:rPr>
        <w:t>mobilnosti,</w:t>
      </w:r>
      <w:r w:rsidRPr="001048FE">
        <w:rPr>
          <w:spacing w:val="-15"/>
          <w:lang w:val="sl-SI"/>
        </w:rPr>
        <w:t xml:space="preserve"> </w:t>
      </w:r>
      <w:r w:rsidRPr="001048FE">
        <w:rPr>
          <w:lang w:val="sl-SI"/>
        </w:rPr>
        <w:t>na</w:t>
      </w:r>
      <w:r w:rsidRPr="001048FE">
        <w:rPr>
          <w:spacing w:val="-15"/>
          <w:lang w:val="sl-SI"/>
        </w:rPr>
        <w:t xml:space="preserve"> </w:t>
      </w:r>
      <w:r w:rsidRPr="001048FE">
        <w:rPr>
          <w:lang w:val="sl-SI"/>
        </w:rPr>
        <w:t>šoli;</w:t>
      </w:r>
    </w:p>
    <w:p w14:paraId="7D39A89B" w14:textId="77777777" w:rsidR="00E03711" w:rsidRPr="001048FE" w:rsidRDefault="00E03711" w:rsidP="005115F2">
      <w:pPr>
        <w:pStyle w:val="Guide-NormalBulletpoints"/>
        <w:numPr>
          <w:ilvl w:val="0"/>
          <w:numId w:val="431"/>
        </w:numPr>
        <w:rPr>
          <w:lang w:val="sl-SI"/>
        </w:rPr>
      </w:pPr>
      <w:r w:rsidRPr="001048FE">
        <w:rPr>
          <w:lang w:val="sl-SI"/>
        </w:rPr>
        <w:t xml:space="preserve">zagotavljanje učinkovitih ureditev za mentorstvo in nadzor udeležencev mobilnosti; </w:t>
      </w:r>
    </w:p>
    <w:p w14:paraId="7D39A89C" w14:textId="77777777" w:rsidR="00E03711" w:rsidRPr="001048FE" w:rsidRDefault="00E03711" w:rsidP="005115F2">
      <w:pPr>
        <w:pStyle w:val="Guide-NormalBulletpoints"/>
        <w:numPr>
          <w:ilvl w:val="0"/>
          <w:numId w:val="431"/>
        </w:numPr>
        <w:rPr>
          <w:lang w:val="sl-SI"/>
        </w:rPr>
      </w:pPr>
      <w:r w:rsidRPr="001048FE">
        <w:rPr>
          <w:lang w:val="sl-SI"/>
        </w:rPr>
        <w:t>podpiranje ponovnega vključevanja udeležencev mobilnosti in nadgrajevanje njihovih pridobljenih</w:t>
      </w:r>
      <w:r w:rsidRPr="001048FE">
        <w:rPr>
          <w:spacing w:val="-14"/>
          <w:lang w:val="sl-SI"/>
        </w:rPr>
        <w:t xml:space="preserve"> </w:t>
      </w:r>
      <w:r w:rsidRPr="001048FE">
        <w:rPr>
          <w:lang w:val="sl-SI"/>
        </w:rPr>
        <w:t>novih</w:t>
      </w:r>
      <w:r w:rsidRPr="001048FE">
        <w:rPr>
          <w:spacing w:val="-14"/>
          <w:lang w:val="sl-SI"/>
        </w:rPr>
        <w:t xml:space="preserve"> </w:t>
      </w:r>
      <w:r w:rsidRPr="001048FE">
        <w:rPr>
          <w:lang w:val="sl-SI"/>
        </w:rPr>
        <w:t>kompetenc</w:t>
      </w:r>
      <w:r w:rsidRPr="001048FE">
        <w:rPr>
          <w:spacing w:val="-14"/>
          <w:lang w:val="sl-SI"/>
        </w:rPr>
        <w:t xml:space="preserve"> </w:t>
      </w:r>
      <w:r w:rsidRPr="001048FE">
        <w:rPr>
          <w:lang w:val="sl-SI"/>
        </w:rPr>
        <w:t>v</w:t>
      </w:r>
      <w:r w:rsidRPr="001048FE">
        <w:rPr>
          <w:spacing w:val="-14"/>
          <w:lang w:val="sl-SI"/>
        </w:rPr>
        <w:t xml:space="preserve"> </w:t>
      </w:r>
      <w:r w:rsidRPr="001048FE">
        <w:rPr>
          <w:lang w:val="sl-SI"/>
        </w:rPr>
        <w:t>korist</w:t>
      </w:r>
      <w:r w:rsidRPr="001048FE">
        <w:rPr>
          <w:spacing w:val="-14"/>
          <w:lang w:val="sl-SI"/>
        </w:rPr>
        <w:t xml:space="preserve"> </w:t>
      </w:r>
      <w:r w:rsidRPr="001048FE">
        <w:rPr>
          <w:lang w:val="sl-SI"/>
        </w:rPr>
        <w:t>šole,</w:t>
      </w:r>
      <w:r w:rsidRPr="001048FE">
        <w:rPr>
          <w:spacing w:val="-14"/>
          <w:lang w:val="sl-SI"/>
        </w:rPr>
        <w:t xml:space="preserve"> </w:t>
      </w:r>
      <w:r w:rsidRPr="001048FE">
        <w:rPr>
          <w:lang w:val="sl-SI"/>
        </w:rPr>
        <w:t>izobraževalnega</w:t>
      </w:r>
      <w:r w:rsidRPr="001048FE">
        <w:rPr>
          <w:spacing w:val="-14"/>
          <w:lang w:val="sl-SI"/>
        </w:rPr>
        <w:t xml:space="preserve"> </w:t>
      </w:r>
      <w:r w:rsidRPr="001048FE">
        <w:rPr>
          <w:lang w:val="sl-SI"/>
        </w:rPr>
        <w:t>osebja</w:t>
      </w:r>
      <w:r w:rsidRPr="001048FE">
        <w:rPr>
          <w:spacing w:val="-14"/>
          <w:lang w:val="sl-SI"/>
        </w:rPr>
        <w:t xml:space="preserve"> </w:t>
      </w:r>
      <w:r w:rsidRPr="001048FE">
        <w:rPr>
          <w:lang w:val="sl-SI"/>
        </w:rPr>
        <w:t>in</w:t>
      </w:r>
      <w:r w:rsidRPr="001048FE">
        <w:rPr>
          <w:spacing w:val="-14"/>
          <w:lang w:val="sl-SI"/>
        </w:rPr>
        <w:t xml:space="preserve"> </w:t>
      </w:r>
      <w:r w:rsidRPr="001048FE">
        <w:rPr>
          <w:lang w:val="sl-SI"/>
        </w:rPr>
        <w:t>učencev/dijakov.</w:t>
      </w:r>
    </w:p>
    <w:p w14:paraId="7D39A89D" w14:textId="77777777" w:rsidR="00E03711" w:rsidRPr="001048FE" w:rsidRDefault="00E03711" w:rsidP="00ED1E3E">
      <w:pPr>
        <w:pStyle w:val="Guide-AnnexHeading3"/>
        <w:numPr>
          <w:ilvl w:val="0"/>
          <w:numId w:val="0"/>
        </w:numPr>
        <w:rPr>
          <w:lang w:val="sl-SI"/>
        </w:rPr>
      </w:pPr>
      <w:bookmarkStart w:id="611" w:name="_Toc524425615"/>
      <w:bookmarkStart w:id="612" w:name="_Toc526422853"/>
      <w:bookmarkStart w:id="613" w:name="_Toc527400971"/>
      <w:bookmarkStart w:id="614" w:name="_Toc527401298"/>
      <w:r w:rsidRPr="00ED1E3E">
        <w:rPr>
          <w:lang w:val="sl-SI"/>
        </w:rPr>
        <w:t>2.</w:t>
      </w:r>
      <w:r>
        <w:rPr>
          <w:lang w:val="sl-SI"/>
        </w:rPr>
        <w:t xml:space="preserve"> </w:t>
      </w:r>
      <w:r w:rsidRPr="001048FE">
        <w:rPr>
          <w:lang w:val="sl-SI"/>
        </w:rPr>
        <w:t>Pred</w:t>
      </w:r>
      <w:r w:rsidRPr="001048FE">
        <w:rPr>
          <w:spacing w:val="5"/>
          <w:lang w:val="sl-SI"/>
        </w:rPr>
        <w:t xml:space="preserve"> </w:t>
      </w:r>
      <w:r w:rsidRPr="001048FE">
        <w:rPr>
          <w:lang w:val="sl-SI"/>
        </w:rPr>
        <w:t>mobilnostjo</w:t>
      </w:r>
      <w:bookmarkEnd w:id="611"/>
      <w:bookmarkEnd w:id="612"/>
      <w:bookmarkEnd w:id="613"/>
      <w:bookmarkEnd w:id="614"/>
    </w:p>
    <w:p w14:paraId="7D39A89E" w14:textId="77777777" w:rsidR="00E03711" w:rsidRPr="001048FE" w:rsidRDefault="00E03711" w:rsidP="00AA6A8A">
      <w:pPr>
        <w:pStyle w:val="Guide-Heading4"/>
        <w:rPr>
          <w:lang w:val="sl-SI"/>
        </w:rPr>
      </w:pPr>
      <w:bookmarkStart w:id="615" w:name="_Toc527401299"/>
      <w:r w:rsidRPr="001048FE">
        <w:rPr>
          <w:lang w:val="sl-SI"/>
        </w:rPr>
        <w:t>A: Evropski razvojni načrt</w:t>
      </w:r>
      <w:bookmarkEnd w:id="615"/>
    </w:p>
    <w:p w14:paraId="7D39A89F" w14:textId="77777777" w:rsidR="00E03711" w:rsidRPr="001048FE" w:rsidRDefault="00E03711" w:rsidP="00AA6A8A">
      <w:pPr>
        <w:pStyle w:val="GUIDE-NORMAL"/>
        <w:rPr>
          <w:lang w:val="sl-SI"/>
        </w:rPr>
      </w:pPr>
      <w:r w:rsidRPr="001048FE">
        <w:rPr>
          <w:lang w:val="sl-SI"/>
        </w:rPr>
        <w:t>Pred prijavo mora šola ali koordinator nacionalnega konzorcija za mobilnost oblikovati evropski razvojni načrt; ta načrt je del prijavnega obrazca. V tem poglavju je navedeno, kako je načrtovana mobilnost povezana s širšo in dolgoročno strategijo razvoja in posodobitve šol, ki sodelujejo pri projektu.</w:t>
      </w:r>
    </w:p>
    <w:p w14:paraId="7D39A8A0" w14:textId="77777777" w:rsidR="00E03711" w:rsidRPr="001048FE" w:rsidRDefault="00E03711" w:rsidP="00AA6A8A">
      <w:pPr>
        <w:pStyle w:val="GUIDE-NORMAL"/>
        <w:rPr>
          <w:lang w:val="sl-SI"/>
        </w:rPr>
      </w:pPr>
      <w:r w:rsidRPr="001048FE">
        <w:rPr>
          <w:lang w:val="sl-SI"/>
        </w:rPr>
        <w:t>Ta</w:t>
      </w:r>
      <w:r w:rsidRPr="001048FE">
        <w:rPr>
          <w:spacing w:val="-14"/>
          <w:lang w:val="sl-SI"/>
        </w:rPr>
        <w:t xml:space="preserve"> </w:t>
      </w:r>
      <w:r w:rsidRPr="001048FE">
        <w:rPr>
          <w:lang w:val="sl-SI"/>
        </w:rPr>
        <w:t>evropski</w:t>
      </w:r>
      <w:r w:rsidRPr="001048FE">
        <w:rPr>
          <w:spacing w:val="-14"/>
          <w:lang w:val="sl-SI"/>
        </w:rPr>
        <w:t xml:space="preserve"> </w:t>
      </w:r>
      <w:r w:rsidRPr="001048FE">
        <w:rPr>
          <w:lang w:val="sl-SI"/>
        </w:rPr>
        <w:t>razvojni</w:t>
      </w:r>
      <w:r w:rsidRPr="001048FE">
        <w:rPr>
          <w:spacing w:val="-14"/>
          <w:lang w:val="sl-SI"/>
        </w:rPr>
        <w:t xml:space="preserve"> </w:t>
      </w:r>
      <w:r w:rsidRPr="001048FE">
        <w:rPr>
          <w:lang w:val="sl-SI"/>
        </w:rPr>
        <w:t>načrt</w:t>
      </w:r>
      <w:r w:rsidRPr="001048FE">
        <w:rPr>
          <w:spacing w:val="-14"/>
          <w:lang w:val="sl-SI"/>
        </w:rPr>
        <w:t xml:space="preserve"> </w:t>
      </w:r>
      <w:r w:rsidRPr="001048FE">
        <w:rPr>
          <w:lang w:val="sl-SI"/>
        </w:rPr>
        <w:t>bo</w:t>
      </w:r>
      <w:r w:rsidRPr="001048FE">
        <w:rPr>
          <w:spacing w:val="-14"/>
          <w:lang w:val="sl-SI"/>
        </w:rPr>
        <w:t xml:space="preserve"> </w:t>
      </w:r>
      <w:r w:rsidRPr="001048FE">
        <w:rPr>
          <w:lang w:val="sl-SI"/>
        </w:rPr>
        <w:t>pomemben</w:t>
      </w:r>
      <w:r w:rsidRPr="001048FE">
        <w:rPr>
          <w:spacing w:val="-14"/>
          <w:lang w:val="sl-SI"/>
        </w:rPr>
        <w:t xml:space="preserve"> </w:t>
      </w:r>
      <w:r w:rsidRPr="001048FE">
        <w:rPr>
          <w:lang w:val="sl-SI"/>
        </w:rPr>
        <w:t>del</w:t>
      </w:r>
      <w:r w:rsidRPr="001048FE">
        <w:rPr>
          <w:spacing w:val="-14"/>
          <w:lang w:val="sl-SI"/>
        </w:rPr>
        <w:t xml:space="preserve"> </w:t>
      </w:r>
      <w:r w:rsidRPr="001048FE">
        <w:rPr>
          <w:lang w:val="sl-SI"/>
        </w:rPr>
        <w:t>ocene</w:t>
      </w:r>
      <w:r w:rsidRPr="001048FE">
        <w:rPr>
          <w:spacing w:val="-13"/>
          <w:lang w:val="sl-SI"/>
        </w:rPr>
        <w:t xml:space="preserve"> </w:t>
      </w:r>
      <w:r w:rsidRPr="001048FE">
        <w:rPr>
          <w:lang w:val="sl-SI"/>
        </w:rPr>
        <w:t>vlog</w:t>
      </w:r>
      <w:r w:rsidRPr="001048FE">
        <w:rPr>
          <w:spacing w:val="-14"/>
          <w:lang w:val="sl-SI"/>
        </w:rPr>
        <w:t xml:space="preserve"> </w:t>
      </w:r>
      <w:r w:rsidRPr="001048FE">
        <w:rPr>
          <w:lang w:val="sl-SI"/>
        </w:rPr>
        <w:t>za</w:t>
      </w:r>
      <w:r w:rsidRPr="001048FE">
        <w:rPr>
          <w:spacing w:val="-14"/>
          <w:lang w:val="sl-SI"/>
        </w:rPr>
        <w:t xml:space="preserve"> </w:t>
      </w:r>
      <w:r w:rsidRPr="001048FE">
        <w:rPr>
          <w:lang w:val="sl-SI"/>
        </w:rPr>
        <w:t>nepovratna</w:t>
      </w:r>
      <w:r w:rsidRPr="001048FE">
        <w:rPr>
          <w:spacing w:val="-14"/>
          <w:lang w:val="sl-SI"/>
        </w:rPr>
        <w:t xml:space="preserve"> </w:t>
      </w:r>
      <w:r w:rsidRPr="001048FE">
        <w:rPr>
          <w:lang w:val="sl-SI"/>
        </w:rPr>
        <w:t>sredstva</w:t>
      </w:r>
      <w:r w:rsidRPr="001048FE">
        <w:rPr>
          <w:spacing w:val="-14"/>
          <w:lang w:val="sl-SI"/>
        </w:rPr>
        <w:t xml:space="preserve"> </w:t>
      </w:r>
      <w:r w:rsidRPr="001048FE">
        <w:rPr>
          <w:lang w:val="sl-SI"/>
        </w:rPr>
        <w:t>in</w:t>
      </w:r>
      <w:r w:rsidRPr="001048FE">
        <w:rPr>
          <w:spacing w:val="-14"/>
          <w:lang w:val="sl-SI"/>
        </w:rPr>
        <w:t xml:space="preserve"> </w:t>
      </w:r>
      <w:r w:rsidRPr="001048FE">
        <w:rPr>
          <w:lang w:val="sl-SI"/>
        </w:rPr>
        <w:t>v</w:t>
      </w:r>
      <w:r w:rsidRPr="001048FE">
        <w:rPr>
          <w:spacing w:val="-14"/>
          <w:lang w:val="sl-SI"/>
        </w:rPr>
        <w:t xml:space="preserve"> </w:t>
      </w:r>
      <w:r w:rsidRPr="001048FE">
        <w:rPr>
          <w:lang w:val="sl-SI"/>
        </w:rPr>
        <w:t>njem</w:t>
      </w:r>
      <w:r w:rsidRPr="001048FE">
        <w:rPr>
          <w:spacing w:val="-14"/>
          <w:lang w:val="sl-SI"/>
        </w:rPr>
        <w:t xml:space="preserve"> </w:t>
      </w:r>
      <w:r w:rsidRPr="001048FE">
        <w:rPr>
          <w:lang w:val="sl-SI"/>
        </w:rPr>
        <w:t>bi</w:t>
      </w:r>
      <w:r w:rsidRPr="001048FE">
        <w:rPr>
          <w:spacing w:val="-14"/>
          <w:lang w:val="sl-SI"/>
        </w:rPr>
        <w:t xml:space="preserve"> </w:t>
      </w:r>
      <w:r w:rsidRPr="001048FE">
        <w:rPr>
          <w:lang w:val="sl-SI"/>
        </w:rPr>
        <w:t>morale biti zagotovljene naslednje</w:t>
      </w:r>
      <w:r w:rsidRPr="001048FE">
        <w:rPr>
          <w:spacing w:val="-7"/>
          <w:lang w:val="sl-SI"/>
        </w:rPr>
        <w:t xml:space="preserve"> </w:t>
      </w:r>
      <w:r w:rsidRPr="001048FE">
        <w:rPr>
          <w:lang w:val="sl-SI"/>
        </w:rPr>
        <w:t>informacije:</w:t>
      </w:r>
    </w:p>
    <w:p w14:paraId="7D39A8A1" w14:textId="77777777" w:rsidR="00E03711" w:rsidRPr="001048FE" w:rsidRDefault="00E03711" w:rsidP="005115F2">
      <w:pPr>
        <w:pStyle w:val="Guide-NormalBulletpoints"/>
        <w:numPr>
          <w:ilvl w:val="0"/>
          <w:numId w:val="432"/>
        </w:numPr>
        <w:rPr>
          <w:lang w:val="sl-SI"/>
        </w:rPr>
      </w:pPr>
      <w:r w:rsidRPr="001048FE">
        <w:rPr>
          <w:lang w:val="sl-SI"/>
        </w:rPr>
        <w:t>potrebe šole/šol v zvezi z razvojem kakovosti in internacionalizacijo (npr. glede kompetenc upravljanja,</w:t>
      </w:r>
      <w:r w:rsidRPr="001048FE">
        <w:rPr>
          <w:spacing w:val="-21"/>
          <w:lang w:val="sl-SI"/>
        </w:rPr>
        <w:t xml:space="preserve"> </w:t>
      </w:r>
      <w:r w:rsidRPr="001048FE">
        <w:rPr>
          <w:lang w:val="sl-SI"/>
        </w:rPr>
        <w:t>kompetenc</w:t>
      </w:r>
      <w:r w:rsidRPr="001048FE">
        <w:rPr>
          <w:spacing w:val="-21"/>
          <w:lang w:val="sl-SI"/>
        </w:rPr>
        <w:t xml:space="preserve"> </w:t>
      </w:r>
      <w:r w:rsidRPr="001048FE">
        <w:rPr>
          <w:lang w:val="sl-SI"/>
        </w:rPr>
        <w:t>osebja,</w:t>
      </w:r>
      <w:r w:rsidRPr="001048FE">
        <w:rPr>
          <w:spacing w:val="-21"/>
          <w:lang w:val="sl-SI"/>
        </w:rPr>
        <w:t xml:space="preserve"> </w:t>
      </w:r>
      <w:r w:rsidRPr="001048FE">
        <w:rPr>
          <w:lang w:val="sl-SI"/>
        </w:rPr>
        <w:t>novih</w:t>
      </w:r>
      <w:r w:rsidRPr="001048FE">
        <w:rPr>
          <w:spacing w:val="-21"/>
          <w:lang w:val="sl-SI"/>
        </w:rPr>
        <w:t xml:space="preserve"> </w:t>
      </w:r>
      <w:r w:rsidRPr="001048FE">
        <w:rPr>
          <w:lang w:val="sl-SI"/>
        </w:rPr>
        <w:t>metod</w:t>
      </w:r>
      <w:r w:rsidRPr="001048FE">
        <w:rPr>
          <w:spacing w:val="-21"/>
          <w:lang w:val="sl-SI"/>
        </w:rPr>
        <w:t xml:space="preserve"> </w:t>
      </w:r>
      <w:r w:rsidRPr="001048FE">
        <w:rPr>
          <w:lang w:val="sl-SI"/>
        </w:rPr>
        <w:t>ali</w:t>
      </w:r>
      <w:r w:rsidRPr="001048FE">
        <w:rPr>
          <w:spacing w:val="-21"/>
          <w:lang w:val="sl-SI"/>
        </w:rPr>
        <w:t xml:space="preserve"> </w:t>
      </w:r>
      <w:r w:rsidRPr="001048FE">
        <w:rPr>
          <w:lang w:val="sl-SI"/>
        </w:rPr>
        <w:t>orodij</w:t>
      </w:r>
      <w:r w:rsidRPr="001048FE">
        <w:rPr>
          <w:spacing w:val="-21"/>
          <w:lang w:val="sl-SI"/>
        </w:rPr>
        <w:t xml:space="preserve"> </w:t>
      </w:r>
      <w:r w:rsidRPr="001048FE">
        <w:rPr>
          <w:lang w:val="sl-SI"/>
        </w:rPr>
        <w:t>poučevanja,</w:t>
      </w:r>
      <w:r w:rsidRPr="001048FE">
        <w:rPr>
          <w:spacing w:val="-21"/>
          <w:lang w:val="sl-SI"/>
        </w:rPr>
        <w:t xml:space="preserve"> </w:t>
      </w:r>
      <w:r w:rsidRPr="001048FE">
        <w:rPr>
          <w:lang w:val="sl-SI"/>
        </w:rPr>
        <w:t>evropske</w:t>
      </w:r>
      <w:r w:rsidRPr="001048FE">
        <w:rPr>
          <w:spacing w:val="-21"/>
          <w:lang w:val="sl-SI"/>
        </w:rPr>
        <w:t xml:space="preserve"> </w:t>
      </w:r>
      <w:r w:rsidRPr="001048FE">
        <w:rPr>
          <w:lang w:val="sl-SI"/>
        </w:rPr>
        <w:t>razsežnosti,</w:t>
      </w:r>
      <w:r w:rsidRPr="001048FE">
        <w:rPr>
          <w:spacing w:val="-21"/>
          <w:lang w:val="sl-SI"/>
        </w:rPr>
        <w:t xml:space="preserve"> </w:t>
      </w:r>
      <w:r w:rsidRPr="001048FE">
        <w:rPr>
          <w:lang w:val="sl-SI"/>
        </w:rPr>
        <w:t>znanja jezikov, učnega načrta, organizacije poučevanja, usposabljanja in učenja, krepitve povezav s partnerskimi institucijami) in kako bodo načrtovane aktivnosti prispevale k izpolnjevanju teh potreb predviden učinek na učence/dijake, šolsko osebje ter na šolo na sploh;</w:t>
      </w:r>
    </w:p>
    <w:p w14:paraId="7D39A8A2" w14:textId="77777777" w:rsidR="00E03711" w:rsidRPr="001048FE" w:rsidRDefault="00E03711" w:rsidP="005115F2">
      <w:pPr>
        <w:pStyle w:val="Guide-NormalBulletpoints"/>
        <w:numPr>
          <w:ilvl w:val="0"/>
          <w:numId w:val="432"/>
        </w:numPr>
        <w:rPr>
          <w:lang w:val="sl-SI"/>
        </w:rPr>
      </w:pPr>
      <w:r w:rsidRPr="001048FE">
        <w:rPr>
          <w:lang w:val="sl-SI"/>
        </w:rPr>
        <w:t>kako bodo šole vključile kompetence in izkušnje, ki jih bo pridobilo njihovo osebje, v svoj učni načrt in/ali šolski razvojni načrt;</w:t>
      </w:r>
    </w:p>
    <w:p w14:paraId="7D39A8A3" w14:textId="77777777" w:rsidR="00E03711" w:rsidRPr="001048FE" w:rsidRDefault="00E03711" w:rsidP="005115F2">
      <w:pPr>
        <w:pStyle w:val="Guide-NormalBulletpoints"/>
        <w:numPr>
          <w:ilvl w:val="0"/>
          <w:numId w:val="432"/>
        </w:numPr>
        <w:rPr>
          <w:lang w:val="sl-SI"/>
        </w:rPr>
      </w:pPr>
      <w:r w:rsidRPr="001048FE">
        <w:rPr>
          <w:lang w:val="sl-SI"/>
        </w:rPr>
        <w:t>kadar</w:t>
      </w:r>
      <w:r w:rsidRPr="001048FE">
        <w:rPr>
          <w:spacing w:val="-9"/>
          <w:lang w:val="sl-SI"/>
        </w:rPr>
        <w:t xml:space="preserve"> </w:t>
      </w:r>
      <w:r w:rsidRPr="001048FE">
        <w:rPr>
          <w:lang w:val="sl-SI"/>
        </w:rPr>
        <w:t>je</w:t>
      </w:r>
      <w:r w:rsidRPr="001048FE">
        <w:rPr>
          <w:spacing w:val="-9"/>
          <w:lang w:val="sl-SI"/>
        </w:rPr>
        <w:t xml:space="preserve"> </w:t>
      </w:r>
      <w:r w:rsidRPr="001048FE">
        <w:rPr>
          <w:lang w:val="sl-SI"/>
        </w:rPr>
        <w:t>to</w:t>
      </w:r>
      <w:r w:rsidRPr="001048FE">
        <w:rPr>
          <w:spacing w:val="-9"/>
          <w:lang w:val="sl-SI"/>
        </w:rPr>
        <w:t xml:space="preserve"> </w:t>
      </w:r>
      <w:r w:rsidRPr="001048FE">
        <w:rPr>
          <w:lang w:val="sl-SI"/>
        </w:rPr>
        <w:t>ustrezno,</w:t>
      </w:r>
      <w:r w:rsidRPr="001048FE">
        <w:rPr>
          <w:spacing w:val="-9"/>
          <w:lang w:val="sl-SI"/>
        </w:rPr>
        <w:t xml:space="preserve"> </w:t>
      </w:r>
      <w:r w:rsidRPr="001048FE">
        <w:rPr>
          <w:lang w:val="sl-SI"/>
        </w:rPr>
        <w:t>kako</w:t>
      </w:r>
      <w:r w:rsidRPr="001048FE">
        <w:rPr>
          <w:spacing w:val="-9"/>
          <w:lang w:val="sl-SI"/>
        </w:rPr>
        <w:t xml:space="preserve"> </w:t>
      </w:r>
      <w:r w:rsidRPr="001048FE">
        <w:rPr>
          <w:lang w:val="sl-SI"/>
        </w:rPr>
        <w:t>se</w:t>
      </w:r>
      <w:r w:rsidRPr="001048FE">
        <w:rPr>
          <w:spacing w:val="-9"/>
          <w:lang w:val="sl-SI"/>
        </w:rPr>
        <w:t xml:space="preserve"> </w:t>
      </w:r>
      <w:r w:rsidRPr="001048FE">
        <w:rPr>
          <w:lang w:val="sl-SI"/>
        </w:rPr>
        <w:t>bo</w:t>
      </w:r>
      <w:r w:rsidRPr="001048FE">
        <w:rPr>
          <w:spacing w:val="-9"/>
          <w:lang w:val="sl-SI"/>
        </w:rPr>
        <w:t xml:space="preserve"> </w:t>
      </w:r>
      <w:r w:rsidRPr="001048FE">
        <w:rPr>
          <w:lang w:val="sl-SI"/>
        </w:rPr>
        <w:t>uporabila</w:t>
      </w:r>
      <w:r w:rsidRPr="001048FE">
        <w:rPr>
          <w:spacing w:val="-9"/>
          <w:lang w:val="sl-SI"/>
        </w:rPr>
        <w:t xml:space="preserve"> </w:t>
      </w:r>
      <w:r w:rsidRPr="001048FE">
        <w:rPr>
          <w:lang w:val="sl-SI"/>
        </w:rPr>
        <w:t>platforma</w:t>
      </w:r>
      <w:r w:rsidRPr="001048FE">
        <w:rPr>
          <w:spacing w:val="-9"/>
          <w:lang w:val="sl-SI"/>
        </w:rPr>
        <w:t xml:space="preserve"> </w:t>
      </w:r>
      <w:r w:rsidRPr="001048FE">
        <w:rPr>
          <w:lang w:val="sl-SI"/>
        </w:rPr>
        <w:t>eTwinning</w:t>
      </w:r>
      <w:r w:rsidRPr="001048FE">
        <w:rPr>
          <w:spacing w:val="-9"/>
          <w:lang w:val="sl-SI"/>
        </w:rPr>
        <w:t xml:space="preserve"> </w:t>
      </w:r>
      <w:r w:rsidRPr="001048FE">
        <w:rPr>
          <w:lang w:val="sl-SI"/>
        </w:rPr>
        <w:t>v</w:t>
      </w:r>
      <w:r w:rsidRPr="001048FE">
        <w:rPr>
          <w:spacing w:val="-9"/>
          <w:lang w:val="sl-SI"/>
        </w:rPr>
        <w:t xml:space="preserve"> </w:t>
      </w:r>
      <w:r w:rsidRPr="001048FE">
        <w:rPr>
          <w:lang w:val="sl-SI"/>
        </w:rPr>
        <w:t>povezavi</w:t>
      </w:r>
      <w:r w:rsidRPr="001048FE">
        <w:rPr>
          <w:spacing w:val="-9"/>
          <w:lang w:val="sl-SI"/>
        </w:rPr>
        <w:t xml:space="preserve"> </w:t>
      </w:r>
      <w:r w:rsidRPr="001048FE">
        <w:rPr>
          <w:lang w:val="sl-SI"/>
        </w:rPr>
        <w:t>z</w:t>
      </w:r>
      <w:r w:rsidRPr="001048FE">
        <w:rPr>
          <w:spacing w:val="-9"/>
          <w:lang w:val="sl-SI"/>
        </w:rPr>
        <w:t xml:space="preserve"> </w:t>
      </w:r>
      <w:r w:rsidRPr="001048FE">
        <w:rPr>
          <w:lang w:val="sl-SI"/>
        </w:rPr>
        <w:t>načrtovanimi aktivnostmi mobilnosti (glej poglavje v</w:t>
      </w:r>
      <w:r w:rsidRPr="001048FE">
        <w:rPr>
          <w:spacing w:val="-13"/>
          <w:lang w:val="sl-SI"/>
        </w:rPr>
        <w:t xml:space="preserve"> </w:t>
      </w:r>
      <w:r w:rsidRPr="001048FE">
        <w:rPr>
          <w:lang w:val="sl-SI"/>
        </w:rPr>
        <w:t>nadaljevanju).</w:t>
      </w:r>
    </w:p>
    <w:p w14:paraId="7D39A8A4" w14:textId="77777777" w:rsidR="00E03711" w:rsidRPr="001048FE" w:rsidRDefault="00E03711" w:rsidP="00AA6A8A">
      <w:pPr>
        <w:pStyle w:val="Guide-Heading4"/>
        <w:rPr>
          <w:lang w:val="sl-SI"/>
        </w:rPr>
      </w:pPr>
      <w:bookmarkStart w:id="616" w:name="_Toc527401300"/>
      <w:r w:rsidRPr="001048FE">
        <w:rPr>
          <w:lang w:val="sl-SI"/>
        </w:rPr>
        <w:t>B: eTwinning</w:t>
      </w:r>
      <w:bookmarkEnd w:id="616"/>
    </w:p>
    <w:p w14:paraId="7D39A8A5" w14:textId="77777777" w:rsidR="00E03711" w:rsidRPr="001048FE" w:rsidRDefault="00E03711" w:rsidP="00AA6A8A">
      <w:pPr>
        <w:pStyle w:val="GUIDE-NORMAL"/>
        <w:rPr>
          <w:lang w:val="sl-SI"/>
        </w:rPr>
      </w:pPr>
      <w:r w:rsidRPr="001048FE">
        <w:rPr>
          <w:lang w:val="sl-SI"/>
        </w:rPr>
        <w:t>eTwinning spodbuja sodelovanje šol v Evropi in mreženje med njimi z uporabo informacijskih in komunikacijskih tehnologij (IKT). Zagotavlja nasvete, zamisli in orodja, na podlagi katerih lahko šole lažje oblikujejo partnerstva in začnejo projekte sodelovanja na katerem koli tematskem področju.</w:t>
      </w:r>
    </w:p>
    <w:p w14:paraId="7D39A8A6" w14:textId="77777777" w:rsidR="00E03711" w:rsidRPr="001048FE" w:rsidRDefault="00E03711" w:rsidP="00AA6A8A">
      <w:pPr>
        <w:pStyle w:val="GUIDE-NORMAL"/>
        <w:rPr>
          <w:lang w:val="sl-SI"/>
        </w:rPr>
      </w:pPr>
      <w:r w:rsidRPr="001048FE">
        <w:rPr>
          <w:lang w:val="sl-SI"/>
        </w:rPr>
        <w:t>V povezavi s projektom mobilnosti eTwinning omogoča:</w:t>
      </w:r>
    </w:p>
    <w:p w14:paraId="7D39A8A7" w14:textId="77777777" w:rsidR="00E03711" w:rsidRPr="001048FE" w:rsidRDefault="00E03711" w:rsidP="005115F2">
      <w:pPr>
        <w:pStyle w:val="Guide-NormalBulletpoints"/>
        <w:numPr>
          <w:ilvl w:val="0"/>
          <w:numId w:val="433"/>
        </w:numPr>
        <w:rPr>
          <w:lang w:val="sl-SI"/>
        </w:rPr>
      </w:pPr>
      <w:r w:rsidRPr="001048FE">
        <w:rPr>
          <w:lang w:val="sl-SI"/>
        </w:rPr>
        <w:t>iskanje morebitnih partnerjev/organizacij gostiteljic v tujini in sodelovanje z njimi pred prijavo za nepovratna sredstva, da se izboljšata kakovost in učinek načrtovanih projektov;</w:t>
      </w:r>
    </w:p>
    <w:p w14:paraId="7D39A8A8" w14:textId="77777777" w:rsidR="00E03711" w:rsidRPr="001048FE" w:rsidRDefault="00E03711" w:rsidP="005115F2">
      <w:pPr>
        <w:pStyle w:val="Guide-NormalBulletpoints"/>
        <w:numPr>
          <w:ilvl w:val="0"/>
          <w:numId w:val="433"/>
        </w:numPr>
        <w:rPr>
          <w:lang w:val="sl-SI"/>
        </w:rPr>
      </w:pPr>
      <w:r w:rsidRPr="001048FE">
        <w:rPr>
          <w:lang w:val="sl-SI"/>
        </w:rPr>
        <w:t>uporabo orodij za projekt, ki so na voljo, da je izvedba projektov bolj strateška in da se bolje izkoristi prispevek partnerjev;</w:t>
      </w:r>
    </w:p>
    <w:p w14:paraId="7D39A8A9" w14:textId="77777777" w:rsidR="00E03711" w:rsidRPr="001048FE" w:rsidRDefault="00E03711" w:rsidP="005115F2">
      <w:pPr>
        <w:pStyle w:val="Guide-NormalBulletpoints"/>
        <w:numPr>
          <w:ilvl w:val="0"/>
          <w:numId w:val="433"/>
        </w:numPr>
        <w:rPr>
          <w:lang w:val="sl-SI"/>
        </w:rPr>
      </w:pPr>
      <w:r w:rsidRPr="001048FE">
        <w:rPr>
          <w:lang w:val="sl-SI"/>
        </w:rPr>
        <w:t>pripravo</w:t>
      </w:r>
      <w:r w:rsidRPr="001048FE">
        <w:rPr>
          <w:spacing w:val="-12"/>
          <w:lang w:val="sl-SI"/>
        </w:rPr>
        <w:t xml:space="preserve"> </w:t>
      </w:r>
      <w:r w:rsidRPr="001048FE">
        <w:rPr>
          <w:lang w:val="sl-SI"/>
        </w:rPr>
        <w:t>odhajajočega</w:t>
      </w:r>
      <w:r w:rsidRPr="001048FE">
        <w:rPr>
          <w:spacing w:val="-11"/>
          <w:lang w:val="sl-SI"/>
        </w:rPr>
        <w:t xml:space="preserve"> </w:t>
      </w:r>
      <w:r w:rsidRPr="001048FE">
        <w:rPr>
          <w:lang w:val="sl-SI"/>
        </w:rPr>
        <w:t>osebja,</w:t>
      </w:r>
      <w:r w:rsidRPr="001048FE">
        <w:rPr>
          <w:spacing w:val="-11"/>
          <w:lang w:val="sl-SI"/>
        </w:rPr>
        <w:t xml:space="preserve"> </w:t>
      </w:r>
      <w:r w:rsidRPr="001048FE">
        <w:rPr>
          <w:lang w:val="sl-SI"/>
        </w:rPr>
        <w:t>na</w:t>
      </w:r>
      <w:r w:rsidRPr="001048FE">
        <w:rPr>
          <w:spacing w:val="-12"/>
          <w:lang w:val="sl-SI"/>
        </w:rPr>
        <w:t xml:space="preserve"> </w:t>
      </w:r>
      <w:r w:rsidRPr="001048FE">
        <w:rPr>
          <w:lang w:val="sl-SI"/>
        </w:rPr>
        <w:t>primer</w:t>
      </w:r>
      <w:r w:rsidRPr="001048FE">
        <w:rPr>
          <w:spacing w:val="-12"/>
          <w:lang w:val="sl-SI"/>
        </w:rPr>
        <w:t xml:space="preserve"> </w:t>
      </w:r>
      <w:r w:rsidRPr="001048FE">
        <w:rPr>
          <w:lang w:val="sl-SI"/>
        </w:rPr>
        <w:t>z</w:t>
      </w:r>
      <w:r w:rsidRPr="001048FE">
        <w:rPr>
          <w:spacing w:val="-12"/>
          <w:lang w:val="sl-SI"/>
        </w:rPr>
        <w:t xml:space="preserve"> </w:t>
      </w:r>
      <w:r w:rsidRPr="001048FE">
        <w:rPr>
          <w:lang w:val="sl-SI"/>
        </w:rPr>
        <w:t>izmenjavo</w:t>
      </w:r>
      <w:r w:rsidRPr="001048FE">
        <w:rPr>
          <w:spacing w:val="-12"/>
          <w:lang w:val="sl-SI"/>
        </w:rPr>
        <w:t xml:space="preserve"> </w:t>
      </w:r>
      <w:r w:rsidRPr="001048FE">
        <w:rPr>
          <w:lang w:val="sl-SI"/>
        </w:rPr>
        <w:t>sporočil</w:t>
      </w:r>
      <w:r w:rsidRPr="001048FE">
        <w:rPr>
          <w:spacing w:val="-12"/>
          <w:lang w:val="sl-SI"/>
        </w:rPr>
        <w:t xml:space="preserve"> </w:t>
      </w:r>
      <w:r w:rsidRPr="001048FE">
        <w:rPr>
          <w:lang w:val="sl-SI"/>
        </w:rPr>
        <w:t>z</w:t>
      </w:r>
      <w:r w:rsidRPr="001048FE">
        <w:rPr>
          <w:spacing w:val="-12"/>
          <w:lang w:val="sl-SI"/>
        </w:rPr>
        <w:t xml:space="preserve"> </w:t>
      </w:r>
      <w:r w:rsidRPr="001048FE">
        <w:rPr>
          <w:lang w:val="sl-SI"/>
        </w:rPr>
        <w:t>organizacijo</w:t>
      </w:r>
      <w:r w:rsidRPr="001048FE">
        <w:rPr>
          <w:spacing w:val="-11"/>
          <w:lang w:val="sl-SI"/>
        </w:rPr>
        <w:t xml:space="preserve"> </w:t>
      </w:r>
      <w:r w:rsidRPr="001048FE">
        <w:rPr>
          <w:lang w:val="sl-SI"/>
        </w:rPr>
        <w:t>gostiteljico</w:t>
      </w:r>
      <w:r w:rsidRPr="001048FE">
        <w:rPr>
          <w:spacing w:val="-12"/>
          <w:lang w:val="sl-SI"/>
        </w:rPr>
        <w:t xml:space="preserve"> </w:t>
      </w:r>
      <w:r w:rsidRPr="001048FE">
        <w:rPr>
          <w:lang w:val="sl-SI"/>
        </w:rPr>
        <w:t>(boljše poznavanje države gostiteljice in organizacije gostiteljice, razpravljanje in dogovarjanje o aktivnostih, ki se bodo izvedle), udeležbo v spletnih izobraževanjih, ki so povezana z njihovo aktivnostjo;</w:t>
      </w:r>
    </w:p>
    <w:p w14:paraId="7D39A8AA" w14:textId="77777777" w:rsidR="00E03711" w:rsidRPr="001048FE" w:rsidRDefault="00E03711" w:rsidP="005115F2">
      <w:pPr>
        <w:pStyle w:val="Guide-NormalBulletpoints"/>
        <w:numPr>
          <w:ilvl w:val="0"/>
          <w:numId w:val="433"/>
        </w:numPr>
        <w:rPr>
          <w:lang w:val="sl-SI"/>
        </w:rPr>
      </w:pPr>
      <w:r w:rsidRPr="001048FE">
        <w:rPr>
          <w:lang w:val="sl-SI"/>
        </w:rPr>
        <w:t>intenzivno sodelovanje med šolami, ki so vključene v projekt mobilnosti za osebje, med projektom in po njem.</w:t>
      </w:r>
    </w:p>
    <w:p w14:paraId="7D39A8AB" w14:textId="77777777" w:rsidR="00E03711" w:rsidRPr="001048FE" w:rsidRDefault="00E03711" w:rsidP="00AA6A8A">
      <w:pPr>
        <w:pStyle w:val="GUIDE-NORMAL"/>
        <w:rPr>
          <w:lang w:val="sl-SI"/>
        </w:rPr>
      </w:pPr>
      <w:r w:rsidRPr="001048FE">
        <w:rPr>
          <w:lang w:val="sl-SI"/>
        </w:rPr>
        <w:t xml:space="preserve">Za uporabo platforme eTwinning ni zahtevana nobena uradna prijava, šole se morajo zgolj registrirati na portalu eTwinning: </w:t>
      </w:r>
      <w:hyperlink r:id="rId170">
        <w:r w:rsidRPr="001048FE">
          <w:rPr>
            <w:rStyle w:val="Hyperlink"/>
            <w:lang w:val="sl-SI"/>
          </w:rPr>
          <w:t>http://www.etwinning.net/sl/pub/index.htm</w:t>
        </w:r>
      </w:hyperlink>
      <w:r w:rsidRPr="001048FE">
        <w:rPr>
          <w:lang w:val="sl-SI"/>
        </w:rPr>
        <w:t>. Evropski portal eTwinning je spletna stran v vseh jezikih EU, ki zagotavlja orodja in storitve za sodelovanje, prek katerih se učitelji registrirajo, poiščejo partnerje in z njimi sodelujejo. Je tudi osrednje stičišče, kjer si lahko zainteresirani učitelji izmenjujejo vire, razpravljajo in iščejo partnerske šole.</w:t>
      </w:r>
    </w:p>
    <w:p w14:paraId="7D39A8AC" w14:textId="77777777" w:rsidR="00E03711" w:rsidRPr="001048FE" w:rsidRDefault="00E03711" w:rsidP="00AA6A8A">
      <w:pPr>
        <w:pStyle w:val="GUIDE-NORMAL"/>
        <w:rPr>
          <w:lang w:val="sl-SI"/>
        </w:rPr>
      </w:pPr>
      <w:r w:rsidRPr="001048FE">
        <w:rPr>
          <w:lang w:val="sl-SI"/>
        </w:rPr>
        <w:t>eTwinning zagotavlja pomoč za šole s centralno svetovalno službo na evropski ravni in z nacionalnimi svetovalnimi službami na nacionalni ravni. Vsi učitelji lahko izkoristijo storitve, usposabljanja, priznavanje in orodja, ki jih zagotavljajo nacionalne in evropske svetovalne službe eTwinning. Za več informacij o teh storitvah glej poglavje „Kateri drugi organi so vključeni v izvajanje Programa?“ v delu A tega</w:t>
      </w:r>
      <w:r w:rsidRPr="001048FE">
        <w:rPr>
          <w:spacing w:val="11"/>
          <w:lang w:val="sl-SI"/>
        </w:rPr>
        <w:t xml:space="preserve"> </w:t>
      </w:r>
      <w:r w:rsidRPr="001048FE">
        <w:rPr>
          <w:lang w:val="sl-SI"/>
        </w:rPr>
        <w:t>vodnika.</w:t>
      </w:r>
    </w:p>
    <w:p w14:paraId="7D39A8AD" w14:textId="77777777" w:rsidR="00E03711" w:rsidRPr="001048FE" w:rsidRDefault="00E03711" w:rsidP="00AA6A8A">
      <w:pPr>
        <w:pStyle w:val="Guide-Heading4"/>
        <w:rPr>
          <w:lang w:val="sl-SI"/>
        </w:rPr>
      </w:pPr>
      <w:bookmarkStart w:id="617" w:name="_Toc527401301"/>
      <w:r w:rsidRPr="001048FE">
        <w:rPr>
          <w:lang w:val="sl-SI"/>
        </w:rPr>
        <w:t>C: Pogoji udeležbe osebja</w:t>
      </w:r>
      <w:bookmarkEnd w:id="617"/>
    </w:p>
    <w:p w14:paraId="7D39A8AE" w14:textId="77777777" w:rsidR="00E03711" w:rsidRPr="001048FE" w:rsidRDefault="00E03711" w:rsidP="00AA6A8A">
      <w:pPr>
        <w:pStyle w:val="Guide-Heading5"/>
        <w:rPr>
          <w:lang w:val="sl-SI"/>
        </w:rPr>
      </w:pPr>
      <w:r w:rsidRPr="001048FE">
        <w:rPr>
          <w:lang w:val="sl-SI"/>
        </w:rPr>
        <w:t>Izbor</w:t>
      </w:r>
    </w:p>
    <w:p w14:paraId="7D39A8AF" w14:textId="77777777" w:rsidR="00E03711" w:rsidRPr="001048FE" w:rsidRDefault="00E03711" w:rsidP="00AA6A8A">
      <w:pPr>
        <w:pStyle w:val="GUIDE-NORMAL"/>
        <w:rPr>
          <w:lang w:val="sl-SI"/>
        </w:rPr>
      </w:pPr>
      <w:r w:rsidRPr="001048FE">
        <w:rPr>
          <w:lang w:val="sl-SI"/>
        </w:rPr>
        <w:t>Šola</w:t>
      </w:r>
      <w:r w:rsidRPr="001048FE">
        <w:rPr>
          <w:spacing w:val="-13"/>
          <w:lang w:val="sl-SI"/>
        </w:rPr>
        <w:t xml:space="preserve"> </w:t>
      </w:r>
      <w:r w:rsidRPr="001048FE">
        <w:rPr>
          <w:lang w:val="sl-SI"/>
        </w:rPr>
        <w:t>pošiljateljica</w:t>
      </w:r>
      <w:r w:rsidRPr="001048FE">
        <w:rPr>
          <w:spacing w:val="-13"/>
          <w:lang w:val="sl-SI"/>
        </w:rPr>
        <w:t xml:space="preserve"> </w:t>
      </w:r>
      <w:r w:rsidRPr="001048FE">
        <w:rPr>
          <w:lang w:val="sl-SI"/>
        </w:rPr>
        <w:t>je</w:t>
      </w:r>
      <w:r w:rsidRPr="001048FE">
        <w:rPr>
          <w:spacing w:val="-13"/>
          <w:lang w:val="sl-SI"/>
        </w:rPr>
        <w:t xml:space="preserve"> </w:t>
      </w:r>
      <w:r w:rsidRPr="001048FE">
        <w:rPr>
          <w:lang w:val="sl-SI"/>
        </w:rPr>
        <w:t>odgovorna</w:t>
      </w:r>
      <w:r w:rsidRPr="001048FE">
        <w:rPr>
          <w:spacing w:val="-12"/>
          <w:lang w:val="sl-SI"/>
        </w:rPr>
        <w:t xml:space="preserve"> </w:t>
      </w:r>
      <w:r w:rsidRPr="001048FE">
        <w:rPr>
          <w:lang w:val="sl-SI"/>
        </w:rPr>
        <w:t>za</w:t>
      </w:r>
      <w:r w:rsidRPr="001048FE">
        <w:rPr>
          <w:spacing w:val="-13"/>
          <w:lang w:val="sl-SI"/>
        </w:rPr>
        <w:t xml:space="preserve"> </w:t>
      </w:r>
      <w:r w:rsidRPr="001048FE">
        <w:rPr>
          <w:lang w:val="sl-SI"/>
        </w:rPr>
        <w:t>izbor</w:t>
      </w:r>
      <w:r w:rsidRPr="001048FE">
        <w:rPr>
          <w:spacing w:val="-13"/>
          <w:lang w:val="sl-SI"/>
        </w:rPr>
        <w:t xml:space="preserve"> </w:t>
      </w:r>
      <w:r w:rsidRPr="001048FE">
        <w:rPr>
          <w:lang w:val="sl-SI"/>
        </w:rPr>
        <w:t>osebja,</w:t>
      </w:r>
      <w:r w:rsidRPr="001048FE">
        <w:rPr>
          <w:spacing w:val="-12"/>
          <w:lang w:val="sl-SI"/>
        </w:rPr>
        <w:t xml:space="preserve"> </w:t>
      </w:r>
      <w:r w:rsidRPr="001048FE">
        <w:rPr>
          <w:lang w:val="sl-SI"/>
        </w:rPr>
        <w:t>ki</w:t>
      </w:r>
      <w:r w:rsidRPr="001048FE">
        <w:rPr>
          <w:spacing w:val="-13"/>
          <w:lang w:val="sl-SI"/>
        </w:rPr>
        <w:t xml:space="preserve"> </w:t>
      </w:r>
      <w:r w:rsidRPr="001048FE">
        <w:rPr>
          <w:lang w:val="sl-SI"/>
        </w:rPr>
        <w:t>se</w:t>
      </w:r>
      <w:r w:rsidRPr="001048FE">
        <w:rPr>
          <w:spacing w:val="-13"/>
          <w:lang w:val="sl-SI"/>
        </w:rPr>
        <w:t xml:space="preserve"> </w:t>
      </w:r>
      <w:r w:rsidRPr="001048FE">
        <w:rPr>
          <w:lang w:val="sl-SI"/>
        </w:rPr>
        <w:t>bo</w:t>
      </w:r>
      <w:r w:rsidRPr="001048FE">
        <w:rPr>
          <w:spacing w:val="-13"/>
          <w:lang w:val="sl-SI"/>
        </w:rPr>
        <w:t xml:space="preserve"> </w:t>
      </w:r>
      <w:r w:rsidRPr="001048FE">
        <w:rPr>
          <w:lang w:val="sl-SI"/>
        </w:rPr>
        <w:t>udeležilo</w:t>
      </w:r>
      <w:r w:rsidRPr="001048FE">
        <w:rPr>
          <w:spacing w:val="-13"/>
          <w:lang w:val="sl-SI"/>
        </w:rPr>
        <w:t xml:space="preserve"> </w:t>
      </w:r>
      <w:r w:rsidRPr="001048FE">
        <w:rPr>
          <w:lang w:val="sl-SI"/>
        </w:rPr>
        <w:t>aktivnosti</w:t>
      </w:r>
      <w:r w:rsidRPr="001048FE">
        <w:rPr>
          <w:spacing w:val="-13"/>
          <w:lang w:val="sl-SI"/>
        </w:rPr>
        <w:t xml:space="preserve"> </w:t>
      </w:r>
      <w:r w:rsidRPr="001048FE">
        <w:rPr>
          <w:lang w:val="sl-SI"/>
        </w:rPr>
        <w:t>mobilnosti.</w:t>
      </w:r>
      <w:r w:rsidRPr="001048FE">
        <w:rPr>
          <w:spacing w:val="-13"/>
          <w:lang w:val="sl-SI"/>
        </w:rPr>
        <w:t xml:space="preserve"> </w:t>
      </w:r>
      <w:r w:rsidRPr="001048FE">
        <w:rPr>
          <w:lang w:val="sl-SI"/>
        </w:rPr>
        <w:t>Postopek izbora mora biti pravičen, pregleden, dosleden in dokumentiran, dostop do njega pa mora biti na voljo</w:t>
      </w:r>
      <w:r w:rsidRPr="001048FE">
        <w:rPr>
          <w:spacing w:val="-12"/>
          <w:lang w:val="sl-SI"/>
        </w:rPr>
        <w:t xml:space="preserve"> </w:t>
      </w:r>
      <w:r w:rsidRPr="001048FE">
        <w:rPr>
          <w:lang w:val="sl-SI"/>
        </w:rPr>
        <w:t>za</w:t>
      </w:r>
      <w:r w:rsidRPr="001048FE">
        <w:rPr>
          <w:spacing w:val="-12"/>
          <w:lang w:val="sl-SI"/>
        </w:rPr>
        <w:t xml:space="preserve"> </w:t>
      </w:r>
      <w:r w:rsidRPr="001048FE">
        <w:rPr>
          <w:lang w:val="sl-SI"/>
        </w:rPr>
        <w:t>vse</w:t>
      </w:r>
      <w:r w:rsidRPr="001048FE">
        <w:rPr>
          <w:spacing w:val="-12"/>
          <w:lang w:val="sl-SI"/>
        </w:rPr>
        <w:t xml:space="preserve"> </w:t>
      </w:r>
      <w:r w:rsidRPr="001048FE">
        <w:rPr>
          <w:lang w:val="sl-SI"/>
        </w:rPr>
        <w:t>vključene</w:t>
      </w:r>
      <w:r w:rsidRPr="001048FE">
        <w:rPr>
          <w:spacing w:val="-12"/>
          <w:lang w:val="sl-SI"/>
        </w:rPr>
        <w:t xml:space="preserve"> </w:t>
      </w:r>
      <w:r w:rsidRPr="001048FE">
        <w:rPr>
          <w:lang w:val="sl-SI"/>
        </w:rPr>
        <w:t>strani.</w:t>
      </w:r>
      <w:r w:rsidRPr="001048FE">
        <w:rPr>
          <w:spacing w:val="-12"/>
          <w:lang w:val="sl-SI"/>
        </w:rPr>
        <w:t xml:space="preserve"> </w:t>
      </w:r>
      <w:r w:rsidRPr="001048FE">
        <w:rPr>
          <w:lang w:val="sl-SI"/>
        </w:rPr>
        <w:t>Profil</w:t>
      </w:r>
      <w:r w:rsidRPr="001048FE">
        <w:rPr>
          <w:spacing w:val="-12"/>
          <w:lang w:val="sl-SI"/>
        </w:rPr>
        <w:t xml:space="preserve"> </w:t>
      </w:r>
      <w:r w:rsidRPr="001048FE">
        <w:rPr>
          <w:lang w:val="sl-SI"/>
        </w:rPr>
        <w:t>udeležencev</w:t>
      </w:r>
      <w:r w:rsidRPr="001048FE">
        <w:rPr>
          <w:spacing w:val="-12"/>
          <w:lang w:val="sl-SI"/>
        </w:rPr>
        <w:t xml:space="preserve"> </w:t>
      </w:r>
      <w:r w:rsidRPr="001048FE">
        <w:rPr>
          <w:lang w:val="sl-SI"/>
        </w:rPr>
        <w:t>mora</w:t>
      </w:r>
      <w:r w:rsidRPr="001048FE">
        <w:rPr>
          <w:spacing w:val="-12"/>
          <w:lang w:val="sl-SI"/>
        </w:rPr>
        <w:t xml:space="preserve"> </w:t>
      </w:r>
      <w:r w:rsidRPr="001048FE">
        <w:rPr>
          <w:lang w:val="sl-SI"/>
        </w:rPr>
        <w:t>izpolnjevati</w:t>
      </w:r>
      <w:r w:rsidRPr="001048FE">
        <w:rPr>
          <w:spacing w:val="-12"/>
          <w:lang w:val="sl-SI"/>
        </w:rPr>
        <w:t xml:space="preserve"> </w:t>
      </w:r>
      <w:r w:rsidRPr="001048FE">
        <w:rPr>
          <w:lang w:val="sl-SI"/>
        </w:rPr>
        <w:t>merila</w:t>
      </w:r>
      <w:r w:rsidRPr="001048FE">
        <w:rPr>
          <w:spacing w:val="-12"/>
          <w:lang w:val="sl-SI"/>
        </w:rPr>
        <w:t xml:space="preserve"> </w:t>
      </w:r>
      <w:r w:rsidRPr="001048FE">
        <w:rPr>
          <w:lang w:val="sl-SI"/>
        </w:rPr>
        <w:t>za</w:t>
      </w:r>
      <w:r w:rsidRPr="001048FE">
        <w:rPr>
          <w:spacing w:val="-12"/>
          <w:lang w:val="sl-SI"/>
        </w:rPr>
        <w:t xml:space="preserve"> </w:t>
      </w:r>
      <w:r w:rsidRPr="001048FE">
        <w:rPr>
          <w:lang w:val="sl-SI"/>
        </w:rPr>
        <w:t>upravičenost</w:t>
      </w:r>
      <w:r w:rsidRPr="001048FE">
        <w:rPr>
          <w:spacing w:val="-12"/>
          <w:lang w:val="sl-SI"/>
        </w:rPr>
        <w:t xml:space="preserve"> </w:t>
      </w:r>
      <w:r w:rsidRPr="001048FE">
        <w:rPr>
          <w:lang w:val="sl-SI"/>
        </w:rPr>
        <w:t>iz</w:t>
      </w:r>
      <w:r w:rsidRPr="001048FE">
        <w:rPr>
          <w:spacing w:val="-12"/>
          <w:lang w:val="sl-SI"/>
        </w:rPr>
        <w:t xml:space="preserve"> </w:t>
      </w:r>
      <w:r w:rsidRPr="001048FE">
        <w:rPr>
          <w:lang w:val="sl-SI"/>
        </w:rPr>
        <w:t>dela</w:t>
      </w:r>
      <w:r w:rsidRPr="001048FE">
        <w:rPr>
          <w:spacing w:val="-12"/>
          <w:lang w:val="sl-SI"/>
        </w:rPr>
        <w:t xml:space="preserve"> </w:t>
      </w:r>
      <w:r w:rsidRPr="001048FE">
        <w:rPr>
          <w:lang w:val="sl-SI"/>
        </w:rPr>
        <w:t>B tega vodnika. Šola pošiljateljica bi morala opredeliti postopek izbora, tj. kako se bo osebje lahko prijavilo, dokumentacijo, ki jo morajo predložiti prijavitelji, in kako bo ta</w:t>
      </w:r>
      <w:r w:rsidRPr="001048FE">
        <w:rPr>
          <w:spacing w:val="5"/>
          <w:lang w:val="sl-SI"/>
        </w:rPr>
        <w:t xml:space="preserve"> </w:t>
      </w:r>
      <w:r w:rsidRPr="001048FE">
        <w:rPr>
          <w:lang w:val="sl-SI"/>
        </w:rPr>
        <w:t>obravnavana.</w:t>
      </w:r>
    </w:p>
    <w:p w14:paraId="7D39A8B0" w14:textId="77777777" w:rsidR="00E03711" w:rsidRPr="001048FE" w:rsidRDefault="00E03711" w:rsidP="00AA6A8A">
      <w:pPr>
        <w:pStyle w:val="GUIDE-NORMAL"/>
        <w:rPr>
          <w:lang w:val="sl-SI"/>
        </w:rPr>
      </w:pPr>
      <w:r w:rsidRPr="001048FE">
        <w:rPr>
          <w:lang w:val="sl-SI"/>
        </w:rPr>
        <w:t>Šola bi morala opredeliti merila, ki bodo uporabljena v postopku izbora. Splošna merila so lahko: motivacija, jasni cilji za mobilnost, pripravljenost za razširjanje izkušenj ob povratku. Priporoča se, da se oblikuje odbor za izbor, ki lahko vključuje tudi zunanje ljudi, in da ni za odločitev odgovoren samo en član osebja.</w:t>
      </w:r>
    </w:p>
    <w:p w14:paraId="7D39A8B1" w14:textId="77777777" w:rsidR="00E03711" w:rsidRPr="001048FE" w:rsidRDefault="00E03711" w:rsidP="00AA6A8A">
      <w:pPr>
        <w:pStyle w:val="GUIDE-NORMAL"/>
        <w:rPr>
          <w:lang w:val="sl-SI"/>
        </w:rPr>
      </w:pPr>
      <w:r w:rsidRPr="001048FE">
        <w:rPr>
          <w:lang w:val="sl-SI"/>
        </w:rPr>
        <w:t>Poleg teh splošnih meril bodo morda potrebna posebna merila, povezana z naravo ali namenom projekta mobilnosti (tj. ustreznost aktivnosti, ki jih načrtuje posamezni član osebja, glede na potrebe šole in druga merila, ki jih opredeli šola).</w:t>
      </w:r>
    </w:p>
    <w:p w14:paraId="7D39A8B2" w14:textId="77777777" w:rsidR="00E03711" w:rsidRPr="001048FE" w:rsidRDefault="00E03711" w:rsidP="00AA6A8A">
      <w:pPr>
        <w:pStyle w:val="GUIDE-NORMAL"/>
        <w:rPr>
          <w:lang w:val="sl-SI"/>
        </w:rPr>
      </w:pPr>
      <w:r w:rsidRPr="001048FE">
        <w:rPr>
          <w:lang w:val="sl-SI"/>
        </w:rPr>
        <w:t>Vse osebe, vključene v postopek izbora, se morajo strinjati o splošnih in posebnih merilih, prijavitelji pa morajo biti jasno obveščeni o teh pravilih. Izmenjava meril za izbor ter razpravljanje o teh merilih in razlogih zanje z organizacijo gostiteljico lahko olajša pripravo aktivnosti. Ohraniti se mora zapis postopka izbire v primeru morebitnih notranjih pritožb.</w:t>
      </w:r>
    </w:p>
    <w:p w14:paraId="7D39A8B3" w14:textId="77777777" w:rsidR="00E03711" w:rsidRPr="001048FE" w:rsidRDefault="00E03711" w:rsidP="00D60A64">
      <w:pPr>
        <w:pStyle w:val="Guide-Heading5"/>
        <w:rPr>
          <w:lang w:val="sl-SI"/>
        </w:rPr>
      </w:pPr>
      <w:r w:rsidRPr="001048FE">
        <w:rPr>
          <w:lang w:val="sl-SI"/>
        </w:rPr>
        <w:t>Sporazum o mobilnosti</w:t>
      </w:r>
    </w:p>
    <w:p w14:paraId="7D39A8B4" w14:textId="77777777" w:rsidR="00E03711" w:rsidRPr="001048FE" w:rsidRDefault="00E03711" w:rsidP="00AA6A8A">
      <w:pPr>
        <w:pStyle w:val="GUIDE-NORMAL"/>
        <w:rPr>
          <w:lang w:val="sl-SI"/>
        </w:rPr>
      </w:pPr>
      <w:r w:rsidRPr="001048FE">
        <w:rPr>
          <w:lang w:val="sl-SI"/>
        </w:rPr>
        <w:t>Ko</w:t>
      </w:r>
      <w:r w:rsidRPr="001048FE">
        <w:rPr>
          <w:spacing w:val="-10"/>
          <w:lang w:val="sl-SI"/>
        </w:rPr>
        <w:t xml:space="preserve"> </w:t>
      </w:r>
      <w:r w:rsidRPr="001048FE">
        <w:rPr>
          <w:lang w:val="sl-SI"/>
        </w:rPr>
        <w:t>je</w:t>
      </w:r>
      <w:r w:rsidRPr="001048FE">
        <w:rPr>
          <w:spacing w:val="-10"/>
          <w:lang w:val="sl-SI"/>
        </w:rPr>
        <w:t xml:space="preserve"> </w:t>
      </w:r>
      <w:r w:rsidRPr="001048FE">
        <w:rPr>
          <w:lang w:val="sl-SI"/>
        </w:rPr>
        <w:t>udeleženec</w:t>
      </w:r>
      <w:r w:rsidRPr="001048FE">
        <w:rPr>
          <w:spacing w:val="-10"/>
          <w:lang w:val="sl-SI"/>
        </w:rPr>
        <w:t xml:space="preserve"> </w:t>
      </w:r>
      <w:r w:rsidRPr="001048FE">
        <w:rPr>
          <w:lang w:val="sl-SI"/>
        </w:rPr>
        <w:t>izbran,</w:t>
      </w:r>
      <w:r w:rsidRPr="001048FE">
        <w:rPr>
          <w:spacing w:val="-10"/>
          <w:lang w:val="sl-SI"/>
        </w:rPr>
        <w:t xml:space="preserve"> </w:t>
      </w:r>
      <w:r w:rsidRPr="001048FE">
        <w:rPr>
          <w:lang w:val="sl-SI"/>
        </w:rPr>
        <w:t>se</w:t>
      </w:r>
      <w:r w:rsidRPr="001048FE">
        <w:rPr>
          <w:spacing w:val="-10"/>
          <w:lang w:val="sl-SI"/>
        </w:rPr>
        <w:t xml:space="preserve"> </w:t>
      </w:r>
      <w:r w:rsidRPr="001048FE">
        <w:rPr>
          <w:lang w:val="sl-SI"/>
        </w:rPr>
        <w:t>mora</w:t>
      </w:r>
      <w:r w:rsidRPr="001048FE">
        <w:rPr>
          <w:spacing w:val="-10"/>
          <w:lang w:val="sl-SI"/>
        </w:rPr>
        <w:t xml:space="preserve"> </w:t>
      </w:r>
      <w:r w:rsidRPr="001048FE">
        <w:rPr>
          <w:lang w:val="sl-SI"/>
        </w:rPr>
        <w:t>s</w:t>
      </w:r>
      <w:r w:rsidRPr="001048FE">
        <w:rPr>
          <w:spacing w:val="-10"/>
          <w:lang w:val="sl-SI"/>
        </w:rPr>
        <w:t xml:space="preserve"> </w:t>
      </w:r>
      <w:r w:rsidRPr="001048FE">
        <w:rPr>
          <w:lang w:val="sl-SI"/>
        </w:rPr>
        <w:t>pomočjo</w:t>
      </w:r>
      <w:r w:rsidRPr="001048FE">
        <w:rPr>
          <w:spacing w:val="-10"/>
          <w:lang w:val="sl-SI"/>
        </w:rPr>
        <w:t xml:space="preserve"> </w:t>
      </w:r>
      <w:r w:rsidRPr="001048FE">
        <w:rPr>
          <w:lang w:val="sl-SI"/>
        </w:rPr>
        <w:t>šole</w:t>
      </w:r>
      <w:r w:rsidRPr="001048FE">
        <w:rPr>
          <w:spacing w:val="-10"/>
          <w:lang w:val="sl-SI"/>
        </w:rPr>
        <w:t xml:space="preserve"> </w:t>
      </w:r>
      <w:r w:rsidRPr="001048FE">
        <w:rPr>
          <w:lang w:val="sl-SI"/>
        </w:rPr>
        <w:t>pošiljateljice</w:t>
      </w:r>
      <w:r w:rsidRPr="001048FE">
        <w:rPr>
          <w:spacing w:val="-10"/>
          <w:lang w:val="sl-SI"/>
        </w:rPr>
        <w:t xml:space="preserve"> </w:t>
      </w:r>
      <w:r w:rsidRPr="001048FE">
        <w:rPr>
          <w:lang w:val="sl-SI"/>
        </w:rPr>
        <w:t>(in</w:t>
      </w:r>
      <w:r w:rsidRPr="001048FE">
        <w:rPr>
          <w:spacing w:val="-10"/>
          <w:lang w:val="sl-SI"/>
        </w:rPr>
        <w:t xml:space="preserve"> </w:t>
      </w:r>
      <w:r w:rsidRPr="001048FE">
        <w:rPr>
          <w:lang w:val="sl-SI"/>
        </w:rPr>
        <w:t>partnerske</w:t>
      </w:r>
      <w:r w:rsidRPr="001048FE">
        <w:rPr>
          <w:spacing w:val="-10"/>
          <w:lang w:val="sl-SI"/>
        </w:rPr>
        <w:t xml:space="preserve"> </w:t>
      </w:r>
      <w:r w:rsidRPr="001048FE">
        <w:rPr>
          <w:lang w:val="sl-SI"/>
        </w:rPr>
        <w:t>organizacije</w:t>
      </w:r>
      <w:r w:rsidRPr="001048FE">
        <w:rPr>
          <w:spacing w:val="-9"/>
          <w:lang w:val="sl-SI"/>
        </w:rPr>
        <w:t xml:space="preserve"> </w:t>
      </w:r>
      <w:r w:rsidRPr="001048FE">
        <w:rPr>
          <w:lang w:val="sl-SI"/>
        </w:rPr>
        <w:t>v</w:t>
      </w:r>
      <w:r w:rsidRPr="001048FE">
        <w:rPr>
          <w:spacing w:val="-10"/>
          <w:lang w:val="sl-SI"/>
        </w:rPr>
        <w:t xml:space="preserve"> </w:t>
      </w:r>
      <w:r w:rsidRPr="001048FE">
        <w:rPr>
          <w:lang w:val="sl-SI"/>
        </w:rPr>
        <w:t>primeru mobilnosti poučevanja ali izobraževalnega obiska na delovnem mestu) uradno dogovoriti o vrsti in vsebini</w:t>
      </w:r>
      <w:r w:rsidRPr="001048FE">
        <w:rPr>
          <w:spacing w:val="-11"/>
          <w:lang w:val="sl-SI"/>
        </w:rPr>
        <w:t xml:space="preserve"> </w:t>
      </w:r>
      <w:r w:rsidRPr="001048FE">
        <w:rPr>
          <w:lang w:val="sl-SI"/>
        </w:rPr>
        <w:t>usposabljanja,</w:t>
      </w:r>
      <w:r w:rsidRPr="001048FE">
        <w:rPr>
          <w:spacing w:val="-11"/>
          <w:lang w:val="sl-SI"/>
        </w:rPr>
        <w:t xml:space="preserve"> </w:t>
      </w:r>
      <w:r w:rsidRPr="001048FE">
        <w:rPr>
          <w:lang w:val="sl-SI"/>
        </w:rPr>
        <w:t>ki</w:t>
      </w:r>
      <w:r w:rsidRPr="001048FE">
        <w:rPr>
          <w:spacing w:val="-11"/>
          <w:lang w:val="sl-SI"/>
        </w:rPr>
        <w:t xml:space="preserve"> </w:t>
      </w:r>
      <w:r w:rsidRPr="001048FE">
        <w:rPr>
          <w:lang w:val="sl-SI"/>
        </w:rPr>
        <w:t>ga</w:t>
      </w:r>
      <w:r w:rsidRPr="001048FE">
        <w:rPr>
          <w:spacing w:val="-11"/>
          <w:lang w:val="sl-SI"/>
        </w:rPr>
        <w:t xml:space="preserve"> </w:t>
      </w:r>
      <w:r w:rsidRPr="001048FE">
        <w:rPr>
          <w:lang w:val="sl-SI"/>
        </w:rPr>
        <w:t>bo</w:t>
      </w:r>
      <w:r w:rsidRPr="001048FE">
        <w:rPr>
          <w:spacing w:val="-11"/>
          <w:lang w:val="sl-SI"/>
        </w:rPr>
        <w:t xml:space="preserve"> </w:t>
      </w:r>
      <w:r w:rsidRPr="001048FE">
        <w:rPr>
          <w:lang w:val="sl-SI"/>
        </w:rPr>
        <w:t>opravil,</w:t>
      </w:r>
      <w:r w:rsidRPr="001048FE">
        <w:rPr>
          <w:spacing w:val="-10"/>
          <w:lang w:val="sl-SI"/>
        </w:rPr>
        <w:t xml:space="preserve"> </w:t>
      </w:r>
      <w:r w:rsidRPr="001048FE">
        <w:rPr>
          <w:lang w:val="sl-SI"/>
        </w:rPr>
        <w:t>pojasniti,</w:t>
      </w:r>
      <w:r w:rsidRPr="001048FE">
        <w:rPr>
          <w:spacing w:val="-11"/>
          <w:lang w:val="sl-SI"/>
        </w:rPr>
        <w:t xml:space="preserve"> </w:t>
      </w:r>
      <w:r w:rsidRPr="001048FE">
        <w:rPr>
          <w:lang w:val="sl-SI"/>
        </w:rPr>
        <w:t>kako</w:t>
      </w:r>
      <w:r w:rsidRPr="001048FE">
        <w:rPr>
          <w:spacing w:val="-11"/>
          <w:lang w:val="sl-SI"/>
        </w:rPr>
        <w:t xml:space="preserve"> </w:t>
      </w:r>
      <w:r w:rsidRPr="001048FE">
        <w:rPr>
          <w:lang w:val="sl-SI"/>
        </w:rPr>
        <w:t>se</w:t>
      </w:r>
      <w:r w:rsidRPr="001048FE">
        <w:rPr>
          <w:spacing w:val="-11"/>
          <w:lang w:val="sl-SI"/>
        </w:rPr>
        <w:t xml:space="preserve"> </w:t>
      </w:r>
      <w:r w:rsidRPr="001048FE">
        <w:rPr>
          <w:lang w:val="sl-SI"/>
        </w:rPr>
        <w:t>bo</w:t>
      </w:r>
      <w:r w:rsidRPr="001048FE">
        <w:rPr>
          <w:spacing w:val="-11"/>
          <w:lang w:val="sl-SI"/>
        </w:rPr>
        <w:t xml:space="preserve"> </w:t>
      </w:r>
      <w:r w:rsidRPr="001048FE">
        <w:rPr>
          <w:lang w:val="sl-SI"/>
        </w:rPr>
        <w:t>pripravil</w:t>
      </w:r>
      <w:r w:rsidRPr="001048FE">
        <w:rPr>
          <w:spacing w:val="-11"/>
          <w:lang w:val="sl-SI"/>
        </w:rPr>
        <w:t xml:space="preserve"> </w:t>
      </w:r>
      <w:r w:rsidRPr="001048FE">
        <w:rPr>
          <w:lang w:val="sl-SI"/>
        </w:rPr>
        <w:t>za</w:t>
      </w:r>
      <w:r w:rsidRPr="001048FE">
        <w:rPr>
          <w:spacing w:val="-11"/>
          <w:lang w:val="sl-SI"/>
        </w:rPr>
        <w:t xml:space="preserve"> </w:t>
      </w:r>
      <w:r w:rsidRPr="001048FE">
        <w:rPr>
          <w:lang w:val="sl-SI"/>
        </w:rPr>
        <w:t>to</w:t>
      </w:r>
      <w:r w:rsidRPr="001048FE">
        <w:rPr>
          <w:spacing w:val="-11"/>
          <w:lang w:val="sl-SI"/>
        </w:rPr>
        <w:t xml:space="preserve"> </w:t>
      </w:r>
      <w:r w:rsidRPr="001048FE">
        <w:rPr>
          <w:lang w:val="sl-SI"/>
        </w:rPr>
        <w:t>usposabljanje,</w:t>
      </w:r>
      <w:r w:rsidRPr="001048FE">
        <w:rPr>
          <w:spacing w:val="-11"/>
          <w:lang w:val="sl-SI"/>
        </w:rPr>
        <w:t xml:space="preserve"> </w:t>
      </w:r>
      <w:r w:rsidRPr="001048FE">
        <w:rPr>
          <w:lang w:val="sl-SI"/>
        </w:rPr>
        <w:t>kako</w:t>
      </w:r>
      <w:r w:rsidRPr="001048FE">
        <w:rPr>
          <w:spacing w:val="-11"/>
          <w:lang w:val="sl-SI"/>
        </w:rPr>
        <w:t xml:space="preserve"> </w:t>
      </w:r>
      <w:r w:rsidRPr="001048FE">
        <w:rPr>
          <w:lang w:val="sl-SI"/>
        </w:rPr>
        <w:t>se</w:t>
      </w:r>
      <w:r w:rsidRPr="001048FE">
        <w:rPr>
          <w:spacing w:val="-11"/>
          <w:lang w:val="sl-SI"/>
        </w:rPr>
        <w:t xml:space="preserve"> </w:t>
      </w:r>
      <w:r w:rsidRPr="001048FE">
        <w:rPr>
          <w:lang w:val="sl-SI"/>
        </w:rPr>
        <w:t>bo pridobljeno znanje/kompetence razširjalo v šoli in drugod ter kakšne bodo koristi te udeležbe na institucionalni in individualni ravni. Dogovoriti se je treba tudi o tem, kako bo šola pošiljateljica ocenila in priznala usposabljanje. Ta dogovor mora biti sprejet pred začetkom aktivnosti mobilnosti. Glavni cilj sporazuma je, da šola pošiljateljica, organizacija gostiteljica in udeleženec pojasnijo pričakovanja in zagotovijo, da bo bivanje v tujini</w:t>
      </w:r>
      <w:r w:rsidRPr="001048FE">
        <w:rPr>
          <w:spacing w:val="-17"/>
          <w:lang w:val="sl-SI"/>
        </w:rPr>
        <w:t xml:space="preserve"> </w:t>
      </w:r>
      <w:r w:rsidRPr="001048FE">
        <w:rPr>
          <w:lang w:val="sl-SI"/>
        </w:rPr>
        <w:t>koristno.</w:t>
      </w:r>
    </w:p>
    <w:p w14:paraId="7D39A8B5" w14:textId="77777777" w:rsidR="00E03711" w:rsidRPr="001048FE" w:rsidRDefault="00E03711" w:rsidP="00AA6A8A">
      <w:pPr>
        <w:pStyle w:val="Guide-Heading5"/>
        <w:rPr>
          <w:lang w:val="sl-SI"/>
        </w:rPr>
      </w:pPr>
      <w:r w:rsidRPr="001048FE">
        <w:rPr>
          <w:lang w:val="sl-SI"/>
        </w:rPr>
        <w:t>Orodje za mobilnost (Mobility Tool+)</w:t>
      </w:r>
    </w:p>
    <w:p w14:paraId="7D39A8B6" w14:textId="77777777" w:rsidR="00E03711" w:rsidRPr="001048FE" w:rsidRDefault="00E03711" w:rsidP="00904FA1">
      <w:pPr>
        <w:pStyle w:val="GUIDE-NORMAL"/>
        <w:rPr>
          <w:lang w:val="sl-SI"/>
        </w:rPr>
      </w:pPr>
      <w:r w:rsidRPr="001048FE">
        <w:rPr>
          <w:lang w:val="sl-SI"/>
        </w:rPr>
        <w:t>Čim prej po izboru udeležencev mora organizacija upravičenka vnesti splošne informacije o udeležencu in vrsti mobilnosti, ki jo bo izvedel (npr. ime udeleženca, državo gostiteljico, trajanje mobilnosti</w:t>
      </w:r>
      <w:r w:rsidRPr="001048FE">
        <w:rPr>
          <w:spacing w:val="-7"/>
          <w:lang w:val="sl-SI"/>
        </w:rPr>
        <w:t xml:space="preserve"> </w:t>
      </w:r>
      <w:r w:rsidRPr="001048FE">
        <w:rPr>
          <w:lang w:val="sl-SI"/>
        </w:rPr>
        <w:t>itd.),</w:t>
      </w:r>
      <w:r w:rsidRPr="001048FE">
        <w:rPr>
          <w:spacing w:val="-7"/>
          <w:lang w:val="sl-SI"/>
        </w:rPr>
        <w:t xml:space="preserve"> </w:t>
      </w:r>
      <w:r w:rsidRPr="001048FE">
        <w:rPr>
          <w:lang w:val="sl-SI"/>
        </w:rPr>
        <w:t>v</w:t>
      </w:r>
      <w:r w:rsidRPr="001048FE">
        <w:rPr>
          <w:spacing w:val="-7"/>
          <w:lang w:val="sl-SI"/>
        </w:rPr>
        <w:t xml:space="preserve"> </w:t>
      </w:r>
      <w:r w:rsidRPr="001048FE">
        <w:rPr>
          <w:lang w:val="sl-SI"/>
        </w:rPr>
        <w:t>orodje</w:t>
      </w:r>
      <w:r w:rsidRPr="001048FE">
        <w:rPr>
          <w:spacing w:val="-6"/>
          <w:lang w:val="sl-SI"/>
        </w:rPr>
        <w:t xml:space="preserve"> </w:t>
      </w:r>
      <w:r w:rsidRPr="001048FE">
        <w:rPr>
          <w:lang w:val="sl-SI"/>
        </w:rPr>
        <w:t>za</w:t>
      </w:r>
      <w:r w:rsidRPr="001048FE">
        <w:rPr>
          <w:spacing w:val="-7"/>
          <w:lang w:val="sl-SI"/>
        </w:rPr>
        <w:t xml:space="preserve"> </w:t>
      </w:r>
      <w:r w:rsidRPr="001048FE">
        <w:rPr>
          <w:lang w:val="sl-SI"/>
        </w:rPr>
        <w:t>mobilnost</w:t>
      </w:r>
      <w:r w:rsidRPr="001048FE">
        <w:rPr>
          <w:spacing w:val="-7"/>
          <w:lang w:val="sl-SI"/>
        </w:rPr>
        <w:t xml:space="preserve"> </w:t>
      </w:r>
      <w:r w:rsidRPr="001048FE">
        <w:rPr>
          <w:lang w:val="sl-SI"/>
        </w:rPr>
        <w:t>(Mobility</w:t>
      </w:r>
      <w:r w:rsidRPr="001048FE">
        <w:rPr>
          <w:spacing w:val="-7"/>
          <w:lang w:val="sl-SI"/>
        </w:rPr>
        <w:t xml:space="preserve"> </w:t>
      </w:r>
      <w:r w:rsidRPr="001048FE">
        <w:rPr>
          <w:lang w:val="sl-SI"/>
        </w:rPr>
        <w:t>Tool+).</w:t>
      </w:r>
      <w:r w:rsidRPr="001048FE">
        <w:rPr>
          <w:spacing w:val="-7"/>
          <w:lang w:val="sl-SI"/>
        </w:rPr>
        <w:t xml:space="preserve"> </w:t>
      </w:r>
      <w:r w:rsidRPr="001048FE">
        <w:rPr>
          <w:lang w:val="sl-SI"/>
        </w:rPr>
        <w:t>Orodje</w:t>
      </w:r>
      <w:r w:rsidRPr="001048FE">
        <w:rPr>
          <w:spacing w:val="-7"/>
          <w:lang w:val="sl-SI"/>
        </w:rPr>
        <w:t xml:space="preserve"> </w:t>
      </w:r>
      <w:r w:rsidRPr="001048FE">
        <w:rPr>
          <w:lang w:val="sl-SI"/>
        </w:rPr>
        <w:t>za</w:t>
      </w:r>
      <w:r w:rsidRPr="001048FE">
        <w:rPr>
          <w:spacing w:val="-7"/>
          <w:lang w:val="sl-SI"/>
        </w:rPr>
        <w:t xml:space="preserve"> </w:t>
      </w:r>
      <w:r w:rsidRPr="001048FE">
        <w:rPr>
          <w:lang w:val="sl-SI"/>
        </w:rPr>
        <w:t>mobilnost</w:t>
      </w:r>
      <w:r w:rsidRPr="001048FE">
        <w:rPr>
          <w:spacing w:val="-7"/>
          <w:lang w:val="sl-SI"/>
        </w:rPr>
        <w:t xml:space="preserve"> </w:t>
      </w:r>
      <w:r w:rsidRPr="001048FE">
        <w:rPr>
          <w:lang w:val="sl-SI"/>
        </w:rPr>
        <w:t>bo</w:t>
      </w:r>
      <w:r w:rsidRPr="001048FE">
        <w:rPr>
          <w:spacing w:val="-7"/>
          <w:lang w:val="sl-SI"/>
        </w:rPr>
        <w:t xml:space="preserve"> </w:t>
      </w:r>
      <w:r w:rsidRPr="001048FE">
        <w:rPr>
          <w:lang w:val="sl-SI"/>
        </w:rPr>
        <w:t>zagotavljalo</w:t>
      </w:r>
      <w:r w:rsidRPr="001048FE">
        <w:rPr>
          <w:spacing w:val="-7"/>
          <w:lang w:val="sl-SI"/>
        </w:rPr>
        <w:t xml:space="preserve"> </w:t>
      </w:r>
      <w:r w:rsidRPr="001048FE">
        <w:rPr>
          <w:lang w:val="sl-SI"/>
        </w:rPr>
        <w:t>podporo pri izvajanju aktivnosti mobilnosti za upravičence programa Erasmus+. Organizacija upravičenka je odgovorna</w:t>
      </w:r>
      <w:r w:rsidRPr="001048FE">
        <w:rPr>
          <w:spacing w:val="-12"/>
          <w:lang w:val="sl-SI"/>
        </w:rPr>
        <w:t xml:space="preserve"> </w:t>
      </w:r>
      <w:r w:rsidRPr="001048FE">
        <w:rPr>
          <w:lang w:val="sl-SI"/>
        </w:rPr>
        <w:t>tudi</w:t>
      </w:r>
      <w:r w:rsidRPr="001048FE">
        <w:rPr>
          <w:spacing w:val="-13"/>
          <w:lang w:val="sl-SI"/>
        </w:rPr>
        <w:t xml:space="preserve"> </w:t>
      </w:r>
      <w:r w:rsidRPr="001048FE">
        <w:rPr>
          <w:lang w:val="sl-SI"/>
        </w:rPr>
        <w:t>za</w:t>
      </w:r>
      <w:r w:rsidRPr="001048FE">
        <w:rPr>
          <w:spacing w:val="-13"/>
          <w:lang w:val="sl-SI"/>
        </w:rPr>
        <w:t xml:space="preserve"> </w:t>
      </w:r>
      <w:r w:rsidRPr="001048FE">
        <w:rPr>
          <w:lang w:val="sl-SI"/>
        </w:rPr>
        <w:t>posodabljanje</w:t>
      </w:r>
      <w:r w:rsidRPr="001048FE">
        <w:rPr>
          <w:spacing w:val="-13"/>
          <w:lang w:val="sl-SI"/>
        </w:rPr>
        <w:t xml:space="preserve"> </w:t>
      </w:r>
      <w:r w:rsidRPr="001048FE">
        <w:rPr>
          <w:lang w:val="sl-SI"/>
        </w:rPr>
        <w:t>podatkov</w:t>
      </w:r>
      <w:r w:rsidRPr="001048FE">
        <w:rPr>
          <w:spacing w:val="-13"/>
          <w:lang w:val="sl-SI"/>
        </w:rPr>
        <w:t xml:space="preserve"> </w:t>
      </w:r>
      <w:r w:rsidRPr="001048FE">
        <w:rPr>
          <w:lang w:val="sl-SI"/>
        </w:rPr>
        <w:t>v</w:t>
      </w:r>
      <w:r w:rsidRPr="001048FE">
        <w:rPr>
          <w:spacing w:val="-13"/>
          <w:lang w:val="sl-SI"/>
        </w:rPr>
        <w:t xml:space="preserve"> </w:t>
      </w:r>
      <w:r w:rsidRPr="001048FE">
        <w:rPr>
          <w:lang w:val="sl-SI"/>
        </w:rPr>
        <w:t>orodju</w:t>
      </w:r>
      <w:r w:rsidRPr="001048FE">
        <w:rPr>
          <w:spacing w:val="-12"/>
          <w:lang w:val="sl-SI"/>
        </w:rPr>
        <w:t xml:space="preserve"> </w:t>
      </w:r>
      <w:r w:rsidRPr="001048FE">
        <w:rPr>
          <w:lang w:val="sl-SI"/>
        </w:rPr>
        <w:t>za</w:t>
      </w:r>
      <w:r w:rsidRPr="001048FE">
        <w:rPr>
          <w:spacing w:val="-13"/>
          <w:lang w:val="sl-SI"/>
        </w:rPr>
        <w:t xml:space="preserve"> </w:t>
      </w:r>
      <w:r w:rsidRPr="001048FE">
        <w:rPr>
          <w:lang w:val="sl-SI"/>
        </w:rPr>
        <w:t>mobilnost</w:t>
      </w:r>
      <w:r w:rsidRPr="001048FE">
        <w:rPr>
          <w:spacing w:val="-13"/>
          <w:lang w:val="sl-SI"/>
        </w:rPr>
        <w:t xml:space="preserve"> </w:t>
      </w:r>
      <w:r w:rsidRPr="001048FE">
        <w:rPr>
          <w:lang w:val="sl-SI"/>
        </w:rPr>
        <w:t>ob</w:t>
      </w:r>
      <w:r w:rsidRPr="001048FE">
        <w:rPr>
          <w:spacing w:val="-12"/>
          <w:lang w:val="sl-SI"/>
        </w:rPr>
        <w:t xml:space="preserve"> </w:t>
      </w:r>
      <w:r w:rsidRPr="001048FE">
        <w:rPr>
          <w:lang w:val="sl-SI"/>
        </w:rPr>
        <w:t>kakršni</w:t>
      </w:r>
      <w:r w:rsidRPr="001048FE">
        <w:rPr>
          <w:spacing w:val="-13"/>
          <w:lang w:val="sl-SI"/>
        </w:rPr>
        <w:t xml:space="preserve"> </w:t>
      </w:r>
      <w:r w:rsidRPr="001048FE">
        <w:rPr>
          <w:lang w:val="sl-SI"/>
        </w:rPr>
        <w:t>koli</w:t>
      </w:r>
      <w:r w:rsidRPr="001048FE">
        <w:rPr>
          <w:spacing w:val="-13"/>
          <w:lang w:val="sl-SI"/>
        </w:rPr>
        <w:t xml:space="preserve"> </w:t>
      </w:r>
      <w:r w:rsidRPr="001048FE">
        <w:rPr>
          <w:lang w:val="sl-SI"/>
        </w:rPr>
        <w:t>spremembi</w:t>
      </w:r>
      <w:r w:rsidRPr="001048FE">
        <w:rPr>
          <w:spacing w:val="-13"/>
          <w:lang w:val="sl-SI"/>
        </w:rPr>
        <w:t xml:space="preserve"> </w:t>
      </w:r>
      <w:r w:rsidRPr="001048FE">
        <w:rPr>
          <w:lang w:val="sl-SI"/>
        </w:rPr>
        <w:t>v</w:t>
      </w:r>
      <w:r w:rsidRPr="001048FE">
        <w:rPr>
          <w:spacing w:val="-13"/>
          <w:lang w:val="sl-SI"/>
        </w:rPr>
        <w:t xml:space="preserve"> </w:t>
      </w:r>
      <w:r w:rsidRPr="001048FE">
        <w:rPr>
          <w:lang w:val="sl-SI"/>
        </w:rPr>
        <w:t>zvezi</w:t>
      </w:r>
      <w:r w:rsidRPr="001048FE">
        <w:rPr>
          <w:spacing w:val="-13"/>
          <w:lang w:val="sl-SI"/>
        </w:rPr>
        <w:t xml:space="preserve"> </w:t>
      </w:r>
      <w:r w:rsidRPr="001048FE">
        <w:rPr>
          <w:lang w:val="sl-SI"/>
        </w:rPr>
        <w:t>z udeleženci ali aktivnostmi v življenjskem ciklu projekta mobilnosti. Upravičenci bodo lahko z orodjem za mobilnost ustvarili vnaprej izpolnjena poročila na podlagi vnesenih informacij. V orodju za mobilnost bodo na voljo tudi poročila, ki jih bodo izpolnili udeleženci mobilnosti. Več informacij o orodju za mobilnost ter o dostopu do njega bo zagotovljenih v sporazumu o nepovratnih sredstvih med nacionalno agencijo in</w:t>
      </w:r>
      <w:r w:rsidRPr="001048FE">
        <w:rPr>
          <w:spacing w:val="-12"/>
          <w:lang w:val="sl-SI"/>
        </w:rPr>
        <w:t xml:space="preserve"> </w:t>
      </w:r>
      <w:r w:rsidRPr="001048FE">
        <w:rPr>
          <w:lang w:val="sl-SI"/>
        </w:rPr>
        <w:t>upravičencem.</w:t>
      </w:r>
    </w:p>
    <w:p w14:paraId="7D39A8B7" w14:textId="77777777" w:rsidR="00E03711" w:rsidRDefault="00E03711" w:rsidP="005115F2">
      <w:pPr>
        <w:pStyle w:val="Guide-AnnexHeading3"/>
        <w:numPr>
          <w:ilvl w:val="0"/>
          <w:numId w:val="425"/>
        </w:numPr>
        <w:ind w:left="270" w:hanging="270"/>
        <w:rPr>
          <w:lang w:val="sl-SI"/>
        </w:rPr>
      </w:pPr>
      <w:bookmarkStart w:id="618" w:name="_Toc524425616"/>
      <w:bookmarkStart w:id="619" w:name="_Toc526422854"/>
      <w:bookmarkStart w:id="620" w:name="_Toc527400972"/>
      <w:bookmarkStart w:id="621" w:name="_Toc527401302"/>
      <w:r w:rsidRPr="001048FE">
        <w:rPr>
          <w:lang w:val="sl-SI"/>
        </w:rPr>
        <w:t>Po</w:t>
      </w:r>
      <w:r w:rsidRPr="001048FE">
        <w:rPr>
          <w:spacing w:val="5"/>
          <w:lang w:val="sl-SI"/>
        </w:rPr>
        <w:t xml:space="preserve"> </w:t>
      </w:r>
      <w:r w:rsidRPr="001048FE">
        <w:rPr>
          <w:lang w:val="sl-SI"/>
        </w:rPr>
        <w:t>mobilnosti</w:t>
      </w:r>
      <w:bookmarkEnd w:id="618"/>
      <w:bookmarkEnd w:id="619"/>
      <w:bookmarkEnd w:id="620"/>
      <w:bookmarkEnd w:id="621"/>
    </w:p>
    <w:p w14:paraId="7D39A8B8" w14:textId="77777777" w:rsidR="00E03711" w:rsidRPr="001048FE" w:rsidRDefault="00E03711" w:rsidP="00AA6A8A">
      <w:pPr>
        <w:pStyle w:val="Guide-Heading4"/>
        <w:rPr>
          <w:lang w:val="sl-SI"/>
        </w:rPr>
      </w:pPr>
      <w:bookmarkStart w:id="622" w:name="_Toc527401303"/>
      <w:r w:rsidRPr="001048FE">
        <w:rPr>
          <w:lang w:val="sl-SI"/>
        </w:rPr>
        <w:t>A: Priznavanje učnih izidov</w:t>
      </w:r>
      <w:bookmarkEnd w:id="622"/>
    </w:p>
    <w:p w14:paraId="7D39A8B9" w14:textId="77777777" w:rsidR="00E03711" w:rsidRPr="001048FE" w:rsidRDefault="00E03711" w:rsidP="00AA6A8A">
      <w:pPr>
        <w:pStyle w:val="GUIDE-NORMAL"/>
        <w:rPr>
          <w:lang w:val="sl-SI"/>
        </w:rPr>
      </w:pPr>
      <w:r w:rsidRPr="001048FE">
        <w:rPr>
          <w:lang w:val="sl-SI"/>
        </w:rPr>
        <w:t xml:space="preserve">Vključeni organizaciji pošiljateljica in gostiteljica bi se ob koncu mobilnosti morali dogovoriti o izdaji potrdila o mobilnosti Europass. Za več informacij o tem postopku glej spletišče Europass: </w:t>
      </w:r>
      <w:hyperlink r:id="rId171">
        <w:r w:rsidRPr="001048FE">
          <w:rPr>
            <w:rStyle w:val="Hyperlink"/>
            <w:lang w:val="sl-SI"/>
          </w:rPr>
          <w:t>http://europass.cedefop.europa.eu/sl</w:t>
        </w:r>
      </w:hyperlink>
    </w:p>
    <w:p w14:paraId="7D39A8BA" w14:textId="77777777" w:rsidR="00E03711" w:rsidRPr="001048FE" w:rsidRDefault="00E03711" w:rsidP="00AA6A8A">
      <w:pPr>
        <w:pStyle w:val="Guide-Heading4"/>
        <w:rPr>
          <w:lang w:val="sl-SI"/>
        </w:rPr>
      </w:pPr>
      <w:bookmarkStart w:id="623" w:name="_Toc527401304"/>
      <w:r w:rsidRPr="001048FE">
        <w:rPr>
          <w:lang w:val="sl-SI"/>
        </w:rPr>
        <w:t>B: Poročanje</w:t>
      </w:r>
      <w:bookmarkEnd w:id="623"/>
    </w:p>
    <w:p w14:paraId="7D39A8BB" w14:textId="77777777" w:rsidR="00E03711" w:rsidRPr="001048FE" w:rsidRDefault="00E03711" w:rsidP="00AA6A8A">
      <w:pPr>
        <w:pStyle w:val="GUIDE-NORMAL"/>
        <w:rPr>
          <w:lang w:val="sl-SI"/>
        </w:rPr>
      </w:pPr>
      <w:r w:rsidRPr="001048FE">
        <w:rPr>
          <w:lang w:val="sl-SI"/>
        </w:rPr>
        <w:t>Ob koncu obdobja v tujini morajo vsi člani osebja, ki so opravili aktivnost mobilnosti, izpolniti in predložiti končno poročilo. Od osebja, ki ne predloži poročila, se lahko zahteva, da delno ali v celoti povrne</w:t>
      </w:r>
      <w:r w:rsidRPr="001048FE">
        <w:rPr>
          <w:spacing w:val="-18"/>
          <w:lang w:val="sl-SI"/>
        </w:rPr>
        <w:t xml:space="preserve"> </w:t>
      </w:r>
      <w:r w:rsidRPr="001048FE">
        <w:rPr>
          <w:lang w:val="sl-SI"/>
        </w:rPr>
        <w:t>prejeta</w:t>
      </w:r>
      <w:r w:rsidRPr="001048FE">
        <w:rPr>
          <w:spacing w:val="-18"/>
          <w:lang w:val="sl-SI"/>
        </w:rPr>
        <w:t xml:space="preserve"> </w:t>
      </w:r>
      <w:r w:rsidRPr="001048FE">
        <w:rPr>
          <w:lang w:val="sl-SI"/>
        </w:rPr>
        <w:t>nepovratna</w:t>
      </w:r>
      <w:r w:rsidRPr="001048FE">
        <w:rPr>
          <w:spacing w:val="-18"/>
          <w:lang w:val="sl-SI"/>
        </w:rPr>
        <w:t xml:space="preserve"> </w:t>
      </w:r>
      <w:r w:rsidRPr="001048FE">
        <w:rPr>
          <w:lang w:val="sl-SI"/>
        </w:rPr>
        <w:t>sredstva</w:t>
      </w:r>
      <w:r w:rsidRPr="001048FE">
        <w:rPr>
          <w:spacing w:val="-18"/>
          <w:lang w:val="sl-SI"/>
        </w:rPr>
        <w:t xml:space="preserve"> </w:t>
      </w:r>
      <w:r w:rsidRPr="001048FE">
        <w:rPr>
          <w:lang w:val="sl-SI"/>
        </w:rPr>
        <w:t>EU.</w:t>
      </w:r>
      <w:r w:rsidRPr="001048FE">
        <w:rPr>
          <w:spacing w:val="-18"/>
          <w:lang w:val="sl-SI"/>
        </w:rPr>
        <w:t xml:space="preserve"> </w:t>
      </w:r>
      <w:r w:rsidRPr="001048FE">
        <w:rPr>
          <w:lang w:val="sl-SI"/>
        </w:rPr>
        <w:t>Povračilo</w:t>
      </w:r>
      <w:r w:rsidRPr="001048FE">
        <w:rPr>
          <w:spacing w:val="-18"/>
          <w:lang w:val="sl-SI"/>
        </w:rPr>
        <w:t xml:space="preserve"> </w:t>
      </w:r>
      <w:r w:rsidRPr="001048FE">
        <w:rPr>
          <w:lang w:val="sl-SI"/>
        </w:rPr>
        <w:t>se</w:t>
      </w:r>
      <w:r w:rsidRPr="001048FE">
        <w:rPr>
          <w:spacing w:val="-18"/>
          <w:lang w:val="sl-SI"/>
        </w:rPr>
        <w:t xml:space="preserve"> </w:t>
      </w:r>
      <w:r w:rsidRPr="001048FE">
        <w:rPr>
          <w:lang w:val="sl-SI"/>
        </w:rPr>
        <w:t>ne</w:t>
      </w:r>
      <w:r w:rsidRPr="001048FE">
        <w:rPr>
          <w:spacing w:val="-18"/>
          <w:lang w:val="sl-SI"/>
        </w:rPr>
        <w:t xml:space="preserve"> </w:t>
      </w:r>
      <w:r w:rsidRPr="001048FE">
        <w:rPr>
          <w:lang w:val="sl-SI"/>
        </w:rPr>
        <w:t>zahteva,</w:t>
      </w:r>
      <w:r w:rsidRPr="001048FE">
        <w:rPr>
          <w:spacing w:val="-18"/>
          <w:lang w:val="sl-SI"/>
        </w:rPr>
        <w:t xml:space="preserve"> </w:t>
      </w:r>
      <w:r w:rsidRPr="001048FE">
        <w:rPr>
          <w:lang w:val="sl-SI"/>
        </w:rPr>
        <w:t>če</w:t>
      </w:r>
      <w:r w:rsidRPr="001048FE">
        <w:rPr>
          <w:spacing w:val="-18"/>
          <w:lang w:val="sl-SI"/>
        </w:rPr>
        <w:t xml:space="preserve"> </w:t>
      </w:r>
      <w:r w:rsidRPr="001048FE">
        <w:rPr>
          <w:lang w:val="sl-SI"/>
        </w:rPr>
        <w:t>člani</w:t>
      </w:r>
      <w:r w:rsidRPr="001048FE">
        <w:rPr>
          <w:spacing w:val="-18"/>
          <w:lang w:val="sl-SI"/>
        </w:rPr>
        <w:t xml:space="preserve"> </w:t>
      </w:r>
      <w:r w:rsidRPr="001048FE">
        <w:rPr>
          <w:lang w:val="sl-SI"/>
        </w:rPr>
        <w:t>osebja</w:t>
      </w:r>
      <w:r w:rsidRPr="001048FE">
        <w:rPr>
          <w:spacing w:val="-17"/>
          <w:lang w:val="sl-SI"/>
        </w:rPr>
        <w:t xml:space="preserve"> </w:t>
      </w:r>
      <w:r w:rsidRPr="001048FE">
        <w:rPr>
          <w:lang w:val="sl-SI"/>
        </w:rPr>
        <w:t>niso</w:t>
      </w:r>
      <w:r w:rsidRPr="001048FE">
        <w:rPr>
          <w:spacing w:val="-18"/>
          <w:lang w:val="sl-SI"/>
        </w:rPr>
        <w:t xml:space="preserve"> </w:t>
      </w:r>
      <w:r w:rsidRPr="001048FE">
        <w:rPr>
          <w:lang w:val="sl-SI"/>
        </w:rPr>
        <w:t>mogli</w:t>
      </w:r>
      <w:r w:rsidRPr="001048FE">
        <w:rPr>
          <w:spacing w:val="-18"/>
          <w:lang w:val="sl-SI"/>
        </w:rPr>
        <w:t xml:space="preserve"> </w:t>
      </w:r>
      <w:r w:rsidRPr="001048FE">
        <w:rPr>
          <w:lang w:val="sl-SI"/>
        </w:rPr>
        <w:t>dokončati načrtovanih aktivnosti v tujini zaradi višje sile. Šola pošiljateljica ali koordinator nacionalnega konzorcija za mobilnost poroča o takih primerih in nacionalna agencija jih mora pisno</w:t>
      </w:r>
      <w:r w:rsidRPr="001048FE">
        <w:rPr>
          <w:spacing w:val="-33"/>
          <w:lang w:val="sl-SI"/>
        </w:rPr>
        <w:t xml:space="preserve"> </w:t>
      </w:r>
      <w:r w:rsidRPr="001048FE">
        <w:rPr>
          <w:lang w:val="sl-SI"/>
        </w:rPr>
        <w:t>odobriti.</w:t>
      </w:r>
    </w:p>
    <w:p w14:paraId="7D39A8BC" w14:textId="77777777" w:rsidR="00E03711" w:rsidRDefault="00E03711">
      <w:pPr>
        <w:widowControl/>
        <w:suppressAutoHyphens w:val="0"/>
        <w:autoSpaceDN/>
        <w:textAlignment w:val="auto"/>
        <w:rPr>
          <w:rFonts w:eastAsia="Times New Roman" w:cs="Times New Roman"/>
          <w:b/>
          <w:smallCaps/>
          <w:sz w:val="32"/>
          <w:szCs w:val="18"/>
          <w:lang w:val="sl-SI"/>
        </w:rPr>
      </w:pPr>
    </w:p>
    <w:p w14:paraId="7D39A8BD" w14:textId="77777777" w:rsidR="00E03711" w:rsidRPr="001048FE" w:rsidRDefault="00E03711" w:rsidP="00AA6A8A">
      <w:pPr>
        <w:pStyle w:val="Guide-Heading2"/>
        <w:rPr>
          <w:lang w:val="sl-SI"/>
        </w:rPr>
        <w:sectPr w:rsidR="00E03711" w:rsidRPr="001048FE" w:rsidSect="00AA6A8A">
          <w:headerReference w:type="default" r:id="rId172"/>
          <w:endnotePr>
            <w:numFmt w:val="decimal"/>
          </w:endnotePr>
          <w:pgSz w:w="11901" w:h="16817"/>
          <w:pgMar w:top="1134" w:right="1418" w:bottom="1134" w:left="1418" w:header="524" w:footer="450" w:gutter="0"/>
          <w:cols w:space="720"/>
        </w:sectPr>
      </w:pPr>
    </w:p>
    <w:p w14:paraId="7D39A8BE" w14:textId="77777777" w:rsidR="00E03711" w:rsidRDefault="00E03711">
      <w:pPr>
        <w:pStyle w:val="Guide-Heading2"/>
        <w:rPr>
          <w:lang w:val="sl-SI"/>
        </w:rPr>
      </w:pPr>
      <w:bookmarkStart w:id="624" w:name="_Toc527400973"/>
      <w:bookmarkStart w:id="625" w:name="_Toc527401305"/>
      <w:r w:rsidRPr="001048FE">
        <w:rPr>
          <w:lang w:val="sl-SI"/>
        </w:rPr>
        <w:t>Projekt mobilnosti za osebje v izobraževanju</w:t>
      </w:r>
      <w:bookmarkStart w:id="626" w:name="Projekt_mobilnosti_za_osebje_v_izobražev"/>
      <w:bookmarkEnd w:id="626"/>
      <w:r w:rsidRPr="001048FE">
        <w:rPr>
          <w:lang w:val="sl-SI"/>
        </w:rPr>
        <w:t xml:space="preserve"> odraslih</w:t>
      </w:r>
      <w:bookmarkEnd w:id="624"/>
      <w:bookmarkEnd w:id="625"/>
    </w:p>
    <w:p w14:paraId="7D39A8BF" w14:textId="77777777" w:rsidR="00E03711" w:rsidRPr="001048FE" w:rsidRDefault="00E03711" w:rsidP="00AA6A8A">
      <w:pPr>
        <w:pStyle w:val="GUIDE-NORMAL"/>
        <w:rPr>
          <w:lang w:val="sl-SI"/>
        </w:rPr>
      </w:pPr>
      <w:r w:rsidRPr="001048FE">
        <w:rPr>
          <w:lang w:val="sl-SI"/>
        </w:rPr>
        <w:t>Cilj učne mobilnosti za osebje v izobraževanju odraslih je dvig ključnih kompetenc in spretnosti osebja v izobraževanju odraslih, da se zviša kakovost vseh oblik poučevanja in učenja ter zagotovi njihova</w:t>
      </w:r>
      <w:r w:rsidRPr="001048FE">
        <w:rPr>
          <w:spacing w:val="-20"/>
          <w:lang w:val="sl-SI"/>
        </w:rPr>
        <w:t xml:space="preserve"> </w:t>
      </w:r>
      <w:r w:rsidRPr="001048FE">
        <w:rPr>
          <w:lang w:val="sl-SI"/>
        </w:rPr>
        <w:t>ustreznost</w:t>
      </w:r>
      <w:r w:rsidRPr="001048FE">
        <w:rPr>
          <w:spacing w:val="-20"/>
          <w:lang w:val="sl-SI"/>
        </w:rPr>
        <w:t xml:space="preserve"> </w:t>
      </w:r>
      <w:r w:rsidRPr="001048FE">
        <w:rPr>
          <w:lang w:val="sl-SI"/>
        </w:rPr>
        <w:t>glede</w:t>
      </w:r>
      <w:r w:rsidRPr="001048FE">
        <w:rPr>
          <w:spacing w:val="-20"/>
          <w:lang w:val="sl-SI"/>
        </w:rPr>
        <w:t xml:space="preserve"> </w:t>
      </w:r>
      <w:r w:rsidRPr="001048FE">
        <w:rPr>
          <w:lang w:val="sl-SI"/>
        </w:rPr>
        <w:t>na</w:t>
      </w:r>
      <w:r w:rsidRPr="001048FE">
        <w:rPr>
          <w:spacing w:val="-20"/>
          <w:lang w:val="sl-SI"/>
        </w:rPr>
        <w:t xml:space="preserve"> </w:t>
      </w:r>
      <w:r w:rsidRPr="001048FE">
        <w:rPr>
          <w:lang w:val="sl-SI"/>
        </w:rPr>
        <w:t>potrebe</w:t>
      </w:r>
      <w:r w:rsidRPr="001048FE">
        <w:rPr>
          <w:spacing w:val="-20"/>
          <w:lang w:val="sl-SI"/>
        </w:rPr>
        <w:t xml:space="preserve"> </w:t>
      </w:r>
      <w:r w:rsidRPr="001048FE">
        <w:rPr>
          <w:lang w:val="sl-SI"/>
        </w:rPr>
        <w:t>trga</w:t>
      </w:r>
      <w:r w:rsidRPr="001048FE">
        <w:rPr>
          <w:spacing w:val="-20"/>
          <w:lang w:val="sl-SI"/>
        </w:rPr>
        <w:t xml:space="preserve"> </w:t>
      </w:r>
      <w:r w:rsidRPr="001048FE">
        <w:rPr>
          <w:lang w:val="sl-SI"/>
        </w:rPr>
        <w:t>dela</w:t>
      </w:r>
      <w:r w:rsidRPr="001048FE">
        <w:rPr>
          <w:spacing w:val="-20"/>
          <w:lang w:val="sl-SI"/>
        </w:rPr>
        <w:t xml:space="preserve"> </w:t>
      </w:r>
      <w:r w:rsidRPr="001048FE">
        <w:rPr>
          <w:lang w:val="sl-SI"/>
        </w:rPr>
        <w:t>in</w:t>
      </w:r>
      <w:r w:rsidRPr="001048FE">
        <w:rPr>
          <w:spacing w:val="-20"/>
          <w:lang w:val="sl-SI"/>
        </w:rPr>
        <w:t xml:space="preserve"> </w:t>
      </w:r>
      <w:r w:rsidRPr="001048FE">
        <w:rPr>
          <w:lang w:val="sl-SI"/>
        </w:rPr>
        <w:t>družbe</w:t>
      </w:r>
      <w:r w:rsidRPr="001048FE">
        <w:rPr>
          <w:spacing w:val="-20"/>
          <w:lang w:val="sl-SI"/>
        </w:rPr>
        <w:t xml:space="preserve"> </w:t>
      </w:r>
      <w:r w:rsidRPr="001048FE">
        <w:rPr>
          <w:lang w:val="sl-SI"/>
        </w:rPr>
        <w:t>na</w:t>
      </w:r>
      <w:r w:rsidRPr="001048FE">
        <w:rPr>
          <w:spacing w:val="-20"/>
          <w:lang w:val="sl-SI"/>
        </w:rPr>
        <w:t xml:space="preserve"> </w:t>
      </w:r>
      <w:r w:rsidRPr="001048FE">
        <w:rPr>
          <w:lang w:val="sl-SI"/>
        </w:rPr>
        <w:t>splošno.</w:t>
      </w:r>
      <w:r w:rsidRPr="001048FE">
        <w:rPr>
          <w:spacing w:val="-20"/>
          <w:lang w:val="sl-SI"/>
        </w:rPr>
        <w:t xml:space="preserve"> </w:t>
      </w:r>
      <w:r w:rsidRPr="001048FE">
        <w:rPr>
          <w:lang w:val="sl-SI"/>
        </w:rPr>
        <w:t>Posebna</w:t>
      </w:r>
      <w:r w:rsidRPr="001048FE">
        <w:rPr>
          <w:spacing w:val="-20"/>
          <w:lang w:val="sl-SI"/>
        </w:rPr>
        <w:t xml:space="preserve"> </w:t>
      </w:r>
      <w:r w:rsidRPr="001048FE">
        <w:rPr>
          <w:lang w:val="sl-SI"/>
        </w:rPr>
        <w:t>pozornost</w:t>
      </w:r>
      <w:r w:rsidRPr="001048FE">
        <w:rPr>
          <w:spacing w:val="-20"/>
          <w:lang w:val="sl-SI"/>
        </w:rPr>
        <w:t xml:space="preserve"> </w:t>
      </w:r>
      <w:r w:rsidRPr="001048FE">
        <w:rPr>
          <w:lang w:val="sl-SI"/>
        </w:rPr>
        <w:t>bo</w:t>
      </w:r>
      <w:r w:rsidRPr="001048FE">
        <w:rPr>
          <w:spacing w:val="-21"/>
          <w:lang w:val="sl-SI"/>
        </w:rPr>
        <w:t xml:space="preserve"> </w:t>
      </w:r>
      <w:r w:rsidRPr="001048FE">
        <w:rPr>
          <w:lang w:val="sl-SI"/>
        </w:rPr>
        <w:t>namenjena projektom, ki naslavljajo učne/poučevalne potrebe odraslih učečih se iz okolij z manj možnostmi (vključujoč begunce, prosilce za azil in migrante). Od organizacij v izobraževanju odraslih se pričakuje,</w:t>
      </w:r>
      <w:r w:rsidRPr="001048FE">
        <w:rPr>
          <w:spacing w:val="-11"/>
          <w:lang w:val="sl-SI"/>
        </w:rPr>
        <w:t xml:space="preserve"> </w:t>
      </w:r>
      <w:r w:rsidRPr="001048FE">
        <w:rPr>
          <w:lang w:val="sl-SI"/>
        </w:rPr>
        <w:t>da</w:t>
      </w:r>
      <w:r w:rsidRPr="001048FE">
        <w:rPr>
          <w:spacing w:val="-11"/>
          <w:lang w:val="sl-SI"/>
        </w:rPr>
        <w:t xml:space="preserve"> </w:t>
      </w:r>
      <w:r w:rsidRPr="001048FE">
        <w:rPr>
          <w:lang w:val="sl-SI"/>
        </w:rPr>
        <w:t>učno</w:t>
      </w:r>
      <w:r w:rsidRPr="001048FE">
        <w:rPr>
          <w:spacing w:val="-11"/>
          <w:lang w:val="sl-SI"/>
        </w:rPr>
        <w:t xml:space="preserve"> </w:t>
      </w:r>
      <w:r w:rsidRPr="001048FE">
        <w:rPr>
          <w:lang w:val="sl-SI"/>
        </w:rPr>
        <w:t>mobilnost</w:t>
      </w:r>
      <w:r w:rsidRPr="001048FE">
        <w:rPr>
          <w:spacing w:val="-11"/>
          <w:lang w:val="sl-SI"/>
        </w:rPr>
        <w:t xml:space="preserve"> </w:t>
      </w:r>
      <w:r w:rsidRPr="001048FE">
        <w:rPr>
          <w:lang w:val="sl-SI"/>
        </w:rPr>
        <w:t>svojega</w:t>
      </w:r>
      <w:r w:rsidRPr="001048FE">
        <w:rPr>
          <w:spacing w:val="-11"/>
          <w:lang w:val="sl-SI"/>
        </w:rPr>
        <w:t xml:space="preserve"> </w:t>
      </w:r>
      <w:r w:rsidRPr="001048FE">
        <w:rPr>
          <w:lang w:val="sl-SI"/>
        </w:rPr>
        <w:t>osebja</w:t>
      </w:r>
      <w:r w:rsidRPr="001048FE">
        <w:rPr>
          <w:spacing w:val="-10"/>
          <w:lang w:val="sl-SI"/>
        </w:rPr>
        <w:t xml:space="preserve"> </w:t>
      </w:r>
      <w:r w:rsidRPr="001048FE">
        <w:rPr>
          <w:lang w:val="sl-SI"/>
        </w:rPr>
        <w:t>uporabijo</w:t>
      </w:r>
      <w:r w:rsidRPr="001048FE">
        <w:rPr>
          <w:spacing w:val="-11"/>
          <w:lang w:val="sl-SI"/>
        </w:rPr>
        <w:t xml:space="preserve"> </w:t>
      </w:r>
      <w:r w:rsidRPr="001048FE">
        <w:rPr>
          <w:lang w:val="sl-SI"/>
        </w:rPr>
        <w:t>strateško</w:t>
      </w:r>
      <w:r w:rsidRPr="001048FE">
        <w:rPr>
          <w:spacing w:val="-11"/>
          <w:lang w:val="sl-SI"/>
        </w:rPr>
        <w:t xml:space="preserve"> </w:t>
      </w:r>
      <w:r w:rsidRPr="001048FE">
        <w:rPr>
          <w:lang w:val="sl-SI"/>
        </w:rPr>
        <w:t>in</w:t>
      </w:r>
      <w:r w:rsidRPr="001048FE">
        <w:rPr>
          <w:spacing w:val="-11"/>
          <w:lang w:val="sl-SI"/>
        </w:rPr>
        <w:t xml:space="preserve"> </w:t>
      </w:r>
      <w:r w:rsidRPr="001048FE">
        <w:rPr>
          <w:lang w:val="sl-SI"/>
        </w:rPr>
        <w:t>da</w:t>
      </w:r>
      <w:r w:rsidRPr="001048FE">
        <w:rPr>
          <w:spacing w:val="-11"/>
          <w:lang w:val="sl-SI"/>
        </w:rPr>
        <w:t xml:space="preserve"> </w:t>
      </w:r>
      <w:r w:rsidRPr="001048FE">
        <w:rPr>
          <w:lang w:val="sl-SI"/>
        </w:rPr>
        <w:t>z</w:t>
      </w:r>
      <w:r w:rsidRPr="001048FE">
        <w:rPr>
          <w:spacing w:val="-11"/>
          <w:lang w:val="sl-SI"/>
        </w:rPr>
        <w:t xml:space="preserve"> </w:t>
      </w:r>
      <w:r w:rsidRPr="001048FE">
        <w:rPr>
          <w:lang w:val="sl-SI"/>
        </w:rPr>
        <w:t>njo</w:t>
      </w:r>
      <w:r w:rsidRPr="001048FE">
        <w:rPr>
          <w:spacing w:val="-11"/>
          <w:lang w:val="sl-SI"/>
        </w:rPr>
        <w:t xml:space="preserve"> </w:t>
      </w:r>
      <w:r w:rsidRPr="001048FE">
        <w:rPr>
          <w:lang w:val="sl-SI"/>
        </w:rPr>
        <w:t>internacionalizirajo</w:t>
      </w:r>
      <w:r w:rsidRPr="001048FE">
        <w:rPr>
          <w:spacing w:val="-8"/>
          <w:lang w:val="sl-SI"/>
        </w:rPr>
        <w:t xml:space="preserve"> </w:t>
      </w:r>
      <w:r w:rsidRPr="001048FE">
        <w:rPr>
          <w:lang w:val="sl-SI"/>
        </w:rPr>
        <w:t>svojo organizacijo ter okrepijo njene</w:t>
      </w:r>
      <w:r w:rsidRPr="001048FE">
        <w:rPr>
          <w:spacing w:val="-7"/>
          <w:lang w:val="sl-SI"/>
        </w:rPr>
        <w:t xml:space="preserve"> </w:t>
      </w:r>
      <w:r w:rsidRPr="001048FE">
        <w:rPr>
          <w:lang w:val="sl-SI"/>
        </w:rPr>
        <w:t>zmogljivosti.</w:t>
      </w:r>
    </w:p>
    <w:p w14:paraId="7D39A8C0" w14:textId="77777777" w:rsidR="00E03711" w:rsidRDefault="00E03711" w:rsidP="00ED1E3E">
      <w:pPr>
        <w:pStyle w:val="Guide-AnnexHeading3"/>
        <w:numPr>
          <w:ilvl w:val="0"/>
          <w:numId w:val="0"/>
        </w:numPr>
        <w:rPr>
          <w:lang w:val="sl-SI"/>
        </w:rPr>
      </w:pPr>
      <w:bookmarkStart w:id="627" w:name="_Toc524425618"/>
      <w:bookmarkStart w:id="628" w:name="_Toc526422856"/>
      <w:bookmarkStart w:id="629" w:name="_Toc527400974"/>
      <w:bookmarkStart w:id="630" w:name="_Toc527401306"/>
      <w:r w:rsidRPr="00ED1E3E">
        <w:rPr>
          <w:lang w:val="sl-SI"/>
        </w:rPr>
        <w:t>1.</w:t>
      </w:r>
      <w:r>
        <w:rPr>
          <w:lang w:val="sl-SI"/>
        </w:rPr>
        <w:t xml:space="preserve"> </w:t>
      </w:r>
      <w:r w:rsidRPr="001048FE">
        <w:rPr>
          <w:lang w:val="sl-SI"/>
        </w:rPr>
        <w:t>Organizacijska</w:t>
      </w:r>
      <w:r w:rsidRPr="001048FE">
        <w:rPr>
          <w:spacing w:val="5"/>
          <w:lang w:val="sl-SI"/>
        </w:rPr>
        <w:t xml:space="preserve"> </w:t>
      </w:r>
      <w:r w:rsidRPr="001048FE">
        <w:rPr>
          <w:lang w:val="sl-SI"/>
        </w:rPr>
        <w:t>podpora</w:t>
      </w:r>
      <w:bookmarkEnd w:id="627"/>
      <w:bookmarkEnd w:id="628"/>
      <w:bookmarkEnd w:id="629"/>
      <w:bookmarkEnd w:id="630"/>
    </w:p>
    <w:p w14:paraId="7D39A8C1" w14:textId="77777777" w:rsidR="00E03711" w:rsidRPr="001048FE" w:rsidRDefault="00E03711" w:rsidP="00AA6A8A">
      <w:pPr>
        <w:pStyle w:val="GUIDE-NORMAL"/>
        <w:rPr>
          <w:rStyle w:val="Guide-Condensed-01"/>
          <w:lang w:val="sl-SI"/>
        </w:rPr>
      </w:pPr>
      <w:r w:rsidRPr="001048FE">
        <w:rPr>
          <w:rStyle w:val="Guide-Condensed-01"/>
          <w:lang w:val="sl-SI"/>
        </w:rPr>
        <w:t>Nepovratna sredstva za organizacijsko podporo so namenjena stroškom za organizacijo mobilnosti. Namen nepovratnih sredstev je povečati kakovost organizacije aktivnosti mobilnosti in okrepiti zmogljivosti organizacije za izobraževanje odraslih. Na primer za:</w:t>
      </w:r>
    </w:p>
    <w:p w14:paraId="7D39A8C2" w14:textId="77777777" w:rsidR="00E03711" w:rsidRPr="001048FE" w:rsidRDefault="00E03711" w:rsidP="005115F2">
      <w:pPr>
        <w:pStyle w:val="Guide-NormalBulletpoints"/>
        <w:numPr>
          <w:ilvl w:val="0"/>
          <w:numId w:val="434"/>
        </w:numPr>
        <w:rPr>
          <w:lang w:val="sl-SI"/>
        </w:rPr>
      </w:pPr>
      <w:r w:rsidRPr="001048FE">
        <w:rPr>
          <w:lang w:val="sl-SI"/>
        </w:rPr>
        <w:t xml:space="preserve">pripravo in nadaljnje spremljanje evropskega razvojnega načrta; </w:t>
      </w:r>
    </w:p>
    <w:p w14:paraId="7D39A8C3" w14:textId="77777777" w:rsidR="00E03711" w:rsidRPr="001048FE" w:rsidRDefault="00E03711" w:rsidP="005115F2">
      <w:pPr>
        <w:pStyle w:val="Guide-NormalBulletpoints"/>
        <w:numPr>
          <w:ilvl w:val="0"/>
          <w:numId w:val="434"/>
        </w:numPr>
        <w:rPr>
          <w:lang w:val="sl-SI"/>
        </w:rPr>
      </w:pPr>
      <w:r w:rsidRPr="001048FE">
        <w:rPr>
          <w:lang w:val="sl-SI"/>
        </w:rPr>
        <w:t xml:space="preserve">zagotavljanje informacij in pomoči za osebje; </w:t>
      </w:r>
    </w:p>
    <w:p w14:paraId="7D39A8C4" w14:textId="77777777" w:rsidR="00E03711" w:rsidRPr="001048FE" w:rsidRDefault="00E03711" w:rsidP="005115F2">
      <w:pPr>
        <w:pStyle w:val="Guide-NormalBulletpoints"/>
        <w:numPr>
          <w:ilvl w:val="0"/>
          <w:numId w:val="434"/>
        </w:numPr>
        <w:rPr>
          <w:lang w:val="sl-SI"/>
        </w:rPr>
      </w:pPr>
      <w:r w:rsidRPr="001048FE">
        <w:rPr>
          <w:lang w:val="sl-SI"/>
        </w:rPr>
        <w:t>izbor osebja za aktivnosti mobilnosti;</w:t>
      </w:r>
    </w:p>
    <w:p w14:paraId="7D39A8C5" w14:textId="77777777" w:rsidR="00E03711" w:rsidRPr="001048FE" w:rsidRDefault="00E03711" w:rsidP="005115F2">
      <w:pPr>
        <w:pStyle w:val="Guide-NormalBulletpoints"/>
        <w:numPr>
          <w:ilvl w:val="0"/>
          <w:numId w:val="434"/>
        </w:numPr>
        <w:rPr>
          <w:lang w:val="sl-SI"/>
        </w:rPr>
      </w:pPr>
      <w:r w:rsidRPr="001048FE">
        <w:rPr>
          <w:lang w:val="sl-SI"/>
        </w:rPr>
        <w:t>organizacijske ureditve s partnerskimi institucijami (zlasti v primeru izobraževalnega obiska na delovnem mestu ali programov</w:t>
      </w:r>
      <w:r w:rsidRPr="001048FE">
        <w:rPr>
          <w:spacing w:val="11"/>
          <w:lang w:val="sl-SI"/>
        </w:rPr>
        <w:t xml:space="preserve"> </w:t>
      </w:r>
      <w:r w:rsidRPr="001048FE">
        <w:rPr>
          <w:lang w:val="sl-SI"/>
        </w:rPr>
        <w:t xml:space="preserve">poučevanja); </w:t>
      </w:r>
    </w:p>
    <w:p w14:paraId="7D39A8C6" w14:textId="77777777" w:rsidR="00E03711" w:rsidRPr="001048FE" w:rsidRDefault="00E03711" w:rsidP="005115F2">
      <w:pPr>
        <w:pStyle w:val="Guide-NormalBulletpoints"/>
        <w:numPr>
          <w:ilvl w:val="0"/>
          <w:numId w:val="434"/>
        </w:numPr>
        <w:rPr>
          <w:lang w:val="sl-SI"/>
        </w:rPr>
      </w:pPr>
      <w:r w:rsidRPr="001048FE">
        <w:rPr>
          <w:lang w:val="sl-SI"/>
        </w:rPr>
        <w:t>pripravo</w:t>
      </w:r>
      <w:r w:rsidRPr="001048FE">
        <w:rPr>
          <w:spacing w:val="-14"/>
          <w:lang w:val="sl-SI"/>
        </w:rPr>
        <w:t xml:space="preserve"> </w:t>
      </w:r>
      <w:r w:rsidRPr="001048FE">
        <w:rPr>
          <w:lang w:val="sl-SI"/>
        </w:rPr>
        <w:t>sporazumov</w:t>
      </w:r>
      <w:r w:rsidRPr="001048FE">
        <w:rPr>
          <w:spacing w:val="-14"/>
          <w:lang w:val="sl-SI"/>
        </w:rPr>
        <w:t xml:space="preserve"> </w:t>
      </w:r>
      <w:r w:rsidRPr="001048FE">
        <w:rPr>
          <w:lang w:val="sl-SI"/>
        </w:rPr>
        <w:t>o</w:t>
      </w:r>
      <w:r w:rsidRPr="001048FE">
        <w:rPr>
          <w:spacing w:val="-13"/>
          <w:lang w:val="sl-SI"/>
        </w:rPr>
        <w:t xml:space="preserve"> </w:t>
      </w:r>
      <w:r w:rsidRPr="001048FE">
        <w:rPr>
          <w:lang w:val="sl-SI"/>
        </w:rPr>
        <w:t>mobilnosti,</w:t>
      </w:r>
      <w:r w:rsidRPr="001048FE">
        <w:rPr>
          <w:spacing w:val="-14"/>
          <w:lang w:val="sl-SI"/>
        </w:rPr>
        <w:t xml:space="preserve"> </w:t>
      </w:r>
      <w:r w:rsidRPr="001048FE">
        <w:rPr>
          <w:lang w:val="sl-SI"/>
        </w:rPr>
        <w:t>da</w:t>
      </w:r>
      <w:r w:rsidRPr="001048FE">
        <w:rPr>
          <w:spacing w:val="-14"/>
          <w:lang w:val="sl-SI"/>
        </w:rPr>
        <w:t xml:space="preserve"> </w:t>
      </w:r>
      <w:r w:rsidRPr="001048FE">
        <w:rPr>
          <w:lang w:val="sl-SI"/>
        </w:rPr>
        <w:t>se</w:t>
      </w:r>
      <w:r w:rsidRPr="001048FE">
        <w:rPr>
          <w:spacing w:val="-14"/>
          <w:lang w:val="sl-SI"/>
        </w:rPr>
        <w:t xml:space="preserve"> </w:t>
      </w:r>
      <w:r w:rsidRPr="001048FE">
        <w:rPr>
          <w:lang w:val="sl-SI"/>
        </w:rPr>
        <w:t>zagotovita</w:t>
      </w:r>
      <w:r w:rsidRPr="001048FE">
        <w:rPr>
          <w:spacing w:val="-14"/>
          <w:lang w:val="sl-SI"/>
        </w:rPr>
        <w:t xml:space="preserve"> </w:t>
      </w:r>
      <w:r w:rsidRPr="001048FE">
        <w:rPr>
          <w:lang w:val="sl-SI"/>
        </w:rPr>
        <w:t>kakovost</w:t>
      </w:r>
      <w:r w:rsidRPr="001048FE">
        <w:rPr>
          <w:spacing w:val="-14"/>
          <w:lang w:val="sl-SI"/>
        </w:rPr>
        <w:t xml:space="preserve"> </w:t>
      </w:r>
      <w:r w:rsidRPr="001048FE">
        <w:rPr>
          <w:lang w:val="sl-SI"/>
        </w:rPr>
        <w:t>in</w:t>
      </w:r>
      <w:r w:rsidRPr="001048FE">
        <w:rPr>
          <w:spacing w:val="-14"/>
          <w:lang w:val="sl-SI"/>
        </w:rPr>
        <w:t xml:space="preserve"> </w:t>
      </w:r>
      <w:r w:rsidRPr="001048FE">
        <w:rPr>
          <w:lang w:val="sl-SI"/>
        </w:rPr>
        <w:t>priznavanje</w:t>
      </w:r>
      <w:r w:rsidRPr="001048FE">
        <w:rPr>
          <w:spacing w:val="-14"/>
          <w:lang w:val="sl-SI"/>
        </w:rPr>
        <w:t xml:space="preserve"> </w:t>
      </w:r>
      <w:r w:rsidRPr="001048FE">
        <w:rPr>
          <w:lang w:val="sl-SI"/>
        </w:rPr>
        <w:t>aktivnosti mobilnosti;</w:t>
      </w:r>
    </w:p>
    <w:p w14:paraId="7D39A8C7" w14:textId="77777777" w:rsidR="00E03711" w:rsidRPr="001048FE" w:rsidRDefault="00E03711" w:rsidP="005115F2">
      <w:pPr>
        <w:pStyle w:val="Guide-NormalBulletpoints"/>
        <w:numPr>
          <w:ilvl w:val="0"/>
          <w:numId w:val="434"/>
        </w:numPr>
        <w:rPr>
          <w:lang w:val="sl-SI"/>
        </w:rPr>
      </w:pPr>
      <w:r w:rsidRPr="001048FE">
        <w:rPr>
          <w:lang w:val="sl-SI"/>
        </w:rPr>
        <w:t>jezikovno in medkulturno pripravo osebja, ki se udeleži mobilnosti;</w:t>
      </w:r>
    </w:p>
    <w:p w14:paraId="7D39A8C8" w14:textId="77777777" w:rsidR="00E03711" w:rsidRPr="001048FE" w:rsidRDefault="00E03711" w:rsidP="005115F2">
      <w:pPr>
        <w:pStyle w:val="Guide-NormalBulletpoints"/>
        <w:numPr>
          <w:ilvl w:val="0"/>
          <w:numId w:val="434"/>
        </w:numPr>
        <w:rPr>
          <w:lang w:val="sl-SI"/>
        </w:rPr>
      </w:pPr>
      <w:r w:rsidRPr="001048FE">
        <w:rPr>
          <w:lang w:val="sl-SI"/>
        </w:rPr>
        <w:t xml:space="preserve">zagotavljanje učinkovitega mentorstva in nadzora nad osebjem, ki se udeleži mobilnosti; </w:t>
      </w:r>
    </w:p>
    <w:p w14:paraId="7D39A8C9" w14:textId="77777777" w:rsidR="00E03711" w:rsidRPr="001048FE" w:rsidRDefault="00E03711" w:rsidP="005115F2">
      <w:pPr>
        <w:pStyle w:val="Guide-NormalBulletpoints"/>
        <w:numPr>
          <w:ilvl w:val="0"/>
          <w:numId w:val="434"/>
        </w:numPr>
        <w:rPr>
          <w:lang w:val="sl-SI"/>
        </w:rPr>
      </w:pPr>
      <w:r w:rsidRPr="001048FE">
        <w:rPr>
          <w:lang w:val="sl-SI"/>
        </w:rPr>
        <w:t>podpiranje</w:t>
      </w:r>
      <w:r w:rsidRPr="001048FE">
        <w:rPr>
          <w:spacing w:val="-15"/>
          <w:lang w:val="sl-SI"/>
        </w:rPr>
        <w:t xml:space="preserve"> </w:t>
      </w:r>
      <w:r w:rsidRPr="001048FE">
        <w:rPr>
          <w:lang w:val="sl-SI"/>
        </w:rPr>
        <w:t>ponovnega</w:t>
      </w:r>
      <w:r w:rsidRPr="001048FE">
        <w:rPr>
          <w:spacing w:val="-15"/>
          <w:lang w:val="sl-SI"/>
        </w:rPr>
        <w:t xml:space="preserve"> </w:t>
      </w:r>
      <w:r w:rsidRPr="001048FE">
        <w:rPr>
          <w:lang w:val="sl-SI"/>
        </w:rPr>
        <w:t>vključevanja</w:t>
      </w:r>
      <w:r w:rsidRPr="001048FE">
        <w:rPr>
          <w:spacing w:val="-15"/>
          <w:lang w:val="sl-SI"/>
        </w:rPr>
        <w:t xml:space="preserve"> </w:t>
      </w:r>
      <w:r w:rsidRPr="001048FE">
        <w:rPr>
          <w:lang w:val="sl-SI"/>
        </w:rPr>
        <w:t>udeležencev</w:t>
      </w:r>
      <w:r w:rsidRPr="001048FE">
        <w:rPr>
          <w:spacing w:val="-15"/>
          <w:lang w:val="sl-SI"/>
        </w:rPr>
        <w:t xml:space="preserve"> </w:t>
      </w:r>
      <w:r w:rsidRPr="001048FE">
        <w:rPr>
          <w:lang w:val="sl-SI"/>
        </w:rPr>
        <w:t>mobilnosti</w:t>
      </w:r>
      <w:r w:rsidRPr="001048FE">
        <w:rPr>
          <w:spacing w:val="-15"/>
          <w:lang w:val="sl-SI"/>
        </w:rPr>
        <w:t xml:space="preserve"> </w:t>
      </w:r>
      <w:r w:rsidRPr="001048FE">
        <w:rPr>
          <w:lang w:val="sl-SI"/>
        </w:rPr>
        <w:t>in</w:t>
      </w:r>
      <w:r w:rsidRPr="001048FE">
        <w:rPr>
          <w:spacing w:val="-15"/>
          <w:lang w:val="sl-SI"/>
        </w:rPr>
        <w:t xml:space="preserve"> </w:t>
      </w:r>
      <w:r w:rsidRPr="001048FE">
        <w:rPr>
          <w:lang w:val="sl-SI"/>
        </w:rPr>
        <w:t>nadgrajevanje</w:t>
      </w:r>
      <w:r w:rsidRPr="001048FE">
        <w:rPr>
          <w:spacing w:val="-15"/>
          <w:lang w:val="sl-SI"/>
        </w:rPr>
        <w:t xml:space="preserve"> </w:t>
      </w:r>
      <w:r w:rsidRPr="001048FE">
        <w:rPr>
          <w:lang w:val="sl-SI"/>
        </w:rPr>
        <w:t>pridobljenih</w:t>
      </w:r>
      <w:r w:rsidRPr="001048FE">
        <w:rPr>
          <w:spacing w:val="-15"/>
          <w:lang w:val="sl-SI"/>
        </w:rPr>
        <w:t xml:space="preserve"> </w:t>
      </w:r>
      <w:r w:rsidRPr="001048FE">
        <w:rPr>
          <w:lang w:val="sl-SI"/>
        </w:rPr>
        <w:t>novih kompetenc, da se izboljša kakovost zagotavljanja poučevanja in učenja v organizaciji v izobraževanju</w:t>
      </w:r>
      <w:r w:rsidRPr="001048FE">
        <w:rPr>
          <w:spacing w:val="-3"/>
          <w:lang w:val="sl-SI"/>
        </w:rPr>
        <w:t xml:space="preserve"> </w:t>
      </w:r>
      <w:r w:rsidRPr="001048FE">
        <w:rPr>
          <w:lang w:val="sl-SI"/>
        </w:rPr>
        <w:t>odraslih.</w:t>
      </w:r>
    </w:p>
    <w:p w14:paraId="7D39A8CA" w14:textId="77777777" w:rsidR="00E03711" w:rsidRPr="001048FE" w:rsidRDefault="00E03711" w:rsidP="00AA6A8A">
      <w:pPr>
        <w:pStyle w:val="GUIDE-NORMAL"/>
        <w:rPr>
          <w:lang w:val="sl-SI"/>
        </w:rPr>
      </w:pPr>
      <w:r w:rsidRPr="001048FE">
        <w:rPr>
          <w:lang w:val="sl-SI"/>
        </w:rPr>
        <w:t>Pri odločitvi o končni dodelitvi nepovratnih sredstev se upošteva kakovost, s katero organizacija izvede projekt in njeno nadaljnje spremljanje projekta. Kakovostna izvedba projekta mobilnosti bi morala slediti smernicam iz te priloge o mobilnosti za osebje v izobraževanju odraslih.</w:t>
      </w:r>
    </w:p>
    <w:p w14:paraId="7D39A8CB" w14:textId="77777777" w:rsidR="00E03711" w:rsidRDefault="00E03711" w:rsidP="00ED1E3E">
      <w:pPr>
        <w:pStyle w:val="Guide-AnnexHeading3"/>
        <w:numPr>
          <w:ilvl w:val="0"/>
          <w:numId w:val="0"/>
        </w:numPr>
        <w:ind w:left="360" w:hanging="360"/>
        <w:rPr>
          <w:lang w:val="sl-SI"/>
        </w:rPr>
      </w:pPr>
      <w:bookmarkStart w:id="631" w:name="_Toc524425619"/>
      <w:bookmarkStart w:id="632" w:name="_Toc526422857"/>
      <w:bookmarkStart w:id="633" w:name="_Toc527400975"/>
      <w:bookmarkStart w:id="634" w:name="_Toc527401307"/>
      <w:r w:rsidRPr="00ED1E3E">
        <w:rPr>
          <w:lang w:val="sl-SI"/>
        </w:rPr>
        <w:t>2.</w:t>
      </w:r>
      <w:r>
        <w:rPr>
          <w:lang w:val="sl-SI"/>
        </w:rPr>
        <w:t xml:space="preserve"> </w:t>
      </w:r>
      <w:r w:rsidRPr="001048FE">
        <w:rPr>
          <w:lang w:val="sl-SI"/>
        </w:rPr>
        <w:t>Pred</w:t>
      </w:r>
      <w:r w:rsidRPr="001048FE">
        <w:rPr>
          <w:spacing w:val="5"/>
          <w:lang w:val="sl-SI"/>
        </w:rPr>
        <w:t xml:space="preserve"> </w:t>
      </w:r>
      <w:r w:rsidRPr="001048FE">
        <w:rPr>
          <w:lang w:val="sl-SI"/>
        </w:rPr>
        <w:t>mobilnostjo</w:t>
      </w:r>
      <w:bookmarkEnd w:id="631"/>
      <w:bookmarkEnd w:id="632"/>
      <w:bookmarkEnd w:id="633"/>
      <w:bookmarkEnd w:id="634"/>
    </w:p>
    <w:p w14:paraId="7D39A8CC" w14:textId="77777777" w:rsidR="00E03711" w:rsidRPr="001048FE" w:rsidRDefault="00E03711" w:rsidP="00AA6A8A">
      <w:pPr>
        <w:pStyle w:val="Guide-Heading4"/>
        <w:rPr>
          <w:lang w:val="sl-SI"/>
        </w:rPr>
      </w:pPr>
      <w:bookmarkStart w:id="635" w:name="_Toc527401308"/>
      <w:r w:rsidRPr="001048FE">
        <w:rPr>
          <w:lang w:val="sl-SI"/>
        </w:rPr>
        <w:t>A: Evropski razvojni načrt</w:t>
      </w:r>
      <w:bookmarkEnd w:id="635"/>
    </w:p>
    <w:p w14:paraId="7D39A8CD" w14:textId="77777777" w:rsidR="00E03711" w:rsidRPr="001048FE" w:rsidRDefault="00E03711" w:rsidP="00AA6A8A">
      <w:pPr>
        <w:pStyle w:val="GUIDE-NORMAL"/>
        <w:rPr>
          <w:lang w:val="sl-SI"/>
        </w:rPr>
      </w:pPr>
      <w:r w:rsidRPr="001048FE">
        <w:rPr>
          <w:lang w:val="sl-SI"/>
        </w:rPr>
        <w:t>Pred prijavo mora organizacija v izobraževanju odraslih oblikovati evropski razvojni načrt; ta načrt je del</w:t>
      </w:r>
      <w:r w:rsidRPr="001048FE">
        <w:rPr>
          <w:spacing w:val="-14"/>
          <w:lang w:val="sl-SI"/>
        </w:rPr>
        <w:t xml:space="preserve"> </w:t>
      </w:r>
      <w:r w:rsidRPr="001048FE">
        <w:rPr>
          <w:lang w:val="sl-SI"/>
        </w:rPr>
        <w:t>prijavnega</w:t>
      </w:r>
      <w:r w:rsidRPr="001048FE">
        <w:rPr>
          <w:spacing w:val="-14"/>
          <w:lang w:val="sl-SI"/>
        </w:rPr>
        <w:t xml:space="preserve"> </w:t>
      </w:r>
      <w:r w:rsidRPr="001048FE">
        <w:rPr>
          <w:lang w:val="sl-SI"/>
        </w:rPr>
        <w:t>obrazca.</w:t>
      </w:r>
      <w:r w:rsidRPr="001048FE">
        <w:rPr>
          <w:spacing w:val="-14"/>
          <w:lang w:val="sl-SI"/>
        </w:rPr>
        <w:t xml:space="preserve"> </w:t>
      </w:r>
      <w:r w:rsidRPr="001048FE">
        <w:rPr>
          <w:lang w:val="sl-SI"/>
        </w:rPr>
        <w:t>V</w:t>
      </w:r>
      <w:r w:rsidRPr="001048FE">
        <w:rPr>
          <w:spacing w:val="-14"/>
          <w:lang w:val="sl-SI"/>
        </w:rPr>
        <w:t xml:space="preserve"> </w:t>
      </w:r>
      <w:r w:rsidRPr="001048FE">
        <w:rPr>
          <w:lang w:val="sl-SI"/>
        </w:rPr>
        <w:t>tem</w:t>
      </w:r>
      <w:r w:rsidRPr="001048FE">
        <w:rPr>
          <w:spacing w:val="-14"/>
          <w:lang w:val="sl-SI"/>
        </w:rPr>
        <w:t xml:space="preserve"> </w:t>
      </w:r>
      <w:r w:rsidRPr="001048FE">
        <w:rPr>
          <w:lang w:val="sl-SI"/>
        </w:rPr>
        <w:t>poglavju</w:t>
      </w:r>
      <w:r w:rsidRPr="001048FE">
        <w:rPr>
          <w:spacing w:val="-14"/>
          <w:lang w:val="sl-SI"/>
        </w:rPr>
        <w:t xml:space="preserve"> </w:t>
      </w:r>
      <w:r w:rsidRPr="001048FE">
        <w:rPr>
          <w:lang w:val="sl-SI"/>
        </w:rPr>
        <w:t>je</w:t>
      </w:r>
      <w:r w:rsidRPr="001048FE">
        <w:rPr>
          <w:spacing w:val="-14"/>
          <w:lang w:val="sl-SI"/>
        </w:rPr>
        <w:t xml:space="preserve"> </w:t>
      </w:r>
      <w:r w:rsidRPr="001048FE">
        <w:rPr>
          <w:lang w:val="sl-SI"/>
        </w:rPr>
        <w:t>navedeno,</w:t>
      </w:r>
      <w:r w:rsidRPr="001048FE">
        <w:rPr>
          <w:spacing w:val="-14"/>
          <w:lang w:val="sl-SI"/>
        </w:rPr>
        <w:t xml:space="preserve"> </w:t>
      </w:r>
      <w:r w:rsidRPr="001048FE">
        <w:rPr>
          <w:lang w:val="sl-SI"/>
        </w:rPr>
        <w:t>kako</w:t>
      </w:r>
      <w:r w:rsidRPr="001048FE">
        <w:rPr>
          <w:spacing w:val="-14"/>
          <w:lang w:val="sl-SI"/>
        </w:rPr>
        <w:t xml:space="preserve"> </w:t>
      </w:r>
      <w:r w:rsidRPr="001048FE">
        <w:rPr>
          <w:lang w:val="sl-SI"/>
        </w:rPr>
        <w:t>je</w:t>
      </w:r>
      <w:r w:rsidRPr="001048FE">
        <w:rPr>
          <w:spacing w:val="-14"/>
          <w:lang w:val="sl-SI"/>
        </w:rPr>
        <w:t xml:space="preserve"> </w:t>
      </w:r>
      <w:r w:rsidRPr="001048FE">
        <w:rPr>
          <w:lang w:val="sl-SI"/>
        </w:rPr>
        <w:t>načrtovana</w:t>
      </w:r>
      <w:r w:rsidRPr="001048FE">
        <w:rPr>
          <w:spacing w:val="-14"/>
          <w:lang w:val="sl-SI"/>
        </w:rPr>
        <w:t xml:space="preserve"> </w:t>
      </w:r>
      <w:r w:rsidRPr="001048FE">
        <w:rPr>
          <w:lang w:val="sl-SI"/>
        </w:rPr>
        <w:t>mobilnost</w:t>
      </w:r>
      <w:r w:rsidRPr="001048FE">
        <w:rPr>
          <w:spacing w:val="-14"/>
          <w:lang w:val="sl-SI"/>
        </w:rPr>
        <w:t xml:space="preserve"> </w:t>
      </w:r>
      <w:r w:rsidRPr="001048FE">
        <w:rPr>
          <w:lang w:val="sl-SI"/>
        </w:rPr>
        <w:t>povezana</w:t>
      </w:r>
      <w:r w:rsidRPr="001048FE">
        <w:rPr>
          <w:spacing w:val="-14"/>
          <w:lang w:val="sl-SI"/>
        </w:rPr>
        <w:t xml:space="preserve"> </w:t>
      </w:r>
      <w:r w:rsidRPr="001048FE">
        <w:rPr>
          <w:lang w:val="sl-SI"/>
        </w:rPr>
        <w:t>s</w:t>
      </w:r>
      <w:r w:rsidRPr="001048FE">
        <w:rPr>
          <w:spacing w:val="-14"/>
          <w:lang w:val="sl-SI"/>
        </w:rPr>
        <w:t xml:space="preserve"> </w:t>
      </w:r>
      <w:r w:rsidRPr="001048FE">
        <w:rPr>
          <w:lang w:val="sl-SI"/>
        </w:rPr>
        <w:t>širšo in dolgoročno strategijo razvoja in posodobitve</w:t>
      </w:r>
      <w:r w:rsidRPr="001048FE">
        <w:rPr>
          <w:spacing w:val="-17"/>
          <w:lang w:val="sl-SI"/>
        </w:rPr>
        <w:t xml:space="preserve"> </w:t>
      </w:r>
      <w:r w:rsidRPr="001048FE">
        <w:rPr>
          <w:lang w:val="sl-SI"/>
        </w:rPr>
        <w:t>organizacije.</w:t>
      </w:r>
    </w:p>
    <w:p w14:paraId="7D39A8CE" w14:textId="77777777" w:rsidR="00E03711" w:rsidRPr="001048FE" w:rsidRDefault="00E03711" w:rsidP="00AA6A8A">
      <w:pPr>
        <w:pStyle w:val="GUIDE-NORMAL"/>
        <w:rPr>
          <w:lang w:val="sl-SI"/>
        </w:rPr>
      </w:pPr>
      <w:r w:rsidRPr="001048FE">
        <w:rPr>
          <w:lang w:val="sl-SI"/>
        </w:rPr>
        <w:t>Ta</w:t>
      </w:r>
      <w:r w:rsidRPr="001048FE">
        <w:rPr>
          <w:spacing w:val="-14"/>
          <w:lang w:val="sl-SI"/>
        </w:rPr>
        <w:t xml:space="preserve"> </w:t>
      </w:r>
      <w:r w:rsidRPr="001048FE">
        <w:rPr>
          <w:lang w:val="sl-SI"/>
        </w:rPr>
        <w:t>evropski</w:t>
      </w:r>
      <w:r w:rsidRPr="001048FE">
        <w:rPr>
          <w:spacing w:val="-14"/>
          <w:lang w:val="sl-SI"/>
        </w:rPr>
        <w:t xml:space="preserve"> </w:t>
      </w:r>
      <w:r w:rsidRPr="001048FE">
        <w:rPr>
          <w:lang w:val="sl-SI"/>
        </w:rPr>
        <w:t>razvojni</w:t>
      </w:r>
      <w:r w:rsidRPr="001048FE">
        <w:rPr>
          <w:spacing w:val="-14"/>
          <w:lang w:val="sl-SI"/>
        </w:rPr>
        <w:t xml:space="preserve"> </w:t>
      </w:r>
      <w:r w:rsidRPr="001048FE">
        <w:rPr>
          <w:lang w:val="sl-SI"/>
        </w:rPr>
        <w:t>načrt</w:t>
      </w:r>
      <w:r w:rsidRPr="001048FE">
        <w:rPr>
          <w:spacing w:val="-14"/>
          <w:lang w:val="sl-SI"/>
        </w:rPr>
        <w:t xml:space="preserve"> </w:t>
      </w:r>
      <w:r w:rsidRPr="001048FE">
        <w:rPr>
          <w:lang w:val="sl-SI"/>
        </w:rPr>
        <w:t>bo</w:t>
      </w:r>
      <w:r w:rsidRPr="001048FE">
        <w:rPr>
          <w:spacing w:val="-14"/>
          <w:lang w:val="sl-SI"/>
        </w:rPr>
        <w:t xml:space="preserve"> </w:t>
      </w:r>
      <w:r w:rsidRPr="001048FE">
        <w:rPr>
          <w:lang w:val="sl-SI"/>
        </w:rPr>
        <w:t>pomemben</w:t>
      </w:r>
      <w:r w:rsidRPr="001048FE">
        <w:rPr>
          <w:spacing w:val="-14"/>
          <w:lang w:val="sl-SI"/>
        </w:rPr>
        <w:t xml:space="preserve"> </w:t>
      </w:r>
      <w:r w:rsidRPr="001048FE">
        <w:rPr>
          <w:lang w:val="sl-SI"/>
        </w:rPr>
        <w:t>del</w:t>
      </w:r>
      <w:r w:rsidRPr="001048FE">
        <w:rPr>
          <w:spacing w:val="-14"/>
          <w:lang w:val="sl-SI"/>
        </w:rPr>
        <w:t xml:space="preserve"> </w:t>
      </w:r>
      <w:r w:rsidRPr="001048FE">
        <w:rPr>
          <w:lang w:val="sl-SI"/>
        </w:rPr>
        <w:t>ocene</w:t>
      </w:r>
      <w:r w:rsidRPr="001048FE">
        <w:rPr>
          <w:spacing w:val="-13"/>
          <w:lang w:val="sl-SI"/>
        </w:rPr>
        <w:t xml:space="preserve"> </w:t>
      </w:r>
      <w:r w:rsidRPr="001048FE">
        <w:rPr>
          <w:lang w:val="sl-SI"/>
        </w:rPr>
        <w:t>vlog</w:t>
      </w:r>
      <w:r w:rsidRPr="001048FE">
        <w:rPr>
          <w:spacing w:val="-14"/>
          <w:lang w:val="sl-SI"/>
        </w:rPr>
        <w:t xml:space="preserve"> </w:t>
      </w:r>
      <w:r w:rsidRPr="001048FE">
        <w:rPr>
          <w:lang w:val="sl-SI"/>
        </w:rPr>
        <w:t>za</w:t>
      </w:r>
      <w:r w:rsidRPr="001048FE">
        <w:rPr>
          <w:spacing w:val="-14"/>
          <w:lang w:val="sl-SI"/>
        </w:rPr>
        <w:t xml:space="preserve"> </w:t>
      </w:r>
      <w:r w:rsidRPr="001048FE">
        <w:rPr>
          <w:lang w:val="sl-SI"/>
        </w:rPr>
        <w:t>nepovratna</w:t>
      </w:r>
      <w:r w:rsidRPr="001048FE">
        <w:rPr>
          <w:spacing w:val="-14"/>
          <w:lang w:val="sl-SI"/>
        </w:rPr>
        <w:t xml:space="preserve"> </w:t>
      </w:r>
      <w:r w:rsidRPr="001048FE">
        <w:rPr>
          <w:lang w:val="sl-SI"/>
        </w:rPr>
        <w:t>sredstva</w:t>
      </w:r>
      <w:r w:rsidRPr="001048FE">
        <w:rPr>
          <w:spacing w:val="-14"/>
          <w:lang w:val="sl-SI"/>
        </w:rPr>
        <w:t xml:space="preserve"> </w:t>
      </w:r>
      <w:r w:rsidRPr="001048FE">
        <w:rPr>
          <w:lang w:val="sl-SI"/>
        </w:rPr>
        <w:t>in</w:t>
      </w:r>
      <w:r w:rsidRPr="001048FE">
        <w:rPr>
          <w:spacing w:val="-14"/>
          <w:lang w:val="sl-SI"/>
        </w:rPr>
        <w:t xml:space="preserve"> </w:t>
      </w:r>
      <w:r w:rsidRPr="001048FE">
        <w:rPr>
          <w:lang w:val="sl-SI"/>
        </w:rPr>
        <w:t>v</w:t>
      </w:r>
      <w:r w:rsidRPr="001048FE">
        <w:rPr>
          <w:spacing w:val="-14"/>
          <w:lang w:val="sl-SI"/>
        </w:rPr>
        <w:t xml:space="preserve"> </w:t>
      </w:r>
      <w:r w:rsidRPr="001048FE">
        <w:rPr>
          <w:lang w:val="sl-SI"/>
        </w:rPr>
        <w:t>njem</w:t>
      </w:r>
      <w:r w:rsidRPr="001048FE">
        <w:rPr>
          <w:spacing w:val="-14"/>
          <w:lang w:val="sl-SI"/>
        </w:rPr>
        <w:t xml:space="preserve"> </w:t>
      </w:r>
      <w:r w:rsidRPr="001048FE">
        <w:rPr>
          <w:lang w:val="sl-SI"/>
        </w:rPr>
        <w:t>bi</w:t>
      </w:r>
      <w:r w:rsidRPr="001048FE">
        <w:rPr>
          <w:spacing w:val="-14"/>
          <w:lang w:val="sl-SI"/>
        </w:rPr>
        <w:t xml:space="preserve"> </w:t>
      </w:r>
      <w:r w:rsidRPr="001048FE">
        <w:rPr>
          <w:lang w:val="sl-SI"/>
        </w:rPr>
        <w:t>morale biti zagotovljene naslednje</w:t>
      </w:r>
      <w:r w:rsidRPr="001048FE">
        <w:rPr>
          <w:spacing w:val="-7"/>
          <w:lang w:val="sl-SI"/>
        </w:rPr>
        <w:t xml:space="preserve"> </w:t>
      </w:r>
      <w:r w:rsidRPr="001048FE">
        <w:rPr>
          <w:lang w:val="sl-SI"/>
        </w:rPr>
        <w:t>informacije:</w:t>
      </w:r>
    </w:p>
    <w:p w14:paraId="7D39A8CF" w14:textId="77777777" w:rsidR="00E03711" w:rsidRPr="001048FE" w:rsidRDefault="00E03711" w:rsidP="005115F2">
      <w:pPr>
        <w:pStyle w:val="Guide-NormalBulletpoints"/>
        <w:numPr>
          <w:ilvl w:val="0"/>
          <w:numId w:val="435"/>
        </w:numPr>
        <w:rPr>
          <w:lang w:val="sl-SI"/>
        </w:rPr>
      </w:pPr>
      <w:r w:rsidRPr="001048FE">
        <w:rPr>
          <w:lang w:val="sl-SI"/>
        </w:rPr>
        <w:t>potrebe</w:t>
      </w:r>
      <w:r w:rsidRPr="001048FE">
        <w:rPr>
          <w:spacing w:val="-11"/>
          <w:lang w:val="sl-SI"/>
        </w:rPr>
        <w:t xml:space="preserve"> </w:t>
      </w:r>
      <w:r w:rsidRPr="001048FE">
        <w:rPr>
          <w:lang w:val="sl-SI"/>
        </w:rPr>
        <w:t>organizacije</w:t>
      </w:r>
      <w:r w:rsidRPr="001048FE">
        <w:rPr>
          <w:spacing w:val="-10"/>
          <w:lang w:val="sl-SI"/>
        </w:rPr>
        <w:t xml:space="preserve"> </w:t>
      </w:r>
      <w:r w:rsidRPr="001048FE">
        <w:rPr>
          <w:lang w:val="sl-SI"/>
        </w:rPr>
        <w:t>v</w:t>
      </w:r>
      <w:r w:rsidRPr="001048FE">
        <w:rPr>
          <w:spacing w:val="-11"/>
          <w:lang w:val="sl-SI"/>
        </w:rPr>
        <w:t xml:space="preserve"> </w:t>
      </w:r>
      <w:r w:rsidRPr="001048FE">
        <w:rPr>
          <w:lang w:val="sl-SI"/>
        </w:rPr>
        <w:t>zvezi</w:t>
      </w:r>
      <w:r w:rsidRPr="001048FE">
        <w:rPr>
          <w:spacing w:val="-11"/>
          <w:lang w:val="sl-SI"/>
        </w:rPr>
        <w:t xml:space="preserve"> </w:t>
      </w:r>
      <w:r w:rsidRPr="001048FE">
        <w:rPr>
          <w:lang w:val="sl-SI"/>
        </w:rPr>
        <w:t>z</w:t>
      </w:r>
      <w:r w:rsidRPr="001048FE">
        <w:rPr>
          <w:spacing w:val="-11"/>
          <w:lang w:val="sl-SI"/>
        </w:rPr>
        <w:t xml:space="preserve"> </w:t>
      </w:r>
      <w:r w:rsidRPr="001048FE">
        <w:rPr>
          <w:lang w:val="sl-SI"/>
        </w:rPr>
        <w:t>razvojem</w:t>
      </w:r>
      <w:r w:rsidRPr="001048FE">
        <w:rPr>
          <w:spacing w:val="-11"/>
          <w:lang w:val="sl-SI"/>
        </w:rPr>
        <w:t xml:space="preserve"> </w:t>
      </w:r>
      <w:r w:rsidRPr="001048FE">
        <w:rPr>
          <w:lang w:val="sl-SI"/>
        </w:rPr>
        <w:t>kakovosti</w:t>
      </w:r>
      <w:r w:rsidRPr="001048FE">
        <w:rPr>
          <w:spacing w:val="-11"/>
          <w:lang w:val="sl-SI"/>
        </w:rPr>
        <w:t xml:space="preserve"> </w:t>
      </w:r>
      <w:r w:rsidRPr="001048FE">
        <w:rPr>
          <w:lang w:val="sl-SI"/>
        </w:rPr>
        <w:t>in</w:t>
      </w:r>
      <w:r w:rsidRPr="001048FE">
        <w:rPr>
          <w:spacing w:val="-11"/>
          <w:lang w:val="sl-SI"/>
        </w:rPr>
        <w:t xml:space="preserve"> </w:t>
      </w:r>
      <w:r w:rsidRPr="001048FE">
        <w:rPr>
          <w:lang w:val="sl-SI"/>
        </w:rPr>
        <w:t>internacionalizacijo</w:t>
      </w:r>
      <w:r w:rsidRPr="001048FE">
        <w:rPr>
          <w:spacing w:val="-11"/>
          <w:lang w:val="sl-SI"/>
        </w:rPr>
        <w:t xml:space="preserve"> </w:t>
      </w:r>
      <w:r w:rsidRPr="001048FE">
        <w:rPr>
          <w:lang w:val="sl-SI"/>
        </w:rPr>
        <w:t>(npr.</w:t>
      </w:r>
      <w:r w:rsidRPr="001048FE">
        <w:rPr>
          <w:spacing w:val="-11"/>
          <w:lang w:val="sl-SI"/>
        </w:rPr>
        <w:t xml:space="preserve"> </w:t>
      </w:r>
      <w:r w:rsidRPr="001048FE">
        <w:rPr>
          <w:lang w:val="sl-SI"/>
        </w:rPr>
        <w:t>glede</w:t>
      </w:r>
      <w:r w:rsidRPr="001048FE">
        <w:rPr>
          <w:spacing w:val="-11"/>
          <w:lang w:val="sl-SI"/>
        </w:rPr>
        <w:t xml:space="preserve"> </w:t>
      </w:r>
      <w:r w:rsidRPr="001048FE">
        <w:rPr>
          <w:lang w:val="sl-SI"/>
        </w:rPr>
        <w:t>kompetenc upravljanja, kompetenc osebja, novih metod ali orodij poučevanja/učenja, evropske razsežnosti,</w:t>
      </w:r>
      <w:r w:rsidRPr="001048FE">
        <w:rPr>
          <w:spacing w:val="-19"/>
          <w:lang w:val="sl-SI"/>
        </w:rPr>
        <w:t xml:space="preserve"> </w:t>
      </w:r>
      <w:r w:rsidRPr="001048FE">
        <w:rPr>
          <w:lang w:val="sl-SI"/>
        </w:rPr>
        <w:t>znanja</w:t>
      </w:r>
      <w:r w:rsidRPr="001048FE">
        <w:rPr>
          <w:spacing w:val="-19"/>
          <w:lang w:val="sl-SI"/>
        </w:rPr>
        <w:t xml:space="preserve"> </w:t>
      </w:r>
      <w:r w:rsidRPr="001048FE">
        <w:rPr>
          <w:lang w:val="sl-SI"/>
        </w:rPr>
        <w:t>jezikov,</w:t>
      </w:r>
      <w:r w:rsidRPr="001048FE">
        <w:rPr>
          <w:spacing w:val="-19"/>
          <w:lang w:val="sl-SI"/>
        </w:rPr>
        <w:t xml:space="preserve"> </w:t>
      </w:r>
      <w:r w:rsidRPr="001048FE">
        <w:rPr>
          <w:lang w:val="sl-SI"/>
        </w:rPr>
        <w:t>učnega</w:t>
      </w:r>
      <w:r w:rsidRPr="001048FE">
        <w:rPr>
          <w:spacing w:val="-19"/>
          <w:lang w:val="sl-SI"/>
        </w:rPr>
        <w:t xml:space="preserve"> </w:t>
      </w:r>
      <w:r w:rsidRPr="001048FE">
        <w:rPr>
          <w:lang w:val="sl-SI"/>
        </w:rPr>
        <w:t>načrta,</w:t>
      </w:r>
      <w:r w:rsidRPr="001048FE">
        <w:rPr>
          <w:spacing w:val="-19"/>
          <w:lang w:val="sl-SI"/>
        </w:rPr>
        <w:t xml:space="preserve"> </w:t>
      </w:r>
      <w:r w:rsidRPr="001048FE">
        <w:rPr>
          <w:lang w:val="sl-SI"/>
        </w:rPr>
        <w:t>organizacije</w:t>
      </w:r>
      <w:r w:rsidRPr="001048FE">
        <w:rPr>
          <w:spacing w:val="-18"/>
          <w:lang w:val="sl-SI"/>
        </w:rPr>
        <w:t xml:space="preserve"> </w:t>
      </w:r>
      <w:r w:rsidRPr="001048FE">
        <w:rPr>
          <w:lang w:val="sl-SI"/>
        </w:rPr>
        <w:t>poučevanja,</w:t>
      </w:r>
      <w:r w:rsidRPr="001048FE">
        <w:rPr>
          <w:spacing w:val="-19"/>
          <w:lang w:val="sl-SI"/>
        </w:rPr>
        <w:t xml:space="preserve"> </w:t>
      </w:r>
      <w:r w:rsidRPr="001048FE">
        <w:rPr>
          <w:lang w:val="sl-SI"/>
        </w:rPr>
        <w:t>usposabljanja</w:t>
      </w:r>
      <w:r w:rsidRPr="001048FE">
        <w:rPr>
          <w:spacing w:val="-19"/>
          <w:lang w:val="sl-SI"/>
        </w:rPr>
        <w:t xml:space="preserve"> </w:t>
      </w:r>
      <w:r w:rsidRPr="001048FE">
        <w:rPr>
          <w:lang w:val="sl-SI"/>
        </w:rPr>
        <w:t>in</w:t>
      </w:r>
      <w:r w:rsidRPr="001048FE">
        <w:rPr>
          <w:spacing w:val="-19"/>
          <w:lang w:val="sl-SI"/>
        </w:rPr>
        <w:t xml:space="preserve"> </w:t>
      </w:r>
      <w:r w:rsidRPr="001048FE">
        <w:rPr>
          <w:lang w:val="sl-SI"/>
        </w:rPr>
        <w:t>učenja, krepitve povezav s partnerskimi organizacijami) in kako bodo načrtovane aktivnosti prispevale k izpolnjevanju teh potreb;</w:t>
      </w:r>
    </w:p>
    <w:p w14:paraId="7D39A8D0" w14:textId="77777777" w:rsidR="00E03711" w:rsidRPr="001048FE" w:rsidRDefault="00E03711" w:rsidP="005115F2">
      <w:pPr>
        <w:pStyle w:val="Guide-NormalBulletpoints"/>
        <w:numPr>
          <w:ilvl w:val="0"/>
          <w:numId w:val="435"/>
        </w:numPr>
        <w:rPr>
          <w:lang w:val="sl-SI"/>
        </w:rPr>
      </w:pPr>
      <w:r w:rsidRPr="001048FE">
        <w:rPr>
          <w:lang w:val="sl-SI"/>
        </w:rPr>
        <w:t>predviden</w:t>
      </w:r>
      <w:r w:rsidRPr="001048FE">
        <w:rPr>
          <w:spacing w:val="-13"/>
          <w:lang w:val="sl-SI"/>
        </w:rPr>
        <w:t xml:space="preserve"> </w:t>
      </w:r>
      <w:r w:rsidRPr="001048FE">
        <w:rPr>
          <w:lang w:val="sl-SI"/>
        </w:rPr>
        <w:t>učinek</w:t>
      </w:r>
      <w:r w:rsidRPr="001048FE">
        <w:rPr>
          <w:spacing w:val="-13"/>
          <w:lang w:val="sl-SI"/>
        </w:rPr>
        <w:t xml:space="preserve"> </w:t>
      </w:r>
      <w:r w:rsidRPr="001048FE">
        <w:rPr>
          <w:lang w:val="sl-SI"/>
        </w:rPr>
        <w:t>na</w:t>
      </w:r>
      <w:r w:rsidRPr="001048FE">
        <w:rPr>
          <w:spacing w:val="-13"/>
          <w:lang w:val="sl-SI"/>
        </w:rPr>
        <w:t xml:space="preserve"> </w:t>
      </w:r>
      <w:r w:rsidRPr="001048FE">
        <w:rPr>
          <w:lang w:val="sl-SI"/>
        </w:rPr>
        <w:t>učeče</w:t>
      </w:r>
      <w:r w:rsidRPr="001048FE">
        <w:rPr>
          <w:spacing w:val="-13"/>
          <w:lang w:val="sl-SI"/>
        </w:rPr>
        <w:t xml:space="preserve"> </w:t>
      </w:r>
      <w:r w:rsidRPr="001048FE">
        <w:rPr>
          <w:lang w:val="sl-SI"/>
        </w:rPr>
        <w:t>se</w:t>
      </w:r>
      <w:r w:rsidRPr="001048FE">
        <w:rPr>
          <w:spacing w:val="-13"/>
          <w:lang w:val="sl-SI"/>
        </w:rPr>
        <w:t xml:space="preserve"> </w:t>
      </w:r>
      <w:r w:rsidRPr="001048FE">
        <w:rPr>
          <w:lang w:val="sl-SI"/>
        </w:rPr>
        <w:t>odrasle,</w:t>
      </w:r>
      <w:r w:rsidRPr="001048FE">
        <w:rPr>
          <w:spacing w:val="-12"/>
          <w:lang w:val="sl-SI"/>
        </w:rPr>
        <w:t xml:space="preserve"> </w:t>
      </w:r>
      <w:r w:rsidRPr="001048FE">
        <w:rPr>
          <w:lang w:val="sl-SI"/>
        </w:rPr>
        <w:t>učitelje,</w:t>
      </w:r>
      <w:r w:rsidRPr="001048FE">
        <w:rPr>
          <w:spacing w:val="-13"/>
          <w:lang w:val="sl-SI"/>
        </w:rPr>
        <w:t xml:space="preserve"> </w:t>
      </w:r>
      <w:r w:rsidRPr="001048FE">
        <w:rPr>
          <w:lang w:val="sl-SI"/>
        </w:rPr>
        <w:t>vodje</w:t>
      </w:r>
      <w:r w:rsidRPr="001048FE">
        <w:rPr>
          <w:spacing w:val="-13"/>
          <w:lang w:val="sl-SI"/>
        </w:rPr>
        <w:t xml:space="preserve"> </w:t>
      </w:r>
      <w:r w:rsidRPr="001048FE">
        <w:rPr>
          <w:lang w:val="sl-SI"/>
        </w:rPr>
        <w:t>usposabljanj</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drugo</w:t>
      </w:r>
      <w:r w:rsidRPr="001048FE">
        <w:rPr>
          <w:spacing w:val="-13"/>
          <w:lang w:val="sl-SI"/>
        </w:rPr>
        <w:t xml:space="preserve"> </w:t>
      </w:r>
      <w:r w:rsidRPr="001048FE">
        <w:rPr>
          <w:lang w:val="sl-SI"/>
        </w:rPr>
        <w:t>osebje</w:t>
      </w:r>
      <w:r w:rsidRPr="001048FE">
        <w:rPr>
          <w:spacing w:val="-12"/>
          <w:lang w:val="sl-SI"/>
        </w:rPr>
        <w:t xml:space="preserve"> </w:t>
      </w:r>
      <w:r w:rsidRPr="001048FE">
        <w:rPr>
          <w:lang w:val="sl-SI"/>
        </w:rPr>
        <w:t>ter</w:t>
      </w:r>
      <w:r w:rsidRPr="001048FE">
        <w:rPr>
          <w:spacing w:val="-13"/>
          <w:lang w:val="sl-SI"/>
        </w:rPr>
        <w:t xml:space="preserve"> </w:t>
      </w:r>
      <w:r w:rsidRPr="001048FE">
        <w:rPr>
          <w:lang w:val="sl-SI"/>
        </w:rPr>
        <w:t>na organizacijo na</w:t>
      </w:r>
      <w:r w:rsidRPr="001048FE">
        <w:rPr>
          <w:spacing w:val="-4"/>
          <w:lang w:val="sl-SI"/>
        </w:rPr>
        <w:t xml:space="preserve"> </w:t>
      </w:r>
      <w:r w:rsidRPr="001048FE">
        <w:rPr>
          <w:lang w:val="sl-SI"/>
        </w:rPr>
        <w:t>sploh;</w:t>
      </w:r>
    </w:p>
    <w:p w14:paraId="7D39A8D1" w14:textId="77777777" w:rsidR="00E03711" w:rsidRPr="001048FE" w:rsidRDefault="00E03711" w:rsidP="005115F2">
      <w:pPr>
        <w:pStyle w:val="Guide-NormalBulletpoints"/>
        <w:numPr>
          <w:ilvl w:val="0"/>
          <w:numId w:val="435"/>
        </w:numPr>
        <w:rPr>
          <w:lang w:val="sl-SI"/>
        </w:rPr>
      </w:pPr>
      <w:r w:rsidRPr="001048FE">
        <w:rPr>
          <w:lang w:val="sl-SI"/>
        </w:rPr>
        <w:t>kako bo organizacija vključila kompetence, ki jih bo pridobilo njeno osebje, v svoj učni načrt in/ali razvojni načrt organizacije.</w:t>
      </w:r>
    </w:p>
    <w:p w14:paraId="7D39A8D2" w14:textId="77777777" w:rsidR="00E03711" w:rsidRPr="001048FE" w:rsidRDefault="00E03711" w:rsidP="00AA6A8A">
      <w:pPr>
        <w:pStyle w:val="GUIDE-NORMAL"/>
        <w:rPr>
          <w:lang w:val="sl-SI"/>
        </w:rPr>
      </w:pPr>
      <w:r w:rsidRPr="001048FE">
        <w:rPr>
          <w:lang w:val="sl-SI"/>
        </w:rPr>
        <w:t>Namen evropskega razvojnega načrta je zagotoviti, da so načrtovane aktivnosti ustrezne za posamezne</w:t>
      </w:r>
      <w:r w:rsidRPr="001048FE">
        <w:rPr>
          <w:spacing w:val="-21"/>
          <w:lang w:val="sl-SI"/>
        </w:rPr>
        <w:t xml:space="preserve"> </w:t>
      </w:r>
      <w:r w:rsidRPr="001048FE">
        <w:rPr>
          <w:lang w:val="sl-SI"/>
        </w:rPr>
        <w:t>udeležence</w:t>
      </w:r>
      <w:r w:rsidRPr="001048FE">
        <w:rPr>
          <w:spacing w:val="-21"/>
          <w:lang w:val="sl-SI"/>
        </w:rPr>
        <w:t xml:space="preserve"> </w:t>
      </w:r>
      <w:r w:rsidRPr="001048FE">
        <w:rPr>
          <w:lang w:val="sl-SI"/>
        </w:rPr>
        <w:t>in</w:t>
      </w:r>
      <w:r w:rsidRPr="001048FE">
        <w:rPr>
          <w:spacing w:val="-21"/>
          <w:lang w:val="sl-SI"/>
        </w:rPr>
        <w:t xml:space="preserve"> </w:t>
      </w:r>
      <w:r w:rsidRPr="001048FE">
        <w:rPr>
          <w:lang w:val="sl-SI"/>
        </w:rPr>
        <w:t>organizacijo</w:t>
      </w:r>
      <w:r w:rsidRPr="001048FE">
        <w:rPr>
          <w:spacing w:val="-20"/>
          <w:lang w:val="sl-SI"/>
        </w:rPr>
        <w:t xml:space="preserve"> </w:t>
      </w:r>
      <w:r w:rsidRPr="001048FE">
        <w:rPr>
          <w:lang w:val="sl-SI"/>
        </w:rPr>
        <w:t>kot</w:t>
      </w:r>
      <w:r w:rsidRPr="001048FE">
        <w:rPr>
          <w:spacing w:val="-21"/>
          <w:lang w:val="sl-SI"/>
        </w:rPr>
        <w:t xml:space="preserve"> </w:t>
      </w:r>
      <w:r w:rsidRPr="001048FE">
        <w:rPr>
          <w:lang w:val="sl-SI"/>
        </w:rPr>
        <w:t>celoto,</w:t>
      </w:r>
      <w:r w:rsidRPr="001048FE">
        <w:rPr>
          <w:spacing w:val="-21"/>
          <w:lang w:val="sl-SI"/>
        </w:rPr>
        <w:t xml:space="preserve"> </w:t>
      </w:r>
      <w:r w:rsidRPr="001048FE">
        <w:rPr>
          <w:lang w:val="sl-SI"/>
        </w:rPr>
        <w:t>saj</w:t>
      </w:r>
      <w:r w:rsidRPr="001048FE">
        <w:rPr>
          <w:spacing w:val="-21"/>
          <w:lang w:val="sl-SI"/>
        </w:rPr>
        <w:t xml:space="preserve"> </w:t>
      </w:r>
      <w:r w:rsidRPr="001048FE">
        <w:rPr>
          <w:lang w:val="sl-SI"/>
        </w:rPr>
        <w:t>bodo</w:t>
      </w:r>
      <w:r w:rsidRPr="001048FE">
        <w:rPr>
          <w:spacing w:val="-21"/>
          <w:lang w:val="sl-SI"/>
        </w:rPr>
        <w:t xml:space="preserve"> </w:t>
      </w:r>
      <w:r w:rsidRPr="001048FE">
        <w:rPr>
          <w:lang w:val="sl-SI"/>
        </w:rPr>
        <w:t>imele</w:t>
      </w:r>
      <w:r w:rsidRPr="001048FE">
        <w:rPr>
          <w:spacing w:val="-21"/>
          <w:lang w:val="sl-SI"/>
        </w:rPr>
        <w:t xml:space="preserve"> </w:t>
      </w:r>
      <w:r w:rsidRPr="001048FE">
        <w:rPr>
          <w:lang w:val="sl-SI"/>
        </w:rPr>
        <w:t>večji</w:t>
      </w:r>
      <w:r w:rsidRPr="001048FE">
        <w:rPr>
          <w:spacing w:val="-21"/>
          <w:lang w:val="sl-SI"/>
        </w:rPr>
        <w:t xml:space="preserve"> </w:t>
      </w:r>
      <w:r w:rsidRPr="001048FE">
        <w:rPr>
          <w:lang w:val="sl-SI"/>
        </w:rPr>
        <w:t>učinek</w:t>
      </w:r>
      <w:r w:rsidRPr="001048FE">
        <w:rPr>
          <w:spacing w:val="-21"/>
          <w:lang w:val="sl-SI"/>
        </w:rPr>
        <w:t xml:space="preserve"> </w:t>
      </w:r>
      <w:r w:rsidRPr="001048FE">
        <w:rPr>
          <w:lang w:val="sl-SI"/>
        </w:rPr>
        <w:t>na</w:t>
      </w:r>
      <w:r w:rsidRPr="001048FE">
        <w:rPr>
          <w:spacing w:val="-21"/>
          <w:lang w:val="sl-SI"/>
        </w:rPr>
        <w:t xml:space="preserve"> </w:t>
      </w:r>
      <w:r w:rsidRPr="001048FE">
        <w:rPr>
          <w:lang w:val="sl-SI"/>
        </w:rPr>
        <w:t>kakovost</w:t>
      </w:r>
      <w:r w:rsidRPr="001048FE">
        <w:rPr>
          <w:spacing w:val="-21"/>
          <w:lang w:val="sl-SI"/>
        </w:rPr>
        <w:t xml:space="preserve"> </w:t>
      </w:r>
      <w:r w:rsidRPr="001048FE">
        <w:rPr>
          <w:lang w:val="sl-SI"/>
        </w:rPr>
        <w:t>poučevanja in učenja, če so primerno vključene v strateški razvoj</w:t>
      </w:r>
      <w:r w:rsidRPr="001048FE">
        <w:rPr>
          <w:spacing w:val="-28"/>
          <w:lang w:val="sl-SI"/>
        </w:rPr>
        <w:t xml:space="preserve"> </w:t>
      </w:r>
      <w:r w:rsidRPr="001048FE">
        <w:rPr>
          <w:lang w:val="sl-SI"/>
        </w:rPr>
        <w:t>organizacije.</w:t>
      </w:r>
    </w:p>
    <w:p w14:paraId="7D39A8D3" w14:textId="77777777" w:rsidR="00E03711" w:rsidRPr="001048FE" w:rsidRDefault="00E03711" w:rsidP="00AA6A8A">
      <w:pPr>
        <w:pStyle w:val="Guide-Heading4"/>
        <w:rPr>
          <w:lang w:val="sl-SI"/>
        </w:rPr>
      </w:pPr>
      <w:bookmarkStart w:id="636" w:name="_Toc527401309"/>
      <w:r w:rsidRPr="001048FE">
        <w:rPr>
          <w:lang w:val="sl-SI"/>
        </w:rPr>
        <w:t>B: Orodje za mobilnost (Mobility Tool+)</w:t>
      </w:r>
      <w:bookmarkEnd w:id="636"/>
    </w:p>
    <w:p w14:paraId="7D39A8D4" w14:textId="77777777" w:rsidR="00E03711" w:rsidRPr="001048FE" w:rsidRDefault="00E03711" w:rsidP="00AA6A8A">
      <w:pPr>
        <w:pStyle w:val="GUIDE-NORMAL"/>
        <w:rPr>
          <w:lang w:val="sl-SI"/>
        </w:rPr>
      </w:pPr>
      <w:r w:rsidRPr="001048FE">
        <w:rPr>
          <w:lang w:val="sl-SI"/>
        </w:rPr>
        <w:t>Čim prej po izboru udeležencev mora organizacija upravičenka vnesti splošne informacije o udeležencu in vrsti mobilnosti, ki jo bo izvedel (npr. ime udeleženca, cilj, trajanje mobilnosti itd.), v orodje za mobilnost (Mobility Tool+). Orodje za mobilnost bo zagotavljalo podporo pri izvajanju aktivnosti mobilnosti za upravičence programa Erasmus+. Organizacija upravičenka je odgovorna tudi</w:t>
      </w:r>
      <w:r w:rsidRPr="001048FE">
        <w:rPr>
          <w:spacing w:val="-13"/>
          <w:lang w:val="sl-SI"/>
        </w:rPr>
        <w:t xml:space="preserve"> </w:t>
      </w:r>
      <w:r w:rsidRPr="001048FE">
        <w:rPr>
          <w:lang w:val="sl-SI"/>
        </w:rPr>
        <w:t>za</w:t>
      </w:r>
      <w:r w:rsidRPr="001048FE">
        <w:rPr>
          <w:spacing w:val="-13"/>
          <w:lang w:val="sl-SI"/>
        </w:rPr>
        <w:t xml:space="preserve"> </w:t>
      </w:r>
      <w:r w:rsidRPr="001048FE">
        <w:rPr>
          <w:lang w:val="sl-SI"/>
        </w:rPr>
        <w:t>posodabljanje</w:t>
      </w:r>
      <w:r w:rsidRPr="001048FE">
        <w:rPr>
          <w:spacing w:val="-13"/>
          <w:lang w:val="sl-SI"/>
        </w:rPr>
        <w:t xml:space="preserve"> </w:t>
      </w:r>
      <w:r w:rsidRPr="001048FE">
        <w:rPr>
          <w:lang w:val="sl-SI"/>
        </w:rPr>
        <w:t>podatkov</w:t>
      </w:r>
      <w:r w:rsidRPr="001048FE">
        <w:rPr>
          <w:spacing w:val="-13"/>
          <w:lang w:val="sl-SI"/>
        </w:rPr>
        <w:t xml:space="preserve"> </w:t>
      </w:r>
      <w:r w:rsidRPr="001048FE">
        <w:rPr>
          <w:lang w:val="sl-SI"/>
        </w:rPr>
        <w:t>v</w:t>
      </w:r>
      <w:r w:rsidRPr="001048FE">
        <w:rPr>
          <w:spacing w:val="-13"/>
          <w:lang w:val="sl-SI"/>
        </w:rPr>
        <w:t xml:space="preserve"> </w:t>
      </w:r>
      <w:r w:rsidRPr="001048FE">
        <w:rPr>
          <w:lang w:val="sl-SI"/>
        </w:rPr>
        <w:t>orodju</w:t>
      </w:r>
      <w:r w:rsidRPr="001048FE">
        <w:rPr>
          <w:spacing w:val="-12"/>
          <w:lang w:val="sl-SI"/>
        </w:rPr>
        <w:t xml:space="preserve"> </w:t>
      </w:r>
      <w:r w:rsidRPr="001048FE">
        <w:rPr>
          <w:lang w:val="sl-SI"/>
        </w:rPr>
        <w:t>za</w:t>
      </w:r>
      <w:r w:rsidRPr="001048FE">
        <w:rPr>
          <w:spacing w:val="-13"/>
          <w:lang w:val="sl-SI"/>
        </w:rPr>
        <w:t xml:space="preserve"> </w:t>
      </w:r>
      <w:r w:rsidRPr="001048FE">
        <w:rPr>
          <w:lang w:val="sl-SI"/>
        </w:rPr>
        <w:t>mobilnost</w:t>
      </w:r>
      <w:r w:rsidRPr="001048FE">
        <w:rPr>
          <w:spacing w:val="-13"/>
          <w:lang w:val="sl-SI"/>
        </w:rPr>
        <w:t xml:space="preserve"> </w:t>
      </w:r>
      <w:r w:rsidRPr="001048FE">
        <w:rPr>
          <w:lang w:val="sl-SI"/>
        </w:rPr>
        <w:t>ob</w:t>
      </w:r>
      <w:r w:rsidRPr="001048FE">
        <w:rPr>
          <w:spacing w:val="-12"/>
          <w:lang w:val="sl-SI"/>
        </w:rPr>
        <w:t xml:space="preserve"> </w:t>
      </w:r>
      <w:r w:rsidRPr="001048FE">
        <w:rPr>
          <w:lang w:val="sl-SI"/>
        </w:rPr>
        <w:t>kakršni</w:t>
      </w:r>
      <w:r w:rsidRPr="001048FE">
        <w:rPr>
          <w:spacing w:val="-13"/>
          <w:lang w:val="sl-SI"/>
        </w:rPr>
        <w:t xml:space="preserve"> </w:t>
      </w:r>
      <w:r w:rsidRPr="001048FE">
        <w:rPr>
          <w:lang w:val="sl-SI"/>
        </w:rPr>
        <w:t>koli</w:t>
      </w:r>
      <w:r w:rsidRPr="001048FE">
        <w:rPr>
          <w:spacing w:val="-13"/>
          <w:lang w:val="sl-SI"/>
        </w:rPr>
        <w:t xml:space="preserve"> </w:t>
      </w:r>
      <w:r w:rsidRPr="001048FE">
        <w:rPr>
          <w:lang w:val="sl-SI"/>
        </w:rPr>
        <w:t>spremembi</w:t>
      </w:r>
      <w:r w:rsidRPr="001048FE">
        <w:rPr>
          <w:spacing w:val="-13"/>
          <w:lang w:val="sl-SI"/>
        </w:rPr>
        <w:t xml:space="preserve"> </w:t>
      </w:r>
      <w:r w:rsidRPr="001048FE">
        <w:rPr>
          <w:lang w:val="sl-SI"/>
        </w:rPr>
        <w:t>v</w:t>
      </w:r>
      <w:r w:rsidRPr="001048FE">
        <w:rPr>
          <w:spacing w:val="-13"/>
          <w:lang w:val="sl-SI"/>
        </w:rPr>
        <w:t xml:space="preserve"> </w:t>
      </w:r>
      <w:r w:rsidRPr="001048FE">
        <w:rPr>
          <w:lang w:val="sl-SI"/>
        </w:rPr>
        <w:t>zvezi</w:t>
      </w:r>
      <w:r w:rsidRPr="001048FE">
        <w:rPr>
          <w:spacing w:val="-13"/>
          <w:lang w:val="sl-SI"/>
        </w:rPr>
        <w:t xml:space="preserve"> </w:t>
      </w:r>
      <w:r w:rsidRPr="001048FE">
        <w:rPr>
          <w:lang w:val="sl-SI"/>
        </w:rPr>
        <w:t>z</w:t>
      </w:r>
      <w:r w:rsidRPr="001048FE">
        <w:rPr>
          <w:spacing w:val="-13"/>
          <w:lang w:val="sl-SI"/>
        </w:rPr>
        <w:t xml:space="preserve"> </w:t>
      </w:r>
      <w:r w:rsidRPr="001048FE">
        <w:rPr>
          <w:lang w:val="sl-SI"/>
        </w:rPr>
        <w:t>udeleženci ali aktivnostmi v življenjskem ciklu projekta mobilnosti. Upravičenci bodo lahko z orodjem za mobilnost</w:t>
      </w:r>
      <w:r w:rsidRPr="001048FE">
        <w:rPr>
          <w:spacing w:val="-6"/>
          <w:lang w:val="sl-SI"/>
        </w:rPr>
        <w:t xml:space="preserve"> </w:t>
      </w:r>
      <w:r w:rsidRPr="001048FE">
        <w:rPr>
          <w:lang w:val="sl-SI"/>
        </w:rPr>
        <w:t>ustvarili</w:t>
      </w:r>
      <w:r w:rsidRPr="001048FE">
        <w:rPr>
          <w:spacing w:val="-6"/>
          <w:lang w:val="sl-SI"/>
        </w:rPr>
        <w:t xml:space="preserve"> </w:t>
      </w:r>
      <w:r w:rsidRPr="001048FE">
        <w:rPr>
          <w:lang w:val="sl-SI"/>
        </w:rPr>
        <w:t>vnaprej</w:t>
      </w:r>
      <w:r w:rsidRPr="001048FE">
        <w:rPr>
          <w:spacing w:val="-6"/>
          <w:lang w:val="sl-SI"/>
        </w:rPr>
        <w:t xml:space="preserve"> </w:t>
      </w:r>
      <w:r w:rsidRPr="001048FE">
        <w:rPr>
          <w:lang w:val="sl-SI"/>
        </w:rPr>
        <w:t>izpolnjena</w:t>
      </w:r>
      <w:r w:rsidRPr="001048FE">
        <w:rPr>
          <w:spacing w:val="-6"/>
          <w:lang w:val="sl-SI"/>
        </w:rPr>
        <w:t xml:space="preserve"> </w:t>
      </w:r>
      <w:r w:rsidRPr="001048FE">
        <w:rPr>
          <w:lang w:val="sl-SI"/>
        </w:rPr>
        <w:t>poročila</w:t>
      </w:r>
      <w:r w:rsidRPr="001048FE">
        <w:rPr>
          <w:spacing w:val="-6"/>
          <w:lang w:val="sl-SI"/>
        </w:rPr>
        <w:t xml:space="preserve"> </w:t>
      </w:r>
      <w:r w:rsidRPr="001048FE">
        <w:rPr>
          <w:lang w:val="sl-SI"/>
        </w:rPr>
        <w:t>na</w:t>
      </w:r>
      <w:r w:rsidRPr="001048FE">
        <w:rPr>
          <w:spacing w:val="-6"/>
          <w:lang w:val="sl-SI"/>
        </w:rPr>
        <w:t xml:space="preserve"> </w:t>
      </w:r>
      <w:r w:rsidRPr="001048FE">
        <w:rPr>
          <w:lang w:val="sl-SI"/>
        </w:rPr>
        <w:t>podlagi</w:t>
      </w:r>
      <w:r w:rsidRPr="001048FE">
        <w:rPr>
          <w:spacing w:val="-6"/>
          <w:lang w:val="sl-SI"/>
        </w:rPr>
        <w:t xml:space="preserve"> </w:t>
      </w:r>
      <w:r w:rsidRPr="001048FE">
        <w:rPr>
          <w:lang w:val="sl-SI"/>
        </w:rPr>
        <w:t>vnesenih</w:t>
      </w:r>
      <w:r w:rsidRPr="001048FE">
        <w:rPr>
          <w:spacing w:val="-6"/>
          <w:lang w:val="sl-SI"/>
        </w:rPr>
        <w:t xml:space="preserve"> </w:t>
      </w:r>
      <w:r w:rsidRPr="001048FE">
        <w:rPr>
          <w:lang w:val="sl-SI"/>
        </w:rPr>
        <w:t>informacij.</w:t>
      </w:r>
      <w:r w:rsidRPr="001048FE">
        <w:rPr>
          <w:spacing w:val="-6"/>
          <w:lang w:val="sl-SI"/>
        </w:rPr>
        <w:t xml:space="preserve"> </w:t>
      </w:r>
      <w:r w:rsidRPr="001048FE">
        <w:rPr>
          <w:lang w:val="sl-SI"/>
        </w:rPr>
        <w:t>V</w:t>
      </w:r>
      <w:r w:rsidRPr="001048FE">
        <w:rPr>
          <w:spacing w:val="-6"/>
          <w:lang w:val="sl-SI"/>
        </w:rPr>
        <w:t xml:space="preserve"> </w:t>
      </w:r>
      <w:r w:rsidRPr="001048FE">
        <w:rPr>
          <w:lang w:val="sl-SI"/>
        </w:rPr>
        <w:t>orodju</w:t>
      </w:r>
      <w:r w:rsidRPr="001048FE">
        <w:rPr>
          <w:spacing w:val="-5"/>
          <w:lang w:val="sl-SI"/>
        </w:rPr>
        <w:t xml:space="preserve"> </w:t>
      </w:r>
      <w:r w:rsidRPr="001048FE">
        <w:rPr>
          <w:lang w:val="sl-SI"/>
        </w:rPr>
        <w:t>za</w:t>
      </w:r>
      <w:r w:rsidRPr="001048FE">
        <w:rPr>
          <w:spacing w:val="-6"/>
          <w:lang w:val="sl-SI"/>
        </w:rPr>
        <w:t xml:space="preserve"> </w:t>
      </w:r>
      <w:r w:rsidRPr="001048FE">
        <w:rPr>
          <w:lang w:val="sl-SI"/>
        </w:rPr>
        <w:t>mobilnost bodo na voljo tudi poročila, ki jih morajo izpolniti udeleženci</w:t>
      </w:r>
      <w:r w:rsidRPr="001048FE">
        <w:rPr>
          <w:spacing w:val="-17"/>
          <w:lang w:val="sl-SI"/>
        </w:rPr>
        <w:t xml:space="preserve"> </w:t>
      </w:r>
      <w:r w:rsidRPr="001048FE">
        <w:rPr>
          <w:lang w:val="sl-SI"/>
        </w:rPr>
        <w:t>mobilnosti.</w:t>
      </w:r>
    </w:p>
    <w:p w14:paraId="7D39A8D5" w14:textId="77777777" w:rsidR="00E03711" w:rsidRPr="001048FE" w:rsidRDefault="00E03711" w:rsidP="00AA6A8A">
      <w:pPr>
        <w:pStyle w:val="GUIDE-NORMAL"/>
        <w:rPr>
          <w:lang w:val="sl-SI"/>
        </w:rPr>
      </w:pPr>
      <w:r w:rsidRPr="001048FE">
        <w:rPr>
          <w:lang w:val="sl-SI"/>
        </w:rPr>
        <w:t>Več</w:t>
      </w:r>
      <w:r w:rsidRPr="001048FE">
        <w:rPr>
          <w:spacing w:val="-13"/>
          <w:lang w:val="sl-SI"/>
        </w:rPr>
        <w:t xml:space="preserve"> </w:t>
      </w:r>
      <w:r w:rsidRPr="001048FE">
        <w:rPr>
          <w:lang w:val="sl-SI"/>
        </w:rPr>
        <w:t>informacij</w:t>
      </w:r>
      <w:r w:rsidRPr="001048FE">
        <w:rPr>
          <w:spacing w:val="-13"/>
          <w:lang w:val="sl-SI"/>
        </w:rPr>
        <w:t xml:space="preserve"> </w:t>
      </w:r>
      <w:r w:rsidRPr="001048FE">
        <w:rPr>
          <w:lang w:val="sl-SI"/>
        </w:rPr>
        <w:t>o</w:t>
      </w:r>
      <w:r w:rsidRPr="001048FE">
        <w:rPr>
          <w:spacing w:val="-12"/>
          <w:lang w:val="sl-SI"/>
        </w:rPr>
        <w:t xml:space="preserve"> </w:t>
      </w:r>
      <w:r w:rsidRPr="001048FE">
        <w:rPr>
          <w:lang w:val="sl-SI"/>
        </w:rPr>
        <w:t>orodju</w:t>
      </w:r>
      <w:r w:rsidRPr="001048FE">
        <w:rPr>
          <w:spacing w:val="-12"/>
          <w:lang w:val="sl-SI"/>
        </w:rPr>
        <w:t xml:space="preserve"> </w:t>
      </w:r>
      <w:r w:rsidRPr="001048FE">
        <w:rPr>
          <w:lang w:val="sl-SI"/>
        </w:rPr>
        <w:t>za</w:t>
      </w:r>
      <w:r w:rsidRPr="001048FE">
        <w:rPr>
          <w:spacing w:val="-13"/>
          <w:lang w:val="sl-SI"/>
        </w:rPr>
        <w:t xml:space="preserve"> </w:t>
      </w:r>
      <w:r w:rsidRPr="001048FE">
        <w:rPr>
          <w:lang w:val="sl-SI"/>
        </w:rPr>
        <w:t>mobilnost</w:t>
      </w:r>
      <w:r w:rsidRPr="001048FE">
        <w:rPr>
          <w:spacing w:val="-13"/>
          <w:lang w:val="sl-SI"/>
        </w:rPr>
        <w:t xml:space="preserve"> </w:t>
      </w:r>
      <w:r w:rsidRPr="001048FE">
        <w:rPr>
          <w:lang w:val="sl-SI"/>
        </w:rPr>
        <w:t>ter</w:t>
      </w:r>
      <w:r w:rsidRPr="001048FE">
        <w:rPr>
          <w:spacing w:val="-13"/>
          <w:lang w:val="sl-SI"/>
        </w:rPr>
        <w:t xml:space="preserve"> </w:t>
      </w:r>
      <w:r w:rsidRPr="001048FE">
        <w:rPr>
          <w:lang w:val="sl-SI"/>
        </w:rPr>
        <w:t>o</w:t>
      </w:r>
      <w:r w:rsidRPr="001048FE">
        <w:rPr>
          <w:spacing w:val="-12"/>
          <w:lang w:val="sl-SI"/>
        </w:rPr>
        <w:t xml:space="preserve"> </w:t>
      </w:r>
      <w:r w:rsidRPr="001048FE">
        <w:rPr>
          <w:lang w:val="sl-SI"/>
        </w:rPr>
        <w:t>dostopu</w:t>
      </w:r>
      <w:r w:rsidRPr="001048FE">
        <w:rPr>
          <w:spacing w:val="-13"/>
          <w:lang w:val="sl-SI"/>
        </w:rPr>
        <w:t xml:space="preserve"> </w:t>
      </w:r>
      <w:r w:rsidRPr="001048FE">
        <w:rPr>
          <w:lang w:val="sl-SI"/>
        </w:rPr>
        <w:t>do</w:t>
      </w:r>
      <w:r w:rsidRPr="001048FE">
        <w:rPr>
          <w:spacing w:val="-13"/>
          <w:lang w:val="sl-SI"/>
        </w:rPr>
        <w:t xml:space="preserve"> </w:t>
      </w:r>
      <w:r w:rsidRPr="001048FE">
        <w:rPr>
          <w:lang w:val="sl-SI"/>
        </w:rPr>
        <w:t>njega</w:t>
      </w:r>
      <w:r w:rsidRPr="001048FE">
        <w:rPr>
          <w:spacing w:val="-13"/>
          <w:lang w:val="sl-SI"/>
        </w:rPr>
        <w:t xml:space="preserve"> </w:t>
      </w:r>
      <w:r w:rsidRPr="001048FE">
        <w:rPr>
          <w:lang w:val="sl-SI"/>
        </w:rPr>
        <w:t>bo</w:t>
      </w:r>
      <w:r w:rsidRPr="001048FE">
        <w:rPr>
          <w:spacing w:val="-13"/>
          <w:lang w:val="sl-SI"/>
        </w:rPr>
        <w:t xml:space="preserve"> </w:t>
      </w:r>
      <w:r w:rsidRPr="001048FE">
        <w:rPr>
          <w:lang w:val="sl-SI"/>
        </w:rPr>
        <w:t>zagotovljenih</w:t>
      </w:r>
      <w:r w:rsidRPr="001048FE">
        <w:rPr>
          <w:spacing w:val="-13"/>
          <w:lang w:val="sl-SI"/>
        </w:rPr>
        <w:t xml:space="preserve"> </w:t>
      </w:r>
      <w:r w:rsidRPr="001048FE">
        <w:rPr>
          <w:lang w:val="sl-SI"/>
        </w:rPr>
        <w:t>v</w:t>
      </w:r>
      <w:r w:rsidRPr="001048FE">
        <w:rPr>
          <w:spacing w:val="-13"/>
          <w:lang w:val="sl-SI"/>
        </w:rPr>
        <w:t xml:space="preserve"> </w:t>
      </w:r>
      <w:r w:rsidRPr="001048FE">
        <w:rPr>
          <w:lang w:val="sl-SI"/>
        </w:rPr>
        <w:t>sporazumu</w:t>
      </w:r>
      <w:r w:rsidRPr="001048FE">
        <w:rPr>
          <w:spacing w:val="-13"/>
          <w:lang w:val="sl-SI"/>
        </w:rPr>
        <w:t xml:space="preserve"> </w:t>
      </w:r>
      <w:r w:rsidRPr="001048FE">
        <w:rPr>
          <w:lang w:val="sl-SI"/>
        </w:rPr>
        <w:t>o nepovratnih sredstvih med nacionalno agencijo in</w:t>
      </w:r>
      <w:r w:rsidRPr="001048FE">
        <w:rPr>
          <w:spacing w:val="-23"/>
          <w:lang w:val="sl-SI"/>
        </w:rPr>
        <w:t xml:space="preserve"> </w:t>
      </w:r>
      <w:r w:rsidRPr="001048FE">
        <w:rPr>
          <w:lang w:val="sl-SI"/>
        </w:rPr>
        <w:t>upravičencem.</w:t>
      </w:r>
    </w:p>
    <w:p w14:paraId="7D39A8D6" w14:textId="77777777" w:rsidR="00E03711" w:rsidRPr="001048FE" w:rsidRDefault="00E03711" w:rsidP="00AA6A8A">
      <w:pPr>
        <w:pStyle w:val="Guide-Heading4"/>
        <w:rPr>
          <w:lang w:val="sl-SI"/>
        </w:rPr>
      </w:pPr>
      <w:bookmarkStart w:id="637" w:name="_Toc527401310"/>
      <w:r w:rsidRPr="001048FE">
        <w:rPr>
          <w:lang w:val="sl-SI"/>
        </w:rPr>
        <w:t>C: Pogoji udeležbe osebja</w:t>
      </w:r>
      <w:bookmarkEnd w:id="637"/>
    </w:p>
    <w:p w14:paraId="7D39A8D7" w14:textId="77777777" w:rsidR="00E03711" w:rsidRPr="001048FE" w:rsidRDefault="00E03711" w:rsidP="00AA6A8A">
      <w:pPr>
        <w:pStyle w:val="Guide-Heading5"/>
        <w:rPr>
          <w:lang w:val="sl-SI"/>
        </w:rPr>
      </w:pPr>
      <w:r w:rsidRPr="001048FE">
        <w:rPr>
          <w:lang w:val="sl-SI"/>
        </w:rPr>
        <w:t>Izbor</w:t>
      </w:r>
    </w:p>
    <w:p w14:paraId="7D39A8D8" w14:textId="77777777" w:rsidR="00E03711" w:rsidRPr="001048FE" w:rsidRDefault="00E03711" w:rsidP="00AA6A8A">
      <w:pPr>
        <w:pStyle w:val="GUIDE-NORMAL"/>
        <w:rPr>
          <w:lang w:val="sl-SI"/>
        </w:rPr>
      </w:pPr>
      <w:r w:rsidRPr="001048FE">
        <w:rPr>
          <w:lang w:val="sl-SI"/>
        </w:rPr>
        <w:t>Izbor osebja izvede organizacija pošiljateljica. Postopek izbora in dodelitve nepovratnih sredstev mora biti pravičen, pregleden, dosleden in dokumentiran, dostop do njega pa mora biti na voljo za vse strani, vključene v postopek izbora.</w:t>
      </w:r>
    </w:p>
    <w:p w14:paraId="7D39A8D9" w14:textId="77777777" w:rsidR="00E03711" w:rsidRPr="001048FE" w:rsidRDefault="00E03711" w:rsidP="00AA6A8A">
      <w:pPr>
        <w:pStyle w:val="GUIDE-NORMAL"/>
        <w:rPr>
          <w:lang w:val="sl-SI"/>
        </w:rPr>
      </w:pPr>
      <w:r w:rsidRPr="001048FE">
        <w:rPr>
          <w:lang w:val="sl-SI"/>
        </w:rPr>
        <w:t>Organizacija pošiljateljica sprejme vse potrebne ukrepe, da prepreči kakršno koli navzkrižje interesov</w:t>
      </w:r>
      <w:r w:rsidRPr="001048FE">
        <w:rPr>
          <w:spacing w:val="-15"/>
          <w:lang w:val="sl-SI"/>
        </w:rPr>
        <w:t xml:space="preserve"> </w:t>
      </w:r>
      <w:r w:rsidRPr="001048FE">
        <w:rPr>
          <w:lang w:val="sl-SI"/>
        </w:rPr>
        <w:t>v</w:t>
      </w:r>
      <w:r w:rsidRPr="001048FE">
        <w:rPr>
          <w:spacing w:val="-15"/>
          <w:lang w:val="sl-SI"/>
        </w:rPr>
        <w:t xml:space="preserve"> </w:t>
      </w:r>
      <w:r w:rsidRPr="001048FE">
        <w:rPr>
          <w:lang w:val="sl-SI"/>
        </w:rPr>
        <w:t>zvezi</w:t>
      </w:r>
      <w:r w:rsidRPr="001048FE">
        <w:rPr>
          <w:spacing w:val="-15"/>
          <w:lang w:val="sl-SI"/>
        </w:rPr>
        <w:t xml:space="preserve"> </w:t>
      </w:r>
      <w:r w:rsidRPr="001048FE">
        <w:rPr>
          <w:lang w:val="sl-SI"/>
        </w:rPr>
        <w:t>z</w:t>
      </w:r>
      <w:r w:rsidRPr="001048FE">
        <w:rPr>
          <w:spacing w:val="-15"/>
          <w:lang w:val="sl-SI"/>
        </w:rPr>
        <w:t xml:space="preserve"> </w:t>
      </w:r>
      <w:r w:rsidRPr="001048FE">
        <w:rPr>
          <w:lang w:val="sl-SI"/>
        </w:rPr>
        <w:t>osebami,</w:t>
      </w:r>
      <w:r w:rsidRPr="001048FE">
        <w:rPr>
          <w:spacing w:val="-14"/>
          <w:lang w:val="sl-SI"/>
        </w:rPr>
        <w:t xml:space="preserve"> </w:t>
      </w:r>
      <w:r w:rsidRPr="001048FE">
        <w:rPr>
          <w:lang w:val="sl-SI"/>
        </w:rPr>
        <w:t>ki</w:t>
      </w:r>
      <w:r w:rsidRPr="001048FE">
        <w:rPr>
          <w:spacing w:val="-15"/>
          <w:lang w:val="sl-SI"/>
        </w:rPr>
        <w:t xml:space="preserve"> </w:t>
      </w:r>
      <w:r w:rsidRPr="001048FE">
        <w:rPr>
          <w:lang w:val="sl-SI"/>
        </w:rPr>
        <w:t>lahko</w:t>
      </w:r>
      <w:r w:rsidRPr="001048FE">
        <w:rPr>
          <w:spacing w:val="-15"/>
          <w:lang w:val="sl-SI"/>
        </w:rPr>
        <w:t xml:space="preserve"> </w:t>
      </w:r>
      <w:r w:rsidRPr="001048FE">
        <w:rPr>
          <w:lang w:val="sl-SI"/>
        </w:rPr>
        <w:t>sodelujejo</w:t>
      </w:r>
      <w:r w:rsidRPr="001048FE">
        <w:rPr>
          <w:spacing w:val="-15"/>
          <w:lang w:val="sl-SI"/>
        </w:rPr>
        <w:t xml:space="preserve"> </w:t>
      </w:r>
      <w:r w:rsidRPr="001048FE">
        <w:rPr>
          <w:lang w:val="sl-SI"/>
        </w:rPr>
        <w:t>v</w:t>
      </w:r>
      <w:r w:rsidRPr="001048FE">
        <w:rPr>
          <w:spacing w:val="-15"/>
          <w:lang w:val="sl-SI"/>
        </w:rPr>
        <w:t xml:space="preserve"> </w:t>
      </w:r>
      <w:r w:rsidRPr="001048FE">
        <w:rPr>
          <w:lang w:val="sl-SI"/>
        </w:rPr>
        <w:t>organih</w:t>
      </w:r>
      <w:r w:rsidRPr="001048FE">
        <w:rPr>
          <w:spacing w:val="-14"/>
          <w:lang w:val="sl-SI"/>
        </w:rPr>
        <w:t xml:space="preserve"> </w:t>
      </w:r>
      <w:r w:rsidRPr="001048FE">
        <w:rPr>
          <w:lang w:val="sl-SI"/>
        </w:rPr>
        <w:t>za</w:t>
      </w:r>
      <w:r w:rsidRPr="001048FE">
        <w:rPr>
          <w:spacing w:val="-15"/>
          <w:lang w:val="sl-SI"/>
        </w:rPr>
        <w:t xml:space="preserve"> </w:t>
      </w:r>
      <w:r w:rsidRPr="001048FE">
        <w:rPr>
          <w:lang w:val="sl-SI"/>
        </w:rPr>
        <w:t>izbor</w:t>
      </w:r>
      <w:r w:rsidRPr="001048FE">
        <w:rPr>
          <w:spacing w:val="-15"/>
          <w:lang w:val="sl-SI"/>
        </w:rPr>
        <w:t xml:space="preserve"> </w:t>
      </w:r>
      <w:r w:rsidRPr="001048FE">
        <w:rPr>
          <w:lang w:val="sl-SI"/>
        </w:rPr>
        <w:t>ali</w:t>
      </w:r>
      <w:r w:rsidRPr="001048FE">
        <w:rPr>
          <w:spacing w:val="-15"/>
          <w:lang w:val="sl-SI"/>
        </w:rPr>
        <w:t xml:space="preserve"> </w:t>
      </w:r>
      <w:r w:rsidRPr="001048FE">
        <w:rPr>
          <w:lang w:val="sl-SI"/>
        </w:rPr>
        <w:t>postopku</w:t>
      </w:r>
      <w:r w:rsidRPr="001048FE">
        <w:rPr>
          <w:spacing w:val="-15"/>
          <w:lang w:val="sl-SI"/>
        </w:rPr>
        <w:t xml:space="preserve"> </w:t>
      </w:r>
      <w:r w:rsidRPr="001048FE">
        <w:rPr>
          <w:lang w:val="sl-SI"/>
        </w:rPr>
        <w:t>za</w:t>
      </w:r>
      <w:r w:rsidRPr="001048FE">
        <w:rPr>
          <w:spacing w:val="-15"/>
          <w:lang w:val="sl-SI"/>
        </w:rPr>
        <w:t xml:space="preserve"> </w:t>
      </w:r>
      <w:r w:rsidRPr="001048FE">
        <w:rPr>
          <w:lang w:val="sl-SI"/>
        </w:rPr>
        <w:t>izbor</w:t>
      </w:r>
      <w:r w:rsidRPr="001048FE">
        <w:rPr>
          <w:spacing w:val="-15"/>
          <w:lang w:val="sl-SI"/>
        </w:rPr>
        <w:t xml:space="preserve"> </w:t>
      </w:r>
      <w:r w:rsidRPr="001048FE">
        <w:rPr>
          <w:lang w:val="sl-SI"/>
        </w:rPr>
        <w:t>posameznih udeležencev.</w:t>
      </w:r>
    </w:p>
    <w:p w14:paraId="7D39A8DA" w14:textId="77777777" w:rsidR="00E03711" w:rsidRPr="001048FE" w:rsidRDefault="00E03711" w:rsidP="00AA6A8A">
      <w:pPr>
        <w:pStyle w:val="Guide-Heading5"/>
        <w:rPr>
          <w:lang w:val="sl-SI"/>
        </w:rPr>
      </w:pPr>
      <w:r w:rsidRPr="001048FE">
        <w:rPr>
          <w:lang w:val="sl-SI"/>
        </w:rPr>
        <w:t>Sporazum o mobilnosti</w:t>
      </w:r>
    </w:p>
    <w:p w14:paraId="7D39A8DB" w14:textId="77777777" w:rsidR="00E03711" w:rsidRPr="001048FE" w:rsidRDefault="00E03711" w:rsidP="00AA6A8A">
      <w:pPr>
        <w:pStyle w:val="GUIDE-NORMAL"/>
        <w:rPr>
          <w:lang w:val="sl-SI"/>
        </w:rPr>
      </w:pPr>
      <w:r w:rsidRPr="001048FE">
        <w:rPr>
          <w:lang w:val="sl-SI"/>
        </w:rPr>
        <w:t>Priporoča se, da se organizaciji pošiljateljica in gostiteljica ter udeleženci dogovorijo o aktivnostih, ki jih bodo opravili člani osebja, z izmenjavo pisem ali elektronskih sporočil pred začetkom obdobja mobilnosti. Ta sporazum opredeljuje ciljne učne rezultate za obdobje v tujini, navaja določbe o priznavanju ter pravice in obveznosti obeh strani.</w:t>
      </w:r>
    </w:p>
    <w:p w14:paraId="7D39A8DC" w14:textId="77777777" w:rsidR="00E03711" w:rsidRPr="001048FE" w:rsidRDefault="00E03711" w:rsidP="00AA6A8A">
      <w:pPr>
        <w:pStyle w:val="GUIDE-NORMAL"/>
        <w:rPr>
          <w:lang w:val="sl-SI"/>
        </w:rPr>
      </w:pPr>
      <w:r w:rsidRPr="001048FE">
        <w:rPr>
          <w:lang w:val="sl-SI"/>
        </w:rPr>
        <w:t>Obe organizaciji, pošiljateljica in gostiteljica, sta odgovorni za kakovost obdobja mobilnosti v tujini.</w:t>
      </w:r>
    </w:p>
    <w:p w14:paraId="7D39A8DD" w14:textId="77777777" w:rsidR="00E03711" w:rsidRDefault="00E03711" w:rsidP="00ED1E3E">
      <w:pPr>
        <w:pStyle w:val="Guide-AnnexHeading3"/>
        <w:numPr>
          <w:ilvl w:val="0"/>
          <w:numId w:val="0"/>
        </w:numPr>
        <w:ind w:left="360" w:hanging="360"/>
        <w:rPr>
          <w:lang w:val="sl-SI"/>
        </w:rPr>
      </w:pPr>
      <w:bookmarkStart w:id="638" w:name="_Toc524425620"/>
      <w:bookmarkStart w:id="639" w:name="_Toc526422858"/>
      <w:bookmarkStart w:id="640" w:name="_Toc527400976"/>
      <w:bookmarkStart w:id="641" w:name="_Toc527401311"/>
      <w:r w:rsidRPr="00ED1E3E">
        <w:rPr>
          <w:lang w:val="sl-SI"/>
        </w:rPr>
        <w:t>3.</w:t>
      </w:r>
      <w:r>
        <w:rPr>
          <w:lang w:val="sl-SI"/>
        </w:rPr>
        <w:t xml:space="preserve"> </w:t>
      </w:r>
      <w:r w:rsidRPr="001048FE">
        <w:rPr>
          <w:lang w:val="sl-SI"/>
        </w:rPr>
        <w:t>Po</w:t>
      </w:r>
      <w:r w:rsidRPr="001048FE">
        <w:rPr>
          <w:spacing w:val="5"/>
          <w:lang w:val="sl-SI"/>
        </w:rPr>
        <w:t xml:space="preserve"> </w:t>
      </w:r>
      <w:r w:rsidRPr="001048FE">
        <w:rPr>
          <w:lang w:val="sl-SI"/>
        </w:rPr>
        <w:t>mobilnosti</w:t>
      </w:r>
      <w:bookmarkEnd w:id="638"/>
      <w:bookmarkEnd w:id="639"/>
      <w:bookmarkEnd w:id="640"/>
      <w:bookmarkEnd w:id="641"/>
    </w:p>
    <w:p w14:paraId="7D39A8DE" w14:textId="77777777" w:rsidR="00E03711" w:rsidRPr="001048FE" w:rsidRDefault="00E03711" w:rsidP="00AA6A8A">
      <w:pPr>
        <w:pStyle w:val="Guide-Heading4"/>
        <w:rPr>
          <w:lang w:val="sl-SI"/>
        </w:rPr>
      </w:pPr>
      <w:bookmarkStart w:id="642" w:name="_Toc527401312"/>
      <w:r w:rsidRPr="001048FE">
        <w:rPr>
          <w:lang w:val="sl-SI"/>
        </w:rPr>
        <w:t>A: Priznavanje učnih izidov</w:t>
      </w:r>
      <w:bookmarkEnd w:id="642"/>
    </w:p>
    <w:p w14:paraId="7D39A8DF" w14:textId="77777777" w:rsidR="00E03711" w:rsidRPr="001048FE" w:rsidRDefault="00E03711" w:rsidP="00AA6A8A">
      <w:pPr>
        <w:pStyle w:val="GUIDE-NORMAL"/>
        <w:rPr>
          <w:lang w:val="sl-SI"/>
        </w:rPr>
      </w:pPr>
      <w:r w:rsidRPr="001048FE">
        <w:rPr>
          <w:lang w:val="sl-SI"/>
        </w:rPr>
        <w:t>Vključeni organizaciji pošiljateljica in gostiteljica bi se ob koncu mobilnosti morali dogovoriti o izdaji potrdila</w:t>
      </w:r>
      <w:r w:rsidRPr="001048FE">
        <w:rPr>
          <w:spacing w:val="-11"/>
          <w:lang w:val="sl-SI"/>
        </w:rPr>
        <w:t xml:space="preserve"> </w:t>
      </w:r>
      <w:r w:rsidRPr="001048FE">
        <w:rPr>
          <w:lang w:val="sl-SI"/>
        </w:rPr>
        <w:t>o</w:t>
      </w:r>
      <w:r w:rsidRPr="001048FE">
        <w:rPr>
          <w:spacing w:val="-10"/>
          <w:lang w:val="sl-SI"/>
        </w:rPr>
        <w:t xml:space="preserve"> </w:t>
      </w:r>
      <w:r w:rsidRPr="001048FE">
        <w:rPr>
          <w:lang w:val="sl-SI"/>
        </w:rPr>
        <w:t>mobilnosti</w:t>
      </w:r>
      <w:r w:rsidRPr="001048FE">
        <w:rPr>
          <w:spacing w:val="-11"/>
          <w:lang w:val="sl-SI"/>
        </w:rPr>
        <w:t xml:space="preserve"> </w:t>
      </w:r>
      <w:r w:rsidRPr="001048FE">
        <w:rPr>
          <w:lang w:val="sl-SI"/>
        </w:rPr>
        <w:t>Europass.</w:t>
      </w:r>
      <w:r w:rsidRPr="001048FE">
        <w:rPr>
          <w:spacing w:val="-11"/>
          <w:lang w:val="sl-SI"/>
        </w:rPr>
        <w:t xml:space="preserve"> </w:t>
      </w:r>
      <w:r w:rsidRPr="001048FE">
        <w:rPr>
          <w:lang w:val="sl-SI"/>
        </w:rPr>
        <w:t>Za</w:t>
      </w:r>
      <w:r w:rsidRPr="001048FE">
        <w:rPr>
          <w:spacing w:val="-11"/>
          <w:lang w:val="sl-SI"/>
        </w:rPr>
        <w:t xml:space="preserve"> </w:t>
      </w:r>
      <w:r w:rsidRPr="001048FE">
        <w:rPr>
          <w:lang w:val="sl-SI"/>
        </w:rPr>
        <w:t>več</w:t>
      </w:r>
      <w:r w:rsidRPr="001048FE">
        <w:rPr>
          <w:spacing w:val="-11"/>
          <w:lang w:val="sl-SI"/>
        </w:rPr>
        <w:t xml:space="preserve"> </w:t>
      </w:r>
      <w:r w:rsidRPr="001048FE">
        <w:rPr>
          <w:lang w:val="sl-SI"/>
        </w:rPr>
        <w:t>informacij</w:t>
      </w:r>
      <w:r w:rsidRPr="001048FE">
        <w:rPr>
          <w:spacing w:val="-11"/>
          <w:lang w:val="sl-SI"/>
        </w:rPr>
        <w:t xml:space="preserve"> </w:t>
      </w:r>
      <w:r w:rsidRPr="001048FE">
        <w:rPr>
          <w:lang w:val="sl-SI"/>
        </w:rPr>
        <w:t>o</w:t>
      </w:r>
      <w:r w:rsidRPr="001048FE">
        <w:rPr>
          <w:spacing w:val="-10"/>
          <w:lang w:val="sl-SI"/>
        </w:rPr>
        <w:t xml:space="preserve"> </w:t>
      </w:r>
      <w:r w:rsidRPr="001048FE">
        <w:rPr>
          <w:lang w:val="sl-SI"/>
        </w:rPr>
        <w:t>tem</w:t>
      </w:r>
      <w:r w:rsidRPr="001048FE">
        <w:rPr>
          <w:spacing w:val="-11"/>
          <w:lang w:val="sl-SI"/>
        </w:rPr>
        <w:t xml:space="preserve"> </w:t>
      </w:r>
      <w:r w:rsidRPr="001048FE">
        <w:rPr>
          <w:lang w:val="sl-SI"/>
        </w:rPr>
        <w:t>postopku</w:t>
      </w:r>
      <w:r w:rsidRPr="001048FE">
        <w:rPr>
          <w:spacing w:val="-11"/>
          <w:lang w:val="sl-SI"/>
        </w:rPr>
        <w:t xml:space="preserve"> </w:t>
      </w:r>
      <w:r w:rsidRPr="001048FE">
        <w:rPr>
          <w:lang w:val="sl-SI"/>
        </w:rPr>
        <w:t>glej</w:t>
      </w:r>
      <w:r w:rsidRPr="001048FE">
        <w:rPr>
          <w:spacing w:val="-11"/>
          <w:lang w:val="sl-SI"/>
        </w:rPr>
        <w:t xml:space="preserve"> </w:t>
      </w:r>
      <w:r w:rsidRPr="001048FE">
        <w:rPr>
          <w:lang w:val="sl-SI"/>
        </w:rPr>
        <w:t>spletišče</w:t>
      </w:r>
      <w:r w:rsidRPr="001048FE">
        <w:rPr>
          <w:spacing w:val="-11"/>
          <w:lang w:val="sl-SI"/>
        </w:rPr>
        <w:t xml:space="preserve"> </w:t>
      </w:r>
      <w:r w:rsidRPr="001048FE">
        <w:rPr>
          <w:lang w:val="sl-SI"/>
        </w:rPr>
        <w:t xml:space="preserve">Europass: </w:t>
      </w:r>
      <w:hyperlink r:id="rId173">
        <w:r w:rsidRPr="001048FE">
          <w:rPr>
            <w:rStyle w:val="Hyperlink"/>
            <w:lang w:val="sl-SI"/>
          </w:rPr>
          <w:t>http://europass.cedefop.europa.eu/sl</w:t>
        </w:r>
      </w:hyperlink>
      <w:r w:rsidRPr="001048FE">
        <w:rPr>
          <w:lang w:val="sl-SI"/>
        </w:rPr>
        <w:t>.</w:t>
      </w:r>
    </w:p>
    <w:p w14:paraId="7D39A8E0" w14:textId="77777777" w:rsidR="00E03711" w:rsidRPr="001048FE" w:rsidRDefault="00E03711" w:rsidP="00AA6A8A">
      <w:pPr>
        <w:pStyle w:val="Guide-Heading4"/>
        <w:rPr>
          <w:lang w:val="sl-SI"/>
        </w:rPr>
      </w:pPr>
      <w:bookmarkStart w:id="643" w:name="_Toc527401313"/>
      <w:r w:rsidRPr="001048FE">
        <w:rPr>
          <w:lang w:val="sl-SI"/>
        </w:rPr>
        <w:t>B: Poročanje</w:t>
      </w:r>
      <w:bookmarkEnd w:id="643"/>
    </w:p>
    <w:p w14:paraId="7D39A8E1" w14:textId="77777777" w:rsidR="00E03711" w:rsidRDefault="00E03711" w:rsidP="00C64D0E">
      <w:pPr>
        <w:pStyle w:val="GUIDE-NORMAL"/>
        <w:rPr>
          <w:lang w:val="sl-SI"/>
        </w:rPr>
      </w:pPr>
      <w:r w:rsidRPr="001048FE">
        <w:rPr>
          <w:lang w:val="sl-SI"/>
        </w:rPr>
        <w:t>Ob koncu obdobja v tujini morajo vsi člani osebja, ki so opravili aktivnost mobilnosti, izpolniti in predložiti</w:t>
      </w:r>
      <w:r w:rsidRPr="001048FE">
        <w:rPr>
          <w:spacing w:val="-15"/>
          <w:lang w:val="sl-SI"/>
        </w:rPr>
        <w:t xml:space="preserve"> </w:t>
      </w:r>
      <w:r w:rsidRPr="001048FE">
        <w:rPr>
          <w:lang w:val="sl-SI"/>
        </w:rPr>
        <w:t>končno</w:t>
      </w:r>
      <w:r w:rsidRPr="001048FE">
        <w:rPr>
          <w:spacing w:val="-15"/>
          <w:lang w:val="sl-SI"/>
        </w:rPr>
        <w:t xml:space="preserve"> </w:t>
      </w:r>
      <w:r w:rsidRPr="001048FE">
        <w:rPr>
          <w:lang w:val="sl-SI"/>
        </w:rPr>
        <w:t>poročilo</w:t>
      </w:r>
      <w:r w:rsidRPr="001048FE">
        <w:rPr>
          <w:spacing w:val="-15"/>
          <w:lang w:val="sl-SI"/>
        </w:rPr>
        <w:t xml:space="preserve"> </w:t>
      </w:r>
      <w:r w:rsidRPr="001048FE">
        <w:rPr>
          <w:lang w:val="sl-SI"/>
        </w:rPr>
        <w:t>za</w:t>
      </w:r>
      <w:r w:rsidRPr="001048FE">
        <w:rPr>
          <w:spacing w:val="-15"/>
          <w:lang w:val="sl-SI"/>
        </w:rPr>
        <w:t xml:space="preserve"> </w:t>
      </w:r>
      <w:r w:rsidRPr="001048FE">
        <w:rPr>
          <w:lang w:val="sl-SI"/>
        </w:rPr>
        <w:t>udeležence.</w:t>
      </w:r>
      <w:r w:rsidRPr="001048FE">
        <w:rPr>
          <w:spacing w:val="-15"/>
          <w:lang w:val="sl-SI"/>
        </w:rPr>
        <w:t xml:space="preserve"> </w:t>
      </w:r>
      <w:r w:rsidRPr="001048FE">
        <w:rPr>
          <w:lang w:val="sl-SI"/>
        </w:rPr>
        <w:t>Od</w:t>
      </w:r>
      <w:r w:rsidRPr="001048FE">
        <w:rPr>
          <w:spacing w:val="-15"/>
          <w:lang w:val="sl-SI"/>
        </w:rPr>
        <w:t xml:space="preserve"> </w:t>
      </w:r>
      <w:r w:rsidRPr="001048FE">
        <w:rPr>
          <w:lang w:val="sl-SI"/>
        </w:rPr>
        <w:t>osebja,</w:t>
      </w:r>
      <w:r w:rsidRPr="001048FE">
        <w:rPr>
          <w:spacing w:val="-14"/>
          <w:lang w:val="sl-SI"/>
        </w:rPr>
        <w:t xml:space="preserve"> </w:t>
      </w:r>
      <w:r w:rsidRPr="001048FE">
        <w:rPr>
          <w:lang w:val="sl-SI"/>
        </w:rPr>
        <w:t>ki</w:t>
      </w:r>
      <w:r w:rsidRPr="001048FE">
        <w:rPr>
          <w:spacing w:val="-15"/>
          <w:lang w:val="sl-SI"/>
        </w:rPr>
        <w:t xml:space="preserve"> </w:t>
      </w:r>
      <w:r w:rsidRPr="001048FE">
        <w:rPr>
          <w:lang w:val="sl-SI"/>
        </w:rPr>
        <w:t>ne</w:t>
      </w:r>
      <w:r w:rsidRPr="001048FE">
        <w:rPr>
          <w:spacing w:val="-15"/>
          <w:lang w:val="sl-SI"/>
        </w:rPr>
        <w:t xml:space="preserve"> </w:t>
      </w:r>
      <w:r w:rsidRPr="001048FE">
        <w:rPr>
          <w:lang w:val="sl-SI"/>
        </w:rPr>
        <w:t>predloži</w:t>
      </w:r>
      <w:r w:rsidRPr="001048FE">
        <w:rPr>
          <w:spacing w:val="-15"/>
          <w:lang w:val="sl-SI"/>
        </w:rPr>
        <w:t xml:space="preserve"> </w:t>
      </w:r>
      <w:r w:rsidRPr="001048FE">
        <w:rPr>
          <w:lang w:val="sl-SI"/>
        </w:rPr>
        <w:t>poročila,</w:t>
      </w:r>
      <w:r w:rsidRPr="001048FE">
        <w:rPr>
          <w:spacing w:val="-15"/>
          <w:lang w:val="sl-SI"/>
        </w:rPr>
        <w:t xml:space="preserve"> </w:t>
      </w:r>
      <w:r w:rsidRPr="001048FE">
        <w:rPr>
          <w:lang w:val="sl-SI"/>
        </w:rPr>
        <w:t>se</w:t>
      </w:r>
      <w:r w:rsidRPr="001048FE">
        <w:rPr>
          <w:spacing w:val="-15"/>
          <w:lang w:val="sl-SI"/>
        </w:rPr>
        <w:t xml:space="preserve"> </w:t>
      </w:r>
      <w:r w:rsidRPr="001048FE">
        <w:rPr>
          <w:lang w:val="sl-SI"/>
        </w:rPr>
        <w:t>lahko</w:t>
      </w:r>
      <w:r w:rsidRPr="001048FE">
        <w:rPr>
          <w:spacing w:val="-15"/>
          <w:lang w:val="sl-SI"/>
        </w:rPr>
        <w:t xml:space="preserve"> </w:t>
      </w:r>
      <w:r w:rsidRPr="001048FE">
        <w:rPr>
          <w:lang w:val="sl-SI"/>
        </w:rPr>
        <w:t>zahteva,</w:t>
      </w:r>
      <w:r w:rsidRPr="001048FE">
        <w:rPr>
          <w:spacing w:val="-15"/>
          <w:lang w:val="sl-SI"/>
        </w:rPr>
        <w:t xml:space="preserve"> </w:t>
      </w:r>
      <w:r w:rsidRPr="001048FE">
        <w:rPr>
          <w:lang w:val="sl-SI"/>
        </w:rPr>
        <w:t>da delno</w:t>
      </w:r>
      <w:r w:rsidRPr="001048FE">
        <w:rPr>
          <w:spacing w:val="-15"/>
          <w:lang w:val="sl-SI"/>
        </w:rPr>
        <w:t xml:space="preserve"> </w:t>
      </w:r>
      <w:r w:rsidRPr="001048FE">
        <w:rPr>
          <w:lang w:val="sl-SI"/>
        </w:rPr>
        <w:t>ali</w:t>
      </w:r>
      <w:r w:rsidRPr="001048FE">
        <w:rPr>
          <w:spacing w:val="-15"/>
          <w:lang w:val="sl-SI"/>
        </w:rPr>
        <w:t xml:space="preserve"> </w:t>
      </w:r>
      <w:r w:rsidRPr="001048FE">
        <w:rPr>
          <w:lang w:val="sl-SI"/>
        </w:rPr>
        <w:t>v</w:t>
      </w:r>
      <w:r w:rsidRPr="001048FE">
        <w:rPr>
          <w:spacing w:val="-15"/>
          <w:lang w:val="sl-SI"/>
        </w:rPr>
        <w:t xml:space="preserve"> </w:t>
      </w:r>
      <w:r w:rsidRPr="001048FE">
        <w:rPr>
          <w:lang w:val="sl-SI"/>
        </w:rPr>
        <w:t>celoti</w:t>
      </w:r>
      <w:r w:rsidRPr="001048FE">
        <w:rPr>
          <w:spacing w:val="-15"/>
          <w:lang w:val="sl-SI"/>
        </w:rPr>
        <w:t xml:space="preserve"> </w:t>
      </w:r>
      <w:r w:rsidRPr="001048FE">
        <w:rPr>
          <w:lang w:val="sl-SI"/>
        </w:rPr>
        <w:t>povrne</w:t>
      </w:r>
      <w:r w:rsidRPr="001048FE">
        <w:rPr>
          <w:spacing w:val="-15"/>
          <w:lang w:val="sl-SI"/>
        </w:rPr>
        <w:t xml:space="preserve"> </w:t>
      </w:r>
      <w:r w:rsidRPr="001048FE">
        <w:rPr>
          <w:lang w:val="sl-SI"/>
        </w:rPr>
        <w:t>prejeta</w:t>
      </w:r>
      <w:r w:rsidRPr="001048FE">
        <w:rPr>
          <w:spacing w:val="-15"/>
          <w:lang w:val="sl-SI"/>
        </w:rPr>
        <w:t xml:space="preserve"> </w:t>
      </w:r>
      <w:r w:rsidRPr="001048FE">
        <w:rPr>
          <w:lang w:val="sl-SI"/>
        </w:rPr>
        <w:t>nepovratna</w:t>
      </w:r>
      <w:r w:rsidRPr="001048FE">
        <w:rPr>
          <w:spacing w:val="-15"/>
          <w:lang w:val="sl-SI"/>
        </w:rPr>
        <w:t xml:space="preserve"> </w:t>
      </w:r>
      <w:r w:rsidRPr="001048FE">
        <w:rPr>
          <w:lang w:val="sl-SI"/>
        </w:rPr>
        <w:t>sredstva</w:t>
      </w:r>
      <w:r w:rsidRPr="001048FE">
        <w:rPr>
          <w:spacing w:val="-15"/>
          <w:lang w:val="sl-SI"/>
        </w:rPr>
        <w:t xml:space="preserve"> </w:t>
      </w:r>
      <w:r w:rsidRPr="001048FE">
        <w:rPr>
          <w:lang w:val="sl-SI"/>
        </w:rPr>
        <w:t>EU.</w:t>
      </w:r>
      <w:r w:rsidRPr="001048FE">
        <w:rPr>
          <w:spacing w:val="-15"/>
          <w:lang w:val="sl-SI"/>
        </w:rPr>
        <w:t xml:space="preserve"> </w:t>
      </w:r>
      <w:r w:rsidRPr="001048FE">
        <w:rPr>
          <w:lang w:val="sl-SI"/>
        </w:rPr>
        <w:t>Povračilo</w:t>
      </w:r>
      <w:r w:rsidRPr="001048FE">
        <w:rPr>
          <w:spacing w:val="-15"/>
          <w:lang w:val="sl-SI"/>
        </w:rPr>
        <w:t xml:space="preserve"> </w:t>
      </w:r>
      <w:r w:rsidRPr="001048FE">
        <w:rPr>
          <w:lang w:val="sl-SI"/>
        </w:rPr>
        <w:t>se</w:t>
      </w:r>
      <w:r w:rsidRPr="001048FE">
        <w:rPr>
          <w:spacing w:val="-15"/>
          <w:lang w:val="sl-SI"/>
        </w:rPr>
        <w:t xml:space="preserve"> </w:t>
      </w:r>
      <w:r w:rsidRPr="001048FE">
        <w:rPr>
          <w:lang w:val="sl-SI"/>
        </w:rPr>
        <w:t>ne</w:t>
      </w:r>
      <w:r w:rsidRPr="001048FE">
        <w:rPr>
          <w:spacing w:val="-15"/>
          <w:lang w:val="sl-SI"/>
        </w:rPr>
        <w:t xml:space="preserve"> </w:t>
      </w:r>
      <w:r w:rsidRPr="001048FE">
        <w:rPr>
          <w:lang w:val="sl-SI"/>
        </w:rPr>
        <w:t>zahteva,</w:t>
      </w:r>
      <w:r w:rsidRPr="001048FE">
        <w:rPr>
          <w:spacing w:val="-15"/>
          <w:lang w:val="sl-SI"/>
        </w:rPr>
        <w:t xml:space="preserve"> </w:t>
      </w:r>
      <w:r w:rsidRPr="001048FE">
        <w:rPr>
          <w:lang w:val="sl-SI"/>
        </w:rPr>
        <w:t>če</w:t>
      </w:r>
      <w:r w:rsidRPr="001048FE">
        <w:rPr>
          <w:spacing w:val="-15"/>
          <w:lang w:val="sl-SI"/>
        </w:rPr>
        <w:t xml:space="preserve"> </w:t>
      </w:r>
      <w:r w:rsidRPr="001048FE">
        <w:rPr>
          <w:lang w:val="sl-SI"/>
        </w:rPr>
        <w:t>člani</w:t>
      </w:r>
      <w:r w:rsidRPr="001048FE">
        <w:rPr>
          <w:spacing w:val="-15"/>
          <w:lang w:val="sl-SI"/>
        </w:rPr>
        <w:t xml:space="preserve"> </w:t>
      </w:r>
      <w:r w:rsidRPr="001048FE">
        <w:rPr>
          <w:lang w:val="sl-SI"/>
        </w:rPr>
        <w:t>osebja niso mogli dokončati načrtovanih aktivnosti v tujini zaradi višje sile. Organizacija pošiljateljica poroča o takih primerih in nacionalna agencija jih mora pisno</w:t>
      </w:r>
      <w:r w:rsidRPr="001048FE">
        <w:rPr>
          <w:spacing w:val="-16"/>
          <w:lang w:val="sl-SI"/>
        </w:rPr>
        <w:t xml:space="preserve"> </w:t>
      </w:r>
      <w:r w:rsidRPr="001048FE">
        <w:rPr>
          <w:lang w:val="sl-SI"/>
        </w:rPr>
        <w:t>odobriti.</w:t>
      </w:r>
      <w:bookmarkStart w:id="644" w:name="_bookmark78"/>
      <w:bookmarkEnd w:id="644"/>
    </w:p>
    <w:p w14:paraId="7D39A8E2" w14:textId="77777777" w:rsidR="00E03711" w:rsidRPr="001048FE" w:rsidRDefault="00E03711" w:rsidP="00C64D0E">
      <w:pPr>
        <w:pStyle w:val="GUIDE-NORMAL"/>
        <w:rPr>
          <w:lang w:val="sl-SI"/>
        </w:rPr>
        <w:sectPr w:rsidR="00E03711" w:rsidRPr="001048FE" w:rsidSect="00AA6A8A">
          <w:headerReference w:type="even" r:id="rId174"/>
          <w:headerReference w:type="default" r:id="rId175"/>
          <w:endnotePr>
            <w:numFmt w:val="decimal"/>
          </w:endnotePr>
          <w:pgSz w:w="11901" w:h="16817"/>
          <w:pgMar w:top="1134" w:right="1418" w:bottom="1134" w:left="1418" w:header="524" w:footer="450" w:gutter="0"/>
          <w:cols w:space="720"/>
        </w:sectPr>
      </w:pPr>
    </w:p>
    <w:p w14:paraId="7D39A8E3" w14:textId="77777777" w:rsidR="00E03711" w:rsidRDefault="00E03711">
      <w:pPr>
        <w:pStyle w:val="Guide-Heading2"/>
        <w:rPr>
          <w:lang w:val="sl-SI"/>
        </w:rPr>
      </w:pPr>
      <w:bookmarkStart w:id="645" w:name="_Toc527400977"/>
      <w:bookmarkStart w:id="646" w:name="_Toc527401314"/>
      <w:r w:rsidRPr="001048FE">
        <w:rPr>
          <w:lang w:val="sl-SI"/>
        </w:rPr>
        <w:t>Projekt</w:t>
      </w:r>
      <w:r>
        <w:rPr>
          <w:lang w:val="sl-SI"/>
        </w:rPr>
        <w:t>i</w:t>
      </w:r>
      <w:r w:rsidRPr="001048FE">
        <w:rPr>
          <w:lang w:val="sl-SI"/>
        </w:rPr>
        <w:t xml:space="preserve"> mobilnosti za mlade in mladinske</w:t>
      </w:r>
      <w:bookmarkStart w:id="647" w:name="Projekt_mobilnosti_za_mlade_in_mladinske"/>
      <w:bookmarkEnd w:id="647"/>
      <w:r w:rsidRPr="001048FE">
        <w:rPr>
          <w:lang w:val="sl-SI"/>
        </w:rPr>
        <w:t xml:space="preserve"> delavce</w:t>
      </w:r>
      <w:r>
        <w:rPr>
          <w:rStyle w:val="FootnoteReference"/>
          <w:lang w:val="sl-SI"/>
        </w:rPr>
        <w:footnoteReference w:id="263"/>
      </w:r>
      <w:bookmarkEnd w:id="645"/>
      <w:bookmarkEnd w:id="646"/>
    </w:p>
    <w:p w14:paraId="7D39A8E4" w14:textId="77777777" w:rsidR="00E03711" w:rsidRPr="001048FE" w:rsidRDefault="00E03711" w:rsidP="00B54CB5">
      <w:pPr>
        <w:pStyle w:val="GUIDE-NORMAL"/>
        <w:rPr>
          <w:lang w:val="sl-SI"/>
        </w:rPr>
      </w:pPr>
      <w:r w:rsidRPr="001048FE">
        <w:rPr>
          <w:lang w:val="sl-SI"/>
        </w:rPr>
        <w:t>Ukrepi na področju mladine, ki so podprti s programom Erasmus+, zagotavljajo mnoge priložnosti za mlade, da z neformalnim in priložnostnim učenjem pridobijo kompetence in se razvijejo kot posamezniki.</w:t>
      </w:r>
    </w:p>
    <w:p w14:paraId="7D39A8E5" w14:textId="77777777" w:rsidR="00E03711" w:rsidRPr="001048FE" w:rsidRDefault="00E03711" w:rsidP="00B54CB5">
      <w:pPr>
        <w:pStyle w:val="GUIDE-NORMAL"/>
        <w:rPr>
          <w:lang w:val="sl-SI"/>
        </w:rPr>
      </w:pPr>
      <w:r w:rsidRPr="001048FE">
        <w:rPr>
          <w:lang w:val="sl-SI"/>
        </w:rPr>
        <w:t>Neformalno učenje je učenje, ki se izvaja zunaj okvira formalnega izobraževalnega učnega načrta. Pristop tega učenja je participativen in usmerjen v posameznika; osebe v njem sodelujejo prostovoljno, zato je tesno povezan s potrebami, željami in zanimanji mladih. Z zagotavljanjem dodatnega vira in novih oblik učenja so take aktivnosti tudi pomembno sredstvo za izboljševanje uspeha v formalnem izobraževanju in usposabljanju, za obravnavanje mladih iz skupine NEET (tj. mladi, ki niso zaposleni, se ne izobražujejo ali usposabljajo) ali mladih z manj priložnostmi ter za odpravljanje socialne izključenosti.</w:t>
      </w:r>
    </w:p>
    <w:p w14:paraId="7D39A8E6" w14:textId="77777777" w:rsidR="00E03711" w:rsidRPr="001048FE" w:rsidRDefault="00E03711" w:rsidP="00B54CB5">
      <w:pPr>
        <w:pStyle w:val="GUIDE-NORMAL"/>
        <w:rPr>
          <w:lang w:val="sl-SI"/>
        </w:rPr>
      </w:pPr>
      <w:r w:rsidRPr="001048FE">
        <w:rPr>
          <w:lang w:val="sl-SI"/>
        </w:rPr>
        <w:t>Priložnostno</w:t>
      </w:r>
      <w:r w:rsidRPr="001048FE">
        <w:rPr>
          <w:spacing w:val="-14"/>
          <w:lang w:val="sl-SI"/>
        </w:rPr>
        <w:t xml:space="preserve"> </w:t>
      </w:r>
      <w:r w:rsidRPr="001048FE">
        <w:rPr>
          <w:lang w:val="sl-SI"/>
        </w:rPr>
        <w:t>učenje</w:t>
      </w:r>
      <w:r w:rsidRPr="001048FE">
        <w:rPr>
          <w:spacing w:val="-14"/>
          <w:lang w:val="sl-SI"/>
        </w:rPr>
        <w:t xml:space="preserve"> </w:t>
      </w:r>
      <w:r w:rsidRPr="001048FE">
        <w:rPr>
          <w:lang w:val="sl-SI"/>
        </w:rPr>
        <w:t>je</w:t>
      </w:r>
      <w:r w:rsidRPr="001048FE">
        <w:rPr>
          <w:spacing w:val="-14"/>
          <w:lang w:val="sl-SI"/>
        </w:rPr>
        <w:t xml:space="preserve"> </w:t>
      </w:r>
      <w:r w:rsidRPr="001048FE">
        <w:rPr>
          <w:lang w:val="sl-SI"/>
        </w:rPr>
        <w:t>učenje</w:t>
      </w:r>
      <w:r w:rsidRPr="001048FE">
        <w:rPr>
          <w:spacing w:val="-14"/>
          <w:lang w:val="sl-SI"/>
        </w:rPr>
        <w:t xml:space="preserve"> </w:t>
      </w:r>
      <w:r w:rsidRPr="001048FE">
        <w:rPr>
          <w:lang w:val="sl-SI"/>
        </w:rPr>
        <w:t>med</w:t>
      </w:r>
      <w:r w:rsidRPr="001048FE">
        <w:rPr>
          <w:spacing w:val="-14"/>
          <w:lang w:val="sl-SI"/>
        </w:rPr>
        <w:t xml:space="preserve"> </w:t>
      </w:r>
      <w:r w:rsidRPr="001048FE">
        <w:rPr>
          <w:lang w:val="sl-SI"/>
        </w:rPr>
        <w:t>vsakodnevnimi</w:t>
      </w:r>
      <w:r w:rsidRPr="001048FE">
        <w:rPr>
          <w:spacing w:val="-14"/>
          <w:lang w:val="sl-SI"/>
        </w:rPr>
        <w:t xml:space="preserve"> </w:t>
      </w:r>
      <w:r w:rsidRPr="001048FE">
        <w:rPr>
          <w:lang w:val="sl-SI"/>
        </w:rPr>
        <w:t>aktivnostmi,</w:t>
      </w:r>
      <w:r w:rsidRPr="001048FE">
        <w:rPr>
          <w:spacing w:val="-14"/>
          <w:lang w:val="sl-SI"/>
        </w:rPr>
        <w:t xml:space="preserve"> </w:t>
      </w:r>
      <w:r w:rsidRPr="001048FE">
        <w:rPr>
          <w:lang w:val="sl-SI"/>
        </w:rPr>
        <w:t>na</w:t>
      </w:r>
      <w:r w:rsidRPr="001048FE">
        <w:rPr>
          <w:spacing w:val="-14"/>
          <w:lang w:val="sl-SI"/>
        </w:rPr>
        <w:t xml:space="preserve"> </w:t>
      </w:r>
      <w:r w:rsidRPr="001048FE">
        <w:rPr>
          <w:lang w:val="sl-SI"/>
        </w:rPr>
        <w:t>delovnem</w:t>
      </w:r>
      <w:r w:rsidRPr="001048FE">
        <w:rPr>
          <w:spacing w:val="-14"/>
          <w:lang w:val="sl-SI"/>
        </w:rPr>
        <w:t xml:space="preserve"> </w:t>
      </w:r>
      <w:r w:rsidRPr="001048FE">
        <w:rPr>
          <w:lang w:val="sl-SI"/>
        </w:rPr>
        <w:t>mestu,</w:t>
      </w:r>
      <w:r w:rsidRPr="001048FE">
        <w:rPr>
          <w:spacing w:val="-14"/>
          <w:lang w:val="sl-SI"/>
        </w:rPr>
        <w:t xml:space="preserve"> </w:t>
      </w:r>
      <w:r w:rsidRPr="001048FE">
        <w:rPr>
          <w:lang w:val="sl-SI"/>
        </w:rPr>
        <w:t>z</w:t>
      </w:r>
      <w:r w:rsidRPr="001048FE">
        <w:rPr>
          <w:spacing w:val="-14"/>
          <w:lang w:val="sl-SI"/>
        </w:rPr>
        <w:t xml:space="preserve"> </w:t>
      </w:r>
      <w:r w:rsidRPr="001048FE">
        <w:rPr>
          <w:lang w:val="sl-SI"/>
        </w:rPr>
        <w:t>vrstniki</w:t>
      </w:r>
      <w:r w:rsidRPr="001048FE">
        <w:rPr>
          <w:spacing w:val="-14"/>
          <w:lang w:val="sl-SI"/>
        </w:rPr>
        <w:t xml:space="preserve"> </w:t>
      </w:r>
      <w:r w:rsidRPr="001048FE">
        <w:rPr>
          <w:lang w:val="sl-SI"/>
        </w:rPr>
        <w:t>itd.</w:t>
      </w:r>
      <w:r w:rsidRPr="001048FE">
        <w:rPr>
          <w:spacing w:val="-14"/>
          <w:lang w:val="sl-SI"/>
        </w:rPr>
        <w:t xml:space="preserve"> </w:t>
      </w:r>
      <w:r w:rsidRPr="001048FE">
        <w:rPr>
          <w:lang w:val="sl-SI"/>
        </w:rPr>
        <w:t>Gre predvsem za učenje v praksi. V mladinskem sektorju se priložnostno učenje izvaja v mladinskih pobudah, razpravah z vrstniki, prostovoljskih aktivnostih in številnih drugih</w:t>
      </w:r>
      <w:r w:rsidRPr="001048FE">
        <w:rPr>
          <w:spacing w:val="-11"/>
          <w:lang w:val="sl-SI"/>
        </w:rPr>
        <w:t xml:space="preserve"> </w:t>
      </w:r>
      <w:r w:rsidRPr="001048FE">
        <w:rPr>
          <w:lang w:val="sl-SI"/>
        </w:rPr>
        <w:t>okoliščinah.</w:t>
      </w:r>
    </w:p>
    <w:p w14:paraId="7D39A8E7" w14:textId="77777777" w:rsidR="00E03711" w:rsidRPr="001048FE" w:rsidRDefault="00E03711" w:rsidP="00B54CB5">
      <w:pPr>
        <w:pStyle w:val="GUIDE-NORMAL"/>
        <w:rPr>
          <w:lang w:val="sl-SI"/>
        </w:rPr>
      </w:pPr>
      <w:r w:rsidRPr="001048FE">
        <w:rPr>
          <w:lang w:val="sl-SI"/>
        </w:rPr>
        <w:t>Neformalno in priložnostno učenje omogoča mladim, da pridobijo bistvene kompetence, ki prispevajo k njihovemu osebnemu in socialno-vzgojnemu razvoju ter spodbujajo njihovo aktivno udeležbo v družbi, s čimer se izboljšajo tudi njihove možnosti za zaposlitev. Aktivnosti učenja na področju mladih bodo predvidoma imele izjemno pozitiven učinek na mlade, vključene organizacije, skupnosti, kjer se izvajajo te aktivnosti, samo mladino ter na evropske gospodarske in družbene sektorje na splošno.</w:t>
      </w:r>
    </w:p>
    <w:p w14:paraId="7D39A8E8" w14:textId="77777777" w:rsidR="00E03711" w:rsidRPr="001048FE" w:rsidRDefault="00E03711" w:rsidP="00B54CB5">
      <w:pPr>
        <w:pStyle w:val="GUIDE-NORMAL"/>
        <w:rPr>
          <w:lang w:val="sl-SI"/>
        </w:rPr>
      </w:pPr>
      <w:r w:rsidRPr="001048FE">
        <w:rPr>
          <w:lang w:val="sl-SI"/>
        </w:rPr>
        <w:t>Razsežnost visokokakovostnega neformalnega in priložnostnega učenja je ključni vidik vseh mladinskih projektov, ki so podprti v okviru programa Erasmus+. Mladinski projekti, ki so financirani s programom Erasmus+, morajo slediti naslednjim načelom neformalnega in priložnostnega učenja:</w:t>
      </w:r>
    </w:p>
    <w:p w14:paraId="7D39A8E9" w14:textId="77777777" w:rsidR="00E03711" w:rsidRPr="001048FE" w:rsidRDefault="00E03711" w:rsidP="005115F2">
      <w:pPr>
        <w:pStyle w:val="Guide-NormalBulletpoints"/>
        <w:numPr>
          <w:ilvl w:val="0"/>
          <w:numId w:val="436"/>
        </w:numPr>
        <w:rPr>
          <w:lang w:val="sl-SI"/>
        </w:rPr>
      </w:pPr>
      <w:r w:rsidRPr="001048FE">
        <w:rPr>
          <w:lang w:val="sl-SI"/>
        </w:rPr>
        <w:t>učenje v neformalnih okoliščinah je namerno in prostovoljno;</w:t>
      </w:r>
    </w:p>
    <w:p w14:paraId="7D39A8EA" w14:textId="77777777" w:rsidR="00E03711" w:rsidRPr="001048FE" w:rsidRDefault="00E03711" w:rsidP="005115F2">
      <w:pPr>
        <w:pStyle w:val="Guide-NormalBulletpoints"/>
        <w:numPr>
          <w:ilvl w:val="0"/>
          <w:numId w:val="436"/>
        </w:numPr>
        <w:rPr>
          <w:lang w:val="sl-SI"/>
        </w:rPr>
      </w:pPr>
      <w:r w:rsidRPr="001048FE">
        <w:rPr>
          <w:lang w:val="sl-SI"/>
        </w:rPr>
        <w:t>mladi in mladinski delavci aktivno sodelujejo v načrtovanju, pripravi, izvajanju in ocenjevanju projekta;</w:t>
      </w:r>
    </w:p>
    <w:p w14:paraId="7D39A8EB" w14:textId="77777777" w:rsidR="00E03711" w:rsidRPr="001048FE" w:rsidRDefault="00E03711" w:rsidP="005115F2">
      <w:pPr>
        <w:pStyle w:val="Guide-NormalBulletpoints"/>
        <w:numPr>
          <w:ilvl w:val="0"/>
          <w:numId w:val="436"/>
        </w:numPr>
        <w:rPr>
          <w:lang w:val="sl-SI"/>
        </w:rPr>
      </w:pPr>
      <w:r w:rsidRPr="001048FE">
        <w:rPr>
          <w:lang w:val="sl-SI"/>
        </w:rPr>
        <w:t>aktivnosti učenja se izvajajo v raznolikih okoljih in okoliščinah;</w:t>
      </w:r>
    </w:p>
    <w:p w14:paraId="7D39A8EC" w14:textId="77777777" w:rsidR="00E03711" w:rsidRPr="001048FE" w:rsidRDefault="00E03711" w:rsidP="005115F2">
      <w:pPr>
        <w:pStyle w:val="Guide-NormalBulletpoints"/>
        <w:numPr>
          <w:ilvl w:val="0"/>
          <w:numId w:val="436"/>
        </w:numPr>
        <w:rPr>
          <w:lang w:val="sl-SI"/>
        </w:rPr>
      </w:pPr>
      <w:r w:rsidRPr="001048FE">
        <w:rPr>
          <w:lang w:val="sl-SI"/>
        </w:rPr>
        <w:t>izvajanje aktivnosti podpirajo strokovno usposobljeni delavci (na primer vodje usposabljanj, mladinski delavci, strokovnjaki na področju mladine) ali prostovoljci (na primer mladinski voditelji, mladinski vodje usposabljanj itd.);</w:t>
      </w:r>
    </w:p>
    <w:p w14:paraId="7D39A8ED" w14:textId="77777777" w:rsidR="00E03711" w:rsidRPr="001048FE" w:rsidRDefault="00E03711" w:rsidP="005115F2">
      <w:pPr>
        <w:pStyle w:val="Guide-NormalBulletpoints"/>
        <w:numPr>
          <w:ilvl w:val="0"/>
          <w:numId w:val="436"/>
        </w:numPr>
        <w:rPr>
          <w:lang w:val="sl-SI"/>
        </w:rPr>
      </w:pPr>
      <w:r w:rsidRPr="001048FE">
        <w:rPr>
          <w:lang w:val="sl-SI"/>
        </w:rPr>
        <w:t>aktivnosti običajno dokumentirajo učenje na poseben, v določeno področje usmerjen način.</w:t>
      </w:r>
    </w:p>
    <w:p w14:paraId="7D39A8EE" w14:textId="77777777" w:rsidR="00E03711" w:rsidRPr="001048FE" w:rsidRDefault="00E03711" w:rsidP="00B54CB5">
      <w:pPr>
        <w:pStyle w:val="GUIDE-NORMAL"/>
        <w:rPr>
          <w:lang w:val="sl-SI"/>
        </w:rPr>
      </w:pPr>
      <w:r w:rsidRPr="001048FE">
        <w:rPr>
          <w:lang w:val="sl-SI"/>
        </w:rPr>
        <w:t>Tudi aktivnosti morajo biti načrtovane vnaprej in temeljiti na participativnih metodah, ki:</w:t>
      </w:r>
    </w:p>
    <w:p w14:paraId="7D39A8EF" w14:textId="77777777" w:rsidR="00E03711" w:rsidRPr="001048FE" w:rsidRDefault="00E03711" w:rsidP="005115F2">
      <w:pPr>
        <w:pStyle w:val="Guide-NormalBulletpoints"/>
        <w:numPr>
          <w:ilvl w:val="0"/>
          <w:numId w:val="437"/>
        </w:numPr>
        <w:rPr>
          <w:lang w:val="sl-SI"/>
        </w:rPr>
      </w:pPr>
      <w:r w:rsidRPr="001048FE">
        <w:rPr>
          <w:lang w:val="sl-SI"/>
        </w:rPr>
        <w:t>zagotavljajo</w:t>
      </w:r>
      <w:r w:rsidRPr="001048FE">
        <w:rPr>
          <w:spacing w:val="-26"/>
          <w:lang w:val="sl-SI"/>
        </w:rPr>
        <w:t xml:space="preserve"> </w:t>
      </w:r>
      <w:r w:rsidRPr="001048FE">
        <w:rPr>
          <w:lang w:val="sl-SI"/>
        </w:rPr>
        <w:t>možnost</w:t>
      </w:r>
      <w:r w:rsidRPr="001048FE">
        <w:rPr>
          <w:spacing w:val="-26"/>
          <w:lang w:val="sl-SI"/>
        </w:rPr>
        <w:t xml:space="preserve"> </w:t>
      </w:r>
      <w:r w:rsidRPr="001048FE">
        <w:rPr>
          <w:lang w:val="sl-SI"/>
        </w:rPr>
        <w:t>sodelovanja</w:t>
      </w:r>
      <w:r w:rsidRPr="001048FE">
        <w:rPr>
          <w:spacing w:val="-26"/>
          <w:lang w:val="sl-SI"/>
        </w:rPr>
        <w:t xml:space="preserve"> </w:t>
      </w:r>
      <w:r w:rsidRPr="001048FE">
        <w:rPr>
          <w:lang w:val="sl-SI"/>
        </w:rPr>
        <w:t>udeležencev</w:t>
      </w:r>
      <w:r w:rsidRPr="001048FE">
        <w:rPr>
          <w:spacing w:val="-26"/>
          <w:lang w:val="sl-SI"/>
        </w:rPr>
        <w:t xml:space="preserve"> </w:t>
      </w:r>
      <w:r w:rsidRPr="001048FE">
        <w:rPr>
          <w:lang w:val="sl-SI"/>
        </w:rPr>
        <w:t>in</w:t>
      </w:r>
      <w:r w:rsidRPr="001048FE">
        <w:rPr>
          <w:spacing w:val="-26"/>
          <w:lang w:val="sl-SI"/>
        </w:rPr>
        <w:t xml:space="preserve"> </w:t>
      </w:r>
      <w:r w:rsidRPr="001048FE">
        <w:rPr>
          <w:lang w:val="sl-SI"/>
        </w:rPr>
        <w:t>izmenjavo</w:t>
      </w:r>
      <w:r w:rsidRPr="001048FE">
        <w:rPr>
          <w:spacing w:val="-26"/>
          <w:lang w:val="sl-SI"/>
        </w:rPr>
        <w:t xml:space="preserve"> </w:t>
      </w:r>
      <w:r w:rsidRPr="001048FE">
        <w:rPr>
          <w:lang w:val="sl-SI"/>
        </w:rPr>
        <w:t>idej</w:t>
      </w:r>
      <w:r w:rsidRPr="001048FE">
        <w:rPr>
          <w:spacing w:val="-26"/>
          <w:lang w:val="sl-SI"/>
        </w:rPr>
        <w:t xml:space="preserve"> </w:t>
      </w:r>
      <w:r w:rsidRPr="001048FE">
        <w:rPr>
          <w:lang w:val="sl-SI"/>
        </w:rPr>
        <w:t>ter</w:t>
      </w:r>
      <w:r w:rsidRPr="001048FE">
        <w:rPr>
          <w:spacing w:val="-26"/>
          <w:lang w:val="sl-SI"/>
        </w:rPr>
        <w:t xml:space="preserve"> </w:t>
      </w:r>
      <w:r w:rsidRPr="001048FE">
        <w:rPr>
          <w:lang w:val="sl-SI"/>
        </w:rPr>
        <w:t>se</w:t>
      </w:r>
      <w:r w:rsidRPr="001048FE">
        <w:rPr>
          <w:spacing w:val="-26"/>
          <w:lang w:val="sl-SI"/>
        </w:rPr>
        <w:t xml:space="preserve"> </w:t>
      </w:r>
      <w:r w:rsidRPr="001048FE">
        <w:rPr>
          <w:lang w:val="sl-SI"/>
        </w:rPr>
        <w:t>izogibajo</w:t>
      </w:r>
      <w:r w:rsidRPr="001048FE">
        <w:rPr>
          <w:spacing w:val="-26"/>
          <w:lang w:val="sl-SI"/>
        </w:rPr>
        <w:t xml:space="preserve"> </w:t>
      </w:r>
      <w:r w:rsidRPr="001048FE">
        <w:rPr>
          <w:lang w:val="sl-SI"/>
        </w:rPr>
        <w:t>pasivnemu poslušanju;</w:t>
      </w:r>
    </w:p>
    <w:p w14:paraId="7D39A8F0" w14:textId="77777777" w:rsidR="00E03711" w:rsidRPr="001048FE" w:rsidRDefault="00E03711" w:rsidP="005115F2">
      <w:pPr>
        <w:pStyle w:val="Guide-NormalBulletpoints"/>
        <w:numPr>
          <w:ilvl w:val="0"/>
          <w:numId w:val="437"/>
        </w:numPr>
        <w:rPr>
          <w:lang w:val="sl-SI"/>
        </w:rPr>
      </w:pPr>
      <w:r w:rsidRPr="001048FE">
        <w:rPr>
          <w:lang w:val="sl-SI"/>
        </w:rPr>
        <w:t>omogočajo udeležencem, da k aktivnostim prispevajo svoje znanje in spretnosti z zamenjavo tradicionalne vloge zunanjih „strokovnjakov“ (preobrat v učenju, od izvabljanja znanja do opolnomočenja);</w:t>
      </w:r>
    </w:p>
    <w:p w14:paraId="7D39A8F1" w14:textId="77777777" w:rsidR="00E03711" w:rsidRPr="001048FE" w:rsidRDefault="00E03711" w:rsidP="005115F2">
      <w:pPr>
        <w:pStyle w:val="Guide-NormalBulletpoints"/>
        <w:numPr>
          <w:ilvl w:val="0"/>
          <w:numId w:val="437"/>
        </w:numPr>
        <w:rPr>
          <w:lang w:val="sl-SI"/>
        </w:rPr>
      </w:pPr>
      <w:r w:rsidRPr="001048FE">
        <w:rPr>
          <w:lang w:val="sl-SI"/>
        </w:rPr>
        <w:t>omogočajo udeležencem, da izvedejo svoje analize, vključno s premislekom o kompetencah, ki so jih pridobili med aktivnostjo (tj. lastni učni izidi);</w:t>
      </w:r>
    </w:p>
    <w:p w14:paraId="7D39A8F2" w14:textId="77777777" w:rsidR="00E03711" w:rsidRPr="001048FE" w:rsidRDefault="00E03711" w:rsidP="005115F2">
      <w:pPr>
        <w:pStyle w:val="Guide-NormalBulletpoints"/>
        <w:numPr>
          <w:ilvl w:val="0"/>
          <w:numId w:val="437"/>
        </w:numPr>
        <w:rPr>
          <w:lang w:val="sl-SI"/>
        </w:rPr>
      </w:pPr>
      <w:r w:rsidRPr="001048FE">
        <w:rPr>
          <w:lang w:val="sl-SI"/>
        </w:rPr>
        <w:t>zagotavljajo,</w:t>
      </w:r>
      <w:r w:rsidRPr="001048FE">
        <w:rPr>
          <w:spacing w:val="-17"/>
          <w:lang w:val="sl-SI"/>
        </w:rPr>
        <w:t xml:space="preserve"> </w:t>
      </w:r>
      <w:r w:rsidRPr="001048FE">
        <w:rPr>
          <w:lang w:val="sl-SI"/>
        </w:rPr>
        <w:t>da</w:t>
      </w:r>
      <w:r w:rsidRPr="001048FE">
        <w:rPr>
          <w:spacing w:val="-17"/>
          <w:lang w:val="sl-SI"/>
        </w:rPr>
        <w:t xml:space="preserve"> </w:t>
      </w:r>
      <w:r w:rsidRPr="001048FE">
        <w:rPr>
          <w:lang w:val="sl-SI"/>
        </w:rPr>
        <w:t>lahko</w:t>
      </w:r>
      <w:r w:rsidRPr="001048FE">
        <w:rPr>
          <w:spacing w:val="-17"/>
          <w:lang w:val="sl-SI"/>
        </w:rPr>
        <w:t xml:space="preserve"> </w:t>
      </w:r>
      <w:r w:rsidRPr="001048FE">
        <w:rPr>
          <w:lang w:val="sl-SI"/>
        </w:rPr>
        <w:t>udeleženci</w:t>
      </w:r>
      <w:r w:rsidRPr="001048FE">
        <w:rPr>
          <w:spacing w:val="-17"/>
          <w:lang w:val="sl-SI"/>
        </w:rPr>
        <w:t xml:space="preserve"> </w:t>
      </w:r>
      <w:r w:rsidRPr="001048FE">
        <w:rPr>
          <w:lang w:val="sl-SI"/>
        </w:rPr>
        <w:t>poleg</w:t>
      </w:r>
      <w:r w:rsidRPr="001048FE">
        <w:rPr>
          <w:spacing w:val="-17"/>
          <w:lang w:val="sl-SI"/>
        </w:rPr>
        <w:t xml:space="preserve"> </w:t>
      </w:r>
      <w:r w:rsidRPr="001048FE">
        <w:rPr>
          <w:lang w:val="sl-SI"/>
        </w:rPr>
        <w:t>sodelovanja</w:t>
      </w:r>
      <w:r w:rsidRPr="001048FE">
        <w:rPr>
          <w:spacing w:val="-17"/>
          <w:lang w:val="sl-SI"/>
        </w:rPr>
        <w:t xml:space="preserve"> </w:t>
      </w:r>
      <w:r w:rsidRPr="001048FE">
        <w:rPr>
          <w:lang w:val="sl-SI"/>
        </w:rPr>
        <w:t>tudi</w:t>
      </w:r>
      <w:r w:rsidRPr="001048FE">
        <w:rPr>
          <w:spacing w:val="-17"/>
          <w:lang w:val="sl-SI"/>
        </w:rPr>
        <w:t xml:space="preserve"> </w:t>
      </w:r>
      <w:r w:rsidRPr="001048FE">
        <w:rPr>
          <w:lang w:val="sl-SI"/>
        </w:rPr>
        <w:t>vplivajo</w:t>
      </w:r>
      <w:r w:rsidRPr="001048FE">
        <w:rPr>
          <w:spacing w:val="-17"/>
          <w:lang w:val="sl-SI"/>
        </w:rPr>
        <w:t xml:space="preserve"> </w:t>
      </w:r>
      <w:r w:rsidRPr="001048FE">
        <w:rPr>
          <w:lang w:val="sl-SI"/>
        </w:rPr>
        <w:t>na</w:t>
      </w:r>
      <w:r w:rsidRPr="001048FE">
        <w:rPr>
          <w:spacing w:val="-17"/>
          <w:lang w:val="sl-SI"/>
        </w:rPr>
        <w:t xml:space="preserve"> </w:t>
      </w:r>
      <w:r w:rsidRPr="001048FE">
        <w:rPr>
          <w:lang w:val="sl-SI"/>
        </w:rPr>
        <w:t>odločitve</w:t>
      </w:r>
      <w:r w:rsidRPr="001048FE">
        <w:rPr>
          <w:spacing w:val="-17"/>
          <w:lang w:val="sl-SI"/>
        </w:rPr>
        <w:t xml:space="preserve"> </w:t>
      </w:r>
      <w:r w:rsidRPr="001048FE">
        <w:rPr>
          <w:lang w:val="sl-SI"/>
        </w:rPr>
        <w:t>v</w:t>
      </w:r>
      <w:r w:rsidRPr="001048FE">
        <w:rPr>
          <w:spacing w:val="-17"/>
          <w:lang w:val="sl-SI"/>
        </w:rPr>
        <w:t xml:space="preserve"> </w:t>
      </w:r>
      <w:r w:rsidRPr="001048FE">
        <w:rPr>
          <w:lang w:val="sl-SI"/>
        </w:rPr>
        <w:t>zvezi</w:t>
      </w:r>
      <w:r w:rsidRPr="001048FE">
        <w:rPr>
          <w:spacing w:val="-17"/>
          <w:lang w:val="sl-SI"/>
        </w:rPr>
        <w:t xml:space="preserve"> </w:t>
      </w:r>
      <w:r w:rsidRPr="001048FE">
        <w:rPr>
          <w:lang w:val="sl-SI"/>
        </w:rPr>
        <w:t>s projektom.</w:t>
      </w:r>
    </w:p>
    <w:p w14:paraId="7D39A8F3" w14:textId="77777777" w:rsidR="00E03711" w:rsidRPr="001048FE" w:rsidRDefault="00E03711" w:rsidP="00B54CB5">
      <w:pPr>
        <w:pStyle w:val="GUIDE-NORMAL"/>
        <w:rPr>
          <w:lang w:val="sl-SI"/>
        </w:rPr>
      </w:pPr>
      <w:r w:rsidRPr="001048FE">
        <w:rPr>
          <w:lang w:val="sl-SI"/>
        </w:rPr>
        <w:t>Aktivnosti bi morale imeti medkulturno/evropsko razsežnost ter:</w:t>
      </w:r>
    </w:p>
    <w:p w14:paraId="7D39A8F4" w14:textId="77777777" w:rsidR="00E03711" w:rsidRPr="001048FE" w:rsidRDefault="00E03711" w:rsidP="005115F2">
      <w:pPr>
        <w:pStyle w:val="Guide-NormalBulletpoints"/>
        <w:numPr>
          <w:ilvl w:val="0"/>
          <w:numId w:val="438"/>
        </w:numPr>
        <w:rPr>
          <w:lang w:val="sl-SI"/>
        </w:rPr>
      </w:pPr>
      <w:r w:rsidRPr="001048FE">
        <w:rPr>
          <w:lang w:val="sl-SI"/>
        </w:rPr>
        <w:t>spodbujati udeležence k premisleku o evropskih temah in sooblikovanju Evrope;</w:t>
      </w:r>
    </w:p>
    <w:p w14:paraId="7D39A8F5" w14:textId="77777777" w:rsidR="00E03711" w:rsidRPr="001048FE" w:rsidRDefault="00E03711" w:rsidP="005115F2">
      <w:pPr>
        <w:pStyle w:val="Guide-NormalBulletpoints"/>
        <w:numPr>
          <w:ilvl w:val="0"/>
          <w:numId w:val="438"/>
        </w:numPr>
        <w:rPr>
          <w:lang w:val="sl-SI"/>
        </w:rPr>
      </w:pPr>
      <w:r w:rsidRPr="001048FE">
        <w:rPr>
          <w:lang w:val="sl-SI"/>
        </w:rPr>
        <w:t>za udeležence zagotoviti priložnost, da poiščejo vrednote, ki so kljub kulturnim razlikam skupne njim in osebam iz drugih držav;</w:t>
      </w:r>
    </w:p>
    <w:p w14:paraId="7D39A8F6" w14:textId="77777777" w:rsidR="00E03711" w:rsidRPr="001048FE" w:rsidRDefault="00E03711" w:rsidP="005115F2">
      <w:pPr>
        <w:pStyle w:val="Guide-NormalBulletpoints"/>
        <w:numPr>
          <w:ilvl w:val="0"/>
          <w:numId w:val="438"/>
        </w:numPr>
        <w:rPr>
          <w:lang w:val="sl-SI"/>
        </w:rPr>
      </w:pPr>
      <w:r w:rsidRPr="001048FE">
        <w:rPr>
          <w:lang w:val="sl-SI"/>
        </w:rPr>
        <w:t xml:space="preserve">spodbujati kritično razmišljanje o stališčih, ki ohranjajo neenakost in diskriminacijo; </w:t>
      </w:r>
    </w:p>
    <w:p w14:paraId="7D39A8F7" w14:textId="77777777" w:rsidR="00E03711" w:rsidRPr="001048FE" w:rsidRDefault="00E03711" w:rsidP="005115F2">
      <w:pPr>
        <w:pStyle w:val="Guide-NormalBulletpoints"/>
        <w:numPr>
          <w:ilvl w:val="0"/>
          <w:numId w:val="438"/>
        </w:numPr>
        <w:rPr>
          <w:lang w:val="sl-SI"/>
        </w:rPr>
      </w:pPr>
      <w:r w:rsidRPr="001048FE">
        <w:rPr>
          <w:lang w:val="sl-SI"/>
        </w:rPr>
        <w:t>spodbujati spoštovanje kulturne raznolikosti ter se boriti proti rasizmu in ksenofobiji.</w:t>
      </w:r>
    </w:p>
    <w:p w14:paraId="7D39A8F8" w14:textId="77777777" w:rsidR="00E03711" w:rsidRDefault="00E03711" w:rsidP="009B18DC">
      <w:pPr>
        <w:pStyle w:val="GUIDE-NORMAL"/>
        <w:rPr>
          <w:lang w:val="sl-SI"/>
        </w:rPr>
        <w:sectPr w:rsidR="00E03711" w:rsidSect="00AA6A8A">
          <w:headerReference w:type="even" r:id="rId176"/>
          <w:headerReference w:type="default" r:id="rId177"/>
          <w:endnotePr>
            <w:numFmt w:val="decimal"/>
          </w:endnotePr>
          <w:pgSz w:w="11901" w:h="16817" w:code="9"/>
          <w:pgMar w:top="1134" w:right="1418" w:bottom="1134" w:left="1418" w:header="283" w:footer="567" w:gutter="0"/>
          <w:cols w:space="720"/>
          <w:docGrid w:linePitch="326"/>
        </w:sectPr>
      </w:pPr>
    </w:p>
    <w:p w14:paraId="7D39A8F9" w14:textId="77777777" w:rsidR="00E03711" w:rsidRDefault="00E03711">
      <w:pPr>
        <w:pStyle w:val="Guide-AnnexHeading3"/>
        <w:numPr>
          <w:ilvl w:val="0"/>
          <w:numId w:val="0"/>
        </w:numPr>
        <w:ind w:left="360" w:hanging="360"/>
        <w:rPr>
          <w:lang w:val="sl-SI"/>
        </w:rPr>
      </w:pPr>
      <w:bookmarkStart w:id="648" w:name="_Toc524425622"/>
      <w:bookmarkStart w:id="649" w:name="_Toc526422860"/>
      <w:bookmarkStart w:id="650" w:name="_Toc527400978"/>
      <w:bookmarkStart w:id="651" w:name="_Toc527401315"/>
      <w:r>
        <w:rPr>
          <w:lang w:val="sl-SI"/>
        </w:rPr>
        <w:t>1. Mobilnost izmenjav mladih in mladinskih delavcev</w:t>
      </w:r>
      <w:bookmarkEnd w:id="648"/>
      <w:bookmarkEnd w:id="649"/>
      <w:bookmarkEnd w:id="650"/>
      <w:bookmarkEnd w:id="651"/>
    </w:p>
    <w:p w14:paraId="7D39A8FA" w14:textId="77777777" w:rsidR="00E03711" w:rsidRPr="001048FE" w:rsidRDefault="00E03711" w:rsidP="00D90EE4">
      <w:pPr>
        <w:pStyle w:val="Guide-Heading4"/>
        <w:rPr>
          <w:lang w:val="sl-SI"/>
        </w:rPr>
      </w:pPr>
      <w:bookmarkStart w:id="652" w:name="_Toc527401316"/>
      <w:r w:rsidRPr="001048FE">
        <w:rPr>
          <w:lang w:val="sl-SI"/>
        </w:rPr>
        <w:t>Sporazum med partnerji projekta</w:t>
      </w:r>
      <w:bookmarkEnd w:id="652"/>
    </w:p>
    <w:p w14:paraId="7D39A8FB" w14:textId="77777777" w:rsidR="00E03711" w:rsidRPr="001048FE" w:rsidRDefault="00E03711" w:rsidP="0032541E">
      <w:pPr>
        <w:pStyle w:val="GUIDE-NORMAL"/>
        <w:rPr>
          <w:lang w:val="sl-SI"/>
        </w:rPr>
      </w:pPr>
      <w:r w:rsidRPr="001048FE">
        <w:rPr>
          <w:lang w:val="sl-SI"/>
        </w:rPr>
        <w:t>Priporoča se, da vse sodelujoče organizacije, ki so vključene v mladinski projekt mobilnosti, med seboj podpišejo notranji sporazum. Namen takega sporazuma je jasno opredeliti odgovornosti, naloge</w:t>
      </w:r>
      <w:r w:rsidRPr="001048FE">
        <w:rPr>
          <w:spacing w:val="-12"/>
          <w:lang w:val="sl-SI"/>
        </w:rPr>
        <w:t xml:space="preserve"> </w:t>
      </w:r>
      <w:r w:rsidRPr="001048FE">
        <w:rPr>
          <w:lang w:val="sl-SI"/>
        </w:rPr>
        <w:t>in</w:t>
      </w:r>
      <w:r w:rsidRPr="001048FE">
        <w:rPr>
          <w:spacing w:val="-12"/>
          <w:lang w:val="sl-SI"/>
        </w:rPr>
        <w:t xml:space="preserve"> </w:t>
      </w:r>
      <w:r w:rsidRPr="001048FE">
        <w:rPr>
          <w:lang w:val="sl-SI"/>
        </w:rPr>
        <w:t>finančni</w:t>
      </w:r>
      <w:r w:rsidRPr="001048FE">
        <w:rPr>
          <w:spacing w:val="-12"/>
          <w:lang w:val="sl-SI"/>
        </w:rPr>
        <w:t xml:space="preserve"> </w:t>
      </w:r>
      <w:r w:rsidRPr="001048FE">
        <w:rPr>
          <w:lang w:val="sl-SI"/>
        </w:rPr>
        <w:t>prispevek</w:t>
      </w:r>
      <w:r w:rsidRPr="001048FE">
        <w:rPr>
          <w:spacing w:val="-12"/>
          <w:lang w:val="sl-SI"/>
        </w:rPr>
        <w:t xml:space="preserve"> </w:t>
      </w:r>
      <w:r w:rsidRPr="001048FE">
        <w:rPr>
          <w:lang w:val="sl-SI"/>
        </w:rPr>
        <w:t>vseh</w:t>
      </w:r>
      <w:r w:rsidRPr="001048FE">
        <w:rPr>
          <w:spacing w:val="-12"/>
          <w:lang w:val="sl-SI"/>
        </w:rPr>
        <w:t xml:space="preserve"> </w:t>
      </w:r>
      <w:r w:rsidRPr="001048FE">
        <w:rPr>
          <w:lang w:val="sl-SI"/>
        </w:rPr>
        <w:t>strani,</w:t>
      </w:r>
      <w:r w:rsidRPr="001048FE">
        <w:rPr>
          <w:spacing w:val="-12"/>
          <w:lang w:val="sl-SI"/>
        </w:rPr>
        <w:t xml:space="preserve"> </w:t>
      </w:r>
      <w:r w:rsidRPr="001048FE">
        <w:rPr>
          <w:lang w:val="sl-SI"/>
        </w:rPr>
        <w:t>ki</w:t>
      </w:r>
      <w:r w:rsidRPr="001048FE">
        <w:rPr>
          <w:spacing w:val="-12"/>
          <w:lang w:val="sl-SI"/>
        </w:rPr>
        <w:t xml:space="preserve"> </w:t>
      </w:r>
      <w:r w:rsidRPr="001048FE">
        <w:rPr>
          <w:lang w:val="sl-SI"/>
        </w:rPr>
        <w:t>so</w:t>
      </w:r>
      <w:r w:rsidRPr="001048FE">
        <w:rPr>
          <w:spacing w:val="-12"/>
          <w:lang w:val="sl-SI"/>
        </w:rPr>
        <w:t xml:space="preserve"> </w:t>
      </w:r>
      <w:r w:rsidRPr="001048FE">
        <w:rPr>
          <w:lang w:val="sl-SI"/>
        </w:rPr>
        <w:t>vključene</w:t>
      </w:r>
      <w:r w:rsidRPr="001048FE">
        <w:rPr>
          <w:spacing w:val="-12"/>
          <w:lang w:val="sl-SI"/>
        </w:rPr>
        <w:t xml:space="preserve"> </w:t>
      </w:r>
      <w:r w:rsidRPr="001048FE">
        <w:rPr>
          <w:lang w:val="sl-SI"/>
        </w:rPr>
        <w:t>v</w:t>
      </w:r>
      <w:r w:rsidRPr="001048FE">
        <w:rPr>
          <w:spacing w:val="-12"/>
          <w:lang w:val="sl-SI"/>
        </w:rPr>
        <w:t xml:space="preserve"> </w:t>
      </w:r>
      <w:r w:rsidRPr="001048FE">
        <w:rPr>
          <w:lang w:val="sl-SI"/>
        </w:rPr>
        <w:t>projekt.</w:t>
      </w:r>
      <w:r w:rsidRPr="001048FE">
        <w:rPr>
          <w:spacing w:val="-12"/>
          <w:lang w:val="sl-SI"/>
        </w:rPr>
        <w:t xml:space="preserve"> </w:t>
      </w:r>
      <w:r w:rsidRPr="001048FE">
        <w:rPr>
          <w:lang w:val="sl-SI"/>
        </w:rPr>
        <w:t>Sodelujoče</w:t>
      </w:r>
      <w:r w:rsidRPr="001048FE">
        <w:rPr>
          <w:spacing w:val="-12"/>
          <w:lang w:val="sl-SI"/>
        </w:rPr>
        <w:t xml:space="preserve"> </w:t>
      </w:r>
      <w:r w:rsidRPr="001048FE">
        <w:rPr>
          <w:lang w:val="sl-SI"/>
        </w:rPr>
        <w:t>organizacije</w:t>
      </w:r>
      <w:r w:rsidRPr="001048FE">
        <w:rPr>
          <w:spacing w:val="-11"/>
          <w:lang w:val="sl-SI"/>
        </w:rPr>
        <w:t xml:space="preserve"> </w:t>
      </w:r>
      <w:r w:rsidRPr="001048FE">
        <w:rPr>
          <w:lang w:val="sl-SI"/>
        </w:rPr>
        <w:t>se</w:t>
      </w:r>
      <w:r w:rsidRPr="001048FE">
        <w:rPr>
          <w:spacing w:val="-12"/>
          <w:lang w:val="sl-SI"/>
        </w:rPr>
        <w:t xml:space="preserve"> </w:t>
      </w:r>
      <w:r w:rsidRPr="001048FE">
        <w:rPr>
          <w:lang w:val="sl-SI"/>
        </w:rPr>
        <w:t>skupaj odločijo,</w:t>
      </w:r>
      <w:r w:rsidRPr="001048FE">
        <w:rPr>
          <w:spacing w:val="-4"/>
          <w:lang w:val="sl-SI"/>
        </w:rPr>
        <w:t xml:space="preserve"> </w:t>
      </w:r>
      <w:r w:rsidRPr="001048FE">
        <w:rPr>
          <w:lang w:val="sl-SI"/>
        </w:rPr>
        <w:t>kako</w:t>
      </w:r>
      <w:r w:rsidRPr="001048FE">
        <w:rPr>
          <w:spacing w:val="-5"/>
          <w:lang w:val="sl-SI"/>
        </w:rPr>
        <w:t xml:space="preserve"> </w:t>
      </w:r>
      <w:r w:rsidRPr="001048FE">
        <w:rPr>
          <w:lang w:val="sl-SI"/>
        </w:rPr>
        <w:t>bodo</w:t>
      </w:r>
      <w:r w:rsidRPr="001048FE">
        <w:rPr>
          <w:spacing w:val="-5"/>
          <w:lang w:val="sl-SI"/>
        </w:rPr>
        <w:t xml:space="preserve"> </w:t>
      </w:r>
      <w:r w:rsidRPr="001048FE">
        <w:rPr>
          <w:lang w:val="sl-SI"/>
        </w:rPr>
        <w:t>razdelile</w:t>
      </w:r>
      <w:r w:rsidRPr="001048FE">
        <w:rPr>
          <w:spacing w:val="-5"/>
          <w:lang w:val="sl-SI"/>
        </w:rPr>
        <w:t xml:space="preserve"> </w:t>
      </w:r>
      <w:r w:rsidRPr="001048FE">
        <w:rPr>
          <w:lang w:val="sl-SI"/>
        </w:rPr>
        <w:t>nepovratna</w:t>
      </w:r>
      <w:r w:rsidRPr="001048FE">
        <w:rPr>
          <w:spacing w:val="-5"/>
          <w:lang w:val="sl-SI"/>
        </w:rPr>
        <w:t xml:space="preserve"> </w:t>
      </w:r>
      <w:r w:rsidRPr="001048FE">
        <w:rPr>
          <w:lang w:val="sl-SI"/>
        </w:rPr>
        <w:t>sredstva</w:t>
      </w:r>
      <w:r w:rsidRPr="001048FE">
        <w:rPr>
          <w:spacing w:val="-5"/>
          <w:lang w:val="sl-SI"/>
        </w:rPr>
        <w:t xml:space="preserve"> </w:t>
      </w:r>
      <w:r w:rsidRPr="001048FE">
        <w:rPr>
          <w:lang w:val="sl-SI"/>
        </w:rPr>
        <w:t>EU</w:t>
      </w:r>
      <w:r w:rsidRPr="001048FE">
        <w:rPr>
          <w:spacing w:val="-5"/>
          <w:lang w:val="sl-SI"/>
        </w:rPr>
        <w:t xml:space="preserve"> </w:t>
      </w:r>
      <w:r w:rsidRPr="001048FE">
        <w:rPr>
          <w:lang w:val="sl-SI"/>
        </w:rPr>
        <w:t>in</w:t>
      </w:r>
      <w:r w:rsidRPr="001048FE">
        <w:rPr>
          <w:spacing w:val="-5"/>
          <w:lang w:val="sl-SI"/>
        </w:rPr>
        <w:t xml:space="preserve"> </w:t>
      </w:r>
      <w:r w:rsidRPr="001048FE">
        <w:rPr>
          <w:lang w:val="sl-SI"/>
        </w:rPr>
        <w:t>katere</w:t>
      </w:r>
      <w:r w:rsidRPr="001048FE">
        <w:rPr>
          <w:spacing w:val="-5"/>
          <w:lang w:val="sl-SI"/>
        </w:rPr>
        <w:t xml:space="preserve"> </w:t>
      </w:r>
      <w:r w:rsidRPr="001048FE">
        <w:rPr>
          <w:lang w:val="sl-SI"/>
        </w:rPr>
        <w:t>stroške</w:t>
      </w:r>
      <w:r w:rsidRPr="001048FE">
        <w:rPr>
          <w:spacing w:val="-5"/>
          <w:lang w:val="sl-SI"/>
        </w:rPr>
        <w:t xml:space="preserve"> </w:t>
      </w:r>
      <w:r w:rsidRPr="001048FE">
        <w:rPr>
          <w:lang w:val="sl-SI"/>
        </w:rPr>
        <w:t>bodo</w:t>
      </w:r>
      <w:r w:rsidRPr="001048FE">
        <w:rPr>
          <w:spacing w:val="-5"/>
          <w:lang w:val="sl-SI"/>
        </w:rPr>
        <w:t xml:space="preserve"> </w:t>
      </w:r>
      <w:r w:rsidRPr="001048FE">
        <w:rPr>
          <w:lang w:val="sl-SI"/>
        </w:rPr>
        <w:t>ta</w:t>
      </w:r>
      <w:r w:rsidRPr="001048FE">
        <w:rPr>
          <w:spacing w:val="-5"/>
          <w:lang w:val="sl-SI"/>
        </w:rPr>
        <w:t xml:space="preserve"> </w:t>
      </w:r>
      <w:r w:rsidRPr="001048FE">
        <w:rPr>
          <w:lang w:val="sl-SI"/>
        </w:rPr>
        <w:t>krila.</w:t>
      </w:r>
    </w:p>
    <w:p w14:paraId="7D39A8FC" w14:textId="77777777" w:rsidR="00E03711" w:rsidRPr="001048FE" w:rsidRDefault="00E03711" w:rsidP="00D90EE4">
      <w:pPr>
        <w:pStyle w:val="GUIDE-NORMAL"/>
        <w:rPr>
          <w:lang w:val="sl-SI"/>
        </w:rPr>
      </w:pPr>
      <w:r w:rsidRPr="001048FE">
        <w:rPr>
          <w:lang w:val="sl-SI"/>
        </w:rPr>
        <w:t>Notranji</w:t>
      </w:r>
      <w:r w:rsidRPr="001048FE">
        <w:rPr>
          <w:spacing w:val="-13"/>
          <w:lang w:val="sl-SI"/>
        </w:rPr>
        <w:t xml:space="preserve"> </w:t>
      </w:r>
      <w:r w:rsidRPr="001048FE">
        <w:rPr>
          <w:lang w:val="sl-SI"/>
        </w:rPr>
        <w:t>sporazum</w:t>
      </w:r>
      <w:r w:rsidRPr="001048FE">
        <w:rPr>
          <w:spacing w:val="-13"/>
          <w:lang w:val="sl-SI"/>
        </w:rPr>
        <w:t xml:space="preserve"> </w:t>
      </w:r>
      <w:r w:rsidRPr="001048FE">
        <w:rPr>
          <w:lang w:val="sl-SI"/>
        </w:rPr>
        <w:t>je</w:t>
      </w:r>
      <w:r w:rsidRPr="001048FE">
        <w:rPr>
          <w:spacing w:val="-13"/>
          <w:lang w:val="sl-SI"/>
        </w:rPr>
        <w:t xml:space="preserve"> </w:t>
      </w:r>
      <w:r w:rsidRPr="001048FE">
        <w:rPr>
          <w:lang w:val="sl-SI"/>
        </w:rPr>
        <w:t>ključni</w:t>
      </w:r>
      <w:r w:rsidRPr="001048FE">
        <w:rPr>
          <w:spacing w:val="-13"/>
          <w:lang w:val="sl-SI"/>
        </w:rPr>
        <w:t xml:space="preserve"> </w:t>
      </w:r>
      <w:r w:rsidRPr="001048FE">
        <w:rPr>
          <w:lang w:val="sl-SI"/>
        </w:rPr>
        <w:t>instrument</w:t>
      </w:r>
      <w:r w:rsidRPr="001048FE">
        <w:rPr>
          <w:spacing w:val="-13"/>
          <w:lang w:val="sl-SI"/>
        </w:rPr>
        <w:t xml:space="preserve"> </w:t>
      </w:r>
      <w:r w:rsidRPr="001048FE">
        <w:rPr>
          <w:lang w:val="sl-SI"/>
        </w:rPr>
        <w:t>za</w:t>
      </w:r>
      <w:r w:rsidRPr="001048FE">
        <w:rPr>
          <w:spacing w:val="-13"/>
          <w:lang w:val="sl-SI"/>
        </w:rPr>
        <w:t xml:space="preserve"> </w:t>
      </w:r>
      <w:r w:rsidRPr="001048FE">
        <w:rPr>
          <w:lang w:val="sl-SI"/>
        </w:rPr>
        <w:t>zagotavljanje</w:t>
      </w:r>
      <w:r w:rsidRPr="001048FE">
        <w:rPr>
          <w:spacing w:val="-13"/>
          <w:lang w:val="sl-SI"/>
        </w:rPr>
        <w:t xml:space="preserve"> </w:t>
      </w:r>
      <w:r w:rsidRPr="001048FE">
        <w:rPr>
          <w:lang w:val="sl-SI"/>
        </w:rPr>
        <w:t>trdnega</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nemotenega</w:t>
      </w:r>
      <w:r w:rsidRPr="001048FE">
        <w:rPr>
          <w:spacing w:val="-13"/>
          <w:lang w:val="sl-SI"/>
        </w:rPr>
        <w:t xml:space="preserve"> </w:t>
      </w:r>
      <w:r w:rsidRPr="001048FE">
        <w:rPr>
          <w:lang w:val="sl-SI"/>
        </w:rPr>
        <w:t>sodelovanja</w:t>
      </w:r>
      <w:r w:rsidRPr="001048FE">
        <w:rPr>
          <w:spacing w:val="-13"/>
          <w:lang w:val="sl-SI"/>
        </w:rPr>
        <w:t xml:space="preserve"> </w:t>
      </w:r>
      <w:r w:rsidRPr="001048FE">
        <w:rPr>
          <w:lang w:val="sl-SI"/>
        </w:rPr>
        <w:t>med partnerji v mladinskem projektu mobilnosti ter preprečevanje ali reševanje morebitnih</w:t>
      </w:r>
      <w:r w:rsidRPr="001048FE">
        <w:rPr>
          <w:spacing w:val="-24"/>
          <w:lang w:val="sl-SI"/>
        </w:rPr>
        <w:t xml:space="preserve"> </w:t>
      </w:r>
      <w:r w:rsidRPr="001048FE">
        <w:rPr>
          <w:lang w:val="sl-SI"/>
        </w:rPr>
        <w:t>sporov.</w:t>
      </w:r>
    </w:p>
    <w:p w14:paraId="7D39A8FD" w14:textId="77777777" w:rsidR="00E03711" w:rsidRPr="001048FE" w:rsidRDefault="00E03711" w:rsidP="00D90EE4">
      <w:pPr>
        <w:pStyle w:val="GUIDE-NORMAL"/>
        <w:rPr>
          <w:lang w:val="sl-SI"/>
        </w:rPr>
      </w:pPr>
      <w:r w:rsidRPr="001048FE">
        <w:rPr>
          <w:lang w:val="sl-SI"/>
        </w:rPr>
        <w:t>Okvirno mora vsebovati vsaj naslednje informacije:</w:t>
      </w:r>
    </w:p>
    <w:p w14:paraId="7D39A8FE" w14:textId="77777777" w:rsidR="00E03711" w:rsidRPr="001048FE" w:rsidRDefault="00E03711" w:rsidP="005115F2">
      <w:pPr>
        <w:pStyle w:val="Guide-NormalBulletpoints"/>
        <w:numPr>
          <w:ilvl w:val="0"/>
          <w:numId w:val="439"/>
        </w:numPr>
        <w:rPr>
          <w:lang w:val="sl-SI"/>
        </w:rPr>
      </w:pPr>
      <w:r w:rsidRPr="001048FE">
        <w:rPr>
          <w:lang w:val="sl-SI"/>
        </w:rPr>
        <w:t>naslov</w:t>
      </w:r>
      <w:r w:rsidRPr="001048FE">
        <w:rPr>
          <w:spacing w:val="-16"/>
          <w:lang w:val="sl-SI"/>
        </w:rPr>
        <w:t xml:space="preserve"> </w:t>
      </w:r>
      <w:r w:rsidRPr="001048FE">
        <w:rPr>
          <w:lang w:val="sl-SI"/>
        </w:rPr>
        <w:t>projekta</w:t>
      </w:r>
      <w:r w:rsidRPr="001048FE">
        <w:rPr>
          <w:spacing w:val="-16"/>
          <w:lang w:val="sl-SI"/>
        </w:rPr>
        <w:t xml:space="preserve"> </w:t>
      </w:r>
      <w:r w:rsidRPr="001048FE">
        <w:rPr>
          <w:lang w:val="sl-SI"/>
        </w:rPr>
        <w:t>in</w:t>
      </w:r>
      <w:r w:rsidRPr="001048FE">
        <w:rPr>
          <w:spacing w:val="-16"/>
          <w:lang w:val="sl-SI"/>
        </w:rPr>
        <w:t xml:space="preserve"> </w:t>
      </w:r>
      <w:r w:rsidRPr="001048FE">
        <w:rPr>
          <w:lang w:val="sl-SI"/>
        </w:rPr>
        <w:t>referenco</w:t>
      </w:r>
      <w:r w:rsidRPr="001048FE">
        <w:rPr>
          <w:spacing w:val="-16"/>
          <w:lang w:val="sl-SI"/>
        </w:rPr>
        <w:t xml:space="preserve"> </w:t>
      </w:r>
      <w:r w:rsidRPr="001048FE">
        <w:rPr>
          <w:lang w:val="sl-SI"/>
        </w:rPr>
        <w:t>na</w:t>
      </w:r>
      <w:r w:rsidRPr="001048FE">
        <w:rPr>
          <w:spacing w:val="-16"/>
          <w:lang w:val="sl-SI"/>
        </w:rPr>
        <w:t xml:space="preserve"> </w:t>
      </w:r>
      <w:r w:rsidRPr="001048FE">
        <w:rPr>
          <w:lang w:val="sl-SI"/>
        </w:rPr>
        <w:t>sporazum</w:t>
      </w:r>
      <w:r w:rsidRPr="001048FE">
        <w:rPr>
          <w:spacing w:val="-16"/>
          <w:lang w:val="sl-SI"/>
        </w:rPr>
        <w:t xml:space="preserve"> </w:t>
      </w:r>
      <w:r w:rsidRPr="001048FE">
        <w:rPr>
          <w:lang w:val="sl-SI"/>
        </w:rPr>
        <w:t>o</w:t>
      </w:r>
      <w:r w:rsidRPr="001048FE">
        <w:rPr>
          <w:spacing w:val="-15"/>
          <w:lang w:val="sl-SI"/>
        </w:rPr>
        <w:t xml:space="preserve"> </w:t>
      </w:r>
      <w:r w:rsidRPr="001048FE">
        <w:rPr>
          <w:lang w:val="sl-SI"/>
        </w:rPr>
        <w:t>nepovratnih</w:t>
      </w:r>
      <w:r w:rsidRPr="001048FE">
        <w:rPr>
          <w:spacing w:val="-16"/>
          <w:lang w:val="sl-SI"/>
        </w:rPr>
        <w:t xml:space="preserve"> </w:t>
      </w:r>
      <w:r w:rsidRPr="001048FE">
        <w:rPr>
          <w:lang w:val="sl-SI"/>
        </w:rPr>
        <w:t>sredstvih</w:t>
      </w:r>
      <w:r w:rsidRPr="001048FE">
        <w:rPr>
          <w:spacing w:val="-16"/>
          <w:lang w:val="sl-SI"/>
        </w:rPr>
        <w:t xml:space="preserve"> </w:t>
      </w:r>
      <w:r w:rsidRPr="001048FE">
        <w:rPr>
          <w:lang w:val="sl-SI"/>
        </w:rPr>
        <w:t>med</w:t>
      </w:r>
      <w:r w:rsidRPr="001048FE">
        <w:rPr>
          <w:spacing w:val="-16"/>
          <w:lang w:val="sl-SI"/>
        </w:rPr>
        <w:t xml:space="preserve"> </w:t>
      </w:r>
      <w:r w:rsidRPr="001048FE">
        <w:rPr>
          <w:lang w:val="sl-SI"/>
        </w:rPr>
        <w:t>sodelujočo</w:t>
      </w:r>
      <w:r w:rsidRPr="001048FE">
        <w:rPr>
          <w:spacing w:val="-16"/>
          <w:lang w:val="sl-SI"/>
        </w:rPr>
        <w:t xml:space="preserve"> </w:t>
      </w:r>
      <w:r w:rsidRPr="001048FE">
        <w:rPr>
          <w:lang w:val="sl-SI"/>
        </w:rPr>
        <w:t>organizacijo prijaviteljico in agencijo, ki ji je dodelila nepovratna</w:t>
      </w:r>
      <w:r w:rsidRPr="001048FE">
        <w:rPr>
          <w:spacing w:val="-12"/>
          <w:lang w:val="sl-SI"/>
        </w:rPr>
        <w:t xml:space="preserve"> </w:t>
      </w:r>
      <w:r w:rsidRPr="001048FE">
        <w:rPr>
          <w:lang w:val="sl-SI"/>
        </w:rPr>
        <w:t>sredstva;</w:t>
      </w:r>
    </w:p>
    <w:p w14:paraId="7D39A8FF" w14:textId="77777777" w:rsidR="00E03711" w:rsidRPr="001048FE" w:rsidRDefault="00E03711" w:rsidP="005115F2">
      <w:pPr>
        <w:pStyle w:val="Guide-NormalBulletpoints"/>
        <w:numPr>
          <w:ilvl w:val="0"/>
          <w:numId w:val="439"/>
        </w:numPr>
        <w:rPr>
          <w:lang w:val="sl-SI"/>
        </w:rPr>
      </w:pPr>
      <w:r w:rsidRPr="001048FE">
        <w:rPr>
          <w:lang w:val="sl-SI"/>
        </w:rPr>
        <w:t>imena in kontaktne podatke vseh sodelujočih organizacij, ki so vključene v projekt;</w:t>
      </w:r>
    </w:p>
    <w:p w14:paraId="7D39A900" w14:textId="77777777" w:rsidR="00E03711" w:rsidRPr="001048FE" w:rsidRDefault="00E03711" w:rsidP="005115F2">
      <w:pPr>
        <w:pStyle w:val="Guide-NormalBulletpoints"/>
        <w:numPr>
          <w:ilvl w:val="0"/>
          <w:numId w:val="439"/>
        </w:numPr>
        <w:rPr>
          <w:lang w:val="sl-SI"/>
        </w:rPr>
      </w:pPr>
      <w:r w:rsidRPr="001048FE">
        <w:rPr>
          <w:lang w:val="sl-SI"/>
        </w:rPr>
        <w:t>vloge</w:t>
      </w:r>
      <w:r w:rsidRPr="001048FE">
        <w:rPr>
          <w:spacing w:val="-18"/>
          <w:lang w:val="sl-SI"/>
        </w:rPr>
        <w:t xml:space="preserve"> </w:t>
      </w:r>
      <w:r w:rsidRPr="001048FE">
        <w:rPr>
          <w:lang w:val="sl-SI"/>
        </w:rPr>
        <w:t>in</w:t>
      </w:r>
      <w:r w:rsidRPr="001048FE">
        <w:rPr>
          <w:spacing w:val="-18"/>
          <w:lang w:val="sl-SI"/>
        </w:rPr>
        <w:t xml:space="preserve"> </w:t>
      </w:r>
      <w:r w:rsidRPr="001048FE">
        <w:rPr>
          <w:lang w:val="sl-SI"/>
        </w:rPr>
        <w:t>odgovornosti</w:t>
      </w:r>
      <w:r w:rsidRPr="001048FE">
        <w:rPr>
          <w:spacing w:val="-18"/>
          <w:lang w:val="sl-SI"/>
        </w:rPr>
        <w:t xml:space="preserve"> </w:t>
      </w:r>
      <w:r w:rsidRPr="001048FE">
        <w:rPr>
          <w:lang w:val="sl-SI"/>
        </w:rPr>
        <w:t>vsake</w:t>
      </w:r>
      <w:r w:rsidRPr="001048FE">
        <w:rPr>
          <w:spacing w:val="-18"/>
          <w:lang w:val="sl-SI"/>
        </w:rPr>
        <w:t xml:space="preserve"> </w:t>
      </w:r>
      <w:r w:rsidRPr="001048FE">
        <w:rPr>
          <w:lang w:val="sl-SI"/>
        </w:rPr>
        <w:t>sodelujoče</w:t>
      </w:r>
      <w:r w:rsidRPr="001048FE">
        <w:rPr>
          <w:spacing w:val="-18"/>
          <w:lang w:val="sl-SI"/>
        </w:rPr>
        <w:t xml:space="preserve"> </w:t>
      </w:r>
      <w:r w:rsidRPr="001048FE">
        <w:rPr>
          <w:lang w:val="sl-SI"/>
        </w:rPr>
        <w:t>organizacije;</w:t>
      </w:r>
      <w:r w:rsidRPr="001048FE">
        <w:rPr>
          <w:spacing w:val="-18"/>
          <w:lang w:val="sl-SI"/>
        </w:rPr>
        <w:t xml:space="preserve"> </w:t>
      </w:r>
      <w:r w:rsidRPr="001048FE">
        <w:rPr>
          <w:lang w:val="sl-SI"/>
        </w:rPr>
        <w:t>razdelitev</w:t>
      </w:r>
      <w:r w:rsidRPr="001048FE">
        <w:rPr>
          <w:spacing w:val="-18"/>
          <w:lang w:val="sl-SI"/>
        </w:rPr>
        <w:t xml:space="preserve"> </w:t>
      </w:r>
      <w:r w:rsidRPr="001048FE">
        <w:rPr>
          <w:lang w:val="sl-SI"/>
        </w:rPr>
        <w:t>nepovratnih</w:t>
      </w:r>
      <w:r w:rsidRPr="001048FE">
        <w:rPr>
          <w:spacing w:val="-18"/>
          <w:lang w:val="sl-SI"/>
        </w:rPr>
        <w:t xml:space="preserve"> </w:t>
      </w:r>
      <w:r w:rsidRPr="001048FE">
        <w:rPr>
          <w:lang w:val="sl-SI"/>
        </w:rPr>
        <w:t>sredstev</w:t>
      </w:r>
      <w:r w:rsidRPr="001048FE">
        <w:rPr>
          <w:spacing w:val="-18"/>
          <w:lang w:val="sl-SI"/>
        </w:rPr>
        <w:t xml:space="preserve"> </w:t>
      </w:r>
      <w:r w:rsidRPr="001048FE">
        <w:rPr>
          <w:lang w:val="sl-SI"/>
        </w:rPr>
        <w:t>EU</w:t>
      </w:r>
      <w:r w:rsidRPr="001048FE">
        <w:rPr>
          <w:spacing w:val="-18"/>
          <w:lang w:val="sl-SI"/>
        </w:rPr>
        <w:t xml:space="preserve"> </w:t>
      </w:r>
      <w:r w:rsidRPr="001048FE">
        <w:rPr>
          <w:lang w:val="sl-SI"/>
        </w:rPr>
        <w:t>(glede na navedene</w:t>
      </w:r>
      <w:r w:rsidRPr="001048FE">
        <w:rPr>
          <w:spacing w:val="-6"/>
          <w:lang w:val="sl-SI"/>
        </w:rPr>
        <w:t xml:space="preserve"> </w:t>
      </w:r>
      <w:r w:rsidRPr="001048FE">
        <w:rPr>
          <w:lang w:val="sl-SI"/>
        </w:rPr>
        <w:t>odgovornosti);</w:t>
      </w:r>
    </w:p>
    <w:p w14:paraId="7D39A901" w14:textId="77777777" w:rsidR="00E03711" w:rsidRPr="001048FE" w:rsidRDefault="00E03711" w:rsidP="005115F2">
      <w:pPr>
        <w:pStyle w:val="Guide-NormalBulletpoints"/>
        <w:numPr>
          <w:ilvl w:val="0"/>
          <w:numId w:val="439"/>
        </w:numPr>
        <w:rPr>
          <w:lang w:val="sl-SI"/>
        </w:rPr>
      </w:pPr>
      <w:r w:rsidRPr="001048FE">
        <w:rPr>
          <w:lang w:val="sl-SI"/>
        </w:rPr>
        <w:t>načine plačila in prenose proračunskih sredstev med sodelujočimi organizacijami.</w:t>
      </w:r>
    </w:p>
    <w:p w14:paraId="7D39A902" w14:textId="77777777" w:rsidR="00E03711" w:rsidRPr="001048FE" w:rsidRDefault="00E03711" w:rsidP="005115F2">
      <w:pPr>
        <w:pStyle w:val="GUIDE-NORMAL"/>
        <w:numPr>
          <w:ilvl w:val="0"/>
          <w:numId w:val="439"/>
        </w:numPr>
        <w:rPr>
          <w:lang w:val="sl-SI"/>
        </w:rPr>
      </w:pPr>
      <w:r w:rsidRPr="001048FE">
        <w:rPr>
          <w:lang w:val="sl-SI"/>
        </w:rPr>
        <w:t>Čeprav se ta praksa priporoča, da se zavarujejo interesi posameznih partnerjev v projektu, je tak sporazum notranji dokument med partnerji; nacionalna agencija, ki dodeli nepovratna sredstva, ga ne bo zahtevala.</w:t>
      </w:r>
    </w:p>
    <w:p w14:paraId="7D39A903" w14:textId="77777777" w:rsidR="00E03711" w:rsidRPr="001048FE" w:rsidRDefault="00E03711" w:rsidP="0032541E">
      <w:pPr>
        <w:pStyle w:val="GUIDE-NORMAL"/>
        <w:rPr>
          <w:lang w:val="sl-SI"/>
        </w:rPr>
      </w:pPr>
    </w:p>
    <w:p w14:paraId="7D39A904" w14:textId="77777777" w:rsidR="00E03711" w:rsidRPr="001048FE" w:rsidRDefault="00E03711" w:rsidP="00475085">
      <w:pPr>
        <w:pStyle w:val="Guide-Heading4"/>
        <w:rPr>
          <w:lang w:val="sl-SI"/>
        </w:rPr>
      </w:pPr>
      <w:bookmarkStart w:id="653" w:name="_Toc527401317"/>
      <w:r w:rsidRPr="001048FE">
        <w:rPr>
          <w:lang w:val="sl-SI"/>
        </w:rPr>
        <w:t>Zaščita in varnost udeležencev</w:t>
      </w:r>
      <w:bookmarkEnd w:id="653"/>
    </w:p>
    <w:p w14:paraId="7D39A905" w14:textId="77777777" w:rsidR="00E03711" w:rsidRPr="00FC4A70" w:rsidRDefault="00E03711" w:rsidP="007B42E9">
      <w:pPr>
        <w:pStyle w:val="Guide-Heading5"/>
        <w:rPr>
          <w:lang w:val="sl-SI"/>
        </w:rPr>
      </w:pPr>
      <w:r w:rsidRPr="00FC4A70">
        <w:rPr>
          <w:rFonts w:eastAsia="Calibri" w:cs="Calibri"/>
          <w:bCs/>
          <w:szCs w:val="22"/>
          <w:bdr w:val="nil"/>
          <w:lang w:val="sl-SI"/>
        </w:rPr>
        <w:t>Evropska kartica zdravstvenega zavarovanja</w:t>
      </w:r>
    </w:p>
    <w:p w14:paraId="7D39A906" w14:textId="77777777" w:rsidR="00E03711" w:rsidRDefault="00E03711" w:rsidP="007B42E9">
      <w:pPr>
        <w:pStyle w:val="Guide-Normal0"/>
        <w:rPr>
          <w:rFonts w:eastAsia="Calibri" w:cs="Calibri"/>
          <w:color w:val="0000FF"/>
          <w:kern w:val="3"/>
          <w:sz w:val="18"/>
          <w:szCs w:val="18"/>
          <w:u w:val="single"/>
          <w:bdr w:val="nil"/>
          <w:shd w:val="clear" w:color="auto" w:fill="FFFFFF"/>
          <w:lang w:val="sl-SI"/>
        </w:rPr>
      </w:pPr>
      <w:r w:rsidRPr="00FC4A70">
        <w:rPr>
          <w:rFonts w:eastAsia="Calibri" w:cs="Calibri"/>
          <w:kern w:val="3"/>
          <w:sz w:val="18"/>
          <w:szCs w:val="18"/>
          <w:bdr w:val="nil"/>
          <w:shd w:val="clear" w:color="auto" w:fill="FFFFFF"/>
          <w:lang w:val="sl-SI"/>
        </w:rPr>
        <w:t xml:space="preserve">Prostovoljci morajo imeti evropsko kartico zdravstvenega zavarovanja. To je brezplačna kartica, ki omogoča dostop do nujno potrebnega, državnega zdravstvenega varstva med začasnim bivanjem v kateri koli od 28 držav EU, Islandiji, Lihtenštajnu in na Norveškem, pod enakimi pogoji in z enakimi stroški (v nekaterih državah brezplačno), kot veljajo za ljudi, zavarovane v tej državi. Več informacij o kartici in postopku pridobitve je na voljo na spletišču: </w:t>
      </w:r>
      <w:hyperlink r:id="rId178" w:history="1">
        <w:r w:rsidRPr="00FC4A70">
          <w:rPr>
            <w:rFonts w:eastAsia="Calibri" w:cs="Calibri"/>
            <w:color w:val="0000FF"/>
            <w:kern w:val="3"/>
            <w:sz w:val="18"/>
            <w:szCs w:val="18"/>
            <w:u w:val="single"/>
            <w:bdr w:val="nil"/>
            <w:shd w:val="clear" w:color="auto" w:fill="FFFFFF"/>
            <w:lang w:val="sl-SI"/>
          </w:rPr>
          <w:t>http://ec.europa.eu/social/main.jsp?catId=559</w:t>
        </w:r>
      </w:hyperlink>
      <w:r w:rsidRPr="00FC4A70">
        <w:rPr>
          <w:rFonts w:eastAsia="Calibri" w:cs="Calibri"/>
          <w:color w:val="0000FF"/>
          <w:kern w:val="3"/>
          <w:sz w:val="18"/>
          <w:szCs w:val="18"/>
          <w:u w:val="single"/>
          <w:bdr w:val="nil"/>
          <w:shd w:val="clear" w:color="auto" w:fill="FFFFFF"/>
          <w:lang w:val="sl-SI"/>
        </w:rPr>
        <w:t>.</w:t>
      </w:r>
    </w:p>
    <w:p w14:paraId="7D39A907" w14:textId="77777777" w:rsidR="00E03711" w:rsidRPr="00FC4A70" w:rsidRDefault="00E03711" w:rsidP="007B42E9">
      <w:pPr>
        <w:pStyle w:val="Guide-Normal0"/>
        <w:rPr>
          <w:vanish/>
          <w:lang w:val="sl-SI"/>
        </w:rPr>
      </w:pPr>
      <w:r>
        <w:rPr>
          <w:rFonts w:eastAsia="Calibri" w:cs="Calibri"/>
          <w:vanish/>
          <w:color w:val="0000FF"/>
          <w:kern w:val="3"/>
          <w:sz w:val="18"/>
          <w:szCs w:val="18"/>
          <w:u w:val="single"/>
          <w:bdr w:val="nil"/>
          <w:shd w:val="clear" w:color="auto" w:fill="FFFFFF"/>
          <w:lang w:val="sl-SI"/>
        </w:rPr>
        <w:t xml:space="preserve"> </w:t>
      </w:r>
      <w:r>
        <w:rPr>
          <w:rFonts w:eastAsia="Calibri" w:cs="Calibri"/>
          <w:vanish/>
          <w:kern w:val="3"/>
          <w:sz w:val="18"/>
          <w:szCs w:val="18"/>
          <w:bdr w:val="nil"/>
          <w:shd w:val="clear" w:color="auto" w:fill="FFFFFF"/>
          <w:lang w:val="sl-SI"/>
        </w:rPr>
        <w:t xml:space="preserve"> </w:t>
      </w:r>
    </w:p>
    <w:p w14:paraId="7D39A908" w14:textId="77777777" w:rsidR="00E03711" w:rsidRPr="001048FE" w:rsidRDefault="00E03711" w:rsidP="00475085">
      <w:pPr>
        <w:pStyle w:val="Guide-Heading5"/>
        <w:rPr>
          <w:lang w:val="sl-SI"/>
        </w:rPr>
      </w:pPr>
      <w:r w:rsidRPr="001048FE">
        <w:rPr>
          <w:lang w:val="sl-SI"/>
        </w:rPr>
        <w:t>Mladinske izmenjave</w:t>
      </w:r>
    </w:p>
    <w:p w14:paraId="7D39A909" w14:textId="77777777" w:rsidR="00E03711" w:rsidRPr="001048FE" w:rsidRDefault="00E03711" w:rsidP="00475085">
      <w:pPr>
        <w:pStyle w:val="GUIDE-NORMAL"/>
        <w:rPr>
          <w:lang w:val="sl-SI"/>
        </w:rPr>
      </w:pPr>
      <w:r w:rsidRPr="001048FE">
        <w:rPr>
          <w:lang w:val="sl-SI"/>
        </w:rPr>
        <w:t>Vsi</w:t>
      </w:r>
      <w:r w:rsidRPr="001048FE">
        <w:rPr>
          <w:spacing w:val="-19"/>
          <w:lang w:val="sl-SI"/>
        </w:rPr>
        <w:t xml:space="preserve"> </w:t>
      </w:r>
      <w:r w:rsidRPr="001048FE">
        <w:rPr>
          <w:lang w:val="sl-SI"/>
        </w:rPr>
        <w:t>udeleženci</w:t>
      </w:r>
      <w:r w:rsidRPr="001048FE">
        <w:rPr>
          <w:spacing w:val="-19"/>
          <w:lang w:val="sl-SI"/>
        </w:rPr>
        <w:t xml:space="preserve"> </w:t>
      </w:r>
      <w:r w:rsidRPr="001048FE">
        <w:rPr>
          <w:lang w:val="sl-SI"/>
        </w:rPr>
        <w:t>mladinskih</w:t>
      </w:r>
      <w:r w:rsidRPr="001048FE">
        <w:rPr>
          <w:spacing w:val="-19"/>
          <w:lang w:val="sl-SI"/>
        </w:rPr>
        <w:t xml:space="preserve"> </w:t>
      </w:r>
      <w:r w:rsidRPr="001048FE">
        <w:rPr>
          <w:lang w:val="sl-SI"/>
        </w:rPr>
        <w:t>izmenjav</w:t>
      </w:r>
      <w:r w:rsidRPr="001048FE">
        <w:rPr>
          <w:spacing w:val="-19"/>
          <w:lang w:val="sl-SI"/>
        </w:rPr>
        <w:t xml:space="preserve"> </w:t>
      </w:r>
      <w:r w:rsidRPr="001048FE">
        <w:rPr>
          <w:lang w:val="sl-SI"/>
        </w:rPr>
        <w:t>morajo</w:t>
      </w:r>
      <w:r w:rsidRPr="001048FE">
        <w:rPr>
          <w:spacing w:val="-19"/>
          <w:lang w:val="sl-SI"/>
        </w:rPr>
        <w:t xml:space="preserve"> </w:t>
      </w:r>
      <w:r w:rsidRPr="001048FE">
        <w:rPr>
          <w:lang w:val="sl-SI"/>
        </w:rPr>
        <w:t>biti</w:t>
      </w:r>
      <w:r w:rsidRPr="001048FE">
        <w:rPr>
          <w:spacing w:val="-19"/>
          <w:lang w:val="sl-SI"/>
        </w:rPr>
        <w:t xml:space="preserve"> </w:t>
      </w:r>
      <w:r w:rsidRPr="001048FE">
        <w:rPr>
          <w:lang w:val="sl-SI"/>
        </w:rPr>
        <w:t>zavarovani</w:t>
      </w:r>
      <w:r w:rsidRPr="001048FE">
        <w:rPr>
          <w:spacing w:val="-19"/>
          <w:lang w:val="sl-SI"/>
        </w:rPr>
        <w:t xml:space="preserve"> </w:t>
      </w:r>
      <w:r w:rsidRPr="001048FE">
        <w:rPr>
          <w:lang w:val="sl-SI"/>
        </w:rPr>
        <w:t>za</w:t>
      </w:r>
      <w:r w:rsidRPr="001048FE">
        <w:rPr>
          <w:spacing w:val="-19"/>
          <w:lang w:val="sl-SI"/>
        </w:rPr>
        <w:t xml:space="preserve"> </w:t>
      </w:r>
      <w:r w:rsidRPr="001048FE">
        <w:rPr>
          <w:lang w:val="sl-SI"/>
        </w:rPr>
        <w:t>tveganja,</w:t>
      </w:r>
      <w:r w:rsidRPr="001048FE">
        <w:rPr>
          <w:spacing w:val="-19"/>
          <w:lang w:val="sl-SI"/>
        </w:rPr>
        <w:t xml:space="preserve"> </w:t>
      </w:r>
      <w:r w:rsidRPr="001048FE">
        <w:rPr>
          <w:lang w:val="sl-SI"/>
        </w:rPr>
        <w:t>povezana</w:t>
      </w:r>
      <w:r w:rsidRPr="001048FE">
        <w:rPr>
          <w:spacing w:val="-19"/>
          <w:lang w:val="sl-SI"/>
        </w:rPr>
        <w:t xml:space="preserve"> </w:t>
      </w:r>
      <w:r w:rsidRPr="001048FE">
        <w:rPr>
          <w:lang w:val="sl-SI"/>
        </w:rPr>
        <w:t>z</w:t>
      </w:r>
      <w:r w:rsidRPr="001048FE">
        <w:rPr>
          <w:spacing w:val="-19"/>
          <w:lang w:val="sl-SI"/>
        </w:rPr>
        <w:t xml:space="preserve"> </w:t>
      </w:r>
      <w:r w:rsidRPr="001048FE">
        <w:rPr>
          <w:lang w:val="sl-SI"/>
        </w:rPr>
        <w:t>njihovo</w:t>
      </w:r>
      <w:r w:rsidRPr="001048FE">
        <w:rPr>
          <w:spacing w:val="-19"/>
          <w:lang w:val="sl-SI"/>
        </w:rPr>
        <w:t xml:space="preserve"> </w:t>
      </w:r>
      <w:r w:rsidRPr="001048FE">
        <w:rPr>
          <w:lang w:val="sl-SI"/>
        </w:rPr>
        <w:t>udeležbo v teh aktivnostih. Program Erasmus+ ne opredeljuje edinstvene oblike zavarovanja in ne priporoča posebnih zavarovalnic. Program prepušča iskanje najustreznejše zavarovalne police sodelujočim organizacijam</w:t>
      </w:r>
      <w:r w:rsidRPr="001048FE">
        <w:rPr>
          <w:spacing w:val="-9"/>
          <w:lang w:val="sl-SI"/>
        </w:rPr>
        <w:t xml:space="preserve"> </w:t>
      </w:r>
      <w:r w:rsidRPr="001048FE">
        <w:rPr>
          <w:lang w:val="sl-SI"/>
        </w:rPr>
        <w:t>glede</w:t>
      </w:r>
      <w:r w:rsidRPr="001048FE">
        <w:rPr>
          <w:spacing w:val="-10"/>
          <w:lang w:val="sl-SI"/>
        </w:rPr>
        <w:t xml:space="preserve"> </w:t>
      </w:r>
      <w:r w:rsidRPr="001048FE">
        <w:rPr>
          <w:lang w:val="sl-SI"/>
        </w:rPr>
        <w:t>na</w:t>
      </w:r>
      <w:r w:rsidRPr="001048FE">
        <w:rPr>
          <w:spacing w:val="-10"/>
          <w:lang w:val="sl-SI"/>
        </w:rPr>
        <w:t xml:space="preserve"> </w:t>
      </w:r>
      <w:r w:rsidRPr="001048FE">
        <w:rPr>
          <w:lang w:val="sl-SI"/>
        </w:rPr>
        <w:t>vrsto</w:t>
      </w:r>
      <w:r w:rsidRPr="001048FE">
        <w:rPr>
          <w:spacing w:val="-10"/>
          <w:lang w:val="sl-SI"/>
        </w:rPr>
        <w:t xml:space="preserve"> </w:t>
      </w:r>
      <w:r w:rsidRPr="001048FE">
        <w:rPr>
          <w:lang w:val="sl-SI"/>
        </w:rPr>
        <w:t>aktivnosti,</w:t>
      </w:r>
      <w:r w:rsidRPr="001048FE">
        <w:rPr>
          <w:spacing w:val="-10"/>
          <w:lang w:val="sl-SI"/>
        </w:rPr>
        <w:t xml:space="preserve"> </w:t>
      </w:r>
      <w:r w:rsidRPr="001048FE">
        <w:rPr>
          <w:lang w:val="sl-SI"/>
        </w:rPr>
        <w:t>ki</w:t>
      </w:r>
      <w:r w:rsidRPr="001048FE">
        <w:rPr>
          <w:spacing w:val="-10"/>
          <w:lang w:val="sl-SI"/>
        </w:rPr>
        <w:t xml:space="preserve"> </w:t>
      </w:r>
      <w:r w:rsidRPr="001048FE">
        <w:rPr>
          <w:lang w:val="sl-SI"/>
        </w:rPr>
        <w:t>se</w:t>
      </w:r>
      <w:r w:rsidRPr="001048FE">
        <w:rPr>
          <w:spacing w:val="-10"/>
          <w:lang w:val="sl-SI"/>
        </w:rPr>
        <w:t xml:space="preserve"> </w:t>
      </w:r>
      <w:r w:rsidRPr="001048FE">
        <w:rPr>
          <w:lang w:val="sl-SI"/>
        </w:rPr>
        <w:t>izvaja,</w:t>
      </w:r>
      <w:r w:rsidRPr="001048FE">
        <w:rPr>
          <w:spacing w:val="-10"/>
          <w:lang w:val="sl-SI"/>
        </w:rPr>
        <w:t xml:space="preserve"> </w:t>
      </w:r>
      <w:r w:rsidRPr="001048FE">
        <w:rPr>
          <w:lang w:val="sl-SI"/>
        </w:rPr>
        <w:t>in</w:t>
      </w:r>
      <w:r w:rsidRPr="001048FE">
        <w:rPr>
          <w:spacing w:val="-10"/>
          <w:lang w:val="sl-SI"/>
        </w:rPr>
        <w:t xml:space="preserve"> </w:t>
      </w:r>
      <w:r w:rsidRPr="001048FE">
        <w:rPr>
          <w:lang w:val="sl-SI"/>
        </w:rPr>
        <w:t>oblike</w:t>
      </w:r>
      <w:r w:rsidRPr="001048FE">
        <w:rPr>
          <w:spacing w:val="-9"/>
          <w:lang w:val="sl-SI"/>
        </w:rPr>
        <w:t xml:space="preserve"> </w:t>
      </w:r>
      <w:r w:rsidRPr="001048FE">
        <w:rPr>
          <w:lang w:val="sl-SI"/>
        </w:rPr>
        <w:t>zavarovanj,</w:t>
      </w:r>
      <w:r w:rsidRPr="001048FE">
        <w:rPr>
          <w:spacing w:val="-10"/>
          <w:lang w:val="sl-SI"/>
        </w:rPr>
        <w:t xml:space="preserve"> </w:t>
      </w:r>
      <w:r w:rsidRPr="001048FE">
        <w:rPr>
          <w:lang w:val="sl-SI"/>
        </w:rPr>
        <w:t>ki</w:t>
      </w:r>
      <w:r w:rsidRPr="001048FE">
        <w:rPr>
          <w:spacing w:val="-10"/>
          <w:lang w:val="sl-SI"/>
        </w:rPr>
        <w:t xml:space="preserve"> </w:t>
      </w:r>
      <w:r w:rsidRPr="001048FE">
        <w:rPr>
          <w:lang w:val="sl-SI"/>
        </w:rPr>
        <w:t>so</w:t>
      </w:r>
      <w:r w:rsidRPr="001048FE">
        <w:rPr>
          <w:spacing w:val="-10"/>
          <w:lang w:val="sl-SI"/>
        </w:rPr>
        <w:t xml:space="preserve"> </w:t>
      </w:r>
      <w:r w:rsidRPr="001048FE">
        <w:rPr>
          <w:lang w:val="sl-SI"/>
        </w:rPr>
        <w:t>na</w:t>
      </w:r>
      <w:r w:rsidRPr="001048FE">
        <w:rPr>
          <w:spacing w:val="-10"/>
          <w:lang w:val="sl-SI"/>
        </w:rPr>
        <w:t xml:space="preserve"> </w:t>
      </w:r>
      <w:r w:rsidRPr="001048FE">
        <w:rPr>
          <w:lang w:val="sl-SI"/>
        </w:rPr>
        <w:t>voljo</w:t>
      </w:r>
      <w:r w:rsidRPr="001048FE">
        <w:rPr>
          <w:spacing w:val="-10"/>
          <w:lang w:val="sl-SI"/>
        </w:rPr>
        <w:t xml:space="preserve"> </w:t>
      </w:r>
      <w:r w:rsidRPr="001048FE">
        <w:rPr>
          <w:lang w:val="sl-SI"/>
        </w:rPr>
        <w:t>na</w:t>
      </w:r>
      <w:r w:rsidRPr="001048FE">
        <w:rPr>
          <w:spacing w:val="-10"/>
          <w:lang w:val="sl-SI"/>
        </w:rPr>
        <w:t xml:space="preserve"> </w:t>
      </w:r>
      <w:r w:rsidRPr="001048FE">
        <w:rPr>
          <w:lang w:val="sl-SI"/>
        </w:rPr>
        <w:t>nacionalni ravni.</w:t>
      </w:r>
    </w:p>
    <w:p w14:paraId="7D39A90A" w14:textId="77777777" w:rsidR="00E03711" w:rsidRPr="001048FE" w:rsidRDefault="00E03711" w:rsidP="00475085">
      <w:pPr>
        <w:pStyle w:val="GUIDE-NORMAL"/>
        <w:rPr>
          <w:lang w:val="sl-SI"/>
        </w:rPr>
      </w:pPr>
      <w:r w:rsidRPr="001048FE">
        <w:rPr>
          <w:lang w:val="sl-SI"/>
        </w:rPr>
        <w:t>Poleg tega ni treba skleniti zavarovanja za določen projekt, če so udeleženci že zavarovani z zavarovalnimi</w:t>
      </w:r>
      <w:r w:rsidRPr="001048FE">
        <w:rPr>
          <w:spacing w:val="-13"/>
          <w:lang w:val="sl-SI"/>
        </w:rPr>
        <w:t xml:space="preserve"> </w:t>
      </w:r>
      <w:r w:rsidRPr="001048FE">
        <w:rPr>
          <w:lang w:val="sl-SI"/>
        </w:rPr>
        <w:t>policami,</w:t>
      </w:r>
      <w:r w:rsidRPr="001048FE">
        <w:rPr>
          <w:spacing w:val="-13"/>
          <w:lang w:val="sl-SI"/>
        </w:rPr>
        <w:t xml:space="preserve"> </w:t>
      </w:r>
      <w:r w:rsidRPr="001048FE">
        <w:rPr>
          <w:lang w:val="sl-SI"/>
        </w:rPr>
        <w:t>ki</w:t>
      </w:r>
      <w:r w:rsidRPr="001048FE">
        <w:rPr>
          <w:spacing w:val="-13"/>
          <w:lang w:val="sl-SI"/>
        </w:rPr>
        <w:t xml:space="preserve"> </w:t>
      </w:r>
      <w:r w:rsidRPr="001048FE">
        <w:rPr>
          <w:lang w:val="sl-SI"/>
        </w:rPr>
        <w:t>so</w:t>
      </w:r>
      <w:r w:rsidRPr="001048FE">
        <w:rPr>
          <w:spacing w:val="-13"/>
          <w:lang w:val="sl-SI"/>
        </w:rPr>
        <w:t xml:space="preserve"> </w:t>
      </w:r>
      <w:r w:rsidRPr="001048FE">
        <w:rPr>
          <w:lang w:val="sl-SI"/>
        </w:rPr>
        <w:t>jih</w:t>
      </w:r>
      <w:r w:rsidRPr="001048FE">
        <w:rPr>
          <w:spacing w:val="-13"/>
          <w:lang w:val="sl-SI"/>
        </w:rPr>
        <w:t xml:space="preserve"> </w:t>
      </w:r>
      <w:r w:rsidRPr="001048FE">
        <w:rPr>
          <w:lang w:val="sl-SI"/>
        </w:rPr>
        <w:t>predhodno</w:t>
      </w:r>
      <w:r w:rsidRPr="001048FE">
        <w:rPr>
          <w:spacing w:val="-13"/>
          <w:lang w:val="sl-SI"/>
        </w:rPr>
        <w:t xml:space="preserve"> </w:t>
      </w:r>
      <w:r w:rsidRPr="001048FE">
        <w:rPr>
          <w:lang w:val="sl-SI"/>
        </w:rPr>
        <w:t>sklenili</w:t>
      </w:r>
      <w:r w:rsidRPr="001048FE">
        <w:rPr>
          <w:spacing w:val="-13"/>
          <w:lang w:val="sl-SI"/>
        </w:rPr>
        <w:t xml:space="preserve"> </w:t>
      </w:r>
      <w:r w:rsidRPr="001048FE">
        <w:rPr>
          <w:lang w:val="sl-SI"/>
        </w:rPr>
        <w:t>sami</w:t>
      </w:r>
      <w:r w:rsidRPr="001048FE">
        <w:rPr>
          <w:spacing w:val="-13"/>
          <w:lang w:val="sl-SI"/>
        </w:rPr>
        <w:t xml:space="preserve"> </w:t>
      </w:r>
      <w:r w:rsidRPr="001048FE">
        <w:rPr>
          <w:lang w:val="sl-SI"/>
        </w:rPr>
        <w:t>ali</w:t>
      </w:r>
      <w:r w:rsidRPr="001048FE">
        <w:rPr>
          <w:spacing w:val="-13"/>
          <w:lang w:val="sl-SI"/>
        </w:rPr>
        <w:t xml:space="preserve"> </w:t>
      </w:r>
      <w:r w:rsidRPr="001048FE">
        <w:rPr>
          <w:lang w:val="sl-SI"/>
        </w:rPr>
        <w:t>sodelujoče</w:t>
      </w:r>
      <w:r w:rsidRPr="001048FE">
        <w:rPr>
          <w:spacing w:val="-13"/>
          <w:lang w:val="sl-SI"/>
        </w:rPr>
        <w:t xml:space="preserve"> </w:t>
      </w:r>
      <w:r w:rsidRPr="001048FE">
        <w:rPr>
          <w:lang w:val="sl-SI"/>
        </w:rPr>
        <w:t>organizacije.</w:t>
      </w:r>
      <w:r w:rsidRPr="001048FE">
        <w:rPr>
          <w:spacing w:val="-12"/>
          <w:lang w:val="sl-SI"/>
        </w:rPr>
        <w:t xml:space="preserve"> </w:t>
      </w:r>
      <w:r w:rsidRPr="001048FE">
        <w:rPr>
          <w:lang w:val="sl-SI"/>
        </w:rPr>
        <w:t>V</w:t>
      </w:r>
      <w:r w:rsidRPr="001048FE">
        <w:rPr>
          <w:spacing w:val="-13"/>
          <w:lang w:val="sl-SI"/>
        </w:rPr>
        <w:t xml:space="preserve"> </w:t>
      </w:r>
      <w:r w:rsidRPr="001048FE">
        <w:rPr>
          <w:lang w:val="sl-SI"/>
        </w:rPr>
        <w:t>vsakem primeru morajo biti zajeta naslednja</w:t>
      </w:r>
      <w:r w:rsidRPr="001048FE">
        <w:rPr>
          <w:spacing w:val="-11"/>
          <w:lang w:val="sl-SI"/>
        </w:rPr>
        <w:t xml:space="preserve"> </w:t>
      </w:r>
      <w:r w:rsidRPr="001048FE">
        <w:rPr>
          <w:lang w:val="sl-SI"/>
        </w:rPr>
        <w:t>področja:</w:t>
      </w:r>
    </w:p>
    <w:p w14:paraId="7D39A90B" w14:textId="77777777" w:rsidR="00E03711" w:rsidRPr="001048FE" w:rsidRDefault="00E03711" w:rsidP="005115F2">
      <w:pPr>
        <w:pStyle w:val="Guide-NormalBulletpoints"/>
        <w:numPr>
          <w:ilvl w:val="0"/>
          <w:numId w:val="440"/>
        </w:numPr>
        <w:rPr>
          <w:lang w:val="sl-SI"/>
        </w:rPr>
      </w:pPr>
      <w:r w:rsidRPr="001048FE">
        <w:rPr>
          <w:lang w:val="sl-SI"/>
        </w:rPr>
        <w:t xml:space="preserve">odgovornost do tretjih oseb za mladinske voditelje (po potrebi vključno s poklicno odgovornostjo ali zavarovanjem za odgovornost); </w:t>
      </w:r>
    </w:p>
    <w:p w14:paraId="7D39A90C" w14:textId="77777777" w:rsidR="00E03711" w:rsidRPr="001048FE" w:rsidRDefault="00E03711" w:rsidP="005115F2">
      <w:pPr>
        <w:pStyle w:val="Guide-NormalBulletpoints"/>
        <w:numPr>
          <w:ilvl w:val="0"/>
          <w:numId w:val="440"/>
        </w:numPr>
        <w:rPr>
          <w:lang w:val="sl-SI"/>
        </w:rPr>
      </w:pPr>
      <w:r w:rsidRPr="001048FE">
        <w:rPr>
          <w:lang w:val="sl-SI"/>
        </w:rPr>
        <w:t>nesreče</w:t>
      </w:r>
      <w:r w:rsidRPr="001048FE">
        <w:rPr>
          <w:spacing w:val="-19"/>
          <w:lang w:val="sl-SI"/>
        </w:rPr>
        <w:t xml:space="preserve"> </w:t>
      </w:r>
      <w:r w:rsidRPr="001048FE">
        <w:rPr>
          <w:lang w:val="sl-SI"/>
        </w:rPr>
        <w:t>in</w:t>
      </w:r>
      <w:r w:rsidRPr="001048FE">
        <w:rPr>
          <w:spacing w:val="-19"/>
          <w:lang w:val="sl-SI"/>
        </w:rPr>
        <w:t xml:space="preserve"> </w:t>
      </w:r>
      <w:r w:rsidRPr="001048FE">
        <w:rPr>
          <w:lang w:val="sl-SI"/>
        </w:rPr>
        <w:t>hude</w:t>
      </w:r>
      <w:r w:rsidRPr="001048FE">
        <w:rPr>
          <w:spacing w:val="-19"/>
          <w:lang w:val="sl-SI"/>
        </w:rPr>
        <w:t xml:space="preserve"> </w:t>
      </w:r>
      <w:r w:rsidRPr="001048FE">
        <w:rPr>
          <w:lang w:val="sl-SI"/>
        </w:rPr>
        <w:t>bolezni</w:t>
      </w:r>
      <w:r w:rsidRPr="001048FE">
        <w:rPr>
          <w:spacing w:val="-19"/>
          <w:lang w:val="sl-SI"/>
        </w:rPr>
        <w:t xml:space="preserve"> </w:t>
      </w:r>
      <w:r w:rsidRPr="001048FE">
        <w:rPr>
          <w:lang w:val="sl-SI"/>
        </w:rPr>
        <w:t>(vključno</w:t>
      </w:r>
      <w:r w:rsidRPr="001048FE">
        <w:rPr>
          <w:spacing w:val="-19"/>
          <w:lang w:val="sl-SI"/>
        </w:rPr>
        <w:t xml:space="preserve"> </w:t>
      </w:r>
      <w:r w:rsidRPr="001048FE">
        <w:rPr>
          <w:lang w:val="sl-SI"/>
        </w:rPr>
        <w:t>s</w:t>
      </w:r>
      <w:r w:rsidRPr="001048FE">
        <w:rPr>
          <w:spacing w:val="-19"/>
          <w:lang w:val="sl-SI"/>
        </w:rPr>
        <w:t xml:space="preserve"> </w:t>
      </w:r>
      <w:r w:rsidRPr="001048FE">
        <w:rPr>
          <w:lang w:val="sl-SI"/>
        </w:rPr>
        <w:t>trajno</w:t>
      </w:r>
      <w:r w:rsidRPr="001048FE">
        <w:rPr>
          <w:spacing w:val="-19"/>
          <w:lang w:val="sl-SI"/>
        </w:rPr>
        <w:t xml:space="preserve"> </w:t>
      </w:r>
      <w:r w:rsidRPr="001048FE">
        <w:rPr>
          <w:lang w:val="sl-SI"/>
        </w:rPr>
        <w:t>ali</w:t>
      </w:r>
      <w:r w:rsidRPr="001048FE">
        <w:rPr>
          <w:spacing w:val="-19"/>
          <w:lang w:val="sl-SI"/>
        </w:rPr>
        <w:t xml:space="preserve"> </w:t>
      </w:r>
      <w:r w:rsidRPr="001048FE">
        <w:rPr>
          <w:lang w:val="sl-SI"/>
        </w:rPr>
        <w:t>začasno</w:t>
      </w:r>
      <w:r w:rsidRPr="001048FE">
        <w:rPr>
          <w:spacing w:val="-19"/>
          <w:lang w:val="sl-SI"/>
        </w:rPr>
        <w:t xml:space="preserve"> </w:t>
      </w:r>
      <w:r w:rsidRPr="001048FE">
        <w:rPr>
          <w:lang w:val="sl-SI"/>
        </w:rPr>
        <w:t>nezmožnostjo</w:t>
      </w:r>
      <w:r w:rsidRPr="001048FE">
        <w:rPr>
          <w:spacing w:val="-19"/>
          <w:lang w:val="sl-SI"/>
        </w:rPr>
        <w:t xml:space="preserve"> </w:t>
      </w:r>
      <w:r w:rsidRPr="001048FE">
        <w:rPr>
          <w:lang w:val="sl-SI"/>
        </w:rPr>
        <w:t>za</w:t>
      </w:r>
      <w:r w:rsidRPr="001048FE">
        <w:rPr>
          <w:spacing w:val="-19"/>
          <w:lang w:val="sl-SI"/>
        </w:rPr>
        <w:t xml:space="preserve"> </w:t>
      </w:r>
      <w:r w:rsidRPr="001048FE">
        <w:rPr>
          <w:lang w:val="sl-SI"/>
        </w:rPr>
        <w:t xml:space="preserve">delo); </w:t>
      </w:r>
    </w:p>
    <w:p w14:paraId="7D39A90D" w14:textId="77777777" w:rsidR="00E03711" w:rsidRPr="001048FE" w:rsidRDefault="00E03711" w:rsidP="005115F2">
      <w:pPr>
        <w:pStyle w:val="Guide-NormalBulletpoints"/>
        <w:numPr>
          <w:ilvl w:val="0"/>
          <w:numId w:val="440"/>
        </w:numPr>
        <w:rPr>
          <w:lang w:val="sl-SI"/>
        </w:rPr>
      </w:pPr>
      <w:r w:rsidRPr="001048FE">
        <w:rPr>
          <w:lang w:val="sl-SI"/>
        </w:rPr>
        <w:t>smrt (vključno z repatriacijo v primeru aktivnosti, ki se izvajajo v</w:t>
      </w:r>
      <w:r w:rsidRPr="001048FE">
        <w:rPr>
          <w:spacing w:val="18"/>
          <w:lang w:val="sl-SI"/>
        </w:rPr>
        <w:t xml:space="preserve"> </w:t>
      </w:r>
      <w:r w:rsidRPr="001048FE">
        <w:rPr>
          <w:lang w:val="sl-SI"/>
        </w:rPr>
        <w:t>tujini);</w:t>
      </w:r>
    </w:p>
    <w:p w14:paraId="7D39A90E" w14:textId="77777777" w:rsidR="00E03711" w:rsidRPr="007B42E9" w:rsidRDefault="00E03711" w:rsidP="005115F2">
      <w:pPr>
        <w:pStyle w:val="Guide-NormalBulletpoints"/>
        <w:numPr>
          <w:ilvl w:val="0"/>
          <w:numId w:val="440"/>
        </w:numPr>
        <w:rPr>
          <w:lang w:val="sl-SI"/>
        </w:rPr>
      </w:pPr>
      <w:r w:rsidRPr="007B42E9">
        <w:rPr>
          <w:lang w:val="sl-SI"/>
        </w:rPr>
        <w:t>kadar</w:t>
      </w:r>
      <w:r w:rsidRPr="007B42E9">
        <w:rPr>
          <w:spacing w:val="-13"/>
          <w:lang w:val="sl-SI"/>
        </w:rPr>
        <w:t xml:space="preserve"> </w:t>
      </w:r>
      <w:r w:rsidRPr="007B42E9">
        <w:rPr>
          <w:lang w:val="sl-SI"/>
        </w:rPr>
        <w:t>je</w:t>
      </w:r>
      <w:r w:rsidRPr="007B42E9">
        <w:rPr>
          <w:spacing w:val="-13"/>
          <w:lang w:val="sl-SI"/>
        </w:rPr>
        <w:t xml:space="preserve"> </w:t>
      </w:r>
      <w:r w:rsidRPr="007B42E9">
        <w:rPr>
          <w:lang w:val="sl-SI"/>
        </w:rPr>
        <w:t>to</w:t>
      </w:r>
      <w:r w:rsidRPr="007B42E9">
        <w:rPr>
          <w:spacing w:val="-13"/>
          <w:lang w:val="sl-SI"/>
        </w:rPr>
        <w:t xml:space="preserve"> </w:t>
      </w:r>
      <w:r w:rsidRPr="007B42E9">
        <w:rPr>
          <w:lang w:val="sl-SI"/>
        </w:rPr>
        <w:t>ustrezno,</w:t>
      </w:r>
      <w:r w:rsidRPr="007B42E9">
        <w:rPr>
          <w:spacing w:val="-13"/>
          <w:lang w:val="sl-SI"/>
        </w:rPr>
        <w:t xml:space="preserve"> </w:t>
      </w:r>
      <w:r w:rsidRPr="007B42E9">
        <w:rPr>
          <w:lang w:val="sl-SI"/>
        </w:rPr>
        <w:t>zdravstvena</w:t>
      </w:r>
      <w:r w:rsidRPr="007B42E9">
        <w:rPr>
          <w:spacing w:val="-13"/>
          <w:lang w:val="sl-SI"/>
        </w:rPr>
        <w:t xml:space="preserve"> </w:t>
      </w:r>
      <w:r w:rsidRPr="007B42E9">
        <w:rPr>
          <w:lang w:val="sl-SI"/>
        </w:rPr>
        <w:t>pomoč,</w:t>
      </w:r>
      <w:r w:rsidRPr="007B42E9">
        <w:rPr>
          <w:spacing w:val="-13"/>
          <w:lang w:val="sl-SI"/>
        </w:rPr>
        <w:t xml:space="preserve"> </w:t>
      </w:r>
      <w:r w:rsidRPr="007B42E9">
        <w:rPr>
          <w:lang w:val="sl-SI"/>
        </w:rPr>
        <w:t>vključno</w:t>
      </w:r>
      <w:r w:rsidRPr="00314180">
        <w:rPr>
          <w:spacing w:val="-13"/>
          <w:lang w:val="sl-SI"/>
        </w:rPr>
        <w:t xml:space="preserve"> </w:t>
      </w:r>
      <w:r w:rsidRPr="00314180">
        <w:rPr>
          <w:lang w:val="sl-SI"/>
        </w:rPr>
        <w:t>z</w:t>
      </w:r>
      <w:r w:rsidRPr="009D0BAD">
        <w:rPr>
          <w:spacing w:val="-13"/>
          <w:lang w:val="sl-SI"/>
        </w:rPr>
        <w:t xml:space="preserve"> </w:t>
      </w:r>
      <w:r w:rsidRPr="0055103F">
        <w:rPr>
          <w:lang w:val="sl-SI"/>
        </w:rPr>
        <w:t>bolnišnično</w:t>
      </w:r>
      <w:r w:rsidRPr="00C30189">
        <w:rPr>
          <w:spacing w:val="-13"/>
          <w:lang w:val="sl-SI"/>
        </w:rPr>
        <w:t xml:space="preserve"> </w:t>
      </w:r>
      <w:r w:rsidRPr="00AD2E5A">
        <w:rPr>
          <w:lang w:val="sl-SI"/>
        </w:rPr>
        <w:t>rehabilitacijo</w:t>
      </w:r>
      <w:r w:rsidRPr="0039051D">
        <w:rPr>
          <w:spacing w:val="-13"/>
          <w:lang w:val="sl-SI"/>
        </w:rPr>
        <w:t xml:space="preserve"> </w:t>
      </w:r>
      <w:r w:rsidRPr="00C403F7">
        <w:rPr>
          <w:lang w:val="sl-SI"/>
        </w:rPr>
        <w:t>in</w:t>
      </w:r>
      <w:r w:rsidRPr="00EE1ADC">
        <w:rPr>
          <w:spacing w:val="-13"/>
          <w:lang w:val="sl-SI"/>
        </w:rPr>
        <w:t xml:space="preserve"> </w:t>
      </w:r>
      <w:r w:rsidRPr="005667D7">
        <w:rPr>
          <w:lang w:val="sl-SI"/>
        </w:rPr>
        <w:t>zavarovanjem za posebne okoliščine, na primer aktivnosti na</w:t>
      </w:r>
      <w:r w:rsidRPr="00F0363F">
        <w:rPr>
          <w:spacing w:val="-21"/>
          <w:lang w:val="sl-SI"/>
        </w:rPr>
        <w:t xml:space="preserve"> </w:t>
      </w:r>
      <w:r w:rsidRPr="00F0363F">
        <w:rPr>
          <w:lang w:val="sl-SI"/>
        </w:rPr>
        <w:t>prostem.</w:t>
      </w:r>
    </w:p>
    <w:p w14:paraId="7D39A90F" w14:textId="77777777" w:rsidR="00E03711" w:rsidRPr="001048FE" w:rsidDel="003115B1" w:rsidRDefault="00E03711" w:rsidP="00475085">
      <w:pPr>
        <w:pStyle w:val="Guide-Heading5"/>
        <w:rPr>
          <w:lang w:val="sl-SI"/>
        </w:rPr>
      </w:pPr>
    </w:p>
    <w:p w14:paraId="7D39A910" w14:textId="77777777" w:rsidR="00E03711" w:rsidRPr="001048FE" w:rsidRDefault="00E03711" w:rsidP="00FC4A70">
      <w:pPr>
        <w:pStyle w:val="GUIDE-NORMAL"/>
        <w:rPr>
          <w:b/>
          <w:smallCaps/>
          <w:szCs w:val="20"/>
          <w:lang w:val="sl-SI"/>
        </w:rPr>
      </w:pPr>
      <w:r w:rsidRPr="001048FE">
        <w:rPr>
          <w:lang w:val="sl-SI"/>
        </w:rPr>
        <w:br w:type="page"/>
      </w:r>
    </w:p>
    <w:p w14:paraId="7D39A911" w14:textId="77777777" w:rsidR="00E03711" w:rsidRPr="00FC4A70" w:rsidRDefault="00E03711" w:rsidP="007B42E9">
      <w:pPr>
        <w:pStyle w:val="Guide-Heading4"/>
        <w:rPr>
          <w:lang w:val="sl-SI"/>
        </w:rPr>
      </w:pPr>
      <w:bookmarkStart w:id="654" w:name="_Toc527401318"/>
      <w:r w:rsidRPr="00FC4A70">
        <w:rPr>
          <w:rFonts w:eastAsia="Calibri" w:cs="Calibri"/>
          <w:bCs/>
          <w:szCs w:val="24"/>
          <w:bdr w:val="nil"/>
          <w:lang w:val="sl-SI"/>
        </w:rPr>
        <w:t>Zahteve glede vizumov</w:t>
      </w:r>
      <w:bookmarkEnd w:id="654"/>
    </w:p>
    <w:p w14:paraId="7D39A912" w14:textId="77777777" w:rsidR="00E03711" w:rsidRPr="00FC4A70" w:rsidRDefault="00E03711" w:rsidP="007B42E9">
      <w:pPr>
        <w:pStyle w:val="Guide-Normal0"/>
        <w:rPr>
          <w:lang w:val="sl-SI"/>
        </w:rPr>
      </w:pPr>
      <w:r w:rsidRPr="00FC4A70">
        <w:rPr>
          <w:rFonts w:eastAsia="Calibri" w:cs="Calibri"/>
          <w:kern w:val="3"/>
          <w:sz w:val="18"/>
          <w:szCs w:val="18"/>
          <w:bdr w:val="nil"/>
          <w:shd w:val="clear" w:color="auto" w:fill="FFFFFF"/>
          <w:lang w:val="sl-SI"/>
        </w:rPr>
        <w:t xml:space="preserve">Prostovoljci bodo morda morali pridobiti vizum za bivanje v tujini, v državi Programa ali partnerski državi, ki gosti aktivnost. </w:t>
      </w:r>
    </w:p>
    <w:p w14:paraId="7D39A913" w14:textId="77777777" w:rsidR="00E03711" w:rsidRPr="00476914" w:rsidRDefault="00E03711" w:rsidP="00F0363F">
      <w:pPr>
        <w:pStyle w:val="Guide-Heading4"/>
        <w:rPr>
          <w:rFonts w:eastAsia="Calibri" w:cs="Calibri"/>
          <w:b w:val="0"/>
          <w:smallCaps w:val="0"/>
          <w:sz w:val="18"/>
          <w:szCs w:val="18"/>
          <w:bdr w:val="nil"/>
          <w:shd w:val="clear" w:color="auto" w:fill="FFFFFF"/>
          <w:lang w:val="sl-SI"/>
        </w:rPr>
      </w:pPr>
      <w:bookmarkStart w:id="655" w:name="_Toc527401319"/>
      <w:r w:rsidRPr="00476914">
        <w:rPr>
          <w:rFonts w:eastAsia="Calibri" w:cs="Calibri"/>
          <w:b w:val="0"/>
          <w:smallCaps w:val="0"/>
          <w:sz w:val="18"/>
          <w:szCs w:val="18"/>
          <w:bdr w:val="nil"/>
          <w:shd w:val="clear" w:color="auto" w:fill="FFFFFF"/>
          <w:lang w:val="sl-SI"/>
        </w:rPr>
        <w:t>Skupna odgovornost vseh sodelujočih organizacij je, da zagotovijo pridobitev zahtevanih dovoljenj (vizumi za dolgotrajno prebivanje ali dovoljenja za prebivanje) pred začetkom načrtovane aktivnosti. Priporoča se, da se dovoljenja zahtevajo od pristojnih organov vnaprej, saj lahko postopek traja več tednov. Izvajalska agencija lahko zagotovi več nasvetov in podpore glede vizumov, dovoljenj za prebivanje, socialne varnosti itd.</w:t>
      </w:r>
      <w:bookmarkEnd w:id="655"/>
    </w:p>
    <w:p w14:paraId="7D39A914" w14:textId="77777777" w:rsidR="00E03711" w:rsidRPr="001048FE" w:rsidRDefault="00E03711" w:rsidP="00F0363F">
      <w:pPr>
        <w:pStyle w:val="Guide-Heading4"/>
        <w:rPr>
          <w:lang w:val="sl-SI"/>
        </w:rPr>
      </w:pPr>
      <w:bookmarkStart w:id="656" w:name="_Toc527401320"/>
      <w:r w:rsidRPr="001048FE">
        <w:rPr>
          <w:lang w:val="sl-SI"/>
        </w:rPr>
        <w:t>Priznavanje učnih izidov – Youthpass</w:t>
      </w:r>
      <w:bookmarkEnd w:id="656"/>
    </w:p>
    <w:p w14:paraId="7D39A915" w14:textId="77777777" w:rsidR="00E03711" w:rsidRPr="001048FE" w:rsidRDefault="00E03711" w:rsidP="00F0363F">
      <w:pPr>
        <w:pStyle w:val="GUIDE-NORMAL"/>
        <w:rPr>
          <w:lang w:val="sl-SI"/>
        </w:rPr>
      </w:pPr>
      <w:r w:rsidRPr="002E693E">
        <w:rPr>
          <w:rFonts w:eastAsia="Calibri" w:cs="Calibri"/>
          <w:bdr w:val="nil"/>
          <w:lang w:val="sl-SI"/>
        </w:rPr>
        <w:t xml:space="preserve">Vsaka mlada oseba ali mladinski delavec, ki se udeleži mladinskega projekta mobilnosti, je upravičena do vključitve v postopek Youthpass in do prejema potrdila Youthpass ob koncu projekta. Youthpass priznava in dokumentira rezultate neformalnega in priložnostnega učenja skozi projekt. Priporoča se vključiti Youthpass v izobraževalne vsebine že takoj na začetku projekta in ga ves čas trajanja aktivnosti projekta uporabljati kot orodje, ki udeležencem omogoča, da so bolj pozorni in da razmišljajo o učnem procesu in ga ocenjujejo. Za več podpore in informacij o orodju Youthpass glej Vodnik po Youthpassu in drugo ustrezno gradivo na spletišču </w:t>
      </w:r>
      <w:hyperlink r:id="rId179" w:history="1">
        <w:r w:rsidRPr="002E693E">
          <w:rPr>
            <w:rFonts w:eastAsia="Calibri" w:cs="Calibri"/>
            <w:color w:val="0000FF"/>
            <w:u w:val="single"/>
            <w:bdr w:val="nil"/>
            <w:lang w:val="sl-SI"/>
          </w:rPr>
          <w:t>https://www.youthpass.eu/sl</w:t>
        </w:r>
      </w:hyperlink>
      <w:r w:rsidRPr="002E693E">
        <w:rPr>
          <w:rFonts w:eastAsia="Calibri" w:cs="Calibri"/>
          <w:bdr w:val="nil"/>
          <w:lang w:val="sl-SI"/>
        </w:rPr>
        <w:t>.</w:t>
      </w:r>
    </w:p>
    <w:p w14:paraId="7D39A916" w14:textId="77777777" w:rsidR="00E03711" w:rsidRDefault="00E03711" w:rsidP="00475085">
      <w:pPr>
        <w:pStyle w:val="Guide-Heading4"/>
        <w:rPr>
          <w:lang w:val="sl-SI"/>
        </w:rPr>
      </w:pPr>
      <w:bookmarkStart w:id="657" w:name="_Toc527401321"/>
      <w:r>
        <w:rPr>
          <w:lang w:val="sl-SI"/>
        </w:rPr>
        <w:t>2.</w:t>
      </w:r>
      <w:r w:rsidRPr="001048FE">
        <w:rPr>
          <w:lang w:val="sl-SI"/>
        </w:rPr>
        <w:t xml:space="preserve"> </w:t>
      </w:r>
      <w:r>
        <w:rPr>
          <w:lang w:val="sl-SI"/>
        </w:rPr>
        <w:t>Aktivnosti prostovoljstva v okviru projektov večanja zmogljivosti na področju mladine</w:t>
      </w:r>
      <w:bookmarkEnd w:id="657"/>
    </w:p>
    <w:p w14:paraId="7D39A917" w14:textId="77777777" w:rsidR="00E03711" w:rsidRDefault="00E03711" w:rsidP="00FC4A70">
      <w:pPr>
        <w:pStyle w:val="Guide-Heading5"/>
        <w:rPr>
          <w:lang w:val="sl-SI"/>
        </w:rPr>
      </w:pPr>
      <w:r w:rsidRPr="00FC4A70">
        <w:rPr>
          <w:rFonts w:cs="Tahoma"/>
          <w:lang w:val="sl-SI"/>
        </w:rPr>
        <w:t>Akreditacija</w:t>
      </w:r>
      <w:r w:rsidRPr="001048FE">
        <w:rPr>
          <w:lang w:val="sl-SI"/>
        </w:rPr>
        <w:t xml:space="preserve"> </w:t>
      </w:r>
    </w:p>
    <w:p w14:paraId="7D39A918" w14:textId="77777777" w:rsidR="00E03711" w:rsidRPr="00FC4A70" w:rsidRDefault="00E03711" w:rsidP="00F0363F">
      <w:pPr>
        <w:pStyle w:val="Guide-Normal0"/>
        <w:rPr>
          <w:lang w:val="it-IT"/>
        </w:rPr>
      </w:pPr>
      <w:r w:rsidRPr="002E693E">
        <w:rPr>
          <w:rFonts w:eastAsia="Calibri" w:cs="Calibri"/>
          <w:kern w:val="3"/>
          <w:sz w:val="18"/>
          <w:szCs w:val="18"/>
          <w:bdr w:val="nil"/>
          <w:shd w:val="clear" w:color="auto" w:fill="FFFFFF"/>
          <w:lang w:val="sl-SI"/>
        </w:rPr>
        <w:t>Akreditacija je minimalna zahteva za pridobitev dostopa do prostovoljskih aktivnosti ter zagotavlja izpolnjevanje načel in minimalnih standardov kakovosti. Ti standardi so opredeljeni v listini prostovoljstva Erasmus+ in smernicah o akreditaciji.</w:t>
      </w:r>
    </w:p>
    <w:p w14:paraId="7D39A919" w14:textId="77777777" w:rsidR="00E03711" w:rsidRPr="00FC4A70" w:rsidRDefault="00E03711" w:rsidP="00F0363F">
      <w:pPr>
        <w:pStyle w:val="Guide-Normal0"/>
        <w:rPr>
          <w:lang w:val="it-IT"/>
        </w:rPr>
      </w:pPr>
    </w:p>
    <w:p w14:paraId="7D39A91A" w14:textId="77777777" w:rsidR="00E03711" w:rsidRPr="00FC4A70" w:rsidRDefault="00E03711" w:rsidP="00F0363F">
      <w:pPr>
        <w:pStyle w:val="Guide-Normal0"/>
        <w:rPr>
          <w:lang w:val="it-IT"/>
        </w:rPr>
      </w:pPr>
      <w:r w:rsidRPr="002E693E">
        <w:rPr>
          <w:rFonts w:eastAsia="Calibri" w:cs="Calibri"/>
          <w:kern w:val="3"/>
          <w:sz w:val="18"/>
          <w:szCs w:val="18"/>
          <w:bdr w:val="nil"/>
          <w:shd w:val="clear" w:color="auto" w:fill="FFFFFF"/>
          <w:lang w:val="sl-SI"/>
        </w:rPr>
        <w:t>Akreditacijo morajo pridobiti vse organizacije iz države Programa, države Zahodnega Balkana, države južnega Sredozemlja, države vzhodnega partnerstva ali z ozemlja Rusije, kot je priznano z mednarodnim pravom, ki želijo prostovoljce pošiljati v tujino ali jih gostiti.</w:t>
      </w:r>
    </w:p>
    <w:p w14:paraId="7D39A91B" w14:textId="77777777" w:rsidR="00E03711" w:rsidRPr="00FC4A70" w:rsidRDefault="00E03711" w:rsidP="00F0363F">
      <w:pPr>
        <w:pStyle w:val="Guide-Normal0"/>
        <w:rPr>
          <w:lang w:val="it-IT"/>
        </w:rPr>
      </w:pPr>
    </w:p>
    <w:p w14:paraId="7D39A91C" w14:textId="77777777" w:rsidR="00E03711" w:rsidRPr="00FC4A70" w:rsidRDefault="00E03711" w:rsidP="00F0363F">
      <w:pPr>
        <w:pStyle w:val="Guide-Normal0"/>
        <w:rPr>
          <w:lang w:val="sl-SI"/>
        </w:rPr>
      </w:pPr>
      <w:r w:rsidRPr="002E693E">
        <w:rPr>
          <w:rFonts w:eastAsia="Calibri" w:cs="Calibri"/>
          <w:kern w:val="3"/>
          <w:sz w:val="18"/>
          <w:szCs w:val="18"/>
          <w:bdr w:val="nil"/>
          <w:shd w:val="clear" w:color="auto" w:fill="FFFFFF"/>
          <w:lang w:val="sl-SI"/>
        </w:rPr>
        <w:t>Organi, ki so pristojni za akreditacijo, lahko izvedejo redna ali naključna preverjanja, ali organizacije z akreditacijo še vedno izpolnjujejo standarde kakovosti prostovoljstva. Po teh preverjanjih se lahko akreditacija začasno ali dokončno odvzame.</w:t>
      </w:r>
    </w:p>
    <w:p w14:paraId="7D39A91D" w14:textId="77777777" w:rsidR="00E03711" w:rsidRPr="00FC4A70" w:rsidRDefault="00E03711" w:rsidP="00F0363F">
      <w:pPr>
        <w:pStyle w:val="Guide-Normal0"/>
        <w:rPr>
          <w:lang w:val="sl-SI"/>
        </w:rPr>
      </w:pPr>
    </w:p>
    <w:p w14:paraId="7D39A91E" w14:textId="77777777" w:rsidR="00E03711" w:rsidRPr="001048FE" w:rsidRDefault="00E03711" w:rsidP="00FC4A70">
      <w:pPr>
        <w:pStyle w:val="Guide-Heading5"/>
        <w:rPr>
          <w:lang w:val="sl-SI"/>
        </w:rPr>
      </w:pPr>
      <w:r w:rsidRPr="002E693E">
        <w:rPr>
          <w:rFonts w:eastAsia="Calibri" w:cs="Calibri"/>
          <w:b w:val="0"/>
          <w:smallCaps w:val="0"/>
          <w:sz w:val="18"/>
          <w:szCs w:val="18"/>
          <w:bdr w:val="nil"/>
          <w:shd w:val="clear" w:color="auto" w:fill="FFFFFF"/>
          <w:lang w:val="sl-SI"/>
        </w:rPr>
        <w:t>Od leta 2019 dalje organizacije ne morejo več zaprositi za akreditacijo v okviru Erasmus+. Organizacije, ki nimajo akreditacije in bi želele sodelovati v dejavnostih prostovoljstva, morajo zaprositi za znak kakovosti v okviru evropske solidarnostne enote.  Znak kakovosti evropske solidarnostne enote velja tudi v okviru prostovoljskih aktivnosti Erasmus+.</w:t>
      </w:r>
    </w:p>
    <w:p w14:paraId="7D39A91F" w14:textId="77777777" w:rsidR="00E03711" w:rsidRPr="001048FE" w:rsidRDefault="00E03711" w:rsidP="00475085">
      <w:pPr>
        <w:pStyle w:val="Guide-Heading5"/>
        <w:rPr>
          <w:lang w:val="sl-SI"/>
        </w:rPr>
      </w:pPr>
      <w:r w:rsidRPr="001048FE">
        <w:rPr>
          <w:lang w:val="sl-SI"/>
        </w:rPr>
        <w:t>Izbor</w:t>
      </w:r>
    </w:p>
    <w:p w14:paraId="7D39A920" w14:textId="77777777" w:rsidR="00E03711" w:rsidRPr="001048FE" w:rsidRDefault="00E03711" w:rsidP="00475085">
      <w:pPr>
        <w:pStyle w:val="GUIDE-NORMAL"/>
        <w:rPr>
          <w:lang w:val="sl-SI"/>
        </w:rPr>
      </w:pPr>
      <w:r w:rsidRPr="001048FE">
        <w:rPr>
          <w:lang w:val="sl-SI"/>
        </w:rPr>
        <w:t>Izbor prostovoljcev lahko izvede katera koli od organizacij, ki so vključene v projekt (običajno to nalogo opravi organizacija pošiljateljica ali koordinatorska organizacija).</w:t>
      </w:r>
    </w:p>
    <w:p w14:paraId="7D39A921" w14:textId="77777777" w:rsidR="00E03711" w:rsidRDefault="00E03711" w:rsidP="00475085">
      <w:pPr>
        <w:pStyle w:val="GUIDE-NORMAL"/>
        <w:rPr>
          <w:lang w:val="sl-SI"/>
        </w:rPr>
      </w:pPr>
      <w:r w:rsidRPr="001048FE">
        <w:rPr>
          <w:lang w:val="sl-SI"/>
        </w:rPr>
        <w:t xml:space="preserve">V prostovoljskih aktivnostih </w:t>
      </w:r>
      <w:r>
        <w:rPr>
          <w:lang w:val="sl-SI"/>
        </w:rPr>
        <w:t xml:space="preserve">v okviru večanja zmogljivosti na področju mladine </w:t>
      </w:r>
      <w:r w:rsidRPr="001048FE">
        <w:rPr>
          <w:lang w:val="sl-SI"/>
        </w:rPr>
        <w:t>lahko sodelujejo vsi mladi, tudi tisti z manj priložnostmi. Prostovoljci so izbrani na pravičen, pregleden in nepristranski način, ne glede na njihovo etnično pripadnost, vero, spolno usmerjenost, politična prepričanja itd. Ne zahtevajo se predhodne kvalifikacije,</w:t>
      </w:r>
      <w:r w:rsidRPr="001048FE">
        <w:rPr>
          <w:spacing w:val="-16"/>
          <w:lang w:val="sl-SI"/>
        </w:rPr>
        <w:t xml:space="preserve"> </w:t>
      </w:r>
      <w:r w:rsidRPr="001048FE">
        <w:rPr>
          <w:lang w:val="sl-SI"/>
        </w:rPr>
        <w:t>raven</w:t>
      </w:r>
      <w:r w:rsidRPr="001048FE">
        <w:rPr>
          <w:spacing w:val="-16"/>
          <w:lang w:val="sl-SI"/>
        </w:rPr>
        <w:t xml:space="preserve"> </w:t>
      </w:r>
      <w:r w:rsidRPr="001048FE">
        <w:rPr>
          <w:lang w:val="sl-SI"/>
        </w:rPr>
        <w:t>izobrazbe,</w:t>
      </w:r>
      <w:r w:rsidRPr="001048FE">
        <w:rPr>
          <w:spacing w:val="-16"/>
          <w:lang w:val="sl-SI"/>
        </w:rPr>
        <w:t xml:space="preserve"> </w:t>
      </w:r>
      <w:r w:rsidRPr="001048FE">
        <w:rPr>
          <w:lang w:val="sl-SI"/>
        </w:rPr>
        <w:t>posebne</w:t>
      </w:r>
      <w:r w:rsidRPr="001048FE">
        <w:rPr>
          <w:spacing w:val="-16"/>
          <w:lang w:val="sl-SI"/>
        </w:rPr>
        <w:t xml:space="preserve"> </w:t>
      </w:r>
      <w:r w:rsidRPr="001048FE">
        <w:rPr>
          <w:lang w:val="sl-SI"/>
        </w:rPr>
        <w:t>izkušnje</w:t>
      </w:r>
      <w:r w:rsidRPr="001048FE">
        <w:rPr>
          <w:spacing w:val="-16"/>
          <w:lang w:val="sl-SI"/>
        </w:rPr>
        <w:t xml:space="preserve"> </w:t>
      </w:r>
      <w:r w:rsidRPr="001048FE">
        <w:rPr>
          <w:lang w:val="sl-SI"/>
        </w:rPr>
        <w:t>ali</w:t>
      </w:r>
      <w:r w:rsidRPr="001048FE">
        <w:rPr>
          <w:spacing w:val="-16"/>
          <w:lang w:val="sl-SI"/>
        </w:rPr>
        <w:t xml:space="preserve"> </w:t>
      </w:r>
      <w:r w:rsidRPr="001048FE">
        <w:rPr>
          <w:lang w:val="sl-SI"/>
        </w:rPr>
        <w:t>znanje</w:t>
      </w:r>
      <w:r w:rsidRPr="001048FE">
        <w:rPr>
          <w:spacing w:val="-16"/>
          <w:lang w:val="sl-SI"/>
        </w:rPr>
        <w:t xml:space="preserve"> </w:t>
      </w:r>
      <w:r w:rsidRPr="001048FE">
        <w:rPr>
          <w:lang w:val="sl-SI"/>
        </w:rPr>
        <w:t>jezika.</w:t>
      </w:r>
      <w:r w:rsidRPr="001048FE">
        <w:rPr>
          <w:spacing w:val="-16"/>
          <w:lang w:val="sl-SI"/>
        </w:rPr>
        <w:t xml:space="preserve"> </w:t>
      </w:r>
      <w:r w:rsidRPr="001048FE">
        <w:rPr>
          <w:lang w:val="sl-SI"/>
        </w:rPr>
        <w:t>Lahko</w:t>
      </w:r>
      <w:r w:rsidRPr="001048FE">
        <w:rPr>
          <w:spacing w:val="-16"/>
          <w:lang w:val="sl-SI"/>
        </w:rPr>
        <w:t xml:space="preserve"> </w:t>
      </w:r>
      <w:r w:rsidRPr="001048FE">
        <w:rPr>
          <w:lang w:val="sl-SI"/>
        </w:rPr>
        <w:t>pa</w:t>
      </w:r>
      <w:r w:rsidRPr="001048FE">
        <w:rPr>
          <w:spacing w:val="-16"/>
          <w:lang w:val="sl-SI"/>
        </w:rPr>
        <w:t xml:space="preserve"> </w:t>
      </w:r>
      <w:r w:rsidRPr="001048FE">
        <w:rPr>
          <w:lang w:val="sl-SI"/>
        </w:rPr>
        <w:t>se</w:t>
      </w:r>
      <w:r w:rsidRPr="001048FE">
        <w:rPr>
          <w:spacing w:val="-16"/>
          <w:lang w:val="sl-SI"/>
        </w:rPr>
        <w:t xml:space="preserve"> </w:t>
      </w:r>
      <w:r w:rsidRPr="001048FE">
        <w:rPr>
          <w:lang w:val="sl-SI"/>
        </w:rPr>
        <w:t>oblikujejo</w:t>
      </w:r>
      <w:r w:rsidRPr="001048FE">
        <w:rPr>
          <w:spacing w:val="-15"/>
          <w:lang w:val="sl-SI"/>
        </w:rPr>
        <w:t xml:space="preserve"> </w:t>
      </w:r>
      <w:r w:rsidRPr="001048FE">
        <w:rPr>
          <w:lang w:val="sl-SI"/>
        </w:rPr>
        <w:t>zahteve</w:t>
      </w:r>
      <w:r w:rsidRPr="001048FE">
        <w:rPr>
          <w:spacing w:val="-16"/>
          <w:lang w:val="sl-SI"/>
        </w:rPr>
        <w:t xml:space="preserve"> </w:t>
      </w:r>
      <w:r w:rsidRPr="001048FE">
        <w:rPr>
          <w:lang w:val="sl-SI"/>
        </w:rPr>
        <w:t>po bolj specifičnem profilu prostovoljca, če je to utemeljeno na podlagi nalog aktivnosti ali okoliščin projekta.</w:t>
      </w:r>
    </w:p>
    <w:p w14:paraId="7D39A922" w14:textId="77777777" w:rsidR="00E03711" w:rsidRPr="001048FE" w:rsidRDefault="00E03711" w:rsidP="00475085">
      <w:pPr>
        <w:pStyle w:val="Guide-Heading5"/>
        <w:rPr>
          <w:lang w:val="sl-SI"/>
        </w:rPr>
      </w:pPr>
      <w:r w:rsidRPr="001048FE">
        <w:rPr>
          <w:lang w:val="sl-SI"/>
        </w:rPr>
        <w:t>Sporazum s prostovoljcem</w:t>
      </w:r>
    </w:p>
    <w:p w14:paraId="7D39A923" w14:textId="77777777" w:rsidR="00E03711" w:rsidRPr="001048FE" w:rsidRDefault="00E03711" w:rsidP="00475085">
      <w:pPr>
        <w:pStyle w:val="GUIDE-NORMAL"/>
        <w:rPr>
          <w:lang w:val="sl-SI"/>
        </w:rPr>
      </w:pPr>
      <w:r w:rsidRPr="001048FE">
        <w:rPr>
          <w:lang w:val="sl-SI"/>
        </w:rPr>
        <w:t xml:space="preserve">Pred odhodom mora vsak prostovoljec podpisati sporazum o prostovoljstvu s koordinatorsko organizacijo. V tem sporazumu so opredeljene naloge, ki jih izvedejo prostovoljci med prostovoljsko aktivnostjo, načrtovani učni izidi itd. </w:t>
      </w:r>
    </w:p>
    <w:p w14:paraId="7D39A924" w14:textId="77777777" w:rsidR="00E03711" w:rsidRPr="001048FE" w:rsidRDefault="00E03711" w:rsidP="00475085">
      <w:pPr>
        <w:pStyle w:val="GUIDE-NORMAL"/>
        <w:rPr>
          <w:lang w:val="sl-SI"/>
        </w:rPr>
      </w:pPr>
      <w:r w:rsidRPr="001048FE">
        <w:rPr>
          <w:lang w:val="sl-SI"/>
        </w:rPr>
        <w:t xml:space="preserve">Sporazum o prostovoljstvu je notranji dokument med partnerji in prostovoljci; vendar ga lahko zahteva </w:t>
      </w:r>
      <w:r>
        <w:rPr>
          <w:lang w:val="sl-SI"/>
        </w:rPr>
        <w:t>izvršna</w:t>
      </w:r>
      <w:r w:rsidRPr="001048FE">
        <w:rPr>
          <w:lang w:val="sl-SI"/>
        </w:rPr>
        <w:t xml:space="preserve"> agencija.</w:t>
      </w:r>
    </w:p>
    <w:p w14:paraId="7D39A925" w14:textId="77777777" w:rsidR="00E03711" w:rsidRPr="001048FE" w:rsidRDefault="00E03711" w:rsidP="003115B1">
      <w:pPr>
        <w:pStyle w:val="Guide-Heading4"/>
        <w:rPr>
          <w:lang w:val="sl-SI"/>
        </w:rPr>
      </w:pPr>
      <w:bookmarkStart w:id="658" w:name="_Toc527401322"/>
      <w:r w:rsidRPr="001048FE">
        <w:rPr>
          <w:lang w:val="sl-SI"/>
        </w:rPr>
        <w:t>Zaščita in varnost udeležencev</w:t>
      </w:r>
      <w:bookmarkEnd w:id="658"/>
    </w:p>
    <w:p w14:paraId="7D39A926" w14:textId="77777777" w:rsidR="00E03711" w:rsidRPr="00FC4A70" w:rsidRDefault="00E03711" w:rsidP="003115B1">
      <w:pPr>
        <w:pStyle w:val="Guide-Heading5"/>
        <w:rPr>
          <w:lang w:val="sl-SI"/>
        </w:rPr>
      </w:pPr>
      <w:r w:rsidRPr="002E693E">
        <w:rPr>
          <w:rFonts w:eastAsia="Calibri" w:cs="Calibri"/>
          <w:bCs/>
          <w:szCs w:val="22"/>
          <w:bdr w:val="nil"/>
          <w:lang w:val="sl-SI"/>
        </w:rPr>
        <w:t>Evropska kartica zdravstvenega zavarovanja</w:t>
      </w:r>
    </w:p>
    <w:p w14:paraId="7D39A927" w14:textId="77777777" w:rsidR="00E03711" w:rsidRDefault="00E03711" w:rsidP="003115B1">
      <w:pPr>
        <w:pStyle w:val="Guide-Normal0"/>
        <w:rPr>
          <w:rFonts w:eastAsia="Calibri" w:cs="Calibri"/>
          <w:color w:val="0000FF"/>
          <w:kern w:val="3"/>
          <w:sz w:val="18"/>
          <w:szCs w:val="18"/>
          <w:u w:val="single"/>
          <w:bdr w:val="nil"/>
          <w:shd w:val="clear" w:color="auto" w:fill="FFFFFF"/>
          <w:lang w:val="sl-SI"/>
        </w:rPr>
      </w:pPr>
      <w:r w:rsidRPr="002E693E">
        <w:rPr>
          <w:rFonts w:eastAsia="Calibri" w:cs="Calibri"/>
          <w:kern w:val="3"/>
          <w:sz w:val="18"/>
          <w:szCs w:val="18"/>
          <w:bdr w:val="nil"/>
          <w:shd w:val="clear" w:color="auto" w:fill="FFFFFF"/>
          <w:lang w:val="sl-SI"/>
        </w:rPr>
        <w:t xml:space="preserve">Prostovoljci morajo imeti evropsko kartico zdravstvenega zavarovanja. To je brezplačna kartica, ki omogoča dostop do nujno potrebnega, državnega zdravstvenega varstva med začasnim bivanjem v kateri koli od 28 držav EU, Islandiji, Lihtenštajnu in na Norveškem, pod enakimi pogoji in z enakimi stroški (v nekaterih državah brezplačno), kot veljajo za ljudi, zavarovane v tej državi. Več informacij o kartici in postopku pridobitve je na voljo na spletišču: </w:t>
      </w:r>
      <w:hyperlink r:id="rId180" w:history="1">
        <w:r w:rsidRPr="002E693E">
          <w:rPr>
            <w:rFonts w:eastAsia="Calibri" w:cs="Calibri"/>
            <w:color w:val="0000FF"/>
            <w:kern w:val="3"/>
            <w:sz w:val="18"/>
            <w:szCs w:val="18"/>
            <w:u w:val="single"/>
            <w:bdr w:val="nil"/>
            <w:shd w:val="clear" w:color="auto" w:fill="FFFFFF"/>
            <w:lang w:val="sl-SI"/>
          </w:rPr>
          <w:t>http://ec.europa.eu/social/main.jsp?catId=559</w:t>
        </w:r>
      </w:hyperlink>
      <w:r w:rsidRPr="002E693E">
        <w:rPr>
          <w:rFonts w:eastAsia="Calibri" w:cs="Calibri"/>
          <w:color w:val="0000FF"/>
          <w:kern w:val="3"/>
          <w:sz w:val="18"/>
          <w:szCs w:val="18"/>
          <w:u w:val="single"/>
          <w:bdr w:val="nil"/>
          <w:shd w:val="clear" w:color="auto" w:fill="FFFFFF"/>
          <w:lang w:val="sl-SI"/>
        </w:rPr>
        <w:t>.</w:t>
      </w:r>
    </w:p>
    <w:p w14:paraId="7D39A928" w14:textId="77777777" w:rsidR="00E03711" w:rsidRPr="00FC4A70" w:rsidRDefault="00E03711" w:rsidP="003115B1">
      <w:pPr>
        <w:pStyle w:val="Guide-Normal0"/>
        <w:rPr>
          <w:vanish/>
          <w:lang w:val="sl-SI"/>
        </w:rPr>
      </w:pPr>
      <w:r>
        <w:rPr>
          <w:rFonts w:eastAsia="Calibri" w:cs="Calibri"/>
          <w:vanish/>
          <w:color w:val="0000FF"/>
          <w:kern w:val="3"/>
          <w:sz w:val="18"/>
          <w:szCs w:val="18"/>
          <w:u w:val="single"/>
          <w:bdr w:val="nil"/>
          <w:shd w:val="clear" w:color="auto" w:fill="FFFFFF"/>
          <w:lang w:val="sl-SI"/>
        </w:rPr>
        <w:t xml:space="preserve"> </w:t>
      </w:r>
      <w:r>
        <w:rPr>
          <w:rFonts w:eastAsia="Calibri" w:cs="Calibri"/>
          <w:vanish/>
          <w:kern w:val="3"/>
          <w:sz w:val="18"/>
          <w:szCs w:val="18"/>
          <w:bdr w:val="nil"/>
          <w:shd w:val="clear" w:color="auto" w:fill="FFFFFF"/>
          <w:lang w:val="sl-SI"/>
        </w:rPr>
        <w:t xml:space="preserve"> </w:t>
      </w:r>
    </w:p>
    <w:p w14:paraId="7D39A929" w14:textId="77777777" w:rsidR="00E03711" w:rsidRPr="001048FE" w:rsidRDefault="00E03711" w:rsidP="003115B1">
      <w:pPr>
        <w:pStyle w:val="Guide-Heading5"/>
        <w:rPr>
          <w:lang w:val="sl-SI"/>
        </w:rPr>
      </w:pPr>
      <w:r w:rsidRPr="001048FE">
        <w:rPr>
          <w:lang w:val="sl-SI"/>
        </w:rPr>
        <w:t xml:space="preserve">Zavarovanje v okviru prostovoljstva </w:t>
      </w:r>
    </w:p>
    <w:p w14:paraId="7D39A92A" w14:textId="77777777" w:rsidR="00E03711" w:rsidRPr="001048FE" w:rsidRDefault="00E03711" w:rsidP="00FC1B4B">
      <w:pPr>
        <w:pStyle w:val="GUIDE-NORMAL"/>
        <w:rPr>
          <w:lang w:val="sl-SI"/>
        </w:rPr>
      </w:pPr>
      <w:r w:rsidRPr="001048FE">
        <w:rPr>
          <w:lang w:val="sl-SI"/>
        </w:rPr>
        <w:t>Vsak</w:t>
      </w:r>
      <w:r w:rsidRPr="001048FE">
        <w:rPr>
          <w:spacing w:val="-12"/>
          <w:lang w:val="sl-SI"/>
        </w:rPr>
        <w:t xml:space="preserve"> </w:t>
      </w:r>
      <w:r w:rsidRPr="001048FE">
        <w:rPr>
          <w:lang w:val="sl-SI"/>
        </w:rPr>
        <w:t>prostovoljec</w:t>
      </w:r>
      <w:r w:rsidRPr="001048FE">
        <w:rPr>
          <w:spacing w:val="-12"/>
          <w:lang w:val="sl-SI"/>
        </w:rPr>
        <w:t xml:space="preserve"> </w:t>
      </w:r>
      <w:r w:rsidRPr="001048FE">
        <w:rPr>
          <w:lang w:val="sl-SI"/>
        </w:rPr>
        <w:t>se</w:t>
      </w:r>
      <w:r w:rsidRPr="001048FE">
        <w:rPr>
          <w:spacing w:val="-12"/>
          <w:lang w:val="sl-SI"/>
        </w:rPr>
        <w:t xml:space="preserve"> </w:t>
      </w:r>
      <w:r w:rsidRPr="001048FE">
        <w:rPr>
          <w:lang w:val="sl-SI"/>
        </w:rPr>
        <w:t>mora</w:t>
      </w:r>
      <w:r w:rsidRPr="001048FE">
        <w:rPr>
          <w:spacing w:val="-12"/>
          <w:lang w:val="sl-SI"/>
        </w:rPr>
        <w:t xml:space="preserve"> </w:t>
      </w:r>
      <w:r w:rsidRPr="001048FE">
        <w:rPr>
          <w:lang w:val="sl-SI"/>
        </w:rPr>
        <w:t>vključiti</w:t>
      </w:r>
      <w:r w:rsidRPr="001048FE">
        <w:rPr>
          <w:spacing w:val="-12"/>
          <w:lang w:val="sl-SI"/>
        </w:rPr>
        <w:t xml:space="preserve"> </w:t>
      </w:r>
      <w:r w:rsidRPr="001048FE">
        <w:rPr>
          <w:lang w:val="sl-SI"/>
        </w:rPr>
        <w:t>v</w:t>
      </w:r>
      <w:r w:rsidRPr="001048FE">
        <w:rPr>
          <w:spacing w:val="-12"/>
          <w:lang w:val="sl-SI"/>
        </w:rPr>
        <w:t xml:space="preserve"> </w:t>
      </w:r>
      <w:r w:rsidRPr="001048FE">
        <w:rPr>
          <w:lang w:val="sl-SI"/>
        </w:rPr>
        <w:t>zavarovanje</w:t>
      </w:r>
      <w:r w:rsidRPr="001048FE">
        <w:rPr>
          <w:spacing w:val="-12"/>
          <w:lang w:val="sl-SI"/>
        </w:rPr>
        <w:t xml:space="preserve"> </w:t>
      </w:r>
      <w:r w:rsidRPr="001048FE">
        <w:rPr>
          <w:lang w:val="sl-SI"/>
        </w:rPr>
        <w:t>v</w:t>
      </w:r>
      <w:r w:rsidRPr="001048FE">
        <w:rPr>
          <w:spacing w:val="-12"/>
          <w:lang w:val="sl-SI"/>
        </w:rPr>
        <w:t xml:space="preserve"> </w:t>
      </w:r>
      <w:r w:rsidRPr="001048FE">
        <w:rPr>
          <w:lang w:val="sl-SI"/>
        </w:rPr>
        <w:t>okviru</w:t>
      </w:r>
      <w:r w:rsidRPr="001048FE">
        <w:rPr>
          <w:spacing w:val="-11"/>
          <w:lang w:val="sl-SI"/>
        </w:rPr>
        <w:t xml:space="preserve"> </w:t>
      </w:r>
      <w:r w:rsidRPr="001048FE">
        <w:rPr>
          <w:lang w:val="sl-SI"/>
        </w:rPr>
        <w:t>prostovoljstva</w:t>
      </w:r>
      <w:r>
        <w:rPr>
          <w:rStyle w:val="FootnoteReference"/>
          <w:lang w:val="sl-SI"/>
        </w:rPr>
        <w:footnoteReference w:id="264"/>
      </w:r>
      <w:r w:rsidRPr="001048FE">
        <w:rPr>
          <w:lang w:val="sl-SI"/>
        </w:rPr>
        <w:t>,</w:t>
      </w:r>
      <w:r w:rsidRPr="001048FE">
        <w:rPr>
          <w:spacing w:val="-12"/>
          <w:lang w:val="sl-SI"/>
        </w:rPr>
        <w:t xml:space="preserve"> </w:t>
      </w:r>
      <w:r w:rsidRPr="001048FE">
        <w:rPr>
          <w:lang w:val="sl-SI"/>
        </w:rPr>
        <w:t>predvideno</w:t>
      </w:r>
      <w:r w:rsidRPr="001048FE">
        <w:rPr>
          <w:spacing w:val="-12"/>
          <w:lang w:val="sl-SI"/>
        </w:rPr>
        <w:t xml:space="preserve"> </w:t>
      </w:r>
      <w:r w:rsidRPr="001048FE">
        <w:rPr>
          <w:lang w:val="sl-SI"/>
        </w:rPr>
        <w:t>s programom Erasmus+, ki dopolnjuje kritje z evropsko kartico zdravstvenega zavarovanja, in/ali nacionalne sisteme socialne</w:t>
      </w:r>
      <w:r w:rsidRPr="001048FE">
        <w:rPr>
          <w:spacing w:val="-10"/>
          <w:lang w:val="sl-SI"/>
        </w:rPr>
        <w:t xml:space="preserve"> </w:t>
      </w:r>
      <w:r w:rsidRPr="001048FE">
        <w:rPr>
          <w:lang w:val="sl-SI"/>
        </w:rPr>
        <w:t>varnosti.</w:t>
      </w:r>
    </w:p>
    <w:p w14:paraId="7D39A92B" w14:textId="77777777" w:rsidR="00E03711" w:rsidRPr="001048FE" w:rsidRDefault="00E03711" w:rsidP="003115B1">
      <w:pPr>
        <w:pStyle w:val="GUIDE-NORMAL"/>
        <w:rPr>
          <w:lang w:val="sl-SI"/>
        </w:rPr>
      </w:pPr>
      <w:r w:rsidRPr="001048FE">
        <w:rPr>
          <w:lang w:val="sl-SI"/>
        </w:rPr>
        <w:t>Tisti prostovoljci, ki niso upravičeni do evropske kartice zdravstvenega zavarovanja, so upravičeni do polnega kritja z zavarovanjem, ki ga zagotovi Evropska komisija.</w:t>
      </w:r>
      <w:r>
        <w:rPr>
          <w:lang w:val="sl-SI"/>
        </w:rPr>
        <w:t xml:space="preserve"> </w:t>
      </w:r>
      <w:r w:rsidRPr="001048FE">
        <w:rPr>
          <w:lang w:val="sl-SI"/>
        </w:rPr>
        <w:t>Koordinatorska organizacija v sodelovanju z organizacijama pošiljateljico in gostiteljico je odgovorna za vključitev prostovoljcev. Vključitev mora biti izvedena pred odhodom prostovoljcev in mora kriti celotno obdobje trajanja aktivnosti.</w:t>
      </w:r>
    </w:p>
    <w:p w14:paraId="7D39A92C" w14:textId="77777777" w:rsidR="00E03711" w:rsidRPr="001048FE" w:rsidRDefault="00E03711" w:rsidP="003115B1">
      <w:pPr>
        <w:pStyle w:val="GUIDE-NORMAL"/>
        <w:rPr>
          <w:lang w:val="sl-SI"/>
        </w:rPr>
      </w:pPr>
      <w:r w:rsidRPr="001048FE">
        <w:rPr>
          <w:lang w:val="sl-SI"/>
        </w:rPr>
        <w:t>Informacije o kritju in podpori v okviru zavarovanja za prostovoljce ter navodila za vključitev so na voljo na spletišču Izvajalske agencije.</w:t>
      </w:r>
    </w:p>
    <w:p w14:paraId="7D39A92D" w14:textId="77777777" w:rsidR="00E03711" w:rsidRPr="00FC4A70" w:rsidRDefault="00E03711" w:rsidP="003115B1">
      <w:pPr>
        <w:pStyle w:val="Guide-Heading4"/>
        <w:rPr>
          <w:lang w:val="sl-SI"/>
        </w:rPr>
      </w:pPr>
      <w:bookmarkStart w:id="659" w:name="_Toc527401323"/>
      <w:r w:rsidRPr="002E693E">
        <w:rPr>
          <w:rFonts w:eastAsia="Calibri" w:cs="Calibri"/>
          <w:bCs/>
          <w:szCs w:val="24"/>
          <w:bdr w:val="nil"/>
          <w:lang w:val="sl-SI"/>
        </w:rPr>
        <w:t>Zahteve glede vizumov</w:t>
      </w:r>
      <w:bookmarkEnd w:id="659"/>
    </w:p>
    <w:p w14:paraId="7D39A92E" w14:textId="77777777" w:rsidR="00E03711" w:rsidRPr="00FC4A70" w:rsidRDefault="00E03711" w:rsidP="003115B1">
      <w:pPr>
        <w:pStyle w:val="Guide-Normal0"/>
        <w:rPr>
          <w:lang w:val="sl-SI"/>
        </w:rPr>
      </w:pPr>
      <w:r w:rsidRPr="002E693E">
        <w:rPr>
          <w:rFonts w:eastAsia="Calibri" w:cs="Calibri"/>
          <w:kern w:val="3"/>
          <w:sz w:val="18"/>
          <w:szCs w:val="18"/>
          <w:bdr w:val="nil"/>
          <w:shd w:val="clear" w:color="auto" w:fill="FFFFFF"/>
          <w:lang w:val="sl-SI"/>
        </w:rPr>
        <w:t xml:space="preserve">Prostovoljci bodo morda morali pridobiti vizum za bivanje v tujini, v državi Programa ali partnerski državi, ki gosti aktivnost. </w:t>
      </w:r>
    </w:p>
    <w:p w14:paraId="7D39A92F" w14:textId="77777777" w:rsidR="00E03711" w:rsidRDefault="00E03711" w:rsidP="003115B1">
      <w:pPr>
        <w:pStyle w:val="GUIDE-NORMAL"/>
        <w:rPr>
          <w:lang w:val="sl-SI"/>
        </w:rPr>
      </w:pPr>
      <w:r w:rsidRPr="002E693E">
        <w:rPr>
          <w:rFonts w:eastAsia="Calibri" w:cs="Calibri"/>
          <w:bdr w:val="nil"/>
          <w:lang w:val="sl-SI"/>
        </w:rPr>
        <w:t>Skupna odgovornost vseh sodelujočih organizacij je, da zagotovijo pridobitev zahtevanih dovoljenj (vizumi za dolgotrajno prebivanje ali dovoljenja za prebivanje) pred začetkom načrtovane aktivnosti. Priporoča se, da se dovoljenja zahtevajo od pristojnih organov vnaprej, saj lahko postopek traja več tednov. Izvajalska agencija lahko zagotovi več nasvetov in podpore glede vizumov, dovoljenj za prebivanje, socialne varnosti itd.</w:t>
      </w:r>
    </w:p>
    <w:p w14:paraId="7D39A930" w14:textId="77777777" w:rsidR="00E03711" w:rsidRPr="00FC4A70" w:rsidRDefault="00E03711" w:rsidP="003115B1">
      <w:pPr>
        <w:pStyle w:val="Guide-Heading4"/>
        <w:rPr>
          <w:lang w:val="sl-SI"/>
        </w:rPr>
      </w:pPr>
      <w:bookmarkStart w:id="660" w:name="_Toc527401324"/>
      <w:r w:rsidRPr="002E693E">
        <w:rPr>
          <w:rFonts w:eastAsia="Calibri" w:cs="Calibri"/>
          <w:bCs/>
          <w:szCs w:val="24"/>
          <w:bdr w:val="nil"/>
          <w:lang w:val="sl-SI"/>
        </w:rPr>
        <w:t>Mentorstvo</w:t>
      </w:r>
      <w:bookmarkEnd w:id="660"/>
    </w:p>
    <w:p w14:paraId="7D39A931" w14:textId="77777777" w:rsidR="00E03711" w:rsidRPr="001048FE" w:rsidRDefault="00E03711" w:rsidP="00475085">
      <w:pPr>
        <w:pStyle w:val="GUIDE-NORMAL"/>
        <w:rPr>
          <w:lang w:val="sl-SI"/>
        </w:rPr>
      </w:pPr>
      <w:r w:rsidRPr="002E693E">
        <w:rPr>
          <w:rFonts w:eastAsia="Calibri" w:cs="Calibri"/>
          <w:bdr w:val="nil"/>
          <w:lang w:val="sl-SI"/>
        </w:rPr>
        <w:t>Prostovoljcem se zagotovi osebna podpora v okviru mentorstva. Za mentorstvo je glavna odgovorna oseba mentor, ki ga imenuje organizacija gostiteljica ali koordinatorska organizacija. Mentorstvo je sestavljeno iz rednih srečanj za spremljanje osebnega dobrega počutja prostovoljca v organizaciji gostiteljici in zunaj nje. Namenjeno je posameznemu prostovoljcu, zato sta vsebina in pogostost srečanj odvisni od potreb posameznika. Možne teme mentorskih srečanj: osebno dobro počutje, dobro počutje v ekipi, zadovoljstvo z nalogami, praktične zadeve itd. Intenzivno mentorstvo kot "okrepljeno mentorstvo" je morda potrebno v podporo mladim z manj priložnostmi, če ti ne morejo opravljati prostovoljske aktivnosti samostojno ali ob redni podpori v obliki mentorstva ali tutorstva. Okrepljeno mentorstvo vključuje tesnejše stike s prostovoljcem in več srečanj z njim ter več časa za izvedbo nalog rednega mentorstva, s čimer se zagotovi postopna podpora prostovoljcem med aktivnostmi projekta ter tudi zunaj delovnega časa. Okrepljeno mentorstvo je namenjeno uspešnemu izvajanju projekta in omogočanju prostovoljcu, da pridobi čim večjo samostojnost.</w:t>
      </w:r>
    </w:p>
    <w:p w14:paraId="7D39A932" w14:textId="77777777" w:rsidR="00E03711" w:rsidRPr="001048FE" w:rsidRDefault="00E03711" w:rsidP="00475085">
      <w:pPr>
        <w:pStyle w:val="Guide-Heading5"/>
        <w:rPr>
          <w:lang w:val="sl-SI"/>
        </w:rPr>
      </w:pPr>
      <w:r w:rsidRPr="001048FE">
        <w:rPr>
          <w:lang w:val="sl-SI"/>
        </w:rPr>
        <w:t>Usposabljanje pred odhodom</w:t>
      </w:r>
    </w:p>
    <w:p w14:paraId="7D39A933" w14:textId="77777777" w:rsidR="00E03711" w:rsidRPr="001048FE" w:rsidRDefault="00E03711" w:rsidP="009C698B">
      <w:pPr>
        <w:pStyle w:val="GUIDE-NORMAL"/>
        <w:rPr>
          <w:lang w:val="sl-SI"/>
        </w:rPr>
      </w:pPr>
      <w:r w:rsidRPr="001048FE">
        <w:rPr>
          <w:lang w:val="sl-SI"/>
        </w:rPr>
        <w:t>Kakovost priprave udeležencev je ključni element za izvedbo uspešnega projekta. Zato je treba prostovoljcem zagotoviti usposabljanje pred odhodom. Usposabljanje pred odhodom je odgovornost sodelujočih organizacij (običajno organizacije pošiljateljice ali koordinatorske organizacije) in prostovoljcem nudi priložnost, da izrazijo svoja pričakovanja, oblikujejo svojo motivacijo in učne cilje</w:t>
      </w:r>
      <w:r>
        <w:rPr>
          <w:lang w:val="sl-SI"/>
        </w:rPr>
        <w:t>, bolje razumejo postopek Youthpass in vrednost preverjanja svojih učnih izidov,</w:t>
      </w:r>
      <w:r w:rsidRPr="001048FE">
        <w:rPr>
          <w:lang w:val="sl-SI"/>
        </w:rPr>
        <w:t xml:space="preserve"> ter pridobijo informacije o svoji državi gostiteljici in programu Erasmus+. </w:t>
      </w:r>
    </w:p>
    <w:p w14:paraId="7D39A934" w14:textId="77777777" w:rsidR="00E03711" w:rsidRPr="001048FE" w:rsidRDefault="00E03711">
      <w:pPr>
        <w:widowControl/>
        <w:suppressAutoHyphens w:val="0"/>
        <w:autoSpaceDN/>
        <w:textAlignment w:val="auto"/>
        <w:rPr>
          <w:rFonts w:eastAsia="Times New Roman"/>
          <w:b/>
          <w:smallCaps/>
          <w:sz w:val="28"/>
          <w:szCs w:val="20"/>
          <w:lang w:val="sl-SI"/>
        </w:rPr>
      </w:pPr>
      <w:r w:rsidRPr="001048FE">
        <w:rPr>
          <w:lang w:val="sl-SI"/>
        </w:rPr>
        <w:br w:type="page"/>
      </w:r>
    </w:p>
    <w:p w14:paraId="7D39A935" w14:textId="77777777" w:rsidR="00E03711" w:rsidRPr="001048FE" w:rsidRDefault="00E03711" w:rsidP="00D60A64">
      <w:pPr>
        <w:pStyle w:val="Guide-Heading4"/>
        <w:rPr>
          <w:lang w:val="sl-SI"/>
        </w:rPr>
      </w:pPr>
      <w:bookmarkStart w:id="661" w:name="_Toc527401325"/>
      <w:r w:rsidRPr="00FC4A70">
        <w:rPr>
          <w:rFonts w:eastAsia="Calibri" w:cs="Calibri"/>
          <w:bCs/>
          <w:bdr w:val="nil"/>
          <w:lang w:val="sl-SI"/>
        </w:rPr>
        <w:t>Usposabljanje ob prihodu in vmesno vrednotenje</w:t>
      </w:r>
      <w:bookmarkEnd w:id="661"/>
    </w:p>
    <w:p w14:paraId="7D39A936" w14:textId="77777777" w:rsidR="00E03711" w:rsidRPr="001048FE" w:rsidRDefault="00E03711" w:rsidP="009C698B">
      <w:pPr>
        <w:pStyle w:val="GUIDE-NORMAL"/>
        <w:rPr>
          <w:lang w:val="sl-SI"/>
        </w:rPr>
      </w:pPr>
      <w:r w:rsidRPr="00FC4A70">
        <w:rPr>
          <w:rFonts w:eastAsia="Calibri" w:cs="Calibri"/>
          <w:bdr w:val="nil"/>
          <w:lang w:val="sl-SI"/>
        </w:rPr>
        <w:t>Prostovoljci imajo pravico in dolžnost, da se udeležijo usposabljanja ob prihodu in vmesnega vrednotenja. Odgovornost za organizacijo usposabljanja je odvisna od kraja izvedbe dogodka</w:t>
      </w:r>
      <w:r>
        <w:rPr>
          <w:rFonts w:eastAsia="Calibri" w:cs="Calibri"/>
          <w:bdr w:val="nil"/>
          <w:lang w:val="sl-SI"/>
        </w:rPr>
        <w:t>:</w:t>
      </w:r>
    </w:p>
    <w:p w14:paraId="7D39A937" w14:textId="77777777" w:rsidR="00E03711" w:rsidRPr="001048FE" w:rsidRDefault="00E03711" w:rsidP="005115F2">
      <w:pPr>
        <w:pStyle w:val="Guide-NormalBulletpoints"/>
        <w:numPr>
          <w:ilvl w:val="0"/>
          <w:numId w:val="441"/>
        </w:numPr>
        <w:rPr>
          <w:lang w:val="sl-SI"/>
        </w:rPr>
      </w:pPr>
      <w:r w:rsidRPr="001048FE">
        <w:rPr>
          <w:lang w:val="sl-SI"/>
        </w:rPr>
        <w:t>v državah Programa: usposabljanja/vrednotenja organizirajo nacionalne agencije;</w:t>
      </w:r>
    </w:p>
    <w:p w14:paraId="7D39A938" w14:textId="77777777" w:rsidR="00E03711" w:rsidRPr="001048FE" w:rsidRDefault="00E03711" w:rsidP="005115F2">
      <w:pPr>
        <w:pStyle w:val="Guide-NormalBulletpoints"/>
        <w:numPr>
          <w:ilvl w:val="0"/>
          <w:numId w:val="441"/>
        </w:numPr>
        <w:rPr>
          <w:lang w:val="sl-SI"/>
        </w:rPr>
      </w:pPr>
      <w:r w:rsidRPr="001048FE">
        <w:rPr>
          <w:lang w:val="sl-SI"/>
        </w:rPr>
        <w:t>v partnerskih državah, ki mejijo na EU (regije 1-4): usposabljanja/vrednotenja organizira center SALTO za jugovzhodno Evropo oziroma center SALTO za vzhodno Evropo in Kavkaz in Salto Euromed</w:t>
      </w:r>
      <w:hyperlink r:id="rId181">
        <w:r w:rsidRPr="001048FE">
          <w:rPr>
            <w:rStyle w:val="FootnoteReference"/>
            <w:lang w:val="sl-SI"/>
          </w:rPr>
          <w:footnoteReference w:id="265"/>
        </w:r>
        <w:r w:rsidRPr="001048FE">
          <w:rPr>
            <w:lang w:val="sl-SI"/>
          </w:rPr>
          <w:t xml:space="preserve"> </w:t>
        </w:r>
      </w:hyperlink>
      <w:r w:rsidRPr="001048FE">
        <w:rPr>
          <w:lang w:val="sl-SI"/>
        </w:rPr>
        <w:t>v državah, ki jih vsak center pokriva;</w:t>
      </w:r>
    </w:p>
    <w:p w14:paraId="7D39A939" w14:textId="77777777" w:rsidR="00E03711" w:rsidRPr="001048FE" w:rsidRDefault="00E03711" w:rsidP="005115F2">
      <w:pPr>
        <w:pStyle w:val="Guide-NormalBulletpoints"/>
        <w:numPr>
          <w:ilvl w:val="0"/>
          <w:numId w:val="441"/>
        </w:numPr>
        <w:rPr>
          <w:lang w:val="sl-SI"/>
        </w:rPr>
      </w:pPr>
      <w:r w:rsidRPr="001048FE">
        <w:rPr>
          <w:lang w:val="sl-SI"/>
        </w:rPr>
        <w:t>v drugih partnerskih državah: nacionalne agencije ali centri SALTO ne organizirajo usposabljanj</w:t>
      </w:r>
      <w:r w:rsidRPr="001048FE">
        <w:rPr>
          <w:spacing w:val="-23"/>
          <w:lang w:val="sl-SI"/>
        </w:rPr>
        <w:t xml:space="preserve"> </w:t>
      </w:r>
      <w:r w:rsidRPr="001048FE">
        <w:rPr>
          <w:lang w:val="sl-SI"/>
        </w:rPr>
        <w:t>ali</w:t>
      </w:r>
      <w:r w:rsidRPr="001048FE">
        <w:rPr>
          <w:spacing w:val="-23"/>
          <w:lang w:val="sl-SI"/>
        </w:rPr>
        <w:t xml:space="preserve"> </w:t>
      </w:r>
      <w:r w:rsidRPr="001048FE">
        <w:rPr>
          <w:lang w:val="sl-SI"/>
        </w:rPr>
        <w:t>vrednotenj.</w:t>
      </w:r>
      <w:r w:rsidRPr="001048FE">
        <w:rPr>
          <w:spacing w:val="-23"/>
          <w:lang w:val="sl-SI"/>
        </w:rPr>
        <w:t xml:space="preserve"> </w:t>
      </w:r>
      <w:r w:rsidRPr="001048FE">
        <w:rPr>
          <w:lang w:val="sl-SI"/>
        </w:rPr>
        <w:t>Sodelujoče</w:t>
      </w:r>
      <w:r w:rsidRPr="001048FE">
        <w:rPr>
          <w:spacing w:val="-23"/>
          <w:lang w:val="sl-SI"/>
        </w:rPr>
        <w:t xml:space="preserve"> </w:t>
      </w:r>
      <w:r w:rsidRPr="001048FE">
        <w:rPr>
          <w:lang w:val="sl-SI"/>
        </w:rPr>
        <w:t>organizacije</w:t>
      </w:r>
      <w:r w:rsidRPr="001048FE">
        <w:rPr>
          <w:spacing w:val="-22"/>
          <w:lang w:val="sl-SI"/>
        </w:rPr>
        <w:t xml:space="preserve"> </w:t>
      </w:r>
      <w:r w:rsidRPr="001048FE">
        <w:rPr>
          <w:lang w:val="sl-SI"/>
        </w:rPr>
        <w:t>so</w:t>
      </w:r>
      <w:r w:rsidRPr="001048FE">
        <w:rPr>
          <w:spacing w:val="-23"/>
          <w:lang w:val="sl-SI"/>
        </w:rPr>
        <w:t xml:space="preserve"> </w:t>
      </w:r>
      <w:r w:rsidRPr="001048FE">
        <w:rPr>
          <w:lang w:val="sl-SI"/>
        </w:rPr>
        <w:t>odgovorne,</w:t>
      </w:r>
      <w:r w:rsidRPr="001048FE">
        <w:rPr>
          <w:spacing w:val="-22"/>
          <w:lang w:val="sl-SI"/>
        </w:rPr>
        <w:t xml:space="preserve"> </w:t>
      </w:r>
      <w:r w:rsidRPr="001048FE">
        <w:rPr>
          <w:lang w:val="sl-SI"/>
        </w:rPr>
        <w:t>da</w:t>
      </w:r>
      <w:r w:rsidRPr="001048FE">
        <w:rPr>
          <w:spacing w:val="-23"/>
          <w:lang w:val="sl-SI"/>
        </w:rPr>
        <w:t xml:space="preserve"> </w:t>
      </w:r>
      <w:r w:rsidRPr="001048FE">
        <w:rPr>
          <w:lang w:val="sl-SI"/>
        </w:rPr>
        <w:t>prostovoljcem</w:t>
      </w:r>
      <w:r w:rsidRPr="001048FE">
        <w:rPr>
          <w:spacing w:val="-23"/>
          <w:lang w:val="sl-SI"/>
        </w:rPr>
        <w:t xml:space="preserve"> </w:t>
      </w:r>
      <w:r w:rsidRPr="001048FE">
        <w:rPr>
          <w:lang w:val="sl-SI"/>
        </w:rPr>
        <w:t>zagotovijo usposabljanje</w:t>
      </w:r>
      <w:r w:rsidRPr="001048FE">
        <w:rPr>
          <w:spacing w:val="-18"/>
          <w:lang w:val="sl-SI"/>
        </w:rPr>
        <w:t xml:space="preserve"> </w:t>
      </w:r>
      <w:r w:rsidRPr="001048FE">
        <w:rPr>
          <w:lang w:val="sl-SI"/>
        </w:rPr>
        <w:t>ob</w:t>
      </w:r>
      <w:r w:rsidRPr="001048FE">
        <w:rPr>
          <w:spacing w:val="-18"/>
          <w:lang w:val="sl-SI"/>
        </w:rPr>
        <w:t xml:space="preserve"> </w:t>
      </w:r>
      <w:r w:rsidRPr="001048FE">
        <w:rPr>
          <w:lang w:val="sl-SI"/>
        </w:rPr>
        <w:t>prihodu</w:t>
      </w:r>
      <w:r w:rsidRPr="001048FE">
        <w:rPr>
          <w:spacing w:val="-18"/>
          <w:lang w:val="sl-SI"/>
        </w:rPr>
        <w:t xml:space="preserve"> </w:t>
      </w:r>
      <w:r w:rsidRPr="001048FE">
        <w:rPr>
          <w:lang w:val="sl-SI"/>
        </w:rPr>
        <w:t>in</w:t>
      </w:r>
      <w:r w:rsidRPr="001048FE">
        <w:rPr>
          <w:spacing w:val="-18"/>
          <w:lang w:val="sl-SI"/>
        </w:rPr>
        <w:t xml:space="preserve"> </w:t>
      </w:r>
      <w:r w:rsidRPr="001048FE">
        <w:rPr>
          <w:lang w:val="sl-SI"/>
        </w:rPr>
        <w:t>prostor</w:t>
      </w:r>
      <w:r w:rsidRPr="001048FE">
        <w:rPr>
          <w:spacing w:val="-18"/>
          <w:lang w:val="sl-SI"/>
        </w:rPr>
        <w:t xml:space="preserve"> </w:t>
      </w:r>
      <w:r w:rsidRPr="001048FE">
        <w:rPr>
          <w:lang w:val="sl-SI"/>
        </w:rPr>
        <w:t>za</w:t>
      </w:r>
      <w:r w:rsidRPr="001048FE">
        <w:rPr>
          <w:spacing w:val="-18"/>
          <w:lang w:val="sl-SI"/>
        </w:rPr>
        <w:t xml:space="preserve"> </w:t>
      </w:r>
      <w:r w:rsidRPr="001048FE">
        <w:rPr>
          <w:lang w:val="sl-SI"/>
        </w:rPr>
        <w:t>izvedbo</w:t>
      </w:r>
      <w:r w:rsidRPr="001048FE">
        <w:rPr>
          <w:spacing w:val="-18"/>
          <w:lang w:val="sl-SI"/>
        </w:rPr>
        <w:t xml:space="preserve"> </w:t>
      </w:r>
      <w:r w:rsidRPr="001048FE">
        <w:rPr>
          <w:lang w:val="sl-SI"/>
        </w:rPr>
        <w:t>vmesnega</w:t>
      </w:r>
      <w:r w:rsidRPr="001048FE">
        <w:rPr>
          <w:spacing w:val="-18"/>
          <w:lang w:val="sl-SI"/>
        </w:rPr>
        <w:t xml:space="preserve"> </w:t>
      </w:r>
      <w:r w:rsidRPr="001048FE">
        <w:rPr>
          <w:lang w:val="sl-SI"/>
        </w:rPr>
        <w:t>vrednotenja</w:t>
      </w:r>
      <w:r w:rsidRPr="001048FE">
        <w:rPr>
          <w:spacing w:val="-18"/>
          <w:lang w:val="sl-SI"/>
        </w:rPr>
        <w:t xml:space="preserve"> </w:t>
      </w:r>
      <w:r w:rsidRPr="001048FE">
        <w:rPr>
          <w:lang w:val="sl-SI"/>
        </w:rPr>
        <w:t>njihove</w:t>
      </w:r>
      <w:r w:rsidRPr="001048FE">
        <w:rPr>
          <w:spacing w:val="-18"/>
          <w:lang w:val="sl-SI"/>
        </w:rPr>
        <w:t xml:space="preserve"> </w:t>
      </w:r>
      <w:r w:rsidRPr="001048FE">
        <w:rPr>
          <w:lang w:val="sl-SI"/>
        </w:rPr>
        <w:t>izkušnje.</w:t>
      </w:r>
      <w:r w:rsidRPr="001048FE">
        <w:rPr>
          <w:spacing w:val="-18"/>
          <w:lang w:val="sl-SI"/>
        </w:rPr>
        <w:t xml:space="preserve"> </w:t>
      </w:r>
      <w:r w:rsidRPr="001048FE">
        <w:rPr>
          <w:lang w:val="sl-SI"/>
        </w:rPr>
        <w:t>V</w:t>
      </w:r>
      <w:r w:rsidRPr="001048FE">
        <w:rPr>
          <w:spacing w:val="-18"/>
          <w:lang w:val="sl-SI"/>
        </w:rPr>
        <w:t xml:space="preserve"> </w:t>
      </w:r>
      <w:r w:rsidRPr="001048FE">
        <w:rPr>
          <w:lang w:val="sl-SI"/>
        </w:rPr>
        <w:t>zvezi s tem so lahko stroški, povezani s takimi pripravami za aktivnosti, ki so organizirane v okviru krepitve zmogljivosti na področju mladine, kriti s postavko „Stroški aktivnosti“.</w:t>
      </w:r>
    </w:p>
    <w:p w14:paraId="7D39A93A" w14:textId="77777777" w:rsidR="00E03711" w:rsidRPr="001048FE" w:rsidRDefault="00E03711" w:rsidP="009C698B">
      <w:pPr>
        <w:pStyle w:val="GUIDE-NORMAL"/>
        <w:rPr>
          <w:lang w:val="sl-SI"/>
        </w:rPr>
      </w:pPr>
      <w:r w:rsidRPr="001048FE">
        <w:rPr>
          <w:lang w:val="sl-SI"/>
        </w:rPr>
        <w:t>V vsakem primeru se upravičenci spodbujajo, da za prostovoljce zagotovijo dodatne priložnosti za usposabljanja in vrednotenja, četudi zanje niso dodeljena nobena posebna sredstva v okviru nepovratnih sredstev za projekt. Vsi zadevni ponudniki aktivnosti usposabljanj in vrednotenj bi morali zagotoviti informacije o orodju</w:t>
      </w:r>
      <w:r w:rsidRPr="001048FE">
        <w:rPr>
          <w:spacing w:val="17"/>
          <w:lang w:val="sl-SI"/>
        </w:rPr>
        <w:t xml:space="preserve"> </w:t>
      </w:r>
      <w:r w:rsidRPr="001048FE">
        <w:rPr>
          <w:lang w:val="sl-SI"/>
        </w:rPr>
        <w:t>Youthpass.</w:t>
      </w:r>
    </w:p>
    <w:p w14:paraId="7D39A93B" w14:textId="77777777" w:rsidR="00E03711" w:rsidRPr="001048FE" w:rsidRDefault="00E03711" w:rsidP="0032541E">
      <w:pPr>
        <w:pStyle w:val="GUIDE-NORMAL"/>
        <w:rPr>
          <w:lang w:val="sl-SI"/>
        </w:rPr>
      </w:pPr>
      <w:r w:rsidRPr="001048FE">
        <w:rPr>
          <w:lang w:val="sl-SI"/>
        </w:rPr>
        <w:t xml:space="preserve">Poleg tega lahko sodelujoče organizacije, če obstajajo utemeljene potrebe, organizirajo usposabljanje ob prihodu za kratkotrajne aktivnosti, ki vključujejo mlade z manj priložnostmi. </w:t>
      </w:r>
      <w:r>
        <w:rPr>
          <w:lang w:val="sl-SI"/>
        </w:rPr>
        <w:t>S</w:t>
      </w:r>
      <w:r w:rsidRPr="001048FE">
        <w:rPr>
          <w:lang w:val="sl-SI"/>
        </w:rPr>
        <w:t xml:space="preserve">troški, povezani s takimi pripravami, </w:t>
      </w:r>
      <w:r>
        <w:rPr>
          <w:lang w:val="sl-SI"/>
        </w:rPr>
        <w:t xml:space="preserve">se lahko </w:t>
      </w:r>
      <w:r w:rsidRPr="001048FE">
        <w:rPr>
          <w:lang w:val="sl-SI"/>
        </w:rPr>
        <w:t>krijejo s postavko „Izredni stroški“ za aktivnosti, ki vključujejo mlade z manj priložnostmi (glej poglavje „Pravila za dodelitev sredstev“ v delu B tega vodnika).</w:t>
      </w:r>
    </w:p>
    <w:p w14:paraId="7D39A93C" w14:textId="77777777" w:rsidR="00E03711" w:rsidRPr="001048FE" w:rsidRDefault="00E03711" w:rsidP="0085538A">
      <w:pPr>
        <w:pStyle w:val="Guide-Heading4"/>
        <w:rPr>
          <w:lang w:val="sl-SI"/>
        </w:rPr>
      </w:pPr>
      <w:bookmarkStart w:id="662" w:name="_Toc527401326"/>
      <w:r w:rsidRPr="001048FE">
        <w:rPr>
          <w:lang w:val="sl-SI"/>
        </w:rPr>
        <w:t>Priznavanje učnih izidov – Youthpass</w:t>
      </w:r>
      <w:bookmarkEnd w:id="662"/>
    </w:p>
    <w:p w14:paraId="7D39A93D" w14:textId="77777777" w:rsidR="00E03711" w:rsidRPr="001048FE" w:rsidRDefault="00E03711" w:rsidP="0085538A">
      <w:pPr>
        <w:pStyle w:val="GUIDE-NORMAL"/>
        <w:rPr>
          <w:lang w:val="sl-SI"/>
        </w:rPr>
      </w:pPr>
      <w:r w:rsidRPr="00FC4A70">
        <w:rPr>
          <w:rFonts w:eastAsia="Calibri" w:cs="Calibri"/>
          <w:bdr w:val="nil"/>
          <w:lang w:val="sl-SI"/>
        </w:rPr>
        <w:t>Vsak prostovoljec, ki sodeluje v projektu dejavnosti prostovoljstva, je upravičen do vključitve v postopek Youthpass in do prejema potrdila Youthpass ob koncu projekta. Youthpass priznava in dokumentira rezultate neformalnega in priložnostnega učenja skozi projekt. Priporoča se vključiti Youthpass v izobraževalne vsebine že takoj na začetku projekta in ga ves čas trajanja aktivnosti projekta uporabljati kot orodje, ki udeležencem omogoča, da so bolj pozorni in da razmišljajo o učnem procesu in ga ocenjujejo.</w:t>
      </w:r>
      <w:r>
        <w:rPr>
          <w:lang w:val="sl-SI"/>
        </w:rPr>
        <w:t xml:space="preserve"> </w:t>
      </w:r>
      <w:r w:rsidRPr="001048FE">
        <w:rPr>
          <w:lang w:val="sl-SI"/>
        </w:rPr>
        <w:t>Za več podpore in informacij o orodju Youthpass glej Vodnik po Youthpassu in drugo ustrezno gradivo na spletišču</w:t>
      </w:r>
      <w:r>
        <w:rPr>
          <w:lang w:val="sl-SI"/>
        </w:rPr>
        <w:t xml:space="preserve"> </w:t>
      </w:r>
      <w:r w:rsidRPr="001048FE">
        <w:rPr>
          <w:spacing w:val="-36"/>
          <w:lang w:val="sl-SI"/>
        </w:rPr>
        <w:t xml:space="preserve"> </w:t>
      </w:r>
      <w:hyperlink r:id="rId182">
        <w:r w:rsidRPr="001048FE">
          <w:rPr>
            <w:rStyle w:val="Hyperlink"/>
            <w:lang w:val="sl-SI"/>
          </w:rPr>
          <w:t>https://www.youthpass.eu/sl</w:t>
        </w:r>
      </w:hyperlink>
      <w:r w:rsidRPr="001048FE">
        <w:rPr>
          <w:lang w:val="sl-SI"/>
        </w:rPr>
        <w:t>.</w:t>
      </w:r>
    </w:p>
    <w:p w14:paraId="7D39A93E" w14:textId="77777777" w:rsidR="00E03711" w:rsidRPr="001048FE" w:rsidRDefault="00E03711" w:rsidP="00EC6FA3">
      <w:pPr>
        <w:pStyle w:val="GUIDE-NORMAL"/>
        <w:rPr>
          <w:lang w:val="sl-SI"/>
        </w:rPr>
      </w:pPr>
    </w:p>
    <w:p w14:paraId="7D39A93F" w14:textId="77777777" w:rsidR="00E03711" w:rsidRPr="001048FE" w:rsidRDefault="00E03711" w:rsidP="00977659">
      <w:pPr>
        <w:widowControl/>
        <w:suppressAutoHyphens w:val="0"/>
        <w:autoSpaceDN/>
        <w:textAlignment w:val="auto"/>
        <w:rPr>
          <w:lang w:val="sl-SI"/>
        </w:rPr>
        <w:sectPr w:rsidR="00E03711" w:rsidRPr="001048FE" w:rsidSect="00AA6A8A">
          <w:headerReference w:type="default" r:id="rId183"/>
          <w:endnotePr>
            <w:numFmt w:val="decimal"/>
          </w:endnotePr>
          <w:pgSz w:w="11901" w:h="16817" w:code="9"/>
          <w:pgMar w:top="1134" w:right="1418" w:bottom="1134" w:left="1418" w:header="283" w:footer="567" w:gutter="0"/>
          <w:cols w:space="720"/>
          <w:docGrid w:linePitch="326"/>
        </w:sectPr>
      </w:pPr>
      <w:bookmarkStart w:id="663" w:name="Masters_communs_Erasmus_Mundus"/>
      <w:bookmarkStart w:id="664" w:name="_bookmark80"/>
      <w:bookmarkEnd w:id="663"/>
      <w:bookmarkEnd w:id="664"/>
    </w:p>
    <w:p w14:paraId="7D39A940" w14:textId="77777777" w:rsidR="00E03711" w:rsidRDefault="00E03711">
      <w:pPr>
        <w:pStyle w:val="Guide-Heading2"/>
        <w:rPr>
          <w:lang w:val="sl-SI"/>
        </w:rPr>
      </w:pPr>
      <w:bookmarkStart w:id="665" w:name="_Toc527400979"/>
      <w:bookmarkStart w:id="666" w:name="_Toc527401327"/>
      <w:r w:rsidRPr="001048FE">
        <w:rPr>
          <w:lang w:val="sl-SI"/>
        </w:rPr>
        <w:t>Skupni magistrski študij Erasmus Mundus</w:t>
      </w:r>
      <w:bookmarkEnd w:id="665"/>
      <w:bookmarkEnd w:id="666"/>
    </w:p>
    <w:p w14:paraId="7D39A941" w14:textId="77777777" w:rsidR="00E03711" w:rsidRPr="001048FE" w:rsidRDefault="00E03711" w:rsidP="004B71A1">
      <w:pPr>
        <w:pStyle w:val="Guide-AnnexHeading3"/>
        <w:numPr>
          <w:ilvl w:val="0"/>
          <w:numId w:val="0"/>
        </w:numPr>
        <w:rPr>
          <w:lang w:val="sl-SI"/>
        </w:rPr>
      </w:pPr>
      <w:bookmarkStart w:id="667" w:name="_Toc524425624"/>
      <w:bookmarkStart w:id="668" w:name="_Toc526422862"/>
      <w:bookmarkStart w:id="669" w:name="_Toc527400980"/>
      <w:bookmarkStart w:id="670" w:name="_Toc527401328"/>
      <w:r>
        <w:rPr>
          <w:lang w:val="sl-SI"/>
        </w:rPr>
        <w:t xml:space="preserve">1. </w:t>
      </w:r>
      <w:r w:rsidRPr="001048FE">
        <w:rPr>
          <w:lang w:val="sl-SI"/>
        </w:rPr>
        <w:t>Pogoji</w:t>
      </w:r>
      <w:r w:rsidRPr="001048FE">
        <w:rPr>
          <w:spacing w:val="-12"/>
          <w:lang w:val="sl-SI"/>
        </w:rPr>
        <w:t xml:space="preserve"> </w:t>
      </w:r>
      <w:r w:rsidRPr="001048FE">
        <w:rPr>
          <w:lang w:val="sl-SI"/>
        </w:rPr>
        <w:t>v</w:t>
      </w:r>
      <w:r w:rsidRPr="001048FE">
        <w:rPr>
          <w:spacing w:val="-12"/>
          <w:lang w:val="sl-SI"/>
        </w:rPr>
        <w:t xml:space="preserve"> </w:t>
      </w:r>
      <w:r w:rsidRPr="001048FE">
        <w:rPr>
          <w:lang w:val="sl-SI"/>
        </w:rPr>
        <w:t>zvezi</w:t>
      </w:r>
      <w:r w:rsidRPr="001048FE">
        <w:rPr>
          <w:spacing w:val="-12"/>
          <w:lang w:val="sl-SI"/>
        </w:rPr>
        <w:t xml:space="preserve"> </w:t>
      </w:r>
      <w:r w:rsidRPr="001048FE">
        <w:rPr>
          <w:lang w:val="sl-SI"/>
        </w:rPr>
        <w:t>z</w:t>
      </w:r>
      <w:r w:rsidRPr="001048FE">
        <w:rPr>
          <w:spacing w:val="-12"/>
          <w:lang w:val="sl-SI"/>
        </w:rPr>
        <w:t xml:space="preserve"> </w:t>
      </w:r>
      <w:r w:rsidRPr="001048FE">
        <w:rPr>
          <w:lang w:val="sl-SI"/>
        </w:rPr>
        <w:t>zasnovo</w:t>
      </w:r>
      <w:r w:rsidRPr="001048FE">
        <w:rPr>
          <w:spacing w:val="-12"/>
          <w:lang w:val="sl-SI"/>
        </w:rPr>
        <w:t xml:space="preserve"> </w:t>
      </w:r>
      <w:r w:rsidRPr="001048FE">
        <w:rPr>
          <w:lang w:val="sl-SI"/>
        </w:rPr>
        <w:t>skupnega</w:t>
      </w:r>
      <w:r w:rsidRPr="001048FE">
        <w:rPr>
          <w:spacing w:val="-12"/>
          <w:lang w:val="sl-SI"/>
        </w:rPr>
        <w:t xml:space="preserve"> </w:t>
      </w:r>
      <w:r w:rsidRPr="001048FE">
        <w:rPr>
          <w:lang w:val="sl-SI"/>
        </w:rPr>
        <w:t>magistrskega</w:t>
      </w:r>
      <w:r w:rsidRPr="001048FE">
        <w:rPr>
          <w:spacing w:val="-12"/>
          <w:lang w:val="sl-SI"/>
        </w:rPr>
        <w:t xml:space="preserve"> </w:t>
      </w:r>
      <w:r w:rsidRPr="001048FE">
        <w:rPr>
          <w:lang w:val="sl-SI"/>
        </w:rPr>
        <w:t>študija Erasmus</w:t>
      </w:r>
      <w:r w:rsidRPr="001048FE">
        <w:rPr>
          <w:spacing w:val="5"/>
          <w:lang w:val="sl-SI"/>
        </w:rPr>
        <w:t xml:space="preserve"> </w:t>
      </w:r>
      <w:r w:rsidRPr="001048FE">
        <w:rPr>
          <w:lang w:val="sl-SI"/>
        </w:rPr>
        <w:t>Mundus</w:t>
      </w:r>
      <w:bookmarkEnd w:id="667"/>
      <w:bookmarkEnd w:id="668"/>
      <w:bookmarkEnd w:id="669"/>
      <w:bookmarkEnd w:id="670"/>
    </w:p>
    <w:p w14:paraId="7D39A942" w14:textId="77777777" w:rsidR="00E03711" w:rsidRPr="001048FE" w:rsidRDefault="00E03711" w:rsidP="00BD7F62">
      <w:pPr>
        <w:pStyle w:val="GUIDE-NORMAL"/>
        <w:rPr>
          <w:lang w:val="sl-SI"/>
        </w:rPr>
      </w:pPr>
      <w:r w:rsidRPr="001048FE">
        <w:rPr>
          <w:lang w:val="sl-SI"/>
        </w:rPr>
        <w:t>Ob prijavi mora biti skupni magistrski študij Erasmus Mundus (EMJMD) povsem razvit in pripravljen na štiri zaporedna izvajanja od drugega akademskega leta po prijavi, če se konzorcij odloči za pripravljalno leto po tem, ko je bil izbran. Od konzorcijev EMJMD, ki se ne odločijo za izvajanje pripravljalnega leta, se pričakuje, da bodo začele z izvajanjem prve različice magistrskega študija takoj, ozirom prvo študijsko leto po njihovi izbiri.</w:t>
      </w:r>
    </w:p>
    <w:p w14:paraId="7D39A943" w14:textId="77777777" w:rsidR="00E03711" w:rsidRPr="00FC4A70" w:rsidRDefault="00E03711" w:rsidP="0055103F">
      <w:pPr>
        <w:pStyle w:val="Default"/>
        <w:jc w:val="both"/>
        <w:rPr>
          <w:rFonts w:cs="Tahoma"/>
          <w:sz w:val="18"/>
          <w:szCs w:val="18"/>
          <w:lang w:val="sl-SI"/>
        </w:rPr>
      </w:pPr>
      <w:r w:rsidRPr="00FC4A70">
        <w:rPr>
          <w:rFonts w:eastAsia="Calibri"/>
          <w:kern w:val="3"/>
          <w:sz w:val="18"/>
          <w:szCs w:val="18"/>
          <w:bdr w:val="nil"/>
          <w:lang w:val="sl-SI" w:eastAsia="zh-CN"/>
        </w:rPr>
        <w:t>Da bi izpolnili minimalne zahteve iz dela B in kjer je zunanje zagotavljanje kakovosti na nivoju programa obvezno (glede na jurisdikcijo je to lahko npr. akreditacija ali evalvacija), tako dokazilo s strani pristojnih nacionalnih organov lahko:</w:t>
      </w:r>
    </w:p>
    <w:p w14:paraId="7D39A944" w14:textId="77777777" w:rsidR="00E03711" w:rsidRPr="00FC4A70" w:rsidRDefault="00E03711" w:rsidP="002D7FF4">
      <w:pPr>
        <w:pStyle w:val="Default"/>
        <w:numPr>
          <w:ilvl w:val="0"/>
          <w:numId w:val="103"/>
        </w:numPr>
        <w:suppressAutoHyphens/>
        <w:adjustRightInd/>
        <w:jc w:val="both"/>
        <w:textAlignment w:val="baseline"/>
        <w:rPr>
          <w:rFonts w:cs="Tahoma"/>
          <w:sz w:val="18"/>
          <w:szCs w:val="18"/>
          <w:lang w:val="sl-SI"/>
        </w:rPr>
      </w:pPr>
      <w:r w:rsidRPr="00FC4A70">
        <w:rPr>
          <w:rFonts w:eastAsia="Calibri"/>
          <w:kern w:val="3"/>
          <w:sz w:val="18"/>
          <w:szCs w:val="18"/>
          <w:bdr w:val="nil"/>
          <w:lang w:val="sl-SI" w:eastAsia="zh-CN"/>
        </w:rPr>
        <w:t>pomeni uspešno uvedbo Evropskega pristopa k zagotavljanju kakovosti skupnih programov (če to dopušča nacionalna zakonodaja) ali</w:t>
      </w:r>
    </w:p>
    <w:p w14:paraId="7D39A945" w14:textId="77777777" w:rsidR="00E03711" w:rsidRPr="00FC4A70" w:rsidRDefault="00E03711" w:rsidP="002D7FF4">
      <w:pPr>
        <w:pStyle w:val="Default"/>
        <w:numPr>
          <w:ilvl w:val="0"/>
          <w:numId w:val="103"/>
        </w:numPr>
        <w:suppressAutoHyphens/>
        <w:adjustRightInd/>
        <w:jc w:val="both"/>
        <w:textAlignment w:val="baseline"/>
        <w:rPr>
          <w:sz w:val="18"/>
          <w:szCs w:val="18"/>
          <w:lang w:val="sl-SI"/>
        </w:rPr>
      </w:pPr>
      <w:r w:rsidRPr="00FC4A70">
        <w:rPr>
          <w:rFonts w:eastAsia="Calibri"/>
          <w:kern w:val="3"/>
          <w:sz w:val="18"/>
          <w:szCs w:val="18"/>
          <w:bdr w:val="nil"/>
          <w:lang w:val="sl-SI" w:eastAsia="zh-CN"/>
        </w:rPr>
        <w:t>temelji na posameznih odločitvah o akreditaciji za vsako nacionalno komponento, ki sooblikuje skupni magistrski študij Erasmus Mundus.</w:t>
      </w:r>
    </w:p>
    <w:p w14:paraId="7D39A946" w14:textId="77777777" w:rsidR="00E03711" w:rsidRPr="00FC4A70" w:rsidRDefault="00E03711" w:rsidP="0055103F">
      <w:pPr>
        <w:pStyle w:val="Default"/>
        <w:ind w:left="720"/>
        <w:jc w:val="both"/>
        <w:rPr>
          <w:lang w:val="sl-SI"/>
        </w:rPr>
      </w:pPr>
    </w:p>
    <w:p w14:paraId="7D39A947" w14:textId="77777777" w:rsidR="00E03711" w:rsidRPr="00FC4A70" w:rsidRDefault="00E03711" w:rsidP="0055103F">
      <w:pPr>
        <w:pStyle w:val="Default"/>
        <w:jc w:val="both"/>
        <w:rPr>
          <w:rFonts w:cs="Tahoma"/>
          <w:sz w:val="18"/>
          <w:szCs w:val="18"/>
          <w:lang w:val="sl-SI"/>
        </w:rPr>
      </w:pPr>
      <w:r w:rsidRPr="00FC4A70">
        <w:rPr>
          <w:rFonts w:eastAsia="Calibri"/>
          <w:kern w:val="3"/>
          <w:sz w:val="18"/>
          <w:szCs w:val="18"/>
          <w:bdr w:val="nil"/>
          <w:lang w:val="sl-SI" w:eastAsia="zh-CN"/>
        </w:rPr>
        <w:t>Za akreditacijo sistema/ustanove, ko visokošolske ustanove same potrjujejo svoje študijske programe, je lahko dokazilo o veljavni akreditaciji v obliki:</w:t>
      </w:r>
    </w:p>
    <w:p w14:paraId="7D39A948" w14:textId="77777777" w:rsidR="00E03711" w:rsidRPr="00FC4A70" w:rsidRDefault="00E03711" w:rsidP="002D7FF4">
      <w:pPr>
        <w:pStyle w:val="Default"/>
        <w:numPr>
          <w:ilvl w:val="0"/>
          <w:numId w:val="103"/>
        </w:numPr>
        <w:suppressAutoHyphens/>
        <w:adjustRightInd/>
        <w:jc w:val="both"/>
        <w:textAlignment w:val="baseline"/>
        <w:rPr>
          <w:rFonts w:cs="Tahoma"/>
          <w:sz w:val="18"/>
          <w:szCs w:val="18"/>
          <w:lang w:val="sl-SI"/>
        </w:rPr>
      </w:pPr>
      <w:r w:rsidRPr="00FC4A70">
        <w:rPr>
          <w:rFonts w:eastAsia="Calibri"/>
          <w:kern w:val="3"/>
          <w:sz w:val="18"/>
          <w:szCs w:val="18"/>
          <w:bdr w:val="nil"/>
          <w:lang w:val="sl-SI" w:eastAsia="zh-CN"/>
        </w:rPr>
        <w:t>dokazilo po ustrezni nacionalni zakonodaji, ki daje visokošolski instituciji pravico, da ponuja študijske programe in podeljuje magistrske diplome in/ali</w:t>
      </w:r>
    </w:p>
    <w:p w14:paraId="7D39A949" w14:textId="77777777" w:rsidR="00E03711" w:rsidRPr="00FC4A70" w:rsidRDefault="00E03711" w:rsidP="002D7FF4">
      <w:pPr>
        <w:pStyle w:val="Default"/>
        <w:numPr>
          <w:ilvl w:val="0"/>
          <w:numId w:val="103"/>
        </w:numPr>
        <w:suppressAutoHyphens/>
        <w:adjustRightInd/>
        <w:jc w:val="both"/>
        <w:textAlignment w:val="baseline"/>
        <w:rPr>
          <w:rFonts w:cs="Tahoma"/>
          <w:sz w:val="18"/>
          <w:szCs w:val="18"/>
          <w:lang w:val="sl-SI"/>
        </w:rPr>
      </w:pPr>
      <w:r w:rsidRPr="00FC4A70">
        <w:rPr>
          <w:rFonts w:eastAsia="Calibri"/>
          <w:kern w:val="3"/>
          <w:sz w:val="18"/>
          <w:szCs w:val="18"/>
          <w:bdr w:val="nil"/>
          <w:lang w:val="sl-SI" w:eastAsia="zh-CN"/>
        </w:rPr>
        <w:t>dokazilo o ustreznem internem sklepu visokošolske institucije, da ponudi nacionalne komponente predlaganega študijskega programa skupnega magistrskega študija Erasmus Mundus (EMJMD).</w:t>
      </w:r>
    </w:p>
    <w:p w14:paraId="7D39A94A" w14:textId="77777777" w:rsidR="00E03711" w:rsidRPr="00FC4A70" w:rsidRDefault="00E03711" w:rsidP="0055103F">
      <w:pPr>
        <w:pStyle w:val="Default"/>
        <w:jc w:val="both"/>
        <w:rPr>
          <w:rFonts w:cs="Tahoma"/>
          <w:sz w:val="18"/>
          <w:szCs w:val="18"/>
          <w:lang w:val="sl-SI"/>
        </w:rPr>
      </w:pPr>
    </w:p>
    <w:p w14:paraId="7D39A94B" w14:textId="77777777" w:rsidR="00E03711" w:rsidRPr="004E4C36" w:rsidRDefault="00E03711" w:rsidP="0055103F">
      <w:pPr>
        <w:pStyle w:val="Default"/>
        <w:jc w:val="both"/>
        <w:rPr>
          <w:rFonts w:eastAsia="Calibri"/>
          <w:kern w:val="3"/>
          <w:sz w:val="18"/>
          <w:szCs w:val="18"/>
          <w:bdr w:val="nil"/>
          <w:lang w:val="sl-SI" w:eastAsia="zh-CN"/>
        </w:rPr>
      </w:pPr>
      <w:r>
        <w:rPr>
          <w:rFonts w:eastAsia="Calibri"/>
          <w:kern w:val="3"/>
          <w:sz w:val="18"/>
          <w:szCs w:val="18"/>
          <w:bdr w:val="nil"/>
          <w:lang w:val="sl-SI" w:eastAsia="zh-CN"/>
        </w:rPr>
        <w:t>Izvajalska agencija se bo posvetovala s kontaktnimi točkami mednarodnega programa Erasmus+ visokošolskih institucij države programa, ki delujejo kot partnerji v konzorcijih, da preverizahteve po akreditaciji, ovrednotenju ter morebitne druge zahteve.</w:t>
      </w:r>
    </w:p>
    <w:p w14:paraId="7D39A94C" w14:textId="77777777" w:rsidR="00E03711" w:rsidRDefault="00E03711" w:rsidP="0055103F">
      <w:pPr>
        <w:pStyle w:val="Default"/>
        <w:jc w:val="both"/>
        <w:rPr>
          <w:rFonts w:eastAsia="Calibri"/>
          <w:kern w:val="3"/>
          <w:sz w:val="18"/>
          <w:szCs w:val="18"/>
          <w:bdr w:val="nil"/>
          <w:lang w:val="sl-SI" w:eastAsia="zh-CN"/>
        </w:rPr>
      </w:pPr>
    </w:p>
    <w:p w14:paraId="7D39A94D" w14:textId="77777777" w:rsidR="00E03711" w:rsidRPr="00FC4A70" w:rsidRDefault="00E03711" w:rsidP="0055103F">
      <w:pPr>
        <w:pStyle w:val="Default"/>
        <w:jc w:val="both"/>
        <w:rPr>
          <w:rFonts w:cs="Tahoma"/>
          <w:vanish/>
          <w:sz w:val="18"/>
          <w:szCs w:val="18"/>
          <w:lang w:val="sl-SI"/>
        </w:rPr>
      </w:pPr>
      <w:r w:rsidRPr="00FC4A70">
        <w:rPr>
          <w:rFonts w:eastAsia="Calibri"/>
          <w:kern w:val="3"/>
          <w:sz w:val="18"/>
          <w:szCs w:val="18"/>
          <w:bdr w:val="nil"/>
          <w:lang w:val="sl-SI" w:eastAsia="zh-CN"/>
        </w:rPr>
        <w:t>Poleg tega morajo te nacionalne programe, v okviru katerih se dodeljujejo magistrske diplome, vzajemno priznati partnerske visokošolske institucije konzorcija iz držav programa. Prijavitelji morajo upoštevati, da je proces priznavanja študijskih obdobij EMJMD v konzorciju lahko dolgotrajen in da mora biti dogovorjen pred prvim vpisom študentov programa EMJMD.</w:t>
      </w:r>
    </w:p>
    <w:p w14:paraId="7D39A94E" w14:textId="77777777" w:rsidR="00E03711" w:rsidRPr="001048FE" w:rsidRDefault="00E03711" w:rsidP="00BD7F62">
      <w:pPr>
        <w:pStyle w:val="GUIDE-NORMAL"/>
        <w:rPr>
          <w:lang w:val="sl-SI"/>
        </w:rPr>
      </w:pPr>
      <w:r w:rsidRPr="001048FE">
        <w:rPr>
          <w:lang w:val="sl-SI"/>
        </w:rPr>
        <w:t xml:space="preserve">Visokošolske institucije iz države Programa, ki </w:t>
      </w:r>
      <w:r>
        <w:rPr>
          <w:lang w:val="sl-SI"/>
        </w:rPr>
        <w:t>delujejo kot</w:t>
      </w:r>
      <w:r w:rsidRPr="001048FE">
        <w:rPr>
          <w:lang w:val="sl-SI"/>
        </w:rPr>
        <w:t xml:space="preserve"> partnerice konzorcija, morajo biti institucije, ki lahko dodelijo skupno ali večkratno diplomo (vsaj dvojno diplomo) za magistre programa EMJMD. Konzorciji morajo tudi zagotoviti, da vsi diplomanti ob koncu svojega obdobja študija prejmejo </w:t>
      </w:r>
      <w:r w:rsidRPr="00C12952">
        <w:rPr>
          <w:u w:val="single"/>
          <w:lang w:val="sl-SI"/>
        </w:rPr>
        <w:t>skupno prilogo k diplomi</w:t>
      </w:r>
      <w:r w:rsidRPr="001048FE">
        <w:rPr>
          <w:lang w:val="sl-SI"/>
        </w:rPr>
        <w:t>, v katero je zajeta celotna vsebina magistrskega programa.</w:t>
      </w:r>
    </w:p>
    <w:p w14:paraId="7D39A94F" w14:textId="77777777" w:rsidR="00E03711" w:rsidRPr="001048FE" w:rsidRDefault="00E03711" w:rsidP="00BD7F62">
      <w:pPr>
        <w:pStyle w:val="GUIDE-NORMAL"/>
        <w:rPr>
          <w:lang w:val="sl-SI"/>
        </w:rPr>
      </w:pPr>
      <w:r w:rsidRPr="001048FE">
        <w:rPr>
          <w:lang w:val="sl-SI"/>
        </w:rPr>
        <w:t>Razen če se prijavitelji izrecno ne odločijo drugače, bo prvo leto pripravljalno leto in leto promocije/osveščanja, v katerem se bo oglaševal program in izbral prvi vpis študentov. Programi EMJMD morajo zagotavljati skupne postopke za vpisne pogoje za študente</w:t>
      </w:r>
      <w:r w:rsidRPr="001048FE">
        <w:rPr>
          <w:rStyle w:val="FootnoteReference"/>
          <w:lang w:val="sl-SI"/>
        </w:rPr>
        <w:footnoteReference w:id="266"/>
      </w:r>
      <w:r w:rsidRPr="001048FE">
        <w:rPr>
          <w:lang w:val="sl-SI"/>
        </w:rPr>
        <w:t>, aktivnosti poučevanja/usposabljanja, mehanizme zagotavljanja kakovosti, ocenjevanje preverjanj znanja in uspeha študentov, administrativno in finančno upravljanje konzorcija, naravo/področje uporabe storitev, ki so zagotovljene za študente (npr. jezikovni tečaji, podpora za vizume), itd. Vsi študenti morajo imeti sklenjeno zavarovanje, ki ga izbere konzorcij. To zavarovanje mora upoštevati minimalne zahteve programa EMJMD, kot je opredeljeno v ustreznih smernicah, ki so na voljo na spletišču Izvajalske agencije.</w:t>
      </w:r>
    </w:p>
    <w:p w14:paraId="7D39A950" w14:textId="77777777" w:rsidR="00E03711" w:rsidRPr="001048FE" w:rsidRDefault="00E03711" w:rsidP="00BD7F62">
      <w:pPr>
        <w:pStyle w:val="GUIDE-NORMAL"/>
        <w:rPr>
          <w:lang w:val="sl-SI"/>
        </w:rPr>
      </w:pPr>
      <w:r w:rsidRPr="001048FE">
        <w:rPr>
          <w:lang w:val="sl-SI"/>
        </w:rPr>
        <w:t>Ti elementi so ključni za to, da se prikaže popolno vključevanje programa EMJMD in konzorcija, ki ga izvaja. Zato se pričakuje, da prijavitelj ob prijavi zagotovi osnutek konzorcijskega sporazuma, v katerega so ti in drugi pomembni elementi jasno in pregledno zajeti. Obstoj posodobljenega, celovitega in dobro pripravljenega konzorcijskega sporazuma je znak pripravljenosti partnerjev in zrelosti prijave s ciljem uspešno izvajati program EMJMD.</w:t>
      </w:r>
    </w:p>
    <w:p w14:paraId="7D39A951" w14:textId="77777777" w:rsidR="00E03711" w:rsidRPr="001048FE" w:rsidRDefault="00E03711" w:rsidP="00BD7F62">
      <w:pPr>
        <w:pStyle w:val="GUIDE-NORMAL"/>
        <w:rPr>
          <w:lang w:val="sl-SI"/>
        </w:rPr>
      </w:pPr>
      <w:r w:rsidRPr="001048FE">
        <w:rPr>
          <w:lang w:val="sl-SI"/>
        </w:rPr>
        <w:t>Konzorcij EMJMD bo moral zasnovati skupne aktivnosti za promocijo in osveščanje, da se zagotovi prepoznavnost skupnega študijskega programa in programa štipendiranja Erasmus+ po vsem svetu. Te aktivnosti za promocijo in osveščanje morajo pred prvim krogom prijav za štipendije zajeti razvoj celostnega in izčrpnega spletišča programa (v angleščini in glavnem jeziku poučevanja, če to ni angleščina), na katerem bodo zagotovljene vse potrebne informacije o programu EMJMD za študente in prihodnje delodajalce pred prvim krogom prijav za štipendije.</w:t>
      </w:r>
    </w:p>
    <w:p w14:paraId="7D39A952" w14:textId="77777777" w:rsidR="00E03711" w:rsidRPr="001048FE" w:rsidRDefault="00E03711" w:rsidP="006C1C76">
      <w:pPr>
        <w:pStyle w:val="GUIDE-NORMAL"/>
        <w:rPr>
          <w:lang w:val="sl-SI"/>
        </w:rPr>
      </w:pPr>
      <w:r w:rsidRPr="001048FE">
        <w:rPr>
          <w:lang w:val="sl-SI"/>
        </w:rPr>
        <w:t xml:space="preserve">Postopek prijave študenta in rok za oddajo morata biti zastavljena tako, da so študentom vse potrebne informacije zagotovljene dovolj vnaprej, tako da imajo dovolj časa za pripravo in oddajo prijave (tj. </w:t>
      </w:r>
      <w:r>
        <w:rPr>
          <w:lang w:val="sl-SI"/>
        </w:rPr>
        <w:t>približno</w:t>
      </w:r>
      <w:r w:rsidRPr="001048FE">
        <w:rPr>
          <w:lang w:val="sl-SI"/>
        </w:rPr>
        <w:t xml:space="preserve"> 4 mesece pred rokom prijave za štipendije). Prav tako se konzorcij poziva, da organizira jezikovne tečaje v jeziku države, v kateri imajo sedež institucije gostiteljice, in zagotovi tečaje v drugih splošno razširjenih jezikih. Prepoznavnost bo podprta na spletiščih Komisije in Izvajalske agencije, prek nacionalnih agencij in delegacij EU. Smernice o spletiščih programa EMJMD so na voljo na spletišču Izvajalske</w:t>
      </w:r>
      <w:r w:rsidRPr="001048FE">
        <w:rPr>
          <w:spacing w:val="12"/>
          <w:lang w:val="sl-SI"/>
        </w:rPr>
        <w:t xml:space="preserve"> </w:t>
      </w:r>
      <w:r w:rsidRPr="001048FE">
        <w:rPr>
          <w:lang w:val="sl-SI"/>
        </w:rPr>
        <w:t>agencije</w:t>
      </w:r>
    </w:p>
    <w:p w14:paraId="7D39A953" w14:textId="77777777" w:rsidR="00E03711" w:rsidRDefault="00E03711">
      <w:pPr>
        <w:pStyle w:val="Guide-AnnexHeading3"/>
        <w:numPr>
          <w:ilvl w:val="0"/>
          <w:numId w:val="0"/>
        </w:numPr>
        <w:rPr>
          <w:lang w:val="sl-SI"/>
        </w:rPr>
      </w:pPr>
      <w:bookmarkStart w:id="671" w:name="_Toc524425625"/>
      <w:bookmarkStart w:id="672" w:name="_Toc526422863"/>
      <w:bookmarkStart w:id="673" w:name="_Toc527400981"/>
      <w:bookmarkStart w:id="674" w:name="_Toc527401329"/>
      <w:r>
        <w:rPr>
          <w:lang w:val="sl-SI"/>
        </w:rPr>
        <w:t xml:space="preserve">2. </w:t>
      </w:r>
      <w:r w:rsidRPr="001048FE">
        <w:rPr>
          <w:lang w:val="sl-SI"/>
        </w:rPr>
        <w:t>Pogoji v zvezi s študenti magistrskega</w:t>
      </w:r>
      <w:r w:rsidRPr="001048FE">
        <w:rPr>
          <w:spacing w:val="32"/>
          <w:lang w:val="sl-SI"/>
        </w:rPr>
        <w:t xml:space="preserve"> </w:t>
      </w:r>
      <w:r w:rsidRPr="001048FE">
        <w:rPr>
          <w:lang w:val="sl-SI"/>
        </w:rPr>
        <w:t>študija</w:t>
      </w:r>
      <w:bookmarkEnd w:id="671"/>
      <w:bookmarkEnd w:id="672"/>
      <w:bookmarkEnd w:id="673"/>
      <w:bookmarkEnd w:id="674"/>
    </w:p>
    <w:p w14:paraId="7D39A954" w14:textId="77777777" w:rsidR="00E03711" w:rsidRPr="001048FE" w:rsidRDefault="00E03711" w:rsidP="006C1C76">
      <w:pPr>
        <w:pStyle w:val="GUIDE-NORMAL"/>
        <w:rPr>
          <w:lang w:val="sl-SI"/>
        </w:rPr>
      </w:pPr>
      <w:r w:rsidRPr="001048FE">
        <w:rPr>
          <w:lang w:val="sl-SI"/>
        </w:rPr>
        <w:t>Študenti magistrskega študija, ki se želijo vpisati v EMJMD, morajo najprej pridobiti prvo visokošolsko</w:t>
      </w:r>
      <w:r w:rsidRPr="001048FE">
        <w:rPr>
          <w:spacing w:val="-19"/>
          <w:lang w:val="sl-SI"/>
        </w:rPr>
        <w:t xml:space="preserve"> </w:t>
      </w:r>
      <w:r w:rsidRPr="001048FE">
        <w:rPr>
          <w:lang w:val="sl-SI"/>
        </w:rPr>
        <w:t>diplomo</w:t>
      </w:r>
      <w:r>
        <w:rPr>
          <w:rStyle w:val="FootnoteReference"/>
          <w:lang w:val="sl-SI"/>
        </w:rPr>
        <w:footnoteReference w:id="267"/>
      </w:r>
      <w:r w:rsidRPr="001048FE">
        <w:rPr>
          <w:lang w:val="sl-SI"/>
        </w:rPr>
        <w:t xml:space="preserve"> ali</w:t>
      </w:r>
      <w:r w:rsidRPr="001048FE">
        <w:rPr>
          <w:spacing w:val="-19"/>
          <w:lang w:val="sl-SI"/>
        </w:rPr>
        <w:t xml:space="preserve"> </w:t>
      </w:r>
      <w:r w:rsidRPr="001048FE">
        <w:rPr>
          <w:lang w:val="sl-SI"/>
        </w:rPr>
        <w:t>dokazati</w:t>
      </w:r>
      <w:r w:rsidRPr="001048FE">
        <w:rPr>
          <w:spacing w:val="-19"/>
          <w:lang w:val="sl-SI"/>
        </w:rPr>
        <w:t xml:space="preserve"> </w:t>
      </w:r>
      <w:r w:rsidRPr="001048FE">
        <w:rPr>
          <w:lang w:val="sl-SI"/>
        </w:rPr>
        <w:t>priznano</w:t>
      </w:r>
      <w:r w:rsidRPr="001048FE">
        <w:rPr>
          <w:spacing w:val="-19"/>
          <w:lang w:val="sl-SI"/>
        </w:rPr>
        <w:t xml:space="preserve"> </w:t>
      </w:r>
      <w:r w:rsidRPr="001048FE">
        <w:rPr>
          <w:lang w:val="sl-SI"/>
        </w:rPr>
        <w:t>enakovredno</w:t>
      </w:r>
      <w:r w:rsidRPr="001048FE">
        <w:rPr>
          <w:spacing w:val="-19"/>
          <w:lang w:val="sl-SI"/>
        </w:rPr>
        <w:t xml:space="preserve"> </w:t>
      </w:r>
      <w:r w:rsidRPr="001048FE">
        <w:rPr>
          <w:lang w:val="sl-SI"/>
        </w:rPr>
        <w:t>stopnjo</w:t>
      </w:r>
      <w:r w:rsidRPr="001048FE">
        <w:rPr>
          <w:spacing w:val="-19"/>
          <w:lang w:val="sl-SI"/>
        </w:rPr>
        <w:t xml:space="preserve"> </w:t>
      </w:r>
      <w:r w:rsidRPr="001048FE">
        <w:rPr>
          <w:lang w:val="sl-SI"/>
        </w:rPr>
        <w:t>izobrazbe</w:t>
      </w:r>
      <w:r w:rsidRPr="001048FE">
        <w:rPr>
          <w:spacing w:val="-19"/>
          <w:lang w:val="sl-SI"/>
        </w:rPr>
        <w:t xml:space="preserve"> </w:t>
      </w:r>
      <w:r w:rsidRPr="001048FE">
        <w:rPr>
          <w:lang w:val="sl-SI"/>
        </w:rPr>
        <w:t>v</w:t>
      </w:r>
      <w:r w:rsidRPr="001048FE">
        <w:rPr>
          <w:spacing w:val="-19"/>
          <w:lang w:val="sl-SI"/>
        </w:rPr>
        <w:t xml:space="preserve"> </w:t>
      </w:r>
      <w:r w:rsidRPr="001048FE">
        <w:rPr>
          <w:lang w:val="sl-SI"/>
        </w:rPr>
        <w:t>skladu</w:t>
      </w:r>
      <w:r w:rsidRPr="001048FE">
        <w:rPr>
          <w:spacing w:val="-19"/>
          <w:lang w:val="sl-SI"/>
        </w:rPr>
        <w:t xml:space="preserve"> </w:t>
      </w:r>
      <w:r w:rsidRPr="001048FE">
        <w:rPr>
          <w:lang w:val="sl-SI"/>
        </w:rPr>
        <w:t>z</w:t>
      </w:r>
      <w:r w:rsidRPr="001048FE">
        <w:rPr>
          <w:spacing w:val="-19"/>
          <w:lang w:val="sl-SI"/>
        </w:rPr>
        <w:t xml:space="preserve"> </w:t>
      </w:r>
      <w:r w:rsidRPr="001048FE">
        <w:rPr>
          <w:lang w:val="sl-SI"/>
        </w:rPr>
        <w:t>nacionalno zakonodajo</w:t>
      </w:r>
      <w:r w:rsidRPr="001048FE">
        <w:rPr>
          <w:spacing w:val="-26"/>
          <w:lang w:val="sl-SI"/>
        </w:rPr>
        <w:t xml:space="preserve"> </w:t>
      </w:r>
      <w:r w:rsidRPr="001048FE">
        <w:rPr>
          <w:lang w:val="sl-SI"/>
        </w:rPr>
        <w:t>in</w:t>
      </w:r>
      <w:r w:rsidRPr="001048FE">
        <w:rPr>
          <w:spacing w:val="-26"/>
          <w:lang w:val="sl-SI"/>
        </w:rPr>
        <w:t xml:space="preserve"> </w:t>
      </w:r>
      <w:r w:rsidRPr="001048FE">
        <w:rPr>
          <w:lang w:val="sl-SI"/>
        </w:rPr>
        <w:t>prakso.</w:t>
      </w:r>
      <w:r w:rsidRPr="001048FE">
        <w:rPr>
          <w:spacing w:val="-26"/>
          <w:lang w:val="sl-SI"/>
        </w:rPr>
        <w:t xml:space="preserve"> </w:t>
      </w:r>
      <w:r w:rsidRPr="001048FE">
        <w:rPr>
          <w:lang w:val="sl-SI"/>
        </w:rPr>
        <w:t>Vsak</w:t>
      </w:r>
      <w:r w:rsidRPr="001048FE">
        <w:rPr>
          <w:spacing w:val="-26"/>
          <w:lang w:val="sl-SI"/>
        </w:rPr>
        <w:t xml:space="preserve"> </w:t>
      </w:r>
      <w:r w:rsidRPr="001048FE">
        <w:rPr>
          <w:lang w:val="sl-SI"/>
        </w:rPr>
        <w:t>konzorcij</w:t>
      </w:r>
      <w:r w:rsidRPr="001048FE">
        <w:rPr>
          <w:spacing w:val="-26"/>
          <w:lang w:val="sl-SI"/>
        </w:rPr>
        <w:t xml:space="preserve"> </w:t>
      </w:r>
      <w:r w:rsidRPr="001048FE">
        <w:rPr>
          <w:lang w:val="sl-SI"/>
        </w:rPr>
        <w:t>EMJMD</w:t>
      </w:r>
      <w:r w:rsidRPr="001048FE">
        <w:rPr>
          <w:spacing w:val="-26"/>
          <w:lang w:val="sl-SI"/>
        </w:rPr>
        <w:t xml:space="preserve"> </w:t>
      </w:r>
      <w:r w:rsidRPr="001048FE">
        <w:rPr>
          <w:lang w:val="sl-SI"/>
        </w:rPr>
        <w:t>bo</w:t>
      </w:r>
      <w:r w:rsidRPr="001048FE">
        <w:rPr>
          <w:spacing w:val="-26"/>
          <w:lang w:val="sl-SI"/>
        </w:rPr>
        <w:t xml:space="preserve"> </w:t>
      </w:r>
      <w:r w:rsidRPr="001048FE">
        <w:rPr>
          <w:lang w:val="sl-SI"/>
        </w:rPr>
        <w:t>odgovoren</w:t>
      </w:r>
      <w:r w:rsidRPr="001048FE">
        <w:rPr>
          <w:spacing w:val="-26"/>
          <w:lang w:val="sl-SI"/>
        </w:rPr>
        <w:t xml:space="preserve"> </w:t>
      </w:r>
      <w:r w:rsidRPr="001048FE">
        <w:rPr>
          <w:lang w:val="sl-SI"/>
        </w:rPr>
        <w:t>za</w:t>
      </w:r>
      <w:r w:rsidRPr="001048FE">
        <w:rPr>
          <w:spacing w:val="-26"/>
          <w:lang w:val="sl-SI"/>
        </w:rPr>
        <w:t xml:space="preserve"> </w:t>
      </w:r>
      <w:r w:rsidRPr="001048FE">
        <w:rPr>
          <w:lang w:val="sl-SI"/>
        </w:rPr>
        <w:t>opredeljevanje</w:t>
      </w:r>
      <w:r w:rsidRPr="001048FE">
        <w:rPr>
          <w:spacing w:val="-26"/>
          <w:lang w:val="sl-SI"/>
        </w:rPr>
        <w:t xml:space="preserve"> </w:t>
      </w:r>
      <w:r w:rsidRPr="001048FE">
        <w:rPr>
          <w:lang w:val="sl-SI"/>
        </w:rPr>
        <w:t>svojega</w:t>
      </w:r>
      <w:r w:rsidRPr="001048FE">
        <w:rPr>
          <w:spacing w:val="-26"/>
          <w:lang w:val="sl-SI"/>
        </w:rPr>
        <w:t xml:space="preserve"> </w:t>
      </w:r>
      <w:r w:rsidRPr="001048FE">
        <w:rPr>
          <w:lang w:val="sl-SI"/>
        </w:rPr>
        <w:t>postopka</w:t>
      </w:r>
      <w:r w:rsidRPr="001048FE">
        <w:rPr>
          <w:spacing w:val="-26"/>
          <w:lang w:val="sl-SI"/>
        </w:rPr>
        <w:t xml:space="preserve"> </w:t>
      </w:r>
      <w:r w:rsidRPr="001048FE">
        <w:rPr>
          <w:lang w:val="sl-SI"/>
        </w:rPr>
        <w:t>za prijave študentov in meril za izbor v skladu z zahtevami in smernicami, ki so na voljo na spletišču Izvajalske agencije. V tem kontekstu se lahko študenti kandidati prijavijo za EMJMD štipendije za kateri koli program Erasmus Mundus Erasmus+ po lastni izbiri (katalog EMJMD je na voljo na naslednjih</w:t>
      </w:r>
      <w:r w:rsidRPr="001048FE">
        <w:rPr>
          <w:spacing w:val="-36"/>
          <w:lang w:val="sl-SI"/>
        </w:rPr>
        <w:t xml:space="preserve"> </w:t>
      </w:r>
      <w:r w:rsidRPr="001048FE">
        <w:rPr>
          <w:lang w:val="sl-SI"/>
        </w:rPr>
        <w:t>spletnih</w:t>
      </w:r>
      <w:r w:rsidRPr="001048FE">
        <w:rPr>
          <w:spacing w:val="-36"/>
          <w:lang w:val="sl-SI"/>
        </w:rPr>
        <w:t xml:space="preserve"> </w:t>
      </w:r>
      <w:r w:rsidRPr="001048FE">
        <w:rPr>
          <w:lang w:val="sl-SI"/>
        </w:rPr>
        <w:t>straneh:</w:t>
      </w:r>
      <w:r w:rsidRPr="001048FE">
        <w:rPr>
          <w:spacing w:val="-35"/>
          <w:lang w:val="sl-SI"/>
        </w:rPr>
        <w:t xml:space="preserve"> </w:t>
      </w:r>
      <w:hyperlink r:id="rId184">
        <w:r w:rsidRPr="001048FE">
          <w:rPr>
            <w:rStyle w:val="Hyperlink"/>
            <w:lang w:val="sl-SI"/>
          </w:rPr>
          <w:t>http://eacea.ec.europa.eu/erasmus-plus/library/emjmd-catalogue_en</w:t>
        </w:r>
        <w:r w:rsidRPr="001048FE">
          <w:rPr>
            <w:lang w:val="sl-SI"/>
          </w:rPr>
          <w:t>)</w:t>
        </w:r>
      </w:hyperlink>
      <w:r w:rsidRPr="001048FE">
        <w:rPr>
          <w:lang w:val="sl-SI"/>
        </w:rPr>
        <w:t>, vendar so omejeni na največ tri različne skupne programe na študijsko</w:t>
      </w:r>
      <w:r w:rsidRPr="001048FE">
        <w:rPr>
          <w:spacing w:val="-44"/>
          <w:lang w:val="sl-SI"/>
        </w:rPr>
        <w:t xml:space="preserve"> </w:t>
      </w:r>
      <w:r w:rsidRPr="001048FE">
        <w:rPr>
          <w:lang w:val="sl-SI"/>
        </w:rPr>
        <w:t>leto.</w:t>
      </w:r>
    </w:p>
    <w:p w14:paraId="7D39A955" w14:textId="77777777" w:rsidR="00E03711" w:rsidRPr="001048FE" w:rsidRDefault="00E03711" w:rsidP="006C1C76">
      <w:pPr>
        <w:pStyle w:val="GUIDE-NORMAL"/>
        <w:rPr>
          <w:lang w:val="sl-SI"/>
        </w:rPr>
      </w:pPr>
      <w:r w:rsidRPr="001048FE">
        <w:rPr>
          <w:lang w:val="sl-SI"/>
        </w:rPr>
        <w:t>Študentske štipendije za EMJMD Erasmus+ se lahko zagotovijo za študente iz katere koli regije sveta. Konzorciji morajo upoštevati geografsko uravnoteženost – tj. štipendija za EMJMD se lahko dodeli največ 3 kandidatom iz iste države (/z istim državljanstvom) ob istem vpisu. Študenti z dvojnim državljanstvom morajo navesti državljanstvo, v okviru katerega oddajo prijavo za štipendijo. Vendar se lahko uporabljajo posebna pravila v primeru dodatnega financiranja za posebne regije sveta. Konzorciji EMJMD se tudi spodbuja</w:t>
      </w:r>
      <w:r>
        <w:rPr>
          <w:lang w:val="sl-SI"/>
        </w:rPr>
        <w:t>jo</w:t>
      </w:r>
      <w:r w:rsidRPr="001048FE">
        <w:rPr>
          <w:lang w:val="sl-SI"/>
        </w:rPr>
        <w:t xml:space="preserve"> k vpisu študentov, ki sami financirajo študij</w:t>
      </w:r>
      <w:r>
        <w:rPr>
          <w:rStyle w:val="FootnoteReference"/>
          <w:lang w:val="sl-SI"/>
        </w:rPr>
        <w:footnoteReference w:id="268"/>
      </w:r>
      <w:r w:rsidRPr="001048FE">
        <w:rPr>
          <w:lang w:val="sl-SI"/>
        </w:rPr>
        <w:t xml:space="preserve"> in predstavljajo </w:t>
      </w:r>
      <w:r>
        <w:rPr>
          <w:lang w:val="sl-SI"/>
        </w:rPr>
        <w:t>vsaj</w:t>
      </w:r>
      <w:r w:rsidRPr="001048FE">
        <w:rPr>
          <w:lang w:val="sl-SI"/>
        </w:rPr>
        <w:t xml:space="preserve"> 25 % prejemnikov štipendije Erasmus+.</w:t>
      </w:r>
    </w:p>
    <w:p w14:paraId="7D39A956" w14:textId="77777777" w:rsidR="00E03711" w:rsidRPr="001048FE" w:rsidRDefault="00E03711" w:rsidP="006C1C76">
      <w:pPr>
        <w:pStyle w:val="GUIDE-NORMAL"/>
        <w:rPr>
          <w:lang w:val="sl-SI"/>
        </w:rPr>
      </w:pPr>
      <w:r w:rsidRPr="001048FE">
        <w:rPr>
          <w:lang w:val="sl-SI"/>
        </w:rPr>
        <w:t xml:space="preserve">Študentske štipendije za EMJMD se dodelijo za udeležbo študenta v </w:t>
      </w:r>
      <w:r w:rsidRPr="001048FE">
        <w:rPr>
          <w:u w:val="single"/>
          <w:lang w:val="sl-SI"/>
        </w:rPr>
        <w:t>celotnem programu EMJMD</w:t>
      </w:r>
      <w:r w:rsidRPr="001048FE">
        <w:rPr>
          <w:lang w:val="sl-SI"/>
        </w:rPr>
        <w:t>. Prejemniki štipendije ne morejo prenesti univerzitetnih kreditnih točk iz programov, ki so jih opravili pred vpisom v EMJMD, da bi zmanjšali število svojih obveznih aktivnosti v skupnem programu. Poleg tega prejemniki štipendije za EMJMD ne morejo biti hkrati upravičenci do nepovratnih sredstev za mobilnost študentov ali osebja v okviru drugih programov visokošolskega izobraževanja, financiranih iz proračuna EU.</w:t>
      </w:r>
    </w:p>
    <w:p w14:paraId="7D39A957" w14:textId="77777777" w:rsidR="00E03711" w:rsidRPr="001048FE" w:rsidRDefault="00E03711" w:rsidP="006C1C76">
      <w:pPr>
        <w:pStyle w:val="GUIDE-NORMAL"/>
        <w:rPr>
          <w:lang w:val="sl-SI"/>
        </w:rPr>
      </w:pPr>
      <w:r w:rsidRPr="001048FE">
        <w:rPr>
          <w:lang w:val="sl-SI"/>
        </w:rPr>
        <w:t>Da se zagotovi popolna preglednost pravil izvajanja programa EMJMD ter opredelijo pravice in obveznosti vpisanih študentov do konzorcijev EMJMD, bosta morali obe strani (tj. sprejeti študenti in konzorciji EMJMD) podpisati študentski sporazum (glej vzorec na spletišču Izvajalske agencije) pred vpisom študenta v EMJMD. V ta študentski sporazum bodo zajeti vsi akademski, finančni, administrativni, vedenjski itd. vidiki, povezani z izvajanjem programa EMJMD in upravljanjem štipendije za prejemnike štipendije. Vanj morajo biti zajeti tudi kazalniki uspešnosti za uspešno pridobitev najmanjšega števila kreditnih točk ECTS (in posledice v primeru neuspešne pridobitve), informacije o storitvah, ki so zagotovljene za študenta, podrobnosti v zvezi z zdravstvenim/socialnim varstvom, zahteve za mobilnost in pravila za magistrsko nalogo/preverjanje znanja/pridobitev diplome itd. Zaradi preglednosti mora biti predloga študentskega sporazuma objavljena na spletišču konzorcija za program EMJMD (vsi EMJMD morajo imeti posebno spletišče).</w:t>
      </w:r>
    </w:p>
    <w:p w14:paraId="7D39A958" w14:textId="77777777" w:rsidR="00E03711" w:rsidRDefault="00E03711">
      <w:pPr>
        <w:pStyle w:val="Guide-AnnexHeading3"/>
        <w:numPr>
          <w:ilvl w:val="0"/>
          <w:numId w:val="0"/>
        </w:numPr>
        <w:ind w:left="360" w:hanging="360"/>
        <w:rPr>
          <w:lang w:val="sl-SI"/>
        </w:rPr>
      </w:pPr>
      <w:bookmarkStart w:id="675" w:name="_Toc524425626"/>
      <w:bookmarkStart w:id="676" w:name="_Toc526422864"/>
      <w:bookmarkStart w:id="677" w:name="_Toc527400982"/>
      <w:bookmarkStart w:id="678" w:name="_Toc527401330"/>
      <w:r>
        <w:rPr>
          <w:lang w:val="sl-SI"/>
        </w:rPr>
        <w:t xml:space="preserve">3. </w:t>
      </w:r>
      <w:r w:rsidRPr="001048FE">
        <w:rPr>
          <w:lang w:val="sl-SI"/>
        </w:rPr>
        <w:t>Pogoji v zvezi s spremljanjem in zagotavljanjem kakovosti</w:t>
      </w:r>
      <w:bookmarkEnd w:id="675"/>
      <w:bookmarkEnd w:id="676"/>
      <w:bookmarkEnd w:id="677"/>
      <w:bookmarkEnd w:id="678"/>
    </w:p>
    <w:p w14:paraId="7D39A959" w14:textId="77777777" w:rsidR="00E03711" w:rsidRPr="001048FE" w:rsidRDefault="00E03711" w:rsidP="006C1C76">
      <w:pPr>
        <w:pStyle w:val="GUIDE-NORMAL"/>
        <w:rPr>
          <w:lang w:val="sl-SI"/>
        </w:rPr>
      </w:pPr>
      <w:r w:rsidRPr="001048FE">
        <w:rPr>
          <w:lang w:val="sl-SI"/>
        </w:rPr>
        <w:t>Za učinkovito spremljanje izvajanja programov EMJMD bodo konzorciji, ki so upravičenci do nepovratnih sredstev, morali uporabljati številne mehanizme spremljanja in zagotavljanja kakovosti:</w:t>
      </w:r>
    </w:p>
    <w:p w14:paraId="7D39A95A" w14:textId="77777777" w:rsidR="00E03711" w:rsidRPr="001048FE" w:rsidRDefault="00E03711" w:rsidP="005115F2">
      <w:pPr>
        <w:pStyle w:val="Guide-NormalBulletpoints"/>
        <w:numPr>
          <w:ilvl w:val="0"/>
          <w:numId w:val="489"/>
        </w:numPr>
        <w:rPr>
          <w:lang w:val="sl-SI"/>
        </w:rPr>
      </w:pPr>
      <w:r w:rsidRPr="001048FE">
        <w:rPr>
          <w:lang w:val="sl-SI"/>
        </w:rPr>
        <w:t>opredelitev</w:t>
      </w:r>
      <w:r w:rsidRPr="001048FE">
        <w:rPr>
          <w:spacing w:val="-17"/>
          <w:lang w:val="sl-SI"/>
        </w:rPr>
        <w:t xml:space="preserve"> </w:t>
      </w:r>
      <w:r w:rsidRPr="001048FE">
        <w:rPr>
          <w:lang w:val="sl-SI"/>
        </w:rPr>
        <w:t>skupnega</w:t>
      </w:r>
      <w:r w:rsidRPr="001048FE">
        <w:rPr>
          <w:spacing w:val="-18"/>
          <w:lang w:val="sl-SI"/>
        </w:rPr>
        <w:t xml:space="preserve"> </w:t>
      </w:r>
      <w:r w:rsidRPr="001048FE">
        <w:rPr>
          <w:lang w:val="sl-SI"/>
        </w:rPr>
        <w:t>načrta</w:t>
      </w:r>
      <w:r w:rsidRPr="001048FE">
        <w:rPr>
          <w:spacing w:val="-18"/>
          <w:lang w:val="sl-SI"/>
        </w:rPr>
        <w:t xml:space="preserve"> </w:t>
      </w:r>
      <w:r w:rsidRPr="001048FE">
        <w:rPr>
          <w:lang w:val="sl-SI"/>
        </w:rPr>
        <w:t>za</w:t>
      </w:r>
      <w:r w:rsidRPr="001048FE">
        <w:rPr>
          <w:spacing w:val="-18"/>
          <w:lang w:val="sl-SI"/>
        </w:rPr>
        <w:t xml:space="preserve"> </w:t>
      </w:r>
      <w:r w:rsidRPr="001048FE">
        <w:rPr>
          <w:lang w:val="sl-SI"/>
        </w:rPr>
        <w:t>zagotavljanje</w:t>
      </w:r>
      <w:r w:rsidRPr="001048FE">
        <w:rPr>
          <w:spacing w:val="-18"/>
          <w:lang w:val="sl-SI"/>
        </w:rPr>
        <w:t xml:space="preserve"> </w:t>
      </w:r>
      <w:r w:rsidRPr="001048FE">
        <w:rPr>
          <w:lang w:val="sl-SI"/>
        </w:rPr>
        <w:t>kakovosti</w:t>
      </w:r>
      <w:r w:rsidRPr="001048FE">
        <w:rPr>
          <w:spacing w:val="-18"/>
          <w:lang w:val="sl-SI"/>
        </w:rPr>
        <w:t xml:space="preserve"> </w:t>
      </w:r>
      <w:r w:rsidRPr="001048FE">
        <w:rPr>
          <w:lang w:val="sl-SI"/>
        </w:rPr>
        <w:t>s</w:t>
      </w:r>
      <w:r w:rsidRPr="001048FE">
        <w:rPr>
          <w:spacing w:val="-18"/>
          <w:lang w:val="sl-SI"/>
        </w:rPr>
        <w:t xml:space="preserve"> </w:t>
      </w:r>
      <w:r w:rsidRPr="001048FE">
        <w:rPr>
          <w:lang w:val="sl-SI"/>
        </w:rPr>
        <w:t>skupnimi</w:t>
      </w:r>
      <w:r w:rsidRPr="001048FE">
        <w:rPr>
          <w:spacing w:val="-18"/>
          <w:lang w:val="sl-SI"/>
        </w:rPr>
        <w:t xml:space="preserve"> </w:t>
      </w:r>
      <w:r w:rsidRPr="001048FE">
        <w:rPr>
          <w:lang w:val="sl-SI"/>
        </w:rPr>
        <w:t>metodami</w:t>
      </w:r>
      <w:r w:rsidRPr="001048FE">
        <w:rPr>
          <w:spacing w:val="-18"/>
          <w:lang w:val="sl-SI"/>
        </w:rPr>
        <w:t xml:space="preserve"> </w:t>
      </w:r>
      <w:r w:rsidRPr="001048FE">
        <w:rPr>
          <w:lang w:val="sl-SI"/>
        </w:rPr>
        <w:t>ocenjevanja</w:t>
      </w:r>
      <w:r w:rsidRPr="001048FE">
        <w:rPr>
          <w:spacing w:val="-17"/>
          <w:lang w:val="sl-SI"/>
        </w:rPr>
        <w:t xml:space="preserve"> </w:t>
      </w:r>
      <w:r w:rsidRPr="001048FE">
        <w:rPr>
          <w:lang w:val="sl-SI"/>
        </w:rPr>
        <w:t>in merili, dogovor o časovnem razporedu/mejnikih izvajanja in aktivnostih nadaljnjega spremljanja. Postopki za zagotavljanje kakovosti morajo biti vključeni v zasnovo projekta EMJMD ob prijavi, zlasti notranja in zunanja ocenjevanja; povratne informacije o kazalnikih (npr. zaposljivost diplomantov, trajnost) itd. Konzorcij bo moral poročati o ugotovitvah in sklepih zagotavljanja kakovosti v svojih rednih poročilih Izvajalski</w:t>
      </w:r>
      <w:r w:rsidRPr="001048FE">
        <w:rPr>
          <w:spacing w:val="-25"/>
          <w:lang w:val="sl-SI"/>
        </w:rPr>
        <w:t xml:space="preserve"> </w:t>
      </w:r>
      <w:r w:rsidRPr="001048FE">
        <w:rPr>
          <w:lang w:val="sl-SI"/>
        </w:rPr>
        <w:t>agenciji;</w:t>
      </w:r>
    </w:p>
    <w:p w14:paraId="7D39A95B" w14:textId="77777777" w:rsidR="00E03711" w:rsidRPr="001048FE" w:rsidRDefault="00E03711" w:rsidP="005115F2">
      <w:pPr>
        <w:pStyle w:val="Guide-NormalBulletpoints"/>
        <w:numPr>
          <w:ilvl w:val="0"/>
          <w:numId w:val="489"/>
        </w:numPr>
        <w:rPr>
          <w:lang w:val="sl-SI"/>
        </w:rPr>
      </w:pPr>
      <w:r w:rsidRPr="001048FE">
        <w:rPr>
          <w:lang w:val="sl-SI"/>
        </w:rPr>
        <w:t xml:space="preserve">predložitev rednih vmesnih poročil/poročil o napredku o izvajanju projekta; </w:t>
      </w:r>
    </w:p>
    <w:p w14:paraId="7D39A95C" w14:textId="77777777" w:rsidR="00E03711" w:rsidRPr="001048FE" w:rsidRDefault="00E03711" w:rsidP="005115F2">
      <w:pPr>
        <w:pStyle w:val="Guide-NormalBulletpoints"/>
        <w:numPr>
          <w:ilvl w:val="0"/>
          <w:numId w:val="489"/>
        </w:numPr>
        <w:rPr>
          <w:lang w:val="sl-SI"/>
        </w:rPr>
      </w:pPr>
      <w:r w:rsidRPr="001048FE">
        <w:rPr>
          <w:lang w:val="sl-SI"/>
        </w:rPr>
        <w:t>kvantitativno in kvalitativno spremljanje mobilnosti in uspeha študenta (v zvezi z izvedenimi aktivnostmi,</w:t>
      </w:r>
      <w:r w:rsidRPr="001048FE">
        <w:rPr>
          <w:spacing w:val="-7"/>
          <w:lang w:val="sl-SI"/>
        </w:rPr>
        <w:t xml:space="preserve"> </w:t>
      </w:r>
      <w:r w:rsidRPr="001048FE">
        <w:rPr>
          <w:lang w:val="sl-SI"/>
        </w:rPr>
        <w:t>zbranimi</w:t>
      </w:r>
      <w:r w:rsidRPr="001048FE">
        <w:rPr>
          <w:spacing w:val="-7"/>
          <w:lang w:val="sl-SI"/>
        </w:rPr>
        <w:t xml:space="preserve"> </w:t>
      </w:r>
      <w:r w:rsidRPr="001048FE">
        <w:rPr>
          <w:lang w:val="sl-SI"/>
        </w:rPr>
        <w:t>kreditnimi</w:t>
      </w:r>
      <w:r w:rsidRPr="001048FE">
        <w:rPr>
          <w:spacing w:val="-7"/>
          <w:lang w:val="sl-SI"/>
        </w:rPr>
        <w:t xml:space="preserve"> </w:t>
      </w:r>
      <w:r w:rsidRPr="001048FE">
        <w:rPr>
          <w:lang w:val="sl-SI"/>
        </w:rPr>
        <w:t>točkami</w:t>
      </w:r>
      <w:r w:rsidRPr="001048FE">
        <w:rPr>
          <w:spacing w:val="-7"/>
          <w:lang w:val="sl-SI"/>
        </w:rPr>
        <w:t xml:space="preserve"> </w:t>
      </w:r>
      <w:r w:rsidRPr="001048FE">
        <w:rPr>
          <w:lang w:val="sl-SI"/>
        </w:rPr>
        <w:t>ECTS</w:t>
      </w:r>
      <w:r w:rsidRPr="001048FE">
        <w:rPr>
          <w:spacing w:val="-7"/>
          <w:lang w:val="sl-SI"/>
        </w:rPr>
        <w:t xml:space="preserve"> </w:t>
      </w:r>
      <w:r w:rsidRPr="001048FE">
        <w:rPr>
          <w:lang w:val="sl-SI"/>
        </w:rPr>
        <w:t>in</w:t>
      </w:r>
      <w:r w:rsidRPr="001048FE">
        <w:rPr>
          <w:spacing w:val="-7"/>
          <w:lang w:val="sl-SI"/>
        </w:rPr>
        <w:t xml:space="preserve"> </w:t>
      </w:r>
      <w:r w:rsidRPr="001048FE">
        <w:rPr>
          <w:lang w:val="sl-SI"/>
        </w:rPr>
        <w:t>dodeljeno</w:t>
      </w:r>
      <w:r w:rsidRPr="001048FE">
        <w:rPr>
          <w:spacing w:val="-7"/>
          <w:lang w:val="sl-SI"/>
        </w:rPr>
        <w:t xml:space="preserve"> </w:t>
      </w:r>
      <w:r w:rsidRPr="001048FE">
        <w:rPr>
          <w:lang w:val="sl-SI"/>
        </w:rPr>
        <w:t>diplomo)</w:t>
      </w:r>
      <w:r w:rsidRPr="001048FE">
        <w:rPr>
          <w:spacing w:val="-7"/>
          <w:lang w:val="sl-SI"/>
        </w:rPr>
        <w:t xml:space="preserve"> </w:t>
      </w:r>
      <w:r w:rsidRPr="001048FE">
        <w:rPr>
          <w:lang w:val="sl-SI"/>
        </w:rPr>
        <w:t>s</w:t>
      </w:r>
      <w:r w:rsidRPr="001048FE">
        <w:rPr>
          <w:spacing w:val="-7"/>
          <w:lang w:val="sl-SI"/>
        </w:rPr>
        <w:t xml:space="preserve"> </w:t>
      </w:r>
      <w:r w:rsidRPr="001048FE">
        <w:rPr>
          <w:lang w:val="sl-SI"/>
        </w:rPr>
        <w:t>spletnim</w:t>
      </w:r>
      <w:r w:rsidRPr="001048FE">
        <w:rPr>
          <w:spacing w:val="-7"/>
          <w:lang w:val="sl-SI"/>
        </w:rPr>
        <w:t xml:space="preserve"> </w:t>
      </w:r>
      <w:r w:rsidRPr="001048FE">
        <w:rPr>
          <w:lang w:val="sl-SI"/>
        </w:rPr>
        <w:t>orodjem</w:t>
      </w:r>
      <w:r w:rsidRPr="001048FE">
        <w:rPr>
          <w:spacing w:val="-6"/>
          <w:lang w:val="sl-SI"/>
        </w:rPr>
        <w:t xml:space="preserve"> </w:t>
      </w:r>
      <w:r w:rsidRPr="001048FE">
        <w:rPr>
          <w:lang w:val="sl-SI"/>
        </w:rPr>
        <w:t>za mobilnost (EMT) Izvajalske</w:t>
      </w:r>
      <w:r w:rsidRPr="001048FE">
        <w:rPr>
          <w:spacing w:val="-9"/>
          <w:lang w:val="sl-SI"/>
        </w:rPr>
        <w:t xml:space="preserve"> </w:t>
      </w:r>
      <w:r w:rsidRPr="001048FE">
        <w:rPr>
          <w:lang w:val="sl-SI"/>
        </w:rPr>
        <w:t>agencije;</w:t>
      </w:r>
    </w:p>
    <w:p w14:paraId="7D39A95D" w14:textId="77777777" w:rsidR="00E03711" w:rsidRPr="001048FE" w:rsidRDefault="00E03711" w:rsidP="005115F2">
      <w:pPr>
        <w:pStyle w:val="Guide-NormalBulletpoints"/>
        <w:numPr>
          <w:ilvl w:val="0"/>
          <w:numId w:val="489"/>
        </w:numPr>
        <w:rPr>
          <w:lang w:val="sl-SI"/>
        </w:rPr>
      </w:pPr>
      <w:r w:rsidRPr="001048FE">
        <w:rPr>
          <w:lang w:val="sl-SI"/>
        </w:rPr>
        <w:t>sodelovanje</w:t>
      </w:r>
      <w:r w:rsidRPr="001048FE">
        <w:rPr>
          <w:spacing w:val="-13"/>
          <w:lang w:val="sl-SI"/>
        </w:rPr>
        <w:t xml:space="preserve"> </w:t>
      </w:r>
      <w:r w:rsidRPr="001048FE">
        <w:rPr>
          <w:lang w:val="sl-SI"/>
        </w:rPr>
        <w:t>(kadar</w:t>
      </w:r>
      <w:r w:rsidRPr="001048FE">
        <w:rPr>
          <w:spacing w:val="-13"/>
          <w:lang w:val="sl-SI"/>
        </w:rPr>
        <w:t xml:space="preserve"> </w:t>
      </w:r>
      <w:r w:rsidRPr="001048FE">
        <w:rPr>
          <w:lang w:val="sl-SI"/>
        </w:rPr>
        <w:t>je</w:t>
      </w:r>
      <w:r w:rsidRPr="001048FE">
        <w:rPr>
          <w:spacing w:val="-13"/>
          <w:lang w:val="sl-SI"/>
        </w:rPr>
        <w:t xml:space="preserve"> </w:t>
      </w:r>
      <w:r w:rsidRPr="001048FE">
        <w:rPr>
          <w:lang w:val="sl-SI"/>
        </w:rPr>
        <w:t>to</w:t>
      </w:r>
      <w:r w:rsidRPr="001048FE">
        <w:rPr>
          <w:spacing w:val="-13"/>
          <w:lang w:val="sl-SI"/>
        </w:rPr>
        <w:t xml:space="preserve"> </w:t>
      </w:r>
      <w:r w:rsidRPr="001048FE">
        <w:rPr>
          <w:lang w:val="sl-SI"/>
        </w:rPr>
        <w:t>ustrezno</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pričakovano)</w:t>
      </w:r>
      <w:r w:rsidRPr="001048FE">
        <w:rPr>
          <w:spacing w:val="-13"/>
          <w:lang w:val="sl-SI"/>
        </w:rPr>
        <w:t xml:space="preserve"> </w:t>
      </w:r>
      <w:r w:rsidRPr="001048FE">
        <w:rPr>
          <w:lang w:val="sl-SI"/>
        </w:rPr>
        <w:t>z</w:t>
      </w:r>
      <w:r w:rsidRPr="001048FE">
        <w:rPr>
          <w:spacing w:val="-13"/>
          <w:lang w:val="sl-SI"/>
        </w:rPr>
        <w:t xml:space="preserve"> </w:t>
      </w:r>
      <w:r w:rsidRPr="001048FE">
        <w:rPr>
          <w:lang w:val="sl-SI"/>
        </w:rPr>
        <w:t>Združenjem</w:t>
      </w:r>
      <w:r w:rsidRPr="001048FE">
        <w:rPr>
          <w:spacing w:val="-13"/>
          <w:lang w:val="sl-SI"/>
        </w:rPr>
        <w:t xml:space="preserve"> </w:t>
      </w:r>
      <w:r w:rsidRPr="001048FE">
        <w:rPr>
          <w:lang w:val="sl-SI"/>
        </w:rPr>
        <w:t>študentov</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diplomantov programa Erasmus Mundus (spletišče EMA:</w:t>
      </w:r>
      <w:r w:rsidRPr="001048FE">
        <w:rPr>
          <w:spacing w:val="-25"/>
          <w:lang w:val="sl-SI"/>
        </w:rPr>
        <w:t xml:space="preserve"> </w:t>
      </w:r>
      <w:hyperlink r:id="rId185">
        <w:r w:rsidRPr="001048FE">
          <w:rPr>
            <w:rStyle w:val="Hyperlink"/>
            <w:lang w:val="sl-SI"/>
          </w:rPr>
          <w:t>www.em-a.eu</w:t>
        </w:r>
      </w:hyperlink>
      <w:r w:rsidRPr="001048FE">
        <w:rPr>
          <w:lang w:val="sl-SI"/>
        </w:rPr>
        <w:t>);</w:t>
      </w:r>
    </w:p>
    <w:p w14:paraId="7D39A95E" w14:textId="77777777" w:rsidR="00E03711" w:rsidRPr="001048FE" w:rsidRDefault="00E03711" w:rsidP="005115F2">
      <w:pPr>
        <w:pStyle w:val="Guide-NormalBulletpoints"/>
        <w:numPr>
          <w:ilvl w:val="0"/>
          <w:numId w:val="489"/>
        </w:numPr>
        <w:rPr>
          <w:lang w:val="sl-SI"/>
        </w:rPr>
      </w:pPr>
      <w:r w:rsidRPr="001048FE">
        <w:rPr>
          <w:lang w:val="sl-SI"/>
        </w:rPr>
        <w:t>skupna srečanja sodelujočih visokošolskih institucij, predstavnikov študentov, uradnikov programa, osebje zadevnih nacionalnih agencij in po potrebi zunanjih strokovnjakov; konzorcij EMJMD mora organizirati vsaj dve taki srečanji v obdobju iz sporazuma o nepovratnih sredstvih;</w:t>
      </w:r>
    </w:p>
    <w:p w14:paraId="7D39A95F" w14:textId="77777777" w:rsidR="00E03711" w:rsidRPr="001048FE" w:rsidRDefault="00E03711" w:rsidP="005115F2">
      <w:pPr>
        <w:pStyle w:val="Guide-NormalBulletpoints"/>
        <w:numPr>
          <w:ilvl w:val="0"/>
          <w:numId w:val="489"/>
        </w:numPr>
        <w:rPr>
          <w:lang w:val="sl-SI"/>
        </w:rPr>
      </w:pPr>
      <w:r w:rsidRPr="001048FE">
        <w:rPr>
          <w:lang w:val="sl-SI"/>
        </w:rPr>
        <w:t>povratne informacije vpisanih študentov;</w:t>
      </w:r>
    </w:p>
    <w:p w14:paraId="7D39A960" w14:textId="77777777" w:rsidR="00E03711" w:rsidRPr="001048FE" w:rsidRDefault="00E03711" w:rsidP="005115F2">
      <w:pPr>
        <w:pStyle w:val="Guide-NormalBulletpoints"/>
        <w:numPr>
          <w:ilvl w:val="0"/>
          <w:numId w:val="489"/>
        </w:numPr>
        <w:rPr>
          <w:lang w:val="sl-SI"/>
        </w:rPr>
      </w:pPr>
      <w:r w:rsidRPr="001048FE">
        <w:rPr>
          <w:lang w:val="sl-SI"/>
        </w:rPr>
        <w:t>udeležba v tematskih strokovnih srečanjih, ki jih organizirajo Komisija, nacionalne agencije ali Izvajalska agencija za podporo izmenjavi dobrih praks in vzajemnemu učenju.</w:t>
      </w:r>
    </w:p>
    <w:p w14:paraId="7D39A961" w14:textId="77777777" w:rsidR="00E03711" w:rsidRDefault="00E03711">
      <w:pPr>
        <w:pStyle w:val="Guide-AnnexHeading3"/>
        <w:numPr>
          <w:ilvl w:val="0"/>
          <w:numId w:val="0"/>
        </w:numPr>
        <w:rPr>
          <w:lang w:val="sl-SI"/>
        </w:rPr>
      </w:pPr>
      <w:bookmarkStart w:id="679" w:name="_Toc524425627"/>
      <w:bookmarkStart w:id="680" w:name="_Toc526422865"/>
      <w:bookmarkStart w:id="681" w:name="_Toc527400983"/>
      <w:bookmarkStart w:id="682" w:name="_Toc527401331"/>
      <w:r>
        <w:rPr>
          <w:lang w:val="sl-SI"/>
        </w:rPr>
        <w:t xml:space="preserve">4. </w:t>
      </w:r>
      <w:r w:rsidRPr="001048FE">
        <w:rPr>
          <w:lang w:val="sl-SI"/>
        </w:rPr>
        <w:t>Postopek izbora konzorcijev</w:t>
      </w:r>
      <w:r w:rsidRPr="001048FE">
        <w:rPr>
          <w:spacing w:val="18"/>
          <w:lang w:val="sl-SI"/>
        </w:rPr>
        <w:t xml:space="preserve"> </w:t>
      </w:r>
      <w:r w:rsidRPr="001048FE">
        <w:rPr>
          <w:lang w:val="sl-SI"/>
        </w:rPr>
        <w:t>EMJMD</w:t>
      </w:r>
      <w:bookmarkEnd w:id="679"/>
      <w:bookmarkEnd w:id="680"/>
      <w:bookmarkEnd w:id="681"/>
      <w:bookmarkEnd w:id="682"/>
    </w:p>
    <w:p w14:paraId="7D39A962" w14:textId="77777777" w:rsidR="00E03711" w:rsidRPr="001048FE" w:rsidRDefault="00E03711" w:rsidP="00543A91">
      <w:pPr>
        <w:pStyle w:val="GUIDE-NORMAL"/>
        <w:rPr>
          <w:lang w:val="sl-SI"/>
        </w:rPr>
      </w:pPr>
      <w:r w:rsidRPr="001048FE">
        <w:rPr>
          <w:lang w:val="sl-SI"/>
        </w:rPr>
        <w:t>Glavni cilj programa EMJMD je pritegniti, izbrati in financirati odličnost; to je treba razumeti v smislu akademske kakovosti glavnih akterjev (sodelujočih organizacij in študentov magistrskega programa EMJMD) in zmogljivosti konzorcijev, od katerih se pričakuje izvajanje celostnih mednarodnih študijskih programov s študenti iz držav Programa in partnerskih držav. Predloge bodo v enostopenjskem postopku ocenjevanja v celoti ocenil</w:t>
      </w:r>
      <w:r>
        <w:rPr>
          <w:lang w:val="sl-SI"/>
        </w:rPr>
        <w:t xml:space="preserve"> Odbor za ocenjevanje, ki ga bodo sestavljali uslužbenci EU in mu pomagali zunanji </w:t>
      </w:r>
      <w:r w:rsidRPr="001048FE">
        <w:rPr>
          <w:lang w:val="sl-SI"/>
        </w:rPr>
        <w:t xml:space="preserve"> akademski</w:t>
      </w:r>
      <w:r w:rsidRPr="001048FE">
        <w:rPr>
          <w:spacing w:val="48"/>
          <w:lang w:val="sl-SI"/>
        </w:rPr>
        <w:t xml:space="preserve"> </w:t>
      </w:r>
      <w:r w:rsidRPr="001048FE">
        <w:rPr>
          <w:lang w:val="sl-SI"/>
        </w:rPr>
        <w:t>strokovnjaki.</w:t>
      </w:r>
    </w:p>
    <w:p w14:paraId="7D39A963" w14:textId="77777777" w:rsidR="00E03711" w:rsidRPr="001048FE" w:rsidRDefault="00E03711" w:rsidP="00543A91">
      <w:pPr>
        <w:pStyle w:val="GUIDE-NORMAL"/>
        <w:rPr>
          <w:lang w:val="sl-SI"/>
        </w:rPr>
      </w:pPr>
      <w:r w:rsidRPr="001048FE">
        <w:rPr>
          <w:lang w:val="sl-SI"/>
        </w:rPr>
        <w:t>Na podlagi ocene štirih meril za dodelitev, tj. ustreznost projekta, kakovost zasnove in izvedbe projekta, kakovost projektne skupine in dogovorov o sodelovanju ter učinek in razširjanje, bo oblikovana</w:t>
      </w:r>
      <w:r w:rsidRPr="001048FE">
        <w:rPr>
          <w:spacing w:val="-12"/>
          <w:lang w:val="sl-SI"/>
        </w:rPr>
        <w:t xml:space="preserve"> </w:t>
      </w:r>
      <w:r w:rsidRPr="001048FE">
        <w:rPr>
          <w:lang w:val="sl-SI"/>
        </w:rPr>
        <w:t>lestvica</w:t>
      </w:r>
      <w:r w:rsidRPr="001048FE">
        <w:rPr>
          <w:spacing w:val="-13"/>
          <w:lang w:val="sl-SI"/>
        </w:rPr>
        <w:t xml:space="preserve"> </w:t>
      </w:r>
      <w:r w:rsidRPr="001048FE">
        <w:rPr>
          <w:lang w:val="sl-SI"/>
        </w:rPr>
        <w:t>vseh</w:t>
      </w:r>
      <w:r w:rsidRPr="001048FE">
        <w:rPr>
          <w:spacing w:val="-13"/>
          <w:lang w:val="sl-SI"/>
        </w:rPr>
        <w:t xml:space="preserve"> </w:t>
      </w:r>
      <w:r w:rsidRPr="001048FE">
        <w:rPr>
          <w:lang w:val="sl-SI"/>
        </w:rPr>
        <w:t>predlogov.</w:t>
      </w:r>
      <w:r w:rsidRPr="001048FE">
        <w:rPr>
          <w:spacing w:val="-13"/>
          <w:lang w:val="sl-SI"/>
        </w:rPr>
        <w:t xml:space="preserve"> </w:t>
      </w:r>
      <w:r w:rsidRPr="001048FE">
        <w:rPr>
          <w:lang w:val="sl-SI"/>
        </w:rPr>
        <w:t>Pri</w:t>
      </w:r>
      <w:r w:rsidRPr="001048FE">
        <w:rPr>
          <w:spacing w:val="-13"/>
          <w:lang w:val="sl-SI"/>
        </w:rPr>
        <w:t xml:space="preserve"> </w:t>
      </w:r>
      <w:r w:rsidRPr="001048FE">
        <w:rPr>
          <w:lang w:val="sl-SI"/>
        </w:rPr>
        <w:t>dodeljevanju</w:t>
      </w:r>
      <w:r w:rsidRPr="001048FE">
        <w:rPr>
          <w:spacing w:val="-13"/>
          <w:lang w:val="sl-SI"/>
        </w:rPr>
        <w:t xml:space="preserve"> </w:t>
      </w:r>
      <w:r w:rsidRPr="001048FE">
        <w:rPr>
          <w:lang w:val="sl-SI"/>
        </w:rPr>
        <w:t>sredstev</w:t>
      </w:r>
      <w:r w:rsidRPr="001048FE">
        <w:rPr>
          <w:spacing w:val="-13"/>
          <w:lang w:val="sl-SI"/>
        </w:rPr>
        <w:t xml:space="preserve"> </w:t>
      </w:r>
      <w:r w:rsidRPr="001048FE">
        <w:rPr>
          <w:lang w:val="sl-SI"/>
        </w:rPr>
        <w:t>bodo</w:t>
      </w:r>
      <w:r w:rsidRPr="001048FE">
        <w:rPr>
          <w:spacing w:val="-13"/>
          <w:lang w:val="sl-SI"/>
        </w:rPr>
        <w:t xml:space="preserve"> </w:t>
      </w:r>
      <w:r w:rsidRPr="001048FE">
        <w:rPr>
          <w:lang w:val="sl-SI"/>
        </w:rPr>
        <w:t>upoštevani</w:t>
      </w:r>
      <w:r w:rsidRPr="001048FE">
        <w:rPr>
          <w:spacing w:val="-13"/>
          <w:lang w:val="sl-SI"/>
        </w:rPr>
        <w:t xml:space="preserve"> </w:t>
      </w:r>
      <w:r w:rsidRPr="001048FE">
        <w:rPr>
          <w:lang w:val="sl-SI"/>
        </w:rPr>
        <w:t>samo</w:t>
      </w:r>
      <w:r w:rsidRPr="001048FE">
        <w:rPr>
          <w:spacing w:val="-13"/>
          <w:lang w:val="sl-SI"/>
        </w:rPr>
        <w:t xml:space="preserve"> </w:t>
      </w:r>
      <w:r w:rsidRPr="001048FE">
        <w:rPr>
          <w:lang w:val="sl-SI"/>
        </w:rPr>
        <w:t>tisti</w:t>
      </w:r>
      <w:r w:rsidRPr="001048FE">
        <w:rPr>
          <w:spacing w:val="-13"/>
          <w:lang w:val="sl-SI"/>
        </w:rPr>
        <w:t xml:space="preserve"> </w:t>
      </w:r>
      <w:r w:rsidRPr="001048FE">
        <w:rPr>
          <w:lang w:val="sl-SI"/>
        </w:rPr>
        <w:t>predlogi,</w:t>
      </w:r>
      <w:r w:rsidRPr="001048FE">
        <w:rPr>
          <w:spacing w:val="-13"/>
          <w:lang w:val="sl-SI"/>
        </w:rPr>
        <w:t xml:space="preserve"> </w:t>
      </w:r>
      <w:r w:rsidRPr="001048FE">
        <w:rPr>
          <w:lang w:val="sl-SI"/>
        </w:rPr>
        <w:t>ki so dosegli minimalni prag merila „Ustreznost projekta“, tj. najmanj 30 točk od 40, ter skupaj dosegli najmanj 70 točk od</w:t>
      </w:r>
      <w:r w:rsidRPr="001048FE">
        <w:rPr>
          <w:spacing w:val="-9"/>
          <w:lang w:val="sl-SI"/>
        </w:rPr>
        <w:t xml:space="preserve"> </w:t>
      </w:r>
      <w:r w:rsidRPr="001048FE">
        <w:rPr>
          <w:lang w:val="sl-SI"/>
        </w:rPr>
        <w:t>100.</w:t>
      </w:r>
    </w:p>
    <w:p w14:paraId="7D39A964" w14:textId="5DF1A686" w:rsidR="00E03711" w:rsidRPr="001048FE" w:rsidRDefault="00E03711" w:rsidP="00543A91">
      <w:pPr>
        <w:pStyle w:val="GUIDE-NORMAL"/>
        <w:rPr>
          <w:lang w:val="sl-SI"/>
        </w:rPr>
      </w:pPr>
      <w:r w:rsidRPr="001048FE">
        <w:rPr>
          <w:lang w:val="sl-SI"/>
        </w:rPr>
        <w:t>Predlogi,</w:t>
      </w:r>
      <w:r w:rsidRPr="001048FE">
        <w:rPr>
          <w:spacing w:val="-11"/>
          <w:lang w:val="sl-SI"/>
        </w:rPr>
        <w:t xml:space="preserve"> </w:t>
      </w:r>
      <w:r w:rsidRPr="001048FE">
        <w:rPr>
          <w:lang w:val="sl-SI"/>
        </w:rPr>
        <w:t>ki</w:t>
      </w:r>
      <w:r w:rsidRPr="001048FE">
        <w:rPr>
          <w:spacing w:val="-11"/>
          <w:lang w:val="sl-SI"/>
        </w:rPr>
        <w:t xml:space="preserve"> </w:t>
      </w:r>
      <w:r w:rsidRPr="001048FE">
        <w:rPr>
          <w:lang w:val="sl-SI"/>
        </w:rPr>
        <w:t>bodo</w:t>
      </w:r>
      <w:r w:rsidRPr="001048FE">
        <w:rPr>
          <w:spacing w:val="-11"/>
          <w:lang w:val="sl-SI"/>
        </w:rPr>
        <w:t xml:space="preserve"> </w:t>
      </w:r>
      <w:r w:rsidRPr="001048FE">
        <w:rPr>
          <w:lang w:val="sl-SI"/>
        </w:rPr>
        <w:t>dosegli</w:t>
      </w:r>
      <w:r w:rsidRPr="001048FE">
        <w:rPr>
          <w:spacing w:val="-11"/>
          <w:lang w:val="sl-SI"/>
        </w:rPr>
        <w:t xml:space="preserve"> </w:t>
      </w:r>
      <w:r w:rsidRPr="001048FE">
        <w:rPr>
          <w:lang w:val="sl-SI"/>
        </w:rPr>
        <w:t>vse</w:t>
      </w:r>
      <w:r w:rsidRPr="001048FE">
        <w:rPr>
          <w:spacing w:val="-11"/>
          <w:lang w:val="sl-SI"/>
        </w:rPr>
        <w:t xml:space="preserve"> </w:t>
      </w:r>
      <w:r w:rsidRPr="001048FE">
        <w:rPr>
          <w:lang w:val="sl-SI"/>
        </w:rPr>
        <w:t>prage,</w:t>
      </w:r>
      <w:r w:rsidRPr="001048FE">
        <w:rPr>
          <w:spacing w:val="-11"/>
          <w:lang w:val="sl-SI"/>
        </w:rPr>
        <w:t xml:space="preserve"> </w:t>
      </w:r>
      <w:r w:rsidRPr="001048FE">
        <w:rPr>
          <w:lang w:val="sl-SI"/>
        </w:rPr>
        <w:t>se</w:t>
      </w:r>
      <w:r w:rsidRPr="001048FE">
        <w:rPr>
          <w:spacing w:val="-11"/>
          <w:lang w:val="sl-SI"/>
        </w:rPr>
        <w:t xml:space="preserve"> </w:t>
      </w:r>
      <w:r w:rsidRPr="001048FE">
        <w:rPr>
          <w:lang w:val="sl-SI"/>
        </w:rPr>
        <w:t>bodo</w:t>
      </w:r>
      <w:r w:rsidRPr="001048FE">
        <w:rPr>
          <w:spacing w:val="-11"/>
          <w:lang w:val="sl-SI"/>
        </w:rPr>
        <w:t xml:space="preserve"> </w:t>
      </w:r>
      <w:r w:rsidRPr="001048FE">
        <w:rPr>
          <w:lang w:val="sl-SI"/>
        </w:rPr>
        <w:t>ocenili</w:t>
      </w:r>
      <w:r w:rsidRPr="001048FE">
        <w:rPr>
          <w:spacing w:val="-10"/>
          <w:lang w:val="sl-SI"/>
        </w:rPr>
        <w:t xml:space="preserve"> </w:t>
      </w:r>
      <w:r w:rsidRPr="001048FE">
        <w:rPr>
          <w:lang w:val="sl-SI"/>
        </w:rPr>
        <w:t>za</w:t>
      </w:r>
      <w:r w:rsidRPr="001048FE">
        <w:rPr>
          <w:spacing w:val="-11"/>
          <w:lang w:val="sl-SI"/>
        </w:rPr>
        <w:t xml:space="preserve"> </w:t>
      </w:r>
      <w:r w:rsidRPr="001048FE">
        <w:rPr>
          <w:lang w:val="sl-SI"/>
        </w:rPr>
        <w:t>dodatne</w:t>
      </w:r>
      <w:r w:rsidRPr="001048FE">
        <w:rPr>
          <w:spacing w:val="-11"/>
          <w:lang w:val="sl-SI"/>
        </w:rPr>
        <w:t xml:space="preserve"> </w:t>
      </w:r>
      <w:r w:rsidRPr="001048FE">
        <w:rPr>
          <w:lang w:val="sl-SI"/>
        </w:rPr>
        <w:t>štipendije</w:t>
      </w:r>
      <w:r w:rsidRPr="001048FE">
        <w:rPr>
          <w:spacing w:val="-11"/>
          <w:lang w:val="sl-SI"/>
        </w:rPr>
        <w:t xml:space="preserve"> </w:t>
      </w:r>
      <w:r w:rsidRPr="001048FE">
        <w:rPr>
          <w:lang w:val="sl-SI"/>
        </w:rPr>
        <w:t>za</w:t>
      </w:r>
      <w:r w:rsidRPr="001048FE">
        <w:rPr>
          <w:spacing w:val="-11"/>
          <w:lang w:val="sl-SI"/>
        </w:rPr>
        <w:t xml:space="preserve"> </w:t>
      </w:r>
      <w:r w:rsidRPr="001048FE">
        <w:rPr>
          <w:lang w:val="sl-SI"/>
        </w:rPr>
        <w:t>ciljne</w:t>
      </w:r>
      <w:r w:rsidRPr="001048FE">
        <w:rPr>
          <w:spacing w:val="-11"/>
          <w:lang w:val="sl-SI"/>
        </w:rPr>
        <w:t xml:space="preserve"> </w:t>
      </w:r>
      <w:r w:rsidRPr="001048FE">
        <w:rPr>
          <w:lang w:val="sl-SI"/>
        </w:rPr>
        <w:t>regije</w:t>
      </w:r>
      <w:r w:rsidRPr="001048FE">
        <w:rPr>
          <w:spacing w:val="-11"/>
          <w:lang w:val="sl-SI"/>
        </w:rPr>
        <w:t xml:space="preserve"> </w:t>
      </w:r>
      <w:r w:rsidRPr="001048FE">
        <w:rPr>
          <w:lang w:val="sl-SI"/>
        </w:rPr>
        <w:t>partnerskih držav,</w:t>
      </w:r>
      <w:r w:rsidRPr="001048FE">
        <w:rPr>
          <w:spacing w:val="-7"/>
          <w:lang w:val="sl-SI"/>
        </w:rPr>
        <w:t xml:space="preserve"> </w:t>
      </w:r>
      <w:r w:rsidRPr="001048FE">
        <w:rPr>
          <w:lang w:val="sl-SI"/>
        </w:rPr>
        <w:t>ki</w:t>
      </w:r>
      <w:r w:rsidRPr="001048FE">
        <w:rPr>
          <w:spacing w:val="-7"/>
          <w:lang w:val="sl-SI"/>
        </w:rPr>
        <w:t xml:space="preserve"> </w:t>
      </w:r>
      <w:r w:rsidRPr="001048FE">
        <w:rPr>
          <w:lang w:val="sl-SI"/>
        </w:rPr>
        <w:t>so</w:t>
      </w:r>
      <w:r w:rsidRPr="001048FE">
        <w:rPr>
          <w:spacing w:val="-7"/>
          <w:lang w:val="sl-SI"/>
        </w:rPr>
        <w:t xml:space="preserve"> </w:t>
      </w:r>
      <w:r w:rsidRPr="001048FE">
        <w:rPr>
          <w:lang w:val="sl-SI"/>
        </w:rPr>
        <w:t>opredeljene</w:t>
      </w:r>
      <w:r w:rsidRPr="001048FE">
        <w:rPr>
          <w:spacing w:val="-6"/>
          <w:lang w:val="sl-SI"/>
        </w:rPr>
        <w:t xml:space="preserve"> </w:t>
      </w:r>
      <w:r w:rsidRPr="001048FE">
        <w:rPr>
          <w:lang w:val="sl-SI"/>
        </w:rPr>
        <w:t>v</w:t>
      </w:r>
      <w:r w:rsidRPr="001048FE">
        <w:rPr>
          <w:spacing w:val="-7"/>
          <w:lang w:val="sl-SI"/>
        </w:rPr>
        <w:t xml:space="preserve"> </w:t>
      </w:r>
      <w:r w:rsidRPr="001048FE">
        <w:rPr>
          <w:lang w:val="sl-SI"/>
        </w:rPr>
        <w:t>poglavju</w:t>
      </w:r>
      <w:r w:rsidRPr="001048FE">
        <w:rPr>
          <w:spacing w:val="-7"/>
          <w:lang w:val="sl-SI"/>
        </w:rPr>
        <w:t xml:space="preserve"> </w:t>
      </w:r>
      <w:r w:rsidRPr="001048FE">
        <w:rPr>
          <w:lang w:val="sl-SI"/>
        </w:rPr>
        <w:t>„Dodatne</w:t>
      </w:r>
      <w:r w:rsidRPr="001048FE">
        <w:rPr>
          <w:spacing w:val="-7"/>
          <w:lang w:val="sl-SI"/>
        </w:rPr>
        <w:t xml:space="preserve"> </w:t>
      </w:r>
      <w:r w:rsidRPr="001048FE">
        <w:rPr>
          <w:lang w:val="sl-SI"/>
        </w:rPr>
        <w:t>štipendije</w:t>
      </w:r>
      <w:r w:rsidRPr="001048FE">
        <w:rPr>
          <w:spacing w:val="-7"/>
          <w:lang w:val="sl-SI"/>
        </w:rPr>
        <w:t xml:space="preserve"> </w:t>
      </w:r>
      <w:r w:rsidRPr="001048FE">
        <w:rPr>
          <w:lang w:val="sl-SI"/>
        </w:rPr>
        <w:t>za</w:t>
      </w:r>
      <w:r w:rsidRPr="001048FE">
        <w:rPr>
          <w:spacing w:val="-7"/>
          <w:lang w:val="sl-SI"/>
        </w:rPr>
        <w:t xml:space="preserve"> </w:t>
      </w:r>
      <w:r w:rsidRPr="001048FE">
        <w:rPr>
          <w:lang w:val="sl-SI"/>
        </w:rPr>
        <w:t>študente</w:t>
      </w:r>
      <w:r w:rsidRPr="001048FE">
        <w:rPr>
          <w:spacing w:val="-7"/>
          <w:lang w:val="sl-SI"/>
        </w:rPr>
        <w:t xml:space="preserve"> </w:t>
      </w:r>
      <w:r w:rsidRPr="001048FE">
        <w:rPr>
          <w:lang w:val="sl-SI"/>
        </w:rPr>
        <w:t>iz</w:t>
      </w:r>
      <w:r w:rsidRPr="001048FE">
        <w:rPr>
          <w:spacing w:val="-7"/>
          <w:lang w:val="sl-SI"/>
        </w:rPr>
        <w:t xml:space="preserve"> </w:t>
      </w:r>
      <w:r w:rsidRPr="001048FE">
        <w:rPr>
          <w:lang w:val="sl-SI"/>
        </w:rPr>
        <w:t>ciljnih</w:t>
      </w:r>
      <w:r w:rsidRPr="001048FE">
        <w:rPr>
          <w:spacing w:val="-7"/>
          <w:lang w:val="sl-SI"/>
        </w:rPr>
        <w:t xml:space="preserve"> </w:t>
      </w:r>
      <w:r w:rsidRPr="001048FE">
        <w:rPr>
          <w:lang w:val="sl-SI"/>
        </w:rPr>
        <w:t>regij</w:t>
      </w:r>
      <w:r w:rsidRPr="001048FE">
        <w:rPr>
          <w:spacing w:val="-7"/>
          <w:lang w:val="sl-SI"/>
        </w:rPr>
        <w:t xml:space="preserve"> </w:t>
      </w:r>
      <w:r w:rsidRPr="001048FE">
        <w:rPr>
          <w:lang w:val="sl-SI"/>
        </w:rPr>
        <w:t>sveta“.</w:t>
      </w:r>
      <w:r w:rsidRPr="001048FE">
        <w:rPr>
          <w:spacing w:val="-7"/>
          <w:lang w:val="sl-SI"/>
        </w:rPr>
        <w:t xml:space="preserve"> </w:t>
      </w:r>
      <w:r w:rsidR="00EA19C0">
        <w:rPr>
          <w:lang w:val="sl-SI"/>
        </w:rPr>
        <w:t xml:space="preserve">Odbor za ocenjevanje </w:t>
      </w:r>
      <w:r w:rsidRPr="001048FE">
        <w:rPr>
          <w:lang w:val="sl-SI"/>
        </w:rPr>
        <w:t>bo analiziral in ocenil odgovore, ki bodo podani v zvezi z dodatnim merilom za dodelitev: „Ustreznost projekta v ciljnih regijah“, ter z da/ne opredelil, ali so informacije</w:t>
      </w:r>
      <w:r w:rsidRPr="001048FE">
        <w:rPr>
          <w:spacing w:val="50"/>
          <w:lang w:val="sl-SI"/>
        </w:rPr>
        <w:t xml:space="preserve"> </w:t>
      </w:r>
      <w:r w:rsidRPr="001048FE">
        <w:rPr>
          <w:lang w:val="sl-SI"/>
        </w:rPr>
        <w:t>ustrezne.</w:t>
      </w:r>
    </w:p>
    <w:p w14:paraId="7D39A965" w14:textId="77777777" w:rsidR="00E03711" w:rsidRPr="001048FE" w:rsidRDefault="00E03711" w:rsidP="00543A91">
      <w:pPr>
        <w:pStyle w:val="GUIDE-NORMAL"/>
        <w:rPr>
          <w:lang w:val="sl-SI"/>
        </w:rPr>
      </w:pPr>
      <w:r w:rsidRPr="001048FE">
        <w:rPr>
          <w:lang w:val="sl-SI"/>
        </w:rPr>
        <w:t>Ocena dodatnega merila ne bo vplivala na prvotni seznam razvrstitve na podlagi ocene štirih meril za</w:t>
      </w:r>
      <w:r w:rsidRPr="001048FE">
        <w:rPr>
          <w:spacing w:val="-19"/>
          <w:lang w:val="sl-SI"/>
        </w:rPr>
        <w:t xml:space="preserve"> </w:t>
      </w:r>
      <w:r w:rsidRPr="001048FE">
        <w:rPr>
          <w:lang w:val="sl-SI"/>
        </w:rPr>
        <w:t>dodelitev</w:t>
      </w:r>
      <w:r w:rsidRPr="001048FE">
        <w:rPr>
          <w:spacing w:val="-19"/>
          <w:lang w:val="sl-SI"/>
        </w:rPr>
        <w:t xml:space="preserve"> </w:t>
      </w:r>
      <w:r w:rsidRPr="001048FE">
        <w:rPr>
          <w:lang w:val="sl-SI"/>
        </w:rPr>
        <w:t>(Ustreznost</w:t>
      </w:r>
      <w:r w:rsidRPr="001048FE">
        <w:rPr>
          <w:spacing w:val="-19"/>
          <w:lang w:val="sl-SI"/>
        </w:rPr>
        <w:t xml:space="preserve"> </w:t>
      </w:r>
      <w:r w:rsidRPr="001048FE">
        <w:rPr>
          <w:lang w:val="sl-SI"/>
        </w:rPr>
        <w:t>projekta,</w:t>
      </w:r>
      <w:r w:rsidRPr="001048FE">
        <w:rPr>
          <w:spacing w:val="-19"/>
          <w:lang w:val="sl-SI"/>
        </w:rPr>
        <w:t xml:space="preserve"> </w:t>
      </w:r>
      <w:r w:rsidRPr="001048FE">
        <w:rPr>
          <w:lang w:val="sl-SI"/>
        </w:rPr>
        <w:t>Kakovost</w:t>
      </w:r>
      <w:r w:rsidRPr="001048FE">
        <w:rPr>
          <w:spacing w:val="-19"/>
          <w:lang w:val="sl-SI"/>
        </w:rPr>
        <w:t xml:space="preserve"> </w:t>
      </w:r>
      <w:r w:rsidRPr="001048FE">
        <w:rPr>
          <w:lang w:val="sl-SI"/>
        </w:rPr>
        <w:t>zasnove</w:t>
      </w:r>
      <w:r w:rsidRPr="001048FE">
        <w:rPr>
          <w:spacing w:val="-19"/>
          <w:lang w:val="sl-SI"/>
        </w:rPr>
        <w:t xml:space="preserve"> </w:t>
      </w:r>
      <w:r w:rsidRPr="001048FE">
        <w:rPr>
          <w:lang w:val="sl-SI"/>
        </w:rPr>
        <w:t>in</w:t>
      </w:r>
      <w:r w:rsidRPr="001048FE">
        <w:rPr>
          <w:spacing w:val="-19"/>
          <w:lang w:val="sl-SI"/>
        </w:rPr>
        <w:t xml:space="preserve"> </w:t>
      </w:r>
      <w:r w:rsidRPr="001048FE">
        <w:rPr>
          <w:lang w:val="sl-SI"/>
        </w:rPr>
        <w:t>izvedbe</w:t>
      </w:r>
      <w:r w:rsidRPr="001048FE">
        <w:rPr>
          <w:spacing w:val="-19"/>
          <w:lang w:val="sl-SI"/>
        </w:rPr>
        <w:t xml:space="preserve"> </w:t>
      </w:r>
      <w:r w:rsidRPr="001048FE">
        <w:rPr>
          <w:lang w:val="sl-SI"/>
        </w:rPr>
        <w:t>projekta,</w:t>
      </w:r>
      <w:r w:rsidRPr="001048FE">
        <w:rPr>
          <w:spacing w:val="-19"/>
          <w:lang w:val="sl-SI"/>
        </w:rPr>
        <w:t xml:space="preserve"> </w:t>
      </w:r>
      <w:r w:rsidRPr="001048FE">
        <w:rPr>
          <w:lang w:val="sl-SI"/>
        </w:rPr>
        <w:t>Kakovost</w:t>
      </w:r>
      <w:r w:rsidRPr="001048FE">
        <w:rPr>
          <w:spacing w:val="-19"/>
          <w:lang w:val="sl-SI"/>
        </w:rPr>
        <w:t xml:space="preserve"> </w:t>
      </w:r>
      <w:r w:rsidRPr="001048FE">
        <w:rPr>
          <w:lang w:val="sl-SI"/>
        </w:rPr>
        <w:t>projektne</w:t>
      </w:r>
      <w:r w:rsidRPr="001048FE">
        <w:rPr>
          <w:spacing w:val="-19"/>
          <w:lang w:val="sl-SI"/>
        </w:rPr>
        <w:t xml:space="preserve"> </w:t>
      </w:r>
      <w:r w:rsidRPr="001048FE">
        <w:rPr>
          <w:lang w:val="sl-SI"/>
        </w:rPr>
        <w:t>skupine in dogovorov o sodelovanju, Učinek in</w:t>
      </w:r>
      <w:r w:rsidRPr="001048FE">
        <w:rPr>
          <w:spacing w:val="-17"/>
          <w:lang w:val="sl-SI"/>
        </w:rPr>
        <w:t xml:space="preserve"> </w:t>
      </w:r>
      <w:r w:rsidRPr="001048FE">
        <w:rPr>
          <w:lang w:val="sl-SI"/>
        </w:rPr>
        <w:t>razširjanje).</w:t>
      </w:r>
      <w:r>
        <w:rPr>
          <w:lang w:val="sl-SI"/>
        </w:rPr>
        <w:t xml:space="preserve"> </w:t>
      </w:r>
    </w:p>
    <w:p w14:paraId="7D39A966" w14:textId="77777777" w:rsidR="00E03711" w:rsidRDefault="00E03711">
      <w:pPr>
        <w:widowControl/>
        <w:suppressAutoHyphens w:val="0"/>
        <w:autoSpaceDN/>
        <w:textAlignment w:val="auto"/>
        <w:rPr>
          <w:rFonts w:eastAsia="Times New Roman" w:cs="Times New Roman"/>
          <w:b/>
          <w:smallCaps/>
          <w:sz w:val="32"/>
          <w:szCs w:val="18"/>
          <w:lang w:val="sl-SI"/>
        </w:rPr>
      </w:pPr>
      <w:r>
        <w:rPr>
          <w:lang w:val="sl-SI"/>
        </w:rPr>
        <w:br w:type="page"/>
      </w:r>
    </w:p>
    <w:p w14:paraId="7D39A967" w14:textId="77777777" w:rsidR="00E03711" w:rsidRPr="001048FE" w:rsidRDefault="00E03711" w:rsidP="001F7EA6">
      <w:pPr>
        <w:pStyle w:val="Guide-Heading2"/>
        <w:rPr>
          <w:lang w:val="sl-SI"/>
        </w:rPr>
        <w:sectPr w:rsidR="00E03711" w:rsidRPr="001048FE" w:rsidSect="007F4890">
          <w:headerReference w:type="default" r:id="rId186"/>
          <w:endnotePr>
            <w:numFmt w:val="decimal"/>
          </w:endnotePr>
          <w:pgSz w:w="11910" w:h="16840" w:code="9"/>
          <w:pgMar w:top="1134" w:right="1418" w:bottom="1134" w:left="1418" w:header="283" w:footer="567" w:gutter="0"/>
          <w:cols w:space="720"/>
          <w:docGrid w:linePitch="326"/>
        </w:sectPr>
      </w:pPr>
    </w:p>
    <w:p w14:paraId="7D39A968" w14:textId="77777777" w:rsidR="00E03711" w:rsidRDefault="00E03711">
      <w:pPr>
        <w:pStyle w:val="Guide-Heading2"/>
        <w:rPr>
          <w:lang w:val="sl-SI"/>
        </w:rPr>
      </w:pPr>
      <w:bookmarkStart w:id="683" w:name="_Toc527400984"/>
      <w:bookmarkStart w:id="684" w:name="_Toc527401332"/>
      <w:r w:rsidRPr="001048FE">
        <w:rPr>
          <w:lang w:val="sl-SI"/>
        </w:rPr>
        <w:t>Strateška partnerstva</w:t>
      </w:r>
      <w:bookmarkEnd w:id="683"/>
      <w:bookmarkEnd w:id="684"/>
    </w:p>
    <w:p w14:paraId="7D39A969" w14:textId="77777777" w:rsidR="00E03711" w:rsidRDefault="00E03711">
      <w:pPr>
        <w:pStyle w:val="Guide-AnnexHeading3"/>
        <w:numPr>
          <w:ilvl w:val="0"/>
          <w:numId w:val="0"/>
        </w:numPr>
        <w:ind w:left="360" w:hanging="360"/>
        <w:rPr>
          <w:lang w:val="sl-SI"/>
        </w:rPr>
      </w:pPr>
      <w:bookmarkStart w:id="685" w:name="_Toc524425629"/>
      <w:bookmarkStart w:id="686" w:name="_Toc526422867"/>
      <w:bookmarkStart w:id="687" w:name="_Toc527400985"/>
      <w:bookmarkStart w:id="688" w:name="_Toc527401333"/>
      <w:r>
        <w:rPr>
          <w:lang w:val="sl-SI"/>
        </w:rPr>
        <w:t xml:space="preserve">1. </w:t>
      </w:r>
      <w:r w:rsidRPr="001048FE">
        <w:rPr>
          <w:lang w:val="sl-SI"/>
        </w:rPr>
        <w:t>Oblike</w:t>
      </w:r>
      <w:r w:rsidRPr="001048FE">
        <w:rPr>
          <w:spacing w:val="5"/>
          <w:lang w:val="sl-SI"/>
        </w:rPr>
        <w:t xml:space="preserve"> </w:t>
      </w:r>
      <w:r w:rsidRPr="001048FE">
        <w:rPr>
          <w:lang w:val="sl-SI"/>
        </w:rPr>
        <w:t>projektov</w:t>
      </w:r>
      <w:bookmarkEnd w:id="685"/>
      <w:bookmarkEnd w:id="686"/>
      <w:bookmarkEnd w:id="687"/>
      <w:bookmarkEnd w:id="688"/>
    </w:p>
    <w:p w14:paraId="7D39A96A" w14:textId="77777777" w:rsidR="00E03711" w:rsidRPr="001048FE" w:rsidRDefault="00E03711" w:rsidP="00DB793B">
      <w:pPr>
        <w:pStyle w:val="GUIDE-NORMAL"/>
        <w:rPr>
          <w:lang w:val="sl-SI"/>
        </w:rPr>
      </w:pPr>
      <w:r w:rsidRPr="001048FE">
        <w:rPr>
          <w:lang w:val="sl-SI"/>
        </w:rPr>
        <w:t>Strateška partnerstva podpirajo širok in prilagodljiv nabor aktivnosti za izvajanje inovativnih praks, spodbujanje</w:t>
      </w:r>
      <w:r w:rsidRPr="001048FE">
        <w:rPr>
          <w:spacing w:val="-9"/>
          <w:lang w:val="sl-SI"/>
        </w:rPr>
        <w:t xml:space="preserve"> </w:t>
      </w:r>
      <w:r w:rsidRPr="001048FE">
        <w:rPr>
          <w:lang w:val="sl-SI"/>
        </w:rPr>
        <w:t>razvoja</w:t>
      </w:r>
      <w:r w:rsidRPr="001048FE">
        <w:rPr>
          <w:spacing w:val="-9"/>
          <w:lang w:val="sl-SI"/>
        </w:rPr>
        <w:t xml:space="preserve"> </w:t>
      </w:r>
      <w:r w:rsidRPr="001048FE">
        <w:rPr>
          <w:lang w:val="sl-SI"/>
        </w:rPr>
        <w:t>in</w:t>
      </w:r>
      <w:r w:rsidRPr="001048FE">
        <w:rPr>
          <w:spacing w:val="-9"/>
          <w:lang w:val="sl-SI"/>
        </w:rPr>
        <w:t xml:space="preserve"> </w:t>
      </w:r>
      <w:r w:rsidRPr="001048FE">
        <w:rPr>
          <w:lang w:val="sl-SI"/>
        </w:rPr>
        <w:t>posodobitve</w:t>
      </w:r>
      <w:r w:rsidRPr="001048FE">
        <w:rPr>
          <w:spacing w:val="-9"/>
          <w:lang w:val="sl-SI"/>
        </w:rPr>
        <w:t xml:space="preserve"> </w:t>
      </w:r>
      <w:r w:rsidRPr="001048FE">
        <w:rPr>
          <w:lang w:val="sl-SI"/>
        </w:rPr>
        <w:t>organizacij</w:t>
      </w:r>
      <w:r w:rsidRPr="001048FE">
        <w:rPr>
          <w:spacing w:val="-8"/>
          <w:lang w:val="sl-SI"/>
        </w:rPr>
        <w:t xml:space="preserve"> </w:t>
      </w:r>
      <w:r w:rsidRPr="001048FE">
        <w:rPr>
          <w:lang w:val="sl-SI"/>
        </w:rPr>
        <w:t>ter</w:t>
      </w:r>
      <w:r w:rsidRPr="001048FE">
        <w:rPr>
          <w:spacing w:val="-9"/>
          <w:lang w:val="sl-SI"/>
        </w:rPr>
        <w:t xml:space="preserve"> </w:t>
      </w:r>
      <w:r w:rsidRPr="001048FE">
        <w:rPr>
          <w:lang w:val="sl-SI"/>
        </w:rPr>
        <w:t>podpiranje</w:t>
      </w:r>
      <w:r w:rsidRPr="001048FE">
        <w:rPr>
          <w:spacing w:val="-9"/>
          <w:lang w:val="sl-SI"/>
        </w:rPr>
        <w:t xml:space="preserve"> </w:t>
      </w:r>
      <w:r w:rsidRPr="001048FE">
        <w:rPr>
          <w:lang w:val="sl-SI"/>
        </w:rPr>
        <w:t>razvoja</w:t>
      </w:r>
      <w:r w:rsidRPr="001048FE">
        <w:rPr>
          <w:spacing w:val="-9"/>
          <w:lang w:val="sl-SI"/>
        </w:rPr>
        <w:t xml:space="preserve"> </w:t>
      </w:r>
      <w:r w:rsidRPr="001048FE">
        <w:rPr>
          <w:lang w:val="sl-SI"/>
        </w:rPr>
        <w:t>politik</w:t>
      </w:r>
      <w:r w:rsidRPr="001048FE">
        <w:rPr>
          <w:spacing w:val="-9"/>
          <w:lang w:val="sl-SI"/>
        </w:rPr>
        <w:t xml:space="preserve"> </w:t>
      </w:r>
      <w:r w:rsidRPr="001048FE">
        <w:rPr>
          <w:lang w:val="sl-SI"/>
        </w:rPr>
        <w:t>na</w:t>
      </w:r>
      <w:r w:rsidRPr="001048FE">
        <w:rPr>
          <w:spacing w:val="-9"/>
          <w:lang w:val="sl-SI"/>
        </w:rPr>
        <w:t xml:space="preserve"> </w:t>
      </w:r>
      <w:r w:rsidRPr="001048FE">
        <w:rPr>
          <w:lang w:val="sl-SI"/>
        </w:rPr>
        <w:t>evropski,</w:t>
      </w:r>
      <w:r w:rsidRPr="001048FE">
        <w:rPr>
          <w:spacing w:val="-9"/>
          <w:lang w:val="sl-SI"/>
        </w:rPr>
        <w:t xml:space="preserve"> </w:t>
      </w:r>
      <w:r w:rsidRPr="001048FE">
        <w:rPr>
          <w:lang w:val="sl-SI"/>
        </w:rPr>
        <w:t>nacionalni in regionalni</w:t>
      </w:r>
      <w:r w:rsidRPr="001048FE">
        <w:rPr>
          <w:spacing w:val="-4"/>
          <w:lang w:val="sl-SI"/>
        </w:rPr>
        <w:t xml:space="preserve"> </w:t>
      </w:r>
      <w:r w:rsidRPr="001048FE">
        <w:rPr>
          <w:lang w:val="sl-SI"/>
        </w:rPr>
        <w:t>ravni.</w:t>
      </w:r>
    </w:p>
    <w:p w14:paraId="7D39A96B" w14:textId="77777777" w:rsidR="00E03711" w:rsidRPr="001048FE" w:rsidRDefault="00E03711" w:rsidP="00DB793B">
      <w:pPr>
        <w:pStyle w:val="GUIDE-NORMAL"/>
        <w:rPr>
          <w:lang w:val="sl-SI"/>
        </w:rPr>
      </w:pPr>
      <w:r w:rsidRPr="001048FE">
        <w:rPr>
          <w:lang w:val="sl-SI"/>
        </w:rPr>
        <w:t>V skladu s cilji projekta, sodelujočimi organizacijami, pričakovanim učinkom in drugimi elementi so lahko strateška partnerstva različnih velikosti in temu primerno prilagajajo svoje aktivnosti. Če poenostavimo, ta ukrep omogoča sodelujočim organizacijam, da pridobijo izkušnje v mednarodnem sodelovanju,</w:t>
      </w:r>
      <w:r w:rsidRPr="001048FE">
        <w:rPr>
          <w:spacing w:val="-15"/>
          <w:lang w:val="sl-SI"/>
        </w:rPr>
        <w:t xml:space="preserve"> </w:t>
      </w:r>
      <w:r w:rsidRPr="001048FE">
        <w:rPr>
          <w:lang w:val="sl-SI"/>
        </w:rPr>
        <w:t>okrepijo</w:t>
      </w:r>
      <w:r w:rsidRPr="001048FE">
        <w:rPr>
          <w:spacing w:val="-14"/>
          <w:lang w:val="sl-SI"/>
        </w:rPr>
        <w:t xml:space="preserve"> </w:t>
      </w:r>
      <w:r w:rsidRPr="001048FE">
        <w:rPr>
          <w:lang w:val="sl-SI"/>
        </w:rPr>
        <w:t>svoje</w:t>
      </w:r>
      <w:r w:rsidRPr="001048FE">
        <w:rPr>
          <w:spacing w:val="-15"/>
          <w:lang w:val="sl-SI"/>
        </w:rPr>
        <w:t xml:space="preserve"> </w:t>
      </w:r>
      <w:r w:rsidRPr="001048FE">
        <w:rPr>
          <w:lang w:val="sl-SI"/>
        </w:rPr>
        <w:t>zmogljivosti</w:t>
      </w:r>
      <w:r w:rsidRPr="001048FE">
        <w:rPr>
          <w:spacing w:val="-15"/>
          <w:lang w:val="sl-SI"/>
        </w:rPr>
        <w:t xml:space="preserve"> </w:t>
      </w:r>
      <w:r w:rsidRPr="001048FE">
        <w:rPr>
          <w:lang w:val="sl-SI"/>
        </w:rPr>
        <w:t>ter</w:t>
      </w:r>
      <w:r w:rsidRPr="001048FE">
        <w:rPr>
          <w:spacing w:val="-15"/>
          <w:lang w:val="sl-SI"/>
        </w:rPr>
        <w:t xml:space="preserve"> </w:t>
      </w:r>
      <w:r w:rsidRPr="001048FE">
        <w:rPr>
          <w:lang w:val="sl-SI"/>
        </w:rPr>
        <w:t>hkrati</w:t>
      </w:r>
      <w:r w:rsidRPr="001048FE">
        <w:rPr>
          <w:spacing w:val="-15"/>
          <w:lang w:val="sl-SI"/>
        </w:rPr>
        <w:t xml:space="preserve"> </w:t>
      </w:r>
      <w:r w:rsidRPr="001048FE">
        <w:rPr>
          <w:lang w:val="sl-SI"/>
        </w:rPr>
        <w:t>dosežejo</w:t>
      </w:r>
      <w:r w:rsidRPr="001048FE">
        <w:rPr>
          <w:spacing w:val="-15"/>
          <w:lang w:val="sl-SI"/>
        </w:rPr>
        <w:t xml:space="preserve"> </w:t>
      </w:r>
      <w:r w:rsidRPr="001048FE">
        <w:rPr>
          <w:lang w:val="sl-SI"/>
        </w:rPr>
        <w:t>visokokakovostne</w:t>
      </w:r>
      <w:r w:rsidRPr="001048FE">
        <w:rPr>
          <w:spacing w:val="-15"/>
          <w:lang w:val="sl-SI"/>
        </w:rPr>
        <w:t xml:space="preserve"> </w:t>
      </w:r>
      <w:r w:rsidRPr="001048FE">
        <w:rPr>
          <w:lang w:val="sl-SI"/>
        </w:rPr>
        <w:t>in</w:t>
      </w:r>
      <w:r w:rsidRPr="001048FE">
        <w:rPr>
          <w:spacing w:val="-15"/>
          <w:lang w:val="sl-SI"/>
        </w:rPr>
        <w:t xml:space="preserve"> </w:t>
      </w:r>
      <w:r w:rsidRPr="001048FE">
        <w:rPr>
          <w:lang w:val="sl-SI"/>
        </w:rPr>
        <w:t>inovativne</w:t>
      </w:r>
      <w:r w:rsidRPr="001048FE">
        <w:rPr>
          <w:spacing w:val="-15"/>
          <w:lang w:val="sl-SI"/>
        </w:rPr>
        <w:t xml:space="preserve"> </w:t>
      </w:r>
      <w:r w:rsidRPr="001048FE">
        <w:rPr>
          <w:lang w:val="sl-SI"/>
        </w:rPr>
        <w:t>rezultate. Ocena</w:t>
      </w:r>
      <w:r w:rsidRPr="001048FE">
        <w:rPr>
          <w:spacing w:val="-11"/>
          <w:lang w:val="sl-SI"/>
        </w:rPr>
        <w:t xml:space="preserve"> </w:t>
      </w:r>
      <w:r w:rsidRPr="001048FE">
        <w:rPr>
          <w:lang w:val="sl-SI"/>
        </w:rPr>
        <w:t>kakovosti</w:t>
      </w:r>
      <w:r w:rsidRPr="001048FE">
        <w:rPr>
          <w:spacing w:val="-11"/>
          <w:lang w:val="sl-SI"/>
        </w:rPr>
        <w:t xml:space="preserve"> </w:t>
      </w:r>
      <w:r w:rsidRPr="001048FE">
        <w:rPr>
          <w:lang w:val="sl-SI"/>
        </w:rPr>
        <w:t>prijave</w:t>
      </w:r>
      <w:r w:rsidRPr="001048FE">
        <w:rPr>
          <w:spacing w:val="-11"/>
          <w:lang w:val="sl-SI"/>
        </w:rPr>
        <w:t xml:space="preserve"> </w:t>
      </w:r>
      <w:r w:rsidRPr="001048FE">
        <w:rPr>
          <w:lang w:val="sl-SI"/>
        </w:rPr>
        <w:t>projekta</w:t>
      </w:r>
      <w:r w:rsidRPr="001048FE">
        <w:rPr>
          <w:spacing w:val="-11"/>
          <w:lang w:val="sl-SI"/>
        </w:rPr>
        <w:t xml:space="preserve"> </w:t>
      </w:r>
      <w:r w:rsidRPr="001048FE">
        <w:rPr>
          <w:lang w:val="sl-SI"/>
        </w:rPr>
        <w:t>bo</w:t>
      </w:r>
      <w:r w:rsidRPr="001048FE">
        <w:rPr>
          <w:spacing w:val="-11"/>
          <w:lang w:val="sl-SI"/>
        </w:rPr>
        <w:t xml:space="preserve"> </w:t>
      </w:r>
      <w:r w:rsidRPr="001048FE">
        <w:rPr>
          <w:lang w:val="sl-SI"/>
        </w:rPr>
        <w:t>sorazmerna</w:t>
      </w:r>
      <w:r w:rsidRPr="001048FE">
        <w:rPr>
          <w:spacing w:val="-11"/>
          <w:lang w:val="sl-SI"/>
        </w:rPr>
        <w:t xml:space="preserve"> </w:t>
      </w:r>
      <w:r w:rsidRPr="001048FE">
        <w:rPr>
          <w:lang w:val="sl-SI"/>
        </w:rPr>
        <w:t>s</w:t>
      </w:r>
      <w:r w:rsidRPr="001048FE">
        <w:rPr>
          <w:spacing w:val="-11"/>
          <w:lang w:val="sl-SI"/>
        </w:rPr>
        <w:t xml:space="preserve"> </w:t>
      </w:r>
      <w:r w:rsidRPr="001048FE">
        <w:rPr>
          <w:lang w:val="sl-SI"/>
        </w:rPr>
        <w:t>cilji</w:t>
      </w:r>
      <w:r w:rsidRPr="001048FE">
        <w:rPr>
          <w:spacing w:val="-11"/>
          <w:lang w:val="sl-SI"/>
        </w:rPr>
        <w:t xml:space="preserve"> </w:t>
      </w:r>
      <w:r w:rsidRPr="001048FE">
        <w:rPr>
          <w:lang w:val="sl-SI"/>
        </w:rPr>
        <w:t>sodelovanja</w:t>
      </w:r>
      <w:r w:rsidRPr="001048FE">
        <w:rPr>
          <w:spacing w:val="-11"/>
          <w:lang w:val="sl-SI"/>
        </w:rPr>
        <w:t xml:space="preserve"> </w:t>
      </w:r>
      <w:r w:rsidRPr="001048FE">
        <w:rPr>
          <w:lang w:val="sl-SI"/>
        </w:rPr>
        <w:t>in</w:t>
      </w:r>
      <w:r w:rsidRPr="001048FE">
        <w:rPr>
          <w:spacing w:val="-11"/>
          <w:lang w:val="sl-SI"/>
        </w:rPr>
        <w:t xml:space="preserve"> </w:t>
      </w:r>
      <w:r w:rsidRPr="001048FE">
        <w:rPr>
          <w:lang w:val="sl-SI"/>
        </w:rPr>
        <w:t>naravo</w:t>
      </w:r>
      <w:r w:rsidRPr="001048FE">
        <w:rPr>
          <w:spacing w:val="-11"/>
          <w:lang w:val="sl-SI"/>
        </w:rPr>
        <w:t xml:space="preserve"> </w:t>
      </w:r>
      <w:r w:rsidRPr="001048FE">
        <w:rPr>
          <w:lang w:val="sl-SI"/>
        </w:rPr>
        <w:t>vključenih</w:t>
      </w:r>
      <w:r w:rsidRPr="001048FE">
        <w:rPr>
          <w:spacing w:val="-11"/>
          <w:lang w:val="sl-SI"/>
        </w:rPr>
        <w:t xml:space="preserve"> </w:t>
      </w:r>
      <w:r w:rsidRPr="001048FE">
        <w:rPr>
          <w:lang w:val="sl-SI"/>
        </w:rPr>
        <w:t>organizacij.</w:t>
      </w:r>
    </w:p>
    <w:p w14:paraId="7D39A96C" w14:textId="77777777" w:rsidR="00E03711" w:rsidRPr="001048FE" w:rsidRDefault="00E03711" w:rsidP="00DB793B">
      <w:pPr>
        <w:pStyle w:val="GUIDE-NORMAL"/>
        <w:rPr>
          <w:lang w:val="sl-SI"/>
        </w:rPr>
      </w:pPr>
      <w:r w:rsidRPr="001048FE">
        <w:rPr>
          <w:lang w:val="sl-SI"/>
        </w:rPr>
        <w:t>Poglavje v nadaljevanju navaja primere aktivnosti, ki jih lahko izvajajo strateška partnerstva bodisi s spodbujanjem sodelovanja med različnimi sektorji ali obravnavo le enega področja izobraževanja, usposabljanja in mladine. To poglavje je namenjeno zgolj ponazoritvi in sodelujočim organizacijam ne preprečuje drugačnega načrtovanja projekta.</w:t>
      </w:r>
    </w:p>
    <w:p w14:paraId="7D39A96D" w14:textId="77777777" w:rsidR="00E03711" w:rsidRPr="001048FE" w:rsidRDefault="00E03711" w:rsidP="00DB793B">
      <w:pPr>
        <w:pStyle w:val="Guide-Heading4"/>
        <w:rPr>
          <w:lang w:val="sl-SI"/>
        </w:rPr>
      </w:pPr>
      <w:bookmarkStart w:id="689" w:name="_Toc527401334"/>
      <w:r w:rsidRPr="001048FE">
        <w:rPr>
          <w:lang w:val="sl-SI"/>
        </w:rPr>
        <w:t>Aktivnosti</w:t>
      </w:r>
      <w:bookmarkEnd w:id="689"/>
    </w:p>
    <w:p w14:paraId="7D39A96E" w14:textId="77777777" w:rsidR="00E03711" w:rsidRPr="001048FE" w:rsidRDefault="00E03711" w:rsidP="005115F2">
      <w:pPr>
        <w:pStyle w:val="Guide-NormalBulletpoints"/>
        <w:numPr>
          <w:ilvl w:val="0"/>
          <w:numId w:val="442"/>
        </w:numPr>
        <w:rPr>
          <w:lang w:val="sl-SI"/>
        </w:rPr>
      </w:pPr>
      <w:r w:rsidRPr="001048FE">
        <w:rPr>
          <w:lang w:val="sl-SI"/>
        </w:rPr>
        <w:t xml:space="preserve">Učni načrti, programi, skupni študijski programi, skupni moduli (vključno z e-moduli), vključevanje bolj raznovrstnih načinov učenja (izredni študij, učenje na daljavo in po modulih); </w:t>
      </w:r>
    </w:p>
    <w:p w14:paraId="7D39A96F" w14:textId="77777777" w:rsidR="00E03711" w:rsidRPr="001048FE" w:rsidRDefault="00E03711" w:rsidP="005115F2">
      <w:pPr>
        <w:pStyle w:val="Guide-NormalBulletpoints"/>
        <w:numPr>
          <w:ilvl w:val="0"/>
          <w:numId w:val="442"/>
        </w:numPr>
        <w:rPr>
          <w:lang w:val="sl-SI"/>
        </w:rPr>
      </w:pPr>
      <w:r w:rsidRPr="001048FE">
        <w:rPr>
          <w:lang w:val="sl-SI"/>
        </w:rPr>
        <w:t>učenje, poučevanje, usposabljanje, gradiva in metode na področju mladinskega dela, pedagoški pristopi in orodja;</w:t>
      </w:r>
    </w:p>
    <w:p w14:paraId="7D39A970" w14:textId="77777777" w:rsidR="00E03711" w:rsidRPr="001048FE" w:rsidRDefault="00E03711" w:rsidP="005115F2">
      <w:pPr>
        <w:pStyle w:val="Guide-NormalBulletpoints"/>
        <w:numPr>
          <w:ilvl w:val="0"/>
          <w:numId w:val="442"/>
        </w:numPr>
        <w:rPr>
          <w:lang w:val="sl-SI"/>
        </w:rPr>
      </w:pPr>
      <w:r w:rsidRPr="001048FE">
        <w:rPr>
          <w:lang w:val="sl-SI"/>
        </w:rPr>
        <w:t>projektno sodelovanje, vzajemno učenje, delavnice, virtualni laboratoriji, virtualni prostori za sodelovanje;</w:t>
      </w:r>
    </w:p>
    <w:p w14:paraId="7D39A971" w14:textId="77777777" w:rsidR="00E03711" w:rsidRPr="001048FE" w:rsidRDefault="00E03711" w:rsidP="005115F2">
      <w:pPr>
        <w:pStyle w:val="Guide-NormalBulletpoints"/>
        <w:numPr>
          <w:ilvl w:val="0"/>
          <w:numId w:val="442"/>
        </w:numPr>
        <w:rPr>
          <w:lang w:val="sl-SI"/>
        </w:rPr>
      </w:pPr>
      <w:r w:rsidRPr="001048FE">
        <w:rPr>
          <w:lang w:val="sl-SI"/>
        </w:rPr>
        <w:t xml:space="preserve">krepitev zmogljivosti in aktivnosti mreženja; </w:t>
      </w:r>
    </w:p>
    <w:p w14:paraId="7D39A972" w14:textId="77777777" w:rsidR="00E03711" w:rsidRPr="001048FE" w:rsidRDefault="00E03711" w:rsidP="005115F2">
      <w:pPr>
        <w:pStyle w:val="Guide-NormalBulletpoints"/>
        <w:numPr>
          <w:ilvl w:val="0"/>
          <w:numId w:val="442"/>
        </w:numPr>
        <w:rPr>
          <w:lang w:val="sl-SI"/>
        </w:rPr>
      </w:pPr>
      <w:r w:rsidRPr="001048FE">
        <w:rPr>
          <w:lang w:val="sl-SI"/>
        </w:rPr>
        <w:t>razvoj in izvajanje strateških načrtov sodelovanja;</w:t>
      </w:r>
    </w:p>
    <w:p w14:paraId="7D39A973" w14:textId="77777777" w:rsidR="00E03711" w:rsidRPr="001048FE" w:rsidRDefault="00E03711" w:rsidP="005115F2">
      <w:pPr>
        <w:pStyle w:val="Guide-NormalBulletpoints"/>
        <w:numPr>
          <w:ilvl w:val="0"/>
          <w:numId w:val="442"/>
        </w:numPr>
        <w:rPr>
          <w:lang w:val="sl-SI"/>
        </w:rPr>
      </w:pPr>
      <w:r w:rsidRPr="001048FE">
        <w:rPr>
          <w:lang w:val="sl-SI"/>
        </w:rPr>
        <w:t>aktivnosti obveščanja, usmerjanja, mentorstva in svetovanja;</w:t>
      </w:r>
    </w:p>
    <w:p w14:paraId="7D39A974" w14:textId="77777777" w:rsidR="00E03711" w:rsidRPr="001048FE" w:rsidRDefault="00E03711" w:rsidP="005115F2">
      <w:pPr>
        <w:pStyle w:val="Guide-NormalBulletpoints"/>
        <w:numPr>
          <w:ilvl w:val="0"/>
          <w:numId w:val="442"/>
        </w:numPr>
        <w:rPr>
          <w:lang w:val="sl-SI"/>
        </w:rPr>
      </w:pPr>
      <w:r w:rsidRPr="001048FE">
        <w:rPr>
          <w:lang w:val="sl-SI"/>
        </w:rPr>
        <w:t xml:space="preserve">ankete, primerjalne analize, zbiranje dejstev, študije primerov iz resničnega življenja; </w:t>
      </w:r>
    </w:p>
    <w:p w14:paraId="7D39A975" w14:textId="77777777" w:rsidR="00E03711" w:rsidRPr="001048FE" w:rsidRDefault="00E03711" w:rsidP="005115F2">
      <w:pPr>
        <w:pStyle w:val="Guide-NormalBulletpoints"/>
        <w:numPr>
          <w:ilvl w:val="0"/>
          <w:numId w:val="442"/>
        </w:numPr>
        <w:rPr>
          <w:lang w:val="sl-SI"/>
        </w:rPr>
      </w:pPr>
      <w:r w:rsidRPr="001048FE">
        <w:rPr>
          <w:lang w:val="sl-SI"/>
        </w:rPr>
        <w:t xml:space="preserve">opredelitev standardov kakovosti in poklicnih profilov/profilov na podlagi kompetenc; </w:t>
      </w:r>
    </w:p>
    <w:p w14:paraId="7D39A976" w14:textId="77777777" w:rsidR="00E03711" w:rsidRPr="001048FE" w:rsidRDefault="00E03711" w:rsidP="005115F2">
      <w:pPr>
        <w:pStyle w:val="Guide-NormalBulletpoints"/>
        <w:numPr>
          <w:ilvl w:val="0"/>
          <w:numId w:val="442"/>
        </w:numPr>
        <w:rPr>
          <w:lang w:val="sl-SI"/>
        </w:rPr>
      </w:pPr>
      <w:r w:rsidRPr="001048FE">
        <w:rPr>
          <w:lang w:val="sl-SI"/>
        </w:rPr>
        <w:t>izboljšanje ogrodij kvalifikacij, prenosa kreditnih točk, zagotavljanja kakovosti, priznavanja in potrjevanja;</w:t>
      </w:r>
    </w:p>
    <w:p w14:paraId="7D39A977" w14:textId="77777777" w:rsidR="00E03711" w:rsidRPr="001048FE" w:rsidRDefault="00E03711" w:rsidP="005115F2">
      <w:pPr>
        <w:pStyle w:val="Guide-NormalBulletpoints"/>
        <w:numPr>
          <w:ilvl w:val="0"/>
          <w:numId w:val="442"/>
        </w:numPr>
        <w:rPr>
          <w:lang w:val="sl-SI"/>
        </w:rPr>
      </w:pPr>
      <w:r w:rsidRPr="001048FE">
        <w:rPr>
          <w:lang w:val="sl-SI"/>
        </w:rPr>
        <w:t>aktivnosti učenja, poučevanja in usposabljanja (glej odstavek 2 v nadaljevanju).</w:t>
      </w:r>
    </w:p>
    <w:p w14:paraId="7D39A978" w14:textId="77777777" w:rsidR="00E03711" w:rsidRPr="001048FE" w:rsidRDefault="00E03711" w:rsidP="00DB793B">
      <w:pPr>
        <w:pStyle w:val="GUIDE-NORMAL"/>
        <w:rPr>
          <w:lang w:val="sl-SI"/>
        </w:rPr>
      </w:pPr>
      <w:r w:rsidRPr="001048FE">
        <w:rPr>
          <w:lang w:val="sl-SI"/>
        </w:rPr>
        <w:t>Poleg</w:t>
      </w:r>
      <w:r w:rsidRPr="001048FE">
        <w:rPr>
          <w:spacing w:val="-12"/>
          <w:lang w:val="sl-SI"/>
        </w:rPr>
        <w:t xml:space="preserve"> </w:t>
      </w:r>
      <w:r w:rsidRPr="001048FE">
        <w:rPr>
          <w:lang w:val="sl-SI"/>
        </w:rPr>
        <w:t>tega</w:t>
      </w:r>
      <w:r w:rsidRPr="001048FE">
        <w:rPr>
          <w:spacing w:val="-12"/>
          <w:lang w:val="sl-SI"/>
        </w:rPr>
        <w:t xml:space="preserve"> </w:t>
      </w:r>
      <w:r w:rsidRPr="001048FE">
        <w:rPr>
          <w:lang w:val="sl-SI"/>
        </w:rPr>
        <w:t>se</w:t>
      </w:r>
      <w:r w:rsidRPr="001048FE">
        <w:rPr>
          <w:spacing w:val="-12"/>
          <w:lang w:val="sl-SI"/>
        </w:rPr>
        <w:t xml:space="preserve"> </w:t>
      </w:r>
      <w:r w:rsidRPr="001048FE">
        <w:rPr>
          <w:lang w:val="sl-SI"/>
        </w:rPr>
        <w:t>od</w:t>
      </w:r>
      <w:r w:rsidRPr="001048FE">
        <w:rPr>
          <w:spacing w:val="-11"/>
          <w:lang w:val="sl-SI"/>
        </w:rPr>
        <w:t xml:space="preserve"> </w:t>
      </w:r>
      <w:r w:rsidRPr="001048FE">
        <w:rPr>
          <w:lang w:val="sl-SI"/>
        </w:rPr>
        <w:t>strateških</w:t>
      </w:r>
      <w:r w:rsidRPr="001048FE">
        <w:rPr>
          <w:spacing w:val="-12"/>
          <w:lang w:val="sl-SI"/>
        </w:rPr>
        <w:t xml:space="preserve"> </w:t>
      </w:r>
      <w:r w:rsidRPr="001048FE">
        <w:rPr>
          <w:lang w:val="sl-SI"/>
        </w:rPr>
        <w:t>partnerstev</w:t>
      </w:r>
      <w:r w:rsidRPr="001048FE">
        <w:rPr>
          <w:spacing w:val="-12"/>
          <w:lang w:val="sl-SI"/>
        </w:rPr>
        <w:t xml:space="preserve"> </w:t>
      </w:r>
      <w:r w:rsidRPr="001048FE">
        <w:rPr>
          <w:lang w:val="sl-SI"/>
        </w:rPr>
        <w:t>pričakuje,</w:t>
      </w:r>
      <w:r w:rsidRPr="001048FE">
        <w:rPr>
          <w:spacing w:val="-12"/>
          <w:lang w:val="sl-SI"/>
        </w:rPr>
        <w:t xml:space="preserve"> </w:t>
      </w:r>
      <w:r w:rsidRPr="001048FE">
        <w:rPr>
          <w:lang w:val="sl-SI"/>
        </w:rPr>
        <w:t>da</w:t>
      </w:r>
      <w:r w:rsidRPr="001048FE">
        <w:rPr>
          <w:spacing w:val="-12"/>
          <w:lang w:val="sl-SI"/>
        </w:rPr>
        <w:t xml:space="preserve"> </w:t>
      </w:r>
      <w:r w:rsidRPr="001048FE">
        <w:rPr>
          <w:lang w:val="sl-SI"/>
        </w:rPr>
        <w:t>izvedejo</w:t>
      </w:r>
      <w:r w:rsidRPr="001048FE">
        <w:rPr>
          <w:spacing w:val="-12"/>
          <w:lang w:val="sl-SI"/>
        </w:rPr>
        <w:t xml:space="preserve"> </w:t>
      </w:r>
      <w:r w:rsidRPr="001048FE">
        <w:rPr>
          <w:lang w:val="sl-SI"/>
        </w:rPr>
        <w:t>ciljno</w:t>
      </w:r>
      <w:r w:rsidRPr="001048FE">
        <w:rPr>
          <w:spacing w:val="-12"/>
          <w:lang w:val="sl-SI"/>
        </w:rPr>
        <w:t xml:space="preserve"> </w:t>
      </w:r>
      <w:r w:rsidRPr="001048FE">
        <w:rPr>
          <w:lang w:val="sl-SI"/>
        </w:rPr>
        <w:t>usmerjeno</w:t>
      </w:r>
      <w:r w:rsidRPr="001048FE">
        <w:rPr>
          <w:spacing w:val="-12"/>
          <w:lang w:val="sl-SI"/>
        </w:rPr>
        <w:t xml:space="preserve"> </w:t>
      </w:r>
      <w:r w:rsidRPr="001048FE">
        <w:rPr>
          <w:lang w:val="sl-SI"/>
        </w:rPr>
        <w:t>in</w:t>
      </w:r>
      <w:r w:rsidRPr="001048FE">
        <w:rPr>
          <w:spacing w:val="-12"/>
          <w:lang w:val="sl-SI"/>
        </w:rPr>
        <w:t xml:space="preserve"> </w:t>
      </w:r>
      <w:r w:rsidRPr="001048FE">
        <w:rPr>
          <w:lang w:val="sl-SI"/>
        </w:rPr>
        <w:t>splošno</w:t>
      </w:r>
      <w:r w:rsidRPr="001048FE">
        <w:rPr>
          <w:spacing w:val="-12"/>
          <w:lang w:val="sl-SI"/>
        </w:rPr>
        <w:t xml:space="preserve"> </w:t>
      </w:r>
      <w:r w:rsidRPr="001048FE">
        <w:rPr>
          <w:lang w:val="sl-SI"/>
        </w:rPr>
        <w:t>razširjanje njihovih rezultatov, da spodbudijo širšo uporabo in učinek teh rezultatov tudi zunaj kroga organizacij, ki so neposredno vključene v projekt. Zahteve za razširjanje bodo sorazmerne s cilji in področjem uporabe</w:t>
      </w:r>
      <w:r w:rsidRPr="001048FE">
        <w:rPr>
          <w:spacing w:val="-5"/>
          <w:lang w:val="sl-SI"/>
        </w:rPr>
        <w:t xml:space="preserve"> </w:t>
      </w:r>
      <w:r w:rsidRPr="001048FE">
        <w:rPr>
          <w:lang w:val="sl-SI"/>
        </w:rPr>
        <w:t>projekta.</w:t>
      </w:r>
    </w:p>
    <w:p w14:paraId="7D39A979" w14:textId="77777777" w:rsidR="00E03711" w:rsidRPr="001048FE" w:rsidRDefault="00E03711" w:rsidP="00DB793B">
      <w:pPr>
        <w:pStyle w:val="GUIDE-NORMAL"/>
        <w:rPr>
          <w:lang w:val="sl-SI"/>
        </w:rPr>
      </w:pPr>
      <w:r w:rsidRPr="001048FE">
        <w:rPr>
          <w:lang w:val="sl-SI"/>
        </w:rPr>
        <w:t>Organizacije, institucije z različnih področij izobraževanja, usposabljanja in mladine ter iz drugih socialno-ekonomskih sektorjev, lahko sodelujejo za namene doseganja ciljev – s svojimi projekti – na enem ali več področjih izobraževanja, usposabljanja in mladine. Naslednje vrste aktivnosti so še zlasti pomembne za posamezna področja, da se dosežejo cilji politik, ki so opisani v delu B tega vodnika, v sektorjih ali s širjenjem na druga</w:t>
      </w:r>
      <w:r w:rsidRPr="001048FE">
        <w:rPr>
          <w:spacing w:val="26"/>
          <w:lang w:val="sl-SI"/>
        </w:rPr>
        <w:t xml:space="preserve"> </w:t>
      </w:r>
      <w:r w:rsidRPr="001048FE">
        <w:rPr>
          <w:lang w:val="sl-SI"/>
        </w:rPr>
        <w:t>področja.</w:t>
      </w:r>
    </w:p>
    <w:p w14:paraId="7D39A97A" w14:textId="77777777" w:rsidR="00E03711" w:rsidRPr="001048FE" w:rsidRDefault="00E03711" w:rsidP="00DB793B">
      <w:pPr>
        <w:pStyle w:val="Guide-Heading5"/>
        <w:rPr>
          <w:lang w:val="sl-SI"/>
        </w:rPr>
      </w:pPr>
      <w:r w:rsidRPr="001048FE">
        <w:rPr>
          <w:lang w:val="sl-SI"/>
        </w:rPr>
        <w:t>Medsektorsko sodelovanje</w:t>
      </w:r>
    </w:p>
    <w:p w14:paraId="7D39A97B" w14:textId="77777777" w:rsidR="00E03711" w:rsidRPr="001048FE" w:rsidRDefault="00E03711" w:rsidP="005115F2">
      <w:pPr>
        <w:pStyle w:val="GUIDE-NORMAL"/>
        <w:numPr>
          <w:ilvl w:val="0"/>
          <w:numId w:val="490"/>
        </w:numPr>
        <w:rPr>
          <w:lang w:val="sl-SI"/>
        </w:rPr>
      </w:pPr>
      <w:r w:rsidRPr="001048FE">
        <w:rPr>
          <w:lang w:val="sl-SI"/>
        </w:rPr>
        <w:t>Razvijanje, preskušanje, prilagajanje in izvajanje inovativnih praks v zvezi z naslednjim:</w:t>
      </w:r>
    </w:p>
    <w:p w14:paraId="7D39A97C" w14:textId="77777777" w:rsidR="00E03711" w:rsidRPr="001048FE" w:rsidRDefault="00E03711" w:rsidP="005115F2">
      <w:pPr>
        <w:pStyle w:val="Guide-NormalBulletpoints"/>
        <w:numPr>
          <w:ilvl w:val="0"/>
          <w:numId w:val="443"/>
        </w:numPr>
        <w:rPr>
          <w:lang w:val="sl-SI"/>
        </w:rPr>
      </w:pPr>
      <w:r w:rsidRPr="001048FE">
        <w:rPr>
          <w:lang w:val="sl-SI"/>
        </w:rPr>
        <w:t>strateško sodelovanje med različnimi izobraževalnimi sektorji in lokalnimi/regionalnimi podjetji,</w:t>
      </w:r>
      <w:r w:rsidRPr="001048FE">
        <w:rPr>
          <w:spacing w:val="-10"/>
          <w:lang w:val="sl-SI"/>
        </w:rPr>
        <w:t xml:space="preserve"> </w:t>
      </w:r>
      <w:r w:rsidRPr="001048FE">
        <w:rPr>
          <w:lang w:val="sl-SI"/>
        </w:rPr>
        <w:t>na</w:t>
      </w:r>
      <w:r w:rsidRPr="001048FE">
        <w:rPr>
          <w:spacing w:val="-10"/>
          <w:lang w:val="sl-SI"/>
        </w:rPr>
        <w:t xml:space="preserve"> </w:t>
      </w:r>
      <w:r w:rsidRPr="001048FE">
        <w:rPr>
          <w:lang w:val="sl-SI"/>
        </w:rPr>
        <w:t>primer</w:t>
      </w:r>
      <w:r w:rsidRPr="001048FE">
        <w:rPr>
          <w:spacing w:val="-10"/>
          <w:lang w:val="sl-SI"/>
        </w:rPr>
        <w:t xml:space="preserve"> </w:t>
      </w:r>
      <w:r w:rsidRPr="001048FE">
        <w:rPr>
          <w:lang w:val="sl-SI"/>
        </w:rPr>
        <w:t>za</w:t>
      </w:r>
      <w:r w:rsidRPr="001048FE">
        <w:rPr>
          <w:spacing w:val="-10"/>
          <w:lang w:val="sl-SI"/>
        </w:rPr>
        <w:t xml:space="preserve"> </w:t>
      </w:r>
      <w:r w:rsidRPr="001048FE">
        <w:rPr>
          <w:lang w:val="sl-SI"/>
        </w:rPr>
        <w:t>preučevanje</w:t>
      </w:r>
      <w:r w:rsidRPr="001048FE">
        <w:rPr>
          <w:spacing w:val="-10"/>
          <w:lang w:val="sl-SI"/>
        </w:rPr>
        <w:t xml:space="preserve"> </w:t>
      </w:r>
      <w:r w:rsidRPr="001048FE">
        <w:rPr>
          <w:lang w:val="sl-SI"/>
        </w:rPr>
        <w:t>zaposljivosti</w:t>
      </w:r>
      <w:r w:rsidRPr="001048FE">
        <w:rPr>
          <w:spacing w:val="-10"/>
          <w:lang w:val="sl-SI"/>
        </w:rPr>
        <w:t xml:space="preserve"> </w:t>
      </w:r>
      <w:r w:rsidRPr="001048FE">
        <w:rPr>
          <w:lang w:val="sl-SI"/>
        </w:rPr>
        <w:t>ali</w:t>
      </w:r>
      <w:r w:rsidRPr="001048FE">
        <w:rPr>
          <w:spacing w:val="-10"/>
          <w:lang w:val="sl-SI"/>
        </w:rPr>
        <w:t xml:space="preserve"> </w:t>
      </w:r>
      <w:r w:rsidRPr="001048FE">
        <w:rPr>
          <w:lang w:val="sl-SI"/>
        </w:rPr>
        <w:t>olajšanje</w:t>
      </w:r>
      <w:r w:rsidRPr="001048FE">
        <w:rPr>
          <w:spacing w:val="-10"/>
          <w:lang w:val="sl-SI"/>
        </w:rPr>
        <w:t xml:space="preserve"> </w:t>
      </w:r>
      <w:r w:rsidRPr="001048FE">
        <w:rPr>
          <w:lang w:val="sl-SI"/>
        </w:rPr>
        <w:t>prehoda</w:t>
      </w:r>
      <w:r w:rsidRPr="001048FE">
        <w:rPr>
          <w:spacing w:val="-10"/>
          <w:lang w:val="sl-SI"/>
        </w:rPr>
        <w:t xml:space="preserve"> </w:t>
      </w:r>
      <w:r w:rsidRPr="001048FE">
        <w:rPr>
          <w:lang w:val="sl-SI"/>
        </w:rPr>
        <w:t>v</w:t>
      </w:r>
      <w:r w:rsidRPr="001048FE">
        <w:rPr>
          <w:spacing w:val="-10"/>
          <w:lang w:val="sl-SI"/>
        </w:rPr>
        <w:t xml:space="preserve"> </w:t>
      </w:r>
      <w:r w:rsidRPr="001048FE">
        <w:rPr>
          <w:lang w:val="sl-SI"/>
        </w:rPr>
        <w:t>delovno</w:t>
      </w:r>
      <w:r w:rsidRPr="001048FE">
        <w:rPr>
          <w:spacing w:val="-10"/>
          <w:lang w:val="sl-SI"/>
        </w:rPr>
        <w:t xml:space="preserve"> </w:t>
      </w:r>
      <w:r w:rsidRPr="001048FE">
        <w:rPr>
          <w:lang w:val="sl-SI"/>
        </w:rPr>
        <w:t>silo</w:t>
      </w:r>
      <w:r w:rsidRPr="001048FE">
        <w:rPr>
          <w:spacing w:val="-10"/>
          <w:lang w:val="sl-SI"/>
        </w:rPr>
        <w:t xml:space="preserve"> </w:t>
      </w:r>
      <w:r w:rsidRPr="001048FE">
        <w:rPr>
          <w:lang w:val="sl-SI"/>
        </w:rPr>
        <w:t>ali</w:t>
      </w:r>
      <w:r w:rsidRPr="001048FE">
        <w:rPr>
          <w:spacing w:val="-10"/>
          <w:lang w:val="sl-SI"/>
        </w:rPr>
        <w:t xml:space="preserve"> </w:t>
      </w:r>
      <w:r w:rsidRPr="001048FE">
        <w:rPr>
          <w:lang w:val="sl-SI"/>
        </w:rPr>
        <w:t>med ravnmi</w:t>
      </w:r>
      <w:r w:rsidRPr="001048FE">
        <w:rPr>
          <w:spacing w:val="-3"/>
          <w:lang w:val="sl-SI"/>
        </w:rPr>
        <w:t xml:space="preserve"> </w:t>
      </w:r>
      <w:r w:rsidRPr="001048FE">
        <w:rPr>
          <w:lang w:val="sl-SI"/>
        </w:rPr>
        <w:t>izobraževanja;</w:t>
      </w:r>
    </w:p>
    <w:p w14:paraId="7D39A97D" w14:textId="77777777" w:rsidR="00E03711" w:rsidRPr="001048FE" w:rsidRDefault="00E03711" w:rsidP="005115F2">
      <w:pPr>
        <w:pStyle w:val="Guide-NormalBulletpoints"/>
        <w:numPr>
          <w:ilvl w:val="0"/>
          <w:numId w:val="443"/>
        </w:numPr>
        <w:rPr>
          <w:lang w:val="sl-SI"/>
        </w:rPr>
      </w:pPr>
      <w:r w:rsidRPr="001048FE">
        <w:rPr>
          <w:lang w:val="sl-SI"/>
        </w:rPr>
        <w:t>skupni raziskovalni projekti, ki se izvajajo prek partnerstev med visokošolskimi institucijami in drugimi ravnmi izobraževanja, na primer v zvezi z oceno ali učnimi izidi, povezanimi s prečnimi kompetencami;</w:t>
      </w:r>
    </w:p>
    <w:p w14:paraId="7D39A97E" w14:textId="77777777" w:rsidR="00E03711" w:rsidRPr="001048FE" w:rsidRDefault="00E03711" w:rsidP="005115F2">
      <w:pPr>
        <w:pStyle w:val="Guide-NormalBulletpoints"/>
        <w:numPr>
          <w:ilvl w:val="0"/>
          <w:numId w:val="443"/>
        </w:numPr>
        <w:rPr>
          <w:lang w:val="sl-SI"/>
        </w:rPr>
      </w:pPr>
      <w:r w:rsidRPr="001048FE">
        <w:rPr>
          <w:lang w:val="sl-SI"/>
        </w:rPr>
        <w:t>strateško</w:t>
      </w:r>
      <w:r w:rsidRPr="001048FE">
        <w:rPr>
          <w:spacing w:val="-25"/>
          <w:lang w:val="sl-SI"/>
        </w:rPr>
        <w:t xml:space="preserve"> </w:t>
      </w:r>
      <w:r w:rsidRPr="001048FE">
        <w:rPr>
          <w:lang w:val="sl-SI"/>
        </w:rPr>
        <w:t>sodelovanje</w:t>
      </w:r>
      <w:r w:rsidRPr="001048FE">
        <w:rPr>
          <w:spacing w:val="-25"/>
          <w:lang w:val="sl-SI"/>
        </w:rPr>
        <w:t xml:space="preserve"> </w:t>
      </w:r>
      <w:r w:rsidRPr="001048FE">
        <w:rPr>
          <w:lang w:val="sl-SI"/>
        </w:rPr>
        <w:t>med</w:t>
      </w:r>
      <w:r w:rsidRPr="001048FE">
        <w:rPr>
          <w:spacing w:val="-25"/>
          <w:lang w:val="sl-SI"/>
        </w:rPr>
        <w:t xml:space="preserve"> </w:t>
      </w:r>
      <w:r w:rsidRPr="001048FE">
        <w:rPr>
          <w:lang w:val="sl-SI"/>
        </w:rPr>
        <w:t>izvajalci</w:t>
      </w:r>
      <w:r w:rsidRPr="001048FE">
        <w:rPr>
          <w:spacing w:val="-25"/>
          <w:lang w:val="sl-SI"/>
        </w:rPr>
        <w:t xml:space="preserve"> </w:t>
      </w:r>
      <w:r w:rsidRPr="001048FE">
        <w:rPr>
          <w:lang w:val="sl-SI"/>
        </w:rPr>
        <w:t>formalnega</w:t>
      </w:r>
      <w:r w:rsidRPr="001048FE">
        <w:rPr>
          <w:spacing w:val="-25"/>
          <w:lang w:val="sl-SI"/>
        </w:rPr>
        <w:t xml:space="preserve"> </w:t>
      </w:r>
      <w:r w:rsidRPr="001048FE">
        <w:rPr>
          <w:lang w:val="sl-SI"/>
        </w:rPr>
        <w:t>in</w:t>
      </w:r>
      <w:r w:rsidRPr="001048FE">
        <w:rPr>
          <w:spacing w:val="-25"/>
          <w:lang w:val="sl-SI"/>
        </w:rPr>
        <w:t xml:space="preserve"> </w:t>
      </w:r>
      <w:r w:rsidRPr="001048FE">
        <w:rPr>
          <w:lang w:val="sl-SI"/>
        </w:rPr>
        <w:t>neformalnega/priložnostnega</w:t>
      </w:r>
      <w:r w:rsidRPr="001048FE">
        <w:rPr>
          <w:spacing w:val="-25"/>
          <w:lang w:val="sl-SI"/>
        </w:rPr>
        <w:t xml:space="preserve"> </w:t>
      </w:r>
      <w:r w:rsidRPr="001048FE">
        <w:rPr>
          <w:lang w:val="sl-SI"/>
        </w:rPr>
        <w:t>izobraževanja, na primer v zvezi s poučevanjem, ki temelji na IKT, ali povečanjem razširjenosti digitalnega učenja;</w:t>
      </w:r>
    </w:p>
    <w:p w14:paraId="7D39A97F" w14:textId="77777777" w:rsidR="00E03711" w:rsidRPr="001048FE" w:rsidRDefault="00E03711" w:rsidP="005115F2">
      <w:pPr>
        <w:pStyle w:val="Guide-NormalBulletpoints"/>
        <w:numPr>
          <w:ilvl w:val="0"/>
          <w:numId w:val="443"/>
        </w:numPr>
        <w:rPr>
          <w:lang w:val="sl-SI"/>
        </w:rPr>
      </w:pPr>
      <w:r w:rsidRPr="001048FE">
        <w:rPr>
          <w:lang w:val="sl-SI"/>
        </w:rPr>
        <w:t>preučevanje in analiza usklajenih pedagoških pristopov in metodologij, zlasti tistih, ki zagotavljajo prečne kompetence (kot je podjetništvo), ki se razvijajo v različnih izobraževalnih sektorjih;</w:t>
      </w:r>
    </w:p>
    <w:p w14:paraId="7D39A980" w14:textId="77777777" w:rsidR="007E310F" w:rsidRPr="001048FE" w:rsidRDefault="00E03711" w:rsidP="005115F2">
      <w:pPr>
        <w:pStyle w:val="Guide-NormalBulletpoints"/>
        <w:numPr>
          <w:ilvl w:val="0"/>
          <w:numId w:val="443"/>
        </w:numPr>
        <w:rPr>
          <w:lang w:val="sl-SI"/>
        </w:rPr>
      </w:pPr>
      <w:r w:rsidRPr="001048FE">
        <w:rPr>
          <w:lang w:val="sl-SI"/>
        </w:rPr>
        <w:t>mednarodno projektno sodelovanje med partnerji iz različnih izobraževalnih sektorjev (na primer zgodnje učenje v kombinaciji s srednješolskim izobraževanjem), namenjeno proučevanju uporabe CLIL</w:t>
      </w:r>
      <w:hyperlink r:id="rId187">
        <w:r w:rsidRPr="001048FE">
          <w:rPr>
            <w:rStyle w:val="FootnoteReference"/>
            <w:lang w:val="sl-SI"/>
          </w:rPr>
          <w:footnoteReference w:id="269"/>
        </w:r>
        <w:r w:rsidRPr="001048FE">
          <w:rPr>
            <w:sz w:val="20"/>
            <w:lang w:val="sl-SI"/>
          </w:rPr>
          <w:t xml:space="preserve"> </w:t>
        </w:r>
      </w:hyperlink>
      <w:r w:rsidR="007E310F" w:rsidRPr="001048FE">
        <w:rPr>
          <w:lang w:val="sl-SI"/>
        </w:rPr>
        <w:t>ali vzajemnega učenja za izboljšanje znanja jezikov med učenci vseh starosti z različnih področij izobraževanja, usposabljanja in mladine, vključno z učenci s priseljenskim ozadjem;</w:t>
      </w:r>
    </w:p>
    <w:p w14:paraId="7D39A981" w14:textId="77777777" w:rsidR="007E310F" w:rsidRPr="001048FE" w:rsidRDefault="007E310F" w:rsidP="005115F2">
      <w:pPr>
        <w:pStyle w:val="Guide-NormalBulletpoints"/>
        <w:numPr>
          <w:ilvl w:val="0"/>
          <w:numId w:val="443"/>
        </w:numPr>
        <w:rPr>
          <w:lang w:val="sl-SI"/>
        </w:rPr>
      </w:pPr>
      <w:r w:rsidRPr="001048FE">
        <w:rPr>
          <w:lang w:val="sl-SI"/>
        </w:rPr>
        <w:t>sodelovanje</w:t>
      </w:r>
      <w:r w:rsidRPr="001048FE">
        <w:rPr>
          <w:spacing w:val="-21"/>
          <w:lang w:val="sl-SI"/>
        </w:rPr>
        <w:t xml:space="preserve"> </w:t>
      </w:r>
      <w:r w:rsidRPr="001048FE">
        <w:rPr>
          <w:lang w:val="sl-SI"/>
        </w:rPr>
        <w:t>in</w:t>
      </w:r>
      <w:r w:rsidRPr="001048FE">
        <w:rPr>
          <w:spacing w:val="-21"/>
          <w:lang w:val="sl-SI"/>
        </w:rPr>
        <w:t xml:space="preserve"> </w:t>
      </w:r>
      <w:r w:rsidRPr="001048FE">
        <w:rPr>
          <w:lang w:val="sl-SI"/>
        </w:rPr>
        <w:t>izmenjava</w:t>
      </w:r>
      <w:r w:rsidRPr="001048FE">
        <w:rPr>
          <w:spacing w:val="-21"/>
          <w:lang w:val="sl-SI"/>
        </w:rPr>
        <w:t xml:space="preserve"> </w:t>
      </w:r>
      <w:r w:rsidRPr="001048FE">
        <w:rPr>
          <w:lang w:val="sl-SI"/>
        </w:rPr>
        <w:t>praks</w:t>
      </w:r>
      <w:r w:rsidRPr="001048FE">
        <w:rPr>
          <w:spacing w:val="-21"/>
          <w:lang w:val="sl-SI"/>
        </w:rPr>
        <w:t xml:space="preserve"> </w:t>
      </w:r>
      <w:r w:rsidRPr="001048FE">
        <w:rPr>
          <w:lang w:val="sl-SI"/>
        </w:rPr>
        <w:t>med</w:t>
      </w:r>
      <w:r w:rsidRPr="001048FE">
        <w:rPr>
          <w:spacing w:val="-21"/>
          <w:lang w:val="sl-SI"/>
        </w:rPr>
        <w:t xml:space="preserve"> </w:t>
      </w:r>
      <w:r w:rsidRPr="001048FE">
        <w:rPr>
          <w:lang w:val="sl-SI"/>
        </w:rPr>
        <w:t>osebjem,</w:t>
      </w:r>
      <w:r w:rsidRPr="001048FE">
        <w:rPr>
          <w:spacing w:val="-20"/>
          <w:lang w:val="sl-SI"/>
        </w:rPr>
        <w:t xml:space="preserve"> </w:t>
      </w:r>
      <w:r w:rsidRPr="001048FE">
        <w:rPr>
          <w:lang w:val="sl-SI"/>
        </w:rPr>
        <w:t>ki</w:t>
      </w:r>
      <w:r w:rsidRPr="001048FE">
        <w:rPr>
          <w:spacing w:val="-21"/>
          <w:lang w:val="sl-SI"/>
        </w:rPr>
        <w:t xml:space="preserve"> </w:t>
      </w:r>
      <w:r w:rsidRPr="001048FE">
        <w:rPr>
          <w:lang w:val="sl-SI"/>
        </w:rPr>
        <w:t>je</w:t>
      </w:r>
      <w:r w:rsidRPr="001048FE">
        <w:rPr>
          <w:spacing w:val="-21"/>
          <w:lang w:val="sl-SI"/>
        </w:rPr>
        <w:t xml:space="preserve"> </w:t>
      </w:r>
      <w:r w:rsidRPr="001048FE">
        <w:rPr>
          <w:lang w:val="sl-SI"/>
        </w:rPr>
        <w:t>odgovorno</w:t>
      </w:r>
      <w:r w:rsidRPr="001048FE">
        <w:rPr>
          <w:spacing w:val="-20"/>
          <w:lang w:val="sl-SI"/>
        </w:rPr>
        <w:t xml:space="preserve"> </w:t>
      </w:r>
      <w:r w:rsidRPr="001048FE">
        <w:rPr>
          <w:lang w:val="sl-SI"/>
        </w:rPr>
        <w:t>za</w:t>
      </w:r>
      <w:r w:rsidRPr="001048FE">
        <w:rPr>
          <w:spacing w:val="-21"/>
          <w:lang w:val="sl-SI"/>
        </w:rPr>
        <w:t xml:space="preserve"> </w:t>
      </w:r>
      <w:r w:rsidRPr="001048FE">
        <w:rPr>
          <w:lang w:val="sl-SI"/>
        </w:rPr>
        <w:t>svetovalne</w:t>
      </w:r>
      <w:r w:rsidRPr="001048FE">
        <w:rPr>
          <w:spacing w:val="-21"/>
          <w:lang w:val="sl-SI"/>
        </w:rPr>
        <w:t xml:space="preserve"> </w:t>
      </w:r>
      <w:r w:rsidRPr="001048FE">
        <w:rPr>
          <w:lang w:val="sl-SI"/>
        </w:rPr>
        <w:t>službe</w:t>
      </w:r>
      <w:r w:rsidRPr="001048FE">
        <w:rPr>
          <w:spacing w:val="-21"/>
          <w:lang w:val="sl-SI"/>
        </w:rPr>
        <w:t xml:space="preserve"> </w:t>
      </w:r>
      <w:r w:rsidRPr="001048FE">
        <w:rPr>
          <w:lang w:val="sl-SI"/>
        </w:rPr>
        <w:t>na</w:t>
      </w:r>
      <w:r w:rsidRPr="001048FE">
        <w:rPr>
          <w:spacing w:val="-21"/>
          <w:lang w:val="sl-SI"/>
        </w:rPr>
        <w:t xml:space="preserve"> </w:t>
      </w:r>
      <w:r w:rsidRPr="001048FE">
        <w:rPr>
          <w:lang w:val="sl-SI"/>
        </w:rPr>
        <w:t>različnih ravneh izobraževanja (na primer usmerjanje, svetovanje, metode in orodja za mentorstvo, razvoj sistemov, ki pomagajo slediti napredku dijaka/študenta); ali tistim osebjem, ki je vključeno v svetovalne službe, da se okrepi kakovost in doslednost med izobraževanimi sektorji;</w:t>
      </w:r>
    </w:p>
    <w:p w14:paraId="7D39A982" w14:textId="77777777" w:rsidR="007E310F" w:rsidRPr="001048FE" w:rsidRDefault="007E310F" w:rsidP="005115F2">
      <w:pPr>
        <w:pStyle w:val="Guide-NormalBulletpoints"/>
        <w:numPr>
          <w:ilvl w:val="0"/>
          <w:numId w:val="443"/>
        </w:numPr>
        <w:rPr>
          <w:lang w:val="sl-SI"/>
        </w:rPr>
      </w:pPr>
      <w:r w:rsidRPr="001048FE">
        <w:rPr>
          <w:lang w:val="sl-SI"/>
        </w:rPr>
        <w:t>partnerstva</w:t>
      </w:r>
      <w:r w:rsidRPr="001048FE">
        <w:rPr>
          <w:spacing w:val="-11"/>
          <w:lang w:val="sl-SI"/>
        </w:rPr>
        <w:t xml:space="preserve"> </w:t>
      </w:r>
      <w:r w:rsidRPr="001048FE">
        <w:rPr>
          <w:lang w:val="sl-SI"/>
        </w:rPr>
        <w:t>na</w:t>
      </w:r>
      <w:r w:rsidRPr="001048FE">
        <w:rPr>
          <w:spacing w:val="-11"/>
          <w:lang w:val="sl-SI"/>
        </w:rPr>
        <w:t xml:space="preserve"> </w:t>
      </w:r>
      <w:r w:rsidRPr="001048FE">
        <w:rPr>
          <w:lang w:val="sl-SI"/>
        </w:rPr>
        <w:t>različnih</w:t>
      </w:r>
      <w:r w:rsidRPr="001048FE">
        <w:rPr>
          <w:spacing w:val="-11"/>
          <w:lang w:val="sl-SI"/>
        </w:rPr>
        <w:t xml:space="preserve"> </w:t>
      </w:r>
      <w:r w:rsidRPr="001048FE">
        <w:rPr>
          <w:lang w:val="sl-SI"/>
        </w:rPr>
        <w:t>ravneh</w:t>
      </w:r>
      <w:r w:rsidRPr="001048FE">
        <w:rPr>
          <w:spacing w:val="-11"/>
          <w:lang w:val="sl-SI"/>
        </w:rPr>
        <w:t xml:space="preserve"> </w:t>
      </w:r>
      <w:r w:rsidRPr="001048FE">
        <w:rPr>
          <w:lang w:val="sl-SI"/>
        </w:rPr>
        <w:t>izobraževanja,</w:t>
      </w:r>
      <w:r w:rsidRPr="001048FE">
        <w:rPr>
          <w:spacing w:val="-11"/>
          <w:lang w:val="sl-SI"/>
        </w:rPr>
        <w:t xml:space="preserve"> </w:t>
      </w:r>
      <w:r w:rsidRPr="001048FE">
        <w:rPr>
          <w:lang w:val="sl-SI"/>
        </w:rPr>
        <w:t>ki</w:t>
      </w:r>
      <w:r w:rsidRPr="001048FE">
        <w:rPr>
          <w:spacing w:val="-11"/>
          <w:lang w:val="sl-SI"/>
        </w:rPr>
        <w:t xml:space="preserve"> </w:t>
      </w:r>
      <w:r w:rsidRPr="001048FE">
        <w:rPr>
          <w:lang w:val="sl-SI"/>
        </w:rPr>
        <w:t>spodbujajo</w:t>
      </w:r>
      <w:r w:rsidRPr="001048FE">
        <w:rPr>
          <w:spacing w:val="-11"/>
          <w:lang w:val="sl-SI"/>
        </w:rPr>
        <w:t xml:space="preserve"> </w:t>
      </w:r>
      <w:r w:rsidRPr="001048FE">
        <w:rPr>
          <w:lang w:val="sl-SI"/>
        </w:rPr>
        <w:t>dostop</w:t>
      </w:r>
      <w:r w:rsidRPr="001048FE">
        <w:rPr>
          <w:spacing w:val="-11"/>
          <w:lang w:val="sl-SI"/>
        </w:rPr>
        <w:t xml:space="preserve"> </w:t>
      </w:r>
      <w:r w:rsidRPr="001048FE">
        <w:rPr>
          <w:lang w:val="sl-SI"/>
        </w:rPr>
        <w:t>do</w:t>
      </w:r>
      <w:r w:rsidRPr="001048FE">
        <w:rPr>
          <w:spacing w:val="-11"/>
          <w:lang w:val="sl-SI"/>
        </w:rPr>
        <w:t xml:space="preserve"> </w:t>
      </w:r>
      <w:r w:rsidRPr="001048FE">
        <w:rPr>
          <w:lang w:val="sl-SI"/>
        </w:rPr>
        <w:t>prosto</w:t>
      </w:r>
      <w:r w:rsidRPr="001048FE">
        <w:rPr>
          <w:spacing w:val="-11"/>
          <w:lang w:val="sl-SI"/>
        </w:rPr>
        <w:t xml:space="preserve"> </w:t>
      </w:r>
      <w:r w:rsidRPr="001048FE">
        <w:rPr>
          <w:lang w:val="sl-SI"/>
        </w:rPr>
        <w:t>dostopnih</w:t>
      </w:r>
      <w:r w:rsidRPr="001048FE">
        <w:rPr>
          <w:spacing w:val="-11"/>
          <w:lang w:val="sl-SI"/>
        </w:rPr>
        <w:t xml:space="preserve"> </w:t>
      </w:r>
      <w:r w:rsidRPr="001048FE">
        <w:rPr>
          <w:lang w:val="sl-SI"/>
        </w:rPr>
        <w:t>učnih virov (PDUV) in učenja prek njih z izmenjavo dobre prakse in razvojem PDUV na različnih ravneh;</w:t>
      </w:r>
    </w:p>
    <w:p w14:paraId="7D39A983" w14:textId="77777777" w:rsidR="007E310F" w:rsidRPr="001048FE" w:rsidRDefault="007E310F" w:rsidP="005115F2">
      <w:pPr>
        <w:pStyle w:val="Guide-NormalBulletpoints"/>
        <w:numPr>
          <w:ilvl w:val="0"/>
          <w:numId w:val="443"/>
        </w:numPr>
        <w:rPr>
          <w:lang w:val="sl-SI"/>
        </w:rPr>
      </w:pPr>
      <w:r w:rsidRPr="001048FE">
        <w:rPr>
          <w:lang w:val="sl-SI"/>
        </w:rPr>
        <w:t>skupni raziskovalni projekti, ki vključujejo partnerstva v različnih sektorjih izobraževanja in mladine, namenjena raziskovanju potenciala učne analitike in ocenjevanja množic, da bi se izboljšala kakovost učenja;</w:t>
      </w:r>
    </w:p>
    <w:p w14:paraId="7D39A984" w14:textId="77777777" w:rsidR="007E310F" w:rsidRPr="001048FE" w:rsidRDefault="007E310F" w:rsidP="005115F2">
      <w:pPr>
        <w:pStyle w:val="Guide-NormalBulletpoints"/>
        <w:numPr>
          <w:ilvl w:val="0"/>
          <w:numId w:val="443"/>
        </w:numPr>
        <w:rPr>
          <w:lang w:val="sl-SI"/>
        </w:rPr>
      </w:pPr>
      <w:r w:rsidRPr="001048FE">
        <w:rPr>
          <w:lang w:val="sl-SI"/>
        </w:rPr>
        <w:t>sodelovanje</w:t>
      </w:r>
      <w:r w:rsidRPr="001048FE">
        <w:rPr>
          <w:spacing w:val="-16"/>
          <w:lang w:val="sl-SI"/>
        </w:rPr>
        <w:t xml:space="preserve"> </w:t>
      </w:r>
      <w:r w:rsidRPr="001048FE">
        <w:rPr>
          <w:lang w:val="sl-SI"/>
        </w:rPr>
        <w:t>med</w:t>
      </w:r>
      <w:r w:rsidRPr="001048FE">
        <w:rPr>
          <w:spacing w:val="-16"/>
          <w:lang w:val="sl-SI"/>
        </w:rPr>
        <w:t xml:space="preserve"> </w:t>
      </w:r>
      <w:r w:rsidRPr="001048FE">
        <w:rPr>
          <w:lang w:val="sl-SI"/>
        </w:rPr>
        <w:t>šolami,</w:t>
      </w:r>
      <w:r w:rsidRPr="001048FE">
        <w:rPr>
          <w:spacing w:val="-16"/>
          <w:lang w:val="sl-SI"/>
        </w:rPr>
        <w:t xml:space="preserve"> </w:t>
      </w:r>
      <w:r w:rsidRPr="001048FE">
        <w:rPr>
          <w:lang w:val="sl-SI"/>
        </w:rPr>
        <w:t>ponudniki</w:t>
      </w:r>
      <w:r w:rsidRPr="001048FE">
        <w:rPr>
          <w:spacing w:val="-16"/>
          <w:lang w:val="sl-SI"/>
        </w:rPr>
        <w:t xml:space="preserve"> </w:t>
      </w:r>
      <w:r w:rsidRPr="001048FE">
        <w:rPr>
          <w:lang w:val="sl-SI"/>
        </w:rPr>
        <w:t>PIU</w:t>
      </w:r>
      <w:r w:rsidRPr="001048FE">
        <w:rPr>
          <w:spacing w:val="-16"/>
          <w:lang w:val="sl-SI"/>
        </w:rPr>
        <w:t xml:space="preserve"> </w:t>
      </w:r>
      <w:r w:rsidRPr="001048FE">
        <w:rPr>
          <w:lang w:val="sl-SI"/>
        </w:rPr>
        <w:t>in</w:t>
      </w:r>
      <w:r w:rsidRPr="001048FE">
        <w:rPr>
          <w:spacing w:val="-16"/>
          <w:lang w:val="sl-SI"/>
        </w:rPr>
        <w:t xml:space="preserve"> </w:t>
      </w:r>
      <w:r w:rsidRPr="001048FE">
        <w:rPr>
          <w:lang w:val="sl-SI"/>
        </w:rPr>
        <w:t>visokošolskimi</w:t>
      </w:r>
      <w:r w:rsidRPr="001048FE">
        <w:rPr>
          <w:spacing w:val="-16"/>
          <w:lang w:val="sl-SI"/>
        </w:rPr>
        <w:t xml:space="preserve"> </w:t>
      </w:r>
      <w:r w:rsidRPr="001048FE">
        <w:rPr>
          <w:lang w:val="sl-SI"/>
        </w:rPr>
        <w:t>institucijami</w:t>
      </w:r>
      <w:r w:rsidRPr="001048FE">
        <w:rPr>
          <w:spacing w:val="-16"/>
          <w:lang w:val="sl-SI"/>
        </w:rPr>
        <w:t xml:space="preserve"> </w:t>
      </w:r>
      <w:r w:rsidRPr="001048FE">
        <w:rPr>
          <w:lang w:val="sl-SI"/>
        </w:rPr>
        <w:t>za</w:t>
      </w:r>
      <w:r w:rsidRPr="001048FE">
        <w:rPr>
          <w:spacing w:val="-16"/>
          <w:lang w:val="sl-SI"/>
        </w:rPr>
        <w:t xml:space="preserve"> </w:t>
      </w:r>
      <w:r w:rsidRPr="001048FE">
        <w:rPr>
          <w:lang w:val="sl-SI"/>
        </w:rPr>
        <w:t>raziskovanje aktivnosti, namenjenih spodbujanju močnejše skladnosti med različnimi orodji EU in nacionalnimi orodji za preglednost in</w:t>
      </w:r>
      <w:r w:rsidRPr="001048FE">
        <w:rPr>
          <w:spacing w:val="-10"/>
          <w:lang w:val="sl-SI"/>
        </w:rPr>
        <w:t xml:space="preserve"> </w:t>
      </w:r>
      <w:r w:rsidRPr="001048FE">
        <w:rPr>
          <w:lang w:val="sl-SI"/>
        </w:rPr>
        <w:t>priznavanje;</w:t>
      </w:r>
    </w:p>
    <w:p w14:paraId="7D39A985" w14:textId="77777777" w:rsidR="007E310F" w:rsidRPr="001048FE" w:rsidRDefault="007E310F" w:rsidP="005115F2">
      <w:pPr>
        <w:pStyle w:val="Guide-NormalBulletpoints"/>
        <w:numPr>
          <w:ilvl w:val="0"/>
          <w:numId w:val="443"/>
        </w:numPr>
        <w:rPr>
          <w:lang w:val="sl-SI"/>
        </w:rPr>
      </w:pPr>
      <w:r w:rsidRPr="001048FE">
        <w:rPr>
          <w:lang w:val="sl-SI"/>
        </w:rPr>
        <w:t>sodelovanje med mladinskim sektorjem in visokošolskimi institucijami, da bi se olajšalo priznavanje in potrjevanje neformalnega ter priložnostnega učenja in prehajanje s tega učenja na formalne izobraževalne poti ter prehajanje med različnimi področji.</w:t>
      </w:r>
    </w:p>
    <w:p w14:paraId="7D39A986" w14:textId="77777777" w:rsidR="007E310F" w:rsidRPr="001048FE" w:rsidRDefault="007E310F" w:rsidP="00DB793B">
      <w:pPr>
        <w:pStyle w:val="Guide-Heading5"/>
        <w:rPr>
          <w:lang w:val="sl-SI"/>
        </w:rPr>
      </w:pPr>
      <w:r w:rsidRPr="001048FE">
        <w:rPr>
          <w:lang w:val="sl-SI"/>
        </w:rPr>
        <w:t>Visokošolsko izobraževanje</w:t>
      </w:r>
    </w:p>
    <w:p w14:paraId="7D39A987" w14:textId="77777777" w:rsidR="00DB793B" w:rsidRPr="001048FE" w:rsidRDefault="007E310F" w:rsidP="005115F2">
      <w:pPr>
        <w:pStyle w:val="GUIDE-NORMAL"/>
        <w:numPr>
          <w:ilvl w:val="0"/>
          <w:numId w:val="490"/>
        </w:numPr>
        <w:rPr>
          <w:lang w:val="sl-SI"/>
        </w:rPr>
      </w:pPr>
      <w:r w:rsidRPr="001048FE">
        <w:rPr>
          <w:lang w:val="sl-SI"/>
        </w:rPr>
        <w:t xml:space="preserve">Razvijanje, preskušanje, prilagajanje in izvajanje inovativnih praks v zvezi z naslednjim: </w:t>
      </w:r>
    </w:p>
    <w:p w14:paraId="7D39A988" w14:textId="77777777" w:rsidR="007E310F" w:rsidRPr="001048FE" w:rsidRDefault="007E310F" w:rsidP="005115F2">
      <w:pPr>
        <w:pStyle w:val="Guide-NormalBulletpoints"/>
        <w:numPr>
          <w:ilvl w:val="1"/>
          <w:numId w:val="491"/>
        </w:numPr>
        <w:rPr>
          <w:lang w:val="sl-SI"/>
        </w:rPr>
      </w:pPr>
      <w:r w:rsidRPr="001048FE">
        <w:rPr>
          <w:lang w:val="sl-SI"/>
        </w:rPr>
        <w:t>skupni študijski programi in skupni učni načrti, intenzivni programi in skupni moduli, vključno z e-moduli, med člani partnerstev iz različnih držav, disciplin in gospodarskih sektorjev (javnih/zasebnih), pri čemer se zagotavlja ustreznost glede na potrebe trga dela;</w:t>
      </w:r>
    </w:p>
    <w:p w14:paraId="7D39A989" w14:textId="77777777" w:rsidR="007E310F" w:rsidRPr="001048FE" w:rsidRDefault="007E310F" w:rsidP="005115F2">
      <w:pPr>
        <w:pStyle w:val="Guide-NormalBulletpoints"/>
        <w:numPr>
          <w:ilvl w:val="1"/>
          <w:numId w:val="491"/>
        </w:numPr>
        <w:rPr>
          <w:lang w:val="sl-SI"/>
        </w:rPr>
      </w:pPr>
      <w:r w:rsidRPr="001048FE">
        <w:rPr>
          <w:lang w:val="sl-SI"/>
        </w:rPr>
        <w:t>mednarodno projektno sodelovanje med podjetji in študenti/osebjem na visokošolskih institucijah za obravnavanje primerov iz resničnega življenja;</w:t>
      </w:r>
    </w:p>
    <w:p w14:paraId="7D39A98A" w14:textId="77777777" w:rsidR="007E310F" w:rsidRPr="001048FE" w:rsidRDefault="007E310F" w:rsidP="005115F2">
      <w:pPr>
        <w:pStyle w:val="Guide-NormalBulletpoints"/>
        <w:numPr>
          <w:ilvl w:val="1"/>
          <w:numId w:val="491"/>
        </w:numPr>
        <w:rPr>
          <w:lang w:val="sl-SI"/>
        </w:rPr>
      </w:pPr>
      <w:r w:rsidRPr="001048FE">
        <w:rPr>
          <w:lang w:val="sl-SI"/>
        </w:rPr>
        <w:t>pedagoški pristopi in metodologije, zlasti tisti, ki zagotavljajo prečne kompetence, podjetniško naravnanost in ustvarjalno razmišljanje, vključno z uvajanjem več-, nad- in interdisciplinarnih pristopov, ki učno mobilnost bolj sistematično vključujejo v učne načrte („vključena mobilnost“) in bolje uporabljajo IKT;</w:t>
      </w:r>
    </w:p>
    <w:p w14:paraId="7D39A98B" w14:textId="77777777" w:rsidR="00DB793B" w:rsidRPr="001048FE" w:rsidRDefault="007E310F" w:rsidP="005115F2">
      <w:pPr>
        <w:pStyle w:val="Guide-NormalBulletpoints"/>
        <w:numPr>
          <w:ilvl w:val="1"/>
          <w:numId w:val="491"/>
        </w:numPr>
        <w:rPr>
          <w:lang w:val="sl-SI"/>
        </w:rPr>
      </w:pPr>
      <w:r w:rsidRPr="001048FE">
        <w:rPr>
          <w:lang w:val="sl-SI"/>
        </w:rPr>
        <w:t xml:space="preserve">vključevanje bolj raznovrstnih načinov študija (izredni študij, učenje na daljavo in po modulih) zlasti z novimi oblikami posamezniku prilagojenega učenja, strateško uporabo prosto dostopnih učnih virov ter virtualne mobilnosti in virtualnih platform za učenje; </w:t>
      </w:r>
    </w:p>
    <w:p w14:paraId="7D39A98C" w14:textId="77777777" w:rsidR="007E310F" w:rsidRPr="001048FE" w:rsidRDefault="007E310F" w:rsidP="005115F2">
      <w:pPr>
        <w:pStyle w:val="Guide-NormalBulletpoints"/>
        <w:numPr>
          <w:ilvl w:val="1"/>
          <w:numId w:val="491"/>
        </w:numPr>
        <w:rPr>
          <w:lang w:val="sl-SI"/>
        </w:rPr>
      </w:pPr>
      <w:r w:rsidRPr="001048FE">
        <w:rPr>
          <w:lang w:val="sl-SI"/>
        </w:rPr>
        <w:t>novi pristopi za lajšanje prehajanja med izobraževalnimi sektorji (tj. s potrjevanjem predhodnega učenja in možnostjo prilagodljivega učenja – učenje po modulih, kombinirano učenje itd.);</w:t>
      </w:r>
    </w:p>
    <w:p w14:paraId="7D39A98D" w14:textId="77777777" w:rsidR="007E310F" w:rsidRPr="001048FE" w:rsidRDefault="007E310F" w:rsidP="005115F2">
      <w:pPr>
        <w:pStyle w:val="Guide-NormalBulletpoints"/>
        <w:numPr>
          <w:ilvl w:val="1"/>
          <w:numId w:val="491"/>
        </w:numPr>
        <w:rPr>
          <w:lang w:val="sl-SI"/>
        </w:rPr>
      </w:pPr>
      <w:r w:rsidRPr="001048FE">
        <w:rPr>
          <w:lang w:val="sl-SI"/>
        </w:rPr>
        <w:t>strokovno usmerjanje in svetovanje ter metode in orodja za mentorstvo;</w:t>
      </w:r>
    </w:p>
    <w:p w14:paraId="7D39A98E" w14:textId="77777777" w:rsidR="007E310F" w:rsidRPr="00323854" w:rsidRDefault="007E310F" w:rsidP="005115F2">
      <w:pPr>
        <w:pStyle w:val="Guide-NormalBulletpoints"/>
        <w:numPr>
          <w:ilvl w:val="1"/>
          <w:numId w:val="491"/>
        </w:numPr>
        <w:rPr>
          <w:lang w:val="sl-SI"/>
        </w:rPr>
      </w:pPr>
      <w:r w:rsidRPr="001048FE">
        <w:rPr>
          <w:lang w:val="sl-SI"/>
        </w:rPr>
        <w:t xml:space="preserve">sodelovanje visokošolskih institucij z lokalnimi/regionalnimi organi in drugimi deležniki na podlagi skupnega dela v mednarodnem okolju za spodbujanje regionalnega razvoja in sodelovanja med sektorji, da se gradijo mostovi in izmenjuje znanje med različnimi sektorji formalnega ter priložnostnega izobraževanja in </w:t>
      </w:r>
      <w:r w:rsidRPr="00323854">
        <w:rPr>
          <w:lang w:val="sl-SI"/>
        </w:rPr>
        <w:t>usposabljanja;</w:t>
      </w:r>
    </w:p>
    <w:p w14:paraId="7D39A98F" w14:textId="77777777" w:rsidR="007E310F" w:rsidRPr="001048FE" w:rsidRDefault="007E310F" w:rsidP="005115F2">
      <w:pPr>
        <w:pStyle w:val="Guide-NormalBulletpoints"/>
        <w:numPr>
          <w:ilvl w:val="1"/>
          <w:numId w:val="491"/>
        </w:numPr>
        <w:rPr>
          <w:lang w:val="sl-SI"/>
        </w:rPr>
      </w:pPr>
      <w:r w:rsidRPr="001048FE">
        <w:rPr>
          <w:lang w:val="sl-SI"/>
        </w:rPr>
        <w:t>sodelovanje in izmenjava praks med osebjem, ki je odgovorno za svetovalne službe, na primer usmerjanje, svetovanje, metode in orodja za mentorstvo, razvoj sistemov, ki pomagajo slediti napredku študenta; ali tistemu osebju, ki je vključeno v študentske svetovalne službe, da se okrepi kakovost (tj. pritegne in ohrani netradicionalne študente, npr. odrasle in slabo zastopane skupine v visokošolskem izobraževanju);</w:t>
      </w:r>
    </w:p>
    <w:p w14:paraId="7D39A990" w14:textId="77777777" w:rsidR="007E310F" w:rsidRPr="001048FE" w:rsidRDefault="007E310F" w:rsidP="005115F2">
      <w:pPr>
        <w:pStyle w:val="GUIDE-NORMAL"/>
        <w:numPr>
          <w:ilvl w:val="0"/>
          <w:numId w:val="490"/>
        </w:numPr>
        <w:rPr>
          <w:lang w:val="sl-SI"/>
        </w:rPr>
      </w:pPr>
      <w:r w:rsidRPr="001048FE">
        <w:rPr>
          <w:lang w:val="sl-SI"/>
        </w:rPr>
        <w:t>lajšanje priznavanja in potrjevanja spretnosti in kompetenc na nacionalni ravni z učinkovitim zagotavljanjem kakovosti, ki temelji na učnih izidih, ter z upoštevanjem evropskih in nacionalnih ogrodij kvalifikacij;</w:t>
      </w:r>
    </w:p>
    <w:p w14:paraId="7D39A991" w14:textId="77777777" w:rsidR="007E310F" w:rsidRPr="00237696" w:rsidRDefault="007E310F" w:rsidP="005115F2">
      <w:pPr>
        <w:pStyle w:val="GUIDE-NORMAL"/>
        <w:numPr>
          <w:ilvl w:val="0"/>
          <w:numId w:val="490"/>
        </w:numPr>
        <w:rPr>
          <w:lang w:val="sl-SI"/>
        </w:rPr>
      </w:pPr>
      <w:r w:rsidRPr="001048FE">
        <w:rPr>
          <w:lang w:val="sl-SI"/>
        </w:rPr>
        <w:t>razvoj fleksibilnih učnih poti za študente in diplomante v visokošolskem izobraževanju, vključno s potrjevanjem njihovega predhodnega izobraževanja.</w:t>
      </w:r>
    </w:p>
    <w:p w14:paraId="7D39A992" w14:textId="77777777" w:rsidR="007E310F" w:rsidRPr="001048FE" w:rsidRDefault="007E310F" w:rsidP="00B320BB">
      <w:pPr>
        <w:pStyle w:val="Guide-Heading5"/>
        <w:rPr>
          <w:lang w:val="sl-SI"/>
        </w:rPr>
      </w:pPr>
      <w:r w:rsidRPr="001048FE">
        <w:rPr>
          <w:lang w:val="sl-SI"/>
        </w:rPr>
        <w:t>Poklicno izobraževanje in usposabljanje</w:t>
      </w:r>
    </w:p>
    <w:p w14:paraId="7D39A993" w14:textId="77777777" w:rsidR="007E310F" w:rsidRPr="001048FE" w:rsidRDefault="007E310F" w:rsidP="005115F2">
      <w:pPr>
        <w:pStyle w:val="GUIDE-NORMAL"/>
        <w:numPr>
          <w:ilvl w:val="0"/>
          <w:numId w:val="491"/>
        </w:numPr>
        <w:rPr>
          <w:lang w:val="sl-SI"/>
        </w:rPr>
      </w:pPr>
      <w:r w:rsidRPr="001048FE">
        <w:rPr>
          <w:lang w:val="sl-SI"/>
        </w:rPr>
        <w:t>Razvijanje,</w:t>
      </w:r>
      <w:r w:rsidRPr="001048FE">
        <w:rPr>
          <w:spacing w:val="-17"/>
          <w:lang w:val="sl-SI"/>
        </w:rPr>
        <w:t xml:space="preserve"> </w:t>
      </w:r>
      <w:r w:rsidRPr="001048FE">
        <w:rPr>
          <w:lang w:val="sl-SI"/>
        </w:rPr>
        <w:t>preskušanje,</w:t>
      </w:r>
      <w:r w:rsidRPr="001048FE">
        <w:rPr>
          <w:spacing w:val="-17"/>
          <w:lang w:val="sl-SI"/>
        </w:rPr>
        <w:t xml:space="preserve"> </w:t>
      </w:r>
      <w:r w:rsidRPr="001048FE">
        <w:rPr>
          <w:lang w:val="sl-SI"/>
        </w:rPr>
        <w:t>prilagajanje</w:t>
      </w:r>
      <w:r w:rsidRPr="001048FE">
        <w:rPr>
          <w:spacing w:val="-17"/>
          <w:lang w:val="sl-SI"/>
        </w:rPr>
        <w:t xml:space="preserve"> </w:t>
      </w:r>
      <w:r w:rsidRPr="001048FE">
        <w:rPr>
          <w:lang w:val="sl-SI"/>
        </w:rPr>
        <w:t>in</w:t>
      </w:r>
      <w:r w:rsidRPr="001048FE">
        <w:rPr>
          <w:spacing w:val="-17"/>
          <w:lang w:val="sl-SI"/>
        </w:rPr>
        <w:t xml:space="preserve"> </w:t>
      </w:r>
      <w:r w:rsidRPr="001048FE">
        <w:rPr>
          <w:lang w:val="sl-SI"/>
        </w:rPr>
        <w:t>sprejemanje/izvajanje</w:t>
      </w:r>
      <w:r w:rsidRPr="001048FE">
        <w:rPr>
          <w:spacing w:val="-17"/>
          <w:lang w:val="sl-SI"/>
        </w:rPr>
        <w:t xml:space="preserve"> </w:t>
      </w:r>
      <w:r w:rsidRPr="001048FE">
        <w:rPr>
          <w:lang w:val="sl-SI"/>
        </w:rPr>
        <w:t>inovativnih</w:t>
      </w:r>
      <w:r w:rsidRPr="001048FE">
        <w:rPr>
          <w:spacing w:val="-17"/>
          <w:lang w:val="sl-SI"/>
        </w:rPr>
        <w:t xml:space="preserve"> </w:t>
      </w:r>
      <w:r w:rsidRPr="001048FE">
        <w:rPr>
          <w:lang w:val="sl-SI"/>
        </w:rPr>
        <w:t>praks</w:t>
      </w:r>
      <w:r w:rsidRPr="001048FE">
        <w:rPr>
          <w:spacing w:val="-17"/>
          <w:lang w:val="sl-SI"/>
        </w:rPr>
        <w:t xml:space="preserve"> </w:t>
      </w:r>
      <w:r w:rsidRPr="001048FE">
        <w:rPr>
          <w:lang w:val="sl-SI"/>
        </w:rPr>
        <w:t>v</w:t>
      </w:r>
      <w:r w:rsidRPr="001048FE">
        <w:rPr>
          <w:spacing w:val="-17"/>
          <w:lang w:val="sl-SI"/>
        </w:rPr>
        <w:t xml:space="preserve"> </w:t>
      </w:r>
      <w:r w:rsidRPr="001048FE">
        <w:rPr>
          <w:lang w:val="sl-SI"/>
        </w:rPr>
        <w:t>zvezi</w:t>
      </w:r>
      <w:r w:rsidRPr="001048FE">
        <w:rPr>
          <w:spacing w:val="-17"/>
          <w:lang w:val="sl-SI"/>
        </w:rPr>
        <w:t xml:space="preserve"> </w:t>
      </w:r>
      <w:r w:rsidRPr="001048FE">
        <w:rPr>
          <w:lang w:val="sl-SI"/>
        </w:rPr>
        <w:t>z naslednjim:</w:t>
      </w:r>
    </w:p>
    <w:p w14:paraId="7D39A994" w14:textId="77777777" w:rsidR="007E310F" w:rsidRPr="001048FE" w:rsidRDefault="007E310F" w:rsidP="005115F2">
      <w:pPr>
        <w:pStyle w:val="Guide-NormalBulletpoints"/>
        <w:numPr>
          <w:ilvl w:val="1"/>
          <w:numId w:val="491"/>
        </w:numPr>
        <w:rPr>
          <w:lang w:val="sl-SI"/>
        </w:rPr>
      </w:pPr>
      <w:r w:rsidRPr="001048FE">
        <w:rPr>
          <w:lang w:val="sl-SI"/>
        </w:rPr>
        <w:t>ponovna opredelitev/opredelitev standardov kompetenc v skladu z učnimi izidi; ustrezna prilagoditev ali razvoj učnih načrtov in programov PIU ter z njimi povezanih učnih gradiv in orodij;</w:t>
      </w:r>
    </w:p>
    <w:p w14:paraId="7D39A995" w14:textId="77777777" w:rsidR="007E310F" w:rsidRPr="001048FE" w:rsidRDefault="007E310F" w:rsidP="005115F2">
      <w:pPr>
        <w:pStyle w:val="Guide-NormalBulletpoints"/>
        <w:numPr>
          <w:ilvl w:val="1"/>
          <w:numId w:val="491"/>
        </w:numPr>
        <w:rPr>
          <w:lang w:val="sl-SI"/>
        </w:rPr>
      </w:pPr>
      <w:r w:rsidRPr="001048FE">
        <w:rPr>
          <w:lang w:val="sl-SI"/>
        </w:rPr>
        <w:t>metodologije poučevanja in učenja PIU ter pedagoški pristopi, zlasti tisti, ki zagotavljajo ključne kompetence in osnovna znanja; znanje jezikov; poudarek na uporabi IKT;</w:t>
      </w:r>
    </w:p>
    <w:p w14:paraId="7D39A996" w14:textId="77777777" w:rsidR="007E310F" w:rsidRPr="001048FE" w:rsidRDefault="007E310F" w:rsidP="005115F2">
      <w:pPr>
        <w:pStyle w:val="Guide-NormalBulletpoints"/>
        <w:numPr>
          <w:ilvl w:val="1"/>
          <w:numId w:val="491"/>
        </w:numPr>
        <w:rPr>
          <w:lang w:val="sl-SI"/>
        </w:rPr>
      </w:pPr>
      <w:r w:rsidRPr="001048FE">
        <w:rPr>
          <w:lang w:val="sl-SI"/>
        </w:rPr>
        <w:t>nove oblike programov praktičnega usposabljanja in obravnavanja primerov iz resničnega življenja v gospodarstvu in industriji; razvoj in izvajanje mednarodnega projektnega sodelovanja med podjetji in dijaki/osebjem na institucijah PIU;</w:t>
      </w:r>
    </w:p>
    <w:p w14:paraId="7D39A997" w14:textId="77777777" w:rsidR="007E310F" w:rsidRPr="001048FE" w:rsidRDefault="007E310F" w:rsidP="005115F2">
      <w:pPr>
        <w:pStyle w:val="Guide-NormalBulletpoints"/>
        <w:numPr>
          <w:ilvl w:val="1"/>
          <w:numId w:val="491"/>
        </w:numPr>
        <w:rPr>
          <w:lang w:val="sl-SI"/>
        </w:rPr>
      </w:pPr>
      <w:r w:rsidRPr="001048FE">
        <w:rPr>
          <w:lang w:val="sl-SI"/>
        </w:rPr>
        <w:t>razvoj in zagotavljanje novih gradiv in metod za poučevanje in usposabljanje PIU, vključno z učenjem na delovnem mestu, virtualno mobilnostjo, prosto dostopnimi učnimi viri in boljšo uporabo potenciala IKT, npr. vzpostavljanje virtualnih laboratorijev/delovnih mest, ki so prilagojena potrebam trga dela;</w:t>
      </w:r>
    </w:p>
    <w:p w14:paraId="7D39A998" w14:textId="77777777" w:rsidR="007E310F" w:rsidRPr="001048FE" w:rsidRDefault="007E310F" w:rsidP="005115F2">
      <w:pPr>
        <w:pStyle w:val="Guide-NormalBulletpoints"/>
        <w:numPr>
          <w:ilvl w:val="1"/>
          <w:numId w:val="491"/>
        </w:numPr>
        <w:rPr>
          <w:lang w:val="sl-SI"/>
        </w:rPr>
      </w:pPr>
      <w:r w:rsidRPr="001048FE">
        <w:rPr>
          <w:lang w:val="sl-SI"/>
        </w:rPr>
        <w:t>strokovno usmerjanje in svetovanje ter metode in orodja za mentorstvo;</w:t>
      </w:r>
    </w:p>
    <w:p w14:paraId="7D39A999" w14:textId="77777777" w:rsidR="007E310F" w:rsidRPr="001048FE" w:rsidRDefault="007E310F" w:rsidP="005115F2">
      <w:pPr>
        <w:pStyle w:val="Guide-NormalBulletpoints"/>
        <w:numPr>
          <w:ilvl w:val="1"/>
          <w:numId w:val="491"/>
        </w:numPr>
        <w:rPr>
          <w:lang w:val="sl-SI"/>
        </w:rPr>
      </w:pPr>
      <w:r w:rsidRPr="001048FE">
        <w:rPr>
          <w:lang w:val="sl-SI"/>
        </w:rPr>
        <w:t>orodja in metode za profesionalizacijo in poklicni razvoj učiteljev, vodij usposabljanj in osebja</w:t>
      </w:r>
      <w:r w:rsidRPr="001048FE">
        <w:rPr>
          <w:spacing w:val="-27"/>
          <w:lang w:val="sl-SI"/>
        </w:rPr>
        <w:t xml:space="preserve"> </w:t>
      </w:r>
      <w:r w:rsidRPr="001048FE">
        <w:rPr>
          <w:lang w:val="sl-SI"/>
        </w:rPr>
        <w:t>PIU;</w:t>
      </w:r>
      <w:r w:rsidRPr="001048FE">
        <w:rPr>
          <w:spacing w:val="-27"/>
          <w:lang w:val="sl-SI"/>
        </w:rPr>
        <w:t xml:space="preserve"> </w:t>
      </w:r>
      <w:r w:rsidRPr="001048FE">
        <w:rPr>
          <w:lang w:val="sl-SI"/>
        </w:rPr>
        <w:t>posebna</w:t>
      </w:r>
      <w:r w:rsidRPr="001048FE">
        <w:rPr>
          <w:spacing w:val="-27"/>
          <w:lang w:val="sl-SI"/>
        </w:rPr>
        <w:t xml:space="preserve"> </w:t>
      </w:r>
      <w:r w:rsidRPr="001048FE">
        <w:rPr>
          <w:lang w:val="sl-SI"/>
        </w:rPr>
        <w:t>usmerjenost</w:t>
      </w:r>
      <w:r w:rsidRPr="001048FE">
        <w:rPr>
          <w:spacing w:val="-27"/>
          <w:lang w:val="sl-SI"/>
        </w:rPr>
        <w:t xml:space="preserve"> </w:t>
      </w:r>
      <w:r w:rsidRPr="001048FE">
        <w:rPr>
          <w:lang w:val="sl-SI"/>
        </w:rPr>
        <w:t>v</w:t>
      </w:r>
      <w:r w:rsidRPr="001048FE">
        <w:rPr>
          <w:spacing w:val="-27"/>
          <w:lang w:val="sl-SI"/>
        </w:rPr>
        <w:t xml:space="preserve"> </w:t>
      </w:r>
      <w:r w:rsidRPr="001048FE">
        <w:rPr>
          <w:lang w:val="sl-SI"/>
        </w:rPr>
        <w:t>izboljšano</w:t>
      </w:r>
      <w:r w:rsidRPr="001048FE">
        <w:rPr>
          <w:spacing w:val="-27"/>
          <w:lang w:val="sl-SI"/>
        </w:rPr>
        <w:t xml:space="preserve"> </w:t>
      </w:r>
      <w:r w:rsidRPr="001048FE">
        <w:rPr>
          <w:lang w:val="sl-SI"/>
        </w:rPr>
        <w:t>začetno</w:t>
      </w:r>
      <w:r w:rsidRPr="001048FE">
        <w:rPr>
          <w:spacing w:val="-27"/>
          <w:lang w:val="sl-SI"/>
        </w:rPr>
        <w:t xml:space="preserve"> </w:t>
      </w:r>
      <w:r w:rsidRPr="001048FE">
        <w:rPr>
          <w:lang w:val="sl-SI"/>
        </w:rPr>
        <w:t>izobraževanje</w:t>
      </w:r>
      <w:r w:rsidRPr="001048FE">
        <w:rPr>
          <w:spacing w:val="-27"/>
          <w:lang w:val="sl-SI"/>
        </w:rPr>
        <w:t xml:space="preserve"> </w:t>
      </w:r>
      <w:r w:rsidRPr="001048FE">
        <w:rPr>
          <w:lang w:val="sl-SI"/>
        </w:rPr>
        <w:t>ter</w:t>
      </w:r>
      <w:r w:rsidRPr="001048FE">
        <w:rPr>
          <w:spacing w:val="-27"/>
          <w:lang w:val="sl-SI"/>
        </w:rPr>
        <w:t xml:space="preserve"> </w:t>
      </w:r>
      <w:r w:rsidRPr="001048FE">
        <w:rPr>
          <w:lang w:val="sl-SI"/>
        </w:rPr>
        <w:t>usposabljanje</w:t>
      </w:r>
      <w:r w:rsidRPr="001048FE">
        <w:rPr>
          <w:spacing w:val="-27"/>
          <w:lang w:val="sl-SI"/>
        </w:rPr>
        <w:t xml:space="preserve"> </w:t>
      </w:r>
      <w:r w:rsidRPr="001048FE">
        <w:rPr>
          <w:lang w:val="sl-SI"/>
        </w:rPr>
        <w:t>na delovnem mestu za učitelje in vodje usposabljanj</w:t>
      </w:r>
      <w:r w:rsidRPr="001048FE">
        <w:rPr>
          <w:spacing w:val="-26"/>
          <w:lang w:val="sl-SI"/>
        </w:rPr>
        <w:t xml:space="preserve"> </w:t>
      </w:r>
      <w:r w:rsidRPr="001048FE">
        <w:rPr>
          <w:lang w:val="sl-SI"/>
        </w:rPr>
        <w:t>PIU;</w:t>
      </w:r>
    </w:p>
    <w:p w14:paraId="7D39A99A" w14:textId="77777777" w:rsidR="007E310F" w:rsidRPr="001048FE" w:rsidRDefault="007E310F" w:rsidP="005115F2">
      <w:pPr>
        <w:pStyle w:val="Guide-NormalBulletpoints"/>
        <w:numPr>
          <w:ilvl w:val="1"/>
          <w:numId w:val="491"/>
        </w:numPr>
        <w:rPr>
          <w:lang w:val="sl-SI"/>
        </w:rPr>
      </w:pPr>
      <w:r w:rsidRPr="001048FE">
        <w:rPr>
          <w:lang w:val="sl-SI"/>
        </w:rPr>
        <w:t>upravljanje in vodenje organizacij PIU;</w:t>
      </w:r>
    </w:p>
    <w:p w14:paraId="7D39A99B" w14:textId="77777777" w:rsidR="007E310F" w:rsidRPr="001048FE" w:rsidRDefault="007E310F" w:rsidP="005115F2">
      <w:pPr>
        <w:pStyle w:val="Guide-NormalBulletpoints"/>
        <w:numPr>
          <w:ilvl w:val="1"/>
          <w:numId w:val="491"/>
        </w:numPr>
        <w:rPr>
          <w:lang w:val="sl-SI"/>
        </w:rPr>
      </w:pPr>
      <w:r w:rsidRPr="001048FE">
        <w:rPr>
          <w:lang w:val="sl-SI"/>
        </w:rPr>
        <w:t>strateško</w:t>
      </w:r>
      <w:r w:rsidRPr="001048FE">
        <w:rPr>
          <w:spacing w:val="-20"/>
          <w:lang w:val="sl-SI"/>
        </w:rPr>
        <w:t xml:space="preserve"> </w:t>
      </w:r>
      <w:r w:rsidRPr="001048FE">
        <w:rPr>
          <w:lang w:val="sl-SI"/>
        </w:rPr>
        <w:t>sodelovanje</w:t>
      </w:r>
      <w:r w:rsidRPr="001048FE">
        <w:rPr>
          <w:spacing w:val="-20"/>
          <w:lang w:val="sl-SI"/>
        </w:rPr>
        <w:t xml:space="preserve"> </w:t>
      </w:r>
      <w:r w:rsidRPr="001048FE">
        <w:rPr>
          <w:lang w:val="sl-SI"/>
        </w:rPr>
        <w:t>med</w:t>
      </w:r>
      <w:r w:rsidRPr="001048FE">
        <w:rPr>
          <w:spacing w:val="-20"/>
          <w:lang w:val="sl-SI"/>
        </w:rPr>
        <w:t xml:space="preserve"> </w:t>
      </w:r>
      <w:r w:rsidRPr="001048FE">
        <w:rPr>
          <w:lang w:val="sl-SI"/>
        </w:rPr>
        <w:t>ponudniki</w:t>
      </w:r>
      <w:r w:rsidRPr="001048FE">
        <w:rPr>
          <w:spacing w:val="-20"/>
          <w:lang w:val="sl-SI"/>
        </w:rPr>
        <w:t xml:space="preserve"> </w:t>
      </w:r>
      <w:r w:rsidRPr="001048FE">
        <w:rPr>
          <w:lang w:val="sl-SI"/>
        </w:rPr>
        <w:t>PIU</w:t>
      </w:r>
      <w:r w:rsidRPr="001048FE">
        <w:rPr>
          <w:spacing w:val="-20"/>
          <w:lang w:val="sl-SI"/>
        </w:rPr>
        <w:t xml:space="preserve"> </w:t>
      </w:r>
      <w:r w:rsidRPr="001048FE">
        <w:rPr>
          <w:lang w:val="sl-SI"/>
        </w:rPr>
        <w:t>in</w:t>
      </w:r>
      <w:r w:rsidRPr="001048FE">
        <w:rPr>
          <w:spacing w:val="-20"/>
          <w:lang w:val="sl-SI"/>
        </w:rPr>
        <w:t xml:space="preserve"> </w:t>
      </w:r>
      <w:r w:rsidRPr="001048FE">
        <w:rPr>
          <w:lang w:val="sl-SI"/>
        </w:rPr>
        <w:t>lokalno/regionalno</w:t>
      </w:r>
      <w:r w:rsidRPr="001048FE">
        <w:rPr>
          <w:spacing w:val="-20"/>
          <w:lang w:val="sl-SI"/>
        </w:rPr>
        <w:t xml:space="preserve"> </w:t>
      </w:r>
      <w:r w:rsidRPr="001048FE">
        <w:rPr>
          <w:lang w:val="sl-SI"/>
        </w:rPr>
        <w:t>poslovno</w:t>
      </w:r>
      <w:r w:rsidRPr="001048FE">
        <w:rPr>
          <w:spacing w:val="-20"/>
          <w:lang w:val="sl-SI"/>
        </w:rPr>
        <w:t xml:space="preserve"> </w:t>
      </w:r>
      <w:r w:rsidRPr="001048FE">
        <w:rPr>
          <w:lang w:val="sl-SI"/>
        </w:rPr>
        <w:t>skupnostjo, vključno z agencijami za gospodarski</w:t>
      </w:r>
      <w:r w:rsidRPr="001048FE">
        <w:rPr>
          <w:spacing w:val="-17"/>
          <w:lang w:val="sl-SI"/>
        </w:rPr>
        <w:t xml:space="preserve"> </w:t>
      </w:r>
      <w:r w:rsidRPr="001048FE">
        <w:rPr>
          <w:lang w:val="sl-SI"/>
        </w:rPr>
        <w:t>razvoj;</w:t>
      </w:r>
    </w:p>
    <w:p w14:paraId="7D39A99C" w14:textId="77777777" w:rsidR="007E310F" w:rsidRPr="001048FE" w:rsidRDefault="007E310F" w:rsidP="005115F2">
      <w:pPr>
        <w:pStyle w:val="Guide-NormalBulletpoints"/>
        <w:numPr>
          <w:ilvl w:val="1"/>
          <w:numId w:val="491"/>
        </w:numPr>
        <w:rPr>
          <w:lang w:val="sl-SI"/>
        </w:rPr>
      </w:pPr>
      <w:r w:rsidRPr="001048FE">
        <w:rPr>
          <w:lang w:val="sl-SI"/>
        </w:rPr>
        <w:t>sodelovanje</w:t>
      </w:r>
      <w:r w:rsidRPr="001048FE">
        <w:rPr>
          <w:spacing w:val="-14"/>
          <w:lang w:val="sl-SI"/>
        </w:rPr>
        <w:t xml:space="preserve"> </w:t>
      </w:r>
      <w:r w:rsidRPr="001048FE">
        <w:rPr>
          <w:lang w:val="sl-SI"/>
        </w:rPr>
        <w:t>za</w:t>
      </w:r>
      <w:r w:rsidRPr="001048FE">
        <w:rPr>
          <w:spacing w:val="-14"/>
          <w:lang w:val="sl-SI"/>
        </w:rPr>
        <w:t xml:space="preserve"> </w:t>
      </w:r>
      <w:r w:rsidRPr="001048FE">
        <w:rPr>
          <w:lang w:val="sl-SI"/>
        </w:rPr>
        <w:t>razvoj</w:t>
      </w:r>
      <w:r w:rsidRPr="001048FE">
        <w:rPr>
          <w:spacing w:val="-14"/>
          <w:lang w:val="sl-SI"/>
        </w:rPr>
        <w:t xml:space="preserve"> </w:t>
      </w:r>
      <w:r w:rsidRPr="001048FE">
        <w:rPr>
          <w:lang w:val="sl-SI"/>
        </w:rPr>
        <w:t>ustvarjalnosti</w:t>
      </w:r>
      <w:r w:rsidRPr="001048FE">
        <w:rPr>
          <w:spacing w:val="-14"/>
          <w:lang w:val="sl-SI"/>
        </w:rPr>
        <w:t xml:space="preserve"> </w:t>
      </w:r>
      <w:r w:rsidRPr="001048FE">
        <w:rPr>
          <w:lang w:val="sl-SI"/>
        </w:rPr>
        <w:t>in</w:t>
      </w:r>
      <w:r w:rsidRPr="001048FE">
        <w:rPr>
          <w:spacing w:val="-14"/>
          <w:lang w:val="sl-SI"/>
        </w:rPr>
        <w:t xml:space="preserve"> </w:t>
      </w:r>
      <w:r w:rsidRPr="001048FE">
        <w:rPr>
          <w:lang w:val="sl-SI"/>
        </w:rPr>
        <w:t>inovacij</w:t>
      </w:r>
      <w:r w:rsidRPr="001048FE">
        <w:rPr>
          <w:spacing w:val="-14"/>
          <w:lang w:val="sl-SI"/>
        </w:rPr>
        <w:t xml:space="preserve"> </w:t>
      </w:r>
      <w:r w:rsidRPr="001048FE">
        <w:rPr>
          <w:lang w:val="sl-SI"/>
        </w:rPr>
        <w:t>med</w:t>
      </w:r>
      <w:r w:rsidRPr="001048FE">
        <w:rPr>
          <w:spacing w:val="-14"/>
          <w:lang w:val="sl-SI"/>
        </w:rPr>
        <w:t xml:space="preserve"> </w:t>
      </w:r>
      <w:r w:rsidRPr="001048FE">
        <w:rPr>
          <w:lang w:val="sl-SI"/>
        </w:rPr>
        <w:t>ponudniki</w:t>
      </w:r>
      <w:r w:rsidRPr="001048FE">
        <w:rPr>
          <w:spacing w:val="-14"/>
          <w:lang w:val="sl-SI"/>
        </w:rPr>
        <w:t xml:space="preserve"> </w:t>
      </w:r>
      <w:r w:rsidRPr="001048FE">
        <w:rPr>
          <w:lang w:val="sl-SI"/>
        </w:rPr>
        <w:t>PIU,</w:t>
      </w:r>
      <w:r w:rsidRPr="001048FE">
        <w:rPr>
          <w:spacing w:val="-14"/>
          <w:lang w:val="sl-SI"/>
        </w:rPr>
        <w:t xml:space="preserve"> </w:t>
      </w:r>
      <w:r w:rsidRPr="001048FE">
        <w:rPr>
          <w:lang w:val="sl-SI"/>
        </w:rPr>
        <w:t>visokošolskimi institucijami ter centri za oblikovanje, umetnost, raziskovanje in</w:t>
      </w:r>
      <w:r w:rsidRPr="001048FE">
        <w:rPr>
          <w:spacing w:val="-7"/>
          <w:lang w:val="sl-SI"/>
        </w:rPr>
        <w:t xml:space="preserve"> </w:t>
      </w:r>
      <w:r w:rsidRPr="001048FE">
        <w:rPr>
          <w:lang w:val="sl-SI"/>
        </w:rPr>
        <w:t>inovacije;</w:t>
      </w:r>
    </w:p>
    <w:p w14:paraId="7D39A99D" w14:textId="77777777" w:rsidR="007E310F" w:rsidRPr="001048FE" w:rsidRDefault="007E310F" w:rsidP="005115F2">
      <w:pPr>
        <w:pStyle w:val="GUIDE-NORMAL"/>
        <w:numPr>
          <w:ilvl w:val="0"/>
          <w:numId w:val="491"/>
        </w:numPr>
        <w:rPr>
          <w:lang w:val="sl-SI"/>
        </w:rPr>
      </w:pPr>
      <w:r w:rsidRPr="001048FE">
        <w:rPr>
          <w:lang w:val="sl-SI"/>
        </w:rPr>
        <w:t>lajšanje priznavanja in potrjevanja spretnosti in kompetenc na nacionalni ravni z upoštevanjem evropskih in nacionalnih ogrodij kvalifikacij ter uporabo instrumentov EU; razvoj fleksibilnih učnih poti za dijake PIU in tiste, ki so PIU že zaključili, vključno s potrjevanjem njihovega predhodnega izobraževanja;</w:t>
      </w:r>
    </w:p>
    <w:p w14:paraId="7D39A99E" w14:textId="77777777" w:rsidR="007E310F" w:rsidRPr="001048FE" w:rsidRDefault="007E310F" w:rsidP="005115F2">
      <w:pPr>
        <w:pStyle w:val="GUIDE-NORMAL"/>
        <w:numPr>
          <w:ilvl w:val="0"/>
          <w:numId w:val="491"/>
        </w:numPr>
        <w:rPr>
          <w:lang w:val="sl-SI"/>
        </w:rPr>
      </w:pPr>
      <w:r w:rsidRPr="001048FE">
        <w:rPr>
          <w:lang w:val="sl-SI"/>
        </w:rPr>
        <w:t>izvajanje</w:t>
      </w:r>
      <w:r w:rsidRPr="0027196E">
        <w:rPr>
          <w:lang w:val="sl-SI"/>
        </w:rPr>
        <w:t xml:space="preserve"> </w:t>
      </w:r>
      <w:r w:rsidRPr="001048FE">
        <w:rPr>
          <w:lang w:val="sl-SI"/>
        </w:rPr>
        <w:t>prenosa</w:t>
      </w:r>
      <w:r w:rsidRPr="0027196E">
        <w:rPr>
          <w:lang w:val="sl-SI"/>
        </w:rPr>
        <w:t xml:space="preserve"> </w:t>
      </w:r>
      <w:r w:rsidRPr="001048FE">
        <w:rPr>
          <w:lang w:val="sl-SI"/>
        </w:rPr>
        <w:t>kreditnih</w:t>
      </w:r>
      <w:r w:rsidRPr="0027196E">
        <w:rPr>
          <w:lang w:val="sl-SI"/>
        </w:rPr>
        <w:t xml:space="preserve"> </w:t>
      </w:r>
      <w:r w:rsidRPr="001048FE">
        <w:rPr>
          <w:lang w:val="sl-SI"/>
        </w:rPr>
        <w:t>točk</w:t>
      </w:r>
      <w:r w:rsidRPr="0027196E">
        <w:rPr>
          <w:lang w:val="sl-SI"/>
        </w:rPr>
        <w:t xml:space="preserve"> </w:t>
      </w:r>
      <w:r w:rsidRPr="001048FE">
        <w:rPr>
          <w:lang w:val="sl-SI"/>
        </w:rPr>
        <w:t>(ECVET)</w:t>
      </w:r>
      <w:r w:rsidRPr="0027196E">
        <w:rPr>
          <w:lang w:val="sl-SI"/>
        </w:rPr>
        <w:t xml:space="preserve"> </w:t>
      </w:r>
      <w:r w:rsidRPr="001048FE">
        <w:rPr>
          <w:lang w:val="sl-SI"/>
        </w:rPr>
        <w:t>in</w:t>
      </w:r>
      <w:r w:rsidRPr="0027196E">
        <w:rPr>
          <w:lang w:val="sl-SI"/>
        </w:rPr>
        <w:t xml:space="preserve"> </w:t>
      </w:r>
      <w:r w:rsidRPr="001048FE">
        <w:rPr>
          <w:lang w:val="sl-SI"/>
        </w:rPr>
        <w:t>zagotavljanja</w:t>
      </w:r>
      <w:r w:rsidRPr="0027196E">
        <w:rPr>
          <w:lang w:val="sl-SI"/>
        </w:rPr>
        <w:t xml:space="preserve"> </w:t>
      </w:r>
      <w:r w:rsidRPr="001048FE">
        <w:rPr>
          <w:lang w:val="sl-SI"/>
        </w:rPr>
        <w:t>kakovosti</w:t>
      </w:r>
      <w:r w:rsidRPr="0027196E">
        <w:rPr>
          <w:lang w:val="sl-SI"/>
        </w:rPr>
        <w:t xml:space="preserve"> </w:t>
      </w:r>
      <w:r w:rsidRPr="001048FE">
        <w:rPr>
          <w:lang w:val="sl-SI"/>
        </w:rPr>
        <w:t>(EQAVET)</w:t>
      </w:r>
      <w:r w:rsidRPr="0027196E">
        <w:rPr>
          <w:lang w:val="sl-SI"/>
        </w:rPr>
        <w:t xml:space="preserve"> </w:t>
      </w:r>
      <w:r w:rsidRPr="001048FE">
        <w:rPr>
          <w:lang w:val="sl-SI"/>
        </w:rPr>
        <w:t>ponudnikov PIU.</w:t>
      </w:r>
    </w:p>
    <w:p w14:paraId="7D39A99F" w14:textId="77777777" w:rsidR="007E310F" w:rsidRPr="001048FE" w:rsidRDefault="007E310F" w:rsidP="00D35C53">
      <w:pPr>
        <w:pStyle w:val="Guide-Heading5"/>
        <w:rPr>
          <w:lang w:val="sl-SI"/>
        </w:rPr>
      </w:pPr>
      <w:r w:rsidRPr="001048FE">
        <w:rPr>
          <w:lang w:val="sl-SI"/>
        </w:rPr>
        <w:t>Šolsko izobraževanje</w:t>
      </w:r>
    </w:p>
    <w:p w14:paraId="7D39A9A0" w14:textId="77777777" w:rsidR="007E310F" w:rsidRPr="001048FE" w:rsidRDefault="007E310F" w:rsidP="005115F2">
      <w:pPr>
        <w:pStyle w:val="GUIDE-NORMAL"/>
        <w:numPr>
          <w:ilvl w:val="0"/>
          <w:numId w:val="444"/>
        </w:numPr>
        <w:rPr>
          <w:lang w:val="sl-SI"/>
        </w:rPr>
      </w:pPr>
      <w:r w:rsidRPr="001048FE">
        <w:rPr>
          <w:lang w:val="sl-SI"/>
        </w:rPr>
        <w:t>Razvijanje,</w:t>
      </w:r>
      <w:r w:rsidRPr="001048FE">
        <w:rPr>
          <w:spacing w:val="-17"/>
          <w:lang w:val="sl-SI"/>
        </w:rPr>
        <w:t xml:space="preserve"> </w:t>
      </w:r>
      <w:r w:rsidRPr="001048FE">
        <w:rPr>
          <w:lang w:val="sl-SI"/>
        </w:rPr>
        <w:t>preskušanje,</w:t>
      </w:r>
      <w:r w:rsidRPr="001048FE">
        <w:rPr>
          <w:spacing w:val="-17"/>
          <w:lang w:val="sl-SI"/>
        </w:rPr>
        <w:t xml:space="preserve"> </w:t>
      </w:r>
      <w:r w:rsidRPr="001048FE">
        <w:rPr>
          <w:lang w:val="sl-SI"/>
        </w:rPr>
        <w:t>prilagajanje</w:t>
      </w:r>
      <w:r w:rsidRPr="001048FE">
        <w:rPr>
          <w:spacing w:val="-17"/>
          <w:lang w:val="sl-SI"/>
        </w:rPr>
        <w:t xml:space="preserve"> </w:t>
      </w:r>
      <w:r w:rsidRPr="001048FE">
        <w:rPr>
          <w:lang w:val="sl-SI"/>
        </w:rPr>
        <w:t>in</w:t>
      </w:r>
      <w:r w:rsidRPr="001048FE">
        <w:rPr>
          <w:spacing w:val="-17"/>
          <w:lang w:val="sl-SI"/>
        </w:rPr>
        <w:t xml:space="preserve"> </w:t>
      </w:r>
      <w:r w:rsidRPr="001048FE">
        <w:rPr>
          <w:lang w:val="sl-SI"/>
        </w:rPr>
        <w:t>sprejemanje/izvajanje</w:t>
      </w:r>
      <w:r w:rsidRPr="001048FE">
        <w:rPr>
          <w:spacing w:val="-17"/>
          <w:lang w:val="sl-SI"/>
        </w:rPr>
        <w:t xml:space="preserve"> </w:t>
      </w:r>
      <w:r w:rsidRPr="001048FE">
        <w:rPr>
          <w:lang w:val="sl-SI"/>
        </w:rPr>
        <w:t>inovativnih</w:t>
      </w:r>
      <w:r w:rsidRPr="001048FE">
        <w:rPr>
          <w:spacing w:val="-17"/>
          <w:lang w:val="sl-SI"/>
        </w:rPr>
        <w:t xml:space="preserve"> </w:t>
      </w:r>
      <w:r w:rsidRPr="001048FE">
        <w:rPr>
          <w:lang w:val="sl-SI"/>
        </w:rPr>
        <w:t>praks</w:t>
      </w:r>
      <w:r w:rsidRPr="001048FE">
        <w:rPr>
          <w:spacing w:val="-17"/>
          <w:lang w:val="sl-SI"/>
        </w:rPr>
        <w:t xml:space="preserve"> </w:t>
      </w:r>
      <w:r w:rsidRPr="001048FE">
        <w:rPr>
          <w:lang w:val="sl-SI"/>
        </w:rPr>
        <w:t>v</w:t>
      </w:r>
      <w:r w:rsidRPr="001048FE">
        <w:rPr>
          <w:spacing w:val="-17"/>
          <w:lang w:val="sl-SI"/>
        </w:rPr>
        <w:t xml:space="preserve"> </w:t>
      </w:r>
      <w:r w:rsidRPr="001048FE">
        <w:rPr>
          <w:lang w:val="sl-SI"/>
        </w:rPr>
        <w:t>zvezi</w:t>
      </w:r>
      <w:r w:rsidRPr="001048FE">
        <w:rPr>
          <w:spacing w:val="-17"/>
          <w:lang w:val="sl-SI"/>
        </w:rPr>
        <w:t xml:space="preserve"> </w:t>
      </w:r>
      <w:r w:rsidRPr="001048FE">
        <w:rPr>
          <w:lang w:val="sl-SI"/>
        </w:rPr>
        <w:t>z naslednjim:</w:t>
      </w:r>
    </w:p>
    <w:p w14:paraId="7D39A9A1" w14:textId="77777777" w:rsidR="007E310F" w:rsidRPr="001048FE" w:rsidRDefault="007E310F" w:rsidP="005115F2">
      <w:pPr>
        <w:pStyle w:val="Guide-NormalBulletpoints"/>
        <w:numPr>
          <w:ilvl w:val="0"/>
          <w:numId w:val="445"/>
        </w:numPr>
        <w:ind w:left="1440" w:hanging="720"/>
        <w:rPr>
          <w:lang w:val="sl-SI"/>
        </w:rPr>
      </w:pPr>
      <w:r w:rsidRPr="001048FE">
        <w:rPr>
          <w:lang w:val="sl-SI"/>
        </w:rPr>
        <w:t>novi učni načrti, programi, učna gradiva in orodja;</w:t>
      </w:r>
    </w:p>
    <w:p w14:paraId="7D39A9A2" w14:textId="77777777" w:rsidR="007E310F" w:rsidRPr="001048FE" w:rsidRDefault="007E310F" w:rsidP="005115F2">
      <w:pPr>
        <w:pStyle w:val="Guide-NormalBulletpoints"/>
        <w:numPr>
          <w:ilvl w:val="0"/>
          <w:numId w:val="445"/>
        </w:numPr>
        <w:ind w:left="1440" w:hanging="720"/>
        <w:rPr>
          <w:lang w:val="sl-SI"/>
        </w:rPr>
      </w:pPr>
      <w:r w:rsidRPr="001048FE">
        <w:rPr>
          <w:lang w:val="sl-SI"/>
        </w:rPr>
        <w:t>metodologije poučevanja in učenja ter pedagoški pristopi, zlasti tisti, ki zagotavljajo ključne</w:t>
      </w:r>
      <w:r w:rsidRPr="001048FE">
        <w:rPr>
          <w:spacing w:val="-17"/>
          <w:lang w:val="sl-SI"/>
        </w:rPr>
        <w:t xml:space="preserve"> </w:t>
      </w:r>
      <w:r w:rsidRPr="001048FE">
        <w:rPr>
          <w:lang w:val="sl-SI"/>
        </w:rPr>
        <w:t>kompetence,</w:t>
      </w:r>
      <w:r w:rsidRPr="001048FE">
        <w:rPr>
          <w:spacing w:val="-17"/>
          <w:lang w:val="sl-SI"/>
        </w:rPr>
        <w:t xml:space="preserve"> </w:t>
      </w:r>
      <w:r w:rsidRPr="001048FE">
        <w:rPr>
          <w:lang w:val="sl-SI"/>
        </w:rPr>
        <w:t>osnovna</w:t>
      </w:r>
      <w:r w:rsidRPr="001048FE">
        <w:rPr>
          <w:spacing w:val="-16"/>
          <w:lang w:val="sl-SI"/>
        </w:rPr>
        <w:t xml:space="preserve"> </w:t>
      </w:r>
      <w:r w:rsidRPr="001048FE">
        <w:rPr>
          <w:lang w:val="sl-SI"/>
        </w:rPr>
        <w:t>znanja</w:t>
      </w:r>
      <w:r w:rsidRPr="001048FE">
        <w:rPr>
          <w:spacing w:val="-17"/>
          <w:lang w:val="sl-SI"/>
        </w:rPr>
        <w:t xml:space="preserve"> </w:t>
      </w:r>
      <w:r w:rsidRPr="001048FE">
        <w:rPr>
          <w:lang w:val="sl-SI"/>
        </w:rPr>
        <w:t>in</w:t>
      </w:r>
      <w:r w:rsidRPr="001048FE">
        <w:rPr>
          <w:spacing w:val="-17"/>
          <w:lang w:val="sl-SI"/>
        </w:rPr>
        <w:t xml:space="preserve"> </w:t>
      </w:r>
      <w:r w:rsidRPr="001048FE">
        <w:rPr>
          <w:lang w:val="sl-SI"/>
        </w:rPr>
        <w:t>znanje</w:t>
      </w:r>
      <w:r w:rsidRPr="001048FE">
        <w:rPr>
          <w:spacing w:val="-17"/>
          <w:lang w:val="sl-SI"/>
        </w:rPr>
        <w:t xml:space="preserve"> </w:t>
      </w:r>
      <w:r w:rsidRPr="001048FE">
        <w:rPr>
          <w:lang w:val="sl-SI"/>
        </w:rPr>
        <w:t>jezikov</w:t>
      </w:r>
      <w:r w:rsidRPr="001048FE">
        <w:rPr>
          <w:spacing w:val="-17"/>
          <w:lang w:val="sl-SI"/>
        </w:rPr>
        <w:t xml:space="preserve"> </w:t>
      </w:r>
      <w:r w:rsidRPr="001048FE">
        <w:rPr>
          <w:lang w:val="sl-SI"/>
        </w:rPr>
        <w:t>ter</w:t>
      </w:r>
      <w:r w:rsidRPr="001048FE">
        <w:rPr>
          <w:spacing w:val="-17"/>
          <w:lang w:val="sl-SI"/>
        </w:rPr>
        <w:t xml:space="preserve"> </w:t>
      </w:r>
      <w:r w:rsidRPr="001048FE">
        <w:rPr>
          <w:lang w:val="sl-SI"/>
        </w:rPr>
        <w:t>se</w:t>
      </w:r>
      <w:r w:rsidRPr="001048FE">
        <w:rPr>
          <w:spacing w:val="-17"/>
          <w:lang w:val="sl-SI"/>
        </w:rPr>
        <w:t xml:space="preserve"> </w:t>
      </w:r>
      <w:r w:rsidRPr="001048FE">
        <w:rPr>
          <w:lang w:val="sl-SI"/>
        </w:rPr>
        <w:t>usmerjajo</w:t>
      </w:r>
      <w:r w:rsidRPr="001048FE">
        <w:rPr>
          <w:spacing w:val="-17"/>
          <w:lang w:val="sl-SI"/>
        </w:rPr>
        <w:t xml:space="preserve"> </w:t>
      </w:r>
      <w:r w:rsidRPr="001048FE">
        <w:rPr>
          <w:lang w:val="sl-SI"/>
        </w:rPr>
        <w:t>v</w:t>
      </w:r>
      <w:r w:rsidRPr="001048FE">
        <w:rPr>
          <w:spacing w:val="-17"/>
          <w:lang w:val="sl-SI"/>
        </w:rPr>
        <w:t xml:space="preserve"> </w:t>
      </w:r>
      <w:r w:rsidRPr="001048FE">
        <w:rPr>
          <w:lang w:val="sl-SI"/>
        </w:rPr>
        <w:t>uporabo</w:t>
      </w:r>
      <w:r w:rsidRPr="001048FE">
        <w:rPr>
          <w:spacing w:val="-17"/>
          <w:lang w:val="sl-SI"/>
        </w:rPr>
        <w:t xml:space="preserve"> </w:t>
      </w:r>
      <w:r w:rsidRPr="001048FE">
        <w:rPr>
          <w:lang w:val="sl-SI"/>
        </w:rPr>
        <w:t>IKT; nove oblike programov praktičnega usposabljanja in obravnavanja primerov iz resničnega življenja v gospodarstvu in</w:t>
      </w:r>
      <w:r w:rsidRPr="001048FE">
        <w:rPr>
          <w:spacing w:val="-11"/>
          <w:lang w:val="sl-SI"/>
        </w:rPr>
        <w:t xml:space="preserve"> </w:t>
      </w:r>
      <w:r w:rsidRPr="001048FE">
        <w:rPr>
          <w:lang w:val="sl-SI"/>
        </w:rPr>
        <w:t>industriji;</w:t>
      </w:r>
    </w:p>
    <w:p w14:paraId="7D39A9A3" w14:textId="77777777" w:rsidR="007E310F" w:rsidRPr="001048FE" w:rsidRDefault="007E310F" w:rsidP="005115F2">
      <w:pPr>
        <w:pStyle w:val="Guide-NormalBulletpoints"/>
        <w:numPr>
          <w:ilvl w:val="0"/>
          <w:numId w:val="445"/>
        </w:numPr>
        <w:ind w:left="1440" w:hanging="720"/>
        <w:rPr>
          <w:lang w:val="sl-SI"/>
        </w:rPr>
      </w:pPr>
      <w:r w:rsidRPr="001048FE">
        <w:rPr>
          <w:lang w:val="sl-SI"/>
        </w:rPr>
        <w:t>nove oblike učenja in zagotavljanja izobraževanja in usposabljanja, zlasti strateška uporaba odprtega in prilagodljivega učenja, virtualna mobilnost, prosto dostopni učni viri in boljša uporaba potenciala IKT;</w:t>
      </w:r>
    </w:p>
    <w:p w14:paraId="7D39A9A4" w14:textId="77777777" w:rsidR="007E310F" w:rsidRPr="001048FE" w:rsidRDefault="007E310F" w:rsidP="005115F2">
      <w:pPr>
        <w:pStyle w:val="Guide-NormalBulletpoints"/>
        <w:numPr>
          <w:ilvl w:val="0"/>
          <w:numId w:val="445"/>
        </w:numPr>
        <w:ind w:left="1440" w:hanging="720"/>
        <w:rPr>
          <w:lang w:val="sl-SI"/>
        </w:rPr>
      </w:pPr>
      <w:r w:rsidRPr="001048FE">
        <w:rPr>
          <w:lang w:val="sl-SI"/>
        </w:rPr>
        <w:t>usmerjanje, svetovanje, metode in orodja za mentorstvo;</w:t>
      </w:r>
    </w:p>
    <w:p w14:paraId="7D39A9A5" w14:textId="77777777" w:rsidR="007E310F" w:rsidRPr="001048FE" w:rsidRDefault="007E310F" w:rsidP="005115F2">
      <w:pPr>
        <w:pStyle w:val="Guide-NormalBulletpoints"/>
        <w:numPr>
          <w:ilvl w:val="0"/>
          <w:numId w:val="445"/>
        </w:numPr>
        <w:ind w:left="1440" w:hanging="720"/>
        <w:rPr>
          <w:lang w:val="sl-SI"/>
        </w:rPr>
      </w:pPr>
      <w:r w:rsidRPr="001048FE">
        <w:rPr>
          <w:lang w:val="sl-SI"/>
        </w:rPr>
        <w:t>orodja in metode za profesionalizacijo in poklicni razvoj učiteljev, vodij usposabljanja in drugega osebja, ki so zlasti usmerjeni v izboljšano začetno izobraževanje ter usposabljanje na delovnem mestu za učitelje;</w:t>
      </w:r>
    </w:p>
    <w:p w14:paraId="7D39A9A6" w14:textId="77777777" w:rsidR="007E310F" w:rsidRPr="001048FE" w:rsidRDefault="007E310F" w:rsidP="005115F2">
      <w:pPr>
        <w:pStyle w:val="Guide-NormalBulletpoints"/>
        <w:numPr>
          <w:ilvl w:val="0"/>
          <w:numId w:val="445"/>
        </w:numPr>
        <w:ind w:left="1440" w:hanging="720"/>
        <w:rPr>
          <w:lang w:val="sl-SI"/>
        </w:rPr>
      </w:pPr>
      <w:r w:rsidRPr="001048FE">
        <w:rPr>
          <w:lang w:val="sl-SI"/>
        </w:rPr>
        <w:t>upravljanje in vodenje institucij za izobraževanje in usposabljanje;</w:t>
      </w:r>
    </w:p>
    <w:p w14:paraId="7D39A9A7" w14:textId="77777777" w:rsidR="007E310F" w:rsidRPr="001048FE" w:rsidRDefault="007E310F" w:rsidP="005115F2">
      <w:pPr>
        <w:pStyle w:val="Guide-NormalBulletpoints"/>
        <w:numPr>
          <w:ilvl w:val="0"/>
          <w:numId w:val="445"/>
        </w:numPr>
        <w:ind w:left="1440" w:hanging="720"/>
        <w:rPr>
          <w:lang w:val="sl-SI"/>
        </w:rPr>
      </w:pPr>
      <w:r w:rsidRPr="001048FE">
        <w:rPr>
          <w:lang w:val="sl-SI"/>
        </w:rPr>
        <w:t>aktivnosti osveščanja med organizacijami v različnih sektorjih izobraževanja, usposabljanja in mladine;</w:t>
      </w:r>
    </w:p>
    <w:p w14:paraId="7D39A9A8" w14:textId="77777777" w:rsidR="007E310F" w:rsidRPr="001048FE" w:rsidRDefault="007E310F" w:rsidP="005115F2">
      <w:pPr>
        <w:pStyle w:val="Guide-NormalBulletpoints"/>
        <w:numPr>
          <w:ilvl w:val="0"/>
          <w:numId w:val="445"/>
        </w:numPr>
        <w:ind w:left="1440" w:hanging="720"/>
        <w:rPr>
          <w:lang w:val="sl-SI"/>
        </w:rPr>
      </w:pPr>
      <w:r w:rsidRPr="001048FE">
        <w:rPr>
          <w:lang w:val="sl-SI"/>
        </w:rPr>
        <w:t>strateško</w:t>
      </w:r>
      <w:r w:rsidRPr="001048FE">
        <w:rPr>
          <w:spacing w:val="-16"/>
          <w:lang w:val="sl-SI"/>
        </w:rPr>
        <w:t xml:space="preserve"> </w:t>
      </w:r>
      <w:r w:rsidRPr="001048FE">
        <w:rPr>
          <w:lang w:val="sl-SI"/>
        </w:rPr>
        <w:t>sodelovanje</w:t>
      </w:r>
      <w:r w:rsidRPr="001048FE">
        <w:rPr>
          <w:spacing w:val="-16"/>
          <w:lang w:val="sl-SI"/>
        </w:rPr>
        <w:t xml:space="preserve"> </w:t>
      </w:r>
      <w:r w:rsidRPr="001048FE">
        <w:rPr>
          <w:lang w:val="sl-SI"/>
        </w:rPr>
        <w:t>med</w:t>
      </w:r>
      <w:r w:rsidRPr="001048FE">
        <w:rPr>
          <w:spacing w:val="-16"/>
          <w:lang w:val="sl-SI"/>
        </w:rPr>
        <w:t xml:space="preserve"> </w:t>
      </w:r>
      <w:r w:rsidRPr="001048FE">
        <w:rPr>
          <w:lang w:val="sl-SI"/>
        </w:rPr>
        <w:t>ponudniki</w:t>
      </w:r>
      <w:r w:rsidRPr="001048FE">
        <w:rPr>
          <w:spacing w:val="-16"/>
          <w:lang w:val="sl-SI"/>
        </w:rPr>
        <w:t xml:space="preserve"> </w:t>
      </w:r>
      <w:r w:rsidRPr="001048FE">
        <w:rPr>
          <w:lang w:val="sl-SI"/>
        </w:rPr>
        <w:t>izobraževanja</w:t>
      </w:r>
      <w:r w:rsidRPr="001048FE">
        <w:rPr>
          <w:spacing w:val="-16"/>
          <w:lang w:val="sl-SI"/>
        </w:rPr>
        <w:t xml:space="preserve"> </w:t>
      </w:r>
      <w:r w:rsidRPr="001048FE">
        <w:rPr>
          <w:lang w:val="sl-SI"/>
        </w:rPr>
        <w:t>na</w:t>
      </w:r>
      <w:r w:rsidRPr="001048FE">
        <w:rPr>
          <w:spacing w:val="-16"/>
          <w:lang w:val="sl-SI"/>
        </w:rPr>
        <w:t xml:space="preserve"> </w:t>
      </w:r>
      <w:r w:rsidRPr="001048FE">
        <w:rPr>
          <w:lang w:val="sl-SI"/>
        </w:rPr>
        <w:t>eni</w:t>
      </w:r>
      <w:r w:rsidRPr="001048FE">
        <w:rPr>
          <w:spacing w:val="-16"/>
          <w:lang w:val="sl-SI"/>
        </w:rPr>
        <w:t xml:space="preserve"> </w:t>
      </w:r>
      <w:r w:rsidRPr="001048FE">
        <w:rPr>
          <w:lang w:val="sl-SI"/>
        </w:rPr>
        <w:t>strani</w:t>
      </w:r>
      <w:r w:rsidRPr="001048FE">
        <w:rPr>
          <w:spacing w:val="-16"/>
          <w:lang w:val="sl-SI"/>
        </w:rPr>
        <w:t xml:space="preserve"> </w:t>
      </w:r>
      <w:r w:rsidRPr="001048FE">
        <w:rPr>
          <w:lang w:val="sl-SI"/>
        </w:rPr>
        <w:t>in lokalnimi/regionalnimi organi na drugi</w:t>
      </w:r>
      <w:r w:rsidRPr="001048FE">
        <w:rPr>
          <w:spacing w:val="1"/>
          <w:lang w:val="sl-SI"/>
        </w:rPr>
        <w:t xml:space="preserve"> </w:t>
      </w:r>
      <w:r w:rsidRPr="001048FE">
        <w:rPr>
          <w:lang w:val="sl-SI"/>
        </w:rPr>
        <w:t>strani;</w:t>
      </w:r>
    </w:p>
    <w:p w14:paraId="7D39A9A9" w14:textId="77777777" w:rsidR="00095755" w:rsidRPr="001048FE" w:rsidRDefault="007E310F" w:rsidP="005115F2">
      <w:pPr>
        <w:pStyle w:val="GUIDE-NORMAL"/>
        <w:numPr>
          <w:ilvl w:val="0"/>
          <w:numId w:val="444"/>
        </w:numPr>
        <w:rPr>
          <w:lang w:val="sl-SI"/>
        </w:rPr>
      </w:pPr>
      <w:r w:rsidRPr="001048FE">
        <w:rPr>
          <w:lang w:val="sl-SI"/>
        </w:rPr>
        <w:t>izmenjava</w:t>
      </w:r>
      <w:r w:rsidRPr="001048FE">
        <w:rPr>
          <w:spacing w:val="-13"/>
          <w:lang w:val="sl-SI"/>
        </w:rPr>
        <w:t xml:space="preserve"> </w:t>
      </w:r>
      <w:r w:rsidRPr="001048FE">
        <w:rPr>
          <w:lang w:val="sl-SI"/>
        </w:rPr>
        <w:t>izkušenj</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dobrih</w:t>
      </w:r>
      <w:r w:rsidRPr="001048FE">
        <w:rPr>
          <w:spacing w:val="-13"/>
          <w:lang w:val="sl-SI"/>
        </w:rPr>
        <w:t xml:space="preserve"> </w:t>
      </w:r>
      <w:r w:rsidRPr="001048FE">
        <w:rPr>
          <w:lang w:val="sl-SI"/>
        </w:rPr>
        <w:t>praks,</w:t>
      </w:r>
      <w:r w:rsidRPr="001048FE">
        <w:rPr>
          <w:spacing w:val="-13"/>
          <w:lang w:val="sl-SI"/>
        </w:rPr>
        <w:t xml:space="preserve"> </w:t>
      </w:r>
      <w:r w:rsidRPr="001048FE">
        <w:rPr>
          <w:lang w:val="sl-SI"/>
        </w:rPr>
        <w:t>izvajanje</w:t>
      </w:r>
      <w:r w:rsidRPr="001048FE">
        <w:rPr>
          <w:spacing w:val="-13"/>
          <w:lang w:val="sl-SI"/>
        </w:rPr>
        <w:t xml:space="preserve"> </w:t>
      </w:r>
      <w:r w:rsidRPr="001048FE">
        <w:rPr>
          <w:lang w:val="sl-SI"/>
        </w:rPr>
        <w:t>aktivnosti</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delavnic</w:t>
      </w:r>
      <w:r w:rsidRPr="001048FE">
        <w:rPr>
          <w:spacing w:val="-13"/>
          <w:lang w:val="sl-SI"/>
        </w:rPr>
        <w:t xml:space="preserve"> </w:t>
      </w:r>
      <w:r w:rsidRPr="001048FE">
        <w:rPr>
          <w:lang w:val="sl-SI"/>
        </w:rPr>
        <w:t>vzajemnega</w:t>
      </w:r>
      <w:r w:rsidRPr="001048FE">
        <w:rPr>
          <w:spacing w:val="-13"/>
          <w:lang w:val="sl-SI"/>
        </w:rPr>
        <w:t xml:space="preserve"> </w:t>
      </w:r>
      <w:r w:rsidRPr="001048FE">
        <w:rPr>
          <w:lang w:val="sl-SI"/>
        </w:rPr>
        <w:t xml:space="preserve">učenja; </w:t>
      </w:r>
    </w:p>
    <w:p w14:paraId="7D39A9AA" w14:textId="77777777" w:rsidR="007E310F" w:rsidRPr="001048FE" w:rsidRDefault="007E310F" w:rsidP="005115F2">
      <w:pPr>
        <w:pStyle w:val="GUIDE-NORMAL"/>
        <w:numPr>
          <w:ilvl w:val="0"/>
          <w:numId w:val="444"/>
        </w:numPr>
        <w:rPr>
          <w:lang w:val="sl-SI"/>
        </w:rPr>
      </w:pPr>
      <w:r w:rsidRPr="001048FE">
        <w:rPr>
          <w:lang w:val="sl-SI"/>
        </w:rPr>
        <w:t>izvajanje skupnih raziskav, anket, študij in</w:t>
      </w:r>
      <w:r w:rsidRPr="001048FE">
        <w:rPr>
          <w:spacing w:val="-17"/>
          <w:lang w:val="sl-SI"/>
        </w:rPr>
        <w:t xml:space="preserve"> </w:t>
      </w:r>
      <w:r w:rsidRPr="001048FE">
        <w:rPr>
          <w:lang w:val="sl-SI"/>
        </w:rPr>
        <w:t>analiz;</w:t>
      </w:r>
    </w:p>
    <w:p w14:paraId="7D39A9AB" w14:textId="77777777" w:rsidR="00095755" w:rsidRPr="001048FE" w:rsidRDefault="007E310F" w:rsidP="005115F2">
      <w:pPr>
        <w:pStyle w:val="GUIDE-NORMAL"/>
        <w:numPr>
          <w:ilvl w:val="0"/>
          <w:numId w:val="444"/>
        </w:numPr>
        <w:rPr>
          <w:lang w:val="sl-SI"/>
        </w:rPr>
      </w:pPr>
      <w:r w:rsidRPr="001048FE">
        <w:rPr>
          <w:lang w:val="sl-SI"/>
        </w:rPr>
        <w:t xml:space="preserve">lajšanje priznavanja in potrjevanja spretnosti in kompetenc na nacionalni ravni z upoštevanjem evropskih in nacionalnih ogrodij kvalifikacij ter uporabo instrumentov EU za potrjevanje; </w:t>
      </w:r>
    </w:p>
    <w:p w14:paraId="7D39A9AC" w14:textId="77777777" w:rsidR="007E310F" w:rsidRPr="001048FE" w:rsidRDefault="007E310F" w:rsidP="005115F2">
      <w:pPr>
        <w:pStyle w:val="GUIDE-NORMAL"/>
        <w:numPr>
          <w:ilvl w:val="0"/>
          <w:numId w:val="444"/>
        </w:numPr>
        <w:rPr>
          <w:lang w:val="sl-SI"/>
        </w:rPr>
      </w:pPr>
      <w:r w:rsidRPr="001048FE">
        <w:rPr>
          <w:lang w:val="sl-SI"/>
        </w:rPr>
        <w:t>spodbujanje sodelovanja med lokalnimi in/ali regionalnimi šolskimi organi iz različnih držav Programa za podporo strateškemu razvoju s projekti, ki vključujejo šole, lokalne zasebne organizacije in organizacije civilne družbe, ki so aktivne na trgu dela ali področju izobraževanja, usposabljanja in mladine.</w:t>
      </w:r>
    </w:p>
    <w:p w14:paraId="7D39A9AD" w14:textId="77777777" w:rsidR="006B404F" w:rsidRPr="001048FE" w:rsidRDefault="006B404F" w:rsidP="00D35C53">
      <w:pPr>
        <w:pStyle w:val="Guide-Heading5"/>
        <w:rPr>
          <w:lang w:val="sl-SI"/>
        </w:rPr>
        <w:sectPr w:rsidR="006B404F" w:rsidRPr="001048FE" w:rsidSect="007F4890">
          <w:headerReference w:type="even" r:id="rId188"/>
          <w:headerReference w:type="default" r:id="rId189"/>
          <w:endnotePr>
            <w:numFmt w:val="decimal"/>
          </w:endnotePr>
          <w:pgSz w:w="11910" w:h="16840" w:code="9"/>
          <w:pgMar w:top="1134" w:right="1418" w:bottom="1134" w:left="1418" w:header="283" w:footer="567" w:gutter="0"/>
          <w:cols w:space="720"/>
          <w:docGrid w:linePitch="326"/>
        </w:sectPr>
      </w:pPr>
    </w:p>
    <w:p w14:paraId="7D39A9AE" w14:textId="77777777" w:rsidR="007E310F" w:rsidRPr="001048FE" w:rsidRDefault="007E310F" w:rsidP="00D35C53">
      <w:pPr>
        <w:pStyle w:val="Guide-Heading5"/>
        <w:rPr>
          <w:lang w:val="sl-SI"/>
        </w:rPr>
      </w:pPr>
      <w:r w:rsidRPr="001048FE">
        <w:rPr>
          <w:lang w:val="sl-SI"/>
        </w:rPr>
        <w:t>Izobraževanje odraslih</w:t>
      </w:r>
    </w:p>
    <w:p w14:paraId="7D39A9AF" w14:textId="77777777" w:rsidR="007E310F" w:rsidRPr="001048FE" w:rsidRDefault="007E310F" w:rsidP="005115F2">
      <w:pPr>
        <w:pStyle w:val="GUIDE-NORMAL"/>
        <w:numPr>
          <w:ilvl w:val="0"/>
          <w:numId w:val="446"/>
        </w:numPr>
        <w:rPr>
          <w:lang w:val="sl-SI"/>
        </w:rPr>
      </w:pPr>
      <w:r w:rsidRPr="001048FE">
        <w:rPr>
          <w:lang w:val="sl-SI"/>
        </w:rPr>
        <w:t>Razvijanje,</w:t>
      </w:r>
      <w:r w:rsidRPr="001048FE">
        <w:rPr>
          <w:spacing w:val="-17"/>
          <w:lang w:val="sl-SI"/>
        </w:rPr>
        <w:t xml:space="preserve"> </w:t>
      </w:r>
      <w:r w:rsidRPr="001048FE">
        <w:rPr>
          <w:lang w:val="sl-SI"/>
        </w:rPr>
        <w:t>preskušanje,</w:t>
      </w:r>
      <w:r w:rsidRPr="001048FE">
        <w:rPr>
          <w:spacing w:val="-17"/>
          <w:lang w:val="sl-SI"/>
        </w:rPr>
        <w:t xml:space="preserve"> </w:t>
      </w:r>
      <w:r w:rsidRPr="001048FE">
        <w:rPr>
          <w:lang w:val="sl-SI"/>
        </w:rPr>
        <w:t>prilagajanje</w:t>
      </w:r>
      <w:r w:rsidRPr="001048FE">
        <w:rPr>
          <w:spacing w:val="-17"/>
          <w:lang w:val="sl-SI"/>
        </w:rPr>
        <w:t xml:space="preserve"> </w:t>
      </w:r>
      <w:r w:rsidRPr="001048FE">
        <w:rPr>
          <w:lang w:val="sl-SI"/>
        </w:rPr>
        <w:t>in</w:t>
      </w:r>
      <w:r w:rsidRPr="001048FE">
        <w:rPr>
          <w:spacing w:val="-17"/>
          <w:lang w:val="sl-SI"/>
        </w:rPr>
        <w:t xml:space="preserve"> </w:t>
      </w:r>
      <w:r w:rsidRPr="001048FE">
        <w:rPr>
          <w:lang w:val="sl-SI"/>
        </w:rPr>
        <w:t>sprejemanje/izvajanje</w:t>
      </w:r>
      <w:r w:rsidRPr="001048FE">
        <w:rPr>
          <w:spacing w:val="-17"/>
          <w:lang w:val="sl-SI"/>
        </w:rPr>
        <w:t xml:space="preserve"> </w:t>
      </w:r>
      <w:r w:rsidRPr="001048FE">
        <w:rPr>
          <w:lang w:val="sl-SI"/>
        </w:rPr>
        <w:t>inovativnih</w:t>
      </w:r>
      <w:r w:rsidRPr="001048FE">
        <w:rPr>
          <w:spacing w:val="-17"/>
          <w:lang w:val="sl-SI"/>
        </w:rPr>
        <w:t xml:space="preserve"> </w:t>
      </w:r>
      <w:r w:rsidRPr="001048FE">
        <w:rPr>
          <w:lang w:val="sl-SI"/>
        </w:rPr>
        <w:t>praks</w:t>
      </w:r>
      <w:r w:rsidRPr="001048FE">
        <w:rPr>
          <w:spacing w:val="-17"/>
          <w:lang w:val="sl-SI"/>
        </w:rPr>
        <w:t xml:space="preserve"> </w:t>
      </w:r>
      <w:r w:rsidRPr="001048FE">
        <w:rPr>
          <w:lang w:val="sl-SI"/>
        </w:rPr>
        <w:t>v</w:t>
      </w:r>
      <w:r w:rsidRPr="001048FE">
        <w:rPr>
          <w:spacing w:val="-17"/>
          <w:lang w:val="sl-SI"/>
        </w:rPr>
        <w:t xml:space="preserve"> </w:t>
      </w:r>
      <w:r w:rsidRPr="001048FE">
        <w:rPr>
          <w:lang w:val="sl-SI"/>
        </w:rPr>
        <w:t>zvezi</w:t>
      </w:r>
      <w:r w:rsidRPr="001048FE">
        <w:rPr>
          <w:spacing w:val="-17"/>
          <w:lang w:val="sl-SI"/>
        </w:rPr>
        <w:t xml:space="preserve"> </w:t>
      </w:r>
      <w:r w:rsidRPr="001048FE">
        <w:rPr>
          <w:lang w:val="sl-SI"/>
        </w:rPr>
        <w:t>z naslednjim:</w:t>
      </w:r>
    </w:p>
    <w:p w14:paraId="7D39A9B0" w14:textId="77777777" w:rsidR="007E310F" w:rsidRPr="001048FE" w:rsidRDefault="007E310F" w:rsidP="005115F2">
      <w:pPr>
        <w:pStyle w:val="Guide-NormalBulletpoints"/>
        <w:numPr>
          <w:ilvl w:val="0"/>
          <w:numId w:val="447"/>
        </w:numPr>
        <w:ind w:left="1440" w:hanging="720"/>
        <w:rPr>
          <w:lang w:val="sl-SI"/>
        </w:rPr>
      </w:pPr>
      <w:r w:rsidRPr="001048FE">
        <w:rPr>
          <w:lang w:val="sl-SI"/>
        </w:rPr>
        <w:t>novi učni načrti in programi ter z njimi povezana učna gradiva in orodja za učeče se odrasle;</w:t>
      </w:r>
    </w:p>
    <w:p w14:paraId="7D39A9B1" w14:textId="77777777" w:rsidR="007E310F" w:rsidRPr="001048FE" w:rsidRDefault="007E310F" w:rsidP="005115F2">
      <w:pPr>
        <w:pStyle w:val="Guide-NormalBulletpoints"/>
        <w:numPr>
          <w:ilvl w:val="0"/>
          <w:numId w:val="447"/>
        </w:numPr>
        <w:ind w:left="1440" w:hanging="720"/>
        <w:rPr>
          <w:lang w:val="sl-SI"/>
        </w:rPr>
      </w:pPr>
      <w:r w:rsidRPr="001048FE">
        <w:rPr>
          <w:lang w:val="sl-SI"/>
        </w:rPr>
        <w:t>metodologije</w:t>
      </w:r>
      <w:r w:rsidRPr="001048FE">
        <w:rPr>
          <w:spacing w:val="-12"/>
          <w:lang w:val="sl-SI"/>
        </w:rPr>
        <w:t xml:space="preserve"> </w:t>
      </w:r>
      <w:r w:rsidRPr="001048FE">
        <w:rPr>
          <w:lang w:val="sl-SI"/>
        </w:rPr>
        <w:t>poučevanja</w:t>
      </w:r>
      <w:r w:rsidRPr="001048FE">
        <w:rPr>
          <w:spacing w:val="-12"/>
          <w:lang w:val="sl-SI"/>
        </w:rPr>
        <w:t xml:space="preserve"> </w:t>
      </w:r>
      <w:r w:rsidRPr="001048FE">
        <w:rPr>
          <w:lang w:val="sl-SI"/>
        </w:rPr>
        <w:t>in</w:t>
      </w:r>
      <w:r w:rsidRPr="001048FE">
        <w:rPr>
          <w:spacing w:val="-12"/>
          <w:lang w:val="sl-SI"/>
        </w:rPr>
        <w:t xml:space="preserve"> </w:t>
      </w:r>
      <w:r w:rsidRPr="001048FE">
        <w:rPr>
          <w:lang w:val="sl-SI"/>
        </w:rPr>
        <w:t>učenja</w:t>
      </w:r>
      <w:r w:rsidRPr="001048FE">
        <w:rPr>
          <w:spacing w:val="-12"/>
          <w:lang w:val="sl-SI"/>
        </w:rPr>
        <w:t xml:space="preserve"> </w:t>
      </w:r>
      <w:r w:rsidRPr="001048FE">
        <w:rPr>
          <w:lang w:val="sl-SI"/>
        </w:rPr>
        <w:t>ter</w:t>
      </w:r>
      <w:r w:rsidRPr="001048FE">
        <w:rPr>
          <w:spacing w:val="-12"/>
          <w:lang w:val="sl-SI"/>
        </w:rPr>
        <w:t xml:space="preserve"> </w:t>
      </w:r>
      <w:r w:rsidRPr="001048FE">
        <w:rPr>
          <w:lang w:val="sl-SI"/>
        </w:rPr>
        <w:t>pedagoški</w:t>
      </w:r>
      <w:r w:rsidRPr="001048FE">
        <w:rPr>
          <w:spacing w:val="-12"/>
          <w:lang w:val="sl-SI"/>
        </w:rPr>
        <w:t xml:space="preserve"> </w:t>
      </w:r>
      <w:r w:rsidRPr="001048FE">
        <w:rPr>
          <w:lang w:val="sl-SI"/>
        </w:rPr>
        <w:t>pristopi</w:t>
      </w:r>
      <w:r w:rsidRPr="001048FE">
        <w:rPr>
          <w:spacing w:val="-12"/>
          <w:lang w:val="sl-SI"/>
        </w:rPr>
        <w:t xml:space="preserve"> </w:t>
      </w:r>
      <w:r w:rsidRPr="001048FE">
        <w:rPr>
          <w:lang w:val="sl-SI"/>
        </w:rPr>
        <w:t>za</w:t>
      </w:r>
      <w:r w:rsidRPr="001048FE">
        <w:rPr>
          <w:spacing w:val="-12"/>
          <w:lang w:val="sl-SI"/>
        </w:rPr>
        <w:t xml:space="preserve"> </w:t>
      </w:r>
      <w:r w:rsidRPr="001048FE">
        <w:rPr>
          <w:lang w:val="sl-SI"/>
        </w:rPr>
        <w:t>učeče</w:t>
      </w:r>
      <w:r w:rsidRPr="001048FE">
        <w:rPr>
          <w:spacing w:val="-12"/>
          <w:lang w:val="sl-SI"/>
        </w:rPr>
        <w:t xml:space="preserve"> </w:t>
      </w:r>
      <w:r w:rsidRPr="001048FE">
        <w:rPr>
          <w:lang w:val="sl-SI"/>
        </w:rPr>
        <w:t>se</w:t>
      </w:r>
      <w:r w:rsidRPr="001048FE">
        <w:rPr>
          <w:spacing w:val="-12"/>
          <w:lang w:val="sl-SI"/>
        </w:rPr>
        <w:t xml:space="preserve"> </w:t>
      </w:r>
      <w:r w:rsidRPr="001048FE">
        <w:rPr>
          <w:lang w:val="sl-SI"/>
        </w:rPr>
        <w:t>odrasle,</w:t>
      </w:r>
      <w:r w:rsidRPr="001048FE">
        <w:rPr>
          <w:spacing w:val="-12"/>
          <w:lang w:val="sl-SI"/>
        </w:rPr>
        <w:t xml:space="preserve"> </w:t>
      </w:r>
      <w:r w:rsidRPr="001048FE">
        <w:rPr>
          <w:lang w:val="sl-SI"/>
        </w:rPr>
        <w:t>zlasti</w:t>
      </w:r>
      <w:r w:rsidRPr="001048FE">
        <w:rPr>
          <w:spacing w:val="-12"/>
          <w:lang w:val="sl-SI"/>
        </w:rPr>
        <w:t xml:space="preserve"> </w:t>
      </w:r>
      <w:r w:rsidRPr="001048FE">
        <w:rPr>
          <w:lang w:val="sl-SI"/>
        </w:rPr>
        <w:t>tisti, ki zagotavljajo ključne kompetence in osnovna znanja; znanje jezikov; poudarek na uporabi</w:t>
      </w:r>
      <w:r w:rsidRPr="001048FE">
        <w:rPr>
          <w:spacing w:val="-3"/>
          <w:lang w:val="sl-SI"/>
        </w:rPr>
        <w:t xml:space="preserve"> </w:t>
      </w:r>
      <w:r w:rsidRPr="001048FE">
        <w:rPr>
          <w:lang w:val="sl-SI"/>
        </w:rPr>
        <w:t>IKT;</w:t>
      </w:r>
    </w:p>
    <w:p w14:paraId="7D39A9B2" w14:textId="77777777" w:rsidR="007E310F" w:rsidRPr="001048FE" w:rsidRDefault="007E310F" w:rsidP="005115F2">
      <w:pPr>
        <w:pStyle w:val="Guide-NormalBulletpoints"/>
        <w:numPr>
          <w:ilvl w:val="0"/>
          <w:numId w:val="447"/>
        </w:numPr>
        <w:ind w:left="1440" w:hanging="720"/>
        <w:rPr>
          <w:lang w:val="sl-SI"/>
        </w:rPr>
      </w:pPr>
      <w:r w:rsidRPr="001048FE">
        <w:rPr>
          <w:lang w:val="sl-SI"/>
        </w:rPr>
        <w:t>nove oblike učenja odraslih in zagotavljanja izobraževanja odraslih, zlasti strateška uporaba odprtega in prilagodljivega učenja, virtualna mobilnost, prosto dostopni učni viri in boljša uporaba potenciala IKT;</w:t>
      </w:r>
    </w:p>
    <w:p w14:paraId="7D39A9B3" w14:textId="77777777" w:rsidR="00D35C53" w:rsidRPr="001048FE" w:rsidRDefault="007E310F" w:rsidP="005115F2">
      <w:pPr>
        <w:pStyle w:val="Guide-NormalBulletpoints"/>
        <w:numPr>
          <w:ilvl w:val="0"/>
          <w:numId w:val="447"/>
        </w:numPr>
        <w:ind w:left="1440" w:hanging="720"/>
        <w:rPr>
          <w:lang w:val="sl-SI"/>
        </w:rPr>
      </w:pPr>
      <w:r w:rsidRPr="001048FE">
        <w:rPr>
          <w:lang w:val="sl-SI"/>
        </w:rPr>
        <w:t xml:space="preserve">usmerjanje in svetovanje ter metode in orodja za mentorstvo za učeče se odrasle; </w:t>
      </w:r>
    </w:p>
    <w:p w14:paraId="7D39A9B4" w14:textId="77777777" w:rsidR="007E310F" w:rsidRPr="001048FE" w:rsidRDefault="007E310F" w:rsidP="005115F2">
      <w:pPr>
        <w:pStyle w:val="Guide-NormalBulletpoints"/>
        <w:numPr>
          <w:ilvl w:val="0"/>
          <w:numId w:val="447"/>
        </w:numPr>
        <w:ind w:left="1440" w:hanging="720"/>
        <w:rPr>
          <w:lang w:val="sl-SI"/>
        </w:rPr>
      </w:pPr>
      <w:r w:rsidRPr="001048FE">
        <w:rPr>
          <w:lang w:val="sl-SI"/>
        </w:rPr>
        <w:t>orodja in metode za profesionalizacijo in poklicni razvoj učiteljev in osebja v izobraževanju</w:t>
      </w:r>
      <w:r w:rsidRPr="001048FE">
        <w:rPr>
          <w:spacing w:val="-24"/>
          <w:lang w:val="sl-SI"/>
        </w:rPr>
        <w:t xml:space="preserve"> </w:t>
      </w:r>
      <w:r w:rsidRPr="001048FE">
        <w:rPr>
          <w:lang w:val="sl-SI"/>
        </w:rPr>
        <w:t>odraslih;</w:t>
      </w:r>
      <w:r w:rsidRPr="001048FE">
        <w:rPr>
          <w:spacing w:val="-24"/>
          <w:lang w:val="sl-SI"/>
        </w:rPr>
        <w:t xml:space="preserve"> </w:t>
      </w:r>
      <w:r w:rsidRPr="001048FE">
        <w:rPr>
          <w:lang w:val="sl-SI"/>
        </w:rPr>
        <w:t>posebna</w:t>
      </w:r>
      <w:r w:rsidRPr="001048FE">
        <w:rPr>
          <w:spacing w:val="-24"/>
          <w:lang w:val="sl-SI"/>
        </w:rPr>
        <w:t xml:space="preserve"> </w:t>
      </w:r>
      <w:r w:rsidRPr="001048FE">
        <w:rPr>
          <w:lang w:val="sl-SI"/>
        </w:rPr>
        <w:t>usmerjenost</w:t>
      </w:r>
      <w:r w:rsidRPr="001048FE">
        <w:rPr>
          <w:spacing w:val="-24"/>
          <w:lang w:val="sl-SI"/>
        </w:rPr>
        <w:t xml:space="preserve"> </w:t>
      </w:r>
      <w:r w:rsidRPr="001048FE">
        <w:rPr>
          <w:lang w:val="sl-SI"/>
        </w:rPr>
        <w:t>v</w:t>
      </w:r>
      <w:r w:rsidRPr="001048FE">
        <w:rPr>
          <w:spacing w:val="-24"/>
          <w:lang w:val="sl-SI"/>
        </w:rPr>
        <w:t xml:space="preserve"> </w:t>
      </w:r>
      <w:r w:rsidRPr="001048FE">
        <w:rPr>
          <w:lang w:val="sl-SI"/>
        </w:rPr>
        <w:t>izboljšano</w:t>
      </w:r>
      <w:r w:rsidRPr="001048FE">
        <w:rPr>
          <w:spacing w:val="-24"/>
          <w:lang w:val="sl-SI"/>
        </w:rPr>
        <w:t xml:space="preserve"> </w:t>
      </w:r>
      <w:r w:rsidRPr="001048FE">
        <w:rPr>
          <w:lang w:val="sl-SI"/>
        </w:rPr>
        <w:t>začetno</w:t>
      </w:r>
      <w:r w:rsidRPr="001048FE">
        <w:rPr>
          <w:spacing w:val="-24"/>
          <w:lang w:val="sl-SI"/>
        </w:rPr>
        <w:t xml:space="preserve"> </w:t>
      </w:r>
      <w:r w:rsidRPr="001048FE">
        <w:rPr>
          <w:lang w:val="sl-SI"/>
        </w:rPr>
        <w:t>izobraževanje</w:t>
      </w:r>
      <w:r w:rsidRPr="001048FE">
        <w:rPr>
          <w:spacing w:val="-24"/>
          <w:lang w:val="sl-SI"/>
        </w:rPr>
        <w:t xml:space="preserve"> </w:t>
      </w:r>
      <w:r w:rsidRPr="001048FE">
        <w:rPr>
          <w:lang w:val="sl-SI"/>
        </w:rPr>
        <w:t>ter usposabljanje</w:t>
      </w:r>
      <w:r w:rsidRPr="001048FE">
        <w:rPr>
          <w:spacing w:val="-7"/>
          <w:lang w:val="sl-SI"/>
        </w:rPr>
        <w:t xml:space="preserve"> </w:t>
      </w:r>
      <w:r w:rsidRPr="001048FE">
        <w:rPr>
          <w:lang w:val="sl-SI"/>
        </w:rPr>
        <w:t>na</w:t>
      </w:r>
      <w:r w:rsidRPr="001048FE">
        <w:rPr>
          <w:spacing w:val="-7"/>
          <w:lang w:val="sl-SI"/>
        </w:rPr>
        <w:t xml:space="preserve"> </w:t>
      </w:r>
      <w:r w:rsidRPr="001048FE">
        <w:rPr>
          <w:lang w:val="sl-SI"/>
        </w:rPr>
        <w:t>delovnem</w:t>
      </w:r>
      <w:r w:rsidRPr="001048FE">
        <w:rPr>
          <w:spacing w:val="-7"/>
          <w:lang w:val="sl-SI"/>
        </w:rPr>
        <w:t xml:space="preserve"> </w:t>
      </w:r>
      <w:r w:rsidRPr="001048FE">
        <w:rPr>
          <w:lang w:val="sl-SI"/>
        </w:rPr>
        <w:t>mestu</w:t>
      </w:r>
      <w:r w:rsidRPr="001048FE">
        <w:rPr>
          <w:spacing w:val="-7"/>
          <w:lang w:val="sl-SI"/>
        </w:rPr>
        <w:t xml:space="preserve"> </w:t>
      </w:r>
      <w:r w:rsidRPr="001048FE">
        <w:rPr>
          <w:lang w:val="sl-SI"/>
        </w:rPr>
        <w:t>za</w:t>
      </w:r>
      <w:r w:rsidRPr="001048FE">
        <w:rPr>
          <w:spacing w:val="-7"/>
          <w:lang w:val="sl-SI"/>
        </w:rPr>
        <w:t xml:space="preserve"> </w:t>
      </w:r>
      <w:r w:rsidRPr="001048FE">
        <w:rPr>
          <w:lang w:val="sl-SI"/>
        </w:rPr>
        <w:t>učitelje</w:t>
      </w:r>
      <w:r w:rsidRPr="001048FE">
        <w:rPr>
          <w:spacing w:val="-7"/>
          <w:lang w:val="sl-SI"/>
        </w:rPr>
        <w:t xml:space="preserve"> </w:t>
      </w:r>
      <w:r w:rsidRPr="001048FE">
        <w:rPr>
          <w:lang w:val="sl-SI"/>
        </w:rPr>
        <w:t>v</w:t>
      </w:r>
      <w:r w:rsidRPr="001048FE">
        <w:rPr>
          <w:spacing w:val="-7"/>
          <w:lang w:val="sl-SI"/>
        </w:rPr>
        <w:t xml:space="preserve"> </w:t>
      </w:r>
      <w:r w:rsidRPr="001048FE">
        <w:rPr>
          <w:lang w:val="sl-SI"/>
        </w:rPr>
        <w:t>izobraževanju</w:t>
      </w:r>
      <w:r w:rsidRPr="001048FE">
        <w:rPr>
          <w:spacing w:val="-7"/>
          <w:lang w:val="sl-SI"/>
        </w:rPr>
        <w:t xml:space="preserve"> </w:t>
      </w:r>
      <w:r w:rsidRPr="001048FE">
        <w:rPr>
          <w:lang w:val="sl-SI"/>
        </w:rPr>
        <w:t>odraslih;</w:t>
      </w:r>
    </w:p>
    <w:p w14:paraId="7D39A9B5" w14:textId="77777777" w:rsidR="00D35C53" w:rsidRPr="001048FE" w:rsidRDefault="007E310F" w:rsidP="005115F2">
      <w:pPr>
        <w:pStyle w:val="Guide-NormalBulletpoints"/>
        <w:numPr>
          <w:ilvl w:val="0"/>
          <w:numId w:val="447"/>
        </w:numPr>
        <w:ind w:left="1440" w:hanging="720"/>
        <w:rPr>
          <w:lang w:val="sl-SI"/>
        </w:rPr>
      </w:pPr>
      <w:r w:rsidRPr="001048FE">
        <w:rPr>
          <w:lang w:val="sl-SI"/>
        </w:rPr>
        <w:t xml:space="preserve">upravljanje in vodenje organizacij za izobraževanje odraslih; </w:t>
      </w:r>
    </w:p>
    <w:p w14:paraId="7D39A9B6" w14:textId="77777777" w:rsidR="007E310F" w:rsidRPr="001048FE" w:rsidRDefault="007E310F" w:rsidP="005115F2">
      <w:pPr>
        <w:pStyle w:val="Guide-NormalBulletpoints"/>
        <w:numPr>
          <w:ilvl w:val="0"/>
          <w:numId w:val="447"/>
        </w:numPr>
        <w:ind w:left="1440" w:hanging="720"/>
        <w:rPr>
          <w:lang w:val="sl-SI"/>
        </w:rPr>
      </w:pPr>
      <w:r w:rsidRPr="001048FE">
        <w:rPr>
          <w:lang w:val="sl-SI"/>
        </w:rPr>
        <w:t>aktivnosti osveščanja med organizacijami v različnih sektorjih izobraževanja, usposabljanja in mladine;</w:t>
      </w:r>
    </w:p>
    <w:p w14:paraId="7D39A9B7" w14:textId="77777777" w:rsidR="007E310F" w:rsidRPr="001048FE" w:rsidRDefault="007E310F" w:rsidP="005115F2">
      <w:pPr>
        <w:pStyle w:val="Guide-NormalBulletpoints"/>
        <w:numPr>
          <w:ilvl w:val="0"/>
          <w:numId w:val="447"/>
        </w:numPr>
        <w:ind w:left="1440" w:hanging="720"/>
        <w:rPr>
          <w:lang w:val="sl-SI"/>
        </w:rPr>
      </w:pPr>
      <w:r w:rsidRPr="001048FE">
        <w:rPr>
          <w:lang w:val="sl-SI"/>
        </w:rPr>
        <w:t>strateško</w:t>
      </w:r>
      <w:r w:rsidRPr="001048FE">
        <w:rPr>
          <w:spacing w:val="-14"/>
          <w:lang w:val="sl-SI"/>
        </w:rPr>
        <w:t xml:space="preserve"> </w:t>
      </w:r>
      <w:r w:rsidRPr="001048FE">
        <w:rPr>
          <w:lang w:val="sl-SI"/>
        </w:rPr>
        <w:t>sodelovanje</w:t>
      </w:r>
      <w:r w:rsidRPr="001048FE">
        <w:rPr>
          <w:spacing w:val="-14"/>
          <w:lang w:val="sl-SI"/>
        </w:rPr>
        <w:t xml:space="preserve"> </w:t>
      </w:r>
      <w:r w:rsidRPr="001048FE">
        <w:rPr>
          <w:lang w:val="sl-SI"/>
        </w:rPr>
        <w:t>med</w:t>
      </w:r>
      <w:r w:rsidRPr="001048FE">
        <w:rPr>
          <w:spacing w:val="-14"/>
          <w:lang w:val="sl-SI"/>
        </w:rPr>
        <w:t xml:space="preserve"> </w:t>
      </w:r>
      <w:r w:rsidRPr="001048FE">
        <w:rPr>
          <w:lang w:val="sl-SI"/>
        </w:rPr>
        <w:t>ponudniki</w:t>
      </w:r>
      <w:r w:rsidRPr="001048FE">
        <w:rPr>
          <w:spacing w:val="-14"/>
          <w:lang w:val="sl-SI"/>
        </w:rPr>
        <w:t xml:space="preserve"> </w:t>
      </w:r>
      <w:r w:rsidRPr="001048FE">
        <w:rPr>
          <w:lang w:val="sl-SI"/>
        </w:rPr>
        <w:t>izobraževanja</w:t>
      </w:r>
      <w:r w:rsidRPr="001048FE">
        <w:rPr>
          <w:spacing w:val="-14"/>
          <w:lang w:val="sl-SI"/>
        </w:rPr>
        <w:t xml:space="preserve"> </w:t>
      </w:r>
      <w:r w:rsidRPr="001048FE">
        <w:rPr>
          <w:lang w:val="sl-SI"/>
        </w:rPr>
        <w:t>odraslih</w:t>
      </w:r>
      <w:r w:rsidRPr="001048FE">
        <w:rPr>
          <w:spacing w:val="-13"/>
          <w:lang w:val="sl-SI"/>
        </w:rPr>
        <w:t xml:space="preserve"> </w:t>
      </w:r>
      <w:r w:rsidRPr="001048FE">
        <w:rPr>
          <w:lang w:val="sl-SI"/>
        </w:rPr>
        <w:t>na</w:t>
      </w:r>
      <w:r w:rsidRPr="001048FE">
        <w:rPr>
          <w:spacing w:val="-14"/>
          <w:lang w:val="sl-SI"/>
        </w:rPr>
        <w:t xml:space="preserve"> </w:t>
      </w:r>
      <w:r w:rsidRPr="001048FE">
        <w:rPr>
          <w:lang w:val="sl-SI"/>
        </w:rPr>
        <w:t>eni</w:t>
      </w:r>
      <w:r w:rsidRPr="001048FE">
        <w:rPr>
          <w:spacing w:val="-14"/>
          <w:lang w:val="sl-SI"/>
        </w:rPr>
        <w:t xml:space="preserve"> </w:t>
      </w:r>
      <w:r w:rsidRPr="001048FE">
        <w:rPr>
          <w:lang w:val="sl-SI"/>
        </w:rPr>
        <w:t>strani</w:t>
      </w:r>
      <w:r w:rsidRPr="001048FE">
        <w:rPr>
          <w:spacing w:val="-14"/>
          <w:lang w:val="sl-SI"/>
        </w:rPr>
        <w:t xml:space="preserve"> </w:t>
      </w:r>
      <w:r w:rsidRPr="001048FE">
        <w:rPr>
          <w:lang w:val="sl-SI"/>
        </w:rPr>
        <w:t>in lokalnimi/regionalnimi organi na drugi</w:t>
      </w:r>
      <w:r w:rsidRPr="001048FE">
        <w:rPr>
          <w:spacing w:val="-1"/>
          <w:lang w:val="sl-SI"/>
        </w:rPr>
        <w:t xml:space="preserve"> </w:t>
      </w:r>
      <w:r w:rsidRPr="001048FE">
        <w:rPr>
          <w:lang w:val="sl-SI"/>
        </w:rPr>
        <w:t>strani;</w:t>
      </w:r>
    </w:p>
    <w:p w14:paraId="7D39A9B8" w14:textId="77777777" w:rsidR="007E310F" w:rsidRPr="001048FE" w:rsidRDefault="007E310F" w:rsidP="005115F2">
      <w:pPr>
        <w:pStyle w:val="GUIDE-NORMAL"/>
        <w:numPr>
          <w:ilvl w:val="0"/>
          <w:numId w:val="446"/>
        </w:numPr>
        <w:rPr>
          <w:lang w:val="sl-SI"/>
        </w:rPr>
      </w:pPr>
      <w:r w:rsidRPr="001048FE">
        <w:rPr>
          <w:lang w:val="sl-SI"/>
        </w:rPr>
        <w:t>zagotavljanje</w:t>
      </w:r>
      <w:r w:rsidRPr="001048FE">
        <w:rPr>
          <w:spacing w:val="-12"/>
          <w:lang w:val="sl-SI"/>
        </w:rPr>
        <w:t xml:space="preserve"> </w:t>
      </w:r>
      <w:r w:rsidRPr="001048FE">
        <w:rPr>
          <w:lang w:val="sl-SI"/>
        </w:rPr>
        <w:t>fleksibilnih</w:t>
      </w:r>
      <w:r w:rsidRPr="001048FE">
        <w:rPr>
          <w:spacing w:val="-12"/>
          <w:lang w:val="sl-SI"/>
        </w:rPr>
        <w:t xml:space="preserve"> </w:t>
      </w:r>
      <w:r w:rsidRPr="001048FE">
        <w:rPr>
          <w:lang w:val="sl-SI"/>
        </w:rPr>
        <w:t>učnih</w:t>
      </w:r>
      <w:r w:rsidRPr="001048FE">
        <w:rPr>
          <w:spacing w:val="-12"/>
          <w:lang w:val="sl-SI"/>
        </w:rPr>
        <w:t xml:space="preserve"> </w:t>
      </w:r>
      <w:r w:rsidRPr="001048FE">
        <w:rPr>
          <w:lang w:val="sl-SI"/>
        </w:rPr>
        <w:t>poti</w:t>
      </w:r>
      <w:r w:rsidRPr="001048FE">
        <w:rPr>
          <w:spacing w:val="-12"/>
          <w:lang w:val="sl-SI"/>
        </w:rPr>
        <w:t xml:space="preserve"> </w:t>
      </w:r>
      <w:r w:rsidRPr="001048FE">
        <w:rPr>
          <w:lang w:val="sl-SI"/>
        </w:rPr>
        <w:t>za</w:t>
      </w:r>
      <w:r w:rsidRPr="001048FE">
        <w:rPr>
          <w:spacing w:val="-12"/>
          <w:lang w:val="sl-SI"/>
        </w:rPr>
        <w:t xml:space="preserve"> </w:t>
      </w:r>
      <w:r w:rsidRPr="001048FE">
        <w:rPr>
          <w:lang w:val="sl-SI"/>
        </w:rPr>
        <w:t>učeče</w:t>
      </w:r>
      <w:r w:rsidRPr="001048FE">
        <w:rPr>
          <w:spacing w:val="-12"/>
          <w:lang w:val="sl-SI"/>
        </w:rPr>
        <w:t xml:space="preserve"> </w:t>
      </w:r>
      <w:r w:rsidRPr="001048FE">
        <w:rPr>
          <w:lang w:val="sl-SI"/>
        </w:rPr>
        <w:t>se</w:t>
      </w:r>
      <w:r w:rsidRPr="001048FE">
        <w:rPr>
          <w:spacing w:val="-12"/>
          <w:lang w:val="sl-SI"/>
        </w:rPr>
        <w:t xml:space="preserve"> </w:t>
      </w:r>
      <w:r w:rsidRPr="001048FE">
        <w:rPr>
          <w:lang w:val="sl-SI"/>
        </w:rPr>
        <w:t>odrasle,</w:t>
      </w:r>
      <w:r w:rsidRPr="001048FE">
        <w:rPr>
          <w:spacing w:val="-11"/>
          <w:lang w:val="sl-SI"/>
        </w:rPr>
        <w:t xml:space="preserve"> </w:t>
      </w:r>
      <w:r w:rsidRPr="001048FE">
        <w:rPr>
          <w:lang w:val="sl-SI"/>
        </w:rPr>
        <w:t>vključno</w:t>
      </w:r>
      <w:r w:rsidRPr="001048FE">
        <w:rPr>
          <w:spacing w:val="-12"/>
          <w:lang w:val="sl-SI"/>
        </w:rPr>
        <w:t xml:space="preserve"> </w:t>
      </w:r>
      <w:r w:rsidRPr="001048FE">
        <w:rPr>
          <w:lang w:val="sl-SI"/>
        </w:rPr>
        <w:t>s</w:t>
      </w:r>
      <w:r w:rsidRPr="001048FE">
        <w:rPr>
          <w:spacing w:val="-12"/>
          <w:lang w:val="sl-SI"/>
        </w:rPr>
        <w:t xml:space="preserve"> </w:t>
      </w:r>
      <w:r w:rsidRPr="001048FE">
        <w:rPr>
          <w:lang w:val="sl-SI"/>
        </w:rPr>
        <w:t>potrjevanjem</w:t>
      </w:r>
      <w:r w:rsidRPr="001048FE">
        <w:rPr>
          <w:spacing w:val="-12"/>
          <w:lang w:val="sl-SI"/>
        </w:rPr>
        <w:t xml:space="preserve"> </w:t>
      </w:r>
      <w:r w:rsidRPr="001048FE">
        <w:rPr>
          <w:lang w:val="sl-SI"/>
        </w:rPr>
        <w:t>njihovega predhodnega</w:t>
      </w:r>
      <w:r w:rsidRPr="001048FE">
        <w:rPr>
          <w:spacing w:val="-3"/>
          <w:lang w:val="sl-SI"/>
        </w:rPr>
        <w:t xml:space="preserve"> </w:t>
      </w:r>
      <w:r w:rsidRPr="001048FE">
        <w:rPr>
          <w:lang w:val="sl-SI"/>
        </w:rPr>
        <w:t>učenja:</w:t>
      </w:r>
    </w:p>
    <w:p w14:paraId="7D39A9B9" w14:textId="77777777" w:rsidR="00D35C53" w:rsidRPr="001048FE" w:rsidRDefault="007E310F" w:rsidP="005115F2">
      <w:pPr>
        <w:pStyle w:val="Guide-NormalBulletpoints"/>
        <w:numPr>
          <w:ilvl w:val="0"/>
          <w:numId w:val="447"/>
        </w:numPr>
        <w:ind w:left="1440" w:hanging="720"/>
        <w:rPr>
          <w:lang w:val="sl-SI"/>
        </w:rPr>
      </w:pPr>
      <w:r w:rsidRPr="001048FE">
        <w:rPr>
          <w:lang w:val="sl-SI"/>
        </w:rPr>
        <w:t xml:space="preserve">primerjalna analiza modelov in pristopov upravljanja in izvajanja; </w:t>
      </w:r>
    </w:p>
    <w:p w14:paraId="7D39A9BA" w14:textId="77777777" w:rsidR="007E310F" w:rsidRPr="001048FE" w:rsidRDefault="007E310F" w:rsidP="005115F2">
      <w:pPr>
        <w:pStyle w:val="Guide-NormalBulletpoints"/>
        <w:numPr>
          <w:ilvl w:val="0"/>
          <w:numId w:val="447"/>
        </w:numPr>
        <w:ind w:left="1440" w:hanging="720"/>
        <w:rPr>
          <w:lang w:val="sl-SI"/>
        </w:rPr>
      </w:pPr>
      <w:r w:rsidRPr="001048FE">
        <w:rPr>
          <w:lang w:val="sl-SI"/>
        </w:rPr>
        <w:t>preskušanje in praktična uporaba metod za ocenjevanja znanja in kompetenc, pridobljenih s priložnostnim in neformalnim učenjem;</w:t>
      </w:r>
    </w:p>
    <w:p w14:paraId="7D39A9BB" w14:textId="77777777" w:rsidR="007E310F" w:rsidRPr="001048FE" w:rsidRDefault="007E310F" w:rsidP="005115F2">
      <w:pPr>
        <w:pStyle w:val="GUIDE-NORMAL"/>
        <w:numPr>
          <w:ilvl w:val="0"/>
          <w:numId w:val="446"/>
        </w:numPr>
        <w:rPr>
          <w:lang w:val="sl-SI"/>
        </w:rPr>
      </w:pPr>
      <w:r w:rsidRPr="001048FE">
        <w:rPr>
          <w:lang w:val="sl-SI"/>
        </w:rPr>
        <w:t>izboljševanje dostopa do priložnosti za učenje za odrasle:</w:t>
      </w:r>
    </w:p>
    <w:p w14:paraId="7D39A9BC" w14:textId="77777777" w:rsidR="007E310F" w:rsidRPr="001048FE" w:rsidRDefault="007E310F" w:rsidP="005115F2">
      <w:pPr>
        <w:pStyle w:val="Guide-NormalBulletpoints"/>
        <w:numPr>
          <w:ilvl w:val="0"/>
          <w:numId w:val="447"/>
        </w:numPr>
        <w:ind w:left="1440" w:hanging="720"/>
        <w:rPr>
          <w:lang w:val="sl-SI"/>
        </w:rPr>
      </w:pPr>
      <w:r w:rsidRPr="001048FE">
        <w:rPr>
          <w:lang w:val="sl-SI"/>
        </w:rPr>
        <w:t>spodbujanje</w:t>
      </w:r>
      <w:r w:rsidRPr="001048FE">
        <w:rPr>
          <w:spacing w:val="-18"/>
          <w:lang w:val="sl-SI"/>
        </w:rPr>
        <w:t xml:space="preserve"> </w:t>
      </w:r>
      <w:r w:rsidRPr="001048FE">
        <w:rPr>
          <w:lang w:val="sl-SI"/>
        </w:rPr>
        <w:t>razvoja</w:t>
      </w:r>
      <w:r w:rsidRPr="001048FE">
        <w:rPr>
          <w:spacing w:val="-18"/>
          <w:lang w:val="sl-SI"/>
        </w:rPr>
        <w:t xml:space="preserve"> </w:t>
      </w:r>
      <w:r w:rsidRPr="001048FE">
        <w:rPr>
          <w:lang w:val="sl-SI"/>
        </w:rPr>
        <w:t>večnamenskih</w:t>
      </w:r>
      <w:r w:rsidRPr="001048FE">
        <w:rPr>
          <w:spacing w:val="-18"/>
          <w:lang w:val="sl-SI"/>
        </w:rPr>
        <w:t xml:space="preserve"> </w:t>
      </w:r>
      <w:r w:rsidRPr="001048FE">
        <w:rPr>
          <w:lang w:val="sl-SI"/>
        </w:rPr>
        <w:t>centrov</w:t>
      </w:r>
      <w:r w:rsidRPr="001048FE">
        <w:rPr>
          <w:spacing w:val="-18"/>
          <w:lang w:val="sl-SI"/>
        </w:rPr>
        <w:t xml:space="preserve"> </w:t>
      </w:r>
      <w:r w:rsidRPr="001048FE">
        <w:rPr>
          <w:lang w:val="sl-SI"/>
        </w:rPr>
        <w:t>za</w:t>
      </w:r>
      <w:r w:rsidRPr="001048FE">
        <w:rPr>
          <w:spacing w:val="-18"/>
          <w:lang w:val="sl-SI"/>
        </w:rPr>
        <w:t xml:space="preserve"> </w:t>
      </w:r>
      <w:r w:rsidRPr="001048FE">
        <w:rPr>
          <w:lang w:val="sl-SI"/>
        </w:rPr>
        <w:t>učenje</w:t>
      </w:r>
      <w:r w:rsidRPr="001048FE">
        <w:rPr>
          <w:spacing w:val="-18"/>
          <w:lang w:val="sl-SI"/>
        </w:rPr>
        <w:t xml:space="preserve"> </w:t>
      </w:r>
      <w:r w:rsidRPr="001048FE">
        <w:rPr>
          <w:lang w:val="sl-SI"/>
        </w:rPr>
        <w:t>in</w:t>
      </w:r>
      <w:r w:rsidRPr="001048FE">
        <w:rPr>
          <w:spacing w:val="-18"/>
          <w:lang w:val="sl-SI"/>
        </w:rPr>
        <w:t xml:space="preserve"> </w:t>
      </w:r>
      <w:r w:rsidRPr="001048FE">
        <w:rPr>
          <w:lang w:val="sl-SI"/>
        </w:rPr>
        <w:t>regionalnih</w:t>
      </w:r>
      <w:r w:rsidRPr="001048FE">
        <w:rPr>
          <w:spacing w:val="-18"/>
          <w:lang w:val="sl-SI"/>
        </w:rPr>
        <w:t xml:space="preserve"> </w:t>
      </w:r>
      <w:r w:rsidRPr="001048FE">
        <w:rPr>
          <w:lang w:val="sl-SI"/>
        </w:rPr>
        <w:t>omrežij</w:t>
      </w:r>
      <w:r w:rsidRPr="001048FE">
        <w:rPr>
          <w:spacing w:val="-17"/>
          <w:lang w:val="sl-SI"/>
        </w:rPr>
        <w:t xml:space="preserve"> </w:t>
      </w:r>
      <w:r w:rsidRPr="001048FE">
        <w:rPr>
          <w:lang w:val="sl-SI"/>
        </w:rPr>
        <w:t>ponudnikov izobraževanja;</w:t>
      </w:r>
    </w:p>
    <w:p w14:paraId="7D39A9BD" w14:textId="77777777" w:rsidR="007E310F" w:rsidRPr="001048FE" w:rsidRDefault="007E310F" w:rsidP="005115F2">
      <w:pPr>
        <w:pStyle w:val="Guide-NormalBulletpoints"/>
        <w:numPr>
          <w:ilvl w:val="0"/>
          <w:numId w:val="447"/>
        </w:numPr>
        <w:ind w:left="1440" w:hanging="720"/>
        <w:rPr>
          <w:lang w:val="sl-SI"/>
        </w:rPr>
      </w:pPr>
      <w:r w:rsidRPr="001048FE">
        <w:rPr>
          <w:lang w:val="sl-SI"/>
        </w:rPr>
        <w:t>ukrepi</w:t>
      </w:r>
      <w:r w:rsidRPr="001048FE">
        <w:rPr>
          <w:spacing w:val="-15"/>
          <w:lang w:val="sl-SI"/>
        </w:rPr>
        <w:t xml:space="preserve"> </w:t>
      </w:r>
      <w:r w:rsidRPr="001048FE">
        <w:rPr>
          <w:lang w:val="sl-SI"/>
        </w:rPr>
        <w:t>za</w:t>
      </w:r>
      <w:r w:rsidRPr="001048FE">
        <w:rPr>
          <w:spacing w:val="-15"/>
          <w:lang w:val="sl-SI"/>
        </w:rPr>
        <w:t xml:space="preserve"> </w:t>
      </w:r>
      <w:r w:rsidRPr="001048FE">
        <w:rPr>
          <w:lang w:val="sl-SI"/>
        </w:rPr>
        <w:t>razvoj</w:t>
      </w:r>
      <w:r w:rsidRPr="001048FE">
        <w:rPr>
          <w:spacing w:val="-15"/>
          <w:lang w:val="sl-SI"/>
        </w:rPr>
        <w:t xml:space="preserve"> </w:t>
      </w:r>
      <w:r w:rsidRPr="001048FE">
        <w:rPr>
          <w:lang w:val="sl-SI"/>
        </w:rPr>
        <w:t>izobraževalne</w:t>
      </w:r>
      <w:r w:rsidRPr="001048FE">
        <w:rPr>
          <w:spacing w:val="-15"/>
          <w:lang w:val="sl-SI"/>
        </w:rPr>
        <w:t xml:space="preserve"> </w:t>
      </w:r>
      <w:r w:rsidRPr="001048FE">
        <w:rPr>
          <w:lang w:val="sl-SI"/>
        </w:rPr>
        <w:t>razsežnosti</w:t>
      </w:r>
      <w:r w:rsidRPr="001048FE">
        <w:rPr>
          <w:spacing w:val="-15"/>
          <w:lang w:val="sl-SI"/>
        </w:rPr>
        <w:t xml:space="preserve"> </w:t>
      </w:r>
      <w:r w:rsidRPr="001048FE">
        <w:rPr>
          <w:lang w:val="sl-SI"/>
        </w:rPr>
        <w:t>organizacij,</w:t>
      </w:r>
      <w:r w:rsidRPr="001048FE">
        <w:rPr>
          <w:spacing w:val="-14"/>
          <w:lang w:val="sl-SI"/>
        </w:rPr>
        <w:t xml:space="preserve"> </w:t>
      </w:r>
      <w:r w:rsidRPr="001048FE">
        <w:rPr>
          <w:lang w:val="sl-SI"/>
        </w:rPr>
        <w:t>katerih</w:t>
      </w:r>
      <w:r w:rsidRPr="001048FE">
        <w:rPr>
          <w:spacing w:val="-15"/>
          <w:lang w:val="sl-SI"/>
        </w:rPr>
        <w:t xml:space="preserve"> </w:t>
      </w:r>
      <w:r w:rsidRPr="001048FE">
        <w:rPr>
          <w:lang w:val="sl-SI"/>
        </w:rPr>
        <w:t>osnovni</w:t>
      </w:r>
      <w:r w:rsidRPr="001048FE">
        <w:rPr>
          <w:spacing w:val="-14"/>
          <w:lang w:val="sl-SI"/>
        </w:rPr>
        <w:t xml:space="preserve"> </w:t>
      </w:r>
      <w:r w:rsidRPr="001048FE">
        <w:rPr>
          <w:lang w:val="sl-SI"/>
        </w:rPr>
        <w:t>namen</w:t>
      </w:r>
      <w:r w:rsidRPr="001048FE">
        <w:rPr>
          <w:spacing w:val="-15"/>
          <w:lang w:val="sl-SI"/>
        </w:rPr>
        <w:t xml:space="preserve"> </w:t>
      </w:r>
      <w:r w:rsidRPr="001048FE">
        <w:rPr>
          <w:lang w:val="sl-SI"/>
        </w:rPr>
        <w:t>ni izobraževanje (npr. kulturne</w:t>
      </w:r>
      <w:r w:rsidRPr="001048FE">
        <w:rPr>
          <w:spacing w:val="-7"/>
          <w:lang w:val="sl-SI"/>
        </w:rPr>
        <w:t xml:space="preserve"> </w:t>
      </w:r>
      <w:r w:rsidRPr="001048FE">
        <w:rPr>
          <w:lang w:val="sl-SI"/>
        </w:rPr>
        <w:t>organizacije);</w:t>
      </w:r>
    </w:p>
    <w:p w14:paraId="7D39A9BE" w14:textId="77777777" w:rsidR="007E310F" w:rsidRPr="001048FE" w:rsidRDefault="007E310F" w:rsidP="005115F2">
      <w:pPr>
        <w:pStyle w:val="Guide-NormalBulletpoints"/>
        <w:numPr>
          <w:ilvl w:val="0"/>
          <w:numId w:val="447"/>
        </w:numPr>
        <w:ind w:left="1440" w:hanging="720"/>
        <w:rPr>
          <w:lang w:val="sl-SI"/>
        </w:rPr>
      </w:pPr>
      <w:r w:rsidRPr="001048FE">
        <w:rPr>
          <w:lang w:val="sl-SI"/>
        </w:rPr>
        <w:t>razvoj</w:t>
      </w:r>
      <w:r w:rsidRPr="001048FE">
        <w:rPr>
          <w:spacing w:val="-17"/>
          <w:lang w:val="sl-SI"/>
        </w:rPr>
        <w:t xml:space="preserve"> </w:t>
      </w:r>
      <w:r w:rsidRPr="001048FE">
        <w:rPr>
          <w:lang w:val="sl-SI"/>
        </w:rPr>
        <w:t>usposabljanj</w:t>
      </w:r>
      <w:r w:rsidRPr="001048FE">
        <w:rPr>
          <w:spacing w:val="-17"/>
          <w:lang w:val="sl-SI"/>
        </w:rPr>
        <w:t xml:space="preserve"> </w:t>
      </w:r>
      <w:r w:rsidRPr="001048FE">
        <w:rPr>
          <w:lang w:val="sl-SI"/>
        </w:rPr>
        <w:t>za</w:t>
      </w:r>
      <w:r w:rsidRPr="001048FE">
        <w:rPr>
          <w:spacing w:val="-17"/>
          <w:lang w:val="sl-SI"/>
        </w:rPr>
        <w:t xml:space="preserve"> </w:t>
      </w:r>
      <w:r w:rsidRPr="001048FE">
        <w:rPr>
          <w:lang w:val="sl-SI"/>
        </w:rPr>
        <w:t>večje</w:t>
      </w:r>
      <w:r w:rsidRPr="001048FE">
        <w:rPr>
          <w:spacing w:val="-17"/>
          <w:lang w:val="sl-SI"/>
        </w:rPr>
        <w:t xml:space="preserve"> </w:t>
      </w:r>
      <w:r w:rsidRPr="001048FE">
        <w:rPr>
          <w:lang w:val="sl-SI"/>
        </w:rPr>
        <w:t>število</w:t>
      </w:r>
      <w:r w:rsidRPr="001048FE">
        <w:rPr>
          <w:spacing w:val="-17"/>
          <w:lang w:val="sl-SI"/>
        </w:rPr>
        <w:t xml:space="preserve"> </w:t>
      </w:r>
      <w:r w:rsidRPr="001048FE">
        <w:rPr>
          <w:lang w:val="sl-SI"/>
        </w:rPr>
        <w:t>in</w:t>
      </w:r>
      <w:r w:rsidRPr="001048FE">
        <w:rPr>
          <w:spacing w:val="-17"/>
          <w:lang w:val="sl-SI"/>
        </w:rPr>
        <w:t xml:space="preserve"> </w:t>
      </w:r>
      <w:r w:rsidRPr="001048FE">
        <w:rPr>
          <w:lang w:val="sl-SI"/>
        </w:rPr>
        <w:t>izboljšanje</w:t>
      </w:r>
      <w:r w:rsidRPr="001048FE">
        <w:rPr>
          <w:spacing w:val="-17"/>
          <w:lang w:val="sl-SI"/>
        </w:rPr>
        <w:t xml:space="preserve"> </w:t>
      </w:r>
      <w:r w:rsidRPr="001048FE">
        <w:rPr>
          <w:lang w:val="sl-SI"/>
        </w:rPr>
        <w:t>kakovosti</w:t>
      </w:r>
      <w:r w:rsidRPr="001048FE">
        <w:rPr>
          <w:spacing w:val="-17"/>
          <w:lang w:val="sl-SI"/>
        </w:rPr>
        <w:t xml:space="preserve"> </w:t>
      </w:r>
      <w:r w:rsidRPr="001048FE">
        <w:rPr>
          <w:lang w:val="sl-SI"/>
        </w:rPr>
        <w:t>evropskih</w:t>
      </w:r>
      <w:r w:rsidRPr="001048FE">
        <w:rPr>
          <w:spacing w:val="-17"/>
          <w:lang w:val="sl-SI"/>
        </w:rPr>
        <w:t xml:space="preserve"> </w:t>
      </w:r>
      <w:r w:rsidRPr="001048FE">
        <w:rPr>
          <w:lang w:val="sl-SI"/>
        </w:rPr>
        <w:t>usposabljanj,</w:t>
      </w:r>
      <w:r w:rsidRPr="001048FE">
        <w:rPr>
          <w:spacing w:val="-17"/>
          <w:lang w:val="sl-SI"/>
        </w:rPr>
        <w:t xml:space="preserve"> </w:t>
      </w:r>
      <w:r w:rsidRPr="001048FE">
        <w:rPr>
          <w:lang w:val="sl-SI"/>
        </w:rPr>
        <w:t>ki</w:t>
      </w:r>
      <w:r w:rsidRPr="001048FE">
        <w:rPr>
          <w:spacing w:val="-17"/>
          <w:lang w:val="sl-SI"/>
        </w:rPr>
        <w:t xml:space="preserve"> </w:t>
      </w:r>
      <w:r w:rsidRPr="001048FE">
        <w:rPr>
          <w:lang w:val="sl-SI"/>
        </w:rPr>
        <w:t>so na</w:t>
      </w:r>
      <w:r w:rsidRPr="001048FE">
        <w:rPr>
          <w:spacing w:val="-6"/>
          <w:lang w:val="sl-SI"/>
        </w:rPr>
        <w:t xml:space="preserve"> </w:t>
      </w:r>
      <w:r w:rsidRPr="001048FE">
        <w:rPr>
          <w:lang w:val="sl-SI"/>
        </w:rPr>
        <w:t>voljo</w:t>
      </w:r>
      <w:r w:rsidRPr="001048FE">
        <w:rPr>
          <w:spacing w:val="-6"/>
          <w:lang w:val="sl-SI"/>
        </w:rPr>
        <w:t xml:space="preserve"> </w:t>
      </w:r>
      <w:r w:rsidRPr="001048FE">
        <w:rPr>
          <w:lang w:val="sl-SI"/>
        </w:rPr>
        <w:t>za</w:t>
      </w:r>
      <w:r w:rsidRPr="001048FE">
        <w:rPr>
          <w:spacing w:val="-6"/>
          <w:lang w:val="sl-SI"/>
        </w:rPr>
        <w:t xml:space="preserve"> </w:t>
      </w:r>
      <w:r w:rsidRPr="001048FE">
        <w:rPr>
          <w:lang w:val="sl-SI"/>
        </w:rPr>
        <w:t>učitelje,</w:t>
      </w:r>
      <w:r w:rsidRPr="001048FE">
        <w:rPr>
          <w:spacing w:val="-6"/>
          <w:lang w:val="sl-SI"/>
        </w:rPr>
        <w:t xml:space="preserve"> </w:t>
      </w:r>
      <w:r w:rsidRPr="001048FE">
        <w:rPr>
          <w:lang w:val="sl-SI"/>
        </w:rPr>
        <w:t>menedžerje</w:t>
      </w:r>
      <w:r w:rsidRPr="001048FE">
        <w:rPr>
          <w:spacing w:val="-6"/>
          <w:lang w:val="sl-SI"/>
        </w:rPr>
        <w:t xml:space="preserve"> </w:t>
      </w:r>
      <w:r w:rsidRPr="001048FE">
        <w:rPr>
          <w:lang w:val="sl-SI"/>
        </w:rPr>
        <w:t>in</w:t>
      </w:r>
      <w:r w:rsidRPr="001048FE">
        <w:rPr>
          <w:spacing w:val="-6"/>
          <w:lang w:val="sl-SI"/>
        </w:rPr>
        <w:t xml:space="preserve"> </w:t>
      </w:r>
      <w:r w:rsidRPr="001048FE">
        <w:rPr>
          <w:lang w:val="sl-SI"/>
        </w:rPr>
        <w:t>drugo</w:t>
      </w:r>
      <w:r w:rsidRPr="001048FE">
        <w:rPr>
          <w:spacing w:val="-6"/>
          <w:lang w:val="sl-SI"/>
        </w:rPr>
        <w:t xml:space="preserve"> </w:t>
      </w:r>
      <w:r w:rsidRPr="001048FE">
        <w:rPr>
          <w:lang w:val="sl-SI"/>
        </w:rPr>
        <w:t>osebje</w:t>
      </w:r>
      <w:r w:rsidRPr="001048FE">
        <w:rPr>
          <w:spacing w:val="-5"/>
          <w:lang w:val="sl-SI"/>
        </w:rPr>
        <w:t xml:space="preserve"> </w:t>
      </w:r>
      <w:r w:rsidRPr="001048FE">
        <w:rPr>
          <w:lang w:val="sl-SI"/>
        </w:rPr>
        <w:t>v</w:t>
      </w:r>
      <w:r w:rsidRPr="001048FE">
        <w:rPr>
          <w:spacing w:val="-6"/>
          <w:lang w:val="sl-SI"/>
        </w:rPr>
        <w:t xml:space="preserve"> </w:t>
      </w:r>
      <w:r w:rsidRPr="001048FE">
        <w:rPr>
          <w:lang w:val="sl-SI"/>
        </w:rPr>
        <w:t>izobraževanju</w:t>
      </w:r>
      <w:r w:rsidRPr="001048FE">
        <w:rPr>
          <w:spacing w:val="-6"/>
          <w:lang w:val="sl-SI"/>
        </w:rPr>
        <w:t xml:space="preserve"> </w:t>
      </w:r>
      <w:r w:rsidRPr="001048FE">
        <w:rPr>
          <w:lang w:val="sl-SI"/>
        </w:rPr>
        <w:t>odraslih;</w:t>
      </w:r>
    </w:p>
    <w:p w14:paraId="7D39A9BF" w14:textId="77777777" w:rsidR="007E310F" w:rsidRPr="001048FE" w:rsidRDefault="007E310F" w:rsidP="005115F2">
      <w:pPr>
        <w:pStyle w:val="GUIDE-NORMAL"/>
        <w:numPr>
          <w:ilvl w:val="0"/>
          <w:numId w:val="446"/>
        </w:numPr>
        <w:rPr>
          <w:lang w:val="sl-SI"/>
        </w:rPr>
      </w:pPr>
      <w:r w:rsidRPr="001048FE">
        <w:rPr>
          <w:lang w:val="sl-SI"/>
        </w:rPr>
        <w:t>lajšanje priznavanja in potrjevanja spretnosti in kompetenc na nacionalni ravni z upoštevanjem evropskih in nacionalnih ogrodij kvalifikacij ter uporabo instrumentov EU.</w:t>
      </w:r>
    </w:p>
    <w:p w14:paraId="7D39A9C0" w14:textId="77777777" w:rsidR="007E310F" w:rsidRPr="001048FE" w:rsidRDefault="007E310F" w:rsidP="00D35C53">
      <w:pPr>
        <w:pStyle w:val="Guide-Heading5"/>
        <w:rPr>
          <w:lang w:val="sl-SI"/>
        </w:rPr>
      </w:pPr>
      <w:r w:rsidRPr="001048FE">
        <w:rPr>
          <w:lang w:val="sl-SI"/>
        </w:rPr>
        <w:t>Mladina</w:t>
      </w:r>
    </w:p>
    <w:p w14:paraId="7D39A9C1" w14:textId="77777777" w:rsidR="007E310F" w:rsidRPr="001048FE" w:rsidRDefault="007E310F" w:rsidP="005115F2">
      <w:pPr>
        <w:pStyle w:val="GUIDE-NORMAL"/>
        <w:numPr>
          <w:ilvl w:val="0"/>
          <w:numId w:val="448"/>
        </w:numPr>
        <w:rPr>
          <w:lang w:val="sl-SI"/>
        </w:rPr>
      </w:pPr>
      <w:r w:rsidRPr="001048FE">
        <w:rPr>
          <w:lang w:val="sl-SI"/>
        </w:rPr>
        <w:t>Aktivnosti</w:t>
      </w:r>
      <w:r w:rsidRPr="001048FE">
        <w:rPr>
          <w:spacing w:val="-15"/>
          <w:lang w:val="sl-SI"/>
        </w:rPr>
        <w:t xml:space="preserve"> </w:t>
      </w:r>
      <w:r w:rsidRPr="001048FE">
        <w:rPr>
          <w:lang w:val="sl-SI"/>
        </w:rPr>
        <w:t>sodelovanja</w:t>
      </w:r>
      <w:r w:rsidRPr="001048FE">
        <w:rPr>
          <w:spacing w:val="-15"/>
          <w:lang w:val="sl-SI"/>
        </w:rPr>
        <w:t xml:space="preserve"> </w:t>
      </w:r>
      <w:r w:rsidRPr="001048FE">
        <w:rPr>
          <w:lang w:val="sl-SI"/>
        </w:rPr>
        <w:t>na</w:t>
      </w:r>
      <w:r w:rsidRPr="001048FE">
        <w:rPr>
          <w:spacing w:val="-15"/>
          <w:lang w:val="sl-SI"/>
        </w:rPr>
        <w:t xml:space="preserve"> </w:t>
      </w:r>
      <w:r w:rsidRPr="001048FE">
        <w:rPr>
          <w:lang w:val="sl-SI"/>
        </w:rPr>
        <w:t>področju</w:t>
      </w:r>
      <w:r w:rsidRPr="001048FE">
        <w:rPr>
          <w:spacing w:val="-15"/>
          <w:lang w:val="sl-SI"/>
        </w:rPr>
        <w:t xml:space="preserve"> </w:t>
      </w:r>
      <w:r w:rsidRPr="001048FE">
        <w:rPr>
          <w:lang w:val="sl-SI"/>
        </w:rPr>
        <w:t>mladinskega</w:t>
      </w:r>
      <w:r w:rsidRPr="001048FE">
        <w:rPr>
          <w:spacing w:val="-15"/>
          <w:lang w:val="sl-SI"/>
        </w:rPr>
        <w:t xml:space="preserve"> </w:t>
      </w:r>
      <w:r w:rsidRPr="001048FE">
        <w:rPr>
          <w:lang w:val="sl-SI"/>
        </w:rPr>
        <w:t>dela</w:t>
      </w:r>
      <w:r w:rsidRPr="001048FE">
        <w:rPr>
          <w:spacing w:val="-15"/>
          <w:lang w:val="sl-SI"/>
        </w:rPr>
        <w:t xml:space="preserve"> </w:t>
      </w:r>
      <w:r w:rsidRPr="001048FE">
        <w:rPr>
          <w:lang w:val="sl-SI"/>
        </w:rPr>
        <w:t>za</w:t>
      </w:r>
      <w:r w:rsidRPr="001048FE">
        <w:rPr>
          <w:spacing w:val="-15"/>
          <w:lang w:val="sl-SI"/>
        </w:rPr>
        <w:t xml:space="preserve"> </w:t>
      </w:r>
      <w:r w:rsidRPr="001048FE">
        <w:rPr>
          <w:lang w:val="sl-SI"/>
        </w:rPr>
        <w:t>razvoj,</w:t>
      </w:r>
      <w:r w:rsidRPr="001048FE">
        <w:rPr>
          <w:spacing w:val="-15"/>
          <w:lang w:val="sl-SI"/>
        </w:rPr>
        <w:t xml:space="preserve"> </w:t>
      </w:r>
      <w:r w:rsidRPr="001048FE">
        <w:rPr>
          <w:lang w:val="sl-SI"/>
        </w:rPr>
        <w:t>preskušanje,</w:t>
      </w:r>
      <w:r w:rsidRPr="001048FE">
        <w:rPr>
          <w:spacing w:val="-15"/>
          <w:lang w:val="sl-SI"/>
        </w:rPr>
        <w:t xml:space="preserve"> </w:t>
      </w:r>
      <w:r w:rsidRPr="001048FE">
        <w:rPr>
          <w:lang w:val="sl-SI"/>
        </w:rPr>
        <w:t>prilagajanje</w:t>
      </w:r>
      <w:r w:rsidRPr="001048FE">
        <w:rPr>
          <w:spacing w:val="-15"/>
          <w:lang w:val="sl-SI"/>
        </w:rPr>
        <w:t xml:space="preserve"> </w:t>
      </w:r>
      <w:r w:rsidRPr="001048FE">
        <w:rPr>
          <w:lang w:val="sl-SI"/>
        </w:rPr>
        <w:t>in/ali izvajanje</w:t>
      </w:r>
      <w:r w:rsidRPr="001048FE">
        <w:rPr>
          <w:spacing w:val="-8"/>
          <w:lang w:val="sl-SI"/>
        </w:rPr>
        <w:t xml:space="preserve"> </w:t>
      </w:r>
      <w:r w:rsidRPr="001048FE">
        <w:rPr>
          <w:lang w:val="sl-SI"/>
        </w:rPr>
        <w:t>inovativnih</w:t>
      </w:r>
      <w:r w:rsidRPr="001048FE">
        <w:rPr>
          <w:spacing w:val="-8"/>
          <w:lang w:val="sl-SI"/>
        </w:rPr>
        <w:t xml:space="preserve"> </w:t>
      </w:r>
      <w:r w:rsidRPr="001048FE">
        <w:rPr>
          <w:lang w:val="sl-SI"/>
        </w:rPr>
        <w:t>praks</w:t>
      </w:r>
      <w:r w:rsidRPr="001048FE">
        <w:rPr>
          <w:spacing w:val="-8"/>
          <w:lang w:val="sl-SI"/>
        </w:rPr>
        <w:t xml:space="preserve"> </w:t>
      </w:r>
      <w:r w:rsidRPr="001048FE">
        <w:rPr>
          <w:lang w:val="sl-SI"/>
        </w:rPr>
        <w:t>v</w:t>
      </w:r>
      <w:r w:rsidRPr="001048FE">
        <w:rPr>
          <w:spacing w:val="-8"/>
          <w:lang w:val="sl-SI"/>
        </w:rPr>
        <w:t xml:space="preserve"> </w:t>
      </w:r>
      <w:r w:rsidRPr="001048FE">
        <w:rPr>
          <w:lang w:val="sl-SI"/>
        </w:rPr>
        <w:t>mladinskem</w:t>
      </w:r>
      <w:r w:rsidRPr="001048FE">
        <w:rPr>
          <w:spacing w:val="-8"/>
          <w:lang w:val="sl-SI"/>
        </w:rPr>
        <w:t xml:space="preserve"> </w:t>
      </w:r>
      <w:r w:rsidRPr="001048FE">
        <w:rPr>
          <w:lang w:val="sl-SI"/>
        </w:rPr>
        <w:t>delu.</w:t>
      </w:r>
      <w:r w:rsidRPr="001048FE">
        <w:rPr>
          <w:spacing w:val="-8"/>
          <w:lang w:val="sl-SI"/>
        </w:rPr>
        <w:t xml:space="preserve"> </w:t>
      </w:r>
      <w:r w:rsidRPr="001048FE">
        <w:rPr>
          <w:lang w:val="sl-SI"/>
        </w:rPr>
        <w:t>Te</w:t>
      </w:r>
      <w:r w:rsidRPr="001048FE">
        <w:rPr>
          <w:spacing w:val="-8"/>
          <w:lang w:val="sl-SI"/>
        </w:rPr>
        <w:t xml:space="preserve"> </w:t>
      </w:r>
      <w:r w:rsidRPr="001048FE">
        <w:rPr>
          <w:lang w:val="sl-SI"/>
        </w:rPr>
        <w:t>aktivnosti</w:t>
      </w:r>
      <w:r w:rsidRPr="001048FE">
        <w:rPr>
          <w:spacing w:val="-8"/>
          <w:lang w:val="sl-SI"/>
        </w:rPr>
        <w:t xml:space="preserve"> </w:t>
      </w:r>
      <w:r w:rsidRPr="001048FE">
        <w:rPr>
          <w:lang w:val="sl-SI"/>
        </w:rPr>
        <w:t>lahko</w:t>
      </w:r>
      <w:r w:rsidRPr="001048FE">
        <w:rPr>
          <w:spacing w:val="-8"/>
          <w:lang w:val="sl-SI"/>
        </w:rPr>
        <w:t xml:space="preserve"> </w:t>
      </w:r>
      <w:r w:rsidRPr="001048FE">
        <w:rPr>
          <w:lang w:val="sl-SI"/>
        </w:rPr>
        <w:t>zajemajo</w:t>
      </w:r>
      <w:r w:rsidRPr="001048FE">
        <w:rPr>
          <w:spacing w:val="-8"/>
          <w:lang w:val="sl-SI"/>
        </w:rPr>
        <w:t xml:space="preserve"> </w:t>
      </w:r>
      <w:r w:rsidRPr="001048FE">
        <w:rPr>
          <w:lang w:val="sl-SI"/>
        </w:rPr>
        <w:t>naslednje:</w:t>
      </w:r>
    </w:p>
    <w:p w14:paraId="7D39A9C2" w14:textId="77777777" w:rsidR="007E310F" w:rsidRPr="001048FE" w:rsidRDefault="007E310F" w:rsidP="005115F2">
      <w:pPr>
        <w:pStyle w:val="Guide-NormalBulletpoints"/>
        <w:numPr>
          <w:ilvl w:val="0"/>
          <w:numId w:val="450"/>
        </w:numPr>
        <w:ind w:left="1440" w:hanging="720"/>
        <w:rPr>
          <w:lang w:val="sl-SI"/>
        </w:rPr>
      </w:pPr>
      <w:r w:rsidRPr="001048FE">
        <w:rPr>
          <w:lang w:val="sl-SI"/>
        </w:rPr>
        <w:t>metode, orodja in gradiva, katerih cilj je spodbujanje ključnih kompetenc in osnovnih znanj mladih ter njihovo znanje jezikov in spretnosti v IKT;</w:t>
      </w:r>
    </w:p>
    <w:p w14:paraId="7D39A9C3" w14:textId="77777777" w:rsidR="007E310F" w:rsidRPr="001048FE" w:rsidRDefault="007E310F" w:rsidP="005115F2">
      <w:pPr>
        <w:pStyle w:val="Guide-NormalBulletpoints"/>
        <w:numPr>
          <w:ilvl w:val="0"/>
          <w:numId w:val="450"/>
        </w:numPr>
        <w:ind w:left="1440" w:hanging="720"/>
        <w:rPr>
          <w:lang w:val="sl-SI"/>
        </w:rPr>
      </w:pPr>
      <w:r w:rsidRPr="001048FE">
        <w:rPr>
          <w:lang w:val="sl-SI"/>
        </w:rPr>
        <w:t>metode, orodja in gradiva za profesionalizacijo in poklicni razvoj mladinskih delavcev (npr. učni načrti, moduli usposabljanja, viri in gradiva, dobre prakse, instrumenti potrjevanja itd.);</w:t>
      </w:r>
    </w:p>
    <w:p w14:paraId="7D39A9C4" w14:textId="77777777" w:rsidR="007E310F" w:rsidRPr="001048FE" w:rsidRDefault="007E310F" w:rsidP="005115F2">
      <w:pPr>
        <w:pStyle w:val="Guide-NormalBulletpoints"/>
        <w:numPr>
          <w:ilvl w:val="0"/>
          <w:numId w:val="450"/>
        </w:numPr>
        <w:ind w:left="1440" w:hanging="720"/>
        <w:rPr>
          <w:lang w:val="sl-SI"/>
        </w:rPr>
      </w:pPr>
      <w:r w:rsidRPr="001048FE">
        <w:rPr>
          <w:lang w:val="sl-SI"/>
        </w:rPr>
        <w:t>nove oblike izvajanja mladinskega dela in zagotavljanje usposabljanja in podpore, zlasti strateška uporaba odprtega in prilagodljivega učenja, virtualna mobilnost, prosto dostopni učni viri in boljša uporaba potenciala IKT;</w:t>
      </w:r>
    </w:p>
    <w:p w14:paraId="7D39A9C5" w14:textId="77777777" w:rsidR="007E310F" w:rsidRPr="001048FE" w:rsidRDefault="007E310F" w:rsidP="005115F2">
      <w:pPr>
        <w:pStyle w:val="Guide-NormalBulletpoints"/>
        <w:numPr>
          <w:ilvl w:val="0"/>
          <w:numId w:val="450"/>
        </w:numPr>
        <w:ind w:left="1440" w:hanging="720"/>
        <w:rPr>
          <w:lang w:val="sl-SI"/>
        </w:rPr>
      </w:pPr>
      <w:r w:rsidRPr="001048FE">
        <w:rPr>
          <w:lang w:val="sl-SI"/>
        </w:rPr>
        <w:t>programi in orodja za mladinsko delo, katerih cilj je preprečevanje socialne izključenosti in osipa;</w:t>
      </w:r>
    </w:p>
    <w:p w14:paraId="7D39A9C6" w14:textId="77777777" w:rsidR="007E310F" w:rsidRPr="001048FE" w:rsidRDefault="007E310F" w:rsidP="005115F2">
      <w:pPr>
        <w:pStyle w:val="Guide-NormalBulletpoints"/>
        <w:numPr>
          <w:ilvl w:val="0"/>
          <w:numId w:val="450"/>
        </w:numPr>
        <w:ind w:left="1440" w:hanging="720"/>
        <w:rPr>
          <w:lang w:val="sl-SI"/>
        </w:rPr>
      </w:pPr>
      <w:r w:rsidRPr="001048FE">
        <w:rPr>
          <w:lang w:val="sl-SI"/>
        </w:rPr>
        <w:t>strateško mreženje in sodelovanje med mladinskimi organizacijami in/ali organizacijami na področju izobraževanja in usposabljanja ter na trgu dela;</w:t>
      </w:r>
    </w:p>
    <w:p w14:paraId="7D39A9C7" w14:textId="77777777" w:rsidR="007E310F" w:rsidRPr="001048FE" w:rsidRDefault="007E310F" w:rsidP="005115F2">
      <w:pPr>
        <w:pStyle w:val="Guide-NormalBulletpoints"/>
        <w:numPr>
          <w:ilvl w:val="0"/>
          <w:numId w:val="450"/>
        </w:numPr>
        <w:tabs>
          <w:tab w:val="left" w:pos="4977"/>
        </w:tabs>
        <w:ind w:left="1440" w:hanging="720"/>
        <w:rPr>
          <w:lang w:val="sl-SI"/>
        </w:rPr>
      </w:pPr>
      <w:r w:rsidRPr="001048FE">
        <w:rPr>
          <w:lang w:val="sl-SI"/>
        </w:rPr>
        <w:t>strateško sodelovanje z lokalnimi/regionalnimi javnimi organi;</w:t>
      </w:r>
      <w:r w:rsidR="00372D9C">
        <w:rPr>
          <w:lang w:val="sl-SI"/>
        </w:rPr>
        <w:tab/>
      </w:r>
    </w:p>
    <w:p w14:paraId="7D39A9C8" w14:textId="77777777" w:rsidR="00D35C53" w:rsidRPr="001048FE" w:rsidRDefault="007E310F" w:rsidP="005115F2">
      <w:pPr>
        <w:pStyle w:val="GUIDE-NORMAL"/>
        <w:numPr>
          <w:ilvl w:val="0"/>
          <w:numId w:val="449"/>
        </w:numPr>
        <w:rPr>
          <w:lang w:val="sl-SI"/>
        </w:rPr>
      </w:pPr>
      <w:r w:rsidRPr="001048FE">
        <w:rPr>
          <w:lang w:val="sl-SI"/>
        </w:rPr>
        <w:t xml:space="preserve">priznavanje in potrjevanje spretnosti in kompetenc na nacionalni ravni z upoštevanjem evropskih in nacionalnih ogrodij kvalifikacij ter uporabo instrumentov EU za potrjevanje. </w:t>
      </w:r>
    </w:p>
    <w:p w14:paraId="7D39A9C9" w14:textId="77777777" w:rsidR="007E310F" w:rsidRPr="001048FE" w:rsidRDefault="007E310F" w:rsidP="005115F2">
      <w:pPr>
        <w:pStyle w:val="GUIDE-NORMAL"/>
        <w:numPr>
          <w:ilvl w:val="0"/>
          <w:numId w:val="449"/>
        </w:numPr>
        <w:rPr>
          <w:lang w:val="sl-SI"/>
        </w:rPr>
      </w:pPr>
      <w:r w:rsidRPr="001048FE">
        <w:rPr>
          <w:lang w:val="sl-SI"/>
        </w:rPr>
        <w:t>Mednarodne</w:t>
      </w:r>
      <w:r w:rsidRPr="001048FE">
        <w:rPr>
          <w:spacing w:val="-21"/>
          <w:lang w:val="sl-SI"/>
        </w:rPr>
        <w:t xml:space="preserve"> </w:t>
      </w:r>
      <w:r w:rsidRPr="001048FE">
        <w:rPr>
          <w:lang w:val="sl-SI"/>
        </w:rPr>
        <w:t>mladinske</w:t>
      </w:r>
      <w:r w:rsidRPr="001048FE">
        <w:rPr>
          <w:spacing w:val="-21"/>
          <w:lang w:val="sl-SI"/>
        </w:rPr>
        <w:t xml:space="preserve"> </w:t>
      </w:r>
      <w:r w:rsidRPr="001048FE">
        <w:rPr>
          <w:lang w:val="sl-SI"/>
        </w:rPr>
        <w:t>pobude:</w:t>
      </w:r>
      <w:r w:rsidRPr="001048FE">
        <w:rPr>
          <w:spacing w:val="-21"/>
          <w:lang w:val="sl-SI"/>
        </w:rPr>
        <w:t xml:space="preserve"> </w:t>
      </w:r>
      <w:r w:rsidRPr="001048FE">
        <w:rPr>
          <w:lang w:val="sl-SI"/>
        </w:rPr>
        <w:t>aktivnosti</w:t>
      </w:r>
      <w:r w:rsidRPr="001048FE">
        <w:rPr>
          <w:spacing w:val="-21"/>
          <w:lang w:val="sl-SI"/>
        </w:rPr>
        <w:t xml:space="preserve"> </w:t>
      </w:r>
      <w:r w:rsidRPr="001048FE">
        <w:rPr>
          <w:lang w:val="sl-SI"/>
        </w:rPr>
        <w:t>sodelovanja,</w:t>
      </w:r>
      <w:r w:rsidRPr="001048FE">
        <w:rPr>
          <w:spacing w:val="-21"/>
          <w:lang w:val="sl-SI"/>
        </w:rPr>
        <w:t xml:space="preserve"> </w:t>
      </w:r>
      <w:r w:rsidRPr="001048FE">
        <w:rPr>
          <w:lang w:val="sl-SI"/>
        </w:rPr>
        <w:t>ki</w:t>
      </w:r>
      <w:r w:rsidRPr="001048FE">
        <w:rPr>
          <w:spacing w:val="-21"/>
          <w:lang w:val="sl-SI"/>
        </w:rPr>
        <w:t xml:space="preserve"> </w:t>
      </w:r>
      <w:r w:rsidRPr="001048FE">
        <w:rPr>
          <w:lang w:val="sl-SI"/>
        </w:rPr>
        <w:t>spodbujajo</w:t>
      </w:r>
      <w:r w:rsidRPr="001048FE">
        <w:rPr>
          <w:spacing w:val="-21"/>
          <w:lang w:val="sl-SI"/>
        </w:rPr>
        <w:t xml:space="preserve"> </w:t>
      </w:r>
      <w:r w:rsidRPr="001048FE">
        <w:rPr>
          <w:lang w:val="sl-SI"/>
        </w:rPr>
        <w:t>družbeno</w:t>
      </w:r>
      <w:r w:rsidRPr="001048FE">
        <w:rPr>
          <w:spacing w:val="-21"/>
          <w:lang w:val="sl-SI"/>
        </w:rPr>
        <w:t xml:space="preserve"> </w:t>
      </w:r>
      <w:r w:rsidRPr="001048FE">
        <w:rPr>
          <w:lang w:val="sl-SI"/>
        </w:rPr>
        <w:t>odgovornost</w:t>
      </w:r>
      <w:r w:rsidRPr="001048FE">
        <w:rPr>
          <w:spacing w:val="-20"/>
          <w:lang w:val="sl-SI"/>
        </w:rPr>
        <w:t xml:space="preserve"> </w:t>
      </w:r>
      <w:r w:rsidRPr="001048FE">
        <w:rPr>
          <w:lang w:val="sl-SI"/>
        </w:rPr>
        <w:t>in podjetniški</w:t>
      </w:r>
      <w:r w:rsidRPr="001048FE">
        <w:rPr>
          <w:spacing w:val="-5"/>
          <w:lang w:val="sl-SI"/>
        </w:rPr>
        <w:t xml:space="preserve"> </w:t>
      </w:r>
      <w:r w:rsidRPr="001048FE">
        <w:rPr>
          <w:lang w:val="sl-SI"/>
        </w:rPr>
        <w:t>duh</w:t>
      </w:r>
      <w:r w:rsidRPr="001048FE">
        <w:rPr>
          <w:spacing w:val="-5"/>
          <w:lang w:val="sl-SI"/>
        </w:rPr>
        <w:t xml:space="preserve"> </w:t>
      </w:r>
      <w:r w:rsidRPr="001048FE">
        <w:rPr>
          <w:lang w:val="sl-SI"/>
        </w:rPr>
        <w:t>ter</w:t>
      </w:r>
      <w:r w:rsidRPr="001048FE">
        <w:rPr>
          <w:spacing w:val="-5"/>
          <w:lang w:val="sl-SI"/>
        </w:rPr>
        <w:t xml:space="preserve"> </w:t>
      </w:r>
      <w:r w:rsidRPr="001048FE">
        <w:rPr>
          <w:lang w:val="sl-SI"/>
        </w:rPr>
        <w:t>jih</w:t>
      </w:r>
      <w:r w:rsidRPr="001048FE">
        <w:rPr>
          <w:spacing w:val="-5"/>
          <w:lang w:val="sl-SI"/>
        </w:rPr>
        <w:t xml:space="preserve"> </w:t>
      </w:r>
      <w:r w:rsidRPr="001048FE">
        <w:rPr>
          <w:lang w:val="sl-SI"/>
        </w:rPr>
        <w:t>skupaj</w:t>
      </w:r>
      <w:r w:rsidRPr="001048FE">
        <w:rPr>
          <w:spacing w:val="-5"/>
          <w:lang w:val="sl-SI"/>
        </w:rPr>
        <w:t xml:space="preserve"> </w:t>
      </w:r>
      <w:r w:rsidRPr="001048FE">
        <w:rPr>
          <w:lang w:val="sl-SI"/>
        </w:rPr>
        <w:t>izvajajo</w:t>
      </w:r>
      <w:r w:rsidRPr="001048FE">
        <w:rPr>
          <w:spacing w:val="-5"/>
          <w:lang w:val="sl-SI"/>
        </w:rPr>
        <w:t xml:space="preserve"> </w:t>
      </w:r>
      <w:r w:rsidRPr="001048FE">
        <w:rPr>
          <w:lang w:val="sl-SI"/>
        </w:rPr>
        <w:t>dve</w:t>
      </w:r>
      <w:r w:rsidRPr="001048FE">
        <w:rPr>
          <w:spacing w:val="-5"/>
          <w:lang w:val="sl-SI"/>
        </w:rPr>
        <w:t xml:space="preserve"> </w:t>
      </w:r>
      <w:r w:rsidRPr="001048FE">
        <w:rPr>
          <w:lang w:val="sl-SI"/>
        </w:rPr>
        <w:t>ali</w:t>
      </w:r>
      <w:r w:rsidRPr="001048FE">
        <w:rPr>
          <w:spacing w:val="-5"/>
          <w:lang w:val="sl-SI"/>
        </w:rPr>
        <w:t xml:space="preserve"> </w:t>
      </w:r>
      <w:r w:rsidRPr="001048FE">
        <w:rPr>
          <w:lang w:val="sl-SI"/>
        </w:rPr>
        <w:t>več</w:t>
      </w:r>
      <w:r w:rsidRPr="001048FE">
        <w:rPr>
          <w:spacing w:val="-5"/>
          <w:lang w:val="sl-SI"/>
        </w:rPr>
        <w:t xml:space="preserve"> </w:t>
      </w:r>
      <w:r w:rsidRPr="001048FE">
        <w:rPr>
          <w:lang w:val="sl-SI"/>
        </w:rPr>
        <w:t>skupin</w:t>
      </w:r>
      <w:r w:rsidRPr="001048FE">
        <w:rPr>
          <w:spacing w:val="-5"/>
          <w:lang w:val="sl-SI"/>
        </w:rPr>
        <w:t xml:space="preserve"> </w:t>
      </w:r>
      <w:r w:rsidRPr="001048FE">
        <w:rPr>
          <w:lang w:val="sl-SI"/>
        </w:rPr>
        <w:t>mladih</w:t>
      </w:r>
      <w:r w:rsidRPr="001048FE">
        <w:rPr>
          <w:spacing w:val="-5"/>
          <w:lang w:val="sl-SI"/>
        </w:rPr>
        <w:t xml:space="preserve"> </w:t>
      </w:r>
      <w:r w:rsidRPr="001048FE">
        <w:rPr>
          <w:lang w:val="sl-SI"/>
        </w:rPr>
        <w:t>iz</w:t>
      </w:r>
      <w:r w:rsidRPr="001048FE">
        <w:rPr>
          <w:spacing w:val="-5"/>
          <w:lang w:val="sl-SI"/>
        </w:rPr>
        <w:t xml:space="preserve"> </w:t>
      </w:r>
      <w:r w:rsidRPr="001048FE">
        <w:rPr>
          <w:lang w:val="sl-SI"/>
        </w:rPr>
        <w:t>različnih</w:t>
      </w:r>
      <w:r w:rsidRPr="001048FE">
        <w:rPr>
          <w:spacing w:val="-5"/>
          <w:lang w:val="sl-SI"/>
        </w:rPr>
        <w:t xml:space="preserve"> </w:t>
      </w:r>
      <w:r w:rsidRPr="001048FE">
        <w:rPr>
          <w:lang w:val="sl-SI"/>
        </w:rPr>
        <w:t>držav</w:t>
      </w:r>
      <w:r w:rsidRPr="001048FE">
        <w:rPr>
          <w:spacing w:val="-5"/>
          <w:lang w:val="sl-SI"/>
        </w:rPr>
        <w:t xml:space="preserve"> </w:t>
      </w:r>
      <w:r w:rsidRPr="001048FE">
        <w:rPr>
          <w:lang w:val="sl-SI"/>
        </w:rPr>
        <w:t>(glej</w:t>
      </w:r>
      <w:r w:rsidRPr="001048FE">
        <w:rPr>
          <w:spacing w:val="-5"/>
          <w:lang w:val="sl-SI"/>
        </w:rPr>
        <w:t xml:space="preserve"> </w:t>
      </w:r>
      <w:r w:rsidRPr="001048FE">
        <w:rPr>
          <w:lang w:val="sl-SI"/>
        </w:rPr>
        <w:t>spodaj).</w:t>
      </w:r>
    </w:p>
    <w:p w14:paraId="7D39A9CA" w14:textId="77777777" w:rsidR="007E310F" w:rsidRPr="001048FE" w:rsidRDefault="007E310F" w:rsidP="00D35C53">
      <w:pPr>
        <w:pStyle w:val="Guide-Heading5"/>
        <w:rPr>
          <w:lang w:val="sl-SI"/>
        </w:rPr>
      </w:pPr>
      <w:r w:rsidRPr="001048FE">
        <w:rPr>
          <w:lang w:val="sl-SI"/>
        </w:rPr>
        <w:t>Usmerjenost v</w:t>
      </w:r>
    </w:p>
    <w:p w14:paraId="7D39A9CB" w14:textId="77777777" w:rsidR="007E310F" w:rsidRPr="001048FE" w:rsidRDefault="007E310F" w:rsidP="005115F2">
      <w:pPr>
        <w:pStyle w:val="Guide-NormalBulletpoints"/>
        <w:numPr>
          <w:ilvl w:val="0"/>
          <w:numId w:val="451"/>
        </w:numPr>
        <w:rPr>
          <w:lang w:val="sl-SI"/>
        </w:rPr>
      </w:pPr>
      <w:r w:rsidRPr="001048FE">
        <w:rPr>
          <w:lang w:val="sl-SI"/>
        </w:rPr>
        <w:t>Ustvarjalnost, inovacije in posodobitve;</w:t>
      </w:r>
    </w:p>
    <w:p w14:paraId="7D39A9CC" w14:textId="77777777" w:rsidR="007E310F" w:rsidRPr="001048FE" w:rsidRDefault="007E310F" w:rsidP="005115F2">
      <w:pPr>
        <w:pStyle w:val="Guide-NormalBulletpoints"/>
        <w:numPr>
          <w:ilvl w:val="0"/>
          <w:numId w:val="451"/>
        </w:numPr>
        <w:rPr>
          <w:lang w:val="sl-SI"/>
        </w:rPr>
      </w:pPr>
      <w:r w:rsidRPr="001048FE">
        <w:rPr>
          <w:lang w:val="sl-SI"/>
        </w:rPr>
        <w:t>strateško uporabo informacijskih in komunikacijskih tehnologij (IKT), metodologije in virtualno sodelovanje;</w:t>
      </w:r>
    </w:p>
    <w:p w14:paraId="7D39A9CD" w14:textId="77777777" w:rsidR="007E310F" w:rsidRPr="001048FE" w:rsidRDefault="007E310F" w:rsidP="005115F2">
      <w:pPr>
        <w:pStyle w:val="Guide-NormalBulletpoints"/>
        <w:numPr>
          <w:ilvl w:val="0"/>
          <w:numId w:val="451"/>
        </w:numPr>
        <w:rPr>
          <w:lang w:val="sl-SI"/>
        </w:rPr>
      </w:pPr>
      <w:r w:rsidRPr="001048FE">
        <w:rPr>
          <w:lang w:val="sl-SI"/>
        </w:rPr>
        <w:t>prosto dostopne učne vire (PDUV);</w:t>
      </w:r>
    </w:p>
    <w:p w14:paraId="7D39A9CE" w14:textId="77777777" w:rsidR="00D35C53" w:rsidRPr="001048FE" w:rsidRDefault="007E310F" w:rsidP="005115F2">
      <w:pPr>
        <w:pStyle w:val="Guide-NormalBulletpoints"/>
        <w:numPr>
          <w:ilvl w:val="0"/>
          <w:numId w:val="451"/>
        </w:numPr>
        <w:rPr>
          <w:lang w:val="sl-SI"/>
        </w:rPr>
      </w:pPr>
      <w:r w:rsidRPr="001048FE">
        <w:rPr>
          <w:lang w:val="sl-SI"/>
        </w:rPr>
        <w:t xml:space="preserve">kakovost izobraževanja, usposabljanja in mladinskega dela; </w:t>
      </w:r>
    </w:p>
    <w:p w14:paraId="7D39A9CF" w14:textId="77777777" w:rsidR="00D35C53" w:rsidRPr="001048FE" w:rsidRDefault="007E310F" w:rsidP="005115F2">
      <w:pPr>
        <w:pStyle w:val="Guide-NormalBulletpoints"/>
        <w:numPr>
          <w:ilvl w:val="0"/>
          <w:numId w:val="451"/>
        </w:numPr>
        <w:rPr>
          <w:lang w:val="sl-SI"/>
        </w:rPr>
      </w:pPr>
      <w:r w:rsidRPr="001048FE">
        <w:rPr>
          <w:lang w:val="sl-SI"/>
        </w:rPr>
        <w:t xml:space="preserve">podjetniško izobraževanje (vključno s socialnim podjetništvom); </w:t>
      </w:r>
    </w:p>
    <w:p w14:paraId="7D39A9D0" w14:textId="77777777" w:rsidR="007E310F" w:rsidRPr="001048FE" w:rsidRDefault="007E310F" w:rsidP="005115F2">
      <w:pPr>
        <w:pStyle w:val="Guide-NormalBulletpoints"/>
        <w:numPr>
          <w:ilvl w:val="0"/>
          <w:numId w:val="451"/>
        </w:numPr>
        <w:rPr>
          <w:lang w:val="sl-SI"/>
        </w:rPr>
      </w:pPr>
      <w:r w:rsidRPr="001048FE">
        <w:rPr>
          <w:lang w:val="sl-SI"/>
        </w:rPr>
        <w:t>enakost in vključevanje;</w:t>
      </w:r>
    </w:p>
    <w:p w14:paraId="7D39A9D1" w14:textId="77777777" w:rsidR="007E310F" w:rsidRPr="001048FE" w:rsidRDefault="007E310F" w:rsidP="005115F2">
      <w:pPr>
        <w:pStyle w:val="Guide-NormalBulletpoints"/>
        <w:numPr>
          <w:ilvl w:val="0"/>
          <w:numId w:val="451"/>
        </w:numPr>
        <w:rPr>
          <w:lang w:val="sl-SI"/>
        </w:rPr>
      </w:pPr>
      <w:r w:rsidRPr="001048FE">
        <w:rPr>
          <w:lang w:val="sl-SI"/>
        </w:rPr>
        <w:t>osnovna znanja in prečne spretnosti (znanje jezikov, digitalne spretnosti in podjetništvo);</w:t>
      </w:r>
    </w:p>
    <w:p w14:paraId="7D39A9D2" w14:textId="77777777" w:rsidR="00D35C53" w:rsidRPr="001048FE" w:rsidRDefault="007E310F" w:rsidP="005115F2">
      <w:pPr>
        <w:pStyle w:val="Guide-NormalBulletpoints"/>
        <w:numPr>
          <w:ilvl w:val="0"/>
          <w:numId w:val="451"/>
        </w:numPr>
        <w:rPr>
          <w:lang w:val="sl-SI"/>
        </w:rPr>
      </w:pPr>
      <w:r w:rsidRPr="001048FE">
        <w:rPr>
          <w:lang w:val="sl-SI"/>
        </w:rPr>
        <w:t xml:space="preserve">priznavanje in potrjevanje učnih izidov v formalnem, neformalnem in priložnostnem učenju; </w:t>
      </w:r>
    </w:p>
    <w:p w14:paraId="7D39A9D3" w14:textId="77777777" w:rsidR="007E310F" w:rsidRPr="001048FE" w:rsidRDefault="007E310F" w:rsidP="005115F2">
      <w:pPr>
        <w:pStyle w:val="Guide-NormalBulletpoints"/>
        <w:numPr>
          <w:ilvl w:val="0"/>
          <w:numId w:val="451"/>
        </w:numPr>
        <w:rPr>
          <w:lang w:val="sl-SI"/>
        </w:rPr>
      </w:pPr>
      <w:r w:rsidRPr="001048FE">
        <w:rPr>
          <w:lang w:val="sl-SI"/>
        </w:rPr>
        <w:t>spodbujanje fleksibilnih učnih poti;</w:t>
      </w:r>
    </w:p>
    <w:p w14:paraId="7D39A9D4" w14:textId="77777777" w:rsidR="007E310F" w:rsidRPr="001048FE" w:rsidRDefault="007E310F" w:rsidP="005115F2">
      <w:pPr>
        <w:pStyle w:val="Guide-NormalBulletpoints"/>
        <w:numPr>
          <w:ilvl w:val="0"/>
          <w:numId w:val="451"/>
        </w:numPr>
        <w:rPr>
          <w:lang w:val="sl-SI"/>
        </w:rPr>
      </w:pPr>
      <w:r w:rsidRPr="001048FE">
        <w:rPr>
          <w:lang w:val="sl-SI"/>
        </w:rPr>
        <w:t>profesionalizacijo</w:t>
      </w:r>
      <w:r w:rsidRPr="001048FE">
        <w:rPr>
          <w:spacing w:val="-14"/>
          <w:lang w:val="sl-SI"/>
        </w:rPr>
        <w:t xml:space="preserve"> </w:t>
      </w:r>
      <w:r w:rsidRPr="001048FE">
        <w:rPr>
          <w:lang w:val="sl-SI"/>
        </w:rPr>
        <w:t>in</w:t>
      </w:r>
      <w:r w:rsidRPr="001048FE">
        <w:rPr>
          <w:spacing w:val="-14"/>
          <w:lang w:val="sl-SI"/>
        </w:rPr>
        <w:t xml:space="preserve"> </w:t>
      </w:r>
      <w:r w:rsidRPr="001048FE">
        <w:rPr>
          <w:lang w:val="sl-SI"/>
        </w:rPr>
        <w:t>poklicni</w:t>
      </w:r>
      <w:r w:rsidRPr="001048FE">
        <w:rPr>
          <w:spacing w:val="-14"/>
          <w:lang w:val="sl-SI"/>
        </w:rPr>
        <w:t xml:space="preserve"> </w:t>
      </w:r>
      <w:r w:rsidRPr="001048FE">
        <w:rPr>
          <w:lang w:val="sl-SI"/>
        </w:rPr>
        <w:t>razvoj</w:t>
      </w:r>
      <w:r w:rsidRPr="001048FE">
        <w:rPr>
          <w:spacing w:val="-14"/>
          <w:lang w:val="sl-SI"/>
        </w:rPr>
        <w:t xml:space="preserve"> </w:t>
      </w:r>
      <w:r w:rsidRPr="001048FE">
        <w:rPr>
          <w:lang w:val="sl-SI"/>
        </w:rPr>
        <w:t>na</w:t>
      </w:r>
      <w:r w:rsidRPr="001048FE">
        <w:rPr>
          <w:spacing w:val="-14"/>
          <w:lang w:val="sl-SI"/>
        </w:rPr>
        <w:t xml:space="preserve"> </w:t>
      </w:r>
      <w:r w:rsidRPr="001048FE">
        <w:rPr>
          <w:lang w:val="sl-SI"/>
        </w:rPr>
        <w:t>področju</w:t>
      </w:r>
      <w:r w:rsidRPr="001048FE">
        <w:rPr>
          <w:spacing w:val="-14"/>
          <w:lang w:val="sl-SI"/>
        </w:rPr>
        <w:t xml:space="preserve"> </w:t>
      </w:r>
      <w:r w:rsidRPr="001048FE">
        <w:rPr>
          <w:lang w:val="sl-SI"/>
        </w:rPr>
        <w:t>izobraževanja,</w:t>
      </w:r>
      <w:r w:rsidRPr="001048FE">
        <w:rPr>
          <w:spacing w:val="-14"/>
          <w:lang w:val="sl-SI"/>
        </w:rPr>
        <w:t xml:space="preserve"> </w:t>
      </w:r>
      <w:r w:rsidRPr="001048FE">
        <w:rPr>
          <w:lang w:val="sl-SI"/>
        </w:rPr>
        <w:t>usposabljanja</w:t>
      </w:r>
      <w:r w:rsidRPr="001048FE">
        <w:rPr>
          <w:spacing w:val="-14"/>
          <w:lang w:val="sl-SI"/>
        </w:rPr>
        <w:t xml:space="preserve"> </w:t>
      </w:r>
      <w:r w:rsidRPr="001048FE">
        <w:rPr>
          <w:lang w:val="sl-SI"/>
        </w:rPr>
        <w:t>in</w:t>
      </w:r>
      <w:r w:rsidRPr="001048FE">
        <w:rPr>
          <w:spacing w:val="-14"/>
          <w:lang w:val="sl-SI"/>
        </w:rPr>
        <w:t xml:space="preserve"> </w:t>
      </w:r>
      <w:r w:rsidRPr="001048FE">
        <w:rPr>
          <w:lang w:val="sl-SI"/>
        </w:rPr>
        <w:t>mladinskega dela;</w:t>
      </w:r>
    </w:p>
    <w:p w14:paraId="7D39A9D5" w14:textId="77777777" w:rsidR="00D35C53" w:rsidRPr="001048FE" w:rsidRDefault="007E310F" w:rsidP="005115F2">
      <w:pPr>
        <w:pStyle w:val="Guide-NormalBulletpoints"/>
        <w:numPr>
          <w:ilvl w:val="0"/>
          <w:numId w:val="451"/>
        </w:numPr>
        <w:rPr>
          <w:lang w:val="sl-SI"/>
        </w:rPr>
      </w:pPr>
      <w:r w:rsidRPr="001048FE">
        <w:rPr>
          <w:lang w:val="sl-SI"/>
        </w:rPr>
        <w:t xml:space="preserve">spretnosti upravljanja in vodenja; </w:t>
      </w:r>
    </w:p>
    <w:p w14:paraId="7D39A9D6" w14:textId="77777777" w:rsidR="00D35C53" w:rsidRPr="001048FE" w:rsidRDefault="007E310F" w:rsidP="005115F2">
      <w:pPr>
        <w:pStyle w:val="Guide-NormalBulletpoints"/>
        <w:numPr>
          <w:ilvl w:val="0"/>
          <w:numId w:val="451"/>
        </w:numPr>
        <w:rPr>
          <w:lang w:val="sl-SI"/>
        </w:rPr>
      </w:pPr>
      <w:r w:rsidRPr="001048FE">
        <w:rPr>
          <w:lang w:val="sl-SI"/>
        </w:rPr>
        <w:t xml:space="preserve">aktivna udeležba mladih v družbi; </w:t>
      </w:r>
    </w:p>
    <w:p w14:paraId="7D39A9D7" w14:textId="77777777" w:rsidR="00D35C53" w:rsidRPr="001048FE" w:rsidRDefault="007E310F" w:rsidP="005115F2">
      <w:pPr>
        <w:pStyle w:val="Guide-NormalBulletpoints"/>
        <w:numPr>
          <w:ilvl w:val="0"/>
          <w:numId w:val="451"/>
        </w:numPr>
        <w:rPr>
          <w:lang w:val="sl-SI"/>
        </w:rPr>
      </w:pPr>
      <w:r w:rsidRPr="001048FE">
        <w:rPr>
          <w:lang w:val="sl-SI"/>
        </w:rPr>
        <w:t xml:space="preserve">medinstitucionalno sodelovanje; </w:t>
      </w:r>
    </w:p>
    <w:p w14:paraId="7D39A9D8" w14:textId="77777777" w:rsidR="00D35C53" w:rsidRPr="001048FE" w:rsidRDefault="007E310F" w:rsidP="005115F2">
      <w:pPr>
        <w:pStyle w:val="Guide-NormalBulletpoints"/>
        <w:numPr>
          <w:ilvl w:val="0"/>
          <w:numId w:val="451"/>
        </w:numPr>
        <w:rPr>
          <w:lang w:val="sl-SI"/>
        </w:rPr>
      </w:pPr>
      <w:r w:rsidRPr="001048FE">
        <w:rPr>
          <w:lang w:val="sl-SI"/>
        </w:rPr>
        <w:t xml:space="preserve">medregionalno sodelovanje; </w:t>
      </w:r>
    </w:p>
    <w:p w14:paraId="7D39A9D9" w14:textId="77777777" w:rsidR="007E310F" w:rsidRPr="001048FE" w:rsidRDefault="007E310F" w:rsidP="005115F2">
      <w:pPr>
        <w:pStyle w:val="Guide-NormalBulletpoints"/>
        <w:numPr>
          <w:ilvl w:val="0"/>
          <w:numId w:val="451"/>
        </w:numPr>
        <w:rPr>
          <w:lang w:val="sl-SI"/>
        </w:rPr>
      </w:pPr>
      <w:r w:rsidRPr="001048FE">
        <w:rPr>
          <w:lang w:val="sl-SI"/>
        </w:rPr>
        <w:t>sinergije med politikami in prakso.</w:t>
      </w:r>
    </w:p>
    <w:p w14:paraId="7D39A9DA" w14:textId="77777777" w:rsidR="007E310F" w:rsidRPr="001048FE" w:rsidRDefault="007E310F" w:rsidP="00D35C53">
      <w:pPr>
        <w:pStyle w:val="Guide-Heading5"/>
        <w:rPr>
          <w:lang w:val="sl-SI"/>
        </w:rPr>
      </w:pPr>
      <w:r w:rsidRPr="001048FE">
        <w:rPr>
          <w:lang w:val="sl-SI"/>
        </w:rPr>
        <w:t>Ciljne skupine in udeleženci</w:t>
      </w:r>
    </w:p>
    <w:p w14:paraId="7D39A9DB" w14:textId="77777777" w:rsidR="007E310F" w:rsidRPr="001048FE" w:rsidRDefault="007E310F" w:rsidP="005115F2">
      <w:pPr>
        <w:pStyle w:val="Guide-NormalBulletpoints"/>
        <w:numPr>
          <w:ilvl w:val="0"/>
          <w:numId w:val="452"/>
        </w:numPr>
        <w:rPr>
          <w:lang w:val="sl-SI"/>
        </w:rPr>
      </w:pPr>
      <w:r w:rsidRPr="001048FE">
        <w:rPr>
          <w:lang w:val="sl-SI"/>
        </w:rPr>
        <w:t>Delavci;</w:t>
      </w:r>
    </w:p>
    <w:p w14:paraId="7D39A9DC" w14:textId="77777777" w:rsidR="00D35C53" w:rsidRPr="001048FE" w:rsidRDefault="007E310F" w:rsidP="005115F2">
      <w:pPr>
        <w:pStyle w:val="Guide-NormalBulletpoints"/>
        <w:numPr>
          <w:ilvl w:val="0"/>
          <w:numId w:val="452"/>
        </w:numPr>
        <w:rPr>
          <w:lang w:val="sl-SI"/>
        </w:rPr>
      </w:pPr>
      <w:r w:rsidRPr="001048FE">
        <w:rPr>
          <w:lang w:val="sl-SI"/>
        </w:rPr>
        <w:t xml:space="preserve">osebje, ki je aktivno na področju izobraževanja in usposabljanja; </w:t>
      </w:r>
    </w:p>
    <w:p w14:paraId="7D39A9DD" w14:textId="77777777" w:rsidR="007E310F" w:rsidRPr="001048FE" w:rsidRDefault="007E310F" w:rsidP="005115F2">
      <w:pPr>
        <w:pStyle w:val="Guide-NormalBulletpoints"/>
        <w:numPr>
          <w:ilvl w:val="0"/>
          <w:numId w:val="452"/>
        </w:numPr>
        <w:rPr>
          <w:lang w:val="sl-SI"/>
        </w:rPr>
      </w:pPr>
      <w:r w:rsidRPr="001048FE">
        <w:rPr>
          <w:lang w:val="sl-SI"/>
        </w:rPr>
        <w:t>mladinski delavci;</w:t>
      </w:r>
    </w:p>
    <w:p w14:paraId="7D39A9DE" w14:textId="77777777" w:rsidR="007E310F" w:rsidRPr="001048FE" w:rsidRDefault="007E310F" w:rsidP="005115F2">
      <w:pPr>
        <w:pStyle w:val="Guide-NormalBulletpoints"/>
        <w:numPr>
          <w:ilvl w:val="0"/>
          <w:numId w:val="452"/>
        </w:numPr>
        <w:rPr>
          <w:lang w:val="sl-SI"/>
        </w:rPr>
      </w:pPr>
      <w:r w:rsidRPr="001048FE">
        <w:rPr>
          <w:lang w:val="sl-SI"/>
        </w:rPr>
        <w:t>strokovnjaki, izvedenci;</w:t>
      </w:r>
    </w:p>
    <w:p w14:paraId="7D39A9DF" w14:textId="77777777" w:rsidR="007E310F" w:rsidRPr="001048FE" w:rsidRDefault="007E310F" w:rsidP="005115F2">
      <w:pPr>
        <w:pStyle w:val="Guide-NormalBulletpoints"/>
        <w:numPr>
          <w:ilvl w:val="0"/>
          <w:numId w:val="452"/>
        </w:numPr>
        <w:rPr>
          <w:lang w:val="sl-SI"/>
        </w:rPr>
      </w:pPr>
      <w:r w:rsidRPr="001048FE">
        <w:rPr>
          <w:lang w:val="sl-SI"/>
        </w:rPr>
        <w:t>študenti, praktikanti, vajenci, učenci, dijaki, učeči se odrasli, mladi, prostovoljci;</w:t>
      </w:r>
    </w:p>
    <w:p w14:paraId="7D39A9E0" w14:textId="77777777" w:rsidR="00D35C53" w:rsidRPr="001048FE" w:rsidRDefault="007E310F" w:rsidP="005115F2">
      <w:pPr>
        <w:pStyle w:val="Guide-NormalBulletpoints"/>
        <w:numPr>
          <w:ilvl w:val="0"/>
          <w:numId w:val="452"/>
        </w:numPr>
        <w:rPr>
          <w:lang w:val="sl-SI"/>
        </w:rPr>
      </w:pPr>
      <w:r w:rsidRPr="001048FE">
        <w:rPr>
          <w:lang w:val="sl-SI"/>
        </w:rPr>
        <w:t xml:space="preserve">mladi iz skupine NEET (tj. mladi, ki niso zaposleni, se ne izobražujejo ali usposabljajo); </w:t>
      </w:r>
    </w:p>
    <w:p w14:paraId="7D39A9E1" w14:textId="77777777" w:rsidR="007E310F" w:rsidRPr="001048FE" w:rsidRDefault="007E310F" w:rsidP="005115F2">
      <w:pPr>
        <w:pStyle w:val="Guide-NormalBulletpoints"/>
        <w:numPr>
          <w:ilvl w:val="0"/>
          <w:numId w:val="452"/>
        </w:numPr>
        <w:rPr>
          <w:lang w:val="sl-SI"/>
        </w:rPr>
      </w:pPr>
      <w:r w:rsidRPr="001048FE">
        <w:rPr>
          <w:lang w:val="sl-SI"/>
        </w:rPr>
        <w:t>mladi z manj priložnostmi;</w:t>
      </w:r>
    </w:p>
    <w:p w14:paraId="7D39A9E2" w14:textId="77777777" w:rsidR="00476914" w:rsidRDefault="007E310F" w:rsidP="005115F2">
      <w:pPr>
        <w:pStyle w:val="Guide-NormalBulletpoints"/>
        <w:numPr>
          <w:ilvl w:val="0"/>
          <w:numId w:val="452"/>
        </w:numPr>
        <w:rPr>
          <w:lang w:val="sl-SI"/>
        </w:rPr>
      </w:pPr>
      <w:r w:rsidRPr="001048FE">
        <w:rPr>
          <w:lang w:val="sl-SI"/>
        </w:rPr>
        <w:t xml:space="preserve">osebe, ki predčasno zapustijo izobraževanje; </w:t>
      </w:r>
    </w:p>
    <w:p w14:paraId="7D39A9E3" w14:textId="77777777" w:rsidR="007E310F" w:rsidRPr="001048FE" w:rsidRDefault="007E310F" w:rsidP="005115F2">
      <w:pPr>
        <w:pStyle w:val="Guide-NormalBulletpoints"/>
        <w:numPr>
          <w:ilvl w:val="0"/>
          <w:numId w:val="452"/>
        </w:numPr>
        <w:rPr>
          <w:lang w:val="sl-SI"/>
        </w:rPr>
      </w:pPr>
      <w:r w:rsidRPr="001048FE">
        <w:rPr>
          <w:lang w:val="sl-SI"/>
        </w:rPr>
        <w:t>oblikovalci politik;</w:t>
      </w:r>
    </w:p>
    <w:p w14:paraId="7D39A9E4" w14:textId="77777777" w:rsidR="007E310F" w:rsidRPr="001048FE" w:rsidRDefault="007E310F" w:rsidP="005115F2">
      <w:pPr>
        <w:pStyle w:val="Guide-NormalBulletpoints"/>
        <w:numPr>
          <w:ilvl w:val="0"/>
          <w:numId w:val="452"/>
        </w:numPr>
        <w:rPr>
          <w:lang w:val="sl-SI"/>
        </w:rPr>
      </w:pPr>
      <w:r w:rsidRPr="001048FE">
        <w:rPr>
          <w:lang w:val="sl-SI"/>
        </w:rPr>
        <w:t>raziskovalci.</w:t>
      </w:r>
    </w:p>
    <w:p w14:paraId="7D39A9E5" w14:textId="77777777" w:rsidR="007E310F" w:rsidRPr="001048FE" w:rsidRDefault="007E310F" w:rsidP="00D35C53">
      <w:pPr>
        <w:pStyle w:val="Guide-Heading5"/>
        <w:rPr>
          <w:lang w:val="sl-SI"/>
        </w:rPr>
      </w:pPr>
      <w:r w:rsidRPr="001048FE">
        <w:rPr>
          <w:lang w:val="sl-SI"/>
        </w:rPr>
        <w:t>Partnerji, ki so lahko vključeni v isti projekt</w:t>
      </w:r>
    </w:p>
    <w:p w14:paraId="7D39A9E6" w14:textId="77777777" w:rsidR="007E310F" w:rsidRPr="001048FE" w:rsidRDefault="007E310F" w:rsidP="005115F2">
      <w:pPr>
        <w:pStyle w:val="Guide-NormalBulletpoints"/>
        <w:numPr>
          <w:ilvl w:val="0"/>
          <w:numId w:val="453"/>
        </w:numPr>
        <w:rPr>
          <w:lang w:val="sl-SI"/>
        </w:rPr>
      </w:pPr>
      <w:r w:rsidRPr="001048FE">
        <w:rPr>
          <w:lang w:val="sl-SI"/>
        </w:rPr>
        <w:t>Organizacije na področju izobraževanja, usposabljanja in mladine;</w:t>
      </w:r>
    </w:p>
    <w:p w14:paraId="7D39A9E7" w14:textId="77777777" w:rsidR="007E310F" w:rsidRPr="001048FE" w:rsidRDefault="007E310F" w:rsidP="005115F2">
      <w:pPr>
        <w:pStyle w:val="Guide-NormalBulletpoints"/>
        <w:numPr>
          <w:ilvl w:val="0"/>
          <w:numId w:val="453"/>
        </w:numPr>
        <w:rPr>
          <w:lang w:val="sl-SI"/>
        </w:rPr>
      </w:pPr>
      <w:r w:rsidRPr="001048FE">
        <w:rPr>
          <w:lang w:val="sl-SI"/>
        </w:rPr>
        <w:t>organizacije, ki so aktivne na več različnih področjih in sektorjih (npr. centri znanja ali gospodarske zbornice itd.), organi javnega sektorja;</w:t>
      </w:r>
    </w:p>
    <w:p w14:paraId="7D39A9E8" w14:textId="77777777" w:rsidR="0042291E" w:rsidRPr="001048FE" w:rsidRDefault="007E310F" w:rsidP="005115F2">
      <w:pPr>
        <w:pStyle w:val="Guide-NormalBulletpoints"/>
        <w:numPr>
          <w:ilvl w:val="0"/>
          <w:numId w:val="453"/>
        </w:numPr>
        <w:rPr>
          <w:lang w:val="sl-SI"/>
        </w:rPr>
      </w:pPr>
      <w:r w:rsidRPr="001048FE">
        <w:rPr>
          <w:lang w:val="sl-SI"/>
        </w:rPr>
        <w:t xml:space="preserve">podjetja, družbe, predstavniki gospodarstva in trga dela; </w:t>
      </w:r>
    </w:p>
    <w:p w14:paraId="7D39A9E9" w14:textId="77777777" w:rsidR="007E310F" w:rsidRPr="001048FE" w:rsidRDefault="007E310F" w:rsidP="005115F2">
      <w:pPr>
        <w:pStyle w:val="Guide-NormalBulletpoints"/>
        <w:numPr>
          <w:ilvl w:val="0"/>
          <w:numId w:val="453"/>
        </w:numPr>
        <w:rPr>
          <w:lang w:val="sl-SI"/>
        </w:rPr>
      </w:pPr>
      <w:r w:rsidRPr="001048FE">
        <w:rPr>
          <w:lang w:val="sl-SI"/>
        </w:rPr>
        <w:t>organizacije skupnosti;</w:t>
      </w:r>
    </w:p>
    <w:p w14:paraId="7D39A9EA" w14:textId="77777777" w:rsidR="0042291E" w:rsidRPr="001048FE" w:rsidRDefault="007E310F" w:rsidP="005115F2">
      <w:pPr>
        <w:pStyle w:val="Guide-NormalBulletpoints"/>
        <w:numPr>
          <w:ilvl w:val="0"/>
          <w:numId w:val="453"/>
        </w:numPr>
        <w:rPr>
          <w:lang w:val="sl-SI"/>
        </w:rPr>
      </w:pPr>
      <w:r w:rsidRPr="001048FE">
        <w:rPr>
          <w:lang w:val="sl-SI"/>
        </w:rPr>
        <w:t xml:space="preserve">organi za raziskave in inovacije; </w:t>
      </w:r>
    </w:p>
    <w:p w14:paraId="7D39A9EB" w14:textId="77777777" w:rsidR="0042291E" w:rsidRPr="001048FE" w:rsidRDefault="007E310F" w:rsidP="005115F2">
      <w:pPr>
        <w:pStyle w:val="Guide-NormalBulletpoints"/>
        <w:numPr>
          <w:ilvl w:val="0"/>
          <w:numId w:val="453"/>
        </w:numPr>
        <w:rPr>
          <w:lang w:val="sl-SI"/>
        </w:rPr>
      </w:pPr>
      <w:r w:rsidRPr="001048FE">
        <w:rPr>
          <w:lang w:val="sl-SI"/>
        </w:rPr>
        <w:t xml:space="preserve">organizacije civilne družbe; </w:t>
      </w:r>
    </w:p>
    <w:p w14:paraId="7D39A9EC" w14:textId="77777777" w:rsidR="007E310F" w:rsidRPr="001048FE" w:rsidRDefault="007E310F" w:rsidP="005115F2">
      <w:pPr>
        <w:pStyle w:val="Guide-NormalBulletpoints"/>
        <w:numPr>
          <w:ilvl w:val="0"/>
          <w:numId w:val="453"/>
        </w:numPr>
        <w:rPr>
          <w:lang w:val="sl-SI"/>
        </w:rPr>
      </w:pPr>
      <w:r w:rsidRPr="001048FE">
        <w:rPr>
          <w:lang w:val="sl-SI"/>
        </w:rPr>
        <w:t>socialni partnerji.</w:t>
      </w:r>
    </w:p>
    <w:p w14:paraId="7D39A9ED" w14:textId="77777777" w:rsidR="00095755" w:rsidRPr="001048FE" w:rsidRDefault="00095755" w:rsidP="00A56A00">
      <w:pPr>
        <w:pStyle w:val="Guide-AnnexHeading3"/>
        <w:rPr>
          <w:lang w:val="sl-SI"/>
        </w:rPr>
        <w:sectPr w:rsidR="00095755" w:rsidRPr="001048FE" w:rsidSect="007F4890">
          <w:endnotePr>
            <w:numFmt w:val="decimal"/>
          </w:endnotePr>
          <w:pgSz w:w="11910" w:h="16840" w:code="9"/>
          <w:pgMar w:top="1134" w:right="1418" w:bottom="1134" w:left="1418" w:header="283" w:footer="567" w:gutter="0"/>
          <w:cols w:space="720"/>
          <w:docGrid w:linePitch="326"/>
        </w:sectPr>
      </w:pPr>
    </w:p>
    <w:p w14:paraId="7D39A9EE" w14:textId="77777777" w:rsidR="00081127" w:rsidRDefault="00493CB0">
      <w:pPr>
        <w:pStyle w:val="Guide-AnnexHeading3"/>
        <w:numPr>
          <w:ilvl w:val="0"/>
          <w:numId w:val="0"/>
        </w:numPr>
        <w:rPr>
          <w:lang w:val="sl-SI"/>
        </w:rPr>
      </w:pPr>
      <w:bookmarkStart w:id="690" w:name="_Toc524425630"/>
      <w:bookmarkStart w:id="691" w:name="_Toc526422868"/>
      <w:bookmarkStart w:id="692" w:name="_Toc527400986"/>
      <w:bookmarkStart w:id="693" w:name="_Toc527401335"/>
      <w:r>
        <w:rPr>
          <w:lang w:val="sl-SI"/>
        </w:rPr>
        <w:t xml:space="preserve">2. </w:t>
      </w:r>
      <w:r w:rsidR="007E310F" w:rsidRPr="001048FE">
        <w:rPr>
          <w:lang w:val="sl-SI"/>
        </w:rPr>
        <w:t>Usposabljanje, poučevanje in učenje, vključeno v strateška partnerstva</w:t>
      </w:r>
      <w:bookmarkEnd w:id="690"/>
      <w:bookmarkEnd w:id="691"/>
      <w:bookmarkEnd w:id="692"/>
      <w:bookmarkEnd w:id="693"/>
    </w:p>
    <w:p w14:paraId="7D39A9EF" w14:textId="77777777" w:rsidR="00BE364E" w:rsidRPr="001048FE" w:rsidRDefault="007E310F" w:rsidP="00733F8F">
      <w:pPr>
        <w:pStyle w:val="GUIDE-NORMAL"/>
        <w:rPr>
          <w:lang w:val="sl-SI"/>
        </w:rPr>
      </w:pPr>
      <w:r w:rsidRPr="001048FE">
        <w:rPr>
          <w:lang w:val="sl-SI"/>
        </w:rPr>
        <w:t>Strateška partnerstva lahko organizirajo tudi aktivnosti usposabljanja, poučevanja in učenja za posameznike, če prispevajo dodano vrednost pri doseganju ciljev projekta. Nekatere od teh aktivnosti so še posebej pomembne za eno ali več področij izobraževanja, usposabljanja in mladine, predvsem za:</w:t>
      </w:r>
    </w:p>
    <w:tbl>
      <w:tblPr>
        <w:tblW w:w="5000" w:type="pct"/>
        <w:tblLayout w:type="fixed"/>
        <w:tblLook w:val="0000" w:firstRow="0" w:lastRow="0" w:firstColumn="0" w:lastColumn="0" w:noHBand="0" w:noVBand="0"/>
      </w:tblPr>
      <w:tblGrid>
        <w:gridCol w:w="4645"/>
        <w:gridCol w:w="4645"/>
      </w:tblGrid>
      <w:tr w:rsidR="00A56A00" w:rsidRPr="008C6F8C" w14:paraId="7D39A9F2" w14:textId="77777777" w:rsidTr="00A56A00">
        <w:trPr>
          <w:trHeight w:val="20"/>
        </w:trPr>
        <w:tc>
          <w:tcPr>
            <w:tcW w:w="4532" w:type="dxa"/>
            <w:tcBorders>
              <w:top w:val="single" w:sz="4" w:space="0" w:color="000000"/>
              <w:left w:val="single" w:sz="4" w:space="0" w:color="000000"/>
              <w:bottom w:val="single" w:sz="4" w:space="0" w:color="000000"/>
              <w:right w:val="single" w:sz="4" w:space="0" w:color="000000"/>
            </w:tcBorders>
          </w:tcPr>
          <w:p w14:paraId="7D39A9F0" w14:textId="77777777" w:rsidR="00A56A00" w:rsidRPr="00F769E0" w:rsidRDefault="00A56A00" w:rsidP="00A56A00">
            <w:pPr>
              <w:pStyle w:val="GUIDE-NORMAL"/>
              <w:spacing w:before="60" w:after="60"/>
              <w:jc w:val="center"/>
              <w:rPr>
                <w:rFonts w:cs="Tahoma"/>
                <w:b/>
                <w:lang w:val="sl-SI" w:eastAsia="en-GB"/>
              </w:rPr>
            </w:pPr>
            <w:r w:rsidRPr="00F769E0">
              <w:rPr>
                <w:rFonts w:cs="Tahoma"/>
                <w:b/>
                <w:lang w:val="sl-SI" w:eastAsia="en-GB"/>
              </w:rPr>
              <w:t>Vrsta</w:t>
            </w:r>
            <w:r w:rsidRPr="00F769E0">
              <w:rPr>
                <w:rFonts w:cs="Tahoma"/>
                <w:b/>
                <w:spacing w:val="13"/>
                <w:lang w:val="sl-SI" w:eastAsia="en-GB"/>
              </w:rPr>
              <w:t xml:space="preserve"> </w:t>
            </w:r>
            <w:r w:rsidRPr="00F769E0">
              <w:rPr>
                <w:rFonts w:cs="Tahoma"/>
                <w:b/>
                <w:lang w:val="sl-SI" w:eastAsia="en-GB"/>
              </w:rPr>
              <w:t>aktivnosti</w:t>
            </w:r>
          </w:p>
        </w:tc>
        <w:tc>
          <w:tcPr>
            <w:tcW w:w="4532" w:type="dxa"/>
            <w:tcBorders>
              <w:top w:val="single" w:sz="4" w:space="0" w:color="000000"/>
              <w:left w:val="single" w:sz="4" w:space="0" w:color="000000"/>
              <w:bottom w:val="single" w:sz="4" w:space="0" w:color="000000"/>
              <w:right w:val="single" w:sz="4" w:space="0" w:color="000000"/>
            </w:tcBorders>
          </w:tcPr>
          <w:p w14:paraId="7D39A9F1" w14:textId="77777777" w:rsidR="00A56A00" w:rsidRPr="00F769E0" w:rsidRDefault="00A56A00" w:rsidP="00A56A00">
            <w:pPr>
              <w:pStyle w:val="GUIDE-NORMAL"/>
              <w:spacing w:before="60" w:after="60"/>
              <w:jc w:val="center"/>
              <w:rPr>
                <w:rFonts w:cs="Tahoma"/>
                <w:b/>
                <w:lang w:val="sl-SI" w:eastAsia="en-GB"/>
              </w:rPr>
            </w:pPr>
            <w:r w:rsidRPr="00F769E0">
              <w:rPr>
                <w:rFonts w:cs="Tahoma"/>
                <w:b/>
                <w:lang w:val="sl-SI" w:eastAsia="en-GB"/>
              </w:rPr>
              <w:t>Posebno pomembna</w:t>
            </w:r>
            <w:r w:rsidRPr="00F769E0">
              <w:rPr>
                <w:rFonts w:cs="Tahoma"/>
                <w:b/>
                <w:spacing w:val="5"/>
                <w:lang w:val="sl-SI" w:eastAsia="en-GB"/>
              </w:rPr>
              <w:t xml:space="preserve"> </w:t>
            </w:r>
            <w:r w:rsidRPr="00F769E0">
              <w:rPr>
                <w:rFonts w:cs="Tahoma"/>
                <w:b/>
                <w:lang w:val="sl-SI" w:eastAsia="en-GB"/>
              </w:rPr>
              <w:t>za</w:t>
            </w:r>
          </w:p>
        </w:tc>
      </w:tr>
      <w:tr w:rsidR="00A56A00" w:rsidRPr="002C560E" w14:paraId="7D39A9F5" w14:textId="77777777" w:rsidTr="00A445D7">
        <w:trPr>
          <w:trHeight w:val="20"/>
        </w:trPr>
        <w:tc>
          <w:tcPr>
            <w:tcW w:w="4532" w:type="dxa"/>
            <w:tcBorders>
              <w:top w:val="single" w:sz="4" w:space="0" w:color="000000"/>
              <w:left w:val="single" w:sz="4" w:space="0" w:color="000000"/>
              <w:bottom w:val="single" w:sz="4" w:space="0" w:color="000000"/>
              <w:right w:val="single" w:sz="4" w:space="0" w:color="000000"/>
            </w:tcBorders>
          </w:tcPr>
          <w:p w14:paraId="7D39A9F3" w14:textId="77777777" w:rsidR="00A56A00" w:rsidRPr="00F769E0" w:rsidRDefault="00A56A00" w:rsidP="00A56A00">
            <w:pPr>
              <w:pStyle w:val="GUIDE-NORMAL"/>
              <w:spacing w:before="60" w:after="60"/>
              <w:jc w:val="left"/>
              <w:rPr>
                <w:rFonts w:cs="Tahoma"/>
                <w:lang w:val="sl-SI" w:eastAsia="en-GB"/>
              </w:rPr>
            </w:pPr>
            <w:r w:rsidRPr="00F769E0">
              <w:rPr>
                <w:rFonts w:cs="Tahoma"/>
                <w:position w:val="-12"/>
                <w:lang w:val="sl-SI" w:eastAsia="en-GB"/>
              </w:rPr>
              <w:t>Kombinirana mobilnost</w:t>
            </w:r>
            <w:r w:rsidRPr="00F769E0">
              <w:rPr>
                <w:rFonts w:cs="Tahoma"/>
                <w:spacing w:val="30"/>
                <w:position w:val="-12"/>
                <w:lang w:val="sl-SI" w:eastAsia="en-GB"/>
              </w:rPr>
              <w:t xml:space="preserve"> </w:t>
            </w:r>
            <w:r w:rsidRPr="00F769E0">
              <w:rPr>
                <w:rFonts w:cs="Tahoma"/>
                <w:position w:val="-12"/>
                <w:lang w:val="sl-SI" w:eastAsia="en-GB"/>
              </w:rPr>
              <w:t>učečih</w:t>
            </w:r>
            <w:r w:rsidRPr="00F769E0">
              <w:rPr>
                <w:rFonts w:cs="Tahoma"/>
                <w:spacing w:val="15"/>
                <w:position w:val="-12"/>
                <w:lang w:val="sl-SI" w:eastAsia="en-GB"/>
              </w:rPr>
              <w:t xml:space="preserve"> </w:t>
            </w:r>
            <w:r w:rsidRPr="00F769E0">
              <w:rPr>
                <w:rFonts w:cs="Tahoma"/>
                <w:position w:val="-12"/>
                <w:lang w:val="sl-SI" w:eastAsia="en-GB"/>
              </w:rPr>
              <w:t>se</w:t>
            </w:r>
          </w:p>
        </w:tc>
        <w:tc>
          <w:tcPr>
            <w:tcW w:w="4532" w:type="dxa"/>
            <w:tcBorders>
              <w:top w:val="single" w:sz="4" w:space="0" w:color="000000"/>
              <w:left w:val="single" w:sz="4" w:space="0" w:color="000000"/>
              <w:bottom w:val="single" w:sz="4" w:space="0" w:color="000000"/>
              <w:right w:val="single" w:sz="4" w:space="0" w:color="000000"/>
            </w:tcBorders>
          </w:tcPr>
          <w:p w14:paraId="7D39A9F4" w14:textId="77777777" w:rsidR="00A56A00" w:rsidRPr="00F769E0" w:rsidRDefault="00A56A00" w:rsidP="00A56A00">
            <w:pPr>
              <w:pStyle w:val="GUIDE-NORMAL"/>
              <w:spacing w:before="60" w:after="60"/>
              <w:jc w:val="left"/>
              <w:rPr>
                <w:rFonts w:cs="Tahoma"/>
                <w:lang w:val="sl-SI" w:eastAsia="en-GB"/>
              </w:rPr>
            </w:pPr>
            <w:r w:rsidRPr="00F769E0">
              <w:rPr>
                <w:rFonts w:cs="Tahoma"/>
                <w:lang w:val="sl-SI" w:eastAsia="en-GB"/>
              </w:rPr>
              <w:t>Vsa področja izobraževanja, usposabljanja</w:t>
            </w:r>
            <w:r w:rsidRPr="00F769E0">
              <w:rPr>
                <w:rFonts w:cs="Tahoma"/>
                <w:spacing w:val="16"/>
                <w:lang w:val="sl-SI" w:eastAsia="en-GB"/>
              </w:rPr>
              <w:t xml:space="preserve"> </w:t>
            </w:r>
            <w:r w:rsidRPr="00F769E0">
              <w:rPr>
                <w:rFonts w:cs="Tahoma"/>
                <w:lang w:val="sl-SI" w:eastAsia="en-GB"/>
              </w:rPr>
              <w:t>in mladine</w:t>
            </w:r>
          </w:p>
        </w:tc>
      </w:tr>
      <w:tr w:rsidR="00A56A00" w:rsidRPr="008C6F8C" w14:paraId="7D39A9F8" w14:textId="77777777" w:rsidTr="00A445D7">
        <w:trPr>
          <w:trHeight w:val="20"/>
        </w:trPr>
        <w:tc>
          <w:tcPr>
            <w:tcW w:w="4532" w:type="dxa"/>
            <w:tcBorders>
              <w:top w:val="single" w:sz="4" w:space="0" w:color="000000"/>
              <w:left w:val="single" w:sz="4" w:space="0" w:color="000000"/>
              <w:bottom w:val="single" w:sz="4" w:space="0" w:color="000000"/>
              <w:right w:val="single" w:sz="4" w:space="0" w:color="000000"/>
            </w:tcBorders>
          </w:tcPr>
          <w:p w14:paraId="7D39A9F6" w14:textId="77777777" w:rsidR="00A56A00" w:rsidRPr="00F769E0" w:rsidRDefault="00A56A00" w:rsidP="00A56A00">
            <w:pPr>
              <w:pStyle w:val="GUIDE-NORMAL"/>
              <w:spacing w:before="60" w:after="60"/>
              <w:jc w:val="left"/>
              <w:rPr>
                <w:rFonts w:cs="Tahoma"/>
                <w:lang w:val="sl-SI" w:eastAsia="en-GB"/>
              </w:rPr>
            </w:pPr>
            <w:r w:rsidRPr="00F769E0">
              <w:rPr>
                <w:rFonts w:cs="Tahoma"/>
                <w:lang w:val="sl-SI" w:eastAsia="en-GB"/>
              </w:rPr>
              <w:t>Kratkotrajne izmenjave skupin učencev/dijakov</w:t>
            </w:r>
          </w:p>
        </w:tc>
        <w:tc>
          <w:tcPr>
            <w:tcW w:w="4532" w:type="dxa"/>
            <w:tcBorders>
              <w:top w:val="single" w:sz="4" w:space="0" w:color="000000"/>
              <w:left w:val="single" w:sz="4" w:space="0" w:color="000000"/>
              <w:bottom w:val="single" w:sz="4" w:space="0" w:color="000000"/>
              <w:right w:val="single" w:sz="4" w:space="0" w:color="000000"/>
            </w:tcBorders>
          </w:tcPr>
          <w:p w14:paraId="7D39A9F7" w14:textId="77777777" w:rsidR="00A56A00" w:rsidRPr="00F769E0" w:rsidRDefault="00A56A00" w:rsidP="00A56A00">
            <w:pPr>
              <w:pStyle w:val="GUIDE-NORMAL"/>
              <w:spacing w:before="60" w:after="60"/>
              <w:jc w:val="left"/>
              <w:rPr>
                <w:rFonts w:cs="Tahoma"/>
                <w:lang w:val="sl-SI" w:eastAsia="en-GB"/>
              </w:rPr>
            </w:pPr>
            <w:r w:rsidRPr="00F769E0">
              <w:rPr>
                <w:rFonts w:cs="Tahoma"/>
                <w:lang w:val="sl-SI" w:eastAsia="en-GB"/>
              </w:rPr>
              <w:t>Šolsko izobraževanje</w:t>
            </w:r>
            <w:r w:rsidR="00FD43D4" w:rsidRPr="00F769E0">
              <w:rPr>
                <w:rFonts w:cs="Tahoma"/>
                <w:lang w:val="sl-SI" w:eastAsia="en-GB"/>
              </w:rPr>
              <w:t>, PIU</w:t>
            </w:r>
          </w:p>
        </w:tc>
      </w:tr>
      <w:tr w:rsidR="00A56A00" w:rsidRPr="008C6F8C" w14:paraId="7D39A9FB" w14:textId="77777777" w:rsidTr="00A445D7">
        <w:trPr>
          <w:trHeight w:val="20"/>
        </w:trPr>
        <w:tc>
          <w:tcPr>
            <w:tcW w:w="4532" w:type="dxa"/>
            <w:tcBorders>
              <w:top w:val="single" w:sz="4" w:space="0" w:color="000000"/>
              <w:left w:val="single" w:sz="4" w:space="0" w:color="000000"/>
              <w:bottom w:val="single" w:sz="4" w:space="0" w:color="000000"/>
              <w:right w:val="single" w:sz="4" w:space="0" w:color="000000"/>
            </w:tcBorders>
          </w:tcPr>
          <w:p w14:paraId="7D39A9F9" w14:textId="77777777" w:rsidR="00A56A00" w:rsidRPr="00F769E0" w:rsidRDefault="00A56A00" w:rsidP="00A56A00">
            <w:pPr>
              <w:pStyle w:val="GUIDE-NORMAL"/>
              <w:spacing w:before="60" w:after="60"/>
              <w:jc w:val="left"/>
              <w:rPr>
                <w:rFonts w:cs="Tahoma"/>
                <w:lang w:val="sl-SI" w:eastAsia="en-GB"/>
              </w:rPr>
            </w:pPr>
            <w:r w:rsidRPr="00F769E0">
              <w:rPr>
                <w:rFonts w:cs="Tahoma"/>
                <w:lang w:val="sl-SI" w:eastAsia="en-GB"/>
              </w:rPr>
              <w:t>Intenzivni</w:t>
            </w:r>
            <w:r w:rsidRPr="00F769E0">
              <w:rPr>
                <w:rFonts w:cs="Tahoma"/>
                <w:spacing w:val="8"/>
                <w:lang w:val="sl-SI" w:eastAsia="en-GB"/>
              </w:rPr>
              <w:t xml:space="preserve"> </w:t>
            </w:r>
            <w:r w:rsidRPr="00F769E0">
              <w:rPr>
                <w:rFonts w:cs="Tahoma"/>
                <w:lang w:val="sl-SI" w:eastAsia="en-GB"/>
              </w:rPr>
              <w:t>študijski</w:t>
            </w:r>
            <w:r w:rsidRPr="00F769E0">
              <w:rPr>
                <w:rFonts w:cs="Tahoma"/>
                <w:spacing w:val="8"/>
                <w:lang w:val="sl-SI" w:eastAsia="en-GB"/>
              </w:rPr>
              <w:t xml:space="preserve"> </w:t>
            </w:r>
            <w:r w:rsidRPr="00F769E0">
              <w:rPr>
                <w:rFonts w:cs="Tahoma"/>
                <w:lang w:val="sl-SI" w:eastAsia="en-GB"/>
              </w:rPr>
              <w:t>programi</w:t>
            </w:r>
          </w:p>
        </w:tc>
        <w:tc>
          <w:tcPr>
            <w:tcW w:w="4532" w:type="dxa"/>
            <w:tcBorders>
              <w:top w:val="single" w:sz="4" w:space="0" w:color="000000"/>
              <w:left w:val="single" w:sz="4" w:space="0" w:color="000000"/>
              <w:bottom w:val="single" w:sz="4" w:space="0" w:color="000000"/>
              <w:right w:val="single" w:sz="4" w:space="0" w:color="000000"/>
            </w:tcBorders>
          </w:tcPr>
          <w:p w14:paraId="7D39A9FA" w14:textId="77777777" w:rsidR="00A56A00" w:rsidRPr="00F769E0" w:rsidRDefault="00A56A00" w:rsidP="00FD43D4">
            <w:pPr>
              <w:pStyle w:val="GUIDE-NORMAL"/>
              <w:spacing w:before="60" w:after="60"/>
              <w:jc w:val="left"/>
              <w:rPr>
                <w:rFonts w:cs="Tahoma"/>
                <w:lang w:val="sl-SI" w:eastAsia="en-GB"/>
              </w:rPr>
            </w:pPr>
            <w:r w:rsidRPr="00F769E0">
              <w:rPr>
                <w:rFonts w:cs="Tahoma"/>
                <w:lang w:val="sl-SI" w:eastAsia="en-GB"/>
              </w:rPr>
              <w:t>Visokošolsko</w:t>
            </w:r>
            <w:r w:rsidRPr="00F769E0">
              <w:rPr>
                <w:rFonts w:cs="Tahoma"/>
                <w:spacing w:val="-4"/>
                <w:lang w:val="sl-SI" w:eastAsia="en-GB"/>
              </w:rPr>
              <w:t xml:space="preserve"> </w:t>
            </w:r>
            <w:r w:rsidRPr="00F769E0">
              <w:rPr>
                <w:rFonts w:cs="Tahoma"/>
                <w:lang w:val="sl-SI" w:eastAsia="en-GB"/>
              </w:rPr>
              <w:t>izobraževanje</w:t>
            </w:r>
          </w:p>
        </w:tc>
      </w:tr>
      <w:tr w:rsidR="00BE364E" w:rsidRPr="008C6F8C" w14:paraId="7D39A9FE" w14:textId="77777777" w:rsidTr="00A56A00">
        <w:trPr>
          <w:trHeight w:val="20"/>
        </w:trPr>
        <w:tc>
          <w:tcPr>
            <w:tcW w:w="4532" w:type="dxa"/>
            <w:tcBorders>
              <w:top w:val="single" w:sz="4" w:space="0" w:color="000000"/>
              <w:left w:val="single" w:sz="4" w:space="0" w:color="000000"/>
              <w:bottom w:val="single" w:sz="4" w:space="0" w:color="000000"/>
              <w:right w:val="single" w:sz="4" w:space="0" w:color="000000"/>
            </w:tcBorders>
            <w:vAlign w:val="center"/>
          </w:tcPr>
          <w:p w14:paraId="7D39A9FC" w14:textId="77777777" w:rsidR="00BE364E" w:rsidRPr="00F769E0" w:rsidRDefault="00A56A00" w:rsidP="00A56A00">
            <w:pPr>
              <w:pStyle w:val="GUIDE-NORMAL"/>
              <w:spacing w:before="60" w:after="60"/>
              <w:jc w:val="left"/>
              <w:rPr>
                <w:rFonts w:cs="Tahoma"/>
                <w:lang w:val="sl-SI" w:eastAsia="en-GB"/>
              </w:rPr>
            </w:pPr>
            <w:r w:rsidRPr="00F769E0">
              <w:rPr>
                <w:rFonts w:cs="Tahoma"/>
                <w:lang w:val="sl-SI" w:eastAsia="en-GB"/>
              </w:rPr>
              <w:t>Dolgotrajna študijska mobilnost učencev/dijakov</w:t>
            </w:r>
          </w:p>
        </w:tc>
        <w:tc>
          <w:tcPr>
            <w:tcW w:w="4532" w:type="dxa"/>
            <w:tcBorders>
              <w:top w:val="single" w:sz="4" w:space="0" w:color="000000"/>
              <w:left w:val="single" w:sz="4" w:space="0" w:color="000000"/>
              <w:bottom w:val="single" w:sz="4" w:space="0" w:color="000000"/>
              <w:right w:val="single" w:sz="4" w:space="0" w:color="000000"/>
            </w:tcBorders>
            <w:vAlign w:val="center"/>
          </w:tcPr>
          <w:p w14:paraId="7D39A9FD" w14:textId="77777777" w:rsidR="00BE364E" w:rsidRPr="00F769E0" w:rsidRDefault="00A56A00" w:rsidP="00A56A00">
            <w:pPr>
              <w:pStyle w:val="GUIDE-NORMAL"/>
              <w:spacing w:before="60" w:after="60"/>
              <w:jc w:val="left"/>
              <w:rPr>
                <w:rFonts w:cs="Tahoma"/>
                <w:lang w:val="sl-SI" w:eastAsia="en-GB"/>
              </w:rPr>
            </w:pPr>
            <w:r w:rsidRPr="00F769E0">
              <w:rPr>
                <w:rFonts w:cs="Tahoma"/>
                <w:lang w:val="sl-SI" w:eastAsia="en-GB"/>
              </w:rPr>
              <w:t>Šolsko izobraževanje</w:t>
            </w:r>
          </w:p>
        </w:tc>
      </w:tr>
      <w:tr w:rsidR="00BE364E" w:rsidRPr="002C560E" w14:paraId="7D39AA01" w14:textId="77777777" w:rsidTr="00A56A00">
        <w:trPr>
          <w:trHeight w:val="20"/>
        </w:trPr>
        <w:tc>
          <w:tcPr>
            <w:tcW w:w="4532" w:type="dxa"/>
            <w:tcBorders>
              <w:top w:val="single" w:sz="4" w:space="0" w:color="000000"/>
              <w:left w:val="single" w:sz="4" w:space="0" w:color="000000"/>
              <w:bottom w:val="single" w:sz="4" w:space="0" w:color="000000"/>
              <w:right w:val="single" w:sz="4" w:space="0" w:color="000000"/>
            </w:tcBorders>
            <w:vAlign w:val="center"/>
          </w:tcPr>
          <w:p w14:paraId="7D39A9FF" w14:textId="77777777" w:rsidR="00BE364E" w:rsidRPr="00F769E0" w:rsidRDefault="00A56A00" w:rsidP="00A56A00">
            <w:pPr>
              <w:pStyle w:val="GUIDE-NORMAL"/>
              <w:spacing w:before="60" w:after="60"/>
              <w:jc w:val="left"/>
              <w:rPr>
                <w:rFonts w:cs="Tahoma"/>
                <w:lang w:val="sl-SI" w:eastAsia="en-GB"/>
              </w:rPr>
            </w:pPr>
            <w:r w:rsidRPr="00F769E0">
              <w:rPr>
                <w:rFonts w:cs="Tahoma"/>
                <w:lang w:val="sl-SI" w:eastAsia="en-GB"/>
              </w:rPr>
              <w:t>Dolgotrajna mobilnost z namenom poučevanja ali usposabljanja</w:t>
            </w:r>
          </w:p>
        </w:tc>
        <w:tc>
          <w:tcPr>
            <w:tcW w:w="4532" w:type="dxa"/>
            <w:tcBorders>
              <w:top w:val="single" w:sz="4" w:space="0" w:color="000000"/>
              <w:left w:val="single" w:sz="4" w:space="0" w:color="000000"/>
              <w:bottom w:val="single" w:sz="4" w:space="0" w:color="000000"/>
              <w:right w:val="single" w:sz="4" w:space="0" w:color="000000"/>
            </w:tcBorders>
            <w:vAlign w:val="center"/>
          </w:tcPr>
          <w:p w14:paraId="7D39AA00" w14:textId="77777777" w:rsidR="00BE364E" w:rsidRPr="00F769E0" w:rsidRDefault="00A56A00" w:rsidP="00A56A00">
            <w:pPr>
              <w:pStyle w:val="GUIDE-NORMAL"/>
              <w:spacing w:before="60" w:after="60"/>
              <w:jc w:val="left"/>
              <w:rPr>
                <w:rFonts w:cs="Tahoma"/>
                <w:lang w:val="sl-SI" w:eastAsia="en-GB"/>
              </w:rPr>
            </w:pPr>
            <w:r w:rsidRPr="00F769E0">
              <w:rPr>
                <w:rFonts w:cs="Tahoma"/>
                <w:lang w:val="sl-SI" w:eastAsia="en-GB"/>
              </w:rPr>
              <w:t xml:space="preserve">Visokošolsko izobraževanje, PIU, šolsko izobraževanje </w:t>
            </w:r>
            <w:r w:rsidRPr="00F769E0">
              <w:rPr>
                <w:rFonts w:cs="Tahoma"/>
                <w:lang w:val="sl-SI" w:eastAsia="en-GB"/>
              </w:rPr>
              <w:br/>
              <w:t>in izobraževanje odraslih</w:t>
            </w:r>
          </w:p>
        </w:tc>
      </w:tr>
      <w:tr w:rsidR="00A56A00" w:rsidRPr="008C6F8C" w14:paraId="7D39AA04" w14:textId="77777777" w:rsidTr="00A445D7">
        <w:trPr>
          <w:trHeight w:val="20"/>
        </w:trPr>
        <w:tc>
          <w:tcPr>
            <w:tcW w:w="4532" w:type="dxa"/>
            <w:tcBorders>
              <w:top w:val="single" w:sz="4" w:space="0" w:color="000000"/>
              <w:left w:val="single" w:sz="4" w:space="0" w:color="000000"/>
              <w:bottom w:val="single" w:sz="4" w:space="0" w:color="000000"/>
              <w:right w:val="single" w:sz="4" w:space="0" w:color="000000"/>
            </w:tcBorders>
          </w:tcPr>
          <w:p w14:paraId="7D39AA02" w14:textId="77777777" w:rsidR="00A56A00" w:rsidRPr="00F769E0" w:rsidRDefault="00A56A00" w:rsidP="00A56A00">
            <w:pPr>
              <w:pStyle w:val="GUIDE-NORMAL"/>
              <w:spacing w:before="60" w:after="60"/>
              <w:jc w:val="left"/>
              <w:rPr>
                <w:rFonts w:cs="Tahoma"/>
                <w:lang w:val="sl-SI" w:eastAsia="en-GB"/>
              </w:rPr>
            </w:pPr>
            <w:r w:rsidRPr="00F769E0">
              <w:rPr>
                <w:rFonts w:cs="Tahoma"/>
                <w:lang w:val="sl-SI" w:eastAsia="en-GB"/>
              </w:rPr>
              <w:t>Dolgotrajna mobilnost</w:t>
            </w:r>
            <w:r w:rsidRPr="00F769E0">
              <w:rPr>
                <w:rFonts w:cs="Tahoma"/>
                <w:spacing w:val="-24"/>
                <w:lang w:val="sl-SI" w:eastAsia="en-GB"/>
              </w:rPr>
              <w:t xml:space="preserve"> </w:t>
            </w:r>
            <w:r w:rsidRPr="00F769E0">
              <w:rPr>
                <w:rFonts w:cs="Tahoma"/>
                <w:lang w:val="sl-SI" w:eastAsia="en-GB"/>
              </w:rPr>
              <w:t>mladinskih</w:t>
            </w:r>
            <w:r w:rsidRPr="00F769E0">
              <w:rPr>
                <w:rFonts w:cs="Tahoma"/>
                <w:spacing w:val="-12"/>
                <w:lang w:val="sl-SI" w:eastAsia="en-GB"/>
              </w:rPr>
              <w:t xml:space="preserve"> </w:t>
            </w:r>
            <w:r w:rsidRPr="00F769E0">
              <w:rPr>
                <w:rFonts w:cs="Tahoma"/>
                <w:lang w:val="sl-SI" w:eastAsia="en-GB"/>
              </w:rPr>
              <w:t>delavcev</w:t>
            </w:r>
          </w:p>
        </w:tc>
        <w:tc>
          <w:tcPr>
            <w:tcW w:w="4532" w:type="dxa"/>
            <w:tcBorders>
              <w:top w:val="single" w:sz="4" w:space="0" w:color="000000"/>
              <w:left w:val="single" w:sz="4" w:space="0" w:color="000000"/>
              <w:bottom w:val="single" w:sz="4" w:space="0" w:color="000000"/>
              <w:right w:val="single" w:sz="4" w:space="0" w:color="000000"/>
            </w:tcBorders>
          </w:tcPr>
          <w:p w14:paraId="7D39AA03" w14:textId="77777777" w:rsidR="00A56A00" w:rsidRPr="00F769E0" w:rsidRDefault="00A56A00" w:rsidP="00A56A00">
            <w:pPr>
              <w:pStyle w:val="GUIDE-NORMAL"/>
              <w:spacing w:before="60" w:after="60"/>
              <w:jc w:val="left"/>
              <w:rPr>
                <w:rFonts w:cs="Tahoma"/>
                <w:lang w:val="sl-SI" w:eastAsia="en-GB"/>
              </w:rPr>
            </w:pPr>
            <w:r w:rsidRPr="00F769E0">
              <w:rPr>
                <w:rFonts w:cs="Tahoma"/>
                <w:lang w:val="sl-SI" w:eastAsia="en-GB"/>
              </w:rPr>
              <w:t>Mladina</w:t>
            </w:r>
          </w:p>
        </w:tc>
      </w:tr>
      <w:tr w:rsidR="00A56A00" w:rsidRPr="002C560E" w14:paraId="7D39AA07" w14:textId="77777777" w:rsidTr="00A445D7">
        <w:trPr>
          <w:trHeight w:val="20"/>
        </w:trPr>
        <w:tc>
          <w:tcPr>
            <w:tcW w:w="4532" w:type="dxa"/>
            <w:tcBorders>
              <w:top w:val="single" w:sz="4" w:space="0" w:color="000000"/>
              <w:left w:val="single" w:sz="4" w:space="0" w:color="000000"/>
              <w:bottom w:val="single" w:sz="4" w:space="0" w:color="000000"/>
              <w:right w:val="single" w:sz="4" w:space="0" w:color="000000"/>
            </w:tcBorders>
          </w:tcPr>
          <w:p w14:paraId="7D39AA05" w14:textId="77777777" w:rsidR="00A56A00" w:rsidRPr="00F769E0" w:rsidRDefault="00A56A00" w:rsidP="00A56A00">
            <w:pPr>
              <w:pStyle w:val="GUIDE-NORMAL"/>
              <w:spacing w:before="60" w:after="60"/>
              <w:jc w:val="left"/>
              <w:rPr>
                <w:rFonts w:cs="Tahoma"/>
                <w:lang w:val="sl-SI" w:eastAsia="en-GB"/>
              </w:rPr>
            </w:pPr>
            <w:r w:rsidRPr="00F769E0">
              <w:rPr>
                <w:rFonts w:cs="Tahoma"/>
                <w:position w:val="-12"/>
                <w:lang w:val="sl-SI" w:eastAsia="en-GB"/>
              </w:rPr>
              <w:t>Kratkotrajna skupna</w:t>
            </w:r>
            <w:r w:rsidRPr="00F769E0">
              <w:rPr>
                <w:rFonts w:cs="Tahoma"/>
                <w:spacing w:val="35"/>
                <w:position w:val="-12"/>
                <w:lang w:val="sl-SI" w:eastAsia="en-GB"/>
              </w:rPr>
              <w:t xml:space="preserve"> </w:t>
            </w:r>
            <w:r w:rsidRPr="00F769E0">
              <w:rPr>
                <w:rFonts w:cs="Tahoma"/>
                <w:position w:val="-12"/>
                <w:lang w:val="sl-SI" w:eastAsia="en-GB"/>
              </w:rPr>
              <w:t>usposabljanja</w:t>
            </w:r>
            <w:r w:rsidRPr="00F769E0">
              <w:rPr>
                <w:rFonts w:cs="Tahoma"/>
                <w:spacing w:val="16"/>
                <w:position w:val="-12"/>
                <w:lang w:val="sl-SI" w:eastAsia="en-GB"/>
              </w:rPr>
              <w:t xml:space="preserve"> </w:t>
            </w:r>
            <w:r w:rsidRPr="00F769E0">
              <w:rPr>
                <w:rFonts w:cs="Tahoma"/>
                <w:position w:val="-12"/>
                <w:lang w:val="sl-SI" w:eastAsia="en-GB"/>
              </w:rPr>
              <w:t>osebja</w:t>
            </w:r>
          </w:p>
        </w:tc>
        <w:tc>
          <w:tcPr>
            <w:tcW w:w="4532" w:type="dxa"/>
            <w:tcBorders>
              <w:top w:val="single" w:sz="4" w:space="0" w:color="000000"/>
              <w:left w:val="single" w:sz="4" w:space="0" w:color="000000"/>
              <w:bottom w:val="single" w:sz="4" w:space="0" w:color="000000"/>
              <w:right w:val="single" w:sz="4" w:space="0" w:color="000000"/>
            </w:tcBorders>
          </w:tcPr>
          <w:p w14:paraId="7D39AA06" w14:textId="77777777" w:rsidR="00A56A00" w:rsidRPr="00F769E0" w:rsidRDefault="00A56A00" w:rsidP="00A56A00">
            <w:pPr>
              <w:pStyle w:val="GUIDE-NORMAL"/>
              <w:spacing w:before="60" w:after="60"/>
              <w:jc w:val="left"/>
              <w:rPr>
                <w:rFonts w:cs="Tahoma"/>
                <w:lang w:val="sl-SI" w:eastAsia="en-GB"/>
              </w:rPr>
            </w:pPr>
            <w:r w:rsidRPr="00F769E0">
              <w:rPr>
                <w:rFonts w:cs="Tahoma"/>
                <w:lang w:val="sl-SI" w:eastAsia="en-GB"/>
              </w:rPr>
              <w:t>Vsa področja izobraževanja, usposabljanja</w:t>
            </w:r>
            <w:r w:rsidRPr="00F769E0">
              <w:rPr>
                <w:rFonts w:cs="Tahoma"/>
                <w:spacing w:val="16"/>
                <w:lang w:val="sl-SI" w:eastAsia="en-GB"/>
              </w:rPr>
              <w:t xml:space="preserve"> </w:t>
            </w:r>
            <w:r w:rsidRPr="00F769E0">
              <w:rPr>
                <w:rFonts w:cs="Tahoma"/>
                <w:lang w:val="sl-SI" w:eastAsia="en-GB"/>
              </w:rPr>
              <w:t>in mladine</w:t>
            </w:r>
          </w:p>
        </w:tc>
      </w:tr>
    </w:tbl>
    <w:p w14:paraId="7D39AA08" w14:textId="77777777" w:rsidR="00C95A78" w:rsidRPr="001048FE" w:rsidRDefault="00A56A00" w:rsidP="00A56A00">
      <w:pPr>
        <w:pStyle w:val="GUIDE-NORMAL"/>
        <w:rPr>
          <w:lang w:val="sl-SI"/>
        </w:rPr>
      </w:pPr>
      <w:r w:rsidRPr="001048FE">
        <w:rPr>
          <w:lang w:val="sl-SI"/>
        </w:rPr>
        <w:t>V spodnjih razdelkih zagotovite dodatne opise zgornjih aktivnosti.</w:t>
      </w:r>
    </w:p>
    <w:p w14:paraId="7D39AA09" w14:textId="77777777" w:rsidR="00E15C84" w:rsidRPr="001048FE" w:rsidRDefault="00E15C84" w:rsidP="00E15C84">
      <w:pPr>
        <w:pStyle w:val="Guide-Heading4"/>
        <w:rPr>
          <w:lang w:val="sl-SI"/>
        </w:rPr>
      </w:pPr>
      <w:bookmarkStart w:id="694" w:name="Apprenants"/>
      <w:bookmarkStart w:id="695" w:name="_Toc527401336"/>
      <w:bookmarkEnd w:id="694"/>
      <w:r w:rsidRPr="001048FE">
        <w:rPr>
          <w:lang w:val="sl-SI"/>
        </w:rPr>
        <w:t>Učeči se</w:t>
      </w:r>
      <w:bookmarkEnd w:id="695"/>
    </w:p>
    <w:p w14:paraId="7D39AA0A" w14:textId="77777777" w:rsidR="00E15C84" w:rsidRPr="001048FE" w:rsidRDefault="00E15C84" w:rsidP="00E15C84">
      <w:pPr>
        <w:pStyle w:val="Guide-Heading4"/>
        <w:rPr>
          <w:lang w:val="sl-SI"/>
        </w:rPr>
      </w:pPr>
      <w:bookmarkStart w:id="696" w:name="_Toc527401337"/>
      <w:r w:rsidRPr="001048FE">
        <w:rPr>
          <w:lang w:val="sl-SI"/>
        </w:rPr>
        <w:t>Intenzivni študijski programi (študenti: od 5 dni do 2 mesecev; izobraževalno osebje/povabljeni učitelji: od 1 dneva do 2 mesecev)</w:t>
      </w:r>
      <w:bookmarkEnd w:id="696"/>
    </w:p>
    <w:p w14:paraId="7D39AA0B" w14:textId="77777777" w:rsidR="00E15C84" w:rsidRPr="001048FE" w:rsidRDefault="00E15C84" w:rsidP="00E15C84">
      <w:pPr>
        <w:pStyle w:val="GUIDE-NORMAL"/>
        <w:rPr>
          <w:lang w:val="sl-SI"/>
        </w:rPr>
      </w:pPr>
      <w:r w:rsidRPr="001048FE">
        <w:rPr>
          <w:lang w:val="sl-SI"/>
        </w:rPr>
        <w:t>Intenzivni študijski program (ISP) je kratek študijski program, ki združuje študente in izobraževalno osebje</w:t>
      </w:r>
      <w:r w:rsidRPr="001048FE">
        <w:rPr>
          <w:spacing w:val="-20"/>
          <w:lang w:val="sl-SI"/>
        </w:rPr>
        <w:t xml:space="preserve"> </w:t>
      </w:r>
      <w:r w:rsidRPr="001048FE">
        <w:rPr>
          <w:lang w:val="sl-SI"/>
        </w:rPr>
        <w:t>iz</w:t>
      </w:r>
      <w:r w:rsidRPr="001048FE">
        <w:rPr>
          <w:spacing w:val="-20"/>
          <w:lang w:val="sl-SI"/>
        </w:rPr>
        <w:t xml:space="preserve"> </w:t>
      </w:r>
      <w:r w:rsidRPr="001048FE">
        <w:rPr>
          <w:lang w:val="sl-SI"/>
        </w:rPr>
        <w:t>sodelujočih</w:t>
      </w:r>
      <w:r w:rsidRPr="001048FE">
        <w:rPr>
          <w:spacing w:val="-20"/>
          <w:lang w:val="sl-SI"/>
        </w:rPr>
        <w:t xml:space="preserve"> </w:t>
      </w:r>
      <w:r w:rsidRPr="001048FE">
        <w:rPr>
          <w:lang w:val="sl-SI"/>
        </w:rPr>
        <w:t>visokošolskih</w:t>
      </w:r>
      <w:r w:rsidRPr="001048FE">
        <w:rPr>
          <w:spacing w:val="-20"/>
          <w:lang w:val="sl-SI"/>
        </w:rPr>
        <w:t xml:space="preserve"> </w:t>
      </w:r>
      <w:r w:rsidRPr="001048FE">
        <w:rPr>
          <w:lang w:val="sl-SI"/>
        </w:rPr>
        <w:t>institucij</w:t>
      </w:r>
      <w:r w:rsidRPr="001048FE">
        <w:rPr>
          <w:spacing w:val="-20"/>
          <w:lang w:val="sl-SI"/>
        </w:rPr>
        <w:t xml:space="preserve"> </w:t>
      </w:r>
      <w:r w:rsidRPr="001048FE">
        <w:rPr>
          <w:lang w:val="sl-SI"/>
        </w:rPr>
        <w:t>ter</w:t>
      </w:r>
      <w:r w:rsidRPr="001048FE">
        <w:rPr>
          <w:spacing w:val="-20"/>
          <w:lang w:val="sl-SI"/>
        </w:rPr>
        <w:t xml:space="preserve"> </w:t>
      </w:r>
      <w:r w:rsidRPr="001048FE">
        <w:rPr>
          <w:lang w:val="sl-SI"/>
        </w:rPr>
        <w:t>druge</w:t>
      </w:r>
      <w:r w:rsidRPr="001048FE">
        <w:rPr>
          <w:spacing w:val="-20"/>
          <w:lang w:val="sl-SI"/>
        </w:rPr>
        <w:t xml:space="preserve"> </w:t>
      </w:r>
      <w:r w:rsidRPr="001048FE">
        <w:rPr>
          <w:lang w:val="sl-SI"/>
        </w:rPr>
        <w:t>pomembne</w:t>
      </w:r>
      <w:r w:rsidRPr="001048FE">
        <w:rPr>
          <w:spacing w:val="-20"/>
          <w:lang w:val="sl-SI"/>
        </w:rPr>
        <w:t xml:space="preserve"> </w:t>
      </w:r>
      <w:r w:rsidRPr="001048FE">
        <w:rPr>
          <w:lang w:val="sl-SI"/>
        </w:rPr>
        <w:t>povabljene</w:t>
      </w:r>
      <w:r w:rsidRPr="001048FE">
        <w:rPr>
          <w:spacing w:val="-20"/>
          <w:lang w:val="sl-SI"/>
        </w:rPr>
        <w:t xml:space="preserve"> </w:t>
      </w:r>
      <w:r w:rsidRPr="001048FE">
        <w:rPr>
          <w:lang w:val="sl-SI"/>
        </w:rPr>
        <w:t>strokovnjake/izvedence s</w:t>
      </w:r>
      <w:r w:rsidRPr="001048FE">
        <w:rPr>
          <w:spacing w:val="-3"/>
          <w:lang w:val="sl-SI"/>
        </w:rPr>
        <w:t xml:space="preserve"> </w:t>
      </w:r>
      <w:r w:rsidRPr="001048FE">
        <w:rPr>
          <w:lang w:val="sl-SI"/>
        </w:rPr>
        <w:t>ciljem:</w:t>
      </w:r>
    </w:p>
    <w:p w14:paraId="7D39AA0C" w14:textId="77777777" w:rsidR="00E15C84" w:rsidRPr="001048FE" w:rsidRDefault="00E15C84" w:rsidP="005115F2">
      <w:pPr>
        <w:pStyle w:val="Guide-NormalBulletpoints"/>
        <w:numPr>
          <w:ilvl w:val="0"/>
          <w:numId w:val="454"/>
        </w:numPr>
        <w:rPr>
          <w:lang w:val="sl-SI"/>
        </w:rPr>
      </w:pPr>
      <w:r w:rsidRPr="001048FE">
        <w:rPr>
          <w:lang w:val="sl-SI"/>
        </w:rPr>
        <w:t>spodbujati učinkovito in večnacionalno poučevanje strokovnih vsebin;</w:t>
      </w:r>
    </w:p>
    <w:p w14:paraId="7D39AA0D" w14:textId="77777777" w:rsidR="00E15C84" w:rsidRPr="001048FE" w:rsidRDefault="00E15C84" w:rsidP="005115F2">
      <w:pPr>
        <w:pStyle w:val="Guide-NormalBulletpoints"/>
        <w:numPr>
          <w:ilvl w:val="0"/>
          <w:numId w:val="454"/>
        </w:numPr>
        <w:rPr>
          <w:lang w:val="sl-SI"/>
        </w:rPr>
      </w:pPr>
      <w:r w:rsidRPr="001048FE">
        <w:rPr>
          <w:lang w:val="sl-SI"/>
        </w:rPr>
        <w:t>omogočati študentom in učiteljem, da sodelujejo v večnacionalnih in večdisciplinarnih skupinah ter pri tem izkoristijo posebne pogoje učenja in poučevanja, ki niso na voljo v eni sami instituciji, ter oblikujejo nova stališča o obravnavani temi;</w:t>
      </w:r>
    </w:p>
    <w:p w14:paraId="7D39AA0E" w14:textId="77777777" w:rsidR="00E15C84" w:rsidRPr="001048FE" w:rsidRDefault="00E15C84" w:rsidP="005115F2">
      <w:pPr>
        <w:pStyle w:val="Guide-NormalBulletpoints"/>
        <w:numPr>
          <w:ilvl w:val="0"/>
          <w:numId w:val="454"/>
        </w:numPr>
        <w:rPr>
          <w:lang w:val="sl-SI"/>
        </w:rPr>
      </w:pPr>
      <w:r w:rsidRPr="001048FE">
        <w:rPr>
          <w:lang w:val="sl-SI"/>
        </w:rPr>
        <w:t>omogočati članom izobraževalnega osebja, da izmenjajo stališča o vsebini poučevanja in novih pristopih do učnih načrtov ter preskusijo inovativne metode poučevanja, ki bi lahko sčasoma postale del na novo zasnovanega skupnega programa ali učnega načrta v mednarodnem učnem okolju.</w:t>
      </w:r>
    </w:p>
    <w:p w14:paraId="7D39AA0F" w14:textId="77777777" w:rsidR="00E15C84" w:rsidRPr="001048FE" w:rsidRDefault="00E15C84" w:rsidP="00E15C84">
      <w:pPr>
        <w:pStyle w:val="GUIDE-NORMAL"/>
        <w:rPr>
          <w:lang w:val="sl-SI"/>
        </w:rPr>
      </w:pPr>
      <w:r w:rsidRPr="001048FE">
        <w:rPr>
          <w:lang w:val="sl-SI"/>
        </w:rPr>
        <w:t>Zaželene značilnosti programa ISP so naslednje:</w:t>
      </w:r>
    </w:p>
    <w:p w14:paraId="7D39AA10" w14:textId="77777777" w:rsidR="00E15C84" w:rsidRPr="001048FE" w:rsidRDefault="00E15C84" w:rsidP="005115F2">
      <w:pPr>
        <w:pStyle w:val="Guide-NormalBulletpoints"/>
        <w:numPr>
          <w:ilvl w:val="0"/>
          <w:numId w:val="455"/>
        </w:numPr>
        <w:rPr>
          <w:lang w:val="sl-SI"/>
        </w:rPr>
      </w:pPr>
      <w:r w:rsidRPr="001048FE">
        <w:rPr>
          <w:lang w:val="sl-SI"/>
        </w:rPr>
        <w:t>programi</w:t>
      </w:r>
      <w:r w:rsidRPr="001048FE">
        <w:rPr>
          <w:spacing w:val="-10"/>
          <w:lang w:val="sl-SI"/>
        </w:rPr>
        <w:t xml:space="preserve"> </w:t>
      </w:r>
      <w:r w:rsidRPr="001048FE">
        <w:rPr>
          <w:lang w:val="sl-SI"/>
        </w:rPr>
        <w:t>ISP</w:t>
      </w:r>
      <w:r w:rsidRPr="001048FE">
        <w:rPr>
          <w:spacing w:val="-10"/>
          <w:lang w:val="sl-SI"/>
        </w:rPr>
        <w:t xml:space="preserve"> </w:t>
      </w:r>
      <w:r w:rsidRPr="001048FE">
        <w:rPr>
          <w:lang w:val="sl-SI"/>
        </w:rPr>
        <w:t>bi</w:t>
      </w:r>
      <w:r w:rsidRPr="001048FE">
        <w:rPr>
          <w:spacing w:val="-10"/>
          <w:lang w:val="sl-SI"/>
        </w:rPr>
        <w:t xml:space="preserve"> </w:t>
      </w:r>
      <w:r w:rsidRPr="001048FE">
        <w:rPr>
          <w:lang w:val="sl-SI"/>
        </w:rPr>
        <w:t>morali</w:t>
      </w:r>
      <w:r w:rsidRPr="001048FE">
        <w:rPr>
          <w:spacing w:val="-10"/>
          <w:lang w:val="sl-SI"/>
        </w:rPr>
        <w:t xml:space="preserve"> </w:t>
      </w:r>
      <w:r w:rsidRPr="001048FE">
        <w:rPr>
          <w:lang w:val="sl-SI"/>
        </w:rPr>
        <w:t>za</w:t>
      </w:r>
      <w:r w:rsidRPr="001048FE">
        <w:rPr>
          <w:spacing w:val="-10"/>
          <w:lang w:val="sl-SI"/>
        </w:rPr>
        <w:t xml:space="preserve"> </w:t>
      </w:r>
      <w:r w:rsidRPr="001048FE">
        <w:rPr>
          <w:lang w:val="sl-SI"/>
        </w:rPr>
        <w:t>sodelujoče</w:t>
      </w:r>
      <w:r w:rsidRPr="001048FE">
        <w:rPr>
          <w:spacing w:val="-10"/>
          <w:lang w:val="sl-SI"/>
        </w:rPr>
        <w:t xml:space="preserve"> </w:t>
      </w:r>
      <w:r w:rsidRPr="001048FE">
        <w:rPr>
          <w:lang w:val="sl-SI"/>
        </w:rPr>
        <w:t>učitelje</w:t>
      </w:r>
      <w:r w:rsidRPr="001048FE">
        <w:rPr>
          <w:spacing w:val="-10"/>
          <w:lang w:val="sl-SI"/>
        </w:rPr>
        <w:t xml:space="preserve"> </w:t>
      </w:r>
      <w:r w:rsidRPr="001048FE">
        <w:rPr>
          <w:lang w:val="sl-SI"/>
        </w:rPr>
        <w:t>in</w:t>
      </w:r>
      <w:r w:rsidRPr="001048FE">
        <w:rPr>
          <w:spacing w:val="-10"/>
          <w:lang w:val="sl-SI"/>
        </w:rPr>
        <w:t xml:space="preserve"> </w:t>
      </w:r>
      <w:r w:rsidRPr="001048FE">
        <w:rPr>
          <w:lang w:val="sl-SI"/>
        </w:rPr>
        <w:t>študente</w:t>
      </w:r>
      <w:r w:rsidRPr="001048FE">
        <w:rPr>
          <w:spacing w:val="-10"/>
          <w:lang w:val="sl-SI"/>
        </w:rPr>
        <w:t xml:space="preserve"> </w:t>
      </w:r>
      <w:r w:rsidRPr="001048FE">
        <w:rPr>
          <w:lang w:val="sl-SI"/>
        </w:rPr>
        <w:t>zagotavljati</w:t>
      </w:r>
      <w:r w:rsidRPr="001048FE">
        <w:rPr>
          <w:spacing w:val="-10"/>
          <w:lang w:val="sl-SI"/>
        </w:rPr>
        <w:t xml:space="preserve"> </w:t>
      </w:r>
      <w:r w:rsidRPr="001048FE">
        <w:rPr>
          <w:lang w:val="sl-SI"/>
        </w:rPr>
        <w:t>najnovejše</w:t>
      </w:r>
      <w:r w:rsidRPr="001048FE">
        <w:rPr>
          <w:spacing w:val="-10"/>
          <w:lang w:val="sl-SI"/>
        </w:rPr>
        <w:t xml:space="preserve"> </w:t>
      </w:r>
      <w:r w:rsidRPr="001048FE">
        <w:rPr>
          <w:lang w:val="sl-SI"/>
        </w:rPr>
        <w:t>priložnosti</w:t>
      </w:r>
      <w:r w:rsidRPr="001048FE">
        <w:rPr>
          <w:spacing w:val="-10"/>
          <w:lang w:val="sl-SI"/>
        </w:rPr>
        <w:t xml:space="preserve"> </w:t>
      </w:r>
      <w:r w:rsidRPr="001048FE">
        <w:rPr>
          <w:lang w:val="sl-SI"/>
        </w:rPr>
        <w:t>za učenje,</w:t>
      </w:r>
      <w:r w:rsidRPr="001048FE">
        <w:rPr>
          <w:spacing w:val="-11"/>
          <w:lang w:val="sl-SI"/>
        </w:rPr>
        <w:t xml:space="preserve"> </w:t>
      </w:r>
      <w:r w:rsidRPr="001048FE">
        <w:rPr>
          <w:lang w:val="sl-SI"/>
        </w:rPr>
        <w:t>razvoj</w:t>
      </w:r>
      <w:r w:rsidRPr="001048FE">
        <w:rPr>
          <w:spacing w:val="-11"/>
          <w:lang w:val="sl-SI"/>
        </w:rPr>
        <w:t xml:space="preserve"> </w:t>
      </w:r>
      <w:r w:rsidRPr="001048FE">
        <w:rPr>
          <w:lang w:val="sl-SI"/>
        </w:rPr>
        <w:t>spretnosti,</w:t>
      </w:r>
      <w:r w:rsidRPr="001048FE">
        <w:rPr>
          <w:spacing w:val="-11"/>
          <w:lang w:val="sl-SI"/>
        </w:rPr>
        <w:t xml:space="preserve"> </w:t>
      </w:r>
      <w:r w:rsidRPr="001048FE">
        <w:rPr>
          <w:lang w:val="sl-SI"/>
        </w:rPr>
        <w:t>dostop</w:t>
      </w:r>
      <w:r w:rsidRPr="001048FE">
        <w:rPr>
          <w:spacing w:val="-11"/>
          <w:lang w:val="sl-SI"/>
        </w:rPr>
        <w:t xml:space="preserve"> </w:t>
      </w:r>
      <w:r w:rsidRPr="001048FE">
        <w:rPr>
          <w:lang w:val="sl-SI"/>
        </w:rPr>
        <w:t>do</w:t>
      </w:r>
      <w:r w:rsidRPr="001048FE">
        <w:rPr>
          <w:spacing w:val="-11"/>
          <w:lang w:val="sl-SI"/>
        </w:rPr>
        <w:t xml:space="preserve"> </w:t>
      </w:r>
      <w:r w:rsidRPr="001048FE">
        <w:rPr>
          <w:lang w:val="sl-SI"/>
        </w:rPr>
        <w:t>informacij,</w:t>
      </w:r>
      <w:r w:rsidRPr="001048FE">
        <w:rPr>
          <w:spacing w:val="-11"/>
          <w:lang w:val="sl-SI"/>
        </w:rPr>
        <w:t xml:space="preserve"> </w:t>
      </w:r>
      <w:r w:rsidRPr="001048FE">
        <w:rPr>
          <w:lang w:val="sl-SI"/>
        </w:rPr>
        <w:t>najsodobnejših</w:t>
      </w:r>
      <w:r w:rsidRPr="001048FE">
        <w:rPr>
          <w:spacing w:val="-11"/>
          <w:lang w:val="sl-SI"/>
        </w:rPr>
        <w:t xml:space="preserve"> </w:t>
      </w:r>
      <w:r w:rsidRPr="001048FE">
        <w:rPr>
          <w:lang w:val="sl-SI"/>
        </w:rPr>
        <w:t>rezultatov</w:t>
      </w:r>
      <w:r w:rsidRPr="001048FE">
        <w:rPr>
          <w:spacing w:val="-11"/>
          <w:lang w:val="sl-SI"/>
        </w:rPr>
        <w:t xml:space="preserve"> </w:t>
      </w:r>
      <w:r w:rsidRPr="001048FE">
        <w:rPr>
          <w:lang w:val="sl-SI"/>
        </w:rPr>
        <w:t>raziskav</w:t>
      </w:r>
      <w:r w:rsidRPr="001048FE">
        <w:rPr>
          <w:spacing w:val="-11"/>
          <w:lang w:val="sl-SI"/>
        </w:rPr>
        <w:t xml:space="preserve"> </w:t>
      </w:r>
      <w:r w:rsidRPr="001048FE">
        <w:rPr>
          <w:lang w:val="sl-SI"/>
        </w:rPr>
        <w:t>in</w:t>
      </w:r>
      <w:r w:rsidRPr="001048FE">
        <w:rPr>
          <w:spacing w:val="-11"/>
          <w:lang w:val="sl-SI"/>
        </w:rPr>
        <w:t xml:space="preserve"> </w:t>
      </w:r>
      <w:r w:rsidRPr="001048FE">
        <w:rPr>
          <w:lang w:val="sl-SI"/>
        </w:rPr>
        <w:t>drugega znanja</w:t>
      </w:r>
      <w:r w:rsidRPr="001048FE">
        <w:rPr>
          <w:spacing w:val="-3"/>
          <w:lang w:val="sl-SI"/>
        </w:rPr>
        <w:t xml:space="preserve"> </w:t>
      </w:r>
      <w:r w:rsidRPr="001048FE">
        <w:rPr>
          <w:lang w:val="sl-SI"/>
        </w:rPr>
        <w:t>itd.;</w:t>
      </w:r>
    </w:p>
    <w:p w14:paraId="7D39AA11" w14:textId="77777777" w:rsidR="00E15C84" w:rsidRPr="001048FE" w:rsidRDefault="00E15C84" w:rsidP="005115F2">
      <w:pPr>
        <w:pStyle w:val="Guide-NormalBulletpoints"/>
        <w:numPr>
          <w:ilvl w:val="0"/>
          <w:numId w:val="455"/>
        </w:numPr>
        <w:rPr>
          <w:lang w:val="sl-SI"/>
        </w:rPr>
      </w:pPr>
      <w:r w:rsidRPr="001048FE">
        <w:rPr>
          <w:lang w:val="sl-SI"/>
        </w:rPr>
        <w:t>delo, ki ga opravijo sodelujoči študenti, bi moralo biti priznano s kreditnimi točkami ECTS (ali enakovrednim sistemom);</w:t>
      </w:r>
    </w:p>
    <w:p w14:paraId="7D39AA12" w14:textId="77777777" w:rsidR="00E15C84" w:rsidRPr="001048FE" w:rsidRDefault="00E15C84" w:rsidP="005115F2">
      <w:pPr>
        <w:pStyle w:val="Guide-NormalBulletpoints"/>
        <w:numPr>
          <w:ilvl w:val="0"/>
          <w:numId w:val="455"/>
        </w:numPr>
        <w:rPr>
          <w:lang w:val="sl-SI"/>
        </w:rPr>
      </w:pPr>
      <w:r w:rsidRPr="001048FE">
        <w:rPr>
          <w:lang w:val="sl-SI"/>
        </w:rPr>
        <w:t>od programov ISP se pričakuje uporaba orodij in storitev IKT za podporo pripravi in nadaljnjemu spremljanju programa ISP, da bodo prispevali k ustvarjanju trajne učne skupnosti na zadevnem tematskem področju;</w:t>
      </w:r>
    </w:p>
    <w:p w14:paraId="7D39AA13" w14:textId="77777777" w:rsidR="00095755" w:rsidRPr="001048FE" w:rsidRDefault="00E15C84" w:rsidP="005115F2">
      <w:pPr>
        <w:pStyle w:val="Guide-NormalBulletpoints"/>
        <w:numPr>
          <w:ilvl w:val="0"/>
          <w:numId w:val="455"/>
        </w:numPr>
        <w:rPr>
          <w:lang w:val="sl-SI"/>
        </w:rPr>
      </w:pPr>
      <w:r w:rsidRPr="001048FE">
        <w:rPr>
          <w:lang w:val="sl-SI"/>
        </w:rPr>
        <w:t xml:space="preserve">razmerje med številom osebja in študentov bi moralo zagotavljati aktivno udeležbo v učilnici; </w:t>
      </w:r>
    </w:p>
    <w:p w14:paraId="7D39AA14" w14:textId="77777777" w:rsidR="00E15C84" w:rsidRPr="001048FE" w:rsidRDefault="00E15C84" w:rsidP="005115F2">
      <w:pPr>
        <w:pStyle w:val="Guide-NormalBulletpoints"/>
        <w:numPr>
          <w:ilvl w:val="0"/>
          <w:numId w:val="455"/>
        </w:numPr>
        <w:rPr>
          <w:lang w:val="sl-SI"/>
        </w:rPr>
      </w:pPr>
      <w:r w:rsidRPr="001048FE">
        <w:rPr>
          <w:lang w:val="sl-SI"/>
        </w:rPr>
        <w:t>udeležba mednarodnih in nacionalnih študentov ter osebja bi morala biti uravnotežena;</w:t>
      </w:r>
    </w:p>
    <w:p w14:paraId="7D39AA15" w14:textId="77777777" w:rsidR="00E15C84" w:rsidRPr="001048FE" w:rsidRDefault="00E15C84" w:rsidP="005115F2">
      <w:pPr>
        <w:pStyle w:val="Guide-NormalBulletpoints"/>
        <w:numPr>
          <w:ilvl w:val="0"/>
          <w:numId w:val="455"/>
        </w:numPr>
        <w:rPr>
          <w:lang w:val="sl-SI"/>
        </w:rPr>
      </w:pPr>
      <w:r w:rsidRPr="001048FE">
        <w:rPr>
          <w:lang w:val="sl-SI"/>
        </w:rPr>
        <w:t>ISP bi moral vključevati izrazit večdisciplinarni pristop, ki spodbuja sodelovanje študentov iz različnih akademskih disciplin;</w:t>
      </w:r>
    </w:p>
    <w:p w14:paraId="7D39AA16" w14:textId="77777777" w:rsidR="00E15C84" w:rsidRPr="001048FE" w:rsidRDefault="00E15C84" w:rsidP="005115F2">
      <w:pPr>
        <w:pStyle w:val="Guide-NormalBulletpoints"/>
        <w:numPr>
          <w:ilvl w:val="0"/>
          <w:numId w:val="455"/>
        </w:numPr>
        <w:rPr>
          <w:lang w:val="sl-SI"/>
        </w:rPr>
      </w:pPr>
      <w:r w:rsidRPr="001048FE">
        <w:rPr>
          <w:lang w:val="sl-SI"/>
        </w:rPr>
        <w:t>poleg</w:t>
      </w:r>
      <w:r w:rsidRPr="001048FE">
        <w:rPr>
          <w:spacing w:val="-12"/>
          <w:lang w:val="sl-SI"/>
        </w:rPr>
        <w:t xml:space="preserve"> </w:t>
      </w:r>
      <w:r w:rsidRPr="001048FE">
        <w:rPr>
          <w:lang w:val="sl-SI"/>
        </w:rPr>
        <w:t>učnih</w:t>
      </w:r>
      <w:r w:rsidRPr="001048FE">
        <w:rPr>
          <w:spacing w:val="-12"/>
          <w:lang w:val="sl-SI"/>
        </w:rPr>
        <w:t xml:space="preserve"> </w:t>
      </w:r>
      <w:r w:rsidRPr="001048FE">
        <w:rPr>
          <w:lang w:val="sl-SI"/>
        </w:rPr>
        <w:t>izidov</w:t>
      </w:r>
      <w:r w:rsidRPr="001048FE">
        <w:rPr>
          <w:spacing w:val="-12"/>
          <w:lang w:val="sl-SI"/>
        </w:rPr>
        <w:t xml:space="preserve"> </w:t>
      </w:r>
      <w:r w:rsidRPr="001048FE">
        <w:rPr>
          <w:lang w:val="sl-SI"/>
        </w:rPr>
        <w:t>v</w:t>
      </w:r>
      <w:r w:rsidRPr="001048FE">
        <w:rPr>
          <w:spacing w:val="-12"/>
          <w:lang w:val="sl-SI"/>
        </w:rPr>
        <w:t xml:space="preserve"> </w:t>
      </w:r>
      <w:r w:rsidRPr="001048FE">
        <w:rPr>
          <w:lang w:val="sl-SI"/>
        </w:rPr>
        <w:t>kompetencah,</w:t>
      </w:r>
      <w:r w:rsidRPr="001048FE">
        <w:rPr>
          <w:spacing w:val="-12"/>
          <w:lang w:val="sl-SI"/>
        </w:rPr>
        <w:t xml:space="preserve"> </w:t>
      </w:r>
      <w:r w:rsidRPr="001048FE">
        <w:rPr>
          <w:lang w:val="sl-SI"/>
        </w:rPr>
        <w:t>povezanih</w:t>
      </w:r>
      <w:r w:rsidRPr="001048FE">
        <w:rPr>
          <w:spacing w:val="-12"/>
          <w:lang w:val="sl-SI"/>
        </w:rPr>
        <w:t xml:space="preserve"> </w:t>
      </w:r>
      <w:r w:rsidRPr="001048FE">
        <w:rPr>
          <w:lang w:val="sl-SI"/>
        </w:rPr>
        <w:t>s</w:t>
      </w:r>
      <w:r w:rsidRPr="001048FE">
        <w:rPr>
          <w:spacing w:val="-12"/>
          <w:lang w:val="sl-SI"/>
        </w:rPr>
        <w:t xml:space="preserve"> </w:t>
      </w:r>
      <w:r w:rsidRPr="001048FE">
        <w:rPr>
          <w:lang w:val="sl-SI"/>
        </w:rPr>
        <w:t>tematskim</w:t>
      </w:r>
      <w:r w:rsidRPr="001048FE">
        <w:rPr>
          <w:spacing w:val="-12"/>
          <w:lang w:val="sl-SI"/>
        </w:rPr>
        <w:t xml:space="preserve"> </w:t>
      </w:r>
      <w:r w:rsidRPr="001048FE">
        <w:rPr>
          <w:lang w:val="sl-SI"/>
        </w:rPr>
        <w:t>področjem,</w:t>
      </w:r>
      <w:r w:rsidRPr="001048FE">
        <w:rPr>
          <w:spacing w:val="-12"/>
          <w:lang w:val="sl-SI"/>
        </w:rPr>
        <w:t xml:space="preserve"> </w:t>
      </w:r>
      <w:r w:rsidRPr="001048FE">
        <w:rPr>
          <w:lang w:val="sl-SI"/>
        </w:rPr>
        <w:t>bi</w:t>
      </w:r>
      <w:r w:rsidRPr="001048FE">
        <w:rPr>
          <w:spacing w:val="-12"/>
          <w:lang w:val="sl-SI"/>
        </w:rPr>
        <w:t xml:space="preserve"> </w:t>
      </w:r>
      <w:r w:rsidRPr="001048FE">
        <w:rPr>
          <w:lang w:val="sl-SI"/>
        </w:rPr>
        <w:t>programi</w:t>
      </w:r>
      <w:r w:rsidRPr="001048FE">
        <w:rPr>
          <w:spacing w:val="-12"/>
          <w:lang w:val="sl-SI"/>
        </w:rPr>
        <w:t xml:space="preserve"> </w:t>
      </w:r>
      <w:r w:rsidRPr="001048FE">
        <w:rPr>
          <w:lang w:val="sl-SI"/>
        </w:rPr>
        <w:t>ISP</w:t>
      </w:r>
      <w:r w:rsidRPr="001048FE">
        <w:rPr>
          <w:spacing w:val="-12"/>
          <w:lang w:val="sl-SI"/>
        </w:rPr>
        <w:t xml:space="preserve"> </w:t>
      </w:r>
      <w:r w:rsidRPr="001048FE">
        <w:rPr>
          <w:lang w:val="sl-SI"/>
        </w:rPr>
        <w:t>morali spodbujati prenos prečnih</w:t>
      </w:r>
      <w:r w:rsidRPr="001048FE">
        <w:rPr>
          <w:spacing w:val="-8"/>
          <w:lang w:val="sl-SI"/>
        </w:rPr>
        <w:t xml:space="preserve"> </w:t>
      </w:r>
      <w:r w:rsidRPr="001048FE">
        <w:rPr>
          <w:lang w:val="sl-SI"/>
        </w:rPr>
        <w:t>kompetenc.</w:t>
      </w:r>
    </w:p>
    <w:p w14:paraId="7D39AA17" w14:textId="77777777" w:rsidR="00E15C84" w:rsidRPr="001048FE" w:rsidRDefault="00E15C84" w:rsidP="00E15C84">
      <w:pPr>
        <w:pStyle w:val="GUIDE-NORMAL"/>
        <w:rPr>
          <w:lang w:val="sl-SI"/>
        </w:rPr>
      </w:pPr>
      <w:r w:rsidRPr="001048FE">
        <w:rPr>
          <w:lang w:val="sl-SI"/>
        </w:rPr>
        <w:t>Izbor</w:t>
      </w:r>
      <w:r w:rsidRPr="001048FE">
        <w:rPr>
          <w:spacing w:val="-25"/>
          <w:lang w:val="sl-SI"/>
        </w:rPr>
        <w:t xml:space="preserve"> </w:t>
      </w:r>
      <w:r w:rsidRPr="001048FE">
        <w:rPr>
          <w:lang w:val="sl-SI"/>
        </w:rPr>
        <w:t>udeležencev</w:t>
      </w:r>
      <w:r w:rsidRPr="001048FE">
        <w:rPr>
          <w:spacing w:val="-25"/>
          <w:lang w:val="sl-SI"/>
        </w:rPr>
        <w:t xml:space="preserve"> </w:t>
      </w:r>
      <w:r w:rsidRPr="001048FE">
        <w:rPr>
          <w:lang w:val="sl-SI"/>
        </w:rPr>
        <w:t>programa</w:t>
      </w:r>
      <w:r w:rsidRPr="001048FE">
        <w:rPr>
          <w:spacing w:val="-25"/>
          <w:lang w:val="sl-SI"/>
        </w:rPr>
        <w:t xml:space="preserve"> </w:t>
      </w:r>
      <w:r w:rsidRPr="001048FE">
        <w:rPr>
          <w:lang w:val="sl-SI"/>
        </w:rPr>
        <w:t>ISP</w:t>
      </w:r>
      <w:r w:rsidRPr="001048FE">
        <w:rPr>
          <w:spacing w:val="-25"/>
          <w:lang w:val="sl-SI"/>
        </w:rPr>
        <w:t xml:space="preserve"> </w:t>
      </w:r>
      <w:r w:rsidRPr="001048FE">
        <w:rPr>
          <w:lang w:val="sl-SI"/>
        </w:rPr>
        <w:t>(izobraževalnega</w:t>
      </w:r>
      <w:r w:rsidRPr="001048FE">
        <w:rPr>
          <w:spacing w:val="-25"/>
          <w:lang w:val="sl-SI"/>
        </w:rPr>
        <w:t xml:space="preserve"> </w:t>
      </w:r>
      <w:r w:rsidRPr="001048FE">
        <w:rPr>
          <w:lang w:val="sl-SI"/>
        </w:rPr>
        <w:t>osebja</w:t>
      </w:r>
      <w:r w:rsidRPr="001048FE">
        <w:rPr>
          <w:spacing w:val="-25"/>
          <w:lang w:val="sl-SI"/>
        </w:rPr>
        <w:t xml:space="preserve"> </w:t>
      </w:r>
      <w:r w:rsidRPr="001048FE">
        <w:rPr>
          <w:lang w:val="sl-SI"/>
        </w:rPr>
        <w:t>in</w:t>
      </w:r>
      <w:r w:rsidRPr="001048FE">
        <w:rPr>
          <w:spacing w:val="-25"/>
          <w:lang w:val="sl-SI"/>
        </w:rPr>
        <w:t xml:space="preserve"> </w:t>
      </w:r>
      <w:r w:rsidRPr="001048FE">
        <w:rPr>
          <w:lang w:val="sl-SI"/>
        </w:rPr>
        <w:t>študentov)</w:t>
      </w:r>
      <w:r w:rsidRPr="001048FE">
        <w:rPr>
          <w:spacing w:val="-25"/>
          <w:lang w:val="sl-SI"/>
        </w:rPr>
        <w:t xml:space="preserve"> </w:t>
      </w:r>
      <w:r w:rsidRPr="001048FE">
        <w:rPr>
          <w:lang w:val="sl-SI"/>
        </w:rPr>
        <w:t>izvede</w:t>
      </w:r>
      <w:r w:rsidRPr="001048FE">
        <w:rPr>
          <w:spacing w:val="-25"/>
          <w:lang w:val="sl-SI"/>
        </w:rPr>
        <w:t xml:space="preserve"> </w:t>
      </w:r>
      <w:r w:rsidRPr="001048FE">
        <w:rPr>
          <w:lang w:val="sl-SI"/>
        </w:rPr>
        <w:t>konzorcij</w:t>
      </w:r>
      <w:r w:rsidRPr="001048FE">
        <w:rPr>
          <w:spacing w:val="-25"/>
          <w:lang w:val="sl-SI"/>
        </w:rPr>
        <w:t xml:space="preserve"> </w:t>
      </w:r>
      <w:r w:rsidRPr="001048FE">
        <w:rPr>
          <w:lang w:val="sl-SI"/>
        </w:rPr>
        <w:t>strateškega partnerstva.</w:t>
      </w:r>
    </w:p>
    <w:p w14:paraId="7D39AA18" w14:textId="77777777" w:rsidR="00E15C84" w:rsidRPr="001048FE" w:rsidRDefault="00E15C84" w:rsidP="00E15C84">
      <w:pPr>
        <w:pStyle w:val="GUIDE-NORMAL"/>
        <w:rPr>
          <w:lang w:val="sl-SI"/>
        </w:rPr>
      </w:pPr>
      <w:r w:rsidRPr="001048FE">
        <w:rPr>
          <w:lang w:val="sl-SI"/>
        </w:rPr>
        <w:t>Na podlagi števila ur poučevanja in usposabljanja je treba zagotoviti, da je večji del bivanja v tujini povezan z izobraževanjem in usposabljanjem, ne pa z raziskovanjem ali kakršno koli drugo aktivnostjo.</w:t>
      </w:r>
    </w:p>
    <w:p w14:paraId="7D39AA19" w14:textId="77777777" w:rsidR="00E15C84" w:rsidRPr="001048FE" w:rsidRDefault="00E15C84" w:rsidP="00E15C84">
      <w:pPr>
        <w:pStyle w:val="Guide-Heading4"/>
        <w:rPr>
          <w:lang w:val="sl-SI"/>
        </w:rPr>
      </w:pPr>
      <w:bookmarkStart w:id="697" w:name="_Toc527401338"/>
      <w:r w:rsidRPr="001048FE">
        <w:rPr>
          <w:lang w:val="sl-SI"/>
        </w:rPr>
        <w:t>Kombinirana mobilnost študentov, praktikantov, učečih se odraslih, učencev in dijakov ter mladih (od 5 dni do 2 mesecev dejanske mobilnosti)</w:t>
      </w:r>
      <w:bookmarkEnd w:id="697"/>
    </w:p>
    <w:p w14:paraId="7D39AA1A" w14:textId="77777777" w:rsidR="00E15C84" w:rsidRPr="001048FE" w:rsidRDefault="00E15C84" w:rsidP="00E15C84">
      <w:pPr>
        <w:pStyle w:val="GUIDE-NORMAL"/>
        <w:rPr>
          <w:lang w:val="sl-SI"/>
        </w:rPr>
      </w:pPr>
      <w:r w:rsidRPr="001048FE">
        <w:rPr>
          <w:lang w:val="sl-SI"/>
        </w:rPr>
        <w:t>Aktivnosti, ki združujejo eno ali več kratkih obdobij dejanske mobilnosti (skupno največ 2 meseca) z virtualno mobilnostjo (tj. uporaba informacijskih in komunikacijskih tehnologij, kot so delovna okolja za sodelovanje, predvajanje spletnih vsebin v živo, videokonference, družbeni mediji itd., za dopolnjevanje ali krepitev trajnosti učnih izidov dejanske mobilnosti).</w:t>
      </w:r>
    </w:p>
    <w:p w14:paraId="7D39AA1B" w14:textId="77777777" w:rsidR="00E15C84" w:rsidRPr="001048FE" w:rsidRDefault="00E15C84" w:rsidP="00E15C84">
      <w:pPr>
        <w:pStyle w:val="GUIDE-NORMAL"/>
        <w:rPr>
          <w:lang w:val="sl-SI"/>
        </w:rPr>
      </w:pPr>
      <w:r w:rsidRPr="001048FE">
        <w:rPr>
          <w:lang w:val="sl-SI"/>
        </w:rPr>
        <w:t>Uporablja se lahko pri pripravi, podpori in nadaljnjem spremljanju dejanske mobilnosti. Organizira se lahko tudi za obravnavanje oseb s posebnimi potrebami ali manj priložnostmi, da pripomore k odpravljanju ovir za dolgotrajno dejansko mobilnost.</w:t>
      </w:r>
    </w:p>
    <w:p w14:paraId="7D39AA1C" w14:textId="77777777" w:rsidR="00E15C84" w:rsidRPr="001048FE" w:rsidRDefault="00E15C84" w:rsidP="00E15C84">
      <w:pPr>
        <w:pStyle w:val="Guide-Heading4"/>
        <w:rPr>
          <w:lang w:val="sl-SI"/>
        </w:rPr>
      </w:pPr>
      <w:bookmarkStart w:id="698" w:name="_Toc527401339"/>
      <w:r w:rsidRPr="001048FE">
        <w:rPr>
          <w:lang w:val="sl-SI"/>
        </w:rPr>
        <w:t>Kratkotrajne izmenjave skupin učencev/dijakov (od 3 dni do 2 mesecev)</w:t>
      </w:r>
      <w:bookmarkEnd w:id="698"/>
    </w:p>
    <w:p w14:paraId="7D39AA1D" w14:textId="77777777" w:rsidR="00E15C84" w:rsidRPr="001048FE" w:rsidRDefault="00E15C84" w:rsidP="00E15C84">
      <w:pPr>
        <w:pStyle w:val="GUIDE-NORMAL"/>
        <w:rPr>
          <w:lang w:val="sl-SI"/>
        </w:rPr>
      </w:pPr>
      <w:r w:rsidRPr="001048FE">
        <w:rPr>
          <w:lang w:val="sl-SI"/>
        </w:rPr>
        <w:t>Kratkotrajne izmenjave skupin učencev/dijakov</w:t>
      </w:r>
      <w:r w:rsidR="0039548F">
        <w:rPr>
          <w:lang w:val="sl-SI"/>
        </w:rPr>
        <w:t xml:space="preserve"> (vključno z učenci PIU)</w:t>
      </w:r>
      <w:r w:rsidRPr="001048FE">
        <w:rPr>
          <w:lang w:val="sl-SI"/>
        </w:rPr>
        <w:t xml:space="preserve"> se lahko organizira med šolami iz različnih držav, ki sodelujejo v istem strateškem partnerstvu. Med temi dogodki dijaki sodelujejo na eni od partnerskih šol in jih lahko gostijo družine vrstnikov. Skupno projektno delo med obiski mora biti povezano s cilji strateškega partnerstva.</w:t>
      </w:r>
    </w:p>
    <w:p w14:paraId="7D39AA1E" w14:textId="77777777" w:rsidR="00E15C84" w:rsidRPr="001048FE" w:rsidRDefault="00E15C84" w:rsidP="00E15C84">
      <w:pPr>
        <w:pStyle w:val="GUIDE-NORMAL"/>
        <w:rPr>
          <w:lang w:val="sl-SI"/>
        </w:rPr>
      </w:pPr>
      <w:r w:rsidRPr="001048FE">
        <w:rPr>
          <w:lang w:val="sl-SI"/>
        </w:rPr>
        <w:t>Upoštevajte,</w:t>
      </w:r>
      <w:r w:rsidRPr="001048FE">
        <w:rPr>
          <w:spacing w:val="-17"/>
          <w:lang w:val="sl-SI"/>
        </w:rPr>
        <w:t xml:space="preserve"> </w:t>
      </w:r>
      <w:r w:rsidRPr="001048FE">
        <w:rPr>
          <w:lang w:val="sl-SI"/>
        </w:rPr>
        <w:t>da</w:t>
      </w:r>
      <w:r w:rsidRPr="001048FE">
        <w:rPr>
          <w:spacing w:val="-17"/>
          <w:lang w:val="sl-SI"/>
        </w:rPr>
        <w:t xml:space="preserve"> </w:t>
      </w:r>
      <w:r w:rsidRPr="001048FE">
        <w:rPr>
          <w:lang w:val="sl-SI"/>
        </w:rPr>
        <w:t>sodelovanje</w:t>
      </w:r>
      <w:r w:rsidRPr="001048FE">
        <w:rPr>
          <w:spacing w:val="-17"/>
          <w:lang w:val="sl-SI"/>
        </w:rPr>
        <w:t xml:space="preserve"> </w:t>
      </w:r>
      <w:r w:rsidRPr="001048FE">
        <w:rPr>
          <w:lang w:val="sl-SI"/>
        </w:rPr>
        <w:t>med</w:t>
      </w:r>
      <w:r w:rsidRPr="001048FE">
        <w:rPr>
          <w:spacing w:val="-17"/>
          <w:lang w:val="sl-SI"/>
        </w:rPr>
        <w:t xml:space="preserve"> </w:t>
      </w:r>
      <w:r w:rsidRPr="001048FE">
        <w:rPr>
          <w:lang w:val="sl-SI"/>
        </w:rPr>
        <w:t>šolami</w:t>
      </w:r>
      <w:r w:rsidRPr="001048FE">
        <w:rPr>
          <w:spacing w:val="-17"/>
          <w:lang w:val="sl-SI"/>
        </w:rPr>
        <w:t xml:space="preserve"> </w:t>
      </w:r>
      <w:r w:rsidRPr="001048FE">
        <w:rPr>
          <w:lang w:val="sl-SI"/>
        </w:rPr>
        <w:t>in</w:t>
      </w:r>
      <w:r w:rsidRPr="001048FE">
        <w:rPr>
          <w:spacing w:val="-17"/>
          <w:lang w:val="sl-SI"/>
        </w:rPr>
        <w:t xml:space="preserve"> </w:t>
      </w:r>
      <w:r w:rsidRPr="001048FE">
        <w:rPr>
          <w:lang w:val="sl-SI"/>
        </w:rPr>
        <w:t>partnerstvi</w:t>
      </w:r>
      <w:r w:rsidRPr="001048FE">
        <w:rPr>
          <w:spacing w:val="-17"/>
          <w:lang w:val="sl-SI"/>
        </w:rPr>
        <w:t xml:space="preserve"> </w:t>
      </w:r>
      <w:r w:rsidRPr="001048FE">
        <w:rPr>
          <w:lang w:val="sl-SI"/>
        </w:rPr>
        <w:t>ne</w:t>
      </w:r>
      <w:r w:rsidRPr="001048FE">
        <w:rPr>
          <w:spacing w:val="-17"/>
          <w:lang w:val="sl-SI"/>
        </w:rPr>
        <w:t xml:space="preserve"> </w:t>
      </w:r>
      <w:r w:rsidRPr="001048FE">
        <w:rPr>
          <w:lang w:val="sl-SI"/>
        </w:rPr>
        <w:t>sme</w:t>
      </w:r>
      <w:r w:rsidRPr="001048FE">
        <w:rPr>
          <w:spacing w:val="-17"/>
          <w:lang w:val="sl-SI"/>
        </w:rPr>
        <w:t xml:space="preserve"> </w:t>
      </w:r>
      <w:r w:rsidRPr="001048FE">
        <w:rPr>
          <w:lang w:val="sl-SI"/>
        </w:rPr>
        <w:t>biti</w:t>
      </w:r>
      <w:r w:rsidRPr="001048FE">
        <w:rPr>
          <w:spacing w:val="-17"/>
          <w:lang w:val="sl-SI"/>
        </w:rPr>
        <w:t xml:space="preserve"> </w:t>
      </w:r>
      <w:r w:rsidRPr="001048FE">
        <w:rPr>
          <w:lang w:val="sl-SI"/>
        </w:rPr>
        <w:t>omejeno</w:t>
      </w:r>
      <w:r w:rsidRPr="001048FE">
        <w:rPr>
          <w:spacing w:val="-16"/>
          <w:lang w:val="sl-SI"/>
        </w:rPr>
        <w:t xml:space="preserve"> </w:t>
      </w:r>
      <w:r w:rsidRPr="001048FE">
        <w:rPr>
          <w:lang w:val="sl-SI"/>
        </w:rPr>
        <w:t>na</w:t>
      </w:r>
      <w:r w:rsidRPr="001048FE">
        <w:rPr>
          <w:spacing w:val="-17"/>
          <w:lang w:val="sl-SI"/>
        </w:rPr>
        <w:t xml:space="preserve"> </w:t>
      </w:r>
      <w:r w:rsidRPr="001048FE">
        <w:rPr>
          <w:lang w:val="sl-SI"/>
        </w:rPr>
        <w:t>take</w:t>
      </w:r>
      <w:r w:rsidRPr="001048FE">
        <w:rPr>
          <w:spacing w:val="-17"/>
          <w:lang w:val="sl-SI"/>
        </w:rPr>
        <w:t xml:space="preserve"> </w:t>
      </w:r>
      <w:r w:rsidRPr="001048FE">
        <w:rPr>
          <w:lang w:val="sl-SI"/>
        </w:rPr>
        <w:t>dogodke,</w:t>
      </w:r>
      <w:r w:rsidRPr="001048FE">
        <w:rPr>
          <w:spacing w:val="-17"/>
          <w:lang w:val="sl-SI"/>
        </w:rPr>
        <w:t xml:space="preserve"> </w:t>
      </w:r>
      <w:r w:rsidRPr="001048FE">
        <w:rPr>
          <w:lang w:val="sl-SI"/>
        </w:rPr>
        <w:t>temveč mora vključevati tudi skupne spletne in lokalne aktivnosti. Šole se spodbujajo k uporabi platforme eTwinning, da lahko sodelujejo pri projektu pred mobilnostjo in po</w:t>
      </w:r>
      <w:r w:rsidRPr="001048FE">
        <w:rPr>
          <w:spacing w:val="-23"/>
          <w:lang w:val="sl-SI"/>
        </w:rPr>
        <w:t xml:space="preserve"> </w:t>
      </w:r>
      <w:r w:rsidRPr="001048FE">
        <w:rPr>
          <w:lang w:val="sl-SI"/>
        </w:rPr>
        <w:t>njej.</w:t>
      </w:r>
    </w:p>
    <w:p w14:paraId="7D39AA1F" w14:textId="77777777" w:rsidR="00E15C84" w:rsidRPr="001048FE" w:rsidRDefault="00E15C84" w:rsidP="00E15C84">
      <w:pPr>
        <w:pStyle w:val="GUIDE-NORMAL"/>
        <w:rPr>
          <w:lang w:val="sl-SI"/>
        </w:rPr>
      </w:pPr>
      <w:r w:rsidRPr="001048FE">
        <w:rPr>
          <w:lang w:val="sl-SI"/>
        </w:rPr>
        <w:t>Učenci/dijaki, ki sodelujejo v kratkotrajnih izmenjavah morajo vedno spremljati odrasli, da se zagotovi njihovo varovanje in varnost kot tudi učinkovito učenje med izkušnjo mobilnosti.</w:t>
      </w:r>
    </w:p>
    <w:p w14:paraId="7D39AA20" w14:textId="77777777" w:rsidR="00E15C84" w:rsidRPr="001048FE" w:rsidRDefault="00E15C84" w:rsidP="00E15C84">
      <w:pPr>
        <w:pStyle w:val="GUIDE-NORMAL"/>
        <w:rPr>
          <w:lang w:val="sl-SI"/>
        </w:rPr>
      </w:pPr>
      <w:r w:rsidRPr="001048FE">
        <w:rPr>
          <w:lang w:val="sl-SI"/>
        </w:rPr>
        <w:t>Skupno projektno delo med obiski bi moralo za učence/dijake in učitelje iz različnih držav zagotoviti priložnost, da skupaj obravnavajo eno ali več tem v skupnem interesu. Dijakom in učiteljem pomagajo pridobiti in izboljšati spretnosti ne samo v zvezi z vsebino ali tematskim področjem, v katerega je usmerjen projekt, temveč tudi v zvezi s timskim delom, medkulturnim učenjem, družbenimi odnosi, načrtovanjem in izvajanjem projektnih aktivnosti ter uporabo informacijskih in komunikacijskih tehnologij (IKT).</w:t>
      </w:r>
    </w:p>
    <w:p w14:paraId="7D39AA21" w14:textId="77777777" w:rsidR="00E15C84" w:rsidRPr="001048FE" w:rsidRDefault="00E15C84" w:rsidP="00E15C84">
      <w:pPr>
        <w:pStyle w:val="GUIDE-NORMAL"/>
        <w:rPr>
          <w:lang w:val="sl-SI"/>
        </w:rPr>
      </w:pPr>
      <w:r w:rsidRPr="001048FE">
        <w:rPr>
          <w:lang w:val="sl-SI"/>
        </w:rPr>
        <w:t>Sodelovanje</w:t>
      </w:r>
      <w:r w:rsidRPr="001048FE">
        <w:rPr>
          <w:spacing w:val="-12"/>
          <w:lang w:val="sl-SI"/>
        </w:rPr>
        <w:t xml:space="preserve"> </w:t>
      </w:r>
      <w:r w:rsidRPr="001048FE">
        <w:rPr>
          <w:lang w:val="sl-SI"/>
        </w:rPr>
        <w:t>v</w:t>
      </w:r>
      <w:r w:rsidRPr="001048FE">
        <w:rPr>
          <w:spacing w:val="-12"/>
          <w:lang w:val="sl-SI"/>
        </w:rPr>
        <w:t xml:space="preserve"> </w:t>
      </w:r>
      <w:r w:rsidRPr="001048FE">
        <w:rPr>
          <w:lang w:val="sl-SI"/>
        </w:rPr>
        <w:t>skupnem</w:t>
      </w:r>
      <w:r w:rsidRPr="001048FE">
        <w:rPr>
          <w:spacing w:val="-12"/>
          <w:lang w:val="sl-SI"/>
        </w:rPr>
        <w:t xml:space="preserve"> </w:t>
      </w:r>
      <w:r w:rsidRPr="001048FE">
        <w:rPr>
          <w:lang w:val="sl-SI"/>
        </w:rPr>
        <w:t>projektnem</w:t>
      </w:r>
      <w:r w:rsidRPr="001048FE">
        <w:rPr>
          <w:spacing w:val="-12"/>
          <w:lang w:val="sl-SI"/>
        </w:rPr>
        <w:t xml:space="preserve"> </w:t>
      </w:r>
      <w:r w:rsidRPr="001048FE">
        <w:rPr>
          <w:lang w:val="sl-SI"/>
        </w:rPr>
        <w:t>delu</w:t>
      </w:r>
      <w:r w:rsidRPr="001048FE">
        <w:rPr>
          <w:spacing w:val="-12"/>
          <w:lang w:val="sl-SI"/>
        </w:rPr>
        <w:t xml:space="preserve"> </w:t>
      </w:r>
      <w:r w:rsidRPr="001048FE">
        <w:rPr>
          <w:lang w:val="sl-SI"/>
        </w:rPr>
        <w:t>s</w:t>
      </w:r>
      <w:r w:rsidRPr="001048FE">
        <w:rPr>
          <w:spacing w:val="-12"/>
          <w:lang w:val="sl-SI"/>
        </w:rPr>
        <w:t xml:space="preserve"> </w:t>
      </w:r>
      <w:r w:rsidRPr="001048FE">
        <w:rPr>
          <w:lang w:val="sl-SI"/>
        </w:rPr>
        <w:t>skupinami</w:t>
      </w:r>
      <w:r w:rsidRPr="001048FE">
        <w:rPr>
          <w:spacing w:val="-12"/>
          <w:lang w:val="sl-SI"/>
        </w:rPr>
        <w:t xml:space="preserve"> </w:t>
      </w:r>
      <w:r w:rsidRPr="001048FE">
        <w:rPr>
          <w:lang w:val="sl-SI"/>
        </w:rPr>
        <w:t>dijakov</w:t>
      </w:r>
      <w:r w:rsidRPr="001048FE">
        <w:rPr>
          <w:spacing w:val="-12"/>
          <w:lang w:val="sl-SI"/>
        </w:rPr>
        <w:t xml:space="preserve"> </w:t>
      </w:r>
      <w:r w:rsidRPr="001048FE">
        <w:rPr>
          <w:lang w:val="sl-SI"/>
        </w:rPr>
        <w:t>s</w:t>
      </w:r>
      <w:r w:rsidRPr="001048FE">
        <w:rPr>
          <w:spacing w:val="-12"/>
          <w:lang w:val="sl-SI"/>
        </w:rPr>
        <w:t xml:space="preserve"> </w:t>
      </w:r>
      <w:r w:rsidRPr="001048FE">
        <w:rPr>
          <w:lang w:val="sl-SI"/>
        </w:rPr>
        <w:t>partnerskih</w:t>
      </w:r>
      <w:r w:rsidRPr="001048FE">
        <w:rPr>
          <w:spacing w:val="-12"/>
          <w:lang w:val="sl-SI"/>
        </w:rPr>
        <w:t xml:space="preserve"> </w:t>
      </w:r>
      <w:r w:rsidRPr="001048FE">
        <w:rPr>
          <w:lang w:val="sl-SI"/>
        </w:rPr>
        <w:t>šol</w:t>
      </w:r>
      <w:r w:rsidRPr="001048FE">
        <w:rPr>
          <w:spacing w:val="-12"/>
          <w:lang w:val="sl-SI"/>
        </w:rPr>
        <w:t xml:space="preserve"> </w:t>
      </w:r>
      <w:r w:rsidRPr="001048FE">
        <w:rPr>
          <w:lang w:val="sl-SI"/>
        </w:rPr>
        <w:t>iz</w:t>
      </w:r>
      <w:r w:rsidRPr="001048FE">
        <w:rPr>
          <w:spacing w:val="-12"/>
          <w:lang w:val="sl-SI"/>
        </w:rPr>
        <w:t xml:space="preserve"> </w:t>
      </w:r>
      <w:r w:rsidRPr="001048FE">
        <w:rPr>
          <w:lang w:val="sl-SI"/>
        </w:rPr>
        <w:t>različnih</w:t>
      </w:r>
      <w:r w:rsidRPr="001048FE">
        <w:rPr>
          <w:spacing w:val="-12"/>
          <w:lang w:val="sl-SI"/>
        </w:rPr>
        <w:t xml:space="preserve"> </w:t>
      </w:r>
      <w:r w:rsidRPr="001048FE">
        <w:rPr>
          <w:lang w:val="sl-SI"/>
        </w:rPr>
        <w:t>držav</w:t>
      </w:r>
      <w:r w:rsidRPr="001048FE">
        <w:rPr>
          <w:spacing w:val="-12"/>
          <w:lang w:val="sl-SI"/>
        </w:rPr>
        <w:t xml:space="preserve"> </w:t>
      </w:r>
      <w:r w:rsidRPr="001048FE">
        <w:rPr>
          <w:lang w:val="sl-SI"/>
        </w:rPr>
        <w:t>za dijake in učitelje tudi zagotovi priložnost, da uporabljajo tuje jezike v praksi, in okrepi njihovo motivacijo za učenje</w:t>
      </w:r>
      <w:r w:rsidRPr="001048FE">
        <w:rPr>
          <w:spacing w:val="-8"/>
          <w:lang w:val="sl-SI"/>
        </w:rPr>
        <w:t xml:space="preserve"> </w:t>
      </w:r>
      <w:r w:rsidRPr="001048FE">
        <w:rPr>
          <w:lang w:val="sl-SI"/>
        </w:rPr>
        <w:t>jezikov.</w:t>
      </w:r>
    </w:p>
    <w:p w14:paraId="7D39AA22" w14:textId="77777777" w:rsidR="00E15C84" w:rsidRPr="001048FE" w:rsidRDefault="00E15C84" w:rsidP="00E15C84">
      <w:pPr>
        <w:pStyle w:val="GUIDE-NORMAL"/>
        <w:rPr>
          <w:lang w:val="sl-SI"/>
        </w:rPr>
      </w:pPr>
      <w:r w:rsidRPr="001048FE">
        <w:rPr>
          <w:lang w:val="sl-SI"/>
        </w:rPr>
        <w:t>Projektne aktivnosti bi v najboljšem primeru morale biti vključene v redne aktivnosti šole in učni načrt sodelujočih učencev/dijakov. Morali bi biti vključeni v vse faze projekta, tudi v načrtovanje, organizacijo in ocenjevanje aktivnosti.</w:t>
      </w:r>
    </w:p>
    <w:p w14:paraId="7D39AA23" w14:textId="77777777" w:rsidR="00E15C84" w:rsidRPr="001048FE" w:rsidRDefault="00E15C84" w:rsidP="00E82C1B">
      <w:pPr>
        <w:pStyle w:val="Guide-Heading4"/>
        <w:rPr>
          <w:lang w:val="sl-SI"/>
        </w:rPr>
      </w:pPr>
      <w:bookmarkStart w:id="699" w:name="_Toc527401340"/>
      <w:r w:rsidRPr="001048FE">
        <w:rPr>
          <w:lang w:val="sl-SI"/>
        </w:rPr>
        <w:t>Dolgotrajna učna mobilnost učencev/dijakov (od 2 do 12 mesecev)</w:t>
      </w:r>
      <w:bookmarkEnd w:id="699"/>
    </w:p>
    <w:p w14:paraId="7D39AA24" w14:textId="77777777" w:rsidR="00E15C84" w:rsidRPr="001048FE" w:rsidRDefault="00E15C84" w:rsidP="0009190F">
      <w:pPr>
        <w:pStyle w:val="GUIDE-NORMAL"/>
        <w:rPr>
          <w:lang w:val="sl-SI"/>
        </w:rPr>
      </w:pPr>
      <w:r w:rsidRPr="001048FE">
        <w:rPr>
          <w:lang w:val="sl-SI"/>
        </w:rPr>
        <w:t>Cilj aktivnosti je okrepiti sodelovanje med šolami, ki so vključene v isto strateško partnerstvo. Aktivnosti mobilnosti bi morale biti povezane s cilji strateškega partnerstva in vključene v zasnovo projekta. Šole se spodbujajo k uporabi platforme eTwinning, da lahko sodelujejo pri projektu pred in med mobilnostjo dijakov ter po njej.</w:t>
      </w:r>
    </w:p>
    <w:p w14:paraId="7D39AA25" w14:textId="77777777" w:rsidR="00E15C84" w:rsidRPr="001048FE" w:rsidRDefault="00E15C84" w:rsidP="0009190F">
      <w:pPr>
        <w:pStyle w:val="GUIDE-NORMAL"/>
        <w:rPr>
          <w:lang w:val="sl-SI"/>
        </w:rPr>
      </w:pPr>
      <w:r w:rsidRPr="001048FE">
        <w:rPr>
          <w:lang w:val="sl-SI"/>
        </w:rPr>
        <w:t>Ti ukrepi bodo predvidoma zagotovili čim večji učinek na sodelujoče šole. Aktivnost pomaga učencem/dijakom tudi razviti njihovo razumevanje raznolikosti evropskih kultur in jezikov ter pridobiti kompetence, ki so potrebne za osebni razvoj.</w:t>
      </w:r>
    </w:p>
    <w:p w14:paraId="7D39AA26" w14:textId="77777777" w:rsidR="00E15C84" w:rsidRPr="001048FE" w:rsidRDefault="00E15C84" w:rsidP="0009190F">
      <w:pPr>
        <w:pStyle w:val="GUIDE-NORMAL"/>
        <w:rPr>
          <w:lang w:val="sl-SI"/>
        </w:rPr>
      </w:pPr>
      <w:r w:rsidRPr="001048FE">
        <w:rPr>
          <w:lang w:val="sl-SI"/>
        </w:rPr>
        <w:t>Šole, ki so vključene v partnerstvo, morajo sodelovati pri razvoju učnih sporazumov, priznavanju predmetov, ki so bili opravljeni na partnerski šoli v tujini, in krepitvi evropske razsežnosti v šolskem izobraževanju.</w:t>
      </w:r>
      <w:r w:rsidRPr="001048FE">
        <w:rPr>
          <w:spacing w:val="-19"/>
          <w:lang w:val="sl-SI"/>
        </w:rPr>
        <w:t xml:space="preserve"> </w:t>
      </w:r>
      <w:r w:rsidRPr="001048FE">
        <w:rPr>
          <w:lang w:val="sl-SI"/>
        </w:rPr>
        <w:t>Ta</w:t>
      </w:r>
      <w:r w:rsidRPr="001048FE">
        <w:rPr>
          <w:spacing w:val="-19"/>
          <w:lang w:val="sl-SI"/>
        </w:rPr>
        <w:t xml:space="preserve"> </w:t>
      </w:r>
      <w:r w:rsidRPr="001048FE">
        <w:rPr>
          <w:lang w:val="sl-SI"/>
        </w:rPr>
        <w:t>aktivnost</w:t>
      </w:r>
      <w:r w:rsidRPr="001048FE">
        <w:rPr>
          <w:spacing w:val="-19"/>
          <w:lang w:val="sl-SI"/>
        </w:rPr>
        <w:t xml:space="preserve"> </w:t>
      </w:r>
      <w:r w:rsidRPr="001048FE">
        <w:rPr>
          <w:lang w:val="sl-SI"/>
        </w:rPr>
        <w:t>bi</w:t>
      </w:r>
      <w:r w:rsidRPr="001048FE">
        <w:rPr>
          <w:spacing w:val="-19"/>
          <w:lang w:val="sl-SI"/>
        </w:rPr>
        <w:t xml:space="preserve"> </w:t>
      </w:r>
      <w:r w:rsidRPr="001048FE">
        <w:rPr>
          <w:lang w:val="sl-SI"/>
        </w:rPr>
        <w:t>morala</w:t>
      </w:r>
      <w:r w:rsidRPr="001048FE">
        <w:rPr>
          <w:spacing w:val="-19"/>
          <w:lang w:val="sl-SI"/>
        </w:rPr>
        <w:t xml:space="preserve"> </w:t>
      </w:r>
      <w:r w:rsidRPr="001048FE">
        <w:rPr>
          <w:lang w:val="sl-SI"/>
        </w:rPr>
        <w:t>zagotoviti</w:t>
      </w:r>
      <w:r w:rsidRPr="001048FE">
        <w:rPr>
          <w:spacing w:val="-19"/>
          <w:lang w:val="sl-SI"/>
        </w:rPr>
        <w:t xml:space="preserve"> </w:t>
      </w:r>
      <w:r w:rsidRPr="001048FE">
        <w:rPr>
          <w:lang w:val="sl-SI"/>
        </w:rPr>
        <w:t>tudi</w:t>
      </w:r>
      <w:r w:rsidRPr="001048FE">
        <w:rPr>
          <w:spacing w:val="-19"/>
          <w:lang w:val="sl-SI"/>
        </w:rPr>
        <w:t xml:space="preserve"> </w:t>
      </w:r>
      <w:r w:rsidRPr="001048FE">
        <w:rPr>
          <w:lang w:val="sl-SI"/>
        </w:rPr>
        <w:t>dragocene</w:t>
      </w:r>
      <w:r w:rsidRPr="001048FE">
        <w:rPr>
          <w:spacing w:val="-19"/>
          <w:lang w:val="sl-SI"/>
        </w:rPr>
        <w:t xml:space="preserve"> </w:t>
      </w:r>
      <w:r w:rsidRPr="001048FE">
        <w:rPr>
          <w:lang w:val="sl-SI"/>
        </w:rPr>
        <w:t>mednarodne</w:t>
      </w:r>
      <w:r w:rsidRPr="001048FE">
        <w:rPr>
          <w:spacing w:val="-19"/>
          <w:lang w:val="sl-SI"/>
        </w:rPr>
        <w:t xml:space="preserve"> </w:t>
      </w:r>
      <w:r w:rsidRPr="001048FE">
        <w:rPr>
          <w:lang w:val="sl-SI"/>
        </w:rPr>
        <w:t>pedagoške</w:t>
      </w:r>
      <w:r w:rsidRPr="001048FE">
        <w:rPr>
          <w:spacing w:val="-19"/>
          <w:lang w:val="sl-SI"/>
        </w:rPr>
        <w:t xml:space="preserve"> </w:t>
      </w:r>
      <w:r w:rsidRPr="001048FE">
        <w:rPr>
          <w:lang w:val="sl-SI"/>
        </w:rPr>
        <w:t>izkušnje</w:t>
      </w:r>
      <w:r w:rsidRPr="001048FE">
        <w:rPr>
          <w:spacing w:val="-19"/>
          <w:lang w:val="sl-SI"/>
        </w:rPr>
        <w:t xml:space="preserve"> </w:t>
      </w:r>
      <w:r w:rsidRPr="001048FE">
        <w:rPr>
          <w:lang w:val="sl-SI"/>
        </w:rPr>
        <w:t>za učitelje, ki so vključeni v organizacijo in izvajanje</w:t>
      </w:r>
      <w:r w:rsidRPr="001048FE">
        <w:rPr>
          <w:spacing w:val="-16"/>
          <w:lang w:val="sl-SI"/>
        </w:rPr>
        <w:t xml:space="preserve"> </w:t>
      </w:r>
      <w:r w:rsidRPr="001048FE">
        <w:rPr>
          <w:lang w:val="sl-SI"/>
        </w:rPr>
        <w:t>mobilnosti.</w:t>
      </w:r>
    </w:p>
    <w:p w14:paraId="7D39AA27" w14:textId="77777777" w:rsidR="00E15C84" w:rsidRPr="001048FE" w:rsidRDefault="00E15C84" w:rsidP="0009190F">
      <w:pPr>
        <w:pStyle w:val="GUIDE-NORMAL"/>
        <w:rPr>
          <w:lang w:val="sl-SI"/>
        </w:rPr>
      </w:pPr>
      <w:r w:rsidRPr="001048FE">
        <w:rPr>
          <w:lang w:val="sl-SI"/>
        </w:rPr>
        <w:t>Udeležence izberejo šole. To so učenci ali dijaki, ki so stari vsaj 14 let in redno vpisani v šolo, ki sodeluje</w:t>
      </w:r>
      <w:r w:rsidRPr="001048FE">
        <w:rPr>
          <w:spacing w:val="-9"/>
          <w:lang w:val="sl-SI"/>
        </w:rPr>
        <w:t xml:space="preserve"> </w:t>
      </w:r>
      <w:r w:rsidRPr="001048FE">
        <w:rPr>
          <w:lang w:val="sl-SI"/>
        </w:rPr>
        <w:t>v</w:t>
      </w:r>
      <w:r w:rsidRPr="001048FE">
        <w:rPr>
          <w:spacing w:val="-9"/>
          <w:lang w:val="sl-SI"/>
        </w:rPr>
        <w:t xml:space="preserve"> </w:t>
      </w:r>
      <w:r w:rsidRPr="001048FE">
        <w:rPr>
          <w:lang w:val="sl-SI"/>
        </w:rPr>
        <w:t>strateškem</w:t>
      </w:r>
      <w:r w:rsidRPr="001048FE">
        <w:rPr>
          <w:spacing w:val="-9"/>
          <w:lang w:val="sl-SI"/>
        </w:rPr>
        <w:t xml:space="preserve"> </w:t>
      </w:r>
      <w:r w:rsidRPr="001048FE">
        <w:rPr>
          <w:lang w:val="sl-SI"/>
        </w:rPr>
        <w:t>partnerstvu.</w:t>
      </w:r>
      <w:r w:rsidRPr="001048FE">
        <w:rPr>
          <w:spacing w:val="-9"/>
          <w:lang w:val="sl-SI"/>
        </w:rPr>
        <w:t xml:space="preserve"> </w:t>
      </w:r>
      <w:r w:rsidRPr="001048FE">
        <w:rPr>
          <w:lang w:val="sl-SI"/>
        </w:rPr>
        <w:t>Izbrani</w:t>
      </w:r>
      <w:r w:rsidRPr="001048FE">
        <w:rPr>
          <w:spacing w:val="-9"/>
          <w:lang w:val="sl-SI"/>
        </w:rPr>
        <w:t xml:space="preserve"> </w:t>
      </w:r>
      <w:r w:rsidRPr="001048FE">
        <w:rPr>
          <w:lang w:val="sl-SI"/>
        </w:rPr>
        <w:t>učenci/dijaki</w:t>
      </w:r>
      <w:r w:rsidRPr="001048FE">
        <w:rPr>
          <w:spacing w:val="-9"/>
          <w:lang w:val="sl-SI"/>
        </w:rPr>
        <w:t xml:space="preserve"> </w:t>
      </w:r>
      <w:r w:rsidRPr="001048FE">
        <w:rPr>
          <w:lang w:val="sl-SI"/>
        </w:rPr>
        <w:t>lahko</w:t>
      </w:r>
      <w:r w:rsidRPr="001048FE">
        <w:rPr>
          <w:spacing w:val="-9"/>
          <w:lang w:val="sl-SI"/>
        </w:rPr>
        <w:t xml:space="preserve"> </w:t>
      </w:r>
      <w:r w:rsidRPr="001048FE">
        <w:rPr>
          <w:lang w:val="sl-SI"/>
        </w:rPr>
        <w:t>preživijo</w:t>
      </w:r>
      <w:r w:rsidRPr="001048FE">
        <w:rPr>
          <w:spacing w:val="-9"/>
          <w:lang w:val="sl-SI"/>
        </w:rPr>
        <w:t xml:space="preserve"> </w:t>
      </w:r>
      <w:r w:rsidRPr="001048FE">
        <w:rPr>
          <w:lang w:val="sl-SI"/>
        </w:rPr>
        <w:t>od</w:t>
      </w:r>
      <w:r w:rsidRPr="001048FE">
        <w:rPr>
          <w:spacing w:val="-9"/>
          <w:lang w:val="sl-SI"/>
        </w:rPr>
        <w:t xml:space="preserve"> </w:t>
      </w:r>
      <w:r w:rsidRPr="001048FE">
        <w:rPr>
          <w:lang w:val="sl-SI"/>
        </w:rPr>
        <w:t>2</w:t>
      </w:r>
      <w:r w:rsidRPr="001048FE">
        <w:rPr>
          <w:spacing w:val="-9"/>
          <w:lang w:val="sl-SI"/>
        </w:rPr>
        <w:t xml:space="preserve"> </w:t>
      </w:r>
      <w:r w:rsidRPr="001048FE">
        <w:rPr>
          <w:lang w:val="sl-SI"/>
        </w:rPr>
        <w:t>do</w:t>
      </w:r>
      <w:r w:rsidRPr="001048FE">
        <w:rPr>
          <w:spacing w:val="-9"/>
          <w:lang w:val="sl-SI"/>
        </w:rPr>
        <w:t xml:space="preserve"> </w:t>
      </w:r>
      <w:r w:rsidRPr="001048FE">
        <w:rPr>
          <w:lang w:val="sl-SI"/>
        </w:rPr>
        <w:t>12</w:t>
      </w:r>
      <w:r w:rsidRPr="001048FE">
        <w:rPr>
          <w:spacing w:val="-9"/>
          <w:lang w:val="sl-SI"/>
        </w:rPr>
        <w:t xml:space="preserve"> </w:t>
      </w:r>
      <w:r w:rsidRPr="001048FE">
        <w:rPr>
          <w:lang w:val="sl-SI"/>
        </w:rPr>
        <w:t>mesecev</w:t>
      </w:r>
      <w:r w:rsidRPr="001048FE">
        <w:rPr>
          <w:spacing w:val="-9"/>
          <w:lang w:val="sl-SI"/>
        </w:rPr>
        <w:t xml:space="preserve"> </w:t>
      </w:r>
      <w:r w:rsidRPr="001048FE">
        <w:rPr>
          <w:lang w:val="sl-SI"/>
        </w:rPr>
        <w:t>v</w:t>
      </w:r>
      <w:r w:rsidRPr="001048FE">
        <w:rPr>
          <w:spacing w:val="-9"/>
          <w:lang w:val="sl-SI"/>
        </w:rPr>
        <w:t xml:space="preserve"> </w:t>
      </w:r>
      <w:r w:rsidRPr="001048FE">
        <w:rPr>
          <w:lang w:val="sl-SI"/>
        </w:rPr>
        <w:t>šoli gostiteljici in gostiteljski družini v</w:t>
      </w:r>
      <w:r w:rsidRPr="001048FE">
        <w:rPr>
          <w:spacing w:val="-3"/>
          <w:lang w:val="sl-SI"/>
        </w:rPr>
        <w:t xml:space="preserve"> </w:t>
      </w:r>
      <w:r w:rsidRPr="001048FE">
        <w:rPr>
          <w:lang w:val="sl-SI"/>
        </w:rPr>
        <w:t>tujini.</w:t>
      </w:r>
    </w:p>
    <w:p w14:paraId="7D39AA28" w14:textId="77777777" w:rsidR="00E15C84" w:rsidRPr="001048FE" w:rsidRDefault="00E15C84" w:rsidP="0009190F">
      <w:pPr>
        <w:pStyle w:val="GUIDE-NORMAL"/>
        <w:rPr>
          <w:lang w:val="sl-SI"/>
        </w:rPr>
      </w:pPr>
      <w:r w:rsidRPr="001048FE">
        <w:rPr>
          <w:lang w:val="sl-SI"/>
        </w:rPr>
        <w:t>Spodbuja se vzajemna izmenjava med šolami/gostiteljskimi družinami, vendar ni obvezna.</w:t>
      </w:r>
    </w:p>
    <w:p w14:paraId="7D39AA29" w14:textId="77777777" w:rsidR="00E15C84" w:rsidRPr="001048FE" w:rsidRDefault="00E15C84" w:rsidP="0009190F">
      <w:pPr>
        <w:pStyle w:val="GUIDE-NORMAL"/>
        <w:rPr>
          <w:lang w:val="sl-SI"/>
        </w:rPr>
      </w:pPr>
      <w:r w:rsidRPr="001048FE">
        <w:rPr>
          <w:lang w:val="sl-SI"/>
        </w:rPr>
        <w:t>Vsi akterji, ki so vključeni v študijsko mobilnost – šole, učenci/dijaki ter njihovi starši in gostiteljske družine –, bi morali prebrati posebni vodnik za učno mobilnost, ki nudi pomoč pri izvajanju aktivnosti in zagotavljanju varnosti in dobrega počutja udeležencev učne mobilnosti.</w:t>
      </w:r>
    </w:p>
    <w:p w14:paraId="7D39AA2A" w14:textId="77777777" w:rsidR="00E15C84" w:rsidRPr="001048FE" w:rsidRDefault="00E15C84" w:rsidP="0009190F">
      <w:pPr>
        <w:pStyle w:val="GUIDE-NORMAL"/>
        <w:rPr>
          <w:lang w:val="sl-SI"/>
        </w:rPr>
      </w:pPr>
      <w:r w:rsidRPr="001048FE">
        <w:rPr>
          <w:lang w:val="sl-SI"/>
        </w:rPr>
        <w:t>V</w:t>
      </w:r>
      <w:r w:rsidRPr="001048FE">
        <w:rPr>
          <w:spacing w:val="-18"/>
          <w:lang w:val="sl-SI"/>
        </w:rPr>
        <w:t xml:space="preserve"> </w:t>
      </w:r>
      <w:r w:rsidRPr="001048FE">
        <w:rPr>
          <w:lang w:val="sl-SI"/>
        </w:rPr>
        <w:t>vodnik</w:t>
      </w:r>
      <w:r w:rsidRPr="001048FE">
        <w:rPr>
          <w:spacing w:val="-18"/>
          <w:lang w:val="sl-SI"/>
        </w:rPr>
        <w:t xml:space="preserve"> </w:t>
      </w:r>
      <w:r w:rsidRPr="001048FE">
        <w:rPr>
          <w:lang w:val="sl-SI"/>
        </w:rPr>
        <w:t>so</w:t>
      </w:r>
      <w:r w:rsidRPr="001048FE">
        <w:rPr>
          <w:spacing w:val="-18"/>
          <w:lang w:val="sl-SI"/>
        </w:rPr>
        <w:t xml:space="preserve"> </w:t>
      </w:r>
      <w:r w:rsidRPr="001048FE">
        <w:rPr>
          <w:lang w:val="sl-SI"/>
        </w:rPr>
        <w:t>zajete</w:t>
      </w:r>
      <w:r w:rsidRPr="001048FE">
        <w:rPr>
          <w:spacing w:val="-18"/>
          <w:lang w:val="sl-SI"/>
        </w:rPr>
        <w:t xml:space="preserve"> </w:t>
      </w:r>
      <w:r w:rsidRPr="001048FE">
        <w:rPr>
          <w:lang w:val="sl-SI"/>
        </w:rPr>
        <w:t>vloge</w:t>
      </w:r>
      <w:r w:rsidRPr="001048FE">
        <w:rPr>
          <w:spacing w:val="-18"/>
          <w:lang w:val="sl-SI"/>
        </w:rPr>
        <w:t xml:space="preserve"> </w:t>
      </w:r>
      <w:r w:rsidRPr="001048FE">
        <w:rPr>
          <w:lang w:val="sl-SI"/>
        </w:rPr>
        <w:t>in</w:t>
      </w:r>
      <w:r w:rsidRPr="001048FE">
        <w:rPr>
          <w:spacing w:val="-18"/>
          <w:lang w:val="sl-SI"/>
        </w:rPr>
        <w:t xml:space="preserve"> </w:t>
      </w:r>
      <w:r w:rsidRPr="001048FE">
        <w:rPr>
          <w:lang w:val="sl-SI"/>
        </w:rPr>
        <w:t>odgovornosti,</w:t>
      </w:r>
      <w:r w:rsidRPr="001048FE">
        <w:rPr>
          <w:spacing w:val="-17"/>
          <w:lang w:val="sl-SI"/>
        </w:rPr>
        <w:t xml:space="preserve"> </w:t>
      </w:r>
      <w:r w:rsidRPr="001048FE">
        <w:rPr>
          <w:lang w:val="sl-SI"/>
        </w:rPr>
        <w:t>smernice</w:t>
      </w:r>
      <w:r w:rsidRPr="001048FE">
        <w:rPr>
          <w:spacing w:val="-18"/>
          <w:lang w:val="sl-SI"/>
        </w:rPr>
        <w:t xml:space="preserve"> </w:t>
      </w:r>
      <w:r w:rsidRPr="001048FE">
        <w:rPr>
          <w:lang w:val="sl-SI"/>
        </w:rPr>
        <w:t>ter</w:t>
      </w:r>
      <w:r w:rsidRPr="001048FE">
        <w:rPr>
          <w:spacing w:val="-18"/>
          <w:lang w:val="sl-SI"/>
        </w:rPr>
        <w:t xml:space="preserve"> </w:t>
      </w:r>
      <w:r w:rsidRPr="001048FE">
        <w:rPr>
          <w:lang w:val="sl-SI"/>
        </w:rPr>
        <w:t>zahtevane</w:t>
      </w:r>
      <w:r w:rsidRPr="001048FE">
        <w:rPr>
          <w:spacing w:val="-18"/>
          <w:lang w:val="sl-SI"/>
        </w:rPr>
        <w:t xml:space="preserve"> </w:t>
      </w:r>
      <w:r w:rsidRPr="001048FE">
        <w:rPr>
          <w:lang w:val="sl-SI"/>
        </w:rPr>
        <w:t>predloge</w:t>
      </w:r>
      <w:r w:rsidRPr="001048FE">
        <w:rPr>
          <w:spacing w:val="-18"/>
          <w:lang w:val="sl-SI"/>
        </w:rPr>
        <w:t xml:space="preserve"> </w:t>
      </w:r>
      <w:r w:rsidRPr="001048FE">
        <w:rPr>
          <w:lang w:val="sl-SI"/>
        </w:rPr>
        <w:t>in</w:t>
      </w:r>
      <w:r w:rsidRPr="001048FE">
        <w:rPr>
          <w:spacing w:val="-18"/>
          <w:lang w:val="sl-SI"/>
        </w:rPr>
        <w:t xml:space="preserve"> </w:t>
      </w:r>
      <w:r w:rsidRPr="001048FE">
        <w:rPr>
          <w:lang w:val="sl-SI"/>
        </w:rPr>
        <w:t>obrazci</w:t>
      </w:r>
      <w:r w:rsidRPr="001048FE">
        <w:rPr>
          <w:spacing w:val="-17"/>
          <w:lang w:val="sl-SI"/>
        </w:rPr>
        <w:t xml:space="preserve"> </w:t>
      </w:r>
      <w:r w:rsidRPr="001048FE">
        <w:rPr>
          <w:lang w:val="sl-SI"/>
        </w:rPr>
        <w:t>za</w:t>
      </w:r>
      <w:r w:rsidRPr="001048FE">
        <w:rPr>
          <w:spacing w:val="-18"/>
          <w:lang w:val="sl-SI"/>
        </w:rPr>
        <w:t xml:space="preserve"> </w:t>
      </w:r>
      <w:r w:rsidRPr="001048FE">
        <w:rPr>
          <w:lang w:val="sl-SI"/>
        </w:rPr>
        <w:t>udeležence. Vodnik je na voljo v angleškem jeziku na spletišču Europa in v prevodu na spletišču ustrezne nacionalne</w:t>
      </w:r>
      <w:r w:rsidRPr="001048FE">
        <w:rPr>
          <w:spacing w:val="-3"/>
          <w:lang w:val="sl-SI"/>
        </w:rPr>
        <w:t xml:space="preserve"> </w:t>
      </w:r>
      <w:r w:rsidRPr="001048FE">
        <w:rPr>
          <w:lang w:val="sl-SI"/>
        </w:rPr>
        <w:t>agencije.</w:t>
      </w:r>
    </w:p>
    <w:p w14:paraId="7D39AA2B" w14:textId="77777777" w:rsidR="00E15C84" w:rsidRPr="001048FE" w:rsidRDefault="00E15C84" w:rsidP="0009190F">
      <w:pPr>
        <w:pStyle w:val="Guide-Heading4"/>
        <w:rPr>
          <w:lang w:val="sl-SI"/>
        </w:rPr>
      </w:pPr>
      <w:bookmarkStart w:id="700" w:name="_Toc527401341"/>
      <w:r w:rsidRPr="001048FE">
        <w:rPr>
          <w:lang w:val="sl-SI"/>
        </w:rPr>
        <w:t>Spletna jezikovna podpora</w:t>
      </w:r>
      <w:bookmarkEnd w:id="700"/>
    </w:p>
    <w:p w14:paraId="7D39AA2C" w14:textId="77777777" w:rsidR="00E15C84" w:rsidRPr="001048FE" w:rsidRDefault="00E15C84" w:rsidP="0009190F">
      <w:pPr>
        <w:pStyle w:val="GUIDE-NORMAL"/>
        <w:rPr>
          <w:lang w:val="sl-SI"/>
        </w:rPr>
      </w:pPr>
      <w:r w:rsidRPr="001048FE">
        <w:rPr>
          <w:lang w:val="sl-SI"/>
        </w:rPr>
        <w:t>Udeleženci aktivnosti dolgotrajne mobilnosti (od 2 do 12 mesecev) v strateškem partnerstvu lahko izkoristijo</w:t>
      </w:r>
      <w:r w:rsidRPr="001048FE">
        <w:rPr>
          <w:spacing w:val="-14"/>
          <w:lang w:val="sl-SI"/>
        </w:rPr>
        <w:t xml:space="preserve"> </w:t>
      </w:r>
      <w:r w:rsidRPr="001048FE">
        <w:rPr>
          <w:lang w:val="sl-SI"/>
        </w:rPr>
        <w:t>jezikovno</w:t>
      </w:r>
      <w:r w:rsidRPr="001048FE">
        <w:rPr>
          <w:spacing w:val="-14"/>
          <w:lang w:val="sl-SI"/>
        </w:rPr>
        <w:t xml:space="preserve"> </w:t>
      </w:r>
      <w:r w:rsidRPr="001048FE">
        <w:rPr>
          <w:lang w:val="sl-SI"/>
        </w:rPr>
        <w:t>pripravo.</w:t>
      </w:r>
      <w:r w:rsidRPr="001048FE">
        <w:rPr>
          <w:spacing w:val="-14"/>
          <w:lang w:val="sl-SI"/>
        </w:rPr>
        <w:t xml:space="preserve"> </w:t>
      </w:r>
      <w:r w:rsidRPr="001048FE">
        <w:rPr>
          <w:lang w:val="sl-SI"/>
        </w:rPr>
        <w:t>V</w:t>
      </w:r>
      <w:r w:rsidRPr="001048FE">
        <w:rPr>
          <w:spacing w:val="-14"/>
          <w:lang w:val="sl-SI"/>
        </w:rPr>
        <w:t xml:space="preserve"> </w:t>
      </w:r>
      <w:r w:rsidRPr="001048FE">
        <w:rPr>
          <w:lang w:val="sl-SI"/>
        </w:rPr>
        <w:t>zvezi</w:t>
      </w:r>
      <w:r w:rsidRPr="001048FE">
        <w:rPr>
          <w:spacing w:val="-14"/>
          <w:lang w:val="sl-SI"/>
        </w:rPr>
        <w:t xml:space="preserve"> </w:t>
      </w:r>
      <w:r w:rsidRPr="001048FE">
        <w:rPr>
          <w:lang w:val="sl-SI"/>
        </w:rPr>
        <w:t>s</w:t>
      </w:r>
      <w:r w:rsidRPr="001048FE">
        <w:rPr>
          <w:spacing w:val="-14"/>
          <w:lang w:val="sl-SI"/>
        </w:rPr>
        <w:t xml:space="preserve"> </w:t>
      </w:r>
      <w:r w:rsidRPr="001048FE">
        <w:rPr>
          <w:lang w:val="sl-SI"/>
        </w:rPr>
        <w:t>tem</w:t>
      </w:r>
      <w:r w:rsidRPr="001048FE">
        <w:rPr>
          <w:spacing w:val="-14"/>
          <w:lang w:val="sl-SI"/>
        </w:rPr>
        <w:t xml:space="preserve"> </w:t>
      </w:r>
      <w:r w:rsidRPr="001048FE">
        <w:rPr>
          <w:lang w:val="sl-SI"/>
        </w:rPr>
        <w:t>se</w:t>
      </w:r>
      <w:r w:rsidRPr="001048FE">
        <w:rPr>
          <w:spacing w:val="-14"/>
          <w:lang w:val="sl-SI"/>
        </w:rPr>
        <w:t xml:space="preserve"> </w:t>
      </w:r>
      <w:r w:rsidRPr="001048FE">
        <w:rPr>
          <w:lang w:val="sl-SI"/>
        </w:rPr>
        <w:t>bo</w:t>
      </w:r>
      <w:r w:rsidRPr="001048FE">
        <w:rPr>
          <w:spacing w:val="-14"/>
          <w:lang w:val="sl-SI"/>
        </w:rPr>
        <w:t xml:space="preserve"> </w:t>
      </w:r>
      <w:r w:rsidRPr="001048FE">
        <w:rPr>
          <w:lang w:val="sl-SI"/>
        </w:rPr>
        <w:t>v</w:t>
      </w:r>
      <w:r w:rsidRPr="001048FE">
        <w:rPr>
          <w:spacing w:val="-14"/>
          <w:lang w:val="sl-SI"/>
        </w:rPr>
        <w:t xml:space="preserve"> </w:t>
      </w:r>
      <w:r w:rsidRPr="001048FE">
        <w:rPr>
          <w:lang w:val="sl-SI"/>
        </w:rPr>
        <w:t>okviru</w:t>
      </w:r>
      <w:r w:rsidRPr="001048FE">
        <w:rPr>
          <w:spacing w:val="-14"/>
          <w:lang w:val="sl-SI"/>
        </w:rPr>
        <w:t xml:space="preserve"> </w:t>
      </w:r>
      <w:r w:rsidRPr="001048FE">
        <w:rPr>
          <w:lang w:val="sl-SI"/>
        </w:rPr>
        <w:t>Programa</w:t>
      </w:r>
      <w:r w:rsidRPr="001048FE">
        <w:rPr>
          <w:spacing w:val="-14"/>
          <w:lang w:val="sl-SI"/>
        </w:rPr>
        <w:t xml:space="preserve"> </w:t>
      </w:r>
      <w:r w:rsidRPr="001048FE">
        <w:rPr>
          <w:lang w:val="sl-SI"/>
        </w:rPr>
        <w:t>sčasoma</w:t>
      </w:r>
      <w:r w:rsidRPr="001048FE">
        <w:rPr>
          <w:spacing w:val="-14"/>
          <w:lang w:val="sl-SI"/>
        </w:rPr>
        <w:t xml:space="preserve"> </w:t>
      </w:r>
      <w:r w:rsidRPr="001048FE">
        <w:rPr>
          <w:lang w:val="sl-SI"/>
        </w:rPr>
        <w:t>začela</w:t>
      </w:r>
      <w:r w:rsidRPr="001048FE">
        <w:rPr>
          <w:spacing w:val="-14"/>
          <w:lang w:val="sl-SI"/>
        </w:rPr>
        <w:t xml:space="preserve"> </w:t>
      </w:r>
      <w:r w:rsidRPr="001048FE">
        <w:rPr>
          <w:lang w:val="sl-SI"/>
        </w:rPr>
        <w:t>izvajati</w:t>
      </w:r>
      <w:r w:rsidRPr="001048FE">
        <w:rPr>
          <w:spacing w:val="-14"/>
          <w:lang w:val="sl-SI"/>
        </w:rPr>
        <w:t xml:space="preserve"> </w:t>
      </w:r>
      <w:r w:rsidRPr="001048FE">
        <w:rPr>
          <w:lang w:val="sl-SI"/>
        </w:rPr>
        <w:t>spletna jezikovna podpora. Evropska komisija dostop do take spletne podpore omogoči za izbrane učence/dijake,</w:t>
      </w:r>
      <w:r w:rsidRPr="001048FE">
        <w:rPr>
          <w:spacing w:val="-5"/>
          <w:lang w:val="sl-SI"/>
        </w:rPr>
        <w:t xml:space="preserve"> </w:t>
      </w:r>
      <w:r w:rsidRPr="001048FE">
        <w:rPr>
          <w:lang w:val="sl-SI"/>
        </w:rPr>
        <w:t>da</w:t>
      </w:r>
      <w:r w:rsidRPr="001048FE">
        <w:rPr>
          <w:spacing w:val="-5"/>
          <w:lang w:val="sl-SI"/>
        </w:rPr>
        <w:t xml:space="preserve"> </w:t>
      </w:r>
      <w:r w:rsidRPr="001048FE">
        <w:rPr>
          <w:lang w:val="sl-SI"/>
        </w:rPr>
        <w:t>bi</w:t>
      </w:r>
      <w:r w:rsidRPr="001048FE">
        <w:rPr>
          <w:spacing w:val="-5"/>
          <w:lang w:val="sl-SI"/>
        </w:rPr>
        <w:t xml:space="preserve"> </w:t>
      </w:r>
      <w:r w:rsidRPr="001048FE">
        <w:rPr>
          <w:lang w:val="sl-SI"/>
        </w:rPr>
        <w:t>ocenila</w:t>
      </w:r>
      <w:r w:rsidRPr="001048FE">
        <w:rPr>
          <w:spacing w:val="-4"/>
          <w:lang w:val="sl-SI"/>
        </w:rPr>
        <w:t xml:space="preserve"> </w:t>
      </w:r>
      <w:r w:rsidRPr="001048FE">
        <w:rPr>
          <w:lang w:val="sl-SI"/>
        </w:rPr>
        <w:t>njihovo</w:t>
      </w:r>
      <w:r w:rsidRPr="001048FE">
        <w:rPr>
          <w:spacing w:val="-5"/>
          <w:lang w:val="sl-SI"/>
        </w:rPr>
        <w:t xml:space="preserve"> </w:t>
      </w:r>
      <w:r w:rsidRPr="001048FE">
        <w:rPr>
          <w:lang w:val="sl-SI"/>
        </w:rPr>
        <w:t>znanje</w:t>
      </w:r>
      <w:r w:rsidRPr="001048FE">
        <w:rPr>
          <w:spacing w:val="-5"/>
          <w:lang w:val="sl-SI"/>
        </w:rPr>
        <w:t xml:space="preserve"> </w:t>
      </w:r>
      <w:r w:rsidRPr="001048FE">
        <w:rPr>
          <w:lang w:val="sl-SI"/>
        </w:rPr>
        <w:t>jezika,</w:t>
      </w:r>
      <w:r w:rsidRPr="001048FE">
        <w:rPr>
          <w:spacing w:val="-5"/>
          <w:lang w:val="sl-SI"/>
        </w:rPr>
        <w:t xml:space="preserve"> </w:t>
      </w:r>
      <w:r w:rsidRPr="001048FE">
        <w:rPr>
          <w:lang w:val="sl-SI"/>
        </w:rPr>
        <w:t>ki</w:t>
      </w:r>
      <w:r w:rsidRPr="001048FE">
        <w:rPr>
          <w:spacing w:val="-5"/>
          <w:lang w:val="sl-SI"/>
        </w:rPr>
        <w:t xml:space="preserve"> </w:t>
      </w:r>
      <w:r w:rsidRPr="001048FE">
        <w:rPr>
          <w:lang w:val="sl-SI"/>
        </w:rPr>
        <w:t>ga</w:t>
      </w:r>
      <w:r w:rsidRPr="001048FE">
        <w:rPr>
          <w:spacing w:val="-5"/>
          <w:lang w:val="sl-SI"/>
        </w:rPr>
        <w:t xml:space="preserve"> </w:t>
      </w:r>
      <w:r w:rsidRPr="001048FE">
        <w:rPr>
          <w:lang w:val="sl-SI"/>
        </w:rPr>
        <w:t>bodo</w:t>
      </w:r>
      <w:r w:rsidRPr="001048FE">
        <w:rPr>
          <w:spacing w:val="-5"/>
          <w:lang w:val="sl-SI"/>
        </w:rPr>
        <w:t xml:space="preserve"> </w:t>
      </w:r>
      <w:r w:rsidRPr="001048FE">
        <w:rPr>
          <w:lang w:val="sl-SI"/>
        </w:rPr>
        <w:t>uporabljali</w:t>
      </w:r>
      <w:r w:rsidRPr="001048FE">
        <w:rPr>
          <w:spacing w:val="-5"/>
          <w:lang w:val="sl-SI"/>
        </w:rPr>
        <w:t xml:space="preserve"> </w:t>
      </w:r>
      <w:r w:rsidRPr="001048FE">
        <w:rPr>
          <w:lang w:val="sl-SI"/>
        </w:rPr>
        <w:t>na</w:t>
      </w:r>
      <w:r w:rsidRPr="001048FE">
        <w:rPr>
          <w:spacing w:val="-5"/>
          <w:lang w:val="sl-SI"/>
        </w:rPr>
        <w:t xml:space="preserve"> </w:t>
      </w:r>
      <w:r w:rsidRPr="001048FE">
        <w:rPr>
          <w:lang w:val="sl-SI"/>
        </w:rPr>
        <w:t>učni</w:t>
      </w:r>
      <w:r w:rsidRPr="001048FE">
        <w:rPr>
          <w:spacing w:val="-5"/>
          <w:lang w:val="sl-SI"/>
        </w:rPr>
        <w:t xml:space="preserve"> </w:t>
      </w:r>
      <w:r w:rsidRPr="001048FE">
        <w:rPr>
          <w:lang w:val="sl-SI"/>
        </w:rPr>
        <w:t>mobilnosti</w:t>
      </w:r>
      <w:r w:rsidRPr="001048FE">
        <w:rPr>
          <w:spacing w:val="-5"/>
          <w:lang w:val="sl-SI"/>
        </w:rPr>
        <w:t xml:space="preserve"> </w:t>
      </w:r>
      <w:r w:rsidRPr="001048FE">
        <w:rPr>
          <w:lang w:val="sl-SI"/>
        </w:rPr>
        <w:t>v</w:t>
      </w:r>
      <w:r w:rsidRPr="001048FE">
        <w:rPr>
          <w:spacing w:val="-5"/>
          <w:lang w:val="sl-SI"/>
        </w:rPr>
        <w:t xml:space="preserve"> </w:t>
      </w:r>
      <w:r w:rsidRPr="001048FE">
        <w:rPr>
          <w:lang w:val="sl-SI"/>
        </w:rPr>
        <w:t>tujini.</w:t>
      </w:r>
    </w:p>
    <w:p w14:paraId="7D39AA2D" w14:textId="77777777" w:rsidR="0009190F" w:rsidRPr="001048FE" w:rsidRDefault="00E15C84" w:rsidP="0009190F">
      <w:pPr>
        <w:pStyle w:val="GUIDE-NORMAL"/>
        <w:rPr>
          <w:lang w:val="sl-SI"/>
        </w:rPr>
      </w:pPr>
      <w:r w:rsidRPr="001048FE">
        <w:rPr>
          <w:lang w:val="sl-SI"/>
        </w:rPr>
        <w:t xml:space="preserve">S tem orodjem lahko po potrebi tudi izboljšajo znanje jezika pred in/ali med obdobjem mobilnosti. </w:t>
      </w:r>
    </w:p>
    <w:p w14:paraId="7D39AA2E" w14:textId="77777777" w:rsidR="00E15C84" w:rsidRPr="001048FE" w:rsidRDefault="00E15C84" w:rsidP="0009190F">
      <w:pPr>
        <w:pStyle w:val="GUIDE-NORMAL"/>
        <w:rPr>
          <w:lang w:val="sl-SI"/>
        </w:rPr>
      </w:pPr>
      <w:r w:rsidRPr="001048FE">
        <w:rPr>
          <w:lang w:val="sl-SI"/>
        </w:rPr>
        <w:t>V šolah se bo spletna jezikovna podpora zagotovila na naslednji način:</w:t>
      </w:r>
    </w:p>
    <w:p w14:paraId="7D39AA2F" w14:textId="77777777" w:rsidR="00E15C84" w:rsidRPr="001048FE" w:rsidRDefault="00E15C84" w:rsidP="005115F2">
      <w:pPr>
        <w:pStyle w:val="Guide-NormalBulletpoints"/>
        <w:numPr>
          <w:ilvl w:val="0"/>
          <w:numId w:val="456"/>
        </w:numPr>
        <w:rPr>
          <w:lang w:val="sl-SI"/>
        </w:rPr>
      </w:pPr>
      <w:r w:rsidRPr="001048FE">
        <w:rPr>
          <w:lang w:val="sl-SI"/>
        </w:rPr>
        <w:t>nacionalne agencije šolam dodelijo spletne licence v skladu s splošnimi merili, ki jih opredeli Evropska komisija;</w:t>
      </w:r>
    </w:p>
    <w:p w14:paraId="7D39AA30" w14:textId="77777777" w:rsidR="00E15C84" w:rsidRPr="001048FE" w:rsidRDefault="00E15C84" w:rsidP="005115F2">
      <w:pPr>
        <w:pStyle w:val="Guide-NormalBulletpoints"/>
        <w:numPr>
          <w:ilvl w:val="0"/>
          <w:numId w:val="456"/>
        </w:numPr>
        <w:rPr>
          <w:lang w:val="sl-SI"/>
        </w:rPr>
      </w:pPr>
      <w:r w:rsidRPr="001048FE">
        <w:rPr>
          <w:lang w:val="sl-SI"/>
        </w:rPr>
        <w:t>vsi učenci/dijaki (razen govorci maternega jezika), ko so izbrani in ki bodo lahko izkoristili uporabo</w:t>
      </w:r>
      <w:r w:rsidRPr="001048FE">
        <w:rPr>
          <w:spacing w:val="-15"/>
          <w:lang w:val="sl-SI"/>
        </w:rPr>
        <w:t xml:space="preserve"> </w:t>
      </w:r>
      <w:r w:rsidRPr="001048FE">
        <w:rPr>
          <w:lang w:val="sl-SI"/>
        </w:rPr>
        <w:t>spletne</w:t>
      </w:r>
      <w:r w:rsidRPr="001048FE">
        <w:rPr>
          <w:spacing w:val="-15"/>
          <w:lang w:val="sl-SI"/>
        </w:rPr>
        <w:t xml:space="preserve"> </w:t>
      </w:r>
      <w:r w:rsidRPr="001048FE">
        <w:rPr>
          <w:lang w:val="sl-SI"/>
        </w:rPr>
        <w:t>storitve,</w:t>
      </w:r>
      <w:r w:rsidRPr="001048FE">
        <w:rPr>
          <w:spacing w:val="-15"/>
          <w:lang w:val="sl-SI"/>
        </w:rPr>
        <w:t xml:space="preserve"> </w:t>
      </w:r>
      <w:r w:rsidRPr="001048FE">
        <w:rPr>
          <w:lang w:val="sl-SI"/>
        </w:rPr>
        <w:t>bodo</w:t>
      </w:r>
      <w:r w:rsidRPr="001048FE">
        <w:rPr>
          <w:spacing w:val="-15"/>
          <w:lang w:val="sl-SI"/>
        </w:rPr>
        <w:t xml:space="preserve"> </w:t>
      </w:r>
      <w:r w:rsidRPr="001048FE">
        <w:rPr>
          <w:lang w:val="sl-SI"/>
        </w:rPr>
        <w:t>izvedli</w:t>
      </w:r>
      <w:r w:rsidRPr="001048FE">
        <w:rPr>
          <w:spacing w:val="-15"/>
          <w:lang w:val="sl-SI"/>
        </w:rPr>
        <w:t xml:space="preserve"> </w:t>
      </w:r>
      <w:r w:rsidRPr="001048FE">
        <w:rPr>
          <w:lang w:val="sl-SI"/>
        </w:rPr>
        <w:t>spletni</w:t>
      </w:r>
      <w:r w:rsidRPr="001048FE">
        <w:rPr>
          <w:spacing w:val="-15"/>
          <w:lang w:val="sl-SI"/>
        </w:rPr>
        <w:t xml:space="preserve"> </w:t>
      </w:r>
      <w:r w:rsidRPr="001048FE">
        <w:rPr>
          <w:lang w:val="sl-SI"/>
        </w:rPr>
        <w:t>preskus</w:t>
      </w:r>
      <w:r w:rsidRPr="001048FE">
        <w:rPr>
          <w:spacing w:val="-15"/>
          <w:lang w:val="sl-SI"/>
        </w:rPr>
        <w:t xml:space="preserve"> </w:t>
      </w:r>
      <w:r w:rsidRPr="001048FE">
        <w:rPr>
          <w:lang w:val="sl-SI"/>
        </w:rPr>
        <w:t>znanja,</w:t>
      </w:r>
      <w:r w:rsidRPr="001048FE">
        <w:rPr>
          <w:spacing w:val="-15"/>
          <w:lang w:val="sl-SI"/>
        </w:rPr>
        <w:t xml:space="preserve"> </w:t>
      </w:r>
      <w:r w:rsidRPr="001048FE">
        <w:rPr>
          <w:lang w:val="sl-SI"/>
        </w:rPr>
        <w:t>da</w:t>
      </w:r>
      <w:r w:rsidRPr="001048FE">
        <w:rPr>
          <w:spacing w:val="-15"/>
          <w:lang w:val="sl-SI"/>
        </w:rPr>
        <w:t xml:space="preserve"> </w:t>
      </w:r>
      <w:r w:rsidRPr="001048FE">
        <w:rPr>
          <w:lang w:val="sl-SI"/>
        </w:rPr>
        <w:t>se</w:t>
      </w:r>
      <w:r w:rsidRPr="001048FE">
        <w:rPr>
          <w:spacing w:val="-15"/>
          <w:lang w:val="sl-SI"/>
        </w:rPr>
        <w:t xml:space="preserve"> </w:t>
      </w:r>
      <w:r w:rsidRPr="001048FE">
        <w:rPr>
          <w:lang w:val="sl-SI"/>
        </w:rPr>
        <w:t>oceni</w:t>
      </w:r>
      <w:r w:rsidRPr="001048FE">
        <w:rPr>
          <w:spacing w:val="-15"/>
          <w:lang w:val="sl-SI"/>
        </w:rPr>
        <w:t xml:space="preserve"> </w:t>
      </w:r>
      <w:r w:rsidRPr="001048FE">
        <w:rPr>
          <w:lang w:val="sl-SI"/>
        </w:rPr>
        <w:t>njihovo</w:t>
      </w:r>
      <w:r w:rsidRPr="001048FE">
        <w:rPr>
          <w:spacing w:val="-15"/>
          <w:lang w:val="sl-SI"/>
        </w:rPr>
        <w:t xml:space="preserve"> </w:t>
      </w:r>
      <w:r w:rsidRPr="001048FE">
        <w:rPr>
          <w:lang w:val="sl-SI"/>
        </w:rPr>
        <w:t>znanje</w:t>
      </w:r>
      <w:r w:rsidRPr="001048FE">
        <w:rPr>
          <w:spacing w:val="-15"/>
          <w:lang w:val="sl-SI"/>
        </w:rPr>
        <w:t xml:space="preserve"> </w:t>
      </w:r>
      <w:r w:rsidRPr="001048FE">
        <w:rPr>
          <w:lang w:val="sl-SI"/>
        </w:rPr>
        <w:t>jezika, ki ga bodo uporabljali med študijem. Rezultati tega preskusa bodo posredovani udeležencu in šoli;</w:t>
      </w:r>
    </w:p>
    <w:p w14:paraId="7D39AA31" w14:textId="77777777" w:rsidR="00E15C84" w:rsidRPr="001048FE" w:rsidRDefault="00E15C84" w:rsidP="005115F2">
      <w:pPr>
        <w:pStyle w:val="Guide-NormalBulletpoints"/>
        <w:numPr>
          <w:ilvl w:val="0"/>
          <w:numId w:val="456"/>
        </w:numPr>
        <w:rPr>
          <w:lang w:val="sl-SI"/>
        </w:rPr>
      </w:pPr>
      <w:r w:rsidRPr="001048FE">
        <w:rPr>
          <w:lang w:val="sl-SI"/>
        </w:rPr>
        <w:t>glede</w:t>
      </w:r>
      <w:r w:rsidRPr="001048FE">
        <w:rPr>
          <w:spacing w:val="-13"/>
          <w:lang w:val="sl-SI"/>
        </w:rPr>
        <w:t xml:space="preserve"> </w:t>
      </w:r>
      <w:r w:rsidRPr="001048FE">
        <w:rPr>
          <w:lang w:val="sl-SI"/>
        </w:rPr>
        <w:t>na</w:t>
      </w:r>
      <w:r w:rsidRPr="001048FE">
        <w:rPr>
          <w:spacing w:val="-13"/>
          <w:lang w:val="sl-SI"/>
        </w:rPr>
        <w:t xml:space="preserve"> </w:t>
      </w:r>
      <w:r w:rsidRPr="001048FE">
        <w:rPr>
          <w:lang w:val="sl-SI"/>
        </w:rPr>
        <w:t>število</w:t>
      </w:r>
      <w:r w:rsidRPr="001048FE">
        <w:rPr>
          <w:spacing w:val="-13"/>
          <w:lang w:val="sl-SI"/>
        </w:rPr>
        <w:t xml:space="preserve"> </w:t>
      </w:r>
      <w:r w:rsidRPr="001048FE">
        <w:rPr>
          <w:lang w:val="sl-SI"/>
        </w:rPr>
        <w:t>spletnih</w:t>
      </w:r>
      <w:r w:rsidRPr="001048FE">
        <w:rPr>
          <w:spacing w:val="-13"/>
          <w:lang w:val="sl-SI"/>
        </w:rPr>
        <w:t xml:space="preserve"> </w:t>
      </w:r>
      <w:r w:rsidRPr="001048FE">
        <w:rPr>
          <w:lang w:val="sl-SI"/>
        </w:rPr>
        <w:t>licenc,</w:t>
      </w:r>
      <w:r w:rsidRPr="001048FE">
        <w:rPr>
          <w:spacing w:val="-13"/>
          <w:lang w:val="sl-SI"/>
        </w:rPr>
        <w:t xml:space="preserve"> </w:t>
      </w:r>
      <w:r w:rsidRPr="001048FE">
        <w:rPr>
          <w:lang w:val="sl-SI"/>
        </w:rPr>
        <w:t>ki</w:t>
      </w:r>
      <w:r w:rsidRPr="001048FE">
        <w:rPr>
          <w:spacing w:val="-13"/>
          <w:lang w:val="sl-SI"/>
        </w:rPr>
        <w:t xml:space="preserve"> </w:t>
      </w:r>
      <w:r w:rsidRPr="001048FE">
        <w:rPr>
          <w:lang w:val="sl-SI"/>
        </w:rPr>
        <w:t>bodo</w:t>
      </w:r>
      <w:r w:rsidRPr="001048FE">
        <w:rPr>
          <w:spacing w:val="-13"/>
          <w:lang w:val="sl-SI"/>
        </w:rPr>
        <w:t xml:space="preserve"> </w:t>
      </w:r>
      <w:r w:rsidRPr="001048FE">
        <w:rPr>
          <w:lang w:val="sl-SI"/>
        </w:rPr>
        <w:t>na</w:t>
      </w:r>
      <w:r w:rsidRPr="001048FE">
        <w:rPr>
          <w:spacing w:val="-13"/>
          <w:lang w:val="sl-SI"/>
        </w:rPr>
        <w:t xml:space="preserve"> </w:t>
      </w:r>
      <w:r w:rsidRPr="001048FE">
        <w:rPr>
          <w:lang w:val="sl-SI"/>
        </w:rPr>
        <w:t>voljo</w:t>
      </w:r>
      <w:r w:rsidRPr="001048FE">
        <w:rPr>
          <w:spacing w:val="-13"/>
          <w:lang w:val="sl-SI"/>
        </w:rPr>
        <w:t xml:space="preserve"> </w:t>
      </w:r>
      <w:r w:rsidRPr="001048FE">
        <w:rPr>
          <w:lang w:val="sl-SI"/>
        </w:rPr>
        <w:t>za</w:t>
      </w:r>
      <w:r w:rsidRPr="001048FE">
        <w:rPr>
          <w:spacing w:val="-13"/>
          <w:lang w:val="sl-SI"/>
        </w:rPr>
        <w:t xml:space="preserve"> </w:t>
      </w:r>
      <w:r w:rsidRPr="001048FE">
        <w:rPr>
          <w:lang w:val="sl-SI"/>
        </w:rPr>
        <w:t>jezikovne</w:t>
      </w:r>
      <w:r w:rsidRPr="001048FE">
        <w:rPr>
          <w:spacing w:val="-13"/>
          <w:lang w:val="sl-SI"/>
        </w:rPr>
        <w:t xml:space="preserve"> </w:t>
      </w:r>
      <w:r w:rsidRPr="001048FE">
        <w:rPr>
          <w:lang w:val="sl-SI"/>
        </w:rPr>
        <w:t>tečaje,</w:t>
      </w:r>
      <w:r w:rsidRPr="001048FE">
        <w:rPr>
          <w:spacing w:val="-13"/>
          <w:lang w:val="sl-SI"/>
        </w:rPr>
        <w:t xml:space="preserve"> </w:t>
      </w:r>
      <w:r w:rsidRPr="001048FE">
        <w:rPr>
          <w:lang w:val="sl-SI"/>
        </w:rPr>
        <w:t>bodo</w:t>
      </w:r>
      <w:r w:rsidRPr="001048FE">
        <w:rPr>
          <w:spacing w:val="-13"/>
          <w:lang w:val="sl-SI"/>
        </w:rPr>
        <w:t xml:space="preserve"> </w:t>
      </w:r>
      <w:r w:rsidRPr="001048FE">
        <w:rPr>
          <w:lang w:val="sl-SI"/>
        </w:rPr>
        <w:t>šole</w:t>
      </w:r>
      <w:r w:rsidRPr="001048FE">
        <w:rPr>
          <w:spacing w:val="-13"/>
          <w:lang w:val="sl-SI"/>
        </w:rPr>
        <w:t xml:space="preserve"> </w:t>
      </w:r>
      <w:r w:rsidRPr="001048FE">
        <w:rPr>
          <w:lang w:val="sl-SI"/>
        </w:rPr>
        <w:t>razdelile</w:t>
      </w:r>
      <w:r w:rsidRPr="001048FE">
        <w:rPr>
          <w:spacing w:val="-13"/>
          <w:lang w:val="sl-SI"/>
        </w:rPr>
        <w:t xml:space="preserve"> </w:t>
      </w:r>
      <w:r w:rsidRPr="001048FE">
        <w:rPr>
          <w:lang w:val="sl-SI"/>
        </w:rPr>
        <w:t>licence v skladu s</w:t>
      </w:r>
      <w:r w:rsidRPr="001048FE">
        <w:rPr>
          <w:spacing w:val="-7"/>
          <w:lang w:val="sl-SI"/>
        </w:rPr>
        <w:t xml:space="preserve"> </w:t>
      </w:r>
      <w:r w:rsidRPr="001048FE">
        <w:rPr>
          <w:lang w:val="sl-SI"/>
        </w:rPr>
        <w:t>potrebami;</w:t>
      </w:r>
    </w:p>
    <w:p w14:paraId="7D39AA32" w14:textId="77777777" w:rsidR="00E15C84" w:rsidRPr="001048FE" w:rsidRDefault="00E15C84" w:rsidP="005115F2">
      <w:pPr>
        <w:pStyle w:val="Guide-NormalBulletpoints"/>
        <w:numPr>
          <w:ilvl w:val="0"/>
          <w:numId w:val="456"/>
        </w:numPr>
        <w:rPr>
          <w:lang w:val="sl-SI"/>
        </w:rPr>
      </w:pPr>
      <w:r w:rsidRPr="001048FE">
        <w:rPr>
          <w:lang w:val="sl-SI"/>
        </w:rPr>
        <w:t>ob</w:t>
      </w:r>
      <w:r w:rsidRPr="001048FE">
        <w:rPr>
          <w:spacing w:val="-11"/>
          <w:lang w:val="sl-SI"/>
        </w:rPr>
        <w:t xml:space="preserve"> </w:t>
      </w:r>
      <w:r w:rsidRPr="001048FE">
        <w:rPr>
          <w:lang w:val="sl-SI"/>
        </w:rPr>
        <w:t>koncu</w:t>
      </w:r>
      <w:r w:rsidRPr="001048FE">
        <w:rPr>
          <w:spacing w:val="-12"/>
          <w:lang w:val="sl-SI"/>
        </w:rPr>
        <w:t xml:space="preserve"> </w:t>
      </w:r>
      <w:r w:rsidRPr="001048FE">
        <w:rPr>
          <w:lang w:val="sl-SI"/>
        </w:rPr>
        <w:t>obdobja</w:t>
      </w:r>
      <w:r w:rsidRPr="001048FE">
        <w:rPr>
          <w:spacing w:val="-11"/>
          <w:lang w:val="sl-SI"/>
        </w:rPr>
        <w:t xml:space="preserve"> </w:t>
      </w:r>
      <w:r w:rsidRPr="001048FE">
        <w:rPr>
          <w:lang w:val="sl-SI"/>
        </w:rPr>
        <w:t>mobilnosti</w:t>
      </w:r>
      <w:r w:rsidRPr="001048FE">
        <w:rPr>
          <w:spacing w:val="-12"/>
          <w:lang w:val="sl-SI"/>
        </w:rPr>
        <w:t xml:space="preserve"> </w:t>
      </w:r>
      <w:r w:rsidRPr="001048FE">
        <w:rPr>
          <w:lang w:val="sl-SI"/>
        </w:rPr>
        <w:t>bodo</w:t>
      </w:r>
      <w:r w:rsidRPr="001048FE">
        <w:rPr>
          <w:spacing w:val="-12"/>
          <w:lang w:val="sl-SI"/>
        </w:rPr>
        <w:t xml:space="preserve"> </w:t>
      </w:r>
      <w:r w:rsidRPr="001048FE">
        <w:rPr>
          <w:lang w:val="sl-SI"/>
        </w:rPr>
        <w:t>udeleženci</w:t>
      </w:r>
      <w:r w:rsidRPr="001048FE">
        <w:rPr>
          <w:spacing w:val="-12"/>
          <w:lang w:val="sl-SI"/>
        </w:rPr>
        <w:t xml:space="preserve"> </w:t>
      </w:r>
      <w:r w:rsidRPr="001048FE">
        <w:rPr>
          <w:lang w:val="sl-SI"/>
        </w:rPr>
        <w:t>opravili</w:t>
      </w:r>
      <w:r w:rsidRPr="001048FE">
        <w:rPr>
          <w:spacing w:val="-11"/>
          <w:lang w:val="sl-SI"/>
        </w:rPr>
        <w:t xml:space="preserve"> </w:t>
      </w:r>
      <w:r w:rsidRPr="001048FE">
        <w:rPr>
          <w:lang w:val="sl-SI"/>
        </w:rPr>
        <w:t>drugo</w:t>
      </w:r>
      <w:r w:rsidRPr="001048FE">
        <w:rPr>
          <w:spacing w:val="-12"/>
          <w:lang w:val="sl-SI"/>
        </w:rPr>
        <w:t xml:space="preserve"> </w:t>
      </w:r>
      <w:r w:rsidRPr="001048FE">
        <w:rPr>
          <w:lang w:val="sl-SI"/>
        </w:rPr>
        <w:t>oceno,</w:t>
      </w:r>
      <w:r w:rsidRPr="001048FE">
        <w:rPr>
          <w:spacing w:val="-11"/>
          <w:lang w:val="sl-SI"/>
        </w:rPr>
        <w:t xml:space="preserve"> </w:t>
      </w:r>
      <w:r w:rsidRPr="001048FE">
        <w:rPr>
          <w:lang w:val="sl-SI"/>
        </w:rPr>
        <w:t>da</w:t>
      </w:r>
      <w:r w:rsidRPr="001048FE">
        <w:rPr>
          <w:spacing w:val="-12"/>
          <w:lang w:val="sl-SI"/>
        </w:rPr>
        <w:t xml:space="preserve"> </w:t>
      </w:r>
      <w:r w:rsidRPr="001048FE">
        <w:rPr>
          <w:lang w:val="sl-SI"/>
        </w:rPr>
        <w:t>se</w:t>
      </w:r>
      <w:r w:rsidRPr="001048FE">
        <w:rPr>
          <w:spacing w:val="-12"/>
          <w:lang w:val="sl-SI"/>
        </w:rPr>
        <w:t xml:space="preserve"> </w:t>
      </w:r>
      <w:r w:rsidRPr="001048FE">
        <w:rPr>
          <w:lang w:val="sl-SI"/>
        </w:rPr>
        <w:t>ugotovi</w:t>
      </w:r>
      <w:r w:rsidRPr="001048FE">
        <w:rPr>
          <w:spacing w:val="-12"/>
          <w:lang w:val="sl-SI"/>
        </w:rPr>
        <w:t xml:space="preserve"> </w:t>
      </w:r>
      <w:r w:rsidRPr="001048FE">
        <w:rPr>
          <w:lang w:val="sl-SI"/>
        </w:rPr>
        <w:t>napredek</w:t>
      </w:r>
      <w:r w:rsidRPr="001048FE">
        <w:rPr>
          <w:spacing w:val="-12"/>
          <w:lang w:val="sl-SI"/>
        </w:rPr>
        <w:t xml:space="preserve"> </w:t>
      </w:r>
      <w:r w:rsidRPr="001048FE">
        <w:rPr>
          <w:lang w:val="sl-SI"/>
        </w:rPr>
        <w:t>pri učenju tujega</w:t>
      </w:r>
      <w:r w:rsidRPr="001048FE">
        <w:rPr>
          <w:spacing w:val="-5"/>
          <w:lang w:val="sl-SI"/>
        </w:rPr>
        <w:t xml:space="preserve"> </w:t>
      </w:r>
      <w:r w:rsidRPr="001048FE">
        <w:rPr>
          <w:lang w:val="sl-SI"/>
        </w:rPr>
        <w:t>jezika.</w:t>
      </w:r>
    </w:p>
    <w:p w14:paraId="7D39AA33" w14:textId="77777777" w:rsidR="00E15C84" w:rsidRPr="001048FE" w:rsidRDefault="00E15C84" w:rsidP="0009190F">
      <w:pPr>
        <w:pStyle w:val="GUIDE-NORMAL"/>
        <w:rPr>
          <w:lang w:val="sl-SI"/>
        </w:rPr>
      </w:pPr>
      <w:r w:rsidRPr="001048FE">
        <w:rPr>
          <w:lang w:val="sl-SI"/>
        </w:rPr>
        <w:t>Več informacij o spletni jezikovni podpori je na voljo na spletiščih Evropske komisije in nacionalnih agencij.</w:t>
      </w:r>
    </w:p>
    <w:p w14:paraId="7D39AA34" w14:textId="77777777" w:rsidR="00E15C84" w:rsidRPr="001048FE" w:rsidRDefault="00E15C84" w:rsidP="0009190F">
      <w:pPr>
        <w:pStyle w:val="GUIDE-NORMAL"/>
        <w:rPr>
          <w:lang w:val="sl-SI"/>
        </w:rPr>
      </w:pPr>
      <w:r w:rsidRPr="001048FE">
        <w:rPr>
          <w:lang w:val="sl-SI"/>
        </w:rPr>
        <w:t>Za</w:t>
      </w:r>
      <w:r w:rsidRPr="001048FE">
        <w:rPr>
          <w:spacing w:val="-16"/>
          <w:lang w:val="sl-SI"/>
        </w:rPr>
        <w:t xml:space="preserve"> </w:t>
      </w:r>
      <w:r w:rsidRPr="001048FE">
        <w:rPr>
          <w:lang w:val="sl-SI"/>
        </w:rPr>
        <w:t>jezike,</w:t>
      </w:r>
      <w:r w:rsidRPr="001048FE">
        <w:rPr>
          <w:spacing w:val="-16"/>
          <w:lang w:val="sl-SI"/>
        </w:rPr>
        <w:t xml:space="preserve"> </w:t>
      </w:r>
      <w:r w:rsidRPr="001048FE">
        <w:rPr>
          <w:lang w:val="sl-SI"/>
        </w:rPr>
        <w:t>ki</w:t>
      </w:r>
      <w:r w:rsidRPr="001048FE">
        <w:rPr>
          <w:spacing w:val="-16"/>
          <w:lang w:val="sl-SI"/>
        </w:rPr>
        <w:t xml:space="preserve"> </w:t>
      </w:r>
      <w:r w:rsidRPr="001048FE">
        <w:rPr>
          <w:lang w:val="sl-SI"/>
        </w:rPr>
        <w:t>ne</w:t>
      </w:r>
      <w:r w:rsidRPr="001048FE">
        <w:rPr>
          <w:spacing w:val="-16"/>
          <w:lang w:val="sl-SI"/>
        </w:rPr>
        <w:t xml:space="preserve"> </w:t>
      </w:r>
      <w:r w:rsidRPr="001048FE">
        <w:rPr>
          <w:lang w:val="sl-SI"/>
        </w:rPr>
        <w:t>bodo</w:t>
      </w:r>
      <w:r w:rsidRPr="001048FE">
        <w:rPr>
          <w:spacing w:val="-16"/>
          <w:lang w:val="sl-SI"/>
        </w:rPr>
        <w:t xml:space="preserve"> </w:t>
      </w:r>
      <w:r w:rsidRPr="001048FE">
        <w:rPr>
          <w:lang w:val="sl-SI"/>
        </w:rPr>
        <w:t>zajeti</w:t>
      </w:r>
      <w:r w:rsidRPr="001048FE">
        <w:rPr>
          <w:spacing w:val="-16"/>
          <w:lang w:val="sl-SI"/>
        </w:rPr>
        <w:t xml:space="preserve"> </w:t>
      </w:r>
      <w:r w:rsidRPr="001048FE">
        <w:rPr>
          <w:lang w:val="sl-SI"/>
        </w:rPr>
        <w:t>v</w:t>
      </w:r>
      <w:r w:rsidRPr="001048FE">
        <w:rPr>
          <w:spacing w:val="-16"/>
          <w:lang w:val="sl-SI"/>
        </w:rPr>
        <w:t xml:space="preserve"> </w:t>
      </w:r>
      <w:r w:rsidRPr="001048FE">
        <w:rPr>
          <w:lang w:val="sl-SI"/>
        </w:rPr>
        <w:t>storitev</w:t>
      </w:r>
      <w:r w:rsidRPr="001048FE">
        <w:rPr>
          <w:spacing w:val="-16"/>
          <w:lang w:val="sl-SI"/>
        </w:rPr>
        <w:t xml:space="preserve"> </w:t>
      </w:r>
      <w:r w:rsidRPr="001048FE">
        <w:rPr>
          <w:lang w:val="sl-SI"/>
        </w:rPr>
        <w:t>Komisije,</w:t>
      </w:r>
      <w:r w:rsidRPr="001048FE">
        <w:rPr>
          <w:spacing w:val="-16"/>
          <w:lang w:val="sl-SI"/>
        </w:rPr>
        <w:t xml:space="preserve"> </w:t>
      </w:r>
      <w:r w:rsidRPr="001048FE">
        <w:rPr>
          <w:lang w:val="sl-SI"/>
        </w:rPr>
        <w:t>se</w:t>
      </w:r>
      <w:r w:rsidRPr="001048FE">
        <w:rPr>
          <w:spacing w:val="-16"/>
          <w:lang w:val="sl-SI"/>
        </w:rPr>
        <w:t xml:space="preserve"> </w:t>
      </w:r>
      <w:r w:rsidRPr="001048FE">
        <w:rPr>
          <w:lang w:val="sl-SI"/>
        </w:rPr>
        <w:t>lahko</w:t>
      </w:r>
      <w:r w:rsidRPr="001048FE">
        <w:rPr>
          <w:spacing w:val="-16"/>
          <w:lang w:val="sl-SI"/>
        </w:rPr>
        <w:t xml:space="preserve"> </w:t>
      </w:r>
      <w:r w:rsidRPr="001048FE">
        <w:rPr>
          <w:lang w:val="sl-SI"/>
        </w:rPr>
        <w:t>za</w:t>
      </w:r>
      <w:r w:rsidRPr="001048FE">
        <w:rPr>
          <w:spacing w:val="-16"/>
          <w:lang w:val="sl-SI"/>
        </w:rPr>
        <w:t xml:space="preserve"> </w:t>
      </w:r>
      <w:r w:rsidRPr="001048FE">
        <w:rPr>
          <w:lang w:val="sl-SI"/>
        </w:rPr>
        <w:t>ta</w:t>
      </w:r>
      <w:r w:rsidRPr="001048FE">
        <w:rPr>
          <w:spacing w:val="-16"/>
          <w:lang w:val="sl-SI"/>
        </w:rPr>
        <w:t xml:space="preserve"> </w:t>
      </w:r>
      <w:r w:rsidRPr="001048FE">
        <w:rPr>
          <w:lang w:val="sl-SI"/>
        </w:rPr>
        <w:t>namen</w:t>
      </w:r>
      <w:r w:rsidRPr="001048FE">
        <w:rPr>
          <w:spacing w:val="-16"/>
          <w:lang w:val="sl-SI"/>
        </w:rPr>
        <w:t xml:space="preserve"> </w:t>
      </w:r>
      <w:r w:rsidRPr="001048FE">
        <w:rPr>
          <w:lang w:val="sl-SI"/>
        </w:rPr>
        <w:t>zagotovijo</w:t>
      </w:r>
      <w:r w:rsidRPr="001048FE">
        <w:rPr>
          <w:spacing w:val="-16"/>
          <w:lang w:val="sl-SI"/>
        </w:rPr>
        <w:t xml:space="preserve"> </w:t>
      </w:r>
      <w:r w:rsidRPr="001048FE">
        <w:rPr>
          <w:lang w:val="sl-SI"/>
        </w:rPr>
        <w:t>posebna</w:t>
      </w:r>
      <w:r w:rsidRPr="001048FE">
        <w:rPr>
          <w:spacing w:val="-16"/>
          <w:lang w:val="sl-SI"/>
        </w:rPr>
        <w:t xml:space="preserve"> </w:t>
      </w:r>
      <w:r w:rsidRPr="001048FE">
        <w:rPr>
          <w:lang w:val="sl-SI"/>
        </w:rPr>
        <w:t>nepovratna sredstva za „jezikovno</w:t>
      </w:r>
      <w:r w:rsidRPr="001048FE">
        <w:rPr>
          <w:spacing w:val="-8"/>
          <w:lang w:val="sl-SI"/>
        </w:rPr>
        <w:t xml:space="preserve"> </w:t>
      </w:r>
      <w:r w:rsidRPr="001048FE">
        <w:rPr>
          <w:lang w:val="sl-SI"/>
        </w:rPr>
        <w:t>podporo“.</w:t>
      </w:r>
    </w:p>
    <w:p w14:paraId="7D39AA35" w14:textId="77777777" w:rsidR="00E15C84" w:rsidRPr="001048FE" w:rsidRDefault="00E15C84" w:rsidP="0009190F">
      <w:pPr>
        <w:pStyle w:val="Guide-Heading4"/>
        <w:rPr>
          <w:lang w:val="sl-SI"/>
        </w:rPr>
      </w:pPr>
      <w:bookmarkStart w:id="701" w:name="_Toc527401342"/>
      <w:r w:rsidRPr="001048FE">
        <w:rPr>
          <w:lang w:val="sl-SI"/>
        </w:rPr>
        <w:t>Osebje v izobraževanju in usposabljanju ter mladinski delavci</w:t>
      </w:r>
      <w:bookmarkEnd w:id="701"/>
    </w:p>
    <w:p w14:paraId="7D39AA36" w14:textId="77777777" w:rsidR="00E15C84" w:rsidRPr="001048FE" w:rsidRDefault="00E15C84" w:rsidP="00D60A64">
      <w:pPr>
        <w:pStyle w:val="Guide-Heading4"/>
        <w:rPr>
          <w:lang w:val="sl-SI"/>
        </w:rPr>
      </w:pPr>
      <w:bookmarkStart w:id="702" w:name="_Toc527401343"/>
      <w:r w:rsidRPr="001048FE">
        <w:rPr>
          <w:lang w:val="sl-SI"/>
        </w:rPr>
        <w:t>Kratkotrajna skupna usposabljanja osebja (od 3 dni do 2 mesecev)</w:t>
      </w:r>
      <w:bookmarkEnd w:id="702"/>
    </w:p>
    <w:p w14:paraId="7D39AA37" w14:textId="77777777" w:rsidR="00E15C84" w:rsidRPr="001048FE" w:rsidRDefault="00E15C84" w:rsidP="0009190F">
      <w:pPr>
        <w:pStyle w:val="GUIDE-NORMAL"/>
        <w:rPr>
          <w:lang w:val="sl-SI"/>
        </w:rPr>
      </w:pPr>
      <w:r w:rsidRPr="001048FE">
        <w:rPr>
          <w:lang w:val="sl-SI"/>
        </w:rPr>
        <w:t>Skupna usposabljanja osebja omogočajo sodelujočim organizacijam v strateškem partnerstvu, da organizirajo kratka usposabljanja, ki so povezana s temo ali področjem uporabe strateškega partnerstva, za osebje v izobraževanju in usposabljanju ali mladinske delavce. Ta morajo biti organizirana za majhne skupine osebja iz različnih držav, da je učinek na posamezne organizacije čim večji.</w:t>
      </w:r>
    </w:p>
    <w:p w14:paraId="7D39AA38" w14:textId="77777777" w:rsidR="00E15C84" w:rsidRPr="001048FE" w:rsidRDefault="00E15C84" w:rsidP="0009190F">
      <w:pPr>
        <w:pStyle w:val="GUIDE-NORMAL"/>
        <w:rPr>
          <w:lang w:val="sl-SI"/>
        </w:rPr>
      </w:pPr>
      <w:r w:rsidRPr="001048FE">
        <w:rPr>
          <w:lang w:val="sl-SI"/>
        </w:rPr>
        <w:t>Lahko so različnih oblik, tj. študijski obiski, ki združujejo obiske v zadevnih organizacijah, predstavitve, delavnice za razprave, usposabljanja itd. Sodelovanje mednarodnih in nacionalnih udeležencev mora biti uravnoteženo.</w:t>
      </w:r>
    </w:p>
    <w:p w14:paraId="7D39AA39" w14:textId="77777777" w:rsidR="00E15C84" w:rsidRPr="001048FE" w:rsidRDefault="00E15C84" w:rsidP="0009190F">
      <w:pPr>
        <w:pStyle w:val="Guide-Heading4"/>
        <w:rPr>
          <w:lang w:val="sl-SI"/>
        </w:rPr>
      </w:pPr>
      <w:bookmarkStart w:id="703" w:name="_Toc527401344"/>
      <w:r w:rsidRPr="001048FE">
        <w:rPr>
          <w:lang w:val="sl-SI"/>
        </w:rPr>
        <w:t>Mobilnost z namenom poučevanja ali usposabljanja (od 2 do 12 mesecev)</w:t>
      </w:r>
      <w:bookmarkEnd w:id="703"/>
    </w:p>
    <w:p w14:paraId="7D39AA3A" w14:textId="77777777" w:rsidR="00E15C84" w:rsidRPr="001048FE" w:rsidRDefault="00E15C84" w:rsidP="0009190F">
      <w:pPr>
        <w:pStyle w:val="GUIDE-NORMAL"/>
        <w:rPr>
          <w:lang w:val="sl-SI"/>
        </w:rPr>
      </w:pPr>
      <w:r w:rsidRPr="001048FE">
        <w:rPr>
          <w:lang w:val="sl-SI"/>
        </w:rPr>
        <w:t>Cilj aktivnosti je okrepiti sodelovanje med organizacijami, ki so vključene v isto strateško partnerstvo. Aktivnost omogoča osebju, da poglobi svoje znanje in razumevanje evropskih sistemov izobraževanja in usposabljanja ter mu pomaga pri izmenjavi in pridobivanju strokovnih kompetenc, metod in praks.</w:t>
      </w:r>
    </w:p>
    <w:p w14:paraId="7D39AA3B" w14:textId="77777777" w:rsidR="00E15C84" w:rsidRPr="001048FE" w:rsidRDefault="00E15C84" w:rsidP="0009190F">
      <w:pPr>
        <w:pStyle w:val="GUIDE-NORMAL"/>
        <w:rPr>
          <w:lang w:val="sl-SI"/>
        </w:rPr>
      </w:pPr>
      <w:r w:rsidRPr="001048FE">
        <w:rPr>
          <w:lang w:val="sl-SI"/>
        </w:rPr>
        <w:t>Ta aktivnost omogoča učiteljem/profesorjem in drugemu izobraževalnemu osebju v splošnem šolskem izobraževanju, visokošolskem izobraževanju, PIU in izobraževanju odraslih, ki delajo v izobraževalni instituciji, ki sodeluje v strateškem partnerstvu, da se udeležijo mobilnosti v tujini, ki traja od 2 do 12 mesecev, ter poučujejo v partnerski instituciji ali so vključeni v strokovne aktivnosti v drugi partnerski organizaciji, ki so povezane z njihovim strokovnim področjem.</w:t>
      </w:r>
    </w:p>
    <w:p w14:paraId="7D39AA3C" w14:textId="77777777" w:rsidR="00E15C84" w:rsidRPr="001048FE" w:rsidRDefault="00E15C84" w:rsidP="0009190F">
      <w:pPr>
        <w:pStyle w:val="GUIDE-NORMAL"/>
        <w:rPr>
          <w:lang w:val="sl-SI"/>
        </w:rPr>
      </w:pPr>
      <w:r w:rsidRPr="001048FE">
        <w:rPr>
          <w:lang w:val="sl-SI"/>
        </w:rPr>
        <w:t>Aktivnost lahko vključuje delo v izobraževalni instituciji/centru ali drugi ustrezni organizaciji (npr. podjetjih, nevladnih organizacijah, šolskih organih itd.), udeležbo v strukturiranih tečajih ali seminarjih (npr. na fakultetah za usposabljanje učiteljev ali v raziskovalnih organizacijah), prakso ali obdobja opazovanja v družbi ali organizaciji na področju.</w:t>
      </w:r>
    </w:p>
    <w:p w14:paraId="7D39AA3D" w14:textId="77777777" w:rsidR="00E15C84" w:rsidRPr="001048FE" w:rsidRDefault="00E15C84" w:rsidP="0009190F">
      <w:pPr>
        <w:pStyle w:val="GUIDE-NORMAL"/>
        <w:rPr>
          <w:lang w:val="sl-SI"/>
        </w:rPr>
      </w:pPr>
      <w:r w:rsidRPr="001048FE">
        <w:rPr>
          <w:lang w:val="sl-SI"/>
        </w:rPr>
        <w:t>Institucija pošiljateljica mora zagotoviti pravičen, pregleden in odprt postopek izbora, oblikovati vsebino aktivnosti z udeležencem ter zagotoviti notranje in, kolikor je to mogoče, zunanje priznavanje njegove dolgotrajne mobilnosti v tujini.</w:t>
      </w:r>
    </w:p>
    <w:p w14:paraId="7D39AA3E" w14:textId="77777777" w:rsidR="00E15C84" w:rsidRPr="001048FE" w:rsidRDefault="00E15C84" w:rsidP="0009190F">
      <w:pPr>
        <w:pStyle w:val="GUIDE-NORMAL"/>
        <w:rPr>
          <w:lang w:val="sl-SI"/>
        </w:rPr>
      </w:pPr>
      <w:r w:rsidRPr="001048FE">
        <w:rPr>
          <w:lang w:val="sl-SI"/>
        </w:rPr>
        <w:t>V zvezi z mobilnostjo poučevanja in usposabljanja v visokošolski instituciji so upravičene naslednje vrste organizacij pošiljateljic in gostiteljic:</w:t>
      </w:r>
    </w:p>
    <w:p w14:paraId="7D39AA3F" w14:textId="77777777" w:rsidR="00E15C84" w:rsidRPr="001048FE" w:rsidRDefault="00E15C84" w:rsidP="005115F2">
      <w:pPr>
        <w:pStyle w:val="Guide-NormalBulletpoints"/>
        <w:numPr>
          <w:ilvl w:val="0"/>
          <w:numId w:val="457"/>
        </w:numPr>
        <w:rPr>
          <w:lang w:val="sl-SI"/>
        </w:rPr>
      </w:pPr>
      <w:r w:rsidRPr="001048FE">
        <w:rPr>
          <w:lang w:val="sl-SI"/>
        </w:rPr>
        <w:t>pri dolgotrajni mobilnosti osebja za poučevanje je organizacija pošiljateljica lahko katera koli sodelujoča organizacija, organizacija gostiteljica pa mora biti sodelujoča visokošolska institucija;</w:t>
      </w:r>
    </w:p>
    <w:p w14:paraId="7D39AA40" w14:textId="77777777" w:rsidR="00E15C84" w:rsidRPr="001048FE" w:rsidRDefault="00E15C84" w:rsidP="005115F2">
      <w:pPr>
        <w:pStyle w:val="Guide-NormalBulletpoints"/>
        <w:numPr>
          <w:ilvl w:val="0"/>
          <w:numId w:val="457"/>
        </w:numPr>
        <w:rPr>
          <w:lang w:val="sl-SI"/>
        </w:rPr>
      </w:pPr>
      <w:r w:rsidRPr="001048FE">
        <w:rPr>
          <w:lang w:val="sl-SI"/>
        </w:rPr>
        <w:t>pri dolgotrajni mobilnosti osebja za usposabljanje mora organizacija pošiljateljica biti sodelujoča visokošolska institucija, organizacija gostiteljica pa je lahko katera koli sodelujoča organizacija;</w:t>
      </w:r>
    </w:p>
    <w:p w14:paraId="7D39AA41" w14:textId="77777777" w:rsidR="00E15C84" w:rsidRPr="001048FE" w:rsidRDefault="00E15C84" w:rsidP="005115F2">
      <w:pPr>
        <w:pStyle w:val="Guide-NormalBulletpoints"/>
        <w:numPr>
          <w:ilvl w:val="0"/>
          <w:numId w:val="457"/>
        </w:numPr>
        <w:rPr>
          <w:lang w:val="sl-SI"/>
        </w:rPr>
      </w:pPr>
      <w:r w:rsidRPr="001048FE">
        <w:rPr>
          <w:lang w:val="sl-SI"/>
        </w:rPr>
        <w:t>organizaciji pošiljateljica in gostiteljica morata biti v različnih državah in država gostiteljica ne sme biti država stalnega prebivališča udeleženca.</w:t>
      </w:r>
    </w:p>
    <w:p w14:paraId="7D39AA42" w14:textId="77777777" w:rsidR="00E15C84" w:rsidRPr="001048FE" w:rsidRDefault="00E15C84" w:rsidP="0009190F">
      <w:pPr>
        <w:pStyle w:val="GUIDE-NORMAL"/>
        <w:rPr>
          <w:lang w:val="sl-SI"/>
        </w:rPr>
      </w:pPr>
      <w:r w:rsidRPr="001048FE">
        <w:rPr>
          <w:lang w:val="sl-SI"/>
        </w:rPr>
        <w:t>Organizacije, ki so vključene v strateško partnerstvo, sodelujejo pri oblikovanju sporazumov o mobilnosti, priznavanju dela, ki je bilo opravljeno na partnerski organizaciji v tujini, ter krepitvi evropske razsežnosti v izobraževanju in usposabljanju. Ta aktivnost bi morala zagotoviti tudi dragocene mednarodne izkušnje za osebe, vključene v organizacijo in izvajanje mobilnosti, iz organizacije pošiljateljice in gostiteljice.</w:t>
      </w:r>
    </w:p>
    <w:p w14:paraId="7D39AA43" w14:textId="77777777" w:rsidR="00E15C84" w:rsidRPr="001048FE" w:rsidRDefault="00E15C84" w:rsidP="0009190F">
      <w:pPr>
        <w:pStyle w:val="Guide-Heading4"/>
        <w:rPr>
          <w:lang w:val="sl-SI"/>
        </w:rPr>
      </w:pPr>
      <w:bookmarkStart w:id="704" w:name="_Toc527401345"/>
      <w:r w:rsidRPr="001048FE">
        <w:rPr>
          <w:lang w:val="sl-SI"/>
        </w:rPr>
        <w:t>Mobilnost mladinskih delavcev (od 2 do 12 mesecev)</w:t>
      </w:r>
      <w:bookmarkEnd w:id="704"/>
    </w:p>
    <w:p w14:paraId="7D39AA44" w14:textId="77777777" w:rsidR="00E15C84" w:rsidRPr="001048FE" w:rsidRDefault="00E15C84" w:rsidP="0009190F">
      <w:pPr>
        <w:pStyle w:val="GUIDE-NORMAL"/>
        <w:rPr>
          <w:lang w:val="sl-SI"/>
        </w:rPr>
      </w:pPr>
      <w:r w:rsidRPr="001048FE">
        <w:rPr>
          <w:lang w:val="sl-SI"/>
        </w:rPr>
        <w:t>Ta</w:t>
      </w:r>
      <w:r w:rsidRPr="001048FE">
        <w:rPr>
          <w:spacing w:val="-15"/>
          <w:lang w:val="sl-SI"/>
        </w:rPr>
        <w:t xml:space="preserve"> </w:t>
      </w:r>
      <w:r w:rsidRPr="001048FE">
        <w:rPr>
          <w:lang w:val="sl-SI"/>
        </w:rPr>
        <w:t>aktivnost</w:t>
      </w:r>
      <w:r w:rsidRPr="001048FE">
        <w:rPr>
          <w:spacing w:val="-15"/>
          <w:lang w:val="sl-SI"/>
        </w:rPr>
        <w:t xml:space="preserve"> </w:t>
      </w:r>
      <w:r w:rsidRPr="001048FE">
        <w:rPr>
          <w:lang w:val="sl-SI"/>
        </w:rPr>
        <w:t>omogoča</w:t>
      </w:r>
      <w:r w:rsidRPr="001048FE">
        <w:rPr>
          <w:spacing w:val="-15"/>
          <w:lang w:val="sl-SI"/>
        </w:rPr>
        <w:t xml:space="preserve"> </w:t>
      </w:r>
      <w:r w:rsidRPr="001048FE">
        <w:rPr>
          <w:lang w:val="sl-SI"/>
        </w:rPr>
        <w:t>mladinskim</w:t>
      </w:r>
      <w:r w:rsidRPr="001048FE">
        <w:rPr>
          <w:spacing w:val="-15"/>
          <w:lang w:val="sl-SI"/>
        </w:rPr>
        <w:t xml:space="preserve"> </w:t>
      </w:r>
      <w:r w:rsidRPr="001048FE">
        <w:rPr>
          <w:lang w:val="sl-SI"/>
        </w:rPr>
        <w:t>delavcem,</w:t>
      </w:r>
      <w:r w:rsidRPr="001048FE">
        <w:rPr>
          <w:spacing w:val="-15"/>
          <w:lang w:val="sl-SI"/>
        </w:rPr>
        <w:t xml:space="preserve"> </w:t>
      </w:r>
      <w:r w:rsidRPr="001048FE">
        <w:rPr>
          <w:lang w:val="sl-SI"/>
        </w:rPr>
        <w:t>da</w:t>
      </w:r>
      <w:r w:rsidRPr="001048FE">
        <w:rPr>
          <w:spacing w:val="-15"/>
          <w:lang w:val="sl-SI"/>
        </w:rPr>
        <w:t xml:space="preserve"> </w:t>
      </w:r>
      <w:r w:rsidRPr="001048FE">
        <w:rPr>
          <w:lang w:val="sl-SI"/>
        </w:rPr>
        <w:t>izkusijo</w:t>
      </w:r>
      <w:r w:rsidRPr="001048FE">
        <w:rPr>
          <w:spacing w:val="-15"/>
          <w:lang w:val="sl-SI"/>
        </w:rPr>
        <w:t xml:space="preserve"> </w:t>
      </w:r>
      <w:r w:rsidRPr="001048FE">
        <w:rPr>
          <w:lang w:val="sl-SI"/>
        </w:rPr>
        <w:t>drugačno</w:t>
      </w:r>
      <w:r w:rsidRPr="001048FE">
        <w:rPr>
          <w:spacing w:val="-15"/>
          <w:lang w:val="sl-SI"/>
        </w:rPr>
        <w:t xml:space="preserve"> </w:t>
      </w:r>
      <w:r w:rsidRPr="001048FE">
        <w:rPr>
          <w:lang w:val="sl-SI"/>
        </w:rPr>
        <w:t>delovno</w:t>
      </w:r>
      <w:r w:rsidRPr="001048FE">
        <w:rPr>
          <w:spacing w:val="-15"/>
          <w:lang w:val="sl-SI"/>
        </w:rPr>
        <w:t xml:space="preserve"> </w:t>
      </w:r>
      <w:r w:rsidRPr="001048FE">
        <w:rPr>
          <w:lang w:val="sl-SI"/>
        </w:rPr>
        <w:t>okolje</w:t>
      </w:r>
      <w:r w:rsidRPr="001048FE">
        <w:rPr>
          <w:spacing w:val="-15"/>
          <w:lang w:val="sl-SI"/>
        </w:rPr>
        <w:t xml:space="preserve"> </w:t>
      </w:r>
      <w:r w:rsidRPr="001048FE">
        <w:rPr>
          <w:lang w:val="sl-SI"/>
        </w:rPr>
        <w:t>od</w:t>
      </w:r>
      <w:r w:rsidRPr="001048FE">
        <w:rPr>
          <w:spacing w:val="-15"/>
          <w:lang w:val="sl-SI"/>
        </w:rPr>
        <w:t xml:space="preserve"> </w:t>
      </w:r>
      <w:r w:rsidRPr="001048FE">
        <w:rPr>
          <w:lang w:val="sl-SI"/>
        </w:rPr>
        <w:t>tistega</w:t>
      </w:r>
      <w:r w:rsidRPr="001048FE">
        <w:rPr>
          <w:spacing w:val="-15"/>
          <w:lang w:val="sl-SI"/>
        </w:rPr>
        <w:t xml:space="preserve"> </w:t>
      </w:r>
      <w:r w:rsidRPr="001048FE">
        <w:rPr>
          <w:lang w:val="sl-SI"/>
        </w:rPr>
        <w:t>v</w:t>
      </w:r>
      <w:r w:rsidRPr="001048FE">
        <w:rPr>
          <w:spacing w:val="-15"/>
          <w:lang w:val="sl-SI"/>
        </w:rPr>
        <w:t xml:space="preserve"> </w:t>
      </w:r>
      <w:r w:rsidRPr="001048FE">
        <w:rPr>
          <w:lang w:val="sl-SI"/>
        </w:rPr>
        <w:t>državi prebivališča,</w:t>
      </w:r>
      <w:r w:rsidRPr="001048FE">
        <w:rPr>
          <w:spacing w:val="-7"/>
          <w:lang w:val="sl-SI"/>
        </w:rPr>
        <w:t xml:space="preserve"> </w:t>
      </w:r>
      <w:r w:rsidRPr="001048FE">
        <w:rPr>
          <w:lang w:val="sl-SI"/>
        </w:rPr>
        <w:t>in</w:t>
      </w:r>
      <w:r w:rsidRPr="001048FE">
        <w:rPr>
          <w:spacing w:val="-7"/>
          <w:lang w:val="sl-SI"/>
        </w:rPr>
        <w:t xml:space="preserve"> </w:t>
      </w:r>
      <w:r w:rsidRPr="001048FE">
        <w:rPr>
          <w:lang w:val="sl-SI"/>
        </w:rPr>
        <w:t>s</w:t>
      </w:r>
      <w:r w:rsidRPr="001048FE">
        <w:rPr>
          <w:spacing w:val="-7"/>
          <w:lang w:val="sl-SI"/>
        </w:rPr>
        <w:t xml:space="preserve"> </w:t>
      </w:r>
      <w:r w:rsidRPr="001048FE">
        <w:rPr>
          <w:lang w:val="sl-SI"/>
        </w:rPr>
        <w:t>tem</w:t>
      </w:r>
      <w:r w:rsidRPr="001048FE">
        <w:rPr>
          <w:spacing w:val="-7"/>
          <w:lang w:val="sl-SI"/>
        </w:rPr>
        <w:t xml:space="preserve"> </w:t>
      </w:r>
      <w:r w:rsidRPr="001048FE">
        <w:rPr>
          <w:lang w:val="sl-SI"/>
        </w:rPr>
        <w:t>krepi</w:t>
      </w:r>
      <w:r w:rsidRPr="001048FE">
        <w:rPr>
          <w:spacing w:val="-7"/>
          <w:lang w:val="sl-SI"/>
        </w:rPr>
        <w:t xml:space="preserve"> </w:t>
      </w:r>
      <w:r w:rsidRPr="001048FE">
        <w:rPr>
          <w:lang w:val="sl-SI"/>
        </w:rPr>
        <w:t>njihove</w:t>
      </w:r>
      <w:r w:rsidRPr="001048FE">
        <w:rPr>
          <w:spacing w:val="-7"/>
          <w:lang w:val="sl-SI"/>
        </w:rPr>
        <w:t xml:space="preserve"> </w:t>
      </w:r>
      <w:r w:rsidRPr="001048FE">
        <w:rPr>
          <w:lang w:val="sl-SI"/>
        </w:rPr>
        <w:t>poklicne,</w:t>
      </w:r>
      <w:r w:rsidRPr="001048FE">
        <w:rPr>
          <w:spacing w:val="-7"/>
          <w:lang w:val="sl-SI"/>
        </w:rPr>
        <w:t xml:space="preserve"> </w:t>
      </w:r>
      <w:r w:rsidRPr="001048FE">
        <w:rPr>
          <w:lang w:val="sl-SI"/>
        </w:rPr>
        <w:t>osebne</w:t>
      </w:r>
      <w:r w:rsidRPr="001048FE">
        <w:rPr>
          <w:spacing w:val="-6"/>
          <w:lang w:val="sl-SI"/>
        </w:rPr>
        <w:t xml:space="preserve"> </w:t>
      </w:r>
      <w:r w:rsidRPr="001048FE">
        <w:rPr>
          <w:lang w:val="sl-SI"/>
        </w:rPr>
        <w:t>in</w:t>
      </w:r>
      <w:r w:rsidRPr="001048FE">
        <w:rPr>
          <w:spacing w:val="-7"/>
          <w:lang w:val="sl-SI"/>
        </w:rPr>
        <w:t xml:space="preserve"> </w:t>
      </w:r>
      <w:r w:rsidRPr="001048FE">
        <w:rPr>
          <w:lang w:val="sl-SI"/>
        </w:rPr>
        <w:t>medkulturne</w:t>
      </w:r>
      <w:r w:rsidRPr="001048FE">
        <w:rPr>
          <w:spacing w:val="-7"/>
          <w:lang w:val="sl-SI"/>
        </w:rPr>
        <w:t xml:space="preserve"> </w:t>
      </w:r>
      <w:r w:rsidRPr="001048FE">
        <w:rPr>
          <w:lang w:val="sl-SI"/>
        </w:rPr>
        <w:t>kompetence.</w:t>
      </w:r>
      <w:r w:rsidRPr="001048FE">
        <w:rPr>
          <w:spacing w:val="-7"/>
          <w:lang w:val="sl-SI"/>
        </w:rPr>
        <w:t xml:space="preserve"> </w:t>
      </w:r>
      <w:r w:rsidRPr="001048FE">
        <w:rPr>
          <w:lang w:val="sl-SI"/>
        </w:rPr>
        <w:t>Mladinski</w:t>
      </w:r>
      <w:r w:rsidRPr="001048FE">
        <w:rPr>
          <w:spacing w:val="-7"/>
          <w:lang w:val="sl-SI"/>
        </w:rPr>
        <w:t xml:space="preserve"> </w:t>
      </w:r>
      <w:r w:rsidRPr="001048FE">
        <w:rPr>
          <w:lang w:val="sl-SI"/>
        </w:rPr>
        <w:t>delavci imajo možnost, da opravljajo delo v tujini v obdobju, ki traja od 2 do 12 mesecev, in aktivno prispevajo k vsakodnevnemu delu organizacije gostiteljice, hkrati pa bogatijo svoj profil strokovnjakov na</w:t>
      </w:r>
      <w:r w:rsidRPr="001048FE">
        <w:rPr>
          <w:spacing w:val="-5"/>
          <w:lang w:val="sl-SI"/>
        </w:rPr>
        <w:t xml:space="preserve"> </w:t>
      </w:r>
      <w:r w:rsidRPr="001048FE">
        <w:rPr>
          <w:lang w:val="sl-SI"/>
        </w:rPr>
        <w:t>področju.</w:t>
      </w:r>
    </w:p>
    <w:p w14:paraId="7D39AA45" w14:textId="77777777" w:rsidR="00E15C84" w:rsidRPr="001048FE" w:rsidRDefault="00E15C84" w:rsidP="0009190F">
      <w:pPr>
        <w:pStyle w:val="GUIDE-NORMAL"/>
        <w:rPr>
          <w:lang w:val="sl-SI"/>
        </w:rPr>
      </w:pPr>
      <w:r w:rsidRPr="001048FE">
        <w:rPr>
          <w:lang w:val="sl-SI"/>
        </w:rPr>
        <w:t>Cilj teh aktivnosti je tudi krepitev zmogljivosti vključenih organizacij, ki lahko izkoristijo nova stališča</w:t>
      </w:r>
      <w:r w:rsidRPr="001048FE">
        <w:rPr>
          <w:spacing w:val="-7"/>
          <w:lang w:val="sl-SI"/>
        </w:rPr>
        <w:t xml:space="preserve"> </w:t>
      </w:r>
      <w:r w:rsidRPr="001048FE">
        <w:rPr>
          <w:lang w:val="sl-SI"/>
        </w:rPr>
        <w:t>in</w:t>
      </w:r>
      <w:r w:rsidRPr="001048FE">
        <w:rPr>
          <w:spacing w:val="-7"/>
          <w:lang w:val="sl-SI"/>
        </w:rPr>
        <w:t xml:space="preserve"> </w:t>
      </w:r>
      <w:r w:rsidRPr="001048FE">
        <w:rPr>
          <w:lang w:val="sl-SI"/>
        </w:rPr>
        <w:t>izkušnje.</w:t>
      </w:r>
      <w:r w:rsidRPr="001048FE">
        <w:rPr>
          <w:spacing w:val="-7"/>
          <w:lang w:val="sl-SI"/>
        </w:rPr>
        <w:t xml:space="preserve"> </w:t>
      </w:r>
      <w:r w:rsidRPr="001048FE">
        <w:rPr>
          <w:lang w:val="sl-SI"/>
        </w:rPr>
        <w:t>Mobilnost</w:t>
      </w:r>
      <w:r w:rsidRPr="001048FE">
        <w:rPr>
          <w:spacing w:val="-7"/>
          <w:lang w:val="sl-SI"/>
        </w:rPr>
        <w:t xml:space="preserve"> </w:t>
      </w:r>
      <w:r w:rsidRPr="001048FE">
        <w:rPr>
          <w:lang w:val="sl-SI"/>
        </w:rPr>
        <w:t>se</w:t>
      </w:r>
      <w:r w:rsidRPr="001048FE">
        <w:rPr>
          <w:spacing w:val="-7"/>
          <w:lang w:val="sl-SI"/>
        </w:rPr>
        <w:t xml:space="preserve"> </w:t>
      </w:r>
      <w:r w:rsidRPr="001048FE">
        <w:rPr>
          <w:lang w:val="sl-SI"/>
        </w:rPr>
        <w:t>lahko</w:t>
      </w:r>
      <w:r w:rsidRPr="001048FE">
        <w:rPr>
          <w:spacing w:val="-7"/>
          <w:lang w:val="sl-SI"/>
        </w:rPr>
        <w:t xml:space="preserve"> </w:t>
      </w:r>
      <w:r w:rsidRPr="001048FE">
        <w:rPr>
          <w:lang w:val="sl-SI"/>
        </w:rPr>
        <w:t>izvaja</w:t>
      </w:r>
      <w:r w:rsidRPr="001048FE">
        <w:rPr>
          <w:spacing w:val="-7"/>
          <w:lang w:val="sl-SI"/>
        </w:rPr>
        <w:t xml:space="preserve"> </w:t>
      </w:r>
      <w:r w:rsidRPr="001048FE">
        <w:rPr>
          <w:lang w:val="sl-SI"/>
        </w:rPr>
        <w:t>kot</w:t>
      </w:r>
      <w:r w:rsidRPr="001048FE">
        <w:rPr>
          <w:spacing w:val="-7"/>
          <w:lang w:val="sl-SI"/>
        </w:rPr>
        <w:t xml:space="preserve"> </w:t>
      </w:r>
      <w:r w:rsidRPr="001048FE">
        <w:rPr>
          <w:lang w:val="sl-SI"/>
        </w:rPr>
        <w:t>individualna</w:t>
      </w:r>
      <w:r w:rsidRPr="001048FE">
        <w:rPr>
          <w:spacing w:val="-7"/>
          <w:lang w:val="sl-SI"/>
        </w:rPr>
        <w:t xml:space="preserve"> </w:t>
      </w:r>
      <w:r w:rsidRPr="001048FE">
        <w:rPr>
          <w:lang w:val="sl-SI"/>
        </w:rPr>
        <w:t>aktivnost</w:t>
      </w:r>
      <w:r w:rsidRPr="001048FE">
        <w:rPr>
          <w:spacing w:val="-7"/>
          <w:lang w:val="sl-SI"/>
        </w:rPr>
        <w:t xml:space="preserve"> </w:t>
      </w:r>
      <w:r w:rsidRPr="001048FE">
        <w:rPr>
          <w:lang w:val="sl-SI"/>
        </w:rPr>
        <w:t>(tj.</w:t>
      </w:r>
      <w:r w:rsidRPr="001048FE">
        <w:rPr>
          <w:spacing w:val="-7"/>
          <w:lang w:val="sl-SI"/>
        </w:rPr>
        <w:t xml:space="preserve"> </w:t>
      </w:r>
      <w:r w:rsidRPr="001048FE">
        <w:rPr>
          <w:lang w:val="sl-SI"/>
        </w:rPr>
        <w:t>en</w:t>
      </w:r>
      <w:r w:rsidRPr="001048FE">
        <w:rPr>
          <w:spacing w:val="-7"/>
          <w:lang w:val="sl-SI"/>
        </w:rPr>
        <w:t xml:space="preserve"> </w:t>
      </w:r>
      <w:r w:rsidRPr="001048FE">
        <w:rPr>
          <w:lang w:val="sl-SI"/>
        </w:rPr>
        <w:t>mladinski</w:t>
      </w:r>
      <w:r w:rsidRPr="001048FE">
        <w:rPr>
          <w:spacing w:val="-7"/>
          <w:lang w:val="sl-SI"/>
        </w:rPr>
        <w:t xml:space="preserve"> </w:t>
      </w:r>
      <w:r w:rsidRPr="001048FE">
        <w:rPr>
          <w:lang w:val="sl-SI"/>
        </w:rPr>
        <w:t>delavec</w:t>
      </w:r>
      <w:r w:rsidRPr="001048FE">
        <w:rPr>
          <w:spacing w:val="-7"/>
          <w:lang w:val="sl-SI"/>
        </w:rPr>
        <w:t xml:space="preserve"> </w:t>
      </w:r>
      <w:r w:rsidRPr="001048FE">
        <w:rPr>
          <w:lang w:val="sl-SI"/>
        </w:rPr>
        <w:t>je poslan</w:t>
      </w:r>
      <w:r w:rsidRPr="001048FE">
        <w:rPr>
          <w:spacing w:val="-16"/>
          <w:lang w:val="sl-SI"/>
        </w:rPr>
        <w:t xml:space="preserve"> </w:t>
      </w:r>
      <w:r w:rsidRPr="001048FE">
        <w:rPr>
          <w:lang w:val="sl-SI"/>
        </w:rPr>
        <w:t>v</w:t>
      </w:r>
      <w:r w:rsidRPr="001048FE">
        <w:rPr>
          <w:spacing w:val="-16"/>
          <w:lang w:val="sl-SI"/>
        </w:rPr>
        <w:t xml:space="preserve"> </w:t>
      </w:r>
      <w:r w:rsidRPr="001048FE">
        <w:rPr>
          <w:lang w:val="sl-SI"/>
        </w:rPr>
        <w:t>organizacijo</w:t>
      </w:r>
      <w:r w:rsidRPr="001048FE">
        <w:rPr>
          <w:spacing w:val="-15"/>
          <w:lang w:val="sl-SI"/>
        </w:rPr>
        <w:t xml:space="preserve"> </w:t>
      </w:r>
      <w:r w:rsidRPr="001048FE">
        <w:rPr>
          <w:lang w:val="sl-SI"/>
        </w:rPr>
        <w:t>gostiteljico)</w:t>
      </w:r>
      <w:r w:rsidRPr="001048FE">
        <w:rPr>
          <w:spacing w:val="-16"/>
          <w:lang w:val="sl-SI"/>
        </w:rPr>
        <w:t xml:space="preserve"> </w:t>
      </w:r>
      <w:r w:rsidRPr="001048FE">
        <w:rPr>
          <w:lang w:val="sl-SI"/>
        </w:rPr>
        <w:t>ali</w:t>
      </w:r>
      <w:r w:rsidRPr="001048FE">
        <w:rPr>
          <w:spacing w:val="-16"/>
          <w:lang w:val="sl-SI"/>
        </w:rPr>
        <w:t xml:space="preserve"> </w:t>
      </w:r>
      <w:r w:rsidRPr="001048FE">
        <w:rPr>
          <w:lang w:val="sl-SI"/>
        </w:rPr>
        <w:t>v</w:t>
      </w:r>
      <w:r w:rsidRPr="001048FE">
        <w:rPr>
          <w:spacing w:val="-16"/>
          <w:lang w:val="sl-SI"/>
        </w:rPr>
        <w:t xml:space="preserve"> </w:t>
      </w:r>
      <w:r w:rsidRPr="001048FE">
        <w:rPr>
          <w:lang w:val="sl-SI"/>
        </w:rPr>
        <w:t>paru,</w:t>
      </w:r>
      <w:r w:rsidRPr="001048FE">
        <w:rPr>
          <w:spacing w:val="-16"/>
          <w:lang w:val="sl-SI"/>
        </w:rPr>
        <w:t xml:space="preserve"> </w:t>
      </w:r>
      <w:r w:rsidRPr="001048FE">
        <w:rPr>
          <w:lang w:val="sl-SI"/>
        </w:rPr>
        <w:t>kot</w:t>
      </w:r>
      <w:r w:rsidRPr="001048FE">
        <w:rPr>
          <w:spacing w:val="-16"/>
          <w:lang w:val="sl-SI"/>
        </w:rPr>
        <w:t xml:space="preserve"> </w:t>
      </w:r>
      <w:r w:rsidRPr="001048FE">
        <w:rPr>
          <w:lang w:val="sl-SI"/>
        </w:rPr>
        <w:t>vzajemna</w:t>
      </w:r>
      <w:r w:rsidRPr="001048FE">
        <w:rPr>
          <w:spacing w:val="-16"/>
          <w:lang w:val="sl-SI"/>
        </w:rPr>
        <w:t xml:space="preserve"> </w:t>
      </w:r>
      <w:r w:rsidRPr="001048FE">
        <w:rPr>
          <w:lang w:val="sl-SI"/>
        </w:rPr>
        <w:t>izmenjava</w:t>
      </w:r>
      <w:r w:rsidRPr="001048FE">
        <w:rPr>
          <w:spacing w:val="-16"/>
          <w:lang w:val="sl-SI"/>
        </w:rPr>
        <w:t xml:space="preserve"> </w:t>
      </w:r>
      <w:r w:rsidRPr="001048FE">
        <w:rPr>
          <w:lang w:val="sl-SI"/>
        </w:rPr>
        <w:t>mladinskih</w:t>
      </w:r>
      <w:r w:rsidRPr="001048FE">
        <w:rPr>
          <w:spacing w:val="-16"/>
          <w:lang w:val="sl-SI"/>
        </w:rPr>
        <w:t xml:space="preserve"> </w:t>
      </w:r>
      <w:r w:rsidRPr="001048FE">
        <w:rPr>
          <w:lang w:val="sl-SI"/>
        </w:rPr>
        <w:t>delavcev</w:t>
      </w:r>
      <w:r w:rsidRPr="001048FE">
        <w:rPr>
          <w:spacing w:val="-16"/>
          <w:lang w:val="sl-SI"/>
        </w:rPr>
        <w:t xml:space="preserve"> </w:t>
      </w:r>
      <w:r w:rsidRPr="001048FE">
        <w:rPr>
          <w:lang w:val="sl-SI"/>
        </w:rPr>
        <w:t>(sočasno ali ne) med dvema partnerskima</w:t>
      </w:r>
      <w:r w:rsidRPr="001048FE">
        <w:rPr>
          <w:spacing w:val="-14"/>
          <w:lang w:val="sl-SI"/>
        </w:rPr>
        <w:t xml:space="preserve"> </w:t>
      </w:r>
      <w:r w:rsidRPr="001048FE">
        <w:rPr>
          <w:lang w:val="sl-SI"/>
        </w:rPr>
        <w:t>organizacijama.</w:t>
      </w:r>
    </w:p>
    <w:p w14:paraId="7D39AA46" w14:textId="77777777" w:rsidR="00E15C84" w:rsidRPr="001048FE" w:rsidRDefault="00E15C84" w:rsidP="0009190F">
      <w:pPr>
        <w:pStyle w:val="Guide-Heading4"/>
        <w:rPr>
          <w:lang w:val="sl-SI"/>
        </w:rPr>
      </w:pPr>
      <w:bookmarkStart w:id="705" w:name="_Toc527401346"/>
      <w:r w:rsidRPr="001048FE">
        <w:rPr>
          <w:lang w:val="sl-SI"/>
        </w:rPr>
        <w:t>Spletna jezikovna podpora</w:t>
      </w:r>
      <w:bookmarkEnd w:id="705"/>
    </w:p>
    <w:p w14:paraId="7D39AA47" w14:textId="77777777" w:rsidR="00E15C84" w:rsidRPr="001048FE" w:rsidRDefault="00E15C84" w:rsidP="0009190F">
      <w:pPr>
        <w:pStyle w:val="GUIDE-NORMAL"/>
        <w:rPr>
          <w:lang w:val="sl-SI"/>
        </w:rPr>
      </w:pPr>
      <w:r w:rsidRPr="001048FE">
        <w:rPr>
          <w:lang w:val="sl-SI"/>
        </w:rPr>
        <w:t>Udeleženci aktivnosti dolgotrajne mobilnosti v strateškem partnerstvu lahko izkoristijo jezikovno pripravo.</w:t>
      </w:r>
      <w:r w:rsidRPr="001048FE">
        <w:rPr>
          <w:spacing w:val="-18"/>
          <w:lang w:val="sl-SI"/>
        </w:rPr>
        <w:t xml:space="preserve"> </w:t>
      </w:r>
      <w:r w:rsidRPr="001048FE">
        <w:rPr>
          <w:lang w:val="sl-SI"/>
        </w:rPr>
        <w:t>V</w:t>
      </w:r>
      <w:r w:rsidRPr="001048FE">
        <w:rPr>
          <w:spacing w:val="-18"/>
          <w:lang w:val="sl-SI"/>
        </w:rPr>
        <w:t xml:space="preserve"> </w:t>
      </w:r>
      <w:r w:rsidRPr="001048FE">
        <w:rPr>
          <w:lang w:val="sl-SI"/>
        </w:rPr>
        <w:t>zvezi</w:t>
      </w:r>
      <w:r w:rsidRPr="001048FE">
        <w:rPr>
          <w:spacing w:val="-18"/>
          <w:lang w:val="sl-SI"/>
        </w:rPr>
        <w:t xml:space="preserve"> </w:t>
      </w:r>
      <w:r w:rsidRPr="001048FE">
        <w:rPr>
          <w:lang w:val="sl-SI"/>
        </w:rPr>
        <w:t>s</w:t>
      </w:r>
      <w:r w:rsidRPr="001048FE">
        <w:rPr>
          <w:spacing w:val="-18"/>
          <w:lang w:val="sl-SI"/>
        </w:rPr>
        <w:t xml:space="preserve"> </w:t>
      </w:r>
      <w:r w:rsidRPr="001048FE">
        <w:rPr>
          <w:lang w:val="sl-SI"/>
        </w:rPr>
        <w:t>tem</w:t>
      </w:r>
      <w:r w:rsidRPr="001048FE">
        <w:rPr>
          <w:spacing w:val="-18"/>
          <w:lang w:val="sl-SI"/>
        </w:rPr>
        <w:t xml:space="preserve"> </w:t>
      </w:r>
      <w:r w:rsidRPr="001048FE">
        <w:rPr>
          <w:lang w:val="sl-SI"/>
        </w:rPr>
        <w:t>se</w:t>
      </w:r>
      <w:r w:rsidRPr="001048FE">
        <w:rPr>
          <w:spacing w:val="-18"/>
          <w:lang w:val="sl-SI"/>
        </w:rPr>
        <w:t xml:space="preserve"> </w:t>
      </w:r>
      <w:r w:rsidRPr="001048FE">
        <w:rPr>
          <w:lang w:val="sl-SI"/>
        </w:rPr>
        <w:t>bo</w:t>
      </w:r>
      <w:r w:rsidRPr="001048FE">
        <w:rPr>
          <w:spacing w:val="-18"/>
          <w:lang w:val="sl-SI"/>
        </w:rPr>
        <w:t xml:space="preserve"> </w:t>
      </w:r>
      <w:r w:rsidRPr="001048FE">
        <w:rPr>
          <w:lang w:val="sl-SI"/>
        </w:rPr>
        <w:t>v</w:t>
      </w:r>
      <w:r w:rsidRPr="001048FE">
        <w:rPr>
          <w:spacing w:val="-18"/>
          <w:lang w:val="sl-SI"/>
        </w:rPr>
        <w:t xml:space="preserve"> </w:t>
      </w:r>
      <w:r w:rsidRPr="001048FE">
        <w:rPr>
          <w:lang w:val="sl-SI"/>
        </w:rPr>
        <w:t>okviru</w:t>
      </w:r>
      <w:r w:rsidRPr="001048FE">
        <w:rPr>
          <w:spacing w:val="-17"/>
          <w:lang w:val="sl-SI"/>
        </w:rPr>
        <w:t xml:space="preserve"> </w:t>
      </w:r>
      <w:r w:rsidRPr="001048FE">
        <w:rPr>
          <w:lang w:val="sl-SI"/>
        </w:rPr>
        <w:t>Programa</w:t>
      </w:r>
      <w:r w:rsidRPr="001048FE">
        <w:rPr>
          <w:spacing w:val="-18"/>
          <w:lang w:val="sl-SI"/>
        </w:rPr>
        <w:t xml:space="preserve"> </w:t>
      </w:r>
      <w:r w:rsidRPr="001048FE">
        <w:rPr>
          <w:lang w:val="sl-SI"/>
        </w:rPr>
        <w:t>sčasoma</w:t>
      </w:r>
      <w:r w:rsidRPr="001048FE">
        <w:rPr>
          <w:spacing w:val="-18"/>
          <w:lang w:val="sl-SI"/>
        </w:rPr>
        <w:t xml:space="preserve"> </w:t>
      </w:r>
      <w:r w:rsidRPr="001048FE">
        <w:rPr>
          <w:lang w:val="sl-SI"/>
        </w:rPr>
        <w:t>začela</w:t>
      </w:r>
      <w:r w:rsidRPr="001048FE">
        <w:rPr>
          <w:spacing w:val="-18"/>
          <w:lang w:val="sl-SI"/>
        </w:rPr>
        <w:t xml:space="preserve"> </w:t>
      </w:r>
      <w:r w:rsidRPr="001048FE">
        <w:rPr>
          <w:lang w:val="sl-SI"/>
        </w:rPr>
        <w:t>izvajati</w:t>
      </w:r>
      <w:r w:rsidRPr="001048FE">
        <w:rPr>
          <w:spacing w:val="-18"/>
          <w:lang w:val="sl-SI"/>
        </w:rPr>
        <w:t xml:space="preserve"> </w:t>
      </w:r>
      <w:r w:rsidRPr="001048FE">
        <w:rPr>
          <w:lang w:val="sl-SI"/>
        </w:rPr>
        <w:t>spletna</w:t>
      </w:r>
      <w:r w:rsidRPr="001048FE">
        <w:rPr>
          <w:spacing w:val="-18"/>
          <w:lang w:val="sl-SI"/>
        </w:rPr>
        <w:t xml:space="preserve"> </w:t>
      </w:r>
      <w:r w:rsidRPr="001048FE">
        <w:rPr>
          <w:lang w:val="sl-SI"/>
        </w:rPr>
        <w:t>jezikovna</w:t>
      </w:r>
      <w:r w:rsidRPr="001048FE">
        <w:rPr>
          <w:spacing w:val="-18"/>
          <w:lang w:val="sl-SI"/>
        </w:rPr>
        <w:t xml:space="preserve"> </w:t>
      </w:r>
      <w:r w:rsidRPr="001048FE">
        <w:rPr>
          <w:lang w:val="sl-SI"/>
        </w:rPr>
        <w:t>podpora. Evropska</w:t>
      </w:r>
      <w:r w:rsidRPr="001048FE">
        <w:rPr>
          <w:spacing w:val="-20"/>
          <w:lang w:val="sl-SI"/>
        </w:rPr>
        <w:t xml:space="preserve"> </w:t>
      </w:r>
      <w:r w:rsidRPr="001048FE">
        <w:rPr>
          <w:lang w:val="sl-SI"/>
        </w:rPr>
        <w:t>komisija</w:t>
      </w:r>
      <w:r w:rsidRPr="001048FE">
        <w:rPr>
          <w:spacing w:val="-20"/>
          <w:lang w:val="sl-SI"/>
        </w:rPr>
        <w:t xml:space="preserve"> </w:t>
      </w:r>
      <w:r w:rsidRPr="001048FE">
        <w:rPr>
          <w:lang w:val="sl-SI"/>
        </w:rPr>
        <w:t>dostop</w:t>
      </w:r>
      <w:r w:rsidRPr="001048FE">
        <w:rPr>
          <w:spacing w:val="-20"/>
          <w:lang w:val="sl-SI"/>
        </w:rPr>
        <w:t xml:space="preserve"> </w:t>
      </w:r>
      <w:r w:rsidRPr="001048FE">
        <w:rPr>
          <w:lang w:val="sl-SI"/>
        </w:rPr>
        <w:t>do</w:t>
      </w:r>
      <w:r w:rsidRPr="001048FE">
        <w:rPr>
          <w:spacing w:val="-20"/>
          <w:lang w:val="sl-SI"/>
        </w:rPr>
        <w:t xml:space="preserve"> </w:t>
      </w:r>
      <w:r w:rsidRPr="001048FE">
        <w:rPr>
          <w:lang w:val="sl-SI"/>
        </w:rPr>
        <w:t>take</w:t>
      </w:r>
      <w:r w:rsidRPr="001048FE">
        <w:rPr>
          <w:spacing w:val="-20"/>
          <w:lang w:val="sl-SI"/>
        </w:rPr>
        <w:t xml:space="preserve"> </w:t>
      </w:r>
      <w:r w:rsidRPr="001048FE">
        <w:rPr>
          <w:lang w:val="sl-SI"/>
        </w:rPr>
        <w:t>spletne</w:t>
      </w:r>
      <w:r w:rsidRPr="001048FE">
        <w:rPr>
          <w:spacing w:val="-20"/>
          <w:lang w:val="sl-SI"/>
        </w:rPr>
        <w:t xml:space="preserve"> </w:t>
      </w:r>
      <w:r w:rsidRPr="001048FE">
        <w:rPr>
          <w:lang w:val="sl-SI"/>
        </w:rPr>
        <w:t>podpore</w:t>
      </w:r>
      <w:r w:rsidRPr="001048FE">
        <w:rPr>
          <w:spacing w:val="-20"/>
          <w:lang w:val="sl-SI"/>
        </w:rPr>
        <w:t xml:space="preserve"> </w:t>
      </w:r>
      <w:r w:rsidRPr="001048FE">
        <w:rPr>
          <w:lang w:val="sl-SI"/>
        </w:rPr>
        <w:t>omogoči</w:t>
      </w:r>
      <w:r w:rsidRPr="001048FE">
        <w:rPr>
          <w:spacing w:val="-19"/>
          <w:lang w:val="sl-SI"/>
        </w:rPr>
        <w:t xml:space="preserve"> </w:t>
      </w:r>
      <w:r w:rsidRPr="001048FE">
        <w:rPr>
          <w:lang w:val="sl-SI"/>
        </w:rPr>
        <w:t>za</w:t>
      </w:r>
      <w:r w:rsidRPr="001048FE">
        <w:rPr>
          <w:spacing w:val="-20"/>
          <w:lang w:val="sl-SI"/>
        </w:rPr>
        <w:t xml:space="preserve"> </w:t>
      </w:r>
      <w:r w:rsidRPr="001048FE">
        <w:rPr>
          <w:lang w:val="sl-SI"/>
        </w:rPr>
        <w:t>izbrano</w:t>
      </w:r>
      <w:r w:rsidRPr="001048FE">
        <w:rPr>
          <w:spacing w:val="-20"/>
          <w:lang w:val="sl-SI"/>
        </w:rPr>
        <w:t xml:space="preserve"> </w:t>
      </w:r>
      <w:r w:rsidRPr="001048FE">
        <w:rPr>
          <w:lang w:val="sl-SI"/>
        </w:rPr>
        <w:t>osebje</w:t>
      </w:r>
      <w:r w:rsidRPr="001048FE">
        <w:rPr>
          <w:spacing w:val="-19"/>
          <w:lang w:val="sl-SI"/>
        </w:rPr>
        <w:t xml:space="preserve"> </w:t>
      </w:r>
      <w:r w:rsidRPr="001048FE">
        <w:rPr>
          <w:lang w:val="sl-SI"/>
        </w:rPr>
        <w:t>in</w:t>
      </w:r>
      <w:r w:rsidRPr="001048FE">
        <w:rPr>
          <w:spacing w:val="-20"/>
          <w:lang w:val="sl-SI"/>
        </w:rPr>
        <w:t xml:space="preserve"> </w:t>
      </w:r>
      <w:r w:rsidRPr="001048FE">
        <w:rPr>
          <w:lang w:val="sl-SI"/>
        </w:rPr>
        <w:t>mladinske</w:t>
      </w:r>
      <w:r w:rsidRPr="001048FE">
        <w:rPr>
          <w:spacing w:val="-20"/>
          <w:lang w:val="sl-SI"/>
        </w:rPr>
        <w:t xml:space="preserve"> </w:t>
      </w:r>
      <w:r w:rsidRPr="001048FE">
        <w:rPr>
          <w:lang w:val="sl-SI"/>
        </w:rPr>
        <w:t>delavce, da bi ocenila njihovo znanje jezika, ki ga bodo uporabljali pri študiju v</w:t>
      </w:r>
      <w:r w:rsidRPr="001048FE">
        <w:rPr>
          <w:spacing w:val="-18"/>
          <w:lang w:val="sl-SI"/>
        </w:rPr>
        <w:t xml:space="preserve"> </w:t>
      </w:r>
      <w:r w:rsidRPr="001048FE">
        <w:rPr>
          <w:lang w:val="sl-SI"/>
        </w:rPr>
        <w:t>tujini.</w:t>
      </w:r>
    </w:p>
    <w:p w14:paraId="7D39AA48" w14:textId="77777777" w:rsidR="00E15C84" w:rsidRPr="001048FE" w:rsidRDefault="00E15C84" w:rsidP="0009190F">
      <w:pPr>
        <w:pStyle w:val="GUIDE-NORMAL"/>
        <w:rPr>
          <w:lang w:val="sl-SI"/>
        </w:rPr>
      </w:pPr>
      <w:r w:rsidRPr="001048FE">
        <w:rPr>
          <w:lang w:val="sl-SI"/>
        </w:rPr>
        <w:t>S tem orodjem lahko po potrebi tudi izboljšajo znanje jezika pred in/ali med obdobjem mobilnosti.</w:t>
      </w:r>
    </w:p>
    <w:p w14:paraId="7D39AA49" w14:textId="77777777" w:rsidR="00E15C84" w:rsidRPr="001048FE" w:rsidRDefault="00E15C84" w:rsidP="0009190F">
      <w:pPr>
        <w:pStyle w:val="GUIDE-NORMAL"/>
        <w:rPr>
          <w:lang w:val="sl-SI"/>
        </w:rPr>
      </w:pPr>
      <w:r w:rsidRPr="001048FE">
        <w:rPr>
          <w:lang w:val="sl-SI"/>
        </w:rPr>
        <w:t>Pri</w:t>
      </w:r>
      <w:r w:rsidRPr="001048FE">
        <w:rPr>
          <w:spacing w:val="-19"/>
          <w:lang w:val="sl-SI"/>
        </w:rPr>
        <w:t xml:space="preserve"> </w:t>
      </w:r>
      <w:r w:rsidRPr="001048FE">
        <w:rPr>
          <w:lang w:val="sl-SI"/>
        </w:rPr>
        <w:t>izvajanju</w:t>
      </w:r>
      <w:r w:rsidRPr="001048FE">
        <w:rPr>
          <w:spacing w:val="-19"/>
          <w:lang w:val="sl-SI"/>
        </w:rPr>
        <w:t xml:space="preserve"> </w:t>
      </w:r>
      <w:r w:rsidRPr="001048FE">
        <w:rPr>
          <w:lang w:val="sl-SI"/>
        </w:rPr>
        <w:t>za</w:t>
      </w:r>
      <w:r w:rsidRPr="001048FE">
        <w:rPr>
          <w:spacing w:val="-19"/>
          <w:lang w:val="sl-SI"/>
        </w:rPr>
        <w:t xml:space="preserve"> </w:t>
      </w:r>
      <w:r w:rsidRPr="001048FE">
        <w:rPr>
          <w:lang w:val="sl-SI"/>
        </w:rPr>
        <w:t>osebje</w:t>
      </w:r>
      <w:r w:rsidRPr="001048FE">
        <w:rPr>
          <w:spacing w:val="-18"/>
          <w:lang w:val="sl-SI"/>
        </w:rPr>
        <w:t xml:space="preserve"> </w:t>
      </w:r>
      <w:r w:rsidRPr="001048FE">
        <w:rPr>
          <w:lang w:val="sl-SI"/>
        </w:rPr>
        <w:t>in</w:t>
      </w:r>
      <w:r w:rsidRPr="001048FE">
        <w:rPr>
          <w:spacing w:val="-19"/>
          <w:lang w:val="sl-SI"/>
        </w:rPr>
        <w:t xml:space="preserve"> </w:t>
      </w:r>
      <w:r w:rsidRPr="001048FE">
        <w:rPr>
          <w:lang w:val="sl-SI"/>
        </w:rPr>
        <w:t>mladinske</w:t>
      </w:r>
      <w:r w:rsidRPr="001048FE">
        <w:rPr>
          <w:spacing w:val="-19"/>
          <w:lang w:val="sl-SI"/>
        </w:rPr>
        <w:t xml:space="preserve"> </w:t>
      </w:r>
      <w:r w:rsidRPr="001048FE">
        <w:rPr>
          <w:lang w:val="sl-SI"/>
        </w:rPr>
        <w:t>delavce</w:t>
      </w:r>
      <w:r w:rsidRPr="001048FE">
        <w:rPr>
          <w:spacing w:val="-19"/>
          <w:lang w:val="sl-SI"/>
        </w:rPr>
        <w:t xml:space="preserve"> </w:t>
      </w:r>
      <w:r w:rsidRPr="001048FE">
        <w:rPr>
          <w:lang w:val="sl-SI"/>
        </w:rPr>
        <w:t>se</w:t>
      </w:r>
      <w:r w:rsidRPr="001048FE">
        <w:rPr>
          <w:spacing w:val="-19"/>
          <w:lang w:val="sl-SI"/>
        </w:rPr>
        <w:t xml:space="preserve"> </w:t>
      </w:r>
      <w:r w:rsidRPr="001048FE">
        <w:rPr>
          <w:lang w:val="sl-SI"/>
        </w:rPr>
        <w:t>bo</w:t>
      </w:r>
      <w:r w:rsidRPr="001048FE">
        <w:rPr>
          <w:spacing w:val="-19"/>
          <w:lang w:val="sl-SI"/>
        </w:rPr>
        <w:t xml:space="preserve"> </w:t>
      </w:r>
      <w:r w:rsidRPr="001048FE">
        <w:rPr>
          <w:lang w:val="sl-SI"/>
        </w:rPr>
        <w:t>spletna</w:t>
      </w:r>
      <w:r w:rsidRPr="001048FE">
        <w:rPr>
          <w:spacing w:val="-19"/>
          <w:lang w:val="sl-SI"/>
        </w:rPr>
        <w:t xml:space="preserve"> </w:t>
      </w:r>
      <w:r w:rsidRPr="001048FE">
        <w:rPr>
          <w:lang w:val="sl-SI"/>
        </w:rPr>
        <w:t>jezikovna</w:t>
      </w:r>
      <w:r w:rsidRPr="001048FE">
        <w:rPr>
          <w:spacing w:val="-19"/>
          <w:lang w:val="sl-SI"/>
        </w:rPr>
        <w:t xml:space="preserve"> </w:t>
      </w:r>
      <w:r w:rsidRPr="001048FE">
        <w:rPr>
          <w:lang w:val="sl-SI"/>
        </w:rPr>
        <w:t>podpora</w:t>
      </w:r>
      <w:r w:rsidRPr="001048FE">
        <w:rPr>
          <w:spacing w:val="-19"/>
          <w:lang w:val="sl-SI"/>
        </w:rPr>
        <w:t xml:space="preserve"> </w:t>
      </w:r>
      <w:r w:rsidRPr="001048FE">
        <w:rPr>
          <w:lang w:val="sl-SI"/>
        </w:rPr>
        <w:t>zagotovila</w:t>
      </w:r>
      <w:r w:rsidRPr="001048FE">
        <w:rPr>
          <w:spacing w:val="-19"/>
          <w:lang w:val="sl-SI"/>
        </w:rPr>
        <w:t xml:space="preserve"> </w:t>
      </w:r>
      <w:r w:rsidRPr="001048FE">
        <w:rPr>
          <w:lang w:val="sl-SI"/>
        </w:rPr>
        <w:t>na</w:t>
      </w:r>
      <w:r w:rsidRPr="001048FE">
        <w:rPr>
          <w:spacing w:val="-19"/>
          <w:lang w:val="sl-SI"/>
        </w:rPr>
        <w:t xml:space="preserve"> </w:t>
      </w:r>
      <w:r w:rsidRPr="001048FE">
        <w:rPr>
          <w:lang w:val="sl-SI"/>
        </w:rPr>
        <w:t>naslednji način:</w:t>
      </w:r>
    </w:p>
    <w:p w14:paraId="7D39AA4A" w14:textId="77777777" w:rsidR="00E15C84" w:rsidRPr="001048FE" w:rsidRDefault="00E15C84" w:rsidP="005115F2">
      <w:pPr>
        <w:pStyle w:val="Guide-NormalBulletpoints"/>
        <w:numPr>
          <w:ilvl w:val="0"/>
          <w:numId w:val="458"/>
        </w:numPr>
        <w:rPr>
          <w:lang w:val="sl-SI"/>
        </w:rPr>
      </w:pPr>
      <w:r w:rsidRPr="001048FE">
        <w:rPr>
          <w:lang w:val="sl-SI"/>
        </w:rPr>
        <w:t>nacionalne agencije organizacijam dodelijo spletne licence v skladu s splošnimi merili, ki jih opredeli Evropska komisija;</w:t>
      </w:r>
    </w:p>
    <w:p w14:paraId="7D39AA4B" w14:textId="77777777" w:rsidR="0009190F" w:rsidRPr="001048FE" w:rsidRDefault="00E15C84" w:rsidP="005115F2">
      <w:pPr>
        <w:pStyle w:val="Guide-NormalBulletpoints"/>
        <w:numPr>
          <w:ilvl w:val="0"/>
          <w:numId w:val="458"/>
        </w:numPr>
        <w:rPr>
          <w:lang w:val="sl-SI"/>
        </w:rPr>
      </w:pPr>
      <w:r w:rsidRPr="001048FE">
        <w:rPr>
          <w:lang w:val="sl-SI"/>
        </w:rPr>
        <w:t>vsi udeleženci (razen govorcev maternega jezika), ko so izbrani in ki bodo lahko izkoristili uporabo</w:t>
      </w:r>
      <w:r w:rsidRPr="001048FE">
        <w:rPr>
          <w:spacing w:val="-15"/>
          <w:lang w:val="sl-SI"/>
        </w:rPr>
        <w:t xml:space="preserve"> </w:t>
      </w:r>
      <w:r w:rsidRPr="001048FE">
        <w:rPr>
          <w:lang w:val="sl-SI"/>
        </w:rPr>
        <w:t>spletne</w:t>
      </w:r>
      <w:r w:rsidRPr="001048FE">
        <w:rPr>
          <w:spacing w:val="-15"/>
          <w:lang w:val="sl-SI"/>
        </w:rPr>
        <w:t xml:space="preserve"> </w:t>
      </w:r>
      <w:r w:rsidRPr="001048FE">
        <w:rPr>
          <w:lang w:val="sl-SI"/>
        </w:rPr>
        <w:t>storitve,</w:t>
      </w:r>
      <w:r w:rsidRPr="001048FE">
        <w:rPr>
          <w:spacing w:val="-15"/>
          <w:lang w:val="sl-SI"/>
        </w:rPr>
        <w:t xml:space="preserve"> </w:t>
      </w:r>
      <w:r w:rsidRPr="001048FE">
        <w:rPr>
          <w:lang w:val="sl-SI"/>
        </w:rPr>
        <w:t>bodo</w:t>
      </w:r>
      <w:r w:rsidRPr="001048FE">
        <w:rPr>
          <w:spacing w:val="-15"/>
          <w:lang w:val="sl-SI"/>
        </w:rPr>
        <w:t xml:space="preserve"> </w:t>
      </w:r>
      <w:r w:rsidRPr="001048FE">
        <w:rPr>
          <w:lang w:val="sl-SI"/>
        </w:rPr>
        <w:t>izvedli</w:t>
      </w:r>
      <w:r w:rsidRPr="001048FE">
        <w:rPr>
          <w:spacing w:val="-15"/>
          <w:lang w:val="sl-SI"/>
        </w:rPr>
        <w:t xml:space="preserve"> </w:t>
      </w:r>
      <w:r w:rsidRPr="001048FE">
        <w:rPr>
          <w:lang w:val="sl-SI"/>
        </w:rPr>
        <w:t>spletni</w:t>
      </w:r>
      <w:r w:rsidRPr="001048FE">
        <w:rPr>
          <w:spacing w:val="-15"/>
          <w:lang w:val="sl-SI"/>
        </w:rPr>
        <w:t xml:space="preserve"> </w:t>
      </w:r>
      <w:r w:rsidRPr="001048FE">
        <w:rPr>
          <w:lang w:val="sl-SI"/>
        </w:rPr>
        <w:t>preskus</w:t>
      </w:r>
      <w:r w:rsidRPr="001048FE">
        <w:rPr>
          <w:spacing w:val="-15"/>
          <w:lang w:val="sl-SI"/>
        </w:rPr>
        <w:t xml:space="preserve"> </w:t>
      </w:r>
      <w:r w:rsidRPr="001048FE">
        <w:rPr>
          <w:lang w:val="sl-SI"/>
        </w:rPr>
        <w:t>znanja,</w:t>
      </w:r>
      <w:r w:rsidRPr="001048FE">
        <w:rPr>
          <w:spacing w:val="-15"/>
          <w:lang w:val="sl-SI"/>
        </w:rPr>
        <w:t xml:space="preserve"> </w:t>
      </w:r>
      <w:r w:rsidRPr="001048FE">
        <w:rPr>
          <w:lang w:val="sl-SI"/>
        </w:rPr>
        <w:t>da</w:t>
      </w:r>
      <w:r w:rsidRPr="001048FE">
        <w:rPr>
          <w:spacing w:val="-15"/>
          <w:lang w:val="sl-SI"/>
        </w:rPr>
        <w:t xml:space="preserve"> </w:t>
      </w:r>
      <w:r w:rsidRPr="001048FE">
        <w:rPr>
          <w:lang w:val="sl-SI"/>
        </w:rPr>
        <w:t>se</w:t>
      </w:r>
      <w:r w:rsidRPr="001048FE">
        <w:rPr>
          <w:spacing w:val="-15"/>
          <w:lang w:val="sl-SI"/>
        </w:rPr>
        <w:t xml:space="preserve"> </w:t>
      </w:r>
      <w:r w:rsidRPr="001048FE">
        <w:rPr>
          <w:lang w:val="sl-SI"/>
        </w:rPr>
        <w:t>oceni</w:t>
      </w:r>
      <w:r w:rsidRPr="001048FE">
        <w:rPr>
          <w:spacing w:val="-15"/>
          <w:lang w:val="sl-SI"/>
        </w:rPr>
        <w:t xml:space="preserve"> </w:t>
      </w:r>
      <w:r w:rsidRPr="001048FE">
        <w:rPr>
          <w:lang w:val="sl-SI"/>
        </w:rPr>
        <w:t>njihovo</w:t>
      </w:r>
      <w:r w:rsidRPr="001048FE">
        <w:rPr>
          <w:spacing w:val="-15"/>
          <w:lang w:val="sl-SI"/>
        </w:rPr>
        <w:t xml:space="preserve"> </w:t>
      </w:r>
      <w:r w:rsidRPr="001048FE">
        <w:rPr>
          <w:lang w:val="sl-SI"/>
        </w:rPr>
        <w:t>znanje</w:t>
      </w:r>
      <w:r w:rsidRPr="001048FE">
        <w:rPr>
          <w:spacing w:val="-15"/>
          <w:lang w:val="sl-SI"/>
        </w:rPr>
        <w:t xml:space="preserve"> </w:t>
      </w:r>
      <w:r w:rsidRPr="001048FE">
        <w:rPr>
          <w:lang w:val="sl-SI"/>
        </w:rPr>
        <w:t xml:space="preserve">jezika, ki ga bodo uporabljali med študijem. Rezultati tega preskusa bodo posredovani udeležencu. </w:t>
      </w:r>
    </w:p>
    <w:p w14:paraId="7D39AA4C" w14:textId="77777777" w:rsidR="00E15C84" w:rsidRPr="001048FE" w:rsidRDefault="00E15C84" w:rsidP="005115F2">
      <w:pPr>
        <w:pStyle w:val="Guide-NormalBulletpoints"/>
        <w:numPr>
          <w:ilvl w:val="0"/>
          <w:numId w:val="458"/>
        </w:numPr>
        <w:rPr>
          <w:lang w:val="sl-SI"/>
        </w:rPr>
      </w:pPr>
      <w:r w:rsidRPr="001048FE">
        <w:rPr>
          <w:lang w:val="sl-SI"/>
        </w:rPr>
        <w:t>glede na število spletnih licenc, ki bodo na voljo za jezikovne tečaje, bodo organizacije razdelile licence v skladu s</w:t>
      </w:r>
      <w:r w:rsidRPr="001048FE">
        <w:rPr>
          <w:spacing w:val="-13"/>
          <w:lang w:val="sl-SI"/>
        </w:rPr>
        <w:t xml:space="preserve"> </w:t>
      </w:r>
      <w:r w:rsidRPr="001048FE">
        <w:rPr>
          <w:lang w:val="sl-SI"/>
        </w:rPr>
        <w:t>potrebami;</w:t>
      </w:r>
    </w:p>
    <w:p w14:paraId="7D39AA4D" w14:textId="77777777" w:rsidR="00E15C84" w:rsidRPr="001048FE" w:rsidRDefault="00E15C84" w:rsidP="005115F2">
      <w:pPr>
        <w:pStyle w:val="Guide-NormalBulletpoints"/>
        <w:numPr>
          <w:ilvl w:val="0"/>
          <w:numId w:val="458"/>
        </w:numPr>
        <w:rPr>
          <w:lang w:val="sl-SI"/>
        </w:rPr>
      </w:pPr>
      <w:r w:rsidRPr="001048FE">
        <w:rPr>
          <w:lang w:val="sl-SI"/>
        </w:rPr>
        <w:t>ob koncu obdobja mobilnosti bodo udeleženci opravili drugo oceno, da se ugotovi napredek v učenju tujega jezika.</w:t>
      </w:r>
    </w:p>
    <w:p w14:paraId="7D39AA4E" w14:textId="77777777" w:rsidR="00E15C84" w:rsidRPr="001048FE" w:rsidRDefault="00E15C84" w:rsidP="0009190F">
      <w:pPr>
        <w:pStyle w:val="GUIDE-NORMAL"/>
        <w:rPr>
          <w:lang w:val="sl-SI"/>
        </w:rPr>
      </w:pPr>
      <w:r w:rsidRPr="001048FE">
        <w:rPr>
          <w:lang w:val="sl-SI"/>
        </w:rPr>
        <w:t>Več informacij o spletni jezikovni podpori je na voljo na spletiščih Evropske komisije in nacionalnih agencij.</w:t>
      </w:r>
    </w:p>
    <w:p w14:paraId="7D39AA4F" w14:textId="77777777" w:rsidR="00E15C84" w:rsidRPr="001048FE" w:rsidRDefault="00E15C84" w:rsidP="0009190F">
      <w:pPr>
        <w:pStyle w:val="GUIDE-NORMAL"/>
        <w:rPr>
          <w:lang w:val="sl-SI"/>
        </w:rPr>
      </w:pPr>
      <w:r w:rsidRPr="001048FE">
        <w:rPr>
          <w:lang w:val="sl-SI"/>
        </w:rPr>
        <w:t>Za</w:t>
      </w:r>
      <w:r w:rsidRPr="001048FE">
        <w:rPr>
          <w:spacing w:val="-16"/>
          <w:lang w:val="sl-SI"/>
        </w:rPr>
        <w:t xml:space="preserve"> </w:t>
      </w:r>
      <w:r w:rsidRPr="001048FE">
        <w:rPr>
          <w:lang w:val="sl-SI"/>
        </w:rPr>
        <w:t>jezike,</w:t>
      </w:r>
      <w:r w:rsidRPr="001048FE">
        <w:rPr>
          <w:spacing w:val="-16"/>
          <w:lang w:val="sl-SI"/>
        </w:rPr>
        <w:t xml:space="preserve"> </w:t>
      </w:r>
      <w:r w:rsidRPr="001048FE">
        <w:rPr>
          <w:lang w:val="sl-SI"/>
        </w:rPr>
        <w:t>ki</w:t>
      </w:r>
      <w:r w:rsidRPr="001048FE">
        <w:rPr>
          <w:spacing w:val="-16"/>
          <w:lang w:val="sl-SI"/>
        </w:rPr>
        <w:t xml:space="preserve"> </w:t>
      </w:r>
      <w:r w:rsidRPr="001048FE">
        <w:rPr>
          <w:lang w:val="sl-SI"/>
        </w:rPr>
        <w:t>ne</w:t>
      </w:r>
      <w:r w:rsidRPr="001048FE">
        <w:rPr>
          <w:spacing w:val="-16"/>
          <w:lang w:val="sl-SI"/>
        </w:rPr>
        <w:t xml:space="preserve"> </w:t>
      </w:r>
      <w:r w:rsidRPr="001048FE">
        <w:rPr>
          <w:lang w:val="sl-SI"/>
        </w:rPr>
        <w:t>bodo</w:t>
      </w:r>
      <w:r w:rsidRPr="001048FE">
        <w:rPr>
          <w:spacing w:val="-16"/>
          <w:lang w:val="sl-SI"/>
        </w:rPr>
        <w:t xml:space="preserve"> </w:t>
      </w:r>
      <w:r w:rsidRPr="001048FE">
        <w:rPr>
          <w:lang w:val="sl-SI"/>
        </w:rPr>
        <w:t>zajeti</w:t>
      </w:r>
      <w:r w:rsidRPr="001048FE">
        <w:rPr>
          <w:spacing w:val="-16"/>
          <w:lang w:val="sl-SI"/>
        </w:rPr>
        <w:t xml:space="preserve"> </w:t>
      </w:r>
      <w:r w:rsidRPr="001048FE">
        <w:rPr>
          <w:lang w:val="sl-SI"/>
        </w:rPr>
        <w:t>v</w:t>
      </w:r>
      <w:r w:rsidRPr="001048FE">
        <w:rPr>
          <w:spacing w:val="-16"/>
          <w:lang w:val="sl-SI"/>
        </w:rPr>
        <w:t xml:space="preserve"> </w:t>
      </w:r>
      <w:r w:rsidRPr="001048FE">
        <w:rPr>
          <w:lang w:val="sl-SI"/>
        </w:rPr>
        <w:t>storitev</w:t>
      </w:r>
      <w:r w:rsidRPr="001048FE">
        <w:rPr>
          <w:spacing w:val="-16"/>
          <w:lang w:val="sl-SI"/>
        </w:rPr>
        <w:t xml:space="preserve"> </w:t>
      </w:r>
      <w:r w:rsidRPr="001048FE">
        <w:rPr>
          <w:lang w:val="sl-SI"/>
        </w:rPr>
        <w:t>Komisije,</w:t>
      </w:r>
      <w:r w:rsidRPr="001048FE">
        <w:rPr>
          <w:spacing w:val="-16"/>
          <w:lang w:val="sl-SI"/>
        </w:rPr>
        <w:t xml:space="preserve"> </w:t>
      </w:r>
      <w:r w:rsidRPr="001048FE">
        <w:rPr>
          <w:lang w:val="sl-SI"/>
        </w:rPr>
        <w:t>se</w:t>
      </w:r>
      <w:r w:rsidRPr="001048FE">
        <w:rPr>
          <w:spacing w:val="-16"/>
          <w:lang w:val="sl-SI"/>
        </w:rPr>
        <w:t xml:space="preserve"> </w:t>
      </w:r>
      <w:r w:rsidRPr="001048FE">
        <w:rPr>
          <w:lang w:val="sl-SI"/>
        </w:rPr>
        <w:t>lahko</w:t>
      </w:r>
      <w:r w:rsidRPr="001048FE">
        <w:rPr>
          <w:spacing w:val="-16"/>
          <w:lang w:val="sl-SI"/>
        </w:rPr>
        <w:t xml:space="preserve"> </w:t>
      </w:r>
      <w:r w:rsidRPr="001048FE">
        <w:rPr>
          <w:lang w:val="sl-SI"/>
        </w:rPr>
        <w:t>za</w:t>
      </w:r>
      <w:r w:rsidRPr="001048FE">
        <w:rPr>
          <w:spacing w:val="-16"/>
          <w:lang w:val="sl-SI"/>
        </w:rPr>
        <w:t xml:space="preserve"> </w:t>
      </w:r>
      <w:r w:rsidRPr="001048FE">
        <w:rPr>
          <w:lang w:val="sl-SI"/>
        </w:rPr>
        <w:t>ta</w:t>
      </w:r>
      <w:r w:rsidRPr="001048FE">
        <w:rPr>
          <w:spacing w:val="-16"/>
          <w:lang w:val="sl-SI"/>
        </w:rPr>
        <w:t xml:space="preserve"> </w:t>
      </w:r>
      <w:r w:rsidRPr="001048FE">
        <w:rPr>
          <w:lang w:val="sl-SI"/>
        </w:rPr>
        <w:t>namen</w:t>
      </w:r>
      <w:r w:rsidRPr="001048FE">
        <w:rPr>
          <w:spacing w:val="-16"/>
          <w:lang w:val="sl-SI"/>
        </w:rPr>
        <w:t xml:space="preserve"> </w:t>
      </w:r>
      <w:r w:rsidRPr="001048FE">
        <w:rPr>
          <w:lang w:val="sl-SI"/>
        </w:rPr>
        <w:t>zagotovijo</w:t>
      </w:r>
      <w:r w:rsidRPr="001048FE">
        <w:rPr>
          <w:spacing w:val="-16"/>
          <w:lang w:val="sl-SI"/>
        </w:rPr>
        <w:t xml:space="preserve"> </w:t>
      </w:r>
      <w:r w:rsidRPr="001048FE">
        <w:rPr>
          <w:lang w:val="sl-SI"/>
        </w:rPr>
        <w:t>posebna</w:t>
      </w:r>
      <w:r w:rsidRPr="001048FE">
        <w:rPr>
          <w:spacing w:val="-16"/>
          <w:lang w:val="sl-SI"/>
        </w:rPr>
        <w:t xml:space="preserve"> </w:t>
      </w:r>
      <w:r w:rsidRPr="001048FE">
        <w:rPr>
          <w:lang w:val="sl-SI"/>
        </w:rPr>
        <w:t>nepovratna sredstva za „jezikovno</w:t>
      </w:r>
      <w:r w:rsidRPr="001048FE">
        <w:rPr>
          <w:spacing w:val="-8"/>
          <w:lang w:val="sl-SI"/>
        </w:rPr>
        <w:t xml:space="preserve"> </w:t>
      </w:r>
      <w:r w:rsidRPr="001048FE">
        <w:rPr>
          <w:lang w:val="sl-SI"/>
        </w:rPr>
        <w:t>podporo“.</w:t>
      </w:r>
    </w:p>
    <w:p w14:paraId="7D39AA50" w14:textId="77777777" w:rsidR="006B404F" w:rsidRPr="001048FE" w:rsidRDefault="006B404F" w:rsidP="0009190F">
      <w:pPr>
        <w:pStyle w:val="Guide-Heading4"/>
        <w:rPr>
          <w:lang w:val="sl-SI"/>
        </w:rPr>
        <w:sectPr w:rsidR="006B404F" w:rsidRPr="001048FE" w:rsidSect="007F4890">
          <w:headerReference w:type="default" r:id="rId190"/>
          <w:endnotePr>
            <w:numFmt w:val="decimal"/>
          </w:endnotePr>
          <w:pgSz w:w="11910" w:h="16840" w:code="9"/>
          <w:pgMar w:top="1134" w:right="1418" w:bottom="1134" w:left="1418" w:header="283" w:footer="567" w:gutter="0"/>
          <w:cols w:space="720"/>
          <w:docGrid w:linePitch="326"/>
        </w:sectPr>
      </w:pPr>
    </w:p>
    <w:p w14:paraId="7D39AA51" w14:textId="77777777" w:rsidR="00E15C84" w:rsidRPr="001048FE" w:rsidRDefault="00E15C84" w:rsidP="0009190F">
      <w:pPr>
        <w:pStyle w:val="Guide-Heading4"/>
        <w:rPr>
          <w:lang w:val="sl-SI"/>
        </w:rPr>
      </w:pPr>
      <w:bookmarkStart w:id="706" w:name="_Toc527401347"/>
      <w:r w:rsidRPr="001048FE">
        <w:rPr>
          <w:lang w:val="sl-SI"/>
        </w:rPr>
        <w:t>Transnacionalne mladinske pobude</w:t>
      </w:r>
      <w:bookmarkEnd w:id="706"/>
    </w:p>
    <w:p w14:paraId="7D39AA52" w14:textId="77777777" w:rsidR="00E15C84" w:rsidRPr="001048FE" w:rsidRDefault="00E15C84" w:rsidP="0009190F">
      <w:pPr>
        <w:pStyle w:val="GUIDE-NORMAL"/>
        <w:rPr>
          <w:lang w:val="sl-SI"/>
        </w:rPr>
      </w:pPr>
      <w:r w:rsidRPr="001048FE">
        <w:rPr>
          <w:lang w:val="sl-SI"/>
        </w:rPr>
        <w:t>Strateška partnerstva na področju mladine podpirajo tudi razvoj transnacionalnih mladinskih pobud, ki spodbujajo družbeno odgovornost in podjetniški duh, ter jih skupaj izvajata dve ali več skupin mladih iz različnih držav.</w:t>
      </w:r>
    </w:p>
    <w:p w14:paraId="7D39AA53" w14:textId="77777777" w:rsidR="00E15C84" w:rsidRPr="001048FE" w:rsidRDefault="00E15C84" w:rsidP="0009190F">
      <w:pPr>
        <w:pStyle w:val="GUIDE-NORMAL"/>
        <w:rPr>
          <w:lang w:val="sl-SI"/>
        </w:rPr>
      </w:pPr>
      <w:r w:rsidRPr="001048FE">
        <w:rPr>
          <w:lang w:val="sl-SI"/>
        </w:rPr>
        <w:t>Te pobude so lahko na primer povezane z naslednjim:</w:t>
      </w:r>
    </w:p>
    <w:p w14:paraId="7D39AA54" w14:textId="77777777" w:rsidR="00E15C84" w:rsidRPr="001048FE" w:rsidRDefault="00E15C84" w:rsidP="005115F2">
      <w:pPr>
        <w:pStyle w:val="Guide-NormalBulletpoints"/>
        <w:numPr>
          <w:ilvl w:val="0"/>
          <w:numId w:val="459"/>
        </w:numPr>
        <w:rPr>
          <w:lang w:val="sl-SI"/>
        </w:rPr>
      </w:pPr>
      <w:r w:rsidRPr="001048FE">
        <w:rPr>
          <w:lang w:val="sl-SI"/>
        </w:rPr>
        <w:t>ustanovitev (mrež) socialnih podjetij, združenj, klubov, NVO-jev;</w:t>
      </w:r>
    </w:p>
    <w:p w14:paraId="7D39AA55" w14:textId="77777777" w:rsidR="00E15C84" w:rsidRPr="001048FE" w:rsidRDefault="00E15C84" w:rsidP="005115F2">
      <w:pPr>
        <w:pStyle w:val="Guide-NormalBulletpoints"/>
        <w:numPr>
          <w:ilvl w:val="0"/>
          <w:numId w:val="459"/>
        </w:numPr>
        <w:rPr>
          <w:lang w:val="sl-SI"/>
        </w:rPr>
      </w:pPr>
      <w:r w:rsidRPr="001048FE">
        <w:rPr>
          <w:lang w:val="sl-SI"/>
        </w:rPr>
        <w:t>razvoj</w:t>
      </w:r>
      <w:r w:rsidRPr="001048FE">
        <w:rPr>
          <w:spacing w:val="-14"/>
          <w:lang w:val="sl-SI"/>
        </w:rPr>
        <w:t xml:space="preserve"> </w:t>
      </w:r>
      <w:r w:rsidRPr="001048FE">
        <w:rPr>
          <w:lang w:val="sl-SI"/>
        </w:rPr>
        <w:t>in</w:t>
      </w:r>
      <w:r w:rsidRPr="001048FE">
        <w:rPr>
          <w:spacing w:val="-14"/>
          <w:lang w:val="sl-SI"/>
        </w:rPr>
        <w:t xml:space="preserve"> </w:t>
      </w:r>
      <w:r w:rsidRPr="001048FE">
        <w:rPr>
          <w:lang w:val="sl-SI"/>
        </w:rPr>
        <w:t>izvajanje</w:t>
      </w:r>
      <w:r w:rsidRPr="001048FE">
        <w:rPr>
          <w:spacing w:val="-14"/>
          <w:lang w:val="sl-SI"/>
        </w:rPr>
        <w:t xml:space="preserve"> </w:t>
      </w:r>
      <w:r w:rsidRPr="001048FE">
        <w:rPr>
          <w:lang w:val="sl-SI"/>
        </w:rPr>
        <w:t>programov</w:t>
      </w:r>
      <w:r w:rsidRPr="001048FE">
        <w:rPr>
          <w:spacing w:val="-14"/>
          <w:lang w:val="sl-SI"/>
        </w:rPr>
        <w:t xml:space="preserve"> </w:t>
      </w:r>
      <w:r w:rsidRPr="001048FE">
        <w:rPr>
          <w:lang w:val="sl-SI"/>
        </w:rPr>
        <w:t>in</w:t>
      </w:r>
      <w:r w:rsidRPr="001048FE">
        <w:rPr>
          <w:spacing w:val="-14"/>
          <w:lang w:val="sl-SI"/>
        </w:rPr>
        <w:t xml:space="preserve"> </w:t>
      </w:r>
      <w:r w:rsidRPr="001048FE">
        <w:rPr>
          <w:lang w:val="sl-SI"/>
        </w:rPr>
        <w:t>usposabljanj</w:t>
      </w:r>
      <w:r w:rsidRPr="001048FE">
        <w:rPr>
          <w:spacing w:val="-14"/>
          <w:lang w:val="sl-SI"/>
        </w:rPr>
        <w:t xml:space="preserve"> </w:t>
      </w:r>
      <w:r w:rsidRPr="001048FE">
        <w:rPr>
          <w:lang w:val="sl-SI"/>
        </w:rPr>
        <w:t>v</w:t>
      </w:r>
      <w:r w:rsidRPr="001048FE">
        <w:rPr>
          <w:spacing w:val="-14"/>
          <w:lang w:val="sl-SI"/>
        </w:rPr>
        <w:t xml:space="preserve"> </w:t>
      </w:r>
      <w:r w:rsidRPr="001048FE">
        <w:rPr>
          <w:lang w:val="sl-SI"/>
        </w:rPr>
        <w:t>zvezi</w:t>
      </w:r>
      <w:r w:rsidRPr="001048FE">
        <w:rPr>
          <w:spacing w:val="-14"/>
          <w:lang w:val="sl-SI"/>
        </w:rPr>
        <w:t xml:space="preserve"> </w:t>
      </w:r>
      <w:r w:rsidRPr="001048FE">
        <w:rPr>
          <w:lang w:val="sl-SI"/>
        </w:rPr>
        <w:t>s</w:t>
      </w:r>
      <w:r w:rsidRPr="001048FE">
        <w:rPr>
          <w:spacing w:val="-14"/>
          <w:lang w:val="sl-SI"/>
        </w:rPr>
        <w:t xml:space="preserve"> </w:t>
      </w:r>
      <w:r w:rsidRPr="001048FE">
        <w:rPr>
          <w:lang w:val="sl-SI"/>
        </w:rPr>
        <w:t>podjetniškim</w:t>
      </w:r>
      <w:r w:rsidRPr="001048FE">
        <w:rPr>
          <w:spacing w:val="-14"/>
          <w:lang w:val="sl-SI"/>
        </w:rPr>
        <w:t xml:space="preserve"> </w:t>
      </w:r>
      <w:r w:rsidRPr="001048FE">
        <w:rPr>
          <w:lang w:val="sl-SI"/>
        </w:rPr>
        <w:t>izobraževanjem</w:t>
      </w:r>
      <w:r w:rsidRPr="001048FE">
        <w:rPr>
          <w:spacing w:val="-14"/>
          <w:lang w:val="sl-SI"/>
        </w:rPr>
        <w:t xml:space="preserve"> </w:t>
      </w:r>
      <w:r w:rsidRPr="001048FE">
        <w:rPr>
          <w:lang w:val="sl-SI"/>
        </w:rPr>
        <w:t>(zlasti socialnim podjetništvom in uporabo</w:t>
      </w:r>
      <w:r w:rsidRPr="001048FE">
        <w:rPr>
          <w:spacing w:val="-10"/>
          <w:lang w:val="sl-SI"/>
        </w:rPr>
        <w:t xml:space="preserve"> </w:t>
      </w:r>
      <w:r w:rsidRPr="001048FE">
        <w:rPr>
          <w:lang w:val="sl-SI"/>
        </w:rPr>
        <w:t>IKT);</w:t>
      </w:r>
    </w:p>
    <w:p w14:paraId="7D39AA56" w14:textId="77777777" w:rsidR="00E15C84" w:rsidRPr="001048FE" w:rsidRDefault="00E15C84" w:rsidP="005115F2">
      <w:pPr>
        <w:pStyle w:val="Guide-NormalBulletpoints"/>
        <w:numPr>
          <w:ilvl w:val="0"/>
          <w:numId w:val="459"/>
        </w:numPr>
        <w:rPr>
          <w:lang w:val="sl-SI"/>
        </w:rPr>
      </w:pPr>
      <w:r w:rsidRPr="001048FE">
        <w:rPr>
          <w:lang w:val="sl-SI"/>
        </w:rPr>
        <w:t>informacije, medijska pismenost, ukrepi senzibilizacije ali ukrepi, ki spodbujajo družbeno udeležbo</w:t>
      </w:r>
      <w:r w:rsidRPr="001048FE">
        <w:rPr>
          <w:spacing w:val="-21"/>
          <w:lang w:val="sl-SI"/>
        </w:rPr>
        <w:t xml:space="preserve"> </w:t>
      </w:r>
      <w:r w:rsidRPr="001048FE">
        <w:rPr>
          <w:lang w:val="sl-SI"/>
        </w:rPr>
        <w:t>med</w:t>
      </w:r>
      <w:r w:rsidRPr="001048FE">
        <w:rPr>
          <w:spacing w:val="-21"/>
          <w:lang w:val="sl-SI"/>
        </w:rPr>
        <w:t xml:space="preserve"> </w:t>
      </w:r>
      <w:r w:rsidRPr="001048FE">
        <w:rPr>
          <w:lang w:val="sl-SI"/>
        </w:rPr>
        <w:t>mladimi</w:t>
      </w:r>
      <w:r w:rsidRPr="001048FE">
        <w:rPr>
          <w:spacing w:val="-21"/>
          <w:lang w:val="sl-SI"/>
        </w:rPr>
        <w:t xml:space="preserve"> </w:t>
      </w:r>
      <w:r w:rsidRPr="001048FE">
        <w:rPr>
          <w:lang w:val="sl-SI"/>
        </w:rPr>
        <w:t>(npr.</w:t>
      </w:r>
      <w:r w:rsidRPr="001048FE">
        <w:rPr>
          <w:spacing w:val="-21"/>
          <w:lang w:val="sl-SI"/>
        </w:rPr>
        <w:t xml:space="preserve"> </w:t>
      </w:r>
      <w:r w:rsidRPr="001048FE">
        <w:rPr>
          <w:lang w:val="sl-SI"/>
        </w:rPr>
        <w:t>razprave,</w:t>
      </w:r>
      <w:r w:rsidRPr="001048FE">
        <w:rPr>
          <w:spacing w:val="-21"/>
          <w:lang w:val="sl-SI"/>
        </w:rPr>
        <w:t xml:space="preserve"> </w:t>
      </w:r>
      <w:r w:rsidRPr="001048FE">
        <w:rPr>
          <w:lang w:val="sl-SI"/>
        </w:rPr>
        <w:t>konference,</w:t>
      </w:r>
      <w:r w:rsidRPr="001048FE">
        <w:rPr>
          <w:spacing w:val="-21"/>
          <w:lang w:val="sl-SI"/>
        </w:rPr>
        <w:t xml:space="preserve"> </w:t>
      </w:r>
      <w:r w:rsidRPr="001048FE">
        <w:rPr>
          <w:lang w:val="sl-SI"/>
        </w:rPr>
        <w:t>dogodki,</w:t>
      </w:r>
      <w:r w:rsidRPr="001048FE">
        <w:rPr>
          <w:spacing w:val="-21"/>
          <w:lang w:val="sl-SI"/>
        </w:rPr>
        <w:t xml:space="preserve"> </w:t>
      </w:r>
      <w:r w:rsidRPr="001048FE">
        <w:rPr>
          <w:lang w:val="sl-SI"/>
        </w:rPr>
        <w:t>posvetovanja,</w:t>
      </w:r>
      <w:r w:rsidRPr="001048FE">
        <w:rPr>
          <w:spacing w:val="-21"/>
          <w:lang w:val="sl-SI"/>
        </w:rPr>
        <w:t xml:space="preserve"> </w:t>
      </w:r>
      <w:r w:rsidRPr="001048FE">
        <w:rPr>
          <w:lang w:val="sl-SI"/>
        </w:rPr>
        <w:t>pobude</w:t>
      </w:r>
      <w:r w:rsidRPr="001048FE">
        <w:rPr>
          <w:spacing w:val="-21"/>
          <w:lang w:val="sl-SI"/>
        </w:rPr>
        <w:t xml:space="preserve"> </w:t>
      </w:r>
      <w:r w:rsidRPr="001048FE">
        <w:rPr>
          <w:lang w:val="sl-SI"/>
        </w:rPr>
        <w:t>v</w:t>
      </w:r>
      <w:r w:rsidRPr="001048FE">
        <w:rPr>
          <w:spacing w:val="-21"/>
          <w:lang w:val="sl-SI"/>
        </w:rPr>
        <w:t xml:space="preserve"> </w:t>
      </w:r>
      <w:r w:rsidRPr="001048FE">
        <w:rPr>
          <w:lang w:val="sl-SI"/>
        </w:rPr>
        <w:t>zvezi</w:t>
      </w:r>
      <w:r w:rsidRPr="001048FE">
        <w:rPr>
          <w:spacing w:val="-21"/>
          <w:lang w:val="sl-SI"/>
        </w:rPr>
        <w:t xml:space="preserve"> </w:t>
      </w:r>
      <w:r w:rsidRPr="001048FE">
        <w:rPr>
          <w:lang w:val="sl-SI"/>
        </w:rPr>
        <w:t>z evropskimi temami</w:t>
      </w:r>
      <w:r w:rsidRPr="001048FE">
        <w:rPr>
          <w:spacing w:val="-4"/>
          <w:lang w:val="sl-SI"/>
        </w:rPr>
        <w:t xml:space="preserve"> </w:t>
      </w:r>
      <w:r w:rsidRPr="001048FE">
        <w:rPr>
          <w:lang w:val="sl-SI"/>
        </w:rPr>
        <w:t>itd.);</w:t>
      </w:r>
    </w:p>
    <w:p w14:paraId="7D39AA57" w14:textId="77777777" w:rsidR="00E15C84" w:rsidRPr="001048FE" w:rsidRDefault="00E15C84" w:rsidP="005115F2">
      <w:pPr>
        <w:pStyle w:val="Guide-NormalBulletpoints"/>
        <w:numPr>
          <w:ilvl w:val="0"/>
          <w:numId w:val="459"/>
        </w:numPr>
        <w:rPr>
          <w:lang w:val="sl-SI"/>
        </w:rPr>
      </w:pPr>
      <w:r w:rsidRPr="001048FE">
        <w:rPr>
          <w:lang w:val="sl-SI"/>
        </w:rPr>
        <w:t>ukrepi v korist lokalnih skupnosti (npr. podpora ranljivim skupinam, kot so starejši ljudje, pripadniki manjšin, priseljenci, osebe, ki imajo posebne potrebe itd.);</w:t>
      </w:r>
    </w:p>
    <w:p w14:paraId="7D39AA58" w14:textId="77777777" w:rsidR="00E15C84" w:rsidRPr="001048FE" w:rsidRDefault="00E15C84" w:rsidP="005115F2">
      <w:pPr>
        <w:pStyle w:val="Guide-NormalBulletpoints"/>
        <w:numPr>
          <w:ilvl w:val="0"/>
          <w:numId w:val="459"/>
        </w:numPr>
        <w:rPr>
          <w:lang w:val="sl-SI"/>
        </w:rPr>
      </w:pPr>
      <w:r w:rsidRPr="001048FE">
        <w:rPr>
          <w:lang w:val="sl-SI"/>
        </w:rPr>
        <w:t>pobude v umetnosti in kulturi (gledališke igre, razstave, glasbene predstave, razpravni forumi itd.).</w:t>
      </w:r>
    </w:p>
    <w:p w14:paraId="7D39AA59" w14:textId="77777777" w:rsidR="00E15C84" w:rsidRPr="001048FE" w:rsidRDefault="00E15C84" w:rsidP="0009190F">
      <w:pPr>
        <w:pStyle w:val="GUIDE-NORMAL"/>
        <w:rPr>
          <w:lang w:val="sl-SI"/>
        </w:rPr>
      </w:pPr>
      <w:r w:rsidRPr="001048FE">
        <w:rPr>
          <w:lang w:val="sl-SI"/>
        </w:rPr>
        <w:t>Mladinska</w:t>
      </w:r>
      <w:r w:rsidRPr="001048FE">
        <w:rPr>
          <w:spacing w:val="-7"/>
          <w:lang w:val="sl-SI"/>
        </w:rPr>
        <w:t xml:space="preserve"> </w:t>
      </w:r>
      <w:r w:rsidRPr="001048FE">
        <w:rPr>
          <w:lang w:val="sl-SI"/>
        </w:rPr>
        <w:t>pobuda</w:t>
      </w:r>
      <w:r w:rsidRPr="001048FE">
        <w:rPr>
          <w:spacing w:val="-7"/>
          <w:lang w:val="sl-SI"/>
        </w:rPr>
        <w:t xml:space="preserve"> </w:t>
      </w:r>
      <w:r w:rsidRPr="001048FE">
        <w:rPr>
          <w:lang w:val="sl-SI"/>
        </w:rPr>
        <w:t>je</w:t>
      </w:r>
      <w:r w:rsidRPr="001048FE">
        <w:rPr>
          <w:spacing w:val="-7"/>
          <w:lang w:val="sl-SI"/>
        </w:rPr>
        <w:t xml:space="preserve"> </w:t>
      </w:r>
      <w:r w:rsidRPr="001048FE">
        <w:rPr>
          <w:lang w:val="sl-SI"/>
        </w:rPr>
        <w:t>projekt,</w:t>
      </w:r>
      <w:r w:rsidRPr="001048FE">
        <w:rPr>
          <w:spacing w:val="-7"/>
          <w:lang w:val="sl-SI"/>
        </w:rPr>
        <w:t xml:space="preserve"> </w:t>
      </w:r>
      <w:r w:rsidRPr="001048FE">
        <w:rPr>
          <w:lang w:val="sl-SI"/>
        </w:rPr>
        <w:t>ki</w:t>
      </w:r>
      <w:r w:rsidRPr="001048FE">
        <w:rPr>
          <w:spacing w:val="-7"/>
          <w:lang w:val="sl-SI"/>
        </w:rPr>
        <w:t xml:space="preserve"> </w:t>
      </w:r>
      <w:r w:rsidRPr="001048FE">
        <w:rPr>
          <w:lang w:val="sl-SI"/>
        </w:rPr>
        <w:t>ga</w:t>
      </w:r>
      <w:r w:rsidRPr="001048FE">
        <w:rPr>
          <w:spacing w:val="-7"/>
          <w:lang w:val="sl-SI"/>
        </w:rPr>
        <w:t xml:space="preserve"> </w:t>
      </w:r>
      <w:r w:rsidRPr="001048FE">
        <w:rPr>
          <w:lang w:val="sl-SI"/>
        </w:rPr>
        <w:t>začnejo,</w:t>
      </w:r>
      <w:r w:rsidRPr="001048FE">
        <w:rPr>
          <w:spacing w:val="-7"/>
          <w:lang w:val="sl-SI"/>
        </w:rPr>
        <w:t xml:space="preserve"> </w:t>
      </w:r>
      <w:r w:rsidRPr="001048FE">
        <w:rPr>
          <w:lang w:val="sl-SI"/>
        </w:rPr>
        <w:t>pripravijo</w:t>
      </w:r>
      <w:r w:rsidRPr="001048FE">
        <w:rPr>
          <w:spacing w:val="-7"/>
          <w:lang w:val="sl-SI"/>
        </w:rPr>
        <w:t xml:space="preserve"> </w:t>
      </w:r>
      <w:r w:rsidRPr="001048FE">
        <w:rPr>
          <w:lang w:val="sl-SI"/>
        </w:rPr>
        <w:t>in</w:t>
      </w:r>
      <w:r w:rsidRPr="001048FE">
        <w:rPr>
          <w:spacing w:val="-7"/>
          <w:lang w:val="sl-SI"/>
        </w:rPr>
        <w:t xml:space="preserve"> </w:t>
      </w:r>
      <w:r w:rsidRPr="001048FE">
        <w:rPr>
          <w:lang w:val="sl-SI"/>
        </w:rPr>
        <w:t>izvedejo</w:t>
      </w:r>
      <w:r w:rsidRPr="001048FE">
        <w:rPr>
          <w:spacing w:val="-7"/>
          <w:lang w:val="sl-SI"/>
        </w:rPr>
        <w:t xml:space="preserve"> </w:t>
      </w:r>
      <w:r w:rsidRPr="001048FE">
        <w:rPr>
          <w:lang w:val="sl-SI"/>
        </w:rPr>
        <w:t>mladi.</w:t>
      </w:r>
      <w:r w:rsidRPr="001048FE">
        <w:rPr>
          <w:spacing w:val="-7"/>
          <w:lang w:val="sl-SI"/>
        </w:rPr>
        <w:t xml:space="preserve"> </w:t>
      </w:r>
      <w:r w:rsidRPr="001048FE">
        <w:rPr>
          <w:lang w:val="sl-SI"/>
        </w:rPr>
        <w:t>Tako</w:t>
      </w:r>
      <w:r w:rsidRPr="001048FE">
        <w:rPr>
          <w:spacing w:val="-7"/>
          <w:lang w:val="sl-SI"/>
        </w:rPr>
        <w:t xml:space="preserve"> </w:t>
      </w:r>
      <w:r w:rsidRPr="001048FE">
        <w:rPr>
          <w:lang w:val="sl-SI"/>
        </w:rPr>
        <w:t>lahko</w:t>
      </w:r>
      <w:r w:rsidRPr="001048FE">
        <w:rPr>
          <w:spacing w:val="-7"/>
          <w:lang w:val="sl-SI"/>
        </w:rPr>
        <w:t xml:space="preserve"> </w:t>
      </w:r>
      <w:r w:rsidRPr="001048FE">
        <w:rPr>
          <w:lang w:val="sl-SI"/>
        </w:rPr>
        <w:t>mladi</w:t>
      </w:r>
      <w:r w:rsidRPr="001048FE">
        <w:rPr>
          <w:spacing w:val="-7"/>
          <w:lang w:val="sl-SI"/>
        </w:rPr>
        <w:t xml:space="preserve"> </w:t>
      </w:r>
      <w:r w:rsidRPr="001048FE">
        <w:rPr>
          <w:lang w:val="sl-SI"/>
        </w:rPr>
        <w:t>preskusijo nove</w:t>
      </w:r>
      <w:r w:rsidRPr="001048FE">
        <w:rPr>
          <w:spacing w:val="-8"/>
          <w:lang w:val="sl-SI"/>
        </w:rPr>
        <w:t xml:space="preserve"> </w:t>
      </w:r>
      <w:r w:rsidRPr="001048FE">
        <w:rPr>
          <w:lang w:val="sl-SI"/>
        </w:rPr>
        <w:t>zamisli</w:t>
      </w:r>
      <w:r w:rsidRPr="001048FE">
        <w:rPr>
          <w:spacing w:val="-8"/>
          <w:lang w:val="sl-SI"/>
        </w:rPr>
        <w:t xml:space="preserve"> </w:t>
      </w:r>
      <w:r w:rsidRPr="001048FE">
        <w:rPr>
          <w:lang w:val="sl-SI"/>
        </w:rPr>
        <w:t>s</w:t>
      </w:r>
      <w:r w:rsidRPr="001048FE">
        <w:rPr>
          <w:spacing w:val="-8"/>
          <w:lang w:val="sl-SI"/>
        </w:rPr>
        <w:t xml:space="preserve"> </w:t>
      </w:r>
      <w:r w:rsidRPr="001048FE">
        <w:rPr>
          <w:lang w:val="sl-SI"/>
        </w:rPr>
        <w:t>pobudami,</w:t>
      </w:r>
      <w:r w:rsidRPr="001048FE">
        <w:rPr>
          <w:spacing w:val="-8"/>
          <w:lang w:val="sl-SI"/>
        </w:rPr>
        <w:t xml:space="preserve"> </w:t>
      </w:r>
      <w:r w:rsidRPr="001048FE">
        <w:rPr>
          <w:lang w:val="sl-SI"/>
        </w:rPr>
        <w:t>ki</w:t>
      </w:r>
      <w:r w:rsidRPr="001048FE">
        <w:rPr>
          <w:spacing w:val="-8"/>
          <w:lang w:val="sl-SI"/>
        </w:rPr>
        <w:t xml:space="preserve"> </w:t>
      </w:r>
      <w:r w:rsidRPr="001048FE">
        <w:rPr>
          <w:lang w:val="sl-SI"/>
        </w:rPr>
        <w:t>jim</w:t>
      </w:r>
      <w:r w:rsidRPr="001048FE">
        <w:rPr>
          <w:spacing w:val="-8"/>
          <w:lang w:val="sl-SI"/>
        </w:rPr>
        <w:t xml:space="preserve"> </w:t>
      </w:r>
      <w:r w:rsidRPr="001048FE">
        <w:rPr>
          <w:lang w:val="sl-SI"/>
        </w:rPr>
        <w:t>dajo</w:t>
      </w:r>
      <w:r w:rsidRPr="001048FE">
        <w:rPr>
          <w:spacing w:val="-8"/>
          <w:lang w:val="sl-SI"/>
        </w:rPr>
        <w:t xml:space="preserve"> </w:t>
      </w:r>
      <w:r w:rsidRPr="001048FE">
        <w:rPr>
          <w:lang w:val="sl-SI"/>
        </w:rPr>
        <w:t>priložnost,</w:t>
      </w:r>
      <w:r w:rsidRPr="001048FE">
        <w:rPr>
          <w:spacing w:val="-8"/>
          <w:lang w:val="sl-SI"/>
        </w:rPr>
        <w:t xml:space="preserve"> </w:t>
      </w:r>
      <w:r w:rsidRPr="001048FE">
        <w:rPr>
          <w:lang w:val="sl-SI"/>
        </w:rPr>
        <w:t>da</w:t>
      </w:r>
      <w:r w:rsidRPr="001048FE">
        <w:rPr>
          <w:spacing w:val="-8"/>
          <w:lang w:val="sl-SI"/>
        </w:rPr>
        <w:t xml:space="preserve"> </w:t>
      </w:r>
      <w:r w:rsidRPr="001048FE">
        <w:rPr>
          <w:lang w:val="sl-SI"/>
        </w:rPr>
        <w:t>neposredno</w:t>
      </w:r>
      <w:r w:rsidRPr="001048FE">
        <w:rPr>
          <w:spacing w:val="-8"/>
          <w:lang w:val="sl-SI"/>
        </w:rPr>
        <w:t xml:space="preserve"> </w:t>
      </w:r>
      <w:r w:rsidRPr="001048FE">
        <w:rPr>
          <w:lang w:val="sl-SI"/>
        </w:rPr>
        <w:t>in</w:t>
      </w:r>
      <w:r w:rsidRPr="001048FE">
        <w:rPr>
          <w:spacing w:val="-8"/>
          <w:lang w:val="sl-SI"/>
        </w:rPr>
        <w:t xml:space="preserve"> </w:t>
      </w:r>
      <w:r w:rsidRPr="001048FE">
        <w:rPr>
          <w:lang w:val="sl-SI"/>
        </w:rPr>
        <w:t>aktivno</w:t>
      </w:r>
      <w:r w:rsidRPr="001048FE">
        <w:rPr>
          <w:spacing w:val="-8"/>
          <w:lang w:val="sl-SI"/>
        </w:rPr>
        <w:t xml:space="preserve"> </w:t>
      </w:r>
      <w:r w:rsidRPr="001048FE">
        <w:rPr>
          <w:lang w:val="sl-SI"/>
        </w:rPr>
        <w:t>sodelujejo</w:t>
      </w:r>
      <w:r w:rsidRPr="001048FE">
        <w:rPr>
          <w:spacing w:val="-8"/>
          <w:lang w:val="sl-SI"/>
        </w:rPr>
        <w:t xml:space="preserve"> </w:t>
      </w:r>
      <w:r w:rsidRPr="001048FE">
        <w:rPr>
          <w:lang w:val="sl-SI"/>
        </w:rPr>
        <w:t>pri</w:t>
      </w:r>
      <w:r w:rsidRPr="001048FE">
        <w:rPr>
          <w:spacing w:val="-8"/>
          <w:lang w:val="sl-SI"/>
        </w:rPr>
        <w:t xml:space="preserve"> </w:t>
      </w:r>
      <w:r w:rsidRPr="001048FE">
        <w:rPr>
          <w:lang w:val="sl-SI"/>
        </w:rPr>
        <w:t>načrtovanju in izvajanju</w:t>
      </w:r>
      <w:r w:rsidRPr="001048FE">
        <w:rPr>
          <w:spacing w:val="-4"/>
          <w:lang w:val="sl-SI"/>
        </w:rPr>
        <w:t xml:space="preserve"> </w:t>
      </w:r>
      <w:r w:rsidRPr="001048FE">
        <w:rPr>
          <w:lang w:val="sl-SI"/>
        </w:rPr>
        <w:t>projekta.</w:t>
      </w:r>
    </w:p>
    <w:p w14:paraId="7D39AA5A" w14:textId="77777777" w:rsidR="00E15C84" w:rsidRPr="001048FE" w:rsidRDefault="00E15C84" w:rsidP="0009190F">
      <w:pPr>
        <w:pStyle w:val="GUIDE-NORMAL"/>
        <w:rPr>
          <w:lang w:val="sl-SI"/>
        </w:rPr>
      </w:pPr>
      <w:r w:rsidRPr="001048FE">
        <w:rPr>
          <w:lang w:val="sl-SI"/>
        </w:rPr>
        <w:t>Udeležba v mladinski pobudi je pomembna izkušnja v neformalnem učenju. Med izvajanjem mladinske pobude imajo mladi priložnost, da obravnavajo posebne izzive ali težave, s katerimi se srečujejo njihove skupnosti. Razpravljajo ali premišljujejo lahko o izbrani temi v evropskem okviru in s tem sooblikujejo Evropo.</w:t>
      </w:r>
    </w:p>
    <w:p w14:paraId="7D39AA5B" w14:textId="77777777" w:rsidR="00E15C84" w:rsidRPr="001048FE" w:rsidRDefault="00E15C84" w:rsidP="0009190F">
      <w:pPr>
        <w:pStyle w:val="GUIDE-NORMAL"/>
        <w:rPr>
          <w:lang w:val="sl-SI"/>
        </w:rPr>
      </w:pPr>
      <w:r w:rsidRPr="001048FE">
        <w:rPr>
          <w:lang w:val="sl-SI"/>
        </w:rPr>
        <w:t>Mladinska pobuda mora biti transnacionalna: mreženje z lokalnimi aktivnostmi, ki jih skupaj izvajata dve ali več skupin iz različnih držav. Sodelovanje z mednarodnimi partnerji v transnacionalnih mladinskih pobudah temelji na podobnih potrebah in interesih za izmenjavo praks in vzajemno učenje z vrstniki.</w:t>
      </w:r>
    </w:p>
    <w:p w14:paraId="7D39AA5C" w14:textId="77777777" w:rsidR="00E15C84" w:rsidRPr="001048FE" w:rsidRDefault="00E15C84" w:rsidP="0009190F">
      <w:pPr>
        <w:pStyle w:val="GUIDE-NORMAL"/>
        <w:rPr>
          <w:lang w:val="sl-SI"/>
        </w:rPr>
      </w:pPr>
      <w:r w:rsidRPr="001048FE">
        <w:rPr>
          <w:lang w:val="sl-SI"/>
        </w:rPr>
        <w:t>Mladinske pobude omogočajo številnim mladim, da postanejo iznajdljivi in ustvarjalni v svojem vsakodnevnem življenju ter da spregovorijo o svojih lokalnih potrebah, interesih in tudi izzivih, s katerimi se srečujejo skupnosti, v katerih živijo.</w:t>
      </w:r>
    </w:p>
    <w:p w14:paraId="7D39AA5D" w14:textId="77777777" w:rsidR="00E15C84" w:rsidRPr="001048FE" w:rsidRDefault="00E15C84" w:rsidP="0009190F">
      <w:pPr>
        <w:pStyle w:val="GUIDE-NORMAL"/>
        <w:rPr>
          <w:lang w:val="sl-SI"/>
        </w:rPr>
      </w:pPr>
      <w:r w:rsidRPr="001048FE">
        <w:rPr>
          <w:lang w:val="sl-SI"/>
        </w:rPr>
        <w:t>Mladi lahko preskusijo zamisli tako, da začnejo, pripravijo in izvedejo projekt, ki bo vplival na različna</w:t>
      </w:r>
      <w:r w:rsidRPr="001048FE">
        <w:rPr>
          <w:spacing w:val="-14"/>
          <w:lang w:val="sl-SI"/>
        </w:rPr>
        <w:t xml:space="preserve"> </w:t>
      </w:r>
      <w:r w:rsidRPr="001048FE">
        <w:rPr>
          <w:lang w:val="sl-SI"/>
        </w:rPr>
        <w:t>področja</w:t>
      </w:r>
      <w:r w:rsidRPr="001048FE">
        <w:rPr>
          <w:spacing w:val="-14"/>
          <w:lang w:val="sl-SI"/>
        </w:rPr>
        <w:t xml:space="preserve"> </w:t>
      </w:r>
      <w:r w:rsidRPr="001048FE">
        <w:rPr>
          <w:lang w:val="sl-SI"/>
        </w:rPr>
        <w:t>življenja.</w:t>
      </w:r>
      <w:r w:rsidRPr="001048FE">
        <w:rPr>
          <w:spacing w:val="-14"/>
          <w:lang w:val="sl-SI"/>
        </w:rPr>
        <w:t xml:space="preserve"> </w:t>
      </w:r>
      <w:r w:rsidRPr="001048FE">
        <w:rPr>
          <w:lang w:val="sl-SI"/>
        </w:rPr>
        <w:t>Mladinske</w:t>
      </w:r>
      <w:r w:rsidRPr="001048FE">
        <w:rPr>
          <w:spacing w:val="-14"/>
          <w:lang w:val="sl-SI"/>
        </w:rPr>
        <w:t xml:space="preserve"> </w:t>
      </w:r>
      <w:r w:rsidRPr="001048FE">
        <w:rPr>
          <w:lang w:val="sl-SI"/>
        </w:rPr>
        <w:t>pobude</w:t>
      </w:r>
      <w:r w:rsidRPr="001048FE">
        <w:rPr>
          <w:spacing w:val="-14"/>
          <w:lang w:val="sl-SI"/>
        </w:rPr>
        <w:t xml:space="preserve"> </w:t>
      </w:r>
      <w:r w:rsidRPr="001048FE">
        <w:rPr>
          <w:lang w:val="sl-SI"/>
        </w:rPr>
        <w:t>lahko</w:t>
      </w:r>
      <w:r w:rsidRPr="001048FE">
        <w:rPr>
          <w:spacing w:val="-14"/>
          <w:lang w:val="sl-SI"/>
        </w:rPr>
        <w:t xml:space="preserve"> </w:t>
      </w:r>
      <w:r w:rsidRPr="001048FE">
        <w:rPr>
          <w:lang w:val="sl-SI"/>
        </w:rPr>
        <w:t>vodijo</w:t>
      </w:r>
      <w:r w:rsidRPr="001048FE">
        <w:rPr>
          <w:spacing w:val="-14"/>
          <w:lang w:val="sl-SI"/>
        </w:rPr>
        <w:t xml:space="preserve"> </w:t>
      </w:r>
      <w:r w:rsidRPr="001048FE">
        <w:rPr>
          <w:lang w:val="sl-SI"/>
        </w:rPr>
        <w:t>tudi</w:t>
      </w:r>
      <w:r w:rsidRPr="001048FE">
        <w:rPr>
          <w:spacing w:val="-14"/>
          <w:lang w:val="sl-SI"/>
        </w:rPr>
        <w:t xml:space="preserve"> </w:t>
      </w:r>
      <w:r w:rsidRPr="001048FE">
        <w:rPr>
          <w:lang w:val="sl-SI"/>
        </w:rPr>
        <w:t>do</w:t>
      </w:r>
      <w:r w:rsidRPr="001048FE">
        <w:rPr>
          <w:spacing w:val="-14"/>
          <w:lang w:val="sl-SI"/>
        </w:rPr>
        <w:t xml:space="preserve"> </w:t>
      </w:r>
      <w:r w:rsidRPr="001048FE">
        <w:rPr>
          <w:lang w:val="sl-SI"/>
        </w:rPr>
        <w:t>samozaposlitve</w:t>
      </w:r>
      <w:r w:rsidRPr="001048FE">
        <w:rPr>
          <w:spacing w:val="-14"/>
          <w:lang w:val="sl-SI"/>
        </w:rPr>
        <w:t xml:space="preserve"> </w:t>
      </w:r>
      <w:r w:rsidRPr="001048FE">
        <w:rPr>
          <w:lang w:val="sl-SI"/>
        </w:rPr>
        <w:t>ali</w:t>
      </w:r>
      <w:r w:rsidRPr="001048FE">
        <w:rPr>
          <w:spacing w:val="-14"/>
          <w:lang w:val="sl-SI"/>
        </w:rPr>
        <w:t xml:space="preserve"> </w:t>
      </w:r>
      <w:r w:rsidRPr="001048FE">
        <w:rPr>
          <w:lang w:val="sl-SI"/>
        </w:rPr>
        <w:t>ustanavljanja združenj, nevladnih organizacij ali drugih organov, ki so aktivni na področju socialnega gospodarstva, neprofitnosti in</w:t>
      </w:r>
      <w:r w:rsidRPr="001048FE">
        <w:rPr>
          <w:spacing w:val="-7"/>
          <w:lang w:val="sl-SI"/>
        </w:rPr>
        <w:t xml:space="preserve"> </w:t>
      </w:r>
      <w:r w:rsidRPr="001048FE">
        <w:rPr>
          <w:lang w:val="sl-SI"/>
        </w:rPr>
        <w:t>mladine.</w:t>
      </w:r>
    </w:p>
    <w:p w14:paraId="7D39AA5E" w14:textId="77777777" w:rsidR="00E15C84" w:rsidRPr="001048FE" w:rsidRDefault="00E15C84" w:rsidP="0009190F">
      <w:pPr>
        <w:pStyle w:val="GUIDE-NORMAL"/>
        <w:rPr>
          <w:lang w:val="sl-SI"/>
        </w:rPr>
      </w:pPr>
      <w:r w:rsidRPr="001048FE">
        <w:rPr>
          <w:lang w:val="sl-SI"/>
        </w:rPr>
        <w:t>Mladim, ki izvajajo transnacionalne mladinske pobude, lahko nudijo podporo inštruktorji. Inštruktor je oseba, ki ima izkušnje z mladinskim delom in/ali mladinskimi pobudami ter spremlja skupine mladih, pospešuje učni proces in podpira njihovo udeležbo. Ima različne vloge glede na potrebe posamezne skupine mladih.</w:t>
      </w:r>
    </w:p>
    <w:p w14:paraId="7D39AA5F" w14:textId="77777777" w:rsidR="00E15C84" w:rsidRPr="001048FE" w:rsidRDefault="00E15C84" w:rsidP="0009190F">
      <w:pPr>
        <w:pStyle w:val="GUIDE-NORMAL"/>
        <w:rPr>
          <w:lang w:val="sl-SI"/>
        </w:rPr>
      </w:pPr>
      <w:r w:rsidRPr="001048FE">
        <w:rPr>
          <w:lang w:val="sl-SI"/>
        </w:rPr>
        <w:t>Inštruktor ni neposredno udeležen v mladinski pobudi, temveč podpira skupino mladih pri pripravi, izvajanju in ocenjevanju projekta glede na potrebe skupine. Inštruktorji podpirajo kakovost učnega procesa in zagotavljajo stalno partnerstvo, da bi pomagali skupini ali posameznikom ustvariti izpolnjujoče rezultate na podlagi njihovega projekta.</w:t>
      </w:r>
    </w:p>
    <w:p w14:paraId="7D39AA60" w14:textId="77777777" w:rsidR="00E15C84" w:rsidRPr="001048FE" w:rsidRDefault="00E15C84" w:rsidP="0009190F">
      <w:pPr>
        <w:pStyle w:val="GUIDE-NORMAL"/>
        <w:rPr>
          <w:lang w:val="sl-SI"/>
        </w:rPr>
      </w:pPr>
      <w:r w:rsidRPr="001048FE">
        <w:rPr>
          <w:lang w:val="sl-SI"/>
        </w:rPr>
        <w:t>Inštruktor ni: vodja projekta; svetovalec; član skupine, ki izvaja projekt; poklicni vodja usposabljanja/strokovnjak, ki zagotavlja samo tehnično podporo na določenem področju; zakoniti zastopnik</w:t>
      </w:r>
      <w:r w:rsidRPr="001048FE">
        <w:rPr>
          <w:spacing w:val="-18"/>
          <w:lang w:val="sl-SI"/>
        </w:rPr>
        <w:t xml:space="preserve"> </w:t>
      </w:r>
      <w:r w:rsidRPr="001048FE">
        <w:rPr>
          <w:lang w:val="sl-SI"/>
        </w:rPr>
        <w:t>projekta.</w:t>
      </w:r>
      <w:r w:rsidRPr="001048FE">
        <w:rPr>
          <w:spacing w:val="-18"/>
          <w:lang w:val="sl-SI"/>
        </w:rPr>
        <w:t xml:space="preserve"> </w:t>
      </w:r>
      <w:r w:rsidRPr="001048FE">
        <w:rPr>
          <w:lang w:val="sl-SI"/>
        </w:rPr>
        <w:t>Če</w:t>
      </w:r>
      <w:r w:rsidRPr="001048FE">
        <w:rPr>
          <w:spacing w:val="-18"/>
          <w:lang w:val="sl-SI"/>
        </w:rPr>
        <w:t xml:space="preserve"> </w:t>
      </w:r>
      <w:r w:rsidRPr="001048FE">
        <w:rPr>
          <w:lang w:val="sl-SI"/>
        </w:rPr>
        <w:t>mladinsko</w:t>
      </w:r>
      <w:r w:rsidRPr="001048FE">
        <w:rPr>
          <w:spacing w:val="-18"/>
          <w:lang w:val="sl-SI"/>
        </w:rPr>
        <w:t xml:space="preserve"> </w:t>
      </w:r>
      <w:r w:rsidRPr="001048FE">
        <w:rPr>
          <w:lang w:val="sl-SI"/>
        </w:rPr>
        <w:t>pobudo</w:t>
      </w:r>
      <w:r w:rsidRPr="001048FE">
        <w:rPr>
          <w:spacing w:val="-18"/>
          <w:lang w:val="sl-SI"/>
        </w:rPr>
        <w:t xml:space="preserve"> </w:t>
      </w:r>
      <w:r w:rsidRPr="001048FE">
        <w:rPr>
          <w:lang w:val="sl-SI"/>
        </w:rPr>
        <w:t>izvajajo</w:t>
      </w:r>
      <w:r w:rsidRPr="001048FE">
        <w:rPr>
          <w:spacing w:val="-18"/>
          <w:lang w:val="sl-SI"/>
        </w:rPr>
        <w:t xml:space="preserve"> </w:t>
      </w:r>
      <w:r w:rsidRPr="001048FE">
        <w:rPr>
          <w:lang w:val="sl-SI"/>
        </w:rPr>
        <w:t>mladoletne</w:t>
      </w:r>
      <w:r w:rsidRPr="001048FE">
        <w:rPr>
          <w:spacing w:val="-18"/>
          <w:lang w:val="sl-SI"/>
        </w:rPr>
        <w:t xml:space="preserve"> </w:t>
      </w:r>
      <w:r w:rsidRPr="001048FE">
        <w:rPr>
          <w:lang w:val="sl-SI"/>
        </w:rPr>
        <w:t>osebe,</w:t>
      </w:r>
      <w:r w:rsidRPr="001048FE">
        <w:rPr>
          <w:spacing w:val="-17"/>
          <w:lang w:val="sl-SI"/>
        </w:rPr>
        <w:t xml:space="preserve"> </w:t>
      </w:r>
      <w:r w:rsidRPr="001048FE">
        <w:rPr>
          <w:lang w:val="sl-SI"/>
        </w:rPr>
        <w:t>je</w:t>
      </w:r>
      <w:r w:rsidRPr="001048FE">
        <w:rPr>
          <w:spacing w:val="-18"/>
          <w:lang w:val="sl-SI"/>
        </w:rPr>
        <w:t xml:space="preserve"> </w:t>
      </w:r>
      <w:r w:rsidRPr="001048FE">
        <w:rPr>
          <w:lang w:val="sl-SI"/>
        </w:rPr>
        <w:t>podpora</w:t>
      </w:r>
      <w:r w:rsidRPr="001048FE">
        <w:rPr>
          <w:spacing w:val="-18"/>
          <w:lang w:val="sl-SI"/>
        </w:rPr>
        <w:t xml:space="preserve"> </w:t>
      </w:r>
      <w:r w:rsidRPr="001048FE">
        <w:rPr>
          <w:lang w:val="sl-SI"/>
        </w:rPr>
        <w:t>inštruktorja</w:t>
      </w:r>
      <w:r w:rsidRPr="001048FE">
        <w:rPr>
          <w:spacing w:val="-18"/>
          <w:lang w:val="sl-SI"/>
        </w:rPr>
        <w:t xml:space="preserve"> </w:t>
      </w:r>
      <w:r w:rsidRPr="001048FE">
        <w:rPr>
          <w:lang w:val="sl-SI"/>
        </w:rPr>
        <w:t>obvezna.</w:t>
      </w:r>
    </w:p>
    <w:p w14:paraId="7D39AA61" w14:textId="77777777" w:rsidR="00163535" w:rsidRDefault="00493CB0">
      <w:pPr>
        <w:pStyle w:val="Guide-AnnexHeading3"/>
        <w:numPr>
          <w:ilvl w:val="0"/>
          <w:numId w:val="0"/>
        </w:numPr>
        <w:ind w:left="360" w:hanging="360"/>
        <w:rPr>
          <w:lang w:val="sl-SI"/>
        </w:rPr>
      </w:pPr>
      <w:bookmarkStart w:id="707" w:name="_Toc524425631"/>
      <w:bookmarkStart w:id="708" w:name="_Toc526422869"/>
      <w:bookmarkStart w:id="709" w:name="_Toc527400987"/>
      <w:bookmarkStart w:id="710" w:name="_Toc527401348"/>
      <w:r>
        <w:rPr>
          <w:lang w:val="sl-SI"/>
        </w:rPr>
        <w:t xml:space="preserve">3. </w:t>
      </w:r>
      <w:r w:rsidR="00E15C84" w:rsidRPr="001048FE">
        <w:rPr>
          <w:lang w:val="sl-SI"/>
        </w:rPr>
        <w:t>Primeri strateških partnerstev</w:t>
      </w:r>
      <w:bookmarkEnd w:id="707"/>
      <w:bookmarkEnd w:id="708"/>
      <w:bookmarkEnd w:id="709"/>
      <w:bookmarkEnd w:id="710"/>
    </w:p>
    <w:p w14:paraId="7D39AA62" w14:textId="77777777" w:rsidR="00E15C84" w:rsidRPr="001048FE" w:rsidRDefault="00E15C84" w:rsidP="0009190F">
      <w:pPr>
        <w:pStyle w:val="Guide-Heading4"/>
        <w:rPr>
          <w:lang w:val="sl-SI"/>
        </w:rPr>
      </w:pPr>
      <w:bookmarkStart w:id="711" w:name="_Toc527401349"/>
      <w:r w:rsidRPr="001048FE">
        <w:rPr>
          <w:lang w:val="sl-SI"/>
        </w:rPr>
        <w:t>Spodbujanje fleksibilnih učnih poti</w:t>
      </w:r>
      <w:bookmarkEnd w:id="711"/>
    </w:p>
    <w:p w14:paraId="7D39AA63" w14:textId="77777777" w:rsidR="00E15C84" w:rsidRPr="001048FE" w:rsidRDefault="00E15C84" w:rsidP="0009190F">
      <w:pPr>
        <w:pStyle w:val="GUIDE-NORMAL"/>
        <w:rPr>
          <w:lang w:val="sl-SI"/>
        </w:rPr>
      </w:pPr>
      <w:r w:rsidRPr="001048FE">
        <w:rPr>
          <w:lang w:val="sl-SI"/>
        </w:rPr>
        <w:t>Vključevanje praktičnega in teoretičnega znanja v učne načrte visokošolskih institucij lahko zagotovi priložnosti za študente, da pridobijo spretnosti, ki jih potrebujejo zdaj in v prihodnosti na trgu dela, ter s tem izboljša njihovo prihodnjo zaposljivost. Strateško partnerstvo bo podpiralo projektno sodelovanje med podjetji ter študenti in osebjem na visokošolski instituciji, da se razvije, preskusi in prilagodi skupni učni načrt med sodelujočimi visokošolskimi institucijami na podlagi izčrpne analize potreb in usmerjenosti v mednarodni pristop, ki temelji na primerih iz resničnega življenja.</w:t>
      </w:r>
    </w:p>
    <w:p w14:paraId="7D39AA64" w14:textId="77777777" w:rsidR="00E15C84" w:rsidRPr="001048FE" w:rsidRDefault="00E15C84" w:rsidP="0009190F">
      <w:pPr>
        <w:pStyle w:val="GUIDE-NORMAL"/>
        <w:rPr>
          <w:lang w:val="sl-SI"/>
        </w:rPr>
      </w:pPr>
      <w:r w:rsidRPr="001048FE">
        <w:rPr>
          <w:lang w:val="sl-SI"/>
        </w:rPr>
        <w:t>V</w:t>
      </w:r>
      <w:r w:rsidRPr="001048FE">
        <w:rPr>
          <w:spacing w:val="-19"/>
          <w:lang w:val="sl-SI"/>
        </w:rPr>
        <w:t xml:space="preserve"> </w:t>
      </w:r>
      <w:r w:rsidRPr="001048FE">
        <w:rPr>
          <w:lang w:val="sl-SI"/>
        </w:rPr>
        <w:t>to</w:t>
      </w:r>
      <w:r w:rsidRPr="001048FE">
        <w:rPr>
          <w:spacing w:val="-19"/>
          <w:lang w:val="sl-SI"/>
        </w:rPr>
        <w:t xml:space="preserve"> </w:t>
      </w:r>
      <w:r w:rsidRPr="001048FE">
        <w:rPr>
          <w:lang w:val="sl-SI"/>
        </w:rPr>
        <w:t>bodo</w:t>
      </w:r>
      <w:r w:rsidRPr="001048FE">
        <w:rPr>
          <w:spacing w:val="-19"/>
          <w:lang w:val="sl-SI"/>
        </w:rPr>
        <w:t xml:space="preserve"> </w:t>
      </w:r>
      <w:r w:rsidRPr="001048FE">
        <w:rPr>
          <w:lang w:val="sl-SI"/>
        </w:rPr>
        <w:t>zajete</w:t>
      </w:r>
      <w:r w:rsidRPr="001048FE">
        <w:rPr>
          <w:spacing w:val="-19"/>
          <w:lang w:val="sl-SI"/>
        </w:rPr>
        <w:t xml:space="preserve"> </w:t>
      </w:r>
      <w:r w:rsidRPr="001048FE">
        <w:rPr>
          <w:lang w:val="sl-SI"/>
        </w:rPr>
        <w:t>tudi</w:t>
      </w:r>
      <w:r w:rsidRPr="001048FE">
        <w:rPr>
          <w:spacing w:val="-19"/>
          <w:lang w:val="sl-SI"/>
        </w:rPr>
        <w:t xml:space="preserve"> </w:t>
      </w:r>
      <w:r w:rsidRPr="001048FE">
        <w:rPr>
          <w:lang w:val="sl-SI"/>
        </w:rPr>
        <w:t>aktivnosti</w:t>
      </w:r>
      <w:r w:rsidRPr="001048FE">
        <w:rPr>
          <w:spacing w:val="-19"/>
          <w:lang w:val="sl-SI"/>
        </w:rPr>
        <w:t xml:space="preserve"> </w:t>
      </w:r>
      <w:r w:rsidRPr="001048FE">
        <w:rPr>
          <w:lang w:val="sl-SI"/>
        </w:rPr>
        <w:t>poučevanja/učenja,</w:t>
      </w:r>
      <w:r w:rsidRPr="001048FE">
        <w:rPr>
          <w:spacing w:val="-19"/>
          <w:lang w:val="sl-SI"/>
        </w:rPr>
        <w:t xml:space="preserve"> </w:t>
      </w:r>
      <w:r w:rsidRPr="001048FE">
        <w:rPr>
          <w:lang w:val="sl-SI"/>
        </w:rPr>
        <w:t>vključno</w:t>
      </w:r>
      <w:r w:rsidRPr="001048FE">
        <w:rPr>
          <w:spacing w:val="-19"/>
          <w:lang w:val="sl-SI"/>
        </w:rPr>
        <w:t xml:space="preserve"> </w:t>
      </w:r>
      <w:r w:rsidRPr="001048FE">
        <w:rPr>
          <w:lang w:val="sl-SI"/>
        </w:rPr>
        <w:t>z</w:t>
      </w:r>
      <w:r w:rsidRPr="001048FE">
        <w:rPr>
          <w:spacing w:val="-19"/>
          <w:lang w:val="sl-SI"/>
        </w:rPr>
        <w:t xml:space="preserve"> </w:t>
      </w:r>
      <w:r w:rsidRPr="001048FE">
        <w:rPr>
          <w:lang w:val="sl-SI"/>
        </w:rPr>
        <w:t>izmenjavo</w:t>
      </w:r>
      <w:r w:rsidRPr="001048FE">
        <w:rPr>
          <w:spacing w:val="-19"/>
          <w:lang w:val="sl-SI"/>
        </w:rPr>
        <w:t xml:space="preserve"> </w:t>
      </w:r>
      <w:r w:rsidRPr="001048FE">
        <w:rPr>
          <w:lang w:val="sl-SI"/>
        </w:rPr>
        <w:t>osebja</w:t>
      </w:r>
      <w:r w:rsidRPr="001048FE">
        <w:rPr>
          <w:spacing w:val="-18"/>
          <w:lang w:val="sl-SI"/>
        </w:rPr>
        <w:t xml:space="preserve"> </w:t>
      </w:r>
      <w:r w:rsidRPr="001048FE">
        <w:rPr>
          <w:lang w:val="sl-SI"/>
        </w:rPr>
        <w:t>med</w:t>
      </w:r>
      <w:r w:rsidRPr="001048FE">
        <w:rPr>
          <w:spacing w:val="-19"/>
          <w:lang w:val="sl-SI"/>
        </w:rPr>
        <w:t xml:space="preserve"> </w:t>
      </w:r>
      <w:r w:rsidRPr="001048FE">
        <w:rPr>
          <w:lang w:val="sl-SI"/>
        </w:rPr>
        <w:t>visokošolskimi institucijami in podjetji, ter vključena mobilnost, pri kateri študenti sledijo skupnemu programu, ki ga poučujejo različni partnerji na različnih</w:t>
      </w:r>
      <w:r w:rsidRPr="001048FE">
        <w:rPr>
          <w:spacing w:val="-10"/>
          <w:lang w:val="sl-SI"/>
        </w:rPr>
        <w:t xml:space="preserve"> </w:t>
      </w:r>
      <w:r w:rsidRPr="001048FE">
        <w:rPr>
          <w:lang w:val="sl-SI"/>
        </w:rPr>
        <w:t>lokacijah.</w:t>
      </w:r>
    </w:p>
    <w:p w14:paraId="7D39AA65" w14:textId="77777777" w:rsidR="00E15C84" w:rsidRPr="001048FE" w:rsidRDefault="00E15C84" w:rsidP="0009190F">
      <w:pPr>
        <w:pStyle w:val="GUIDE-NORMAL"/>
        <w:rPr>
          <w:lang w:val="sl-SI"/>
        </w:rPr>
      </w:pPr>
      <w:r w:rsidRPr="001048FE">
        <w:rPr>
          <w:lang w:val="sl-SI"/>
        </w:rPr>
        <w:t>Končni</w:t>
      </w:r>
      <w:r w:rsidRPr="001048FE">
        <w:rPr>
          <w:spacing w:val="-10"/>
          <w:lang w:val="sl-SI"/>
        </w:rPr>
        <w:t xml:space="preserve"> </w:t>
      </w:r>
      <w:r w:rsidRPr="001048FE">
        <w:rPr>
          <w:lang w:val="sl-SI"/>
        </w:rPr>
        <w:t>rezultat</w:t>
      </w:r>
      <w:r w:rsidRPr="001048FE">
        <w:rPr>
          <w:spacing w:val="-10"/>
          <w:lang w:val="sl-SI"/>
        </w:rPr>
        <w:t xml:space="preserve"> </w:t>
      </w:r>
      <w:r w:rsidRPr="001048FE">
        <w:rPr>
          <w:lang w:val="sl-SI"/>
        </w:rPr>
        <w:t>je</w:t>
      </w:r>
      <w:r w:rsidRPr="001048FE">
        <w:rPr>
          <w:spacing w:val="-10"/>
          <w:lang w:val="sl-SI"/>
        </w:rPr>
        <w:t xml:space="preserve"> </w:t>
      </w:r>
      <w:r w:rsidRPr="001048FE">
        <w:rPr>
          <w:lang w:val="sl-SI"/>
        </w:rPr>
        <w:t>izvajanje</w:t>
      </w:r>
      <w:r w:rsidRPr="001048FE">
        <w:rPr>
          <w:spacing w:val="-10"/>
          <w:lang w:val="sl-SI"/>
        </w:rPr>
        <w:t xml:space="preserve"> </w:t>
      </w:r>
      <w:r w:rsidRPr="001048FE">
        <w:rPr>
          <w:lang w:val="sl-SI"/>
        </w:rPr>
        <w:t>skupnega</w:t>
      </w:r>
      <w:r w:rsidRPr="001048FE">
        <w:rPr>
          <w:spacing w:val="-10"/>
          <w:lang w:val="sl-SI"/>
        </w:rPr>
        <w:t xml:space="preserve"> </w:t>
      </w:r>
      <w:r w:rsidRPr="001048FE">
        <w:rPr>
          <w:lang w:val="sl-SI"/>
        </w:rPr>
        <w:t>učnega</w:t>
      </w:r>
      <w:r w:rsidRPr="001048FE">
        <w:rPr>
          <w:spacing w:val="-10"/>
          <w:lang w:val="sl-SI"/>
        </w:rPr>
        <w:t xml:space="preserve"> </w:t>
      </w:r>
      <w:r w:rsidRPr="001048FE">
        <w:rPr>
          <w:lang w:val="sl-SI"/>
        </w:rPr>
        <w:t>načrta</w:t>
      </w:r>
      <w:r w:rsidRPr="001048FE">
        <w:rPr>
          <w:spacing w:val="-10"/>
          <w:lang w:val="sl-SI"/>
        </w:rPr>
        <w:t xml:space="preserve"> </w:t>
      </w:r>
      <w:r w:rsidRPr="001048FE">
        <w:rPr>
          <w:lang w:val="sl-SI"/>
        </w:rPr>
        <w:t>in</w:t>
      </w:r>
      <w:r w:rsidRPr="001048FE">
        <w:rPr>
          <w:spacing w:val="-10"/>
          <w:lang w:val="sl-SI"/>
        </w:rPr>
        <w:t xml:space="preserve"> </w:t>
      </w:r>
      <w:r w:rsidRPr="001048FE">
        <w:rPr>
          <w:lang w:val="sl-SI"/>
        </w:rPr>
        <w:t>razširjanje</w:t>
      </w:r>
      <w:r w:rsidRPr="001048FE">
        <w:rPr>
          <w:spacing w:val="-10"/>
          <w:lang w:val="sl-SI"/>
        </w:rPr>
        <w:t xml:space="preserve"> </w:t>
      </w:r>
      <w:r w:rsidRPr="001048FE">
        <w:rPr>
          <w:lang w:val="sl-SI"/>
        </w:rPr>
        <w:t>v</w:t>
      </w:r>
      <w:r w:rsidRPr="001048FE">
        <w:rPr>
          <w:spacing w:val="-10"/>
          <w:lang w:val="sl-SI"/>
        </w:rPr>
        <w:t xml:space="preserve"> </w:t>
      </w:r>
      <w:r w:rsidRPr="001048FE">
        <w:rPr>
          <w:lang w:val="sl-SI"/>
        </w:rPr>
        <w:t>organizacijah,</w:t>
      </w:r>
      <w:r w:rsidRPr="001048FE">
        <w:rPr>
          <w:spacing w:val="-9"/>
          <w:lang w:val="sl-SI"/>
        </w:rPr>
        <w:t xml:space="preserve"> </w:t>
      </w:r>
      <w:r w:rsidRPr="001048FE">
        <w:rPr>
          <w:lang w:val="sl-SI"/>
        </w:rPr>
        <w:t>ki</w:t>
      </w:r>
      <w:r w:rsidRPr="001048FE">
        <w:rPr>
          <w:spacing w:val="-10"/>
          <w:lang w:val="sl-SI"/>
        </w:rPr>
        <w:t xml:space="preserve"> </w:t>
      </w:r>
      <w:r w:rsidRPr="001048FE">
        <w:rPr>
          <w:lang w:val="sl-SI"/>
        </w:rPr>
        <w:t>niso</w:t>
      </w:r>
      <w:r w:rsidRPr="001048FE">
        <w:rPr>
          <w:spacing w:val="-10"/>
          <w:lang w:val="sl-SI"/>
        </w:rPr>
        <w:t xml:space="preserve"> </w:t>
      </w:r>
      <w:r w:rsidRPr="001048FE">
        <w:rPr>
          <w:lang w:val="sl-SI"/>
        </w:rPr>
        <w:t>zajete</w:t>
      </w:r>
      <w:r w:rsidRPr="001048FE">
        <w:rPr>
          <w:spacing w:val="-10"/>
          <w:lang w:val="sl-SI"/>
        </w:rPr>
        <w:t xml:space="preserve"> </w:t>
      </w:r>
      <w:r w:rsidRPr="001048FE">
        <w:rPr>
          <w:lang w:val="sl-SI"/>
        </w:rPr>
        <w:t>v partnerstvo. Partnerstvo sestavljajo visokošolske institucije in podjetja, vključno z malimi in srednjimi podjetji ter socialnimi podjetji, da se zagotovijo zahtevane kompetence in ustreznost spretnosti, ki se razvijajo s skupnim učnim</w:t>
      </w:r>
      <w:r w:rsidRPr="001048FE">
        <w:rPr>
          <w:spacing w:val="-18"/>
          <w:lang w:val="sl-SI"/>
        </w:rPr>
        <w:t xml:space="preserve"> </w:t>
      </w:r>
      <w:r w:rsidRPr="001048FE">
        <w:rPr>
          <w:lang w:val="sl-SI"/>
        </w:rPr>
        <w:t>načrtom.</w:t>
      </w:r>
    </w:p>
    <w:p w14:paraId="7D39AA66" w14:textId="77777777" w:rsidR="00E15C84" w:rsidRPr="001048FE" w:rsidRDefault="00E15C84" w:rsidP="0009190F">
      <w:pPr>
        <w:pStyle w:val="Guide-Heading4"/>
        <w:rPr>
          <w:lang w:val="sl-SI"/>
        </w:rPr>
      </w:pPr>
      <w:bookmarkStart w:id="712" w:name="_Toc527401350"/>
      <w:r w:rsidRPr="001048FE">
        <w:rPr>
          <w:lang w:val="sl-SI"/>
        </w:rPr>
        <w:t>Celostni lokalni/regionalni razvoj</w:t>
      </w:r>
      <w:bookmarkEnd w:id="712"/>
    </w:p>
    <w:p w14:paraId="7D39AA67" w14:textId="77777777" w:rsidR="00E15C84" w:rsidRPr="001048FE" w:rsidRDefault="00E15C84" w:rsidP="0009190F">
      <w:pPr>
        <w:pStyle w:val="GUIDE-NORMAL"/>
        <w:rPr>
          <w:lang w:val="sl-SI"/>
        </w:rPr>
      </w:pPr>
      <w:r w:rsidRPr="001048FE">
        <w:rPr>
          <w:lang w:val="sl-SI"/>
        </w:rPr>
        <w:t>Vključenost vseh pomembnih deležnikov je lahko izjemno koristna pri oblikovanju celostnih lokalnih/regionalnih razvojnih načrtov. Strateško partnerstvo bo razvijalo, preskušalo in izvajalo inovativne pakete programov, ki bodo obogatili učni načrt partnerskih visokošolskih institucij in katerih cilj je dodeljevanje dvojnih certifikatov ali dvojnih diplom. V projekt bodo vključeni ključni deležniki in temeljil bo na njihovem stalnem nadzoru, zlasti s posebno usmerjevalno skupino, za zagotavljanje, da bodo potrebe lokalnih/regionalnih akterjev ustrezno izpolnjene.</w:t>
      </w:r>
    </w:p>
    <w:p w14:paraId="7D39AA68" w14:textId="77777777" w:rsidR="00E15C84" w:rsidRPr="001048FE" w:rsidRDefault="00E15C84" w:rsidP="0009190F">
      <w:pPr>
        <w:pStyle w:val="GUIDE-NORMAL"/>
        <w:rPr>
          <w:lang w:val="sl-SI"/>
        </w:rPr>
      </w:pPr>
      <w:r w:rsidRPr="001048FE">
        <w:rPr>
          <w:lang w:val="sl-SI"/>
        </w:rPr>
        <w:t>V projekt bodo zajete tudi aktivnosti poučevanja/učenja, vključno z izmenjavo osebja med visokošolskimi institucijami in „kombinirano“ mobilnostjo študentov. Končni rezultat je vključitev teh paketov programov v učni načrt in dodeljevanje dvojnih certifikatov/diplom. V partnerstvo so vključene visokošolske institucije, lokalni akterji in lokalni javni organi.</w:t>
      </w:r>
    </w:p>
    <w:p w14:paraId="7D39AA69" w14:textId="77777777" w:rsidR="00E15C84" w:rsidRPr="001048FE" w:rsidRDefault="00E15C84" w:rsidP="0009190F">
      <w:pPr>
        <w:pStyle w:val="GUIDE-NORMAL"/>
        <w:rPr>
          <w:lang w:val="sl-SI"/>
        </w:rPr>
      </w:pPr>
      <w:r w:rsidRPr="001048FE">
        <w:rPr>
          <w:lang w:val="sl-SI"/>
        </w:rPr>
        <w:t>Vključevanje manj izkušenih partnerjev v aktivnosti, ki se izvajajo, je lahko postopno, pri čemer se zagotovi, da so najpozneje zadnjo leto projekta vsi partnerji vključeni v celotni paket aktivnosti.</w:t>
      </w:r>
    </w:p>
    <w:p w14:paraId="7D39AA6A" w14:textId="77777777" w:rsidR="00E15C84" w:rsidRPr="001048FE" w:rsidRDefault="00E15C84" w:rsidP="0009190F">
      <w:pPr>
        <w:pStyle w:val="Guide-Heading4"/>
        <w:rPr>
          <w:lang w:val="sl-SI"/>
        </w:rPr>
      </w:pPr>
      <w:bookmarkStart w:id="713" w:name="_Toc527401351"/>
      <w:r w:rsidRPr="001048FE">
        <w:rPr>
          <w:lang w:val="sl-SI"/>
        </w:rPr>
        <w:t>Ustvarjalnost in inovativnost</w:t>
      </w:r>
      <w:bookmarkEnd w:id="713"/>
    </w:p>
    <w:p w14:paraId="7D39AA6B" w14:textId="77777777" w:rsidR="00E15C84" w:rsidRPr="001048FE" w:rsidRDefault="00E15C84" w:rsidP="0009190F">
      <w:pPr>
        <w:pStyle w:val="GUIDE-NORMAL"/>
        <w:rPr>
          <w:lang w:val="sl-SI"/>
        </w:rPr>
      </w:pPr>
      <w:r w:rsidRPr="001048FE">
        <w:rPr>
          <w:lang w:val="sl-SI"/>
        </w:rPr>
        <w:t>Mala</w:t>
      </w:r>
      <w:r w:rsidRPr="001048FE">
        <w:rPr>
          <w:spacing w:val="-8"/>
          <w:lang w:val="sl-SI"/>
        </w:rPr>
        <w:t xml:space="preserve"> </w:t>
      </w:r>
      <w:r w:rsidRPr="001048FE">
        <w:rPr>
          <w:lang w:val="sl-SI"/>
        </w:rPr>
        <w:t>in</w:t>
      </w:r>
      <w:r w:rsidRPr="001048FE">
        <w:rPr>
          <w:spacing w:val="-8"/>
          <w:lang w:val="sl-SI"/>
        </w:rPr>
        <w:t xml:space="preserve"> </w:t>
      </w:r>
      <w:r w:rsidRPr="001048FE">
        <w:rPr>
          <w:lang w:val="sl-SI"/>
        </w:rPr>
        <w:t>srednja</w:t>
      </w:r>
      <w:r w:rsidRPr="001048FE">
        <w:rPr>
          <w:spacing w:val="-8"/>
          <w:lang w:val="sl-SI"/>
        </w:rPr>
        <w:t xml:space="preserve"> </w:t>
      </w:r>
      <w:r w:rsidRPr="001048FE">
        <w:rPr>
          <w:lang w:val="sl-SI"/>
        </w:rPr>
        <w:t>podjetja</w:t>
      </w:r>
      <w:r w:rsidRPr="001048FE">
        <w:rPr>
          <w:spacing w:val="-8"/>
          <w:lang w:val="sl-SI"/>
        </w:rPr>
        <w:t xml:space="preserve"> </w:t>
      </w:r>
      <w:r w:rsidRPr="001048FE">
        <w:rPr>
          <w:lang w:val="sl-SI"/>
        </w:rPr>
        <w:t>se</w:t>
      </w:r>
      <w:r w:rsidRPr="001048FE">
        <w:rPr>
          <w:spacing w:val="-8"/>
          <w:lang w:val="sl-SI"/>
        </w:rPr>
        <w:t xml:space="preserve"> </w:t>
      </w:r>
      <w:r w:rsidRPr="001048FE">
        <w:rPr>
          <w:lang w:val="sl-SI"/>
        </w:rPr>
        <w:t>srečujejo</w:t>
      </w:r>
      <w:r w:rsidRPr="001048FE">
        <w:rPr>
          <w:spacing w:val="-8"/>
          <w:lang w:val="sl-SI"/>
        </w:rPr>
        <w:t xml:space="preserve"> </w:t>
      </w:r>
      <w:r w:rsidRPr="001048FE">
        <w:rPr>
          <w:lang w:val="sl-SI"/>
        </w:rPr>
        <w:t>z</w:t>
      </w:r>
      <w:r w:rsidRPr="001048FE">
        <w:rPr>
          <w:spacing w:val="-8"/>
          <w:lang w:val="sl-SI"/>
        </w:rPr>
        <w:t xml:space="preserve"> </w:t>
      </w:r>
      <w:r w:rsidRPr="001048FE">
        <w:rPr>
          <w:lang w:val="sl-SI"/>
        </w:rPr>
        <w:t>izzivi</w:t>
      </w:r>
      <w:r w:rsidRPr="001048FE">
        <w:rPr>
          <w:spacing w:val="-8"/>
          <w:lang w:val="sl-SI"/>
        </w:rPr>
        <w:t xml:space="preserve"> </w:t>
      </w:r>
      <w:r w:rsidRPr="001048FE">
        <w:rPr>
          <w:lang w:val="sl-SI"/>
        </w:rPr>
        <w:t>razvoja</w:t>
      </w:r>
      <w:r w:rsidRPr="001048FE">
        <w:rPr>
          <w:spacing w:val="-8"/>
          <w:lang w:val="sl-SI"/>
        </w:rPr>
        <w:t xml:space="preserve"> </w:t>
      </w:r>
      <w:r w:rsidRPr="001048FE">
        <w:rPr>
          <w:lang w:val="sl-SI"/>
        </w:rPr>
        <w:t>spretnosti</w:t>
      </w:r>
      <w:r w:rsidRPr="001048FE">
        <w:rPr>
          <w:spacing w:val="-8"/>
          <w:lang w:val="sl-SI"/>
        </w:rPr>
        <w:t xml:space="preserve"> </w:t>
      </w:r>
      <w:r w:rsidRPr="001048FE">
        <w:rPr>
          <w:lang w:val="sl-SI"/>
        </w:rPr>
        <w:t>in</w:t>
      </w:r>
      <w:r w:rsidRPr="001048FE">
        <w:rPr>
          <w:spacing w:val="-8"/>
          <w:lang w:val="sl-SI"/>
        </w:rPr>
        <w:t xml:space="preserve"> </w:t>
      </w:r>
      <w:r w:rsidRPr="001048FE">
        <w:rPr>
          <w:lang w:val="sl-SI"/>
        </w:rPr>
        <w:t>inovacij,</w:t>
      </w:r>
      <w:r w:rsidRPr="001048FE">
        <w:rPr>
          <w:spacing w:val="-8"/>
          <w:lang w:val="sl-SI"/>
        </w:rPr>
        <w:t xml:space="preserve"> </w:t>
      </w:r>
      <w:r w:rsidRPr="001048FE">
        <w:rPr>
          <w:lang w:val="sl-SI"/>
        </w:rPr>
        <w:t>pri</w:t>
      </w:r>
      <w:r w:rsidRPr="001048FE">
        <w:rPr>
          <w:spacing w:val="-8"/>
          <w:lang w:val="sl-SI"/>
        </w:rPr>
        <w:t xml:space="preserve"> </w:t>
      </w:r>
      <w:r w:rsidRPr="001048FE">
        <w:rPr>
          <w:lang w:val="sl-SI"/>
        </w:rPr>
        <w:t>čemer</w:t>
      </w:r>
      <w:r w:rsidRPr="001048FE">
        <w:rPr>
          <w:spacing w:val="-8"/>
          <w:lang w:val="sl-SI"/>
        </w:rPr>
        <w:t xml:space="preserve"> </w:t>
      </w:r>
      <w:r w:rsidRPr="001048FE">
        <w:rPr>
          <w:lang w:val="sl-SI"/>
        </w:rPr>
        <w:t>nimajo</w:t>
      </w:r>
      <w:r w:rsidRPr="001048FE">
        <w:rPr>
          <w:spacing w:val="-8"/>
          <w:lang w:val="sl-SI"/>
        </w:rPr>
        <w:t xml:space="preserve"> </w:t>
      </w:r>
      <w:r w:rsidRPr="001048FE">
        <w:rPr>
          <w:lang w:val="sl-SI"/>
        </w:rPr>
        <w:t>vedno</w:t>
      </w:r>
      <w:r w:rsidRPr="001048FE">
        <w:rPr>
          <w:spacing w:val="-8"/>
          <w:lang w:val="sl-SI"/>
        </w:rPr>
        <w:t xml:space="preserve"> </w:t>
      </w:r>
      <w:r w:rsidRPr="001048FE">
        <w:rPr>
          <w:lang w:val="sl-SI"/>
        </w:rPr>
        <w:t>na voljo ustreznih virov ali strateške vizije za spopadanje s hudo konkurenco na trgu. Strateško partnerstvo podpira širjenje kulture ustvarjalnosti in inovativnosti v malih podjetjih s prenosom in izvajanjem metodologij, orodij in konceptov, ki pospešujejo organizacijski razvoj in ustvarjanje proizvodov. Partnerji iz ustvarjalnih sektorjev in visokošolskih institucij pomagajo drugim partnerjem, da se naučijo uspešno uporabiti ustvarjalno razmišljanje v svojih organizacijah ter razvijati zmogljivost za inovacije in</w:t>
      </w:r>
      <w:r w:rsidRPr="001048FE">
        <w:rPr>
          <w:spacing w:val="-14"/>
          <w:lang w:val="sl-SI"/>
        </w:rPr>
        <w:t xml:space="preserve"> </w:t>
      </w:r>
      <w:r w:rsidRPr="001048FE">
        <w:rPr>
          <w:lang w:val="sl-SI"/>
        </w:rPr>
        <w:t>spremembe.</w:t>
      </w:r>
    </w:p>
    <w:p w14:paraId="7D39AA6C" w14:textId="77777777" w:rsidR="00E15C84" w:rsidRPr="001048FE" w:rsidRDefault="00E15C84" w:rsidP="0009190F">
      <w:pPr>
        <w:pStyle w:val="GUIDE-NORMAL"/>
        <w:rPr>
          <w:lang w:val="sl-SI"/>
        </w:rPr>
      </w:pPr>
      <w:r w:rsidRPr="001048FE">
        <w:rPr>
          <w:lang w:val="sl-SI"/>
        </w:rPr>
        <w:t>En konkreten rezultat je oblikovanje posebej prilagojenih akcijskih načrtov za razvoj ustvarjalnosti in inovativnosti,</w:t>
      </w:r>
      <w:r w:rsidRPr="001048FE">
        <w:rPr>
          <w:spacing w:val="-5"/>
          <w:lang w:val="sl-SI"/>
        </w:rPr>
        <w:t xml:space="preserve"> </w:t>
      </w:r>
      <w:r w:rsidRPr="001048FE">
        <w:rPr>
          <w:lang w:val="sl-SI"/>
        </w:rPr>
        <w:t>ki</w:t>
      </w:r>
      <w:r w:rsidRPr="001048FE">
        <w:rPr>
          <w:spacing w:val="-5"/>
          <w:lang w:val="sl-SI"/>
        </w:rPr>
        <w:t xml:space="preserve"> </w:t>
      </w:r>
      <w:r w:rsidRPr="001048FE">
        <w:rPr>
          <w:lang w:val="sl-SI"/>
        </w:rPr>
        <w:t>temeljijo</w:t>
      </w:r>
      <w:r w:rsidRPr="001048FE">
        <w:rPr>
          <w:spacing w:val="-5"/>
          <w:lang w:val="sl-SI"/>
        </w:rPr>
        <w:t xml:space="preserve"> </w:t>
      </w:r>
      <w:r w:rsidRPr="001048FE">
        <w:rPr>
          <w:lang w:val="sl-SI"/>
        </w:rPr>
        <w:t>na</w:t>
      </w:r>
      <w:r w:rsidRPr="001048FE">
        <w:rPr>
          <w:spacing w:val="-5"/>
          <w:lang w:val="sl-SI"/>
        </w:rPr>
        <w:t xml:space="preserve"> </w:t>
      </w:r>
      <w:r w:rsidRPr="001048FE">
        <w:rPr>
          <w:lang w:val="sl-SI"/>
        </w:rPr>
        <w:t>predhodnih</w:t>
      </w:r>
      <w:r w:rsidRPr="001048FE">
        <w:rPr>
          <w:spacing w:val="-5"/>
          <w:lang w:val="sl-SI"/>
        </w:rPr>
        <w:t xml:space="preserve"> </w:t>
      </w:r>
      <w:r w:rsidRPr="001048FE">
        <w:rPr>
          <w:lang w:val="sl-SI"/>
        </w:rPr>
        <w:t>analizah</w:t>
      </w:r>
      <w:r w:rsidRPr="001048FE">
        <w:rPr>
          <w:spacing w:val="-5"/>
          <w:lang w:val="sl-SI"/>
        </w:rPr>
        <w:t xml:space="preserve"> </w:t>
      </w:r>
      <w:r w:rsidRPr="001048FE">
        <w:rPr>
          <w:lang w:val="sl-SI"/>
        </w:rPr>
        <w:t>uspešnih</w:t>
      </w:r>
      <w:r w:rsidRPr="001048FE">
        <w:rPr>
          <w:spacing w:val="-5"/>
          <w:lang w:val="sl-SI"/>
        </w:rPr>
        <w:t xml:space="preserve"> </w:t>
      </w:r>
      <w:r w:rsidRPr="001048FE">
        <w:rPr>
          <w:lang w:val="sl-SI"/>
        </w:rPr>
        <w:t>primerov</w:t>
      </w:r>
      <w:r w:rsidRPr="001048FE">
        <w:rPr>
          <w:spacing w:val="-5"/>
          <w:lang w:val="sl-SI"/>
        </w:rPr>
        <w:t xml:space="preserve"> </w:t>
      </w:r>
      <w:r w:rsidRPr="001048FE">
        <w:rPr>
          <w:lang w:val="sl-SI"/>
        </w:rPr>
        <w:t>in</w:t>
      </w:r>
      <w:r w:rsidRPr="001048FE">
        <w:rPr>
          <w:spacing w:val="-5"/>
          <w:lang w:val="sl-SI"/>
        </w:rPr>
        <w:t xml:space="preserve"> </w:t>
      </w:r>
      <w:r w:rsidRPr="001048FE">
        <w:rPr>
          <w:lang w:val="sl-SI"/>
        </w:rPr>
        <w:t>metodologij.</w:t>
      </w:r>
      <w:r w:rsidRPr="001048FE">
        <w:rPr>
          <w:spacing w:val="-5"/>
          <w:lang w:val="sl-SI"/>
        </w:rPr>
        <w:t xml:space="preserve"> </w:t>
      </w:r>
      <w:r w:rsidRPr="001048FE">
        <w:rPr>
          <w:lang w:val="sl-SI"/>
        </w:rPr>
        <w:t>V</w:t>
      </w:r>
      <w:r w:rsidRPr="001048FE">
        <w:rPr>
          <w:spacing w:val="-5"/>
          <w:lang w:val="sl-SI"/>
        </w:rPr>
        <w:t xml:space="preserve"> </w:t>
      </w:r>
      <w:r w:rsidRPr="001048FE">
        <w:rPr>
          <w:lang w:val="sl-SI"/>
        </w:rPr>
        <w:t>partnerstvo</w:t>
      </w:r>
      <w:r w:rsidRPr="001048FE">
        <w:rPr>
          <w:spacing w:val="-5"/>
          <w:lang w:val="sl-SI"/>
        </w:rPr>
        <w:t xml:space="preserve"> </w:t>
      </w:r>
      <w:r w:rsidRPr="001048FE">
        <w:rPr>
          <w:lang w:val="sl-SI"/>
        </w:rPr>
        <w:t>so zajeti</w:t>
      </w:r>
      <w:r w:rsidRPr="001048FE">
        <w:rPr>
          <w:spacing w:val="-9"/>
          <w:lang w:val="sl-SI"/>
        </w:rPr>
        <w:t xml:space="preserve"> </w:t>
      </w:r>
      <w:r w:rsidRPr="001048FE">
        <w:rPr>
          <w:lang w:val="sl-SI"/>
        </w:rPr>
        <w:t>ustvarjalni</w:t>
      </w:r>
      <w:r w:rsidRPr="001048FE">
        <w:rPr>
          <w:spacing w:val="-9"/>
          <w:lang w:val="sl-SI"/>
        </w:rPr>
        <w:t xml:space="preserve"> </w:t>
      </w:r>
      <w:r w:rsidRPr="001048FE">
        <w:rPr>
          <w:lang w:val="sl-SI"/>
        </w:rPr>
        <w:t>sektorji,</w:t>
      </w:r>
      <w:r w:rsidRPr="001048FE">
        <w:rPr>
          <w:spacing w:val="-9"/>
          <w:lang w:val="sl-SI"/>
        </w:rPr>
        <w:t xml:space="preserve"> </w:t>
      </w:r>
      <w:r w:rsidRPr="001048FE">
        <w:rPr>
          <w:lang w:val="sl-SI"/>
        </w:rPr>
        <w:t>mala</w:t>
      </w:r>
      <w:r w:rsidRPr="001048FE">
        <w:rPr>
          <w:spacing w:val="-9"/>
          <w:lang w:val="sl-SI"/>
        </w:rPr>
        <w:t xml:space="preserve"> </w:t>
      </w:r>
      <w:r w:rsidRPr="001048FE">
        <w:rPr>
          <w:lang w:val="sl-SI"/>
        </w:rPr>
        <w:t>in</w:t>
      </w:r>
      <w:r w:rsidRPr="001048FE">
        <w:rPr>
          <w:spacing w:val="-9"/>
          <w:lang w:val="sl-SI"/>
        </w:rPr>
        <w:t xml:space="preserve"> </w:t>
      </w:r>
      <w:r w:rsidRPr="001048FE">
        <w:rPr>
          <w:lang w:val="sl-SI"/>
        </w:rPr>
        <w:t>srednja</w:t>
      </w:r>
      <w:r w:rsidRPr="001048FE">
        <w:rPr>
          <w:spacing w:val="-9"/>
          <w:lang w:val="sl-SI"/>
        </w:rPr>
        <w:t xml:space="preserve"> </w:t>
      </w:r>
      <w:r w:rsidRPr="001048FE">
        <w:rPr>
          <w:lang w:val="sl-SI"/>
        </w:rPr>
        <w:t>podjetja,</w:t>
      </w:r>
      <w:r w:rsidRPr="001048FE">
        <w:rPr>
          <w:spacing w:val="-9"/>
          <w:lang w:val="sl-SI"/>
        </w:rPr>
        <w:t xml:space="preserve"> </w:t>
      </w:r>
      <w:r w:rsidRPr="001048FE">
        <w:rPr>
          <w:lang w:val="sl-SI"/>
        </w:rPr>
        <w:t>združenja</w:t>
      </w:r>
      <w:r w:rsidRPr="001048FE">
        <w:rPr>
          <w:spacing w:val="-9"/>
          <w:lang w:val="sl-SI"/>
        </w:rPr>
        <w:t xml:space="preserve"> </w:t>
      </w:r>
      <w:r w:rsidRPr="001048FE">
        <w:rPr>
          <w:lang w:val="sl-SI"/>
        </w:rPr>
        <w:t>delodajalcev,</w:t>
      </w:r>
      <w:r w:rsidRPr="001048FE">
        <w:rPr>
          <w:spacing w:val="-9"/>
          <w:lang w:val="sl-SI"/>
        </w:rPr>
        <w:t xml:space="preserve"> </w:t>
      </w:r>
      <w:r w:rsidRPr="001048FE">
        <w:rPr>
          <w:lang w:val="sl-SI"/>
        </w:rPr>
        <w:t>gospodarske,</w:t>
      </w:r>
      <w:r w:rsidRPr="001048FE">
        <w:rPr>
          <w:spacing w:val="-9"/>
          <w:lang w:val="sl-SI"/>
        </w:rPr>
        <w:t xml:space="preserve"> </w:t>
      </w:r>
      <w:r w:rsidRPr="001048FE">
        <w:rPr>
          <w:lang w:val="sl-SI"/>
        </w:rPr>
        <w:t>industrijske ali obrtne</w:t>
      </w:r>
      <w:r w:rsidRPr="001048FE">
        <w:rPr>
          <w:spacing w:val="-4"/>
          <w:lang w:val="sl-SI"/>
        </w:rPr>
        <w:t xml:space="preserve"> </w:t>
      </w:r>
      <w:r w:rsidRPr="001048FE">
        <w:rPr>
          <w:lang w:val="sl-SI"/>
        </w:rPr>
        <w:t>zbornice.</w:t>
      </w:r>
    </w:p>
    <w:p w14:paraId="7D39AA6D" w14:textId="77777777" w:rsidR="00E15C84" w:rsidRPr="001048FE" w:rsidRDefault="00E15C84" w:rsidP="0009190F">
      <w:pPr>
        <w:pStyle w:val="Guide-Heading4"/>
        <w:rPr>
          <w:lang w:val="sl-SI"/>
        </w:rPr>
      </w:pPr>
      <w:bookmarkStart w:id="714" w:name="_Toc527401352"/>
      <w:r w:rsidRPr="001048FE">
        <w:rPr>
          <w:lang w:val="sl-SI"/>
        </w:rPr>
        <w:t>Kakovost izobraževanja</w:t>
      </w:r>
      <w:bookmarkEnd w:id="714"/>
    </w:p>
    <w:p w14:paraId="7D39AA6E" w14:textId="77777777" w:rsidR="00E15C84" w:rsidRPr="001048FE" w:rsidRDefault="00E15C84" w:rsidP="0009190F">
      <w:pPr>
        <w:pStyle w:val="GUIDE-NORMAL"/>
        <w:rPr>
          <w:lang w:val="sl-SI"/>
        </w:rPr>
      </w:pPr>
      <w:r w:rsidRPr="001048FE">
        <w:rPr>
          <w:lang w:val="sl-SI"/>
        </w:rPr>
        <w:t>Lokalni</w:t>
      </w:r>
      <w:r w:rsidRPr="001048FE">
        <w:rPr>
          <w:spacing w:val="-12"/>
          <w:lang w:val="sl-SI"/>
        </w:rPr>
        <w:t xml:space="preserve"> </w:t>
      </w:r>
      <w:r w:rsidRPr="001048FE">
        <w:rPr>
          <w:lang w:val="sl-SI"/>
        </w:rPr>
        <w:t>šolski</w:t>
      </w:r>
      <w:r w:rsidRPr="001048FE">
        <w:rPr>
          <w:spacing w:val="-12"/>
          <w:lang w:val="sl-SI"/>
        </w:rPr>
        <w:t xml:space="preserve"> </w:t>
      </w:r>
      <w:r w:rsidRPr="001048FE">
        <w:rPr>
          <w:lang w:val="sl-SI"/>
        </w:rPr>
        <w:t>organi</w:t>
      </w:r>
      <w:r w:rsidRPr="001048FE">
        <w:rPr>
          <w:spacing w:val="-11"/>
          <w:lang w:val="sl-SI"/>
        </w:rPr>
        <w:t xml:space="preserve"> </w:t>
      </w:r>
      <w:r w:rsidRPr="001048FE">
        <w:rPr>
          <w:lang w:val="sl-SI"/>
        </w:rPr>
        <w:t>na</w:t>
      </w:r>
      <w:r w:rsidRPr="001048FE">
        <w:rPr>
          <w:spacing w:val="-12"/>
          <w:lang w:val="sl-SI"/>
        </w:rPr>
        <w:t xml:space="preserve"> </w:t>
      </w:r>
      <w:r w:rsidRPr="001048FE">
        <w:rPr>
          <w:lang w:val="sl-SI"/>
        </w:rPr>
        <w:t>Švedskem,</w:t>
      </w:r>
      <w:r w:rsidRPr="001048FE">
        <w:rPr>
          <w:spacing w:val="-12"/>
          <w:lang w:val="sl-SI"/>
        </w:rPr>
        <w:t xml:space="preserve"> </w:t>
      </w:r>
      <w:r w:rsidRPr="001048FE">
        <w:rPr>
          <w:lang w:val="sl-SI"/>
        </w:rPr>
        <w:t>Danskem</w:t>
      </w:r>
      <w:r w:rsidRPr="001048FE">
        <w:rPr>
          <w:spacing w:val="-12"/>
          <w:lang w:val="sl-SI"/>
        </w:rPr>
        <w:t xml:space="preserve"> </w:t>
      </w:r>
      <w:r w:rsidRPr="001048FE">
        <w:rPr>
          <w:lang w:val="sl-SI"/>
        </w:rPr>
        <w:t>in</w:t>
      </w:r>
      <w:r w:rsidRPr="001048FE">
        <w:rPr>
          <w:spacing w:val="-12"/>
          <w:lang w:val="sl-SI"/>
        </w:rPr>
        <w:t xml:space="preserve"> </w:t>
      </w:r>
      <w:r w:rsidRPr="001048FE">
        <w:rPr>
          <w:lang w:val="sl-SI"/>
        </w:rPr>
        <w:t>v</w:t>
      </w:r>
      <w:r w:rsidRPr="001048FE">
        <w:rPr>
          <w:spacing w:val="-12"/>
          <w:lang w:val="sl-SI"/>
        </w:rPr>
        <w:t xml:space="preserve"> </w:t>
      </w:r>
      <w:r w:rsidRPr="001048FE">
        <w:rPr>
          <w:lang w:val="sl-SI"/>
        </w:rPr>
        <w:t>Združenem</w:t>
      </w:r>
      <w:r w:rsidRPr="001048FE">
        <w:rPr>
          <w:spacing w:val="-12"/>
          <w:lang w:val="sl-SI"/>
        </w:rPr>
        <w:t xml:space="preserve"> </w:t>
      </w:r>
      <w:r w:rsidRPr="001048FE">
        <w:rPr>
          <w:lang w:val="sl-SI"/>
        </w:rPr>
        <w:t>kraljestvu</w:t>
      </w:r>
      <w:r w:rsidRPr="001048FE">
        <w:rPr>
          <w:spacing w:val="-12"/>
          <w:lang w:val="sl-SI"/>
        </w:rPr>
        <w:t xml:space="preserve"> </w:t>
      </w:r>
      <w:r w:rsidRPr="001048FE">
        <w:rPr>
          <w:lang w:val="sl-SI"/>
        </w:rPr>
        <w:t>se</w:t>
      </w:r>
      <w:r w:rsidRPr="001048FE">
        <w:rPr>
          <w:spacing w:val="-12"/>
          <w:lang w:val="sl-SI"/>
        </w:rPr>
        <w:t xml:space="preserve"> </w:t>
      </w:r>
      <w:r w:rsidRPr="001048FE">
        <w:rPr>
          <w:lang w:val="sl-SI"/>
        </w:rPr>
        <w:t>združijo,</w:t>
      </w:r>
      <w:r w:rsidRPr="001048FE">
        <w:rPr>
          <w:spacing w:val="-12"/>
          <w:lang w:val="sl-SI"/>
        </w:rPr>
        <w:t xml:space="preserve"> </w:t>
      </w:r>
      <w:r w:rsidRPr="001048FE">
        <w:rPr>
          <w:lang w:val="sl-SI"/>
        </w:rPr>
        <w:t>da</w:t>
      </w:r>
      <w:r w:rsidRPr="001048FE">
        <w:rPr>
          <w:spacing w:val="-12"/>
          <w:lang w:val="sl-SI"/>
        </w:rPr>
        <w:t xml:space="preserve"> </w:t>
      </w:r>
      <w:r w:rsidRPr="001048FE">
        <w:rPr>
          <w:lang w:val="sl-SI"/>
        </w:rPr>
        <w:t>bi</w:t>
      </w:r>
      <w:r w:rsidRPr="001048FE">
        <w:rPr>
          <w:spacing w:val="-12"/>
          <w:lang w:val="sl-SI"/>
        </w:rPr>
        <w:t xml:space="preserve"> </w:t>
      </w:r>
      <w:r w:rsidRPr="001048FE">
        <w:rPr>
          <w:lang w:val="sl-SI"/>
        </w:rPr>
        <w:t>predlagali strateško partnerstvo. Lokalni organi so opredelili potrebo po izboljšanju kakovosti izobraževanja v naravoslovju, matematiki in tehnologiji ter zasnovali projekt, katerega cilj je razviti skupni okvir za podporo vključevanju dijakov v učenje. Cilja projekta sta izboljšati kakovost izobraževanja v matematiki</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naravoslovju</w:t>
      </w:r>
      <w:r w:rsidRPr="001048FE">
        <w:rPr>
          <w:spacing w:val="-13"/>
          <w:lang w:val="sl-SI"/>
        </w:rPr>
        <w:t xml:space="preserve"> </w:t>
      </w:r>
      <w:r w:rsidRPr="001048FE">
        <w:rPr>
          <w:lang w:val="sl-SI"/>
        </w:rPr>
        <w:t>ter</w:t>
      </w:r>
      <w:r w:rsidRPr="001048FE">
        <w:rPr>
          <w:spacing w:val="-13"/>
          <w:lang w:val="sl-SI"/>
        </w:rPr>
        <w:t xml:space="preserve"> </w:t>
      </w:r>
      <w:r w:rsidRPr="001048FE">
        <w:rPr>
          <w:lang w:val="sl-SI"/>
        </w:rPr>
        <w:t>okrepiti</w:t>
      </w:r>
      <w:r w:rsidRPr="001048FE">
        <w:rPr>
          <w:spacing w:val="-12"/>
          <w:lang w:val="sl-SI"/>
        </w:rPr>
        <w:t xml:space="preserve"> </w:t>
      </w:r>
      <w:r w:rsidRPr="001048FE">
        <w:rPr>
          <w:lang w:val="sl-SI"/>
        </w:rPr>
        <w:t>zanimanje</w:t>
      </w:r>
      <w:r w:rsidRPr="001048FE">
        <w:rPr>
          <w:spacing w:val="-13"/>
          <w:lang w:val="sl-SI"/>
        </w:rPr>
        <w:t xml:space="preserve"> </w:t>
      </w:r>
      <w:r w:rsidRPr="001048FE">
        <w:rPr>
          <w:lang w:val="sl-SI"/>
        </w:rPr>
        <w:t>za</w:t>
      </w:r>
      <w:r w:rsidRPr="001048FE">
        <w:rPr>
          <w:spacing w:val="-13"/>
          <w:lang w:val="sl-SI"/>
        </w:rPr>
        <w:t xml:space="preserve"> </w:t>
      </w:r>
      <w:r w:rsidRPr="001048FE">
        <w:rPr>
          <w:lang w:val="sl-SI"/>
        </w:rPr>
        <w:t>te</w:t>
      </w:r>
      <w:r w:rsidRPr="001048FE">
        <w:rPr>
          <w:spacing w:val="-13"/>
          <w:lang w:val="sl-SI"/>
        </w:rPr>
        <w:t xml:space="preserve"> </w:t>
      </w:r>
      <w:r w:rsidRPr="001048FE">
        <w:rPr>
          <w:lang w:val="sl-SI"/>
        </w:rPr>
        <w:t>predmete</w:t>
      </w:r>
      <w:r w:rsidRPr="001048FE">
        <w:rPr>
          <w:spacing w:val="-13"/>
          <w:lang w:val="sl-SI"/>
        </w:rPr>
        <w:t xml:space="preserve"> </w:t>
      </w:r>
      <w:r w:rsidRPr="001048FE">
        <w:rPr>
          <w:lang w:val="sl-SI"/>
        </w:rPr>
        <w:t>v</w:t>
      </w:r>
      <w:r w:rsidRPr="001048FE">
        <w:rPr>
          <w:spacing w:val="-13"/>
          <w:lang w:val="sl-SI"/>
        </w:rPr>
        <w:t xml:space="preserve"> </w:t>
      </w:r>
      <w:r w:rsidRPr="001048FE">
        <w:rPr>
          <w:lang w:val="sl-SI"/>
        </w:rPr>
        <w:t>srednješolskem</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visokošolskem izobraževanju.</w:t>
      </w:r>
    </w:p>
    <w:p w14:paraId="7D39AA6F" w14:textId="77777777" w:rsidR="00E15C84" w:rsidRPr="001048FE" w:rsidRDefault="00E15C84" w:rsidP="0009190F">
      <w:pPr>
        <w:pStyle w:val="GUIDE-NORMAL"/>
        <w:rPr>
          <w:lang w:val="sl-SI"/>
        </w:rPr>
      </w:pPr>
      <w:r w:rsidRPr="001048FE">
        <w:rPr>
          <w:lang w:val="sl-SI"/>
        </w:rPr>
        <w:t>Projekt</w:t>
      </w:r>
      <w:r w:rsidRPr="001048FE">
        <w:rPr>
          <w:spacing w:val="-16"/>
          <w:lang w:val="sl-SI"/>
        </w:rPr>
        <w:t xml:space="preserve"> </w:t>
      </w:r>
      <w:r w:rsidRPr="001048FE">
        <w:rPr>
          <w:lang w:val="sl-SI"/>
        </w:rPr>
        <w:t>vodita</w:t>
      </w:r>
      <w:r w:rsidRPr="001048FE">
        <w:rPr>
          <w:spacing w:val="-16"/>
          <w:lang w:val="sl-SI"/>
        </w:rPr>
        <w:t xml:space="preserve"> </w:t>
      </w:r>
      <w:r w:rsidRPr="001048FE">
        <w:rPr>
          <w:lang w:val="sl-SI"/>
        </w:rPr>
        <w:t>dva</w:t>
      </w:r>
      <w:r w:rsidRPr="001048FE">
        <w:rPr>
          <w:spacing w:val="-16"/>
          <w:lang w:val="sl-SI"/>
        </w:rPr>
        <w:t xml:space="preserve"> </w:t>
      </w:r>
      <w:r w:rsidRPr="001048FE">
        <w:rPr>
          <w:lang w:val="sl-SI"/>
        </w:rPr>
        <w:t>lokalna</w:t>
      </w:r>
      <w:r w:rsidRPr="001048FE">
        <w:rPr>
          <w:spacing w:val="-16"/>
          <w:lang w:val="sl-SI"/>
        </w:rPr>
        <w:t xml:space="preserve"> </w:t>
      </w:r>
      <w:r w:rsidRPr="001048FE">
        <w:rPr>
          <w:lang w:val="sl-SI"/>
        </w:rPr>
        <w:t>organa</w:t>
      </w:r>
      <w:r w:rsidRPr="001048FE">
        <w:rPr>
          <w:spacing w:val="-15"/>
          <w:lang w:val="sl-SI"/>
        </w:rPr>
        <w:t xml:space="preserve"> </w:t>
      </w:r>
      <w:r w:rsidRPr="001048FE">
        <w:rPr>
          <w:lang w:val="sl-SI"/>
        </w:rPr>
        <w:t>in</w:t>
      </w:r>
      <w:r w:rsidRPr="001048FE">
        <w:rPr>
          <w:spacing w:val="-16"/>
          <w:lang w:val="sl-SI"/>
        </w:rPr>
        <w:t xml:space="preserve"> </w:t>
      </w:r>
      <w:r w:rsidRPr="001048FE">
        <w:rPr>
          <w:lang w:val="sl-SI"/>
        </w:rPr>
        <w:t>vanj</w:t>
      </w:r>
      <w:r w:rsidRPr="001048FE">
        <w:rPr>
          <w:spacing w:val="-16"/>
          <w:lang w:val="sl-SI"/>
        </w:rPr>
        <w:t xml:space="preserve"> </w:t>
      </w:r>
      <w:r w:rsidRPr="001048FE">
        <w:rPr>
          <w:lang w:val="sl-SI"/>
        </w:rPr>
        <w:t>so</w:t>
      </w:r>
      <w:r w:rsidRPr="001048FE">
        <w:rPr>
          <w:spacing w:val="-16"/>
          <w:lang w:val="sl-SI"/>
        </w:rPr>
        <w:t xml:space="preserve"> </w:t>
      </w:r>
      <w:r w:rsidRPr="001048FE">
        <w:rPr>
          <w:lang w:val="sl-SI"/>
        </w:rPr>
        <w:t>zajete</w:t>
      </w:r>
      <w:r w:rsidRPr="001048FE">
        <w:rPr>
          <w:spacing w:val="-16"/>
          <w:lang w:val="sl-SI"/>
        </w:rPr>
        <w:t xml:space="preserve"> </w:t>
      </w:r>
      <w:r w:rsidRPr="001048FE">
        <w:rPr>
          <w:lang w:val="sl-SI"/>
        </w:rPr>
        <w:t>vse</w:t>
      </w:r>
      <w:r w:rsidRPr="001048FE">
        <w:rPr>
          <w:spacing w:val="-16"/>
          <w:lang w:val="sl-SI"/>
        </w:rPr>
        <w:t xml:space="preserve"> </w:t>
      </w:r>
      <w:r w:rsidRPr="001048FE">
        <w:rPr>
          <w:lang w:val="sl-SI"/>
        </w:rPr>
        <w:t>osnovne</w:t>
      </w:r>
      <w:r w:rsidRPr="001048FE">
        <w:rPr>
          <w:spacing w:val="-15"/>
          <w:lang w:val="sl-SI"/>
        </w:rPr>
        <w:t xml:space="preserve"> </w:t>
      </w:r>
      <w:r w:rsidRPr="001048FE">
        <w:rPr>
          <w:lang w:val="sl-SI"/>
        </w:rPr>
        <w:t>šole</w:t>
      </w:r>
      <w:r w:rsidRPr="001048FE">
        <w:rPr>
          <w:spacing w:val="-16"/>
          <w:lang w:val="sl-SI"/>
        </w:rPr>
        <w:t xml:space="preserve"> </w:t>
      </w:r>
      <w:r w:rsidRPr="001048FE">
        <w:rPr>
          <w:lang w:val="sl-SI"/>
        </w:rPr>
        <w:t>in</w:t>
      </w:r>
      <w:r w:rsidRPr="001048FE">
        <w:rPr>
          <w:spacing w:val="-16"/>
          <w:lang w:val="sl-SI"/>
        </w:rPr>
        <w:t xml:space="preserve"> </w:t>
      </w:r>
      <w:r w:rsidRPr="001048FE">
        <w:rPr>
          <w:lang w:val="sl-SI"/>
        </w:rPr>
        <w:t>šole</w:t>
      </w:r>
      <w:r w:rsidRPr="001048FE">
        <w:rPr>
          <w:spacing w:val="-16"/>
          <w:lang w:val="sl-SI"/>
        </w:rPr>
        <w:t xml:space="preserve"> </w:t>
      </w:r>
      <w:r w:rsidRPr="001048FE">
        <w:rPr>
          <w:lang w:val="sl-SI"/>
        </w:rPr>
        <w:t>v</w:t>
      </w:r>
      <w:r w:rsidRPr="001048FE">
        <w:rPr>
          <w:spacing w:val="-16"/>
          <w:lang w:val="sl-SI"/>
        </w:rPr>
        <w:t xml:space="preserve"> </w:t>
      </w:r>
      <w:r w:rsidRPr="001048FE">
        <w:rPr>
          <w:lang w:val="sl-SI"/>
        </w:rPr>
        <w:t>nižjem</w:t>
      </w:r>
      <w:r w:rsidRPr="001048FE">
        <w:rPr>
          <w:spacing w:val="-16"/>
          <w:lang w:val="sl-SI"/>
        </w:rPr>
        <w:t xml:space="preserve"> </w:t>
      </w:r>
      <w:r w:rsidRPr="001048FE">
        <w:rPr>
          <w:lang w:val="sl-SI"/>
        </w:rPr>
        <w:t>sekundarnem izobraževanju</w:t>
      </w:r>
      <w:r w:rsidRPr="001048FE">
        <w:rPr>
          <w:spacing w:val="-6"/>
          <w:lang w:val="sl-SI"/>
        </w:rPr>
        <w:t xml:space="preserve"> </w:t>
      </w:r>
      <w:r w:rsidRPr="001048FE">
        <w:rPr>
          <w:lang w:val="sl-SI"/>
        </w:rPr>
        <w:t>na</w:t>
      </w:r>
      <w:r w:rsidRPr="001048FE">
        <w:rPr>
          <w:spacing w:val="-6"/>
          <w:lang w:val="sl-SI"/>
        </w:rPr>
        <w:t xml:space="preserve"> </w:t>
      </w:r>
      <w:r w:rsidRPr="001048FE">
        <w:rPr>
          <w:lang w:val="sl-SI"/>
        </w:rPr>
        <w:t>zadevnih</w:t>
      </w:r>
      <w:r w:rsidRPr="001048FE">
        <w:rPr>
          <w:spacing w:val="-6"/>
          <w:lang w:val="sl-SI"/>
        </w:rPr>
        <w:t xml:space="preserve"> </w:t>
      </w:r>
      <w:r w:rsidRPr="001048FE">
        <w:rPr>
          <w:lang w:val="sl-SI"/>
        </w:rPr>
        <w:t>področjih.</w:t>
      </w:r>
      <w:r w:rsidRPr="001048FE">
        <w:rPr>
          <w:spacing w:val="-6"/>
          <w:lang w:val="sl-SI"/>
        </w:rPr>
        <w:t xml:space="preserve"> </w:t>
      </w:r>
      <w:r w:rsidRPr="001048FE">
        <w:rPr>
          <w:lang w:val="sl-SI"/>
        </w:rPr>
        <w:t>Poleg</w:t>
      </w:r>
      <w:r w:rsidRPr="001048FE">
        <w:rPr>
          <w:spacing w:val="-6"/>
          <w:lang w:val="sl-SI"/>
        </w:rPr>
        <w:t xml:space="preserve"> </w:t>
      </w:r>
      <w:r w:rsidRPr="001048FE">
        <w:rPr>
          <w:lang w:val="sl-SI"/>
        </w:rPr>
        <w:t>tega</w:t>
      </w:r>
      <w:r w:rsidRPr="001048FE">
        <w:rPr>
          <w:spacing w:val="-6"/>
          <w:lang w:val="sl-SI"/>
        </w:rPr>
        <w:t xml:space="preserve"> </w:t>
      </w:r>
      <w:r w:rsidRPr="001048FE">
        <w:rPr>
          <w:lang w:val="sl-SI"/>
        </w:rPr>
        <w:t>so</w:t>
      </w:r>
      <w:r w:rsidRPr="001048FE">
        <w:rPr>
          <w:spacing w:val="-6"/>
          <w:lang w:val="sl-SI"/>
        </w:rPr>
        <w:t xml:space="preserve"> </w:t>
      </w:r>
      <w:r w:rsidRPr="001048FE">
        <w:rPr>
          <w:lang w:val="sl-SI"/>
        </w:rPr>
        <w:t>lokalni</w:t>
      </w:r>
      <w:r w:rsidRPr="001048FE">
        <w:rPr>
          <w:spacing w:val="-6"/>
          <w:lang w:val="sl-SI"/>
        </w:rPr>
        <w:t xml:space="preserve"> </w:t>
      </w:r>
      <w:r w:rsidRPr="001048FE">
        <w:rPr>
          <w:lang w:val="sl-SI"/>
        </w:rPr>
        <w:t>organi</w:t>
      </w:r>
      <w:r w:rsidRPr="001048FE">
        <w:rPr>
          <w:spacing w:val="-5"/>
          <w:lang w:val="sl-SI"/>
        </w:rPr>
        <w:t xml:space="preserve"> </w:t>
      </w:r>
      <w:r w:rsidRPr="001048FE">
        <w:rPr>
          <w:lang w:val="sl-SI"/>
        </w:rPr>
        <w:t>vključili</w:t>
      </w:r>
      <w:r w:rsidRPr="001048FE">
        <w:rPr>
          <w:spacing w:val="-6"/>
          <w:lang w:val="sl-SI"/>
        </w:rPr>
        <w:t xml:space="preserve"> </w:t>
      </w:r>
      <w:r w:rsidRPr="001048FE">
        <w:rPr>
          <w:lang w:val="sl-SI"/>
        </w:rPr>
        <w:t>druge</w:t>
      </w:r>
      <w:r w:rsidRPr="001048FE">
        <w:rPr>
          <w:spacing w:val="-6"/>
          <w:lang w:val="sl-SI"/>
        </w:rPr>
        <w:t xml:space="preserve"> </w:t>
      </w:r>
      <w:r w:rsidRPr="001048FE">
        <w:rPr>
          <w:lang w:val="sl-SI"/>
        </w:rPr>
        <w:t>partnerje</w:t>
      </w:r>
      <w:r w:rsidRPr="001048FE">
        <w:rPr>
          <w:spacing w:val="-6"/>
          <w:lang w:val="sl-SI"/>
        </w:rPr>
        <w:t xml:space="preserve"> </w:t>
      </w:r>
      <w:r w:rsidRPr="001048FE">
        <w:rPr>
          <w:lang w:val="sl-SI"/>
        </w:rPr>
        <w:t>iz</w:t>
      </w:r>
      <w:r w:rsidRPr="001048FE">
        <w:rPr>
          <w:spacing w:val="-6"/>
          <w:lang w:val="sl-SI"/>
        </w:rPr>
        <w:t xml:space="preserve"> </w:t>
      </w:r>
      <w:r w:rsidRPr="001048FE">
        <w:rPr>
          <w:lang w:val="sl-SI"/>
        </w:rPr>
        <w:t>svojih lokalnih skupnosti: univerze, medijsko središče ter več podjetij in poslovnih združenj na področju tehnologije, znanosti in okolja. V aktivnosti projekta je zajeta izmenjava osebja med sodelujočimi organizacijami, da se izmenjajo izkušnje in dobra</w:t>
      </w:r>
      <w:r w:rsidRPr="001048FE">
        <w:rPr>
          <w:spacing w:val="-21"/>
          <w:lang w:val="sl-SI"/>
        </w:rPr>
        <w:t xml:space="preserve"> </w:t>
      </w:r>
      <w:r w:rsidRPr="001048FE">
        <w:rPr>
          <w:lang w:val="sl-SI"/>
        </w:rPr>
        <w:t>praksa.</w:t>
      </w:r>
    </w:p>
    <w:p w14:paraId="7D39AA70" w14:textId="77777777" w:rsidR="00E15C84" w:rsidRPr="001048FE" w:rsidRDefault="00E15C84" w:rsidP="0009190F">
      <w:pPr>
        <w:pStyle w:val="GUIDE-NORMAL"/>
        <w:rPr>
          <w:lang w:val="sl-SI"/>
        </w:rPr>
      </w:pPr>
      <w:r w:rsidRPr="001048FE">
        <w:rPr>
          <w:lang w:val="sl-SI"/>
        </w:rPr>
        <w:t>Partnerji si izmenjujejo gradiva in vire ter razvijajo skupne enote v matematiki, naravoslovju in tehnologiji v učnih načrtih, ki se preskušajo/izvajajo v osnovnih in srednjih šolah. Poslovni partnerji povabijo šolske razrede na učne obiske, da dobijo dijaki vpogled v raznovrstno praktično uporabo tem, ki jih obravnavajo. Univerzitetni študenti sodelujejo z dijaki kot „prijatelji pri študiju“, jim nudijo dodatno individualno pomoč pri predmetih in imajo vlogo vzornikov, ki spodbujajo dijake k študiju</w:t>
      </w:r>
      <w:r w:rsidRPr="001048FE">
        <w:rPr>
          <w:spacing w:val="-13"/>
          <w:lang w:val="sl-SI"/>
        </w:rPr>
        <w:t xml:space="preserve"> </w:t>
      </w:r>
      <w:r w:rsidRPr="001048FE">
        <w:rPr>
          <w:lang w:val="sl-SI"/>
        </w:rPr>
        <w:t>naravoslovja</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tehnologije.</w:t>
      </w:r>
      <w:r w:rsidRPr="001048FE">
        <w:rPr>
          <w:spacing w:val="-13"/>
          <w:lang w:val="sl-SI"/>
        </w:rPr>
        <w:t xml:space="preserve"> </w:t>
      </w:r>
      <w:r w:rsidRPr="001048FE">
        <w:rPr>
          <w:lang w:val="sl-SI"/>
        </w:rPr>
        <w:t>Rezultati</w:t>
      </w:r>
      <w:r w:rsidRPr="001048FE">
        <w:rPr>
          <w:spacing w:val="-13"/>
          <w:lang w:val="sl-SI"/>
        </w:rPr>
        <w:t xml:space="preserve"> </w:t>
      </w:r>
      <w:r w:rsidRPr="001048FE">
        <w:rPr>
          <w:lang w:val="sl-SI"/>
        </w:rPr>
        <w:t>projekta</w:t>
      </w:r>
      <w:r w:rsidRPr="001048FE">
        <w:rPr>
          <w:spacing w:val="-13"/>
          <w:lang w:val="sl-SI"/>
        </w:rPr>
        <w:t xml:space="preserve"> </w:t>
      </w:r>
      <w:r w:rsidRPr="001048FE">
        <w:rPr>
          <w:lang w:val="sl-SI"/>
        </w:rPr>
        <w:t>so</w:t>
      </w:r>
      <w:r w:rsidRPr="001048FE">
        <w:rPr>
          <w:spacing w:val="-13"/>
          <w:lang w:val="sl-SI"/>
        </w:rPr>
        <w:t xml:space="preserve"> </w:t>
      </w:r>
      <w:r w:rsidRPr="001048FE">
        <w:rPr>
          <w:lang w:val="sl-SI"/>
        </w:rPr>
        <w:t>sodelovanje</w:t>
      </w:r>
      <w:r w:rsidRPr="001048FE">
        <w:rPr>
          <w:spacing w:val="-13"/>
          <w:lang w:val="sl-SI"/>
        </w:rPr>
        <w:t xml:space="preserve"> </w:t>
      </w:r>
      <w:r w:rsidRPr="001048FE">
        <w:rPr>
          <w:lang w:val="sl-SI"/>
        </w:rPr>
        <w:t>z</w:t>
      </w:r>
      <w:r w:rsidRPr="001048FE">
        <w:rPr>
          <w:spacing w:val="-13"/>
          <w:lang w:val="sl-SI"/>
        </w:rPr>
        <w:t xml:space="preserve"> </w:t>
      </w:r>
      <w:r w:rsidRPr="001048FE">
        <w:rPr>
          <w:lang w:val="sl-SI"/>
        </w:rPr>
        <w:t>univerzo</w:t>
      </w:r>
      <w:r w:rsidRPr="001048FE">
        <w:rPr>
          <w:spacing w:val="-13"/>
          <w:lang w:val="sl-SI"/>
        </w:rPr>
        <w:t xml:space="preserve"> </w:t>
      </w:r>
      <w:r w:rsidRPr="001048FE">
        <w:rPr>
          <w:lang w:val="sl-SI"/>
        </w:rPr>
        <w:t>pri</w:t>
      </w:r>
      <w:r w:rsidRPr="001048FE">
        <w:rPr>
          <w:spacing w:val="-13"/>
          <w:lang w:val="sl-SI"/>
        </w:rPr>
        <w:t xml:space="preserve"> </w:t>
      </w:r>
      <w:r w:rsidRPr="001048FE">
        <w:rPr>
          <w:lang w:val="sl-SI"/>
        </w:rPr>
        <w:t>izobraževanju</w:t>
      </w:r>
      <w:r w:rsidRPr="001048FE">
        <w:rPr>
          <w:spacing w:val="-13"/>
          <w:lang w:val="sl-SI"/>
        </w:rPr>
        <w:t xml:space="preserve"> </w:t>
      </w:r>
      <w:r w:rsidRPr="001048FE">
        <w:rPr>
          <w:lang w:val="sl-SI"/>
        </w:rPr>
        <w:t>za bodoče</w:t>
      </w:r>
      <w:r w:rsidRPr="001048FE">
        <w:rPr>
          <w:spacing w:val="-7"/>
          <w:lang w:val="sl-SI"/>
        </w:rPr>
        <w:t xml:space="preserve"> </w:t>
      </w:r>
      <w:r w:rsidRPr="001048FE">
        <w:rPr>
          <w:lang w:val="sl-SI"/>
        </w:rPr>
        <w:t>učitelje,</w:t>
      </w:r>
      <w:r w:rsidRPr="001048FE">
        <w:rPr>
          <w:spacing w:val="-7"/>
          <w:lang w:val="sl-SI"/>
        </w:rPr>
        <w:t xml:space="preserve"> </w:t>
      </w:r>
      <w:r w:rsidRPr="001048FE">
        <w:rPr>
          <w:lang w:val="sl-SI"/>
        </w:rPr>
        <w:t>nadaljnje</w:t>
      </w:r>
      <w:r w:rsidRPr="001048FE">
        <w:rPr>
          <w:spacing w:val="-7"/>
          <w:lang w:val="sl-SI"/>
        </w:rPr>
        <w:t xml:space="preserve"> </w:t>
      </w:r>
      <w:r w:rsidRPr="001048FE">
        <w:rPr>
          <w:lang w:val="sl-SI"/>
        </w:rPr>
        <w:t>pedagoško</w:t>
      </w:r>
      <w:r w:rsidRPr="001048FE">
        <w:rPr>
          <w:spacing w:val="-7"/>
          <w:lang w:val="sl-SI"/>
        </w:rPr>
        <w:t xml:space="preserve"> </w:t>
      </w:r>
      <w:r w:rsidRPr="001048FE">
        <w:rPr>
          <w:lang w:val="sl-SI"/>
        </w:rPr>
        <w:t>sodelovanje</w:t>
      </w:r>
      <w:r w:rsidRPr="001048FE">
        <w:rPr>
          <w:spacing w:val="-7"/>
          <w:lang w:val="sl-SI"/>
        </w:rPr>
        <w:t xml:space="preserve"> </w:t>
      </w:r>
      <w:r w:rsidRPr="001048FE">
        <w:rPr>
          <w:lang w:val="sl-SI"/>
        </w:rPr>
        <w:t>in</w:t>
      </w:r>
      <w:r w:rsidRPr="001048FE">
        <w:rPr>
          <w:spacing w:val="-7"/>
          <w:lang w:val="sl-SI"/>
        </w:rPr>
        <w:t xml:space="preserve"> </w:t>
      </w:r>
      <w:r w:rsidRPr="001048FE">
        <w:rPr>
          <w:lang w:val="sl-SI"/>
        </w:rPr>
        <w:t>novi</w:t>
      </w:r>
      <w:r w:rsidRPr="001048FE">
        <w:rPr>
          <w:spacing w:val="-7"/>
          <w:lang w:val="sl-SI"/>
        </w:rPr>
        <w:t xml:space="preserve"> </w:t>
      </w:r>
      <w:r w:rsidRPr="001048FE">
        <w:rPr>
          <w:lang w:val="sl-SI"/>
        </w:rPr>
        <w:t>projekti</w:t>
      </w:r>
      <w:r w:rsidRPr="001048FE">
        <w:rPr>
          <w:spacing w:val="-7"/>
          <w:lang w:val="sl-SI"/>
        </w:rPr>
        <w:t xml:space="preserve"> </w:t>
      </w:r>
      <w:r w:rsidRPr="001048FE">
        <w:rPr>
          <w:lang w:val="sl-SI"/>
        </w:rPr>
        <w:t>med</w:t>
      </w:r>
      <w:r w:rsidRPr="001048FE">
        <w:rPr>
          <w:spacing w:val="-7"/>
          <w:lang w:val="sl-SI"/>
        </w:rPr>
        <w:t xml:space="preserve"> </w:t>
      </w:r>
      <w:r w:rsidRPr="001048FE">
        <w:rPr>
          <w:lang w:val="sl-SI"/>
        </w:rPr>
        <w:t>vključenimi</w:t>
      </w:r>
      <w:r w:rsidRPr="001048FE">
        <w:rPr>
          <w:spacing w:val="-7"/>
          <w:lang w:val="sl-SI"/>
        </w:rPr>
        <w:t xml:space="preserve"> </w:t>
      </w:r>
      <w:r w:rsidRPr="001048FE">
        <w:rPr>
          <w:lang w:val="sl-SI"/>
        </w:rPr>
        <w:t>šolami.</w:t>
      </w:r>
    </w:p>
    <w:p w14:paraId="7D39AA71" w14:textId="77777777" w:rsidR="00E15C84" w:rsidRPr="001048FE" w:rsidRDefault="00E15C84" w:rsidP="0009190F">
      <w:pPr>
        <w:pStyle w:val="Guide-Heading4"/>
        <w:rPr>
          <w:lang w:val="sl-SI"/>
        </w:rPr>
      </w:pPr>
      <w:bookmarkStart w:id="715" w:name="_Toc527401353"/>
      <w:r w:rsidRPr="001048FE">
        <w:rPr>
          <w:lang w:val="sl-SI"/>
        </w:rPr>
        <w:t>Višanje ravni izobrazbe</w:t>
      </w:r>
      <w:bookmarkEnd w:id="715"/>
    </w:p>
    <w:p w14:paraId="7D39AA72" w14:textId="77777777" w:rsidR="00E15C84" w:rsidRPr="001048FE" w:rsidRDefault="00E15C84" w:rsidP="0009190F">
      <w:pPr>
        <w:pStyle w:val="GUIDE-NORMAL"/>
        <w:rPr>
          <w:lang w:val="sl-SI"/>
        </w:rPr>
      </w:pPr>
      <w:r w:rsidRPr="001048FE">
        <w:rPr>
          <w:lang w:val="sl-SI"/>
        </w:rPr>
        <w:t>Glavni izzivi mnogih držav so višanje ravni pridobljene terciarne izobrazbe, krepitev dostopa in pospeševanje</w:t>
      </w:r>
      <w:r w:rsidRPr="001048FE">
        <w:rPr>
          <w:spacing w:val="-18"/>
          <w:lang w:val="sl-SI"/>
        </w:rPr>
        <w:t xml:space="preserve"> </w:t>
      </w:r>
      <w:r w:rsidRPr="001048FE">
        <w:rPr>
          <w:lang w:val="sl-SI"/>
        </w:rPr>
        <w:t>zaključka</w:t>
      </w:r>
      <w:r w:rsidRPr="001048FE">
        <w:rPr>
          <w:spacing w:val="-18"/>
          <w:lang w:val="sl-SI"/>
        </w:rPr>
        <w:t xml:space="preserve"> </w:t>
      </w:r>
      <w:r w:rsidRPr="001048FE">
        <w:rPr>
          <w:lang w:val="sl-SI"/>
        </w:rPr>
        <w:t>visokošolskega</w:t>
      </w:r>
      <w:r w:rsidRPr="001048FE">
        <w:rPr>
          <w:spacing w:val="-18"/>
          <w:lang w:val="sl-SI"/>
        </w:rPr>
        <w:t xml:space="preserve"> </w:t>
      </w:r>
      <w:r w:rsidRPr="001048FE">
        <w:rPr>
          <w:lang w:val="sl-SI"/>
        </w:rPr>
        <w:t>študija.</w:t>
      </w:r>
      <w:r w:rsidRPr="001048FE">
        <w:rPr>
          <w:spacing w:val="-18"/>
          <w:lang w:val="sl-SI"/>
        </w:rPr>
        <w:t xml:space="preserve"> </w:t>
      </w:r>
      <w:r w:rsidRPr="001048FE">
        <w:rPr>
          <w:lang w:val="sl-SI"/>
        </w:rPr>
        <w:t>Strateško</w:t>
      </w:r>
      <w:r w:rsidRPr="001048FE">
        <w:rPr>
          <w:spacing w:val="-18"/>
          <w:lang w:val="sl-SI"/>
        </w:rPr>
        <w:t xml:space="preserve"> </w:t>
      </w:r>
      <w:r w:rsidRPr="001048FE">
        <w:rPr>
          <w:lang w:val="sl-SI"/>
        </w:rPr>
        <w:t>partnerstvo</w:t>
      </w:r>
      <w:r w:rsidRPr="001048FE">
        <w:rPr>
          <w:spacing w:val="-18"/>
          <w:lang w:val="sl-SI"/>
        </w:rPr>
        <w:t xml:space="preserve"> </w:t>
      </w:r>
      <w:r w:rsidRPr="001048FE">
        <w:rPr>
          <w:lang w:val="sl-SI"/>
        </w:rPr>
        <w:t>bo</w:t>
      </w:r>
      <w:r w:rsidRPr="001048FE">
        <w:rPr>
          <w:spacing w:val="-18"/>
          <w:lang w:val="sl-SI"/>
        </w:rPr>
        <w:t xml:space="preserve"> </w:t>
      </w:r>
      <w:r w:rsidRPr="001048FE">
        <w:rPr>
          <w:lang w:val="sl-SI"/>
        </w:rPr>
        <w:t>podpiralo</w:t>
      </w:r>
      <w:r w:rsidRPr="001048FE">
        <w:rPr>
          <w:spacing w:val="-18"/>
          <w:lang w:val="sl-SI"/>
        </w:rPr>
        <w:t xml:space="preserve"> </w:t>
      </w:r>
      <w:r w:rsidRPr="001048FE">
        <w:rPr>
          <w:lang w:val="sl-SI"/>
        </w:rPr>
        <w:t>razvoj</w:t>
      </w:r>
      <w:r w:rsidRPr="001048FE">
        <w:rPr>
          <w:spacing w:val="-18"/>
          <w:lang w:val="sl-SI"/>
        </w:rPr>
        <w:t xml:space="preserve"> </w:t>
      </w:r>
      <w:r w:rsidRPr="001048FE">
        <w:rPr>
          <w:lang w:val="sl-SI"/>
        </w:rPr>
        <w:t>boljših</w:t>
      </w:r>
      <w:r w:rsidRPr="001048FE">
        <w:rPr>
          <w:spacing w:val="-18"/>
          <w:lang w:val="sl-SI"/>
        </w:rPr>
        <w:t xml:space="preserve"> </w:t>
      </w:r>
      <w:r w:rsidRPr="001048FE">
        <w:rPr>
          <w:lang w:val="sl-SI"/>
        </w:rPr>
        <w:t>poti napredovanja do visokošolskega izobraževanja in pridobitve diplome, pri čemer se bo posebej usmerilo v netradicionalne učence, na primer študente iz slabo zastopanih skupin ali iz okolij z manj možnostmi,</w:t>
      </w:r>
      <w:r w:rsidRPr="001048FE">
        <w:rPr>
          <w:spacing w:val="-16"/>
          <w:lang w:val="sl-SI"/>
        </w:rPr>
        <w:t xml:space="preserve"> </w:t>
      </w:r>
      <w:r w:rsidRPr="001048FE">
        <w:rPr>
          <w:lang w:val="sl-SI"/>
        </w:rPr>
        <w:t>s</w:t>
      </w:r>
      <w:r w:rsidRPr="001048FE">
        <w:rPr>
          <w:spacing w:val="-16"/>
          <w:lang w:val="sl-SI"/>
        </w:rPr>
        <w:t xml:space="preserve"> </w:t>
      </w:r>
      <w:r w:rsidRPr="001048FE">
        <w:rPr>
          <w:lang w:val="sl-SI"/>
        </w:rPr>
        <w:t>prenašanjem</w:t>
      </w:r>
      <w:r w:rsidRPr="001048FE">
        <w:rPr>
          <w:spacing w:val="-16"/>
          <w:lang w:val="sl-SI"/>
        </w:rPr>
        <w:t xml:space="preserve"> </w:t>
      </w:r>
      <w:r w:rsidRPr="001048FE">
        <w:rPr>
          <w:lang w:val="sl-SI"/>
        </w:rPr>
        <w:t>in</w:t>
      </w:r>
      <w:r w:rsidRPr="001048FE">
        <w:rPr>
          <w:spacing w:val="-16"/>
          <w:lang w:val="sl-SI"/>
        </w:rPr>
        <w:t xml:space="preserve"> </w:t>
      </w:r>
      <w:r w:rsidRPr="001048FE">
        <w:rPr>
          <w:lang w:val="sl-SI"/>
        </w:rPr>
        <w:t>preskušanjem</w:t>
      </w:r>
      <w:r w:rsidRPr="001048FE">
        <w:rPr>
          <w:spacing w:val="-16"/>
          <w:lang w:val="sl-SI"/>
        </w:rPr>
        <w:t xml:space="preserve"> </w:t>
      </w:r>
      <w:r w:rsidRPr="001048FE">
        <w:rPr>
          <w:lang w:val="sl-SI"/>
        </w:rPr>
        <w:t>inovativnih</w:t>
      </w:r>
      <w:r w:rsidRPr="001048FE">
        <w:rPr>
          <w:spacing w:val="-16"/>
          <w:lang w:val="sl-SI"/>
        </w:rPr>
        <w:t xml:space="preserve"> </w:t>
      </w:r>
      <w:r w:rsidRPr="001048FE">
        <w:rPr>
          <w:lang w:val="sl-SI"/>
        </w:rPr>
        <w:t>pristopov.</w:t>
      </w:r>
      <w:r w:rsidRPr="001048FE">
        <w:rPr>
          <w:spacing w:val="-16"/>
          <w:lang w:val="sl-SI"/>
        </w:rPr>
        <w:t xml:space="preserve"> </w:t>
      </w:r>
      <w:r w:rsidRPr="001048FE">
        <w:rPr>
          <w:lang w:val="sl-SI"/>
        </w:rPr>
        <w:t>Partnerstvo</w:t>
      </w:r>
      <w:r w:rsidRPr="001048FE">
        <w:rPr>
          <w:spacing w:val="-16"/>
          <w:lang w:val="sl-SI"/>
        </w:rPr>
        <w:t xml:space="preserve"> </w:t>
      </w:r>
      <w:r w:rsidRPr="001048FE">
        <w:rPr>
          <w:lang w:val="sl-SI"/>
        </w:rPr>
        <w:t>bo</w:t>
      </w:r>
      <w:r w:rsidRPr="001048FE">
        <w:rPr>
          <w:spacing w:val="-16"/>
          <w:lang w:val="sl-SI"/>
        </w:rPr>
        <w:t xml:space="preserve"> </w:t>
      </w:r>
      <w:r w:rsidRPr="001048FE">
        <w:rPr>
          <w:lang w:val="sl-SI"/>
        </w:rPr>
        <w:t>preskusilo,</w:t>
      </w:r>
      <w:r w:rsidRPr="001048FE">
        <w:rPr>
          <w:spacing w:val="-16"/>
          <w:lang w:val="sl-SI"/>
        </w:rPr>
        <w:t xml:space="preserve"> </w:t>
      </w:r>
      <w:r w:rsidRPr="001048FE">
        <w:rPr>
          <w:lang w:val="sl-SI"/>
        </w:rPr>
        <w:t>kako</w:t>
      </w:r>
      <w:r w:rsidRPr="001048FE">
        <w:rPr>
          <w:spacing w:val="-16"/>
          <w:lang w:val="sl-SI"/>
        </w:rPr>
        <w:t xml:space="preserve"> </w:t>
      </w:r>
      <w:r w:rsidRPr="001048FE">
        <w:rPr>
          <w:lang w:val="sl-SI"/>
        </w:rPr>
        <w:t>se dijake v srednješolskem izobraževanju iz posebnih okolij pripravlja in usmerja pred vstopom v visokošolsko izobraževanje s sodelovanjem visokošolskih institucij, šol in institucij, ki so aktivne na področju</w:t>
      </w:r>
      <w:r w:rsidRPr="001048FE">
        <w:rPr>
          <w:spacing w:val="-3"/>
          <w:lang w:val="sl-SI"/>
        </w:rPr>
        <w:t xml:space="preserve"> </w:t>
      </w:r>
      <w:r w:rsidRPr="001048FE">
        <w:rPr>
          <w:lang w:val="sl-SI"/>
        </w:rPr>
        <w:t>PIU.</w:t>
      </w:r>
    </w:p>
    <w:p w14:paraId="7D39AA73" w14:textId="77777777" w:rsidR="00E15C84" w:rsidRPr="001048FE" w:rsidRDefault="00E15C84" w:rsidP="0009190F">
      <w:pPr>
        <w:pStyle w:val="GUIDE-NORMAL"/>
        <w:rPr>
          <w:lang w:val="sl-SI"/>
        </w:rPr>
      </w:pPr>
      <w:r w:rsidRPr="001048FE">
        <w:rPr>
          <w:lang w:val="sl-SI"/>
        </w:rPr>
        <w:t>Preskušena bosta tudi spremljanje te skupine dijakov in podpora zanje, zlasti s posebej prilagojenimi storitvami (usmerjanje, svetovanje, mentorstvo itd.), katerih cilj je preprečevanje osipa in spodbujanje pridobitve diplome v pričakovanem času. V ta projekt bodo vključene visokošolske institucije ter šole v srednješolskem splošnem in poklicnem izobraževanju, pri čemer se bo zagotovilo, da so storitve ustrezne glede na opredeljene</w:t>
      </w:r>
      <w:r w:rsidRPr="001048FE">
        <w:rPr>
          <w:spacing w:val="30"/>
          <w:lang w:val="sl-SI"/>
        </w:rPr>
        <w:t xml:space="preserve"> </w:t>
      </w:r>
      <w:r w:rsidRPr="001048FE">
        <w:rPr>
          <w:lang w:val="sl-SI"/>
        </w:rPr>
        <w:t>potrebe.</w:t>
      </w:r>
    </w:p>
    <w:p w14:paraId="7D39AA74" w14:textId="77777777" w:rsidR="00E15C84" w:rsidRPr="001048FE" w:rsidRDefault="00E15C84" w:rsidP="0009190F">
      <w:pPr>
        <w:pStyle w:val="GUIDE-NORMAL"/>
        <w:rPr>
          <w:sz w:val="22"/>
          <w:lang w:val="sl-SI"/>
        </w:rPr>
      </w:pPr>
      <w:r w:rsidRPr="001048FE">
        <w:rPr>
          <w:lang w:val="sl-SI"/>
        </w:rPr>
        <w:t>V projekt bodo zajete tudi aktivnosti poučevanja/učenja, vključno s „kombinirano“ mobilnostjo študentov.</w:t>
      </w:r>
      <w:r w:rsidRPr="001048FE">
        <w:rPr>
          <w:spacing w:val="-14"/>
          <w:lang w:val="sl-SI"/>
        </w:rPr>
        <w:t xml:space="preserve"> </w:t>
      </w:r>
      <w:r w:rsidRPr="001048FE">
        <w:rPr>
          <w:lang w:val="sl-SI"/>
        </w:rPr>
        <w:t>Končni</w:t>
      </w:r>
      <w:r w:rsidRPr="001048FE">
        <w:rPr>
          <w:spacing w:val="-14"/>
          <w:lang w:val="sl-SI"/>
        </w:rPr>
        <w:t xml:space="preserve"> </w:t>
      </w:r>
      <w:r w:rsidRPr="001048FE">
        <w:rPr>
          <w:lang w:val="sl-SI"/>
        </w:rPr>
        <w:t>rezultat</w:t>
      </w:r>
      <w:r w:rsidRPr="001048FE">
        <w:rPr>
          <w:spacing w:val="-14"/>
          <w:lang w:val="sl-SI"/>
        </w:rPr>
        <w:t xml:space="preserve"> </w:t>
      </w:r>
      <w:r w:rsidRPr="001048FE">
        <w:rPr>
          <w:lang w:val="sl-SI"/>
        </w:rPr>
        <w:t>je</w:t>
      </w:r>
      <w:r w:rsidRPr="001048FE">
        <w:rPr>
          <w:spacing w:val="-14"/>
          <w:lang w:val="sl-SI"/>
        </w:rPr>
        <w:t xml:space="preserve"> </w:t>
      </w:r>
      <w:r w:rsidRPr="001048FE">
        <w:rPr>
          <w:lang w:val="sl-SI"/>
        </w:rPr>
        <w:t>prilagoditev</w:t>
      </w:r>
      <w:r w:rsidRPr="001048FE">
        <w:rPr>
          <w:spacing w:val="-14"/>
          <w:lang w:val="sl-SI"/>
        </w:rPr>
        <w:t xml:space="preserve"> </w:t>
      </w:r>
      <w:r w:rsidRPr="001048FE">
        <w:rPr>
          <w:lang w:val="sl-SI"/>
        </w:rPr>
        <w:t>modela</w:t>
      </w:r>
      <w:r w:rsidRPr="001048FE">
        <w:rPr>
          <w:spacing w:val="-14"/>
          <w:lang w:val="sl-SI"/>
        </w:rPr>
        <w:t xml:space="preserve"> </w:t>
      </w:r>
      <w:r w:rsidRPr="001048FE">
        <w:rPr>
          <w:lang w:val="sl-SI"/>
        </w:rPr>
        <w:t>in</w:t>
      </w:r>
      <w:r w:rsidRPr="001048FE">
        <w:rPr>
          <w:spacing w:val="-14"/>
          <w:lang w:val="sl-SI"/>
        </w:rPr>
        <w:t xml:space="preserve"> </w:t>
      </w:r>
      <w:r w:rsidRPr="001048FE">
        <w:rPr>
          <w:lang w:val="sl-SI"/>
        </w:rPr>
        <w:t>njegovega</w:t>
      </w:r>
      <w:r w:rsidRPr="001048FE">
        <w:rPr>
          <w:spacing w:val="-14"/>
          <w:lang w:val="sl-SI"/>
        </w:rPr>
        <w:t xml:space="preserve"> </w:t>
      </w:r>
      <w:r w:rsidRPr="001048FE">
        <w:rPr>
          <w:lang w:val="sl-SI"/>
        </w:rPr>
        <w:t>izvajanja</w:t>
      </w:r>
      <w:r w:rsidRPr="001048FE">
        <w:rPr>
          <w:spacing w:val="-14"/>
          <w:lang w:val="sl-SI"/>
        </w:rPr>
        <w:t xml:space="preserve"> </w:t>
      </w:r>
      <w:r w:rsidRPr="001048FE">
        <w:rPr>
          <w:lang w:val="sl-SI"/>
        </w:rPr>
        <w:t>v</w:t>
      </w:r>
      <w:r w:rsidRPr="001048FE">
        <w:rPr>
          <w:spacing w:val="-14"/>
          <w:lang w:val="sl-SI"/>
        </w:rPr>
        <w:t xml:space="preserve"> </w:t>
      </w:r>
      <w:r w:rsidRPr="001048FE">
        <w:rPr>
          <w:lang w:val="sl-SI"/>
        </w:rPr>
        <w:t>sodelujočih</w:t>
      </w:r>
      <w:r w:rsidRPr="001048FE">
        <w:rPr>
          <w:spacing w:val="-14"/>
          <w:lang w:val="sl-SI"/>
        </w:rPr>
        <w:t xml:space="preserve"> </w:t>
      </w:r>
      <w:r w:rsidRPr="001048FE">
        <w:rPr>
          <w:lang w:val="sl-SI"/>
        </w:rPr>
        <w:t>visokošolskih institucijah ter razširjanje v organizacijah, ki niso zajete v partnerstvo, s posebno usmerjenostjo v druge ponudnike izobraževanja in ključne oblikovalce</w:t>
      </w:r>
      <w:r w:rsidRPr="001048FE">
        <w:rPr>
          <w:spacing w:val="-12"/>
          <w:lang w:val="sl-SI"/>
        </w:rPr>
        <w:t xml:space="preserve"> </w:t>
      </w:r>
      <w:r w:rsidRPr="001048FE">
        <w:rPr>
          <w:lang w:val="sl-SI"/>
        </w:rPr>
        <w:t>politik.</w:t>
      </w:r>
    </w:p>
    <w:p w14:paraId="7D39AA75" w14:textId="77777777" w:rsidR="00E15C84" w:rsidRPr="001048FE" w:rsidRDefault="00E15C84" w:rsidP="0009190F">
      <w:pPr>
        <w:pStyle w:val="Guide-Heading4"/>
        <w:rPr>
          <w:lang w:val="sl-SI"/>
        </w:rPr>
      </w:pPr>
      <w:bookmarkStart w:id="716" w:name="_Toc527401354"/>
      <w:r w:rsidRPr="001048FE">
        <w:rPr>
          <w:lang w:val="sl-SI"/>
        </w:rPr>
        <w:t>Inovacije</w:t>
      </w:r>
      <w:bookmarkEnd w:id="716"/>
    </w:p>
    <w:p w14:paraId="7D39AA76" w14:textId="77777777" w:rsidR="00E15C84" w:rsidRPr="001048FE" w:rsidRDefault="00E15C84" w:rsidP="0009190F">
      <w:pPr>
        <w:pStyle w:val="GUIDE-NORMAL"/>
        <w:rPr>
          <w:lang w:val="sl-SI"/>
        </w:rPr>
      </w:pPr>
      <w:r w:rsidRPr="001048FE">
        <w:rPr>
          <w:lang w:val="sl-SI"/>
        </w:rPr>
        <w:t>Strateško partnerstvo bo podpiralo razvoj novih pedagoških pristopov, zlasti orodij za e-učenje in spletnih platform za sodelovanje, s pomočjo katerih se bodo lahko dijaki, študenti in učitelji učili ter poučevali in soustvarjali vsebino programov. Partnerstvo, ki je sestavljeno iz univerz, šol, raziskovalnih organizacij in/ali podjetij, bo skupaj razvijalo orodja, ki jih bodo šole in visokošolske institucije uporabljale za poučevanje in učenje posebnih disciplin na različnih ravneh.</w:t>
      </w:r>
    </w:p>
    <w:p w14:paraId="7D39AA77" w14:textId="77777777" w:rsidR="00E15C84" w:rsidRPr="001048FE" w:rsidRDefault="00E15C84" w:rsidP="0009190F">
      <w:pPr>
        <w:pStyle w:val="GUIDE-NORMAL"/>
        <w:rPr>
          <w:lang w:val="sl-SI"/>
        </w:rPr>
      </w:pPr>
      <w:r w:rsidRPr="001048FE">
        <w:rPr>
          <w:lang w:val="sl-SI"/>
        </w:rPr>
        <w:t>Raziskovalne organizacije in/ali podjetja bodo imeli ključno vlogo pri razvijanju orodij ali oblikovanju vsebine tako, da bo ustreznejša in oprijemljivejša. Poleg tega bodo organizirani intenzivni študijski programi za preskušanje orodij, ki jih bo razvilo partnerstvo s študenti in profesorji. Skupna usposabljanja osebja bodo omogočila tudi usposabljanje učiteljev v uporabi orodij.</w:t>
      </w:r>
    </w:p>
    <w:p w14:paraId="7D39AA78" w14:textId="77777777" w:rsidR="00E15C84" w:rsidRPr="001048FE" w:rsidRDefault="00E15C84" w:rsidP="0009190F">
      <w:pPr>
        <w:pStyle w:val="Guide-Heading4"/>
        <w:rPr>
          <w:lang w:val="sl-SI"/>
        </w:rPr>
      </w:pPr>
      <w:bookmarkStart w:id="717" w:name="_Toc527401355"/>
      <w:r w:rsidRPr="001048FE">
        <w:rPr>
          <w:lang w:val="sl-SI"/>
        </w:rPr>
        <w:t>Znanje jezikov</w:t>
      </w:r>
      <w:bookmarkEnd w:id="717"/>
    </w:p>
    <w:p w14:paraId="7D39AA79" w14:textId="77777777" w:rsidR="00E15C84" w:rsidRPr="001048FE" w:rsidRDefault="00E15C84" w:rsidP="0009190F">
      <w:pPr>
        <w:pStyle w:val="GUIDE-NORMAL"/>
        <w:rPr>
          <w:lang w:val="sl-SI"/>
        </w:rPr>
      </w:pPr>
      <w:r w:rsidRPr="001048FE">
        <w:rPr>
          <w:lang w:val="sl-SI"/>
        </w:rPr>
        <w:t>Medsektorsko strateško partnerstvo, katerega cilj je podpreti tiste družine, v katerih se govori več kot</w:t>
      </w:r>
      <w:r w:rsidRPr="001048FE">
        <w:rPr>
          <w:spacing w:val="-12"/>
          <w:lang w:val="sl-SI"/>
        </w:rPr>
        <w:t xml:space="preserve"> </w:t>
      </w:r>
      <w:r w:rsidRPr="001048FE">
        <w:rPr>
          <w:lang w:val="sl-SI"/>
        </w:rPr>
        <w:t>en</w:t>
      </w:r>
      <w:r w:rsidRPr="001048FE">
        <w:rPr>
          <w:spacing w:val="-12"/>
          <w:lang w:val="sl-SI"/>
        </w:rPr>
        <w:t xml:space="preserve"> </w:t>
      </w:r>
      <w:r w:rsidRPr="001048FE">
        <w:rPr>
          <w:lang w:val="sl-SI"/>
        </w:rPr>
        <w:t>jezik,</w:t>
      </w:r>
      <w:r w:rsidRPr="001048FE">
        <w:rPr>
          <w:spacing w:val="-12"/>
          <w:lang w:val="sl-SI"/>
        </w:rPr>
        <w:t xml:space="preserve"> </w:t>
      </w:r>
      <w:r w:rsidRPr="001048FE">
        <w:rPr>
          <w:lang w:val="sl-SI"/>
        </w:rPr>
        <w:t>z</w:t>
      </w:r>
      <w:r w:rsidRPr="001048FE">
        <w:rPr>
          <w:spacing w:val="-12"/>
          <w:lang w:val="sl-SI"/>
        </w:rPr>
        <w:t xml:space="preserve"> </w:t>
      </w:r>
      <w:r w:rsidRPr="001048FE">
        <w:rPr>
          <w:lang w:val="sl-SI"/>
        </w:rPr>
        <w:t>razvojem</w:t>
      </w:r>
      <w:r w:rsidRPr="001048FE">
        <w:rPr>
          <w:spacing w:val="-12"/>
          <w:lang w:val="sl-SI"/>
        </w:rPr>
        <w:t xml:space="preserve"> </w:t>
      </w:r>
      <w:r w:rsidRPr="001048FE">
        <w:rPr>
          <w:lang w:val="sl-SI"/>
        </w:rPr>
        <w:t>jezikovnih</w:t>
      </w:r>
      <w:r w:rsidRPr="001048FE">
        <w:rPr>
          <w:spacing w:val="-12"/>
          <w:lang w:val="sl-SI"/>
        </w:rPr>
        <w:t xml:space="preserve"> </w:t>
      </w:r>
      <w:r w:rsidRPr="001048FE">
        <w:rPr>
          <w:lang w:val="sl-SI"/>
        </w:rPr>
        <w:t>virov</w:t>
      </w:r>
      <w:r w:rsidRPr="001048FE">
        <w:rPr>
          <w:spacing w:val="-12"/>
          <w:lang w:val="sl-SI"/>
        </w:rPr>
        <w:t xml:space="preserve"> </w:t>
      </w:r>
      <w:r w:rsidRPr="001048FE">
        <w:rPr>
          <w:lang w:val="sl-SI"/>
        </w:rPr>
        <w:t>za</w:t>
      </w:r>
      <w:r w:rsidRPr="001048FE">
        <w:rPr>
          <w:spacing w:val="-12"/>
          <w:lang w:val="sl-SI"/>
        </w:rPr>
        <w:t xml:space="preserve"> </w:t>
      </w:r>
      <w:r w:rsidRPr="001048FE">
        <w:rPr>
          <w:lang w:val="sl-SI"/>
        </w:rPr>
        <w:t>otroke,</w:t>
      </w:r>
      <w:r w:rsidRPr="001048FE">
        <w:rPr>
          <w:spacing w:val="-11"/>
          <w:lang w:val="sl-SI"/>
        </w:rPr>
        <w:t xml:space="preserve"> </w:t>
      </w:r>
      <w:r w:rsidRPr="001048FE">
        <w:rPr>
          <w:lang w:val="sl-SI"/>
        </w:rPr>
        <w:t>da</w:t>
      </w:r>
      <w:r w:rsidRPr="001048FE">
        <w:rPr>
          <w:spacing w:val="-12"/>
          <w:lang w:val="sl-SI"/>
        </w:rPr>
        <w:t xml:space="preserve"> </w:t>
      </w:r>
      <w:r w:rsidRPr="001048FE">
        <w:rPr>
          <w:lang w:val="sl-SI"/>
        </w:rPr>
        <w:t>spoznajo</w:t>
      </w:r>
      <w:r w:rsidRPr="001048FE">
        <w:rPr>
          <w:spacing w:val="-12"/>
          <w:lang w:val="sl-SI"/>
        </w:rPr>
        <w:t xml:space="preserve"> </w:t>
      </w:r>
      <w:r w:rsidRPr="001048FE">
        <w:rPr>
          <w:lang w:val="sl-SI"/>
        </w:rPr>
        <w:t>koristi</w:t>
      </w:r>
      <w:r w:rsidRPr="001048FE">
        <w:rPr>
          <w:spacing w:val="-12"/>
          <w:lang w:val="sl-SI"/>
        </w:rPr>
        <w:t xml:space="preserve"> </w:t>
      </w:r>
      <w:r w:rsidRPr="001048FE">
        <w:rPr>
          <w:lang w:val="sl-SI"/>
        </w:rPr>
        <w:t>znanja</w:t>
      </w:r>
      <w:r w:rsidRPr="001048FE">
        <w:rPr>
          <w:spacing w:val="-12"/>
          <w:lang w:val="sl-SI"/>
        </w:rPr>
        <w:t xml:space="preserve"> </w:t>
      </w:r>
      <w:r w:rsidRPr="001048FE">
        <w:rPr>
          <w:lang w:val="sl-SI"/>
        </w:rPr>
        <w:t>dveh</w:t>
      </w:r>
      <w:r w:rsidRPr="001048FE">
        <w:rPr>
          <w:spacing w:val="-12"/>
          <w:lang w:val="sl-SI"/>
        </w:rPr>
        <w:t xml:space="preserve"> </w:t>
      </w:r>
      <w:r w:rsidRPr="001048FE">
        <w:rPr>
          <w:lang w:val="sl-SI"/>
        </w:rPr>
        <w:t>ali</w:t>
      </w:r>
      <w:r w:rsidRPr="001048FE">
        <w:rPr>
          <w:spacing w:val="-12"/>
          <w:lang w:val="sl-SI"/>
        </w:rPr>
        <w:t xml:space="preserve"> </w:t>
      </w:r>
      <w:r w:rsidRPr="001048FE">
        <w:rPr>
          <w:lang w:val="sl-SI"/>
        </w:rPr>
        <w:t>več</w:t>
      </w:r>
      <w:r w:rsidRPr="001048FE">
        <w:rPr>
          <w:spacing w:val="-12"/>
          <w:lang w:val="sl-SI"/>
        </w:rPr>
        <w:t xml:space="preserve"> </w:t>
      </w:r>
      <w:r w:rsidRPr="001048FE">
        <w:rPr>
          <w:lang w:val="sl-SI"/>
        </w:rPr>
        <w:t>jezikov,</w:t>
      </w:r>
      <w:r w:rsidRPr="001048FE">
        <w:rPr>
          <w:spacing w:val="-12"/>
          <w:lang w:val="sl-SI"/>
        </w:rPr>
        <w:t xml:space="preserve"> </w:t>
      </w:r>
      <w:r w:rsidRPr="001048FE">
        <w:rPr>
          <w:lang w:val="sl-SI"/>
        </w:rPr>
        <w:t>se pravi vrednost, ki jo ima to znanje samo po sebi in pri uporabi jezikov v</w:t>
      </w:r>
      <w:r w:rsidRPr="001048FE">
        <w:rPr>
          <w:spacing w:val="-46"/>
          <w:lang w:val="sl-SI"/>
        </w:rPr>
        <w:t xml:space="preserve"> </w:t>
      </w:r>
      <w:r w:rsidRPr="001048FE">
        <w:rPr>
          <w:lang w:val="sl-SI"/>
        </w:rPr>
        <w:t>praksi.</w:t>
      </w:r>
    </w:p>
    <w:p w14:paraId="7D39AA7A" w14:textId="77777777" w:rsidR="00E15C84" w:rsidRPr="001048FE" w:rsidRDefault="00E15C84" w:rsidP="0009190F">
      <w:pPr>
        <w:pStyle w:val="GUIDE-NORMAL"/>
        <w:rPr>
          <w:lang w:val="sl-SI"/>
        </w:rPr>
      </w:pPr>
      <w:r w:rsidRPr="001048FE">
        <w:rPr>
          <w:lang w:val="sl-SI"/>
        </w:rPr>
        <w:t>Ta projekt vključuje vse deležnike, ki delajo z dvojezičnimi družinami, da lahko razširjajo vire projekta v teh družinah. Izvajajo se raziskave za preskušanje učinkovitosti pedagoških pristopov, ki se uporabljajo za krepitev znanja jezika večjezičnih otrok, tako v učilnici kot s priložnostnim učenjem. Partnerji so univerza, različne šole, malo in srednje podjetje, nevladna organizacija in združenje institucij za izobraževanje</w:t>
      </w:r>
      <w:r w:rsidRPr="001048FE">
        <w:rPr>
          <w:spacing w:val="10"/>
          <w:lang w:val="sl-SI"/>
        </w:rPr>
        <w:t xml:space="preserve"> </w:t>
      </w:r>
      <w:r w:rsidRPr="001048FE">
        <w:rPr>
          <w:lang w:val="sl-SI"/>
        </w:rPr>
        <w:t>odraslih.</w:t>
      </w:r>
    </w:p>
    <w:p w14:paraId="7D39AA7B" w14:textId="77777777" w:rsidR="00E15C84" w:rsidRPr="001048FE" w:rsidRDefault="00E15C84" w:rsidP="0009190F">
      <w:pPr>
        <w:pStyle w:val="Guide-Heading4"/>
        <w:rPr>
          <w:lang w:val="sl-SI"/>
        </w:rPr>
      </w:pPr>
      <w:bookmarkStart w:id="718" w:name="_Toc527401356"/>
      <w:r w:rsidRPr="001048FE">
        <w:rPr>
          <w:lang w:val="sl-SI"/>
        </w:rPr>
        <w:t>Informacijske in komunikacijske tehnologije</w:t>
      </w:r>
      <w:bookmarkEnd w:id="718"/>
    </w:p>
    <w:p w14:paraId="7D39AA7C" w14:textId="77777777" w:rsidR="00E15C84" w:rsidRPr="001048FE" w:rsidRDefault="00E15C84" w:rsidP="0009190F">
      <w:pPr>
        <w:pStyle w:val="GUIDE-NORMAL"/>
        <w:rPr>
          <w:lang w:val="sl-SI"/>
        </w:rPr>
      </w:pPr>
      <w:r w:rsidRPr="001048FE">
        <w:rPr>
          <w:lang w:val="sl-SI"/>
        </w:rPr>
        <w:t>Medsektorski projekt, katerega cilj je razviti skupno vizijo o tem, kako lahko IKT pripomorejo k temu,</w:t>
      </w:r>
      <w:r w:rsidRPr="001048FE">
        <w:rPr>
          <w:spacing w:val="-13"/>
          <w:lang w:val="sl-SI"/>
        </w:rPr>
        <w:t xml:space="preserve"> </w:t>
      </w:r>
      <w:r w:rsidRPr="001048FE">
        <w:rPr>
          <w:lang w:val="sl-SI"/>
        </w:rPr>
        <w:t>da</w:t>
      </w:r>
      <w:r w:rsidRPr="001048FE">
        <w:rPr>
          <w:spacing w:val="-13"/>
          <w:lang w:val="sl-SI"/>
        </w:rPr>
        <w:t xml:space="preserve"> </w:t>
      </w:r>
      <w:r w:rsidRPr="001048FE">
        <w:rPr>
          <w:lang w:val="sl-SI"/>
        </w:rPr>
        <w:t>vseživljenjsko</w:t>
      </w:r>
      <w:r w:rsidRPr="001048FE">
        <w:rPr>
          <w:spacing w:val="-13"/>
          <w:lang w:val="sl-SI"/>
        </w:rPr>
        <w:t xml:space="preserve"> </w:t>
      </w:r>
      <w:r w:rsidRPr="001048FE">
        <w:rPr>
          <w:lang w:val="sl-SI"/>
        </w:rPr>
        <w:t>učenje</w:t>
      </w:r>
      <w:r w:rsidRPr="001048FE">
        <w:rPr>
          <w:spacing w:val="-13"/>
          <w:lang w:val="sl-SI"/>
        </w:rPr>
        <w:t xml:space="preserve"> </w:t>
      </w:r>
      <w:r w:rsidRPr="001048FE">
        <w:rPr>
          <w:lang w:val="sl-SI"/>
        </w:rPr>
        <w:t>postane</w:t>
      </w:r>
      <w:r w:rsidRPr="001048FE">
        <w:rPr>
          <w:spacing w:val="-13"/>
          <w:lang w:val="sl-SI"/>
        </w:rPr>
        <w:t xml:space="preserve"> </w:t>
      </w:r>
      <w:r w:rsidRPr="001048FE">
        <w:rPr>
          <w:lang w:val="sl-SI"/>
        </w:rPr>
        <w:t>dostopno</w:t>
      </w:r>
      <w:r w:rsidRPr="001048FE">
        <w:rPr>
          <w:spacing w:val="-13"/>
          <w:lang w:val="sl-SI"/>
        </w:rPr>
        <w:t xml:space="preserve"> </w:t>
      </w:r>
      <w:r w:rsidRPr="001048FE">
        <w:rPr>
          <w:lang w:val="sl-SI"/>
        </w:rPr>
        <w:t>za</w:t>
      </w:r>
      <w:r w:rsidRPr="001048FE">
        <w:rPr>
          <w:spacing w:val="-13"/>
          <w:lang w:val="sl-SI"/>
        </w:rPr>
        <w:t xml:space="preserve"> </w:t>
      </w:r>
      <w:r w:rsidRPr="001048FE">
        <w:rPr>
          <w:lang w:val="sl-SI"/>
        </w:rPr>
        <w:t>vse</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da</w:t>
      </w:r>
      <w:r w:rsidRPr="001048FE">
        <w:rPr>
          <w:spacing w:val="-13"/>
          <w:lang w:val="sl-SI"/>
        </w:rPr>
        <w:t xml:space="preserve"> </w:t>
      </w:r>
      <w:r w:rsidRPr="001048FE">
        <w:rPr>
          <w:lang w:val="sl-SI"/>
        </w:rPr>
        <w:t>bo</w:t>
      </w:r>
      <w:r w:rsidRPr="001048FE">
        <w:rPr>
          <w:spacing w:val="-13"/>
          <w:lang w:val="sl-SI"/>
        </w:rPr>
        <w:t xml:space="preserve"> </w:t>
      </w:r>
      <w:r w:rsidRPr="001048FE">
        <w:rPr>
          <w:lang w:val="sl-SI"/>
        </w:rPr>
        <w:t>temeljilo</w:t>
      </w:r>
      <w:r w:rsidRPr="001048FE">
        <w:rPr>
          <w:spacing w:val="-13"/>
          <w:lang w:val="sl-SI"/>
        </w:rPr>
        <w:t xml:space="preserve"> </w:t>
      </w:r>
      <w:r w:rsidRPr="001048FE">
        <w:rPr>
          <w:lang w:val="sl-SI"/>
        </w:rPr>
        <w:t>na</w:t>
      </w:r>
      <w:r w:rsidRPr="001048FE">
        <w:rPr>
          <w:spacing w:val="-13"/>
          <w:lang w:val="sl-SI"/>
        </w:rPr>
        <w:t xml:space="preserve"> </w:t>
      </w:r>
      <w:r w:rsidRPr="001048FE">
        <w:rPr>
          <w:lang w:val="sl-SI"/>
        </w:rPr>
        <w:t>primerih</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vpogledih</w:t>
      </w:r>
      <w:r w:rsidRPr="001048FE">
        <w:rPr>
          <w:spacing w:val="-13"/>
          <w:lang w:val="sl-SI"/>
        </w:rPr>
        <w:t xml:space="preserve"> </w:t>
      </w:r>
      <w:r w:rsidRPr="001048FE">
        <w:rPr>
          <w:lang w:val="sl-SI"/>
        </w:rPr>
        <w:t>iz resničnega</w:t>
      </w:r>
      <w:r w:rsidRPr="001048FE">
        <w:rPr>
          <w:spacing w:val="-11"/>
          <w:lang w:val="sl-SI"/>
        </w:rPr>
        <w:t xml:space="preserve"> </w:t>
      </w:r>
      <w:r w:rsidRPr="001048FE">
        <w:rPr>
          <w:lang w:val="sl-SI"/>
        </w:rPr>
        <w:t>življenja.</w:t>
      </w:r>
      <w:r w:rsidRPr="001048FE">
        <w:rPr>
          <w:spacing w:val="-11"/>
          <w:lang w:val="sl-SI"/>
        </w:rPr>
        <w:t xml:space="preserve"> </w:t>
      </w:r>
      <w:r w:rsidRPr="001048FE">
        <w:rPr>
          <w:lang w:val="sl-SI"/>
        </w:rPr>
        <w:t>Uporaba</w:t>
      </w:r>
      <w:r w:rsidRPr="001048FE">
        <w:rPr>
          <w:spacing w:val="-11"/>
          <w:lang w:val="sl-SI"/>
        </w:rPr>
        <w:t xml:space="preserve"> </w:t>
      </w:r>
      <w:r w:rsidRPr="001048FE">
        <w:rPr>
          <w:lang w:val="sl-SI"/>
        </w:rPr>
        <w:t>IKT</w:t>
      </w:r>
      <w:r w:rsidRPr="001048FE">
        <w:rPr>
          <w:spacing w:val="-11"/>
          <w:lang w:val="sl-SI"/>
        </w:rPr>
        <w:t xml:space="preserve"> </w:t>
      </w:r>
      <w:r w:rsidRPr="001048FE">
        <w:rPr>
          <w:lang w:val="sl-SI"/>
        </w:rPr>
        <w:t>pri</w:t>
      </w:r>
      <w:r w:rsidRPr="001048FE">
        <w:rPr>
          <w:spacing w:val="-11"/>
          <w:lang w:val="sl-SI"/>
        </w:rPr>
        <w:t xml:space="preserve"> </w:t>
      </w:r>
      <w:r w:rsidRPr="001048FE">
        <w:rPr>
          <w:lang w:val="sl-SI"/>
        </w:rPr>
        <w:t>učenju</w:t>
      </w:r>
      <w:r w:rsidRPr="001048FE">
        <w:rPr>
          <w:spacing w:val="-11"/>
          <w:lang w:val="sl-SI"/>
        </w:rPr>
        <w:t xml:space="preserve"> </w:t>
      </w:r>
      <w:r w:rsidRPr="001048FE">
        <w:rPr>
          <w:lang w:val="sl-SI"/>
        </w:rPr>
        <w:t>postaja</w:t>
      </w:r>
      <w:r w:rsidRPr="001048FE">
        <w:rPr>
          <w:spacing w:val="-11"/>
          <w:lang w:val="sl-SI"/>
        </w:rPr>
        <w:t xml:space="preserve"> </w:t>
      </w:r>
      <w:r w:rsidRPr="001048FE">
        <w:rPr>
          <w:lang w:val="sl-SI"/>
        </w:rPr>
        <w:t>v</w:t>
      </w:r>
      <w:r w:rsidRPr="001048FE">
        <w:rPr>
          <w:spacing w:val="-11"/>
          <w:lang w:val="sl-SI"/>
        </w:rPr>
        <w:t xml:space="preserve"> </w:t>
      </w:r>
      <w:r w:rsidRPr="001048FE">
        <w:rPr>
          <w:lang w:val="sl-SI"/>
        </w:rPr>
        <w:t>Evropi</w:t>
      </w:r>
      <w:r w:rsidRPr="001048FE">
        <w:rPr>
          <w:spacing w:val="-11"/>
          <w:lang w:val="sl-SI"/>
        </w:rPr>
        <w:t xml:space="preserve"> </w:t>
      </w:r>
      <w:r w:rsidRPr="001048FE">
        <w:rPr>
          <w:lang w:val="sl-SI"/>
        </w:rPr>
        <w:t>vse</w:t>
      </w:r>
      <w:r w:rsidRPr="001048FE">
        <w:rPr>
          <w:spacing w:val="-11"/>
          <w:lang w:val="sl-SI"/>
        </w:rPr>
        <w:t xml:space="preserve"> </w:t>
      </w:r>
      <w:r w:rsidRPr="001048FE">
        <w:rPr>
          <w:lang w:val="sl-SI"/>
        </w:rPr>
        <w:t>bolj</w:t>
      </w:r>
      <w:r w:rsidRPr="001048FE">
        <w:rPr>
          <w:spacing w:val="-11"/>
          <w:lang w:val="sl-SI"/>
        </w:rPr>
        <w:t xml:space="preserve"> </w:t>
      </w:r>
      <w:r w:rsidRPr="001048FE">
        <w:rPr>
          <w:lang w:val="sl-SI"/>
        </w:rPr>
        <w:t>razširjena,</w:t>
      </w:r>
      <w:r w:rsidRPr="001048FE">
        <w:rPr>
          <w:spacing w:val="-11"/>
          <w:lang w:val="sl-SI"/>
        </w:rPr>
        <w:t xml:space="preserve"> </w:t>
      </w:r>
      <w:r w:rsidRPr="001048FE">
        <w:rPr>
          <w:lang w:val="sl-SI"/>
        </w:rPr>
        <w:t>vendar</w:t>
      </w:r>
      <w:r w:rsidRPr="001048FE">
        <w:rPr>
          <w:spacing w:val="-11"/>
          <w:lang w:val="sl-SI"/>
        </w:rPr>
        <w:t xml:space="preserve"> </w:t>
      </w:r>
      <w:r w:rsidRPr="001048FE">
        <w:rPr>
          <w:lang w:val="sl-SI"/>
        </w:rPr>
        <w:t>če</w:t>
      </w:r>
      <w:r w:rsidRPr="001048FE">
        <w:rPr>
          <w:spacing w:val="-11"/>
          <w:lang w:val="sl-SI"/>
        </w:rPr>
        <w:t xml:space="preserve"> </w:t>
      </w:r>
      <w:r w:rsidRPr="001048FE">
        <w:rPr>
          <w:lang w:val="sl-SI"/>
        </w:rPr>
        <w:t>želimo</w:t>
      </w:r>
      <w:r w:rsidRPr="001048FE">
        <w:rPr>
          <w:spacing w:val="-11"/>
          <w:lang w:val="sl-SI"/>
        </w:rPr>
        <w:t xml:space="preserve"> </w:t>
      </w:r>
      <w:r w:rsidRPr="001048FE">
        <w:rPr>
          <w:lang w:val="sl-SI"/>
        </w:rPr>
        <w:t>v celoti izkoristiti potencial teh tehnologij, ki so lahko gonilo sprememb v naših gospodarstvih in družbah, se je treba premakniti od razdrobljenosti in poskusnih projektov k izvajanju v praksi in sistemskemu</w:t>
      </w:r>
      <w:r w:rsidRPr="001048FE">
        <w:rPr>
          <w:spacing w:val="-17"/>
          <w:lang w:val="sl-SI"/>
        </w:rPr>
        <w:t xml:space="preserve"> </w:t>
      </w:r>
      <w:r w:rsidRPr="001048FE">
        <w:rPr>
          <w:lang w:val="sl-SI"/>
        </w:rPr>
        <w:t>sprejemanju</w:t>
      </w:r>
      <w:r w:rsidRPr="001048FE">
        <w:rPr>
          <w:spacing w:val="-17"/>
          <w:lang w:val="sl-SI"/>
        </w:rPr>
        <w:t xml:space="preserve"> </w:t>
      </w:r>
      <w:r w:rsidRPr="001048FE">
        <w:rPr>
          <w:lang w:val="sl-SI"/>
        </w:rPr>
        <w:t>teh</w:t>
      </w:r>
      <w:r w:rsidRPr="001048FE">
        <w:rPr>
          <w:spacing w:val="-17"/>
          <w:lang w:val="sl-SI"/>
        </w:rPr>
        <w:t xml:space="preserve"> </w:t>
      </w:r>
      <w:r w:rsidRPr="001048FE">
        <w:rPr>
          <w:lang w:val="sl-SI"/>
        </w:rPr>
        <w:t>tehnologij.</w:t>
      </w:r>
      <w:r w:rsidRPr="001048FE">
        <w:rPr>
          <w:spacing w:val="-17"/>
          <w:lang w:val="sl-SI"/>
        </w:rPr>
        <w:t xml:space="preserve"> </w:t>
      </w:r>
      <w:r w:rsidRPr="001048FE">
        <w:rPr>
          <w:lang w:val="sl-SI"/>
        </w:rPr>
        <w:t>Partnerji</w:t>
      </w:r>
      <w:r w:rsidRPr="001048FE">
        <w:rPr>
          <w:spacing w:val="-17"/>
          <w:lang w:val="sl-SI"/>
        </w:rPr>
        <w:t xml:space="preserve"> </w:t>
      </w:r>
      <w:r w:rsidRPr="001048FE">
        <w:rPr>
          <w:lang w:val="sl-SI"/>
        </w:rPr>
        <w:t>so</w:t>
      </w:r>
      <w:r w:rsidRPr="001048FE">
        <w:rPr>
          <w:spacing w:val="-17"/>
          <w:lang w:val="sl-SI"/>
        </w:rPr>
        <w:t xml:space="preserve"> </w:t>
      </w:r>
      <w:r w:rsidRPr="001048FE">
        <w:rPr>
          <w:lang w:val="sl-SI"/>
        </w:rPr>
        <w:t>številne</w:t>
      </w:r>
      <w:r w:rsidRPr="001048FE">
        <w:rPr>
          <w:spacing w:val="-17"/>
          <w:lang w:val="sl-SI"/>
        </w:rPr>
        <w:t xml:space="preserve"> </w:t>
      </w:r>
      <w:r w:rsidRPr="001048FE">
        <w:rPr>
          <w:lang w:val="sl-SI"/>
        </w:rPr>
        <w:t>visokošolske</w:t>
      </w:r>
      <w:r w:rsidRPr="001048FE">
        <w:rPr>
          <w:spacing w:val="-17"/>
          <w:lang w:val="sl-SI"/>
        </w:rPr>
        <w:t xml:space="preserve"> </w:t>
      </w:r>
      <w:r w:rsidRPr="001048FE">
        <w:rPr>
          <w:lang w:val="sl-SI"/>
        </w:rPr>
        <w:t>institucije,</w:t>
      </w:r>
      <w:r w:rsidRPr="001048FE">
        <w:rPr>
          <w:spacing w:val="-17"/>
          <w:lang w:val="sl-SI"/>
        </w:rPr>
        <w:t xml:space="preserve"> </w:t>
      </w:r>
      <w:r w:rsidRPr="001048FE">
        <w:rPr>
          <w:lang w:val="sl-SI"/>
        </w:rPr>
        <w:t>organizacije</w:t>
      </w:r>
      <w:r w:rsidRPr="001048FE">
        <w:rPr>
          <w:spacing w:val="-15"/>
          <w:lang w:val="sl-SI"/>
        </w:rPr>
        <w:t xml:space="preserve"> </w:t>
      </w:r>
      <w:r w:rsidRPr="001048FE">
        <w:rPr>
          <w:lang w:val="sl-SI"/>
        </w:rPr>
        <w:t>za pridobivanje spretnosti, ki delujejo na mnogih različnih področjih</w:t>
      </w:r>
      <w:r w:rsidRPr="001048FE">
        <w:rPr>
          <w:spacing w:val="-20"/>
          <w:lang w:val="sl-SI"/>
        </w:rPr>
        <w:t xml:space="preserve"> </w:t>
      </w:r>
      <w:r w:rsidRPr="001048FE">
        <w:rPr>
          <w:lang w:val="sl-SI"/>
        </w:rPr>
        <w:t>izobraževanja.</w:t>
      </w:r>
    </w:p>
    <w:p w14:paraId="7D39AA7D" w14:textId="77777777" w:rsidR="00E15C84" w:rsidRPr="001048FE" w:rsidRDefault="00E15C84" w:rsidP="0009190F">
      <w:pPr>
        <w:pStyle w:val="Guide-Heading4"/>
        <w:rPr>
          <w:lang w:val="sl-SI"/>
        </w:rPr>
      </w:pPr>
      <w:bookmarkStart w:id="719" w:name="_Toc527401357"/>
      <w:r w:rsidRPr="001048FE">
        <w:rPr>
          <w:lang w:val="sl-SI"/>
        </w:rPr>
        <w:t>Sodelovanje med regijami</w:t>
      </w:r>
      <w:bookmarkEnd w:id="719"/>
    </w:p>
    <w:p w14:paraId="7D39AA7E" w14:textId="77777777" w:rsidR="00E15C84" w:rsidRPr="001048FE" w:rsidRDefault="00E15C84" w:rsidP="0009190F">
      <w:pPr>
        <w:pStyle w:val="GUIDE-NORMAL"/>
        <w:rPr>
          <w:lang w:val="sl-SI"/>
        </w:rPr>
      </w:pPr>
      <w:r w:rsidRPr="001048FE">
        <w:rPr>
          <w:lang w:val="sl-SI"/>
        </w:rPr>
        <w:t>Španski, portugalski, italijanski in češki lokalni organi se združijo v partnerstvo, da bi raziskali vzroke osipa v svojih regijah in razvili nove rešitve za njegovo preprečevanje. Vključijo dve srednji šoli v svojih regijah in dve instituciji za izobraževanje učiteljev. V zvezi s težavo osipa zavzamejo širšo</w:t>
      </w:r>
      <w:r w:rsidRPr="001048FE">
        <w:rPr>
          <w:spacing w:val="-9"/>
          <w:lang w:val="sl-SI"/>
        </w:rPr>
        <w:t xml:space="preserve"> </w:t>
      </w:r>
      <w:r w:rsidRPr="001048FE">
        <w:rPr>
          <w:lang w:val="sl-SI"/>
        </w:rPr>
        <w:t>perspektivo</w:t>
      </w:r>
      <w:r w:rsidRPr="001048FE">
        <w:rPr>
          <w:spacing w:val="-9"/>
          <w:lang w:val="sl-SI"/>
        </w:rPr>
        <w:t xml:space="preserve"> </w:t>
      </w:r>
      <w:r w:rsidRPr="001048FE">
        <w:rPr>
          <w:lang w:val="sl-SI"/>
        </w:rPr>
        <w:t>in</w:t>
      </w:r>
      <w:r w:rsidRPr="001048FE">
        <w:rPr>
          <w:spacing w:val="-9"/>
          <w:lang w:val="sl-SI"/>
        </w:rPr>
        <w:t xml:space="preserve"> </w:t>
      </w:r>
      <w:r w:rsidRPr="001048FE">
        <w:rPr>
          <w:lang w:val="sl-SI"/>
        </w:rPr>
        <w:t>želijo</w:t>
      </w:r>
      <w:r w:rsidRPr="001048FE">
        <w:rPr>
          <w:spacing w:val="-9"/>
          <w:lang w:val="sl-SI"/>
        </w:rPr>
        <w:t xml:space="preserve"> </w:t>
      </w:r>
      <w:r w:rsidRPr="001048FE">
        <w:rPr>
          <w:lang w:val="sl-SI"/>
        </w:rPr>
        <w:t>obravnavati</w:t>
      </w:r>
      <w:r w:rsidRPr="001048FE">
        <w:rPr>
          <w:spacing w:val="-8"/>
          <w:lang w:val="sl-SI"/>
        </w:rPr>
        <w:t xml:space="preserve"> </w:t>
      </w:r>
      <w:r w:rsidRPr="001048FE">
        <w:rPr>
          <w:lang w:val="sl-SI"/>
        </w:rPr>
        <w:t>več</w:t>
      </w:r>
      <w:r w:rsidRPr="001048FE">
        <w:rPr>
          <w:spacing w:val="-9"/>
          <w:lang w:val="sl-SI"/>
        </w:rPr>
        <w:t xml:space="preserve"> </w:t>
      </w:r>
      <w:r w:rsidRPr="001048FE">
        <w:rPr>
          <w:lang w:val="sl-SI"/>
        </w:rPr>
        <w:t>vidikov</w:t>
      </w:r>
      <w:r w:rsidRPr="001048FE">
        <w:rPr>
          <w:spacing w:val="-9"/>
          <w:lang w:val="sl-SI"/>
        </w:rPr>
        <w:t xml:space="preserve"> </w:t>
      </w:r>
      <w:r w:rsidRPr="001048FE">
        <w:rPr>
          <w:lang w:val="sl-SI"/>
        </w:rPr>
        <w:t>življenja</w:t>
      </w:r>
      <w:r w:rsidRPr="001048FE">
        <w:rPr>
          <w:spacing w:val="-9"/>
          <w:lang w:val="sl-SI"/>
        </w:rPr>
        <w:t xml:space="preserve"> </w:t>
      </w:r>
      <w:r w:rsidRPr="001048FE">
        <w:rPr>
          <w:lang w:val="sl-SI"/>
        </w:rPr>
        <w:t>mladih.</w:t>
      </w:r>
      <w:r w:rsidRPr="001048FE">
        <w:rPr>
          <w:spacing w:val="-9"/>
          <w:lang w:val="sl-SI"/>
        </w:rPr>
        <w:t xml:space="preserve"> </w:t>
      </w:r>
      <w:r w:rsidRPr="001048FE">
        <w:rPr>
          <w:lang w:val="sl-SI"/>
        </w:rPr>
        <w:t>Zato</w:t>
      </w:r>
      <w:r w:rsidRPr="001048FE">
        <w:rPr>
          <w:spacing w:val="-9"/>
          <w:lang w:val="sl-SI"/>
        </w:rPr>
        <w:t xml:space="preserve"> </w:t>
      </w:r>
      <w:r w:rsidRPr="001048FE">
        <w:rPr>
          <w:lang w:val="sl-SI"/>
        </w:rPr>
        <w:t>povabijo</w:t>
      </w:r>
      <w:r w:rsidRPr="001048FE">
        <w:rPr>
          <w:spacing w:val="-9"/>
          <w:lang w:val="sl-SI"/>
        </w:rPr>
        <w:t xml:space="preserve"> </w:t>
      </w:r>
      <w:r w:rsidRPr="001048FE">
        <w:rPr>
          <w:lang w:val="sl-SI"/>
        </w:rPr>
        <w:t>lokalne</w:t>
      </w:r>
      <w:r w:rsidRPr="001048FE">
        <w:rPr>
          <w:spacing w:val="-9"/>
          <w:lang w:val="sl-SI"/>
        </w:rPr>
        <w:t xml:space="preserve"> </w:t>
      </w:r>
      <w:r w:rsidRPr="001048FE">
        <w:rPr>
          <w:lang w:val="sl-SI"/>
        </w:rPr>
        <w:t>mladinske organizacije in združenja staršev, da se tudi pridružijo strateškemu partnerstvu. Sodelovanje lokalnih</w:t>
      </w:r>
      <w:r w:rsidRPr="001048FE">
        <w:rPr>
          <w:spacing w:val="-13"/>
          <w:lang w:val="sl-SI"/>
        </w:rPr>
        <w:t xml:space="preserve"> </w:t>
      </w:r>
      <w:r w:rsidRPr="001048FE">
        <w:rPr>
          <w:lang w:val="sl-SI"/>
        </w:rPr>
        <w:t>organov</w:t>
      </w:r>
      <w:r w:rsidRPr="001048FE">
        <w:rPr>
          <w:spacing w:val="-12"/>
          <w:lang w:val="sl-SI"/>
        </w:rPr>
        <w:t xml:space="preserve"> </w:t>
      </w:r>
      <w:r w:rsidRPr="001048FE">
        <w:rPr>
          <w:lang w:val="sl-SI"/>
        </w:rPr>
        <w:t>je</w:t>
      </w:r>
      <w:r w:rsidRPr="001048FE">
        <w:rPr>
          <w:spacing w:val="-13"/>
          <w:lang w:val="sl-SI"/>
        </w:rPr>
        <w:t xml:space="preserve"> </w:t>
      </w:r>
      <w:r w:rsidRPr="001048FE">
        <w:rPr>
          <w:lang w:val="sl-SI"/>
        </w:rPr>
        <w:t>široko</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medsektorsko,</w:t>
      </w:r>
      <w:r w:rsidRPr="001048FE">
        <w:rPr>
          <w:spacing w:val="-13"/>
          <w:lang w:val="sl-SI"/>
        </w:rPr>
        <w:t xml:space="preserve"> </w:t>
      </w:r>
      <w:r w:rsidRPr="001048FE">
        <w:rPr>
          <w:lang w:val="sl-SI"/>
        </w:rPr>
        <w:t>vključno</w:t>
      </w:r>
      <w:r w:rsidRPr="001048FE">
        <w:rPr>
          <w:spacing w:val="-13"/>
          <w:lang w:val="sl-SI"/>
        </w:rPr>
        <w:t xml:space="preserve"> </w:t>
      </w:r>
      <w:r w:rsidRPr="001048FE">
        <w:rPr>
          <w:lang w:val="sl-SI"/>
        </w:rPr>
        <w:t>z</w:t>
      </w:r>
      <w:r w:rsidRPr="001048FE">
        <w:rPr>
          <w:spacing w:val="-13"/>
          <w:lang w:val="sl-SI"/>
        </w:rPr>
        <w:t xml:space="preserve"> </w:t>
      </w:r>
      <w:r w:rsidRPr="001048FE">
        <w:rPr>
          <w:lang w:val="sl-SI"/>
        </w:rPr>
        <w:t>oddelki</w:t>
      </w:r>
      <w:r w:rsidRPr="001048FE">
        <w:rPr>
          <w:spacing w:val="-12"/>
          <w:lang w:val="sl-SI"/>
        </w:rPr>
        <w:t xml:space="preserve"> </w:t>
      </w:r>
      <w:r w:rsidRPr="001048FE">
        <w:rPr>
          <w:lang w:val="sl-SI"/>
        </w:rPr>
        <w:t>za</w:t>
      </w:r>
      <w:r w:rsidRPr="001048FE">
        <w:rPr>
          <w:spacing w:val="-13"/>
          <w:lang w:val="sl-SI"/>
        </w:rPr>
        <w:t xml:space="preserve"> </w:t>
      </w:r>
      <w:r w:rsidRPr="001048FE">
        <w:rPr>
          <w:lang w:val="sl-SI"/>
        </w:rPr>
        <w:t>izobraževanje,</w:t>
      </w:r>
      <w:r w:rsidRPr="001048FE">
        <w:rPr>
          <w:spacing w:val="-13"/>
          <w:lang w:val="sl-SI"/>
        </w:rPr>
        <w:t xml:space="preserve"> </w:t>
      </w:r>
      <w:r w:rsidRPr="001048FE">
        <w:rPr>
          <w:lang w:val="sl-SI"/>
        </w:rPr>
        <w:t>mladino</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socialne storitve.</w:t>
      </w:r>
    </w:p>
    <w:p w14:paraId="7D39AA7F" w14:textId="77777777" w:rsidR="00E15C84" w:rsidRPr="001048FE" w:rsidRDefault="00E15C84" w:rsidP="0009190F">
      <w:pPr>
        <w:pStyle w:val="GUIDE-NORMAL"/>
        <w:rPr>
          <w:lang w:val="sl-SI"/>
        </w:rPr>
      </w:pPr>
      <w:r w:rsidRPr="001048FE">
        <w:rPr>
          <w:lang w:val="sl-SI"/>
        </w:rPr>
        <w:t>Cilj je ustvariti trajno omrežje v vsaki regiji ter združiti različne akterje in storitve, da se ustvari učinkovit mehanizem podpore za mlade.</w:t>
      </w:r>
    </w:p>
    <w:p w14:paraId="7D39AA80" w14:textId="77777777" w:rsidR="00E15C84" w:rsidRPr="001048FE" w:rsidRDefault="00E15C84" w:rsidP="0009190F">
      <w:pPr>
        <w:pStyle w:val="GUIDE-NORMAL"/>
        <w:rPr>
          <w:lang w:val="sl-SI"/>
        </w:rPr>
      </w:pPr>
      <w:r w:rsidRPr="001048FE">
        <w:rPr>
          <w:lang w:val="sl-SI"/>
        </w:rPr>
        <w:t>Partnerske institucije sodelujejo z rednimi srečanji v zvezi s projektom in tudi kot spletna skupnost. Najprej želijo opredeliti obseg osipa na svojem območju in raziskati vzroke zanj. Nato želijo poiskati in začeti izvajati učinkovite načine za podporo mladim, ki tvegajo izključenost. Del aktivnosti projekta je izvajanje anket za dijake, učitelje in družine, da se raziščejo razlogi za osip v lokalnem okviru. Organizirajo tudi delavnice in seminarje, ki obravnavajo pestro paleto tem, na primer učinek dostopa do priložnostnega učenja.</w:t>
      </w:r>
    </w:p>
    <w:p w14:paraId="7D39AA81" w14:textId="77777777" w:rsidR="00E15C84" w:rsidRPr="001048FE" w:rsidRDefault="00E15C84" w:rsidP="0009190F">
      <w:pPr>
        <w:pStyle w:val="GUIDE-NORMAL"/>
        <w:rPr>
          <w:lang w:val="sl-SI"/>
        </w:rPr>
      </w:pPr>
      <w:r w:rsidRPr="001048FE">
        <w:rPr>
          <w:lang w:val="sl-SI"/>
        </w:rPr>
        <w:t>Rezultat je razvoj skupne metodologije, ki se izvaja v teh dveh regijah. Za podporo se objavi vodnik za učitelje, vodje usposabljanj in lokalne organe. Vsi rezultati in gradiva so objavljeni na spletišču projekta, v publikacijah v papirni obliki in predstavljeni na konferenci v vsaki od regij. Na ta način se metodologija in viri, ki so bili razviti s projektom, predstavijo drugim šolam in lokalnim organom.</w:t>
      </w:r>
    </w:p>
    <w:p w14:paraId="7D39AA82" w14:textId="77777777" w:rsidR="00E15C84" w:rsidRPr="001048FE" w:rsidRDefault="00E15C84" w:rsidP="0009190F">
      <w:pPr>
        <w:pStyle w:val="Guide-Heading4"/>
        <w:rPr>
          <w:lang w:val="sl-SI"/>
        </w:rPr>
      </w:pPr>
      <w:bookmarkStart w:id="720" w:name="_Toc527401358"/>
      <w:r w:rsidRPr="001048FE">
        <w:rPr>
          <w:lang w:val="sl-SI"/>
        </w:rPr>
        <w:t>Enakost in vključevanje</w:t>
      </w:r>
      <w:bookmarkEnd w:id="720"/>
    </w:p>
    <w:p w14:paraId="7D39AA83" w14:textId="77777777" w:rsidR="00E15C84" w:rsidRPr="001048FE" w:rsidRDefault="00E15C84" w:rsidP="0009190F">
      <w:pPr>
        <w:pStyle w:val="GUIDE-NORMAL"/>
        <w:rPr>
          <w:lang w:val="sl-SI"/>
        </w:rPr>
      </w:pPr>
      <w:r w:rsidRPr="001048FE">
        <w:rPr>
          <w:lang w:val="sl-SI"/>
        </w:rPr>
        <w:t>Mladinske organizacije, institucije, šole, ponudniki PIU in organi na področju mladine, ki delajo z mladimi iz skupine NEET (tj. mladi, ki niso zaposleni, se ne izobražujejo ali usposabljajo) in mladimi, ki so pustili šolo, se združijo z namenom izboljšanja metodologije, da bi se več mladih vrnilo v izobraževanje</w:t>
      </w:r>
      <w:r w:rsidRPr="001048FE">
        <w:rPr>
          <w:spacing w:val="-17"/>
          <w:lang w:val="sl-SI"/>
        </w:rPr>
        <w:t xml:space="preserve"> </w:t>
      </w:r>
      <w:r w:rsidRPr="001048FE">
        <w:rPr>
          <w:lang w:val="sl-SI"/>
        </w:rPr>
        <w:t>in</w:t>
      </w:r>
      <w:r w:rsidRPr="001048FE">
        <w:rPr>
          <w:spacing w:val="-17"/>
          <w:lang w:val="sl-SI"/>
        </w:rPr>
        <w:t xml:space="preserve"> </w:t>
      </w:r>
      <w:r w:rsidRPr="001048FE">
        <w:rPr>
          <w:lang w:val="sl-SI"/>
        </w:rPr>
        <w:t>na</w:t>
      </w:r>
      <w:r w:rsidRPr="001048FE">
        <w:rPr>
          <w:spacing w:val="-17"/>
          <w:lang w:val="sl-SI"/>
        </w:rPr>
        <w:t xml:space="preserve"> </w:t>
      </w:r>
      <w:r w:rsidRPr="001048FE">
        <w:rPr>
          <w:lang w:val="sl-SI"/>
        </w:rPr>
        <w:t>delo.</w:t>
      </w:r>
      <w:r w:rsidRPr="001048FE">
        <w:rPr>
          <w:spacing w:val="-17"/>
          <w:lang w:val="sl-SI"/>
        </w:rPr>
        <w:t xml:space="preserve"> </w:t>
      </w:r>
      <w:r w:rsidRPr="001048FE">
        <w:rPr>
          <w:lang w:val="sl-SI"/>
        </w:rPr>
        <w:t>V</w:t>
      </w:r>
      <w:r w:rsidRPr="001048FE">
        <w:rPr>
          <w:spacing w:val="-17"/>
          <w:lang w:val="sl-SI"/>
        </w:rPr>
        <w:t xml:space="preserve"> </w:t>
      </w:r>
      <w:r w:rsidRPr="001048FE">
        <w:rPr>
          <w:lang w:val="sl-SI"/>
        </w:rPr>
        <w:t>okviru</w:t>
      </w:r>
      <w:r w:rsidRPr="001048FE">
        <w:rPr>
          <w:spacing w:val="-16"/>
          <w:lang w:val="sl-SI"/>
        </w:rPr>
        <w:t xml:space="preserve"> </w:t>
      </w:r>
      <w:r w:rsidRPr="001048FE">
        <w:rPr>
          <w:lang w:val="sl-SI"/>
        </w:rPr>
        <w:t>svojega</w:t>
      </w:r>
      <w:r w:rsidRPr="001048FE">
        <w:rPr>
          <w:spacing w:val="-17"/>
          <w:lang w:val="sl-SI"/>
        </w:rPr>
        <w:t xml:space="preserve"> </w:t>
      </w:r>
      <w:r w:rsidRPr="001048FE">
        <w:rPr>
          <w:lang w:val="sl-SI"/>
        </w:rPr>
        <w:t>strateškega</w:t>
      </w:r>
      <w:r w:rsidRPr="001048FE">
        <w:rPr>
          <w:spacing w:val="-17"/>
          <w:lang w:val="sl-SI"/>
        </w:rPr>
        <w:t xml:space="preserve"> </w:t>
      </w:r>
      <w:r w:rsidRPr="001048FE">
        <w:rPr>
          <w:lang w:val="sl-SI"/>
        </w:rPr>
        <w:t>partnerstva</w:t>
      </w:r>
      <w:r w:rsidRPr="001048FE">
        <w:rPr>
          <w:spacing w:val="-17"/>
          <w:lang w:val="sl-SI"/>
        </w:rPr>
        <w:t xml:space="preserve"> </w:t>
      </w:r>
      <w:r w:rsidRPr="001048FE">
        <w:rPr>
          <w:lang w:val="sl-SI"/>
        </w:rPr>
        <w:t>organizirajo</w:t>
      </w:r>
      <w:r w:rsidRPr="001048FE">
        <w:rPr>
          <w:spacing w:val="-16"/>
          <w:lang w:val="sl-SI"/>
        </w:rPr>
        <w:t xml:space="preserve"> </w:t>
      </w:r>
      <w:r w:rsidRPr="001048FE">
        <w:rPr>
          <w:lang w:val="sl-SI"/>
        </w:rPr>
        <w:t>mednarodna</w:t>
      </w:r>
      <w:r w:rsidRPr="001048FE">
        <w:rPr>
          <w:spacing w:val="-17"/>
          <w:lang w:val="sl-SI"/>
        </w:rPr>
        <w:t xml:space="preserve"> </w:t>
      </w:r>
      <w:r w:rsidRPr="001048FE">
        <w:rPr>
          <w:lang w:val="sl-SI"/>
        </w:rPr>
        <w:t>srečanja osebja</w:t>
      </w:r>
      <w:r w:rsidRPr="001048FE">
        <w:rPr>
          <w:spacing w:val="-14"/>
          <w:lang w:val="sl-SI"/>
        </w:rPr>
        <w:t xml:space="preserve"> </w:t>
      </w:r>
      <w:r w:rsidRPr="001048FE">
        <w:rPr>
          <w:lang w:val="sl-SI"/>
        </w:rPr>
        <w:t>za</w:t>
      </w:r>
      <w:r w:rsidRPr="001048FE">
        <w:rPr>
          <w:spacing w:val="-15"/>
          <w:lang w:val="sl-SI"/>
        </w:rPr>
        <w:t xml:space="preserve"> </w:t>
      </w:r>
      <w:r w:rsidRPr="001048FE">
        <w:rPr>
          <w:lang w:val="sl-SI"/>
        </w:rPr>
        <w:t>izmenjavo</w:t>
      </w:r>
      <w:r w:rsidRPr="001048FE">
        <w:rPr>
          <w:spacing w:val="-15"/>
          <w:lang w:val="sl-SI"/>
        </w:rPr>
        <w:t xml:space="preserve"> </w:t>
      </w:r>
      <w:r w:rsidRPr="001048FE">
        <w:rPr>
          <w:lang w:val="sl-SI"/>
        </w:rPr>
        <w:t>praks</w:t>
      </w:r>
      <w:r w:rsidRPr="001048FE">
        <w:rPr>
          <w:spacing w:val="-15"/>
          <w:lang w:val="sl-SI"/>
        </w:rPr>
        <w:t xml:space="preserve"> </w:t>
      </w:r>
      <w:r w:rsidRPr="001048FE">
        <w:rPr>
          <w:lang w:val="sl-SI"/>
        </w:rPr>
        <w:t>in</w:t>
      </w:r>
      <w:r w:rsidRPr="001048FE">
        <w:rPr>
          <w:spacing w:val="-15"/>
          <w:lang w:val="sl-SI"/>
        </w:rPr>
        <w:t xml:space="preserve"> </w:t>
      </w:r>
      <w:r w:rsidRPr="001048FE">
        <w:rPr>
          <w:lang w:val="sl-SI"/>
        </w:rPr>
        <w:t>zasnovo</w:t>
      </w:r>
      <w:r w:rsidRPr="001048FE">
        <w:rPr>
          <w:spacing w:val="-15"/>
          <w:lang w:val="sl-SI"/>
        </w:rPr>
        <w:t xml:space="preserve"> </w:t>
      </w:r>
      <w:r w:rsidRPr="001048FE">
        <w:rPr>
          <w:lang w:val="sl-SI"/>
        </w:rPr>
        <w:t>projekta</w:t>
      </w:r>
      <w:r w:rsidRPr="001048FE">
        <w:rPr>
          <w:spacing w:val="-15"/>
          <w:lang w:val="sl-SI"/>
        </w:rPr>
        <w:t xml:space="preserve"> </w:t>
      </w:r>
      <w:r w:rsidRPr="001048FE">
        <w:rPr>
          <w:lang w:val="sl-SI"/>
        </w:rPr>
        <w:t>ter</w:t>
      </w:r>
      <w:r w:rsidRPr="001048FE">
        <w:rPr>
          <w:spacing w:val="-15"/>
          <w:lang w:val="sl-SI"/>
        </w:rPr>
        <w:t xml:space="preserve"> </w:t>
      </w:r>
      <w:r w:rsidRPr="001048FE">
        <w:rPr>
          <w:lang w:val="sl-SI"/>
        </w:rPr>
        <w:t>izvajajo</w:t>
      </w:r>
      <w:r w:rsidRPr="001048FE">
        <w:rPr>
          <w:spacing w:val="-15"/>
          <w:lang w:val="sl-SI"/>
        </w:rPr>
        <w:t xml:space="preserve"> </w:t>
      </w:r>
      <w:r w:rsidRPr="001048FE">
        <w:rPr>
          <w:lang w:val="sl-SI"/>
        </w:rPr>
        <w:t>izobraževalni</w:t>
      </w:r>
      <w:r w:rsidRPr="001048FE">
        <w:rPr>
          <w:spacing w:val="-15"/>
          <w:lang w:val="sl-SI"/>
        </w:rPr>
        <w:t xml:space="preserve"> </w:t>
      </w:r>
      <w:r w:rsidRPr="001048FE">
        <w:rPr>
          <w:lang w:val="sl-SI"/>
        </w:rPr>
        <w:t>obisk</w:t>
      </w:r>
      <w:r w:rsidRPr="001048FE">
        <w:rPr>
          <w:spacing w:val="-14"/>
          <w:lang w:val="sl-SI"/>
        </w:rPr>
        <w:t xml:space="preserve"> </w:t>
      </w:r>
      <w:r w:rsidRPr="001048FE">
        <w:rPr>
          <w:lang w:val="sl-SI"/>
        </w:rPr>
        <w:t>na</w:t>
      </w:r>
      <w:r w:rsidRPr="001048FE">
        <w:rPr>
          <w:spacing w:val="-15"/>
          <w:lang w:val="sl-SI"/>
        </w:rPr>
        <w:t xml:space="preserve"> </w:t>
      </w:r>
      <w:r w:rsidRPr="001048FE">
        <w:rPr>
          <w:lang w:val="sl-SI"/>
        </w:rPr>
        <w:t>delovnem</w:t>
      </w:r>
      <w:r w:rsidRPr="001048FE">
        <w:rPr>
          <w:spacing w:val="-15"/>
          <w:lang w:val="sl-SI"/>
        </w:rPr>
        <w:t xml:space="preserve"> </w:t>
      </w:r>
      <w:r w:rsidRPr="001048FE">
        <w:rPr>
          <w:lang w:val="sl-SI"/>
        </w:rPr>
        <w:t>mestu</w:t>
      </w:r>
      <w:r w:rsidRPr="001048FE">
        <w:rPr>
          <w:spacing w:val="-15"/>
          <w:lang w:val="sl-SI"/>
        </w:rPr>
        <w:t xml:space="preserve"> </w:t>
      </w:r>
      <w:r w:rsidRPr="001048FE">
        <w:rPr>
          <w:lang w:val="sl-SI"/>
        </w:rPr>
        <w:t>in aktivnosti za poklicni razvoj mladinskih</w:t>
      </w:r>
      <w:r w:rsidRPr="001048FE">
        <w:rPr>
          <w:spacing w:val="-13"/>
          <w:lang w:val="sl-SI"/>
        </w:rPr>
        <w:t xml:space="preserve"> </w:t>
      </w:r>
      <w:r w:rsidRPr="001048FE">
        <w:rPr>
          <w:lang w:val="sl-SI"/>
        </w:rPr>
        <w:t>delavcev.</w:t>
      </w:r>
    </w:p>
    <w:p w14:paraId="7D39AA84" w14:textId="77777777" w:rsidR="00E15C84" w:rsidRPr="001048FE" w:rsidRDefault="00E15C84" w:rsidP="0009190F">
      <w:pPr>
        <w:pStyle w:val="GUIDE-NORMAL"/>
        <w:rPr>
          <w:lang w:val="sl-SI"/>
        </w:rPr>
      </w:pPr>
      <w:r w:rsidRPr="001048FE">
        <w:rPr>
          <w:lang w:val="sl-SI"/>
        </w:rPr>
        <w:t>Hkrati</w:t>
      </w:r>
      <w:r w:rsidRPr="001048FE">
        <w:rPr>
          <w:spacing w:val="-11"/>
          <w:lang w:val="sl-SI"/>
        </w:rPr>
        <w:t xml:space="preserve"> </w:t>
      </w:r>
      <w:r w:rsidRPr="001048FE">
        <w:rPr>
          <w:lang w:val="sl-SI"/>
        </w:rPr>
        <w:t>se</w:t>
      </w:r>
      <w:r w:rsidRPr="001048FE">
        <w:rPr>
          <w:spacing w:val="-11"/>
          <w:lang w:val="sl-SI"/>
        </w:rPr>
        <w:t xml:space="preserve"> </w:t>
      </w:r>
      <w:r w:rsidRPr="001048FE">
        <w:rPr>
          <w:lang w:val="sl-SI"/>
        </w:rPr>
        <w:t>izvede</w:t>
      </w:r>
      <w:r w:rsidRPr="001048FE">
        <w:rPr>
          <w:spacing w:val="-11"/>
          <w:lang w:val="sl-SI"/>
        </w:rPr>
        <w:t xml:space="preserve"> </w:t>
      </w:r>
      <w:r w:rsidRPr="001048FE">
        <w:rPr>
          <w:lang w:val="sl-SI"/>
        </w:rPr>
        <w:t>vrsta</w:t>
      </w:r>
      <w:r w:rsidRPr="001048FE">
        <w:rPr>
          <w:spacing w:val="-11"/>
          <w:lang w:val="sl-SI"/>
        </w:rPr>
        <w:t xml:space="preserve"> </w:t>
      </w:r>
      <w:r w:rsidRPr="001048FE">
        <w:rPr>
          <w:lang w:val="sl-SI"/>
        </w:rPr>
        <w:t>raziskav</w:t>
      </w:r>
      <w:r w:rsidRPr="001048FE">
        <w:rPr>
          <w:spacing w:val="-11"/>
          <w:lang w:val="sl-SI"/>
        </w:rPr>
        <w:t xml:space="preserve"> </w:t>
      </w:r>
      <w:r w:rsidRPr="001048FE">
        <w:rPr>
          <w:lang w:val="sl-SI"/>
        </w:rPr>
        <w:t>na</w:t>
      </w:r>
      <w:r w:rsidRPr="001048FE">
        <w:rPr>
          <w:spacing w:val="-11"/>
          <w:lang w:val="sl-SI"/>
        </w:rPr>
        <w:t xml:space="preserve"> </w:t>
      </w:r>
      <w:r w:rsidRPr="001048FE">
        <w:rPr>
          <w:lang w:val="sl-SI"/>
        </w:rPr>
        <w:t>področju</w:t>
      </w:r>
      <w:r w:rsidRPr="001048FE">
        <w:rPr>
          <w:spacing w:val="-11"/>
          <w:lang w:val="sl-SI"/>
        </w:rPr>
        <w:t xml:space="preserve"> </w:t>
      </w:r>
      <w:r w:rsidRPr="001048FE">
        <w:rPr>
          <w:lang w:val="sl-SI"/>
        </w:rPr>
        <w:t>in</w:t>
      </w:r>
      <w:r w:rsidRPr="001048FE">
        <w:rPr>
          <w:spacing w:val="-11"/>
          <w:lang w:val="sl-SI"/>
        </w:rPr>
        <w:t xml:space="preserve"> </w:t>
      </w:r>
      <w:r w:rsidRPr="001048FE">
        <w:rPr>
          <w:lang w:val="sl-SI"/>
        </w:rPr>
        <w:t>o</w:t>
      </w:r>
      <w:r w:rsidRPr="001048FE">
        <w:rPr>
          <w:spacing w:val="-10"/>
          <w:lang w:val="sl-SI"/>
        </w:rPr>
        <w:t xml:space="preserve"> </w:t>
      </w:r>
      <w:r w:rsidRPr="001048FE">
        <w:rPr>
          <w:lang w:val="sl-SI"/>
        </w:rPr>
        <w:t>njih</w:t>
      </w:r>
      <w:r w:rsidRPr="001048FE">
        <w:rPr>
          <w:spacing w:val="-11"/>
          <w:lang w:val="sl-SI"/>
        </w:rPr>
        <w:t xml:space="preserve"> </w:t>
      </w:r>
      <w:r w:rsidRPr="001048FE">
        <w:rPr>
          <w:lang w:val="sl-SI"/>
        </w:rPr>
        <w:t>se</w:t>
      </w:r>
      <w:r w:rsidRPr="001048FE">
        <w:rPr>
          <w:spacing w:val="-11"/>
          <w:lang w:val="sl-SI"/>
        </w:rPr>
        <w:t xml:space="preserve"> </w:t>
      </w:r>
      <w:r w:rsidRPr="001048FE">
        <w:rPr>
          <w:lang w:val="sl-SI"/>
        </w:rPr>
        <w:t>razpravlja</w:t>
      </w:r>
      <w:r w:rsidRPr="001048FE">
        <w:rPr>
          <w:spacing w:val="-11"/>
          <w:lang w:val="sl-SI"/>
        </w:rPr>
        <w:t xml:space="preserve"> </w:t>
      </w:r>
      <w:r w:rsidRPr="001048FE">
        <w:rPr>
          <w:lang w:val="sl-SI"/>
        </w:rPr>
        <w:t>na</w:t>
      </w:r>
      <w:r w:rsidRPr="001048FE">
        <w:rPr>
          <w:spacing w:val="-11"/>
          <w:lang w:val="sl-SI"/>
        </w:rPr>
        <w:t xml:space="preserve"> </w:t>
      </w:r>
      <w:r w:rsidRPr="001048FE">
        <w:rPr>
          <w:lang w:val="sl-SI"/>
        </w:rPr>
        <w:t>mednarodnem</w:t>
      </w:r>
      <w:r w:rsidRPr="001048FE">
        <w:rPr>
          <w:spacing w:val="-11"/>
          <w:lang w:val="sl-SI"/>
        </w:rPr>
        <w:t xml:space="preserve"> </w:t>
      </w:r>
      <w:r w:rsidRPr="001048FE">
        <w:rPr>
          <w:lang w:val="sl-SI"/>
        </w:rPr>
        <w:t>srečanju,</w:t>
      </w:r>
      <w:r w:rsidRPr="001048FE">
        <w:rPr>
          <w:spacing w:val="-11"/>
          <w:lang w:val="sl-SI"/>
        </w:rPr>
        <w:t xml:space="preserve"> </w:t>
      </w:r>
      <w:r w:rsidRPr="001048FE">
        <w:rPr>
          <w:lang w:val="sl-SI"/>
        </w:rPr>
        <w:t>kjer</w:t>
      </w:r>
      <w:r w:rsidRPr="001048FE">
        <w:rPr>
          <w:spacing w:val="-11"/>
          <w:lang w:val="sl-SI"/>
        </w:rPr>
        <w:t xml:space="preserve"> </w:t>
      </w:r>
      <w:r w:rsidRPr="001048FE">
        <w:rPr>
          <w:lang w:val="sl-SI"/>
        </w:rPr>
        <w:t>se oblikuje končni priročnik ter načrtujeta preskušanje in ocenjevanje izboljšane metode. Da se zagotovi trajnost in razširjanje rezultatov projekta, strateško partnerstvo predvideva konference na lokalni, nacionalni in evropski ravni ter oblikuje skupno strategijo nadaljnjega</w:t>
      </w:r>
      <w:r w:rsidRPr="001048FE">
        <w:rPr>
          <w:spacing w:val="-16"/>
          <w:lang w:val="sl-SI"/>
        </w:rPr>
        <w:t xml:space="preserve"> </w:t>
      </w:r>
      <w:r w:rsidRPr="001048FE">
        <w:rPr>
          <w:lang w:val="sl-SI"/>
        </w:rPr>
        <w:t>spremljanja.</w:t>
      </w:r>
    </w:p>
    <w:p w14:paraId="7D39AA85" w14:textId="77777777" w:rsidR="00E15C84" w:rsidRPr="001048FE" w:rsidRDefault="00E15C84" w:rsidP="00D60A64">
      <w:pPr>
        <w:pStyle w:val="Guide-Heading4"/>
        <w:rPr>
          <w:lang w:val="sl-SI"/>
        </w:rPr>
      </w:pPr>
      <w:bookmarkStart w:id="721" w:name="_Toc527401359"/>
      <w:r w:rsidRPr="001048FE">
        <w:rPr>
          <w:lang w:val="sl-SI"/>
        </w:rPr>
        <w:t>Prosto dostopni učni viri (PDUV)</w:t>
      </w:r>
      <w:bookmarkEnd w:id="721"/>
    </w:p>
    <w:p w14:paraId="7D39AA86" w14:textId="77777777" w:rsidR="00E15C84" w:rsidRPr="001048FE" w:rsidRDefault="00E15C84" w:rsidP="0009190F">
      <w:pPr>
        <w:pStyle w:val="GUIDE-NORMAL"/>
        <w:rPr>
          <w:lang w:val="sl-SI"/>
        </w:rPr>
      </w:pPr>
      <w:r w:rsidRPr="001048FE">
        <w:rPr>
          <w:lang w:val="sl-SI"/>
        </w:rPr>
        <w:t>Gasilci lahko umrejo ali se poškodujejo ob odzivu na požare v gorečih zgradbah. Praktična usposabljanja, ki so posebej prilagojena obravnavanju kritičnih primerov v gorečih zgradbah, bi lahko preprečila smrtne nezgode. Strateško partnerstvo ustvari učni paket, ki temelji na najsodobnejši metodologiji in tehnologiji. Končni rezultat je kombiniran program e-učenja, ki zagotavlja dodatno usposabljanje v gasilski strategiji in taktiko za obravnavanje začetne faze ukrepanja ter ustvarjanje zmogljivosti za zgodnji in učinkovit odziv v sili. E-učenje se združuje s praktičnimi vajami. Strateško partnerstvo vključuje gasilske in rešilne službe, javne organe, ki so odgovorni za javno varnost, in seveda ponudnike PIU.</w:t>
      </w:r>
    </w:p>
    <w:p w14:paraId="7D39AA87" w14:textId="77777777" w:rsidR="00E15C84" w:rsidRPr="001048FE" w:rsidRDefault="00E15C84" w:rsidP="00D60A64">
      <w:pPr>
        <w:pStyle w:val="Guide-Heading4"/>
        <w:rPr>
          <w:lang w:val="sl-SI"/>
        </w:rPr>
      </w:pPr>
      <w:bookmarkStart w:id="722" w:name="_Toc527401360"/>
      <w:r w:rsidRPr="001048FE">
        <w:rPr>
          <w:lang w:val="sl-SI"/>
        </w:rPr>
        <w:t>Aktivna udeležba mladih v družbi</w:t>
      </w:r>
      <w:bookmarkEnd w:id="722"/>
    </w:p>
    <w:p w14:paraId="7D39AA88" w14:textId="77777777" w:rsidR="00E15C84" w:rsidRPr="001048FE" w:rsidRDefault="00E15C84" w:rsidP="0009190F">
      <w:pPr>
        <w:pStyle w:val="GUIDE-NORMAL"/>
        <w:rPr>
          <w:lang w:val="sl-SI"/>
        </w:rPr>
      </w:pPr>
      <w:r w:rsidRPr="001048FE">
        <w:rPr>
          <w:lang w:val="sl-SI"/>
        </w:rPr>
        <w:t>Tri šole v srednješolskem izobraževanju s Finske, Nemčije in Nizozemske se najdejo na platformi eTwinning, ker vse zanima razvoj projekta o demokraciji v šoli. Tri šole se odločijo, da se bodo prijavile za dodelitev nepovratnih sredstev v okviru strateškega partnerstva. Cilj projekta je razviti vodstvo</w:t>
      </w:r>
      <w:r w:rsidRPr="001048FE">
        <w:rPr>
          <w:spacing w:val="22"/>
          <w:lang w:val="sl-SI"/>
        </w:rPr>
        <w:t xml:space="preserve"> </w:t>
      </w:r>
      <w:r w:rsidRPr="001048FE">
        <w:rPr>
          <w:lang w:val="sl-SI"/>
        </w:rPr>
        <w:t>šol</w:t>
      </w:r>
      <w:r w:rsidRPr="001048FE">
        <w:rPr>
          <w:spacing w:val="22"/>
          <w:lang w:val="sl-SI"/>
        </w:rPr>
        <w:t xml:space="preserve"> </w:t>
      </w:r>
      <w:r w:rsidRPr="001048FE">
        <w:rPr>
          <w:lang w:val="sl-SI"/>
        </w:rPr>
        <w:t>z</w:t>
      </w:r>
      <w:r w:rsidRPr="001048FE">
        <w:rPr>
          <w:spacing w:val="22"/>
          <w:lang w:val="sl-SI"/>
        </w:rPr>
        <w:t xml:space="preserve"> </w:t>
      </w:r>
      <w:r w:rsidRPr="001048FE">
        <w:rPr>
          <w:lang w:val="sl-SI"/>
        </w:rPr>
        <w:t>vključevanjem</w:t>
      </w:r>
      <w:r w:rsidRPr="001048FE">
        <w:rPr>
          <w:spacing w:val="22"/>
          <w:lang w:val="sl-SI"/>
        </w:rPr>
        <w:t xml:space="preserve"> </w:t>
      </w:r>
      <w:r w:rsidRPr="001048FE">
        <w:rPr>
          <w:lang w:val="sl-SI"/>
        </w:rPr>
        <w:t>učiteljev,</w:t>
      </w:r>
      <w:r w:rsidRPr="001048FE">
        <w:rPr>
          <w:spacing w:val="22"/>
          <w:lang w:val="sl-SI"/>
        </w:rPr>
        <w:t xml:space="preserve"> </w:t>
      </w:r>
      <w:r w:rsidRPr="001048FE">
        <w:rPr>
          <w:lang w:val="sl-SI"/>
        </w:rPr>
        <w:t>dijakov</w:t>
      </w:r>
      <w:r w:rsidRPr="001048FE">
        <w:rPr>
          <w:spacing w:val="22"/>
          <w:lang w:val="sl-SI"/>
        </w:rPr>
        <w:t xml:space="preserve"> </w:t>
      </w:r>
      <w:r w:rsidRPr="001048FE">
        <w:rPr>
          <w:lang w:val="sl-SI"/>
        </w:rPr>
        <w:t>in</w:t>
      </w:r>
      <w:r w:rsidRPr="001048FE">
        <w:rPr>
          <w:spacing w:val="22"/>
          <w:lang w:val="sl-SI"/>
        </w:rPr>
        <w:t xml:space="preserve"> </w:t>
      </w:r>
      <w:r w:rsidRPr="001048FE">
        <w:rPr>
          <w:lang w:val="sl-SI"/>
        </w:rPr>
        <w:t>tudi</w:t>
      </w:r>
      <w:r w:rsidRPr="001048FE">
        <w:rPr>
          <w:spacing w:val="22"/>
          <w:lang w:val="sl-SI"/>
        </w:rPr>
        <w:t xml:space="preserve"> </w:t>
      </w:r>
      <w:r w:rsidRPr="001048FE">
        <w:rPr>
          <w:lang w:val="sl-SI"/>
        </w:rPr>
        <w:t>staršev</w:t>
      </w:r>
      <w:r w:rsidRPr="001048FE">
        <w:rPr>
          <w:spacing w:val="22"/>
          <w:lang w:val="sl-SI"/>
        </w:rPr>
        <w:t xml:space="preserve"> </w:t>
      </w:r>
      <w:r w:rsidRPr="001048FE">
        <w:rPr>
          <w:lang w:val="sl-SI"/>
        </w:rPr>
        <w:t>v</w:t>
      </w:r>
      <w:r w:rsidRPr="001048FE">
        <w:rPr>
          <w:spacing w:val="22"/>
          <w:lang w:val="sl-SI"/>
        </w:rPr>
        <w:t xml:space="preserve"> </w:t>
      </w:r>
      <w:r w:rsidRPr="001048FE">
        <w:rPr>
          <w:lang w:val="sl-SI"/>
        </w:rPr>
        <w:t>odločanje</w:t>
      </w:r>
      <w:r w:rsidRPr="001048FE">
        <w:rPr>
          <w:spacing w:val="25"/>
          <w:lang w:val="sl-SI"/>
        </w:rPr>
        <w:t xml:space="preserve"> </w:t>
      </w:r>
      <w:r w:rsidRPr="001048FE">
        <w:rPr>
          <w:lang w:val="sl-SI"/>
        </w:rPr>
        <w:t>na</w:t>
      </w:r>
      <w:r w:rsidRPr="001048FE">
        <w:rPr>
          <w:spacing w:val="22"/>
          <w:lang w:val="sl-SI"/>
        </w:rPr>
        <w:t xml:space="preserve"> </w:t>
      </w:r>
      <w:r w:rsidRPr="001048FE">
        <w:rPr>
          <w:lang w:val="sl-SI"/>
        </w:rPr>
        <w:t>šoli.</w:t>
      </w:r>
      <w:r w:rsidRPr="001048FE">
        <w:rPr>
          <w:spacing w:val="22"/>
          <w:lang w:val="sl-SI"/>
        </w:rPr>
        <w:t xml:space="preserve"> </w:t>
      </w:r>
      <w:r w:rsidRPr="001048FE">
        <w:rPr>
          <w:lang w:val="sl-SI"/>
        </w:rPr>
        <w:t>Projekt</w:t>
      </w:r>
      <w:r w:rsidRPr="001048FE">
        <w:rPr>
          <w:spacing w:val="22"/>
          <w:lang w:val="sl-SI"/>
        </w:rPr>
        <w:t xml:space="preserve"> </w:t>
      </w:r>
      <w:r w:rsidRPr="001048FE">
        <w:rPr>
          <w:lang w:val="sl-SI"/>
        </w:rPr>
        <w:t>traja</w:t>
      </w:r>
      <w:r w:rsidRPr="001048FE">
        <w:rPr>
          <w:spacing w:val="22"/>
          <w:lang w:val="sl-SI"/>
        </w:rPr>
        <w:t xml:space="preserve"> </w:t>
      </w:r>
      <w:r w:rsidRPr="001048FE">
        <w:rPr>
          <w:lang w:val="sl-SI"/>
        </w:rPr>
        <w:t>tri</w:t>
      </w:r>
      <w:r w:rsidRPr="001048FE">
        <w:rPr>
          <w:spacing w:val="22"/>
          <w:lang w:val="sl-SI"/>
        </w:rPr>
        <w:t xml:space="preserve"> </w:t>
      </w:r>
      <w:r w:rsidRPr="001048FE">
        <w:rPr>
          <w:lang w:val="sl-SI"/>
        </w:rPr>
        <w:t>leta in</w:t>
      </w:r>
      <w:r w:rsidRPr="001048FE">
        <w:rPr>
          <w:spacing w:val="-14"/>
          <w:lang w:val="sl-SI"/>
        </w:rPr>
        <w:t xml:space="preserve"> </w:t>
      </w:r>
      <w:r w:rsidRPr="001048FE">
        <w:rPr>
          <w:lang w:val="sl-SI"/>
        </w:rPr>
        <w:t>vsako</w:t>
      </w:r>
      <w:r w:rsidRPr="001048FE">
        <w:rPr>
          <w:spacing w:val="-14"/>
          <w:lang w:val="sl-SI"/>
        </w:rPr>
        <w:t xml:space="preserve"> </w:t>
      </w:r>
      <w:r w:rsidRPr="001048FE">
        <w:rPr>
          <w:lang w:val="sl-SI"/>
        </w:rPr>
        <w:t>leto</w:t>
      </w:r>
      <w:r w:rsidRPr="001048FE">
        <w:rPr>
          <w:spacing w:val="-14"/>
          <w:lang w:val="sl-SI"/>
        </w:rPr>
        <w:t xml:space="preserve"> </w:t>
      </w:r>
      <w:r w:rsidRPr="001048FE">
        <w:rPr>
          <w:lang w:val="sl-SI"/>
        </w:rPr>
        <w:t>sodelujoče</w:t>
      </w:r>
      <w:r w:rsidRPr="001048FE">
        <w:rPr>
          <w:spacing w:val="-14"/>
          <w:lang w:val="sl-SI"/>
        </w:rPr>
        <w:t xml:space="preserve"> </w:t>
      </w:r>
      <w:r w:rsidRPr="001048FE">
        <w:rPr>
          <w:lang w:val="sl-SI"/>
        </w:rPr>
        <w:t>šole</w:t>
      </w:r>
      <w:r w:rsidRPr="001048FE">
        <w:rPr>
          <w:spacing w:val="-14"/>
          <w:lang w:val="sl-SI"/>
        </w:rPr>
        <w:t xml:space="preserve"> </w:t>
      </w:r>
      <w:r w:rsidRPr="001048FE">
        <w:rPr>
          <w:lang w:val="sl-SI"/>
        </w:rPr>
        <w:t>proučijo,</w:t>
      </w:r>
      <w:r w:rsidRPr="001048FE">
        <w:rPr>
          <w:spacing w:val="-14"/>
          <w:lang w:val="sl-SI"/>
        </w:rPr>
        <w:t xml:space="preserve"> </w:t>
      </w:r>
      <w:r w:rsidRPr="001048FE">
        <w:rPr>
          <w:lang w:val="sl-SI"/>
        </w:rPr>
        <w:t>kako</w:t>
      </w:r>
      <w:r w:rsidRPr="001048FE">
        <w:rPr>
          <w:spacing w:val="-14"/>
          <w:lang w:val="sl-SI"/>
        </w:rPr>
        <w:t xml:space="preserve"> </w:t>
      </w:r>
      <w:r w:rsidRPr="001048FE">
        <w:rPr>
          <w:lang w:val="sl-SI"/>
        </w:rPr>
        <w:t>je</w:t>
      </w:r>
      <w:r w:rsidRPr="001048FE">
        <w:rPr>
          <w:spacing w:val="-14"/>
          <w:lang w:val="sl-SI"/>
        </w:rPr>
        <w:t xml:space="preserve"> </w:t>
      </w:r>
      <w:r w:rsidRPr="001048FE">
        <w:rPr>
          <w:lang w:val="sl-SI"/>
        </w:rPr>
        <w:t>vsaka</w:t>
      </w:r>
      <w:r w:rsidRPr="001048FE">
        <w:rPr>
          <w:spacing w:val="-14"/>
          <w:lang w:val="sl-SI"/>
        </w:rPr>
        <w:t xml:space="preserve"> </w:t>
      </w:r>
      <w:r w:rsidRPr="001048FE">
        <w:rPr>
          <w:lang w:val="sl-SI"/>
        </w:rPr>
        <w:t>od</w:t>
      </w:r>
      <w:r w:rsidRPr="001048FE">
        <w:rPr>
          <w:spacing w:val="-13"/>
          <w:lang w:val="sl-SI"/>
        </w:rPr>
        <w:t xml:space="preserve"> </w:t>
      </w:r>
      <w:r w:rsidRPr="001048FE">
        <w:rPr>
          <w:lang w:val="sl-SI"/>
        </w:rPr>
        <w:t>teh</w:t>
      </w:r>
      <w:r w:rsidRPr="001048FE">
        <w:rPr>
          <w:spacing w:val="-14"/>
          <w:lang w:val="sl-SI"/>
        </w:rPr>
        <w:t xml:space="preserve"> </w:t>
      </w:r>
      <w:r w:rsidRPr="001048FE">
        <w:rPr>
          <w:lang w:val="sl-SI"/>
        </w:rPr>
        <w:t>skupin</w:t>
      </w:r>
      <w:r w:rsidRPr="001048FE">
        <w:rPr>
          <w:spacing w:val="-14"/>
          <w:lang w:val="sl-SI"/>
        </w:rPr>
        <w:t xml:space="preserve"> </w:t>
      </w:r>
      <w:r w:rsidRPr="001048FE">
        <w:rPr>
          <w:lang w:val="sl-SI"/>
        </w:rPr>
        <w:t>trenutno</w:t>
      </w:r>
      <w:r w:rsidRPr="001048FE">
        <w:rPr>
          <w:spacing w:val="-14"/>
          <w:lang w:val="sl-SI"/>
        </w:rPr>
        <w:t xml:space="preserve"> </w:t>
      </w:r>
      <w:r w:rsidRPr="001048FE">
        <w:rPr>
          <w:lang w:val="sl-SI"/>
        </w:rPr>
        <w:t>vključena</w:t>
      </w:r>
      <w:r w:rsidRPr="001048FE">
        <w:rPr>
          <w:spacing w:val="-14"/>
          <w:lang w:val="sl-SI"/>
        </w:rPr>
        <w:t xml:space="preserve"> </w:t>
      </w:r>
      <w:r w:rsidRPr="001048FE">
        <w:rPr>
          <w:lang w:val="sl-SI"/>
        </w:rPr>
        <w:t>v</w:t>
      </w:r>
      <w:r w:rsidRPr="001048FE">
        <w:rPr>
          <w:spacing w:val="-14"/>
          <w:lang w:val="sl-SI"/>
        </w:rPr>
        <w:t xml:space="preserve"> </w:t>
      </w:r>
      <w:r w:rsidRPr="001048FE">
        <w:rPr>
          <w:lang w:val="sl-SI"/>
        </w:rPr>
        <w:t>odločanje</w:t>
      </w:r>
      <w:r w:rsidRPr="001048FE">
        <w:rPr>
          <w:spacing w:val="-13"/>
          <w:lang w:val="sl-SI"/>
        </w:rPr>
        <w:t xml:space="preserve"> </w:t>
      </w:r>
      <w:r w:rsidRPr="001048FE">
        <w:rPr>
          <w:lang w:val="sl-SI"/>
        </w:rPr>
        <w:t>na šoli in kako bi se lahko realistično izboljšala njihova udeležba na podlagi informacij, ki jih dobijo od svojih</w:t>
      </w:r>
      <w:r w:rsidRPr="001048FE">
        <w:rPr>
          <w:spacing w:val="-2"/>
          <w:lang w:val="sl-SI"/>
        </w:rPr>
        <w:t xml:space="preserve"> </w:t>
      </w:r>
      <w:r w:rsidRPr="001048FE">
        <w:rPr>
          <w:lang w:val="sl-SI"/>
        </w:rPr>
        <w:t>partnerjev.</w:t>
      </w:r>
    </w:p>
    <w:p w14:paraId="7D39AA89" w14:textId="77777777" w:rsidR="00E15C84" w:rsidRPr="001048FE" w:rsidRDefault="00E15C84" w:rsidP="0009190F">
      <w:pPr>
        <w:pStyle w:val="GUIDE-NORMAL"/>
        <w:rPr>
          <w:lang w:val="sl-SI"/>
        </w:rPr>
      </w:pPr>
      <w:r w:rsidRPr="001048FE">
        <w:rPr>
          <w:lang w:val="sl-SI"/>
        </w:rPr>
        <w:t>Vodstvo šol, učitelji in starši podpirajo projekt in so aktivno vključeni vanj. Sodelujoči dijaki razvijejo svojo samostojnost in sposobnosti kritičnega razmišljanja ter razumevanje konceptov, kot so svoboda, pravice in obveznosti. Premislijo tudi o tem, kako lahko prispevajo, da bo njihova šola ustreznejša zanje. V vseh aktivnostih projekta imajo dijaki priložnost, da izrazijo svoja mnenja, poslušajo mnenja drugih, razpravljajo z uporabo ustreznih argumentov in pojasnjujejo odločitve z utemeljenimi razlogi.</w:t>
      </w:r>
    </w:p>
    <w:p w14:paraId="7D39AA8A" w14:textId="77777777" w:rsidR="00E15C84" w:rsidRPr="001048FE" w:rsidRDefault="00E15C84" w:rsidP="0009190F">
      <w:pPr>
        <w:pStyle w:val="GUIDE-NORMAL"/>
        <w:rPr>
          <w:lang w:val="sl-SI"/>
        </w:rPr>
      </w:pPr>
      <w:r w:rsidRPr="001048FE">
        <w:rPr>
          <w:lang w:val="sl-SI"/>
        </w:rPr>
        <w:t>Aktivnosti projekta se izvajajo prek spletne učilnice na portalu eTwinning in srečanj v živo, ki se jih udeležijo skupine dijakov z učitelji iz vsake šole. Srečanj se udeležijo tudi vodstvo šole in predstavniki staršev.</w:t>
      </w:r>
    </w:p>
    <w:p w14:paraId="7D39AA8B" w14:textId="77777777" w:rsidR="00E15C84" w:rsidRPr="001048FE" w:rsidRDefault="00E15C84" w:rsidP="0009190F">
      <w:pPr>
        <w:pStyle w:val="GUIDE-NORMAL"/>
        <w:rPr>
          <w:lang w:val="sl-SI"/>
        </w:rPr>
      </w:pPr>
      <w:r w:rsidRPr="001048FE">
        <w:rPr>
          <w:lang w:val="sl-SI"/>
        </w:rPr>
        <w:t>V obdobju med srečanji partnerji tudi uporabljajo spletišče eTwinning, da sodelujejo pri razvoju aktivnosti projekta, razpravljajo in si izmenjujejo vire. Dijaki pišejo skupni spletni dnevnik, kjer objavljajo fotografije, najnovejše informacije o aktivnostih projekta, mnenja in premišljevanja o temah, ki jih obravnavajo. Spletni dnevnik, načrti poučevanja in učna gradiva, ki so bili razviti s projektom, ter nekatera dela dijakov so objavljeni na platformi eTwinning in so kot vir na voljo za druge, ki želijo izvesti podoben projekt.</w:t>
      </w:r>
    </w:p>
    <w:p w14:paraId="7D39AA8C" w14:textId="77777777" w:rsidR="00E15C84" w:rsidRPr="001048FE" w:rsidRDefault="00E15C84" w:rsidP="00D60A64">
      <w:pPr>
        <w:pStyle w:val="Guide-Heading4"/>
        <w:rPr>
          <w:lang w:val="sl-SI"/>
        </w:rPr>
      </w:pPr>
      <w:bookmarkStart w:id="723" w:name="_Toc527401361"/>
      <w:r w:rsidRPr="001048FE">
        <w:rPr>
          <w:lang w:val="sl-SI"/>
        </w:rPr>
        <w:t>Prečne spretnosti/osnovna znanja</w:t>
      </w:r>
      <w:bookmarkEnd w:id="723"/>
    </w:p>
    <w:p w14:paraId="7D39AA8D" w14:textId="77777777" w:rsidR="00E15C84" w:rsidRPr="001048FE" w:rsidRDefault="00E15C84" w:rsidP="0009190F">
      <w:pPr>
        <w:pStyle w:val="GUIDE-NORMAL"/>
        <w:rPr>
          <w:lang w:val="sl-SI"/>
        </w:rPr>
      </w:pPr>
      <w:r w:rsidRPr="001048FE">
        <w:rPr>
          <w:lang w:val="sl-SI"/>
        </w:rPr>
        <w:t>Organizacije v izobraževanju odraslih v sodelovanju z lokalnimi/regionalnimi organi in socialnimi partnerji razvijejo posodobljene določbe usposabljanja z uporabo novih in ustreznih metodologij usposabljanja ter virov, da bi izboljšale znanje računanja in finančno pismenost skupin odraslih z manj</w:t>
      </w:r>
      <w:r w:rsidRPr="001048FE">
        <w:rPr>
          <w:spacing w:val="-9"/>
          <w:lang w:val="sl-SI"/>
        </w:rPr>
        <w:t xml:space="preserve"> </w:t>
      </w:r>
      <w:r w:rsidRPr="001048FE">
        <w:rPr>
          <w:lang w:val="sl-SI"/>
        </w:rPr>
        <w:t>priložnostmi</w:t>
      </w:r>
      <w:r w:rsidRPr="001048FE">
        <w:rPr>
          <w:spacing w:val="-9"/>
          <w:lang w:val="sl-SI"/>
        </w:rPr>
        <w:t xml:space="preserve"> </w:t>
      </w:r>
      <w:r w:rsidRPr="001048FE">
        <w:rPr>
          <w:lang w:val="sl-SI"/>
        </w:rPr>
        <w:t>(priseljenci,</w:t>
      </w:r>
      <w:r w:rsidRPr="001048FE">
        <w:rPr>
          <w:spacing w:val="-9"/>
          <w:lang w:val="sl-SI"/>
        </w:rPr>
        <w:t xml:space="preserve"> </w:t>
      </w:r>
      <w:r w:rsidRPr="001048FE">
        <w:rPr>
          <w:lang w:val="sl-SI"/>
        </w:rPr>
        <w:t>osebe</w:t>
      </w:r>
      <w:r w:rsidRPr="001048FE">
        <w:rPr>
          <w:spacing w:val="-8"/>
          <w:lang w:val="sl-SI"/>
        </w:rPr>
        <w:t xml:space="preserve"> </w:t>
      </w:r>
      <w:r w:rsidRPr="001048FE">
        <w:rPr>
          <w:lang w:val="sl-SI"/>
        </w:rPr>
        <w:t>z</w:t>
      </w:r>
      <w:r w:rsidRPr="001048FE">
        <w:rPr>
          <w:spacing w:val="-9"/>
          <w:lang w:val="sl-SI"/>
        </w:rPr>
        <w:t xml:space="preserve"> </w:t>
      </w:r>
      <w:r w:rsidRPr="001048FE">
        <w:rPr>
          <w:lang w:val="sl-SI"/>
        </w:rPr>
        <w:t>nizkimi</w:t>
      </w:r>
      <w:r w:rsidRPr="001048FE">
        <w:rPr>
          <w:spacing w:val="-9"/>
          <w:lang w:val="sl-SI"/>
        </w:rPr>
        <w:t xml:space="preserve"> </w:t>
      </w:r>
      <w:r w:rsidRPr="001048FE">
        <w:rPr>
          <w:lang w:val="sl-SI"/>
        </w:rPr>
        <w:t>kvalifikacijami,</w:t>
      </w:r>
      <w:r w:rsidRPr="001048FE">
        <w:rPr>
          <w:spacing w:val="-9"/>
          <w:lang w:val="sl-SI"/>
        </w:rPr>
        <w:t xml:space="preserve"> </w:t>
      </w:r>
      <w:r w:rsidRPr="001048FE">
        <w:rPr>
          <w:lang w:val="sl-SI"/>
        </w:rPr>
        <w:t>osebe</w:t>
      </w:r>
      <w:r w:rsidRPr="001048FE">
        <w:rPr>
          <w:spacing w:val="-8"/>
          <w:lang w:val="sl-SI"/>
        </w:rPr>
        <w:t xml:space="preserve"> </w:t>
      </w:r>
      <w:r w:rsidRPr="001048FE">
        <w:rPr>
          <w:lang w:val="sl-SI"/>
        </w:rPr>
        <w:t>z</w:t>
      </w:r>
      <w:r w:rsidRPr="001048FE">
        <w:rPr>
          <w:spacing w:val="-9"/>
          <w:lang w:val="sl-SI"/>
        </w:rPr>
        <w:t xml:space="preserve"> </w:t>
      </w:r>
      <w:r w:rsidRPr="001048FE">
        <w:rPr>
          <w:lang w:val="sl-SI"/>
        </w:rPr>
        <w:t>manj</w:t>
      </w:r>
      <w:r w:rsidRPr="001048FE">
        <w:rPr>
          <w:spacing w:val="-9"/>
          <w:lang w:val="sl-SI"/>
        </w:rPr>
        <w:t xml:space="preserve"> </w:t>
      </w:r>
      <w:r w:rsidRPr="001048FE">
        <w:rPr>
          <w:lang w:val="sl-SI"/>
        </w:rPr>
        <w:t>priložnostmi</w:t>
      </w:r>
      <w:r w:rsidRPr="001048FE">
        <w:rPr>
          <w:spacing w:val="-9"/>
          <w:lang w:val="sl-SI"/>
        </w:rPr>
        <w:t xml:space="preserve"> </w:t>
      </w:r>
      <w:r w:rsidRPr="001048FE">
        <w:rPr>
          <w:lang w:val="sl-SI"/>
        </w:rPr>
        <w:t>na</w:t>
      </w:r>
      <w:r w:rsidRPr="001048FE">
        <w:rPr>
          <w:spacing w:val="-9"/>
          <w:lang w:val="sl-SI"/>
        </w:rPr>
        <w:t xml:space="preserve"> </w:t>
      </w:r>
      <w:r w:rsidRPr="001048FE">
        <w:rPr>
          <w:lang w:val="sl-SI"/>
        </w:rPr>
        <w:t>socialno- ekonomskem</w:t>
      </w:r>
      <w:r w:rsidRPr="001048FE">
        <w:rPr>
          <w:spacing w:val="-9"/>
          <w:lang w:val="sl-SI"/>
        </w:rPr>
        <w:t xml:space="preserve"> </w:t>
      </w:r>
      <w:r w:rsidRPr="001048FE">
        <w:rPr>
          <w:lang w:val="sl-SI"/>
        </w:rPr>
        <w:t>področju</w:t>
      </w:r>
      <w:r w:rsidRPr="001048FE">
        <w:rPr>
          <w:spacing w:val="-9"/>
          <w:lang w:val="sl-SI"/>
        </w:rPr>
        <w:t xml:space="preserve"> </w:t>
      </w:r>
      <w:r w:rsidRPr="001048FE">
        <w:rPr>
          <w:lang w:val="sl-SI"/>
        </w:rPr>
        <w:t>itd.).</w:t>
      </w:r>
      <w:r w:rsidRPr="001048FE">
        <w:rPr>
          <w:spacing w:val="-9"/>
          <w:lang w:val="sl-SI"/>
        </w:rPr>
        <w:t xml:space="preserve"> </w:t>
      </w:r>
      <w:r w:rsidRPr="001048FE">
        <w:rPr>
          <w:lang w:val="sl-SI"/>
        </w:rPr>
        <w:t>Realizacije,</w:t>
      </w:r>
      <w:r w:rsidRPr="001048FE">
        <w:rPr>
          <w:spacing w:val="-9"/>
          <w:lang w:val="sl-SI"/>
        </w:rPr>
        <w:t xml:space="preserve"> </w:t>
      </w:r>
      <w:r w:rsidRPr="001048FE">
        <w:rPr>
          <w:lang w:val="sl-SI"/>
        </w:rPr>
        <w:t>kot</w:t>
      </w:r>
      <w:r w:rsidRPr="001048FE">
        <w:rPr>
          <w:spacing w:val="-9"/>
          <w:lang w:val="sl-SI"/>
        </w:rPr>
        <w:t xml:space="preserve"> </w:t>
      </w:r>
      <w:r w:rsidRPr="001048FE">
        <w:rPr>
          <w:lang w:val="sl-SI"/>
        </w:rPr>
        <w:t>so</w:t>
      </w:r>
      <w:r w:rsidRPr="001048FE">
        <w:rPr>
          <w:spacing w:val="-9"/>
          <w:lang w:val="sl-SI"/>
        </w:rPr>
        <w:t xml:space="preserve"> </w:t>
      </w:r>
      <w:r w:rsidRPr="001048FE">
        <w:rPr>
          <w:lang w:val="sl-SI"/>
        </w:rPr>
        <w:t>učni</w:t>
      </w:r>
      <w:r w:rsidRPr="001048FE">
        <w:rPr>
          <w:spacing w:val="-9"/>
          <w:lang w:val="sl-SI"/>
        </w:rPr>
        <w:t xml:space="preserve"> </w:t>
      </w:r>
      <w:r w:rsidRPr="001048FE">
        <w:rPr>
          <w:lang w:val="sl-SI"/>
        </w:rPr>
        <w:t>načrti,</w:t>
      </w:r>
      <w:r w:rsidRPr="001048FE">
        <w:rPr>
          <w:spacing w:val="-9"/>
          <w:lang w:val="sl-SI"/>
        </w:rPr>
        <w:t xml:space="preserve"> </w:t>
      </w:r>
      <w:r w:rsidRPr="001048FE">
        <w:rPr>
          <w:lang w:val="sl-SI"/>
        </w:rPr>
        <w:t>priročniki</w:t>
      </w:r>
      <w:r w:rsidRPr="001048FE">
        <w:rPr>
          <w:spacing w:val="-9"/>
          <w:lang w:val="sl-SI"/>
        </w:rPr>
        <w:t xml:space="preserve"> </w:t>
      </w:r>
      <w:r w:rsidRPr="001048FE">
        <w:rPr>
          <w:lang w:val="sl-SI"/>
        </w:rPr>
        <w:t>za</w:t>
      </w:r>
      <w:r w:rsidRPr="001048FE">
        <w:rPr>
          <w:spacing w:val="-9"/>
          <w:lang w:val="sl-SI"/>
        </w:rPr>
        <w:t xml:space="preserve"> </w:t>
      </w:r>
      <w:r w:rsidRPr="001048FE">
        <w:rPr>
          <w:lang w:val="sl-SI"/>
        </w:rPr>
        <w:t>vodje</w:t>
      </w:r>
      <w:r w:rsidRPr="001048FE">
        <w:rPr>
          <w:spacing w:val="-9"/>
          <w:lang w:val="sl-SI"/>
        </w:rPr>
        <w:t xml:space="preserve"> </w:t>
      </w:r>
      <w:r w:rsidRPr="001048FE">
        <w:rPr>
          <w:lang w:val="sl-SI"/>
        </w:rPr>
        <w:t>usposabljanj,</w:t>
      </w:r>
      <w:r w:rsidRPr="001048FE">
        <w:rPr>
          <w:spacing w:val="-9"/>
          <w:lang w:val="sl-SI"/>
        </w:rPr>
        <w:t xml:space="preserve"> </w:t>
      </w:r>
      <w:r w:rsidRPr="001048FE">
        <w:rPr>
          <w:lang w:val="sl-SI"/>
        </w:rPr>
        <w:t>gradiva</w:t>
      </w:r>
      <w:r w:rsidRPr="001048FE">
        <w:rPr>
          <w:spacing w:val="-9"/>
          <w:lang w:val="sl-SI"/>
        </w:rPr>
        <w:t xml:space="preserve"> </w:t>
      </w:r>
      <w:r w:rsidRPr="001048FE">
        <w:rPr>
          <w:lang w:val="sl-SI"/>
        </w:rPr>
        <w:t>z informacijami za učeče se odrasle, preskusijo partnerske organizacije in potrdijo pomembni deležniki.</w:t>
      </w:r>
    </w:p>
    <w:p w14:paraId="7D39AA8E" w14:textId="77777777" w:rsidR="00E15C84" w:rsidRPr="001048FE" w:rsidRDefault="00E15C84" w:rsidP="0009190F">
      <w:pPr>
        <w:pStyle w:val="GUIDE-NORMAL"/>
        <w:rPr>
          <w:lang w:val="sl-SI"/>
        </w:rPr>
      </w:pPr>
      <w:r w:rsidRPr="001048FE">
        <w:rPr>
          <w:lang w:val="sl-SI"/>
        </w:rPr>
        <w:t>Ciljno</w:t>
      </w:r>
      <w:r w:rsidRPr="001048FE">
        <w:rPr>
          <w:spacing w:val="-16"/>
          <w:lang w:val="sl-SI"/>
        </w:rPr>
        <w:t xml:space="preserve"> </w:t>
      </w:r>
      <w:r w:rsidRPr="001048FE">
        <w:rPr>
          <w:lang w:val="sl-SI"/>
        </w:rPr>
        <w:t>usmerjena</w:t>
      </w:r>
      <w:r w:rsidRPr="001048FE">
        <w:rPr>
          <w:spacing w:val="-16"/>
          <w:lang w:val="sl-SI"/>
        </w:rPr>
        <w:t xml:space="preserve"> </w:t>
      </w:r>
      <w:r w:rsidRPr="001048FE">
        <w:rPr>
          <w:lang w:val="sl-SI"/>
        </w:rPr>
        <w:t>aktivnost</w:t>
      </w:r>
      <w:r w:rsidRPr="001048FE">
        <w:rPr>
          <w:spacing w:val="-16"/>
          <w:lang w:val="sl-SI"/>
        </w:rPr>
        <w:t xml:space="preserve"> </w:t>
      </w:r>
      <w:r w:rsidRPr="001048FE">
        <w:rPr>
          <w:lang w:val="sl-SI"/>
        </w:rPr>
        <w:t>razširjanja</w:t>
      </w:r>
      <w:r w:rsidRPr="001048FE">
        <w:rPr>
          <w:spacing w:val="-16"/>
          <w:lang w:val="sl-SI"/>
        </w:rPr>
        <w:t xml:space="preserve"> </w:t>
      </w:r>
      <w:r w:rsidRPr="001048FE">
        <w:rPr>
          <w:lang w:val="sl-SI"/>
        </w:rPr>
        <w:t>je</w:t>
      </w:r>
      <w:r w:rsidRPr="001048FE">
        <w:rPr>
          <w:spacing w:val="-16"/>
          <w:lang w:val="sl-SI"/>
        </w:rPr>
        <w:t xml:space="preserve"> </w:t>
      </w:r>
      <w:r w:rsidRPr="001048FE">
        <w:rPr>
          <w:lang w:val="sl-SI"/>
        </w:rPr>
        <w:t>pogoj</w:t>
      </w:r>
      <w:r w:rsidRPr="001048FE">
        <w:rPr>
          <w:spacing w:val="-16"/>
          <w:lang w:val="sl-SI"/>
        </w:rPr>
        <w:t xml:space="preserve"> </w:t>
      </w:r>
      <w:r w:rsidRPr="001048FE">
        <w:rPr>
          <w:lang w:val="sl-SI"/>
        </w:rPr>
        <w:t>za</w:t>
      </w:r>
      <w:r w:rsidRPr="001048FE">
        <w:rPr>
          <w:spacing w:val="-16"/>
          <w:lang w:val="sl-SI"/>
        </w:rPr>
        <w:t xml:space="preserve"> </w:t>
      </w:r>
      <w:r w:rsidRPr="001048FE">
        <w:rPr>
          <w:lang w:val="sl-SI"/>
        </w:rPr>
        <w:t>učinek</w:t>
      </w:r>
      <w:r w:rsidRPr="001048FE">
        <w:rPr>
          <w:spacing w:val="-16"/>
          <w:lang w:val="sl-SI"/>
        </w:rPr>
        <w:t xml:space="preserve"> </w:t>
      </w:r>
      <w:r w:rsidRPr="001048FE">
        <w:rPr>
          <w:lang w:val="sl-SI"/>
        </w:rPr>
        <w:t>ne</w:t>
      </w:r>
      <w:r w:rsidRPr="001048FE">
        <w:rPr>
          <w:spacing w:val="-16"/>
          <w:lang w:val="sl-SI"/>
        </w:rPr>
        <w:t xml:space="preserve"> </w:t>
      </w:r>
      <w:r w:rsidRPr="001048FE">
        <w:rPr>
          <w:lang w:val="sl-SI"/>
        </w:rPr>
        <w:t>samo</w:t>
      </w:r>
      <w:r w:rsidRPr="001048FE">
        <w:rPr>
          <w:spacing w:val="-16"/>
          <w:lang w:val="sl-SI"/>
        </w:rPr>
        <w:t xml:space="preserve"> </w:t>
      </w:r>
      <w:r w:rsidRPr="001048FE">
        <w:rPr>
          <w:lang w:val="sl-SI"/>
        </w:rPr>
        <w:t>na</w:t>
      </w:r>
      <w:r w:rsidRPr="001048FE">
        <w:rPr>
          <w:spacing w:val="-16"/>
          <w:lang w:val="sl-SI"/>
        </w:rPr>
        <w:t xml:space="preserve"> </w:t>
      </w:r>
      <w:r w:rsidRPr="001048FE">
        <w:rPr>
          <w:lang w:val="sl-SI"/>
        </w:rPr>
        <w:t>kompetence</w:t>
      </w:r>
      <w:r w:rsidRPr="001048FE">
        <w:rPr>
          <w:spacing w:val="-16"/>
          <w:lang w:val="sl-SI"/>
        </w:rPr>
        <w:t xml:space="preserve"> </w:t>
      </w:r>
      <w:r w:rsidRPr="001048FE">
        <w:rPr>
          <w:lang w:val="sl-SI"/>
        </w:rPr>
        <w:t>učečih</w:t>
      </w:r>
      <w:r w:rsidRPr="001048FE">
        <w:rPr>
          <w:spacing w:val="-16"/>
          <w:lang w:val="sl-SI"/>
        </w:rPr>
        <w:t xml:space="preserve"> </w:t>
      </w:r>
      <w:r w:rsidRPr="001048FE">
        <w:rPr>
          <w:lang w:val="sl-SI"/>
        </w:rPr>
        <w:t>se</w:t>
      </w:r>
      <w:r w:rsidRPr="001048FE">
        <w:rPr>
          <w:spacing w:val="-16"/>
          <w:lang w:val="sl-SI"/>
        </w:rPr>
        <w:t xml:space="preserve"> </w:t>
      </w:r>
      <w:r w:rsidRPr="001048FE">
        <w:rPr>
          <w:lang w:val="sl-SI"/>
        </w:rPr>
        <w:t>odraslih, temveč tudi na lokalni/regionalni ravni, saj lahko projekt nudi posebej prilagojene priložnosti učenja za</w:t>
      </w:r>
      <w:r w:rsidRPr="001048FE">
        <w:rPr>
          <w:spacing w:val="-6"/>
          <w:lang w:val="sl-SI"/>
        </w:rPr>
        <w:t xml:space="preserve"> </w:t>
      </w:r>
      <w:r w:rsidRPr="001048FE">
        <w:rPr>
          <w:lang w:val="sl-SI"/>
        </w:rPr>
        <w:t>skupine</w:t>
      </w:r>
      <w:r w:rsidRPr="001048FE">
        <w:rPr>
          <w:spacing w:val="-6"/>
          <w:lang w:val="sl-SI"/>
        </w:rPr>
        <w:t xml:space="preserve"> </w:t>
      </w:r>
      <w:r w:rsidRPr="001048FE">
        <w:rPr>
          <w:lang w:val="sl-SI"/>
        </w:rPr>
        <w:t>z</w:t>
      </w:r>
      <w:r w:rsidRPr="001048FE">
        <w:rPr>
          <w:spacing w:val="-6"/>
          <w:lang w:val="sl-SI"/>
        </w:rPr>
        <w:t xml:space="preserve"> </w:t>
      </w:r>
      <w:r w:rsidRPr="001048FE">
        <w:rPr>
          <w:lang w:val="sl-SI"/>
        </w:rPr>
        <w:t>manj</w:t>
      </w:r>
      <w:r w:rsidRPr="001048FE">
        <w:rPr>
          <w:spacing w:val="-6"/>
          <w:lang w:val="sl-SI"/>
        </w:rPr>
        <w:t xml:space="preserve"> </w:t>
      </w:r>
      <w:r w:rsidRPr="001048FE">
        <w:rPr>
          <w:lang w:val="sl-SI"/>
        </w:rPr>
        <w:t>priložnostmi,</w:t>
      </w:r>
      <w:r w:rsidRPr="001048FE">
        <w:rPr>
          <w:spacing w:val="-6"/>
          <w:lang w:val="sl-SI"/>
        </w:rPr>
        <w:t xml:space="preserve"> </w:t>
      </w:r>
      <w:r w:rsidRPr="001048FE">
        <w:rPr>
          <w:lang w:val="sl-SI"/>
        </w:rPr>
        <w:t>ki</w:t>
      </w:r>
      <w:r w:rsidRPr="001048FE">
        <w:rPr>
          <w:spacing w:val="-6"/>
          <w:lang w:val="sl-SI"/>
        </w:rPr>
        <w:t xml:space="preserve"> </w:t>
      </w:r>
      <w:r w:rsidRPr="001048FE">
        <w:rPr>
          <w:lang w:val="sl-SI"/>
        </w:rPr>
        <w:t>bodo</w:t>
      </w:r>
      <w:r w:rsidRPr="001048FE">
        <w:rPr>
          <w:spacing w:val="-6"/>
          <w:lang w:val="sl-SI"/>
        </w:rPr>
        <w:t xml:space="preserve"> </w:t>
      </w:r>
      <w:r w:rsidRPr="001048FE">
        <w:rPr>
          <w:lang w:val="sl-SI"/>
        </w:rPr>
        <w:t>pripomogle</w:t>
      </w:r>
      <w:r w:rsidRPr="001048FE">
        <w:rPr>
          <w:spacing w:val="-6"/>
          <w:lang w:val="sl-SI"/>
        </w:rPr>
        <w:t xml:space="preserve"> </w:t>
      </w:r>
      <w:r w:rsidRPr="001048FE">
        <w:rPr>
          <w:lang w:val="sl-SI"/>
        </w:rPr>
        <w:t>k</w:t>
      </w:r>
      <w:r w:rsidRPr="001048FE">
        <w:rPr>
          <w:spacing w:val="-6"/>
          <w:lang w:val="sl-SI"/>
        </w:rPr>
        <w:t xml:space="preserve"> </w:t>
      </w:r>
      <w:r w:rsidRPr="001048FE">
        <w:rPr>
          <w:lang w:val="sl-SI"/>
        </w:rPr>
        <w:t>njihovemu</w:t>
      </w:r>
      <w:r w:rsidRPr="001048FE">
        <w:rPr>
          <w:spacing w:val="-6"/>
          <w:lang w:val="sl-SI"/>
        </w:rPr>
        <w:t xml:space="preserve"> </w:t>
      </w:r>
      <w:r w:rsidRPr="001048FE">
        <w:rPr>
          <w:lang w:val="sl-SI"/>
        </w:rPr>
        <w:t>vključevanju</w:t>
      </w:r>
      <w:r w:rsidRPr="001048FE">
        <w:rPr>
          <w:spacing w:val="-6"/>
          <w:lang w:val="sl-SI"/>
        </w:rPr>
        <w:t xml:space="preserve"> </w:t>
      </w:r>
      <w:r w:rsidRPr="001048FE">
        <w:rPr>
          <w:lang w:val="sl-SI"/>
        </w:rPr>
        <w:t>v</w:t>
      </w:r>
      <w:r w:rsidRPr="001048FE">
        <w:rPr>
          <w:spacing w:val="-6"/>
          <w:lang w:val="sl-SI"/>
        </w:rPr>
        <w:t xml:space="preserve"> </w:t>
      </w:r>
      <w:r w:rsidRPr="001048FE">
        <w:rPr>
          <w:lang w:val="sl-SI"/>
        </w:rPr>
        <w:t>lokalno</w:t>
      </w:r>
      <w:r w:rsidRPr="001048FE">
        <w:rPr>
          <w:spacing w:val="-6"/>
          <w:lang w:val="sl-SI"/>
        </w:rPr>
        <w:t xml:space="preserve"> </w:t>
      </w:r>
      <w:r w:rsidRPr="001048FE">
        <w:rPr>
          <w:lang w:val="sl-SI"/>
        </w:rPr>
        <w:t>družbo.</w:t>
      </w:r>
    </w:p>
    <w:p w14:paraId="7D39AA8F" w14:textId="77777777" w:rsidR="00E15C84" w:rsidRPr="001048FE" w:rsidRDefault="00E15C84" w:rsidP="00D60A64">
      <w:pPr>
        <w:pStyle w:val="Guide-Heading4"/>
        <w:rPr>
          <w:lang w:val="sl-SI"/>
        </w:rPr>
      </w:pPr>
      <w:bookmarkStart w:id="724" w:name="_Toc527401362"/>
      <w:r w:rsidRPr="001048FE">
        <w:rPr>
          <w:lang w:val="sl-SI"/>
        </w:rPr>
        <w:t>Priznavanje in potrjevanje učnih izidov</w:t>
      </w:r>
      <w:bookmarkEnd w:id="724"/>
    </w:p>
    <w:p w14:paraId="7D39AA90" w14:textId="77777777" w:rsidR="00E15C84" w:rsidRPr="001048FE" w:rsidRDefault="00E15C84" w:rsidP="0009190F">
      <w:pPr>
        <w:pStyle w:val="GUIDE-NORMAL"/>
        <w:rPr>
          <w:sz w:val="22"/>
          <w:lang w:val="sl-SI"/>
        </w:rPr>
      </w:pPr>
      <w:r w:rsidRPr="001048FE">
        <w:rPr>
          <w:lang w:val="sl-SI"/>
        </w:rPr>
        <w:t>Partnerske organizacije lahko znatno prispevajo k procesu potrjevanja neformalnega in priložnostnega učenja. Strateško partnerstvo lahko ob upoštevanju različnih okoliščin partnerjev ter izmenjav zamisli in izkušenj analizira trenutno stanje in predlaga priporočila za potrjevanje v svojih državah.</w:t>
      </w:r>
    </w:p>
    <w:p w14:paraId="7D39AA91" w14:textId="77777777" w:rsidR="00E15C84" w:rsidRPr="001048FE" w:rsidRDefault="00E15C84" w:rsidP="00D60A64">
      <w:pPr>
        <w:pStyle w:val="Guide-Heading4"/>
        <w:rPr>
          <w:lang w:val="sl-SI"/>
        </w:rPr>
      </w:pPr>
      <w:bookmarkStart w:id="725" w:name="_Toc527401363"/>
      <w:r w:rsidRPr="001048FE">
        <w:rPr>
          <w:lang w:val="sl-SI"/>
        </w:rPr>
        <w:t>Poklicni razvoj in profesionalizacija na področju mladinskega dela</w:t>
      </w:r>
      <w:bookmarkEnd w:id="725"/>
    </w:p>
    <w:p w14:paraId="7D39AA92" w14:textId="77777777" w:rsidR="00E15C84" w:rsidRPr="001048FE" w:rsidRDefault="00E15C84" w:rsidP="0009190F">
      <w:pPr>
        <w:pStyle w:val="GUIDE-NORMAL"/>
        <w:rPr>
          <w:lang w:val="sl-SI"/>
        </w:rPr>
      </w:pPr>
      <w:r w:rsidRPr="001048FE">
        <w:rPr>
          <w:lang w:val="sl-SI"/>
        </w:rPr>
        <w:t>Skupino izkušenih mladinskih delavcev navdušijo prednostne naloge strategije EU za mlade, zato vzpostavi strateško partnerstvo z ljudmi, ki so odgovorni za mladinsko delo na institucionalni ravni, možganskimi trusti, izobraževalnimi institucijami, ki so specializirane za mladinsko delo, in raziskovalci, da bi oblikovala sklop referenčnih dokumentov, ki bi podpirali mladinske delavce pri njihovih aktivnostih obravnavanja duševnega zdravja mladih.</w:t>
      </w:r>
    </w:p>
    <w:p w14:paraId="7D39AA93" w14:textId="77777777" w:rsidR="00E15C84" w:rsidRPr="001048FE" w:rsidRDefault="00E15C84" w:rsidP="0009190F">
      <w:pPr>
        <w:pStyle w:val="GUIDE-NORMAL"/>
        <w:rPr>
          <w:lang w:val="sl-SI"/>
        </w:rPr>
      </w:pPr>
      <w:r w:rsidRPr="001048FE">
        <w:rPr>
          <w:lang w:val="sl-SI"/>
        </w:rPr>
        <w:t>V okviru projekta se vsi partnerji srečajo, da bi opredelili in analizirali ključne koncepte, ki bodo tvorili podlago za njihovo raziskovanje. Organizirajo seminarje s strokovnjaki, srečanja in študijske obiske,</w:t>
      </w:r>
      <w:r w:rsidRPr="001048FE">
        <w:rPr>
          <w:spacing w:val="-9"/>
          <w:lang w:val="sl-SI"/>
        </w:rPr>
        <w:t xml:space="preserve"> </w:t>
      </w:r>
      <w:r w:rsidRPr="001048FE">
        <w:rPr>
          <w:lang w:val="sl-SI"/>
        </w:rPr>
        <w:t>da</w:t>
      </w:r>
      <w:r w:rsidRPr="001048FE">
        <w:rPr>
          <w:spacing w:val="-10"/>
          <w:lang w:val="sl-SI"/>
        </w:rPr>
        <w:t xml:space="preserve"> </w:t>
      </w:r>
      <w:r w:rsidRPr="001048FE">
        <w:rPr>
          <w:lang w:val="sl-SI"/>
        </w:rPr>
        <w:t>bi</w:t>
      </w:r>
      <w:r w:rsidRPr="001048FE">
        <w:rPr>
          <w:spacing w:val="-10"/>
          <w:lang w:val="sl-SI"/>
        </w:rPr>
        <w:t xml:space="preserve"> </w:t>
      </w:r>
      <w:r w:rsidRPr="001048FE">
        <w:rPr>
          <w:lang w:val="sl-SI"/>
        </w:rPr>
        <w:t>dokumentirali</w:t>
      </w:r>
      <w:r w:rsidRPr="001048FE">
        <w:rPr>
          <w:spacing w:val="-10"/>
          <w:lang w:val="sl-SI"/>
        </w:rPr>
        <w:t xml:space="preserve"> </w:t>
      </w:r>
      <w:r w:rsidRPr="001048FE">
        <w:rPr>
          <w:lang w:val="sl-SI"/>
        </w:rPr>
        <w:t>svoje</w:t>
      </w:r>
      <w:r w:rsidRPr="001048FE">
        <w:rPr>
          <w:spacing w:val="-10"/>
          <w:lang w:val="sl-SI"/>
        </w:rPr>
        <w:t xml:space="preserve"> </w:t>
      </w:r>
      <w:r w:rsidRPr="001048FE">
        <w:rPr>
          <w:lang w:val="sl-SI"/>
        </w:rPr>
        <w:t>delo,</w:t>
      </w:r>
      <w:r w:rsidRPr="001048FE">
        <w:rPr>
          <w:spacing w:val="-10"/>
          <w:lang w:val="sl-SI"/>
        </w:rPr>
        <w:t xml:space="preserve"> </w:t>
      </w:r>
      <w:r w:rsidRPr="001048FE">
        <w:rPr>
          <w:lang w:val="sl-SI"/>
        </w:rPr>
        <w:t>združili</w:t>
      </w:r>
      <w:r w:rsidRPr="001048FE">
        <w:rPr>
          <w:spacing w:val="-10"/>
          <w:lang w:val="sl-SI"/>
        </w:rPr>
        <w:t xml:space="preserve"> </w:t>
      </w:r>
      <w:r w:rsidRPr="001048FE">
        <w:rPr>
          <w:lang w:val="sl-SI"/>
        </w:rPr>
        <w:t>mlade</w:t>
      </w:r>
      <w:r w:rsidRPr="001048FE">
        <w:rPr>
          <w:spacing w:val="-10"/>
          <w:lang w:val="sl-SI"/>
        </w:rPr>
        <w:t xml:space="preserve"> </w:t>
      </w:r>
      <w:r w:rsidRPr="001048FE">
        <w:rPr>
          <w:lang w:val="sl-SI"/>
        </w:rPr>
        <w:t>in</w:t>
      </w:r>
      <w:r w:rsidRPr="001048FE">
        <w:rPr>
          <w:spacing w:val="-10"/>
          <w:lang w:val="sl-SI"/>
        </w:rPr>
        <w:t xml:space="preserve"> </w:t>
      </w:r>
      <w:r w:rsidRPr="001048FE">
        <w:rPr>
          <w:lang w:val="sl-SI"/>
        </w:rPr>
        <w:t>mladinske</w:t>
      </w:r>
      <w:r w:rsidRPr="001048FE">
        <w:rPr>
          <w:spacing w:val="-10"/>
          <w:lang w:val="sl-SI"/>
        </w:rPr>
        <w:t xml:space="preserve"> </w:t>
      </w:r>
      <w:r w:rsidRPr="001048FE">
        <w:rPr>
          <w:lang w:val="sl-SI"/>
        </w:rPr>
        <w:t>delavce</w:t>
      </w:r>
      <w:r w:rsidRPr="001048FE">
        <w:rPr>
          <w:spacing w:val="-10"/>
          <w:lang w:val="sl-SI"/>
        </w:rPr>
        <w:t xml:space="preserve"> </w:t>
      </w:r>
      <w:r w:rsidRPr="001048FE">
        <w:rPr>
          <w:lang w:val="sl-SI"/>
        </w:rPr>
        <w:t>z</w:t>
      </w:r>
      <w:r w:rsidRPr="001048FE">
        <w:rPr>
          <w:spacing w:val="-10"/>
          <w:lang w:val="sl-SI"/>
        </w:rPr>
        <w:t xml:space="preserve"> </w:t>
      </w:r>
      <w:r w:rsidRPr="001048FE">
        <w:rPr>
          <w:lang w:val="sl-SI"/>
        </w:rPr>
        <w:t>izkušnjami</w:t>
      </w:r>
      <w:r w:rsidRPr="001048FE">
        <w:rPr>
          <w:spacing w:val="-10"/>
          <w:lang w:val="sl-SI"/>
        </w:rPr>
        <w:t xml:space="preserve"> </w:t>
      </w:r>
      <w:r w:rsidRPr="001048FE">
        <w:rPr>
          <w:lang w:val="sl-SI"/>
        </w:rPr>
        <w:t>na</w:t>
      </w:r>
      <w:r w:rsidRPr="001048FE">
        <w:rPr>
          <w:spacing w:val="-10"/>
          <w:lang w:val="sl-SI"/>
        </w:rPr>
        <w:t xml:space="preserve"> </w:t>
      </w:r>
      <w:r w:rsidRPr="001048FE">
        <w:rPr>
          <w:lang w:val="sl-SI"/>
        </w:rPr>
        <w:t>področju duševnega zdravja ter si izmenjali dobre prakse in zamisli, končni cilj pa je objava knjige ob koncu projekta in razširjanje te knjige med delavci na tem</w:t>
      </w:r>
      <w:r w:rsidRPr="001048FE">
        <w:rPr>
          <w:spacing w:val="-20"/>
          <w:lang w:val="sl-SI"/>
        </w:rPr>
        <w:t xml:space="preserve"> </w:t>
      </w:r>
      <w:r w:rsidRPr="001048FE">
        <w:rPr>
          <w:lang w:val="sl-SI"/>
        </w:rPr>
        <w:t>področju.</w:t>
      </w:r>
    </w:p>
    <w:p w14:paraId="7D39AA94" w14:textId="77777777" w:rsidR="00C12526" w:rsidRDefault="00C12526">
      <w:pPr>
        <w:widowControl/>
        <w:suppressAutoHyphens w:val="0"/>
        <w:autoSpaceDN/>
        <w:textAlignment w:val="auto"/>
        <w:rPr>
          <w:rFonts w:eastAsia="Times New Roman" w:cs="Times New Roman"/>
          <w:b/>
          <w:smallCaps/>
          <w:sz w:val="32"/>
          <w:szCs w:val="18"/>
          <w:lang w:val="sl-SI"/>
        </w:rPr>
      </w:pPr>
      <w:bookmarkStart w:id="726" w:name="Renforcement_des_capacités_dans_le_domai"/>
      <w:bookmarkStart w:id="727" w:name="_bookmark82"/>
      <w:bookmarkEnd w:id="726"/>
      <w:bookmarkEnd w:id="727"/>
    </w:p>
    <w:p w14:paraId="7D39AA95" w14:textId="77777777" w:rsidR="006B404F" w:rsidRPr="001048FE" w:rsidRDefault="006B404F" w:rsidP="00D60A64">
      <w:pPr>
        <w:pStyle w:val="Guide-Heading2"/>
        <w:rPr>
          <w:lang w:val="sl-SI"/>
        </w:rPr>
        <w:sectPr w:rsidR="006B404F" w:rsidRPr="001048FE" w:rsidSect="007F4890">
          <w:endnotePr>
            <w:numFmt w:val="decimal"/>
          </w:endnotePr>
          <w:pgSz w:w="11910" w:h="16840" w:code="9"/>
          <w:pgMar w:top="1134" w:right="1418" w:bottom="1134" w:left="1418" w:header="283" w:footer="567" w:gutter="0"/>
          <w:cols w:space="720"/>
          <w:docGrid w:linePitch="326"/>
        </w:sectPr>
      </w:pPr>
    </w:p>
    <w:p w14:paraId="7D39AA96" w14:textId="77777777" w:rsidR="00163535" w:rsidRDefault="0025640D">
      <w:pPr>
        <w:pStyle w:val="Guide-Heading2"/>
        <w:rPr>
          <w:lang w:val="sl-SI"/>
        </w:rPr>
      </w:pPr>
      <w:bookmarkStart w:id="728" w:name="_Toc527400988"/>
      <w:bookmarkStart w:id="729" w:name="_Toc527401364"/>
      <w:r w:rsidRPr="001048FE">
        <w:rPr>
          <w:lang w:val="sl-SI"/>
        </w:rPr>
        <w:t>Krepitev zmogljivosti na področju</w:t>
      </w:r>
      <w:bookmarkStart w:id="730" w:name="Krepitev_zmogljivosti_na_področju_visoko"/>
      <w:bookmarkEnd w:id="730"/>
      <w:r w:rsidRPr="001048FE">
        <w:rPr>
          <w:lang w:val="sl-SI"/>
        </w:rPr>
        <w:t xml:space="preserve"> visokošolskega izobraževanja</w:t>
      </w:r>
      <w:bookmarkEnd w:id="728"/>
      <w:bookmarkEnd w:id="729"/>
    </w:p>
    <w:p w14:paraId="7D39AA97" w14:textId="77777777" w:rsidR="00163535" w:rsidRDefault="00493CB0">
      <w:pPr>
        <w:pStyle w:val="Guide-AnnexHeading3"/>
        <w:numPr>
          <w:ilvl w:val="0"/>
          <w:numId w:val="0"/>
        </w:numPr>
        <w:ind w:left="360" w:hanging="360"/>
        <w:rPr>
          <w:lang w:val="sl-SI"/>
        </w:rPr>
      </w:pPr>
      <w:bookmarkStart w:id="731" w:name="_Toc524425633"/>
      <w:bookmarkStart w:id="732" w:name="_Toc526422871"/>
      <w:bookmarkStart w:id="733" w:name="_Toc527400989"/>
      <w:bookmarkStart w:id="734" w:name="_Toc527401365"/>
      <w:r>
        <w:rPr>
          <w:lang w:val="sl-SI"/>
        </w:rPr>
        <w:t xml:space="preserve">1. </w:t>
      </w:r>
      <w:r w:rsidR="0025640D" w:rsidRPr="001048FE">
        <w:rPr>
          <w:lang w:val="sl-SI"/>
        </w:rPr>
        <w:t>Pojasnitev področja uporabe nepovratnih sredstev</w:t>
      </w:r>
      <w:r w:rsidR="0025640D" w:rsidRPr="001048FE">
        <w:rPr>
          <w:spacing w:val="-8"/>
          <w:lang w:val="sl-SI"/>
        </w:rPr>
        <w:t xml:space="preserve"> </w:t>
      </w:r>
      <w:r w:rsidR="0025640D" w:rsidRPr="001048FE">
        <w:rPr>
          <w:lang w:val="sl-SI"/>
        </w:rPr>
        <w:t>EU</w:t>
      </w:r>
      <w:bookmarkEnd w:id="731"/>
      <w:bookmarkEnd w:id="732"/>
      <w:bookmarkEnd w:id="733"/>
      <w:bookmarkEnd w:id="734"/>
    </w:p>
    <w:p w14:paraId="7D39AA98" w14:textId="77777777" w:rsidR="0025640D" w:rsidRPr="001048FE" w:rsidRDefault="0025640D" w:rsidP="0025640D">
      <w:pPr>
        <w:pStyle w:val="Guide-Heading4"/>
        <w:rPr>
          <w:lang w:val="sl-SI"/>
        </w:rPr>
      </w:pPr>
      <w:bookmarkStart w:id="735" w:name="_Toc527401366"/>
      <w:r w:rsidRPr="001048FE">
        <w:rPr>
          <w:lang w:val="sl-SI"/>
        </w:rPr>
        <w:t>Stroški osebja</w:t>
      </w:r>
      <w:bookmarkEnd w:id="735"/>
    </w:p>
    <w:p w14:paraId="7D39AA99" w14:textId="77777777" w:rsidR="0025640D" w:rsidRPr="001048FE" w:rsidRDefault="0025640D" w:rsidP="0025640D">
      <w:pPr>
        <w:pStyle w:val="GUIDE-NORMAL"/>
        <w:rPr>
          <w:lang w:val="sl-SI"/>
        </w:rPr>
      </w:pPr>
      <w:r w:rsidRPr="001048FE">
        <w:rPr>
          <w:lang w:val="sl-SI"/>
        </w:rPr>
        <w:t>Prijavitelj oceni delo osebja, ki je potrebno glede na kategorijo zadevnega osebja in število dni, ki jih zahteva projekt, v zvezi z aktivnostmi, delovnim načrtom in predvidenimi rezultati. Delovni dnevi lahko vključujejo konce tedna ter cerkvene in državne praznike. Za namen ocene proračuna delovni dnevi ne presegajo 20 dni na mesec ali 240 dni na leto. Ocena proračuna se izračuna na podlagi prispevkov Erasmus+ za stroške osebja na enoto. Ocena ni odvisna od dejanskih načinov plačila, ki bodo določeni v partnerskem sporazumu in ki jih bodo izvedli upravičenci.</w:t>
      </w:r>
    </w:p>
    <w:p w14:paraId="7D39AA9A" w14:textId="77777777" w:rsidR="0025640D" w:rsidRPr="001048FE" w:rsidRDefault="0025640D" w:rsidP="0025640D">
      <w:pPr>
        <w:pStyle w:val="GUIDE-NORMAL"/>
        <w:rPr>
          <w:lang w:val="sl-SI"/>
        </w:rPr>
      </w:pPr>
      <w:r w:rsidRPr="001048FE">
        <w:rPr>
          <w:lang w:val="sl-SI"/>
        </w:rPr>
        <w:t>Profil osebja, vključenega v projekte krepitve zmogljivosti, je razdeljen v štiri kategorije:</w:t>
      </w:r>
    </w:p>
    <w:p w14:paraId="7D39AA9B" w14:textId="77777777" w:rsidR="0025640D" w:rsidRPr="001048FE" w:rsidRDefault="0025640D" w:rsidP="005115F2">
      <w:pPr>
        <w:pStyle w:val="Guide-NormalBulletpoints"/>
        <w:numPr>
          <w:ilvl w:val="0"/>
          <w:numId w:val="460"/>
        </w:numPr>
        <w:jc w:val="left"/>
        <w:rPr>
          <w:lang w:val="sl-SI"/>
        </w:rPr>
      </w:pPr>
      <w:r w:rsidRPr="001048FE">
        <w:rPr>
          <w:b/>
          <w:lang w:val="sl-SI"/>
        </w:rPr>
        <w:t xml:space="preserve">menedžerji (kategorija osebja 1) </w:t>
      </w:r>
      <w:r w:rsidRPr="001048FE">
        <w:rPr>
          <w:lang w:val="sl-SI"/>
        </w:rPr>
        <w:t>(vključno z zakonodajalci, visokimi uradniki in</w:t>
      </w:r>
      <w:r w:rsidRPr="001048FE">
        <w:rPr>
          <w:spacing w:val="-27"/>
          <w:lang w:val="sl-SI"/>
        </w:rPr>
        <w:t xml:space="preserve"> </w:t>
      </w:r>
      <w:r w:rsidRPr="001048FE">
        <w:rPr>
          <w:lang w:val="sl-SI"/>
        </w:rPr>
        <w:t>menedžerji) izvajajo poslovodne aktivnosti na najvišji ravni, povezane z upravljanjem in koordinacijo projektnih</w:t>
      </w:r>
      <w:r w:rsidRPr="001048FE">
        <w:rPr>
          <w:spacing w:val="-2"/>
          <w:lang w:val="sl-SI"/>
        </w:rPr>
        <w:t xml:space="preserve"> </w:t>
      </w:r>
      <w:r w:rsidRPr="001048FE">
        <w:rPr>
          <w:lang w:val="sl-SI"/>
        </w:rPr>
        <w:t>aktivnosti;</w:t>
      </w:r>
    </w:p>
    <w:p w14:paraId="7D39AA9C" w14:textId="77777777" w:rsidR="0025640D" w:rsidRPr="001048FE" w:rsidRDefault="0025640D" w:rsidP="005115F2">
      <w:pPr>
        <w:pStyle w:val="Guide-NormalBulletpoints"/>
        <w:numPr>
          <w:ilvl w:val="0"/>
          <w:numId w:val="460"/>
        </w:numPr>
        <w:jc w:val="left"/>
        <w:rPr>
          <w:lang w:val="sl-SI"/>
        </w:rPr>
      </w:pPr>
      <w:r w:rsidRPr="001048FE">
        <w:rPr>
          <w:b/>
          <w:lang w:val="sl-SI"/>
        </w:rPr>
        <w:t xml:space="preserve">raziskovalci, učitelji in vodje usposabljanj (kategorija osebja 2) </w:t>
      </w:r>
      <w:r w:rsidRPr="001048FE">
        <w:rPr>
          <w:lang w:val="sl-SI"/>
        </w:rPr>
        <w:t>navadno izvajajo akademske aktivnosti, povezane z razvojem učnih načrtov/programov usposabljanj, oblikovanjem in prilagajanjem gradiva za poučevanje/usposabljanje, pripravo in poučevanjem tečajev ali</w:t>
      </w:r>
      <w:r w:rsidRPr="001048FE">
        <w:rPr>
          <w:spacing w:val="2"/>
          <w:lang w:val="sl-SI"/>
        </w:rPr>
        <w:t xml:space="preserve"> </w:t>
      </w:r>
      <w:r w:rsidRPr="001048FE">
        <w:rPr>
          <w:lang w:val="sl-SI"/>
        </w:rPr>
        <w:t>usposabljanj;</w:t>
      </w:r>
    </w:p>
    <w:p w14:paraId="7D39AA9D" w14:textId="77777777" w:rsidR="0025640D" w:rsidRPr="001048FE" w:rsidRDefault="0025640D" w:rsidP="005115F2">
      <w:pPr>
        <w:pStyle w:val="Guide-NormalBulletpoints"/>
        <w:numPr>
          <w:ilvl w:val="0"/>
          <w:numId w:val="460"/>
        </w:numPr>
        <w:jc w:val="left"/>
        <w:rPr>
          <w:lang w:val="sl-SI"/>
        </w:rPr>
      </w:pPr>
      <w:r w:rsidRPr="001048FE">
        <w:rPr>
          <w:b/>
          <w:lang w:val="sl-SI"/>
        </w:rPr>
        <w:t xml:space="preserve">tehnično osebje (kategorija osebja 3) </w:t>
      </w:r>
      <w:r w:rsidRPr="001048FE">
        <w:rPr>
          <w:lang w:val="sl-SI"/>
        </w:rPr>
        <w:t xml:space="preserve">(vključno s tehničnim osebjem in drugimi </w:t>
      </w:r>
      <w:r w:rsidRPr="001048FE">
        <w:rPr>
          <w:spacing w:val="-17"/>
          <w:lang w:val="sl-SI"/>
        </w:rPr>
        <w:t xml:space="preserve">strokovnimi </w:t>
      </w:r>
      <w:r w:rsidRPr="001048FE">
        <w:rPr>
          <w:lang w:val="sl-SI"/>
        </w:rPr>
        <w:t>delavci)</w:t>
      </w:r>
      <w:r w:rsidRPr="001048FE">
        <w:rPr>
          <w:spacing w:val="-12"/>
          <w:lang w:val="sl-SI"/>
        </w:rPr>
        <w:t xml:space="preserve"> </w:t>
      </w:r>
      <w:r w:rsidRPr="001048FE">
        <w:rPr>
          <w:lang w:val="sl-SI"/>
        </w:rPr>
        <w:t>izvaja</w:t>
      </w:r>
      <w:r w:rsidRPr="001048FE">
        <w:rPr>
          <w:spacing w:val="-12"/>
          <w:lang w:val="sl-SI"/>
        </w:rPr>
        <w:t xml:space="preserve"> </w:t>
      </w:r>
      <w:r w:rsidRPr="001048FE">
        <w:rPr>
          <w:lang w:val="sl-SI"/>
        </w:rPr>
        <w:t>tehnične</w:t>
      </w:r>
      <w:r w:rsidRPr="001048FE">
        <w:rPr>
          <w:spacing w:val="-12"/>
          <w:lang w:val="sl-SI"/>
        </w:rPr>
        <w:t xml:space="preserve"> </w:t>
      </w:r>
      <w:r w:rsidRPr="001048FE">
        <w:rPr>
          <w:lang w:val="sl-SI"/>
        </w:rPr>
        <w:t>naloge,</w:t>
      </w:r>
      <w:r w:rsidRPr="001048FE">
        <w:rPr>
          <w:spacing w:val="-12"/>
          <w:lang w:val="sl-SI"/>
        </w:rPr>
        <w:t xml:space="preserve"> </w:t>
      </w:r>
      <w:r w:rsidRPr="001048FE">
        <w:rPr>
          <w:lang w:val="sl-SI"/>
        </w:rPr>
        <w:t>kot</w:t>
      </w:r>
      <w:r w:rsidRPr="001048FE">
        <w:rPr>
          <w:spacing w:val="-12"/>
          <w:lang w:val="sl-SI"/>
        </w:rPr>
        <w:t xml:space="preserve"> </w:t>
      </w:r>
      <w:r w:rsidRPr="001048FE">
        <w:rPr>
          <w:lang w:val="sl-SI"/>
        </w:rPr>
        <w:t>so</w:t>
      </w:r>
      <w:r w:rsidRPr="001048FE">
        <w:rPr>
          <w:spacing w:val="-12"/>
          <w:lang w:val="sl-SI"/>
        </w:rPr>
        <w:t xml:space="preserve"> </w:t>
      </w:r>
      <w:r w:rsidRPr="001048FE">
        <w:rPr>
          <w:lang w:val="sl-SI"/>
        </w:rPr>
        <w:t>knjigovodstvo,</w:t>
      </w:r>
      <w:r w:rsidRPr="001048FE">
        <w:rPr>
          <w:spacing w:val="-12"/>
          <w:lang w:val="sl-SI"/>
        </w:rPr>
        <w:t xml:space="preserve"> </w:t>
      </w:r>
      <w:r w:rsidRPr="001048FE">
        <w:rPr>
          <w:lang w:val="sl-SI"/>
        </w:rPr>
        <w:t>računovodstvo</w:t>
      </w:r>
      <w:r w:rsidRPr="001048FE">
        <w:rPr>
          <w:spacing w:val="-12"/>
          <w:lang w:val="sl-SI"/>
        </w:rPr>
        <w:t xml:space="preserve"> </w:t>
      </w:r>
      <w:r w:rsidRPr="001048FE">
        <w:rPr>
          <w:lang w:val="sl-SI"/>
        </w:rPr>
        <w:t>in</w:t>
      </w:r>
      <w:r w:rsidRPr="001048FE">
        <w:rPr>
          <w:spacing w:val="-12"/>
          <w:lang w:val="sl-SI"/>
        </w:rPr>
        <w:t xml:space="preserve"> </w:t>
      </w:r>
      <w:r w:rsidRPr="001048FE">
        <w:rPr>
          <w:lang w:val="sl-SI"/>
        </w:rPr>
        <w:t>prevajanje</w:t>
      </w:r>
      <w:r w:rsidRPr="001048FE">
        <w:rPr>
          <w:spacing w:val="-12"/>
          <w:lang w:val="sl-SI"/>
        </w:rPr>
        <w:t xml:space="preserve"> </w:t>
      </w:r>
      <w:r w:rsidRPr="001048FE">
        <w:rPr>
          <w:lang w:val="sl-SI"/>
        </w:rPr>
        <w:t>itd.</w:t>
      </w:r>
      <w:r w:rsidRPr="001048FE">
        <w:rPr>
          <w:spacing w:val="-12"/>
          <w:lang w:val="sl-SI"/>
        </w:rPr>
        <w:t xml:space="preserve"> </w:t>
      </w:r>
      <w:r w:rsidRPr="001048FE">
        <w:rPr>
          <w:lang w:val="sl-SI"/>
        </w:rPr>
        <w:t>Zunanje prevajalske storitve in zunanji jezikovni tečaji, ki jih izvajajo podizvajalci, ki niso člani konzorcija, bi bilo treba uvrstiti v „stroške</w:t>
      </w:r>
      <w:r w:rsidRPr="001048FE">
        <w:rPr>
          <w:spacing w:val="-6"/>
          <w:lang w:val="sl-SI"/>
        </w:rPr>
        <w:t xml:space="preserve"> </w:t>
      </w:r>
      <w:r w:rsidRPr="001048FE">
        <w:rPr>
          <w:lang w:val="sl-SI"/>
        </w:rPr>
        <w:t>podizvajanja“;</w:t>
      </w:r>
    </w:p>
    <w:p w14:paraId="7D39AA9E" w14:textId="77777777" w:rsidR="0025640D" w:rsidRPr="001048FE" w:rsidRDefault="0025640D" w:rsidP="005115F2">
      <w:pPr>
        <w:pStyle w:val="Guide-NormalBulletpoints"/>
        <w:numPr>
          <w:ilvl w:val="0"/>
          <w:numId w:val="460"/>
        </w:numPr>
        <w:jc w:val="left"/>
        <w:rPr>
          <w:lang w:val="sl-SI"/>
        </w:rPr>
      </w:pPr>
      <w:r w:rsidRPr="001048FE">
        <w:rPr>
          <w:b/>
          <w:lang w:val="sl-SI"/>
        </w:rPr>
        <w:t xml:space="preserve">administrativno osebje (kategorija osebja 4) </w:t>
      </w:r>
      <w:r w:rsidRPr="001048FE">
        <w:rPr>
          <w:lang w:val="sl-SI"/>
        </w:rPr>
        <w:t>(vključno s pisarniškimi uradniki in delavci na področju storitev za stranke) izvaja administrativne, tj. pisarniške</w:t>
      </w:r>
      <w:r w:rsidRPr="001048FE">
        <w:rPr>
          <w:spacing w:val="-22"/>
          <w:lang w:val="sl-SI"/>
        </w:rPr>
        <w:t xml:space="preserve"> </w:t>
      </w:r>
      <w:r w:rsidRPr="001048FE">
        <w:rPr>
          <w:lang w:val="sl-SI"/>
        </w:rPr>
        <w:t>naloge.</w:t>
      </w:r>
    </w:p>
    <w:p w14:paraId="7D39AA9F" w14:textId="77777777" w:rsidR="0025640D" w:rsidRPr="001048FE" w:rsidRDefault="0025640D" w:rsidP="0025640D">
      <w:pPr>
        <w:pStyle w:val="GUIDE-NORMAL"/>
        <w:rPr>
          <w:lang w:val="sl-SI"/>
        </w:rPr>
      </w:pPr>
      <w:r w:rsidRPr="001048FE">
        <w:rPr>
          <w:lang w:val="sl-SI"/>
        </w:rPr>
        <w:t>Dejanske načine plačevanja osebja, vključenega v projekt, bodo skupaj opredelile sodelujoče organizacije,</w:t>
      </w:r>
      <w:r w:rsidRPr="001048FE">
        <w:rPr>
          <w:spacing w:val="-15"/>
          <w:lang w:val="sl-SI"/>
        </w:rPr>
        <w:t xml:space="preserve"> </w:t>
      </w:r>
      <w:r w:rsidRPr="001048FE">
        <w:rPr>
          <w:lang w:val="sl-SI"/>
        </w:rPr>
        <w:t>potrdili</w:t>
      </w:r>
      <w:r w:rsidRPr="001048FE">
        <w:rPr>
          <w:spacing w:val="-16"/>
          <w:lang w:val="sl-SI"/>
        </w:rPr>
        <w:t xml:space="preserve"> </w:t>
      </w:r>
      <w:r w:rsidRPr="001048FE">
        <w:rPr>
          <w:lang w:val="sl-SI"/>
        </w:rPr>
        <w:t>pa</w:t>
      </w:r>
      <w:r w:rsidRPr="001048FE">
        <w:rPr>
          <w:spacing w:val="-16"/>
          <w:lang w:val="sl-SI"/>
        </w:rPr>
        <w:t xml:space="preserve"> </w:t>
      </w:r>
      <w:r w:rsidRPr="001048FE">
        <w:rPr>
          <w:lang w:val="sl-SI"/>
        </w:rPr>
        <w:t>jih</w:t>
      </w:r>
      <w:r w:rsidRPr="001048FE">
        <w:rPr>
          <w:spacing w:val="-16"/>
          <w:lang w:val="sl-SI"/>
        </w:rPr>
        <w:t xml:space="preserve"> </w:t>
      </w:r>
      <w:r w:rsidRPr="001048FE">
        <w:rPr>
          <w:lang w:val="sl-SI"/>
        </w:rPr>
        <w:t>bodo</w:t>
      </w:r>
      <w:r w:rsidRPr="001048FE">
        <w:rPr>
          <w:spacing w:val="-16"/>
          <w:lang w:val="sl-SI"/>
        </w:rPr>
        <w:t xml:space="preserve"> </w:t>
      </w:r>
      <w:r w:rsidRPr="001048FE">
        <w:rPr>
          <w:lang w:val="sl-SI"/>
        </w:rPr>
        <w:t>menedžerji,</w:t>
      </w:r>
      <w:r w:rsidRPr="001048FE">
        <w:rPr>
          <w:spacing w:val="-16"/>
          <w:lang w:val="sl-SI"/>
        </w:rPr>
        <w:t xml:space="preserve"> </w:t>
      </w:r>
      <w:r w:rsidRPr="001048FE">
        <w:rPr>
          <w:lang w:val="sl-SI"/>
        </w:rPr>
        <w:t>odgovorni</w:t>
      </w:r>
      <w:r w:rsidRPr="001048FE">
        <w:rPr>
          <w:spacing w:val="-15"/>
          <w:lang w:val="sl-SI"/>
        </w:rPr>
        <w:t xml:space="preserve"> </w:t>
      </w:r>
      <w:r w:rsidRPr="001048FE">
        <w:rPr>
          <w:lang w:val="sl-SI"/>
        </w:rPr>
        <w:t>za</w:t>
      </w:r>
      <w:r w:rsidRPr="001048FE">
        <w:rPr>
          <w:spacing w:val="-16"/>
          <w:lang w:val="sl-SI"/>
        </w:rPr>
        <w:t xml:space="preserve"> </w:t>
      </w:r>
      <w:r w:rsidRPr="001048FE">
        <w:rPr>
          <w:lang w:val="sl-SI"/>
        </w:rPr>
        <w:t>zaposlovanje</w:t>
      </w:r>
      <w:r w:rsidRPr="001048FE">
        <w:rPr>
          <w:spacing w:val="-16"/>
          <w:lang w:val="sl-SI"/>
        </w:rPr>
        <w:t xml:space="preserve"> </w:t>
      </w:r>
      <w:r w:rsidRPr="001048FE">
        <w:rPr>
          <w:lang w:val="sl-SI"/>
        </w:rPr>
        <w:t>osebja;</w:t>
      </w:r>
      <w:r w:rsidRPr="001048FE">
        <w:rPr>
          <w:spacing w:val="-15"/>
          <w:lang w:val="sl-SI"/>
        </w:rPr>
        <w:t xml:space="preserve"> </w:t>
      </w:r>
      <w:r w:rsidRPr="001048FE">
        <w:rPr>
          <w:lang w:val="sl-SI"/>
        </w:rPr>
        <w:t>poleg</w:t>
      </w:r>
      <w:r w:rsidRPr="001048FE">
        <w:rPr>
          <w:spacing w:val="-16"/>
          <w:lang w:val="sl-SI"/>
        </w:rPr>
        <w:t xml:space="preserve"> </w:t>
      </w:r>
      <w:r w:rsidRPr="001048FE">
        <w:rPr>
          <w:lang w:val="sl-SI"/>
        </w:rPr>
        <w:t>tega</w:t>
      </w:r>
      <w:r w:rsidRPr="001048FE">
        <w:rPr>
          <w:spacing w:val="-16"/>
          <w:lang w:val="sl-SI"/>
        </w:rPr>
        <w:t xml:space="preserve"> </w:t>
      </w:r>
      <w:r w:rsidRPr="001048FE">
        <w:rPr>
          <w:lang w:val="sl-SI"/>
        </w:rPr>
        <w:t>bodo načini plačila vključeni v partnerski sporazum, ki ga podpišejo partnerji na začetku</w:t>
      </w:r>
      <w:r w:rsidRPr="001048FE">
        <w:rPr>
          <w:spacing w:val="-22"/>
          <w:lang w:val="sl-SI"/>
        </w:rPr>
        <w:t xml:space="preserve"> </w:t>
      </w:r>
      <w:r w:rsidRPr="001048FE">
        <w:rPr>
          <w:lang w:val="sl-SI"/>
        </w:rPr>
        <w:t>projekta.</w:t>
      </w:r>
    </w:p>
    <w:p w14:paraId="7D39AAA0" w14:textId="77777777" w:rsidR="0025640D" w:rsidRPr="001048FE" w:rsidRDefault="0025640D" w:rsidP="006207F4">
      <w:pPr>
        <w:pStyle w:val="Guide-Heading4"/>
        <w:rPr>
          <w:lang w:val="sl-SI"/>
        </w:rPr>
      </w:pPr>
      <w:bookmarkStart w:id="736" w:name="_Toc527401367"/>
      <w:r w:rsidRPr="001048FE">
        <w:rPr>
          <w:lang w:val="sl-SI"/>
        </w:rPr>
        <w:t>Potni stroški – osebje</w:t>
      </w:r>
      <w:bookmarkEnd w:id="736"/>
    </w:p>
    <w:p w14:paraId="7D39AAA1" w14:textId="77777777" w:rsidR="0025640D" w:rsidRPr="001048FE" w:rsidRDefault="0025640D" w:rsidP="0025640D">
      <w:pPr>
        <w:pStyle w:val="GUIDE-NORMAL"/>
        <w:rPr>
          <w:lang w:val="sl-SI"/>
        </w:rPr>
      </w:pPr>
      <w:r w:rsidRPr="001048FE">
        <w:rPr>
          <w:lang w:val="sl-SI"/>
        </w:rPr>
        <w:t>Osebje</w:t>
      </w:r>
      <w:r w:rsidRPr="001048FE">
        <w:rPr>
          <w:spacing w:val="-5"/>
          <w:lang w:val="sl-SI"/>
        </w:rPr>
        <w:t xml:space="preserve"> </w:t>
      </w:r>
      <w:r w:rsidRPr="001048FE">
        <w:rPr>
          <w:lang w:val="sl-SI"/>
        </w:rPr>
        <w:t>katere</w:t>
      </w:r>
      <w:r w:rsidRPr="001048FE">
        <w:rPr>
          <w:spacing w:val="-5"/>
          <w:lang w:val="sl-SI"/>
        </w:rPr>
        <w:t xml:space="preserve"> </w:t>
      </w:r>
      <w:r w:rsidRPr="001048FE">
        <w:rPr>
          <w:lang w:val="sl-SI"/>
        </w:rPr>
        <w:t>koli</w:t>
      </w:r>
      <w:r w:rsidRPr="001048FE">
        <w:rPr>
          <w:spacing w:val="-5"/>
          <w:lang w:val="sl-SI"/>
        </w:rPr>
        <w:t xml:space="preserve"> </w:t>
      </w:r>
      <w:r w:rsidRPr="001048FE">
        <w:rPr>
          <w:lang w:val="sl-SI"/>
        </w:rPr>
        <w:t>kategorije</w:t>
      </w:r>
      <w:r w:rsidRPr="001048FE">
        <w:rPr>
          <w:spacing w:val="-5"/>
          <w:lang w:val="sl-SI"/>
        </w:rPr>
        <w:t xml:space="preserve"> </w:t>
      </w:r>
      <w:r w:rsidRPr="001048FE">
        <w:rPr>
          <w:lang w:val="sl-SI"/>
        </w:rPr>
        <w:t>(npr.</w:t>
      </w:r>
      <w:r w:rsidRPr="001048FE">
        <w:rPr>
          <w:spacing w:val="-5"/>
          <w:lang w:val="sl-SI"/>
        </w:rPr>
        <w:t xml:space="preserve"> </w:t>
      </w:r>
      <w:r w:rsidRPr="001048FE">
        <w:rPr>
          <w:lang w:val="sl-SI"/>
        </w:rPr>
        <w:t>menedžerji,</w:t>
      </w:r>
      <w:r w:rsidRPr="001048FE">
        <w:rPr>
          <w:spacing w:val="-5"/>
          <w:lang w:val="sl-SI"/>
        </w:rPr>
        <w:t xml:space="preserve"> </w:t>
      </w:r>
      <w:r w:rsidRPr="001048FE">
        <w:rPr>
          <w:lang w:val="sl-SI"/>
        </w:rPr>
        <w:t>raziskovalci,</w:t>
      </w:r>
      <w:r w:rsidRPr="001048FE">
        <w:rPr>
          <w:spacing w:val="-5"/>
          <w:lang w:val="sl-SI"/>
        </w:rPr>
        <w:t xml:space="preserve"> </w:t>
      </w:r>
      <w:r w:rsidRPr="001048FE">
        <w:rPr>
          <w:lang w:val="sl-SI"/>
        </w:rPr>
        <w:t>učitelji</w:t>
      </w:r>
      <w:r w:rsidRPr="001048FE">
        <w:rPr>
          <w:spacing w:val="-5"/>
          <w:lang w:val="sl-SI"/>
        </w:rPr>
        <w:t xml:space="preserve"> </w:t>
      </w:r>
      <w:r w:rsidRPr="001048FE">
        <w:rPr>
          <w:lang w:val="sl-SI"/>
        </w:rPr>
        <w:t>in</w:t>
      </w:r>
      <w:r w:rsidRPr="001048FE">
        <w:rPr>
          <w:spacing w:val="-5"/>
          <w:lang w:val="sl-SI"/>
        </w:rPr>
        <w:t xml:space="preserve"> </w:t>
      </w:r>
      <w:r w:rsidRPr="001048FE">
        <w:rPr>
          <w:lang w:val="sl-SI"/>
        </w:rPr>
        <w:t>vodje</w:t>
      </w:r>
      <w:r w:rsidRPr="001048FE">
        <w:rPr>
          <w:spacing w:val="-5"/>
          <w:lang w:val="sl-SI"/>
        </w:rPr>
        <w:t xml:space="preserve"> </w:t>
      </w:r>
      <w:r w:rsidRPr="001048FE">
        <w:rPr>
          <w:lang w:val="sl-SI"/>
        </w:rPr>
        <w:t>usposabljanj,</w:t>
      </w:r>
      <w:r w:rsidRPr="001048FE">
        <w:rPr>
          <w:spacing w:val="-5"/>
          <w:lang w:val="sl-SI"/>
        </w:rPr>
        <w:t xml:space="preserve"> </w:t>
      </w:r>
      <w:r w:rsidRPr="001048FE">
        <w:rPr>
          <w:lang w:val="sl-SI"/>
        </w:rPr>
        <w:t>tehnično</w:t>
      </w:r>
      <w:r w:rsidRPr="001048FE">
        <w:rPr>
          <w:spacing w:val="-5"/>
          <w:lang w:val="sl-SI"/>
        </w:rPr>
        <w:t xml:space="preserve"> </w:t>
      </w:r>
      <w:r w:rsidRPr="001048FE">
        <w:rPr>
          <w:lang w:val="sl-SI"/>
        </w:rPr>
        <w:t>in administrativno osebje), ki ima sklenjeno uradno pogodbo z institucijami upravičenkami in ki sodeluje</w:t>
      </w:r>
      <w:r w:rsidRPr="001048FE">
        <w:rPr>
          <w:spacing w:val="-9"/>
          <w:lang w:val="sl-SI"/>
        </w:rPr>
        <w:t xml:space="preserve"> </w:t>
      </w:r>
      <w:r w:rsidRPr="001048FE">
        <w:rPr>
          <w:lang w:val="sl-SI"/>
        </w:rPr>
        <w:t>pri</w:t>
      </w:r>
      <w:r w:rsidRPr="001048FE">
        <w:rPr>
          <w:spacing w:val="-9"/>
          <w:lang w:val="sl-SI"/>
        </w:rPr>
        <w:t xml:space="preserve"> </w:t>
      </w:r>
      <w:r w:rsidRPr="001048FE">
        <w:rPr>
          <w:lang w:val="sl-SI"/>
        </w:rPr>
        <w:t>projektu,</w:t>
      </w:r>
      <w:r w:rsidRPr="001048FE">
        <w:rPr>
          <w:spacing w:val="-9"/>
          <w:lang w:val="sl-SI"/>
        </w:rPr>
        <w:t xml:space="preserve"> </w:t>
      </w:r>
      <w:r w:rsidRPr="001048FE">
        <w:rPr>
          <w:lang w:val="sl-SI"/>
        </w:rPr>
        <w:t>ima</w:t>
      </w:r>
      <w:r w:rsidRPr="001048FE">
        <w:rPr>
          <w:spacing w:val="-9"/>
          <w:lang w:val="sl-SI"/>
        </w:rPr>
        <w:t xml:space="preserve"> </w:t>
      </w:r>
      <w:r w:rsidRPr="001048FE">
        <w:rPr>
          <w:lang w:val="sl-SI"/>
        </w:rPr>
        <w:t>pravico</w:t>
      </w:r>
      <w:r w:rsidRPr="001048FE">
        <w:rPr>
          <w:spacing w:val="-9"/>
          <w:lang w:val="sl-SI"/>
        </w:rPr>
        <w:t xml:space="preserve"> </w:t>
      </w:r>
      <w:r w:rsidRPr="001048FE">
        <w:rPr>
          <w:lang w:val="sl-SI"/>
        </w:rPr>
        <w:t>do</w:t>
      </w:r>
      <w:r w:rsidRPr="001048FE">
        <w:rPr>
          <w:spacing w:val="-9"/>
          <w:lang w:val="sl-SI"/>
        </w:rPr>
        <w:t xml:space="preserve"> </w:t>
      </w:r>
      <w:r w:rsidRPr="001048FE">
        <w:rPr>
          <w:lang w:val="sl-SI"/>
        </w:rPr>
        <w:t>finančne</w:t>
      </w:r>
      <w:r w:rsidRPr="001048FE">
        <w:rPr>
          <w:spacing w:val="-9"/>
          <w:lang w:val="sl-SI"/>
        </w:rPr>
        <w:t xml:space="preserve"> </w:t>
      </w:r>
      <w:r w:rsidRPr="001048FE">
        <w:rPr>
          <w:lang w:val="sl-SI"/>
        </w:rPr>
        <w:t>podpore</w:t>
      </w:r>
      <w:r w:rsidRPr="001048FE">
        <w:rPr>
          <w:spacing w:val="-9"/>
          <w:lang w:val="sl-SI"/>
        </w:rPr>
        <w:t xml:space="preserve"> </w:t>
      </w:r>
      <w:r w:rsidRPr="001048FE">
        <w:rPr>
          <w:lang w:val="sl-SI"/>
        </w:rPr>
        <w:t>za</w:t>
      </w:r>
      <w:r w:rsidRPr="001048FE">
        <w:rPr>
          <w:spacing w:val="-9"/>
          <w:lang w:val="sl-SI"/>
        </w:rPr>
        <w:t xml:space="preserve"> </w:t>
      </w:r>
      <w:r w:rsidRPr="001048FE">
        <w:rPr>
          <w:lang w:val="sl-SI"/>
        </w:rPr>
        <w:t>potne</w:t>
      </w:r>
      <w:r w:rsidRPr="001048FE">
        <w:rPr>
          <w:spacing w:val="-9"/>
          <w:lang w:val="sl-SI"/>
        </w:rPr>
        <w:t xml:space="preserve"> </w:t>
      </w:r>
      <w:r w:rsidRPr="001048FE">
        <w:rPr>
          <w:lang w:val="sl-SI"/>
        </w:rPr>
        <w:t>stroške</w:t>
      </w:r>
      <w:r w:rsidRPr="001048FE">
        <w:rPr>
          <w:spacing w:val="-9"/>
          <w:lang w:val="sl-SI"/>
        </w:rPr>
        <w:t xml:space="preserve"> </w:t>
      </w:r>
      <w:r w:rsidRPr="001048FE">
        <w:rPr>
          <w:lang w:val="sl-SI"/>
        </w:rPr>
        <w:t>in</w:t>
      </w:r>
      <w:r w:rsidRPr="001048FE">
        <w:rPr>
          <w:spacing w:val="-9"/>
          <w:lang w:val="sl-SI"/>
        </w:rPr>
        <w:t xml:space="preserve"> </w:t>
      </w:r>
      <w:r w:rsidRPr="001048FE">
        <w:rPr>
          <w:lang w:val="sl-SI"/>
        </w:rPr>
        <w:t>stroške</w:t>
      </w:r>
      <w:r w:rsidRPr="001048FE">
        <w:rPr>
          <w:spacing w:val="-9"/>
          <w:lang w:val="sl-SI"/>
        </w:rPr>
        <w:t xml:space="preserve"> </w:t>
      </w:r>
      <w:r w:rsidRPr="001048FE">
        <w:rPr>
          <w:lang w:val="sl-SI"/>
        </w:rPr>
        <w:t>bivanja,</w:t>
      </w:r>
      <w:r w:rsidRPr="001048FE">
        <w:rPr>
          <w:spacing w:val="-9"/>
          <w:lang w:val="sl-SI"/>
        </w:rPr>
        <w:t xml:space="preserve"> </w:t>
      </w:r>
      <w:r w:rsidRPr="001048FE">
        <w:rPr>
          <w:lang w:val="sl-SI"/>
        </w:rPr>
        <w:t>če</w:t>
      </w:r>
      <w:r w:rsidRPr="001048FE">
        <w:rPr>
          <w:spacing w:val="-9"/>
          <w:lang w:val="sl-SI"/>
        </w:rPr>
        <w:t xml:space="preserve"> </w:t>
      </w:r>
      <w:r w:rsidRPr="001048FE">
        <w:rPr>
          <w:lang w:val="sl-SI"/>
        </w:rPr>
        <w:t>sta</w:t>
      </w:r>
      <w:r w:rsidRPr="001048FE">
        <w:rPr>
          <w:spacing w:val="-9"/>
          <w:lang w:val="sl-SI"/>
        </w:rPr>
        <w:t xml:space="preserve"> </w:t>
      </w:r>
      <w:r w:rsidRPr="001048FE">
        <w:rPr>
          <w:lang w:val="sl-SI"/>
        </w:rPr>
        <w:t>pot in bivanje neposredno potrebna za doseganje ciljev</w:t>
      </w:r>
      <w:r w:rsidRPr="001048FE">
        <w:rPr>
          <w:spacing w:val="-23"/>
          <w:lang w:val="sl-SI"/>
        </w:rPr>
        <w:t xml:space="preserve"> </w:t>
      </w:r>
      <w:r w:rsidRPr="001048FE">
        <w:rPr>
          <w:lang w:val="sl-SI"/>
        </w:rPr>
        <w:t>projekta.</w:t>
      </w:r>
    </w:p>
    <w:p w14:paraId="7D39AAA2" w14:textId="77777777" w:rsidR="0025640D" w:rsidRPr="001048FE" w:rsidRDefault="0025640D" w:rsidP="0025640D">
      <w:pPr>
        <w:pStyle w:val="GUIDE-NORMAL"/>
        <w:rPr>
          <w:lang w:val="sl-SI"/>
        </w:rPr>
      </w:pPr>
      <w:r w:rsidRPr="001048FE">
        <w:rPr>
          <w:lang w:val="sl-SI"/>
        </w:rPr>
        <w:t xml:space="preserve">Poti so namenjene naslednjim aktivnostim: </w:t>
      </w:r>
    </w:p>
    <w:p w14:paraId="7D39AAA3" w14:textId="77777777" w:rsidR="0025640D" w:rsidRPr="001048FE" w:rsidRDefault="0025640D" w:rsidP="005115F2">
      <w:pPr>
        <w:pStyle w:val="Guide-NormalBulletpoints"/>
        <w:numPr>
          <w:ilvl w:val="0"/>
          <w:numId w:val="315"/>
        </w:numPr>
        <w:pBdr>
          <w:top w:val="single" w:sz="4" w:space="1" w:color="auto"/>
          <w:left w:val="single" w:sz="4" w:space="4" w:color="auto"/>
          <w:bottom w:val="single" w:sz="4" w:space="1" w:color="auto"/>
          <w:right w:val="single" w:sz="4" w:space="4" w:color="auto"/>
        </w:pBdr>
        <w:rPr>
          <w:lang w:val="sl-SI"/>
        </w:rPr>
      </w:pPr>
      <w:r w:rsidRPr="001048FE">
        <w:rPr>
          <w:lang w:val="sl-SI"/>
        </w:rPr>
        <w:t>programi poučevanja/usposabljanja;</w:t>
      </w:r>
    </w:p>
    <w:p w14:paraId="7D39AAA4" w14:textId="77777777" w:rsidR="0025640D" w:rsidRPr="001048FE" w:rsidRDefault="0025640D" w:rsidP="005115F2">
      <w:pPr>
        <w:pStyle w:val="Guide-NormalBulletpoints"/>
        <w:numPr>
          <w:ilvl w:val="0"/>
          <w:numId w:val="315"/>
        </w:numPr>
        <w:pBdr>
          <w:top w:val="single" w:sz="4" w:space="1" w:color="auto"/>
          <w:left w:val="single" w:sz="4" w:space="4" w:color="auto"/>
          <w:bottom w:val="single" w:sz="4" w:space="1" w:color="auto"/>
          <w:right w:val="single" w:sz="4" w:space="4" w:color="auto"/>
        </w:pBdr>
        <w:rPr>
          <w:lang w:val="sl-SI"/>
        </w:rPr>
      </w:pPr>
      <w:r w:rsidRPr="001048FE">
        <w:rPr>
          <w:lang w:val="sl-SI"/>
        </w:rPr>
        <w:t xml:space="preserve">usposabljanje in preusposabljanje (upravičeno je le osebje iz partnerskih držav); </w:t>
      </w:r>
    </w:p>
    <w:p w14:paraId="7D39AAA5" w14:textId="77777777" w:rsidR="0025640D" w:rsidRPr="001048FE" w:rsidRDefault="0025640D" w:rsidP="005115F2">
      <w:pPr>
        <w:pStyle w:val="Guide-NormalBulletpoints"/>
        <w:numPr>
          <w:ilvl w:val="0"/>
          <w:numId w:val="315"/>
        </w:numPr>
        <w:pBdr>
          <w:top w:val="single" w:sz="4" w:space="1" w:color="auto"/>
          <w:left w:val="single" w:sz="4" w:space="4" w:color="auto"/>
          <w:bottom w:val="single" w:sz="4" w:space="1" w:color="auto"/>
          <w:right w:val="single" w:sz="4" w:space="4" w:color="auto"/>
        </w:pBdr>
        <w:rPr>
          <w:lang w:val="sl-SI"/>
        </w:rPr>
      </w:pPr>
      <w:r w:rsidRPr="001048FE">
        <w:rPr>
          <w:lang w:val="sl-SI"/>
        </w:rPr>
        <w:t>osvežitveni programi in tečaji;</w:t>
      </w:r>
    </w:p>
    <w:p w14:paraId="7D39AAA6" w14:textId="77777777" w:rsidR="0025640D" w:rsidRPr="001048FE" w:rsidRDefault="0025640D" w:rsidP="005115F2">
      <w:pPr>
        <w:pStyle w:val="Guide-NormalBulletpoints"/>
        <w:numPr>
          <w:ilvl w:val="0"/>
          <w:numId w:val="315"/>
        </w:numPr>
        <w:pBdr>
          <w:top w:val="single" w:sz="4" w:space="1" w:color="auto"/>
          <w:left w:val="single" w:sz="4" w:space="4" w:color="auto"/>
          <w:bottom w:val="single" w:sz="4" w:space="1" w:color="auto"/>
          <w:right w:val="single" w:sz="4" w:space="4" w:color="auto"/>
        </w:pBdr>
        <w:rPr>
          <w:lang w:val="sl-SI"/>
        </w:rPr>
      </w:pPr>
      <w:r w:rsidRPr="001048FE">
        <w:rPr>
          <w:lang w:val="sl-SI"/>
        </w:rPr>
        <w:t>praktično usposabljanje v podjetjih, industrijah in institucijah (upravičeno je le osebje iz partnerskih držav);</w:t>
      </w:r>
    </w:p>
    <w:p w14:paraId="7D39AAA7" w14:textId="77777777" w:rsidR="0025640D" w:rsidRPr="001048FE" w:rsidRDefault="0025640D" w:rsidP="005115F2">
      <w:pPr>
        <w:pStyle w:val="Guide-NormalBulletpoints"/>
        <w:numPr>
          <w:ilvl w:val="0"/>
          <w:numId w:val="315"/>
        </w:numPr>
        <w:pBdr>
          <w:top w:val="single" w:sz="4" w:space="1" w:color="auto"/>
          <w:left w:val="single" w:sz="4" w:space="4" w:color="auto"/>
          <w:bottom w:val="single" w:sz="4" w:space="1" w:color="auto"/>
          <w:right w:val="single" w:sz="4" w:space="4" w:color="auto"/>
        </w:pBdr>
        <w:rPr>
          <w:lang w:val="sl-SI"/>
        </w:rPr>
      </w:pPr>
      <w:r w:rsidRPr="001048FE">
        <w:rPr>
          <w:lang w:val="sl-SI"/>
        </w:rPr>
        <w:t>sestanki, povezani z upravljanjem projekta (npr. za upravljanje, koordinacijo, načrtovanje, spremljanje in nadzor kakovosti);</w:t>
      </w:r>
    </w:p>
    <w:p w14:paraId="7D39AAA8" w14:textId="77777777" w:rsidR="0025640D" w:rsidRPr="001048FE" w:rsidRDefault="0025640D" w:rsidP="005115F2">
      <w:pPr>
        <w:pStyle w:val="Guide-NormalBulletpoints"/>
        <w:numPr>
          <w:ilvl w:val="0"/>
          <w:numId w:val="315"/>
        </w:numPr>
        <w:pBdr>
          <w:top w:val="single" w:sz="4" w:space="1" w:color="auto"/>
          <w:left w:val="single" w:sz="4" w:space="4" w:color="auto"/>
          <w:bottom w:val="single" w:sz="4" w:space="1" w:color="auto"/>
          <w:right w:val="single" w:sz="4" w:space="4" w:color="auto"/>
        </w:pBdr>
        <w:rPr>
          <w:lang w:val="sl-SI"/>
        </w:rPr>
      </w:pPr>
      <w:r w:rsidRPr="001048FE">
        <w:rPr>
          <w:lang w:val="sl-SI"/>
        </w:rPr>
        <w:t>delavnice in obiski za razširjanje rezultatov.</w:t>
      </w:r>
    </w:p>
    <w:p w14:paraId="7D39AAA9" w14:textId="77777777" w:rsidR="0025640D" w:rsidRPr="00237696" w:rsidRDefault="0025640D" w:rsidP="0025640D">
      <w:pPr>
        <w:pStyle w:val="GUIDE-NORMAL"/>
        <w:rPr>
          <w:color w:val="FF0000"/>
          <w:lang w:val="sl-SI"/>
        </w:rPr>
      </w:pPr>
      <w:r w:rsidRPr="001048FE">
        <w:rPr>
          <w:lang w:val="sl-SI"/>
        </w:rPr>
        <w:t>Trajanje takih poti ne sme presegati tri mesece.</w:t>
      </w:r>
    </w:p>
    <w:p w14:paraId="7D39AAAA" w14:textId="77777777" w:rsidR="00977659" w:rsidRDefault="00977659" w:rsidP="0025640D">
      <w:pPr>
        <w:pStyle w:val="Guide-Heading4"/>
        <w:rPr>
          <w:lang w:val="sl-SI"/>
        </w:rPr>
      </w:pPr>
      <w:bookmarkStart w:id="737" w:name="_Toc527401368"/>
    </w:p>
    <w:p w14:paraId="7D39AAAB" w14:textId="77777777" w:rsidR="0025640D" w:rsidRPr="001048FE" w:rsidRDefault="0025640D" w:rsidP="0025640D">
      <w:pPr>
        <w:pStyle w:val="Guide-Heading4"/>
        <w:rPr>
          <w:lang w:val="sl-SI"/>
        </w:rPr>
      </w:pPr>
      <w:r w:rsidRPr="001048FE">
        <w:rPr>
          <w:lang w:val="sl-SI"/>
        </w:rPr>
        <w:t>Potni stroški – Študenti</w:t>
      </w:r>
      <w:bookmarkEnd w:id="737"/>
    </w:p>
    <w:p w14:paraId="7D39AAAC" w14:textId="77777777" w:rsidR="0025640D" w:rsidRPr="001048FE" w:rsidRDefault="0025640D" w:rsidP="0025640D">
      <w:pPr>
        <w:pStyle w:val="GUIDE-NORMAL"/>
        <w:rPr>
          <w:lang w:val="sl-SI"/>
        </w:rPr>
      </w:pPr>
      <w:r w:rsidRPr="001048FE">
        <w:rPr>
          <w:lang w:val="sl-SI"/>
        </w:rPr>
        <w:t>Študenti (na višješolski, dodiplomski, prvi (diplomski ali enakovredni), podiplomski (magistrski ali enakovredni) in tretji ali doktorski stopnji), ki so vpisani v eni od institucij upravičenk, imajo pravico do</w:t>
      </w:r>
      <w:r w:rsidRPr="001048FE">
        <w:rPr>
          <w:spacing w:val="-10"/>
          <w:lang w:val="sl-SI"/>
        </w:rPr>
        <w:t xml:space="preserve"> </w:t>
      </w:r>
      <w:r w:rsidRPr="001048FE">
        <w:rPr>
          <w:lang w:val="sl-SI"/>
        </w:rPr>
        <w:t>finančne</w:t>
      </w:r>
      <w:r w:rsidRPr="001048FE">
        <w:rPr>
          <w:spacing w:val="-10"/>
          <w:lang w:val="sl-SI"/>
        </w:rPr>
        <w:t xml:space="preserve"> </w:t>
      </w:r>
      <w:r w:rsidRPr="001048FE">
        <w:rPr>
          <w:lang w:val="sl-SI"/>
        </w:rPr>
        <w:t>podpore</w:t>
      </w:r>
      <w:r w:rsidRPr="001048FE">
        <w:rPr>
          <w:spacing w:val="-10"/>
          <w:lang w:val="sl-SI"/>
        </w:rPr>
        <w:t xml:space="preserve"> </w:t>
      </w:r>
      <w:r w:rsidRPr="001048FE">
        <w:rPr>
          <w:lang w:val="sl-SI"/>
        </w:rPr>
        <w:t>za</w:t>
      </w:r>
      <w:r w:rsidRPr="001048FE">
        <w:rPr>
          <w:spacing w:val="-10"/>
          <w:lang w:val="sl-SI"/>
        </w:rPr>
        <w:t xml:space="preserve"> </w:t>
      </w:r>
      <w:r w:rsidRPr="001048FE">
        <w:rPr>
          <w:lang w:val="sl-SI"/>
        </w:rPr>
        <w:t>pot</w:t>
      </w:r>
      <w:r w:rsidRPr="001048FE">
        <w:rPr>
          <w:spacing w:val="-10"/>
          <w:lang w:val="sl-SI"/>
        </w:rPr>
        <w:t xml:space="preserve"> </w:t>
      </w:r>
      <w:r w:rsidRPr="001048FE">
        <w:rPr>
          <w:lang w:val="sl-SI"/>
        </w:rPr>
        <w:t>in</w:t>
      </w:r>
      <w:r w:rsidRPr="001048FE">
        <w:rPr>
          <w:spacing w:val="-10"/>
          <w:lang w:val="sl-SI"/>
        </w:rPr>
        <w:t xml:space="preserve"> </w:t>
      </w:r>
      <w:r w:rsidRPr="001048FE">
        <w:rPr>
          <w:lang w:val="sl-SI"/>
        </w:rPr>
        <w:t>bivanje,</w:t>
      </w:r>
      <w:r w:rsidRPr="001048FE">
        <w:rPr>
          <w:spacing w:val="-10"/>
          <w:lang w:val="sl-SI"/>
        </w:rPr>
        <w:t xml:space="preserve"> </w:t>
      </w:r>
      <w:r w:rsidRPr="001048FE">
        <w:rPr>
          <w:lang w:val="sl-SI"/>
        </w:rPr>
        <w:t>če</w:t>
      </w:r>
      <w:r w:rsidRPr="001048FE">
        <w:rPr>
          <w:spacing w:val="-10"/>
          <w:lang w:val="sl-SI"/>
        </w:rPr>
        <w:t xml:space="preserve"> </w:t>
      </w:r>
      <w:r w:rsidRPr="001048FE">
        <w:rPr>
          <w:lang w:val="sl-SI"/>
        </w:rPr>
        <w:t>sta</w:t>
      </w:r>
      <w:r w:rsidRPr="001048FE">
        <w:rPr>
          <w:spacing w:val="-10"/>
          <w:lang w:val="sl-SI"/>
        </w:rPr>
        <w:t xml:space="preserve"> </w:t>
      </w:r>
      <w:r w:rsidRPr="001048FE">
        <w:rPr>
          <w:lang w:val="sl-SI"/>
        </w:rPr>
        <w:t>ta</w:t>
      </w:r>
      <w:r w:rsidRPr="001048FE">
        <w:rPr>
          <w:spacing w:val="-10"/>
          <w:lang w:val="sl-SI"/>
        </w:rPr>
        <w:t xml:space="preserve"> </w:t>
      </w:r>
      <w:r w:rsidRPr="001048FE">
        <w:rPr>
          <w:lang w:val="sl-SI"/>
        </w:rPr>
        <w:t>pot</w:t>
      </w:r>
      <w:r w:rsidRPr="001048FE">
        <w:rPr>
          <w:spacing w:val="-10"/>
          <w:lang w:val="sl-SI"/>
        </w:rPr>
        <w:t xml:space="preserve"> </w:t>
      </w:r>
      <w:r w:rsidRPr="001048FE">
        <w:rPr>
          <w:lang w:val="sl-SI"/>
        </w:rPr>
        <w:t>in</w:t>
      </w:r>
      <w:r w:rsidRPr="001048FE">
        <w:rPr>
          <w:spacing w:val="-10"/>
          <w:lang w:val="sl-SI"/>
        </w:rPr>
        <w:t xml:space="preserve"> </w:t>
      </w:r>
      <w:r w:rsidRPr="001048FE">
        <w:rPr>
          <w:lang w:val="sl-SI"/>
        </w:rPr>
        <w:t>bivanje</w:t>
      </w:r>
      <w:r w:rsidRPr="001048FE">
        <w:rPr>
          <w:spacing w:val="-10"/>
          <w:lang w:val="sl-SI"/>
        </w:rPr>
        <w:t xml:space="preserve"> </w:t>
      </w:r>
      <w:r w:rsidRPr="001048FE">
        <w:rPr>
          <w:lang w:val="sl-SI"/>
        </w:rPr>
        <w:t>potrebna</w:t>
      </w:r>
      <w:r w:rsidRPr="001048FE">
        <w:rPr>
          <w:spacing w:val="-10"/>
          <w:lang w:val="sl-SI"/>
        </w:rPr>
        <w:t xml:space="preserve"> </w:t>
      </w:r>
      <w:r w:rsidRPr="001048FE">
        <w:rPr>
          <w:lang w:val="sl-SI"/>
        </w:rPr>
        <w:t>za</w:t>
      </w:r>
      <w:r w:rsidRPr="001048FE">
        <w:rPr>
          <w:spacing w:val="-10"/>
          <w:lang w:val="sl-SI"/>
        </w:rPr>
        <w:t xml:space="preserve"> </w:t>
      </w:r>
      <w:r w:rsidRPr="001048FE">
        <w:rPr>
          <w:lang w:val="sl-SI"/>
        </w:rPr>
        <w:t>doseganje</w:t>
      </w:r>
      <w:r w:rsidRPr="001048FE">
        <w:rPr>
          <w:spacing w:val="-10"/>
          <w:lang w:val="sl-SI"/>
        </w:rPr>
        <w:t xml:space="preserve"> </w:t>
      </w:r>
      <w:r w:rsidRPr="001048FE">
        <w:rPr>
          <w:lang w:val="sl-SI"/>
        </w:rPr>
        <w:t>ciljev</w:t>
      </w:r>
      <w:r w:rsidRPr="001048FE">
        <w:rPr>
          <w:spacing w:val="-10"/>
          <w:lang w:val="sl-SI"/>
        </w:rPr>
        <w:t xml:space="preserve"> </w:t>
      </w:r>
      <w:r w:rsidRPr="001048FE">
        <w:rPr>
          <w:lang w:val="sl-SI"/>
        </w:rPr>
        <w:t>projekta. Poti za študente morajo potekati v okviru sodelujoče organizacije ali druge organizacije pod nadzorom sodelujoče</w:t>
      </w:r>
      <w:r w:rsidRPr="001048FE">
        <w:rPr>
          <w:spacing w:val="-6"/>
          <w:lang w:val="sl-SI"/>
        </w:rPr>
        <w:t xml:space="preserve"> </w:t>
      </w:r>
      <w:r w:rsidRPr="001048FE">
        <w:rPr>
          <w:lang w:val="sl-SI"/>
        </w:rPr>
        <w:t>organizacije.</w:t>
      </w:r>
    </w:p>
    <w:p w14:paraId="7D39AAAD" w14:textId="77777777" w:rsidR="00BE364E" w:rsidRPr="001048FE" w:rsidRDefault="0025640D" w:rsidP="0025640D">
      <w:pPr>
        <w:pStyle w:val="GUIDE-NORMAL"/>
        <w:rPr>
          <w:lang w:val="sl-SI"/>
        </w:rPr>
      </w:pPr>
      <w:r w:rsidRPr="001048FE">
        <w:rPr>
          <w:lang w:val="sl-SI"/>
        </w:rPr>
        <w:t xml:space="preserve">Usmerjena morajo biti </w:t>
      </w:r>
      <w:r w:rsidR="00AB5C1E">
        <w:rPr>
          <w:lang w:val="sl-SI"/>
        </w:rPr>
        <w:t>običajno</w:t>
      </w:r>
      <w:r w:rsidR="00AB5C1E" w:rsidRPr="001048FE">
        <w:rPr>
          <w:lang w:val="sl-SI"/>
        </w:rPr>
        <w:t xml:space="preserve"> </w:t>
      </w:r>
      <w:r w:rsidRPr="001048FE">
        <w:rPr>
          <w:lang w:val="sl-SI"/>
        </w:rPr>
        <w:t>v študente iz partnerskih držav in namenjena naslednjim aktivnostim:</w:t>
      </w:r>
    </w:p>
    <w:tbl>
      <w:tblPr>
        <w:tblW w:w="5000" w:type="pct"/>
        <w:tblLayout w:type="fixed"/>
        <w:tblLook w:val="0000" w:firstRow="0" w:lastRow="0" w:firstColumn="0" w:lastColumn="0" w:noHBand="0" w:noVBand="0"/>
      </w:tblPr>
      <w:tblGrid>
        <w:gridCol w:w="7260"/>
        <w:gridCol w:w="2030"/>
      </w:tblGrid>
      <w:tr w:rsidR="0025640D" w:rsidRPr="008C6F8C" w14:paraId="7D39AAB0" w14:textId="77777777" w:rsidTr="00A445D7">
        <w:trPr>
          <w:trHeight w:val="20"/>
        </w:trPr>
        <w:tc>
          <w:tcPr>
            <w:tcW w:w="7083" w:type="dxa"/>
            <w:tcBorders>
              <w:top w:val="single" w:sz="4" w:space="0" w:color="000000"/>
              <w:left w:val="single" w:sz="4" w:space="0" w:color="000000"/>
              <w:bottom w:val="single" w:sz="4" w:space="0" w:color="000000"/>
              <w:right w:val="single" w:sz="4" w:space="0" w:color="000000"/>
            </w:tcBorders>
          </w:tcPr>
          <w:p w14:paraId="7D39AAAE" w14:textId="77777777" w:rsidR="0025640D" w:rsidRPr="00F769E0" w:rsidRDefault="0025640D" w:rsidP="00A445D7">
            <w:pPr>
              <w:pStyle w:val="GUIDE-NORMAL"/>
              <w:spacing w:before="60" w:after="60"/>
              <w:jc w:val="center"/>
              <w:rPr>
                <w:rFonts w:cs="Tahoma"/>
                <w:b/>
                <w:lang w:val="sl-SI" w:eastAsia="en-GB"/>
              </w:rPr>
            </w:pPr>
            <w:r w:rsidRPr="00F769E0">
              <w:rPr>
                <w:rFonts w:cs="Tahoma"/>
                <w:b/>
                <w:lang w:val="sl-SI" w:eastAsia="en-GB"/>
              </w:rPr>
              <w:t>Aktivnost</w:t>
            </w:r>
          </w:p>
        </w:tc>
        <w:tc>
          <w:tcPr>
            <w:tcW w:w="1981" w:type="dxa"/>
            <w:tcBorders>
              <w:top w:val="single" w:sz="4" w:space="0" w:color="000000"/>
              <w:left w:val="single" w:sz="4" w:space="0" w:color="000000"/>
              <w:bottom w:val="single" w:sz="4" w:space="0" w:color="000000"/>
              <w:right w:val="single" w:sz="4" w:space="0" w:color="000000"/>
            </w:tcBorders>
          </w:tcPr>
          <w:p w14:paraId="7D39AAAF" w14:textId="77777777" w:rsidR="0025640D" w:rsidRPr="00F769E0" w:rsidRDefault="0025640D" w:rsidP="00A445D7">
            <w:pPr>
              <w:pStyle w:val="GUIDE-NORMAL"/>
              <w:spacing w:before="60" w:after="60"/>
              <w:jc w:val="center"/>
              <w:rPr>
                <w:rFonts w:cs="Tahoma"/>
                <w:b/>
                <w:lang w:val="sl-SI" w:eastAsia="en-GB"/>
              </w:rPr>
            </w:pPr>
            <w:r w:rsidRPr="00F769E0">
              <w:rPr>
                <w:rFonts w:cs="Tahoma"/>
                <w:b/>
                <w:lang w:val="sl-SI" w:eastAsia="en-GB"/>
              </w:rPr>
              <w:t>Trajanje</w:t>
            </w:r>
          </w:p>
        </w:tc>
      </w:tr>
      <w:tr w:rsidR="00BE364E" w:rsidRPr="008C6F8C" w14:paraId="7D39AAB7" w14:textId="77777777" w:rsidTr="00B96270">
        <w:trPr>
          <w:trHeight w:val="20"/>
        </w:trPr>
        <w:tc>
          <w:tcPr>
            <w:tcW w:w="7083" w:type="dxa"/>
            <w:tcBorders>
              <w:top w:val="single" w:sz="4" w:space="0" w:color="000000"/>
              <w:left w:val="single" w:sz="4" w:space="0" w:color="000000"/>
              <w:bottom w:val="single" w:sz="4" w:space="0" w:color="000000"/>
              <w:right w:val="single" w:sz="4" w:space="0" w:color="000000"/>
            </w:tcBorders>
            <w:vAlign w:val="center"/>
          </w:tcPr>
          <w:p w14:paraId="7D39AAB1" w14:textId="77777777" w:rsidR="0025640D" w:rsidRPr="00F769E0" w:rsidRDefault="0025640D" w:rsidP="005115F2">
            <w:pPr>
              <w:pStyle w:val="GUIDE-NORMAL"/>
              <w:numPr>
                <w:ilvl w:val="0"/>
                <w:numId w:val="168"/>
              </w:numPr>
              <w:spacing w:before="60" w:after="60"/>
              <w:jc w:val="left"/>
              <w:rPr>
                <w:rFonts w:cs="Tahoma"/>
                <w:lang w:val="sl-SI" w:eastAsia="en-GB"/>
              </w:rPr>
            </w:pPr>
            <w:r w:rsidRPr="00F769E0">
              <w:rPr>
                <w:rFonts w:cs="Tahoma"/>
                <w:lang w:val="sl-SI" w:eastAsia="en-GB"/>
              </w:rPr>
              <w:t>obdobja študija v instituciji partnerske države;</w:t>
            </w:r>
          </w:p>
          <w:p w14:paraId="7D39AAB2" w14:textId="77777777" w:rsidR="0025640D" w:rsidRPr="00F769E0" w:rsidRDefault="0025640D" w:rsidP="005115F2">
            <w:pPr>
              <w:pStyle w:val="GUIDE-NORMAL"/>
              <w:numPr>
                <w:ilvl w:val="0"/>
                <w:numId w:val="168"/>
              </w:numPr>
              <w:spacing w:before="60" w:after="60"/>
              <w:jc w:val="left"/>
              <w:rPr>
                <w:rFonts w:cs="Tahoma"/>
                <w:lang w:val="sl-SI" w:eastAsia="en-GB"/>
              </w:rPr>
            </w:pPr>
            <w:r w:rsidRPr="00F769E0">
              <w:rPr>
                <w:rFonts w:cs="Tahoma"/>
                <w:lang w:val="sl-SI" w:eastAsia="en-GB"/>
              </w:rPr>
              <w:t>obdobja študija v instituciji države Programa (le za študente iz partnerskih držav);</w:t>
            </w:r>
          </w:p>
          <w:p w14:paraId="7D39AAB3" w14:textId="77777777" w:rsidR="0025640D" w:rsidRPr="00F769E0" w:rsidRDefault="0025640D" w:rsidP="005115F2">
            <w:pPr>
              <w:pStyle w:val="GUIDE-NORMAL"/>
              <w:numPr>
                <w:ilvl w:val="0"/>
                <w:numId w:val="168"/>
              </w:numPr>
              <w:spacing w:before="60" w:after="60"/>
              <w:jc w:val="left"/>
              <w:rPr>
                <w:rFonts w:cs="Tahoma"/>
                <w:lang w:val="sl-SI" w:eastAsia="en-GB"/>
              </w:rPr>
            </w:pPr>
            <w:r w:rsidRPr="00F769E0">
              <w:rPr>
                <w:rFonts w:cs="Tahoma"/>
                <w:lang w:val="sl-SI" w:eastAsia="en-GB"/>
              </w:rPr>
              <w:t>udeležba na intenzivnih tečajih, ki jih organizira institucija države Programa ali partnerske države;</w:t>
            </w:r>
          </w:p>
          <w:p w14:paraId="7D39AAB4" w14:textId="77777777" w:rsidR="0025640D" w:rsidRPr="00F769E0" w:rsidRDefault="0025640D" w:rsidP="005115F2">
            <w:pPr>
              <w:pStyle w:val="GUIDE-NORMAL"/>
              <w:numPr>
                <w:ilvl w:val="0"/>
                <w:numId w:val="168"/>
              </w:numPr>
              <w:spacing w:before="60" w:after="60"/>
              <w:jc w:val="left"/>
              <w:rPr>
                <w:rFonts w:cs="Tahoma"/>
                <w:lang w:val="sl-SI" w:eastAsia="en-GB"/>
              </w:rPr>
            </w:pPr>
            <w:r w:rsidRPr="00F769E0">
              <w:rPr>
                <w:rFonts w:cs="Tahoma"/>
                <w:lang w:val="sl-SI" w:eastAsia="en-GB"/>
              </w:rPr>
              <w:t>praktično usposabljanje in praksa v podjetjih, industrijah ali institucijah v partnerski državi;</w:t>
            </w:r>
          </w:p>
          <w:p w14:paraId="7D39AAB5" w14:textId="77777777" w:rsidR="00BE364E" w:rsidRPr="00F769E0" w:rsidRDefault="0025640D" w:rsidP="005115F2">
            <w:pPr>
              <w:pStyle w:val="GUIDE-NORMAL"/>
              <w:numPr>
                <w:ilvl w:val="0"/>
                <w:numId w:val="168"/>
              </w:numPr>
              <w:spacing w:before="60" w:after="60"/>
              <w:jc w:val="left"/>
              <w:rPr>
                <w:rFonts w:cs="Tahoma"/>
                <w:lang w:val="sl-SI" w:eastAsia="en-GB"/>
              </w:rPr>
            </w:pPr>
            <w:r w:rsidRPr="00F769E0">
              <w:rPr>
                <w:rFonts w:cs="Tahoma"/>
                <w:lang w:val="sl-SI" w:eastAsia="en-GB"/>
              </w:rPr>
              <w:t>praktično usposabljanje in praksa v podjetjih, industrijah ali institucijah v državi Programa (le za študente iz partnerskih držav).</w:t>
            </w:r>
          </w:p>
        </w:tc>
        <w:tc>
          <w:tcPr>
            <w:tcW w:w="1981" w:type="dxa"/>
            <w:tcBorders>
              <w:top w:val="single" w:sz="4" w:space="0" w:color="000000"/>
              <w:left w:val="single" w:sz="4" w:space="0" w:color="000000"/>
              <w:bottom w:val="single" w:sz="4" w:space="0" w:color="000000"/>
              <w:right w:val="single" w:sz="4" w:space="0" w:color="000000"/>
            </w:tcBorders>
            <w:vAlign w:val="center"/>
          </w:tcPr>
          <w:p w14:paraId="7D39AAB6" w14:textId="77777777" w:rsidR="00BE364E" w:rsidRPr="00F769E0" w:rsidRDefault="001809E5" w:rsidP="001809E5">
            <w:pPr>
              <w:pStyle w:val="GUIDE-NORMAL"/>
              <w:spacing w:before="60" w:after="60"/>
              <w:jc w:val="left"/>
              <w:rPr>
                <w:rFonts w:cs="Tahoma"/>
                <w:b/>
                <w:lang w:val="sl-SI" w:eastAsia="en-GB"/>
              </w:rPr>
            </w:pPr>
            <w:r w:rsidRPr="00F769E0">
              <w:rPr>
                <w:rFonts w:cs="Tahoma"/>
                <w:b/>
                <w:lang w:val="sl-SI" w:eastAsia="en-GB"/>
              </w:rPr>
              <w:t>Najmanj 2 tedna – največ 3 meseci</w:t>
            </w:r>
          </w:p>
        </w:tc>
      </w:tr>
      <w:tr w:rsidR="00BE364E" w:rsidRPr="008C6F8C" w14:paraId="7D39AABA" w14:textId="77777777" w:rsidTr="00B96270">
        <w:trPr>
          <w:trHeight w:val="20"/>
        </w:trPr>
        <w:tc>
          <w:tcPr>
            <w:tcW w:w="7083" w:type="dxa"/>
            <w:tcBorders>
              <w:top w:val="single" w:sz="4" w:space="0" w:color="000000"/>
              <w:left w:val="single" w:sz="4" w:space="0" w:color="000000"/>
              <w:bottom w:val="single" w:sz="4" w:space="0" w:color="000000"/>
              <w:right w:val="single" w:sz="4" w:space="0" w:color="000000"/>
            </w:tcBorders>
            <w:vAlign w:val="center"/>
          </w:tcPr>
          <w:p w14:paraId="7D39AAB8" w14:textId="77777777" w:rsidR="00BE364E" w:rsidRPr="00F769E0" w:rsidRDefault="001809E5" w:rsidP="005115F2">
            <w:pPr>
              <w:pStyle w:val="GUIDE-NORMAL"/>
              <w:numPr>
                <w:ilvl w:val="0"/>
                <w:numId w:val="168"/>
              </w:numPr>
              <w:spacing w:before="60" w:after="60"/>
              <w:jc w:val="left"/>
              <w:rPr>
                <w:rFonts w:cs="Tahoma"/>
                <w:lang w:val="sl-SI" w:eastAsia="en-GB"/>
              </w:rPr>
            </w:pPr>
            <w:r w:rsidRPr="00F769E0">
              <w:rPr>
                <w:rFonts w:cs="Tahoma"/>
                <w:lang w:val="sl-SI" w:eastAsia="en-GB"/>
              </w:rPr>
              <w:t>Udeležba na kratkotrajnih aktivnostih, povezanih z upravljanjem projekta (usmerjevalni odbori, koordinatorski sestanki, aktivnosti za nadzor kakovosti itd.).</w:t>
            </w:r>
          </w:p>
        </w:tc>
        <w:tc>
          <w:tcPr>
            <w:tcW w:w="1981" w:type="dxa"/>
            <w:tcBorders>
              <w:top w:val="single" w:sz="4" w:space="0" w:color="000000"/>
              <w:left w:val="single" w:sz="4" w:space="0" w:color="000000"/>
              <w:bottom w:val="single" w:sz="4" w:space="0" w:color="000000"/>
              <w:right w:val="single" w:sz="4" w:space="0" w:color="000000"/>
            </w:tcBorders>
            <w:vAlign w:val="center"/>
          </w:tcPr>
          <w:p w14:paraId="7D39AAB9" w14:textId="77777777" w:rsidR="00BE364E" w:rsidRPr="00F769E0" w:rsidRDefault="001809E5" w:rsidP="001809E5">
            <w:pPr>
              <w:pStyle w:val="GUIDE-NORMAL"/>
              <w:spacing w:before="60" w:after="60"/>
              <w:jc w:val="left"/>
              <w:rPr>
                <w:rFonts w:cs="Tahoma"/>
                <w:b/>
                <w:lang w:val="sl-SI" w:eastAsia="en-GB"/>
              </w:rPr>
            </w:pPr>
            <w:r w:rsidRPr="00F769E0">
              <w:rPr>
                <w:rFonts w:cs="Tahoma"/>
                <w:b/>
                <w:lang w:val="sl-SI" w:eastAsia="en-GB"/>
              </w:rPr>
              <w:t>Največ 1 teden</w:t>
            </w:r>
          </w:p>
        </w:tc>
      </w:tr>
    </w:tbl>
    <w:p w14:paraId="7D39AABB" w14:textId="77777777" w:rsidR="00AB5C1E" w:rsidRDefault="001809E5" w:rsidP="00A445D7">
      <w:pPr>
        <w:pStyle w:val="GUIDE-NORMAL"/>
        <w:rPr>
          <w:spacing w:val="-19"/>
          <w:lang w:val="sl-SI"/>
        </w:rPr>
      </w:pPr>
      <w:r w:rsidRPr="001048FE">
        <w:rPr>
          <w:lang w:val="sl-SI"/>
        </w:rPr>
        <w:t>Predhodna</w:t>
      </w:r>
      <w:r w:rsidRPr="001048FE">
        <w:rPr>
          <w:spacing w:val="-19"/>
          <w:lang w:val="sl-SI"/>
        </w:rPr>
        <w:t xml:space="preserve"> </w:t>
      </w:r>
      <w:r w:rsidRPr="001048FE">
        <w:rPr>
          <w:lang w:val="sl-SI"/>
        </w:rPr>
        <w:t>odobritev</w:t>
      </w:r>
      <w:r w:rsidRPr="001048FE">
        <w:rPr>
          <w:spacing w:val="-18"/>
          <w:lang w:val="sl-SI"/>
        </w:rPr>
        <w:t xml:space="preserve"> </w:t>
      </w:r>
      <w:r w:rsidRPr="001048FE">
        <w:rPr>
          <w:lang w:val="sl-SI"/>
        </w:rPr>
        <w:t>Izvajalske</w:t>
      </w:r>
      <w:r w:rsidRPr="001048FE">
        <w:rPr>
          <w:spacing w:val="-19"/>
          <w:lang w:val="sl-SI"/>
        </w:rPr>
        <w:t xml:space="preserve"> </w:t>
      </w:r>
      <w:r w:rsidRPr="001048FE">
        <w:rPr>
          <w:lang w:val="sl-SI"/>
        </w:rPr>
        <w:t>agencije</w:t>
      </w:r>
      <w:r w:rsidRPr="001048FE">
        <w:rPr>
          <w:spacing w:val="-19"/>
          <w:lang w:val="sl-SI"/>
        </w:rPr>
        <w:t xml:space="preserve"> </w:t>
      </w:r>
      <w:r w:rsidRPr="001048FE">
        <w:rPr>
          <w:lang w:val="sl-SI"/>
        </w:rPr>
        <w:t>je</w:t>
      </w:r>
      <w:r w:rsidRPr="001048FE">
        <w:rPr>
          <w:spacing w:val="-19"/>
          <w:lang w:val="sl-SI"/>
        </w:rPr>
        <w:t xml:space="preserve"> </w:t>
      </w:r>
      <w:r w:rsidRPr="001048FE">
        <w:rPr>
          <w:lang w:val="sl-SI"/>
        </w:rPr>
        <w:t>potrebna</w:t>
      </w:r>
      <w:r w:rsidR="00AB5C1E">
        <w:rPr>
          <w:lang w:val="sl-SI"/>
        </w:rPr>
        <w:t>:</w:t>
      </w:r>
      <w:r w:rsidRPr="001048FE">
        <w:rPr>
          <w:spacing w:val="-19"/>
          <w:lang w:val="sl-SI"/>
        </w:rPr>
        <w:t xml:space="preserve"> </w:t>
      </w:r>
    </w:p>
    <w:p w14:paraId="7D39AABC" w14:textId="77777777" w:rsidR="00AB5C1E" w:rsidRDefault="001809E5" w:rsidP="005115F2">
      <w:pPr>
        <w:pStyle w:val="GUIDE-NORMAL"/>
        <w:numPr>
          <w:ilvl w:val="0"/>
          <w:numId w:val="284"/>
        </w:numPr>
        <w:rPr>
          <w:lang w:val="sl-SI"/>
        </w:rPr>
      </w:pPr>
      <w:r w:rsidRPr="001048FE">
        <w:rPr>
          <w:lang w:val="sl-SI"/>
        </w:rPr>
        <w:t>če</w:t>
      </w:r>
      <w:r w:rsidRPr="001048FE">
        <w:rPr>
          <w:spacing w:val="-19"/>
          <w:lang w:val="sl-SI"/>
        </w:rPr>
        <w:t xml:space="preserve"> </w:t>
      </w:r>
      <w:r w:rsidRPr="001048FE">
        <w:rPr>
          <w:lang w:val="sl-SI"/>
        </w:rPr>
        <w:t>zadevni</w:t>
      </w:r>
      <w:r w:rsidRPr="001048FE">
        <w:rPr>
          <w:spacing w:val="-19"/>
          <w:lang w:val="sl-SI"/>
        </w:rPr>
        <w:t xml:space="preserve"> </w:t>
      </w:r>
      <w:r w:rsidRPr="001048FE">
        <w:rPr>
          <w:lang w:val="sl-SI"/>
        </w:rPr>
        <w:t>študent</w:t>
      </w:r>
      <w:r w:rsidRPr="001048FE">
        <w:rPr>
          <w:spacing w:val="-19"/>
          <w:lang w:val="sl-SI"/>
        </w:rPr>
        <w:t xml:space="preserve"> </w:t>
      </w:r>
      <w:r w:rsidRPr="001048FE">
        <w:rPr>
          <w:lang w:val="sl-SI"/>
        </w:rPr>
        <w:t>namerava</w:t>
      </w:r>
      <w:r w:rsidRPr="001048FE">
        <w:rPr>
          <w:spacing w:val="-19"/>
          <w:lang w:val="sl-SI"/>
        </w:rPr>
        <w:t xml:space="preserve"> </w:t>
      </w:r>
      <w:r w:rsidRPr="001048FE">
        <w:rPr>
          <w:lang w:val="sl-SI"/>
        </w:rPr>
        <w:t>izvajati aktivnosti, ki niso opisane</w:t>
      </w:r>
      <w:r w:rsidRPr="001048FE">
        <w:rPr>
          <w:spacing w:val="-9"/>
          <w:lang w:val="sl-SI"/>
        </w:rPr>
        <w:t xml:space="preserve"> </w:t>
      </w:r>
      <w:r w:rsidRPr="001048FE">
        <w:rPr>
          <w:lang w:val="sl-SI"/>
        </w:rPr>
        <w:t>zgoraj</w:t>
      </w:r>
      <w:r w:rsidR="00AB5C1E">
        <w:rPr>
          <w:lang w:val="sl-SI"/>
        </w:rPr>
        <w:t>;</w:t>
      </w:r>
    </w:p>
    <w:p w14:paraId="7D39AABD" w14:textId="77777777" w:rsidR="001809E5" w:rsidRPr="001048FE" w:rsidRDefault="00AB5C1E" w:rsidP="005115F2">
      <w:pPr>
        <w:pStyle w:val="GUIDE-NORMAL"/>
        <w:numPr>
          <w:ilvl w:val="0"/>
          <w:numId w:val="284"/>
        </w:numPr>
        <w:rPr>
          <w:lang w:val="sl-SI"/>
        </w:rPr>
      </w:pPr>
      <w:r>
        <w:rPr>
          <w:lang w:val="sl-SI"/>
        </w:rPr>
        <w:t>če so študenti iz držav programa.</w:t>
      </w:r>
    </w:p>
    <w:p w14:paraId="7D39AABE" w14:textId="77777777" w:rsidR="001809E5" w:rsidRPr="001048FE" w:rsidRDefault="001809E5" w:rsidP="00A445D7">
      <w:pPr>
        <w:pStyle w:val="Guide-Heading4"/>
        <w:rPr>
          <w:lang w:val="sl-SI"/>
        </w:rPr>
      </w:pPr>
      <w:bookmarkStart w:id="738" w:name="_Toc527401369"/>
      <w:r w:rsidRPr="001048FE">
        <w:rPr>
          <w:lang w:val="sl-SI"/>
        </w:rPr>
        <w:t>Oprema</w:t>
      </w:r>
      <w:bookmarkEnd w:id="738"/>
    </w:p>
    <w:p w14:paraId="7D39AABF" w14:textId="77777777" w:rsidR="001809E5" w:rsidRPr="001048FE" w:rsidRDefault="001809E5" w:rsidP="00B65ACB">
      <w:pPr>
        <w:pStyle w:val="GUIDE-NORMAL"/>
        <w:rPr>
          <w:lang w:val="sl-SI"/>
        </w:rPr>
      </w:pPr>
      <w:r w:rsidRPr="001048FE">
        <w:rPr>
          <w:lang w:val="sl-SI"/>
        </w:rPr>
        <w:t>Nepovratna</w:t>
      </w:r>
      <w:r w:rsidRPr="001048FE">
        <w:rPr>
          <w:spacing w:val="-13"/>
          <w:lang w:val="sl-SI"/>
        </w:rPr>
        <w:t xml:space="preserve"> </w:t>
      </w:r>
      <w:r w:rsidRPr="001048FE">
        <w:rPr>
          <w:lang w:val="sl-SI"/>
        </w:rPr>
        <w:t>sredstva</w:t>
      </w:r>
      <w:r w:rsidRPr="001048FE">
        <w:rPr>
          <w:spacing w:val="-13"/>
          <w:lang w:val="sl-SI"/>
        </w:rPr>
        <w:t xml:space="preserve"> </w:t>
      </w:r>
      <w:r w:rsidRPr="001048FE">
        <w:rPr>
          <w:lang w:val="sl-SI"/>
        </w:rPr>
        <w:t>EU</w:t>
      </w:r>
      <w:r w:rsidRPr="001048FE">
        <w:rPr>
          <w:spacing w:val="-13"/>
          <w:lang w:val="sl-SI"/>
        </w:rPr>
        <w:t xml:space="preserve"> </w:t>
      </w:r>
      <w:r w:rsidRPr="001048FE">
        <w:rPr>
          <w:lang w:val="sl-SI"/>
        </w:rPr>
        <w:t>se</w:t>
      </w:r>
      <w:r w:rsidRPr="001048FE">
        <w:rPr>
          <w:spacing w:val="-13"/>
          <w:lang w:val="sl-SI"/>
        </w:rPr>
        <w:t xml:space="preserve"> </w:t>
      </w:r>
      <w:r w:rsidRPr="001048FE">
        <w:rPr>
          <w:lang w:val="sl-SI"/>
        </w:rPr>
        <w:t>lahko</w:t>
      </w:r>
      <w:r w:rsidRPr="001048FE">
        <w:rPr>
          <w:spacing w:val="-13"/>
          <w:lang w:val="sl-SI"/>
        </w:rPr>
        <w:t xml:space="preserve"> </w:t>
      </w:r>
      <w:r w:rsidRPr="001048FE">
        <w:rPr>
          <w:lang w:val="sl-SI"/>
        </w:rPr>
        <w:t>uporabljajo</w:t>
      </w:r>
      <w:r w:rsidRPr="001048FE">
        <w:rPr>
          <w:spacing w:val="-13"/>
          <w:lang w:val="sl-SI"/>
        </w:rPr>
        <w:t xml:space="preserve"> </w:t>
      </w:r>
      <w:r w:rsidRPr="001048FE">
        <w:rPr>
          <w:lang w:val="sl-SI"/>
        </w:rPr>
        <w:t>kot</w:t>
      </w:r>
      <w:r w:rsidRPr="001048FE">
        <w:rPr>
          <w:spacing w:val="-13"/>
          <w:lang w:val="sl-SI"/>
        </w:rPr>
        <w:t xml:space="preserve"> </w:t>
      </w:r>
      <w:r w:rsidRPr="001048FE">
        <w:rPr>
          <w:lang w:val="sl-SI"/>
        </w:rPr>
        <w:t>podpora</w:t>
      </w:r>
      <w:r w:rsidRPr="001048FE">
        <w:rPr>
          <w:spacing w:val="-13"/>
          <w:lang w:val="sl-SI"/>
        </w:rPr>
        <w:t xml:space="preserve"> </w:t>
      </w:r>
      <w:r w:rsidRPr="001048FE">
        <w:rPr>
          <w:lang w:val="sl-SI"/>
        </w:rPr>
        <w:t>pri</w:t>
      </w:r>
      <w:r w:rsidRPr="001048FE">
        <w:rPr>
          <w:spacing w:val="-13"/>
          <w:lang w:val="sl-SI"/>
        </w:rPr>
        <w:t xml:space="preserve"> </w:t>
      </w:r>
      <w:r w:rsidRPr="001048FE">
        <w:rPr>
          <w:lang w:val="sl-SI"/>
        </w:rPr>
        <w:t>nakupu</w:t>
      </w:r>
      <w:r w:rsidRPr="001048FE">
        <w:rPr>
          <w:spacing w:val="-13"/>
          <w:lang w:val="sl-SI"/>
        </w:rPr>
        <w:t xml:space="preserve"> </w:t>
      </w:r>
      <w:r w:rsidRPr="001048FE">
        <w:rPr>
          <w:lang w:val="sl-SI"/>
        </w:rPr>
        <w:t>opreme.</w:t>
      </w:r>
      <w:r w:rsidRPr="001048FE">
        <w:rPr>
          <w:spacing w:val="-12"/>
          <w:lang w:val="sl-SI"/>
        </w:rPr>
        <w:t xml:space="preserve"> </w:t>
      </w:r>
      <w:r w:rsidRPr="001048FE">
        <w:rPr>
          <w:lang w:val="sl-SI"/>
        </w:rPr>
        <w:t>Za</w:t>
      </w:r>
      <w:r w:rsidRPr="001048FE">
        <w:rPr>
          <w:spacing w:val="-13"/>
          <w:lang w:val="sl-SI"/>
        </w:rPr>
        <w:t xml:space="preserve"> </w:t>
      </w:r>
      <w:r w:rsidRPr="001048FE">
        <w:rPr>
          <w:lang w:val="sl-SI"/>
        </w:rPr>
        <w:t>upravičene</w:t>
      </w:r>
      <w:r w:rsidRPr="001048FE">
        <w:rPr>
          <w:spacing w:val="-13"/>
          <w:lang w:val="sl-SI"/>
        </w:rPr>
        <w:t xml:space="preserve"> </w:t>
      </w:r>
      <w:r w:rsidRPr="001048FE">
        <w:rPr>
          <w:lang w:val="sl-SI"/>
        </w:rPr>
        <w:t>stroške se</w:t>
      </w:r>
      <w:r w:rsidRPr="001048FE">
        <w:rPr>
          <w:spacing w:val="-6"/>
          <w:lang w:val="sl-SI"/>
        </w:rPr>
        <w:t xml:space="preserve"> </w:t>
      </w:r>
      <w:r w:rsidRPr="001048FE">
        <w:rPr>
          <w:lang w:val="sl-SI"/>
        </w:rPr>
        <w:t>šteje</w:t>
      </w:r>
      <w:r w:rsidRPr="001048FE">
        <w:rPr>
          <w:spacing w:val="-6"/>
          <w:lang w:val="sl-SI"/>
        </w:rPr>
        <w:t xml:space="preserve"> </w:t>
      </w:r>
      <w:r w:rsidRPr="001048FE">
        <w:rPr>
          <w:lang w:val="sl-SI"/>
        </w:rPr>
        <w:t>le</w:t>
      </w:r>
      <w:r w:rsidRPr="001048FE">
        <w:rPr>
          <w:spacing w:val="-6"/>
          <w:lang w:val="sl-SI"/>
        </w:rPr>
        <w:t xml:space="preserve"> </w:t>
      </w:r>
      <w:r w:rsidRPr="001048FE">
        <w:rPr>
          <w:lang w:val="sl-SI"/>
        </w:rPr>
        <w:t>nakup</w:t>
      </w:r>
      <w:r w:rsidRPr="001048FE">
        <w:rPr>
          <w:spacing w:val="-6"/>
          <w:lang w:val="sl-SI"/>
        </w:rPr>
        <w:t xml:space="preserve"> </w:t>
      </w:r>
      <w:r w:rsidRPr="001048FE">
        <w:rPr>
          <w:lang w:val="sl-SI"/>
        </w:rPr>
        <w:t>opreme,</w:t>
      </w:r>
      <w:r w:rsidRPr="001048FE">
        <w:rPr>
          <w:spacing w:val="-5"/>
          <w:lang w:val="sl-SI"/>
        </w:rPr>
        <w:t xml:space="preserve"> </w:t>
      </w:r>
      <w:r w:rsidRPr="001048FE">
        <w:rPr>
          <w:lang w:val="sl-SI"/>
        </w:rPr>
        <w:t>ki</w:t>
      </w:r>
      <w:r w:rsidRPr="001048FE">
        <w:rPr>
          <w:spacing w:val="-6"/>
          <w:lang w:val="sl-SI"/>
        </w:rPr>
        <w:t xml:space="preserve"> </w:t>
      </w:r>
      <w:r w:rsidRPr="001048FE">
        <w:rPr>
          <w:lang w:val="sl-SI"/>
        </w:rPr>
        <w:t>je</w:t>
      </w:r>
      <w:r w:rsidRPr="001048FE">
        <w:rPr>
          <w:spacing w:val="-6"/>
          <w:lang w:val="sl-SI"/>
        </w:rPr>
        <w:t xml:space="preserve"> </w:t>
      </w:r>
      <w:r w:rsidRPr="001048FE">
        <w:rPr>
          <w:lang w:val="sl-SI"/>
        </w:rPr>
        <w:t>neposredno</w:t>
      </w:r>
      <w:r w:rsidRPr="001048FE">
        <w:rPr>
          <w:spacing w:val="-6"/>
          <w:lang w:val="sl-SI"/>
        </w:rPr>
        <w:t xml:space="preserve"> </w:t>
      </w:r>
      <w:r w:rsidRPr="001048FE">
        <w:rPr>
          <w:lang w:val="sl-SI"/>
        </w:rPr>
        <w:t>povezana</w:t>
      </w:r>
      <w:r w:rsidRPr="001048FE">
        <w:rPr>
          <w:spacing w:val="-6"/>
          <w:lang w:val="sl-SI"/>
        </w:rPr>
        <w:t xml:space="preserve"> </w:t>
      </w:r>
      <w:r w:rsidRPr="001048FE">
        <w:rPr>
          <w:lang w:val="sl-SI"/>
        </w:rPr>
        <w:t>s</w:t>
      </w:r>
      <w:r w:rsidRPr="001048FE">
        <w:rPr>
          <w:spacing w:val="-6"/>
          <w:lang w:val="sl-SI"/>
        </w:rPr>
        <w:t xml:space="preserve"> </w:t>
      </w:r>
      <w:r w:rsidRPr="001048FE">
        <w:rPr>
          <w:lang w:val="sl-SI"/>
        </w:rPr>
        <w:t>cilji</w:t>
      </w:r>
      <w:r w:rsidRPr="001048FE">
        <w:rPr>
          <w:spacing w:val="-6"/>
          <w:lang w:val="sl-SI"/>
        </w:rPr>
        <w:t xml:space="preserve"> </w:t>
      </w:r>
      <w:r w:rsidRPr="001048FE">
        <w:rPr>
          <w:lang w:val="sl-SI"/>
        </w:rPr>
        <w:t>projekta.</w:t>
      </w:r>
      <w:r w:rsidRPr="001048FE">
        <w:rPr>
          <w:spacing w:val="-6"/>
          <w:lang w:val="sl-SI"/>
        </w:rPr>
        <w:t xml:space="preserve"> </w:t>
      </w:r>
      <w:r w:rsidRPr="001048FE">
        <w:rPr>
          <w:lang w:val="sl-SI"/>
        </w:rPr>
        <w:t>To</w:t>
      </w:r>
      <w:r w:rsidRPr="001048FE">
        <w:rPr>
          <w:spacing w:val="-6"/>
          <w:lang w:val="sl-SI"/>
        </w:rPr>
        <w:t xml:space="preserve"> </w:t>
      </w:r>
      <w:r w:rsidRPr="001048FE">
        <w:rPr>
          <w:lang w:val="sl-SI"/>
        </w:rPr>
        <w:t>lahko</w:t>
      </w:r>
      <w:r w:rsidRPr="001048FE">
        <w:rPr>
          <w:spacing w:val="-6"/>
          <w:lang w:val="sl-SI"/>
        </w:rPr>
        <w:t xml:space="preserve"> </w:t>
      </w:r>
      <w:r w:rsidRPr="001048FE">
        <w:rPr>
          <w:lang w:val="sl-SI"/>
        </w:rPr>
        <w:t>na</w:t>
      </w:r>
      <w:r w:rsidRPr="001048FE">
        <w:rPr>
          <w:spacing w:val="-6"/>
          <w:lang w:val="sl-SI"/>
        </w:rPr>
        <w:t xml:space="preserve"> </w:t>
      </w:r>
      <w:r w:rsidRPr="001048FE">
        <w:rPr>
          <w:lang w:val="sl-SI"/>
        </w:rPr>
        <w:t>primer</w:t>
      </w:r>
      <w:r w:rsidR="00B65ACB">
        <w:rPr>
          <w:lang w:val="sl-SI"/>
        </w:rPr>
        <w:t xml:space="preserve"> </w:t>
      </w:r>
      <w:r w:rsidRPr="001048FE">
        <w:rPr>
          <w:lang w:val="sl-SI"/>
        </w:rPr>
        <w:t>vključuje (spletne) knjige in periodični tisk, fakse,</w:t>
      </w:r>
      <w:r w:rsidR="00B65ACB">
        <w:rPr>
          <w:lang w:val="sl-SI"/>
        </w:rPr>
        <w:t xml:space="preserve"> </w:t>
      </w:r>
      <w:r w:rsidRPr="001048FE">
        <w:rPr>
          <w:lang w:val="sl-SI"/>
        </w:rPr>
        <w:t>fotokopirne stroje,</w:t>
      </w:r>
      <w:r w:rsidR="00B65ACB">
        <w:rPr>
          <w:lang w:val="sl-SI"/>
        </w:rPr>
        <w:t xml:space="preserve"> </w:t>
      </w:r>
      <w:r w:rsidRPr="001048FE">
        <w:rPr>
          <w:lang w:val="sl-SI"/>
        </w:rPr>
        <w:t>računalnike in zunanje naprave (vključno z notesniki/prenosnimi računalniki in tabličnimi računalniki),</w:t>
      </w:r>
      <w:r w:rsidR="00B65ACB">
        <w:rPr>
          <w:lang w:val="sl-SI"/>
        </w:rPr>
        <w:t xml:space="preserve"> </w:t>
      </w:r>
      <w:r w:rsidRPr="001048FE">
        <w:rPr>
          <w:lang w:val="sl-SI"/>
        </w:rPr>
        <w:t>programsko opremo,</w:t>
      </w:r>
      <w:r w:rsidR="00B65ACB">
        <w:rPr>
          <w:lang w:val="sl-SI"/>
        </w:rPr>
        <w:t xml:space="preserve"> </w:t>
      </w:r>
      <w:r w:rsidRPr="001048FE">
        <w:rPr>
          <w:lang w:val="sl-SI"/>
        </w:rPr>
        <w:t>naprave in opremo za poučevanje, laboratorijsko potrošno blago (za poučevanje),</w:t>
      </w:r>
      <w:r w:rsidR="00B65ACB">
        <w:rPr>
          <w:lang w:val="sl-SI"/>
        </w:rPr>
        <w:t xml:space="preserve"> </w:t>
      </w:r>
      <w:r w:rsidRPr="001048FE">
        <w:rPr>
          <w:lang w:val="sl-SI"/>
        </w:rPr>
        <w:t>videoprojektorje (strojna oprema) in videopredstavitve (programska oprema), televizorje,</w:t>
      </w:r>
      <w:r w:rsidR="00B65ACB">
        <w:rPr>
          <w:lang w:val="sl-SI"/>
        </w:rPr>
        <w:t xml:space="preserve"> </w:t>
      </w:r>
      <w:r w:rsidRPr="001048FE">
        <w:rPr>
          <w:lang w:val="sl-SI"/>
        </w:rPr>
        <w:t>namestitev/nastavitev komunikacijskih vodov za internetno povezavo,</w:t>
      </w:r>
      <w:r w:rsidR="00B65ACB">
        <w:rPr>
          <w:lang w:val="sl-SI"/>
        </w:rPr>
        <w:t xml:space="preserve"> </w:t>
      </w:r>
      <w:r w:rsidRPr="001048FE">
        <w:rPr>
          <w:lang w:val="sl-SI"/>
        </w:rPr>
        <w:t>dostop do zbirk podatkov (knjižnice in elektronske knjižnice zunaj partnerstva) in oblakov, vzdrževanje opreme,</w:t>
      </w:r>
      <w:r w:rsidR="00B65ACB">
        <w:rPr>
          <w:lang w:val="sl-SI"/>
        </w:rPr>
        <w:t xml:space="preserve"> </w:t>
      </w:r>
      <w:r w:rsidRPr="001048FE">
        <w:rPr>
          <w:lang w:val="sl-SI"/>
        </w:rPr>
        <w:t>zavarovanje,</w:t>
      </w:r>
      <w:r w:rsidR="00B65ACB">
        <w:rPr>
          <w:lang w:val="sl-SI"/>
        </w:rPr>
        <w:t xml:space="preserve"> </w:t>
      </w:r>
      <w:r w:rsidRPr="001048FE">
        <w:rPr>
          <w:lang w:val="sl-SI"/>
        </w:rPr>
        <w:t>prevoz in stroške namestitve.</w:t>
      </w:r>
    </w:p>
    <w:p w14:paraId="7D39AAC0" w14:textId="77777777" w:rsidR="001809E5" w:rsidRPr="001048FE" w:rsidRDefault="001809E5" w:rsidP="00A445D7">
      <w:pPr>
        <w:pStyle w:val="GUIDE-NORMAL"/>
        <w:rPr>
          <w:lang w:val="sl-SI"/>
        </w:rPr>
      </w:pPr>
      <w:r w:rsidRPr="001048FE">
        <w:rPr>
          <w:lang w:val="sl-SI"/>
        </w:rPr>
        <w:t>Oprema je namenjena izključno za visokošolske institucije iz partnerskih držav, ki so vključene v partnerstvo, opremo pa je treba v tej instituciji namestiti takoj, ko je to praktično mogoče. Opremo je treba vpisati v inventar institucije, v kateri je nameščena. Institucija je edina lastnica opreme.</w:t>
      </w:r>
    </w:p>
    <w:p w14:paraId="7D39AAC1" w14:textId="77777777" w:rsidR="001809E5" w:rsidRPr="001048FE" w:rsidRDefault="001809E5" w:rsidP="005115F2">
      <w:pPr>
        <w:pStyle w:val="Guide-NormalBulletpoints"/>
        <w:numPr>
          <w:ilvl w:val="0"/>
          <w:numId w:val="168"/>
        </w:numPr>
        <w:rPr>
          <w:lang w:val="sl-SI"/>
        </w:rPr>
      </w:pPr>
      <w:r w:rsidRPr="001048FE">
        <w:rPr>
          <w:lang w:val="sl-SI"/>
        </w:rPr>
        <w:t xml:space="preserve">Oprema mora prispevati k doseganju ciljev projekta, zato jo je treba kupiti na začetku obdobja izvajanja projekta in najkasneje </w:t>
      </w:r>
      <w:r w:rsidR="001C37FA">
        <w:rPr>
          <w:lang w:val="sl-SI"/>
        </w:rPr>
        <w:t>12</w:t>
      </w:r>
      <w:r w:rsidR="001C37FA" w:rsidRPr="001048FE">
        <w:rPr>
          <w:lang w:val="sl-SI"/>
        </w:rPr>
        <w:t xml:space="preserve"> </w:t>
      </w:r>
      <w:r w:rsidRPr="001048FE">
        <w:rPr>
          <w:lang w:val="sl-SI"/>
        </w:rPr>
        <w:t>mesece</w:t>
      </w:r>
      <w:r w:rsidR="001C37FA">
        <w:rPr>
          <w:lang w:val="sl-SI"/>
        </w:rPr>
        <w:t>v</w:t>
      </w:r>
      <w:r w:rsidRPr="001048FE">
        <w:rPr>
          <w:lang w:val="sl-SI"/>
        </w:rPr>
        <w:t xml:space="preserve"> pred koncem projekta.</w:t>
      </w:r>
    </w:p>
    <w:p w14:paraId="7D39AAC2" w14:textId="77777777" w:rsidR="001809E5" w:rsidRPr="001048FE" w:rsidRDefault="001809E5" w:rsidP="005115F2">
      <w:pPr>
        <w:pStyle w:val="Guide-NormalBulletpoints"/>
        <w:numPr>
          <w:ilvl w:val="0"/>
          <w:numId w:val="168"/>
        </w:numPr>
        <w:rPr>
          <w:lang w:val="sl-SI"/>
        </w:rPr>
      </w:pPr>
      <w:r w:rsidRPr="001048FE">
        <w:rPr>
          <w:lang w:val="sl-SI"/>
        </w:rPr>
        <w:t>Oprema pod nobenim pogojem ne sme biti kupljena za katero koli institucijo/organizacijo iz države Programa ali za nevisokošolske institucije v partnerskih državah.</w:t>
      </w:r>
    </w:p>
    <w:p w14:paraId="7D39AAC3" w14:textId="77777777" w:rsidR="001809E5" w:rsidRPr="001048FE" w:rsidRDefault="001809E5" w:rsidP="005115F2">
      <w:pPr>
        <w:pStyle w:val="Guide-NormalBulletpoints"/>
        <w:numPr>
          <w:ilvl w:val="0"/>
          <w:numId w:val="168"/>
        </w:numPr>
        <w:rPr>
          <w:lang w:val="sl-SI"/>
        </w:rPr>
      </w:pPr>
      <w:r w:rsidRPr="001048FE">
        <w:rPr>
          <w:lang w:val="sl-SI"/>
        </w:rPr>
        <w:t>Najem opreme se lahko šteje za upravičen, vendar le v izrednih in ustrezno utemeljenih primerih in ne sme trajati dlje kot sporazum o nepovratnih sredstvih.</w:t>
      </w:r>
    </w:p>
    <w:p w14:paraId="7D39AAC4" w14:textId="77777777" w:rsidR="001809E5" w:rsidRPr="001048FE" w:rsidRDefault="001809E5" w:rsidP="005115F2">
      <w:pPr>
        <w:pStyle w:val="Guide-NormalBulletpoints"/>
        <w:numPr>
          <w:ilvl w:val="0"/>
          <w:numId w:val="168"/>
        </w:numPr>
        <w:rPr>
          <w:lang w:val="sl-SI"/>
        </w:rPr>
      </w:pPr>
      <w:r w:rsidRPr="001048FE">
        <w:rPr>
          <w:lang w:val="sl-SI"/>
        </w:rPr>
        <w:t>Glede na posebno naravo ukrepa za krepitev zmogljivosti v okviru programa Erasmus+ se bodo upoštevali skupni stroški nakupa opreme in ne stroški amortizacije opreme.</w:t>
      </w:r>
    </w:p>
    <w:p w14:paraId="7D39AAC5" w14:textId="77777777" w:rsidR="001809E5" w:rsidRPr="001048FE" w:rsidRDefault="001809E5" w:rsidP="00AD159A">
      <w:pPr>
        <w:pStyle w:val="GUIDE-NORMAL"/>
        <w:rPr>
          <w:lang w:val="sl-SI"/>
        </w:rPr>
      </w:pPr>
      <w:r w:rsidRPr="001048FE">
        <w:rPr>
          <w:lang w:val="sl-SI"/>
        </w:rPr>
        <w:t>Če stroški nakupa opreme presegajo 25 000 EUR in manj kot 1</w:t>
      </w:r>
      <w:r w:rsidR="00A0654A">
        <w:rPr>
          <w:lang w:val="sl-SI"/>
        </w:rPr>
        <w:t>4</w:t>
      </w:r>
      <w:r w:rsidRPr="001048FE">
        <w:rPr>
          <w:lang w:val="sl-SI"/>
        </w:rPr>
        <w:t>4 000 EUR, morajo upravičenci dobiti konkurenčne ponudbe od vsaj treh dobaviteljev in izbrati tisto, ki ponuja najboljše razmerje med kakovostjo in ceno, ob upoštevanju načel preglednosti in enakega obravnavanja potencialnih izvajalcev ter z izogibanjem navzkrižjem interesov. Za nakup opreme nad 1</w:t>
      </w:r>
      <w:r w:rsidR="00A0654A">
        <w:rPr>
          <w:lang w:val="sl-SI"/>
        </w:rPr>
        <w:t>4</w:t>
      </w:r>
      <w:r w:rsidRPr="001048FE">
        <w:rPr>
          <w:lang w:val="sl-SI"/>
        </w:rPr>
        <w:t>4 000 EUR velja nacionalna zakonodaja. Upravičenci ne smejo razdeliti nakupa opreme v manjša naročila pod zgoraj omenjenim</w:t>
      </w:r>
      <w:r w:rsidRPr="001048FE">
        <w:rPr>
          <w:spacing w:val="1"/>
          <w:lang w:val="sl-SI"/>
        </w:rPr>
        <w:t xml:space="preserve"> </w:t>
      </w:r>
      <w:r w:rsidRPr="001048FE">
        <w:rPr>
          <w:lang w:val="sl-SI"/>
        </w:rPr>
        <w:t>pragom.</w:t>
      </w:r>
    </w:p>
    <w:p w14:paraId="7D39AAC6" w14:textId="77777777" w:rsidR="001809E5" w:rsidRPr="001048FE" w:rsidRDefault="001809E5" w:rsidP="00AD159A">
      <w:pPr>
        <w:pStyle w:val="GUIDE-NORMAL"/>
        <w:rPr>
          <w:lang w:val="sl-SI"/>
        </w:rPr>
      </w:pPr>
      <w:r w:rsidRPr="001048FE">
        <w:rPr>
          <w:lang w:val="sl-SI"/>
        </w:rPr>
        <w:t>Prijavitelji se morajo zavedati, da sta naročilo in dobava opreme institucijam iz partnerskih držav pogosto precej zapletena, kar je treba upoštevati v fazi načrtovanja.</w:t>
      </w:r>
    </w:p>
    <w:p w14:paraId="7D39AAC7" w14:textId="77777777" w:rsidR="001809E5" w:rsidRPr="001048FE" w:rsidRDefault="001809E5" w:rsidP="00AD159A">
      <w:pPr>
        <w:pStyle w:val="Guide-Heading4"/>
        <w:rPr>
          <w:lang w:val="sl-SI"/>
        </w:rPr>
      </w:pPr>
      <w:bookmarkStart w:id="739" w:name="_Toc527401370"/>
      <w:r w:rsidRPr="001048FE">
        <w:rPr>
          <w:lang w:val="sl-SI"/>
        </w:rPr>
        <w:t>Sklepanje pogodb s podizvajalci</w:t>
      </w:r>
      <w:bookmarkEnd w:id="739"/>
    </w:p>
    <w:p w14:paraId="7D39AAC8" w14:textId="77777777" w:rsidR="001809E5" w:rsidRPr="001048FE" w:rsidRDefault="001809E5" w:rsidP="00AD159A">
      <w:pPr>
        <w:pStyle w:val="GUIDE-NORMAL"/>
        <w:rPr>
          <w:lang w:val="sl-SI"/>
        </w:rPr>
      </w:pPr>
      <w:r w:rsidRPr="001048FE">
        <w:rPr>
          <w:lang w:val="sl-SI"/>
        </w:rPr>
        <w:t xml:space="preserve">Sklepanje pogodb s podizvajalci je namenjeno za posebne časovno omejene naloge, povezane s projektom, </w:t>
      </w:r>
      <w:r w:rsidRPr="001048FE">
        <w:rPr>
          <w:u w:val="single"/>
          <w:lang w:val="sl-SI"/>
        </w:rPr>
        <w:t>ki jih ne morejo izvesti</w:t>
      </w:r>
      <w:r w:rsidRPr="001048FE">
        <w:rPr>
          <w:lang w:val="sl-SI"/>
        </w:rPr>
        <w:t xml:space="preserve"> člani konzorcija sami. Vključuje samozaposlene/svobodne strokovnjake. Sklepanje pogodb z zunanjimi organi mora biti le občasno. Posebne kompetence in strokovno znanje, potrebno za doseganje ciljev projekta, morajo imeti člani konzorcija, na tem pa mora temeljiti tudi njegova sestava. Sklepanje pogodb s podizvajalci za naloge, povezane z upravljanjem projekta, zato ni dovoljeno.</w:t>
      </w:r>
    </w:p>
    <w:p w14:paraId="7D39AAC9" w14:textId="77777777" w:rsidR="001809E5" w:rsidRPr="001048FE" w:rsidRDefault="001809E5" w:rsidP="00AD159A">
      <w:pPr>
        <w:pStyle w:val="GUIDE-NORMAL"/>
        <w:rPr>
          <w:lang w:val="sl-SI"/>
        </w:rPr>
      </w:pPr>
      <w:r w:rsidRPr="001048FE">
        <w:rPr>
          <w:lang w:val="sl-SI"/>
        </w:rPr>
        <w:t>Pogoste</w:t>
      </w:r>
      <w:r w:rsidRPr="001048FE">
        <w:rPr>
          <w:spacing w:val="-19"/>
          <w:lang w:val="sl-SI"/>
        </w:rPr>
        <w:t xml:space="preserve"> </w:t>
      </w:r>
      <w:r w:rsidRPr="001048FE">
        <w:rPr>
          <w:lang w:val="sl-SI"/>
        </w:rPr>
        <w:t>aktivnosti,</w:t>
      </w:r>
      <w:r w:rsidRPr="001048FE">
        <w:rPr>
          <w:spacing w:val="-19"/>
          <w:lang w:val="sl-SI"/>
        </w:rPr>
        <w:t xml:space="preserve"> </w:t>
      </w:r>
      <w:r w:rsidRPr="001048FE">
        <w:rPr>
          <w:lang w:val="sl-SI"/>
        </w:rPr>
        <w:t>za</w:t>
      </w:r>
      <w:r w:rsidRPr="001048FE">
        <w:rPr>
          <w:spacing w:val="-19"/>
          <w:lang w:val="sl-SI"/>
        </w:rPr>
        <w:t xml:space="preserve"> </w:t>
      </w:r>
      <w:r w:rsidRPr="001048FE">
        <w:rPr>
          <w:lang w:val="sl-SI"/>
        </w:rPr>
        <w:t>katere</w:t>
      </w:r>
      <w:r w:rsidRPr="001048FE">
        <w:rPr>
          <w:spacing w:val="-19"/>
          <w:lang w:val="sl-SI"/>
        </w:rPr>
        <w:t xml:space="preserve"> </w:t>
      </w:r>
      <w:r w:rsidRPr="001048FE">
        <w:rPr>
          <w:lang w:val="sl-SI"/>
        </w:rPr>
        <w:t>se</w:t>
      </w:r>
      <w:r w:rsidRPr="001048FE">
        <w:rPr>
          <w:spacing w:val="-19"/>
          <w:lang w:val="sl-SI"/>
        </w:rPr>
        <w:t xml:space="preserve"> </w:t>
      </w:r>
      <w:r w:rsidRPr="001048FE">
        <w:rPr>
          <w:lang w:val="sl-SI"/>
        </w:rPr>
        <w:t>lahko</w:t>
      </w:r>
      <w:r w:rsidRPr="001048FE">
        <w:rPr>
          <w:spacing w:val="-19"/>
          <w:lang w:val="sl-SI"/>
        </w:rPr>
        <w:t xml:space="preserve"> </w:t>
      </w:r>
      <w:r w:rsidRPr="001048FE">
        <w:rPr>
          <w:lang w:val="sl-SI"/>
        </w:rPr>
        <w:t>sklenejo</w:t>
      </w:r>
      <w:r w:rsidRPr="001048FE">
        <w:rPr>
          <w:spacing w:val="-19"/>
          <w:lang w:val="sl-SI"/>
        </w:rPr>
        <w:t xml:space="preserve"> </w:t>
      </w:r>
      <w:r w:rsidRPr="001048FE">
        <w:rPr>
          <w:lang w:val="sl-SI"/>
        </w:rPr>
        <w:t>pogodbe</w:t>
      </w:r>
      <w:r w:rsidRPr="001048FE">
        <w:rPr>
          <w:spacing w:val="-19"/>
          <w:lang w:val="sl-SI"/>
        </w:rPr>
        <w:t xml:space="preserve"> </w:t>
      </w:r>
      <w:r w:rsidRPr="001048FE">
        <w:rPr>
          <w:lang w:val="sl-SI"/>
        </w:rPr>
        <w:t>s</w:t>
      </w:r>
      <w:r w:rsidRPr="001048FE">
        <w:rPr>
          <w:spacing w:val="-19"/>
          <w:lang w:val="sl-SI"/>
        </w:rPr>
        <w:t xml:space="preserve"> </w:t>
      </w:r>
      <w:r w:rsidRPr="001048FE">
        <w:rPr>
          <w:lang w:val="sl-SI"/>
        </w:rPr>
        <w:t>podizvajalci</w:t>
      </w:r>
      <w:r w:rsidRPr="001048FE">
        <w:rPr>
          <w:spacing w:val="-19"/>
          <w:lang w:val="sl-SI"/>
        </w:rPr>
        <w:t xml:space="preserve"> </w:t>
      </w:r>
      <w:r w:rsidRPr="001048FE">
        <w:rPr>
          <w:lang w:val="sl-SI"/>
        </w:rPr>
        <w:t>(če</w:t>
      </w:r>
      <w:r w:rsidRPr="001048FE">
        <w:rPr>
          <w:spacing w:val="-19"/>
          <w:lang w:val="sl-SI"/>
        </w:rPr>
        <w:t xml:space="preserve"> </w:t>
      </w:r>
      <w:r w:rsidRPr="001048FE">
        <w:rPr>
          <w:lang w:val="sl-SI"/>
        </w:rPr>
        <w:t>jih</w:t>
      </w:r>
      <w:r w:rsidRPr="001048FE">
        <w:rPr>
          <w:spacing w:val="-19"/>
          <w:lang w:val="sl-SI"/>
        </w:rPr>
        <w:t xml:space="preserve"> </w:t>
      </w:r>
      <w:r w:rsidRPr="001048FE">
        <w:rPr>
          <w:lang w:val="sl-SI"/>
        </w:rPr>
        <w:t>ne</w:t>
      </w:r>
      <w:r w:rsidRPr="001048FE">
        <w:rPr>
          <w:spacing w:val="-19"/>
          <w:lang w:val="sl-SI"/>
        </w:rPr>
        <w:t xml:space="preserve"> </w:t>
      </w:r>
      <w:r w:rsidRPr="001048FE">
        <w:rPr>
          <w:lang w:val="sl-SI"/>
        </w:rPr>
        <w:t>izvaja</w:t>
      </w:r>
      <w:r w:rsidRPr="001048FE">
        <w:rPr>
          <w:spacing w:val="-19"/>
          <w:lang w:val="sl-SI"/>
        </w:rPr>
        <w:t xml:space="preserve"> </w:t>
      </w:r>
      <w:r w:rsidRPr="001048FE">
        <w:rPr>
          <w:lang w:val="sl-SI"/>
        </w:rPr>
        <w:t>osebje upravičencev),</w:t>
      </w:r>
      <w:r w:rsidRPr="001048FE">
        <w:rPr>
          <w:spacing w:val="-3"/>
          <w:lang w:val="sl-SI"/>
        </w:rPr>
        <w:t xml:space="preserve"> </w:t>
      </w:r>
      <w:r w:rsidRPr="001048FE">
        <w:rPr>
          <w:lang w:val="sl-SI"/>
        </w:rPr>
        <w:t>so:</w:t>
      </w:r>
    </w:p>
    <w:p w14:paraId="7D39AACA" w14:textId="77777777" w:rsidR="001809E5" w:rsidRPr="001048FE" w:rsidRDefault="001809E5" w:rsidP="005115F2">
      <w:pPr>
        <w:pStyle w:val="Guide-NormalBulletpoints"/>
        <w:numPr>
          <w:ilvl w:val="0"/>
          <w:numId w:val="461"/>
        </w:numPr>
        <w:rPr>
          <w:lang w:val="sl-SI"/>
        </w:rPr>
      </w:pPr>
      <w:r w:rsidRPr="001048FE">
        <w:rPr>
          <w:lang w:val="sl-SI"/>
        </w:rPr>
        <w:t>ocenjevanje in revizija;</w:t>
      </w:r>
    </w:p>
    <w:p w14:paraId="7D39AACB" w14:textId="77777777" w:rsidR="00AD159A" w:rsidRPr="001048FE" w:rsidRDefault="001809E5" w:rsidP="005115F2">
      <w:pPr>
        <w:pStyle w:val="Guide-NormalBulletpoints"/>
        <w:numPr>
          <w:ilvl w:val="0"/>
          <w:numId w:val="461"/>
        </w:numPr>
        <w:rPr>
          <w:lang w:val="sl-SI"/>
        </w:rPr>
      </w:pPr>
      <w:r w:rsidRPr="001048FE">
        <w:rPr>
          <w:lang w:val="sl-SI"/>
        </w:rPr>
        <w:t xml:space="preserve">tečaji informacijske in komunikacijske tehnologije; </w:t>
      </w:r>
    </w:p>
    <w:p w14:paraId="7D39AACC" w14:textId="77777777" w:rsidR="001809E5" w:rsidRPr="001048FE" w:rsidRDefault="001809E5" w:rsidP="005115F2">
      <w:pPr>
        <w:pStyle w:val="Guide-NormalBulletpoints"/>
        <w:numPr>
          <w:ilvl w:val="0"/>
          <w:numId w:val="461"/>
        </w:numPr>
        <w:rPr>
          <w:lang w:val="sl-SI"/>
        </w:rPr>
      </w:pPr>
      <w:r w:rsidRPr="001048FE">
        <w:rPr>
          <w:lang w:val="sl-SI"/>
        </w:rPr>
        <w:t>jezikovni tečaji;</w:t>
      </w:r>
    </w:p>
    <w:p w14:paraId="7D39AACD" w14:textId="77777777" w:rsidR="00AD159A" w:rsidRPr="001048FE" w:rsidRDefault="001809E5" w:rsidP="005115F2">
      <w:pPr>
        <w:pStyle w:val="Guide-NormalBulletpoints"/>
        <w:numPr>
          <w:ilvl w:val="0"/>
          <w:numId w:val="461"/>
        </w:numPr>
        <w:rPr>
          <w:lang w:val="sl-SI"/>
        </w:rPr>
      </w:pPr>
      <w:r w:rsidRPr="001048FE">
        <w:rPr>
          <w:lang w:val="sl-SI"/>
        </w:rPr>
        <w:t xml:space="preserve">tiskanje, objavljanje in razširjanje; </w:t>
      </w:r>
    </w:p>
    <w:p w14:paraId="7D39AACE" w14:textId="77777777" w:rsidR="001809E5" w:rsidRPr="001048FE" w:rsidRDefault="001809E5" w:rsidP="005115F2">
      <w:pPr>
        <w:pStyle w:val="Guide-NormalBulletpoints"/>
        <w:numPr>
          <w:ilvl w:val="0"/>
          <w:numId w:val="461"/>
        </w:numPr>
        <w:rPr>
          <w:lang w:val="sl-SI"/>
        </w:rPr>
      </w:pPr>
      <w:r w:rsidRPr="001048FE">
        <w:rPr>
          <w:lang w:val="sl-SI"/>
        </w:rPr>
        <w:t>prevajalske storitve;</w:t>
      </w:r>
    </w:p>
    <w:p w14:paraId="7D39AACF" w14:textId="77777777" w:rsidR="001809E5" w:rsidRPr="001048FE" w:rsidRDefault="001809E5" w:rsidP="005115F2">
      <w:pPr>
        <w:pStyle w:val="Guide-NormalBulletpoints"/>
        <w:numPr>
          <w:ilvl w:val="0"/>
          <w:numId w:val="461"/>
        </w:numPr>
        <w:rPr>
          <w:lang w:val="sl-SI"/>
        </w:rPr>
      </w:pPr>
      <w:r w:rsidRPr="001048FE">
        <w:rPr>
          <w:lang w:val="sl-SI"/>
        </w:rPr>
        <w:t>oblikovanje in vzdrževanje spletišč.</w:t>
      </w:r>
    </w:p>
    <w:p w14:paraId="7D39AAD0" w14:textId="77777777" w:rsidR="001809E5" w:rsidRPr="001048FE" w:rsidRDefault="001809E5" w:rsidP="00AD159A">
      <w:pPr>
        <w:pStyle w:val="GUIDE-NORMAL"/>
        <w:rPr>
          <w:lang w:val="sl-SI"/>
        </w:rPr>
      </w:pPr>
      <w:r w:rsidRPr="001048FE">
        <w:rPr>
          <w:lang w:val="sl-SI"/>
        </w:rPr>
        <w:t>V vseh primerih je treba naloge, za katere bo sklenjena pogodba o podizvajanju, opredeliti v predlogu (na podlagi ustreznih dokazil, skupaj z jasnimi razlogi, zakaj naloge ne morejo izvesti upravičenci), ocenjeni znesek pa vključiti v proračun. Sklepanje pogodb s podizvajalci, ki prvotno ni bilo predvideno v proračunu, mora Agencija predhodno pisno odobriti med izvajanjem projekta.</w:t>
      </w:r>
    </w:p>
    <w:p w14:paraId="7D39AAD1" w14:textId="77777777" w:rsidR="001809E5" w:rsidRPr="001048FE" w:rsidRDefault="001809E5" w:rsidP="00AD159A">
      <w:pPr>
        <w:pStyle w:val="GUIDE-NORMAL"/>
        <w:rPr>
          <w:lang w:val="sl-SI"/>
        </w:rPr>
      </w:pPr>
      <w:r w:rsidRPr="001048FE">
        <w:rPr>
          <w:lang w:val="sl-SI"/>
        </w:rPr>
        <w:t>Če</w:t>
      </w:r>
      <w:r w:rsidRPr="001048FE">
        <w:rPr>
          <w:spacing w:val="-17"/>
          <w:lang w:val="sl-SI"/>
        </w:rPr>
        <w:t xml:space="preserve"> </w:t>
      </w:r>
      <w:r w:rsidRPr="001048FE">
        <w:rPr>
          <w:lang w:val="sl-SI"/>
        </w:rPr>
        <w:t>vrednost</w:t>
      </w:r>
      <w:r w:rsidRPr="001048FE">
        <w:rPr>
          <w:spacing w:val="-17"/>
          <w:lang w:val="sl-SI"/>
        </w:rPr>
        <w:t xml:space="preserve"> </w:t>
      </w:r>
      <w:r w:rsidRPr="001048FE">
        <w:rPr>
          <w:lang w:val="sl-SI"/>
        </w:rPr>
        <w:t>pogodbe,</w:t>
      </w:r>
      <w:r w:rsidRPr="001048FE">
        <w:rPr>
          <w:spacing w:val="-17"/>
          <w:lang w:val="sl-SI"/>
        </w:rPr>
        <w:t xml:space="preserve"> </w:t>
      </w:r>
      <w:r w:rsidRPr="001048FE">
        <w:rPr>
          <w:lang w:val="sl-SI"/>
        </w:rPr>
        <w:t>sklenjene</w:t>
      </w:r>
      <w:r w:rsidRPr="001048FE">
        <w:rPr>
          <w:spacing w:val="-17"/>
          <w:lang w:val="sl-SI"/>
        </w:rPr>
        <w:t xml:space="preserve"> </w:t>
      </w:r>
      <w:r w:rsidRPr="001048FE">
        <w:rPr>
          <w:lang w:val="sl-SI"/>
        </w:rPr>
        <w:t>s</w:t>
      </w:r>
      <w:r w:rsidRPr="001048FE">
        <w:rPr>
          <w:spacing w:val="-17"/>
          <w:lang w:val="sl-SI"/>
        </w:rPr>
        <w:t xml:space="preserve"> </w:t>
      </w:r>
      <w:r w:rsidRPr="001048FE">
        <w:rPr>
          <w:lang w:val="sl-SI"/>
        </w:rPr>
        <w:t>podizvajalcem,</w:t>
      </w:r>
      <w:r w:rsidRPr="001048FE">
        <w:rPr>
          <w:spacing w:val="-17"/>
          <w:lang w:val="sl-SI"/>
        </w:rPr>
        <w:t xml:space="preserve"> </w:t>
      </w:r>
      <w:r w:rsidRPr="001048FE">
        <w:rPr>
          <w:lang w:val="sl-SI"/>
        </w:rPr>
        <w:t>presega</w:t>
      </w:r>
      <w:r w:rsidRPr="001048FE">
        <w:rPr>
          <w:spacing w:val="-17"/>
          <w:lang w:val="sl-SI"/>
        </w:rPr>
        <w:t xml:space="preserve"> </w:t>
      </w:r>
      <w:r w:rsidRPr="001048FE">
        <w:rPr>
          <w:lang w:val="sl-SI"/>
        </w:rPr>
        <w:t>25</w:t>
      </w:r>
      <w:r w:rsidRPr="001048FE">
        <w:rPr>
          <w:spacing w:val="-17"/>
          <w:lang w:val="sl-SI"/>
        </w:rPr>
        <w:t xml:space="preserve"> </w:t>
      </w:r>
      <w:r w:rsidRPr="001048FE">
        <w:rPr>
          <w:lang w:val="sl-SI"/>
        </w:rPr>
        <w:t>000</w:t>
      </w:r>
      <w:r w:rsidRPr="001048FE">
        <w:rPr>
          <w:spacing w:val="-17"/>
          <w:lang w:val="sl-SI"/>
        </w:rPr>
        <w:t xml:space="preserve"> </w:t>
      </w:r>
      <w:r w:rsidRPr="001048FE">
        <w:rPr>
          <w:lang w:val="sl-SI"/>
        </w:rPr>
        <w:t>EUR</w:t>
      </w:r>
      <w:r w:rsidRPr="001048FE">
        <w:rPr>
          <w:spacing w:val="-17"/>
          <w:lang w:val="sl-SI"/>
        </w:rPr>
        <w:t xml:space="preserve"> </w:t>
      </w:r>
      <w:r w:rsidRPr="001048FE">
        <w:rPr>
          <w:lang w:val="sl-SI"/>
        </w:rPr>
        <w:t>in</w:t>
      </w:r>
      <w:r w:rsidRPr="001048FE">
        <w:rPr>
          <w:spacing w:val="-17"/>
          <w:lang w:val="sl-SI"/>
        </w:rPr>
        <w:t xml:space="preserve"> </w:t>
      </w:r>
      <w:r w:rsidRPr="001048FE">
        <w:rPr>
          <w:lang w:val="sl-SI"/>
        </w:rPr>
        <w:t>je</w:t>
      </w:r>
      <w:r w:rsidRPr="001048FE">
        <w:rPr>
          <w:spacing w:val="-17"/>
          <w:lang w:val="sl-SI"/>
        </w:rPr>
        <w:t xml:space="preserve"> </w:t>
      </w:r>
      <w:r w:rsidRPr="001048FE">
        <w:rPr>
          <w:lang w:val="sl-SI"/>
        </w:rPr>
        <w:t>nižja</w:t>
      </w:r>
      <w:r w:rsidRPr="001048FE">
        <w:rPr>
          <w:spacing w:val="-17"/>
          <w:lang w:val="sl-SI"/>
        </w:rPr>
        <w:t xml:space="preserve"> </w:t>
      </w:r>
      <w:r w:rsidRPr="001048FE">
        <w:rPr>
          <w:lang w:val="sl-SI"/>
        </w:rPr>
        <w:t>od</w:t>
      </w:r>
      <w:r w:rsidRPr="001048FE">
        <w:rPr>
          <w:spacing w:val="-16"/>
          <w:lang w:val="sl-SI"/>
        </w:rPr>
        <w:t xml:space="preserve"> </w:t>
      </w:r>
      <w:r w:rsidRPr="001048FE">
        <w:rPr>
          <w:lang w:val="sl-SI"/>
        </w:rPr>
        <w:t>1</w:t>
      </w:r>
      <w:r w:rsidR="00A0654A">
        <w:rPr>
          <w:lang w:val="sl-SI"/>
        </w:rPr>
        <w:t>4</w:t>
      </w:r>
      <w:r w:rsidRPr="001048FE">
        <w:rPr>
          <w:lang w:val="sl-SI"/>
        </w:rPr>
        <w:t>4</w:t>
      </w:r>
      <w:r w:rsidRPr="001048FE">
        <w:rPr>
          <w:spacing w:val="-17"/>
          <w:lang w:val="sl-SI"/>
        </w:rPr>
        <w:t xml:space="preserve"> </w:t>
      </w:r>
      <w:r w:rsidRPr="001048FE">
        <w:rPr>
          <w:lang w:val="sl-SI"/>
        </w:rPr>
        <w:t>000</w:t>
      </w:r>
      <w:r w:rsidRPr="001048FE">
        <w:rPr>
          <w:spacing w:val="-17"/>
          <w:lang w:val="sl-SI"/>
        </w:rPr>
        <w:t xml:space="preserve"> </w:t>
      </w:r>
      <w:r w:rsidRPr="001048FE">
        <w:rPr>
          <w:lang w:val="sl-SI"/>
        </w:rPr>
        <w:t>EUR, morajo upravičenci dobiti konkurenčne ponudbe od vsaj treh dobaviteljev in izbrati tisto, ki ponuja najboljše razmerje med kakovostjo in ceno, ob upoštevanju načel preglednosti in enakega obravnavanja</w:t>
      </w:r>
      <w:r w:rsidRPr="001048FE">
        <w:rPr>
          <w:spacing w:val="-13"/>
          <w:lang w:val="sl-SI"/>
        </w:rPr>
        <w:t xml:space="preserve"> </w:t>
      </w:r>
      <w:r w:rsidRPr="001048FE">
        <w:rPr>
          <w:lang w:val="sl-SI"/>
        </w:rPr>
        <w:t>potencialnih</w:t>
      </w:r>
      <w:r w:rsidRPr="001048FE">
        <w:rPr>
          <w:spacing w:val="-14"/>
          <w:lang w:val="sl-SI"/>
        </w:rPr>
        <w:t xml:space="preserve"> </w:t>
      </w:r>
      <w:r w:rsidRPr="001048FE">
        <w:rPr>
          <w:lang w:val="sl-SI"/>
        </w:rPr>
        <w:t>izvajalcev</w:t>
      </w:r>
      <w:r w:rsidRPr="001048FE">
        <w:rPr>
          <w:spacing w:val="-14"/>
          <w:lang w:val="sl-SI"/>
        </w:rPr>
        <w:t xml:space="preserve"> </w:t>
      </w:r>
      <w:r w:rsidRPr="001048FE">
        <w:rPr>
          <w:lang w:val="sl-SI"/>
        </w:rPr>
        <w:t>ter</w:t>
      </w:r>
      <w:r w:rsidRPr="001048FE">
        <w:rPr>
          <w:spacing w:val="-14"/>
          <w:lang w:val="sl-SI"/>
        </w:rPr>
        <w:t xml:space="preserve"> </w:t>
      </w:r>
      <w:r w:rsidRPr="001048FE">
        <w:rPr>
          <w:lang w:val="sl-SI"/>
        </w:rPr>
        <w:t>z</w:t>
      </w:r>
      <w:r w:rsidRPr="001048FE">
        <w:rPr>
          <w:spacing w:val="-14"/>
          <w:lang w:val="sl-SI"/>
        </w:rPr>
        <w:t xml:space="preserve"> </w:t>
      </w:r>
      <w:r w:rsidRPr="001048FE">
        <w:rPr>
          <w:lang w:val="sl-SI"/>
        </w:rPr>
        <w:t>izogibanjem</w:t>
      </w:r>
      <w:r w:rsidRPr="001048FE">
        <w:rPr>
          <w:spacing w:val="-14"/>
          <w:lang w:val="sl-SI"/>
        </w:rPr>
        <w:t xml:space="preserve"> </w:t>
      </w:r>
      <w:r w:rsidRPr="001048FE">
        <w:rPr>
          <w:lang w:val="sl-SI"/>
        </w:rPr>
        <w:t>navzkrižjem</w:t>
      </w:r>
      <w:r w:rsidRPr="001048FE">
        <w:rPr>
          <w:spacing w:val="-14"/>
          <w:lang w:val="sl-SI"/>
        </w:rPr>
        <w:t xml:space="preserve"> </w:t>
      </w:r>
      <w:r w:rsidRPr="001048FE">
        <w:rPr>
          <w:lang w:val="sl-SI"/>
        </w:rPr>
        <w:t>interesov.</w:t>
      </w:r>
      <w:r w:rsidRPr="001048FE">
        <w:rPr>
          <w:spacing w:val="-14"/>
          <w:lang w:val="sl-SI"/>
        </w:rPr>
        <w:t xml:space="preserve"> </w:t>
      </w:r>
      <w:r w:rsidRPr="001048FE">
        <w:rPr>
          <w:lang w:val="sl-SI"/>
        </w:rPr>
        <w:t>Za</w:t>
      </w:r>
      <w:r w:rsidRPr="001048FE">
        <w:rPr>
          <w:spacing w:val="-14"/>
          <w:lang w:val="sl-SI"/>
        </w:rPr>
        <w:t xml:space="preserve"> </w:t>
      </w:r>
      <w:r w:rsidR="00A0654A">
        <w:rPr>
          <w:lang w:val="sl-SI"/>
        </w:rPr>
        <w:t xml:space="preserve">podizvajalska dela </w:t>
      </w:r>
      <w:r w:rsidRPr="001048FE">
        <w:rPr>
          <w:lang w:val="sl-SI"/>
        </w:rPr>
        <w:t>nad 1</w:t>
      </w:r>
      <w:r w:rsidR="00A0654A">
        <w:rPr>
          <w:lang w:val="sl-SI"/>
        </w:rPr>
        <w:t>4</w:t>
      </w:r>
      <w:r w:rsidRPr="001048FE">
        <w:rPr>
          <w:lang w:val="sl-SI"/>
        </w:rPr>
        <w:t>4</w:t>
      </w:r>
      <w:r w:rsidRPr="001048FE">
        <w:rPr>
          <w:spacing w:val="-16"/>
          <w:lang w:val="sl-SI"/>
        </w:rPr>
        <w:t xml:space="preserve"> </w:t>
      </w:r>
      <w:r w:rsidRPr="001048FE">
        <w:rPr>
          <w:lang w:val="sl-SI"/>
        </w:rPr>
        <w:t>000</w:t>
      </w:r>
      <w:r w:rsidRPr="001048FE">
        <w:rPr>
          <w:spacing w:val="-16"/>
          <w:lang w:val="sl-SI"/>
        </w:rPr>
        <w:t xml:space="preserve"> </w:t>
      </w:r>
      <w:r w:rsidRPr="001048FE">
        <w:rPr>
          <w:lang w:val="sl-SI"/>
        </w:rPr>
        <w:t>EUR</w:t>
      </w:r>
      <w:r w:rsidRPr="001048FE">
        <w:rPr>
          <w:spacing w:val="-16"/>
          <w:lang w:val="sl-SI"/>
        </w:rPr>
        <w:t xml:space="preserve"> </w:t>
      </w:r>
      <w:r w:rsidRPr="001048FE">
        <w:rPr>
          <w:lang w:val="sl-SI"/>
        </w:rPr>
        <w:t>velja</w:t>
      </w:r>
      <w:r w:rsidRPr="001048FE">
        <w:rPr>
          <w:spacing w:val="-16"/>
          <w:lang w:val="sl-SI"/>
        </w:rPr>
        <w:t xml:space="preserve"> </w:t>
      </w:r>
      <w:r w:rsidRPr="001048FE">
        <w:rPr>
          <w:lang w:val="sl-SI"/>
        </w:rPr>
        <w:t>nacionalna</w:t>
      </w:r>
      <w:r w:rsidRPr="001048FE">
        <w:rPr>
          <w:spacing w:val="-16"/>
          <w:lang w:val="sl-SI"/>
        </w:rPr>
        <w:t xml:space="preserve"> </w:t>
      </w:r>
      <w:r w:rsidRPr="001048FE">
        <w:rPr>
          <w:lang w:val="sl-SI"/>
        </w:rPr>
        <w:t>zakonodaja.</w:t>
      </w:r>
      <w:r w:rsidRPr="001048FE">
        <w:rPr>
          <w:spacing w:val="-16"/>
          <w:lang w:val="sl-SI"/>
        </w:rPr>
        <w:t xml:space="preserve"> </w:t>
      </w:r>
      <w:r w:rsidRPr="001048FE">
        <w:rPr>
          <w:lang w:val="sl-SI"/>
        </w:rPr>
        <w:t>Upravičenci</w:t>
      </w:r>
      <w:r w:rsidRPr="001048FE">
        <w:rPr>
          <w:spacing w:val="-16"/>
          <w:lang w:val="sl-SI"/>
        </w:rPr>
        <w:t xml:space="preserve"> </w:t>
      </w:r>
      <w:r w:rsidRPr="001048FE">
        <w:rPr>
          <w:lang w:val="sl-SI"/>
        </w:rPr>
        <w:t>ne</w:t>
      </w:r>
      <w:r w:rsidRPr="001048FE">
        <w:rPr>
          <w:spacing w:val="-16"/>
          <w:lang w:val="sl-SI"/>
        </w:rPr>
        <w:t xml:space="preserve"> </w:t>
      </w:r>
      <w:r w:rsidRPr="001048FE">
        <w:rPr>
          <w:lang w:val="sl-SI"/>
        </w:rPr>
        <w:t>smejo</w:t>
      </w:r>
      <w:r w:rsidRPr="001048FE">
        <w:rPr>
          <w:spacing w:val="-16"/>
          <w:lang w:val="sl-SI"/>
        </w:rPr>
        <w:t xml:space="preserve"> </w:t>
      </w:r>
      <w:r w:rsidRPr="001048FE">
        <w:rPr>
          <w:lang w:val="sl-SI"/>
        </w:rPr>
        <w:t>razdeliti</w:t>
      </w:r>
      <w:r w:rsidRPr="001048FE">
        <w:rPr>
          <w:spacing w:val="-16"/>
          <w:lang w:val="sl-SI"/>
        </w:rPr>
        <w:t xml:space="preserve"> </w:t>
      </w:r>
      <w:r w:rsidRPr="001048FE">
        <w:rPr>
          <w:lang w:val="sl-SI"/>
        </w:rPr>
        <w:t>nakupa</w:t>
      </w:r>
      <w:r w:rsidRPr="001048FE">
        <w:rPr>
          <w:spacing w:val="-16"/>
          <w:lang w:val="sl-SI"/>
        </w:rPr>
        <w:t xml:space="preserve"> </w:t>
      </w:r>
      <w:r w:rsidRPr="001048FE">
        <w:rPr>
          <w:lang w:val="sl-SI"/>
        </w:rPr>
        <w:t>storitev</w:t>
      </w:r>
      <w:r w:rsidRPr="001048FE">
        <w:rPr>
          <w:spacing w:val="-16"/>
          <w:lang w:val="sl-SI"/>
        </w:rPr>
        <w:t xml:space="preserve"> </w:t>
      </w:r>
      <w:r w:rsidRPr="001048FE">
        <w:rPr>
          <w:lang w:val="sl-SI"/>
        </w:rPr>
        <w:t>v</w:t>
      </w:r>
      <w:r w:rsidRPr="001048FE">
        <w:rPr>
          <w:spacing w:val="-16"/>
          <w:lang w:val="sl-SI"/>
        </w:rPr>
        <w:t xml:space="preserve"> </w:t>
      </w:r>
      <w:r w:rsidRPr="001048FE">
        <w:rPr>
          <w:lang w:val="sl-SI"/>
        </w:rPr>
        <w:t>manjša naročila pod zgoraj navedenim</w:t>
      </w:r>
      <w:r w:rsidRPr="001048FE">
        <w:rPr>
          <w:spacing w:val="-11"/>
          <w:lang w:val="sl-SI"/>
        </w:rPr>
        <w:t xml:space="preserve"> </w:t>
      </w:r>
      <w:r w:rsidRPr="001048FE">
        <w:rPr>
          <w:lang w:val="sl-SI"/>
        </w:rPr>
        <w:t>pragom.</w:t>
      </w:r>
    </w:p>
    <w:p w14:paraId="7D39AAD2" w14:textId="77777777" w:rsidR="001809E5" w:rsidRPr="001048FE" w:rsidRDefault="001809E5" w:rsidP="00AD159A">
      <w:pPr>
        <w:pStyle w:val="GUIDE-NORMAL"/>
        <w:rPr>
          <w:lang w:val="sl-SI"/>
        </w:rPr>
      </w:pPr>
      <w:r w:rsidRPr="001048FE">
        <w:rPr>
          <w:lang w:val="sl-SI"/>
        </w:rPr>
        <w:t>Pogodba</w:t>
      </w:r>
      <w:r w:rsidRPr="001048FE">
        <w:rPr>
          <w:spacing w:val="-17"/>
          <w:lang w:val="sl-SI"/>
        </w:rPr>
        <w:t xml:space="preserve"> </w:t>
      </w:r>
      <w:r w:rsidRPr="001048FE">
        <w:rPr>
          <w:lang w:val="sl-SI"/>
        </w:rPr>
        <w:t>o</w:t>
      </w:r>
      <w:r w:rsidRPr="001048FE">
        <w:rPr>
          <w:spacing w:val="-16"/>
          <w:lang w:val="sl-SI"/>
        </w:rPr>
        <w:t xml:space="preserve"> </w:t>
      </w:r>
      <w:r w:rsidRPr="001048FE">
        <w:rPr>
          <w:lang w:val="sl-SI"/>
        </w:rPr>
        <w:t>podizvajanju</w:t>
      </w:r>
      <w:r w:rsidRPr="001048FE">
        <w:rPr>
          <w:spacing w:val="-17"/>
          <w:lang w:val="sl-SI"/>
        </w:rPr>
        <w:t xml:space="preserve"> </w:t>
      </w:r>
      <w:r w:rsidRPr="001048FE">
        <w:rPr>
          <w:lang w:val="sl-SI"/>
        </w:rPr>
        <w:t>mora</w:t>
      </w:r>
      <w:r w:rsidRPr="001048FE">
        <w:rPr>
          <w:spacing w:val="-17"/>
          <w:lang w:val="sl-SI"/>
        </w:rPr>
        <w:t xml:space="preserve"> </w:t>
      </w:r>
      <w:r w:rsidRPr="001048FE">
        <w:rPr>
          <w:lang w:val="sl-SI"/>
        </w:rPr>
        <w:t>opisovati</w:t>
      </w:r>
      <w:r w:rsidRPr="001048FE">
        <w:rPr>
          <w:spacing w:val="-16"/>
          <w:lang w:val="sl-SI"/>
        </w:rPr>
        <w:t xml:space="preserve"> </w:t>
      </w:r>
      <w:r w:rsidRPr="001048FE">
        <w:rPr>
          <w:lang w:val="sl-SI"/>
        </w:rPr>
        <w:t>določeno</w:t>
      </w:r>
      <w:r w:rsidRPr="001048FE">
        <w:rPr>
          <w:spacing w:val="-17"/>
          <w:lang w:val="sl-SI"/>
        </w:rPr>
        <w:t xml:space="preserve"> </w:t>
      </w:r>
      <w:r w:rsidRPr="001048FE">
        <w:rPr>
          <w:lang w:val="sl-SI"/>
        </w:rPr>
        <w:t>nalogo,</w:t>
      </w:r>
      <w:r w:rsidRPr="001048FE">
        <w:rPr>
          <w:spacing w:val="-17"/>
          <w:lang w:val="sl-SI"/>
        </w:rPr>
        <w:t xml:space="preserve"> </w:t>
      </w:r>
      <w:r w:rsidRPr="001048FE">
        <w:rPr>
          <w:lang w:val="sl-SI"/>
        </w:rPr>
        <w:t>ki</w:t>
      </w:r>
      <w:r w:rsidRPr="001048FE">
        <w:rPr>
          <w:spacing w:val="-17"/>
          <w:lang w:val="sl-SI"/>
        </w:rPr>
        <w:t xml:space="preserve"> </w:t>
      </w:r>
      <w:r w:rsidRPr="001048FE">
        <w:rPr>
          <w:lang w:val="sl-SI"/>
        </w:rPr>
        <w:t>se</w:t>
      </w:r>
      <w:r w:rsidRPr="001048FE">
        <w:rPr>
          <w:spacing w:val="-17"/>
          <w:lang w:val="sl-SI"/>
        </w:rPr>
        <w:t xml:space="preserve"> </w:t>
      </w:r>
      <w:r w:rsidRPr="001048FE">
        <w:rPr>
          <w:lang w:val="sl-SI"/>
        </w:rPr>
        <w:t>bo</w:t>
      </w:r>
      <w:r w:rsidRPr="001048FE">
        <w:rPr>
          <w:spacing w:val="-17"/>
          <w:lang w:val="sl-SI"/>
        </w:rPr>
        <w:t xml:space="preserve"> </w:t>
      </w:r>
      <w:r w:rsidRPr="001048FE">
        <w:rPr>
          <w:lang w:val="sl-SI"/>
        </w:rPr>
        <w:t>izvajala,</w:t>
      </w:r>
      <w:r w:rsidRPr="001048FE">
        <w:rPr>
          <w:spacing w:val="-17"/>
          <w:lang w:val="sl-SI"/>
        </w:rPr>
        <w:t xml:space="preserve"> </w:t>
      </w:r>
      <w:r w:rsidRPr="001048FE">
        <w:rPr>
          <w:lang w:val="sl-SI"/>
        </w:rPr>
        <w:t>in</w:t>
      </w:r>
      <w:r w:rsidRPr="001048FE">
        <w:rPr>
          <w:spacing w:val="-17"/>
          <w:lang w:val="sl-SI"/>
        </w:rPr>
        <w:t xml:space="preserve"> </w:t>
      </w:r>
      <w:r w:rsidRPr="001048FE">
        <w:rPr>
          <w:lang w:val="sl-SI"/>
        </w:rPr>
        <w:t>njeno</w:t>
      </w:r>
      <w:r w:rsidRPr="001048FE">
        <w:rPr>
          <w:spacing w:val="-17"/>
          <w:lang w:val="sl-SI"/>
        </w:rPr>
        <w:t xml:space="preserve"> </w:t>
      </w:r>
      <w:r w:rsidRPr="001048FE">
        <w:rPr>
          <w:lang w:val="sl-SI"/>
        </w:rPr>
        <w:t>trajanje. Vključevati mora datum, številko projekta in podpis obeh</w:t>
      </w:r>
      <w:r w:rsidRPr="001048FE">
        <w:rPr>
          <w:spacing w:val="-18"/>
          <w:lang w:val="sl-SI"/>
        </w:rPr>
        <w:t xml:space="preserve"> </w:t>
      </w:r>
      <w:r w:rsidRPr="001048FE">
        <w:rPr>
          <w:lang w:val="sl-SI"/>
        </w:rPr>
        <w:t>strank.</w:t>
      </w:r>
    </w:p>
    <w:p w14:paraId="7D39AAD3" w14:textId="77777777" w:rsidR="001809E5" w:rsidRPr="001048FE" w:rsidRDefault="001809E5" w:rsidP="00AD159A">
      <w:pPr>
        <w:pStyle w:val="GUIDE-NORMAL"/>
        <w:rPr>
          <w:lang w:val="sl-SI"/>
        </w:rPr>
      </w:pPr>
      <w:r w:rsidRPr="001048FE">
        <w:rPr>
          <w:lang w:val="sl-SI"/>
        </w:rPr>
        <w:t>S člani osebja soupravičencev se ne smejo sklepati pogodbe o po</w:t>
      </w:r>
      <w:r w:rsidR="00AD159A" w:rsidRPr="001048FE">
        <w:rPr>
          <w:lang w:val="sl-SI"/>
        </w:rPr>
        <w:t>dizvajanju v zvezi s projektom.</w:t>
      </w:r>
    </w:p>
    <w:p w14:paraId="7D39AAD4" w14:textId="77777777" w:rsidR="001809E5" w:rsidRPr="001048FE" w:rsidRDefault="001809E5" w:rsidP="00AD159A">
      <w:pPr>
        <w:pStyle w:val="GUIDE-NORMAL"/>
        <w:rPr>
          <w:lang w:val="sl-SI"/>
        </w:rPr>
      </w:pPr>
      <w:r w:rsidRPr="001048FE">
        <w:rPr>
          <w:lang w:val="sl-SI"/>
        </w:rPr>
        <w:t>Dejanske potne stroške in stroške bivanja podizvajalcev storitev je treba uvrstiti pod proračunsko postavko za podizvajanje ter jih utemeljiti in dokumentirati.</w:t>
      </w:r>
    </w:p>
    <w:p w14:paraId="7D39AAD5" w14:textId="77777777" w:rsidR="00163535" w:rsidRDefault="00493CB0">
      <w:pPr>
        <w:pStyle w:val="Guide-AnnexHeading3"/>
        <w:numPr>
          <w:ilvl w:val="0"/>
          <w:numId w:val="0"/>
        </w:numPr>
        <w:ind w:left="360" w:hanging="360"/>
        <w:rPr>
          <w:lang w:val="sl-SI"/>
        </w:rPr>
      </w:pPr>
      <w:bookmarkStart w:id="740" w:name="_Toc524425634"/>
      <w:bookmarkStart w:id="741" w:name="_Toc526422872"/>
      <w:bookmarkStart w:id="742" w:name="_Toc527400990"/>
      <w:bookmarkStart w:id="743" w:name="_Toc527401371"/>
      <w:r>
        <w:rPr>
          <w:lang w:val="sl-SI"/>
        </w:rPr>
        <w:t xml:space="preserve">2. </w:t>
      </w:r>
      <w:r w:rsidR="001809E5" w:rsidRPr="001048FE">
        <w:rPr>
          <w:lang w:val="sl-SI"/>
        </w:rPr>
        <w:t>Računovodsko poročanje in končni izračun nepovratnih sredstev</w:t>
      </w:r>
      <w:bookmarkEnd w:id="740"/>
      <w:bookmarkEnd w:id="741"/>
      <w:bookmarkEnd w:id="742"/>
      <w:bookmarkEnd w:id="743"/>
    </w:p>
    <w:p w14:paraId="7D39AAD6" w14:textId="77777777" w:rsidR="001809E5" w:rsidRPr="001048FE" w:rsidRDefault="001809E5" w:rsidP="00AD159A">
      <w:pPr>
        <w:pStyle w:val="GUIDE-NORMAL"/>
        <w:rPr>
          <w:lang w:val="sl-SI"/>
        </w:rPr>
      </w:pPr>
      <w:r w:rsidRPr="001048FE">
        <w:rPr>
          <w:lang w:val="sl-SI"/>
        </w:rPr>
        <w:t>Za vsak projekt je v sporazumu o nepovratnih sredstvih določen predvideni proračun, ki ga je treba uporabljati v skladu z določbami iz sporazuma. Projekti lahko povišajo proračunske postavke s prenosom</w:t>
      </w:r>
      <w:r w:rsidRPr="001048FE">
        <w:rPr>
          <w:spacing w:val="-15"/>
          <w:lang w:val="sl-SI"/>
        </w:rPr>
        <w:t xml:space="preserve"> </w:t>
      </w:r>
      <w:r w:rsidRPr="001048FE">
        <w:rPr>
          <w:lang w:val="sl-SI"/>
        </w:rPr>
        <w:t>iz</w:t>
      </w:r>
      <w:r w:rsidRPr="001048FE">
        <w:rPr>
          <w:spacing w:val="-15"/>
          <w:lang w:val="sl-SI"/>
        </w:rPr>
        <w:t xml:space="preserve"> </w:t>
      </w:r>
      <w:r w:rsidRPr="001048FE">
        <w:rPr>
          <w:lang w:val="sl-SI"/>
        </w:rPr>
        <w:t>druge</w:t>
      </w:r>
      <w:r w:rsidRPr="001048FE">
        <w:rPr>
          <w:spacing w:val="-15"/>
          <w:lang w:val="sl-SI"/>
        </w:rPr>
        <w:t xml:space="preserve"> </w:t>
      </w:r>
      <w:r w:rsidRPr="001048FE">
        <w:rPr>
          <w:lang w:val="sl-SI"/>
        </w:rPr>
        <w:t>proračunske</w:t>
      </w:r>
      <w:r w:rsidRPr="001048FE">
        <w:rPr>
          <w:spacing w:val="-15"/>
          <w:lang w:val="sl-SI"/>
        </w:rPr>
        <w:t xml:space="preserve"> </w:t>
      </w:r>
      <w:r w:rsidRPr="001048FE">
        <w:rPr>
          <w:lang w:val="sl-SI"/>
        </w:rPr>
        <w:t>postavke</w:t>
      </w:r>
      <w:r w:rsidRPr="001048FE">
        <w:rPr>
          <w:spacing w:val="-15"/>
          <w:lang w:val="sl-SI"/>
        </w:rPr>
        <w:t xml:space="preserve"> </w:t>
      </w:r>
      <w:r w:rsidRPr="001048FE">
        <w:rPr>
          <w:lang w:val="sl-SI"/>
        </w:rPr>
        <w:t>za</w:t>
      </w:r>
      <w:r w:rsidRPr="001048FE">
        <w:rPr>
          <w:spacing w:val="-15"/>
          <w:lang w:val="sl-SI"/>
        </w:rPr>
        <w:t xml:space="preserve"> </w:t>
      </w:r>
      <w:r w:rsidRPr="001048FE">
        <w:rPr>
          <w:lang w:val="sl-SI"/>
        </w:rPr>
        <w:t>največ</w:t>
      </w:r>
      <w:r w:rsidRPr="001048FE">
        <w:rPr>
          <w:spacing w:val="-15"/>
          <w:lang w:val="sl-SI"/>
        </w:rPr>
        <w:t xml:space="preserve"> </w:t>
      </w:r>
      <w:r w:rsidRPr="001048FE">
        <w:rPr>
          <w:lang w:val="sl-SI"/>
        </w:rPr>
        <w:t>10</w:t>
      </w:r>
      <w:r w:rsidRPr="001048FE">
        <w:rPr>
          <w:spacing w:val="-15"/>
          <w:lang w:val="sl-SI"/>
        </w:rPr>
        <w:t xml:space="preserve"> </w:t>
      </w:r>
      <w:r w:rsidRPr="001048FE">
        <w:rPr>
          <w:lang w:val="sl-SI"/>
        </w:rPr>
        <w:t>%</w:t>
      </w:r>
      <w:r w:rsidRPr="001048FE">
        <w:rPr>
          <w:spacing w:val="-15"/>
          <w:lang w:val="sl-SI"/>
        </w:rPr>
        <w:t xml:space="preserve"> </w:t>
      </w:r>
      <w:r w:rsidRPr="001048FE">
        <w:rPr>
          <w:lang w:val="sl-SI"/>
        </w:rPr>
        <w:t>brez</w:t>
      </w:r>
      <w:r w:rsidRPr="001048FE">
        <w:rPr>
          <w:spacing w:val="-15"/>
          <w:lang w:val="sl-SI"/>
        </w:rPr>
        <w:t xml:space="preserve"> </w:t>
      </w:r>
      <w:r w:rsidRPr="001048FE">
        <w:rPr>
          <w:lang w:val="sl-SI"/>
        </w:rPr>
        <w:t>predhodne</w:t>
      </w:r>
      <w:r w:rsidRPr="001048FE">
        <w:rPr>
          <w:spacing w:val="-15"/>
          <w:lang w:val="sl-SI"/>
        </w:rPr>
        <w:t xml:space="preserve"> </w:t>
      </w:r>
      <w:r w:rsidRPr="001048FE">
        <w:rPr>
          <w:lang w:val="sl-SI"/>
        </w:rPr>
        <w:t>odobritve,</w:t>
      </w:r>
      <w:r w:rsidRPr="001048FE">
        <w:rPr>
          <w:spacing w:val="-14"/>
          <w:lang w:val="sl-SI"/>
        </w:rPr>
        <w:t xml:space="preserve"> </w:t>
      </w:r>
      <w:r w:rsidRPr="001048FE">
        <w:rPr>
          <w:lang w:val="sl-SI"/>
        </w:rPr>
        <w:t>tudi</w:t>
      </w:r>
      <w:r w:rsidRPr="001048FE">
        <w:rPr>
          <w:spacing w:val="-15"/>
          <w:lang w:val="sl-SI"/>
        </w:rPr>
        <w:t xml:space="preserve"> </w:t>
      </w:r>
      <w:r w:rsidRPr="001048FE">
        <w:rPr>
          <w:lang w:val="sl-SI"/>
        </w:rPr>
        <w:t>če</w:t>
      </w:r>
      <w:r w:rsidRPr="001048FE">
        <w:rPr>
          <w:spacing w:val="-15"/>
          <w:lang w:val="sl-SI"/>
        </w:rPr>
        <w:t xml:space="preserve"> </w:t>
      </w:r>
      <w:r w:rsidRPr="001048FE">
        <w:rPr>
          <w:lang w:val="sl-SI"/>
        </w:rPr>
        <w:t>povišani znesek</w:t>
      </w:r>
      <w:r w:rsidRPr="001048FE">
        <w:rPr>
          <w:spacing w:val="-9"/>
          <w:lang w:val="sl-SI"/>
        </w:rPr>
        <w:t xml:space="preserve"> </w:t>
      </w:r>
      <w:r w:rsidRPr="001048FE">
        <w:rPr>
          <w:lang w:val="sl-SI"/>
        </w:rPr>
        <w:t>presega</w:t>
      </w:r>
      <w:r w:rsidRPr="001048FE">
        <w:rPr>
          <w:spacing w:val="-9"/>
          <w:lang w:val="sl-SI"/>
        </w:rPr>
        <w:t xml:space="preserve"> </w:t>
      </w:r>
      <w:r w:rsidRPr="001048FE">
        <w:rPr>
          <w:lang w:val="sl-SI"/>
        </w:rPr>
        <w:t>najvišje</w:t>
      </w:r>
      <w:r w:rsidRPr="001048FE">
        <w:rPr>
          <w:spacing w:val="-9"/>
          <w:lang w:val="sl-SI"/>
        </w:rPr>
        <w:t xml:space="preserve"> </w:t>
      </w:r>
      <w:r w:rsidRPr="001048FE">
        <w:rPr>
          <w:lang w:val="sl-SI"/>
        </w:rPr>
        <w:t>zgornje</w:t>
      </w:r>
      <w:r w:rsidRPr="001048FE">
        <w:rPr>
          <w:spacing w:val="-9"/>
          <w:lang w:val="sl-SI"/>
        </w:rPr>
        <w:t xml:space="preserve"> </w:t>
      </w:r>
      <w:r w:rsidRPr="001048FE">
        <w:rPr>
          <w:lang w:val="sl-SI"/>
        </w:rPr>
        <w:t>meje</w:t>
      </w:r>
      <w:r w:rsidRPr="001048FE">
        <w:rPr>
          <w:spacing w:val="-9"/>
          <w:lang w:val="sl-SI"/>
        </w:rPr>
        <w:t xml:space="preserve"> </w:t>
      </w:r>
      <w:r w:rsidRPr="001048FE">
        <w:rPr>
          <w:lang w:val="sl-SI"/>
        </w:rPr>
        <w:t>za</w:t>
      </w:r>
      <w:r w:rsidRPr="001048FE">
        <w:rPr>
          <w:spacing w:val="-9"/>
          <w:lang w:val="sl-SI"/>
        </w:rPr>
        <w:t xml:space="preserve"> </w:t>
      </w:r>
      <w:r w:rsidRPr="001048FE">
        <w:rPr>
          <w:lang w:val="sl-SI"/>
        </w:rPr>
        <w:t>osebje,</w:t>
      </w:r>
      <w:r w:rsidRPr="001048FE">
        <w:rPr>
          <w:spacing w:val="-8"/>
          <w:lang w:val="sl-SI"/>
        </w:rPr>
        <w:t xml:space="preserve"> </w:t>
      </w:r>
      <w:r w:rsidRPr="001048FE">
        <w:rPr>
          <w:lang w:val="sl-SI"/>
        </w:rPr>
        <w:t>opreme</w:t>
      </w:r>
      <w:r w:rsidRPr="001048FE">
        <w:rPr>
          <w:spacing w:val="-8"/>
          <w:lang w:val="sl-SI"/>
        </w:rPr>
        <w:t xml:space="preserve"> </w:t>
      </w:r>
      <w:r w:rsidRPr="001048FE">
        <w:rPr>
          <w:lang w:val="sl-SI"/>
        </w:rPr>
        <w:t>in</w:t>
      </w:r>
      <w:r w:rsidRPr="001048FE">
        <w:rPr>
          <w:spacing w:val="-9"/>
          <w:lang w:val="sl-SI"/>
        </w:rPr>
        <w:t xml:space="preserve"> </w:t>
      </w:r>
      <w:r w:rsidRPr="001048FE">
        <w:rPr>
          <w:lang w:val="sl-SI"/>
        </w:rPr>
        <w:t>pogodbe</w:t>
      </w:r>
      <w:r w:rsidRPr="001048FE">
        <w:rPr>
          <w:spacing w:val="-9"/>
          <w:lang w:val="sl-SI"/>
        </w:rPr>
        <w:t xml:space="preserve"> </w:t>
      </w:r>
      <w:r w:rsidRPr="001048FE">
        <w:rPr>
          <w:lang w:val="sl-SI"/>
        </w:rPr>
        <w:t>s</w:t>
      </w:r>
      <w:r w:rsidRPr="001048FE">
        <w:rPr>
          <w:spacing w:val="-9"/>
          <w:lang w:val="sl-SI"/>
        </w:rPr>
        <w:t xml:space="preserve"> </w:t>
      </w:r>
      <w:r w:rsidRPr="001048FE">
        <w:rPr>
          <w:lang w:val="sl-SI"/>
        </w:rPr>
        <w:t>podizvajalci.</w:t>
      </w:r>
    </w:p>
    <w:p w14:paraId="7D39AAD7" w14:textId="77777777" w:rsidR="001809E5" w:rsidRPr="001048FE" w:rsidRDefault="001809E5" w:rsidP="00AD159A">
      <w:pPr>
        <w:pStyle w:val="GUIDE-NORMAL"/>
        <w:rPr>
          <w:lang w:val="sl-SI"/>
        </w:rPr>
      </w:pPr>
      <w:r w:rsidRPr="001048FE">
        <w:rPr>
          <w:lang w:val="sl-SI"/>
        </w:rPr>
        <w:t>Zahtevke</w:t>
      </w:r>
      <w:r w:rsidRPr="001048FE">
        <w:rPr>
          <w:spacing w:val="-17"/>
          <w:lang w:val="sl-SI"/>
        </w:rPr>
        <w:t xml:space="preserve"> </w:t>
      </w:r>
      <w:r w:rsidRPr="001048FE">
        <w:rPr>
          <w:lang w:val="sl-SI"/>
        </w:rPr>
        <w:t>za</w:t>
      </w:r>
      <w:r w:rsidRPr="001048FE">
        <w:rPr>
          <w:spacing w:val="-17"/>
          <w:lang w:val="sl-SI"/>
        </w:rPr>
        <w:t xml:space="preserve"> </w:t>
      </w:r>
      <w:r w:rsidRPr="001048FE">
        <w:rPr>
          <w:lang w:val="sl-SI"/>
        </w:rPr>
        <w:t>povišanje</w:t>
      </w:r>
      <w:r w:rsidRPr="001048FE">
        <w:rPr>
          <w:spacing w:val="-17"/>
          <w:lang w:val="sl-SI"/>
        </w:rPr>
        <w:t xml:space="preserve"> </w:t>
      </w:r>
      <w:r w:rsidRPr="001048FE">
        <w:rPr>
          <w:lang w:val="sl-SI"/>
        </w:rPr>
        <w:t>proračunskih</w:t>
      </w:r>
      <w:r w:rsidRPr="001048FE">
        <w:rPr>
          <w:spacing w:val="-17"/>
          <w:lang w:val="sl-SI"/>
        </w:rPr>
        <w:t xml:space="preserve"> </w:t>
      </w:r>
      <w:r w:rsidRPr="001048FE">
        <w:rPr>
          <w:lang w:val="sl-SI"/>
        </w:rPr>
        <w:t>postavk</w:t>
      </w:r>
      <w:r w:rsidRPr="001048FE">
        <w:rPr>
          <w:spacing w:val="-17"/>
          <w:lang w:val="sl-SI"/>
        </w:rPr>
        <w:t xml:space="preserve"> </w:t>
      </w:r>
      <w:r w:rsidRPr="001048FE">
        <w:rPr>
          <w:lang w:val="sl-SI"/>
        </w:rPr>
        <w:t>za</w:t>
      </w:r>
      <w:r w:rsidRPr="001048FE">
        <w:rPr>
          <w:spacing w:val="-17"/>
          <w:lang w:val="sl-SI"/>
        </w:rPr>
        <w:t xml:space="preserve"> </w:t>
      </w:r>
      <w:r w:rsidRPr="001048FE">
        <w:rPr>
          <w:lang w:val="sl-SI"/>
        </w:rPr>
        <w:t>več</w:t>
      </w:r>
      <w:r w:rsidRPr="001048FE">
        <w:rPr>
          <w:spacing w:val="-17"/>
          <w:lang w:val="sl-SI"/>
        </w:rPr>
        <w:t xml:space="preserve"> </w:t>
      </w:r>
      <w:r w:rsidRPr="001048FE">
        <w:rPr>
          <w:lang w:val="sl-SI"/>
        </w:rPr>
        <w:t>kot</w:t>
      </w:r>
      <w:r w:rsidRPr="001048FE">
        <w:rPr>
          <w:spacing w:val="-17"/>
          <w:lang w:val="sl-SI"/>
        </w:rPr>
        <w:t xml:space="preserve"> </w:t>
      </w:r>
      <w:r w:rsidRPr="001048FE">
        <w:rPr>
          <w:lang w:val="sl-SI"/>
        </w:rPr>
        <w:t>10</w:t>
      </w:r>
      <w:r w:rsidRPr="001048FE">
        <w:rPr>
          <w:spacing w:val="-17"/>
          <w:lang w:val="sl-SI"/>
        </w:rPr>
        <w:t xml:space="preserve"> </w:t>
      </w:r>
      <w:r w:rsidRPr="001048FE">
        <w:rPr>
          <w:lang w:val="sl-SI"/>
        </w:rPr>
        <w:t>%,</w:t>
      </w:r>
      <w:r w:rsidRPr="001048FE">
        <w:rPr>
          <w:spacing w:val="-17"/>
          <w:lang w:val="sl-SI"/>
        </w:rPr>
        <w:t xml:space="preserve"> </w:t>
      </w:r>
      <w:r w:rsidRPr="001048FE">
        <w:rPr>
          <w:lang w:val="sl-SI"/>
        </w:rPr>
        <w:t>kar</w:t>
      </w:r>
      <w:r w:rsidRPr="001048FE">
        <w:rPr>
          <w:spacing w:val="-17"/>
          <w:lang w:val="sl-SI"/>
        </w:rPr>
        <w:t xml:space="preserve"> </w:t>
      </w:r>
      <w:r w:rsidRPr="001048FE">
        <w:rPr>
          <w:lang w:val="sl-SI"/>
        </w:rPr>
        <w:t>bo</w:t>
      </w:r>
      <w:r w:rsidRPr="001048FE">
        <w:rPr>
          <w:spacing w:val="-17"/>
          <w:lang w:val="sl-SI"/>
        </w:rPr>
        <w:t xml:space="preserve"> </w:t>
      </w:r>
      <w:r w:rsidRPr="001048FE">
        <w:rPr>
          <w:lang w:val="sl-SI"/>
        </w:rPr>
        <w:t>zahtevalo</w:t>
      </w:r>
      <w:r w:rsidRPr="001048FE">
        <w:rPr>
          <w:spacing w:val="-17"/>
          <w:lang w:val="sl-SI"/>
        </w:rPr>
        <w:t xml:space="preserve"> </w:t>
      </w:r>
      <w:r w:rsidRPr="001048FE">
        <w:rPr>
          <w:lang w:val="sl-SI"/>
        </w:rPr>
        <w:t>spremembo,</w:t>
      </w:r>
      <w:r w:rsidRPr="001048FE">
        <w:rPr>
          <w:spacing w:val="-17"/>
          <w:lang w:val="sl-SI"/>
        </w:rPr>
        <w:t xml:space="preserve"> </w:t>
      </w:r>
      <w:r w:rsidRPr="001048FE">
        <w:rPr>
          <w:lang w:val="sl-SI"/>
        </w:rPr>
        <w:t>je</w:t>
      </w:r>
      <w:r w:rsidRPr="001048FE">
        <w:rPr>
          <w:spacing w:val="-17"/>
          <w:lang w:val="sl-SI"/>
        </w:rPr>
        <w:t xml:space="preserve"> </w:t>
      </w:r>
      <w:r w:rsidRPr="001048FE">
        <w:rPr>
          <w:lang w:val="sl-SI"/>
        </w:rPr>
        <w:t>treba</w:t>
      </w:r>
      <w:r w:rsidRPr="001048FE">
        <w:rPr>
          <w:spacing w:val="-17"/>
          <w:lang w:val="sl-SI"/>
        </w:rPr>
        <w:t xml:space="preserve"> </w:t>
      </w:r>
      <w:r w:rsidRPr="001048FE">
        <w:rPr>
          <w:lang w:val="sl-SI"/>
        </w:rPr>
        <w:t>v pisni obliki predložiti Agenciji. Če povišanje povzroči presežek najvišjih zgornjih mej za osebje, opremo in stroške podizvajanja, zahtevek ne bo</w:t>
      </w:r>
      <w:r w:rsidRPr="001048FE">
        <w:rPr>
          <w:spacing w:val="-24"/>
          <w:lang w:val="sl-SI"/>
        </w:rPr>
        <w:t xml:space="preserve"> </w:t>
      </w:r>
      <w:r w:rsidRPr="001048FE">
        <w:rPr>
          <w:lang w:val="sl-SI"/>
        </w:rPr>
        <w:t>sprejet.</w:t>
      </w:r>
    </w:p>
    <w:p w14:paraId="7D39AAD8" w14:textId="77777777" w:rsidR="006B404F" w:rsidRPr="001048FE" w:rsidRDefault="001809E5" w:rsidP="00B65ACB">
      <w:pPr>
        <w:pStyle w:val="GUIDE-NORMAL"/>
        <w:rPr>
          <w:lang w:val="sl-SI"/>
        </w:rPr>
        <w:sectPr w:rsidR="006B404F" w:rsidRPr="001048FE" w:rsidSect="007F4890">
          <w:headerReference w:type="even" r:id="rId191"/>
          <w:headerReference w:type="default" r:id="rId192"/>
          <w:endnotePr>
            <w:numFmt w:val="decimal"/>
          </w:endnotePr>
          <w:pgSz w:w="11910" w:h="16840" w:code="9"/>
          <w:pgMar w:top="1134" w:right="1418" w:bottom="1134" w:left="1418" w:header="283" w:footer="567" w:gutter="0"/>
          <w:cols w:space="720"/>
          <w:docGrid w:linePitch="326"/>
        </w:sectPr>
      </w:pPr>
      <w:r w:rsidRPr="001048FE">
        <w:rPr>
          <w:lang w:val="sl-SI"/>
        </w:rPr>
        <w:t>V fazi poročanja bo Izvajalska agencija od partnerjev zahtevala predložitev informacij o sofinanciranju, zagotovljenem za statistične namene.</w:t>
      </w:r>
    </w:p>
    <w:p w14:paraId="7D39AAD9" w14:textId="77777777" w:rsidR="001809E5" w:rsidRPr="001048FE" w:rsidRDefault="001809E5" w:rsidP="00AD159A">
      <w:pPr>
        <w:pStyle w:val="Guide-Heading4"/>
        <w:rPr>
          <w:lang w:val="sl-SI"/>
        </w:rPr>
      </w:pPr>
      <w:bookmarkStart w:id="744" w:name="_Toc527401372"/>
      <w:r w:rsidRPr="001048FE">
        <w:rPr>
          <w:lang w:val="sl-SI"/>
        </w:rPr>
        <w:t>Stroški osebja</w:t>
      </w:r>
      <w:bookmarkEnd w:id="744"/>
    </w:p>
    <w:p w14:paraId="7D39AADA" w14:textId="77777777" w:rsidR="001809E5" w:rsidRPr="001048FE" w:rsidRDefault="001809E5" w:rsidP="00AD159A">
      <w:pPr>
        <w:pStyle w:val="GUIDE-NORMAL"/>
        <w:rPr>
          <w:lang w:val="sl-SI"/>
        </w:rPr>
      </w:pPr>
      <w:r w:rsidRPr="001048FE">
        <w:rPr>
          <w:lang w:val="sl-SI"/>
        </w:rPr>
        <w:t>Za namene kakršne koli finančne ocene in/ali revizije morajo biti upravičenci sposobni utemeljiti/dokazati naslednje:</w:t>
      </w:r>
    </w:p>
    <w:p w14:paraId="7D39AADB" w14:textId="77777777" w:rsidR="001809E5" w:rsidRPr="001048FE" w:rsidRDefault="001809E5" w:rsidP="005115F2">
      <w:pPr>
        <w:pStyle w:val="Guide-NormalBulletpoints"/>
        <w:numPr>
          <w:ilvl w:val="0"/>
          <w:numId w:val="462"/>
        </w:numPr>
        <w:rPr>
          <w:lang w:val="sl-SI"/>
        </w:rPr>
      </w:pPr>
      <w:r w:rsidRPr="001048FE">
        <w:rPr>
          <w:lang w:val="sl-SI"/>
        </w:rPr>
        <w:t>obstoj formalnega pogodbenega razmerja med delavcem in delodajalcem;</w:t>
      </w:r>
    </w:p>
    <w:p w14:paraId="7D39AADC" w14:textId="77777777" w:rsidR="001809E5" w:rsidRPr="001048FE" w:rsidRDefault="001809E5" w:rsidP="005115F2">
      <w:pPr>
        <w:pStyle w:val="Guide-NormalBulletpoints"/>
        <w:numPr>
          <w:ilvl w:val="0"/>
          <w:numId w:val="462"/>
        </w:numPr>
        <w:rPr>
          <w:lang w:val="sl-SI"/>
        </w:rPr>
      </w:pPr>
      <w:r w:rsidRPr="001048FE">
        <w:rPr>
          <w:lang w:val="sl-SI"/>
        </w:rPr>
        <w:t>prijavljeno delo je mogoče opredeliti in preveriti. Potrebni so dokazi o končanem delu in času, potrebnem za projekt (npr. seznami prisotnosti, oprijemljivi rezultati/proizvodi, obvezna preglednica prihodov na delo in odhodov z dela);</w:t>
      </w:r>
    </w:p>
    <w:p w14:paraId="7D39AADD" w14:textId="77777777" w:rsidR="001809E5" w:rsidRPr="001048FE" w:rsidRDefault="001809E5" w:rsidP="005115F2">
      <w:pPr>
        <w:pStyle w:val="Guide-NormalBulletpoints"/>
        <w:numPr>
          <w:ilvl w:val="0"/>
          <w:numId w:val="462"/>
        </w:numPr>
        <w:rPr>
          <w:lang w:val="sl-SI"/>
        </w:rPr>
      </w:pPr>
      <w:r w:rsidRPr="001048FE">
        <w:rPr>
          <w:lang w:val="sl-SI"/>
        </w:rPr>
        <w:t>za dokazovanje višine stroškov ni potrebna utemeljitev.</w:t>
      </w:r>
    </w:p>
    <w:p w14:paraId="7D39AADE" w14:textId="77777777" w:rsidR="001809E5" w:rsidRPr="001048FE" w:rsidRDefault="001809E5" w:rsidP="00AD159A">
      <w:pPr>
        <w:pStyle w:val="GUIDE-NORMAL"/>
        <w:rPr>
          <w:lang w:val="sl-SI"/>
        </w:rPr>
      </w:pPr>
      <w:r w:rsidRPr="001048FE">
        <w:rPr>
          <w:lang w:val="sl-SI"/>
        </w:rPr>
        <w:t>V fazi računovodskega poročanja je treba računovodskim izkazom projekta priložiti ustrezno izpolnjeno konvencijo za osebje, in sicer za vsako osebo, ki sodeluje pri projektu, to konvencijo pa koordinator</w:t>
      </w:r>
      <w:r w:rsidRPr="001048FE">
        <w:rPr>
          <w:spacing w:val="-13"/>
          <w:lang w:val="sl-SI"/>
        </w:rPr>
        <w:t xml:space="preserve"> </w:t>
      </w:r>
      <w:r w:rsidRPr="001048FE">
        <w:rPr>
          <w:lang w:val="sl-SI"/>
        </w:rPr>
        <w:t>obdrži</w:t>
      </w:r>
      <w:r w:rsidRPr="001048FE">
        <w:rPr>
          <w:spacing w:val="-13"/>
          <w:lang w:val="sl-SI"/>
        </w:rPr>
        <w:t xml:space="preserve"> </w:t>
      </w:r>
      <w:r w:rsidRPr="001048FE">
        <w:rPr>
          <w:lang w:val="sl-SI"/>
        </w:rPr>
        <w:t>kot</w:t>
      </w:r>
      <w:r w:rsidRPr="001048FE">
        <w:rPr>
          <w:spacing w:val="-13"/>
          <w:lang w:val="sl-SI"/>
        </w:rPr>
        <w:t xml:space="preserve"> </w:t>
      </w:r>
      <w:r w:rsidRPr="001048FE">
        <w:rPr>
          <w:lang w:val="sl-SI"/>
        </w:rPr>
        <w:t>dokazilo.</w:t>
      </w:r>
      <w:r w:rsidRPr="001048FE">
        <w:rPr>
          <w:spacing w:val="-13"/>
          <w:lang w:val="sl-SI"/>
        </w:rPr>
        <w:t xml:space="preserve"> </w:t>
      </w:r>
      <w:r w:rsidRPr="001048FE">
        <w:rPr>
          <w:lang w:val="sl-SI"/>
        </w:rPr>
        <w:t>Konvencijo</w:t>
      </w:r>
      <w:r w:rsidRPr="001048FE">
        <w:rPr>
          <w:spacing w:val="-13"/>
          <w:lang w:val="sl-SI"/>
        </w:rPr>
        <w:t xml:space="preserve"> </w:t>
      </w:r>
      <w:r w:rsidRPr="001048FE">
        <w:rPr>
          <w:lang w:val="sl-SI"/>
        </w:rPr>
        <w:t>mora</w:t>
      </w:r>
      <w:r w:rsidRPr="001048FE">
        <w:rPr>
          <w:spacing w:val="-13"/>
          <w:lang w:val="sl-SI"/>
        </w:rPr>
        <w:t xml:space="preserve"> </w:t>
      </w:r>
      <w:r w:rsidRPr="001048FE">
        <w:rPr>
          <w:lang w:val="sl-SI"/>
        </w:rPr>
        <w:t>podpisati</w:t>
      </w:r>
      <w:r w:rsidRPr="001048FE">
        <w:rPr>
          <w:spacing w:val="-13"/>
          <w:lang w:val="sl-SI"/>
        </w:rPr>
        <w:t xml:space="preserve"> </w:t>
      </w:r>
      <w:r w:rsidRPr="001048FE">
        <w:rPr>
          <w:lang w:val="sl-SI"/>
        </w:rPr>
        <w:t>zadevna</w:t>
      </w:r>
      <w:r w:rsidRPr="001048FE">
        <w:rPr>
          <w:spacing w:val="-13"/>
          <w:lang w:val="sl-SI"/>
        </w:rPr>
        <w:t xml:space="preserve"> </w:t>
      </w:r>
      <w:r w:rsidRPr="001048FE">
        <w:rPr>
          <w:lang w:val="sl-SI"/>
        </w:rPr>
        <w:t>oseba,</w:t>
      </w:r>
      <w:r w:rsidRPr="001048FE">
        <w:rPr>
          <w:spacing w:val="-13"/>
          <w:lang w:val="sl-SI"/>
        </w:rPr>
        <w:t xml:space="preserve"> </w:t>
      </w:r>
      <w:r w:rsidRPr="001048FE">
        <w:rPr>
          <w:lang w:val="sl-SI"/>
        </w:rPr>
        <w:t>nato</w:t>
      </w:r>
      <w:r w:rsidRPr="001048FE">
        <w:rPr>
          <w:spacing w:val="-13"/>
          <w:lang w:val="sl-SI"/>
        </w:rPr>
        <w:t xml:space="preserve"> </w:t>
      </w:r>
      <w:r w:rsidRPr="001048FE">
        <w:rPr>
          <w:lang w:val="sl-SI"/>
        </w:rPr>
        <w:t>pa</w:t>
      </w:r>
      <w:r w:rsidRPr="001048FE">
        <w:rPr>
          <w:spacing w:val="-13"/>
          <w:lang w:val="sl-SI"/>
        </w:rPr>
        <w:t xml:space="preserve"> </w:t>
      </w:r>
      <w:r w:rsidRPr="001048FE">
        <w:rPr>
          <w:lang w:val="sl-SI"/>
        </w:rPr>
        <w:t>jo</w:t>
      </w:r>
      <w:r w:rsidRPr="001048FE">
        <w:rPr>
          <w:spacing w:val="-13"/>
          <w:lang w:val="sl-SI"/>
        </w:rPr>
        <w:t xml:space="preserve"> </w:t>
      </w:r>
      <w:r w:rsidRPr="001048FE">
        <w:rPr>
          <w:lang w:val="sl-SI"/>
        </w:rPr>
        <w:t>mora</w:t>
      </w:r>
      <w:r w:rsidRPr="001048FE">
        <w:rPr>
          <w:spacing w:val="-13"/>
          <w:lang w:val="sl-SI"/>
        </w:rPr>
        <w:t xml:space="preserve"> </w:t>
      </w:r>
      <w:r w:rsidRPr="001048FE">
        <w:rPr>
          <w:lang w:val="sl-SI"/>
        </w:rPr>
        <w:t>podpisati in ožigosati pristojna oseba (npr. dekan) institucije, v kateri ta oseba običajno dela. Za osebje, ki izvaja</w:t>
      </w:r>
      <w:r w:rsidRPr="001048FE">
        <w:rPr>
          <w:spacing w:val="-6"/>
          <w:lang w:val="sl-SI"/>
        </w:rPr>
        <w:t xml:space="preserve"> </w:t>
      </w:r>
      <w:r w:rsidRPr="001048FE">
        <w:rPr>
          <w:lang w:val="sl-SI"/>
        </w:rPr>
        <w:t>naloge</w:t>
      </w:r>
      <w:r w:rsidRPr="001048FE">
        <w:rPr>
          <w:spacing w:val="-6"/>
          <w:lang w:val="sl-SI"/>
        </w:rPr>
        <w:t xml:space="preserve"> </w:t>
      </w:r>
      <w:r w:rsidRPr="001048FE">
        <w:rPr>
          <w:lang w:val="sl-SI"/>
        </w:rPr>
        <w:t>različnih</w:t>
      </w:r>
      <w:r w:rsidRPr="001048FE">
        <w:rPr>
          <w:spacing w:val="-6"/>
          <w:lang w:val="sl-SI"/>
        </w:rPr>
        <w:t xml:space="preserve"> </w:t>
      </w:r>
      <w:r w:rsidRPr="001048FE">
        <w:rPr>
          <w:lang w:val="sl-SI"/>
        </w:rPr>
        <w:t>kategorij,</w:t>
      </w:r>
      <w:r w:rsidRPr="001048FE">
        <w:rPr>
          <w:spacing w:val="-6"/>
          <w:lang w:val="sl-SI"/>
        </w:rPr>
        <w:t xml:space="preserve"> </w:t>
      </w:r>
      <w:r w:rsidRPr="001048FE">
        <w:rPr>
          <w:lang w:val="sl-SI"/>
        </w:rPr>
        <w:t>je</w:t>
      </w:r>
      <w:r w:rsidRPr="001048FE">
        <w:rPr>
          <w:spacing w:val="-6"/>
          <w:lang w:val="sl-SI"/>
        </w:rPr>
        <w:t xml:space="preserve"> </w:t>
      </w:r>
      <w:r w:rsidRPr="001048FE">
        <w:rPr>
          <w:lang w:val="sl-SI"/>
        </w:rPr>
        <w:t>treba</w:t>
      </w:r>
      <w:r w:rsidRPr="001048FE">
        <w:rPr>
          <w:spacing w:val="-6"/>
          <w:lang w:val="sl-SI"/>
        </w:rPr>
        <w:t xml:space="preserve"> </w:t>
      </w:r>
      <w:r w:rsidRPr="001048FE">
        <w:rPr>
          <w:lang w:val="sl-SI"/>
        </w:rPr>
        <w:t>podpisati</w:t>
      </w:r>
      <w:r w:rsidRPr="001048FE">
        <w:rPr>
          <w:spacing w:val="-6"/>
          <w:lang w:val="sl-SI"/>
        </w:rPr>
        <w:t xml:space="preserve"> </w:t>
      </w:r>
      <w:r w:rsidRPr="001048FE">
        <w:rPr>
          <w:lang w:val="sl-SI"/>
        </w:rPr>
        <w:t>ločeno</w:t>
      </w:r>
      <w:r w:rsidRPr="001048FE">
        <w:rPr>
          <w:spacing w:val="-6"/>
          <w:lang w:val="sl-SI"/>
        </w:rPr>
        <w:t xml:space="preserve"> </w:t>
      </w:r>
      <w:r w:rsidRPr="001048FE">
        <w:rPr>
          <w:lang w:val="sl-SI"/>
        </w:rPr>
        <w:t>konvencijo</w:t>
      </w:r>
      <w:r w:rsidRPr="001048FE">
        <w:rPr>
          <w:spacing w:val="-6"/>
          <w:lang w:val="sl-SI"/>
        </w:rPr>
        <w:t xml:space="preserve"> </w:t>
      </w:r>
      <w:r w:rsidRPr="001048FE">
        <w:rPr>
          <w:lang w:val="sl-SI"/>
        </w:rPr>
        <w:t>za</w:t>
      </w:r>
      <w:r w:rsidRPr="001048FE">
        <w:rPr>
          <w:spacing w:val="-6"/>
          <w:lang w:val="sl-SI"/>
        </w:rPr>
        <w:t xml:space="preserve"> </w:t>
      </w:r>
      <w:r w:rsidRPr="001048FE">
        <w:rPr>
          <w:lang w:val="sl-SI"/>
        </w:rPr>
        <w:t>vsako</w:t>
      </w:r>
      <w:r w:rsidRPr="001048FE">
        <w:rPr>
          <w:spacing w:val="-6"/>
          <w:lang w:val="sl-SI"/>
        </w:rPr>
        <w:t xml:space="preserve"> </w:t>
      </w:r>
      <w:r w:rsidRPr="001048FE">
        <w:rPr>
          <w:lang w:val="sl-SI"/>
        </w:rPr>
        <w:t>vrsto</w:t>
      </w:r>
      <w:r w:rsidRPr="001048FE">
        <w:rPr>
          <w:spacing w:val="-6"/>
          <w:lang w:val="sl-SI"/>
        </w:rPr>
        <w:t xml:space="preserve"> </w:t>
      </w:r>
      <w:r w:rsidRPr="001048FE">
        <w:rPr>
          <w:lang w:val="sl-SI"/>
        </w:rPr>
        <w:t>aktivnosti.</w:t>
      </w:r>
    </w:p>
    <w:p w14:paraId="7D39AADF" w14:textId="77777777" w:rsidR="001809E5" w:rsidRPr="001048FE" w:rsidRDefault="001809E5" w:rsidP="00AD159A">
      <w:pPr>
        <w:pStyle w:val="GUIDE-NORMAL"/>
        <w:rPr>
          <w:lang w:val="sl-SI"/>
        </w:rPr>
      </w:pPr>
      <w:r w:rsidRPr="001048FE">
        <w:rPr>
          <w:lang w:val="sl-SI"/>
        </w:rPr>
        <w:t>Poleg tega je treba vsaki konvenciji za osebje priložiti časovne liste. V njih mora biti navedeno:</w:t>
      </w:r>
    </w:p>
    <w:p w14:paraId="7D39AAE0" w14:textId="77777777" w:rsidR="00AD159A" w:rsidRPr="001048FE" w:rsidRDefault="001809E5" w:rsidP="005115F2">
      <w:pPr>
        <w:pStyle w:val="Guide-NormalBulletpoints"/>
        <w:numPr>
          <w:ilvl w:val="0"/>
          <w:numId w:val="463"/>
        </w:numPr>
        <w:rPr>
          <w:lang w:val="sl-SI"/>
        </w:rPr>
      </w:pPr>
      <w:r w:rsidRPr="001048FE">
        <w:rPr>
          <w:lang w:val="sl-SI"/>
        </w:rPr>
        <w:t xml:space="preserve">datum zagotovljene storitve; </w:t>
      </w:r>
    </w:p>
    <w:p w14:paraId="7D39AAE1" w14:textId="77777777" w:rsidR="001809E5" w:rsidRPr="001048FE" w:rsidRDefault="001809E5" w:rsidP="005115F2">
      <w:pPr>
        <w:pStyle w:val="Guide-NormalBulletpoints"/>
        <w:numPr>
          <w:ilvl w:val="0"/>
          <w:numId w:val="463"/>
        </w:numPr>
        <w:rPr>
          <w:lang w:val="sl-SI"/>
        </w:rPr>
      </w:pPr>
      <w:r w:rsidRPr="001048FE">
        <w:rPr>
          <w:lang w:val="sl-SI"/>
        </w:rPr>
        <w:t>število dni izvajanja storitve;</w:t>
      </w:r>
    </w:p>
    <w:p w14:paraId="7D39AAE2" w14:textId="77777777" w:rsidR="001809E5" w:rsidRPr="001048FE" w:rsidRDefault="001809E5" w:rsidP="005115F2">
      <w:pPr>
        <w:pStyle w:val="Guide-NormalBulletpoints"/>
        <w:numPr>
          <w:ilvl w:val="0"/>
          <w:numId w:val="463"/>
        </w:numPr>
        <w:rPr>
          <w:lang w:val="sl-SI"/>
        </w:rPr>
      </w:pPr>
      <w:r w:rsidRPr="001048FE">
        <w:rPr>
          <w:lang w:val="sl-SI"/>
        </w:rPr>
        <w:t>izvedene naloge (kratek opis) v okviru načrta aktivnosti.</w:t>
      </w:r>
    </w:p>
    <w:p w14:paraId="7D39AAE3" w14:textId="77777777" w:rsidR="001809E5" w:rsidRPr="001048FE" w:rsidRDefault="001809E5" w:rsidP="00AD159A">
      <w:pPr>
        <w:pStyle w:val="GUIDE-NORMAL"/>
        <w:rPr>
          <w:lang w:val="sl-SI"/>
        </w:rPr>
      </w:pPr>
      <w:r w:rsidRPr="001048FE">
        <w:rPr>
          <w:lang w:val="sl-SI"/>
        </w:rPr>
        <w:t>Časovne</w:t>
      </w:r>
      <w:r w:rsidRPr="001048FE">
        <w:rPr>
          <w:spacing w:val="-13"/>
          <w:lang w:val="sl-SI"/>
        </w:rPr>
        <w:t xml:space="preserve"> </w:t>
      </w:r>
      <w:r w:rsidRPr="001048FE">
        <w:rPr>
          <w:lang w:val="sl-SI"/>
        </w:rPr>
        <w:t>liste</w:t>
      </w:r>
      <w:r w:rsidRPr="001048FE">
        <w:rPr>
          <w:spacing w:val="-13"/>
          <w:lang w:val="sl-SI"/>
        </w:rPr>
        <w:t xml:space="preserve"> </w:t>
      </w:r>
      <w:r w:rsidRPr="001048FE">
        <w:rPr>
          <w:lang w:val="sl-SI"/>
        </w:rPr>
        <w:t>mora</w:t>
      </w:r>
      <w:r w:rsidRPr="001048FE">
        <w:rPr>
          <w:spacing w:val="-13"/>
          <w:lang w:val="sl-SI"/>
        </w:rPr>
        <w:t xml:space="preserve"> </w:t>
      </w:r>
      <w:r w:rsidRPr="001048FE">
        <w:rPr>
          <w:lang w:val="sl-SI"/>
        </w:rPr>
        <w:t>podpisati</w:t>
      </w:r>
      <w:r w:rsidRPr="001048FE">
        <w:rPr>
          <w:spacing w:val="-13"/>
          <w:lang w:val="sl-SI"/>
        </w:rPr>
        <w:t xml:space="preserve"> </w:t>
      </w:r>
      <w:r w:rsidRPr="001048FE">
        <w:rPr>
          <w:lang w:val="sl-SI"/>
        </w:rPr>
        <w:t>zadevna</w:t>
      </w:r>
      <w:r w:rsidRPr="001048FE">
        <w:rPr>
          <w:spacing w:val="-13"/>
          <w:lang w:val="sl-SI"/>
        </w:rPr>
        <w:t xml:space="preserve"> </w:t>
      </w:r>
      <w:r w:rsidRPr="001048FE">
        <w:rPr>
          <w:lang w:val="sl-SI"/>
        </w:rPr>
        <w:t>oseba</w:t>
      </w:r>
      <w:r w:rsidRPr="001048FE">
        <w:rPr>
          <w:spacing w:val="-12"/>
          <w:lang w:val="sl-SI"/>
        </w:rPr>
        <w:t xml:space="preserve"> </w:t>
      </w:r>
      <w:r w:rsidRPr="001048FE">
        <w:rPr>
          <w:lang w:val="sl-SI"/>
        </w:rPr>
        <w:t>in</w:t>
      </w:r>
      <w:r w:rsidRPr="001048FE">
        <w:rPr>
          <w:spacing w:val="-13"/>
          <w:lang w:val="sl-SI"/>
        </w:rPr>
        <w:t xml:space="preserve"> </w:t>
      </w:r>
      <w:r w:rsidRPr="001048FE">
        <w:rPr>
          <w:lang w:val="sl-SI"/>
        </w:rPr>
        <w:t>sopodpisati</w:t>
      </w:r>
      <w:r w:rsidRPr="001048FE">
        <w:rPr>
          <w:spacing w:val="-13"/>
          <w:lang w:val="sl-SI"/>
        </w:rPr>
        <w:t xml:space="preserve"> </w:t>
      </w:r>
      <w:r w:rsidRPr="001048FE">
        <w:rPr>
          <w:lang w:val="sl-SI"/>
        </w:rPr>
        <w:t>pristojna</w:t>
      </w:r>
      <w:r w:rsidRPr="001048FE">
        <w:rPr>
          <w:spacing w:val="-13"/>
          <w:lang w:val="sl-SI"/>
        </w:rPr>
        <w:t xml:space="preserve"> </w:t>
      </w:r>
      <w:r w:rsidRPr="001048FE">
        <w:rPr>
          <w:lang w:val="sl-SI"/>
        </w:rPr>
        <w:t>oseba</w:t>
      </w:r>
      <w:r w:rsidRPr="001048FE">
        <w:rPr>
          <w:spacing w:val="-12"/>
          <w:lang w:val="sl-SI"/>
        </w:rPr>
        <w:t xml:space="preserve"> </w:t>
      </w:r>
      <w:r w:rsidRPr="001048FE">
        <w:rPr>
          <w:lang w:val="sl-SI"/>
        </w:rPr>
        <w:t>institucije,</w:t>
      </w:r>
      <w:r w:rsidRPr="001048FE">
        <w:rPr>
          <w:spacing w:val="-13"/>
          <w:lang w:val="sl-SI"/>
        </w:rPr>
        <w:t xml:space="preserve"> </w:t>
      </w:r>
      <w:r w:rsidRPr="001048FE">
        <w:rPr>
          <w:lang w:val="sl-SI"/>
        </w:rPr>
        <w:t>v</w:t>
      </w:r>
      <w:r w:rsidRPr="001048FE">
        <w:rPr>
          <w:spacing w:val="-13"/>
          <w:lang w:val="sl-SI"/>
        </w:rPr>
        <w:t xml:space="preserve"> </w:t>
      </w:r>
      <w:r w:rsidRPr="001048FE">
        <w:rPr>
          <w:lang w:val="sl-SI"/>
        </w:rPr>
        <w:t>kateri</w:t>
      </w:r>
      <w:r w:rsidRPr="001048FE">
        <w:rPr>
          <w:spacing w:val="-13"/>
          <w:lang w:val="sl-SI"/>
        </w:rPr>
        <w:t xml:space="preserve"> </w:t>
      </w:r>
      <w:r w:rsidRPr="001048FE">
        <w:rPr>
          <w:lang w:val="sl-SI"/>
        </w:rPr>
        <w:t>je</w:t>
      </w:r>
      <w:r w:rsidRPr="001048FE">
        <w:rPr>
          <w:spacing w:val="-13"/>
          <w:lang w:val="sl-SI"/>
        </w:rPr>
        <w:t xml:space="preserve"> </w:t>
      </w:r>
      <w:r w:rsidRPr="001048FE">
        <w:rPr>
          <w:lang w:val="sl-SI"/>
        </w:rPr>
        <w:t xml:space="preserve">ta oseba običajno zaposlena. Dokazila </w:t>
      </w:r>
      <w:r w:rsidRPr="001048FE">
        <w:rPr>
          <w:u w:val="single"/>
          <w:lang w:val="sl-SI"/>
        </w:rPr>
        <w:t>ne smejo biti poslana</w:t>
      </w:r>
      <w:r w:rsidRPr="001048FE">
        <w:rPr>
          <w:lang w:val="sl-SI"/>
        </w:rPr>
        <w:t xml:space="preserve"> skupaj s finančnim poročilom na koncu projekta. Konvencije za osebje (skupaj s časovnimi listi) pa morajo biti priložene računovodskim izkazom</w:t>
      </w:r>
      <w:r w:rsidRPr="001048FE">
        <w:rPr>
          <w:spacing w:val="-3"/>
          <w:lang w:val="sl-SI"/>
        </w:rPr>
        <w:t xml:space="preserve"> </w:t>
      </w:r>
      <w:r w:rsidRPr="001048FE">
        <w:rPr>
          <w:lang w:val="sl-SI"/>
        </w:rPr>
        <w:t>projekta.</w:t>
      </w:r>
    </w:p>
    <w:p w14:paraId="7D39AAE4" w14:textId="77777777" w:rsidR="001809E5" w:rsidRPr="001048FE" w:rsidRDefault="001809E5" w:rsidP="00AD159A">
      <w:pPr>
        <w:pStyle w:val="GUIDE-NORMAL"/>
        <w:rPr>
          <w:lang w:val="sl-SI"/>
        </w:rPr>
      </w:pPr>
      <w:r w:rsidRPr="001048FE">
        <w:rPr>
          <w:lang w:val="sl-SI"/>
        </w:rPr>
        <w:t>V</w:t>
      </w:r>
      <w:r w:rsidRPr="001048FE">
        <w:rPr>
          <w:spacing w:val="-7"/>
          <w:lang w:val="sl-SI"/>
        </w:rPr>
        <w:t xml:space="preserve"> </w:t>
      </w:r>
      <w:r w:rsidRPr="001048FE">
        <w:rPr>
          <w:lang w:val="sl-SI"/>
        </w:rPr>
        <w:t>tej</w:t>
      </w:r>
      <w:r w:rsidRPr="001048FE">
        <w:rPr>
          <w:spacing w:val="-7"/>
          <w:lang w:val="sl-SI"/>
        </w:rPr>
        <w:t xml:space="preserve"> </w:t>
      </w:r>
      <w:r w:rsidRPr="001048FE">
        <w:rPr>
          <w:lang w:val="sl-SI"/>
        </w:rPr>
        <w:t>fazi</w:t>
      </w:r>
      <w:r w:rsidRPr="001048FE">
        <w:rPr>
          <w:spacing w:val="-7"/>
          <w:lang w:val="sl-SI"/>
        </w:rPr>
        <w:t xml:space="preserve"> </w:t>
      </w:r>
      <w:r w:rsidRPr="001048FE">
        <w:rPr>
          <w:lang w:val="sl-SI"/>
        </w:rPr>
        <w:t>Izvajalska</w:t>
      </w:r>
      <w:r w:rsidRPr="001048FE">
        <w:rPr>
          <w:spacing w:val="-7"/>
          <w:lang w:val="sl-SI"/>
        </w:rPr>
        <w:t xml:space="preserve"> </w:t>
      </w:r>
      <w:r w:rsidRPr="001048FE">
        <w:rPr>
          <w:lang w:val="sl-SI"/>
        </w:rPr>
        <w:t>agencija</w:t>
      </w:r>
      <w:r w:rsidRPr="001048FE">
        <w:rPr>
          <w:spacing w:val="-7"/>
          <w:lang w:val="sl-SI"/>
        </w:rPr>
        <w:t xml:space="preserve"> </w:t>
      </w:r>
      <w:r w:rsidRPr="001048FE">
        <w:rPr>
          <w:lang w:val="sl-SI"/>
        </w:rPr>
        <w:t>preveri</w:t>
      </w:r>
      <w:r w:rsidRPr="001048FE">
        <w:rPr>
          <w:spacing w:val="-7"/>
          <w:lang w:val="sl-SI"/>
        </w:rPr>
        <w:t xml:space="preserve"> </w:t>
      </w:r>
      <w:r w:rsidRPr="001048FE">
        <w:rPr>
          <w:lang w:val="sl-SI"/>
        </w:rPr>
        <w:t>upravičenost</w:t>
      </w:r>
      <w:r w:rsidRPr="001048FE">
        <w:rPr>
          <w:spacing w:val="-7"/>
          <w:lang w:val="sl-SI"/>
        </w:rPr>
        <w:t xml:space="preserve"> </w:t>
      </w:r>
      <w:r w:rsidRPr="001048FE">
        <w:rPr>
          <w:lang w:val="sl-SI"/>
        </w:rPr>
        <w:t>izvedenih</w:t>
      </w:r>
      <w:r w:rsidRPr="001048FE">
        <w:rPr>
          <w:spacing w:val="-7"/>
          <w:lang w:val="sl-SI"/>
        </w:rPr>
        <w:t xml:space="preserve"> </w:t>
      </w:r>
      <w:r w:rsidRPr="001048FE">
        <w:rPr>
          <w:lang w:val="sl-SI"/>
        </w:rPr>
        <w:t>aktivnosti</w:t>
      </w:r>
      <w:r w:rsidRPr="001048FE">
        <w:rPr>
          <w:spacing w:val="-7"/>
          <w:lang w:val="sl-SI"/>
        </w:rPr>
        <w:t xml:space="preserve"> </w:t>
      </w:r>
      <w:r w:rsidRPr="001048FE">
        <w:rPr>
          <w:lang w:val="sl-SI"/>
        </w:rPr>
        <w:t>na</w:t>
      </w:r>
      <w:r w:rsidRPr="001048FE">
        <w:rPr>
          <w:spacing w:val="-7"/>
          <w:lang w:val="sl-SI"/>
        </w:rPr>
        <w:t xml:space="preserve"> </w:t>
      </w:r>
      <w:r w:rsidRPr="001048FE">
        <w:rPr>
          <w:lang w:val="sl-SI"/>
        </w:rPr>
        <w:t>podlagi</w:t>
      </w:r>
      <w:r w:rsidRPr="001048FE">
        <w:rPr>
          <w:spacing w:val="-7"/>
          <w:lang w:val="sl-SI"/>
        </w:rPr>
        <w:t xml:space="preserve"> </w:t>
      </w:r>
      <w:r w:rsidRPr="001048FE">
        <w:rPr>
          <w:lang w:val="sl-SI"/>
        </w:rPr>
        <w:t>poročila,</w:t>
      </w:r>
      <w:r w:rsidRPr="001048FE">
        <w:rPr>
          <w:spacing w:val="-7"/>
          <w:lang w:val="sl-SI"/>
        </w:rPr>
        <w:t xml:space="preserve"> </w:t>
      </w:r>
      <w:r w:rsidRPr="001048FE">
        <w:rPr>
          <w:lang w:val="sl-SI"/>
        </w:rPr>
        <w:t>ki</w:t>
      </w:r>
      <w:r w:rsidRPr="001048FE">
        <w:rPr>
          <w:spacing w:val="-7"/>
          <w:lang w:val="sl-SI"/>
        </w:rPr>
        <w:t xml:space="preserve"> </w:t>
      </w:r>
      <w:r w:rsidRPr="001048FE">
        <w:rPr>
          <w:lang w:val="sl-SI"/>
        </w:rPr>
        <w:t>ga</w:t>
      </w:r>
      <w:r w:rsidRPr="001048FE">
        <w:rPr>
          <w:spacing w:val="-7"/>
          <w:lang w:val="sl-SI"/>
        </w:rPr>
        <w:t xml:space="preserve"> </w:t>
      </w:r>
      <w:r w:rsidRPr="001048FE">
        <w:rPr>
          <w:lang w:val="sl-SI"/>
        </w:rPr>
        <w:t>je poslal koordinator (glej Prilogo k sporazumu o povratnih sredstvih – „končno poročilo“). V primeru dvomov</w:t>
      </w:r>
      <w:r w:rsidRPr="001048FE">
        <w:rPr>
          <w:spacing w:val="-10"/>
          <w:lang w:val="sl-SI"/>
        </w:rPr>
        <w:t xml:space="preserve"> </w:t>
      </w:r>
      <w:r w:rsidRPr="001048FE">
        <w:rPr>
          <w:lang w:val="sl-SI"/>
        </w:rPr>
        <w:t>v</w:t>
      </w:r>
      <w:r w:rsidRPr="001048FE">
        <w:rPr>
          <w:spacing w:val="-10"/>
          <w:lang w:val="sl-SI"/>
        </w:rPr>
        <w:t xml:space="preserve"> </w:t>
      </w:r>
      <w:r w:rsidRPr="001048FE">
        <w:rPr>
          <w:lang w:val="sl-SI"/>
        </w:rPr>
        <w:t>zvezi</w:t>
      </w:r>
      <w:r w:rsidRPr="001048FE">
        <w:rPr>
          <w:spacing w:val="-10"/>
          <w:lang w:val="sl-SI"/>
        </w:rPr>
        <w:t xml:space="preserve"> </w:t>
      </w:r>
      <w:r w:rsidRPr="001048FE">
        <w:rPr>
          <w:lang w:val="sl-SI"/>
        </w:rPr>
        <w:t>z</w:t>
      </w:r>
      <w:r w:rsidRPr="001048FE">
        <w:rPr>
          <w:spacing w:val="-10"/>
          <w:lang w:val="sl-SI"/>
        </w:rPr>
        <w:t xml:space="preserve"> </w:t>
      </w:r>
      <w:r w:rsidRPr="001048FE">
        <w:rPr>
          <w:lang w:val="sl-SI"/>
        </w:rPr>
        <w:t>določeno</w:t>
      </w:r>
      <w:r w:rsidRPr="001048FE">
        <w:rPr>
          <w:spacing w:val="-10"/>
          <w:lang w:val="sl-SI"/>
        </w:rPr>
        <w:t xml:space="preserve"> </w:t>
      </w:r>
      <w:r w:rsidRPr="001048FE">
        <w:rPr>
          <w:lang w:val="sl-SI"/>
        </w:rPr>
        <w:t>točko</w:t>
      </w:r>
      <w:r w:rsidRPr="001048FE">
        <w:rPr>
          <w:spacing w:val="-10"/>
          <w:lang w:val="sl-SI"/>
        </w:rPr>
        <w:t xml:space="preserve"> </w:t>
      </w:r>
      <w:r w:rsidRPr="001048FE">
        <w:rPr>
          <w:lang w:val="sl-SI"/>
        </w:rPr>
        <w:t>lahko</w:t>
      </w:r>
      <w:r w:rsidRPr="001048FE">
        <w:rPr>
          <w:spacing w:val="-10"/>
          <w:lang w:val="sl-SI"/>
        </w:rPr>
        <w:t xml:space="preserve"> </w:t>
      </w:r>
      <w:r w:rsidRPr="001048FE">
        <w:rPr>
          <w:lang w:val="sl-SI"/>
        </w:rPr>
        <w:t>Agencija</w:t>
      </w:r>
      <w:r w:rsidRPr="001048FE">
        <w:rPr>
          <w:spacing w:val="-10"/>
          <w:lang w:val="sl-SI"/>
        </w:rPr>
        <w:t xml:space="preserve"> </w:t>
      </w:r>
      <w:r w:rsidRPr="001048FE">
        <w:rPr>
          <w:lang w:val="sl-SI"/>
        </w:rPr>
        <w:t>zahteva,</w:t>
      </w:r>
      <w:r w:rsidRPr="001048FE">
        <w:rPr>
          <w:spacing w:val="-10"/>
          <w:lang w:val="sl-SI"/>
        </w:rPr>
        <w:t xml:space="preserve"> </w:t>
      </w:r>
      <w:r w:rsidRPr="001048FE">
        <w:rPr>
          <w:lang w:val="sl-SI"/>
        </w:rPr>
        <w:t>da</w:t>
      </w:r>
      <w:r w:rsidRPr="001048FE">
        <w:rPr>
          <w:spacing w:val="-10"/>
          <w:lang w:val="sl-SI"/>
        </w:rPr>
        <w:t xml:space="preserve"> </w:t>
      </w:r>
      <w:r w:rsidRPr="001048FE">
        <w:rPr>
          <w:lang w:val="sl-SI"/>
        </w:rPr>
        <w:t>se</w:t>
      </w:r>
      <w:r w:rsidRPr="001048FE">
        <w:rPr>
          <w:spacing w:val="-10"/>
          <w:lang w:val="sl-SI"/>
        </w:rPr>
        <w:t xml:space="preserve"> </w:t>
      </w:r>
      <w:r w:rsidRPr="001048FE">
        <w:rPr>
          <w:lang w:val="sl-SI"/>
        </w:rPr>
        <w:t>predložijo</w:t>
      </w:r>
      <w:r w:rsidRPr="001048FE">
        <w:rPr>
          <w:spacing w:val="-10"/>
          <w:lang w:val="sl-SI"/>
        </w:rPr>
        <w:t xml:space="preserve"> </w:t>
      </w:r>
      <w:r w:rsidRPr="001048FE">
        <w:rPr>
          <w:lang w:val="sl-SI"/>
        </w:rPr>
        <w:t>vsa</w:t>
      </w:r>
      <w:r w:rsidRPr="001048FE">
        <w:rPr>
          <w:spacing w:val="-10"/>
          <w:lang w:val="sl-SI"/>
        </w:rPr>
        <w:t xml:space="preserve"> </w:t>
      </w:r>
      <w:r w:rsidRPr="001048FE">
        <w:rPr>
          <w:lang w:val="sl-SI"/>
        </w:rPr>
        <w:t>dokazila.</w:t>
      </w:r>
    </w:p>
    <w:p w14:paraId="7D39AAE5" w14:textId="77777777" w:rsidR="001809E5" w:rsidRPr="001048FE" w:rsidRDefault="001809E5" w:rsidP="00AD159A">
      <w:pPr>
        <w:pStyle w:val="GUIDE-NORMAL"/>
        <w:rPr>
          <w:lang w:val="sl-SI"/>
        </w:rPr>
      </w:pPr>
      <w:r w:rsidRPr="001048FE">
        <w:rPr>
          <w:lang w:val="sl-SI"/>
        </w:rPr>
        <w:t>Dejanski</w:t>
      </w:r>
      <w:r w:rsidRPr="001048FE">
        <w:rPr>
          <w:spacing w:val="-13"/>
          <w:lang w:val="sl-SI"/>
        </w:rPr>
        <w:t xml:space="preserve"> </w:t>
      </w:r>
      <w:r w:rsidRPr="001048FE">
        <w:rPr>
          <w:lang w:val="sl-SI"/>
        </w:rPr>
        <w:t>prispevek</w:t>
      </w:r>
      <w:r w:rsidRPr="001048FE">
        <w:rPr>
          <w:spacing w:val="-13"/>
          <w:lang w:val="sl-SI"/>
        </w:rPr>
        <w:t xml:space="preserve"> </w:t>
      </w:r>
      <w:r w:rsidRPr="001048FE">
        <w:rPr>
          <w:lang w:val="sl-SI"/>
        </w:rPr>
        <w:t>EU</w:t>
      </w:r>
      <w:r w:rsidRPr="001048FE">
        <w:rPr>
          <w:spacing w:val="-13"/>
          <w:lang w:val="sl-SI"/>
        </w:rPr>
        <w:t xml:space="preserve"> </w:t>
      </w:r>
      <w:r w:rsidRPr="001048FE">
        <w:rPr>
          <w:lang w:val="sl-SI"/>
        </w:rPr>
        <w:t>se</w:t>
      </w:r>
      <w:r w:rsidRPr="001048FE">
        <w:rPr>
          <w:spacing w:val="-13"/>
          <w:lang w:val="sl-SI"/>
        </w:rPr>
        <w:t xml:space="preserve"> </w:t>
      </w:r>
      <w:r w:rsidRPr="001048FE">
        <w:rPr>
          <w:lang w:val="sl-SI"/>
        </w:rPr>
        <w:t>ponovno</w:t>
      </w:r>
      <w:r w:rsidRPr="001048FE">
        <w:rPr>
          <w:spacing w:val="-13"/>
          <w:lang w:val="sl-SI"/>
        </w:rPr>
        <w:t xml:space="preserve"> </w:t>
      </w:r>
      <w:r w:rsidRPr="001048FE">
        <w:rPr>
          <w:lang w:val="sl-SI"/>
        </w:rPr>
        <w:t>v</w:t>
      </w:r>
      <w:r w:rsidRPr="001048FE">
        <w:rPr>
          <w:spacing w:val="-13"/>
          <w:lang w:val="sl-SI"/>
        </w:rPr>
        <w:t xml:space="preserve"> </w:t>
      </w:r>
      <w:r w:rsidRPr="001048FE">
        <w:rPr>
          <w:lang w:val="sl-SI"/>
        </w:rPr>
        <w:t>celoti</w:t>
      </w:r>
      <w:r w:rsidRPr="001048FE">
        <w:rPr>
          <w:spacing w:val="-13"/>
          <w:lang w:val="sl-SI"/>
        </w:rPr>
        <w:t xml:space="preserve"> </w:t>
      </w:r>
      <w:r w:rsidRPr="001048FE">
        <w:rPr>
          <w:lang w:val="sl-SI"/>
        </w:rPr>
        <w:t>izračuna</w:t>
      </w:r>
      <w:r w:rsidRPr="001048FE">
        <w:rPr>
          <w:spacing w:val="-13"/>
          <w:lang w:val="sl-SI"/>
        </w:rPr>
        <w:t xml:space="preserve"> </w:t>
      </w:r>
      <w:r w:rsidRPr="001048FE">
        <w:rPr>
          <w:lang w:val="sl-SI"/>
        </w:rPr>
        <w:t>za</w:t>
      </w:r>
      <w:r w:rsidRPr="001048FE">
        <w:rPr>
          <w:spacing w:val="-13"/>
          <w:lang w:val="sl-SI"/>
        </w:rPr>
        <w:t xml:space="preserve"> </w:t>
      </w:r>
      <w:r w:rsidRPr="001048FE">
        <w:rPr>
          <w:lang w:val="sl-SI"/>
        </w:rPr>
        <w:t>ves</w:t>
      </w:r>
      <w:r w:rsidRPr="001048FE">
        <w:rPr>
          <w:spacing w:val="-13"/>
          <w:lang w:val="sl-SI"/>
        </w:rPr>
        <w:t xml:space="preserve"> </w:t>
      </w:r>
      <w:r w:rsidRPr="001048FE">
        <w:rPr>
          <w:lang w:val="sl-SI"/>
        </w:rPr>
        <w:t>projekt</w:t>
      </w:r>
      <w:r w:rsidRPr="001048FE">
        <w:rPr>
          <w:spacing w:val="-13"/>
          <w:lang w:val="sl-SI"/>
        </w:rPr>
        <w:t xml:space="preserve"> </w:t>
      </w:r>
      <w:r w:rsidRPr="001048FE">
        <w:rPr>
          <w:lang w:val="sl-SI"/>
        </w:rPr>
        <w:t>z</w:t>
      </w:r>
      <w:r w:rsidRPr="001048FE">
        <w:rPr>
          <w:spacing w:val="-13"/>
          <w:lang w:val="sl-SI"/>
        </w:rPr>
        <w:t xml:space="preserve"> </w:t>
      </w:r>
      <w:r w:rsidRPr="001048FE">
        <w:rPr>
          <w:lang w:val="sl-SI"/>
        </w:rPr>
        <w:t>uporabo</w:t>
      </w:r>
      <w:r w:rsidRPr="001048FE">
        <w:rPr>
          <w:spacing w:val="-13"/>
          <w:lang w:val="sl-SI"/>
        </w:rPr>
        <w:t xml:space="preserve"> </w:t>
      </w:r>
      <w:r w:rsidRPr="001048FE">
        <w:rPr>
          <w:lang w:val="sl-SI"/>
        </w:rPr>
        <w:t>pristopa</w:t>
      </w:r>
      <w:r w:rsidRPr="001048FE">
        <w:rPr>
          <w:spacing w:val="-13"/>
          <w:lang w:val="sl-SI"/>
        </w:rPr>
        <w:t xml:space="preserve"> </w:t>
      </w:r>
      <w:r w:rsidRPr="001048FE">
        <w:rPr>
          <w:lang w:val="sl-SI"/>
        </w:rPr>
        <w:t>stroškov</w:t>
      </w:r>
      <w:r w:rsidRPr="001048FE">
        <w:rPr>
          <w:spacing w:val="-13"/>
          <w:lang w:val="sl-SI"/>
        </w:rPr>
        <w:t xml:space="preserve"> </w:t>
      </w:r>
      <w:r w:rsidRPr="001048FE">
        <w:rPr>
          <w:lang w:val="sl-SI"/>
        </w:rPr>
        <w:t>na enoto</w:t>
      </w:r>
      <w:r w:rsidRPr="001048FE">
        <w:rPr>
          <w:spacing w:val="-16"/>
          <w:lang w:val="sl-SI"/>
        </w:rPr>
        <w:t xml:space="preserve"> </w:t>
      </w:r>
      <w:r w:rsidRPr="001048FE">
        <w:rPr>
          <w:lang w:val="sl-SI"/>
        </w:rPr>
        <w:t>in</w:t>
      </w:r>
      <w:r w:rsidRPr="001048FE">
        <w:rPr>
          <w:spacing w:val="-16"/>
          <w:lang w:val="sl-SI"/>
        </w:rPr>
        <w:t xml:space="preserve"> </w:t>
      </w:r>
      <w:r w:rsidRPr="001048FE">
        <w:rPr>
          <w:lang w:val="sl-SI"/>
        </w:rPr>
        <w:t>na</w:t>
      </w:r>
      <w:r w:rsidRPr="001048FE">
        <w:rPr>
          <w:spacing w:val="-16"/>
          <w:lang w:val="sl-SI"/>
        </w:rPr>
        <w:t xml:space="preserve"> </w:t>
      </w:r>
      <w:r w:rsidRPr="001048FE">
        <w:rPr>
          <w:lang w:val="sl-SI"/>
        </w:rPr>
        <w:t>podlagi</w:t>
      </w:r>
      <w:r w:rsidRPr="001048FE">
        <w:rPr>
          <w:spacing w:val="-16"/>
          <w:lang w:val="sl-SI"/>
        </w:rPr>
        <w:t xml:space="preserve"> </w:t>
      </w:r>
      <w:r w:rsidRPr="001048FE">
        <w:rPr>
          <w:lang w:val="sl-SI"/>
        </w:rPr>
        <w:t>dejansko</w:t>
      </w:r>
      <w:r w:rsidRPr="001048FE">
        <w:rPr>
          <w:spacing w:val="-16"/>
          <w:lang w:val="sl-SI"/>
        </w:rPr>
        <w:t xml:space="preserve"> </w:t>
      </w:r>
      <w:r w:rsidRPr="001048FE">
        <w:rPr>
          <w:lang w:val="sl-SI"/>
        </w:rPr>
        <w:t>uporabljenih</w:t>
      </w:r>
      <w:r w:rsidRPr="001048FE">
        <w:rPr>
          <w:spacing w:val="-16"/>
          <w:lang w:val="sl-SI"/>
        </w:rPr>
        <w:t xml:space="preserve"> </w:t>
      </w:r>
      <w:r w:rsidRPr="001048FE">
        <w:rPr>
          <w:lang w:val="sl-SI"/>
        </w:rPr>
        <w:t>človeških</w:t>
      </w:r>
      <w:r w:rsidRPr="001048FE">
        <w:rPr>
          <w:spacing w:val="-16"/>
          <w:lang w:val="sl-SI"/>
        </w:rPr>
        <w:t xml:space="preserve"> </w:t>
      </w:r>
      <w:r w:rsidRPr="001048FE">
        <w:rPr>
          <w:lang w:val="sl-SI"/>
        </w:rPr>
        <w:t>virov.</w:t>
      </w:r>
      <w:r w:rsidRPr="001048FE">
        <w:rPr>
          <w:spacing w:val="-16"/>
          <w:lang w:val="sl-SI"/>
        </w:rPr>
        <w:t xml:space="preserve"> </w:t>
      </w:r>
      <w:r w:rsidRPr="001048FE">
        <w:rPr>
          <w:lang w:val="sl-SI"/>
        </w:rPr>
        <w:t>Prispevek</w:t>
      </w:r>
      <w:r w:rsidRPr="001048FE">
        <w:rPr>
          <w:spacing w:val="-16"/>
          <w:lang w:val="sl-SI"/>
        </w:rPr>
        <w:t xml:space="preserve"> </w:t>
      </w:r>
      <w:r w:rsidRPr="001048FE">
        <w:rPr>
          <w:lang w:val="sl-SI"/>
        </w:rPr>
        <w:t>EU</w:t>
      </w:r>
      <w:r w:rsidRPr="001048FE">
        <w:rPr>
          <w:spacing w:val="-16"/>
          <w:lang w:val="sl-SI"/>
        </w:rPr>
        <w:t xml:space="preserve"> </w:t>
      </w:r>
      <w:r w:rsidRPr="001048FE">
        <w:rPr>
          <w:lang w:val="sl-SI"/>
        </w:rPr>
        <w:t>za</w:t>
      </w:r>
      <w:r w:rsidRPr="001048FE">
        <w:rPr>
          <w:spacing w:val="-16"/>
          <w:lang w:val="sl-SI"/>
        </w:rPr>
        <w:t xml:space="preserve"> </w:t>
      </w:r>
      <w:r w:rsidRPr="001048FE">
        <w:rPr>
          <w:lang w:val="sl-SI"/>
        </w:rPr>
        <w:t>stroške</w:t>
      </w:r>
      <w:r w:rsidRPr="001048FE">
        <w:rPr>
          <w:spacing w:val="-16"/>
          <w:lang w:val="sl-SI"/>
        </w:rPr>
        <w:t xml:space="preserve"> </w:t>
      </w:r>
      <w:r w:rsidRPr="001048FE">
        <w:rPr>
          <w:lang w:val="sl-SI"/>
        </w:rPr>
        <w:t>osebja</w:t>
      </w:r>
      <w:r w:rsidRPr="001048FE">
        <w:rPr>
          <w:spacing w:val="-15"/>
          <w:lang w:val="sl-SI"/>
        </w:rPr>
        <w:t xml:space="preserve"> </w:t>
      </w:r>
      <w:r w:rsidRPr="001048FE">
        <w:rPr>
          <w:lang w:val="sl-SI"/>
        </w:rPr>
        <w:t>ne</w:t>
      </w:r>
      <w:r w:rsidRPr="001048FE">
        <w:rPr>
          <w:spacing w:val="-16"/>
          <w:lang w:val="sl-SI"/>
        </w:rPr>
        <w:t xml:space="preserve"> </w:t>
      </w:r>
      <w:r w:rsidRPr="001048FE">
        <w:rPr>
          <w:lang w:val="sl-SI"/>
        </w:rPr>
        <w:t>sme presegati</w:t>
      </w:r>
      <w:r w:rsidRPr="001048FE">
        <w:rPr>
          <w:spacing w:val="-17"/>
          <w:lang w:val="sl-SI"/>
        </w:rPr>
        <w:t xml:space="preserve"> </w:t>
      </w:r>
      <w:r w:rsidRPr="001048FE">
        <w:rPr>
          <w:lang w:val="sl-SI"/>
        </w:rPr>
        <w:t>110</w:t>
      </w:r>
      <w:r w:rsidRPr="001048FE">
        <w:rPr>
          <w:spacing w:val="-17"/>
          <w:lang w:val="sl-SI"/>
        </w:rPr>
        <w:t xml:space="preserve"> </w:t>
      </w:r>
      <w:r w:rsidRPr="001048FE">
        <w:rPr>
          <w:lang w:val="sl-SI"/>
        </w:rPr>
        <w:t>%</w:t>
      </w:r>
      <w:r w:rsidRPr="001048FE">
        <w:rPr>
          <w:spacing w:val="-17"/>
          <w:lang w:val="sl-SI"/>
        </w:rPr>
        <w:t xml:space="preserve"> </w:t>
      </w:r>
      <w:r w:rsidRPr="001048FE">
        <w:rPr>
          <w:lang w:val="sl-SI"/>
        </w:rPr>
        <w:t>celotnega</w:t>
      </w:r>
      <w:r w:rsidRPr="001048FE">
        <w:rPr>
          <w:spacing w:val="-17"/>
          <w:lang w:val="sl-SI"/>
        </w:rPr>
        <w:t xml:space="preserve"> </w:t>
      </w:r>
      <w:r w:rsidRPr="001048FE">
        <w:rPr>
          <w:lang w:val="sl-SI"/>
        </w:rPr>
        <w:t>zneska,</w:t>
      </w:r>
      <w:r w:rsidRPr="001048FE">
        <w:rPr>
          <w:spacing w:val="-17"/>
          <w:lang w:val="sl-SI"/>
        </w:rPr>
        <w:t xml:space="preserve"> </w:t>
      </w:r>
      <w:r w:rsidRPr="001048FE">
        <w:rPr>
          <w:lang w:val="sl-SI"/>
        </w:rPr>
        <w:t>predvidenega</w:t>
      </w:r>
      <w:r w:rsidRPr="001048FE">
        <w:rPr>
          <w:spacing w:val="-17"/>
          <w:lang w:val="sl-SI"/>
        </w:rPr>
        <w:t xml:space="preserve"> </w:t>
      </w:r>
      <w:r w:rsidRPr="001048FE">
        <w:rPr>
          <w:lang w:val="sl-SI"/>
        </w:rPr>
        <w:t>v</w:t>
      </w:r>
      <w:r w:rsidRPr="001048FE">
        <w:rPr>
          <w:spacing w:val="-17"/>
          <w:lang w:val="sl-SI"/>
        </w:rPr>
        <w:t xml:space="preserve"> </w:t>
      </w:r>
      <w:r w:rsidRPr="001048FE">
        <w:rPr>
          <w:lang w:val="sl-SI"/>
        </w:rPr>
        <w:t>sporazumu</w:t>
      </w:r>
      <w:r w:rsidRPr="001048FE">
        <w:rPr>
          <w:spacing w:val="-17"/>
          <w:lang w:val="sl-SI"/>
        </w:rPr>
        <w:t xml:space="preserve"> </w:t>
      </w:r>
      <w:r w:rsidRPr="001048FE">
        <w:rPr>
          <w:lang w:val="sl-SI"/>
        </w:rPr>
        <w:t>o</w:t>
      </w:r>
      <w:r w:rsidRPr="001048FE">
        <w:rPr>
          <w:spacing w:val="-17"/>
          <w:lang w:val="sl-SI"/>
        </w:rPr>
        <w:t xml:space="preserve"> </w:t>
      </w:r>
      <w:r w:rsidRPr="001048FE">
        <w:rPr>
          <w:lang w:val="sl-SI"/>
        </w:rPr>
        <w:t>nepovratnih</w:t>
      </w:r>
      <w:r w:rsidRPr="001048FE">
        <w:rPr>
          <w:spacing w:val="-17"/>
          <w:lang w:val="sl-SI"/>
        </w:rPr>
        <w:t xml:space="preserve"> </w:t>
      </w:r>
      <w:r w:rsidRPr="001048FE">
        <w:rPr>
          <w:lang w:val="sl-SI"/>
        </w:rPr>
        <w:t>sredstvih</w:t>
      </w:r>
      <w:r w:rsidRPr="001048FE">
        <w:rPr>
          <w:spacing w:val="-17"/>
          <w:lang w:val="sl-SI"/>
        </w:rPr>
        <w:t xml:space="preserve"> </w:t>
      </w:r>
      <w:r w:rsidRPr="001048FE">
        <w:rPr>
          <w:lang w:val="sl-SI"/>
        </w:rPr>
        <w:t>ali</w:t>
      </w:r>
      <w:r w:rsidRPr="001048FE">
        <w:rPr>
          <w:spacing w:val="-17"/>
          <w:lang w:val="sl-SI"/>
        </w:rPr>
        <w:t xml:space="preserve"> </w:t>
      </w:r>
      <w:r w:rsidRPr="001048FE">
        <w:rPr>
          <w:lang w:val="sl-SI"/>
        </w:rPr>
        <w:t>njegovih spremembah.</w:t>
      </w:r>
    </w:p>
    <w:p w14:paraId="7D39AAE6" w14:textId="77777777" w:rsidR="001809E5" w:rsidRPr="001048FE" w:rsidRDefault="001809E5" w:rsidP="00AD159A">
      <w:pPr>
        <w:pStyle w:val="Guide-Heading4"/>
        <w:rPr>
          <w:lang w:val="sl-SI"/>
        </w:rPr>
      </w:pPr>
      <w:bookmarkStart w:id="745" w:name="_Toc527401373"/>
      <w:r w:rsidRPr="001048FE">
        <w:rPr>
          <w:lang w:val="sl-SI"/>
        </w:rPr>
        <w:t>Potni stroški in stroški bivanja</w:t>
      </w:r>
      <w:bookmarkEnd w:id="745"/>
    </w:p>
    <w:p w14:paraId="7D39AAE7" w14:textId="77777777" w:rsidR="001809E5" w:rsidRPr="001048FE" w:rsidRDefault="001809E5" w:rsidP="00AD159A">
      <w:pPr>
        <w:pStyle w:val="GUIDE-NORMAL"/>
        <w:rPr>
          <w:lang w:val="sl-SI"/>
        </w:rPr>
      </w:pPr>
      <w:r w:rsidRPr="001048FE">
        <w:rPr>
          <w:lang w:val="sl-SI"/>
        </w:rPr>
        <w:t>Za namene kakršne koli finančne ocene in/ali revizije morajo biti upravičenci sposobni utemeljiti/dokazati naslednje elemente:</w:t>
      </w:r>
    </w:p>
    <w:p w14:paraId="7D39AAE8" w14:textId="77777777" w:rsidR="001809E5" w:rsidRPr="001048FE" w:rsidRDefault="001809E5" w:rsidP="005115F2">
      <w:pPr>
        <w:pStyle w:val="Guide-NormalBulletpoints"/>
        <w:numPr>
          <w:ilvl w:val="0"/>
          <w:numId w:val="464"/>
        </w:numPr>
        <w:rPr>
          <w:lang w:val="sl-SI"/>
        </w:rPr>
      </w:pPr>
      <w:r w:rsidRPr="001048FE">
        <w:rPr>
          <w:lang w:val="sl-SI"/>
        </w:rPr>
        <w:t>poti</w:t>
      </w:r>
      <w:r w:rsidRPr="001048FE">
        <w:rPr>
          <w:spacing w:val="-12"/>
          <w:lang w:val="sl-SI"/>
        </w:rPr>
        <w:t xml:space="preserve"> </w:t>
      </w:r>
      <w:r w:rsidRPr="001048FE">
        <w:rPr>
          <w:lang w:val="sl-SI"/>
        </w:rPr>
        <w:t>so</w:t>
      </w:r>
      <w:r w:rsidRPr="001048FE">
        <w:rPr>
          <w:spacing w:val="-12"/>
          <w:lang w:val="sl-SI"/>
        </w:rPr>
        <w:t xml:space="preserve"> </w:t>
      </w:r>
      <w:r w:rsidRPr="001048FE">
        <w:rPr>
          <w:lang w:val="sl-SI"/>
        </w:rPr>
        <w:t>neposredno</w:t>
      </w:r>
      <w:r w:rsidRPr="001048FE">
        <w:rPr>
          <w:spacing w:val="-12"/>
          <w:lang w:val="sl-SI"/>
        </w:rPr>
        <w:t xml:space="preserve"> </w:t>
      </w:r>
      <w:r w:rsidRPr="001048FE">
        <w:rPr>
          <w:lang w:val="sl-SI"/>
        </w:rPr>
        <w:t>povezane</w:t>
      </w:r>
      <w:r w:rsidRPr="001048FE">
        <w:rPr>
          <w:spacing w:val="-12"/>
          <w:lang w:val="sl-SI"/>
        </w:rPr>
        <w:t xml:space="preserve"> </w:t>
      </w:r>
      <w:r w:rsidRPr="001048FE">
        <w:rPr>
          <w:lang w:val="sl-SI"/>
        </w:rPr>
        <w:t>z</w:t>
      </w:r>
      <w:r w:rsidRPr="001048FE">
        <w:rPr>
          <w:spacing w:val="-12"/>
          <w:lang w:val="sl-SI"/>
        </w:rPr>
        <w:t xml:space="preserve"> </w:t>
      </w:r>
      <w:r w:rsidRPr="001048FE">
        <w:rPr>
          <w:lang w:val="sl-SI"/>
        </w:rPr>
        <w:t>določenimi</w:t>
      </w:r>
      <w:r w:rsidRPr="001048FE">
        <w:rPr>
          <w:spacing w:val="-12"/>
          <w:lang w:val="sl-SI"/>
        </w:rPr>
        <w:t xml:space="preserve"> </w:t>
      </w:r>
      <w:r w:rsidRPr="001048FE">
        <w:rPr>
          <w:lang w:val="sl-SI"/>
        </w:rPr>
        <w:t>aktivnostmi,</w:t>
      </w:r>
      <w:r w:rsidRPr="001048FE">
        <w:rPr>
          <w:spacing w:val="-12"/>
          <w:lang w:val="sl-SI"/>
        </w:rPr>
        <w:t xml:space="preserve"> </w:t>
      </w:r>
      <w:r w:rsidRPr="001048FE">
        <w:rPr>
          <w:lang w:val="sl-SI"/>
        </w:rPr>
        <w:t>povezanimi</w:t>
      </w:r>
      <w:r w:rsidRPr="001048FE">
        <w:rPr>
          <w:spacing w:val="-12"/>
          <w:lang w:val="sl-SI"/>
        </w:rPr>
        <w:t xml:space="preserve"> </w:t>
      </w:r>
      <w:r w:rsidRPr="001048FE">
        <w:rPr>
          <w:lang w:val="sl-SI"/>
        </w:rPr>
        <w:t>s</w:t>
      </w:r>
      <w:r w:rsidRPr="001048FE">
        <w:rPr>
          <w:spacing w:val="-12"/>
          <w:lang w:val="sl-SI"/>
        </w:rPr>
        <w:t xml:space="preserve"> </w:t>
      </w:r>
      <w:r w:rsidRPr="001048FE">
        <w:rPr>
          <w:lang w:val="sl-SI"/>
        </w:rPr>
        <w:t>projektom,</w:t>
      </w:r>
      <w:r w:rsidRPr="001048FE">
        <w:rPr>
          <w:spacing w:val="-12"/>
          <w:lang w:val="sl-SI"/>
        </w:rPr>
        <w:t xml:space="preserve"> </w:t>
      </w:r>
      <w:r w:rsidRPr="001048FE">
        <w:rPr>
          <w:lang w:val="sl-SI"/>
        </w:rPr>
        <w:t>ki</w:t>
      </w:r>
      <w:r w:rsidRPr="001048FE">
        <w:rPr>
          <w:spacing w:val="-12"/>
          <w:lang w:val="sl-SI"/>
        </w:rPr>
        <w:t xml:space="preserve"> </w:t>
      </w:r>
      <w:r w:rsidRPr="001048FE">
        <w:rPr>
          <w:lang w:val="sl-SI"/>
        </w:rPr>
        <w:t>jih</w:t>
      </w:r>
      <w:r w:rsidRPr="001048FE">
        <w:rPr>
          <w:spacing w:val="-12"/>
          <w:lang w:val="sl-SI"/>
        </w:rPr>
        <w:t xml:space="preserve"> </w:t>
      </w:r>
      <w:r w:rsidRPr="001048FE">
        <w:rPr>
          <w:lang w:val="sl-SI"/>
        </w:rPr>
        <w:t>je mogoče jasno</w:t>
      </w:r>
      <w:r w:rsidRPr="001048FE">
        <w:rPr>
          <w:spacing w:val="-5"/>
          <w:lang w:val="sl-SI"/>
        </w:rPr>
        <w:t xml:space="preserve"> </w:t>
      </w:r>
      <w:r w:rsidRPr="001048FE">
        <w:rPr>
          <w:lang w:val="sl-SI"/>
        </w:rPr>
        <w:t>opredeliti;</w:t>
      </w:r>
    </w:p>
    <w:p w14:paraId="7D39AAE9" w14:textId="77777777" w:rsidR="001809E5" w:rsidRPr="001048FE" w:rsidRDefault="001809E5" w:rsidP="005115F2">
      <w:pPr>
        <w:pStyle w:val="Guide-NormalBulletpoints"/>
        <w:numPr>
          <w:ilvl w:val="0"/>
          <w:numId w:val="464"/>
        </w:numPr>
        <w:rPr>
          <w:lang w:val="sl-SI"/>
        </w:rPr>
      </w:pPr>
      <w:r w:rsidRPr="001048FE">
        <w:rPr>
          <w:lang w:val="sl-SI"/>
        </w:rPr>
        <w:t>poti</w:t>
      </w:r>
      <w:r w:rsidRPr="001048FE">
        <w:rPr>
          <w:spacing w:val="-14"/>
          <w:lang w:val="sl-SI"/>
        </w:rPr>
        <w:t xml:space="preserve"> </w:t>
      </w:r>
      <w:r w:rsidRPr="001048FE">
        <w:rPr>
          <w:lang w:val="sl-SI"/>
        </w:rPr>
        <w:t>so</w:t>
      </w:r>
      <w:r w:rsidRPr="001048FE">
        <w:rPr>
          <w:spacing w:val="-14"/>
          <w:lang w:val="sl-SI"/>
        </w:rPr>
        <w:t xml:space="preserve"> </w:t>
      </w:r>
      <w:r w:rsidRPr="001048FE">
        <w:rPr>
          <w:lang w:val="sl-SI"/>
        </w:rPr>
        <w:t>bile</w:t>
      </w:r>
      <w:r w:rsidRPr="001048FE">
        <w:rPr>
          <w:spacing w:val="-14"/>
          <w:lang w:val="sl-SI"/>
        </w:rPr>
        <w:t xml:space="preserve"> </w:t>
      </w:r>
      <w:r w:rsidRPr="001048FE">
        <w:rPr>
          <w:lang w:val="sl-SI"/>
        </w:rPr>
        <w:t>dejansko</w:t>
      </w:r>
      <w:r w:rsidRPr="001048FE">
        <w:rPr>
          <w:spacing w:val="-14"/>
          <w:lang w:val="sl-SI"/>
        </w:rPr>
        <w:t xml:space="preserve"> </w:t>
      </w:r>
      <w:r w:rsidRPr="001048FE">
        <w:rPr>
          <w:lang w:val="sl-SI"/>
        </w:rPr>
        <w:t>izvedene</w:t>
      </w:r>
      <w:r w:rsidRPr="001048FE">
        <w:rPr>
          <w:spacing w:val="-14"/>
          <w:lang w:val="sl-SI"/>
        </w:rPr>
        <w:t xml:space="preserve"> </w:t>
      </w:r>
      <w:r w:rsidRPr="001048FE">
        <w:rPr>
          <w:lang w:val="sl-SI"/>
        </w:rPr>
        <w:t>(letalska</w:t>
      </w:r>
      <w:r w:rsidRPr="001048FE">
        <w:rPr>
          <w:spacing w:val="-14"/>
          <w:lang w:val="sl-SI"/>
        </w:rPr>
        <w:t xml:space="preserve"> </w:t>
      </w:r>
      <w:r w:rsidRPr="001048FE">
        <w:rPr>
          <w:lang w:val="sl-SI"/>
        </w:rPr>
        <w:t>vozovnica,</w:t>
      </w:r>
      <w:r w:rsidRPr="001048FE">
        <w:rPr>
          <w:spacing w:val="-14"/>
          <w:lang w:val="sl-SI"/>
        </w:rPr>
        <w:t xml:space="preserve"> </w:t>
      </w:r>
      <w:r w:rsidRPr="001048FE">
        <w:rPr>
          <w:lang w:val="sl-SI"/>
        </w:rPr>
        <w:t>hotelski</w:t>
      </w:r>
      <w:r w:rsidRPr="001048FE">
        <w:rPr>
          <w:spacing w:val="-14"/>
          <w:lang w:val="sl-SI"/>
        </w:rPr>
        <w:t xml:space="preserve"> </w:t>
      </w:r>
      <w:r w:rsidRPr="001048FE">
        <w:rPr>
          <w:lang w:val="sl-SI"/>
        </w:rPr>
        <w:t>računi,</w:t>
      </w:r>
      <w:r w:rsidRPr="001048FE">
        <w:rPr>
          <w:spacing w:val="-14"/>
          <w:lang w:val="sl-SI"/>
        </w:rPr>
        <w:t xml:space="preserve"> </w:t>
      </w:r>
      <w:r w:rsidRPr="001048FE">
        <w:rPr>
          <w:lang w:val="sl-SI"/>
        </w:rPr>
        <w:t>seznam</w:t>
      </w:r>
      <w:r w:rsidRPr="001048FE">
        <w:rPr>
          <w:spacing w:val="-14"/>
          <w:lang w:val="sl-SI"/>
        </w:rPr>
        <w:t xml:space="preserve"> </w:t>
      </w:r>
      <w:r w:rsidRPr="001048FE">
        <w:rPr>
          <w:lang w:val="sl-SI"/>
        </w:rPr>
        <w:t>prisotnosti</w:t>
      </w:r>
      <w:r w:rsidRPr="001048FE">
        <w:rPr>
          <w:spacing w:val="-14"/>
          <w:lang w:val="sl-SI"/>
        </w:rPr>
        <w:t xml:space="preserve"> </w:t>
      </w:r>
      <w:r w:rsidRPr="001048FE">
        <w:rPr>
          <w:lang w:val="sl-SI"/>
        </w:rPr>
        <w:t>itd.). Dejanskih potnih stroškov in stroškov bivanja ni treba</w:t>
      </w:r>
      <w:r w:rsidRPr="001048FE">
        <w:rPr>
          <w:spacing w:val="-15"/>
          <w:lang w:val="sl-SI"/>
        </w:rPr>
        <w:t xml:space="preserve"> </w:t>
      </w:r>
      <w:r w:rsidRPr="001048FE">
        <w:rPr>
          <w:lang w:val="sl-SI"/>
        </w:rPr>
        <w:t>utemeljiti.</w:t>
      </w:r>
    </w:p>
    <w:p w14:paraId="7D39AAEA" w14:textId="77777777" w:rsidR="001809E5" w:rsidRPr="001048FE" w:rsidRDefault="001809E5" w:rsidP="00AD159A">
      <w:pPr>
        <w:pStyle w:val="GUIDE-NORMAL"/>
        <w:rPr>
          <w:lang w:val="sl-SI"/>
        </w:rPr>
      </w:pPr>
      <w:r w:rsidRPr="001048FE">
        <w:rPr>
          <w:lang w:val="sl-SI"/>
        </w:rPr>
        <w:t>V fazi računovodskega poročanja je treba računovodskim izkazom projekta za vsako pot priložiti poročilo o posamezni mobilnosti, ki ga koordinator obdrži kot dokazilo. Vsakemu poročilu o mobilnosti je treba priložiti dokazila, da je bila pot dejansko izvedena (npr. vozovnice, letalske karte, računi, potrdila, seznam prisotnosti itd.). Dejanskih potnih stroškov ni treba dokazovati.</w:t>
      </w:r>
    </w:p>
    <w:p w14:paraId="7D39AAEB" w14:textId="77777777" w:rsidR="001809E5" w:rsidRPr="001048FE" w:rsidRDefault="001809E5" w:rsidP="00AD159A">
      <w:pPr>
        <w:pStyle w:val="GUIDE-NORMAL"/>
        <w:rPr>
          <w:lang w:val="sl-SI"/>
        </w:rPr>
      </w:pPr>
      <w:r w:rsidRPr="001048FE">
        <w:rPr>
          <w:lang w:val="sl-SI"/>
        </w:rPr>
        <w:t>Dokazila</w:t>
      </w:r>
      <w:r w:rsidRPr="001048FE">
        <w:rPr>
          <w:spacing w:val="-15"/>
          <w:lang w:val="sl-SI"/>
        </w:rPr>
        <w:t xml:space="preserve"> </w:t>
      </w:r>
      <w:r w:rsidRPr="001048FE">
        <w:rPr>
          <w:u w:val="single"/>
          <w:lang w:val="sl-SI"/>
        </w:rPr>
        <w:t>ne</w:t>
      </w:r>
      <w:r w:rsidRPr="001048FE">
        <w:rPr>
          <w:spacing w:val="-15"/>
          <w:u w:val="single"/>
          <w:lang w:val="sl-SI"/>
        </w:rPr>
        <w:t xml:space="preserve"> </w:t>
      </w:r>
      <w:r w:rsidRPr="001048FE">
        <w:rPr>
          <w:u w:val="single"/>
          <w:lang w:val="sl-SI"/>
        </w:rPr>
        <w:t>smejo</w:t>
      </w:r>
      <w:r w:rsidRPr="001048FE">
        <w:rPr>
          <w:spacing w:val="-15"/>
          <w:u w:val="single"/>
          <w:lang w:val="sl-SI"/>
        </w:rPr>
        <w:t xml:space="preserve"> </w:t>
      </w:r>
      <w:r w:rsidRPr="001048FE">
        <w:rPr>
          <w:u w:val="single"/>
          <w:lang w:val="sl-SI"/>
        </w:rPr>
        <w:t>biti</w:t>
      </w:r>
      <w:r w:rsidRPr="001048FE">
        <w:rPr>
          <w:spacing w:val="-15"/>
          <w:u w:val="single"/>
          <w:lang w:val="sl-SI"/>
        </w:rPr>
        <w:t xml:space="preserve"> </w:t>
      </w:r>
      <w:r w:rsidRPr="001048FE">
        <w:rPr>
          <w:u w:val="single"/>
          <w:lang w:val="sl-SI"/>
        </w:rPr>
        <w:t>poslana</w:t>
      </w:r>
      <w:r w:rsidRPr="001048FE">
        <w:rPr>
          <w:spacing w:val="-15"/>
          <w:lang w:val="sl-SI"/>
        </w:rPr>
        <w:t xml:space="preserve"> </w:t>
      </w:r>
      <w:r w:rsidRPr="001048FE">
        <w:rPr>
          <w:lang w:val="sl-SI"/>
        </w:rPr>
        <w:t>skupaj</w:t>
      </w:r>
      <w:r w:rsidRPr="001048FE">
        <w:rPr>
          <w:spacing w:val="-15"/>
          <w:lang w:val="sl-SI"/>
        </w:rPr>
        <w:t xml:space="preserve"> </w:t>
      </w:r>
      <w:r w:rsidRPr="001048FE">
        <w:rPr>
          <w:lang w:val="sl-SI"/>
        </w:rPr>
        <w:t>s</w:t>
      </w:r>
      <w:r w:rsidRPr="001048FE">
        <w:rPr>
          <w:spacing w:val="-15"/>
          <w:lang w:val="sl-SI"/>
        </w:rPr>
        <w:t xml:space="preserve"> </w:t>
      </w:r>
      <w:r w:rsidRPr="001048FE">
        <w:rPr>
          <w:lang w:val="sl-SI"/>
        </w:rPr>
        <w:t>finančnim</w:t>
      </w:r>
      <w:r w:rsidRPr="001048FE">
        <w:rPr>
          <w:spacing w:val="-15"/>
          <w:lang w:val="sl-SI"/>
        </w:rPr>
        <w:t xml:space="preserve"> </w:t>
      </w:r>
      <w:r w:rsidRPr="001048FE">
        <w:rPr>
          <w:lang w:val="sl-SI"/>
        </w:rPr>
        <w:t>poročilom</w:t>
      </w:r>
      <w:r w:rsidRPr="001048FE">
        <w:rPr>
          <w:spacing w:val="-15"/>
          <w:lang w:val="sl-SI"/>
        </w:rPr>
        <w:t xml:space="preserve"> </w:t>
      </w:r>
      <w:r w:rsidRPr="001048FE">
        <w:rPr>
          <w:lang w:val="sl-SI"/>
        </w:rPr>
        <w:t>na</w:t>
      </w:r>
      <w:r w:rsidRPr="001048FE">
        <w:rPr>
          <w:spacing w:val="-15"/>
          <w:lang w:val="sl-SI"/>
        </w:rPr>
        <w:t xml:space="preserve"> </w:t>
      </w:r>
      <w:r w:rsidRPr="001048FE">
        <w:rPr>
          <w:lang w:val="sl-SI"/>
        </w:rPr>
        <w:t>koncu</w:t>
      </w:r>
      <w:r w:rsidRPr="001048FE">
        <w:rPr>
          <w:spacing w:val="-15"/>
          <w:lang w:val="sl-SI"/>
        </w:rPr>
        <w:t xml:space="preserve"> </w:t>
      </w:r>
      <w:r w:rsidRPr="001048FE">
        <w:rPr>
          <w:lang w:val="sl-SI"/>
        </w:rPr>
        <w:t>projekta.</w:t>
      </w:r>
      <w:r w:rsidRPr="001048FE">
        <w:rPr>
          <w:spacing w:val="-15"/>
          <w:lang w:val="sl-SI"/>
        </w:rPr>
        <w:t xml:space="preserve"> </w:t>
      </w:r>
      <w:r w:rsidRPr="001048FE">
        <w:rPr>
          <w:lang w:val="sl-SI"/>
        </w:rPr>
        <w:t>Poročila</w:t>
      </w:r>
      <w:r w:rsidRPr="001048FE">
        <w:rPr>
          <w:spacing w:val="-15"/>
          <w:lang w:val="sl-SI"/>
        </w:rPr>
        <w:t xml:space="preserve"> </w:t>
      </w:r>
      <w:r w:rsidRPr="001048FE">
        <w:rPr>
          <w:lang w:val="sl-SI"/>
        </w:rPr>
        <w:t>o</w:t>
      </w:r>
      <w:r w:rsidRPr="001048FE">
        <w:rPr>
          <w:spacing w:val="-15"/>
          <w:lang w:val="sl-SI"/>
        </w:rPr>
        <w:t xml:space="preserve"> </w:t>
      </w:r>
      <w:r w:rsidRPr="001048FE">
        <w:rPr>
          <w:lang w:val="sl-SI"/>
        </w:rPr>
        <w:t>posamezni mobilnost pa je treba priložiti računovodskim izkazom</w:t>
      </w:r>
      <w:r w:rsidRPr="001048FE">
        <w:rPr>
          <w:spacing w:val="-16"/>
          <w:lang w:val="sl-SI"/>
        </w:rPr>
        <w:t xml:space="preserve"> </w:t>
      </w:r>
      <w:r w:rsidRPr="001048FE">
        <w:rPr>
          <w:lang w:val="sl-SI"/>
        </w:rPr>
        <w:t>projekta.</w:t>
      </w:r>
    </w:p>
    <w:p w14:paraId="7D39AAEC" w14:textId="77777777" w:rsidR="001809E5" w:rsidRPr="001048FE" w:rsidRDefault="001809E5" w:rsidP="00AD159A">
      <w:pPr>
        <w:pStyle w:val="GUIDE-NORMAL"/>
        <w:rPr>
          <w:lang w:val="sl-SI"/>
        </w:rPr>
      </w:pPr>
      <w:r w:rsidRPr="001048FE">
        <w:rPr>
          <w:lang w:val="sl-SI"/>
        </w:rPr>
        <w:t>V tej fazi Izvajalska agencija preveri upravičenost stroškov izvedenih aktivnosti na podlagi poročila, ki ga je poslal koordinator (glej Prilogo k sporazumu o povratnih sredstvih – „končno poročilo“). V primeru dvomov v zvezi z določeno točko lahko Agencija zahteva, da se predložijo vsa dokazila.</w:t>
      </w:r>
    </w:p>
    <w:p w14:paraId="7D39AAED" w14:textId="77777777" w:rsidR="001809E5" w:rsidRPr="001048FE" w:rsidRDefault="001809E5" w:rsidP="00AD159A">
      <w:pPr>
        <w:pStyle w:val="GUIDE-NORMAL"/>
        <w:rPr>
          <w:lang w:val="sl-SI"/>
        </w:rPr>
      </w:pPr>
      <w:r w:rsidRPr="001048FE">
        <w:rPr>
          <w:lang w:val="sl-SI"/>
        </w:rPr>
        <w:t>Dejanski prispevek EU se ponovno v celoti izračuna za ves projekt z uporabo pristopa stroškov na enoto</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na</w:t>
      </w:r>
      <w:r w:rsidRPr="001048FE">
        <w:rPr>
          <w:spacing w:val="-13"/>
          <w:lang w:val="sl-SI"/>
        </w:rPr>
        <w:t xml:space="preserve"> </w:t>
      </w:r>
      <w:r w:rsidRPr="001048FE">
        <w:rPr>
          <w:lang w:val="sl-SI"/>
        </w:rPr>
        <w:t>podlagi</w:t>
      </w:r>
      <w:r w:rsidRPr="001048FE">
        <w:rPr>
          <w:spacing w:val="-13"/>
          <w:lang w:val="sl-SI"/>
        </w:rPr>
        <w:t xml:space="preserve"> </w:t>
      </w:r>
      <w:r w:rsidRPr="001048FE">
        <w:rPr>
          <w:lang w:val="sl-SI"/>
        </w:rPr>
        <w:t>dejansko</w:t>
      </w:r>
      <w:r w:rsidRPr="001048FE">
        <w:rPr>
          <w:spacing w:val="-13"/>
          <w:lang w:val="sl-SI"/>
        </w:rPr>
        <w:t xml:space="preserve"> </w:t>
      </w:r>
      <w:r w:rsidRPr="001048FE">
        <w:rPr>
          <w:lang w:val="sl-SI"/>
        </w:rPr>
        <w:t>uporabljenih</w:t>
      </w:r>
      <w:r w:rsidRPr="001048FE">
        <w:rPr>
          <w:spacing w:val="-13"/>
          <w:lang w:val="sl-SI"/>
        </w:rPr>
        <w:t xml:space="preserve"> </w:t>
      </w:r>
      <w:r w:rsidRPr="001048FE">
        <w:rPr>
          <w:lang w:val="sl-SI"/>
        </w:rPr>
        <w:t>človeških</w:t>
      </w:r>
      <w:r w:rsidRPr="001048FE">
        <w:rPr>
          <w:spacing w:val="-13"/>
          <w:lang w:val="sl-SI"/>
        </w:rPr>
        <w:t xml:space="preserve"> </w:t>
      </w:r>
      <w:r w:rsidRPr="001048FE">
        <w:rPr>
          <w:lang w:val="sl-SI"/>
        </w:rPr>
        <w:t>virov.</w:t>
      </w:r>
      <w:r w:rsidRPr="001048FE">
        <w:rPr>
          <w:spacing w:val="-13"/>
          <w:lang w:val="sl-SI"/>
        </w:rPr>
        <w:t xml:space="preserve"> </w:t>
      </w:r>
      <w:r w:rsidRPr="001048FE">
        <w:rPr>
          <w:lang w:val="sl-SI"/>
        </w:rPr>
        <w:t>Prispevek</w:t>
      </w:r>
      <w:r w:rsidRPr="001048FE">
        <w:rPr>
          <w:spacing w:val="-13"/>
          <w:lang w:val="sl-SI"/>
        </w:rPr>
        <w:t xml:space="preserve"> </w:t>
      </w:r>
      <w:r w:rsidRPr="001048FE">
        <w:rPr>
          <w:lang w:val="sl-SI"/>
        </w:rPr>
        <w:t>EU</w:t>
      </w:r>
      <w:r w:rsidRPr="001048FE">
        <w:rPr>
          <w:spacing w:val="-13"/>
          <w:lang w:val="sl-SI"/>
        </w:rPr>
        <w:t xml:space="preserve"> </w:t>
      </w:r>
      <w:r w:rsidRPr="001048FE">
        <w:rPr>
          <w:lang w:val="sl-SI"/>
        </w:rPr>
        <w:t>za</w:t>
      </w:r>
      <w:r w:rsidRPr="001048FE">
        <w:rPr>
          <w:spacing w:val="-13"/>
          <w:lang w:val="sl-SI"/>
        </w:rPr>
        <w:t xml:space="preserve"> </w:t>
      </w:r>
      <w:r w:rsidRPr="001048FE">
        <w:rPr>
          <w:lang w:val="sl-SI"/>
        </w:rPr>
        <w:t>potne</w:t>
      </w:r>
      <w:r w:rsidRPr="001048FE">
        <w:rPr>
          <w:spacing w:val="-13"/>
          <w:lang w:val="sl-SI"/>
        </w:rPr>
        <w:t xml:space="preserve"> </w:t>
      </w:r>
      <w:r w:rsidRPr="001048FE">
        <w:rPr>
          <w:lang w:val="sl-SI"/>
        </w:rPr>
        <w:t>stroške</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stroške bivanja ne sme presegati 110 % celotnega zneska, predvidenega v sporazumu o nepovratnih sredstvih ali njegovih</w:t>
      </w:r>
      <w:r w:rsidRPr="001048FE">
        <w:rPr>
          <w:spacing w:val="-8"/>
          <w:lang w:val="sl-SI"/>
        </w:rPr>
        <w:t xml:space="preserve"> </w:t>
      </w:r>
      <w:r w:rsidRPr="001048FE">
        <w:rPr>
          <w:lang w:val="sl-SI"/>
        </w:rPr>
        <w:t>spremembah.</w:t>
      </w:r>
    </w:p>
    <w:p w14:paraId="7D39AAEE" w14:textId="77777777" w:rsidR="009B18DC" w:rsidRPr="001048FE" w:rsidRDefault="009B18DC">
      <w:pPr>
        <w:widowControl/>
        <w:suppressAutoHyphens w:val="0"/>
        <w:autoSpaceDN/>
        <w:textAlignment w:val="auto"/>
        <w:rPr>
          <w:rFonts w:eastAsia="Times New Roman"/>
          <w:b/>
          <w:smallCaps/>
          <w:szCs w:val="20"/>
          <w:lang w:val="sl-SI"/>
        </w:rPr>
      </w:pPr>
      <w:r w:rsidRPr="001048FE">
        <w:rPr>
          <w:lang w:val="sl-SI"/>
        </w:rPr>
        <w:br w:type="page"/>
      </w:r>
    </w:p>
    <w:p w14:paraId="7D39AAEF" w14:textId="77777777" w:rsidR="001809E5" w:rsidRPr="001048FE" w:rsidRDefault="001809E5" w:rsidP="00AD159A">
      <w:pPr>
        <w:pStyle w:val="Guide-Heading4"/>
        <w:rPr>
          <w:lang w:val="sl-SI"/>
        </w:rPr>
      </w:pPr>
      <w:bookmarkStart w:id="746" w:name="_Toc527401374"/>
      <w:r w:rsidRPr="001048FE">
        <w:rPr>
          <w:lang w:val="sl-SI"/>
        </w:rPr>
        <w:t>Oprema</w:t>
      </w:r>
      <w:bookmarkEnd w:id="746"/>
    </w:p>
    <w:p w14:paraId="7D39AAF0" w14:textId="77777777" w:rsidR="001809E5" w:rsidRPr="001048FE" w:rsidRDefault="001809E5" w:rsidP="00AD159A">
      <w:pPr>
        <w:pStyle w:val="GUIDE-NORMAL"/>
        <w:rPr>
          <w:lang w:val="sl-SI"/>
        </w:rPr>
      </w:pPr>
      <w:r w:rsidRPr="001048FE">
        <w:rPr>
          <w:lang w:val="sl-SI"/>
        </w:rPr>
        <w:t>Za namene kakršne koli finančne ocene in/ali revizije morajo biti upravičenci sposobni utemeljiti/dokazati naslednje elemente:</w:t>
      </w:r>
    </w:p>
    <w:p w14:paraId="7D39AAF1" w14:textId="77777777" w:rsidR="001809E5" w:rsidRPr="001048FE" w:rsidRDefault="001809E5" w:rsidP="005115F2">
      <w:pPr>
        <w:pStyle w:val="Guide-NormalBulletpoints"/>
        <w:numPr>
          <w:ilvl w:val="0"/>
          <w:numId w:val="465"/>
        </w:numPr>
        <w:rPr>
          <w:lang w:val="sl-SI"/>
        </w:rPr>
      </w:pPr>
      <w:r w:rsidRPr="001048FE">
        <w:rPr>
          <w:lang w:val="sl-SI"/>
        </w:rPr>
        <w:t>prijavljene stroške je mogoče opredeliti in preveriti, zlasti če so bili zabeleženi v računovodskem sistemu upravičenca;</w:t>
      </w:r>
    </w:p>
    <w:p w14:paraId="7D39AAF2" w14:textId="77777777" w:rsidR="001809E5" w:rsidRPr="001048FE" w:rsidRDefault="001809E5" w:rsidP="005115F2">
      <w:pPr>
        <w:pStyle w:val="Guide-NormalBulletpoints"/>
        <w:numPr>
          <w:ilvl w:val="0"/>
          <w:numId w:val="465"/>
        </w:numPr>
        <w:rPr>
          <w:lang w:val="sl-SI"/>
        </w:rPr>
      </w:pPr>
      <w:r w:rsidRPr="001048FE">
        <w:rPr>
          <w:lang w:val="sl-SI"/>
        </w:rPr>
        <w:t>oprema je ustrezno vpisana v inventar zadevne institucije.</w:t>
      </w:r>
    </w:p>
    <w:p w14:paraId="7D39AAF3" w14:textId="77777777" w:rsidR="001809E5" w:rsidRPr="001048FE" w:rsidRDefault="001809E5" w:rsidP="00AD159A">
      <w:pPr>
        <w:pStyle w:val="GUIDE-NORMAL"/>
        <w:rPr>
          <w:lang w:val="sl-SI"/>
        </w:rPr>
      </w:pPr>
      <w:r w:rsidRPr="001048FE">
        <w:rPr>
          <w:lang w:val="sl-SI"/>
        </w:rPr>
        <w:t>Dokazila ne smejo biti priložena računovodskim izkazom. Priložiti jih je treba računovodskim izkazom projekta:</w:t>
      </w:r>
    </w:p>
    <w:p w14:paraId="7D39AAF4" w14:textId="77777777" w:rsidR="001809E5" w:rsidRPr="001048FE" w:rsidRDefault="001809E5" w:rsidP="005115F2">
      <w:pPr>
        <w:pStyle w:val="Guide-NormalBulletpoints"/>
        <w:numPr>
          <w:ilvl w:val="0"/>
          <w:numId w:val="466"/>
        </w:numPr>
        <w:rPr>
          <w:lang w:val="sl-SI"/>
        </w:rPr>
      </w:pPr>
      <w:r w:rsidRPr="001048FE">
        <w:rPr>
          <w:lang w:val="sl-SI"/>
        </w:rPr>
        <w:t>računi</w:t>
      </w:r>
      <w:r w:rsidRPr="001048FE">
        <w:rPr>
          <w:spacing w:val="-13"/>
          <w:lang w:val="sl-SI"/>
        </w:rPr>
        <w:t xml:space="preserve"> </w:t>
      </w:r>
      <w:r w:rsidRPr="001048FE">
        <w:rPr>
          <w:lang w:val="sl-SI"/>
        </w:rPr>
        <w:t>za</w:t>
      </w:r>
      <w:r w:rsidRPr="001048FE">
        <w:rPr>
          <w:spacing w:val="-13"/>
          <w:lang w:val="sl-SI"/>
        </w:rPr>
        <w:t xml:space="preserve"> </w:t>
      </w:r>
      <w:r w:rsidRPr="001048FE">
        <w:rPr>
          <w:lang w:val="sl-SI"/>
        </w:rPr>
        <w:t>vso</w:t>
      </w:r>
      <w:r w:rsidRPr="001048FE">
        <w:rPr>
          <w:spacing w:val="-13"/>
          <w:lang w:val="sl-SI"/>
        </w:rPr>
        <w:t xml:space="preserve"> </w:t>
      </w:r>
      <w:r w:rsidRPr="001048FE">
        <w:rPr>
          <w:lang w:val="sl-SI"/>
        </w:rPr>
        <w:t>kupljeno</w:t>
      </w:r>
      <w:r w:rsidRPr="001048FE">
        <w:rPr>
          <w:spacing w:val="-13"/>
          <w:lang w:val="sl-SI"/>
        </w:rPr>
        <w:t xml:space="preserve"> </w:t>
      </w:r>
      <w:r w:rsidRPr="001048FE">
        <w:rPr>
          <w:lang w:val="sl-SI"/>
        </w:rPr>
        <w:t>opremo</w:t>
      </w:r>
      <w:r w:rsidRPr="001048FE">
        <w:rPr>
          <w:spacing w:val="-12"/>
          <w:lang w:val="sl-SI"/>
        </w:rPr>
        <w:t xml:space="preserve"> </w:t>
      </w:r>
      <w:r w:rsidRPr="001048FE">
        <w:rPr>
          <w:lang w:val="sl-SI"/>
        </w:rPr>
        <w:t>(stroškov</w:t>
      </w:r>
      <w:r w:rsidRPr="001048FE">
        <w:rPr>
          <w:spacing w:val="-13"/>
          <w:lang w:val="sl-SI"/>
        </w:rPr>
        <w:t xml:space="preserve"> </w:t>
      </w:r>
      <w:r w:rsidRPr="001048FE">
        <w:rPr>
          <w:lang w:val="sl-SI"/>
        </w:rPr>
        <w:t>ni</w:t>
      </w:r>
      <w:r w:rsidRPr="001048FE">
        <w:rPr>
          <w:spacing w:val="-13"/>
          <w:lang w:val="sl-SI"/>
        </w:rPr>
        <w:t xml:space="preserve"> </w:t>
      </w:r>
      <w:r w:rsidRPr="001048FE">
        <w:rPr>
          <w:lang w:val="sl-SI"/>
        </w:rPr>
        <w:t>mogoče</w:t>
      </w:r>
      <w:r w:rsidRPr="001048FE">
        <w:rPr>
          <w:spacing w:val="-13"/>
          <w:lang w:val="sl-SI"/>
        </w:rPr>
        <w:t xml:space="preserve"> </w:t>
      </w:r>
      <w:r w:rsidRPr="001048FE">
        <w:rPr>
          <w:lang w:val="sl-SI"/>
        </w:rPr>
        <w:t>dokazovati</w:t>
      </w:r>
      <w:r w:rsidRPr="001048FE">
        <w:rPr>
          <w:spacing w:val="-13"/>
          <w:lang w:val="sl-SI"/>
        </w:rPr>
        <w:t xml:space="preserve"> </w:t>
      </w:r>
      <w:r w:rsidRPr="001048FE">
        <w:rPr>
          <w:lang w:val="sl-SI"/>
        </w:rPr>
        <w:t>z</w:t>
      </w:r>
      <w:r w:rsidRPr="001048FE">
        <w:rPr>
          <w:spacing w:val="-13"/>
          <w:lang w:val="sl-SI"/>
        </w:rPr>
        <w:t xml:space="preserve"> </w:t>
      </w:r>
      <w:r w:rsidRPr="001048FE">
        <w:rPr>
          <w:lang w:val="sl-SI"/>
        </w:rPr>
        <w:t>obrazci</w:t>
      </w:r>
      <w:r w:rsidRPr="001048FE">
        <w:rPr>
          <w:spacing w:val="-12"/>
          <w:lang w:val="sl-SI"/>
        </w:rPr>
        <w:t xml:space="preserve"> </w:t>
      </w:r>
      <w:r w:rsidRPr="001048FE">
        <w:rPr>
          <w:lang w:val="sl-SI"/>
        </w:rPr>
        <w:t>naročil,</w:t>
      </w:r>
      <w:r w:rsidRPr="001048FE">
        <w:rPr>
          <w:spacing w:val="-13"/>
          <w:lang w:val="sl-SI"/>
        </w:rPr>
        <w:t xml:space="preserve"> </w:t>
      </w:r>
      <w:r w:rsidRPr="001048FE">
        <w:rPr>
          <w:lang w:val="sl-SI"/>
        </w:rPr>
        <w:t>predračuni, ponudbami ali</w:t>
      </w:r>
      <w:r w:rsidRPr="001048FE">
        <w:rPr>
          <w:spacing w:val="-5"/>
          <w:lang w:val="sl-SI"/>
        </w:rPr>
        <w:t xml:space="preserve"> </w:t>
      </w:r>
      <w:r w:rsidRPr="001048FE">
        <w:rPr>
          <w:lang w:val="sl-SI"/>
        </w:rPr>
        <w:t>ocenami).</w:t>
      </w:r>
    </w:p>
    <w:p w14:paraId="7D39AAF5" w14:textId="77777777" w:rsidR="001809E5" w:rsidRPr="001048FE" w:rsidRDefault="001809E5" w:rsidP="005115F2">
      <w:pPr>
        <w:pStyle w:val="Guide-NormalBulletpoints"/>
        <w:numPr>
          <w:ilvl w:val="0"/>
          <w:numId w:val="466"/>
        </w:numPr>
        <w:rPr>
          <w:lang w:val="sl-SI"/>
        </w:rPr>
      </w:pPr>
      <w:r w:rsidRPr="001048FE">
        <w:rPr>
          <w:lang w:val="sl-SI"/>
        </w:rPr>
        <w:t>Če</w:t>
      </w:r>
      <w:r w:rsidRPr="001048FE">
        <w:rPr>
          <w:spacing w:val="-9"/>
          <w:lang w:val="sl-SI"/>
        </w:rPr>
        <w:t xml:space="preserve"> </w:t>
      </w:r>
      <w:r w:rsidRPr="001048FE">
        <w:rPr>
          <w:lang w:val="sl-SI"/>
        </w:rPr>
        <w:t>se</w:t>
      </w:r>
      <w:r w:rsidRPr="001048FE">
        <w:rPr>
          <w:spacing w:val="-9"/>
          <w:lang w:val="sl-SI"/>
        </w:rPr>
        <w:t xml:space="preserve"> </w:t>
      </w:r>
      <w:r w:rsidRPr="001048FE">
        <w:rPr>
          <w:lang w:val="sl-SI"/>
        </w:rPr>
        <w:t>prag</w:t>
      </w:r>
      <w:r w:rsidRPr="001048FE">
        <w:rPr>
          <w:spacing w:val="-9"/>
          <w:lang w:val="sl-SI"/>
        </w:rPr>
        <w:t xml:space="preserve"> </w:t>
      </w:r>
      <w:r w:rsidRPr="001048FE">
        <w:rPr>
          <w:lang w:val="sl-SI"/>
        </w:rPr>
        <w:t>25</w:t>
      </w:r>
      <w:r w:rsidRPr="001048FE">
        <w:rPr>
          <w:spacing w:val="-9"/>
          <w:lang w:val="sl-SI"/>
        </w:rPr>
        <w:t xml:space="preserve"> </w:t>
      </w:r>
      <w:r w:rsidRPr="001048FE">
        <w:rPr>
          <w:lang w:val="sl-SI"/>
        </w:rPr>
        <w:t>000</w:t>
      </w:r>
      <w:r w:rsidRPr="001048FE">
        <w:rPr>
          <w:spacing w:val="-9"/>
          <w:lang w:val="sl-SI"/>
        </w:rPr>
        <w:t xml:space="preserve"> </w:t>
      </w:r>
      <w:r w:rsidRPr="001048FE">
        <w:rPr>
          <w:lang w:val="sl-SI"/>
        </w:rPr>
        <w:t>EUR</w:t>
      </w:r>
      <w:r w:rsidRPr="001048FE">
        <w:rPr>
          <w:spacing w:val="-9"/>
          <w:lang w:val="sl-SI"/>
        </w:rPr>
        <w:t xml:space="preserve"> </w:t>
      </w:r>
      <w:r w:rsidRPr="001048FE">
        <w:rPr>
          <w:lang w:val="sl-SI"/>
        </w:rPr>
        <w:t>preseže,</w:t>
      </w:r>
      <w:r w:rsidRPr="001048FE">
        <w:rPr>
          <w:spacing w:val="-9"/>
          <w:lang w:val="sl-SI"/>
        </w:rPr>
        <w:t xml:space="preserve"> </w:t>
      </w:r>
      <w:r w:rsidRPr="001048FE">
        <w:rPr>
          <w:lang w:val="sl-SI"/>
        </w:rPr>
        <w:t>je</w:t>
      </w:r>
      <w:r w:rsidRPr="001048FE">
        <w:rPr>
          <w:spacing w:val="-9"/>
          <w:lang w:val="sl-SI"/>
        </w:rPr>
        <w:t xml:space="preserve"> </w:t>
      </w:r>
      <w:r w:rsidRPr="001048FE">
        <w:rPr>
          <w:lang w:val="sl-SI"/>
        </w:rPr>
        <w:t>treba</w:t>
      </w:r>
      <w:r w:rsidRPr="001048FE">
        <w:rPr>
          <w:spacing w:val="-9"/>
          <w:lang w:val="sl-SI"/>
        </w:rPr>
        <w:t xml:space="preserve"> </w:t>
      </w:r>
      <w:r w:rsidRPr="001048FE">
        <w:rPr>
          <w:lang w:val="sl-SI"/>
        </w:rPr>
        <w:t>priložiti</w:t>
      </w:r>
      <w:r w:rsidRPr="001048FE">
        <w:rPr>
          <w:spacing w:val="-9"/>
          <w:lang w:val="sl-SI"/>
        </w:rPr>
        <w:t xml:space="preserve"> </w:t>
      </w:r>
      <w:r w:rsidRPr="001048FE">
        <w:rPr>
          <w:lang w:val="sl-SI"/>
        </w:rPr>
        <w:t>dokumentacijo</w:t>
      </w:r>
      <w:r w:rsidRPr="001048FE">
        <w:rPr>
          <w:spacing w:val="-9"/>
          <w:lang w:val="sl-SI"/>
        </w:rPr>
        <w:t xml:space="preserve"> </w:t>
      </w:r>
      <w:r w:rsidRPr="001048FE">
        <w:rPr>
          <w:lang w:val="sl-SI"/>
        </w:rPr>
        <w:t>o</w:t>
      </w:r>
      <w:r w:rsidRPr="001048FE">
        <w:rPr>
          <w:spacing w:val="-8"/>
          <w:lang w:val="sl-SI"/>
        </w:rPr>
        <w:t xml:space="preserve"> </w:t>
      </w:r>
      <w:r w:rsidRPr="001048FE">
        <w:rPr>
          <w:lang w:val="sl-SI"/>
        </w:rPr>
        <w:t>razpisnih</w:t>
      </w:r>
      <w:r w:rsidRPr="001048FE">
        <w:rPr>
          <w:spacing w:val="-9"/>
          <w:lang w:val="sl-SI"/>
        </w:rPr>
        <w:t xml:space="preserve"> </w:t>
      </w:r>
      <w:r w:rsidRPr="001048FE">
        <w:rPr>
          <w:lang w:val="sl-SI"/>
        </w:rPr>
        <w:t>postopkih.</w:t>
      </w:r>
      <w:r w:rsidRPr="001048FE">
        <w:rPr>
          <w:spacing w:val="-9"/>
          <w:lang w:val="sl-SI"/>
        </w:rPr>
        <w:t xml:space="preserve"> </w:t>
      </w:r>
      <w:r w:rsidRPr="001048FE">
        <w:rPr>
          <w:lang w:val="sl-SI"/>
        </w:rPr>
        <w:t>V</w:t>
      </w:r>
      <w:r w:rsidRPr="001048FE">
        <w:rPr>
          <w:spacing w:val="-9"/>
          <w:lang w:val="sl-SI"/>
        </w:rPr>
        <w:t xml:space="preserve"> </w:t>
      </w:r>
      <w:r w:rsidRPr="001048FE">
        <w:rPr>
          <w:lang w:val="sl-SI"/>
        </w:rPr>
        <w:t>takih primerih upravičenci ne smejo razdeliti nakupa opreme v manjša naročila z nižjimi posameznimi</w:t>
      </w:r>
      <w:r w:rsidRPr="001048FE">
        <w:rPr>
          <w:spacing w:val="-3"/>
          <w:lang w:val="sl-SI"/>
        </w:rPr>
        <w:t xml:space="preserve"> </w:t>
      </w:r>
      <w:r w:rsidRPr="001048FE">
        <w:rPr>
          <w:lang w:val="sl-SI"/>
        </w:rPr>
        <w:t>zneski.</w:t>
      </w:r>
    </w:p>
    <w:p w14:paraId="7D39AAF6" w14:textId="77777777" w:rsidR="001809E5" w:rsidRPr="001048FE" w:rsidRDefault="001809E5" w:rsidP="00AD159A">
      <w:pPr>
        <w:pStyle w:val="GUIDE-NORMAL"/>
        <w:rPr>
          <w:lang w:val="sl-SI"/>
        </w:rPr>
      </w:pPr>
      <w:r w:rsidRPr="001048FE">
        <w:rPr>
          <w:lang w:val="sl-SI"/>
        </w:rPr>
        <w:t>V fazi računovodskega poročanja Izvajalska agencija zabeleži stroške na podlagi računovodskih izkazov (seznami stroškov), ki jih je poslal koordinator (glej Prilogo k sporazumu o povratnih sredstvih – „končno poročilo“). Osebje Izvajalske agencije te sezname temeljito prouči, da preveri upravičenost stroškov. V primeru dvomov v zvezi z določeno točko lahko Agencija zahteva, da se predložijo vsa</w:t>
      </w:r>
      <w:r w:rsidRPr="001048FE">
        <w:rPr>
          <w:spacing w:val="2"/>
          <w:lang w:val="sl-SI"/>
        </w:rPr>
        <w:t xml:space="preserve"> </w:t>
      </w:r>
      <w:r w:rsidRPr="001048FE">
        <w:rPr>
          <w:lang w:val="sl-SI"/>
        </w:rPr>
        <w:t>dokazila.</w:t>
      </w:r>
    </w:p>
    <w:p w14:paraId="7D39AAF7" w14:textId="77777777" w:rsidR="001809E5" w:rsidRPr="001048FE" w:rsidRDefault="001809E5" w:rsidP="00AD159A">
      <w:pPr>
        <w:pStyle w:val="GUIDE-NORMAL"/>
        <w:rPr>
          <w:lang w:val="sl-SI"/>
        </w:rPr>
      </w:pPr>
      <w:r w:rsidRPr="001048FE">
        <w:rPr>
          <w:lang w:val="sl-SI"/>
        </w:rPr>
        <w:t>Če</w:t>
      </w:r>
      <w:r w:rsidRPr="001048FE">
        <w:rPr>
          <w:spacing w:val="-20"/>
          <w:lang w:val="sl-SI"/>
        </w:rPr>
        <w:t xml:space="preserve"> </w:t>
      </w:r>
      <w:r w:rsidRPr="001048FE">
        <w:rPr>
          <w:lang w:val="sl-SI"/>
        </w:rPr>
        <w:t>pa</w:t>
      </w:r>
      <w:r w:rsidRPr="001048FE">
        <w:rPr>
          <w:spacing w:val="-20"/>
          <w:lang w:val="sl-SI"/>
        </w:rPr>
        <w:t xml:space="preserve"> </w:t>
      </w:r>
      <w:r w:rsidRPr="001048FE">
        <w:rPr>
          <w:lang w:val="sl-SI"/>
        </w:rPr>
        <w:t>skupna</w:t>
      </w:r>
      <w:r w:rsidRPr="001048FE">
        <w:rPr>
          <w:spacing w:val="-20"/>
          <w:lang w:val="sl-SI"/>
        </w:rPr>
        <w:t xml:space="preserve"> </w:t>
      </w:r>
      <w:r w:rsidRPr="001048FE">
        <w:rPr>
          <w:lang w:val="sl-SI"/>
        </w:rPr>
        <w:t>vsota</w:t>
      </w:r>
      <w:r w:rsidRPr="001048FE">
        <w:rPr>
          <w:spacing w:val="-20"/>
          <w:lang w:val="sl-SI"/>
        </w:rPr>
        <w:t xml:space="preserve"> </w:t>
      </w:r>
      <w:r w:rsidRPr="001048FE">
        <w:rPr>
          <w:lang w:val="sl-SI"/>
        </w:rPr>
        <w:t>računa</w:t>
      </w:r>
      <w:r w:rsidRPr="001048FE">
        <w:rPr>
          <w:spacing w:val="-20"/>
          <w:lang w:val="sl-SI"/>
        </w:rPr>
        <w:t xml:space="preserve"> </w:t>
      </w:r>
      <w:r w:rsidRPr="001048FE">
        <w:rPr>
          <w:lang w:val="sl-SI"/>
        </w:rPr>
        <w:t>znaša</w:t>
      </w:r>
      <w:r w:rsidRPr="001048FE">
        <w:rPr>
          <w:spacing w:val="-20"/>
          <w:lang w:val="sl-SI"/>
        </w:rPr>
        <w:t xml:space="preserve"> </w:t>
      </w:r>
      <w:r w:rsidRPr="001048FE">
        <w:rPr>
          <w:lang w:val="sl-SI"/>
        </w:rPr>
        <w:t>več</w:t>
      </w:r>
      <w:r w:rsidRPr="001048FE">
        <w:rPr>
          <w:spacing w:val="-20"/>
          <w:lang w:val="sl-SI"/>
        </w:rPr>
        <w:t xml:space="preserve"> </w:t>
      </w:r>
      <w:r w:rsidRPr="001048FE">
        <w:rPr>
          <w:lang w:val="sl-SI"/>
        </w:rPr>
        <w:t>kot</w:t>
      </w:r>
      <w:r w:rsidRPr="001048FE">
        <w:rPr>
          <w:spacing w:val="-20"/>
          <w:lang w:val="sl-SI"/>
        </w:rPr>
        <w:t xml:space="preserve"> </w:t>
      </w:r>
      <w:r w:rsidRPr="001048FE">
        <w:rPr>
          <w:lang w:val="sl-SI"/>
        </w:rPr>
        <w:t>25</w:t>
      </w:r>
      <w:r w:rsidRPr="001048FE">
        <w:rPr>
          <w:spacing w:val="-20"/>
          <w:lang w:val="sl-SI"/>
        </w:rPr>
        <w:t xml:space="preserve"> </w:t>
      </w:r>
      <w:r w:rsidRPr="001048FE">
        <w:rPr>
          <w:lang w:val="sl-SI"/>
        </w:rPr>
        <w:t>000</w:t>
      </w:r>
      <w:r w:rsidRPr="001048FE">
        <w:rPr>
          <w:spacing w:val="-20"/>
          <w:lang w:val="sl-SI"/>
        </w:rPr>
        <w:t xml:space="preserve"> </w:t>
      </w:r>
      <w:r w:rsidRPr="001048FE">
        <w:rPr>
          <w:lang w:val="sl-SI"/>
        </w:rPr>
        <w:t>EUR,</w:t>
      </w:r>
      <w:r w:rsidRPr="001048FE">
        <w:rPr>
          <w:spacing w:val="-20"/>
          <w:lang w:val="sl-SI"/>
        </w:rPr>
        <w:t xml:space="preserve"> </w:t>
      </w:r>
      <w:r w:rsidRPr="001048FE">
        <w:rPr>
          <w:lang w:val="sl-SI"/>
        </w:rPr>
        <w:t>se</w:t>
      </w:r>
      <w:r w:rsidRPr="001048FE">
        <w:rPr>
          <w:spacing w:val="-20"/>
          <w:lang w:val="sl-SI"/>
        </w:rPr>
        <w:t xml:space="preserve"> </w:t>
      </w:r>
      <w:r w:rsidRPr="001048FE">
        <w:rPr>
          <w:lang w:val="sl-SI"/>
        </w:rPr>
        <w:t>kot</w:t>
      </w:r>
      <w:r w:rsidRPr="001048FE">
        <w:rPr>
          <w:spacing w:val="-20"/>
          <w:lang w:val="sl-SI"/>
        </w:rPr>
        <w:t xml:space="preserve"> </w:t>
      </w:r>
      <w:r w:rsidRPr="001048FE">
        <w:rPr>
          <w:lang w:val="sl-SI"/>
        </w:rPr>
        <w:t>dokazila</w:t>
      </w:r>
      <w:r w:rsidRPr="001048FE">
        <w:rPr>
          <w:spacing w:val="-20"/>
          <w:lang w:val="sl-SI"/>
        </w:rPr>
        <w:t xml:space="preserve"> </w:t>
      </w:r>
      <w:r w:rsidRPr="001048FE">
        <w:rPr>
          <w:lang w:val="sl-SI"/>
        </w:rPr>
        <w:t>skupaj</w:t>
      </w:r>
      <w:r w:rsidRPr="001048FE">
        <w:rPr>
          <w:spacing w:val="-20"/>
          <w:lang w:val="sl-SI"/>
        </w:rPr>
        <w:t xml:space="preserve"> </w:t>
      </w:r>
      <w:r w:rsidRPr="001048FE">
        <w:rPr>
          <w:lang w:val="sl-SI"/>
        </w:rPr>
        <w:t>z</w:t>
      </w:r>
      <w:r w:rsidRPr="001048FE">
        <w:rPr>
          <w:spacing w:val="-20"/>
          <w:lang w:val="sl-SI"/>
        </w:rPr>
        <w:t xml:space="preserve"> </w:t>
      </w:r>
      <w:r w:rsidRPr="001048FE">
        <w:rPr>
          <w:lang w:val="sl-SI"/>
        </w:rPr>
        <w:t>računovodskimi</w:t>
      </w:r>
      <w:r w:rsidRPr="001048FE">
        <w:rPr>
          <w:spacing w:val="-20"/>
          <w:lang w:val="sl-SI"/>
        </w:rPr>
        <w:t xml:space="preserve"> </w:t>
      </w:r>
      <w:r w:rsidRPr="001048FE">
        <w:rPr>
          <w:lang w:val="sl-SI"/>
        </w:rPr>
        <w:t>izkazi pošljejo izvodi (ne izvirniki) računa in primerljive ponudbe. V tej fazi upravičeni stroški opreme ne smejo presegati 110 % celotnega zneska, predvidenega za opremo v sporazumu o nepovratnih sredstvih ali njegovih</w:t>
      </w:r>
      <w:r w:rsidRPr="001048FE">
        <w:rPr>
          <w:spacing w:val="-8"/>
          <w:lang w:val="sl-SI"/>
        </w:rPr>
        <w:t xml:space="preserve"> </w:t>
      </w:r>
      <w:r w:rsidRPr="001048FE">
        <w:rPr>
          <w:lang w:val="sl-SI"/>
        </w:rPr>
        <w:t>spremembah.</w:t>
      </w:r>
    </w:p>
    <w:p w14:paraId="7D39AAF8" w14:textId="77777777" w:rsidR="001809E5" w:rsidRPr="001048FE" w:rsidRDefault="001809E5" w:rsidP="00AD159A">
      <w:pPr>
        <w:pStyle w:val="Guide-Heading4"/>
        <w:rPr>
          <w:lang w:val="sl-SI"/>
        </w:rPr>
      </w:pPr>
      <w:bookmarkStart w:id="747" w:name="_Toc527401375"/>
      <w:r w:rsidRPr="001048FE">
        <w:rPr>
          <w:lang w:val="sl-SI"/>
        </w:rPr>
        <w:t>Sklepanje pogodb s podizvajalci</w:t>
      </w:r>
      <w:bookmarkEnd w:id="747"/>
    </w:p>
    <w:p w14:paraId="7D39AAF9" w14:textId="77777777" w:rsidR="001809E5" w:rsidRPr="001048FE" w:rsidRDefault="001809E5" w:rsidP="00AD159A">
      <w:pPr>
        <w:pStyle w:val="GUIDE-NORMAL"/>
        <w:rPr>
          <w:lang w:val="sl-SI"/>
        </w:rPr>
      </w:pPr>
      <w:r w:rsidRPr="001048FE">
        <w:rPr>
          <w:lang w:val="sl-SI"/>
        </w:rPr>
        <w:t>Za namene kakršne koli finančne ocene in/ali revizije morajo biti upravičenci sposobni utemeljiti/dokazati naslednje:</w:t>
      </w:r>
    </w:p>
    <w:p w14:paraId="7D39AAFA" w14:textId="77777777" w:rsidR="001809E5" w:rsidRPr="001048FE" w:rsidRDefault="001809E5" w:rsidP="005115F2">
      <w:pPr>
        <w:pStyle w:val="Guide-NormalBulletpoints"/>
        <w:numPr>
          <w:ilvl w:val="0"/>
          <w:numId w:val="467"/>
        </w:numPr>
        <w:rPr>
          <w:lang w:val="sl-SI"/>
        </w:rPr>
      </w:pPr>
      <w:r w:rsidRPr="001048FE">
        <w:rPr>
          <w:lang w:val="sl-SI"/>
        </w:rPr>
        <w:t>obstoj formalne pogodbe;</w:t>
      </w:r>
    </w:p>
    <w:p w14:paraId="7D39AAFB" w14:textId="77777777" w:rsidR="001809E5" w:rsidRPr="001048FE" w:rsidRDefault="001809E5" w:rsidP="005115F2">
      <w:pPr>
        <w:pStyle w:val="Guide-NormalBulletpoints"/>
        <w:numPr>
          <w:ilvl w:val="0"/>
          <w:numId w:val="467"/>
        </w:numPr>
        <w:rPr>
          <w:lang w:val="sl-SI"/>
        </w:rPr>
      </w:pPr>
      <w:r w:rsidRPr="001048FE">
        <w:rPr>
          <w:lang w:val="sl-SI"/>
        </w:rPr>
        <w:t>prijavljene</w:t>
      </w:r>
      <w:r w:rsidRPr="001048FE">
        <w:rPr>
          <w:spacing w:val="-12"/>
          <w:lang w:val="sl-SI"/>
        </w:rPr>
        <w:t xml:space="preserve"> </w:t>
      </w:r>
      <w:r w:rsidRPr="001048FE">
        <w:rPr>
          <w:lang w:val="sl-SI"/>
        </w:rPr>
        <w:t>stroške</w:t>
      </w:r>
      <w:r w:rsidRPr="001048FE">
        <w:rPr>
          <w:spacing w:val="-12"/>
          <w:lang w:val="sl-SI"/>
        </w:rPr>
        <w:t xml:space="preserve"> </w:t>
      </w:r>
      <w:r w:rsidRPr="001048FE">
        <w:rPr>
          <w:lang w:val="sl-SI"/>
        </w:rPr>
        <w:t>je</w:t>
      </w:r>
      <w:r w:rsidRPr="001048FE">
        <w:rPr>
          <w:spacing w:val="-12"/>
          <w:lang w:val="sl-SI"/>
        </w:rPr>
        <w:t xml:space="preserve"> </w:t>
      </w:r>
      <w:r w:rsidRPr="001048FE">
        <w:rPr>
          <w:lang w:val="sl-SI"/>
        </w:rPr>
        <w:t>mogoče</w:t>
      </w:r>
      <w:r w:rsidRPr="001048FE">
        <w:rPr>
          <w:spacing w:val="-12"/>
          <w:lang w:val="sl-SI"/>
        </w:rPr>
        <w:t xml:space="preserve"> </w:t>
      </w:r>
      <w:r w:rsidRPr="001048FE">
        <w:rPr>
          <w:lang w:val="sl-SI"/>
        </w:rPr>
        <w:t>opredeliti</w:t>
      </w:r>
      <w:r w:rsidRPr="001048FE">
        <w:rPr>
          <w:spacing w:val="-11"/>
          <w:lang w:val="sl-SI"/>
        </w:rPr>
        <w:t xml:space="preserve"> </w:t>
      </w:r>
      <w:r w:rsidRPr="001048FE">
        <w:rPr>
          <w:lang w:val="sl-SI"/>
        </w:rPr>
        <w:t>in</w:t>
      </w:r>
      <w:r w:rsidRPr="001048FE">
        <w:rPr>
          <w:spacing w:val="-12"/>
          <w:lang w:val="sl-SI"/>
        </w:rPr>
        <w:t xml:space="preserve"> </w:t>
      </w:r>
      <w:r w:rsidRPr="001048FE">
        <w:rPr>
          <w:lang w:val="sl-SI"/>
        </w:rPr>
        <w:t>preveriti,</w:t>
      </w:r>
      <w:r w:rsidRPr="001048FE">
        <w:rPr>
          <w:spacing w:val="-12"/>
          <w:lang w:val="sl-SI"/>
        </w:rPr>
        <w:t xml:space="preserve"> </w:t>
      </w:r>
      <w:r w:rsidRPr="001048FE">
        <w:rPr>
          <w:lang w:val="sl-SI"/>
        </w:rPr>
        <w:t>zlasti</w:t>
      </w:r>
      <w:r w:rsidRPr="001048FE">
        <w:rPr>
          <w:spacing w:val="-12"/>
          <w:lang w:val="sl-SI"/>
        </w:rPr>
        <w:t xml:space="preserve"> </w:t>
      </w:r>
      <w:r w:rsidRPr="001048FE">
        <w:rPr>
          <w:lang w:val="sl-SI"/>
        </w:rPr>
        <w:t>če</w:t>
      </w:r>
      <w:r w:rsidRPr="001048FE">
        <w:rPr>
          <w:spacing w:val="-12"/>
          <w:lang w:val="sl-SI"/>
        </w:rPr>
        <w:t xml:space="preserve"> </w:t>
      </w:r>
      <w:r w:rsidRPr="001048FE">
        <w:rPr>
          <w:lang w:val="sl-SI"/>
        </w:rPr>
        <w:t>so</w:t>
      </w:r>
      <w:r w:rsidRPr="001048FE">
        <w:rPr>
          <w:spacing w:val="-12"/>
          <w:lang w:val="sl-SI"/>
        </w:rPr>
        <w:t xml:space="preserve"> </w:t>
      </w:r>
      <w:r w:rsidRPr="001048FE">
        <w:rPr>
          <w:lang w:val="sl-SI"/>
        </w:rPr>
        <w:t>zabeleženi</w:t>
      </w:r>
      <w:r w:rsidRPr="001048FE">
        <w:rPr>
          <w:spacing w:val="-12"/>
          <w:lang w:val="sl-SI"/>
        </w:rPr>
        <w:t xml:space="preserve"> </w:t>
      </w:r>
      <w:r w:rsidRPr="001048FE">
        <w:rPr>
          <w:lang w:val="sl-SI"/>
        </w:rPr>
        <w:t>v</w:t>
      </w:r>
      <w:r w:rsidRPr="001048FE">
        <w:rPr>
          <w:spacing w:val="-12"/>
          <w:lang w:val="sl-SI"/>
        </w:rPr>
        <w:t xml:space="preserve"> </w:t>
      </w:r>
      <w:r w:rsidRPr="001048FE">
        <w:rPr>
          <w:lang w:val="sl-SI"/>
        </w:rPr>
        <w:t>računovodskem sistemu</w:t>
      </w:r>
      <w:r w:rsidRPr="001048FE">
        <w:rPr>
          <w:spacing w:val="-3"/>
          <w:lang w:val="sl-SI"/>
        </w:rPr>
        <w:t xml:space="preserve"> </w:t>
      </w:r>
      <w:r w:rsidRPr="001048FE">
        <w:rPr>
          <w:lang w:val="sl-SI"/>
        </w:rPr>
        <w:t>upravičenca.</w:t>
      </w:r>
    </w:p>
    <w:p w14:paraId="7D39AAFC" w14:textId="77777777" w:rsidR="001809E5" w:rsidRPr="001048FE" w:rsidRDefault="001809E5" w:rsidP="00AD159A">
      <w:pPr>
        <w:pStyle w:val="GUIDE-NORMAL"/>
        <w:rPr>
          <w:lang w:val="sl-SI"/>
        </w:rPr>
      </w:pPr>
      <w:r w:rsidRPr="001048FE">
        <w:rPr>
          <w:lang w:val="sl-SI"/>
        </w:rPr>
        <w:t>Dokazila ne smejo biti priložena računovodskim izkazom. Priložiti jih je treba računovodskim izkazom projekta:</w:t>
      </w:r>
    </w:p>
    <w:p w14:paraId="7D39AAFD" w14:textId="77777777" w:rsidR="001809E5" w:rsidRPr="001048FE" w:rsidRDefault="001809E5" w:rsidP="005115F2">
      <w:pPr>
        <w:pStyle w:val="Guide-NormalBulletpoints"/>
        <w:numPr>
          <w:ilvl w:val="0"/>
          <w:numId w:val="468"/>
        </w:numPr>
        <w:rPr>
          <w:lang w:val="sl-SI"/>
        </w:rPr>
      </w:pPr>
      <w:r w:rsidRPr="001048FE">
        <w:rPr>
          <w:lang w:val="sl-SI"/>
        </w:rPr>
        <w:t>računi, pogodbe o podizvajanju in bančni izpiski;</w:t>
      </w:r>
    </w:p>
    <w:p w14:paraId="7D39AAFE" w14:textId="77777777" w:rsidR="001809E5" w:rsidRPr="001048FE" w:rsidRDefault="001809E5" w:rsidP="005115F2">
      <w:pPr>
        <w:pStyle w:val="Guide-NormalBulletpoints"/>
        <w:numPr>
          <w:ilvl w:val="0"/>
          <w:numId w:val="468"/>
        </w:numPr>
        <w:rPr>
          <w:lang w:val="sl-SI"/>
        </w:rPr>
      </w:pPr>
      <w:r w:rsidRPr="001048FE">
        <w:rPr>
          <w:lang w:val="sl-SI"/>
        </w:rPr>
        <w:t>če potuje podizvajalec, je treba predložiti poročila o posameznih poteh (Priloga), skupaj z vsemi izvodi vozovnic, letalskih kart, računov in potrdil, pri potovanju z avtom pa izvod notranjih predpisov o povračilu stroškov prevoza na km. Namen dokazil je dokazati dejanske stroške poti in da je bila pot dejansko</w:t>
      </w:r>
      <w:r w:rsidRPr="001048FE">
        <w:rPr>
          <w:spacing w:val="21"/>
          <w:lang w:val="sl-SI"/>
        </w:rPr>
        <w:t xml:space="preserve"> </w:t>
      </w:r>
      <w:r w:rsidRPr="001048FE">
        <w:rPr>
          <w:lang w:val="sl-SI"/>
        </w:rPr>
        <w:t>izvedena.</w:t>
      </w:r>
    </w:p>
    <w:p w14:paraId="7D39AAFF" w14:textId="77777777" w:rsidR="001809E5" w:rsidRPr="001048FE" w:rsidRDefault="001809E5" w:rsidP="005115F2">
      <w:pPr>
        <w:pStyle w:val="Guide-NormalBulletpoints"/>
        <w:numPr>
          <w:ilvl w:val="0"/>
          <w:numId w:val="468"/>
        </w:numPr>
        <w:rPr>
          <w:lang w:val="sl-SI"/>
        </w:rPr>
      </w:pPr>
      <w:r w:rsidRPr="001048FE">
        <w:rPr>
          <w:lang w:val="sl-SI"/>
        </w:rPr>
        <w:t>Če</w:t>
      </w:r>
      <w:r w:rsidRPr="001048FE">
        <w:rPr>
          <w:spacing w:val="-9"/>
          <w:lang w:val="sl-SI"/>
        </w:rPr>
        <w:t xml:space="preserve"> </w:t>
      </w:r>
      <w:r w:rsidRPr="001048FE">
        <w:rPr>
          <w:lang w:val="sl-SI"/>
        </w:rPr>
        <w:t>se</w:t>
      </w:r>
      <w:r w:rsidRPr="001048FE">
        <w:rPr>
          <w:spacing w:val="-9"/>
          <w:lang w:val="sl-SI"/>
        </w:rPr>
        <w:t xml:space="preserve"> </w:t>
      </w:r>
      <w:r w:rsidRPr="001048FE">
        <w:rPr>
          <w:lang w:val="sl-SI"/>
        </w:rPr>
        <w:t>prag</w:t>
      </w:r>
      <w:r w:rsidRPr="001048FE">
        <w:rPr>
          <w:spacing w:val="-9"/>
          <w:lang w:val="sl-SI"/>
        </w:rPr>
        <w:t xml:space="preserve"> </w:t>
      </w:r>
      <w:r w:rsidRPr="001048FE">
        <w:rPr>
          <w:lang w:val="sl-SI"/>
        </w:rPr>
        <w:t>25</w:t>
      </w:r>
      <w:r w:rsidRPr="001048FE">
        <w:rPr>
          <w:spacing w:val="-9"/>
          <w:lang w:val="sl-SI"/>
        </w:rPr>
        <w:t xml:space="preserve"> </w:t>
      </w:r>
      <w:r w:rsidRPr="001048FE">
        <w:rPr>
          <w:lang w:val="sl-SI"/>
        </w:rPr>
        <w:t>000</w:t>
      </w:r>
      <w:r w:rsidRPr="001048FE">
        <w:rPr>
          <w:spacing w:val="-9"/>
          <w:lang w:val="sl-SI"/>
        </w:rPr>
        <w:t xml:space="preserve"> </w:t>
      </w:r>
      <w:r w:rsidRPr="001048FE">
        <w:rPr>
          <w:lang w:val="sl-SI"/>
        </w:rPr>
        <w:t>EUR</w:t>
      </w:r>
      <w:r w:rsidRPr="001048FE">
        <w:rPr>
          <w:spacing w:val="-9"/>
          <w:lang w:val="sl-SI"/>
        </w:rPr>
        <w:t xml:space="preserve"> </w:t>
      </w:r>
      <w:r w:rsidRPr="001048FE">
        <w:rPr>
          <w:lang w:val="sl-SI"/>
        </w:rPr>
        <w:t>preseže,</w:t>
      </w:r>
      <w:r w:rsidRPr="001048FE">
        <w:rPr>
          <w:spacing w:val="-9"/>
          <w:lang w:val="sl-SI"/>
        </w:rPr>
        <w:t xml:space="preserve"> </w:t>
      </w:r>
      <w:r w:rsidRPr="001048FE">
        <w:rPr>
          <w:lang w:val="sl-SI"/>
        </w:rPr>
        <w:t>je</w:t>
      </w:r>
      <w:r w:rsidRPr="001048FE">
        <w:rPr>
          <w:spacing w:val="-9"/>
          <w:lang w:val="sl-SI"/>
        </w:rPr>
        <w:t xml:space="preserve"> </w:t>
      </w:r>
      <w:r w:rsidRPr="001048FE">
        <w:rPr>
          <w:lang w:val="sl-SI"/>
        </w:rPr>
        <w:t>treba</w:t>
      </w:r>
      <w:r w:rsidRPr="001048FE">
        <w:rPr>
          <w:spacing w:val="-9"/>
          <w:lang w:val="sl-SI"/>
        </w:rPr>
        <w:t xml:space="preserve"> </w:t>
      </w:r>
      <w:r w:rsidRPr="001048FE">
        <w:rPr>
          <w:lang w:val="sl-SI"/>
        </w:rPr>
        <w:t>priložiti</w:t>
      </w:r>
      <w:r w:rsidRPr="001048FE">
        <w:rPr>
          <w:spacing w:val="-9"/>
          <w:lang w:val="sl-SI"/>
        </w:rPr>
        <w:t xml:space="preserve"> </w:t>
      </w:r>
      <w:r w:rsidRPr="001048FE">
        <w:rPr>
          <w:lang w:val="sl-SI"/>
        </w:rPr>
        <w:t>dokumentacijo</w:t>
      </w:r>
      <w:r w:rsidRPr="001048FE">
        <w:rPr>
          <w:spacing w:val="-9"/>
          <w:lang w:val="sl-SI"/>
        </w:rPr>
        <w:t xml:space="preserve"> </w:t>
      </w:r>
      <w:r w:rsidRPr="001048FE">
        <w:rPr>
          <w:lang w:val="sl-SI"/>
        </w:rPr>
        <w:t>o</w:t>
      </w:r>
      <w:r w:rsidRPr="001048FE">
        <w:rPr>
          <w:spacing w:val="-8"/>
          <w:lang w:val="sl-SI"/>
        </w:rPr>
        <w:t xml:space="preserve"> </w:t>
      </w:r>
      <w:r w:rsidRPr="001048FE">
        <w:rPr>
          <w:lang w:val="sl-SI"/>
        </w:rPr>
        <w:t>razpisnih</w:t>
      </w:r>
      <w:r w:rsidRPr="001048FE">
        <w:rPr>
          <w:spacing w:val="-9"/>
          <w:lang w:val="sl-SI"/>
        </w:rPr>
        <w:t xml:space="preserve"> </w:t>
      </w:r>
      <w:r w:rsidRPr="001048FE">
        <w:rPr>
          <w:lang w:val="sl-SI"/>
        </w:rPr>
        <w:t>postopkih.</w:t>
      </w:r>
      <w:r w:rsidRPr="001048FE">
        <w:rPr>
          <w:spacing w:val="-9"/>
          <w:lang w:val="sl-SI"/>
        </w:rPr>
        <w:t xml:space="preserve"> </w:t>
      </w:r>
      <w:r w:rsidRPr="001048FE">
        <w:rPr>
          <w:lang w:val="sl-SI"/>
        </w:rPr>
        <w:t>V</w:t>
      </w:r>
      <w:r w:rsidRPr="001048FE">
        <w:rPr>
          <w:spacing w:val="-9"/>
          <w:lang w:val="sl-SI"/>
        </w:rPr>
        <w:t xml:space="preserve"> </w:t>
      </w:r>
      <w:r w:rsidRPr="001048FE">
        <w:rPr>
          <w:lang w:val="sl-SI"/>
        </w:rPr>
        <w:t>takih primerih upravičenci ne smejo razdeliti nakupa opreme v manjša naročila z nižjimi posameznimi</w:t>
      </w:r>
      <w:r w:rsidRPr="001048FE">
        <w:rPr>
          <w:spacing w:val="-3"/>
          <w:lang w:val="sl-SI"/>
        </w:rPr>
        <w:t xml:space="preserve"> </w:t>
      </w:r>
      <w:r w:rsidRPr="001048FE">
        <w:rPr>
          <w:lang w:val="sl-SI"/>
        </w:rPr>
        <w:t>zneski.</w:t>
      </w:r>
    </w:p>
    <w:p w14:paraId="7D39AB00" w14:textId="77777777" w:rsidR="001809E5" w:rsidRPr="001048FE" w:rsidRDefault="001809E5" w:rsidP="00AD159A">
      <w:pPr>
        <w:pStyle w:val="GUIDE-NORMAL"/>
        <w:rPr>
          <w:lang w:val="sl-SI"/>
        </w:rPr>
      </w:pPr>
      <w:r w:rsidRPr="001048FE">
        <w:rPr>
          <w:lang w:val="sl-SI"/>
        </w:rPr>
        <w:t>V fazi računovodskega poročanja Izvajalska agencija zabeleži stroške na podlagi računovodskih izkazov (seznami stroškov), ki jih je poslal koordinator. Izvajalska agencija te sezname temeljito prouči, da preveri upravičenost stroškov. V primeru dvomov v zvezi z določeno točko lahko Agencija zahteva, da se predložijo vsa</w:t>
      </w:r>
      <w:r w:rsidRPr="001048FE">
        <w:rPr>
          <w:spacing w:val="6"/>
          <w:lang w:val="sl-SI"/>
        </w:rPr>
        <w:t xml:space="preserve"> </w:t>
      </w:r>
      <w:r w:rsidRPr="001048FE">
        <w:rPr>
          <w:lang w:val="sl-SI"/>
        </w:rPr>
        <w:t>dokazila.</w:t>
      </w:r>
    </w:p>
    <w:p w14:paraId="7D39AB01" w14:textId="77777777" w:rsidR="001809E5" w:rsidRPr="001048FE" w:rsidRDefault="001809E5" w:rsidP="00AD159A">
      <w:pPr>
        <w:pStyle w:val="GUIDE-NORMAL"/>
        <w:rPr>
          <w:lang w:val="sl-SI"/>
        </w:rPr>
      </w:pPr>
      <w:r w:rsidRPr="001048FE">
        <w:rPr>
          <w:lang w:val="sl-SI"/>
        </w:rPr>
        <w:t>Če</w:t>
      </w:r>
      <w:r w:rsidRPr="001048FE">
        <w:rPr>
          <w:spacing w:val="-20"/>
          <w:lang w:val="sl-SI"/>
        </w:rPr>
        <w:t xml:space="preserve"> </w:t>
      </w:r>
      <w:r w:rsidRPr="001048FE">
        <w:rPr>
          <w:lang w:val="sl-SI"/>
        </w:rPr>
        <w:t>pa</w:t>
      </w:r>
      <w:r w:rsidRPr="001048FE">
        <w:rPr>
          <w:spacing w:val="-20"/>
          <w:lang w:val="sl-SI"/>
        </w:rPr>
        <w:t xml:space="preserve"> </w:t>
      </w:r>
      <w:r w:rsidRPr="001048FE">
        <w:rPr>
          <w:lang w:val="sl-SI"/>
        </w:rPr>
        <w:t>skupna</w:t>
      </w:r>
      <w:r w:rsidRPr="001048FE">
        <w:rPr>
          <w:spacing w:val="-20"/>
          <w:lang w:val="sl-SI"/>
        </w:rPr>
        <w:t xml:space="preserve"> </w:t>
      </w:r>
      <w:r w:rsidRPr="001048FE">
        <w:rPr>
          <w:lang w:val="sl-SI"/>
        </w:rPr>
        <w:t>vrednost</w:t>
      </w:r>
      <w:r w:rsidRPr="001048FE">
        <w:rPr>
          <w:spacing w:val="-20"/>
          <w:lang w:val="sl-SI"/>
        </w:rPr>
        <w:t xml:space="preserve"> </w:t>
      </w:r>
      <w:r w:rsidRPr="001048FE">
        <w:rPr>
          <w:lang w:val="sl-SI"/>
        </w:rPr>
        <w:t>pogodbe</w:t>
      </w:r>
      <w:r w:rsidRPr="001048FE">
        <w:rPr>
          <w:spacing w:val="-20"/>
          <w:lang w:val="sl-SI"/>
        </w:rPr>
        <w:t xml:space="preserve"> </w:t>
      </w:r>
      <w:r w:rsidRPr="001048FE">
        <w:rPr>
          <w:lang w:val="sl-SI"/>
        </w:rPr>
        <w:t>o</w:t>
      </w:r>
      <w:r w:rsidRPr="001048FE">
        <w:rPr>
          <w:spacing w:val="-20"/>
          <w:lang w:val="sl-SI"/>
        </w:rPr>
        <w:t xml:space="preserve"> </w:t>
      </w:r>
      <w:r w:rsidRPr="001048FE">
        <w:rPr>
          <w:lang w:val="sl-SI"/>
        </w:rPr>
        <w:t>podizvajanju</w:t>
      </w:r>
      <w:r w:rsidRPr="001048FE">
        <w:rPr>
          <w:spacing w:val="-20"/>
          <w:lang w:val="sl-SI"/>
        </w:rPr>
        <w:t xml:space="preserve"> </w:t>
      </w:r>
      <w:r w:rsidRPr="001048FE">
        <w:rPr>
          <w:lang w:val="sl-SI"/>
        </w:rPr>
        <w:t>znaša</w:t>
      </w:r>
      <w:r w:rsidRPr="001048FE">
        <w:rPr>
          <w:spacing w:val="-20"/>
          <w:lang w:val="sl-SI"/>
        </w:rPr>
        <w:t xml:space="preserve"> </w:t>
      </w:r>
      <w:r w:rsidRPr="001048FE">
        <w:rPr>
          <w:lang w:val="sl-SI"/>
        </w:rPr>
        <w:t>več</w:t>
      </w:r>
      <w:r w:rsidRPr="001048FE">
        <w:rPr>
          <w:spacing w:val="-20"/>
          <w:lang w:val="sl-SI"/>
        </w:rPr>
        <w:t xml:space="preserve"> </w:t>
      </w:r>
      <w:r w:rsidRPr="001048FE">
        <w:rPr>
          <w:lang w:val="sl-SI"/>
        </w:rPr>
        <w:t>kot</w:t>
      </w:r>
      <w:r w:rsidRPr="001048FE">
        <w:rPr>
          <w:spacing w:val="-20"/>
          <w:lang w:val="sl-SI"/>
        </w:rPr>
        <w:t xml:space="preserve"> </w:t>
      </w:r>
      <w:r w:rsidRPr="001048FE">
        <w:rPr>
          <w:lang w:val="sl-SI"/>
        </w:rPr>
        <w:t>25</w:t>
      </w:r>
      <w:r w:rsidRPr="001048FE">
        <w:rPr>
          <w:spacing w:val="-20"/>
          <w:lang w:val="sl-SI"/>
        </w:rPr>
        <w:t xml:space="preserve"> </w:t>
      </w:r>
      <w:r w:rsidRPr="001048FE">
        <w:rPr>
          <w:lang w:val="sl-SI"/>
        </w:rPr>
        <w:t>000</w:t>
      </w:r>
      <w:r w:rsidRPr="001048FE">
        <w:rPr>
          <w:spacing w:val="-20"/>
          <w:lang w:val="sl-SI"/>
        </w:rPr>
        <w:t xml:space="preserve"> </w:t>
      </w:r>
      <w:r w:rsidRPr="001048FE">
        <w:rPr>
          <w:lang w:val="sl-SI"/>
        </w:rPr>
        <w:t>EUR,</w:t>
      </w:r>
      <w:r w:rsidRPr="001048FE">
        <w:rPr>
          <w:spacing w:val="-20"/>
          <w:lang w:val="sl-SI"/>
        </w:rPr>
        <w:t xml:space="preserve"> </w:t>
      </w:r>
      <w:r w:rsidRPr="001048FE">
        <w:rPr>
          <w:lang w:val="sl-SI"/>
        </w:rPr>
        <w:t>se</w:t>
      </w:r>
      <w:r w:rsidRPr="001048FE">
        <w:rPr>
          <w:spacing w:val="-20"/>
          <w:lang w:val="sl-SI"/>
        </w:rPr>
        <w:t xml:space="preserve"> </w:t>
      </w:r>
      <w:r w:rsidRPr="001048FE">
        <w:rPr>
          <w:lang w:val="sl-SI"/>
        </w:rPr>
        <w:t>kot</w:t>
      </w:r>
      <w:r w:rsidRPr="001048FE">
        <w:rPr>
          <w:spacing w:val="-20"/>
          <w:lang w:val="sl-SI"/>
        </w:rPr>
        <w:t xml:space="preserve"> </w:t>
      </w:r>
      <w:r w:rsidRPr="001048FE">
        <w:rPr>
          <w:lang w:val="sl-SI"/>
        </w:rPr>
        <w:t>dokazila</w:t>
      </w:r>
      <w:r w:rsidRPr="001048FE">
        <w:rPr>
          <w:spacing w:val="-20"/>
          <w:lang w:val="sl-SI"/>
        </w:rPr>
        <w:t xml:space="preserve"> </w:t>
      </w:r>
      <w:r w:rsidRPr="001048FE">
        <w:rPr>
          <w:lang w:val="sl-SI"/>
        </w:rPr>
        <w:t>skupaj</w:t>
      </w:r>
      <w:r w:rsidRPr="001048FE">
        <w:rPr>
          <w:spacing w:val="-20"/>
          <w:lang w:val="sl-SI"/>
        </w:rPr>
        <w:t xml:space="preserve"> </w:t>
      </w:r>
      <w:r w:rsidRPr="001048FE">
        <w:rPr>
          <w:lang w:val="sl-SI"/>
        </w:rPr>
        <w:t>z računovodskimi izkazi pošljejo izvodi (ne izvirniki) pogodbe o podizvajanju, račun in</w:t>
      </w:r>
      <w:r w:rsidRPr="001048FE">
        <w:rPr>
          <w:spacing w:val="-34"/>
          <w:lang w:val="sl-SI"/>
        </w:rPr>
        <w:t xml:space="preserve"> </w:t>
      </w:r>
      <w:r w:rsidRPr="001048FE">
        <w:rPr>
          <w:lang w:val="sl-SI"/>
        </w:rPr>
        <w:t>primerljive ponudbe.</w:t>
      </w:r>
      <w:r w:rsidRPr="001048FE">
        <w:rPr>
          <w:spacing w:val="-17"/>
          <w:lang w:val="sl-SI"/>
        </w:rPr>
        <w:t xml:space="preserve"> </w:t>
      </w:r>
      <w:r w:rsidRPr="001048FE">
        <w:rPr>
          <w:lang w:val="sl-SI"/>
        </w:rPr>
        <w:t>V</w:t>
      </w:r>
      <w:r w:rsidRPr="001048FE">
        <w:rPr>
          <w:spacing w:val="-17"/>
          <w:lang w:val="sl-SI"/>
        </w:rPr>
        <w:t xml:space="preserve"> </w:t>
      </w:r>
      <w:r w:rsidRPr="001048FE">
        <w:rPr>
          <w:lang w:val="sl-SI"/>
        </w:rPr>
        <w:t>tej</w:t>
      </w:r>
      <w:r w:rsidRPr="001048FE">
        <w:rPr>
          <w:spacing w:val="-17"/>
          <w:lang w:val="sl-SI"/>
        </w:rPr>
        <w:t xml:space="preserve"> </w:t>
      </w:r>
      <w:r w:rsidRPr="001048FE">
        <w:rPr>
          <w:lang w:val="sl-SI"/>
        </w:rPr>
        <w:t>fazi</w:t>
      </w:r>
      <w:r w:rsidRPr="001048FE">
        <w:rPr>
          <w:spacing w:val="-17"/>
          <w:lang w:val="sl-SI"/>
        </w:rPr>
        <w:t xml:space="preserve"> </w:t>
      </w:r>
      <w:r w:rsidRPr="001048FE">
        <w:rPr>
          <w:lang w:val="sl-SI"/>
        </w:rPr>
        <w:t>upravičeni</w:t>
      </w:r>
      <w:r w:rsidRPr="001048FE">
        <w:rPr>
          <w:spacing w:val="-17"/>
          <w:lang w:val="sl-SI"/>
        </w:rPr>
        <w:t xml:space="preserve"> </w:t>
      </w:r>
      <w:r w:rsidRPr="001048FE">
        <w:rPr>
          <w:lang w:val="sl-SI"/>
        </w:rPr>
        <w:t>stroški</w:t>
      </w:r>
      <w:r w:rsidRPr="001048FE">
        <w:rPr>
          <w:spacing w:val="-17"/>
          <w:lang w:val="sl-SI"/>
        </w:rPr>
        <w:t xml:space="preserve"> </w:t>
      </w:r>
      <w:r w:rsidRPr="001048FE">
        <w:rPr>
          <w:lang w:val="sl-SI"/>
        </w:rPr>
        <w:t>podizvajanja</w:t>
      </w:r>
      <w:r w:rsidRPr="001048FE">
        <w:rPr>
          <w:spacing w:val="-17"/>
          <w:lang w:val="sl-SI"/>
        </w:rPr>
        <w:t xml:space="preserve"> </w:t>
      </w:r>
      <w:r w:rsidRPr="001048FE">
        <w:rPr>
          <w:lang w:val="sl-SI"/>
        </w:rPr>
        <w:t>ne</w:t>
      </w:r>
      <w:r w:rsidRPr="001048FE">
        <w:rPr>
          <w:spacing w:val="-17"/>
          <w:lang w:val="sl-SI"/>
        </w:rPr>
        <w:t xml:space="preserve"> </w:t>
      </w:r>
      <w:r w:rsidRPr="001048FE">
        <w:rPr>
          <w:lang w:val="sl-SI"/>
        </w:rPr>
        <w:t>smejo</w:t>
      </w:r>
      <w:r w:rsidRPr="001048FE">
        <w:rPr>
          <w:spacing w:val="-17"/>
          <w:lang w:val="sl-SI"/>
        </w:rPr>
        <w:t xml:space="preserve"> </w:t>
      </w:r>
      <w:r w:rsidRPr="001048FE">
        <w:rPr>
          <w:lang w:val="sl-SI"/>
        </w:rPr>
        <w:t>presegati</w:t>
      </w:r>
      <w:r w:rsidRPr="001048FE">
        <w:rPr>
          <w:spacing w:val="-17"/>
          <w:lang w:val="sl-SI"/>
        </w:rPr>
        <w:t xml:space="preserve"> </w:t>
      </w:r>
      <w:r w:rsidRPr="001048FE">
        <w:rPr>
          <w:lang w:val="sl-SI"/>
        </w:rPr>
        <w:t>110</w:t>
      </w:r>
      <w:r w:rsidRPr="001048FE">
        <w:rPr>
          <w:spacing w:val="-17"/>
          <w:lang w:val="sl-SI"/>
        </w:rPr>
        <w:t xml:space="preserve"> </w:t>
      </w:r>
      <w:r w:rsidRPr="001048FE">
        <w:rPr>
          <w:lang w:val="sl-SI"/>
        </w:rPr>
        <w:t>%</w:t>
      </w:r>
      <w:r w:rsidRPr="001048FE">
        <w:rPr>
          <w:spacing w:val="-17"/>
          <w:lang w:val="sl-SI"/>
        </w:rPr>
        <w:t xml:space="preserve"> </w:t>
      </w:r>
      <w:r w:rsidRPr="001048FE">
        <w:rPr>
          <w:lang w:val="sl-SI"/>
        </w:rPr>
        <w:t>celotnega</w:t>
      </w:r>
      <w:r w:rsidRPr="001048FE">
        <w:rPr>
          <w:spacing w:val="-17"/>
          <w:lang w:val="sl-SI"/>
        </w:rPr>
        <w:t xml:space="preserve"> </w:t>
      </w:r>
      <w:r w:rsidRPr="001048FE">
        <w:rPr>
          <w:lang w:val="sl-SI"/>
        </w:rPr>
        <w:t>zneska, predvidenega za pogodbe o podizvajanju v sporazumu o nepovratnih sredstvih ali njegovih spremembah.</w:t>
      </w:r>
    </w:p>
    <w:p w14:paraId="7D39AB02" w14:textId="77777777" w:rsidR="001809E5" w:rsidRPr="001048FE" w:rsidRDefault="001809E5" w:rsidP="006207F4">
      <w:pPr>
        <w:pStyle w:val="Guide-Heading4"/>
        <w:rPr>
          <w:lang w:val="sl-SI"/>
        </w:rPr>
      </w:pPr>
      <w:bookmarkStart w:id="748" w:name="_Toc527401376"/>
      <w:r w:rsidRPr="001048FE">
        <w:rPr>
          <w:lang w:val="sl-SI"/>
        </w:rPr>
        <w:t>Končni izračun nepovratnih sredstev</w:t>
      </w:r>
      <w:bookmarkEnd w:id="748"/>
    </w:p>
    <w:p w14:paraId="7D39AB03" w14:textId="77777777" w:rsidR="001809E5" w:rsidRPr="001048FE" w:rsidRDefault="001809E5" w:rsidP="00AD159A">
      <w:pPr>
        <w:pStyle w:val="GUIDE-NORMAL"/>
        <w:rPr>
          <w:sz w:val="22"/>
          <w:lang w:val="sl-SI"/>
        </w:rPr>
      </w:pPr>
      <w:r w:rsidRPr="001048FE">
        <w:rPr>
          <w:lang w:val="sl-SI"/>
        </w:rPr>
        <w:t>V</w:t>
      </w:r>
      <w:r w:rsidRPr="001048FE">
        <w:rPr>
          <w:spacing w:val="-12"/>
          <w:lang w:val="sl-SI"/>
        </w:rPr>
        <w:t xml:space="preserve"> </w:t>
      </w:r>
      <w:r w:rsidRPr="001048FE">
        <w:rPr>
          <w:lang w:val="sl-SI"/>
        </w:rPr>
        <w:t>fazi</w:t>
      </w:r>
      <w:r w:rsidRPr="001048FE">
        <w:rPr>
          <w:spacing w:val="-12"/>
          <w:lang w:val="sl-SI"/>
        </w:rPr>
        <w:t xml:space="preserve"> </w:t>
      </w:r>
      <w:r w:rsidRPr="001048FE">
        <w:rPr>
          <w:lang w:val="sl-SI"/>
        </w:rPr>
        <w:t>poročanja</w:t>
      </w:r>
      <w:r w:rsidRPr="001048FE">
        <w:rPr>
          <w:spacing w:val="-12"/>
          <w:lang w:val="sl-SI"/>
        </w:rPr>
        <w:t xml:space="preserve"> </w:t>
      </w:r>
      <w:r w:rsidRPr="001048FE">
        <w:rPr>
          <w:lang w:val="sl-SI"/>
        </w:rPr>
        <w:t>se</w:t>
      </w:r>
      <w:r w:rsidRPr="001048FE">
        <w:rPr>
          <w:spacing w:val="-12"/>
          <w:lang w:val="sl-SI"/>
        </w:rPr>
        <w:t xml:space="preserve"> </w:t>
      </w:r>
      <w:r w:rsidRPr="001048FE">
        <w:rPr>
          <w:lang w:val="sl-SI"/>
        </w:rPr>
        <w:t>na</w:t>
      </w:r>
      <w:r w:rsidRPr="001048FE">
        <w:rPr>
          <w:spacing w:val="-12"/>
          <w:lang w:val="sl-SI"/>
        </w:rPr>
        <w:t xml:space="preserve"> </w:t>
      </w:r>
      <w:r w:rsidRPr="001048FE">
        <w:rPr>
          <w:lang w:val="sl-SI"/>
        </w:rPr>
        <w:t>koncu</w:t>
      </w:r>
      <w:r w:rsidRPr="001048FE">
        <w:rPr>
          <w:spacing w:val="-12"/>
          <w:lang w:val="sl-SI"/>
        </w:rPr>
        <w:t xml:space="preserve"> </w:t>
      </w:r>
      <w:r w:rsidRPr="001048FE">
        <w:rPr>
          <w:lang w:val="sl-SI"/>
        </w:rPr>
        <w:t>projekta</w:t>
      </w:r>
      <w:r w:rsidRPr="001048FE">
        <w:rPr>
          <w:spacing w:val="-12"/>
          <w:lang w:val="sl-SI"/>
        </w:rPr>
        <w:t xml:space="preserve"> </w:t>
      </w:r>
      <w:r w:rsidRPr="001048FE">
        <w:rPr>
          <w:lang w:val="sl-SI"/>
        </w:rPr>
        <w:t>ponovno</w:t>
      </w:r>
      <w:r w:rsidRPr="001048FE">
        <w:rPr>
          <w:spacing w:val="-12"/>
          <w:lang w:val="sl-SI"/>
        </w:rPr>
        <w:t xml:space="preserve"> </w:t>
      </w:r>
      <w:r w:rsidRPr="001048FE">
        <w:rPr>
          <w:lang w:val="sl-SI"/>
        </w:rPr>
        <w:t>v</w:t>
      </w:r>
      <w:r w:rsidRPr="001048FE">
        <w:rPr>
          <w:spacing w:val="-12"/>
          <w:lang w:val="sl-SI"/>
        </w:rPr>
        <w:t xml:space="preserve"> </w:t>
      </w:r>
      <w:r w:rsidRPr="001048FE">
        <w:rPr>
          <w:lang w:val="sl-SI"/>
        </w:rPr>
        <w:t>celoti</w:t>
      </w:r>
      <w:r w:rsidRPr="001048FE">
        <w:rPr>
          <w:spacing w:val="-12"/>
          <w:lang w:val="sl-SI"/>
        </w:rPr>
        <w:t xml:space="preserve"> </w:t>
      </w:r>
      <w:r w:rsidRPr="001048FE">
        <w:rPr>
          <w:lang w:val="sl-SI"/>
        </w:rPr>
        <w:t>izračuna</w:t>
      </w:r>
      <w:r w:rsidRPr="001048FE">
        <w:rPr>
          <w:spacing w:val="-12"/>
          <w:lang w:val="sl-SI"/>
        </w:rPr>
        <w:t xml:space="preserve"> </w:t>
      </w:r>
      <w:r w:rsidRPr="001048FE">
        <w:rPr>
          <w:lang w:val="sl-SI"/>
        </w:rPr>
        <w:t>dejanski</w:t>
      </w:r>
      <w:r w:rsidRPr="001048FE">
        <w:rPr>
          <w:spacing w:val="-12"/>
          <w:lang w:val="sl-SI"/>
        </w:rPr>
        <w:t xml:space="preserve"> </w:t>
      </w:r>
      <w:r w:rsidRPr="001048FE">
        <w:rPr>
          <w:lang w:val="sl-SI"/>
        </w:rPr>
        <w:t>prispevek</w:t>
      </w:r>
      <w:r w:rsidRPr="001048FE">
        <w:rPr>
          <w:spacing w:val="-12"/>
          <w:lang w:val="sl-SI"/>
        </w:rPr>
        <w:t xml:space="preserve"> </w:t>
      </w:r>
      <w:r w:rsidRPr="001048FE">
        <w:rPr>
          <w:lang w:val="sl-SI"/>
        </w:rPr>
        <w:t>EU</w:t>
      </w:r>
      <w:r w:rsidRPr="001048FE">
        <w:rPr>
          <w:spacing w:val="-12"/>
          <w:lang w:val="sl-SI"/>
        </w:rPr>
        <w:t xml:space="preserve"> </w:t>
      </w:r>
      <w:r w:rsidRPr="001048FE">
        <w:rPr>
          <w:lang w:val="sl-SI"/>
        </w:rPr>
        <w:t>za</w:t>
      </w:r>
      <w:r w:rsidRPr="001048FE">
        <w:rPr>
          <w:spacing w:val="-12"/>
          <w:lang w:val="sl-SI"/>
        </w:rPr>
        <w:t xml:space="preserve"> </w:t>
      </w:r>
      <w:r w:rsidRPr="001048FE">
        <w:rPr>
          <w:lang w:val="sl-SI"/>
        </w:rPr>
        <w:t>ves</w:t>
      </w:r>
      <w:r w:rsidRPr="001048FE">
        <w:rPr>
          <w:spacing w:val="-12"/>
          <w:lang w:val="sl-SI"/>
        </w:rPr>
        <w:t xml:space="preserve"> </w:t>
      </w:r>
      <w:r w:rsidRPr="001048FE">
        <w:rPr>
          <w:lang w:val="sl-SI"/>
        </w:rPr>
        <w:t>projekt na podlagi stroškov na enoto (za plače, poti in stroške bivanja) in dejanskih stroškov (za opremo in pogodbe o podizvajanju) ter na podlagi dejansko izvedenih aktivnosti. Prispevek EU k različnim proračunskim postavkam ne sme presegati 110 % celotnega zneska, predvidenega v sporazumu o nepovratnih sredstvih ali njegovih</w:t>
      </w:r>
      <w:r w:rsidRPr="001048FE">
        <w:rPr>
          <w:spacing w:val="-11"/>
          <w:lang w:val="sl-SI"/>
        </w:rPr>
        <w:t xml:space="preserve"> </w:t>
      </w:r>
      <w:r w:rsidRPr="001048FE">
        <w:rPr>
          <w:lang w:val="sl-SI"/>
        </w:rPr>
        <w:t>spremembah.</w:t>
      </w:r>
    </w:p>
    <w:p w14:paraId="7D39AB04" w14:textId="77777777" w:rsidR="008B221F" w:rsidRPr="001048FE" w:rsidRDefault="008B221F" w:rsidP="00AD159A">
      <w:pPr>
        <w:pStyle w:val="Guide-AnnexHeading3"/>
        <w:rPr>
          <w:lang w:val="sl-SI"/>
        </w:rPr>
        <w:sectPr w:rsidR="008B221F" w:rsidRPr="001048FE" w:rsidSect="007F4890">
          <w:endnotePr>
            <w:numFmt w:val="decimal"/>
          </w:endnotePr>
          <w:pgSz w:w="11910" w:h="16840" w:code="9"/>
          <w:pgMar w:top="1134" w:right="1418" w:bottom="1134" w:left="1418" w:header="283" w:footer="567" w:gutter="0"/>
          <w:cols w:space="720"/>
          <w:docGrid w:linePitch="326"/>
        </w:sectPr>
      </w:pPr>
    </w:p>
    <w:p w14:paraId="7D39AB05" w14:textId="77777777" w:rsidR="00081127" w:rsidRDefault="00493CB0">
      <w:pPr>
        <w:pStyle w:val="Guide-AnnexHeading3"/>
        <w:numPr>
          <w:ilvl w:val="0"/>
          <w:numId w:val="0"/>
        </w:numPr>
        <w:rPr>
          <w:lang w:val="sl-SI"/>
        </w:rPr>
      </w:pPr>
      <w:bookmarkStart w:id="749" w:name="_Toc524425635"/>
      <w:bookmarkStart w:id="750" w:name="_Toc526422873"/>
      <w:bookmarkStart w:id="751" w:name="_Toc527400991"/>
      <w:bookmarkStart w:id="752" w:name="_Toc527401377"/>
      <w:r>
        <w:rPr>
          <w:lang w:val="sl-SI"/>
        </w:rPr>
        <w:t xml:space="preserve">3. </w:t>
      </w:r>
      <w:r w:rsidR="001809E5" w:rsidRPr="001048FE">
        <w:rPr>
          <w:lang w:val="sl-SI"/>
        </w:rPr>
        <w:t>Druga pomembna pravila in</w:t>
      </w:r>
      <w:r w:rsidR="001809E5" w:rsidRPr="001048FE">
        <w:rPr>
          <w:spacing w:val="30"/>
          <w:lang w:val="sl-SI"/>
        </w:rPr>
        <w:t xml:space="preserve"> </w:t>
      </w:r>
      <w:r w:rsidR="001809E5" w:rsidRPr="001048FE">
        <w:rPr>
          <w:lang w:val="sl-SI"/>
        </w:rPr>
        <w:t>priporočila</w:t>
      </w:r>
      <w:bookmarkEnd w:id="749"/>
      <w:bookmarkEnd w:id="750"/>
      <w:bookmarkEnd w:id="751"/>
      <w:bookmarkEnd w:id="752"/>
    </w:p>
    <w:p w14:paraId="7D39AB06" w14:textId="77777777" w:rsidR="001809E5" w:rsidRPr="001048FE" w:rsidRDefault="001809E5" w:rsidP="00AD159A">
      <w:pPr>
        <w:pStyle w:val="Guide-Heading4"/>
        <w:rPr>
          <w:lang w:val="sl-SI"/>
        </w:rPr>
      </w:pPr>
      <w:bookmarkStart w:id="753" w:name="_Toc527401378"/>
      <w:r w:rsidRPr="001048FE">
        <w:rPr>
          <w:lang w:val="sl-SI"/>
        </w:rPr>
        <w:t>Partnerski sporazum</w:t>
      </w:r>
      <w:bookmarkEnd w:id="753"/>
    </w:p>
    <w:p w14:paraId="7D39AB07" w14:textId="77777777" w:rsidR="001809E5" w:rsidRPr="001048FE" w:rsidRDefault="001809E5" w:rsidP="00AD159A">
      <w:pPr>
        <w:pStyle w:val="GUIDE-NORMAL"/>
        <w:rPr>
          <w:lang w:val="sl-SI"/>
        </w:rPr>
      </w:pPr>
      <w:r w:rsidRPr="001048FE">
        <w:rPr>
          <w:lang w:val="sl-SI"/>
        </w:rPr>
        <w:t xml:space="preserve">O podrobnih načinih izvajanja projekta </w:t>
      </w:r>
      <w:r w:rsidRPr="001048FE">
        <w:rPr>
          <w:u w:val="single"/>
          <w:lang w:val="sl-SI"/>
        </w:rPr>
        <w:t>se morajo</w:t>
      </w:r>
      <w:r w:rsidRPr="001048FE">
        <w:rPr>
          <w:lang w:val="sl-SI"/>
        </w:rPr>
        <w:t xml:space="preserve"> dogovoriti partnerji, formalizirajo pa se v partnerskem sporazumu, ki ga je treba podpisati na začetku projekta.</w:t>
      </w:r>
    </w:p>
    <w:p w14:paraId="7D39AB08" w14:textId="77777777" w:rsidR="001809E5" w:rsidRPr="001048FE" w:rsidRDefault="001809E5" w:rsidP="00AD159A">
      <w:pPr>
        <w:pStyle w:val="GUIDE-NORMAL"/>
        <w:rPr>
          <w:lang w:val="sl-SI"/>
        </w:rPr>
      </w:pPr>
      <w:r w:rsidRPr="001048FE">
        <w:rPr>
          <w:lang w:val="sl-SI"/>
        </w:rPr>
        <w:t>Izvajalski</w:t>
      </w:r>
      <w:r w:rsidRPr="001048FE">
        <w:rPr>
          <w:spacing w:val="-13"/>
          <w:lang w:val="sl-SI"/>
        </w:rPr>
        <w:t xml:space="preserve"> </w:t>
      </w:r>
      <w:r w:rsidRPr="001048FE">
        <w:rPr>
          <w:lang w:val="sl-SI"/>
        </w:rPr>
        <w:t>agenciji</w:t>
      </w:r>
      <w:r w:rsidRPr="001048FE">
        <w:rPr>
          <w:spacing w:val="-13"/>
          <w:lang w:val="sl-SI"/>
        </w:rPr>
        <w:t xml:space="preserve"> </w:t>
      </w:r>
      <w:r w:rsidRPr="001048FE">
        <w:rPr>
          <w:lang w:val="sl-SI"/>
        </w:rPr>
        <w:t>je</w:t>
      </w:r>
      <w:r w:rsidRPr="001048FE">
        <w:rPr>
          <w:spacing w:val="-13"/>
          <w:lang w:val="sl-SI"/>
        </w:rPr>
        <w:t xml:space="preserve"> </w:t>
      </w:r>
      <w:r w:rsidRPr="001048FE">
        <w:rPr>
          <w:lang w:val="sl-SI"/>
        </w:rPr>
        <w:t>treba</w:t>
      </w:r>
      <w:r w:rsidRPr="001048FE">
        <w:rPr>
          <w:spacing w:val="-13"/>
          <w:lang w:val="sl-SI"/>
        </w:rPr>
        <w:t xml:space="preserve"> </w:t>
      </w:r>
      <w:r w:rsidRPr="001048FE">
        <w:rPr>
          <w:lang w:val="sl-SI"/>
        </w:rPr>
        <w:t>v</w:t>
      </w:r>
      <w:r w:rsidRPr="001048FE">
        <w:rPr>
          <w:spacing w:val="-13"/>
          <w:lang w:val="sl-SI"/>
        </w:rPr>
        <w:t xml:space="preserve"> </w:t>
      </w:r>
      <w:r w:rsidRPr="001048FE">
        <w:rPr>
          <w:lang w:val="sl-SI"/>
        </w:rPr>
        <w:t>šestih</w:t>
      </w:r>
      <w:r w:rsidRPr="001048FE">
        <w:rPr>
          <w:spacing w:val="-13"/>
          <w:lang w:val="sl-SI"/>
        </w:rPr>
        <w:t xml:space="preserve"> </w:t>
      </w:r>
      <w:r w:rsidRPr="001048FE">
        <w:rPr>
          <w:lang w:val="sl-SI"/>
        </w:rPr>
        <w:t>mesecih</w:t>
      </w:r>
      <w:r w:rsidRPr="001048FE">
        <w:rPr>
          <w:spacing w:val="-13"/>
          <w:lang w:val="sl-SI"/>
        </w:rPr>
        <w:t xml:space="preserve"> </w:t>
      </w:r>
      <w:r w:rsidRPr="001048FE">
        <w:rPr>
          <w:lang w:val="sl-SI"/>
        </w:rPr>
        <w:t>od</w:t>
      </w:r>
      <w:r w:rsidRPr="001048FE">
        <w:rPr>
          <w:spacing w:val="-12"/>
          <w:lang w:val="sl-SI"/>
        </w:rPr>
        <w:t xml:space="preserve"> </w:t>
      </w:r>
      <w:r w:rsidRPr="001048FE">
        <w:rPr>
          <w:lang w:val="sl-SI"/>
        </w:rPr>
        <w:t>podpisa</w:t>
      </w:r>
      <w:r w:rsidRPr="001048FE">
        <w:rPr>
          <w:spacing w:val="-13"/>
          <w:lang w:val="sl-SI"/>
        </w:rPr>
        <w:t xml:space="preserve"> </w:t>
      </w:r>
      <w:r w:rsidRPr="001048FE">
        <w:rPr>
          <w:lang w:val="sl-SI"/>
        </w:rPr>
        <w:t>sporazuma</w:t>
      </w:r>
      <w:r w:rsidRPr="001048FE">
        <w:rPr>
          <w:spacing w:val="-13"/>
          <w:lang w:val="sl-SI"/>
        </w:rPr>
        <w:t xml:space="preserve"> </w:t>
      </w:r>
      <w:r w:rsidRPr="001048FE">
        <w:rPr>
          <w:lang w:val="sl-SI"/>
        </w:rPr>
        <w:t>o</w:t>
      </w:r>
      <w:r w:rsidRPr="001048FE">
        <w:rPr>
          <w:spacing w:val="-12"/>
          <w:lang w:val="sl-SI"/>
        </w:rPr>
        <w:t xml:space="preserve"> </w:t>
      </w:r>
      <w:r w:rsidRPr="001048FE">
        <w:rPr>
          <w:lang w:val="sl-SI"/>
        </w:rPr>
        <w:t>nepovratnih</w:t>
      </w:r>
      <w:r w:rsidRPr="001048FE">
        <w:rPr>
          <w:spacing w:val="-13"/>
          <w:lang w:val="sl-SI"/>
        </w:rPr>
        <w:t xml:space="preserve"> </w:t>
      </w:r>
      <w:r w:rsidRPr="001048FE">
        <w:rPr>
          <w:lang w:val="sl-SI"/>
        </w:rPr>
        <w:t>sredstvih</w:t>
      </w:r>
      <w:r w:rsidRPr="001048FE">
        <w:rPr>
          <w:spacing w:val="-13"/>
          <w:lang w:val="sl-SI"/>
        </w:rPr>
        <w:t xml:space="preserve"> </w:t>
      </w:r>
      <w:r w:rsidRPr="001048FE">
        <w:rPr>
          <w:lang w:val="sl-SI"/>
        </w:rPr>
        <w:t>predložiti izvod partnerskega</w:t>
      </w:r>
      <w:r w:rsidRPr="001048FE">
        <w:rPr>
          <w:spacing w:val="-6"/>
          <w:lang w:val="sl-SI"/>
        </w:rPr>
        <w:t xml:space="preserve"> </w:t>
      </w:r>
      <w:r w:rsidRPr="001048FE">
        <w:rPr>
          <w:lang w:val="sl-SI"/>
        </w:rPr>
        <w:t>sporazuma.</w:t>
      </w:r>
    </w:p>
    <w:p w14:paraId="7D39AB09" w14:textId="77777777" w:rsidR="001809E5" w:rsidRPr="001048FE" w:rsidRDefault="001809E5" w:rsidP="00AD159A">
      <w:pPr>
        <w:pStyle w:val="GUIDE-NORMAL"/>
        <w:rPr>
          <w:lang w:val="sl-SI"/>
        </w:rPr>
      </w:pPr>
      <w:r w:rsidRPr="001048FE">
        <w:rPr>
          <w:lang w:val="sl-SI"/>
        </w:rPr>
        <w:t>Ta</w:t>
      </w:r>
      <w:r w:rsidRPr="001048FE">
        <w:rPr>
          <w:spacing w:val="-15"/>
          <w:lang w:val="sl-SI"/>
        </w:rPr>
        <w:t xml:space="preserve"> </w:t>
      </w:r>
      <w:r w:rsidRPr="001048FE">
        <w:rPr>
          <w:lang w:val="sl-SI"/>
        </w:rPr>
        <w:t>partnerski</w:t>
      </w:r>
      <w:r w:rsidRPr="001048FE">
        <w:rPr>
          <w:spacing w:val="-15"/>
          <w:lang w:val="sl-SI"/>
        </w:rPr>
        <w:t xml:space="preserve"> </w:t>
      </w:r>
      <w:r w:rsidRPr="001048FE">
        <w:rPr>
          <w:lang w:val="sl-SI"/>
        </w:rPr>
        <w:t>sporazum</w:t>
      </w:r>
      <w:r w:rsidRPr="001048FE">
        <w:rPr>
          <w:spacing w:val="-15"/>
          <w:lang w:val="sl-SI"/>
        </w:rPr>
        <w:t xml:space="preserve"> </w:t>
      </w:r>
      <w:r w:rsidRPr="001048FE">
        <w:rPr>
          <w:lang w:val="sl-SI"/>
        </w:rPr>
        <w:t>mora</w:t>
      </w:r>
      <w:r w:rsidRPr="001048FE">
        <w:rPr>
          <w:spacing w:val="-15"/>
          <w:lang w:val="sl-SI"/>
        </w:rPr>
        <w:t xml:space="preserve"> </w:t>
      </w:r>
      <w:r w:rsidRPr="001048FE">
        <w:rPr>
          <w:lang w:val="sl-SI"/>
        </w:rPr>
        <w:t>zajemati</w:t>
      </w:r>
      <w:r w:rsidRPr="001048FE">
        <w:rPr>
          <w:spacing w:val="-15"/>
          <w:lang w:val="sl-SI"/>
        </w:rPr>
        <w:t xml:space="preserve"> </w:t>
      </w:r>
      <w:r w:rsidRPr="001048FE">
        <w:rPr>
          <w:lang w:val="sl-SI"/>
        </w:rPr>
        <w:t>različne</w:t>
      </w:r>
      <w:r w:rsidRPr="001048FE">
        <w:rPr>
          <w:spacing w:val="-15"/>
          <w:lang w:val="sl-SI"/>
        </w:rPr>
        <w:t xml:space="preserve"> </w:t>
      </w:r>
      <w:r w:rsidRPr="001048FE">
        <w:rPr>
          <w:lang w:val="sl-SI"/>
        </w:rPr>
        <w:t>finančne,</w:t>
      </w:r>
      <w:r w:rsidRPr="001048FE">
        <w:rPr>
          <w:spacing w:val="-15"/>
          <w:lang w:val="sl-SI"/>
        </w:rPr>
        <w:t xml:space="preserve"> </w:t>
      </w:r>
      <w:r w:rsidRPr="001048FE">
        <w:rPr>
          <w:lang w:val="sl-SI"/>
        </w:rPr>
        <w:t>tehnične</w:t>
      </w:r>
      <w:r w:rsidRPr="001048FE">
        <w:rPr>
          <w:spacing w:val="-15"/>
          <w:lang w:val="sl-SI"/>
        </w:rPr>
        <w:t xml:space="preserve"> </w:t>
      </w:r>
      <w:r w:rsidRPr="001048FE">
        <w:rPr>
          <w:lang w:val="sl-SI"/>
        </w:rPr>
        <w:t>in</w:t>
      </w:r>
      <w:r w:rsidRPr="001048FE">
        <w:rPr>
          <w:spacing w:val="-15"/>
          <w:lang w:val="sl-SI"/>
        </w:rPr>
        <w:t xml:space="preserve"> </w:t>
      </w:r>
      <w:r w:rsidRPr="001048FE">
        <w:rPr>
          <w:lang w:val="sl-SI"/>
        </w:rPr>
        <w:t>pravne</w:t>
      </w:r>
      <w:r w:rsidRPr="001048FE">
        <w:rPr>
          <w:spacing w:val="-15"/>
          <w:lang w:val="sl-SI"/>
        </w:rPr>
        <w:t xml:space="preserve"> </w:t>
      </w:r>
      <w:r w:rsidRPr="001048FE">
        <w:rPr>
          <w:lang w:val="sl-SI"/>
        </w:rPr>
        <w:t>vidike,</w:t>
      </w:r>
      <w:r w:rsidRPr="001048FE">
        <w:rPr>
          <w:spacing w:val="-15"/>
          <w:lang w:val="sl-SI"/>
        </w:rPr>
        <w:t xml:space="preserve"> </w:t>
      </w:r>
      <w:r w:rsidRPr="001048FE">
        <w:rPr>
          <w:lang w:val="sl-SI"/>
        </w:rPr>
        <w:t>povezane</w:t>
      </w:r>
      <w:r w:rsidRPr="001048FE">
        <w:rPr>
          <w:spacing w:val="-15"/>
          <w:lang w:val="sl-SI"/>
        </w:rPr>
        <w:t xml:space="preserve"> </w:t>
      </w:r>
      <w:r w:rsidRPr="001048FE">
        <w:rPr>
          <w:lang w:val="sl-SI"/>
        </w:rPr>
        <w:t>z izvajanjem projekta, vključno</w:t>
      </w:r>
      <w:r w:rsidRPr="001048FE">
        <w:rPr>
          <w:spacing w:val="-7"/>
          <w:lang w:val="sl-SI"/>
        </w:rPr>
        <w:t xml:space="preserve"> </w:t>
      </w:r>
      <w:r w:rsidRPr="001048FE">
        <w:rPr>
          <w:lang w:val="sl-SI"/>
        </w:rPr>
        <w:t>z:</w:t>
      </w:r>
    </w:p>
    <w:p w14:paraId="7D39AB0A" w14:textId="77777777" w:rsidR="001809E5" w:rsidRPr="001048FE" w:rsidRDefault="001809E5" w:rsidP="005115F2">
      <w:pPr>
        <w:pStyle w:val="Guide-NormalBulletpoints"/>
        <w:numPr>
          <w:ilvl w:val="0"/>
          <w:numId w:val="469"/>
        </w:numPr>
        <w:rPr>
          <w:lang w:val="sl-SI"/>
        </w:rPr>
      </w:pPr>
      <w:r w:rsidRPr="001048FE">
        <w:rPr>
          <w:lang w:val="sl-SI"/>
        </w:rPr>
        <w:t>vlogo in odgovornostmi partnerjev;</w:t>
      </w:r>
    </w:p>
    <w:p w14:paraId="7D39AB0B" w14:textId="77777777" w:rsidR="001809E5" w:rsidRPr="001048FE" w:rsidRDefault="001809E5" w:rsidP="005115F2">
      <w:pPr>
        <w:pStyle w:val="Guide-NormalBulletpoints"/>
        <w:numPr>
          <w:ilvl w:val="0"/>
          <w:numId w:val="469"/>
        </w:numPr>
        <w:rPr>
          <w:lang w:val="sl-SI"/>
        </w:rPr>
      </w:pPr>
      <w:r w:rsidRPr="001048FE">
        <w:rPr>
          <w:lang w:val="sl-SI"/>
        </w:rPr>
        <w:t>proračunskimi zadevami (sofinanciranje, razčlenitev proračuna glede na aktivnost in partnerja, načini prenosa sredstev itd.);</w:t>
      </w:r>
    </w:p>
    <w:p w14:paraId="7D39AB0C" w14:textId="77777777" w:rsidR="001809E5" w:rsidRPr="001048FE" w:rsidRDefault="001809E5" w:rsidP="005115F2">
      <w:pPr>
        <w:pStyle w:val="Guide-NormalBulletpoints"/>
        <w:numPr>
          <w:ilvl w:val="0"/>
          <w:numId w:val="469"/>
        </w:numPr>
        <w:rPr>
          <w:lang w:val="sl-SI"/>
        </w:rPr>
      </w:pPr>
      <w:r w:rsidRPr="001048FE">
        <w:rPr>
          <w:lang w:val="sl-SI"/>
        </w:rPr>
        <w:t>politiko prejemkov za osebje;</w:t>
      </w:r>
    </w:p>
    <w:p w14:paraId="7D39AB0D" w14:textId="77777777" w:rsidR="00AD159A" w:rsidRPr="001048FE" w:rsidRDefault="001809E5" w:rsidP="005115F2">
      <w:pPr>
        <w:pStyle w:val="Guide-NormalBulletpoints"/>
        <w:numPr>
          <w:ilvl w:val="0"/>
          <w:numId w:val="469"/>
        </w:numPr>
        <w:rPr>
          <w:lang w:val="sl-SI"/>
        </w:rPr>
      </w:pPr>
      <w:r w:rsidRPr="001048FE">
        <w:rPr>
          <w:lang w:val="sl-SI"/>
        </w:rPr>
        <w:t xml:space="preserve">načini povračila potnih stroškov in stroškov bivanja; </w:t>
      </w:r>
    </w:p>
    <w:p w14:paraId="7D39AB0E" w14:textId="77777777" w:rsidR="001809E5" w:rsidRPr="001048FE" w:rsidRDefault="001809E5" w:rsidP="005115F2">
      <w:pPr>
        <w:pStyle w:val="Guide-NormalBulletpoints"/>
        <w:numPr>
          <w:ilvl w:val="0"/>
          <w:numId w:val="469"/>
        </w:numPr>
        <w:rPr>
          <w:lang w:val="sl-SI"/>
        </w:rPr>
      </w:pPr>
      <w:r w:rsidRPr="001048FE">
        <w:rPr>
          <w:lang w:val="sl-SI"/>
        </w:rPr>
        <w:t>mehanizmi poročanja;</w:t>
      </w:r>
    </w:p>
    <w:p w14:paraId="7D39AB0F" w14:textId="77777777" w:rsidR="001809E5" w:rsidRPr="001048FE" w:rsidRDefault="001809E5" w:rsidP="005115F2">
      <w:pPr>
        <w:pStyle w:val="Guide-NormalBulletpoints"/>
        <w:numPr>
          <w:ilvl w:val="0"/>
          <w:numId w:val="469"/>
        </w:numPr>
        <w:rPr>
          <w:lang w:val="sl-SI"/>
        </w:rPr>
      </w:pPr>
      <w:r w:rsidRPr="001048FE">
        <w:rPr>
          <w:lang w:val="sl-SI"/>
        </w:rPr>
        <w:t>mehanizmi za reševanje sporov itd.</w:t>
      </w:r>
    </w:p>
    <w:p w14:paraId="7D39AB10" w14:textId="77777777" w:rsidR="001809E5" w:rsidRPr="001048FE" w:rsidRDefault="001809E5" w:rsidP="00AD159A">
      <w:pPr>
        <w:pStyle w:val="Guide-Heading4"/>
        <w:rPr>
          <w:lang w:val="sl-SI"/>
        </w:rPr>
      </w:pPr>
      <w:bookmarkStart w:id="754" w:name="_Toc527401379"/>
      <w:r w:rsidRPr="001048FE">
        <w:rPr>
          <w:lang w:val="sl-SI"/>
        </w:rPr>
        <w:t>Sestava in spreminjanje sodelujočih organizacij</w:t>
      </w:r>
      <w:bookmarkEnd w:id="754"/>
    </w:p>
    <w:p w14:paraId="7D39AB11" w14:textId="77777777" w:rsidR="001809E5" w:rsidRPr="001048FE" w:rsidRDefault="001809E5" w:rsidP="00AD159A">
      <w:pPr>
        <w:pStyle w:val="GUIDE-NORMAL"/>
        <w:rPr>
          <w:lang w:val="sl-SI"/>
        </w:rPr>
      </w:pPr>
      <w:r w:rsidRPr="001048FE">
        <w:rPr>
          <w:lang w:val="sl-SI"/>
        </w:rPr>
        <w:t>Na</w:t>
      </w:r>
      <w:r w:rsidRPr="001048FE">
        <w:rPr>
          <w:spacing w:val="-10"/>
          <w:lang w:val="sl-SI"/>
        </w:rPr>
        <w:t xml:space="preserve"> </w:t>
      </w:r>
      <w:r w:rsidRPr="001048FE">
        <w:rPr>
          <w:lang w:val="sl-SI"/>
        </w:rPr>
        <w:t>kakršne</w:t>
      </w:r>
      <w:r w:rsidRPr="001048FE">
        <w:rPr>
          <w:spacing w:val="-10"/>
          <w:lang w:val="sl-SI"/>
        </w:rPr>
        <w:t xml:space="preserve"> </w:t>
      </w:r>
      <w:r w:rsidRPr="001048FE">
        <w:rPr>
          <w:lang w:val="sl-SI"/>
        </w:rPr>
        <w:t>koli</w:t>
      </w:r>
      <w:r w:rsidRPr="001048FE">
        <w:rPr>
          <w:spacing w:val="-10"/>
          <w:lang w:val="sl-SI"/>
        </w:rPr>
        <w:t xml:space="preserve"> </w:t>
      </w:r>
      <w:r w:rsidRPr="001048FE">
        <w:rPr>
          <w:lang w:val="sl-SI"/>
        </w:rPr>
        <w:t>predlagane</w:t>
      </w:r>
      <w:r w:rsidRPr="001048FE">
        <w:rPr>
          <w:spacing w:val="-10"/>
          <w:lang w:val="sl-SI"/>
        </w:rPr>
        <w:t xml:space="preserve"> </w:t>
      </w:r>
      <w:r w:rsidRPr="001048FE">
        <w:rPr>
          <w:lang w:val="sl-SI"/>
        </w:rPr>
        <w:t>spremembe</w:t>
      </w:r>
      <w:r w:rsidRPr="001048FE">
        <w:rPr>
          <w:spacing w:val="-10"/>
          <w:lang w:val="sl-SI"/>
        </w:rPr>
        <w:t xml:space="preserve"> </w:t>
      </w:r>
      <w:r w:rsidRPr="001048FE">
        <w:rPr>
          <w:lang w:val="sl-SI"/>
        </w:rPr>
        <w:t>v</w:t>
      </w:r>
      <w:r w:rsidRPr="001048FE">
        <w:rPr>
          <w:spacing w:val="-10"/>
          <w:lang w:val="sl-SI"/>
        </w:rPr>
        <w:t xml:space="preserve"> </w:t>
      </w:r>
      <w:r w:rsidRPr="001048FE">
        <w:rPr>
          <w:lang w:val="sl-SI"/>
        </w:rPr>
        <w:t>zvezi</w:t>
      </w:r>
      <w:r w:rsidRPr="001048FE">
        <w:rPr>
          <w:spacing w:val="-10"/>
          <w:lang w:val="sl-SI"/>
        </w:rPr>
        <w:t xml:space="preserve"> </w:t>
      </w:r>
      <w:r w:rsidRPr="001048FE">
        <w:rPr>
          <w:lang w:val="sl-SI"/>
        </w:rPr>
        <w:t>z</w:t>
      </w:r>
      <w:r w:rsidRPr="001048FE">
        <w:rPr>
          <w:spacing w:val="-10"/>
          <w:lang w:val="sl-SI"/>
        </w:rPr>
        <w:t xml:space="preserve"> </w:t>
      </w:r>
      <w:r w:rsidRPr="001048FE">
        <w:rPr>
          <w:lang w:val="sl-SI"/>
        </w:rPr>
        <w:t>upravičenci</w:t>
      </w:r>
      <w:r w:rsidRPr="001048FE">
        <w:rPr>
          <w:spacing w:val="-10"/>
          <w:lang w:val="sl-SI"/>
        </w:rPr>
        <w:t xml:space="preserve"> </w:t>
      </w:r>
      <w:r w:rsidRPr="001048FE">
        <w:rPr>
          <w:lang w:val="sl-SI"/>
        </w:rPr>
        <w:t>projekta</w:t>
      </w:r>
      <w:r w:rsidRPr="001048FE">
        <w:rPr>
          <w:spacing w:val="-10"/>
          <w:lang w:val="sl-SI"/>
        </w:rPr>
        <w:t xml:space="preserve"> </w:t>
      </w:r>
      <w:r w:rsidRPr="001048FE">
        <w:rPr>
          <w:lang w:val="sl-SI"/>
        </w:rPr>
        <w:t>je</w:t>
      </w:r>
      <w:r w:rsidRPr="001048FE">
        <w:rPr>
          <w:spacing w:val="-10"/>
          <w:lang w:val="sl-SI"/>
        </w:rPr>
        <w:t xml:space="preserve"> </w:t>
      </w:r>
      <w:r w:rsidRPr="001048FE">
        <w:rPr>
          <w:lang w:val="sl-SI"/>
        </w:rPr>
        <w:t>treba</w:t>
      </w:r>
      <w:r w:rsidRPr="001048FE">
        <w:rPr>
          <w:spacing w:val="-10"/>
          <w:lang w:val="sl-SI"/>
        </w:rPr>
        <w:t xml:space="preserve"> </w:t>
      </w:r>
      <w:r w:rsidRPr="001048FE">
        <w:rPr>
          <w:lang w:val="sl-SI"/>
        </w:rPr>
        <w:t>opozoriti,</w:t>
      </w:r>
      <w:r w:rsidRPr="001048FE">
        <w:rPr>
          <w:spacing w:val="-9"/>
          <w:lang w:val="sl-SI"/>
        </w:rPr>
        <w:t xml:space="preserve"> </w:t>
      </w:r>
      <w:r w:rsidRPr="001048FE">
        <w:rPr>
          <w:lang w:val="sl-SI"/>
        </w:rPr>
        <w:t>zanje</w:t>
      </w:r>
      <w:r w:rsidRPr="001048FE">
        <w:rPr>
          <w:spacing w:val="-10"/>
          <w:lang w:val="sl-SI"/>
        </w:rPr>
        <w:t xml:space="preserve"> </w:t>
      </w:r>
      <w:r w:rsidRPr="001048FE">
        <w:rPr>
          <w:lang w:val="sl-SI"/>
        </w:rPr>
        <w:t>pa</w:t>
      </w:r>
      <w:r w:rsidRPr="001048FE">
        <w:rPr>
          <w:spacing w:val="-10"/>
          <w:lang w:val="sl-SI"/>
        </w:rPr>
        <w:t xml:space="preserve"> </w:t>
      </w:r>
      <w:r w:rsidRPr="001048FE">
        <w:rPr>
          <w:lang w:val="sl-SI"/>
        </w:rPr>
        <w:t>je potrebna predhodna odobritev Izvajalske agencije. Za različne spremembe v zvezi s partnerstvom projekta se uporabljajo naslednje</w:t>
      </w:r>
      <w:r w:rsidRPr="001048FE">
        <w:rPr>
          <w:spacing w:val="-12"/>
          <w:lang w:val="sl-SI"/>
        </w:rPr>
        <w:t xml:space="preserve"> </w:t>
      </w:r>
      <w:r w:rsidRPr="001048FE">
        <w:rPr>
          <w:lang w:val="sl-SI"/>
        </w:rPr>
        <w:t>zahteve:</w:t>
      </w:r>
    </w:p>
    <w:p w14:paraId="7D39AB12" w14:textId="77777777" w:rsidR="001809E5" w:rsidRPr="001048FE" w:rsidRDefault="001809E5" w:rsidP="005115F2">
      <w:pPr>
        <w:pStyle w:val="Guide-NormalBulletpoints"/>
        <w:numPr>
          <w:ilvl w:val="0"/>
          <w:numId w:val="470"/>
        </w:numPr>
        <w:rPr>
          <w:lang w:val="sl-SI"/>
        </w:rPr>
      </w:pPr>
      <w:r w:rsidRPr="001048FE">
        <w:rPr>
          <w:lang w:val="sl-SI"/>
        </w:rPr>
        <w:t>dodajanje soupravičenca zahteva podpis mandata med koordinatorjem in novim soupravičencem,</w:t>
      </w:r>
      <w:r w:rsidRPr="001048FE">
        <w:rPr>
          <w:spacing w:val="-11"/>
          <w:lang w:val="sl-SI"/>
        </w:rPr>
        <w:t xml:space="preserve"> </w:t>
      </w:r>
      <w:r w:rsidRPr="001048FE">
        <w:rPr>
          <w:lang w:val="sl-SI"/>
        </w:rPr>
        <w:t>vsi</w:t>
      </w:r>
      <w:r w:rsidRPr="001048FE">
        <w:rPr>
          <w:spacing w:val="-11"/>
          <w:lang w:val="sl-SI"/>
        </w:rPr>
        <w:t xml:space="preserve"> </w:t>
      </w:r>
      <w:r w:rsidRPr="001048FE">
        <w:rPr>
          <w:lang w:val="sl-SI"/>
        </w:rPr>
        <w:t>ostali</w:t>
      </w:r>
      <w:r w:rsidRPr="001048FE">
        <w:rPr>
          <w:spacing w:val="-11"/>
          <w:lang w:val="sl-SI"/>
        </w:rPr>
        <w:t xml:space="preserve"> </w:t>
      </w:r>
      <w:r w:rsidRPr="001048FE">
        <w:rPr>
          <w:lang w:val="sl-SI"/>
        </w:rPr>
        <w:t>soupravičenci</w:t>
      </w:r>
      <w:r w:rsidRPr="001048FE">
        <w:rPr>
          <w:spacing w:val="-11"/>
          <w:lang w:val="sl-SI"/>
        </w:rPr>
        <w:t xml:space="preserve"> </w:t>
      </w:r>
      <w:r w:rsidRPr="001048FE">
        <w:rPr>
          <w:lang w:val="sl-SI"/>
        </w:rPr>
        <w:t>pa</w:t>
      </w:r>
      <w:r w:rsidRPr="001048FE">
        <w:rPr>
          <w:spacing w:val="-11"/>
          <w:lang w:val="sl-SI"/>
        </w:rPr>
        <w:t xml:space="preserve"> </w:t>
      </w:r>
      <w:r w:rsidRPr="001048FE">
        <w:rPr>
          <w:lang w:val="sl-SI"/>
        </w:rPr>
        <w:t>morajo</w:t>
      </w:r>
      <w:r w:rsidRPr="001048FE">
        <w:rPr>
          <w:spacing w:val="-11"/>
          <w:lang w:val="sl-SI"/>
        </w:rPr>
        <w:t xml:space="preserve"> </w:t>
      </w:r>
      <w:r w:rsidRPr="001048FE">
        <w:rPr>
          <w:lang w:val="sl-SI"/>
        </w:rPr>
        <w:t>poslati</w:t>
      </w:r>
      <w:r w:rsidRPr="001048FE">
        <w:rPr>
          <w:spacing w:val="-11"/>
          <w:lang w:val="sl-SI"/>
        </w:rPr>
        <w:t xml:space="preserve"> </w:t>
      </w:r>
      <w:r w:rsidRPr="001048FE">
        <w:rPr>
          <w:lang w:val="sl-SI"/>
        </w:rPr>
        <w:t>pisma</w:t>
      </w:r>
      <w:r w:rsidRPr="001048FE">
        <w:rPr>
          <w:spacing w:val="-11"/>
          <w:lang w:val="sl-SI"/>
        </w:rPr>
        <w:t xml:space="preserve"> </w:t>
      </w:r>
      <w:r w:rsidRPr="001048FE">
        <w:rPr>
          <w:lang w:val="sl-SI"/>
        </w:rPr>
        <w:t>o</w:t>
      </w:r>
      <w:r w:rsidRPr="001048FE">
        <w:rPr>
          <w:spacing w:val="-11"/>
          <w:lang w:val="sl-SI"/>
        </w:rPr>
        <w:t xml:space="preserve"> </w:t>
      </w:r>
      <w:r w:rsidRPr="001048FE">
        <w:rPr>
          <w:lang w:val="sl-SI"/>
        </w:rPr>
        <w:t>sprejetju,</w:t>
      </w:r>
      <w:r w:rsidRPr="001048FE">
        <w:rPr>
          <w:spacing w:val="-11"/>
          <w:lang w:val="sl-SI"/>
        </w:rPr>
        <w:t xml:space="preserve"> </w:t>
      </w:r>
      <w:r w:rsidRPr="001048FE">
        <w:rPr>
          <w:lang w:val="sl-SI"/>
        </w:rPr>
        <w:t>ki</w:t>
      </w:r>
      <w:r w:rsidRPr="001048FE">
        <w:rPr>
          <w:spacing w:val="-11"/>
          <w:lang w:val="sl-SI"/>
        </w:rPr>
        <w:t xml:space="preserve"> </w:t>
      </w:r>
      <w:r w:rsidRPr="001048FE">
        <w:rPr>
          <w:lang w:val="sl-SI"/>
        </w:rPr>
        <w:t>jih</w:t>
      </w:r>
      <w:r w:rsidRPr="001048FE">
        <w:rPr>
          <w:spacing w:val="-11"/>
          <w:lang w:val="sl-SI"/>
        </w:rPr>
        <w:t xml:space="preserve"> </w:t>
      </w:r>
      <w:r w:rsidRPr="001048FE">
        <w:rPr>
          <w:lang w:val="sl-SI"/>
        </w:rPr>
        <w:t>je</w:t>
      </w:r>
      <w:r w:rsidRPr="001048FE">
        <w:rPr>
          <w:spacing w:val="-11"/>
          <w:lang w:val="sl-SI"/>
        </w:rPr>
        <w:t xml:space="preserve"> </w:t>
      </w:r>
      <w:r w:rsidRPr="001048FE">
        <w:rPr>
          <w:lang w:val="sl-SI"/>
        </w:rPr>
        <w:t>podpisal zakoniti zastopnik. Ta pisma na prošnjo posreduje</w:t>
      </w:r>
      <w:r w:rsidRPr="001048FE">
        <w:rPr>
          <w:spacing w:val="-24"/>
          <w:lang w:val="sl-SI"/>
        </w:rPr>
        <w:t xml:space="preserve"> </w:t>
      </w:r>
      <w:r w:rsidRPr="001048FE">
        <w:rPr>
          <w:lang w:val="sl-SI"/>
        </w:rPr>
        <w:t>koordinator;</w:t>
      </w:r>
    </w:p>
    <w:p w14:paraId="7D39AB13" w14:textId="77777777" w:rsidR="001809E5" w:rsidRPr="001048FE" w:rsidRDefault="001809E5" w:rsidP="005115F2">
      <w:pPr>
        <w:pStyle w:val="Guide-NormalBulletpoints"/>
        <w:numPr>
          <w:ilvl w:val="0"/>
          <w:numId w:val="470"/>
        </w:numPr>
        <w:rPr>
          <w:lang w:val="sl-SI"/>
        </w:rPr>
      </w:pPr>
      <w:r w:rsidRPr="001048FE">
        <w:rPr>
          <w:lang w:val="sl-SI"/>
        </w:rPr>
        <w:t>za izstop soupravičenca je potrebna pisna obrazložitev koordinatorja in pismo o izstopu, ki ga predloži soupravičenec, ki želi izstopiti, in podpiše zakoniti zastopnik. Če minimalne zahteve v zvezi s partnerstvom niso več izpolnjene, si Izvajalska agencija za izobraževanje, avdiovizualno področje in kulturo pridržuje pravico do odločitve o podaljšanju sporazuma;</w:t>
      </w:r>
    </w:p>
    <w:p w14:paraId="7D39AB14" w14:textId="77777777" w:rsidR="001809E5" w:rsidRPr="001048FE" w:rsidRDefault="001809E5" w:rsidP="005115F2">
      <w:pPr>
        <w:pStyle w:val="Guide-NormalBulletpoints"/>
        <w:numPr>
          <w:ilvl w:val="0"/>
          <w:numId w:val="470"/>
        </w:numPr>
        <w:rPr>
          <w:lang w:val="sl-SI"/>
        </w:rPr>
      </w:pPr>
      <w:r w:rsidRPr="001048FE">
        <w:rPr>
          <w:lang w:val="sl-SI"/>
        </w:rPr>
        <w:t>za</w:t>
      </w:r>
      <w:r w:rsidRPr="001048FE">
        <w:rPr>
          <w:spacing w:val="-12"/>
          <w:lang w:val="sl-SI"/>
        </w:rPr>
        <w:t xml:space="preserve"> </w:t>
      </w:r>
      <w:r w:rsidRPr="001048FE">
        <w:rPr>
          <w:lang w:val="sl-SI"/>
        </w:rPr>
        <w:t>spremembe</w:t>
      </w:r>
      <w:r w:rsidRPr="001048FE">
        <w:rPr>
          <w:spacing w:val="-12"/>
          <w:lang w:val="sl-SI"/>
        </w:rPr>
        <w:t xml:space="preserve"> </w:t>
      </w:r>
      <w:r w:rsidRPr="001048FE">
        <w:rPr>
          <w:lang w:val="sl-SI"/>
        </w:rPr>
        <w:t>kontaktne</w:t>
      </w:r>
      <w:r w:rsidRPr="001048FE">
        <w:rPr>
          <w:spacing w:val="-12"/>
          <w:lang w:val="sl-SI"/>
        </w:rPr>
        <w:t xml:space="preserve"> </w:t>
      </w:r>
      <w:r w:rsidRPr="001048FE">
        <w:rPr>
          <w:lang w:val="sl-SI"/>
        </w:rPr>
        <w:t>osebe</w:t>
      </w:r>
      <w:r w:rsidRPr="001048FE">
        <w:rPr>
          <w:spacing w:val="-11"/>
          <w:lang w:val="sl-SI"/>
        </w:rPr>
        <w:t xml:space="preserve"> </w:t>
      </w:r>
      <w:r w:rsidRPr="001048FE">
        <w:rPr>
          <w:lang w:val="sl-SI"/>
        </w:rPr>
        <w:t>za</w:t>
      </w:r>
      <w:r w:rsidRPr="001048FE">
        <w:rPr>
          <w:spacing w:val="-12"/>
          <w:lang w:val="sl-SI"/>
        </w:rPr>
        <w:t xml:space="preserve"> </w:t>
      </w:r>
      <w:r w:rsidRPr="001048FE">
        <w:rPr>
          <w:lang w:val="sl-SI"/>
        </w:rPr>
        <w:t>koordinatorja</w:t>
      </w:r>
      <w:r w:rsidRPr="001048FE">
        <w:rPr>
          <w:spacing w:val="-12"/>
          <w:lang w:val="sl-SI"/>
        </w:rPr>
        <w:t xml:space="preserve"> </w:t>
      </w:r>
      <w:r w:rsidRPr="001048FE">
        <w:rPr>
          <w:lang w:val="sl-SI"/>
        </w:rPr>
        <w:t>je</w:t>
      </w:r>
      <w:r w:rsidRPr="001048FE">
        <w:rPr>
          <w:spacing w:val="-12"/>
          <w:lang w:val="sl-SI"/>
        </w:rPr>
        <w:t xml:space="preserve"> </w:t>
      </w:r>
      <w:r w:rsidRPr="001048FE">
        <w:rPr>
          <w:lang w:val="sl-SI"/>
        </w:rPr>
        <w:t>potrebna</w:t>
      </w:r>
      <w:r w:rsidRPr="001048FE">
        <w:rPr>
          <w:spacing w:val="-12"/>
          <w:lang w:val="sl-SI"/>
        </w:rPr>
        <w:t xml:space="preserve"> </w:t>
      </w:r>
      <w:r w:rsidRPr="001048FE">
        <w:rPr>
          <w:lang w:val="sl-SI"/>
        </w:rPr>
        <w:t>pisna</w:t>
      </w:r>
      <w:r w:rsidRPr="001048FE">
        <w:rPr>
          <w:spacing w:val="-12"/>
          <w:lang w:val="sl-SI"/>
        </w:rPr>
        <w:t xml:space="preserve"> </w:t>
      </w:r>
      <w:r w:rsidRPr="001048FE">
        <w:rPr>
          <w:lang w:val="sl-SI"/>
        </w:rPr>
        <w:t>potrditev,</w:t>
      </w:r>
      <w:r w:rsidRPr="001048FE">
        <w:rPr>
          <w:spacing w:val="-12"/>
          <w:lang w:val="sl-SI"/>
        </w:rPr>
        <w:t xml:space="preserve"> </w:t>
      </w:r>
      <w:r w:rsidRPr="001048FE">
        <w:rPr>
          <w:lang w:val="sl-SI"/>
        </w:rPr>
        <w:t>ki</w:t>
      </w:r>
      <w:r w:rsidRPr="001048FE">
        <w:rPr>
          <w:spacing w:val="-12"/>
          <w:lang w:val="sl-SI"/>
        </w:rPr>
        <w:t xml:space="preserve"> </w:t>
      </w:r>
      <w:r w:rsidRPr="001048FE">
        <w:rPr>
          <w:lang w:val="sl-SI"/>
        </w:rPr>
        <w:t>jo</w:t>
      </w:r>
      <w:r w:rsidRPr="001048FE">
        <w:rPr>
          <w:spacing w:val="-12"/>
          <w:lang w:val="sl-SI"/>
        </w:rPr>
        <w:t xml:space="preserve"> </w:t>
      </w:r>
      <w:r w:rsidRPr="001048FE">
        <w:rPr>
          <w:lang w:val="sl-SI"/>
        </w:rPr>
        <w:t>podpišejo nova</w:t>
      </w:r>
      <w:r w:rsidRPr="001048FE">
        <w:rPr>
          <w:spacing w:val="-7"/>
          <w:lang w:val="sl-SI"/>
        </w:rPr>
        <w:t xml:space="preserve"> </w:t>
      </w:r>
      <w:r w:rsidRPr="001048FE">
        <w:rPr>
          <w:lang w:val="sl-SI"/>
        </w:rPr>
        <w:t>kontaktna</w:t>
      </w:r>
      <w:r w:rsidRPr="001048FE">
        <w:rPr>
          <w:spacing w:val="-7"/>
          <w:lang w:val="sl-SI"/>
        </w:rPr>
        <w:t xml:space="preserve"> </w:t>
      </w:r>
      <w:r w:rsidRPr="001048FE">
        <w:rPr>
          <w:lang w:val="sl-SI"/>
        </w:rPr>
        <w:t>oseba,</w:t>
      </w:r>
      <w:r w:rsidRPr="001048FE">
        <w:rPr>
          <w:spacing w:val="-6"/>
          <w:lang w:val="sl-SI"/>
        </w:rPr>
        <w:t xml:space="preserve"> </w:t>
      </w:r>
      <w:r w:rsidRPr="001048FE">
        <w:rPr>
          <w:lang w:val="sl-SI"/>
        </w:rPr>
        <w:t>zakoniti</w:t>
      </w:r>
      <w:r w:rsidRPr="001048FE">
        <w:rPr>
          <w:spacing w:val="-7"/>
          <w:lang w:val="sl-SI"/>
        </w:rPr>
        <w:t xml:space="preserve"> </w:t>
      </w:r>
      <w:r w:rsidRPr="001048FE">
        <w:rPr>
          <w:lang w:val="sl-SI"/>
        </w:rPr>
        <w:t>zastopnik</w:t>
      </w:r>
      <w:r w:rsidRPr="001048FE">
        <w:rPr>
          <w:spacing w:val="-7"/>
          <w:lang w:val="sl-SI"/>
        </w:rPr>
        <w:t xml:space="preserve"> </w:t>
      </w:r>
      <w:r w:rsidRPr="001048FE">
        <w:rPr>
          <w:lang w:val="sl-SI"/>
        </w:rPr>
        <w:t>in</w:t>
      </w:r>
      <w:r w:rsidRPr="001048FE">
        <w:rPr>
          <w:spacing w:val="-7"/>
          <w:lang w:val="sl-SI"/>
        </w:rPr>
        <w:t xml:space="preserve"> </w:t>
      </w:r>
      <w:r w:rsidRPr="001048FE">
        <w:rPr>
          <w:lang w:val="sl-SI"/>
        </w:rPr>
        <w:t>prejšnja</w:t>
      </w:r>
      <w:r w:rsidRPr="001048FE">
        <w:rPr>
          <w:spacing w:val="-7"/>
          <w:lang w:val="sl-SI"/>
        </w:rPr>
        <w:t xml:space="preserve"> </w:t>
      </w:r>
      <w:r w:rsidRPr="001048FE">
        <w:rPr>
          <w:lang w:val="sl-SI"/>
        </w:rPr>
        <w:t>kontaktna</w:t>
      </w:r>
      <w:r w:rsidRPr="001048FE">
        <w:rPr>
          <w:spacing w:val="-7"/>
          <w:lang w:val="sl-SI"/>
        </w:rPr>
        <w:t xml:space="preserve"> </w:t>
      </w:r>
      <w:r w:rsidRPr="001048FE">
        <w:rPr>
          <w:lang w:val="sl-SI"/>
        </w:rPr>
        <w:t>oseba</w:t>
      </w:r>
      <w:r w:rsidRPr="001048FE">
        <w:rPr>
          <w:spacing w:val="-6"/>
          <w:lang w:val="sl-SI"/>
        </w:rPr>
        <w:t xml:space="preserve"> </w:t>
      </w:r>
      <w:r w:rsidRPr="001048FE">
        <w:rPr>
          <w:lang w:val="sl-SI"/>
        </w:rPr>
        <w:t>koordinatorja.</w:t>
      </w:r>
    </w:p>
    <w:p w14:paraId="7D39AB15" w14:textId="77777777" w:rsidR="001809E5" w:rsidRPr="001048FE" w:rsidRDefault="001809E5" w:rsidP="00AD159A">
      <w:pPr>
        <w:pStyle w:val="Guide-Heading4"/>
        <w:rPr>
          <w:lang w:val="sl-SI"/>
        </w:rPr>
      </w:pPr>
      <w:bookmarkStart w:id="755" w:name="_Toc527401380"/>
      <w:r w:rsidRPr="001048FE">
        <w:rPr>
          <w:lang w:val="sl-SI"/>
        </w:rPr>
        <w:t>Neupravičeni stroški</w:t>
      </w:r>
      <w:bookmarkEnd w:id="755"/>
    </w:p>
    <w:p w14:paraId="7D39AB16" w14:textId="77777777" w:rsidR="001809E5" w:rsidRPr="001048FE" w:rsidRDefault="001809E5" w:rsidP="00AD159A">
      <w:pPr>
        <w:pStyle w:val="GUIDE-NORMAL"/>
        <w:rPr>
          <w:lang w:val="sl-SI"/>
        </w:rPr>
      </w:pPr>
      <w:r w:rsidRPr="001048FE">
        <w:rPr>
          <w:lang w:val="sl-SI"/>
        </w:rPr>
        <w:t>Poleg neupravičenih stroškov, naštetih v delu C, so v projektih krepitve zmogljivosti neupravičeni tudi naslednji stroški:</w:t>
      </w:r>
    </w:p>
    <w:p w14:paraId="7D39AB17" w14:textId="77777777" w:rsidR="001809E5" w:rsidRPr="001048FE" w:rsidRDefault="001809E5" w:rsidP="005115F2">
      <w:pPr>
        <w:pStyle w:val="Guide-NormalBulletpoints"/>
        <w:numPr>
          <w:ilvl w:val="0"/>
          <w:numId w:val="471"/>
        </w:numPr>
        <w:rPr>
          <w:lang w:val="sl-SI"/>
        </w:rPr>
      </w:pPr>
      <w:r w:rsidRPr="001048FE">
        <w:rPr>
          <w:lang w:val="sl-SI"/>
        </w:rPr>
        <w:t>oprema,</w:t>
      </w:r>
      <w:r w:rsidRPr="001048FE">
        <w:rPr>
          <w:spacing w:val="-10"/>
          <w:lang w:val="sl-SI"/>
        </w:rPr>
        <w:t xml:space="preserve"> </w:t>
      </w:r>
      <w:r w:rsidRPr="001048FE">
        <w:rPr>
          <w:lang w:val="sl-SI"/>
        </w:rPr>
        <w:t>kot</w:t>
      </w:r>
      <w:r w:rsidRPr="001048FE">
        <w:rPr>
          <w:spacing w:val="-11"/>
          <w:lang w:val="sl-SI"/>
        </w:rPr>
        <w:t xml:space="preserve"> </w:t>
      </w:r>
      <w:r w:rsidRPr="001048FE">
        <w:rPr>
          <w:lang w:val="sl-SI"/>
        </w:rPr>
        <w:t>je:</w:t>
      </w:r>
      <w:r w:rsidRPr="001048FE">
        <w:rPr>
          <w:spacing w:val="-11"/>
          <w:lang w:val="sl-SI"/>
        </w:rPr>
        <w:t xml:space="preserve"> </w:t>
      </w:r>
      <w:r w:rsidRPr="001048FE">
        <w:rPr>
          <w:lang w:val="sl-SI"/>
        </w:rPr>
        <w:t>pohištvo,</w:t>
      </w:r>
      <w:r w:rsidRPr="001048FE">
        <w:rPr>
          <w:spacing w:val="-11"/>
          <w:lang w:val="sl-SI"/>
        </w:rPr>
        <w:t xml:space="preserve"> </w:t>
      </w:r>
      <w:r w:rsidRPr="001048FE">
        <w:rPr>
          <w:lang w:val="sl-SI"/>
        </w:rPr>
        <w:t>kakršna</w:t>
      </w:r>
      <w:r w:rsidRPr="001048FE">
        <w:rPr>
          <w:spacing w:val="-11"/>
          <w:lang w:val="sl-SI"/>
        </w:rPr>
        <w:t xml:space="preserve"> </w:t>
      </w:r>
      <w:r w:rsidRPr="001048FE">
        <w:rPr>
          <w:lang w:val="sl-SI"/>
        </w:rPr>
        <w:t>koli</w:t>
      </w:r>
      <w:r w:rsidRPr="001048FE">
        <w:rPr>
          <w:spacing w:val="-11"/>
          <w:lang w:val="sl-SI"/>
        </w:rPr>
        <w:t xml:space="preserve"> </w:t>
      </w:r>
      <w:r w:rsidRPr="001048FE">
        <w:rPr>
          <w:lang w:val="sl-SI"/>
        </w:rPr>
        <w:t>motorna</w:t>
      </w:r>
      <w:r w:rsidRPr="001048FE">
        <w:rPr>
          <w:spacing w:val="-11"/>
          <w:lang w:val="sl-SI"/>
        </w:rPr>
        <w:t xml:space="preserve"> </w:t>
      </w:r>
      <w:r w:rsidRPr="001048FE">
        <w:rPr>
          <w:lang w:val="sl-SI"/>
        </w:rPr>
        <w:t>vozila,</w:t>
      </w:r>
      <w:r w:rsidRPr="001048FE">
        <w:rPr>
          <w:spacing w:val="-11"/>
          <w:lang w:val="sl-SI"/>
        </w:rPr>
        <w:t xml:space="preserve"> </w:t>
      </w:r>
      <w:r w:rsidRPr="001048FE">
        <w:rPr>
          <w:lang w:val="sl-SI"/>
        </w:rPr>
        <w:t>oprema</w:t>
      </w:r>
      <w:r w:rsidRPr="001048FE">
        <w:rPr>
          <w:spacing w:val="-10"/>
          <w:lang w:val="sl-SI"/>
        </w:rPr>
        <w:t xml:space="preserve"> </w:t>
      </w:r>
      <w:r w:rsidRPr="001048FE">
        <w:rPr>
          <w:lang w:val="sl-SI"/>
        </w:rPr>
        <w:t>za</w:t>
      </w:r>
      <w:r w:rsidRPr="001048FE">
        <w:rPr>
          <w:spacing w:val="-11"/>
          <w:lang w:val="sl-SI"/>
        </w:rPr>
        <w:t xml:space="preserve"> </w:t>
      </w:r>
      <w:r w:rsidRPr="001048FE">
        <w:rPr>
          <w:lang w:val="sl-SI"/>
        </w:rPr>
        <w:t>raziskave</w:t>
      </w:r>
      <w:r w:rsidRPr="001048FE">
        <w:rPr>
          <w:spacing w:val="-11"/>
          <w:lang w:val="sl-SI"/>
        </w:rPr>
        <w:t xml:space="preserve"> </w:t>
      </w:r>
      <w:r w:rsidRPr="001048FE">
        <w:rPr>
          <w:lang w:val="sl-SI"/>
        </w:rPr>
        <w:t>in</w:t>
      </w:r>
      <w:r w:rsidRPr="001048FE">
        <w:rPr>
          <w:spacing w:val="-11"/>
          <w:lang w:val="sl-SI"/>
        </w:rPr>
        <w:t xml:space="preserve"> </w:t>
      </w:r>
      <w:r w:rsidRPr="001048FE">
        <w:rPr>
          <w:lang w:val="sl-SI"/>
        </w:rPr>
        <w:t>razvoj,</w:t>
      </w:r>
      <w:r w:rsidRPr="001048FE">
        <w:rPr>
          <w:spacing w:val="-11"/>
          <w:lang w:val="sl-SI"/>
        </w:rPr>
        <w:t xml:space="preserve"> </w:t>
      </w:r>
      <w:r w:rsidRPr="001048FE">
        <w:rPr>
          <w:lang w:val="sl-SI"/>
        </w:rPr>
        <w:t>telefoni, mobilni telefoni, alarmni sistemi in sistemi proti</w:t>
      </w:r>
      <w:r w:rsidRPr="001048FE">
        <w:rPr>
          <w:spacing w:val="-6"/>
          <w:lang w:val="sl-SI"/>
        </w:rPr>
        <w:t xml:space="preserve"> </w:t>
      </w:r>
      <w:r w:rsidRPr="001048FE">
        <w:rPr>
          <w:lang w:val="sl-SI"/>
        </w:rPr>
        <w:t>kraji;</w:t>
      </w:r>
    </w:p>
    <w:p w14:paraId="7D39AB18" w14:textId="77777777" w:rsidR="00AD159A" w:rsidRPr="001048FE" w:rsidRDefault="001809E5" w:rsidP="005115F2">
      <w:pPr>
        <w:pStyle w:val="Guide-NormalBulletpoints"/>
        <w:numPr>
          <w:ilvl w:val="0"/>
          <w:numId w:val="471"/>
        </w:numPr>
        <w:rPr>
          <w:lang w:val="sl-SI"/>
        </w:rPr>
      </w:pPr>
      <w:r w:rsidRPr="001048FE">
        <w:rPr>
          <w:lang w:val="sl-SI"/>
        </w:rPr>
        <w:t xml:space="preserve">stroški prostorov (nakup, ogrevanje, vzdrževanje, popravila itd.); </w:t>
      </w:r>
    </w:p>
    <w:p w14:paraId="7D39AB19" w14:textId="77777777" w:rsidR="001809E5" w:rsidRPr="001048FE" w:rsidRDefault="001809E5" w:rsidP="005115F2">
      <w:pPr>
        <w:pStyle w:val="Guide-NormalBulletpoints"/>
        <w:numPr>
          <w:ilvl w:val="0"/>
          <w:numId w:val="471"/>
        </w:numPr>
        <w:rPr>
          <w:lang w:val="sl-SI"/>
        </w:rPr>
      </w:pPr>
      <w:r w:rsidRPr="001048FE">
        <w:rPr>
          <w:lang w:val="sl-SI"/>
        </w:rPr>
        <w:t>stroški, povezani z nakupom nepremičnine;</w:t>
      </w:r>
    </w:p>
    <w:p w14:paraId="7D39AB1A" w14:textId="77777777" w:rsidR="001809E5" w:rsidRPr="001048FE" w:rsidRDefault="001809E5" w:rsidP="005115F2">
      <w:pPr>
        <w:pStyle w:val="Guide-NormalBulletpoints"/>
        <w:numPr>
          <w:ilvl w:val="0"/>
          <w:numId w:val="471"/>
        </w:numPr>
        <w:rPr>
          <w:lang w:val="sl-SI"/>
        </w:rPr>
      </w:pPr>
      <w:r w:rsidRPr="001048FE">
        <w:rPr>
          <w:lang w:val="sl-SI"/>
        </w:rPr>
        <w:t>stroški amortizacije.</w:t>
      </w:r>
    </w:p>
    <w:p w14:paraId="7D39AB1B" w14:textId="77777777" w:rsidR="00500FF0" w:rsidRPr="001048FE" w:rsidRDefault="00500FF0" w:rsidP="006207F4">
      <w:pPr>
        <w:pStyle w:val="Guide-Heading4"/>
        <w:rPr>
          <w:lang w:val="sl-SI"/>
        </w:rPr>
        <w:sectPr w:rsidR="00500FF0" w:rsidRPr="001048FE" w:rsidSect="007F4890">
          <w:endnotePr>
            <w:numFmt w:val="decimal"/>
          </w:endnotePr>
          <w:pgSz w:w="11910" w:h="16840" w:code="9"/>
          <w:pgMar w:top="1134" w:right="1418" w:bottom="1134" w:left="1418" w:header="283" w:footer="567" w:gutter="0"/>
          <w:cols w:space="720"/>
          <w:docGrid w:linePitch="326"/>
        </w:sectPr>
      </w:pPr>
    </w:p>
    <w:p w14:paraId="7D39AB1C" w14:textId="77777777" w:rsidR="001809E5" w:rsidRPr="001048FE" w:rsidRDefault="001809E5" w:rsidP="006207F4">
      <w:pPr>
        <w:pStyle w:val="Guide-Heading4"/>
        <w:rPr>
          <w:lang w:val="sl-SI"/>
        </w:rPr>
      </w:pPr>
      <w:bookmarkStart w:id="756" w:name="_Toc527401381"/>
      <w:r w:rsidRPr="001048FE">
        <w:rPr>
          <w:lang w:val="sl-SI"/>
        </w:rPr>
        <w:t>Obvezna zunanja revizija (revizijsko potrdilo)</w:t>
      </w:r>
      <w:bookmarkEnd w:id="756"/>
    </w:p>
    <w:p w14:paraId="7D39AB1D" w14:textId="77777777" w:rsidR="001809E5" w:rsidRPr="001048FE" w:rsidRDefault="001809E5" w:rsidP="00AD159A">
      <w:pPr>
        <w:pStyle w:val="GUIDE-NORMAL"/>
        <w:rPr>
          <w:lang w:val="sl-SI"/>
        </w:rPr>
      </w:pPr>
      <w:r w:rsidRPr="001048FE">
        <w:rPr>
          <w:lang w:val="sl-SI"/>
        </w:rPr>
        <w:t>Potrdilo o zunanji reviziji (revizija vrste II) računovodskih izkazov ukrepa in s tem povezanih računov je treba poslati skupaj s končnim poročilom in zahtevanimi dokazili.</w:t>
      </w:r>
    </w:p>
    <w:p w14:paraId="7D39AB1E" w14:textId="77777777" w:rsidR="001809E5" w:rsidRPr="001048FE" w:rsidRDefault="001809E5" w:rsidP="00AD159A">
      <w:pPr>
        <w:pStyle w:val="GUIDE-NORMAL"/>
        <w:rPr>
          <w:lang w:val="sl-SI"/>
        </w:rPr>
      </w:pPr>
      <w:r w:rsidRPr="001048FE">
        <w:rPr>
          <w:lang w:val="sl-SI"/>
        </w:rPr>
        <w:t>Namen revizije je Izvajalski agenciji zagotoviti razumno jamstvo, da so bili stroški in potrdila prijavljeni v končnem finančnem poročilu v skladu z ustreznimi pravnimi in finančnimi določbami sporazuma o nepovratnih sredstvih.</w:t>
      </w:r>
    </w:p>
    <w:p w14:paraId="7D39AB1F" w14:textId="77777777" w:rsidR="001809E5" w:rsidRPr="001048FE" w:rsidRDefault="001809E5" w:rsidP="00AD159A">
      <w:pPr>
        <w:pStyle w:val="GUIDE-NORMAL"/>
        <w:rPr>
          <w:lang w:val="sl-SI"/>
        </w:rPr>
      </w:pPr>
      <w:r w:rsidRPr="001048FE">
        <w:rPr>
          <w:lang w:val="sl-SI"/>
        </w:rPr>
        <w:t>Vsak upravičenec lahko prosto izbere usposobljenega zunanjega revizorja, vključno z njegovim zakonitim zunanjim revizorjem, če so izpolnjene</w:t>
      </w:r>
      <w:r w:rsidR="00AD159A" w:rsidRPr="001048FE">
        <w:rPr>
          <w:lang w:val="sl-SI"/>
        </w:rPr>
        <w:t xml:space="preserve"> naslednje kumulativne zahteve:</w:t>
      </w:r>
    </w:p>
    <w:p w14:paraId="7D39AB20" w14:textId="77777777" w:rsidR="001809E5" w:rsidRPr="001048FE" w:rsidRDefault="001809E5" w:rsidP="005115F2">
      <w:pPr>
        <w:pStyle w:val="Guide-NormalBulletpoints"/>
        <w:numPr>
          <w:ilvl w:val="0"/>
          <w:numId w:val="472"/>
        </w:numPr>
        <w:rPr>
          <w:lang w:val="sl-SI"/>
        </w:rPr>
      </w:pPr>
      <w:r w:rsidRPr="001048FE">
        <w:rPr>
          <w:lang w:val="sl-SI"/>
        </w:rPr>
        <w:t>zunanji revizor mora biti neodvisen od upravičenca;</w:t>
      </w:r>
    </w:p>
    <w:p w14:paraId="7D39AB21" w14:textId="77777777" w:rsidR="001809E5" w:rsidRPr="001048FE" w:rsidRDefault="001809E5" w:rsidP="005115F2">
      <w:pPr>
        <w:pStyle w:val="Guide-NormalBulletpoints"/>
        <w:numPr>
          <w:ilvl w:val="0"/>
          <w:numId w:val="472"/>
        </w:numPr>
        <w:rPr>
          <w:lang w:val="sl-SI"/>
        </w:rPr>
      </w:pPr>
      <w:r w:rsidRPr="001048FE">
        <w:rPr>
          <w:lang w:val="sl-SI"/>
        </w:rPr>
        <w:t>zunanji</w:t>
      </w:r>
      <w:r w:rsidRPr="001048FE">
        <w:rPr>
          <w:spacing w:val="-14"/>
          <w:lang w:val="sl-SI"/>
        </w:rPr>
        <w:t xml:space="preserve"> </w:t>
      </w:r>
      <w:r w:rsidRPr="001048FE">
        <w:rPr>
          <w:lang w:val="sl-SI"/>
        </w:rPr>
        <w:t>revizor</w:t>
      </w:r>
      <w:r w:rsidRPr="001048FE">
        <w:rPr>
          <w:spacing w:val="-14"/>
          <w:lang w:val="sl-SI"/>
        </w:rPr>
        <w:t xml:space="preserve"> </w:t>
      </w:r>
      <w:r w:rsidRPr="001048FE">
        <w:rPr>
          <w:lang w:val="sl-SI"/>
        </w:rPr>
        <w:t>mora</w:t>
      </w:r>
      <w:r w:rsidRPr="001048FE">
        <w:rPr>
          <w:spacing w:val="-14"/>
          <w:lang w:val="sl-SI"/>
        </w:rPr>
        <w:t xml:space="preserve"> </w:t>
      </w:r>
      <w:r w:rsidRPr="001048FE">
        <w:rPr>
          <w:lang w:val="sl-SI"/>
        </w:rPr>
        <w:t>biti</w:t>
      </w:r>
      <w:r w:rsidRPr="001048FE">
        <w:rPr>
          <w:spacing w:val="-14"/>
          <w:lang w:val="sl-SI"/>
        </w:rPr>
        <w:t xml:space="preserve"> </w:t>
      </w:r>
      <w:r w:rsidRPr="001048FE">
        <w:rPr>
          <w:lang w:val="sl-SI"/>
        </w:rPr>
        <w:t>usposobljen</w:t>
      </w:r>
      <w:r w:rsidRPr="001048FE">
        <w:rPr>
          <w:spacing w:val="-14"/>
          <w:lang w:val="sl-SI"/>
        </w:rPr>
        <w:t xml:space="preserve"> </w:t>
      </w:r>
      <w:r w:rsidRPr="001048FE">
        <w:rPr>
          <w:lang w:val="sl-SI"/>
        </w:rPr>
        <w:t>za</w:t>
      </w:r>
      <w:r w:rsidRPr="001048FE">
        <w:rPr>
          <w:spacing w:val="-14"/>
          <w:lang w:val="sl-SI"/>
        </w:rPr>
        <w:t xml:space="preserve"> </w:t>
      </w:r>
      <w:r w:rsidRPr="001048FE">
        <w:rPr>
          <w:lang w:val="sl-SI"/>
        </w:rPr>
        <w:t>izvajanje</w:t>
      </w:r>
      <w:r w:rsidRPr="001048FE">
        <w:rPr>
          <w:spacing w:val="-14"/>
          <w:lang w:val="sl-SI"/>
        </w:rPr>
        <w:t xml:space="preserve"> </w:t>
      </w:r>
      <w:r w:rsidRPr="001048FE">
        <w:rPr>
          <w:lang w:val="sl-SI"/>
        </w:rPr>
        <w:t>zakonsko</w:t>
      </w:r>
      <w:r w:rsidRPr="001048FE">
        <w:rPr>
          <w:spacing w:val="-14"/>
          <w:lang w:val="sl-SI"/>
        </w:rPr>
        <w:t xml:space="preserve"> </w:t>
      </w:r>
      <w:r w:rsidRPr="001048FE">
        <w:rPr>
          <w:lang w:val="sl-SI"/>
        </w:rPr>
        <w:t>predpisanih</w:t>
      </w:r>
      <w:r w:rsidRPr="001048FE">
        <w:rPr>
          <w:spacing w:val="-14"/>
          <w:lang w:val="sl-SI"/>
        </w:rPr>
        <w:t xml:space="preserve"> </w:t>
      </w:r>
      <w:r w:rsidRPr="001048FE">
        <w:rPr>
          <w:lang w:val="sl-SI"/>
        </w:rPr>
        <w:t>revizij</w:t>
      </w:r>
      <w:r w:rsidRPr="001048FE">
        <w:rPr>
          <w:spacing w:val="-14"/>
          <w:lang w:val="sl-SI"/>
        </w:rPr>
        <w:t xml:space="preserve"> </w:t>
      </w:r>
      <w:r w:rsidRPr="001048FE">
        <w:rPr>
          <w:lang w:val="sl-SI"/>
        </w:rPr>
        <w:t>računovodskih listin</w:t>
      </w:r>
      <w:r w:rsidRPr="001048FE">
        <w:rPr>
          <w:spacing w:val="-10"/>
          <w:lang w:val="sl-SI"/>
        </w:rPr>
        <w:t xml:space="preserve"> </w:t>
      </w:r>
      <w:r w:rsidRPr="001048FE">
        <w:rPr>
          <w:lang w:val="sl-SI"/>
        </w:rPr>
        <w:t>v</w:t>
      </w:r>
      <w:r w:rsidRPr="001048FE">
        <w:rPr>
          <w:spacing w:val="-10"/>
          <w:lang w:val="sl-SI"/>
        </w:rPr>
        <w:t xml:space="preserve"> </w:t>
      </w:r>
      <w:r w:rsidRPr="001048FE">
        <w:rPr>
          <w:lang w:val="sl-SI"/>
        </w:rPr>
        <w:t>skladu</w:t>
      </w:r>
      <w:r w:rsidRPr="001048FE">
        <w:rPr>
          <w:spacing w:val="-10"/>
          <w:lang w:val="sl-SI"/>
        </w:rPr>
        <w:t xml:space="preserve"> </w:t>
      </w:r>
      <w:r w:rsidRPr="001048FE">
        <w:rPr>
          <w:lang w:val="sl-SI"/>
        </w:rPr>
        <w:t>z</w:t>
      </w:r>
      <w:r w:rsidRPr="001048FE">
        <w:rPr>
          <w:spacing w:val="-10"/>
          <w:lang w:val="sl-SI"/>
        </w:rPr>
        <w:t xml:space="preserve"> </w:t>
      </w:r>
      <w:r w:rsidRPr="001048FE">
        <w:rPr>
          <w:lang w:val="sl-SI"/>
        </w:rPr>
        <w:t>nacionalno</w:t>
      </w:r>
      <w:r w:rsidRPr="001048FE">
        <w:rPr>
          <w:spacing w:val="-10"/>
          <w:lang w:val="sl-SI"/>
        </w:rPr>
        <w:t xml:space="preserve"> </w:t>
      </w:r>
      <w:r w:rsidRPr="001048FE">
        <w:rPr>
          <w:lang w:val="sl-SI"/>
        </w:rPr>
        <w:t>zakonodajo,</w:t>
      </w:r>
      <w:r w:rsidRPr="001048FE">
        <w:rPr>
          <w:spacing w:val="-10"/>
          <w:lang w:val="sl-SI"/>
        </w:rPr>
        <w:t xml:space="preserve"> </w:t>
      </w:r>
      <w:r w:rsidRPr="001048FE">
        <w:rPr>
          <w:lang w:val="sl-SI"/>
        </w:rPr>
        <w:t>ki</w:t>
      </w:r>
      <w:r w:rsidRPr="001048FE">
        <w:rPr>
          <w:spacing w:val="-10"/>
          <w:lang w:val="sl-SI"/>
        </w:rPr>
        <w:t xml:space="preserve"> </w:t>
      </w:r>
      <w:r w:rsidRPr="001048FE">
        <w:rPr>
          <w:lang w:val="sl-SI"/>
        </w:rPr>
        <w:t>izvaja</w:t>
      </w:r>
      <w:r w:rsidRPr="001048FE">
        <w:rPr>
          <w:spacing w:val="-10"/>
          <w:lang w:val="sl-SI"/>
        </w:rPr>
        <w:t xml:space="preserve"> </w:t>
      </w:r>
      <w:r w:rsidRPr="001048FE">
        <w:rPr>
          <w:lang w:val="sl-SI"/>
        </w:rPr>
        <w:t>direktivo</w:t>
      </w:r>
      <w:r w:rsidRPr="001048FE">
        <w:rPr>
          <w:spacing w:val="-10"/>
          <w:lang w:val="sl-SI"/>
        </w:rPr>
        <w:t xml:space="preserve"> </w:t>
      </w:r>
      <w:r w:rsidRPr="001048FE">
        <w:rPr>
          <w:lang w:val="sl-SI"/>
        </w:rPr>
        <w:t>Sveta</w:t>
      </w:r>
      <w:r w:rsidRPr="001048FE">
        <w:rPr>
          <w:spacing w:val="-10"/>
          <w:lang w:val="sl-SI"/>
        </w:rPr>
        <w:t xml:space="preserve"> </w:t>
      </w:r>
      <w:r w:rsidRPr="001048FE">
        <w:rPr>
          <w:lang w:val="sl-SI"/>
        </w:rPr>
        <w:t>o</w:t>
      </w:r>
      <w:r w:rsidRPr="001048FE">
        <w:rPr>
          <w:spacing w:val="-10"/>
          <w:lang w:val="sl-SI"/>
        </w:rPr>
        <w:t xml:space="preserve"> </w:t>
      </w:r>
      <w:r w:rsidRPr="001048FE">
        <w:rPr>
          <w:lang w:val="sl-SI"/>
        </w:rPr>
        <w:t>obveznih</w:t>
      </w:r>
      <w:r w:rsidRPr="001048FE">
        <w:rPr>
          <w:spacing w:val="-10"/>
          <w:lang w:val="sl-SI"/>
        </w:rPr>
        <w:t xml:space="preserve"> </w:t>
      </w:r>
      <w:r w:rsidRPr="001048FE">
        <w:rPr>
          <w:lang w:val="sl-SI"/>
        </w:rPr>
        <w:t>revizijah</w:t>
      </w:r>
      <w:r w:rsidRPr="001048FE">
        <w:rPr>
          <w:spacing w:val="-10"/>
          <w:lang w:val="sl-SI"/>
        </w:rPr>
        <w:t xml:space="preserve"> </w:t>
      </w:r>
      <w:r w:rsidRPr="001048FE">
        <w:rPr>
          <w:lang w:val="sl-SI"/>
        </w:rPr>
        <w:t>za</w:t>
      </w:r>
      <w:r w:rsidRPr="001048FE">
        <w:rPr>
          <w:spacing w:val="-10"/>
          <w:lang w:val="sl-SI"/>
        </w:rPr>
        <w:t xml:space="preserve"> </w:t>
      </w:r>
      <w:r w:rsidRPr="001048FE">
        <w:rPr>
          <w:lang w:val="sl-SI"/>
        </w:rPr>
        <w:t>letne in konsolidirane računovodske izkaze, ali katerim koli pravnim aktom Evropske unije, ki nadomešča navedeno</w:t>
      </w:r>
      <w:r w:rsidRPr="001048FE">
        <w:rPr>
          <w:spacing w:val="-6"/>
          <w:lang w:val="sl-SI"/>
        </w:rPr>
        <w:t xml:space="preserve"> </w:t>
      </w:r>
      <w:r w:rsidRPr="001048FE">
        <w:rPr>
          <w:lang w:val="sl-SI"/>
        </w:rPr>
        <w:t>direktivo.</w:t>
      </w:r>
    </w:p>
    <w:p w14:paraId="7D39AB22" w14:textId="77777777" w:rsidR="001809E5" w:rsidRPr="001048FE" w:rsidRDefault="001809E5" w:rsidP="00AD159A">
      <w:pPr>
        <w:pStyle w:val="GUIDE-NORMAL"/>
        <w:rPr>
          <w:lang w:val="sl-SI"/>
        </w:rPr>
      </w:pPr>
      <w:r w:rsidRPr="001048FE">
        <w:rPr>
          <w:lang w:val="sl-SI"/>
        </w:rPr>
        <w:t>Upravičenec</w:t>
      </w:r>
      <w:r w:rsidRPr="001048FE">
        <w:rPr>
          <w:spacing w:val="-16"/>
          <w:lang w:val="sl-SI"/>
        </w:rPr>
        <w:t xml:space="preserve"> </w:t>
      </w:r>
      <w:r w:rsidRPr="001048FE">
        <w:rPr>
          <w:lang w:val="sl-SI"/>
        </w:rPr>
        <w:t>s</w:t>
      </w:r>
      <w:r w:rsidRPr="001048FE">
        <w:rPr>
          <w:spacing w:val="-16"/>
          <w:lang w:val="sl-SI"/>
        </w:rPr>
        <w:t xml:space="preserve"> </w:t>
      </w:r>
      <w:r w:rsidRPr="001048FE">
        <w:rPr>
          <w:lang w:val="sl-SI"/>
        </w:rPr>
        <w:t>sedežem</w:t>
      </w:r>
      <w:r w:rsidRPr="001048FE">
        <w:rPr>
          <w:spacing w:val="-16"/>
          <w:lang w:val="sl-SI"/>
        </w:rPr>
        <w:t xml:space="preserve"> </w:t>
      </w:r>
      <w:r w:rsidRPr="001048FE">
        <w:rPr>
          <w:lang w:val="sl-SI"/>
        </w:rPr>
        <w:t>v</w:t>
      </w:r>
      <w:r w:rsidRPr="001048FE">
        <w:rPr>
          <w:spacing w:val="-16"/>
          <w:lang w:val="sl-SI"/>
        </w:rPr>
        <w:t xml:space="preserve"> </w:t>
      </w:r>
      <w:r w:rsidRPr="001048FE">
        <w:rPr>
          <w:lang w:val="sl-SI"/>
        </w:rPr>
        <w:t>tretji</w:t>
      </w:r>
      <w:r w:rsidRPr="001048FE">
        <w:rPr>
          <w:spacing w:val="-16"/>
          <w:lang w:val="sl-SI"/>
        </w:rPr>
        <w:t xml:space="preserve"> </w:t>
      </w:r>
      <w:r w:rsidRPr="001048FE">
        <w:rPr>
          <w:lang w:val="sl-SI"/>
        </w:rPr>
        <w:t>državi</w:t>
      </w:r>
      <w:r w:rsidRPr="001048FE">
        <w:rPr>
          <w:spacing w:val="-16"/>
          <w:lang w:val="sl-SI"/>
        </w:rPr>
        <w:t xml:space="preserve"> </w:t>
      </w:r>
      <w:r w:rsidRPr="001048FE">
        <w:rPr>
          <w:lang w:val="sl-SI"/>
        </w:rPr>
        <w:t>mora</w:t>
      </w:r>
      <w:r w:rsidRPr="001048FE">
        <w:rPr>
          <w:spacing w:val="-16"/>
          <w:lang w:val="sl-SI"/>
        </w:rPr>
        <w:t xml:space="preserve"> </w:t>
      </w:r>
      <w:r w:rsidRPr="001048FE">
        <w:rPr>
          <w:lang w:val="sl-SI"/>
        </w:rPr>
        <w:t>izpolnjevati</w:t>
      </w:r>
      <w:r w:rsidRPr="001048FE">
        <w:rPr>
          <w:spacing w:val="-16"/>
          <w:lang w:val="sl-SI"/>
        </w:rPr>
        <w:t xml:space="preserve"> </w:t>
      </w:r>
      <w:r w:rsidRPr="001048FE">
        <w:rPr>
          <w:lang w:val="sl-SI"/>
        </w:rPr>
        <w:t>enakovredne</w:t>
      </w:r>
      <w:r w:rsidRPr="001048FE">
        <w:rPr>
          <w:spacing w:val="-16"/>
          <w:lang w:val="sl-SI"/>
        </w:rPr>
        <w:t xml:space="preserve"> </w:t>
      </w:r>
      <w:r w:rsidRPr="001048FE">
        <w:rPr>
          <w:lang w:val="sl-SI"/>
        </w:rPr>
        <w:t>nacionalne</w:t>
      </w:r>
      <w:r w:rsidRPr="001048FE">
        <w:rPr>
          <w:spacing w:val="-16"/>
          <w:lang w:val="sl-SI"/>
        </w:rPr>
        <w:t xml:space="preserve"> </w:t>
      </w:r>
      <w:r w:rsidRPr="001048FE">
        <w:rPr>
          <w:lang w:val="sl-SI"/>
        </w:rPr>
        <w:t>predpise</w:t>
      </w:r>
      <w:r w:rsidRPr="001048FE">
        <w:rPr>
          <w:spacing w:val="-16"/>
          <w:lang w:val="sl-SI"/>
        </w:rPr>
        <w:t xml:space="preserve"> </w:t>
      </w:r>
      <w:r w:rsidRPr="001048FE">
        <w:rPr>
          <w:lang w:val="sl-SI"/>
        </w:rPr>
        <w:t>na področju</w:t>
      </w:r>
      <w:r w:rsidRPr="001048FE">
        <w:rPr>
          <w:spacing w:val="-3"/>
          <w:lang w:val="sl-SI"/>
        </w:rPr>
        <w:t xml:space="preserve"> </w:t>
      </w:r>
      <w:r w:rsidRPr="001048FE">
        <w:rPr>
          <w:lang w:val="sl-SI"/>
        </w:rPr>
        <w:t>revizije.</w:t>
      </w:r>
    </w:p>
    <w:p w14:paraId="7D39AB23" w14:textId="77777777" w:rsidR="001809E5" w:rsidRPr="001048FE" w:rsidRDefault="001809E5" w:rsidP="00AD159A">
      <w:pPr>
        <w:pStyle w:val="Guide-Heading4"/>
        <w:rPr>
          <w:lang w:val="sl-SI"/>
        </w:rPr>
      </w:pPr>
      <w:bookmarkStart w:id="757" w:name="_Toc527401382"/>
      <w:r w:rsidRPr="001048FE">
        <w:rPr>
          <w:lang w:val="sl-SI"/>
        </w:rPr>
        <w:t>Dokazila</w:t>
      </w:r>
      <w:bookmarkEnd w:id="757"/>
    </w:p>
    <w:p w14:paraId="7D39AB24" w14:textId="77777777" w:rsidR="001809E5" w:rsidRPr="001048FE" w:rsidRDefault="001809E5" w:rsidP="00AD159A">
      <w:pPr>
        <w:pStyle w:val="GUIDE-NORMAL"/>
        <w:rPr>
          <w:lang w:val="sl-SI"/>
        </w:rPr>
      </w:pPr>
      <w:r w:rsidRPr="001048FE">
        <w:rPr>
          <w:lang w:val="sl-SI"/>
        </w:rPr>
        <w:t>Če se tako zahteva, je treba poslati čitljive izvode (ne izvirnike) dokazil. V primeru dvomov v zvezi z določeno točko lahko Agencija zahteva, da se predložijo vsa dokazila.</w:t>
      </w:r>
    </w:p>
    <w:p w14:paraId="7D39AB25" w14:textId="77777777" w:rsidR="001809E5" w:rsidRPr="001048FE" w:rsidRDefault="001809E5" w:rsidP="00AD159A">
      <w:pPr>
        <w:pStyle w:val="GUIDE-NORMAL"/>
        <w:rPr>
          <w:lang w:val="sl-SI"/>
        </w:rPr>
      </w:pPr>
      <w:r w:rsidRPr="001048FE">
        <w:rPr>
          <w:lang w:val="sl-SI"/>
        </w:rPr>
        <w:t>Predložitev</w:t>
      </w:r>
      <w:r w:rsidRPr="001048FE">
        <w:rPr>
          <w:spacing w:val="-18"/>
          <w:lang w:val="sl-SI"/>
        </w:rPr>
        <w:t xml:space="preserve"> </w:t>
      </w:r>
      <w:r w:rsidRPr="001048FE">
        <w:rPr>
          <w:lang w:val="sl-SI"/>
        </w:rPr>
        <w:t>potrebnih</w:t>
      </w:r>
      <w:r w:rsidRPr="001048FE">
        <w:rPr>
          <w:spacing w:val="-18"/>
          <w:lang w:val="sl-SI"/>
        </w:rPr>
        <w:t xml:space="preserve"> </w:t>
      </w:r>
      <w:r w:rsidRPr="001048FE">
        <w:rPr>
          <w:lang w:val="sl-SI"/>
        </w:rPr>
        <w:t>dokazil</w:t>
      </w:r>
      <w:r w:rsidRPr="001048FE">
        <w:rPr>
          <w:spacing w:val="-18"/>
          <w:lang w:val="sl-SI"/>
        </w:rPr>
        <w:t xml:space="preserve"> </w:t>
      </w:r>
      <w:r w:rsidRPr="001048FE">
        <w:rPr>
          <w:lang w:val="sl-SI"/>
        </w:rPr>
        <w:t>je</w:t>
      </w:r>
      <w:r w:rsidRPr="001048FE">
        <w:rPr>
          <w:spacing w:val="-18"/>
          <w:lang w:val="sl-SI"/>
        </w:rPr>
        <w:t xml:space="preserve"> </w:t>
      </w:r>
      <w:r w:rsidRPr="001048FE">
        <w:rPr>
          <w:lang w:val="sl-SI"/>
        </w:rPr>
        <w:t>sestavni</w:t>
      </w:r>
      <w:r w:rsidRPr="001048FE">
        <w:rPr>
          <w:spacing w:val="-18"/>
          <w:lang w:val="sl-SI"/>
        </w:rPr>
        <w:t xml:space="preserve"> </w:t>
      </w:r>
      <w:r w:rsidRPr="001048FE">
        <w:rPr>
          <w:lang w:val="sl-SI"/>
        </w:rPr>
        <w:t>del</w:t>
      </w:r>
      <w:r w:rsidRPr="001048FE">
        <w:rPr>
          <w:spacing w:val="-18"/>
          <w:lang w:val="sl-SI"/>
        </w:rPr>
        <w:t xml:space="preserve"> </w:t>
      </w:r>
      <w:r w:rsidRPr="001048FE">
        <w:rPr>
          <w:lang w:val="sl-SI"/>
        </w:rPr>
        <w:t>obveznosti</w:t>
      </w:r>
      <w:r w:rsidRPr="001048FE">
        <w:rPr>
          <w:spacing w:val="-17"/>
          <w:lang w:val="sl-SI"/>
        </w:rPr>
        <w:t xml:space="preserve"> </w:t>
      </w:r>
      <w:r w:rsidRPr="001048FE">
        <w:rPr>
          <w:lang w:val="sl-SI"/>
        </w:rPr>
        <w:t>sporazuma,</w:t>
      </w:r>
      <w:r w:rsidRPr="001048FE">
        <w:rPr>
          <w:spacing w:val="-18"/>
          <w:lang w:val="sl-SI"/>
        </w:rPr>
        <w:t xml:space="preserve"> </w:t>
      </w:r>
      <w:r w:rsidRPr="001048FE">
        <w:rPr>
          <w:lang w:val="sl-SI"/>
        </w:rPr>
        <w:t>zato</w:t>
      </w:r>
      <w:r w:rsidRPr="001048FE">
        <w:rPr>
          <w:spacing w:val="-18"/>
          <w:lang w:val="sl-SI"/>
        </w:rPr>
        <w:t xml:space="preserve"> </w:t>
      </w:r>
      <w:r w:rsidRPr="001048FE">
        <w:rPr>
          <w:lang w:val="sl-SI"/>
        </w:rPr>
        <w:t>bo</w:t>
      </w:r>
      <w:r w:rsidRPr="001048FE">
        <w:rPr>
          <w:spacing w:val="-18"/>
          <w:lang w:val="sl-SI"/>
        </w:rPr>
        <w:t xml:space="preserve"> </w:t>
      </w:r>
      <w:r w:rsidRPr="001048FE">
        <w:rPr>
          <w:lang w:val="sl-SI"/>
        </w:rPr>
        <w:t>morda</w:t>
      </w:r>
      <w:r w:rsidRPr="001048FE">
        <w:rPr>
          <w:spacing w:val="-18"/>
          <w:lang w:val="sl-SI"/>
        </w:rPr>
        <w:t xml:space="preserve"> </w:t>
      </w:r>
      <w:r w:rsidRPr="001048FE">
        <w:rPr>
          <w:lang w:val="sl-SI"/>
        </w:rPr>
        <w:t>potrebno povračilo ustreznih stroškov, če eno ali več dokazil ne bo</w:t>
      </w:r>
      <w:r w:rsidRPr="001048FE">
        <w:rPr>
          <w:spacing w:val="-43"/>
          <w:lang w:val="sl-SI"/>
        </w:rPr>
        <w:t xml:space="preserve"> </w:t>
      </w:r>
      <w:r w:rsidRPr="001048FE">
        <w:rPr>
          <w:lang w:val="sl-SI"/>
        </w:rPr>
        <w:t>predloženih.</w:t>
      </w:r>
    </w:p>
    <w:p w14:paraId="7D39AB26" w14:textId="77777777" w:rsidR="001809E5" w:rsidRPr="001048FE" w:rsidRDefault="001809E5" w:rsidP="00AD159A">
      <w:pPr>
        <w:pStyle w:val="GUIDE-NORMAL"/>
        <w:rPr>
          <w:lang w:val="sl-SI"/>
        </w:rPr>
      </w:pPr>
      <w:r w:rsidRPr="001048FE">
        <w:rPr>
          <w:lang w:val="sl-SI"/>
        </w:rPr>
        <w:t>Končnemu poročilu je treba priložiti izvode pogodb o podizvajanju in računov, ki presegajo 25 000 EUR.</w:t>
      </w:r>
    </w:p>
    <w:p w14:paraId="7D39AB27" w14:textId="77777777" w:rsidR="00C95A78" w:rsidRPr="001048FE" w:rsidRDefault="001809E5" w:rsidP="00AD159A">
      <w:pPr>
        <w:pStyle w:val="GUIDE-NORMAL"/>
        <w:rPr>
          <w:lang w:val="sl-SI"/>
        </w:rPr>
      </w:pPr>
      <w:r w:rsidRPr="001048FE">
        <w:rPr>
          <w:lang w:val="sl-SI"/>
        </w:rPr>
        <w:t>Pridobiti</w:t>
      </w:r>
      <w:r w:rsidRPr="001048FE">
        <w:rPr>
          <w:spacing w:val="-10"/>
          <w:lang w:val="sl-SI"/>
        </w:rPr>
        <w:t xml:space="preserve"> </w:t>
      </w:r>
      <w:r w:rsidRPr="001048FE">
        <w:rPr>
          <w:lang w:val="sl-SI"/>
        </w:rPr>
        <w:t>je</w:t>
      </w:r>
      <w:r w:rsidRPr="001048FE">
        <w:rPr>
          <w:spacing w:val="-10"/>
          <w:lang w:val="sl-SI"/>
        </w:rPr>
        <w:t xml:space="preserve"> </w:t>
      </w:r>
      <w:r w:rsidRPr="001048FE">
        <w:rPr>
          <w:lang w:val="sl-SI"/>
        </w:rPr>
        <w:t>treba</w:t>
      </w:r>
      <w:r w:rsidRPr="001048FE">
        <w:rPr>
          <w:spacing w:val="-10"/>
          <w:lang w:val="sl-SI"/>
        </w:rPr>
        <w:t xml:space="preserve"> </w:t>
      </w:r>
      <w:r w:rsidRPr="001048FE">
        <w:rPr>
          <w:lang w:val="sl-SI"/>
        </w:rPr>
        <w:t>ponudbe</w:t>
      </w:r>
      <w:r w:rsidRPr="001048FE">
        <w:rPr>
          <w:spacing w:val="-10"/>
          <w:lang w:val="sl-SI"/>
        </w:rPr>
        <w:t xml:space="preserve"> </w:t>
      </w:r>
      <w:r w:rsidRPr="001048FE">
        <w:rPr>
          <w:lang w:val="sl-SI"/>
        </w:rPr>
        <w:t>vsaj</w:t>
      </w:r>
      <w:r w:rsidRPr="001048FE">
        <w:rPr>
          <w:spacing w:val="-10"/>
          <w:lang w:val="sl-SI"/>
        </w:rPr>
        <w:t xml:space="preserve"> </w:t>
      </w:r>
      <w:r w:rsidRPr="001048FE">
        <w:rPr>
          <w:lang w:val="sl-SI"/>
        </w:rPr>
        <w:t>treh</w:t>
      </w:r>
      <w:r w:rsidRPr="001048FE">
        <w:rPr>
          <w:spacing w:val="-10"/>
          <w:lang w:val="sl-SI"/>
        </w:rPr>
        <w:t xml:space="preserve"> </w:t>
      </w:r>
      <w:r w:rsidRPr="001048FE">
        <w:rPr>
          <w:lang w:val="sl-SI"/>
        </w:rPr>
        <w:t>izvajalcev</w:t>
      </w:r>
      <w:r w:rsidRPr="001048FE">
        <w:rPr>
          <w:spacing w:val="-10"/>
          <w:lang w:val="sl-SI"/>
        </w:rPr>
        <w:t xml:space="preserve"> </w:t>
      </w:r>
      <w:r w:rsidRPr="001048FE">
        <w:rPr>
          <w:lang w:val="sl-SI"/>
        </w:rPr>
        <w:t>za</w:t>
      </w:r>
      <w:r w:rsidRPr="001048FE">
        <w:rPr>
          <w:spacing w:val="-10"/>
          <w:lang w:val="sl-SI"/>
        </w:rPr>
        <w:t xml:space="preserve"> </w:t>
      </w:r>
      <w:r w:rsidRPr="001048FE">
        <w:rPr>
          <w:lang w:val="sl-SI"/>
        </w:rPr>
        <w:t>vse</w:t>
      </w:r>
      <w:r w:rsidRPr="001048FE">
        <w:rPr>
          <w:spacing w:val="-10"/>
          <w:lang w:val="sl-SI"/>
        </w:rPr>
        <w:t xml:space="preserve"> </w:t>
      </w:r>
      <w:r w:rsidRPr="001048FE">
        <w:rPr>
          <w:lang w:val="sl-SI"/>
        </w:rPr>
        <w:t>nakupe</w:t>
      </w:r>
      <w:r w:rsidRPr="001048FE">
        <w:rPr>
          <w:spacing w:val="-10"/>
          <w:lang w:val="sl-SI"/>
        </w:rPr>
        <w:t xml:space="preserve"> </w:t>
      </w:r>
      <w:r w:rsidRPr="001048FE">
        <w:rPr>
          <w:lang w:val="sl-SI"/>
        </w:rPr>
        <w:t>opreme</w:t>
      </w:r>
      <w:r w:rsidRPr="001048FE">
        <w:rPr>
          <w:spacing w:val="-9"/>
          <w:lang w:val="sl-SI"/>
        </w:rPr>
        <w:t xml:space="preserve"> </w:t>
      </w:r>
      <w:r w:rsidRPr="001048FE">
        <w:rPr>
          <w:lang w:val="sl-SI"/>
        </w:rPr>
        <w:t>in</w:t>
      </w:r>
      <w:r w:rsidRPr="001048FE">
        <w:rPr>
          <w:spacing w:val="-10"/>
          <w:lang w:val="sl-SI"/>
        </w:rPr>
        <w:t xml:space="preserve"> </w:t>
      </w:r>
      <w:r w:rsidRPr="001048FE">
        <w:rPr>
          <w:lang w:val="sl-SI"/>
        </w:rPr>
        <w:t>storitev,</w:t>
      </w:r>
      <w:r w:rsidRPr="001048FE">
        <w:rPr>
          <w:spacing w:val="-10"/>
          <w:lang w:val="sl-SI"/>
        </w:rPr>
        <w:t xml:space="preserve"> </w:t>
      </w:r>
      <w:r w:rsidRPr="001048FE">
        <w:rPr>
          <w:lang w:val="sl-SI"/>
        </w:rPr>
        <w:t>ki</w:t>
      </w:r>
      <w:r w:rsidRPr="001048FE">
        <w:rPr>
          <w:spacing w:val="-10"/>
          <w:lang w:val="sl-SI"/>
        </w:rPr>
        <w:t xml:space="preserve"> </w:t>
      </w:r>
      <w:r w:rsidRPr="001048FE">
        <w:rPr>
          <w:lang w:val="sl-SI"/>
        </w:rPr>
        <w:t>presegajo 25 000 EUR, ne glede na proračunsko</w:t>
      </w:r>
      <w:r w:rsidRPr="001048FE">
        <w:rPr>
          <w:spacing w:val="-26"/>
          <w:lang w:val="sl-SI"/>
        </w:rPr>
        <w:t xml:space="preserve"> </w:t>
      </w:r>
      <w:r w:rsidRPr="001048FE">
        <w:rPr>
          <w:lang w:val="sl-SI"/>
        </w:rPr>
        <w:t>postavko.</w:t>
      </w:r>
    </w:p>
    <w:p w14:paraId="7D39AB28" w14:textId="77777777" w:rsidR="00C12526" w:rsidRDefault="00C12526">
      <w:pPr>
        <w:widowControl/>
        <w:suppressAutoHyphens w:val="0"/>
        <w:autoSpaceDN/>
        <w:textAlignment w:val="auto"/>
        <w:rPr>
          <w:rFonts w:eastAsia="Times New Roman" w:cs="Times New Roman"/>
          <w:b/>
          <w:smallCaps/>
          <w:sz w:val="40"/>
          <w:szCs w:val="20"/>
          <w:lang w:val="sl-SI"/>
        </w:rPr>
      </w:pPr>
      <w:bookmarkStart w:id="758" w:name="Annexe_II_–_Diffusion_et_exploitation_de"/>
      <w:bookmarkStart w:id="759" w:name="_bookmark83"/>
      <w:bookmarkEnd w:id="758"/>
      <w:bookmarkEnd w:id="759"/>
    </w:p>
    <w:p w14:paraId="7D39AB29" w14:textId="77777777" w:rsidR="00B96270" w:rsidRPr="001048FE" w:rsidRDefault="00B96270" w:rsidP="00743D03">
      <w:pPr>
        <w:pStyle w:val="Guide-Heading1"/>
        <w:rPr>
          <w:lang w:val="sl-SI"/>
        </w:rPr>
        <w:sectPr w:rsidR="00B96270" w:rsidRPr="001048FE" w:rsidSect="007F4890">
          <w:endnotePr>
            <w:numFmt w:val="decimal"/>
          </w:endnotePr>
          <w:pgSz w:w="11910" w:h="16840" w:code="9"/>
          <w:pgMar w:top="1134" w:right="1418" w:bottom="1134" w:left="1418" w:header="283" w:footer="567" w:gutter="0"/>
          <w:cols w:space="720"/>
          <w:docGrid w:linePitch="326"/>
        </w:sectPr>
      </w:pPr>
    </w:p>
    <w:p w14:paraId="7D39AB2A" w14:textId="77777777" w:rsidR="0078118E" w:rsidRPr="001048FE" w:rsidRDefault="0078118E" w:rsidP="0031785E">
      <w:pPr>
        <w:pStyle w:val="Guide-Heading1"/>
        <w:ind w:left="720"/>
        <w:jc w:val="left"/>
        <w:rPr>
          <w:lang w:val="sl-SI"/>
        </w:rPr>
      </w:pPr>
      <w:bookmarkStart w:id="760" w:name="_Toc527400992"/>
      <w:bookmarkStart w:id="761" w:name="_Toc527401383"/>
      <w:r w:rsidRPr="001048FE">
        <w:rPr>
          <w:lang w:val="sl-SI"/>
        </w:rPr>
        <w:t>Priloga II– Razširjanje in uporaba</w:t>
      </w:r>
      <w:r w:rsidR="0031785E" w:rsidRPr="001048FE">
        <w:rPr>
          <w:lang w:val="sl-SI"/>
        </w:rPr>
        <w:t xml:space="preserve"> </w:t>
      </w:r>
      <w:r w:rsidRPr="001048FE">
        <w:rPr>
          <w:lang w:val="sl-SI"/>
        </w:rPr>
        <w:t>rezultatov</w:t>
      </w:r>
      <w:bookmarkEnd w:id="760"/>
      <w:bookmarkEnd w:id="761"/>
    </w:p>
    <w:p w14:paraId="7D39AB2B" w14:textId="77777777" w:rsidR="0078118E" w:rsidRPr="001048FE" w:rsidRDefault="0078118E" w:rsidP="00AB3A8A">
      <w:pPr>
        <w:pStyle w:val="Guide-BigSubtitle"/>
        <w:rPr>
          <w:lang w:val="sl-SI"/>
        </w:rPr>
      </w:pPr>
      <w:r w:rsidRPr="001048FE">
        <w:rPr>
          <w:lang w:val="sl-SI"/>
        </w:rPr>
        <w:t>Praktični vodnik za upravičence</w:t>
      </w:r>
    </w:p>
    <w:p w14:paraId="7D39AB2C" w14:textId="77777777" w:rsidR="00163535" w:rsidRDefault="0078118E">
      <w:pPr>
        <w:pStyle w:val="Guide-Heading2"/>
        <w:rPr>
          <w:lang w:val="sl-SI"/>
        </w:rPr>
      </w:pPr>
      <w:bookmarkStart w:id="762" w:name="_Toc527400993"/>
      <w:bookmarkStart w:id="763" w:name="_Toc527401384"/>
      <w:r w:rsidRPr="001048FE">
        <w:rPr>
          <w:lang w:val="sl-SI"/>
        </w:rPr>
        <w:t>Uvod</w:t>
      </w:r>
      <w:bookmarkEnd w:id="762"/>
      <w:bookmarkEnd w:id="763"/>
    </w:p>
    <w:p w14:paraId="7D39AB2D" w14:textId="77777777" w:rsidR="0078118E" w:rsidRPr="001048FE" w:rsidRDefault="0078118E" w:rsidP="00AB3A8A">
      <w:pPr>
        <w:pStyle w:val="GUIDE-NORMAL"/>
        <w:rPr>
          <w:lang w:val="sl-SI"/>
        </w:rPr>
      </w:pPr>
      <w:r w:rsidRPr="001048FE">
        <w:rPr>
          <w:lang w:val="sl-SI"/>
        </w:rPr>
        <w:t>Z aktivnostmi razširjanja in uporabe rezultatov se lahko predstavi delo, ki je bilo opravljeno s projektom Erasmus+. Na podlagi izmenjave rezultatov, pridobljenih izkušenj in ugotovitev zunaj kroga sodelujočih organizacij bo tudi širša skupnost lahko imela koristi od del, ki so prejela sredstva EU, ter spodbujala prizadevanja organizacije v zvezi s cilji programa Erasmus+, ki še posebej poudarja povezavo med Programom in politikami. Vsak projekt, podprt s Programom, je torej korak proti doseganju splošnih ciljev, ki so opredeljeni v Programu, za izboljšanje in posodobitev sistemov izobraževanja, usposabljanja in mladine.</w:t>
      </w:r>
    </w:p>
    <w:p w14:paraId="7D39AB2E" w14:textId="77777777" w:rsidR="0078118E" w:rsidRPr="001048FE" w:rsidRDefault="0078118E" w:rsidP="00AB3A8A">
      <w:pPr>
        <w:pStyle w:val="GUIDE-NORMAL"/>
        <w:rPr>
          <w:lang w:val="sl-SI"/>
        </w:rPr>
      </w:pPr>
      <w:r w:rsidRPr="001048FE">
        <w:rPr>
          <w:lang w:val="sl-SI"/>
        </w:rPr>
        <w:t>Razširjanje se bo razlikovalo glede na projekte in pomembno je razmisliti, katere vrste aktivnosti razširjanja ustrezajo posameznim sodelujočim organizacijam. Partnerji v manjših projektih bi morali izvajati razširjanje in uporabo v skladu z ravnjo svoje aktivnosti. Zahteve za razširjanje za projekt mobilnosti bodo drugačne kot za projekt partnerstva. Obseg aktivnosti razširjanja in uporabe se bo povečal v skladu z obsegom in strateško pomembnostjo projekta. Prijavitelji bodo ob prijavi morali pojasniti svoje namere/načrte za aktivnosti razširjanja in uporabe in če bo njihova prijava uspešna, jih bodo morali tudi izvesti.</w:t>
      </w:r>
    </w:p>
    <w:p w14:paraId="7D39AB2F" w14:textId="77777777" w:rsidR="0078118E" w:rsidRPr="001048FE" w:rsidRDefault="0078118E" w:rsidP="00AB3A8A">
      <w:pPr>
        <w:pStyle w:val="Guide-NormalBulletpoints"/>
        <w:rPr>
          <w:lang w:val="sl-SI"/>
        </w:rPr>
      </w:pPr>
      <w:r w:rsidRPr="001048FE">
        <w:rPr>
          <w:b/>
          <w:lang w:val="sl-SI"/>
        </w:rPr>
        <w:t>Poglavje</w:t>
      </w:r>
      <w:r w:rsidRPr="001048FE">
        <w:rPr>
          <w:b/>
          <w:spacing w:val="-5"/>
          <w:lang w:val="sl-SI"/>
        </w:rPr>
        <w:t xml:space="preserve"> </w:t>
      </w:r>
      <w:r w:rsidRPr="001048FE">
        <w:rPr>
          <w:b/>
          <w:lang w:val="sl-SI"/>
        </w:rPr>
        <w:t>1</w:t>
      </w:r>
      <w:r w:rsidRPr="001048FE">
        <w:rPr>
          <w:b/>
          <w:spacing w:val="-11"/>
          <w:lang w:val="sl-SI"/>
        </w:rPr>
        <w:t xml:space="preserve"> </w:t>
      </w:r>
      <w:r w:rsidRPr="001048FE">
        <w:rPr>
          <w:lang w:val="sl-SI"/>
        </w:rPr>
        <w:t>opredeljuje</w:t>
      </w:r>
      <w:r w:rsidRPr="001048FE">
        <w:rPr>
          <w:spacing w:val="-9"/>
          <w:lang w:val="sl-SI"/>
        </w:rPr>
        <w:t xml:space="preserve"> </w:t>
      </w:r>
      <w:r w:rsidRPr="001048FE">
        <w:rPr>
          <w:lang w:val="sl-SI"/>
        </w:rPr>
        <w:t>nekatere</w:t>
      </w:r>
      <w:r w:rsidRPr="001048FE">
        <w:rPr>
          <w:spacing w:val="-10"/>
          <w:lang w:val="sl-SI"/>
        </w:rPr>
        <w:t xml:space="preserve"> </w:t>
      </w:r>
      <w:r w:rsidRPr="001048FE">
        <w:rPr>
          <w:lang w:val="sl-SI"/>
        </w:rPr>
        <w:t>ključne</w:t>
      </w:r>
      <w:r w:rsidRPr="001048FE">
        <w:rPr>
          <w:spacing w:val="-10"/>
          <w:lang w:val="sl-SI"/>
        </w:rPr>
        <w:t xml:space="preserve"> </w:t>
      </w:r>
      <w:r w:rsidRPr="001048FE">
        <w:rPr>
          <w:lang w:val="sl-SI"/>
        </w:rPr>
        <w:t>pojme</w:t>
      </w:r>
      <w:r w:rsidRPr="001048FE">
        <w:rPr>
          <w:spacing w:val="-10"/>
          <w:lang w:val="sl-SI"/>
        </w:rPr>
        <w:t xml:space="preserve"> </w:t>
      </w:r>
      <w:r w:rsidRPr="001048FE">
        <w:rPr>
          <w:lang w:val="sl-SI"/>
        </w:rPr>
        <w:t>in</w:t>
      </w:r>
      <w:r w:rsidRPr="001048FE">
        <w:rPr>
          <w:spacing w:val="-10"/>
          <w:lang w:val="sl-SI"/>
        </w:rPr>
        <w:t xml:space="preserve"> </w:t>
      </w:r>
      <w:r w:rsidRPr="001048FE">
        <w:rPr>
          <w:lang w:val="sl-SI"/>
        </w:rPr>
        <w:t>pojasnjuje,</w:t>
      </w:r>
      <w:r w:rsidRPr="001048FE">
        <w:rPr>
          <w:spacing w:val="-10"/>
          <w:lang w:val="sl-SI"/>
        </w:rPr>
        <w:t xml:space="preserve"> </w:t>
      </w:r>
      <w:r w:rsidRPr="001048FE">
        <w:rPr>
          <w:lang w:val="sl-SI"/>
        </w:rPr>
        <w:t>kaj</w:t>
      </w:r>
      <w:r w:rsidRPr="001048FE">
        <w:rPr>
          <w:spacing w:val="-10"/>
          <w:lang w:val="sl-SI"/>
        </w:rPr>
        <w:t xml:space="preserve"> </w:t>
      </w:r>
      <w:r w:rsidRPr="001048FE">
        <w:rPr>
          <w:lang w:val="sl-SI"/>
        </w:rPr>
        <w:t>je</w:t>
      </w:r>
      <w:r w:rsidRPr="001048FE">
        <w:rPr>
          <w:spacing w:val="-10"/>
          <w:lang w:val="sl-SI"/>
        </w:rPr>
        <w:t xml:space="preserve"> </w:t>
      </w:r>
      <w:r w:rsidRPr="001048FE">
        <w:rPr>
          <w:lang w:val="sl-SI"/>
        </w:rPr>
        <w:t>mogoče</w:t>
      </w:r>
      <w:r w:rsidRPr="001048FE">
        <w:rPr>
          <w:spacing w:val="-10"/>
          <w:lang w:val="sl-SI"/>
        </w:rPr>
        <w:t xml:space="preserve"> </w:t>
      </w:r>
      <w:r w:rsidRPr="001048FE">
        <w:rPr>
          <w:lang w:val="sl-SI"/>
        </w:rPr>
        <w:t>doseči</w:t>
      </w:r>
      <w:r w:rsidRPr="001048FE">
        <w:rPr>
          <w:spacing w:val="-10"/>
          <w:lang w:val="sl-SI"/>
        </w:rPr>
        <w:t xml:space="preserve"> </w:t>
      </w:r>
      <w:r w:rsidRPr="001048FE">
        <w:rPr>
          <w:lang w:val="sl-SI"/>
        </w:rPr>
        <w:t>z</w:t>
      </w:r>
      <w:r w:rsidRPr="001048FE">
        <w:rPr>
          <w:spacing w:val="-10"/>
          <w:lang w:val="sl-SI"/>
        </w:rPr>
        <w:t xml:space="preserve"> </w:t>
      </w:r>
      <w:r w:rsidRPr="001048FE">
        <w:rPr>
          <w:lang w:val="sl-SI"/>
        </w:rPr>
        <w:t>razširjanjem</w:t>
      </w:r>
      <w:r w:rsidRPr="001048FE">
        <w:rPr>
          <w:spacing w:val="-10"/>
          <w:lang w:val="sl-SI"/>
        </w:rPr>
        <w:t xml:space="preserve"> </w:t>
      </w:r>
      <w:r w:rsidRPr="001048FE">
        <w:rPr>
          <w:lang w:val="sl-SI"/>
        </w:rPr>
        <w:t>in uporabo rezultatov in kako bodo te aktivnosti prispevale k splošnim ciljem</w:t>
      </w:r>
      <w:r w:rsidRPr="001048FE">
        <w:rPr>
          <w:spacing w:val="-32"/>
          <w:lang w:val="sl-SI"/>
        </w:rPr>
        <w:t xml:space="preserve"> </w:t>
      </w:r>
      <w:r w:rsidRPr="001048FE">
        <w:rPr>
          <w:lang w:val="sl-SI"/>
        </w:rPr>
        <w:t>projekta.</w:t>
      </w:r>
    </w:p>
    <w:p w14:paraId="7D39AB30" w14:textId="77777777" w:rsidR="0078118E" w:rsidRPr="001048FE" w:rsidRDefault="0078118E" w:rsidP="00AB3A8A">
      <w:pPr>
        <w:pStyle w:val="Guide-NormalBulletpoints"/>
        <w:rPr>
          <w:lang w:val="sl-SI"/>
        </w:rPr>
      </w:pPr>
      <w:r w:rsidRPr="001048FE">
        <w:rPr>
          <w:b/>
          <w:lang w:val="sl-SI"/>
        </w:rPr>
        <w:t>Poglavje</w:t>
      </w:r>
      <w:r w:rsidRPr="001048FE">
        <w:rPr>
          <w:b/>
          <w:spacing w:val="-11"/>
          <w:lang w:val="sl-SI"/>
        </w:rPr>
        <w:t xml:space="preserve"> </w:t>
      </w:r>
      <w:r w:rsidRPr="001048FE">
        <w:rPr>
          <w:b/>
          <w:lang w:val="sl-SI"/>
        </w:rPr>
        <w:t>2</w:t>
      </w:r>
      <w:r w:rsidRPr="001048FE">
        <w:rPr>
          <w:b/>
          <w:spacing w:val="-16"/>
          <w:lang w:val="sl-SI"/>
        </w:rPr>
        <w:t xml:space="preserve"> </w:t>
      </w:r>
      <w:r w:rsidRPr="001048FE">
        <w:rPr>
          <w:lang w:val="sl-SI"/>
        </w:rPr>
        <w:t>navaja</w:t>
      </w:r>
      <w:r w:rsidRPr="001048FE">
        <w:rPr>
          <w:spacing w:val="-16"/>
          <w:lang w:val="sl-SI"/>
        </w:rPr>
        <w:t xml:space="preserve"> </w:t>
      </w:r>
      <w:r w:rsidRPr="001048FE">
        <w:rPr>
          <w:lang w:val="sl-SI"/>
        </w:rPr>
        <w:t>zahteve</w:t>
      </w:r>
      <w:r w:rsidRPr="001048FE">
        <w:rPr>
          <w:spacing w:val="-16"/>
          <w:lang w:val="sl-SI"/>
        </w:rPr>
        <w:t xml:space="preserve"> </w:t>
      </w:r>
      <w:r w:rsidRPr="001048FE">
        <w:rPr>
          <w:lang w:val="sl-SI"/>
        </w:rPr>
        <w:t>za</w:t>
      </w:r>
      <w:r w:rsidRPr="001048FE">
        <w:rPr>
          <w:spacing w:val="-16"/>
          <w:lang w:val="sl-SI"/>
        </w:rPr>
        <w:t xml:space="preserve"> </w:t>
      </w:r>
      <w:r w:rsidRPr="001048FE">
        <w:rPr>
          <w:lang w:val="sl-SI"/>
        </w:rPr>
        <w:t>upravičence</w:t>
      </w:r>
      <w:r w:rsidRPr="001048FE">
        <w:rPr>
          <w:spacing w:val="-16"/>
          <w:lang w:val="sl-SI"/>
        </w:rPr>
        <w:t xml:space="preserve"> </w:t>
      </w:r>
      <w:r w:rsidRPr="001048FE">
        <w:rPr>
          <w:lang w:val="sl-SI"/>
        </w:rPr>
        <w:t>programa</w:t>
      </w:r>
      <w:r w:rsidRPr="001048FE">
        <w:rPr>
          <w:spacing w:val="-16"/>
          <w:lang w:val="sl-SI"/>
        </w:rPr>
        <w:t xml:space="preserve"> </w:t>
      </w:r>
      <w:r w:rsidRPr="001048FE">
        <w:rPr>
          <w:lang w:val="sl-SI"/>
        </w:rPr>
        <w:t>Erasmus+</w:t>
      </w:r>
      <w:r w:rsidRPr="001048FE">
        <w:rPr>
          <w:spacing w:val="-16"/>
          <w:lang w:val="sl-SI"/>
        </w:rPr>
        <w:t xml:space="preserve"> </w:t>
      </w:r>
      <w:r w:rsidRPr="001048FE">
        <w:rPr>
          <w:lang w:val="sl-SI"/>
        </w:rPr>
        <w:t>v</w:t>
      </w:r>
      <w:r w:rsidRPr="001048FE">
        <w:rPr>
          <w:spacing w:val="-16"/>
          <w:lang w:val="sl-SI"/>
        </w:rPr>
        <w:t xml:space="preserve"> </w:t>
      </w:r>
      <w:r w:rsidRPr="001048FE">
        <w:rPr>
          <w:lang w:val="sl-SI"/>
        </w:rPr>
        <w:t>zvezi</w:t>
      </w:r>
      <w:r w:rsidRPr="001048FE">
        <w:rPr>
          <w:spacing w:val="-16"/>
          <w:lang w:val="sl-SI"/>
        </w:rPr>
        <w:t xml:space="preserve"> </w:t>
      </w:r>
      <w:r w:rsidRPr="001048FE">
        <w:rPr>
          <w:lang w:val="sl-SI"/>
        </w:rPr>
        <w:t>z</w:t>
      </w:r>
      <w:r w:rsidRPr="001048FE">
        <w:rPr>
          <w:spacing w:val="-16"/>
          <w:lang w:val="sl-SI"/>
        </w:rPr>
        <w:t xml:space="preserve"> </w:t>
      </w:r>
      <w:r w:rsidRPr="001048FE">
        <w:rPr>
          <w:lang w:val="sl-SI"/>
        </w:rPr>
        <w:t>razširjanjem</w:t>
      </w:r>
      <w:r w:rsidRPr="001048FE">
        <w:rPr>
          <w:spacing w:val="-16"/>
          <w:lang w:val="sl-SI"/>
        </w:rPr>
        <w:t xml:space="preserve"> </w:t>
      </w:r>
      <w:r w:rsidRPr="001048FE">
        <w:rPr>
          <w:lang w:val="sl-SI"/>
        </w:rPr>
        <w:t>in</w:t>
      </w:r>
      <w:r w:rsidRPr="001048FE">
        <w:rPr>
          <w:spacing w:val="-16"/>
          <w:lang w:val="sl-SI"/>
        </w:rPr>
        <w:t xml:space="preserve"> </w:t>
      </w:r>
      <w:r w:rsidRPr="001048FE">
        <w:rPr>
          <w:lang w:val="sl-SI"/>
        </w:rPr>
        <w:t>uporabo rezultatov.</w:t>
      </w:r>
    </w:p>
    <w:p w14:paraId="7D39AB31" w14:textId="77777777" w:rsidR="00163535" w:rsidRDefault="00CA7815" w:rsidP="00CA7815">
      <w:pPr>
        <w:pStyle w:val="Guide-AnnexHeading3"/>
        <w:numPr>
          <w:ilvl w:val="0"/>
          <w:numId w:val="0"/>
        </w:numPr>
        <w:rPr>
          <w:lang w:val="sl-SI"/>
        </w:rPr>
      </w:pPr>
      <w:bookmarkStart w:id="764" w:name="_Toc527400994"/>
      <w:bookmarkStart w:id="765" w:name="_Toc527401385"/>
      <w:r w:rsidRPr="00CA7815">
        <w:rPr>
          <w:lang w:val="sl-SI"/>
        </w:rPr>
        <w:t>1.</w:t>
      </w:r>
      <w:r>
        <w:rPr>
          <w:lang w:val="sl-SI"/>
        </w:rPr>
        <w:t xml:space="preserve"> </w:t>
      </w:r>
      <w:r w:rsidR="0078118E" w:rsidRPr="001048FE">
        <w:rPr>
          <w:lang w:val="sl-SI"/>
        </w:rPr>
        <w:t>Razširjanje in uporaba rezultatov projekta: kaj, zakaj, kdo, kdaj, kje in</w:t>
      </w:r>
      <w:r w:rsidR="0078118E" w:rsidRPr="001048FE">
        <w:rPr>
          <w:spacing w:val="71"/>
          <w:lang w:val="sl-SI"/>
        </w:rPr>
        <w:t xml:space="preserve"> </w:t>
      </w:r>
      <w:r w:rsidR="0078118E" w:rsidRPr="001048FE">
        <w:rPr>
          <w:lang w:val="sl-SI"/>
        </w:rPr>
        <w:t>kako</w:t>
      </w:r>
      <w:bookmarkEnd w:id="764"/>
      <w:bookmarkEnd w:id="765"/>
    </w:p>
    <w:p w14:paraId="7D39AB32" w14:textId="77777777" w:rsidR="0078118E" w:rsidRPr="001048FE" w:rsidRDefault="0078118E" w:rsidP="00AB3A8A">
      <w:pPr>
        <w:pStyle w:val="Guide-Heading4"/>
        <w:rPr>
          <w:lang w:val="sl-SI"/>
        </w:rPr>
      </w:pPr>
      <w:bookmarkStart w:id="766" w:name="_Toc527401386"/>
      <w:r w:rsidRPr="001048FE">
        <w:rPr>
          <w:lang w:val="sl-SI"/>
        </w:rPr>
        <w:t>Kaj pomenita razširjanje in uporaba?</w:t>
      </w:r>
      <w:bookmarkEnd w:id="766"/>
    </w:p>
    <w:p w14:paraId="7D39AB33" w14:textId="77777777" w:rsidR="0078118E" w:rsidRPr="001048FE" w:rsidRDefault="0078118E" w:rsidP="00AB3A8A">
      <w:pPr>
        <w:pStyle w:val="GUIDE-NORMAL"/>
        <w:rPr>
          <w:lang w:val="sl-SI"/>
        </w:rPr>
      </w:pPr>
      <w:r w:rsidRPr="001048FE">
        <w:rPr>
          <w:b/>
          <w:lang w:val="sl-SI"/>
        </w:rPr>
        <w:t xml:space="preserve">Razširjanje </w:t>
      </w:r>
      <w:r w:rsidRPr="001048FE">
        <w:rPr>
          <w:lang w:val="sl-SI"/>
        </w:rPr>
        <w:t>pomeni načrtovan proces zagotavljanja informacij o rezultatih programov in pobud ključnim akterjem. Do njega pride, ko postanejo rezultati programov in pobud na voljo. V okviru programa Erasmus+ to vključuje čim širše obveščanje o uspehih in rezultatih projekta. Osveščanje drugih ljudi o projektu bo vplivalo na druge organizacije v prihodnosti in prispevalo k večji prepoznavnosti organizacije, ki izvaja projekt. Za učinkovito razširjanje rezultatov je treba zasnovati ustrezen postopek ob začetku projekta. Ta mora zajeti odgovore na vprašanja kdo, kaj, kako, kdaj, komu in kje se bo izvajalo razširjanje rezultatov med obdobjem financiranja in po njem.</w:t>
      </w:r>
    </w:p>
    <w:p w14:paraId="7D39AB34" w14:textId="77777777" w:rsidR="0078118E" w:rsidRPr="001048FE" w:rsidRDefault="0078118E" w:rsidP="00AB3A8A">
      <w:pPr>
        <w:pStyle w:val="GUIDE-NORMAL"/>
        <w:rPr>
          <w:lang w:val="sl-SI"/>
        </w:rPr>
      </w:pPr>
      <w:r w:rsidRPr="001048FE">
        <w:rPr>
          <w:b/>
          <w:lang w:val="sl-SI"/>
        </w:rPr>
        <w:t xml:space="preserve">Uporaba </w:t>
      </w:r>
      <w:r w:rsidRPr="001048FE">
        <w:rPr>
          <w:lang w:val="sl-SI"/>
        </w:rPr>
        <w:t>pomeni (a) po eni strani načrtovan proces prenosa uspešnih rezultatov programov in pobud ustreznim oblikovalcem politike v reguliranih lokalnih, regionalnih, nacionalnih ali evropskih sistemih ter (b) po drugi strani načrtovan proces prepričevanja posameznih končnih uporabnikov, naj sprejmejo in/ali uporabijo rezultate programov in pobud. V okviru programa Erasmus+ to pomeni čim bolje izkoristiti potencial financiranih aktivnost, da se bodo rezultati uporabljali tudi</w:t>
      </w:r>
      <w:r w:rsidRPr="001048FE">
        <w:rPr>
          <w:spacing w:val="15"/>
          <w:lang w:val="sl-SI"/>
        </w:rPr>
        <w:t xml:space="preserve"> </w:t>
      </w:r>
      <w:r w:rsidRPr="001048FE">
        <w:rPr>
          <w:lang w:val="sl-SI"/>
        </w:rPr>
        <w:t>po življenjskem</w:t>
      </w:r>
      <w:r w:rsidRPr="001048FE">
        <w:rPr>
          <w:spacing w:val="-8"/>
          <w:lang w:val="sl-SI"/>
        </w:rPr>
        <w:t xml:space="preserve"> </w:t>
      </w:r>
      <w:r w:rsidRPr="001048FE">
        <w:rPr>
          <w:lang w:val="sl-SI"/>
        </w:rPr>
        <w:t>ciklu</w:t>
      </w:r>
      <w:r w:rsidRPr="001048FE">
        <w:rPr>
          <w:spacing w:val="-8"/>
          <w:lang w:val="sl-SI"/>
        </w:rPr>
        <w:t xml:space="preserve"> </w:t>
      </w:r>
      <w:r w:rsidRPr="001048FE">
        <w:rPr>
          <w:lang w:val="sl-SI"/>
        </w:rPr>
        <w:t>projekta.</w:t>
      </w:r>
      <w:r w:rsidRPr="001048FE">
        <w:rPr>
          <w:spacing w:val="-8"/>
          <w:lang w:val="sl-SI"/>
        </w:rPr>
        <w:t xml:space="preserve"> </w:t>
      </w:r>
      <w:r w:rsidRPr="001048FE">
        <w:rPr>
          <w:lang w:val="sl-SI"/>
        </w:rPr>
        <w:t>Treba</w:t>
      </w:r>
      <w:r w:rsidRPr="001048FE">
        <w:rPr>
          <w:spacing w:val="-8"/>
          <w:lang w:val="sl-SI"/>
        </w:rPr>
        <w:t xml:space="preserve"> </w:t>
      </w:r>
      <w:r w:rsidRPr="001048FE">
        <w:rPr>
          <w:lang w:val="sl-SI"/>
        </w:rPr>
        <w:t>je</w:t>
      </w:r>
      <w:r w:rsidRPr="001048FE">
        <w:rPr>
          <w:spacing w:val="-8"/>
          <w:lang w:val="sl-SI"/>
        </w:rPr>
        <w:t xml:space="preserve"> </w:t>
      </w:r>
      <w:r w:rsidRPr="001048FE">
        <w:rPr>
          <w:lang w:val="sl-SI"/>
        </w:rPr>
        <w:t>opozoriti,</w:t>
      </w:r>
      <w:r w:rsidRPr="001048FE">
        <w:rPr>
          <w:spacing w:val="-7"/>
          <w:lang w:val="sl-SI"/>
        </w:rPr>
        <w:t xml:space="preserve"> </w:t>
      </w:r>
      <w:r w:rsidRPr="001048FE">
        <w:rPr>
          <w:lang w:val="sl-SI"/>
        </w:rPr>
        <w:t>da</w:t>
      </w:r>
      <w:r w:rsidRPr="001048FE">
        <w:rPr>
          <w:spacing w:val="-8"/>
          <w:lang w:val="sl-SI"/>
        </w:rPr>
        <w:t xml:space="preserve"> </w:t>
      </w:r>
      <w:r w:rsidRPr="001048FE">
        <w:rPr>
          <w:lang w:val="sl-SI"/>
        </w:rPr>
        <w:t>se</w:t>
      </w:r>
      <w:r w:rsidRPr="001048FE">
        <w:rPr>
          <w:spacing w:val="-8"/>
          <w:lang w:val="sl-SI"/>
        </w:rPr>
        <w:t xml:space="preserve"> </w:t>
      </w:r>
      <w:r w:rsidRPr="001048FE">
        <w:rPr>
          <w:lang w:val="sl-SI"/>
        </w:rPr>
        <w:t>projekt</w:t>
      </w:r>
      <w:r w:rsidRPr="001048FE">
        <w:rPr>
          <w:spacing w:val="-8"/>
          <w:lang w:val="sl-SI"/>
        </w:rPr>
        <w:t xml:space="preserve"> </w:t>
      </w:r>
      <w:r w:rsidRPr="001048FE">
        <w:rPr>
          <w:lang w:val="sl-SI"/>
        </w:rPr>
        <w:t>izvaja</w:t>
      </w:r>
      <w:r w:rsidRPr="001048FE">
        <w:rPr>
          <w:spacing w:val="-8"/>
          <w:lang w:val="sl-SI"/>
        </w:rPr>
        <w:t xml:space="preserve"> </w:t>
      </w:r>
      <w:r w:rsidRPr="001048FE">
        <w:rPr>
          <w:lang w:val="sl-SI"/>
        </w:rPr>
        <w:t>kot</w:t>
      </w:r>
      <w:r w:rsidRPr="001048FE">
        <w:rPr>
          <w:spacing w:val="-8"/>
          <w:lang w:val="sl-SI"/>
        </w:rPr>
        <w:t xml:space="preserve"> </w:t>
      </w:r>
      <w:r w:rsidRPr="001048FE">
        <w:rPr>
          <w:lang w:val="sl-SI"/>
        </w:rPr>
        <w:t>del</w:t>
      </w:r>
      <w:r w:rsidRPr="001048FE">
        <w:rPr>
          <w:spacing w:val="-8"/>
          <w:lang w:val="sl-SI"/>
        </w:rPr>
        <w:t xml:space="preserve"> </w:t>
      </w:r>
      <w:r w:rsidRPr="001048FE">
        <w:rPr>
          <w:lang w:val="sl-SI"/>
        </w:rPr>
        <w:t>mednarodnega</w:t>
      </w:r>
      <w:r w:rsidRPr="001048FE">
        <w:rPr>
          <w:spacing w:val="-8"/>
          <w:lang w:val="sl-SI"/>
        </w:rPr>
        <w:t xml:space="preserve"> </w:t>
      </w:r>
      <w:r w:rsidRPr="001048FE">
        <w:rPr>
          <w:lang w:val="sl-SI"/>
        </w:rPr>
        <w:t>programa, ki si prizadeva za vseživljenjsko učenje in podporo evropskim politikam na področju izobraževanja, usposabljanja, mladine in športa. Rezultate je treba dosegati tako, da jih je mogoče prilagoditi potrebam drugih, prenesti na druga področja, ohraniti njihovo trajnost po koncu obdobja financiranja ali uporabiti za vplivanje na prihodnjo politiko in</w:t>
      </w:r>
      <w:r w:rsidRPr="001048FE">
        <w:rPr>
          <w:spacing w:val="-10"/>
          <w:lang w:val="sl-SI"/>
        </w:rPr>
        <w:t xml:space="preserve"> </w:t>
      </w:r>
      <w:r w:rsidRPr="001048FE">
        <w:rPr>
          <w:lang w:val="sl-SI"/>
        </w:rPr>
        <w:t>prakso.</w:t>
      </w:r>
    </w:p>
    <w:p w14:paraId="7D39AB35" w14:textId="77777777" w:rsidR="0078118E" w:rsidRPr="001048FE" w:rsidRDefault="0078118E" w:rsidP="00AB3A8A">
      <w:pPr>
        <w:pStyle w:val="GUIDE-NORMAL"/>
        <w:rPr>
          <w:lang w:val="sl-SI"/>
        </w:rPr>
      </w:pPr>
      <w:r w:rsidRPr="001048FE">
        <w:rPr>
          <w:lang w:val="sl-SI"/>
        </w:rPr>
        <w:t>Razširjanje in uporaba sta torej ločeni, a tudi tesno povezani področji.</w:t>
      </w:r>
    </w:p>
    <w:p w14:paraId="7D39AB36" w14:textId="77777777" w:rsidR="0078118E" w:rsidRPr="001048FE" w:rsidRDefault="0078118E" w:rsidP="00AB3A8A">
      <w:pPr>
        <w:pStyle w:val="Guide-Heading4"/>
        <w:rPr>
          <w:lang w:val="sl-SI"/>
        </w:rPr>
      </w:pPr>
      <w:bookmarkStart w:id="767" w:name="_Toc527401387"/>
      <w:r w:rsidRPr="001048FE">
        <w:rPr>
          <w:lang w:val="sl-SI"/>
        </w:rPr>
        <w:t>Kaj pomenijo „rezultati aktivnosti“?</w:t>
      </w:r>
      <w:bookmarkEnd w:id="767"/>
    </w:p>
    <w:p w14:paraId="7D39AB37" w14:textId="77777777" w:rsidR="00C30189" w:rsidRPr="0030441A" w:rsidRDefault="00C30189" w:rsidP="00C30189">
      <w:pPr>
        <w:pStyle w:val="Guide-Normal0"/>
        <w:rPr>
          <w:lang w:val="sl-SI"/>
        </w:rPr>
      </w:pPr>
      <w:r w:rsidRPr="00FC4A70">
        <w:rPr>
          <w:rFonts w:eastAsia="Times New Roman"/>
          <w:kern w:val="3"/>
          <w:sz w:val="18"/>
          <w:szCs w:val="18"/>
          <w:bdr w:val="nil"/>
          <w:shd w:val="clear" w:color="auto" w:fill="FFFFFF"/>
          <w:lang w:val="sl-SI"/>
        </w:rPr>
        <w:t>Rezultati so dosežki projekta, ki je prejel sredstva EU. Vrsta rezultata se razlikuje glede na vrsto projekta.</w:t>
      </w:r>
    </w:p>
    <w:p w14:paraId="7D39AB38" w14:textId="77777777" w:rsidR="00C30189" w:rsidRPr="0030441A" w:rsidRDefault="00C30189" w:rsidP="00C30189">
      <w:pPr>
        <w:pStyle w:val="Guide-Normal0"/>
        <w:rPr>
          <w:lang w:val="sl-SI"/>
        </w:rPr>
      </w:pPr>
    </w:p>
    <w:p w14:paraId="7D39AB39" w14:textId="77777777" w:rsidR="00C30189" w:rsidRPr="00FC4A70" w:rsidRDefault="00C30189" w:rsidP="00C30189">
      <w:pPr>
        <w:autoSpaceDE w:val="0"/>
        <w:adjustRightInd w:val="0"/>
        <w:jc w:val="both"/>
        <w:rPr>
          <w:rFonts w:eastAsia="Times New Roman"/>
          <w:vanish/>
          <w:sz w:val="18"/>
          <w:szCs w:val="18"/>
          <w:shd w:val="clear" w:color="auto" w:fill="FFFFFF"/>
          <w:lang w:val="sl-SI" w:eastAsia="en-GB"/>
        </w:rPr>
      </w:pPr>
      <w:r w:rsidRPr="00FC4A70">
        <w:rPr>
          <w:rFonts w:eastAsia="Calibri" w:cs="Calibri"/>
          <w:sz w:val="18"/>
          <w:szCs w:val="18"/>
          <w:bdr w:val="nil"/>
          <w:shd w:val="clear" w:color="auto" w:fill="FFFFFF"/>
          <w:lang w:val="sl-SI" w:eastAsia="en-GB"/>
        </w:rPr>
        <w:t>Rezultat je izdelek ali produkt, ki je ustvarjen z zadevnim projektom in ga je mogoče kvantificirati. Oglejte si seznam v poglavju "Kaj se lahko razširja in uporablja?" in poiščite kategorizacijo rezultatov projekta.</w:t>
      </w:r>
    </w:p>
    <w:p w14:paraId="7D39AB3A" w14:textId="77777777" w:rsidR="00C30189" w:rsidRPr="00FC4A70" w:rsidRDefault="00C30189" w:rsidP="00C30189">
      <w:pPr>
        <w:autoSpaceDE w:val="0"/>
        <w:adjustRightInd w:val="0"/>
        <w:jc w:val="both"/>
        <w:rPr>
          <w:rFonts w:eastAsia="Times New Roman"/>
          <w:vanish/>
          <w:sz w:val="18"/>
          <w:szCs w:val="18"/>
          <w:shd w:val="clear" w:color="auto" w:fill="FFFFFF"/>
          <w:lang w:val="sl-SI" w:eastAsia="en-GB"/>
        </w:rPr>
      </w:pPr>
    </w:p>
    <w:p w14:paraId="7D39AB3B" w14:textId="77777777" w:rsidR="00C30189" w:rsidRDefault="00C30189" w:rsidP="00C30189">
      <w:pPr>
        <w:autoSpaceDE w:val="0"/>
        <w:adjustRightInd w:val="0"/>
        <w:jc w:val="both"/>
        <w:rPr>
          <w:rFonts w:eastAsia="Calibri" w:cs="Calibri"/>
          <w:sz w:val="18"/>
          <w:szCs w:val="18"/>
          <w:bdr w:val="nil"/>
          <w:shd w:val="clear" w:color="auto" w:fill="FFFFFF"/>
          <w:lang w:val="sl-SI" w:eastAsia="en-GB"/>
        </w:rPr>
      </w:pPr>
      <w:r w:rsidRPr="00FC4A70">
        <w:rPr>
          <w:rFonts w:eastAsia="Calibri" w:cs="Calibri"/>
          <w:sz w:val="18"/>
          <w:szCs w:val="18"/>
          <w:bdr w:val="nil"/>
          <w:shd w:val="clear" w:color="auto" w:fill="FFFFFF"/>
          <w:lang w:val="sl-SI" w:eastAsia="en-GB"/>
        </w:rPr>
        <w:t>Nekatere rezultate projekta je težko kvantificirati. Primer takega dosežka je okrepljena ozaveščenost. Rezultat za tovrstne dosežke merijo javnomnenjske raziskave in raziskave o zadovoljstvu.</w:t>
      </w:r>
    </w:p>
    <w:p w14:paraId="7D39AB3C" w14:textId="77777777" w:rsidR="00977659" w:rsidRPr="00FC4A70" w:rsidRDefault="00977659" w:rsidP="00C30189">
      <w:pPr>
        <w:autoSpaceDE w:val="0"/>
        <w:adjustRightInd w:val="0"/>
        <w:jc w:val="both"/>
        <w:rPr>
          <w:rFonts w:eastAsia="Times New Roman"/>
          <w:vanish/>
          <w:sz w:val="18"/>
          <w:szCs w:val="18"/>
          <w:shd w:val="clear" w:color="auto" w:fill="FFFFFF"/>
          <w:lang w:val="sl-SI" w:eastAsia="en-GB"/>
        </w:rPr>
      </w:pPr>
    </w:p>
    <w:p w14:paraId="7D39AB3D" w14:textId="77777777" w:rsidR="0078118E" w:rsidRPr="001048FE" w:rsidRDefault="0078118E" w:rsidP="00AB3A8A">
      <w:pPr>
        <w:pStyle w:val="Guide-Heading4"/>
        <w:rPr>
          <w:lang w:val="sl-SI"/>
        </w:rPr>
      </w:pPr>
      <w:bookmarkStart w:id="768" w:name="_Toc527401388"/>
      <w:r w:rsidRPr="001048FE">
        <w:rPr>
          <w:lang w:val="sl-SI"/>
        </w:rPr>
        <w:t>Kaj pomenita učinek in trajnost?</w:t>
      </w:r>
      <w:bookmarkEnd w:id="768"/>
    </w:p>
    <w:p w14:paraId="7D39AB3E" w14:textId="77777777" w:rsidR="0078118E" w:rsidRPr="001048FE" w:rsidRDefault="0078118E" w:rsidP="00AB3A8A">
      <w:pPr>
        <w:pStyle w:val="GUIDE-NORMAL"/>
        <w:rPr>
          <w:lang w:val="sl-SI"/>
        </w:rPr>
      </w:pPr>
      <w:r w:rsidRPr="001048FE">
        <w:rPr>
          <w:b/>
          <w:lang w:val="sl-SI"/>
        </w:rPr>
        <w:t xml:space="preserve">Učinek </w:t>
      </w:r>
      <w:r w:rsidRPr="001048FE">
        <w:rPr>
          <w:lang w:val="sl-SI"/>
        </w:rPr>
        <w:t>je vpliv, ki ga ima aktivnost in njeni rezultati na ljudi, prakse, organizacije in sisteme. Načrti razširjanja in uporabe rezultatov lahko pomagajo čim bolj okrepiti učinek aktivnosti, ki se razvijajo, da</w:t>
      </w:r>
      <w:r w:rsidRPr="001048FE">
        <w:rPr>
          <w:spacing w:val="-15"/>
          <w:lang w:val="sl-SI"/>
        </w:rPr>
        <w:t xml:space="preserve"> </w:t>
      </w:r>
      <w:r w:rsidRPr="001048FE">
        <w:rPr>
          <w:lang w:val="sl-SI"/>
        </w:rPr>
        <w:t>bodo</w:t>
      </w:r>
      <w:r w:rsidRPr="001048FE">
        <w:rPr>
          <w:spacing w:val="-15"/>
          <w:lang w:val="sl-SI"/>
        </w:rPr>
        <w:t xml:space="preserve"> </w:t>
      </w:r>
      <w:r w:rsidRPr="001048FE">
        <w:rPr>
          <w:lang w:val="sl-SI"/>
        </w:rPr>
        <w:t>na</w:t>
      </w:r>
      <w:r w:rsidRPr="001048FE">
        <w:rPr>
          <w:spacing w:val="-15"/>
          <w:lang w:val="sl-SI"/>
        </w:rPr>
        <w:t xml:space="preserve"> </w:t>
      </w:r>
      <w:r w:rsidRPr="001048FE">
        <w:rPr>
          <w:lang w:val="sl-SI"/>
        </w:rPr>
        <w:t>neposredne</w:t>
      </w:r>
      <w:r w:rsidRPr="001048FE">
        <w:rPr>
          <w:spacing w:val="-15"/>
          <w:lang w:val="sl-SI"/>
        </w:rPr>
        <w:t xml:space="preserve"> </w:t>
      </w:r>
      <w:r w:rsidRPr="001048FE">
        <w:rPr>
          <w:lang w:val="sl-SI"/>
        </w:rPr>
        <w:t>udeležence</w:t>
      </w:r>
      <w:r w:rsidRPr="001048FE">
        <w:rPr>
          <w:spacing w:val="-15"/>
          <w:lang w:val="sl-SI"/>
        </w:rPr>
        <w:t xml:space="preserve"> </w:t>
      </w:r>
      <w:r w:rsidRPr="001048FE">
        <w:rPr>
          <w:lang w:val="sl-SI"/>
        </w:rPr>
        <w:t>in</w:t>
      </w:r>
      <w:r w:rsidRPr="001048FE">
        <w:rPr>
          <w:spacing w:val="-15"/>
          <w:lang w:val="sl-SI"/>
        </w:rPr>
        <w:t xml:space="preserve"> </w:t>
      </w:r>
      <w:r w:rsidRPr="001048FE">
        <w:rPr>
          <w:lang w:val="sl-SI"/>
        </w:rPr>
        <w:t>partnerje</w:t>
      </w:r>
      <w:r w:rsidRPr="001048FE">
        <w:rPr>
          <w:spacing w:val="-15"/>
          <w:lang w:val="sl-SI"/>
        </w:rPr>
        <w:t xml:space="preserve"> </w:t>
      </w:r>
      <w:r w:rsidRPr="001048FE">
        <w:rPr>
          <w:lang w:val="sl-SI"/>
        </w:rPr>
        <w:t>imele</w:t>
      </w:r>
      <w:r w:rsidRPr="001048FE">
        <w:rPr>
          <w:spacing w:val="-15"/>
          <w:lang w:val="sl-SI"/>
        </w:rPr>
        <w:t xml:space="preserve"> </w:t>
      </w:r>
      <w:r w:rsidRPr="001048FE">
        <w:rPr>
          <w:lang w:val="sl-SI"/>
        </w:rPr>
        <w:t>učinek</w:t>
      </w:r>
      <w:r w:rsidRPr="001048FE">
        <w:rPr>
          <w:spacing w:val="-15"/>
          <w:lang w:val="sl-SI"/>
        </w:rPr>
        <w:t xml:space="preserve"> </w:t>
      </w:r>
      <w:r w:rsidRPr="001048FE">
        <w:rPr>
          <w:lang w:val="sl-SI"/>
        </w:rPr>
        <w:t>še</w:t>
      </w:r>
      <w:r w:rsidRPr="001048FE">
        <w:rPr>
          <w:spacing w:val="-15"/>
          <w:lang w:val="sl-SI"/>
        </w:rPr>
        <w:t xml:space="preserve"> </w:t>
      </w:r>
      <w:r w:rsidRPr="001048FE">
        <w:rPr>
          <w:lang w:val="sl-SI"/>
        </w:rPr>
        <w:t>mnoga</w:t>
      </w:r>
      <w:r w:rsidRPr="001048FE">
        <w:rPr>
          <w:spacing w:val="-15"/>
          <w:lang w:val="sl-SI"/>
        </w:rPr>
        <w:t xml:space="preserve"> </w:t>
      </w:r>
      <w:r w:rsidRPr="001048FE">
        <w:rPr>
          <w:lang w:val="sl-SI"/>
        </w:rPr>
        <w:t>leta</w:t>
      </w:r>
      <w:r w:rsidRPr="001048FE">
        <w:rPr>
          <w:spacing w:val="-15"/>
          <w:lang w:val="sl-SI"/>
        </w:rPr>
        <w:t xml:space="preserve"> </w:t>
      </w:r>
      <w:r w:rsidRPr="001048FE">
        <w:rPr>
          <w:lang w:val="sl-SI"/>
        </w:rPr>
        <w:t>po</w:t>
      </w:r>
      <w:r w:rsidRPr="001048FE">
        <w:rPr>
          <w:spacing w:val="-15"/>
          <w:lang w:val="sl-SI"/>
        </w:rPr>
        <w:t xml:space="preserve"> </w:t>
      </w:r>
      <w:r w:rsidRPr="001048FE">
        <w:rPr>
          <w:lang w:val="sl-SI"/>
        </w:rPr>
        <w:t>koncu</w:t>
      </w:r>
      <w:r w:rsidRPr="001048FE">
        <w:rPr>
          <w:spacing w:val="-15"/>
          <w:lang w:val="sl-SI"/>
        </w:rPr>
        <w:t xml:space="preserve"> </w:t>
      </w:r>
      <w:r w:rsidRPr="001048FE">
        <w:rPr>
          <w:lang w:val="sl-SI"/>
        </w:rPr>
        <w:t>projekta.</w:t>
      </w:r>
      <w:r w:rsidRPr="001048FE">
        <w:rPr>
          <w:spacing w:val="-15"/>
          <w:lang w:val="sl-SI"/>
        </w:rPr>
        <w:t xml:space="preserve"> </w:t>
      </w:r>
      <w:r w:rsidRPr="001048FE">
        <w:rPr>
          <w:lang w:val="sl-SI"/>
        </w:rPr>
        <w:t>Treba je razmisliti tudi o koristih za druge deležnike, da bo učinek še večji in da se projekt čim bolj izkoristi.</w:t>
      </w:r>
    </w:p>
    <w:p w14:paraId="7D39AB3F" w14:textId="77777777" w:rsidR="0078118E" w:rsidRPr="001048FE" w:rsidRDefault="0078118E" w:rsidP="00AB3A8A">
      <w:pPr>
        <w:pStyle w:val="GUIDE-NORMAL"/>
        <w:rPr>
          <w:lang w:val="sl-SI"/>
        </w:rPr>
      </w:pPr>
      <w:r w:rsidRPr="001048FE">
        <w:rPr>
          <w:b/>
          <w:lang w:val="sl-SI"/>
        </w:rPr>
        <w:t xml:space="preserve">Trajnost </w:t>
      </w:r>
      <w:r w:rsidRPr="001048FE">
        <w:rPr>
          <w:lang w:val="sl-SI"/>
        </w:rPr>
        <w:t>je zmogljivost projekta, da se nadaljuje in da se njegovi rezultati uporabljajo tudi po koncu obdobja financiranja. Rezultate projekta je nato mogoče uporabiti in izkoriščati dolgoročno, morda s trženjem, akreditacijo ali vključitvijo v redno šolanje. Morda vsi deli projekta ali rezultati ne bodo trajnostni in pomembno je upoštevati razširjanje in uporabo v smislu napredka, ki presega trajanje projekta in se nadaljuje v prihodnosti.</w:t>
      </w:r>
    </w:p>
    <w:p w14:paraId="7D39AB40" w14:textId="77777777" w:rsidR="0078118E" w:rsidRPr="001048FE" w:rsidRDefault="0078118E" w:rsidP="00AB3A8A">
      <w:pPr>
        <w:pStyle w:val="Guide-Heading4"/>
        <w:rPr>
          <w:lang w:val="sl-SI"/>
        </w:rPr>
      </w:pPr>
      <w:bookmarkStart w:id="769" w:name="_Toc527401389"/>
      <w:r w:rsidRPr="001048FE">
        <w:rPr>
          <w:lang w:val="sl-SI"/>
        </w:rPr>
        <w:t>Kakšni so cilji razširjanja in uporabe?</w:t>
      </w:r>
      <w:bookmarkEnd w:id="769"/>
    </w:p>
    <w:p w14:paraId="7D39AB41" w14:textId="77777777" w:rsidR="0078118E" w:rsidRPr="001048FE" w:rsidRDefault="0078118E" w:rsidP="00AB3A8A">
      <w:pPr>
        <w:pStyle w:val="GUIDE-NORMAL"/>
        <w:rPr>
          <w:lang w:val="sl-SI"/>
        </w:rPr>
      </w:pPr>
      <w:r w:rsidRPr="001048FE">
        <w:rPr>
          <w:lang w:val="sl-SI"/>
        </w:rPr>
        <w:t>Glavni cilj razširjanja in uporabe je širiti rezultate projekta. Drugi cilj je prispevati k izvajanju in oblikovanju nacionalnih in evropskih politik in sistemov. Upravičenci bi morali razviti svoje postopke za doseganje tega cilja. Oblikovanje zamisli za razširjanje in uporabo je pomemben del vsakega projekta, ki prejme sredstva v okviru programa Erasmus+. Vendar bi vrsta in intenzivnost aktivnosti razširjanja in uporabe morali biti sorazmerni s posebnimi potrebami in vrsto zasnovanega projekta ter prilagojeni temu projektu. To vključuje, ali je projekt usmerjen v postopek ali je njegov cilj ustvarjanje oprijemljivih rezultatov; ali je projekt samostojen ali del obsežnejše pobude; ali ga razvijajo</w:t>
      </w:r>
      <w:r w:rsidRPr="001048FE">
        <w:rPr>
          <w:spacing w:val="-10"/>
          <w:lang w:val="sl-SI"/>
        </w:rPr>
        <w:t xml:space="preserve"> </w:t>
      </w:r>
      <w:r w:rsidRPr="001048FE">
        <w:rPr>
          <w:lang w:val="sl-SI"/>
        </w:rPr>
        <w:t>velike</w:t>
      </w:r>
      <w:r w:rsidRPr="001048FE">
        <w:rPr>
          <w:spacing w:val="-10"/>
          <w:lang w:val="sl-SI"/>
        </w:rPr>
        <w:t xml:space="preserve"> </w:t>
      </w:r>
      <w:r w:rsidRPr="001048FE">
        <w:rPr>
          <w:lang w:val="sl-SI"/>
        </w:rPr>
        <w:t>ali</w:t>
      </w:r>
      <w:r w:rsidRPr="001048FE">
        <w:rPr>
          <w:spacing w:val="-10"/>
          <w:lang w:val="sl-SI"/>
        </w:rPr>
        <w:t xml:space="preserve"> </w:t>
      </w:r>
      <w:r w:rsidRPr="001048FE">
        <w:rPr>
          <w:lang w:val="sl-SI"/>
        </w:rPr>
        <w:t>male</w:t>
      </w:r>
      <w:r w:rsidRPr="001048FE">
        <w:rPr>
          <w:spacing w:val="-10"/>
          <w:lang w:val="sl-SI"/>
        </w:rPr>
        <w:t xml:space="preserve"> </w:t>
      </w:r>
      <w:r w:rsidRPr="001048FE">
        <w:rPr>
          <w:lang w:val="sl-SI"/>
        </w:rPr>
        <w:t>sodelujoče</w:t>
      </w:r>
      <w:r w:rsidRPr="001048FE">
        <w:rPr>
          <w:spacing w:val="-10"/>
          <w:lang w:val="sl-SI"/>
        </w:rPr>
        <w:t xml:space="preserve"> </w:t>
      </w:r>
      <w:r w:rsidRPr="001048FE">
        <w:rPr>
          <w:lang w:val="sl-SI"/>
        </w:rPr>
        <w:t>organizacije</w:t>
      </w:r>
      <w:r w:rsidRPr="001048FE">
        <w:rPr>
          <w:spacing w:val="-9"/>
          <w:lang w:val="sl-SI"/>
        </w:rPr>
        <w:t xml:space="preserve"> </w:t>
      </w:r>
      <w:r w:rsidRPr="001048FE">
        <w:rPr>
          <w:lang w:val="sl-SI"/>
        </w:rPr>
        <w:t>itd.</w:t>
      </w:r>
      <w:r w:rsidRPr="001048FE">
        <w:rPr>
          <w:spacing w:val="-10"/>
          <w:lang w:val="sl-SI"/>
        </w:rPr>
        <w:t xml:space="preserve"> </w:t>
      </w:r>
      <w:r w:rsidRPr="001048FE">
        <w:rPr>
          <w:lang w:val="sl-SI"/>
        </w:rPr>
        <w:t>Sodelujoče</w:t>
      </w:r>
      <w:r w:rsidRPr="001048FE">
        <w:rPr>
          <w:spacing w:val="-10"/>
          <w:lang w:val="sl-SI"/>
        </w:rPr>
        <w:t xml:space="preserve"> </w:t>
      </w:r>
      <w:r w:rsidRPr="001048FE">
        <w:rPr>
          <w:lang w:val="sl-SI"/>
        </w:rPr>
        <w:t>organizacije</w:t>
      </w:r>
      <w:r w:rsidRPr="001048FE">
        <w:rPr>
          <w:spacing w:val="-9"/>
          <w:lang w:val="sl-SI"/>
        </w:rPr>
        <w:t xml:space="preserve"> </w:t>
      </w:r>
      <w:r w:rsidRPr="001048FE">
        <w:rPr>
          <w:lang w:val="sl-SI"/>
        </w:rPr>
        <w:t>bi</w:t>
      </w:r>
      <w:r w:rsidRPr="001048FE">
        <w:rPr>
          <w:spacing w:val="-10"/>
          <w:lang w:val="sl-SI"/>
        </w:rPr>
        <w:t xml:space="preserve"> </w:t>
      </w:r>
      <w:r w:rsidRPr="001048FE">
        <w:rPr>
          <w:lang w:val="sl-SI"/>
        </w:rPr>
        <w:t>morale</w:t>
      </w:r>
      <w:r w:rsidRPr="001048FE">
        <w:rPr>
          <w:spacing w:val="-10"/>
          <w:lang w:val="sl-SI"/>
        </w:rPr>
        <w:t xml:space="preserve"> </w:t>
      </w:r>
      <w:r w:rsidRPr="001048FE">
        <w:rPr>
          <w:lang w:val="sl-SI"/>
        </w:rPr>
        <w:t>razpravljati</w:t>
      </w:r>
      <w:r w:rsidRPr="001048FE">
        <w:rPr>
          <w:spacing w:val="-10"/>
          <w:lang w:val="sl-SI"/>
        </w:rPr>
        <w:t xml:space="preserve"> </w:t>
      </w:r>
      <w:r w:rsidRPr="001048FE">
        <w:rPr>
          <w:lang w:val="sl-SI"/>
        </w:rPr>
        <w:t>o ciljih aktivnosti/načrta, opredeliti najboljše aktivnosti in pristope ter razdeliti naloge med partnerje ob upoštevanju posebnosti</w:t>
      </w:r>
      <w:r w:rsidRPr="001048FE">
        <w:rPr>
          <w:spacing w:val="-7"/>
          <w:lang w:val="sl-SI"/>
        </w:rPr>
        <w:t xml:space="preserve"> </w:t>
      </w:r>
      <w:r w:rsidRPr="001048FE">
        <w:rPr>
          <w:lang w:val="sl-SI"/>
        </w:rPr>
        <w:t>projekta.</w:t>
      </w:r>
    </w:p>
    <w:p w14:paraId="7D39AB42" w14:textId="77777777" w:rsidR="0078118E" w:rsidRPr="001048FE" w:rsidRDefault="0078118E" w:rsidP="00AB3A8A">
      <w:pPr>
        <w:pStyle w:val="GUIDE-NORMAL"/>
        <w:rPr>
          <w:lang w:val="sl-SI"/>
        </w:rPr>
      </w:pPr>
      <w:r w:rsidRPr="001048FE">
        <w:rPr>
          <w:lang w:val="sl-SI"/>
        </w:rPr>
        <w:t>V primeru strukturiranih projektov sodelovanja, kot so strateška partnerstva, koalicije znanja, šport, partnerska sodelovanja in projekti krepitve zmogljivosti, bi moral kakovosten načrt razširjanja in uporabe zajeti merljive in realistične cilje in podroben časovni razpored ter zagotoviti načrtovanje sredstev za aktivnosti, ki se bodo izvedle. Vključevanje ciljnih skupin v aktivnosti bo tudi pripomoglo k čim boljši uporabi rezultatov projekta. Pomembno je že na začetku določiti strategijo, saj je to ključnega pomena pri lažjem komuniciranju s ciljnimi skupinami. Ta zahteva ni predvidena za projekte mobilnosti. Vendar se organizatorji projekta pozivajo, da posredujejo učne rezultate, ki so jih dosegli udeleženci v takih aktivnostih. Udeležence bi morali tudi spodbujati, da si izmenjajo izkušnje, ki so jih pridobili z udeležbo v mobilnosti, z drugimi. Z razširjanjem naj bi se tudi izboljšala kakovost Programa, saj se spodbujajo inovativni projekti in izmenjava dobrih praks.</w:t>
      </w:r>
    </w:p>
    <w:p w14:paraId="7D39AB43" w14:textId="77777777" w:rsidR="0078118E" w:rsidRPr="001048FE" w:rsidRDefault="0078118E" w:rsidP="00AB3A8A">
      <w:pPr>
        <w:pStyle w:val="GUIDE-NORMAL"/>
        <w:rPr>
          <w:lang w:val="sl-SI"/>
        </w:rPr>
      </w:pPr>
      <w:r w:rsidRPr="001048FE">
        <w:rPr>
          <w:lang w:val="sl-SI"/>
        </w:rPr>
        <w:t>Obveščanje je širši koncept. Vključuje obveščanje in promocijo za osveščanje in krepitev prepoznavnosti aktivnosti projekta poleg razširjanja in uporabe rezultatov projekta. Pogosto pa je težko jasno razlikovati med tema dvema področjema. Zato je lahko načrtovanje skupnega strateškega okvira, ki zajame obe področji, učinkovitejši način za kar najboljše izkoriščanje razpoložljivih virov. Razširjanje in uporaba rezultatov bi morala biti ključni del vseh aktivnosti obveščanja, ki se izvajajo v življenjskem ciklu projekta.</w:t>
      </w:r>
    </w:p>
    <w:p w14:paraId="7D39AB44" w14:textId="77777777" w:rsidR="0078118E" w:rsidRPr="001048FE" w:rsidRDefault="0078118E" w:rsidP="00AB3A8A">
      <w:pPr>
        <w:pStyle w:val="Guide-Heading4"/>
        <w:rPr>
          <w:lang w:val="sl-SI"/>
        </w:rPr>
      </w:pPr>
      <w:bookmarkStart w:id="770" w:name="_Toc527401390"/>
      <w:r w:rsidRPr="001048FE">
        <w:rPr>
          <w:lang w:val="sl-SI"/>
        </w:rPr>
        <w:t>Zakaj je izmenjava rezultatov pomembna? Kakšne so širše koristi?</w:t>
      </w:r>
      <w:bookmarkEnd w:id="770"/>
    </w:p>
    <w:p w14:paraId="7D39AB45" w14:textId="77777777" w:rsidR="0078118E" w:rsidRPr="001048FE" w:rsidRDefault="0078118E" w:rsidP="00AB3A8A">
      <w:pPr>
        <w:pStyle w:val="GUIDE-NORMAL"/>
        <w:rPr>
          <w:lang w:val="sl-SI"/>
        </w:rPr>
      </w:pPr>
      <w:r w:rsidRPr="001048FE">
        <w:rPr>
          <w:lang w:val="sl-SI"/>
        </w:rPr>
        <w:t>Posvečanje časa razvoju celovitega načrta razširjanja in uporabe bo koristno za upravičenca in njegove partnerje. Poleg krepitve prepoznavnosti organizacij lahko aktivnosti razširjanja in uporabe pogosto ustvarijo tudi nove priložnosti za širitev projekta in njegovih rezultatov ali razvoj novih partnerstev v prihodnosti. Uspešno razširjanje in uporaba lahko vodita tudi do zunanjega priznavanja izvedenega projekta, ki še bolj okrepi njegovo verodostojnost. Izmenjava rezultatov bo omogočila drugim, da izkoristijo aktivnosti in izkušnje programa Erasmus+. Rezultati projekta pokažejo, kaj je mogoče doseči v okviru Programa, in so s tem dober primer in navdih za druge.</w:t>
      </w:r>
    </w:p>
    <w:p w14:paraId="7D39AB46" w14:textId="77777777" w:rsidR="0078118E" w:rsidRPr="001048FE" w:rsidRDefault="0078118E" w:rsidP="00AB3A8A">
      <w:pPr>
        <w:pStyle w:val="GUIDE-NORMAL"/>
        <w:rPr>
          <w:lang w:val="sl-SI"/>
        </w:rPr>
      </w:pPr>
      <w:r w:rsidRPr="001048FE">
        <w:rPr>
          <w:lang w:val="sl-SI"/>
        </w:rPr>
        <w:t>Razširjanje in uporaba rezultatov projekta lahko pripomoreta k oblikovanju prihodnjih politik in praks. Aktivnosti razširjanja in uporabe rezultatov, ki jih izvedejo upravičenci, bodo podprle širši cilj izboljšanja sistemov Evropske unije. Učinek programa Erasmus+ se ne meri samo po kakovosti rezultatov projekta, temveč tudi po razširjenosti teh rezultatov in njihovi uporabi zunaj kroga partnerjev projekta. Vključevanje čim večjega števila morebitnih uporabnikov z učinkovitim razširjanjem bo pripomoglo k doseganju donosa iz naložbe.</w:t>
      </w:r>
    </w:p>
    <w:p w14:paraId="7D39AB47" w14:textId="77777777" w:rsidR="00500FF0" w:rsidRPr="001048FE" w:rsidRDefault="00500FF0" w:rsidP="00AB3A8A">
      <w:pPr>
        <w:pStyle w:val="GUIDE-NORMAL"/>
        <w:rPr>
          <w:lang w:val="sl-SI"/>
        </w:rPr>
        <w:sectPr w:rsidR="00500FF0" w:rsidRPr="001048FE" w:rsidSect="007F4890">
          <w:headerReference w:type="default" r:id="rId193"/>
          <w:endnotePr>
            <w:numFmt w:val="decimal"/>
          </w:endnotePr>
          <w:pgSz w:w="11910" w:h="16840" w:code="9"/>
          <w:pgMar w:top="1134" w:right="1418" w:bottom="1134" w:left="1418" w:header="283" w:footer="567" w:gutter="0"/>
          <w:cols w:space="720"/>
          <w:docGrid w:linePitch="326"/>
        </w:sectPr>
      </w:pPr>
    </w:p>
    <w:p w14:paraId="7D39AB48" w14:textId="77777777" w:rsidR="0078118E" w:rsidRPr="001048FE" w:rsidRDefault="0078118E" w:rsidP="00AB3A8A">
      <w:pPr>
        <w:pStyle w:val="GUIDE-NORMAL"/>
        <w:rPr>
          <w:lang w:val="sl-SI"/>
        </w:rPr>
      </w:pPr>
      <w:r w:rsidRPr="001048FE">
        <w:rPr>
          <w:lang w:val="sl-SI"/>
        </w:rPr>
        <w:t>Razširjanje in uporaba rezultatov projekta tudi krepita osveščenost o priložnostih, ki jih ponuja Program, in poudarjata evropsko dodano vrednost aktivnosti, ki jih podpira Erasmus+. To bo prispevalo</w:t>
      </w:r>
      <w:r w:rsidRPr="001048FE">
        <w:rPr>
          <w:spacing w:val="-12"/>
          <w:lang w:val="sl-SI"/>
        </w:rPr>
        <w:t xml:space="preserve"> </w:t>
      </w:r>
      <w:r w:rsidRPr="001048FE">
        <w:rPr>
          <w:lang w:val="sl-SI"/>
        </w:rPr>
        <w:t>k</w:t>
      </w:r>
      <w:r w:rsidRPr="001048FE">
        <w:rPr>
          <w:spacing w:val="-12"/>
          <w:lang w:val="sl-SI"/>
        </w:rPr>
        <w:t xml:space="preserve"> </w:t>
      </w:r>
      <w:r w:rsidRPr="001048FE">
        <w:rPr>
          <w:lang w:val="sl-SI"/>
        </w:rPr>
        <w:t>pozitivnemu</w:t>
      </w:r>
      <w:r w:rsidRPr="001048FE">
        <w:rPr>
          <w:spacing w:val="-12"/>
          <w:lang w:val="sl-SI"/>
        </w:rPr>
        <w:t xml:space="preserve"> </w:t>
      </w:r>
      <w:r w:rsidRPr="001048FE">
        <w:rPr>
          <w:lang w:val="sl-SI"/>
        </w:rPr>
        <w:t>mnenju</w:t>
      </w:r>
      <w:r w:rsidRPr="001048FE">
        <w:rPr>
          <w:spacing w:val="-12"/>
          <w:lang w:val="sl-SI"/>
        </w:rPr>
        <w:t xml:space="preserve"> </w:t>
      </w:r>
      <w:r w:rsidRPr="001048FE">
        <w:rPr>
          <w:lang w:val="sl-SI"/>
        </w:rPr>
        <w:t>javnosti</w:t>
      </w:r>
      <w:r w:rsidRPr="001048FE">
        <w:rPr>
          <w:spacing w:val="-12"/>
          <w:lang w:val="sl-SI"/>
        </w:rPr>
        <w:t xml:space="preserve"> </w:t>
      </w:r>
      <w:r w:rsidRPr="001048FE">
        <w:rPr>
          <w:lang w:val="sl-SI"/>
        </w:rPr>
        <w:t>in</w:t>
      </w:r>
      <w:r w:rsidRPr="001048FE">
        <w:rPr>
          <w:spacing w:val="-12"/>
          <w:lang w:val="sl-SI"/>
        </w:rPr>
        <w:t xml:space="preserve"> </w:t>
      </w:r>
      <w:r w:rsidRPr="001048FE">
        <w:rPr>
          <w:lang w:val="sl-SI"/>
        </w:rPr>
        <w:t>spodbudilo</w:t>
      </w:r>
      <w:r w:rsidRPr="001048FE">
        <w:rPr>
          <w:spacing w:val="-12"/>
          <w:lang w:val="sl-SI"/>
        </w:rPr>
        <w:t xml:space="preserve"> </w:t>
      </w:r>
      <w:r w:rsidRPr="001048FE">
        <w:rPr>
          <w:lang w:val="sl-SI"/>
        </w:rPr>
        <w:t>širšo</w:t>
      </w:r>
      <w:r w:rsidRPr="001048FE">
        <w:rPr>
          <w:spacing w:val="-12"/>
          <w:lang w:val="sl-SI"/>
        </w:rPr>
        <w:t xml:space="preserve"> </w:t>
      </w:r>
      <w:r w:rsidRPr="001048FE">
        <w:rPr>
          <w:lang w:val="sl-SI"/>
        </w:rPr>
        <w:t>udeležbo</w:t>
      </w:r>
      <w:r w:rsidRPr="001048FE">
        <w:rPr>
          <w:spacing w:val="-12"/>
          <w:lang w:val="sl-SI"/>
        </w:rPr>
        <w:t xml:space="preserve"> </w:t>
      </w:r>
      <w:r w:rsidRPr="001048FE">
        <w:rPr>
          <w:lang w:val="sl-SI"/>
        </w:rPr>
        <w:t>v</w:t>
      </w:r>
      <w:r w:rsidRPr="001048FE">
        <w:rPr>
          <w:spacing w:val="-12"/>
          <w:lang w:val="sl-SI"/>
        </w:rPr>
        <w:t xml:space="preserve"> </w:t>
      </w:r>
      <w:r w:rsidRPr="001048FE">
        <w:rPr>
          <w:lang w:val="sl-SI"/>
        </w:rPr>
        <w:t>tem</w:t>
      </w:r>
      <w:r w:rsidRPr="001048FE">
        <w:rPr>
          <w:spacing w:val="-12"/>
          <w:lang w:val="sl-SI"/>
        </w:rPr>
        <w:t xml:space="preserve"> </w:t>
      </w:r>
      <w:r w:rsidRPr="001048FE">
        <w:rPr>
          <w:lang w:val="sl-SI"/>
        </w:rPr>
        <w:t>novem</w:t>
      </w:r>
      <w:r w:rsidRPr="001048FE">
        <w:rPr>
          <w:spacing w:val="-12"/>
          <w:lang w:val="sl-SI"/>
        </w:rPr>
        <w:t xml:space="preserve"> </w:t>
      </w:r>
      <w:r w:rsidRPr="001048FE">
        <w:rPr>
          <w:lang w:val="sl-SI"/>
        </w:rPr>
        <w:t>programu</w:t>
      </w:r>
      <w:r w:rsidRPr="001048FE">
        <w:rPr>
          <w:spacing w:val="-12"/>
          <w:lang w:val="sl-SI"/>
        </w:rPr>
        <w:t xml:space="preserve"> </w:t>
      </w:r>
      <w:r w:rsidRPr="001048FE">
        <w:rPr>
          <w:lang w:val="sl-SI"/>
        </w:rPr>
        <w:t>EU. Razmislek o ciljih načrta razširjanja in uporabe rezultatov je ključnega pomena. Ti bi morali biti povezani</w:t>
      </w:r>
      <w:r w:rsidRPr="001048FE">
        <w:rPr>
          <w:spacing w:val="-9"/>
          <w:lang w:val="sl-SI"/>
        </w:rPr>
        <w:t xml:space="preserve"> </w:t>
      </w:r>
      <w:r w:rsidRPr="001048FE">
        <w:rPr>
          <w:lang w:val="sl-SI"/>
        </w:rPr>
        <w:t>s</w:t>
      </w:r>
      <w:r w:rsidRPr="001048FE">
        <w:rPr>
          <w:spacing w:val="-9"/>
          <w:lang w:val="sl-SI"/>
        </w:rPr>
        <w:t xml:space="preserve"> </w:t>
      </w:r>
      <w:r w:rsidRPr="001048FE">
        <w:rPr>
          <w:lang w:val="sl-SI"/>
        </w:rPr>
        <w:t>cilji</w:t>
      </w:r>
      <w:r w:rsidRPr="001048FE">
        <w:rPr>
          <w:spacing w:val="-9"/>
          <w:lang w:val="sl-SI"/>
        </w:rPr>
        <w:t xml:space="preserve"> </w:t>
      </w:r>
      <w:r w:rsidRPr="001048FE">
        <w:rPr>
          <w:lang w:val="sl-SI"/>
        </w:rPr>
        <w:t>projekta</w:t>
      </w:r>
      <w:r w:rsidRPr="001048FE">
        <w:rPr>
          <w:spacing w:val="-9"/>
          <w:lang w:val="sl-SI"/>
        </w:rPr>
        <w:t xml:space="preserve"> </w:t>
      </w:r>
      <w:r w:rsidRPr="001048FE">
        <w:rPr>
          <w:lang w:val="sl-SI"/>
        </w:rPr>
        <w:t>za</w:t>
      </w:r>
      <w:r w:rsidRPr="001048FE">
        <w:rPr>
          <w:spacing w:val="-9"/>
          <w:lang w:val="sl-SI"/>
        </w:rPr>
        <w:t xml:space="preserve"> </w:t>
      </w:r>
      <w:r w:rsidRPr="001048FE">
        <w:rPr>
          <w:lang w:val="sl-SI"/>
        </w:rPr>
        <w:t>zagotavljanje,</w:t>
      </w:r>
      <w:r w:rsidRPr="001048FE">
        <w:rPr>
          <w:spacing w:val="-9"/>
          <w:lang w:val="sl-SI"/>
        </w:rPr>
        <w:t xml:space="preserve"> </w:t>
      </w:r>
      <w:r w:rsidRPr="001048FE">
        <w:rPr>
          <w:lang w:val="sl-SI"/>
        </w:rPr>
        <w:t>da</w:t>
      </w:r>
      <w:r w:rsidRPr="001048FE">
        <w:rPr>
          <w:spacing w:val="-9"/>
          <w:lang w:val="sl-SI"/>
        </w:rPr>
        <w:t xml:space="preserve"> </w:t>
      </w:r>
      <w:r w:rsidRPr="001048FE">
        <w:rPr>
          <w:lang w:val="sl-SI"/>
        </w:rPr>
        <w:t>so</w:t>
      </w:r>
      <w:r w:rsidRPr="001048FE">
        <w:rPr>
          <w:spacing w:val="-9"/>
          <w:lang w:val="sl-SI"/>
        </w:rPr>
        <w:t xml:space="preserve"> </w:t>
      </w:r>
      <w:r w:rsidRPr="001048FE">
        <w:rPr>
          <w:lang w:val="sl-SI"/>
        </w:rPr>
        <w:t>uporabljene</w:t>
      </w:r>
      <w:r w:rsidRPr="001048FE">
        <w:rPr>
          <w:spacing w:val="-9"/>
          <w:lang w:val="sl-SI"/>
        </w:rPr>
        <w:t xml:space="preserve"> </w:t>
      </w:r>
      <w:r w:rsidRPr="001048FE">
        <w:rPr>
          <w:lang w:val="sl-SI"/>
        </w:rPr>
        <w:t>metode</w:t>
      </w:r>
      <w:r w:rsidRPr="001048FE">
        <w:rPr>
          <w:spacing w:val="-9"/>
          <w:lang w:val="sl-SI"/>
        </w:rPr>
        <w:t xml:space="preserve"> </w:t>
      </w:r>
      <w:r w:rsidRPr="001048FE">
        <w:rPr>
          <w:lang w:val="sl-SI"/>
        </w:rPr>
        <w:t>in</w:t>
      </w:r>
      <w:r w:rsidRPr="001048FE">
        <w:rPr>
          <w:spacing w:val="-9"/>
          <w:lang w:val="sl-SI"/>
        </w:rPr>
        <w:t xml:space="preserve"> </w:t>
      </w:r>
      <w:r w:rsidRPr="001048FE">
        <w:rPr>
          <w:lang w:val="sl-SI"/>
        </w:rPr>
        <w:t>pristopi</w:t>
      </w:r>
      <w:r w:rsidRPr="001048FE">
        <w:rPr>
          <w:spacing w:val="-9"/>
          <w:lang w:val="sl-SI"/>
        </w:rPr>
        <w:t xml:space="preserve"> </w:t>
      </w:r>
      <w:r w:rsidRPr="001048FE">
        <w:rPr>
          <w:lang w:val="sl-SI"/>
        </w:rPr>
        <w:t>ustrezni</w:t>
      </w:r>
      <w:r w:rsidRPr="001048FE">
        <w:rPr>
          <w:spacing w:val="-9"/>
          <w:lang w:val="sl-SI"/>
        </w:rPr>
        <w:t xml:space="preserve"> </w:t>
      </w:r>
      <w:r w:rsidRPr="001048FE">
        <w:rPr>
          <w:lang w:val="sl-SI"/>
        </w:rPr>
        <w:t>za</w:t>
      </w:r>
      <w:r w:rsidRPr="001048FE">
        <w:rPr>
          <w:spacing w:val="-9"/>
          <w:lang w:val="sl-SI"/>
        </w:rPr>
        <w:t xml:space="preserve"> </w:t>
      </w:r>
      <w:r w:rsidRPr="001048FE">
        <w:rPr>
          <w:lang w:val="sl-SI"/>
        </w:rPr>
        <w:t>program Erasmus+ in njegove rezultate ter za opredeljene ciljne skupine. Cilji razširjanja in uporabe so lahko:</w:t>
      </w:r>
    </w:p>
    <w:p w14:paraId="7D39AB49" w14:textId="77777777" w:rsidR="00AB3A8A" w:rsidRPr="001048FE" w:rsidRDefault="0078118E" w:rsidP="005115F2">
      <w:pPr>
        <w:pStyle w:val="Guide-NormalBulletpoints"/>
        <w:numPr>
          <w:ilvl w:val="0"/>
          <w:numId w:val="473"/>
        </w:numPr>
        <w:rPr>
          <w:lang w:val="sl-SI"/>
        </w:rPr>
      </w:pPr>
      <w:r w:rsidRPr="001048FE">
        <w:rPr>
          <w:lang w:val="sl-SI"/>
        </w:rPr>
        <w:t xml:space="preserve">osveščanje, </w:t>
      </w:r>
    </w:p>
    <w:p w14:paraId="7D39AB4A" w14:textId="77777777" w:rsidR="0078118E" w:rsidRPr="001048FE" w:rsidRDefault="0078118E" w:rsidP="005115F2">
      <w:pPr>
        <w:pStyle w:val="Guide-NormalBulletpoints"/>
        <w:numPr>
          <w:ilvl w:val="0"/>
          <w:numId w:val="473"/>
        </w:numPr>
        <w:rPr>
          <w:lang w:val="sl-SI"/>
        </w:rPr>
      </w:pPr>
      <w:r w:rsidRPr="001048FE">
        <w:rPr>
          <w:lang w:val="sl-SI"/>
        </w:rPr>
        <w:t>širjenje</w:t>
      </w:r>
      <w:r w:rsidRPr="001048FE">
        <w:rPr>
          <w:spacing w:val="60"/>
          <w:lang w:val="sl-SI"/>
        </w:rPr>
        <w:t xml:space="preserve"> </w:t>
      </w:r>
      <w:r w:rsidRPr="001048FE">
        <w:rPr>
          <w:lang w:val="sl-SI"/>
        </w:rPr>
        <w:t>učinka,</w:t>
      </w:r>
    </w:p>
    <w:p w14:paraId="7D39AB4B" w14:textId="77777777" w:rsidR="00AB3A8A" w:rsidRPr="001048FE" w:rsidRDefault="0078118E" w:rsidP="005115F2">
      <w:pPr>
        <w:pStyle w:val="Guide-NormalBulletpoints"/>
        <w:numPr>
          <w:ilvl w:val="0"/>
          <w:numId w:val="473"/>
        </w:numPr>
        <w:rPr>
          <w:lang w:val="sl-SI"/>
        </w:rPr>
      </w:pPr>
      <w:r w:rsidRPr="001048FE">
        <w:rPr>
          <w:lang w:val="sl-SI"/>
        </w:rPr>
        <w:t xml:space="preserve">vključevanje deležnikov in ciljnih skupin, </w:t>
      </w:r>
    </w:p>
    <w:p w14:paraId="7D39AB4C" w14:textId="77777777" w:rsidR="0078118E" w:rsidRPr="001048FE" w:rsidRDefault="0078118E" w:rsidP="005115F2">
      <w:pPr>
        <w:pStyle w:val="Guide-NormalBulletpoints"/>
        <w:numPr>
          <w:ilvl w:val="0"/>
          <w:numId w:val="473"/>
        </w:numPr>
        <w:rPr>
          <w:lang w:val="sl-SI"/>
        </w:rPr>
      </w:pPr>
      <w:r w:rsidRPr="001048FE">
        <w:rPr>
          <w:lang w:val="sl-SI"/>
        </w:rPr>
        <w:t>izmenjava rešitev in znanja,</w:t>
      </w:r>
    </w:p>
    <w:p w14:paraId="7D39AB4D" w14:textId="77777777" w:rsidR="00AB3A8A" w:rsidRPr="001048FE" w:rsidRDefault="0078118E" w:rsidP="005115F2">
      <w:pPr>
        <w:pStyle w:val="Guide-NormalBulletpoints"/>
        <w:numPr>
          <w:ilvl w:val="0"/>
          <w:numId w:val="473"/>
        </w:numPr>
        <w:rPr>
          <w:lang w:val="sl-SI"/>
        </w:rPr>
      </w:pPr>
      <w:r w:rsidRPr="001048FE">
        <w:rPr>
          <w:lang w:val="sl-SI"/>
        </w:rPr>
        <w:t xml:space="preserve">vpliv na politiko in prakso, </w:t>
      </w:r>
    </w:p>
    <w:p w14:paraId="7D39AB4E" w14:textId="77777777" w:rsidR="0078118E" w:rsidRPr="001048FE" w:rsidRDefault="0078118E" w:rsidP="005115F2">
      <w:pPr>
        <w:pStyle w:val="Guide-NormalBulletpoints"/>
        <w:numPr>
          <w:ilvl w:val="0"/>
          <w:numId w:val="473"/>
        </w:numPr>
        <w:rPr>
          <w:lang w:val="sl-SI"/>
        </w:rPr>
      </w:pPr>
      <w:r w:rsidRPr="001048FE">
        <w:rPr>
          <w:lang w:val="sl-SI"/>
        </w:rPr>
        <w:t>razvoj novih partnerstev.</w:t>
      </w:r>
    </w:p>
    <w:p w14:paraId="7D39AB4F" w14:textId="77777777" w:rsidR="0078118E" w:rsidRPr="001048FE" w:rsidRDefault="0078118E" w:rsidP="00AB3A8A">
      <w:pPr>
        <w:pStyle w:val="Guide-Heading4"/>
        <w:rPr>
          <w:lang w:val="sl-SI"/>
        </w:rPr>
      </w:pPr>
      <w:bookmarkStart w:id="771" w:name="_Toc527401391"/>
      <w:r w:rsidRPr="001048FE">
        <w:rPr>
          <w:lang w:val="sl-SI"/>
        </w:rPr>
        <w:t>Kaj se lahko razširja in uporablja?</w:t>
      </w:r>
      <w:bookmarkEnd w:id="771"/>
    </w:p>
    <w:p w14:paraId="7D39AB50" w14:textId="77777777" w:rsidR="0078118E" w:rsidRPr="001048FE" w:rsidRDefault="0078118E" w:rsidP="00AB3A8A">
      <w:pPr>
        <w:pStyle w:val="GUIDE-NORMAL"/>
        <w:rPr>
          <w:lang w:val="sl-SI"/>
        </w:rPr>
      </w:pPr>
      <w:r w:rsidRPr="001048FE">
        <w:rPr>
          <w:lang w:val="sl-SI"/>
        </w:rPr>
        <w:t>Naslednji</w:t>
      </w:r>
      <w:r w:rsidRPr="001048FE">
        <w:rPr>
          <w:spacing w:val="-36"/>
          <w:lang w:val="sl-SI"/>
        </w:rPr>
        <w:t xml:space="preserve"> </w:t>
      </w:r>
      <w:r w:rsidRPr="001048FE">
        <w:rPr>
          <w:lang w:val="sl-SI"/>
        </w:rPr>
        <w:t>korak</w:t>
      </w:r>
      <w:r w:rsidRPr="001048FE">
        <w:rPr>
          <w:spacing w:val="-36"/>
          <w:lang w:val="sl-SI"/>
        </w:rPr>
        <w:t xml:space="preserve"> </w:t>
      </w:r>
      <w:r w:rsidRPr="001048FE">
        <w:rPr>
          <w:lang w:val="sl-SI"/>
        </w:rPr>
        <w:t>je</w:t>
      </w:r>
      <w:r w:rsidRPr="001048FE">
        <w:rPr>
          <w:spacing w:val="-36"/>
          <w:lang w:val="sl-SI"/>
        </w:rPr>
        <w:t xml:space="preserve"> </w:t>
      </w:r>
      <w:r w:rsidRPr="001048FE">
        <w:rPr>
          <w:lang w:val="sl-SI"/>
        </w:rPr>
        <w:t>opredelitev</w:t>
      </w:r>
      <w:r w:rsidRPr="001048FE">
        <w:rPr>
          <w:spacing w:val="-35"/>
          <w:lang w:val="sl-SI"/>
        </w:rPr>
        <w:t xml:space="preserve"> </w:t>
      </w:r>
      <w:r w:rsidRPr="001048FE">
        <w:rPr>
          <w:lang w:val="sl-SI"/>
        </w:rPr>
        <w:t>tega,</w:t>
      </w:r>
      <w:r w:rsidRPr="001048FE">
        <w:rPr>
          <w:spacing w:val="-36"/>
          <w:lang w:val="sl-SI"/>
        </w:rPr>
        <w:t xml:space="preserve"> </w:t>
      </w:r>
      <w:r w:rsidRPr="001048FE">
        <w:rPr>
          <w:b/>
          <w:lang w:val="sl-SI"/>
        </w:rPr>
        <w:t>kaj</w:t>
      </w:r>
      <w:r w:rsidRPr="001048FE">
        <w:rPr>
          <w:b/>
          <w:spacing w:val="-36"/>
          <w:lang w:val="sl-SI"/>
        </w:rPr>
        <w:t xml:space="preserve"> </w:t>
      </w:r>
      <w:r w:rsidRPr="001048FE">
        <w:rPr>
          <w:lang w:val="sl-SI"/>
        </w:rPr>
        <w:t>se</w:t>
      </w:r>
      <w:r w:rsidRPr="001048FE">
        <w:rPr>
          <w:spacing w:val="-36"/>
          <w:lang w:val="sl-SI"/>
        </w:rPr>
        <w:t xml:space="preserve"> </w:t>
      </w:r>
      <w:r w:rsidRPr="001048FE">
        <w:rPr>
          <w:lang w:val="sl-SI"/>
        </w:rPr>
        <w:t>lahko</w:t>
      </w:r>
      <w:r w:rsidRPr="001048FE">
        <w:rPr>
          <w:spacing w:val="-36"/>
          <w:lang w:val="sl-SI"/>
        </w:rPr>
        <w:t xml:space="preserve"> </w:t>
      </w:r>
      <w:r w:rsidRPr="001048FE">
        <w:rPr>
          <w:lang w:val="sl-SI"/>
        </w:rPr>
        <w:t>razširja</w:t>
      </w:r>
      <w:r w:rsidRPr="001048FE">
        <w:rPr>
          <w:spacing w:val="-36"/>
          <w:lang w:val="sl-SI"/>
        </w:rPr>
        <w:t xml:space="preserve"> </w:t>
      </w:r>
      <w:r w:rsidRPr="001048FE">
        <w:rPr>
          <w:lang w:val="sl-SI"/>
        </w:rPr>
        <w:t>in</w:t>
      </w:r>
      <w:r w:rsidRPr="001048FE">
        <w:rPr>
          <w:spacing w:val="-36"/>
          <w:lang w:val="sl-SI"/>
        </w:rPr>
        <w:t xml:space="preserve"> </w:t>
      </w:r>
      <w:r w:rsidRPr="001048FE">
        <w:rPr>
          <w:lang w:val="sl-SI"/>
        </w:rPr>
        <w:t>uporablja.</w:t>
      </w:r>
      <w:r w:rsidRPr="001048FE">
        <w:rPr>
          <w:spacing w:val="-36"/>
          <w:lang w:val="sl-SI"/>
        </w:rPr>
        <w:t xml:space="preserve"> </w:t>
      </w:r>
      <w:r w:rsidRPr="001048FE">
        <w:rPr>
          <w:lang w:val="sl-SI"/>
        </w:rPr>
        <w:t>Rezultati</w:t>
      </w:r>
      <w:r w:rsidRPr="001048FE">
        <w:rPr>
          <w:spacing w:val="-36"/>
          <w:lang w:val="sl-SI"/>
        </w:rPr>
        <w:t xml:space="preserve"> </w:t>
      </w:r>
      <w:r w:rsidRPr="001048FE">
        <w:rPr>
          <w:lang w:val="sl-SI"/>
        </w:rPr>
        <w:t>projekta</w:t>
      </w:r>
      <w:r w:rsidRPr="001048FE">
        <w:rPr>
          <w:spacing w:val="-36"/>
          <w:lang w:val="sl-SI"/>
        </w:rPr>
        <w:t xml:space="preserve"> </w:t>
      </w:r>
      <w:r w:rsidRPr="001048FE">
        <w:rPr>
          <w:lang w:val="sl-SI"/>
        </w:rPr>
        <w:t>so</w:t>
      </w:r>
      <w:r w:rsidRPr="001048FE">
        <w:rPr>
          <w:spacing w:val="-36"/>
          <w:lang w:val="sl-SI"/>
        </w:rPr>
        <w:t xml:space="preserve"> </w:t>
      </w:r>
      <w:r w:rsidRPr="001048FE">
        <w:rPr>
          <w:lang w:val="sl-SI"/>
        </w:rPr>
        <w:t>lahko raznovrstni</w:t>
      </w:r>
      <w:r w:rsidRPr="001048FE">
        <w:rPr>
          <w:spacing w:val="-36"/>
          <w:lang w:val="sl-SI"/>
        </w:rPr>
        <w:t xml:space="preserve"> </w:t>
      </w:r>
      <w:r w:rsidRPr="001048FE">
        <w:rPr>
          <w:lang w:val="sl-SI"/>
        </w:rPr>
        <w:t>in</w:t>
      </w:r>
      <w:r w:rsidRPr="001048FE">
        <w:rPr>
          <w:spacing w:val="-36"/>
          <w:lang w:val="sl-SI"/>
        </w:rPr>
        <w:t xml:space="preserve"> </w:t>
      </w:r>
      <w:r w:rsidRPr="001048FE">
        <w:rPr>
          <w:lang w:val="sl-SI"/>
        </w:rPr>
        <w:t>zajemajo</w:t>
      </w:r>
      <w:r w:rsidRPr="001048FE">
        <w:rPr>
          <w:spacing w:val="-36"/>
          <w:lang w:val="sl-SI"/>
        </w:rPr>
        <w:t xml:space="preserve"> </w:t>
      </w:r>
      <w:r w:rsidRPr="001048FE">
        <w:rPr>
          <w:lang w:val="sl-SI"/>
        </w:rPr>
        <w:t>konkretne</w:t>
      </w:r>
      <w:r w:rsidRPr="001048FE">
        <w:rPr>
          <w:spacing w:val="-36"/>
          <w:lang w:val="sl-SI"/>
        </w:rPr>
        <w:t xml:space="preserve"> </w:t>
      </w:r>
      <w:r w:rsidRPr="001048FE">
        <w:rPr>
          <w:lang w:val="sl-SI"/>
        </w:rPr>
        <w:t>(oprijemljive)</w:t>
      </w:r>
      <w:r w:rsidRPr="001048FE">
        <w:rPr>
          <w:spacing w:val="-36"/>
          <w:lang w:val="sl-SI"/>
        </w:rPr>
        <w:t xml:space="preserve"> </w:t>
      </w:r>
      <w:r w:rsidRPr="001048FE">
        <w:rPr>
          <w:lang w:val="sl-SI"/>
        </w:rPr>
        <w:t>rezultate</w:t>
      </w:r>
      <w:r w:rsidRPr="001048FE">
        <w:rPr>
          <w:spacing w:val="-36"/>
          <w:lang w:val="sl-SI"/>
        </w:rPr>
        <w:t xml:space="preserve"> </w:t>
      </w:r>
      <w:r w:rsidRPr="001048FE">
        <w:rPr>
          <w:lang w:val="sl-SI"/>
        </w:rPr>
        <w:t>ter</w:t>
      </w:r>
      <w:r w:rsidRPr="001048FE">
        <w:rPr>
          <w:spacing w:val="-36"/>
          <w:lang w:val="sl-SI"/>
        </w:rPr>
        <w:t xml:space="preserve"> </w:t>
      </w:r>
      <w:r w:rsidRPr="001048FE">
        <w:rPr>
          <w:lang w:val="sl-SI"/>
        </w:rPr>
        <w:t>spretnosti</w:t>
      </w:r>
      <w:r w:rsidRPr="001048FE">
        <w:rPr>
          <w:spacing w:val="-36"/>
          <w:lang w:val="sl-SI"/>
        </w:rPr>
        <w:t xml:space="preserve"> </w:t>
      </w:r>
      <w:r w:rsidRPr="001048FE">
        <w:rPr>
          <w:lang w:val="sl-SI"/>
        </w:rPr>
        <w:t>in</w:t>
      </w:r>
      <w:r w:rsidRPr="001048FE">
        <w:rPr>
          <w:spacing w:val="-36"/>
          <w:lang w:val="sl-SI"/>
        </w:rPr>
        <w:t xml:space="preserve"> </w:t>
      </w:r>
      <w:r w:rsidRPr="001048FE">
        <w:rPr>
          <w:lang w:val="sl-SI"/>
        </w:rPr>
        <w:t>osebne</w:t>
      </w:r>
      <w:r w:rsidRPr="001048FE">
        <w:rPr>
          <w:spacing w:val="-36"/>
          <w:lang w:val="sl-SI"/>
        </w:rPr>
        <w:t xml:space="preserve"> </w:t>
      </w:r>
      <w:r w:rsidRPr="001048FE">
        <w:rPr>
          <w:lang w:val="sl-SI"/>
        </w:rPr>
        <w:t>izkušnje,</w:t>
      </w:r>
      <w:r w:rsidRPr="001048FE">
        <w:rPr>
          <w:spacing w:val="-36"/>
          <w:lang w:val="sl-SI"/>
        </w:rPr>
        <w:t xml:space="preserve"> </w:t>
      </w:r>
      <w:r w:rsidRPr="001048FE">
        <w:rPr>
          <w:lang w:val="sl-SI"/>
        </w:rPr>
        <w:t>ki</w:t>
      </w:r>
      <w:r w:rsidRPr="001048FE">
        <w:rPr>
          <w:spacing w:val="-36"/>
          <w:lang w:val="sl-SI"/>
        </w:rPr>
        <w:t xml:space="preserve"> </w:t>
      </w:r>
      <w:r w:rsidRPr="001048FE">
        <w:rPr>
          <w:lang w:val="sl-SI"/>
        </w:rPr>
        <w:t>jih pridobijo</w:t>
      </w:r>
      <w:r w:rsidRPr="001048FE">
        <w:rPr>
          <w:spacing w:val="-13"/>
          <w:lang w:val="sl-SI"/>
        </w:rPr>
        <w:t xml:space="preserve"> </w:t>
      </w:r>
      <w:r w:rsidRPr="001048FE">
        <w:rPr>
          <w:lang w:val="sl-SI"/>
        </w:rPr>
        <w:t>organizatorji</w:t>
      </w:r>
      <w:r w:rsidRPr="001048FE">
        <w:rPr>
          <w:spacing w:val="-12"/>
          <w:lang w:val="sl-SI"/>
        </w:rPr>
        <w:t xml:space="preserve"> </w:t>
      </w:r>
      <w:r w:rsidRPr="001048FE">
        <w:rPr>
          <w:lang w:val="sl-SI"/>
        </w:rPr>
        <w:t>projekta</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udeleženci</w:t>
      </w:r>
      <w:r w:rsidRPr="001048FE">
        <w:rPr>
          <w:spacing w:val="-13"/>
          <w:lang w:val="sl-SI"/>
        </w:rPr>
        <w:t xml:space="preserve"> </w:t>
      </w:r>
      <w:r w:rsidRPr="001048FE">
        <w:rPr>
          <w:lang w:val="sl-SI"/>
        </w:rPr>
        <w:t>aktivnosti</w:t>
      </w:r>
      <w:r w:rsidRPr="001048FE">
        <w:rPr>
          <w:spacing w:val="-13"/>
          <w:lang w:val="sl-SI"/>
        </w:rPr>
        <w:t xml:space="preserve"> </w:t>
      </w:r>
      <w:r w:rsidRPr="001048FE">
        <w:rPr>
          <w:lang w:val="sl-SI"/>
        </w:rPr>
        <w:t>(neoprijemljivi</w:t>
      </w:r>
      <w:r w:rsidRPr="001048FE">
        <w:rPr>
          <w:spacing w:val="-13"/>
          <w:lang w:val="sl-SI"/>
        </w:rPr>
        <w:t xml:space="preserve"> </w:t>
      </w:r>
      <w:r w:rsidRPr="001048FE">
        <w:rPr>
          <w:lang w:val="sl-SI"/>
        </w:rPr>
        <w:t>rezultati).</w:t>
      </w:r>
    </w:p>
    <w:p w14:paraId="7D39AB51" w14:textId="77777777" w:rsidR="00AB3A8A" w:rsidRPr="001048FE" w:rsidRDefault="0078118E" w:rsidP="005115F2">
      <w:pPr>
        <w:pStyle w:val="GUIDE-NORMAL"/>
        <w:numPr>
          <w:ilvl w:val="0"/>
          <w:numId w:val="474"/>
        </w:numPr>
        <w:rPr>
          <w:lang w:val="sl-SI"/>
        </w:rPr>
      </w:pPr>
      <w:r w:rsidRPr="001048FE">
        <w:rPr>
          <w:b/>
          <w:lang w:val="sl-SI"/>
        </w:rPr>
        <w:t xml:space="preserve">Oprijemljivi </w:t>
      </w:r>
      <w:r w:rsidRPr="001048FE">
        <w:rPr>
          <w:lang w:val="sl-SI"/>
        </w:rPr>
        <w:t xml:space="preserve">rezultati so lahko, na primer: </w:t>
      </w:r>
    </w:p>
    <w:p w14:paraId="7D39AB52" w14:textId="77777777" w:rsidR="0078118E" w:rsidRPr="001048FE" w:rsidRDefault="0078118E" w:rsidP="005115F2">
      <w:pPr>
        <w:pStyle w:val="Guide-NormalBulletpoints"/>
        <w:numPr>
          <w:ilvl w:val="0"/>
          <w:numId w:val="474"/>
        </w:numPr>
        <w:rPr>
          <w:lang w:val="sl-SI"/>
        </w:rPr>
      </w:pPr>
      <w:r w:rsidRPr="001048FE">
        <w:rPr>
          <w:lang w:val="sl-SI"/>
        </w:rPr>
        <w:t>pristop ali model za reševanje problema,</w:t>
      </w:r>
    </w:p>
    <w:p w14:paraId="7D39AB53" w14:textId="77777777" w:rsidR="00AB3A8A" w:rsidRPr="001048FE" w:rsidRDefault="0078118E" w:rsidP="005115F2">
      <w:pPr>
        <w:pStyle w:val="Guide-NormalBulletpoints"/>
        <w:numPr>
          <w:ilvl w:val="0"/>
          <w:numId w:val="474"/>
        </w:numPr>
        <w:rPr>
          <w:lang w:val="sl-SI"/>
        </w:rPr>
      </w:pPr>
      <w:r w:rsidRPr="001048FE">
        <w:rPr>
          <w:lang w:val="sl-SI"/>
        </w:rPr>
        <w:t xml:space="preserve">praktično orodje ali proizvod, kot so priročniki, učni načrti, orodja za e-učenje, </w:t>
      </w:r>
    </w:p>
    <w:p w14:paraId="7D39AB54" w14:textId="77777777" w:rsidR="0078118E" w:rsidRPr="001048FE" w:rsidRDefault="0078118E" w:rsidP="005115F2">
      <w:pPr>
        <w:pStyle w:val="Guide-NormalBulletpoints"/>
        <w:numPr>
          <w:ilvl w:val="0"/>
          <w:numId w:val="474"/>
        </w:numPr>
        <w:rPr>
          <w:lang w:val="sl-SI"/>
        </w:rPr>
      </w:pPr>
      <w:r w:rsidRPr="001048FE">
        <w:rPr>
          <w:lang w:val="sl-SI"/>
        </w:rPr>
        <w:t>raziskovalna poročila ali študije,</w:t>
      </w:r>
    </w:p>
    <w:p w14:paraId="7D39AB55" w14:textId="77777777" w:rsidR="00AB3A8A" w:rsidRPr="001048FE" w:rsidRDefault="0078118E" w:rsidP="005115F2">
      <w:pPr>
        <w:pStyle w:val="Guide-NormalBulletpoints"/>
        <w:numPr>
          <w:ilvl w:val="0"/>
          <w:numId w:val="474"/>
        </w:numPr>
        <w:rPr>
          <w:lang w:val="sl-SI"/>
        </w:rPr>
      </w:pPr>
      <w:r w:rsidRPr="001048FE">
        <w:rPr>
          <w:lang w:val="sl-SI"/>
        </w:rPr>
        <w:t xml:space="preserve">vodniki za dobro prakso ali študije primera, </w:t>
      </w:r>
    </w:p>
    <w:p w14:paraId="7D39AB56" w14:textId="77777777" w:rsidR="0078118E" w:rsidRPr="001048FE" w:rsidRDefault="0078118E" w:rsidP="005115F2">
      <w:pPr>
        <w:pStyle w:val="Guide-NormalBulletpoints"/>
        <w:numPr>
          <w:ilvl w:val="0"/>
          <w:numId w:val="474"/>
        </w:numPr>
        <w:rPr>
          <w:lang w:val="sl-SI"/>
        </w:rPr>
      </w:pPr>
      <w:r w:rsidRPr="001048FE">
        <w:rPr>
          <w:lang w:val="sl-SI"/>
        </w:rPr>
        <w:t>ocenjevalna poročila,</w:t>
      </w:r>
    </w:p>
    <w:p w14:paraId="7D39AB57" w14:textId="77777777" w:rsidR="0078118E" w:rsidRPr="001048FE" w:rsidRDefault="0078118E" w:rsidP="005115F2">
      <w:pPr>
        <w:pStyle w:val="Guide-NormalBulletpoints"/>
        <w:numPr>
          <w:ilvl w:val="0"/>
          <w:numId w:val="474"/>
        </w:numPr>
        <w:rPr>
          <w:lang w:val="sl-SI"/>
        </w:rPr>
      </w:pPr>
      <w:r w:rsidRPr="001048FE">
        <w:rPr>
          <w:lang w:val="sl-SI"/>
        </w:rPr>
        <w:t>potrdila o priznanju;</w:t>
      </w:r>
    </w:p>
    <w:p w14:paraId="7D39AB58" w14:textId="77777777" w:rsidR="0078118E" w:rsidRPr="001048FE" w:rsidRDefault="0078118E" w:rsidP="005115F2">
      <w:pPr>
        <w:pStyle w:val="Guide-NormalBulletpoints"/>
        <w:numPr>
          <w:ilvl w:val="0"/>
          <w:numId w:val="474"/>
        </w:numPr>
        <w:rPr>
          <w:lang w:val="sl-SI"/>
        </w:rPr>
      </w:pPr>
      <w:r w:rsidRPr="001048FE">
        <w:rPr>
          <w:lang w:val="sl-SI"/>
        </w:rPr>
        <w:t>glasila ali informativne zloženke.</w:t>
      </w:r>
    </w:p>
    <w:p w14:paraId="7D39AB59" w14:textId="77777777" w:rsidR="0078118E" w:rsidRPr="00237696" w:rsidRDefault="0078118E" w:rsidP="00AB3A8A">
      <w:pPr>
        <w:pStyle w:val="GUIDE-NORMAL"/>
        <w:rPr>
          <w:color w:val="FF0000"/>
          <w:lang w:val="sl-SI"/>
        </w:rPr>
      </w:pPr>
      <w:r w:rsidRPr="001048FE">
        <w:rPr>
          <w:lang w:val="sl-SI"/>
        </w:rPr>
        <w:t>Za splošno razširjanje izkušenj, strategij, postopkov itd. je priporočljivo, da se dokumentirajo.</w:t>
      </w:r>
    </w:p>
    <w:p w14:paraId="7D39AB5A" w14:textId="77777777" w:rsidR="0078118E" w:rsidRPr="001048FE" w:rsidRDefault="0078118E" w:rsidP="00AB3A8A">
      <w:pPr>
        <w:pStyle w:val="GUIDE-NORMAL"/>
        <w:rPr>
          <w:lang w:val="sl-SI"/>
        </w:rPr>
      </w:pPr>
      <w:r w:rsidRPr="001048FE">
        <w:rPr>
          <w:b/>
          <w:lang w:val="sl-SI"/>
        </w:rPr>
        <w:t xml:space="preserve">Neoprijemljivi </w:t>
      </w:r>
      <w:r w:rsidRPr="001048FE">
        <w:rPr>
          <w:lang w:val="sl-SI"/>
        </w:rPr>
        <w:t>rezultati so lahko, na primer:</w:t>
      </w:r>
    </w:p>
    <w:p w14:paraId="7D39AB5B" w14:textId="77777777" w:rsidR="00AB3A8A" w:rsidRPr="001048FE" w:rsidRDefault="0078118E" w:rsidP="005115F2">
      <w:pPr>
        <w:pStyle w:val="Guide-NormalBulletpoints"/>
        <w:numPr>
          <w:ilvl w:val="0"/>
          <w:numId w:val="475"/>
        </w:numPr>
        <w:rPr>
          <w:lang w:val="sl-SI"/>
        </w:rPr>
      </w:pPr>
      <w:r w:rsidRPr="001048FE">
        <w:rPr>
          <w:lang w:val="sl-SI"/>
        </w:rPr>
        <w:t xml:space="preserve">znanje in izkušnje, ki jih pridobijo udeleženci, učenci ali osebje, </w:t>
      </w:r>
    </w:p>
    <w:p w14:paraId="7D39AB5C" w14:textId="77777777" w:rsidR="0078118E" w:rsidRPr="001048FE" w:rsidRDefault="0078118E" w:rsidP="005115F2">
      <w:pPr>
        <w:pStyle w:val="Guide-NormalBulletpoints"/>
        <w:numPr>
          <w:ilvl w:val="0"/>
          <w:numId w:val="475"/>
        </w:numPr>
        <w:rPr>
          <w:lang w:val="sl-SI"/>
        </w:rPr>
      </w:pPr>
      <w:r w:rsidRPr="001048FE">
        <w:rPr>
          <w:lang w:val="sl-SI"/>
        </w:rPr>
        <w:t>izboljšane spretnosti ali dosežki,</w:t>
      </w:r>
    </w:p>
    <w:p w14:paraId="7D39AB5D" w14:textId="77777777" w:rsidR="00AB3A8A" w:rsidRPr="001048FE" w:rsidRDefault="0078118E" w:rsidP="005115F2">
      <w:pPr>
        <w:pStyle w:val="Guide-NormalBulletpoints"/>
        <w:numPr>
          <w:ilvl w:val="0"/>
          <w:numId w:val="475"/>
        </w:numPr>
        <w:rPr>
          <w:lang w:val="sl-SI"/>
        </w:rPr>
      </w:pPr>
      <w:r w:rsidRPr="001048FE">
        <w:rPr>
          <w:lang w:val="sl-SI"/>
        </w:rPr>
        <w:t xml:space="preserve">okrepljena medkulturna zavest, </w:t>
      </w:r>
    </w:p>
    <w:p w14:paraId="7D39AB5E" w14:textId="77777777" w:rsidR="0078118E" w:rsidRPr="001048FE" w:rsidRDefault="0078118E" w:rsidP="005115F2">
      <w:pPr>
        <w:pStyle w:val="Guide-NormalBulletpoints"/>
        <w:numPr>
          <w:ilvl w:val="0"/>
          <w:numId w:val="475"/>
        </w:numPr>
        <w:rPr>
          <w:lang w:val="sl-SI"/>
        </w:rPr>
      </w:pPr>
      <w:r w:rsidRPr="001048FE">
        <w:rPr>
          <w:lang w:val="sl-SI"/>
        </w:rPr>
        <w:t>boljše znanje jezikov.</w:t>
      </w:r>
    </w:p>
    <w:p w14:paraId="7D39AB5F" w14:textId="77777777" w:rsidR="0078118E" w:rsidRPr="001048FE" w:rsidRDefault="0078118E" w:rsidP="00AB3A8A">
      <w:pPr>
        <w:pStyle w:val="GUIDE-NORMAL"/>
        <w:rPr>
          <w:lang w:val="sl-SI"/>
        </w:rPr>
      </w:pPr>
      <w:r w:rsidRPr="001048FE">
        <w:rPr>
          <w:lang w:val="sl-SI"/>
        </w:rPr>
        <w:t>Neoprijemljive rezultate je pogosto težje izmeriti. Uporaba razgovorov, vprašalnikov, preverjanj znanja, opazovanj ali mehanizmov za samooceno lahko pomaga zabeležiti to vrsto rezultatov.</w:t>
      </w:r>
    </w:p>
    <w:p w14:paraId="7D39AB60" w14:textId="77777777" w:rsidR="0078118E" w:rsidRPr="001048FE" w:rsidRDefault="0078118E" w:rsidP="00AB3A8A">
      <w:pPr>
        <w:pStyle w:val="Guide-Heading4"/>
        <w:rPr>
          <w:lang w:val="sl-SI"/>
        </w:rPr>
      </w:pPr>
      <w:bookmarkStart w:id="772" w:name="_Toc527401392"/>
      <w:r w:rsidRPr="001048FE">
        <w:rPr>
          <w:lang w:val="sl-SI"/>
        </w:rPr>
        <w:t>Kdo so ciljne skupine?</w:t>
      </w:r>
      <w:bookmarkEnd w:id="772"/>
    </w:p>
    <w:p w14:paraId="7D39AB61" w14:textId="77777777" w:rsidR="0078118E" w:rsidRPr="001048FE" w:rsidRDefault="0078118E" w:rsidP="00AB3A8A">
      <w:pPr>
        <w:pStyle w:val="GUIDE-NORMAL"/>
        <w:rPr>
          <w:lang w:val="sl-SI"/>
        </w:rPr>
      </w:pPr>
      <w:r w:rsidRPr="001048FE">
        <w:rPr>
          <w:lang w:val="sl-SI"/>
        </w:rPr>
        <w:t>Opredelitev ciljnih skupin na različnih geografskih ravneh (lokalni, regionalni, nacionalni, evropski) in na področju upravičenca (sodelavci, vrstniki, lokalni organi, druge organizacije, ki vodijo isto vrsto aktivnosti, omrežja itd.) je bistvenega pomena. Aktivnosti in sporočila je treba ustrezno prilagoditi in upoštevati ciljne skupine, na</w:t>
      </w:r>
      <w:r w:rsidRPr="001048FE">
        <w:rPr>
          <w:spacing w:val="-8"/>
          <w:lang w:val="sl-SI"/>
        </w:rPr>
        <w:t xml:space="preserve"> </w:t>
      </w:r>
      <w:r w:rsidRPr="001048FE">
        <w:rPr>
          <w:lang w:val="sl-SI"/>
        </w:rPr>
        <w:t>primer:</w:t>
      </w:r>
    </w:p>
    <w:p w14:paraId="7D39AB62" w14:textId="77777777" w:rsidR="0078118E" w:rsidRPr="001048FE" w:rsidRDefault="0078118E" w:rsidP="005115F2">
      <w:pPr>
        <w:pStyle w:val="Guide-NormalBulletpoints"/>
        <w:numPr>
          <w:ilvl w:val="0"/>
          <w:numId w:val="476"/>
        </w:numPr>
        <w:rPr>
          <w:lang w:val="sl-SI"/>
        </w:rPr>
      </w:pPr>
      <w:r w:rsidRPr="001048FE">
        <w:rPr>
          <w:lang w:val="sl-SI"/>
        </w:rPr>
        <w:t>končne uporabnike projektnih aktivnosti in rezultatov,</w:t>
      </w:r>
    </w:p>
    <w:p w14:paraId="7D39AB63" w14:textId="77777777" w:rsidR="00AB3A8A" w:rsidRPr="001048FE" w:rsidRDefault="0078118E" w:rsidP="005115F2">
      <w:pPr>
        <w:pStyle w:val="Guide-NormalBulletpoints"/>
        <w:numPr>
          <w:ilvl w:val="0"/>
          <w:numId w:val="476"/>
        </w:numPr>
        <w:rPr>
          <w:lang w:val="sl-SI"/>
        </w:rPr>
      </w:pPr>
      <w:r w:rsidRPr="001048FE">
        <w:rPr>
          <w:lang w:val="sl-SI"/>
        </w:rPr>
        <w:t>deležnike,</w:t>
      </w:r>
      <w:r w:rsidRPr="001048FE">
        <w:rPr>
          <w:spacing w:val="-20"/>
          <w:lang w:val="sl-SI"/>
        </w:rPr>
        <w:t xml:space="preserve"> </w:t>
      </w:r>
      <w:r w:rsidRPr="001048FE">
        <w:rPr>
          <w:lang w:val="sl-SI"/>
        </w:rPr>
        <w:t>strokovnjake</w:t>
      </w:r>
      <w:r w:rsidRPr="001048FE">
        <w:rPr>
          <w:spacing w:val="-20"/>
          <w:lang w:val="sl-SI"/>
        </w:rPr>
        <w:t xml:space="preserve"> </w:t>
      </w:r>
      <w:r w:rsidRPr="001048FE">
        <w:rPr>
          <w:lang w:val="sl-SI"/>
        </w:rPr>
        <w:t>ali</w:t>
      </w:r>
      <w:r w:rsidRPr="001048FE">
        <w:rPr>
          <w:spacing w:val="-20"/>
          <w:lang w:val="sl-SI"/>
        </w:rPr>
        <w:t xml:space="preserve"> </w:t>
      </w:r>
      <w:r w:rsidRPr="001048FE">
        <w:rPr>
          <w:lang w:val="sl-SI"/>
        </w:rPr>
        <w:t>delavce</w:t>
      </w:r>
      <w:r w:rsidRPr="001048FE">
        <w:rPr>
          <w:spacing w:val="-20"/>
          <w:lang w:val="sl-SI"/>
        </w:rPr>
        <w:t xml:space="preserve"> </w:t>
      </w:r>
      <w:r w:rsidRPr="001048FE">
        <w:rPr>
          <w:lang w:val="sl-SI"/>
        </w:rPr>
        <w:t>na</w:t>
      </w:r>
      <w:r w:rsidRPr="001048FE">
        <w:rPr>
          <w:spacing w:val="-20"/>
          <w:lang w:val="sl-SI"/>
        </w:rPr>
        <w:t xml:space="preserve"> </w:t>
      </w:r>
      <w:r w:rsidRPr="001048FE">
        <w:rPr>
          <w:lang w:val="sl-SI"/>
        </w:rPr>
        <w:t>zadevnem</w:t>
      </w:r>
      <w:r w:rsidRPr="001048FE">
        <w:rPr>
          <w:spacing w:val="-20"/>
          <w:lang w:val="sl-SI"/>
        </w:rPr>
        <w:t xml:space="preserve"> </w:t>
      </w:r>
      <w:r w:rsidRPr="001048FE">
        <w:rPr>
          <w:lang w:val="sl-SI"/>
        </w:rPr>
        <w:t>področju</w:t>
      </w:r>
      <w:r w:rsidRPr="001048FE">
        <w:rPr>
          <w:spacing w:val="-20"/>
          <w:lang w:val="sl-SI"/>
        </w:rPr>
        <w:t xml:space="preserve"> </w:t>
      </w:r>
      <w:r w:rsidRPr="001048FE">
        <w:rPr>
          <w:lang w:val="sl-SI"/>
        </w:rPr>
        <w:t>in</w:t>
      </w:r>
      <w:r w:rsidRPr="001048FE">
        <w:rPr>
          <w:spacing w:val="-20"/>
          <w:lang w:val="sl-SI"/>
        </w:rPr>
        <w:t xml:space="preserve"> </w:t>
      </w:r>
      <w:r w:rsidRPr="001048FE">
        <w:rPr>
          <w:lang w:val="sl-SI"/>
        </w:rPr>
        <w:t>druge</w:t>
      </w:r>
      <w:r w:rsidRPr="001048FE">
        <w:rPr>
          <w:spacing w:val="-20"/>
          <w:lang w:val="sl-SI"/>
        </w:rPr>
        <w:t xml:space="preserve"> </w:t>
      </w:r>
      <w:r w:rsidRPr="001048FE">
        <w:rPr>
          <w:lang w:val="sl-SI"/>
        </w:rPr>
        <w:t>zainteresirane</w:t>
      </w:r>
      <w:r w:rsidRPr="001048FE">
        <w:rPr>
          <w:spacing w:val="-20"/>
          <w:lang w:val="sl-SI"/>
        </w:rPr>
        <w:t xml:space="preserve"> </w:t>
      </w:r>
      <w:r w:rsidRPr="001048FE">
        <w:rPr>
          <w:lang w:val="sl-SI"/>
        </w:rPr>
        <w:t xml:space="preserve">osebe, </w:t>
      </w:r>
    </w:p>
    <w:p w14:paraId="7D39AB64" w14:textId="77777777" w:rsidR="0078118E" w:rsidRPr="001048FE" w:rsidRDefault="0078118E" w:rsidP="005115F2">
      <w:pPr>
        <w:pStyle w:val="Guide-NormalBulletpoints"/>
        <w:numPr>
          <w:ilvl w:val="0"/>
          <w:numId w:val="476"/>
        </w:numPr>
        <w:rPr>
          <w:lang w:val="sl-SI"/>
        </w:rPr>
      </w:pPr>
      <w:r w:rsidRPr="001048FE">
        <w:rPr>
          <w:lang w:val="sl-SI"/>
        </w:rPr>
        <w:t>oblikovalce politik na lokalni, regionalni, nacionalni in evropski</w:t>
      </w:r>
      <w:r w:rsidRPr="001048FE">
        <w:rPr>
          <w:spacing w:val="-6"/>
          <w:lang w:val="sl-SI"/>
        </w:rPr>
        <w:t xml:space="preserve"> </w:t>
      </w:r>
      <w:r w:rsidRPr="001048FE">
        <w:rPr>
          <w:lang w:val="sl-SI"/>
        </w:rPr>
        <w:t>ravni,</w:t>
      </w:r>
    </w:p>
    <w:p w14:paraId="7D39AB65" w14:textId="77777777" w:rsidR="00AB3A8A" w:rsidRPr="001048FE" w:rsidRDefault="0078118E" w:rsidP="005115F2">
      <w:pPr>
        <w:pStyle w:val="Guide-NormalBulletpoints"/>
        <w:numPr>
          <w:ilvl w:val="0"/>
          <w:numId w:val="476"/>
        </w:numPr>
        <w:rPr>
          <w:lang w:val="sl-SI"/>
        </w:rPr>
      </w:pPr>
      <w:r w:rsidRPr="001048FE">
        <w:rPr>
          <w:lang w:val="sl-SI"/>
        </w:rPr>
        <w:t xml:space="preserve">tiskane in druge medije, </w:t>
      </w:r>
    </w:p>
    <w:p w14:paraId="7D39AB66" w14:textId="77777777" w:rsidR="0078118E" w:rsidRPr="001048FE" w:rsidRDefault="0078118E" w:rsidP="005115F2">
      <w:pPr>
        <w:pStyle w:val="Guide-NormalBulletpoints"/>
        <w:numPr>
          <w:ilvl w:val="0"/>
          <w:numId w:val="476"/>
        </w:numPr>
        <w:rPr>
          <w:lang w:val="sl-SI"/>
        </w:rPr>
      </w:pPr>
      <w:r w:rsidRPr="001048FE">
        <w:rPr>
          <w:lang w:val="sl-SI"/>
        </w:rPr>
        <w:t>širšo javnost.</w:t>
      </w:r>
    </w:p>
    <w:p w14:paraId="7D39AB67" w14:textId="77777777" w:rsidR="0078118E" w:rsidRPr="001048FE" w:rsidRDefault="0078118E" w:rsidP="00AB3A8A">
      <w:pPr>
        <w:pStyle w:val="GUIDE-NORMAL"/>
        <w:rPr>
          <w:lang w:val="sl-SI"/>
        </w:rPr>
      </w:pPr>
      <w:r w:rsidRPr="001048FE">
        <w:rPr>
          <w:lang w:val="sl-SI"/>
        </w:rPr>
        <w:t>Načrti projekta morajo biti dovolj prilagodljivi, da se lahko ciljne skupine in drugi deležniki vključijo v</w:t>
      </w:r>
      <w:r w:rsidRPr="001048FE">
        <w:rPr>
          <w:spacing w:val="-11"/>
          <w:lang w:val="sl-SI"/>
        </w:rPr>
        <w:t xml:space="preserve"> </w:t>
      </w:r>
      <w:r w:rsidRPr="001048FE">
        <w:rPr>
          <w:lang w:val="sl-SI"/>
        </w:rPr>
        <w:t>različnih</w:t>
      </w:r>
      <w:r w:rsidRPr="001048FE">
        <w:rPr>
          <w:spacing w:val="-11"/>
          <w:lang w:val="sl-SI"/>
        </w:rPr>
        <w:t xml:space="preserve"> </w:t>
      </w:r>
      <w:r w:rsidRPr="001048FE">
        <w:rPr>
          <w:lang w:val="sl-SI"/>
        </w:rPr>
        <w:t>fazah</w:t>
      </w:r>
      <w:r w:rsidRPr="001048FE">
        <w:rPr>
          <w:spacing w:val="-11"/>
          <w:lang w:val="sl-SI"/>
        </w:rPr>
        <w:t xml:space="preserve"> </w:t>
      </w:r>
      <w:r w:rsidRPr="001048FE">
        <w:rPr>
          <w:lang w:val="sl-SI"/>
        </w:rPr>
        <w:t>projekta.</w:t>
      </w:r>
      <w:r w:rsidRPr="001048FE">
        <w:rPr>
          <w:spacing w:val="-11"/>
          <w:lang w:val="sl-SI"/>
        </w:rPr>
        <w:t xml:space="preserve"> </w:t>
      </w:r>
      <w:r w:rsidRPr="001048FE">
        <w:rPr>
          <w:lang w:val="sl-SI"/>
        </w:rPr>
        <w:t>Na</w:t>
      </w:r>
      <w:r w:rsidRPr="001048FE">
        <w:rPr>
          <w:spacing w:val="-11"/>
          <w:lang w:val="sl-SI"/>
        </w:rPr>
        <w:t xml:space="preserve"> </w:t>
      </w:r>
      <w:r w:rsidRPr="001048FE">
        <w:rPr>
          <w:lang w:val="sl-SI"/>
        </w:rPr>
        <w:t>podlagi</w:t>
      </w:r>
      <w:r w:rsidRPr="001048FE">
        <w:rPr>
          <w:spacing w:val="-11"/>
          <w:lang w:val="sl-SI"/>
        </w:rPr>
        <w:t xml:space="preserve"> </w:t>
      </w:r>
      <w:r w:rsidRPr="001048FE">
        <w:rPr>
          <w:lang w:val="sl-SI"/>
        </w:rPr>
        <w:t>tega</w:t>
      </w:r>
      <w:r w:rsidRPr="001048FE">
        <w:rPr>
          <w:spacing w:val="-11"/>
          <w:lang w:val="sl-SI"/>
        </w:rPr>
        <w:t xml:space="preserve"> </w:t>
      </w:r>
      <w:r w:rsidRPr="001048FE">
        <w:rPr>
          <w:lang w:val="sl-SI"/>
        </w:rPr>
        <w:t>se</w:t>
      </w:r>
      <w:r w:rsidRPr="001048FE">
        <w:rPr>
          <w:spacing w:val="-11"/>
          <w:lang w:val="sl-SI"/>
        </w:rPr>
        <w:t xml:space="preserve"> </w:t>
      </w:r>
      <w:r w:rsidRPr="001048FE">
        <w:rPr>
          <w:lang w:val="sl-SI"/>
        </w:rPr>
        <w:t>zagotovi,</w:t>
      </w:r>
      <w:r w:rsidRPr="001048FE">
        <w:rPr>
          <w:spacing w:val="-11"/>
          <w:lang w:val="sl-SI"/>
        </w:rPr>
        <w:t xml:space="preserve"> </w:t>
      </w:r>
      <w:r w:rsidRPr="001048FE">
        <w:rPr>
          <w:lang w:val="sl-SI"/>
        </w:rPr>
        <w:t>da</w:t>
      </w:r>
      <w:r w:rsidRPr="001048FE">
        <w:rPr>
          <w:spacing w:val="-11"/>
          <w:lang w:val="sl-SI"/>
        </w:rPr>
        <w:t xml:space="preserve"> </w:t>
      </w:r>
      <w:r w:rsidRPr="001048FE">
        <w:rPr>
          <w:lang w:val="sl-SI"/>
        </w:rPr>
        <w:t>projekt</w:t>
      </w:r>
      <w:r w:rsidRPr="001048FE">
        <w:rPr>
          <w:spacing w:val="-11"/>
          <w:lang w:val="sl-SI"/>
        </w:rPr>
        <w:t xml:space="preserve"> </w:t>
      </w:r>
      <w:r w:rsidRPr="001048FE">
        <w:rPr>
          <w:lang w:val="sl-SI"/>
        </w:rPr>
        <w:t>vedno</w:t>
      </w:r>
      <w:r w:rsidRPr="001048FE">
        <w:rPr>
          <w:spacing w:val="-11"/>
          <w:lang w:val="sl-SI"/>
        </w:rPr>
        <w:t xml:space="preserve"> </w:t>
      </w:r>
      <w:r w:rsidRPr="001048FE">
        <w:rPr>
          <w:lang w:val="sl-SI"/>
        </w:rPr>
        <w:t>upošteva</w:t>
      </w:r>
      <w:r w:rsidRPr="001048FE">
        <w:rPr>
          <w:spacing w:val="-11"/>
          <w:lang w:val="sl-SI"/>
        </w:rPr>
        <w:t xml:space="preserve"> </w:t>
      </w:r>
      <w:r w:rsidRPr="001048FE">
        <w:rPr>
          <w:lang w:val="sl-SI"/>
        </w:rPr>
        <w:t>njihove</w:t>
      </w:r>
      <w:r w:rsidRPr="001048FE">
        <w:rPr>
          <w:spacing w:val="-11"/>
          <w:lang w:val="sl-SI"/>
        </w:rPr>
        <w:t xml:space="preserve"> </w:t>
      </w:r>
      <w:r w:rsidRPr="001048FE">
        <w:rPr>
          <w:lang w:val="sl-SI"/>
        </w:rPr>
        <w:t>potrebe.</w:t>
      </w:r>
    </w:p>
    <w:p w14:paraId="7D39AB68" w14:textId="77777777" w:rsidR="0078118E" w:rsidRPr="001048FE" w:rsidRDefault="0078118E" w:rsidP="00AB3A8A">
      <w:pPr>
        <w:pStyle w:val="GUIDE-NORMAL"/>
        <w:rPr>
          <w:lang w:val="sl-SI"/>
        </w:rPr>
      </w:pPr>
      <w:r w:rsidRPr="001048FE">
        <w:rPr>
          <w:lang w:val="sl-SI"/>
        </w:rPr>
        <w:t>Udeležba ciljnih skupin bo tudi izpostavila potencial projekta ter pripomogla k širjenju informacij med druge zainteresirane osebe po vsej Evropi.</w:t>
      </w:r>
    </w:p>
    <w:p w14:paraId="7D39AB69" w14:textId="77777777" w:rsidR="0078118E" w:rsidRPr="001048FE" w:rsidRDefault="0078118E" w:rsidP="00AB3A8A">
      <w:pPr>
        <w:pStyle w:val="Guide-Heading4"/>
        <w:rPr>
          <w:lang w:val="sl-SI"/>
        </w:rPr>
      </w:pPr>
      <w:bookmarkStart w:id="773" w:name="_Toc527401393"/>
      <w:r w:rsidRPr="001048FE">
        <w:rPr>
          <w:lang w:val="sl-SI"/>
        </w:rPr>
        <w:t>Kako razširjati in uporabiti rezultate?</w:t>
      </w:r>
      <w:bookmarkEnd w:id="773"/>
    </w:p>
    <w:p w14:paraId="7D39AB6A" w14:textId="77777777" w:rsidR="0078118E" w:rsidRPr="001048FE" w:rsidRDefault="0078118E" w:rsidP="00AB3A8A">
      <w:pPr>
        <w:pStyle w:val="GUIDE-NORMAL"/>
        <w:rPr>
          <w:lang w:val="sl-SI"/>
        </w:rPr>
      </w:pPr>
      <w:r w:rsidRPr="001048FE">
        <w:rPr>
          <w:lang w:val="sl-SI"/>
        </w:rPr>
        <w:t>Da bi se doseglo čim več ljudi, je priporočljivo prevesti čim več informativnih gradiv in rezultatov projekta</w:t>
      </w:r>
      <w:r w:rsidRPr="001048FE">
        <w:rPr>
          <w:spacing w:val="-13"/>
          <w:lang w:val="sl-SI"/>
        </w:rPr>
        <w:t xml:space="preserve"> </w:t>
      </w:r>
      <w:r w:rsidRPr="001048FE">
        <w:rPr>
          <w:lang w:val="sl-SI"/>
        </w:rPr>
        <w:t>v</w:t>
      </w:r>
      <w:r w:rsidRPr="001048FE">
        <w:rPr>
          <w:spacing w:val="-13"/>
          <w:lang w:val="sl-SI"/>
        </w:rPr>
        <w:t xml:space="preserve"> </w:t>
      </w:r>
      <w:r w:rsidRPr="001048FE">
        <w:rPr>
          <w:lang w:val="sl-SI"/>
        </w:rPr>
        <w:t>čim</w:t>
      </w:r>
      <w:r w:rsidRPr="001048FE">
        <w:rPr>
          <w:spacing w:val="-13"/>
          <w:lang w:val="sl-SI"/>
        </w:rPr>
        <w:t xml:space="preserve"> </w:t>
      </w:r>
      <w:r w:rsidRPr="001048FE">
        <w:rPr>
          <w:lang w:val="sl-SI"/>
        </w:rPr>
        <w:t>več</w:t>
      </w:r>
      <w:r w:rsidRPr="001048FE">
        <w:rPr>
          <w:spacing w:val="-13"/>
          <w:lang w:val="sl-SI"/>
        </w:rPr>
        <w:t xml:space="preserve"> </w:t>
      </w:r>
      <w:r w:rsidRPr="001048FE">
        <w:rPr>
          <w:lang w:val="sl-SI"/>
        </w:rPr>
        <w:t>jezikov.</w:t>
      </w:r>
      <w:r w:rsidRPr="001048FE">
        <w:rPr>
          <w:spacing w:val="-13"/>
          <w:lang w:val="sl-SI"/>
        </w:rPr>
        <w:t xml:space="preserve"> </w:t>
      </w:r>
      <w:r w:rsidRPr="001048FE">
        <w:rPr>
          <w:lang w:val="sl-SI"/>
        </w:rPr>
        <w:t>Priporočljivo</w:t>
      </w:r>
      <w:r w:rsidRPr="001048FE">
        <w:rPr>
          <w:spacing w:val="-13"/>
          <w:lang w:val="sl-SI"/>
        </w:rPr>
        <w:t xml:space="preserve"> </w:t>
      </w:r>
      <w:r w:rsidRPr="001048FE">
        <w:rPr>
          <w:lang w:val="sl-SI"/>
        </w:rPr>
        <w:t>je,</w:t>
      </w:r>
      <w:r w:rsidRPr="001048FE">
        <w:rPr>
          <w:spacing w:val="-13"/>
          <w:lang w:val="sl-SI"/>
        </w:rPr>
        <w:t xml:space="preserve"> </w:t>
      </w:r>
      <w:r w:rsidRPr="001048FE">
        <w:rPr>
          <w:lang w:val="sl-SI"/>
        </w:rPr>
        <w:t>da</w:t>
      </w:r>
      <w:r w:rsidRPr="001048FE">
        <w:rPr>
          <w:spacing w:val="-13"/>
          <w:lang w:val="sl-SI"/>
        </w:rPr>
        <w:t xml:space="preserve"> </w:t>
      </w:r>
      <w:r w:rsidRPr="001048FE">
        <w:rPr>
          <w:lang w:val="sl-SI"/>
        </w:rPr>
        <w:t>se</w:t>
      </w:r>
      <w:r w:rsidRPr="001048FE">
        <w:rPr>
          <w:spacing w:val="-13"/>
          <w:lang w:val="sl-SI"/>
        </w:rPr>
        <w:t xml:space="preserve"> </w:t>
      </w:r>
      <w:r w:rsidRPr="001048FE">
        <w:rPr>
          <w:lang w:val="sl-SI"/>
        </w:rPr>
        <w:t>zajame</w:t>
      </w:r>
      <w:r w:rsidRPr="001048FE">
        <w:rPr>
          <w:spacing w:val="-13"/>
          <w:lang w:val="sl-SI"/>
        </w:rPr>
        <w:t xml:space="preserve"> </w:t>
      </w:r>
      <w:r w:rsidRPr="001048FE">
        <w:rPr>
          <w:lang w:val="sl-SI"/>
        </w:rPr>
        <w:t>vse</w:t>
      </w:r>
      <w:r w:rsidRPr="001048FE">
        <w:rPr>
          <w:spacing w:val="-13"/>
          <w:lang w:val="sl-SI"/>
        </w:rPr>
        <w:t xml:space="preserve"> </w:t>
      </w:r>
      <w:r w:rsidRPr="001048FE">
        <w:rPr>
          <w:lang w:val="sl-SI"/>
        </w:rPr>
        <w:t>jezike</w:t>
      </w:r>
      <w:r w:rsidRPr="001048FE">
        <w:rPr>
          <w:spacing w:val="-13"/>
          <w:lang w:val="sl-SI"/>
        </w:rPr>
        <w:t xml:space="preserve"> </w:t>
      </w:r>
      <w:r w:rsidRPr="001048FE">
        <w:rPr>
          <w:lang w:val="sl-SI"/>
        </w:rPr>
        <w:t>partnerstva</w:t>
      </w:r>
      <w:r w:rsidRPr="001048FE">
        <w:rPr>
          <w:spacing w:val="-13"/>
          <w:lang w:val="sl-SI"/>
        </w:rPr>
        <w:t xml:space="preserve"> </w:t>
      </w:r>
      <w:r w:rsidRPr="001048FE">
        <w:rPr>
          <w:lang w:val="sl-SI"/>
        </w:rPr>
        <w:t>in</w:t>
      </w:r>
      <w:r w:rsidRPr="001048FE">
        <w:rPr>
          <w:spacing w:val="-13"/>
          <w:lang w:val="sl-SI"/>
        </w:rPr>
        <w:t xml:space="preserve"> </w:t>
      </w:r>
      <w:r w:rsidRPr="001048FE">
        <w:rPr>
          <w:lang w:val="sl-SI"/>
        </w:rPr>
        <w:t>angleščino;</w:t>
      </w:r>
      <w:r w:rsidRPr="001048FE">
        <w:rPr>
          <w:spacing w:val="-13"/>
          <w:lang w:val="sl-SI"/>
        </w:rPr>
        <w:t xml:space="preserve"> </w:t>
      </w:r>
      <w:r w:rsidRPr="001048FE">
        <w:rPr>
          <w:lang w:val="sl-SI"/>
        </w:rPr>
        <w:t>strošek teh prevodov se po potrebi lahko vključi v vlogo za nepovratna</w:t>
      </w:r>
      <w:r w:rsidRPr="001048FE">
        <w:rPr>
          <w:spacing w:val="-44"/>
          <w:lang w:val="sl-SI"/>
        </w:rPr>
        <w:t xml:space="preserve"> </w:t>
      </w:r>
      <w:r w:rsidRPr="001048FE">
        <w:rPr>
          <w:lang w:val="sl-SI"/>
        </w:rPr>
        <w:t>sredstva.</w:t>
      </w:r>
    </w:p>
    <w:p w14:paraId="7D39AB6B" w14:textId="77777777" w:rsidR="0078118E" w:rsidRPr="001048FE" w:rsidRDefault="0078118E" w:rsidP="00095755">
      <w:pPr>
        <w:pStyle w:val="GUIDE-NORMAL"/>
        <w:rPr>
          <w:lang w:val="sl-SI"/>
        </w:rPr>
      </w:pPr>
      <w:r w:rsidRPr="001048FE">
        <w:rPr>
          <w:lang w:val="sl-SI"/>
        </w:rPr>
        <w:t>Rezultati</w:t>
      </w:r>
      <w:r w:rsidRPr="001048FE">
        <w:rPr>
          <w:spacing w:val="-14"/>
          <w:lang w:val="sl-SI"/>
        </w:rPr>
        <w:t xml:space="preserve"> </w:t>
      </w:r>
      <w:r w:rsidRPr="001048FE">
        <w:rPr>
          <w:lang w:val="sl-SI"/>
        </w:rPr>
        <w:t>se</w:t>
      </w:r>
      <w:r w:rsidRPr="001048FE">
        <w:rPr>
          <w:spacing w:val="-14"/>
          <w:lang w:val="sl-SI"/>
        </w:rPr>
        <w:t xml:space="preserve"> </w:t>
      </w:r>
      <w:r w:rsidRPr="001048FE">
        <w:rPr>
          <w:lang w:val="sl-SI"/>
        </w:rPr>
        <w:t>lahko</w:t>
      </w:r>
      <w:r w:rsidRPr="001048FE">
        <w:rPr>
          <w:spacing w:val="-14"/>
          <w:lang w:val="sl-SI"/>
        </w:rPr>
        <w:t xml:space="preserve"> </w:t>
      </w:r>
      <w:r w:rsidRPr="001048FE">
        <w:rPr>
          <w:lang w:val="sl-SI"/>
        </w:rPr>
        <w:t>razširjajo</w:t>
      </w:r>
      <w:r w:rsidRPr="001048FE">
        <w:rPr>
          <w:spacing w:val="-14"/>
          <w:lang w:val="sl-SI"/>
        </w:rPr>
        <w:t xml:space="preserve"> </w:t>
      </w:r>
      <w:r w:rsidRPr="001048FE">
        <w:rPr>
          <w:lang w:val="sl-SI"/>
        </w:rPr>
        <w:t>in</w:t>
      </w:r>
      <w:r w:rsidRPr="001048FE">
        <w:rPr>
          <w:spacing w:val="-14"/>
          <w:lang w:val="sl-SI"/>
        </w:rPr>
        <w:t xml:space="preserve"> </w:t>
      </w:r>
      <w:r w:rsidRPr="001048FE">
        <w:rPr>
          <w:lang w:val="sl-SI"/>
        </w:rPr>
        <w:t>uporabljajo</w:t>
      </w:r>
      <w:r w:rsidRPr="001048FE">
        <w:rPr>
          <w:spacing w:val="-14"/>
          <w:lang w:val="sl-SI"/>
        </w:rPr>
        <w:t xml:space="preserve"> </w:t>
      </w:r>
      <w:r w:rsidRPr="001048FE">
        <w:rPr>
          <w:lang w:val="sl-SI"/>
        </w:rPr>
        <w:t>na</w:t>
      </w:r>
      <w:r w:rsidRPr="001048FE">
        <w:rPr>
          <w:spacing w:val="-14"/>
          <w:lang w:val="sl-SI"/>
        </w:rPr>
        <w:t xml:space="preserve"> </w:t>
      </w:r>
      <w:r w:rsidRPr="001048FE">
        <w:rPr>
          <w:lang w:val="sl-SI"/>
        </w:rPr>
        <w:t>mnoge</w:t>
      </w:r>
      <w:r w:rsidRPr="001048FE">
        <w:rPr>
          <w:spacing w:val="-14"/>
          <w:lang w:val="sl-SI"/>
        </w:rPr>
        <w:t xml:space="preserve"> </w:t>
      </w:r>
      <w:r w:rsidRPr="001048FE">
        <w:rPr>
          <w:lang w:val="sl-SI"/>
        </w:rPr>
        <w:t>načine.</w:t>
      </w:r>
      <w:r w:rsidRPr="001048FE">
        <w:rPr>
          <w:spacing w:val="-14"/>
          <w:lang w:val="sl-SI"/>
        </w:rPr>
        <w:t xml:space="preserve"> </w:t>
      </w:r>
      <w:r w:rsidRPr="001048FE">
        <w:rPr>
          <w:lang w:val="sl-SI"/>
        </w:rPr>
        <w:t>Dobrodošle</w:t>
      </w:r>
      <w:r w:rsidRPr="001048FE">
        <w:rPr>
          <w:spacing w:val="-14"/>
          <w:lang w:val="sl-SI"/>
        </w:rPr>
        <w:t xml:space="preserve"> </w:t>
      </w:r>
      <w:r w:rsidRPr="001048FE">
        <w:rPr>
          <w:lang w:val="sl-SI"/>
        </w:rPr>
        <w:t>so</w:t>
      </w:r>
      <w:r w:rsidRPr="001048FE">
        <w:rPr>
          <w:spacing w:val="-14"/>
          <w:lang w:val="sl-SI"/>
        </w:rPr>
        <w:t xml:space="preserve"> </w:t>
      </w:r>
      <w:r w:rsidRPr="001048FE">
        <w:rPr>
          <w:lang w:val="sl-SI"/>
        </w:rPr>
        <w:t>ustvarjalnost</w:t>
      </w:r>
      <w:r w:rsidRPr="001048FE">
        <w:rPr>
          <w:spacing w:val="-14"/>
          <w:lang w:val="sl-SI"/>
        </w:rPr>
        <w:t xml:space="preserve"> </w:t>
      </w:r>
      <w:r w:rsidRPr="001048FE">
        <w:rPr>
          <w:lang w:val="sl-SI"/>
        </w:rPr>
        <w:t>in</w:t>
      </w:r>
      <w:r w:rsidRPr="001048FE">
        <w:rPr>
          <w:spacing w:val="-14"/>
          <w:lang w:val="sl-SI"/>
        </w:rPr>
        <w:t xml:space="preserve"> </w:t>
      </w:r>
      <w:r w:rsidRPr="001048FE">
        <w:rPr>
          <w:lang w:val="sl-SI"/>
        </w:rPr>
        <w:t>nove zamisli</w:t>
      </w:r>
      <w:r w:rsidRPr="001048FE">
        <w:rPr>
          <w:spacing w:val="-6"/>
          <w:lang w:val="sl-SI"/>
        </w:rPr>
        <w:t xml:space="preserve"> </w:t>
      </w:r>
      <w:r w:rsidRPr="001048FE">
        <w:rPr>
          <w:lang w:val="sl-SI"/>
        </w:rPr>
        <w:t>za</w:t>
      </w:r>
      <w:r w:rsidRPr="001048FE">
        <w:rPr>
          <w:spacing w:val="-6"/>
          <w:lang w:val="sl-SI"/>
        </w:rPr>
        <w:t xml:space="preserve"> </w:t>
      </w:r>
      <w:r w:rsidRPr="001048FE">
        <w:rPr>
          <w:lang w:val="sl-SI"/>
        </w:rPr>
        <w:t>večjo</w:t>
      </w:r>
      <w:r w:rsidRPr="001048FE">
        <w:rPr>
          <w:spacing w:val="-6"/>
          <w:lang w:val="sl-SI"/>
        </w:rPr>
        <w:t xml:space="preserve"> </w:t>
      </w:r>
      <w:r w:rsidRPr="001048FE">
        <w:rPr>
          <w:lang w:val="sl-SI"/>
        </w:rPr>
        <w:t>vidnost</w:t>
      </w:r>
      <w:r w:rsidRPr="001048FE">
        <w:rPr>
          <w:spacing w:val="-6"/>
          <w:lang w:val="sl-SI"/>
        </w:rPr>
        <w:t xml:space="preserve"> </w:t>
      </w:r>
      <w:r w:rsidRPr="001048FE">
        <w:rPr>
          <w:lang w:val="sl-SI"/>
        </w:rPr>
        <w:t>projekta</w:t>
      </w:r>
      <w:r w:rsidRPr="001048FE">
        <w:rPr>
          <w:spacing w:val="-6"/>
          <w:lang w:val="sl-SI"/>
        </w:rPr>
        <w:t xml:space="preserve"> </w:t>
      </w:r>
      <w:r w:rsidRPr="001048FE">
        <w:rPr>
          <w:lang w:val="sl-SI"/>
        </w:rPr>
        <w:t>Erasmus+</w:t>
      </w:r>
      <w:r w:rsidRPr="001048FE">
        <w:rPr>
          <w:spacing w:val="-6"/>
          <w:lang w:val="sl-SI"/>
        </w:rPr>
        <w:t xml:space="preserve"> </w:t>
      </w:r>
      <w:r w:rsidRPr="001048FE">
        <w:rPr>
          <w:lang w:val="sl-SI"/>
        </w:rPr>
        <w:t>in</w:t>
      </w:r>
      <w:r w:rsidRPr="001048FE">
        <w:rPr>
          <w:spacing w:val="-6"/>
          <w:lang w:val="sl-SI"/>
        </w:rPr>
        <w:t xml:space="preserve"> </w:t>
      </w:r>
      <w:r w:rsidRPr="001048FE">
        <w:rPr>
          <w:lang w:val="sl-SI"/>
        </w:rPr>
        <w:t>njegovih</w:t>
      </w:r>
      <w:r w:rsidRPr="001048FE">
        <w:rPr>
          <w:spacing w:val="-6"/>
          <w:lang w:val="sl-SI"/>
        </w:rPr>
        <w:t xml:space="preserve"> </w:t>
      </w:r>
      <w:r w:rsidRPr="001048FE">
        <w:rPr>
          <w:lang w:val="sl-SI"/>
        </w:rPr>
        <w:t>rezultatov.</w:t>
      </w:r>
      <w:r w:rsidRPr="001048FE">
        <w:rPr>
          <w:spacing w:val="-6"/>
          <w:lang w:val="sl-SI"/>
        </w:rPr>
        <w:t xml:space="preserve"> </w:t>
      </w:r>
      <w:r w:rsidRPr="001048FE">
        <w:rPr>
          <w:lang w:val="sl-SI"/>
        </w:rPr>
        <w:t>Upravičenci</w:t>
      </w:r>
      <w:r w:rsidRPr="001048FE">
        <w:rPr>
          <w:spacing w:val="-6"/>
          <w:lang w:val="sl-SI"/>
        </w:rPr>
        <w:t xml:space="preserve"> </w:t>
      </w:r>
      <w:r w:rsidRPr="001048FE">
        <w:rPr>
          <w:lang w:val="sl-SI"/>
        </w:rPr>
        <w:t>lahko</w:t>
      </w:r>
      <w:r w:rsidRPr="001048FE">
        <w:rPr>
          <w:spacing w:val="-6"/>
          <w:lang w:val="sl-SI"/>
        </w:rPr>
        <w:t xml:space="preserve"> </w:t>
      </w:r>
      <w:r w:rsidRPr="001048FE">
        <w:rPr>
          <w:lang w:val="sl-SI"/>
        </w:rPr>
        <w:t>uporabijo:</w:t>
      </w:r>
    </w:p>
    <w:p w14:paraId="7D39AB6C" w14:textId="77777777" w:rsidR="00AD2E5A" w:rsidRPr="00C12952" w:rsidRDefault="00AD2E5A" w:rsidP="005115F2">
      <w:pPr>
        <w:pStyle w:val="Guide-NormalBulletpoints"/>
        <w:numPr>
          <w:ilvl w:val="0"/>
          <w:numId w:val="477"/>
        </w:numPr>
        <w:rPr>
          <w:lang w:val="sl-SI"/>
        </w:rPr>
      </w:pPr>
      <w:r w:rsidRPr="00C12952">
        <w:rPr>
          <w:rFonts w:eastAsia="Calibri"/>
          <w:bdr w:val="nil"/>
          <w:lang w:val="sl-SI"/>
        </w:rPr>
        <w:t>platforme Erasmus+ za rezultate projektov (glej spodaj);</w:t>
      </w:r>
    </w:p>
    <w:p w14:paraId="7D39AB6D" w14:textId="77777777" w:rsidR="0078118E" w:rsidRPr="001048FE" w:rsidRDefault="0078118E" w:rsidP="005115F2">
      <w:pPr>
        <w:pStyle w:val="Guide-NormalBulletpoints"/>
        <w:numPr>
          <w:ilvl w:val="0"/>
          <w:numId w:val="477"/>
        </w:numPr>
        <w:rPr>
          <w:lang w:val="sl-SI"/>
        </w:rPr>
      </w:pPr>
      <w:r w:rsidRPr="001048FE">
        <w:rPr>
          <w:lang w:val="sl-SI"/>
        </w:rPr>
        <w:t>spletišča projekta ali organizacij;</w:t>
      </w:r>
    </w:p>
    <w:p w14:paraId="7D39AB6E" w14:textId="77777777" w:rsidR="0078118E" w:rsidRPr="001048FE" w:rsidRDefault="0078118E" w:rsidP="005115F2">
      <w:pPr>
        <w:pStyle w:val="Guide-NormalBulletpoints"/>
        <w:numPr>
          <w:ilvl w:val="0"/>
          <w:numId w:val="477"/>
        </w:numPr>
        <w:rPr>
          <w:lang w:val="sl-SI"/>
        </w:rPr>
      </w:pPr>
      <w:r w:rsidRPr="001048FE">
        <w:rPr>
          <w:lang w:val="sl-SI"/>
        </w:rPr>
        <w:t>srečanja in obiske ključnih deležnikov;</w:t>
      </w:r>
    </w:p>
    <w:p w14:paraId="7D39AB6F" w14:textId="77777777" w:rsidR="0078118E" w:rsidRPr="001048FE" w:rsidRDefault="0078118E" w:rsidP="005115F2">
      <w:pPr>
        <w:pStyle w:val="Guide-NormalBulletpoints"/>
        <w:numPr>
          <w:ilvl w:val="0"/>
          <w:numId w:val="477"/>
        </w:numPr>
        <w:rPr>
          <w:lang w:val="sl-SI"/>
        </w:rPr>
      </w:pPr>
      <w:r w:rsidRPr="001048FE">
        <w:rPr>
          <w:lang w:val="sl-SI"/>
        </w:rPr>
        <w:t>namenske priložnosti za razprave, na primer informativna srečanja, delavnice, (spletne) seminarje, usposabljanja, razstave, predstavitve ali medsebojne strokovne preglede;</w:t>
      </w:r>
    </w:p>
    <w:p w14:paraId="7D39AB70" w14:textId="77777777" w:rsidR="0078118E" w:rsidRPr="001048FE" w:rsidRDefault="0078118E" w:rsidP="005115F2">
      <w:pPr>
        <w:pStyle w:val="Guide-NormalBulletpoints"/>
        <w:numPr>
          <w:ilvl w:val="0"/>
          <w:numId w:val="477"/>
        </w:numPr>
        <w:rPr>
          <w:lang w:val="sl-SI"/>
        </w:rPr>
      </w:pPr>
      <w:r w:rsidRPr="001048FE">
        <w:rPr>
          <w:lang w:val="sl-SI"/>
        </w:rPr>
        <w:t>ciljno usmerjena pisna gradiva, na primer poročila, članke v specializiranih tiskanih medijih, glasila, sporočila za medije, zloženke ali brošure;</w:t>
      </w:r>
    </w:p>
    <w:p w14:paraId="7D39AB71" w14:textId="77777777" w:rsidR="00AB3A8A" w:rsidRPr="001048FE" w:rsidRDefault="0078118E" w:rsidP="005115F2">
      <w:pPr>
        <w:pStyle w:val="Guide-NormalBulletpoints"/>
        <w:numPr>
          <w:ilvl w:val="0"/>
          <w:numId w:val="477"/>
        </w:numPr>
        <w:rPr>
          <w:lang w:val="sl-SI"/>
        </w:rPr>
      </w:pPr>
      <w:r w:rsidRPr="001048FE">
        <w:rPr>
          <w:lang w:val="sl-SI"/>
        </w:rPr>
        <w:t xml:space="preserve">avdiovizualne medije in proizvode, na primer radio, televizijo, YouTube, Flickr, videoposnetke, </w:t>
      </w:r>
    </w:p>
    <w:p w14:paraId="7D39AB72" w14:textId="77777777" w:rsidR="0078118E" w:rsidRPr="001048FE" w:rsidRDefault="0078118E" w:rsidP="005115F2">
      <w:pPr>
        <w:pStyle w:val="Guide-NormalBulletpoints"/>
        <w:numPr>
          <w:ilvl w:val="0"/>
          <w:numId w:val="477"/>
        </w:numPr>
        <w:rPr>
          <w:lang w:val="sl-SI"/>
        </w:rPr>
      </w:pPr>
      <w:r w:rsidRPr="001048FE">
        <w:rPr>
          <w:lang w:val="sl-SI"/>
        </w:rPr>
        <w:t>poddaje ali aplikacije;</w:t>
      </w:r>
    </w:p>
    <w:p w14:paraId="7D39AB73" w14:textId="77777777" w:rsidR="00AB3A8A" w:rsidRPr="001048FE" w:rsidRDefault="0078118E" w:rsidP="005115F2">
      <w:pPr>
        <w:pStyle w:val="Guide-NormalBulletpoints"/>
        <w:numPr>
          <w:ilvl w:val="0"/>
          <w:numId w:val="477"/>
        </w:numPr>
        <w:rPr>
          <w:lang w:val="sl-SI"/>
        </w:rPr>
      </w:pPr>
      <w:r w:rsidRPr="001048FE">
        <w:rPr>
          <w:lang w:val="sl-SI"/>
        </w:rPr>
        <w:t xml:space="preserve">družbene medije; </w:t>
      </w:r>
    </w:p>
    <w:p w14:paraId="7D39AB74" w14:textId="77777777" w:rsidR="0078118E" w:rsidRPr="001048FE" w:rsidRDefault="0078118E" w:rsidP="005115F2">
      <w:pPr>
        <w:pStyle w:val="Guide-NormalBulletpoints"/>
        <w:numPr>
          <w:ilvl w:val="0"/>
          <w:numId w:val="477"/>
        </w:numPr>
        <w:rPr>
          <w:lang w:val="sl-SI"/>
        </w:rPr>
      </w:pPr>
      <w:r w:rsidRPr="001048FE">
        <w:rPr>
          <w:lang w:val="sl-SI"/>
        </w:rPr>
        <w:t>javne prireditve;</w:t>
      </w:r>
    </w:p>
    <w:p w14:paraId="7D39AB75" w14:textId="77777777" w:rsidR="00AB3A8A" w:rsidRPr="001048FE" w:rsidRDefault="0078118E" w:rsidP="005115F2">
      <w:pPr>
        <w:pStyle w:val="Guide-NormalBulletpoints"/>
        <w:numPr>
          <w:ilvl w:val="0"/>
          <w:numId w:val="477"/>
        </w:numPr>
        <w:rPr>
          <w:lang w:val="sl-SI"/>
        </w:rPr>
      </w:pPr>
      <w:r w:rsidRPr="001048FE">
        <w:rPr>
          <w:lang w:val="sl-SI"/>
        </w:rPr>
        <w:t xml:space="preserve">znamčenje in logotip projekta; </w:t>
      </w:r>
    </w:p>
    <w:p w14:paraId="7D39AB76" w14:textId="77777777" w:rsidR="0078118E" w:rsidRPr="001048FE" w:rsidRDefault="0078118E" w:rsidP="005115F2">
      <w:pPr>
        <w:pStyle w:val="Guide-NormalBulletpoints"/>
        <w:numPr>
          <w:ilvl w:val="0"/>
          <w:numId w:val="477"/>
        </w:numPr>
        <w:rPr>
          <w:lang w:val="sl-SI"/>
        </w:rPr>
      </w:pPr>
      <w:r w:rsidRPr="001048FE">
        <w:rPr>
          <w:lang w:val="sl-SI"/>
        </w:rPr>
        <w:t>obstoječe kontakte in omrežja.</w:t>
      </w:r>
    </w:p>
    <w:p w14:paraId="7D39AB77" w14:textId="77777777" w:rsidR="0078118E" w:rsidRPr="001048FE" w:rsidRDefault="0078118E" w:rsidP="00AB3A8A">
      <w:pPr>
        <w:pStyle w:val="GUIDE-NORMAL"/>
        <w:rPr>
          <w:lang w:val="sl-SI"/>
        </w:rPr>
      </w:pPr>
      <w:r w:rsidRPr="001048FE">
        <w:rPr>
          <w:lang w:val="sl-SI"/>
        </w:rPr>
        <w:t>V okviru uporabe je pomembno premisliti o tem, kako lahko rezultati vplivajo na projekt, končne uporabnike, vrstnike ali oblikovalce politik. Mehanizmi uporabe vključujejo:</w:t>
      </w:r>
    </w:p>
    <w:p w14:paraId="7D39AB78" w14:textId="77777777" w:rsidR="00AB3A8A" w:rsidRPr="001048FE" w:rsidRDefault="0078118E" w:rsidP="005115F2">
      <w:pPr>
        <w:pStyle w:val="Guide-NormalBulletpoints"/>
        <w:numPr>
          <w:ilvl w:val="0"/>
          <w:numId w:val="478"/>
        </w:numPr>
        <w:rPr>
          <w:lang w:val="sl-SI"/>
        </w:rPr>
      </w:pPr>
      <w:r w:rsidRPr="001048FE">
        <w:rPr>
          <w:lang w:val="sl-SI"/>
        </w:rPr>
        <w:t xml:space="preserve">pozitivne učinke na ugled sodelujočih organizacij; </w:t>
      </w:r>
    </w:p>
    <w:p w14:paraId="7D39AB79" w14:textId="77777777" w:rsidR="00AB3A8A" w:rsidRPr="001048FE" w:rsidRDefault="0078118E" w:rsidP="005115F2">
      <w:pPr>
        <w:pStyle w:val="Guide-NormalBulletpoints"/>
        <w:numPr>
          <w:ilvl w:val="0"/>
          <w:numId w:val="478"/>
        </w:numPr>
        <w:rPr>
          <w:lang w:val="sl-SI"/>
        </w:rPr>
      </w:pPr>
      <w:r w:rsidRPr="001048FE">
        <w:rPr>
          <w:lang w:val="sl-SI"/>
        </w:rPr>
        <w:t xml:space="preserve">okrepljeno osveščenost glede teme, cilja ali področja dela; </w:t>
      </w:r>
    </w:p>
    <w:p w14:paraId="7D39AB7A" w14:textId="77777777" w:rsidR="00AB3A8A" w:rsidRPr="001048FE" w:rsidRDefault="0078118E" w:rsidP="005115F2">
      <w:pPr>
        <w:pStyle w:val="Guide-NormalBulletpoints"/>
        <w:numPr>
          <w:ilvl w:val="0"/>
          <w:numId w:val="478"/>
        </w:numPr>
        <w:rPr>
          <w:lang w:val="sl-SI"/>
        </w:rPr>
      </w:pPr>
      <w:r w:rsidRPr="001048FE">
        <w:rPr>
          <w:lang w:val="sl-SI"/>
        </w:rPr>
        <w:t xml:space="preserve">večjo finančno podporo drugih podpornikov in donatorjev; </w:t>
      </w:r>
    </w:p>
    <w:p w14:paraId="7D39AB7B" w14:textId="77777777" w:rsidR="0078118E" w:rsidRPr="001048FE" w:rsidRDefault="0078118E" w:rsidP="005115F2">
      <w:pPr>
        <w:pStyle w:val="Guide-NormalBulletpoints"/>
        <w:numPr>
          <w:ilvl w:val="0"/>
          <w:numId w:val="478"/>
        </w:numPr>
        <w:rPr>
          <w:lang w:val="sl-SI"/>
        </w:rPr>
      </w:pPr>
      <w:r w:rsidRPr="001048FE">
        <w:rPr>
          <w:lang w:val="sl-SI"/>
        </w:rPr>
        <w:t>večji vpliv na politiko in prakso.</w:t>
      </w:r>
    </w:p>
    <w:p w14:paraId="7D39AB7C" w14:textId="77777777" w:rsidR="0078118E" w:rsidRPr="001048FE" w:rsidRDefault="0078118E" w:rsidP="00F825BB">
      <w:pPr>
        <w:pStyle w:val="Guide-Heading4"/>
        <w:rPr>
          <w:lang w:val="sl-SI"/>
        </w:rPr>
      </w:pPr>
      <w:bookmarkStart w:id="774" w:name="_Toc527401394"/>
      <w:r w:rsidRPr="001048FE">
        <w:rPr>
          <w:lang w:val="sl-SI"/>
        </w:rPr>
        <w:t>Kdaj je treba izvesti aktivnosti razširjanja in uporabe?</w:t>
      </w:r>
      <w:bookmarkEnd w:id="774"/>
    </w:p>
    <w:p w14:paraId="7D39AB7D" w14:textId="77777777" w:rsidR="0078118E" w:rsidRPr="001048FE" w:rsidRDefault="0078118E" w:rsidP="00F825BB">
      <w:pPr>
        <w:pStyle w:val="GUIDE-NORMAL"/>
        <w:rPr>
          <w:lang w:val="sl-SI"/>
        </w:rPr>
      </w:pPr>
      <w:r w:rsidRPr="001048FE">
        <w:rPr>
          <w:lang w:val="sl-SI"/>
        </w:rPr>
        <w:t>Razširjanje</w:t>
      </w:r>
      <w:r w:rsidRPr="001048FE">
        <w:rPr>
          <w:spacing w:val="-10"/>
          <w:lang w:val="sl-SI"/>
        </w:rPr>
        <w:t xml:space="preserve"> </w:t>
      </w:r>
      <w:r w:rsidRPr="001048FE">
        <w:rPr>
          <w:lang w:val="sl-SI"/>
        </w:rPr>
        <w:t>in</w:t>
      </w:r>
      <w:r w:rsidRPr="001048FE">
        <w:rPr>
          <w:spacing w:val="-10"/>
          <w:lang w:val="sl-SI"/>
        </w:rPr>
        <w:t xml:space="preserve"> </w:t>
      </w:r>
      <w:r w:rsidRPr="001048FE">
        <w:rPr>
          <w:lang w:val="sl-SI"/>
        </w:rPr>
        <w:t>uporaba</w:t>
      </w:r>
      <w:r w:rsidRPr="001048FE">
        <w:rPr>
          <w:spacing w:val="-10"/>
          <w:lang w:val="sl-SI"/>
        </w:rPr>
        <w:t xml:space="preserve"> </w:t>
      </w:r>
      <w:r w:rsidRPr="001048FE">
        <w:rPr>
          <w:lang w:val="sl-SI"/>
        </w:rPr>
        <w:t>rezultatov</w:t>
      </w:r>
      <w:r w:rsidRPr="001048FE">
        <w:rPr>
          <w:spacing w:val="-10"/>
          <w:lang w:val="sl-SI"/>
        </w:rPr>
        <w:t xml:space="preserve"> </w:t>
      </w:r>
      <w:r w:rsidRPr="001048FE">
        <w:rPr>
          <w:lang w:val="sl-SI"/>
        </w:rPr>
        <w:t>sta</w:t>
      </w:r>
      <w:r w:rsidRPr="001048FE">
        <w:rPr>
          <w:spacing w:val="-10"/>
          <w:lang w:val="sl-SI"/>
        </w:rPr>
        <w:t xml:space="preserve"> </w:t>
      </w:r>
      <w:r w:rsidRPr="001048FE">
        <w:rPr>
          <w:lang w:val="sl-SI"/>
        </w:rPr>
        <w:t>sestavni</w:t>
      </w:r>
      <w:r w:rsidRPr="001048FE">
        <w:rPr>
          <w:spacing w:val="-10"/>
          <w:lang w:val="sl-SI"/>
        </w:rPr>
        <w:t xml:space="preserve"> </w:t>
      </w:r>
      <w:r w:rsidRPr="001048FE">
        <w:rPr>
          <w:lang w:val="sl-SI"/>
        </w:rPr>
        <w:t>del</w:t>
      </w:r>
      <w:r w:rsidRPr="001048FE">
        <w:rPr>
          <w:spacing w:val="-10"/>
          <w:lang w:val="sl-SI"/>
        </w:rPr>
        <w:t xml:space="preserve"> </w:t>
      </w:r>
      <w:r w:rsidRPr="001048FE">
        <w:rPr>
          <w:lang w:val="sl-SI"/>
        </w:rPr>
        <w:t>projekta</w:t>
      </w:r>
      <w:r w:rsidRPr="001048FE">
        <w:rPr>
          <w:spacing w:val="-10"/>
          <w:lang w:val="sl-SI"/>
        </w:rPr>
        <w:t xml:space="preserve"> </w:t>
      </w:r>
      <w:r w:rsidRPr="001048FE">
        <w:rPr>
          <w:lang w:val="sl-SI"/>
        </w:rPr>
        <w:t>Erasmus+</w:t>
      </w:r>
      <w:r w:rsidRPr="001048FE">
        <w:rPr>
          <w:spacing w:val="-10"/>
          <w:lang w:val="sl-SI"/>
        </w:rPr>
        <w:t xml:space="preserve"> </w:t>
      </w:r>
      <w:r w:rsidRPr="001048FE">
        <w:rPr>
          <w:lang w:val="sl-SI"/>
        </w:rPr>
        <w:t>v</w:t>
      </w:r>
      <w:r w:rsidRPr="001048FE">
        <w:rPr>
          <w:spacing w:val="-10"/>
          <w:lang w:val="sl-SI"/>
        </w:rPr>
        <w:t xml:space="preserve"> </w:t>
      </w:r>
      <w:r w:rsidRPr="001048FE">
        <w:rPr>
          <w:lang w:val="sl-SI"/>
        </w:rPr>
        <w:t>celotnem</w:t>
      </w:r>
      <w:r w:rsidRPr="001048FE">
        <w:rPr>
          <w:spacing w:val="-10"/>
          <w:lang w:val="sl-SI"/>
        </w:rPr>
        <w:t xml:space="preserve"> </w:t>
      </w:r>
      <w:r w:rsidRPr="001048FE">
        <w:rPr>
          <w:lang w:val="sl-SI"/>
        </w:rPr>
        <w:t>življenjskem</w:t>
      </w:r>
      <w:r w:rsidRPr="001048FE">
        <w:rPr>
          <w:spacing w:val="-10"/>
          <w:lang w:val="sl-SI"/>
        </w:rPr>
        <w:t xml:space="preserve"> </w:t>
      </w:r>
      <w:r w:rsidRPr="001048FE">
        <w:rPr>
          <w:lang w:val="sl-SI"/>
        </w:rPr>
        <w:t>ciklu projekta:</w:t>
      </w:r>
      <w:r w:rsidRPr="001048FE">
        <w:rPr>
          <w:spacing w:val="-11"/>
          <w:lang w:val="sl-SI"/>
        </w:rPr>
        <w:t xml:space="preserve"> </w:t>
      </w:r>
      <w:r w:rsidRPr="001048FE">
        <w:rPr>
          <w:lang w:val="sl-SI"/>
        </w:rPr>
        <w:t>od</w:t>
      </w:r>
      <w:r w:rsidRPr="001048FE">
        <w:rPr>
          <w:spacing w:val="-10"/>
          <w:lang w:val="sl-SI"/>
        </w:rPr>
        <w:t xml:space="preserve"> </w:t>
      </w:r>
      <w:r w:rsidRPr="001048FE">
        <w:rPr>
          <w:lang w:val="sl-SI"/>
        </w:rPr>
        <w:t>prvotne</w:t>
      </w:r>
      <w:r w:rsidRPr="001048FE">
        <w:rPr>
          <w:spacing w:val="-11"/>
          <w:lang w:val="sl-SI"/>
        </w:rPr>
        <w:t xml:space="preserve"> </w:t>
      </w:r>
      <w:r w:rsidRPr="001048FE">
        <w:rPr>
          <w:lang w:val="sl-SI"/>
        </w:rPr>
        <w:t>zamisli</w:t>
      </w:r>
      <w:r w:rsidRPr="001048FE">
        <w:rPr>
          <w:spacing w:val="-11"/>
          <w:lang w:val="sl-SI"/>
        </w:rPr>
        <w:t xml:space="preserve"> </w:t>
      </w:r>
      <w:r w:rsidRPr="001048FE">
        <w:rPr>
          <w:lang w:val="sl-SI"/>
        </w:rPr>
        <w:t>upravičenca,</w:t>
      </w:r>
      <w:r w:rsidRPr="001048FE">
        <w:rPr>
          <w:spacing w:val="-11"/>
          <w:lang w:val="sl-SI"/>
        </w:rPr>
        <w:t xml:space="preserve"> </w:t>
      </w:r>
      <w:r w:rsidRPr="001048FE">
        <w:rPr>
          <w:lang w:val="sl-SI"/>
        </w:rPr>
        <w:t>med</w:t>
      </w:r>
      <w:r w:rsidRPr="001048FE">
        <w:rPr>
          <w:spacing w:val="-11"/>
          <w:lang w:val="sl-SI"/>
        </w:rPr>
        <w:t xml:space="preserve"> </w:t>
      </w:r>
      <w:r w:rsidRPr="001048FE">
        <w:rPr>
          <w:lang w:val="sl-SI"/>
        </w:rPr>
        <w:t>projektom</w:t>
      </w:r>
      <w:r w:rsidRPr="001048FE">
        <w:rPr>
          <w:spacing w:val="-11"/>
          <w:lang w:val="sl-SI"/>
        </w:rPr>
        <w:t xml:space="preserve"> </w:t>
      </w:r>
      <w:r w:rsidRPr="001048FE">
        <w:rPr>
          <w:lang w:val="sl-SI"/>
        </w:rPr>
        <w:t>in</w:t>
      </w:r>
      <w:r w:rsidRPr="001048FE">
        <w:rPr>
          <w:spacing w:val="-11"/>
          <w:lang w:val="sl-SI"/>
        </w:rPr>
        <w:t xml:space="preserve"> </w:t>
      </w:r>
      <w:r w:rsidRPr="001048FE">
        <w:rPr>
          <w:lang w:val="sl-SI"/>
        </w:rPr>
        <w:t>celo</w:t>
      </w:r>
      <w:r w:rsidRPr="001048FE">
        <w:rPr>
          <w:spacing w:val="-11"/>
          <w:lang w:val="sl-SI"/>
        </w:rPr>
        <w:t xml:space="preserve"> </w:t>
      </w:r>
      <w:r w:rsidRPr="001048FE">
        <w:rPr>
          <w:lang w:val="sl-SI"/>
        </w:rPr>
        <w:t>po</w:t>
      </w:r>
      <w:r w:rsidRPr="001048FE">
        <w:rPr>
          <w:spacing w:val="-11"/>
          <w:lang w:val="sl-SI"/>
        </w:rPr>
        <w:t xml:space="preserve"> </w:t>
      </w:r>
      <w:r w:rsidRPr="001048FE">
        <w:rPr>
          <w:lang w:val="sl-SI"/>
        </w:rPr>
        <w:t>koncu</w:t>
      </w:r>
      <w:r w:rsidRPr="001048FE">
        <w:rPr>
          <w:spacing w:val="-11"/>
          <w:lang w:val="sl-SI"/>
        </w:rPr>
        <w:t xml:space="preserve"> </w:t>
      </w:r>
      <w:r w:rsidRPr="001048FE">
        <w:rPr>
          <w:lang w:val="sl-SI"/>
        </w:rPr>
        <w:t>obdobja,</w:t>
      </w:r>
      <w:r w:rsidRPr="001048FE">
        <w:rPr>
          <w:spacing w:val="-10"/>
          <w:lang w:val="sl-SI"/>
        </w:rPr>
        <w:t xml:space="preserve"> </w:t>
      </w:r>
      <w:r w:rsidRPr="001048FE">
        <w:rPr>
          <w:lang w:val="sl-SI"/>
        </w:rPr>
        <w:t>za</w:t>
      </w:r>
      <w:r w:rsidRPr="001048FE">
        <w:rPr>
          <w:spacing w:val="-11"/>
          <w:lang w:val="sl-SI"/>
        </w:rPr>
        <w:t xml:space="preserve"> </w:t>
      </w:r>
      <w:r w:rsidRPr="001048FE">
        <w:rPr>
          <w:lang w:val="sl-SI"/>
        </w:rPr>
        <w:t>katerega</w:t>
      </w:r>
      <w:r w:rsidRPr="001048FE">
        <w:rPr>
          <w:spacing w:val="-11"/>
          <w:lang w:val="sl-SI"/>
        </w:rPr>
        <w:t xml:space="preserve"> </w:t>
      </w:r>
      <w:r w:rsidRPr="001048FE">
        <w:rPr>
          <w:lang w:val="sl-SI"/>
        </w:rPr>
        <w:t>so bila dodeljena evropska</w:t>
      </w:r>
      <w:r w:rsidRPr="001048FE">
        <w:rPr>
          <w:spacing w:val="-9"/>
          <w:lang w:val="sl-SI"/>
        </w:rPr>
        <w:t xml:space="preserve"> </w:t>
      </w:r>
      <w:r w:rsidRPr="001048FE">
        <w:rPr>
          <w:lang w:val="sl-SI"/>
        </w:rPr>
        <w:t>sredstva.</w:t>
      </w:r>
    </w:p>
    <w:p w14:paraId="7D39AB7E" w14:textId="77777777" w:rsidR="0078118E" w:rsidRPr="001048FE" w:rsidRDefault="0078118E" w:rsidP="00F825BB">
      <w:pPr>
        <w:pStyle w:val="GUIDE-NORMAL"/>
        <w:rPr>
          <w:lang w:val="sl-SI"/>
        </w:rPr>
      </w:pPr>
      <w:r w:rsidRPr="001048FE">
        <w:rPr>
          <w:lang w:val="sl-SI"/>
        </w:rPr>
        <w:t>Za projekt je treba oblikovati časovni razpored aktivnosti skupaj z vključenimi partnerji ter dodeliti ustrezna proračunska sredstva in vire. Načrt mora zajeti tudi naslednje:</w:t>
      </w:r>
    </w:p>
    <w:p w14:paraId="7D39AB7F" w14:textId="77777777" w:rsidR="00F825BB" w:rsidRPr="001048FE" w:rsidRDefault="0078118E" w:rsidP="005115F2">
      <w:pPr>
        <w:pStyle w:val="Guide-NormalBulletpoints"/>
        <w:numPr>
          <w:ilvl w:val="0"/>
          <w:numId w:val="479"/>
        </w:numPr>
        <w:rPr>
          <w:lang w:val="sl-SI"/>
        </w:rPr>
      </w:pPr>
      <w:r w:rsidRPr="001048FE">
        <w:rPr>
          <w:lang w:val="sl-SI"/>
        </w:rPr>
        <w:t xml:space="preserve">dogovor o realističnih ciljih in rokih s partnerji za spremljanje napredka; </w:t>
      </w:r>
    </w:p>
    <w:p w14:paraId="7D39AB80" w14:textId="77777777" w:rsidR="0078118E" w:rsidRPr="001048FE" w:rsidRDefault="0078118E" w:rsidP="005115F2">
      <w:pPr>
        <w:pStyle w:val="Guide-NormalBulletpoints"/>
        <w:numPr>
          <w:ilvl w:val="0"/>
          <w:numId w:val="479"/>
        </w:numPr>
        <w:rPr>
          <w:lang w:val="sl-SI"/>
        </w:rPr>
      </w:pPr>
      <w:r w:rsidRPr="001048FE">
        <w:rPr>
          <w:lang w:val="sl-SI"/>
        </w:rPr>
        <w:t>vključitev aktivnosti razširjanja in uporabe v ključne faze projekta;</w:t>
      </w:r>
    </w:p>
    <w:p w14:paraId="7D39AB81" w14:textId="77777777" w:rsidR="0078118E" w:rsidRPr="001048FE" w:rsidRDefault="0078118E" w:rsidP="005115F2">
      <w:pPr>
        <w:pStyle w:val="Guide-NormalBulletpoints"/>
        <w:numPr>
          <w:ilvl w:val="0"/>
          <w:numId w:val="479"/>
        </w:numPr>
        <w:rPr>
          <w:lang w:val="sl-SI"/>
        </w:rPr>
      </w:pPr>
      <w:r w:rsidRPr="001048FE">
        <w:rPr>
          <w:lang w:val="sl-SI"/>
        </w:rPr>
        <w:t>zadostna prilagodljivost za odzivanje na potrebe ciljne skupine ter širše dogodke v politiki in praksi.</w:t>
      </w:r>
    </w:p>
    <w:p w14:paraId="7D39AB82" w14:textId="77777777" w:rsidR="0078118E" w:rsidRPr="001048FE" w:rsidRDefault="0078118E" w:rsidP="00F825BB">
      <w:pPr>
        <w:pStyle w:val="GUIDE-NORMAL"/>
        <w:rPr>
          <w:lang w:val="sl-SI"/>
        </w:rPr>
      </w:pPr>
      <w:r w:rsidRPr="001048FE">
        <w:rPr>
          <w:lang w:val="sl-SI"/>
        </w:rPr>
        <w:t>Primeri aktivnosti v različnih fazah cikla projekta so naslednji:</w:t>
      </w:r>
    </w:p>
    <w:p w14:paraId="7D39AB83" w14:textId="77777777" w:rsidR="0078118E" w:rsidRPr="001048FE" w:rsidRDefault="0078118E" w:rsidP="00F825BB">
      <w:pPr>
        <w:pStyle w:val="GUIDE-NORMAL"/>
        <w:rPr>
          <w:lang w:val="sl-SI"/>
        </w:rPr>
      </w:pPr>
      <w:r w:rsidRPr="001048FE">
        <w:rPr>
          <w:b/>
          <w:lang w:val="sl-SI"/>
        </w:rPr>
        <w:t>PRED</w:t>
      </w:r>
      <w:r w:rsidRPr="001048FE">
        <w:rPr>
          <w:lang w:val="sl-SI"/>
        </w:rPr>
        <w:t xml:space="preserve"> začetkom projekta</w:t>
      </w:r>
    </w:p>
    <w:p w14:paraId="7D39AB84" w14:textId="77777777" w:rsidR="00F825BB" w:rsidRPr="001048FE" w:rsidRDefault="0078118E" w:rsidP="005115F2">
      <w:pPr>
        <w:pStyle w:val="Guide-NormalBulletpoints"/>
        <w:numPr>
          <w:ilvl w:val="0"/>
          <w:numId w:val="480"/>
        </w:numPr>
        <w:rPr>
          <w:lang w:val="sl-SI"/>
        </w:rPr>
      </w:pPr>
      <w:r w:rsidRPr="001048FE">
        <w:rPr>
          <w:lang w:val="sl-SI"/>
        </w:rPr>
        <w:t xml:space="preserve">oblikovanje načrta razširjanja in uporabe rezultatov; </w:t>
      </w:r>
    </w:p>
    <w:p w14:paraId="7D39AB85" w14:textId="77777777" w:rsidR="0078118E" w:rsidRPr="001048FE" w:rsidRDefault="0078118E" w:rsidP="005115F2">
      <w:pPr>
        <w:pStyle w:val="Guide-NormalBulletpoints"/>
        <w:numPr>
          <w:ilvl w:val="0"/>
          <w:numId w:val="480"/>
        </w:numPr>
        <w:rPr>
          <w:lang w:val="sl-SI"/>
        </w:rPr>
      </w:pPr>
      <w:r w:rsidRPr="001048FE">
        <w:rPr>
          <w:lang w:val="sl-SI"/>
        </w:rPr>
        <w:t>opredelitev pričakovanega učinka in rezultatov;</w:t>
      </w:r>
    </w:p>
    <w:p w14:paraId="7D39AB86" w14:textId="77777777" w:rsidR="0078118E" w:rsidRPr="001048FE" w:rsidRDefault="0078118E" w:rsidP="005115F2">
      <w:pPr>
        <w:pStyle w:val="Guide-NormalBulletpoints"/>
        <w:numPr>
          <w:ilvl w:val="0"/>
          <w:numId w:val="480"/>
        </w:numPr>
        <w:rPr>
          <w:lang w:val="sl-SI"/>
        </w:rPr>
      </w:pPr>
      <w:r w:rsidRPr="001048FE">
        <w:rPr>
          <w:lang w:val="sl-SI"/>
        </w:rPr>
        <w:t>premislek o tem, kako se bodo rezultati razširjali in uporabili ter v katere ciljne skupine bo to usmerjeno.</w:t>
      </w:r>
    </w:p>
    <w:p w14:paraId="7D39AB87" w14:textId="77777777" w:rsidR="00500FF0" w:rsidRPr="001048FE" w:rsidRDefault="00500FF0" w:rsidP="00F825BB">
      <w:pPr>
        <w:pStyle w:val="GUIDE-NORMAL"/>
        <w:rPr>
          <w:b/>
          <w:lang w:val="sl-SI"/>
        </w:rPr>
        <w:sectPr w:rsidR="00500FF0" w:rsidRPr="001048FE" w:rsidSect="007F4890">
          <w:endnotePr>
            <w:numFmt w:val="decimal"/>
          </w:endnotePr>
          <w:pgSz w:w="11910" w:h="16840" w:code="9"/>
          <w:pgMar w:top="1134" w:right="1418" w:bottom="1134" w:left="1418" w:header="283" w:footer="567" w:gutter="0"/>
          <w:cols w:space="720"/>
          <w:docGrid w:linePitch="326"/>
        </w:sectPr>
      </w:pPr>
    </w:p>
    <w:p w14:paraId="7D39AB88" w14:textId="77777777" w:rsidR="0078118E" w:rsidRPr="001048FE" w:rsidRDefault="0078118E" w:rsidP="00F825BB">
      <w:pPr>
        <w:pStyle w:val="GUIDE-NORMAL"/>
        <w:rPr>
          <w:lang w:val="sl-SI"/>
        </w:rPr>
      </w:pPr>
      <w:r w:rsidRPr="001048FE">
        <w:rPr>
          <w:b/>
          <w:lang w:val="sl-SI"/>
        </w:rPr>
        <w:t>MED</w:t>
      </w:r>
      <w:r w:rsidRPr="001048FE">
        <w:rPr>
          <w:lang w:val="sl-SI"/>
        </w:rPr>
        <w:t xml:space="preserve"> projektom</w:t>
      </w:r>
    </w:p>
    <w:p w14:paraId="7D39AB89" w14:textId="77777777" w:rsidR="0078118E" w:rsidRPr="001048FE" w:rsidRDefault="0078118E" w:rsidP="005115F2">
      <w:pPr>
        <w:pStyle w:val="Guide-NormalBulletpoints"/>
        <w:numPr>
          <w:ilvl w:val="0"/>
          <w:numId w:val="481"/>
        </w:numPr>
        <w:rPr>
          <w:lang w:val="sl-SI"/>
        </w:rPr>
      </w:pPr>
      <w:r w:rsidRPr="001048FE">
        <w:rPr>
          <w:lang w:val="sl-SI"/>
        </w:rPr>
        <w:t>navezovanje stikov z ustreznimi mediji, npr. na lokalni ali regionalni ravni;</w:t>
      </w:r>
    </w:p>
    <w:p w14:paraId="7D39AB8A" w14:textId="77777777" w:rsidR="0078118E" w:rsidRPr="001048FE" w:rsidRDefault="0078118E" w:rsidP="005115F2">
      <w:pPr>
        <w:pStyle w:val="Guide-NormalBulletpoints"/>
        <w:numPr>
          <w:ilvl w:val="0"/>
          <w:numId w:val="481"/>
        </w:numPr>
        <w:rPr>
          <w:lang w:val="sl-SI"/>
        </w:rPr>
      </w:pPr>
      <w:r w:rsidRPr="001048FE">
        <w:rPr>
          <w:lang w:val="sl-SI"/>
        </w:rPr>
        <w:t>izvajanje rednih aktivnosti, kot so informativna srečanja, usposabljanja, predstavitve, medsebojni strokovni pregledi;</w:t>
      </w:r>
    </w:p>
    <w:p w14:paraId="7D39AB8B" w14:textId="77777777" w:rsidR="0078118E" w:rsidRPr="001048FE" w:rsidRDefault="0078118E" w:rsidP="005115F2">
      <w:pPr>
        <w:pStyle w:val="Guide-NormalBulletpoints"/>
        <w:numPr>
          <w:ilvl w:val="0"/>
          <w:numId w:val="481"/>
        </w:numPr>
        <w:rPr>
          <w:lang w:val="sl-SI"/>
        </w:rPr>
      </w:pPr>
      <w:r w:rsidRPr="001048FE">
        <w:rPr>
          <w:lang w:val="sl-SI"/>
        </w:rPr>
        <w:t>ocenjevanje učinka na ciljne skupine;</w:t>
      </w:r>
    </w:p>
    <w:p w14:paraId="7D39AB8C" w14:textId="77777777" w:rsidR="0078118E" w:rsidRPr="001048FE" w:rsidRDefault="0078118E" w:rsidP="005115F2">
      <w:pPr>
        <w:pStyle w:val="Guide-NormalBulletpoints"/>
        <w:numPr>
          <w:ilvl w:val="0"/>
          <w:numId w:val="481"/>
        </w:numPr>
        <w:rPr>
          <w:lang w:val="sl-SI"/>
        </w:rPr>
      </w:pPr>
      <w:r w:rsidRPr="001048FE">
        <w:rPr>
          <w:lang w:val="sl-SI"/>
        </w:rPr>
        <w:t>vključevanje drugih deležnikov, da se prenašajo rezultati med končne uporabnike/na nova področja/v politike.</w:t>
      </w:r>
    </w:p>
    <w:p w14:paraId="7D39AB8D" w14:textId="77777777" w:rsidR="0078118E" w:rsidRPr="001048FE" w:rsidRDefault="0078118E" w:rsidP="00F825BB">
      <w:pPr>
        <w:pStyle w:val="GUIDE-NORMAL"/>
        <w:rPr>
          <w:b/>
          <w:lang w:val="sl-SI"/>
        </w:rPr>
      </w:pPr>
      <w:r w:rsidRPr="001048FE">
        <w:rPr>
          <w:b/>
          <w:lang w:val="sl-SI"/>
        </w:rPr>
        <w:t>V FAZI ZAKLJUČNEGA POROČANJA</w:t>
      </w:r>
    </w:p>
    <w:p w14:paraId="7D39AB8E" w14:textId="77777777" w:rsidR="0078118E" w:rsidRPr="00B06F38" w:rsidRDefault="0078118E" w:rsidP="005115F2">
      <w:pPr>
        <w:pStyle w:val="Guide-NormalBulletpoints"/>
        <w:numPr>
          <w:ilvl w:val="0"/>
          <w:numId w:val="482"/>
        </w:numPr>
        <w:rPr>
          <w:lang w:val="sl-SI"/>
        </w:rPr>
      </w:pPr>
      <w:r w:rsidRPr="001048FE">
        <w:rPr>
          <w:lang w:val="sl-SI"/>
        </w:rPr>
        <w:t xml:space="preserve">nalaganje končnih rezultatov projekta in posodobitev opisa projekta v </w:t>
      </w:r>
      <w:r w:rsidR="00DE132F" w:rsidRPr="00FC4A70">
        <w:rPr>
          <w:rFonts w:eastAsia="Calibri" w:cs="Calibri"/>
          <w:bdr w:val="nil"/>
          <w:lang w:val="sl-SI" w:eastAsia="zh-CN"/>
        </w:rPr>
        <w:t>platformi Erasmus+ za rezultate projektov.</w:t>
      </w:r>
      <w:r w:rsidRPr="00B06F38">
        <w:rPr>
          <w:lang w:val="sl-SI"/>
        </w:rPr>
        <w:t>.</w:t>
      </w:r>
    </w:p>
    <w:p w14:paraId="7D39AB8F" w14:textId="77777777" w:rsidR="0078118E" w:rsidRPr="001048FE" w:rsidRDefault="0078118E" w:rsidP="00F825BB">
      <w:pPr>
        <w:pStyle w:val="GUIDE-NORMAL"/>
        <w:rPr>
          <w:lang w:val="sl-SI"/>
        </w:rPr>
      </w:pPr>
      <w:r w:rsidRPr="001048FE">
        <w:rPr>
          <w:b/>
          <w:lang w:val="sl-SI"/>
        </w:rPr>
        <w:t>PO</w:t>
      </w:r>
      <w:r w:rsidRPr="001048FE">
        <w:rPr>
          <w:lang w:val="sl-SI"/>
        </w:rPr>
        <w:t xml:space="preserve"> projektu</w:t>
      </w:r>
    </w:p>
    <w:p w14:paraId="7D39AB90" w14:textId="77777777" w:rsidR="00F825BB" w:rsidRPr="001048FE" w:rsidRDefault="0078118E" w:rsidP="005115F2">
      <w:pPr>
        <w:pStyle w:val="Guide-NormalBulletpoints"/>
        <w:numPr>
          <w:ilvl w:val="0"/>
          <w:numId w:val="482"/>
        </w:numPr>
        <w:rPr>
          <w:lang w:val="sl-SI"/>
        </w:rPr>
      </w:pPr>
      <w:r w:rsidRPr="001048FE">
        <w:rPr>
          <w:lang w:val="sl-SI"/>
        </w:rPr>
        <w:t xml:space="preserve">nadaljnje razširjanje (kot je bilo že opisano); </w:t>
      </w:r>
    </w:p>
    <w:p w14:paraId="7D39AB91" w14:textId="77777777" w:rsidR="00F825BB" w:rsidRPr="001048FE" w:rsidRDefault="0078118E" w:rsidP="005115F2">
      <w:pPr>
        <w:pStyle w:val="Guide-NormalBulletpoints"/>
        <w:numPr>
          <w:ilvl w:val="0"/>
          <w:numId w:val="482"/>
        </w:numPr>
        <w:rPr>
          <w:lang w:val="sl-SI"/>
        </w:rPr>
      </w:pPr>
      <w:r w:rsidRPr="001048FE">
        <w:rPr>
          <w:lang w:val="sl-SI"/>
        </w:rPr>
        <w:t xml:space="preserve">oblikovanje zamisli za prihodnje sodelovanje; </w:t>
      </w:r>
    </w:p>
    <w:p w14:paraId="7D39AB92" w14:textId="77777777" w:rsidR="0078118E" w:rsidRPr="001048FE" w:rsidRDefault="0078118E" w:rsidP="005115F2">
      <w:pPr>
        <w:pStyle w:val="Guide-NormalBulletpoints"/>
        <w:numPr>
          <w:ilvl w:val="0"/>
          <w:numId w:val="482"/>
        </w:numPr>
        <w:rPr>
          <w:lang w:val="sl-SI"/>
        </w:rPr>
      </w:pPr>
      <w:r w:rsidRPr="001048FE">
        <w:rPr>
          <w:lang w:val="sl-SI"/>
        </w:rPr>
        <w:t>ocena dosežkov in učinka;</w:t>
      </w:r>
    </w:p>
    <w:p w14:paraId="7D39AB93" w14:textId="77777777" w:rsidR="0078118E" w:rsidRPr="001048FE" w:rsidRDefault="0078118E" w:rsidP="005115F2">
      <w:pPr>
        <w:pStyle w:val="Guide-NormalBulletpoints"/>
        <w:numPr>
          <w:ilvl w:val="0"/>
          <w:numId w:val="482"/>
        </w:numPr>
        <w:rPr>
          <w:lang w:val="sl-SI"/>
        </w:rPr>
      </w:pPr>
      <w:r w:rsidRPr="001048FE">
        <w:rPr>
          <w:lang w:val="sl-SI"/>
        </w:rPr>
        <w:t>navezovanje stikov z ustreznimi mediji;</w:t>
      </w:r>
    </w:p>
    <w:p w14:paraId="7D39AB94" w14:textId="77777777" w:rsidR="0078118E" w:rsidRPr="001048FE" w:rsidRDefault="0078118E" w:rsidP="005115F2">
      <w:pPr>
        <w:pStyle w:val="Guide-NormalBulletpoints"/>
        <w:numPr>
          <w:ilvl w:val="0"/>
          <w:numId w:val="482"/>
        </w:numPr>
        <w:rPr>
          <w:lang w:val="sl-SI"/>
        </w:rPr>
      </w:pPr>
      <w:r w:rsidRPr="001048FE">
        <w:rPr>
          <w:lang w:val="sl-SI"/>
        </w:rPr>
        <w:t>kadar je to ustrezno, navezovanje stikov z oblikovalci politik;</w:t>
      </w:r>
    </w:p>
    <w:p w14:paraId="7D39AB95" w14:textId="77777777" w:rsidR="0078118E" w:rsidRPr="001048FE" w:rsidRDefault="0078118E" w:rsidP="005115F2">
      <w:pPr>
        <w:pStyle w:val="Guide-NormalBulletpoints"/>
        <w:numPr>
          <w:ilvl w:val="0"/>
          <w:numId w:val="482"/>
        </w:numPr>
        <w:rPr>
          <w:lang w:val="sl-SI"/>
        </w:rPr>
      </w:pPr>
      <w:r w:rsidRPr="001048FE">
        <w:rPr>
          <w:lang w:val="sl-SI"/>
        </w:rPr>
        <w:t>sodelovanje z Evropsko komisijo z zagotavljanjem koristnih prispevkov za njena prizadevanja v zvezi z razširjanjem in uporabo.</w:t>
      </w:r>
    </w:p>
    <w:p w14:paraId="7D39AB96" w14:textId="77777777" w:rsidR="0078118E" w:rsidRPr="001048FE" w:rsidRDefault="0078118E" w:rsidP="00F825BB">
      <w:pPr>
        <w:pStyle w:val="Guide-Heading4"/>
        <w:rPr>
          <w:lang w:val="sl-SI"/>
        </w:rPr>
      </w:pPr>
      <w:bookmarkStart w:id="775" w:name="_Toc527401395"/>
      <w:r w:rsidRPr="001048FE">
        <w:rPr>
          <w:lang w:val="sl-SI"/>
        </w:rPr>
        <w:t>Kako oceniti uspeh?</w:t>
      </w:r>
      <w:bookmarkEnd w:id="775"/>
    </w:p>
    <w:p w14:paraId="7D39AB97" w14:textId="77777777" w:rsidR="0078118E" w:rsidRPr="001048FE" w:rsidRDefault="0078118E" w:rsidP="00F825BB">
      <w:pPr>
        <w:pStyle w:val="GUIDE-NORMAL"/>
        <w:rPr>
          <w:lang w:val="sl-SI"/>
        </w:rPr>
      </w:pPr>
      <w:r w:rsidRPr="001048FE">
        <w:rPr>
          <w:lang w:val="sl-SI"/>
        </w:rPr>
        <w:t>Ocena učinka je bistveni del procesa. Oceni dosežke in oblikuje priporočila za prihodnje izboljšave. Za merjenje napredka pri izpolnjevanju ciljev je mogoče uporabiti kazalnike. To so orodja, ki pomagajo meriti uspešnost. Kazalniki so lahko kvantitativni, torej povezani s številkami in odstotki, ter kvalitativni, se pravi povezani s kakovostjo udeležbe in izkušenj. Za merjenje učinka se lahko uporabijo tudi vprašalniki, razgovori, opazovanja in ocene. Opredelitev kazalnikov, ki so povezani z različnimi aktivnostmi projekta, bi morala biti predvidena ob začetku projekta in biti del skupnega načrta razširjanja.</w:t>
      </w:r>
    </w:p>
    <w:p w14:paraId="7D39AB98" w14:textId="77777777" w:rsidR="0078118E" w:rsidRPr="001048FE" w:rsidRDefault="0078118E" w:rsidP="00F825BB">
      <w:pPr>
        <w:pStyle w:val="GUIDE-NORMAL"/>
        <w:rPr>
          <w:lang w:val="sl-SI"/>
        </w:rPr>
      </w:pPr>
      <w:r w:rsidRPr="001048FE">
        <w:rPr>
          <w:lang w:val="sl-SI"/>
        </w:rPr>
        <w:t>Nekaj primerov:</w:t>
      </w:r>
    </w:p>
    <w:p w14:paraId="7D39AB99" w14:textId="77777777" w:rsidR="0078118E" w:rsidRPr="001048FE" w:rsidRDefault="0078118E" w:rsidP="005115F2">
      <w:pPr>
        <w:pStyle w:val="Guide-NormalBulletpoints"/>
        <w:numPr>
          <w:ilvl w:val="0"/>
          <w:numId w:val="483"/>
        </w:numPr>
        <w:rPr>
          <w:lang w:val="sl-SI"/>
        </w:rPr>
      </w:pPr>
      <w:r w:rsidRPr="001048FE">
        <w:rPr>
          <w:lang w:val="sl-SI"/>
        </w:rPr>
        <w:t>dejstva in številke, ki so povezani s spletiščem organizatorjev projekta (posodobitve, obiski, posvetovanja, sklicevanja);</w:t>
      </w:r>
    </w:p>
    <w:p w14:paraId="7D39AB9A" w14:textId="77777777" w:rsidR="0078118E" w:rsidRPr="001048FE" w:rsidRDefault="0078118E" w:rsidP="005115F2">
      <w:pPr>
        <w:pStyle w:val="Guide-NormalBulletpoints"/>
        <w:numPr>
          <w:ilvl w:val="0"/>
          <w:numId w:val="483"/>
        </w:numPr>
        <w:rPr>
          <w:lang w:val="sl-SI"/>
        </w:rPr>
      </w:pPr>
      <w:r w:rsidRPr="001048FE">
        <w:rPr>
          <w:lang w:val="sl-SI"/>
        </w:rPr>
        <w:t>število srečanj s ključnimi deležniki;</w:t>
      </w:r>
    </w:p>
    <w:p w14:paraId="7D39AB9B" w14:textId="77777777" w:rsidR="0078118E" w:rsidRPr="001048FE" w:rsidRDefault="0078118E" w:rsidP="005115F2">
      <w:pPr>
        <w:pStyle w:val="Guide-NormalBulletpoints"/>
        <w:numPr>
          <w:ilvl w:val="0"/>
          <w:numId w:val="483"/>
        </w:numPr>
        <w:rPr>
          <w:lang w:val="sl-SI"/>
        </w:rPr>
      </w:pPr>
      <w:r w:rsidRPr="001048FE">
        <w:rPr>
          <w:lang w:val="sl-SI"/>
        </w:rPr>
        <w:t>število udeležencev, ki so vključeni v razprave in informativna srečanja (delavnice, seminarji, medsebojni strokovni pregledi); ukrepi za nadaljnje spremljanje;</w:t>
      </w:r>
    </w:p>
    <w:p w14:paraId="7D39AB9C" w14:textId="77777777" w:rsidR="0078118E" w:rsidRPr="001048FE" w:rsidRDefault="0078118E" w:rsidP="005115F2">
      <w:pPr>
        <w:pStyle w:val="Guide-NormalBulletpoints"/>
        <w:numPr>
          <w:ilvl w:val="0"/>
          <w:numId w:val="483"/>
        </w:numPr>
        <w:rPr>
          <w:lang w:val="sl-SI"/>
        </w:rPr>
      </w:pPr>
      <w:r w:rsidRPr="001048FE">
        <w:rPr>
          <w:lang w:val="sl-SI"/>
        </w:rPr>
        <w:t>ustvarjanje in kroženje proizvodov;</w:t>
      </w:r>
    </w:p>
    <w:p w14:paraId="7D39AB9D" w14:textId="77777777" w:rsidR="0078118E" w:rsidRPr="001048FE" w:rsidRDefault="0078118E" w:rsidP="005115F2">
      <w:pPr>
        <w:pStyle w:val="Guide-NormalBulletpoints"/>
        <w:numPr>
          <w:ilvl w:val="0"/>
          <w:numId w:val="483"/>
        </w:numPr>
        <w:rPr>
          <w:lang w:val="sl-SI"/>
        </w:rPr>
      </w:pPr>
      <w:r w:rsidRPr="001048FE">
        <w:rPr>
          <w:lang w:val="sl-SI"/>
        </w:rPr>
        <w:t>medijsko poročanje (članki v specializiranih tiskanih glasilih, sporočila za medije, intervjuji itd.);</w:t>
      </w:r>
    </w:p>
    <w:p w14:paraId="7D39AB9E" w14:textId="77777777" w:rsidR="00F825BB" w:rsidRPr="001048FE" w:rsidRDefault="0078118E" w:rsidP="005115F2">
      <w:pPr>
        <w:pStyle w:val="Guide-NormalBulletpoints"/>
        <w:numPr>
          <w:ilvl w:val="0"/>
          <w:numId w:val="483"/>
        </w:numPr>
        <w:rPr>
          <w:lang w:val="sl-SI"/>
        </w:rPr>
      </w:pPr>
      <w:r w:rsidRPr="001048FE">
        <w:rPr>
          <w:lang w:val="sl-SI"/>
        </w:rPr>
        <w:t xml:space="preserve">prepoznavnost v družbenih medijih in privlačnost spletišča; </w:t>
      </w:r>
    </w:p>
    <w:p w14:paraId="7D39AB9F" w14:textId="77777777" w:rsidR="0078118E" w:rsidRPr="001048FE" w:rsidRDefault="0078118E" w:rsidP="005115F2">
      <w:pPr>
        <w:pStyle w:val="Guide-NormalBulletpoints"/>
        <w:numPr>
          <w:ilvl w:val="0"/>
          <w:numId w:val="483"/>
        </w:numPr>
        <w:rPr>
          <w:lang w:val="sl-SI"/>
        </w:rPr>
      </w:pPr>
      <w:r w:rsidRPr="001048FE">
        <w:rPr>
          <w:lang w:val="sl-SI"/>
        </w:rPr>
        <w:t>udeležba na javnih prireditvah;</w:t>
      </w:r>
    </w:p>
    <w:p w14:paraId="7D39ABA0" w14:textId="77777777" w:rsidR="00F825BB" w:rsidRPr="001048FE" w:rsidRDefault="0078118E" w:rsidP="005115F2">
      <w:pPr>
        <w:pStyle w:val="Guide-NormalBulletpoints"/>
        <w:numPr>
          <w:ilvl w:val="0"/>
          <w:numId w:val="483"/>
        </w:numPr>
        <w:rPr>
          <w:lang w:val="sl-SI"/>
        </w:rPr>
      </w:pPr>
      <w:r w:rsidRPr="001048FE">
        <w:rPr>
          <w:lang w:val="sl-SI"/>
        </w:rPr>
        <w:t xml:space="preserve">povezave z obstoječimi omrežji in mednarodnimi partnerji; </w:t>
      </w:r>
    </w:p>
    <w:p w14:paraId="7D39ABA1" w14:textId="77777777" w:rsidR="00F825BB" w:rsidRPr="001048FE" w:rsidRDefault="0078118E" w:rsidP="005115F2">
      <w:pPr>
        <w:pStyle w:val="Guide-NormalBulletpoints"/>
        <w:numPr>
          <w:ilvl w:val="0"/>
          <w:numId w:val="483"/>
        </w:numPr>
        <w:rPr>
          <w:lang w:val="sl-SI"/>
        </w:rPr>
      </w:pPr>
      <w:r w:rsidRPr="001048FE">
        <w:rPr>
          <w:lang w:val="sl-SI"/>
        </w:rPr>
        <w:t xml:space="preserve">prenos informacij in znanja; </w:t>
      </w:r>
    </w:p>
    <w:p w14:paraId="7D39ABA2" w14:textId="77777777" w:rsidR="0078118E" w:rsidRPr="001048FE" w:rsidRDefault="0078118E" w:rsidP="005115F2">
      <w:pPr>
        <w:pStyle w:val="Guide-NormalBulletpoints"/>
        <w:numPr>
          <w:ilvl w:val="0"/>
          <w:numId w:val="483"/>
        </w:numPr>
        <w:rPr>
          <w:lang w:val="sl-SI"/>
        </w:rPr>
      </w:pPr>
      <w:r w:rsidRPr="001048FE">
        <w:rPr>
          <w:lang w:val="sl-SI"/>
        </w:rPr>
        <w:t>učinek na regionalne, nacionalne in evropske politične ukrepe;</w:t>
      </w:r>
    </w:p>
    <w:p w14:paraId="7D39ABA3" w14:textId="77777777" w:rsidR="0078118E" w:rsidRPr="001048FE" w:rsidRDefault="0078118E" w:rsidP="005115F2">
      <w:pPr>
        <w:pStyle w:val="Guide-NormalBulletpoints"/>
        <w:numPr>
          <w:ilvl w:val="0"/>
          <w:numId w:val="483"/>
        </w:numPr>
        <w:rPr>
          <w:lang w:val="sl-SI"/>
        </w:rPr>
      </w:pPr>
      <w:r w:rsidRPr="001048FE">
        <w:rPr>
          <w:lang w:val="sl-SI"/>
        </w:rPr>
        <w:t>povratne informacije končnih uporabnikov, drugih deležnikov, vrstnikov, oblikovalcev politik.</w:t>
      </w:r>
    </w:p>
    <w:p w14:paraId="7D39ABA4" w14:textId="77777777" w:rsidR="00163535" w:rsidRDefault="0078118E">
      <w:pPr>
        <w:pStyle w:val="Guide-AnnexHeading3"/>
        <w:numPr>
          <w:ilvl w:val="0"/>
          <w:numId w:val="0"/>
        </w:numPr>
        <w:ind w:left="360" w:hanging="360"/>
        <w:rPr>
          <w:lang w:val="sl-SI"/>
        </w:rPr>
      </w:pPr>
      <w:bookmarkStart w:id="776" w:name="_Toc527400995"/>
      <w:bookmarkStart w:id="777" w:name="_Toc527401396"/>
      <w:r w:rsidRPr="001048FE">
        <w:rPr>
          <w:lang w:val="sl-SI"/>
        </w:rPr>
        <w:t>Zahteve v zvezi z razširjanjem in uporabo</w:t>
      </w:r>
      <w:r w:rsidRPr="001048FE">
        <w:rPr>
          <w:spacing w:val="15"/>
          <w:lang w:val="sl-SI"/>
        </w:rPr>
        <w:t xml:space="preserve"> </w:t>
      </w:r>
      <w:r w:rsidRPr="001048FE">
        <w:rPr>
          <w:lang w:val="sl-SI"/>
        </w:rPr>
        <w:t>rezultatov</w:t>
      </w:r>
      <w:bookmarkEnd w:id="776"/>
      <w:bookmarkEnd w:id="777"/>
    </w:p>
    <w:p w14:paraId="7D39ABA5" w14:textId="77777777" w:rsidR="0078118E" w:rsidRPr="001048FE" w:rsidRDefault="0078118E" w:rsidP="00F825BB">
      <w:pPr>
        <w:pStyle w:val="Guide-Heading4"/>
        <w:rPr>
          <w:lang w:val="sl-SI"/>
        </w:rPr>
      </w:pPr>
      <w:bookmarkStart w:id="778" w:name="_Toc527401397"/>
      <w:r w:rsidRPr="001048FE">
        <w:rPr>
          <w:lang w:val="sl-SI"/>
        </w:rPr>
        <w:t>Splošne zahteve glede kakovosti</w:t>
      </w:r>
      <w:bookmarkEnd w:id="778"/>
    </w:p>
    <w:p w14:paraId="7D39ABA6" w14:textId="77777777" w:rsidR="0078118E" w:rsidRPr="001048FE" w:rsidRDefault="0078118E" w:rsidP="00F825BB">
      <w:pPr>
        <w:pStyle w:val="GUIDE-NORMAL"/>
        <w:rPr>
          <w:lang w:val="sl-SI"/>
        </w:rPr>
      </w:pPr>
      <w:r w:rsidRPr="001048FE">
        <w:rPr>
          <w:lang w:val="sl-SI"/>
        </w:rPr>
        <w:t>Glede na posamezni ukrep morajo prijavitelji razmisliti o aktivnostih razširjanja in uporabe ob oddaji vloge za dodelitev sredstev v okviru programa Erasmus+, med aktivnostjo in po koncu aktivnosti. V tem poglavju sledi pregled osnovnih zahtev iz uradne dokumentacije programa Erasmus+.</w:t>
      </w:r>
    </w:p>
    <w:p w14:paraId="7D39ABA7" w14:textId="77777777" w:rsidR="00163535" w:rsidRDefault="009B18DC">
      <w:pPr>
        <w:widowControl/>
        <w:suppressAutoHyphens w:val="0"/>
        <w:autoSpaceDN/>
        <w:textAlignment w:val="auto"/>
        <w:rPr>
          <w:lang w:val="sl-SI"/>
        </w:rPr>
      </w:pPr>
      <w:r w:rsidRPr="001048FE">
        <w:rPr>
          <w:lang w:val="sl-SI"/>
        </w:rPr>
        <w:br w:type="page"/>
      </w:r>
      <w:r w:rsidR="008949F7">
        <w:rPr>
          <w:rFonts w:eastAsia="Times New Roman" w:cs="Times New Roman"/>
          <w:sz w:val="18"/>
          <w:szCs w:val="18"/>
          <w:shd w:val="clear" w:color="auto" w:fill="FFFFFF"/>
          <w:lang w:val="sl-SI"/>
        </w:rPr>
        <w:t>Razširjanje in uporaba je eno od meril za dodelitev, na podlagi katerih se bo ocenila vloga. Raven pomembnosti tega merila pri ocenjevanju vloge je odvisna od vrste projekta.</w:t>
      </w:r>
    </w:p>
    <w:p w14:paraId="7D39ABA8" w14:textId="77777777" w:rsidR="0078118E" w:rsidRPr="001048FE" w:rsidRDefault="0078118E" w:rsidP="005115F2">
      <w:pPr>
        <w:pStyle w:val="Guide-NormalBulletpoints"/>
        <w:numPr>
          <w:ilvl w:val="0"/>
          <w:numId w:val="484"/>
        </w:numPr>
        <w:rPr>
          <w:lang w:val="sl-SI"/>
        </w:rPr>
      </w:pPr>
      <w:r w:rsidRPr="001048FE">
        <w:rPr>
          <w:lang w:val="sl-SI"/>
        </w:rPr>
        <w:t>Za projekte mobilnosti se v prijavnem obrazcu zahteva navedba načrtovanih aktivnosti razširjanja in opredelitev potencialnih ciljnih skupin.</w:t>
      </w:r>
    </w:p>
    <w:p w14:paraId="7D39ABA9" w14:textId="77777777" w:rsidR="0078118E" w:rsidRPr="001048FE" w:rsidRDefault="0078118E" w:rsidP="005115F2">
      <w:pPr>
        <w:pStyle w:val="Guide-NormalBulletpoints"/>
        <w:numPr>
          <w:ilvl w:val="0"/>
          <w:numId w:val="484"/>
        </w:numPr>
        <w:rPr>
          <w:lang w:val="sl-SI"/>
        </w:rPr>
      </w:pPr>
      <w:r w:rsidRPr="001048FE">
        <w:rPr>
          <w:lang w:val="sl-SI"/>
        </w:rPr>
        <w:t>Za projekte sodelovanja se zahteva in nadalje oceni podroben in celovit načrt, ki opisuje cilje, orodja in rezultate. Čeprav na splošno en partner prevzame odgovornost za koordinacijo razširjanja in uporabe za celoten projekt, bi za izvajanje morali biti odgovorni vsi partnerji.</w:t>
      </w:r>
      <w:r w:rsidR="00F825BB" w:rsidRPr="001048FE">
        <w:rPr>
          <w:lang w:val="sl-SI"/>
        </w:rPr>
        <w:t xml:space="preserve"> </w:t>
      </w:r>
      <w:r w:rsidRPr="001048FE">
        <w:rPr>
          <w:lang w:val="sl-SI"/>
        </w:rPr>
        <w:t>Vsak partner bo vključen v te aktivnosti glede na potrebe in vloge v projektu.</w:t>
      </w:r>
    </w:p>
    <w:p w14:paraId="7D39ABAA" w14:textId="77777777" w:rsidR="0078118E" w:rsidRPr="001048FE" w:rsidRDefault="0078118E" w:rsidP="00F825BB">
      <w:pPr>
        <w:pStyle w:val="GUIDE-NORMAL"/>
        <w:rPr>
          <w:lang w:val="sl-SI"/>
        </w:rPr>
      </w:pPr>
      <w:r w:rsidRPr="001048FE">
        <w:rPr>
          <w:lang w:val="sl-SI"/>
        </w:rPr>
        <w:t>Za vse vrste projektov se bo v končni fazi zahtevalo poročanje o aktivnostih, ki so se izvedle za izmenjavo rezultatov znotraj in zunaj kroga sodelujočih organizacij.</w:t>
      </w:r>
    </w:p>
    <w:p w14:paraId="7D39ABAB" w14:textId="77777777" w:rsidR="0078118E" w:rsidRPr="001048FE" w:rsidRDefault="0078118E" w:rsidP="00F825BB">
      <w:pPr>
        <w:pStyle w:val="Guide-Heading4"/>
        <w:rPr>
          <w:lang w:val="sl-SI"/>
        </w:rPr>
      </w:pPr>
      <w:bookmarkStart w:id="779" w:name="_Toc527401398"/>
      <w:r w:rsidRPr="001048FE">
        <w:rPr>
          <w:lang w:val="sl-SI"/>
        </w:rPr>
        <w:t>Prepoznavnost Evropske unije in programa Erasmus+</w:t>
      </w:r>
      <w:bookmarkEnd w:id="779"/>
    </w:p>
    <w:p w14:paraId="7D39ABAC" w14:textId="77777777" w:rsidR="0078118E" w:rsidRPr="001048FE" w:rsidRDefault="0078118E" w:rsidP="00F825BB">
      <w:pPr>
        <w:pStyle w:val="GUIDE-NORMAL"/>
        <w:rPr>
          <w:lang w:val="sl-SI"/>
        </w:rPr>
      </w:pPr>
      <w:r w:rsidRPr="001048FE">
        <w:rPr>
          <w:lang w:val="sl-SI"/>
        </w:rPr>
        <w:t>Upravičenci morajo vedno uporabiti uradni logotip Evropske unije (zastava EU) in ime Evropske komisije, ki je v celoti navedeno na vseh komunikacijskih in promocijskih gradivih. Zaželena ustrezna omemba v zvezi s sredstvi EU, ki se dodeljujejo preko programa Erasmus+, se glasi „sofinancira program Evropske unije Erasmus+“ ob emblemu EU.</w:t>
      </w:r>
    </w:p>
    <w:p w14:paraId="7D39ABAD" w14:textId="77777777" w:rsidR="0078118E" w:rsidRPr="001048FE" w:rsidRDefault="0078118E" w:rsidP="00F825BB">
      <w:pPr>
        <w:pStyle w:val="GUIDE-NORMAL"/>
        <w:rPr>
          <w:lang w:val="sl-SI"/>
        </w:rPr>
      </w:pPr>
      <w:r w:rsidRPr="001048FE">
        <w:rPr>
          <w:lang w:val="sl-SI"/>
        </w:rPr>
        <w:t xml:space="preserve">Primeri objave obvestila o financiranju EU in prevodi besedila so na voljo na spletišču: </w:t>
      </w:r>
      <w:hyperlink r:id="rId194">
        <w:r w:rsidRPr="001048FE">
          <w:rPr>
            <w:rStyle w:val="Hyperlink"/>
            <w:lang w:val="sl-SI"/>
          </w:rPr>
          <w:t>http://eacea.ec.europa.eu/about-eacea/visual-identity_en</w:t>
        </w:r>
      </w:hyperlink>
      <w:r w:rsidRPr="001048FE">
        <w:rPr>
          <w:lang w:val="sl-SI"/>
        </w:rPr>
        <w:t>.</w:t>
      </w:r>
    </w:p>
    <w:p w14:paraId="7D39ABAE" w14:textId="77777777" w:rsidR="0078118E" w:rsidRPr="001048FE" w:rsidRDefault="0078118E" w:rsidP="00F825BB">
      <w:pPr>
        <w:pStyle w:val="GUIDE-NORMAL"/>
        <w:rPr>
          <w:lang w:val="sl-SI"/>
        </w:rPr>
      </w:pPr>
      <w:r w:rsidRPr="001048FE">
        <w:rPr>
          <w:lang w:val="sl-SI"/>
        </w:rPr>
        <w:t>Naziv programa "Erasmus+" se ne prevaja.</w:t>
      </w:r>
    </w:p>
    <w:p w14:paraId="7D39ABAF" w14:textId="77777777" w:rsidR="0078118E" w:rsidRPr="001048FE" w:rsidRDefault="0078118E" w:rsidP="00F825BB">
      <w:pPr>
        <w:pStyle w:val="GUIDE-NORMAL"/>
        <w:rPr>
          <w:lang w:val="sl-SI"/>
        </w:rPr>
      </w:pPr>
      <w:r w:rsidRPr="001048FE">
        <w:rPr>
          <w:lang w:val="sl-SI"/>
        </w:rPr>
        <w:t>Navodila</w:t>
      </w:r>
      <w:r w:rsidRPr="001048FE">
        <w:rPr>
          <w:spacing w:val="-16"/>
          <w:lang w:val="sl-SI"/>
        </w:rPr>
        <w:t xml:space="preserve"> </w:t>
      </w:r>
      <w:r w:rsidRPr="001048FE">
        <w:rPr>
          <w:lang w:val="sl-SI"/>
        </w:rPr>
        <w:t>za</w:t>
      </w:r>
      <w:r w:rsidRPr="001048FE">
        <w:rPr>
          <w:spacing w:val="-16"/>
          <w:lang w:val="sl-SI"/>
        </w:rPr>
        <w:t xml:space="preserve"> </w:t>
      </w:r>
      <w:r w:rsidRPr="001048FE">
        <w:rPr>
          <w:lang w:val="sl-SI"/>
        </w:rPr>
        <w:t>upravičence</w:t>
      </w:r>
      <w:r w:rsidRPr="001048FE">
        <w:rPr>
          <w:spacing w:val="-16"/>
          <w:lang w:val="sl-SI"/>
        </w:rPr>
        <w:t xml:space="preserve"> </w:t>
      </w:r>
      <w:r w:rsidRPr="001048FE">
        <w:rPr>
          <w:lang w:val="sl-SI"/>
        </w:rPr>
        <w:t>v</w:t>
      </w:r>
      <w:r w:rsidRPr="001048FE">
        <w:rPr>
          <w:spacing w:val="-16"/>
          <w:lang w:val="sl-SI"/>
        </w:rPr>
        <w:t xml:space="preserve"> </w:t>
      </w:r>
      <w:r w:rsidRPr="001048FE">
        <w:rPr>
          <w:lang w:val="sl-SI"/>
        </w:rPr>
        <w:t>zvezi</w:t>
      </w:r>
      <w:r w:rsidRPr="001048FE">
        <w:rPr>
          <w:spacing w:val="-16"/>
          <w:lang w:val="sl-SI"/>
        </w:rPr>
        <w:t xml:space="preserve"> </w:t>
      </w:r>
      <w:r w:rsidRPr="001048FE">
        <w:rPr>
          <w:lang w:val="sl-SI"/>
        </w:rPr>
        <w:t>z</w:t>
      </w:r>
      <w:r w:rsidRPr="001048FE">
        <w:rPr>
          <w:spacing w:val="-16"/>
          <w:lang w:val="sl-SI"/>
        </w:rPr>
        <w:t xml:space="preserve"> </w:t>
      </w:r>
      <w:r w:rsidRPr="001048FE">
        <w:rPr>
          <w:lang w:val="sl-SI"/>
        </w:rPr>
        <w:t>uporabo</w:t>
      </w:r>
      <w:r w:rsidRPr="001048FE">
        <w:rPr>
          <w:spacing w:val="-16"/>
          <w:lang w:val="sl-SI"/>
        </w:rPr>
        <w:t xml:space="preserve"> </w:t>
      </w:r>
      <w:r w:rsidRPr="001048FE">
        <w:rPr>
          <w:lang w:val="sl-SI"/>
        </w:rPr>
        <w:t>emblema</w:t>
      </w:r>
      <w:r w:rsidRPr="001048FE">
        <w:rPr>
          <w:spacing w:val="-16"/>
          <w:lang w:val="sl-SI"/>
        </w:rPr>
        <w:t xml:space="preserve"> </w:t>
      </w:r>
      <w:r w:rsidRPr="001048FE">
        <w:rPr>
          <w:lang w:val="sl-SI"/>
        </w:rPr>
        <w:t>EU</w:t>
      </w:r>
      <w:r w:rsidRPr="001048FE">
        <w:rPr>
          <w:spacing w:val="-16"/>
          <w:lang w:val="sl-SI"/>
        </w:rPr>
        <w:t xml:space="preserve"> </w:t>
      </w:r>
      <w:r w:rsidRPr="001048FE">
        <w:rPr>
          <w:lang w:val="sl-SI"/>
        </w:rPr>
        <w:t>v</w:t>
      </w:r>
      <w:r w:rsidRPr="001048FE">
        <w:rPr>
          <w:spacing w:val="-16"/>
          <w:lang w:val="sl-SI"/>
        </w:rPr>
        <w:t xml:space="preserve"> </w:t>
      </w:r>
      <w:r w:rsidRPr="001048FE">
        <w:rPr>
          <w:lang w:val="sl-SI"/>
        </w:rPr>
        <w:t>kontekstu</w:t>
      </w:r>
      <w:r w:rsidRPr="001048FE">
        <w:rPr>
          <w:spacing w:val="-16"/>
          <w:lang w:val="sl-SI"/>
        </w:rPr>
        <w:t xml:space="preserve"> </w:t>
      </w:r>
      <w:r w:rsidRPr="001048FE">
        <w:rPr>
          <w:lang w:val="sl-SI"/>
        </w:rPr>
        <w:t>programov</w:t>
      </w:r>
      <w:r w:rsidRPr="001048FE">
        <w:rPr>
          <w:spacing w:val="-16"/>
          <w:lang w:val="sl-SI"/>
        </w:rPr>
        <w:t xml:space="preserve"> </w:t>
      </w:r>
      <w:r w:rsidRPr="001048FE">
        <w:rPr>
          <w:lang w:val="sl-SI"/>
        </w:rPr>
        <w:t>EU</w:t>
      </w:r>
      <w:r w:rsidRPr="001048FE">
        <w:rPr>
          <w:spacing w:val="-16"/>
          <w:lang w:val="sl-SI"/>
        </w:rPr>
        <w:t xml:space="preserve"> </w:t>
      </w:r>
      <w:r w:rsidRPr="001048FE">
        <w:rPr>
          <w:lang w:val="sl-SI"/>
        </w:rPr>
        <w:t>so</w:t>
      </w:r>
      <w:r w:rsidRPr="001048FE">
        <w:rPr>
          <w:spacing w:val="-16"/>
          <w:lang w:val="sl-SI"/>
        </w:rPr>
        <w:t xml:space="preserve"> </w:t>
      </w:r>
      <w:r w:rsidRPr="001048FE">
        <w:rPr>
          <w:lang w:val="sl-SI"/>
        </w:rPr>
        <w:t>na</w:t>
      </w:r>
      <w:r w:rsidRPr="001048FE">
        <w:rPr>
          <w:spacing w:val="-16"/>
          <w:lang w:val="sl-SI"/>
        </w:rPr>
        <w:t xml:space="preserve"> </w:t>
      </w:r>
      <w:r w:rsidRPr="001048FE">
        <w:rPr>
          <w:lang w:val="sl-SI"/>
        </w:rPr>
        <w:t>voljo</w:t>
      </w:r>
      <w:r w:rsidRPr="001048FE">
        <w:rPr>
          <w:spacing w:val="-16"/>
          <w:lang w:val="sl-SI"/>
        </w:rPr>
        <w:t xml:space="preserve"> </w:t>
      </w:r>
      <w:r w:rsidRPr="001048FE">
        <w:rPr>
          <w:lang w:val="sl-SI"/>
        </w:rPr>
        <w:t xml:space="preserve">na spletišču: </w:t>
      </w:r>
      <w:hyperlink r:id="rId195">
        <w:r w:rsidRPr="001048FE">
          <w:rPr>
            <w:rStyle w:val="Hyperlink"/>
            <w:lang w:val="sl-SI"/>
          </w:rPr>
          <w:t>http://ec.europa.eu/dgs/communication/services/visual_identity/pdf/use-emblem_en.pdf</w:t>
        </w:r>
      </w:hyperlink>
      <w:r w:rsidRPr="001048FE">
        <w:rPr>
          <w:lang w:val="sl-SI"/>
        </w:rPr>
        <w:t>.</w:t>
      </w:r>
    </w:p>
    <w:p w14:paraId="7D39ABB0" w14:textId="77777777" w:rsidR="0078118E" w:rsidRPr="001048FE" w:rsidRDefault="0078118E" w:rsidP="00F825BB">
      <w:pPr>
        <w:pStyle w:val="Guide-Heading4"/>
        <w:rPr>
          <w:lang w:val="sl-SI"/>
        </w:rPr>
      </w:pPr>
      <w:bookmarkStart w:id="780" w:name="_Toc527401399"/>
      <w:r w:rsidRPr="001048FE">
        <w:rPr>
          <w:lang w:val="sl-SI"/>
        </w:rPr>
        <w:t>Uporaba platforme Erasmus+ za rezultate projektov</w:t>
      </w:r>
      <w:bookmarkEnd w:id="780"/>
    </w:p>
    <w:p w14:paraId="7D39ABB1" w14:textId="77777777" w:rsidR="0078118E" w:rsidRPr="001048FE" w:rsidRDefault="0078118E" w:rsidP="00F825BB">
      <w:pPr>
        <w:pStyle w:val="GUIDE-NORMAL"/>
        <w:rPr>
          <w:lang w:val="sl-SI"/>
        </w:rPr>
      </w:pPr>
      <w:r w:rsidRPr="001048FE">
        <w:rPr>
          <w:lang w:val="sl-SI"/>
        </w:rPr>
        <w:t>Platforma</w:t>
      </w:r>
      <w:r w:rsidRPr="001048FE">
        <w:rPr>
          <w:spacing w:val="-16"/>
          <w:lang w:val="sl-SI"/>
        </w:rPr>
        <w:t xml:space="preserve"> </w:t>
      </w:r>
      <w:r w:rsidRPr="001048FE">
        <w:rPr>
          <w:lang w:val="sl-SI"/>
        </w:rPr>
        <w:t>Erasmus+</w:t>
      </w:r>
      <w:r w:rsidRPr="001048FE">
        <w:rPr>
          <w:spacing w:val="-16"/>
          <w:lang w:val="sl-SI"/>
        </w:rPr>
        <w:t xml:space="preserve"> </w:t>
      </w:r>
      <w:r w:rsidRPr="001048FE">
        <w:rPr>
          <w:lang w:val="sl-SI"/>
        </w:rPr>
        <w:t>za</w:t>
      </w:r>
      <w:r w:rsidRPr="001048FE">
        <w:rPr>
          <w:spacing w:val="-16"/>
          <w:lang w:val="sl-SI"/>
        </w:rPr>
        <w:t xml:space="preserve"> </w:t>
      </w:r>
      <w:r w:rsidRPr="001048FE">
        <w:rPr>
          <w:lang w:val="sl-SI"/>
        </w:rPr>
        <w:t>rezultate</w:t>
      </w:r>
      <w:r w:rsidRPr="001048FE">
        <w:rPr>
          <w:spacing w:val="-16"/>
          <w:lang w:val="sl-SI"/>
        </w:rPr>
        <w:t xml:space="preserve"> </w:t>
      </w:r>
      <w:r w:rsidRPr="001048FE">
        <w:rPr>
          <w:lang w:val="sl-SI"/>
        </w:rPr>
        <w:t>projektov</w:t>
      </w:r>
      <w:r w:rsidRPr="001048FE">
        <w:rPr>
          <w:spacing w:val="-16"/>
          <w:lang w:val="sl-SI"/>
        </w:rPr>
        <w:t xml:space="preserve"> </w:t>
      </w:r>
      <w:r w:rsidRPr="001048FE">
        <w:rPr>
          <w:lang w:val="sl-SI"/>
        </w:rPr>
        <w:t>je</w:t>
      </w:r>
      <w:r w:rsidRPr="001048FE">
        <w:rPr>
          <w:spacing w:val="-16"/>
          <w:lang w:val="sl-SI"/>
        </w:rPr>
        <w:t xml:space="preserve"> </w:t>
      </w:r>
      <w:r w:rsidRPr="001048FE">
        <w:rPr>
          <w:lang w:val="sl-SI"/>
        </w:rPr>
        <w:t>bila</w:t>
      </w:r>
      <w:r w:rsidRPr="001048FE">
        <w:rPr>
          <w:spacing w:val="-16"/>
          <w:lang w:val="sl-SI"/>
        </w:rPr>
        <w:t xml:space="preserve"> </w:t>
      </w:r>
      <w:r w:rsidRPr="001048FE">
        <w:rPr>
          <w:lang w:val="sl-SI"/>
        </w:rPr>
        <w:t>vzpostavljena</w:t>
      </w:r>
      <w:r w:rsidRPr="001048FE">
        <w:rPr>
          <w:spacing w:val="-16"/>
          <w:lang w:val="sl-SI"/>
        </w:rPr>
        <w:t xml:space="preserve"> </w:t>
      </w:r>
      <w:r w:rsidRPr="001048FE">
        <w:rPr>
          <w:lang w:val="sl-SI"/>
        </w:rPr>
        <w:t>z</w:t>
      </w:r>
      <w:r w:rsidRPr="001048FE">
        <w:rPr>
          <w:spacing w:val="-16"/>
          <w:lang w:val="sl-SI"/>
        </w:rPr>
        <w:t xml:space="preserve"> </w:t>
      </w:r>
      <w:r w:rsidRPr="001048FE">
        <w:rPr>
          <w:lang w:val="sl-SI"/>
        </w:rPr>
        <w:t>namenom</w:t>
      </w:r>
      <w:r w:rsidRPr="001048FE">
        <w:rPr>
          <w:spacing w:val="-16"/>
          <w:lang w:val="sl-SI"/>
        </w:rPr>
        <w:t xml:space="preserve"> </w:t>
      </w:r>
      <w:r w:rsidRPr="001048FE">
        <w:rPr>
          <w:lang w:val="sl-SI"/>
        </w:rPr>
        <w:t>zagotavljanja</w:t>
      </w:r>
      <w:r w:rsidRPr="001048FE">
        <w:rPr>
          <w:spacing w:val="-16"/>
          <w:lang w:val="sl-SI"/>
        </w:rPr>
        <w:t xml:space="preserve"> </w:t>
      </w:r>
      <w:r w:rsidRPr="001048FE">
        <w:rPr>
          <w:lang w:val="sl-SI"/>
        </w:rPr>
        <w:t>celovitega pregled projektov, ki so jim bila dodeljena sredstva v okviru Programa, in izpostavljanja dobre prakse in zgodb o uspehu. Na tej platformi bodo na voljo tudi proizvodi/rezultati/priprave intelektualnih rezultatov, ki so nastali na podlagi financiranih</w:t>
      </w:r>
      <w:r w:rsidRPr="001048FE">
        <w:rPr>
          <w:spacing w:val="-8"/>
          <w:lang w:val="sl-SI"/>
        </w:rPr>
        <w:t xml:space="preserve"> </w:t>
      </w:r>
      <w:r w:rsidRPr="001048FE">
        <w:rPr>
          <w:lang w:val="sl-SI"/>
        </w:rPr>
        <w:t>projektov.</w:t>
      </w:r>
    </w:p>
    <w:p w14:paraId="7D39ABB2" w14:textId="77777777" w:rsidR="0078118E" w:rsidRPr="001048FE" w:rsidRDefault="0078118E" w:rsidP="00F825BB">
      <w:pPr>
        <w:pStyle w:val="GUIDE-NORMAL"/>
        <w:rPr>
          <w:lang w:val="sl-SI"/>
        </w:rPr>
      </w:pPr>
      <w:r w:rsidRPr="001048FE">
        <w:rPr>
          <w:lang w:val="sl-SI"/>
        </w:rPr>
        <w:t>Vsako leto posamezne nacionalne agencije in Izvajalska agencija izberejo primere dobre prakse. Generalni direktorat za izobraževanje in kulturo na centralni ravni med primeri dobre</w:t>
      </w:r>
      <w:r w:rsidR="00F825BB" w:rsidRPr="001048FE">
        <w:rPr>
          <w:lang w:val="sl-SI"/>
        </w:rPr>
        <w:t xml:space="preserve"> prakse izbere zgodbe o uspehu.</w:t>
      </w:r>
    </w:p>
    <w:p w14:paraId="7D39ABB3" w14:textId="77777777" w:rsidR="0078118E" w:rsidRPr="001048FE" w:rsidRDefault="0078118E" w:rsidP="00F825BB">
      <w:pPr>
        <w:pStyle w:val="GUIDE-NORMAL"/>
        <w:rPr>
          <w:lang w:val="sl-SI"/>
        </w:rPr>
      </w:pPr>
      <w:r w:rsidRPr="001048FE">
        <w:rPr>
          <w:lang w:val="sl-SI"/>
        </w:rPr>
        <w:t>Nameni platforme Erasmus+ za rezultate projektov so različni:</w:t>
      </w:r>
    </w:p>
    <w:p w14:paraId="7D39ABB4" w14:textId="77777777" w:rsidR="0078118E" w:rsidRPr="001048FE" w:rsidRDefault="0078118E" w:rsidP="005115F2">
      <w:pPr>
        <w:pStyle w:val="Guide-NormalBulletpoints"/>
        <w:numPr>
          <w:ilvl w:val="0"/>
          <w:numId w:val="492"/>
        </w:numPr>
        <w:rPr>
          <w:lang w:val="sl-SI"/>
        </w:rPr>
      </w:pPr>
      <w:r w:rsidRPr="001048FE">
        <w:rPr>
          <w:lang w:val="sl-SI"/>
        </w:rPr>
        <w:t>preglednost, saj zagotavlja celovit pregled nad vsemi projekti, financiranimi v okviru Programa (vključno s povzetki projektov, zneski financiranja, povezavami URL itd.);</w:t>
      </w:r>
    </w:p>
    <w:p w14:paraId="7D39ABB5" w14:textId="77777777" w:rsidR="00F825BB" w:rsidRPr="001048FE" w:rsidRDefault="0078118E" w:rsidP="005115F2">
      <w:pPr>
        <w:pStyle w:val="Guide-NormalBulletpoints"/>
        <w:numPr>
          <w:ilvl w:val="0"/>
          <w:numId w:val="492"/>
        </w:numPr>
        <w:rPr>
          <w:lang w:val="sl-SI"/>
        </w:rPr>
      </w:pPr>
      <w:r w:rsidRPr="001048FE">
        <w:rPr>
          <w:lang w:val="sl-SI"/>
        </w:rPr>
        <w:t>odgovornost,</w:t>
      </w:r>
      <w:r w:rsidRPr="001048FE">
        <w:rPr>
          <w:spacing w:val="-15"/>
          <w:lang w:val="sl-SI"/>
        </w:rPr>
        <w:t xml:space="preserve"> </w:t>
      </w:r>
      <w:r w:rsidRPr="001048FE">
        <w:rPr>
          <w:lang w:val="sl-SI"/>
        </w:rPr>
        <w:t>saj</w:t>
      </w:r>
      <w:r w:rsidRPr="001048FE">
        <w:rPr>
          <w:spacing w:val="-16"/>
          <w:lang w:val="sl-SI"/>
        </w:rPr>
        <w:t xml:space="preserve"> </w:t>
      </w:r>
      <w:r w:rsidRPr="001048FE">
        <w:rPr>
          <w:lang w:val="sl-SI"/>
        </w:rPr>
        <w:t>končnim</w:t>
      </w:r>
      <w:r w:rsidRPr="001048FE">
        <w:rPr>
          <w:spacing w:val="-16"/>
          <w:lang w:val="sl-SI"/>
        </w:rPr>
        <w:t xml:space="preserve"> </w:t>
      </w:r>
      <w:r w:rsidRPr="001048FE">
        <w:rPr>
          <w:lang w:val="sl-SI"/>
        </w:rPr>
        <w:t>uporabnikom</w:t>
      </w:r>
      <w:r w:rsidRPr="001048FE">
        <w:rPr>
          <w:spacing w:val="-16"/>
          <w:lang w:val="sl-SI"/>
        </w:rPr>
        <w:t xml:space="preserve"> </w:t>
      </w:r>
      <w:r w:rsidRPr="001048FE">
        <w:rPr>
          <w:lang w:val="sl-SI"/>
        </w:rPr>
        <w:t>in</w:t>
      </w:r>
      <w:r w:rsidRPr="001048FE">
        <w:rPr>
          <w:spacing w:val="-16"/>
          <w:lang w:val="sl-SI"/>
        </w:rPr>
        <w:t xml:space="preserve"> </w:t>
      </w:r>
      <w:r w:rsidRPr="001048FE">
        <w:rPr>
          <w:lang w:val="sl-SI"/>
        </w:rPr>
        <w:t>delavcem</w:t>
      </w:r>
      <w:r w:rsidRPr="001048FE">
        <w:rPr>
          <w:spacing w:val="-16"/>
          <w:lang w:val="sl-SI"/>
        </w:rPr>
        <w:t xml:space="preserve"> </w:t>
      </w:r>
      <w:r w:rsidRPr="001048FE">
        <w:rPr>
          <w:lang w:val="sl-SI"/>
        </w:rPr>
        <w:t>omogoča</w:t>
      </w:r>
      <w:r w:rsidRPr="001048FE">
        <w:rPr>
          <w:spacing w:val="-15"/>
          <w:lang w:val="sl-SI"/>
        </w:rPr>
        <w:t xml:space="preserve"> </w:t>
      </w:r>
      <w:r w:rsidRPr="001048FE">
        <w:rPr>
          <w:lang w:val="sl-SI"/>
        </w:rPr>
        <w:t>dostop</w:t>
      </w:r>
      <w:r w:rsidRPr="001048FE">
        <w:rPr>
          <w:spacing w:val="-16"/>
          <w:lang w:val="sl-SI"/>
        </w:rPr>
        <w:t xml:space="preserve"> </w:t>
      </w:r>
      <w:r w:rsidRPr="001048FE">
        <w:rPr>
          <w:lang w:val="sl-SI"/>
        </w:rPr>
        <w:t>do</w:t>
      </w:r>
      <w:r w:rsidRPr="001048FE">
        <w:rPr>
          <w:spacing w:val="-16"/>
          <w:lang w:val="sl-SI"/>
        </w:rPr>
        <w:t xml:space="preserve"> </w:t>
      </w:r>
      <w:r w:rsidRPr="001048FE">
        <w:rPr>
          <w:lang w:val="sl-SI"/>
        </w:rPr>
        <w:t>rezultatov</w:t>
      </w:r>
      <w:r w:rsidRPr="001048FE">
        <w:rPr>
          <w:spacing w:val="-16"/>
          <w:lang w:val="sl-SI"/>
        </w:rPr>
        <w:t xml:space="preserve"> </w:t>
      </w:r>
      <w:r w:rsidRPr="001048FE">
        <w:rPr>
          <w:lang w:val="sl-SI"/>
        </w:rPr>
        <w:t xml:space="preserve">projektov; </w:t>
      </w:r>
    </w:p>
    <w:p w14:paraId="7D39ABB6" w14:textId="77777777" w:rsidR="0078118E" w:rsidRPr="001048FE" w:rsidRDefault="0078118E" w:rsidP="005115F2">
      <w:pPr>
        <w:pStyle w:val="Guide-NormalBulletpoints"/>
        <w:numPr>
          <w:ilvl w:val="0"/>
          <w:numId w:val="492"/>
        </w:numPr>
        <w:rPr>
          <w:lang w:val="sl-SI"/>
        </w:rPr>
      </w:pPr>
      <w:r w:rsidRPr="001048FE">
        <w:rPr>
          <w:lang w:val="sl-SI"/>
        </w:rPr>
        <w:t>navdih, saj predstavlja dobre prakse in zgodbe o uspehu med upravičenci do programa Erasmus+, vsako leto izbrane na nacionalni in evropski</w:t>
      </w:r>
      <w:r w:rsidRPr="001048FE">
        <w:rPr>
          <w:spacing w:val="-24"/>
          <w:lang w:val="sl-SI"/>
        </w:rPr>
        <w:t xml:space="preserve"> </w:t>
      </w:r>
      <w:r w:rsidRPr="001048FE">
        <w:rPr>
          <w:lang w:val="sl-SI"/>
        </w:rPr>
        <w:t>ravni.</w:t>
      </w:r>
    </w:p>
    <w:p w14:paraId="7D39ABB7" w14:textId="77777777" w:rsidR="0078118E" w:rsidRPr="001048FE" w:rsidRDefault="0078118E" w:rsidP="00F825BB">
      <w:pPr>
        <w:pStyle w:val="GUIDE-NORMAL"/>
        <w:rPr>
          <w:lang w:val="sl-SI"/>
        </w:rPr>
      </w:pPr>
      <w:r w:rsidRPr="001048FE">
        <w:rPr>
          <w:lang w:val="sl-SI"/>
        </w:rPr>
        <w:t>Za</w:t>
      </w:r>
      <w:r w:rsidRPr="001048FE">
        <w:rPr>
          <w:spacing w:val="-11"/>
          <w:lang w:val="sl-SI"/>
        </w:rPr>
        <w:t xml:space="preserve"> </w:t>
      </w:r>
      <w:r w:rsidRPr="001048FE">
        <w:rPr>
          <w:lang w:val="sl-SI"/>
        </w:rPr>
        <w:t>večino</w:t>
      </w:r>
      <w:r w:rsidRPr="001048FE">
        <w:rPr>
          <w:spacing w:val="-11"/>
          <w:lang w:val="sl-SI"/>
        </w:rPr>
        <w:t xml:space="preserve"> </w:t>
      </w:r>
      <w:r w:rsidRPr="001048FE">
        <w:rPr>
          <w:lang w:val="sl-SI"/>
        </w:rPr>
        <w:t>projektov</w:t>
      </w:r>
      <w:r w:rsidRPr="001048FE">
        <w:rPr>
          <w:spacing w:val="-11"/>
          <w:lang w:val="sl-SI"/>
        </w:rPr>
        <w:t xml:space="preserve"> </w:t>
      </w:r>
      <w:r w:rsidRPr="001048FE">
        <w:rPr>
          <w:lang w:val="sl-SI"/>
        </w:rPr>
        <w:t>Erasmus+</w:t>
      </w:r>
      <w:r w:rsidRPr="001048FE">
        <w:rPr>
          <w:spacing w:val="-11"/>
          <w:lang w:val="sl-SI"/>
        </w:rPr>
        <w:t xml:space="preserve"> </w:t>
      </w:r>
      <w:r w:rsidRPr="001048FE">
        <w:rPr>
          <w:lang w:val="sl-SI"/>
        </w:rPr>
        <w:t>morajo</w:t>
      </w:r>
      <w:r w:rsidRPr="001048FE">
        <w:rPr>
          <w:spacing w:val="-11"/>
          <w:lang w:val="sl-SI"/>
        </w:rPr>
        <w:t xml:space="preserve"> </w:t>
      </w:r>
      <w:r w:rsidRPr="001048FE">
        <w:rPr>
          <w:lang w:val="sl-SI"/>
        </w:rPr>
        <w:t>upravičenci</w:t>
      </w:r>
      <w:r w:rsidRPr="001048FE">
        <w:rPr>
          <w:spacing w:val="-11"/>
          <w:lang w:val="sl-SI"/>
        </w:rPr>
        <w:t xml:space="preserve"> </w:t>
      </w:r>
      <w:r w:rsidRPr="001048FE">
        <w:rPr>
          <w:lang w:val="sl-SI"/>
        </w:rPr>
        <w:t>v</w:t>
      </w:r>
      <w:r w:rsidRPr="001048FE">
        <w:rPr>
          <w:spacing w:val="-11"/>
          <w:lang w:val="sl-SI"/>
        </w:rPr>
        <w:t xml:space="preserve"> </w:t>
      </w:r>
      <w:r w:rsidRPr="001048FE">
        <w:rPr>
          <w:lang w:val="sl-SI"/>
        </w:rPr>
        <w:t>fazi</w:t>
      </w:r>
      <w:r w:rsidRPr="001048FE">
        <w:rPr>
          <w:spacing w:val="-11"/>
          <w:lang w:val="sl-SI"/>
        </w:rPr>
        <w:t xml:space="preserve"> </w:t>
      </w:r>
      <w:r w:rsidRPr="001048FE">
        <w:rPr>
          <w:lang w:val="sl-SI"/>
        </w:rPr>
        <w:t>prijave</w:t>
      </w:r>
      <w:r w:rsidRPr="001048FE">
        <w:rPr>
          <w:spacing w:val="-11"/>
          <w:lang w:val="sl-SI"/>
        </w:rPr>
        <w:t xml:space="preserve"> </w:t>
      </w:r>
      <w:r w:rsidRPr="001048FE">
        <w:rPr>
          <w:lang w:val="sl-SI"/>
        </w:rPr>
        <w:t>zagotoviti</w:t>
      </w:r>
      <w:r w:rsidRPr="001048FE">
        <w:rPr>
          <w:spacing w:val="-11"/>
          <w:lang w:val="sl-SI"/>
        </w:rPr>
        <w:t xml:space="preserve"> </w:t>
      </w:r>
      <w:r w:rsidRPr="001048FE">
        <w:rPr>
          <w:lang w:val="sl-SI"/>
        </w:rPr>
        <w:t>povzetek</w:t>
      </w:r>
      <w:r w:rsidRPr="001048FE">
        <w:rPr>
          <w:spacing w:val="-11"/>
          <w:lang w:val="sl-SI"/>
        </w:rPr>
        <w:t xml:space="preserve"> </w:t>
      </w:r>
      <w:r w:rsidRPr="001048FE">
        <w:rPr>
          <w:lang w:val="sl-SI"/>
        </w:rPr>
        <w:t>z</w:t>
      </w:r>
      <w:r w:rsidRPr="001048FE">
        <w:rPr>
          <w:spacing w:val="-11"/>
          <w:lang w:val="sl-SI"/>
        </w:rPr>
        <w:t xml:space="preserve"> </w:t>
      </w:r>
      <w:r w:rsidRPr="001048FE">
        <w:rPr>
          <w:lang w:val="sl-SI"/>
        </w:rPr>
        <w:t>opisom svojega projekta v</w:t>
      </w:r>
      <w:r w:rsidRPr="001048FE">
        <w:rPr>
          <w:spacing w:val="-8"/>
          <w:lang w:val="sl-SI"/>
        </w:rPr>
        <w:t xml:space="preserve"> </w:t>
      </w:r>
      <w:r w:rsidRPr="001048FE">
        <w:rPr>
          <w:lang w:val="sl-SI"/>
        </w:rPr>
        <w:t>angleščini.</w:t>
      </w:r>
    </w:p>
    <w:p w14:paraId="7D39ABB8" w14:textId="77777777" w:rsidR="0078118E" w:rsidRPr="001048FE" w:rsidRDefault="0078118E" w:rsidP="00F825BB">
      <w:pPr>
        <w:pStyle w:val="GUIDE-NORMAL"/>
        <w:rPr>
          <w:lang w:val="sl-SI"/>
        </w:rPr>
      </w:pPr>
      <w:r w:rsidRPr="001048FE">
        <w:rPr>
          <w:lang w:val="sl-SI"/>
        </w:rPr>
        <w:t>Povzetek projekta je še zlasti pomemben, saj zagotavlja opis za najširšo javnost. Oblikovati ga je torej treba v preprostem jeziku in jasnem slogu, da lahko dejansko vsebino projekta hitro razumejo tudi osebe, ki niso vključene vanj.</w:t>
      </w:r>
    </w:p>
    <w:p w14:paraId="7D39ABB9" w14:textId="77777777" w:rsidR="0078118E" w:rsidRPr="001048FE" w:rsidRDefault="0078118E" w:rsidP="00F825BB">
      <w:pPr>
        <w:pStyle w:val="GUIDE-NORMAL"/>
        <w:rPr>
          <w:lang w:val="sl-SI"/>
        </w:rPr>
      </w:pPr>
      <w:r w:rsidRPr="001048FE">
        <w:rPr>
          <w:lang w:val="sl-SI"/>
        </w:rPr>
        <w:t>Povzetek bi moral zajeti naslednje elemente: okvir/ozadje projekta; cilje projekta; število in profil udeležencev; opis aktivnosti; metodologijo, ki se bo uporabila pri izvajanju projekta; kratek opis predvidenih rezultatov in učinkov; morebitne dolgoročne koristi.</w:t>
      </w:r>
    </w:p>
    <w:p w14:paraId="7D39ABBA" w14:textId="77777777" w:rsidR="00C95A78" w:rsidRPr="001048FE" w:rsidRDefault="0078118E" w:rsidP="00F825BB">
      <w:pPr>
        <w:pStyle w:val="GUIDE-NORMAL"/>
        <w:rPr>
          <w:rStyle w:val="Hyperlink"/>
          <w:lang w:val="sl-SI"/>
        </w:rPr>
      </w:pPr>
      <w:r w:rsidRPr="001048FE">
        <w:rPr>
          <w:lang w:val="sl-SI"/>
        </w:rPr>
        <w:t xml:space="preserve">Platforma Erasmus+ za rezultate projektov je na voljo na spletišču: </w:t>
      </w:r>
      <w:hyperlink r:id="rId196">
        <w:r w:rsidRPr="001048FE">
          <w:rPr>
            <w:rStyle w:val="Hyperlink"/>
            <w:lang w:val="sl-SI"/>
          </w:rPr>
          <w:t>http://ec.europa.eu/programmes/erasmus-plus/projects/</w:t>
        </w:r>
        <w:r w:rsidRPr="001048FE">
          <w:rPr>
            <w:lang w:val="sl-SI"/>
          </w:rPr>
          <w:t>.</w:t>
        </w:r>
      </w:hyperlink>
    </w:p>
    <w:p w14:paraId="7D39ABBB" w14:textId="77777777" w:rsidR="00C12526" w:rsidRDefault="00C12526">
      <w:pPr>
        <w:widowControl/>
        <w:suppressAutoHyphens w:val="0"/>
        <w:autoSpaceDN/>
        <w:textAlignment w:val="auto"/>
        <w:rPr>
          <w:rFonts w:eastAsia="Times New Roman" w:cs="Times New Roman"/>
          <w:b/>
          <w:smallCaps/>
          <w:sz w:val="40"/>
          <w:szCs w:val="20"/>
          <w:lang w:val="sl-SI"/>
        </w:rPr>
      </w:pPr>
      <w:bookmarkStart w:id="781" w:name="Annexe_III_–_Glossaire"/>
      <w:bookmarkStart w:id="782" w:name="_bookmark84"/>
      <w:bookmarkEnd w:id="781"/>
      <w:bookmarkEnd w:id="782"/>
    </w:p>
    <w:p w14:paraId="7D39ABBC" w14:textId="77777777" w:rsidR="009839B2" w:rsidRPr="001048FE" w:rsidRDefault="009839B2" w:rsidP="009839B2">
      <w:pPr>
        <w:pStyle w:val="Guide-Heading1"/>
        <w:rPr>
          <w:lang w:val="sl-SI"/>
        </w:rPr>
        <w:sectPr w:rsidR="009839B2" w:rsidRPr="001048FE" w:rsidSect="007F4890">
          <w:endnotePr>
            <w:numFmt w:val="decimal"/>
          </w:endnotePr>
          <w:pgSz w:w="11910" w:h="16840" w:code="9"/>
          <w:pgMar w:top="1134" w:right="1418" w:bottom="1134" w:left="1418" w:header="283" w:footer="567" w:gutter="0"/>
          <w:cols w:space="720"/>
          <w:docGrid w:linePitch="326"/>
        </w:sectPr>
      </w:pPr>
    </w:p>
    <w:p w14:paraId="7D39ABBD" w14:textId="77777777" w:rsidR="00BE364E" w:rsidRPr="001048FE" w:rsidRDefault="00EB2405" w:rsidP="004B71A1">
      <w:pPr>
        <w:pStyle w:val="Guide-Heading1"/>
        <w:ind w:left="720"/>
        <w:rPr>
          <w:lang w:val="sl-SI"/>
        </w:rPr>
      </w:pPr>
      <w:bookmarkStart w:id="783" w:name="_Toc527400996"/>
      <w:bookmarkStart w:id="784" w:name="_Toc527401400"/>
      <w:r w:rsidRPr="001048FE">
        <w:rPr>
          <w:lang w:val="sl-SI"/>
        </w:rPr>
        <w:t>Priloga III – Glosar pojmov</w:t>
      </w:r>
      <w:bookmarkEnd w:id="783"/>
      <w:bookmarkEnd w:id="784"/>
    </w:p>
    <w:tbl>
      <w:tblPr>
        <w:tblStyle w:val="TableGrid"/>
        <w:tblW w:w="0" w:type="auto"/>
        <w:tblLayout w:type="fixed"/>
        <w:tblLook w:val="04A0" w:firstRow="1" w:lastRow="0" w:firstColumn="1" w:lastColumn="0" w:noHBand="0" w:noVBand="1"/>
      </w:tblPr>
      <w:tblGrid>
        <w:gridCol w:w="2088"/>
        <w:gridCol w:w="7202"/>
      </w:tblGrid>
      <w:tr w:rsidR="00705BF0" w:rsidRPr="002C560E" w14:paraId="7D39ABC0" w14:textId="77777777" w:rsidTr="00EC19F7">
        <w:tc>
          <w:tcPr>
            <w:tcW w:w="2088" w:type="dxa"/>
          </w:tcPr>
          <w:p w14:paraId="7D39ABBE" w14:textId="77777777" w:rsidR="00705BF0" w:rsidRPr="005F062F" w:rsidRDefault="00705BF0" w:rsidP="005F062F">
            <w:pPr>
              <w:pStyle w:val="GUIDE-NORMAL"/>
              <w:jc w:val="left"/>
              <w:rPr>
                <w:b/>
                <w:lang w:val="sl-SI"/>
              </w:rPr>
            </w:pPr>
            <w:r w:rsidRPr="005F062F">
              <w:rPr>
                <w:b/>
                <w:lang w:val="sl-SI"/>
              </w:rPr>
              <w:t>Akreditacija</w:t>
            </w:r>
          </w:p>
        </w:tc>
        <w:tc>
          <w:tcPr>
            <w:tcW w:w="7202" w:type="dxa"/>
          </w:tcPr>
          <w:p w14:paraId="7D39ABBF" w14:textId="77777777" w:rsidR="00705BF0" w:rsidRPr="005F062F" w:rsidRDefault="00705BF0" w:rsidP="009A2C2A">
            <w:pPr>
              <w:pStyle w:val="GUIDE-NORMAL"/>
              <w:rPr>
                <w:lang w:val="sl-SI"/>
              </w:rPr>
            </w:pPr>
            <w:r w:rsidRPr="005F062F">
              <w:rPr>
                <w:lang w:val="sl-SI"/>
              </w:rPr>
              <w:t>Postopek, ki zagotovi, da organizacija, ki želi prejeti sredstva v okviru ukrepa programa Erasmus+, spoštuje nabor standardov kakovosti ali pogojev, ki jih opredeli Evropska komisija za ta ukrep. Glede na vrsto ukrepa ali državo organizacije prosilke akreditacijo izvaja Izvajalska agencija ali nacionalna agencija. Proces akreditacije je vzpostavljen za organizacije, ki želijo sodelovati pri projektih v visokošolskem izobraževanju (vključno z mobilnostjo).</w:t>
            </w:r>
          </w:p>
        </w:tc>
      </w:tr>
      <w:tr w:rsidR="00705BF0" w:rsidRPr="002C560E" w14:paraId="7D39ABC3" w14:textId="77777777" w:rsidTr="00EC19F7">
        <w:tc>
          <w:tcPr>
            <w:tcW w:w="2088" w:type="dxa"/>
          </w:tcPr>
          <w:p w14:paraId="7D39ABC1" w14:textId="77777777" w:rsidR="00705BF0" w:rsidRPr="005F062F" w:rsidRDefault="00705BF0" w:rsidP="005F062F">
            <w:pPr>
              <w:pStyle w:val="GUIDE-NORMAL"/>
              <w:jc w:val="left"/>
              <w:rPr>
                <w:b/>
                <w:lang w:val="sl-SI"/>
              </w:rPr>
            </w:pPr>
            <w:r w:rsidRPr="005F062F">
              <w:rPr>
                <w:b/>
                <w:lang w:val="sl-SI"/>
              </w:rPr>
              <w:t>Aktivnost</w:t>
            </w:r>
          </w:p>
        </w:tc>
        <w:tc>
          <w:tcPr>
            <w:tcW w:w="7202" w:type="dxa"/>
          </w:tcPr>
          <w:p w14:paraId="7D39ABC2" w14:textId="77777777" w:rsidR="00705BF0" w:rsidRPr="005F062F" w:rsidRDefault="00705BF0" w:rsidP="009A2C2A">
            <w:pPr>
              <w:pStyle w:val="GUIDE-NORMAL"/>
              <w:rPr>
                <w:lang w:val="sl-SI"/>
              </w:rPr>
            </w:pPr>
            <w:r w:rsidRPr="005F062F">
              <w:rPr>
                <w:lang w:val="sl-SI"/>
              </w:rPr>
              <w:t>Nabor nalog, ki se izvajajo kot del projekta. Aktivnosti so lahko različnih vrst (mobilnost, sodelovanje itd.). V okviru programa Jean Monnet je aktivnost enaka ukrepu (glej opredelitev za ukrep).</w:t>
            </w:r>
          </w:p>
        </w:tc>
      </w:tr>
      <w:tr w:rsidR="00705BF0" w:rsidRPr="002C560E" w14:paraId="7D39ABC6" w14:textId="77777777" w:rsidTr="00EC19F7">
        <w:tc>
          <w:tcPr>
            <w:tcW w:w="2088" w:type="dxa"/>
          </w:tcPr>
          <w:p w14:paraId="7D39ABC4" w14:textId="77777777" w:rsidR="00705BF0" w:rsidRPr="005F062F" w:rsidRDefault="00705BF0" w:rsidP="005F062F">
            <w:pPr>
              <w:pStyle w:val="GUIDE-NORMAL"/>
              <w:jc w:val="left"/>
              <w:rPr>
                <w:b/>
                <w:lang w:val="sl-SI"/>
              </w:rPr>
            </w:pPr>
            <w:r w:rsidRPr="005F062F">
              <w:rPr>
                <w:b/>
                <w:lang w:val="sl-SI"/>
              </w:rPr>
              <w:t>Družba</w:t>
            </w:r>
          </w:p>
        </w:tc>
        <w:tc>
          <w:tcPr>
            <w:tcW w:w="7202" w:type="dxa"/>
          </w:tcPr>
          <w:p w14:paraId="7D39ABC5" w14:textId="77777777" w:rsidR="00705BF0" w:rsidRPr="005F062F" w:rsidRDefault="00705BF0" w:rsidP="009A2C2A">
            <w:pPr>
              <w:pStyle w:val="GUIDE-NORMAL"/>
              <w:rPr>
                <w:lang w:val="sl-SI"/>
              </w:rPr>
            </w:pPr>
            <w:r w:rsidRPr="005F062F">
              <w:rPr>
                <w:lang w:val="sl-SI"/>
              </w:rPr>
              <w:t>Pravne osebe, ki so ustanovljene v skladu s civilnim ali gospodarskim pravom, vključno z zadrugami, in druge pravne osebe javnega ali zasebnega prava, razen tistih, ki so neprofitne.</w:t>
            </w:r>
          </w:p>
        </w:tc>
      </w:tr>
      <w:tr w:rsidR="00705BF0" w:rsidRPr="002C560E" w14:paraId="7D39ABC9" w14:textId="77777777" w:rsidTr="00EC19F7">
        <w:tc>
          <w:tcPr>
            <w:tcW w:w="2088" w:type="dxa"/>
          </w:tcPr>
          <w:p w14:paraId="7D39ABC7" w14:textId="77777777" w:rsidR="00705BF0" w:rsidRPr="005F062F" w:rsidRDefault="00705BF0" w:rsidP="005F062F">
            <w:pPr>
              <w:pStyle w:val="GUIDE-NORMAL"/>
              <w:jc w:val="left"/>
              <w:rPr>
                <w:b/>
                <w:lang w:val="sl-SI"/>
              </w:rPr>
            </w:pPr>
            <w:r w:rsidRPr="005F062F">
              <w:rPr>
                <w:b/>
                <w:lang w:val="sl-SI"/>
              </w:rPr>
              <w:t>Države Programa</w:t>
            </w:r>
          </w:p>
        </w:tc>
        <w:tc>
          <w:tcPr>
            <w:tcW w:w="7202" w:type="dxa"/>
          </w:tcPr>
          <w:p w14:paraId="7D39ABC8" w14:textId="77777777" w:rsidR="00705BF0" w:rsidRPr="005F062F" w:rsidRDefault="00705BF0" w:rsidP="009A2C2A">
            <w:pPr>
              <w:pStyle w:val="GUIDE-NORMAL"/>
              <w:rPr>
                <w:lang w:val="sl-SI"/>
              </w:rPr>
            </w:pPr>
            <w:r w:rsidRPr="005F062F">
              <w:rPr>
                <w:lang w:val="sl-SI"/>
              </w:rPr>
              <w:t>Države, ki niso članice EU, in države članice EU, ki so ustanovile nacionalno agencijo in v celoti sodelujejo v programu Erasmus+. Seznam držav programa Erasmus+ je opisan v delu A tega vodnika, v poglavju „Kdo lahko sodeluje v programu Erasmus+?“.</w:t>
            </w:r>
          </w:p>
        </w:tc>
      </w:tr>
      <w:tr w:rsidR="00705BF0" w:rsidRPr="002C560E" w14:paraId="7D39ABCC" w14:textId="77777777" w:rsidTr="00EC19F7">
        <w:tc>
          <w:tcPr>
            <w:tcW w:w="2088" w:type="dxa"/>
          </w:tcPr>
          <w:p w14:paraId="7D39ABCA" w14:textId="77777777" w:rsidR="00705BF0" w:rsidRPr="005F062F" w:rsidRDefault="00705BF0" w:rsidP="005F062F">
            <w:pPr>
              <w:pStyle w:val="GUIDE-NORMAL"/>
              <w:jc w:val="left"/>
              <w:rPr>
                <w:b/>
                <w:lang w:val="sl-SI"/>
              </w:rPr>
            </w:pPr>
            <w:r w:rsidRPr="005F062F">
              <w:rPr>
                <w:b/>
                <w:lang w:val="sl-SI"/>
              </w:rPr>
              <w:t>Dvojna poklicna pot</w:t>
            </w:r>
          </w:p>
        </w:tc>
        <w:tc>
          <w:tcPr>
            <w:tcW w:w="7202" w:type="dxa"/>
          </w:tcPr>
          <w:p w14:paraId="7D39ABCB" w14:textId="77777777" w:rsidR="00705BF0" w:rsidRPr="005F062F" w:rsidRDefault="00705BF0" w:rsidP="009A2C2A">
            <w:pPr>
              <w:pStyle w:val="GUIDE-NORMAL"/>
              <w:rPr>
                <w:lang w:val="sl-SI"/>
              </w:rPr>
            </w:pPr>
            <w:r w:rsidRPr="005F062F">
              <w:rPr>
                <w:lang w:val="sl-SI"/>
              </w:rPr>
              <w:t>Kombinacija vrhunskega športnega udejstvovanja s splošnim izobraževanjem ali delom.</w:t>
            </w:r>
          </w:p>
        </w:tc>
      </w:tr>
      <w:tr w:rsidR="00705BF0" w:rsidRPr="002C560E" w14:paraId="7D39ABCF" w14:textId="77777777" w:rsidTr="00EC19F7">
        <w:tc>
          <w:tcPr>
            <w:tcW w:w="2088" w:type="dxa"/>
          </w:tcPr>
          <w:p w14:paraId="7D39ABCD" w14:textId="77777777" w:rsidR="00705BF0" w:rsidRPr="005F062F" w:rsidRDefault="00705BF0" w:rsidP="005F062F">
            <w:pPr>
              <w:pStyle w:val="GUIDE-NORMAL"/>
              <w:jc w:val="left"/>
              <w:rPr>
                <w:b/>
                <w:lang w:val="sl-SI"/>
              </w:rPr>
            </w:pPr>
            <w:r w:rsidRPr="005F062F">
              <w:rPr>
                <w:b/>
                <w:lang w:val="sl-SI"/>
              </w:rPr>
              <w:t>Dvojna/večkratna diploma</w:t>
            </w:r>
          </w:p>
        </w:tc>
        <w:tc>
          <w:tcPr>
            <w:tcW w:w="7202" w:type="dxa"/>
          </w:tcPr>
          <w:p w14:paraId="7D39ABCE" w14:textId="77777777" w:rsidR="00705BF0" w:rsidRPr="005F062F" w:rsidRDefault="00705BF0" w:rsidP="009A2C2A">
            <w:pPr>
              <w:pStyle w:val="GUIDE-NORMAL"/>
              <w:rPr>
                <w:lang w:val="sl-SI"/>
              </w:rPr>
            </w:pPr>
            <w:r w:rsidRPr="005F062F">
              <w:rPr>
                <w:lang w:val="sl-SI"/>
              </w:rPr>
              <w:t>Študijski program, ki ga ponujata vsaj dve visokošolski instituciji (dvojna diploma) ali več visokošolskih institucij (večkratna diploma) in pri katerem študent po zaključku študija prejme ločeno potrdilo o diplomi od vsake sodelujoče institucije.</w:t>
            </w:r>
          </w:p>
        </w:tc>
      </w:tr>
      <w:tr w:rsidR="00705BF0" w:rsidRPr="002C560E" w14:paraId="7D39ABD2" w14:textId="77777777" w:rsidTr="00EC19F7">
        <w:tc>
          <w:tcPr>
            <w:tcW w:w="2088" w:type="dxa"/>
          </w:tcPr>
          <w:p w14:paraId="7D39ABD0" w14:textId="77777777" w:rsidR="00705BF0" w:rsidRPr="005F062F" w:rsidRDefault="00705BF0" w:rsidP="005F062F">
            <w:pPr>
              <w:pStyle w:val="GUIDE-NORMAL"/>
              <w:jc w:val="left"/>
              <w:rPr>
                <w:b/>
                <w:lang w:val="sl-SI"/>
              </w:rPr>
            </w:pPr>
            <w:r w:rsidRPr="005F062F">
              <w:rPr>
                <w:b/>
                <w:lang w:val="sl-SI"/>
              </w:rPr>
              <w:t>ECHE (Listina Erasmus za terciarno izobraževanje )</w:t>
            </w:r>
          </w:p>
        </w:tc>
        <w:tc>
          <w:tcPr>
            <w:tcW w:w="7202" w:type="dxa"/>
          </w:tcPr>
          <w:p w14:paraId="7D39ABD1" w14:textId="77777777" w:rsidR="00705BF0" w:rsidRPr="005F062F" w:rsidRDefault="00705BF0" w:rsidP="009A2C2A">
            <w:pPr>
              <w:pStyle w:val="GUIDE-NORMAL"/>
              <w:rPr>
                <w:lang w:val="sl-SI"/>
              </w:rPr>
            </w:pPr>
            <w:r w:rsidRPr="005F062F">
              <w:rPr>
                <w:lang w:val="sl-SI"/>
              </w:rPr>
              <w:t>Akreditacija, ki jo odobri Evropska komisija in ki visokošolskim institucijam iz držav Programa omogoča, da so upravičene do prijave in udeležbe v zvezi z aktivnostmi učenja in sodelovanja v okviru programa Erasmus+. Listina navaja temeljna načela, ki jih mora spoštovati institucija pri organiziranju in izvajanju visokokakovostne mobilnosti in sodelovanja, ter določa pogoje, ki jih mora upoštevati za zagotavljanje visokokakovostnih storitev in postopkov ter zanesljivih in preglednih informacij.</w:t>
            </w:r>
          </w:p>
        </w:tc>
      </w:tr>
      <w:tr w:rsidR="00705BF0" w:rsidRPr="002C560E" w14:paraId="7D39ABD5" w14:textId="77777777" w:rsidTr="00EC19F7">
        <w:tc>
          <w:tcPr>
            <w:tcW w:w="2088" w:type="dxa"/>
          </w:tcPr>
          <w:p w14:paraId="7D39ABD3" w14:textId="77777777" w:rsidR="00705BF0" w:rsidRPr="005F062F" w:rsidRDefault="00705BF0" w:rsidP="005F062F">
            <w:pPr>
              <w:pStyle w:val="GUIDE-NORMAL"/>
              <w:jc w:val="left"/>
              <w:rPr>
                <w:b/>
                <w:lang w:val="sl-SI"/>
              </w:rPr>
            </w:pPr>
            <w:r w:rsidRPr="005F062F">
              <w:rPr>
                <w:b/>
                <w:lang w:val="sl-SI"/>
              </w:rPr>
              <w:t>ECTS (evropski sistem zbiranja in prenašanja kreditnih točk)</w:t>
            </w:r>
          </w:p>
        </w:tc>
        <w:tc>
          <w:tcPr>
            <w:tcW w:w="7202" w:type="dxa"/>
          </w:tcPr>
          <w:p w14:paraId="7D39ABD4" w14:textId="77777777" w:rsidR="00705BF0" w:rsidRPr="005F062F" w:rsidRDefault="00705BF0" w:rsidP="009A2C2A">
            <w:pPr>
              <w:pStyle w:val="GUIDE-NORMAL"/>
              <w:rPr>
                <w:lang w:val="sl-SI"/>
              </w:rPr>
            </w:pPr>
            <w:r w:rsidRPr="005F062F">
              <w:rPr>
                <w:lang w:val="sl-SI"/>
              </w:rPr>
              <w:t>Sistem zbiranja in prenašanja kreditnih točk, ki je usmerjen v študenta in temelji na preglednosti postopkov učenja, poučevanja in ocenjevanja. Njegov namen je olajšati načrtovanje, izvajanje in ocenjevanje študijskih programov in mobilnosti učencev s priznavanjem kvalifikacij in obdobij učenja. To je sistem, ki pomaga zasnovati, opisati in izvajati študijske programe in dodeljevati visokošolske kvalifikacije. Ob uporabi sistema ECTS skupaj z ogrodji kvalifikacij, ki temeljijo na izidih, so študijski programi in kvalifikacije bolj pregledni, priznavanje kvalifikacij pa je lažje.</w:t>
            </w:r>
          </w:p>
        </w:tc>
      </w:tr>
      <w:tr w:rsidR="00705BF0" w:rsidRPr="002C560E" w14:paraId="7D39ABD8" w14:textId="77777777" w:rsidTr="00EC19F7">
        <w:tc>
          <w:tcPr>
            <w:tcW w:w="2088" w:type="dxa"/>
          </w:tcPr>
          <w:p w14:paraId="7D39ABD6" w14:textId="77777777" w:rsidR="00705BF0" w:rsidRPr="005F062F" w:rsidRDefault="00705BF0" w:rsidP="005F062F">
            <w:pPr>
              <w:pStyle w:val="GUIDE-NORMAL"/>
              <w:jc w:val="left"/>
              <w:rPr>
                <w:b/>
                <w:lang w:val="sl-SI"/>
              </w:rPr>
            </w:pPr>
            <w:r w:rsidRPr="005F062F">
              <w:rPr>
                <w:b/>
                <w:lang w:val="sl-SI"/>
              </w:rPr>
              <w:t>ECVET (evropski sistem kreditnih točk v poklicnem izobraževanju in usposabljanju)</w:t>
            </w:r>
          </w:p>
        </w:tc>
        <w:tc>
          <w:tcPr>
            <w:tcW w:w="7202" w:type="dxa"/>
          </w:tcPr>
          <w:p w14:paraId="7D39ABD7" w14:textId="77777777" w:rsidR="00705BF0" w:rsidRPr="005F062F" w:rsidRDefault="00705BF0" w:rsidP="009A2C2A">
            <w:pPr>
              <w:pStyle w:val="GUIDE-NORMAL"/>
              <w:rPr>
                <w:lang w:val="sl-SI"/>
              </w:rPr>
            </w:pPr>
            <w:r w:rsidRPr="005F062F">
              <w:rPr>
                <w:lang w:val="sl-SI"/>
              </w:rPr>
              <w:t>Sistem, katerega cilj je olajšati potrjevanje, priznavanje in pridobivanje spretnosti in znanja, ki so povezani z delom in pridobljeni med bivanjem v drugi državi ali drugih okoljih. Namen sistema ECVET je boljša združljivost med različnimi sistemi poklicnega izobraževanja in usposabljanja po Evropi ter kvalifikacijami teh sistemov. Sistem bi moral oblikovati tehnični okvir za opis kvalifikacij glede na enote učnih izidov in vključuje postopke ocenjevanja, prenosa, zbiranja in priznavanja.</w:t>
            </w:r>
          </w:p>
        </w:tc>
      </w:tr>
      <w:tr w:rsidR="00705BF0" w:rsidRPr="002C560E" w14:paraId="7D39ABDB" w14:textId="77777777" w:rsidTr="00EC19F7">
        <w:tc>
          <w:tcPr>
            <w:tcW w:w="2088" w:type="dxa"/>
          </w:tcPr>
          <w:p w14:paraId="7D39ABD9" w14:textId="77777777" w:rsidR="00705BF0" w:rsidRPr="005F062F" w:rsidRDefault="00705BF0" w:rsidP="005F062F">
            <w:pPr>
              <w:pStyle w:val="GUIDE-NORMAL"/>
              <w:jc w:val="left"/>
              <w:rPr>
                <w:b/>
                <w:lang w:val="sl-SI"/>
              </w:rPr>
            </w:pPr>
            <w:r w:rsidRPr="005F062F">
              <w:rPr>
                <w:b/>
                <w:lang w:val="sl-SI"/>
              </w:rPr>
              <w:t>Enoviti študijski programi</w:t>
            </w:r>
          </w:p>
        </w:tc>
        <w:tc>
          <w:tcPr>
            <w:tcW w:w="7202" w:type="dxa"/>
          </w:tcPr>
          <w:p w14:paraId="7D39ABDA" w14:textId="77777777" w:rsidR="00705BF0" w:rsidRPr="005F062F" w:rsidRDefault="00705BF0" w:rsidP="009A2C2A">
            <w:pPr>
              <w:pStyle w:val="GUIDE-NORMAL"/>
              <w:rPr>
                <w:lang w:val="sl-SI"/>
              </w:rPr>
            </w:pPr>
            <w:r w:rsidRPr="005F062F">
              <w:rPr>
                <w:lang w:val="sl-SI"/>
              </w:rPr>
              <w:t>Celostni/dolgi programi, ki omogočajo pridobitev diplome prve ali druge stopnje in za katere je v nekaterih državah še vedno najbolj značilno trajanje v letih in ne kreditne točke. V večini teh držav se programi, ki ne spadajo v prvo bolonjsko stopnjo, izvajajo na področjih medicine, zobozdravstva, veterine, zdravstvene nege in babištva, vanje pa je večinoma vključenih 1–8 % študentov. Tipična dolžina celostnih programov, ki omogočajo pridobitev reguliranih poklicev, je na splošno 300–360 kreditnih točk ECTS/pet–šest let, odvisno od zadevnega reguliranega poklica.</w:t>
            </w:r>
          </w:p>
        </w:tc>
      </w:tr>
      <w:tr w:rsidR="00705BF0" w:rsidRPr="002C560E" w14:paraId="7D39ABDE" w14:textId="77777777" w:rsidTr="00EC19F7">
        <w:tc>
          <w:tcPr>
            <w:tcW w:w="2088" w:type="dxa"/>
          </w:tcPr>
          <w:p w14:paraId="7D39ABDC" w14:textId="77777777" w:rsidR="00705BF0" w:rsidRPr="005F062F" w:rsidRDefault="00705BF0" w:rsidP="005F062F">
            <w:pPr>
              <w:pStyle w:val="GUIDE-NORMAL"/>
              <w:jc w:val="left"/>
              <w:rPr>
                <w:b/>
                <w:lang w:val="sl-SI"/>
              </w:rPr>
            </w:pPr>
            <w:r w:rsidRPr="005F062F">
              <w:rPr>
                <w:b/>
                <w:lang w:val="sl-SI"/>
              </w:rPr>
              <w:t>EOK (evropsko ogrodje kvalifikacij)</w:t>
            </w:r>
          </w:p>
        </w:tc>
        <w:tc>
          <w:tcPr>
            <w:tcW w:w="7202" w:type="dxa"/>
          </w:tcPr>
          <w:p w14:paraId="7D39ABDD" w14:textId="77777777" w:rsidR="00705BF0" w:rsidRPr="005F062F" w:rsidRDefault="00705BF0" w:rsidP="009A2C2A">
            <w:pPr>
              <w:pStyle w:val="GUIDE-NORMAL"/>
              <w:rPr>
                <w:lang w:val="sl-SI"/>
              </w:rPr>
            </w:pPr>
            <w:r w:rsidRPr="005F062F">
              <w:rPr>
                <w:lang w:val="sl-SI"/>
              </w:rPr>
              <w:t>Skupno evropsko referenčno orodje, ki služi kot sredstvo za pretvorbo med različnimi sistemi izobraževanja in usposabljanja ter njihovimi ravnmi. Cilj tega ogrodja je izboljšati preglednost, primerljivost in prenosljivost kvalifikacij po Evropi, spodbujati mobilnost delavcev in učečih se ter olajšati njihovo vseživljenjsko učenje, kot je opredeljeno v Priporočilu Evropskega parlamenta in Sveta 2008/C 111/01.</w:t>
            </w:r>
          </w:p>
        </w:tc>
      </w:tr>
      <w:tr w:rsidR="00705BF0" w:rsidRPr="002C560E" w14:paraId="7D39ABE1" w14:textId="77777777" w:rsidTr="00EC19F7">
        <w:tc>
          <w:tcPr>
            <w:tcW w:w="2088" w:type="dxa"/>
          </w:tcPr>
          <w:p w14:paraId="7D39ABDF" w14:textId="77777777" w:rsidR="00705BF0" w:rsidRPr="005F062F" w:rsidRDefault="00705BF0" w:rsidP="005F062F">
            <w:pPr>
              <w:pStyle w:val="GUIDE-NORMAL"/>
              <w:jc w:val="left"/>
              <w:rPr>
                <w:b/>
                <w:lang w:val="sl-SI"/>
              </w:rPr>
            </w:pPr>
            <w:r w:rsidRPr="005F062F">
              <w:rPr>
                <w:b/>
                <w:lang w:val="sl-SI"/>
              </w:rPr>
              <w:t>EQAVET (evropski referenčni okvir za zagotavljanje kakovosti poklicnega izobraževanja in usposabljanja)</w:t>
            </w:r>
          </w:p>
        </w:tc>
        <w:tc>
          <w:tcPr>
            <w:tcW w:w="7202" w:type="dxa"/>
          </w:tcPr>
          <w:p w14:paraId="7D39ABE0" w14:textId="77777777" w:rsidR="00705BF0" w:rsidRPr="005F062F" w:rsidRDefault="00705BF0" w:rsidP="009A2C2A">
            <w:pPr>
              <w:pStyle w:val="GUIDE-NORMAL"/>
              <w:rPr>
                <w:lang w:val="sl-SI"/>
              </w:rPr>
            </w:pPr>
            <w:r w:rsidRPr="005F062F">
              <w:rPr>
                <w:lang w:val="sl-SI"/>
              </w:rPr>
              <w:t>Referenčno orodje za oblikovalce politik, ki temelji na ciklu zagotavljanja kakovosti v štirih fazah ter vključuje postavljanje ciljev in načrtovanje, izvajanje, ocenjevanje in pregled. Spoštuje avtonomijo nacionalnih vlad in je prostovoljen sistem, ki ga lahko uporabljajo javni in drugi organi, ki so vključeni v zagotavljanje kakovosti.</w:t>
            </w:r>
          </w:p>
        </w:tc>
      </w:tr>
      <w:tr w:rsidR="00705BF0" w:rsidRPr="002C560E" w14:paraId="7D39ABE4" w14:textId="77777777" w:rsidTr="00EC19F7">
        <w:tc>
          <w:tcPr>
            <w:tcW w:w="2088" w:type="dxa"/>
          </w:tcPr>
          <w:p w14:paraId="7D39ABE2" w14:textId="77777777" w:rsidR="00705BF0" w:rsidRPr="005F062F" w:rsidRDefault="00705BF0" w:rsidP="005F062F">
            <w:pPr>
              <w:pStyle w:val="GUIDE-NORMAL"/>
              <w:jc w:val="left"/>
              <w:rPr>
                <w:b/>
                <w:lang w:val="sl-SI"/>
              </w:rPr>
            </w:pPr>
            <w:r w:rsidRPr="005F062F">
              <w:rPr>
                <w:b/>
                <w:lang w:val="sl-SI"/>
              </w:rPr>
              <w:t>ESCO (večjezična evropska klasifikacija spretnosti, kompetenc, kvalifikacij in poklicev)</w:t>
            </w:r>
          </w:p>
        </w:tc>
        <w:tc>
          <w:tcPr>
            <w:tcW w:w="7202" w:type="dxa"/>
          </w:tcPr>
          <w:p w14:paraId="7D39ABE3" w14:textId="77777777" w:rsidR="00705BF0" w:rsidRPr="005F062F" w:rsidRDefault="00705BF0" w:rsidP="009A2C2A">
            <w:pPr>
              <w:pStyle w:val="GUIDE-NORMAL"/>
              <w:rPr>
                <w:rStyle w:val="Guide-Condensed-01"/>
                <w:lang w:val="sl-SI"/>
              </w:rPr>
            </w:pPr>
            <w:r w:rsidRPr="005F062F">
              <w:rPr>
                <w:rStyle w:val="Guide-Condensed-01"/>
                <w:lang w:val="sl-SI"/>
              </w:rPr>
              <w:t>Opredeljuje in razvršča spretnosti in kompetence, kvalifikacije in poklice, ki so pomembni za trg dela EU ter izobraževanje in usposabljanje, v 25 evropskih jezikih. Sistem zagotavlja poklicne profile in prikazuje razmerja med poklici, spretnostmi, kompetencami in kvalifikacijami. ESCO je bil razvit v odprti obliki informacijskih tehnologij in je na voljo brezplačno za vse.</w:t>
            </w:r>
          </w:p>
        </w:tc>
      </w:tr>
      <w:tr w:rsidR="00705BF0" w:rsidRPr="002C560E" w14:paraId="7D39ABE7" w14:textId="77777777" w:rsidTr="00EC19F7">
        <w:tc>
          <w:tcPr>
            <w:tcW w:w="2088" w:type="dxa"/>
          </w:tcPr>
          <w:p w14:paraId="7D39ABE5" w14:textId="77777777" w:rsidR="00705BF0" w:rsidRPr="005F062F" w:rsidRDefault="00705BF0" w:rsidP="005F062F">
            <w:pPr>
              <w:pStyle w:val="GUIDE-NORMAL"/>
              <w:jc w:val="left"/>
              <w:rPr>
                <w:b/>
                <w:lang w:val="sl-SI"/>
              </w:rPr>
            </w:pPr>
            <w:r w:rsidRPr="005F062F">
              <w:rPr>
                <w:b/>
                <w:bCs/>
                <w:lang w:val="sl-SI"/>
              </w:rPr>
              <w:t>Europass</w:t>
            </w:r>
          </w:p>
        </w:tc>
        <w:tc>
          <w:tcPr>
            <w:tcW w:w="7202" w:type="dxa"/>
          </w:tcPr>
          <w:p w14:paraId="7D39ABE6" w14:textId="77777777" w:rsidR="00705BF0" w:rsidRPr="005F062F" w:rsidRDefault="00705BF0" w:rsidP="009A2C2A">
            <w:pPr>
              <w:pStyle w:val="GUIDE-NORMAL"/>
              <w:rPr>
                <w:lang w:val="sl-SI"/>
              </w:rPr>
            </w:pPr>
            <w:r w:rsidRPr="005F062F">
              <w:rPr>
                <w:lang w:val="sl-SI"/>
              </w:rPr>
              <w:t>Europass je portfelj petih različnih dokumentov in elektronska mapa,</w:t>
            </w:r>
            <w:r w:rsidRPr="005F062F">
              <w:rPr>
                <w:spacing w:val="-16"/>
                <w:lang w:val="sl-SI"/>
              </w:rPr>
              <w:t xml:space="preserve"> </w:t>
            </w:r>
            <w:r w:rsidRPr="005F062F">
              <w:rPr>
                <w:lang w:val="sl-SI"/>
              </w:rPr>
              <w:t>katere</w:t>
            </w:r>
            <w:r w:rsidRPr="005F062F">
              <w:rPr>
                <w:spacing w:val="-16"/>
                <w:lang w:val="sl-SI"/>
              </w:rPr>
              <w:t xml:space="preserve"> </w:t>
            </w:r>
            <w:r w:rsidRPr="005F062F">
              <w:rPr>
                <w:lang w:val="sl-SI"/>
              </w:rPr>
              <w:t>namen</w:t>
            </w:r>
            <w:r w:rsidRPr="005F062F">
              <w:rPr>
                <w:spacing w:val="-16"/>
                <w:lang w:val="sl-SI"/>
              </w:rPr>
              <w:t xml:space="preserve"> </w:t>
            </w:r>
            <w:r w:rsidRPr="005F062F">
              <w:rPr>
                <w:lang w:val="sl-SI"/>
              </w:rPr>
              <w:t>je</w:t>
            </w:r>
            <w:r w:rsidRPr="005F062F">
              <w:rPr>
                <w:spacing w:val="-16"/>
                <w:lang w:val="sl-SI"/>
              </w:rPr>
              <w:t xml:space="preserve"> </w:t>
            </w:r>
            <w:r w:rsidRPr="005F062F">
              <w:rPr>
                <w:lang w:val="sl-SI"/>
              </w:rPr>
              <w:t>zajeti</w:t>
            </w:r>
            <w:r w:rsidRPr="005F062F">
              <w:rPr>
                <w:spacing w:val="-16"/>
                <w:lang w:val="sl-SI"/>
              </w:rPr>
              <w:t xml:space="preserve"> </w:t>
            </w:r>
            <w:r w:rsidRPr="005F062F">
              <w:rPr>
                <w:lang w:val="sl-SI"/>
              </w:rPr>
              <w:t>opis</w:t>
            </w:r>
            <w:r w:rsidRPr="005F062F">
              <w:rPr>
                <w:spacing w:val="-15"/>
                <w:lang w:val="sl-SI"/>
              </w:rPr>
              <w:t xml:space="preserve"> </w:t>
            </w:r>
            <w:r w:rsidRPr="005F062F">
              <w:rPr>
                <w:lang w:val="sl-SI"/>
              </w:rPr>
              <w:t>vseh</w:t>
            </w:r>
            <w:r w:rsidRPr="005F062F">
              <w:rPr>
                <w:spacing w:val="-16"/>
                <w:lang w:val="sl-SI"/>
              </w:rPr>
              <w:t xml:space="preserve"> </w:t>
            </w:r>
            <w:r w:rsidRPr="005F062F">
              <w:rPr>
                <w:lang w:val="sl-SI"/>
              </w:rPr>
              <w:t>učnih</w:t>
            </w:r>
            <w:r w:rsidRPr="005F062F">
              <w:rPr>
                <w:spacing w:val="-16"/>
                <w:lang w:val="sl-SI"/>
              </w:rPr>
              <w:t xml:space="preserve"> </w:t>
            </w:r>
            <w:r w:rsidRPr="005F062F">
              <w:rPr>
                <w:lang w:val="sl-SI"/>
              </w:rPr>
              <w:t>dosežkov,</w:t>
            </w:r>
            <w:r w:rsidRPr="005F062F">
              <w:rPr>
                <w:spacing w:val="-16"/>
                <w:lang w:val="sl-SI"/>
              </w:rPr>
              <w:t xml:space="preserve"> </w:t>
            </w:r>
            <w:r w:rsidRPr="005F062F">
              <w:rPr>
                <w:lang w:val="sl-SI"/>
              </w:rPr>
              <w:t>uradnih kvalifikacij, delovnih izkušenj, spretnosti in kompetenc, ki jih je imetnik pridobil v določenem času. Ti dokumenti so: življenjepis Europass, priloga k diplomi, priloga k spričevalu, mobilnost Europass</w:t>
            </w:r>
            <w:r w:rsidRPr="005F062F">
              <w:rPr>
                <w:spacing w:val="-23"/>
                <w:lang w:val="sl-SI"/>
              </w:rPr>
              <w:t xml:space="preserve"> </w:t>
            </w:r>
            <w:r w:rsidRPr="005F062F">
              <w:rPr>
                <w:lang w:val="sl-SI"/>
              </w:rPr>
              <w:t>in</w:t>
            </w:r>
            <w:r w:rsidRPr="005F062F">
              <w:rPr>
                <w:spacing w:val="-23"/>
                <w:lang w:val="sl-SI"/>
              </w:rPr>
              <w:t xml:space="preserve"> </w:t>
            </w:r>
            <w:r w:rsidRPr="005F062F">
              <w:rPr>
                <w:lang w:val="sl-SI"/>
              </w:rPr>
              <w:t>jezikovna</w:t>
            </w:r>
            <w:r w:rsidRPr="005F062F">
              <w:rPr>
                <w:spacing w:val="-23"/>
                <w:lang w:val="sl-SI"/>
              </w:rPr>
              <w:t xml:space="preserve"> </w:t>
            </w:r>
            <w:r w:rsidRPr="005F062F">
              <w:rPr>
                <w:lang w:val="sl-SI"/>
              </w:rPr>
              <w:t>izkaznica.</w:t>
            </w:r>
            <w:r w:rsidRPr="005F062F">
              <w:rPr>
                <w:spacing w:val="-23"/>
                <w:lang w:val="sl-SI"/>
              </w:rPr>
              <w:t xml:space="preserve"> </w:t>
            </w:r>
            <w:r w:rsidRPr="005F062F">
              <w:rPr>
                <w:lang w:val="sl-SI"/>
              </w:rPr>
              <w:t>Europass</w:t>
            </w:r>
            <w:r w:rsidRPr="005F062F">
              <w:rPr>
                <w:spacing w:val="-23"/>
                <w:lang w:val="sl-SI"/>
              </w:rPr>
              <w:t xml:space="preserve"> </w:t>
            </w:r>
            <w:r w:rsidRPr="005F062F">
              <w:rPr>
                <w:lang w:val="sl-SI"/>
              </w:rPr>
              <w:t>zajema</w:t>
            </w:r>
            <w:r w:rsidRPr="005F062F">
              <w:rPr>
                <w:spacing w:val="-23"/>
                <w:lang w:val="sl-SI"/>
              </w:rPr>
              <w:t xml:space="preserve"> </w:t>
            </w:r>
            <w:r w:rsidRPr="005F062F">
              <w:rPr>
                <w:lang w:val="sl-SI"/>
              </w:rPr>
              <w:t>tudi</w:t>
            </w:r>
            <w:r w:rsidRPr="005F062F">
              <w:rPr>
                <w:spacing w:val="-23"/>
                <w:lang w:val="sl-SI"/>
              </w:rPr>
              <w:t xml:space="preserve"> </w:t>
            </w:r>
            <w:r w:rsidRPr="005F062F">
              <w:rPr>
                <w:lang w:val="sl-SI"/>
              </w:rPr>
              <w:t>evropsko mapo kompetenc, uporabniku prijazno elektronsko mapo, ki pomaga imetniku ustvariti osebni in modularni seznam spretnosti in kvalifikacij. Cilj orodja Europass je olajšati mobilnost</w:t>
            </w:r>
            <w:r w:rsidRPr="005F062F">
              <w:rPr>
                <w:spacing w:val="-21"/>
                <w:lang w:val="sl-SI"/>
              </w:rPr>
              <w:t xml:space="preserve"> </w:t>
            </w:r>
            <w:r w:rsidRPr="005F062F">
              <w:rPr>
                <w:lang w:val="sl-SI"/>
              </w:rPr>
              <w:t>in</w:t>
            </w:r>
            <w:r w:rsidRPr="005F062F">
              <w:rPr>
                <w:spacing w:val="-21"/>
                <w:lang w:val="sl-SI"/>
              </w:rPr>
              <w:t xml:space="preserve"> </w:t>
            </w:r>
            <w:r w:rsidRPr="005F062F">
              <w:rPr>
                <w:lang w:val="sl-SI"/>
              </w:rPr>
              <w:t>izboljšati</w:t>
            </w:r>
            <w:r w:rsidRPr="005F062F">
              <w:rPr>
                <w:spacing w:val="-21"/>
                <w:lang w:val="sl-SI"/>
              </w:rPr>
              <w:t xml:space="preserve"> </w:t>
            </w:r>
            <w:r w:rsidRPr="005F062F">
              <w:rPr>
                <w:lang w:val="sl-SI"/>
              </w:rPr>
              <w:t>možnosti</w:t>
            </w:r>
            <w:r w:rsidRPr="005F062F">
              <w:rPr>
                <w:spacing w:val="-21"/>
                <w:lang w:val="sl-SI"/>
              </w:rPr>
              <w:t xml:space="preserve"> </w:t>
            </w:r>
            <w:r w:rsidRPr="005F062F">
              <w:rPr>
                <w:lang w:val="sl-SI"/>
              </w:rPr>
              <w:t>za</w:t>
            </w:r>
            <w:r w:rsidRPr="005F062F">
              <w:rPr>
                <w:spacing w:val="-21"/>
                <w:lang w:val="sl-SI"/>
              </w:rPr>
              <w:t xml:space="preserve"> </w:t>
            </w:r>
            <w:r w:rsidRPr="005F062F">
              <w:rPr>
                <w:lang w:val="sl-SI"/>
              </w:rPr>
              <w:t>zaposlovanje</w:t>
            </w:r>
            <w:r w:rsidRPr="005F062F">
              <w:rPr>
                <w:spacing w:val="-21"/>
                <w:lang w:val="sl-SI"/>
              </w:rPr>
              <w:t xml:space="preserve"> </w:t>
            </w:r>
            <w:r w:rsidRPr="005F062F">
              <w:rPr>
                <w:lang w:val="sl-SI"/>
              </w:rPr>
              <w:t>in</w:t>
            </w:r>
            <w:r w:rsidRPr="005F062F">
              <w:rPr>
                <w:spacing w:val="-21"/>
                <w:lang w:val="sl-SI"/>
              </w:rPr>
              <w:t xml:space="preserve"> </w:t>
            </w:r>
            <w:r w:rsidRPr="005F062F">
              <w:rPr>
                <w:lang w:val="sl-SI"/>
              </w:rPr>
              <w:t>vseživljenjsko učenje v</w:t>
            </w:r>
            <w:r w:rsidRPr="005F062F">
              <w:rPr>
                <w:spacing w:val="-5"/>
                <w:lang w:val="sl-SI"/>
              </w:rPr>
              <w:t xml:space="preserve"> </w:t>
            </w:r>
            <w:r w:rsidRPr="005F062F">
              <w:rPr>
                <w:lang w:val="sl-SI"/>
              </w:rPr>
              <w:t>Evropi.</w:t>
            </w:r>
          </w:p>
        </w:tc>
      </w:tr>
      <w:tr w:rsidR="00705BF0" w:rsidRPr="002C560E" w14:paraId="7D39ABEA" w14:textId="77777777" w:rsidTr="00EC19F7">
        <w:tc>
          <w:tcPr>
            <w:tcW w:w="2088" w:type="dxa"/>
          </w:tcPr>
          <w:p w14:paraId="7D39ABE8" w14:textId="77777777" w:rsidR="00705BF0" w:rsidRPr="005F062F" w:rsidRDefault="00705BF0" w:rsidP="005F062F">
            <w:pPr>
              <w:pStyle w:val="GUIDE-NORMAL"/>
              <w:jc w:val="left"/>
              <w:rPr>
                <w:b/>
                <w:lang w:val="sl-SI"/>
              </w:rPr>
            </w:pPr>
            <w:r w:rsidRPr="005F062F">
              <w:rPr>
                <w:b/>
                <w:lang w:val="sl-SI"/>
              </w:rPr>
              <w:t>Evropska mladinska nevladna organizacija</w:t>
            </w:r>
          </w:p>
        </w:tc>
        <w:tc>
          <w:tcPr>
            <w:tcW w:w="7202" w:type="dxa"/>
          </w:tcPr>
          <w:p w14:paraId="7D39ABE9" w14:textId="77777777" w:rsidR="00705BF0" w:rsidRPr="005F062F" w:rsidRDefault="00705BF0" w:rsidP="009A2C2A">
            <w:pPr>
              <w:pStyle w:val="GUIDE-NORMAL"/>
              <w:rPr>
                <w:lang w:val="sl-SI"/>
              </w:rPr>
            </w:pPr>
            <w:r w:rsidRPr="005F062F">
              <w:rPr>
                <w:lang w:val="sl-SI"/>
              </w:rPr>
              <w:t>NVO, ki: deluje prek uradno priznane strukture, ki jo sestavljajo a) evropski organ/sekretariat (prijavitelj), ki ima na dan oddaje vloge vsaj že eno leto zakoniti sedež v državi Programa, in b) nacionalne organizacije/podružnice v vsaj dvanajstih državah Programa, ki so z evropskim organom/sekretariatom zakonito povezane; 2) je aktivna na področju mladine in vodi aktivnosti, ki podpirajo izvajanje ukrepov strategije EU za mlade; 3) vključuje mlade v upravljanje in vodenje organizacije.</w:t>
            </w:r>
          </w:p>
        </w:tc>
      </w:tr>
      <w:tr w:rsidR="00705BF0" w:rsidRPr="002C560E" w14:paraId="7D39ABED" w14:textId="77777777" w:rsidTr="00EC19F7">
        <w:tc>
          <w:tcPr>
            <w:tcW w:w="2088" w:type="dxa"/>
          </w:tcPr>
          <w:p w14:paraId="7D39ABEB" w14:textId="77777777" w:rsidR="00705BF0" w:rsidRPr="005F062F" w:rsidRDefault="00705BF0" w:rsidP="005F062F">
            <w:pPr>
              <w:pStyle w:val="GUIDE-NORMAL"/>
              <w:jc w:val="left"/>
              <w:rPr>
                <w:b/>
                <w:lang w:val="sl-SI"/>
              </w:rPr>
            </w:pPr>
            <w:r w:rsidRPr="005F062F">
              <w:rPr>
                <w:b/>
                <w:lang w:val="sl-SI"/>
              </w:rPr>
              <w:t>Evropski razvojni načrt</w:t>
            </w:r>
          </w:p>
        </w:tc>
        <w:tc>
          <w:tcPr>
            <w:tcW w:w="7202" w:type="dxa"/>
          </w:tcPr>
          <w:p w14:paraId="7D39ABEC" w14:textId="77777777" w:rsidR="00705BF0" w:rsidRPr="005F062F" w:rsidRDefault="00705BF0" w:rsidP="009A2C2A">
            <w:pPr>
              <w:pStyle w:val="GUIDE-NORMAL"/>
              <w:rPr>
                <w:lang w:val="sl-SI"/>
              </w:rPr>
            </w:pPr>
            <w:r w:rsidRPr="005F062F">
              <w:rPr>
                <w:lang w:val="sl-SI"/>
              </w:rPr>
              <w:t>Dokument za šole in organizacije za izobraževanje odraslih, ki opisuje potrebe institucije/organizacije glede razvoja kakovosti in</w:t>
            </w:r>
            <w:r w:rsidRPr="005F062F">
              <w:rPr>
                <w:spacing w:val="-9"/>
                <w:lang w:val="sl-SI"/>
              </w:rPr>
              <w:t xml:space="preserve"> </w:t>
            </w:r>
            <w:r w:rsidRPr="005F062F">
              <w:rPr>
                <w:lang w:val="sl-SI"/>
              </w:rPr>
              <w:t>internacionalizacije</w:t>
            </w:r>
            <w:r w:rsidRPr="005F062F">
              <w:rPr>
                <w:spacing w:val="-9"/>
                <w:lang w:val="sl-SI"/>
              </w:rPr>
              <w:t xml:space="preserve"> </w:t>
            </w:r>
            <w:r w:rsidRPr="005F062F">
              <w:rPr>
                <w:lang w:val="sl-SI"/>
              </w:rPr>
              <w:t>ter</w:t>
            </w:r>
            <w:r w:rsidRPr="005F062F">
              <w:rPr>
                <w:spacing w:val="-9"/>
                <w:lang w:val="sl-SI"/>
              </w:rPr>
              <w:t xml:space="preserve"> </w:t>
            </w:r>
            <w:r w:rsidRPr="005F062F">
              <w:rPr>
                <w:lang w:val="sl-SI"/>
              </w:rPr>
              <w:t>način,</w:t>
            </w:r>
            <w:r w:rsidRPr="005F062F">
              <w:rPr>
                <w:spacing w:val="-9"/>
                <w:lang w:val="sl-SI"/>
              </w:rPr>
              <w:t xml:space="preserve"> </w:t>
            </w:r>
            <w:r w:rsidRPr="005F062F">
              <w:rPr>
                <w:lang w:val="sl-SI"/>
              </w:rPr>
              <w:t>kako</w:t>
            </w:r>
            <w:r w:rsidRPr="005F062F">
              <w:rPr>
                <w:spacing w:val="-9"/>
                <w:lang w:val="sl-SI"/>
              </w:rPr>
              <w:t xml:space="preserve"> </w:t>
            </w:r>
            <w:r w:rsidRPr="005F062F">
              <w:rPr>
                <w:lang w:val="sl-SI"/>
              </w:rPr>
              <w:t>bodo</w:t>
            </w:r>
            <w:r w:rsidRPr="005F062F">
              <w:rPr>
                <w:spacing w:val="-9"/>
                <w:lang w:val="sl-SI"/>
              </w:rPr>
              <w:t xml:space="preserve"> </w:t>
            </w:r>
            <w:r w:rsidRPr="005F062F">
              <w:rPr>
                <w:lang w:val="sl-SI"/>
              </w:rPr>
              <w:t>načrtovane</w:t>
            </w:r>
            <w:r w:rsidRPr="005F062F">
              <w:rPr>
                <w:spacing w:val="-9"/>
                <w:lang w:val="sl-SI"/>
              </w:rPr>
              <w:t xml:space="preserve"> </w:t>
            </w:r>
            <w:r w:rsidRPr="005F062F">
              <w:rPr>
                <w:lang w:val="sl-SI"/>
              </w:rPr>
              <w:t>evropske aktivnosti izpolnile te potrebe. Evropski razvojni načrt je del prijavnega obrazca za šole in organizacije za izobraževanje odraslih, ki se prijavljajo za učno mobilnost osebja v okviru ključnega ukrepa</w:t>
            </w:r>
            <w:r w:rsidRPr="005F062F">
              <w:rPr>
                <w:spacing w:val="-5"/>
                <w:lang w:val="sl-SI"/>
              </w:rPr>
              <w:t xml:space="preserve"> </w:t>
            </w:r>
            <w:r w:rsidRPr="005F062F">
              <w:rPr>
                <w:lang w:val="sl-SI"/>
              </w:rPr>
              <w:t>1.</w:t>
            </w:r>
          </w:p>
        </w:tc>
      </w:tr>
      <w:tr w:rsidR="00705BF0" w:rsidRPr="002C560E" w14:paraId="7D39ABF0" w14:textId="77777777" w:rsidTr="00EC19F7">
        <w:tc>
          <w:tcPr>
            <w:tcW w:w="2088" w:type="dxa"/>
          </w:tcPr>
          <w:p w14:paraId="7D39ABEE" w14:textId="77777777" w:rsidR="00705BF0" w:rsidRPr="005F062F" w:rsidRDefault="00705BF0" w:rsidP="005F062F">
            <w:pPr>
              <w:pStyle w:val="GUIDE-NORMAL"/>
              <w:jc w:val="left"/>
              <w:rPr>
                <w:b/>
                <w:lang w:val="sl-SI"/>
              </w:rPr>
            </w:pPr>
            <w:r w:rsidRPr="005F062F">
              <w:rPr>
                <w:b/>
                <w:lang w:val="sl-SI"/>
              </w:rPr>
              <w:t>Izobraževalni obisk na delovnem mestu (praktično učenje)</w:t>
            </w:r>
          </w:p>
        </w:tc>
        <w:tc>
          <w:tcPr>
            <w:tcW w:w="7202" w:type="dxa"/>
          </w:tcPr>
          <w:p w14:paraId="7D39ABEF" w14:textId="77777777" w:rsidR="00705BF0" w:rsidRPr="005F062F" w:rsidRDefault="00705BF0" w:rsidP="009A2C2A">
            <w:pPr>
              <w:pStyle w:val="GUIDE-NORMAL"/>
              <w:rPr>
                <w:lang w:val="sl-SI"/>
              </w:rPr>
            </w:pPr>
            <w:r w:rsidRPr="005F062F">
              <w:rPr>
                <w:lang w:val="sl-SI"/>
              </w:rPr>
              <w:t>Kratko obdobje v partnerski organizaciji v drugi državi z namenom usposabljanja na podlagi spremljanja delavcev pri njihovem vsakodnevnem delu v organizaciji gostiteljici, pri čemer se izmenjajo dobre prakse, pridobijo spretnosti ter znanje in/ali zgradijo dolgoročna partnerstva na osnovi opazovanja s sodelovanjem.</w:t>
            </w:r>
          </w:p>
        </w:tc>
      </w:tr>
      <w:tr w:rsidR="00705BF0" w:rsidRPr="002C560E" w14:paraId="7D39ABF3" w14:textId="77777777" w:rsidTr="00EC19F7">
        <w:tc>
          <w:tcPr>
            <w:tcW w:w="2088" w:type="dxa"/>
          </w:tcPr>
          <w:p w14:paraId="7D39ABF1" w14:textId="77777777" w:rsidR="00705BF0" w:rsidRPr="005F062F" w:rsidRDefault="00705BF0" w:rsidP="005F062F">
            <w:pPr>
              <w:pStyle w:val="GUIDE-NORMAL"/>
              <w:jc w:val="left"/>
              <w:rPr>
                <w:b/>
                <w:lang w:val="sl-SI"/>
              </w:rPr>
            </w:pPr>
            <w:r w:rsidRPr="005F062F">
              <w:rPr>
                <w:b/>
                <w:lang w:val="sl-SI"/>
              </w:rPr>
              <w:t>Izobraževanje odraslih</w:t>
            </w:r>
          </w:p>
        </w:tc>
        <w:tc>
          <w:tcPr>
            <w:tcW w:w="7202" w:type="dxa"/>
          </w:tcPr>
          <w:p w14:paraId="7D39ABF2" w14:textId="77777777" w:rsidR="00705BF0" w:rsidRPr="005F062F" w:rsidRDefault="00705BF0" w:rsidP="009A2C2A">
            <w:pPr>
              <w:pStyle w:val="GUIDE-NORMAL"/>
              <w:rPr>
                <w:lang w:val="sl-SI"/>
              </w:rPr>
            </w:pPr>
            <w:r w:rsidRPr="005F062F">
              <w:rPr>
                <w:lang w:val="sl-SI"/>
              </w:rPr>
              <w:t>Vse oblike nepoklicnega izobraževanja odraslih, tj. formalnega, neformalnega ali priložnostnega (za nadaljevalno poklicno usposabljanje glej „PIU“).</w:t>
            </w:r>
          </w:p>
        </w:tc>
      </w:tr>
      <w:tr w:rsidR="00705BF0" w:rsidRPr="002C560E" w14:paraId="7D39ABF6" w14:textId="77777777" w:rsidTr="00EC19F7">
        <w:tc>
          <w:tcPr>
            <w:tcW w:w="2088" w:type="dxa"/>
          </w:tcPr>
          <w:p w14:paraId="7D39ABF4" w14:textId="77777777" w:rsidR="00705BF0" w:rsidRPr="005F062F" w:rsidRDefault="00705BF0" w:rsidP="005F062F">
            <w:pPr>
              <w:pStyle w:val="GUIDE-NORMAL"/>
              <w:jc w:val="left"/>
              <w:rPr>
                <w:b/>
                <w:lang w:val="sl-SI"/>
              </w:rPr>
            </w:pPr>
            <w:r w:rsidRPr="005F062F">
              <w:rPr>
                <w:b/>
                <w:lang w:val="sl-SI"/>
              </w:rPr>
              <w:t>Javni razpis</w:t>
            </w:r>
          </w:p>
        </w:tc>
        <w:tc>
          <w:tcPr>
            <w:tcW w:w="7202" w:type="dxa"/>
          </w:tcPr>
          <w:p w14:paraId="7D39ABF5" w14:textId="77777777" w:rsidR="00705BF0" w:rsidRPr="005F062F" w:rsidRDefault="00705BF0" w:rsidP="009A2C2A">
            <w:pPr>
              <w:pStyle w:val="GUIDE-NORMAL"/>
              <w:rPr>
                <w:lang w:val="sl-SI"/>
              </w:rPr>
            </w:pPr>
            <w:r w:rsidRPr="005F062F">
              <w:rPr>
                <w:lang w:val="sl-SI"/>
              </w:rPr>
              <w:t>Razpis, ki ga objavi Komisija ali ki se objavi v njenem imenu, za predložitev, v določenem roku, predloga za ukrepanje, ki ustreza zastavljenim ciljem in izpolnjuje zahtevane pogoje. Razpisi se objavijo v Uradnem listu Evropske unije (serija C) in/ali na ustreznih spletiščih Komisije ter nacionalne ali Izvajalske agencije.</w:t>
            </w:r>
          </w:p>
        </w:tc>
      </w:tr>
      <w:tr w:rsidR="00705BF0" w:rsidRPr="002C560E" w14:paraId="7D39ABF9" w14:textId="77777777" w:rsidTr="00EC19F7">
        <w:tc>
          <w:tcPr>
            <w:tcW w:w="2088" w:type="dxa"/>
          </w:tcPr>
          <w:p w14:paraId="7D39ABF7" w14:textId="77777777" w:rsidR="00705BF0" w:rsidRPr="005F062F" w:rsidRDefault="00705BF0" w:rsidP="005F062F">
            <w:pPr>
              <w:pStyle w:val="GUIDE-NORMAL"/>
              <w:jc w:val="left"/>
              <w:rPr>
                <w:b/>
                <w:lang w:val="sl-SI"/>
              </w:rPr>
            </w:pPr>
            <w:r w:rsidRPr="005F062F">
              <w:rPr>
                <w:b/>
                <w:lang w:val="sl-SI"/>
              </w:rPr>
              <w:t>Ključne kompetence</w:t>
            </w:r>
          </w:p>
        </w:tc>
        <w:tc>
          <w:tcPr>
            <w:tcW w:w="7202" w:type="dxa"/>
          </w:tcPr>
          <w:p w14:paraId="7D39ABF8" w14:textId="77777777" w:rsidR="00705BF0" w:rsidRPr="005F062F" w:rsidRDefault="00705BF0" w:rsidP="009A2C2A">
            <w:pPr>
              <w:pStyle w:val="GUIDE-NORMAL"/>
              <w:rPr>
                <w:lang w:val="sl-SI"/>
              </w:rPr>
            </w:pPr>
            <w:r w:rsidRPr="005F062F">
              <w:rPr>
                <w:lang w:val="sl-SI"/>
              </w:rPr>
              <w:t>Osnovni nabor znanja, veščin, spretnosti in nazorov, ki jih vsi posamezniki potrebujejo za osebno izpolnitev in razvoj, aktivno državljanstvo, socialno vključenost in zaposlitev, kot je opisano v Priporočilu 2006/962/ES Evropskega parlamenta in Sveta.</w:t>
            </w:r>
          </w:p>
        </w:tc>
      </w:tr>
      <w:tr w:rsidR="00705BF0" w:rsidRPr="002C560E" w14:paraId="7D39ABFC" w14:textId="77777777" w:rsidTr="00EC19F7">
        <w:tc>
          <w:tcPr>
            <w:tcW w:w="2088" w:type="dxa"/>
          </w:tcPr>
          <w:p w14:paraId="7D39ABFA" w14:textId="77777777" w:rsidR="00705BF0" w:rsidRPr="005F062F" w:rsidRDefault="00705BF0" w:rsidP="005F062F">
            <w:pPr>
              <w:pStyle w:val="GUIDE-NORMAL"/>
              <w:jc w:val="left"/>
              <w:rPr>
                <w:b/>
                <w:lang w:val="sl-SI"/>
              </w:rPr>
            </w:pPr>
            <w:r w:rsidRPr="005F062F">
              <w:rPr>
                <w:b/>
                <w:lang w:val="sl-SI"/>
              </w:rPr>
              <w:t>Kombinirano učenje</w:t>
            </w:r>
          </w:p>
        </w:tc>
        <w:tc>
          <w:tcPr>
            <w:tcW w:w="7202" w:type="dxa"/>
          </w:tcPr>
          <w:p w14:paraId="7D39ABFB" w14:textId="77777777" w:rsidR="00705BF0" w:rsidRPr="005F062F" w:rsidRDefault="00705BF0" w:rsidP="009A2C2A">
            <w:pPr>
              <w:pStyle w:val="GUIDE-NORMAL"/>
              <w:rPr>
                <w:lang w:val="sl-SI"/>
              </w:rPr>
            </w:pPr>
            <w:r w:rsidRPr="005F062F">
              <w:rPr>
                <w:lang w:val="sl-SI"/>
              </w:rPr>
              <w:t>Vrsta študija, ki vključuje učenje s kombinacijo načinov. Pogosto se uporablja v posebnih okoliščinah, tj. tečajih, pri katerih se uporablja kombinacija tradicionalnega osebnega poučevanja na delavnicah ali seminarjih in spletnih tehnik poučevanja na daljavo (npr. prek interneta, televizije, konferenčnih klicev itd.).</w:t>
            </w:r>
          </w:p>
        </w:tc>
      </w:tr>
      <w:tr w:rsidR="00705BF0" w:rsidRPr="002C560E" w14:paraId="7D39ABFF" w14:textId="77777777" w:rsidTr="00EC19F7">
        <w:tc>
          <w:tcPr>
            <w:tcW w:w="2088" w:type="dxa"/>
          </w:tcPr>
          <w:p w14:paraId="7D39ABFD" w14:textId="77777777" w:rsidR="00705BF0" w:rsidRPr="005F062F" w:rsidRDefault="00705BF0" w:rsidP="005F062F">
            <w:pPr>
              <w:pStyle w:val="GUIDE-NORMAL"/>
              <w:jc w:val="left"/>
              <w:rPr>
                <w:b/>
                <w:lang w:val="sl-SI"/>
              </w:rPr>
            </w:pPr>
            <w:r w:rsidRPr="005F062F">
              <w:rPr>
                <w:b/>
                <w:lang w:val="sl-SI"/>
              </w:rPr>
              <w:t>Konzorcij</w:t>
            </w:r>
          </w:p>
        </w:tc>
        <w:tc>
          <w:tcPr>
            <w:tcW w:w="7202" w:type="dxa"/>
          </w:tcPr>
          <w:p w14:paraId="7D39ABFE" w14:textId="77777777" w:rsidR="00705BF0" w:rsidRPr="005F062F" w:rsidRDefault="00705BF0" w:rsidP="009A2C2A">
            <w:pPr>
              <w:pStyle w:val="GUIDE-NORMAL"/>
              <w:rPr>
                <w:lang w:val="sl-SI"/>
              </w:rPr>
            </w:pPr>
            <w:r w:rsidRPr="005F062F">
              <w:rPr>
                <w:lang w:val="sl-SI"/>
              </w:rPr>
              <w:t>Dve ali več sodelujočih organizacij, ki se združijo, da bi pripravile, izvajale in nadalje izvajale projekt ali aktivnost projekta. Konzorcij je lahko nacionalen (tj. vključuje organizacije s sedežem v isti državi) ali mednaroden (vključuje sodelujoče organizacije iz različnih držav).</w:t>
            </w:r>
          </w:p>
        </w:tc>
      </w:tr>
      <w:tr w:rsidR="00705BF0" w:rsidRPr="002C560E" w14:paraId="7D39AC02" w14:textId="77777777" w:rsidTr="00EC19F7">
        <w:tc>
          <w:tcPr>
            <w:tcW w:w="2088" w:type="dxa"/>
          </w:tcPr>
          <w:p w14:paraId="7D39AC00" w14:textId="77777777" w:rsidR="00705BF0" w:rsidRPr="005F062F" w:rsidRDefault="00705BF0" w:rsidP="005F062F">
            <w:pPr>
              <w:pStyle w:val="GUIDE-NORMAL"/>
              <w:jc w:val="left"/>
              <w:rPr>
                <w:b/>
                <w:lang w:val="sl-SI"/>
              </w:rPr>
            </w:pPr>
            <w:r w:rsidRPr="005F062F">
              <w:rPr>
                <w:b/>
                <w:lang w:val="sl-SI"/>
              </w:rPr>
              <w:t>Koordinator/koordinatorska organizacija</w:t>
            </w:r>
          </w:p>
        </w:tc>
        <w:tc>
          <w:tcPr>
            <w:tcW w:w="7202" w:type="dxa"/>
          </w:tcPr>
          <w:p w14:paraId="7D39AC01" w14:textId="77777777" w:rsidR="00705BF0" w:rsidRPr="005F062F" w:rsidRDefault="00705BF0" w:rsidP="009A2C2A">
            <w:pPr>
              <w:pStyle w:val="GUIDE-NORMAL"/>
              <w:rPr>
                <w:lang w:val="sl-SI"/>
              </w:rPr>
            </w:pPr>
            <w:r w:rsidRPr="005F062F">
              <w:rPr>
                <w:lang w:val="sl-SI"/>
              </w:rPr>
              <w:t>Sodelujoča organizacija, ki odda vlogo za nepovratna sredstva Erasmus+ v imenu konzorcija partnerskih organizacij.</w:t>
            </w:r>
          </w:p>
        </w:tc>
      </w:tr>
      <w:tr w:rsidR="00705BF0" w:rsidRPr="002C560E" w14:paraId="7D39AC05" w14:textId="77777777" w:rsidTr="00EC19F7">
        <w:tc>
          <w:tcPr>
            <w:tcW w:w="2088" w:type="dxa"/>
          </w:tcPr>
          <w:p w14:paraId="7D39AC03" w14:textId="77777777" w:rsidR="00705BF0" w:rsidRPr="005F062F" w:rsidRDefault="00705BF0" w:rsidP="005F062F">
            <w:pPr>
              <w:pStyle w:val="GUIDE-NORMAL"/>
              <w:jc w:val="left"/>
              <w:rPr>
                <w:b/>
                <w:lang w:val="sl-SI"/>
              </w:rPr>
            </w:pPr>
            <w:r w:rsidRPr="005F062F">
              <w:rPr>
                <w:b/>
                <w:lang w:val="sl-SI"/>
              </w:rPr>
              <w:t>Kreditna mobilnost</w:t>
            </w:r>
          </w:p>
        </w:tc>
        <w:tc>
          <w:tcPr>
            <w:tcW w:w="7202" w:type="dxa"/>
          </w:tcPr>
          <w:p w14:paraId="7D39AC04" w14:textId="77777777" w:rsidR="00705BF0" w:rsidRPr="005F062F" w:rsidRDefault="00705BF0" w:rsidP="009A2C2A">
            <w:pPr>
              <w:pStyle w:val="GUIDE-NORMAL"/>
              <w:rPr>
                <w:lang w:val="sl-SI"/>
              </w:rPr>
            </w:pPr>
            <w:r w:rsidRPr="005F062F">
              <w:rPr>
                <w:lang w:val="sl-SI"/>
              </w:rPr>
              <w:t>Omejeno obdobje študija ali prakse v tujini – v okviru študija, ki se izvaja na domači instituciji – za namen pridobivanja kreditnih točk. Po obdobju mobilnosti se študenti vrnejo na domačo institucijo, da dokončajo svoj študij.</w:t>
            </w:r>
          </w:p>
        </w:tc>
      </w:tr>
      <w:tr w:rsidR="00705BF0" w:rsidRPr="002C560E" w14:paraId="7D39AC08" w14:textId="77777777" w:rsidTr="00EC19F7">
        <w:tc>
          <w:tcPr>
            <w:tcW w:w="2088" w:type="dxa"/>
          </w:tcPr>
          <w:p w14:paraId="7D39AC06" w14:textId="77777777" w:rsidR="00705BF0" w:rsidRPr="005F062F" w:rsidRDefault="00705BF0" w:rsidP="005F062F">
            <w:pPr>
              <w:pStyle w:val="GUIDE-NORMAL"/>
              <w:jc w:val="left"/>
              <w:rPr>
                <w:b/>
                <w:lang w:val="sl-SI"/>
              </w:rPr>
            </w:pPr>
            <w:r w:rsidRPr="005F062F">
              <w:rPr>
                <w:b/>
                <w:lang w:val="sl-SI"/>
              </w:rPr>
              <w:t>Kreditna točka</w:t>
            </w:r>
          </w:p>
        </w:tc>
        <w:tc>
          <w:tcPr>
            <w:tcW w:w="7202" w:type="dxa"/>
          </w:tcPr>
          <w:p w14:paraId="7D39AC07" w14:textId="77777777" w:rsidR="00705BF0" w:rsidRPr="005F062F" w:rsidRDefault="00705BF0" w:rsidP="009A2C2A">
            <w:pPr>
              <w:pStyle w:val="GUIDE-NORMAL"/>
              <w:rPr>
                <w:lang w:val="sl-SI"/>
              </w:rPr>
            </w:pPr>
            <w:r w:rsidRPr="005F062F">
              <w:rPr>
                <w:lang w:val="sl-SI"/>
              </w:rPr>
              <w:t>Sklop učnih izidov posameznika, ki so bili ocenjeni in ki se lahko zbirajo za pridobitev kvalifikacije ali prenos v drug učni program ali kvalifikacijo.</w:t>
            </w:r>
          </w:p>
        </w:tc>
      </w:tr>
      <w:tr w:rsidR="00705BF0" w:rsidRPr="002C560E" w14:paraId="7D39AC0B" w14:textId="77777777" w:rsidTr="00EC19F7">
        <w:tc>
          <w:tcPr>
            <w:tcW w:w="2088" w:type="dxa"/>
          </w:tcPr>
          <w:p w14:paraId="7D39AC09" w14:textId="77777777" w:rsidR="00705BF0" w:rsidRPr="005F062F" w:rsidRDefault="00705BF0" w:rsidP="005F062F">
            <w:pPr>
              <w:pStyle w:val="GUIDE-NORMAL"/>
              <w:jc w:val="left"/>
              <w:rPr>
                <w:b/>
                <w:lang w:val="sl-SI"/>
              </w:rPr>
            </w:pPr>
            <w:r w:rsidRPr="005F062F">
              <w:rPr>
                <w:b/>
                <w:lang w:val="sl-SI"/>
              </w:rPr>
              <w:t>Kvalifikacija</w:t>
            </w:r>
          </w:p>
        </w:tc>
        <w:tc>
          <w:tcPr>
            <w:tcW w:w="7202" w:type="dxa"/>
          </w:tcPr>
          <w:p w14:paraId="7D39AC0A" w14:textId="77777777" w:rsidR="00705BF0" w:rsidRPr="005F062F" w:rsidRDefault="00705BF0" w:rsidP="009A2C2A">
            <w:pPr>
              <w:pStyle w:val="GUIDE-NORMAL"/>
              <w:rPr>
                <w:lang w:val="sl-SI"/>
              </w:rPr>
            </w:pPr>
            <w:r w:rsidRPr="005F062F">
              <w:rPr>
                <w:lang w:val="sl-SI"/>
              </w:rPr>
              <w:t>Uradni rezultati ocene in potrditve, ki se pridobijo, kadar pristojni organ ugotovi, da je posameznik dosegel učne izide glede na dane standarde.</w:t>
            </w:r>
          </w:p>
        </w:tc>
      </w:tr>
      <w:tr w:rsidR="00705BF0" w:rsidRPr="005F062F" w14:paraId="7D39AC0E" w14:textId="77777777" w:rsidTr="00EC19F7">
        <w:tc>
          <w:tcPr>
            <w:tcW w:w="2088" w:type="dxa"/>
          </w:tcPr>
          <w:p w14:paraId="7D39AC0C" w14:textId="77777777" w:rsidR="00705BF0" w:rsidRPr="005F062F" w:rsidRDefault="00705BF0" w:rsidP="005F062F">
            <w:pPr>
              <w:pStyle w:val="GUIDE-NORMAL"/>
              <w:jc w:val="left"/>
              <w:rPr>
                <w:b/>
                <w:lang w:val="sl-SI"/>
              </w:rPr>
            </w:pPr>
            <w:r w:rsidRPr="005F062F">
              <w:rPr>
                <w:b/>
                <w:lang w:val="sl-SI"/>
              </w:rPr>
              <w:t>Kvalifikacije kratkega cikla (ali visokošolskega izobraževanja kratkega cikla – SCHE)</w:t>
            </w:r>
          </w:p>
        </w:tc>
        <w:tc>
          <w:tcPr>
            <w:tcW w:w="7202" w:type="dxa"/>
          </w:tcPr>
          <w:p w14:paraId="7D39AC0D" w14:textId="77777777" w:rsidR="00705BF0" w:rsidRPr="005F062F" w:rsidRDefault="00705BF0" w:rsidP="009A2C2A">
            <w:pPr>
              <w:pStyle w:val="GUIDE-NORMAL"/>
              <w:rPr>
                <w:lang w:val="sl-SI"/>
              </w:rPr>
            </w:pPr>
            <w:r w:rsidRPr="005F062F">
              <w:rPr>
                <w:lang w:val="sl-SI"/>
              </w:rPr>
              <w:t>Kvalifikacije, ki so v večini držav zajete v prvo stopnjo ogrodja kvalifikacij za evropski visokošolski prostor (raven 5 ISCED). Običajno znašajo približno 120 kreditnih točk ECTS v nacionalnem okviru in omogočajo pridobitev kvalifikacije, ki je priznana na nižji stopnji kot diploma ob koncu prve stopnje. Nekateri programi so daljši kot tri leta, vendar običajno ne znašajo več kot 180 kreditnih točk ECTS. V večini držav lahko študenti uporabijo večino kreditnih točk, ki so jih pridobili v kratkem ciklu SCHE, za napredovanje v diplomske programe. Deskriptorji kratkega cikla ustrezajo učnim izidom ravni 5 EOK.</w:t>
            </w:r>
          </w:p>
        </w:tc>
      </w:tr>
      <w:tr w:rsidR="00705BF0" w:rsidRPr="002C560E" w14:paraId="7D39AC11" w14:textId="77777777" w:rsidTr="00EC19F7">
        <w:tc>
          <w:tcPr>
            <w:tcW w:w="2088" w:type="dxa"/>
          </w:tcPr>
          <w:p w14:paraId="7D39AC0F" w14:textId="77777777" w:rsidR="00705BF0" w:rsidRPr="005F062F" w:rsidRDefault="00705BF0" w:rsidP="005F062F">
            <w:pPr>
              <w:pStyle w:val="GUIDE-NORMAL"/>
              <w:jc w:val="left"/>
              <w:rPr>
                <w:b/>
                <w:lang w:val="sl-SI"/>
              </w:rPr>
            </w:pPr>
            <w:r w:rsidRPr="005F062F">
              <w:rPr>
                <w:b/>
                <w:lang w:val="sl-SI"/>
              </w:rPr>
              <w:t>Mednarodno</w:t>
            </w:r>
          </w:p>
        </w:tc>
        <w:tc>
          <w:tcPr>
            <w:tcW w:w="7202" w:type="dxa"/>
          </w:tcPr>
          <w:p w14:paraId="7D39AC10" w14:textId="77777777" w:rsidR="00705BF0" w:rsidRPr="005F062F" w:rsidRDefault="00705BF0" w:rsidP="009A2C2A">
            <w:pPr>
              <w:pStyle w:val="GUIDE-NORMAL"/>
              <w:rPr>
                <w:lang w:val="sl-SI"/>
              </w:rPr>
            </w:pPr>
            <w:r w:rsidRPr="005F062F">
              <w:rPr>
                <w:lang w:val="sl-SI"/>
              </w:rPr>
              <w:t>V okviru programa Erasmus+ je ta pojem povezan s katerim koli ukrepom, v katerega sta vključeni vsaj ena država Programa in vsaj ena partnerska država.</w:t>
            </w:r>
          </w:p>
        </w:tc>
      </w:tr>
      <w:tr w:rsidR="00705BF0" w:rsidRPr="002C560E" w14:paraId="7D39AC14" w14:textId="77777777" w:rsidTr="00EC19F7">
        <w:tc>
          <w:tcPr>
            <w:tcW w:w="2088" w:type="dxa"/>
          </w:tcPr>
          <w:p w14:paraId="7D39AC12" w14:textId="77777777" w:rsidR="00705BF0" w:rsidRPr="005F062F" w:rsidRDefault="00705BF0" w:rsidP="005F062F">
            <w:pPr>
              <w:pStyle w:val="GUIDE-NORMAL"/>
              <w:jc w:val="left"/>
              <w:rPr>
                <w:b/>
                <w:lang w:val="sl-SI"/>
              </w:rPr>
            </w:pPr>
            <w:r w:rsidRPr="005F062F">
              <w:rPr>
                <w:b/>
                <w:lang w:val="sl-SI"/>
              </w:rPr>
              <w:t>Mednarodno</w:t>
            </w:r>
          </w:p>
        </w:tc>
        <w:tc>
          <w:tcPr>
            <w:tcW w:w="7202" w:type="dxa"/>
          </w:tcPr>
          <w:p w14:paraId="7D39AC13" w14:textId="77777777" w:rsidR="00705BF0" w:rsidRPr="005F062F" w:rsidRDefault="00705BF0" w:rsidP="009A2C2A">
            <w:pPr>
              <w:pStyle w:val="GUIDE-NORMAL"/>
              <w:rPr>
                <w:lang w:val="sl-SI"/>
              </w:rPr>
            </w:pPr>
            <w:r w:rsidRPr="005F062F">
              <w:rPr>
                <w:lang w:val="sl-SI"/>
              </w:rPr>
              <w:t>nanaša se na vsak ukrep, v katerem sodelujeta vsaj dve državi Programa, razen če je navedeno drugače.</w:t>
            </w:r>
          </w:p>
        </w:tc>
      </w:tr>
      <w:tr w:rsidR="00705BF0" w:rsidRPr="002C560E" w14:paraId="7D39AC17" w14:textId="77777777" w:rsidTr="00EC19F7">
        <w:tc>
          <w:tcPr>
            <w:tcW w:w="2088" w:type="dxa"/>
          </w:tcPr>
          <w:p w14:paraId="7D39AC15" w14:textId="77777777" w:rsidR="00705BF0" w:rsidRPr="005F062F" w:rsidRDefault="00705BF0" w:rsidP="005F062F">
            <w:pPr>
              <w:pStyle w:val="GUIDE-NORMAL"/>
              <w:jc w:val="left"/>
              <w:rPr>
                <w:rFonts w:eastAsia="Calibri" w:cs="Calibri"/>
                <w:b/>
                <w:bCs/>
                <w:bdr w:val="nil"/>
                <w:shd w:val="clear" w:color="auto" w:fill="auto"/>
                <w:lang w:val="sl-SI"/>
              </w:rPr>
            </w:pPr>
            <w:r w:rsidRPr="005F062F">
              <w:rPr>
                <w:rFonts w:eastAsia="Calibri" w:cs="Calibri"/>
                <w:b/>
                <w:bCs/>
                <w:bdr w:val="nil"/>
                <w:shd w:val="clear" w:color="auto" w:fill="auto"/>
                <w:lang w:val="sl-SI"/>
              </w:rPr>
              <w:t>Mehanizmi dialoga</w:t>
            </w:r>
          </w:p>
        </w:tc>
        <w:tc>
          <w:tcPr>
            <w:tcW w:w="7202" w:type="dxa"/>
          </w:tcPr>
          <w:p w14:paraId="7D39AC16" w14:textId="77777777" w:rsidR="00705BF0" w:rsidRPr="005F062F" w:rsidRDefault="00705BF0" w:rsidP="009A2C2A">
            <w:pPr>
              <w:pStyle w:val="GUIDE-NORMAL"/>
              <w:rPr>
                <w:lang w:val="sl-SI"/>
              </w:rPr>
            </w:pPr>
            <w:r w:rsidRPr="005F062F">
              <w:rPr>
                <w:rFonts w:eastAsia="Calibri" w:cs="Calibri"/>
                <w:bdr w:val="nil"/>
                <w:shd w:val="clear" w:color="auto" w:fill="auto"/>
                <w:lang w:val="sl-SI"/>
              </w:rPr>
              <w:t>Dialog z mladimi, mladinskimi organizacijami in oblikovalci politik, ki predstavlja forum za stalni skupni razmislek o prednostnih področjih, izvajanju ter spremljanju evropskega sodelovanja na področju mladine.</w:t>
            </w:r>
          </w:p>
        </w:tc>
      </w:tr>
      <w:tr w:rsidR="00705BF0" w:rsidRPr="002C560E" w14:paraId="7D39AC1A" w14:textId="77777777" w:rsidTr="00EC19F7">
        <w:tc>
          <w:tcPr>
            <w:tcW w:w="2088" w:type="dxa"/>
          </w:tcPr>
          <w:p w14:paraId="7D39AC18" w14:textId="77777777" w:rsidR="00705BF0" w:rsidRPr="005F062F" w:rsidRDefault="00705BF0" w:rsidP="005F062F">
            <w:pPr>
              <w:pStyle w:val="GUIDE-NORMAL"/>
              <w:jc w:val="left"/>
              <w:rPr>
                <w:b/>
                <w:lang w:val="sl-SI"/>
              </w:rPr>
            </w:pPr>
            <w:r w:rsidRPr="005F062F">
              <w:rPr>
                <w:b/>
                <w:lang w:val="sl-SI"/>
              </w:rPr>
              <w:t xml:space="preserve">Mesec </w:t>
            </w:r>
          </w:p>
        </w:tc>
        <w:tc>
          <w:tcPr>
            <w:tcW w:w="7202" w:type="dxa"/>
          </w:tcPr>
          <w:p w14:paraId="7D39AC19" w14:textId="77777777" w:rsidR="00705BF0" w:rsidRPr="005F062F" w:rsidRDefault="00705BF0" w:rsidP="009A2C2A">
            <w:pPr>
              <w:pStyle w:val="GUIDE-NORMAL"/>
              <w:rPr>
                <w:lang w:val="sl-SI"/>
              </w:rPr>
            </w:pPr>
            <w:r w:rsidRPr="005F062F">
              <w:rPr>
                <w:lang w:val="sl-SI"/>
              </w:rPr>
              <w:t>V okviru programa Erasmus+ in za namene izračuna nepovratnih sredstev znaša en mesec 30 dni.</w:t>
            </w:r>
          </w:p>
        </w:tc>
      </w:tr>
      <w:tr w:rsidR="00705BF0" w:rsidRPr="00654F6A" w14:paraId="7D39AC1D" w14:textId="77777777" w:rsidTr="00EC19F7">
        <w:tc>
          <w:tcPr>
            <w:tcW w:w="2088" w:type="dxa"/>
          </w:tcPr>
          <w:p w14:paraId="7D39AC1B" w14:textId="77777777" w:rsidR="00705BF0" w:rsidRPr="005F062F" w:rsidRDefault="00705BF0" w:rsidP="005F062F">
            <w:pPr>
              <w:pStyle w:val="GUIDE-NORMAL"/>
              <w:jc w:val="left"/>
              <w:rPr>
                <w:b/>
                <w:lang w:val="sl-SI"/>
              </w:rPr>
            </w:pPr>
            <w:r w:rsidRPr="005F062F">
              <w:rPr>
                <w:b/>
                <w:lang w:val="sl-SI"/>
              </w:rPr>
              <w:t>Mladi</w:t>
            </w:r>
          </w:p>
        </w:tc>
        <w:tc>
          <w:tcPr>
            <w:tcW w:w="7202" w:type="dxa"/>
          </w:tcPr>
          <w:p w14:paraId="7D39AC1C" w14:textId="77777777" w:rsidR="00705BF0" w:rsidRPr="005F062F" w:rsidRDefault="00705BF0" w:rsidP="009A2C2A">
            <w:pPr>
              <w:pStyle w:val="GUIDE-NORMAL"/>
              <w:rPr>
                <w:lang w:val="sl-SI"/>
              </w:rPr>
            </w:pPr>
            <w:r w:rsidRPr="005F062F">
              <w:rPr>
                <w:lang w:val="sl-SI"/>
              </w:rPr>
              <w:t>V okviru programa Erasmus+ so to posamezniki, stari od 13 do 30 let.</w:t>
            </w:r>
          </w:p>
        </w:tc>
      </w:tr>
      <w:tr w:rsidR="00705BF0" w:rsidRPr="002C560E" w14:paraId="7D39AC20" w14:textId="77777777" w:rsidTr="00EC19F7">
        <w:tc>
          <w:tcPr>
            <w:tcW w:w="2088" w:type="dxa"/>
          </w:tcPr>
          <w:p w14:paraId="7D39AC1E" w14:textId="77777777" w:rsidR="00705BF0" w:rsidRPr="005F062F" w:rsidRDefault="00705BF0" w:rsidP="005F062F">
            <w:pPr>
              <w:pStyle w:val="GUIDE-NORMAL"/>
              <w:jc w:val="left"/>
              <w:rPr>
                <w:b/>
                <w:lang w:val="sl-SI"/>
              </w:rPr>
            </w:pPr>
            <w:r w:rsidRPr="005F062F">
              <w:rPr>
                <w:b/>
                <w:lang w:val="sl-SI"/>
              </w:rPr>
              <w:t>Mladinska aktivnost</w:t>
            </w:r>
          </w:p>
        </w:tc>
        <w:tc>
          <w:tcPr>
            <w:tcW w:w="7202" w:type="dxa"/>
          </w:tcPr>
          <w:p w14:paraId="7D39AC1F" w14:textId="77777777" w:rsidR="00705BF0" w:rsidRPr="005F062F" w:rsidRDefault="00705BF0" w:rsidP="009A2C2A">
            <w:pPr>
              <w:pStyle w:val="GUIDE-NORMAL"/>
              <w:rPr>
                <w:lang w:val="sl-SI"/>
              </w:rPr>
            </w:pPr>
            <w:r w:rsidRPr="005F062F">
              <w:rPr>
                <w:lang w:val="sl-SI"/>
              </w:rPr>
              <w:t>Zunajšolska aktivnost (kot je mladinska izmenjava, prostovoljstvo ali mladinsko usposabljanje), ki jo izvaja mlada oseba posamično ali v skupini, zlasti v okviru mladinskih organizacij, in za katero je značilen neformalen učni pristop.</w:t>
            </w:r>
          </w:p>
        </w:tc>
      </w:tr>
      <w:tr w:rsidR="00705BF0" w:rsidRPr="002C560E" w14:paraId="7D39AC23" w14:textId="77777777" w:rsidTr="00EC19F7">
        <w:tc>
          <w:tcPr>
            <w:tcW w:w="2088" w:type="dxa"/>
          </w:tcPr>
          <w:p w14:paraId="7D39AC21" w14:textId="77777777" w:rsidR="00705BF0" w:rsidRPr="005F062F" w:rsidRDefault="00705BF0" w:rsidP="005F062F">
            <w:pPr>
              <w:pStyle w:val="GUIDE-NORMAL"/>
              <w:jc w:val="left"/>
              <w:rPr>
                <w:b/>
                <w:lang w:val="sl-SI"/>
              </w:rPr>
            </w:pPr>
            <w:r w:rsidRPr="005F062F">
              <w:rPr>
                <w:b/>
                <w:lang w:val="sl-SI"/>
              </w:rPr>
              <w:t>Mladinski delavec</w:t>
            </w:r>
          </w:p>
        </w:tc>
        <w:tc>
          <w:tcPr>
            <w:tcW w:w="7202" w:type="dxa"/>
          </w:tcPr>
          <w:p w14:paraId="7D39AC22" w14:textId="77777777" w:rsidR="00705BF0" w:rsidRPr="005F062F" w:rsidRDefault="00705BF0" w:rsidP="009A2C2A">
            <w:pPr>
              <w:pStyle w:val="GUIDE-NORMAL"/>
              <w:rPr>
                <w:lang w:val="sl-SI"/>
              </w:rPr>
            </w:pPr>
            <w:r w:rsidRPr="005F062F">
              <w:rPr>
                <w:lang w:val="sl-SI"/>
              </w:rPr>
              <w:t>Poklicni delavec ali prostovoljec, ki sodeluje v neformalnem učenju in nudi podporo mladim pri njihovem osebnem, socialno–vzgojnem ter poklicnem razvoju.</w:t>
            </w:r>
          </w:p>
        </w:tc>
      </w:tr>
      <w:tr w:rsidR="00705BF0" w:rsidRPr="002C560E" w14:paraId="7D39AC26" w14:textId="77777777" w:rsidTr="00EC19F7">
        <w:tc>
          <w:tcPr>
            <w:tcW w:w="2088" w:type="dxa"/>
          </w:tcPr>
          <w:p w14:paraId="7D39AC24" w14:textId="77777777" w:rsidR="00705BF0" w:rsidRPr="005F062F" w:rsidRDefault="00705BF0" w:rsidP="005F062F">
            <w:pPr>
              <w:pStyle w:val="GUIDE-NORMAL"/>
              <w:jc w:val="left"/>
              <w:rPr>
                <w:b/>
                <w:lang w:val="sl-SI"/>
              </w:rPr>
            </w:pPr>
            <w:r w:rsidRPr="005F062F">
              <w:rPr>
                <w:b/>
                <w:lang w:val="sl-SI"/>
              </w:rPr>
              <w:t>Množični šport</w:t>
            </w:r>
          </w:p>
        </w:tc>
        <w:tc>
          <w:tcPr>
            <w:tcW w:w="7202" w:type="dxa"/>
          </w:tcPr>
          <w:p w14:paraId="7D39AC25" w14:textId="77777777" w:rsidR="00705BF0" w:rsidRPr="005F062F" w:rsidRDefault="00705BF0" w:rsidP="009A2C2A">
            <w:pPr>
              <w:pStyle w:val="GUIDE-NORMAL"/>
              <w:rPr>
                <w:lang w:val="sl-SI"/>
              </w:rPr>
            </w:pPr>
            <w:r w:rsidRPr="005F062F">
              <w:rPr>
                <w:lang w:val="sl-SI"/>
              </w:rPr>
              <w:t>Organizirani šport, ki ga izvajajo amaterski športniki na lokalni ravni, in šport za vse.</w:t>
            </w:r>
          </w:p>
        </w:tc>
      </w:tr>
      <w:tr w:rsidR="00705BF0" w:rsidRPr="002C560E" w14:paraId="7D39AC29" w14:textId="77777777" w:rsidTr="00EC19F7">
        <w:tc>
          <w:tcPr>
            <w:tcW w:w="2088" w:type="dxa"/>
          </w:tcPr>
          <w:p w14:paraId="7D39AC27" w14:textId="77777777" w:rsidR="00705BF0" w:rsidRPr="005F062F" w:rsidRDefault="00705BF0" w:rsidP="005F062F">
            <w:pPr>
              <w:pStyle w:val="GUIDE-NORMAL"/>
              <w:jc w:val="left"/>
              <w:rPr>
                <w:b/>
                <w:lang w:val="sl-SI"/>
              </w:rPr>
            </w:pPr>
            <w:r w:rsidRPr="005F062F">
              <w:rPr>
                <w:b/>
                <w:lang w:val="sl-SI"/>
              </w:rPr>
              <w:t>Mobilnost za pridobitev diplome</w:t>
            </w:r>
          </w:p>
        </w:tc>
        <w:tc>
          <w:tcPr>
            <w:tcW w:w="7202" w:type="dxa"/>
          </w:tcPr>
          <w:p w14:paraId="7D39AC28" w14:textId="77777777" w:rsidR="00705BF0" w:rsidRPr="005F062F" w:rsidRDefault="00705BF0" w:rsidP="009A2C2A">
            <w:pPr>
              <w:pStyle w:val="GUIDE-NORMAL"/>
              <w:rPr>
                <w:lang w:val="sl-SI"/>
              </w:rPr>
            </w:pPr>
            <w:r w:rsidRPr="005F062F">
              <w:rPr>
                <w:lang w:val="sl-SI"/>
              </w:rPr>
              <w:t>Obdobje študija v tujini s ciljem pridobiti celotno diplomo ali potrdilo v državah gostiteljicah.</w:t>
            </w:r>
          </w:p>
        </w:tc>
      </w:tr>
      <w:tr w:rsidR="00705BF0" w:rsidRPr="002C560E" w14:paraId="7D39AC2D" w14:textId="77777777" w:rsidTr="00EC19F7">
        <w:tc>
          <w:tcPr>
            <w:tcW w:w="2088" w:type="dxa"/>
          </w:tcPr>
          <w:p w14:paraId="7D39AC2A" w14:textId="77777777" w:rsidR="00705BF0" w:rsidRPr="005F062F" w:rsidRDefault="00705BF0" w:rsidP="005F062F">
            <w:pPr>
              <w:pStyle w:val="GUIDE-NORMAL"/>
              <w:jc w:val="left"/>
              <w:rPr>
                <w:b/>
                <w:lang w:val="sl-SI"/>
              </w:rPr>
            </w:pPr>
            <w:r w:rsidRPr="005F062F">
              <w:rPr>
                <w:b/>
                <w:lang w:val="sl-SI"/>
              </w:rPr>
              <w:t>MOOC</w:t>
            </w:r>
          </w:p>
        </w:tc>
        <w:tc>
          <w:tcPr>
            <w:tcW w:w="7202" w:type="dxa"/>
          </w:tcPr>
          <w:p w14:paraId="7D39AC2B" w14:textId="77777777" w:rsidR="00705BF0" w:rsidRDefault="00705BF0" w:rsidP="009A2C2A">
            <w:pPr>
              <w:pStyle w:val="GUIDE-NORMAL"/>
              <w:rPr>
                <w:lang w:val="sl-SI"/>
              </w:rPr>
            </w:pPr>
            <w:r w:rsidRPr="005F062F">
              <w:rPr>
                <w:lang w:val="sl-SI"/>
              </w:rPr>
              <w:t>Okrajšava za „množični odprti spletni tečaj“, vrsto tečajev, ki se v celoti izvajajo prek spleta, do katerih ima vsakdo prost dostop brez stroškov, pogojev za vpis ali drugih omejitev ter ki imajo pogosto veliko število udeležencev. Vsebujejo lahko osebne elemente, npr. spodbujanje srečanj lokalnih udeležencev, in formalno ocenjevanje, vendar praviloma uporabljajo medsebojne preglede, samoocenjevanje in samodejno ocenjevanje. Obstajajo številne različice MOOC, npr. s poudarkom na specifičnih področjih, ciljnih skupinah (npr. osredotočanje na poklicno razsežnost, učitelje itd.) ali z različnimi metodami poučevanja.</w:t>
            </w:r>
          </w:p>
          <w:p w14:paraId="7D39AC2C" w14:textId="77777777" w:rsidR="00705BF0" w:rsidRPr="005F062F" w:rsidRDefault="00705BF0" w:rsidP="005F062F">
            <w:pPr>
              <w:pStyle w:val="GUIDE-NORMAL"/>
              <w:rPr>
                <w:lang w:val="sl-SI"/>
              </w:rPr>
            </w:pPr>
            <w:r w:rsidRPr="001048FE">
              <w:rPr>
                <w:lang w:val="sl-SI"/>
              </w:rPr>
              <w:t>MOOC, financirani v okviru programa Erasmus+, morajo biti odprti za vse in udeležencem brezplačno zagotoviti udeležbo ter potrdilo ali izkaznico o opravljenem tečaju. Upoštevajte, da zahteva glede prostega dostopa do učnih virov velja tudi za MOOC in druge celovite tečaje.</w:t>
            </w:r>
          </w:p>
        </w:tc>
      </w:tr>
      <w:tr w:rsidR="00705BF0" w:rsidRPr="002C560E" w14:paraId="7D39AC30" w14:textId="77777777" w:rsidTr="00EC19F7">
        <w:tc>
          <w:tcPr>
            <w:tcW w:w="2088" w:type="dxa"/>
          </w:tcPr>
          <w:p w14:paraId="7D39AC2E" w14:textId="77777777" w:rsidR="00705BF0" w:rsidRPr="005F062F" w:rsidRDefault="00705BF0" w:rsidP="005F062F">
            <w:pPr>
              <w:pStyle w:val="GUIDE-NORMAL"/>
              <w:jc w:val="left"/>
              <w:rPr>
                <w:b/>
                <w:lang w:val="sl-SI"/>
              </w:rPr>
            </w:pPr>
            <w:r w:rsidRPr="005F062F">
              <w:rPr>
                <w:b/>
                <w:lang w:val="sl-SI"/>
              </w:rPr>
              <w:t>MSP (Mala in srednja podjetja)</w:t>
            </w:r>
          </w:p>
        </w:tc>
        <w:tc>
          <w:tcPr>
            <w:tcW w:w="7202" w:type="dxa"/>
          </w:tcPr>
          <w:p w14:paraId="7D39AC2F" w14:textId="77777777" w:rsidR="00705BF0" w:rsidRPr="005F062F" w:rsidRDefault="00705BF0" w:rsidP="009A2C2A">
            <w:pPr>
              <w:pStyle w:val="GUIDE-NORMAL"/>
              <w:rPr>
                <w:lang w:val="sl-SI"/>
              </w:rPr>
            </w:pPr>
            <w:r w:rsidRPr="005F062F">
              <w:rPr>
                <w:lang w:val="sl-SI"/>
              </w:rPr>
              <w:t>Podjetja (glej opredelitev za „podjetja“), ki zaposlujejo manj kot 250 oseb in imajo letni promet, ki ne presega 50 milijonov EUR, in/ali skupno letno bilanco stanja, ki ne presega 43 milijonov EUR.</w:t>
            </w:r>
          </w:p>
        </w:tc>
      </w:tr>
      <w:tr w:rsidR="00705BF0" w:rsidRPr="002C560E" w14:paraId="7D39AC33" w14:textId="77777777" w:rsidTr="00EC19F7">
        <w:tc>
          <w:tcPr>
            <w:tcW w:w="2088" w:type="dxa"/>
          </w:tcPr>
          <w:p w14:paraId="7D39AC31" w14:textId="77777777" w:rsidR="00705BF0" w:rsidRPr="005F062F" w:rsidRDefault="00705BF0" w:rsidP="005F062F">
            <w:pPr>
              <w:pStyle w:val="GUIDE-NORMAL"/>
              <w:jc w:val="left"/>
              <w:rPr>
                <w:b/>
                <w:lang w:val="sl-SI"/>
              </w:rPr>
            </w:pPr>
            <w:r w:rsidRPr="005F062F">
              <w:rPr>
                <w:b/>
                <w:lang w:val="sl-SI"/>
              </w:rPr>
              <w:t>Napaka pri zapisu</w:t>
            </w:r>
          </w:p>
        </w:tc>
        <w:tc>
          <w:tcPr>
            <w:tcW w:w="7202" w:type="dxa"/>
          </w:tcPr>
          <w:p w14:paraId="7D39AC32" w14:textId="77777777" w:rsidR="00705BF0" w:rsidRPr="005F062F" w:rsidRDefault="00705BF0" w:rsidP="009A2C2A">
            <w:pPr>
              <w:pStyle w:val="GUIDE-NORMAL"/>
              <w:rPr>
                <w:lang w:val="sl-SI"/>
              </w:rPr>
            </w:pPr>
            <w:r w:rsidRPr="005F062F">
              <w:rPr>
                <w:lang w:val="sl-SI"/>
              </w:rPr>
              <w:t>Manjša ali nenamerna napaka v dokumentu, ki spreminja njegov pomen, kot je tipkarska napaka ali nenamerno dodajanje ali izpustitev besede, fraze ali številke.</w:t>
            </w:r>
          </w:p>
        </w:tc>
      </w:tr>
      <w:tr w:rsidR="00705BF0" w:rsidRPr="002C560E" w14:paraId="7D39AC36" w14:textId="77777777" w:rsidTr="00EC19F7">
        <w:tc>
          <w:tcPr>
            <w:tcW w:w="2088" w:type="dxa"/>
          </w:tcPr>
          <w:p w14:paraId="7D39AC34" w14:textId="77777777" w:rsidR="00705BF0" w:rsidRPr="005F062F" w:rsidRDefault="00705BF0" w:rsidP="005F062F">
            <w:pPr>
              <w:pStyle w:val="GUIDE-NORMAL"/>
              <w:jc w:val="left"/>
              <w:rPr>
                <w:b/>
                <w:lang w:val="sl-SI"/>
              </w:rPr>
            </w:pPr>
            <w:r w:rsidRPr="005F062F">
              <w:rPr>
                <w:b/>
                <w:lang w:val="sl-SI"/>
              </w:rPr>
              <w:t>Neformalne skupine mladih</w:t>
            </w:r>
          </w:p>
        </w:tc>
        <w:tc>
          <w:tcPr>
            <w:tcW w:w="7202" w:type="dxa"/>
          </w:tcPr>
          <w:p w14:paraId="7D39AC35" w14:textId="77777777" w:rsidR="00705BF0" w:rsidRPr="005F062F" w:rsidRDefault="00705BF0" w:rsidP="009A2C2A">
            <w:pPr>
              <w:pStyle w:val="GUIDE-NORMAL"/>
              <w:rPr>
                <w:lang w:val="sl-SI"/>
              </w:rPr>
            </w:pPr>
            <w:r w:rsidRPr="005F062F">
              <w:rPr>
                <w:lang w:val="sl-SI"/>
              </w:rPr>
              <w:t>Glej opredelitev za „skupine mladih, ki so aktivne na področju mladinskega dela, vendar ne nujno v okviru mladinske organizacije“.</w:t>
            </w:r>
          </w:p>
        </w:tc>
      </w:tr>
      <w:tr w:rsidR="00705BF0" w:rsidRPr="002C560E" w14:paraId="7D39AC39" w14:textId="77777777" w:rsidTr="00EC19F7">
        <w:tc>
          <w:tcPr>
            <w:tcW w:w="2088" w:type="dxa"/>
          </w:tcPr>
          <w:p w14:paraId="7D39AC37" w14:textId="77777777" w:rsidR="00705BF0" w:rsidRPr="005F062F" w:rsidRDefault="00705BF0" w:rsidP="005F062F">
            <w:pPr>
              <w:pStyle w:val="GUIDE-NORMAL"/>
              <w:jc w:val="left"/>
              <w:rPr>
                <w:b/>
                <w:lang w:val="sl-SI"/>
              </w:rPr>
            </w:pPr>
            <w:r w:rsidRPr="005F062F">
              <w:rPr>
                <w:b/>
                <w:lang w:val="sl-SI"/>
              </w:rPr>
              <w:t>Neformalno učenje</w:t>
            </w:r>
          </w:p>
        </w:tc>
        <w:tc>
          <w:tcPr>
            <w:tcW w:w="7202" w:type="dxa"/>
          </w:tcPr>
          <w:p w14:paraId="7D39AC38" w14:textId="77777777" w:rsidR="00705BF0" w:rsidRPr="005F062F" w:rsidRDefault="00705BF0" w:rsidP="009A2C2A">
            <w:pPr>
              <w:pStyle w:val="GUIDE-NORMAL"/>
              <w:rPr>
                <w:lang w:val="sl-SI"/>
              </w:rPr>
            </w:pPr>
            <w:r w:rsidRPr="005F062F">
              <w:rPr>
                <w:lang w:val="sl-SI"/>
              </w:rPr>
              <w:t>Učenje, ki se izvaja prek načrtovanih aktivnosti (v smislu učnih ciljev in časa učenja) v prisotnosti nekakšne oblike pomoči pri učenju, vendar ni del formalnega sistema izobraževanja in usposabljanja.</w:t>
            </w:r>
          </w:p>
        </w:tc>
      </w:tr>
      <w:tr w:rsidR="00705BF0" w:rsidRPr="002C560E" w14:paraId="7D39AC3C" w14:textId="77777777" w:rsidTr="00EC19F7">
        <w:tc>
          <w:tcPr>
            <w:tcW w:w="2088" w:type="dxa"/>
          </w:tcPr>
          <w:p w14:paraId="7D39AC3A" w14:textId="77777777" w:rsidR="00705BF0" w:rsidRPr="005F062F" w:rsidRDefault="00705BF0" w:rsidP="005F062F">
            <w:pPr>
              <w:pStyle w:val="GUIDE-NORMAL"/>
              <w:jc w:val="left"/>
              <w:rPr>
                <w:b/>
                <w:lang w:val="sl-SI"/>
              </w:rPr>
            </w:pPr>
            <w:r w:rsidRPr="005F062F">
              <w:rPr>
                <w:b/>
                <w:lang w:val="sl-SI"/>
              </w:rPr>
              <w:t>Obisk za predhodno načrtovanje</w:t>
            </w:r>
          </w:p>
        </w:tc>
        <w:tc>
          <w:tcPr>
            <w:tcW w:w="7202" w:type="dxa"/>
          </w:tcPr>
          <w:p w14:paraId="7D39AC3B" w14:textId="77777777" w:rsidR="00705BF0" w:rsidRPr="005F062F" w:rsidRDefault="00705BF0" w:rsidP="009A2C2A">
            <w:pPr>
              <w:pStyle w:val="GUIDE-NORMAL"/>
              <w:rPr>
                <w:lang w:val="sl-SI"/>
              </w:rPr>
            </w:pPr>
            <w:r w:rsidRPr="005F062F">
              <w:rPr>
                <w:lang w:val="sl-SI"/>
              </w:rPr>
              <w:t>Obisk za načrtovanje v državi organizacij gostiteljic pred mladinskimi izmenjavami v okviru projektov mobilnosti mladih ter pred aktivnostmi ErasmusPro v okviru projektov mobilnosti dijakov v PIU. Namen teh obiskov je zagotoviti visokokakovostne aktivnosti s poenostavitvijo in pripravo upravnih ureditev, vzpostavitvijo zaupanja in razumevanja ter oblikovanjem trdnega partnerstva med vključenimi organizacijami. V primeru projektov mobilnosti mladih lahko pri obisku sodelujejo tudi mladi udeleženci, da se v celoti vključijo v zasnovo projekta.</w:t>
            </w:r>
          </w:p>
        </w:tc>
      </w:tr>
      <w:tr w:rsidR="00705BF0" w:rsidRPr="002C560E" w14:paraId="7D39AC3F" w14:textId="77777777" w:rsidTr="00EC19F7">
        <w:tc>
          <w:tcPr>
            <w:tcW w:w="2088" w:type="dxa"/>
          </w:tcPr>
          <w:p w14:paraId="7D39AC3D" w14:textId="77777777" w:rsidR="00705BF0" w:rsidRPr="005F062F" w:rsidRDefault="00705BF0" w:rsidP="005F062F">
            <w:pPr>
              <w:pStyle w:val="GUIDE-NORMAL"/>
              <w:jc w:val="left"/>
              <w:rPr>
                <w:b/>
                <w:lang w:val="sl-SI"/>
              </w:rPr>
            </w:pPr>
            <w:r w:rsidRPr="005F062F">
              <w:rPr>
                <w:b/>
                <w:lang w:val="sl-SI"/>
              </w:rPr>
              <w:t>Odprta licenca</w:t>
            </w:r>
          </w:p>
        </w:tc>
        <w:tc>
          <w:tcPr>
            <w:tcW w:w="7202" w:type="dxa"/>
          </w:tcPr>
          <w:p w14:paraId="7D39AC3E" w14:textId="77777777" w:rsidR="00705BF0" w:rsidRPr="005F062F" w:rsidRDefault="00705BF0" w:rsidP="009A2C2A">
            <w:pPr>
              <w:pStyle w:val="GUIDE-NORMAL"/>
              <w:rPr>
                <w:lang w:val="sl-SI"/>
              </w:rPr>
            </w:pPr>
            <w:r w:rsidRPr="005F062F">
              <w:rPr>
                <w:lang w:val="sl-SI"/>
              </w:rPr>
              <w:t>Način za imetnike avtorskih pravic (ustvarjalce ali druge imetnike pravic), da splošni javnosti podelijo veljavno dovoljenje za prosto uporabo njihovih del; v okviru zahteve glede prostega dostopa v okviru programa Erasmus+ mora uporabljena odprta licenca dovoliti najmanj uporabo, prilagoditev in razdeljevanje. Odprta licenca bi morala biti navedena na delu samem ali tam, kjer se delo razdeljuje. Učna gradiva z odprto licenco se imenujejo prosto dostopni učni viri (PDUI).</w:t>
            </w:r>
          </w:p>
        </w:tc>
      </w:tr>
      <w:tr w:rsidR="00705BF0" w:rsidRPr="002C560E" w14:paraId="7D39AC42" w14:textId="77777777" w:rsidTr="00EC19F7">
        <w:tc>
          <w:tcPr>
            <w:tcW w:w="2088" w:type="dxa"/>
          </w:tcPr>
          <w:p w14:paraId="7D39AC40" w14:textId="77777777" w:rsidR="00705BF0" w:rsidRPr="005F062F" w:rsidRDefault="00705BF0" w:rsidP="005F062F">
            <w:pPr>
              <w:pStyle w:val="GUIDE-NORMAL"/>
              <w:jc w:val="left"/>
              <w:rPr>
                <w:b/>
                <w:lang w:val="sl-SI"/>
              </w:rPr>
            </w:pPr>
            <w:r w:rsidRPr="005F062F">
              <w:rPr>
                <w:b/>
                <w:lang w:val="sl-SI"/>
              </w:rPr>
              <w:t>Odprta metoda koordinacije</w:t>
            </w:r>
          </w:p>
        </w:tc>
        <w:tc>
          <w:tcPr>
            <w:tcW w:w="7202" w:type="dxa"/>
          </w:tcPr>
          <w:p w14:paraId="7D39AC41" w14:textId="77777777" w:rsidR="00705BF0" w:rsidRPr="005F062F" w:rsidRDefault="00705BF0" w:rsidP="009A2C2A">
            <w:pPr>
              <w:pStyle w:val="GUIDE-NORMAL"/>
              <w:rPr>
                <w:lang w:val="sl-SI"/>
              </w:rPr>
            </w:pPr>
            <w:r w:rsidRPr="005F062F">
              <w:rPr>
                <w:lang w:val="sl-SI"/>
              </w:rPr>
              <w:t>Medvladni način zagotavljanja okvira za sodelovanje med državami članicami EU, katerih nacionalne politike se lahko na ta način usmerijo v določene skupne cilje. V okviru Programa se odprta metoda koordinacije uporablja za področja izobraževanja, usposabljanja in mladine.</w:t>
            </w:r>
          </w:p>
        </w:tc>
      </w:tr>
      <w:tr w:rsidR="00705BF0" w:rsidRPr="002C560E" w14:paraId="7D39AC45" w14:textId="77777777" w:rsidTr="00EC19F7">
        <w:tc>
          <w:tcPr>
            <w:tcW w:w="2088" w:type="dxa"/>
          </w:tcPr>
          <w:p w14:paraId="7D39AC43" w14:textId="77777777" w:rsidR="00705BF0" w:rsidRPr="005F062F" w:rsidRDefault="00705BF0" w:rsidP="005F062F">
            <w:pPr>
              <w:pStyle w:val="GUIDE-NORMAL"/>
              <w:jc w:val="left"/>
              <w:rPr>
                <w:b/>
                <w:lang w:val="sl-SI"/>
              </w:rPr>
            </w:pPr>
            <w:r w:rsidRPr="005F062F">
              <w:rPr>
                <w:b/>
                <w:lang w:val="sl-SI"/>
              </w:rPr>
              <w:t>Organizacija gostiteljica</w:t>
            </w:r>
          </w:p>
        </w:tc>
        <w:tc>
          <w:tcPr>
            <w:tcW w:w="7202" w:type="dxa"/>
          </w:tcPr>
          <w:p w14:paraId="7D39AC44" w14:textId="77777777" w:rsidR="00705BF0" w:rsidRPr="005F062F" w:rsidRDefault="00705BF0" w:rsidP="009A2C2A">
            <w:pPr>
              <w:pStyle w:val="GUIDE-NORMAL"/>
              <w:rPr>
                <w:lang w:val="sl-SI"/>
              </w:rPr>
            </w:pPr>
            <w:r w:rsidRPr="005F062F">
              <w:rPr>
                <w:lang w:val="sl-SI"/>
              </w:rPr>
              <w:t>V okviru nekaterih ukrepov programa Erasmus+ (zlasti ukrepov mobilnosti) je organizacija gostiteljica sodelujoča organizacija, ki gosti enega ali več udeležencev in organizira eno ali več aktivnosti projekta Erasmus+.</w:t>
            </w:r>
          </w:p>
        </w:tc>
      </w:tr>
      <w:tr w:rsidR="00705BF0" w:rsidRPr="002C560E" w14:paraId="7D39AC48" w14:textId="77777777" w:rsidTr="00EC19F7">
        <w:tc>
          <w:tcPr>
            <w:tcW w:w="2088" w:type="dxa"/>
          </w:tcPr>
          <w:p w14:paraId="7D39AC46" w14:textId="77777777" w:rsidR="00705BF0" w:rsidRPr="005F062F" w:rsidRDefault="00705BF0" w:rsidP="005F062F">
            <w:pPr>
              <w:pStyle w:val="GUIDE-NORMAL"/>
              <w:jc w:val="left"/>
              <w:rPr>
                <w:b/>
                <w:lang w:val="sl-SI"/>
              </w:rPr>
            </w:pPr>
            <w:r w:rsidRPr="005F062F">
              <w:rPr>
                <w:b/>
                <w:lang w:val="sl-SI"/>
              </w:rPr>
              <w:t>Organizacija pošiljateljica</w:t>
            </w:r>
          </w:p>
        </w:tc>
        <w:tc>
          <w:tcPr>
            <w:tcW w:w="7202" w:type="dxa"/>
          </w:tcPr>
          <w:p w14:paraId="7D39AC47" w14:textId="77777777" w:rsidR="00705BF0" w:rsidRPr="005F062F" w:rsidRDefault="00705BF0" w:rsidP="009A2C2A">
            <w:pPr>
              <w:pStyle w:val="GUIDE-NORMAL"/>
              <w:rPr>
                <w:lang w:val="sl-SI"/>
              </w:rPr>
            </w:pPr>
            <w:r w:rsidRPr="005F062F">
              <w:rPr>
                <w:lang w:val="sl-SI"/>
              </w:rPr>
              <w:t>V okviru nekaterih ukrepov programa Erasmus+ (zlasti ukrepov mobilnosti) je organizacija pošiljateljica sodelujoča organizacija, ki pošlje enega ali več udeležencev na sodelovanje v aktivnosti projekta Erasmus+.</w:t>
            </w:r>
          </w:p>
        </w:tc>
      </w:tr>
      <w:tr w:rsidR="00705BF0" w:rsidRPr="002C560E" w14:paraId="7D39AC4B" w14:textId="77777777" w:rsidTr="00EC19F7">
        <w:tc>
          <w:tcPr>
            <w:tcW w:w="2088" w:type="dxa"/>
          </w:tcPr>
          <w:p w14:paraId="7D39AC49" w14:textId="77777777" w:rsidR="00705BF0" w:rsidRPr="005F062F" w:rsidRDefault="00705BF0" w:rsidP="005F062F">
            <w:pPr>
              <w:pStyle w:val="GUIDE-NORMAL"/>
              <w:jc w:val="left"/>
              <w:rPr>
                <w:b/>
                <w:lang w:val="sl-SI"/>
              </w:rPr>
            </w:pPr>
            <w:r w:rsidRPr="005F062F">
              <w:rPr>
                <w:b/>
                <w:lang w:val="sl-SI"/>
              </w:rPr>
              <w:t>Organizacija za izobraževanje odraslih</w:t>
            </w:r>
          </w:p>
        </w:tc>
        <w:tc>
          <w:tcPr>
            <w:tcW w:w="7202" w:type="dxa"/>
          </w:tcPr>
          <w:p w14:paraId="7D39AC4A" w14:textId="77777777" w:rsidR="00705BF0" w:rsidRPr="005F062F" w:rsidRDefault="00705BF0" w:rsidP="009A2C2A">
            <w:pPr>
              <w:pStyle w:val="GUIDE-NORMAL"/>
              <w:rPr>
                <w:lang w:val="sl-SI"/>
              </w:rPr>
            </w:pPr>
            <w:r w:rsidRPr="005F062F">
              <w:rPr>
                <w:lang w:val="sl-SI"/>
              </w:rPr>
              <w:t>Katera koli javna ali zasebna organizacija, ki je aktivna na področju nepoklicnega izobraževanja odraslih.</w:t>
            </w:r>
          </w:p>
        </w:tc>
      </w:tr>
      <w:tr w:rsidR="00705BF0" w:rsidRPr="002C560E" w14:paraId="7D39AC4E" w14:textId="77777777" w:rsidTr="00EC19F7">
        <w:tc>
          <w:tcPr>
            <w:tcW w:w="2088" w:type="dxa"/>
          </w:tcPr>
          <w:p w14:paraId="7D39AC4C" w14:textId="77777777" w:rsidR="00705BF0" w:rsidRPr="005F062F" w:rsidRDefault="00705BF0" w:rsidP="005F062F">
            <w:pPr>
              <w:pStyle w:val="GUIDE-NORMAL"/>
              <w:jc w:val="left"/>
              <w:rPr>
                <w:b/>
                <w:lang w:val="sl-SI"/>
              </w:rPr>
            </w:pPr>
            <w:r w:rsidRPr="005F062F">
              <w:rPr>
                <w:b/>
                <w:lang w:val="sl-SI"/>
              </w:rPr>
              <w:t>Orodja Unije za preglednost in priznavanje</w:t>
            </w:r>
          </w:p>
        </w:tc>
        <w:tc>
          <w:tcPr>
            <w:tcW w:w="7202" w:type="dxa"/>
          </w:tcPr>
          <w:p w14:paraId="7D39AC4D" w14:textId="77777777" w:rsidR="00705BF0" w:rsidRPr="001048FE" w:rsidRDefault="00705BF0" w:rsidP="009A2C2A">
            <w:pPr>
              <w:pStyle w:val="GUIDE-NORMAL"/>
              <w:rPr>
                <w:lang w:val="sl-SI"/>
              </w:rPr>
            </w:pPr>
            <w:r w:rsidRPr="005F062F">
              <w:rPr>
                <w:lang w:val="sl-SI"/>
              </w:rPr>
              <w:t>Instrumenti, ki pomagajo deležnikom razumeti, ceniti in po potrebi priznavati učne izide in kvalifikacije po vsej Uniji.</w:t>
            </w:r>
          </w:p>
        </w:tc>
      </w:tr>
      <w:tr w:rsidR="00705BF0" w:rsidRPr="002C560E" w14:paraId="7D39AC51" w14:textId="77777777" w:rsidTr="00EC19F7">
        <w:tc>
          <w:tcPr>
            <w:tcW w:w="2088" w:type="dxa"/>
          </w:tcPr>
          <w:p w14:paraId="7D39AC4F" w14:textId="77777777" w:rsidR="00705BF0" w:rsidRPr="005F062F" w:rsidRDefault="00705BF0" w:rsidP="005F062F">
            <w:pPr>
              <w:pStyle w:val="GUIDE-NORMAL"/>
              <w:jc w:val="left"/>
              <w:rPr>
                <w:b/>
                <w:lang w:val="sl-SI"/>
              </w:rPr>
            </w:pPr>
            <w:r w:rsidRPr="005F062F">
              <w:rPr>
                <w:b/>
                <w:lang w:val="sl-SI"/>
              </w:rPr>
              <w:t>Osebe s posebnimi potrebami</w:t>
            </w:r>
          </w:p>
        </w:tc>
        <w:tc>
          <w:tcPr>
            <w:tcW w:w="7202" w:type="dxa"/>
          </w:tcPr>
          <w:p w14:paraId="7D39AC50" w14:textId="77777777" w:rsidR="00705BF0" w:rsidRPr="005F062F" w:rsidRDefault="00705BF0" w:rsidP="009A2C2A">
            <w:pPr>
              <w:pStyle w:val="GUIDE-NORMAL"/>
              <w:rPr>
                <w:lang w:val="sl-SI"/>
              </w:rPr>
            </w:pPr>
            <w:r w:rsidRPr="005F062F">
              <w:rPr>
                <w:lang w:val="sl-SI"/>
              </w:rPr>
              <w:t>Oseba s posebnimi potrebami je morebitni udeleženec, katerega okoliščine, povezane s telesnim, duševnim ali zdravstvenim stanjem, so takšne, da njegova udeležba v projektu ali aktivnosti mobilnosti ne bi bila mogoča brez dodatne finančne podpore.</w:t>
            </w:r>
          </w:p>
        </w:tc>
      </w:tr>
      <w:tr w:rsidR="00705BF0" w:rsidRPr="002C560E" w14:paraId="7D39AC54" w14:textId="77777777" w:rsidTr="00EC19F7">
        <w:tc>
          <w:tcPr>
            <w:tcW w:w="2088" w:type="dxa"/>
          </w:tcPr>
          <w:p w14:paraId="7D39AC52" w14:textId="77777777" w:rsidR="00705BF0" w:rsidRPr="005F062F" w:rsidRDefault="00705BF0" w:rsidP="005F062F">
            <w:pPr>
              <w:pStyle w:val="GUIDE-NORMAL"/>
              <w:jc w:val="left"/>
              <w:rPr>
                <w:b/>
                <w:lang w:val="sl-SI"/>
              </w:rPr>
            </w:pPr>
            <w:r w:rsidRPr="005F062F">
              <w:rPr>
                <w:b/>
                <w:lang w:val="sl-SI"/>
              </w:rPr>
              <w:t>Osebe z manj priložnostmi</w:t>
            </w:r>
          </w:p>
        </w:tc>
        <w:tc>
          <w:tcPr>
            <w:tcW w:w="7202" w:type="dxa"/>
          </w:tcPr>
          <w:p w14:paraId="7D39AC53" w14:textId="77777777" w:rsidR="00705BF0" w:rsidRPr="005F062F" w:rsidRDefault="00705BF0" w:rsidP="009A2C2A">
            <w:pPr>
              <w:pStyle w:val="GUIDE-NORMAL"/>
              <w:rPr>
                <w:lang w:val="sl-SI"/>
              </w:rPr>
            </w:pPr>
            <w:r w:rsidRPr="005F062F">
              <w:rPr>
                <w:lang w:val="sl-SI"/>
              </w:rPr>
              <w:t>Osebe, ki se srečujejo z nekaterimi ovirami, ki jim preprečujejo učinkovit dostop do priložnosti za izobraževanje, usposabljanje ali mladinsko delo. Za podrobnejši opis oseb z manj priložnostmi glej del A tega vodnika – poglavje „Enakost in vključevanje“.</w:t>
            </w:r>
          </w:p>
        </w:tc>
      </w:tr>
      <w:tr w:rsidR="00705BF0" w:rsidRPr="002C560E" w14:paraId="7D39AC57" w14:textId="77777777" w:rsidTr="00EC19F7">
        <w:tc>
          <w:tcPr>
            <w:tcW w:w="2088" w:type="dxa"/>
          </w:tcPr>
          <w:p w14:paraId="7D39AC55" w14:textId="77777777" w:rsidR="00705BF0" w:rsidRPr="005F062F" w:rsidRDefault="00705BF0" w:rsidP="005F062F">
            <w:pPr>
              <w:pStyle w:val="GUIDE-NORMAL"/>
              <w:jc w:val="left"/>
              <w:rPr>
                <w:b/>
                <w:lang w:val="sl-SI"/>
              </w:rPr>
            </w:pPr>
            <w:r w:rsidRPr="005F062F">
              <w:rPr>
                <w:b/>
                <w:lang w:val="sl-SI"/>
              </w:rPr>
              <w:t>Osebje</w:t>
            </w:r>
          </w:p>
        </w:tc>
        <w:tc>
          <w:tcPr>
            <w:tcW w:w="7202" w:type="dxa"/>
          </w:tcPr>
          <w:p w14:paraId="7D39AC56" w14:textId="77777777" w:rsidR="00705BF0" w:rsidRPr="005F062F" w:rsidRDefault="00705BF0" w:rsidP="009A2C2A">
            <w:pPr>
              <w:pStyle w:val="GUIDE-NORMAL"/>
              <w:rPr>
                <w:lang w:val="sl-SI"/>
              </w:rPr>
            </w:pPr>
            <w:r w:rsidRPr="005F062F">
              <w:rPr>
                <w:lang w:val="sl-SI"/>
              </w:rPr>
              <w:t>Osebe, ki bodisi poklicno bodisi prostovoljno sodelujejo v izobraževanju, usposabljanju ali neformalnem učenju mladine ter lahko vključuje profesorje, učitelje, vodje usposabljanj, vodstvene delavce šol, mladinske delavce in osebje, ki ne sodeluje v izobraževanju.</w:t>
            </w:r>
          </w:p>
        </w:tc>
      </w:tr>
      <w:tr w:rsidR="00705BF0" w:rsidRPr="002C560E" w14:paraId="7D39AC5A" w14:textId="77777777" w:rsidTr="00EC19F7">
        <w:tc>
          <w:tcPr>
            <w:tcW w:w="2088" w:type="dxa"/>
          </w:tcPr>
          <w:p w14:paraId="7D39AC58" w14:textId="77777777" w:rsidR="00705BF0" w:rsidRPr="005F062F" w:rsidRDefault="00705BF0" w:rsidP="005F062F">
            <w:pPr>
              <w:pStyle w:val="GUIDE-NORMAL"/>
              <w:jc w:val="left"/>
              <w:rPr>
                <w:b/>
                <w:bCs/>
                <w:lang w:val="sl-SI"/>
              </w:rPr>
            </w:pPr>
            <w:r w:rsidRPr="005F062F">
              <w:rPr>
                <w:b/>
                <w:lang w:val="sl-SI"/>
              </w:rPr>
              <w:t>Osnovna</w:t>
            </w:r>
            <w:r w:rsidRPr="005F062F">
              <w:rPr>
                <w:b/>
                <w:spacing w:val="-5"/>
                <w:lang w:val="sl-SI"/>
              </w:rPr>
              <w:t xml:space="preserve"> </w:t>
            </w:r>
            <w:r w:rsidRPr="005F062F">
              <w:rPr>
                <w:b/>
                <w:lang w:val="sl-SI"/>
              </w:rPr>
              <w:t>znanja</w:t>
            </w:r>
          </w:p>
        </w:tc>
        <w:tc>
          <w:tcPr>
            <w:tcW w:w="7202" w:type="dxa"/>
          </w:tcPr>
          <w:p w14:paraId="7D39AC59" w14:textId="77777777" w:rsidR="00705BF0" w:rsidRPr="005F062F" w:rsidRDefault="00705BF0" w:rsidP="009A2C2A">
            <w:pPr>
              <w:pStyle w:val="GUIDE-NORMAL"/>
              <w:rPr>
                <w:lang w:val="sl-SI"/>
              </w:rPr>
            </w:pPr>
            <w:r w:rsidRPr="005F062F">
              <w:rPr>
                <w:lang w:val="sl-SI"/>
              </w:rPr>
              <w:t>Pismenost,</w:t>
            </w:r>
            <w:r w:rsidRPr="005F062F">
              <w:rPr>
                <w:spacing w:val="-22"/>
                <w:lang w:val="sl-SI"/>
              </w:rPr>
              <w:t xml:space="preserve"> </w:t>
            </w:r>
            <w:r w:rsidRPr="005F062F">
              <w:rPr>
                <w:lang w:val="sl-SI"/>
              </w:rPr>
              <w:t>matematika,</w:t>
            </w:r>
            <w:r w:rsidRPr="005F062F">
              <w:rPr>
                <w:spacing w:val="-22"/>
                <w:lang w:val="sl-SI"/>
              </w:rPr>
              <w:t xml:space="preserve"> </w:t>
            </w:r>
            <w:r w:rsidRPr="005F062F">
              <w:rPr>
                <w:lang w:val="sl-SI"/>
              </w:rPr>
              <w:t>naravoslovje</w:t>
            </w:r>
            <w:r w:rsidRPr="005F062F">
              <w:rPr>
                <w:spacing w:val="-22"/>
                <w:lang w:val="sl-SI"/>
              </w:rPr>
              <w:t xml:space="preserve"> </w:t>
            </w:r>
            <w:r w:rsidRPr="005F062F">
              <w:rPr>
                <w:lang w:val="sl-SI"/>
              </w:rPr>
              <w:t>in</w:t>
            </w:r>
            <w:r w:rsidRPr="005F062F">
              <w:rPr>
                <w:spacing w:val="-22"/>
                <w:lang w:val="sl-SI"/>
              </w:rPr>
              <w:t xml:space="preserve"> </w:t>
            </w:r>
            <w:r w:rsidRPr="005F062F">
              <w:rPr>
                <w:lang w:val="sl-SI"/>
              </w:rPr>
              <w:t>tehnologija;</w:t>
            </w:r>
            <w:r w:rsidRPr="005F062F">
              <w:rPr>
                <w:spacing w:val="-22"/>
                <w:lang w:val="sl-SI"/>
              </w:rPr>
              <w:t xml:space="preserve"> </w:t>
            </w:r>
            <w:r w:rsidRPr="005F062F">
              <w:rPr>
                <w:lang w:val="sl-SI"/>
              </w:rPr>
              <w:t>ta</w:t>
            </w:r>
            <w:r w:rsidRPr="005F062F">
              <w:rPr>
                <w:spacing w:val="-22"/>
                <w:lang w:val="sl-SI"/>
              </w:rPr>
              <w:t xml:space="preserve"> </w:t>
            </w:r>
            <w:r w:rsidRPr="005F062F">
              <w:rPr>
                <w:lang w:val="sl-SI"/>
              </w:rPr>
              <w:t>znanja</w:t>
            </w:r>
            <w:r w:rsidRPr="005F062F">
              <w:rPr>
                <w:spacing w:val="-22"/>
                <w:lang w:val="sl-SI"/>
              </w:rPr>
              <w:t xml:space="preserve"> </w:t>
            </w:r>
            <w:r w:rsidRPr="005F062F">
              <w:rPr>
                <w:lang w:val="sl-SI"/>
              </w:rPr>
              <w:t>so vključena v ključne</w:t>
            </w:r>
            <w:r w:rsidRPr="005F062F">
              <w:rPr>
                <w:spacing w:val="-9"/>
                <w:lang w:val="sl-SI"/>
              </w:rPr>
              <w:t xml:space="preserve"> </w:t>
            </w:r>
            <w:r w:rsidRPr="005F062F">
              <w:rPr>
                <w:lang w:val="sl-SI"/>
              </w:rPr>
              <w:t>kompetence.</w:t>
            </w:r>
          </w:p>
        </w:tc>
      </w:tr>
      <w:tr w:rsidR="00705BF0" w:rsidRPr="002C560E" w14:paraId="7D39AC5D" w14:textId="77777777" w:rsidTr="00EC19F7">
        <w:tc>
          <w:tcPr>
            <w:tcW w:w="2088" w:type="dxa"/>
          </w:tcPr>
          <w:p w14:paraId="7D39AC5B" w14:textId="77777777" w:rsidR="00705BF0" w:rsidRPr="005F062F" w:rsidRDefault="00705BF0" w:rsidP="005F062F">
            <w:pPr>
              <w:pStyle w:val="GUIDE-NORMAL"/>
              <w:jc w:val="left"/>
              <w:rPr>
                <w:b/>
                <w:lang w:val="sl-SI"/>
              </w:rPr>
            </w:pPr>
            <w:r w:rsidRPr="005F062F">
              <w:rPr>
                <w:b/>
                <w:lang w:val="sl-SI"/>
              </w:rPr>
              <w:t>Partner (partnerska organizacija)</w:t>
            </w:r>
          </w:p>
        </w:tc>
        <w:tc>
          <w:tcPr>
            <w:tcW w:w="7202" w:type="dxa"/>
          </w:tcPr>
          <w:p w14:paraId="7D39AC5C" w14:textId="77777777" w:rsidR="00705BF0" w:rsidRPr="005F062F" w:rsidRDefault="00705BF0" w:rsidP="009A2C2A">
            <w:pPr>
              <w:pStyle w:val="GUIDE-NORMAL"/>
              <w:rPr>
                <w:lang w:val="sl-SI"/>
              </w:rPr>
            </w:pPr>
            <w:r w:rsidRPr="005F062F">
              <w:rPr>
                <w:lang w:val="sl-SI"/>
              </w:rPr>
              <w:t>Sodelujoča organizacija, ki je vključena v projekt, vendar ne prevzame vloge prijaviteljice.</w:t>
            </w:r>
          </w:p>
        </w:tc>
      </w:tr>
      <w:tr w:rsidR="00705BF0" w:rsidRPr="002C560E" w14:paraId="7D39AC60" w14:textId="77777777" w:rsidTr="00EC19F7">
        <w:tc>
          <w:tcPr>
            <w:tcW w:w="2088" w:type="dxa"/>
          </w:tcPr>
          <w:p w14:paraId="7D39AC5E" w14:textId="77777777" w:rsidR="00705BF0" w:rsidRPr="005F062F" w:rsidRDefault="00705BF0" w:rsidP="005F062F">
            <w:pPr>
              <w:pStyle w:val="GUIDE-NORMAL"/>
              <w:jc w:val="left"/>
              <w:rPr>
                <w:b/>
                <w:lang w:val="sl-SI"/>
              </w:rPr>
            </w:pPr>
            <w:r w:rsidRPr="005F062F">
              <w:rPr>
                <w:b/>
                <w:lang w:val="sl-SI"/>
              </w:rPr>
              <w:t>Partnerske države</w:t>
            </w:r>
          </w:p>
        </w:tc>
        <w:tc>
          <w:tcPr>
            <w:tcW w:w="7202" w:type="dxa"/>
          </w:tcPr>
          <w:p w14:paraId="7D39AC5F" w14:textId="77777777" w:rsidR="00705BF0" w:rsidRPr="005F062F" w:rsidRDefault="00705BF0" w:rsidP="009A2C2A">
            <w:pPr>
              <w:pStyle w:val="GUIDE-NORMAL"/>
              <w:rPr>
                <w:lang w:val="sl-SI"/>
              </w:rPr>
            </w:pPr>
            <w:r w:rsidRPr="005F062F">
              <w:rPr>
                <w:lang w:val="sl-SI"/>
              </w:rPr>
              <w:t>Države, ki niso v celoti vključene v program Erasmus+, temveč lahko sodelujejo (kot partnerice ali prijaviteljice) v določenih ukrepih Programa. Seznam partnerskih držav programa Erasmus+ je opisan v delu A tega vodnika, v poglavju „Kdo lahko sodeluje v programu Erasmus+?“.</w:t>
            </w:r>
          </w:p>
        </w:tc>
      </w:tr>
      <w:tr w:rsidR="00705BF0" w:rsidRPr="002C560E" w14:paraId="7D39AC63" w14:textId="77777777" w:rsidTr="00EC19F7">
        <w:tc>
          <w:tcPr>
            <w:tcW w:w="2088" w:type="dxa"/>
          </w:tcPr>
          <w:p w14:paraId="7D39AC61" w14:textId="77777777" w:rsidR="00705BF0" w:rsidRPr="005F062F" w:rsidRDefault="00705BF0" w:rsidP="005F062F">
            <w:pPr>
              <w:pStyle w:val="GUIDE-NORMAL"/>
              <w:jc w:val="left"/>
              <w:rPr>
                <w:b/>
                <w:lang w:val="sl-SI"/>
              </w:rPr>
            </w:pPr>
            <w:r w:rsidRPr="005F062F">
              <w:rPr>
                <w:b/>
                <w:lang w:val="sl-SI"/>
              </w:rPr>
              <w:t>Partnerstvo</w:t>
            </w:r>
          </w:p>
        </w:tc>
        <w:tc>
          <w:tcPr>
            <w:tcW w:w="7202" w:type="dxa"/>
          </w:tcPr>
          <w:p w14:paraId="7D39AC62" w14:textId="77777777" w:rsidR="00705BF0" w:rsidRPr="005F062F" w:rsidRDefault="00705BF0" w:rsidP="009A2C2A">
            <w:pPr>
              <w:pStyle w:val="GUIDE-NORMAL"/>
              <w:rPr>
                <w:lang w:val="sl-SI"/>
              </w:rPr>
            </w:pPr>
            <w:r w:rsidRPr="005F062F">
              <w:rPr>
                <w:lang w:val="sl-SI"/>
              </w:rPr>
              <w:t>Sporazum med skupino sodelujočih organizacij v različnih državah Programa za izvajanje skupnih evropskih aktivnosti na področju izobraževanja, usposabljanja, mladine in športa ali vzpostavitev formalne ali neformalne mreže na ustreznem področju, kot so skupni učni projekti za učence in njihove učitelje v obliki izmenjav razredov in posamezne dolgotrajne mobilnosti, intenzivni visokošolski programi ter sodelovanje med lokalnimi in regionalnimi organi za spodbujanje medregionalnega in tudi čezmejnega sodelovanja; zajame lahko tudi institucije in/ali organizacije iz partnerskih držav za krepitev kakovosti partnerstva.</w:t>
            </w:r>
          </w:p>
        </w:tc>
      </w:tr>
      <w:tr w:rsidR="00705BF0" w:rsidRPr="002C560E" w14:paraId="7D39AC66" w14:textId="77777777" w:rsidTr="00EC19F7">
        <w:tc>
          <w:tcPr>
            <w:tcW w:w="2088" w:type="dxa"/>
          </w:tcPr>
          <w:p w14:paraId="7D39AC64" w14:textId="77777777" w:rsidR="00705BF0" w:rsidRPr="005F062F" w:rsidRDefault="00705BF0" w:rsidP="005F062F">
            <w:pPr>
              <w:pStyle w:val="GUIDE-NORMAL"/>
              <w:jc w:val="left"/>
              <w:rPr>
                <w:b/>
                <w:lang w:val="sl-SI"/>
              </w:rPr>
            </w:pPr>
            <w:r w:rsidRPr="005F062F">
              <w:rPr>
                <w:b/>
                <w:lang w:val="sl-SI"/>
              </w:rPr>
              <w:t xml:space="preserve">Podjetje </w:t>
            </w:r>
          </w:p>
        </w:tc>
        <w:tc>
          <w:tcPr>
            <w:tcW w:w="7202" w:type="dxa"/>
          </w:tcPr>
          <w:p w14:paraId="7D39AC65" w14:textId="77777777" w:rsidR="00705BF0" w:rsidRPr="005F062F" w:rsidRDefault="00705BF0" w:rsidP="009A2C2A">
            <w:pPr>
              <w:pStyle w:val="GUIDE-NORMAL"/>
              <w:rPr>
                <w:lang w:val="sl-SI"/>
              </w:rPr>
            </w:pPr>
            <w:r w:rsidRPr="005F062F">
              <w:rPr>
                <w:lang w:val="sl-SI"/>
              </w:rPr>
              <w:t>Kakršno koli podjetje, ki izvaja gospodarsko aktivnost, ne glede na velikost, pravno obliko ali gospodarski sektor, v katerem deluje.</w:t>
            </w:r>
          </w:p>
        </w:tc>
      </w:tr>
      <w:tr w:rsidR="00705BF0" w:rsidRPr="002C560E" w14:paraId="7D39AC69" w14:textId="77777777" w:rsidTr="00EC19F7">
        <w:tc>
          <w:tcPr>
            <w:tcW w:w="2088" w:type="dxa"/>
          </w:tcPr>
          <w:p w14:paraId="7D39AC67" w14:textId="77777777" w:rsidR="00705BF0" w:rsidRPr="005F062F" w:rsidRDefault="00705BF0" w:rsidP="005F062F">
            <w:pPr>
              <w:pStyle w:val="GUIDE-NORMAL"/>
              <w:jc w:val="left"/>
              <w:rPr>
                <w:b/>
                <w:lang w:val="sl-SI"/>
              </w:rPr>
            </w:pPr>
            <w:r w:rsidRPr="005F062F">
              <w:rPr>
                <w:b/>
                <w:lang w:val="sl-SI"/>
              </w:rPr>
              <w:t>Poklicni profil</w:t>
            </w:r>
          </w:p>
        </w:tc>
        <w:tc>
          <w:tcPr>
            <w:tcW w:w="7202" w:type="dxa"/>
          </w:tcPr>
          <w:p w14:paraId="7D39AC68" w14:textId="77777777" w:rsidR="00705BF0" w:rsidRPr="005F062F" w:rsidRDefault="00705BF0" w:rsidP="009A2C2A">
            <w:pPr>
              <w:pStyle w:val="GUIDE-NORMAL"/>
              <w:rPr>
                <w:lang w:val="sl-SI"/>
              </w:rPr>
            </w:pPr>
            <w:r w:rsidRPr="005F062F">
              <w:rPr>
                <w:lang w:val="sl-SI"/>
              </w:rPr>
              <w:t>Sklop spretnosti, kompetenc, znanja in kvalifikacij, ki so običajno potrebni za določen poklic.</w:t>
            </w:r>
          </w:p>
        </w:tc>
      </w:tr>
      <w:tr w:rsidR="00705BF0" w:rsidRPr="002C560E" w14:paraId="7D39AC6C" w14:textId="77777777" w:rsidTr="00EC19F7">
        <w:tc>
          <w:tcPr>
            <w:tcW w:w="2088" w:type="dxa"/>
          </w:tcPr>
          <w:p w14:paraId="7D39AC6A" w14:textId="77777777" w:rsidR="00705BF0" w:rsidRPr="005F062F" w:rsidRDefault="00705BF0" w:rsidP="005F062F">
            <w:pPr>
              <w:pStyle w:val="GUIDE-NORMAL"/>
              <w:jc w:val="left"/>
              <w:rPr>
                <w:b/>
                <w:lang w:val="sl-SI"/>
              </w:rPr>
            </w:pPr>
            <w:r w:rsidRPr="005F062F">
              <w:rPr>
                <w:b/>
                <w:lang w:val="sl-SI"/>
              </w:rPr>
              <w:t>Poklicno izobraževanje in usposabljanje (PIU)</w:t>
            </w:r>
          </w:p>
        </w:tc>
        <w:tc>
          <w:tcPr>
            <w:tcW w:w="7202" w:type="dxa"/>
          </w:tcPr>
          <w:p w14:paraId="7D39AC6B" w14:textId="77777777" w:rsidR="00705BF0" w:rsidRPr="005F062F" w:rsidRDefault="00705BF0" w:rsidP="009A2C2A">
            <w:pPr>
              <w:pStyle w:val="GUIDE-NORMAL"/>
              <w:rPr>
                <w:lang w:val="sl-SI"/>
              </w:rPr>
            </w:pPr>
            <w:r w:rsidRPr="005F062F">
              <w:rPr>
                <w:lang w:val="sl-SI"/>
              </w:rPr>
              <w:t>Izobraževanje in usposabljanje, katerih namen je ljudem zagotoviti znanje, strokovno znanje, spretnosti in/ali kompetence, potrebne za določene poklice ali širše na trgu dela. Za namen projektov Erasmus+ je usmerjenost v začetno ali nadaljevalno poklicno izobraževanje in usposabljanje upravičena v okviru ukrepov PIU.</w:t>
            </w:r>
          </w:p>
        </w:tc>
      </w:tr>
      <w:tr w:rsidR="00705BF0" w:rsidRPr="002C560E" w14:paraId="7D39AC6F" w14:textId="77777777" w:rsidTr="00EC19F7">
        <w:tc>
          <w:tcPr>
            <w:tcW w:w="2088" w:type="dxa"/>
          </w:tcPr>
          <w:p w14:paraId="7D39AC6D" w14:textId="77777777" w:rsidR="00705BF0" w:rsidRPr="005F062F" w:rsidRDefault="00705BF0" w:rsidP="005F062F">
            <w:pPr>
              <w:pStyle w:val="GUIDE-NORMAL"/>
              <w:jc w:val="left"/>
              <w:rPr>
                <w:b/>
                <w:lang w:val="sl-SI"/>
              </w:rPr>
            </w:pPr>
            <w:r w:rsidRPr="005F062F">
              <w:rPr>
                <w:b/>
                <w:lang w:val="sl-SI"/>
              </w:rPr>
              <w:t>Potrdilo</w:t>
            </w:r>
          </w:p>
        </w:tc>
        <w:tc>
          <w:tcPr>
            <w:tcW w:w="7202" w:type="dxa"/>
          </w:tcPr>
          <w:p w14:paraId="7D39AC6E" w14:textId="77777777" w:rsidR="00705BF0" w:rsidRPr="001048FE" w:rsidRDefault="00705BF0" w:rsidP="009A2C2A">
            <w:pPr>
              <w:pStyle w:val="GUIDE-NORMAL"/>
              <w:rPr>
                <w:lang w:val="sl-SI"/>
              </w:rPr>
            </w:pPr>
            <w:r w:rsidRPr="005F062F">
              <w:rPr>
                <w:lang w:val="sl-SI"/>
              </w:rPr>
              <w:t>V okviru programa Erasmus+ je to dokument, ki se izda osebi, ki je zaključila aktivnost učenja na področju izobraževanja, usposabljanja in mladine, kadar je to ustrezno. Tak dokument potrjuje udeležbo in po potrebi učne izide udeleženca v aktivnosti.</w:t>
            </w:r>
          </w:p>
        </w:tc>
      </w:tr>
      <w:tr w:rsidR="00705BF0" w:rsidRPr="002C560E" w14:paraId="7D39AC76" w14:textId="77777777" w:rsidTr="00EC19F7">
        <w:tc>
          <w:tcPr>
            <w:tcW w:w="2088" w:type="dxa"/>
          </w:tcPr>
          <w:p w14:paraId="7D39AC70" w14:textId="77777777" w:rsidR="00705BF0" w:rsidRPr="005F062F" w:rsidRDefault="00705BF0" w:rsidP="005F062F">
            <w:pPr>
              <w:pStyle w:val="GUIDE-NORMAL"/>
              <w:jc w:val="left"/>
              <w:rPr>
                <w:b/>
                <w:lang w:val="sl-SI"/>
              </w:rPr>
            </w:pPr>
            <w:r w:rsidRPr="005F062F">
              <w:rPr>
                <w:b/>
                <w:lang w:val="sl-SI"/>
              </w:rPr>
              <w:t>Potrjevanje neformalnega in priložnostnega učenja</w:t>
            </w:r>
          </w:p>
        </w:tc>
        <w:tc>
          <w:tcPr>
            <w:tcW w:w="7202" w:type="dxa"/>
          </w:tcPr>
          <w:p w14:paraId="7D39AC71" w14:textId="77777777" w:rsidR="00705BF0" w:rsidRDefault="00705BF0" w:rsidP="009A2C2A">
            <w:pPr>
              <w:pStyle w:val="GUIDE-NORMAL"/>
              <w:rPr>
                <w:lang w:val="sl-SI"/>
              </w:rPr>
            </w:pPr>
            <w:r w:rsidRPr="005F062F">
              <w:rPr>
                <w:lang w:val="sl-SI"/>
              </w:rPr>
              <w:t>Postopek potrjevanja, ki ga izvaja pooblaščeni organ, da je posameznik dosegel učne izide glede na ustrezen standard, in ki je sestavljen iz naslednjih štirih ločenih faz:</w:t>
            </w:r>
          </w:p>
          <w:p w14:paraId="7D39AC72" w14:textId="77777777" w:rsidR="00705BF0" w:rsidRDefault="005115F2" w:rsidP="005115F2">
            <w:pPr>
              <w:pStyle w:val="Guide-NormalBulletpoints"/>
              <w:rPr>
                <w:lang w:val="sl-SI"/>
              </w:rPr>
            </w:pPr>
            <w:r>
              <w:rPr>
                <w:lang w:val="sl-SI"/>
              </w:rPr>
              <w:t xml:space="preserve">1. </w:t>
            </w:r>
            <w:r w:rsidR="00705BF0" w:rsidRPr="001048FE">
              <w:rPr>
                <w:lang w:val="sl-SI"/>
              </w:rPr>
              <w:t>ugotavljanje posebnih izkušenj posameznika z dialogom;</w:t>
            </w:r>
          </w:p>
          <w:p w14:paraId="7D39AC73" w14:textId="77777777" w:rsidR="00705BF0" w:rsidRPr="001048FE" w:rsidRDefault="005115F2" w:rsidP="005115F2">
            <w:pPr>
              <w:pStyle w:val="Guide-NormalBulletpoints"/>
              <w:rPr>
                <w:lang w:val="sl-SI"/>
              </w:rPr>
            </w:pPr>
            <w:r>
              <w:rPr>
                <w:lang w:val="sl-SI"/>
              </w:rPr>
              <w:t xml:space="preserve">2. </w:t>
            </w:r>
            <w:r w:rsidR="00705BF0" w:rsidRPr="001048FE">
              <w:rPr>
                <w:lang w:val="sl-SI"/>
              </w:rPr>
              <w:t>priprava dokumentacije, ki potrjuje izkušnje posameznika;</w:t>
            </w:r>
          </w:p>
          <w:p w14:paraId="7D39AC74" w14:textId="77777777" w:rsidR="00705BF0" w:rsidRPr="001048FE" w:rsidRDefault="005115F2" w:rsidP="005115F2">
            <w:pPr>
              <w:pStyle w:val="Guide-NormalBulletpoints"/>
              <w:rPr>
                <w:lang w:val="sl-SI"/>
              </w:rPr>
            </w:pPr>
            <w:r>
              <w:rPr>
                <w:lang w:val="sl-SI"/>
              </w:rPr>
              <w:t xml:space="preserve">3. </w:t>
            </w:r>
            <w:r w:rsidR="00705BF0" w:rsidRPr="001048FE">
              <w:rPr>
                <w:lang w:val="sl-SI"/>
              </w:rPr>
              <w:t>formalna ocena teh izkušenj in</w:t>
            </w:r>
          </w:p>
          <w:p w14:paraId="7D39AC75" w14:textId="77777777" w:rsidR="00705BF0" w:rsidRPr="005F062F" w:rsidRDefault="005115F2" w:rsidP="005115F2">
            <w:pPr>
              <w:pStyle w:val="Guide-NormalBulletpoints"/>
              <w:rPr>
                <w:lang w:val="sl-SI"/>
              </w:rPr>
            </w:pPr>
            <w:r>
              <w:rPr>
                <w:lang w:val="sl-SI"/>
              </w:rPr>
              <w:t xml:space="preserve">4. </w:t>
            </w:r>
            <w:r w:rsidR="00705BF0" w:rsidRPr="001048FE">
              <w:rPr>
                <w:lang w:val="sl-SI"/>
              </w:rPr>
              <w:t>potrjevanje rezultatov ocene, na podlagi katere se priznajo delne ali celotne kvalifikacije.</w:t>
            </w:r>
          </w:p>
        </w:tc>
      </w:tr>
      <w:tr w:rsidR="00705BF0" w:rsidRPr="002C560E" w14:paraId="7D39AC7C" w14:textId="77777777" w:rsidTr="00EC19F7">
        <w:tc>
          <w:tcPr>
            <w:tcW w:w="2088" w:type="dxa"/>
          </w:tcPr>
          <w:p w14:paraId="7D39AC77" w14:textId="77777777" w:rsidR="00705BF0" w:rsidRPr="005F062F" w:rsidRDefault="00705BF0" w:rsidP="005F062F">
            <w:pPr>
              <w:pStyle w:val="GUIDE-NORMAL"/>
              <w:jc w:val="left"/>
              <w:rPr>
                <w:b/>
                <w:lang w:val="sl-SI"/>
              </w:rPr>
            </w:pPr>
            <w:r w:rsidRPr="005F062F">
              <w:rPr>
                <w:b/>
                <w:lang w:val="sl-SI"/>
              </w:rPr>
              <w:t>Povezani subjekti</w:t>
            </w:r>
          </w:p>
        </w:tc>
        <w:tc>
          <w:tcPr>
            <w:tcW w:w="7202" w:type="dxa"/>
          </w:tcPr>
          <w:p w14:paraId="7D39AC78" w14:textId="77777777" w:rsidR="00705BF0" w:rsidRDefault="00705BF0" w:rsidP="009A2C2A">
            <w:pPr>
              <w:pStyle w:val="GUIDE-NORMAL"/>
              <w:rPr>
                <w:lang w:val="sl-SI"/>
              </w:rPr>
            </w:pPr>
            <w:r w:rsidRPr="005F062F">
              <w:rPr>
                <w:lang w:val="sl-SI"/>
              </w:rPr>
              <w:t>Za povezane subjekte se lahko štejejo naslednji subjekti (v skladu s členom 187 finančne uredbe):</w:t>
            </w:r>
          </w:p>
          <w:p w14:paraId="7D39AC79" w14:textId="77777777" w:rsidR="00705BF0" w:rsidRPr="001048FE" w:rsidRDefault="00705BF0" w:rsidP="005115F2">
            <w:pPr>
              <w:pStyle w:val="Guide-NormalBulletpoints"/>
              <w:numPr>
                <w:ilvl w:val="0"/>
                <w:numId w:val="494"/>
              </w:numPr>
              <w:rPr>
                <w:lang w:val="sl-SI"/>
              </w:rPr>
            </w:pPr>
            <w:r w:rsidRPr="001048FE">
              <w:rPr>
                <w:lang w:val="sl-SI"/>
              </w:rPr>
              <w:t>pravni subjekti, ki imajo pravno ali kapitalsko povezavo z upravičenci; povezava ni niti omejena na ukrep niti vzpostavljena zgolj zaradi izvajanja ukrepa;</w:t>
            </w:r>
          </w:p>
          <w:p w14:paraId="7D39AC7A" w14:textId="77777777" w:rsidR="00705BF0" w:rsidRPr="001048FE" w:rsidRDefault="00705BF0" w:rsidP="005115F2">
            <w:pPr>
              <w:pStyle w:val="Guide-NormalBulletpoints"/>
              <w:numPr>
                <w:ilvl w:val="0"/>
                <w:numId w:val="494"/>
              </w:numPr>
              <w:rPr>
                <w:lang w:val="sl-SI"/>
              </w:rPr>
            </w:pPr>
            <w:r w:rsidRPr="001048FE">
              <w:rPr>
                <w:lang w:val="sl-SI"/>
              </w:rPr>
              <w:t>več subjektov, ki izpolnjujejo merila za dodelitev nepovratnih sredstev in skupaj oblikujejo en subjekt, ki se lahko obravnava kot edini upravičenec, tudi če je bil ta subjekt posebej ustanovljen z namenom izvajanja ukrepa.</w:t>
            </w:r>
          </w:p>
          <w:p w14:paraId="7D39AC7B" w14:textId="77777777" w:rsidR="00705BF0" w:rsidRPr="005F062F" w:rsidRDefault="00705BF0" w:rsidP="005F062F">
            <w:pPr>
              <w:pStyle w:val="GUIDE-NORMAL"/>
              <w:rPr>
                <w:lang w:val="sl-SI"/>
              </w:rPr>
            </w:pPr>
            <w:r w:rsidRPr="001048FE">
              <w:rPr>
                <w:lang w:val="sl-SI"/>
              </w:rPr>
              <w:t>Povezani subjekti morajo izpolnjevati merila za upravičenost in izključitev ter, če je primerno, merila za izbor, ki se uporabljajo za prijavitelje.</w:t>
            </w:r>
          </w:p>
        </w:tc>
      </w:tr>
      <w:tr w:rsidR="00705BF0" w:rsidRPr="002C560E" w14:paraId="7D39AC7F" w14:textId="77777777" w:rsidTr="00EC19F7">
        <w:tc>
          <w:tcPr>
            <w:tcW w:w="2088" w:type="dxa"/>
          </w:tcPr>
          <w:p w14:paraId="7D39AC7D" w14:textId="77777777" w:rsidR="00705BF0" w:rsidRPr="005F062F" w:rsidRDefault="00705BF0" w:rsidP="005F062F">
            <w:pPr>
              <w:pStyle w:val="GUIDE-NORMAL"/>
              <w:jc w:val="left"/>
              <w:rPr>
                <w:b/>
                <w:lang w:val="sl-SI"/>
              </w:rPr>
            </w:pPr>
            <w:r w:rsidRPr="005F062F">
              <w:rPr>
                <w:b/>
                <w:lang w:val="sl-SI"/>
              </w:rPr>
              <w:t>Praksa (delovna praksa)</w:t>
            </w:r>
          </w:p>
        </w:tc>
        <w:tc>
          <w:tcPr>
            <w:tcW w:w="7202" w:type="dxa"/>
          </w:tcPr>
          <w:p w14:paraId="7D39AC7E" w14:textId="77777777" w:rsidR="00705BF0" w:rsidRPr="005F062F" w:rsidRDefault="00705BF0" w:rsidP="009A2C2A">
            <w:pPr>
              <w:pStyle w:val="GUIDE-NORMAL"/>
              <w:rPr>
                <w:lang w:val="sl-SI"/>
              </w:rPr>
            </w:pPr>
            <w:r w:rsidRPr="005F062F">
              <w:rPr>
                <w:lang w:val="sl-SI"/>
              </w:rPr>
              <w:t>Obdobje v podjetju ali organizaciji v drugi državi za pridobitev posebnih kompetenc, ki so zahtevane na trgu dela, delovnih izkušenj in boljšega razumevanja gospodarske in družbene kulture te države.</w:t>
            </w:r>
          </w:p>
        </w:tc>
      </w:tr>
      <w:tr w:rsidR="00705BF0" w:rsidRPr="002C560E" w14:paraId="7D39AC82" w14:textId="77777777" w:rsidTr="00EC19F7">
        <w:tc>
          <w:tcPr>
            <w:tcW w:w="2088" w:type="dxa"/>
          </w:tcPr>
          <w:p w14:paraId="7D39AC80" w14:textId="77777777" w:rsidR="00705BF0" w:rsidRPr="005F062F" w:rsidRDefault="00705BF0" w:rsidP="005F062F">
            <w:pPr>
              <w:pStyle w:val="GUIDE-NORMAL"/>
              <w:jc w:val="left"/>
              <w:rPr>
                <w:b/>
                <w:lang w:val="sl-SI"/>
              </w:rPr>
            </w:pPr>
            <w:r w:rsidRPr="005F062F">
              <w:rPr>
                <w:b/>
                <w:lang w:val="sl-SI"/>
              </w:rPr>
              <w:t>Prečne (mehke; življenjske) veščine</w:t>
            </w:r>
          </w:p>
        </w:tc>
        <w:tc>
          <w:tcPr>
            <w:tcW w:w="7202" w:type="dxa"/>
          </w:tcPr>
          <w:p w14:paraId="7D39AC81" w14:textId="77777777" w:rsidR="00705BF0" w:rsidRPr="005F062F" w:rsidRDefault="00705BF0" w:rsidP="009A2C2A">
            <w:pPr>
              <w:pStyle w:val="GUIDE-NORMAL"/>
              <w:rPr>
                <w:lang w:val="sl-SI"/>
              </w:rPr>
            </w:pPr>
            <w:r w:rsidRPr="005F062F">
              <w:rPr>
                <w:lang w:val="sl-SI"/>
              </w:rPr>
              <w:t>vključujejo sposobnost kritičnega mišljenja, vedoželjnost in ustvarjalnost, prevzemanje pobude, reševanje problemov in sodelovalno delo, sposobnost učinkovitega sporazumevanja v večkulturnem in večdisciplinarnem okolju, sposobnost prilagajanja kontekstu, obvladovanje stresa in negotovosti; te veščine so del ključnih kompetenc.</w:t>
            </w:r>
          </w:p>
        </w:tc>
      </w:tr>
      <w:tr w:rsidR="00705BF0" w:rsidRPr="00C80136" w14:paraId="7D39AC85" w14:textId="77777777" w:rsidTr="00EC19F7">
        <w:tc>
          <w:tcPr>
            <w:tcW w:w="2088" w:type="dxa"/>
          </w:tcPr>
          <w:p w14:paraId="7D39AC83" w14:textId="77777777" w:rsidR="00705BF0" w:rsidRPr="005F062F" w:rsidRDefault="00705BF0" w:rsidP="005F062F">
            <w:pPr>
              <w:pStyle w:val="GUIDE-NORMAL"/>
              <w:jc w:val="left"/>
              <w:rPr>
                <w:b/>
                <w:bCs/>
                <w:color w:val="000000"/>
                <w:lang w:val="sl-SI"/>
              </w:rPr>
            </w:pPr>
            <w:r w:rsidRPr="005F062F">
              <w:rPr>
                <w:b/>
                <w:lang w:val="sl-SI"/>
              </w:rPr>
              <w:t>Prijavitelj</w:t>
            </w:r>
          </w:p>
        </w:tc>
        <w:tc>
          <w:tcPr>
            <w:tcW w:w="7202" w:type="dxa"/>
          </w:tcPr>
          <w:p w14:paraId="7D39AC84" w14:textId="77777777" w:rsidR="00705BF0" w:rsidRPr="005F062F" w:rsidRDefault="00705BF0" w:rsidP="009A2C2A">
            <w:pPr>
              <w:pStyle w:val="GUIDE-NORMAL"/>
              <w:rPr>
                <w:lang w:val="sl-SI"/>
              </w:rPr>
            </w:pPr>
            <w:r w:rsidRPr="005F062F">
              <w:rPr>
                <w:lang w:val="sl-SI"/>
              </w:rPr>
              <w:t>Sodelujoča</w:t>
            </w:r>
            <w:r w:rsidRPr="005F062F">
              <w:rPr>
                <w:spacing w:val="-17"/>
                <w:lang w:val="sl-SI"/>
              </w:rPr>
              <w:t xml:space="preserve"> </w:t>
            </w:r>
            <w:r w:rsidRPr="005F062F">
              <w:rPr>
                <w:lang w:val="sl-SI"/>
              </w:rPr>
              <w:t>organizacija</w:t>
            </w:r>
            <w:r w:rsidRPr="005F062F">
              <w:rPr>
                <w:spacing w:val="-17"/>
                <w:lang w:val="sl-SI"/>
              </w:rPr>
              <w:t xml:space="preserve"> </w:t>
            </w:r>
            <w:r w:rsidRPr="005F062F">
              <w:rPr>
                <w:lang w:val="sl-SI"/>
              </w:rPr>
              <w:t>ali</w:t>
            </w:r>
            <w:r w:rsidRPr="005F062F">
              <w:rPr>
                <w:spacing w:val="-17"/>
                <w:lang w:val="sl-SI"/>
              </w:rPr>
              <w:t xml:space="preserve"> </w:t>
            </w:r>
            <w:r w:rsidRPr="005F062F">
              <w:rPr>
                <w:lang w:val="sl-SI"/>
              </w:rPr>
              <w:t>neformalna</w:t>
            </w:r>
            <w:r w:rsidRPr="005F062F">
              <w:rPr>
                <w:spacing w:val="-17"/>
                <w:lang w:val="sl-SI"/>
              </w:rPr>
              <w:t xml:space="preserve"> </w:t>
            </w:r>
            <w:r w:rsidRPr="005F062F">
              <w:rPr>
                <w:lang w:val="sl-SI"/>
              </w:rPr>
              <w:t>skupina,</w:t>
            </w:r>
            <w:r w:rsidRPr="005F062F">
              <w:rPr>
                <w:spacing w:val="-17"/>
                <w:lang w:val="sl-SI"/>
              </w:rPr>
              <w:t xml:space="preserve"> </w:t>
            </w:r>
            <w:r w:rsidRPr="005F062F">
              <w:rPr>
                <w:lang w:val="sl-SI"/>
              </w:rPr>
              <w:t>ki</w:t>
            </w:r>
            <w:r w:rsidRPr="005F062F">
              <w:rPr>
                <w:spacing w:val="-17"/>
                <w:lang w:val="sl-SI"/>
              </w:rPr>
              <w:t xml:space="preserve"> </w:t>
            </w:r>
            <w:r w:rsidRPr="005F062F">
              <w:rPr>
                <w:lang w:val="sl-SI"/>
              </w:rPr>
              <w:t>odda</w:t>
            </w:r>
            <w:r w:rsidRPr="005F062F">
              <w:rPr>
                <w:spacing w:val="-17"/>
                <w:lang w:val="sl-SI"/>
              </w:rPr>
              <w:t xml:space="preserve"> </w:t>
            </w:r>
            <w:r w:rsidRPr="005F062F">
              <w:rPr>
                <w:lang w:val="sl-SI"/>
              </w:rPr>
              <w:t>vlogo</w:t>
            </w:r>
            <w:r w:rsidRPr="005F062F">
              <w:rPr>
                <w:spacing w:val="-17"/>
                <w:lang w:val="sl-SI"/>
              </w:rPr>
              <w:t xml:space="preserve"> </w:t>
            </w:r>
            <w:r w:rsidRPr="005F062F">
              <w:rPr>
                <w:lang w:val="sl-SI"/>
              </w:rPr>
              <w:t>za nepovratna sredstva. Prijavitelji se lahko prijavijo posamično ali v imenu drugih organizacij, ki sodelujejo v projektu. V slednjem primeru je prijavitelj tudi</w:t>
            </w:r>
            <w:r w:rsidRPr="005F062F">
              <w:rPr>
                <w:spacing w:val="2"/>
                <w:lang w:val="sl-SI"/>
              </w:rPr>
              <w:t xml:space="preserve"> </w:t>
            </w:r>
            <w:r w:rsidRPr="005F062F">
              <w:rPr>
                <w:lang w:val="sl-SI"/>
              </w:rPr>
              <w:t>koordinator.</w:t>
            </w:r>
          </w:p>
        </w:tc>
      </w:tr>
      <w:tr w:rsidR="00705BF0" w:rsidRPr="002C560E" w14:paraId="7D39AC88" w14:textId="77777777" w:rsidTr="00EC19F7">
        <w:tc>
          <w:tcPr>
            <w:tcW w:w="2088" w:type="dxa"/>
          </w:tcPr>
          <w:p w14:paraId="7D39AC86" w14:textId="77777777" w:rsidR="00705BF0" w:rsidRPr="005F062F" w:rsidRDefault="00705BF0" w:rsidP="005F062F">
            <w:pPr>
              <w:pStyle w:val="GUIDE-NORMAL"/>
              <w:jc w:val="left"/>
              <w:rPr>
                <w:b/>
                <w:lang w:val="sl-SI"/>
              </w:rPr>
            </w:pPr>
            <w:r w:rsidRPr="005F062F">
              <w:rPr>
                <w:b/>
                <w:lang w:val="sl-SI"/>
              </w:rPr>
              <w:t>Priloga k diplomi</w:t>
            </w:r>
          </w:p>
        </w:tc>
        <w:tc>
          <w:tcPr>
            <w:tcW w:w="7202" w:type="dxa"/>
          </w:tcPr>
          <w:p w14:paraId="7D39AC87" w14:textId="77777777" w:rsidR="00705BF0" w:rsidRPr="005F062F" w:rsidRDefault="00705BF0" w:rsidP="009A2C2A">
            <w:pPr>
              <w:pStyle w:val="GUIDE-NORMAL"/>
              <w:rPr>
                <w:lang w:val="sl-SI"/>
              </w:rPr>
            </w:pPr>
            <w:r w:rsidRPr="005F062F">
              <w:rPr>
                <w:lang w:val="sl-SI"/>
              </w:rPr>
              <w:t>Priloga k uradni dokumentaciji o kvalifikacijah, namenjena zagotovitvi podrobnejših informacij o študiju, ki so zbrane v dogovorjeni obliki, tj. mednarodno priznanem dokumentu, ki se priloži diplomi v visokošolskem izobraževanju in zagotavlja standardiziran opis narave, ravni, okvira, vsebine in statusa študija, ki ga je opravil imetnik diplome. Izdajo jo visokošolske institucije v skladu s standardi, ki so jih odobrili Evropska komisija, Svet Evrope in Unesco. Priloga k diplomi je del življenjepisa Europass (glej spodaj). V okviru mednarodnega skupnega študijskega programa se priporoča, da se zagotovi „skupna priloga k diplomi“, ki zajema celoten program in jo potrdijo vse univerze, ki dodeljujejo diplomo.</w:t>
            </w:r>
          </w:p>
        </w:tc>
      </w:tr>
      <w:tr w:rsidR="00705BF0" w:rsidRPr="002C560E" w14:paraId="7D39AC8B" w14:textId="77777777" w:rsidTr="00EC19F7">
        <w:tc>
          <w:tcPr>
            <w:tcW w:w="2088" w:type="dxa"/>
          </w:tcPr>
          <w:p w14:paraId="7D39AC89" w14:textId="77777777" w:rsidR="00705BF0" w:rsidRPr="005F062F" w:rsidRDefault="00705BF0" w:rsidP="005F062F">
            <w:pPr>
              <w:pStyle w:val="GUIDE-NORMAL"/>
              <w:jc w:val="left"/>
              <w:rPr>
                <w:b/>
                <w:lang w:val="sl-SI"/>
              </w:rPr>
            </w:pPr>
            <w:r w:rsidRPr="005F062F">
              <w:rPr>
                <w:b/>
                <w:lang w:val="sl-SI"/>
              </w:rPr>
              <w:t>Priložnostno učenje</w:t>
            </w:r>
          </w:p>
        </w:tc>
        <w:tc>
          <w:tcPr>
            <w:tcW w:w="7202" w:type="dxa"/>
          </w:tcPr>
          <w:p w14:paraId="7D39AC8A" w14:textId="77777777" w:rsidR="00705BF0" w:rsidRPr="005F062F" w:rsidRDefault="00705BF0" w:rsidP="009A2C2A">
            <w:pPr>
              <w:pStyle w:val="GUIDE-NORMAL"/>
              <w:rPr>
                <w:lang w:val="sl-SI"/>
              </w:rPr>
            </w:pPr>
            <w:r w:rsidRPr="005F062F">
              <w:rPr>
                <w:lang w:val="sl-SI"/>
              </w:rPr>
              <w:t>Učenje, ki je posledica vsakodnevnih aktivnosti, povezanih z delom, družino ali prostim časom, ki ni organizirano ali strukturirano v smislu ciljev, časa ali pomoči pri učenju; z vidika učenca je to učenje lahko nenamerno.</w:t>
            </w:r>
          </w:p>
        </w:tc>
      </w:tr>
      <w:tr w:rsidR="00705BF0" w:rsidRPr="002C560E" w14:paraId="7D39AC8E" w14:textId="77777777" w:rsidTr="00EC19F7">
        <w:tc>
          <w:tcPr>
            <w:tcW w:w="2088" w:type="dxa"/>
          </w:tcPr>
          <w:p w14:paraId="7D39AC8C" w14:textId="77777777" w:rsidR="00705BF0" w:rsidRPr="005F062F" w:rsidRDefault="00705BF0" w:rsidP="005F062F">
            <w:pPr>
              <w:pStyle w:val="GUIDE-NORMAL"/>
              <w:jc w:val="left"/>
              <w:rPr>
                <w:b/>
                <w:lang w:val="sl-SI"/>
              </w:rPr>
            </w:pPr>
            <w:r w:rsidRPr="005F062F">
              <w:rPr>
                <w:b/>
                <w:lang w:val="sl-SI"/>
              </w:rPr>
              <w:t>Profitna organizacija, ki je aktivna na področju družbene odgovornosti gospodarskih družb</w:t>
            </w:r>
          </w:p>
        </w:tc>
        <w:tc>
          <w:tcPr>
            <w:tcW w:w="7202" w:type="dxa"/>
          </w:tcPr>
          <w:p w14:paraId="7D39AC8D" w14:textId="77777777" w:rsidR="00705BF0" w:rsidRPr="005F062F" w:rsidRDefault="00705BF0" w:rsidP="009A2C2A">
            <w:pPr>
              <w:pStyle w:val="GUIDE-NORMAL"/>
              <w:rPr>
                <w:lang w:val="sl-SI"/>
              </w:rPr>
            </w:pPr>
            <w:r w:rsidRPr="005F062F">
              <w:rPr>
                <w:lang w:val="sl-SI"/>
              </w:rPr>
              <w:t>Zasebno podjetje, a) ki posluje v skladu z etičnimi standardi, in/ali b) ki poleg poslovanja izvaja tudi ukrepe z družbeno vrednostjo.</w:t>
            </w:r>
          </w:p>
        </w:tc>
      </w:tr>
      <w:tr w:rsidR="00705BF0" w:rsidRPr="002C560E" w14:paraId="7D39AC91" w14:textId="77777777" w:rsidTr="00EC19F7">
        <w:tc>
          <w:tcPr>
            <w:tcW w:w="2088" w:type="dxa"/>
          </w:tcPr>
          <w:p w14:paraId="7D39AC8F" w14:textId="77777777" w:rsidR="00705BF0" w:rsidRPr="005F062F" w:rsidRDefault="00705BF0" w:rsidP="005F062F">
            <w:pPr>
              <w:pStyle w:val="GUIDE-NORMAL"/>
              <w:jc w:val="left"/>
              <w:rPr>
                <w:b/>
                <w:lang w:val="sl-SI"/>
              </w:rPr>
            </w:pPr>
            <w:r w:rsidRPr="005F062F">
              <w:rPr>
                <w:b/>
                <w:lang w:val="sl-SI"/>
              </w:rPr>
              <w:t>Program za posodobitev visokošolskega izobraževanja</w:t>
            </w:r>
          </w:p>
        </w:tc>
        <w:tc>
          <w:tcPr>
            <w:tcW w:w="7202" w:type="dxa"/>
          </w:tcPr>
          <w:p w14:paraId="7D39AC90" w14:textId="77777777" w:rsidR="00705BF0" w:rsidRPr="001048FE" w:rsidRDefault="00705BF0" w:rsidP="009A2C2A">
            <w:pPr>
              <w:pStyle w:val="GUIDE-NORMAL"/>
              <w:rPr>
                <w:lang w:val="sl-SI"/>
              </w:rPr>
            </w:pPr>
            <w:r w:rsidRPr="005F062F">
              <w:rPr>
                <w:lang w:val="sl-SI"/>
              </w:rPr>
              <w:t>Strategija Evropske komisije, katere cilj je podpirati reforme držav članic in prispevati k ciljem strategije Evropa 2020 na področju visokošolskega izobraževanja. Glavna področja za reforme, opredeljena v novem programu, so: zvišati število diplomantov v visokošolskem izobraževanju; izboljšati kakovost in ustreznost poučevanja in usposabljanja raziskovalcev, diplomante opremiti z znanjem in ključnimi prenosljivimi kompetencami, ki jih potrebujejo za uspeh v poklicih, kjer se zahtevajo visoke kvalifikacije; za študente zagotoviti več priložnosti za pridobivanje dodatnih spretnosti s študijem ali usposabljanjem v tujini ter spodbujati čezmejno sodelovanje za večji uspeh v visokošolskem izobraževanju; okrepiti „trikotnik znanja,“ ki povezuje izobraževanje, raziskovanje in gospodarstvo, ter ustvariti učinkovite mehanizme upravljanja in financiranja za podporo</w:t>
            </w:r>
            <w:r w:rsidRPr="005F062F">
              <w:rPr>
                <w:spacing w:val="10"/>
                <w:lang w:val="sl-SI"/>
              </w:rPr>
              <w:t xml:space="preserve"> </w:t>
            </w:r>
            <w:r w:rsidRPr="005F062F">
              <w:rPr>
                <w:lang w:val="sl-SI"/>
              </w:rPr>
              <w:t>odličnosti.</w:t>
            </w:r>
          </w:p>
        </w:tc>
      </w:tr>
      <w:tr w:rsidR="00705BF0" w:rsidRPr="002C560E" w14:paraId="7D39AC94" w14:textId="77777777" w:rsidTr="00EC19F7">
        <w:tc>
          <w:tcPr>
            <w:tcW w:w="2088" w:type="dxa"/>
          </w:tcPr>
          <w:p w14:paraId="7D39AC92" w14:textId="77777777" w:rsidR="00705BF0" w:rsidRPr="005F062F" w:rsidRDefault="00705BF0" w:rsidP="005F062F">
            <w:pPr>
              <w:pStyle w:val="GUIDE-NORMAL"/>
              <w:jc w:val="left"/>
              <w:rPr>
                <w:b/>
                <w:lang w:val="sl-SI"/>
              </w:rPr>
            </w:pPr>
            <w:r w:rsidRPr="005F062F">
              <w:rPr>
                <w:b/>
                <w:lang w:val="sl-SI"/>
              </w:rPr>
              <w:t>Projekt</w:t>
            </w:r>
          </w:p>
        </w:tc>
        <w:tc>
          <w:tcPr>
            <w:tcW w:w="7202" w:type="dxa"/>
          </w:tcPr>
          <w:p w14:paraId="7D39AC93" w14:textId="77777777" w:rsidR="00705BF0" w:rsidRPr="005F062F" w:rsidRDefault="00705BF0" w:rsidP="009A2C2A">
            <w:pPr>
              <w:pStyle w:val="GUIDE-NORMAL"/>
              <w:rPr>
                <w:lang w:val="sl-SI"/>
              </w:rPr>
            </w:pPr>
            <w:r w:rsidRPr="005F062F">
              <w:rPr>
                <w:lang w:val="sl-SI"/>
              </w:rPr>
              <w:t>Skladen nabor aktivnosti, ki so organizirane za doseganje opredeljenih ciljev in rezultatov.</w:t>
            </w:r>
          </w:p>
        </w:tc>
      </w:tr>
      <w:tr w:rsidR="00705BF0" w:rsidRPr="002C560E" w14:paraId="7D39AC97" w14:textId="77777777" w:rsidTr="00EC19F7">
        <w:tc>
          <w:tcPr>
            <w:tcW w:w="2088" w:type="dxa"/>
          </w:tcPr>
          <w:p w14:paraId="7D39AC95" w14:textId="77777777" w:rsidR="00705BF0" w:rsidRPr="005F062F" w:rsidRDefault="00705BF0" w:rsidP="005F062F">
            <w:pPr>
              <w:pStyle w:val="GUIDE-NORMAL"/>
              <w:jc w:val="left"/>
              <w:rPr>
                <w:b/>
                <w:lang w:val="sl-SI"/>
              </w:rPr>
            </w:pPr>
            <w:r w:rsidRPr="005F062F">
              <w:rPr>
                <w:b/>
                <w:lang w:val="sl-SI"/>
              </w:rPr>
              <w:t>Prost dostop</w:t>
            </w:r>
          </w:p>
        </w:tc>
        <w:tc>
          <w:tcPr>
            <w:tcW w:w="7202" w:type="dxa"/>
          </w:tcPr>
          <w:p w14:paraId="7D39AC96" w14:textId="77777777" w:rsidR="00705BF0" w:rsidRPr="005F062F" w:rsidRDefault="00705BF0" w:rsidP="009A2C2A">
            <w:pPr>
              <w:pStyle w:val="GUIDE-NORMAL"/>
              <w:rPr>
                <w:lang w:val="sl-SI"/>
              </w:rPr>
            </w:pPr>
            <w:r w:rsidRPr="005F062F">
              <w:rPr>
                <w:lang w:val="sl-SI"/>
              </w:rPr>
              <w:t>Splošni koncept proste objave določenih vrst gradiv, ki pomeni, da do teh gradiv lahko dostopa in jih uporablja največja možna skupina uporabnikov ter da so namenjena za največje število primerov uporabe. Program Erasmus+ vključuje zahtevo glede prostega dostopa do učnih virov in spodbuja odprt dostop do rezultatov in podatkov raziskav.</w:t>
            </w:r>
          </w:p>
        </w:tc>
      </w:tr>
      <w:tr w:rsidR="00705BF0" w:rsidRPr="002C560E" w14:paraId="7D39AC9B" w14:textId="77777777" w:rsidTr="00EC19F7">
        <w:tc>
          <w:tcPr>
            <w:tcW w:w="2088" w:type="dxa"/>
          </w:tcPr>
          <w:p w14:paraId="7D39AC98" w14:textId="77777777" w:rsidR="00705BF0" w:rsidRPr="005F062F" w:rsidRDefault="00705BF0" w:rsidP="005F062F">
            <w:pPr>
              <w:pStyle w:val="GUIDE-NORMAL"/>
              <w:jc w:val="left"/>
              <w:rPr>
                <w:b/>
                <w:lang w:val="sl-SI"/>
              </w:rPr>
            </w:pPr>
            <w:r w:rsidRPr="005F062F">
              <w:rPr>
                <w:b/>
                <w:lang w:val="sl-SI"/>
              </w:rPr>
              <w:t>Prosto dostopni učni viri (PDUI)</w:t>
            </w:r>
          </w:p>
        </w:tc>
        <w:tc>
          <w:tcPr>
            <w:tcW w:w="7202" w:type="dxa"/>
          </w:tcPr>
          <w:p w14:paraId="7D39AC99" w14:textId="77777777" w:rsidR="00705BF0" w:rsidRDefault="00705BF0" w:rsidP="009A2C2A">
            <w:pPr>
              <w:pStyle w:val="GUIDE-NORMAL"/>
              <w:rPr>
                <w:lang w:val="sl-SI"/>
              </w:rPr>
            </w:pPr>
            <w:r w:rsidRPr="005F062F">
              <w:rPr>
                <w:lang w:val="sl-SI"/>
              </w:rPr>
              <w:t>Učna gradiva vseh vrst (npr. učbeniki, delovni zvezki, učne priprave, izobraževalni videoposnetki, celotni spletni tečaji, igre za učenje), ki se jih lahko prosto uporablja, prilagaja ali deli.</w:t>
            </w:r>
          </w:p>
          <w:p w14:paraId="7D39AC9A" w14:textId="77777777" w:rsidR="00705BF0" w:rsidRPr="005F062F" w:rsidRDefault="00705BF0" w:rsidP="005F062F">
            <w:pPr>
              <w:pStyle w:val="GUIDE-NORMAL"/>
              <w:rPr>
                <w:lang w:val="sl-SI"/>
              </w:rPr>
            </w:pPr>
            <w:r w:rsidRPr="001048FE">
              <w:rPr>
                <w:lang w:val="sl-SI"/>
              </w:rPr>
              <w:t>PDUI so bili bodisi objavljeni z odprtimi licencami bodisi so v javni lasti (zaščita avtorskih pravic je potekla). Brezplačna gradiva, ki jih javnost ne more prilagajati ali deliti, niso PDUI.</w:t>
            </w:r>
          </w:p>
        </w:tc>
      </w:tr>
      <w:tr w:rsidR="00705BF0" w:rsidRPr="002C560E" w14:paraId="7D39AC9E" w14:textId="77777777" w:rsidTr="00EC19F7">
        <w:tc>
          <w:tcPr>
            <w:tcW w:w="2088" w:type="dxa"/>
          </w:tcPr>
          <w:p w14:paraId="7D39AC9C" w14:textId="77777777" w:rsidR="00705BF0" w:rsidRPr="005F062F" w:rsidRDefault="00705BF0" w:rsidP="005F062F">
            <w:pPr>
              <w:pStyle w:val="GUIDE-NORMAL"/>
              <w:jc w:val="left"/>
              <w:rPr>
                <w:b/>
                <w:position w:val="-12"/>
                <w:lang w:val="sl-SI"/>
              </w:rPr>
            </w:pPr>
            <w:r w:rsidRPr="005F062F">
              <w:rPr>
                <w:b/>
                <w:position w:val="-12"/>
                <w:lang w:val="sl-SI"/>
              </w:rPr>
              <w:t>Rok (za</w:t>
            </w:r>
            <w:r w:rsidRPr="005F062F">
              <w:rPr>
                <w:b/>
                <w:spacing w:val="3"/>
                <w:position w:val="-12"/>
                <w:lang w:val="sl-SI"/>
              </w:rPr>
              <w:t xml:space="preserve"> </w:t>
            </w:r>
            <w:r w:rsidRPr="005F062F">
              <w:rPr>
                <w:b/>
                <w:position w:val="-12"/>
                <w:lang w:val="sl-SI"/>
              </w:rPr>
              <w:t>oddajo</w:t>
            </w:r>
            <w:r w:rsidRPr="005F062F">
              <w:rPr>
                <w:b/>
                <w:spacing w:val="1"/>
                <w:position w:val="-12"/>
                <w:lang w:val="sl-SI"/>
              </w:rPr>
              <w:t xml:space="preserve"> </w:t>
            </w:r>
            <w:r w:rsidRPr="005F062F">
              <w:rPr>
                <w:b/>
                <w:position w:val="-12"/>
                <w:lang w:val="sl-SI"/>
              </w:rPr>
              <w:t>vloge)</w:t>
            </w:r>
          </w:p>
        </w:tc>
        <w:tc>
          <w:tcPr>
            <w:tcW w:w="7202" w:type="dxa"/>
          </w:tcPr>
          <w:p w14:paraId="7D39AC9D" w14:textId="77777777" w:rsidR="00705BF0" w:rsidRPr="005F062F" w:rsidRDefault="00705BF0" w:rsidP="009A2C2A">
            <w:pPr>
              <w:pStyle w:val="GUIDE-NORMAL"/>
              <w:rPr>
                <w:lang w:val="sl-SI"/>
              </w:rPr>
            </w:pPr>
            <w:r w:rsidRPr="005F062F">
              <w:rPr>
                <w:lang w:val="sl-SI"/>
              </w:rPr>
              <w:t>Zadnji datum, do katerega mora biti prijavni obrazec vložen</w:t>
            </w:r>
            <w:r w:rsidRPr="005F062F">
              <w:rPr>
                <w:spacing w:val="-13"/>
                <w:lang w:val="sl-SI"/>
              </w:rPr>
              <w:t xml:space="preserve"> </w:t>
            </w:r>
            <w:r w:rsidRPr="005F062F">
              <w:rPr>
                <w:lang w:val="sl-SI"/>
              </w:rPr>
              <w:t>pri nacionalni ali Izvajalski agenciji, da se šteje kot upravičen.</w:t>
            </w:r>
          </w:p>
        </w:tc>
      </w:tr>
      <w:tr w:rsidR="00705BF0" w:rsidRPr="002C560E" w14:paraId="7D39ACA1" w14:textId="77777777" w:rsidTr="00EC19F7">
        <w:tc>
          <w:tcPr>
            <w:tcW w:w="2088" w:type="dxa"/>
          </w:tcPr>
          <w:p w14:paraId="7D39AC9F" w14:textId="77777777" w:rsidR="00705BF0" w:rsidRPr="005F062F" w:rsidRDefault="00705BF0" w:rsidP="005F062F">
            <w:pPr>
              <w:pStyle w:val="GUIDE-NORMAL"/>
              <w:jc w:val="left"/>
              <w:rPr>
                <w:b/>
                <w:lang w:val="sl-SI"/>
              </w:rPr>
            </w:pPr>
            <w:r w:rsidRPr="005F062F">
              <w:rPr>
                <w:b/>
                <w:lang w:val="sl-SI"/>
              </w:rPr>
              <w:t>Sedež</w:t>
            </w:r>
          </w:p>
        </w:tc>
        <w:tc>
          <w:tcPr>
            <w:tcW w:w="7202" w:type="dxa"/>
          </w:tcPr>
          <w:p w14:paraId="7D39ACA0" w14:textId="77777777" w:rsidR="00705BF0" w:rsidRPr="005F062F" w:rsidRDefault="00705BF0" w:rsidP="009A2C2A">
            <w:pPr>
              <w:pStyle w:val="GUIDE-NORMAL"/>
              <w:rPr>
                <w:spacing w:val="-4"/>
                <w:lang w:val="sl-SI"/>
              </w:rPr>
            </w:pPr>
            <w:r w:rsidRPr="005F062F">
              <w:rPr>
                <w:lang w:val="sl-SI"/>
              </w:rPr>
              <w:t>Povezan je z organizacijo ali organom, ki izpolnjuje določene nacionalne pogoje (registracija, izjava, objava itd.), na podlagi katerih nacionalni organ uradno priznava tako organizacijo ali organ. V primeru neformalne skupine mladih se zakonito prebivališče njenega zakonitega zastopnika upošteva kot enakovredno sedežu za namene upravičenosti do nepovratnih sredstev Erasmus+.</w:t>
            </w:r>
          </w:p>
        </w:tc>
      </w:tr>
      <w:tr w:rsidR="00705BF0" w:rsidRPr="002C560E" w14:paraId="7D39ACA4" w14:textId="77777777" w:rsidTr="00EC19F7">
        <w:tc>
          <w:tcPr>
            <w:tcW w:w="2088" w:type="dxa"/>
          </w:tcPr>
          <w:p w14:paraId="7D39ACA2" w14:textId="77777777" w:rsidR="00705BF0" w:rsidRPr="005F062F" w:rsidRDefault="00705BF0" w:rsidP="005F062F">
            <w:pPr>
              <w:pStyle w:val="GUIDE-NORMAL"/>
              <w:jc w:val="left"/>
              <w:rPr>
                <w:b/>
                <w:lang w:val="sl-SI"/>
              </w:rPr>
            </w:pPr>
            <w:r w:rsidRPr="005F062F">
              <w:rPr>
                <w:b/>
                <w:lang w:val="sl-SI"/>
              </w:rPr>
              <w:t>Skupine mladih, ki so aktivne na področju mladinskega dela, vendar ne nujno v okviru mladinske organizacije (tudi neformalne skupine mladih)</w:t>
            </w:r>
          </w:p>
        </w:tc>
        <w:tc>
          <w:tcPr>
            <w:tcW w:w="7202" w:type="dxa"/>
          </w:tcPr>
          <w:p w14:paraId="7D39ACA3" w14:textId="77777777" w:rsidR="00705BF0" w:rsidRPr="005F062F" w:rsidRDefault="00705BF0" w:rsidP="009A2C2A">
            <w:pPr>
              <w:pStyle w:val="GUIDE-NORMAL"/>
              <w:rPr>
                <w:rStyle w:val="Guide-Condensed-02"/>
                <w:lang w:val="sl-SI"/>
              </w:rPr>
            </w:pPr>
            <w:r w:rsidRPr="005F062F">
              <w:rPr>
                <w:lang w:val="sl-SI"/>
              </w:rPr>
              <w:t>Skupina vsaj štirih mladih, ki ni pravna oseba v skladu z veljavno nacionalno zakonodajo, če lahko njeni predstavniki prevzamejo pravne obveznosti v imenu skupine. Te skupine mladih so lahko prijavitelji in partnerji v nekaterih ukrepih programa Erasmus+. Zaradi poenostavitve so v tem vodniku izenačene s pravnimi osebami (organizacijami, institucijami itd.) in se uvrščajo med sodelujoče organizacije v programu Erasmus+ za ukrep, v katerem lahko sodelujejo. Skupina mora biti sestavljena iz vsaj štirih mladih, katerih starost mora biti usklajena s povprečno starostjo mladih v programu (13–30). V izjemnih primerih in če so vsi mladi mladoletni, lahko skupino zastopa odrasla oseba. To bi omogočilo skupini mladih (od katerih so vsi mladoletni), da jim pri oddaji prijave pomaga mladinski delavec/trener.</w:t>
            </w:r>
          </w:p>
        </w:tc>
      </w:tr>
      <w:tr w:rsidR="00705BF0" w:rsidRPr="002C560E" w14:paraId="7D39ACA7" w14:textId="77777777" w:rsidTr="00EC19F7">
        <w:tc>
          <w:tcPr>
            <w:tcW w:w="2088" w:type="dxa"/>
          </w:tcPr>
          <w:p w14:paraId="7D39ACA5" w14:textId="77777777" w:rsidR="00705BF0" w:rsidRPr="005F062F" w:rsidRDefault="00705BF0" w:rsidP="005F062F">
            <w:pPr>
              <w:pStyle w:val="GUIDE-NORMAL"/>
              <w:jc w:val="left"/>
              <w:rPr>
                <w:b/>
                <w:lang w:val="sl-SI"/>
              </w:rPr>
            </w:pPr>
            <w:r w:rsidRPr="005F062F">
              <w:rPr>
                <w:b/>
                <w:lang w:val="sl-SI"/>
              </w:rPr>
              <w:t>Skupna diploma</w:t>
            </w:r>
          </w:p>
        </w:tc>
        <w:tc>
          <w:tcPr>
            <w:tcW w:w="7202" w:type="dxa"/>
          </w:tcPr>
          <w:p w14:paraId="7D39ACA6" w14:textId="77777777" w:rsidR="00705BF0" w:rsidRPr="005F062F" w:rsidRDefault="00705BF0" w:rsidP="009A2C2A">
            <w:pPr>
              <w:pStyle w:val="GUIDE-NORMAL"/>
              <w:rPr>
                <w:lang w:val="sl-SI"/>
              </w:rPr>
            </w:pPr>
            <w:r w:rsidRPr="005F062F">
              <w:rPr>
                <w:lang w:val="sl-SI"/>
              </w:rPr>
              <w:t>Enotno potrdilo o diplomi, ki se dodeli študentu ob zaključku skupnega programa. Skupno diplomo morajo skupaj podpisati pristojni organi dveh ali več sodelujočih instituciji in mora biti uradno priznana v državah, kjer se sodelujoče institucije nahajajo.</w:t>
            </w:r>
          </w:p>
        </w:tc>
      </w:tr>
      <w:tr w:rsidR="00705BF0" w:rsidRPr="002C560E" w14:paraId="7D39ACAA" w14:textId="77777777" w:rsidTr="00EC19F7">
        <w:tc>
          <w:tcPr>
            <w:tcW w:w="2088" w:type="dxa"/>
          </w:tcPr>
          <w:p w14:paraId="7D39ACA8" w14:textId="77777777" w:rsidR="00705BF0" w:rsidRPr="005F062F" w:rsidRDefault="00705BF0" w:rsidP="005F062F">
            <w:pPr>
              <w:pStyle w:val="GUIDE-NORMAL"/>
              <w:jc w:val="left"/>
              <w:rPr>
                <w:b/>
                <w:lang w:val="sl-SI"/>
              </w:rPr>
            </w:pPr>
            <w:r w:rsidRPr="005F062F">
              <w:rPr>
                <w:b/>
                <w:lang w:val="sl-SI"/>
              </w:rPr>
              <w:t>Skupni programi</w:t>
            </w:r>
          </w:p>
        </w:tc>
        <w:tc>
          <w:tcPr>
            <w:tcW w:w="7202" w:type="dxa"/>
          </w:tcPr>
          <w:p w14:paraId="7D39ACA9" w14:textId="77777777" w:rsidR="00705BF0" w:rsidRPr="005F062F" w:rsidRDefault="00705BF0" w:rsidP="009A2C2A">
            <w:pPr>
              <w:pStyle w:val="GUIDE-NORMAL"/>
              <w:rPr>
                <w:lang w:val="sl-SI"/>
              </w:rPr>
            </w:pPr>
            <w:r w:rsidRPr="005F062F">
              <w:rPr>
                <w:lang w:val="sl-SI"/>
              </w:rPr>
              <w:t>Programi (študija ali raziskovanja) v visokošolskem izobraževanju, ki jih dve ali več visokošolskih institucij skupaj zasnujejo, izvajajo in v celoti priznavajo. Skupni programi se lahko izvajajo na kateri koli visokošolski ravni, tj. na dodiplomski, magistrski ali doktorski. Skupni programi so lahko nacionalni (tj. ko so vse vključene univerze iz iste države) ali mednarodni (tj. ko sta vsaj dve vključeni visokošolski instituciji iz različnih držav).</w:t>
            </w:r>
          </w:p>
        </w:tc>
      </w:tr>
      <w:tr w:rsidR="00705BF0" w:rsidRPr="002C560E" w14:paraId="7D39ACAE" w14:textId="77777777" w:rsidTr="00EC19F7">
        <w:tc>
          <w:tcPr>
            <w:tcW w:w="2088" w:type="dxa"/>
          </w:tcPr>
          <w:p w14:paraId="7D39ACAB" w14:textId="77777777" w:rsidR="00705BF0" w:rsidRPr="005F062F" w:rsidRDefault="00705BF0" w:rsidP="005F062F">
            <w:pPr>
              <w:pStyle w:val="GUIDE-NORMAL"/>
              <w:jc w:val="left"/>
              <w:rPr>
                <w:b/>
                <w:lang w:val="sl-SI"/>
              </w:rPr>
            </w:pPr>
            <w:r w:rsidRPr="005F062F">
              <w:rPr>
                <w:b/>
                <w:lang w:val="sl-SI"/>
              </w:rPr>
              <w:t>Socialno podjetje</w:t>
            </w:r>
          </w:p>
        </w:tc>
        <w:tc>
          <w:tcPr>
            <w:tcW w:w="7202" w:type="dxa"/>
          </w:tcPr>
          <w:p w14:paraId="7D39ACAC" w14:textId="77777777" w:rsidR="00705BF0" w:rsidRDefault="00705BF0" w:rsidP="009A2C2A">
            <w:pPr>
              <w:pStyle w:val="GUIDE-NORMAL"/>
              <w:rPr>
                <w:lang w:val="sl-SI"/>
              </w:rPr>
            </w:pPr>
            <w:r w:rsidRPr="005F062F">
              <w:rPr>
                <w:lang w:val="sl-SI"/>
              </w:rPr>
              <w:t>Podjetje ne glede na pravno obliko, ki ni uvrščeno na reguliran trg v smislu pomena iz točke (14) člena 4(1) Direktive 2004/39/ES in ki: 1) ima v skladu s svojimi pravili, statuti ali drugimi statutarnimi dokumenti o ustanovitvi podjetja za glavni cilj doseganje merljivih, pozitivnih socialnih učinkov namesto ustvarjanja dobička za svoje lastnike, člane in delničarje ter ki:</w:t>
            </w:r>
          </w:p>
          <w:p w14:paraId="7D39ACAD" w14:textId="77777777" w:rsidR="00705BF0" w:rsidRPr="005F062F" w:rsidRDefault="00705BF0" w:rsidP="005F062F">
            <w:pPr>
              <w:pStyle w:val="GUIDE-NORMAL"/>
              <w:rPr>
                <w:lang w:val="sl-SI"/>
              </w:rPr>
            </w:pPr>
            <w:r w:rsidRPr="001048FE">
              <w:rPr>
                <w:lang w:val="sl-SI"/>
              </w:rPr>
              <w:t>nudi inovativne storitve ali proizvaja blago velikega socialnega pomena in/ali b) uporablja inovativno metodo proizvodnje izdelkov ali nudenja storitev ter pri tem izpolnjuje svoj socialni cilj; 2) svoje dobičke uporablja najprej in predvsem za doseganje svojega osnovnega cilja ter ima vnaprej določene postopke in pravila za vsako razdeljevanje dobička med delničarje in lastnike, kar zagotavlja, da tako razdeljevanje ne spodkopava osnovnega cilja; 3) se upravlja podjetniško, odgovorno in pregledno, predvsem z vključevanjem delavcev, strank in/ali deležnikov, na katere vplivajo njegove poslovne aktivnosti.</w:t>
            </w:r>
          </w:p>
        </w:tc>
      </w:tr>
      <w:tr w:rsidR="00705BF0" w:rsidRPr="002C560E" w14:paraId="7D39ACB1" w14:textId="77777777" w:rsidTr="00EC19F7">
        <w:tc>
          <w:tcPr>
            <w:tcW w:w="2088" w:type="dxa"/>
          </w:tcPr>
          <w:p w14:paraId="7D39ACAF" w14:textId="77777777" w:rsidR="00705BF0" w:rsidRPr="005F062F" w:rsidRDefault="00705BF0" w:rsidP="005F062F">
            <w:pPr>
              <w:pStyle w:val="GUIDE-NORMAL"/>
              <w:jc w:val="left"/>
              <w:rPr>
                <w:b/>
                <w:lang w:val="sl-SI"/>
              </w:rPr>
            </w:pPr>
            <w:r w:rsidRPr="005F062F">
              <w:rPr>
                <w:b/>
                <w:lang w:val="sl-SI"/>
              </w:rPr>
              <w:t>Sodelujoča organizacija</w:t>
            </w:r>
          </w:p>
        </w:tc>
        <w:tc>
          <w:tcPr>
            <w:tcW w:w="7202" w:type="dxa"/>
          </w:tcPr>
          <w:p w14:paraId="7D39ACB0" w14:textId="77777777" w:rsidR="00705BF0" w:rsidRPr="005F062F" w:rsidRDefault="00705BF0" w:rsidP="009A2C2A">
            <w:pPr>
              <w:pStyle w:val="GUIDE-NORMAL"/>
              <w:rPr>
                <w:lang w:val="sl-SI"/>
              </w:rPr>
            </w:pPr>
            <w:r w:rsidRPr="005F062F">
              <w:rPr>
                <w:lang w:val="sl-SI"/>
              </w:rPr>
              <w:t>Katera koli organizacija ali neformalna skupina mladih, ki je vključena v izvajanje projekta Erasmus+. Glede na njihovo vlogo v projektu so sodelujoče organizacije lahko prijaviteljice ali partnerice (opredeljene tudi kot soprijaviteljice, če so navedene ob oddaji vloge za nepovratna sredstva). Če je projekt odobren, prijaviteljice postanejo upravičenke, partnerice pa lahko postanejo soupravičenke, če se projekt financira z nepovratnimi sredstvi za več upravičencev.</w:t>
            </w:r>
          </w:p>
        </w:tc>
      </w:tr>
      <w:tr w:rsidR="00705BF0" w:rsidRPr="002C560E" w14:paraId="7D39ACB4" w14:textId="77777777" w:rsidTr="00EC19F7">
        <w:tc>
          <w:tcPr>
            <w:tcW w:w="2088" w:type="dxa"/>
          </w:tcPr>
          <w:p w14:paraId="7D39ACB2" w14:textId="77777777" w:rsidR="00705BF0" w:rsidRPr="005F062F" w:rsidRDefault="00705BF0" w:rsidP="005F062F">
            <w:pPr>
              <w:pStyle w:val="GUIDE-NORMAL"/>
              <w:jc w:val="left"/>
              <w:rPr>
                <w:b/>
                <w:lang w:val="sl-SI"/>
              </w:rPr>
            </w:pPr>
            <w:r w:rsidRPr="005F062F">
              <w:rPr>
                <w:b/>
                <w:lang w:val="sl-SI"/>
              </w:rPr>
              <w:t>Sofinanciranje</w:t>
            </w:r>
          </w:p>
        </w:tc>
        <w:tc>
          <w:tcPr>
            <w:tcW w:w="7202" w:type="dxa"/>
          </w:tcPr>
          <w:p w14:paraId="7D39ACB3" w14:textId="77777777" w:rsidR="00705BF0" w:rsidRPr="005F062F" w:rsidRDefault="00705BF0" w:rsidP="009A2C2A">
            <w:pPr>
              <w:pStyle w:val="GUIDE-NORMAL"/>
              <w:rPr>
                <w:lang w:val="sl-SI"/>
              </w:rPr>
            </w:pPr>
            <w:r w:rsidRPr="005F062F">
              <w:rPr>
                <w:lang w:val="sl-SI"/>
              </w:rPr>
              <w:t>Načelo sofinanciranja pomeni, da mora del stroškov projekta, ki ga podpira EU, kriti upravičenec ali pa se morajo kriti z zunanjimi prispevki, ki niso nepovratna sredstva EU.</w:t>
            </w:r>
          </w:p>
        </w:tc>
      </w:tr>
      <w:tr w:rsidR="00705BF0" w:rsidRPr="002C560E" w14:paraId="7D39ACB7" w14:textId="77777777" w:rsidTr="00EC19F7">
        <w:tc>
          <w:tcPr>
            <w:tcW w:w="2088" w:type="dxa"/>
          </w:tcPr>
          <w:p w14:paraId="7D39ACB5" w14:textId="77777777" w:rsidR="00705BF0" w:rsidRPr="005F062F" w:rsidRDefault="00705BF0" w:rsidP="005F062F">
            <w:pPr>
              <w:pStyle w:val="GUIDE-NORMAL"/>
              <w:jc w:val="left"/>
              <w:rPr>
                <w:b/>
                <w:lang w:val="sl-SI"/>
              </w:rPr>
            </w:pPr>
            <w:r w:rsidRPr="005F062F">
              <w:rPr>
                <w:b/>
                <w:lang w:val="sl-SI"/>
              </w:rPr>
              <w:t>Sporazum o mobilnosti/učni oziroma študijski sporazum</w:t>
            </w:r>
          </w:p>
        </w:tc>
        <w:tc>
          <w:tcPr>
            <w:tcW w:w="7202" w:type="dxa"/>
          </w:tcPr>
          <w:p w14:paraId="7D39ACB6" w14:textId="77777777" w:rsidR="00705BF0" w:rsidRPr="005F062F" w:rsidRDefault="00705BF0" w:rsidP="009A2C2A">
            <w:pPr>
              <w:pStyle w:val="GUIDE-NORMAL"/>
              <w:rPr>
                <w:lang w:val="sl-SI"/>
              </w:rPr>
            </w:pPr>
            <w:r w:rsidRPr="005F062F">
              <w:rPr>
                <w:lang w:val="sl-SI"/>
              </w:rPr>
              <w:t>Sporazum med organizacijama pošiljateljico in gostiteljico ter sodelujočimi posamezniki, ki opredeljuje cilje in vsebino obdobja mobilnosti, da se zagotovi ustreznost in kakovost. Organizacija gostiteljica ga lahko uporabi tudi kot podlago za priznavanje obdobja v tujini.</w:t>
            </w:r>
          </w:p>
        </w:tc>
      </w:tr>
      <w:tr w:rsidR="00705BF0" w:rsidRPr="002C560E" w14:paraId="7D39ACBE" w14:textId="77777777" w:rsidTr="00EC19F7">
        <w:tc>
          <w:tcPr>
            <w:tcW w:w="2088" w:type="dxa"/>
          </w:tcPr>
          <w:p w14:paraId="7D39ACB8" w14:textId="77777777" w:rsidR="00705BF0" w:rsidRPr="005F062F" w:rsidRDefault="00705BF0" w:rsidP="005F062F">
            <w:pPr>
              <w:pStyle w:val="GUIDE-NORMAL"/>
              <w:jc w:val="left"/>
              <w:rPr>
                <w:b/>
                <w:lang w:val="sl-SI"/>
              </w:rPr>
            </w:pPr>
            <w:r w:rsidRPr="005F062F">
              <w:rPr>
                <w:b/>
                <w:lang w:val="sl-SI"/>
              </w:rPr>
              <w:t>Spremljevalec</w:t>
            </w:r>
          </w:p>
        </w:tc>
        <w:tc>
          <w:tcPr>
            <w:tcW w:w="7202" w:type="dxa"/>
          </w:tcPr>
          <w:p w14:paraId="7D39ACB9" w14:textId="77777777" w:rsidR="00705BF0" w:rsidRDefault="00705BF0" w:rsidP="009A2C2A">
            <w:pPr>
              <w:pStyle w:val="GUIDE-NORMAL"/>
              <w:rPr>
                <w:lang w:val="sl-SI"/>
              </w:rPr>
            </w:pPr>
            <w:r w:rsidRPr="005F062F">
              <w:rPr>
                <w:lang w:val="sl-SI"/>
              </w:rPr>
              <w:t>V skladu s splošno opredelitvijo, ki se uporablja na vseh področjih izobraževanja, usposabljanja in mladine, je spremljevalec oseba, ki spremlja udeležence – bodisi učeče se bodisi osebje/mladinske delavce – s posebnimi potrebami pri mobilnosti, da bi jim zagotovila varstvo, podporo in dodatno pomoč. Poleg tega je v primeru</w:t>
            </w:r>
          </w:p>
          <w:p w14:paraId="7D39ACBA" w14:textId="77777777" w:rsidR="00705BF0" w:rsidRPr="001048FE" w:rsidRDefault="00705BF0" w:rsidP="005115F2">
            <w:pPr>
              <w:pStyle w:val="Guide-NormalBulletpoints"/>
              <w:numPr>
                <w:ilvl w:val="0"/>
                <w:numId w:val="493"/>
              </w:numPr>
              <w:jc w:val="left"/>
              <w:rPr>
                <w:lang w:val="sl-SI"/>
              </w:rPr>
            </w:pPr>
            <w:r w:rsidRPr="001048FE">
              <w:rPr>
                <w:lang w:val="sl-SI"/>
              </w:rPr>
              <w:t>aktivnosti za dijake v PIU v okviru ključnega ukrepa 1,</w:t>
            </w:r>
          </w:p>
          <w:p w14:paraId="7D39ACBB" w14:textId="77777777" w:rsidR="00705BF0" w:rsidRPr="001048FE" w:rsidRDefault="00705BF0" w:rsidP="005115F2">
            <w:pPr>
              <w:pStyle w:val="Guide-NormalBulletpoints"/>
              <w:numPr>
                <w:ilvl w:val="0"/>
                <w:numId w:val="493"/>
              </w:numPr>
              <w:jc w:val="left"/>
              <w:rPr>
                <w:lang w:val="sl-SI"/>
              </w:rPr>
            </w:pPr>
            <w:r w:rsidRPr="001048FE">
              <w:rPr>
                <w:lang w:val="sl-SI"/>
              </w:rPr>
              <w:t>kratkotrajne ali dolgotrajne mobilnosti učencev/dijakov in kombinirane mobilnosti mladih v okviru ključnega ukrepa 2 ter</w:t>
            </w:r>
          </w:p>
          <w:p w14:paraId="7D39ACBC" w14:textId="77777777" w:rsidR="00705BF0" w:rsidRPr="001048FE" w:rsidRDefault="00705BF0" w:rsidP="005115F2">
            <w:pPr>
              <w:pStyle w:val="Guide-NormalBulletpoints"/>
              <w:numPr>
                <w:ilvl w:val="0"/>
                <w:numId w:val="493"/>
              </w:numPr>
              <w:jc w:val="left"/>
              <w:rPr>
                <w:lang w:val="sl-SI"/>
              </w:rPr>
            </w:pPr>
            <w:r>
              <w:rPr>
                <w:lang w:val="sl-SI"/>
              </w:rPr>
              <w:t>projekti dialoga mladih,</w:t>
            </w:r>
          </w:p>
          <w:p w14:paraId="7D39ACBD" w14:textId="77777777" w:rsidR="00705BF0" w:rsidRPr="005F062F" w:rsidRDefault="00705BF0" w:rsidP="005F062F">
            <w:pPr>
              <w:pStyle w:val="GUIDE-NORMAL"/>
              <w:rPr>
                <w:spacing w:val="-2"/>
                <w:lang w:val="sl-SI"/>
              </w:rPr>
            </w:pPr>
            <w:r w:rsidRPr="001048FE">
              <w:rPr>
                <w:lang w:val="sl-SI"/>
              </w:rPr>
              <w:t>lahko spremljevalec tudi odrasla oseba, ki spremlja enega ali več dijakov v PIU, učencev/dijakov ali mladih (zlasti mladoletnikov ali mladih z malo izkušnjami zunaj države), da bi zagotovila njihovo zaščito in varnost ter učinkovito učenje med mobilnostjo.</w:t>
            </w:r>
          </w:p>
        </w:tc>
      </w:tr>
      <w:tr w:rsidR="00705BF0" w:rsidRPr="002C560E" w14:paraId="7D39ACC1" w14:textId="77777777" w:rsidTr="00EC19F7">
        <w:tc>
          <w:tcPr>
            <w:tcW w:w="2088" w:type="dxa"/>
          </w:tcPr>
          <w:p w14:paraId="7D39ACBF" w14:textId="77777777" w:rsidR="00705BF0" w:rsidRPr="005F062F" w:rsidRDefault="00705BF0" w:rsidP="005F062F">
            <w:pPr>
              <w:pStyle w:val="GUIDE-NORMAL"/>
              <w:jc w:val="left"/>
              <w:rPr>
                <w:b/>
                <w:lang w:val="sl-SI"/>
              </w:rPr>
            </w:pPr>
            <w:r w:rsidRPr="005F062F">
              <w:rPr>
                <w:b/>
                <w:lang w:val="sl-SI"/>
              </w:rPr>
              <w:t>Šola</w:t>
            </w:r>
          </w:p>
        </w:tc>
        <w:tc>
          <w:tcPr>
            <w:tcW w:w="7202" w:type="dxa"/>
          </w:tcPr>
          <w:p w14:paraId="7D39ACC0" w14:textId="77777777" w:rsidR="00705BF0" w:rsidRPr="005F062F" w:rsidRDefault="00705BF0" w:rsidP="009A2C2A">
            <w:pPr>
              <w:pStyle w:val="GUIDE-NORMAL"/>
              <w:rPr>
                <w:lang w:val="sl-SI"/>
              </w:rPr>
            </w:pPr>
            <w:r w:rsidRPr="005F062F">
              <w:rPr>
                <w:lang w:val="sl-SI"/>
              </w:rPr>
              <w:t>Institucija, ki zagotavlja splošno, poklicno ali strokovno izobraževanje na kateri koli ravni, od predšolske do srednješolske. Glej seznam vrst institucij, ki so opredeljene kot šole, v posamezni državi; za več informacij se obrni na nacionalno agencijo v državi.</w:t>
            </w:r>
          </w:p>
        </w:tc>
      </w:tr>
      <w:tr w:rsidR="00705BF0" w:rsidRPr="002C560E" w14:paraId="7D39ACC4" w14:textId="77777777" w:rsidTr="00EC19F7">
        <w:tc>
          <w:tcPr>
            <w:tcW w:w="2088" w:type="dxa"/>
          </w:tcPr>
          <w:p w14:paraId="7D39ACC2" w14:textId="77777777" w:rsidR="00705BF0" w:rsidRPr="005F062F" w:rsidRDefault="00705BF0" w:rsidP="005F062F">
            <w:pPr>
              <w:pStyle w:val="GUIDE-NORMAL"/>
              <w:jc w:val="left"/>
              <w:rPr>
                <w:b/>
                <w:lang w:val="sl-SI"/>
              </w:rPr>
            </w:pPr>
            <w:r w:rsidRPr="005F062F">
              <w:rPr>
                <w:b/>
                <w:lang w:val="sl-SI"/>
              </w:rPr>
              <w:t>Tretja stopnja</w:t>
            </w:r>
          </w:p>
        </w:tc>
        <w:tc>
          <w:tcPr>
            <w:tcW w:w="7202" w:type="dxa"/>
          </w:tcPr>
          <w:p w14:paraId="7D39ACC3" w14:textId="77777777" w:rsidR="00705BF0" w:rsidRPr="005F062F" w:rsidRDefault="00705BF0" w:rsidP="009A2C2A">
            <w:pPr>
              <w:pStyle w:val="GUIDE-NORMAL"/>
              <w:rPr>
                <w:lang w:val="sl-SI"/>
              </w:rPr>
            </w:pPr>
            <w:r w:rsidRPr="005F062F">
              <w:rPr>
                <w:lang w:val="sl-SI"/>
              </w:rPr>
              <w:t>Tretja stopnja v ogrodju kvalifikacij za evropski visokošolski prostor, o katerem so se dogovorili ministri, pristojni za visokošolsko izobraževanje, na seji maja 2005 v Bergnu v okviru bolonjskega procesa. Deskriptor tretje stopnje ogrodja kvalifikacij EHEA ustreza učnim izidom ravni 8 EOK.</w:t>
            </w:r>
          </w:p>
        </w:tc>
      </w:tr>
      <w:tr w:rsidR="00705BF0" w:rsidRPr="002C560E" w14:paraId="7D39ACC7" w14:textId="77777777" w:rsidTr="00EC19F7">
        <w:tc>
          <w:tcPr>
            <w:tcW w:w="2088" w:type="dxa"/>
          </w:tcPr>
          <w:p w14:paraId="7D39ACC5" w14:textId="77777777" w:rsidR="00705BF0" w:rsidRPr="005F062F" w:rsidRDefault="00705BF0" w:rsidP="005F062F">
            <w:pPr>
              <w:pStyle w:val="GUIDE-NORMAL"/>
              <w:jc w:val="left"/>
              <w:rPr>
                <w:b/>
                <w:lang w:val="sl-SI"/>
              </w:rPr>
            </w:pPr>
            <w:r w:rsidRPr="005F062F">
              <w:rPr>
                <w:b/>
                <w:lang w:val="sl-SI"/>
              </w:rPr>
              <w:t>Učeči se odrasli</w:t>
            </w:r>
          </w:p>
        </w:tc>
        <w:tc>
          <w:tcPr>
            <w:tcW w:w="7202" w:type="dxa"/>
          </w:tcPr>
          <w:p w14:paraId="7D39ACC6" w14:textId="77777777" w:rsidR="00705BF0" w:rsidRPr="005F062F" w:rsidRDefault="00705BF0" w:rsidP="009A2C2A">
            <w:pPr>
              <w:pStyle w:val="GUIDE-NORMAL"/>
              <w:rPr>
                <w:rStyle w:val="Guide-Condensed-02"/>
                <w:lang w:val="sl-SI"/>
              </w:rPr>
            </w:pPr>
            <w:r w:rsidRPr="005F062F">
              <w:rPr>
                <w:lang w:val="sl-SI"/>
              </w:rPr>
              <w:t>Katera koli oseba, ki je dokončala začetno izobraževanje ali usposabljanje ali ni več vključena vanj in se znova vključi v eno od oblik nadaljevalnega izobraževanja (formalno, neformalno ali priložnostno), razen učiteljev/vodij usposabljanja v šolah in PIU.</w:t>
            </w:r>
          </w:p>
        </w:tc>
      </w:tr>
      <w:tr w:rsidR="00705BF0" w:rsidRPr="002C560E" w14:paraId="7D39ACCA" w14:textId="77777777" w:rsidTr="00EC19F7">
        <w:tc>
          <w:tcPr>
            <w:tcW w:w="2088" w:type="dxa"/>
          </w:tcPr>
          <w:p w14:paraId="7D39ACC8" w14:textId="77777777" w:rsidR="00705BF0" w:rsidRPr="005F062F" w:rsidRDefault="00705BF0" w:rsidP="005F062F">
            <w:pPr>
              <w:pStyle w:val="GUIDE-NORMAL"/>
              <w:jc w:val="left"/>
              <w:rPr>
                <w:b/>
                <w:lang w:val="sl-SI"/>
              </w:rPr>
            </w:pPr>
            <w:r w:rsidRPr="005F062F">
              <w:rPr>
                <w:b/>
                <w:lang w:val="sl-SI"/>
              </w:rPr>
              <w:t>Učenje na delovnem mestu</w:t>
            </w:r>
          </w:p>
        </w:tc>
        <w:tc>
          <w:tcPr>
            <w:tcW w:w="7202" w:type="dxa"/>
          </w:tcPr>
          <w:p w14:paraId="7D39ACC9" w14:textId="77777777" w:rsidR="00705BF0" w:rsidRPr="005F062F" w:rsidRDefault="00705BF0" w:rsidP="009A2C2A">
            <w:pPr>
              <w:pStyle w:val="GUIDE-NORMAL"/>
              <w:rPr>
                <w:lang w:val="sl-SI"/>
              </w:rPr>
            </w:pPr>
            <w:r w:rsidRPr="005F062F">
              <w:rPr>
                <w:lang w:val="sl-SI"/>
              </w:rPr>
              <w:t>Vrsta študija, ki vključuje pridobivanje znanja, spretnosti in kompetenc z izvajanjem nalog v poklicnem okviru, bodisi na delovnem mestu (kot je izmenično usposabljanje) bodisi v instituciji za poklicno izobraževanje in usposabljanje, ter poglobljenim proučevanjem teh nalog.</w:t>
            </w:r>
          </w:p>
        </w:tc>
      </w:tr>
      <w:tr w:rsidR="00705BF0" w:rsidRPr="002C560E" w14:paraId="7D39ACCD" w14:textId="77777777" w:rsidTr="00EC19F7">
        <w:tc>
          <w:tcPr>
            <w:tcW w:w="2088" w:type="dxa"/>
          </w:tcPr>
          <w:p w14:paraId="7D39ACCB" w14:textId="77777777" w:rsidR="00705BF0" w:rsidRPr="005F062F" w:rsidRDefault="00705BF0" w:rsidP="005F062F">
            <w:pPr>
              <w:pStyle w:val="GUIDE-NORMAL"/>
              <w:jc w:val="left"/>
              <w:rPr>
                <w:b/>
                <w:lang w:val="sl-SI"/>
              </w:rPr>
            </w:pPr>
            <w:r w:rsidRPr="005F062F">
              <w:rPr>
                <w:b/>
                <w:lang w:val="sl-SI"/>
              </w:rPr>
              <w:t>Učna mobilnost</w:t>
            </w:r>
          </w:p>
        </w:tc>
        <w:tc>
          <w:tcPr>
            <w:tcW w:w="7202" w:type="dxa"/>
          </w:tcPr>
          <w:p w14:paraId="7D39ACCC" w14:textId="77777777" w:rsidR="00705BF0" w:rsidRPr="005F062F" w:rsidRDefault="00705BF0" w:rsidP="009A2C2A">
            <w:pPr>
              <w:pStyle w:val="GUIDE-NORMAL"/>
              <w:rPr>
                <w:lang w:val="sl-SI"/>
              </w:rPr>
            </w:pPr>
            <w:r w:rsidRPr="005F062F">
              <w:rPr>
                <w:lang w:val="sl-SI"/>
              </w:rPr>
              <w:t>Fizična preselitev v državo, ki ni država stalnega prebivališča, zaradi študija, usposabljanja ali neformalnega oziroma priložnostnega učenja; lahko ima obliko prakse, vajeništva, mladinskih izmenjav, poučevanja ali udeležbe v aktivnosti za poklicni razvoj in lahko vključuje pripravljalne aktivnosti, kot je usposabljanje v jeziku gostitelja, kot tudi aktivnosti pošiljanja, gostovanja in nadaljnjega spremljanja.</w:t>
            </w:r>
          </w:p>
        </w:tc>
      </w:tr>
      <w:tr w:rsidR="00705BF0" w:rsidRPr="005F062F" w14:paraId="7D39ACD0" w14:textId="77777777" w:rsidTr="00EC19F7">
        <w:tc>
          <w:tcPr>
            <w:tcW w:w="2088" w:type="dxa"/>
          </w:tcPr>
          <w:p w14:paraId="7D39ACCE" w14:textId="77777777" w:rsidR="00705BF0" w:rsidRPr="005F062F" w:rsidRDefault="00705BF0" w:rsidP="005F062F">
            <w:pPr>
              <w:pStyle w:val="GUIDE-NORMAL"/>
              <w:jc w:val="left"/>
              <w:rPr>
                <w:b/>
                <w:lang w:val="sl-SI"/>
              </w:rPr>
            </w:pPr>
            <w:r w:rsidRPr="005F062F">
              <w:rPr>
                <w:b/>
                <w:lang w:val="sl-SI"/>
              </w:rPr>
              <w:t>Učni izidi</w:t>
            </w:r>
          </w:p>
        </w:tc>
        <w:tc>
          <w:tcPr>
            <w:tcW w:w="7202" w:type="dxa"/>
          </w:tcPr>
          <w:p w14:paraId="7D39ACCF" w14:textId="77777777" w:rsidR="00705BF0" w:rsidRPr="005F062F" w:rsidRDefault="00705BF0" w:rsidP="009A2C2A">
            <w:pPr>
              <w:pStyle w:val="GUIDE-NORMAL"/>
              <w:rPr>
                <w:lang w:val="sl-SI"/>
              </w:rPr>
            </w:pPr>
            <w:r w:rsidRPr="005F062F">
              <w:rPr>
                <w:lang w:val="sl-SI"/>
              </w:rPr>
              <w:t>Trditve o tem, kaj učenec zna, razume in je sposoben opraviti ob zaključku učnega procesa. Opredeljeni so v smislu znanja, spretnosti in kompetenc.</w:t>
            </w:r>
          </w:p>
        </w:tc>
      </w:tr>
      <w:tr w:rsidR="00705BF0" w:rsidRPr="002C560E" w14:paraId="7D39ACD3" w14:textId="77777777" w:rsidTr="00EC19F7">
        <w:tc>
          <w:tcPr>
            <w:tcW w:w="2088" w:type="dxa"/>
          </w:tcPr>
          <w:p w14:paraId="7D39ACD1" w14:textId="77777777" w:rsidR="00705BF0" w:rsidRPr="005F062F" w:rsidRDefault="00705BF0" w:rsidP="005F062F">
            <w:pPr>
              <w:pStyle w:val="GUIDE-NORMAL"/>
              <w:jc w:val="left"/>
              <w:rPr>
                <w:b/>
                <w:lang w:val="sl-SI"/>
              </w:rPr>
            </w:pPr>
            <w:r w:rsidRPr="005F062F">
              <w:rPr>
                <w:b/>
                <w:lang w:val="sl-SI"/>
              </w:rPr>
              <w:t>Udeleženci</w:t>
            </w:r>
          </w:p>
        </w:tc>
        <w:tc>
          <w:tcPr>
            <w:tcW w:w="7202" w:type="dxa"/>
          </w:tcPr>
          <w:p w14:paraId="7D39ACD2" w14:textId="77777777" w:rsidR="00705BF0" w:rsidRPr="005F062F" w:rsidRDefault="00705BF0" w:rsidP="009A2C2A">
            <w:pPr>
              <w:pStyle w:val="GUIDE-NORMAL"/>
              <w:rPr>
                <w:lang w:val="sl-SI"/>
              </w:rPr>
            </w:pPr>
            <w:r w:rsidRPr="005F062F">
              <w:rPr>
                <w:lang w:val="sl-SI"/>
              </w:rPr>
              <w:t>V okviru programa Erasmus+ so udeleženci tisti posamezniki, ki so v celoti vključeni v projekt in v nekaterih primerih prejemajo del nepovratnih sredstev Evropske unije, ki naj bi krile njihove stroške udeležbe (zlasti potne stroške in stroške bivanja). V okviru nekaterih ukrepov Programa (tj. strateških partnerstev) je treba razlikovati med to kategorijo udeležencev (neposredni udeleženci) in drugimi posamezniki, ki so posredno vključeni v projekt (npr. ciljne skupine).</w:t>
            </w:r>
          </w:p>
        </w:tc>
      </w:tr>
      <w:tr w:rsidR="00705BF0" w:rsidRPr="002C560E" w14:paraId="7D39ACD6" w14:textId="77777777" w:rsidTr="00EC19F7">
        <w:tc>
          <w:tcPr>
            <w:tcW w:w="2088" w:type="dxa"/>
          </w:tcPr>
          <w:p w14:paraId="7D39ACD4" w14:textId="77777777" w:rsidR="00705BF0" w:rsidRPr="005F062F" w:rsidRDefault="00705BF0" w:rsidP="005F062F">
            <w:pPr>
              <w:pStyle w:val="GUIDE-NORMAL"/>
              <w:jc w:val="left"/>
              <w:rPr>
                <w:rFonts w:ascii="Helvetica" w:hAnsi="Helvetica"/>
                <w:b/>
                <w:kern w:val="0"/>
                <w:sz w:val="17"/>
                <w:szCs w:val="17"/>
                <w:lang w:val="sl-SI" w:eastAsia="fr-FR"/>
              </w:rPr>
            </w:pPr>
            <w:r w:rsidRPr="005F062F">
              <w:rPr>
                <w:b/>
                <w:lang w:val="sl-SI"/>
              </w:rPr>
              <w:t>Ukrepanje</w:t>
            </w:r>
          </w:p>
        </w:tc>
        <w:tc>
          <w:tcPr>
            <w:tcW w:w="7202" w:type="dxa"/>
          </w:tcPr>
          <w:p w14:paraId="7D39ACD5" w14:textId="77777777" w:rsidR="00705BF0" w:rsidRPr="005F062F" w:rsidRDefault="00705BF0" w:rsidP="009A2C2A">
            <w:pPr>
              <w:pStyle w:val="GUIDE-NORMAL"/>
              <w:rPr>
                <w:lang w:val="sl-SI"/>
              </w:rPr>
            </w:pPr>
            <w:r w:rsidRPr="005F062F">
              <w:rPr>
                <w:lang w:val="sl-SI"/>
              </w:rPr>
              <w:t>Področje ali ukrep programa Erasmus+. Primeri ukrepov so: strateška</w:t>
            </w:r>
            <w:r w:rsidRPr="005F062F">
              <w:rPr>
                <w:spacing w:val="-21"/>
                <w:lang w:val="sl-SI"/>
              </w:rPr>
              <w:t xml:space="preserve"> </w:t>
            </w:r>
            <w:r w:rsidRPr="005F062F">
              <w:rPr>
                <w:lang w:val="sl-SI"/>
              </w:rPr>
              <w:t>partnerstva</w:t>
            </w:r>
            <w:r w:rsidRPr="005F062F">
              <w:rPr>
                <w:spacing w:val="-21"/>
                <w:lang w:val="sl-SI"/>
              </w:rPr>
              <w:t xml:space="preserve"> </w:t>
            </w:r>
            <w:r w:rsidRPr="005F062F">
              <w:rPr>
                <w:lang w:val="sl-SI"/>
              </w:rPr>
              <w:t>na</w:t>
            </w:r>
            <w:r w:rsidRPr="005F062F">
              <w:rPr>
                <w:spacing w:val="-21"/>
                <w:lang w:val="sl-SI"/>
              </w:rPr>
              <w:t xml:space="preserve"> </w:t>
            </w:r>
            <w:r w:rsidRPr="005F062F">
              <w:rPr>
                <w:lang w:val="sl-SI"/>
              </w:rPr>
              <w:t>področju</w:t>
            </w:r>
            <w:r w:rsidRPr="005F062F">
              <w:rPr>
                <w:spacing w:val="-21"/>
                <w:lang w:val="sl-SI"/>
              </w:rPr>
              <w:t xml:space="preserve"> </w:t>
            </w:r>
            <w:r w:rsidRPr="005F062F">
              <w:rPr>
                <w:lang w:val="sl-SI"/>
              </w:rPr>
              <w:t>izobraževanja,</w:t>
            </w:r>
            <w:r w:rsidRPr="005F062F">
              <w:rPr>
                <w:spacing w:val="-21"/>
                <w:lang w:val="sl-SI"/>
              </w:rPr>
              <w:t xml:space="preserve"> </w:t>
            </w:r>
            <w:r w:rsidRPr="005F062F">
              <w:rPr>
                <w:lang w:val="sl-SI"/>
              </w:rPr>
              <w:t>usposabljanja in mladine, skupni magistrski študij Erasmus Mundus, koalicije sektorskih spretnosti</w:t>
            </w:r>
            <w:r w:rsidRPr="005F062F">
              <w:rPr>
                <w:spacing w:val="-4"/>
                <w:lang w:val="sl-SI"/>
              </w:rPr>
              <w:t xml:space="preserve"> </w:t>
            </w:r>
            <w:r w:rsidRPr="005F062F">
              <w:rPr>
                <w:lang w:val="sl-SI"/>
              </w:rPr>
              <w:t>itd.</w:t>
            </w:r>
          </w:p>
        </w:tc>
      </w:tr>
      <w:tr w:rsidR="00705BF0" w:rsidRPr="002C560E" w14:paraId="7D39ACD9" w14:textId="77777777" w:rsidTr="00EC19F7">
        <w:tc>
          <w:tcPr>
            <w:tcW w:w="2088" w:type="dxa"/>
          </w:tcPr>
          <w:p w14:paraId="7D39ACD7" w14:textId="77777777" w:rsidR="00705BF0" w:rsidRPr="005F062F" w:rsidRDefault="00705BF0" w:rsidP="005F062F">
            <w:pPr>
              <w:pStyle w:val="GUIDE-NORMAL"/>
              <w:jc w:val="left"/>
              <w:rPr>
                <w:b/>
                <w:lang w:val="sl-SI"/>
              </w:rPr>
            </w:pPr>
            <w:r w:rsidRPr="005F062F">
              <w:rPr>
                <w:b/>
                <w:lang w:val="sl-SI"/>
              </w:rPr>
              <w:t>Upravičenec</w:t>
            </w:r>
          </w:p>
        </w:tc>
        <w:tc>
          <w:tcPr>
            <w:tcW w:w="7202" w:type="dxa"/>
          </w:tcPr>
          <w:p w14:paraId="7D39ACD8" w14:textId="77777777" w:rsidR="00705BF0" w:rsidRPr="005F062F" w:rsidRDefault="00705BF0" w:rsidP="009A2C2A">
            <w:pPr>
              <w:pStyle w:val="GUIDE-NORMAL"/>
              <w:rPr>
                <w:lang w:val="sl-SI"/>
              </w:rPr>
            </w:pPr>
            <w:r w:rsidRPr="005F062F">
              <w:rPr>
                <w:lang w:val="sl-SI"/>
              </w:rPr>
              <w:t>Če je projekt izbran, postane prijavitelj upravičenec do nepovratnih</w:t>
            </w:r>
            <w:r w:rsidRPr="005F062F">
              <w:rPr>
                <w:spacing w:val="-26"/>
                <w:lang w:val="sl-SI"/>
              </w:rPr>
              <w:t xml:space="preserve"> </w:t>
            </w:r>
            <w:r w:rsidRPr="005F062F">
              <w:rPr>
                <w:lang w:val="sl-SI"/>
              </w:rPr>
              <w:t>sredstev</w:t>
            </w:r>
            <w:r w:rsidRPr="005F062F">
              <w:rPr>
                <w:spacing w:val="-26"/>
                <w:lang w:val="sl-SI"/>
              </w:rPr>
              <w:t xml:space="preserve"> </w:t>
            </w:r>
            <w:r w:rsidRPr="005F062F">
              <w:rPr>
                <w:lang w:val="sl-SI"/>
              </w:rPr>
              <w:t>Erasmus+.</w:t>
            </w:r>
            <w:r w:rsidRPr="005F062F">
              <w:rPr>
                <w:spacing w:val="-26"/>
                <w:lang w:val="sl-SI"/>
              </w:rPr>
              <w:t xml:space="preserve"> </w:t>
            </w:r>
            <w:r w:rsidRPr="005F062F">
              <w:rPr>
                <w:lang w:val="sl-SI"/>
              </w:rPr>
              <w:t>Upravičenec</w:t>
            </w:r>
            <w:r w:rsidRPr="005F062F">
              <w:rPr>
                <w:spacing w:val="-26"/>
                <w:lang w:val="sl-SI"/>
              </w:rPr>
              <w:t xml:space="preserve"> </w:t>
            </w:r>
            <w:r w:rsidRPr="005F062F">
              <w:rPr>
                <w:lang w:val="sl-SI"/>
              </w:rPr>
              <w:t>podpiše</w:t>
            </w:r>
            <w:r w:rsidRPr="005F062F">
              <w:rPr>
                <w:spacing w:val="-26"/>
                <w:lang w:val="sl-SI"/>
              </w:rPr>
              <w:t xml:space="preserve"> </w:t>
            </w:r>
            <w:r w:rsidRPr="005F062F">
              <w:rPr>
                <w:lang w:val="sl-SI"/>
              </w:rPr>
              <w:t>sporazum o</w:t>
            </w:r>
            <w:r w:rsidRPr="005F062F">
              <w:rPr>
                <w:spacing w:val="-8"/>
                <w:lang w:val="sl-SI"/>
              </w:rPr>
              <w:t xml:space="preserve"> </w:t>
            </w:r>
            <w:r w:rsidRPr="005F062F">
              <w:rPr>
                <w:lang w:val="sl-SI"/>
              </w:rPr>
              <w:t>nepovratnih</w:t>
            </w:r>
            <w:r w:rsidRPr="005F062F">
              <w:rPr>
                <w:spacing w:val="-9"/>
                <w:lang w:val="sl-SI"/>
              </w:rPr>
              <w:t xml:space="preserve"> </w:t>
            </w:r>
            <w:r w:rsidRPr="005F062F">
              <w:rPr>
                <w:lang w:val="sl-SI"/>
              </w:rPr>
              <w:t>sredstvih</w:t>
            </w:r>
            <w:r w:rsidRPr="005F062F">
              <w:rPr>
                <w:spacing w:val="-9"/>
                <w:lang w:val="sl-SI"/>
              </w:rPr>
              <w:t xml:space="preserve"> </w:t>
            </w:r>
            <w:r w:rsidRPr="005F062F">
              <w:rPr>
                <w:lang w:val="sl-SI"/>
              </w:rPr>
              <w:t>z</w:t>
            </w:r>
            <w:r w:rsidRPr="005F062F">
              <w:rPr>
                <w:spacing w:val="-9"/>
                <w:lang w:val="sl-SI"/>
              </w:rPr>
              <w:t xml:space="preserve"> </w:t>
            </w:r>
            <w:r w:rsidRPr="005F062F">
              <w:rPr>
                <w:lang w:val="sl-SI"/>
              </w:rPr>
              <w:t>nacionalno</w:t>
            </w:r>
            <w:r w:rsidRPr="005F062F">
              <w:rPr>
                <w:spacing w:val="-9"/>
                <w:lang w:val="sl-SI"/>
              </w:rPr>
              <w:t xml:space="preserve"> </w:t>
            </w:r>
            <w:r w:rsidRPr="005F062F">
              <w:rPr>
                <w:lang w:val="sl-SI"/>
              </w:rPr>
              <w:t>ali</w:t>
            </w:r>
            <w:r w:rsidRPr="005F062F">
              <w:rPr>
                <w:spacing w:val="-9"/>
                <w:lang w:val="sl-SI"/>
              </w:rPr>
              <w:t xml:space="preserve"> </w:t>
            </w:r>
            <w:r w:rsidRPr="005F062F">
              <w:rPr>
                <w:lang w:val="sl-SI"/>
              </w:rPr>
              <w:t>Izvajalsko</w:t>
            </w:r>
            <w:r w:rsidRPr="005F062F">
              <w:rPr>
                <w:spacing w:val="-9"/>
                <w:lang w:val="sl-SI"/>
              </w:rPr>
              <w:t xml:space="preserve"> </w:t>
            </w:r>
            <w:r w:rsidRPr="005F062F">
              <w:rPr>
                <w:lang w:val="sl-SI"/>
              </w:rPr>
              <w:t>agencijo,</w:t>
            </w:r>
            <w:r w:rsidRPr="005F062F">
              <w:rPr>
                <w:spacing w:val="-9"/>
                <w:lang w:val="sl-SI"/>
              </w:rPr>
              <w:t xml:space="preserve"> </w:t>
            </w:r>
            <w:r w:rsidRPr="005F062F">
              <w:rPr>
                <w:lang w:val="sl-SI"/>
              </w:rPr>
              <w:t>ki je izbrala projekt – ali ga ta obvesti o sklepu o nepovratnih sredstvih. Če se je prijavil v imenu drugih sodelujočih organizacij, lahko partnerji postanejo soupravičenci do nepovratnih sredstev.</w:t>
            </w:r>
          </w:p>
        </w:tc>
      </w:tr>
      <w:tr w:rsidR="00705BF0" w:rsidRPr="002C560E" w14:paraId="7D39ACDC" w14:textId="77777777" w:rsidTr="00EC19F7">
        <w:tc>
          <w:tcPr>
            <w:tcW w:w="2088" w:type="dxa"/>
          </w:tcPr>
          <w:p w14:paraId="7D39ACDA" w14:textId="77777777" w:rsidR="00705BF0" w:rsidRPr="005F062F" w:rsidRDefault="00705BF0" w:rsidP="005F062F">
            <w:pPr>
              <w:pStyle w:val="GUIDE-NORMAL"/>
              <w:jc w:val="left"/>
              <w:rPr>
                <w:b/>
                <w:lang w:val="sl-SI"/>
              </w:rPr>
            </w:pPr>
            <w:r w:rsidRPr="005F062F">
              <w:rPr>
                <w:b/>
                <w:lang w:val="sl-SI"/>
              </w:rPr>
              <w:t>Vajeništvo (vajenec)</w:t>
            </w:r>
          </w:p>
        </w:tc>
        <w:tc>
          <w:tcPr>
            <w:tcW w:w="7202" w:type="dxa"/>
          </w:tcPr>
          <w:p w14:paraId="7D39ACDB" w14:textId="77777777" w:rsidR="00705BF0" w:rsidRPr="005F062F" w:rsidRDefault="00705BF0" w:rsidP="009A2C2A">
            <w:pPr>
              <w:pStyle w:val="GUIDE-NORMAL"/>
              <w:rPr>
                <w:lang w:val="sl-SI"/>
              </w:rPr>
            </w:pPr>
            <w:r w:rsidRPr="005F062F">
              <w:rPr>
                <w:lang w:val="sl-SI"/>
              </w:rPr>
              <w:t>Programi vajeništva so tiste oblike začetnega poklicnega izobraževanja in usposabljanja (ZPIU), ki uradno izmenično združujejo usposabljanje v podjetju (obdobja pridobivanja praktičnih delovnih izkušenj na delovnem mestu) in šolsko izobraževanje (obdobja teoretičnega/praktičnega izobraževanja v šoli ali centru za usposabljanje) ter za katere se ob uspešnem zaključku dodelijo nacionalno priznane kvalifikacije za začetno PIU.</w:t>
            </w:r>
          </w:p>
        </w:tc>
      </w:tr>
      <w:tr w:rsidR="00705BF0" w:rsidRPr="002C560E" w14:paraId="7D39ACDF" w14:textId="77777777" w:rsidTr="00EC19F7">
        <w:tc>
          <w:tcPr>
            <w:tcW w:w="2088" w:type="dxa"/>
          </w:tcPr>
          <w:p w14:paraId="7D39ACDD" w14:textId="77777777" w:rsidR="00705BF0" w:rsidRPr="005F062F" w:rsidRDefault="00705BF0" w:rsidP="005F062F">
            <w:pPr>
              <w:pStyle w:val="GUIDE-NORMAL"/>
              <w:jc w:val="left"/>
              <w:rPr>
                <w:b/>
                <w:lang w:val="sl-SI"/>
              </w:rPr>
            </w:pPr>
            <w:r w:rsidRPr="005F062F">
              <w:rPr>
                <w:b/>
                <w:lang w:val="sl-SI"/>
              </w:rPr>
              <w:t>Virtualna mobilnost</w:t>
            </w:r>
          </w:p>
        </w:tc>
        <w:tc>
          <w:tcPr>
            <w:tcW w:w="7202" w:type="dxa"/>
          </w:tcPr>
          <w:p w14:paraId="7D39ACDE" w14:textId="77777777" w:rsidR="00705BF0" w:rsidRPr="005F062F" w:rsidRDefault="00705BF0" w:rsidP="009A2C2A">
            <w:pPr>
              <w:pStyle w:val="GUIDE-NORMAL"/>
              <w:rPr>
                <w:lang w:val="sl-SI"/>
              </w:rPr>
            </w:pPr>
            <w:r w:rsidRPr="005F062F">
              <w:rPr>
                <w:lang w:val="sl-SI"/>
              </w:rPr>
              <w:t>Nabor aktivnosti, podprtih z informacijskimi in komunikacijskimi tehnologijami, vključno z e-učenjem, ki uresničujejo ali pospešujejo mednarodne izkušnje sodelovanja v okviru poučevanja, usposabljanja ali učenja.</w:t>
            </w:r>
          </w:p>
        </w:tc>
      </w:tr>
      <w:tr w:rsidR="00705BF0" w:rsidRPr="002C560E" w14:paraId="7D39ACE2" w14:textId="77777777" w:rsidTr="00EC19F7">
        <w:tc>
          <w:tcPr>
            <w:tcW w:w="2088" w:type="dxa"/>
          </w:tcPr>
          <w:p w14:paraId="7D39ACE0" w14:textId="77777777" w:rsidR="00705BF0" w:rsidRPr="005F062F" w:rsidRDefault="00705BF0" w:rsidP="005F062F">
            <w:pPr>
              <w:pStyle w:val="GUIDE-NORMAL"/>
              <w:jc w:val="left"/>
              <w:rPr>
                <w:b/>
                <w:lang w:val="sl-SI"/>
              </w:rPr>
            </w:pPr>
            <w:r w:rsidRPr="005F062F">
              <w:rPr>
                <w:b/>
                <w:lang w:val="sl-SI"/>
              </w:rPr>
              <w:t>Visokošolska institucija</w:t>
            </w:r>
          </w:p>
        </w:tc>
        <w:tc>
          <w:tcPr>
            <w:tcW w:w="7202" w:type="dxa"/>
          </w:tcPr>
          <w:p w14:paraId="7D39ACE1" w14:textId="77777777" w:rsidR="00705BF0" w:rsidRPr="005F062F" w:rsidRDefault="00705BF0" w:rsidP="009A2C2A">
            <w:pPr>
              <w:pStyle w:val="GUIDE-NORMAL"/>
              <w:rPr>
                <w:lang w:val="sl-SI"/>
              </w:rPr>
            </w:pPr>
            <w:r w:rsidRPr="005F062F">
              <w:rPr>
                <w:lang w:val="sl-SI"/>
              </w:rPr>
              <w:t>Katera koli vrsta visokošolske institucije, ki v skladu z nacionalnim pravom ali prakso omogoča pridobitev priznanih stopenj izobrazbe ali druge priznane kvalifikacije na terciarni ravni, ne glede na to, kako se taka institucija imenuje, ali katera koli institucija, ki v skladu z nacionalnim pravom ali prakso omogoča poklicno izobraževanje ali usposabljanje na terciarni ravni.</w:t>
            </w:r>
          </w:p>
        </w:tc>
      </w:tr>
      <w:tr w:rsidR="00705BF0" w:rsidRPr="002C560E" w14:paraId="7D39ACE5" w14:textId="77777777" w:rsidTr="00EC19F7">
        <w:trPr>
          <w:trHeight w:val="576"/>
        </w:trPr>
        <w:tc>
          <w:tcPr>
            <w:tcW w:w="2088" w:type="dxa"/>
          </w:tcPr>
          <w:p w14:paraId="7D39ACE3" w14:textId="77777777" w:rsidR="00705BF0" w:rsidRPr="005F062F" w:rsidRDefault="00705BF0" w:rsidP="005F062F">
            <w:pPr>
              <w:pStyle w:val="GUIDE-NORMAL"/>
              <w:jc w:val="left"/>
              <w:rPr>
                <w:b/>
                <w:lang w:val="sl-SI"/>
              </w:rPr>
            </w:pPr>
            <w:r w:rsidRPr="005F062F">
              <w:rPr>
                <w:b/>
                <w:lang w:val="sl-SI"/>
              </w:rPr>
              <w:t>Višja sila</w:t>
            </w:r>
          </w:p>
        </w:tc>
        <w:tc>
          <w:tcPr>
            <w:tcW w:w="7202" w:type="dxa"/>
          </w:tcPr>
          <w:p w14:paraId="7D39ACE4" w14:textId="77777777" w:rsidR="00705BF0" w:rsidRPr="005F062F" w:rsidRDefault="00705BF0" w:rsidP="009A2C2A">
            <w:pPr>
              <w:pStyle w:val="GUIDE-NORMAL"/>
              <w:rPr>
                <w:lang w:val="sl-SI"/>
              </w:rPr>
            </w:pPr>
            <w:r w:rsidRPr="005F062F">
              <w:rPr>
                <w:lang w:val="sl-SI"/>
              </w:rPr>
              <w:t>Nepredvidljive izjemne razmere ali dogodek, na katere udeleženec ne more vplivati in ki jih ni mogoče pripisati njegovi napaki ali malomarnosti.</w:t>
            </w:r>
          </w:p>
        </w:tc>
      </w:tr>
      <w:tr w:rsidR="00705BF0" w:rsidRPr="002C560E" w14:paraId="7D39ACE8" w14:textId="77777777" w:rsidTr="00EC19F7">
        <w:tc>
          <w:tcPr>
            <w:tcW w:w="2088" w:type="dxa"/>
          </w:tcPr>
          <w:p w14:paraId="7D39ACE6" w14:textId="77777777" w:rsidR="00705BF0" w:rsidRPr="005F062F" w:rsidRDefault="00705BF0" w:rsidP="005F062F">
            <w:pPr>
              <w:pStyle w:val="GUIDE-NORMAL"/>
              <w:jc w:val="left"/>
              <w:rPr>
                <w:b/>
                <w:lang w:val="sl-SI"/>
              </w:rPr>
            </w:pPr>
            <w:r w:rsidRPr="005F062F">
              <w:rPr>
                <w:b/>
                <w:lang w:val="sl-SI"/>
              </w:rPr>
              <w:t>Vodja skupine</w:t>
            </w:r>
          </w:p>
        </w:tc>
        <w:tc>
          <w:tcPr>
            <w:tcW w:w="7202" w:type="dxa"/>
          </w:tcPr>
          <w:p w14:paraId="7D39ACE7" w14:textId="77777777" w:rsidR="00705BF0" w:rsidRPr="005F062F" w:rsidRDefault="00705BF0" w:rsidP="009A2C2A">
            <w:pPr>
              <w:pStyle w:val="GUIDE-NORMAL"/>
              <w:rPr>
                <w:lang w:val="sl-SI"/>
              </w:rPr>
            </w:pPr>
            <w:r w:rsidRPr="005F062F">
              <w:rPr>
                <w:lang w:val="sl-SI"/>
              </w:rPr>
              <w:t>Pri mladinskih projektih mobilnosti je vodja skupine odrasla oseba, ki spremlja mlade, ki sodelujejo v mladinski izmenjavi, da bi zagotovil njihovo učinkovito učenje (Youthpass), zaščito in varnost.</w:t>
            </w:r>
          </w:p>
        </w:tc>
      </w:tr>
      <w:tr w:rsidR="00705BF0" w:rsidRPr="002C560E" w14:paraId="7D39ACEB" w14:textId="77777777" w:rsidTr="00EC19F7">
        <w:tc>
          <w:tcPr>
            <w:tcW w:w="2088" w:type="dxa"/>
          </w:tcPr>
          <w:p w14:paraId="7D39ACE9" w14:textId="77777777" w:rsidR="00705BF0" w:rsidRPr="005F062F" w:rsidRDefault="00705BF0" w:rsidP="005F062F">
            <w:pPr>
              <w:pStyle w:val="GUIDE-NORMAL"/>
              <w:jc w:val="left"/>
              <w:rPr>
                <w:b/>
                <w:lang w:val="sl-SI"/>
              </w:rPr>
            </w:pPr>
            <w:r w:rsidRPr="005F062F">
              <w:rPr>
                <w:b/>
                <w:lang w:val="sl-SI"/>
              </w:rPr>
              <w:t>Vseživljenjsko učenje</w:t>
            </w:r>
          </w:p>
        </w:tc>
        <w:tc>
          <w:tcPr>
            <w:tcW w:w="7202" w:type="dxa"/>
          </w:tcPr>
          <w:p w14:paraId="7D39ACEA" w14:textId="77777777" w:rsidR="00705BF0" w:rsidRPr="001048FE" w:rsidRDefault="00705BF0" w:rsidP="009A2C2A">
            <w:pPr>
              <w:pStyle w:val="GUIDE-NORMAL"/>
              <w:rPr>
                <w:lang w:val="sl-SI"/>
              </w:rPr>
            </w:pPr>
            <w:r w:rsidRPr="005F062F">
              <w:rPr>
                <w:lang w:val="sl-SI"/>
              </w:rPr>
              <w:t>Vse splošno izobraževanje, poklicno izobraževanje in usposabljanje, neformalno učenje in priložnostno učenje skozi vse življenje, ki izboljša znanje, spretnosti in kompetence ali udeležbo v družbi na osebnem, državljanskem, kulturnem ter družbenem področju in/ali področju, povezanem z zaposlitvijo, vključno z zagotavljanjem storitev informiranja in svetovanja.</w:t>
            </w:r>
          </w:p>
        </w:tc>
      </w:tr>
      <w:tr w:rsidR="00705BF0" w:rsidRPr="002C560E" w14:paraId="7D39ACEE" w14:textId="77777777" w:rsidTr="00EC19F7">
        <w:trPr>
          <w:trHeight w:val="864"/>
        </w:trPr>
        <w:tc>
          <w:tcPr>
            <w:tcW w:w="2088" w:type="dxa"/>
          </w:tcPr>
          <w:p w14:paraId="7D39ACEC" w14:textId="77777777" w:rsidR="00705BF0" w:rsidRPr="005F062F" w:rsidRDefault="00705BF0" w:rsidP="005F062F">
            <w:pPr>
              <w:pStyle w:val="GUIDE-NORMAL"/>
              <w:jc w:val="left"/>
              <w:rPr>
                <w:b/>
                <w:lang w:val="sl-SI"/>
              </w:rPr>
            </w:pPr>
            <w:r w:rsidRPr="005F062F">
              <w:rPr>
                <w:b/>
                <w:lang w:val="sl-SI"/>
              </w:rPr>
              <w:t>Youthpass</w:t>
            </w:r>
          </w:p>
        </w:tc>
        <w:tc>
          <w:tcPr>
            <w:tcW w:w="7202" w:type="dxa"/>
          </w:tcPr>
          <w:p w14:paraId="7D39ACED" w14:textId="77777777" w:rsidR="00705BF0" w:rsidRPr="005F062F" w:rsidRDefault="00705BF0" w:rsidP="009A2C2A">
            <w:pPr>
              <w:pStyle w:val="GUIDE-NORMAL"/>
              <w:rPr>
                <w:lang w:val="sl-SI"/>
              </w:rPr>
            </w:pPr>
            <w:r w:rsidRPr="005F062F">
              <w:rPr>
                <w:lang w:val="sl-SI"/>
              </w:rPr>
              <w:t xml:space="preserve">Evropsko orodje za izboljšanje priznavanja učnih izidov mladih in mladinskih delavcev, ki jih pridobijo med udeležbo v projektih, podprtih s programom Erasmus+. Youthpass zajema:a) potrdila, ki jih lahko pridobijo udeleženci v več ukrepih Programa, in </w:t>
            </w:r>
            <w:r w:rsidRPr="005F062F">
              <w:rPr>
                <w:lang w:val="sl-SI"/>
              </w:rPr>
              <w:br/>
              <w:t>b) opredeljen proces, ki nudi podporo mladim, mladinskim delavcem in mladinskim organizacijam za razmislek o učnih izidih v okviru projekta Erasmus+ na področju mladine in neformalnega učenja. Youthpass je tudi del širše strategije Evropske komisije, katere cilj je okrepiti priznavanje neformalnega in priložnostnega učenja ter mladinskega dela v Evropi in po svetu.</w:t>
            </w:r>
          </w:p>
        </w:tc>
      </w:tr>
    </w:tbl>
    <w:p w14:paraId="7D39ACEF" w14:textId="77777777" w:rsidR="00C12526" w:rsidRDefault="00C12526">
      <w:pPr>
        <w:widowControl/>
        <w:suppressAutoHyphens w:val="0"/>
        <w:autoSpaceDN/>
        <w:textAlignment w:val="auto"/>
        <w:rPr>
          <w:rFonts w:eastAsia="Times New Roman" w:cs="Times New Roman"/>
          <w:b/>
          <w:smallCaps/>
          <w:sz w:val="40"/>
          <w:szCs w:val="20"/>
          <w:lang w:val="sl-SI"/>
        </w:rPr>
      </w:pPr>
      <w:bookmarkStart w:id="785" w:name="Annexe_IV_-_Références_utiles_et_coordon"/>
      <w:bookmarkStart w:id="786" w:name="_bookmark85"/>
      <w:bookmarkEnd w:id="785"/>
      <w:bookmarkEnd w:id="786"/>
    </w:p>
    <w:p w14:paraId="7D39ACF0" w14:textId="77777777" w:rsidR="00C358A6" w:rsidRPr="001048FE" w:rsidRDefault="00C358A6" w:rsidP="00733F8F">
      <w:pPr>
        <w:pStyle w:val="Guide-Heading1"/>
        <w:rPr>
          <w:lang w:val="sl-SI"/>
        </w:rPr>
        <w:sectPr w:rsidR="00C358A6" w:rsidRPr="001048FE" w:rsidSect="007F4890">
          <w:headerReference w:type="default" r:id="rId197"/>
          <w:endnotePr>
            <w:numFmt w:val="decimal"/>
          </w:endnotePr>
          <w:pgSz w:w="11910" w:h="16840" w:code="9"/>
          <w:pgMar w:top="1134" w:right="1418" w:bottom="1134" w:left="1418" w:header="283" w:footer="567" w:gutter="0"/>
          <w:cols w:space="720"/>
          <w:docGrid w:linePitch="326"/>
        </w:sectPr>
      </w:pPr>
    </w:p>
    <w:p w14:paraId="7D39ACF1" w14:textId="77777777" w:rsidR="00691F14" w:rsidRPr="001048FE" w:rsidRDefault="00691F14" w:rsidP="004B71A1">
      <w:pPr>
        <w:pStyle w:val="Guide-Heading1"/>
        <w:ind w:left="720"/>
        <w:jc w:val="left"/>
        <w:rPr>
          <w:lang w:val="sl-SI"/>
        </w:rPr>
      </w:pPr>
      <w:bookmarkStart w:id="787" w:name="_Toc527400997"/>
      <w:bookmarkStart w:id="788" w:name="_Toc527401401"/>
      <w:r w:rsidRPr="001048FE">
        <w:rPr>
          <w:lang w:val="sl-SI"/>
        </w:rPr>
        <w:t>Priloga IV – Koristne reference in kontaktni</w:t>
      </w:r>
      <w:bookmarkStart w:id="789" w:name="Priloga_IV_–_Koristne_reference_in_konta"/>
      <w:bookmarkEnd w:id="789"/>
      <w:r w:rsidRPr="001048FE">
        <w:rPr>
          <w:lang w:val="sl-SI"/>
        </w:rPr>
        <w:t xml:space="preserve"> podatki</w:t>
      </w:r>
      <w:bookmarkEnd w:id="787"/>
      <w:bookmarkEnd w:id="788"/>
    </w:p>
    <w:p w14:paraId="7D39ACF2" w14:textId="77777777" w:rsidR="00BE364E" w:rsidRPr="001048FE" w:rsidRDefault="00691F14" w:rsidP="00691F14">
      <w:pPr>
        <w:pStyle w:val="Guide-Heading3"/>
        <w:rPr>
          <w:lang w:val="sl-SI"/>
        </w:rPr>
      </w:pPr>
      <w:bookmarkStart w:id="790" w:name="_Toc527400998"/>
      <w:bookmarkStart w:id="791" w:name="_Toc527401402"/>
      <w:r w:rsidRPr="001048FE">
        <w:rPr>
          <w:lang w:val="sl-SI"/>
        </w:rPr>
        <w:t>Koristne reference</w:t>
      </w:r>
      <w:bookmarkEnd w:id="790"/>
      <w:bookmarkEnd w:id="791"/>
    </w:p>
    <w:tbl>
      <w:tblPr>
        <w:tblW w:w="5000" w:type="pct"/>
        <w:tblLayout w:type="fixed"/>
        <w:tblCellMar>
          <w:left w:w="10" w:type="dxa"/>
          <w:right w:w="10" w:type="dxa"/>
        </w:tblCellMar>
        <w:tblLook w:val="0000" w:firstRow="0" w:lastRow="0" w:firstColumn="0" w:lastColumn="0" w:noHBand="0" w:noVBand="0"/>
      </w:tblPr>
      <w:tblGrid>
        <w:gridCol w:w="3484"/>
        <w:gridCol w:w="5806"/>
      </w:tblGrid>
      <w:tr w:rsidR="000C229C" w:rsidRPr="008C6F8C" w14:paraId="7D39ACF5" w14:textId="77777777" w:rsidTr="000C229C">
        <w:trPr>
          <w:trHeight w:val="20"/>
        </w:trPr>
        <w:tc>
          <w:tcPr>
            <w:tcW w:w="1875" w:type="pct"/>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vAlign w:val="center"/>
          </w:tcPr>
          <w:p w14:paraId="7D39ACF3" w14:textId="77777777" w:rsidR="000C229C" w:rsidRPr="00F769E0" w:rsidRDefault="000C229C" w:rsidP="000C229C">
            <w:pPr>
              <w:pStyle w:val="Guide-Table"/>
              <w:spacing w:before="20" w:after="20"/>
              <w:rPr>
                <w:rFonts w:cs="Tahoma"/>
                <w:b/>
                <w:lang w:val="sl-SI" w:eastAsia="en-GB"/>
              </w:rPr>
            </w:pPr>
            <w:r w:rsidRPr="00F769E0">
              <w:rPr>
                <w:rFonts w:cs="Tahoma"/>
                <w:b/>
                <w:lang w:val="sl-SI" w:eastAsia="en-GB"/>
              </w:rPr>
              <w:t>Title</w:t>
            </w:r>
          </w:p>
        </w:tc>
        <w:tc>
          <w:tcPr>
            <w:tcW w:w="3125" w:type="pc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D39ACF4" w14:textId="77777777" w:rsidR="000C229C" w:rsidRPr="00F769E0" w:rsidRDefault="000C229C" w:rsidP="000C229C">
            <w:pPr>
              <w:pStyle w:val="Guide-Table"/>
              <w:spacing w:before="20" w:after="20"/>
              <w:rPr>
                <w:rFonts w:cs="Tahoma"/>
                <w:b/>
                <w:lang w:val="sl-SI" w:eastAsia="en-GB"/>
              </w:rPr>
            </w:pPr>
            <w:r w:rsidRPr="00F769E0">
              <w:rPr>
                <w:rFonts w:cs="Tahoma"/>
                <w:b/>
                <w:lang w:val="sl-SI" w:eastAsia="en-GB"/>
              </w:rPr>
              <w:t>Link</w:t>
            </w:r>
          </w:p>
        </w:tc>
      </w:tr>
      <w:tr w:rsidR="000C229C" w:rsidRPr="002C560E" w14:paraId="7D39ACF8" w14:textId="77777777" w:rsidTr="000C229C">
        <w:trPr>
          <w:trHeight w:val="20"/>
        </w:trPr>
        <w:tc>
          <w:tcPr>
            <w:tcW w:w="1875" w:type="pct"/>
            <w:tcBorders>
              <w:top w:val="single"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CF6" w14:textId="77777777" w:rsidR="000C229C" w:rsidRPr="00F769E0" w:rsidRDefault="000C229C" w:rsidP="000C229C">
            <w:pPr>
              <w:pStyle w:val="Guide-Table"/>
              <w:spacing w:before="60" w:after="60"/>
              <w:jc w:val="left"/>
              <w:rPr>
                <w:rFonts w:cs="Tahoma"/>
                <w:lang w:val="sl-SI" w:eastAsia="en-GB"/>
              </w:rPr>
            </w:pPr>
            <w:r w:rsidRPr="00F769E0">
              <w:rPr>
                <w:rFonts w:cs="Tahoma"/>
                <w:lang w:val="sl-SI" w:eastAsia="en-GB"/>
              </w:rPr>
              <w:t>Merila uspešnosti in kazalniki strategije Evropa 2020 ter strateškega okvira ET 2020</w:t>
            </w:r>
          </w:p>
        </w:tc>
        <w:tc>
          <w:tcPr>
            <w:tcW w:w="3125" w:type="pct"/>
            <w:tcBorders>
              <w:top w:val="single"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CF7" w14:textId="77777777" w:rsidR="000C229C" w:rsidRPr="00F769E0" w:rsidRDefault="002C560E" w:rsidP="000C229C">
            <w:pPr>
              <w:pStyle w:val="Guide-Table"/>
              <w:spacing w:before="60" w:after="60"/>
              <w:jc w:val="left"/>
              <w:rPr>
                <w:rFonts w:cs="Tahoma"/>
                <w:lang w:val="sl-SI" w:eastAsia="en-GB"/>
              </w:rPr>
            </w:pPr>
            <w:hyperlink r:id="rId198" w:history="1">
              <w:r w:rsidR="000C229C" w:rsidRPr="00F769E0">
                <w:rPr>
                  <w:rStyle w:val="Hyperlink"/>
                  <w:rFonts w:cs="Tahoma"/>
                  <w:lang w:val="sl-SI" w:eastAsia="en-GB"/>
                </w:rPr>
                <w:t>http://ec.europa.eu/eurostat/statistics-explained/index.php?title=Europe_2020_indicators_-_education&amp;oldid=301033</w:t>
              </w:r>
            </w:hyperlink>
            <w:r w:rsidR="000C229C" w:rsidRPr="00F769E0">
              <w:rPr>
                <w:rFonts w:cs="Tahoma"/>
                <w:lang w:val="sl-SI" w:eastAsia="en-GB"/>
              </w:rPr>
              <w:t xml:space="preserve"> </w:t>
            </w:r>
          </w:p>
        </w:tc>
      </w:tr>
      <w:tr w:rsidR="000C229C" w:rsidRPr="002C560E" w14:paraId="7D39ACFB"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CF9"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Analiza izobraževanja (zajema predšolsko vzgojo in varstvo, šole, mladino in visokošolsko izobraževanje ter mnoga manj specifična področja izobraževanja)</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CFA" w14:textId="77777777" w:rsidR="000C229C" w:rsidRPr="00F769E0" w:rsidRDefault="002C560E" w:rsidP="000C229C">
            <w:pPr>
              <w:pStyle w:val="Guide-Table"/>
              <w:spacing w:before="60" w:after="60"/>
              <w:jc w:val="left"/>
              <w:rPr>
                <w:rFonts w:cs="Tahoma"/>
                <w:u w:val="single"/>
                <w:lang w:val="sl-SI" w:eastAsia="en-GB"/>
              </w:rPr>
            </w:pPr>
            <w:hyperlink r:id="rId199" w:history="1">
              <w:r w:rsidR="006B2378" w:rsidRPr="001E29CB">
                <w:rPr>
                  <w:rStyle w:val="Hyperlink"/>
                  <w:rFonts w:asciiTheme="minorHAnsi" w:hAnsiTheme="minorHAnsi" w:cstheme="minorHAnsi"/>
                  <w:kern w:val="0"/>
                  <w:szCs w:val="20"/>
                  <w:lang w:val="sl-SI" w:eastAsia="en-GB"/>
                </w:rPr>
                <w:t>https://eacea.ec.europa.eu/national-policies/en</w:t>
              </w:r>
            </w:hyperlink>
            <w:r w:rsidR="006B2378">
              <w:rPr>
                <w:rFonts w:asciiTheme="minorHAnsi" w:hAnsiTheme="minorHAnsi" w:cstheme="minorHAnsi"/>
                <w:kern w:val="0"/>
                <w:szCs w:val="20"/>
                <w:lang w:val="sl-SI" w:eastAsia="en-GB"/>
              </w:rPr>
              <w:t xml:space="preserve"> </w:t>
            </w:r>
          </w:p>
        </w:tc>
      </w:tr>
      <w:tr w:rsidR="000C229C" w:rsidRPr="002C560E" w14:paraId="7D39ACFE"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CFC"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Analiza izobraževanja in usposabljanja; zajeta so vsa področja</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CFD" w14:textId="77777777" w:rsidR="000C229C" w:rsidRPr="00F769E0" w:rsidRDefault="002C560E" w:rsidP="000C229C">
            <w:pPr>
              <w:pStyle w:val="Guide-Table"/>
              <w:spacing w:before="60" w:after="60"/>
              <w:jc w:val="left"/>
              <w:rPr>
                <w:rFonts w:cs="Tahoma"/>
                <w:u w:val="single"/>
                <w:lang w:val="sl-SI" w:eastAsia="en-GB"/>
              </w:rPr>
            </w:pPr>
            <w:hyperlink r:id="rId200" w:history="1">
              <w:r w:rsidR="000C229C" w:rsidRPr="00F769E0">
                <w:rPr>
                  <w:rStyle w:val="Hyperlink"/>
                  <w:rFonts w:cs="Tahoma"/>
                  <w:lang w:val="sl-SI" w:eastAsia="en-GB"/>
                </w:rPr>
                <w:t>http://www.oecd.org/education/</w:t>
              </w:r>
            </w:hyperlink>
            <w:r w:rsidR="000C229C" w:rsidRPr="00F769E0">
              <w:rPr>
                <w:rFonts w:cs="Tahoma"/>
                <w:u w:val="single"/>
                <w:lang w:val="sl-SI" w:eastAsia="en-GB"/>
              </w:rPr>
              <w:t xml:space="preserve"> </w:t>
            </w:r>
          </w:p>
        </w:tc>
      </w:tr>
      <w:tr w:rsidR="000C229C" w:rsidRPr="002C560E" w14:paraId="7D39AD02"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CFF"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Analiza izobraževanja in usposabljanja; zajeta so vsa področja</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00" w14:textId="77777777" w:rsidR="000C229C" w:rsidRPr="00F769E0" w:rsidRDefault="002C560E" w:rsidP="000C229C">
            <w:pPr>
              <w:pStyle w:val="Guide-Table"/>
              <w:spacing w:before="60" w:after="60"/>
              <w:jc w:val="left"/>
              <w:rPr>
                <w:rFonts w:cs="Tahoma"/>
                <w:u w:val="single"/>
                <w:lang w:val="sl-SI" w:eastAsia="en-GB"/>
              </w:rPr>
            </w:pPr>
            <w:hyperlink r:id="rId201" w:history="1">
              <w:r w:rsidR="000C229C" w:rsidRPr="00F769E0">
                <w:rPr>
                  <w:rStyle w:val="Hyperlink"/>
                  <w:rFonts w:cs="Tahoma"/>
                  <w:lang w:val="sl-SI" w:eastAsia="en-GB"/>
                </w:rPr>
                <w:t>https://en.unesco.org/</w:t>
              </w:r>
            </w:hyperlink>
            <w:r w:rsidR="000C229C" w:rsidRPr="00F769E0">
              <w:rPr>
                <w:rFonts w:cs="Tahoma"/>
                <w:u w:val="single"/>
                <w:lang w:val="sl-SI" w:eastAsia="en-GB"/>
              </w:rPr>
              <w:t xml:space="preserve"> </w:t>
            </w:r>
          </w:p>
          <w:p w14:paraId="7D39AD01" w14:textId="77777777" w:rsidR="000C229C" w:rsidRPr="00F769E0" w:rsidRDefault="002C560E" w:rsidP="000C229C">
            <w:pPr>
              <w:pStyle w:val="Guide-Table"/>
              <w:spacing w:before="60" w:after="60"/>
              <w:jc w:val="left"/>
              <w:rPr>
                <w:rFonts w:cs="Tahoma"/>
                <w:u w:val="single"/>
                <w:lang w:val="sl-SI" w:eastAsia="en-GB"/>
              </w:rPr>
            </w:pPr>
            <w:hyperlink r:id="rId202" w:history="1">
              <w:r w:rsidR="000C229C" w:rsidRPr="00F769E0">
                <w:rPr>
                  <w:rStyle w:val="Hyperlink"/>
                  <w:rFonts w:cs="Tahoma"/>
                  <w:lang w:val="sl-SI" w:eastAsia="en-GB"/>
                </w:rPr>
                <w:t>http://www.uis.unesco.org/Pages/default.aspx</w:t>
              </w:r>
            </w:hyperlink>
            <w:r w:rsidR="000C229C" w:rsidRPr="00F769E0">
              <w:rPr>
                <w:rFonts w:cs="Tahoma"/>
                <w:u w:val="single"/>
                <w:lang w:val="sl-SI" w:eastAsia="en-GB"/>
              </w:rPr>
              <w:t xml:space="preserve"> </w:t>
            </w:r>
          </w:p>
        </w:tc>
      </w:tr>
      <w:tr w:rsidR="000C0F2F" w:rsidRPr="002C560E" w14:paraId="7D39AD05"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03" w14:textId="77777777" w:rsidR="000C0F2F" w:rsidRPr="00F769E0" w:rsidRDefault="000C0F2F" w:rsidP="000C229C">
            <w:pPr>
              <w:pStyle w:val="Guide-Table"/>
              <w:spacing w:before="60" w:after="60"/>
              <w:jc w:val="left"/>
              <w:rPr>
                <w:rFonts w:cs="Tahoma"/>
                <w:lang w:val="sl-SI" w:eastAsia="en-GB"/>
              </w:rPr>
            </w:pPr>
            <w:r w:rsidRPr="00FC4A70">
              <w:rPr>
                <w:rFonts w:eastAsia="Calibri" w:cs="Calibri"/>
                <w:color w:val="auto"/>
                <w:bdr w:val="nil"/>
                <w:shd w:val="clear" w:color="auto" w:fill="auto"/>
                <w:lang w:val="sl-SI"/>
              </w:rPr>
              <w:t>Digitalno mladinsko delo – Vodnik za razvijanje digitalnega mladinskega dela</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04" w14:textId="77777777" w:rsidR="000C0F2F" w:rsidRPr="00416BBB" w:rsidRDefault="002C560E" w:rsidP="000C229C">
            <w:pPr>
              <w:pStyle w:val="Guide-Table"/>
              <w:spacing w:before="60" w:after="60"/>
              <w:jc w:val="left"/>
              <w:rPr>
                <w:rFonts w:cs="Tahoma"/>
                <w:color w:val="0000FF"/>
                <w:lang w:val="sl-SI" w:eastAsia="en-GB"/>
              </w:rPr>
            </w:pPr>
            <w:hyperlink r:id="rId203" w:history="1">
              <w:r w:rsidR="000C0F2F" w:rsidRPr="00416BBB">
                <w:rPr>
                  <w:rFonts w:eastAsia="Calibri" w:cs="Calibri"/>
                  <w:color w:val="0000FF"/>
                  <w:u w:val="single"/>
                  <w:bdr w:val="nil"/>
                  <w:shd w:val="clear" w:color="auto" w:fill="auto"/>
                  <w:lang w:val="sl-SI"/>
                </w:rPr>
                <w:t>https://publications.europa.eu/s/fouj</w:t>
              </w:r>
            </w:hyperlink>
          </w:p>
        </w:tc>
      </w:tr>
      <w:tr w:rsidR="000C229C" w:rsidRPr="002C560E" w14:paraId="7D39AD08"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06"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Model priloge k diplomi:</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07" w14:textId="77777777" w:rsidR="000C229C" w:rsidRPr="00F769E0" w:rsidRDefault="002C560E" w:rsidP="000C229C">
            <w:pPr>
              <w:pStyle w:val="Guide-Table"/>
              <w:spacing w:before="60" w:after="60"/>
              <w:jc w:val="left"/>
              <w:rPr>
                <w:rFonts w:cs="Tahoma"/>
                <w:u w:val="single"/>
                <w:lang w:val="sl-SI" w:eastAsia="en-GB"/>
              </w:rPr>
            </w:pPr>
            <w:hyperlink r:id="rId204" w:history="1">
              <w:r w:rsidR="000C229C" w:rsidRPr="00F769E0">
                <w:rPr>
                  <w:rStyle w:val="Hyperlink"/>
                  <w:rFonts w:cs="Tahoma"/>
                  <w:lang w:val="sl-SI" w:eastAsia="en-GB"/>
                </w:rPr>
                <w:t>http://ec.europa.eu/education/tools/diploma-supplement_en.htm</w:t>
              </w:r>
            </w:hyperlink>
            <w:r w:rsidR="000C229C" w:rsidRPr="00F769E0">
              <w:rPr>
                <w:rFonts w:cs="Tahoma"/>
                <w:u w:val="single"/>
                <w:lang w:val="sl-SI" w:eastAsia="en-GB"/>
              </w:rPr>
              <w:t xml:space="preserve"> </w:t>
            </w:r>
          </w:p>
        </w:tc>
      </w:tr>
      <w:tr w:rsidR="000C229C" w:rsidRPr="002C560E" w14:paraId="7D39AD0B"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09"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ECTS uporabniški priročnik</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0A" w14:textId="77777777" w:rsidR="000C229C" w:rsidRPr="00F769E0" w:rsidRDefault="000C229C" w:rsidP="000C229C">
            <w:pPr>
              <w:pStyle w:val="Guide-Table"/>
              <w:spacing w:before="60" w:after="60"/>
              <w:jc w:val="left"/>
              <w:rPr>
                <w:rStyle w:val="Hyperlink"/>
                <w:rFonts w:cs="Tahoma"/>
                <w:lang w:val="sl-SI" w:eastAsia="en-GB"/>
              </w:rPr>
            </w:pPr>
            <w:r w:rsidRPr="00F769E0">
              <w:rPr>
                <w:rStyle w:val="Hyperlink"/>
                <w:rFonts w:cs="Tahoma"/>
                <w:lang w:val="sl-SI" w:eastAsia="en-GB"/>
              </w:rPr>
              <w:t>http://ec.europa.eu/education/tools/docs/ects-guide_en.pdf</w:t>
            </w:r>
          </w:p>
        </w:tc>
      </w:tr>
      <w:tr w:rsidR="000C229C" w:rsidRPr="002C560E" w14:paraId="7D39AD0F"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0C"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ECVET</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0D" w14:textId="77777777" w:rsidR="000C229C" w:rsidRPr="00F769E0" w:rsidRDefault="002C560E" w:rsidP="000C229C">
            <w:pPr>
              <w:pStyle w:val="Guide-Table"/>
              <w:spacing w:before="60" w:after="60"/>
              <w:jc w:val="left"/>
              <w:rPr>
                <w:rStyle w:val="Hyperlink"/>
                <w:rFonts w:cs="Tahoma"/>
                <w:lang w:val="sl-SI" w:eastAsia="en-GB"/>
              </w:rPr>
            </w:pPr>
            <w:hyperlink r:id="rId205" w:history="1">
              <w:r w:rsidR="000C229C" w:rsidRPr="00F769E0">
                <w:rPr>
                  <w:rStyle w:val="Hyperlink"/>
                  <w:rFonts w:cs="Tahoma"/>
                  <w:lang w:val="sl-SI" w:eastAsia="en-GB"/>
                </w:rPr>
                <w:t>http://ec.europa.eu/education/policy/vocational-policy/ecvet_en.htm</w:t>
              </w:r>
            </w:hyperlink>
            <w:r w:rsidR="000C229C" w:rsidRPr="00F769E0">
              <w:rPr>
                <w:rStyle w:val="Hyperlink"/>
                <w:rFonts w:cs="Tahoma"/>
                <w:lang w:val="sl-SI" w:eastAsia="en-GB"/>
              </w:rPr>
              <w:t xml:space="preserve"> </w:t>
            </w:r>
          </w:p>
          <w:p w14:paraId="7D39AD0E" w14:textId="77777777" w:rsidR="000C229C" w:rsidRPr="00F769E0" w:rsidRDefault="002C560E" w:rsidP="000C229C">
            <w:pPr>
              <w:pStyle w:val="Guide-Table"/>
              <w:spacing w:before="60" w:after="60"/>
              <w:jc w:val="left"/>
              <w:rPr>
                <w:rStyle w:val="Hyperlink"/>
                <w:rFonts w:cs="Tahoma"/>
                <w:lang w:val="sl-SI" w:eastAsia="en-GB"/>
              </w:rPr>
            </w:pPr>
            <w:hyperlink r:id="rId206" w:history="1">
              <w:r w:rsidR="000C229C" w:rsidRPr="001048FE">
                <w:rPr>
                  <w:rStyle w:val="Hyperlink"/>
                  <w:rFonts w:eastAsia="Arial" w:cs="Arial"/>
                  <w:lang w:val="sl-SI" w:eastAsia="en-GB"/>
                </w:rPr>
                <w:t>http://www.ecvet-secretariat.eu</w:t>
              </w:r>
            </w:hyperlink>
          </w:p>
        </w:tc>
      </w:tr>
      <w:tr w:rsidR="000C229C" w:rsidRPr="002C560E" w14:paraId="7D39AD12"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10"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Podjetniško izobraževanje: vodnik za osebje v izobraževanju</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11" w14:textId="77777777" w:rsidR="000C229C" w:rsidRPr="00F769E0" w:rsidRDefault="002C560E" w:rsidP="000C229C">
            <w:pPr>
              <w:pStyle w:val="Guide-Table"/>
              <w:spacing w:before="60" w:after="60"/>
              <w:jc w:val="left"/>
              <w:rPr>
                <w:rFonts w:cs="Tahoma"/>
                <w:kern w:val="0"/>
                <w:lang w:val="sl-SI" w:eastAsia="en-GB"/>
              </w:rPr>
            </w:pPr>
            <w:hyperlink r:id="rId207" w:history="1">
              <w:r w:rsidR="000C229C" w:rsidRPr="00F769E0">
                <w:rPr>
                  <w:rStyle w:val="Hyperlink"/>
                  <w:rFonts w:cs="Tahoma"/>
                  <w:lang w:val="sl-SI" w:eastAsia="en-GB"/>
                </w:rPr>
                <w:t>http://ec.europa.eu/DocsRoom/documents/7465/attachments/1/translations/en/renditions/native&amp;usg=AFQjCNEAZENuwg06uXIDQR_CK8zmSko5Lw&amp;sig2=kjtnBVqQOeVNEhNWeBUSrw&amp;cad=rja</w:t>
              </w:r>
            </w:hyperlink>
          </w:p>
        </w:tc>
      </w:tr>
      <w:tr w:rsidR="000C229C" w:rsidRPr="002C560E" w14:paraId="7D39AD15"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13"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ePlatforma za izobraževanje odraslih v Evropi (EPALE)</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14" w14:textId="77777777" w:rsidR="000C229C" w:rsidRPr="00F769E0" w:rsidRDefault="002C560E" w:rsidP="000C229C">
            <w:pPr>
              <w:pStyle w:val="Guide-Table"/>
              <w:spacing w:before="60" w:after="60"/>
              <w:jc w:val="left"/>
              <w:rPr>
                <w:rFonts w:cs="Tahoma"/>
                <w:lang w:val="sl-SI" w:eastAsia="en-GB"/>
              </w:rPr>
            </w:pPr>
            <w:hyperlink r:id="rId208" w:history="1">
              <w:r w:rsidR="000C229C" w:rsidRPr="00F769E0">
                <w:rPr>
                  <w:rStyle w:val="Hyperlink"/>
                  <w:rFonts w:cs="Tahoma"/>
                  <w:lang w:val="sl-SI" w:eastAsia="en-GB"/>
                </w:rPr>
                <w:t>http://ec.europa.eu/epale</w:t>
              </w:r>
            </w:hyperlink>
          </w:p>
        </w:tc>
      </w:tr>
      <w:tr w:rsidR="000C229C" w:rsidRPr="002C560E" w14:paraId="7D39AD18"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16"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EQAVET</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17" w14:textId="77777777" w:rsidR="000C229C" w:rsidRPr="00F769E0" w:rsidRDefault="002C560E" w:rsidP="000C229C">
            <w:pPr>
              <w:pStyle w:val="Guide-Table"/>
              <w:spacing w:before="60" w:after="60"/>
              <w:jc w:val="left"/>
              <w:rPr>
                <w:rStyle w:val="Hyperlink"/>
                <w:rFonts w:cs="Tahoma"/>
                <w:lang w:val="sl-SI" w:eastAsia="en-GB"/>
              </w:rPr>
            </w:pPr>
            <w:hyperlink r:id="rId209" w:history="1">
              <w:r w:rsidR="000C229C" w:rsidRPr="00F769E0">
                <w:rPr>
                  <w:rStyle w:val="Hyperlink"/>
                  <w:rFonts w:cs="Tahoma"/>
                  <w:lang w:val="sl-SI" w:eastAsia="en-GB"/>
                </w:rPr>
                <w:t>http://ec.europa.eu/education/policy/vocational-policy/eqavet_en.htm</w:t>
              </w:r>
            </w:hyperlink>
            <w:r w:rsidR="000C229C" w:rsidRPr="00F769E0">
              <w:rPr>
                <w:rStyle w:val="Hyperlink"/>
                <w:rFonts w:cs="Tahoma"/>
                <w:lang w:val="sl-SI" w:eastAsia="en-GB"/>
              </w:rPr>
              <w:t xml:space="preserve"> </w:t>
            </w:r>
          </w:p>
        </w:tc>
      </w:tr>
      <w:tr w:rsidR="000C229C" w:rsidRPr="002C560E" w14:paraId="7D39AD1B"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19"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Platforma Erasmus+ za rezultate projektov</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1A" w14:textId="77777777" w:rsidR="000C229C" w:rsidRPr="00F769E0" w:rsidDel="00723075" w:rsidRDefault="000C229C" w:rsidP="000C229C">
            <w:pPr>
              <w:pStyle w:val="Guide-Table"/>
              <w:spacing w:before="60" w:after="60"/>
              <w:jc w:val="left"/>
              <w:rPr>
                <w:rStyle w:val="Hyperlink"/>
                <w:rFonts w:cs="Tahoma"/>
                <w:lang w:val="sl-SI" w:eastAsia="en-GB"/>
              </w:rPr>
            </w:pPr>
            <w:r w:rsidRPr="00F769E0">
              <w:rPr>
                <w:rStyle w:val="Hyperlink"/>
                <w:rFonts w:cs="Tahoma"/>
                <w:lang w:val="sl-SI" w:eastAsia="en-GB"/>
              </w:rPr>
              <w:t>http://ec.europa.eu/programmes/erasmus-plus/projects/</w:t>
            </w:r>
          </w:p>
        </w:tc>
      </w:tr>
      <w:tr w:rsidR="000C229C" w:rsidRPr="002C560E" w14:paraId="7D39AD1E"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1C"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ESCO</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1D" w14:textId="77777777" w:rsidR="000C229C" w:rsidRPr="00F769E0" w:rsidRDefault="002C560E" w:rsidP="000C229C">
            <w:pPr>
              <w:pStyle w:val="Guide-Table"/>
              <w:spacing w:before="60" w:after="60"/>
              <w:jc w:val="left"/>
              <w:rPr>
                <w:rFonts w:cs="Tahoma"/>
                <w:kern w:val="0"/>
                <w:lang w:val="sl-SI" w:eastAsia="en-GB"/>
              </w:rPr>
            </w:pPr>
            <w:hyperlink r:id="rId210" w:history="1">
              <w:r w:rsidR="000C229C" w:rsidRPr="00F769E0">
                <w:rPr>
                  <w:rStyle w:val="Hyperlink"/>
                  <w:rFonts w:cs="Tahoma"/>
                  <w:lang w:val="sl-SI" w:eastAsia="en-GB"/>
                </w:rPr>
                <w:t>https://ec.europa.eu/esco</w:t>
              </w:r>
            </w:hyperlink>
          </w:p>
        </w:tc>
      </w:tr>
      <w:tr w:rsidR="000C229C" w:rsidRPr="002C560E" w14:paraId="7D39AD21"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1F"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Evropska panorama spretnosti</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20" w14:textId="77777777" w:rsidR="000C229C" w:rsidRPr="00F769E0" w:rsidRDefault="0007385C" w:rsidP="000C229C">
            <w:pPr>
              <w:pStyle w:val="Guide-Table"/>
              <w:spacing w:before="60" w:after="60"/>
              <w:jc w:val="left"/>
              <w:rPr>
                <w:rFonts w:cs="Tahoma"/>
                <w:kern w:val="0"/>
                <w:lang w:val="sl-SI" w:eastAsia="en-GB"/>
              </w:rPr>
            </w:pPr>
            <w:r w:rsidRPr="004E4C36">
              <w:rPr>
                <w:rStyle w:val="Hyperlink"/>
                <w:lang w:val="sl-SI"/>
              </w:rPr>
              <w:t>https://skillspanorama.cedefop.europa.eu/en</w:t>
            </w:r>
            <w:r w:rsidR="000C229C" w:rsidRPr="00F769E0">
              <w:rPr>
                <w:rStyle w:val="Hyperlink"/>
                <w:rFonts w:cs="Tahoma"/>
                <w:lang w:val="sl-SI" w:eastAsia="en-GB"/>
              </w:rPr>
              <w:t xml:space="preserve"> </w:t>
            </w:r>
            <w:r w:rsidR="000C229C" w:rsidRPr="00F769E0">
              <w:rPr>
                <w:rFonts w:cs="Tahoma"/>
                <w:kern w:val="0"/>
                <w:lang w:val="sl-SI" w:eastAsia="en-GB"/>
              </w:rPr>
              <w:t xml:space="preserve"> </w:t>
            </w:r>
          </w:p>
        </w:tc>
      </w:tr>
      <w:tr w:rsidR="000C229C" w:rsidRPr="002C560E" w14:paraId="7D39AD24"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22"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Domača stran Europass</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23" w14:textId="77777777" w:rsidR="000C229C" w:rsidRPr="00F769E0" w:rsidRDefault="002C560E" w:rsidP="000C229C">
            <w:pPr>
              <w:pStyle w:val="Guide-Table"/>
              <w:spacing w:before="60" w:after="60"/>
              <w:jc w:val="left"/>
              <w:rPr>
                <w:rFonts w:cs="Tahoma"/>
                <w:u w:val="single"/>
                <w:lang w:val="sl-SI" w:eastAsia="en-GB"/>
              </w:rPr>
            </w:pPr>
            <w:hyperlink r:id="rId211" w:history="1">
              <w:r w:rsidR="000C229C" w:rsidRPr="00F769E0">
                <w:rPr>
                  <w:rStyle w:val="Hyperlink"/>
                  <w:rFonts w:cs="Tahoma"/>
                  <w:lang w:val="sl-SI" w:eastAsia="en-GB"/>
                </w:rPr>
                <w:t>https://europass.cedefop.europa.eu/en/home</w:t>
              </w:r>
            </w:hyperlink>
          </w:p>
        </w:tc>
      </w:tr>
      <w:tr w:rsidR="000C229C" w:rsidRPr="002C560E" w14:paraId="7D39AD27"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25"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Evropska agenda za izobraževanje odraslih in nedavni razvoj politike</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26" w14:textId="77777777" w:rsidR="000C229C" w:rsidRPr="00F769E0" w:rsidRDefault="002C560E" w:rsidP="000C229C">
            <w:pPr>
              <w:pStyle w:val="Guide-Table"/>
              <w:spacing w:before="60" w:after="60"/>
              <w:jc w:val="left"/>
              <w:rPr>
                <w:rFonts w:cs="Tahoma"/>
                <w:u w:val="single"/>
                <w:lang w:val="sl-SI" w:eastAsia="en-GB"/>
              </w:rPr>
            </w:pPr>
            <w:hyperlink r:id="rId212" w:history="1">
              <w:r w:rsidR="000C229C" w:rsidRPr="00F769E0">
                <w:rPr>
                  <w:rStyle w:val="Hyperlink"/>
                  <w:rFonts w:cs="Tahoma"/>
                  <w:lang w:val="sl-SI" w:eastAsia="en-GB"/>
                </w:rPr>
                <w:t>http://ec.europa.eu/education/policy/adult-learning/index_en.htm</w:t>
              </w:r>
            </w:hyperlink>
          </w:p>
        </w:tc>
      </w:tr>
      <w:tr w:rsidR="00FC5015" w:rsidRPr="002C560E" w14:paraId="7D39AD2A"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28" w14:textId="77777777" w:rsidR="00FC5015" w:rsidRPr="00F769E0" w:rsidRDefault="00FC5015" w:rsidP="000C229C">
            <w:pPr>
              <w:pStyle w:val="Guide-Table"/>
              <w:spacing w:before="60" w:after="60"/>
              <w:jc w:val="left"/>
              <w:rPr>
                <w:rFonts w:cs="Tahoma"/>
                <w:lang w:val="sl-SI" w:eastAsia="en-GB"/>
              </w:rPr>
            </w:pPr>
            <w:r w:rsidRPr="00FC4A70">
              <w:rPr>
                <w:rFonts w:eastAsia="Calibri" w:cs="Calibri"/>
                <w:color w:val="auto"/>
                <w:kern w:val="0"/>
                <w:bdr w:val="nil"/>
                <w:shd w:val="clear" w:color="auto" w:fill="auto"/>
                <w:lang w:val="sl-SI" w:eastAsia="en-GB"/>
              </w:rPr>
              <w:t>Priročnik "Izboljšanje mladinskega dela – vaš vodnik za razvoj kakovosti"</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29" w14:textId="77777777" w:rsidR="00FC5015" w:rsidRPr="00F769E0" w:rsidRDefault="00280146" w:rsidP="000C229C">
            <w:pPr>
              <w:pStyle w:val="Guide-Table"/>
              <w:spacing w:before="60" w:after="60"/>
              <w:jc w:val="left"/>
              <w:rPr>
                <w:rStyle w:val="Hyperlink"/>
                <w:rFonts w:cs="Tahoma"/>
                <w:lang w:val="sl-SI" w:eastAsia="en-GB"/>
              </w:rPr>
            </w:pPr>
            <w:r w:rsidRPr="00280146">
              <w:rPr>
                <w:rStyle w:val="Hyperlink"/>
                <w:lang w:val="sl-SI"/>
              </w:rPr>
              <w:t>https://publications.europa.eu/s/ga7A</w:t>
            </w:r>
            <w:r w:rsidR="00977659" w:rsidRPr="00FC4A70">
              <w:rPr>
                <w:rStyle w:val="Hyperlink"/>
                <w:rFonts w:cs="Tahoma"/>
                <w:vanish/>
                <w:lang w:val="sl-SI" w:eastAsia="en-GB"/>
              </w:rPr>
              <w:t xml:space="preserve"> </w:t>
            </w:r>
            <w:r w:rsidR="00FC5015" w:rsidRPr="00FC4A70">
              <w:rPr>
                <w:rStyle w:val="Hyperlink"/>
                <w:rFonts w:cs="Tahoma"/>
                <w:vanish/>
                <w:lang w:val="sl-SI" w:eastAsia="en-GB"/>
              </w:rPr>
              <w:t>https://publications.europa.eu/s/ga7A</w:t>
            </w:r>
          </w:p>
        </w:tc>
      </w:tr>
      <w:tr w:rsidR="00FC5015" w:rsidRPr="002C560E" w14:paraId="7D39AD2D"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2B" w14:textId="77777777" w:rsidR="00FC5015" w:rsidRPr="00F769E0" w:rsidRDefault="00FC5015" w:rsidP="000C229C">
            <w:pPr>
              <w:pStyle w:val="Guide-Table"/>
              <w:spacing w:before="60" w:after="60"/>
              <w:jc w:val="left"/>
              <w:rPr>
                <w:rFonts w:cs="Tahoma"/>
                <w:lang w:val="sl-SI" w:eastAsia="en-GB"/>
              </w:rPr>
            </w:pPr>
            <w:r w:rsidRPr="00FC4A70">
              <w:rPr>
                <w:rFonts w:eastAsia="Calibri" w:cs="Calibri"/>
                <w:color w:val="auto"/>
                <w:kern w:val="0"/>
                <w:bdr w:val="nil"/>
                <w:shd w:val="clear" w:color="auto" w:fill="auto"/>
                <w:lang w:val="sl-SI" w:eastAsia="en-GB"/>
              </w:rPr>
              <w:t xml:space="preserve">Priročnik – </w:t>
            </w:r>
            <w:r w:rsidRPr="00FC4A70">
              <w:rPr>
                <w:rFonts w:eastAsia="Calibri" w:cs="Calibri"/>
                <w:color w:val="333333"/>
                <w:kern w:val="0"/>
                <w:bdr w:val="nil"/>
                <w:shd w:val="clear" w:color="auto" w:fill="auto"/>
                <w:lang w:val="sl-SI" w:eastAsia="en-GB"/>
              </w:rPr>
              <w:t>Prispevek mladinskega dela pri preprečevanju marginalizacije in nasilne radikalizacije</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2C" w14:textId="77777777" w:rsidR="00FC5015" w:rsidRPr="00F769E0" w:rsidRDefault="00280146" w:rsidP="000C229C">
            <w:pPr>
              <w:pStyle w:val="Guide-Table"/>
              <w:spacing w:before="60" w:after="60"/>
              <w:jc w:val="left"/>
              <w:rPr>
                <w:rStyle w:val="Hyperlink"/>
                <w:rFonts w:cs="Tahoma"/>
                <w:lang w:val="sl-SI" w:eastAsia="en-GB"/>
              </w:rPr>
            </w:pPr>
            <w:r w:rsidRPr="00280146">
              <w:rPr>
                <w:rStyle w:val="Hyperlink"/>
                <w:lang w:val="sl-SI"/>
              </w:rPr>
              <w:t xml:space="preserve">http://ec.europa.eu/education/tools/et-monitor_en.htm    </w:t>
            </w:r>
            <w:r w:rsidR="00FC5015" w:rsidRPr="00FC4A70">
              <w:rPr>
                <w:rStyle w:val="Hyperlink"/>
                <w:rFonts w:cs="Tahoma"/>
                <w:vanish/>
                <w:lang w:val="sl-SI" w:eastAsia="en-GB"/>
              </w:rPr>
              <w:t>https://publications.europa.eu/s/glSf</w:t>
            </w:r>
          </w:p>
        </w:tc>
      </w:tr>
      <w:tr w:rsidR="000C229C" w:rsidRPr="002C560E" w14:paraId="7D39AD30"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2E"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Kazalniki in merila uspešnosti – spremljanje izobraževanja</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2F" w14:textId="77777777" w:rsidR="000C229C" w:rsidRPr="00F769E0" w:rsidRDefault="000C229C" w:rsidP="000C229C">
            <w:pPr>
              <w:pStyle w:val="Guide-Table"/>
              <w:spacing w:before="60" w:after="60"/>
              <w:jc w:val="left"/>
              <w:rPr>
                <w:rStyle w:val="Hyperlink"/>
                <w:rFonts w:cs="Tahoma"/>
                <w:lang w:val="sl-SI" w:eastAsia="en-GB"/>
              </w:rPr>
            </w:pPr>
            <w:r w:rsidRPr="00F769E0">
              <w:rPr>
                <w:rStyle w:val="Hyperlink"/>
                <w:rFonts w:cs="Tahoma"/>
                <w:lang w:val="sl-SI" w:eastAsia="en-GB"/>
              </w:rPr>
              <w:t xml:space="preserve">http://ec.europa.eu/education/tools/et-monitor_en.htm    </w:t>
            </w:r>
          </w:p>
        </w:tc>
      </w:tr>
      <w:tr w:rsidR="000C229C" w:rsidRPr="002C560E" w14:paraId="7D39AD33"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31"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Kazalniki in merila uspešnosti – uradna dokumentacija</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32" w14:textId="77777777" w:rsidR="000C229C" w:rsidRPr="00F769E0" w:rsidRDefault="002C560E" w:rsidP="000C229C">
            <w:pPr>
              <w:pStyle w:val="Guide-Table"/>
              <w:spacing w:before="60" w:after="60"/>
              <w:jc w:val="left"/>
              <w:rPr>
                <w:rStyle w:val="Hyperlink"/>
                <w:rFonts w:cs="Tahoma"/>
                <w:lang w:val="sl-SI" w:eastAsia="en-GB"/>
              </w:rPr>
            </w:pPr>
            <w:hyperlink r:id="rId213" w:history="1">
              <w:r w:rsidR="000C229C" w:rsidRPr="00F769E0">
                <w:rPr>
                  <w:rStyle w:val="Hyperlink"/>
                  <w:rFonts w:cs="Tahoma"/>
                  <w:lang w:val="sl-SI" w:eastAsia="en-GB"/>
                </w:rPr>
                <w:t>http://ec.europa.eu/education/policy/strategic-framework/indicators-benchmarks_en.htm</w:t>
              </w:r>
            </w:hyperlink>
          </w:p>
        </w:tc>
      </w:tr>
      <w:tr w:rsidR="000C7FA1" w:rsidRPr="002C560E" w14:paraId="7D39AD39"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34" w14:textId="77777777" w:rsidR="000C7FA1" w:rsidRPr="00F769E0" w:rsidRDefault="000C7FA1" w:rsidP="000C229C">
            <w:pPr>
              <w:pStyle w:val="Guide-Table"/>
              <w:spacing w:before="60" w:after="60"/>
              <w:jc w:val="left"/>
              <w:rPr>
                <w:rFonts w:cs="Tahoma"/>
                <w:lang w:val="sl-SI" w:eastAsia="en-GB"/>
              </w:rPr>
            </w:pPr>
            <w:r>
              <w:rPr>
                <w:rFonts w:cs="Tahoma"/>
                <w:lang w:val="sl-SI" w:eastAsia="en-GB"/>
              </w:rPr>
              <w:t>Evropski mladinski kazalniki</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35" w14:textId="77777777" w:rsidR="000C7FA1" w:rsidRPr="004E4C36" w:rsidRDefault="000C7FA1" w:rsidP="000C7FA1">
            <w:pPr>
              <w:widowControl/>
              <w:suppressAutoHyphens w:val="0"/>
              <w:autoSpaceDE w:val="0"/>
              <w:adjustRightInd w:val="0"/>
              <w:textAlignment w:val="auto"/>
              <w:rPr>
                <w:rFonts w:asciiTheme="minorHAnsi" w:hAnsiTheme="minorHAnsi" w:cstheme="minorHAnsi"/>
                <w:color w:val="000000"/>
                <w:kern w:val="0"/>
                <w:sz w:val="18"/>
                <w:szCs w:val="20"/>
                <w:lang w:val="sl-SI" w:eastAsia="en-GB"/>
              </w:rPr>
            </w:pPr>
            <w:r w:rsidRPr="004E4C36">
              <w:rPr>
                <w:rFonts w:asciiTheme="minorHAnsi" w:hAnsiTheme="minorHAnsi" w:cstheme="minorHAnsi"/>
                <w:color w:val="000000"/>
                <w:kern w:val="0"/>
                <w:sz w:val="18"/>
                <w:szCs w:val="20"/>
                <w:lang w:val="sl-SI" w:eastAsia="en-GB"/>
              </w:rPr>
              <w:t>Evropska nadzorna plošča mladinskih kazalnikov:</w:t>
            </w:r>
          </w:p>
          <w:p w14:paraId="7D39AD36" w14:textId="77777777" w:rsidR="000C7FA1" w:rsidRPr="004E4C36" w:rsidRDefault="002C560E" w:rsidP="000C7FA1">
            <w:pPr>
              <w:widowControl/>
              <w:suppressAutoHyphens w:val="0"/>
              <w:autoSpaceDE w:val="0"/>
              <w:adjustRightInd w:val="0"/>
              <w:textAlignment w:val="auto"/>
              <w:rPr>
                <w:rFonts w:asciiTheme="minorHAnsi" w:hAnsiTheme="minorHAnsi" w:cstheme="minorHAnsi"/>
                <w:color w:val="000000"/>
                <w:kern w:val="0"/>
                <w:sz w:val="18"/>
                <w:szCs w:val="20"/>
                <w:lang w:val="sl-SI" w:eastAsia="en-GB"/>
              </w:rPr>
            </w:pPr>
            <w:hyperlink r:id="rId214" w:history="1">
              <w:r w:rsidR="006B2378" w:rsidRPr="001E29CB">
                <w:rPr>
                  <w:rStyle w:val="Hyperlink"/>
                  <w:rFonts w:asciiTheme="minorHAnsi" w:hAnsiTheme="minorHAnsi" w:cstheme="minorHAnsi"/>
                  <w:kern w:val="0"/>
                  <w:sz w:val="18"/>
                  <w:szCs w:val="20"/>
                  <w:lang w:val="sl-SI" w:eastAsia="en-GB"/>
                </w:rPr>
                <w:t>http://ec.europa.eu/assets/eac/youth/library/publications/indicator-dashboard_en.pdf</w:t>
              </w:r>
            </w:hyperlink>
            <w:r w:rsidR="006B2378">
              <w:rPr>
                <w:rFonts w:asciiTheme="minorHAnsi" w:hAnsiTheme="minorHAnsi" w:cstheme="minorHAnsi"/>
                <w:color w:val="000000"/>
                <w:kern w:val="0"/>
                <w:sz w:val="18"/>
                <w:szCs w:val="20"/>
                <w:lang w:val="sl-SI" w:eastAsia="en-GB"/>
              </w:rPr>
              <w:t xml:space="preserve"> </w:t>
            </w:r>
          </w:p>
          <w:p w14:paraId="7D39AD37" w14:textId="77777777" w:rsidR="000C7FA1" w:rsidRPr="004E4C36" w:rsidRDefault="000C7FA1" w:rsidP="000C7FA1">
            <w:pPr>
              <w:widowControl/>
              <w:suppressAutoHyphens w:val="0"/>
              <w:autoSpaceDE w:val="0"/>
              <w:adjustRightInd w:val="0"/>
              <w:textAlignment w:val="auto"/>
              <w:rPr>
                <w:rFonts w:asciiTheme="minorHAnsi" w:hAnsiTheme="minorHAnsi" w:cstheme="minorHAnsi"/>
                <w:color w:val="000000"/>
                <w:kern w:val="0"/>
                <w:sz w:val="18"/>
                <w:szCs w:val="20"/>
                <w:lang w:val="sl-SI" w:eastAsia="en-GB"/>
              </w:rPr>
            </w:pPr>
            <w:r w:rsidRPr="004E4C36">
              <w:rPr>
                <w:rFonts w:asciiTheme="minorHAnsi" w:hAnsiTheme="minorHAnsi" w:cstheme="minorHAnsi"/>
                <w:color w:val="000000"/>
                <w:kern w:val="0"/>
                <w:sz w:val="18"/>
                <w:szCs w:val="20"/>
                <w:lang w:val="sl-SI" w:eastAsia="en-GB"/>
              </w:rPr>
              <w:t>Mladinska zbirka podatkov Eurostat:</w:t>
            </w:r>
          </w:p>
          <w:p w14:paraId="7D39AD38" w14:textId="77777777" w:rsidR="000C7FA1" w:rsidRPr="004E4C36" w:rsidRDefault="002C560E" w:rsidP="000C7FA1">
            <w:pPr>
              <w:pStyle w:val="Guide-Table"/>
              <w:spacing w:before="60" w:after="60"/>
              <w:jc w:val="left"/>
              <w:rPr>
                <w:lang w:val="sl-SI"/>
              </w:rPr>
            </w:pPr>
            <w:hyperlink r:id="rId215" w:history="1">
              <w:r w:rsidR="006B2378" w:rsidRPr="001E29CB">
                <w:rPr>
                  <w:rStyle w:val="Hyperlink"/>
                  <w:rFonts w:asciiTheme="minorHAnsi" w:hAnsiTheme="minorHAnsi"/>
                  <w:kern w:val="0"/>
                  <w:lang w:val="sl-SI" w:eastAsia="en-GB"/>
                </w:rPr>
                <w:t>https://ec.europa.eu/eurostat/web/youth/data/database</w:t>
              </w:r>
            </w:hyperlink>
            <w:r w:rsidR="006B2378">
              <w:rPr>
                <w:rFonts w:asciiTheme="minorHAnsi" w:hAnsiTheme="minorHAnsi"/>
                <w:kern w:val="0"/>
                <w:lang w:val="sl-SI" w:eastAsia="en-GB"/>
              </w:rPr>
              <w:t xml:space="preserve"> </w:t>
            </w:r>
          </w:p>
        </w:tc>
      </w:tr>
      <w:tr w:rsidR="000C229C" w:rsidRPr="002C560E" w14:paraId="7D39AD3C"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3A"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Knjižnica ključnih dokumentov v zvezi s športom</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3B" w14:textId="77777777" w:rsidR="000C229C" w:rsidRPr="00F769E0" w:rsidRDefault="002C560E" w:rsidP="000C229C">
            <w:pPr>
              <w:pStyle w:val="Guide-Table"/>
              <w:spacing w:before="60" w:after="60"/>
              <w:jc w:val="left"/>
              <w:rPr>
                <w:rStyle w:val="Hyperlink"/>
                <w:rFonts w:cs="Tahoma"/>
                <w:lang w:val="sl-SI" w:eastAsia="en-GB"/>
              </w:rPr>
            </w:pPr>
            <w:hyperlink r:id="rId216" w:history="1">
              <w:r w:rsidR="000C229C" w:rsidRPr="00F769E0">
                <w:rPr>
                  <w:rStyle w:val="Hyperlink"/>
                  <w:rFonts w:cs="Tahoma"/>
                  <w:lang w:val="sl-SI" w:eastAsia="en-GB"/>
                </w:rPr>
                <w:t>http://ec.europa.eu/sport/library/index_en.htm</w:t>
              </w:r>
            </w:hyperlink>
            <w:r w:rsidR="000C229C" w:rsidRPr="00F769E0">
              <w:rPr>
                <w:rStyle w:val="Hyperlink"/>
                <w:rFonts w:cs="Tahoma"/>
                <w:lang w:val="sl-SI" w:eastAsia="en-GB"/>
              </w:rPr>
              <w:t xml:space="preserve"> </w:t>
            </w:r>
          </w:p>
        </w:tc>
      </w:tr>
      <w:tr w:rsidR="000C229C" w:rsidRPr="002C560E" w14:paraId="7D39AD3F"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3D"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Glavni</w:t>
            </w:r>
            <w:r w:rsidR="000C7FA1">
              <w:rPr>
                <w:rFonts w:cs="Tahoma"/>
                <w:lang w:val="sl-SI" w:eastAsia="en-GB"/>
              </w:rPr>
              <w:t xml:space="preserve"> elementi informacij o evropski mladinski strategiji</w:t>
            </w:r>
            <w:r w:rsidRPr="00F769E0">
              <w:rPr>
                <w:rFonts w:cs="Tahoma"/>
                <w:lang w:val="sl-SI" w:eastAsia="en-GB"/>
              </w:rPr>
              <w:t xml:space="preserve"> </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3E" w14:textId="77777777" w:rsidR="000C229C" w:rsidRPr="00F769E0" w:rsidRDefault="00C80136" w:rsidP="000C229C">
            <w:pPr>
              <w:pStyle w:val="Guide-Table"/>
              <w:spacing w:before="60" w:after="60"/>
              <w:jc w:val="left"/>
              <w:rPr>
                <w:rStyle w:val="Hyperlink"/>
                <w:rFonts w:cs="Tahoma"/>
                <w:lang w:val="sl-SI" w:eastAsia="en-GB"/>
              </w:rPr>
            </w:pPr>
            <w:r w:rsidRPr="00C80136">
              <w:rPr>
                <w:rStyle w:val="Hyperlink"/>
                <w:rFonts w:cs="Tahoma"/>
                <w:lang w:val="sl-SI" w:eastAsia="en-GB"/>
              </w:rPr>
              <w:t>https://ec.europa.eu/youth/policy/youth-strategy</w:t>
            </w:r>
          </w:p>
        </w:tc>
      </w:tr>
      <w:tr w:rsidR="000C229C" w:rsidRPr="002C560E" w14:paraId="7D39AD42"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40"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Glavne politične pobude in realizacije v izobraževanju in usposabljanju od leta 2000 – oblikovanje politik v šolskem izobraževanju</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41" w14:textId="77777777" w:rsidR="000C229C" w:rsidRPr="00F769E0" w:rsidRDefault="000C229C" w:rsidP="000C229C">
            <w:pPr>
              <w:pStyle w:val="Guide-Table"/>
              <w:spacing w:before="60" w:after="60"/>
              <w:jc w:val="left"/>
              <w:rPr>
                <w:rStyle w:val="Hyperlink"/>
                <w:rFonts w:cs="Tahoma"/>
                <w:lang w:val="sl-SI" w:eastAsia="en-GB"/>
              </w:rPr>
            </w:pPr>
            <w:r w:rsidRPr="00F769E0">
              <w:rPr>
                <w:rStyle w:val="Hyperlink"/>
                <w:rFonts w:cs="Tahoma"/>
                <w:lang w:val="sl-SI" w:eastAsia="en-GB"/>
              </w:rPr>
              <w:t>http://ec.europa.eu/education/policy/school/index_en.htm</w:t>
            </w:r>
          </w:p>
        </w:tc>
      </w:tr>
      <w:tr w:rsidR="000C229C" w:rsidRPr="002C560E" w14:paraId="7D39AD45"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43"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Glavne politične pobude in realizacije v izobraževanju in usposabljanju od leta 2000 – reforma visokošolskega izobraževanja</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44" w14:textId="77777777" w:rsidR="000C229C" w:rsidRPr="00F769E0" w:rsidRDefault="002C560E" w:rsidP="000C229C">
            <w:pPr>
              <w:pStyle w:val="Guide-Table"/>
              <w:spacing w:before="60" w:after="60"/>
              <w:jc w:val="left"/>
              <w:rPr>
                <w:rStyle w:val="Hyperlink"/>
                <w:rFonts w:cs="Tahoma"/>
                <w:lang w:val="sl-SI" w:eastAsia="en-GB"/>
              </w:rPr>
            </w:pPr>
            <w:hyperlink r:id="rId217" w:history="1">
              <w:r w:rsidR="000C229C" w:rsidRPr="00F769E0">
                <w:rPr>
                  <w:rStyle w:val="Hyperlink"/>
                  <w:rFonts w:cs="Tahoma"/>
                  <w:lang w:val="sl-SI" w:eastAsia="en-GB"/>
                </w:rPr>
                <w:t>http://ec.europa.eu/education/policy/higher-education/index_en.htm</w:t>
              </w:r>
            </w:hyperlink>
          </w:p>
        </w:tc>
      </w:tr>
      <w:tr w:rsidR="000C229C" w:rsidRPr="002C560E" w14:paraId="7D39AD48"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46" w14:textId="77777777" w:rsidR="000C229C" w:rsidRPr="00F769E0" w:rsidRDefault="000C229C" w:rsidP="000C229C">
            <w:pPr>
              <w:pStyle w:val="Guide-Table"/>
              <w:spacing w:before="60" w:after="60"/>
              <w:jc w:val="left"/>
              <w:rPr>
                <w:rFonts w:cs="Tahoma"/>
                <w:smallCaps/>
                <w:lang w:val="sl-SI" w:eastAsia="en-GB"/>
              </w:rPr>
            </w:pPr>
            <w:r w:rsidRPr="00F769E0">
              <w:rPr>
                <w:rFonts w:cs="Tahoma"/>
                <w:lang w:val="sl-SI" w:eastAsia="en-GB"/>
              </w:rPr>
              <w:t>Odpiranje izobraževanja – inovativno poučevanje in učenje za vse z novimi tehnologijami in prosto dostopnimi učnimi viri; COM(2013) 654 final</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47" w14:textId="77777777" w:rsidR="000C229C" w:rsidRPr="00F769E0" w:rsidRDefault="002C560E" w:rsidP="000C229C">
            <w:pPr>
              <w:pStyle w:val="Guide-Table"/>
              <w:spacing w:before="60" w:after="60"/>
              <w:jc w:val="left"/>
              <w:rPr>
                <w:rFonts w:cs="Tahoma"/>
                <w:lang w:val="sl-SI" w:eastAsia="en-GB"/>
              </w:rPr>
            </w:pPr>
            <w:hyperlink r:id="rId218" w:history="1">
              <w:r w:rsidR="000C229C" w:rsidRPr="00F769E0">
                <w:rPr>
                  <w:rStyle w:val="Hyperlink"/>
                  <w:rFonts w:cs="Tahoma"/>
                  <w:lang w:val="sl-SI" w:eastAsia="en-GB"/>
                </w:rPr>
                <w:t>http://ec.europa.eu/education/newtech/</w:t>
              </w:r>
            </w:hyperlink>
          </w:p>
        </w:tc>
      </w:tr>
      <w:tr w:rsidR="000C229C" w:rsidRPr="002C560E" w14:paraId="7D39AD4C"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49"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Ponovni razmislek o izobraževanju – naložbe v spretnosti za boljše socialnoekonomske rezultate</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4A" w14:textId="77777777" w:rsidR="000C229C" w:rsidRPr="00F769E0" w:rsidRDefault="002C560E" w:rsidP="000C229C">
            <w:pPr>
              <w:pStyle w:val="Guide-Table"/>
              <w:spacing w:before="60" w:after="60"/>
              <w:jc w:val="left"/>
              <w:rPr>
                <w:rFonts w:cs="Tahoma"/>
                <w:lang w:val="sl-SI" w:eastAsia="en-GB"/>
              </w:rPr>
            </w:pPr>
            <w:hyperlink r:id="rId219" w:history="1">
              <w:r w:rsidR="000C229C" w:rsidRPr="00F769E0">
                <w:rPr>
                  <w:rStyle w:val="Hyperlink"/>
                  <w:rFonts w:cs="Tahoma"/>
                  <w:lang w:val="sl-SI" w:eastAsia="en-GB"/>
                </w:rPr>
                <w:t>http://eur-lex.europa.eu/legal-content/EN/ALL/;jsessionid=LLFgTfdd6mZf3Wt4YNhTjyP8vnMcg4RnTT1rQHP2bfT8dWYrdNQC!1965766013?uri=CELEX:52012DC0669</w:t>
              </w:r>
            </w:hyperlink>
          </w:p>
          <w:p w14:paraId="7D39AD4B" w14:textId="77777777" w:rsidR="000C229C" w:rsidRPr="00F769E0" w:rsidRDefault="002C560E" w:rsidP="000C229C">
            <w:pPr>
              <w:pStyle w:val="Guide-Table"/>
              <w:spacing w:before="60" w:after="60"/>
              <w:jc w:val="left"/>
              <w:rPr>
                <w:rFonts w:cs="Tahoma"/>
                <w:kern w:val="0"/>
                <w:lang w:val="sl-SI" w:eastAsia="en-GB"/>
              </w:rPr>
            </w:pPr>
            <w:hyperlink r:id="rId220" w:history="1">
              <w:r w:rsidR="000C229C" w:rsidRPr="00F769E0">
                <w:rPr>
                  <w:rStyle w:val="Hyperlink"/>
                  <w:rFonts w:cs="Tahoma"/>
                  <w:lang w:val="sl-SI" w:eastAsia="en-GB"/>
                </w:rPr>
                <w:t>http://ec.europa.eu/education/policy/strategic-framework/index_en.htm</w:t>
              </w:r>
            </w:hyperlink>
          </w:p>
        </w:tc>
      </w:tr>
      <w:tr w:rsidR="000C229C" w:rsidRPr="002C560E" w14:paraId="7D39AD4F"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4D"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Spodbujanje rasti in delovnih mest – program za posodobitev evropskih visokošolskih sistemov</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4E" w14:textId="77777777" w:rsidR="000C229C" w:rsidRPr="00F769E0" w:rsidRDefault="002C560E" w:rsidP="000C229C">
            <w:pPr>
              <w:pStyle w:val="Guide-Table"/>
              <w:spacing w:before="60" w:after="60"/>
              <w:jc w:val="left"/>
              <w:rPr>
                <w:rFonts w:cs="Tahoma"/>
                <w:u w:val="single"/>
                <w:lang w:val="sl-SI" w:eastAsia="en-GB"/>
              </w:rPr>
            </w:pPr>
            <w:hyperlink r:id="rId221" w:history="1">
              <w:r w:rsidR="000C229C" w:rsidRPr="00F769E0">
                <w:rPr>
                  <w:rStyle w:val="Hyperlink"/>
                  <w:rFonts w:cs="Tahoma"/>
                  <w:lang w:val="sl-SI" w:eastAsia="en-GB"/>
                </w:rPr>
                <w:t>http://eur-lex.europa.eu/LexUriServ/LexUriServ.do?uri=COM:2011:0567:FIN:EN:PDF</w:t>
              </w:r>
            </w:hyperlink>
            <w:r w:rsidR="000C229C" w:rsidRPr="00F769E0">
              <w:rPr>
                <w:rFonts w:cs="Tahoma"/>
                <w:lang w:val="sl-SI" w:eastAsia="en-GB"/>
              </w:rPr>
              <w:t xml:space="preserve"> </w:t>
            </w:r>
          </w:p>
        </w:tc>
      </w:tr>
      <w:tr w:rsidR="000C229C" w:rsidRPr="002C560E" w14:paraId="7D39AD52"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50" w14:textId="77777777" w:rsidR="000C229C" w:rsidRPr="00F769E0" w:rsidRDefault="000C229C" w:rsidP="000C229C">
            <w:pPr>
              <w:pStyle w:val="Guide-Table"/>
              <w:spacing w:before="60" w:after="60"/>
              <w:jc w:val="left"/>
              <w:rPr>
                <w:rFonts w:cs="Tahoma"/>
                <w:lang w:val="sl-SI" w:eastAsia="en-GB"/>
              </w:rPr>
            </w:pPr>
            <w:r w:rsidRPr="00F769E0">
              <w:rPr>
                <w:rFonts w:cs="Tahoma"/>
                <w:lang w:val="sl-SI" w:eastAsia="en-GB"/>
              </w:rPr>
              <w:t>Pobuda za standardizacijo - Strateška vizija za evropske standarde: za boljšo in hitrejšo trajnostno rast evropskega gospodarstva do leta 2020</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51" w14:textId="77777777" w:rsidR="000C229C" w:rsidRPr="00F769E0" w:rsidRDefault="000C229C" w:rsidP="000C229C">
            <w:pPr>
              <w:pStyle w:val="Guide-Table"/>
              <w:spacing w:before="60" w:after="60"/>
              <w:jc w:val="left"/>
              <w:rPr>
                <w:rFonts w:cs="Tahoma"/>
                <w:lang w:val="sl-SI" w:eastAsia="en-GB"/>
              </w:rPr>
            </w:pPr>
            <w:r w:rsidRPr="00F769E0">
              <w:rPr>
                <w:rStyle w:val="Hyperlink"/>
                <w:rFonts w:cs="Tahoma"/>
                <w:lang w:val="sl-SI" w:eastAsia="en-GB"/>
              </w:rPr>
              <w:t>http://eur-lex.europa.eu/LexUriServ/LexUriServ.do?uri=COM:2011:0311:FIN:EN:PDF</w:t>
            </w:r>
          </w:p>
        </w:tc>
      </w:tr>
      <w:tr w:rsidR="000C229C" w:rsidRPr="002C560E" w14:paraId="7D39AD55"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53" w14:textId="77777777" w:rsidR="000C229C" w:rsidRPr="00F769E0" w:rsidRDefault="000C229C" w:rsidP="000C229C">
            <w:pPr>
              <w:pStyle w:val="Guide-Table"/>
              <w:spacing w:before="60" w:after="60"/>
              <w:jc w:val="left"/>
              <w:rPr>
                <w:rFonts w:cs="Tahoma"/>
                <w:kern w:val="0"/>
                <w:lang w:val="sl-SI" w:eastAsia="en-GB"/>
              </w:rPr>
            </w:pPr>
            <w:r w:rsidRPr="00F769E0">
              <w:rPr>
                <w:rFonts w:cs="Tahoma"/>
                <w:lang w:val="sl-SI" w:eastAsia="en-GB"/>
              </w:rPr>
              <w:t>TSporočilo iz Bruggeja o okrepljenem evropskem sodelovanju na področju poklicnega izobraževanja in usposabljanja za obdobje 2011-2020</w:t>
            </w:r>
            <w:r w:rsidRPr="00F769E0">
              <w:rPr>
                <w:rFonts w:eastAsia="SimSun" w:cs="Tahoma"/>
                <w:lang w:val="sl-SI" w:eastAsia="en-GB"/>
              </w:rPr>
              <w:t xml:space="preserve"> </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54" w14:textId="77777777" w:rsidR="000C229C" w:rsidRPr="00F769E0" w:rsidRDefault="002C560E" w:rsidP="000C229C">
            <w:pPr>
              <w:pStyle w:val="Guide-Table"/>
              <w:spacing w:before="60" w:after="60"/>
              <w:jc w:val="left"/>
              <w:rPr>
                <w:rFonts w:cs="Tahoma"/>
                <w:u w:val="single"/>
                <w:lang w:val="sl-SI" w:eastAsia="en-GB"/>
              </w:rPr>
            </w:pPr>
            <w:hyperlink r:id="rId222" w:history="1">
              <w:r w:rsidR="000C229C" w:rsidRPr="00F769E0">
                <w:rPr>
                  <w:rStyle w:val="Hyperlink"/>
                  <w:rFonts w:cs="Tahoma"/>
                  <w:lang w:val="sl-SI" w:eastAsia="en-GB"/>
                </w:rPr>
                <w:t>http://ec.europa.eu/education/brugecomm/</w:t>
              </w:r>
            </w:hyperlink>
            <w:r w:rsidR="000C229C" w:rsidRPr="00F769E0">
              <w:rPr>
                <w:rStyle w:val="Hyperlink"/>
                <w:rFonts w:cs="Tahoma"/>
                <w:lang w:val="sl-SI" w:eastAsia="en-GB"/>
              </w:rPr>
              <w:t xml:space="preserve"> </w:t>
            </w:r>
          </w:p>
        </w:tc>
      </w:tr>
      <w:tr w:rsidR="000C229C" w:rsidRPr="002C560E" w14:paraId="7D39AD58" w14:textId="77777777" w:rsidTr="000C229C">
        <w:trPr>
          <w:trHeight w:val="20"/>
        </w:trPr>
        <w:tc>
          <w:tcPr>
            <w:tcW w:w="187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56" w14:textId="77777777" w:rsidR="000C229C" w:rsidRPr="00F769E0" w:rsidRDefault="000C229C" w:rsidP="000C229C">
            <w:pPr>
              <w:pStyle w:val="GUIDE-NORMAL"/>
              <w:spacing w:before="60" w:after="60"/>
              <w:jc w:val="left"/>
              <w:rPr>
                <w:rFonts w:cs="Tahoma"/>
                <w:lang w:val="sl-SI" w:eastAsia="en-GB"/>
              </w:rPr>
            </w:pPr>
            <w:r w:rsidRPr="00F769E0">
              <w:rPr>
                <w:rFonts w:cs="Tahoma"/>
                <w:lang w:val="sl-SI" w:eastAsia="en-GB"/>
              </w:rPr>
              <w:t>Poročilo Za izboljšano sodelovanje in usklajenost v podjetniškem izobraževanju</w:t>
            </w:r>
          </w:p>
        </w:tc>
        <w:tc>
          <w:tcPr>
            <w:tcW w:w="3125" w:type="pct"/>
            <w:tcBorders>
              <w:top w:val="dashSmallGap" w:sz="4" w:space="0" w:color="auto"/>
              <w:left w:val="single" w:sz="4" w:space="0" w:color="auto"/>
              <w:bottom w:val="dashSmallGap" w:sz="4" w:space="0" w:color="auto"/>
              <w:right w:val="single" w:sz="4" w:space="0" w:color="auto"/>
            </w:tcBorders>
            <w:shd w:val="clear" w:color="auto" w:fill="auto"/>
            <w:tcMar>
              <w:top w:w="0" w:type="dxa"/>
              <w:left w:w="108" w:type="dxa"/>
              <w:bottom w:w="0" w:type="dxa"/>
              <w:right w:w="108" w:type="dxa"/>
            </w:tcMar>
            <w:vAlign w:val="center"/>
          </w:tcPr>
          <w:p w14:paraId="7D39AD57" w14:textId="77777777" w:rsidR="000C229C" w:rsidRPr="00F769E0" w:rsidRDefault="002C560E" w:rsidP="000C229C">
            <w:pPr>
              <w:pStyle w:val="GUIDE-NORMAL"/>
              <w:spacing w:before="60" w:after="60"/>
              <w:rPr>
                <w:rStyle w:val="Hyperlink"/>
                <w:rFonts w:cs="Tahoma"/>
                <w:lang w:val="sl-SI" w:eastAsia="en-GB"/>
              </w:rPr>
            </w:pPr>
            <w:hyperlink r:id="rId223" w:history="1">
              <w:r w:rsidR="000C229C" w:rsidRPr="00F769E0">
                <w:rPr>
                  <w:rStyle w:val="Hyperlink"/>
                  <w:rFonts w:cs="Tahoma"/>
                  <w:lang w:val="sl-SI" w:eastAsia="en-GB"/>
                </w:rPr>
                <w:t>http://ec.europa.eu/DocsRoom/documents/9269/attachments/1/translations/en/renditions/native</w:t>
              </w:r>
            </w:hyperlink>
          </w:p>
        </w:tc>
      </w:tr>
      <w:tr w:rsidR="000C229C" w:rsidRPr="008C6F8C" w14:paraId="7D39AD5B" w14:textId="77777777" w:rsidTr="000C229C">
        <w:trPr>
          <w:trHeight w:val="20"/>
        </w:trPr>
        <w:tc>
          <w:tcPr>
            <w:tcW w:w="1875" w:type="pct"/>
            <w:tcBorders>
              <w:top w:val="dashSmallGap"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D39AD59" w14:textId="77777777" w:rsidR="000C229C" w:rsidRPr="00F769E0" w:rsidRDefault="000C229C" w:rsidP="000C229C">
            <w:pPr>
              <w:pStyle w:val="GUIDE-NORMAL"/>
              <w:spacing w:before="60" w:after="60"/>
              <w:jc w:val="left"/>
              <w:rPr>
                <w:rFonts w:cs="Tahoma"/>
                <w:lang w:val="sl-SI" w:eastAsia="en-GB"/>
              </w:rPr>
            </w:pPr>
            <w:r w:rsidRPr="00F769E0">
              <w:rPr>
                <w:rFonts w:cs="Tahoma"/>
                <w:lang w:val="sl-SI" w:eastAsia="en-GB"/>
              </w:rPr>
              <w:t>Domača stran Youthpass</w:t>
            </w:r>
          </w:p>
        </w:tc>
        <w:tc>
          <w:tcPr>
            <w:tcW w:w="3125" w:type="pct"/>
            <w:tcBorders>
              <w:top w:val="dashSmallGap"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D39AD5A" w14:textId="77777777" w:rsidR="000C229C" w:rsidRPr="00F769E0" w:rsidRDefault="00A6094F" w:rsidP="000C229C">
            <w:pPr>
              <w:pStyle w:val="Guide-Table"/>
              <w:spacing w:before="60" w:after="60"/>
              <w:jc w:val="left"/>
              <w:rPr>
                <w:rFonts w:cs="Tahoma"/>
                <w:u w:val="single"/>
                <w:lang w:val="sl-SI" w:eastAsia="en-GB"/>
              </w:rPr>
            </w:pPr>
            <w:hyperlink r:id="rId224" w:history="1">
              <w:r w:rsidR="000C229C" w:rsidRPr="00F769E0">
                <w:rPr>
                  <w:rStyle w:val="Hyperlink"/>
                  <w:rFonts w:cs="Tahoma"/>
                  <w:lang w:val="sl-SI" w:eastAsia="en-GB"/>
                </w:rPr>
                <w:t>https://www.youthpass.eu</w:t>
              </w:r>
            </w:hyperlink>
            <w:r w:rsidR="000C229C" w:rsidRPr="00F769E0">
              <w:rPr>
                <w:rFonts w:cs="Tahoma"/>
                <w:u w:val="single"/>
                <w:lang w:val="sl-SI" w:eastAsia="en-GB"/>
              </w:rPr>
              <w:t xml:space="preserve">  </w:t>
            </w:r>
          </w:p>
        </w:tc>
      </w:tr>
    </w:tbl>
    <w:p w14:paraId="7D39AD5C" w14:textId="77777777" w:rsidR="00C358A6" w:rsidRPr="001048FE" w:rsidRDefault="00C358A6">
      <w:pPr>
        <w:widowControl/>
        <w:suppressAutoHyphens w:val="0"/>
        <w:autoSpaceDN/>
        <w:textAlignment w:val="auto"/>
        <w:rPr>
          <w:rFonts w:eastAsia="Times New Roman"/>
          <w:b/>
          <w:smallCaps/>
          <w:sz w:val="32"/>
          <w:szCs w:val="18"/>
          <w:lang w:val="sl-SI"/>
        </w:rPr>
      </w:pPr>
    </w:p>
    <w:p w14:paraId="7D39AD5D" w14:textId="77777777" w:rsidR="00C95A78" w:rsidRPr="001048FE" w:rsidRDefault="000C229C" w:rsidP="000C229C">
      <w:pPr>
        <w:pStyle w:val="Guide-Heading3"/>
        <w:rPr>
          <w:lang w:val="sl-SI"/>
        </w:rPr>
      </w:pPr>
      <w:bookmarkStart w:id="792" w:name="_Toc527400999"/>
      <w:bookmarkStart w:id="793" w:name="_Toc527401403"/>
      <w:r w:rsidRPr="001048FE">
        <w:rPr>
          <w:lang w:val="sl-SI"/>
        </w:rPr>
        <w:t>Kontaktni podatki</w:t>
      </w:r>
      <w:bookmarkEnd w:id="792"/>
      <w:bookmarkEnd w:id="7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076F89" w:rsidRPr="002C560E" w14:paraId="7D39AD64" w14:textId="77777777" w:rsidTr="00237696">
        <w:trPr>
          <w:trHeight w:val="1368"/>
        </w:trPr>
        <w:tc>
          <w:tcPr>
            <w:tcW w:w="9064" w:type="dxa"/>
            <w:shd w:val="clear" w:color="auto" w:fill="auto"/>
          </w:tcPr>
          <w:p w14:paraId="7D39AD5E" w14:textId="77777777" w:rsidR="00076F89" w:rsidRPr="00237696" w:rsidRDefault="000C229C" w:rsidP="00237696">
            <w:pPr>
              <w:pStyle w:val="GUIDE-NORMAL"/>
              <w:spacing w:before="60" w:after="60"/>
              <w:jc w:val="center"/>
              <w:rPr>
                <w:b/>
                <w:lang w:val="sl-SI" w:eastAsia="en-GB"/>
              </w:rPr>
            </w:pPr>
            <w:r w:rsidRPr="00237696">
              <w:rPr>
                <w:b/>
                <w:lang w:val="sl-SI" w:eastAsia="en-GB"/>
              </w:rPr>
              <w:t>Evropska komisija – Generalni direktorat za izobraževanje in kulturo (GD EAC)</w:t>
            </w:r>
          </w:p>
          <w:p w14:paraId="7D39AD5F" w14:textId="77777777" w:rsidR="00076F89" w:rsidRPr="00237696" w:rsidRDefault="002C560E" w:rsidP="00237696">
            <w:pPr>
              <w:pStyle w:val="GUIDE-NORMAL"/>
              <w:spacing w:before="60" w:after="60"/>
              <w:jc w:val="center"/>
              <w:rPr>
                <w:rStyle w:val="Hyperlink"/>
                <w:lang w:val="sl-SI" w:eastAsia="en-GB"/>
              </w:rPr>
            </w:pPr>
            <w:hyperlink r:id="rId225">
              <w:r w:rsidR="000C229C" w:rsidRPr="00237696">
                <w:rPr>
                  <w:rStyle w:val="Hyperlink"/>
                  <w:lang w:val="sl-SI" w:eastAsia="en-GB"/>
                </w:rPr>
                <w:t>https://ec.europa.eu/programmes/erasmus-plus/node_sl</w:t>
              </w:r>
            </w:hyperlink>
          </w:p>
          <w:p w14:paraId="7D39AD60" w14:textId="77777777" w:rsidR="00076F89" w:rsidRPr="00237696" w:rsidRDefault="000C229C" w:rsidP="00237696">
            <w:pPr>
              <w:pStyle w:val="GUIDE-NORMAL"/>
              <w:spacing w:before="60" w:after="60"/>
              <w:jc w:val="center"/>
              <w:rPr>
                <w:b/>
                <w:lang w:val="sl-SI" w:eastAsia="en-GB"/>
              </w:rPr>
            </w:pPr>
            <w:r w:rsidRPr="00237696">
              <w:rPr>
                <w:b/>
                <w:lang w:val="sl-SI" w:eastAsia="en-GB"/>
              </w:rPr>
              <w:t>Evropska komisija – Izvajalska agencija za izobraževanje, avdiovizualno področje in kulturo (EACEA)</w:t>
            </w:r>
          </w:p>
          <w:p w14:paraId="7D39AD61" w14:textId="77777777" w:rsidR="00076F89" w:rsidRPr="00237696" w:rsidRDefault="002C560E" w:rsidP="00237696">
            <w:pPr>
              <w:pStyle w:val="GUIDE-NORMAL"/>
              <w:spacing w:before="60" w:after="60"/>
              <w:jc w:val="center"/>
              <w:rPr>
                <w:rStyle w:val="Hyperlink"/>
                <w:lang w:val="sl-SI" w:eastAsia="en-GB"/>
              </w:rPr>
            </w:pPr>
            <w:hyperlink r:id="rId226" w:history="1">
              <w:r w:rsidR="00076F89" w:rsidRPr="00237696">
                <w:rPr>
                  <w:rStyle w:val="Hyperlink"/>
                  <w:lang w:val="sl-SI" w:eastAsia="en-GB"/>
                </w:rPr>
                <w:t>http://eacea.ec.europa.eu/index_en.ph</w:t>
              </w:r>
            </w:hyperlink>
            <w:r w:rsidR="00076F89" w:rsidRPr="00237696">
              <w:rPr>
                <w:rStyle w:val="Hyperlink"/>
                <w:lang w:val="sl-SI" w:eastAsia="en-GB"/>
              </w:rPr>
              <w:t>p</w:t>
            </w:r>
          </w:p>
          <w:p w14:paraId="7D39AD62" w14:textId="77777777" w:rsidR="00076F89" w:rsidRPr="00237696" w:rsidRDefault="000C229C" w:rsidP="00237696">
            <w:pPr>
              <w:pStyle w:val="GUIDE-NORMAL"/>
              <w:spacing w:before="60" w:after="60"/>
              <w:jc w:val="center"/>
              <w:rPr>
                <w:b/>
                <w:lang w:val="sl-SI" w:eastAsia="en-GB"/>
              </w:rPr>
            </w:pPr>
            <w:r w:rsidRPr="00237696">
              <w:rPr>
                <w:b/>
                <w:lang w:val="sl-SI" w:eastAsia="en-GB"/>
              </w:rPr>
              <w:t>Nacionalne agencije</w:t>
            </w:r>
          </w:p>
          <w:p w14:paraId="7D39AD63" w14:textId="77777777" w:rsidR="00076F89" w:rsidRPr="00237696" w:rsidRDefault="002C560E" w:rsidP="00237696">
            <w:pPr>
              <w:pStyle w:val="GUIDE-NORMAL"/>
              <w:spacing w:before="60" w:after="60"/>
              <w:jc w:val="center"/>
              <w:rPr>
                <w:rStyle w:val="Hyperlink"/>
                <w:lang w:val="sl-SI" w:eastAsia="en-GB"/>
              </w:rPr>
            </w:pPr>
            <w:hyperlink r:id="rId227">
              <w:r w:rsidR="000C229C" w:rsidRPr="00237696">
                <w:rPr>
                  <w:rStyle w:val="Hyperlink"/>
                  <w:lang w:val="sl-SI" w:eastAsia="en-GB"/>
                </w:rPr>
                <w:t>http://ec.europa.eu/programmes/erasmus-plus/contact_sl</w:t>
              </w:r>
            </w:hyperlink>
          </w:p>
        </w:tc>
      </w:tr>
    </w:tbl>
    <w:p w14:paraId="7D39AD65" w14:textId="77777777" w:rsidR="00BE364E" w:rsidRPr="00444D6C" w:rsidRDefault="00BE364E" w:rsidP="00076F89">
      <w:pPr>
        <w:pStyle w:val="GUIDE-NORMAL"/>
        <w:rPr>
          <w:lang w:val="es-ES"/>
        </w:rPr>
      </w:pPr>
    </w:p>
    <w:sectPr w:rsidR="00BE364E" w:rsidRPr="00444D6C" w:rsidSect="007F4890">
      <w:headerReference w:type="even" r:id="rId228"/>
      <w:headerReference w:type="default" r:id="rId229"/>
      <w:endnotePr>
        <w:numFmt w:val="decimal"/>
      </w:endnotePr>
      <w:pgSz w:w="11910" w:h="16840" w:code="9"/>
      <w:pgMar w:top="1134" w:right="1418" w:bottom="1134" w:left="1418" w:header="283"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39AD69" w14:textId="77777777" w:rsidR="00A6094F" w:rsidRDefault="00A6094F">
      <w:r>
        <w:separator/>
      </w:r>
    </w:p>
  </w:endnote>
  <w:endnote w:type="continuationSeparator" w:id="0">
    <w:p w14:paraId="7D39AD6A" w14:textId="77777777" w:rsidR="00A6094F" w:rsidRDefault="00A6094F">
      <w:r>
        <w:continuationSeparator/>
      </w:r>
    </w:p>
  </w:endnote>
  <w:endnote w:type="continuationNotice" w:id="1">
    <w:p w14:paraId="7D39AD6B" w14:textId="77777777" w:rsidR="00A6094F" w:rsidRDefault="00A609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
    <w:altName w:val="Courier New"/>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9AD78" w14:textId="62308A6B" w:rsidR="00A6094F" w:rsidRPr="007E0A28" w:rsidRDefault="00A6094F" w:rsidP="007E0A28">
    <w:pPr>
      <w:pStyle w:val="Guide-Pageright"/>
    </w:pPr>
    <w:r w:rsidRPr="007E0A28">
      <w:fldChar w:fldCharType="begin"/>
    </w:r>
    <w:r w:rsidRPr="007E0A28">
      <w:instrText xml:space="preserve"> </w:instrText>
    </w:r>
    <w:r>
      <w:instrText>PAGE</w:instrText>
    </w:r>
    <w:r w:rsidRPr="007E0A28">
      <w:instrText xml:space="preserve">   \* MERGEFORMAT </w:instrText>
    </w:r>
    <w:r w:rsidRPr="007E0A28">
      <w:fldChar w:fldCharType="separate"/>
    </w:r>
    <w:r w:rsidR="00383EF8">
      <w:t>10</w:t>
    </w:r>
    <w:r w:rsidRPr="007E0A2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9AD79" w14:textId="6F53602A" w:rsidR="00A6094F" w:rsidRPr="007E0A28" w:rsidRDefault="00A6094F" w:rsidP="007E0A28">
    <w:pPr>
      <w:pStyle w:val="Guide-Pageleft"/>
    </w:pPr>
    <w:r>
      <w:rPr>
        <w:noProof/>
      </w:rPr>
      <w:fldChar w:fldCharType="begin"/>
    </w:r>
    <w:r>
      <w:rPr>
        <w:noProof/>
      </w:rPr>
      <w:instrText xml:space="preserve"> PAGE   \* MERGEFORMAT </w:instrText>
    </w:r>
    <w:r>
      <w:rPr>
        <w:noProof/>
      </w:rPr>
      <w:fldChar w:fldCharType="separate"/>
    </w:r>
    <w:r w:rsidR="00383EF8">
      <w:rPr>
        <w:noProof/>
      </w:rPr>
      <w:t>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9AD7B" w14:textId="77777777" w:rsidR="00A6094F" w:rsidRDefault="00A609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9AD66" w14:textId="77777777" w:rsidR="00A6094F" w:rsidRDefault="00A6094F">
      <w:r>
        <w:rPr>
          <w:color w:val="000000"/>
        </w:rPr>
        <w:separator/>
      </w:r>
    </w:p>
  </w:footnote>
  <w:footnote w:type="continuationSeparator" w:id="0">
    <w:p w14:paraId="7D39AD67" w14:textId="77777777" w:rsidR="00A6094F" w:rsidRDefault="00A6094F">
      <w:r>
        <w:continuationSeparator/>
      </w:r>
    </w:p>
  </w:footnote>
  <w:footnote w:type="continuationNotice" w:id="1">
    <w:p w14:paraId="7D39AD68" w14:textId="77777777" w:rsidR="00A6094F" w:rsidRDefault="00A6094F"/>
  </w:footnote>
  <w:footnote w:id="2">
    <w:p w14:paraId="7D39B0E5" w14:textId="77777777" w:rsidR="00A6094F" w:rsidRPr="0005777F" w:rsidRDefault="00A6094F" w:rsidP="00B1662F">
      <w:pPr>
        <w:pStyle w:val="Guide-Footnote"/>
        <w:rPr>
          <w:rFonts w:asciiTheme="minorHAnsi" w:hAnsiTheme="minorHAnsi"/>
          <w:szCs w:val="14"/>
          <w:lang w:val="pt-PT"/>
        </w:rPr>
      </w:pPr>
      <w:r w:rsidRPr="001F01BF">
        <w:rPr>
          <w:rStyle w:val="FootnoteReference"/>
          <w:rFonts w:asciiTheme="minorHAnsi" w:hAnsiTheme="minorHAnsi"/>
          <w:szCs w:val="14"/>
        </w:rPr>
        <w:footnoteRef/>
      </w:r>
      <w:r w:rsidRPr="0005777F">
        <w:rPr>
          <w:rFonts w:asciiTheme="minorHAnsi" w:hAnsiTheme="minorHAnsi"/>
          <w:szCs w:val="14"/>
          <w:lang w:val="pt-PT"/>
        </w:rPr>
        <w:t xml:space="preserve"> </w:t>
      </w:r>
      <w:r w:rsidRPr="0005777F">
        <w:rPr>
          <w:rFonts w:asciiTheme="minorHAnsi" w:hAnsiTheme="minorHAnsi"/>
          <w:szCs w:val="14"/>
          <w:lang w:val="pt-PT"/>
        </w:rPr>
        <w:tab/>
        <w:t>UREDBA (EU) ŠT. 1288/2013 EVROPSKEGA PARLAMENTA IN SVETA z dne 11. decembra 2013 o uvedbi programa „Erasmus+“, program Unije za izobraževanje, usposabljanje, mladino in šport (</w:t>
      </w:r>
      <w:hyperlink r:id="rId1">
        <w:r w:rsidRPr="0005777F">
          <w:rPr>
            <w:rStyle w:val="Hyperlink"/>
            <w:rFonts w:asciiTheme="minorHAnsi" w:hAnsiTheme="minorHAnsi"/>
            <w:szCs w:val="14"/>
            <w:lang w:val="pt-PT"/>
          </w:rPr>
          <w:t>http://eur-lex.europa.eu/LexUriServ/LexUriServ.do?uri=OJ:L:2013:347:0050:0073:SL:PDF</w:t>
        </w:r>
      </w:hyperlink>
      <w:r w:rsidRPr="0005777F">
        <w:rPr>
          <w:rFonts w:asciiTheme="minorHAnsi" w:hAnsiTheme="minorHAnsi"/>
          <w:szCs w:val="14"/>
          <w:lang w:val="pt-PT"/>
        </w:rPr>
        <w:t>)</w:t>
      </w:r>
    </w:p>
  </w:footnote>
  <w:footnote w:id="3">
    <w:p w14:paraId="7D39B0E6" w14:textId="77777777" w:rsidR="00A6094F" w:rsidRPr="0005777F" w:rsidRDefault="00A6094F" w:rsidP="00B1662F">
      <w:pPr>
        <w:pStyle w:val="Guide-Footnote"/>
        <w:rPr>
          <w:rFonts w:asciiTheme="minorHAnsi" w:hAnsiTheme="minorHAnsi"/>
          <w:szCs w:val="14"/>
          <w:lang w:val="pt-PT"/>
        </w:rPr>
      </w:pPr>
      <w:r w:rsidRPr="001F01BF">
        <w:rPr>
          <w:rStyle w:val="FootnoteReference"/>
          <w:rFonts w:asciiTheme="minorHAnsi" w:hAnsiTheme="minorHAnsi"/>
          <w:szCs w:val="14"/>
        </w:rPr>
        <w:footnoteRef/>
      </w:r>
      <w:r w:rsidRPr="0005777F">
        <w:rPr>
          <w:rFonts w:asciiTheme="minorHAnsi" w:hAnsiTheme="minorHAnsi"/>
          <w:szCs w:val="14"/>
          <w:lang w:val="pt-PT"/>
        </w:rPr>
        <w:t xml:space="preserve"> </w:t>
      </w:r>
      <w:r w:rsidRPr="0005777F">
        <w:rPr>
          <w:rFonts w:asciiTheme="minorHAnsi" w:hAnsiTheme="minorHAnsi"/>
          <w:szCs w:val="14"/>
          <w:lang w:val="pt-PT"/>
        </w:rPr>
        <w:tab/>
        <w:t>Krovni cilj izobraževanja je zmanjšati osip na manj kot 10 % in zvišati pridobitev terciarne izobrazbe na vsaj 40 % do leta 2020.</w:t>
      </w:r>
    </w:p>
  </w:footnote>
  <w:footnote w:id="4">
    <w:p w14:paraId="7D39B0E7" w14:textId="77777777" w:rsidR="00A6094F" w:rsidRPr="0005777F" w:rsidRDefault="00A6094F" w:rsidP="00B1662F">
      <w:pPr>
        <w:pStyle w:val="Guide-Footnote"/>
        <w:rPr>
          <w:rFonts w:asciiTheme="minorHAnsi" w:hAnsiTheme="minorHAnsi"/>
          <w:szCs w:val="14"/>
          <w:lang w:val="pt-PT"/>
        </w:rPr>
      </w:pPr>
      <w:r w:rsidRPr="001F01BF">
        <w:rPr>
          <w:rStyle w:val="FootnoteReference"/>
          <w:rFonts w:asciiTheme="minorHAnsi" w:hAnsiTheme="minorHAnsi"/>
          <w:szCs w:val="14"/>
        </w:rPr>
        <w:footnoteRef/>
      </w:r>
      <w:r w:rsidRPr="0005777F">
        <w:rPr>
          <w:rFonts w:asciiTheme="minorHAnsi" w:hAnsiTheme="minorHAnsi"/>
          <w:szCs w:val="14"/>
          <w:lang w:val="pt-PT"/>
        </w:rPr>
        <w:t xml:space="preserve"> </w:t>
      </w:r>
      <w:r w:rsidRPr="0005777F">
        <w:rPr>
          <w:rFonts w:asciiTheme="minorHAnsi" w:hAnsiTheme="minorHAnsi"/>
          <w:szCs w:val="14"/>
          <w:lang w:val="pt-PT"/>
        </w:rPr>
        <w:tab/>
        <w:t>Unija temelji na vrednotah spoštovanja človekovega dostojanstva, svobode, demokracije, enakosti, pravne države in spoštovanja človekovih pravic, vključno s pravicami pripadnikov manjšin. Te vrednote so skupne vsem državam članicam v družbi, ki jo označujejo pluralizem, nediskriminacija, strpnost, pravičnost, solidarnost ter enakost žensk in moških.</w:t>
      </w:r>
    </w:p>
  </w:footnote>
  <w:footnote w:id="5">
    <w:p w14:paraId="7D39B0E8" w14:textId="77777777" w:rsidR="00A6094F" w:rsidRPr="0005777F" w:rsidRDefault="00A6094F" w:rsidP="00B1662F">
      <w:pPr>
        <w:pStyle w:val="Guide-Footnote"/>
        <w:rPr>
          <w:rFonts w:asciiTheme="minorHAnsi" w:hAnsiTheme="minorHAnsi"/>
          <w:szCs w:val="14"/>
          <w:lang w:val="pt-PT"/>
        </w:rPr>
      </w:pPr>
      <w:r w:rsidRPr="001F01BF">
        <w:rPr>
          <w:rStyle w:val="FootnoteReference"/>
          <w:rFonts w:asciiTheme="minorHAnsi" w:hAnsiTheme="minorHAnsi"/>
          <w:szCs w:val="14"/>
        </w:rPr>
        <w:footnoteRef/>
      </w:r>
      <w:r w:rsidRPr="0005777F">
        <w:rPr>
          <w:rFonts w:asciiTheme="minorHAnsi" w:hAnsiTheme="minorHAnsi"/>
          <w:szCs w:val="14"/>
          <w:lang w:val="pt-PT"/>
        </w:rPr>
        <w:t xml:space="preserve"> </w:t>
      </w:r>
      <w:r w:rsidRPr="0005777F">
        <w:rPr>
          <w:rFonts w:asciiTheme="minorHAnsi" w:hAnsiTheme="minorHAnsi"/>
          <w:szCs w:val="14"/>
          <w:lang w:val="pt-PT"/>
        </w:rPr>
        <w:tab/>
        <w:t>Npr. razširjeni licenci Creative Commons Attribution ali Creative Commons Attribution-Share Alike za ustvarjalno</w:t>
      </w:r>
      <w:r w:rsidRPr="0005777F">
        <w:rPr>
          <w:rFonts w:asciiTheme="minorHAnsi" w:hAnsiTheme="minorHAnsi"/>
          <w:spacing w:val="-9"/>
          <w:szCs w:val="14"/>
          <w:lang w:val="pt-PT"/>
        </w:rPr>
        <w:t xml:space="preserve"> </w:t>
      </w:r>
      <w:r w:rsidRPr="0005777F">
        <w:rPr>
          <w:rFonts w:asciiTheme="minorHAnsi" w:hAnsiTheme="minorHAnsi"/>
          <w:szCs w:val="14"/>
          <w:lang w:val="pt-PT"/>
        </w:rPr>
        <w:t>delo,</w:t>
      </w:r>
      <w:r w:rsidRPr="0005777F">
        <w:rPr>
          <w:rFonts w:asciiTheme="minorHAnsi" w:hAnsiTheme="minorHAnsi"/>
          <w:spacing w:val="-9"/>
          <w:szCs w:val="14"/>
          <w:lang w:val="pt-PT"/>
        </w:rPr>
        <w:t xml:space="preserve"> </w:t>
      </w:r>
      <w:r w:rsidRPr="0005777F">
        <w:rPr>
          <w:rFonts w:asciiTheme="minorHAnsi" w:hAnsiTheme="minorHAnsi"/>
          <w:szCs w:val="14"/>
          <w:lang w:val="pt-PT"/>
        </w:rPr>
        <w:t>licenci</w:t>
      </w:r>
      <w:r w:rsidRPr="0005777F">
        <w:rPr>
          <w:rFonts w:asciiTheme="minorHAnsi" w:hAnsiTheme="minorHAnsi"/>
          <w:spacing w:val="-9"/>
          <w:szCs w:val="14"/>
          <w:lang w:val="pt-PT"/>
        </w:rPr>
        <w:t xml:space="preserve"> </w:t>
      </w:r>
      <w:r w:rsidRPr="0005777F">
        <w:rPr>
          <w:rFonts w:asciiTheme="minorHAnsi" w:hAnsiTheme="minorHAnsi"/>
          <w:szCs w:val="14"/>
          <w:lang w:val="pt-PT"/>
        </w:rPr>
        <w:t>GNU</w:t>
      </w:r>
      <w:r w:rsidRPr="0005777F">
        <w:rPr>
          <w:rFonts w:asciiTheme="minorHAnsi" w:hAnsiTheme="minorHAnsi"/>
          <w:spacing w:val="-9"/>
          <w:szCs w:val="14"/>
          <w:lang w:val="pt-PT"/>
        </w:rPr>
        <w:t xml:space="preserve"> </w:t>
      </w:r>
      <w:r w:rsidRPr="0005777F">
        <w:rPr>
          <w:rFonts w:asciiTheme="minorHAnsi" w:hAnsiTheme="minorHAnsi"/>
          <w:szCs w:val="14"/>
          <w:lang w:val="pt-PT"/>
        </w:rPr>
        <w:t>Public</w:t>
      </w:r>
      <w:r w:rsidRPr="0005777F">
        <w:rPr>
          <w:rFonts w:asciiTheme="minorHAnsi" w:hAnsiTheme="minorHAnsi"/>
          <w:spacing w:val="-9"/>
          <w:szCs w:val="14"/>
          <w:lang w:val="pt-PT"/>
        </w:rPr>
        <w:t xml:space="preserve"> </w:t>
      </w:r>
      <w:r w:rsidRPr="0005777F">
        <w:rPr>
          <w:rFonts w:asciiTheme="minorHAnsi" w:hAnsiTheme="minorHAnsi"/>
          <w:szCs w:val="14"/>
          <w:lang w:val="pt-PT"/>
        </w:rPr>
        <w:t>License</w:t>
      </w:r>
      <w:r w:rsidRPr="0005777F">
        <w:rPr>
          <w:rFonts w:asciiTheme="minorHAnsi" w:hAnsiTheme="minorHAnsi"/>
          <w:spacing w:val="-9"/>
          <w:szCs w:val="14"/>
          <w:lang w:val="pt-PT"/>
        </w:rPr>
        <w:t xml:space="preserve"> </w:t>
      </w:r>
      <w:r w:rsidRPr="0005777F">
        <w:rPr>
          <w:rFonts w:asciiTheme="minorHAnsi" w:hAnsiTheme="minorHAnsi"/>
          <w:szCs w:val="14"/>
          <w:lang w:val="pt-PT"/>
        </w:rPr>
        <w:t>in</w:t>
      </w:r>
      <w:r w:rsidRPr="0005777F">
        <w:rPr>
          <w:rFonts w:asciiTheme="minorHAnsi" w:hAnsiTheme="minorHAnsi"/>
          <w:spacing w:val="-9"/>
          <w:szCs w:val="14"/>
          <w:lang w:val="pt-PT"/>
        </w:rPr>
        <w:t xml:space="preserve"> </w:t>
      </w:r>
      <w:r w:rsidRPr="0005777F">
        <w:rPr>
          <w:rFonts w:asciiTheme="minorHAnsi" w:hAnsiTheme="minorHAnsi"/>
          <w:szCs w:val="14"/>
          <w:lang w:val="pt-PT"/>
        </w:rPr>
        <w:t>GNU</w:t>
      </w:r>
      <w:r w:rsidRPr="0005777F">
        <w:rPr>
          <w:rFonts w:asciiTheme="minorHAnsi" w:hAnsiTheme="minorHAnsi"/>
          <w:spacing w:val="-9"/>
          <w:szCs w:val="14"/>
          <w:lang w:val="pt-PT"/>
        </w:rPr>
        <w:t xml:space="preserve"> </w:t>
      </w:r>
      <w:r w:rsidRPr="0005777F">
        <w:rPr>
          <w:rFonts w:asciiTheme="minorHAnsi" w:hAnsiTheme="minorHAnsi"/>
          <w:szCs w:val="14"/>
          <w:lang w:val="pt-PT"/>
        </w:rPr>
        <w:t>Lesser</w:t>
      </w:r>
      <w:r w:rsidRPr="0005777F">
        <w:rPr>
          <w:rFonts w:asciiTheme="minorHAnsi" w:hAnsiTheme="minorHAnsi"/>
          <w:spacing w:val="-9"/>
          <w:szCs w:val="14"/>
          <w:lang w:val="pt-PT"/>
        </w:rPr>
        <w:t xml:space="preserve"> </w:t>
      </w:r>
      <w:r w:rsidRPr="0005777F">
        <w:rPr>
          <w:rFonts w:asciiTheme="minorHAnsi" w:hAnsiTheme="minorHAnsi"/>
          <w:szCs w:val="14"/>
          <w:lang w:val="pt-PT"/>
        </w:rPr>
        <w:t>Public</w:t>
      </w:r>
      <w:r w:rsidRPr="0005777F">
        <w:rPr>
          <w:rFonts w:asciiTheme="minorHAnsi" w:hAnsiTheme="minorHAnsi"/>
          <w:spacing w:val="-9"/>
          <w:szCs w:val="14"/>
          <w:lang w:val="pt-PT"/>
        </w:rPr>
        <w:t xml:space="preserve"> </w:t>
      </w:r>
      <w:r w:rsidRPr="0005777F">
        <w:rPr>
          <w:rFonts w:asciiTheme="minorHAnsi" w:hAnsiTheme="minorHAnsi"/>
          <w:szCs w:val="14"/>
          <w:lang w:val="pt-PT"/>
        </w:rPr>
        <w:t>License</w:t>
      </w:r>
      <w:r w:rsidRPr="0005777F">
        <w:rPr>
          <w:rFonts w:asciiTheme="minorHAnsi" w:hAnsiTheme="minorHAnsi"/>
          <w:spacing w:val="-9"/>
          <w:szCs w:val="14"/>
          <w:lang w:val="pt-PT"/>
        </w:rPr>
        <w:t xml:space="preserve"> </w:t>
      </w:r>
      <w:r w:rsidRPr="0005777F">
        <w:rPr>
          <w:rFonts w:asciiTheme="minorHAnsi" w:hAnsiTheme="minorHAnsi"/>
          <w:szCs w:val="14"/>
          <w:lang w:val="pt-PT"/>
        </w:rPr>
        <w:t>za</w:t>
      </w:r>
      <w:r w:rsidRPr="0005777F">
        <w:rPr>
          <w:rFonts w:asciiTheme="minorHAnsi" w:hAnsiTheme="minorHAnsi"/>
          <w:spacing w:val="-9"/>
          <w:szCs w:val="14"/>
          <w:lang w:val="pt-PT"/>
        </w:rPr>
        <w:t xml:space="preserve"> </w:t>
      </w:r>
      <w:r w:rsidRPr="0005777F">
        <w:rPr>
          <w:rFonts w:asciiTheme="minorHAnsi" w:hAnsiTheme="minorHAnsi"/>
          <w:szCs w:val="14"/>
          <w:lang w:val="pt-PT"/>
        </w:rPr>
        <w:t>programsko</w:t>
      </w:r>
      <w:r w:rsidRPr="0005777F">
        <w:rPr>
          <w:rFonts w:asciiTheme="minorHAnsi" w:hAnsiTheme="minorHAnsi"/>
          <w:spacing w:val="-9"/>
          <w:szCs w:val="14"/>
          <w:lang w:val="pt-PT"/>
        </w:rPr>
        <w:t xml:space="preserve"> </w:t>
      </w:r>
      <w:r w:rsidRPr="0005777F">
        <w:rPr>
          <w:rFonts w:asciiTheme="minorHAnsi" w:hAnsiTheme="minorHAnsi"/>
          <w:szCs w:val="14"/>
          <w:lang w:val="pt-PT"/>
        </w:rPr>
        <w:t>opremo</w:t>
      </w:r>
      <w:r w:rsidRPr="0005777F">
        <w:rPr>
          <w:rFonts w:asciiTheme="minorHAnsi" w:hAnsiTheme="minorHAnsi"/>
          <w:spacing w:val="-9"/>
          <w:szCs w:val="14"/>
          <w:lang w:val="pt-PT"/>
        </w:rPr>
        <w:t xml:space="preserve"> </w:t>
      </w:r>
      <w:r w:rsidRPr="0005777F">
        <w:rPr>
          <w:rFonts w:asciiTheme="minorHAnsi" w:hAnsiTheme="minorHAnsi"/>
          <w:szCs w:val="14"/>
          <w:lang w:val="pt-PT"/>
        </w:rPr>
        <w:t>ali</w:t>
      </w:r>
      <w:r w:rsidRPr="0005777F">
        <w:rPr>
          <w:rFonts w:asciiTheme="minorHAnsi" w:hAnsiTheme="minorHAnsi"/>
          <w:spacing w:val="-9"/>
          <w:szCs w:val="14"/>
          <w:lang w:val="pt-PT"/>
        </w:rPr>
        <w:t xml:space="preserve"> </w:t>
      </w:r>
      <w:r w:rsidRPr="0005777F">
        <w:rPr>
          <w:rFonts w:asciiTheme="minorHAnsi" w:hAnsiTheme="minorHAnsi"/>
          <w:szCs w:val="14"/>
          <w:lang w:val="pt-PT"/>
        </w:rPr>
        <w:t>licenca</w:t>
      </w:r>
      <w:r w:rsidRPr="0005777F">
        <w:rPr>
          <w:rFonts w:asciiTheme="minorHAnsi" w:hAnsiTheme="minorHAnsi"/>
          <w:spacing w:val="-9"/>
          <w:szCs w:val="14"/>
          <w:lang w:val="pt-PT"/>
        </w:rPr>
        <w:t xml:space="preserve"> </w:t>
      </w:r>
      <w:r w:rsidRPr="0005777F">
        <w:rPr>
          <w:rFonts w:asciiTheme="minorHAnsi" w:hAnsiTheme="minorHAnsi"/>
          <w:szCs w:val="14"/>
          <w:lang w:val="pt-PT"/>
        </w:rPr>
        <w:t>Open Database License za baze podatkov.</w:t>
      </w:r>
    </w:p>
  </w:footnote>
  <w:footnote w:id="6">
    <w:p w14:paraId="7D39B0E9" w14:textId="77777777" w:rsidR="00A6094F" w:rsidRPr="0005777F" w:rsidRDefault="00A6094F" w:rsidP="00B1662F">
      <w:pPr>
        <w:pStyle w:val="Guide-Footnote"/>
        <w:rPr>
          <w:rFonts w:asciiTheme="minorHAnsi" w:hAnsiTheme="minorHAnsi"/>
          <w:szCs w:val="14"/>
          <w:lang w:val="pt-PT"/>
        </w:rPr>
      </w:pPr>
      <w:r w:rsidRPr="001F01BF">
        <w:rPr>
          <w:rStyle w:val="FootnoteReference"/>
          <w:rFonts w:asciiTheme="minorHAnsi" w:hAnsiTheme="minorHAnsi"/>
          <w:szCs w:val="14"/>
        </w:rPr>
        <w:footnoteRef/>
      </w:r>
      <w:r w:rsidRPr="0005777F">
        <w:rPr>
          <w:rFonts w:asciiTheme="minorHAnsi" w:hAnsiTheme="minorHAnsi"/>
          <w:szCs w:val="14"/>
          <w:lang w:val="pt-PT"/>
        </w:rPr>
        <w:t xml:space="preserve"> </w:t>
      </w:r>
      <w:r w:rsidRPr="0005777F">
        <w:rPr>
          <w:rFonts w:asciiTheme="minorHAnsi" w:hAnsiTheme="minorHAnsi"/>
          <w:szCs w:val="14"/>
          <w:lang w:val="pt-PT"/>
        </w:rPr>
        <w:tab/>
        <w:t>Strategija Erasmus+ za vključevanje in raznolikost na področju mladih:</w:t>
      </w:r>
      <w:hyperlink r:id="rId2">
        <w:r w:rsidRPr="0005777F">
          <w:rPr>
            <w:rFonts w:asciiTheme="minorHAnsi" w:hAnsiTheme="minorHAnsi"/>
            <w:szCs w:val="14"/>
            <w:lang w:val="pt-PT"/>
          </w:rPr>
          <w:t xml:space="preserve"> </w:t>
        </w:r>
        <w:r w:rsidRPr="0005777F">
          <w:rPr>
            <w:rStyle w:val="Hyperlink"/>
            <w:rFonts w:asciiTheme="minorHAnsi" w:hAnsiTheme="minorHAnsi"/>
            <w:szCs w:val="14"/>
            <w:lang w:val="pt-PT"/>
          </w:rPr>
          <w:t>http://ec.europa.eu/youth/library/reports/inclusion-diversity-strategy_en.pdf.</w:t>
        </w:r>
      </w:hyperlink>
    </w:p>
  </w:footnote>
  <w:footnote w:id="7">
    <w:p w14:paraId="7D39B0EA" w14:textId="77777777" w:rsidR="00A6094F" w:rsidRPr="0005777F" w:rsidRDefault="00A6094F" w:rsidP="00B1662F">
      <w:pPr>
        <w:pStyle w:val="Guide-Footnote"/>
        <w:rPr>
          <w:rFonts w:asciiTheme="minorHAnsi" w:hAnsiTheme="minorHAnsi"/>
          <w:szCs w:val="14"/>
          <w:lang w:val="pt-PT"/>
        </w:rPr>
      </w:pPr>
      <w:r w:rsidRPr="001F01BF">
        <w:rPr>
          <w:rStyle w:val="FootnoteReference"/>
          <w:rFonts w:asciiTheme="minorHAnsi" w:hAnsiTheme="minorHAnsi"/>
          <w:szCs w:val="14"/>
        </w:rPr>
        <w:footnoteRef/>
      </w:r>
      <w:r w:rsidRPr="0005777F">
        <w:rPr>
          <w:rFonts w:asciiTheme="minorHAnsi" w:hAnsiTheme="minorHAnsi"/>
          <w:szCs w:val="14"/>
          <w:lang w:val="pt-PT"/>
        </w:rPr>
        <w:t xml:space="preserve"> </w:t>
      </w:r>
      <w:r w:rsidRPr="0005777F">
        <w:rPr>
          <w:rFonts w:asciiTheme="minorHAnsi" w:hAnsiTheme="minorHAnsi"/>
          <w:szCs w:val="14"/>
          <w:lang w:val="pt-PT"/>
        </w:rPr>
        <w:tab/>
        <w:t>Ukrepi na področju visokošolskega izobraževanja, ki so ciljno usmerjeni v mobilnost in sodelovanje s partnerskimi državami, so podprti tudi s sredstvi iz razdelka 4, dodeljenimi v okviru letnega delovnega programa za leto 2019 (</w:t>
      </w:r>
      <w:hyperlink r:id="rId3">
        <w:r w:rsidRPr="0005777F">
          <w:rPr>
            <w:rStyle w:val="Hyperlink"/>
            <w:rFonts w:asciiTheme="minorHAnsi" w:hAnsiTheme="minorHAnsi"/>
            <w:szCs w:val="14"/>
            <w:lang w:val="pt-PT"/>
          </w:rPr>
          <w:t>http://ec.europa.eu/dgs/education_culture/more_info/awp/index_en.htm</w:t>
        </w:r>
      </w:hyperlink>
      <w:r w:rsidRPr="0005777F">
        <w:rPr>
          <w:rFonts w:asciiTheme="minorHAnsi" w:hAnsiTheme="minorHAnsi"/>
          <w:szCs w:val="14"/>
          <w:lang w:val="pt-PT"/>
        </w:rPr>
        <w:t>).</w:t>
      </w:r>
    </w:p>
  </w:footnote>
  <w:footnote w:id="8">
    <w:p w14:paraId="7D39B0EB" w14:textId="77777777" w:rsidR="00A6094F" w:rsidRPr="0005777F" w:rsidRDefault="00A6094F" w:rsidP="00137021">
      <w:pPr>
        <w:pStyle w:val="FootnoteText"/>
        <w:ind w:left="288" w:hanging="288"/>
        <w:rPr>
          <w:lang w:val="pt-PT"/>
        </w:rPr>
      </w:pPr>
      <w:r w:rsidRPr="00734594">
        <w:rPr>
          <w:rStyle w:val="FootnoteReference"/>
          <w:sz w:val="14"/>
          <w:szCs w:val="14"/>
        </w:rPr>
        <w:footnoteRef/>
      </w:r>
      <w:r w:rsidRPr="0005777F">
        <w:rPr>
          <w:sz w:val="14"/>
          <w:szCs w:val="14"/>
          <w:lang w:val="pt-PT"/>
        </w:rPr>
        <w:t xml:space="preserve"> </w:t>
      </w:r>
      <w:r w:rsidRPr="0005777F">
        <w:rPr>
          <w:sz w:val="14"/>
          <w:szCs w:val="14"/>
          <w:lang w:val="pt-PT"/>
        </w:rPr>
        <w:tab/>
      </w:r>
      <w:r w:rsidRPr="001F01BF">
        <w:rPr>
          <w:rFonts w:asciiTheme="minorHAnsi" w:eastAsia="Calibri" w:hAnsiTheme="minorHAnsi" w:cs="Calibri"/>
          <w:kern w:val="0"/>
          <w:sz w:val="14"/>
          <w:szCs w:val="14"/>
          <w:bdr w:val="nil"/>
          <w:lang w:val="sl-SI"/>
        </w:rPr>
        <w:t>To poimenovanje se ne razlaga kot priznanje palestinske države in ne posega v posamezna stališča držav članic glede tega vprašanja</w:t>
      </w:r>
      <w:r>
        <w:rPr>
          <w:rFonts w:asciiTheme="minorHAnsi" w:eastAsia="Calibri" w:hAnsiTheme="minorHAnsi" w:cs="Calibri"/>
          <w:kern w:val="0"/>
          <w:sz w:val="14"/>
          <w:szCs w:val="14"/>
          <w:bdr w:val="nil"/>
          <w:lang w:val="sl-SI"/>
        </w:rPr>
        <w:t>.</w:t>
      </w:r>
    </w:p>
  </w:footnote>
  <w:footnote w:id="9">
    <w:p w14:paraId="7D39B0EC" w14:textId="77777777" w:rsidR="00A6094F" w:rsidRDefault="00A6094F" w:rsidP="00995E90">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05777F">
        <w:rPr>
          <w:rFonts w:asciiTheme="minorHAnsi" w:hAnsiTheme="minorHAnsi"/>
          <w:szCs w:val="14"/>
          <w:lang w:val="pt-PT"/>
        </w:rPr>
        <w:t xml:space="preserve"> </w:t>
      </w:r>
      <w:r w:rsidRPr="0005777F">
        <w:rPr>
          <w:rFonts w:asciiTheme="minorHAnsi" w:hAnsiTheme="minorHAnsi"/>
          <w:szCs w:val="14"/>
          <w:lang w:val="pt-PT"/>
        </w:rPr>
        <w:tab/>
        <w:t xml:space="preserve">Za posamezne vrste aktivnosti se uporabljajo različne starostne omejitve. </w:t>
      </w:r>
      <w:r w:rsidRPr="001F01BF">
        <w:rPr>
          <w:rFonts w:asciiTheme="minorHAnsi" w:hAnsiTheme="minorHAnsi"/>
          <w:szCs w:val="14"/>
          <w:lang w:val="pl-PL"/>
        </w:rPr>
        <w:t xml:space="preserve">Za več informacij glej del B in Prilogo I k temu vodniku. Upoštevati je treba tudi naslednje: </w:t>
      </w:r>
    </w:p>
    <w:p w14:paraId="7D39B0ED" w14:textId="77777777" w:rsidR="00A6094F" w:rsidRDefault="00A6094F" w:rsidP="00995E90">
      <w:pPr>
        <w:pStyle w:val="Guide-Footnote"/>
        <w:rPr>
          <w:rFonts w:asciiTheme="minorHAnsi" w:hAnsiTheme="minorHAnsi"/>
          <w:szCs w:val="14"/>
          <w:lang w:val="pl-PL"/>
        </w:rPr>
      </w:pPr>
      <w:r>
        <w:rPr>
          <w:rFonts w:asciiTheme="minorHAnsi" w:hAnsiTheme="minorHAnsi"/>
          <w:szCs w:val="14"/>
          <w:lang w:val="pl-PL"/>
        </w:rPr>
        <w:tab/>
      </w:r>
      <w:r w:rsidRPr="001F01BF">
        <w:rPr>
          <w:rFonts w:asciiTheme="minorHAnsi" w:hAnsiTheme="minorHAnsi"/>
          <w:szCs w:val="14"/>
          <w:lang w:val="pl-PL"/>
        </w:rPr>
        <w:t xml:space="preserve">spodnja starostna omejitev – udeleženci morajo izpolniti najnižjo navedeno starost na dan začetka aktivnosti; </w:t>
      </w:r>
    </w:p>
    <w:p w14:paraId="7D39B0EE" w14:textId="77777777" w:rsidR="00A6094F" w:rsidRPr="001F01BF" w:rsidRDefault="00A6094F" w:rsidP="00995E90">
      <w:pPr>
        <w:pStyle w:val="Guide-Footnote"/>
        <w:rPr>
          <w:rFonts w:asciiTheme="minorHAnsi" w:hAnsiTheme="minorHAnsi"/>
          <w:szCs w:val="14"/>
          <w:lang w:val="pl-PL"/>
        </w:rPr>
      </w:pPr>
      <w:r>
        <w:rPr>
          <w:rFonts w:asciiTheme="minorHAnsi" w:hAnsiTheme="minorHAnsi"/>
          <w:szCs w:val="14"/>
          <w:lang w:val="pl-PL"/>
        </w:rPr>
        <w:tab/>
      </w:r>
      <w:r w:rsidRPr="001F01BF">
        <w:rPr>
          <w:rFonts w:asciiTheme="minorHAnsi" w:hAnsiTheme="minorHAnsi"/>
          <w:szCs w:val="14"/>
          <w:lang w:val="pl-PL"/>
        </w:rPr>
        <w:t>zgornja starostna omejitev – udeleženci ne smejo biti starejši od najvišje navedene starosti na dan roka za oddajo vloge.</w:t>
      </w:r>
    </w:p>
  </w:footnote>
  <w:footnote w:id="10">
    <w:p w14:paraId="7D39B0EF" w14:textId="77777777" w:rsidR="00A6094F" w:rsidRPr="001F01BF" w:rsidRDefault="00A6094F" w:rsidP="006E61F8">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 xml:space="preserve"> </w:t>
      </w:r>
      <w:r w:rsidRPr="001F01BF">
        <w:rPr>
          <w:rFonts w:asciiTheme="minorHAnsi" w:hAnsiTheme="minorHAnsi"/>
          <w:szCs w:val="14"/>
          <w:lang w:val="pl-PL"/>
        </w:rPr>
        <w:tab/>
        <w:t xml:space="preserve">V skladu s členom 33(3) Sklepa Sveta 2013/755/EU* o pridružitvi čezmorskih držav in ozemelj Evropski uniji, sprejetim 25. novembra 2013 </w:t>
      </w:r>
      <w:r w:rsidRPr="001F01BF">
        <w:rPr>
          <w:rFonts w:asciiTheme="minorHAnsi" w:hAnsiTheme="minorHAnsi"/>
          <w:szCs w:val="14"/>
          <w:lang w:val="pl-PL"/>
        </w:rPr>
        <w:br/>
        <w:t>(</w:t>
      </w:r>
      <w:hyperlink r:id="rId4" w:history="1">
        <w:r w:rsidRPr="001E29CB">
          <w:rPr>
            <w:rStyle w:val="Hyperlink"/>
            <w:rFonts w:asciiTheme="minorHAnsi" w:hAnsiTheme="minorHAnsi"/>
            <w:szCs w:val="14"/>
            <w:lang w:val="pl-PL"/>
          </w:rPr>
          <w:t>https://ec.europa.eu/europeaid/regions/overseas-countries-and-territories-octs/oct-eu-association_en</w:t>
        </w:r>
      </w:hyperlink>
      <w:r w:rsidRPr="001F01BF">
        <w:rPr>
          <w:rFonts w:asciiTheme="minorHAnsi" w:hAnsiTheme="minorHAnsi"/>
          <w:szCs w:val="14"/>
          <w:lang w:val="pl-PL"/>
        </w:rPr>
        <w:t>), Unija zagotovi, da so posamezniki in organizacije iz čezmorskih držav ali ozemelj (v nadaljnjem besedilu: OCT) upravičeni do programa Erasmus+ v skladu s pravili Programa in ureditvami, ki se uporabljajo za državo članico, s katero so ti OCT povezani. Zadevni OCT so navedeni v Prilogi II k PDEU. To pomeni, da posamezniki in organizacije iz OCT sodelujejo v programu s statusom „države Programa“, pri čemer je „država Programa“ država članica, s katero je ČDO povezan. Seznam OCT (Overseas Countries and Territories [čezmorske države in ozemlja]) je na voljo na:</w:t>
      </w:r>
      <w:r w:rsidRPr="001F01BF">
        <w:rPr>
          <w:rFonts w:asciiTheme="minorHAnsi" w:eastAsia="Calibri" w:hAnsiTheme="minorHAnsi" w:cs="Calibri"/>
          <w:szCs w:val="14"/>
          <w:bdr w:val="nil"/>
          <w:lang w:val="sl-SI"/>
        </w:rPr>
        <w:t xml:space="preserve"> </w:t>
      </w:r>
      <w:hyperlink r:id="rId5" w:history="1">
        <w:r w:rsidRPr="001E29CB">
          <w:rPr>
            <w:rStyle w:val="Hyperlink"/>
            <w:rFonts w:asciiTheme="minorHAnsi" w:eastAsia="Calibri" w:hAnsiTheme="minorHAnsi" w:cs="Calibri"/>
            <w:szCs w:val="14"/>
            <w:bdr w:val="nil"/>
            <w:lang w:val="sl-SI"/>
          </w:rPr>
          <w:t>https://ec.europa.eu/europeaid/regions/octs_en</w:t>
        </w:r>
      </w:hyperlink>
      <w:r>
        <w:rPr>
          <w:rFonts w:asciiTheme="minorHAnsi" w:eastAsia="Calibri" w:hAnsiTheme="minorHAnsi" w:cs="Calibri"/>
          <w:szCs w:val="14"/>
          <w:bdr w:val="nil"/>
          <w:lang w:val="sl-SI"/>
        </w:rPr>
        <w:t xml:space="preserve"> </w:t>
      </w:r>
    </w:p>
  </w:footnote>
  <w:footnote w:id="11">
    <w:p w14:paraId="0F9C4EC6" w14:textId="7C2ED502" w:rsidR="00A6094F" w:rsidRDefault="00A6094F" w:rsidP="00FC1B4B">
      <w:pPr>
        <w:pStyle w:val="FootnoteText"/>
        <w:ind w:left="288" w:hanging="288"/>
        <w:rPr>
          <w:rFonts w:asciiTheme="minorHAnsi" w:eastAsia="Calibri" w:hAnsiTheme="minorHAnsi" w:cs="Calibri"/>
          <w:bCs/>
          <w:kern w:val="0"/>
          <w:sz w:val="14"/>
          <w:szCs w:val="14"/>
          <w:bdr w:val="nil"/>
          <w:lang w:val="sl-SI"/>
        </w:rPr>
      </w:pPr>
      <w:r w:rsidRPr="001F01BF">
        <w:rPr>
          <w:rStyle w:val="FootnoteReference"/>
          <w:rFonts w:asciiTheme="minorHAnsi" w:hAnsiTheme="minorHAnsi"/>
          <w:sz w:val="14"/>
          <w:szCs w:val="14"/>
        </w:rPr>
        <w:footnoteRef/>
      </w:r>
      <w:r w:rsidRPr="001F01BF">
        <w:rPr>
          <w:rFonts w:asciiTheme="minorHAnsi" w:hAnsiTheme="minorHAnsi"/>
          <w:sz w:val="14"/>
          <w:szCs w:val="14"/>
          <w:lang w:val="pl-PL"/>
        </w:rPr>
        <w:t xml:space="preserve"> </w:t>
      </w:r>
      <w:r>
        <w:rPr>
          <w:rFonts w:asciiTheme="minorHAnsi" w:hAnsiTheme="minorHAnsi"/>
          <w:sz w:val="14"/>
          <w:szCs w:val="14"/>
          <w:lang w:val="pl-PL"/>
        </w:rPr>
        <w:tab/>
      </w:r>
      <w:r w:rsidRPr="00654F6A">
        <w:rPr>
          <w:rFonts w:asciiTheme="minorHAnsi" w:eastAsia="Calibri" w:hAnsiTheme="minorHAnsi" w:cs="Calibri"/>
          <w:bCs/>
          <w:kern w:val="0"/>
          <w:sz w:val="14"/>
          <w:szCs w:val="14"/>
          <w:bdr w:val="nil"/>
          <w:lang w:val="sl-SI"/>
        </w:rPr>
        <w:t>V sklopu veljavnega večletnega finančnega okvira (2014–2020) se bo tekoči program Erasmus+ glede Združenega kraljestva ali subjektov ali oseb s sedežem v Združenem kraljestvu v skladu z določbami sporazuma o izstopu med EU in Združenim kraljestvom izvajal, kot da Združeno kraljestvo ostaja država članica, brez prekinitve do zaključka programa</w:t>
      </w:r>
      <w:r w:rsidRPr="00B760F2">
        <w:rPr>
          <w:rFonts w:asciiTheme="minorHAnsi" w:eastAsia="Calibri" w:hAnsiTheme="minorHAnsi" w:cs="Calibri"/>
          <w:bCs/>
          <w:kern w:val="0"/>
          <w:sz w:val="14"/>
          <w:szCs w:val="14"/>
          <w:bdr w:val="nil"/>
          <w:lang w:val="sl-SI"/>
        </w:rPr>
        <w:t xml:space="preserve"> (</w:t>
      </w:r>
      <w:hyperlink r:id="rId6" w:history="1">
        <w:r w:rsidRPr="00654F6A">
          <w:rPr>
            <w:rStyle w:val="Hyperlink"/>
            <w:sz w:val="14"/>
            <w:szCs w:val="14"/>
            <w:lang w:val="pl-PL" w:eastAsia="en-GB"/>
          </w:rPr>
          <w:t>https://eur-lex.europa.eu/legal-content/EN/TXT/?uri=OJ:L:2020:029:TOC</w:t>
        </w:r>
      </w:hyperlink>
      <w:r w:rsidRPr="00654F6A">
        <w:rPr>
          <w:rStyle w:val="Hyperlink"/>
          <w:sz w:val="14"/>
          <w:szCs w:val="14"/>
          <w:lang w:val="pl-PL" w:eastAsia="en-GB"/>
        </w:rPr>
        <w:t>)</w:t>
      </w:r>
      <w:r w:rsidRPr="00654F6A">
        <w:rPr>
          <w:rFonts w:asciiTheme="minorHAnsi" w:eastAsia="Calibri" w:hAnsiTheme="minorHAnsi" w:cs="Calibri"/>
          <w:bCs/>
          <w:kern w:val="0"/>
          <w:sz w:val="14"/>
          <w:szCs w:val="14"/>
          <w:bdr w:val="nil"/>
          <w:lang w:val="sl-SI"/>
        </w:rPr>
        <w:t>.</w:t>
      </w:r>
    </w:p>
    <w:p w14:paraId="7D39B0F0" w14:textId="5CCD29C0" w:rsidR="00A6094F" w:rsidRPr="001F01BF" w:rsidRDefault="00A6094F" w:rsidP="00FC1B4B">
      <w:pPr>
        <w:pStyle w:val="FootnoteText"/>
        <w:ind w:left="288" w:hanging="288"/>
        <w:rPr>
          <w:rFonts w:asciiTheme="minorHAnsi" w:hAnsiTheme="minorHAnsi"/>
          <w:sz w:val="14"/>
          <w:szCs w:val="14"/>
          <w:lang w:val="sl-SI" w:eastAsia="en-GB"/>
        </w:rPr>
      </w:pPr>
    </w:p>
  </w:footnote>
  <w:footnote w:id="12">
    <w:p w14:paraId="7D39B0F1" w14:textId="77777777" w:rsidR="00A6094F" w:rsidRPr="001F01BF" w:rsidRDefault="00A6094F" w:rsidP="00C15888">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 xml:space="preserve"> </w:t>
      </w:r>
      <w:r w:rsidRPr="001F01BF">
        <w:rPr>
          <w:rFonts w:asciiTheme="minorHAnsi" w:hAnsiTheme="minorHAnsi"/>
          <w:szCs w:val="14"/>
          <w:lang w:val="sl-SI"/>
        </w:rPr>
        <w:tab/>
        <w:t>Merila za upravičenost, oblikovana v Obvestilu Komisije št. 2013/C 205/05 (UL C 205, 19.7.2013, str. 9–11), se uporabljajo za vse ukrepe, ki se izvajajo s tem vodnikom za prijavitelje, vključno v zvezi s tretjimi osebami, ki prejemajo ﬁnančno podporo, kadar posamezni ukrep vključuje ﬁnančno podporo tretjim osebam s strani upravičencev do nepovratnih sredstev, v skladu s členom 204 ﬁnančne uredbe EU.</w:t>
      </w:r>
    </w:p>
  </w:footnote>
  <w:footnote w:id="13">
    <w:p w14:paraId="7D39B0F2" w14:textId="77777777" w:rsidR="00A6094F" w:rsidRPr="001F01BF" w:rsidRDefault="00A6094F" w:rsidP="00264F70">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 xml:space="preserve"> </w:t>
      </w:r>
      <w:r w:rsidRPr="001F01BF">
        <w:rPr>
          <w:rFonts w:asciiTheme="minorHAnsi" w:hAnsiTheme="minorHAnsi"/>
          <w:szCs w:val="14"/>
          <w:lang w:val="sl-SI"/>
        </w:rPr>
        <w:tab/>
        <w:t>To poimenovanje ne posega v stališča glede statusa ter je v skladu z RVSZN 1244 in mnenjem Meddržavnega sodišča o razglasitvi neodvisnosti Kosova.</w:t>
      </w:r>
    </w:p>
  </w:footnote>
  <w:footnote w:id="14">
    <w:p w14:paraId="7D39B0F3" w14:textId="77777777" w:rsidR="00A6094F" w:rsidRPr="001F01BF" w:rsidRDefault="00A6094F" w:rsidP="00264F70">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 xml:space="preserve"> </w:t>
      </w:r>
      <w:r w:rsidRPr="001F01BF">
        <w:rPr>
          <w:rFonts w:asciiTheme="minorHAnsi" w:hAnsiTheme="minorHAnsi"/>
          <w:szCs w:val="14"/>
          <w:lang w:val="sl-SI"/>
        </w:rPr>
        <w:tab/>
        <w:t>To poimenovanje se ne razlaga kot priznanje palestinske države in ne posega v posamezna stališča držav članic glede tega</w:t>
      </w:r>
      <w:r w:rsidRPr="001F01BF">
        <w:rPr>
          <w:rFonts w:asciiTheme="minorHAnsi" w:hAnsiTheme="minorHAnsi"/>
          <w:spacing w:val="1"/>
          <w:szCs w:val="14"/>
          <w:lang w:val="sl-SI"/>
        </w:rPr>
        <w:t xml:space="preserve"> </w:t>
      </w:r>
      <w:r w:rsidRPr="001F01BF">
        <w:rPr>
          <w:rFonts w:asciiTheme="minorHAnsi" w:hAnsiTheme="minorHAnsi"/>
          <w:szCs w:val="14"/>
          <w:lang w:val="sl-SI"/>
        </w:rPr>
        <w:t>vprašanja.</w:t>
      </w:r>
    </w:p>
  </w:footnote>
  <w:footnote w:id="15">
    <w:p w14:paraId="7D39B0F4" w14:textId="77777777" w:rsidR="00A6094F" w:rsidRPr="001F01BF" w:rsidRDefault="00A6094F" w:rsidP="004E621B">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 xml:space="preserve"> </w:t>
      </w:r>
      <w:r w:rsidRPr="001F01BF">
        <w:rPr>
          <w:rFonts w:asciiTheme="minorHAnsi" w:hAnsiTheme="minorHAnsi"/>
          <w:szCs w:val="14"/>
          <w:lang w:val="sl-SI"/>
        </w:rPr>
        <w:tab/>
        <w:t>Razvrstitev, ki se uporablja v okviru instrumenta za razvojno sodelovanje.</w:t>
      </w:r>
    </w:p>
  </w:footnote>
  <w:footnote w:id="16">
    <w:p w14:paraId="7D39B0F5" w14:textId="77777777" w:rsidR="00A6094F" w:rsidRPr="001F01BF" w:rsidRDefault="00A6094F" w:rsidP="004E621B">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 xml:space="preserve"> </w:t>
      </w:r>
      <w:r w:rsidRPr="001F01BF">
        <w:rPr>
          <w:rFonts w:asciiTheme="minorHAnsi" w:hAnsiTheme="minorHAnsi"/>
          <w:szCs w:val="14"/>
          <w:lang w:val="pl-PL"/>
        </w:rPr>
        <w:tab/>
        <w:t>Enako kot</w:t>
      </w:r>
      <w:r w:rsidRPr="001F01BF">
        <w:rPr>
          <w:rFonts w:asciiTheme="minorHAnsi" w:hAnsiTheme="minorHAnsi"/>
          <w:spacing w:val="-1"/>
          <w:szCs w:val="14"/>
          <w:lang w:val="pl-PL"/>
        </w:rPr>
        <w:t xml:space="preserve"> </w:t>
      </w:r>
      <w:r w:rsidRPr="001F01BF">
        <w:rPr>
          <w:rFonts w:asciiTheme="minorHAnsi" w:hAnsiTheme="minorHAnsi"/>
          <w:szCs w:val="14"/>
          <w:lang w:val="pl-PL"/>
        </w:rPr>
        <w:t>zgoraj</w:t>
      </w:r>
    </w:p>
  </w:footnote>
  <w:footnote w:id="17">
    <w:p w14:paraId="7D39B0F6" w14:textId="77777777" w:rsidR="00A6094F" w:rsidRPr="001F01BF" w:rsidRDefault="00A6094F" w:rsidP="004E621B">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 xml:space="preserve"> </w:t>
      </w:r>
      <w:r w:rsidRPr="001F01BF">
        <w:rPr>
          <w:rFonts w:asciiTheme="minorHAnsi" w:hAnsiTheme="minorHAnsi"/>
          <w:szCs w:val="14"/>
          <w:lang w:val="pl-PL"/>
        </w:rPr>
        <w:tab/>
        <w:t>Enako kot</w:t>
      </w:r>
      <w:r w:rsidRPr="001F01BF">
        <w:rPr>
          <w:rFonts w:asciiTheme="minorHAnsi" w:hAnsiTheme="minorHAnsi"/>
          <w:spacing w:val="-1"/>
          <w:szCs w:val="14"/>
          <w:lang w:val="pl-PL"/>
        </w:rPr>
        <w:t xml:space="preserve"> </w:t>
      </w:r>
      <w:r w:rsidRPr="001F01BF">
        <w:rPr>
          <w:rFonts w:asciiTheme="minorHAnsi" w:hAnsiTheme="minorHAnsi"/>
          <w:szCs w:val="14"/>
          <w:lang w:val="pl-PL"/>
        </w:rPr>
        <w:t>zgoraj</w:t>
      </w:r>
    </w:p>
  </w:footnote>
  <w:footnote w:id="18">
    <w:p w14:paraId="7D39B0F7" w14:textId="77777777" w:rsidR="00A6094F" w:rsidRPr="001F01BF" w:rsidRDefault="00A6094F" w:rsidP="004E621B">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 xml:space="preserve"> </w:t>
      </w:r>
      <w:r w:rsidRPr="001F01BF">
        <w:rPr>
          <w:rFonts w:asciiTheme="minorHAnsi" w:hAnsiTheme="minorHAnsi"/>
          <w:szCs w:val="14"/>
          <w:lang w:val="pl-PL"/>
        </w:rPr>
        <w:tab/>
        <w:t>Enako kot</w:t>
      </w:r>
      <w:r w:rsidRPr="001F01BF">
        <w:rPr>
          <w:rFonts w:asciiTheme="minorHAnsi" w:hAnsiTheme="minorHAnsi"/>
          <w:spacing w:val="-1"/>
          <w:szCs w:val="14"/>
          <w:lang w:val="pl-PL"/>
        </w:rPr>
        <w:t xml:space="preserve"> </w:t>
      </w:r>
      <w:r w:rsidRPr="001F01BF">
        <w:rPr>
          <w:rFonts w:asciiTheme="minorHAnsi" w:hAnsiTheme="minorHAnsi"/>
          <w:szCs w:val="14"/>
          <w:lang w:val="pl-PL"/>
        </w:rPr>
        <w:t>zgoraj</w:t>
      </w:r>
    </w:p>
  </w:footnote>
  <w:footnote w:id="19">
    <w:p w14:paraId="7D39B0F8" w14:textId="77777777" w:rsidR="00A6094F" w:rsidRPr="001F01BF" w:rsidRDefault="00A6094F" w:rsidP="004E621B">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 xml:space="preserve"> </w:t>
      </w:r>
      <w:r w:rsidRPr="001F01BF">
        <w:rPr>
          <w:rFonts w:asciiTheme="minorHAnsi" w:hAnsiTheme="minorHAnsi"/>
          <w:szCs w:val="14"/>
          <w:lang w:val="pl-PL"/>
        </w:rPr>
        <w:tab/>
        <w:t>Enako kot</w:t>
      </w:r>
      <w:r w:rsidRPr="001F01BF">
        <w:rPr>
          <w:rFonts w:asciiTheme="minorHAnsi" w:hAnsiTheme="minorHAnsi"/>
          <w:spacing w:val="-1"/>
          <w:szCs w:val="14"/>
          <w:lang w:val="pl-PL"/>
        </w:rPr>
        <w:t xml:space="preserve"> </w:t>
      </w:r>
      <w:r w:rsidRPr="001F01BF">
        <w:rPr>
          <w:rFonts w:asciiTheme="minorHAnsi" w:hAnsiTheme="minorHAnsi"/>
          <w:szCs w:val="14"/>
          <w:lang w:val="pl-PL"/>
        </w:rPr>
        <w:t>zgoraj</w:t>
      </w:r>
    </w:p>
  </w:footnote>
  <w:footnote w:id="20">
    <w:p w14:paraId="7D39B0F9" w14:textId="77777777" w:rsidR="00A6094F" w:rsidRPr="001F01BF" w:rsidRDefault="00A6094F" w:rsidP="004E621B">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 xml:space="preserve"> </w:t>
      </w:r>
      <w:r w:rsidRPr="001F01BF">
        <w:rPr>
          <w:rFonts w:asciiTheme="minorHAnsi" w:hAnsiTheme="minorHAnsi"/>
          <w:szCs w:val="14"/>
          <w:lang w:val="pl-PL"/>
        </w:rPr>
        <w:tab/>
        <w:t>Razvrstitev, ki se uporablja v okviru instrumenta partnerstva</w:t>
      </w:r>
    </w:p>
  </w:footnote>
  <w:footnote w:id="21">
    <w:p w14:paraId="7D39B0FA" w14:textId="77777777" w:rsidR="00A6094F" w:rsidRPr="001F01BF" w:rsidRDefault="00A6094F" w:rsidP="004E621B">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 xml:space="preserve"> </w:t>
      </w:r>
      <w:r w:rsidRPr="001F01BF">
        <w:rPr>
          <w:rFonts w:asciiTheme="minorHAnsi" w:hAnsiTheme="minorHAnsi"/>
          <w:szCs w:val="14"/>
          <w:lang w:val="pl-PL"/>
        </w:rPr>
        <w:tab/>
        <w:t>Razvrstitev,</w:t>
      </w:r>
      <w:r w:rsidRPr="001F01BF">
        <w:rPr>
          <w:rFonts w:asciiTheme="minorHAnsi" w:hAnsiTheme="minorHAnsi"/>
          <w:spacing w:val="11"/>
          <w:szCs w:val="14"/>
          <w:lang w:val="pl-PL"/>
        </w:rPr>
        <w:t xml:space="preserve"> </w:t>
      </w:r>
      <w:r w:rsidRPr="001F01BF">
        <w:rPr>
          <w:rFonts w:asciiTheme="minorHAnsi" w:hAnsiTheme="minorHAnsi"/>
          <w:szCs w:val="14"/>
          <w:lang w:val="pl-PL"/>
        </w:rPr>
        <w:t>ki</w:t>
      </w:r>
      <w:r w:rsidRPr="001F01BF">
        <w:rPr>
          <w:rFonts w:asciiTheme="minorHAnsi" w:hAnsiTheme="minorHAnsi"/>
          <w:spacing w:val="11"/>
          <w:szCs w:val="14"/>
          <w:lang w:val="pl-PL"/>
        </w:rPr>
        <w:t xml:space="preserve"> </w:t>
      </w:r>
      <w:r w:rsidRPr="001F01BF">
        <w:rPr>
          <w:rFonts w:asciiTheme="minorHAnsi" w:hAnsiTheme="minorHAnsi"/>
          <w:szCs w:val="14"/>
          <w:lang w:val="pl-PL"/>
        </w:rPr>
        <w:t>se</w:t>
      </w:r>
      <w:r w:rsidRPr="001F01BF">
        <w:rPr>
          <w:rFonts w:asciiTheme="minorHAnsi" w:hAnsiTheme="minorHAnsi"/>
          <w:spacing w:val="12"/>
          <w:szCs w:val="14"/>
          <w:lang w:val="pl-PL"/>
        </w:rPr>
        <w:t xml:space="preserve"> </w:t>
      </w:r>
      <w:r w:rsidRPr="001F01BF">
        <w:rPr>
          <w:rFonts w:asciiTheme="minorHAnsi" w:hAnsiTheme="minorHAnsi"/>
          <w:szCs w:val="14"/>
          <w:lang w:val="pl-PL"/>
        </w:rPr>
        <w:t>uporablja</w:t>
      </w:r>
      <w:r w:rsidRPr="001F01BF">
        <w:rPr>
          <w:rFonts w:asciiTheme="minorHAnsi" w:hAnsiTheme="minorHAnsi"/>
          <w:spacing w:val="11"/>
          <w:szCs w:val="14"/>
          <w:lang w:val="pl-PL"/>
        </w:rPr>
        <w:t xml:space="preserve"> </w:t>
      </w:r>
      <w:r w:rsidRPr="001F01BF">
        <w:rPr>
          <w:rFonts w:asciiTheme="minorHAnsi" w:hAnsiTheme="minorHAnsi"/>
          <w:szCs w:val="14"/>
          <w:lang w:val="pl-PL"/>
        </w:rPr>
        <w:t>v</w:t>
      </w:r>
      <w:r w:rsidRPr="001F01BF">
        <w:rPr>
          <w:rFonts w:asciiTheme="minorHAnsi" w:hAnsiTheme="minorHAnsi"/>
          <w:spacing w:val="11"/>
          <w:szCs w:val="14"/>
          <w:lang w:val="pl-PL"/>
        </w:rPr>
        <w:t xml:space="preserve"> </w:t>
      </w:r>
      <w:r w:rsidRPr="001F01BF">
        <w:rPr>
          <w:rFonts w:asciiTheme="minorHAnsi" w:hAnsiTheme="minorHAnsi"/>
          <w:szCs w:val="14"/>
          <w:lang w:val="pl-PL"/>
        </w:rPr>
        <w:t>okviru</w:t>
      </w:r>
      <w:r w:rsidRPr="001F01BF">
        <w:rPr>
          <w:rFonts w:asciiTheme="minorHAnsi" w:hAnsiTheme="minorHAnsi"/>
          <w:spacing w:val="11"/>
          <w:szCs w:val="14"/>
          <w:lang w:val="pl-PL"/>
        </w:rPr>
        <w:t xml:space="preserve"> </w:t>
      </w:r>
      <w:r w:rsidRPr="001F01BF">
        <w:rPr>
          <w:rFonts w:asciiTheme="minorHAnsi" w:hAnsiTheme="minorHAnsi"/>
          <w:szCs w:val="14"/>
          <w:lang w:val="pl-PL"/>
        </w:rPr>
        <w:t>instrumenta</w:t>
      </w:r>
      <w:r w:rsidRPr="001F01BF">
        <w:rPr>
          <w:rFonts w:asciiTheme="minorHAnsi" w:hAnsiTheme="minorHAnsi"/>
          <w:spacing w:val="11"/>
          <w:szCs w:val="14"/>
          <w:lang w:val="pl-PL"/>
        </w:rPr>
        <w:t xml:space="preserve"> </w:t>
      </w:r>
      <w:r w:rsidRPr="001F01BF">
        <w:rPr>
          <w:rFonts w:asciiTheme="minorHAnsi" w:hAnsiTheme="minorHAnsi"/>
          <w:szCs w:val="14"/>
          <w:lang w:val="pl-PL"/>
        </w:rPr>
        <w:t>partnerstva</w:t>
      </w:r>
    </w:p>
  </w:footnote>
  <w:footnote w:id="22">
    <w:p w14:paraId="7D39B0FB" w14:textId="77777777" w:rsidR="00A6094F" w:rsidRPr="00137021" w:rsidRDefault="00A6094F" w:rsidP="00FC1B4B">
      <w:pPr>
        <w:pStyle w:val="FootnoteText"/>
        <w:ind w:left="288" w:hanging="288"/>
        <w:rPr>
          <w:lang w:val="pl-PL"/>
        </w:rPr>
      </w:pPr>
      <w:r w:rsidRPr="00137021">
        <w:rPr>
          <w:rStyle w:val="FootnoteReference"/>
          <w:sz w:val="14"/>
          <w:szCs w:val="14"/>
        </w:rPr>
        <w:footnoteRef/>
      </w:r>
      <w:r w:rsidRPr="00137021">
        <w:rPr>
          <w:lang w:val="pl-PL"/>
        </w:rPr>
        <w:t xml:space="preserve"> </w:t>
      </w:r>
      <w:r>
        <w:rPr>
          <w:lang w:val="pl-PL"/>
        </w:rPr>
        <w:tab/>
      </w:r>
      <w:r w:rsidRPr="00284123">
        <w:rPr>
          <w:rStyle w:val="Hyperlink"/>
          <w:rFonts w:asciiTheme="minorHAnsi" w:eastAsia="Calibri" w:hAnsiTheme="minorHAnsi" w:cs="Calibri"/>
          <w:kern w:val="0"/>
          <w:sz w:val="14"/>
          <w:szCs w:val="14"/>
          <w:bdr w:val="nil"/>
          <w:lang w:val="sl-SI"/>
        </w:rPr>
        <w:t>https://ec.europa.eu/europeaid/new-european-consensus-development-our-world-our-dignity-our-future_en</w:t>
      </w:r>
    </w:p>
  </w:footnote>
  <w:footnote w:id="23">
    <w:p w14:paraId="7D39B0FC" w14:textId="77777777" w:rsidR="00A6094F" w:rsidRPr="001F01BF" w:rsidRDefault="00A6094F" w:rsidP="00FC1B4B">
      <w:pPr>
        <w:ind w:left="288" w:hanging="288"/>
        <w:rPr>
          <w:rFonts w:asciiTheme="minorHAnsi" w:hAnsiTheme="minorHAnsi"/>
          <w:sz w:val="14"/>
          <w:szCs w:val="14"/>
          <w:highlight w:val="yellow"/>
          <w:lang w:val="sl-SI"/>
        </w:rPr>
      </w:pPr>
      <w:r w:rsidRPr="001F01BF">
        <w:rPr>
          <w:rFonts w:asciiTheme="minorHAnsi" w:hAnsiTheme="minorHAnsi"/>
          <w:vanish/>
          <w:sz w:val="14"/>
          <w:szCs w:val="14"/>
          <w:vertAlign w:val="superscript"/>
        </w:rPr>
        <w:footnoteRef/>
      </w:r>
      <w:r w:rsidRPr="001F01BF">
        <w:rPr>
          <w:rFonts w:asciiTheme="minorHAnsi" w:hAnsiTheme="minorHAnsi"/>
          <w:vanish/>
          <w:sz w:val="14"/>
          <w:szCs w:val="14"/>
          <w:lang w:val="sl-SI"/>
        </w:rPr>
        <w:t xml:space="preserve"> </w:t>
      </w:r>
      <w:r>
        <w:rPr>
          <w:rFonts w:asciiTheme="minorHAnsi" w:hAnsiTheme="minorHAnsi"/>
          <w:vanish/>
          <w:sz w:val="14"/>
          <w:szCs w:val="14"/>
          <w:lang w:val="sl-SI"/>
        </w:rPr>
        <w:tab/>
      </w:r>
      <w:r w:rsidRPr="001F01BF">
        <w:rPr>
          <w:rFonts w:asciiTheme="minorHAnsi" w:hAnsiTheme="minorHAnsi"/>
          <w:sz w:val="14"/>
          <w:szCs w:val="14"/>
          <w:lang w:val="sl-SI"/>
        </w:rPr>
        <w:t xml:space="preserve">Sporočilo Komisije Evropskemu parlamentu, Svetu, Evropskemu ekonomsko-socialnemu odboru in Odboru regij, Bruselj, 11. </w:t>
      </w:r>
      <w:r w:rsidRPr="00280146">
        <w:rPr>
          <w:rFonts w:asciiTheme="minorHAnsi" w:hAnsiTheme="minorHAnsi"/>
          <w:sz w:val="14"/>
          <w:szCs w:val="14"/>
          <w:lang w:val="sl-SI"/>
        </w:rPr>
        <w:t>7. 2013 COM(2013) 499 končno.</w:t>
      </w:r>
    </w:p>
  </w:footnote>
  <w:footnote w:id="24">
    <w:p w14:paraId="7D39B0FD" w14:textId="77777777" w:rsidR="00A6094F" w:rsidRPr="00284123" w:rsidRDefault="00A6094F" w:rsidP="00137021">
      <w:pPr>
        <w:pStyle w:val="FootnoteText"/>
        <w:rPr>
          <w:lang w:val="sl-SI"/>
        </w:rPr>
      </w:pPr>
    </w:p>
  </w:footnote>
  <w:footnote w:id="25">
    <w:p w14:paraId="7D39B0FE" w14:textId="77777777" w:rsidR="00A6094F" w:rsidRPr="001F01BF" w:rsidRDefault="00A6094F" w:rsidP="00786C32">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280146">
        <w:rPr>
          <w:rFonts w:asciiTheme="minorHAnsi" w:hAnsiTheme="minorHAnsi"/>
          <w:szCs w:val="14"/>
          <w:lang w:val="sl-SI"/>
        </w:rPr>
        <w:t xml:space="preserve"> </w:t>
      </w:r>
      <w:r w:rsidRPr="00280146">
        <w:rPr>
          <w:rFonts w:asciiTheme="minorHAnsi" w:hAnsiTheme="minorHAnsi"/>
          <w:szCs w:val="14"/>
          <w:lang w:val="sl-SI"/>
        </w:rPr>
        <w:tab/>
        <w:t>Udeležba v študijskem programu visokošolske institucije ne šteje kot praksa.</w:t>
      </w:r>
    </w:p>
  </w:footnote>
  <w:footnote w:id="26">
    <w:p w14:paraId="7D39B0FF" w14:textId="77777777" w:rsidR="00A6094F" w:rsidRPr="00860232" w:rsidRDefault="00A6094F" w:rsidP="00FC1B4B">
      <w:pPr>
        <w:pStyle w:val="FootnoteText"/>
        <w:ind w:left="288" w:hanging="288"/>
        <w:rPr>
          <w:lang w:val="sl-SI"/>
        </w:rPr>
      </w:pPr>
      <w:r w:rsidRPr="00FC1B4B">
        <w:rPr>
          <w:rStyle w:val="FootnoteReference"/>
          <w:sz w:val="14"/>
          <w:szCs w:val="14"/>
        </w:rPr>
        <w:footnoteRef/>
      </w:r>
      <w:r w:rsidRPr="00FC1B4B">
        <w:rPr>
          <w:sz w:val="14"/>
          <w:szCs w:val="14"/>
          <w:lang w:val="sl-SI"/>
        </w:rPr>
        <w:t xml:space="preserve"> </w:t>
      </w:r>
      <w:r>
        <w:rPr>
          <w:lang w:val="sl-SI"/>
        </w:rPr>
        <w:tab/>
      </w:r>
      <w:r w:rsidRPr="00860232">
        <w:rPr>
          <w:sz w:val="14"/>
          <w:szCs w:val="14"/>
          <w:lang w:val="sl-SI"/>
        </w:rPr>
        <w:t xml:space="preserve">Vsaka praksa se bo štela za »prakso na področju digitalnih spretnosti«, kadar se praktikant udeleži ene ali več naslednjih aktivnosti: digitalno trženje (npr. upravljanje družbenih medijev, spletna analitika); digitalno grafično in arhitekturno oblikovanje ter strojno projektiranje, razvoj aplikacij, programske opreme, skriptov ali spletišč; namestitev, vzdrževanje ter upravljanje sistemov in omrežij IT; kibernetska varnost, podatkovna analitika in rudarjenje ter vizualizacija podatkov; programiranje in krmiljenje robotov in aplikacij umetne inteligence. V to kategorijo ne spadajo splošna podpora uporabnikom, izpolnjevanje naročil, vnos podatkov ali pisarniška opravila.  </w:t>
      </w:r>
    </w:p>
  </w:footnote>
  <w:footnote w:id="27">
    <w:p w14:paraId="7D39B100" w14:textId="77777777" w:rsidR="00A6094F" w:rsidRPr="001F01BF" w:rsidRDefault="00A6094F" w:rsidP="005B717B">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280146">
        <w:rPr>
          <w:rFonts w:asciiTheme="minorHAnsi" w:hAnsiTheme="minorHAnsi"/>
          <w:szCs w:val="14"/>
          <w:lang w:val="sl-SI"/>
        </w:rPr>
        <w:t xml:space="preserve"> </w:t>
      </w:r>
      <w:r w:rsidRPr="00280146">
        <w:rPr>
          <w:rFonts w:asciiTheme="minorHAnsi" w:hAnsiTheme="minorHAnsi"/>
          <w:szCs w:val="14"/>
          <w:lang w:val="sl-SI"/>
        </w:rPr>
        <w:tab/>
        <w:t xml:space="preserve">Naslednje vrste organizacij niso upravičene do tega, da postanejo organizacije gostiteljice za prakse študentov: institucije in drugi organi EU, vključno s specializiranimi agencijami (podroben seznam je na voljo na spletišču </w:t>
      </w:r>
      <w:hyperlink r:id="rId7" w:history="1">
        <w:r w:rsidRPr="00280146">
          <w:rPr>
            <w:rStyle w:val="Hyperlink"/>
            <w:rFonts w:asciiTheme="minorHAnsi" w:hAnsiTheme="minorHAnsi"/>
            <w:szCs w:val="14"/>
            <w:lang w:val="sl-SI"/>
          </w:rPr>
          <w:t>https://europa.eu/european-union/about-eu/institutions-bodies_en</w:t>
        </w:r>
      </w:hyperlink>
      <w:r w:rsidRPr="00280146">
        <w:rPr>
          <w:rFonts w:asciiTheme="minorHAnsi" w:hAnsiTheme="minorHAnsi"/>
          <w:color w:val="000000"/>
          <w:szCs w:val="14"/>
          <w:lang w:val="sl-SI"/>
        </w:rPr>
        <w:t>); organizacije, ki upravljajo programe EU, na</w:t>
      </w:r>
      <w:r w:rsidRPr="00280146">
        <w:rPr>
          <w:rFonts w:asciiTheme="minorHAnsi" w:hAnsiTheme="minorHAnsi"/>
          <w:color w:val="407BAA"/>
          <w:szCs w:val="14"/>
          <w:lang w:val="sl-SI"/>
        </w:rPr>
        <w:t xml:space="preserve"> </w:t>
      </w:r>
      <w:r w:rsidRPr="00280146">
        <w:rPr>
          <w:rFonts w:asciiTheme="minorHAnsi" w:hAnsiTheme="minorHAnsi"/>
          <w:szCs w:val="14"/>
          <w:lang w:val="sl-SI"/>
        </w:rPr>
        <w:t>primer nacionalne agencije Erasmus+ (da ne prihaja do morebitnega navzkrižja interesov in/ali dvojne dodelitve sredstev).</w:t>
      </w:r>
    </w:p>
  </w:footnote>
  <w:footnote w:id="28">
    <w:p w14:paraId="7D39B101" w14:textId="77777777" w:rsidR="00A6094F" w:rsidRPr="001F01BF" w:rsidRDefault="00A6094F" w:rsidP="00786C32">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280146">
        <w:rPr>
          <w:rFonts w:asciiTheme="minorHAnsi" w:hAnsiTheme="minorHAnsi"/>
          <w:szCs w:val="14"/>
          <w:lang w:val="sl-SI"/>
        </w:rPr>
        <w:t xml:space="preserve"> </w:t>
      </w:r>
      <w:r w:rsidRPr="00280146">
        <w:rPr>
          <w:rFonts w:asciiTheme="minorHAnsi" w:hAnsiTheme="minorHAnsi"/>
          <w:szCs w:val="14"/>
          <w:lang w:val="sl-SI"/>
        </w:rPr>
        <w:tab/>
        <w:t>Študijsko obdobje traja vsaj 3 mesece oziroma 1 študijski semester ali trimesečje.</w:t>
      </w:r>
    </w:p>
  </w:footnote>
  <w:footnote w:id="29">
    <w:p w14:paraId="7D39B102" w14:textId="77777777" w:rsidR="00A6094F" w:rsidRPr="001F01BF" w:rsidRDefault="00A6094F" w:rsidP="00786C32">
      <w:pPr>
        <w:pStyle w:val="Guide-Footnote"/>
        <w:rPr>
          <w:rFonts w:asciiTheme="minorHAnsi" w:hAnsiTheme="minorHAnsi"/>
          <w:kern w:val="0"/>
          <w:szCs w:val="14"/>
          <w:lang w:val="sl-SI" w:eastAsia="fr-FR"/>
        </w:rPr>
      </w:pPr>
      <w:r w:rsidRPr="001F01BF">
        <w:rPr>
          <w:rStyle w:val="FootnoteReference"/>
          <w:rFonts w:asciiTheme="minorHAnsi" w:hAnsiTheme="minorHAnsi"/>
          <w:szCs w:val="14"/>
        </w:rPr>
        <w:footnoteRef/>
      </w:r>
      <w:r w:rsidRPr="00280146">
        <w:rPr>
          <w:rFonts w:asciiTheme="minorHAnsi" w:hAnsiTheme="minorHAnsi"/>
          <w:szCs w:val="14"/>
          <w:lang w:val="sl-SI"/>
        </w:rPr>
        <w:t xml:space="preserve"> </w:t>
      </w:r>
      <w:r w:rsidRPr="00280146">
        <w:rPr>
          <w:rFonts w:asciiTheme="minorHAnsi" w:hAnsiTheme="minorHAnsi"/>
          <w:szCs w:val="14"/>
          <w:lang w:val="sl-SI"/>
        </w:rPr>
        <w:tab/>
        <w:t xml:space="preserve">Pretekle izkušnje v okviru programa Erasmus Vseživljenjsko učenje in/ali štipendije programa Erasmus Mundus </w:t>
      </w:r>
      <w:r w:rsidRPr="00280146">
        <w:rPr>
          <w:rFonts w:asciiTheme="minorHAnsi" w:hAnsiTheme="minorHAnsi"/>
          <w:szCs w:val="14"/>
          <w:lang w:val="sl-SI" w:eastAsia="fr-FR"/>
        </w:rPr>
        <w:t>se upoštevajo v 12-mesečnem obdobju na cikel študija.</w:t>
      </w:r>
    </w:p>
  </w:footnote>
  <w:footnote w:id="30">
    <w:p w14:paraId="7D39B103" w14:textId="77777777" w:rsidR="00A6094F" w:rsidRPr="001F01BF" w:rsidRDefault="00A6094F" w:rsidP="00786C32">
      <w:pPr>
        <w:pStyle w:val="Guide-Footnote"/>
        <w:rPr>
          <w:rFonts w:asciiTheme="minorHAnsi" w:hAnsiTheme="minorHAnsi"/>
          <w:kern w:val="0"/>
          <w:szCs w:val="14"/>
          <w:lang w:val="sl-SI" w:eastAsia="fr-FR"/>
        </w:rPr>
      </w:pPr>
      <w:r w:rsidRPr="001F01BF">
        <w:rPr>
          <w:rStyle w:val="FootnoteReference"/>
          <w:rFonts w:asciiTheme="minorHAnsi" w:hAnsiTheme="minorHAnsi"/>
          <w:szCs w:val="14"/>
        </w:rPr>
        <w:footnoteRef/>
      </w:r>
      <w:r w:rsidRPr="00280146">
        <w:rPr>
          <w:rFonts w:asciiTheme="minorHAnsi" w:hAnsiTheme="minorHAnsi"/>
          <w:szCs w:val="14"/>
          <w:lang w:val="sl-SI"/>
        </w:rPr>
        <w:t xml:space="preserve"> </w:t>
      </w:r>
      <w:r w:rsidRPr="00280146">
        <w:rPr>
          <w:rFonts w:asciiTheme="minorHAnsi" w:hAnsiTheme="minorHAnsi"/>
          <w:szCs w:val="14"/>
          <w:lang w:val="sl-SI"/>
        </w:rPr>
        <w:tab/>
        <w:t xml:space="preserve">V primeru enovitih študijskih programov, na primer medicine, lahko obdobja mobilnosti študentov trajajo </w:t>
      </w:r>
      <w:r w:rsidRPr="00280146">
        <w:rPr>
          <w:rFonts w:asciiTheme="minorHAnsi" w:hAnsiTheme="minorHAnsi"/>
          <w:kern w:val="0"/>
          <w:szCs w:val="14"/>
          <w:lang w:val="sl-SI" w:eastAsia="fr-FR"/>
        </w:rPr>
        <w:t>največ 24 mesecev.</w:t>
      </w:r>
    </w:p>
  </w:footnote>
  <w:footnote w:id="31">
    <w:p w14:paraId="7D39B104" w14:textId="77777777" w:rsidR="00A6094F" w:rsidRPr="001F01BF" w:rsidRDefault="00A6094F" w:rsidP="00F92844">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280146">
        <w:rPr>
          <w:rFonts w:asciiTheme="minorHAnsi" w:hAnsiTheme="minorHAnsi"/>
          <w:szCs w:val="14"/>
          <w:lang w:val="sl-SI"/>
        </w:rPr>
        <w:t xml:space="preserve"> </w:t>
      </w:r>
      <w:r w:rsidRPr="00280146">
        <w:rPr>
          <w:rFonts w:asciiTheme="minorHAnsi" w:hAnsiTheme="minorHAnsi"/>
          <w:szCs w:val="14"/>
          <w:lang w:val="sl-SI"/>
        </w:rPr>
        <w:tab/>
        <w:t>V primeru satelitskih kampusov, ki so odvisni od matične institucije in nosilci iste ECHE, se za državo pošiljateljico šteje država, v kateri ima matična institucija sedež. Zato ni mogoče organizirati aktivnosti mobilnosti programa Erasmus+ med satelitskimi kampusi in matično institucijo, ki so nosilci iste ECHE.</w:t>
      </w:r>
    </w:p>
  </w:footnote>
  <w:footnote w:id="32">
    <w:p w14:paraId="7D39B105" w14:textId="77777777" w:rsidR="00A6094F" w:rsidRPr="001F01BF" w:rsidRDefault="00A6094F" w:rsidP="00F92844">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280146">
        <w:rPr>
          <w:rFonts w:asciiTheme="minorHAnsi" w:hAnsiTheme="minorHAnsi"/>
          <w:szCs w:val="14"/>
          <w:lang w:val="sl-SI"/>
        </w:rPr>
        <w:tab/>
        <w:t xml:space="preserve">Zgolj informativne narave. Predmet določb spremenjenega partnerskega sporazuma iz Cotonouja in večletnega </w:t>
      </w:r>
      <w:r w:rsidRPr="00280146">
        <w:rPr>
          <w:rFonts w:asciiTheme="minorHAnsi" w:hAnsiTheme="minorHAnsi"/>
          <w:kern w:val="0"/>
          <w:szCs w:val="14"/>
          <w:lang w:val="sl-SI" w:eastAsia="fr-FR"/>
        </w:rPr>
        <w:t>finančnega okvira 2014–2020.</w:t>
      </w:r>
    </w:p>
  </w:footnote>
  <w:footnote w:id="33">
    <w:p w14:paraId="7D39B106" w14:textId="77777777" w:rsidR="00A6094F" w:rsidRPr="001F01BF" w:rsidRDefault="00A6094F" w:rsidP="00F92844">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280146">
        <w:rPr>
          <w:rFonts w:asciiTheme="minorHAnsi" w:hAnsiTheme="minorHAnsi"/>
          <w:szCs w:val="14"/>
          <w:lang w:val="sl-SI"/>
        </w:rPr>
        <w:tab/>
        <w:t>Glej poglavje „Upravičene države“ v delu A tega vodnika.</w:t>
      </w:r>
    </w:p>
  </w:footnote>
  <w:footnote w:id="34">
    <w:p w14:paraId="7D39B107" w14:textId="77777777" w:rsidR="00A6094F" w:rsidRPr="001F01BF" w:rsidRDefault="00A6094F" w:rsidP="00F92844">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280146">
        <w:rPr>
          <w:rFonts w:asciiTheme="minorHAnsi" w:hAnsiTheme="minorHAnsi"/>
          <w:szCs w:val="14"/>
          <w:lang w:val="sl-SI"/>
        </w:rPr>
        <w:t xml:space="preserve"> </w:t>
      </w:r>
      <w:r w:rsidRPr="00280146">
        <w:rPr>
          <w:rFonts w:asciiTheme="minorHAnsi" w:hAnsiTheme="minorHAnsi"/>
          <w:szCs w:val="14"/>
          <w:lang w:val="sl-SI"/>
        </w:rPr>
        <w:tab/>
        <w:t>Mobilnost v obe smeri.</w:t>
      </w:r>
    </w:p>
  </w:footnote>
  <w:footnote w:id="35">
    <w:p w14:paraId="7D39B108" w14:textId="77777777" w:rsidR="00A6094F" w:rsidRPr="001F01BF" w:rsidRDefault="00A6094F" w:rsidP="00F92844">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280146">
        <w:rPr>
          <w:rFonts w:asciiTheme="minorHAnsi" w:hAnsiTheme="minorHAnsi"/>
          <w:szCs w:val="14"/>
          <w:lang w:val="sl-SI"/>
        </w:rPr>
        <w:t xml:space="preserve"> </w:t>
      </w:r>
      <w:r w:rsidRPr="00280146">
        <w:rPr>
          <w:rFonts w:asciiTheme="minorHAnsi" w:hAnsiTheme="minorHAnsi"/>
          <w:szCs w:val="14"/>
          <w:lang w:val="sl-SI"/>
        </w:rPr>
        <w:tab/>
        <w:t xml:space="preserve">Glede na razdaljo poti na udeleženca. Razdaljo je treba izračunati s kalkulatorjem razdalje, ki ga podpira </w:t>
      </w:r>
      <w:r w:rsidRPr="00280146">
        <w:rPr>
          <w:rFonts w:asciiTheme="minorHAnsi" w:hAnsiTheme="minorHAnsi"/>
          <w:color w:val="000000"/>
          <w:szCs w:val="14"/>
          <w:lang w:val="sl-SI"/>
        </w:rPr>
        <w:t>Evropska komisija (</w:t>
      </w:r>
      <w:r w:rsidRPr="00280146">
        <w:rPr>
          <w:rStyle w:val="Hyperlink"/>
          <w:rFonts w:asciiTheme="minorHAnsi" w:hAnsiTheme="minorHAnsi"/>
          <w:szCs w:val="14"/>
          <w:lang w:val="sl-SI"/>
        </w:rPr>
        <w:t>http://ec.europa.eu/programmes/erasmus-plus/tools/distance_sl.htm</w:t>
      </w:r>
      <w:r w:rsidRPr="00280146">
        <w:rPr>
          <w:rFonts w:asciiTheme="minorHAnsi" w:hAnsiTheme="minorHAnsi"/>
          <w:color w:val="000000"/>
          <w:szCs w:val="14"/>
          <w:lang w:val="sl-SI"/>
        </w:rPr>
        <w:t>). Razdaljo enosmerne</w:t>
      </w:r>
      <w:r w:rsidRPr="00280146">
        <w:rPr>
          <w:rFonts w:asciiTheme="minorHAnsi" w:hAnsiTheme="minorHAnsi"/>
          <w:color w:val="407BAA"/>
          <w:szCs w:val="14"/>
          <w:lang w:val="sl-SI"/>
        </w:rPr>
        <w:t xml:space="preserve"> </w:t>
      </w:r>
      <w:r w:rsidRPr="00280146">
        <w:rPr>
          <w:rFonts w:asciiTheme="minorHAnsi" w:hAnsiTheme="minorHAnsi"/>
          <w:szCs w:val="14"/>
          <w:lang w:val="sl-SI"/>
        </w:rPr>
        <w:t xml:space="preserve">poti je treba uporabiti za izračun </w:t>
      </w:r>
      <w:r w:rsidRPr="00280146">
        <w:rPr>
          <w:rFonts w:asciiTheme="minorHAnsi" w:hAnsiTheme="minorHAnsi"/>
          <w:szCs w:val="14"/>
          <w:lang w:val="sl-SI"/>
        </w:rPr>
        <w:br/>
        <w:t>zneska nepovratnih sredstev EU za kritje povratne poti.</w:t>
      </w:r>
    </w:p>
  </w:footnote>
  <w:footnote w:id="36">
    <w:p w14:paraId="7D39B109" w14:textId="77777777" w:rsidR="00A6094F" w:rsidRPr="001F01BF" w:rsidRDefault="00A6094F" w:rsidP="00F92844">
      <w:pPr>
        <w:pStyle w:val="Guide-Footnote"/>
        <w:rPr>
          <w:rFonts w:asciiTheme="minorHAnsi" w:hAnsiTheme="minorHAnsi"/>
          <w:kern w:val="0"/>
          <w:szCs w:val="14"/>
          <w:lang w:val="sl-SI" w:eastAsia="fr-FR"/>
        </w:rPr>
      </w:pPr>
      <w:r w:rsidRPr="001F01BF">
        <w:rPr>
          <w:rStyle w:val="FootnoteReference"/>
          <w:rFonts w:asciiTheme="minorHAnsi" w:hAnsiTheme="minorHAnsi"/>
          <w:szCs w:val="14"/>
        </w:rPr>
        <w:footnoteRef/>
      </w:r>
      <w:r w:rsidRPr="00280146">
        <w:rPr>
          <w:rFonts w:asciiTheme="minorHAnsi" w:hAnsiTheme="minorHAnsi"/>
          <w:szCs w:val="14"/>
          <w:lang w:val="sl-SI"/>
        </w:rPr>
        <w:t xml:space="preserve"> </w:t>
      </w:r>
      <w:r w:rsidRPr="00280146">
        <w:rPr>
          <w:rFonts w:asciiTheme="minorHAnsi" w:hAnsiTheme="minorHAnsi"/>
          <w:szCs w:val="14"/>
          <w:lang w:val="sl-SI"/>
        </w:rPr>
        <w:tab/>
        <w:t>Glede na razdaljo poti na udeleženca. Razdaljo je treba izračunati s kalkulatorjem razdalje, ki ga podpira Evropska komisija (</w:t>
      </w:r>
      <w:r w:rsidRPr="00280146">
        <w:rPr>
          <w:rStyle w:val="Hyperlink"/>
          <w:rFonts w:asciiTheme="minorHAnsi" w:hAnsiTheme="minorHAnsi"/>
          <w:szCs w:val="14"/>
          <w:lang w:val="sl-SI"/>
        </w:rPr>
        <w:t>http://ec.europa.eu/programmes/erasmus-plus/tools/distance_sl.htm</w:t>
      </w:r>
      <w:r w:rsidRPr="00280146">
        <w:rPr>
          <w:rFonts w:asciiTheme="minorHAnsi" w:hAnsiTheme="minorHAnsi"/>
          <w:szCs w:val="14"/>
          <w:lang w:val="sl-SI"/>
        </w:rPr>
        <w:t xml:space="preserve">). Razdaljo enosmerne poti je treba uporabiti za izračun </w:t>
      </w:r>
      <w:r w:rsidRPr="00280146">
        <w:rPr>
          <w:rFonts w:asciiTheme="minorHAnsi" w:hAnsiTheme="minorHAnsi"/>
          <w:szCs w:val="14"/>
          <w:lang w:val="sl-SI"/>
        </w:rPr>
        <w:br/>
        <w:t>zneska nepovratnih sredstev EU za kritje povratne poti.</w:t>
      </w:r>
    </w:p>
  </w:footnote>
  <w:footnote w:id="37">
    <w:p w14:paraId="7D39B10A" w14:textId="77777777" w:rsidR="00A6094F" w:rsidRPr="001F01BF" w:rsidRDefault="00A6094F" w:rsidP="008E7BA0">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280146">
        <w:rPr>
          <w:rFonts w:asciiTheme="minorHAnsi" w:hAnsiTheme="minorHAnsi"/>
          <w:szCs w:val="14"/>
          <w:lang w:val="sl-SI"/>
        </w:rPr>
        <w:t xml:space="preserve"> </w:t>
      </w:r>
      <w:r w:rsidRPr="00280146">
        <w:rPr>
          <w:rFonts w:asciiTheme="minorHAnsi" w:hAnsiTheme="minorHAnsi"/>
          <w:szCs w:val="14"/>
          <w:lang w:val="sl-SI"/>
        </w:rPr>
        <w:tab/>
      </w:r>
      <w:r w:rsidRPr="00280146">
        <w:rPr>
          <w:rStyle w:val="Hyperlink"/>
          <w:rFonts w:asciiTheme="minorHAnsi" w:hAnsiTheme="minorHAnsi"/>
          <w:szCs w:val="14"/>
          <w:lang w:val="sl-SI"/>
        </w:rPr>
        <w:t>http://ec.europa.eu/programmes/erasmus-plus/tools/distance_sl.htm</w:t>
      </w:r>
    </w:p>
  </w:footnote>
  <w:footnote w:id="38">
    <w:p w14:paraId="7D39B10B" w14:textId="77777777" w:rsidR="00A6094F" w:rsidRPr="001F01BF" w:rsidRDefault="00A6094F" w:rsidP="008E7BA0">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280146">
        <w:rPr>
          <w:rFonts w:asciiTheme="minorHAnsi" w:hAnsiTheme="minorHAnsi"/>
          <w:szCs w:val="14"/>
          <w:lang w:val="sl-SI"/>
        </w:rPr>
        <w:t xml:space="preserve"> </w:t>
      </w:r>
      <w:r w:rsidRPr="00280146">
        <w:rPr>
          <w:rFonts w:asciiTheme="minorHAnsi" w:hAnsiTheme="minorHAnsi"/>
          <w:szCs w:val="14"/>
          <w:lang w:val="sl-SI"/>
        </w:rPr>
        <w:tab/>
        <w:t>Na primer, če oseba iz Madrida (Španija) sodeluje pri aktivnosti, ki se izvaja v Rimu (Italija), bo prijavitelj (a) izračunal razdaljo od Madrida do Rima (1 365,28 km), (b) izbral ustrezen razpon razdalje poti (tj. od 500 do 1 999 km) ter (c) izračunal nepovratna sredstva EU za kritje stroškov poti udeleženca iz Madrida do Rima in nazaj (275 EUR).</w:t>
      </w:r>
    </w:p>
  </w:footnote>
  <w:footnote w:id="39">
    <w:p w14:paraId="7D39B10C" w14:textId="77777777" w:rsidR="00A6094F" w:rsidRPr="001F01BF" w:rsidRDefault="00A6094F" w:rsidP="00FC1B4B">
      <w:pPr>
        <w:pStyle w:val="FootnoteText"/>
        <w:ind w:left="288" w:hanging="288"/>
        <w:rPr>
          <w:rFonts w:asciiTheme="minorHAnsi" w:eastAsia="Calibri" w:hAnsiTheme="minorHAnsi" w:cs="Calibri"/>
          <w:sz w:val="14"/>
          <w:szCs w:val="14"/>
          <w:bdr w:val="nil"/>
          <w:lang w:val="sl-SI"/>
        </w:rPr>
      </w:pPr>
      <w:r w:rsidRPr="001F01BF">
        <w:rPr>
          <w:rStyle w:val="FootnoteReference"/>
          <w:rFonts w:asciiTheme="minorHAnsi" w:hAnsiTheme="minorHAnsi"/>
          <w:sz w:val="14"/>
          <w:szCs w:val="14"/>
        </w:rPr>
        <w:footnoteRef/>
      </w:r>
      <w:r w:rsidRPr="001F01BF">
        <w:rPr>
          <w:rFonts w:asciiTheme="minorHAnsi" w:eastAsia="Calibri" w:hAnsiTheme="minorHAnsi" w:cs="Calibri"/>
          <w:sz w:val="14"/>
          <w:szCs w:val="14"/>
          <w:bdr w:val="nil"/>
          <w:lang w:val="sl-SI"/>
        </w:rPr>
        <w:t xml:space="preserve"> </w:t>
      </w:r>
      <w:r>
        <w:rPr>
          <w:rFonts w:asciiTheme="minorHAnsi" w:eastAsia="Calibri" w:hAnsiTheme="minorHAnsi" w:cs="Calibri"/>
          <w:sz w:val="14"/>
          <w:szCs w:val="14"/>
          <w:bdr w:val="nil"/>
          <w:lang w:val="sl-SI"/>
        </w:rPr>
        <w:tab/>
      </w:r>
      <w:r w:rsidRPr="001F01BF">
        <w:rPr>
          <w:rFonts w:asciiTheme="minorHAnsi" w:eastAsia="Calibri" w:hAnsiTheme="minorHAnsi" w:cs="Calibri"/>
          <w:sz w:val="14"/>
          <w:szCs w:val="14"/>
          <w:bdr w:val="nil"/>
          <w:lang w:val="sl-SI"/>
        </w:rPr>
        <w:t>Za podrobnejši opis oseb z manj priložnostmi glejte del A tega vodnika – poglavje „Enakost in vključevanje“</w:t>
      </w:r>
    </w:p>
  </w:footnote>
  <w:footnote w:id="40">
    <w:p w14:paraId="7D39B10D" w14:textId="77777777" w:rsidR="00A6094F" w:rsidRPr="001F01BF" w:rsidRDefault="00A6094F" w:rsidP="00EA3D97">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Za več informacij o listini glej poglavje „Listina Erasmus+ za mobilnost v PIU“ in Prilogo I k temu vodniku.</w:t>
      </w:r>
    </w:p>
  </w:footnote>
  <w:footnote w:id="41">
    <w:p w14:paraId="7D39B10E" w14:textId="77777777" w:rsidR="00A6094F" w:rsidRPr="001F01BF" w:rsidRDefault="00A6094F" w:rsidP="00EA3D97">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 xml:space="preserve"> </w:t>
      </w:r>
      <w:r w:rsidRPr="001F01BF">
        <w:rPr>
          <w:rFonts w:asciiTheme="minorHAnsi" w:hAnsiTheme="minorHAnsi"/>
          <w:szCs w:val="14"/>
          <w:lang w:val="sl-SI"/>
        </w:rPr>
        <w:tab/>
      </w:r>
      <w:hyperlink r:id="rId8">
        <w:r w:rsidRPr="001F01BF">
          <w:rPr>
            <w:rStyle w:val="Hyperlink"/>
            <w:rFonts w:asciiTheme="minorHAnsi" w:hAnsiTheme="minorHAnsi"/>
            <w:szCs w:val="14"/>
            <w:lang w:val="sl-SI"/>
          </w:rPr>
          <w:t>https://ec.europa.eu/programmes/erasmus-plus/resources/distance-calculator_sl</w:t>
        </w:r>
      </w:hyperlink>
    </w:p>
  </w:footnote>
  <w:footnote w:id="42">
    <w:p w14:paraId="7D39B10F" w14:textId="77777777" w:rsidR="00A6094F" w:rsidRPr="001F01BF" w:rsidRDefault="00A6094F" w:rsidP="00EA3D97">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 xml:space="preserve"> </w:t>
      </w:r>
      <w:r w:rsidRPr="001F01BF">
        <w:rPr>
          <w:rFonts w:asciiTheme="minorHAnsi" w:hAnsiTheme="minorHAnsi"/>
          <w:szCs w:val="14"/>
          <w:lang w:val="sl-SI"/>
        </w:rPr>
        <w:tab/>
      </w:r>
      <w:r w:rsidRPr="001F01BF">
        <w:rPr>
          <w:rFonts w:asciiTheme="minorHAnsi" w:hAnsiTheme="minorHAnsi"/>
          <w:w w:val="105"/>
          <w:szCs w:val="14"/>
          <w:lang w:val="sl-SI"/>
        </w:rPr>
        <w:t>Na primer, če oseba iz Madrida (Španija) sodeluje pri aktivnosti, ki se izvaja v Rimu (Italija), bo prijavitelj</w:t>
      </w:r>
      <w:r w:rsidRPr="001F01BF">
        <w:rPr>
          <w:rFonts w:asciiTheme="minorHAnsi" w:hAnsiTheme="minorHAnsi"/>
          <w:szCs w:val="14"/>
          <w:lang w:val="sl-SI"/>
        </w:rPr>
        <w:t xml:space="preserve"> </w:t>
      </w:r>
      <w:r w:rsidRPr="001F01BF">
        <w:rPr>
          <w:rFonts w:asciiTheme="minorHAnsi" w:hAnsiTheme="minorHAnsi"/>
          <w:szCs w:val="14"/>
          <w:lang w:val="sl-SI"/>
        </w:rPr>
        <w:br/>
        <w:t xml:space="preserve">a) izračunal razdaljo od Madrida do Rima (1 365,28 km); </w:t>
      </w:r>
      <w:r w:rsidRPr="001F01BF">
        <w:rPr>
          <w:rFonts w:asciiTheme="minorHAnsi" w:hAnsiTheme="minorHAnsi"/>
          <w:szCs w:val="14"/>
          <w:lang w:val="sl-SI"/>
        </w:rPr>
        <w:br/>
        <w:t xml:space="preserve">b) izbral ustrezen razpon razdalje poti (tj. od 500 do 1 999 km) ter </w:t>
      </w:r>
      <w:r w:rsidRPr="001F01BF">
        <w:rPr>
          <w:rFonts w:asciiTheme="minorHAnsi" w:hAnsiTheme="minorHAnsi"/>
          <w:szCs w:val="14"/>
          <w:lang w:val="sl-SI"/>
        </w:rPr>
        <w:br/>
        <w:t>c) izračunal nepovratna sredstva EU za kritje stroškov poti udeleženca iz Madrida do Rima in nazaj (275 EUR).</w:t>
      </w:r>
    </w:p>
  </w:footnote>
  <w:footnote w:id="43">
    <w:p w14:paraId="7D39B110" w14:textId="77777777" w:rsidR="00A6094F" w:rsidRPr="001F01BF" w:rsidRDefault="00A6094F" w:rsidP="00122DE1">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 xml:space="preserve"> </w:t>
      </w:r>
      <w:r>
        <w:rPr>
          <w:rFonts w:asciiTheme="minorHAnsi" w:hAnsiTheme="minorHAnsi"/>
          <w:szCs w:val="14"/>
          <w:lang w:val="sl-SI"/>
        </w:rPr>
        <w:tab/>
      </w:r>
      <w:r w:rsidRPr="001F01BF">
        <w:rPr>
          <w:rFonts w:asciiTheme="minorHAnsi" w:hAnsiTheme="minorHAnsi"/>
          <w:szCs w:val="14"/>
          <w:lang w:val="sl-SI"/>
        </w:rPr>
        <w:t xml:space="preserve">V primeru spremljevalcev se uporabljajo zneski za osebje PIU. Glej proračunsko postavko „Individualna podpora“ v poglavju C) Dodatna sredstva v zvezi z mobilnostjo osebja v poklicnem izobraževanju in usposabljanju. </w:t>
      </w:r>
      <w:r w:rsidRPr="001F01BF">
        <w:rPr>
          <w:rFonts w:asciiTheme="minorHAnsi" w:eastAsia="Calibri" w:hAnsiTheme="minorHAnsi" w:cs="Calibri"/>
          <w:kern w:val="0"/>
          <w:szCs w:val="14"/>
          <w:bdr w:val="nil"/>
          <w:lang w:val="sl-SI" w:eastAsia="zh-CN"/>
        </w:rPr>
        <w:t>V izjemnih primerih, ko mora spremljevalec ostati v tujini več kot 60 dni, bodo v proračunski postavki „Podpora za posebne potrebe“ zajeti tudi dodatni stroški bivanja, ki presegajo 60 dni.</w:t>
      </w:r>
    </w:p>
  </w:footnote>
  <w:footnote w:id="44">
    <w:p w14:paraId="7D39B111" w14:textId="77777777" w:rsidR="00A6094F" w:rsidRPr="001F01BF" w:rsidRDefault="00A6094F" w:rsidP="005B717B">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 xml:space="preserve"> </w:t>
      </w:r>
      <w:r>
        <w:rPr>
          <w:rFonts w:asciiTheme="minorHAnsi" w:hAnsiTheme="minorHAnsi"/>
          <w:szCs w:val="14"/>
          <w:lang w:val="sl-SI"/>
        </w:rPr>
        <w:tab/>
      </w:r>
      <w:r w:rsidRPr="001F01BF">
        <w:rPr>
          <w:rFonts w:asciiTheme="minorHAnsi" w:hAnsiTheme="minorHAnsi"/>
          <w:szCs w:val="14"/>
          <w:lang w:val="sl-SI"/>
        </w:rPr>
        <w:t xml:space="preserve">Glej seznam upravičenih </w:t>
      </w:r>
      <w:r w:rsidRPr="001F01BF">
        <w:rPr>
          <w:rStyle w:val="shorttext"/>
          <w:rFonts w:asciiTheme="minorHAnsi" w:hAnsiTheme="minorHAnsi"/>
          <w:szCs w:val="14"/>
          <w:lang w:val="sl-SI"/>
        </w:rPr>
        <w:t>šole</w:t>
      </w:r>
      <w:r w:rsidRPr="001F01BF">
        <w:rPr>
          <w:rFonts w:asciiTheme="minorHAnsi" w:hAnsiTheme="minorHAnsi"/>
          <w:szCs w:val="14"/>
          <w:lang w:val="sl-SI"/>
        </w:rPr>
        <w:t xml:space="preserve"> v vsaki državi. Za več informacij se obrnite na nacionalno agencijo v državi.</w:t>
      </w:r>
    </w:p>
  </w:footnote>
  <w:footnote w:id="45">
    <w:p w14:paraId="7D39B112" w14:textId="77777777" w:rsidR="00A6094F" w:rsidRPr="001F01BF" w:rsidRDefault="00A6094F" w:rsidP="00FC1B4B">
      <w:pPr>
        <w:pStyle w:val="FootnoteText"/>
        <w:ind w:left="288" w:hanging="288"/>
        <w:rPr>
          <w:rFonts w:asciiTheme="minorHAnsi" w:hAnsiTheme="minorHAnsi"/>
          <w:sz w:val="14"/>
          <w:szCs w:val="14"/>
          <w:lang w:val="sl-SI"/>
        </w:rPr>
      </w:pPr>
      <w:r w:rsidRPr="001F01BF">
        <w:rPr>
          <w:rStyle w:val="FootnoteReference"/>
          <w:rFonts w:asciiTheme="minorHAnsi" w:hAnsiTheme="minorHAnsi"/>
          <w:sz w:val="14"/>
          <w:szCs w:val="14"/>
        </w:rPr>
        <w:footnoteRef/>
      </w:r>
      <w:r w:rsidRPr="001F01BF">
        <w:rPr>
          <w:rFonts w:asciiTheme="minorHAnsi" w:hAnsiTheme="minorHAnsi"/>
          <w:sz w:val="14"/>
          <w:szCs w:val="14"/>
          <w:lang w:val="sl-SI"/>
        </w:rPr>
        <w:t xml:space="preserve"> </w:t>
      </w:r>
      <w:r>
        <w:rPr>
          <w:rFonts w:asciiTheme="minorHAnsi" w:hAnsiTheme="minorHAnsi"/>
          <w:sz w:val="14"/>
          <w:szCs w:val="14"/>
          <w:lang w:val="sl-SI"/>
        </w:rPr>
        <w:tab/>
      </w:r>
      <w:r w:rsidRPr="001F01BF">
        <w:rPr>
          <w:rFonts w:asciiTheme="minorHAnsi" w:hAnsiTheme="minorHAnsi"/>
          <w:sz w:val="14"/>
          <w:szCs w:val="14"/>
          <w:lang w:val="sl-SI"/>
        </w:rPr>
        <w:t>Glej seznam upravičenih organizacij v vsaki državi. Za več informacij se obrnite na nacionalno agencijo v državi.</w:t>
      </w:r>
    </w:p>
  </w:footnote>
  <w:footnote w:id="46">
    <w:p w14:paraId="7D39B113" w14:textId="77777777" w:rsidR="00A6094F" w:rsidRPr="001F01BF" w:rsidRDefault="00A6094F" w:rsidP="00B3591F">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 xml:space="preserve"> </w:t>
      </w:r>
      <w:r w:rsidRPr="001F01BF">
        <w:rPr>
          <w:rFonts w:asciiTheme="minorHAnsi" w:hAnsiTheme="minorHAnsi"/>
          <w:szCs w:val="14"/>
          <w:lang w:val="sl-SI"/>
        </w:rPr>
        <w:tab/>
        <w:t>Opozorilo: šole, ki so pod nadzorom nacionalnih organov druge države (npr. lycée français, nemške šole,</w:t>
      </w:r>
      <w:r w:rsidRPr="001F01BF">
        <w:rPr>
          <w:rFonts w:asciiTheme="minorHAnsi" w:hAnsiTheme="minorHAnsi"/>
          <w:spacing w:val="-11"/>
          <w:szCs w:val="14"/>
          <w:lang w:val="sl-SI"/>
        </w:rPr>
        <w:t xml:space="preserve"> </w:t>
      </w:r>
      <w:r w:rsidRPr="001F01BF">
        <w:rPr>
          <w:rFonts w:asciiTheme="minorHAnsi" w:hAnsiTheme="minorHAnsi"/>
          <w:szCs w:val="14"/>
          <w:lang w:val="sl-SI"/>
        </w:rPr>
        <w:t>šole „sil“ Združenega kraljestva), se prijavijo pri nacionalni agenciji države nadzora.</w:t>
      </w:r>
    </w:p>
  </w:footnote>
  <w:footnote w:id="47">
    <w:p w14:paraId="7D39B114" w14:textId="77777777" w:rsidR="00A6094F" w:rsidRPr="001F01BF" w:rsidRDefault="00A6094F" w:rsidP="00915220">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 xml:space="preserve"> </w:t>
      </w:r>
      <w:hyperlink r:id="rId9">
        <w:r w:rsidRPr="001F01BF">
          <w:rPr>
            <w:rStyle w:val="Hyperlink"/>
            <w:rFonts w:asciiTheme="minorHAnsi" w:hAnsiTheme="minorHAnsi"/>
            <w:szCs w:val="14"/>
            <w:lang w:val="sl-SI"/>
          </w:rPr>
          <w:t>http://ec.europa.eu/programmes/erasmus-plus/resources/distance-calculator_sl</w:t>
        </w:r>
      </w:hyperlink>
    </w:p>
  </w:footnote>
  <w:footnote w:id="48">
    <w:p w14:paraId="7D39B115" w14:textId="77777777" w:rsidR="00A6094F" w:rsidRPr="001F01BF" w:rsidRDefault="00A6094F" w:rsidP="00915220">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 xml:space="preserve"> </w:t>
      </w:r>
      <w:r w:rsidRPr="001F01BF">
        <w:rPr>
          <w:rFonts w:asciiTheme="minorHAnsi" w:hAnsiTheme="minorHAnsi"/>
          <w:szCs w:val="14"/>
          <w:lang w:val="sl-SI"/>
        </w:rPr>
        <w:tab/>
      </w:r>
      <w:r w:rsidRPr="001F01BF">
        <w:rPr>
          <w:rFonts w:asciiTheme="minorHAnsi" w:hAnsiTheme="minorHAnsi"/>
          <w:w w:val="105"/>
          <w:szCs w:val="14"/>
          <w:lang w:val="sl-SI"/>
        </w:rPr>
        <w:t>Na primer, če oseba iz Madrida (Španija) sodeluje pri aktivnosti, ki se izvaja v Rimu (Italija), bo prijavitelj</w:t>
      </w:r>
      <w:r w:rsidRPr="001F01BF">
        <w:rPr>
          <w:rFonts w:asciiTheme="minorHAnsi" w:hAnsiTheme="minorHAnsi"/>
          <w:szCs w:val="14"/>
          <w:lang w:val="sl-SI"/>
        </w:rPr>
        <w:t xml:space="preserve"> </w:t>
      </w:r>
      <w:r w:rsidRPr="001F01BF">
        <w:rPr>
          <w:rFonts w:asciiTheme="minorHAnsi" w:hAnsiTheme="minorHAnsi"/>
          <w:szCs w:val="14"/>
          <w:lang w:val="sl-SI"/>
        </w:rPr>
        <w:br/>
        <w:t xml:space="preserve">a) izračunal razdaljo od Madrida do Rima (1 365,28 km); </w:t>
      </w:r>
      <w:r w:rsidRPr="001F01BF">
        <w:rPr>
          <w:rFonts w:asciiTheme="minorHAnsi" w:hAnsiTheme="minorHAnsi"/>
          <w:szCs w:val="14"/>
          <w:lang w:val="sl-SI"/>
        </w:rPr>
        <w:br/>
        <w:t xml:space="preserve">b) izbral ustrezen razpon razdalje poti (tj. od 500 do 1 999 km) ter </w:t>
      </w:r>
      <w:r w:rsidRPr="001F01BF">
        <w:rPr>
          <w:rFonts w:asciiTheme="minorHAnsi" w:hAnsiTheme="minorHAnsi"/>
          <w:szCs w:val="14"/>
          <w:lang w:val="sl-SI"/>
        </w:rPr>
        <w:br/>
        <w:t>c) izračunal nepovratna sredstva EU za kritje stroškov poti udeleženca iz Madrida do Rima in nazaj (275 EUR).</w:t>
      </w:r>
    </w:p>
  </w:footnote>
  <w:footnote w:id="49">
    <w:p w14:paraId="7D39B116" w14:textId="77777777" w:rsidR="00A6094F" w:rsidRPr="001F01BF" w:rsidRDefault="00A6094F" w:rsidP="00114F11">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r>
      <w:hyperlink r:id="rId10">
        <w:r w:rsidRPr="001F01BF">
          <w:rPr>
            <w:rStyle w:val="Hyperlink"/>
            <w:rFonts w:asciiTheme="minorHAnsi" w:hAnsiTheme="minorHAnsi"/>
            <w:szCs w:val="14"/>
            <w:lang w:val="sl-SI"/>
          </w:rPr>
          <w:t>http://ec.europa.eu/programmes/erasmus-plus/resources/distance-calculator_sl</w:t>
        </w:r>
      </w:hyperlink>
    </w:p>
  </w:footnote>
  <w:footnote w:id="50">
    <w:p w14:paraId="7D39B117" w14:textId="77777777" w:rsidR="00A6094F" w:rsidRPr="001F01BF" w:rsidRDefault="00A6094F" w:rsidP="00C15888">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r>
      <w:r w:rsidRPr="001F01BF">
        <w:rPr>
          <w:rFonts w:asciiTheme="minorHAnsi" w:hAnsiTheme="minorHAnsi"/>
          <w:w w:val="105"/>
          <w:szCs w:val="14"/>
          <w:lang w:val="sl-SI"/>
        </w:rPr>
        <w:t>Na primer, če oseba iz Madrida (Španija) sodeluje pri aktivnosti, ki se izvaja v Rimu (Italija), bo prijavitelj</w:t>
      </w:r>
      <w:r w:rsidRPr="001F01BF">
        <w:rPr>
          <w:rFonts w:asciiTheme="minorHAnsi" w:hAnsiTheme="minorHAnsi"/>
          <w:szCs w:val="14"/>
          <w:lang w:val="sl-SI"/>
        </w:rPr>
        <w:t xml:space="preserve"> </w:t>
      </w:r>
      <w:r w:rsidRPr="001F01BF">
        <w:rPr>
          <w:rFonts w:asciiTheme="minorHAnsi" w:hAnsiTheme="minorHAnsi"/>
          <w:szCs w:val="14"/>
          <w:lang w:val="sl-SI"/>
        </w:rPr>
        <w:br/>
        <w:t xml:space="preserve">a) izračunal razdaljo od Madrida do Rima (1 365,28 km); </w:t>
      </w:r>
      <w:r w:rsidRPr="001F01BF">
        <w:rPr>
          <w:rFonts w:asciiTheme="minorHAnsi" w:hAnsiTheme="minorHAnsi"/>
          <w:szCs w:val="14"/>
          <w:lang w:val="sl-SI"/>
        </w:rPr>
        <w:br/>
        <w:t xml:space="preserve">b) izbral ustrezen razpon razdalje poti (tj. od 500 do 1 999 km) ter </w:t>
      </w:r>
      <w:r w:rsidRPr="001F01BF">
        <w:rPr>
          <w:rFonts w:asciiTheme="minorHAnsi" w:hAnsiTheme="minorHAnsi"/>
          <w:szCs w:val="14"/>
          <w:lang w:val="sl-SI"/>
        </w:rPr>
        <w:br/>
        <w:t>c) izračunal nepovratna sredstva EU za kritje stroškov poti udeleženca iz Madrida do Rima in nazaj (275 EUR).</w:t>
      </w:r>
    </w:p>
  </w:footnote>
  <w:footnote w:id="51">
    <w:p w14:paraId="7D39B118" w14:textId="77777777" w:rsidR="00A6094F" w:rsidRPr="001F01BF" w:rsidRDefault="00A6094F" w:rsidP="00FC1B4B">
      <w:pPr>
        <w:pStyle w:val="FootnoteText"/>
        <w:ind w:left="288" w:hanging="288"/>
        <w:rPr>
          <w:rFonts w:asciiTheme="minorHAnsi" w:hAnsiTheme="minorHAnsi"/>
          <w:sz w:val="14"/>
          <w:szCs w:val="14"/>
          <w:lang w:val="sl-SI"/>
        </w:rPr>
      </w:pPr>
      <w:r w:rsidRPr="001F01BF">
        <w:rPr>
          <w:rStyle w:val="FootnoteReference"/>
          <w:rFonts w:asciiTheme="minorHAnsi" w:hAnsiTheme="minorHAnsi"/>
          <w:sz w:val="14"/>
          <w:szCs w:val="14"/>
        </w:rPr>
        <w:footnoteRef/>
      </w:r>
      <w:r w:rsidRPr="001F01BF">
        <w:rPr>
          <w:rFonts w:asciiTheme="minorHAnsi" w:hAnsiTheme="minorHAnsi"/>
          <w:sz w:val="14"/>
          <w:szCs w:val="14"/>
          <w:lang w:val="sl-SI"/>
        </w:rPr>
        <w:t xml:space="preserve"> </w:t>
      </w:r>
      <w:r>
        <w:rPr>
          <w:rFonts w:asciiTheme="minorHAnsi" w:hAnsiTheme="minorHAnsi"/>
          <w:sz w:val="14"/>
          <w:szCs w:val="14"/>
          <w:lang w:val="sl-SI"/>
        </w:rPr>
        <w:tab/>
      </w:r>
      <w:r w:rsidRPr="001F01BF">
        <w:rPr>
          <w:rFonts w:asciiTheme="minorHAnsi" w:eastAsia="Calibri" w:hAnsiTheme="minorHAnsi" w:cs="Calibri"/>
          <w:sz w:val="14"/>
          <w:szCs w:val="14"/>
          <w:bdr w:val="nil"/>
          <w:lang w:val="sl-SI"/>
        </w:rPr>
        <w:t>Največ proračunskih sredstev za te projekte mobilnosti je dodeljenih za podporo mednarodnih aktivnosti, ki vključujejo organizacije in udeležence iz držav Programa. Vendar se lahko s približno 25 % razpoložljivih proračunskih sredstev ﬁnancirajo mednarodne aktivnosti, ki vključujejo organizacije in udeležence iz držav Programa in sosedskih partnerskih držav EU (regije od 1 do 4; glej poglavje „Upravičene države“ v delu A tega vodnika).</w:t>
      </w:r>
    </w:p>
  </w:footnote>
  <w:footnote w:id="52">
    <w:p w14:paraId="7D39B119" w14:textId="77777777" w:rsidR="00A6094F" w:rsidRPr="001F01BF" w:rsidRDefault="00A6094F" w:rsidP="00496AEE">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r>
      <w:r w:rsidRPr="001F01BF">
        <w:rPr>
          <w:rFonts w:asciiTheme="minorHAnsi" w:hAnsiTheme="minorHAnsi"/>
          <w:w w:val="105"/>
          <w:szCs w:val="14"/>
          <w:lang w:val="sl-SI"/>
        </w:rPr>
        <w:t>V</w:t>
      </w:r>
      <w:r w:rsidRPr="001F01BF">
        <w:rPr>
          <w:rFonts w:asciiTheme="minorHAnsi" w:hAnsiTheme="minorHAnsi"/>
          <w:spacing w:val="-16"/>
          <w:w w:val="105"/>
          <w:szCs w:val="14"/>
          <w:lang w:val="sl-SI"/>
        </w:rPr>
        <w:t xml:space="preserve"> </w:t>
      </w:r>
      <w:r w:rsidRPr="001F01BF">
        <w:rPr>
          <w:rFonts w:asciiTheme="minorHAnsi" w:hAnsiTheme="minorHAnsi"/>
          <w:w w:val="105"/>
          <w:szCs w:val="14"/>
          <w:lang w:val="sl-SI"/>
        </w:rPr>
        <w:t>tem</w:t>
      </w:r>
      <w:r w:rsidRPr="001F01BF">
        <w:rPr>
          <w:rFonts w:asciiTheme="minorHAnsi" w:hAnsiTheme="minorHAnsi"/>
          <w:spacing w:val="-15"/>
          <w:w w:val="105"/>
          <w:szCs w:val="14"/>
          <w:lang w:val="sl-SI"/>
        </w:rPr>
        <w:t xml:space="preserve"> </w:t>
      </w:r>
      <w:r w:rsidRPr="001F01BF">
        <w:rPr>
          <w:rFonts w:asciiTheme="minorHAnsi" w:hAnsiTheme="minorHAnsi"/>
          <w:w w:val="105"/>
          <w:szCs w:val="14"/>
          <w:lang w:val="sl-SI"/>
        </w:rPr>
        <w:t>okviru</w:t>
      </w:r>
      <w:r w:rsidRPr="001F01BF">
        <w:rPr>
          <w:rFonts w:asciiTheme="minorHAnsi" w:hAnsiTheme="minorHAnsi"/>
          <w:spacing w:val="-16"/>
          <w:w w:val="105"/>
          <w:szCs w:val="14"/>
          <w:lang w:val="sl-SI"/>
        </w:rPr>
        <w:t xml:space="preserve"> </w:t>
      </w:r>
      <w:r w:rsidRPr="001F01BF">
        <w:rPr>
          <w:rFonts w:asciiTheme="minorHAnsi" w:hAnsiTheme="minorHAnsi"/>
          <w:w w:val="105"/>
          <w:szCs w:val="14"/>
          <w:lang w:val="sl-SI"/>
        </w:rPr>
        <w:t>se</w:t>
      </w:r>
      <w:r w:rsidRPr="001F01BF">
        <w:rPr>
          <w:rFonts w:asciiTheme="minorHAnsi" w:hAnsiTheme="minorHAnsi"/>
          <w:spacing w:val="-15"/>
          <w:w w:val="105"/>
          <w:szCs w:val="14"/>
          <w:lang w:val="sl-SI"/>
        </w:rPr>
        <w:t xml:space="preserve"> </w:t>
      </w:r>
      <w:r w:rsidRPr="001F01BF">
        <w:rPr>
          <w:rFonts w:asciiTheme="minorHAnsi" w:hAnsiTheme="minorHAnsi"/>
          <w:w w:val="105"/>
          <w:szCs w:val="14"/>
          <w:lang w:val="sl-SI"/>
        </w:rPr>
        <w:t>javni</w:t>
      </w:r>
      <w:r w:rsidRPr="001F01BF">
        <w:rPr>
          <w:rFonts w:asciiTheme="minorHAnsi" w:hAnsiTheme="minorHAnsi"/>
          <w:spacing w:val="-16"/>
          <w:w w:val="105"/>
          <w:szCs w:val="14"/>
          <w:lang w:val="sl-SI"/>
        </w:rPr>
        <w:t xml:space="preserve"> </w:t>
      </w:r>
      <w:r w:rsidRPr="001F01BF">
        <w:rPr>
          <w:rFonts w:asciiTheme="minorHAnsi" w:hAnsiTheme="minorHAnsi"/>
          <w:w w:val="105"/>
          <w:szCs w:val="14"/>
          <w:lang w:val="sl-SI"/>
        </w:rPr>
        <w:t>organ</w:t>
      </w:r>
      <w:r w:rsidRPr="001F01BF">
        <w:rPr>
          <w:rFonts w:asciiTheme="minorHAnsi" w:hAnsiTheme="minorHAnsi"/>
          <w:spacing w:val="-16"/>
          <w:w w:val="105"/>
          <w:szCs w:val="14"/>
          <w:lang w:val="sl-SI"/>
        </w:rPr>
        <w:t xml:space="preserve"> </w:t>
      </w:r>
      <w:r w:rsidRPr="001F01BF">
        <w:rPr>
          <w:rFonts w:asciiTheme="minorHAnsi" w:hAnsiTheme="minorHAnsi"/>
          <w:w w:val="105"/>
          <w:szCs w:val="14"/>
          <w:lang w:val="sl-SI"/>
        </w:rPr>
        <w:t>na</w:t>
      </w:r>
      <w:r w:rsidRPr="001F01BF">
        <w:rPr>
          <w:rFonts w:asciiTheme="minorHAnsi" w:hAnsiTheme="minorHAnsi"/>
          <w:spacing w:val="-16"/>
          <w:w w:val="105"/>
          <w:szCs w:val="14"/>
          <w:lang w:val="sl-SI"/>
        </w:rPr>
        <w:t xml:space="preserve"> </w:t>
      </w:r>
      <w:r w:rsidRPr="001F01BF">
        <w:rPr>
          <w:rFonts w:asciiTheme="minorHAnsi" w:hAnsiTheme="minorHAnsi"/>
          <w:w w:val="105"/>
          <w:szCs w:val="14"/>
          <w:lang w:val="sl-SI"/>
        </w:rPr>
        <w:t>nacionalni</w:t>
      </w:r>
      <w:r w:rsidRPr="001F01BF">
        <w:rPr>
          <w:rFonts w:asciiTheme="minorHAnsi" w:hAnsiTheme="minorHAnsi"/>
          <w:spacing w:val="-16"/>
          <w:w w:val="105"/>
          <w:szCs w:val="14"/>
          <w:lang w:val="sl-SI"/>
        </w:rPr>
        <w:t xml:space="preserve"> </w:t>
      </w:r>
      <w:r w:rsidRPr="001F01BF">
        <w:rPr>
          <w:rFonts w:asciiTheme="minorHAnsi" w:hAnsiTheme="minorHAnsi"/>
          <w:w w:val="105"/>
          <w:szCs w:val="14"/>
          <w:lang w:val="sl-SI"/>
        </w:rPr>
        <w:t>ali</w:t>
      </w:r>
      <w:r w:rsidRPr="001F01BF">
        <w:rPr>
          <w:rFonts w:asciiTheme="minorHAnsi" w:hAnsiTheme="minorHAnsi"/>
          <w:spacing w:val="-16"/>
          <w:w w:val="105"/>
          <w:szCs w:val="14"/>
          <w:lang w:val="sl-SI"/>
        </w:rPr>
        <w:t xml:space="preserve"> </w:t>
      </w:r>
      <w:r w:rsidRPr="001F01BF">
        <w:rPr>
          <w:rFonts w:asciiTheme="minorHAnsi" w:hAnsiTheme="minorHAnsi"/>
          <w:w w:val="105"/>
          <w:szCs w:val="14"/>
          <w:lang w:val="sl-SI"/>
        </w:rPr>
        <w:t>regionalni</w:t>
      </w:r>
      <w:r w:rsidRPr="001F01BF">
        <w:rPr>
          <w:rFonts w:asciiTheme="minorHAnsi" w:hAnsiTheme="minorHAnsi"/>
          <w:spacing w:val="-15"/>
          <w:w w:val="105"/>
          <w:szCs w:val="14"/>
          <w:lang w:val="sl-SI"/>
        </w:rPr>
        <w:t xml:space="preserve"> </w:t>
      </w:r>
      <w:r w:rsidRPr="001F01BF">
        <w:rPr>
          <w:rFonts w:asciiTheme="minorHAnsi" w:hAnsiTheme="minorHAnsi"/>
          <w:w w:val="105"/>
          <w:szCs w:val="14"/>
          <w:lang w:val="sl-SI"/>
        </w:rPr>
        <w:t>ravni</w:t>
      </w:r>
      <w:r w:rsidRPr="001F01BF">
        <w:rPr>
          <w:rFonts w:asciiTheme="minorHAnsi" w:hAnsiTheme="minorHAnsi"/>
          <w:spacing w:val="-15"/>
          <w:w w:val="105"/>
          <w:szCs w:val="14"/>
          <w:lang w:val="sl-SI"/>
        </w:rPr>
        <w:t xml:space="preserve"> </w:t>
      </w:r>
      <w:r w:rsidRPr="001F01BF">
        <w:rPr>
          <w:rFonts w:asciiTheme="minorHAnsi" w:hAnsiTheme="minorHAnsi"/>
          <w:w w:val="105"/>
          <w:szCs w:val="14"/>
          <w:lang w:val="sl-SI"/>
        </w:rPr>
        <w:t>obravnava</w:t>
      </w:r>
      <w:r w:rsidRPr="001F01BF">
        <w:rPr>
          <w:rFonts w:asciiTheme="minorHAnsi" w:hAnsiTheme="minorHAnsi"/>
          <w:spacing w:val="-16"/>
          <w:w w:val="105"/>
          <w:szCs w:val="14"/>
          <w:lang w:val="sl-SI"/>
        </w:rPr>
        <w:t xml:space="preserve"> </w:t>
      </w:r>
      <w:r w:rsidRPr="001F01BF">
        <w:rPr>
          <w:rFonts w:asciiTheme="minorHAnsi" w:hAnsiTheme="minorHAnsi"/>
          <w:w w:val="105"/>
          <w:szCs w:val="14"/>
          <w:lang w:val="sl-SI"/>
        </w:rPr>
        <w:t>kot</w:t>
      </w:r>
      <w:r w:rsidRPr="001F01BF">
        <w:rPr>
          <w:rFonts w:asciiTheme="minorHAnsi" w:hAnsiTheme="minorHAnsi"/>
          <w:spacing w:val="-16"/>
          <w:w w:val="105"/>
          <w:szCs w:val="14"/>
          <w:lang w:val="sl-SI"/>
        </w:rPr>
        <w:t xml:space="preserve"> </w:t>
      </w:r>
      <w:r w:rsidRPr="001F01BF">
        <w:rPr>
          <w:rFonts w:asciiTheme="minorHAnsi" w:hAnsiTheme="minorHAnsi"/>
          <w:w w:val="105"/>
          <w:szCs w:val="14"/>
          <w:lang w:val="sl-SI"/>
        </w:rPr>
        <w:t>javni</w:t>
      </w:r>
      <w:r w:rsidRPr="001F01BF">
        <w:rPr>
          <w:rFonts w:asciiTheme="minorHAnsi" w:hAnsiTheme="minorHAnsi"/>
          <w:spacing w:val="-16"/>
          <w:w w:val="105"/>
          <w:szCs w:val="14"/>
          <w:lang w:val="sl-SI"/>
        </w:rPr>
        <w:t xml:space="preserve"> </w:t>
      </w:r>
      <w:r w:rsidRPr="001F01BF">
        <w:rPr>
          <w:rFonts w:asciiTheme="minorHAnsi" w:hAnsiTheme="minorHAnsi"/>
          <w:w w:val="105"/>
          <w:szCs w:val="14"/>
          <w:lang w:val="sl-SI"/>
        </w:rPr>
        <w:t>organ,</w:t>
      </w:r>
      <w:r w:rsidRPr="001F01BF">
        <w:rPr>
          <w:rFonts w:asciiTheme="minorHAnsi" w:hAnsiTheme="minorHAnsi"/>
          <w:spacing w:val="-16"/>
          <w:w w:val="105"/>
          <w:szCs w:val="14"/>
          <w:lang w:val="sl-SI"/>
        </w:rPr>
        <w:t xml:space="preserve"> </w:t>
      </w:r>
      <w:r w:rsidRPr="001F01BF">
        <w:rPr>
          <w:rFonts w:asciiTheme="minorHAnsi" w:hAnsiTheme="minorHAnsi"/>
          <w:w w:val="105"/>
          <w:szCs w:val="14"/>
          <w:lang w:val="sl-SI"/>
        </w:rPr>
        <w:t>ki</w:t>
      </w:r>
      <w:r w:rsidRPr="001F01BF">
        <w:rPr>
          <w:rFonts w:asciiTheme="minorHAnsi" w:hAnsiTheme="minorHAnsi"/>
          <w:spacing w:val="-16"/>
          <w:w w:val="105"/>
          <w:szCs w:val="14"/>
          <w:lang w:val="sl-SI"/>
        </w:rPr>
        <w:t xml:space="preserve"> </w:t>
      </w:r>
      <w:r w:rsidRPr="001F01BF">
        <w:rPr>
          <w:rFonts w:asciiTheme="minorHAnsi" w:hAnsiTheme="minorHAnsi"/>
          <w:w w:val="105"/>
          <w:szCs w:val="14"/>
          <w:lang w:val="sl-SI"/>
        </w:rPr>
        <w:t>(a)</w:t>
      </w:r>
      <w:r w:rsidRPr="001F01BF">
        <w:rPr>
          <w:rFonts w:asciiTheme="minorHAnsi" w:hAnsiTheme="minorHAnsi"/>
          <w:spacing w:val="-16"/>
          <w:w w:val="105"/>
          <w:szCs w:val="14"/>
          <w:lang w:val="sl-SI"/>
        </w:rPr>
        <w:t xml:space="preserve"> </w:t>
      </w:r>
      <w:r w:rsidRPr="001F01BF">
        <w:rPr>
          <w:rFonts w:asciiTheme="minorHAnsi" w:hAnsiTheme="minorHAnsi"/>
          <w:w w:val="105"/>
          <w:szCs w:val="14"/>
          <w:lang w:val="sl-SI"/>
        </w:rPr>
        <w:t>zagotavlja storitve</w:t>
      </w:r>
      <w:r w:rsidRPr="001F01BF">
        <w:rPr>
          <w:rFonts w:asciiTheme="minorHAnsi" w:hAnsiTheme="minorHAnsi"/>
          <w:spacing w:val="-20"/>
          <w:w w:val="105"/>
          <w:szCs w:val="14"/>
          <w:lang w:val="sl-SI"/>
        </w:rPr>
        <w:t xml:space="preserve"> </w:t>
      </w:r>
      <w:r w:rsidRPr="001F01BF">
        <w:rPr>
          <w:rFonts w:asciiTheme="minorHAnsi" w:hAnsiTheme="minorHAnsi"/>
          <w:w w:val="105"/>
          <w:szCs w:val="14"/>
          <w:lang w:val="sl-SI"/>
        </w:rPr>
        <w:t>ali</w:t>
      </w:r>
      <w:r w:rsidRPr="001F01BF">
        <w:rPr>
          <w:rFonts w:asciiTheme="minorHAnsi" w:hAnsiTheme="minorHAnsi"/>
          <w:spacing w:val="-21"/>
          <w:w w:val="105"/>
          <w:szCs w:val="14"/>
          <w:lang w:val="sl-SI"/>
        </w:rPr>
        <w:t xml:space="preserve"> </w:t>
      </w:r>
      <w:r w:rsidRPr="001F01BF">
        <w:rPr>
          <w:rFonts w:asciiTheme="minorHAnsi" w:hAnsiTheme="minorHAnsi"/>
          <w:w w:val="105"/>
          <w:szCs w:val="14"/>
          <w:lang w:val="sl-SI"/>
        </w:rPr>
        <w:t>ima</w:t>
      </w:r>
      <w:r w:rsidRPr="001F01BF">
        <w:rPr>
          <w:rFonts w:asciiTheme="minorHAnsi" w:hAnsiTheme="minorHAnsi"/>
          <w:spacing w:val="-21"/>
          <w:w w:val="105"/>
          <w:szCs w:val="14"/>
          <w:lang w:val="sl-SI"/>
        </w:rPr>
        <w:t xml:space="preserve"> </w:t>
      </w:r>
      <w:r w:rsidRPr="001F01BF">
        <w:rPr>
          <w:rFonts w:asciiTheme="minorHAnsi" w:hAnsiTheme="minorHAnsi"/>
          <w:w w:val="105"/>
          <w:szCs w:val="14"/>
          <w:lang w:val="sl-SI"/>
        </w:rPr>
        <w:t>administrativno</w:t>
      </w:r>
      <w:r w:rsidRPr="001F01BF">
        <w:rPr>
          <w:rFonts w:asciiTheme="minorHAnsi" w:hAnsiTheme="minorHAnsi"/>
          <w:spacing w:val="-21"/>
          <w:w w:val="105"/>
          <w:szCs w:val="14"/>
          <w:lang w:val="sl-SI"/>
        </w:rPr>
        <w:t xml:space="preserve"> </w:t>
      </w:r>
      <w:r w:rsidRPr="001F01BF">
        <w:rPr>
          <w:rFonts w:asciiTheme="minorHAnsi" w:hAnsiTheme="minorHAnsi"/>
          <w:w w:val="105"/>
          <w:szCs w:val="14"/>
          <w:lang w:val="sl-SI"/>
        </w:rPr>
        <w:t>območje</w:t>
      </w:r>
      <w:r w:rsidRPr="001F01BF">
        <w:rPr>
          <w:rFonts w:asciiTheme="minorHAnsi" w:hAnsiTheme="minorHAnsi"/>
          <w:spacing w:val="-21"/>
          <w:w w:val="105"/>
          <w:szCs w:val="14"/>
          <w:lang w:val="sl-SI"/>
        </w:rPr>
        <w:t xml:space="preserve"> </w:t>
      </w:r>
      <w:r w:rsidRPr="001F01BF">
        <w:rPr>
          <w:rFonts w:asciiTheme="minorHAnsi" w:hAnsiTheme="minorHAnsi"/>
          <w:w w:val="105"/>
          <w:szCs w:val="14"/>
          <w:lang w:val="sl-SI"/>
        </w:rPr>
        <w:t>pristojnosti,</w:t>
      </w:r>
      <w:r w:rsidRPr="001F01BF">
        <w:rPr>
          <w:rFonts w:asciiTheme="minorHAnsi" w:hAnsiTheme="minorHAnsi"/>
          <w:spacing w:val="-21"/>
          <w:w w:val="105"/>
          <w:szCs w:val="14"/>
          <w:lang w:val="sl-SI"/>
        </w:rPr>
        <w:t xml:space="preserve"> </w:t>
      </w:r>
      <w:r w:rsidRPr="001F01BF">
        <w:rPr>
          <w:rFonts w:asciiTheme="minorHAnsi" w:hAnsiTheme="minorHAnsi"/>
          <w:w w:val="105"/>
          <w:szCs w:val="14"/>
          <w:lang w:val="sl-SI"/>
        </w:rPr>
        <w:t>ki</w:t>
      </w:r>
      <w:r w:rsidRPr="001F01BF">
        <w:rPr>
          <w:rFonts w:asciiTheme="minorHAnsi" w:hAnsiTheme="minorHAnsi"/>
          <w:spacing w:val="-21"/>
          <w:w w:val="105"/>
          <w:szCs w:val="14"/>
          <w:lang w:val="sl-SI"/>
        </w:rPr>
        <w:t xml:space="preserve"> </w:t>
      </w:r>
      <w:r w:rsidRPr="001F01BF">
        <w:rPr>
          <w:rFonts w:asciiTheme="minorHAnsi" w:hAnsiTheme="minorHAnsi"/>
          <w:w w:val="105"/>
          <w:szCs w:val="14"/>
          <w:lang w:val="sl-SI"/>
        </w:rPr>
        <w:t>zajema</w:t>
      </w:r>
      <w:r w:rsidRPr="001F01BF">
        <w:rPr>
          <w:rFonts w:asciiTheme="minorHAnsi" w:hAnsiTheme="minorHAnsi"/>
          <w:spacing w:val="-21"/>
          <w:w w:val="105"/>
          <w:szCs w:val="14"/>
          <w:lang w:val="sl-SI"/>
        </w:rPr>
        <w:t xml:space="preserve"> </w:t>
      </w:r>
      <w:r w:rsidRPr="001F01BF">
        <w:rPr>
          <w:rFonts w:asciiTheme="minorHAnsi" w:hAnsiTheme="minorHAnsi"/>
          <w:w w:val="105"/>
          <w:szCs w:val="14"/>
          <w:lang w:val="sl-SI"/>
        </w:rPr>
        <w:t>celotno</w:t>
      </w:r>
      <w:r w:rsidRPr="001F01BF">
        <w:rPr>
          <w:rFonts w:asciiTheme="minorHAnsi" w:hAnsiTheme="minorHAnsi"/>
          <w:spacing w:val="-20"/>
          <w:w w:val="105"/>
          <w:szCs w:val="14"/>
          <w:lang w:val="sl-SI"/>
        </w:rPr>
        <w:t xml:space="preserve"> </w:t>
      </w:r>
      <w:r w:rsidRPr="001F01BF">
        <w:rPr>
          <w:rFonts w:asciiTheme="minorHAnsi" w:hAnsiTheme="minorHAnsi"/>
          <w:w w:val="105"/>
          <w:szCs w:val="14"/>
          <w:lang w:val="sl-SI"/>
        </w:rPr>
        <w:t>nacionalno</w:t>
      </w:r>
      <w:r w:rsidRPr="001F01BF">
        <w:rPr>
          <w:rFonts w:asciiTheme="minorHAnsi" w:hAnsiTheme="minorHAnsi"/>
          <w:spacing w:val="-21"/>
          <w:w w:val="105"/>
          <w:szCs w:val="14"/>
          <w:lang w:val="sl-SI"/>
        </w:rPr>
        <w:t xml:space="preserve"> </w:t>
      </w:r>
      <w:r w:rsidRPr="001F01BF">
        <w:rPr>
          <w:rFonts w:asciiTheme="minorHAnsi" w:hAnsiTheme="minorHAnsi"/>
          <w:w w:val="105"/>
          <w:szCs w:val="14"/>
          <w:lang w:val="sl-SI"/>
        </w:rPr>
        <w:t>ali</w:t>
      </w:r>
      <w:r w:rsidRPr="001F01BF">
        <w:rPr>
          <w:rFonts w:asciiTheme="minorHAnsi" w:hAnsiTheme="minorHAnsi"/>
          <w:spacing w:val="-21"/>
          <w:w w:val="105"/>
          <w:szCs w:val="14"/>
          <w:lang w:val="sl-SI"/>
        </w:rPr>
        <w:t xml:space="preserve"> </w:t>
      </w:r>
      <w:r w:rsidRPr="001F01BF">
        <w:rPr>
          <w:rFonts w:asciiTheme="minorHAnsi" w:hAnsiTheme="minorHAnsi"/>
          <w:w w:val="105"/>
          <w:szCs w:val="14"/>
          <w:lang w:val="sl-SI"/>
        </w:rPr>
        <w:t>regionalno</w:t>
      </w:r>
      <w:r w:rsidRPr="001F01BF">
        <w:rPr>
          <w:rFonts w:asciiTheme="minorHAnsi" w:hAnsiTheme="minorHAnsi"/>
          <w:spacing w:val="-20"/>
          <w:w w:val="105"/>
          <w:szCs w:val="14"/>
          <w:lang w:val="sl-SI"/>
        </w:rPr>
        <w:t xml:space="preserve"> </w:t>
      </w:r>
      <w:r w:rsidRPr="001F01BF">
        <w:rPr>
          <w:rFonts w:asciiTheme="minorHAnsi" w:hAnsiTheme="minorHAnsi"/>
          <w:w w:val="105"/>
          <w:szCs w:val="14"/>
          <w:lang w:val="sl-SI"/>
        </w:rPr>
        <w:t>ozemlje,</w:t>
      </w:r>
      <w:r w:rsidRPr="001F01BF">
        <w:rPr>
          <w:rFonts w:asciiTheme="minorHAnsi" w:hAnsiTheme="minorHAnsi"/>
          <w:spacing w:val="-21"/>
          <w:w w:val="105"/>
          <w:szCs w:val="14"/>
          <w:lang w:val="sl-SI"/>
        </w:rPr>
        <w:t xml:space="preserve"> </w:t>
      </w:r>
      <w:r w:rsidRPr="001F01BF">
        <w:rPr>
          <w:rFonts w:asciiTheme="minorHAnsi" w:hAnsiTheme="minorHAnsi"/>
          <w:w w:val="105"/>
          <w:szCs w:val="14"/>
          <w:lang w:val="sl-SI"/>
        </w:rPr>
        <w:t xml:space="preserve">in </w:t>
      </w:r>
      <w:r w:rsidRPr="001F01BF">
        <w:rPr>
          <w:rFonts w:asciiTheme="minorHAnsi" w:hAnsiTheme="minorHAnsi"/>
          <w:szCs w:val="14"/>
          <w:lang w:val="sl-SI"/>
        </w:rPr>
        <w:t>ima monopol v smislu, da v državi ali regiji noben drug organ ne opravlja enakih funkcij (značilni primeri: ministrstva, državne agencije, regionalni javni organi itd.). V tem smislu so šole, univerze ali drugi organi, tudi če so ustanovljeni na podlagi nacionalne zakonodaje, izključeni iz te kategorije in se obravnavajo kot javni organi na lokalni ravni.</w:t>
      </w:r>
    </w:p>
  </w:footnote>
  <w:footnote w:id="53">
    <w:p w14:paraId="7D39B11A" w14:textId="77777777" w:rsidR="00A6094F" w:rsidRPr="001F01BF" w:rsidRDefault="00A6094F" w:rsidP="00496AEE">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V primeru neformalne skupine eden od članov skupine, ki je star vsaj 18 let, prevzame vlogo predstavnika in odgovornost v imenu skupine.</w:t>
      </w:r>
    </w:p>
  </w:footnote>
  <w:footnote w:id="54">
    <w:p w14:paraId="7D39B11B" w14:textId="77777777" w:rsidR="00A6094F" w:rsidRPr="001F01BF" w:rsidRDefault="00A6094F" w:rsidP="00496AEE">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 xml:space="preserve"> </w:t>
      </w:r>
      <w:r w:rsidRPr="001F01BF">
        <w:rPr>
          <w:rFonts w:asciiTheme="minorHAnsi" w:hAnsiTheme="minorHAnsi"/>
          <w:szCs w:val="14"/>
          <w:lang w:val="sl-SI"/>
        </w:rPr>
        <w:tab/>
        <w:t>Glej prejšnjo</w:t>
      </w:r>
      <w:r w:rsidRPr="001F01BF">
        <w:rPr>
          <w:rFonts w:asciiTheme="minorHAnsi" w:hAnsiTheme="minorHAnsi"/>
          <w:spacing w:val="-6"/>
          <w:szCs w:val="14"/>
          <w:lang w:val="sl-SI"/>
        </w:rPr>
        <w:t xml:space="preserve"> </w:t>
      </w:r>
      <w:r w:rsidRPr="001F01BF">
        <w:rPr>
          <w:rFonts w:asciiTheme="minorHAnsi" w:hAnsiTheme="minorHAnsi"/>
          <w:szCs w:val="14"/>
          <w:lang w:val="sl-SI"/>
        </w:rPr>
        <w:t>opombo.</w:t>
      </w:r>
    </w:p>
  </w:footnote>
  <w:footnote w:id="55">
    <w:p w14:paraId="7D39B11C" w14:textId="77777777" w:rsidR="00A6094F" w:rsidRPr="001F01BF" w:rsidRDefault="00A6094F" w:rsidP="00C12952">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Upoštevajte</w:t>
      </w:r>
      <w:r w:rsidRPr="001F01BF">
        <w:rPr>
          <w:rFonts w:asciiTheme="minorHAnsi" w:hAnsiTheme="minorHAnsi"/>
          <w:spacing w:val="5"/>
          <w:szCs w:val="14"/>
          <w:lang w:val="sl-SI"/>
        </w:rPr>
        <w:t xml:space="preserve"> </w:t>
      </w:r>
      <w:r w:rsidRPr="001F01BF">
        <w:rPr>
          <w:rFonts w:asciiTheme="minorHAnsi" w:hAnsiTheme="minorHAnsi"/>
          <w:szCs w:val="14"/>
          <w:lang w:val="sl-SI"/>
        </w:rPr>
        <w:t xml:space="preserve">naslednje: </w:t>
      </w:r>
    </w:p>
    <w:p w14:paraId="7D39B11D" w14:textId="77777777" w:rsidR="00A6094F" w:rsidRPr="001F01BF" w:rsidRDefault="00A6094F" w:rsidP="005115F2">
      <w:pPr>
        <w:pStyle w:val="Guide-Footnote"/>
        <w:numPr>
          <w:ilvl w:val="0"/>
          <w:numId w:val="107"/>
        </w:numPr>
        <w:rPr>
          <w:rFonts w:asciiTheme="minorHAnsi" w:hAnsiTheme="minorHAnsi"/>
          <w:szCs w:val="14"/>
          <w:lang w:val="sl-SI"/>
        </w:rPr>
      </w:pPr>
      <w:r w:rsidRPr="001F01BF">
        <w:rPr>
          <w:rFonts w:asciiTheme="minorHAnsi" w:hAnsiTheme="minorHAnsi"/>
          <w:szCs w:val="14"/>
          <w:lang w:val="sl-SI"/>
        </w:rPr>
        <w:t xml:space="preserve">spodnja starostna omejitev – udeleženci morajo izpolniti najnižjo navedeno starost na dan začetka aktivnosti; </w:t>
      </w:r>
    </w:p>
    <w:p w14:paraId="7D39B11E" w14:textId="77777777" w:rsidR="00A6094F" w:rsidRPr="001F01BF" w:rsidRDefault="00A6094F" w:rsidP="005115F2">
      <w:pPr>
        <w:pStyle w:val="Guide-Footnote"/>
        <w:numPr>
          <w:ilvl w:val="0"/>
          <w:numId w:val="107"/>
        </w:numPr>
        <w:rPr>
          <w:rFonts w:asciiTheme="minorHAnsi" w:hAnsiTheme="minorHAnsi"/>
          <w:szCs w:val="14"/>
          <w:lang w:val="sl-SI"/>
        </w:rPr>
      </w:pPr>
      <w:r w:rsidRPr="001F01BF">
        <w:rPr>
          <w:rFonts w:asciiTheme="minorHAnsi" w:hAnsiTheme="minorHAnsi"/>
          <w:szCs w:val="14"/>
          <w:lang w:val="sl-SI"/>
        </w:rPr>
        <w:t>zgornja starostna omejitev – udeleženci ne smejo biti starejši od najvišje navedene starosti na dan roka za oddajo vloge.</w:t>
      </w:r>
    </w:p>
  </w:footnote>
  <w:footnote w:id="56">
    <w:p w14:paraId="7D39B11F" w14:textId="77777777" w:rsidR="00A6094F" w:rsidRPr="001F01BF" w:rsidRDefault="00A6094F" w:rsidP="00496AEE">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 xml:space="preserve"> </w:t>
      </w:r>
      <w:r w:rsidRPr="001F01BF">
        <w:rPr>
          <w:rFonts w:asciiTheme="minorHAnsi" w:hAnsiTheme="minorHAnsi"/>
          <w:szCs w:val="14"/>
          <w:lang w:val="sl-SI"/>
        </w:rPr>
        <w:tab/>
      </w:r>
      <w:r w:rsidRPr="001F01BF">
        <w:rPr>
          <w:rFonts w:asciiTheme="minorHAnsi" w:hAnsiTheme="minorHAnsi" w:cs="Tahoma"/>
          <w:szCs w:val="14"/>
          <w:lang w:val="sl-SI"/>
        </w:rPr>
        <w:t>Vodja skupine je odrasla oseba, ki se pridruži mladim, ki sodelujejo v mladinski izmenjavi, da zagotovi njihovo učinkovito učenje, zaščito in varnost.</w:t>
      </w:r>
    </w:p>
  </w:footnote>
  <w:footnote w:id="57">
    <w:p w14:paraId="7D39B120" w14:textId="77777777" w:rsidR="00A6094F" w:rsidRPr="001F01BF" w:rsidRDefault="00A6094F" w:rsidP="00FC1B4B">
      <w:pPr>
        <w:pStyle w:val="FootnoteText"/>
        <w:ind w:left="288" w:hanging="288"/>
        <w:rPr>
          <w:rFonts w:asciiTheme="minorHAnsi" w:hAnsiTheme="minorHAnsi"/>
          <w:sz w:val="14"/>
          <w:szCs w:val="14"/>
          <w:lang w:val="sl-SI"/>
        </w:rPr>
      </w:pPr>
      <w:r w:rsidRPr="001F01BF">
        <w:rPr>
          <w:rStyle w:val="FootnoteReference"/>
          <w:rFonts w:asciiTheme="minorHAnsi" w:hAnsiTheme="minorHAnsi"/>
          <w:sz w:val="14"/>
          <w:szCs w:val="14"/>
          <w:lang w:val="en-US" w:eastAsia="en-GB"/>
        </w:rPr>
        <w:footnoteRef/>
      </w:r>
      <w:r w:rsidRPr="001F01BF">
        <w:rPr>
          <w:rStyle w:val="FootnoteReference"/>
          <w:rFonts w:asciiTheme="minorHAnsi" w:hAnsiTheme="minorHAnsi"/>
          <w:sz w:val="14"/>
          <w:szCs w:val="14"/>
          <w:lang w:val="sl-SI" w:eastAsia="en-GB"/>
        </w:rPr>
        <w:t xml:space="preserve"> </w:t>
      </w:r>
      <w:r>
        <w:rPr>
          <w:rFonts w:asciiTheme="minorHAnsi" w:hAnsiTheme="minorHAnsi"/>
          <w:sz w:val="14"/>
          <w:szCs w:val="14"/>
          <w:lang w:val="sl-SI" w:eastAsia="en-GB"/>
        </w:rPr>
        <w:tab/>
      </w:r>
      <w:r w:rsidRPr="001F01BF">
        <w:rPr>
          <w:rFonts w:asciiTheme="minorHAnsi" w:hAnsiTheme="minorHAnsi"/>
          <w:sz w:val="14"/>
          <w:szCs w:val="14"/>
          <w:lang w:val="sl-SI" w:eastAsia="en-GB"/>
        </w:rPr>
        <w:t>Sodelujoči je lahko vodja skupine, vodja usposabljanja ali mlada oseba, ki sodeluje v aktivnosti, ne da bi imela vlogo vodje skupine ali vodje usposabljanja.</w:t>
      </w:r>
    </w:p>
  </w:footnote>
  <w:footnote w:id="58">
    <w:p w14:paraId="7D39B121" w14:textId="77777777" w:rsidR="00A6094F" w:rsidRPr="001F01BF" w:rsidRDefault="00A6094F" w:rsidP="00496AEE">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 xml:space="preserve"> </w:t>
      </w:r>
      <w:r w:rsidRPr="001F01BF">
        <w:rPr>
          <w:rFonts w:asciiTheme="minorHAnsi" w:hAnsiTheme="minorHAnsi"/>
          <w:szCs w:val="14"/>
          <w:lang w:val="sl-SI"/>
        </w:rPr>
        <w:tab/>
      </w:r>
      <w:hyperlink r:id="rId11">
        <w:r w:rsidRPr="001F01BF">
          <w:rPr>
            <w:rStyle w:val="Hyperlink"/>
            <w:rFonts w:asciiTheme="minorHAnsi" w:hAnsiTheme="minorHAnsi"/>
            <w:szCs w:val="14"/>
            <w:lang w:val="sl-SI"/>
          </w:rPr>
          <w:t>http://ec.europa.eu/programmes/erasmus-plus/resources/distance-calculator_sl</w:t>
        </w:r>
      </w:hyperlink>
    </w:p>
  </w:footnote>
  <w:footnote w:id="59">
    <w:p w14:paraId="7D39B122" w14:textId="77777777" w:rsidR="00A6094F" w:rsidRPr="001F01BF" w:rsidRDefault="00A6094F" w:rsidP="00496AEE">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 xml:space="preserve"> </w:t>
      </w:r>
      <w:r w:rsidRPr="001F01BF">
        <w:rPr>
          <w:rFonts w:asciiTheme="minorHAnsi" w:hAnsiTheme="minorHAnsi"/>
          <w:szCs w:val="14"/>
          <w:lang w:val="sl-SI"/>
        </w:rPr>
        <w:tab/>
        <w:t xml:space="preserve">Na primer, če oseba iz Madrida (Španija) sodeluje pri aktivnosti, ki se izvaja v Rimu (Italija), bo prijavitelj </w:t>
      </w:r>
      <w:r w:rsidRPr="001F01BF">
        <w:rPr>
          <w:rFonts w:asciiTheme="minorHAnsi" w:hAnsiTheme="minorHAnsi"/>
          <w:szCs w:val="14"/>
          <w:lang w:val="sl-SI"/>
        </w:rPr>
        <w:br/>
        <w:t xml:space="preserve">a) izračunal razdaljo od Madrida do Rima (1 365,28 km); </w:t>
      </w:r>
      <w:r w:rsidRPr="001F01BF">
        <w:rPr>
          <w:rFonts w:asciiTheme="minorHAnsi" w:hAnsiTheme="minorHAnsi"/>
          <w:szCs w:val="14"/>
          <w:lang w:val="sl-SI"/>
        </w:rPr>
        <w:br/>
        <w:t xml:space="preserve">b) izbral ustrezen razpon razdalje poti (tj. od 500 do 1 999 km) ter </w:t>
      </w:r>
      <w:r w:rsidRPr="001F01BF">
        <w:rPr>
          <w:rFonts w:asciiTheme="minorHAnsi" w:hAnsiTheme="minorHAnsi"/>
          <w:szCs w:val="14"/>
          <w:lang w:val="sl-SI"/>
        </w:rPr>
        <w:br/>
        <w:t>c) izračunal nepovratna sredstva EU za kritje stroškov poti udeleženca iz Madrida do Rima in nazaj (275 EUR).</w:t>
      </w:r>
    </w:p>
  </w:footnote>
  <w:footnote w:id="60">
    <w:p w14:paraId="7D39B123" w14:textId="77777777" w:rsidR="00A6094F" w:rsidRPr="001F01BF" w:rsidRDefault="00A6094F" w:rsidP="00496AEE">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 xml:space="preserve"> </w:t>
      </w:r>
      <w:r w:rsidRPr="001F01BF">
        <w:rPr>
          <w:rFonts w:asciiTheme="minorHAnsi" w:hAnsiTheme="minorHAnsi"/>
          <w:szCs w:val="14"/>
          <w:lang w:val="sl-SI"/>
        </w:rPr>
        <w:tab/>
        <w:t xml:space="preserve">Vključno z vodji skupin in spremljevalci. </w:t>
      </w:r>
    </w:p>
  </w:footnote>
  <w:footnote w:id="61">
    <w:p w14:paraId="7D39B124" w14:textId="77777777" w:rsidR="00A6094F" w:rsidRPr="001F01BF" w:rsidRDefault="00A6094F" w:rsidP="00496AEE">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Style w:val="Hyperlink"/>
          <w:rFonts w:asciiTheme="minorHAnsi" w:hAnsiTheme="minorHAnsi"/>
          <w:szCs w:val="14"/>
          <w:u w:val="none"/>
          <w:lang w:val="sl-SI"/>
        </w:rPr>
        <w:tab/>
      </w:r>
      <w:hyperlink r:id="rId12">
        <w:r w:rsidRPr="001F01BF">
          <w:rPr>
            <w:rStyle w:val="Hyperlink"/>
            <w:rFonts w:asciiTheme="minorHAnsi" w:hAnsiTheme="minorHAnsi"/>
            <w:szCs w:val="14"/>
            <w:lang w:val="sl-SI"/>
          </w:rPr>
          <w:t>http://ec.europa.eu/programmes/erasmus-plus/resources/distance-calculator_sl</w:t>
        </w:r>
      </w:hyperlink>
    </w:p>
  </w:footnote>
  <w:footnote w:id="62">
    <w:p w14:paraId="7D39B125" w14:textId="77777777" w:rsidR="00A6094F" w:rsidRPr="001F01BF" w:rsidRDefault="00A6094F" w:rsidP="00496AEE">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 xml:space="preserve">Na primer, če oseba iz Madrida (Španija) sodeluje pri aktivnosti, ki se izvaja v Rimu (Italija), bo prijavitelj </w:t>
      </w:r>
      <w:r w:rsidRPr="001F01BF">
        <w:rPr>
          <w:rFonts w:asciiTheme="minorHAnsi" w:hAnsiTheme="minorHAnsi"/>
          <w:szCs w:val="14"/>
          <w:lang w:val="sl-SI"/>
        </w:rPr>
        <w:br/>
        <w:t xml:space="preserve">a) izračunal razdaljo od Madrida do Rima (1 365,28 km); </w:t>
      </w:r>
      <w:r w:rsidRPr="001F01BF">
        <w:rPr>
          <w:rFonts w:asciiTheme="minorHAnsi" w:hAnsiTheme="minorHAnsi"/>
          <w:szCs w:val="14"/>
          <w:lang w:val="sl-SI"/>
        </w:rPr>
        <w:br/>
        <w:t xml:space="preserve">b) izbral ustrezen razpon razdalje poti (tj. od 500 do 1 999 km) ter </w:t>
      </w:r>
      <w:r w:rsidRPr="001F01BF">
        <w:rPr>
          <w:rFonts w:asciiTheme="minorHAnsi" w:hAnsiTheme="minorHAnsi"/>
          <w:szCs w:val="14"/>
          <w:lang w:val="sl-SI"/>
        </w:rPr>
        <w:br/>
        <w:t>c) izračunal nepovratna sredstva EU za kritje stroškov poti udeleženca iz Madrida do Rima in nazaj (275 EUR).</w:t>
      </w:r>
    </w:p>
  </w:footnote>
  <w:footnote w:id="63">
    <w:p w14:paraId="7D39B126" w14:textId="77777777" w:rsidR="00A6094F" w:rsidRPr="001F01BF" w:rsidRDefault="00A6094F" w:rsidP="00496AEE">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Vključno z vodji usposabljanja, pomočniki in spremljevalci.</w:t>
      </w:r>
    </w:p>
  </w:footnote>
  <w:footnote w:id="64">
    <w:p w14:paraId="7D39B127" w14:textId="77777777" w:rsidR="00A6094F" w:rsidRPr="001F01BF" w:rsidRDefault="00A6094F" w:rsidP="00496AEE">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Vključno z vodji usposabljanja, pomočniki in spremljevalci.</w:t>
      </w:r>
    </w:p>
  </w:footnote>
  <w:footnote w:id="65">
    <w:p w14:paraId="7D39B128" w14:textId="77777777" w:rsidR="00A6094F" w:rsidRPr="001F01BF" w:rsidRDefault="00A6094F" w:rsidP="00517FC3">
      <w:pPr>
        <w:pStyle w:val="FootnoteText"/>
        <w:ind w:left="284" w:hanging="284"/>
        <w:jc w:val="both"/>
        <w:rPr>
          <w:rFonts w:asciiTheme="minorHAnsi" w:hAnsiTheme="minorHAnsi"/>
          <w:smallCaps/>
          <w:vanish/>
          <w:sz w:val="14"/>
          <w:szCs w:val="14"/>
          <w:lang w:val="sl-SI"/>
        </w:rPr>
      </w:pPr>
      <w:r w:rsidRPr="001F01BF">
        <w:rPr>
          <w:rStyle w:val="FootnoteReference"/>
          <w:rFonts w:asciiTheme="minorHAnsi" w:hAnsiTheme="minorHAnsi"/>
          <w:sz w:val="14"/>
          <w:szCs w:val="14"/>
        </w:rPr>
        <w:footnoteRef/>
      </w:r>
      <w:r w:rsidRPr="001F01BF">
        <w:rPr>
          <w:rFonts w:asciiTheme="minorHAnsi" w:eastAsia="Cambria" w:hAnsiTheme="minorHAnsi" w:cs="Cambria"/>
          <w:kern w:val="0"/>
          <w:sz w:val="14"/>
          <w:szCs w:val="14"/>
          <w:bdr w:val="nil"/>
          <w:lang w:val="sl-SI"/>
        </w:rPr>
        <w:tab/>
        <w:t>E</w:t>
      </w:r>
      <w:r w:rsidRPr="001F01BF">
        <w:rPr>
          <w:rFonts w:asciiTheme="minorHAnsi" w:eastAsia="Calibri" w:hAnsiTheme="minorHAnsi" w:cs="Calibri"/>
          <w:kern w:val="0"/>
          <w:sz w:val="14"/>
          <w:szCs w:val="14"/>
          <w:bdr w:val="nil"/>
          <w:lang w:val="sl-SI"/>
        </w:rPr>
        <w:t xml:space="preserve">vropski ministri za izobraževanje so ga sprejeli med ministrsko konferenco v Erevanu 14. in 15. maja 2015. Za več informacij o sprejetih ukrepih politike glej: </w:t>
      </w:r>
      <w:hyperlink r:id="rId13" w:history="1">
        <w:r w:rsidRPr="008E4DBC">
          <w:rPr>
            <w:rStyle w:val="Hyperlink"/>
            <w:rFonts w:asciiTheme="minorHAnsi" w:eastAsia="Calibri" w:hAnsiTheme="minorHAnsi" w:cs="Calibri"/>
            <w:kern w:val="0"/>
            <w:sz w:val="14"/>
            <w:szCs w:val="14"/>
            <w:bdr w:val="nil"/>
            <w:lang w:val="sl-SI"/>
          </w:rPr>
          <w:t>http://bologna-yerevan2015.ehea.info/pages/view/documents</w:t>
        </w:r>
      </w:hyperlink>
      <w:r>
        <w:rPr>
          <w:rFonts w:asciiTheme="minorHAnsi" w:eastAsia="Calibri" w:hAnsiTheme="minorHAnsi" w:cs="Calibri"/>
          <w:kern w:val="0"/>
          <w:sz w:val="14"/>
          <w:szCs w:val="14"/>
          <w:bdr w:val="nil"/>
          <w:lang w:val="sl-SI"/>
        </w:rPr>
        <w:t xml:space="preserve"> </w:t>
      </w:r>
    </w:p>
  </w:footnote>
  <w:footnote w:id="66">
    <w:p w14:paraId="7D39B129" w14:textId="77777777" w:rsidR="00A6094F" w:rsidRPr="001F01BF" w:rsidRDefault="00A6094F" w:rsidP="0015677C">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EMJMD morajo imeti vzpostavljen skupno oblikovan in v celoti integriran učni načrt s skupnimi postopki izvajanja, npr. skupna pravila glede postopkov prijave, izbora, vpisa in preverjanja znanja študentov, pa tudi skupne mehanizme zagotavljanja kakovosti.</w:t>
      </w:r>
    </w:p>
  </w:footnote>
  <w:footnote w:id="67">
    <w:p w14:paraId="7D39B12A" w14:textId="77777777" w:rsidR="00A6094F" w:rsidRPr="001F01BF" w:rsidRDefault="00A6094F" w:rsidP="006E61F8">
      <w:pPr>
        <w:pStyle w:val="Guide-Footnote"/>
        <w:rPr>
          <w:rFonts w:asciiTheme="minorHAnsi" w:hAnsiTheme="minorHAnsi"/>
          <w:kern w:val="0"/>
          <w:szCs w:val="14"/>
          <w:lang w:val="sl-SI" w:eastAsia="fr-FR"/>
        </w:rPr>
      </w:pPr>
      <w:r w:rsidRPr="001F01BF">
        <w:rPr>
          <w:rStyle w:val="FootnoteReference"/>
          <w:rFonts w:asciiTheme="minorHAnsi" w:hAnsiTheme="minorHAnsi"/>
          <w:szCs w:val="14"/>
        </w:rPr>
        <w:footnoteRef/>
      </w:r>
      <w:r w:rsidRPr="001F01BF">
        <w:rPr>
          <w:rFonts w:asciiTheme="minorHAnsi" w:hAnsiTheme="minorHAnsi"/>
          <w:szCs w:val="14"/>
          <w:lang w:val="sl-SI"/>
        </w:rPr>
        <w:tab/>
      </w:r>
      <w:hyperlink r:id="rId14" w:history="1">
        <w:r w:rsidRPr="001F01BF">
          <w:rPr>
            <w:rStyle w:val="Hyperlink"/>
            <w:rFonts w:asciiTheme="minorHAnsi" w:hAnsiTheme="minorHAnsi"/>
            <w:szCs w:val="14"/>
            <w:lang w:val="sl-SI"/>
          </w:rPr>
          <w:t>https://eacea.ec.europa.eu/erasmus-plus/emjmd-catalogue_en</w:t>
        </w:r>
      </w:hyperlink>
    </w:p>
  </w:footnote>
  <w:footnote w:id="68">
    <w:p w14:paraId="7D39B12B" w14:textId="77777777" w:rsidR="00A6094F" w:rsidRPr="001F01BF" w:rsidRDefault="00A6094F" w:rsidP="00FC1B4B">
      <w:pPr>
        <w:pStyle w:val="FootnoteText"/>
        <w:ind w:left="288" w:hanging="288"/>
        <w:rPr>
          <w:rFonts w:asciiTheme="minorHAnsi" w:hAnsiTheme="minorHAnsi"/>
          <w:sz w:val="14"/>
          <w:szCs w:val="14"/>
          <w:lang w:val="sl-SI"/>
        </w:rPr>
      </w:pPr>
      <w:r w:rsidRPr="001F01BF">
        <w:rPr>
          <w:rStyle w:val="FootnoteReference"/>
          <w:rFonts w:asciiTheme="minorHAnsi" w:hAnsiTheme="minorHAnsi"/>
          <w:sz w:val="14"/>
          <w:szCs w:val="14"/>
        </w:rPr>
        <w:footnoteRef/>
      </w:r>
      <w:r w:rsidRPr="001F01BF">
        <w:rPr>
          <w:rFonts w:asciiTheme="minorHAnsi" w:eastAsia="Cambria" w:hAnsiTheme="minorHAnsi" w:cs="Cambria"/>
          <w:smallCaps/>
          <w:kern w:val="0"/>
          <w:sz w:val="14"/>
          <w:szCs w:val="14"/>
          <w:bdr w:val="nil"/>
          <w:lang w:val="sl-SI"/>
        </w:rPr>
        <w:t xml:space="preserve"> </w:t>
      </w:r>
      <w:r>
        <w:rPr>
          <w:rFonts w:asciiTheme="minorHAnsi" w:eastAsia="Cambria" w:hAnsiTheme="minorHAnsi" w:cs="Cambria"/>
          <w:smallCaps/>
          <w:kern w:val="0"/>
          <w:sz w:val="14"/>
          <w:szCs w:val="14"/>
          <w:bdr w:val="nil"/>
          <w:lang w:val="sl-SI"/>
        </w:rPr>
        <w:tab/>
      </w:r>
      <w:r w:rsidRPr="001F01BF">
        <w:rPr>
          <w:rFonts w:asciiTheme="minorHAnsi" w:eastAsia="Calibri" w:hAnsiTheme="minorHAnsi" w:cs="Calibri"/>
          <w:kern w:val="0"/>
          <w:sz w:val="14"/>
          <w:szCs w:val="14"/>
          <w:bdr w:val="nil"/>
          <w:lang w:val="sl-SI"/>
        </w:rPr>
        <w:t>To se nanaša na skupno število financiranih štipendij, vključno s tistimi, ki so namenjene za eno ali več prednostnih regij/držav sveta.</w:t>
      </w:r>
    </w:p>
  </w:footnote>
  <w:footnote w:id="69">
    <w:p w14:paraId="7D39B12C" w14:textId="77777777" w:rsidR="00A6094F" w:rsidRPr="001F01BF" w:rsidRDefault="00A6094F" w:rsidP="008B2C7D">
      <w:pPr>
        <w:pStyle w:val="FootnoteText"/>
        <w:ind w:left="284" w:hanging="284"/>
        <w:rPr>
          <w:rFonts w:asciiTheme="minorHAnsi" w:hAnsiTheme="minorHAnsi"/>
          <w:sz w:val="14"/>
          <w:szCs w:val="14"/>
          <w:lang w:val="sl-SI"/>
        </w:rPr>
      </w:pPr>
      <w:r w:rsidRPr="001F01BF">
        <w:rPr>
          <w:rStyle w:val="FootnoteReference"/>
          <w:rFonts w:asciiTheme="minorHAnsi" w:hAnsiTheme="minorHAnsi"/>
          <w:sz w:val="14"/>
          <w:szCs w:val="14"/>
        </w:rPr>
        <w:footnoteRef/>
      </w:r>
      <w:r w:rsidRPr="001F01BF">
        <w:rPr>
          <w:rFonts w:asciiTheme="minorHAnsi" w:hAnsiTheme="minorHAnsi"/>
          <w:sz w:val="14"/>
          <w:szCs w:val="14"/>
          <w:lang w:val="sl-SI"/>
        </w:rPr>
        <w:t xml:space="preserve"> </w:t>
      </w:r>
      <w:r>
        <w:rPr>
          <w:rFonts w:asciiTheme="minorHAnsi" w:hAnsiTheme="minorHAnsi"/>
          <w:sz w:val="14"/>
          <w:szCs w:val="14"/>
          <w:lang w:val="sl-SI"/>
        </w:rPr>
        <w:tab/>
      </w:r>
      <w:r w:rsidRPr="001F01BF">
        <w:rPr>
          <w:rFonts w:asciiTheme="minorHAnsi" w:eastAsia="Calibri" w:hAnsiTheme="minorHAnsi" w:cs="Calibri"/>
          <w:sz w:val="14"/>
          <w:szCs w:val="14"/>
          <w:bdr w:val="nil"/>
          <w:lang w:val="sl-SI"/>
        </w:rPr>
        <w:t xml:space="preserve">UREDBA (EU) št. 231/2014 EVROPSKEGA PARLAMENTA IN SVETA z dne 11. marca 2014 o vzpostavitvi instrumenta za predpristopno pomoč (IPA II): </w:t>
      </w:r>
      <w:hyperlink r:id="rId15" w:history="1">
        <w:r w:rsidRPr="0064639D">
          <w:rPr>
            <w:rStyle w:val="Hyperlink"/>
            <w:rFonts w:asciiTheme="minorHAnsi" w:eastAsia="Calibri" w:hAnsiTheme="minorHAnsi" w:cs="Calibri"/>
            <w:sz w:val="14"/>
            <w:szCs w:val="14"/>
            <w:bdr w:val="nil"/>
            <w:lang w:val="sl-SI"/>
          </w:rPr>
          <w:t>https://eur-lex.europa.eu/legal-content/EN/TXT/PDF/?uri=CELEX:32014R0231&amp;from=EN</w:t>
        </w:r>
      </w:hyperlink>
      <w:r>
        <w:rPr>
          <w:rFonts w:asciiTheme="minorHAnsi" w:eastAsia="Calibri" w:hAnsiTheme="minorHAnsi" w:cs="Calibri"/>
          <w:sz w:val="14"/>
          <w:szCs w:val="14"/>
          <w:bdr w:val="nil"/>
          <w:lang w:val="sl-SI"/>
        </w:rPr>
        <w:t xml:space="preserve"> </w:t>
      </w:r>
    </w:p>
  </w:footnote>
  <w:footnote w:id="70">
    <w:p w14:paraId="7D39B12D" w14:textId="77777777" w:rsidR="00A6094F" w:rsidRPr="001F01BF" w:rsidRDefault="00A6094F" w:rsidP="0015677C">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 xml:space="preserve">UREDBA (EU) št. 233/2014 EVROPSKEGA PARLAMENTA IN SVETA z dne 11. marca 2014 o vzpostavitvi instrumenta za financiranje razvojnega sodelovanja </w:t>
      </w:r>
      <w:r w:rsidRPr="001F01BF">
        <w:rPr>
          <w:rFonts w:asciiTheme="minorHAnsi" w:hAnsiTheme="minorHAnsi"/>
          <w:szCs w:val="14"/>
          <w:lang w:val="sl-SI"/>
        </w:rPr>
        <w:br/>
        <w:t xml:space="preserve">za obdobje 2014–2020: </w:t>
      </w:r>
      <w:r w:rsidRPr="001F01BF">
        <w:rPr>
          <w:rStyle w:val="Hyperlink"/>
          <w:rFonts w:asciiTheme="minorHAnsi" w:hAnsiTheme="minorHAnsi"/>
          <w:szCs w:val="14"/>
          <w:lang w:val="sl-SI"/>
        </w:rPr>
        <w:t>http://eur-lex.europa.eu/LexUriServ/LexUriServ.do?uri=OJ:L:2014:077:0044:0076:SL:PDF</w:t>
      </w:r>
      <w:r w:rsidRPr="001F01BF">
        <w:rPr>
          <w:rFonts w:asciiTheme="minorHAnsi" w:hAnsiTheme="minorHAnsi"/>
          <w:color w:val="000000"/>
          <w:szCs w:val="14"/>
          <w:lang w:val="sl-SI"/>
        </w:rPr>
        <w:t>.</w:t>
      </w:r>
    </w:p>
  </w:footnote>
  <w:footnote w:id="71">
    <w:p w14:paraId="7D39B12E" w14:textId="77777777" w:rsidR="00A6094F" w:rsidRPr="001F01BF" w:rsidRDefault="00A6094F" w:rsidP="0015677C">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 xml:space="preserve">UREDBA (EU) št. 232/2014 EVROPSKEGA PARLAMENTA IN SVETA z dne 11. marca 2014 o vzpostavitvi evropskega instrumenta sosedstva: </w:t>
      </w:r>
      <w:r w:rsidRPr="001F01BF">
        <w:rPr>
          <w:rFonts w:asciiTheme="minorHAnsi" w:hAnsiTheme="minorHAnsi"/>
          <w:szCs w:val="14"/>
          <w:lang w:val="sl-SI"/>
        </w:rPr>
        <w:br/>
      </w:r>
      <w:r w:rsidRPr="001F01BF">
        <w:rPr>
          <w:rStyle w:val="Hyperlink"/>
          <w:rFonts w:asciiTheme="minorHAnsi" w:hAnsiTheme="minorHAnsi"/>
          <w:szCs w:val="14"/>
          <w:lang w:val="sl-SI"/>
        </w:rPr>
        <w:t>http://eur-lex.europa.eu/LexUriServ/LexUriServ.do?uri=OJ:L:2014:077:0027:0043:SL:PDF</w:t>
      </w:r>
      <w:r w:rsidRPr="001F01BF">
        <w:rPr>
          <w:rFonts w:asciiTheme="minorHAnsi" w:hAnsiTheme="minorHAnsi"/>
          <w:color w:val="000000"/>
          <w:szCs w:val="14"/>
          <w:lang w:val="sl-SI"/>
        </w:rPr>
        <w:t>.</w:t>
      </w:r>
    </w:p>
  </w:footnote>
  <w:footnote w:id="72">
    <w:p w14:paraId="7D39B12F" w14:textId="77777777" w:rsidR="00A6094F" w:rsidRPr="001F01BF" w:rsidRDefault="00A6094F" w:rsidP="0015677C">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 xml:space="preserve">UREDBA (EU) št. 234/2014 EVROPSKEGA PARLAMENTA IN SVETA z dne 11. marca 2014 o vzpostavitvi instrumenta partnerstva za sodelovanje s tretjimi državami: </w:t>
      </w:r>
      <w:r w:rsidRPr="001F01BF">
        <w:rPr>
          <w:rStyle w:val="Hyperlink"/>
          <w:rFonts w:asciiTheme="minorHAnsi" w:hAnsiTheme="minorHAnsi"/>
          <w:szCs w:val="14"/>
          <w:lang w:val="sl-SI"/>
        </w:rPr>
        <w:t>http://eur-lex.europa.eu/LexUriServ/LexUriServ.do?uri=OJ:L:2014:077:0077:0084:SL:PDF</w:t>
      </w:r>
      <w:r w:rsidRPr="001F01BF">
        <w:rPr>
          <w:rFonts w:asciiTheme="minorHAnsi" w:hAnsiTheme="minorHAnsi"/>
          <w:color w:val="000000"/>
          <w:szCs w:val="14"/>
          <w:lang w:val="sl-SI"/>
        </w:rPr>
        <w:t>.</w:t>
      </w:r>
    </w:p>
  </w:footnote>
  <w:footnote w:id="73">
    <w:p w14:paraId="7D39B130" w14:textId="77777777" w:rsidR="00A6094F" w:rsidRPr="00E03711" w:rsidRDefault="00A6094F" w:rsidP="00E03711">
      <w:pPr>
        <w:ind w:left="284" w:hanging="284"/>
        <w:jc w:val="both"/>
        <w:rPr>
          <w:rFonts w:asciiTheme="minorHAnsi" w:eastAsia="Calibri" w:hAnsiTheme="minorHAnsi" w:cs="Calibri"/>
          <w:sz w:val="14"/>
          <w:szCs w:val="14"/>
          <w:bdr w:val="nil"/>
          <w:lang w:val="sl-SI"/>
        </w:rPr>
      </w:pPr>
      <w:r w:rsidRPr="00734594">
        <w:rPr>
          <w:rFonts w:asciiTheme="minorHAnsi" w:hAnsiTheme="minorHAnsi"/>
          <w:sz w:val="14"/>
          <w:szCs w:val="14"/>
          <w:vertAlign w:val="superscript"/>
          <w:lang w:val="en-GB"/>
        </w:rPr>
        <w:footnoteRef/>
      </w:r>
      <w:r>
        <w:rPr>
          <w:rFonts w:asciiTheme="minorHAnsi" w:eastAsia="Calibri" w:hAnsiTheme="minorHAnsi" w:cs="Calibri"/>
          <w:sz w:val="14"/>
          <w:szCs w:val="14"/>
          <w:bdr w:val="nil"/>
          <w:lang w:val="sl-SI"/>
        </w:rPr>
        <w:t xml:space="preserve"> </w:t>
      </w:r>
      <w:r>
        <w:rPr>
          <w:rFonts w:asciiTheme="minorHAnsi" w:eastAsia="Calibri" w:hAnsiTheme="minorHAnsi" w:cs="Calibri"/>
          <w:sz w:val="14"/>
          <w:szCs w:val="14"/>
          <w:bdr w:val="nil"/>
          <w:lang w:val="sl-SI"/>
        </w:rPr>
        <w:tab/>
      </w:r>
      <w:r w:rsidRPr="001F01BF">
        <w:rPr>
          <w:rFonts w:asciiTheme="minorHAnsi" w:eastAsia="Calibri" w:hAnsiTheme="minorHAnsi" w:cs="Calibri"/>
          <w:sz w:val="14"/>
          <w:szCs w:val="14"/>
          <w:bdr w:val="nil"/>
          <w:lang w:val="sl-SI"/>
        </w:rPr>
        <w:t xml:space="preserve">UREDBA (EU) št. 231/2014 EVROPSKEGA PARLAMENTA IN SVETA z dne 11. marca 2014 o vzpostavitvi instrumenta za predpristopno pomoč (IPA II): </w:t>
      </w:r>
      <w:hyperlink r:id="rId16" w:history="1">
        <w:r w:rsidRPr="008E4DBC">
          <w:rPr>
            <w:rStyle w:val="Hyperlink"/>
            <w:rFonts w:asciiTheme="minorHAnsi" w:eastAsia="Calibri" w:hAnsiTheme="minorHAnsi" w:cs="Calibri"/>
            <w:sz w:val="14"/>
            <w:szCs w:val="14"/>
            <w:bdr w:val="nil"/>
            <w:lang w:val="sl-SI"/>
          </w:rPr>
          <w:t>https://ec.europa.eu/neighbourhood-enlargement/sites/near/files/pdf/financial_assistance/ipa/2014/231-2014_ipa-2-reg.pdf</w:t>
        </w:r>
      </w:hyperlink>
    </w:p>
  </w:footnote>
  <w:footnote w:id="74">
    <w:p w14:paraId="7D39B131" w14:textId="77777777" w:rsidR="00A6094F" w:rsidRPr="001F01BF" w:rsidRDefault="00A6094F" w:rsidP="0015677C">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Afganistan, Bangladeš, Butan, Kambodža, Laos, Mjanmar, Nepal.</w:t>
      </w:r>
    </w:p>
  </w:footnote>
  <w:footnote w:id="75">
    <w:p w14:paraId="7D39B132" w14:textId="77777777" w:rsidR="00A6094F" w:rsidRPr="001F01BF" w:rsidRDefault="00A6094F" w:rsidP="0015677C">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Kirgizistan, Tadžikistan, Uzbekistan.</w:t>
      </w:r>
    </w:p>
  </w:footnote>
  <w:footnote w:id="76">
    <w:p w14:paraId="7D39B133" w14:textId="77777777" w:rsidR="00A6094F" w:rsidRPr="001F01BF" w:rsidRDefault="00A6094F" w:rsidP="00C0170B">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Bolivija, Salvador, Gvatemala, Honduras, Nikaragva.</w:t>
      </w:r>
    </w:p>
  </w:footnote>
  <w:footnote w:id="77">
    <w:p w14:paraId="7D39B134" w14:textId="77777777" w:rsidR="00A6094F" w:rsidRPr="001F01BF" w:rsidRDefault="00A6094F" w:rsidP="00015C0E">
      <w:pPr>
        <w:pStyle w:val="Guide-Footnote"/>
        <w:rPr>
          <w:rFonts w:asciiTheme="minorHAnsi" w:hAnsiTheme="minorHAnsi"/>
          <w:kern w:val="0"/>
          <w:szCs w:val="14"/>
          <w:lang w:val="sl-SI" w:eastAsia="fr-FR"/>
        </w:rPr>
      </w:pPr>
      <w:r w:rsidRPr="001F01BF">
        <w:rPr>
          <w:rStyle w:val="FootnoteReference"/>
          <w:rFonts w:asciiTheme="minorHAnsi" w:hAnsiTheme="minorHAnsi"/>
          <w:szCs w:val="14"/>
        </w:rPr>
        <w:footnoteRef/>
      </w:r>
      <w:r w:rsidRPr="001F01BF">
        <w:rPr>
          <w:rFonts w:asciiTheme="minorHAnsi" w:hAnsiTheme="minorHAnsi"/>
          <w:szCs w:val="14"/>
          <w:lang w:val="sl-SI"/>
        </w:rPr>
        <w:tab/>
        <w:t xml:space="preserve">Stroške pridruženih partnerjev lahko konzorcij EMJMD povrne le iz „prispevka EU za stroške upravljanja </w:t>
      </w:r>
      <w:r w:rsidRPr="001F01BF">
        <w:rPr>
          <w:rFonts w:asciiTheme="minorHAnsi" w:hAnsiTheme="minorHAnsi"/>
          <w:kern w:val="0"/>
          <w:szCs w:val="14"/>
          <w:lang w:val="sl-SI" w:eastAsia="fr-FR"/>
        </w:rPr>
        <w:t>konzorcija“ (pavšalni znesek).</w:t>
      </w:r>
    </w:p>
  </w:footnote>
  <w:footnote w:id="78">
    <w:p w14:paraId="7D39B135" w14:textId="77777777" w:rsidR="00A6094F" w:rsidRPr="001F01BF" w:rsidRDefault="00A6094F" w:rsidP="00C0170B">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Študenti, ki niso državljani države Programa in v njej v zadnjih petih letih niso izvajali svoje glavne aktivnosti (študij, usposabljanje ali delo) več kot 12 mesecev. Petletno referenčno obdobje za to pravilo 12 mesecev se izračuna za nazaj od roka za oddajo prijave za študentsko štipendijo za program EMJMD, ki ga določi konzorcij.</w:t>
      </w:r>
    </w:p>
  </w:footnote>
  <w:footnote w:id="79">
    <w:p w14:paraId="7D39B136" w14:textId="77777777" w:rsidR="00A6094F" w:rsidRPr="001F01BF" w:rsidRDefault="00A6094F" w:rsidP="00C63BBE">
      <w:pPr>
        <w:pStyle w:val="Guide-Footnote"/>
        <w:rPr>
          <w:rFonts w:asciiTheme="minorHAnsi" w:hAnsiTheme="minorHAnsi"/>
          <w:kern w:val="0"/>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 xml:space="preserve"> </w:t>
      </w:r>
      <w:r w:rsidRPr="001F01BF">
        <w:rPr>
          <w:rFonts w:asciiTheme="minorHAnsi" w:hAnsiTheme="minorHAnsi"/>
          <w:szCs w:val="14"/>
          <w:lang w:val="sl-SI"/>
        </w:rPr>
        <w:tab/>
      </w:r>
      <w:r w:rsidRPr="001F01BF">
        <w:rPr>
          <w:rFonts w:asciiTheme="minorHAnsi" w:eastAsia="Calibri" w:hAnsiTheme="minorHAnsi" w:cs="Calibri"/>
          <w:kern w:val="0"/>
          <w:szCs w:val="14"/>
          <w:bdr w:val="nil"/>
          <w:lang w:val="sl-SI" w:eastAsia="zh-CN"/>
        </w:rPr>
        <w:t>Teoretični najvišji znesek je izračunan na podlagi maksimalnih zneskov štipendij, ob predpostavki, da bo projektu dodeljeno maksimalno število štipendij (npr. 60 + 28).</w:t>
      </w:r>
    </w:p>
  </w:footnote>
  <w:footnote w:id="80">
    <w:p w14:paraId="7D39B137" w14:textId="77777777" w:rsidR="00A6094F" w:rsidRPr="00860232" w:rsidRDefault="00A6094F" w:rsidP="00FC1B4B">
      <w:pPr>
        <w:pStyle w:val="FootnoteText"/>
        <w:ind w:left="288" w:hanging="288"/>
        <w:rPr>
          <w:lang w:val="sl-SI"/>
        </w:rPr>
      </w:pPr>
      <w:r w:rsidRPr="00FC1B4B">
        <w:rPr>
          <w:rStyle w:val="FootnoteReference"/>
          <w:sz w:val="14"/>
          <w:szCs w:val="14"/>
        </w:rPr>
        <w:footnoteRef/>
      </w:r>
      <w:r w:rsidRPr="00FC1B4B">
        <w:rPr>
          <w:sz w:val="14"/>
          <w:szCs w:val="14"/>
          <w:lang w:val="sl-SI"/>
        </w:rPr>
        <w:t xml:space="preserve"> </w:t>
      </w:r>
      <w:r>
        <w:rPr>
          <w:lang w:val="sl-SI"/>
        </w:rPr>
        <w:tab/>
      </w:r>
      <w:r w:rsidRPr="004E4C36">
        <w:rPr>
          <w:rFonts w:asciiTheme="minorHAnsi" w:hAnsiTheme="minorHAnsi"/>
          <w:sz w:val="14"/>
          <w:szCs w:val="14"/>
          <w:lang w:val="sl-SI"/>
        </w:rPr>
        <w:t xml:space="preserve">Na primer: U-Multirank </w:t>
      </w:r>
      <w:hyperlink r:id="rId17" w:history="1">
        <w:r w:rsidRPr="004E4C36">
          <w:rPr>
            <w:rStyle w:val="Hyperlink"/>
            <w:rFonts w:asciiTheme="minorHAnsi" w:hAnsiTheme="minorHAnsi"/>
            <w:sz w:val="14"/>
            <w:szCs w:val="14"/>
            <w:lang w:val="sl-SI"/>
          </w:rPr>
          <w:t>https://www.umultirank.org/</w:t>
        </w:r>
      </w:hyperlink>
      <w:r w:rsidRPr="004E4C36">
        <w:rPr>
          <w:rFonts w:asciiTheme="minorHAnsi" w:hAnsiTheme="minorHAnsi"/>
          <w:sz w:val="14"/>
          <w:szCs w:val="14"/>
          <w:lang w:val="sl-SI"/>
        </w:rPr>
        <w:t xml:space="preserve">; ETER </w:t>
      </w:r>
      <w:hyperlink r:id="rId18" w:anchor="/home" w:history="1">
        <w:r w:rsidRPr="004E4C36">
          <w:rPr>
            <w:rStyle w:val="Hyperlink"/>
            <w:rFonts w:asciiTheme="minorHAnsi" w:hAnsiTheme="minorHAnsi"/>
            <w:sz w:val="14"/>
            <w:szCs w:val="14"/>
            <w:lang w:val="sl-SI"/>
          </w:rPr>
          <w:t>https://www.eter-project.com/#/home</w:t>
        </w:r>
      </w:hyperlink>
      <w:r w:rsidRPr="004E4C36">
        <w:rPr>
          <w:rFonts w:asciiTheme="minorHAnsi" w:hAnsiTheme="minorHAnsi"/>
          <w:sz w:val="14"/>
          <w:szCs w:val="14"/>
          <w:lang w:val="sl-SI"/>
        </w:rPr>
        <w:t xml:space="preserve">; Graduate Tracking  </w:t>
      </w:r>
      <w:hyperlink r:id="rId19" w:history="1">
        <w:r w:rsidRPr="004E4C36">
          <w:rPr>
            <w:rStyle w:val="Hyperlink"/>
            <w:rFonts w:asciiTheme="minorHAnsi" w:hAnsiTheme="minorHAnsi"/>
            <w:sz w:val="14"/>
            <w:szCs w:val="14"/>
            <w:lang w:val="sl-SI"/>
          </w:rPr>
          <w:t>https://eur-lex.europa.eu/legal-content/EN/TXT/?uri=CELEX%3A52017DC0249</w:t>
        </w:r>
      </w:hyperlink>
      <w:r w:rsidRPr="004E4C36">
        <w:rPr>
          <w:rFonts w:asciiTheme="minorHAnsi" w:hAnsiTheme="minorHAnsi"/>
          <w:sz w:val="14"/>
          <w:szCs w:val="14"/>
          <w:lang w:val="sl-SI"/>
        </w:rPr>
        <w:t xml:space="preserve"> ;  HEInnovate </w:t>
      </w:r>
      <w:hyperlink r:id="rId20" w:history="1">
        <w:r w:rsidRPr="004E4C36">
          <w:rPr>
            <w:rStyle w:val="Hyperlink"/>
            <w:rFonts w:asciiTheme="minorHAnsi" w:hAnsiTheme="minorHAnsi"/>
            <w:sz w:val="14"/>
            <w:szCs w:val="14"/>
            <w:lang w:val="sl-SI"/>
          </w:rPr>
          <w:t>https://heinnovate.eu/en</w:t>
        </w:r>
      </w:hyperlink>
    </w:p>
  </w:footnote>
  <w:footnote w:id="81">
    <w:p w14:paraId="7D39B138" w14:textId="77777777" w:rsidR="00A6094F" w:rsidRPr="004E4C36" w:rsidRDefault="00A6094F" w:rsidP="00104AE6">
      <w:pPr>
        <w:pStyle w:val="FootnoteText"/>
        <w:ind w:left="288" w:hanging="288"/>
        <w:rPr>
          <w:lang w:val="sl-SI"/>
        </w:rPr>
      </w:pPr>
      <w:r w:rsidRPr="00BD46E1">
        <w:rPr>
          <w:rStyle w:val="FootnoteReference"/>
          <w:rFonts w:asciiTheme="minorHAnsi" w:hAnsiTheme="minorHAnsi"/>
          <w:sz w:val="14"/>
          <w:szCs w:val="14"/>
        </w:rPr>
        <w:footnoteRef/>
      </w:r>
      <w:r w:rsidRPr="004E4C36">
        <w:rPr>
          <w:rFonts w:asciiTheme="minorHAnsi" w:hAnsiTheme="minorHAnsi"/>
          <w:sz w:val="14"/>
          <w:szCs w:val="14"/>
          <w:lang w:val="sl-SI"/>
        </w:rPr>
        <w:t xml:space="preserve"> </w:t>
      </w:r>
      <w:r>
        <w:rPr>
          <w:rFonts w:asciiTheme="minorHAnsi" w:hAnsiTheme="minorHAnsi"/>
          <w:sz w:val="14"/>
          <w:szCs w:val="14"/>
          <w:lang w:val="sl-SI"/>
        </w:rPr>
        <w:tab/>
      </w:r>
      <w:r w:rsidRPr="004E4C36">
        <w:rPr>
          <w:rFonts w:asciiTheme="minorHAnsi" w:hAnsiTheme="minorHAnsi"/>
          <w:sz w:val="14"/>
          <w:szCs w:val="14"/>
          <w:lang w:val="sl-SI"/>
        </w:rPr>
        <w:t xml:space="preserve">Skladno s priporočilom Sveta o temeljitem pristopu k poučevanju in učenju jezikov {SWD(2018) 174 končna različica} </w:t>
      </w:r>
      <w:hyperlink r:id="rId21" w:history="1">
        <w:r w:rsidRPr="004E4C36">
          <w:rPr>
            <w:rStyle w:val="Hyperlink"/>
            <w:rFonts w:asciiTheme="minorHAnsi" w:hAnsiTheme="minorHAnsi"/>
            <w:sz w:val="14"/>
            <w:szCs w:val="14"/>
            <w:lang w:val="sl-SI"/>
          </w:rPr>
          <w:t>https://eur-lex.europa.eu/legal-content/EN/TXT/?uri=COM%3A2018%3A272%3AFIN</w:t>
        </w:r>
      </w:hyperlink>
      <w:r w:rsidRPr="004E4C36">
        <w:rPr>
          <w:lang w:val="sl-SI"/>
        </w:rPr>
        <w:t xml:space="preserve"> </w:t>
      </w:r>
    </w:p>
  </w:footnote>
  <w:footnote w:id="82">
    <w:p w14:paraId="7D39B139" w14:textId="77777777" w:rsidR="00A6094F" w:rsidRPr="001F01BF" w:rsidRDefault="00A6094F" w:rsidP="00215944">
      <w:pPr>
        <w:pStyle w:val="FootnoteText"/>
        <w:tabs>
          <w:tab w:val="left" w:pos="284"/>
        </w:tabs>
        <w:ind w:left="284" w:hanging="284"/>
        <w:rPr>
          <w:rFonts w:asciiTheme="minorHAnsi" w:hAnsiTheme="minorHAnsi"/>
          <w:smallCaps/>
          <w:sz w:val="14"/>
          <w:szCs w:val="14"/>
          <w:lang w:val="sl-SI"/>
        </w:rPr>
      </w:pPr>
      <w:r w:rsidRPr="001F01BF">
        <w:rPr>
          <w:rStyle w:val="FootnoteReference"/>
          <w:rFonts w:asciiTheme="minorHAnsi" w:hAnsiTheme="minorHAnsi"/>
          <w:sz w:val="14"/>
          <w:szCs w:val="14"/>
        </w:rPr>
        <w:footnoteRef/>
      </w:r>
      <w:r w:rsidRPr="001F01BF">
        <w:rPr>
          <w:rFonts w:asciiTheme="minorHAnsi" w:eastAsia="Calibri" w:hAnsiTheme="minorHAnsi" w:cs="Calibri"/>
          <w:kern w:val="0"/>
          <w:sz w:val="14"/>
          <w:szCs w:val="14"/>
          <w:bdr w:val="nil"/>
          <w:lang w:val="sl-SI"/>
        </w:rPr>
        <w:tab/>
      </w:r>
      <w:r w:rsidRPr="004E4C36">
        <w:rPr>
          <w:rFonts w:asciiTheme="minorHAnsi" w:hAnsiTheme="minorHAnsi"/>
          <w:sz w:val="14"/>
          <w:szCs w:val="14"/>
          <w:lang w:val="sl-SI"/>
        </w:rPr>
        <w:t xml:space="preserve">Usmeritveni dokument "Go international: Practical Guide on Strategic Internationalisation in VET" </w:t>
      </w:r>
      <w:hyperlink r:id="rId22" w:history="1">
        <w:r w:rsidRPr="004E4C36">
          <w:rPr>
            <w:rStyle w:val="Hyperlink"/>
            <w:rFonts w:asciiTheme="minorHAnsi" w:hAnsiTheme="minorHAnsi"/>
            <w:sz w:val="14"/>
            <w:szCs w:val="14"/>
            <w:lang w:val="sl-SI"/>
          </w:rPr>
          <w:t>http://ec.europa.eu/programmes/erasmus-plus/sites/erasmusplus2/files/eac-a06-go-international_en.pdf</w:t>
        </w:r>
      </w:hyperlink>
    </w:p>
  </w:footnote>
  <w:footnote w:id="83">
    <w:p w14:paraId="7D39B13A" w14:textId="77777777" w:rsidR="00A6094F" w:rsidRPr="00734594" w:rsidRDefault="00A6094F" w:rsidP="00215944">
      <w:pPr>
        <w:pStyle w:val="FootnoteText"/>
        <w:tabs>
          <w:tab w:val="left" w:pos="284"/>
        </w:tabs>
        <w:ind w:left="284" w:hanging="284"/>
        <w:rPr>
          <w:rFonts w:asciiTheme="minorHAnsi" w:hAnsiTheme="minorHAnsi"/>
          <w:smallCaps/>
          <w:sz w:val="14"/>
          <w:szCs w:val="14"/>
          <w:lang w:val="sl-SI"/>
        </w:rPr>
      </w:pPr>
      <w:r w:rsidRPr="00734594">
        <w:rPr>
          <w:rFonts w:asciiTheme="minorHAnsi" w:hAnsiTheme="minorHAnsi"/>
          <w:sz w:val="14"/>
          <w:szCs w:val="14"/>
          <w:vertAlign w:val="superscript"/>
          <w:lang w:val="en-GB"/>
        </w:rPr>
        <w:footnoteRef/>
      </w:r>
      <w:r w:rsidRPr="00734594">
        <w:rPr>
          <w:rFonts w:asciiTheme="minorHAnsi" w:eastAsia="Calibri" w:hAnsiTheme="minorHAnsi" w:cs="Calibri"/>
          <w:kern w:val="0"/>
          <w:sz w:val="14"/>
          <w:szCs w:val="14"/>
          <w:bdr w:val="nil"/>
          <w:vertAlign w:val="superscript"/>
          <w:lang w:val="sl-SI"/>
        </w:rPr>
        <w:t xml:space="preserve"> </w:t>
      </w:r>
      <w:r w:rsidRPr="00734594">
        <w:rPr>
          <w:rFonts w:asciiTheme="minorHAnsi" w:eastAsia="Calibri" w:hAnsiTheme="minorHAnsi" w:cs="Calibri"/>
          <w:kern w:val="0"/>
          <w:sz w:val="14"/>
          <w:szCs w:val="14"/>
          <w:bdr w:val="nil"/>
          <w:lang w:val="sl-SI"/>
        </w:rPr>
        <w:tab/>
        <w:t>Uporabiti bi bilo treba posebna pravila in informacije v zvezi z aktivnostmi mobilnosti dijakov v PIU, ki so opisani v Prilogi I k Vodniku za prijavitelje.</w:t>
      </w:r>
    </w:p>
  </w:footnote>
  <w:footnote w:id="84">
    <w:p w14:paraId="7D39B13B" w14:textId="77777777" w:rsidR="00A6094F" w:rsidRPr="00734594" w:rsidRDefault="00A6094F" w:rsidP="00215944">
      <w:pPr>
        <w:pStyle w:val="FootnoteText"/>
        <w:tabs>
          <w:tab w:val="left" w:pos="284"/>
        </w:tabs>
        <w:ind w:left="284" w:hanging="284"/>
        <w:rPr>
          <w:rFonts w:asciiTheme="minorHAnsi" w:hAnsiTheme="minorHAnsi"/>
          <w:sz w:val="14"/>
          <w:szCs w:val="14"/>
          <w:lang w:val="sl-SI"/>
        </w:rPr>
      </w:pPr>
      <w:r w:rsidRPr="00734594">
        <w:rPr>
          <w:rFonts w:asciiTheme="minorHAnsi" w:hAnsiTheme="minorHAnsi"/>
          <w:sz w:val="14"/>
          <w:szCs w:val="14"/>
          <w:vertAlign w:val="superscript"/>
          <w:lang w:val="en-GB"/>
        </w:rPr>
        <w:footnoteRef/>
      </w:r>
      <w:r w:rsidRPr="00734594">
        <w:rPr>
          <w:rFonts w:asciiTheme="minorHAnsi" w:eastAsia="Calibri" w:hAnsiTheme="minorHAnsi" w:cs="Calibri"/>
          <w:kern w:val="0"/>
          <w:sz w:val="14"/>
          <w:szCs w:val="14"/>
          <w:bdr w:val="nil"/>
          <w:vertAlign w:val="superscript"/>
          <w:lang w:val="sl-SI"/>
        </w:rPr>
        <w:t xml:space="preserve"> </w:t>
      </w:r>
      <w:r w:rsidRPr="00734594">
        <w:rPr>
          <w:rFonts w:asciiTheme="minorHAnsi" w:eastAsia="Calibri" w:hAnsiTheme="minorHAnsi" w:cs="Calibri"/>
          <w:kern w:val="0"/>
          <w:sz w:val="14"/>
          <w:szCs w:val="14"/>
          <w:bdr w:val="nil"/>
          <w:vertAlign w:val="superscript"/>
          <w:lang w:val="sl-SI"/>
        </w:rPr>
        <w:tab/>
      </w:r>
      <w:r w:rsidRPr="00734594">
        <w:rPr>
          <w:rFonts w:asciiTheme="minorHAnsi" w:eastAsia="Calibri" w:hAnsiTheme="minorHAnsi" w:cs="Calibri"/>
          <w:kern w:val="0"/>
          <w:sz w:val="14"/>
          <w:szCs w:val="14"/>
          <w:bdr w:val="nil"/>
          <w:lang w:val="sl-SI"/>
        </w:rPr>
        <w:t>Predlog Priporočila Sveta o evropskem okviru za kakovostno in učinkovito vajeništvo (COM(2017) 563 končno).</w:t>
      </w:r>
    </w:p>
  </w:footnote>
  <w:footnote w:id="85">
    <w:p w14:paraId="7D39B13C" w14:textId="77777777" w:rsidR="00A6094F" w:rsidRPr="00104AE6" w:rsidRDefault="00A6094F" w:rsidP="00104AE6">
      <w:pPr>
        <w:pStyle w:val="FootnoteText"/>
        <w:tabs>
          <w:tab w:val="left" w:pos="284"/>
        </w:tabs>
        <w:ind w:left="284" w:hanging="284"/>
        <w:rPr>
          <w:rFonts w:asciiTheme="minorHAnsi" w:eastAsia="Calibri" w:hAnsiTheme="minorHAnsi" w:cs="Calibri"/>
          <w:kern w:val="0"/>
          <w:sz w:val="14"/>
          <w:szCs w:val="14"/>
          <w:bdr w:val="nil"/>
          <w:lang w:val="sl-SI"/>
        </w:rPr>
      </w:pPr>
      <w:r w:rsidRPr="00734594">
        <w:rPr>
          <w:rFonts w:asciiTheme="minorHAnsi" w:hAnsiTheme="minorHAnsi"/>
          <w:sz w:val="14"/>
          <w:szCs w:val="14"/>
          <w:vertAlign w:val="superscript"/>
          <w:lang w:val="en-GB"/>
        </w:rPr>
        <w:footnoteRef/>
      </w:r>
      <w:r w:rsidRPr="00734594">
        <w:rPr>
          <w:rFonts w:asciiTheme="minorHAnsi" w:eastAsia="Calibri" w:hAnsiTheme="minorHAnsi" w:cs="Calibri"/>
          <w:kern w:val="0"/>
          <w:sz w:val="14"/>
          <w:szCs w:val="14"/>
          <w:bdr w:val="nil"/>
          <w:vertAlign w:val="superscript"/>
          <w:lang w:val="sl-SI"/>
        </w:rPr>
        <w:t xml:space="preserve"> </w:t>
      </w:r>
      <w:r w:rsidRPr="00734594">
        <w:rPr>
          <w:rFonts w:asciiTheme="minorHAnsi" w:eastAsia="Calibri" w:hAnsiTheme="minorHAnsi" w:cs="Calibri"/>
          <w:kern w:val="0"/>
          <w:sz w:val="14"/>
          <w:szCs w:val="14"/>
          <w:bdr w:val="nil"/>
          <w:lang w:val="sl-SI"/>
        </w:rPr>
        <w:tab/>
        <w:t>UL C 155, 8.7.2009, str. 1–</w:t>
      </w:r>
      <w:r>
        <w:rPr>
          <w:rFonts w:asciiTheme="minorHAnsi" w:eastAsia="Calibri" w:hAnsiTheme="minorHAnsi" w:cs="Calibri"/>
          <w:kern w:val="0"/>
          <w:sz w:val="14"/>
          <w:szCs w:val="14"/>
          <w:bdr w:val="nil"/>
          <w:lang w:val="sl-SI"/>
        </w:rPr>
        <w:t>10</w:t>
      </w:r>
    </w:p>
  </w:footnote>
  <w:footnote w:id="86">
    <w:p w14:paraId="7D39B13D" w14:textId="77777777" w:rsidR="00A6094F" w:rsidRPr="001F01BF" w:rsidRDefault="00A6094F" w:rsidP="00D4441B">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V primeru neformalne skupine eden od članov skupine prevzame vlogo predstavnika in odgovornost v imenu skupine.</w:t>
      </w:r>
    </w:p>
  </w:footnote>
  <w:footnote w:id="87">
    <w:p w14:paraId="7D39B13E" w14:textId="77777777" w:rsidR="00A6094F" w:rsidRPr="001F01BF" w:rsidRDefault="00A6094F" w:rsidP="00D4441B">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Za to vrsto partnerstev velja posebna opredelitev upravičenih šol, odvisno od države, v kateri ima šola sedež. Opredelitev in/ali seznam upravičenih šol je objavljen na spletišču posamezne nacionalne agencije. Poleg tega je treba upoštevati, da se pogodbeni model za partnerstva za izmenjavo med šolami razlikuje od drugih strateških partnerstev ter temelji na sporazumih o nepovratnih sredstvih z enim samim upravičencem. Za več podrobnosti glejte del C tega vodnika ali se obrnite na svojo nacionalno</w:t>
      </w:r>
      <w:r w:rsidRPr="001F01BF">
        <w:rPr>
          <w:rFonts w:asciiTheme="minorHAnsi" w:hAnsiTheme="minorHAnsi"/>
          <w:spacing w:val="5"/>
          <w:szCs w:val="14"/>
          <w:lang w:val="sl-SI"/>
        </w:rPr>
        <w:t xml:space="preserve"> </w:t>
      </w:r>
      <w:r w:rsidRPr="001F01BF">
        <w:rPr>
          <w:rFonts w:asciiTheme="minorHAnsi" w:hAnsiTheme="minorHAnsi"/>
          <w:szCs w:val="14"/>
          <w:lang w:val="sl-SI"/>
        </w:rPr>
        <w:t>agencijo.</w:t>
      </w:r>
    </w:p>
  </w:footnote>
  <w:footnote w:id="88">
    <w:p w14:paraId="7D39B13F" w14:textId="77777777" w:rsidR="00A6094F" w:rsidRPr="001F01BF" w:rsidRDefault="00A6094F" w:rsidP="00D4441B">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Sedeži institucij Evropske unije so Bruselj, Frankfurt, Luxembourg, Strasbourg in Haag.</w:t>
      </w:r>
    </w:p>
  </w:footnote>
  <w:footnote w:id="89">
    <w:p w14:paraId="7D39B140" w14:textId="77777777" w:rsidR="00A6094F" w:rsidRPr="001F01BF" w:rsidRDefault="00A6094F" w:rsidP="00D4441B">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Za posebno obliko „partnerstev za izmenjavo med šolami“ veljajo dodatna merila.Glej poglavje „Partnerstva za izmenjavo med šolami“.</w:t>
      </w:r>
    </w:p>
  </w:footnote>
  <w:footnote w:id="90">
    <w:p w14:paraId="7D39B141" w14:textId="77777777" w:rsidR="00A6094F" w:rsidRPr="001F01BF" w:rsidRDefault="00A6094F" w:rsidP="00D4441B">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Opozorilo: šole, ki so pod nadzorom nacionalnih organov druge države (npr. lycée français, nemške šole,</w:t>
      </w:r>
      <w:r w:rsidRPr="001F01BF">
        <w:rPr>
          <w:rFonts w:asciiTheme="minorHAnsi" w:hAnsiTheme="minorHAnsi"/>
          <w:spacing w:val="-6"/>
          <w:szCs w:val="14"/>
          <w:lang w:val="sl-SI"/>
        </w:rPr>
        <w:t xml:space="preserve"> </w:t>
      </w:r>
      <w:r w:rsidRPr="001F01BF">
        <w:rPr>
          <w:rFonts w:asciiTheme="minorHAnsi" w:hAnsiTheme="minorHAnsi"/>
          <w:szCs w:val="14"/>
          <w:lang w:val="sl-SI"/>
        </w:rPr>
        <w:t xml:space="preserve">šole </w:t>
      </w:r>
      <w:r w:rsidRPr="001F01BF">
        <w:rPr>
          <w:rFonts w:asciiTheme="minorHAnsi" w:hAnsiTheme="minorHAnsi"/>
          <w:w w:val="105"/>
          <w:szCs w:val="14"/>
          <w:lang w:val="sl-SI"/>
        </w:rPr>
        <w:t>„sil“ Združenega kraljestva), se prijavijo pri nacionalni agenciji države nadzora.</w:t>
      </w:r>
    </w:p>
  </w:footnote>
  <w:footnote w:id="91">
    <w:p w14:paraId="7D39B142" w14:textId="77777777" w:rsidR="00A6094F" w:rsidRPr="001F01BF" w:rsidRDefault="00A6094F" w:rsidP="00FC1B4B">
      <w:pPr>
        <w:pStyle w:val="FootnoteText"/>
        <w:ind w:left="288" w:hanging="288"/>
        <w:rPr>
          <w:rFonts w:asciiTheme="minorHAnsi" w:hAnsiTheme="minorHAnsi"/>
          <w:sz w:val="14"/>
          <w:szCs w:val="14"/>
          <w:lang w:val="sl-SI"/>
        </w:rPr>
      </w:pPr>
      <w:r w:rsidRPr="001F01BF">
        <w:rPr>
          <w:rStyle w:val="FootnoteReference"/>
          <w:rFonts w:asciiTheme="minorHAnsi" w:hAnsiTheme="minorHAnsi"/>
          <w:sz w:val="14"/>
          <w:szCs w:val="14"/>
        </w:rPr>
        <w:footnoteRef/>
      </w:r>
      <w:r w:rsidRPr="001F01BF">
        <w:rPr>
          <w:rFonts w:asciiTheme="minorHAnsi" w:hAnsiTheme="minorHAnsi"/>
          <w:sz w:val="14"/>
          <w:szCs w:val="14"/>
          <w:lang w:val="sl-SI"/>
        </w:rPr>
        <w:t xml:space="preserve"> </w:t>
      </w:r>
      <w:r>
        <w:rPr>
          <w:rFonts w:asciiTheme="minorHAnsi" w:hAnsiTheme="minorHAnsi"/>
          <w:sz w:val="14"/>
          <w:szCs w:val="14"/>
          <w:lang w:val="sl-SI"/>
        </w:rPr>
        <w:tab/>
      </w:r>
      <w:r w:rsidRPr="001F01BF">
        <w:rPr>
          <w:rFonts w:asciiTheme="minorHAnsi" w:hAnsiTheme="minorHAnsi"/>
          <w:sz w:val="14"/>
          <w:szCs w:val="14"/>
          <w:lang w:val="sl-SI"/>
        </w:rPr>
        <w:t>Na področju šolskega izobraževanja to vključuje posege izobraževalnega osebja, na primer šolskih inšpektorjev, šolskih svetovalcev, pedagoških svetovalcev itd., v šolah.</w:t>
      </w:r>
    </w:p>
  </w:footnote>
  <w:footnote w:id="92">
    <w:p w14:paraId="7D39B143" w14:textId="77777777" w:rsidR="00A6094F" w:rsidRPr="001F01BF" w:rsidRDefault="00A6094F" w:rsidP="00D4441B">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Študenti visokošolskih institucij morajo biti vpisani v sodelujočo visokošolsko institucijo in študij, ki se zaključi s priznano diplomo ali drugo priznano kvaliﬁkacijo terciarne ravni, do ravni doktorata in vključno z njo.</w:t>
      </w:r>
    </w:p>
  </w:footnote>
  <w:footnote w:id="93">
    <w:p w14:paraId="7D39B144" w14:textId="77777777" w:rsidR="00A6094F" w:rsidRPr="001F01BF" w:rsidRDefault="00A6094F" w:rsidP="00FC1B4B">
      <w:pPr>
        <w:pStyle w:val="FootnoteText"/>
        <w:ind w:left="288" w:hanging="288"/>
        <w:rPr>
          <w:rFonts w:asciiTheme="minorHAnsi" w:hAnsiTheme="minorHAnsi"/>
          <w:sz w:val="14"/>
          <w:szCs w:val="14"/>
          <w:lang w:val="sl-SI"/>
        </w:rPr>
      </w:pPr>
      <w:r w:rsidRPr="001F01BF">
        <w:rPr>
          <w:rStyle w:val="FootnoteReference"/>
          <w:rFonts w:asciiTheme="minorHAnsi" w:hAnsiTheme="minorHAnsi"/>
          <w:sz w:val="14"/>
          <w:szCs w:val="14"/>
        </w:rPr>
        <w:footnoteRef/>
      </w:r>
      <w:r w:rsidRPr="001F01BF">
        <w:rPr>
          <w:rFonts w:asciiTheme="minorHAnsi" w:hAnsiTheme="minorHAnsi"/>
          <w:sz w:val="14"/>
          <w:szCs w:val="14"/>
          <w:lang w:val="sl-SI"/>
        </w:rPr>
        <w:t xml:space="preserve"> </w:t>
      </w:r>
      <w:r>
        <w:rPr>
          <w:rFonts w:asciiTheme="minorHAnsi" w:hAnsiTheme="minorHAnsi"/>
          <w:sz w:val="14"/>
          <w:szCs w:val="14"/>
          <w:lang w:val="sl-SI"/>
        </w:rPr>
        <w:tab/>
      </w:r>
      <w:r w:rsidRPr="001F01BF">
        <w:rPr>
          <w:rFonts w:asciiTheme="minorHAnsi" w:eastAsia="Calibri" w:hAnsiTheme="minorHAnsi" w:cs="Calibri"/>
          <w:kern w:val="0"/>
          <w:sz w:val="14"/>
          <w:szCs w:val="14"/>
          <w:bdr w:val="nil"/>
          <w:lang w:val="sl-SI"/>
        </w:rPr>
        <w:t>Ta merila ne veljajo za partnerstva za izmenjavo med šolami.</w:t>
      </w:r>
    </w:p>
  </w:footnote>
  <w:footnote w:id="94">
    <w:p w14:paraId="7D39B145" w14:textId="77777777" w:rsidR="00A6094F" w:rsidRPr="001F01BF" w:rsidRDefault="00A6094F" w:rsidP="00FC1B4B">
      <w:pPr>
        <w:pStyle w:val="FootnoteText"/>
        <w:ind w:left="288" w:hanging="288"/>
        <w:rPr>
          <w:rFonts w:asciiTheme="minorHAnsi" w:hAnsiTheme="minorHAnsi"/>
          <w:sz w:val="14"/>
          <w:szCs w:val="14"/>
          <w:lang w:val="sl-SI"/>
        </w:rPr>
      </w:pPr>
      <w:r w:rsidRPr="001F01BF">
        <w:rPr>
          <w:rStyle w:val="FootnoteReference"/>
          <w:rFonts w:asciiTheme="minorHAnsi" w:hAnsiTheme="minorHAnsi"/>
          <w:sz w:val="14"/>
          <w:szCs w:val="14"/>
        </w:rPr>
        <w:footnoteRef/>
      </w:r>
      <w:r w:rsidRPr="001F01BF">
        <w:rPr>
          <w:rFonts w:asciiTheme="minorHAnsi" w:hAnsiTheme="minorHAnsi"/>
          <w:sz w:val="14"/>
          <w:szCs w:val="14"/>
          <w:lang w:val="sl-SI"/>
        </w:rPr>
        <w:t xml:space="preserve"> </w:t>
      </w:r>
      <w:r>
        <w:rPr>
          <w:rFonts w:asciiTheme="minorHAnsi" w:hAnsiTheme="minorHAnsi"/>
          <w:sz w:val="14"/>
          <w:szCs w:val="14"/>
          <w:lang w:val="sl-SI"/>
        </w:rPr>
        <w:tab/>
      </w:r>
      <w:r w:rsidRPr="001F01BF">
        <w:rPr>
          <w:rFonts w:asciiTheme="minorHAnsi" w:eastAsia="Calibri" w:hAnsiTheme="minorHAnsi" w:cs="Calibri"/>
          <w:sz w:val="14"/>
          <w:szCs w:val="14"/>
          <w:bdr w:val="nil"/>
          <w:shd w:val="clear" w:color="auto" w:fill="FFFFFF"/>
          <w:lang w:val="sl-SI" w:eastAsia="en-GB"/>
        </w:rPr>
        <w:t xml:space="preserve">Več informacij o šolski oznaki eTwinning najdete na: </w:t>
      </w:r>
      <w:hyperlink r:id="rId23" w:history="1">
        <w:r w:rsidRPr="00B36F01">
          <w:rPr>
            <w:rStyle w:val="Hyperlink"/>
            <w:sz w:val="14"/>
            <w:szCs w:val="14"/>
            <w:lang w:val="sl-SI"/>
          </w:rPr>
          <w:t>https://www.etwinning.net/en/pub/highlights/the-etwinning-school-label---.htm</w:t>
        </w:r>
      </w:hyperlink>
      <w:r>
        <w:rPr>
          <w:rFonts w:asciiTheme="minorHAnsi" w:eastAsia="Calibri" w:hAnsiTheme="minorHAnsi" w:cs="Calibri"/>
          <w:sz w:val="14"/>
          <w:szCs w:val="14"/>
          <w:bdr w:val="nil"/>
          <w:shd w:val="clear" w:color="auto" w:fill="FFFFFF"/>
          <w:lang w:val="sl-SI" w:eastAsia="en-GB"/>
        </w:rPr>
        <w:t xml:space="preserve">   </w:t>
      </w:r>
    </w:p>
  </w:footnote>
  <w:footnote w:id="95">
    <w:p w14:paraId="7D39B146" w14:textId="77777777" w:rsidR="00A6094F" w:rsidRPr="001F01BF" w:rsidRDefault="00A6094F" w:rsidP="00D4441B">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Za to vrsto partnerstev velja posebna opredelitev upravičenih šol, odvisno od države, v kateri ima šola sedež. Opredelitev in/ali seznam upravičenih šol je objavljen na spletišču posamezne nacionalne agencije. Za več podrobnosti glejte del C tega vodnika ali se obrnite na svojo nacionalno</w:t>
      </w:r>
      <w:r w:rsidRPr="001F01BF">
        <w:rPr>
          <w:rFonts w:asciiTheme="minorHAnsi" w:hAnsiTheme="minorHAnsi"/>
          <w:spacing w:val="7"/>
          <w:szCs w:val="14"/>
          <w:lang w:val="sl-SI"/>
        </w:rPr>
        <w:t xml:space="preserve"> </w:t>
      </w:r>
      <w:r w:rsidRPr="001F01BF">
        <w:rPr>
          <w:rFonts w:asciiTheme="minorHAnsi" w:hAnsiTheme="minorHAnsi"/>
          <w:szCs w:val="14"/>
          <w:lang w:val="sl-SI"/>
        </w:rPr>
        <w:t>agencijo.</w:t>
      </w:r>
    </w:p>
  </w:footnote>
  <w:footnote w:id="96">
    <w:p w14:paraId="7D39B147" w14:textId="77777777" w:rsidR="00A6094F" w:rsidRPr="001F01BF" w:rsidRDefault="00A6094F" w:rsidP="00FC1B4B">
      <w:pPr>
        <w:pStyle w:val="FootnoteText"/>
        <w:ind w:left="288" w:hanging="288"/>
        <w:rPr>
          <w:rFonts w:asciiTheme="minorHAnsi" w:eastAsia="Calibri" w:hAnsiTheme="minorHAnsi" w:cs="Calibri"/>
          <w:kern w:val="0"/>
          <w:sz w:val="14"/>
          <w:szCs w:val="14"/>
          <w:bdr w:val="nil"/>
          <w:lang w:val="sl-SI"/>
        </w:rPr>
      </w:pPr>
      <w:r w:rsidRPr="001F01BF">
        <w:rPr>
          <w:rStyle w:val="FootnoteReference"/>
          <w:rFonts w:asciiTheme="minorHAnsi" w:hAnsiTheme="minorHAnsi"/>
          <w:sz w:val="14"/>
          <w:szCs w:val="14"/>
        </w:rPr>
        <w:footnoteRef/>
      </w:r>
      <w:r w:rsidRPr="001F01BF">
        <w:rPr>
          <w:rFonts w:asciiTheme="minorHAnsi" w:eastAsia="Cambria" w:hAnsiTheme="minorHAnsi" w:cs="Cambria"/>
          <w:smallCaps/>
          <w:kern w:val="0"/>
          <w:sz w:val="14"/>
          <w:szCs w:val="14"/>
          <w:bdr w:val="nil"/>
          <w:lang w:val="sl-SI"/>
        </w:rPr>
        <w:t xml:space="preserve"> </w:t>
      </w:r>
      <w:r>
        <w:rPr>
          <w:rFonts w:asciiTheme="minorHAnsi" w:eastAsia="Cambria" w:hAnsiTheme="minorHAnsi" w:cs="Cambria"/>
          <w:smallCaps/>
          <w:kern w:val="0"/>
          <w:sz w:val="14"/>
          <w:szCs w:val="14"/>
          <w:bdr w:val="nil"/>
          <w:lang w:val="sl-SI"/>
        </w:rPr>
        <w:tab/>
      </w:r>
      <w:r w:rsidRPr="001F01BF">
        <w:rPr>
          <w:rFonts w:asciiTheme="minorHAnsi" w:eastAsia="Calibri" w:hAnsiTheme="minorHAnsi" w:cs="Calibri"/>
          <w:kern w:val="0"/>
          <w:sz w:val="14"/>
          <w:szCs w:val="14"/>
          <w:bdr w:val="nil"/>
          <w:lang w:val="sl-SI"/>
        </w:rPr>
        <w:t>Na primer, če tri šole oblikujejo partnerstvo za dve leti, lahko prejmejo največ 99 000 EUR za celotni projekt. Ta sredstva se lahko na poljuben način razdelijo med tremi šolami.</w:t>
      </w:r>
    </w:p>
  </w:footnote>
  <w:footnote w:id="97">
    <w:p w14:paraId="7D39B148" w14:textId="77777777" w:rsidR="00A6094F" w:rsidRPr="001F01BF" w:rsidRDefault="00A6094F" w:rsidP="00D4441B">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Nosilci projektov, ki se prijavljajo za transnacionalne mladinske pobude, se morajo prijaviti v okviru strateških partnerstev za izmenjavo dobrih praks.</w:t>
      </w:r>
    </w:p>
  </w:footnote>
  <w:footnote w:id="98">
    <w:p w14:paraId="5B13F927" w14:textId="77777777" w:rsidR="00A6094F" w:rsidRPr="00C60205" w:rsidRDefault="00A6094F" w:rsidP="002C560E">
      <w:pPr>
        <w:jc w:val="both"/>
        <w:rPr>
          <w:kern w:val="0"/>
          <w:sz w:val="14"/>
          <w:szCs w:val="14"/>
          <w:lang w:val="sl-SI"/>
        </w:rPr>
      </w:pPr>
      <w:r>
        <w:rPr>
          <w:kern w:val="0"/>
          <w:sz w:val="14"/>
          <w:szCs w:val="14"/>
          <w:vertAlign w:val="superscript"/>
          <w:lang w:val="en-GB"/>
        </w:rPr>
        <w:footnoteRef/>
      </w:r>
      <w:r w:rsidRPr="00C60205">
        <w:rPr>
          <w:lang w:val="sl-SI"/>
        </w:rPr>
        <w:t xml:space="preserve"> </w:t>
      </w:r>
      <w:r w:rsidRPr="00C60205">
        <w:rPr>
          <w:sz w:val="16"/>
          <w:lang w:val="sl-SI"/>
        </w:rPr>
        <w:t>V primeru neformalne skupine eden od članov skupine prevzame vlogo predstavnika in odgovornost v imenu skupine.</w:t>
      </w:r>
      <w:r w:rsidRPr="00C60205">
        <w:rPr>
          <w:sz w:val="6"/>
          <w:szCs w:val="14"/>
          <w:lang w:val="sl-SI"/>
        </w:rPr>
        <w:t xml:space="preserve"> </w:t>
      </w:r>
    </w:p>
  </w:footnote>
  <w:footnote w:id="99">
    <w:p w14:paraId="284A3386" w14:textId="77777777" w:rsidR="00A6094F" w:rsidRPr="00C60205" w:rsidRDefault="00A6094F" w:rsidP="002C560E">
      <w:pPr>
        <w:rPr>
          <w:kern w:val="0"/>
          <w:sz w:val="14"/>
          <w:szCs w:val="14"/>
          <w:lang w:val="sl-SI"/>
        </w:rPr>
      </w:pPr>
      <w:r>
        <w:rPr>
          <w:kern w:val="0"/>
          <w:sz w:val="14"/>
          <w:szCs w:val="14"/>
          <w:vertAlign w:val="superscript"/>
          <w:lang w:val="en-GB"/>
        </w:rPr>
        <w:footnoteRef/>
      </w:r>
      <w:r w:rsidRPr="00C60205">
        <w:rPr>
          <w:sz w:val="14"/>
          <w:szCs w:val="14"/>
          <w:lang w:val="sl-SI"/>
        </w:rPr>
        <w:t>Sedeži institucij Evropske unije so Bruselj, Frankfurt, Luxembourg, Strasbourg in Haag.</w:t>
      </w:r>
    </w:p>
  </w:footnote>
  <w:footnote w:id="100">
    <w:p w14:paraId="41A753CD" w14:textId="77777777" w:rsidR="00A6094F" w:rsidRPr="00C60205" w:rsidRDefault="00A6094F" w:rsidP="002C560E">
      <w:pPr>
        <w:pStyle w:val="FootnoteText"/>
        <w:rPr>
          <w:rFonts w:cs="Tahoma"/>
          <w:smallCaps/>
          <w:sz w:val="14"/>
          <w:szCs w:val="14"/>
          <w:lang w:val="sl-SI"/>
        </w:rPr>
      </w:pPr>
      <w:r>
        <w:rPr>
          <w:rStyle w:val="FootnoteReference"/>
          <w:rFonts w:cs="Tahoma"/>
          <w:sz w:val="14"/>
          <w:szCs w:val="14"/>
        </w:rPr>
        <w:footnoteRef/>
      </w:r>
      <w:r w:rsidRPr="00C60205">
        <w:rPr>
          <w:sz w:val="14"/>
          <w:szCs w:val="14"/>
          <w:lang w:val="sl-SI"/>
        </w:rPr>
        <w:t xml:space="preserve"> Opomba: šole, ki so pod nadzorom nacionalnih organov druge države (npr. lycée français, nemške šole, šole „sil“ Združenega kraljestva), se prijavijo pri nacionalni agenciji države nadzora.</w:t>
      </w:r>
    </w:p>
  </w:footnote>
  <w:footnote w:id="101">
    <w:p w14:paraId="7D39B149" w14:textId="77777777" w:rsidR="00A6094F" w:rsidRPr="001F01BF" w:rsidRDefault="00A6094F" w:rsidP="00D4441B">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Vključno s stroški, neposredno povezanimi z udeleženci s posebnimi potrebami ter spremljevalci, ki sodelujejo v mednarodnih aktivnostih učenja, poučevanja in usposabljanja. Ti stroški lahko vključujejo stroške za pot in bivanje,</w:t>
      </w:r>
      <w:r w:rsidRPr="001F01BF">
        <w:rPr>
          <w:rFonts w:asciiTheme="minorHAnsi" w:hAnsiTheme="minorHAnsi"/>
          <w:spacing w:val="2"/>
          <w:szCs w:val="14"/>
          <w:lang w:val="sl-SI"/>
        </w:rPr>
        <w:t xml:space="preserve"> </w:t>
      </w:r>
      <w:r w:rsidRPr="001F01BF">
        <w:rPr>
          <w:rFonts w:asciiTheme="minorHAnsi" w:hAnsiTheme="minorHAnsi"/>
          <w:szCs w:val="14"/>
          <w:lang w:val="sl-SI"/>
        </w:rPr>
        <w:t>če</w:t>
      </w:r>
      <w:r w:rsidRPr="001F01BF">
        <w:rPr>
          <w:rFonts w:asciiTheme="minorHAnsi" w:hAnsiTheme="minorHAnsi"/>
          <w:spacing w:val="3"/>
          <w:szCs w:val="14"/>
          <w:lang w:val="sl-SI"/>
        </w:rPr>
        <w:t xml:space="preserve"> </w:t>
      </w:r>
      <w:r w:rsidRPr="001F01BF">
        <w:rPr>
          <w:rFonts w:asciiTheme="minorHAnsi" w:hAnsiTheme="minorHAnsi"/>
          <w:szCs w:val="14"/>
          <w:lang w:val="sl-SI"/>
        </w:rPr>
        <w:t>so</w:t>
      </w:r>
      <w:r w:rsidRPr="001F01BF">
        <w:rPr>
          <w:rFonts w:asciiTheme="minorHAnsi" w:hAnsiTheme="minorHAnsi"/>
          <w:spacing w:val="3"/>
          <w:szCs w:val="14"/>
          <w:lang w:val="sl-SI"/>
        </w:rPr>
        <w:t xml:space="preserve"> </w:t>
      </w:r>
      <w:r w:rsidRPr="001F01BF">
        <w:rPr>
          <w:rFonts w:asciiTheme="minorHAnsi" w:hAnsiTheme="minorHAnsi"/>
          <w:szCs w:val="14"/>
          <w:lang w:val="sl-SI"/>
        </w:rPr>
        <w:t>utemeljeni</w:t>
      </w:r>
      <w:r w:rsidRPr="001F01BF">
        <w:rPr>
          <w:rFonts w:asciiTheme="minorHAnsi" w:hAnsiTheme="minorHAnsi"/>
          <w:spacing w:val="2"/>
          <w:szCs w:val="14"/>
          <w:lang w:val="sl-SI"/>
        </w:rPr>
        <w:t xml:space="preserve"> </w:t>
      </w:r>
      <w:r w:rsidRPr="001F01BF">
        <w:rPr>
          <w:rFonts w:asciiTheme="minorHAnsi" w:hAnsiTheme="minorHAnsi"/>
          <w:szCs w:val="14"/>
          <w:lang w:val="sl-SI"/>
        </w:rPr>
        <w:t>in</w:t>
      </w:r>
      <w:r w:rsidRPr="001F01BF">
        <w:rPr>
          <w:rFonts w:asciiTheme="minorHAnsi" w:hAnsiTheme="minorHAnsi"/>
          <w:spacing w:val="2"/>
          <w:szCs w:val="14"/>
          <w:lang w:val="sl-SI"/>
        </w:rPr>
        <w:t xml:space="preserve"> </w:t>
      </w:r>
      <w:r w:rsidRPr="001F01BF">
        <w:rPr>
          <w:rFonts w:asciiTheme="minorHAnsi" w:hAnsiTheme="minorHAnsi"/>
          <w:szCs w:val="14"/>
          <w:lang w:val="sl-SI"/>
        </w:rPr>
        <w:t>če</w:t>
      </w:r>
      <w:r w:rsidRPr="001F01BF">
        <w:rPr>
          <w:rFonts w:asciiTheme="minorHAnsi" w:hAnsiTheme="minorHAnsi"/>
          <w:spacing w:val="3"/>
          <w:szCs w:val="14"/>
          <w:lang w:val="sl-SI"/>
        </w:rPr>
        <w:t xml:space="preserve"> </w:t>
      </w:r>
      <w:r w:rsidRPr="001F01BF">
        <w:rPr>
          <w:rFonts w:asciiTheme="minorHAnsi" w:hAnsiTheme="minorHAnsi"/>
          <w:szCs w:val="14"/>
          <w:lang w:val="sl-SI"/>
        </w:rPr>
        <w:t>se</w:t>
      </w:r>
      <w:r w:rsidRPr="001F01BF">
        <w:rPr>
          <w:rFonts w:asciiTheme="minorHAnsi" w:hAnsiTheme="minorHAnsi"/>
          <w:spacing w:val="3"/>
          <w:szCs w:val="14"/>
          <w:lang w:val="sl-SI"/>
        </w:rPr>
        <w:t xml:space="preserve"> </w:t>
      </w:r>
      <w:r w:rsidRPr="001F01BF">
        <w:rPr>
          <w:rFonts w:asciiTheme="minorHAnsi" w:hAnsiTheme="minorHAnsi"/>
          <w:szCs w:val="14"/>
          <w:lang w:val="sl-SI"/>
        </w:rPr>
        <w:t>nepovratna</w:t>
      </w:r>
      <w:r w:rsidRPr="001F01BF">
        <w:rPr>
          <w:rFonts w:asciiTheme="minorHAnsi" w:hAnsiTheme="minorHAnsi"/>
          <w:spacing w:val="2"/>
          <w:szCs w:val="14"/>
          <w:lang w:val="sl-SI"/>
        </w:rPr>
        <w:t xml:space="preserve"> </w:t>
      </w:r>
      <w:r w:rsidRPr="001F01BF">
        <w:rPr>
          <w:rFonts w:asciiTheme="minorHAnsi" w:hAnsiTheme="minorHAnsi"/>
          <w:szCs w:val="14"/>
          <w:lang w:val="sl-SI"/>
        </w:rPr>
        <w:t>sredstva</w:t>
      </w:r>
      <w:r w:rsidRPr="001F01BF">
        <w:rPr>
          <w:rFonts w:asciiTheme="minorHAnsi" w:hAnsiTheme="minorHAnsi"/>
          <w:spacing w:val="3"/>
          <w:szCs w:val="14"/>
          <w:lang w:val="sl-SI"/>
        </w:rPr>
        <w:t xml:space="preserve"> </w:t>
      </w:r>
      <w:r w:rsidRPr="001F01BF">
        <w:rPr>
          <w:rFonts w:asciiTheme="minorHAnsi" w:hAnsiTheme="minorHAnsi"/>
          <w:szCs w:val="14"/>
          <w:lang w:val="sl-SI"/>
        </w:rPr>
        <w:t>za</w:t>
      </w:r>
      <w:r w:rsidRPr="001F01BF">
        <w:rPr>
          <w:rFonts w:asciiTheme="minorHAnsi" w:hAnsiTheme="minorHAnsi"/>
          <w:spacing w:val="2"/>
          <w:szCs w:val="14"/>
          <w:lang w:val="sl-SI"/>
        </w:rPr>
        <w:t xml:space="preserve"> </w:t>
      </w:r>
      <w:r w:rsidRPr="001F01BF">
        <w:rPr>
          <w:rFonts w:asciiTheme="minorHAnsi" w:hAnsiTheme="minorHAnsi"/>
          <w:szCs w:val="14"/>
          <w:lang w:val="sl-SI"/>
        </w:rPr>
        <w:t>te</w:t>
      </w:r>
      <w:r w:rsidRPr="001F01BF">
        <w:rPr>
          <w:rFonts w:asciiTheme="minorHAnsi" w:hAnsiTheme="minorHAnsi"/>
          <w:spacing w:val="3"/>
          <w:szCs w:val="14"/>
          <w:lang w:val="sl-SI"/>
        </w:rPr>
        <w:t xml:space="preserve"> </w:t>
      </w:r>
      <w:r w:rsidRPr="001F01BF">
        <w:rPr>
          <w:rFonts w:asciiTheme="minorHAnsi" w:hAnsiTheme="minorHAnsi"/>
          <w:szCs w:val="14"/>
          <w:lang w:val="sl-SI"/>
        </w:rPr>
        <w:t>udeležence</w:t>
      </w:r>
      <w:r w:rsidRPr="001F01BF">
        <w:rPr>
          <w:rFonts w:asciiTheme="minorHAnsi" w:hAnsiTheme="minorHAnsi"/>
          <w:spacing w:val="2"/>
          <w:szCs w:val="14"/>
          <w:lang w:val="sl-SI"/>
        </w:rPr>
        <w:t xml:space="preserve"> </w:t>
      </w:r>
      <w:r w:rsidRPr="001F01BF">
        <w:rPr>
          <w:rFonts w:asciiTheme="minorHAnsi" w:hAnsiTheme="minorHAnsi"/>
          <w:szCs w:val="14"/>
          <w:lang w:val="sl-SI"/>
        </w:rPr>
        <w:t>ne</w:t>
      </w:r>
      <w:r w:rsidRPr="001F01BF">
        <w:rPr>
          <w:rFonts w:asciiTheme="minorHAnsi" w:hAnsiTheme="minorHAnsi"/>
          <w:spacing w:val="2"/>
          <w:szCs w:val="14"/>
          <w:lang w:val="sl-SI"/>
        </w:rPr>
        <w:t xml:space="preserve"> </w:t>
      </w:r>
      <w:r w:rsidRPr="001F01BF">
        <w:rPr>
          <w:rFonts w:asciiTheme="minorHAnsi" w:hAnsiTheme="minorHAnsi"/>
          <w:szCs w:val="14"/>
          <w:lang w:val="sl-SI"/>
        </w:rPr>
        <w:t>zahtevajo</w:t>
      </w:r>
      <w:r w:rsidRPr="001F01BF">
        <w:rPr>
          <w:rFonts w:asciiTheme="minorHAnsi" w:hAnsiTheme="minorHAnsi"/>
          <w:spacing w:val="2"/>
          <w:szCs w:val="14"/>
          <w:lang w:val="sl-SI"/>
        </w:rPr>
        <w:t xml:space="preserve"> </w:t>
      </w:r>
      <w:r w:rsidRPr="001F01BF">
        <w:rPr>
          <w:rFonts w:asciiTheme="minorHAnsi" w:hAnsiTheme="minorHAnsi"/>
          <w:szCs w:val="14"/>
          <w:lang w:val="sl-SI"/>
        </w:rPr>
        <w:t>prek</w:t>
      </w:r>
      <w:r w:rsidRPr="001F01BF">
        <w:rPr>
          <w:rFonts w:asciiTheme="minorHAnsi" w:hAnsiTheme="minorHAnsi"/>
          <w:spacing w:val="2"/>
          <w:szCs w:val="14"/>
          <w:lang w:val="sl-SI"/>
        </w:rPr>
        <w:t xml:space="preserve"> </w:t>
      </w:r>
      <w:r w:rsidRPr="001F01BF">
        <w:rPr>
          <w:rFonts w:asciiTheme="minorHAnsi" w:hAnsiTheme="minorHAnsi"/>
          <w:szCs w:val="14"/>
          <w:lang w:val="sl-SI"/>
        </w:rPr>
        <w:t>proračunskih</w:t>
      </w:r>
      <w:r w:rsidRPr="001F01BF">
        <w:rPr>
          <w:rFonts w:asciiTheme="minorHAnsi" w:hAnsiTheme="minorHAnsi"/>
          <w:spacing w:val="2"/>
          <w:szCs w:val="14"/>
          <w:lang w:val="sl-SI"/>
        </w:rPr>
        <w:t xml:space="preserve"> </w:t>
      </w:r>
      <w:r w:rsidRPr="001F01BF">
        <w:rPr>
          <w:rFonts w:asciiTheme="minorHAnsi" w:hAnsiTheme="minorHAnsi"/>
          <w:szCs w:val="14"/>
          <w:lang w:val="sl-SI"/>
        </w:rPr>
        <w:t>kategorij „Pot“ in „Individualna podpora“.</w:t>
      </w:r>
    </w:p>
  </w:footnote>
  <w:footnote w:id="102">
    <w:p w14:paraId="7D39B14A" w14:textId="77777777" w:rsidR="00A6094F" w:rsidRPr="001F01BF" w:rsidRDefault="00A6094F" w:rsidP="00794551">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r>
      <w:hyperlink r:id="rId24">
        <w:r w:rsidRPr="001F01BF">
          <w:rPr>
            <w:rStyle w:val="Hyperlink"/>
            <w:rFonts w:asciiTheme="minorHAnsi" w:hAnsiTheme="minorHAnsi"/>
            <w:szCs w:val="14"/>
            <w:lang w:val="sl-SI"/>
          </w:rPr>
          <w:t>http://ec.europa.eu/programmes/erasmus-plus/tools/distance_sl.htm</w:t>
        </w:r>
      </w:hyperlink>
    </w:p>
  </w:footnote>
  <w:footnote w:id="103">
    <w:p w14:paraId="7D39B14B" w14:textId="77777777" w:rsidR="00A6094F" w:rsidRPr="001F01BF" w:rsidRDefault="00A6094F" w:rsidP="00794551">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 xml:space="preserve">Na primer, če oseba iz Madrida (Španija) sodeluje pri aktivnosti, ki se izvaja v Rimu (Italija), bo prijavitelj </w:t>
      </w:r>
      <w:r w:rsidRPr="001F01BF">
        <w:rPr>
          <w:rFonts w:asciiTheme="minorHAnsi" w:hAnsiTheme="minorHAnsi"/>
          <w:szCs w:val="14"/>
          <w:lang w:val="sl-SI"/>
        </w:rPr>
        <w:br/>
        <w:t xml:space="preserve">a) izračunal razdaljo od Madrida do Rima (1 365,28 km); </w:t>
      </w:r>
      <w:r w:rsidRPr="001F01BF">
        <w:rPr>
          <w:rFonts w:asciiTheme="minorHAnsi" w:hAnsiTheme="minorHAnsi"/>
          <w:szCs w:val="14"/>
          <w:lang w:val="sl-SI"/>
        </w:rPr>
        <w:br/>
        <w:t xml:space="preserve">b) izbral ustrezen razpon razdalje poti (tj. od 500 do 1 999 km) ter </w:t>
      </w:r>
      <w:r w:rsidRPr="001F01BF">
        <w:rPr>
          <w:rFonts w:asciiTheme="minorHAnsi" w:hAnsiTheme="minorHAnsi"/>
          <w:szCs w:val="14"/>
          <w:lang w:val="sl-SI"/>
        </w:rPr>
        <w:br/>
        <w:t>c) izračunal nepovratna sredstva EU za kritje stroškov poti udeleženca iz Madrida do Rima in nazaj (275 EUR).</w:t>
      </w:r>
    </w:p>
  </w:footnote>
  <w:footnote w:id="104">
    <w:p w14:paraId="7D39B14C" w14:textId="77777777" w:rsidR="00A6094F" w:rsidRPr="001F01BF" w:rsidRDefault="00A6094F" w:rsidP="00794551">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Spremljevalci so upravičeni do prejema enakega zneska, ne glede na to, ali se udeležijo kratko- ali dolgotrajne aktivnosti.</w:t>
      </w:r>
      <w:r w:rsidRPr="001F01BF">
        <w:rPr>
          <w:rFonts w:asciiTheme="minorHAnsi" w:hAnsiTheme="minorHAnsi"/>
          <w:spacing w:val="6"/>
          <w:szCs w:val="14"/>
          <w:lang w:val="sl-SI"/>
        </w:rPr>
        <w:t xml:space="preserve"> </w:t>
      </w:r>
      <w:r w:rsidRPr="001F01BF">
        <w:rPr>
          <w:rFonts w:asciiTheme="minorHAnsi" w:hAnsiTheme="minorHAnsi"/>
          <w:szCs w:val="14"/>
          <w:lang w:val="sl-SI"/>
        </w:rPr>
        <w:t>V</w:t>
      </w:r>
      <w:r w:rsidRPr="001F01BF">
        <w:rPr>
          <w:rFonts w:asciiTheme="minorHAnsi" w:hAnsiTheme="minorHAnsi"/>
          <w:spacing w:val="6"/>
          <w:szCs w:val="14"/>
          <w:lang w:val="sl-SI"/>
        </w:rPr>
        <w:t xml:space="preserve"> </w:t>
      </w:r>
      <w:r w:rsidRPr="001F01BF">
        <w:rPr>
          <w:rFonts w:asciiTheme="minorHAnsi" w:hAnsiTheme="minorHAnsi"/>
          <w:szCs w:val="14"/>
          <w:lang w:val="sl-SI"/>
        </w:rPr>
        <w:t>izjemnih</w:t>
      </w:r>
      <w:r w:rsidRPr="001F01BF">
        <w:rPr>
          <w:rFonts w:asciiTheme="minorHAnsi" w:hAnsiTheme="minorHAnsi"/>
          <w:spacing w:val="6"/>
          <w:szCs w:val="14"/>
          <w:lang w:val="sl-SI"/>
        </w:rPr>
        <w:t xml:space="preserve"> </w:t>
      </w:r>
      <w:r w:rsidRPr="001F01BF">
        <w:rPr>
          <w:rFonts w:asciiTheme="minorHAnsi" w:hAnsiTheme="minorHAnsi"/>
          <w:szCs w:val="14"/>
          <w:lang w:val="sl-SI"/>
        </w:rPr>
        <w:t>primerih,</w:t>
      </w:r>
      <w:r w:rsidRPr="001F01BF">
        <w:rPr>
          <w:rFonts w:asciiTheme="minorHAnsi" w:hAnsiTheme="minorHAnsi"/>
          <w:spacing w:val="6"/>
          <w:szCs w:val="14"/>
          <w:lang w:val="sl-SI"/>
        </w:rPr>
        <w:t xml:space="preserve"> </w:t>
      </w:r>
      <w:r w:rsidRPr="001F01BF">
        <w:rPr>
          <w:rFonts w:asciiTheme="minorHAnsi" w:hAnsiTheme="minorHAnsi"/>
          <w:spacing w:val="6"/>
          <w:szCs w:val="14"/>
          <w:lang w:val="sl-SI"/>
        </w:rPr>
        <w:br/>
      </w:r>
      <w:r w:rsidRPr="001F01BF">
        <w:rPr>
          <w:rFonts w:asciiTheme="minorHAnsi" w:hAnsiTheme="minorHAnsi"/>
          <w:szCs w:val="14"/>
          <w:lang w:val="sl-SI"/>
        </w:rPr>
        <w:t>ko</w:t>
      </w:r>
      <w:r w:rsidRPr="001F01BF">
        <w:rPr>
          <w:rFonts w:asciiTheme="minorHAnsi" w:hAnsiTheme="minorHAnsi"/>
          <w:spacing w:val="6"/>
          <w:szCs w:val="14"/>
          <w:lang w:val="sl-SI"/>
        </w:rPr>
        <w:t xml:space="preserve"> </w:t>
      </w:r>
      <w:r w:rsidRPr="001F01BF">
        <w:rPr>
          <w:rFonts w:asciiTheme="minorHAnsi" w:hAnsiTheme="minorHAnsi"/>
          <w:szCs w:val="14"/>
          <w:lang w:val="sl-SI"/>
        </w:rPr>
        <w:t>mora</w:t>
      </w:r>
      <w:r w:rsidRPr="001F01BF">
        <w:rPr>
          <w:rFonts w:asciiTheme="minorHAnsi" w:hAnsiTheme="minorHAnsi"/>
          <w:spacing w:val="6"/>
          <w:szCs w:val="14"/>
          <w:lang w:val="sl-SI"/>
        </w:rPr>
        <w:t xml:space="preserve"> </w:t>
      </w:r>
      <w:r w:rsidRPr="001F01BF">
        <w:rPr>
          <w:rFonts w:asciiTheme="minorHAnsi" w:hAnsiTheme="minorHAnsi"/>
          <w:szCs w:val="14"/>
          <w:lang w:val="sl-SI"/>
        </w:rPr>
        <w:t>spremljevalec</w:t>
      </w:r>
      <w:r w:rsidRPr="001F01BF">
        <w:rPr>
          <w:rFonts w:asciiTheme="minorHAnsi" w:hAnsiTheme="minorHAnsi"/>
          <w:spacing w:val="7"/>
          <w:szCs w:val="14"/>
          <w:lang w:val="sl-SI"/>
        </w:rPr>
        <w:t xml:space="preserve"> </w:t>
      </w:r>
      <w:r w:rsidRPr="001F01BF">
        <w:rPr>
          <w:rFonts w:asciiTheme="minorHAnsi" w:hAnsiTheme="minorHAnsi"/>
          <w:szCs w:val="14"/>
          <w:lang w:val="sl-SI"/>
        </w:rPr>
        <w:t>ostati</w:t>
      </w:r>
      <w:r w:rsidRPr="001F01BF">
        <w:rPr>
          <w:rFonts w:asciiTheme="minorHAnsi" w:hAnsiTheme="minorHAnsi"/>
          <w:spacing w:val="6"/>
          <w:szCs w:val="14"/>
          <w:lang w:val="sl-SI"/>
        </w:rPr>
        <w:t xml:space="preserve"> </w:t>
      </w:r>
      <w:r w:rsidRPr="001F01BF">
        <w:rPr>
          <w:rFonts w:asciiTheme="minorHAnsi" w:hAnsiTheme="minorHAnsi"/>
          <w:szCs w:val="14"/>
          <w:lang w:val="sl-SI"/>
        </w:rPr>
        <w:t>v</w:t>
      </w:r>
      <w:r w:rsidRPr="001F01BF">
        <w:rPr>
          <w:rFonts w:asciiTheme="minorHAnsi" w:hAnsiTheme="minorHAnsi"/>
          <w:spacing w:val="6"/>
          <w:szCs w:val="14"/>
          <w:lang w:val="sl-SI"/>
        </w:rPr>
        <w:t xml:space="preserve"> </w:t>
      </w:r>
      <w:r w:rsidRPr="001F01BF">
        <w:rPr>
          <w:rFonts w:asciiTheme="minorHAnsi" w:hAnsiTheme="minorHAnsi"/>
          <w:szCs w:val="14"/>
          <w:lang w:val="sl-SI"/>
        </w:rPr>
        <w:t>tujini</w:t>
      </w:r>
      <w:r w:rsidRPr="001F01BF">
        <w:rPr>
          <w:rFonts w:asciiTheme="minorHAnsi" w:hAnsiTheme="minorHAnsi"/>
          <w:spacing w:val="7"/>
          <w:szCs w:val="14"/>
          <w:lang w:val="sl-SI"/>
        </w:rPr>
        <w:t xml:space="preserve"> </w:t>
      </w:r>
      <w:r w:rsidRPr="001F01BF">
        <w:rPr>
          <w:rFonts w:asciiTheme="minorHAnsi" w:hAnsiTheme="minorHAnsi"/>
          <w:szCs w:val="14"/>
          <w:lang w:val="sl-SI"/>
        </w:rPr>
        <w:t>več</w:t>
      </w:r>
      <w:r w:rsidRPr="001F01BF">
        <w:rPr>
          <w:rFonts w:asciiTheme="minorHAnsi" w:hAnsiTheme="minorHAnsi"/>
          <w:spacing w:val="6"/>
          <w:szCs w:val="14"/>
          <w:lang w:val="sl-SI"/>
        </w:rPr>
        <w:t xml:space="preserve"> </w:t>
      </w:r>
      <w:r w:rsidRPr="001F01BF">
        <w:rPr>
          <w:rFonts w:asciiTheme="minorHAnsi" w:hAnsiTheme="minorHAnsi"/>
          <w:szCs w:val="14"/>
          <w:lang w:val="sl-SI"/>
        </w:rPr>
        <w:t>kot</w:t>
      </w:r>
      <w:r w:rsidRPr="001F01BF">
        <w:rPr>
          <w:rFonts w:asciiTheme="minorHAnsi" w:hAnsiTheme="minorHAnsi"/>
          <w:spacing w:val="6"/>
          <w:szCs w:val="14"/>
          <w:lang w:val="sl-SI"/>
        </w:rPr>
        <w:t xml:space="preserve"> </w:t>
      </w:r>
      <w:r w:rsidRPr="001F01BF">
        <w:rPr>
          <w:rFonts w:asciiTheme="minorHAnsi" w:hAnsiTheme="minorHAnsi"/>
          <w:szCs w:val="14"/>
          <w:lang w:val="sl-SI"/>
        </w:rPr>
        <w:t>60</w:t>
      </w:r>
      <w:r w:rsidRPr="001F01BF">
        <w:rPr>
          <w:rFonts w:asciiTheme="minorHAnsi" w:hAnsiTheme="minorHAnsi"/>
          <w:spacing w:val="6"/>
          <w:szCs w:val="14"/>
          <w:lang w:val="sl-SI"/>
        </w:rPr>
        <w:t xml:space="preserve"> </w:t>
      </w:r>
      <w:r w:rsidRPr="001F01BF">
        <w:rPr>
          <w:rFonts w:asciiTheme="minorHAnsi" w:hAnsiTheme="minorHAnsi"/>
          <w:szCs w:val="14"/>
          <w:lang w:val="sl-SI"/>
        </w:rPr>
        <w:t>dni,</w:t>
      </w:r>
      <w:r w:rsidRPr="001F01BF">
        <w:rPr>
          <w:rFonts w:asciiTheme="minorHAnsi" w:hAnsiTheme="minorHAnsi"/>
          <w:spacing w:val="6"/>
          <w:szCs w:val="14"/>
          <w:lang w:val="sl-SI"/>
        </w:rPr>
        <w:t xml:space="preserve"> </w:t>
      </w:r>
      <w:r w:rsidRPr="001F01BF">
        <w:rPr>
          <w:rFonts w:asciiTheme="minorHAnsi" w:hAnsiTheme="minorHAnsi"/>
          <w:szCs w:val="14"/>
          <w:lang w:val="sl-SI"/>
        </w:rPr>
        <w:t>bodo</w:t>
      </w:r>
      <w:r w:rsidRPr="001F01BF">
        <w:rPr>
          <w:rFonts w:asciiTheme="minorHAnsi" w:hAnsiTheme="minorHAnsi"/>
          <w:spacing w:val="6"/>
          <w:szCs w:val="14"/>
          <w:lang w:val="sl-SI"/>
        </w:rPr>
        <w:t xml:space="preserve"> </w:t>
      </w:r>
      <w:r w:rsidRPr="001F01BF">
        <w:rPr>
          <w:rFonts w:asciiTheme="minorHAnsi" w:hAnsiTheme="minorHAnsi"/>
          <w:szCs w:val="14"/>
          <w:lang w:val="sl-SI"/>
        </w:rPr>
        <w:t>v</w:t>
      </w:r>
      <w:r w:rsidRPr="001F01BF">
        <w:rPr>
          <w:rFonts w:asciiTheme="minorHAnsi" w:hAnsiTheme="minorHAnsi"/>
          <w:spacing w:val="6"/>
          <w:szCs w:val="14"/>
          <w:lang w:val="sl-SI"/>
        </w:rPr>
        <w:t xml:space="preserve"> </w:t>
      </w:r>
      <w:r w:rsidRPr="001F01BF">
        <w:rPr>
          <w:rFonts w:asciiTheme="minorHAnsi" w:hAnsiTheme="minorHAnsi"/>
          <w:szCs w:val="14"/>
          <w:lang w:val="sl-SI"/>
        </w:rPr>
        <w:t>proračunski</w:t>
      </w:r>
      <w:r w:rsidRPr="001F01BF">
        <w:rPr>
          <w:rFonts w:asciiTheme="minorHAnsi" w:hAnsiTheme="minorHAnsi"/>
          <w:spacing w:val="6"/>
          <w:szCs w:val="14"/>
          <w:lang w:val="sl-SI"/>
        </w:rPr>
        <w:t xml:space="preserve"> </w:t>
      </w:r>
      <w:r w:rsidRPr="001F01BF">
        <w:rPr>
          <w:rFonts w:asciiTheme="minorHAnsi" w:hAnsiTheme="minorHAnsi"/>
          <w:szCs w:val="14"/>
          <w:lang w:val="sl-SI"/>
        </w:rPr>
        <w:t xml:space="preserve">postavki „Podpora za posebne potrebe“ zajeti tudi dodatni stroški bivanja, </w:t>
      </w:r>
      <w:r w:rsidRPr="001F01BF">
        <w:rPr>
          <w:rFonts w:asciiTheme="minorHAnsi" w:hAnsiTheme="minorHAnsi"/>
          <w:szCs w:val="14"/>
          <w:lang w:val="sl-SI"/>
        </w:rPr>
        <w:br/>
        <w:t>ki presegajo 60 dni.</w:t>
      </w:r>
    </w:p>
  </w:footnote>
  <w:footnote w:id="105">
    <w:p w14:paraId="7D39B14D" w14:textId="77777777" w:rsidR="00A6094F" w:rsidRPr="001F01BF" w:rsidRDefault="00A6094F" w:rsidP="00794551">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 xml:space="preserve">V primeru visokošolskega izobraževanja so stroški za osebje, zaposleno na fakultetah univerz upravičenk, ki so nosilke Listine Erasmus za terciarno izobraževanje (ECHE), upravičeni v okviru kategorije stroškov </w:t>
      </w:r>
      <w:r w:rsidRPr="001F01BF">
        <w:rPr>
          <w:rFonts w:asciiTheme="minorHAnsi" w:hAnsiTheme="minorHAnsi"/>
          <w:w w:val="105"/>
          <w:szCs w:val="14"/>
          <w:lang w:val="sl-SI"/>
        </w:rPr>
        <w:t>„intelektualni rezultati“.</w:t>
      </w:r>
    </w:p>
  </w:footnote>
  <w:footnote w:id="106">
    <w:p w14:paraId="7D39B14E" w14:textId="77777777" w:rsidR="00A6094F" w:rsidRPr="001F01BF" w:rsidRDefault="00A6094F" w:rsidP="00794551">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 xml:space="preserve">V primeru visokošolskega izobraževanja so stroški za osebje, zaposleno na fakultetah univerz upravičenk, ki so nosilke Listine Erasmus za terciarno izobraževanje (ECHE), upravičeni v okviru kategorije stroškov </w:t>
      </w:r>
      <w:r w:rsidRPr="001F01BF">
        <w:rPr>
          <w:rFonts w:asciiTheme="minorHAnsi" w:hAnsiTheme="minorHAnsi"/>
          <w:w w:val="105"/>
          <w:szCs w:val="14"/>
          <w:lang w:val="sl-SI"/>
        </w:rPr>
        <w:t>„intelektualni rezultati“.</w:t>
      </w:r>
    </w:p>
  </w:footnote>
  <w:footnote w:id="107">
    <w:p w14:paraId="7D39B14F" w14:textId="77777777" w:rsidR="00A6094F" w:rsidRPr="001F01BF" w:rsidRDefault="00A6094F" w:rsidP="00FC1B4B">
      <w:pPr>
        <w:ind w:left="288" w:hanging="288"/>
        <w:rPr>
          <w:rFonts w:asciiTheme="minorHAnsi" w:hAnsiTheme="minorHAnsi"/>
          <w:sz w:val="14"/>
          <w:szCs w:val="14"/>
          <w:lang w:val="sl-SI"/>
        </w:rPr>
      </w:pPr>
      <w:r w:rsidRPr="001F01BF">
        <w:rPr>
          <w:rStyle w:val="FootnoteReference"/>
          <w:rFonts w:asciiTheme="minorHAnsi" w:hAnsiTheme="minorHAnsi"/>
          <w:sz w:val="14"/>
          <w:szCs w:val="14"/>
        </w:rPr>
        <w:footnoteRef/>
      </w:r>
      <w:r w:rsidRPr="001F01BF">
        <w:rPr>
          <w:rFonts w:asciiTheme="minorHAnsi" w:eastAsia="Calibri" w:hAnsiTheme="minorHAnsi" w:cs="Calibri"/>
          <w:sz w:val="14"/>
          <w:szCs w:val="14"/>
          <w:bdr w:val="nil"/>
          <w:lang w:val="sl-SI"/>
        </w:rPr>
        <w:t xml:space="preserve"> </w:t>
      </w:r>
      <w:r>
        <w:rPr>
          <w:rFonts w:asciiTheme="minorHAnsi" w:eastAsia="Calibri" w:hAnsiTheme="minorHAnsi" w:cs="Calibri"/>
          <w:sz w:val="14"/>
          <w:szCs w:val="14"/>
          <w:bdr w:val="nil"/>
          <w:lang w:val="sl-SI"/>
        </w:rPr>
        <w:tab/>
      </w:r>
      <w:hyperlink r:id="rId25" w:history="1">
        <w:r w:rsidRPr="001F01BF">
          <w:rPr>
            <w:rFonts w:asciiTheme="minorHAnsi" w:eastAsia="Calibri" w:hAnsiTheme="minorHAnsi" w:cs="Calibri"/>
            <w:color w:val="0000FF"/>
            <w:sz w:val="14"/>
            <w:szCs w:val="14"/>
            <w:u w:val="single"/>
            <w:bdr w:val="nil"/>
            <w:lang w:val="sl-SI"/>
          </w:rPr>
          <w:t>http://www.consilium.europa.eu/media/32204/14-final-conclusions-rev1-en.pdf</w:t>
        </w:r>
      </w:hyperlink>
      <w:r w:rsidRPr="001F01BF">
        <w:rPr>
          <w:rFonts w:asciiTheme="minorHAnsi" w:eastAsia="Calibri" w:hAnsiTheme="minorHAnsi" w:cs="Calibri"/>
          <w:sz w:val="14"/>
          <w:szCs w:val="14"/>
          <w:bdr w:val="nil"/>
          <w:lang w:val="sl-SI"/>
        </w:rPr>
        <w:t xml:space="preserve"> </w:t>
      </w:r>
    </w:p>
  </w:footnote>
  <w:footnote w:id="108">
    <w:p w14:paraId="7D39B150" w14:textId="77777777" w:rsidR="00A6094F" w:rsidRPr="001F01BF" w:rsidRDefault="00A6094F" w:rsidP="00FC1B4B">
      <w:pPr>
        <w:ind w:left="288" w:hanging="288"/>
        <w:rPr>
          <w:rFonts w:asciiTheme="minorHAnsi" w:hAnsiTheme="minorHAnsi"/>
          <w:sz w:val="14"/>
          <w:szCs w:val="14"/>
          <w:lang w:val="sl-SI"/>
        </w:rPr>
      </w:pPr>
      <w:r w:rsidRPr="001F01BF">
        <w:rPr>
          <w:rStyle w:val="FootnoteReference"/>
          <w:rFonts w:asciiTheme="minorHAnsi" w:hAnsiTheme="minorHAnsi"/>
          <w:sz w:val="14"/>
          <w:szCs w:val="14"/>
        </w:rPr>
        <w:footnoteRef/>
      </w:r>
      <w:r w:rsidRPr="001F01BF">
        <w:rPr>
          <w:rFonts w:asciiTheme="minorHAnsi" w:eastAsia="Calibri" w:hAnsiTheme="minorHAnsi" w:cs="Calibri"/>
          <w:sz w:val="14"/>
          <w:szCs w:val="14"/>
          <w:bdr w:val="nil"/>
          <w:lang w:val="sl-SI"/>
        </w:rPr>
        <w:t xml:space="preserve"> </w:t>
      </w:r>
      <w:r>
        <w:rPr>
          <w:rFonts w:asciiTheme="minorHAnsi" w:eastAsia="Calibri" w:hAnsiTheme="minorHAnsi" w:cs="Calibri"/>
          <w:sz w:val="14"/>
          <w:szCs w:val="14"/>
          <w:bdr w:val="nil"/>
          <w:lang w:val="sl-SI"/>
        </w:rPr>
        <w:tab/>
      </w:r>
      <w:hyperlink r:id="rId26" w:history="1">
        <w:r w:rsidRPr="001F01BF">
          <w:rPr>
            <w:rFonts w:asciiTheme="minorHAnsi" w:eastAsia="Calibri" w:hAnsiTheme="minorHAnsi" w:cs="Calibri"/>
            <w:color w:val="0000FF"/>
            <w:sz w:val="14"/>
            <w:szCs w:val="14"/>
            <w:u w:val="single"/>
            <w:bdr w:val="nil"/>
            <w:lang w:val="sl-SI"/>
          </w:rPr>
          <w:t>http://data.consilium.europa.eu/doc/document/ST-8701-2018-INIT/en/pdf</w:t>
        </w:r>
      </w:hyperlink>
      <w:r w:rsidRPr="001F01BF">
        <w:rPr>
          <w:rFonts w:asciiTheme="minorHAnsi" w:eastAsia="Calibri" w:hAnsiTheme="minorHAnsi" w:cs="Calibri"/>
          <w:sz w:val="14"/>
          <w:szCs w:val="14"/>
          <w:bdr w:val="nil"/>
          <w:lang w:val="sl-SI"/>
        </w:rPr>
        <w:t xml:space="preserve"> </w:t>
      </w:r>
    </w:p>
  </w:footnote>
  <w:footnote w:id="109">
    <w:p w14:paraId="7D39B151" w14:textId="77777777" w:rsidR="00A6094F" w:rsidRPr="001F01BF" w:rsidRDefault="00A6094F" w:rsidP="001E051C">
      <w:pPr>
        <w:pStyle w:val="FootnoteText"/>
        <w:rPr>
          <w:rFonts w:asciiTheme="minorHAnsi" w:hAnsiTheme="minorHAnsi"/>
          <w:sz w:val="14"/>
          <w:szCs w:val="14"/>
          <w:lang w:val="sl-SI"/>
        </w:rPr>
      </w:pPr>
      <w:r w:rsidRPr="001F01BF">
        <w:rPr>
          <w:rStyle w:val="FootnoteReference"/>
          <w:rFonts w:asciiTheme="minorHAnsi" w:hAnsiTheme="minorHAnsi"/>
          <w:sz w:val="14"/>
          <w:szCs w:val="14"/>
        </w:rPr>
        <w:footnoteRef/>
      </w:r>
      <w:r w:rsidRPr="001F01BF">
        <w:rPr>
          <w:rFonts w:asciiTheme="minorHAnsi" w:eastAsia="Calibri" w:hAnsiTheme="minorHAnsi" w:cs="Calibri"/>
          <w:smallCaps/>
          <w:kern w:val="0"/>
          <w:sz w:val="14"/>
          <w:szCs w:val="14"/>
          <w:bdr w:val="nil"/>
          <w:lang w:val="sl-SI"/>
        </w:rPr>
        <w:t xml:space="preserve"> </w:t>
      </w:r>
      <w:r w:rsidRPr="001F01BF">
        <w:rPr>
          <w:rFonts w:asciiTheme="minorHAnsi" w:eastAsia="Calibri" w:hAnsiTheme="minorHAnsi" w:cs="Calibri"/>
          <w:kern w:val="0"/>
          <w:sz w:val="14"/>
          <w:szCs w:val="14"/>
          <w:bdr w:val="nil"/>
          <w:lang w:val="sl-SI"/>
        </w:rPr>
        <w:t>V skladu s sklepi Evropskega sveta dne 28. junija 2018 »je treba spodbujati raziskovanje, inoviranje in izobraževanje, vključno preko pobude Evropskih univerz«.</w:t>
      </w:r>
    </w:p>
  </w:footnote>
  <w:footnote w:id="110">
    <w:p w14:paraId="7D39B152" w14:textId="77777777" w:rsidR="00A6094F" w:rsidRPr="001F01BF" w:rsidRDefault="00A6094F" w:rsidP="00553EB8">
      <w:pPr>
        <w:pStyle w:val="Guide-Footnote"/>
        <w:rPr>
          <w:rFonts w:asciiTheme="minorHAnsi" w:hAnsiTheme="minorHAnsi"/>
          <w:szCs w:val="14"/>
          <w:lang w:val="pt-PT"/>
        </w:rPr>
      </w:pPr>
      <w:r w:rsidRPr="00553EB8">
        <w:rPr>
          <w:rStyle w:val="FootnoteReference"/>
          <w:rFonts w:asciiTheme="minorHAnsi" w:hAnsiTheme="minorHAnsi" w:cs="Tahoma"/>
          <w:szCs w:val="14"/>
          <w:lang w:val="fr-BE" w:eastAsia="zh-CN"/>
        </w:rPr>
        <w:footnoteRef/>
      </w:r>
      <w:r w:rsidRPr="008B2C7D">
        <w:rPr>
          <w:rStyle w:val="FootnoteReference"/>
          <w:rFonts w:asciiTheme="minorHAnsi" w:hAnsiTheme="minorHAnsi" w:cs="Tahoma"/>
          <w:szCs w:val="14"/>
          <w:lang w:val="pt-PT" w:eastAsia="zh-CN"/>
        </w:rPr>
        <w:t xml:space="preserve"> </w:t>
      </w:r>
      <w:r>
        <w:rPr>
          <w:rFonts w:asciiTheme="minorHAnsi" w:hAnsiTheme="minorHAnsi" w:cs="Tahoma"/>
          <w:szCs w:val="14"/>
          <w:lang w:val="pt-PT" w:eastAsia="zh-CN"/>
        </w:rPr>
        <w:tab/>
      </w:r>
      <w:r w:rsidRPr="008B2C7D">
        <w:rPr>
          <w:lang w:val="pt-PT"/>
        </w:rPr>
        <w:t xml:space="preserve">COM(2018) 268 končni </w:t>
      </w:r>
      <w:hyperlink r:id="rId27" w:history="1">
        <w:r w:rsidRPr="00104AE6">
          <w:rPr>
            <w:rFonts w:asciiTheme="minorHAnsi" w:eastAsia="Calibri" w:hAnsiTheme="minorHAnsi" w:cs="Calibri"/>
            <w:color w:val="0000FF"/>
            <w:szCs w:val="14"/>
            <w:u w:val="single"/>
            <w:bdr w:val="nil"/>
            <w:lang w:val="sl-SI" w:eastAsia="zh-CN"/>
          </w:rPr>
          <w:t>https://ec.europa.eu/education/sites/education/files/combuildingastrongereurope_en_act_part1_v7.pdf</w:t>
        </w:r>
      </w:hyperlink>
      <w:r>
        <w:rPr>
          <w:lang w:val="pt-PT"/>
        </w:rPr>
        <w:t xml:space="preserve"> </w:t>
      </w:r>
    </w:p>
  </w:footnote>
  <w:footnote w:id="111">
    <w:p w14:paraId="7D39B153" w14:textId="77777777" w:rsidR="00A6094F" w:rsidRPr="001F01BF" w:rsidRDefault="00A6094F" w:rsidP="00FC1B4B">
      <w:pPr>
        <w:ind w:left="288" w:hanging="288"/>
        <w:rPr>
          <w:rFonts w:asciiTheme="minorHAnsi" w:hAnsiTheme="minorHAnsi"/>
          <w:sz w:val="14"/>
          <w:szCs w:val="14"/>
          <w:lang w:val="pt-PT"/>
        </w:rPr>
      </w:pPr>
      <w:r w:rsidRPr="001F01BF">
        <w:rPr>
          <w:rStyle w:val="FootnoteReference"/>
          <w:rFonts w:asciiTheme="minorHAnsi" w:hAnsiTheme="minorHAnsi"/>
          <w:sz w:val="14"/>
          <w:szCs w:val="14"/>
        </w:rPr>
        <w:footnoteRef/>
      </w:r>
      <w:r w:rsidRPr="001F01BF">
        <w:rPr>
          <w:rFonts w:asciiTheme="minorHAnsi" w:eastAsia="Calibri" w:hAnsiTheme="minorHAnsi" w:cs="Calibri"/>
          <w:sz w:val="14"/>
          <w:szCs w:val="14"/>
          <w:bdr w:val="nil"/>
          <w:lang w:val="sl-SI"/>
        </w:rPr>
        <w:t xml:space="preserve"> </w:t>
      </w:r>
      <w:r>
        <w:rPr>
          <w:rFonts w:asciiTheme="minorHAnsi" w:eastAsia="Calibri" w:hAnsiTheme="minorHAnsi" w:cs="Calibri"/>
          <w:sz w:val="14"/>
          <w:szCs w:val="14"/>
          <w:bdr w:val="nil"/>
          <w:lang w:val="sl-SI"/>
        </w:rPr>
        <w:tab/>
      </w:r>
      <w:r w:rsidRPr="001F01BF">
        <w:rPr>
          <w:rFonts w:asciiTheme="minorHAnsi" w:eastAsia="Calibri" w:hAnsiTheme="minorHAnsi" w:cs="Calibri"/>
          <w:sz w:val="14"/>
          <w:szCs w:val="14"/>
          <w:bdr w:val="nil"/>
          <w:lang w:val="sl-SI"/>
        </w:rPr>
        <w:t xml:space="preserve">COM(2018)270 </w:t>
      </w:r>
      <w:hyperlink r:id="rId28" w:history="1">
        <w:r w:rsidRPr="001F01BF">
          <w:rPr>
            <w:rFonts w:asciiTheme="minorHAnsi" w:eastAsia="Calibri" w:hAnsiTheme="minorHAnsi" w:cs="Calibri"/>
            <w:color w:val="0000FF"/>
            <w:sz w:val="14"/>
            <w:szCs w:val="14"/>
            <w:u w:val="single"/>
            <w:bdr w:val="nil"/>
            <w:lang w:val="sl-SI"/>
          </w:rPr>
          <w:t>https://ec.europa.eu/education/sites/education/files/recognition_en_act_part1_v6.pdf</w:t>
        </w:r>
      </w:hyperlink>
    </w:p>
  </w:footnote>
  <w:footnote w:id="112">
    <w:p w14:paraId="7D39B154" w14:textId="77777777" w:rsidR="00A6094F" w:rsidRPr="001F01BF" w:rsidRDefault="00A6094F" w:rsidP="00FC1B4B">
      <w:pPr>
        <w:ind w:left="288" w:hanging="288"/>
        <w:rPr>
          <w:rFonts w:asciiTheme="minorHAnsi" w:hAnsiTheme="minorHAnsi"/>
          <w:sz w:val="14"/>
          <w:szCs w:val="14"/>
          <w:lang w:val="pt-PT"/>
        </w:rPr>
      </w:pPr>
      <w:r w:rsidRPr="001F01BF">
        <w:rPr>
          <w:rStyle w:val="FootnoteReference"/>
          <w:rFonts w:asciiTheme="minorHAnsi" w:hAnsiTheme="minorHAnsi"/>
          <w:sz w:val="14"/>
          <w:szCs w:val="14"/>
        </w:rPr>
        <w:footnoteRef/>
      </w:r>
      <w:r w:rsidRPr="001F01BF">
        <w:rPr>
          <w:rFonts w:asciiTheme="minorHAnsi" w:eastAsia="Calibri" w:hAnsiTheme="minorHAnsi" w:cs="Calibri"/>
          <w:sz w:val="14"/>
          <w:szCs w:val="14"/>
          <w:bdr w:val="nil"/>
          <w:lang w:val="sl-SI"/>
        </w:rPr>
        <w:t xml:space="preserve"> </w:t>
      </w:r>
      <w:r>
        <w:rPr>
          <w:rFonts w:asciiTheme="minorHAnsi" w:eastAsia="Calibri" w:hAnsiTheme="minorHAnsi" w:cs="Calibri"/>
          <w:sz w:val="14"/>
          <w:szCs w:val="14"/>
          <w:bdr w:val="nil"/>
          <w:lang w:val="sl-SI"/>
        </w:rPr>
        <w:tab/>
      </w:r>
      <w:hyperlink r:id="rId29" w:history="1">
        <w:r w:rsidRPr="001F01BF">
          <w:rPr>
            <w:rFonts w:asciiTheme="minorHAnsi" w:eastAsia="Calibri" w:hAnsiTheme="minorHAnsi" w:cs="Calibri"/>
            <w:color w:val="0000FF"/>
            <w:sz w:val="14"/>
            <w:szCs w:val="14"/>
            <w:u w:val="single"/>
            <w:bdr w:val="nil"/>
            <w:lang w:val="sl-SI"/>
          </w:rPr>
          <w:t>https://ec.europa.eu/education/european-student-card-initiative_en</w:t>
        </w:r>
      </w:hyperlink>
      <w:r w:rsidRPr="001F01BF">
        <w:rPr>
          <w:rFonts w:asciiTheme="minorHAnsi" w:eastAsia="Calibri" w:hAnsiTheme="minorHAnsi" w:cs="Calibri"/>
          <w:sz w:val="14"/>
          <w:szCs w:val="14"/>
          <w:bdr w:val="nil"/>
          <w:lang w:val="sl-SI"/>
        </w:rPr>
        <w:t xml:space="preserve"> </w:t>
      </w:r>
    </w:p>
  </w:footnote>
  <w:footnote w:id="113">
    <w:p w14:paraId="7D39B155" w14:textId="77777777" w:rsidR="00A6094F" w:rsidRPr="001F01BF" w:rsidRDefault="00A6094F" w:rsidP="00FC1B4B">
      <w:pPr>
        <w:ind w:left="288" w:hanging="288"/>
        <w:rPr>
          <w:rFonts w:asciiTheme="minorHAnsi" w:hAnsiTheme="minorHAnsi"/>
          <w:sz w:val="14"/>
          <w:szCs w:val="14"/>
          <w:lang w:val="pt-PT"/>
        </w:rPr>
      </w:pPr>
      <w:r w:rsidRPr="001F01BF">
        <w:rPr>
          <w:rStyle w:val="FootnoteReference"/>
          <w:rFonts w:asciiTheme="minorHAnsi" w:hAnsiTheme="minorHAnsi"/>
          <w:sz w:val="14"/>
          <w:szCs w:val="14"/>
        </w:rPr>
        <w:footnoteRef/>
      </w:r>
      <w:r w:rsidRPr="001F01BF">
        <w:rPr>
          <w:rFonts w:asciiTheme="minorHAnsi" w:eastAsia="Calibri" w:hAnsiTheme="minorHAnsi" w:cs="Calibri"/>
          <w:sz w:val="14"/>
          <w:szCs w:val="14"/>
          <w:bdr w:val="nil"/>
          <w:lang w:val="sl-SI"/>
        </w:rPr>
        <w:t xml:space="preserve"> </w:t>
      </w:r>
      <w:r>
        <w:rPr>
          <w:rFonts w:asciiTheme="minorHAnsi" w:eastAsia="Calibri" w:hAnsiTheme="minorHAnsi" w:cs="Calibri"/>
          <w:sz w:val="14"/>
          <w:szCs w:val="14"/>
          <w:bdr w:val="nil"/>
          <w:lang w:val="sl-SI"/>
        </w:rPr>
        <w:tab/>
      </w:r>
      <w:r w:rsidRPr="001F01BF">
        <w:rPr>
          <w:rFonts w:asciiTheme="minorHAnsi" w:eastAsia="Calibri" w:hAnsiTheme="minorHAnsi" w:cs="Calibri"/>
          <w:sz w:val="14"/>
          <w:szCs w:val="14"/>
          <w:bdr w:val="nil"/>
          <w:lang w:val="sl-SI"/>
        </w:rPr>
        <w:t>Uvedba ključnih bolonjskih obvez je bistvenega pomena za utrditev in podporo kakovosti in sodelovanju:</w:t>
      </w:r>
    </w:p>
    <w:p w14:paraId="7D39B156" w14:textId="77777777" w:rsidR="00A6094F" w:rsidRPr="001F01BF" w:rsidRDefault="00A6094F" w:rsidP="001E051C">
      <w:pPr>
        <w:rPr>
          <w:rFonts w:asciiTheme="minorHAnsi" w:hAnsiTheme="minorHAnsi"/>
          <w:sz w:val="14"/>
          <w:szCs w:val="14"/>
          <w:lang w:val="pt-PT"/>
        </w:rPr>
      </w:pPr>
      <w:r w:rsidRPr="001F01BF">
        <w:rPr>
          <w:rFonts w:asciiTheme="minorHAnsi" w:eastAsia="Calibri" w:hAnsiTheme="minorHAnsi" w:cs="Calibri"/>
          <w:sz w:val="14"/>
          <w:szCs w:val="14"/>
          <w:bdr w:val="nil"/>
          <w:lang w:val="sl-SI"/>
        </w:rPr>
        <w:t>- sistem treh ciklov, združljiv s krovnim ogrodjem kvalifikacij za visoko šolstvo ter diplom prvega in drugega cikla po lestvici ECTS,</w:t>
      </w:r>
    </w:p>
    <w:p w14:paraId="7D39B157" w14:textId="77777777" w:rsidR="00A6094F" w:rsidRPr="001F01BF" w:rsidRDefault="00A6094F" w:rsidP="001E051C">
      <w:pPr>
        <w:rPr>
          <w:rFonts w:asciiTheme="minorHAnsi" w:hAnsiTheme="minorHAnsi"/>
          <w:sz w:val="14"/>
          <w:szCs w:val="14"/>
          <w:lang w:val="pl-PL"/>
        </w:rPr>
      </w:pPr>
      <w:r w:rsidRPr="001F01BF">
        <w:rPr>
          <w:rFonts w:asciiTheme="minorHAnsi" w:eastAsia="Calibri" w:hAnsiTheme="minorHAnsi" w:cs="Calibri"/>
          <w:sz w:val="14"/>
          <w:szCs w:val="14"/>
          <w:bdr w:val="nil"/>
          <w:lang w:val="sl-SI"/>
        </w:rPr>
        <w:t>- skladnost z Lizbonsko konvencijo o priznavanju,</w:t>
      </w:r>
    </w:p>
    <w:p w14:paraId="7D39B158" w14:textId="77777777" w:rsidR="00A6094F" w:rsidRPr="00E03711" w:rsidRDefault="00A6094F" w:rsidP="00E03711">
      <w:pPr>
        <w:rPr>
          <w:rFonts w:asciiTheme="minorHAnsi" w:eastAsiaTheme="minorEastAsia" w:hAnsiTheme="minorHAnsi"/>
          <w:b/>
          <w:bCs/>
          <w:noProof/>
          <w:color w:val="000080"/>
          <w:sz w:val="14"/>
          <w:szCs w:val="14"/>
          <w:lang w:val="pl-PL" w:eastAsia="en-GB"/>
        </w:rPr>
      </w:pPr>
      <w:r w:rsidRPr="001F01BF">
        <w:rPr>
          <w:rFonts w:asciiTheme="minorHAnsi" w:eastAsia="Calibri" w:hAnsiTheme="minorHAnsi" w:cs="Calibri"/>
          <w:sz w:val="14"/>
          <w:szCs w:val="14"/>
          <w:bdr w:val="nil"/>
          <w:lang w:val="sl-SI"/>
        </w:rPr>
        <w:t>- zagotavljanje kakovosti pri skladnosti s Standardi in smernicami za zagotavljanje kakovosti na področju evropskega visokega izobraževanja.</w:t>
      </w:r>
    </w:p>
  </w:footnote>
  <w:footnote w:id="114">
    <w:p w14:paraId="7D39B159" w14:textId="77777777" w:rsidR="00A6094F" w:rsidRPr="001F01BF" w:rsidRDefault="00A6094F" w:rsidP="00FC1B4B">
      <w:pPr>
        <w:ind w:left="288" w:hanging="288"/>
        <w:rPr>
          <w:rFonts w:asciiTheme="minorHAnsi" w:hAnsiTheme="minorHAnsi"/>
          <w:sz w:val="14"/>
          <w:szCs w:val="14"/>
          <w:lang w:val="pl-PL"/>
        </w:rPr>
      </w:pPr>
      <w:r w:rsidRPr="001F01BF">
        <w:rPr>
          <w:rStyle w:val="FootnoteReference"/>
          <w:rFonts w:asciiTheme="minorHAnsi" w:hAnsiTheme="minorHAnsi"/>
          <w:sz w:val="14"/>
          <w:szCs w:val="14"/>
        </w:rPr>
        <w:footnoteRef/>
      </w:r>
      <w:r w:rsidRPr="001F01BF">
        <w:rPr>
          <w:rFonts w:asciiTheme="minorHAnsi" w:eastAsia="Calibri" w:hAnsiTheme="minorHAnsi" w:cs="Calibri"/>
          <w:sz w:val="14"/>
          <w:szCs w:val="14"/>
          <w:bdr w:val="nil"/>
          <w:lang w:val="sl-SI"/>
        </w:rPr>
        <w:t xml:space="preserve"> </w:t>
      </w:r>
      <w:r>
        <w:rPr>
          <w:rFonts w:asciiTheme="minorHAnsi" w:eastAsia="Calibri" w:hAnsiTheme="minorHAnsi" w:cs="Calibri"/>
          <w:sz w:val="14"/>
          <w:szCs w:val="14"/>
          <w:bdr w:val="nil"/>
          <w:lang w:val="sl-SI"/>
        </w:rPr>
        <w:tab/>
      </w:r>
      <w:hyperlink r:id="rId30" w:history="1">
        <w:r w:rsidRPr="001F01BF">
          <w:rPr>
            <w:rFonts w:asciiTheme="minorHAnsi" w:eastAsia="Calibri" w:hAnsiTheme="minorHAnsi" w:cs="Calibri"/>
            <w:color w:val="0000FF"/>
            <w:sz w:val="14"/>
            <w:szCs w:val="14"/>
            <w:u w:val="single"/>
            <w:bdr w:val="nil"/>
            <w:lang w:val="sl-SI"/>
          </w:rPr>
          <w:t>http://www.consilium.europa.eu/media/32204/14-final-conclusions-rev1-en.pdf</w:t>
        </w:r>
      </w:hyperlink>
      <w:r w:rsidRPr="001F01BF">
        <w:rPr>
          <w:rFonts w:asciiTheme="minorHAnsi" w:eastAsia="Calibri" w:hAnsiTheme="minorHAnsi" w:cs="Calibri"/>
          <w:sz w:val="14"/>
          <w:szCs w:val="14"/>
          <w:bdr w:val="nil"/>
          <w:lang w:val="sl-SI"/>
        </w:rPr>
        <w:t xml:space="preserve"> </w:t>
      </w:r>
    </w:p>
  </w:footnote>
  <w:footnote w:id="115">
    <w:p w14:paraId="7D39B15A" w14:textId="77777777" w:rsidR="00A6094F" w:rsidRPr="001F01BF" w:rsidRDefault="00A6094F" w:rsidP="00FC1B4B">
      <w:pPr>
        <w:ind w:left="288" w:hanging="288"/>
        <w:rPr>
          <w:rFonts w:asciiTheme="minorHAnsi" w:hAnsiTheme="minorHAnsi"/>
          <w:sz w:val="14"/>
          <w:szCs w:val="14"/>
          <w:lang w:val="pl-PL"/>
        </w:rPr>
      </w:pPr>
      <w:r w:rsidRPr="001F01BF">
        <w:rPr>
          <w:rStyle w:val="FootnoteReference"/>
          <w:rFonts w:asciiTheme="minorHAnsi" w:hAnsiTheme="minorHAnsi"/>
          <w:sz w:val="14"/>
          <w:szCs w:val="14"/>
        </w:rPr>
        <w:footnoteRef/>
      </w:r>
      <w:r w:rsidRPr="001F01BF">
        <w:rPr>
          <w:rFonts w:asciiTheme="minorHAnsi" w:eastAsia="Calibri" w:hAnsiTheme="minorHAnsi" w:cs="Calibri"/>
          <w:sz w:val="14"/>
          <w:szCs w:val="14"/>
          <w:bdr w:val="nil"/>
          <w:lang w:val="sl-SI"/>
        </w:rPr>
        <w:t xml:space="preserve"> </w:t>
      </w:r>
      <w:r>
        <w:rPr>
          <w:rFonts w:asciiTheme="minorHAnsi" w:eastAsia="Calibri" w:hAnsiTheme="minorHAnsi" w:cs="Calibri"/>
          <w:sz w:val="14"/>
          <w:szCs w:val="14"/>
          <w:bdr w:val="nil"/>
          <w:lang w:val="sl-SI"/>
        </w:rPr>
        <w:tab/>
      </w:r>
      <w:r w:rsidRPr="001F01BF">
        <w:rPr>
          <w:rFonts w:asciiTheme="minorHAnsi" w:eastAsia="Calibri" w:hAnsiTheme="minorHAnsi" w:cs="Calibri"/>
          <w:sz w:val="14"/>
          <w:szCs w:val="14"/>
          <w:bdr w:val="nil"/>
          <w:lang w:val="sl-SI"/>
        </w:rPr>
        <w:t xml:space="preserve">Glejte seznam evropskih geografskih regij glede na kategorije EuroVoc (uradni večjezični tezaver, ki ga ureja Urad za publikacije EU): </w:t>
      </w:r>
      <w:hyperlink r:id="rId31" w:history="1">
        <w:r w:rsidRPr="001F01BF">
          <w:rPr>
            <w:rFonts w:asciiTheme="minorHAnsi" w:eastAsia="Calibri" w:hAnsiTheme="minorHAnsi" w:cs="Calibri"/>
            <w:color w:val="0000FF"/>
            <w:sz w:val="14"/>
            <w:szCs w:val="14"/>
            <w:u w:val="single"/>
            <w:bdr w:val="nil"/>
            <w:lang w:val="sl-SI"/>
          </w:rPr>
          <w:t>http://eurovoc.europa.eu/drupal/?q=request&amp;mturi=http://eurovoc.europa.eu/100277&amp;language=en&amp;view=mt&amp;ifacelang=en</w:t>
        </w:r>
      </w:hyperlink>
      <w:r w:rsidRPr="001F01BF">
        <w:rPr>
          <w:rFonts w:asciiTheme="minorHAnsi" w:eastAsia="Calibri" w:hAnsiTheme="minorHAnsi" w:cs="Calibri"/>
          <w:sz w:val="14"/>
          <w:szCs w:val="14"/>
          <w:bdr w:val="nil"/>
          <w:lang w:val="sl-SI"/>
        </w:rPr>
        <w:t xml:space="preserve"> </w:t>
      </w:r>
    </w:p>
  </w:footnote>
  <w:footnote w:id="116">
    <w:p w14:paraId="7D39B15B" w14:textId="77777777" w:rsidR="00A6094F" w:rsidRPr="001F01BF" w:rsidRDefault="00A6094F" w:rsidP="00FC1B4B">
      <w:pPr>
        <w:ind w:left="288" w:hanging="288"/>
        <w:rPr>
          <w:rFonts w:asciiTheme="minorHAnsi" w:hAnsiTheme="minorHAnsi"/>
          <w:i/>
          <w:sz w:val="14"/>
          <w:szCs w:val="14"/>
          <w:lang w:val="pl-PL"/>
        </w:rPr>
      </w:pPr>
      <w:r w:rsidRPr="001F01BF">
        <w:rPr>
          <w:rStyle w:val="FootnoteReference"/>
          <w:rFonts w:asciiTheme="minorHAnsi" w:hAnsiTheme="minorHAnsi"/>
          <w:sz w:val="14"/>
          <w:szCs w:val="14"/>
        </w:rPr>
        <w:footnoteRef/>
      </w:r>
      <w:r w:rsidRPr="001F01BF">
        <w:rPr>
          <w:rFonts w:asciiTheme="minorHAnsi" w:eastAsia="Calibri" w:hAnsiTheme="minorHAnsi" w:cs="Calibri"/>
          <w:sz w:val="14"/>
          <w:szCs w:val="14"/>
          <w:bdr w:val="nil"/>
          <w:lang w:val="sl-SI"/>
        </w:rPr>
        <w:t xml:space="preserve"> </w:t>
      </w:r>
      <w:r>
        <w:rPr>
          <w:rFonts w:asciiTheme="minorHAnsi" w:eastAsia="Calibri" w:hAnsiTheme="minorHAnsi" w:cs="Calibri"/>
          <w:sz w:val="14"/>
          <w:szCs w:val="14"/>
          <w:bdr w:val="nil"/>
          <w:lang w:val="sl-SI"/>
        </w:rPr>
        <w:tab/>
      </w:r>
      <w:r w:rsidRPr="001F01BF">
        <w:rPr>
          <w:rFonts w:asciiTheme="minorHAnsi" w:eastAsia="Calibri" w:hAnsiTheme="minorHAnsi" w:cs="Calibri"/>
          <w:sz w:val="14"/>
          <w:szCs w:val="14"/>
          <w:bdr w:val="nil"/>
          <w:lang w:val="sl-SI"/>
        </w:rPr>
        <w:t xml:space="preserve">V sklepih Evropskega sveta z dne 14. decembra 2017 so vodje držav ali vlad podprli nastanek </w:t>
      </w:r>
      <w:r w:rsidRPr="001F01BF">
        <w:rPr>
          <w:rFonts w:asciiTheme="minorHAnsi" w:eastAsia="Calibri" w:hAnsiTheme="minorHAnsi" w:cs="Calibri"/>
          <w:i/>
          <w:iCs/>
          <w:sz w:val="14"/>
          <w:szCs w:val="14"/>
          <w:bdr w:val="nil"/>
          <w:lang w:val="sl-SI"/>
        </w:rPr>
        <w:t>»(…) do 2024 približno dvajsetih 'Evropskih univerz', ki jih sestavljajo omrežja od spodaj navzgor z univerzami iz celotne EU (…)«.</w:t>
      </w:r>
    </w:p>
  </w:footnote>
  <w:footnote w:id="117">
    <w:p w14:paraId="7D39B15C" w14:textId="77777777" w:rsidR="00A6094F" w:rsidRPr="001F01BF" w:rsidRDefault="00A6094F" w:rsidP="00E03711">
      <w:pPr>
        <w:rPr>
          <w:rFonts w:asciiTheme="minorHAnsi" w:hAnsiTheme="minorHAnsi"/>
          <w:sz w:val="14"/>
          <w:szCs w:val="14"/>
          <w:lang w:val="pl-PL"/>
        </w:rPr>
      </w:pPr>
      <w:r w:rsidRPr="001F01BF">
        <w:rPr>
          <w:rStyle w:val="FootnoteReference"/>
          <w:rFonts w:asciiTheme="minorHAnsi" w:hAnsiTheme="minorHAnsi"/>
          <w:sz w:val="14"/>
          <w:szCs w:val="14"/>
        </w:rPr>
        <w:footnoteRef/>
      </w:r>
      <w:r w:rsidRPr="001F01BF">
        <w:rPr>
          <w:rFonts w:asciiTheme="minorHAnsi" w:eastAsia="Calibri" w:hAnsiTheme="minorHAnsi" w:cs="Calibri"/>
          <w:sz w:val="14"/>
          <w:szCs w:val="14"/>
          <w:bdr w:val="nil"/>
          <w:lang w:val="sl-SI"/>
        </w:rPr>
        <w:t xml:space="preserve"> </w:t>
      </w:r>
      <w:hyperlink r:id="rId32" w:history="1">
        <w:r w:rsidRPr="001F01BF">
          <w:rPr>
            <w:rFonts w:asciiTheme="minorHAnsi" w:eastAsia="Calibri" w:hAnsiTheme="minorHAnsi" w:cs="Calibri"/>
            <w:color w:val="0000FF"/>
            <w:sz w:val="14"/>
            <w:szCs w:val="14"/>
            <w:u w:val="single"/>
            <w:bdr w:val="nil"/>
            <w:lang w:val="sl-SI"/>
          </w:rPr>
          <w:t>https://ec.europa.eu/education/european-universities-initiative_en</w:t>
        </w:r>
      </w:hyperlink>
    </w:p>
  </w:footnote>
  <w:footnote w:id="118">
    <w:p w14:paraId="7D39B15D" w14:textId="77777777" w:rsidR="00A6094F" w:rsidRPr="001F01BF" w:rsidRDefault="00A6094F" w:rsidP="00E03711">
      <w:pPr>
        <w:ind w:left="288" w:hanging="288"/>
        <w:rPr>
          <w:rFonts w:asciiTheme="minorHAnsi" w:hAnsiTheme="minorHAnsi"/>
          <w:sz w:val="14"/>
          <w:szCs w:val="14"/>
          <w:lang w:val="pl-PL"/>
        </w:rPr>
      </w:pPr>
      <w:r w:rsidRPr="001F01BF">
        <w:rPr>
          <w:rStyle w:val="FootnoteReference"/>
          <w:rFonts w:asciiTheme="minorHAnsi" w:hAnsiTheme="minorHAnsi"/>
          <w:sz w:val="14"/>
          <w:szCs w:val="14"/>
        </w:rPr>
        <w:footnoteRef/>
      </w:r>
      <w:r>
        <w:rPr>
          <w:rFonts w:asciiTheme="minorHAnsi" w:eastAsia="Calibri" w:hAnsiTheme="minorHAnsi" w:cs="Calibri"/>
          <w:sz w:val="14"/>
          <w:szCs w:val="14"/>
          <w:bdr w:val="nil"/>
          <w:lang w:val="sl-SI"/>
        </w:rPr>
        <w:t xml:space="preserve"> </w:t>
      </w:r>
      <w:r>
        <w:rPr>
          <w:rFonts w:asciiTheme="minorHAnsi" w:eastAsia="Calibri" w:hAnsiTheme="minorHAnsi" w:cs="Calibri"/>
          <w:sz w:val="14"/>
          <w:szCs w:val="14"/>
          <w:bdr w:val="nil"/>
          <w:lang w:val="sl-SI"/>
        </w:rPr>
        <w:tab/>
      </w:r>
      <w:r w:rsidRPr="001F01BF">
        <w:rPr>
          <w:rFonts w:asciiTheme="minorHAnsi" w:eastAsia="Calibri" w:hAnsiTheme="minorHAnsi" w:cs="Calibri"/>
          <w:sz w:val="14"/>
          <w:szCs w:val="14"/>
          <w:bdr w:val="nil"/>
          <w:lang w:val="sl-SI"/>
        </w:rPr>
        <w:t>Za mobilnost, ki traja več kot 3 mesece, se lahko sredstva črpajo iz "projektov mobilnosti za visokošolske študente"</w:t>
      </w:r>
    </w:p>
  </w:footnote>
  <w:footnote w:id="119">
    <w:p w14:paraId="7D39B15E" w14:textId="77777777" w:rsidR="00A6094F" w:rsidRPr="001F01BF" w:rsidRDefault="00A6094F" w:rsidP="00FC1B4B">
      <w:pPr>
        <w:pStyle w:val="FootnoteText"/>
        <w:ind w:left="288" w:hanging="288"/>
        <w:rPr>
          <w:rFonts w:asciiTheme="minorHAnsi" w:hAnsiTheme="minorHAnsi"/>
          <w:sz w:val="14"/>
          <w:szCs w:val="14"/>
          <w:lang w:val="pl-PL"/>
        </w:rPr>
      </w:pPr>
      <w:r w:rsidRPr="001F01BF">
        <w:rPr>
          <w:rStyle w:val="FootnoteReference"/>
          <w:rFonts w:asciiTheme="minorHAnsi" w:hAnsiTheme="minorHAnsi"/>
          <w:sz w:val="14"/>
          <w:szCs w:val="14"/>
        </w:rPr>
        <w:footnoteRef/>
      </w:r>
      <w:r>
        <w:rPr>
          <w:rFonts w:asciiTheme="minorHAnsi" w:eastAsia="Calibri" w:hAnsiTheme="minorHAnsi" w:cs="Calibri"/>
          <w:kern w:val="0"/>
          <w:sz w:val="14"/>
          <w:szCs w:val="14"/>
          <w:bdr w:val="nil"/>
          <w:lang w:val="sl-SI"/>
        </w:rPr>
        <w:t xml:space="preserve"> </w:t>
      </w:r>
      <w:r>
        <w:rPr>
          <w:rFonts w:asciiTheme="minorHAnsi" w:eastAsia="Calibri" w:hAnsiTheme="minorHAnsi" w:cs="Calibri"/>
          <w:kern w:val="0"/>
          <w:sz w:val="14"/>
          <w:szCs w:val="14"/>
          <w:bdr w:val="nil"/>
          <w:lang w:val="sl-SI"/>
        </w:rPr>
        <w:tab/>
      </w:r>
      <w:r w:rsidRPr="001F01BF">
        <w:rPr>
          <w:rFonts w:asciiTheme="minorHAnsi" w:eastAsia="Calibri" w:hAnsiTheme="minorHAnsi" w:cs="Calibri"/>
          <w:kern w:val="0"/>
          <w:sz w:val="14"/>
          <w:szCs w:val="14"/>
          <w:bdr w:val="nil"/>
          <w:lang w:val="sl-SI"/>
        </w:rPr>
        <w:t>Pavšalni znesek, ki ne presega 7 % upravičenih neposrednih stroškov projekta, je upravičen v okviru posrednih stroškov in predstavlja splošne administrativne stroške upravičenca, ki niso že zdaj kriti iz upravičenih neposrednih stroškov (npr. računi za elektriko ali internet, stroški prostorov itd.), a jih je mogoče obračunati pri projektu.</w:t>
      </w:r>
    </w:p>
  </w:footnote>
  <w:footnote w:id="120">
    <w:p w14:paraId="7D39B15F" w14:textId="77777777" w:rsidR="00A6094F" w:rsidRPr="001F01BF" w:rsidRDefault="00A6094F">
      <w:pPr>
        <w:pStyle w:val="FootnoteText"/>
        <w:rPr>
          <w:rFonts w:asciiTheme="minorHAnsi" w:hAnsiTheme="minorHAnsi"/>
          <w:sz w:val="14"/>
          <w:szCs w:val="14"/>
          <w:lang w:val="pt-PT"/>
        </w:rPr>
      </w:pPr>
      <w:r w:rsidRPr="001F01BF">
        <w:rPr>
          <w:rStyle w:val="FootnoteReference"/>
          <w:rFonts w:asciiTheme="minorHAnsi" w:hAnsiTheme="minorHAnsi"/>
          <w:sz w:val="14"/>
          <w:szCs w:val="14"/>
        </w:rPr>
        <w:footnoteRef/>
      </w:r>
      <w:r w:rsidRPr="001F01BF">
        <w:rPr>
          <w:rFonts w:asciiTheme="minorHAnsi" w:hAnsiTheme="minorHAnsi"/>
          <w:sz w:val="14"/>
          <w:szCs w:val="14"/>
          <w:lang w:val="pt-PT"/>
        </w:rPr>
        <w:t xml:space="preserve"> </w:t>
      </w:r>
      <w:r>
        <w:rPr>
          <w:rFonts w:asciiTheme="minorHAnsi" w:hAnsiTheme="minorHAnsi"/>
          <w:sz w:val="14"/>
          <w:szCs w:val="14"/>
          <w:lang w:val="pt-PT"/>
        </w:rPr>
        <w:t xml:space="preserve">   </w:t>
      </w:r>
      <w:r w:rsidRPr="001F01BF">
        <w:rPr>
          <w:rFonts w:asciiTheme="minorHAnsi" w:hAnsiTheme="minorHAnsi"/>
          <w:sz w:val="14"/>
          <w:szCs w:val="14"/>
          <w:lang w:val="pt-PT"/>
        </w:rPr>
        <w:t xml:space="preserve">Prenovljena agenda EU za visoko šolstvo  </w:t>
      </w:r>
      <w:hyperlink r:id="rId33" w:history="1">
        <w:r w:rsidRPr="001E29CB">
          <w:rPr>
            <w:rStyle w:val="Hyperlink"/>
            <w:rFonts w:asciiTheme="minorHAnsi" w:hAnsiTheme="minorHAnsi"/>
            <w:sz w:val="14"/>
            <w:szCs w:val="14"/>
            <w:lang w:val="pt-PT"/>
          </w:rPr>
          <w:t>http://eur-lex.europa.eu/legal-content/EN/TXT/?qid=1496304694958&amp;uri=COM:2017:247:FIN</w:t>
        </w:r>
      </w:hyperlink>
      <w:r>
        <w:rPr>
          <w:rFonts w:asciiTheme="minorHAnsi" w:hAnsiTheme="minorHAnsi"/>
          <w:sz w:val="14"/>
          <w:szCs w:val="14"/>
          <w:lang w:val="pt-PT"/>
        </w:rPr>
        <w:t xml:space="preserve"> </w:t>
      </w:r>
    </w:p>
  </w:footnote>
  <w:footnote w:id="121">
    <w:p w14:paraId="7D39B160" w14:textId="77777777" w:rsidR="00A6094F" w:rsidRPr="001F01BF" w:rsidRDefault="00A6094F" w:rsidP="00517C47">
      <w:pPr>
        <w:pStyle w:val="Guide-Footnote"/>
        <w:rPr>
          <w:rFonts w:asciiTheme="minorHAnsi" w:hAnsiTheme="minorHAnsi"/>
          <w:szCs w:val="14"/>
          <w:lang w:val="pt-PT"/>
        </w:rPr>
      </w:pPr>
      <w:r w:rsidRPr="001F01BF">
        <w:rPr>
          <w:rStyle w:val="FootnoteReference"/>
          <w:rFonts w:asciiTheme="minorHAnsi" w:hAnsiTheme="minorHAnsi"/>
          <w:szCs w:val="14"/>
        </w:rPr>
        <w:footnoteRef/>
      </w:r>
      <w:r w:rsidRPr="001F01BF">
        <w:rPr>
          <w:rFonts w:asciiTheme="minorHAnsi" w:hAnsiTheme="minorHAnsi"/>
          <w:szCs w:val="14"/>
          <w:lang w:val="pt-PT"/>
        </w:rPr>
        <w:tab/>
        <w:t xml:space="preserve">Sporočilo EU iz leta 2013 o odpiranju izobraževanja: </w:t>
      </w:r>
      <w:r w:rsidRPr="001F01BF">
        <w:rPr>
          <w:rStyle w:val="Hyperlink"/>
          <w:rFonts w:asciiTheme="minorHAnsi" w:hAnsiTheme="minorHAnsi"/>
          <w:szCs w:val="14"/>
          <w:lang w:val="pt-PT"/>
        </w:rPr>
        <w:t>http://eur-lex.europa.eu/legal-content/SL/TXT/PDF/?uri=CELEX:52013DC0654&amp;from=SL</w:t>
      </w:r>
      <w:r w:rsidRPr="001F01BF">
        <w:rPr>
          <w:rFonts w:asciiTheme="minorHAnsi" w:hAnsiTheme="minorHAnsi"/>
          <w:color w:val="000000"/>
          <w:szCs w:val="14"/>
          <w:lang w:val="pt-PT"/>
        </w:rPr>
        <w:t>.</w:t>
      </w:r>
    </w:p>
  </w:footnote>
  <w:footnote w:id="122">
    <w:p w14:paraId="7D39B161" w14:textId="77777777" w:rsidR="00A6094F" w:rsidRPr="001F01BF" w:rsidRDefault="00A6094F" w:rsidP="00780CE3">
      <w:pPr>
        <w:pStyle w:val="Guide-Footnote"/>
        <w:rPr>
          <w:rFonts w:asciiTheme="minorHAnsi" w:hAnsiTheme="minorHAnsi"/>
          <w:szCs w:val="14"/>
          <w:lang w:val="pt-PT"/>
        </w:rPr>
      </w:pPr>
      <w:r w:rsidRPr="001F01BF">
        <w:rPr>
          <w:rStyle w:val="FootnoteReference"/>
          <w:rFonts w:asciiTheme="minorHAnsi" w:hAnsiTheme="minorHAnsi"/>
          <w:szCs w:val="14"/>
        </w:rPr>
        <w:footnoteRef/>
      </w:r>
      <w:r w:rsidRPr="001F01BF">
        <w:rPr>
          <w:rFonts w:asciiTheme="minorHAnsi" w:hAnsiTheme="minorHAnsi"/>
          <w:szCs w:val="14"/>
          <w:lang w:val="pt-PT"/>
        </w:rPr>
        <w:t xml:space="preserve"> </w:t>
      </w:r>
      <w:r w:rsidRPr="001F01BF">
        <w:rPr>
          <w:rFonts w:asciiTheme="minorHAnsi" w:hAnsiTheme="minorHAnsi"/>
          <w:szCs w:val="14"/>
          <w:lang w:val="pt-PT"/>
        </w:rPr>
        <w:tab/>
      </w:r>
      <w:r w:rsidRPr="001F01BF">
        <w:rPr>
          <w:rStyle w:val="Hyperlink"/>
          <w:rFonts w:asciiTheme="minorHAnsi" w:hAnsiTheme="minorHAnsi"/>
          <w:szCs w:val="14"/>
          <w:lang w:val="pt-PT"/>
        </w:rPr>
        <w:t>http://ec.europa.eu/programmes/erasmus-plus/resources_sl#tab-1-4.</w:t>
      </w:r>
    </w:p>
  </w:footnote>
  <w:footnote w:id="123">
    <w:p w14:paraId="7D39B162" w14:textId="77777777" w:rsidR="00A6094F" w:rsidRPr="001F01BF" w:rsidRDefault="00A6094F" w:rsidP="00780CE3">
      <w:pPr>
        <w:pStyle w:val="Guide-Footnote"/>
        <w:rPr>
          <w:rFonts w:asciiTheme="minorHAnsi" w:hAnsiTheme="minorHAnsi"/>
          <w:szCs w:val="14"/>
          <w:lang w:val="pt-PT"/>
        </w:rPr>
      </w:pPr>
      <w:r w:rsidRPr="001F01BF">
        <w:rPr>
          <w:rStyle w:val="FootnoteReference"/>
          <w:rFonts w:asciiTheme="minorHAnsi" w:hAnsiTheme="minorHAnsi"/>
          <w:szCs w:val="14"/>
        </w:rPr>
        <w:footnoteRef/>
      </w:r>
      <w:r w:rsidRPr="001F01BF">
        <w:rPr>
          <w:rFonts w:asciiTheme="minorHAnsi" w:hAnsiTheme="minorHAnsi"/>
          <w:szCs w:val="14"/>
          <w:lang w:val="pt-PT"/>
        </w:rPr>
        <w:t xml:space="preserve"> </w:t>
      </w:r>
      <w:r w:rsidRPr="001F01BF">
        <w:rPr>
          <w:rFonts w:asciiTheme="minorHAnsi" w:hAnsiTheme="minorHAnsi"/>
          <w:szCs w:val="14"/>
          <w:lang w:val="pt-PT"/>
        </w:rPr>
        <w:tab/>
        <w:t>Na primer, če oseba iz Madrida (Španija) sodeluje pri aktivnosti, ki se izvaja v Rimu (Italija), bo prijavitelj</w:t>
      </w:r>
    </w:p>
    <w:p w14:paraId="7D39B163" w14:textId="77777777" w:rsidR="00A6094F" w:rsidRPr="001F01BF" w:rsidRDefault="00A6094F" w:rsidP="00780CE3">
      <w:pPr>
        <w:pStyle w:val="Guide-Footnote"/>
        <w:rPr>
          <w:rFonts w:asciiTheme="minorHAnsi" w:hAnsiTheme="minorHAnsi"/>
          <w:szCs w:val="14"/>
          <w:lang w:val="pt-PT"/>
        </w:rPr>
      </w:pPr>
      <w:r w:rsidRPr="001F01BF">
        <w:rPr>
          <w:rFonts w:asciiTheme="minorHAnsi" w:hAnsiTheme="minorHAnsi"/>
          <w:szCs w:val="14"/>
          <w:lang w:val="pt-PT"/>
        </w:rPr>
        <w:tab/>
        <w:t xml:space="preserve">a) izračunal razdaljo od Madrida do Rima (1 365,28 km); </w:t>
      </w:r>
    </w:p>
    <w:p w14:paraId="7D39B164" w14:textId="77777777" w:rsidR="00A6094F" w:rsidRPr="001F01BF" w:rsidRDefault="00A6094F" w:rsidP="00780CE3">
      <w:pPr>
        <w:pStyle w:val="Guide-Footnote"/>
        <w:rPr>
          <w:rFonts w:asciiTheme="minorHAnsi" w:hAnsiTheme="minorHAnsi"/>
          <w:szCs w:val="14"/>
          <w:lang w:val="pl-PL"/>
        </w:rPr>
      </w:pPr>
      <w:r w:rsidRPr="001F01BF">
        <w:rPr>
          <w:rFonts w:asciiTheme="minorHAnsi" w:hAnsiTheme="minorHAnsi"/>
          <w:szCs w:val="14"/>
          <w:lang w:val="pt-PT"/>
        </w:rPr>
        <w:tab/>
      </w:r>
      <w:r w:rsidRPr="001F01BF">
        <w:rPr>
          <w:rFonts w:asciiTheme="minorHAnsi" w:hAnsiTheme="minorHAnsi"/>
          <w:szCs w:val="14"/>
          <w:lang w:val="pl-PL"/>
        </w:rPr>
        <w:t xml:space="preserve">b) izbral ustrezen razpon razdalje poti (tj. od 500 do 1 999 km) ter </w:t>
      </w:r>
    </w:p>
    <w:p w14:paraId="7D39B165" w14:textId="77777777" w:rsidR="00A6094F" w:rsidRPr="001F01BF" w:rsidRDefault="00A6094F" w:rsidP="00780CE3">
      <w:pPr>
        <w:pStyle w:val="Guide-Footnote"/>
        <w:rPr>
          <w:rFonts w:asciiTheme="minorHAnsi" w:hAnsiTheme="minorHAnsi"/>
          <w:kern w:val="0"/>
          <w:szCs w:val="14"/>
          <w:lang w:val="pl-PL" w:eastAsia="fr-FR"/>
        </w:rPr>
      </w:pPr>
      <w:r w:rsidRPr="001F01BF">
        <w:rPr>
          <w:rFonts w:asciiTheme="minorHAnsi" w:hAnsiTheme="minorHAnsi"/>
          <w:szCs w:val="14"/>
          <w:lang w:val="pl-PL"/>
        </w:rPr>
        <w:tab/>
        <w:t>c) izračunal nepovratna sredstva EU za kritje stroškov poti udeleženca iz Madrida do Rima in nazaj.</w:t>
      </w:r>
    </w:p>
  </w:footnote>
  <w:footnote w:id="124">
    <w:p w14:paraId="7D39B166" w14:textId="77777777" w:rsidR="00A6094F" w:rsidRPr="001F01BF" w:rsidRDefault="00A6094F" w:rsidP="00C63BBE">
      <w:pPr>
        <w:pStyle w:val="FootnoteText"/>
        <w:ind w:left="284" w:hanging="284"/>
        <w:rPr>
          <w:rFonts w:asciiTheme="minorHAnsi" w:eastAsia="Calibri" w:hAnsiTheme="minorHAnsi" w:cs="Calibri"/>
          <w:kern w:val="0"/>
          <w:sz w:val="14"/>
          <w:szCs w:val="14"/>
          <w:bdr w:val="nil"/>
          <w:lang w:val="sl-SI"/>
        </w:rPr>
      </w:pPr>
      <w:r w:rsidRPr="001F01BF">
        <w:rPr>
          <w:rStyle w:val="FootnoteReference"/>
          <w:rFonts w:asciiTheme="minorHAnsi" w:hAnsiTheme="minorHAnsi"/>
          <w:sz w:val="14"/>
          <w:szCs w:val="14"/>
        </w:rPr>
        <w:footnoteRef/>
      </w:r>
      <w:r w:rsidRPr="001F01BF">
        <w:rPr>
          <w:rFonts w:asciiTheme="minorHAnsi" w:eastAsia="Calibri" w:hAnsiTheme="minorHAnsi" w:cs="Calibri"/>
          <w:kern w:val="0"/>
          <w:sz w:val="14"/>
          <w:szCs w:val="14"/>
          <w:bdr w:val="nil"/>
          <w:lang w:val="sl-SI"/>
        </w:rPr>
        <w:t xml:space="preserve"> </w:t>
      </w:r>
      <w:r w:rsidRPr="001F01BF">
        <w:rPr>
          <w:rFonts w:asciiTheme="minorHAnsi" w:eastAsia="Calibri" w:hAnsiTheme="minorHAnsi" w:cs="Calibri"/>
          <w:kern w:val="0"/>
          <w:sz w:val="14"/>
          <w:szCs w:val="14"/>
          <w:bdr w:val="nil"/>
          <w:lang w:val="sl-SI"/>
        </w:rPr>
        <w:tab/>
      </w:r>
      <w:hyperlink r:id="rId34" w:history="1">
        <w:r w:rsidRPr="001F01BF">
          <w:rPr>
            <w:rStyle w:val="Hyperlink"/>
            <w:rFonts w:asciiTheme="minorHAnsi" w:eastAsia="Calibri" w:hAnsiTheme="minorHAnsi" w:cs="Calibri"/>
            <w:kern w:val="0"/>
            <w:sz w:val="14"/>
            <w:szCs w:val="14"/>
            <w:bdr w:val="nil"/>
            <w:lang w:val="sl-SI"/>
          </w:rPr>
          <w:t>https://eur-lex.europa.eu/legal-content/EN/TXT/?uri=CELEX%3A32018H0502%2801%29</w:t>
        </w:r>
      </w:hyperlink>
    </w:p>
  </w:footnote>
  <w:footnote w:id="125">
    <w:p w14:paraId="7D39B167" w14:textId="77777777" w:rsidR="00A6094F" w:rsidRPr="001F01BF" w:rsidRDefault="00A6094F" w:rsidP="00015147">
      <w:pPr>
        <w:pStyle w:val="Guide-Footnote"/>
        <w:rPr>
          <w:rStyle w:val="Hyperlink"/>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r>
      <w:hyperlink r:id="rId35">
        <w:r w:rsidRPr="001F01BF">
          <w:rPr>
            <w:rStyle w:val="Hyperlink"/>
            <w:rFonts w:asciiTheme="minorHAnsi" w:hAnsiTheme="minorHAnsi"/>
            <w:szCs w:val="14"/>
            <w:lang w:val="sl-SI"/>
          </w:rPr>
          <w:t>http://ec.europa.eu/growth/tools-databases/newsroom/cf/itemdetail.cfm?item_id=8848&amp;lang=sl</w:t>
        </w:r>
      </w:hyperlink>
    </w:p>
    <w:p w14:paraId="7D39B168" w14:textId="77777777" w:rsidR="00A6094F" w:rsidRPr="001F01BF" w:rsidRDefault="00A6094F" w:rsidP="00015147">
      <w:pPr>
        <w:pStyle w:val="Guide-Footnote"/>
        <w:rPr>
          <w:rFonts w:asciiTheme="minorHAnsi" w:hAnsiTheme="minorHAnsi"/>
          <w:szCs w:val="14"/>
          <w:lang w:val="sl-SI"/>
        </w:rPr>
      </w:pPr>
      <w:r w:rsidRPr="001F01BF">
        <w:rPr>
          <w:rFonts w:asciiTheme="minorHAnsi" w:hAnsiTheme="minorHAnsi"/>
          <w:szCs w:val="14"/>
          <w:lang w:val="sl-SI"/>
        </w:rPr>
        <w:tab/>
      </w:r>
      <w:hyperlink r:id="rId36" w:history="1">
        <w:r w:rsidRPr="001F01BF">
          <w:rPr>
            <w:rStyle w:val="Hyperlink"/>
            <w:rFonts w:asciiTheme="minorHAnsi" w:eastAsia="Calibri" w:hAnsiTheme="minorHAnsi"/>
            <w:szCs w:val="14"/>
            <w:lang w:val="sl-SI"/>
          </w:rPr>
          <w:t>http://www.ec.europa.eu/social/main.jsp?catId=1223</w:t>
        </w:r>
      </w:hyperlink>
    </w:p>
  </w:footnote>
  <w:footnote w:id="126">
    <w:p w14:paraId="7D39B169" w14:textId="77777777" w:rsidR="00A6094F" w:rsidRPr="001F01BF" w:rsidRDefault="00A6094F" w:rsidP="00104AE6">
      <w:pPr>
        <w:pStyle w:val="FootnoteText"/>
        <w:ind w:left="288" w:hanging="288"/>
        <w:rPr>
          <w:rFonts w:asciiTheme="minorHAnsi" w:hAnsiTheme="minorHAnsi"/>
          <w:sz w:val="14"/>
          <w:szCs w:val="14"/>
          <w:lang w:val="sl-SI"/>
        </w:rPr>
      </w:pPr>
      <w:r w:rsidRPr="001F01BF">
        <w:rPr>
          <w:rStyle w:val="FootnoteReference"/>
          <w:rFonts w:asciiTheme="minorHAnsi" w:hAnsiTheme="minorHAnsi"/>
          <w:sz w:val="14"/>
          <w:szCs w:val="14"/>
        </w:rPr>
        <w:footnoteRef/>
      </w:r>
      <w:r w:rsidRPr="001F01BF">
        <w:rPr>
          <w:rFonts w:asciiTheme="minorHAnsi" w:hAnsiTheme="minorHAnsi"/>
          <w:sz w:val="14"/>
          <w:szCs w:val="14"/>
          <w:lang w:val="sl-SI"/>
        </w:rPr>
        <w:t xml:space="preserve"> </w:t>
      </w:r>
      <w:r>
        <w:rPr>
          <w:rFonts w:asciiTheme="minorHAnsi" w:hAnsiTheme="minorHAnsi"/>
          <w:sz w:val="14"/>
          <w:szCs w:val="14"/>
          <w:lang w:val="sl-SI"/>
        </w:rPr>
        <w:tab/>
      </w:r>
      <w:hyperlink r:id="rId37" w:history="1">
        <w:r w:rsidRPr="001F01BF">
          <w:rPr>
            <w:rStyle w:val="Hyperlink"/>
            <w:rFonts w:asciiTheme="minorHAnsi" w:hAnsiTheme="minorHAnsi"/>
            <w:sz w:val="14"/>
            <w:szCs w:val="14"/>
            <w:lang w:val="sl-SI"/>
          </w:rPr>
          <w:t>http://www.ec.europa.eu/social/main.jsp?catId=1223</w:t>
        </w:r>
      </w:hyperlink>
      <w:r w:rsidRPr="001F01BF">
        <w:rPr>
          <w:rFonts w:asciiTheme="minorHAnsi" w:hAnsiTheme="minorHAnsi"/>
          <w:sz w:val="14"/>
          <w:szCs w:val="14"/>
          <w:lang w:val="sl-SI"/>
        </w:rPr>
        <w:t xml:space="preserve"> </w:t>
      </w:r>
    </w:p>
  </w:footnote>
  <w:footnote w:id="127">
    <w:p w14:paraId="7D39B16A" w14:textId="77777777" w:rsidR="00A6094F" w:rsidRPr="001F01BF" w:rsidRDefault="00A6094F" w:rsidP="004D67A3">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r>
      <w:hyperlink r:id="rId38">
        <w:r w:rsidRPr="001F01BF">
          <w:rPr>
            <w:rStyle w:val="Hyperlink"/>
            <w:rFonts w:asciiTheme="minorHAnsi" w:hAnsiTheme="minorHAnsi"/>
            <w:szCs w:val="14"/>
            <w:lang w:val="sl-SI"/>
          </w:rPr>
          <w:t>http://eur-lex.europa.eu/legal-content/SL/TXT/PDF/?uri=CELEX:32006H0962&amp;from=SL</w:t>
        </w:r>
      </w:hyperlink>
    </w:p>
  </w:footnote>
  <w:footnote w:id="128">
    <w:p w14:paraId="7D39B16B" w14:textId="77777777" w:rsidR="00A6094F" w:rsidRPr="00104AE6" w:rsidRDefault="00A6094F" w:rsidP="00104AE6">
      <w:pPr>
        <w:pStyle w:val="FootnoteText"/>
        <w:ind w:left="288" w:hanging="288"/>
        <w:rPr>
          <w:lang w:val="sl-SI"/>
        </w:rPr>
      </w:pPr>
      <w:r w:rsidRPr="00104AE6">
        <w:rPr>
          <w:rStyle w:val="FootnoteReference"/>
          <w:sz w:val="14"/>
          <w:szCs w:val="14"/>
        </w:rPr>
        <w:footnoteRef/>
      </w:r>
      <w:r w:rsidRPr="00104AE6">
        <w:rPr>
          <w:sz w:val="14"/>
          <w:szCs w:val="14"/>
          <w:lang w:val="sl-SI"/>
        </w:rPr>
        <w:t xml:space="preserve"> </w:t>
      </w:r>
      <w:r w:rsidRPr="00104AE6">
        <w:rPr>
          <w:lang w:val="sl-SI"/>
        </w:rPr>
        <w:tab/>
      </w:r>
      <w:r w:rsidRPr="001F01BF">
        <w:rPr>
          <w:rFonts w:asciiTheme="minorHAnsi" w:hAnsiTheme="minorHAnsi"/>
          <w:sz w:val="14"/>
          <w:szCs w:val="14"/>
          <w:lang w:val="sl-SI" w:eastAsia="en-GB"/>
        </w:rPr>
        <w:t xml:space="preserve">MOOC so prosto dostopni spletni učni programi, do katerih lahko dostopa neomejeno število udeležencev s prostim dostopom prek </w:t>
      </w:r>
      <w:hyperlink r:id="rId39" w:tooltip="World Wide Web" w:history="1">
        <w:r w:rsidRPr="001F01BF">
          <w:rPr>
            <w:rFonts w:asciiTheme="minorHAnsi" w:hAnsiTheme="minorHAnsi"/>
            <w:sz w:val="14"/>
            <w:szCs w:val="14"/>
            <w:lang w:val="sl-SI" w:eastAsia="en-GB"/>
          </w:rPr>
          <w:t>spleta</w:t>
        </w:r>
      </w:hyperlink>
      <w:r w:rsidRPr="001F01BF">
        <w:rPr>
          <w:rFonts w:asciiTheme="minorHAnsi" w:hAnsiTheme="minorHAnsi"/>
          <w:sz w:val="14"/>
          <w:szCs w:val="14"/>
          <w:lang w:val="sl-SI" w:eastAsia="en-GB"/>
        </w:rPr>
        <w:t>.</w:t>
      </w:r>
      <w:hyperlink r:id="rId40" w:anchor="cite_note-1" w:history="1"/>
      <w:r w:rsidRPr="001F01BF">
        <w:rPr>
          <w:rFonts w:asciiTheme="minorHAnsi" w:hAnsiTheme="minorHAnsi"/>
          <w:sz w:val="14"/>
          <w:szCs w:val="14"/>
          <w:lang w:val="sl-SI" w:eastAsia="en-GB"/>
        </w:rPr>
        <w:t xml:space="preserve"> Poleg običajnega učnega gradiva, kot so posneta predavanja, temeljni viri in literatura ter zbirke vaj, veliko prosto dostopnih spletnih učnih programov ponuja interaktivne uporabniške forume, ki podpirajo komunikacijo med študenti, profesorji in asistenti.</w:t>
      </w:r>
    </w:p>
  </w:footnote>
  <w:footnote w:id="129">
    <w:p w14:paraId="7D39B16C" w14:textId="77777777" w:rsidR="00A6094F" w:rsidRPr="001F01BF" w:rsidRDefault="00A6094F" w:rsidP="00104AE6">
      <w:pPr>
        <w:pStyle w:val="Guide-Footnote"/>
        <w:rPr>
          <w:rFonts w:asciiTheme="minorHAnsi" w:hAnsiTheme="minorHAnsi"/>
          <w:szCs w:val="14"/>
          <w:lang w:val="sl-SI"/>
        </w:rPr>
      </w:pPr>
      <w:r w:rsidRPr="00104AE6">
        <w:rPr>
          <w:rFonts w:asciiTheme="minorHAnsi" w:hAnsiTheme="minorHAnsi"/>
          <w:szCs w:val="14"/>
          <w:vertAlign w:val="superscript"/>
          <w:lang w:val="pl-PL"/>
        </w:rPr>
        <w:footnoteRef/>
      </w:r>
      <w:r w:rsidRPr="00104AE6">
        <w:rPr>
          <w:rFonts w:asciiTheme="minorHAnsi" w:hAnsiTheme="minorHAnsi"/>
          <w:szCs w:val="14"/>
          <w:vertAlign w:val="superscript"/>
          <w:lang w:val="sl-SI"/>
        </w:rPr>
        <w:tab/>
      </w:r>
      <w:r w:rsidRPr="001F01BF">
        <w:rPr>
          <w:rFonts w:asciiTheme="minorHAnsi" w:hAnsiTheme="minorHAnsi"/>
          <w:szCs w:val="14"/>
          <w:lang w:val="sl-SI"/>
        </w:rPr>
        <w:t>Glej drugi srednjeročni cilj v dokumentu Sklepi iz Rige iz leta 2015:</w:t>
      </w:r>
      <w:hyperlink r:id="rId41" w:history="1">
        <w:r w:rsidRPr="001E29CB">
          <w:rPr>
            <w:rStyle w:val="Hyperlink"/>
            <w:rFonts w:asciiTheme="minorHAnsi" w:hAnsiTheme="minorHAnsi"/>
            <w:szCs w:val="14"/>
            <w:lang w:val="sl-SI"/>
          </w:rPr>
          <w:t xml:space="preserve"> https://www.izm.gov.lv/images/RigaConclusions_2015.pdf   </w:t>
        </w:r>
      </w:hyperlink>
    </w:p>
  </w:footnote>
  <w:footnote w:id="130">
    <w:p w14:paraId="7D39B16D" w14:textId="77777777" w:rsidR="00A6094F" w:rsidRPr="001F01BF" w:rsidRDefault="00A6094F" w:rsidP="004D67A3">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Na primer okvir digitalnih kompetenc za državljane, okvir podjetniških kompetenc in evropski okvir za e- usposobljenost</w:t>
      </w:r>
      <w:r w:rsidRPr="001F01BF">
        <w:rPr>
          <w:rFonts w:asciiTheme="minorHAnsi" w:hAnsiTheme="minorHAnsi"/>
          <w:spacing w:val="-1"/>
          <w:szCs w:val="14"/>
          <w:lang w:val="sl-SI"/>
        </w:rPr>
        <w:t xml:space="preserve"> </w:t>
      </w:r>
      <w:r w:rsidRPr="001F01BF">
        <w:rPr>
          <w:rFonts w:asciiTheme="minorHAnsi" w:hAnsiTheme="minorHAnsi"/>
          <w:szCs w:val="14"/>
          <w:lang w:val="sl-SI"/>
        </w:rPr>
        <w:t>(e-CF).</w:t>
      </w:r>
    </w:p>
  </w:footnote>
  <w:footnote w:id="131">
    <w:p w14:paraId="7D39B16E" w14:textId="77777777" w:rsidR="00A6094F" w:rsidRPr="001F01BF" w:rsidRDefault="00A6094F" w:rsidP="004D67A3">
      <w:pPr>
        <w:pStyle w:val="Guide-Footnote"/>
        <w:rPr>
          <w:rFonts w:asciiTheme="minorHAnsi" w:hAnsiTheme="minorHAnsi"/>
          <w:szCs w:val="14"/>
        </w:rPr>
      </w:pPr>
      <w:r w:rsidRPr="001F01BF">
        <w:rPr>
          <w:rStyle w:val="FootnoteReference"/>
          <w:rFonts w:asciiTheme="minorHAnsi" w:hAnsiTheme="minorHAnsi"/>
          <w:szCs w:val="14"/>
        </w:rPr>
        <w:footnoteRef/>
      </w:r>
      <w:r w:rsidRPr="001F01BF">
        <w:rPr>
          <w:rFonts w:asciiTheme="minorHAnsi" w:hAnsiTheme="minorHAnsi"/>
          <w:szCs w:val="14"/>
          <w:lang w:val="sl-SI"/>
        </w:rPr>
        <w:tab/>
        <w:t>To bi bilo treba narediti z uporabo Cedefopovega praktičnega okvira za vključevanje dokazov o sektorskih spretnostih v panoramo spretnosti „Practical framework for including sectoral skills evidence in the Skills Panorama“.</w:t>
      </w:r>
      <w:r w:rsidRPr="001F01BF">
        <w:rPr>
          <w:rFonts w:asciiTheme="minorHAnsi" w:hAnsiTheme="minorHAnsi"/>
          <w:spacing w:val="1"/>
          <w:szCs w:val="14"/>
          <w:lang w:val="sl-SI"/>
        </w:rPr>
        <w:t xml:space="preserve"> </w:t>
      </w:r>
      <w:hyperlink r:id="rId42">
        <w:r w:rsidRPr="001F01BF">
          <w:rPr>
            <w:rStyle w:val="Hyperlink"/>
            <w:rFonts w:asciiTheme="minorHAnsi" w:hAnsiTheme="minorHAnsi"/>
            <w:szCs w:val="14"/>
          </w:rPr>
          <w:t>http://skillspanorama.cedefop.europa.eu/en</w:t>
        </w:r>
      </w:hyperlink>
    </w:p>
  </w:footnote>
  <w:footnote w:id="132">
    <w:p w14:paraId="7D39B16F" w14:textId="77777777" w:rsidR="00A6094F" w:rsidRPr="001F01BF" w:rsidRDefault="00A6094F" w:rsidP="004D67A3">
      <w:pPr>
        <w:pStyle w:val="Guide-Footnote"/>
        <w:rPr>
          <w:rFonts w:asciiTheme="minorHAnsi" w:hAnsiTheme="minorHAnsi"/>
          <w:szCs w:val="14"/>
        </w:rPr>
      </w:pPr>
      <w:r w:rsidRPr="001F01BF">
        <w:rPr>
          <w:rStyle w:val="FootnoteReference"/>
          <w:rFonts w:asciiTheme="minorHAnsi" w:hAnsiTheme="minorHAnsi"/>
          <w:szCs w:val="14"/>
        </w:rPr>
        <w:footnoteRef/>
      </w:r>
      <w:r w:rsidRPr="001F01BF">
        <w:rPr>
          <w:rFonts w:asciiTheme="minorHAnsi" w:hAnsiTheme="minorHAnsi"/>
          <w:szCs w:val="14"/>
        </w:rPr>
        <w:tab/>
      </w:r>
      <w:hyperlink r:id="rId43">
        <w:r w:rsidRPr="001F01BF">
          <w:rPr>
            <w:rStyle w:val="Hyperlink"/>
            <w:rFonts w:asciiTheme="minorHAnsi" w:hAnsiTheme="minorHAnsi"/>
            <w:szCs w:val="14"/>
          </w:rPr>
          <w:t>https://ec.europa.eu/esco/home</w:t>
        </w:r>
      </w:hyperlink>
    </w:p>
  </w:footnote>
  <w:footnote w:id="133">
    <w:p w14:paraId="7D39B170" w14:textId="77777777" w:rsidR="00A6094F" w:rsidRPr="001F01BF" w:rsidRDefault="00A6094F" w:rsidP="004D67A3">
      <w:pPr>
        <w:pStyle w:val="Guide-Footnote"/>
        <w:rPr>
          <w:rFonts w:asciiTheme="minorHAnsi" w:hAnsiTheme="minorHAnsi"/>
          <w:szCs w:val="14"/>
        </w:rPr>
      </w:pPr>
      <w:r w:rsidRPr="001F01BF">
        <w:rPr>
          <w:rStyle w:val="FootnoteReference"/>
          <w:rFonts w:asciiTheme="minorHAnsi" w:hAnsiTheme="minorHAnsi"/>
          <w:szCs w:val="14"/>
        </w:rPr>
        <w:footnoteRef/>
      </w:r>
      <w:r w:rsidRPr="001F01BF">
        <w:rPr>
          <w:rFonts w:asciiTheme="minorHAnsi" w:hAnsiTheme="minorHAnsi"/>
          <w:szCs w:val="14"/>
        </w:rPr>
        <w:tab/>
        <w:t>Kot so opredeljeni v Eurostatovi klasiﬁkaciji NACE – Statistična klasiﬁkacija gospodarskih dejavnosti v Evropski uniji.</w:t>
      </w:r>
    </w:p>
  </w:footnote>
  <w:footnote w:id="134">
    <w:p w14:paraId="7D39B171" w14:textId="77777777" w:rsidR="00A6094F" w:rsidRPr="001F01BF" w:rsidRDefault="00A6094F" w:rsidP="009233CD">
      <w:pPr>
        <w:pStyle w:val="Guide-Footnote"/>
        <w:rPr>
          <w:rFonts w:asciiTheme="minorHAnsi" w:hAnsiTheme="minorHAnsi"/>
          <w:szCs w:val="14"/>
        </w:rPr>
      </w:pPr>
      <w:r w:rsidRPr="001F01BF">
        <w:rPr>
          <w:rStyle w:val="FootnoteReference"/>
          <w:rFonts w:asciiTheme="minorHAnsi" w:hAnsiTheme="minorHAnsi"/>
          <w:szCs w:val="14"/>
        </w:rPr>
        <w:footnoteRef/>
      </w:r>
      <w:r w:rsidRPr="001F01BF">
        <w:rPr>
          <w:rFonts w:asciiTheme="minorHAnsi" w:hAnsiTheme="minorHAnsi"/>
          <w:szCs w:val="14"/>
        </w:rPr>
        <w:tab/>
      </w:r>
      <w:hyperlink r:id="rId44">
        <w:r w:rsidRPr="001F01BF">
          <w:rPr>
            <w:rStyle w:val="Hyperlink"/>
            <w:rFonts w:asciiTheme="minorHAnsi" w:hAnsiTheme="minorHAnsi"/>
            <w:szCs w:val="14"/>
          </w:rPr>
          <w:t>http://eur-lex.europa.eu/legal-content/SL/ALL/?uri=CELEX%3A32008H0506(01)</w:t>
        </w:r>
      </w:hyperlink>
    </w:p>
  </w:footnote>
  <w:footnote w:id="135">
    <w:p w14:paraId="7D39B172" w14:textId="77777777" w:rsidR="00A6094F" w:rsidRPr="001F01BF" w:rsidRDefault="00A6094F" w:rsidP="009233CD">
      <w:pPr>
        <w:pStyle w:val="Guide-Footnote"/>
        <w:rPr>
          <w:rFonts w:asciiTheme="minorHAnsi" w:hAnsiTheme="minorHAnsi"/>
          <w:szCs w:val="14"/>
        </w:rPr>
      </w:pPr>
      <w:r w:rsidRPr="001F01BF">
        <w:rPr>
          <w:rStyle w:val="FootnoteReference"/>
          <w:rFonts w:asciiTheme="minorHAnsi" w:hAnsiTheme="minorHAnsi"/>
          <w:szCs w:val="14"/>
        </w:rPr>
        <w:footnoteRef/>
      </w:r>
      <w:r w:rsidRPr="001F01BF">
        <w:rPr>
          <w:rFonts w:asciiTheme="minorHAnsi" w:hAnsiTheme="minorHAnsi"/>
          <w:szCs w:val="14"/>
        </w:rPr>
        <w:tab/>
      </w:r>
      <w:hyperlink r:id="rId45">
        <w:r w:rsidRPr="001F01BF">
          <w:rPr>
            <w:rStyle w:val="Hyperlink"/>
            <w:rFonts w:asciiTheme="minorHAnsi" w:hAnsiTheme="minorHAnsi"/>
            <w:szCs w:val="14"/>
          </w:rPr>
          <w:t>http://eur-lex.europa.eu/legal-content/SL/TXT/?qid=1473612465372&amp;uri=CELEX:32009H0708(02)</w:t>
        </w:r>
      </w:hyperlink>
    </w:p>
  </w:footnote>
  <w:footnote w:id="136">
    <w:p w14:paraId="7D39B173" w14:textId="77777777" w:rsidR="00A6094F" w:rsidRPr="001F01BF" w:rsidRDefault="00A6094F" w:rsidP="009233CD">
      <w:pPr>
        <w:pStyle w:val="Guide-Footnote"/>
        <w:rPr>
          <w:rFonts w:asciiTheme="minorHAnsi" w:hAnsiTheme="minorHAnsi"/>
          <w:szCs w:val="14"/>
        </w:rPr>
      </w:pPr>
      <w:r w:rsidRPr="001F01BF">
        <w:rPr>
          <w:rStyle w:val="FootnoteReference"/>
          <w:rFonts w:asciiTheme="minorHAnsi" w:hAnsiTheme="minorHAnsi"/>
          <w:szCs w:val="14"/>
        </w:rPr>
        <w:footnoteRef/>
      </w:r>
      <w:r w:rsidRPr="001F01BF">
        <w:rPr>
          <w:rFonts w:asciiTheme="minorHAnsi" w:hAnsiTheme="minorHAnsi"/>
          <w:szCs w:val="14"/>
        </w:rPr>
        <w:tab/>
      </w:r>
      <w:hyperlink r:id="rId46">
        <w:r w:rsidRPr="001F01BF">
          <w:rPr>
            <w:rStyle w:val="Hyperlink"/>
            <w:rFonts w:asciiTheme="minorHAnsi" w:hAnsiTheme="minorHAnsi"/>
            <w:szCs w:val="14"/>
          </w:rPr>
          <w:t>http://eur-lex.europa.eu/legal-content/SL/TXT/?qid=1473612641346&amp;uri=CELEX:32009H0708(01)</w:t>
        </w:r>
      </w:hyperlink>
    </w:p>
  </w:footnote>
  <w:footnote w:id="137">
    <w:p w14:paraId="7D39B174" w14:textId="77777777" w:rsidR="00A6094F" w:rsidRPr="001F01BF" w:rsidRDefault="00A6094F" w:rsidP="009233CD">
      <w:pPr>
        <w:pStyle w:val="Guide-Footnote"/>
        <w:rPr>
          <w:rFonts w:asciiTheme="minorHAnsi" w:hAnsiTheme="minorHAnsi"/>
          <w:szCs w:val="14"/>
        </w:rPr>
      </w:pPr>
      <w:r w:rsidRPr="001F01BF">
        <w:rPr>
          <w:rStyle w:val="FootnoteReference"/>
          <w:rFonts w:asciiTheme="minorHAnsi" w:hAnsiTheme="minorHAnsi"/>
          <w:szCs w:val="14"/>
        </w:rPr>
        <w:footnoteRef/>
      </w:r>
      <w:r w:rsidRPr="001F01BF">
        <w:rPr>
          <w:rFonts w:asciiTheme="minorHAnsi" w:hAnsiTheme="minorHAnsi"/>
          <w:szCs w:val="14"/>
        </w:rPr>
        <w:tab/>
      </w:r>
      <w:hyperlink r:id="rId47">
        <w:r w:rsidRPr="001F01BF">
          <w:rPr>
            <w:rStyle w:val="Hyperlink"/>
            <w:rFonts w:asciiTheme="minorHAnsi" w:hAnsiTheme="minorHAnsi"/>
            <w:szCs w:val="14"/>
          </w:rPr>
          <w:t>http://eur-lex.europa.eu/legal-content/SL/TXT/?qid=1473612732264&amp;uri=CELEX:32004D2241</w:t>
        </w:r>
      </w:hyperlink>
    </w:p>
  </w:footnote>
  <w:footnote w:id="138">
    <w:p w14:paraId="7D39B175" w14:textId="77777777" w:rsidR="00A6094F" w:rsidRPr="001F01BF" w:rsidRDefault="00A6094F" w:rsidP="009233CD">
      <w:pPr>
        <w:pStyle w:val="Guide-Footnote"/>
        <w:rPr>
          <w:rFonts w:asciiTheme="minorHAnsi" w:hAnsiTheme="minorHAnsi"/>
          <w:szCs w:val="14"/>
        </w:rPr>
      </w:pPr>
      <w:r w:rsidRPr="001F01BF">
        <w:rPr>
          <w:rStyle w:val="FootnoteReference"/>
          <w:rFonts w:asciiTheme="minorHAnsi" w:hAnsiTheme="minorHAnsi"/>
          <w:szCs w:val="14"/>
        </w:rPr>
        <w:footnoteRef/>
      </w:r>
      <w:r w:rsidRPr="001F01BF">
        <w:rPr>
          <w:rFonts w:asciiTheme="minorHAnsi" w:hAnsiTheme="minorHAnsi"/>
          <w:szCs w:val="14"/>
        </w:rPr>
        <w:tab/>
      </w:r>
      <w:hyperlink r:id="rId48">
        <w:r w:rsidRPr="001F01BF">
          <w:rPr>
            <w:rStyle w:val="Hyperlink"/>
            <w:rFonts w:asciiTheme="minorHAnsi" w:hAnsiTheme="minorHAnsi"/>
            <w:szCs w:val="14"/>
          </w:rPr>
          <w:t>https://ec.europa.eu/eures/public/sl/homepage</w:t>
        </w:r>
      </w:hyperlink>
    </w:p>
  </w:footnote>
  <w:footnote w:id="139">
    <w:p w14:paraId="7D39B176" w14:textId="77777777" w:rsidR="00A6094F" w:rsidRPr="001F01BF" w:rsidRDefault="00A6094F" w:rsidP="009233CD">
      <w:pPr>
        <w:pStyle w:val="Guide-Footnote"/>
        <w:rPr>
          <w:rFonts w:asciiTheme="minorHAnsi" w:hAnsiTheme="minorHAnsi"/>
          <w:szCs w:val="14"/>
        </w:rPr>
      </w:pPr>
      <w:r w:rsidRPr="001F01BF">
        <w:rPr>
          <w:rStyle w:val="FootnoteReference"/>
          <w:rFonts w:asciiTheme="minorHAnsi" w:hAnsiTheme="minorHAnsi"/>
          <w:szCs w:val="14"/>
        </w:rPr>
        <w:footnoteRef/>
      </w:r>
      <w:r w:rsidRPr="001F01BF">
        <w:rPr>
          <w:rFonts w:asciiTheme="minorHAnsi" w:hAnsiTheme="minorHAnsi"/>
          <w:szCs w:val="14"/>
        </w:rPr>
        <w:tab/>
      </w:r>
      <w:hyperlink r:id="rId49">
        <w:r w:rsidRPr="001F01BF">
          <w:rPr>
            <w:rStyle w:val="Hyperlink"/>
            <w:rFonts w:asciiTheme="minorHAnsi" w:hAnsiTheme="minorHAnsi"/>
            <w:szCs w:val="14"/>
          </w:rPr>
          <w:t>https://ec.europa.eu/eures/public/sl/opportunities</w:t>
        </w:r>
      </w:hyperlink>
    </w:p>
  </w:footnote>
  <w:footnote w:id="140">
    <w:p w14:paraId="7D39B177" w14:textId="77777777" w:rsidR="00A6094F" w:rsidRPr="001F01BF" w:rsidRDefault="00A6094F" w:rsidP="009233CD">
      <w:pPr>
        <w:pStyle w:val="Guide-Footnote"/>
        <w:rPr>
          <w:rFonts w:asciiTheme="minorHAnsi" w:hAnsiTheme="minorHAnsi"/>
          <w:szCs w:val="14"/>
        </w:rPr>
      </w:pPr>
      <w:r w:rsidRPr="001F01BF">
        <w:rPr>
          <w:rStyle w:val="FootnoteReference"/>
          <w:rFonts w:asciiTheme="minorHAnsi" w:hAnsiTheme="minorHAnsi"/>
          <w:szCs w:val="14"/>
        </w:rPr>
        <w:footnoteRef/>
      </w:r>
      <w:r w:rsidRPr="001F01BF">
        <w:rPr>
          <w:rFonts w:asciiTheme="minorHAnsi" w:hAnsiTheme="minorHAnsi"/>
          <w:szCs w:val="14"/>
        </w:rPr>
        <w:tab/>
      </w:r>
      <w:hyperlink r:id="rId50">
        <w:r w:rsidRPr="001F01BF">
          <w:rPr>
            <w:rStyle w:val="Hyperlink"/>
            <w:rFonts w:asciiTheme="minorHAnsi" w:hAnsiTheme="minorHAnsi"/>
            <w:szCs w:val="14"/>
          </w:rPr>
          <w:t>https://ec.europa.eu/esco/portal/home</w:t>
        </w:r>
      </w:hyperlink>
    </w:p>
  </w:footnote>
  <w:footnote w:id="141">
    <w:p w14:paraId="7D39B178" w14:textId="77777777" w:rsidR="00A6094F" w:rsidRPr="001F01BF" w:rsidRDefault="00A6094F" w:rsidP="009233CD">
      <w:pPr>
        <w:pStyle w:val="Guide-Footnote"/>
        <w:rPr>
          <w:rFonts w:asciiTheme="minorHAnsi" w:hAnsiTheme="minorHAnsi"/>
          <w:szCs w:val="14"/>
        </w:rPr>
      </w:pPr>
      <w:r w:rsidRPr="001F01BF">
        <w:rPr>
          <w:rStyle w:val="FootnoteReference"/>
          <w:rFonts w:asciiTheme="minorHAnsi" w:hAnsiTheme="minorHAnsi"/>
          <w:szCs w:val="14"/>
        </w:rPr>
        <w:footnoteRef/>
      </w:r>
      <w:r w:rsidRPr="001F01BF">
        <w:rPr>
          <w:rFonts w:asciiTheme="minorHAnsi" w:hAnsiTheme="minorHAnsi"/>
          <w:szCs w:val="14"/>
        </w:rPr>
        <w:tab/>
      </w:r>
      <w:hyperlink r:id="rId51">
        <w:r w:rsidRPr="001F01BF">
          <w:rPr>
            <w:rStyle w:val="Hyperlink"/>
            <w:rFonts w:asciiTheme="minorHAnsi" w:hAnsiTheme="minorHAnsi"/>
            <w:szCs w:val="14"/>
          </w:rPr>
          <w:t>https://eit.europa.eu/activities/innovation-communities</w:t>
        </w:r>
      </w:hyperlink>
    </w:p>
  </w:footnote>
  <w:footnote w:id="142">
    <w:p w14:paraId="7D39B179" w14:textId="77777777" w:rsidR="00A6094F" w:rsidRPr="001F01BF" w:rsidRDefault="00A6094F" w:rsidP="009233CD">
      <w:pPr>
        <w:pStyle w:val="Guide-Footnote"/>
        <w:rPr>
          <w:rFonts w:asciiTheme="minorHAnsi" w:hAnsiTheme="minorHAnsi"/>
          <w:szCs w:val="14"/>
          <w:lang w:val="sv-SE"/>
        </w:rPr>
      </w:pPr>
      <w:r w:rsidRPr="001F01BF">
        <w:rPr>
          <w:rStyle w:val="FootnoteReference"/>
          <w:rFonts w:asciiTheme="minorHAnsi" w:hAnsiTheme="minorHAnsi"/>
          <w:szCs w:val="14"/>
        </w:rPr>
        <w:footnoteRef/>
      </w:r>
      <w:r w:rsidRPr="001F01BF">
        <w:rPr>
          <w:rFonts w:asciiTheme="minorHAnsi" w:hAnsiTheme="minorHAnsi"/>
          <w:szCs w:val="14"/>
          <w:lang w:val="sv-SE"/>
        </w:rPr>
        <w:tab/>
      </w:r>
      <w:hyperlink r:id="rId52">
        <w:r w:rsidRPr="001F01BF">
          <w:rPr>
            <w:rStyle w:val="Hyperlink"/>
            <w:rFonts w:asciiTheme="minorHAnsi" w:hAnsiTheme="minorHAnsi"/>
            <w:szCs w:val="14"/>
            <w:lang w:val="sv-SE"/>
          </w:rPr>
          <w:t>https://ec.europa.eu/programmes/erasmus-plus/opportunities-for-organisations/innovation-good-practices/sec</w:t>
        </w:r>
      </w:hyperlink>
      <w:hyperlink r:id="rId53">
        <w:r w:rsidRPr="001F01BF">
          <w:rPr>
            <w:rStyle w:val="Hyperlink"/>
            <w:rFonts w:asciiTheme="minorHAnsi" w:hAnsiTheme="minorHAnsi"/>
            <w:szCs w:val="14"/>
            <w:lang w:val="sv-SE"/>
          </w:rPr>
          <w:t xml:space="preserve"> tor-skills-alliances_sl</w:t>
        </w:r>
      </w:hyperlink>
    </w:p>
  </w:footnote>
  <w:footnote w:id="143">
    <w:p w14:paraId="7D39B17A" w14:textId="77777777" w:rsidR="00A6094F" w:rsidRPr="001F01BF" w:rsidRDefault="00A6094F" w:rsidP="003F6033">
      <w:pPr>
        <w:pStyle w:val="Guide-Footnote"/>
        <w:rPr>
          <w:rFonts w:asciiTheme="minorHAnsi" w:hAnsiTheme="minorHAnsi"/>
          <w:szCs w:val="14"/>
          <w:lang w:val="sv-SE"/>
        </w:rPr>
      </w:pPr>
      <w:r w:rsidRPr="001F01BF">
        <w:rPr>
          <w:rStyle w:val="FootnoteReference"/>
          <w:rFonts w:asciiTheme="minorHAnsi" w:hAnsiTheme="minorHAnsi"/>
          <w:szCs w:val="14"/>
        </w:rPr>
        <w:footnoteRef/>
      </w:r>
      <w:r w:rsidRPr="001F01BF">
        <w:rPr>
          <w:rFonts w:asciiTheme="minorHAnsi" w:hAnsiTheme="minorHAnsi"/>
          <w:szCs w:val="14"/>
          <w:lang w:val="sv-SE"/>
        </w:rPr>
        <w:tab/>
        <w:t>Upravičenec mora vse učno gradivo, ustvarjeno s sredstvi iz programa Erasmus+, objaviti brezplačno in z odprto licenco.</w:t>
      </w:r>
    </w:p>
  </w:footnote>
  <w:footnote w:id="144">
    <w:p w14:paraId="7D39B17B" w14:textId="77777777" w:rsidR="00A6094F" w:rsidRPr="001F01BF" w:rsidRDefault="00A6094F" w:rsidP="003F6033">
      <w:pPr>
        <w:pStyle w:val="Guide-Footnote"/>
        <w:rPr>
          <w:rFonts w:asciiTheme="minorHAnsi" w:hAnsiTheme="minorHAnsi"/>
          <w:szCs w:val="14"/>
          <w:lang w:val="sv-SE"/>
        </w:rPr>
      </w:pPr>
      <w:r w:rsidRPr="001F01BF">
        <w:rPr>
          <w:rStyle w:val="FootnoteReference"/>
          <w:rFonts w:asciiTheme="minorHAnsi" w:hAnsiTheme="minorHAnsi"/>
          <w:szCs w:val="14"/>
        </w:rPr>
        <w:footnoteRef/>
      </w:r>
      <w:r w:rsidRPr="001F01BF">
        <w:rPr>
          <w:rFonts w:asciiTheme="minorHAnsi" w:hAnsiTheme="minorHAnsi"/>
          <w:szCs w:val="14"/>
          <w:lang w:val="sv-SE"/>
        </w:rPr>
        <w:tab/>
      </w:r>
      <w:r w:rsidRPr="001F01BF">
        <w:rPr>
          <w:rFonts w:asciiTheme="minorHAnsi" w:hAnsiTheme="minorHAnsi"/>
          <w:w w:val="105"/>
          <w:szCs w:val="14"/>
          <w:lang w:val="sv-SE"/>
        </w:rPr>
        <w:t>Z</w:t>
      </w:r>
      <w:r w:rsidRPr="001F01BF">
        <w:rPr>
          <w:rFonts w:asciiTheme="minorHAnsi" w:hAnsiTheme="minorHAnsi"/>
          <w:spacing w:val="-18"/>
          <w:w w:val="105"/>
          <w:szCs w:val="14"/>
          <w:lang w:val="sv-SE"/>
        </w:rPr>
        <w:t xml:space="preserve"> </w:t>
      </w:r>
      <w:r w:rsidRPr="001F01BF">
        <w:rPr>
          <w:rFonts w:asciiTheme="minorHAnsi" w:hAnsiTheme="minorHAnsi"/>
          <w:w w:val="105"/>
          <w:szCs w:val="14"/>
          <w:lang w:val="sv-SE"/>
        </w:rPr>
        <w:t>odprto</w:t>
      </w:r>
      <w:r w:rsidRPr="001F01BF">
        <w:rPr>
          <w:rFonts w:asciiTheme="minorHAnsi" w:hAnsiTheme="minorHAnsi"/>
          <w:spacing w:val="-18"/>
          <w:w w:val="105"/>
          <w:szCs w:val="14"/>
          <w:lang w:val="sv-SE"/>
        </w:rPr>
        <w:t xml:space="preserve"> </w:t>
      </w:r>
      <w:r w:rsidRPr="001F01BF">
        <w:rPr>
          <w:rFonts w:asciiTheme="minorHAnsi" w:hAnsiTheme="minorHAnsi"/>
          <w:w w:val="105"/>
          <w:szCs w:val="14"/>
          <w:lang w:val="sv-SE"/>
        </w:rPr>
        <w:t>licenco</w:t>
      </w:r>
      <w:r w:rsidRPr="001F01BF">
        <w:rPr>
          <w:rFonts w:asciiTheme="minorHAnsi" w:hAnsiTheme="minorHAnsi"/>
          <w:spacing w:val="-18"/>
          <w:w w:val="105"/>
          <w:szCs w:val="14"/>
          <w:lang w:val="sv-SE"/>
        </w:rPr>
        <w:t xml:space="preserve"> </w:t>
      </w:r>
      <w:r w:rsidRPr="001F01BF">
        <w:rPr>
          <w:rFonts w:asciiTheme="minorHAnsi" w:hAnsiTheme="minorHAnsi"/>
          <w:w w:val="105"/>
          <w:szCs w:val="14"/>
          <w:lang w:val="sv-SE"/>
        </w:rPr>
        <w:t>lastnik</w:t>
      </w:r>
      <w:r w:rsidRPr="001F01BF">
        <w:rPr>
          <w:rFonts w:asciiTheme="minorHAnsi" w:hAnsiTheme="minorHAnsi"/>
          <w:spacing w:val="-18"/>
          <w:w w:val="105"/>
          <w:szCs w:val="14"/>
          <w:lang w:val="sv-SE"/>
        </w:rPr>
        <w:t xml:space="preserve"> </w:t>
      </w:r>
      <w:r w:rsidRPr="001F01BF">
        <w:rPr>
          <w:rFonts w:asciiTheme="minorHAnsi" w:hAnsiTheme="minorHAnsi"/>
          <w:w w:val="105"/>
          <w:szCs w:val="14"/>
          <w:lang w:val="sv-SE"/>
        </w:rPr>
        <w:t>dela</w:t>
      </w:r>
      <w:r w:rsidRPr="001F01BF">
        <w:rPr>
          <w:rFonts w:asciiTheme="minorHAnsi" w:hAnsiTheme="minorHAnsi"/>
          <w:spacing w:val="-18"/>
          <w:w w:val="105"/>
          <w:szCs w:val="14"/>
          <w:lang w:val="sv-SE"/>
        </w:rPr>
        <w:t xml:space="preserve"> </w:t>
      </w:r>
      <w:r w:rsidRPr="001F01BF">
        <w:rPr>
          <w:rFonts w:asciiTheme="minorHAnsi" w:hAnsiTheme="minorHAnsi"/>
          <w:w w:val="105"/>
          <w:szCs w:val="14"/>
          <w:lang w:val="sv-SE"/>
        </w:rPr>
        <w:t>dovoli</w:t>
      </w:r>
      <w:r w:rsidRPr="001F01BF">
        <w:rPr>
          <w:rFonts w:asciiTheme="minorHAnsi" w:hAnsiTheme="minorHAnsi"/>
          <w:spacing w:val="-18"/>
          <w:w w:val="105"/>
          <w:szCs w:val="14"/>
          <w:lang w:val="sv-SE"/>
        </w:rPr>
        <w:t xml:space="preserve"> </w:t>
      </w:r>
      <w:r w:rsidRPr="001F01BF">
        <w:rPr>
          <w:rFonts w:asciiTheme="minorHAnsi" w:hAnsiTheme="minorHAnsi"/>
          <w:w w:val="105"/>
          <w:szCs w:val="14"/>
          <w:lang w:val="sv-SE"/>
        </w:rPr>
        <w:t>uporabo,</w:t>
      </w:r>
      <w:r w:rsidRPr="001F01BF">
        <w:rPr>
          <w:rFonts w:asciiTheme="minorHAnsi" w:hAnsiTheme="minorHAnsi"/>
          <w:spacing w:val="-18"/>
          <w:w w:val="105"/>
          <w:szCs w:val="14"/>
          <w:lang w:val="sv-SE"/>
        </w:rPr>
        <w:t xml:space="preserve"> </w:t>
      </w:r>
      <w:r w:rsidRPr="001F01BF">
        <w:rPr>
          <w:rFonts w:asciiTheme="minorHAnsi" w:hAnsiTheme="minorHAnsi"/>
          <w:w w:val="105"/>
          <w:szCs w:val="14"/>
          <w:lang w:val="sv-SE"/>
        </w:rPr>
        <w:t>izmenjavo</w:t>
      </w:r>
      <w:r w:rsidRPr="001F01BF">
        <w:rPr>
          <w:rFonts w:asciiTheme="minorHAnsi" w:hAnsiTheme="minorHAnsi"/>
          <w:spacing w:val="-18"/>
          <w:w w:val="105"/>
          <w:szCs w:val="14"/>
          <w:lang w:val="sv-SE"/>
        </w:rPr>
        <w:t xml:space="preserve"> </w:t>
      </w:r>
      <w:r w:rsidRPr="001F01BF">
        <w:rPr>
          <w:rFonts w:asciiTheme="minorHAnsi" w:hAnsiTheme="minorHAnsi"/>
          <w:w w:val="105"/>
          <w:szCs w:val="14"/>
          <w:lang w:val="sv-SE"/>
        </w:rPr>
        <w:t>in</w:t>
      </w:r>
      <w:r w:rsidRPr="001F01BF">
        <w:rPr>
          <w:rFonts w:asciiTheme="minorHAnsi" w:hAnsiTheme="minorHAnsi"/>
          <w:spacing w:val="-18"/>
          <w:w w:val="105"/>
          <w:szCs w:val="14"/>
          <w:lang w:val="sv-SE"/>
        </w:rPr>
        <w:t xml:space="preserve"> </w:t>
      </w:r>
      <w:r w:rsidRPr="001F01BF">
        <w:rPr>
          <w:rFonts w:asciiTheme="minorHAnsi" w:hAnsiTheme="minorHAnsi"/>
          <w:w w:val="105"/>
          <w:szCs w:val="14"/>
          <w:lang w:val="sv-SE"/>
        </w:rPr>
        <w:t>prilagoditev</w:t>
      </w:r>
      <w:r w:rsidRPr="001F01BF">
        <w:rPr>
          <w:rFonts w:asciiTheme="minorHAnsi" w:hAnsiTheme="minorHAnsi"/>
          <w:spacing w:val="-18"/>
          <w:w w:val="105"/>
          <w:szCs w:val="14"/>
          <w:lang w:val="sv-SE"/>
        </w:rPr>
        <w:t xml:space="preserve"> </w:t>
      </w:r>
      <w:r w:rsidRPr="001F01BF">
        <w:rPr>
          <w:rFonts w:asciiTheme="minorHAnsi" w:hAnsiTheme="minorHAnsi"/>
          <w:w w:val="105"/>
          <w:szCs w:val="14"/>
          <w:lang w:val="sv-SE"/>
        </w:rPr>
        <w:t>vira</w:t>
      </w:r>
      <w:r w:rsidRPr="001F01BF">
        <w:rPr>
          <w:rFonts w:asciiTheme="minorHAnsi" w:hAnsiTheme="minorHAnsi"/>
          <w:spacing w:val="-18"/>
          <w:w w:val="105"/>
          <w:szCs w:val="14"/>
          <w:lang w:val="sv-SE"/>
        </w:rPr>
        <w:t xml:space="preserve"> </w:t>
      </w:r>
      <w:r w:rsidRPr="001F01BF">
        <w:rPr>
          <w:rFonts w:asciiTheme="minorHAnsi" w:hAnsiTheme="minorHAnsi"/>
          <w:w w:val="105"/>
          <w:szCs w:val="14"/>
          <w:lang w:val="sv-SE"/>
        </w:rPr>
        <w:t>ostalim</w:t>
      </w:r>
      <w:r w:rsidRPr="001F01BF">
        <w:rPr>
          <w:rFonts w:asciiTheme="minorHAnsi" w:hAnsiTheme="minorHAnsi"/>
          <w:spacing w:val="-18"/>
          <w:w w:val="105"/>
          <w:szCs w:val="14"/>
          <w:lang w:val="sv-SE"/>
        </w:rPr>
        <w:t xml:space="preserve"> </w:t>
      </w:r>
      <w:r w:rsidRPr="001F01BF">
        <w:rPr>
          <w:rFonts w:asciiTheme="minorHAnsi" w:hAnsiTheme="minorHAnsi"/>
          <w:w w:val="105"/>
          <w:szCs w:val="14"/>
          <w:lang w:val="sv-SE"/>
        </w:rPr>
        <w:t>uporabnikom.</w:t>
      </w:r>
      <w:r w:rsidRPr="001F01BF">
        <w:rPr>
          <w:rFonts w:asciiTheme="minorHAnsi" w:hAnsiTheme="minorHAnsi"/>
          <w:spacing w:val="-18"/>
          <w:w w:val="105"/>
          <w:szCs w:val="14"/>
          <w:lang w:val="sv-SE"/>
        </w:rPr>
        <w:t xml:space="preserve"> </w:t>
      </w:r>
      <w:r w:rsidRPr="001F01BF">
        <w:rPr>
          <w:rFonts w:asciiTheme="minorHAnsi" w:hAnsiTheme="minorHAnsi"/>
          <w:w w:val="105"/>
          <w:szCs w:val="14"/>
          <w:lang w:val="sv-SE"/>
        </w:rPr>
        <w:t>Vsak</w:t>
      </w:r>
      <w:r w:rsidRPr="001F01BF">
        <w:rPr>
          <w:rFonts w:asciiTheme="minorHAnsi" w:hAnsiTheme="minorHAnsi"/>
          <w:spacing w:val="-18"/>
          <w:w w:val="105"/>
          <w:szCs w:val="14"/>
          <w:lang w:val="sv-SE"/>
        </w:rPr>
        <w:t xml:space="preserve"> </w:t>
      </w:r>
      <w:r w:rsidRPr="001F01BF">
        <w:rPr>
          <w:rFonts w:asciiTheme="minorHAnsi" w:hAnsiTheme="minorHAnsi"/>
          <w:w w:val="105"/>
          <w:szCs w:val="14"/>
          <w:lang w:val="sv-SE"/>
        </w:rPr>
        <w:t>vir</w:t>
      </w:r>
      <w:r w:rsidRPr="001F01BF">
        <w:rPr>
          <w:rFonts w:asciiTheme="minorHAnsi" w:hAnsiTheme="minorHAnsi"/>
          <w:spacing w:val="-18"/>
          <w:w w:val="105"/>
          <w:szCs w:val="14"/>
          <w:lang w:val="sv-SE"/>
        </w:rPr>
        <w:t xml:space="preserve"> </w:t>
      </w:r>
      <w:r w:rsidRPr="001F01BF">
        <w:rPr>
          <w:rFonts w:asciiTheme="minorHAnsi" w:hAnsiTheme="minorHAnsi"/>
          <w:w w:val="105"/>
          <w:szCs w:val="14"/>
          <w:lang w:val="sv-SE"/>
        </w:rPr>
        <w:t>je povezan z licenco. Odprta licenca ni prenos avtorskih pravic ali pravic intelektualne lastnine in koristi.</w:t>
      </w:r>
    </w:p>
  </w:footnote>
  <w:footnote w:id="145">
    <w:p w14:paraId="7D39B17C" w14:textId="77777777" w:rsidR="00A6094F" w:rsidRPr="004E4C36" w:rsidRDefault="00A6094F" w:rsidP="00192787">
      <w:pPr>
        <w:pStyle w:val="FootnoteText"/>
        <w:ind w:left="284" w:hanging="284"/>
        <w:rPr>
          <w:rFonts w:asciiTheme="minorHAnsi" w:hAnsiTheme="minorHAnsi" w:cstheme="minorHAnsi"/>
          <w:sz w:val="14"/>
          <w:szCs w:val="14"/>
          <w:lang w:val="sv-SE"/>
        </w:rPr>
      </w:pPr>
      <w:r w:rsidRPr="00BD46E1">
        <w:rPr>
          <w:rStyle w:val="FootnoteReference"/>
          <w:rFonts w:asciiTheme="minorHAnsi" w:hAnsiTheme="minorHAnsi"/>
          <w:sz w:val="14"/>
          <w:szCs w:val="14"/>
        </w:rPr>
        <w:footnoteRef/>
      </w:r>
      <w:r w:rsidRPr="004E4C36">
        <w:rPr>
          <w:rFonts w:asciiTheme="minorHAnsi" w:hAnsiTheme="minorHAnsi"/>
          <w:sz w:val="14"/>
          <w:szCs w:val="14"/>
          <w:lang w:val="sv-SE"/>
        </w:rPr>
        <w:t xml:space="preserve"> </w:t>
      </w:r>
      <w:r w:rsidRPr="004E4C36">
        <w:rPr>
          <w:rFonts w:asciiTheme="minorHAnsi" w:hAnsiTheme="minorHAnsi"/>
          <w:sz w:val="14"/>
          <w:szCs w:val="14"/>
          <w:lang w:val="sv-SE"/>
        </w:rPr>
        <w:tab/>
      </w:r>
      <w:hyperlink r:id="rId54" w:history="1">
        <w:r w:rsidRPr="004E4C36">
          <w:rPr>
            <w:rStyle w:val="Hyperlink"/>
            <w:rFonts w:asciiTheme="minorHAnsi" w:hAnsiTheme="minorHAnsi" w:cstheme="minorHAnsi"/>
            <w:sz w:val="14"/>
            <w:szCs w:val="14"/>
            <w:lang w:val="sv-SE"/>
          </w:rPr>
          <w:t>https://ec.europa.eu/research/eic/index.cfm?pg=prizes_blockchains</w:t>
        </w:r>
      </w:hyperlink>
      <w:r w:rsidRPr="004E4C36">
        <w:rPr>
          <w:rFonts w:asciiTheme="minorHAnsi" w:hAnsiTheme="minorHAnsi" w:cstheme="minorHAnsi"/>
          <w:sz w:val="14"/>
          <w:szCs w:val="14"/>
          <w:lang w:val="sv-SE"/>
        </w:rPr>
        <w:t xml:space="preserve"> </w:t>
      </w:r>
    </w:p>
  </w:footnote>
  <w:footnote w:id="146">
    <w:p w14:paraId="7D39B17D" w14:textId="77777777" w:rsidR="00A6094F" w:rsidRPr="00104AE6" w:rsidRDefault="00A6094F" w:rsidP="000B2F3E">
      <w:pPr>
        <w:pStyle w:val="FootnoteText"/>
        <w:ind w:left="284" w:hanging="284"/>
        <w:rPr>
          <w:rFonts w:asciiTheme="minorHAnsi" w:eastAsia="Calibri" w:hAnsiTheme="minorHAnsi" w:cs="Calibri"/>
          <w:color w:val="0000FF"/>
          <w:sz w:val="14"/>
          <w:szCs w:val="14"/>
          <w:u w:val="single"/>
          <w:bdr w:val="nil"/>
          <w:lang w:val="sl-SI"/>
        </w:rPr>
      </w:pPr>
      <w:r w:rsidRPr="00BD46E1">
        <w:rPr>
          <w:rStyle w:val="FootnoteReference"/>
          <w:rFonts w:asciiTheme="minorHAnsi" w:hAnsiTheme="minorHAnsi"/>
          <w:sz w:val="14"/>
          <w:szCs w:val="14"/>
        </w:rPr>
        <w:footnoteRef/>
      </w:r>
      <w:r w:rsidRPr="004E4C36">
        <w:rPr>
          <w:rFonts w:asciiTheme="minorHAnsi" w:hAnsiTheme="minorHAnsi"/>
          <w:sz w:val="14"/>
          <w:szCs w:val="14"/>
          <w:lang w:val="sv-SE"/>
        </w:rPr>
        <w:t xml:space="preserve"> </w:t>
      </w:r>
      <w:r w:rsidRPr="004E4C36">
        <w:rPr>
          <w:rFonts w:asciiTheme="minorHAnsi" w:hAnsiTheme="minorHAnsi"/>
          <w:sz w:val="14"/>
          <w:szCs w:val="14"/>
          <w:lang w:val="sv-SE"/>
        </w:rPr>
        <w:tab/>
      </w:r>
      <w:r w:rsidRPr="00104AE6">
        <w:rPr>
          <w:rFonts w:asciiTheme="minorHAnsi" w:eastAsia="Calibri" w:hAnsiTheme="minorHAnsi" w:cs="Calibri"/>
          <w:color w:val="0000FF"/>
          <w:sz w:val="14"/>
          <w:szCs w:val="14"/>
          <w:u w:val="single"/>
          <w:bdr w:val="nil"/>
          <w:lang w:val="sl-SI"/>
        </w:rPr>
        <w:t>https://www.eublockchainforum.eu/</w:t>
      </w:r>
    </w:p>
  </w:footnote>
  <w:footnote w:id="147">
    <w:p w14:paraId="7D39B17E" w14:textId="77777777" w:rsidR="00A6094F" w:rsidRPr="00104AE6" w:rsidRDefault="00A6094F" w:rsidP="000B2F3E">
      <w:pPr>
        <w:pStyle w:val="FootnoteText"/>
        <w:ind w:left="284" w:hanging="284"/>
        <w:rPr>
          <w:rFonts w:asciiTheme="minorHAnsi" w:eastAsia="Calibri" w:hAnsiTheme="minorHAnsi" w:cs="Calibri"/>
          <w:color w:val="0000FF"/>
          <w:sz w:val="14"/>
          <w:szCs w:val="14"/>
          <w:u w:val="single"/>
          <w:bdr w:val="nil"/>
          <w:lang w:val="sl-SI"/>
        </w:rPr>
      </w:pPr>
      <w:r w:rsidRPr="00104AE6">
        <w:rPr>
          <w:rFonts w:asciiTheme="minorHAnsi" w:hAnsiTheme="minorHAnsi"/>
          <w:bCs/>
          <w:sz w:val="14"/>
          <w:szCs w:val="14"/>
          <w:vertAlign w:val="superscript"/>
          <w:lang w:val="en-GB" w:eastAsia="en-GB"/>
        </w:rPr>
        <w:footnoteRef/>
      </w:r>
      <w:r w:rsidRPr="00104AE6">
        <w:rPr>
          <w:rFonts w:asciiTheme="minorHAnsi" w:hAnsiTheme="minorHAnsi"/>
          <w:bCs/>
          <w:sz w:val="14"/>
          <w:szCs w:val="14"/>
          <w:vertAlign w:val="superscript"/>
          <w:lang w:val="sv-SE" w:eastAsia="en-GB"/>
        </w:rPr>
        <w:t xml:space="preserve"> </w:t>
      </w:r>
      <w:r w:rsidRPr="004E4C36">
        <w:rPr>
          <w:rFonts w:asciiTheme="minorHAnsi" w:hAnsiTheme="minorHAnsi"/>
          <w:bCs/>
          <w:sz w:val="14"/>
          <w:szCs w:val="14"/>
          <w:lang w:val="sv-SE" w:eastAsia="en-GB"/>
        </w:rPr>
        <w:tab/>
      </w:r>
      <w:r w:rsidRPr="00104AE6">
        <w:rPr>
          <w:rFonts w:asciiTheme="minorHAnsi" w:eastAsia="Calibri" w:hAnsiTheme="minorHAnsi" w:cs="Calibri"/>
          <w:color w:val="0000FF"/>
          <w:sz w:val="14"/>
          <w:szCs w:val="14"/>
          <w:u w:val="single"/>
          <w:bdr w:val="nil"/>
          <w:lang w:val="sl-SI"/>
        </w:rPr>
        <w:t>https://www.inatba.org/</w:t>
      </w:r>
    </w:p>
  </w:footnote>
  <w:footnote w:id="148">
    <w:p w14:paraId="7D39B17F" w14:textId="77777777" w:rsidR="00A6094F" w:rsidRPr="00104AE6" w:rsidRDefault="00A6094F" w:rsidP="000B2F3E">
      <w:pPr>
        <w:pStyle w:val="FootnoteText"/>
        <w:ind w:left="284" w:hanging="284"/>
        <w:rPr>
          <w:rFonts w:asciiTheme="minorHAnsi" w:eastAsia="Calibri" w:hAnsiTheme="minorHAnsi" w:cs="Calibri"/>
          <w:color w:val="0000FF"/>
          <w:sz w:val="14"/>
          <w:szCs w:val="14"/>
          <w:u w:val="single"/>
          <w:bdr w:val="nil"/>
          <w:lang w:val="sl-SI"/>
        </w:rPr>
      </w:pPr>
      <w:r w:rsidRPr="00104AE6">
        <w:rPr>
          <w:rFonts w:asciiTheme="minorHAnsi" w:hAnsiTheme="minorHAnsi"/>
          <w:bCs/>
          <w:sz w:val="14"/>
          <w:szCs w:val="14"/>
          <w:vertAlign w:val="superscript"/>
          <w:lang w:val="en-GB" w:eastAsia="en-GB"/>
        </w:rPr>
        <w:footnoteRef/>
      </w:r>
      <w:r w:rsidRPr="00217849">
        <w:rPr>
          <w:rFonts w:asciiTheme="minorHAnsi" w:hAnsiTheme="minorHAnsi"/>
          <w:bCs/>
          <w:sz w:val="14"/>
          <w:szCs w:val="14"/>
          <w:lang w:val="sl-SI" w:eastAsia="en-GB"/>
        </w:rPr>
        <w:t xml:space="preserve"> </w:t>
      </w:r>
      <w:r w:rsidRPr="00217849">
        <w:rPr>
          <w:rFonts w:asciiTheme="minorHAnsi" w:hAnsiTheme="minorHAnsi"/>
          <w:bCs/>
          <w:sz w:val="14"/>
          <w:szCs w:val="14"/>
          <w:lang w:val="sl-SI" w:eastAsia="en-GB"/>
        </w:rPr>
        <w:tab/>
      </w:r>
      <w:hyperlink r:id="rId55" w:history="1">
        <w:r w:rsidRPr="00104AE6">
          <w:rPr>
            <w:rFonts w:asciiTheme="minorHAnsi" w:eastAsia="Calibri" w:hAnsiTheme="minorHAnsi" w:cs="Calibri"/>
            <w:color w:val="0000FF"/>
            <w:sz w:val="14"/>
            <w:szCs w:val="14"/>
            <w:u w:val="single"/>
            <w:bdr w:val="nil"/>
            <w:lang w:val="sl-SI"/>
          </w:rPr>
          <w:t>https://ec.europa.eu/digital-single-market/en/news/european-countries-join-blockchain-partnership</w:t>
        </w:r>
      </w:hyperlink>
    </w:p>
  </w:footnote>
  <w:footnote w:id="149">
    <w:p w14:paraId="7D39B180" w14:textId="77777777" w:rsidR="00A6094F" w:rsidRPr="00CD5274" w:rsidRDefault="00A6094F" w:rsidP="00CD5274">
      <w:pPr>
        <w:pStyle w:val="FootnoteText"/>
        <w:ind w:left="288" w:hanging="288"/>
        <w:rPr>
          <w:lang w:val="sl-SI"/>
        </w:rPr>
      </w:pPr>
      <w:r w:rsidRPr="00CD5274">
        <w:rPr>
          <w:rStyle w:val="FootnoteReference"/>
          <w:sz w:val="14"/>
          <w:szCs w:val="14"/>
        </w:rPr>
        <w:footnoteRef/>
      </w:r>
      <w:r w:rsidRPr="00CD5274">
        <w:rPr>
          <w:lang w:val="sl-SI"/>
        </w:rPr>
        <w:t xml:space="preserve"> </w:t>
      </w:r>
      <w:r>
        <w:rPr>
          <w:lang w:val="sl-SI"/>
        </w:rPr>
        <w:tab/>
      </w:r>
      <w:hyperlink r:id="rId56" w:history="1">
        <w:r w:rsidRPr="00CD5274">
          <w:rPr>
            <w:rStyle w:val="Hyperlink"/>
            <w:sz w:val="14"/>
            <w:szCs w:val="14"/>
            <w:lang w:val="sl-SI"/>
          </w:rPr>
          <w:t>https://ec.europa.eu/digital-single-market/en/digital-skills-jobs-coalition</w:t>
        </w:r>
      </w:hyperlink>
      <w:r>
        <w:rPr>
          <w:lang w:val="sl-SI"/>
        </w:rPr>
        <w:t xml:space="preserve"> </w:t>
      </w:r>
    </w:p>
  </w:footnote>
  <w:footnote w:id="150">
    <w:p w14:paraId="7D39B181" w14:textId="77777777" w:rsidR="00A6094F" w:rsidRPr="00CD5274" w:rsidRDefault="00A6094F" w:rsidP="00B917FF">
      <w:pPr>
        <w:pStyle w:val="FootnoteText"/>
        <w:ind w:left="284" w:hanging="284"/>
        <w:rPr>
          <w:rFonts w:asciiTheme="minorHAnsi" w:hAnsiTheme="minorHAnsi"/>
          <w:sz w:val="14"/>
          <w:szCs w:val="14"/>
          <w:lang w:val="sl-SI"/>
        </w:rPr>
      </w:pPr>
      <w:r w:rsidRPr="00BD46E1">
        <w:rPr>
          <w:rStyle w:val="FootnoteReference"/>
          <w:rFonts w:asciiTheme="minorHAnsi" w:hAnsiTheme="minorHAnsi"/>
          <w:sz w:val="14"/>
          <w:szCs w:val="14"/>
        </w:rPr>
        <w:footnoteRef/>
      </w:r>
      <w:r w:rsidRPr="00CD5274">
        <w:rPr>
          <w:rFonts w:asciiTheme="minorHAnsi" w:hAnsiTheme="minorHAnsi"/>
          <w:sz w:val="14"/>
          <w:szCs w:val="14"/>
          <w:lang w:val="sl-SI"/>
        </w:rPr>
        <w:t xml:space="preserve"> </w:t>
      </w:r>
      <w:r w:rsidRPr="00CD5274">
        <w:rPr>
          <w:rFonts w:asciiTheme="minorHAnsi" w:hAnsiTheme="minorHAnsi"/>
          <w:sz w:val="14"/>
          <w:szCs w:val="14"/>
          <w:lang w:val="sl-SI"/>
        </w:rPr>
        <w:tab/>
      </w:r>
      <w:r w:rsidRPr="00CD5274">
        <w:rPr>
          <w:rFonts w:asciiTheme="minorHAnsi" w:eastAsia="Calibri" w:hAnsiTheme="minorHAnsi" w:cs="Calibri"/>
          <w:sz w:val="14"/>
          <w:szCs w:val="14"/>
          <w:lang w:val="sl-SI"/>
        </w:rPr>
        <w:t>COM(2014) 477 final</w:t>
      </w:r>
    </w:p>
  </w:footnote>
  <w:footnote w:id="151">
    <w:p w14:paraId="7D39B182" w14:textId="77777777" w:rsidR="00A6094F" w:rsidRPr="004E4C36" w:rsidRDefault="00A6094F" w:rsidP="00B917FF">
      <w:pPr>
        <w:pStyle w:val="FootnoteText"/>
        <w:ind w:left="284" w:hanging="284"/>
        <w:rPr>
          <w:rFonts w:asciiTheme="minorHAnsi" w:hAnsiTheme="minorHAnsi"/>
          <w:sz w:val="14"/>
          <w:szCs w:val="14"/>
          <w:lang w:val="pt-PT"/>
        </w:rPr>
      </w:pPr>
      <w:r w:rsidRPr="00BD46E1">
        <w:rPr>
          <w:rStyle w:val="FootnoteReference"/>
          <w:rFonts w:asciiTheme="minorHAnsi" w:hAnsiTheme="minorHAnsi"/>
          <w:sz w:val="14"/>
          <w:szCs w:val="14"/>
        </w:rPr>
        <w:footnoteRef/>
      </w:r>
      <w:r w:rsidRPr="004E4C36">
        <w:rPr>
          <w:rFonts w:asciiTheme="minorHAnsi" w:hAnsiTheme="minorHAnsi"/>
          <w:sz w:val="14"/>
          <w:szCs w:val="14"/>
          <w:lang w:val="pt-PT"/>
        </w:rPr>
        <w:t xml:space="preserve"> </w:t>
      </w:r>
      <w:r w:rsidRPr="004E4C36">
        <w:rPr>
          <w:rFonts w:asciiTheme="minorHAnsi" w:hAnsiTheme="minorHAnsi"/>
          <w:sz w:val="14"/>
          <w:szCs w:val="14"/>
          <w:lang w:val="pt-PT"/>
        </w:rPr>
        <w:tab/>
      </w:r>
      <w:r w:rsidRPr="004E4C36">
        <w:rPr>
          <w:rFonts w:asciiTheme="minorHAnsi" w:eastAsia="Calibri" w:hAnsiTheme="minorHAnsi" w:cs="Calibri"/>
          <w:sz w:val="14"/>
          <w:szCs w:val="14"/>
          <w:lang w:val="pt-PT"/>
        </w:rPr>
        <w:t>SWD(2018) 491 final</w:t>
      </w:r>
    </w:p>
  </w:footnote>
  <w:footnote w:id="152">
    <w:p w14:paraId="7D39B183" w14:textId="77777777" w:rsidR="00A6094F" w:rsidRPr="004E4C36" w:rsidRDefault="00A6094F" w:rsidP="00B917FF">
      <w:pPr>
        <w:pStyle w:val="FootnoteText"/>
        <w:ind w:left="284" w:hanging="284"/>
        <w:rPr>
          <w:rFonts w:asciiTheme="minorHAnsi" w:hAnsiTheme="minorHAnsi"/>
          <w:sz w:val="14"/>
          <w:szCs w:val="14"/>
          <w:lang w:val="pt-PT"/>
        </w:rPr>
      </w:pPr>
      <w:r w:rsidRPr="00BD46E1">
        <w:rPr>
          <w:rStyle w:val="FootnoteReference"/>
          <w:rFonts w:asciiTheme="minorHAnsi" w:hAnsiTheme="minorHAnsi"/>
          <w:sz w:val="14"/>
          <w:szCs w:val="14"/>
        </w:rPr>
        <w:footnoteRef/>
      </w:r>
      <w:r w:rsidRPr="004E4C36">
        <w:rPr>
          <w:rFonts w:asciiTheme="minorHAnsi" w:hAnsiTheme="minorHAnsi"/>
          <w:sz w:val="14"/>
          <w:szCs w:val="14"/>
          <w:lang w:val="pt-PT"/>
        </w:rPr>
        <w:t xml:space="preserve"> </w:t>
      </w:r>
      <w:r w:rsidRPr="004E4C36">
        <w:rPr>
          <w:rFonts w:asciiTheme="minorHAnsi" w:hAnsiTheme="minorHAnsi"/>
          <w:sz w:val="14"/>
          <w:szCs w:val="14"/>
          <w:lang w:val="pt-PT"/>
        </w:rPr>
        <w:tab/>
      </w:r>
      <w:hyperlink r:id="rId57" w:history="1">
        <w:r w:rsidRPr="004E4C36">
          <w:rPr>
            <w:rStyle w:val="Hyperlink0"/>
            <w:rFonts w:asciiTheme="minorHAnsi" w:eastAsia="Calibri" w:hAnsiTheme="minorHAnsi" w:cs="Calibri"/>
            <w:sz w:val="14"/>
            <w:szCs w:val="14"/>
            <w:lang w:val="pt-PT"/>
          </w:rPr>
          <w:t>https://ec.europa.eu/digital-single-market/en/news/eu-member-states-sign-cooperate-digitising-cultural-heritage</w:t>
        </w:r>
      </w:hyperlink>
    </w:p>
  </w:footnote>
  <w:footnote w:id="153">
    <w:p w14:paraId="7D39B184" w14:textId="77777777" w:rsidR="00A6094F" w:rsidRPr="004E4C36" w:rsidRDefault="00A6094F" w:rsidP="00B917FF">
      <w:pPr>
        <w:pStyle w:val="FootnoteText"/>
        <w:ind w:left="284" w:hanging="284"/>
        <w:rPr>
          <w:rFonts w:asciiTheme="minorHAnsi" w:hAnsiTheme="minorHAnsi"/>
          <w:sz w:val="14"/>
          <w:szCs w:val="14"/>
          <w:lang w:val="pt-PT"/>
        </w:rPr>
      </w:pPr>
      <w:r w:rsidRPr="00BD46E1">
        <w:rPr>
          <w:rStyle w:val="FootnoteReference"/>
          <w:rFonts w:asciiTheme="minorHAnsi" w:hAnsiTheme="minorHAnsi"/>
          <w:sz w:val="14"/>
          <w:szCs w:val="14"/>
        </w:rPr>
        <w:footnoteRef/>
      </w:r>
      <w:r w:rsidRPr="004E4C36">
        <w:rPr>
          <w:rFonts w:asciiTheme="minorHAnsi" w:hAnsiTheme="minorHAnsi"/>
          <w:sz w:val="14"/>
          <w:szCs w:val="14"/>
          <w:lang w:val="pt-PT"/>
        </w:rPr>
        <w:t xml:space="preserve"> </w:t>
      </w:r>
      <w:r w:rsidRPr="004E4C36">
        <w:rPr>
          <w:rFonts w:asciiTheme="minorHAnsi" w:hAnsiTheme="minorHAnsi"/>
          <w:sz w:val="14"/>
          <w:szCs w:val="14"/>
          <w:lang w:val="pt-PT"/>
        </w:rPr>
        <w:tab/>
      </w:r>
      <w:hyperlink r:id="rId58" w:history="1">
        <w:r w:rsidRPr="004E4C36">
          <w:rPr>
            <w:rStyle w:val="Hyperlink0"/>
            <w:rFonts w:asciiTheme="minorHAnsi" w:eastAsia="Calibri" w:hAnsiTheme="minorHAnsi" w:cs="Calibri"/>
            <w:sz w:val="14"/>
            <w:szCs w:val="14"/>
            <w:lang w:val="pt-PT"/>
          </w:rPr>
          <w:t>http://openarchive.icomos.org/2083/</w:t>
        </w:r>
      </w:hyperlink>
    </w:p>
  </w:footnote>
  <w:footnote w:id="154">
    <w:p w14:paraId="7D39B185" w14:textId="77777777" w:rsidR="00A6094F" w:rsidRPr="004E4C36" w:rsidRDefault="00A6094F" w:rsidP="00B917FF">
      <w:pPr>
        <w:pStyle w:val="FootnoteText"/>
        <w:ind w:left="284" w:hanging="284"/>
        <w:rPr>
          <w:lang w:val="pt-PT"/>
        </w:rPr>
      </w:pPr>
      <w:r w:rsidRPr="00BD46E1">
        <w:rPr>
          <w:rStyle w:val="FootnoteReference"/>
          <w:rFonts w:asciiTheme="minorHAnsi" w:hAnsiTheme="minorHAnsi"/>
          <w:sz w:val="14"/>
          <w:szCs w:val="14"/>
        </w:rPr>
        <w:footnoteRef/>
      </w:r>
      <w:r w:rsidRPr="004E4C36">
        <w:rPr>
          <w:rFonts w:asciiTheme="minorHAnsi" w:hAnsiTheme="minorHAnsi"/>
          <w:sz w:val="14"/>
          <w:szCs w:val="14"/>
          <w:lang w:val="pt-PT"/>
        </w:rPr>
        <w:t xml:space="preserve"> </w:t>
      </w:r>
      <w:r w:rsidRPr="004E4C36">
        <w:rPr>
          <w:rFonts w:asciiTheme="minorHAnsi" w:hAnsiTheme="minorHAnsi"/>
          <w:sz w:val="14"/>
          <w:szCs w:val="14"/>
          <w:lang w:val="pt-PT"/>
        </w:rPr>
        <w:tab/>
      </w:r>
      <w:hyperlink r:id="rId59" w:history="1">
        <w:r w:rsidRPr="004E4C36">
          <w:rPr>
            <w:rStyle w:val="Hyperlink0"/>
            <w:rFonts w:asciiTheme="minorHAnsi" w:eastAsia="Calibri" w:hAnsiTheme="minorHAnsi" w:cs="Calibri"/>
            <w:sz w:val="14"/>
            <w:szCs w:val="14"/>
            <w:lang w:val="pt-PT"/>
          </w:rPr>
          <w:t>http://www.voicesofculture.eu/wp-content/uploads/2018/06/VoC-Skills-and-training-Final-report-with-Appendix1.pdf</w:t>
        </w:r>
      </w:hyperlink>
    </w:p>
  </w:footnote>
  <w:footnote w:id="155">
    <w:p w14:paraId="7D39B186" w14:textId="77777777" w:rsidR="00A6094F" w:rsidRPr="004E4C36" w:rsidRDefault="00A6094F" w:rsidP="00B917FF">
      <w:pPr>
        <w:pStyle w:val="FootnoteText"/>
        <w:ind w:left="284" w:hanging="284"/>
        <w:rPr>
          <w:rFonts w:asciiTheme="minorHAnsi" w:hAnsiTheme="minorHAnsi"/>
          <w:sz w:val="14"/>
          <w:szCs w:val="14"/>
          <w:lang w:val="pt-PT"/>
        </w:rPr>
      </w:pPr>
      <w:r w:rsidRPr="00BD46E1">
        <w:rPr>
          <w:rStyle w:val="FootnoteReference"/>
          <w:rFonts w:asciiTheme="minorHAnsi" w:hAnsiTheme="minorHAnsi"/>
          <w:sz w:val="14"/>
          <w:szCs w:val="14"/>
        </w:rPr>
        <w:footnoteRef/>
      </w:r>
      <w:r w:rsidRPr="004E4C36">
        <w:rPr>
          <w:rFonts w:asciiTheme="minorHAnsi" w:hAnsiTheme="minorHAnsi"/>
          <w:sz w:val="14"/>
          <w:szCs w:val="14"/>
          <w:lang w:val="pt-PT"/>
        </w:rPr>
        <w:t xml:space="preserve"> </w:t>
      </w:r>
      <w:r w:rsidRPr="004E4C36">
        <w:rPr>
          <w:rFonts w:asciiTheme="minorHAnsi" w:hAnsiTheme="minorHAnsi"/>
          <w:sz w:val="14"/>
          <w:szCs w:val="14"/>
          <w:lang w:val="pt-PT"/>
        </w:rPr>
        <w:tab/>
      </w:r>
      <w:hyperlink r:id="rId60" w:history="1">
        <w:r w:rsidRPr="004E4C36">
          <w:rPr>
            <w:rStyle w:val="Hyperlink0"/>
            <w:rFonts w:asciiTheme="minorHAnsi" w:eastAsia="Calibri" w:hAnsiTheme="minorHAnsi" w:cs="Calibri"/>
            <w:sz w:val="14"/>
            <w:szCs w:val="14"/>
            <w:lang w:val="pt-PT" w:eastAsia="en-GB"/>
          </w:rPr>
          <w:t>https://publications.europa.eu/en/publication-detail/-/publication/e38e8bb3-867b-11e9-9f05-01aa75ed71a1/language-en/format-PDF/source-98656174</w:t>
        </w:r>
      </w:hyperlink>
    </w:p>
  </w:footnote>
  <w:footnote w:id="156">
    <w:p w14:paraId="7D39B187" w14:textId="77777777" w:rsidR="00A6094F" w:rsidRPr="004E4C36" w:rsidRDefault="00A6094F" w:rsidP="00B917FF">
      <w:pPr>
        <w:pStyle w:val="FootnoteText"/>
        <w:ind w:left="284" w:hanging="284"/>
        <w:rPr>
          <w:rFonts w:asciiTheme="minorHAnsi" w:hAnsiTheme="minorHAnsi"/>
          <w:sz w:val="14"/>
          <w:szCs w:val="14"/>
          <w:lang w:val="pt-PT"/>
        </w:rPr>
      </w:pPr>
      <w:r w:rsidRPr="00BD46E1">
        <w:rPr>
          <w:rStyle w:val="FootnoteReference"/>
          <w:rFonts w:asciiTheme="minorHAnsi" w:hAnsiTheme="minorHAnsi"/>
          <w:sz w:val="14"/>
          <w:szCs w:val="14"/>
        </w:rPr>
        <w:footnoteRef/>
      </w:r>
      <w:r w:rsidRPr="004E4C36">
        <w:rPr>
          <w:rFonts w:asciiTheme="minorHAnsi" w:hAnsiTheme="minorHAnsi"/>
          <w:sz w:val="14"/>
          <w:szCs w:val="14"/>
          <w:lang w:val="pt-PT"/>
        </w:rPr>
        <w:t xml:space="preserve"> </w:t>
      </w:r>
      <w:r w:rsidRPr="004E4C36">
        <w:rPr>
          <w:rFonts w:asciiTheme="minorHAnsi" w:hAnsiTheme="minorHAnsi"/>
          <w:sz w:val="14"/>
          <w:szCs w:val="14"/>
          <w:lang w:val="pt-PT"/>
        </w:rPr>
        <w:tab/>
      </w:r>
      <w:hyperlink r:id="rId61" w:history="1">
        <w:r w:rsidRPr="004E4C36">
          <w:rPr>
            <w:rStyle w:val="Hyperlink0"/>
            <w:rFonts w:asciiTheme="minorHAnsi" w:eastAsia="Calibri" w:hAnsiTheme="minorHAnsi" w:cs="Calibri"/>
            <w:sz w:val="14"/>
            <w:szCs w:val="14"/>
            <w:lang w:val="pt-PT"/>
          </w:rPr>
          <w:t>http://www.ecco-eu.org/fileadmin/assets/documents/publications/ECCO_Competences_EN.pdf</w:t>
        </w:r>
      </w:hyperlink>
    </w:p>
  </w:footnote>
  <w:footnote w:id="157">
    <w:p w14:paraId="7D39B188" w14:textId="77777777" w:rsidR="00A6094F" w:rsidRPr="00104AE6" w:rsidRDefault="00A6094F" w:rsidP="00FC1B4B">
      <w:pPr>
        <w:pStyle w:val="FootnoteText"/>
        <w:ind w:left="288" w:hanging="288"/>
        <w:rPr>
          <w:rFonts w:asciiTheme="minorHAnsi" w:eastAsia="Calibri" w:hAnsiTheme="minorHAnsi" w:cs="Calibri"/>
          <w:color w:val="0000FF"/>
          <w:sz w:val="14"/>
          <w:szCs w:val="14"/>
          <w:u w:val="single"/>
          <w:bdr w:val="nil"/>
          <w:lang w:val="sl-SI"/>
        </w:rPr>
      </w:pPr>
      <w:r w:rsidRPr="00BD46E1">
        <w:rPr>
          <w:rStyle w:val="FootnoteReference"/>
          <w:rFonts w:asciiTheme="minorHAnsi" w:hAnsiTheme="minorHAnsi"/>
          <w:sz w:val="14"/>
          <w:szCs w:val="14"/>
        </w:rPr>
        <w:footnoteRef/>
      </w:r>
      <w:r w:rsidRPr="004E4C36">
        <w:rPr>
          <w:rFonts w:asciiTheme="minorHAnsi" w:hAnsiTheme="minorHAnsi"/>
          <w:sz w:val="14"/>
          <w:szCs w:val="14"/>
          <w:lang w:val="sl-SI"/>
        </w:rPr>
        <w:t xml:space="preserve"> </w:t>
      </w:r>
      <w:r>
        <w:rPr>
          <w:rFonts w:asciiTheme="minorHAnsi" w:hAnsiTheme="minorHAnsi"/>
          <w:sz w:val="14"/>
          <w:szCs w:val="14"/>
          <w:lang w:val="sl-SI"/>
        </w:rPr>
        <w:tab/>
      </w:r>
      <w:r w:rsidRPr="00104AE6">
        <w:rPr>
          <w:rFonts w:asciiTheme="minorHAnsi" w:eastAsia="Calibri" w:hAnsiTheme="minorHAnsi" w:cs="Calibri"/>
          <w:color w:val="0000FF"/>
          <w:sz w:val="14"/>
          <w:szCs w:val="14"/>
          <w:u w:val="single"/>
          <w:bdr w:val="nil"/>
          <w:lang w:val="sl-SI"/>
        </w:rPr>
        <w:t>https://jyvsectec.fi/cyber-range/overview/</w:t>
      </w:r>
    </w:p>
  </w:footnote>
  <w:footnote w:id="158">
    <w:p w14:paraId="7D39B189" w14:textId="77777777" w:rsidR="00A6094F" w:rsidRPr="00104AE6" w:rsidRDefault="00A6094F" w:rsidP="00FC1B4B">
      <w:pPr>
        <w:pStyle w:val="FootnoteText"/>
        <w:ind w:left="288" w:hanging="288"/>
        <w:rPr>
          <w:rFonts w:asciiTheme="minorHAnsi" w:eastAsia="Calibri" w:hAnsiTheme="minorHAnsi" w:cs="Calibri"/>
          <w:color w:val="0000FF"/>
          <w:sz w:val="14"/>
          <w:szCs w:val="14"/>
          <w:u w:val="single"/>
          <w:bdr w:val="nil"/>
          <w:lang w:val="sl-SI"/>
        </w:rPr>
      </w:pPr>
      <w:r w:rsidRPr="00BD46E1">
        <w:rPr>
          <w:rStyle w:val="FootnoteReference"/>
          <w:rFonts w:asciiTheme="minorHAnsi" w:hAnsiTheme="minorHAnsi"/>
          <w:sz w:val="14"/>
          <w:szCs w:val="14"/>
        </w:rPr>
        <w:footnoteRef/>
      </w:r>
      <w:r w:rsidRPr="004E4C36">
        <w:rPr>
          <w:rFonts w:asciiTheme="minorHAnsi" w:hAnsiTheme="minorHAnsi"/>
          <w:sz w:val="14"/>
          <w:szCs w:val="14"/>
          <w:lang w:val="sl-SI"/>
        </w:rPr>
        <w:t xml:space="preserve"> </w:t>
      </w:r>
      <w:r>
        <w:rPr>
          <w:rFonts w:asciiTheme="minorHAnsi" w:hAnsiTheme="minorHAnsi"/>
          <w:sz w:val="14"/>
          <w:szCs w:val="14"/>
          <w:lang w:val="sl-SI"/>
        </w:rPr>
        <w:tab/>
      </w:r>
      <w:r w:rsidRPr="00104AE6">
        <w:rPr>
          <w:rFonts w:asciiTheme="minorHAnsi" w:eastAsia="Calibri" w:hAnsiTheme="minorHAnsi" w:cs="Calibri"/>
          <w:color w:val="0000FF"/>
          <w:sz w:val="14"/>
          <w:szCs w:val="14"/>
          <w:u w:val="single"/>
          <w:bdr w:val="nil"/>
          <w:lang w:val="sl-SI"/>
        </w:rPr>
        <w:t>https://www.enisa.europa.eu/topics/cyber-exercises/cyber-europe-programme</w:t>
      </w:r>
    </w:p>
  </w:footnote>
  <w:footnote w:id="159">
    <w:p w14:paraId="7D39B18A" w14:textId="77777777" w:rsidR="00A6094F" w:rsidRPr="00104AE6" w:rsidRDefault="00A6094F" w:rsidP="00FC1B4B">
      <w:pPr>
        <w:pStyle w:val="FootnoteText"/>
        <w:ind w:left="288" w:hanging="288"/>
        <w:rPr>
          <w:rFonts w:asciiTheme="minorHAnsi" w:eastAsia="Calibri" w:hAnsiTheme="minorHAnsi" w:cs="Calibri"/>
          <w:color w:val="0000FF"/>
          <w:sz w:val="14"/>
          <w:szCs w:val="14"/>
          <w:u w:val="single"/>
          <w:bdr w:val="nil"/>
          <w:lang w:val="sl-SI"/>
        </w:rPr>
      </w:pPr>
      <w:r w:rsidRPr="00BD46E1">
        <w:rPr>
          <w:rStyle w:val="FootnoteReference"/>
          <w:rFonts w:asciiTheme="minorHAnsi" w:hAnsiTheme="minorHAnsi"/>
          <w:sz w:val="14"/>
          <w:szCs w:val="14"/>
        </w:rPr>
        <w:footnoteRef/>
      </w:r>
      <w:r w:rsidRPr="004E4C36">
        <w:rPr>
          <w:rFonts w:asciiTheme="minorHAnsi" w:hAnsiTheme="minorHAnsi"/>
          <w:sz w:val="14"/>
          <w:szCs w:val="14"/>
          <w:lang w:val="sl-SI"/>
        </w:rPr>
        <w:t xml:space="preserve"> </w:t>
      </w:r>
      <w:r>
        <w:rPr>
          <w:rFonts w:asciiTheme="minorHAnsi" w:hAnsiTheme="minorHAnsi"/>
          <w:sz w:val="14"/>
          <w:szCs w:val="14"/>
          <w:lang w:val="sl-SI"/>
        </w:rPr>
        <w:tab/>
      </w:r>
      <w:r w:rsidRPr="00104AE6">
        <w:rPr>
          <w:rFonts w:asciiTheme="minorHAnsi" w:eastAsia="Calibri" w:hAnsiTheme="minorHAnsi" w:cs="Calibri"/>
          <w:color w:val="0000FF"/>
          <w:sz w:val="14"/>
          <w:szCs w:val="14"/>
          <w:u w:val="single"/>
          <w:bdr w:val="nil"/>
          <w:lang w:val="sl-SI"/>
        </w:rPr>
        <w:t>https://www.cyberwiser.eu/</w:t>
      </w:r>
    </w:p>
  </w:footnote>
  <w:footnote w:id="160">
    <w:p w14:paraId="7D39B18B" w14:textId="77777777" w:rsidR="00A6094F" w:rsidRPr="00104AE6" w:rsidRDefault="00A6094F" w:rsidP="00FC1B4B">
      <w:pPr>
        <w:pStyle w:val="FootnoteText"/>
        <w:ind w:left="288" w:hanging="288"/>
        <w:rPr>
          <w:rFonts w:asciiTheme="minorHAnsi" w:eastAsia="Calibri" w:hAnsiTheme="minorHAnsi" w:cs="Calibri"/>
          <w:color w:val="0000FF"/>
          <w:sz w:val="14"/>
          <w:szCs w:val="14"/>
          <w:u w:val="single"/>
          <w:bdr w:val="nil"/>
          <w:lang w:val="sl-SI"/>
        </w:rPr>
      </w:pPr>
      <w:r w:rsidRPr="00BD46E1">
        <w:rPr>
          <w:rStyle w:val="FootnoteReference"/>
          <w:rFonts w:asciiTheme="minorHAnsi" w:hAnsiTheme="minorHAnsi"/>
          <w:sz w:val="14"/>
          <w:szCs w:val="14"/>
        </w:rPr>
        <w:footnoteRef/>
      </w:r>
      <w:r w:rsidRPr="004E4C36">
        <w:rPr>
          <w:rFonts w:asciiTheme="minorHAnsi" w:hAnsiTheme="minorHAnsi"/>
          <w:sz w:val="14"/>
          <w:szCs w:val="14"/>
          <w:lang w:val="sl-SI"/>
        </w:rPr>
        <w:t xml:space="preserve"> </w:t>
      </w:r>
      <w:r>
        <w:rPr>
          <w:rFonts w:asciiTheme="minorHAnsi" w:hAnsiTheme="minorHAnsi"/>
          <w:sz w:val="14"/>
          <w:szCs w:val="14"/>
          <w:lang w:val="sl-SI"/>
        </w:rPr>
        <w:tab/>
      </w:r>
      <w:r w:rsidRPr="00104AE6">
        <w:rPr>
          <w:rFonts w:asciiTheme="minorHAnsi" w:eastAsia="Calibri" w:hAnsiTheme="minorHAnsi" w:cs="Calibri"/>
          <w:color w:val="0000FF"/>
          <w:sz w:val="14"/>
          <w:szCs w:val="14"/>
          <w:u w:val="single"/>
          <w:bdr w:val="nil"/>
          <w:lang w:val="sl-SI"/>
        </w:rPr>
        <w:t>https://ec.europa.eu/digital-single-market/en/news/four-eu-pilot-projects-launched-prepare-european-cybersecurity-competence-network</w:t>
      </w:r>
    </w:p>
  </w:footnote>
  <w:footnote w:id="161">
    <w:p w14:paraId="7D39B18C" w14:textId="77777777" w:rsidR="00A6094F" w:rsidRPr="004E4C36" w:rsidRDefault="00A6094F" w:rsidP="00571D24">
      <w:pPr>
        <w:pStyle w:val="FootnoteText"/>
        <w:ind w:left="284" w:hanging="284"/>
        <w:rPr>
          <w:rFonts w:asciiTheme="minorHAnsi" w:hAnsiTheme="minorHAnsi"/>
          <w:bCs/>
          <w:sz w:val="14"/>
          <w:szCs w:val="14"/>
          <w:lang w:val="sl-SI" w:eastAsia="en-GB"/>
        </w:rPr>
      </w:pPr>
      <w:r w:rsidRPr="00104AE6">
        <w:rPr>
          <w:rFonts w:asciiTheme="minorHAnsi" w:hAnsiTheme="minorHAnsi"/>
          <w:bCs/>
          <w:sz w:val="14"/>
          <w:szCs w:val="14"/>
          <w:vertAlign w:val="superscript"/>
          <w:lang w:val="en-GB" w:eastAsia="en-GB"/>
        </w:rPr>
        <w:footnoteRef/>
      </w:r>
      <w:r w:rsidRPr="00104AE6">
        <w:rPr>
          <w:rFonts w:asciiTheme="minorHAnsi" w:hAnsiTheme="minorHAnsi"/>
          <w:bCs/>
          <w:sz w:val="14"/>
          <w:szCs w:val="14"/>
          <w:vertAlign w:val="superscript"/>
          <w:lang w:val="sl-SI" w:eastAsia="en-GB"/>
        </w:rPr>
        <w:t xml:space="preserve"> </w:t>
      </w:r>
      <w:r w:rsidRPr="00104AE6">
        <w:rPr>
          <w:rFonts w:ascii="Cambria" w:hAnsi="Cambria"/>
          <w:lang w:val="sl-SI"/>
        </w:rPr>
        <w:tab/>
      </w:r>
      <w:hyperlink r:id="rId62" w:history="1">
        <w:r w:rsidRPr="004E4C36">
          <w:rPr>
            <w:rStyle w:val="Hyperlink"/>
            <w:rFonts w:asciiTheme="minorHAnsi" w:hAnsiTheme="minorHAnsi"/>
            <w:bCs/>
            <w:sz w:val="14"/>
            <w:szCs w:val="14"/>
            <w:lang w:val="sl-SI" w:eastAsia="en-GB"/>
          </w:rPr>
          <w:t>https://ec.europa.eu/digital-single-market/en/digital-skills-jobs-coalition</w:t>
        </w:r>
      </w:hyperlink>
      <w:r w:rsidRPr="004E4C36">
        <w:rPr>
          <w:rFonts w:asciiTheme="minorHAnsi" w:hAnsiTheme="minorHAnsi"/>
          <w:bCs/>
          <w:sz w:val="14"/>
          <w:szCs w:val="14"/>
          <w:lang w:val="sl-SI" w:eastAsia="en-GB"/>
        </w:rPr>
        <w:t xml:space="preserve"> </w:t>
      </w:r>
    </w:p>
  </w:footnote>
  <w:footnote w:id="162">
    <w:p w14:paraId="7D39B18D" w14:textId="77777777" w:rsidR="00A6094F" w:rsidRPr="00104AE6" w:rsidRDefault="00A6094F" w:rsidP="00FC1B4B">
      <w:pPr>
        <w:pStyle w:val="FootnoteText"/>
        <w:ind w:left="288" w:hanging="288"/>
        <w:rPr>
          <w:rFonts w:asciiTheme="minorHAnsi" w:eastAsia="Calibri" w:hAnsiTheme="minorHAnsi" w:cs="Calibri"/>
          <w:color w:val="0000FF"/>
          <w:sz w:val="14"/>
          <w:szCs w:val="14"/>
          <w:u w:val="single"/>
          <w:bdr w:val="nil"/>
          <w:lang w:val="sl-SI"/>
        </w:rPr>
      </w:pPr>
      <w:r w:rsidRPr="00BD46E1">
        <w:rPr>
          <w:rStyle w:val="FootnoteReference"/>
          <w:rFonts w:asciiTheme="minorHAnsi" w:hAnsiTheme="minorHAnsi"/>
          <w:sz w:val="14"/>
          <w:szCs w:val="14"/>
        </w:rPr>
        <w:footnoteRef/>
      </w:r>
      <w:r w:rsidRPr="004E4C36">
        <w:rPr>
          <w:rFonts w:asciiTheme="minorHAnsi" w:hAnsiTheme="minorHAnsi"/>
          <w:sz w:val="14"/>
          <w:szCs w:val="14"/>
          <w:lang w:val="sl-SI"/>
        </w:rPr>
        <w:t xml:space="preserve"> </w:t>
      </w:r>
      <w:r>
        <w:rPr>
          <w:rFonts w:asciiTheme="minorHAnsi" w:hAnsiTheme="minorHAnsi"/>
          <w:sz w:val="14"/>
          <w:szCs w:val="14"/>
          <w:lang w:val="sl-SI"/>
        </w:rPr>
        <w:tab/>
      </w:r>
      <w:r w:rsidRPr="00104AE6">
        <w:rPr>
          <w:rFonts w:asciiTheme="minorHAnsi" w:eastAsia="Calibri" w:hAnsiTheme="minorHAnsi" w:cs="Calibri"/>
          <w:color w:val="0000FF"/>
          <w:sz w:val="14"/>
          <w:szCs w:val="14"/>
          <w:u w:val="single"/>
          <w:bdr w:val="nil"/>
          <w:lang w:val="sl-SI"/>
        </w:rPr>
        <w:t>http://www.europarl.europa.eu/doceo/document/TA-8-2019-0151_EN.html?redirect</w:t>
      </w:r>
    </w:p>
  </w:footnote>
  <w:footnote w:id="163">
    <w:p w14:paraId="7D39B18E" w14:textId="77777777" w:rsidR="00A6094F" w:rsidRPr="00104AE6" w:rsidRDefault="00A6094F" w:rsidP="00FC1B4B">
      <w:pPr>
        <w:pStyle w:val="FootnoteText"/>
        <w:ind w:left="288" w:hanging="288"/>
        <w:rPr>
          <w:rFonts w:asciiTheme="minorHAnsi" w:eastAsia="Calibri" w:hAnsiTheme="minorHAnsi" w:cs="Calibri"/>
          <w:color w:val="0000FF"/>
          <w:sz w:val="14"/>
          <w:szCs w:val="14"/>
          <w:u w:val="single"/>
          <w:bdr w:val="nil"/>
          <w:lang w:val="sl-SI"/>
        </w:rPr>
      </w:pPr>
      <w:r w:rsidRPr="00BD46E1">
        <w:rPr>
          <w:rStyle w:val="FootnoteReference"/>
          <w:rFonts w:asciiTheme="minorHAnsi" w:hAnsiTheme="minorHAnsi"/>
          <w:sz w:val="14"/>
          <w:szCs w:val="14"/>
        </w:rPr>
        <w:footnoteRef/>
      </w:r>
      <w:r w:rsidRPr="004E4C36">
        <w:rPr>
          <w:rFonts w:asciiTheme="minorHAnsi" w:hAnsiTheme="minorHAnsi"/>
          <w:sz w:val="14"/>
          <w:szCs w:val="14"/>
          <w:lang w:val="sl-SI"/>
        </w:rPr>
        <w:t xml:space="preserve"> </w:t>
      </w:r>
      <w:r>
        <w:rPr>
          <w:rFonts w:asciiTheme="minorHAnsi" w:hAnsiTheme="minorHAnsi"/>
          <w:sz w:val="14"/>
          <w:szCs w:val="14"/>
          <w:lang w:val="sl-SI"/>
        </w:rPr>
        <w:tab/>
      </w:r>
      <w:r w:rsidRPr="00104AE6">
        <w:rPr>
          <w:rFonts w:asciiTheme="minorHAnsi" w:eastAsia="Calibri" w:hAnsiTheme="minorHAnsi" w:cs="Calibri"/>
          <w:color w:val="0000FF"/>
          <w:sz w:val="14"/>
          <w:szCs w:val="14"/>
          <w:u w:val="single"/>
          <w:bdr w:val="nil"/>
          <w:lang w:val="sl-SI"/>
        </w:rPr>
        <w:t>https://ec.europa.eu/digital-single-market/en/state-play-transposition-nis-directive</w:t>
      </w:r>
    </w:p>
  </w:footnote>
  <w:footnote w:id="164">
    <w:p w14:paraId="7D39B18F" w14:textId="77777777" w:rsidR="00A6094F" w:rsidRPr="00104AE6" w:rsidRDefault="00A6094F" w:rsidP="00FC1B4B">
      <w:pPr>
        <w:pStyle w:val="FootnoteText"/>
        <w:ind w:left="288" w:hanging="288"/>
        <w:rPr>
          <w:rFonts w:asciiTheme="minorHAnsi" w:eastAsia="Calibri" w:hAnsiTheme="minorHAnsi" w:cs="Calibri"/>
          <w:color w:val="0000FF"/>
          <w:sz w:val="14"/>
          <w:szCs w:val="14"/>
          <w:u w:val="single"/>
          <w:bdr w:val="nil"/>
          <w:lang w:val="sl-SI"/>
        </w:rPr>
      </w:pPr>
      <w:r w:rsidRPr="00BD46E1">
        <w:rPr>
          <w:rStyle w:val="FootnoteReference"/>
          <w:rFonts w:asciiTheme="minorHAnsi" w:hAnsiTheme="minorHAnsi"/>
          <w:sz w:val="14"/>
          <w:szCs w:val="14"/>
        </w:rPr>
        <w:footnoteRef/>
      </w:r>
      <w:r w:rsidRPr="004E4C36">
        <w:rPr>
          <w:rFonts w:asciiTheme="minorHAnsi" w:hAnsiTheme="minorHAnsi"/>
          <w:sz w:val="14"/>
          <w:szCs w:val="14"/>
          <w:lang w:val="sl-SI"/>
        </w:rPr>
        <w:t xml:space="preserve"> </w:t>
      </w:r>
      <w:r>
        <w:rPr>
          <w:rFonts w:asciiTheme="minorHAnsi" w:hAnsiTheme="minorHAnsi"/>
          <w:sz w:val="14"/>
          <w:szCs w:val="14"/>
          <w:lang w:val="sl-SI"/>
        </w:rPr>
        <w:tab/>
      </w:r>
      <w:r w:rsidRPr="00104AE6">
        <w:rPr>
          <w:rFonts w:asciiTheme="minorHAnsi" w:eastAsia="Calibri" w:hAnsiTheme="minorHAnsi" w:cs="Calibri"/>
          <w:color w:val="0000FF"/>
          <w:sz w:val="14"/>
          <w:szCs w:val="14"/>
          <w:u w:val="single"/>
          <w:bdr w:val="nil"/>
          <w:lang w:val="sl-SI"/>
        </w:rPr>
        <w:t>https://ec.europa.eu/info/law/law-topic/data-protection_en</w:t>
      </w:r>
    </w:p>
  </w:footnote>
  <w:footnote w:id="165">
    <w:p w14:paraId="7D39B190" w14:textId="77777777" w:rsidR="00A6094F" w:rsidRPr="00BD46E1" w:rsidRDefault="00A6094F" w:rsidP="00571D24">
      <w:pPr>
        <w:pStyle w:val="FootnoteText"/>
        <w:ind w:left="284" w:hanging="284"/>
        <w:rPr>
          <w:rFonts w:asciiTheme="minorHAnsi" w:hAnsiTheme="minorHAnsi" w:cstheme="minorHAnsi"/>
          <w:sz w:val="14"/>
          <w:szCs w:val="14"/>
          <w:lang w:val="en-GB"/>
        </w:rPr>
      </w:pPr>
      <w:r w:rsidRPr="00BD46E1">
        <w:rPr>
          <w:rStyle w:val="FootnoteReference"/>
          <w:rFonts w:asciiTheme="minorHAnsi" w:hAnsiTheme="minorHAnsi" w:cstheme="minorHAnsi"/>
          <w:sz w:val="14"/>
          <w:szCs w:val="14"/>
        </w:rPr>
        <w:footnoteRef/>
      </w:r>
      <w:r w:rsidRPr="00BD46E1">
        <w:rPr>
          <w:rFonts w:asciiTheme="minorHAnsi" w:hAnsiTheme="minorHAnsi" w:cstheme="minorHAnsi"/>
          <w:sz w:val="14"/>
          <w:szCs w:val="14"/>
          <w:lang w:val="en-GB"/>
        </w:rPr>
        <w:t xml:space="preserve"> </w:t>
      </w:r>
      <w:r w:rsidRPr="00BD46E1">
        <w:rPr>
          <w:rFonts w:asciiTheme="minorHAnsi" w:hAnsiTheme="minorHAnsi" w:cstheme="minorHAnsi"/>
          <w:sz w:val="14"/>
          <w:szCs w:val="14"/>
          <w:lang w:val="en-GB"/>
        </w:rPr>
        <w:tab/>
      </w:r>
      <w:hyperlink r:id="rId63" w:history="1">
        <w:r w:rsidRPr="00BD46E1">
          <w:rPr>
            <w:rStyle w:val="Hyperlink"/>
            <w:rFonts w:asciiTheme="minorHAnsi" w:hAnsiTheme="minorHAnsi" w:cstheme="minorHAnsi"/>
            <w:sz w:val="14"/>
            <w:szCs w:val="14"/>
            <w:lang w:val="en-GB"/>
          </w:rPr>
          <w:t>https://www.cencenelec.eu/News/Events/Pages/EV-2019-001.aspx</w:t>
        </w:r>
      </w:hyperlink>
      <w:r w:rsidRPr="00BD46E1">
        <w:rPr>
          <w:rFonts w:asciiTheme="minorHAnsi" w:hAnsiTheme="minorHAnsi" w:cstheme="minorHAnsi"/>
          <w:sz w:val="14"/>
          <w:szCs w:val="14"/>
          <w:lang w:val="en-GB"/>
        </w:rPr>
        <w:t xml:space="preserve">  and </w:t>
      </w:r>
      <w:hyperlink r:id="rId64" w:history="1">
        <w:r w:rsidRPr="00BD46E1">
          <w:rPr>
            <w:rStyle w:val="Hyperlink"/>
            <w:rFonts w:asciiTheme="minorHAnsi" w:hAnsiTheme="minorHAnsi" w:cstheme="minorHAnsi"/>
            <w:sz w:val="14"/>
            <w:szCs w:val="14"/>
            <w:lang w:val="en-GB"/>
          </w:rPr>
          <w:t>http://www.ecompetences.eu/cen-tc-428/</w:t>
        </w:r>
      </w:hyperlink>
      <w:r w:rsidRPr="00BD46E1">
        <w:rPr>
          <w:rFonts w:asciiTheme="minorHAnsi" w:hAnsiTheme="minorHAnsi" w:cstheme="minorHAnsi"/>
          <w:sz w:val="14"/>
          <w:szCs w:val="14"/>
          <w:lang w:val="en-GB"/>
        </w:rPr>
        <w:t xml:space="preserve"> </w:t>
      </w:r>
    </w:p>
  </w:footnote>
  <w:footnote w:id="166">
    <w:p w14:paraId="7D39B191" w14:textId="77777777" w:rsidR="00A6094F" w:rsidRPr="00BD46E1" w:rsidRDefault="00A6094F" w:rsidP="00104AE6">
      <w:pPr>
        <w:pStyle w:val="FootnoteText"/>
        <w:ind w:left="288" w:hanging="288"/>
        <w:rPr>
          <w:rFonts w:asciiTheme="minorHAnsi" w:hAnsiTheme="minorHAnsi"/>
          <w:sz w:val="14"/>
          <w:szCs w:val="14"/>
          <w:lang w:val="en-US"/>
        </w:rPr>
      </w:pPr>
      <w:r w:rsidRPr="00BD46E1">
        <w:rPr>
          <w:rStyle w:val="FootnoteReference"/>
          <w:rFonts w:asciiTheme="minorHAnsi" w:hAnsiTheme="minorHAnsi"/>
          <w:sz w:val="14"/>
          <w:szCs w:val="14"/>
        </w:rPr>
        <w:footnoteRef/>
      </w:r>
      <w:r w:rsidRPr="00BD46E1">
        <w:rPr>
          <w:rFonts w:asciiTheme="minorHAnsi" w:hAnsiTheme="minorHAnsi"/>
          <w:sz w:val="14"/>
          <w:szCs w:val="14"/>
          <w:lang w:val="en-GB"/>
        </w:rPr>
        <w:t xml:space="preserve"> </w:t>
      </w:r>
      <w:r>
        <w:rPr>
          <w:rFonts w:asciiTheme="minorHAnsi" w:hAnsiTheme="minorHAnsi"/>
          <w:sz w:val="14"/>
          <w:szCs w:val="14"/>
          <w:lang w:val="en-GB"/>
        </w:rPr>
        <w:tab/>
      </w:r>
      <w:r w:rsidRPr="00104AE6">
        <w:rPr>
          <w:rFonts w:asciiTheme="minorHAnsi" w:eastAsia="Calibri" w:hAnsiTheme="minorHAnsi" w:cs="Calibri"/>
          <w:color w:val="0000FF"/>
          <w:sz w:val="14"/>
          <w:szCs w:val="14"/>
          <w:u w:val="single"/>
          <w:bdr w:val="nil"/>
          <w:lang w:val="sl-SI"/>
        </w:rPr>
        <w:t>https://ec.europa.eu/digital-single-market/en/news/commission-welcomes-agreement-digital-europe-programme-2021-2027</w:t>
      </w:r>
    </w:p>
  </w:footnote>
  <w:footnote w:id="167">
    <w:p w14:paraId="7D39B192" w14:textId="77777777" w:rsidR="00A6094F" w:rsidRPr="004E4C36" w:rsidRDefault="00A6094F" w:rsidP="00C35DD5">
      <w:pPr>
        <w:pStyle w:val="FootnoteText"/>
        <w:ind w:left="284" w:hanging="284"/>
        <w:rPr>
          <w:rFonts w:asciiTheme="minorHAnsi" w:hAnsiTheme="minorHAnsi"/>
          <w:sz w:val="14"/>
          <w:szCs w:val="14"/>
          <w:lang w:val="pt-PT"/>
        </w:rPr>
      </w:pPr>
      <w:r w:rsidRPr="00BD46E1">
        <w:rPr>
          <w:rStyle w:val="FootnoteReference"/>
          <w:rFonts w:asciiTheme="minorHAnsi" w:hAnsiTheme="minorHAnsi"/>
          <w:sz w:val="14"/>
          <w:szCs w:val="14"/>
        </w:rPr>
        <w:footnoteRef/>
      </w:r>
      <w:r w:rsidRPr="004E4C36">
        <w:rPr>
          <w:rFonts w:asciiTheme="minorHAnsi" w:hAnsiTheme="minorHAnsi"/>
          <w:sz w:val="14"/>
          <w:szCs w:val="14"/>
          <w:lang w:val="pt-PT"/>
        </w:rPr>
        <w:t xml:space="preserve"> </w:t>
      </w:r>
      <w:r w:rsidRPr="004E4C36">
        <w:rPr>
          <w:rFonts w:asciiTheme="minorHAnsi" w:hAnsiTheme="minorHAnsi"/>
          <w:sz w:val="14"/>
          <w:szCs w:val="14"/>
          <w:lang w:val="pt-PT"/>
        </w:rPr>
        <w:tab/>
      </w:r>
      <w:r w:rsidRPr="004E4C36">
        <w:rPr>
          <w:rFonts w:asciiTheme="minorHAnsi" w:hAnsiTheme="minorHAnsi" w:cstheme="minorHAnsi"/>
          <w:bCs/>
          <w:sz w:val="14"/>
          <w:szCs w:val="14"/>
          <w:lang w:val="pt-PT" w:eastAsia="en-GB"/>
        </w:rPr>
        <w:t>COM(2017) 283 final</w:t>
      </w:r>
    </w:p>
  </w:footnote>
  <w:footnote w:id="168">
    <w:p w14:paraId="7D39B193" w14:textId="77777777" w:rsidR="00A6094F" w:rsidRPr="004E4C36" w:rsidRDefault="00A6094F" w:rsidP="00C35DD5">
      <w:pPr>
        <w:pStyle w:val="FootnoteText"/>
        <w:ind w:left="284" w:hanging="284"/>
        <w:rPr>
          <w:lang w:val="pt-PT"/>
        </w:rPr>
      </w:pPr>
      <w:r w:rsidRPr="00BD46E1">
        <w:rPr>
          <w:rStyle w:val="FootnoteReference"/>
          <w:rFonts w:asciiTheme="minorHAnsi" w:hAnsiTheme="minorHAnsi"/>
          <w:sz w:val="14"/>
          <w:szCs w:val="14"/>
        </w:rPr>
        <w:footnoteRef/>
      </w:r>
      <w:r w:rsidRPr="004E4C36">
        <w:rPr>
          <w:rFonts w:asciiTheme="minorHAnsi" w:hAnsiTheme="minorHAnsi"/>
          <w:sz w:val="14"/>
          <w:szCs w:val="14"/>
          <w:lang w:val="pt-PT"/>
        </w:rPr>
        <w:t xml:space="preserve"> </w:t>
      </w:r>
      <w:r w:rsidRPr="004E4C36">
        <w:rPr>
          <w:rFonts w:asciiTheme="minorHAnsi" w:hAnsiTheme="minorHAnsi"/>
          <w:sz w:val="14"/>
          <w:szCs w:val="14"/>
          <w:lang w:val="pt-PT"/>
        </w:rPr>
        <w:tab/>
      </w:r>
      <w:hyperlink r:id="rId65" w:history="1">
        <w:r w:rsidRPr="004E4C36">
          <w:rPr>
            <w:rFonts w:asciiTheme="minorHAnsi" w:hAnsiTheme="minorHAnsi" w:cstheme="minorHAnsi"/>
            <w:sz w:val="14"/>
            <w:szCs w:val="14"/>
            <w:lang w:val="pt-PT"/>
          </w:rPr>
          <w:t>2015/2887(RSP)</w:t>
        </w:r>
      </w:hyperlink>
    </w:p>
  </w:footnote>
  <w:footnote w:id="169">
    <w:p w14:paraId="7D39B194" w14:textId="77777777" w:rsidR="00A6094F" w:rsidRPr="00104AE6" w:rsidRDefault="00A6094F" w:rsidP="00FC1B4B">
      <w:pPr>
        <w:pStyle w:val="FootnoteText"/>
        <w:ind w:left="288" w:hanging="288"/>
        <w:rPr>
          <w:rFonts w:asciiTheme="minorHAnsi" w:eastAsia="Calibri" w:hAnsiTheme="minorHAnsi" w:cs="Calibri"/>
          <w:color w:val="0000FF"/>
          <w:sz w:val="14"/>
          <w:szCs w:val="14"/>
          <w:u w:val="single"/>
          <w:bdr w:val="nil"/>
          <w:lang w:val="sl-SI"/>
        </w:rPr>
      </w:pPr>
      <w:r w:rsidRPr="00BD46E1">
        <w:rPr>
          <w:rStyle w:val="FootnoteReference"/>
          <w:rFonts w:asciiTheme="minorHAnsi" w:hAnsiTheme="minorHAnsi"/>
          <w:sz w:val="14"/>
          <w:szCs w:val="14"/>
        </w:rPr>
        <w:footnoteRef/>
      </w:r>
      <w:r w:rsidRPr="004E4C36">
        <w:rPr>
          <w:rFonts w:asciiTheme="minorHAnsi" w:hAnsiTheme="minorHAnsi"/>
          <w:sz w:val="14"/>
          <w:szCs w:val="14"/>
          <w:lang w:val="sl-SI"/>
        </w:rPr>
        <w:t xml:space="preserve"> </w:t>
      </w:r>
      <w:r>
        <w:rPr>
          <w:rFonts w:asciiTheme="minorHAnsi" w:hAnsiTheme="minorHAnsi"/>
          <w:sz w:val="14"/>
          <w:szCs w:val="14"/>
          <w:lang w:val="sl-SI"/>
        </w:rPr>
        <w:tab/>
      </w:r>
      <w:r w:rsidRPr="00104AE6">
        <w:rPr>
          <w:rFonts w:asciiTheme="minorHAnsi" w:eastAsia="Calibri" w:hAnsiTheme="minorHAnsi" w:cs="Calibri"/>
          <w:color w:val="0000FF"/>
          <w:sz w:val="14"/>
          <w:szCs w:val="14"/>
          <w:u w:val="single"/>
          <w:bdr w:val="nil"/>
          <w:lang w:val="sl-SI"/>
        </w:rPr>
        <w:t>https://ec.europa.eu/eip/ageing/standards/general/general-documents/european-disability-strategy-2010-2020_en</w:t>
      </w:r>
    </w:p>
  </w:footnote>
  <w:footnote w:id="170">
    <w:p w14:paraId="7D39B195" w14:textId="77777777" w:rsidR="00A6094F" w:rsidRPr="00104AE6" w:rsidRDefault="00A6094F" w:rsidP="00FC1B4B">
      <w:pPr>
        <w:pStyle w:val="FootnoteText"/>
        <w:ind w:left="288" w:hanging="288"/>
        <w:rPr>
          <w:rFonts w:asciiTheme="minorHAnsi" w:eastAsia="Calibri" w:hAnsiTheme="minorHAnsi" w:cs="Calibri"/>
          <w:color w:val="0000FF"/>
          <w:sz w:val="14"/>
          <w:szCs w:val="14"/>
          <w:u w:val="single"/>
          <w:bdr w:val="nil"/>
          <w:lang w:val="sl-SI"/>
        </w:rPr>
      </w:pPr>
      <w:r w:rsidRPr="00BD46E1">
        <w:rPr>
          <w:rStyle w:val="FootnoteReference"/>
          <w:rFonts w:asciiTheme="minorHAnsi" w:hAnsiTheme="minorHAnsi"/>
          <w:sz w:val="14"/>
          <w:szCs w:val="14"/>
        </w:rPr>
        <w:footnoteRef/>
      </w:r>
      <w:r w:rsidRPr="004E4C36">
        <w:rPr>
          <w:rFonts w:asciiTheme="minorHAnsi" w:hAnsiTheme="minorHAnsi"/>
          <w:sz w:val="14"/>
          <w:szCs w:val="14"/>
          <w:lang w:val="sl-SI"/>
        </w:rPr>
        <w:t xml:space="preserve"> </w:t>
      </w:r>
      <w:r>
        <w:rPr>
          <w:rFonts w:asciiTheme="minorHAnsi" w:hAnsiTheme="minorHAnsi"/>
          <w:sz w:val="14"/>
          <w:szCs w:val="14"/>
          <w:lang w:val="sl-SI"/>
        </w:rPr>
        <w:tab/>
      </w:r>
      <w:r w:rsidRPr="00104AE6">
        <w:rPr>
          <w:rFonts w:asciiTheme="minorHAnsi" w:eastAsia="Calibri" w:hAnsiTheme="minorHAnsi" w:cs="Calibri"/>
          <w:color w:val="0000FF"/>
          <w:sz w:val="14"/>
          <w:szCs w:val="14"/>
          <w:u w:val="single"/>
          <w:bdr w:val="nil"/>
          <w:lang w:val="sl-SI"/>
        </w:rPr>
        <w:t>https://www.un.org/development/desa/disabilities/convention-on-the-rights-of-persons-with-disabilities.html</w:t>
      </w:r>
    </w:p>
  </w:footnote>
  <w:footnote w:id="171">
    <w:p w14:paraId="7D39B196" w14:textId="77777777" w:rsidR="00A6094F" w:rsidRPr="00104AE6" w:rsidRDefault="00A6094F" w:rsidP="00FC1B4B">
      <w:pPr>
        <w:pStyle w:val="FootnoteText"/>
        <w:ind w:left="288" w:hanging="288"/>
        <w:rPr>
          <w:rFonts w:asciiTheme="minorHAnsi" w:eastAsia="Calibri" w:hAnsiTheme="minorHAnsi" w:cs="Calibri"/>
          <w:color w:val="0000FF"/>
          <w:sz w:val="14"/>
          <w:szCs w:val="14"/>
          <w:u w:val="single"/>
          <w:bdr w:val="nil"/>
          <w:lang w:val="sl-SI"/>
        </w:rPr>
      </w:pPr>
      <w:r w:rsidRPr="00BD46E1">
        <w:rPr>
          <w:rStyle w:val="FootnoteReference"/>
          <w:rFonts w:asciiTheme="minorHAnsi" w:hAnsiTheme="minorHAnsi"/>
          <w:sz w:val="14"/>
          <w:szCs w:val="14"/>
        </w:rPr>
        <w:footnoteRef/>
      </w:r>
      <w:r w:rsidRPr="004E4C36">
        <w:rPr>
          <w:rFonts w:asciiTheme="minorHAnsi" w:hAnsiTheme="minorHAnsi"/>
          <w:sz w:val="14"/>
          <w:szCs w:val="14"/>
          <w:lang w:val="sl-SI"/>
        </w:rPr>
        <w:t xml:space="preserve"> </w:t>
      </w:r>
      <w:r>
        <w:rPr>
          <w:rFonts w:asciiTheme="minorHAnsi" w:hAnsiTheme="minorHAnsi"/>
          <w:sz w:val="14"/>
          <w:szCs w:val="14"/>
          <w:lang w:val="sl-SI"/>
        </w:rPr>
        <w:tab/>
      </w:r>
      <w:r w:rsidRPr="00104AE6">
        <w:rPr>
          <w:rFonts w:asciiTheme="minorHAnsi" w:eastAsia="Calibri" w:hAnsiTheme="minorHAnsi" w:cs="Calibri"/>
          <w:color w:val="0000FF"/>
          <w:sz w:val="14"/>
          <w:szCs w:val="14"/>
          <w:u w:val="single"/>
          <w:bdr w:val="nil"/>
          <w:lang w:val="sl-SI"/>
        </w:rPr>
        <w:t>https://eur-lex.europa.eu/LexUriServ/LexUriServ.do?uri=CELEX:32000L0078:en:HTML</w:t>
      </w:r>
    </w:p>
  </w:footnote>
  <w:footnote w:id="172">
    <w:p w14:paraId="7D39B197" w14:textId="77777777" w:rsidR="00A6094F" w:rsidRPr="00104AE6" w:rsidRDefault="00A6094F" w:rsidP="00FC1B4B">
      <w:pPr>
        <w:pStyle w:val="FootnoteText"/>
        <w:ind w:left="288" w:hanging="288"/>
        <w:rPr>
          <w:rFonts w:asciiTheme="minorHAnsi" w:eastAsia="Calibri" w:hAnsiTheme="minorHAnsi" w:cs="Calibri"/>
          <w:color w:val="0000FF"/>
          <w:sz w:val="14"/>
          <w:szCs w:val="14"/>
          <w:u w:val="single"/>
          <w:bdr w:val="nil"/>
          <w:lang w:val="sl-SI"/>
        </w:rPr>
      </w:pPr>
      <w:r w:rsidRPr="00BD46E1">
        <w:rPr>
          <w:rStyle w:val="FootnoteReference"/>
          <w:rFonts w:asciiTheme="minorHAnsi" w:hAnsiTheme="minorHAnsi"/>
          <w:sz w:val="14"/>
          <w:szCs w:val="14"/>
        </w:rPr>
        <w:footnoteRef/>
      </w:r>
      <w:r w:rsidRPr="004E4C36">
        <w:rPr>
          <w:rFonts w:asciiTheme="minorHAnsi" w:hAnsiTheme="minorHAnsi"/>
          <w:sz w:val="14"/>
          <w:szCs w:val="14"/>
          <w:lang w:val="sl-SI"/>
        </w:rPr>
        <w:t xml:space="preserve"> </w:t>
      </w:r>
      <w:r>
        <w:rPr>
          <w:rFonts w:asciiTheme="minorHAnsi" w:hAnsiTheme="minorHAnsi"/>
          <w:sz w:val="14"/>
          <w:szCs w:val="14"/>
          <w:lang w:val="sl-SI"/>
        </w:rPr>
        <w:tab/>
      </w:r>
      <w:r w:rsidRPr="00104AE6">
        <w:rPr>
          <w:rFonts w:asciiTheme="minorHAnsi" w:eastAsia="Calibri" w:hAnsiTheme="minorHAnsi" w:cs="Calibri"/>
          <w:color w:val="0000FF"/>
          <w:sz w:val="14"/>
          <w:szCs w:val="14"/>
          <w:u w:val="single"/>
          <w:bdr w:val="nil"/>
          <w:lang w:val="sl-SI"/>
        </w:rPr>
        <w:t>https://ec.europa.eu/commission/priorities/deeper-and-fairer-economic-and-monetary-union/european-pillar-social-rights_en</w:t>
      </w:r>
    </w:p>
  </w:footnote>
  <w:footnote w:id="173">
    <w:p w14:paraId="7D39B198" w14:textId="77777777" w:rsidR="00A6094F" w:rsidRPr="00104AE6" w:rsidRDefault="00A6094F" w:rsidP="00FC1B4B">
      <w:pPr>
        <w:pStyle w:val="FootnoteText"/>
        <w:ind w:left="288" w:hanging="288"/>
        <w:rPr>
          <w:rFonts w:asciiTheme="minorHAnsi" w:eastAsia="Calibri" w:hAnsiTheme="minorHAnsi" w:cs="Calibri"/>
          <w:color w:val="0000FF"/>
          <w:sz w:val="14"/>
          <w:szCs w:val="14"/>
          <w:u w:val="single"/>
          <w:bdr w:val="nil"/>
          <w:lang w:val="sl-SI"/>
        </w:rPr>
      </w:pPr>
      <w:r w:rsidRPr="00BD46E1">
        <w:rPr>
          <w:rStyle w:val="FootnoteReference"/>
          <w:rFonts w:asciiTheme="minorHAnsi" w:hAnsiTheme="minorHAnsi"/>
          <w:sz w:val="14"/>
          <w:szCs w:val="14"/>
        </w:rPr>
        <w:footnoteRef/>
      </w:r>
      <w:r w:rsidRPr="004E4C36">
        <w:rPr>
          <w:rFonts w:asciiTheme="minorHAnsi" w:hAnsiTheme="minorHAnsi"/>
          <w:sz w:val="14"/>
          <w:szCs w:val="14"/>
          <w:lang w:val="sl-SI"/>
        </w:rPr>
        <w:t xml:space="preserve"> </w:t>
      </w:r>
      <w:r>
        <w:rPr>
          <w:rFonts w:asciiTheme="minorHAnsi" w:hAnsiTheme="minorHAnsi"/>
          <w:sz w:val="14"/>
          <w:szCs w:val="14"/>
          <w:lang w:val="sl-SI"/>
        </w:rPr>
        <w:tab/>
      </w:r>
      <w:r w:rsidRPr="00104AE6">
        <w:rPr>
          <w:rFonts w:asciiTheme="minorHAnsi" w:eastAsia="Calibri" w:hAnsiTheme="minorHAnsi" w:cs="Calibri"/>
          <w:color w:val="0000FF"/>
          <w:sz w:val="14"/>
          <w:szCs w:val="14"/>
          <w:u w:val="single"/>
          <w:bdr w:val="nil"/>
          <w:lang w:val="sl-SI"/>
        </w:rPr>
        <w:t>https://sustainabledevelopment.un.org/?menu=1300</w:t>
      </w:r>
    </w:p>
  </w:footnote>
  <w:footnote w:id="174">
    <w:p w14:paraId="7D39B199" w14:textId="77777777" w:rsidR="00A6094F" w:rsidRPr="00104AE6" w:rsidRDefault="00A6094F" w:rsidP="00FC1B4B">
      <w:pPr>
        <w:pStyle w:val="FootnoteText"/>
        <w:ind w:left="288" w:hanging="288"/>
        <w:rPr>
          <w:rFonts w:asciiTheme="minorHAnsi" w:eastAsia="Calibri" w:hAnsiTheme="minorHAnsi" w:cs="Calibri"/>
          <w:color w:val="0000FF"/>
          <w:sz w:val="14"/>
          <w:szCs w:val="14"/>
          <w:u w:val="single"/>
          <w:bdr w:val="nil"/>
          <w:lang w:val="sl-SI"/>
        </w:rPr>
      </w:pPr>
      <w:r w:rsidRPr="00BD46E1">
        <w:rPr>
          <w:rStyle w:val="FootnoteReference"/>
          <w:rFonts w:asciiTheme="minorHAnsi" w:hAnsiTheme="minorHAnsi"/>
          <w:sz w:val="14"/>
          <w:szCs w:val="14"/>
        </w:rPr>
        <w:footnoteRef/>
      </w:r>
      <w:r w:rsidRPr="004E4C36">
        <w:rPr>
          <w:rFonts w:asciiTheme="minorHAnsi" w:hAnsiTheme="minorHAnsi"/>
          <w:sz w:val="14"/>
          <w:szCs w:val="14"/>
          <w:lang w:val="sl-SI"/>
        </w:rPr>
        <w:t xml:space="preserve"> </w:t>
      </w:r>
      <w:r>
        <w:rPr>
          <w:rFonts w:asciiTheme="minorHAnsi" w:hAnsiTheme="minorHAnsi"/>
          <w:sz w:val="14"/>
          <w:szCs w:val="14"/>
          <w:lang w:val="sl-SI"/>
        </w:rPr>
        <w:tab/>
      </w:r>
      <w:r w:rsidRPr="00104AE6">
        <w:rPr>
          <w:rFonts w:asciiTheme="minorHAnsi" w:eastAsia="Calibri" w:hAnsiTheme="minorHAnsi" w:cs="Calibri"/>
          <w:color w:val="0000FF"/>
          <w:sz w:val="14"/>
          <w:szCs w:val="14"/>
          <w:u w:val="single"/>
          <w:bdr w:val="nil"/>
          <w:lang w:val="sl-SI"/>
        </w:rPr>
        <w:t>https://ec.europa.eu/digital-single-market/en/policies/shaping-digital-single-market</w:t>
      </w:r>
    </w:p>
  </w:footnote>
  <w:footnote w:id="175">
    <w:p w14:paraId="7D39B19A" w14:textId="77777777" w:rsidR="00A6094F" w:rsidRPr="004E4C36" w:rsidRDefault="00A6094F" w:rsidP="00FC1B4B">
      <w:pPr>
        <w:pStyle w:val="FootnoteText"/>
        <w:ind w:left="288" w:hanging="288"/>
        <w:rPr>
          <w:rFonts w:asciiTheme="minorHAnsi" w:hAnsiTheme="minorHAnsi"/>
          <w:sz w:val="14"/>
          <w:szCs w:val="14"/>
          <w:lang w:val="sl-SI"/>
        </w:rPr>
      </w:pPr>
      <w:r w:rsidRPr="00BD46E1">
        <w:rPr>
          <w:rStyle w:val="FootnoteReference"/>
          <w:rFonts w:asciiTheme="minorHAnsi" w:hAnsiTheme="minorHAnsi"/>
          <w:sz w:val="14"/>
          <w:szCs w:val="14"/>
        </w:rPr>
        <w:footnoteRef/>
      </w:r>
      <w:r w:rsidRPr="004E4C36">
        <w:rPr>
          <w:rFonts w:asciiTheme="minorHAnsi" w:hAnsiTheme="minorHAnsi"/>
          <w:sz w:val="14"/>
          <w:szCs w:val="14"/>
          <w:lang w:val="sl-SI"/>
        </w:rPr>
        <w:t xml:space="preserve"> </w:t>
      </w:r>
      <w:r>
        <w:rPr>
          <w:rFonts w:asciiTheme="minorHAnsi" w:hAnsiTheme="minorHAnsi"/>
          <w:sz w:val="14"/>
          <w:szCs w:val="14"/>
          <w:lang w:val="sl-SI"/>
        </w:rPr>
        <w:tab/>
      </w:r>
      <w:r w:rsidRPr="00104AE6">
        <w:rPr>
          <w:rFonts w:asciiTheme="minorHAnsi" w:eastAsia="Calibri" w:hAnsiTheme="minorHAnsi" w:cs="Calibri"/>
          <w:color w:val="0000FF"/>
          <w:sz w:val="14"/>
          <w:szCs w:val="14"/>
          <w:u w:val="single"/>
          <w:bdr w:val="nil"/>
          <w:lang w:val="sl-SI"/>
        </w:rPr>
        <w:t>https://ec.europa.eu/digital-single-market/en/policies/digital-inclusion-and-web-accessibility</w:t>
      </w:r>
    </w:p>
  </w:footnote>
  <w:footnote w:id="176">
    <w:p w14:paraId="7D39B19B" w14:textId="77777777" w:rsidR="00A6094F" w:rsidRPr="00104AE6" w:rsidRDefault="00A6094F" w:rsidP="00FC1B4B">
      <w:pPr>
        <w:pStyle w:val="FootnoteText"/>
        <w:ind w:left="288" w:hanging="288"/>
        <w:rPr>
          <w:rFonts w:asciiTheme="minorHAnsi" w:eastAsia="Calibri" w:hAnsiTheme="minorHAnsi" w:cs="Calibri"/>
          <w:color w:val="0000FF"/>
          <w:sz w:val="14"/>
          <w:szCs w:val="14"/>
          <w:u w:val="single"/>
          <w:bdr w:val="nil"/>
          <w:lang w:val="sl-SI"/>
        </w:rPr>
      </w:pPr>
      <w:r w:rsidRPr="00BD46E1">
        <w:rPr>
          <w:rStyle w:val="FootnoteReference"/>
          <w:rFonts w:asciiTheme="minorHAnsi" w:hAnsiTheme="minorHAnsi"/>
          <w:sz w:val="14"/>
          <w:szCs w:val="14"/>
        </w:rPr>
        <w:footnoteRef/>
      </w:r>
      <w:r w:rsidRPr="004E4C36">
        <w:rPr>
          <w:rFonts w:asciiTheme="minorHAnsi" w:hAnsiTheme="minorHAnsi"/>
          <w:sz w:val="14"/>
          <w:szCs w:val="14"/>
          <w:lang w:val="sl-SI"/>
        </w:rPr>
        <w:t xml:space="preserve"> </w:t>
      </w:r>
      <w:r>
        <w:rPr>
          <w:rFonts w:asciiTheme="minorHAnsi" w:hAnsiTheme="minorHAnsi"/>
          <w:sz w:val="14"/>
          <w:szCs w:val="14"/>
          <w:lang w:val="sl-SI"/>
        </w:rPr>
        <w:tab/>
      </w:r>
      <w:r w:rsidRPr="00104AE6">
        <w:rPr>
          <w:rFonts w:asciiTheme="minorHAnsi" w:eastAsia="Calibri" w:hAnsiTheme="minorHAnsi" w:cs="Calibri"/>
          <w:color w:val="0000FF"/>
          <w:sz w:val="14"/>
          <w:szCs w:val="14"/>
          <w:u w:val="single"/>
          <w:bdr w:val="nil"/>
          <w:lang w:val="sl-SI"/>
        </w:rPr>
        <w:t>https://ec.europa.eu/growth/content/social-enterprises-and-social-economy-going-forward-0_en</w:t>
      </w:r>
    </w:p>
  </w:footnote>
  <w:footnote w:id="177">
    <w:p w14:paraId="7D39B19C" w14:textId="77777777" w:rsidR="00A6094F" w:rsidRPr="00104AE6" w:rsidRDefault="00A6094F" w:rsidP="00FC1B4B">
      <w:pPr>
        <w:pStyle w:val="FootnoteText"/>
        <w:ind w:left="288" w:hanging="288"/>
        <w:rPr>
          <w:rFonts w:asciiTheme="minorHAnsi" w:eastAsia="Calibri" w:hAnsiTheme="minorHAnsi" w:cs="Calibri"/>
          <w:color w:val="0000FF"/>
          <w:sz w:val="14"/>
          <w:szCs w:val="14"/>
          <w:u w:val="single"/>
          <w:bdr w:val="nil"/>
          <w:lang w:val="sl-SI"/>
        </w:rPr>
      </w:pPr>
      <w:r w:rsidRPr="00BD46E1">
        <w:rPr>
          <w:rStyle w:val="FootnoteReference"/>
          <w:rFonts w:asciiTheme="minorHAnsi" w:hAnsiTheme="minorHAnsi"/>
          <w:sz w:val="14"/>
          <w:szCs w:val="14"/>
        </w:rPr>
        <w:footnoteRef/>
      </w:r>
      <w:r w:rsidRPr="004E4C36">
        <w:rPr>
          <w:rFonts w:asciiTheme="minorHAnsi" w:hAnsiTheme="minorHAnsi"/>
          <w:sz w:val="14"/>
          <w:szCs w:val="14"/>
          <w:lang w:val="sl-SI"/>
        </w:rPr>
        <w:t xml:space="preserve"> </w:t>
      </w:r>
      <w:r>
        <w:rPr>
          <w:rFonts w:asciiTheme="minorHAnsi" w:hAnsiTheme="minorHAnsi"/>
          <w:sz w:val="14"/>
          <w:szCs w:val="14"/>
          <w:lang w:val="sl-SI"/>
        </w:rPr>
        <w:tab/>
      </w:r>
      <w:r w:rsidRPr="00104AE6">
        <w:rPr>
          <w:rFonts w:asciiTheme="minorHAnsi" w:eastAsia="Calibri" w:hAnsiTheme="minorHAnsi" w:cs="Calibri"/>
          <w:color w:val="0000FF"/>
          <w:sz w:val="14"/>
          <w:szCs w:val="14"/>
          <w:u w:val="single"/>
          <w:bdr w:val="nil"/>
          <w:lang w:val="sl-SI"/>
        </w:rPr>
        <w:t>https://www.oecd.org/cfe/leed/Policy-brief-entrepreneurship-people-disabilities.pdf</w:t>
      </w:r>
    </w:p>
  </w:footnote>
  <w:footnote w:id="178">
    <w:p w14:paraId="7D39B19D" w14:textId="77777777" w:rsidR="00A6094F" w:rsidRPr="00104AE6" w:rsidRDefault="00A6094F" w:rsidP="00FC1B4B">
      <w:pPr>
        <w:pStyle w:val="FootnoteText"/>
        <w:ind w:left="288" w:hanging="288"/>
        <w:rPr>
          <w:rFonts w:asciiTheme="minorHAnsi" w:eastAsia="Calibri" w:hAnsiTheme="minorHAnsi" w:cs="Calibri"/>
          <w:color w:val="0000FF"/>
          <w:sz w:val="14"/>
          <w:szCs w:val="14"/>
          <w:u w:val="single"/>
          <w:bdr w:val="nil"/>
          <w:lang w:val="sl-SI"/>
        </w:rPr>
      </w:pPr>
      <w:r w:rsidRPr="00BD46E1">
        <w:rPr>
          <w:rStyle w:val="FootnoteReference"/>
          <w:rFonts w:asciiTheme="minorHAnsi" w:hAnsiTheme="minorHAnsi"/>
          <w:sz w:val="14"/>
          <w:szCs w:val="14"/>
        </w:rPr>
        <w:footnoteRef/>
      </w:r>
      <w:r w:rsidRPr="004E4C36">
        <w:rPr>
          <w:rFonts w:asciiTheme="minorHAnsi" w:hAnsiTheme="minorHAnsi"/>
          <w:sz w:val="14"/>
          <w:szCs w:val="14"/>
          <w:lang w:val="sl-SI"/>
        </w:rPr>
        <w:t xml:space="preserve"> </w:t>
      </w:r>
      <w:r>
        <w:rPr>
          <w:rFonts w:asciiTheme="minorHAnsi" w:hAnsiTheme="minorHAnsi"/>
          <w:sz w:val="14"/>
          <w:szCs w:val="14"/>
          <w:lang w:val="sl-SI"/>
        </w:rPr>
        <w:tab/>
      </w:r>
      <w:r w:rsidRPr="00104AE6">
        <w:rPr>
          <w:rFonts w:asciiTheme="minorHAnsi" w:eastAsia="Calibri" w:hAnsiTheme="minorHAnsi" w:cs="Calibri"/>
          <w:color w:val="0000FF"/>
          <w:sz w:val="14"/>
          <w:szCs w:val="14"/>
          <w:u w:val="single"/>
          <w:bdr w:val="nil"/>
          <w:lang w:val="sl-SI"/>
        </w:rPr>
        <w:t>http://www.europarl.europa.eu/EPRS/EPRS-Briefing-559513-Assistive-technologies-support-people-with-disabilities-FINAL.pdf</w:t>
      </w:r>
    </w:p>
  </w:footnote>
  <w:footnote w:id="179">
    <w:p w14:paraId="7D39B19E" w14:textId="77777777" w:rsidR="00A6094F" w:rsidRPr="00BD46E1" w:rsidRDefault="00A6094F" w:rsidP="00FC1B4B">
      <w:pPr>
        <w:pStyle w:val="FootnoteText"/>
        <w:ind w:left="288" w:hanging="288"/>
        <w:rPr>
          <w:rFonts w:asciiTheme="minorHAnsi" w:hAnsiTheme="minorHAnsi" w:cstheme="minorHAnsi"/>
          <w:sz w:val="14"/>
          <w:szCs w:val="14"/>
          <w:lang w:val="en-GB"/>
        </w:rPr>
      </w:pPr>
      <w:r w:rsidRPr="00BD46E1">
        <w:rPr>
          <w:rStyle w:val="FootnoteReference"/>
          <w:rFonts w:asciiTheme="minorHAnsi" w:hAnsiTheme="minorHAnsi" w:cstheme="minorHAnsi"/>
          <w:sz w:val="14"/>
          <w:szCs w:val="14"/>
        </w:rPr>
        <w:footnoteRef/>
      </w:r>
      <w:r w:rsidRPr="00BD46E1">
        <w:rPr>
          <w:rFonts w:asciiTheme="minorHAnsi" w:hAnsiTheme="minorHAnsi" w:cstheme="minorHAnsi"/>
          <w:sz w:val="14"/>
          <w:szCs w:val="14"/>
          <w:lang w:val="en-GB"/>
        </w:rPr>
        <w:t xml:space="preserve"> </w:t>
      </w:r>
      <w:r w:rsidRPr="00BD46E1">
        <w:rPr>
          <w:rFonts w:asciiTheme="minorHAnsi" w:hAnsiTheme="minorHAnsi" w:cstheme="minorHAnsi"/>
          <w:sz w:val="14"/>
          <w:szCs w:val="14"/>
          <w:lang w:val="en-GB"/>
        </w:rPr>
        <w:tab/>
      </w:r>
      <w:hyperlink r:id="rId66" w:history="1">
        <w:r w:rsidRPr="00BD46E1">
          <w:rPr>
            <w:rStyle w:val="Hyperlink"/>
            <w:rFonts w:asciiTheme="minorHAnsi" w:hAnsiTheme="minorHAnsi" w:cstheme="minorHAnsi"/>
            <w:sz w:val="14"/>
            <w:szCs w:val="14"/>
            <w:lang w:val="en-GB"/>
          </w:rPr>
          <w:t>https://www.interreg-central.eu/Content.Node/INNO-WISEs.html</w:t>
        </w:r>
      </w:hyperlink>
      <w:r w:rsidRPr="00BD46E1">
        <w:rPr>
          <w:rFonts w:asciiTheme="minorHAnsi" w:hAnsiTheme="minorHAnsi" w:cstheme="minorHAnsi"/>
          <w:sz w:val="14"/>
          <w:szCs w:val="14"/>
          <w:lang w:val="en-GB"/>
        </w:rPr>
        <w:t xml:space="preserve">; </w:t>
      </w:r>
      <w:hyperlink r:id="rId67" w:history="1">
        <w:r w:rsidRPr="00BD46E1">
          <w:rPr>
            <w:rStyle w:val="Hyperlink"/>
            <w:rFonts w:asciiTheme="minorHAnsi" w:hAnsiTheme="minorHAnsi" w:cstheme="minorHAnsi"/>
            <w:sz w:val="14"/>
            <w:szCs w:val="14"/>
            <w:lang w:val="en-GB"/>
          </w:rPr>
          <w:t>https://www.eucie.org/about-us/our-projects/</w:t>
        </w:r>
      </w:hyperlink>
      <w:r w:rsidRPr="00BD46E1">
        <w:rPr>
          <w:rFonts w:asciiTheme="minorHAnsi" w:hAnsiTheme="minorHAnsi" w:cstheme="minorHAnsi"/>
          <w:sz w:val="14"/>
          <w:szCs w:val="14"/>
          <w:lang w:val="en-GB"/>
        </w:rPr>
        <w:t xml:space="preserve">; and </w:t>
      </w:r>
      <w:hyperlink r:id="rId68" w:history="1">
        <w:r w:rsidRPr="00BD46E1">
          <w:rPr>
            <w:rStyle w:val="Hyperlink"/>
            <w:rFonts w:asciiTheme="minorHAnsi" w:hAnsiTheme="minorHAnsi" w:cstheme="minorHAnsi"/>
            <w:sz w:val="14"/>
            <w:szCs w:val="14"/>
            <w:lang w:val="en-GB"/>
          </w:rPr>
          <w:t>https://zeroproject.org/</w:t>
        </w:r>
      </w:hyperlink>
      <w:r w:rsidRPr="00BD46E1">
        <w:rPr>
          <w:rFonts w:asciiTheme="minorHAnsi" w:hAnsiTheme="minorHAnsi" w:cstheme="minorHAnsi"/>
          <w:sz w:val="14"/>
          <w:szCs w:val="14"/>
          <w:lang w:val="en-GB"/>
        </w:rPr>
        <w:t xml:space="preserve"> </w:t>
      </w:r>
    </w:p>
  </w:footnote>
  <w:footnote w:id="180">
    <w:p w14:paraId="7D39B19F" w14:textId="77777777" w:rsidR="00A6094F" w:rsidRPr="00104AE6" w:rsidRDefault="00A6094F" w:rsidP="00104AE6">
      <w:pPr>
        <w:pStyle w:val="FootnoteText"/>
        <w:ind w:left="288" w:hanging="288"/>
        <w:rPr>
          <w:rFonts w:asciiTheme="minorHAnsi" w:eastAsia="Calibri" w:hAnsiTheme="minorHAnsi" w:cs="Calibri"/>
          <w:color w:val="0000FF"/>
          <w:sz w:val="14"/>
          <w:szCs w:val="14"/>
          <w:u w:val="single"/>
          <w:bdr w:val="nil"/>
          <w:lang w:val="sl-SI"/>
        </w:rPr>
      </w:pPr>
      <w:r w:rsidRPr="00BD46E1">
        <w:rPr>
          <w:rStyle w:val="FootnoteReference"/>
          <w:rFonts w:asciiTheme="minorHAnsi" w:hAnsiTheme="minorHAnsi"/>
          <w:sz w:val="14"/>
          <w:szCs w:val="14"/>
        </w:rPr>
        <w:footnoteRef/>
      </w:r>
      <w:r w:rsidRPr="00BD46E1">
        <w:rPr>
          <w:rFonts w:asciiTheme="minorHAnsi" w:hAnsiTheme="minorHAnsi"/>
          <w:sz w:val="14"/>
          <w:szCs w:val="14"/>
          <w:lang w:val="en-GB"/>
        </w:rPr>
        <w:t xml:space="preserve"> </w:t>
      </w:r>
      <w:r>
        <w:rPr>
          <w:rFonts w:asciiTheme="minorHAnsi" w:hAnsiTheme="minorHAnsi"/>
          <w:sz w:val="14"/>
          <w:szCs w:val="14"/>
          <w:lang w:val="en-GB"/>
        </w:rPr>
        <w:tab/>
      </w:r>
      <w:r w:rsidRPr="00104AE6">
        <w:rPr>
          <w:rFonts w:asciiTheme="minorHAnsi" w:eastAsia="Calibri" w:hAnsiTheme="minorHAnsi" w:cs="Calibri"/>
          <w:color w:val="0000FF"/>
          <w:sz w:val="14"/>
          <w:szCs w:val="14"/>
          <w:u w:val="single"/>
          <w:bdr w:val="nil"/>
          <w:lang w:val="sl-SI"/>
        </w:rPr>
        <w:t>https://ec.europa.eu/social/main.jsp?catId=1202</w:t>
      </w:r>
    </w:p>
  </w:footnote>
  <w:footnote w:id="181">
    <w:p w14:paraId="7D39B1A0" w14:textId="77777777" w:rsidR="00A6094F" w:rsidRPr="004E4C36" w:rsidRDefault="00A6094F" w:rsidP="00C472B1">
      <w:pPr>
        <w:pStyle w:val="FootnoteText"/>
        <w:ind w:left="288" w:hanging="288"/>
        <w:rPr>
          <w:lang w:val="sl-SI"/>
        </w:rPr>
      </w:pPr>
      <w:r w:rsidRPr="00BD46E1">
        <w:rPr>
          <w:rStyle w:val="FootnoteReference"/>
          <w:rFonts w:asciiTheme="minorHAnsi" w:hAnsiTheme="minorHAnsi"/>
          <w:sz w:val="14"/>
          <w:szCs w:val="14"/>
        </w:rPr>
        <w:footnoteRef/>
      </w:r>
      <w:r w:rsidRPr="00C1426B">
        <w:rPr>
          <w:rFonts w:ascii="Cambria" w:hAnsi="Cambria"/>
          <w:lang w:val="sl-SI"/>
        </w:rPr>
        <w:t xml:space="preserve"> </w:t>
      </w:r>
      <w:r w:rsidRPr="00C1426B">
        <w:rPr>
          <w:rFonts w:ascii="Cambria" w:hAnsi="Cambria"/>
          <w:lang w:val="sl-SI"/>
        </w:rPr>
        <w:tab/>
      </w:r>
      <w:r w:rsidRPr="00C472B1">
        <w:rPr>
          <w:rStyle w:val="Hyperlink"/>
          <w:rFonts w:asciiTheme="minorHAnsi" w:hAnsiTheme="minorHAnsi"/>
          <w:sz w:val="14"/>
          <w:szCs w:val="14"/>
          <w:lang w:val="sl-SI"/>
        </w:rPr>
        <w:t>https://standards.cen.eu/dyn/www/f?p=204:110:0::::FSP_PROJECT,FSP_ORG_ID:41798,1218399&amp;cs=17B0E0F8CABCDBDDB8066A46FA937510B</w:t>
      </w:r>
    </w:p>
  </w:footnote>
  <w:footnote w:id="182">
    <w:p w14:paraId="7D39B1A1" w14:textId="77777777" w:rsidR="00A6094F" w:rsidRPr="004E4C36" w:rsidRDefault="00A6094F" w:rsidP="00EA1A28">
      <w:pPr>
        <w:pStyle w:val="FootnoteText"/>
        <w:ind w:left="284" w:hanging="284"/>
        <w:rPr>
          <w:rFonts w:asciiTheme="minorHAnsi" w:hAnsiTheme="minorHAnsi" w:cstheme="minorHAnsi"/>
          <w:sz w:val="14"/>
          <w:szCs w:val="14"/>
          <w:lang w:val="sl-SI"/>
        </w:rPr>
      </w:pPr>
      <w:r w:rsidRPr="00BD46E1">
        <w:rPr>
          <w:rStyle w:val="FootnoteReference"/>
          <w:rFonts w:asciiTheme="minorHAnsi" w:hAnsiTheme="minorHAnsi" w:cstheme="minorHAnsi"/>
          <w:sz w:val="14"/>
          <w:szCs w:val="14"/>
        </w:rPr>
        <w:footnoteRef/>
      </w:r>
      <w:r w:rsidRPr="004E4C36">
        <w:rPr>
          <w:rFonts w:asciiTheme="minorHAnsi" w:hAnsiTheme="minorHAnsi" w:cstheme="minorHAnsi"/>
          <w:sz w:val="14"/>
          <w:szCs w:val="14"/>
          <w:lang w:val="sl-SI"/>
        </w:rPr>
        <w:t xml:space="preserve"> </w:t>
      </w:r>
      <w:r w:rsidRPr="004E4C36">
        <w:rPr>
          <w:rFonts w:asciiTheme="minorHAnsi" w:hAnsiTheme="minorHAnsi" w:cstheme="minorHAnsi"/>
          <w:sz w:val="14"/>
          <w:szCs w:val="14"/>
          <w:lang w:val="sl-SI"/>
        </w:rPr>
        <w:tab/>
      </w:r>
      <w:hyperlink r:id="rId69" w:history="1">
        <w:r w:rsidRPr="004E4C36">
          <w:rPr>
            <w:rStyle w:val="Hyperlink"/>
            <w:rFonts w:asciiTheme="minorHAnsi" w:hAnsiTheme="minorHAnsi" w:cstheme="minorHAnsi"/>
            <w:sz w:val="14"/>
            <w:szCs w:val="14"/>
            <w:lang w:val="sl-SI"/>
          </w:rPr>
          <w:t>http://www.ecompetences.eu/cen-tc-428/</w:t>
        </w:r>
      </w:hyperlink>
    </w:p>
  </w:footnote>
  <w:footnote w:id="183">
    <w:p w14:paraId="7D39B1A2" w14:textId="77777777" w:rsidR="00A6094F" w:rsidRPr="004E4C36" w:rsidRDefault="00A6094F" w:rsidP="00EA1A28">
      <w:pPr>
        <w:pStyle w:val="FootnoteText"/>
        <w:ind w:left="284" w:hanging="284"/>
        <w:rPr>
          <w:rFonts w:asciiTheme="minorHAnsi" w:hAnsiTheme="minorHAnsi" w:cstheme="minorHAnsi"/>
          <w:sz w:val="14"/>
          <w:szCs w:val="14"/>
          <w:lang w:val="sl-SI"/>
        </w:rPr>
      </w:pPr>
      <w:r w:rsidRPr="00BD46E1">
        <w:rPr>
          <w:rStyle w:val="FootnoteReference"/>
          <w:rFonts w:asciiTheme="minorHAnsi" w:hAnsiTheme="minorHAnsi" w:cstheme="minorHAnsi"/>
          <w:sz w:val="14"/>
          <w:szCs w:val="14"/>
        </w:rPr>
        <w:footnoteRef/>
      </w:r>
      <w:r w:rsidRPr="004E4C36">
        <w:rPr>
          <w:rFonts w:asciiTheme="minorHAnsi" w:hAnsiTheme="minorHAnsi" w:cstheme="minorHAnsi"/>
          <w:sz w:val="14"/>
          <w:szCs w:val="14"/>
          <w:lang w:val="sl-SI"/>
        </w:rPr>
        <w:t xml:space="preserve"> </w:t>
      </w:r>
      <w:r w:rsidRPr="004E4C36">
        <w:rPr>
          <w:rFonts w:asciiTheme="minorHAnsi" w:hAnsiTheme="minorHAnsi" w:cstheme="minorHAnsi"/>
          <w:sz w:val="14"/>
          <w:szCs w:val="14"/>
          <w:lang w:val="sl-SI"/>
        </w:rPr>
        <w:tab/>
      </w:r>
      <w:hyperlink r:id="rId70" w:history="1">
        <w:r w:rsidRPr="00F33543">
          <w:rPr>
            <w:rStyle w:val="Hyperlink"/>
            <w:rFonts w:asciiTheme="minorHAnsi" w:hAnsiTheme="minorHAnsi" w:cstheme="minorHAnsi"/>
            <w:sz w:val="14"/>
            <w:szCs w:val="14"/>
            <w:lang w:val="sl-SI"/>
          </w:rPr>
          <w:t>https://ec.europa.eu/digital-single-market/en/desi</w:t>
        </w:r>
      </w:hyperlink>
      <w:r w:rsidRPr="004E4C36">
        <w:rPr>
          <w:rFonts w:asciiTheme="minorHAnsi" w:hAnsiTheme="minorHAnsi" w:cstheme="minorHAnsi"/>
          <w:sz w:val="14"/>
          <w:szCs w:val="14"/>
          <w:lang w:val="sl-SI"/>
        </w:rPr>
        <w:tab/>
      </w:r>
    </w:p>
  </w:footnote>
  <w:footnote w:id="184">
    <w:p w14:paraId="7D39B1A3" w14:textId="77777777" w:rsidR="00A6094F" w:rsidRPr="00BD46E1" w:rsidRDefault="00A6094F" w:rsidP="00EA1A28">
      <w:pPr>
        <w:pStyle w:val="FootnoteText"/>
        <w:ind w:left="284" w:hanging="284"/>
        <w:rPr>
          <w:rFonts w:asciiTheme="minorHAnsi" w:hAnsiTheme="minorHAnsi" w:cstheme="minorHAnsi"/>
          <w:sz w:val="14"/>
          <w:szCs w:val="14"/>
          <w:lang w:val="en-GB"/>
        </w:rPr>
      </w:pPr>
      <w:r w:rsidRPr="00BD46E1">
        <w:rPr>
          <w:rStyle w:val="FootnoteReference"/>
          <w:rFonts w:asciiTheme="minorHAnsi" w:hAnsiTheme="minorHAnsi" w:cstheme="minorHAnsi"/>
          <w:sz w:val="14"/>
          <w:szCs w:val="14"/>
        </w:rPr>
        <w:footnoteRef/>
      </w:r>
      <w:r w:rsidRPr="00BD46E1">
        <w:rPr>
          <w:rFonts w:asciiTheme="minorHAnsi" w:hAnsiTheme="minorHAnsi" w:cstheme="minorHAnsi"/>
          <w:sz w:val="14"/>
          <w:szCs w:val="14"/>
          <w:lang w:val="en-GB"/>
        </w:rPr>
        <w:t xml:space="preserve"> </w:t>
      </w:r>
      <w:r w:rsidRPr="00BD46E1">
        <w:rPr>
          <w:rFonts w:asciiTheme="minorHAnsi" w:hAnsiTheme="minorHAnsi" w:cstheme="minorHAnsi"/>
          <w:sz w:val="14"/>
          <w:szCs w:val="14"/>
          <w:lang w:val="en-GB"/>
        </w:rPr>
        <w:tab/>
        <w:t>swd(2012) 271 (</w:t>
      </w:r>
      <w:hyperlink r:id="rId71" w:history="1">
        <w:r w:rsidRPr="00F33543">
          <w:rPr>
            <w:rStyle w:val="Hyperlink"/>
            <w:rFonts w:asciiTheme="minorHAnsi" w:hAnsiTheme="minorHAnsi" w:cstheme="minorHAnsi"/>
            <w:sz w:val="14"/>
            <w:szCs w:val="14"/>
            <w:lang w:val="sl-SI"/>
          </w:rPr>
          <w:t>https://eur-lex.europa.eu/lexuriserv/lexuriserv.do?uri=com:2012:0529:fin:en:pdf</w:t>
        </w:r>
      </w:hyperlink>
      <w:r w:rsidRPr="00104AE6">
        <w:rPr>
          <w:rFonts w:asciiTheme="minorHAnsi" w:hAnsiTheme="minorHAnsi" w:cstheme="minorHAnsi"/>
          <w:sz w:val="14"/>
          <w:szCs w:val="14"/>
          <w:lang w:val="en-GB"/>
        </w:rPr>
        <w:t>)</w:t>
      </w:r>
    </w:p>
  </w:footnote>
  <w:footnote w:id="185">
    <w:p w14:paraId="7D39B1A4" w14:textId="77777777" w:rsidR="00A6094F" w:rsidRPr="004E4C36" w:rsidRDefault="00A6094F" w:rsidP="00EA1A28">
      <w:pPr>
        <w:pStyle w:val="FootnoteText"/>
        <w:ind w:left="284" w:hanging="284"/>
        <w:rPr>
          <w:rFonts w:asciiTheme="minorHAnsi" w:hAnsiTheme="minorHAnsi" w:cstheme="minorHAnsi"/>
          <w:sz w:val="14"/>
          <w:szCs w:val="14"/>
          <w:lang w:val="pt-PT"/>
        </w:rPr>
      </w:pPr>
      <w:r w:rsidRPr="00BD46E1">
        <w:rPr>
          <w:rStyle w:val="FootnoteReference"/>
          <w:rFonts w:asciiTheme="minorHAnsi" w:hAnsiTheme="minorHAnsi" w:cstheme="minorHAnsi"/>
          <w:sz w:val="14"/>
          <w:szCs w:val="14"/>
        </w:rPr>
        <w:footnoteRef/>
      </w:r>
      <w:r w:rsidRPr="004E4C36">
        <w:rPr>
          <w:rFonts w:asciiTheme="minorHAnsi" w:hAnsiTheme="minorHAnsi" w:cstheme="minorHAnsi"/>
          <w:sz w:val="14"/>
          <w:szCs w:val="14"/>
          <w:lang w:val="pt-PT"/>
        </w:rPr>
        <w:t xml:space="preserve"> </w:t>
      </w:r>
      <w:r w:rsidRPr="004E4C36">
        <w:rPr>
          <w:rFonts w:asciiTheme="minorHAnsi" w:hAnsiTheme="minorHAnsi" w:cstheme="minorHAnsi"/>
          <w:sz w:val="14"/>
          <w:szCs w:val="14"/>
          <w:lang w:val="pt-PT"/>
        </w:rPr>
        <w:tab/>
        <w:t>com (2015) 192 (</w:t>
      </w:r>
      <w:hyperlink r:id="rId72" w:history="1">
        <w:r w:rsidRPr="006370BB">
          <w:rPr>
            <w:rFonts w:eastAsia="Calibri" w:cs="Calibri"/>
            <w:color w:val="0000FF"/>
            <w:sz w:val="14"/>
            <w:szCs w:val="14"/>
            <w:u w:val="single"/>
            <w:bdr w:val="nil"/>
            <w:lang w:val="sl-SI"/>
          </w:rPr>
          <w:t>https://eur-lex.europa.eu/legal-content/en/txt/?uri=celex%3a52015dc0192</w:t>
        </w:r>
      </w:hyperlink>
      <w:r w:rsidRPr="00F33543">
        <w:rPr>
          <w:rFonts w:eastAsia="Calibri" w:cs="Calibri"/>
          <w:sz w:val="14"/>
          <w:szCs w:val="14"/>
          <w:bdr w:val="nil"/>
          <w:lang w:val="sl-SI"/>
        </w:rPr>
        <w:t>)</w:t>
      </w:r>
    </w:p>
  </w:footnote>
  <w:footnote w:id="186">
    <w:p w14:paraId="7D39B1A5" w14:textId="77777777" w:rsidR="00A6094F" w:rsidRPr="00104AE6" w:rsidRDefault="00A6094F" w:rsidP="00EA1A28">
      <w:pPr>
        <w:pStyle w:val="FootnoteText"/>
        <w:ind w:left="284" w:hanging="284"/>
        <w:rPr>
          <w:rFonts w:asciiTheme="minorHAnsi" w:eastAsia="Calibri" w:hAnsiTheme="minorHAnsi" w:cs="Calibri"/>
          <w:color w:val="0000FF"/>
          <w:sz w:val="14"/>
          <w:szCs w:val="14"/>
          <w:u w:val="single"/>
          <w:bdr w:val="nil"/>
          <w:lang w:val="sl-SI"/>
        </w:rPr>
      </w:pPr>
      <w:r w:rsidRPr="00BD46E1">
        <w:rPr>
          <w:rStyle w:val="FootnoteReference"/>
          <w:rFonts w:asciiTheme="minorHAnsi" w:hAnsiTheme="minorHAnsi" w:cstheme="minorHAnsi"/>
          <w:sz w:val="14"/>
          <w:szCs w:val="14"/>
        </w:rPr>
        <w:footnoteRef/>
      </w:r>
      <w:r w:rsidRPr="004E4C36">
        <w:rPr>
          <w:rFonts w:asciiTheme="minorHAnsi" w:hAnsiTheme="minorHAnsi" w:cstheme="minorHAnsi"/>
          <w:sz w:val="14"/>
          <w:szCs w:val="14"/>
          <w:lang w:val="pt-PT"/>
        </w:rPr>
        <w:t xml:space="preserve"> </w:t>
      </w:r>
      <w:r w:rsidRPr="004E4C36">
        <w:rPr>
          <w:rFonts w:asciiTheme="minorHAnsi" w:hAnsiTheme="minorHAnsi" w:cstheme="minorHAnsi"/>
          <w:sz w:val="14"/>
          <w:szCs w:val="14"/>
          <w:lang w:val="pt-PT"/>
        </w:rPr>
        <w:tab/>
      </w:r>
      <w:hyperlink r:id="rId73" w:history="1">
        <w:r w:rsidRPr="006370BB">
          <w:rPr>
            <w:rFonts w:eastAsia="Calibri" w:cs="Calibri"/>
            <w:color w:val="0000FF"/>
            <w:sz w:val="14"/>
            <w:szCs w:val="14"/>
            <w:u w:val="single"/>
            <w:bdr w:val="nil"/>
            <w:lang w:val="sl-SI"/>
          </w:rPr>
          <w:t>https://ec.europa.eu/digital-single-market/en/digital-skills-jobs-coalition</w:t>
        </w:r>
      </w:hyperlink>
    </w:p>
  </w:footnote>
  <w:footnote w:id="187">
    <w:p w14:paraId="7D39B1A6" w14:textId="77777777" w:rsidR="00A6094F" w:rsidRPr="00C1426B" w:rsidRDefault="00A6094F" w:rsidP="007D0CD9">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C1426B">
        <w:rPr>
          <w:rFonts w:asciiTheme="minorHAnsi" w:hAnsiTheme="minorHAnsi"/>
          <w:szCs w:val="14"/>
          <w:lang w:val="sl-SI"/>
        </w:rPr>
        <w:tab/>
      </w:r>
      <w:hyperlink r:id="rId74">
        <w:r w:rsidRPr="00C1426B">
          <w:rPr>
            <w:rStyle w:val="Hyperlink"/>
            <w:rFonts w:asciiTheme="minorHAnsi" w:hAnsiTheme="minorHAnsi"/>
            <w:szCs w:val="14"/>
            <w:lang w:val="sl-SI"/>
          </w:rPr>
          <w:t>http://eur-lex.europa.eu/legal-content/SL/ALL/?uri=CELEX%3A32008H0506(01)</w:t>
        </w:r>
      </w:hyperlink>
    </w:p>
  </w:footnote>
  <w:footnote w:id="188">
    <w:p w14:paraId="7D39B1A7" w14:textId="77777777" w:rsidR="00A6094F" w:rsidRPr="00C1426B" w:rsidRDefault="00A6094F" w:rsidP="007D0CD9">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C1426B">
        <w:rPr>
          <w:rFonts w:asciiTheme="minorHAnsi" w:hAnsiTheme="minorHAnsi"/>
          <w:szCs w:val="14"/>
          <w:lang w:val="sl-SI"/>
        </w:rPr>
        <w:tab/>
      </w:r>
      <w:hyperlink r:id="rId75">
        <w:r w:rsidRPr="00C1426B">
          <w:rPr>
            <w:rStyle w:val="Hyperlink"/>
            <w:rFonts w:asciiTheme="minorHAnsi" w:hAnsiTheme="minorHAnsi"/>
            <w:szCs w:val="14"/>
            <w:lang w:val="sl-SI"/>
          </w:rPr>
          <w:t>http://eur-lex.europa.eu/legal-content/SL/TXT/?qid=1473612465372&amp;uri=CELEX:32009H0708(02)</w:t>
        </w:r>
      </w:hyperlink>
    </w:p>
  </w:footnote>
  <w:footnote w:id="189">
    <w:p w14:paraId="7D39B1A8" w14:textId="77777777" w:rsidR="00A6094F" w:rsidRPr="00C1426B" w:rsidRDefault="00A6094F" w:rsidP="007D0CD9">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C1426B">
        <w:rPr>
          <w:rFonts w:asciiTheme="minorHAnsi" w:hAnsiTheme="minorHAnsi"/>
          <w:szCs w:val="14"/>
          <w:lang w:val="sl-SI"/>
        </w:rPr>
        <w:tab/>
      </w:r>
      <w:hyperlink r:id="rId76">
        <w:r w:rsidRPr="00C1426B">
          <w:rPr>
            <w:rStyle w:val="Hyperlink"/>
            <w:rFonts w:asciiTheme="minorHAnsi" w:hAnsiTheme="minorHAnsi"/>
            <w:szCs w:val="14"/>
            <w:lang w:val="sl-SI"/>
          </w:rPr>
          <w:t>http://eur-lex.europa.eu/legal-content/SL/TXT/?qid=1473612641346&amp;uri=CELEX:32009H0708(01)</w:t>
        </w:r>
      </w:hyperlink>
    </w:p>
  </w:footnote>
  <w:footnote w:id="190">
    <w:p w14:paraId="7D39B1A9" w14:textId="77777777" w:rsidR="00A6094F" w:rsidRPr="00C1426B" w:rsidRDefault="00A6094F" w:rsidP="007D0CD9">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C1426B">
        <w:rPr>
          <w:rFonts w:asciiTheme="minorHAnsi" w:hAnsiTheme="minorHAnsi"/>
          <w:szCs w:val="14"/>
          <w:lang w:val="sl-SI"/>
        </w:rPr>
        <w:tab/>
      </w:r>
      <w:hyperlink r:id="rId77">
        <w:r w:rsidRPr="00C1426B">
          <w:rPr>
            <w:rStyle w:val="Hyperlink"/>
            <w:rFonts w:asciiTheme="minorHAnsi" w:hAnsiTheme="minorHAnsi"/>
            <w:szCs w:val="14"/>
            <w:lang w:val="sl-SI"/>
          </w:rPr>
          <w:t>http://eur-lex.europa.eu/legal-content/SL/TXT/?qid=1473612732264&amp;uri=CELEX:32004D2241</w:t>
        </w:r>
      </w:hyperlink>
    </w:p>
  </w:footnote>
  <w:footnote w:id="191">
    <w:p w14:paraId="7D39B1AA" w14:textId="77777777" w:rsidR="00A6094F" w:rsidRPr="00C1426B" w:rsidRDefault="00A6094F" w:rsidP="007D0CD9">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C1426B">
        <w:rPr>
          <w:rFonts w:asciiTheme="minorHAnsi" w:hAnsiTheme="minorHAnsi"/>
          <w:szCs w:val="14"/>
          <w:lang w:val="sl-SI"/>
        </w:rPr>
        <w:tab/>
      </w:r>
      <w:hyperlink r:id="rId78">
        <w:r w:rsidRPr="00C1426B">
          <w:rPr>
            <w:rStyle w:val="Hyperlink"/>
            <w:rFonts w:asciiTheme="minorHAnsi" w:hAnsiTheme="minorHAnsi"/>
            <w:szCs w:val="14"/>
            <w:lang w:val="sl-SI"/>
          </w:rPr>
          <w:t>https://ec.europa.eu/eures/public/sl/homepage</w:t>
        </w:r>
      </w:hyperlink>
    </w:p>
  </w:footnote>
  <w:footnote w:id="192">
    <w:p w14:paraId="7D39B1AB" w14:textId="77777777" w:rsidR="00A6094F" w:rsidRPr="00C1426B" w:rsidRDefault="00A6094F" w:rsidP="007D0CD9">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C1426B">
        <w:rPr>
          <w:rFonts w:asciiTheme="minorHAnsi" w:hAnsiTheme="minorHAnsi"/>
          <w:szCs w:val="14"/>
          <w:lang w:val="sl-SI"/>
        </w:rPr>
        <w:tab/>
      </w:r>
      <w:hyperlink r:id="rId79">
        <w:r w:rsidRPr="00C1426B">
          <w:rPr>
            <w:rStyle w:val="Hyperlink"/>
            <w:rFonts w:asciiTheme="minorHAnsi" w:hAnsiTheme="minorHAnsi"/>
            <w:szCs w:val="14"/>
            <w:lang w:val="sl-SI"/>
          </w:rPr>
          <w:t>https://ec.europa.eu/eures/public/sl/opportunities</w:t>
        </w:r>
      </w:hyperlink>
    </w:p>
  </w:footnote>
  <w:footnote w:id="193">
    <w:p w14:paraId="7D39B1AC" w14:textId="77777777" w:rsidR="00A6094F" w:rsidRPr="00C1426B" w:rsidRDefault="00A6094F" w:rsidP="007D0CD9">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C1426B">
        <w:rPr>
          <w:rFonts w:asciiTheme="minorHAnsi" w:hAnsiTheme="minorHAnsi"/>
          <w:szCs w:val="14"/>
          <w:lang w:val="sl-SI"/>
        </w:rPr>
        <w:tab/>
      </w:r>
      <w:hyperlink r:id="rId80">
        <w:r w:rsidRPr="00C1426B">
          <w:rPr>
            <w:rStyle w:val="Hyperlink"/>
            <w:rFonts w:asciiTheme="minorHAnsi" w:hAnsiTheme="minorHAnsi"/>
            <w:szCs w:val="14"/>
            <w:lang w:val="sl-SI"/>
          </w:rPr>
          <w:t>https://ec.europa.eu/esco/portal/home</w:t>
        </w:r>
      </w:hyperlink>
    </w:p>
  </w:footnote>
  <w:footnote w:id="194">
    <w:p w14:paraId="7D39B1AD" w14:textId="77777777" w:rsidR="00A6094F" w:rsidRPr="00C1426B" w:rsidRDefault="00A6094F" w:rsidP="007D0CD9">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C1426B">
        <w:rPr>
          <w:rFonts w:asciiTheme="minorHAnsi" w:hAnsiTheme="minorHAnsi"/>
          <w:szCs w:val="14"/>
          <w:lang w:val="sl-SI"/>
        </w:rPr>
        <w:tab/>
      </w:r>
      <w:hyperlink r:id="rId81">
        <w:r w:rsidRPr="00C1426B">
          <w:rPr>
            <w:rStyle w:val="Hyperlink"/>
            <w:rFonts w:asciiTheme="minorHAnsi" w:hAnsiTheme="minorHAnsi"/>
            <w:szCs w:val="14"/>
            <w:lang w:val="sl-SI"/>
          </w:rPr>
          <w:t>https://eit.europa.eu/activities/innovation-communities</w:t>
        </w:r>
      </w:hyperlink>
    </w:p>
  </w:footnote>
  <w:footnote w:id="195">
    <w:p w14:paraId="7D39B1AE" w14:textId="77777777" w:rsidR="00A6094F" w:rsidRPr="001F01BF" w:rsidRDefault="00A6094F" w:rsidP="007D0CD9">
      <w:pPr>
        <w:pStyle w:val="Guide-Footnote"/>
        <w:rPr>
          <w:rFonts w:asciiTheme="minorHAnsi" w:hAnsiTheme="minorHAnsi"/>
          <w:szCs w:val="14"/>
          <w:lang w:val="sv-SE"/>
        </w:rPr>
      </w:pPr>
      <w:r w:rsidRPr="001F01BF">
        <w:rPr>
          <w:rStyle w:val="FootnoteReference"/>
          <w:rFonts w:asciiTheme="minorHAnsi" w:hAnsiTheme="minorHAnsi"/>
          <w:szCs w:val="14"/>
        </w:rPr>
        <w:footnoteRef/>
      </w:r>
      <w:r w:rsidRPr="001F01BF">
        <w:rPr>
          <w:rFonts w:asciiTheme="minorHAnsi" w:hAnsiTheme="minorHAnsi"/>
          <w:szCs w:val="14"/>
          <w:lang w:val="sv-SE"/>
        </w:rPr>
        <w:tab/>
      </w:r>
      <w:hyperlink r:id="rId82">
        <w:r w:rsidRPr="001F01BF">
          <w:rPr>
            <w:rStyle w:val="Hyperlink"/>
            <w:rFonts w:asciiTheme="minorHAnsi" w:hAnsiTheme="minorHAnsi"/>
            <w:szCs w:val="14"/>
            <w:lang w:val="sv-SE"/>
          </w:rPr>
          <w:t>https://ec.europa.eu/programmes/erasmus-plus/opportunities-for-organisations/innovation-good-practices/sec</w:t>
        </w:r>
      </w:hyperlink>
      <w:hyperlink r:id="rId83">
        <w:r w:rsidRPr="001F01BF">
          <w:rPr>
            <w:rStyle w:val="Hyperlink"/>
            <w:rFonts w:asciiTheme="minorHAnsi" w:hAnsiTheme="minorHAnsi"/>
            <w:szCs w:val="14"/>
            <w:lang w:val="sv-SE"/>
          </w:rPr>
          <w:t xml:space="preserve"> tor-skills-alliances_sl</w:t>
        </w:r>
      </w:hyperlink>
    </w:p>
  </w:footnote>
  <w:footnote w:id="196">
    <w:p w14:paraId="7D39B1AF" w14:textId="77777777" w:rsidR="00A6094F" w:rsidRPr="00B36F01" w:rsidRDefault="00A6094F" w:rsidP="00104AE6">
      <w:pPr>
        <w:pStyle w:val="Notedebasdepage1"/>
        <w:widowControl w:val="0"/>
        <w:suppressAutoHyphens/>
        <w:autoSpaceDN w:val="0"/>
        <w:spacing w:after="0" w:line="240" w:lineRule="auto"/>
        <w:ind w:left="288" w:hanging="288"/>
        <w:textAlignment w:val="baseline"/>
        <w:rPr>
          <w:rFonts w:asciiTheme="minorHAnsi" w:eastAsia="Calibri" w:hAnsiTheme="minorHAnsi"/>
          <w:sz w:val="14"/>
          <w:szCs w:val="14"/>
          <w:bdr w:val="nil"/>
          <w:lang w:val="sl-SI"/>
        </w:rPr>
      </w:pPr>
      <w:r w:rsidRPr="00B36F01">
        <w:rPr>
          <w:rFonts w:asciiTheme="minorHAnsi" w:hAnsiTheme="minorHAnsi" w:cs="Tahoma"/>
          <w:sz w:val="14"/>
          <w:szCs w:val="14"/>
          <w:vertAlign w:val="superscript"/>
          <w:lang w:val="en-GB"/>
        </w:rPr>
        <w:footnoteRef/>
      </w:r>
      <w:r w:rsidRPr="00B36F01">
        <w:rPr>
          <w:rFonts w:asciiTheme="minorHAnsi" w:eastAsia="Calibri" w:hAnsiTheme="minorHAnsi"/>
          <w:sz w:val="14"/>
          <w:szCs w:val="14"/>
          <w:bdr w:val="nil"/>
          <w:lang w:val="sl-SI"/>
        </w:rPr>
        <w:t xml:space="preserve"> </w:t>
      </w:r>
      <w:r w:rsidRPr="00B36F01">
        <w:rPr>
          <w:rFonts w:asciiTheme="minorHAnsi" w:eastAsia="Calibri" w:hAnsiTheme="minorHAnsi"/>
          <w:sz w:val="14"/>
          <w:szCs w:val="14"/>
          <w:bdr w:val="nil"/>
          <w:lang w:val="sl-SI"/>
        </w:rPr>
        <w:tab/>
      </w:r>
      <w:hyperlink r:id="rId84" w:history="1">
        <w:r w:rsidRPr="00B36F01">
          <w:rPr>
            <w:rStyle w:val="Hyperlink"/>
            <w:rFonts w:asciiTheme="minorHAnsi" w:eastAsia="Calibri" w:hAnsiTheme="minorHAnsi"/>
            <w:sz w:val="14"/>
            <w:szCs w:val="14"/>
            <w:bdr w:val="nil"/>
            <w:lang w:val="sl-SI"/>
          </w:rPr>
          <w:t>https://ec.europa.eu/europeaid/new-european-consensus-development-our-world-our-dignity-our-future_en</w:t>
        </w:r>
      </w:hyperlink>
    </w:p>
  </w:footnote>
  <w:footnote w:id="197">
    <w:p w14:paraId="7D39B1B0" w14:textId="77777777" w:rsidR="00A6094F" w:rsidRPr="00B36F01" w:rsidRDefault="00A6094F" w:rsidP="00FC1B4B">
      <w:pPr>
        <w:pStyle w:val="FootnoteText"/>
        <w:ind w:left="288" w:hanging="288"/>
        <w:rPr>
          <w:rFonts w:asciiTheme="minorHAnsi" w:hAnsiTheme="minorHAnsi"/>
          <w:sz w:val="14"/>
          <w:szCs w:val="14"/>
          <w:lang w:val="sl-SI"/>
        </w:rPr>
      </w:pPr>
      <w:r w:rsidRPr="00B36F01">
        <w:rPr>
          <w:rStyle w:val="FootnoteReference"/>
          <w:rFonts w:asciiTheme="minorHAnsi" w:hAnsiTheme="minorHAnsi"/>
          <w:sz w:val="14"/>
          <w:szCs w:val="14"/>
        </w:rPr>
        <w:footnoteRef/>
      </w:r>
      <w:r w:rsidRPr="00B36F01">
        <w:rPr>
          <w:rFonts w:asciiTheme="minorHAnsi" w:hAnsiTheme="minorHAnsi"/>
          <w:sz w:val="14"/>
          <w:szCs w:val="14"/>
          <w:lang w:val="sl-SI"/>
        </w:rPr>
        <w:t xml:space="preserve"> </w:t>
      </w:r>
      <w:r w:rsidRPr="00B36F01">
        <w:rPr>
          <w:rFonts w:asciiTheme="minorHAnsi" w:hAnsiTheme="minorHAnsi"/>
          <w:sz w:val="14"/>
          <w:szCs w:val="14"/>
          <w:lang w:val="sl-SI"/>
        </w:rPr>
        <w:tab/>
        <w:t>„Evropsko visokošolsko izobraževanje v svetu“, sporočilo Komisije Evropskemu parlamentu, Svetu, Evropskemu ekonomsko-socialnemu odboru in Odboru regij, Bruselj, 11. julij 2013, COM(2013) 499 ﬁnal</w:t>
      </w:r>
    </w:p>
  </w:footnote>
  <w:footnote w:id="198">
    <w:p w14:paraId="7D39B1B1" w14:textId="77777777" w:rsidR="00A6094F" w:rsidRPr="00B36F01" w:rsidRDefault="00A6094F" w:rsidP="00EA1463">
      <w:pPr>
        <w:pStyle w:val="Guide-Footnote"/>
        <w:rPr>
          <w:rFonts w:asciiTheme="minorHAnsi" w:hAnsiTheme="minorHAnsi"/>
          <w:szCs w:val="14"/>
          <w:lang w:val="sl-SI"/>
        </w:rPr>
      </w:pPr>
      <w:r w:rsidRPr="00B36F01">
        <w:rPr>
          <w:rStyle w:val="FootnoteReference"/>
          <w:rFonts w:asciiTheme="minorHAnsi" w:hAnsiTheme="minorHAnsi"/>
          <w:szCs w:val="14"/>
        </w:rPr>
        <w:footnoteRef/>
      </w:r>
      <w:r w:rsidRPr="00B36F01">
        <w:rPr>
          <w:rFonts w:asciiTheme="minorHAnsi" w:hAnsiTheme="minorHAnsi"/>
          <w:szCs w:val="14"/>
          <w:lang w:val="sl-SI"/>
        </w:rPr>
        <w:tab/>
        <w:t>UREDBA</w:t>
      </w:r>
      <w:r w:rsidRPr="00B36F01">
        <w:rPr>
          <w:rFonts w:asciiTheme="minorHAnsi" w:hAnsiTheme="minorHAnsi"/>
          <w:spacing w:val="-30"/>
          <w:szCs w:val="14"/>
          <w:lang w:val="sl-SI"/>
        </w:rPr>
        <w:t xml:space="preserve"> </w:t>
      </w:r>
      <w:r w:rsidRPr="00B36F01">
        <w:rPr>
          <w:rFonts w:asciiTheme="minorHAnsi" w:hAnsiTheme="minorHAnsi"/>
          <w:szCs w:val="14"/>
          <w:lang w:val="sl-SI"/>
        </w:rPr>
        <w:t>(EU)</w:t>
      </w:r>
      <w:r w:rsidRPr="00B36F01">
        <w:rPr>
          <w:rFonts w:asciiTheme="minorHAnsi" w:hAnsiTheme="minorHAnsi"/>
          <w:spacing w:val="-31"/>
          <w:szCs w:val="14"/>
          <w:lang w:val="sl-SI"/>
        </w:rPr>
        <w:t xml:space="preserve"> </w:t>
      </w:r>
      <w:r w:rsidRPr="00B36F01">
        <w:rPr>
          <w:rFonts w:asciiTheme="minorHAnsi" w:hAnsiTheme="minorHAnsi"/>
          <w:szCs w:val="14"/>
          <w:lang w:val="sl-SI"/>
        </w:rPr>
        <w:t>št.</w:t>
      </w:r>
      <w:r w:rsidRPr="00B36F01">
        <w:rPr>
          <w:rFonts w:asciiTheme="minorHAnsi" w:hAnsiTheme="minorHAnsi"/>
          <w:spacing w:val="-30"/>
          <w:szCs w:val="14"/>
          <w:lang w:val="sl-SI"/>
        </w:rPr>
        <w:t xml:space="preserve"> </w:t>
      </w:r>
      <w:r w:rsidRPr="00B36F01">
        <w:rPr>
          <w:rFonts w:asciiTheme="minorHAnsi" w:hAnsiTheme="minorHAnsi"/>
          <w:szCs w:val="14"/>
          <w:lang w:val="sl-SI"/>
        </w:rPr>
        <w:t>232/2014</w:t>
      </w:r>
      <w:r w:rsidRPr="00B36F01">
        <w:rPr>
          <w:rFonts w:asciiTheme="minorHAnsi" w:hAnsiTheme="minorHAnsi"/>
          <w:spacing w:val="-31"/>
          <w:szCs w:val="14"/>
          <w:lang w:val="sl-SI"/>
        </w:rPr>
        <w:t xml:space="preserve"> </w:t>
      </w:r>
      <w:r w:rsidRPr="00B36F01">
        <w:rPr>
          <w:rFonts w:asciiTheme="minorHAnsi" w:hAnsiTheme="minorHAnsi"/>
          <w:szCs w:val="14"/>
          <w:lang w:val="sl-SI"/>
        </w:rPr>
        <w:t>EVROPSKEGA</w:t>
      </w:r>
      <w:r w:rsidRPr="00B36F01">
        <w:rPr>
          <w:rFonts w:asciiTheme="minorHAnsi" w:hAnsiTheme="minorHAnsi"/>
          <w:spacing w:val="-31"/>
          <w:szCs w:val="14"/>
          <w:lang w:val="sl-SI"/>
        </w:rPr>
        <w:t xml:space="preserve"> </w:t>
      </w:r>
      <w:r w:rsidRPr="00B36F01">
        <w:rPr>
          <w:rFonts w:asciiTheme="minorHAnsi" w:hAnsiTheme="minorHAnsi"/>
          <w:szCs w:val="14"/>
          <w:lang w:val="sl-SI"/>
        </w:rPr>
        <w:t>PARLAMENTA</w:t>
      </w:r>
      <w:r w:rsidRPr="00B36F01">
        <w:rPr>
          <w:rFonts w:asciiTheme="minorHAnsi" w:hAnsiTheme="minorHAnsi"/>
          <w:spacing w:val="-31"/>
          <w:szCs w:val="14"/>
          <w:lang w:val="sl-SI"/>
        </w:rPr>
        <w:t xml:space="preserve"> </w:t>
      </w:r>
      <w:r w:rsidRPr="00B36F01">
        <w:rPr>
          <w:rFonts w:asciiTheme="minorHAnsi" w:hAnsiTheme="minorHAnsi"/>
          <w:szCs w:val="14"/>
          <w:lang w:val="sl-SI"/>
        </w:rPr>
        <w:t>IN</w:t>
      </w:r>
      <w:r w:rsidRPr="00B36F01">
        <w:rPr>
          <w:rFonts w:asciiTheme="minorHAnsi" w:hAnsiTheme="minorHAnsi"/>
          <w:spacing w:val="-31"/>
          <w:szCs w:val="14"/>
          <w:lang w:val="sl-SI"/>
        </w:rPr>
        <w:t xml:space="preserve"> </w:t>
      </w:r>
      <w:r w:rsidRPr="00B36F01">
        <w:rPr>
          <w:rFonts w:asciiTheme="minorHAnsi" w:hAnsiTheme="minorHAnsi"/>
          <w:szCs w:val="14"/>
          <w:lang w:val="sl-SI"/>
        </w:rPr>
        <w:t>SVETA</w:t>
      </w:r>
      <w:r w:rsidRPr="00B36F01">
        <w:rPr>
          <w:rFonts w:asciiTheme="minorHAnsi" w:hAnsiTheme="minorHAnsi"/>
          <w:spacing w:val="-31"/>
          <w:szCs w:val="14"/>
          <w:lang w:val="sl-SI"/>
        </w:rPr>
        <w:t xml:space="preserve"> </w:t>
      </w:r>
      <w:r w:rsidRPr="00B36F01">
        <w:rPr>
          <w:rFonts w:asciiTheme="minorHAnsi" w:hAnsiTheme="minorHAnsi"/>
          <w:szCs w:val="14"/>
          <w:lang w:val="sl-SI"/>
        </w:rPr>
        <w:t>z</w:t>
      </w:r>
      <w:r w:rsidRPr="00B36F01">
        <w:rPr>
          <w:rFonts w:asciiTheme="minorHAnsi" w:hAnsiTheme="minorHAnsi"/>
          <w:spacing w:val="-31"/>
          <w:szCs w:val="14"/>
          <w:lang w:val="sl-SI"/>
        </w:rPr>
        <w:t xml:space="preserve"> </w:t>
      </w:r>
      <w:r w:rsidRPr="00B36F01">
        <w:rPr>
          <w:rFonts w:asciiTheme="minorHAnsi" w:hAnsiTheme="minorHAnsi"/>
          <w:szCs w:val="14"/>
          <w:lang w:val="sl-SI"/>
        </w:rPr>
        <w:t>dne</w:t>
      </w:r>
      <w:r w:rsidRPr="00B36F01">
        <w:rPr>
          <w:rFonts w:asciiTheme="minorHAnsi" w:hAnsiTheme="minorHAnsi"/>
          <w:spacing w:val="-31"/>
          <w:szCs w:val="14"/>
          <w:lang w:val="sl-SI"/>
        </w:rPr>
        <w:t xml:space="preserve"> </w:t>
      </w:r>
      <w:r w:rsidRPr="00B36F01">
        <w:rPr>
          <w:rFonts w:asciiTheme="minorHAnsi" w:hAnsiTheme="minorHAnsi"/>
          <w:szCs w:val="14"/>
          <w:lang w:val="sl-SI"/>
        </w:rPr>
        <w:t>11.</w:t>
      </w:r>
      <w:r w:rsidRPr="00B36F01">
        <w:rPr>
          <w:rFonts w:asciiTheme="minorHAnsi" w:hAnsiTheme="minorHAnsi"/>
          <w:spacing w:val="-31"/>
          <w:szCs w:val="14"/>
          <w:lang w:val="sl-SI"/>
        </w:rPr>
        <w:t xml:space="preserve"> </w:t>
      </w:r>
      <w:r w:rsidRPr="00B36F01">
        <w:rPr>
          <w:rFonts w:asciiTheme="minorHAnsi" w:hAnsiTheme="minorHAnsi"/>
          <w:szCs w:val="14"/>
          <w:lang w:val="sl-SI"/>
        </w:rPr>
        <w:t>marca</w:t>
      </w:r>
      <w:r w:rsidRPr="00B36F01">
        <w:rPr>
          <w:rFonts w:asciiTheme="minorHAnsi" w:hAnsiTheme="minorHAnsi"/>
          <w:spacing w:val="-31"/>
          <w:szCs w:val="14"/>
          <w:lang w:val="sl-SI"/>
        </w:rPr>
        <w:t xml:space="preserve"> </w:t>
      </w:r>
      <w:r w:rsidRPr="00B36F01">
        <w:rPr>
          <w:rFonts w:asciiTheme="minorHAnsi" w:hAnsiTheme="minorHAnsi"/>
          <w:szCs w:val="14"/>
          <w:lang w:val="sl-SI"/>
        </w:rPr>
        <w:t>2014</w:t>
      </w:r>
      <w:r w:rsidRPr="00B36F01">
        <w:rPr>
          <w:rFonts w:asciiTheme="minorHAnsi" w:hAnsiTheme="minorHAnsi"/>
          <w:spacing w:val="-31"/>
          <w:szCs w:val="14"/>
          <w:lang w:val="sl-SI"/>
        </w:rPr>
        <w:t xml:space="preserve"> </w:t>
      </w:r>
      <w:r w:rsidRPr="00B36F01">
        <w:rPr>
          <w:rFonts w:asciiTheme="minorHAnsi" w:hAnsiTheme="minorHAnsi"/>
          <w:szCs w:val="14"/>
          <w:lang w:val="sl-SI"/>
        </w:rPr>
        <w:t>o</w:t>
      </w:r>
      <w:r w:rsidRPr="00B36F01">
        <w:rPr>
          <w:rFonts w:asciiTheme="minorHAnsi" w:hAnsiTheme="minorHAnsi"/>
          <w:spacing w:val="-31"/>
          <w:szCs w:val="14"/>
          <w:lang w:val="sl-SI"/>
        </w:rPr>
        <w:t xml:space="preserve"> </w:t>
      </w:r>
      <w:r w:rsidRPr="00B36F01">
        <w:rPr>
          <w:rFonts w:asciiTheme="minorHAnsi" w:hAnsiTheme="minorHAnsi"/>
          <w:szCs w:val="14"/>
          <w:lang w:val="sl-SI"/>
        </w:rPr>
        <w:t xml:space="preserve">vzpostavitvi evropskega instrumenta sosedstva </w:t>
      </w:r>
      <w:hyperlink r:id="rId85">
        <w:r w:rsidRPr="00B36F01">
          <w:rPr>
            <w:rStyle w:val="Hyperlink"/>
            <w:rFonts w:asciiTheme="minorHAnsi" w:hAnsiTheme="minorHAnsi"/>
            <w:szCs w:val="14"/>
            <w:lang w:val="sl-SI"/>
          </w:rPr>
          <w:t>http://eur-lex.europa.eu/LexUriServ/LexUriServ.do?uri=OJ:L:2014:077:0027:0043:SL:PDF</w:t>
        </w:r>
      </w:hyperlink>
      <w:r w:rsidRPr="00B36F01">
        <w:rPr>
          <w:rFonts w:asciiTheme="minorHAnsi" w:hAnsiTheme="minorHAnsi"/>
          <w:szCs w:val="14"/>
          <w:lang w:val="sl-SI"/>
        </w:rPr>
        <w:t xml:space="preserve"> </w:t>
      </w:r>
    </w:p>
  </w:footnote>
  <w:footnote w:id="199">
    <w:p w14:paraId="7D39B1B2" w14:textId="77777777" w:rsidR="00A6094F" w:rsidRPr="00B36F01" w:rsidRDefault="00A6094F" w:rsidP="00EA1463">
      <w:pPr>
        <w:pStyle w:val="Guide-Footnote"/>
        <w:rPr>
          <w:rFonts w:asciiTheme="minorHAnsi" w:hAnsiTheme="minorHAnsi"/>
          <w:szCs w:val="14"/>
          <w:lang w:val="sl-SI"/>
        </w:rPr>
      </w:pPr>
      <w:r w:rsidRPr="00B36F01">
        <w:rPr>
          <w:rStyle w:val="FootnoteReference"/>
          <w:rFonts w:asciiTheme="minorHAnsi" w:hAnsiTheme="minorHAnsi"/>
          <w:szCs w:val="14"/>
        </w:rPr>
        <w:footnoteRef/>
      </w:r>
      <w:r w:rsidRPr="00B36F01">
        <w:rPr>
          <w:rFonts w:asciiTheme="minorHAnsi" w:hAnsiTheme="minorHAnsi"/>
          <w:szCs w:val="14"/>
          <w:lang w:val="sl-SI"/>
        </w:rPr>
        <w:tab/>
        <w:t>UREDBA</w:t>
      </w:r>
      <w:r w:rsidRPr="00B36F01">
        <w:rPr>
          <w:rFonts w:asciiTheme="minorHAnsi" w:hAnsiTheme="minorHAnsi"/>
          <w:spacing w:val="-31"/>
          <w:szCs w:val="14"/>
          <w:lang w:val="sl-SI"/>
        </w:rPr>
        <w:t xml:space="preserve"> </w:t>
      </w:r>
      <w:r w:rsidRPr="00B36F01">
        <w:rPr>
          <w:rFonts w:asciiTheme="minorHAnsi" w:hAnsiTheme="minorHAnsi"/>
          <w:szCs w:val="14"/>
          <w:lang w:val="sl-SI"/>
        </w:rPr>
        <w:t>(EU)</w:t>
      </w:r>
      <w:r w:rsidRPr="00B36F01">
        <w:rPr>
          <w:rFonts w:asciiTheme="minorHAnsi" w:hAnsiTheme="minorHAnsi"/>
          <w:spacing w:val="-31"/>
          <w:szCs w:val="14"/>
          <w:lang w:val="sl-SI"/>
        </w:rPr>
        <w:t xml:space="preserve"> </w:t>
      </w:r>
      <w:r w:rsidRPr="00B36F01">
        <w:rPr>
          <w:rFonts w:asciiTheme="minorHAnsi" w:hAnsiTheme="minorHAnsi"/>
          <w:szCs w:val="14"/>
          <w:lang w:val="sl-SI"/>
        </w:rPr>
        <w:t>št.</w:t>
      </w:r>
      <w:r w:rsidRPr="00B36F01">
        <w:rPr>
          <w:rFonts w:asciiTheme="minorHAnsi" w:hAnsiTheme="minorHAnsi"/>
          <w:spacing w:val="-31"/>
          <w:szCs w:val="14"/>
          <w:lang w:val="sl-SI"/>
        </w:rPr>
        <w:t xml:space="preserve"> </w:t>
      </w:r>
      <w:r w:rsidRPr="00B36F01">
        <w:rPr>
          <w:rFonts w:asciiTheme="minorHAnsi" w:hAnsiTheme="minorHAnsi"/>
          <w:szCs w:val="14"/>
          <w:lang w:val="sl-SI"/>
        </w:rPr>
        <w:t>233/2014</w:t>
      </w:r>
      <w:r w:rsidRPr="00B36F01">
        <w:rPr>
          <w:rFonts w:asciiTheme="minorHAnsi" w:hAnsiTheme="minorHAnsi"/>
          <w:spacing w:val="-31"/>
          <w:szCs w:val="14"/>
          <w:lang w:val="sl-SI"/>
        </w:rPr>
        <w:t xml:space="preserve"> </w:t>
      </w:r>
      <w:r w:rsidRPr="00B36F01">
        <w:rPr>
          <w:rFonts w:asciiTheme="minorHAnsi" w:hAnsiTheme="minorHAnsi"/>
          <w:szCs w:val="14"/>
          <w:lang w:val="sl-SI"/>
        </w:rPr>
        <w:t>EVROPSKEGA</w:t>
      </w:r>
      <w:r w:rsidRPr="00B36F01">
        <w:rPr>
          <w:rFonts w:asciiTheme="minorHAnsi" w:hAnsiTheme="minorHAnsi"/>
          <w:spacing w:val="-31"/>
          <w:szCs w:val="14"/>
          <w:lang w:val="sl-SI"/>
        </w:rPr>
        <w:t xml:space="preserve"> </w:t>
      </w:r>
      <w:r w:rsidRPr="00B36F01">
        <w:rPr>
          <w:rFonts w:asciiTheme="minorHAnsi" w:hAnsiTheme="minorHAnsi"/>
          <w:szCs w:val="14"/>
          <w:lang w:val="sl-SI"/>
        </w:rPr>
        <w:t>PARLAMENTA</w:t>
      </w:r>
      <w:r w:rsidRPr="00B36F01">
        <w:rPr>
          <w:rFonts w:asciiTheme="minorHAnsi" w:hAnsiTheme="minorHAnsi"/>
          <w:spacing w:val="-31"/>
          <w:szCs w:val="14"/>
          <w:lang w:val="sl-SI"/>
        </w:rPr>
        <w:t xml:space="preserve"> </w:t>
      </w:r>
      <w:r w:rsidRPr="00B36F01">
        <w:rPr>
          <w:rFonts w:asciiTheme="minorHAnsi" w:hAnsiTheme="minorHAnsi"/>
          <w:szCs w:val="14"/>
          <w:lang w:val="sl-SI"/>
        </w:rPr>
        <w:t>IN</w:t>
      </w:r>
      <w:r w:rsidRPr="00B36F01">
        <w:rPr>
          <w:rFonts w:asciiTheme="minorHAnsi" w:hAnsiTheme="minorHAnsi"/>
          <w:spacing w:val="-31"/>
          <w:szCs w:val="14"/>
          <w:lang w:val="sl-SI"/>
        </w:rPr>
        <w:t xml:space="preserve"> </w:t>
      </w:r>
      <w:r w:rsidRPr="00B36F01">
        <w:rPr>
          <w:rFonts w:asciiTheme="minorHAnsi" w:hAnsiTheme="minorHAnsi"/>
          <w:szCs w:val="14"/>
          <w:lang w:val="sl-SI"/>
        </w:rPr>
        <w:t>SVETA</w:t>
      </w:r>
      <w:r w:rsidRPr="00B36F01">
        <w:rPr>
          <w:rFonts w:asciiTheme="minorHAnsi" w:hAnsiTheme="minorHAnsi"/>
          <w:spacing w:val="-31"/>
          <w:szCs w:val="14"/>
          <w:lang w:val="sl-SI"/>
        </w:rPr>
        <w:t xml:space="preserve"> </w:t>
      </w:r>
      <w:r w:rsidRPr="00B36F01">
        <w:rPr>
          <w:rFonts w:asciiTheme="minorHAnsi" w:hAnsiTheme="minorHAnsi"/>
          <w:szCs w:val="14"/>
          <w:lang w:val="sl-SI"/>
        </w:rPr>
        <w:t>z</w:t>
      </w:r>
      <w:r w:rsidRPr="00B36F01">
        <w:rPr>
          <w:rFonts w:asciiTheme="minorHAnsi" w:hAnsiTheme="minorHAnsi"/>
          <w:spacing w:val="-31"/>
          <w:szCs w:val="14"/>
          <w:lang w:val="sl-SI"/>
        </w:rPr>
        <w:t xml:space="preserve"> </w:t>
      </w:r>
      <w:r w:rsidRPr="00B36F01">
        <w:rPr>
          <w:rFonts w:asciiTheme="minorHAnsi" w:hAnsiTheme="minorHAnsi"/>
          <w:szCs w:val="14"/>
          <w:lang w:val="sl-SI"/>
        </w:rPr>
        <w:t>dne</w:t>
      </w:r>
      <w:r w:rsidRPr="00B36F01">
        <w:rPr>
          <w:rFonts w:asciiTheme="minorHAnsi" w:hAnsiTheme="minorHAnsi"/>
          <w:spacing w:val="-31"/>
          <w:szCs w:val="14"/>
          <w:lang w:val="sl-SI"/>
        </w:rPr>
        <w:t xml:space="preserve"> </w:t>
      </w:r>
      <w:r w:rsidRPr="00B36F01">
        <w:rPr>
          <w:rFonts w:asciiTheme="minorHAnsi" w:hAnsiTheme="minorHAnsi"/>
          <w:szCs w:val="14"/>
          <w:lang w:val="sl-SI"/>
        </w:rPr>
        <w:t>11.</w:t>
      </w:r>
      <w:r w:rsidRPr="00B36F01">
        <w:rPr>
          <w:rFonts w:asciiTheme="minorHAnsi" w:hAnsiTheme="minorHAnsi"/>
          <w:spacing w:val="-31"/>
          <w:szCs w:val="14"/>
          <w:lang w:val="sl-SI"/>
        </w:rPr>
        <w:t xml:space="preserve"> </w:t>
      </w:r>
      <w:r w:rsidRPr="00B36F01">
        <w:rPr>
          <w:rFonts w:asciiTheme="minorHAnsi" w:hAnsiTheme="minorHAnsi"/>
          <w:szCs w:val="14"/>
          <w:lang w:val="sl-SI"/>
        </w:rPr>
        <w:t>marca</w:t>
      </w:r>
      <w:r w:rsidRPr="00B36F01">
        <w:rPr>
          <w:rFonts w:asciiTheme="minorHAnsi" w:hAnsiTheme="minorHAnsi"/>
          <w:spacing w:val="-31"/>
          <w:szCs w:val="14"/>
          <w:lang w:val="sl-SI"/>
        </w:rPr>
        <w:t xml:space="preserve"> </w:t>
      </w:r>
      <w:r w:rsidRPr="00B36F01">
        <w:rPr>
          <w:rFonts w:asciiTheme="minorHAnsi" w:hAnsiTheme="minorHAnsi"/>
          <w:szCs w:val="14"/>
          <w:lang w:val="sl-SI"/>
        </w:rPr>
        <w:t>2014</w:t>
      </w:r>
      <w:r w:rsidRPr="00B36F01">
        <w:rPr>
          <w:rFonts w:asciiTheme="minorHAnsi" w:hAnsiTheme="minorHAnsi"/>
          <w:spacing w:val="-31"/>
          <w:szCs w:val="14"/>
          <w:lang w:val="sl-SI"/>
        </w:rPr>
        <w:t xml:space="preserve"> </w:t>
      </w:r>
      <w:r w:rsidRPr="00B36F01">
        <w:rPr>
          <w:rFonts w:asciiTheme="minorHAnsi" w:hAnsiTheme="minorHAnsi"/>
          <w:szCs w:val="14"/>
          <w:lang w:val="sl-SI"/>
        </w:rPr>
        <w:t>o</w:t>
      </w:r>
      <w:r w:rsidRPr="00B36F01">
        <w:rPr>
          <w:rFonts w:asciiTheme="minorHAnsi" w:hAnsiTheme="minorHAnsi"/>
          <w:spacing w:val="-31"/>
          <w:szCs w:val="14"/>
          <w:lang w:val="sl-SI"/>
        </w:rPr>
        <w:t xml:space="preserve"> </w:t>
      </w:r>
      <w:r w:rsidRPr="00B36F01">
        <w:rPr>
          <w:rFonts w:asciiTheme="minorHAnsi" w:hAnsiTheme="minorHAnsi"/>
          <w:szCs w:val="14"/>
          <w:lang w:val="sl-SI"/>
        </w:rPr>
        <w:t>vzpostavitvi instrumenta za ﬁnanciranje razvojnega sodelovanja za obdobje</w:t>
      </w:r>
      <w:r w:rsidRPr="00B36F01">
        <w:rPr>
          <w:rFonts w:asciiTheme="minorHAnsi" w:hAnsiTheme="minorHAnsi"/>
          <w:spacing w:val="7"/>
          <w:szCs w:val="14"/>
          <w:lang w:val="sl-SI"/>
        </w:rPr>
        <w:t xml:space="preserve"> </w:t>
      </w:r>
      <w:r w:rsidRPr="00B36F01">
        <w:rPr>
          <w:rFonts w:asciiTheme="minorHAnsi" w:hAnsiTheme="minorHAnsi"/>
          <w:szCs w:val="14"/>
          <w:lang w:val="sl-SI"/>
        </w:rPr>
        <w:t xml:space="preserve">2014–2020 </w:t>
      </w:r>
      <w:hyperlink r:id="rId86">
        <w:r w:rsidRPr="00B36F01">
          <w:rPr>
            <w:rStyle w:val="Hyperlink"/>
            <w:rFonts w:asciiTheme="minorHAnsi" w:hAnsiTheme="minorHAnsi"/>
            <w:szCs w:val="14"/>
            <w:lang w:val="sl-SI"/>
          </w:rPr>
          <w:t>http://eur-lex.europa.eu/LexUriServ/LexUriServ.do?uri=OJ:L:2014:077:0044:0076:SL:PDF</w:t>
        </w:r>
      </w:hyperlink>
    </w:p>
  </w:footnote>
  <w:footnote w:id="200">
    <w:p w14:paraId="7D39B1B3" w14:textId="77777777" w:rsidR="00A6094F" w:rsidRPr="001F01BF" w:rsidRDefault="00A6094F" w:rsidP="00EA1463">
      <w:pPr>
        <w:pStyle w:val="Guide-Footnote"/>
        <w:rPr>
          <w:rFonts w:asciiTheme="minorHAnsi" w:hAnsiTheme="minorHAnsi"/>
          <w:szCs w:val="14"/>
          <w:lang w:val="sl-SI"/>
        </w:rPr>
      </w:pPr>
      <w:r w:rsidRPr="00B36F01">
        <w:rPr>
          <w:rStyle w:val="FootnoteReference"/>
          <w:rFonts w:asciiTheme="minorHAnsi" w:hAnsiTheme="minorHAnsi"/>
          <w:szCs w:val="14"/>
        </w:rPr>
        <w:footnoteRef/>
      </w:r>
      <w:r w:rsidRPr="00B36F01">
        <w:rPr>
          <w:rFonts w:asciiTheme="minorHAnsi" w:hAnsiTheme="minorHAnsi"/>
          <w:szCs w:val="14"/>
          <w:lang w:val="sl-SI"/>
        </w:rPr>
        <w:tab/>
        <w:t>UREDBA</w:t>
      </w:r>
      <w:r w:rsidRPr="00B36F01">
        <w:rPr>
          <w:rFonts w:asciiTheme="minorHAnsi" w:hAnsiTheme="minorHAnsi"/>
          <w:spacing w:val="-31"/>
          <w:szCs w:val="14"/>
          <w:lang w:val="sl-SI"/>
        </w:rPr>
        <w:t xml:space="preserve"> </w:t>
      </w:r>
      <w:r w:rsidRPr="00B36F01">
        <w:rPr>
          <w:rFonts w:asciiTheme="minorHAnsi" w:hAnsiTheme="minorHAnsi"/>
          <w:szCs w:val="14"/>
          <w:lang w:val="sl-SI"/>
        </w:rPr>
        <w:t>(EU)</w:t>
      </w:r>
      <w:r w:rsidRPr="00B36F01">
        <w:rPr>
          <w:rFonts w:asciiTheme="minorHAnsi" w:hAnsiTheme="minorHAnsi"/>
          <w:spacing w:val="-31"/>
          <w:szCs w:val="14"/>
          <w:lang w:val="sl-SI"/>
        </w:rPr>
        <w:t xml:space="preserve"> </w:t>
      </w:r>
      <w:r w:rsidRPr="00B36F01">
        <w:rPr>
          <w:rFonts w:asciiTheme="minorHAnsi" w:hAnsiTheme="minorHAnsi"/>
          <w:szCs w:val="14"/>
          <w:lang w:val="sl-SI"/>
        </w:rPr>
        <w:t>št.</w:t>
      </w:r>
      <w:r w:rsidRPr="00B36F01">
        <w:rPr>
          <w:rFonts w:asciiTheme="minorHAnsi" w:hAnsiTheme="minorHAnsi"/>
          <w:spacing w:val="-31"/>
          <w:szCs w:val="14"/>
          <w:lang w:val="sl-SI"/>
        </w:rPr>
        <w:t xml:space="preserve"> </w:t>
      </w:r>
      <w:r w:rsidRPr="00B36F01">
        <w:rPr>
          <w:rFonts w:asciiTheme="minorHAnsi" w:hAnsiTheme="minorHAnsi"/>
          <w:szCs w:val="14"/>
          <w:lang w:val="sl-SI"/>
        </w:rPr>
        <w:t>231/2014</w:t>
      </w:r>
      <w:r w:rsidRPr="00B36F01">
        <w:rPr>
          <w:rFonts w:asciiTheme="minorHAnsi" w:hAnsiTheme="minorHAnsi"/>
          <w:spacing w:val="-31"/>
          <w:szCs w:val="14"/>
          <w:lang w:val="sl-SI"/>
        </w:rPr>
        <w:t xml:space="preserve"> </w:t>
      </w:r>
      <w:r w:rsidRPr="00B36F01">
        <w:rPr>
          <w:rFonts w:asciiTheme="minorHAnsi" w:hAnsiTheme="minorHAnsi"/>
          <w:szCs w:val="14"/>
          <w:lang w:val="sl-SI"/>
        </w:rPr>
        <w:t>EVROPSKEGA</w:t>
      </w:r>
      <w:r w:rsidRPr="00B36F01">
        <w:rPr>
          <w:rFonts w:asciiTheme="minorHAnsi" w:hAnsiTheme="minorHAnsi"/>
          <w:spacing w:val="-31"/>
          <w:szCs w:val="14"/>
          <w:lang w:val="sl-SI"/>
        </w:rPr>
        <w:t xml:space="preserve"> </w:t>
      </w:r>
      <w:r w:rsidRPr="00B36F01">
        <w:rPr>
          <w:rFonts w:asciiTheme="minorHAnsi" w:hAnsiTheme="minorHAnsi"/>
          <w:szCs w:val="14"/>
          <w:lang w:val="sl-SI"/>
        </w:rPr>
        <w:t>PARLAMENTA</w:t>
      </w:r>
      <w:r w:rsidRPr="00B36F01">
        <w:rPr>
          <w:rFonts w:asciiTheme="minorHAnsi" w:hAnsiTheme="minorHAnsi"/>
          <w:spacing w:val="-31"/>
          <w:szCs w:val="14"/>
          <w:lang w:val="sl-SI"/>
        </w:rPr>
        <w:t xml:space="preserve"> </w:t>
      </w:r>
      <w:r w:rsidRPr="00B36F01">
        <w:rPr>
          <w:rFonts w:asciiTheme="minorHAnsi" w:hAnsiTheme="minorHAnsi"/>
          <w:szCs w:val="14"/>
          <w:lang w:val="sl-SI"/>
        </w:rPr>
        <w:t>IN</w:t>
      </w:r>
      <w:r w:rsidRPr="00B36F01">
        <w:rPr>
          <w:rFonts w:asciiTheme="minorHAnsi" w:hAnsiTheme="minorHAnsi"/>
          <w:spacing w:val="-31"/>
          <w:szCs w:val="14"/>
          <w:lang w:val="sl-SI"/>
        </w:rPr>
        <w:t xml:space="preserve"> </w:t>
      </w:r>
      <w:r w:rsidRPr="00B36F01">
        <w:rPr>
          <w:rFonts w:asciiTheme="minorHAnsi" w:hAnsiTheme="minorHAnsi"/>
          <w:szCs w:val="14"/>
          <w:lang w:val="sl-SI"/>
        </w:rPr>
        <w:t>SVETA</w:t>
      </w:r>
      <w:r w:rsidRPr="00B36F01">
        <w:rPr>
          <w:rFonts w:asciiTheme="minorHAnsi" w:hAnsiTheme="minorHAnsi"/>
          <w:spacing w:val="-31"/>
          <w:szCs w:val="14"/>
          <w:lang w:val="sl-SI"/>
        </w:rPr>
        <w:t xml:space="preserve"> </w:t>
      </w:r>
      <w:r w:rsidRPr="00B36F01">
        <w:rPr>
          <w:rFonts w:asciiTheme="minorHAnsi" w:hAnsiTheme="minorHAnsi"/>
          <w:szCs w:val="14"/>
          <w:lang w:val="sl-SI"/>
        </w:rPr>
        <w:t>z</w:t>
      </w:r>
      <w:r w:rsidRPr="00B36F01">
        <w:rPr>
          <w:rFonts w:asciiTheme="minorHAnsi" w:hAnsiTheme="minorHAnsi"/>
          <w:spacing w:val="-31"/>
          <w:szCs w:val="14"/>
          <w:lang w:val="sl-SI"/>
        </w:rPr>
        <w:t xml:space="preserve"> </w:t>
      </w:r>
      <w:r w:rsidRPr="00B36F01">
        <w:rPr>
          <w:rFonts w:asciiTheme="minorHAnsi" w:hAnsiTheme="minorHAnsi"/>
          <w:szCs w:val="14"/>
          <w:lang w:val="sl-SI"/>
        </w:rPr>
        <w:t>dne</w:t>
      </w:r>
      <w:r w:rsidRPr="00B36F01">
        <w:rPr>
          <w:rFonts w:asciiTheme="minorHAnsi" w:hAnsiTheme="minorHAnsi"/>
          <w:spacing w:val="-31"/>
          <w:szCs w:val="14"/>
          <w:lang w:val="sl-SI"/>
        </w:rPr>
        <w:t xml:space="preserve"> </w:t>
      </w:r>
      <w:r w:rsidRPr="00B36F01">
        <w:rPr>
          <w:rFonts w:asciiTheme="minorHAnsi" w:hAnsiTheme="minorHAnsi"/>
          <w:szCs w:val="14"/>
          <w:lang w:val="sl-SI"/>
        </w:rPr>
        <w:t>11.</w:t>
      </w:r>
      <w:r w:rsidRPr="00B36F01">
        <w:rPr>
          <w:rFonts w:asciiTheme="minorHAnsi" w:hAnsiTheme="minorHAnsi"/>
          <w:spacing w:val="-31"/>
          <w:szCs w:val="14"/>
          <w:lang w:val="sl-SI"/>
        </w:rPr>
        <w:t xml:space="preserve"> </w:t>
      </w:r>
      <w:r w:rsidRPr="00B36F01">
        <w:rPr>
          <w:rFonts w:asciiTheme="minorHAnsi" w:hAnsiTheme="minorHAnsi"/>
          <w:szCs w:val="14"/>
          <w:lang w:val="sl-SI"/>
        </w:rPr>
        <w:t>marca</w:t>
      </w:r>
      <w:r w:rsidRPr="00B36F01">
        <w:rPr>
          <w:rFonts w:asciiTheme="minorHAnsi" w:hAnsiTheme="minorHAnsi"/>
          <w:spacing w:val="-31"/>
          <w:szCs w:val="14"/>
          <w:lang w:val="sl-SI"/>
        </w:rPr>
        <w:t xml:space="preserve"> </w:t>
      </w:r>
      <w:r w:rsidRPr="00B36F01">
        <w:rPr>
          <w:rFonts w:asciiTheme="minorHAnsi" w:hAnsiTheme="minorHAnsi"/>
          <w:szCs w:val="14"/>
          <w:lang w:val="sl-SI"/>
        </w:rPr>
        <w:t>2014</w:t>
      </w:r>
      <w:r w:rsidRPr="00B36F01">
        <w:rPr>
          <w:rFonts w:asciiTheme="minorHAnsi" w:hAnsiTheme="minorHAnsi"/>
          <w:spacing w:val="-31"/>
          <w:szCs w:val="14"/>
          <w:lang w:val="sl-SI"/>
        </w:rPr>
        <w:t xml:space="preserve"> </w:t>
      </w:r>
      <w:r w:rsidRPr="00B36F01">
        <w:rPr>
          <w:rFonts w:asciiTheme="minorHAnsi" w:hAnsiTheme="minorHAnsi"/>
          <w:szCs w:val="14"/>
          <w:lang w:val="sl-SI"/>
        </w:rPr>
        <w:t>o</w:t>
      </w:r>
      <w:r w:rsidRPr="00B36F01">
        <w:rPr>
          <w:rFonts w:asciiTheme="minorHAnsi" w:hAnsiTheme="minorHAnsi"/>
          <w:spacing w:val="-31"/>
          <w:szCs w:val="14"/>
          <w:lang w:val="sl-SI"/>
        </w:rPr>
        <w:t xml:space="preserve"> </w:t>
      </w:r>
      <w:r w:rsidRPr="00B36F01">
        <w:rPr>
          <w:rFonts w:asciiTheme="minorHAnsi" w:hAnsiTheme="minorHAnsi"/>
          <w:szCs w:val="14"/>
          <w:lang w:val="sl-SI"/>
        </w:rPr>
        <w:t>vzpostavitvi instrumenta za predpristopno pomoč (IPA</w:t>
      </w:r>
      <w:r w:rsidRPr="00B36F01">
        <w:rPr>
          <w:rFonts w:asciiTheme="minorHAnsi" w:hAnsiTheme="minorHAnsi"/>
          <w:spacing w:val="-1"/>
          <w:szCs w:val="14"/>
          <w:lang w:val="sl-SI"/>
        </w:rPr>
        <w:t xml:space="preserve"> </w:t>
      </w:r>
      <w:r w:rsidRPr="00B36F01">
        <w:rPr>
          <w:rFonts w:asciiTheme="minorHAnsi" w:hAnsiTheme="minorHAnsi"/>
          <w:szCs w:val="14"/>
          <w:lang w:val="sl-SI"/>
        </w:rPr>
        <w:t xml:space="preserve">II) </w:t>
      </w:r>
      <w:hyperlink r:id="rId87">
        <w:r w:rsidRPr="00B36F01">
          <w:rPr>
            <w:rStyle w:val="Hyperlink"/>
            <w:rFonts w:asciiTheme="minorHAnsi" w:hAnsiTheme="minorHAnsi"/>
            <w:szCs w:val="14"/>
            <w:lang w:val="sl-SI"/>
          </w:rPr>
          <w:t>http://eur-lex.europa.eu/LexUriServ/LexUriServ.do?uri=OJ:L:2014:077:0011:0026:SL:PDF</w:t>
        </w:r>
      </w:hyperlink>
    </w:p>
  </w:footnote>
  <w:footnote w:id="201">
    <w:p w14:paraId="7D39B1B4" w14:textId="77777777" w:rsidR="00A6094F" w:rsidRPr="001F01BF" w:rsidRDefault="00A6094F" w:rsidP="00EA1463">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V okviru tega ukrepa je regija opredeljena kot skupina držav, ki pripada določenemu makrogeografskemu območju. Razvrstitev regij, ki se uporablja v okviru programa Erasmus+, je v skladu s kategorizacijami različnih instrumentov zunanjega delovanja EU.</w:t>
      </w:r>
    </w:p>
  </w:footnote>
  <w:footnote w:id="202">
    <w:p w14:paraId="7D39B1B5" w14:textId="77777777" w:rsidR="00A6094F" w:rsidRPr="001F01BF" w:rsidRDefault="00A6094F" w:rsidP="00EA1463">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r>
      <w:r w:rsidRPr="001F01BF">
        <w:rPr>
          <w:rFonts w:asciiTheme="minorHAnsi" w:hAnsiTheme="minorHAnsi"/>
          <w:w w:val="105"/>
          <w:szCs w:val="14"/>
          <w:lang w:val="sl-SI"/>
        </w:rPr>
        <w:t>Pooblastilo</w:t>
      </w:r>
      <w:r w:rsidRPr="001F01BF">
        <w:rPr>
          <w:rFonts w:asciiTheme="minorHAnsi" w:hAnsiTheme="minorHAnsi"/>
          <w:spacing w:val="-22"/>
          <w:w w:val="105"/>
          <w:szCs w:val="14"/>
          <w:lang w:val="sl-SI"/>
        </w:rPr>
        <w:t xml:space="preserve"> </w:t>
      </w:r>
      <w:r w:rsidRPr="001F01BF">
        <w:rPr>
          <w:rFonts w:asciiTheme="minorHAnsi" w:hAnsiTheme="minorHAnsi"/>
          <w:w w:val="105"/>
          <w:szCs w:val="14"/>
          <w:lang w:val="sl-SI"/>
        </w:rPr>
        <w:t>oziroma</w:t>
      </w:r>
      <w:r w:rsidRPr="001F01BF">
        <w:rPr>
          <w:rFonts w:asciiTheme="minorHAnsi" w:hAnsiTheme="minorHAnsi"/>
          <w:spacing w:val="-22"/>
          <w:w w:val="105"/>
          <w:szCs w:val="14"/>
          <w:lang w:val="sl-SI"/>
        </w:rPr>
        <w:t xml:space="preserve"> </w:t>
      </w:r>
      <w:r w:rsidRPr="001F01BF">
        <w:rPr>
          <w:rFonts w:asciiTheme="minorHAnsi" w:hAnsiTheme="minorHAnsi"/>
          <w:w w:val="105"/>
          <w:szCs w:val="14"/>
          <w:lang w:val="sl-SI"/>
        </w:rPr>
        <w:t>mandatno</w:t>
      </w:r>
      <w:r w:rsidRPr="001F01BF">
        <w:rPr>
          <w:rFonts w:asciiTheme="minorHAnsi" w:hAnsiTheme="minorHAnsi"/>
          <w:spacing w:val="-22"/>
          <w:w w:val="105"/>
          <w:szCs w:val="14"/>
          <w:lang w:val="sl-SI"/>
        </w:rPr>
        <w:t xml:space="preserve"> </w:t>
      </w:r>
      <w:r w:rsidRPr="001F01BF">
        <w:rPr>
          <w:rFonts w:asciiTheme="minorHAnsi" w:hAnsiTheme="minorHAnsi"/>
          <w:w w:val="105"/>
          <w:szCs w:val="14"/>
          <w:lang w:val="sl-SI"/>
        </w:rPr>
        <w:t>pismo,</w:t>
      </w:r>
      <w:r w:rsidRPr="001F01BF">
        <w:rPr>
          <w:rFonts w:asciiTheme="minorHAnsi" w:hAnsiTheme="minorHAnsi"/>
          <w:spacing w:val="-22"/>
          <w:w w:val="105"/>
          <w:szCs w:val="14"/>
          <w:lang w:val="sl-SI"/>
        </w:rPr>
        <w:t xml:space="preserve"> </w:t>
      </w:r>
      <w:r w:rsidRPr="001F01BF">
        <w:rPr>
          <w:rFonts w:asciiTheme="minorHAnsi" w:hAnsiTheme="minorHAnsi"/>
          <w:w w:val="105"/>
          <w:szCs w:val="14"/>
          <w:lang w:val="sl-SI"/>
        </w:rPr>
        <w:t>ki</w:t>
      </w:r>
      <w:r w:rsidRPr="001F01BF">
        <w:rPr>
          <w:rFonts w:asciiTheme="minorHAnsi" w:hAnsiTheme="minorHAnsi"/>
          <w:spacing w:val="-22"/>
          <w:w w:val="105"/>
          <w:szCs w:val="14"/>
          <w:lang w:val="sl-SI"/>
        </w:rPr>
        <w:t xml:space="preserve"> </w:t>
      </w:r>
      <w:r w:rsidRPr="001F01BF">
        <w:rPr>
          <w:rFonts w:asciiTheme="minorHAnsi" w:hAnsiTheme="minorHAnsi"/>
          <w:w w:val="105"/>
          <w:szCs w:val="14"/>
          <w:lang w:val="sl-SI"/>
        </w:rPr>
        <w:t>ga</w:t>
      </w:r>
      <w:r w:rsidRPr="001F01BF">
        <w:rPr>
          <w:rFonts w:asciiTheme="minorHAnsi" w:hAnsiTheme="minorHAnsi"/>
          <w:spacing w:val="-22"/>
          <w:w w:val="105"/>
          <w:szCs w:val="14"/>
          <w:lang w:val="sl-SI"/>
        </w:rPr>
        <w:t xml:space="preserve"> </w:t>
      </w:r>
      <w:r w:rsidRPr="001F01BF">
        <w:rPr>
          <w:rFonts w:asciiTheme="minorHAnsi" w:hAnsiTheme="minorHAnsi"/>
          <w:w w:val="105"/>
          <w:szCs w:val="14"/>
          <w:lang w:val="sl-SI"/>
        </w:rPr>
        <w:t>ustrezno</w:t>
      </w:r>
      <w:r w:rsidRPr="001F01BF">
        <w:rPr>
          <w:rFonts w:asciiTheme="minorHAnsi" w:hAnsiTheme="minorHAnsi"/>
          <w:spacing w:val="-22"/>
          <w:w w:val="105"/>
          <w:szCs w:val="14"/>
          <w:lang w:val="sl-SI"/>
        </w:rPr>
        <w:t xml:space="preserve"> </w:t>
      </w:r>
      <w:r w:rsidRPr="001F01BF">
        <w:rPr>
          <w:rFonts w:asciiTheme="minorHAnsi" w:hAnsiTheme="minorHAnsi"/>
          <w:w w:val="105"/>
          <w:szCs w:val="14"/>
          <w:lang w:val="sl-SI"/>
        </w:rPr>
        <w:t>podpišejo</w:t>
      </w:r>
      <w:r w:rsidRPr="001F01BF">
        <w:rPr>
          <w:rFonts w:asciiTheme="minorHAnsi" w:hAnsiTheme="minorHAnsi"/>
          <w:spacing w:val="-22"/>
          <w:w w:val="105"/>
          <w:szCs w:val="14"/>
          <w:lang w:val="sl-SI"/>
        </w:rPr>
        <w:t xml:space="preserve"> </w:t>
      </w:r>
      <w:r w:rsidRPr="001F01BF">
        <w:rPr>
          <w:rFonts w:asciiTheme="minorHAnsi" w:hAnsiTheme="minorHAnsi"/>
          <w:w w:val="105"/>
          <w:szCs w:val="14"/>
          <w:lang w:val="sl-SI"/>
        </w:rPr>
        <w:t>pravni</w:t>
      </w:r>
      <w:r w:rsidRPr="001F01BF">
        <w:rPr>
          <w:rFonts w:asciiTheme="minorHAnsi" w:hAnsiTheme="minorHAnsi"/>
          <w:spacing w:val="-22"/>
          <w:w w:val="105"/>
          <w:szCs w:val="14"/>
          <w:lang w:val="sl-SI"/>
        </w:rPr>
        <w:t xml:space="preserve"> </w:t>
      </w:r>
      <w:r w:rsidRPr="001F01BF">
        <w:rPr>
          <w:rFonts w:asciiTheme="minorHAnsi" w:hAnsiTheme="minorHAnsi"/>
          <w:w w:val="105"/>
          <w:szCs w:val="14"/>
          <w:lang w:val="sl-SI"/>
        </w:rPr>
        <w:t>zastopniki</w:t>
      </w:r>
      <w:r w:rsidRPr="001F01BF">
        <w:rPr>
          <w:rFonts w:asciiTheme="minorHAnsi" w:hAnsiTheme="minorHAnsi"/>
          <w:spacing w:val="-22"/>
          <w:w w:val="105"/>
          <w:szCs w:val="14"/>
          <w:lang w:val="sl-SI"/>
        </w:rPr>
        <w:t xml:space="preserve"> </w:t>
      </w:r>
      <w:r w:rsidRPr="001F01BF">
        <w:rPr>
          <w:rFonts w:asciiTheme="minorHAnsi" w:hAnsiTheme="minorHAnsi"/>
          <w:w w:val="105"/>
          <w:szCs w:val="14"/>
          <w:lang w:val="sl-SI"/>
        </w:rPr>
        <w:t>partnerskih</w:t>
      </w:r>
      <w:r w:rsidRPr="001F01BF">
        <w:rPr>
          <w:rFonts w:asciiTheme="minorHAnsi" w:hAnsiTheme="minorHAnsi"/>
          <w:spacing w:val="-22"/>
          <w:w w:val="105"/>
          <w:szCs w:val="14"/>
          <w:lang w:val="sl-SI"/>
        </w:rPr>
        <w:t xml:space="preserve"> </w:t>
      </w:r>
      <w:r w:rsidRPr="001F01BF">
        <w:rPr>
          <w:rFonts w:asciiTheme="minorHAnsi" w:hAnsiTheme="minorHAnsi"/>
          <w:w w:val="105"/>
          <w:szCs w:val="14"/>
          <w:lang w:val="sl-SI"/>
        </w:rPr>
        <w:t>organizacij,</w:t>
      </w:r>
      <w:r w:rsidRPr="001F01BF">
        <w:rPr>
          <w:rFonts w:asciiTheme="minorHAnsi" w:hAnsiTheme="minorHAnsi"/>
          <w:spacing w:val="-22"/>
          <w:w w:val="105"/>
          <w:szCs w:val="14"/>
          <w:lang w:val="sl-SI"/>
        </w:rPr>
        <w:t xml:space="preserve"> </w:t>
      </w:r>
      <w:r w:rsidRPr="001F01BF">
        <w:rPr>
          <w:rFonts w:asciiTheme="minorHAnsi" w:hAnsiTheme="minorHAnsi"/>
          <w:w w:val="105"/>
          <w:szCs w:val="14"/>
          <w:lang w:val="sl-SI"/>
        </w:rPr>
        <w:t>bo priloga</w:t>
      </w:r>
      <w:r w:rsidRPr="001F01BF">
        <w:rPr>
          <w:rFonts w:asciiTheme="minorHAnsi" w:hAnsiTheme="minorHAnsi"/>
          <w:spacing w:val="-19"/>
          <w:w w:val="105"/>
          <w:szCs w:val="14"/>
          <w:lang w:val="sl-SI"/>
        </w:rPr>
        <w:t xml:space="preserve"> </w:t>
      </w:r>
      <w:r w:rsidRPr="001F01BF">
        <w:rPr>
          <w:rFonts w:asciiTheme="minorHAnsi" w:hAnsiTheme="minorHAnsi"/>
          <w:w w:val="105"/>
          <w:szCs w:val="14"/>
          <w:lang w:val="sl-SI"/>
        </w:rPr>
        <w:t>k</w:t>
      </w:r>
      <w:r w:rsidRPr="001F01BF">
        <w:rPr>
          <w:rFonts w:asciiTheme="minorHAnsi" w:hAnsiTheme="minorHAnsi"/>
          <w:spacing w:val="-19"/>
          <w:w w:val="105"/>
          <w:szCs w:val="14"/>
          <w:lang w:val="sl-SI"/>
        </w:rPr>
        <w:t xml:space="preserve"> </w:t>
      </w:r>
      <w:r w:rsidRPr="001F01BF">
        <w:rPr>
          <w:rFonts w:asciiTheme="minorHAnsi" w:hAnsiTheme="minorHAnsi"/>
          <w:w w:val="105"/>
          <w:szCs w:val="14"/>
          <w:lang w:val="sl-SI"/>
        </w:rPr>
        <w:t>sporazumu</w:t>
      </w:r>
      <w:r w:rsidRPr="001F01BF">
        <w:rPr>
          <w:rFonts w:asciiTheme="minorHAnsi" w:hAnsiTheme="minorHAnsi"/>
          <w:spacing w:val="-18"/>
          <w:w w:val="105"/>
          <w:szCs w:val="14"/>
          <w:lang w:val="sl-SI"/>
        </w:rPr>
        <w:t xml:space="preserve"> </w:t>
      </w:r>
      <w:r w:rsidRPr="001F01BF">
        <w:rPr>
          <w:rFonts w:asciiTheme="minorHAnsi" w:hAnsiTheme="minorHAnsi"/>
          <w:w w:val="105"/>
          <w:szCs w:val="14"/>
          <w:lang w:val="sl-SI"/>
        </w:rPr>
        <w:t>o</w:t>
      </w:r>
      <w:r w:rsidRPr="001F01BF">
        <w:rPr>
          <w:rFonts w:asciiTheme="minorHAnsi" w:hAnsiTheme="minorHAnsi"/>
          <w:spacing w:val="-19"/>
          <w:w w:val="105"/>
          <w:szCs w:val="14"/>
          <w:lang w:val="sl-SI"/>
        </w:rPr>
        <w:t xml:space="preserve"> </w:t>
      </w:r>
      <w:r w:rsidRPr="001F01BF">
        <w:rPr>
          <w:rFonts w:asciiTheme="minorHAnsi" w:hAnsiTheme="minorHAnsi"/>
          <w:w w:val="105"/>
          <w:szCs w:val="14"/>
          <w:lang w:val="sl-SI"/>
        </w:rPr>
        <w:t>nepovratnih</w:t>
      </w:r>
      <w:r w:rsidRPr="001F01BF">
        <w:rPr>
          <w:rFonts w:asciiTheme="minorHAnsi" w:hAnsiTheme="minorHAnsi"/>
          <w:spacing w:val="-19"/>
          <w:w w:val="105"/>
          <w:szCs w:val="14"/>
          <w:lang w:val="sl-SI"/>
        </w:rPr>
        <w:t xml:space="preserve"> </w:t>
      </w:r>
      <w:r w:rsidRPr="001F01BF">
        <w:rPr>
          <w:rFonts w:asciiTheme="minorHAnsi" w:hAnsiTheme="minorHAnsi"/>
          <w:w w:val="105"/>
          <w:szCs w:val="14"/>
          <w:lang w:val="sl-SI"/>
        </w:rPr>
        <w:t>sredstvih</w:t>
      </w:r>
      <w:r w:rsidRPr="001F01BF">
        <w:rPr>
          <w:rFonts w:asciiTheme="minorHAnsi" w:hAnsiTheme="minorHAnsi"/>
          <w:spacing w:val="-18"/>
          <w:w w:val="105"/>
          <w:szCs w:val="14"/>
          <w:lang w:val="sl-SI"/>
        </w:rPr>
        <w:t xml:space="preserve"> </w:t>
      </w:r>
      <w:r w:rsidRPr="001F01BF">
        <w:rPr>
          <w:rFonts w:asciiTheme="minorHAnsi" w:hAnsiTheme="minorHAnsi"/>
          <w:w w:val="105"/>
          <w:szCs w:val="14"/>
          <w:lang w:val="sl-SI"/>
        </w:rPr>
        <w:t>in</w:t>
      </w:r>
      <w:r w:rsidRPr="001F01BF">
        <w:rPr>
          <w:rFonts w:asciiTheme="minorHAnsi" w:hAnsiTheme="minorHAnsi"/>
          <w:spacing w:val="-19"/>
          <w:w w:val="105"/>
          <w:szCs w:val="14"/>
          <w:lang w:val="sl-SI"/>
        </w:rPr>
        <w:t xml:space="preserve"> </w:t>
      </w:r>
      <w:r w:rsidRPr="001F01BF">
        <w:rPr>
          <w:rFonts w:asciiTheme="minorHAnsi" w:hAnsiTheme="minorHAnsi"/>
          <w:w w:val="105"/>
          <w:szCs w:val="14"/>
          <w:lang w:val="sl-SI"/>
        </w:rPr>
        <w:t>ima</w:t>
      </w:r>
      <w:r w:rsidRPr="001F01BF">
        <w:rPr>
          <w:rFonts w:asciiTheme="minorHAnsi" w:hAnsiTheme="minorHAnsi"/>
          <w:spacing w:val="-19"/>
          <w:w w:val="105"/>
          <w:szCs w:val="14"/>
          <w:lang w:val="sl-SI"/>
        </w:rPr>
        <w:t xml:space="preserve"> </w:t>
      </w:r>
      <w:r w:rsidRPr="001F01BF">
        <w:rPr>
          <w:rFonts w:asciiTheme="minorHAnsi" w:hAnsiTheme="minorHAnsi"/>
          <w:w w:val="105"/>
          <w:szCs w:val="14"/>
          <w:lang w:val="sl-SI"/>
        </w:rPr>
        <w:t>kot</w:t>
      </w:r>
      <w:r w:rsidRPr="001F01BF">
        <w:rPr>
          <w:rFonts w:asciiTheme="minorHAnsi" w:hAnsiTheme="minorHAnsi"/>
          <w:spacing w:val="-19"/>
          <w:w w:val="105"/>
          <w:szCs w:val="14"/>
          <w:lang w:val="sl-SI"/>
        </w:rPr>
        <w:t xml:space="preserve"> </w:t>
      </w:r>
      <w:r w:rsidRPr="001F01BF">
        <w:rPr>
          <w:rFonts w:asciiTheme="minorHAnsi" w:hAnsiTheme="minorHAnsi"/>
          <w:w w:val="105"/>
          <w:szCs w:val="14"/>
          <w:lang w:val="sl-SI"/>
        </w:rPr>
        <w:t>tako</w:t>
      </w:r>
      <w:r w:rsidRPr="001F01BF">
        <w:rPr>
          <w:rFonts w:asciiTheme="minorHAnsi" w:hAnsiTheme="minorHAnsi"/>
          <w:spacing w:val="-18"/>
          <w:w w:val="105"/>
          <w:szCs w:val="14"/>
          <w:lang w:val="sl-SI"/>
        </w:rPr>
        <w:t xml:space="preserve"> </w:t>
      </w:r>
      <w:r w:rsidRPr="001F01BF">
        <w:rPr>
          <w:rFonts w:asciiTheme="minorHAnsi" w:hAnsiTheme="minorHAnsi"/>
          <w:w w:val="105"/>
          <w:szCs w:val="14"/>
          <w:lang w:val="sl-SI"/>
        </w:rPr>
        <w:t>pravno</w:t>
      </w:r>
      <w:r w:rsidRPr="001F01BF">
        <w:rPr>
          <w:rFonts w:asciiTheme="minorHAnsi" w:hAnsiTheme="minorHAnsi"/>
          <w:spacing w:val="-19"/>
          <w:w w:val="105"/>
          <w:szCs w:val="14"/>
          <w:lang w:val="sl-SI"/>
        </w:rPr>
        <w:t xml:space="preserve"> </w:t>
      </w:r>
      <w:r w:rsidRPr="001F01BF">
        <w:rPr>
          <w:rFonts w:asciiTheme="minorHAnsi" w:hAnsiTheme="minorHAnsi"/>
          <w:w w:val="105"/>
          <w:szCs w:val="14"/>
          <w:lang w:val="sl-SI"/>
        </w:rPr>
        <w:t>veljavo.</w:t>
      </w:r>
      <w:r w:rsidRPr="001F01BF">
        <w:rPr>
          <w:rFonts w:asciiTheme="minorHAnsi" w:hAnsiTheme="minorHAnsi"/>
          <w:spacing w:val="-19"/>
          <w:w w:val="105"/>
          <w:szCs w:val="14"/>
          <w:lang w:val="sl-SI"/>
        </w:rPr>
        <w:t xml:space="preserve"> </w:t>
      </w:r>
      <w:r w:rsidRPr="001F01BF">
        <w:rPr>
          <w:rFonts w:asciiTheme="minorHAnsi" w:hAnsiTheme="minorHAnsi"/>
          <w:w w:val="105"/>
          <w:szCs w:val="14"/>
          <w:lang w:val="sl-SI"/>
        </w:rPr>
        <w:t>Osnutek,</w:t>
      </w:r>
      <w:r w:rsidRPr="001F01BF">
        <w:rPr>
          <w:rFonts w:asciiTheme="minorHAnsi" w:hAnsiTheme="minorHAnsi"/>
          <w:spacing w:val="-19"/>
          <w:w w:val="105"/>
          <w:szCs w:val="14"/>
          <w:lang w:val="sl-SI"/>
        </w:rPr>
        <w:t xml:space="preserve"> </w:t>
      </w:r>
      <w:r w:rsidRPr="001F01BF">
        <w:rPr>
          <w:rFonts w:asciiTheme="minorHAnsi" w:hAnsiTheme="minorHAnsi"/>
          <w:w w:val="105"/>
          <w:szCs w:val="14"/>
          <w:lang w:val="sl-SI"/>
        </w:rPr>
        <w:t>ki</w:t>
      </w:r>
      <w:r w:rsidRPr="001F01BF">
        <w:rPr>
          <w:rFonts w:asciiTheme="minorHAnsi" w:hAnsiTheme="minorHAnsi"/>
          <w:spacing w:val="-19"/>
          <w:w w:val="105"/>
          <w:szCs w:val="14"/>
          <w:lang w:val="sl-SI"/>
        </w:rPr>
        <w:t xml:space="preserve"> </w:t>
      </w:r>
      <w:r w:rsidRPr="001F01BF">
        <w:rPr>
          <w:rFonts w:asciiTheme="minorHAnsi" w:hAnsiTheme="minorHAnsi"/>
          <w:w w:val="105"/>
          <w:szCs w:val="14"/>
          <w:lang w:val="sl-SI"/>
        </w:rPr>
        <w:t>ga</w:t>
      </w:r>
      <w:r w:rsidRPr="001F01BF">
        <w:rPr>
          <w:rFonts w:asciiTheme="minorHAnsi" w:hAnsiTheme="minorHAnsi"/>
          <w:spacing w:val="-19"/>
          <w:w w:val="105"/>
          <w:szCs w:val="14"/>
          <w:lang w:val="sl-SI"/>
        </w:rPr>
        <w:t xml:space="preserve"> </w:t>
      </w:r>
      <w:r w:rsidRPr="001F01BF">
        <w:rPr>
          <w:rFonts w:asciiTheme="minorHAnsi" w:hAnsiTheme="minorHAnsi"/>
          <w:w w:val="105"/>
          <w:szCs w:val="14"/>
          <w:lang w:val="sl-SI"/>
        </w:rPr>
        <w:t>zagotovi</w:t>
      </w:r>
      <w:r w:rsidRPr="001F01BF">
        <w:rPr>
          <w:rFonts w:asciiTheme="minorHAnsi" w:hAnsiTheme="minorHAnsi"/>
          <w:spacing w:val="-19"/>
          <w:w w:val="105"/>
          <w:szCs w:val="14"/>
          <w:lang w:val="sl-SI"/>
        </w:rPr>
        <w:t xml:space="preserve"> </w:t>
      </w:r>
      <w:r w:rsidRPr="001F01BF">
        <w:rPr>
          <w:rFonts w:asciiTheme="minorHAnsi" w:hAnsiTheme="minorHAnsi"/>
          <w:w w:val="105"/>
          <w:szCs w:val="14"/>
          <w:lang w:val="sl-SI"/>
        </w:rPr>
        <w:t>Agencija,</w:t>
      </w:r>
      <w:r w:rsidRPr="001F01BF">
        <w:rPr>
          <w:rFonts w:asciiTheme="minorHAnsi" w:hAnsiTheme="minorHAnsi"/>
          <w:spacing w:val="-19"/>
          <w:w w:val="105"/>
          <w:szCs w:val="14"/>
          <w:lang w:val="sl-SI"/>
        </w:rPr>
        <w:t xml:space="preserve"> </w:t>
      </w:r>
      <w:r w:rsidRPr="001F01BF">
        <w:rPr>
          <w:rFonts w:asciiTheme="minorHAnsi" w:hAnsiTheme="minorHAnsi"/>
          <w:w w:val="105"/>
          <w:szCs w:val="14"/>
          <w:lang w:val="sl-SI"/>
        </w:rPr>
        <w:t>je treba</w:t>
      </w:r>
      <w:r w:rsidRPr="001F01BF">
        <w:rPr>
          <w:rFonts w:asciiTheme="minorHAnsi" w:hAnsiTheme="minorHAnsi"/>
          <w:spacing w:val="-19"/>
          <w:w w:val="105"/>
          <w:szCs w:val="14"/>
          <w:lang w:val="sl-SI"/>
        </w:rPr>
        <w:t xml:space="preserve"> </w:t>
      </w:r>
      <w:r w:rsidRPr="001F01BF">
        <w:rPr>
          <w:rFonts w:asciiTheme="minorHAnsi" w:hAnsiTheme="minorHAnsi"/>
          <w:w w:val="105"/>
          <w:szCs w:val="14"/>
          <w:lang w:val="sl-SI"/>
        </w:rPr>
        <w:t>uporabiti</w:t>
      </w:r>
      <w:r w:rsidRPr="001F01BF">
        <w:rPr>
          <w:rFonts w:asciiTheme="minorHAnsi" w:hAnsiTheme="minorHAnsi"/>
          <w:spacing w:val="-20"/>
          <w:w w:val="105"/>
          <w:szCs w:val="14"/>
          <w:lang w:val="sl-SI"/>
        </w:rPr>
        <w:t xml:space="preserve"> </w:t>
      </w:r>
      <w:r w:rsidRPr="001F01BF">
        <w:rPr>
          <w:rFonts w:asciiTheme="minorHAnsi" w:hAnsiTheme="minorHAnsi"/>
          <w:w w:val="105"/>
          <w:szCs w:val="14"/>
          <w:lang w:val="sl-SI"/>
        </w:rPr>
        <w:t>v</w:t>
      </w:r>
      <w:r w:rsidRPr="001F01BF">
        <w:rPr>
          <w:rFonts w:asciiTheme="minorHAnsi" w:hAnsiTheme="minorHAnsi"/>
          <w:spacing w:val="-20"/>
          <w:w w:val="105"/>
          <w:szCs w:val="14"/>
          <w:lang w:val="sl-SI"/>
        </w:rPr>
        <w:t xml:space="preserve"> </w:t>
      </w:r>
      <w:r w:rsidRPr="001F01BF">
        <w:rPr>
          <w:rFonts w:asciiTheme="minorHAnsi" w:hAnsiTheme="minorHAnsi"/>
          <w:w w:val="105"/>
          <w:szCs w:val="14"/>
          <w:lang w:val="sl-SI"/>
        </w:rPr>
        <w:t>vseh</w:t>
      </w:r>
      <w:r w:rsidRPr="001F01BF">
        <w:rPr>
          <w:rFonts w:asciiTheme="minorHAnsi" w:hAnsiTheme="minorHAnsi"/>
          <w:spacing w:val="-20"/>
          <w:w w:val="105"/>
          <w:szCs w:val="14"/>
          <w:lang w:val="sl-SI"/>
        </w:rPr>
        <w:t xml:space="preserve"> </w:t>
      </w:r>
      <w:r w:rsidRPr="001F01BF">
        <w:rPr>
          <w:rFonts w:asciiTheme="minorHAnsi" w:hAnsiTheme="minorHAnsi"/>
          <w:w w:val="105"/>
          <w:szCs w:val="14"/>
          <w:lang w:val="sl-SI"/>
        </w:rPr>
        <w:t>primerih</w:t>
      </w:r>
      <w:r w:rsidRPr="001F01BF">
        <w:rPr>
          <w:rFonts w:asciiTheme="minorHAnsi" w:hAnsiTheme="minorHAnsi"/>
          <w:spacing w:val="-20"/>
          <w:w w:val="105"/>
          <w:szCs w:val="14"/>
          <w:lang w:val="sl-SI"/>
        </w:rPr>
        <w:t xml:space="preserve"> </w:t>
      </w:r>
      <w:r w:rsidRPr="001F01BF">
        <w:rPr>
          <w:rFonts w:asciiTheme="minorHAnsi" w:hAnsiTheme="minorHAnsi"/>
          <w:w w:val="105"/>
          <w:szCs w:val="14"/>
          <w:lang w:val="sl-SI"/>
        </w:rPr>
        <w:t>brez</w:t>
      </w:r>
      <w:r w:rsidRPr="001F01BF">
        <w:rPr>
          <w:rFonts w:asciiTheme="minorHAnsi" w:hAnsiTheme="minorHAnsi"/>
          <w:spacing w:val="-20"/>
          <w:w w:val="105"/>
          <w:szCs w:val="14"/>
          <w:lang w:val="sl-SI"/>
        </w:rPr>
        <w:t xml:space="preserve"> </w:t>
      </w:r>
      <w:r w:rsidRPr="001F01BF">
        <w:rPr>
          <w:rFonts w:asciiTheme="minorHAnsi" w:hAnsiTheme="minorHAnsi"/>
          <w:w w:val="105"/>
          <w:szCs w:val="14"/>
          <w:lang w:val="sl-SI"/>
        </w:rPr>
        <w:t>kakršnih</w:t>
      </w:r>
      <w:r w:rsidRPr="001F01BF">
        <w:rPr>
          <w:rFonts w:asciiTheme="minorHAnsi" w:hAnsiTheme="minorHAnsi"/>
          <w:spacing w:val="-20"/>
          <w:w w:val="105"/>
          <w:szCs w:val="14"/>
          <w:lang w:val="sl-SI"/>
        </w:rPr>
        <w:t xml:space="preserve"> </w:t>
      </w:r>
      <w:r w:rsidRPr="001F01BF">
        <w:rPr>
          <w:rFonts w:asciiTheme="minorHAnsi" w:hAnsiTheme="minorHAnsi"/>
          <w:w w:val="105"/>
          <w:szCs w:val="14"/>
          <w:lang w:val="sl-SI"/>
        </w:rPr>
        <w:t>koli</w:t>
      </w:r>
      <w:r w:rsidRPr="001F01BF">
        <w:rPr>
          <w:rFonts w:asciiTheme="minorHAnsi" w:hAnsiTheme="minorHAnsi"/>
          <w:spacing w:val="-20"/>
          <w:w w:val="105"/>
          <w:szCs w:val="14"/>
          <w:lang w:val="sl-SI"/>
        </w:rPr>
        <w:t xml:space="preserve"> </w:t>
      </w:r>
      <w:r w:rsidRPr="001F01BF">
        <w:rPr>
          <w:rFonts w:asciiTheme="minorHAnsi" w:hAnsiTheme="minorHAnsi"/>
          <w:w w:val="105"/>
          <w:szCs w:val="14"/>
          <w:lang w:val="sl-SI"/>
        </w:rPr>
        <w:t>sprememb</w:t>
      </w:r>
      <w:r w:rsidRPr="001F01BF">
        <w:rPr>
          <w:rFonts w:asciiTheme="minorHAnsi" w:hAnsiTheme="minorHAnsi"/>
          <w:spacing w:val="-19"/>
          <w:w w:val="105"/>
          <w:szCs w:val="14"/>
          <w:lang w:val="sl-SI"/>
        </w:rPr>
        <w:t xml:space="preserve"> </w:t>
      </w:r>
      <w:r w:rsidRPr="001F01BF">
        <w:rPr>
          <w:rFonts w:asciiTheme="minorHAnsi" w:hAnsiTheme="minorHAnsi"/>
          <w:w w:val="105"/>
          <w:szCs w:val="14"/>
          <w:lang w:val="sl-SI"/>
        </w:rPr>
        <w:t>ali</w:t>
      </w:r>
      <w:r w:rsidRPr="001F01BF">
        <w:rPr>
          <w:rFonts w:asciiTheme="minorHAnsi" w:hAnsiTheme="minorHAnsi"/>
          <w:spacing w:val="-20"/>
          <w:w w:val="105"/>
          <w:szCs w:val="14"/>
          <w:lang w:val="sl-SI"/>
        </w:rPr>
        <w:t xml:space="preserve"> </w:t>
      </w:r>
      <w:r w:rsidRPr="001F01BF">
        <w:rPr>
          <w:rFonts w:asciiTheme="minorHAnsi" w:hAnsiTheme="minorHAnsi"/>
          <w:w w:val="105"/>
          <w:szCs w:val="14"/>
          <w:lang w:val="sl-SI"/>
        </w:rPr>
        <w:t>prilagoditev.</w:t>
      </w:r>
      <w:r w:rsidRPr="001F01BF">
        <w:rPr>
          <w:rFonts w:asciiTheme="minorHAnsi" w:hAnsiTheme="minorHAnsi"/>
          <w:spacing w:val="-20"/>
          <w:w w:val="105"/>
          <w:szCs w:val="14"/>
          <w:lang w:val="sl-SI"/>
        </w:rPr>
        <w:t xml:space="preserve"> </w:t>
      </w:r>
      <w:r w:rsidRPr="001F01BF">
        <w:rPr>
          <w:rFonts w:asciiTheme="minorHAnsi" w:hAnsiTheme="minorHAnsi"/>
          <w:w w:val="105"/>
          <w:szCs w:val="14"/>
          <w:lang w:val="sl-SI"/>
        </w:rPr>
        <w:t>Pooblastila</w:t>
      </w:r>
      <w:r w:rsidRPr="001F01BF">
        <w:rPr>
          <w:rFonts w:asciiTheme="minorHAnsi" w:hAnsiTheme="minorHAnsi"/>
          <w:spacing w:val="-20"/>
          <w:w w:val="105"/>
          <w:szCs w:val="14"/>
          <w:lang w:val="sl-SI"/>
        </w:rPr>
        <w:t xml:space="preserve"> </w:t>
      </w:r>
      <w:r w:rsidRPr="001F01BF">
        <w:rPr>
          <w:rFonts w:asciiTheme="minorHAnsi" w:hAnsiTheme="minorHAnsi"/>
          <w:w w:val="105"/>
          <w:szCs w:val="14"/>
          <w:lang w:val="sl-SI"/>
        </w:rPr>
        <w:t>morajo</w:t>
      </w:r>
      <w:r w:rsidRPr="001F01BF">
        <w:rPr>
          <w:rFonts w:asciiTheme="minorHAnsi" w:hAnsiTheme="minorHAnsi"/>
          <w:spacing w:val="-20"/>
          <w:w w:val="105"/>
          <w:szCs w:val="14"/>
          <w:lang w:val="sl-SI"/>
        </w:rPr>
        <w:t xml:space="preserve"> </w:t>
      </w:r>
      <w:r w:rsidRPr="001F01BF">
        <w:rPr>
          <w:rFonts w:asciiTheme="minorHAnsi" w:hAnsiTheme="minorHAnsi"/>
          <w:w w:val="105"/>
          <w:szCs w:val="14"/>
          <w:lang w:val="sl-SI"/>
        </w:rPr>
        <w:t>biti</w:t>
      </w:r>
      <w:r w:rsidRPr="001F01BF">
        <w:rPr>
          <w:rFonts w:asciiTheme="minorHAnsi" w:hAnsiTheme="minorHAnsi"/>
          <w:spacing w:val="-20"/>
          <w:w w:val="105"/>
          <w:szCs w:val="14"/>
          <w:lang w:val="sl-SI"/>
        </w:rPr>
        <w:t xml:space="preserve"> </w:t>
      </w:r>
      <w:r w:rsidRPr="001F01BF">
        <w:rPr>
          <w:rFonts w:asciiTheme="minorHAnsi" w:hAnsiTheme="minorHAnsi"/>
          <w:w w:val="105"/>
          <w:szCs w:val="14"/>
          <w:lang w:val="sl-SI"/>
        </w:rPr>
        <w:t>predložena</w:t>
      </w:r>
      <w:r w:rsidRPr="001F01BF">
        <w:rPr>
          <w:rFonts w:asciiTheme="minorHAnsi" w:hAnsiTheme="minorHAnsi"/>
          <w:spacing w:val="-20"/>
          <w:w w:val="105"/>
          <w:szCs w:val="14"/>
          <w:lang w:val="sl-SI"/>
        </w:rPr>
        <w:t xml:space="preserve"> </w:t>
      </w:r>
      <w:r w:rsidRPr="001F01BF">
        <w:rPr>
          <w:rFonts w:asciiTheme="minorHAnsi" w:hAnsiTheme="minorHAnsi"/>
          <w:w w:val="105"/>
          <w:szCs w:val="14"/>
          <w:lang w:val="sl-SI"/>
        </w:rPr>
        <w:t>v predlogi,</w:t>
      </w:r>
      <w:r w:rsidRPr="001F01BF">
        <w:rPr>
          <w:rFonts w:asciiTheme="minorHAnsi" w:hAnsiTheme="minorHAnsi"/>
          <w:spacing w:val="-7"/>
          <w:w w:val="105"/>
          <w:szCs w:val="14"/>
          <w:lang w:val="sl-SI"/>
        </w:rPr>
        <w:t xml:space="preserve"> </w:t>
      </w:r>
      <w:r w:rsidRPr="001F01BF">
        <w:rPr>
          <w:rFonts w:asciiTheme="minorHAnsi" w:hAnsiTheme="minorHAnsi"/>
          <w:w w:val="105"/>
          <w:szCs w:val="14"/>
          <w:lang w:val="sl-SI"/>
        </w:rPr>
        <w:t>ki</w:t>
      </w:r>
      <w:r w:rsidRPr="001F01BF">
        <w:rPr>
          <w:rFonts w:asciiTheme="minorHAnsi" w:hAnsiTheme="minorHAnsi"/>
          <w:spacing w:val="-7"/>
          <w:w w:val="105"/>
          <w:szCs w:val="14"/>
          <w:lang w:val="sl-SI"/>
        </w:rPr>
        <w:t xml:space="preserve"> </w:t>
      </w:r>
      <w:r w:rsidRPr="001F01BF">
        <w:rPr>
          <w:rFonts w:asciiTheme="minorHAnsi" w:hAnsiTheme="minorHAnsi"/>
          <w:w w:val="105"/>
          <w:szCs w:val="14"/>
          <w:lang w:val="sl-SI"/>
        </w:rPr>
        <w:t>je</w:t>
      </w:r>
      <w:r w:rsidRPr="001F01BF">
        <w:rPr>
          <w:rFonts w:asciiTheme="minorHAnsi" w:hAnsiTheme="minorHAnsi"/>
          <w:spacing w:val="-7"/>
          <w:w w:val="105"/>
          <w:szCs w:val="14"/>
          <w:lang w:val="sl-SI"/>
        </w:rPr>
        <w:t xml:space="preserve"> </w:t>
      </w:r>
      <w:r w:rsidRPr="001F01BF">
        <w:rPr>
          <w:rFonts w:asciiTheme="minorHAnsi" w:hAnsiTheme="minorHAnsi"/>
          <w:w w:val="105"/>
          <w:szCs w:val="14"/>
          <w:lang w:val="sl-SI"/>
        </w:rPr>
        <w:t>objavljena</w:t>
      </w:r>
      <w:r w:rsidRPr="001F01BF">
        <w:rPr>
          <w:rFonts w:asciiTheme="minorHAnsi" w:hAnsiTheme="minorHAnsi"/>
          <w:spacing w:val="-7"/>
          <w:w w:val="105"/>
          <w:szCs w:val="14"/>
          <w:lang w:val="sl-SI"/>
        </w:rPr>
        <w:t xml:space="preserve"> </w:t>
      </w:r>
      <w:r w:rsidRPr="001F01BF">
        <w:rPr>
          <w:rFonts w:asciiTheme="minorHAnsi" w:hAnsiTheme="minorHAnsi"/>
          <w:w w:val="105"/>
          <w:szCs w:val="14"/>
          <w:lang w:val="sl-SI"/>
        </w:rPr>
        <w:t>skupaj</w:t>
      </w:r>
      <w:r w:rsidRPr="001F01BF">
        <w:rPr>
          <w:rFonts w:asciiTheme="minorHAnsi" w:hAnsiTheme="minorHAnsi"/>
          <w:spacing w:val="-6"/>
          <w:w w:val="105"/>
          <w:szCs w:val="14"/>
          <w:lang w:val="sl-SI"/>
        </w:rPr>
        <w:t xml:space="preserve"> </w:t>
      </w:r>
      <w:r w:rsidRPr="001F01BF">
        <w:rPr>
          <w:rFonts w:asciiTheme="minorHAnsi" w:hAnsiTheme="minorHAnsi"/>
          <w:w w:val="105"/>
          <w:szCs w:val="14"/>
          <w:lang w:val="sl-SI"/>
        </w:rPr>
        <w:t>z</w:t>
      </w:r>
      <w:r w:rsidRPr="001F01BF">
        <w:rPr>
          <w:rFonts w:asciiTheme="minorHAnsi" w:hAnsiTheme="minorHAnsi"/>
          <w:spacing w:val="-7"/>
          <w:w w:val="105"/>
          <w:szCs w:val="14"/>
          <w:lang w:val="sl-SI"/>
        </w:rPr>
        <w:t xml:space="preserve"> </w:t>
      </w:r>
      <w:r w:rsidRPr="001F01BF">
        <w:rPr>
          <w:rFonts w:asciiTheme="minorHAnsi" w:hAnsiTheme="minorHAnsi"/>
          <w:w w:val="105"/>
          <w:szCs w:val="14"/>
          <w:lang w:val="sl-SI"/>
        </w:rPr>
        <w:t>uradnimi</w:t>
      </w:r>
      <w:r w:rsidRPr="001F01BF">
        <w:rPr>
          <w:rFonts w:asciiTheme="minorHAnsi" w:hAnsiTheme="minorHAnsi"/>
          <w:spacing w:val="-7"/>
          <w:w w:val="105"/>
          <w:szCs w:val="14"/>
          <w:lang w:val="sl-SI"/>
        </w:rPr>
        <w:t xml:space="preserve"> </w:t>
      </w:r>
      <w:r w:rsidRPr="001F01BF">
        <w:rPr>
          <w:rFonts w:asciiTheme="minorHAnsi" w:hAnsiTheme="minorHAnsi"/>
          <w:w w:val="105"/>
          <w:szCs w:val="14"/>
          <w:lang w:val="sl-SI"/>
        </w:rPr>
        <w:t>dokumenti</w:t>
      </w:r>
      <w:r w:rsidRPr="001F01BF">
        <w:rPr>
          <w:rFonts w:asciiTheme="minorHAnsi" w:hAnsiTheme="minorHAnsi"/>
          <w:spacing w:val="-7"/>
          <w:w w:val="105"/>
          <w:szCs w:val="14"/>
          <w:lang w:val="sl-SI"/>
        </w:rPr>
        <w:t xml:space="preserve"> </w:t>
      </w:r>
      <w:r w:rsidRPr="001F01BF">
        <w:rPr>
          <w:rFonts w:asciiTheme="minorHAnsi" w:hAnsiTheme="minorHAnsi"/>
          <w:w w:val="105"/>
          <w:szCs w:val="14"/>
          <w:lang w:val="sl-SI"/>
        </w:rPr>
        <w:t>razpisa</w:t>
      </w:r>
      <w:r w:rsidRPr="001F01BF">
        <w:rPr>
          <w:rFonts w:asciiTheme="minorHAnsi" w:hAnsiTheme="minorHAnsi"/>
          <w:spacing w:val="-6"/>
          <w:w w:val="105"/>
          <w:szCs w:val="14"/>
          <w:lang w:val="sl-SI"/>
        </w:rPr>
        <w:t xml:space="preserve"> </w:t>
      </w:r>
      <w:r w:rsidRPr="001F01BF">
        <w:rPr>
          <w:rFonts w:asciiTheme="minorHAnsi" w:hAnsiTheme="minorHAnsi"/>
          <w:w w:val="105"/>
          <w:szCs w:val="14"/>
          <w:lang w:val="sl-SI"/>
        </w:rPr>
        <w:t>za</w:t>
      </w:r>
      <w:r w:rsidRPr="001F01BF">
        <w:rPr>
          <w:rFonts w:asciiTheme="minorHAnsi" w:hAnsiTheme="minorHAnsi"/>
          <w:spacing w:val="-7"/>
          <w:w w:val="105"/>
          <w:szCs w:val="14"/>
          <w:lang w:val="sl-SI"/>
        </w:rPr>
        <w:t xml:space="preserve"> </w:t>
      </w:r>
      <w:r w:rsidRPr="001F01BF">
        <w:rPr>
          <w:rFonts w:asciiTheme="minorHAnsi" w:hAnsiTheme="minorHAnsi"/>
          <w:w w:val="105"/>
          <w:szCs w:val="14"/>
          <w:lang w:val="sl-SI"/>
        </w:rPr>
        <w:t>zbiranje</w:t>
      </w:r>
      <w:r w:rsidRPr="001F01BF">
        <w:rPr>
          <w:rFonts w:asciiTheme="minorHAnsi" w:hAnsiTheme="minorHAnsi"/>
          <w:spacing w:val="-7"/>
          <w:w w:val="105"/>
          <w:szCs w:val="14"/>
          <w:lang w:val="sl-SI"/>
        </w:rPr>
        <w:t xml:space="preserve"> </w:t>
      </w:r>
      <w:r w:rsidRPr="001F01BF">
        <w:rPr>
          <w:rFonts w:asciiTheme="minorHAnsi" w:hAnsiTheme="minorHAnsi"/>
          <w:w w:val="105"/>
          <w:szCs w:val="14"/>
          <w:lang w:val="sl-SI"/>
        </w:rPr>
        <w:t>predlogov.</w:t>
      </w:r>
    </w:p>
  </w:footnote>
  <w:footnote w:id="203">
    <w:p w14:paraId="7D39B1B6" w14:textId="77777777" w:rsidR="00A6094F" w:rsidRPr="004E4C36" w:rsidRDefault="00A6094F" w:rsidP="00FC1B4B">
      <w:pPr>
        <w:ind w:left="288" w:hanging="288"/>
        <w:rPr>
          <w:rFonts w:asciiTheme="minorHAnsi" w:hAnsiTheme="minorHAnsi"/>
          <w:color w:val="000000"/>
          <w:sz w:val="14"/>
          <w:szCs w:val="14"/>
          <w:shd w:val="clear" w:color="auto" w:fill="FFFFFF"/>
          <w:lang w:val="sl-SI"/>
        </w:rPr>
      </w:pPr>
      <w:r w:rsidRPr="00BD46E1">
        <w:rPr>
          <w:rStyle w:val="FootnoteReference"/>
          <w:rFonts w:asciiTheme="minorHAnsi" w:hAnsiTheme="minorHAnsi"/>
          <w:sz w:val="14"/>
          <w:szCs w:val="14"/>
        </w:rPr>
        <w:footnoteRef/>
      </w:r>
      <w:r w:rsidRPr="004E4C36">
        <w:rPr>
          <w:rFonts w:asciiTheme="minorHAnsi" w:hAnsiTheme="minorHAnsi"/>
          <w:sz w:val="14"/>
          <w:szCs w:val="14"/>
          <w:lang w:val="sl-SI"/>
        </w:rPr>
        <w:t xml:space="preserve"> </w:t>
      </w:r>
      <w:r>
        <w:rPr>
          <w:rFonts w:asciiTheme="minorHAnsi" w:hAnsiTheme="minorHAnsi"/>
          <w:sz w:val="14"/>
          <w:szCs w:val="14"/>
          <w:lang w:val="sl-SI"/>
        </w:rPr>
        <w:tab/>
      </w:r>
      <w:r w:rsidRPr="004E4C36">
        <w:rPr>
          <w:rFonts w:asciiTheme="minorHAnsi" w:hAnsiTheme="minorHAnsi"/>
          <w:color w:val="000000"/>
          <w:sz w:val="14"/>
          <w:szCs w:val="14"/>
          <w:shd w:val="clear" w:color="auto" w:fill="FFFFFF"/>
          <w:lang w:val="sl-SI"/>
        </w:rPr>
        <w:t>Skladno z Aneksom I.B.I (i) in 16. členom instrumenta za razvojno sodelovanje, ob upoštevanju regijske narave ukrepa, in z namenom, da bi gojili regijsko sodelovanje ter zagotovili popolno regijsko pokritje, se upravičenost tega ukrepa izjemoma nanaša tudi na Čile in Urugvaj.</w:t>
      </w:r>
    </w:p>
  </w:footnote>
  <w:footnote w:id="204">
    <w:p w14:paraId="7D39B1B7" w14:textId="77777777" w:rsidR="00A6094F" w:rsidRDefault="00A6094F" w:rsidP="0083614D">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 xml:space="preserve"> </w:t>
      </w:r>
      <w:r w:rsidRPr="001F01BF">
        <w:rPr>
          <w:rFonts w:asciiTheme="minorHAnsi" w:hAnsiTheme="minorHAnsi"/>
          <w:szCs w:val="14"/>
          <w:lang w:val="sl-SI"/>
        </w:rPr>
        <w:tab/>
        <w:t xml:space="preserve">Naslednje vrste organizacij niso upravičene: </w:t>
      </w:r>
    </w:p>
    <w:p w14:paraId="7D39B1B8" w14:textId="77777777" w:rsidR="00A6094F" w:rsidRDefault="00A6094F" w:rsidP="005115F2">
      <w:pPr>
        <w:pStyle w:val="Guide-Footnote"/>
        <w:numPr>
          <w:ilvl w:val="0"/>
          <w:numId w:val="485"/>
        </w:numPr>
        <w:rPr>
          <w:rFonts w:asciiTheme="minorHAnsi" w:hAnsiTheme="minorHAnsi"/>
          <w:szCs w:val="14"/>
          <w:lang w:val="sl-SI"/>
        </w:rPr>
      </w:pPr>
      <w:r w:rsidRPr="001F01BF">
        <w:rPr>
          <w:rFonts w:asciiTheme="minorHAnsi" w:hAnsiTheme="minorHAnsi"/>
          <w:szCs w:val="14"/>
          <w:lang w:val="sl-SI"/>
        </w:rPr>
        <w:t xml:space="preserve">institucije EU in drugi organi EU, vključno s specializiranimi agencijami (obširen seznam je na voljo na spletišču </w:t>
      </w:r>
      <w:r w:rsidRPr="001F01BF">
        <w:rPr>
          <w:rStyle w:val="Hyperlink"/>
          <w:rFonts w:asciiTheme="minorHAnsi" w:hAnsiTheme="minorHAnsi"/>
          <w:szCs w:val="14"/>
          <w:lang w:val="sl-SI"/>
        </w:rPr>
        <w:t>ec.europa.eu/institutions/index_sl.htm</w:t>
      </w:r>
      <w:r>
        <w:rPr>
          <w:rFonts w:asciiTheme="minorHAnsi" w:hAnsiTheme="minorHAnsi"/>
          <w:szCs w:val="14"/>
          <w:lang w:val="sl-SI"/>
        </w:rPr>
        <w:t xml:space="preserve">); </w:t>
      </w:r>
    </w:p>
    <w:p w14:paraId="7D39B1B9" w14:textId="77777777" w:rsidR="00A6094F" w:rsidRDefault="00A6094F" w:rsidP="005115F2">
      <w:pPr>
        <w:pStyle w:val="Guide-Footnote"/>
        <w:numPr>
          <w:ilvl w:val="0"/>
          <w:numId w:val="485"/>
        </w:numPr>
        <w:rPr>
          <w:rFonts w:asciiTheme="minorHAnsi" w:hAnsiTheme="minorHAnsi"/>
          <w:szCs w:val="14"/>
          <w:lang w:val="sl-SI"/>
        </w:rPr>
      </w:pPr>
      <w:r w:rsidRPr="001F01BF">
        <w:rPr>
          <w:rFonts w:asciiTheme="minorHAnsi" w:hAnsiTheme="minorHAnsi"/>
          <w:szCs w:val="14"/>
          <w:lang w:val="sl-SI"/>
        </w:rPr>
        <w:t>nacionalni uradi Erasmus+ v upravičenih partnerskih državah (da ne prihaja do morebitnega navzkrižja interesov in/al</w:t>
      </w:r>
      <w:r>
        <w:rPr>
          <w:rFonts w:asciiTheme="minorHAnsi" w:hAnsiTheme="minorHAnsi"/>
          <w:szCs w:val="14"/>
          <w:lang w:val="sl-SI"/>
        </w:rPr>
        <w:t>i dvojne dodelitve sredstev);</w:t>
      </w:r>
    </w:p>
    <w:p w14:paraId="7D39B1BA" w14:textId="77777777" w:rsidR="00A6094F" w:rsidRPr="001F01BF" w:rsidRDefault="00A6094F" w:rsidP="005115F2">
      <w:pPr>
        <w:pStyle w:val="Guide-Footnote"/>
        <w:numPr>
          <w:ilvl w:val="0"/>
          <w:numId w:val="485"/>
        </w:numPr>
        <w:rPr>
          <w:rFonts w:asciiTheme="minorHAnsi" w:hAnsiTheme="minorHAnsi"/>
          <w:szCs w:val="14"/>
          <w:lang w:val="sl-SI"/>
        </w:rPr>
      </w:pPr>
      <w:r w:rsidRPr="001F01BF">
        <w:rPr>
          <w:rFonts w:asciiTheme="minorHAnsi" w:hAnsiTheme="minorHAnsi"/>
          <w:szCs w:val="14"/>
          <w:lang w:val="sl-SI"/>
        </w:rPr>
        <w:t>organizacije, ki upravljajo programe EU, kot so nacionalne agencije v državah Programa, naj se opirajo na del C tega vodnika.</w:t>
      </w:r>
    </w:p>
  </w:footnote>
  <w:footnote w:id="205">
    <w:p w14:paraId="7D39B1BB" w14:textId="77777777" w:rsidR="00A6094F" w:rsidRPr="001F01BF" w:rsidRDefault="00A6094F" w:rsidP="0083614D">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 xml:space="preserve">Mednarodna standardna klasiﬁkacija izobraževanja (ISCED 2011), terciarno izobraževanje, </w:t>
      </w:r>
      <w:r w:rsidRPr="001F01BF">
        <w:rPr>
          <w:rFonts w:asciiTheme="minorHAnsi" w:hAnsiTheme="minorHAnsi"/>
          <w:b/>
          <w:szCs w:val="14"/>
          <w:lang w:val="sl-SI"/>
        </w:rPr>
        <w:t xml:space="preserve">vsaj </w:t>
      </w:r>
      <w:r w:rsidRPr="001F01BF">
        <w:rPr>
          <w:rFonts w:asciiTheme="minorHAnsi" w:hAnsiTheme="minorHAnsi"/>
          <w:szCs w:val="14"/>
          <w:lang w:val="sl-SI"/>
        </w:rPr>
        <w:t>raven 5. Posekundarno predterciarno izobraževanje, ISCED 2013, raven 4, ne bo sprejeto.</w:t>
      </w:r>
    </w:p>
  </w:footnote>
  <w:footnote w:id="206">
    <w:p w14:paraId="7D39B1BC" w14:textId="77777777" w:rsidR="00A6094F" w:rsidRPr="001F01BF" w:rsidRDefault="00A6094F" w:rsidP="0083614D">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V okviru tega ukrepa je regija opredeljena kot skupina držav, ki pripada določenemu makrogeografskemu območju. Razvrstitev regij, ki se uporablja v okviru programa Erasmus+, je v skladu s kategorizacijami različnih instrumentov zunanjega delovanja EU.</w:t>
      </w:r>
    </w:p>
  </w:footnote>
  <w:footnote w:id="207">
    <w:p w14:paraId="7D39B1BD" w14:textId="77777777" w:rsidR="00A6094F" w:rsidRPr="001F01BF" w:rsidRDefault="00A6094F" w:rsidP="00FC1B4B">
      <w:pPr>
        <w:ind w:left="288" w:hanging="288"/>
        <w:rPr>
          <w:rFonts w:asciiTheme="minorHAnsi" w:hAnsiTheme="minorHAnsi"/>
          <w:sz w:val="14"/>
          <w:szCs w:val="14"/>
          <w:lang w:val="sl-SI"/>
        </w:rPr>
      </w:pPr>
      <w:r w:rsidRPr="001F01BF">
        <w:rPr>
          <w:rStyle w:val="FootnoteReference"/>
          <w:rFonts w:asciiTheme="minorHAnsi" w:hAnsiTheme="minorHAnsi" w:cs="Times New Roman"/>
          <w:sz w:val="14"/>
          <w:szCs w:val="14"/>
          <w:lang w:val="en-US" w:eastAsia="en-GB"/>
        </w:rPr>
        <w:footnoteRef/>
      </w:r>
      <w:r w:rsidRPr="001F01BF">
        <w:rPr>
          <w:rFonts w:asciiTheme="minorHAnsi" w:eastAsia="Calibri" w:hAnsiTheme="minorHAnsi" w:cs="Calibri"/>
          <w:color w:val="000000"/>
          <w:sz w:val="14"/>
          <w:szCs w:val="14"/>
          <w:bdr w:val="nil"/>
          <w:lang w:val="sl-SI"/>
        </w:rPr>
        <w:t xml:space="preserve"> </w:t>
      </w:r>
      <w:r>
        <w:rPr>
          <w:rFonts w:asciiTheme="minorHAnsi" w:eastAsia="Calibri" w:hAnsiTheme="minorHAnsi" w:cs="Calibri"/>
          <w:color w:val="000000"/>
          <w:sz w:val="14"/>
          <w:szCs w:val="14"/>
          <w:bdr w:val="nil"/>
          <w:lang w:val="sl-SI"/>
        </w:rPr>
        <w:tab/>
      </w:r>
      <w:r w:rsidRPr="001F01BF">
        <w:rPr>
          <w:rFonts w:asciiTheme="minorHAnsi" w:hAnsiTheme="minorHAnsi" w:cs="Times New Roman"/>
          <w:sz w:val="14"/>
          <w:szCs w:val="14"/>
          <w:lang w:val="sl-SI" w:eastAsia="en-GB"/>
        </w:rPr>
        <w:t xml:space="preserve">Okvirni zneski, ki so na voljo po regijah, se objavijo na spletni strani: </w:t>
      </w:r>
      <w:hyperlink r:id="rId88" w:history="1">
        <w:r w:rsidRPr="001F01BF">
          <w:rPr>
            <w:rFonts w:asciiTheme="minorHAnsi" w:hAnsiTheme="minorHAnsi" w:cs="Times New Roman"/>
            <w:sz w:val="14"/>
            <w:szCs w:val="14"/>
            <w:lang w:val="sl-SI" w:eastAsia="en-GB"/>
          </w:rPr>
          <w:t>https://eacea.ec.europa.eu/erasmus-plus/funding_en</w:t>
        </w:r>
      </w:hyperlink>
    </w:p>
  </w:footnote>
  <w:footnote w:id="208">
    <w:p w14:paraId="7D39B1BE" w14:textId="77777777" w:rsidR="00A6094F" w:rsidRPr="001F01BF" w:rsidRDefault="00A6094F" w:rsidP="00FC1B4B">
      <w:pPr>
        <w:pStyle w:val="FootnoteText"/>
        <w:ind w:left="288" w:hanging="288"/>
        <w:rPr>
          <w:rFonts w:asciiTheme="minorHAnsi" w:hAnsiTheme="minorHAnsi"/>
          <w:sz w:val="14"/>
          <w:szCs w:val="14"/>
          <w:lang w:val="sl-SI"/>
        </w:rPr>
      </w:pPr>
      <w:r w:rsidRPr="001F01BF">
        <w:rPr>
          <w:rStyle w:val="FootnoteReference"/>
          <w:rFonts w:asciiTheme="minorHAnsi" w:hAnsiTheme="minorHAnsi"/>
          <w:sz w:val="14"/>
          <w:szCs w:val="14"/>
        </w:rPr>
        <w:footnoteRef/>
      </w:r>
      <w:r w:rsidRPr="001F01BF">
        <w:rPr>
          <w:rFonts w:asciiTheme="minorHAnsi" w:hAnsiTheme="minorHAnsi"/>
          <w:sz w:val="14"/>
          <w:szCs w:val="14"/>
          <w:lang w:val="sl-SI"/>
        </w:rPr>
        <w:t xml:space="preserve"> </w:t>
      </w:r>
      <w:r>
        <w:rPr>
          <w:rFonts w:asciiTheme="minorHAnsi" w:hAnsiTheme="minorHAnsi"/>
          <w:sz w:val="14"/>
          <w:szCs w:val="14"/>
          <w:lang w:val="sl-SI"/>
        </w:rPr>
        <w:tab/>
      </w:r>
      <w:r w:rsidRPr="001F01BF">
        <w:rPr>
          <w:rFonts w:asciiTheme="minorHAnsi" w:eastAsia="Calibri" w:hAnsiTheme="minorHAnsi" w:cs="Calibri"/>
          <w:color w:val="000000"/>
          <w:kern w:val="0"/>
          <w:sz w:val="14"/>
          <w:szCs w:val="14"/>
          <w:u w:color="000000"/>
          <w:bdr w:val="nil"/>
          <w:lang w:val="sl-SI" w:eastAsia="en-GB"/>
        </w:rPr>
        <w:t>https://ec.europa.eu/europeaid/new-european-consensus-development-our-world-our-dignity-our-future_en</w:t>
      </w:r>
    </w:p>
  </w:footnote>
  <w:footnote w:id="209">
    <w:p w14:paraId="7D39B1BF" w14:textId="77777777" w:rsidR="00A6094F" w:rsidRPr="001F01BF" w:rsidRDefault="00A6094F" w:rsidP="0083614D">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 xml:space="preserve">Kalkulator razdalje: </w:t>
      </w:r>
      <w:hyperlink r:id="rId89">
        <w:r w:rsidRPr="001F01BF">
          <w:rPr>
            <w:rStyle w:val="Hyperlink"/>
            <w:rFonts w:asciiTheme="minorHAnsi" w:hAnsiTheme="minorHAnsi"/>
            <w:szCs w:val="14"/>
            <w:lang w:val="sl-SI"/>
          </w:rPr>
          <w:t>http://ec.europa.eu/programmes/erasmus-plus/tools/distance_sl.htm</w:t>
        </w:r>
      </w:hyperlink>
    </w:p>
  </w:footnote>
  <w:footnote w:id="210">
    <w:p w14:paraId="7D39B1C0" w14:textId="77777777" w:rsidR="00A6094F" w:rsidRPr="001F01BF" w:rsidRDefault="00A6094F" w:rsidP="0083614D">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r>
      <w:r w:rsidRPr="001F01BF">
        <w:rPr>
          <w:rFonts w:asciiTheme="minorHAnsi" w:hAnsiTheme="minorHAnsi"/>
          <w:w w:val="105"/>
          <w:szCs w:val="14"/>
          <w:lang w:val="sl-SI"/>
        </w:rPr>
        <w:t>Na</w:t>
      </w:r>
      <w:r w:rsidRPr="001F01BF">
        <w:rPr>
          <w:rFonts w:asciiTheme="minorHAnsi" w:hAnsiTheme="minorHAnsi"/>
          <w:spacing w:val="-11"/>
          <w:w w:val="105"/>
          <w:szCs w:val="14"/>
          <w:lang w:val="sl-SI"/>
        </w:rPr>
        <w:t xml:space="preserve"> </w:t>
      </w:r>
      <w:r w:rsidRPr="001F01BF">
        <w:rPr>
          <w:rFonts w:asciiTheme="minorHAnsi" w:hAnsiTheme="minorHAnsi"/>
          <w:w w:val="105"/>
          <w:szCs w:val="14"/>
          <w:lang w:val="sl-SI"/>
        </w:rPr>
        <w:t>primer,</w:t>
      </w:r>
      <w:r w:rsidRPr="001F01BF">
        <w:rPr>
          <w:rFonts w:asciiTheme="minorHAnsi" w:hAnsiTheme="minorHAnsi"/>
          <w:spacing w:val="-12"/>
          <w:w w:val="105"/>
          <w:szCs w:val="14"/>
          <w:lang w:val="sl-SI"/>
        </w:rPr>
        <w:t xml:space="preserve"> </w:t>
      </w:r>
      <w:r w:rsidRPr="001F01BF">
        <w:rPr>
          <w:rFonts w:asciiTheme="minorHAnsi" w:hAnsiTheme="minorHAnsi"/>
          <w:w w:val="105"/>
          <w:szCs w:val="14"/>
          <w:lang w:val="sl-SI"/>
        </w:rPr>
        <w:t>če</w:t>
      </w:r>
      <w:r w:rsidRPr="001F01BF">
        <w:rPr>
          <w:rFonts w:asciiTheme="minorHAnsi" w:hAnsiTheme="minorHAnsi"/>
          <w:spacing w:val="-11"/>
          <w:w w:val="105"/>
          <w:szCs w:val="14"/>
          <w:lang w:val="sl-SI"/>
        </w:rPr>
        <w:t xml:space="preserve"> </w:t>
      </w:r>
      <w:r w:rsidRPr="001F01BF">
        <w:rPr>
          <w:rFonts w:asciiTheme="minorHAnsi" w:hAnsiTheme="minorHAnsi"/>
          <w:w w:val="105"/>
          <w:szCs w:val="14"/>
          <w:lang w:val="sl-SI"/>
        </w:rPr>
        <w:t>oseba</w:t>
      </w:r>
      <w:r w:rsidRPr="001F01BF">
        <w:rPr>
          <w:rFonts w:asciiTheme="minorHAnsi" w:hAnsiTheme="minorHAnsi"/>
          <w:spacing w:val="-12"/>
          <w:w w:val="105"/>
          <w:szCs w:val="14"/>
          <w:lang w:val="sl-SI"/>
        </w:rPr>
        <w:t xml:space="preserve"> </w:t>
      </w:r>
      <w:r w:rsidRPr="001F01BF">
        <w:rPr>
          <w:rFonts w:asciiTheme="minorHAnsi" w:hAnsiTheme="minorHAnsi"/>
          <w:w w:val="105"/>
          <w:szCs w:val="14"/>
          <w:lang w:val="sl-SI"/>
        </w:rPr>
        <w:t>iz</w:t>
      </w:r>
      <w:r w:rsidRPr="001F01BF">
        <w:rPr>
          <w:rFonts w:asciiTheme="minorHAnsi" w:hAnsiTheme="minorHAnsi"/>
          <w:spacing w:val="-12"/>
          <w:w w:val="105"/>
          <w:szCs w:val="14"/>
          <w:lang w:val="sl-SI"/>
        </w:rPr>
        <w:t xml:space="preserve"> </w:t>
      </w:r>
      <w:r w:rsidRPr="001F01BF">
        <w:rPr>
          <w:rFonts w:asciiTheme="minorHAnsi" w:hAnsiTheme="minorHAnsi"/>
          <w:w w:val="105"/>
          <w:szCs w:val="14"/>
          <w:lang w:val="sl-SI"/>
        </w:rPr>
        <w:t>Madrida</w:t>
      </w:r>
      <w:r w:rsidRPr="001F01BF">
        <w:rPr>
          <w:rFonts w:asciiTheme="minorHAnsi" w:hAnsiTheme="minorHAnsi"/>
          <w:spacing w:val="-12"/>
          <w:w w:val="105"/>
          <w:szCs w:val="14"/>
          <w:lang w:val="sl-SI"/>
        </w:rPr>
        <w:t xml:space="preserve"> </w:t>
      </w:r>
      <w:r w:rsidRPr="001F01BF">
        <w:rPr>
          <w:rFonts w:asciiTheme="minorHAnsi" w:hAnsiTheme="minorHAnsi"/>
          <w:w w:val="105"/>
          <w:szCs w:val="14"/>
          <w:lang w:val="sl-SI"/>
        </w:rPr>
        <w:t>(Španija)</w:t>
      </w:r>
      <w:r w:rsidRPr="001F01BF">
        <w:rPr>
          <w:rFonts w:asciiTheme="minorHAnsi" w:hAnsiTheme="minorHAnsi"/>
          <w:spacing w:val="-12"/>
          <w:w w:val="105"/>
          <w:szCs w:val="14"/>
          <w:lang w:val="sl-SI"/>
        </w:rPr>
        <w:t xml:space="preserve"> </w:t>
      </w:r>
      <w:r w:rsidRPr="001F01BF">
        <w:rPr>
          <w:rFonts w:asciiTheme="minorHAnsi" w:hAnsiTheme="minorHAnsi"/>
          <w:w w:val="105"/>
          <w:szCs w:val="14"/>
          <w:lang w:val="sl-SI"/>
        </w:rPr>
        <w:t>sodeluje</w:t>
      </w:r>
      <w:r w:rsidRPr="001F01BF">
        <w:rPr>
          <w:rFonts w:asciiTheme="minorHAnsi" w:hAnsiTheme="minorHAnsi"/>
          <w:spacing w:val="-11"/>
          <w:w w:val="105"/>
          <w:szCs w:val="14"/>
          <w:lang w:val="sl-SI"/>
        </w:rPr>
        <w:t xml:space="preserve"> </w:t>
      </w:r>
      <w:r w:rsidRPr="001F01BF">
        <w:rPr>
          <w:rFonts w:asciiTheme="minorHAnsi" w:hAnsiTheme="minorHAnsi"/>
          <w:w w:val="105"/>
          <w:szCs w:val="14"/>
          <w:lang w:val="sl-SI"/>
        </w:rPr>
        <w:t>pri</w:t>
      </w:r>
      <w:r w:rsidRPr="001F01BF">
        <w:rPr>
          <w:rFonts w:asciiTheme="minorHAnsi" w:hAnsiTheme="minorHAnsi"/>
          <w:spacing w:val="-12"/>
          <w:w w:val="105"/>
          <w:szCs w:val="14"/>
          <w:lang w:val="sl-SI"/>
        </w:rPr>
        <w:t xml:space="preserve"> </w:t>
      </w:r>
      <w:r w:rsidRPr="001F01BF">
        <w:rPr>
          <w:rFonts w:asciiTheme="minorHAnsi" w:hAnsiTheme="minorHAnsi"/>
          <w:w w:val="105"/>
          <w:szCs w:val="14"/>
          <w:lang w:val="sl-SI"/>
        </w:rPr>
        <w:t>aktivnosti,</w:t>
      </w:r>
      <w:r w:rsidRPr="001F01BF">
        <w:rPr>
          <w:rFonts w:asciiTheme="minorHAnsi" w:hAnsiTheme="minorHAnsi"/>
          <w:spacing w:val="-12"/>
          <w:w w:val="105"/>
          <w:szCs w:val="14"/>
          <w:lang w:val="sl-SI"/>
        </w:rPr>
        <w:t xml:space="preserve"> </w:t>
      </w:r>
      <w:r w:rsidRPr="001F01BF">
        <w:rPr>
          <w:rFonts w:asciiTheme="minorHAnsi" w:hAnsiTheme="minorHAnsi"/>
          <w:w w:val="105"/>
          <w:szCs w:val="14"/>
          <w:lang w:val="sl-SI"/>
        </w:rPr>
        <w:t>ki</w:t>
      </w:r>
      <w:r w:rsidRPr="001F01BF">
        <w:rPr>
          <w:rFonts w:asciiTheme="minorHAnsi" w:hAnsiTheme="minorHAnsi"/>
          <w:spacing w:val="-12"/>
          <w:w w:val="105"/>
          <w:szCs w:val="14"/>
          <w:lang w:val="sl-SI"/>
        </w:rPr>
        <w:t xml:space="preserve"> </w:t>
      </w:r>
      <w:r w:rsidRPr="001F01BF">
        <w:rPr>
          <w:rFonts w:asciiTheme="minorHAnsi" w:hAnsiTheme="minorHAnsi"/>
          <w:w w:val="105"/>
          <w:szCs w:val="14"/>
          <w:lang w:val="sl-SI"/>
        </w:rPr>
        <w:t>se</w:t>
      </w:r>
      <w:r w:rsidRPr="001F01BF">
        <w:rPr>
          <w:rFonts w:asciiTheme="minorHAnsi" w:hAnsiTheme="minorHAnsi"/>
          <w:spacing w:val="-11"/>
          <w:w w:val="105"/>
          <w:szCs w:val="14"/>
          <w:lang w:val="sl-SI"/>
        </w:rPr>
        <w:t xml:space="preserve"> </w:t>
      </w:r>
      <w:r w:rsidRPr="001F01BF">
        <w:rPr>
          <w:rFonts w:asciiTheme="minorHAnsi" w:hAnsiTheme="minorHAnsi"/>
          <w:w w:val="105"/>
          <w:szCs w:val="14"/>
          <w:lang w:val="sl-SI"/>
        </w:rPr>
        <w:t>izvaja</w:t>
      </w:r>
      <w:r w:rsidRPr="001F01BF">
        <w:rPr>
          <w:rFonts w:asciiTheme="minorHAnsi" w:hAnsiTheme="minorHAnsi"/>
          <w:spacing w:val="-12"/>
          <w:w w:val="105"/>
          <w:szCs w:val="14"/>
          <w:lang w:val="sl-SI"/>
        </w:rPr>
        <w:t xml:space="preserve"> </w:t>
      </w:r>
      <w:r w:rsidRPr="001F01BF">
        <w:rPr>
          <w:rFonts w:asciiTheme="minorHAnsi" w:hAnsiTheme="minorHAnsi"/>
          <w:w w:val="105"/>
          <w:szCs w:val="14"/>
          <w:lang w:val="sl-SI"/>
        </w:rPr>
        <w:t>v</w:t>
      </w:r>
      <w:r w:rsidRPr="001F01BF">
        <w:rPr>
          <w:rFonts w:asciiTheme="minorHAnsi" w:hAnsiTheme="minorHAnsi"/>
          <w:spacing w:val="-12"/>
          <w:w w:val="105"/>
          <w:szCs w:val="14"/>
          <w:lang w:val="sl-SI"/>
        </w:rPr>
        <w:t xml:space="preserve"> </w:t>
      </w:r>
      <w:r w:rsidRPr="001F01BF">
        <w:rPr>
          <w:rFonts w:asciiTheme="minorHAnsi" w:hAnsiTheme="minorHAnsi"/>
          <w:w w:val="105"/>
          <w:szCs w:val="14"/>
          <w:lang w:val="sl-SI"/>
        </w:rPr>
        <w:t>Rimu</w:t>
      </w:r>
      <w:r w:rsidRPr="001F01BF">
        <w:rPr>
          <w:rFonts w:asciiTheme="minorHAnsi" w:hAnsiTheme="minorHAnsi"/>
          <w:spacing w:val="-12"/>
          <w:w w:val="105"/>
          <w:szCs w:val="14"/>
          <w:lang w:val="sl-SI"/>
        </w:rPr>
        <w:t xml:space="preserve"> </w:t>
      </w:r>
      <w:r w:rsidRPr="001F01BF">
        <w:rPr>
          <w:rFonts w:asciiTheme="minorHAnsi" w:hAnsiTheme="minorHAnsi"/>
          <w:w w:val="105"/>
          <w:szCs w:val="14"/>
          <w:lang w:val="sl-SI"/>
        </w:rPr>
        <w:t>(Italija),</w:t>
      </w:r>
      <w:r w:rsidRPr="001F01BF">
        <w:rPr>
          <w:rFonts w:asciiTheme="minorHAnsi" w:hAnsiTheme="minorHAnsi"/>
          <w:spacing w:val="-12"/>
          <w:w w:val="105"/>
          <w:szCs w:val="14"/>
          <w:lang w:val="sl-SI"/>
        </w:rPr>
        <w:t xml:space="preserve"> </w:t>
      </w:r>
      <w:r w:rsidRPr="001F01BF">
        <w:rPr>
          <w:rFonts w:asciiTheme="minorHAnsi" w:hAnsiTheme="minorHAnsi"/>
          <w:w w:val="105"/>
          <w:szCs w:val="14"/>
          <w:lang w:val="sl-SI"/>
        </w:rPr>
        <w:t>bo</w:t>
      </w:r>
      <w:r w:rsidRPr="001F01BF">
        <w:rPr>
          <w:rFonts w:asciiTheme="minorHAnsi" w:hAnsiTheme="minorHAnsi"/>
          <w:spacing w:val="-12"/>
          <w:w w:val="105"/>
          <w:szCs w:val="14"/>
          <w:lang w:val="sl-SI"/>
        </w:rPr>
        <w:t xml:space="preserve"> </w:t>
      </w:r>
      <w:r w:rsidRPr="001F01BF">
        <w:rPr>
          <w:rFonts w:asciiTheme="minorHAnsi" w:hAnsiTheme="minorHAnsi"/>
          <w:w w:val="105"/>
          <w:szCs w:val="14"/>
          <w:lang w:val="sl-SI"/>
        </w:rPr>
        <w:t xml:space="preserve">prijavitelj </w:t>
      </w:r>
      <w:r w:rsidRPr="001F01BF">
        <w:rPr>
          <w:rFonts w:asciiTheme="minorHAnsi" w:hAnsiTheme="minorHAnsi"/>
          <w:szCs w:val="14"/>
          <w:lang w:val="sl-SI"/>
        </w:rPr>
        <w:t>(a) izračunal razdaljo od Madrida do Rima (1 365,28 km), (b) izbral ustrezen razpon razdalje poti (tj. od 500 do 1 999 km) ter (c) izračunal nepovratna sredstva EU za kritje stroškov poti udeleženca iz Madrida do Rima in nazaj (275 EUR).</w:t>
      </w:r>
    </w:p>
  </w:footnote>
  <w:footnote w:id="211">
    <w:p w14:paraId="7D39B1C1" w14:textId="77777777" w:rsidR="00A6094F" w:rsidRPr="001F01BF" w:rsidRDefault="00A6094F" w:rsidP="0083614D">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Študenti lahko delajo za projekt in njihove plače se lahko izplačajo iz stroškov osebja (administrativnega osebja), če so podpisali pogodbo o delu z institucijo, ki je članica konzorcija.</w:t>
      </w:r>
    </w:p>
  </w:footnote>
  <w:footnote w:id="212">
    <w:p w14:paraId="7D39B1C2" w14:textId="77777777" w:rsidR="00A6094F" w:rsidRPr="001F01BF" w:rsidRDefault="00A6094F" w:rsidP="0083614D">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Študenti lahko delajo za projekt in njihove plače se lahko izplačajo iz stroškov osebja (administrativnega osebja), če so podpisali pogodbo o delu z institucijo, ki je članica konzorcija.</w:t>
      </w:r>
    </w:p>
  </w:footnote>
  <w:footnote w:id="213">
    <w:p w14:paraId="7D39B1C3" w14:textId="77777777" w:rsidR="00A6094F" w:rsidRPr="001F01BF" w:rsidRDefault="00A6094F" w:rsidP="0083614D">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To poimenovanje ne posega v stališča o statusu ter je v skladu z RVSZN 1244 in mnenjem Meddržavnega sodišča o razglasitvi neodvisnosti Kosova.</w:t>
      </w:r>
    </w:p>
  </w:footnote>
  <w:footnote w:id="214">
    <w:p w14:paraId="7D39B1C4" w14:textId="77777777" w:rsidR="00A6094F" w:rsidRPr="001F01BF" w:rsidRDefault="00A6094F" w:rsidP="0083614D">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To poimenovanje se ne razlaga kot priznanje palestinske države in ne posega v posamezna stališča držav članic glede tega</w:t>
      </w:r>
      <w:r w:rsidRPr="001F01BF">
        <w:rPr>
          <w:rFonts w:asciiTheme="minorHAnsi" w:hAnsiTheme="minorHAnsi"/>
          <w:spacing w:val="1"/>
          <w:szCs w:val="14"/>
          <w:lang w:val="sl-SI"/>
        </w:rPr>
        <w:t xml:space="preserve"> </w:t>
      </w:r>
      <w:r w:rsidRPr="001F01BF">
        <w:rPr>
          <w:rFonts w:asciiTheme="minorHAnsi" w:hAnsiTheme="minorHAnsi"/>
          <w:szCs w:val="14"/>
          <w:lang w:val="sl-SI"/>
        </w:rPr>
        <w:t>vprašanja.</w:t>
      </w:r>
    </w:p>
  </w:footnote>
  <w:footnote w:id="215">
    <w:p w14:paraId="7D39B1C5" w14:textId="77777777" w:rsidR="00A6094F" w:rsidRPr="001F01BF" w:rsidRDefault="00A6094F" w:rsidP="00763B2A">
      <w:pPr>
        <w:pStyle w:val="Guide-Footnote"/>
        <w:rPr>
          <w:rFonts w:asciiTheme="minorHAnsi" w:hAnsiTheme="minorHAnsi"/>
          <w:szCs w:val="14"/>
          <w:lang w:val="sl-SI"/>
        </w:rPr>
      </w:pPr>
      <w:r w:rsidRPr="001F01BF">
        <w:rPr>
          <w:rStyle w:val="FootnoteReference"/>
          <w:rFonts w:asciiTheme="minorHAnsi" w:hAnsiTheme="minorHAnsi"/>
          <w:szCs w:val="14"/>
        </w:rPr>
        <w:footnoteRef/>
      </w:r>
      <w:r w:rsidRPr="001F01BF">
        <w:rPr>
          <w:rFonts w:asciiTheme="minorHAnsi" w:hAnsiTheme="minorHAnsi"/>
          <w:szCs w:val="14"/>
          <w:lang w:val="sl-SI"/>
        </w:rPr>
        <w:tab/>
        <w:t>V okviru tega ukrepa je regija opredeljena kot skupina držav, ki pripada določnemu makrogeografskemu območju.</w:t>
      </w:r>
    </w:p>
  </w:footnote>
  <w:footnote w:id="216">
    <w:p w14:paraId="7D39B1C6" w14:textId="1A8E4284" w:rsidR="00A6094F" w:rsidRPr="00C80136" w:rsidRDefault="00A6094F" w:rsidP="00C80136">
      <w:pPr>
        <w:pStyle w:val="FootnoteText"/>
        <w:ind w:left="288" w:hanging="288"/>
        <w:rPr>
          <w:sz w:val="14"/>
          <w:szCs w:val="14"/>
          <w:lang w:val="sl-SI"/>
        </w:rPr>
      </w:pPr>
      <w:r w:rsidRPr="00C80136">
        <w:rPr>
          <w:rStyle w:val="FootnoteReference"/>
          <w:sz w:val="14"/>
          <w:szCs w:val="14"/>
        </w:rPr>
        <w:footnoteRef/>
      </w:r>
      <w:r w:rsidRPr="00C80136">
        <w:rPr>
          <w:sz w:val="14"/>
          <w:szCs w:val="14"/>
          <w:lang w:val="sl-SI"/>
        </w:rPr>
        <w:t xml:space="preserve"> </w:t>
      </w:r>
      <w:r>
        <w:rPr>
          <w:sz w:val="14"/>
          <w:szCs w:val="14"/>
          <w:lang w:val="sl-SI"/>
        </w:rPr>
        <w:tab/>
        <w:t>Se financira z instrumenti IPA II in ENI.</w:t>
      </w:r>
    </w:p>
  </w:footnote>
  <w:footnote w:id="217">
    <w:p w14:paraId="7D39B1C7" w14:textId="77777777" w:rsidR="00A6094F" w:rsidRPr="001F01BF" w:rsidRDefault="00A6094F" w:rsidP="00FC1B4B">
      <w:pPr>
        <w:pStyle w:val="FootnoteText"/>
        <w:ind w:left="288" w:hanging="288"/>
        <w:rPr>
          <w:rFonts w:asciiTheme="minorHAnsi" w:eastAsia="Calibri" w:hAnsiTheme="minorHAnsi" w:cs="Calibri"/>
          <w:sz w:val="14"/>
          <w:szCs w:val="14"/>
          <w:bdr w:val="nil"/>
          <w:lang w:val="sl-SI"/>
        </w:rPr>
      </w:pPr>
      <w:r w:rsidRPr="001F01BF">
        <w:rPr>
          <w:rStyle w:val="FootnoteReference"/>
          <w:rFonts w:asciiTheme="minorHAnsi" w:hAnsiTheme="minorHAnsi"/>
          <w:sz w:val="14"/>
          <w:szCs w:val="14"/>
        </w:rPr>
        <w:footnoteRef/>
      </w:r>
      <w:r w:rsidRPr="001F01BF">
        <w:rPr>
          <w:rStyle w:val="FootnoteReference"/>
          <w:rFonts w:asciiTheme="minorHAnsi" w:eastAsia="Calibri" w:hAnsiTheme="minorHAnsi" w:cs="Calibri"/>
          <w:smallCaps/>
          <w:sz w:val="14"/>
          <w:szCs w:val="14"/>
          <w:bdr w:val="nil"/>
          <w:lang w:val="sl-SI"/>
        </w:rPr>
        <w:t xml:space="preserve"> </w:t>
      </w:r>
      <w:r>
        <w:rPr>
          <w:rFonts w:asciiTheme="minorHAnsi" w:eastAsia="Calibri" w:hAnsiTheme="minorHAnsi" w:cs="Calibri"/>
          <w:smallCaps/>
          <w:sz w:val="14"/>
          <w:szCs w:val="14"/>
          <w:bdr w:val="nil"/>
          <w:lang w:val="sl-SI"/>
        </w:rPr>
        <w:tab/>
      </w:r>
      <w:r w:rsidRPr="001F01BF">
        <w:rPr>
          <w:rFonts w:asciiTheme="minorHAnsi" w:hAnsiTheme="minorHAnsi"/>
          <w:sz w:val="14"/>
          <w:szCs w:val="14"/>
          <w:lang w:val="sl-SI" w:eastAsia="en-GB"/>
        </w:rPr>
        <w:t>Aktivnosti mobilnosti, ki se izvajajo v sodelovanju s sosedskimi partnerskimi državami EU, ki pa jih je predložila partnerska organizacija v državi Programa, se lahko podpirajo v okviru Ključnega ukrepa 1: Projekt mobilnosti za mlade in mladinske delavce in v okviru projektov Ključni ukrep 3 Projekti Dialog mladih.</w:t>
      </w:r>
    </w:p>
  </w:footnote>
  <w:footnote w:id="218">
    <w:p w14:paraId="7D39B1C8" w14:textId="77777777" w:rsidR="00A6094F" w:rsidRPr="001F01BF" w:rsidRDefault="00A6094F" w:rsidP="00763B2A">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t>Upoštevati je treba</w:t>
      </w:r>
      <w:r w:rsidRPr="001F01BF">
        <w:rPr>
          <w:rFonts w:asciiTheme="minorHAnsi" w:hAnsiTheme="minorHAnsi"/>
          <w:spacing w:val="1"/>
          <w:szCs w:val="14"/>
          <w:lang w:val="pl-PL"/>
        </w:rPr>
        <w:t xml:space="preserve"> </w:t>
      </w:r>
      <w:r w:rsidRPr="001F01BF">
        <w:rPr>
          <w:rFonts w:asciiTheme="minorHAnsi" w:hAnsiTheme="minorHAnsi"/>
          <w:szCs w:val="14"/>
          <w:lang w:val="pl-PL"/>
        </w:rPr>
        <w:t xml:space="preserve">naslednje: </w:t>
      </w:r>
    </w:p>
    <w:p w14:paraId="7D39B1C9" w14:textId="77777777" w:rsidR="00A6094F" w:rsidRPr="001F01BF" w:rsidRDefault="00A6094F" w:rsidP="00C63BBE">
      <w:pPr>
        <w:pStyle w:val="Guide-ListDash"/>
        <w:rPr>
          <w:rFonts w:asciiTheme="minorHAnsi" w:hAnsiTheme="minorHAnsi"/>
          <w:sz w:val="14"/>
          <w:szCs w:val="14"/>
          <w:lang w:val="pl-PL"/>
        </w:rPr>
      </w:pPr>
      <w:r w:rsidRPr="001F01BF">
        <w:rPr>
          <w:rFonts w:asciiTheme="minorHAnsi" w:hAnsiTheme="minorHAnsi"/>
          <w:sz w:val="14"/>
          <w:szCs w:val="14"/>
          <w:lang w:val="pl-PL"/>
        </w:rPr>
        <w:t>spodnja starostna omejitev – udeleženci morajo izpolniti najnižjo navedeno starost na dan začetka aktivnosti;</w:t>
      </w:r>
    </w:p>
    <w:p w14:paraId="7D39B1CA" w14:textId="77777777" w:rsidR="00A6094F" w:rsidRPr="001F01BF" w:rsidRDefault="00A6094F" w:rsidP="00E03711">
      <w:pPr>
        <w:pStyle w:val="Guide-ListDash"/>
        <w:spacing w:after="0"/>
        <w:rPr>
          <w:rFonts w:asciiTheme="minorHAnsi" w:hAnsiTheme="minorHAnsi"/>
          <w:sz w:val="14"/>
          <w:szCs w:val="14"/>
          <w:lang w:val="pl-PL"/>
        </w:rPr>
      </w:pPr>
      <w:r w:rsidRPr="001F01BF">
        <w:rPr>
          <w:rFonts w:asciiTheme="minorHAnsi" w:hAnsiTheme="minorHAnsi"/>
          <w:sz w:val="14"/>
          <w:szCs w:val="14"/>
          <w:lang w:val="pl-PL"/>
        </w:rPr>
        <w:t>zgornja starostna omejitev – udeleženci ne smejo biti starejši od najvišje navedene starosti na dan roka za oddajo vloge.</w:t>
      </w:r>
    </w:p>
  </w:footnote>
  <w:footnote w:id="219">
    <w:p w14:paraId="7D39B1CB" w14:textId="77777777" w:rsidR="00A6094F" w:rsidRPr="001F01BF" w:rsidRDefault="00A6094F" w:rsidP="00763B2A">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t>Glej opombo</w:t>
      </w:r>
      <w:r w:rsidRPr="001F01BF">
        <w:rPr>
          <w:rFonts w:asciiTheme="minorHAnsi" w:hAnsiTheme="minorHAnsi"/>
          <w:spacing w:val="-1"/>
          <w:szCs w:val="14"/>
          <w:lang w:val="pl-PL"/>
        </w:rPr>
        <w:t xml:space="preserve"> </w:t>
      </w:r>
      <w:r w:rsidRPr="001F01BF">
        <w:rPr>
          <w:rFonts w:asciiTheme="minorHAnsi" w:hAnsiTheme="minorHAnsi"/>
          <w:szCs w:val="14"/>
          <w:lang w:val="pl-PL"/>
        </w:rPr>
        <w:t>zgoraj.</w:t>
      </w:r>
    </w:p>
  </w:footnote>
  <w:footnote w:id="220">
    <w:p w14:paraId="7D39B1CC" w14:textId="77777777" w:rsidR="00A6094F" w:rsidRPr="001F01BF" w:rsidRDefault="00A6094F" w:rsidP="00763B2A">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t>Vključno z vodji usposabljanja, pomočniki in spremljevalci.</w:t>
      </w:r>
    </w:p>
  </w:footnote>
  <w:footnote w:id="221">
    <w:p w14:paraId="7D39B1CD" w14:textId="77777777" w:rsidR="00A6094F" w:rsidRPr="001F01BF" w:rsidRDefault="00A6094F" w:rsidP="00763B2A">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r>
      <w:hyperlink r:id="rId90">
        <w:r w:rsidRPr="001F01BF">
          <w:rPr>
            <w:rStyle w:val="Hyperlink"/>
            <w:rFonts w:asciiTheme="minorHAnsi" w:hAnsiTheme="minorHAnsi"/>
            <w:szCs w:val="14"/>
            <w:lang w:val="pl-PL"/>
          </w:rPr>
          <w:t>http://ec.europa.eu/programmes/erasmus-plus/resources_sl#tab-1-4</w:t>
        </w:r>
      </w:hyperlink>
      <w:r w:rsidRPr="001F01BF">
        <w:rPr>
          <w:rStyle w:val="Hyperlink"/>
          <w:rFonts w:asciiTheme="minorHAnsi" w:hAnsiTheme="minorHAnsi"/>
          <w:szCs w:val="14"/>
          <w:lang w:val="pl-PL"/>
        </w:rPr>
        <w:t>.8</w:t>
      </w:r>
    </w:p>
  </w:footnote>
  <w:footnote w:id="222">
    <w:p w14:paraId="7D39B1CE" w14:textId="77777777" w:rsidR="00A6094F" w:rsidRPr="001F01BF" w:rsidRDefault="00A6094F" w:rsidP="00763B2A">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r>
      <w:r w:rsidRPr="001F01BF">
        <w:rPr>
          <w:rFonts w:asciiTheme="minorHAnsi" w:hAnsiTheme="minorHAnsi"/>
          <w:w w:val="105"/>
          <w:szCs w:val="14"/>
          <w:lang w:val="pl-PL"/>
        </w:rPr>
        <w:t>Na</w:t>
      </w:r>
      <w:r w:rsidRPr="001F01BF">
        <w:rPr>
          <w:rFonts w:asciiTheme="minorHAnsi" w:hAnsiTheme="minorHAnsi"/>
          <w:spacing w:val="-11"/>
          <w:w w:val="105"/>
          <w:szCs w:val="14"/>
          <w:lang w:val="pl-PL"/>
        </w:rPr>
        <w:t xml:space="preserve"> </w:t>
      </w:r>
      <w:r w:rsidRPr="001F01BF">
        <w:rPr>
          <w:rFonts w:asciiTheme="minorHAnsi" w:hAnsiTheme="minorHAnsi"/>
          <w:w w:val="105"/>
          <w:szCs w:val="14"/>
          <w:lang w:val="pl-PL"/>
        </w:rPr>
        <w:t>primer,</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če</w:t>
      </w:r>
      <w:r w:rsidRPr="001F01BF">
        <w:rPr>
          <w:rFonts w:asciiTheme="minorHAnsi" w:hAnsiTheme="minorHAnsi"/>
          <w:spacing w:val="-11"/>
          <w:w w:val="105"/>
          <w:szCs w:val="14"/>
          <w:lang w:val="pl-PL"/>
        </w:rPr>
        <w:t xml:space="preserve"> </w:t>
      </w:r>
      <w:r w:rsidRPr="001F01BF">
        <w:rPr>
          <w:rFonts w:asciiTheme="minorHAnsi" w:hAnsiTheme="minorHAnsi"/>
          <w:w w:val="105"/>
          <w:szCs w:val="14"/>
          <w:lang w:val="pl-PL"/>
        </w:rPr>
        <w:t>oseba</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iz</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Madrida</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(Španija)</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sodeluje</w:t>
      </w:r>
      <w:r w:rsidRPr="001F01BF">
        <w:rPr>
          <w:rFonts w:asciiTheme="minorHAnsi" w:hAnsiTheme="minorHAnsi"/>
          <w:spacing w:val="-11"/>
          <w:w w:val="105"/>
          <w:szCs w:val="14"/>
          <w:lang w:val="pl-PL"/>
        </w:rPr>
        <w:t xml:space="preserve"> </w:t>
      </w:r>
      <w:r w:rsidRPr="001F01BF">
        <w:rPr>
          <w:rFonts w:asciiTheme="minorHAnsi" w:hAnsiTheme="minorHAnsi"/>
          <w:w w:val="105"/>
          <w:szCs w:val="14"/>
          <w:lang w:val="pl-PL"/>
        </w:rPr>
        <w:t>pri</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aktivnosti,</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ki</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se</w:t>
      </w:r>
      <w:r w:rsidRPr="001F01BF">
        <w:rPr>
          <w:rFonts w:asciiTheme="minorHAnsi" w:hAnsiTheme="minorHAnsi"/>
          <w:spacing w:val="-11"/>
          <w:w w:val="105"/>
          <w:szCs w:val="14"/>
          <w:lang w:val="pl-PL"/>
        </w:rPr>
        <w:t xml:space="preserve"> </w:t>
      </w:r>
      <w:r w:rsidRPr="001F01BF">
        <w:rPr>
          <w:rFonts w:asciiTheme="minorHAnsi" w:hAnsiTheme="minorHAnsi"/>
          <w:w w:val="105"/>
          <w:szCs w:val="14"/>
          <w:lang w:val="pl-PL"/>
        </w:rPr>
        <w:t>izvaja</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v</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Rimu</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(Italija),</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bo</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 xml:space="preserve">prijavitelj </w:t>
      </w:r>
      <w:r w:rsidRPr="001F01BF">
        <w:rPr>
          <w:rFonts w:asciiTheme="minorHAnsi" w:hAnsiTheme="minorHAnsi"/>
          <w:w w:val="105"/>
          <w:szCs w:val="14"/>
          <w:lang w:val="pl-PL"/>
        </w:rPr>
        <w:br/>
      </w:r>
      <w:r w:rsidRPr="001F01BF">
        <w:rPr>
          <w:rFonts w:asciiTheme="minorHAnsi" w:hAnsiTheme="minorHAnsi"/>
          <w:szCs w:val="14"/>
          <w:lang w:val="pl-PL"/>
        </w:rPr>
        <w:t xml:space="preserve">a) izračunal razdaljo od Madrida do Rima (1 365,28 km); </w:t>
      </w:r>
      <w:r w:rsidRPr="001F01BF">
        <w:rPr>
          <w:rFonts w:asciiTheme="minorHAnsi" w:hAnsiTheme="minorHAnsi"/>
          <w:szCs w:val="14"/>
          <w:lang w:val="pl-PL"/>
        </w:rPr>
        <w:br/>
        <w:t xml:space="preserve">b) izbral ustrezen razpon razdalje poti (tj. od 500 do 1 999 km) ter </w:t>
      </w:r>
      <w:r w:rsidRPr="001F01BF">
        <w:rPr>
          <w:rFonts w:asciiTheme="minorHAnsi" w:hAnsiTheme="minorHAnsi"/>
          <w:szCs w:val="14"/>
          <w:lang w:val="pl-PL"/>
        </w:rPr>
        <w:br/>
        <w:t>c) izračunal nepovratna sredstva EU za kritje stroškov poti udeleženca iz Madrida do Rima in nazaj (275 EUR).</w:t>
      </w:r>
    </w:p>
  </w:footnote>
  <w:footnote w:id="223">
    <w:p w14:paraId="7D39B1CF" w14:textId="77777777" w:rsidR="00A6094F" w:rsidRPr="001F01BF" w:rsidRDefault="00A6094F" w:rsidP="00763B2A">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t>Vključno z vodji skupin in spremljevalci</w:t>
      </w:r>
    </w:p>
  </w:footnote>
  <w:footnote w:id="224">
    <w:p w14:paraId="7D39B1D0" w14:textId="77777777" w:rsidR="00A6094F" w:rsidRPr="001F01BF" w:rsidRDefault="00A6094F" w:rsidP="009B18DC">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r>
      <w:hyperlink r:id="rId91">
        <w:r w:rsidRPr="001F01BF">
          <w:rPr>
            <w:rStyle w:val="Hyperlink"/>
            <w:rFonts w:asciiTheme="minorHAnsi" w:hAnsiTheme="minorHAnsi"/>
            <w:szCs w:val="14"/>
            <w:lang w:val="pl-PL"/>
          </w:rPr>
          <w:t>http://ec.europa.eu/programmes/erasmus-plus/resources_sl#tab-1-4</w:t>
        </w:r>
      </w:hyperlink>
      <w:r w:rsidRPr="001F01BF">
        <w:rPr>
          <w:rStyle w:val="Hyperlink"/>
          <w:rFonts w:asciiTheme="minorHAnsi" w:hAnsiTheme="minorHAnsi"/>
          <w:szCs w:val="14"/>
          <w:lang w:val="pl-PL"/>
        </w:rPr>
        <w:t>.</w:t>
      </w:r>
    </w:p>
  </w:footnote>
  <w:footnote w:id="225">
    <w:p w14:paraId="7D39B1D1" w14:textId="77777777" w:rsidR="00A6094F" w:rsidRPr="001F01BF" w:rsidRDefault="00A6094F" w:rsidP="009421AF">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r>
      <w:r w:rsidRPr="001F01BF">
        <w:rPr>
          <w:rFonts w:asciiTheme="minorHAnsi" w:hAnsiTheme="minorHAnsi"/>
          <w:w w:val="105"/>
          <w:szCs w:val="14"/>
          <w:lang w:val="pl-PL"/>
        </w:rPr>
        <w:t>Na primer, če oseba iz Madrida (Španija) sodeluje pri aktivnosti, ki se izvaja v Rimu (Italija), bo prijavitelj</w:t>
      </w:r>
      <w:r w:rsidRPr="001F01BF">
        <w:rPr>
          <w:rFonts w:asciiTheme="minorHAnsi" w:hAnsiTheme="minorHAnsi"/>
          <w:szCs w:val="14"/>
          <w:lang w:val="pl-PL"/>
        </w:rPr>
        <w:t xml:space="preserve"> </w:t>
      </w:r>
      <w:r w:rsidRPr="001F01BF">
        <w:rPr>
          <w:rFonts w:asciiTheme="minorHAnsi" w:hAnsiTheme="minorHAnsi"/>
          <w:szCs w:val="14"/>
          <w:lang w:val="pl-PL"/>
        </w:rPr>
        <w:br/>
        <w:t xml:space="preserve">a) izračunal razdaljo od Madrida do Rima (1 365,28 km); </w:t>
      </w:r>
      <w:r w:rsidRPr="001F01BF">
        <w:rPr>
          <w:rFonts w:asciiTheme="minorHAnsi" w:hAnsiTheme="minorHAnsi"/>
          <w:szCs w:val="14"/>
          <w:lang w:val="pl-PL"/>
        </w:rPr>
        <w:br/>
        <w:t xml:space="preserve">b) izbral ustrezen razpon razdalje poti (tj. od 500 do 1 999 km) ter </w:t>
      </w:r>
      <w:r w:rsidRPr="001F01BF">
        <w:rPr>
          <w:rFonts w:asciiTheme="minorHAnsi" w:hAnsiTheme="minorHAnsi"/>
          <w:szCs w:val="14"/>
          <w:lang w:val="pl-PL"/>
        </w:rPr>
        <w:br/>
        <w:t>c) izračunal nepovratna sredstva EU za kritje stroškov poti udeleženca iz Madrida do Rima in nazaj.</w:t>
      </w:r>
    </w:p>
  </w:footnote>
  <w:footnote w:id="226">
    <w:p w14:paraId="7D39B1D2" w14:textId="77777777" w:rsidR="00A6094F" w:rsidRPr="001F01BF" w:rsidRDefault="00A6094F" w:rsidP="009421AF">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t>Vključno s spremljevalci prostovoljcev z manj priložnostmi.</w:t>
      </w:r>
    </w:p>
  </w:footnote>
  <w:footnote w:id="227">
    <w:p w14:paraId="7D39B1D3" w14:textId="77777777" w:rsidR="00A6094F" w:rsidRPr="001F01BF" w:rsidRDefault="00A6094F" w:rsidP="009421AF">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r>
      <w:hyperlink r:id="rId92">
        <w:r w:rsidRPr="001F01BF">
          <w:rPr>
            <w:rStyle w:val="Hyperlink"/>
            <w:rFonts w:asciiTheme="minorHAnsi" w:hAnsiTheme="minorHAnsi"/>
            <w:szCs w:val="14"/>
            <w:lang w:val="pl-PL"/>
          </w:rPr>
          <w:t>http://ec.europa.eu/programmes/erasmus-plus/resources_sl#tab-1-4</w:t>
        </w:r>
      </w:hyperlink>
      <w:r w:rsidRPr="001F01BF">
        <w:rPr>
          <w:rStyle w:val="Hyperlink"/>
          <w:rFonts w:asciiTheme="minorHAnsi" w:hAnsiTheme="minorHAnsi"/>
          <w:szCs w:val="14"/>
          <w:lang w:val="pl-PL"/>
        </w:rPr>
        <w:t>.</w:t>
      </w:r>
    </w:p>
  </w:footnote>
  <w:footnote w:id="228">
    <w:p w14:paraId="7D39B1D4" w14:textId="77777777" w:rsidR="00A6094F" w:rsidRPr="001F01BF" w:rsidRDefault="00A6094F" w:rsidP="009421AF">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r>
      <w:r w:rsidRPr="001F01BF">
        <w:rPr>
          <w:rFonts w:asciiTheme="minorHAnsi" w:hAnsiTheme="minorHAnsi"/>
          <w:w w:val="105"/>
          <w:szCs w:val="14"/>
          <w:lang w:val="pl-PL"/>
        </w:rPr>
        <w:t>Na</w:t>
      </w:r>
      <w:r w:rsidRPr="001F01BF">
        <w:rPr>
          <w:rFonts w:asciiTheme="minorHAnsi" w:hAnsiTheme="minorHAnsi"/>
          <w:spacing w:val="-11"/>
          <w:w w:val="105"/>
          <w:szCs w:val="14"/>
          <w:lang w:val="pl-PL"/>
        </w:rPr>
        <w:t xml:space="preserve"> </w:t>
      </w:r>
      <w:r w:rsidRPr="001F01BF">
        <w:rPr>
          <w:rFonts w:asciiTheme="minorHAnsi" w:hAnsiTheme="minorHAnsi"/>
          <w:w w:val="105"/>
          <w:szCs w:val="14"/>
          <w:lang w:val="pl-PL"/>
        </w:rPr>
        <w:t>primer,</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če</w:t>
      </w:r>
      <w:r w:rsidRPr="001F01BF">
        <w:rPr>
          <w:rFonts w:asciiTheme="minorHAnsi" w:hAnsiTheme="minorHAnsi"/>
          <w:spacing w:val="-11"/>
          <w:w w:val="105"/>
          <w:szCs w:val="14"/>
          <w:lang w:val="pl-PL"/>
        </w:rPr>
        <w:t xml:space="preserve"> </w:t>
      </w:r>
      <w:r w:rsidRPr="001F01BF">
        <w:rPr>
          <w:rFonts w:asciiTheme="minorHAnsi" w:hAnsiTheme="minorHAnsi"/>
          <w:w w:val="105"/>
          <w:szCs w:val="14"/>
          <w:lang w:val="pl-PL"/>
        </w:rPr>
        <w:t>oseba</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iz</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Madrida</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(Španija)</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sodeluje</w:t>
      </w:r>
      <w:r w:rsidRPr="001F01BF">
        <w:rPr>
          <w:rFonts w:asciiTheme="minorHAnsi" w:hAnsiTheme="minorHAnsi"/>
          <w:spacing w:val="-11"/>
          <w:w w:val="105"/>
          <w:szCs w:val="14"/>
          <w:lang w:val="pl-PL"/>
        </w:rPr>
        <w:t xml:space="preserve"> </w:t>
      </w:r>
      <w:r w:rsidRPr="001F01BF">
        <w:rPr>
          <w:rFonts w:asciiTheme="minorHAnsi" w:hAnsiTheme="minorHAnsi"/>
          <w:w w:val="105"/>
          <w:szCs w:val="14"/>
          <w:lang w:val="pl-PL"/>
        </w:rPr>
        <w:t>pri</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aktivnosti,</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ki</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se</w:t>
      </w:r>
      <w:r w:rsidRPr="001F01BF">
        <w:rPr>
          <w:rFonts w:asciiTheme="minorHAnsi" w:hAnsiTheme="minorHAnsi"/>
          <w:spacing w:val="-11"/>
          <w:w w:val="105"/>
          <w:szCs w:val="14"/>
          <w:lang w:val="pl-PL"/>
        </w:rPr>
        <w:t xml:space="preserve"> </w:t>
      </w:r>
      <w:r w:rsidRPr="001F01BF">
        <w:rPr>
          <w:rFonts w:asciiTheme="minorHAnsi" w:hAnsiTheme="minorHAnsi"/>
          <w:w w:val="105"/>
          <w:szCs w:val="14"/>
          <w:lang w:val="pl-PL"/>
        </w:rPr>
        <w:t>izvaja</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v</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Rimu</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(Italija),</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bo</w:t>
      </w:r>
      <w:r w:rsidRPr="001F01BF">
        <w:rPr>
          <w:rFonts w:asciiTheme="minorHAnsi" w:hAnsiTheme="minorHAnsi"/>
          <w:spacing w:val="-12"/>
          <w:w w:val="105"/>
          <w:szCs w:val="14"/>
          <w:lang w:val="pl-PL"/>
        </w:rPr>
        <w:t xml:space="preserve"> </w:t>
      </w:r>
      <w:r w:rsidRPr="001F01BF">
        <w:rPr>
          <w:rFonts w:asciiTheme="minorHAnsi" w:hAnsiTheme="minorHAnsi"/>
          <w:w w:val="105"/>
          <w:szCs w:val="14"/>
          <w:lang w:val="pl-PL"/>
        </w:rPr>
        <w:t xml:space="preserve">prijavitelj </w:t>
      </w:r>
      <w:r w:rsidRPr="001F01BF">
        <w:rPr>
          <w:rFonts w:asciiTheme="minorHAnsi" w:hAnsiTheme="minorHAnsi"/>
          <w:w w:val="105"/>
          <w:szCs w:val="14"/>
          <w:lang w:val="pl-PL"/>
        </w:rPr>
        <w:br/>
      </w:r>
      <w:r w:rsidRPr="001F01BF">
        <w:rPr>
          <w:rFonts w:asciiTheme="minorHAnsi" w:hAnsiTheme="minorHAnsi"/>
          <w:szCs w:val="14"/>
          <w:lang w:val="pl-PL"/>
        </w:rPr>
        <w:t xml:space="preserve">a) izračunal razdaljo od Madrida do Rima (1 365,28 km); </w:t>
      </w:r>
      <w:r w:rsidRPr="001F01BF">
        <w:rPr>
          <w:rFonts w:asciiTheme="minorHAnsi" w:hAnsiTheme="minorHAnsi"/>
          <w:szCs w:val="14"/>
          <w:lang w:val="pl-PL"/>
        </w:rPr>
        <w:br/>
        <w:t xml:space="preserve">b) izbral ustrezen razpon razdalje poti (tj. od 500 do 1 999 km) ter </w:t>
      </w:r>
      <w:r w:rsidRPr="001F01BF">
        <w:rPr>
          <w:rFonts w:asciiTheme="minorHAnsi" w:hAnsiTheme="minorHAnsi"/>
          <w:szCs w:val="14"/>
          <w:lang w:val="pl-PL"/>
        </w:rPr>
        <w:br/>
        <w:t>c) izračunal nepovratna sredstva EU za kritje stroškov poti udeleženca iz Madrida do Rima in nazaj (275 EUR).</w:t>
      </w:r>
    </w:p>
  </w:footnote>
  <w:footnote w:id="229">
    <w:p w14:paraId="7D39B1D5" w14:textId="77777777" w:rsidR="00A6094F" w:rsidRPr="001F01BF" w:rsidRDefault="00A6094F" w:rsidP="009421AF">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t>Vključno z vodji usposabljanja, pomočniki in spremljevalci.</w:t>
      </w:r>
    </w:p>
  </w:footnote>
  <w:footnote w:id="230">
    <w:p w14:paraId="7D39B1D6" w14:textId="77777777" w:rsidR="00A6094F" w:rsidRPr="001F01BF" w:rsidRDefault="00A6094F" w:rsidP="00FC1B4B">
      <w:pPr>
        <w:ind w:left="288" w:hanging="288"/>
        <w:rPr>
          <w:rFonts w:asciiTheme="minorHAnsi" w:hAnsiTheme="minorHAnsi"/>
          <w:sz w:val="14"/>
          <w:szCs w:val="14"/>
          <w:lang w:val="pl-PL"/>
        </w:rPr>
      </w:pPr>
      <w:r w:rsidRPr="001F01BF">
        <w:rPr>
          <w:rStyle w:val="FootnoteReference"/>
          <w:rFonts w:asciiTheme="minorHAnsi" w:eastAsia="Times New Roman" w:hAnsiTheme="minorHAnsi" w:cs="Times New Roman"/>
          <w:smallCaps/>
          <w:kern w:val="0"/>
          <w:sz w:val="14"/>
          <w:szCs w:val="14"/>
        </w:rPr>
        <w:footnoteRef/>
      </w:r>
      <w:r w:rsidRPr="001F01BF">
        <w:rPr>
          <w:rFonts w:asciiTheme="minorHAnsi" w:eastAsia="Times New Roman" w:hAnsiTheme="minorHAnsi" w:cs="Times New Roman"/>
          <w:sz w:val="14"/>
          <w:szCs w:val="14"/>
          <w:bdr w:val="nil"/>
          <w:lang w:val="sl-SI"/>
        </w:rPr>
        <w:t xml:space="preserve"> </w:t>
      </w:r>
      <w:r>
        <w:rPr>
          <w:rFonts w:asciiTheme="minorHAnsi" w:eastAsia="Times New Roman" w:hAnsiTheme="minorHAnsi" w:cs="Times New Roman"/>
          <w:sz w:val="14"/>
          <w:szCs w:val="14"/>
          <w:bdr w:val="nil"/>
          <w:lang w:val="sl-SI"/>
        </w:rPr>
        <w:tab/>
      </w:r>
      <w:hyperlink r:id="rId93" w:history="1">
        <w:r w:rsidRPr="00B21ADA">
          <w:rPr>
            <w:rStyle w:val="Hyperlink"/>
            <w:rFonts w:asciiTheme="minorHAnsi" w:eastAsia="Calibri" w:hAnsiTheme="minorHAnsi" w:cs="Calibri"/>
            <w:sz w:val="14"/>
            <w:szCs w:val="14"/>
            <w:bdr w:val="nil"/>
            <w:lang w:val="sl-SI"/>
          </w:rPr>
          <w:t>https://ec.europa.eu/youth/policy/youth-strategy/euyouthdialogue_en</w:t>
        </w:r>
      </w:hyperlink>
    </w:p>
  </w:footnote>
  <w:footnote w:id="231">
    <w:p w14:paraId="7D39B1D7" w14:textId="77777777" w:rsidR="00A6094F" w:rsidRPr="001F01BF" w:rsidRDefault="00A6094F" w:rsidP="00150777">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t>Sedeži institucij Evropske unije so Bruselj, Frankfurt, Luxembourg, Strasbourg in Haag.</w:t>
      </w:r>
    </w:p>
  </w:footnote>
  <w:footnote w:id="232">
    <w:p w14:paraId="7D39B1D8" w14:textId="77777777" w:rsidR="00A6094F" w:rsidRPr="001F01BF" w:rsidRDefault="00A6094F" w:rsidP="00150777">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r>
      <w:hyperlink r:id="rId94">
        <w:r w:rsidRPr="001F01BF">
          <w:rPr>
            <w:rStyle w:val="Hyperlink"/>
            <w:rFonts w:asciiTheme="minorHAnsi" w:hAnsiTheme="minorHAnsi"/>
            <w:szCs w:val="14"/>
            <w:lang w:val="pl-PL"/>
          </w:rPr>
          <w:t>http://ec.europa.eu/programmes/erasmus-plus/resources_sl#tab-1-4</w:t>
        </w:r>
      </w:hyperlink>
      <w:r w:rsidRPr="001F01BF">
        <w:rPr>
          <w:rStyle w:val="Hyperlink"/>
          <w:rFonts w:asciiTheme="minorHAnsi" w:hAnsiTheme="minorHAnsi"/>
          <w:szCs w:val="14"/>
          <w:lang w:val="pl-PL"/>
        </w:rPr>
        <w:t>.</w:t>
      </w:r>
    </w:p>
  </w:footnote>
  <w:footnote w:id="233">
    <w:p w14:paraId="7D39B1D9" w14:textId="77777777" w:rsidR="00A6094F" w:rsidRPr="001F01BF" w:rsidRDefault="00A6094F" w:rsidP="00150777">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r>
      <w:r w:rsidRPr="001F01BF">
        <w:rPr>
          <w:rFonts w:asciiTheme="minorHAnsi" w:hAnsiTheme="minorHAnsi"/>
          <w:w w:val="105"/>
          <w:szCs w:val="14"/>
          <w:lang w:val="pl-PL"/>
        </w:rPr>
        <w:t>Na</w:t>
      </w:r>
      <w:r w:rsidRPr="001F01BF">
        <w:rPr>
          <w:rFonts w:asciiTheme="minorHAnsi" w:hAnsiTheme="minorHAnsi"/>
          <w:spacing w:val="-10"/>
          <w:w w:val="105"/>
          <w:szCs w:val="14"/>
          <w:lang w:val="pl-PL"/>
        </w:rPr>
        <w:t xml:space="preserve"> </w:t>
      </w:r>
      <w:r w:rsidRPr="001F01BF">
        <w:rPr>
          <w:rFonts w:asciiTheme="minorHAnsi" w:hAnsiTheme="minorHAnsi"/>
          <w:w w:val="105"/>
          <w:szCs w:val="14"/>
          <w:lang w:val="pl-PL"/>
        </w:rPr>
        <w:t>primer,</w:t>
      </w:r>
      <w:r w:rsidRPr="001F01BF">
        <w:rPr>
          <w:rFonts w:asciiTheme="minorHAnsi" w:hAnsiTheme="minorHAnsi"/>
          <w:spacing w:val="-11"/>
          <w:w w:val="105"/>
          <w:szCs w:val="14"/>
          <w:lang w:val="pl-PL"/>
        </w:rPr>
        <w:t xml:space="preserve"> </w:t>
      </w:r>
      <w:r w:rsidRPr="001F01BF">
        <w:rPr>
          <w:rFonts w:asciiTheme="minorHAnsi" w:hAnsiTheme="minorHAnsi"/>
          <w:w w:val="105"/>
          <w:szCs w:val="14"/>
          <w:lang w:val="pl-PL"/>
        </w:rPr>
        <w:t>če</w:t>
      </w:r>
      <w:r w:rsidRPr="001F01BF">
        <w:rPr>
          <w:rFonts w:asciiTheme="minorHAnsi" w:hAnsiTheme="minorHAnsi"/>
          <w:spacing w:val="-10"/>
          <w:w w:val="105"/>
          <w:szCs w:val="14"/>
          <w:lang w:val="pl-PL"/>
        </w:rPr>
        <w:t xml:space="preserve"> </w:t>
      </w:r>
      <w:r w:rsidRPr="001F01BF">
        <w:rPr>
          <w:rFonts w:asciiTheme="minorHAnsi" w:hAnsiTheme="minorHAnsi"/>
          <w:w w:val="105"/>
          <w:szCs w:val="14"/>
          <w:lang w:val="pl-PL"/>
        </w:rPr>
        <w:t>oseba</w:t>
      </w:r>
      <w:r w:rsidRPr="001F01BF">
        <w:rPr>
          <w:rFonts w:asciiTheme="minorHAnsi" w:hAnsiTheme="minorHAnsi"/>
          <w:spacing w:val="-11"/>
          <w:w w:val="105"/>
          <w:szCs w:val="14"/>
          <w:lang w:val="pl-PL"/>
        </w:rPr>
        <w:t xml:space="preserve"> </w:t>
      </w:r>
      <w:r w:rsidRPr="001F01BF">
        <w:rPr>
          <w:rFonts w:asciiTheme="minorHAnsi" w:hAnsiTheme="minorHAnsi"/>
          <w:w w:val="105"/>
          <w:szCs w:val="14"/>
          <w:lang w:val="pl-PL"/>
        </w:rPr>
        <w:t>iz</w:t>
      </w:r>
      <w:r w:rsidRPr="001F01BF">
        <w:rPr>
          <w:rFonts w:asciiTheme="minorHAnsi" w:hAnsiTheme="minorHAnsi"/>
          <w:spacing w:val="-11"/>
          <w:w w:val="105"/>
          <w:szCs w:val="14"/>
          <w:lang w:val="pl-PL"/>
        </w:rPr>
        <w:t xml:space="preserve"> </w:t>
      </w:r>
      <w:r w:rsidRPr="001F01BF">
        <w:rPr>
          <w:rFonts w:asciiTheme="minorHAnsi" w:hAnsiTheme="minorHAnsi"/>
          <w:w w:val="105"/>
          <w:szCs w:val="14"/>
          <w:lang w:val="pl-PL"/>
        </w:rPr>
        <w:t>Madrida</w:t>
      </w:r>
      <w:r w:rsidRPr="001F01BF">
        <w:rPr>
          <w:rFonts w:asciiTheme="minorHAnsi" w:hAnsiTheme="minorHAnsi"/>
          <w:spacing w:val="-11"/>
          <w:w w:val="105"/>
          <w:szCs w:val="14"/>
          <w:lang w:val="pl-PL"/>
        </w:rPr>
        <w:t xml:space="preserve"> </w:t>
      </w:r>
      <w:r w:rsidRPr="001F01BF">
        <w:rPr>
          <w:rFonts w:asciiTheme="minorHAnsi" w:hAnsiTheme="minorHAnsi"/>
          <w:w w:val="105"/>
          <w:szCs w:val="14"/>
          <w:lang w:val="pl-PL"/>
        </w:rPr>
        <w:t>(Španija)</w:t>
      </w:r>
      <w:r w:rsidRPr="001F01BF">
        <w:rPr>
          <w:rFonts w:asciiTheme="minorHAnsi" w:hAnsiTheme="minorHAnsi"/>
          <w:spacing w:val="-11"/>
          <w:w w:val="105"/>
          <w:szCs w:val="14"/>
          <w:lang w:val="pl-PL"/>
        </w:rPr>
        <w:t xml:space="preserve"> </w:t>
      </w:r>
      <w:r w:rsidRPr="001F01BF">
        <w:rPr>
          <w:rFonts w:asciiTheme="minorHAnsi" w:hAnsiTheme="minorHAnsi"/>
          <w:w w:val="105"/>
          <w:szCs w:val="14"/>
          <w:lang w:val="pl-PL"/>
        </w:rPr>
        <w:t>sodeluje</w:t>
      </w:r>
      <w:r w:rsidRPr="001F01BF">
        <w:rPr>
          <w:rFonts w:asciiTheme="minorHAnsi" w:hAnsiTheme="minorHAnsi"/>
          <w:spacing w:val="-10"/>
          <w:w w:val="105"/>
          <w:szCs w:val="14"/>
          <w:lang w:val="pl-PL"/>
        </w:rPr>
        <w:t xml:space="preserve"> </w:t>
      </w:r>
      <w:r w:rsidRPr="001F01BF">
        <w:rPr>
          <w:rFonts w:asciiTheme="minorHAnsi" w:hAnsiTheme="minorHAnsi"/>
          <w:w w:val="105"/>
          <w:szCs w:val="14"/>
          <w:lang w:val="pl-PL"/>
        </w:rPr>
        <w:t>pri</w:t>
      </w:r>
      <w:r w:rsidRPr="001F01BF">
        <w:rPr>
          <w:rFonts w:asciiTheme="minorHAnsi" w:hAnsiTheme="minorHAnsi"/>
          <w:spacing w:val="-11"/>
          <w:w w:val="105"/>
          <w:szCs w:val="14"/>
          <w:lang w:val="pl-PL"/>
        </w:rPr>
        <w:t xml:space="preserve"> </w:t>
      </w:r>
      <w:r w:rsidRPr="001F01BF">
        <w:rPr>
          <w:rFonts w:asciiTheme="minorHAnsi" w:hAnsiTheme="minorHAnsi"/>
          <w:w w:val="105"/>
          <w:szCs w:val="14"/>
          <w:lang w:val="pl-PL"/>
        </w:rPr>
        <w:t>aktivnosti,</w:t>
      </w:r>
      <w:r w:rsidRPr="001F01BF">
        <w:rPr>
          <w:rFonts w:asciiTheme="minorHAnsi" w:hAnsiTheme="minorHAnsi"/>
          <w:spacing w:val="-11"/>
          <w:w w:val="105"/>
          <w:szCs w:val="14"/>
          <w:lang w:val="pl-PL"/>
        </w:rPr>
        <w:t xml:space="preserve"> </w:t>
      </w:r>
      <w:r w:rsidRPr="001F01BF">
        <w:rPr>
          <w:rFonts w:asciiTheme="minorHAnsi" w:hAnsiTheme="minorHAnsi"/>
          <w:w w:val="105"/>
          <w:szCs w:val="14"/>
          <w:lang w:val="pl-PL"/>
        </w:rPr>
        <w:t>ki</w:t>
      </w:r>
      <w:r w:rsidRPr="001F01BF">
        <w:rPr>
          <w:rFonts w:asciiTheme="minorHAnsi" w:hAnsiTheme="minorHAnsi"/>
          <w:spacing w:val="-11"/>
          <w:w w:val="105"/>
          <w:szCs w:val="14"/>
          <w:lang w:val="pl-PL"/>
        </w:rPr>
        <w:t xml:space="preserve"> </w:t>
      </w:r>
      <w:r w:rsidRPr="001F01BF">
        <w:rPr>
          <w:rFonts w:asciiTheme="minorHAnsi" w:hAnsiTheme="minorHAnsi"/>
          <w:w w:val="105"/>
          <w:szCs w:val="14"/>
          <w:lang w:val="pl-PL"/>
        </w:rPr>
        <w:t>se</w:t>
      </w:r>
      <w:r w:rsidRPr="001F01BF">
        <w:rPr>
          <w:rFonts w:asciiTheme="minorHAnsi" w:hAnsiTheme="minorHAnsi"/>
          <w:spacing w:val="-10"/>
          <w:w w:val="105"/>
          <w:szCs w:val="14"/>
          <w:lang w:val="pl-PL"/>
        </w:rPr>
        <w:t xml:space="preserve"> </w:t>
      </w:r>
      <w:r w:rsidRPr="001F01BF">
        <w:rPr>
          <w:rFonts w:asciiTheme="minorHAnsi" w:hAnsiTheme="minorHAnsi"/>
          <w:w w:val="105"/>
          <w:szCs w:val="14"/>
          <w:lang w:val="pl-PL"/>
        </w:rPr>
        <w:t>izvaja</w:t>
      </w:r>
      <w:r w:rsidRPr="001F01BF">
        <w:rPr>
          <w:rFonts w:asciiTheme="minorHAnsi" w:hAnsiTheme="minorHAnsi"/>
          <w:spacing w:val="-11"/>
          <w:w w:val="105"/>
          <w:szCs w:val="14"/>
          <w:lang w:val="pl-PL"/>
        </w:rPr>
        <w:t xml:space="preserve"> </w:t>
      </w:r>
      <w:r w:rsidRPr="001F01BF">
        <w:rPr>
          <w:rFonts w:asciiTheme="minorHAnsi" w:hAnsiTheme="minorHAnsi"/>
          <w:w w:val="105"/>
          <w:szCs w:val="14"/>
          <w:lang w:val="pl-PL"/>
        </w:rPr>
        <w:t>v</w:t>
      </w:r>
      <w:r w:rsidRPr="001F01BF">
        <w:rPr>
          <w:rFonts w:asciiTheme="minorHAnsi" w:hAnsiTheme="minorHAnsi"/>
          <w:spacing w:val="-11"/>
          <w:w w:val="105"/>
          <w:szCs w:val="14"/>
          <w:lang w:val="pl-PL"/>
        </w:rPr>
        <w:t xml:space="preserve"> </w:t>
      </w:r>
      <w:r w:rsidRPr="001F01BF">
        <w:rPr>
          <w:rFonts w:asciiTheme="minorHAnsi" w:hAnsiTheme="minorHAnsi"/>
          <w:w w:val="105"/>
          <w:szCs w:val="14"/>
          <w:lang w:val="pl-PL"/>
        </w:rPr>
        <w:t>Rimu</w:t>
      </w:r>
      <w:r w:rsidRPr="001F01BF">
        <w:rPr>
          <w:rFonts w:asciiTheme="minorHAnsi" w:hAnsiTheme="minorHAnsi"/>
          <w:spacing w:val="-11"/>
          <w:w w:val="105"/>
          <w:szCs w:val="14"/>
          <w:lang w:val="pl-PL"/>
        </w:rPr>
        <w:t xml:space="preserve"> </w:t>
      </w:r>
      <w:r w:rsidRPr="001F01BF">
        <w:rPr>
          <w:rFonts w:asciiTheme="minorHAnsi" w:hAnsiTheme="minorHAnsi"/>
          <w:w w:val="105"/>
          <w:szCs w:val="14"/>
          <w:lang w:val="pl-PL"/>
        </w:rPr>
        <w:t>(Italija),</w:t>
      </w:r>
      <w:r w:rsidRPr="001F01BF">
        <w:rPr>
          <w:rFonts w:asciiTheme="minorHAnsi" w:hAnsiTheme="minorHAnsi"/>
          <w:spacing w:val="-11"/>
          <w:w w:val="105"/>
          <w:szCs w:val="14"/>
          <w:lang w:val="pl-PL"/>
        </w:rPr>
        <w:t xml:space="preserve"> </w:t>
      </w:r>
      <w:r w:rsidRPr="001F01BF">
        <w:rPr>
          <w:rFonts w:asciiTheme="minorHAnsi" w:hAnsiTheme="minorHAnsi"/>
          <w:w w:val="105"/>
          <w:szCs w:val="14"/>
          <w:lang w:val="pl-PL"/>
        </w:rPr>
        <w:t>bo</w:t>
      </w:r>
      <w:r w:rsidRPr="001F01BF">
        <w:rPr>
          <w:rFonts w:asciiTheme="minorHAnsi" w:hAnsiTheme="minorHAnsi"/>
          <w:spacing w:val="-11"/>
          <w:w w:val="105"/>
          <w:szCs w:val="14"/>
          <w:lang w:val="pl-PL"/>
        </w:rPr>
        <w:t xml:space="preserve"> </w:t>
      </w:r>
      <w:r w:rsidRPr="001F01BF">
        <w:rPr>
          <w:rFonts w:asciiTheme="minorHAnsi" w:hAnsiTheme="minorHAnsi"/>
          <w:w w:val="105"/>
          <w:szCs w:val="14"/>
          <w:lang w:val="pl-PL"/>
        </w:rPr>
        <w:t xml:space="preserve">prijavitelj </w:t>
      </w:r>
      <w:r w:rsidRPr="001F01BF">
        <w:rPr>
          <w:rFonts w:asciiTheme="minorHAnsi" w:hAnsiTheme="minorHAnsi"/>
          <w:w w:val="105"/>
          <w:szCs w:val="14"/>
          <w:lang w:val="pl-PL"/>
        </w:rPr>
        <w:br/>
      </w:r>
      <w:r w:rsidRPr="001F01BF">
        <w:rPr>
          <w:rFonts w:asciiTheme="minorHAnsi" w:hAnsiTheme="minorHAnsi"/>
          <w:szCs w:val="14"/>
          <w:lang w:val="pl-PL"/>
        </w:rPr>
        <w:t xml:space="preserve">a) izračunal razdaljo od Madrida do Rima (1 365,28 km); </w:t>
      </w:r>
      <w:r w:rsidRPr="001F01BF">
        <w:rPr>
          <w:rFonts w:asciiTheme="minorHAnsi" w:hAnsiTheme="minorHAnsi"/>
          <w:szCs w:val="14"/>
          <w:lang w:val="pl-PL"/>
        </w:rPr>
        <w:br/>
        <w:t xml:space="preserve">b) izbral ustrezen razpon razdalje poti (tj. od 500 do 1 999 km) ter </w:t>
      </w:r>
      <w:r w:rsidRPr="001F01BF">
        <w:rPr>
          <w:rFonts w:asciiTheme="minorHAnsi" w:hAnsiTheme="minorHAnsi"/>
          <w:szCs w:val="14"/>
          <w:lang w:val="pl-PL"/>
        </w:rPr>
        <w:br/>
        <w:t>c) izračunal nepovratna sredstva EU za kritje stroškov poti udeleženca iz Madrida do Rima in nazaj (275 EUR).</w:t>
      </w:r>
    </w:p>
  </w:footnote>
  <w:footnote w:id="234">
    <w:p w14:paraId="7D39B1DA" w14:textId="77777777" w:rsidR="00A6094F" w:rsidRPr="00C1426B" w:rsidRDefault="00A6094F" w:rsidP="00150777">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C1426B">
        <w:rPr>
          <w:rFonts w:asciiTheme="minorHAnsi" w:hAnsiTheme="minorHAnsi"/>
          <w:szCs w:val="14"/>
          <w:lang w:val="pl-PL"/>
        </w:rPr>
        <w:tab/>
        <w:t>Vključno s spremljevalci.</w:t>
      </w:r>
    </w:p>
  </w:footnote>
  <w:footnote w:id="235">
    <w:p w14:paraId="7D39B1DB" w14:textId="77777777" w:rsidR="00A6094F" w:rsidRPr="00C1426B" w:rsidRDefault="00A6094F" w:rsidP="000155CD">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C1426B">
        <w:rPr>
          <w:rFonts w:asciiTheme="minorHAnsi" w:hAnsiTheme="minorHAnsi"/>
          <w:szCs w:val="14"/>
          <w:lang w:val="pl-PL"/>
        </w:rPr>
        <w:tab/>
      </w:r>
      <w:r w:rsidRPr="00C1426B">
        <w:rPr>
          <w:rStyle w:val="Hyperlink"/>
          <w:rFonts w:asciiTheme="minorHAnsi" w:hAnsiTheme="minorHAnsi"/>
          <w:szCs w:val="14"/>
          <w:lang w:val="pl-PL"/>
        </w:rPr>
        <w:t>http://ec.europa.eu/programmes/erasmus-plus/tools/distance_sl.htm</w:t>
      </w:r>
    </w:p>
  </w:footnote>
  <w:footnote w:id="236">
    <w:p w14:paraId="7D39B1DC" w14:textId="77777777" w:rsidR="00A6094F" w:rsidRPr="00C1426B" w:rsidRDefault="00A6094F" w:rsidP="00094E06">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C1426B">
        <w:rPr>
          <w:rFonts w:asciiTheme="minorHAnsi" w:hAnsiTheme="minorHAnsi"/>
          <w:szCs w:val="14"/>
          <w:lang w:val="pl-PL"/>
        </w:rPr>
        <w:tab/>
        <w:t xml:space="preserve">Na primer, če oseba iz Madrida (Španija) sodeluje pri aktivnosti, ki se izvaja v Rimu (Italija), bo prijavitelj </w:t>
      </w:r>
      <w:r w:rsidRPr="00C1426B">
        <w:rPr>
          <w:rFonts w:asciiTheme="minorHAnsi" w:hAnsiTheme="minorHAnsi"/>
          <w:szCs w:val="14"/>
          <w:lang w:val="pl-PL"/>
        </w:rPr>
        <w:br/>
        <w:t xml:space="preserve">a) izračunal razdaljo od Madrida do Rima (1 365,28 km); </w:t>
      </w:r>
      <w:r w:rsidRPr="00C1426B">
        <w:rPr>
          <w:rFonts w:asciiTheme="minorHAnsi" w:hAnsiTheme="minorHAnsi"/>
          <w:szCs w:val="14"/>
          <w:lang w:val="pl-PL"/>
        </w:rPr>
        <w:br/>
        <w:t xml:space="preserve">b) izbral ustrezni razpon razdalje poti (tj. med 500 in 1 999 km) in </w:t>
      </w:r>
      <w:r w:rsidRPr="00C1426B">
        <w:rPr>
          <w:rFonts w:asciiTheme="minorHAnsi" w:hAnsiTheme="minorHAnsi"/>
          <w:szCs w:val="14"/>
          <w:lang w:val="pl-PL"/>
        </w:rPr>
        <w:br/>
        <w:t>c) izračunal nepovratna sredstva EU, ki bodo prispevala h kritju stroškov povratne poti govornika, ki ni lokalni prebivalec, od Madrida do Rima (275 EUR).</w:t>
      </w:r>
    </w:p>
  </w:footnote>
  <w:footnote w:id="237">
    <w:p w14:paraId="7D39B1DD" w14:textId="77777777" w:rsidR="00A6094F" w:rsidRPr="00C1426B" w:rsidRDefault="00A6094F" w:rsidP="008F031A">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C1426B">
        <w:rPr>
          <w:rFonts w:asciiTheme="minorHAnsi" w:hAnsiTheme="minorHAnsi"/>
          <w:szCs w:val="14"/>
          <w:lang w:val="pl-PL"/>
        </w:rPr>
        <w:tab/>
        <w:t>Smernice EU o dvojni poklicni poti, ki jih je 28. septembra 2012 sprejela skupina strokovnjakov EU za izobraževanje in usposabljanje v športu (ISBN 978-92-79-31161-1).</w:t>
      </w:r>
    </w:p>
  </w:footnote>
  <w:footnote w:id="238">
    <w:p w14:paraId="7D39B1DE" w14:textId="77777777" w:rsidR="00A6094F" w:rsidRPr="00FC1B4B" w:rsidRDefault="00A6094F" w:rsidP="004F513A">
      <w:pPr>
        <w:pStyle w:val="Guide-Footnote"/>
        <w:rPr>
          <w:rFonts w:asciiTheme="minorHAnsi" w:hAnsiTheme="minorHAnsi"/>
          <w:color w:val="FF0000"/>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r>
      <w:hyperlink r:id="rId95">
        <w:r w:rsidRPr="00FC1B4B">
          <w:rPr>
            <w:rFonts w:asciiTheme="minorHAnsi" w:hAnsiTheme="minorHAnsi"/>
            <w:szCs w:val="14"/>
            <w:lang w:val="pl-PL"/>
          </w:rPr>
          <w:t>Finančna uredba EU je objavljena na:</w:t>
        </w:r>
      </w:hyperlink>
      <w:r w:rsidRPr="00FC1B4B">
        <w:rPr>
          <w:rFonts w:asciiTheme="minorHAnsi" w:hAnsiTheme="minorHAnsi"/>
          <w:szCs w:val="14"/>
          <w:lang w:val="pl-PL"/>
        </w:rPr>
        <w:t xml:space="preserve"> </w:t>
      </w:r>
      <w:hyperlink r:id="rId96">
        <w:r w:rsidRPr="00FC1B4B">
          <w:rPr>
            <w:rStyle w:val="Hyperlink"/>
            <w:rFonts w:asciiTheme="minorHAnsi" w:hAnsiTheme="minorHAnsi"/>
            <w:szCs w:val="14"/>
            <w:lang w:val="pl-PL"/>
          </w:rPr>
          <w:t>http://eur-lex.europa.eu/LexUriServ/LexUriServ.do?uri=OJ:L:2012:298:0001:0096:SL:PDF.</w:t>
        </w:r>
      </w:hyperlink>
    </w:p>
  </w:footnote>
  <w:footnote w:id="239">
    <w:p w14:paraId="26C44CB0" w14:textId="12B3FECF" w:rsidR="00A6094F" w:rsidRPr="00654F6A" w:rsidRDefault="00A6094F">
      <w:pPr>
        <w:pStyle w:val="FootnoteText"/>
        <w:rPr>
          <w:sz w:val="14"/>
          <w:szCs w:val="14"/>
          <w:lang w:val="pl-PL"/>
        </w:rPr>
      </w:pPr>
      <w:r w:rsidRPr="00654F6A">
        <w:rPr>
          <w:rStyle w:val="FootnoteReference"/>
          <w:sz w:val="14"/>
          <w:szCs w:val="14"/>
        </w:rPr>
        <w:footnoteRef/>
      </w:r>
      <w:r w:rsidRPr="00654F6A">
        <w:rPr>
          <w:sz w:val="14"/>
          <w:szCs w:val="14"/>
          <w:lang w:val="pl-PL"/>
        </w:rPr>
        <w:t xml:space="preserve"> </w:t>
      </w:r>
      <w:r>
        <w:rPr>
          <w:sz w:val="14"/>
          <w:szCs w:val="14"/>
          <w:lang w:val="pl-PL"/>
        </w:rPr>
        <w:t xml:space="preserve">   </w:t>
      </w:r>
      <w:r w:rsidRPr="00654F6A">
        <w:rPr>
          <w:sz w:val="14"/>
          <w:szCs w:val="14"/>
          <w:lang w:val="pl-PL"/>
        </w:rPr>
        <w:t>Sporazum o izstopu Združenega kraljestva Velika Britanija in Severna Irska iz Evropske unije in Evropske skupnosti za atomsko energijo.</w:t>
      </w:r>
    </w:p>
  </w:footnote>
  <w:footnote w:id="240">
    <w:p w14:paraId="7D39B1DF" w14:textId="77777777" w:rsidR="00A6094F" w:rsidRPr="00FC1B4B" w:rsidRDefault="00A6094F" w:rsidP="00104AE6">
      <w:pPr>
        <w:pStyle w:val="FootnoteText"/>
        <w:ind w:left="288" w:hanging="288"/>
        <w:rPr>
          <w:rFonts w:asciiTheme="minorHAnsi" w:eastAsia="Calibri" w:hAnsiTheme="minorHAnsi" w:cs="Calibri"/>
          <w:kern w:val="0"/>
          <w:sz w:val="14"/>
          <w:szCs w:val="14"/>
          <w:bdr w:val="nil"/>
          <w:lang w:val="sl-SI"/>
        </w:rPr>
      </w:pPr>
      <w:r w:rsidRPr="00FC1B4B">
        <w:rPr>
          <w:rStyle w:val="FootnoteReference"/>
          <w:rFonts w:asciiTheme="minorHAnsi" w:hAnsiTheme="minorHAnsi"/>
          <w:sz w:val="14"/>
          <w:szCs w:val="14"/>
        </w:rPr>
        <w:footnoteRef/>
      </w:r>
      <w:r w:rsidRPr="00FC1B4B">
        <w:rPr>
          <w:rFonts w:asciiTheme="minorHAnsi" w:eastAsia="Cambria" w:hAnsiTheme="minorHAnsi" w:cs="Cambria"/>
          <w:kern w:val="0"/>
          <w:sz w:val="14"/>
          <w:szCs w:val="14"/>
          <w:bdr w:val="nil"/>
          <w:lang w:val="sl-SI"/>
        </w:rPr>
        <w:t xml:space="preserve"> </w:t>
      </w:r>
      <w:r>
        <w:rPr>
          <w:rFonts w:asciiTheme="minorHAnsi" w:eastAsia="Cambria" w:hAnsiTheme="minorHAnsi" w:cs="Cambria"/>
          <w:kern w:val="0"/>
          <w:sz w:val="14"/>
          <w:szCs w:val="14"/>
          <w:bdr w:val="nil"/>
          <w:lang w:val="sl-SI"/>
        </w:rPr>
        <w:tab/>
      </w:r>
      <w:r w:rsidRPr="00FC1B4B">
        <w:rPr>
          <w:rFonts w:asciiTheme="minorHAnsi" w:eastAsia="Calibri" w:hAnsiTheme="minorHAnsi" w:cs="Calibri"/>
          <w:kern w:val="0"/>
          <w:sz w:val="14"/>
          <w:szCs w:val="14"/>
          <w:bdr w:val="nil"/>
          <w:lang w:val="sl-SI"/>
        </w:rPr>
        <w:t>Uredba (EU, Euratom) 2018/1046 Evropskega parlamenta in Sveta</w:t>
      </w:r>
      <w:bookmarkStart w:id="403" w:name="_DV_M0"/>
      <w:bookmarkEnd w:id="403"/>
      <w:r w:rsidRPr="00FC1B4B">
        <w:rPr>
          <w:rFonts w:asciiTheme="minorHAnsi" w:eastAsia="Calibri" w:hAnsiTheme="minorHAnsi" w:cs="Calibri"/>
          <w:kern w:val="0"/>
          <w:sz w:val="14"/>
          <w:szCs w:val="14"/>
          <w:bdr w:val="nil"/>
          <w:lang w:val="sl-SI"/>
        </w:rPr>
        <w:t xml:space="preserve"> z dne 18. julija 2018 o finančnih pravilih, ki se uporabljajo za splošni proračun Unije.</w:t>
      </w:r>
    </w:p>
  </w:footnote>
  <w:footnote w:id="241">
    <w:p w14:paraId="7D39B1E0" w14:textId="77777777" w:rsidR="00A6094F" w:rsidRPr="00FC1B4B" w:rsidRDefault="00A6094F" w:rsidP="00FC1B4B">
      <w:pPr>
        <w:pStyle w:val="FootnoteText"/>
        <w:ind w:left="288" w:hanging="288"/>
        <w:rPr>
          <w:rFonts w:asciiTheme="minorHAnsi" w:hAnsiTheme="minorHAnsi" w:cs="Calibri"/>
          <w:sz w:val="14"/>
          <w:szCs w:val="14"/>
          <w:lang w:val="sl-SI"/>
        </w:rPr>
      </w:pPr>
      <w:r w:rsidRPr="00FC1B4B">
        <w:rPr>
          <w:rStyle w:val="FootnoteReference"/>
          <w:rFonts w:asciiTheme="minorHAnsi" w:hAnsiTheme="minorHAnsi" w:cs="Calibri"/>
          <w:sz w:val="14"/>
          <w:szCs w:val="14"/>
        </w:rPr>
        <w:footnoteRef/>
      </w:r>
      <w:r w:rsidRPr="00FC1B4B">
        <w:rPr>
          <w:rFonts w:asciiTheme="minorHAnsi" w:eastAsia="Calibri" w:hAnsiTheme="minorHAnsi" w:cs="Calibri"/>
          <w:kern w:val="0"/>
          <w:sz w:val="14"/>
          <w:szCs w:val="14"/>
          <w:bdr w:val="nil"/>
          <w:lang w:val="sl-SI"/>
        </w:rPr>
        <w:t xml:space="preserve"> </w:t>
      </w:r>
      <w:r w:rsidRPr="00FC1B4B">
        <w:rPr>
          <w:rFonts w:asciiTheme="minorHAnsi" w:eastAsia="Calibri" w:hAnsiTheme="minorHAnsi" w:cs="Calibri"/>
          <w:kern w:val="0"/>
          <w:sz w:val="14"/>
          <w:szCs w:val="14"/>
          <w:bdr w:val="nil"/>
          <w:lang w:val="sl-SI"/>
        </w:rPr>
        <w:tab/>
        <w:t>Direktiva (EU) 2017/1371 Evropskega parlamenta in Sveta z dne 5. julija 2017 o boju proti goljufijam, ki škodijo finančnim interesom Unije, z uporabo kazenskega prava (UL L 198, 28.7.2017, str. 29).</w:t>
      </w:r>
    </w:p>
  </w:footnote>
  <w:footnote w:id="242">
    <w:p w14:paraId="7D39B1E1" w14:textId="77777777" w:rsidR="00A6094F" w:rsidRPr="00FC1B4B" w:rsidRDefault="00A6094F" w:rsidP="00FC1B4B">
      <w:pPr>
        <w:pStyle w:val="FootnoteText"/>
        <w:ind w:left="288" w:hanging="288"/>
        <w:rPr>
          <w:rFonts w:asciiTheme="minorHAnsi" w:hAnsiTheme="minorHAnsi" w:cs="Calibri"/>
          <w:sz w:val="14"/>
          <w:szCs w:val="14"/>
          <w:lang w:val="ro-RO"/>
        </w:rPr>
      </w:pPr>
      <w:r w:rsidRPr="00FC1B4B">
        <w:rPr>
          <w:rStyle w:val="FootnoteReference"/>
          <w:rFonts w:asciiTheme="minorHAnsi" w:hAnsiTheme="minorHAnsi" w:cs="Calibri"/>
          <w:sz w:val="14"/>
          <w:szCs w:val="14"/>
        </w:rPr>
        <w:footnoteRef/>
      </w:r>
      <w:r w:rsidRPr="00FC1B4B">
        <w:rPr>
          <w:rFonts w:asciiTheme="minorHAnsi" w:eastAsia="Calibri" w:hAnsiTheme="minorHAnsi" w:cs="Calibri"/>
          <w:kern w:val="0"/>
          <w:sz w:val="14"/>
          <w:szCs w:val="14"/>
          <w:bdr w:val="nil"/>
          <w:lang w:val="sl-SI"/>
        </w:rPr>
        <w:t xml:space="preserve"> </w:t>
      </w:r>
      <w:r w:rsidRPr="00FC1B4B">
        <w:rPr>
          <w:rFonts w:asciiTheme="minorHAnsi" w:eastAsia="Calibri" w:hAnsiTheme="minorHAnsi" w:cs="Calibri"/>
          <w:kern w:val="0"/>
          <w:sz w:val="14"/>
          <w:szCs w:val="14"/>
          <w:bdr w:val="nil"/>
          <w:lang w:val="sl-SI"/>
        </w:rPr>
        <w:tab/>
        <w:t>UL C 316, 27. 11. 1995, str. 48.</w:t>
      </w:r>
    </w:p>
  </w:footnote>
  <w:footnote w:id="243">
    <w:p w14:paraId="7D39B1E2" w14:textId="77777777" w:rsidR="00A6094F" w:rsidRPr="00FC1B4B" w:rsidRDefault="00A6094F" w:rsidP="00FC1B4B">
      <w:pPr>
        <w:pStyle w:val="FootnoteText"/>
        <w:ind w:left="288" w:hanging="288"/>
        <w:rPr>
          <w:rFonts w:asciiTheme="minorHAnsi" w:hAnsiTheme="minorHAnsi" w:cs="Calibri"/>
          <w:sz w:val="14"/>
          <w:szCs w:val="14"/>
          <w:lang w:val="ro-RO"/>
        </w:rPr>
      </w:pPr>
      <w:bookmarkStart w:id="410" w:name="_DV_C2143"/>
      <w:r w:rsidRPr="00FC1B4B">
        <w:rPr>
          <w:rStyle w:val="FootnoteReference"/>
          <w:rFonts w:asciiTheme="minorHAnsi" w:hAnsiTheme="minorHAnsi" w:cs="Calibri"/>
          <w:sz w:val="14"/>
          <w:szCs w:val="14"/>
        </w:rPr>
        <w:footnoteRef/>
      </w:r>
      <w:r w:rsidRPr="00FC1B4B">
        <w:rPr>
          <w:rStyle w:val="FootnoteReference"/>
          <w:rFonts w:asciiTheme="minorHAnsi" w:eastAsia="Calibri" w:hAnsiTheme="minorHAnsi" w:cs="Calibri"/>
          <w:kern w:val="0"/>
          <w:sz w:val="14"/>
          <w:szCs w:val="14"/>
          <w:bdr w:val="nil"/>
          <w:lang w:val="sl-SI"/>
        </w:rPr>
        <w:t xml:space="preserve"> </w:t>
      </w:r>
      <w:r w:rsidRPr="00FC1B4B">
        <w:rPr>
          <w:rFonts w:asciiTheme="minorHAnsi" w:eastAsia="Calibri" w:hAnsiTheme="minorHAnsi" w:cs="Calibri"/>
          <w:kern w:val="0"/>
          <w:sz w:val="14"/>
          <w:szCs w:val="14"/>
          <w:bdr w:val="nil"/>
          <w:lang w:val="sl-SI"/>
        </w:rPr>
        <w:tab/>
      </w:r>
      <w:r w:rsidRPr="00FC1B4B">
        <w:rPr>
          <w:rFonts w:asciiTheme="minorHAnsi" w:hAnsiTheme="minorHAnsi"/>
          <w:sz w:val="14"/>
          <w:szCs w:val="14"/>
          <w:lang w:val="pl-PL" w:eastAsia="en-GB"/>
        </w:rPr>
        <w:t>UL C 195, 25. 6. 1997, str. 1.</w:t>
      </w:r>
      <w:bookmarkEnd w:id="410"/>
    </w:p>
  </w:footnote>
  <w:footnote w:id="244">
    <w:p w14:paraId="7D39B1E3" w14:textId="77777777" w:rsidR="00A6094F" w:rsidRPr="00FC1B4B" w:rsidRDefault="00A6094F" w:rsidP="00FC1B4B">
      <w:pPr>
        <w:pStyle w:val="FootnoteText"/>
        <w:ind w:left="288" w:hanging="288"/>
        <w:rPr>
          <w:rFonts w:asciiTheme="minorHAnsi" w:hAnsiTheme="minorHAnsi" w:cs="Calibri"/>
          <w:sz w:val="14"/>
          <w:szCs w:val="14"/>
          <w:lang w:val="ro-RO"/>
        </w:rPr>
      </w:pPr>
      <w:bookmarkStart w:id="415" w:name="_DV_C2148"/>
      <w:r w:rsidRPr="00FC1B4B">
        <w:rPr>
          <w:rStyle w:val="FootnoteReference"/>
          <w:rFonts w:asciiTheme="minorHAnsi" w:hAnsiTheme="minorHAnsi" w:cs="Calibri"/>
          <w:sz w:val="14"/>
          <w:szCs w:val="14"/>
        </w:rPr>
        <w:footnoteRef/>
      </w:r>
      <w:r w:rsidRPr="00FC1B4B">
        <w:rPr>
          <w:rStyle w:val="FootnoteReference"/>
          <w:rFonts w:asciiTheme="minorHAnsi" w:eastAsia="Calibri" w:hAnsiTheme="minorHAnsi" w:cs="Calibri"/>
          <w:kern w:val="0"/>
          <w:sz w:val="14"/>
          <w:szCs w:val="14"/>
          <w:bdr w:val="nil"/>
          <w:lang w:val="sl-SI"/>
        </w:rPr>
        <w:t xml:space="preserve"> </w:t>
      </w:r>
      <w:r w:rsidRPr="00FC1B4B">
        <w:rPr>
          <w:rStyle w:val="FootnoteReference"/>
          <w:rFonts w:asciiTheme="minorHAnsi" w:eastAsia="Calibri" w:hAnsiTheme="minorHAnsi" w:cs="Calibri"/>
          <w:kern w:val="0"/>
          <w:sz w:val="14"/>
          <w:szCs w:val="14"/>
          <w:bdr w:val="nil"/>
          <w:lang w:val="sl-SI"/>
        </w:rPr>
        <w:tab/>
      </w:r>
      <w:r w:rsidRPr="00FC1B4B">
        <w:rPr>
          <w:rFonts w:asciiTheme="minorHAnsi" w:hAnsiTheme="minorHAnsi"/>
          <w:sz w:val="14"/>
          <w:szCs w:val="14"/>
          <w:lang w:val="pl-PL" w:eastAsia="en-GB"/>
        </w:rPr>
        <w:t>Okvirni sklep Sveta 2003/568/PNZ z dne 22. julija 2003 o boju proti korupciji v zasebnem sektorju (UL L 192, 31.7.2003, str. 54).</w:t>
      </w:r>
      <w:bookmarkEnd w:id="415"/>
    </w:p>
  </w:footnote>
  <w:footnote w:id="245">
    <w:p w14:paraId="7D39B1E4" w14:textId="77777777" w:rsidR="00A6094F" w:rsidRPr="00FC1B4B" w:rsidRDefault="00A6094F" w:rsidP="00FC1B4B">
      <w:pPr>
        <w:pStyle w:val="FootnoteText"/>
        <w:ind w:left="288" w:hanging="288"/>
        <w:rPr>
          <w:rFonts w:asciiTheme="minorHAnsi" w:hAnsiTheme="minorHAnsi" w:cs="Calibri"/>
          <w:sz w:val="14"/>
          <w:szCs w:val="14"/>
          <w:lang w:val="ro-RO"/>
        </w:rPr>
      </w:pPr>
      <w:bookmarkStart w:id="421" w:name="_DV_C2156"/>
      <w:r w:rsidRPr="00FC1B4B">
        <w:rPr>
          <w:rStyle w:val="FootnoteReference"/>
          <w:rFonts w:asciiTheme="minorHAnsi" w:hAnsiTheme="minorHAnsi" w:cs="Calibri"/>
          <w:sz w:val="14"/>
          <w:szCs w:val="14"/>
        </w:rPr>
        <w:footnoteRef/>
      </w:r>
      <w:r w:rsidRPr="00FC1B4B">
        <w:rPr>
          <w:rStyle w:val="FootnoteReference"/>
          <w:rFonts w:asciiTheme="minorHAnsi" w:eastAsia="Calibri" w:hAnsiTheme="minorHAnsi" w:cs="Calibri"/>
          <w:kern w:val="0"/>
          <w:sz w:val="14"/>
          <w:szCs w:val="14"/>
          <w:bdr w:val="nil"/>
          <w:lang w:val="sl-SI"/>
        </w:rPr>
        <w:t xml:space="preserve"> </w:t>
      </w:r>
      <w:r w:rsidRPr="00FC1B4B">
        <w:rPr>
          <w:rFonts w:asciiTheme="minorHAnsi" w:eastAsia="Calibri" w:hAnsiTheme="minorHAnsi" w:cs="Calibri"/>
          <w:kern w:val="0"/>
          <w:sz w:val="14"/>
          <w:szCs w:val="14"/>
          <w:bdr w:val="nil"/>
          <w:lang w:val="sl-SI"/>
        </w:rPr>
        <w:tab/>
      </w:r>
      <w:r w:rsidRPr="00FC1B4B">
        <w:rPr>
          <w:rFonts w:asciiTheme="minorHAnsi" w:hAnsiTheme="minorHAnsi"/>
          <w:sz w:val="14"/>
          <w:szCs w:val="14"/>
          <w:lang w:val="ro-RO" w:eastAsia="en-GB"/>
        </w:rPr>
        <w:t>Okvirni sklep Sveta 2008/841/PNZ z dne 24. oktobra 2008 o boju proti organiziranem kriminalu (UL L 300, 11.11.2008, str. 42).</w:t>
      </w:r>
      <w:bookmarkEnd w:id="421"/>
    </w:p>
  </w:footnote>
  <w:footnote w:id="246">
    <w:p w14:paraId="7D39B1E5" w14:textId="77777777" w:rsidR="00A6094F" w:rsidRPr="00FC1B4B" w:rsidRDefault="00A6094F" w:rsidP="00FC1B4B">
      <w:pPr>
        <w:pStyle w:val="FootnoteText"/>
        <w:ind w:left="288" w:hanging="288"/>
        <w:rPr>
          <w:rFonts w:asciiTheme="minorHAnsi" w:hAnsiTheme="minorHAnsi" w:cs="Calibri"/>
          <w:sz w:val="14"/>
          <w:szCs w:val="14"/>
          <w:lang w:val="pl-PL"/>
        </w:rPr>
      </w:pPr>
      <w:bookmarkStart w:id="429" w:name="_DV_C2165"/>
      <w:r w:rsidRPr="00FC1B4B">
        <w:rPr>
          <w:rStyle w:val="FootnoteReference"/>
          <w:rFonts w:asciiTheme="minorHAnsi" w:hAnsiTheme="minorHAnsi" w:cs="Calibri"/>
          <w:sz w:val="14"/>
          <w:szCs w:val="14"/>
        </w:rPr>
        <w:footnoteRef/>
      </w:r>
      <w:r w:rsidRPr="00FC1B4B">
        <w:rPr>
          <w:rStyle w:val="FootnoteReference"/>
          <w:rFonts w:asciiTheme="minorHAnsi" w:eastAsia="Calibri" w:hAnsiTheme="minorHAnsi" w:cs="Calibri"/>
          <w:kern w:val="0"/>
          <w:sz w:val="14"/>
          <w:szCs w:val="14"/>
          <w:bdr w:val="nil"/>
          <w:lang w:val="sl-SI"/>
        </w:rPr>
        <w:t xml:space="preserve"> </w:t>
      </w:r>
      <w:r w:rsidRPr="00FC1B4B">
        <w:rPr>
          <w:rFonts w:asciiTheme="minorHAnsi" w:eastAsia="Calibri" w:hAnsiTheme="minorHAnsi" w:cs="Calibri"/>
          <w:kern w:val="0"/>
          <w:sz w:val="14"/>
          <w:szCs w:val="14"/>
          <w:bdr w:val="nil"/>
          <w:lang w:val="sl-SI"/>
        </w:rPr>
        <w:tab/>
      </w:r>
      <w:r w:rsidRPr="00FC1B4B">
        <w:rPr>
          <w:rFonts w:asciiTheme="minorHAnsi" w:hAnsiTheme="minorHAnsi"/>
          <w:sz w:val="14"/>
          <w:szCs w:val="14"/>
          <w:lang w:val="ro-RO" w:eastAsia="en-GB"/>
        </w:rPr>
        <w:t xml:space="preserve">Direktiva (EU) 2015/849 Evropskega parlamenta in Sveta z dne 20. maja 2015 o preprečevanju uporabe finančnega sistema za pranje denarja ali financiranje terorizma, spremembi Uredbe (EU) št. 648/2012 Evropskega parlamenta in Sveta ter razveljavitvi Direktive 2005/60/ES Evropskega parlamenta in Sveta in Direktive Komisije 2006/70/ES (UL L 141, 5. </w:t>
      </w:r>
      <w:r w:rsidRPr="00FC1B4B">
        <w:rPr>
          <w:rFonts w:asciiTheme="minorHAnsi" w:hAnsiTheme="minorHAnsi"/>
          <w:sz w:val="14"/>
          <w:szCs w:val="14"/>
          <w:lang w:val="pl-PL" w:eastAsia="en-GB"/>
        </w:rPr>
        <w:t>6. 2015, str. 73).</w:t>
      </w:r>
      <w:r w:rsidRPr="00FC1B4B">
        <w:rPr>
          <w:rStyle w:val="FootnoteReference"/>
          <w:rFonts w:asciiTheme="minorHAnsi" w:eastAsia="Calibri" w:hAnsiTheme="minorHAnsi" w:cs="Calibri"/>
          <w:b/>
          <w:bCs/>
          <w:color w:val="444444"/>
          <w:kern w:val="0"/>
          <w:sz w:val="14"/>
          <w:szCs w:val="14"/>
          <w:bdr w:val="nil"/>
          <w:lang w:val="sl-SI"/>
        </w:rPr>
        <w:t xml:space="preserve"> </w:t>
      </w:r>
      <w:r w:rsidRPr="00FC1B4B">
        <w:rPr>
          <w:rStyle w:val="FootnoteReference"/>
          <w:rFonts w:asciiTheme="minorHAnsi" w:eastAsia="Calibri" w:hAnsiTheme="minorHAnsi" w:cs="Calibri"/>
          <w:b/>
          <w:bCs/>
          <w:color w:val="444444"/>
          <w:kern w:val="0"/>
          <w:sz w:val="14"/>
          <w:szCs w:val="14"/>
          <w:bdr w:val="nil"/>
          <w:lang w:val="sl-SI"/>
        </w:rPr>
        <w:tab/>
      </w:r>
      <w:bookmarkEnd w:id="429"/>
    </w:p>
  </w:footnote>
  <w:footnote w:id="247">
    <w:p w14:paraId="7D39B1E6" w14:textId="77777777" w:rsidR="00A6094F" w:rsidRPr="00FC1B4B" w:rsidRDefault="00A6094F" w:rsidP="00FC1B4B">
      <w:pPr>
        <w:pStyle w:val="FootnoteText"/>
        <w:ind w:left="288" w:hanging="288"/>
        <w:rPr>
          <w:rFonts w:asciiTheme="minorHAnsi" w:hAnsiTheme="minorHAnsi" w:cs="Calibri"/>
          <w:sz w:val="14"/>
          <w:szCs w:val="14"/>
          <w:lang w:val="pl-PL"/>
        </w:rPr>
      </w:pPr>
      <w:bookmarkStart w:id="431" w:name="_DV_C2171"/>
      <w:r w:rsidRPr="00FC1B4B">
        <w:rPr>
          <w:rStyle w:val="FootnoteReference"/>
          <w:rFonts w:asciiTheme="minorHAnsi" w:hAnsiTheme="minorHAnsi" w:cs="Calibri"/>
          <w:sz w:val="14"/>
          <w:szCs w:val="14"/>
        </w:rPr>
        <w:footnoteRef/>
      </w:r>
      <w:r w:rsidRPr="00FC1B4B">
        <w:rPr>
          <w:rStyle w:val="FootnoteReference"/>
          <w:rFonts w:asciiTheme="minorHAnsi" w:eastAsia="Calibri" w:hAnsiTheme="minorHAnsi" w:cs="Calibri"/>
          <w:kern w:val="0"/>
          <w:sz w:val="14"/>
          <w:szCs w:val="14"/>
          <w:bdr w:val="nil"/>
          <w:lang w:val="sl-SI"/>
        </w:rPr>
        <w:t xml:space="preserve"> </w:t>
      </w:r>
      <w:r w:rsidRPr="00FC1B4B">
        <w:rPr>
          <w:rFonts w:asciiTheme="minorHAnsi" w:eastAsia="Calibri" w:hAnsiTheme="minorHAnsi" w:cs="Calibri"/>
          <w:kern w:val="0"/>
          <w:sz w:val="14"/>
          <w:szCs w:val="14"/>
          <w:bdr w:val="nil"/>
          <w:lang w:val="sl-SI"/>
        </w:rPr>
        <w:tab/>
      </w:r>
      <w:r w:rsidRPr="00FC1B4B">
        <w:rPr>
          <w:rFonts w:asciiTheme="minorHAnsi" w:hAnsiTheme="minorHAnsi"/>
          <w:sz w:val="14"/>
          <w:szCs w:val="14"/>
          <w:lang w:val="pl-PL" w:eastAsia="en-GB"/>
        </w:rPr>
        <w:t>Okvirni sklep Sveta 2002/475/PNZ z dne 13. junija 2002 o boju proti terorizmu (UL L 164, 22. 6. 2002, str. 3).</w:t>
      </w:r>
      <w:r w:rsidRPr="00FC1B4B">
        <w:rPr>
          <w:rFonts w:asciiTheme="minorHAnsi" w:hAnsiTheme="minorHAnsi"/>
          <w:sz w:val="14"/>
          <w:szCs w:val="14"/>
          <w:lang w:val="pl-PL" w:eastAsia="en-GB"/>
        </w:rPr>
        <w:tab/>
      </w:r>
      <w:bookmarkEnd w:id="431"/>
    </w:p>
  </w:footnote>
  <w:footnote w:id="248">
    <w:p w14:paraId="7D39B1E7" w14:textId="77777777" w:rsidR="00A6094F" w:rsidRPr="00FC1B4B" w:rsidRDefault="00A6094F" w:rsidP="00FC1B4B">
      <w:pPr>
        <w:pStyle w:val="FootnoteText"/>
        <w:ind w:left="288" w:hanging="288"/>
        <w:rPr>
          <w:rFonts w:asciiTheme="minorHAnsi" w:hAnsiTheme="minorHAnsi"/>
          <w:sz w:val="14"/>
          <w:szCs w:val="14"/>
          <w:lang w:val="pl-PL"/>
        </w:rPr>
      </w:pPr>
      <w:bookmarkStart w:id="438" w:name="_DV_C2179"/>
      <w:r w:rsidRPr="00FC1B4B">
        <w:rPr>
          <w:rStyle w:val="FootnoteReference"/>
          <w:rFonts w:asciiTheme="minorHAnsi" w:hAnsiTheme="minorHAnsi" w:cs="Calibri"/>
          <w:sz w:val="14"/>
          <w:szCs w:val="14"/>
        </w:rPr>
        <w:footnoteRef/>
      </w:r>
      <w:r w:rsidRPr="00FC1B4B">
        <w:rPr>
          <w:rStyle w:val="FootnoteReference"/>
          <w:rFonts w:asciiTheme="minorHAnsi" w:eastAsia="Calibri" w:hAnsiTheme="minorHAnsi" w:cs="Calibri"/>
          <w:kern w:val="0"/>
          <w:sz w:val="14"/>
          <w:szCs w:val="14"/>
          <w:bdr w:val="nil"/>
          <w:lang w:val="sl-SI"/>
        </w:rPr>
        <w:t xml:space="preserve"> </w:t>
      </w:r>
      <w:r w:rsidRPr="00FC1B4B">
        <w:rPr>
          <w:rFonts w:asciiTheme="minorHAnsi" w:eastAsia="Calibri" w:hAnsiTheme="minorHAnsi" w:cs="Calibri"/>
          <w:kern w:val="0"/>
          <w:sz w:val="14"/>
          <w:szCs w:val="14"/>
          <w:bdr w:val="nil"/>
          <w:lang w:val="sl-SI"/>
        </w:rPr>
        <w:tab/>
      </w:r>
      <w:r w:rsidRPr="00FC1B4B">
        <w:rPr>
          <w:rFonts w:asciiTheme="minorHAnsi" w:hAnsiTheme="minorHAnsi"/>
          <w:sz w:val="14"/>
          <w:szCs w:val="14"/>
          <w:lang w:val="pl-PL" w:eastAsia="en-GB"/>
        </w:rPr>
        <w:t>Direktiva 2011/36/EU Evropskega parlamenta in Sveta z dne 5. aprila 2011 o preprečevanju trgovine z ljudmi in boju proti njej ter zaščiti njenih žrtev in o nadomestitvi Okvirnega sklepa Sveta 2002/629/PNZ (UL L 101, 15. 4. 2011, str.1).</w:t>
      </w:r>
      <w:bookmarkEnd w:id="438"/>
    </w:p>
  </w:footnote>
  <w:footnote w:id="249">
    <w:p w14:paraId="7D39B1E8" w14:textId="77777777" w:rsidR="00A6094F" w:rsidRPr="001F01BF" w:rsidRDefault="00A6094F" w:rsidP="00FC1B4B">
      <w:pPr>
        <w:pStyle w:val="FootnoteText"/>
        <w:ind w:left="288" w:hanging="288"/>
        <w:rPr>
          <w:rFonts w:asciiTheme="minorHAnsi" w:hAnsiTheme="minorHAnsi"/>
          <w:sz w:val="14"/>
          <w:szCs w:val="14"/>
          <w:lang w:val="pl-PL" w:eastAsia="en-GB"/>
        </w:rPr>
      </w:pPr>
      <w:bookmarkStart w:id="441" w:name="_DV_C2184"/>
      <w:r w:rsidRPr="00FC1B4B">
        <w:rPr>
          <w:rStyle w:val="FootnoteReference"/>
          <w:rFonts w:asciiTheme="minorHAnsi" w:hAnsiTheme="minorHAnsi" w:cs="Calibri"/>
          <w:sz w:val="14"/>
          <w:szCs w:val="14"/>
        </w:rPr>
        <w:footnoteRef/>
      </w:r>
      <w:r w:rsidRPr="00FC1B4B">
        <w:rPr>
          <w:rFonts w:asciiTheme="minorHAnsi" w:hAnsiTheme="minorHAnsi"/>
          <w:sz w:val="14"/>
          <w:szCs w:val="14"/>
          <w:lang w:val="pl-PL" w:eastAsia="en-GB"/>
        </w:rPr>
        <w:t xml:space="preserve"> </w:t>
      </w:r>
      <w:r w:rsidRPr="00FC1B4B">
        <w:rPr>
          <w:rFonts w:asciiTheme="minorHAnsi" w:hAnsiTheme="minorHAnsi"/>
          <w:sz w:val="14"/>
          <w:szCs w:val="14"/>
          <w:lang w:val="pl-PL" w:eastAsia="en-GB"/>
        </w:rPr>
        <w:tab/>
        <w:t>Uredba Sveta (ES, Euratom) št. 2988/95 z dne 18. decembra 1995 o zaščiti finančnih interesov Evropskih skupnosti (UL L 312, 23. 12. 1995, str. 1)</w:t>
      </w:r>
      <w:r w:rsidRPr="001F01BF">
        <w:rPr>
          <w:rFonts w:asciiTheme="minorHAnsi" w:hAnsiTheme="minorHAnsi"/>
          <w:sz w:val="14"/>
          <w:szCs w:val="14"/>
          <w:lang w:val="pl-PL" w:eastAsia="en-GB"/>
        </w:rPr>
        <w:t>.</w:t>
      </w:r>
      <w:bookmarkEnd w:id="441"/>
    </w:p>
  </w:footnote>
  <w:footnote w:id="250">
    <w:p w14:paraId="7D39B1E9" w14:textId="77777777" w:rsidR="00A6094F" w:rsidRPr="001F01BF" w:rsidRDefault="00A6094F" w:rsidP="001227F0">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t>Ne velja za ukrepe, ki jih izvajajo nacionalne agencije.</w:t>
      </w:r>
    </w:p>
  </w:footnote>
  <w:footnote w:id="251">
    <w:p w14:paraId="7D39B1EA" w14:textId="77777777" w:rsidR="00A6094F" w:rsidRPr="001F01BF" w:rsidRDefault="00A6094F" w:rsidP="001227F0">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t xml:space="preserve">Vključno s šolami, visokošolskimi institucijami in organizacijami na področju izobraževanja, usposabljanja, mladine in športa, ki so v preteklih dveh letih več kot 50 % svojih letnih prihodkov prejele iz javnih virov. Zanje se šteje, da imajo potrebno </w:t>
      </w:r>
      <w:r w:rsidRPr="001F01BF">
        <w:rPr>
          <w:rFonts w:asciiTheme="minorHAnsi" w:hAnsiTheme="minorHAnsi"/>
          <w:szCs w:val="14"/>
        </w:rPr>
        <w:t>ﬁ</w:t>
      </w:r>
      <w:r w:rsidRPr="001F01BF">
        <w:rPr>
          <w:rFonts w:asciiTheme="minorHAnsi" w:hAnsiTheme="minorHAnsi"/>
          <w:szCs w:val="14"/>
          <w:lang w:val="pl-PL"/>
        </w:rPr>
        <w:t>nančno, poklicno in administrativno zmogljivost za izvedbo aktivnosti v okviru programa.</w:t>
      </w:r>
    </w:p>
  </w:footnote>
  <w:footnote w:id="252">
    <w:p w14:paraId="7D39B1EB" w14:textId="77777777" w:rsidR="00A6094F" w:rsidRPr="001F01BF" w:rsidRDefault="00A6094F" w:rsidP="001227F0">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t>To jamstvo lahko nadomesti skupno jamstvo tretje osebe ali več jamstev tretje osebe od sodelujočih organizacij, ki so podpisnice istega sporazuma o nepovratnih</w:t>
      </w:r>
      <w:r w:rsidRPr="001F01BF">
        <w:rPr>
          <w:rFonts w:asciiTheme="minorHAnsi" w:hAnsiTheme="minorHAnsi"/>
          <w:spacing w:val="5"/>
          <w:szCs w:val="14"/>
          <w:lang w:val="pl-PL"/>
        </w:rPr>
        <w:t xml:space="preserve"> </w:t>
      </w:r>
      <w:r w:rsidRPr="001F01BF">
        <w:rPr>
          <w:rFonts w:asciiTheme="minorHAnsi" w:hAnsiTheme="minorHAnsi"/>
          <w:szCs w:val="14"/>
          <w:lang w:val="pl-PL"/>
        </w:rPr>
        <w:t>sredstvih.</w:t>
      </w:r>
    </w:p>
  </w:footnote>
  <w:footnote w:id="253">
    <w:p w14:paraId="7D39B1EC" w14:textId="77777777" w:rsidR="00A6094F" w:rsidRPr="001F01BF" w:rsidRDefault="00A6094F" w:rsidP="00A1047E">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t>SKLEP</w:t>
      </w:r>
      <w:r w:rsidRPr="001F01BF">
        <w:rPr>
          <w:rFonts w:asciiTheme="minorHAnsi" w:hAnsiTheme="minorHAnsi"/>
          <w:spacing w:val="-10"/>
          <w:szCs w:val="14"/>
          <w:lang w:val="pl-PL"/>
        </w:rPr>
        <w:t xml:space="preserve"> </w:t>
      </w:r>
      <w:r w:rsidRPr="001F01BF">
        <w:rPr>
          <w:rFonts w:asciiTheme="minorHAnsi" w:hAnsiTheme="minorHAnsi"/>
          <w:szCs w:val="14"/>
          <w:lang w:val="pl-PL"/>
        </w:rPr>
        <w:t>KOMISIJE</w:t>
      </w:r>
      <w:r w:rsidRPr="001F01BF">
        <w:rPr>
          <w:rFonts w:asciiTheme="minorHAnsi" w:hAnsiTheme="minorHAnsi"/>
          <w:spacing w:val="-9"/>
          <w:szCs w:val="14"/>
          <w:lang w:val="pl-PL"/>
        </w:rPr>
        <w:t xml:space="preserve"> </w:t>
      </w:r>
      <w:r w:rsidRPr="001F01BF">
        <w:rPr>
          <w:rFonts w:asciiTheme="minorHAnsi" w:hAnsiTheme="minorHAnsi"/>
          <w:szCs w:val="14"/>
          <w:lang w:val="pl-PL"/>
        </w:rPr>
        <w:t>C(2013)</w:t>
      </w:r>
      <w:r w:rsidRPr="001F01BF">
        <w:rPr>
          <w:rFonts w:asciiTheme="minorHAnsi" w:hAnsiTheme="minorHAnsi"/>
          <w:spacing w:val="-10"/>
          <w:szCs w:val="14"/>
          <w:lang w:val="pl-PL"/>
        </w:rPr>
        <w:t xml:space="preserve"> </w:t>
      </w:r>
      <w:r w:rsidRPr="001F01BF">
        <w:rPr>
          <w:rFonts w:asciiTheme="minorHAnsi" w:hAnsiTheme="minorHAnsi"/>
          <w:szCs w:val="14"/>
          <w:lang w:val="pl-PL"/>
        </w:rPr>
        <w:t>8550</w:t>
      </w:r>
      <w:r w:rsidRPr="001F01BF">
        <w:rPr>
          <w:rFonts w:asciiTheme="minorHAnsi" w:hAnsiTheme="minorHAnsi"/>
          <w:spacing w:val="-10"/>
          <w:szCs w:val="14"/>
          <w:lang w:val="pl-PL"/>
        </w:rPr>
        <w:t xml:space="preserve"> </w:t>
      </w:r>
      <w:r w:rsidRPr="001F01BF">
        <w:rPr>
          <w:rFonts w:asciiTheme="minorHAnsi" w:hAnsiTheme="minorHAnsi"/>
          <w:szCs w:val="14"/>
          <w:lang w:val="pl-PL"/>
        </w:rPr>
        <w:t>z</w:t>
      </w:r>
      <w:r w:rsidRPr="001F01BF">
        <w:rPr>
          <w:rFonts w:asciiTheme="minorHAnsi" w:hAnsiTheme="minorHAnsi"/>
          <w:spacing w:val="-10"/>
          <w:szCs w:val="14"/>
          <w:lang w:val="pl-PL"/>
        </w:rPr>
        <w:t xml:space="preserve"> </w:t>
      </w:r>
      <w:r w:rsidRPr="001F01BF">
        <w:rPr>
          <w:rFonts w:asciiTheme="minorHAnsi" w:hAnsiTheme="minorHAnsi"/>
          <w:szCs w:val="14"/>
          <w:lang w:val="pl-PL"/>
        </w:rPr>
        <w:t>dne</w:t>
      </w:r>
      <w:r w:rsidRPr="001F01BF">
        <w:rPr>
          <w:rFonts w:asciiTheme="minorHAnsi" w:hAnsiTheme="minorHAnsi"/>
          <w:spacing w:val="-10"/>
          <w:szCs w:val="14"/>
          <w:lang w:val="pl-PL"/>
        </w:rPr>
        <w:t xml:space="preserve"> </w:t>
      </w:r>
      <w:r w:rsidRPr="001F01BF">
        <w:rPr>
          <w:rFonts w:asciiTheme="minorHAnsi" w:hAnsiTheme="minorHAnsi"/>
          <w:szCs w:val="14"/>
          <w:lang w:val="pl-PL"/>
        </w:rPr>
        <w:t>4.</w:t>
      </w:r>
      <w:r w:rsidRPr="001F01BF">
        <w:rPr>
          <w:rFonts w:asciiTheme="minorHAnsi" w:hAnsiTheme="minorHAnsi"/>
          <w:spacing w:val="-10"/>
          <w:szCs w:val="14"/>
          <w:lang w:val="pl-PL"/>
        </w:rPr>
        <w:t xml:space="preserve"> </w:t>
      </w:r>
      <w:r w:rsidRPr="001F01BF">
        <w:rPr>
          <w:rFonts w:asciiTheme="minorHAnsi" w:hAnsiTheme="minorHAnsi"/>
          <w:szCs w:val="14"/>
          <w:lang w:val="pl-PL"/>
        </w:rPr>
        <w:t>decembra</w:t>
      </w:r>
      <w:r w:rsidRPr="001F01BF">
        <w:rPr>
          <w:rFonts w:asciiTheme="minorHAnsi" w:hAnsiTheme="minorHAnsi"/>
          <w:spacing w:val="-10"/>
          <w:szCs w:val="14"/>
          <w:lang w:val="pl-PL"/>
        </w:rPr>
        <w:t xml:space="preserve"> </w:t>
      </w:r>
      <w:r w:rsidRPr="001F01BF">
        <w:rPr>
          <w:rFonts w:asciiTheme="minorHAnsi" w:hAnsiTheme="minorHAnsi"/>
          <w:szCs w:val="14"/>
          <w:lang w:val="pl-PL"/>
        </w:rPr>
        <w:t>2013</w:t>
      </w:r>
      <w:r w:rsidRPr="001F01BF">
        <w:rPr>
          <w:rFonts w:asciiTheme="minorHAnsi" w:hAnsiTheme="minorHAnsi"/>
          <w:spacing w:val="-10"/>
          <w:szCs w:val="14"/>
          <w:lang w:val="pl-PL"/>
        </w:rPr>
        <w:t xml:space="preserve"> </w:t>
      </w:r>
      <w:r w:rsidRPr="001F01BF">
        <w:rPr>
          <w:rFonts w:asciiTheme="minorHAnsi" w:hAnsiTheme="minorHAnsi"/>
          <w:szCs w:val="14"/>
          <w:lang w:val="pl-PL"/>
        </w:rPr>
        <w:t>z</w:t>
      </w:r>
      <w:r w:rsidRPr="001F01BF">
        <w:rPr>
          <w:rFonts w:asciiTheme="minorHAnsi" w:hAnsiTheme="minorHAnsi"/>
          <w:spacing w:val="-10"/>
          <w:szCs w:val="14"/>
          <w:lang w:val="pl-PL"/>
        </w:rPr>
        <w:t xml:space="preserve"> </w:t>
      </w:r>
      <w:r w:rsidRPr="001F01BF">
        <w:rPr>
          <w:rFonts w:asciiTheme="minorHAnsi" w:hAnsiTheme="minorHAnsi"/>
          <w:szCs w:val="14"/>
          <w:lang w:val="pl-PL"/>
        </w:rPr>
        <w:t>naslovom</w:t>
      </w:r>
      <w:r w:rsidRPr="001F01BF">
        <w:rPr>
          <w:rFonts w:asciiTheme="minorHAnsi" w:hAnsiTheme="minorHAnsi"/>
          <w:spacing w:val="-10"/>
          <w:szCs w:val="14"/>
          <w:lang w:val="pl-PL"/>
        </w:rPr>
        <w:t xml:space="preserve"> </w:t>
      </w:r>
      <w:r w:rsidRPr="001F01BF">
        <w:rPr>
          <w:rFonts w:asciiTheme="minorHAnsi" w:hAnsiTheme="minorHAnsi"/>
          <w:szCs w:val="14"/>
          <w:lang w:val="pl-PL"/>
        </w:rPr>
        <w:t>„The</w:t>
      </w:r>
      <w:r w:rsidRPr="001F01BF">
        <w:rPr>
          <w:rFonts w:asciiTheme="minorHAnsi" w:hAnsiTheme="minorHAnsi"/>
          <w:spacing w:val="-9"/>
          <w:szCs w:val="14"/>
          <w:lang w:val="pl-PL"/>
        </w:rPr>
        <w:t xml:space="preserve"> </w:t>
      </w:r>
      <w:r w:rsidRPr="001F01BF">
        <w:rPr>
          <w:rFonts w:asciiTheme="minorHAnsi" w:hAnsiTheme="minorHAnsi"/>
          <w:szCs w:val="14"/>
          <w:lang w:val="pl-PL"/>
        </w:rPr>
        <w:t>use</w:t>
      </w:r>
      <w:r w:rsidRPr="001F01BF">
        <w:rPr>
          <w:rFonts w:asciiTheme="minorHAnsi" w:hAnsiTheme="minorHAnsi"/>
          <w:spacing w:val="-10"/>
          <w:szCs w:val="14"/>
          <w:lang w:val="pl-PL"/>
        </w:rPr>
        <w:t xml:space="preserve"> </w:t>
      </w:r>
      <w:r w:rsidRPr="001F01BF">
        <w:rPr>
          <w:rFonts w:asciiTheme="minorHAnsi" w:hAnsiTheme="minorHAnsi"/>
          <w:szCs w:val="14"/>
          <w:lang w:val="pl-PL"/>
        </w:rPr>
        <w:t>of</w:t>
      </w:r>
      <w:r w:rsidRPr="001F01BF">
        <w:rPr>
          <w:rFonts w:asciiTheme="minorHAnsi" w:hAnsiTheme="minorHAnsi"/>
          <w:spacing w:val="-10"/>
          <w:szCs w:val="14"/>
          <w:lang w:val="pl-PL"/>
        </w:rPr>
        <w:t xml:space="preserve"> </w:t>
      </w:r>
      <w:r w:rsidRPr="001F01BF">
        <w:rPr>
          <w:rFonts w:asciiTheme="minorHAnsi" w:hAnsiTheme="minorHAnsi"/>
          <w:szCs w:val="14"/>
          <w:lang w:val="pl-PL"/>
        </w:rPr>
        <w:t>lump</w:t>
      </w:r>
      <w:r w:rsidRPr="001F01BF">
        <w:rPr>
          <w:rFonts w:asciiTheme="minorHAnsi" w:hAnsiTheme="minorHAnsi"/>
          <w:spacing w:val="-10"/>
          <w:szCs w:val="14"/>
          <w:lang w:val="pl-PL"/>
        </w:rPr>
        <w:t xml:space="preserve"> </w:t>
      </w:r>
      <w:r w:rsidRPr="001F01BF">
        <w:rPr>
          <w:rFonts w:asciiTheme="minorHAnsi" w:hAnsiTheme="minorHAnsi"/>
          <w:szCs w:val="14"/>
          <w:lang w:val="pl-PL"/>
        </w:rPr>
        <w:t>sums,</w:t>
      </w:r>
      <w:r w:rsidRPr="001F01BF">
        <w:rPr>
          <w:rFonts w:asciiTheme="minorHAnsi" w:hAnsiTheme="minorHAnsi"/>
          <w:spacing w:val="-9"/>
          <w:szCs w:val="14"/>
          <w:lang w:val="pl-PL"/>
        </w:rPr>
        <w:t xml:space="preserve"> </w:t>
      </w:r>
      <w:r w:rsidRPr="001F01BF">
        <w:rPr>
          <w:rFonts w:asciiTheme="minorHAnsi" w:hAnsiTheme="minorHAnsi"/>
          <w:szCs w:val="14"/>
          <w:lang w:val="pl-PL"/>
        </w:rPr>
        <w:t>the</w:t>
      </w:r>
      <w:r w:rsidRPr="001F01BF">
        <w:rPr>
          <w:rFonts w:asciiTheme="minorHAnsi" w:hAnsiTheme="minorHAnsi"/>
          <w:spacing w:val="-9"/>
          <w:szCs w:val="14"/>
          <w:lang w:val="pl-PL"/>
        </w:rPr>
        <w:t xml:space="preserve"> </w:t>
      </w:r>
      <w:r w:rsidRPr="001F01BF">
        <w:rPr>
          <w:rFonts w:asciiTheme="minorHAnsi" w:hAnsiTheme="minorHAnsi"/>
          <w:szCs w:val="14"/>
          <w:lang w:val="pl-PL"/>
        </w:rPr>
        <w:t xml:space="preserve">reimbursement on the basis of unit costs and the </w:t>
      </w:r>
      <w:r w:rsidRPr="001F01BF">
        <w:rPr>
          <w:rFonts w:asciiTheme="minorHAnsi" w:hAnsiTheme="minorHAnsi"/>
          <w:szCs w:val="14"/>
        </w:rPr>
        <w:t>ﬂ</w:t>
      </w:r>
      <w:r w:rsidRPr="001F01BF">
        <w:rPr>
          <w:rFonts w:asciiTheme="minorHAnsi" w:hAnsiTheme="minorHAnsi"/>
          <w:szCs w:val="14"/>
          <w:lang w:val="pl-PL"/>
        </w:rPr>
        <w:t xml:space="preserve">at-rate </w:t>
      </w:r>
      <w:r w:rsidRPr="001F01BF">
        <w:rPr>
          <w:rFonts w:asciiTheme="minorHAnsi" w:hAnsiTheme="minorHAnsi"/>
          <w:szCs w:val="14"/>
        </w:rPr>
        <w:t>ﬁ</w:t>
      </w:r>
      <w:r w:rsidRPr="001F01BF">
        <w:rPr>
          <w:rFonts w:asciiTheme="minorHAnsi" w:hAnsiTheme="minorHAnsi"/>
          <w:szCs w:val="14"/>
          <w:lang w:val="pl-PL"/>
        </w:rPr>
        <w:t xml:space="preserve">nancing under the ‚Erasmus+‛ Programme“ (Uporaba pavšalnih zneskov, povračilo na osnovi stroškov na enoto in pavšalno </w:t>
      </w:r>
      <w:r w:rsidRPr="001F01BF">
        <w:rPr>
          <w:rFonts w:asciiTheme="minorHAnsi" w:hAnsiTheme="minorHAnsi"/>
          <w:szCs w:val="14"/>
        </w:rPr>
        <w:t>ﬁ</w:t>
      </w:r>
      <w:r w:rsidRPr="001F01BF">
        <w:rPr>
          <w:rFonts w:asciiTheme="minorHAnsi" w:hAnsiTheme="minorHAnsi"/>
          <w:szCs w:val="14"/>
          <w:lang w:val="pl-PL"/>
        </w:rPr>
        <w:t>nanciranje v okviru programa Erasmus+), (</w:t>
      </w:r>
      <w:hyperlink r:id="rId97">
        <w:r w:rsidRPr="001F01BF">
          <w:rPr>
            <w:rStyle w:val="Hyperlink"/>
            <w:rFonts w:asciiTheme="minorHAnsi" w:hAnsiTheme="minorHAnsi"/>
            <w:szCs w:val="14"/>
            <w:lang w:val="pl-PL"/>
          </w:rPr>
          <w:t>http://ec.europa.eu/dgs/education_culture/more_info/awp/docs/c_2013_8550.pdf</w:t>
        </w:r>
      </w:hyperlink>
      <w:r w:rsidRPr="001F01BF">
        <w:rPr>
          <w:rFonts w:asciiTheme="minorHAnsi" w:hAnsiTheme="minorHAnsi"/>
          <w:szCs w:val="14"/>
          <w:lang w:val="pl-PL"/>
        </w:rPr>
        <w:t>).</w:t>
      </w:r>
    </w:p>
  </w:footnote>
  <w:footnote w:id="254">
    <w:p w14:paraId="7D39B1ED" w14:textId="77777777" w:rsidR="00A6094F" w:rsidRPr="001F01BF" w:rsidRDefault="00A6094F" w:rsidP="00FC1B4B">
      <w:pPr>
        <w:ind w:left="288" w:hanging="288"/>
        <w:rPr>
          <w:rFonts w:asciiTheme="minorHAnsi" w:hAnsiTheme="minorHAnsi" w:cs="Times New Roman"/>
          <w:sz w:val="14"/>
          <w:szCs w:val="14"/>
          <w:lang w:val="pl-PL" w:eastAsia="en-GB"/>
        </w:rPr>
      </w:pPr>
      <w:r w:rsidRPr="001F01BF">
        <w:rPr>
          <w:rStyle w:val="FootnoteReference"/>
          <w:rFonts w:asciiTheme="minorHAnsi" w:hAnsiTheme="minorHAnsi" w:cs="Times New Roman"/>
          <w:sz w:val="14"/>
          <w:szCs w:val="14"/>
          <w:lang w:val="en-US" w:eastAsia="en-GB"/>
        </w:rPr>
        <w:footnoteRef/>
      </w:r>
      <w:r w:rsidRPr="001F01BF">
        <w:rPr>
          <w:rStyle w:val="FootnoteReference"/>
          <w:rFonts w:asciiTheme="minorHAnsi" w:hAnsiTheme="minorHAnsi" w:cs="Times New Roman"/>
          <w:sz w:val="14"/>
          <w:szCs w:val="14"/>
          <w:lang w:val="pl-PL" w:eastAsia="en-GB"/>
        </w:rPr>
        <w:t xml:space="preserve"> </w:t>
      </w:r>
      <w:r>
        <w:rPr>
          <w:rFonts w:asciiTheme="minorHAnsi" w:hAnsiTheme="minorHAnsi" w:cs="Times New Roman"/>
          <w:sz w:val="14"/>
          <w:szCs w:val="14"/>
          <w:lang w:val="pl-PL" w:eastAsia="en-GB"/>
        </w:rPr>
        <w:tab/>
      </w:r>
      <w:r w:rsidRPr="001F01BF">
        <w:rPr>
          <w:rFonts w:asciiTheme="minorHAnsi" w:hAnsiTheme="minorHAnsi" w:cs="Times New Roman"/>
          <w:sz w:val="14"/>
          <w:szCs w:val="14"/>
          <w:lang w:val="pl-PL" w:eastAsia="en-GB"/>
        </w:rPr>
        <w:t xml:space="preserve">Za ta namen so prejemki omejeni na prihodek, ustvarjen s projektom, in na ﬁnančne prispevke, ki so jih donatorji izrecno namenili ﬁnanciranju upravičenih stroškov. Dobiček (ali izguba), kot je bil opredeljen zgoraj, je torej razlika med: </w:t>
      </w:r>
    </w:p>
    <w:p w14:paraId="7D39B1EE" w14:textId="77777777" w:rsidR="00A6094F" w:rsidRPr="001F01BF" w:rsidRDefault="00A6094F" w:rsidP="005115F2">
      <w:pPr>
        <w:numPr>
          <w:ilvl w:val="0"/>
          <w:numId w:val="106"/>
        </w:numPr>
        <w:jc w:val="both"/>
        <w:rPr>
          <w:rFonts w:asciiTheme="minorHAnsi" w:hAnsiTheme="minorHAnsi" w:cs="Times New Roman"/>
          <w:sz w:val="14"/>
          <w:szCs w:val="14"/>
          <w:lang w:val="pl-PL" w:eastAsia="en-GB"/>
        </w:rPr>
      </w:pPr>
      <w:r w:rsidRPr="001F01BF">
        <w:rPr>
          <w:rFonts w:asciiTheme="minorHAnsi" w:hAnsiTheme="minorHAnsi" w:cs="Times New Roman"/>
          <w:sz w:val="14"/>
          <w:szCs w:val="14"/>
          <w:lang w:val="pl-PL" w:eastAsia="en-GB"/>
        </w:rPr>
        <w:t xml:space="preserve">začasno sprejetim zneskom nepovratnih sredstev, prihodkom, ki je ustvarjen z ukrepom, ter </w:t>
      </w:r>
    </w:p>
    <w:p w14:paraId="7D39B1EF" w14:textId="77777777" w:rsidR="00A6094F" w:rsidRPr="001F01BF" w:rsidRDefault="00A6094F" w:rsidP="005115F2">
      <w:pPr>
        <w:numPr>
          <w:ilvl w:val="0"/>
          <w:numId w:val="106"/>
        </w:numPr>
        <w:jc w:val="both"/>
        <w:rPr>
          <w:rFonts w:asciiTheme="minorHAnsi" w:hAnsiTheme="minorHAnsi" w:cs="Times New Roman"/>
          <w:sz w:val="14"/>
          <w:szCs w:val="14"/>
          <w:lang w:val="pl-PL" w:eastAsia="en-GB"/>
        </w:rPr>
      </w:pPr>
      <w:r w:rsidRPr="001F01BF">
        <w:rPr>
          <w:rFonts w:asciiTheme="minorHAnsi" w:hAnsiTheme="minorHAnsi" w:cs="Times New Roman"/>
          <w:sz w:val="14"/>
          <w:szCs w:val="14"/>
          <w:lang w:val="pl-PL" w:eastAsia="en-GB"/>
        </w:rPr>
        <w:t xml:space="preserve">upravičenimi stroški, ki jih je imel upravičenec. </w:t>
      </w:r>
    </w:p>
    <w:p w14:paraId="7D39B1F0" w14:textId="77777777" w:rsidR="00A6094F" w:rsidRPr="001F01BF" w:rsidRDefault="00A6094F" w:rsidP="00094E06">
      <w:pPr>
        <w:jc w:val="both"/>
        <w:rPr>
          <w:rFonts w:asciiTheme="minorHAnsi" w:hAnsiTheme="minorHAnsi" w:cs="Times New Roman"/>
          <w:sz w:val="14"/>
          <w:szCs w:val="14"/>
          <w:lang w:val="pl-PL" w:eastAsia="en-GB"/>
        </w:rPr>
      </w:pPr>
      <w:r w:rsidRPr="001F01BF">
        <w:rPr>
          <w:rFonts w:asciiTheme="minorHAnsi" w:hAnsiTheme="minorHAnsi" w:cs="Times New Roman"/>
          <w:sz w:val="14"/>
          <w:szCs w:val="14"/>
          <w:lang w:val="pl-PL" w:eastAsia="en-GB"/>
        </w:rPr>
        <w:t>Poleg tega se kakršen koli dobiček izterja. Nacionalna ali Izvajalska agencija ima pravico izterjati odstotek dobička, ki ustreza prispevku Unije k upravičenim stroškom, ki jih je upravičenec dejansko imel z izvajanjem ukrepa. Za ukrepe, v okviru katerih imajo nepovratna sredstva obliko povračila določenega deleža upravičenih stroškov, bodo zagotovljena dodatna pojasnila za izračun dobička</w:t>
      </w:r>
    </w:p>
  </w:footnote>
  <w:footnote w:id="255">
    <w:p w14:paraId="7D39B1F1" w14:textId="77777777" w:rsidR="00A6094F" w:rsidRPr="001F01BF" w:rsidRDefault="00A6094F" w:rsidP="00DC54ED">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t>V državah članicah je v nacionalni zakonodaji o DDV prevedena direktiva o DDV (2006/112/ES).</w:t>
      </w:r>
    </w:p>
  </w:footnote>
  <w:footnote w:id="256">
    <w:p w14:paraId="7D39B1F2" w14:textId="77777777" w:rsidR="00A6094F" w:rsidRPr="001F01BF" w:rsidRDefault="00A6094F" w:rsidP="00DC54ED">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t>Glej člen 13(1) Direktive.</w:t>
      </w:r>
    </w:p>
  </w:footnote>
  <w:footnote w:id="257">
    <w:p w14:paraId="7D39B1F3" w14:textId="77777777" w:rsidR="00A6094F" w:rsidRPr="001F01BF" w:rsidRDefault="00A6094F" w:rsidP="006704E4">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t>V državah članicah je v nacionalni zakonodaji o DDV prevedena direktiva o DDV (2006/112/ES).</w:t>
      </w:r>
    </w:p>
  </w:footnote>
  <w:footnote w:id="258">
    <w:p w14:paraId="7D39B1F4" w14:textId="77777777" w:rsidR="00A6094F" w:rsidRPr="001F01BF" w:rsidRDefault="00A6094F" w:rsidP="006704E4">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t>Glej člen 13(1) Direktive.</w:t>
      </w:r>
    </w:p>
  </w:footnote>
  <w:footnote w:id="259">
    <w:p w14:paraId="7D39B1F5" w14:textId="77777777" w:rsidR="00A6094F" w:rsidRPr="00860232" w:rsidRDefault="00A6094F" w:rsidP="00FC1B4B">
      <w:pPr>
        <w:pStyle w:val="FootnoteText"/>
        <w:ind w:left="288" w:hanging="288"/>
        <w:rPr>
          <w:lang w:val="sl-SI"/>
        </w:rPr>
      </w:pPr>
      <w:r w:rsidRPr="00FC1B4B">
        <w:rPr>
          <w:rStyle w:val="FootnoteReference"/>
          <w:sz w:val="14"/>
          <w:szCs w:val="14"/>
        </w:rPr>
        <w:footnoteRef/>
      </w:r>
      <w:r w:rsidRPr="004E4C36">
        <w:rPr>
          <w:lang w:val="pl-PL"/>
        </w:rPr>
        <w:t xml:space="preserve"> </w:t>
      </w:r>
      <w:r>
        <w:rPr>
          <w:lang w:val="pl-PL"/>
        </w:rPr>
        <w:tab/>
      </w:r>
      <w:r w:rsidRPr="00FC1B4B">
        <w:rPr>
          <w:sz w:val="14"/>
          <w:szCs w:val="14"/>
          <w:lang w:val="pl-PL"/>
        </w:rPr>
        <w:t>UL L 295, 21. 11. 2018, str. 39</w:t>
      </w:r>
    </w:p>
  </w:footnote>
  <w:footnote w:id="260">
    <w:p w14:paraId="7D39B1F6" w14:textId="77777777" w:rsidR="00A6094F" w:rsidRPr="00860232" w:rsidRDefault="00A6094F" w:rsidP="00FC1B4B">
      <w:pPr>
        <w:pStyle w:val="FootnoteText"/>
        <w:ind w:left="288" w:hanging="288"/>
        <w:rPr>
          <w:lang w:val="sl-SI"/>
        </w:rPr>
      </w:pPr>
      <w:r w:rsidRPr="00FC1B4B">
        <w:rPr>
          <w:rStyle w:val="FootnoteReference"/>
          <w:sz w:val="14"/>
          <w:szCs w:val="14"/>
        </w:rPr>
        <w:footnoteRef/>
      </w:r>
      <w:r w:rsidRPr="004E4C36">
        <w:rPr>
          <w:lang w:val="sl-SI"/>
        </w:rPr>
        <w:t xml:space="preserve"> </w:t>
      </w:r>
      <w:r>
        <w:rPr>
          <w:lang w:val="sl-SI"/>
        </w:rPr>
        <w:tab/>
      </w:r>
      <w:r w:rsidRPr="00FC1B4B">
        <w:rPr>
          <w:sz w:val="14"/>
          <w:szCs w:val="14"/>
          <w:lang w:val="sl-SI"/>
        </w:rPr>
        <w:t>UL L 119, 4. 5. 2016, str. 1</w:t>
      </w:r>
    </w:p>
  </w:footnote>
  <w:footnote w:id="261">
    <w:p w14:paraId="7D39B1F7" w14:textId="77777777" w:rsidR="00A6094F" w:rsidRPr="001F01BF" w:rsidRDefault="00A6094F" w:rsidP="00BC4B10">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t>Npr. razširjeni licenci Creative Commons Attribution ali Creative Commons Attribution-Share Alike za ustvarjalno</w:t>
      </w:r>
      <w:r w:rsidRPr="001F01BF">
        <w:rPr>
          <w:rFonts w:asciiTheme="minorHAnsi" w:hAnsiTheme="minorHAnsi"/>
          <w:spacing w:val="-9"/>
          <w:szCs w:val="14"/>
          <w:lang w:val="pl-PL"/>
        </w:rPr>
        <w:t xml:space="preserve"> </w:t>
      </w:r>
      <w:r w:rsidRPr="001F01BF">
        <w:rPr>
          <w:rFonts w:asciiTheme="minorHAnsi" w:hAnsiTheme="minorHAnsi"/>
          <w:szCs w:val="14"/>
          <w:lang w:val="pl-PL"/>
        </w:rPr>
        <w:t>delo,</w:t>
      </w:r>
      <w:r w:rsidRPr="001F01BF">
        <w:rPr>
          <w:rFonts w:asciiTheme="minorHAnsi" w:hAnsiTheme="minorHAnsi"/>
          <w:spacing w:val="-9"/>
          <w:szCs w:val="14"/>
          <w:lang w:val="pl-PL"/>
        </w:rPr>
        <w:t xml:space="preserve"> </w:t>
      </w:r>
      <w:r w:rsidRPr="001F01BF">
        <w:rPr>
          <w:rFonts w:asciiTheme="minorHAnsi" w:hAnsiTheme="minorHAnsi"/>
          <w:szCs w:val="14"/>
          <w:lang w:val="pl-PL"/>
        </w:rPr>
        <w:t>licenci</w:t>
      </w:r>
      <w:r w:rsidRPr="001F01BF">
        <w:rPr>
          <w:rFonts w:asciiTheme="minorHAnsi" w:hAnsiTheme="minorHAnsi"/>
          <w:spacing w:val="-9"/>
          <w:szCs w:val="14"/>
          <w:lang w:val="pl-PL"/>
        </w:rPr>
        <w:t xml:space="preserve"> </w:t>
      </w:r>
      <w:r w:rsidRPr="001F01BF">
        <w:rPr>
          <w:rFonts w:asciiTheme="minorHAnsi" w:hAnsiTheme="minorHAnsi"/>
          <w:szCs w:val="14"/>
          <w:lang w:val="pl-PL"/>
        </w:rPr>
        <w:t>GNU</w:t>
      </w:r>
      <w:r w:rsidRPr="001F01BF">
        <w:rPr>
          <w:rFonts w:asciiTheme="minorHAnsi" w:hAnsiTheme="minorHAnsi"/>
          <w:spacing w:val="-9"/>
          <w:szCs w:val="14"/>
          <w:lang w:val="pl-PL"/>
        </w:rPr>
        <w:t xml:space="preserve"> </w:t>
      </w:r>
      <w:r w:rsidRPr="001F01BF">
        <w:rPr>
          <w:rFonts w:asciiTheme="minorHAnsi" w:hAnsiTheme="minorHAnsi"/>
          <w:szCs w:val="14"/>
          <w:lang w:val="pl-PL"/>
        </w:rPr>
        <w:t>Public</w:t>
      </w:r>
      <w:r w:rsidRPr="001F01BF">
        <w:rPr>
          <w:rFonts w:asciiTheme="minorHAnsi" w:hAnsiTheme="minorHAnsi"/>
          <w:spacing w:val="-9"/>
          <w:szCs w:val="14"/>
          <w:lang w:val="pl-PL"/>
        </w:rPr>
        <w:t xml:space="preserve"> </w:t>
      </w:r>
      <w:r w:rsidRPr="001F01BF">
        <w:rPr>
          <w:rFonts w:asciiTheme="minorHAnsi" w:hAnsiTheme="minorHAnsi"/>
          <w:szCs w:val="14"/>
          <w:lang w:val="pl-PL"/>
        </w:rPr>
        <w:t>License</w:t>
      </w:r>
      <w:r w:rsidRPr="001F01BF">
        <w:rPr>
          <w:rFonts w:asciiTheme="minorHAnsi" w:hAnsiTheme="minorHAnsi"/>
          <w:spacing w:val="-9"/>
          <w:szCs w:val="14"/>
          <w:lang w:val="pl-PL"/>
        </w:rPr>
        <w:t xml:space="preserve"> </w:t>
      </w:r>
      <w:r w:rsidRPr="001F01BF">
        <w:rPr>
          <w:rFonts w:asciiTheme="minorHAnsi" w:hAnsiTheme="minorHAnsi"/>
          <w:szCs w:val="14"/>
          <w:lang w:val="pl-PL"/>
        </w:rPr>
        <w:t>in</w:t>
      </w:r>
      <w:r w:rsidRPr="001F01BF">
        <w:rPr>
          <w:rFonts w:asciiTheme="minorHAnsi" w:hAnsiTheme="minorHAnsi"/>
          <w:spacing w:val="-9"/>
          <w:szCs w:val="14"/>
          <w:lang w:val="pl-PL"/>
        </w:rPr>
        <w:t xml:space="preserve"> </w:t>
      </w:r>
      <w:r w:rsidRPr="001F01BF">
        <w:rPr>
          <w:rFonts w:asciiTheme="minorHAnsi" w:hAnsiTheme="minorHAnsi"/>
          <w:szCs w:val="14"/>
          <w:lang w:val="pl-PL"/>
        </w:rPr>
        <w:t>GNU</w:t>
      </w:r>
      <w:r w:rsidRPr="001F01BF">
        <w:rPr>
          <w:rFonts w:asciiTheme="minorHAnsi" w:hAnsiTheme="minorHAnsi"/>
          <w:spacing w:val="-9"/>
          <w:szCs w:val="14"/>
          <w:lang w:val="pl-PL"/>
        </w:rPr>
        <w:t xml:space="preserve"> </w:t>
      </w:r>
      <w:r w:rsidRPr="001F01BF">
        <w:rPr>
          <w:rFonts w:asciiTheme="minorHAnsi" w:hAnsiTheme="minorHAnsi"/>
          <w:szCs w:val="14"/>
          <w:lang w:val="pl-PL"/>
        </w:rPr>
        <w:t>Lesser</w:t>
      </w:r>
      <w:r w:rsidRPr="001F01BF">
        <w:rPr>
          <w:rFonts w:asciiTheme="minorHAnsi" w:hAnsiTheme="minorHAnsi"/>
          <w:spacing w:val="-9"/>
          <w:szCs w:val="14"/>
          <w:lang w:val="pl-PL"/>
        </w:rPr>
        <w:t xml:space="preserve"> </w:t>
      </w:r>
      <w:r w:rsidRPr="001F01BF">
        <w:rPr>
          <w:rFonts w:asciiTheme="minorHAnsi" w:hAnsiTheme="minorHAnsi"/>
          <w:szCs w:val="14"/>
          <w:lang w:val="pl-PL"/>
        </w:rPr>
        <w:t>Public</w:t>
      </w:r>
      <w:r w:rsidRPr="001F01BF">
        <w:rPr>
          <w:rFonts w:asciiTheme="minorHAnsi" w:hAnsiTheme="minorHAnsi"/>
          <w:spacing w:val="-9"/>
          <w:szCs w:val="14"/>
          <w:lang w:val="pl-PL"/>
        </w:rPr>
        <w:t xml:space="preserve"> </w:t>
      </w:r>
      <w:r w:rsidRPr="001F01BF">
        <w:rPr>
          <w:rFonts w:asciiTheme="minorHAnsi" w:hAnsiTheme="minorHAnsi"/>
          <w:szCs w:val="14"/>
          <w:lang w:val="pl-PL"/>
        </w:rPr>
        <w:t>License</w:t>
      </w:r>
      <w:r w:rsidRPr="001F01BF">
        <w:rPr>
          <w:rFonts w:asciiTheme="minorHAnsi" w:hAnsiTheme="minorHAnsi"/>
          <w:spacing w:val="-9"/>
          <w:szCs w:val="14"/>
          <w:lang w:val="pl-PL"/>
        </w:rPr>
        <w:t xml:space="preserve"> </w:t>
      </w:r>
      <w:r w:rsidRPr="001F01BF">
        <w:rPr>
          <w:rFonts w:asciiTheme="minorHAnsi" w:hAnsiTheme="minorHAnsi"/>
          <w:szCs w:val="14"/>
          <w:lang w:val="pl-PL"/>
        </w:rPr>
        <w:t>za</w:t>
      </w:r>
      <w:r w:rsidRPr="001F01BF">
        <w:rPr>
          <w:rFonts w:asciiTheme="minorHAnsi" w:hAnsiTheme="minorHAnsi"/>
          <w:spacing w:val="-9"/>
          <w:szCs w:val="14"/>
          <w:lang w:val="pl-PL"/>
        </w:rPr>
        <w:t xml:space="preserve"> </w:t>
      </w:r>
      <w:r w:rsidRPr="001F01BF">
        <w:rPr>
          <w:rFonts w:asciiTheme="minorHAnsi" w:hAnsiTheme="minorHAnsi"/>
          <w:szCs w:val="14"/>
          <w:lang w:val="pl-PL"/>
        </w:rPr>
        <w:t>programsko</w:t>
      </w:r>
      <w:r w:rsidRPr="001F01BF">
        <w:rPr>
          <w:rFonts w:asciiTheme="minorHAnsi" w:hAnsiTheme="minorHAnsi"/>
          <w:spacing w:val="-9"/>
          <w:szCs w:val="14"/>
          <w:lang w:val="pl-PL"/>
        </w:rPr>
        <w:t xml:space="preserve"> </w:t>
      </w:r>
      <w:r w:rsidRPr="001F01BF">
        <w:rPr>
          <w:rFonts w:asciiTheme="minorHAnsi" w:hAnsiTheme="minorHAnsi"/>
          <w:szCs w:val="14"/>
          <w:lang w:val="pl-PL"/>
        </w:rPr>
        <w:t>opremo</w:t>
      </w:r>
      <w:r w:rsidRPr="001F01BF">
        <w:rPr>
          <w:rFonts w:asciiTheme="minorHAnsi" w:hAnsiTheme="minorHAnsi"/>
          <w:spacing w:val="-9"/>
          <w:szCs w:val="14"/>
          <w:lang w:val="pl-PL"/>
        </w:rPr>
        <w:t xml:space="preserve"> </w:t>
      </w:r>
      <w:r w:rsidRPr="001F01BF">
        <w:rPr>
          <w:rFonts w:asciiTheme="minorHAnsi" w:hAnsiTheme="minorHAnsi"/>
          <w:szCs w:val="14"/>
          <w:lang w:val="pl-PL"/>
        </w:rPr>
        <w:t>ali</w:t>
      </w:r>
      <w:r w:rsidRPr="001F01BF">
        <w:rPr>
          <w:rFonts w:asciiTheme="minorHAnsi" w:hAnsiTheme="minorHAnsi"/>
          <w:spacing w:val="-9"/>
          <w:szCs w:val="14"/>
          <w:lang w:val="pl-PL"/>
        </w:rPr>
        <w:t xml:space="preserve"> </w:t>
      </w:r>
      <w:r w:rsidRPr="001F01BF">
        <w:rPr>
          <w:rFonts w:asciiTheme="minorHAnsi" w:hAnsiTheme="minorHAnsi"/>
          <w:szCs w:val="14"/>
          <w:lang w:val="pl-PL"/>
        </w:rPr>
        <w:t>licenca</w:t>
      </w:r>
      <w:r w:rsidRPr="001F01BF">
        <w:rPr>
          <w:rFonts w:asciiTheme="minorHAnsi" w:hAnsiTheme="minorHAnsi"/>
          <w:spacing w:val="-9"/>
          <w:szCs w:val="14"/>
          <w:lang w:val="pl-PL"/>
        </w:rPr>
        <w:t xml:space="preserve"> </w:t>
      </w:r>
      <w:r w:rsidRPr="001F01BF">
        <w:rPr>
          <w:rFonts w:asciiTheme="minorHAnsi" w:hAnsiTheme="minorHAnsi"/>
          <w:szCs w:val="14"/>
          <w:lang w:val="pl-PL"/>
        </w:rPr>
        <w:t>Open Database License za baze podatkov.</w:t>
      </w:r>
    </w:p>
  </w:footnote>
  <w:footnote w:id="262">
    <w:p w14:paraId="7D39B1F8" w14:textId="77777777" w:rsidR="00A6094F" w:rsidRPr="001F01BF" w:rsidRDefault="00A6094F" w:rsidP="005F3E86">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t>Priporočilo (ES) št. 2006/961 Evropskega parlamenta in Sveta z dne 18. decembra 2006 o transnacionalni mobilnosti v Skupnosti zaradi izobraževanja in usposabljanja: Evropska listina kakovosti za mobilnost (UL L 394, 30.12.2006).</w:t>
      </w:r>
    </w:p>
  </w:footnote>
  <w:footnote w:id="263">
    <w:p w14:paraId="7D39B1F9" w14:textId="77777777" w:rsidR="00A6094F" w:rsidRPr="001F01BF" w:rsidRDefault="00A6094F" w:rsidP="00FC1B4B">
      <w:pPr>
        <w:pStyle w:val="FootnoteText"/>
        <w:ind w:left="288" w:hanging="288"/>
        <w:rPr>
          <w:rFonts w:asciiTheme="minorHAnsi" w:hAnsiTheme="minorHAnsi"/>
          <w:sz w:val="14"/>
          <w:szCs w:val="14"/>
          <w:lang w:val="pl-PL"/>
        </w:rPr>
      </w:pPr>
      <w:r w:rsidRPr="001F01BF">
        <w:rPr>
          <w:rStyle w:val="FootnoteReference"/>
          <w:rFonts w:asciiTheme="minorHAnsi" w:hAnsiTheme="minorHAnsi"/>
          <w:sz w:val="14"/>
          <w:szCs w:val="14"/>
        </w:rPr>
        <w:footnoteRef/>
      </w:r>
      <w:r w:rsidRPr="001F01BF">
        <w:rPr>
          <w:rFonts w:asciiTheme="minorHAnsi" w:hAnsiTheme="minorHAnsi"/>
          <w:sz w:val="14"/>
          <w:szCs w:val="14"/>
          <w:lang w:val="pl-PL"/>
        </w:rPr>
        <w:t xml:space="preserve"> </w:t>
      </w:r>
      <w:r>
        <w:rPr>
          <w:rFonts w:asciiTheme="minorHAnsi" w:hAnsiTheme="minorHAnsi"/>
          <w:sz w:val="14"/>
          <w:szCs w:val="14"/>
          <w:lang w:val="pl-PL"/>
        </w:rPr>
        <w:tab/>
      </w:r>
      <w:r w:rsidRPr="001F01BF">
        <w:rPr>
          <w:rFonts w:asciiTheme="minorHAnsi" w:eastAsia="Calibri" w:hAnsiTheme="minorHAnsi" w:cs="Calibri"/>
          <w:kern w:val="0"/>
          <w:sz w:val="14"/>
          <w:szCs w:val="14"/>
          <w:bdr w:val="nil"/>
          <w:lang w:val="sl-SI"/>
        </w:rPr>
        <w:t>Informacije v tej prilogi so relevantne tudi za aktivnosti mobilnosti iz projektov Ključni ukrep 2 – Krepitev zmogljivosti in Strateška partnerstva na področju mladine.</w:t>
      </w:r>
    </w:p>
  </w:footnote>
  <w:footnote w:id="264">
    <w:p w14:paraId="7D39B1FA" w14:textId="77777777" w:rsidR="00A6094F" w:rsidRPr="00FC1B4B" w:rsidRDefault="00A6094F" w:rsidP="00104AE6">
      <w:pPr>
        <w:pStyle w:val="FootnoteText"/>
        <w:ind w:left="288" w:hanging="288"/>
        <w:rPr>
          <w:lang w:val="pl-PL"/>
        </w:rPr>
      </w:pPr>
      <w:r w:rsidRPr="00FC1B4B">
        <w:rPr>
          <w:rStyle w:val="FootnoteReference"/>
          <w:sz w:val="14"/>
          <w:szCs w:val="14"/>
        </w:rPr>
        <w:footnoteRef/>
      </w:r>
      <w:r w:rsidRPr="00FC1B4B">
        <w:rPr>
          <w:lang w:val="pl-PL"/>
        </w:rPr>
        <w:t xml:space="preserve"> </w:t>
      </w:r>
      <w:r>
        <w:rPr>
          <w:lang w:val="pl-PL"/>
        </w:rPr>
        <w:tab/>
      </w:r>
      <w:hyperlink r:id="rId98" w:history="1">
        <w:r w:rsidRPr="001F01BF">
          <w:rPr>
            <w:rStyle w:val="Hyperlink"/>
            <w:rFonts w:asciiTheme="minorHAnsi" w:hAnsiTheme="minorHAnsi" w:cs="Arial"/>
            <w:sz w:val="14"/>
            <w:szCs w:val="14"/>
            <w:lang w:val="pl-PL"/>
          </w:rPr>
          <w:t>https://www.cignahealthbenefits.com/en/plan-members</w:t>
        </w:r>
      </w:hyperlink>
    </w:p>
  </w:footnote>
  <w:footnote w:id="265">
    <w:p w14:paraId="7D39B1FB" w14:textId="77777777" w:rsidR="00A6094F" w:rsidRPr="001F01BF" w:rsidRDefault="00A6094F" w:rsidP="0032541E">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r>
      <w:hyperlink r:id="rId99">
        <w:r w:rsidRPr="001F01BF">
          <w:rPr>
            <w:rStyle w:val="Hyperlink"/>
            <w:rFonts w:asciiTheme="minorHAnsi" w:hAnsiTheme="minorHAnsi"/>
            <w:szCs w:val="14"/>
            <w:lang w:val="pl-PL"/>
          </w:rPr>
          <w:t>https://www.salto-youth.net/</w:t>
        </w:r>
      </w:hyperlink>
    </w:p>
  </w:footnote>
  <w:footnote w:id="266">
    <w:p w14:paraId="7D39B1FC" w14:textId="77777777" w:rsidR="00A6094F" w:rsidRPr="001F01BF" w:rsidRDefault="00A6094F" w:rsidP="00095755">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t>Postopek izbora je treba organizirati tako, da se zagotovi izbor najboljših študentov po vsem svetu.</w:t>
      </w:r>
    </w:p>
  </w:footnote>
  <w:footnote w:id="267">
    <w:p w14:paraId="7D39B1FD" w14:textId="77777777" w:rsidR="00A6094F" w:rsidRPr="001F01BF" w:rsidRDefault="00A6094F" w:rsidP="00FC1B4B">
      <w:pPr>
        <w:pStyle w:val="FootnoteText"/>
        <w:ind w:left="288" w:hanging="288"/>
        <w:rPr>
          <w:rFonts w:asciiTheme="minorHAnsi" w:hAnsiTheme="minorHAnsi"/>
          <w:sz w:val="14"/>
          <w:szCs w:val="14"/>
          <w:lang w:val="pl-PL"/>
        </w:rPr>
      </w:pPr>
      <w:r w:rsidRPr="001F01BF">
        <w:rPr>
          <w:rStyle w:val="FootnoteReference"/>
          <w:rFonts w:asciiTheme="minorHAnsi" w:hAnsiTheme="minorHAnsi"/>
          <w:sz w:val="14"/>
          <w:szCs w:val="14"/>
        </w:rPr>
        <w:footnoteRef/>
      </w:r>
      <w:r w:rsidRPr="001F01BF">
        <w:rPr>
          <w:rFonts w:asciiTheme="minorHAnsi" w:hAnsiTheme="minorHAnsi"/>
          <w:sz w:val="14"/>
          <w:szCs w:val="14"/>
          <w:lang w:val="pl-PL"/>
        </w:rPr>
        <w:t xml:space="preserve"> </w:t>
      </w:r>
      <w:r>
        <w:rPr>
          <w:rFonts w:asciiTheme="minorHAnsi" w:hAnsiTheme="minorHAnsi"/>
          <w:sz w:val="14"/>
          <w:szCs w:val="14"/>
          <w:lang w:val="pl-PL"/>
        </w:rPr>
        <w:tab/>
      </w:r>
      <w:r w:rsidRPr="001F01BF">
        <w:rPr>
          <w:rFonts w:asciiTheme="minorHAnsi" w:hAnsiTheme="minorHAnsi"/>
          <w:color w:val="000000"/>
          <w:sz w:val="14"/>
          <w:szCs w:val="14"/>
          <w:lang w:val="pl-PL"/>
        </w:rPr>
        <w:t>Ta pogoj mora biti sicer v času vpisa nujno izpolnjen, vendar se konzorciji EMJMD lahko odločijo, da bodo sprejeli prošnje za štipendije od študentov v zadnjem letniku njihovega prvega diplomskega programa visokega izobraževanja.</w:t>
      </w:r>
    </w:p>
  </w:footnote>
  <w:footnote w:id="268">
    <w:p w14:paraId="7D39B1FE" w14:textId="77777777" w:rsidR="00A6094F" w:rsidRPr="001F01BF" w:rsidRDefault="00A6094F" w:rsidP="00FC1B4B">
      <w:pPr>
        <w:pStyle w:val="FootnoteText"/>
        <w:ind w:left="288" w:hanging="288"/>
        <w:rPr>
          <w:rFonts w:asciiTheme="minorHAnsi" w:hAnsiTheme="minorHAnsi"/>
          <w:sz w:val="14"/>
          <w:szCs w:val="14"/>
          <w:lang w:val="pl-PL"/>
        </w:rPr>
      </w:pPr>
      <w:r w:rsidRPr="001F01BF">
        <w:rPr>
          <w:rStyle w:val="FootnoteReference"/>
          <w:rFonts w:asciiTheme="minorHAnsi" w:hAnsiTheme="minorHAnsi"/>
          <w:sz w:val="14"/>
          <w:szCs w:val="14"/>
        </w:rPr>
        <w:footnoteRef/>
      </w:r>
      <w:r w:rsidRPr="001F01BF">
        <w:rPr>
          <w:rFonts w:asciiTheme="minorHAnsi" w:hAnsiTheme="minorHAnsi"/>
          <w:sz w:val="14"/>
          <w:szCs w:val="14"/>
          <w:lang w:val="pl-PL"/>
        </w:rPr>
        <w:t xml:space="preserve"> </w:t>
      </w:r>
      <w:r>
        <w:rPr>
          <w:rFonts w:asciiTheme="minorHAnsi" w:hAnsiTheme="minorHAnsi"/>
          <w:sz w:val="14"/>
          <w:szCs w:val="14"/>
          <w:lang w:val="pl-PL"/>
        </w:rPr>
        <w:tab/>
      </w:r>
      <w:r w:rsidRPr="001F01BF">
        <w:rPr>
          <w:rFonts w:asciiTheme="minorHAnsi" w:hAnsiTheme="minorHAnsi"/>
          <w:sz w:val="14"/>
          <w:szCs w:val="14"/>
          <w:lang w:val="pl-PL"/>
        </w:rPr>
        <w:t>To so študenti, ki ali plačujejo študij sami ali pa prejemajo štipendijo iz drugega načrta.</w:t>
      </w:r>
    </w:p>
  </w:footnote>
  <w:footnote w:id="269">
    <w:p w14:paraId="7D39B1FF" w14:textId="77777777" w:rsidR="00A6094F" w:rsidRPr="001F01BF" w:rsidRDefault="00A6094F" w:rsidP="00095755">
      <w:pPr>
        <w:pStyle w:val="Guide-Footnote"/>
        <w:rPr>
          <w:rFonts w:asciiTheme="minorHAnsi" w:hAnsiTheme="minorHAnsi"/>
          <w:szCs w:val="14"/>
          <w:lang w:val="pl-PL"/>
        </w:rPr>
      </w:pPr>
      <w:r w:rsidRPr="001F01BF">
        <w:rPr>
          <w:rStyle w:val="FootnoteReference"/>
          <w:rFonts w:asciiTheme="minorHAnsi" w:hAnsiTheme="minorHAnsi"/>
          <w:szCs w:val="14"/>
        </w:rPr>
        <w:footnoteRef/>
      </w:r>
      <w:r w:rsidRPr="001F01BF">
        <w:rPr>
          <w:rFonts w:asciiTheme="minorHAnsi" w:hAnsiTheme="minorHAnsi"/>
          <w:szCs w:val="14"/>
          <w:lang w:val="pl-PL"/>
        </w:rPr>
        <w:tab/>
        <w:t>Poučevanje nejezikovnih predmetov v tujem jeziku (CLIL).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89250E" w14:paraId="7D39AD6E" w14:textId="77777777" w:rsidTr="004820E1">
      <w:trPr>
        <w:trHeight w:val="567"/>
      </w:trPr>
      <w:tc>
        <w:tcPr>
          <w:tcW w:w="2969" w:type="pct"/>
          <w:shd w:val="clear" w:color="auto" w:fill="auto"/>
          <w:vAlign w:val="bottom"/>
        </w:tcPr>
        <w:p w14:paraId="7D39AD6C" w14:textId="77777777" w:rsidR="00A6094F" w:rsidRPr="00237696" w:rsidRDefault="00A6094F" w:rsidP="0089250E">
          <w:pPr>
            <w:jc w:val="right"/>
            <w:rPr>
              <w:color w:val="0D79BB"/>
              <w:sz w:val="16"/>
              <w:szCs w:val="16"/>
            </w:rPr>
          </w:pPr>
        </w:p>
      </w:tc>
      <w:tc>
        <w:tcPr>
          <w:tcW w:w="2031" w:type="pct"/>
          <w:shd w:val="clear" w:color="auto" w:fill="auto"/>
          <w:vAlign w:val="bottom"/>
        </w:tcPr>
        <w:p w14:paraId="7D39AD6D" w14:textId="77777777" w:rsidR="00A6094F" w:rsidRPr="00237696" w:rsidRDefault="00A6094F" w:rsidP="0089250E">
          <w:pPr>
            <w:jc w:val="right"/>
            <w:rPr>
              <w:color w:val="0D79BB"/>
              <w:sz w:val="16"/>
              <w:szCs w:val="16"/>
            </w:rPr>
          </w:pPr>
        </w:p>
      </w:tc>
    </w:tr>
    <w:tr w:rsidR="00A6094F" w:rsidRPr="0089250E" w14:paraId="7D39AD70" w14:textId="77777777" w:rsidTr="004820E1">
      <w:trPr>
        <w:trHeight w:val="283"/>
      </w:trPr>
      <w:tc>
        <w:tcPr>
          <w:tcW w:w="5000" w:type="pct"/>
          <w:gridSpan w:val="2"/>
          <w:shd w:val="clear" w:color="auto" w:fill="auto"/>
          <w:vAlign w:val="bottom"/>
        </w:tcPr>
        <w:p w14:paraId="7D39AD6F" w14:textId="77777777" w:rsidR="00A6094F" w:rsidRPr="00237696" w:rsidRDefault="00A6094F" w:rsidP="0089250E">
          <w:pPr>
            <w:rPr>
              <w:noProof/>
              <w:color w:val="009EC7"/>
              <w:sz w:val="16"/>
              <w:szCs w:val="16"/>
            </w:rPr>
          </w:pPr>
        </w:p>
      </w:tc>
    </w:tr>
  </w:tbl>
  <w:p w14:paraId="7D39AD71" w14:textId="77777777" w:rsidR="00A6094F" w:rsidRPr="0089250E" w:rsidRDefault="00A6094F" w:rsidP="0089250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D9D" w14:textId="77777777" w:rsidTr="00EB49E5">
      <w:trPr>
        <w:trHeight w:val="567"/>
      </w:trPr>
      <w:tc>
        <w:tcPr>
          <w:tcW w:w="2969" w:type="pct"/>
          <w:shd w:val="clear" w:color="auto" w:fill="auto"/>
          <w:vAlign w:val="bottom"/>
        </w:tcPr>
        <w:p w14:paraId="7D39AD9B" w14:textId="77777777" w:rsidR="00A6094F" w:rsidRPr="00C60205" w:rsidRDefault="00A6094F" w:rsidP="00EB49E5">
          <w:pPr>
            <w:pStyle w:val="Header"/>
            <w:rPr>
              <w:rFonts w:cs="Tahoma"/>
              <w:lang w:val="es-ES"/>
            </w:rPr>
          </w:pPr>
          <w:r w:rsidRPr="00C60205">
            <w:rPr>
              <w:rFonts w:cs="Tahoma"/>
              <w:lang w:val="es-ES"/>
            </w:rPr>
            <w:t xml:space="preserve">Del A – </w:t>
          </w:r>
          <w:r w:rsidRPr="001048FE">
            <w:rPr>
              <w:lang w:val="sl-SI"/>
            </w:rPr>
            <w:t>Kdo izvaja program Erasmus+?</w:t>
          </w:r>
        </w:p>
      </w:tc>
      <w:tc>
        <w:tcPr>
          <w:tcW w:w="2031" w:type="pct"/>
          <w:shd w:val="clear" w:color="auto" w:fill="auto"/>
          <w:vAlign w:val="bottom"/>
        </w:tcPr>
        <w:p w14:paraId="7D39AD9C" w14:textId="77777777" w:rsidR="00A6094F" w:rsidRPr="00F769E0" w:rsidRDefault="00A6094F" w:rsidP="00EB49E5">
          <w:pPr>
            <w:pStyle w:val="Header"/>
            <w:rPr>
              <w:rFonts w:cs="Tahoma"/>
            </w:rPr>
          </w:pPr>
          <w:r w:rsidRPr="00F769E0">
            <w:rPr>
              <w:rFonts w:cs="Tahoma"/>
              <w:noProof/>
              <w:lang w:eastAsia="fr-BE"/>
            </w:rPr>
            <w:drawing>
              <wp:inline distT="0" distB="0" distL="0" distR="0" wp14:anchorId="7D39AF9D" wp14:editId="7D39AF9E">
                <wp:extent cx="2093343" cy="445248"/>
                <wp:effectExtent l="0" t="0" r="2540" b="0"/>
                <wp:docPr id="2610"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D9F" w14:textId="77777777" w:rsidTr="00EB49E5">
      <w:trPr>
        <w:trHeight w:val="283"/>
      </w:trPr>
      <w:tc>
        <w:tcPr>
          <w:tcW w:w="5000" w:type="pct"/>
          <w:gridSpan w:val="2"/>
          <w:shd w:val="clear" w:color="auto" w:fill="auto"/>
          <w:vAlign w:val="bottom"/>
        </w:tcPr>
        <w:p w14:paraId="7D39AD9E" w14:textId="77777777" w:rsidR="00A6094F" w:rsidRPr="00F769E0" w:rsidRDefault="00A6094F" w:rsidP="00EB49E5">
          <w:pPr>
            <w:pStyle w:val="Header"/>
            <w:rPr>
              <w:rFonts w:cs="Tahoma"/>
              <w:noProof/>
              <w:color w:val="009EC7"/>
            </w:rPr>
          </w:pPr>
          <w:r w:rsidRPr="00F769E0">
            <w:rPr>
              <w:rFonts w:cs="Tahoma"/>
              <w:noProof/>
              <w:lang w:eastAsia="fr-BE"/>
            </w:rPr>
            <w:drawing>
              <wp:anchor distT="0" distB="0" distL="114300" distR="114300" simplePos="0" relativeHeight="251618816" behindDoc="0" locked="0" layoutInCell="1" allowOverlap="1" wp14:anchorId="7D39AF9F" wp14:editId="7D39AFA0">
                <wp:simplePos x="0" y="0"/>
                <wp:positionH relativeFrom="margin">
                  <wp:align>left</wp:align>
                </wp:positionH>
                <wp:positionV relativeFrom="margin">
                  <wp:align>top</wp:align>
                </wp:positionV>
                <wp:extent cx="5628640" cy="28575"/>
                <wp:effectExtent l="0" t="0" r="0" b="9525"/>
                <wp:wrapSquare wrapText="bothSides"/>
                <wp:docPr id="261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DA0" w14:textId="77777777" w:rsidR="00A6094F" w:rsidRPr="00EB49E5" w:rsidRDefault="00A6094F" w:rsidP="00EB49E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DA3" w14:textId="77777777" w:rsidTr="00EB49E5">
      <w:trPr>
        <w:trHeight w:val="567"/>
      </w:trPr>
      <w:tc>
        <w:tcPr>
          <w:tcW w:w="2969" w:type="pct"/>
          <w:shd w:val="clear" w:color="auto" w:fill="auto"/>
          <w:vAlign w:val="bottom"/>
        </w:tcPr>
        <w:p w14:paraId="7D39ADA1" w14:textId="77777777" w:rsidR="00A6094F" w:rsidRPr="00F769E0" w:rsidRDefault="00A6094F" w:rsidP="00EB49E5">
          <w:pPr>
            <w:pStyle w:val="Header"/>
            <w:rPr>
              <w:rFonts w:cs="Tahoma"/>
              <w:lang w:val="it-IT"/>
            </w:rPr>
          </w:pPr>
          <w:r w:rsidRPr="00466651">
            <w:rPr>
              <w:rFonts w:cs="Tahoma"/>
              <w:lang w:val="it-IT"/>
            </w:rPr>
            <w:t>Del A – Kdo lahko sodeluje v programu Erasmus+?</w:t>
          </w:r>
        </w:p>
      </w:tc>
      <w:tc>
        <w:tcPr>
          <w:tcW w:w="2031" w:type="pct"/>
          <w:shd w:val="clear" w:color="auto" w:fill="auto"/>
          <w:vAlign w:val="bottom"/>
        </w:tcPr>
        <w:p w14:paraId="7D39ADA2" w14:textId="77777777" w:rsidR="00A6094F" w:rsidRPr="00F769E0" w:rsidRDefault="00A6094F" w:rsidP="00EB49E5">
          <w:pPr>
            <w:pStyle w:val="Header"/>
            <w:rPr>
              <w:rFonts w:cs="Tahoma"/>
            </w:rPr>
          </w:pPr>
          <w:r w:rsidRPr="00F769E0">
            <w:rPr>
              <w:rFonts w:cs="Tahoma"/>
              <w:noProof/>
              <w:lang w:eastAsia="fr-BE"/>
            </w:rPr>
            <w:drawing>
              <wp:inline distT="0" distB="0" distL="0" distR="0" wp14:anchorId="7D39AFA1" wp14:editId="7D39AFA2">
                <wp:extent cx="2093343" cy="445248"/>
                <wp:effectExtent l="0" t="0" r="2540" b="0"/>
                <wp:docPr id="2612"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DA5" w14:textId="77777777" w:rsidTr="00EB49E5">
      <w:trPr>
        <w:trHeight w:val="283"/>
      </w:trPr>
      <w:tc>
        <w:tcPr>
          <w:tcW w:w="5000" w:type="pct"/>
          <w:gridSpan w:val="2"/>
          <w:shd w:val="clear" w:color="auto" w:fill="auto"/>
          <w:vAlign w:val="bottom"/>
        </w:tcPr>
        <w:p w14:paraId="7D39ADA4" w14:textId="77777777" w:rsidR="00A6094F" w:rsidRPr="00F769E0" w:rsidRDefault="00A6094F" w:rsidP="00EB49E5">
          <w:pPr>
            <w:pStyle w:val="Header"/>
            <w:rPr>
              <w:rFonts w:cs="Tahoma"/>
              <w:noProof/>
              <w:color w:val="009EC7"/>
            </w:rPr>
          </w:pPr>
          <w:r w:rsidRPr="00F769E0">
            <w:rPr>
              <w:rFonts w:cs="Tahoma"/>
              <w:noProof/>
              <w:lang w:eastAsia="fr-BE"/>
            </w:rPr>
            <w:drawing>
              <wp:anchor distT="0" distB="0" distL="114300" distR="114300" simplePos="0" relativeHeight="251620864" behindDoc="0" locked="0" layoutInCell="1" allowOverlap="1" wp14:anchorId="7D39AFA3" wp14:editId="7D39AFA4">
                <wp:simplePos x="0" y="0"/>
                <wp:positionH relativeFrom="margin">
                  <wp:align>left</wp:align>
                </wp:positionH>
                <wp:positionV relativeFrom="margin">
                  <wp:align>top</wp:align>
                </wp:positionV>
                <wp:extent cx="5628640" cy="28575"/>
                <wp:effectExtent l="0" t="0" r="0" b="9525"/>
                <wp:wrapSquare wrapText="bothSides"/>
                <wp:docPr id="261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DA6" w14:textId="77777777" w:rsidR="00A6094F" w:rsidRPr="00A72FE7" w:rsidRDefault="00A6094F" w:rsidP="004C75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DA9" w14:textId="77777777" w:rsidTr="004C7571">
      <w:trPr>
        <w:trHeight w:val="567"/>
      </w:trPr>
      <w:tc>
        <w:tcPr>
          <w:tcW w:w="2969" w:type="pct"/>
          <w:shd w:val="clear" w:color="auto" w:fill="auto"/>
          <w:vAlign w:val="bottom"/>
        </w:tcPr>
        <w:p w14:paraId="7D39ADA7" w14:textId="77777777" w:rsidR="00A6094F" w:rsidRPr="00F769E0" w:rsidRDefault="00A6094F" w:rsidP="00C15888">
          <w:pPr>
            <w:pStyle w:val="Header"/>
            <w:rPr>
              <w:rFonts w:cs="Tahoma"/>
              <w:lang w:val="pl-PL"/>
            </w:rPr>
          </w:pPr>
          <w:r w:rsidRPr="00466651">
            <w:rPr>
              <w:rFonts w:cs="Tahoma"/>
              <w:lang w:val="pl-PL"/>
            </w:rPr>
            <w:t xml:space="preserve">Del B – </w:t>
          </w:r>
          <w:r w:rsidRPr="00C1426B">
            <w:rPr>
              <w:rFonts w:cs="Tahoma"/>
              <w:lang w:val="pl-PL"/>
            </w:rPr>
            <w:t>Informacije o ukrepih, zajetih v ta vodnik</w:t>
          </w:r>
        </w:p>
      </w:tc>
      <w:tc>
        <w:tcPr>
          <w:tcW w:w="2031" w:type="pct"/>
          <w:shd w:val="clear" w:color="auto" w:fill="auto"/>
          <w:vAlign w:val="bottom"/>
        </w:tcPr>
        <w:p w14:paraId="7D39ADA8"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AFA5" wp14:editId="7D39AFA6">
                <wp:extent cx="2093343" cy="445248"/>
                <wp:effectExtent l="0" t="0" r="2540" b="0"/>
                <wp:docPr id="2614"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DAB" w14:textId="77777777" w:rsidTr="004C7571">
      <w:trPr>
        <w:trHeight w:val="283"/>
      </w:trPr>
      <w:tc>
        <w:tcPr>
          <w:tcW w:w="5000" w:type="pct"/>
          <w:gridSpan w:val="2"/>
          <w:shd w:val="clear" w:color="auto" w:fill="auto"/>
          <w:vAlign w:val="bottom"/>
        </w:tcPr>
        <w:p w14:paraId="7D39ADAA"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591168" behindDoc="0" locked="0" layoutInCell="1" allowOverlap="1" wp14:anchorId="7D39AFA7" wp14:editId="7D39AFA8">
                <wp:simplePos x="0" y="0"/>
                <wp:positionH relativeFrom="margin">
                  <wp:align>left</wp:align>
                </wp:positionH>
                <wp:positionV relativeFrom="margin">
                  <wp:align>top</wp:align>
                </wp:positionV>
                <wp:extent cx="5628640" cy="28575"/>
                <wp:effectExtent l="0" t="0" r="0" b="9525"/>
                <wp:wrapSquare wrapText="bothSides"/>
                <wp:docPr id="2615"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DAC" w14:textId="77777777" w:rsidR="00A6094F" w:rsidRPr="00A72FE7" w:rsidRDefault="00A6094F" w:rsidP="004C757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DAF" w14:textId="77777777" w:rsidTr="004C7571">
      <w:trPr>
        <w:trHeight w:val="567"/>
      </w:trPr>
      <w:tc>
        <w:tcPr>
          <w:tcW w:w="2969" w:type="pct"/>
          <w:shd w:val="clear" w:color="auto" w:fill="auto"/>
          <w:vAlign w:val="bottom"/>
        </w:tcPr>
        <w:p w14:paraId="7D39ADAD" w14:textId="77777777" w:rsidR="00A6094F" w:rsidRPr="0005777F" w:rsidRDefault="00A6094F" w:rsidP="00C1426B">
          <w:pPr>
            <w:pStyle w:val="Header"/>
            <w:rPr>
              <w:rFonts w:cs="Tahoma"/>
              <w:lang w:val="pt-PT"/>
            </w:rPr>
          </w:pPr>
          <w:r w:rsidRPr="0005777F">
            <w:rPr>
              <w:rFonts w:cs="Tahoma"/>
              <w:lang w:val="pt-PT"/>
            </w:rPr>
            <w:t>Del B - Informacije o ukrepih, zajetih v ta vodnik</w:t>
          </w:r>
        </w:p>
      </w:tc>
      <w:tc>
        <w:tcPr>
          <w:tcW w:w="2031" w:type="pct"/>
          <w:shd w:val="clear" w:color="auto" w:fill="auto"/>
          <w:vAlign w:val="bottom"/>
        </w:tcPr>
        <w:p w14:paraId="7D39ADAE"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AFA9" wp14:editId="7D39AFAA">
                <wp:extent cx="2093343" cy="445248"/>
                <wp:effectExtent l="0" t="0" r="2540" b="0"/>
                <wp:docPr id="2616"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DB1" w14:textId="77777777" w:rsidTr="004C7571">
      <w:trPr>
        <w:trHeight w:val="283"/>
      </w:trPr>
      <w:tc>
        <w:tcPr>
          <w:tcW w:w="5000" w:type="pct"/>
          <w:gridSpan w:val="2"/>
          <w:shd w:val="clear" w:color="auto" w:fill="auto"/>
          <w:vAlign w:val="bottom"/>
        </w:tcPr>
        <w:p w14:paraId="7D39ADB0"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14720" behindDoc="0" locked="0" layoutInCell="1" allowOverlap="1" wp14:anchorId="7D39AFAB" wp14:editId="7D39AFAC">
                <wp:simplePos x="0" y="0"/>
                <wp:positionH relativeFrom="margin">
                  <wp:align>left</wp:align>
                </wp:positionH>
                <wp:positionV relativeFrom="margin">
                  <wp:align>top</wp:align>
                </wp:positionV>
                <wp:extent cx="5628640" cy="28575"/>
                <wp:effectExtent l="0" t="0" r="0" b="9525"/>
                <wp:wrapSquare wrapText="bothSides"/>
                <wp:docPr id="2617"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DB2" w14:textId="77777777" w:rsidR="00A6094F" w:rsidRPr="00A72FE7" w:rsidRDefault="00A6094F" w:rsidP="004C757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DB5" w14:textId="77777777" w:rsidTr="004C7571">
      <w:trPr>
        <w:trHeight w:val="567"/>
      </w:trPr>
      <w:tc>
        <w:tcPr>
          <w:tcW w:w="2969" w:type="pct"/>
          <w:shd w:val="clear" w:color="auto" w:fill="auto"/>
          <w:vAlign w:val="bottom"/>
        </w:tcPr>
        <w:p w14:paraId="7D39ADB3" w14:textId="77777777" w:rsidR="00A6094F" w:rsidRPr="00F769E0" w:rsidRDefault="00A6094F" w:rsidP="006F6C8B">
          <w:pPr>
            <w:pStyle w:val="Header"/>
            <w:rPr>
              <w:rFonts w:cs="Tahoma"/>
              <w:lang w:val="pl-PL"/>
            </w:rPr>
          </w:pPr>
          <w:r w:rsidRPr="001048FE">
            <w:rPr>
              <w:lang w:val="sl-SI"/>
            </w:rPr>
            <w:t>Projekt mobilnosti za šolsko osebje</w:t>
          </w:r>
        </w:p>
      </w:tc>
      <w:tc>
        <w:tcPr>
          <w:tcW w:w="2031" w:type="pct"/>
          <w:shd w:val="clear" w:color="auto" w:fill="auto"/>
          <w:vAlign w:val="bottom"/>
        </w:tcPr>
        <w:p w14:paraId="7D39ADB4"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AFAD" wp14:editId="7D39AFAE">
                <wp:extent cx="2093343" cy="445248"/>
                <wp:effectExtent l="0" t="0" r="2540" b="0"/>
                <wp:docPr id="2618"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DB7" w14:textId="77777777" w:rsidTr="004C7571">
      <w:trPr>
        <w:trHeight w:val="283"/>
      </w:trPr>
      <w:tc>
        <w:tcPr>
          <w:tcW w:w="5000" w:type="pct"/>
          <w:gridSpan w:val="2"/>
          <w:shd w:val="clear" w:color="auto" w:fill="auto"/>
          <w:vAlign w:val="bottom"/>
        </w:tcPr>
        <w:p w14:paraId="7D39ADB6"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595264" behindDoc="0" locked="0" layoutInCell="1" allowOverlap="1" wp14:anchorId="7D39AFAF" wp14:editId="7D39AFB0">
                <wp:simplePos x="0" y="0"/>
                <wp:positionH relativeFrom="margin">
                  <wp:align>left</wp:align>
                </wp:positionH>
                <wp:positionV relativeFrom="margin">
                  <wp:align>top</wp:align>
                </wp:positionV>
                <wp:extent cx="5628640" cy="28575"/>
                <wp:effectExtent l="0" t="0" r="0" b="9525"/>
                <wp:wrapSquare wrapText="bothSides"/>
                <wp:docPr id="261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DB8" w14:textId="77777777" w:rsidR="00A6094F" w:rsidRPr="00A72FE7" w:rsidRDefault="00A6094F" w:rsidP="004C757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DBB" w14:textId="77777777" w:rsidTr="004C7571">
      <w:trPr>
        <w:trHeight w:val="567"/>
      </w:trPr>
      <w:tc>
        <w:tcPr>
          <w:tcW w:w="2969" w:type="pct"/>
          <w:shd w:val="clear" w:color="auto" w:fill="auto"/>
          <w:vAlign w:val="bottom"/>
        </w:tcPr>
        <w:p w14:paraId="7D39ADB9" w14:textId="77777777" w:rsidR="00A6094F" w:rsidRPr="00F769E0" w:rsidRDefault="00A6094F" w:rsidP="006F6C8B">
          <w:pPr>
            <w:pStyle w:val="Header"/>
            <w:rPr>
              <w:rFonts w:cs="Tahoma"/>
              <w:lang w:val="pl-PL"/>
            </w:rPr>
          </w:pPr>
          <w:r w:rsidRPr="00974A09">
            <w:rPr>
              <w:lang w:val="sl-SI"/>
            </w:rPr>
            <w:t>Del B – Učna mobilnost posameznikov</w:t>
          </w:r>
        </w:p>
      </w:tc>
      <w:tc>
        <w:tcPr>
          <w:tcW w:w="2031" w:type="pct"/>
          <w:shd w:val="clear" w:color="auto" w:fill="auto"/>
          <w:vAlign w:val="bottom"/>
        </w:tcPr>
        <w:p w14:paraId="7D39ADBA"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AFB1" wp14:editId="7D39AFB2">
                <wp:extent cx="2093343" cy="445248"/>
                <wp:effectExtent l="0" t="0" r="2540" b="0"/>
                <wp:docPr id="2620"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DBD" w14:textId="77777777" w:rsidTr="004C7571">
      <w:trPr>
        <w:trHeight w:val="283"/>
      </w:trPr>
      <w:tc>
        <w:tcPr>
          <w:tcW w:w="5000" w:type="pct"/>
          <w:gridSpan w:val="2"/>
          <w:shd w:val="clear" w:color="auto" w:fill="auto"/>
          <w:vAlign w:val="bottom"/>
        </w:tcPr>
        <w:p w14:paraId="7D39ADBC"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37248" behindDoc="0" locked="0" layoutInCell="1" allowOverlap="1" wp14:anchorId="7D39AFB3" wp14:editId="7D39AFB4">
                <wp:simplePos x="0" y="0"/>
                <wp:positionH relativeFrom="margin">
                  <wp:align>left</wp:align>
                </wp:positionH>
                <wp:positionV relativeFrom="margin">
                  <wp:align>top</wp:align>
                </wp:positionV>
                <wp:extent cx="5628640" cy="28575"/>
                <wp:effectExtent l="0" t="0" r="0" b="9525"/>
                <wp:wrapSquare wrapText="bothSides"/>
                <wp:docPr id="262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DBE" w14:textId="77777777" w:rsidR="00A6094F" w:rsidRPr="00A72FE7" w:rsidRDefault="00A6094F" w:rsidP="004C757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6"/>
      <w:gridCol w:w="5378"/>
    </w:tblGrid>
    <w:tr w:rsidR="00A6094F" w:rsidRPr="007E3D6C" w14:paraId="7D39ADC1" w14:textId="77777777" w:rsidTr="007034E9">
      <w:trPr>
        <w:trHeight w:val="567"/>
      </w:trPr>
      <w:tc>
        <w:tcPr>
          <w:tcW w:w="2110" w:type="pct"/>
          <w:shd w:val="clear" w:color="auto" w:fill="auto"/>
          <w:vAlign w:val="bottom"/>
        </w:tcPr>
        <w:p w14:paraId="7D39ADBF" w14:textId="77777777" w:rsidR="00A6094F" w:rsidRPr="00B92DD4" w:rsidRDefault="00A6094F" w:rsidP="007034E9">
          <w:r w:rsidRPr="00237696">
            <w:rPr>
              <w:noProof/>
              <w:lang w:eastAsia="fr-BE"/>
            </w:rPr>
            <w:drawing>
              <wp:inline distT="0" distB="0" distL="0" distR="0" wp14:anchorId="7D39AFB5" wp14:editId="7D39AFB6">
                <wp:extent cx="2093343" cy="445248"/>
                <wp:effectExtent l="0" t="0" r="2540" b="0"/>
                <wp:docPr id="2622"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DC0" w14:textId="77777777" w:rsidR="00A6094F" w:rsidRPr="00F769E0" w:rsidRDefault="00A6094F" w:rsidP="007034E9">
          <w:pPr>
            <w:pStyle w:val="Header"/>
            <w:jc w:val="left"/>
            <w:rPr>
              <w:rFonts w:cs="Tahoma"/>
            </w:rPr>
          </w:pPr>
          <w:r w:rsidRPr="00F769E0">
            <w:rPr>
              <w:rFonts w:cs="Tahoma"/>
              <w:lang w:val="en-GB"/>
            </w:rPr>
            <w:t>Vodnik za prijavitelje</w:t>
          </w:r>
        </w:p>
      </w:tc>
    </w:tr>
    <w:tr w:rsidR="00A6094F" w:rsidRPr="007E3D6C" w14:paraId="7D39ADC3" w14:textId="77777777" w:rsidTr="007034E9">
      <w:trPr>
        <w:trHeight w:val="283"/>
      </w:trPr>
      <w:tc>
        <w:tcPr>
          <w:tcW w:w="5000" w:type="pct"/>
          <w:gridSpan w:val="2"/>
          <w:shd w:val="clear" w:color="auto" w:fill="auto"/>
          <w:vAlign w:val="bottom"/>
        </w:tcPr>
        <w:p w14:paraId="7D39ADC2" w14:textId="77777777" w:rsidR="00A6094F" w:rsidRPr="00F769E0" w:rsidRDefault="00A6094F" w:rsidP="007034E9">
          <w:pPr>
            <w:pStyle w:val="Header"/>
            <w:rPr>
              <w:rFonts w:cs="Tahoma"/>
              <w:noProof/>
              <w:color w:val="009EC7"/>
            </w:rPr>
          </w:pPr>
          <w:r w:rsidRPr="00F769E0">
            <w:rPr>
              <w:rFonts w:cs="Tahoma"/>
              <w:noProof/>
              <w:lang w:eastAsia="fr-BE"/>
            </w:rPr>
            <w:drawing>
              <wp:anchor distT="0" distB="0" distL="114300" distR="114300" simplePos="0" relativeHeight="251639296" behindDoc="0" locked="0" layoutInCell="1" allowOverlap="1" wp14:anchorId="7D39AFB7" wp14:editId="7D39AFB8">
                <wp:simplePos x="0" y="0"/>
                <wp:positionH relativeFrom="margin">
                  <wp:align>left</wp:align>
                </wp:positionH>
                <wp:positionV relativeFrom="margin">
                  <wp:align>top</wp:align>
                </wp:positionV>
                <wp:extent cx="5628640" cy="28575"/>
                <wp:effectExtent l="0" t="0" r="0" b="9525"/>
                <wp:wrapSquare wrapText="bothSides"/>
                <wp:docPr id="262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DC4" w14:textId="77777777" w:rsidR="00A6094F" w:rsidRPr="005102D9" w:rsidRDefault="00A6094F" w:rsidP="00134AA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DC7" w14:textId="77777777" w:rsidTr="004C7571">
      <w:trPr>
        <w:trHeight w:val="567"/>
      </w:trPr>
      <w:tc>
        <w:tcPr>
          <w:tcW w:w="2969" w:type="pct"/>
          <w:shd w:val="clear" w:color="auto" w:fill="auto"/>
          <w:vAlign w:val="bottom"/>
        </w:tcPr>
        <w:p w14:paraId="7D39ADC5" w14:textId="77777777" w:rsidR="00A6094F" w:rsidRPr="00F769E0" w:rsidRDefault="00A6094F" w:rsidP="006F6C8B">
          <w:pPr>
            <w:pStyle w:val="Header"/>
            <w:rPr>
              <w:rFonts w:cs="Tahoma"/>
              <w:lang w:val="pl-PL"/>
            </w:rPr>
          </w:pPr>
          <w:r>
            <w:rPr>
              <w:lang w:val="sl-SI"/>
            </w:rPr>
            <w:t>Del B – P</w:t>
          </w:r>
          <w:r w:rsidRPr="000113BC">
            <w:rPr>
              <w:lang w:val="sl-SI"/>
            </w:rPr>
            <w:t>rojekt mobilnosti za študente in osebje v visokošolskem izobraževanju</w:t>
          </w:r>
        </w:p>
      </w:tc>
      <w:tc>
        <w:tcPr>
          <w:tcW w:w="2031" w:type="pct"/>
          <w:shd w:val="clear" w:color="auto" w:fill="auto"/>
          <w:vAlign w:val="bottom"/>
        </w:tcPr>
        <w:p w14:paraId="7D39ADC6"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AFB9" wp14:editId="7D39AFBA">
                <wp:extent cx="2093343" cy="445248"/>
                <wp:effectExtent l="0" t="0" r="2540" b="0"/>
                <wp:docPr id="2624"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DC9" w14:textId="77777777" w:rsidTr="004C7571">
      <w:trPr>
        <w:trHeight w:val="283"/>
      </w:trPr>
      <w:tc>
        <w:tcPr>
          <w:tcW w:w="5000" w:type="pct"/>
          <w:gridSpan w:val="2"/>
          <w:shd w:val="clear" w:color="auto" w:fill="auto"/>
          <w:vAlign w:val="bottom"/>
        </w:tcPr>
        <w:p w14:paraId="7D39ADC8"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41344" behindDoc="0" locked="0" layoutInCell="1" allowOverlap="1" wp14:anchorId="7D39AFBB" wp14:editId="7D39AFBC">
                <wp:simplePos x="0" y="0"/>
                <wp:positionH relativeFrom="margin">
                  <wp:align>left</wp:align>
                </wp:positionH>
                <wp:positionV relativeFrom="margin">
                  <wp:align>top</wp:align>
                </wp:positionV>
                <wp:extent cx="5628640" cy="28575"/>
                <wp:effectExtent l="0" t="0" r="0" b="9525"/>
                <wp:wrapSquare wrapText="bothSides"/>
                <wp:docPr id="2625"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DCA" w14:textId="77777777" w:rsidR="00A6094F" w:rsidRPr="00A72FE7" w:rsidRDefault="00A6094F" w:rsidP="004C757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DCD" w14:textId="77777777" w:rsidTr="004C7571">
      <w:trPr>
        <w:trHeight w:val="567"/>
      </w:trPr>
      <w:tc>
        <w:tcPr>
          <w:tcW w:w="2969" w:type="pct"/>
          <w:shd w:val="clear" w:color="auto" w:fill="auto"/>
          <w:vAlign w:val="bottom"/>
        </w:tcPr>
        <w:p w14:paraId="7D39ADCB" w14:textId="77777777" w:rsidR="00A6094F" w:rsidRPr="00F769E0" w:rsidRDefault="00A6094F" w:rsidP="006F6C8B">
          <w:pPr>
            <w:pStyle w:val="Header"/>
            <w:rPr>
              <w:rFonts w:cs="Tahoma"/>
              <w:lang w:val="pl-PL"/>
            </w:rPr>
          </w:pPr>
          <w:r w:rsidRPr="00974A09">
            <w:rPr>
              <w:lang w:val="sl-SI"/>
            </w:rPr>
            <w:t xml:space="preserve">Del B – </w:t>
          </w:r>
          <w:r w:rsidRPr="00C1426B">
            <w:rPr>
              <w:lang w:val="sl-SI"/>
            </w:rPr>
            <w:t>Projekt mobilnosti za študente in osebje v visokošolskem izobraževanju</w:t>
          </w:r>
        </w:p>
      </w:tc>
      <w:tc>
        <w:tcPr>
          <w:tcW w:w="2031" w:type="pct"/>
          <w:shd w:val="clear" w:color="auto" w:fill="auto"/>
          <w:vAlign w:val="bottom"/>
        </w:tcPr>
        <w:p w14:paraId="7D39ADCC"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AFBD" wp14:editId="7D39AFBE">
                <wp:extent cx="2093343" cy="445248"/>
                <wp:effectExtent l="0" t="0" r="2540" b="0"/>
                <wp:docPr id="2626"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DCF" w14:textId="77777777" w:rsidTr="004C7571">
      <w:trPr>
        <w:trHeight w:val="283"/>
      </w:trPr>
      <w:tc>
        <w:tcPr>
          <w:tcW w:w="5000" w:type="pct"/>
          <w:gridSpan w:val="2"/>
          <w:shd w:val="clear" w:color="auto" w:fill="auto"/>
          <w:vAlign w:val="bottom"/>
        </w:tcPr>
        <w:p w14:paraId="7D39ADCE"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45440" behindDoc="0" locked="0" layoutInCell="1" allowOverlap="1" wp14:anchorId="7D39AFBF" wp14:editId="7D39AFC0">
                <wp:simplePos x="0" y="0"/>
                <wp:positionH relativeFrom="margin">
                  <wp:align>left</wp:align>
                </wp:positionH>
                <wp:positionV relativeFrom="margin">
                  <wp:align>top</wp:align>
                </wp:positionV>
                <wp:extent cx="5628640" cy="28575"/>
                <wp:effectExtent l="0" t="0" r="0" b="9525"/>
                <wp:wrapSquare wrapText="bothSides"/>
                <wp:docPr id="2627"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DD0" w14:textId="77777777" w:rsidR="00A6094F" w:rsidRPr="00A72FE7" w:rsidRDefault="00A6094F" w:rsidP="004C757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6"/>
      <w:gridCol w:w="5378"/>
    </w:tblGrid>
    <w:tr w:rsidR="00A6094F" w:rsidRPr="007E3D6C" w14:paraId="7D39ADD3" w14:textId="77777777" w:rsidTr="007034E9">
      <w:trPr>
        <w:trHeight w:val="567"/>
      </w:trPr>
      <w:tc>
        <w:tcPr>
          <w:tcW w:w="2110" w:type="pct"/>
          <w:shd w:val="clear" w:color="auto" w:fill="auto"/>
          <w:vAlign w:val="bottom"/>
        </w:tcPr>
        <w:p w14:paraId="7D39ADD1" w14:textId="77777777" w:rsidR="00A6094F" w:rsidRPr="00B92DD4" w:rsidRDefault="00A6094F" w:rsidP="007034E9">
          <w:r w:rsidRPr="00237696">
            <w:rPr>
              <w:noProof/>
              <w:lang w:eastAsia="fr-BE"/>
            </w:rPr>
            <w:drawing>
              <wp:inline distT="0" distB="0" distL="0" distR="0" wp14:anchorId="7D39AFC1" wp14:editId="7D39AFC2">
                <wp:extent cx="2093343" cy="445248"/>
                <wp:effectExtent l="0" t="0" r="2540" b="0"/>
                <wp:docPr id="2628"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DD2" w14:textId="77777777" w:rsidR="00A6094F" w:rsidRPr="00F769E0" w:rsidRDefault="00A6094F" w:rsidP="007034E9">
          <w:pPr>
            <w:pStyle w:val="Header"/>
            <w:jc w:val="left"/>
            <w:rPr>
              <w:rFonts w:cs="Tahoma"/>
            </w:rPr>
          </w:pPr>
          <w:r w:rsidRPr="00F769E0">
            <w:rPr>
              <w:rFonts w:cs="Tahoma"/>
              <w:lang w:val="en-GB"/>
            </w:rPr>
            <w:t>Vodnik za prijavitelje</w:t>
          </w:r>
        </w:p>
      </w:tc>
    </w:tr>
    <w:tr w:rsidR="00A6094F" w:rsidRPr="007E3D6C" w14:paraId="7D39ADD5" w14:textId="77777777" w:rsidTr="007034E9">
      <w:trPr>
        <w:trHeight w:val="283"/>
      </w:trPr>
      <w:tc>
        <w:tcPr>
          <w:tcW w:w="5000" w:type="pct"/>
          <w:gridSpan w:val="2"/>
          <w:shd w:val="clear" w:color="auto" w:fill="auto"/>
          <w:vAlign w:val="bottom"/>
        </w:tcPr>
        <w:p w14:paraId="7D39ADD4" w14:textId="77777777" w:rsidR="00A6094F" w:rsidRPr="00F769E0" w:rsidRDefault="00A6094F" w:rsidP="007034E9">
          <w:pPr>
            <w:pStyle w:val="Header"/>
            <w:rPr>
              <w:rFonts w:cs="Tahoma"/>
              <w:noProof/>
              <w:color w:val="009EC7"/>
            </w:rPr>
          </w:pPr>
          <w:r w:rsidRPr="00F769E0">
            <w:rPr>
              <w:rFonts w:cs="Tahoma"/>
              <w:noProof/>
              <w:lang w:eastAsia="fr-BE"/>
            </w:rPr>
            <w:drawing>
              <wp:anchor distT="0" distB="0" distL="114300" distR="114300" simplePos="0" relativeHeight="251643392" behindDoc="0" locked="0" layoutInCell="1" allowOverlap="1" wp14:anchorId="7D39AFC3" wp14:editId="7D39AFC4">
                <wp:simplePos x="0" y="0"/>
                <wp:positionH relativeFrom="margin">
                  <wp:align>left</wp:align>
                </wp:positionH>
                <wp:positionV relativeFrom="margin">
                  <wp:align>top</wp:align>
                </wp:positionV>
                <wp:extent cx="5628640" cy="28575"/>
                <wp:effectExtent l="0" t="0" r="0" b="9525"/>
                <wp:wrapSquare wrapText="bothSides"/>
                <wp:docPr id="262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DD6" w14:textId="77777777" w:rsidR="00A6094F" w:rsidRPr="005102D9" w:rsidRDefault="00A6094F" w:rsidP="00134A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D74" w14:textId="77777777" w:rsidTr="007E0A28">
      <w:trPr>
        <w:trHeight w:val="567"/>
      </w:trPr>
      <w:tc>
        <w:tcPr>
          <w:tcW w:w="2969" w:type="pct"/>
          <w:shd w:val="clear" w:color="auto" w:fill="auto"/>
          <w:vAlign w:val="bottom"/>
        </w:tcPr>
        <w:p w14:paraId="7D39AD72" w14:textId="77777777" w:rsidR="00A6094F" w:rsidRPr="00F769E0" w:rsidRDefault="00A6094F" w:rsidP="007E0A28">
          <w:pPr>
            <w:pStyle w:val="Header"/>
            <w:rPr>
              <w:rFonts w:cs="Tahoma"/>
            </w:rPr>
          </w:pPr>
        </w:p>
      </w:tc>
      <w:tc>
        <w:tcPr>
          <w:tcW w:w="2031" w:type="pct"/>
          <w:shd w:val="clear" w:color="auto" w:fill="auto"/>
          <w:vAlign w:val="bottom"/>
        </w:tcPr>
        <w:p w14:paraId="7D39AD73" w14:textId="77777777" w:rsidR="00A6094F" w:rsidRPr="00F769E0" w:rsidRDefault="00A6094F" w:rsidP="007E0A28">
          <w:pPr>
            <w:pStyle w:val="Header"/>
            <w:rPr>
              <w:rFonts w:cs="Tahoma"/>
            </w:rPr>
          </w:pPr>
        </w:p>
      </w:tc>
    </w:tr>
    <w:tr w:rsidR="00A6094F" w:rsidRPr="007E3D6C" w14:paraId="7D39AD76" w14:textId="77777777" w:rsidTr="007E0A28">
      <w:trPr>
        <w:trHeight w:val="283"/>
      </w:trPr>
      <w:tc>
        <w:tcPr>
          <w:tcW w:w="5000" w:type="pct"/>
          <w:gridSpan w:val="2"/>
          <w:shd w:val="clear" w:color="auto" w:fill="auto"/>
          <w:vAlign w:val="bottom"/>
        </w:tcPr>
        <w:p w14:paraId="7D39AD75" w14:textId="77777777" w:rsidR="00A6094F" w:rsidRPr="00F769E0" w:rsidRDefault="00A6094F" w:rsidP="007E0A28">
          <w:pPr>
            <w:pStyle w:val="Header"/>
            <w:jc w:val="left"/>
            <w:rPr>
              <w:rFonts w:cs="Tahoma"/>
              <w:noProof/>
              <w:color w:val="009EC7"/>
            </w:rPr>
          </w:pPr>
        </w:p>
      </w:tc>
    </w:tr>
  </w:tbl>
  <w:p w14:paraId="7D39AD77" w14:textId="77777777" w:rsidR="00A6094F" w:rsidRPr="007E0A28" w:rsidRDefault="00A6094F" w:rsidP="007E0A28">
    <w:pPr>
      <w:pStyle w:val="Header"/>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6"/>
      <w:gridCol w:w="5378"/>
    </w:tblGrid>
    <w:tr w:rsidR="00A6094F" w:rsidRPr="007E3D6C" w14:paraId="7D39ADD9" w14:textId="77777777" w:rsidTr="007034E9">
      <w:trPr>
        <w:trHeight w:val="567"/>
      </w:trPr>
      <w:tc>
        <w:tcPr>
          <w:tcW w:w="2110" w:type="pct"/>
          <w:shd w:val="clear" w:color="auto" w:fill="auto"/>
          <w:vAlign w:val="bottom"/>
        </w:tcPr>
        <w:p w14:paraId="7D39ADD7" w14:textId="77777777" w:rsidR="00A6094F" w:rsidRPr="00B92DD4" w:rsidRDefault="00A6094F" w:rsidP="007034E9">
          <w:r w:rsidRPr="00237696">
            <w:rPr>
              <w:noProof/>
              <w:lang w:eastAsia="fr-BE"/>
            </w:rPr>
            <w:drawing>
              <wp:inline distT="0" distB="0" distL="0" distR="0" wp14:anchorId="7D39AFC5" wp14:editId="7D39AFC6">
                <wp:extent cx="2093343" cy="445248"/>
                <wp:effectExtent l="0" t="0" r="2540" b="0"/>
                <wp:docPr id="2630"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DD8" w14:textId="77777777" w:rsidR="00A6094F" w:rsidRPr="00F769E0" w:rsidRDefault="00A6094F" w:rsidP="007034E9">
          <w:pPr>
            <w:pStyle w:val="Header"/>
            <w:jc w:val="left"/>
            <w:rPr>
              <w:rFonts w:cs="Tahoma"/>
            </w:rPr>
          </w:pPr>
          <w:r w:rsidRPr="00F769E0">
            <w:rPr>
              <w:rFonts w:cs="Tahoma"/>
              <w:lang w:val="en-GB"/>
            </w:rPr>
            <w:t>Vodnik za prijavitelje</w:t>
          </w:r>
        </w:p>
      </w:tc>
    </w:tr>
    <w:tr w:rsidR="00A6094F" w:rsidRPr="007E3D6C" w14:paraId="7D39ADDB" w14:textId="77777777" w:rsidTr="007034E9">
      <w:trPr>
        <w:trHeight w:val="283"/>
      </w:trPr>
      <w:tc>
        <w:tcPr>
          <w:tcW w:w="5000" w:type="pct"/>
          <w:gridSpan w:val="2"/>
          <w:shd w:val="clear" w:color="auto" w:fill="auto"/>
          <w:vAlign w:val="bottom"/>
        </w:tcPr>
        <w:p w14:paraId="7D39ADDA" w14:textId="77777777" w:rsidR="00A6094F" w:rsidRPr="00F769E0" w:rsidRDefault="00A6094F" w:rsidP="007034E9">
          <w:pPr>
            <w:pStyle w:val="Header"/>
            <w:rPr>
              <w:rFonts w:cs="Tahoma"/>
              <w:noProof/>
              <w:color w:val="009EC7"/>
            </w:rPr>
          </w:pPr>
          <w:r w:rsidRPr="00F769E0">
            <w:rPr>
              <w:rFonts w:cs="Tahoma"/>
              <w:noProof/>
              <w:lang w:eastAsia="fr-BE"/>
            </w:rPr>
            <w:drawing>
              <wp:anchor distT="0" distB="0" distL="114300" distR="114300" simplePos="0" relativeHeight="251635200" behindDoc="0" locked="0" layoutInCell="1" allowOverlap="1" wp14:anchorId="7D39AFC7" wp14:editId="7D39AFC8">
                <wp:simplePos x="0" y="0"/>
                <wp:positionH relativeFrom="margin">
                  <wp:align>left</wp:align>
                </wp:positionH>
                <wp:positionV relativeFrom="margin">
                  <wp:align>top</wp:align>
                </wp:positionV>
                <wp:extent cx="5628640" cy="28575"/>
                <wp:effectExtent l="0" t="0" r="0" b="9525"/>
                <wp:wrapSquare wrapText="bothSides"/>
                <wp:docPr id="263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DDC" w14:textId="77777777" w:rsidR="00A6094F" w:rsidRPr="005102D9" w:rsidRDefault="00A6094F" w:rsidP="00134AA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DDF" w14:textId="77777777" w:rsidTr="004C7571">
      <w:trPr>
        <w:trHeight w:val="567"/>
      </w:trPr>
      <w:tc>
        <w:tcPr>
          <w:tcW w:w="2969" w:type="pct"/>
          <w:shd w:val="clear" w:color="auto" w:fill="auto"/>
          <w:vAlign w:val="bottom"/>
        </w:tcPr>
        <w:p w14:paraId="7D39ADDD" w14:textId="77777777" w:rsidR="00A6094F" w:rsidRPr="00F769E0" w:rsidRDefault="00A6094F" w:rsidP="006F6C8B">
          <w:pPr>
            <w:pStyle w:val="Header"/>
            <w:rPr>
              <w:rFonts w:cs="Tahoma"/>
              <w:lang w:val="pl-PL"/>
            </w:rPr>
          </w:pPr>
          <w:r>
            <w:rPr>
              <w:lang w:val="sl-SI"/>
            </w:rPr>
            <w:t xml:space="preserve">Del B - </w:t>
          </w:r>
          <w:r w:rsidRPr="001048FE">
            <w:rPr>
              <w:lang w:val="sl-SI"/>
            </w:rPr>
            <w:t>Projekt mobilnosti za šolsko osebje</w:t>
          </w:r>
        </w:p>
      </w:tc>
      <w:tc>
        <w:tcPr>
          <w:tcW w:w="2031" w:type="pct"/>
          <w:shd w:val="clear" w:color="auto" w:fill="auto"/>
          <w:vAlign w:val="bottom"/>
        </w:tcPr>
        <w:p w14:paraId="7D39ADDE"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AFC9" wp14:editId="7D39AFCA">
                <wp:extent cx="2093343" cy="445248"/>
                <wp:effectExtent l="0" t="0" r="2540" b="0"/>
                <wp:docPr id="2632"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DE1" w14:textId="77777777" w:rsidTr="004C7571">
      <w:trPr>
        <w:trHeight w:val="283"/>
      </w:trPr>
      <w:tc>
        <w:tcPr>
          <w:tcW w:w="5000" w:type="pct"/>
          <w:gridSpan w:val="2"/>
          <w:shd w:val="clear" w:color="auto" w:fill="auto"/>
          <w:vAlign w:val="bottom"/>
        </w:tcPr>
        <w:p w14:paraId="7D39ADE0"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33152" behindDoc="0" locked="0" layoutInCell="1" allowOverlap="1" wp14:anchorId="7D39AFCB" wp14:editId="7D39AFCC">
                <wp:simplePos x="0" y="0"/>
                <wp:positionH relativeFrom="margin">
                  <wp:align>left</wp:align>
                </wp:positionH>
                <wp:positionV relativeFrom="margin">
                  <wp:align>top</wp:align>
                </wp:positionV>
                <wp:extent cx="5628640" cy="28575"/>
                <wp:effectExtent l="0" t="0" r="0" b="9525"/>
                <wp:wrapSquare wrapText="bothSides"/>
                <wp:docPr id="263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DE2" w14:textId="77777777" w:rsidR="00A6094F" w:rsidRPr="00A72FE7" w:rsidRDefault="00A6094F" w:rsidP="004C757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DE5" w14:textId="77777777" w:rsidTr="004C7571">
      <w:trPr>
        <w:trHeight w:val="567"/>
      </w:trPr>
      <w:tc>
        <w:tcPr>
          <w:tcW w:w="2969" w:type="pct"/>
          <w:shd w:val="clear" w:color="auto" w:fill="auto"/>
          <w:vAlign w:val="bottom"/>
        </w:tcPr>
        <w:p w14:paraId="7D39ADE3" w14:textId="77777777" w:rsidR="00A6094F" w:rsidRPr="00F769E0" w:rsidRDefault="00A6094F" w:rsidP="006F6C8B">
          <w:pPr>
            <w:pStyle w:val="Header"/>
            <w:rPr>
              <w:rFonts w:cs="Tahoma"/>
              <w:lang w:val="pl-PL"/>
            </w:rPr>
          </w:pPr>
          <w:r w:rsidRPr="000113BC">
            <w:rPr>
              <w:lang w:val="sl-SI"/>
            </w:rPr>
            <w:t>Del B – Projekt mobilnosti za osebje v izobraževanju odraslih</w:t>
          </w:r>
        </w:p>
      </w:tc>
      <w:tc>
        <w:tcPr>
          <w:tcW w:w="2031" w:type="pct"/>
          <w:shd w:val="clear" w:color="auto" w:fill="auto"/>
          <w:vAlign w:val="bottom"/>
        </w:tcPr>
        <w:p w14:paraId="7D39ADE4"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AFCD" wp14:editId="7D39AFCE">
                <wp:extent cx="2093343" cy="445248"/>
                <wp:effectExtent l="0" t="0" r="2540" b="0"/>
                <wp:docPr id="2634"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DE7" w14:textId="77777777" w:rsidTr="004C7571">
      <w:trPr>
        <w:trHeight w:val="283"/>
      </w:trPr>
      <w:tc>
        <w:tcPr>
          <w:tcW w:w="5000" w:type="pct"/>
          <w:gridSpan w:val="2"/>
          <w:shd w:val="clear" w:color="auto" w:fill="auto"/>
          <w:vAlign w:val="bottom"/>
        </w:tcPr>
        <w:p w14:paraId="7D39ADE6"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47488" behindDoc="0" locked="0" layoutInCell="1" allowOverlap="1" wp14:anchorId="7D39AFCF" wp14:editId="7D39AFD0">
                <wp:simplePos x="0" y="0"/>
                <wp:positionH relativeFrom="margin">
                  <wp:align>left</wp:align>
                </wp:positionH>
                <wp:positionV relativeFrom="margin">
                  <wp:align>top</wp:align>
                </wp:positionV>
                <wp:extent cx="5628640" cy="28575"/>
                <wp:effectExtent l="0" t="0" r="0" b="9525"/>
                <wp:wrapSquare wrapText="bothSides"/>
                <wp:docPr id="2635"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DE8" w14:textId="77777777" w:rsidR="00A6094F" w:rsidRPr="00A72FE7" w:rsidRDefault="00A6094F" w:rsidP="004C757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DEB" w14:textId="77777777" w:rsidTr="004C7571">
      <w:trPr>
        <w:trHeight w:val="567"/>
      </w:trPr>
      <w:tc>
        <w:tcPr>
          <w:tcW w:w="2969" w:type="pct"/>
          <w:shd w:val="clear" w:color="auto" w:fill="auto"/>
          <w:vAlign w:val="bottom"/>
        </w:tcPr>
        <w:p w14:paraId="7D39ADE9" w14:textId="77777777" w:rsidR="00A6094F" w:rsidRPr="00F769E0" w:rsidRDefault="00A6094F" w:rsidP="006F6C8B">
          <w:pPr>
            <w:pStyle w:val="Header"/>
            <w:rPr>
              <w:rFonts w:cs="Tahoma"/>
              <w:lang w:val="pl-PL"/>
            </w:rPr>
          </w:pPr>
          <w:r w:rsidRPr="00C90BB2">
            <w:rPr>
              <w:lang w:val="sl-SI"/>
            </w:rPr>
            <w:t>Del B – projekt mobilnosti za mlade in mladinske delavce</w:t>
          </w:r>
        </w:p>
      </w:tc>
      <w:tc>
        <w:tcPr>
          <w:tcW w:w="2031" w:type="pct"/>
          <w:shd w:val="clear" w:color="auto" w:fill="auto"/>
          <w:vAlign w:val="bottom"/>
        </w:tcPr>
        <w:p w14:paraId="7D39ADEA"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AFD1" wp14:editId="7D39AFD2">
                <wp:extent cx="2093343" cy="445248"/>
                <wp:effectExtent l="0" t="0" r="2540" b="0"/>
                <wp:docPr id="2636"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DED" w14:textId="77777777" w:rsidTr="004C7571">
      <w:trPr>
        <w:trHeight w:val="283"/>
      </w:trPr>
      <w:tc>
        <w:tcPr>
          <w:tcW w:w="5000" w:type="pct"/>
          <w:gridSpan w:val="2"/>
          <w:shd w:val="clear" w:color="auto" w:fill="auto"/>
          <w:vAlign w:val="bottom"/>
        </w:tcPr>
        <w:p w14:paraId="7D39ADEC"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49536" behindDoc="0" locked="0" layoutInCell="1" allowOverlap="1" wp14:anchorId="7D39AFD3" wp14:editId="7D39AFD4">
                <wp:simplePos x="0" y="0"/>
                <wp:positionH relativeFrom="margin">
                  <wp:align>left</wp:align>
                </wp:positionH>
                <wp:positionV relativeFrom="margin">
                  <wp:align>top</wp:align>
                </wp:positionV>
                <wp:extent cx="5628640" cy="28575"/>
                <wp:effectExtent l="0" t="0" r="0" b="9525"/>
                <wp:wrapSquare wrapText="bothSides"/>
                <wp:docPr id="2637"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DEE" w14:textId="77777777" w:rsidR="00A6094F" w:rsidRPr="00A72FE7" w:rsidRDefault="00A6094F" w:rsidP="004C757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8789"/>
      <w:gridCol w:w="6013"/>
    </w:tblGrid>
    <w:tr w:rsidR="00A6094F" w:rsidRPr="007E3D6C" w14:paraId="7D39ADF1" w14:textId="77777777" w:rsidTr="004C7571">
      <w:trPr>
        <w:trHeight w:val="567"/>
      </w:trPr>
      <w:tc>
        <w:tcPr>
          <w:tcW w:w="2969" w:type="pct"/>
          <w:shd w:val="clear" w:color="auto" w:fill="auto"/>
          <w:vAlign w:val="bottom"/>
        </w:tcPr>
        <w:p w14:paraId="7D39ADEF" w14:textId="77777777" w:rsidR="00A6094F" w:rsidRPr="00F769E0" w:rsidRDefault="00A6094F" w:rsidP="006F6C8B">
          <w:pPr>
            <w:pStyle w:val="Header"/>
            <w:rPr>
              <w:rFonts w:cs="Tahoma"/>
              <w:lang w:val="pl-PL"/>
            </w:rPr>
          </w:pPr>
          <w:r w:rsidRPr="00C90BB2">
            <w:rPr>
              <w:lang w:val="sl-SI"/>
            </w:rPr>
            <w:t>Del B – projekt mobilnosti za mlade in mladinske delavce</w:t>
          </w:r>
        </w:p>
      </w:tc>
      <w:tc>
        <w:tcPr>
          <w:tcW w:w="2031" w:type="pct"/>
          <w:shd w:val="clear" w:color="auto" w:fill="auto"/>
          <w:vAlign w:val="bottom"/>
        </w:tcPr>
        <w:p w14:paraId="7D39ADF0"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AFD5" wp14:editId="7D39AFD6">
                <wp:extent cx="2093343" cy="445248"/>
                <wp:effectExtent l="0" t="0" r="2540" b="0"/>
                <wp:docPr id="2638"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DF3" w14:textId="77777777" w:rsidTr="004C7571">
      <w:trPr>
        <w:trHeight w:val="283"/>
      </w:trPr>
      <w:tc>
        <w:tcPr>
          <w:tcW w:w="5000" w:type="pct"/>
          <w:gridSpan w:val="2"/>
          <w:shd w:val="clear" w:color="auto" w:fill="auto"/>
          <w:vAlign w:val="bottom"/>
        </w:tcPr>
        <w:p w14:paraId="7D39ADF2"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16768" behindDoc="0" locked="0" layoutInCell="1" allowOverlap="1" wp14:anchorId="7D39AFD7" wp14:editId="7D39AFD8">
                <wp:simplePos x="0" y="0"/>
                <wp:positionH relativeFrom="margin">
                  <wp:align>left</wp:align>
                </wp:positionH>
                <wp:positionV relativeFrom="margin">
                  <wp:align>top</wp:align>
                </wp:positionV>
                <wp:extent cx="5628640" cy="28575"/>
                <wp:effectExtent l="0" t="0" r="0" b="9525"/>
                <wp:wrapSquare wrapText="bothSides"/>
                <wp:docPr id="263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DF4" w14:textId="77777777" w:rsidR="00A6094F" w:rsidRPr="00A72FE7" w:rsidRDefault="00A6094F" w:rsidP="004C757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DF7" w14:textId="77777777" w:rsidTr="004C7571">
      <w:trPr>
        <w:trHeight w:val="567"/>
      </w:trPr>
      <w:tc>
        <w:tcPr>
          <w:tcW w:w="2969" w:type="pct"/>
          <w:shd w:val="clear" w:color="auto" w:fill="auto"/>
          <w:vAlign w:val="bottom"/>
        </w:tcPr>
        <w:p w14:paraId="7D39ADF5" w14:textId="77777777" w:rsidR="00A6094F" w:rsidRPr="00F769E0" w:rsidRDefault="00A6094F" w:rsidP="00C90BB2">
          <w:pPr>
            <w:pStyle w:val="Header"/>
            <w:rPr>
              <w:rFonts w:cs="Tahoma"/>
              <w:lang w:val="pl-PL"/>
            </w:rPr>
          </w:pPr>
          <w:hyperlink w:anchor="_bookmark16" w:history="1">
            <w:r>
              <w:t xml:space="preserve"> Del B – S</w:t>
            </w:r>
            <w:r w:rsidRPr="00C90BB2">
              <w:t>kupni magistrski študij Erasmus Mundus</w:t>
            </w:r>
          </w:hyperlink>
        </w:p>
      </w:tc>
      <w:tc>
        <w:tcPr>
          <w:tcW w:w="2031" w:type="pct"/>
          <w:shd w:val="clear" w:color="auto" w:fill="auto"/>
          <w:vAlign w:val="bottom"/>
        </w:tcPr>
        <w:p w14:paraId="7D39ADF6"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AFD9" wp14:editId="7D39AFDA">
                <wp:extent cx="2093343" cy="445248"/>
                <wp:effectExtent l="0" t="0" r="2540" b="0"/>
                <wp:docPr id="2640"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DF9" w14:textId="77777777" w:rsidTr="004C7571">
      <w:trPr>
        <w:trHeight w:val="283"/>
      </w:trPr>
      <w:tc>
        <w:tcPr>
          <w:tcW w:w="5000" w:type="pct"/>
          <w:gridSpan w:val="2"/>
          <w:shd w:val="clear" w:color="auto" w:fill="auto"/>
          <w:vAlign w:val="bottom"/>
        </w:tcPr>
        <w:p w14:paraId="7D39ADF8"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51584" behindDoc="0" locked="0" layoutInCell="1" allowOverlap="1" wp14:anchorId="7D39AFDB" wp14:editId="7D39AFDC">
                <wp:simplePos x="0" y="0"/>
                <wp:positionH relativeFrom="margin">
                  <wp:align>left</wp:align>
                </wp:positionH>
                <wp:positionV relativeFrom="margin">
                  <wp:align>top</wp:align>
                </wp:positionV>
                <wp:extent cx="5628640" cy="28575"/>
                <wp:effectExtent l="0" t="0" r="0" b="9525"/>
                <wp:wrapSquare wrapText="bothSides"/>
                <wp:docPr id="264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DFA" w14:textId="77777777" w:rsidR="00A6094F" w:rsidRPr="00A72FE7" w:rsidRDefault="00A6094F" w:rsidP="004C757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DFD" w14:textId="77777777" w:rsidTr="004C7571">
      <w:trPr>
        <w:trHeight w:val="567"/>
      </w:trPr>
      <w:tc>
        <w:tcPr>
          <w:tcW w:w="2969" w:type="pct"/>
          <w:shd w:val="clear" w:color="auto" w:fill="auto"/>
          <w:vAlign w:val="bottom"/>
        </w:tcPr>
        <w:p w14:paraId="7D39ADFB" w14:textId="77777777" w:rsidR="00A6094F" w:rsidRPr="00C90BB2" w:rsidRDefault="00A6094F" w:rsidP="00C90BB2">
          <w:pPr>
            <w:pStyle w:val="Header"/>
            <w:rPr>
              <w:rFonts w:cs="Tahoma"/>
              <w:lang w:val="it-IT"/>
            </w:rPr>
          </w:pPr>
          <w:r>
            <w:rPr>
              <w:lang w:val="it-IT"/>
            </w:rPr>
            <w:t>Del B - P</w:t>
          </w:r>
          <w:r w:rsidRPr="00C90BB2">
            <w:rPr>
              <w:lang w:val="it-IT"/>
            </w:rPr>
            <w:t>osojil</w:t>
          </w:r>
          <w:r>
            <w:rPr>
              <w:lang w:val="it-IT"/>
            </w:rPr>
            <w:t>a Erasmus+ za magistrski študij</w:t>
          </w:r>
        </w:p>
      </w:tc>
      <w:tc>
        <w:tcPr>
          <w:tcW w:w="2031" w:type="pct"/>
          <w:shd w:val="clear" w:color="auto" w:fill="auto"/>
          <w:vAlign w:val="bottom"/>
        </w:tcPr>
        <w:p w14:paraId="7D39ADFC"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AFDD" wp14:editId="7D39AFDE">
                <wp:extent cx="2093343" cy="445248"/>
                <wp:effectExtent l="0" t="0" r="2540" b="0"/>
                <wp:docPr id="2642"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DFF" w14:textId="77777777" w:rsidTr="004C7571">
      <w:trPr>
        <w:trHeight w:val="283"/>
      </w:trPr>
      <w:tc>
        <w:tcPr>
          <w:tcW w:w="5000" w:type="pct"/>
          <w:gridSpan w:val="2"/>
          <w:shd w:val="clear" w:color="auto" w:fill="auto"/>
          <w:vAlign w:val="bottom"/>
        </w:tcPr>
        <w:p w14:paraId="7D39ADFE"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53632" behindDoc="0" locked="0" layoutInCell="1" allowOverlap="1" wp14:anchorId="7D39AFDF" wp14:editId="7D39AFE0">
                <wp:simplePos x="0" y="0"/>
                <wp:positionH relativeFrom="margin">
                  <wp:align>left</wp:align>
                </wp:positionH>
                <wp:positionV relativeFrom="margin">
                  <wp:align>top</wp:align>
                </wp:positionV>
                <wp:extent cx="5628640" cy="28575"/>
                <wp:effectExtent l="0" t="0" r="0" b="9525"/>
                <wp:wrapSquare wrapText="bothSides"/>
                <wp:docPr id="264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00" w14:textId="77777777" w:rsidR="00A6094F" w:rsidRPr="00A72FE7" w:rsidRDefault="00A6094F" w:rsidP="004C757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2"/>
      <w:gridCol w:w="5373"/>
    </w:tblGrid>
    <w:tr w:rsidR="00A6094F" w:rsidRPr="00962E3F" w14:paraId="7D39AE03" w14:textId="77777777" w:rsidTr="007034E9">
      <w:trPr>
        <w:trHeight w:val="567"/>
      </w:trPr>
      <w:tc>
        <w:tcPr>
          <w:tcW w:w="2110" w:type="pct"/>
          <w:shd w:val="clear" w:color="auto" w:fill="auto"/>
          <w:vAlign w:val="bottom"/>
        </w:tcPr>
        <w:p w14:paraId="7D39AE01" w14:textId="77777777" w:rsidR="00A6094F" w:rsidRPr="00B92DD4" w:rsidRDefault="00A6094F" w:rsidP="007034E9">
          <w:r w:rsidRPr="00237696">
            <w:rPr>
              <w:noProof/>
              <w:lang w:eastAsia="fr-BE"/>
            </w:rPr>
            <w:drawing>
              <wp:inline distT="0" distB="0" distL="0" distR="0" wp14:anchorId="7D39AFE1" wp14:editId="7D39AFE2">
                <wp:extent cx="2093343" cy="445248"/>
                <wp:effectExtent l="0" t="0" r="2540" b="0"/>
                <wp:docPr id="2644"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E02" w14:textId="77777777" w:rsidR="00A6094F" w:rsidRPr="00F769E0" w:rsidRDefault="00A6094F" w:rsidP="007034E9">
          <w:pPr>
            <w:pStyle w:val="Header"/>
            <w:jc w:val="left"/>
            <w:rPr>
              <w:rFonts w:cs="Tahoma"/>
            </w:rPr>
          </w:pPr>
          <w:r w:rsidRPr="00F769E0">
            <w:rPr>
              <w:rFonts w:cs="Tahoma"/>
              <w:lang w:val="en-GB"/>
            </w:rPr>
            <w:t>Vodnik za prijavitelje</w:t>
          </w:r>
        </w:p>
      </w:tc>
    </w:tr>
    <w:tr w:rsidR="00A6094F" w:rsidRPr="00B92DD4" w14:paraId="7D39AE05" w14:textId="77777777" w:rsidTr="007034E9">
      <w:trPr>
        <w:trHeight w:val="283"/>
      </w:trPr>
      <w:tc>
        <w:tcPr>
          <w:tcW w:w="5000" w:type="pct"/>
          <w:gridSpan w:val="2"/>
          <w:shd w:val="clear" w:color="auto" w:fill="auto"/>
          <w:vAlign w:val="bottom"/>
        </w:tcPr>
        <w:p w14:paraId="7D39AE04" w14:textId="77777777" w:rsidR="00A6094F" w:rsidRPr="00F769E0" w:rsidRDefault="00A6094F" w:rsidP="007034E9">
          <w:pPr>
            <w:pStyle w:val="Header"/>
            <w:rPr>
              <w:rFonts w:cs="Tahoma"/>
              <w:noProof/>
              <w:color w:val="009EC7"/>
            </w:rPr>
          </w:pPr>
          <w:r w:rsidRPr="00F769E0">
            <w:rPr>
              <w:rFonts w:cs="Tahoma"/>
              <w:noProof/>
              <w:lang w:eastAsia="fr-BE"/>
            </w:rPr>
            <w:drawing>
              <wp:anchor distT="0" distB="0" distL="114300" distR="114300" simplePos="0" relativeHeight="251628032" behindDoc="0" locked="0" layoutInCell="1" allowOverlap="1" wp14:anchorId="7D39AFE3" wp14:editId="7D39AFE4">
                <wp:simplePos x="0" y="0"/>
                <wp:positionH relativeFrom="margin">
                  <wp:align>left</wp:align>
                </wp:positionH>
                <wp:positionV relativeFrom="margin">
                  <wp:align>top</wp:align>
                </wp:positionV>
                <wp:extent cx="5628640" cy="28575"/>
                <wp:effectExtent l="0" t="0" r="0" b="9525"/>
                <wp:wrapSquare wrapText="bothSides"/>
                <wp:docPr id="2645"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06" w14:textId="77777777" w:rsidR="00A6094F" w:rsidRDefault="00A6094F">
    <w:pPr>
      <w:pStyle w:val="BodyText"/>
      <w:spacing w:line="14" w:lineRule="auto"/>
      <w:rPr>
        <w:sz w:val="20"/>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19"/>
      <w:gridCol w:w="3776"/>
    </w:tblGrid>
    <w:tr w:rsidR="00A6094F" w:rsidRPr="00962E3F" w14:paraId="7D39AE09" w14:textId="77777777" w:rsidTr="007034E9">
      <w:trPr>
        <w:trHeight w:val="567"/>
      </w:trPr>
      <w:tc>
        <w:tcPr>
          <w:tcW w:w="2969" w:type="pct"/>
          <w:shd w:val="clear" w:color="auto" w:fill="auto"/>
          <w:vAlign w:val="bottom"/>
        </w:tcPr>
        <w:p w14:paraId="7D39AE07" w14:textId="77777777" w:rsidR="00A6094F" w:rsidRPr="00F769E0" w:rsidRDefault="00A6094F" w:rsidP="007034E9">
          <w:pPr>
            <w:pStyle w:val="Header"/>
            <w:rPr>
              <w:rFonts w:cs="Tahoma"/>
              <w:lang w:val="pl-PL"/>
            </w:rPr>
          </w:pPr>
          <w:r w:rsidRPr="00C60205">
            <w:rPr>
              <w:lang w:val="it-IT"/>
            </w:rPr>
            <w:t>Del B – Sodelovanje za inovacije in izmenjava dobrih praks</w:t>
          </w:r>
        </w:p>
      </w:tc>
      <w:tc>
        <w:tcPr>
          <w:tcW w:w="2031" w:type="pct"/>
          <w:shd w:val="clear" w:color="auto" w:fill="auto"/>
          <w:vAlign w:val="bottom"/>
        </w:tcPr>
        <w:p w14:paraId="7D39AE08" w14:textId="77777777" w:rsidR="00A6094F" w:rsidRPr="00F769E0" w:rsidRDefault="00A6094F" w:rsidP="007034E9">
          <w:pPr>
            <w:pStyle w:val="Header"/>
            <w:rPr>
              <w:rFonts w:cs="Tahoma"/>
            </w:rPr>
          </w:pPr>
          <w:r w:rsidRPr="00F769E0">
            <w:rPr>
              <w:rFonts w:cs="Tahoma"/>
              <w:noProof/>
              <w:lang w:eastAsia="fr-BE"/>
            </w:rPr>
            <w:drawing>
              <wp:inline distT="0" distB="0" distL="0" distR="0" wp14:anchorId="7D39AFE5" wp14:editId="7D39AFE6">
                <wp:extent cx="2093343" cy="445248"/>
                <wp:effectExtent l="0" t="0" r="2540" b="0"/>
                <wp:docPr id="2646"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B92DD4" w14:paraId="7D39AE0B" w14:textId="77777777" w:rsidTr="007034E9">
      <w:trPr>
        <w:trHeight w:val="283"/>
      </w:trPr>
      <w:tc>
        <w:tcPr>
          <w:tcW w:w="5000" w:type="pct"/>
          <w:gridSpan w:val="2"/>
          <w:shd w:val="clear" w:color="auto" w:fill="auto"/>
          <w:vAlign w:val="bottom"/>
        </w:tcPr>
        <w:p w14:paraId="7D39AE0A" w14:textId="77777777" w:rsidR="00A6094F" w:rsidRPr="00F769E0" w:rsidRDefault="00A6094F" w:rsidP="007034E9">
          <w:pPr>
            <w:pStyle w:val="Header"/>
            <w:rPr>
              <w:rFonts w:cs="Tahoma"/>
              <w:noProof/>
              <w:color w:val="009EC7"/>
            </w:rPr>
          </w:pPr>
          <w:r w:rsidRPr="00F769E0">
            <w:rPr>
              <w:rFonts w:cs="Tahoma"/>
              <w:noProof/>
              <w:lang w:eastAsia="fr-BE"/>
            </w:rPr>
            <w:drawing>
              <wp:anchor distT="0" distB="0" distL="114300" distR="114300" simplePos="0" relativeHeight="251625984" behindDoc="0" locked="0" layoutInCell="1" allowOverlap="1" wp14:anchorId="7D39AFE7" wp14:editId="7D39AFE8">
                <wp:simplePos x="0" y="0"/>
                <wp:positionH relativeFrom="margin">
                  <wp:align>left</wp:align>
                </wp:positionH>
                <wp:positionV relativeFrom="margin">
                  <wp:align>top</wp:align>
                </wp:positionV>
                <wp:extent cx="5628640" cy="28575"/>
                <wp:effectExtent l="0" t="0" r="0" b="9525"/>
                <wp:wrapSquare wrapText="bothSides"/>
                <wp:docPr id="2647"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0C" w14:textId="77777777" w:rsidR="00A6094F" w:rsidRDefault="00A6094F">
    <w:pPr>
      <w:pStyle w:val="BodyText"/>
      <w:spacing w:line="14" w:lineRule="auto"/>
      <w:rPr>
        <w:sz w:val="20"/>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6"/>
      <w:gridCol w:w="5378"/>
    </w:tblGrid>
    <w:tr w:rsidR="00A6094F" w:rsidRPr="007E3D6C" w14:paraId="7D39AE0F" w14:textId="77777777" w:rsidTr="007E0A28">
      <w:trPr>
        <w:trHeight w:val="567"/>
      </w:trPr>
      <w:tc>
        <w:tcPr>
          <w:tcW w:w="2110" w:type="pct"/>
          <w:shd w:val="clear" w:color="auto" w:fill="auto"/>
          <w:vAlign w:val="bottom"/>
        </w:tcPr>
        <w:p w14:paraId="7D39AE0D" w14:textId="77777777" w:rsidR="00A6094F" w:rsidRPr="00B92DD4" w:rsidRDefault="00A6094F" w:rsidP="007E0A28">
          <w:r w:rsidRPr="00237696">
            <w:rPr>
              <w:noProof/>
              <w:lang w:eastAsia="fr-BE"/>
            </w:rPr>
            <w:drawing>
              <wp:inline distT="0" distB="0" distL="0" distR="0" wp14:anchorId="7D39AFE9" wp14:editId="7D39AFEA">
                <wp:extent cx="2093343" cy="445248"/>
                <wp:effectExtent l="0" t="0" r="2540" b="0"/>
                <wp:docPr id="2648"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E0E" w14:textId="77777777" w:rsidR="00A6094F" w:rsidRPr="00F769E0" w:rsidRDefault="00A6094F" w:rsidP="007E0A28">
          <w:pPr>
            <w:pStyle w:val="Header"/>
            <w:jc w:val="left"/>
            <w:rPr>
              <w:rFonts w:cs="Tahoma"/>
            </w:rPr>
          </w:pPr>
          <w:r w:rsidRPr="00F769E0">
            <w:rPr>
              <w:rFonts w:cs="Tahoma"/>
              <w:lang w:val="en-GB"/>
            </w:rPr>
            <w:t>Vodnik za prijavitelje</w:t>
          </w:r>
        </w:p>
      </w:tc>
    </w:tr>
    <w:tr w:rsidR="00A6094F" w:rsidRPr="007E3D6C" w14:paraId="7D39AE11" w14:textId="77777777" w:rsidTr="007E0A28">
      <w:trPr>
        <w:trHeight w:val="283"/>
      </w:trPr>
      <w:tc>
        <w:tcPr>
          <w:tcW w:w="5000" w:type="pct"/>
          <w:gridSpan w:val="2"/>
          <w:shd w:val="clear" w:color="auto" w:fill="auto"/>
          <w:vAlign w:val="bottom"/>
        </w:tcPr>
        <w:p w14:paraId="7D39AE10" w14:textId="77777777" w:rsidR="00A6094F" w:rsidRPr="00F769E0" w:rsidRDefault="00A6094F" w:rsidP="007E0A28">
          <w:pPr>
            <w:pStyle w:val="Header"/>
            <w:rPr>
              <w:rFonts w:cs="Tahoma"/>
              <w:noProof/>
              <w:color w:val="009EC7"/>
            </w:rPr>
          </w:pPr>
          <w:r w:rsidRPr="00F769E0">
            <w:rPr>
              <w:rFonts w:cs="Tahoma"/>
              <w:noProof/>
              <w:lang w:eastAsia="fr-BE"/>
            </w:rPr>
            <w:drawing>
              <wp:anchor distT="0" distB="0" distL="114300" distR="114300" simplePos="0" relativeHeight="251597312" behindDoc="0" locked="0" layoutInCell="1" allowOverlap="1" wp14:anchorId="7D39AFEB" wp14:editId="7D39AFEC">
                <wp:simplePos x="0" y="0"/>
                <wp:positionH relativeFrom="margin">
                  <wp:align>left</wp:align>
                </wp:positionH>
                <wp:positionV relativeFrom="margin">
                  <wp:align>top</wp:align>
                </wp:positionV>
                <wp:extent cx="5628640" cy="28575"/>
                <wp:effectExtent l="0" t="0" r="0" b="9525"/>
                <wp:wrapSquare wrapText="bothSides"/>
                <wp:docPr id="264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12" w14:textId="77777777" w:rsidR="00A6094F" w:rsidRPr="007E0A28" w:rsidRDefault="00A6094F" w:rsidP="007E0A28">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9AD7A" w14:textId="77777777" w:rsidR="00A6094F" w:rsidRDefault="00A6094F">
    <w:pPr>
      <w:pStyle w:val="Header"/>
    </w:pPr>
    <w:r>
      <w:rPr>
        <w:noProof/>
        <w:lang w:eastAsia="fr-BE"/>
      </w:rPr>
      <w:drawing>
        <wp:anchor distT="0" distB="0" distL="114300" distR="114300" simplePos="0" relativeHeight="251658240" behindDoc="1" locked="1" layoutInCell="1" allowOverlap="1" wp14:anchorId="7D39AF87" wp14:editId="7D39AF88">
          <wp:simplePos x="0" y="0"/>
          <wp:positionH relativeFrom="page">
            <wp:align>center</wp:align>
          </wp:positionH>
          <wp:positionV relativeFrom="page">
            <wp:align>center</wp:align>
          </wp:positionV>
          <wp:extent cx="7558405" cy="10691495"/>
          <wp:effectExtent l="0" t="0" r="4445" b="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1495"/>
                  </a:xfrm>
                  <a:prstGeom prst="rect">
                    <a:avLst/>
                  </a:prstGeom>
                  <a:noFill/>
                  <a:ln>
                    <a:noFill/>
                  </a:ln>
                </pic:spPr>
              </pic:pic>
            </a:graphicData>
          </a:graphic>
        </wp:anchor>
      </w:drawing>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962E3F" w14:paraId="7D39AE15" w14:textId="77777777" w:rsidTr="007034E9">
      <w:trPr>
        <w:trHeight w:val="567"/>
      </w:trPr>
      <w:tc>
        <w:tcPr>
          <w:tcW w:w="2969" w:type="pct"/>
          <w:shd w:val="clear" w:color="auto" w:fill="auto"/>
          <w:vAlign w:val="bottom"/>
        </w:tcPr>
        <w:p w14:paraId="7D39AE13" w14:textId="77777777" w:rsidR="00A6094F" w:rsidRPr="00F769E0" w:rsidRDefault="00A6094F" w:rsidP="007034E9">
          <w:pPr>
            <w:pStyle w:val="Header"/>
            <w:rPr>
              <w:rFonts w:cs="Tahoma"/>
              <w:lang w:val="pl-PL"/>
            </w:rPr>
          </w:pPr>
          <w:r w:rsidRPr="00AC3691">
            <w:rPr>
              <w:lang w:val="es-ES"/>
            </w:rPr>
            <w:t xml:space="preserve">Del B – </w:t>
          </w:r>
          <w:r w:rsidRPr="00EA027A">
            <w:rPr>
              <w:lang w:val="es-ES"/>
            </w:rPr>
            <w:t>Strateška partnerstva na področju izobraževanja, usposabljanja in mladine</w:t>
          </w:r>
        </w:p>
      </w:tc>
      <w:tc>
        <w:tcPr>
          <w:tcW w:w="2031" w:type="pct"/>
          <w:shd w:val="clear" w:color="auto" w:fill="auto"/>
          <w:vAlign w:val="bottom"/>
        </w:tcPr>
        <w:p w14:paraId="7D39AE14" w14:textId="77777777" w:rsidR="00A6094F" w:rsidRPr="00F769E0" w:rsidRDefault="00A6094F" w:rsidP="007034E9">
          <w:pPr>
            <w:pStyle w:val="Header"/>
            <w:rPr>
              <w:rFonts w:cs="Tahoma"/>
            </w:rPr>
          </w:pPr>
          <w:r w:rsidRPr="00F769E0">
            <w:rPr>
              <w:rFonts w:cs="Tahoma"/>
              <w:noProof/>
              <w:lang w:eastAsia="fr-BE"/>
            </w:rPr>
            <w:drawing>
              <wp:inline distT="0" distB="0" distL="0" distR="0" wp14:anchorId="7D39AFED" wp14:editId="7D39AFEE">
                <wp:extent cx="2093343" cy="445248"/>
                <wp:effectExtent l="0" t="0" r="2540" b="0"/>
                <wp:docPr id="2650"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B92DD4" w14:paraId="7D39AE17" w14:textId="77777777" w:rsidTr="007034E9">
      <w:trPr>
        <w:trHeight w:val="283"/>
      </w:trPr>
      <w:tc>
        <w:tcPr>
          <w:tcW w:w="5000" w:type="pct"/>
          <w:gridSpan w:val="2"/>
          <w:shd w:val="clear" w:color="auto" w:fill="auto"/>
          <w:vAlign w:val="bottom"/>
        </w:tcPr>
        <w:p w14:paraId="7D39AE16" w14:textId="77777777" w:rsidR="00A6094F" w:rsidRPr="00F769E0" w:rsidRDefault="00A6094F" w:rsidP="007034E9">
          <w:pPr>
            <w:pStyle w:val="Header"/>
            <w:rPr>
              <w:rFonts w:cs="Tahoma"/>
              <w:noProof/>
              <w:color w:val="009EC7"/>
            </w:rPr>
          </w:pPr>
          <w:r w:rsidRPr="00F769E0">
            <w:rPr>
              <w:rFonts w:cs="Tahoma"/>
              <w:noProof/>
              <w:lang w:eastAsia="fr-BE"/>
            </w:rPr>
            <w:drawing>
              <wp:anchor distT="0" distB="0" distL="114300" distR="114300" simplePos="0" relativeHeight="251729408" behindDoc="0" locked="0" layoutInCell="1" allowOverlap="1" wp14:anchorId="7D39AFEF" wp14:editId="7D39AFF0">
                <wp:simplePos x="0" y="0"/>
                <wp:positionH relativeFrom="margin">
                  <wp:align>left</wp:align>
                </wp:positionH>
                <wp:positionV relativeFrom="margin">
                  <wp:align>top</wp:align>
                </wp:positionV>
                <wp:extent cx="5628640" cy="28575"/>
                <wp:effectExtent l="0" t="0" r="0" b="9525"/>
                <wp:wrapSquare wrapText="bothSides"/>
                <wp:docPr id="265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18" w14:textId="77777777" w:rsidR="00A6094F" w:rsidRDefault="00A6094F">
    <w:pPr>
      <w:pStyle w:val="BodyText"/>
      <w:spacing w:line="14" w:lineRule="auto"/>
      <w:rPr>
        <w:sz w:val="20"/>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962E3F" w14:paraId="7D39AE1B" w14:textId="77777777" w:rsidTr="007034E9">
      <w:trPr>
        <w:trHeight w:val="567"/>
      </w:trPr>
      <w:tc>
        <w:tcPr>
          <w:tcW w:w="2969" w:type="pct"/>
          <w:shd w:val="clear" w:color="auto" w:fill="auto"/>
          <w:vAlign w:val="bottom"/>
        </w:tcPr>
        <w:p w14:paraId="7D39AE19" w14:textId="77777777" w:rsidR="00A6094F" w:rsidRPr="00F769E0" w:rsidRDefault="00A6094F" w:rsidP="007034E9">
          <w:pPr>
            <w:pStyle w:val="Header"/>
            <w:rPr>
              <w:rFonts w:cs="Tahoma"/>
              <w:lang w:val="pl-PL"/>
            </w:rPr>
          </w:pPr>
          <w:r w:rsidRPr="008C7FA0">
            <w:t xml:space="preserve">Del B – </w:t>
          </w:r>
          <w:r w:rsidRPr="00EA027A">
            <w:t>Evropske univerze</w:t>
          </w:r>
        </w:p>
      </w:tc>
      <w:tc>
        <w:tcPr>
          <w:tcW w:w="2031" w:type="pct"/>
          <w:shd w:val="clear" w:color="auto" w:fill="auto"/>
          <w:vAlign w:val="bottom"/>
        </w:tcPr>
        <w:p w14:paraId="7D39AE1A" w14:textId="77777777" w:rsidR="00A6094F" w:rsidRPr="00F769E0" w:rsidRDefault="00A6094F" w:rsidP="007034E9">
          <w:pPr>
            <w:pStyle w:val="Header"/>
            <w:rPr>
              <w:rFonts w:cs="Tahoma"/>
            </w:rPr>
          </w:pPr>
          <w:r w:rsidRPr="00F769E0">
            <w:rPr>
              <w:rFonts w:cs="Tahoma"/>
              <w:noProof/>
              <w:lang w:eastAsia="fr-BE"/>
            </w:rPr>
            <w:drawing>
              <wp:inline distT="0" distB="0" distL="0" distR="0" wp14:anchorId="7D39AFF1" wp14:editId="7D39AFF2">
                <wp:extent cx="2093343" cy="445248"/>
                <wp:effectExtent l="0" t="0" r="2540" b="0"/>
                <wp:docPr id="2652"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B92DD4" w14:paraId="7D39AE1D" w14:textId="77777777" w:rsidTr="007034E9">
      <w:trPr>
        <w:trHeight w:val="283"/>
      </w:trPr>
      <w:tc>
        <w:tcPr>
          <w:tcW w:w="5000" w:type="pct"/>
          <w:gridSpan w:val="2"/>
          <w:shd w:val="clear" w:color="auto" w:fill="auto"/>
          <w:vAlign w:val="bottom"/>
        </w:tcPr>
        <w:p w14:paraId="7D39AE1C" w14:textId="77777777" w:rsidR="00A6094F" w:rsidRPr="00F769E0" w:rsidRDefault="00A6094F" w:rsidP="007034E9">
          <w:pPr>
            <w:pStyle w:val="Header"/>
            <w:rPr>
              <w:rFonts w:cs="Tahoma"/>
              <w:noProof/>
              <w:color w:val="009EC7"/>
            </w:rPr>
          </w:pPr>
          <w:r w:rsidRPr="00F769E0">
            <w:rPr>
              <w:rFonts w:cs="Tahoma"/>
              <w:noProof/>
              <w:lang w:eastAsia="fr-BE"/>
            </w:rPr>
            <w:drawing>
              <wp:anchor distT="0" distB="0" distL="114300" distR="114300" simplePos="0" relativeHeight="251659776" behindDoc="0" locked="0" layoutInCell="1" allowOverlap="1" wp14:anchorId="7D39AFF3" wp14:editId="7D39AFF4">
                <wp:simplePos x="0" y="0"/>
                <wp:positionH relativeFrom="margin">
                  <wp:align>left</wp:align>
                </wp:positionH>
                <wp:positionV relativeFrom="margin">
                  <wp:align>top</wp:align>
                </wp:positionV>
                <wp:extent cx="5628640" cy="28575"/>
                <wp:effectExtent l="0" t="0" r="0" b="9525"/>
                <wp:wrapSquare wrapText="bothSides"/>
                <wp:docPr id="265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1E" w14:textId="77777777" w:rsidR="00A6094F" w:rsidRDefault="00A6094F">
    <w:pPr>
      <w:pStyle w:val="BodyText"/>
      <w:spacing w:line="14" w:lineRule="auto"/>
      <w:rPr>
        <w:sz w:val="20"/>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6"/>
      <w:gridCol w:w="5378"/>
    </w:tblGrid>
    <w:tr w:rsidR="00A6094F" w:rsidRPr="007E3D6C" w14:paraId="7D39AE21" w14:textId="77777777" w:rsidTr="007E0A28">
      <w:trPr>
        <w:trHeight w:val="567"/>
      </w:trPr>
      <w:tc>
        <w:tcPr>
          <w:tcW w:w="2110" w:type="pct"/>
          <w:shd w:val="clear" w:color="auto" w:fill="auto"/>
          <w:vAlign w:val="bottom"/>
        </w:tcPr>
        <w:p w14:paraId="7D39AE1F" w14:textId="77777777" w:rsidR="00A6094F" w:rsidRPr="00B92DD4" w:rsidRDefault="00A6094F" w:rsidP="007E0A28">
          <w:r w:rsidRPr="00237696">
            <w:rPr>
              <w:noProof/>
              <w:lang w:eastAsia="fr-BE"/>
            </w:rPr>
            <w:drawing>
              <wp:inline distT="0" distB="0" distL="0" distR="0" wp14:anchorId="7D39AFF5" wp14:editId="7D39AFF6">
                <wp:extent cx="2093343" cy="445248"/>
                <wp:effectExtent l="0" t="0" r="2540" b="0"/>
                <wp:docPr id="2654"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E20" w14:textId="77777777" w:rsidR="00A6094F" w:rsidRPr="00F769E0" w:rsidRDefault="00A6094F" w:rsidP="007E0A28">
          <w:pPr>
            <w:pStyle w:val="Header"/>
            <w:jc w:val="left"/>
            <w:rPr>
              <w:rFonts w:cs="Tahoma"/>
            </w:rPr>
          </w:pPr>
          <w:r w:rsidRPr="00F769E0">
            <w:rPr>
              <w:rFonts w:cs="Tahoma"/>
              <w:lang w:val="en-GB"/>
            </w:rPr>
            <w:t>Vodnik za prijavitelje</w:t>
          </w:r>
        </w:p>
      </w:tc>
    </w:tr>
    <w:tr w:rsidR="00A6094F" w:rsidRPr="007E3D6C" w14:paraId="7D39AE23" w14:textId="77777777" w:rsidTr="007E0A28">
      <w:trPr>
        <w:trHeight w:val="283"/>
      </w:trPr>
      <w:tc>
        <w:tcPr>
          <w:tcW w:w="5000" w:type="pct"/>
          <w:gridSpan w:val="2"/>
          <w:shd w:val="clear" w:color="auto" w:fill="auto"/>
          <w:vAlign w:val="bottom"/>
        </w:tcPr>
        <w:p w14:paraId="7D39AE22" w14:textId="77777777" w:rsidR="00A6094F" w:rsidRPr="00F769E0" w:rsidRDefault="00A6094F" w:rsidP="007E0A28">
          <w:pPr>
            <w:pStyle w:val="Header"/>
            <w:rPr>
              <w:rFonts w:cs="Tahoma"/>
              <w:noProof/>
              <w:color w:val="009EC7"/>
            </w:rPr>
          </w:pPr>
          <w:r w:rsidRPr="00F769E0">
            <w:rPr>
              <w:rFonts w:cs="Tahoma"/>
              <w:noProof/>
              <w:lang w:eastAsia="fr-BE"/>
            </w:rPr>
            <w:drawing>
              <wp:anchor distT="0" distB="0" distL="114300" distR="114300" simplePos="0" relativeHeight="251655680" behindDoc="0" locked="0" layoutInCell="1" allowOverlap="1" wp14:anchorId="7D39AFF7" wp14:editId="7D39AFF8">
                <wp:simplePos x="0" y="0"/>
                <wp:positionH relativeFrom="margin">
                  <wp:align>left</wp:align>
                </wp:positionH>
                <wp:positionV relativeFrom="margin">
                  <wp:align>top</wp:align>
                </wp:positionV>
                <wp:extent cx="5628640" cy="28575"/>
                <wp:effectExtent l="0" t="0" r="0" b="9525"/>
                <wp:wrapSquare wrapText="bothSides"/>
                <wp:docPr id="2655"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24" w14:textId="77777777" w:rsidR="00A6094F" w:rsidRPr="007E0A28" w:rsidRDefault="00A6094F" w:rsidP="007E0A28">
    <w:pPr>
      <w:pStyle w:val="Header"/>
      <w:jc w:val="lef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962E3F" w14:paraId="7D39AE27" w14:textId="77777777" w:rsidTr="007034E9">
      <w:trPr>
        <w:trHeight w:val="567"/>
      </w:trPr>
      <w:tc>
        <w:tcPr>
          <w:tcW w:w="2969" w:type="pct"/>
          <w:shd w:val="clear" w:color="auto" w:fill="auto"/>
          <w:vAlign w:val="bottom"/>
        </w:tcPr>
        <w:p w14:paraId="7D39AE25" w14:textId="77777777" w:rsidR="00A6094F" w:rsidRPr="0030441A" w:rsidRDefault="00A6094F" w:rsidP="007034E9">
          <w:pPr>
            <w:pStyle w:val="Header"/>
            <w:rPr>
              <w:rFonts w:cs="Tahoma"/>
              <w:lang w:val="pl-PL"/>
            </w:rPr>
          </w:pPr>
          <w:r w:rsidRPr="0030441A">
            <w:rPr>
              <w:lang w:val="pl-PL"/>
            </w:rPr>
            <w:t>Del B - Koalicije sektorskih spretnosti</w:t>
          </w:r>
        </w:p>
      </w:tc>
      <w:tc>
        <w:tcPr>
          <w:tcW w:w="2031" w:type="pct"/>
          <w:shd w:val="clear" w:color="auto" w:fill="auto"/>
          <w:vAlign w:val="bottom"/>
        </w:tcPr>
        <w:p w14:paraId="7D39AE26" w14:textId="77777777" w:rsidR="00A6094F" w:rsidRPr="00F769E0" w:rsidRDefault="00A6094F" w:rsidP="007034E9">
          <w:pPr>
            <w:pStyle w:val="Header"/>
            <w:rPr>
              <w:rFonts w:cs="Tahoma"/>
            </w:rPr>
          </w:pPr>
          <w:r w:rsidRPr="00F769E0">
            <w:rPr>
              <w:rFonts w:cs="Tahoma"/>
              <w:noProof/>
              <w:lang w:eastAsia="fr-BE"/>
            </w:rPr>
            <w:drawing>
              <wp:inline distT="0" distB="0" distL="0" distR="0" wp14:anchorId="7D39AFF9" wp14:editId="7D39AFFA">
                <wp:extent cx="2093343" cy="445248"/>
                <wp:effectExtent l="0" t="0" r="2540" b="0"/>
                <wp:docPr id="2656"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B92DD4" w14:paraId="7D39AE29" w14:textId="77777777" w:rsidTr="007034E9">
      <w:trPr>
        <w:trHeight w:val="283"/>
      </w:trPr>
      <w:tc>
        <w:tcPr>
          <w:tcW w:w="5000" w:type="pct"/>
          <w:gridSpan w:val="2"/>
          <w:shd w:val="clear" w:color="auto" w:fill="auto"/>
          <w:vAlign w:val="bottom"/>
        </w:tcPr>
        <w:p w14:paraId="7D39AE28" w14:textId="77777777" w:rsidR="00A6094F" w:rsidRPr="00F769E0" w:rsidRDefault="00A6094F" w:rsidP="007034E9">
          <w:pPr>
            <w:pStyle w:val="Header"/>
            <w:rPr>
              <w:rFonts w:cs="Tahoma"/>
              <w:noProof/>
              <w:color w:val="009EC7"/>
            </w:rPr>
          </w:pPr>
          <w:r w:rsidRPr="00F769E0">
            <w:rPr>
              <w:rFonts w:cs="Tahoma"/>
              <w:noProof/>
              <w:lang w:eastAsia="fr-BE"/>
            </w:rPr>
            <w:drawing>
              <wp:anchor distT="0" distB="0" distL="114300" distR="114300" simplePos="0" relativeHeight="251657728" behindDoc="0" locked="0" layoutInCell="1" allowOverlap="1" wp14:anchorId="7D39AFFB" wp14:editId="7D39AFFC">
                <wp:simplePos x="0" y="0"/>
                <wp:positionH relativeFrom="margin">
                  <wp:align>left</wp:align>
                </wp:positionH>
                <wp:positionV relativeFrom="margin">
                  <wp:align>top</wp:align>
                </wp:positionV>
                <wp:extent cx="5628640" cy="28575"/>
                <wp:effectExtent l="0" t="0" r="0" b="9525"/>
                <wp:wrapSquare wrapText="bothSides"/>
                <wp:docPr id="2657"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2A" w14:textId="77777777" w:rsidR="00A6094F" w:rsidRDefault="00A6094F">
    <w:pPr>
      <w:pStyle w:val="BodyText"/>
      <w:spacing w:line="14" w:lineRule="auto"/>
      <w:rPr>
        <w:sz w:val="20"/>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962E3F" w14:paraId="7D39AE2D" w14:textId="77777777" w:rsidTr="007034E9">
      <w:trPr>
        <w:trHeight w:val="567"/>
      </w:trPr>
      <w:tc>
        <w:tcPr>
          <w:tcW w:w="2969" w:type="pct"/>
          <w:shd w:val="clear" w:color="auto" w:fill="auto"/>
          <w:vAlign w:val="bottom"/>
        </w:tcPr>
        <w:p w14:paraId="7D39AE2B" w14:textId="77777777" w:rsidR="00A6094F" w:rsidRPr="008C7FA0" w:rsidRDefault="00A6094F" w:rsidP="007034E9">
          <w:pPr>
            <w:pStyle w:val="Header"/>
            <w:rPr>
              <w:rFonts w:cs="Tahoma"/>
              <w:lang w:val="de-DE"/>
            </w:rPr>
          </w:pPr>
          <w:r w:rsidRPr="008C7FA0">
            <w:rPr>
              <w:lang w:val="de-DE"/>
            </w:rPr>
            <w:t>Del B – Krepitev zmogljivosti na področju visokošolskega izobraževanja</w:t>
          </w:r>
        </w:p>
      </w:tc>
      <w:tc>
        <w:tcPr>
          <w:tcW w:w="2031" w:type="pct"/>
          <w:shd w:val="clear" w:color="auto" w:fill="auto"/>
          <w:vAlign w:val="bottom"/>
        </w:tcPr>
        <w:p w14:paraId="7D39AE2C" w14:textId="77777777" w:rsidR="00A6094F" w:rsidRPr="00F769E0" w:rsidRDefault="00A6094F" w:rsidP="007034E9">
          <w:pPr>
            <w:pStyle w:val="Header"/>
            <w:rPr>
              <w:rFonts w:cs="Tahoma"/>
            </w:rPr>
          </w:pPr>
          <w:r w:rsidRPr="00F769E0">
            <w:rPr>
              <w:rFonts w:cs="Tahoma"/>
              <w:noProof/>
              <w:lang w:eastAsia="fr-BE"/>
            </w:rPr>
            <w:drawing>
              <wp:inline distT="0" distB="0" distL="0" distR="0" wp14:anchorId="7D39AFFD" wp14:editId="7D39AFFE">
                <wp:extent cx="2093343" cy="445248"/>
                <wp:effectExtent l="0" t="0" r="2540" b="0"/>
                <wp:docPr id="2658"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B92DD4" w14:paraId="7D39AE2F" w14:textId="77777777" w:rsidTr="007034E9">
      <w:trPr>
        <w:trHeight w:val="283"/>
      </w:trPr>
      <w:tc>
        <w:tcPr>
          <w:tcW w:w="5000" w:type="pct"/>
          <w:gridSpan w:val="2"/>
          <w:shd w:val="clear" w:color="auto" w:fill="auto"/>
          <w:vAlign w:val="bottom"/>
        </w:tcPr>
        <w:p w14:paraId="7D39AE2E" w14:textId="77777777" w:rsidR="00A6094F" w:rsidRPr="00F769E0" w:rsidRDefault="00A6094F" w:rsidP="007034E9">
          <w:pPr>
            <w:pStyle w:val="Header"/>
            <w:rPr>
              <w:rFonts w:cs="Tahoma"/>
              <w:noProof/>
              <w:color w:val="009EC7"/>
            </w:rPr>
          </w:pPr>
          <w:r w:rsidRPr="00F769E0">
            <w:rPr>
              <w:rFonts w:cs="Tahoma"/>
              <w:noProof/>
              <w:lang w:eastAsia="fr-BE"/>
            </w:rPr>
            <w:drawing>
              <wp:anchor distT="0" distB="0" distL="114300" distR="114300" simplePos="0" relativeHeight="251661824" behindDoc="0" locked="0" layoutInCell="1" allowOverlap="1" wp14:anchorId="7D39AFFF" wp14:editId="7D39B000">
                <wp:simplePos x="0" y="0"/>
                <wp:positionH relativeFrom="margin">
                  <wp:align>left</wp:align>
                </wp:positionH>
                <wp:positionV relativeFrom="margin">
                  <wp:align>top</wp:align>
                </wp:positionV>
                <wp:extent cx="5628640" cy="28575"/>
                <wp:effectExtent l="0" t="0" r="0" b="9525"/>
                <wp:wrapSquare wrapText="bothSides"/>
                <wp:docPr id="265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30" w14:textId="77777777" w:rsidR="00A6094F" w:rsidRDefault="00A6094F">
    <w:pPr>
      <w:pStyle w:val="BodyText"/>
      <w:spacing w:line="14" w:lineRule="auto"/>
      <w:rPr>
        <w:sz w:val="20"/>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962E3F" w14:paraId="7D39AE33" w14:textId="77777777" w:rsidTr="007034E9">
      <w:trPr>
        <w:trHeight w:val="567"/>
      </w:trPr>
      <w:tc>
        <w:tcPr>
          <w:tcW w:w="2969" w:type="pct"/>
          <w:shd w:val="clear" w:color="auto" w:fill="auto"/>
          <w:vAlign w:val="bottom"/>
        </w:tcPr>
        <w:p w14:paraId="7D39AE31" w14:textId="77777777" w:rsidR="00A6094F" w:rsidRPr="008C7FA0" w:rsidRDefault="00A6094F" w:rsidP="007034E9">
          <w:pPr>
            <w:pStyle w:val="Header"/>
            <w:rPr>
              <w:rFonts w:cs="Tahoma"/>
              <w:lang w:val="de-DE"/>
            </w:rPr>
          </w:pPr>
          <w:r w:rsidRPr="00CF60B0">
            <w:rPr>
              <w:lang w:val="de-DE"/>
            </w:rPr>
            <w:t>Del B – Krepitev zmogljivosti na področju mladine</w:t>
          </w:r>
        </w:p>
      </w:tc>
      <w:tc>
        <w:tcPr>
          <w:tcW w:w="2031" w:type="pct"/>
          <w:shd w:val="clear" w:color="auto" w:fill="auto"/>
          <w:vAlign w:val="bottom"/>
        </w:tcPr>
        <w:p w14:paraId="7D39AE32" w14:textId="77777777" w:rsidR="00A6094F" w:rsidRPr="00F769E0" w:rsidRDefault="00A6094F" w:rsidP="007034E9">
          <w:pPr>
            <w:pStyle w:val="Header"/>
            <w:rPr>
              <w:rFonts w:cs="Tahoma"/>
            </w:rPr>
          </w:pPr>
          <w:r w:rsidRPr="00F769E0">
            <w:rPr>
              <w:rFonts w:cs="Tahoma"/>
              <w:noProof/>
              <w:lang w:eastAsia="fr-BE"/>
            </w:rPr>
            <w:drawing>
              <wp:inline distT="0" distB="0" distL="0" distR="0" wp14:anchorId="7D39B001" wp14:editId="7D39B002">
                <wp:extent cx="2093343" cy="445248"/>
                <wp:effectExtent l="0" t="0" r="2540" b="0"/>
                <wp:docPr id="2660"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B92DD4" w14:paraId="7D39AE35" w14:textId="77777777" w:rsidTr="007034E9">
      <w:trPr>
        <w:trHeight w:val="283"/>
      </w:trPr>
      <w:tc>
        <w:tcPr>
          <w:tcW w:w="5000" w:type="pct"/>
          <w:gridSpan w:val="2"/>
          <w:shd w:val="clear" w:color="auto" w:fill="auto"/>
          <w:vAlign w:val="bottom"/>
        </w:tcPr>
        <w:p w14:paraId="7D39AE34" w14:textId="77777777" w:rsidR="00A6094F" w:rsidRPr="00F769E0" w:rsidRDefault="00A6094F" w:rsidP="007034E9">
          <w:pPr>
            <w:pStyle w:val="Header"/>
            <w:rPr>
              <w:rFonts w:cs="Tahoma"/>
              <w:noProof/>
              <w:color w:val="009EC7"/>
            </w:rPr>
          </w:pPr>
          <w:r w:rsidRPr="00F769E0">
            <w:rPr>
              <w:rFonts w:cs="Tahoma"/>
              <w:noProof/>
              <w:lang w:eastAsia="fr-BE"/>
            </w:rPr>
            <w:drawing>
              <wp:anchor distT="0" distB="0" distL="114300" distR="114300" simplePos="0" relativeHeight="251663872" behindDoc="0" locked="0" layoutInCell="1" allowOverlap="1" wp14:anchorId="7D39B003" wp14:editId="7D39B004">
                <wp:simplePos x="0" y="0"/>
                <wp:positionH relativeFrom="margin">
                  <wp:align>left</wp:align>
                </wp:positionH>
                <wp:positionV relativeFrom="margin">
                  <wp:align>top</wp:align>
                </wp:positionV>
                <wp:extent cx="5628640" cy="28575"/>
                <wp:effectExtent l="0" t="0" r="0" b="9525"/>
                <wp:wrapSquare wrapText="bothSides"/>
                <wp:docPr id="266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36" w14:textId="77777777" w:rsidR="00A6094F" w:rsidRDefault="00A6094F">
    <w:pPr>
      <w:pStyle w:val="BodyText"/>
      <w:spacing w:line="14" w:lineRule="auto"/>
      <w:rPr>
        <w:sz w:val="20"/>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6"/>
      <w:gridCol w:w="5378"/>
    </w:tblGrid>
    <w:tr w:rsidR="00A6094F" w:rsidRPr="007E3D6C" w14:paraId="7D39AE39" w14:textId="77777777" w:rsidTr="007E0A28">
      <w:trPr>
        <w:trHeight w:val="567"/>
      </w:trPr>
      <w:tc>
        <w:tcPr>
          <w:tcW w:w="2110" w:type="pct"/>
          <w:shd w:val="clear" w:color="auto" w:fill="auto"/>
          <w:vAlign w:val="bottom"/>
        </w:tcPr>
        <w:p w14:paraId="7D39AE37" w14:textId="77777777" w:rsidR="00A6094F" w:rsidRPr="00B92DD4" w:rsidRDefault="00A6094F" w:rsidP="007E0A28">
          <w:r w:rsidRPr="00237696">
            <w:rPr>
              <w:noProof/>
              <w:lang w:eastAsia="fr-BE"/>
            </w:rPr>
            <w:drawing>
              <wp:inline distT="0" distB="0" distL="0" distR="0" wp14:anchorId="7D39B005" wp14:editId="7D39B006">
                <wp:extent cx="2093343" cy="445248"/>
                <wp:effectExtent l="0" t="0" r="2540" b="0"/>
                <wp:docPr id="2662"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E38" w14:textId="77777777" w:rsidR="00A6094F" w:rsidRPr="00F769E0" w:rsidRDefault="00A6094F" w:rsidP="007E0A28">
          <w:pPr>
            <w:pStyle w:val="Header"/>
            <w:jc w:val="left"/>
            <w:rPr>
              <w:rFonts w:cs="Tahoma"/>
            </w:rPr>
          </w:pPr>
          <w:r w:rsidRPr="00F769E0">
            <w:rPr>
              <w:rFonts w:cs="Tahoma"/>
              <w:lang w:val="en-GB"/>
            </w:rPr>
            <w:t>Vodnik za prijavitelje</w:t>
          </w:r>
        </w:p>
      </w:tc>
    </w:tr>
    <w:tr w:rsidR="00A6094F" w:rsidRPr="007E3D6C" w14:paraId="7D39AE3B" w14:textId="77777777" w:rsidTr="007E0A28">
      <w:trPr>
        <w:trHeight w:val="283"/>
      </w:trPr>
      <w:tc>
        <w:tcPr>
          <w:tcW w:w="5000" w:type="pct"/>
          <w:gridSpan w:val="2"/>
          <w:shd w:val="clear" w:color="auto" w:fill="auto"/>
          <w:vAlign w:val="bottom"/>
        </w:tcPr>
        <w:p w14:paraId="7D39AE3A" w14:textId="77777777" w:rsidR="00A6094F" w:rsidRPr="00F769E0" w:rsidRDefault="00A6094F" w:rsidP="007E0A28">
          <w:pPr>
            <w:pStyle w:val="Header"/>
            <w:rPr>
              <w:rFonts w:cs="Tahoma"/>
              <w:noProof/>
              <w:color w:val="009EC7"/>
            </w:rPr>
          </w:pPr>
          <w:r w:rsidRPr="00F769E0">
            <w:rPr>
              <w:rFonts w:cs="Tahoma"/>
              <w:noProof/>
              <w:lang w:eastAsia="fr-BE"/>
            </w:rPr>
            <w:drawing>
              <wp:anchor distT="0" distB="0" distL="114300" distR="114300" simplePos="0" relativeHeight="251665920" behindDoc="0" locked="0" layoutInCell="1" allowOverlap="1" wp14:anchorId="7D39B007" wp14:editId="7D39B008">
                <wp:simplePos x="0" y="0"/>
                <wp:positionH relativeFrom="margin">
                  <wp:align>left</wp:align>
                </wp:positionH>
                <wp:positionV relativeFrom="margin">
                  <wp:align>top</wp:align>
                </wp:positionV>
                <wp:extent cx="5628640" cy="28575"/>
                <wp:effectExtent l="0" t="0" r="0" b="9525"/>
                <wp:wrapSquare wrapText="bothSides"/>
                <wp:docPr id="266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3C" w14:textId="77777777" w:rsidR="00A6094F" w:rsidRPr="007E0A28" w:rsidRDefault="00A6094F" w:rsidP="007E0A28">
    <w:pPr>
      <w:pStyle w:val="Header"/>
      <w:jc w:val="left"/>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E3F" w14:textId="77777777" w:rsidTr="004C7571">
      <w:trPr>
        <w:trHeight w:val="567"/>
      </w:trPr>
      <w:tc>
        <w:tcPr>
          <w:tcW w:w="2969" w:type="pct"/>
          <w:shd w:val="clear" w:color="auto" w:fill="auto"/>
          <w:vAlign w:val="bottom"/>
        </w:tcPr>
        <w:p w14:paraId="7D39AE3D" w14:textId="77777777" w:rsidR="00A6094F" w:rsidRPr="00F769E0" w:rsidRDefault="00A6094F" w:rsidP="00F73609">
          <w:pPr>
            <w:pStyle w:val="Header"/>
            <w:rPr>
              <w:rFonts w:cs="Tahoma"/>
              <w:lang w:val="pl-PL"/>
            </w:rPr>
          </w:pPr>
          <w:r w:rsidRPr="0030441A">
            <w:rPr>
              <w:lang w:val="pl-PL"/>
            </w:rPr>
            <w:t>Del B – Podpora za reformo politik</w:t>
          </w:r>
        </w:p>
      </w:tc>
      <w:tc>
        <w:tcPr>
          <w:tcW w:w="2031" w:type="pct"/>
          <w:shd w:val="clear" w:color="auto" w:fill="auto"/>
          <w:vAlign w:val="bottom"/>
        </w:tcPr>
        <w:p w14:paraId="7D39AE3E"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09" wp14:editId="7D39B00A">
                <wp:extent cx="2093343" cy="445248"/>
                <wp:effectExtent l="0" t="0" r="2540" b="0"/>
                <wp:docPr id="2664"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E41" w14:textId="77777777" w:rsidTr="004C7571">
      <w:trPr>
        <w:trHeight w:val="283"/>
      </w:trPr>
      <w:tc>
        <w:tcPr>
          <w:tcW w:w="5000" w:type="pct"/>
          <w:gridSpan w:val="2"/>
          <w:shd w:val="clear" w:color="auto" w:fill="auto"/>
          <w:vAlign w:val="bottom"/>
        </w:tcPr>
        <w:p w14:paraId="7D39AE40"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599360" behindDoc="0" locked="0" layoutInCell="1" allowOverlap="1" wp14:anchorId="7D39B00B" wp14:editId="7D39B00C">
                <wp:simplePos x="0" y="0"/>
                <wp:positionH relativeFrom="margin">
                  <wp:align>left</wp:align>
                </wp:positionH>
                <wp:positionV relativeFrom="margin">
                  <wp:align>top</wp:align>
                </wp:positionV>
                <wp:extent cx="5628640" cy="28575"/>
                <wp:effectExtent l="0" t="0" r="0" b="9525"/>
                <wp:wrapSquare wrapText="bothSides"/>
                <wp:docPr id="2665"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42" w14:textId="77777777" w:rsidR="00A6094F" w:rsidRPr="00A72FE7" w:rsidRDefault="00A6094F" w:rsidP="004C7571">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6"/>
      <w:gridCol w:w="5378"/>
    </w:tblGrid>
    <w:tr w:rsidR="00A6094F" w:rsidRPr="007E3D6C" w14:paraId="7D39AE45" w14:textId="77777777" w:rsidTr="007E0A28">
      <w:trPr>
        <w:trHeight w:val="567"/>
      </w:trPr>
      <w:tc>
        <w:tcPr>
          <w:tcW w:w="2110" w:type="pct"/>
          <w:shd w:val="clear" w:color="auto" w:fill="auto"/>
          <w:vAlign w:val="bottom"/>
        </w:tcPr>
        <w:p w14:paraId="7D39AE43" w14:textId="77777777" w:rsidR="00A6094F" w:rsidRPr="00B92DD4" w:rsidRDefault="00A6094F" w:rsidP="007E0A28">
          <w:r w:rsidRPr="00237696">
            <w:rPr>
              <w:noProof/>
              <w:lang w:eastAsia="fr-BE"/>
            </w:rPr>
            <w:drawing>
              <wp:inline distT="0" distB="0" distL="0" distR="0" wp14:anchorId="7D39B00D" wp14:editId="7D39B00E">
                <wp:extent cx="2093343" cy="445248"/>
                <wp:effectExtent l="0" t="0" r="2540" b="0"/>
                <wp:docPr id="2666"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E44" w14:textId="77777777" w:rsidR="00A6094F" w:rsidRPr="00F769E0" w:rsidRDefault="00A6094F" w:rsidP="007E0A28">
          <w:pPr>
            <w:pStyle w:val="Header"/>
            <w:jc w:val="left"/>
            <w:rPr>
              <w:rFonts w:cs="Tahoma"/>
            </w:rPr>
          </w:pPr>
          <w:r w:rsidRPr="00F769E0">
            <w:rPr>
              <w:rFonts w:cs="Tahoma"/>
              <w:lang w:val="en-GB"/>
            </w:rPr>
            <w:t>Vodnik za prijavitelje</w:t>
          </w:r>
        </w:p>
      </w:tc>
    </w:tr>
    <w:tr w:rsidR="00A6094F" w:rsidRPr="007E3D6C" w14:paraId="7D39AE47" w14:textId="77777777" w:rsidTr="007E0A28">
      <w:trPr>
        <w:trHeight w:val="283"/>
      </w:trPr>
      <w:tc>
        <w:tcPr>
          <w:tcW w:w="5000" w:type="pct"/>
          <w:gridSpan w:val="2"/>
          <w:shd w:val="clear" w:color="auto" w:fill="auto"/>
          <w:vAlign w:val="bottom"/>
        </w:tcPr>
        <w:p w14:paraId="7D39AE46" w14:textId="77777777" w:rsidR="00A6094F" w:rsidRPr="00F769E0" w:rsidRDefault="00A6094F" w:rsidP="007E0A28">
          <w:pPr>
            <w:pStyle w:val="Header"/>
            <w:rPr>
              <w:rFonts w:cs="Tahoma"/>
              <w:noProof/>
              <w:color w:val="009EC7"/>
            </w:rPr>
          </w:pPr>
          <w:r w:rsidRPr="00F769E0">
            <w:rPr>
              <w:rFonts w:cs="Tahoma"/>
              <w:noProof/>
              <w:lang w:eastAsia="fr-BE"/>
            </w:rPr>
            <w:drawing>
              <wp:anchor distT="0" distB="0" distL="114300" distR="114300" simplePos="0" relativeHeight="251670016" behindDoc="0" locked="0" layoutInCell="1" allowOverlap="1" wp14:anchorId="7D39B00F" wp14:editId="7D39B010">
                <wp:simplePos x="0" y="0"/>
                <wp:positionH relativeFrom="margin">
                  <wp:align>left</wp:align>
                </wp:positionH>
                <wp:positionV relativeFrom="margin">
                  <wp:align>top</wp:align>
                </wp:positionV>
                <wp:extent cx="5628640" cy="28575"/>
                <wp:effectExtent l="0" t="0" r="0" b="9525"/>
                <wp:wrapSquare wrapText="bothSides"/>
                <wp:docPr id="2667"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48" w14:textId="77777777" w:rsidR="00A6094F" w:rsidRPr="007E0A28" w:rsidRDefault="00A6094F" w:rsidP="007E0A28">
    <w:pPr>
      <w:pStyle w:val="Header"/>
      <w:jc w:val="lef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E4B" w14:textId="77777777" w:rsidTr="004C7571">
      <w:trPr>
        <w:trHeight w:val="567"/>
      </w:trPr>
      <w:tc>
        <w:tcPr>
          <w:tcW w:w="2969" w:type="pct"/>
          <w:shd w:val="clear" w:color="auto" w:fill="auto"/>
          <w:vAlign w:val="bottom"/>
        </w:tcPr>
        <w:p w14:paraId="7D39AE49" w14:textId="77777777" w:rsidR="00A6094F" w:rsidRPr="00F769E0" w:rsidRDefault="00A6094F" w:rsidP="00CF60B0">
          <w:pPr>
            <w:pStyle w:val="Header"/>
            <w:rPr>
              <w:rFonts w:cs="Tahoma"/>
              <w:lang w:val="pl-PL"/>
            </w:rPr>
          </w:pPr>
          <w:r w:rsidRPr="0030441A">
            <w:rPr>
              <w:lang w:val="pl-PL"/>
            </w:rPr>
            <w:t>Del B – Podpora za reformo politik</w:t>
          </w:r>
        </w:p>
      </w:tc>
      <w:tc>
        <w:tcPr>
          <w:tcW w:w="2031" w:type="pct"/>
          <w:shd w:val="clear" w:color="auto" w:fill="auto"/>
          <w:vAlign w:val="bottom"/>
        </w:tcPr>
        <w:p w14:paraId="7D39AE4A"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11" wp14:editId="7D39B012">
                <wp:extent cx="2093343" cy="445248"/>
                <wp:effectExtent l="0" t="0" r="2540" b="0"/>
                <wp:docPr id="2668"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E4D" w14:textId="77777777" w:rsidTr="004C7571">
      <w:trPr>
        <w:trHeight w:val="283"/>
      </w:trPr>
      <w:tc>
        <w:tcPr>
          <w:tcW w:w="5000" w:type="pct"/>
          <w:gridSpan w:val="2"/>
          <w:shd w:val="clear" w:color="auto" w:fill="auto"/>
          <w:vAlign w:val="bottom"/>
        </w:tcPr>
        <w:p w14:paraId="7D39AE4C"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67968" behindDoc="0" locked="0" layoutInCell="1" allowOverlap="1" wp14:anchorId="7D39B013" wp14:editId="7D39B014">
                <wp:simplePos x="0" y="0"/>
                <wp:positionH relativeFrom="margin">
                  <wp:align>left</wp:align>
                </wp:positionH>
                <wp:positionV relativeFrom="margin">
                  <wp:align>top</wp:align>
                </wp:positionV>
                <wp:extent cx="5628640" cy="28575"/>
                <wp:effectExtent l="0" t="0" r="0" b="9525"/>
                <wp:wrapSquare wrapText="bothSides"/>
                <wp:docPr id="266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4E" w14:textId="77777777" w:rsidR="00A6094F" w:rsidRPr="00A72FE7" w:rsidRDefault="00A6094F" w:rsidP="004C75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9AD7C" w14:textId="77777777" w:rsidR="00A6094F" w:rsidRDefault="00A6094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6"/>
      <w:gridCol w:w="5378"/>
    </w:tblGrid>
    <w:tr w:rsidR="00A6094F" w:rsidRPr="007E3D6C" w14:paraId="7D39AE51" w14:textId="77777777" w:rsidTr="007E0A28">
      <w:trPr>
        <w:trHeight w:val="567"/>
      </w:trPr>
      <w:tc>
        <w:tcPr>
          <w:tcW w:w="2110" w:type="pct"/>
          <w:shd w:val="clear" w:color="auto" w:fill="auto"/>
          <w:vAlign w:val="bottom"/>
        </w:tcPr>
        <w:p w14:paraId="7D39AE4F" w14:textId="77777777" w:rsidR="00A6094F" w:rsidRPr="00B92DD4" w:rsidRDefault="00A6094F" w:rsidP="007E0A28">
          <w:r w:rsidRPr="00237696">
            <w:rPr>
              <w:noProof/>
              <w:lang w:eastAsia="fr-BE"/>
            </w:rPr>
            <w:drawing>
              <wp:inline distT="0" distB="0" distL="0" distR="0" wp14:anchorId="7D39B015" wp14:editId="7D39B016">
                <wp:extent cx="2093343" cy="445248"/>
                <wp:effectExtent l="0" t="0" r="2540" b="0"/>
                <wp:docPr id="2670"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E50" w14:textId="77777777" w:rsidR="00A6094F" w:rsidRPr="00F769E0" w:rsidRDefault="00A6094F" w:rsidP="007E0A28">
          <w:pPr>
            <w:pStyle w:val="Header"/>
            <w:jc w:val="left"/>
            <w:rPr>
              <w:rFonts w:cs="Tahoma"/>
            </w:rPr>
          </w:pPr>
          <w:r w:rsidRPr="00F769E0">
            <w:rPr>
              <w:rFonts w:cs="Tahoma"/>
              <w:lang w:val="en-GB"/>
            </w:rPr>
            <w:t>Vodnik za prijavitelje</w:t>
          </w:r>
        </w:p>
      </w:tc>
    </w:tr>
    <w:tr w:rsidR="00A6094F" w:rsidRPr="007E3D6C" w14:paraId="7D39AE53" w14:textId="77777777" w:rsidTr="007E0A28">
      <w:trPr>
        <w:trHeight w:val="283"/>
      </w:trPr>
      <w:tc>
        <w:tcPr>
          <w:tcW w:w="5000" w:type="pct"/>
          <w:gridSpan w:val="2"/>
          <w:shd w:val="clear" w:color="auto" w:fill="auto"/>
          <w:vAlign w:val="bottom"/>
        </w:tcPr>
        <w:p w14:paraId="7D39AE52" w14:textId="77777777" w:rsidR="00A6094F" w:rsidRPr="00F769E0" w:rsidRDefault="00A6094F" w:rsidP="007E0A28">
          <w:pPr>
            <w:pStyle w:val="Header"/>
            <w:rPr>
              <w:rFonts w:cs="Tahoma"/>
              <w:noProof/>
              <w:color w:val="009EC7"/>
            </w:rPr>
          </w:pPr>
          <w:r w:rsidRPr="00F769E0">
            <w:rPr>
              <w:rFonts w:cs="Tahoma"/>
              <w:noProof/>
              <w:lang w:eastAsia="fr-BE"/>
            </w:rPr>
            <w:drawing>
              <wp:anchor distT="0" distB="0" distL="114300" distR="114300" simplePos="0" relativeHeight="251672064" behindDoc="0" locked="0" layoutInCell="1" allowOverlap="1" wp14:anchorId="7D39B017" wp14:editId="7D39B018">
                <wp:simplePos x="0" y="0"/>
                <wp:positionH relativeFrom="margin">
                  <wp:align>left</wp:align>
                </wp:positionH>
                <wp:positionV relativeFrom="margin">
                  <wp:align>top</wp:align>
                </wp:positionV>
                <wp:extent cx="5628640" cy="28575"/>
                <wp:effectExtent l="0" t="0" r="0" b="9525"/>
                <wp:wrapSquare wrapText="bothSides"/>
                <wp:docPr id="267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54" w14:textId="77777777" w:rsidR="00A6094F" w:rsidRPr="007E0A28" w:rsidRDefault="00A6094F" w:rsidP="007E0A28">
    <w:pPr>
      <w:pStyle w:val="Header"/>
      <w:jc w:val="left"/>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E57" w14:textId="77777777" w:rsidTr="004C7571">
      <w:trPr>
        <w:trHeight w:val="567"/>
      </w:trPr>
      <w:tc>
        <w:tcPr>
          <w:tcW w:w="2969" w:type="pct"/>
          <w:shd w:val="clear" w:color="auto" w:fill="auto"/>
          <w:vAlign w:val="bottom"/>
        </w:tcPr>
        <w:p w14:paraId="7D39AE55" w14:textId="77777777" w:rsidR="00A6094F" w:rsidRPr="0030441A" w:rsidRDefault="00A6094F" w:rsidP="00CF60B0">
          <w:pPr>
            <w:pStyle w:val="Header"/>
            <w:rPr>
              <w:rFonts w:cs="Tahoma"/>
              <w:lang w:val="da-DK"/>
            </w:rPr>
          </w:pPr>
          <w:r w:rsidRPr="0030441A">
            <w:rPr>
              <w:lang w:val="da-DK"/>
            </w:rPr>
            <w:t xml:space="preserve">Del B – </w:t>
          </w:r>
          <w:r w:rsidRPr="006A40CD">
            <w:rPr>
              <w:lang w:val="da-DK"/>
            </w:rPr>
            <w:t>Projekti Dialog mladih</w:t>
          </w:r>
        </w:p>
      </w:tc>
      <w:tc>
        <w:tcPr>
          <w:tcW w:w="2031" w:type="pct"/>
          <w:shd w:val="clear" w:color="auto" w:fill="auto"/>
          <w:vAlign w:val="bottom"/>
        </w:tcPr>
        <w:p w14:paraId="7D39AE56"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19" wp14:editId="7D39B01A">
                <wp:extent cx="2093343" cy="445248"/>
                <wp:effectExtent l="0" t="0" r="2540" b="0"/>
                <wp:docPr id="2672"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E59" w14:textId="77777777" w:rsidTr="004C7571">
      <w:trPr>
        <w:trHeight w:val="283"/>
      </w:trPr>
      <w:tc>
        <w:tcPr>
          <w:tcW w:w="5000" w:type="pct"/>
          <w:gridSpan w:val="2"/>
          <w:shd w:val="clear" w:color="auto" w:fill="auto"/>
          <w:vAlign w:val="bottom"/>
        </w:tcPr>
        <w:p w14:paraId="7D39AE58"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74112" behindDoc="0" locked="0" layoutInCell="1" allowOverlap="1" wp14:anchorId="7D39B01B" wp14:editId="7D39B01C">
                <wp:simplePos x="0" y="0"/>
                <wp:positionH relativeFrom="margin">
                  <wp:align>left</wp:align>
                </wp:positionH>
                <wp:positionV relativeFrom="margin">
                  <wp:align>top</wp:align>
                </wp:positionV>
                <wp:extent cx="5628640" cy="28575"/>
                <wp:effectExtent l="0" t="0" r="0" b="9525"/>
                <wp:wrapSquare wrapText="bothSides"/>
                <wp:docPr id="267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5A" w14:textId="77777777" w:rsidR="00A6094F" w:rsidRPr="00A72FE7" w:rsidRDefault="00A6094F" w:rsidP="004C757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E5D" w14:textId="77777777" w:rsidTr="004C7571">
      <w:trPr>
        <w:trHeight w:val="567"/>
      </w:trPr>
      <w:tc>
        <w:tcPr>
          <w:tcW w:w="2969" w:type="pct"/>
          <w:shd w:val="clear" w:color="auto" w:fill="auto"/>
          <w:vAlign w:val="bottom"/>
        </w:tcPr>
        <w:p w14:paraId="7D39AE5B" w14:textId="77777777" w:rsidR="00A6094F" w:rsidRPr="00F769E0" w:rsidRDefault="00A6094F" w:rsidP="00F73609">
          <w:pPr>
            <w:pStyle w:val="Header"/>
            <w:rPr>
              <w:rFonts w:cs="Tahoma"/>
              <w:lang w:val="pl-PL"/>
            </w:rPr>
          </w:pPr>
          <w:hyperlink w:anchor="_bookmark16" w:history="1">
            <w:r>
              <w:rPr>
                <w:rFonts w:cs="Tahoma"/>
                <w:w w:val="105"/>
                <w:lang w:val="pl-PL"/>
              </w:rPr>
              <w:t>Del</w:t>
            </w:r>
            <w:r w:rsidRPr="00F769E0">
              <w:rPr>
                <w:rFonts w:cs="Tahoma"/>
                <w:w w:val="105"/>
                <w:lang w:val="pl-PL"/>
              </w:rPr>
              <w:t xml:space="preserve"> B – </w:t>
            </w:r>
            <w:r w:rsidRPr="006A40CD">
              <w:rPr>
                <w:lang w:val="da-DK"/>
              </w:rPr>
              <w:t>Projekti Dialog mladih</w:t>
            </w:r>
            <w:r w:rsidRPr="00B36F01">
              <w:rPr>
                <w:lang w:val="de-DE"/>
              </w:rPr>
              <w:t xml:space="preserve"> </w:t>
            </w:r>
          </w:hyperlink>
        </w:p>
      </w:tc>
      <w:tc>
        <w:tcPr>
          <w:tcW w:w="2031" w:type="pct"/>
          <w:shd w:val="clear" w:color="auto" w:fill="auto"/>
          <w:vAlign w:val="bottom"/>
        </w:tcPr>
        <w:p w14:paraId="7D39AE5C"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1D" wp14:editId="7D39B01E">
                <wp:extent cx="2093343" cy="445248"/>
                <wp:effectExtent l="0" t="0" r="2540" b="0"/>
                <wp:docPr id="2674"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E5F" w14:textId="77777777" w:rsidTr="004C7571">
      <w:trPr>
        <w:trHeight w:val="283"/>
      </w:trPr>
      <w:tc>
        <w:tcPr>
          <w:tcW w:w="5000" w:type="pct"/>
          <w:gridSpan w:val="2"/>
          <w:shd w:val="clear" w:color="auto" w:fill="auto"/>
          <w:vAlign w:val="bottom"/>
        </w:tcPr>
        <w:p w14:paraId="7D39AE5E"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01408" behindDoc="0" locked="0" layoutInCell="1" allowOverlap="1" wp14:anchorId="7D39B01F" wp14:editId="7D39B020">
                <wp:simplePos x="0" y="0"/>
                <wp:positionH relativeFrom="margin">
                  <wp:align>left</wp:align>
                </wp:positionH>
                <wp:positionV relativeFrom="margin">
                  <wp:align>top</wp:align>
                </wp:positionV>
                <wp:extent cx="5628640" cy="28575"/>
                <wp:effectExtent l="0" t="0" r="0" b="9525"/>
                <wp:wrapSquare wrapText="bothSides"/>
                <wp:docPr id="2675"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60" w14:textId="77777777" w:rsidR="00A6094F" w:rsidRPr="00A72FE7" w:rsidRDefault="00A6094F" w:rsidP="004C7571">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8789"/>
      <w:gridCol w:w="6013"/>
    </w:tblGrid>
    <w:tr w:rsidR="00A6094F" w:rsidRPr="007E3D6C" w14:paraId="7D39AE63" w14:textId="77777777" w:rsidTr="004C7571">
      <w:trPr>
        <w:trHeight w:val="567"/>
      </w:trPr>
      <w:tc>
        <w:tcPr>
          <w:tcW w:w="2969" w:type="pct"/>
          <w:shd w:val="clear" w:color="auto" w:fill="auto"/>
          <w:vAlign w:val="bottom"/>
        </w:tcPr>
        <w:p w14:paraId="7D39AE61" w14:textId="77777777" w:rsidR="00A6094F" w:rsidRPr="00F769E0" w:rsidRDefault="00A6094F" w:rsidP="00F73609">
          <w:pPr>
            <w:pStyle w:val="Header"/>
            <w:rPr>
              <w:rFonts w:cs="Tahoma"/>
              <w:lang w:val="pl-PL"/>
            </w:rPr>
          </w:pPr>
          <w:hyperlink w:anchor="_bookmark16" w:history="1">
            <w:r>
              <w:rPr>
                <w:rFonts w:cs="Tahoma"/>
                <w:w w:val="105"/>
                <w:lang w:val="pl-PL"/>
              </w:rPr>
              <w:t>Del</w:t>
            </w:r>
            <w:r w:rsidRPr="00F769E0">
              <w:rPr>
                <w:rFonts w:cs="Tahoma"/>
                <w:w w:val="105"/>
                <w:lang w:val="pl-PL"/>
              </w:rPr>
              <w:t xml:space="preserve"> B – </w:t>
            </w:r>
            <w:r w:rsidRPr="006A40CD">
              <w:rPr>
                <w:rFonts w:cs="Tahoma"/>
                <w:w w:val="105"/>
                <w:lang w:val="pl-PL"/>
              </w:rPr>
              <w:t>Projekti Dialog mladih</w:t>
            </w:r>
          </w:hyperlink>
        </w:p>
      </w:tc>
      <w:tc>
        <w:tcPr>
          <w:tcW w:w="2031" w:type="pct"/>
          <w:shd w:val="clear" w:color="auto" w:fill="auto"/>
          <w:vAlign w:val="bottom"/>
        </w:tcPr>
        <w:p w14:paraId="7D39AE62"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21" wp14:editId="7D39B022">
                <wp:extent cx="2093343" cy="445248"/>
                <wp:effectExtent l="0" t="0" r="2540" b="0"/>
                <wp:docPr id="2676"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E65" w14:textId="77777777" w:rsidTr="004C7571">
      <w:trPr>
        <w:trHeight w:val="283"/>
      </w:trPr>
      <w:tc>
        <w:tcPr>
          <w:tcW w:w="5000" w:type="pct"/>
          <w:gridSpan w:val="2"/>
          <w:shd w:val="clear" w:color="auto" w:fill="auto"/>
          <w:vAlign w:val="bottom"/>
        </w:tcPr>
        <w:p w14:paraId="7D39AE64"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731456" behindDoc="0" locked="0" layoutInCell="1" allowOverlap="1" wp14:anchorId="7D39B023" wp14:editId="7D39B024">
                <wp:simplePos x="0" y="0"/>
                <wp:positionH relativeFrom="margin">
                  <wp:align>left</wp:align>
                </wp:positionH>
                <wp:positionV relativeFrom="margin">
                  <wp:align>top</wp:align>
                </wp:positionV>
                <wp:extent cx="5628640" cy="28575"/>
                <wp:effectExtent l="0" t="0" r="0" b="9525"/>
                <wp:wrapSquare wrapText="bothSides"/>
                <wp:docPr id="2677"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66" w14:textId="77777777" w:rsidR="00A6094F" w:rsidRPr="00A72FE7" w:rsidRDefault="00A6094F" w:rsidP="004C7571">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6"/>
      <w:gridCol w:w="5378"/>
    </w:tblGrid>
    <w:tr w:rsidR="00A6094F" w:rsidRPr="007E3D6C" w14:paraId="7D39AE69" w14:textId="77777777" w:rsidTr="007E0A28">
      <w:trPr>
        <w:trHeight w:val="567"/>
      </w:trPr>
      <w:tc>
        <w:tcPr>
          <w:tcW w:w="2110" w:type="pct"/>
          <w:shd w:val="clear" w:color="auto" w:fill="auto"/>
          <w:vAlign w:val="bottom"/>
        </w:tcPr>
        <w:p w14:paraId="7D39AE67" w14:textId="77777777" w:rsidR="00A6094F" w:rsidRPr="00B92DD4" w:rsidRDefault="00A6094F" w:rsidP="007E0A28">
          <w:r w:rsidRPr="00237696">
            <w:rPr>
              <w:noProof/>
              <w:lang w:eastAsia="fr-BE"/>
            </w:rPr>
            <w:drawing>
              <wp:inline distT="0" distB="0" distL="0" distR="0" wp14:anchorId="7D39B025" wp14:editId="7D39B026">
                <wp:extent cx="2093343" cy="445248"/>
                <wp:effectExtent l="0" t="0" r="2540" b="0"/>
                <wp:docPr id="2678"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E68" w14:textId="77777777" w:rsidR="00A6094F" w:rsidRPr="00F769E0" w:rsidRDefault="00A6094F" w:rsidP="007E0A28">
          <w:pPr>
            <w:pStyle w:val="Header"/>
            <w:jc w:val="left"/>
            <w:rPr>
              <w:rFonts w:cs="Tahoma"/>
            </w:rPr>
          </w:pPr>
          <w:r w:rsidRPr="00F769E0">
            <w:rPr>
              <w:rFonts w:cs="Tahoma"/>
              <w:lang w:val="en-GB"/>
            </w:rPr>
            <w:t>Vodnik za prijavitelje</w:t>
          </w:r>
        </w:p>
      </w:tc>
    </w:tr>
    <w:tr w:rsidR="00A6094F" w:rsidRPr="007E3D6C" w14:paraId="7D39AE6B" w14:textId="77777777" w:rsidTr="007E0A28">
      <w:trPr>
        <w:trHeight w:val="283"/>
      </w:trPr>
      <w:tc>
        <w:tcPr>
          <w:tcW w:w="5000" w:type="pct"/>
          <w:gridSpan w:val="2"/>
          <w:shd w:val="clear" w:color="auto" w:fill="auto"/>
          <w:vAlign w:val="bottom"/>
        </w:tcPr>
        <w:p w14:paraId="7D39AE6A" w14:textId="77777777" w:rsidR="00A6094F" w:rsidRPr="00F769E0" w:rsidRDefault="00A6094F" w:rsidP="007E0A28">
          <w:pPr>
            <w:pStyle w:val="Header"/>
            <w:rPr>
              <w:rFonts w:cs="Tahoma"/>
              <w:noProof/>
              <w:color w:val="009EC7"/>
            </w:rPr>
          </w:pPr>
          <w:r w:rsidRPr="00F769E0">
            <w:rPr>
              <w:rFonts w:cs="Tahoma"/>
              <w:noProof/>
              <w:lang w:eastAsia="fr-BE"/>
            </w:rPr>
            <w:drawing>
              <wp:anchor distT="0" distB="0" distL="114300" distR="114300" simplePos="0" relativeHeight="251678208" behindDoc="0" locked="0" layoutInCell="1" allowOverlap="1" wp14:anchorId="7D39B027" wp14:editId="7D39B028">
                <wp:simplePos x="0" y="0"/>
                <wp:positionH relativeFrom="margin">
                  <wp:align>left</wp:align>
                </wp:positionH>
                <wp:positionV relativeFrom="margin">
                  <wp:align>top</wp:align>
                </wp:positionV>
                <wp:extent cx="5628640" cy="28575"/>
                <wp:effectExtent l="0" t="0" r="0" b="9525"/>
                <wp:wrapSquare wrapText="bothSides"/>
                <wp:docPr id="267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6C" w14:textId="77777777" w:rsidR="00A6094F" w:rsidRPr="007E0A28" w:rsidRDefault="00A6094F" w:rsidP="007E0A28">
    <w:pPr>
      <w:pStyle w:val="Header"/>
      <w:jc w:val="left"/>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E6F" w14:textId="77777777" w:rsidTr="004C7571">
      <w:trPr>
        <w:trHeight w:val="567"/>
      </w:trPr>
      <w:tc>
        <w:tcPr>
          <w:tcW w:w="2969" w:type="pct"/>
          <w:shd w:val="clear" w:color="auto" w:fill="auto"/>
          <w:vAlign w:val="bottom"/>
        </w:tcPr>
        <w:p w14:paraId="7D39AE6D" w14:textId="77777777" w:rsidR="00A6094F" w:rsidRPr="0030441A" w:rsidRDefault="00A6094F" w:rsidP="006A40CD">
          <w:pPr>
            <w:pStyle w:val="Header"/>
            <w:rPr>
              <w:rFonts w:cs="Tahoma"/>
              <w:lang w:val="it-IT"/>
            </w:rPr>
          </w:pPr>
          <w:r w:rsidRPr="0030441A">
            <w:rPr>
              <w:rFonts w:cs="Tahoma"/>
              <w:lang w:val="it-IT"/>
            </w:rPr>
            <w:t xml:space="preserve">Del B - </w:t>
          </w:r>
          <w:r w:rsidRPr="006A40CD">
            <w:rPr>
              <w:rFonts w:cs="Tahoma"/>
              <w:lang w:val="it-IT"/>
            </w:rPr>
            <w:t>Aktivnosti programa Jean Monnet</w:t>
          </w:r>
        </w:p>
      </w:tc>
      <w:tc>
        <w:tcPr>
          <w:tcW w:w="2031" w:type="pct"/>
          <w:shd w:val="clear" w:color="auto" w:fill="auto"/>
          <w:vAlign w:val="bottom"/>
        </w:tcPr>
        <w:p w14:paraId="7D39AE6E"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29" wp14:editId="7D39B02A">
                <wp:extent cx="2093343" cy="445248"/>
                <wp:effectExtent l="0" t="0" r="2540" b="0"/>
                <wp:docPr id="2680"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E71" w14:textId="77777777" w:rsidTr="004C7571">
      <w:trPr>
        <w:trHeight w:val="283"/>
      </w:trPr>
      <w:tc>
        <w:tcPr>
          <w:tcW w:w="5000" w:type="pct"/>
          <w:gridSpan w:val="2"/>
          <w:shd w:val="clear" w:color="auto" w:fill="auto"/>
          <w:vAlign w:val="bottom"/>
        </w:tcPr>
        <w:p w14:paraId="7D39AE70"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76160" behindDoc="0" locked="0" layoutInCell="1" allowOverlap="1" wp14:anchorId="7D39B02B" wp14:editId="7D39B02C">
                <wp:simplePos x="0" y="0"/>
                <wp:positionH relativeFrom="margin">
                  <wp:align>left</wp:align>
                </wp:positionH>
                <wp:positionV relativeFrom="margin">
                  <wp:align>top</wp:align>
                </wp:positionV>
                <wp:extent cx="5628640" cy="28575"/>
                <wp:effectExtent l="0" t="0" r="0" b="9525"/>
                <wp:wrapSquare wrapText="bothSides"/>
                <wp:docPr id="268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72" w14:textId="77777777" w:rsidR="00A6094F" w:rsidRPr="00A72FE7" w:rsidRDefault="00A6094F" w:rsidP="004C7571">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6"/>
      <w:gridCol w:w="5378"/>
    </w:tblGrid>
    <w:tr w:rsidR="00A6094F" w:rsidRPr="007E3D6C" w14:paraId="7D39AE75" w14:textId="77777777" w:rsidTr="007E0A28">
      <w:trPr>
        <w:trHeight w:val="567"/>
      </w:trPr>
      <w:tc>
        <w:tcPr>
          <w:tcW w:w="2110" w:type="pct"/>
          <w:shd w:val="clear" w:color="auto" w:fill="auto"/>
          <w:vAlign w:val="bottom"/>
        </w:tcPr>
        <w:p w14:paraId="7D39AE73" w14:textId="77777777" w:rsidR="00A6094F" w:rsidRPr="00B92DD4" w:rsidRDefault="00A6094F" w:rsidP="007E0A28">
          <w:r w:rsidRPr="00237696">
            <w:rPr>
              <w:noProof/>
              <w:lang w:eastAsia="fr-BE"/>
            </w:rPr>
            <w:drawing>
              <wp:inline distT="0" distB="0" distL="0" distR="0" wp14:anchorId="7D39B02D" wp14:editId="7D39B02E">
                <wp:extent cx="2093343" cy="445248"/>
                <wp:effectExtent l="0" t="0" r="2540" b="0"/>
                <wp:docPr id="2682"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E74" w14:textId="77777777" w:rsidR="00A6094F" w:rsidRPr="00F769E0" w:rsidRDefault="00A6094F" w:rsidP="007E0A28">
          <w:pPr>
            <w:pStyle w:val="Header"/>
            <w:jc w:val="left"/>
            <w:rPr>
              <w:rFonts w:cs="Tahoma"/>
            </w:rPr>
          </w:pPr>
          <w:r w:rsidRPr="00F769E0">
            <w:rPr>
              <w:rFonts w:cs="Tahoma"/>
              <w:lang w:val="en-GB"/>
            </w:rPr>
            <w:t>Vodnik za prijavitelje</w:t>
          </w:r>
        </w:p>
      </w:tc>
    </w:tr>
    <w:tr w:rsidR="00A6094F" w:rsidRPr="007E3D6C" w14:paraId="7D39AE77" w14:textId="77777777" w:rsidTr="007E0A28">
      <w:trPr>
        <w:trHeight w:val="283"/>
      </w:trPr>
      <w:tc>
        <w:tcPr>
          <w:tcW w:w="5000" w:type="pct"/>
          <w:gridSpan w:val="2"/>
          <w:shd w:val="clear" w:color="auto" w:fill="auto"/>
          <w:vAlign w:val="bottom"/>
        </w:tcPr>
        <w:p w14:paraId="7D39AE76" w14:textId="77777777" w:rsidR="00A6094F" w:rsidRPr="00F769E0" w:rsidRDefault="00A6094F" w:rsidP="007E0A28">
          <w:pPr>
            <w:pStyle w:val="Header"/>
            <w:rPr>
              <w:rFonts w:cs="Tahoma"/>
              <w:noProof/>
              <w:color w:val="009EC7"/>
            </w:rPr>
          </w:pPr>
          <w:r w:rsidRPr="00F769E0">
            <w:rPr>
              <w:rFonts w:cs="Tahoma"/>
              <w:noProof/>
              <w:lang w:eastAsia="fr-BE"/>
            </w:rPr>
            <w:drawing>
              <wp:anchor distT="0" distB="0" distL="114300" distR="114300" simplePos="0" relativeHeight="251680256" behindDoc="0" locked="0" layoutInCell="1" allowOverlap="1" wp14:anchorId="7D39B02F" wp14:editId="7D39B030">
                <wp:simplePos x="0" y="0"/>
                <wp:positionH relativeFrom="margin">
                  <wp:align>left</wp:align>
                </wp:positionH>
                <wp:positionV relativeFrom="margin">
                  <wp:align>top</wp:align>
                </wp:positionV>
                <wp:extent cx="5628640" cy="28575"/>
                <wp:effectExtent l="0" t="0" r="0" b="9525"/>
                <wp:wrapSquare wrapText="bothSides"/>
                <wp:docPr id="268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78" w14:textId="77777777" w:rsidR="00A6094F" w:rsidRPr="007E0A28" w:rsidRDefault="00A6094F" w:rsidP="007E0A28">
    <w:pPr>
      <w:pStyle w:val="Header"/>
      <w:jc w:val="left"/>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E7B" w14:textId="77777777" w:rsidTr="004C7571">
      <w:trPr>
        <w:trHeight w:val="567"/>
      </w:trPr>
      <w:tc>
        <w:tcPr>
          <w:tcW w:w="2969" w:type="pct"/>
          <w:shd w:val="clear" w:color="auto" w:fill="auto"/>
          <w:vAlign w:val="bottom"/>
        </w:tcPr>
        <w:p w14:paraId="7D39AE79" w14:textId="77777777" w:rsidR="00A6094F" w:rsidRPr="0030441A" w:rsidRDefault="00A6094F" w:rsidP="00F73609">
          <w:pPr>
            <w:pStyle w:val="Header"/>
            <w:rPr>
              <w:rFonts w:cs="Tahoma"/>
            </w:rPr>
          </w:pPr>
          <w:r w:rsidRPr="0030441A">
            <w:rPr>
              <w:rFonts w:cs="Tahoma"/>
            </w:rPr>
            <w:t>Del B – Moduli Jean Monnet</w:t>
          </w:r>
        </w:p>
      </w:tc>
      <w:tc>
        <w:tcPr>
          <w:tcW w:w="2031" w:type="pct"/>
          <w:shd w:val="clear" w:color="auto" w:fill="auto"/>
          <w:vAlign w:val="bottom"/>
        </w:tcPr>
        <w:p w14:paraId="7D39AE7A"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31" wp14:editId="7D39B032">
                <wp:extent cx="2093343" cy="445248"/>
                <wp:effectExtent l="0" t="0" r="2540" b="0"/>
                <wp:docPr id="2684"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E7D" w14:textId="77777777" w:rsidTr="004C7571">
      <w:trPr>
        <w:trHeight w:val="283"/>
      </w:trPr>
      <w:tc>
        <w:tcPr>
          <w:tcW w:w="5000" w:type="pct"/>
          <w:gridSpan w:val="2"/>
          <w:shd w:val="clear" w:color="auto" w:fill="auto"/>
          <w:vAlign w:val="bottom"/>
        </w:tcPr>
        <w:p w14:paraId="7D39AE7C"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82304" behindDoc="0" locked="0" layoutInCell="1" allowOverlap="1" wp14:anchorId="7D39B033" wp14:editId="7D39B034">
                <wp:simplePos x="0" y="0"/>
                <wp:positionH relativeFrom="margin">
                  <wp:align>left</wp:align>
                </wp:positionH>
                <wp:positionV relativeFrom="margin">
                  <wp:align>top</wp:align>
                </wp:positionV>
                <wp:extent cx="5628640" cy="28575"/>
                <wp:effectExtent l="0" t="0" r="0" b="9525"/>
                <wp:wrapSquare wrapText="bothSides"/>
                <wp:docPr id="2685"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7E" w14:textId="77777777" w:rsidR="00A6094F" w:rsidRPr="00A72FE7" w:rsidRDefault="00A6094F" w:rsidP="004C7571">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6"/>
      <w:gridCol w:w="5378"/>
    </w:tblGrid>
    <w:tr w:rsidR="00A6094F" w:rsidRPr="007E3D6C" w14:paraId="7D39AE81" w14:textId="77777777" w:rsidTr="007E0A28">
      <w:trPr>
        <w:trHeight w:val="567"/>
      </w:trPr>
      <w:tc>
        <w:tcPr>
          <w:tcW w:w="2110" w:type="pct"/>
          <w:shd w:val="clear" w:color="auto" w:fill="auto"/>
          <w:vAlign w:val="bottom"/>
        </w:tcPr>
        <w:p w14:paraId="7D39AE7F" w14:textId="77777777" w:rsidR="00A6094F" w:rsidRPr="00B92DD4" w:rsidRDefault="00A6094F" w:rsidP="007E0A28">
          <w:r w:rsidRPr="00237696">
            <w:rPr>
              <w:noProof/>
              <w:lang w:eastAsia="fr-BE"/>
            </w:rPr>
            <w:drawing>
              <wp:inline distT="0" distB="0" distL="0" distR="0" wp14:anchorId="7D39B035" wp14:editId="7D39B036">
                <wp:extent cx="2093343" cy="445248"/>
                <wp:effectExtent l="0" t="0" r="2540" b="0"/>
                <wp:docPr id="2686"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E80" w14:textId="77777777" w:rsidR="00A6094F" w:rsidRPr="00F769E0" w:rsidRDefault="00A6094F" w:rsidP="007E0A28">
          <w:pPr>
            <w:pStyle w:val="Header"/>
            <w:jc w:val="left"/>
            <w:rPr>
              <w:rFonts w:cs="Tahoma"/>
            </w:rPr>
          </w:pPr>
          <w:r w:rsidRPr="00F769E0">
            <w:rPr>
              <w:rFonts w:cs="Tahoma"/>
              <w:lang w:val="en-GB"/>
            </w:rPr>
            <w:t>Vodnik za prijavitelje</w:t>
          </w:r>
        </w:p>
      </w:tc>
    </w:tr>
    <w:tr w:rsidR="00A6094F" w:rsidRPr="007E3D6C" w14:paraId="7D39AE83" w14:textId="77777777" w:rsidTr="007E0A28">
      <w:trPr>
        <w:trHeight w:val="283"/>
      </w:trPr>
      <w:tc>
        <w:tcPr>
          <w:tcW w:w="5000" w:type="pct"/>
          <w:gridSpan w:val="2"/>
          <w:shd w:val="clear" w:color="auto" w:fill="auto"/>
          <w:vAlign w:val="bottom"/>
        </w:tcPr>
        <w:p w14:paraId="7D39AE82" w14:textId="77777777" w:rsidR="00A6094F" w:rsidRPr="00F769E0" w:rsidRDefault="00A6094F" w:rsidP="007E0A28">
          <w:pPr>
            <w:pStyle w:val="Header"/>
            <w:rPr>
              <w:rFonts w:cs="Tahoma"/>
              <w:noProof/>
              <w:color w:val="009EC7"/>
            </w:rPr>
          </w:pPr>
          <w:r w:rsidRPr="00F769E0">
            <w:rPr>
              <w:rFonts w:cs="Tahoma"/>
              <w:noProof/>
              <w:lang w:eastAsia="fr-BE"/>
            </w:rPr>
            <w:drawing>
              <wp:anchor distT="0" distB="0" distL="114300" distR="114300" simplePos="0" relativeHeight="251684352" behindDoc="0" locked="0" layoutInCell="1" allowOverlap="1" wp14:anchorId="7D39B037" wp14:editId="7D39B038">
                <wp:simplePos x="0" y="0"/>
                <wp:positionH relativeFrom="margin">
                  <wp:align>left</wp:align>
                </wp:positionH>
                <wp:positionV relativeFrom="margin">
                  <wp:align>top</wp:align>
                </wp:positionV>
                <wp:extent cx="5628640" cy="28575"/>
                <wp:effectExtent l="0" t="0" r="0" b="9525"/>
                <wp:wrapSquare wrapText="bothSides"/>
                <wp:docPr id="2687"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84" w14:textId="77777777" w:rsidR="00A6094F" w:rsidRPr="007E0A28" w:rsidRDefault="00A6094F" w:rsidP="007E0A28">
    <w:pPr>
      <w:pStyle w:val="Header"/>
      <w:jc w:val="left"/>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E87" w14:textId="77777777" w:rsidTr="004C7571">
      <w:trPr>
        <w:trHeight w:val="567"/>
      </w:trPr>
      <w:tc>
        <w:tcPr>
          <w:tcW w:w="2969" w:type="pct"/>
          <w:shd w:val="clear" w:color="auto" w:fill="auto"/>
          <w:vAlign w:val="bottom"/>
        </w:tcPr>
        <w:p w14:paraId="7D39AE85" w14:textId="77777777" w:rsidR="00A6094F" w:rsidRPr="00F769E0" w:rsidRDefault="00A6094F" w:rsidP="00F73609">
          <w:pPr>
            <w:pStyle w:val="Header"/>
            <w:rPr>
              <w:rFonts w:cs="Tahoma"/>
              <w:lang w:val="pl-PL"/>
            </w:rPr>
          </w:pPr>
          <w:r w:rsidRPr="00A55F3A">
            <w:rPr>
              <w:rFonts w:cs="Tahoma"/>
              <w:lang w:val="pl-PL"/>
            </w:rPr>
            <w:t>Del B – Katedre Jean Monnet</w:t>
          </w:r>
        </w:p>
      </w:tc>
      <w:tc>
        <w:tcPr>
          <w:tcW w:w="2031" w:type="pct"/>
          <w:shd w:val="clear" w:color="auto" w:fill="auto"/>
          <w:vAlign w:val="bottom"/>
        </w:tcPr>
        <w:p w14:paraId="7D39AE86"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39" wp14:editId="7D39B03A">
                <wp:extent cx="2093343" cy="445248"/>
                <wp:effectExtent l="0" t="0" r="2540" b="0"/>
                <wp:docPr id="2688"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E89" w14:textId="77777777" w:rsidTr="004C7571">
      <w:trPr>
        <w:trHeight w:val="283"/>
      </w:trPr>
      <w:tc>
        <w:tcPr>
          <w:tcW w:w="5000" w:type="pct"/>
          <w:gridSpan w:val="2"/>
          <w:shd w:val="clear" w:color="auto" w:fill="auto"/>
          <w:vAlign w:val="bottom"/>
        </w:tcPr>
        <w:p w14:paraId="7D39AE88"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86400" behindDoc="0" locked="0" layoutInCell="1" allowOverlap="1" wp14:anchorId="7D39B03B" wp14:editId="7D39B03C">
                <wp:simplePos x="0" y="0"/>
                <wp:positionH relativeFrom="margin">
                  <wp:align>left</wp:align>
                </wp:positionH>
                <wp:positionV relativeFrom="margin">
                  <wp:align>top</wp:align>
                </wp:positionV>
                <wp:extent cx="5628640" cy="28575"/>
                <wp:effectExtent l="0" t="0" r="0" b="9525"/>
                <wp:wrapSquare wrapText="bothSides"/>
                <wp:docPr id="2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8A" w14:textId="77777777" w:rsidR="00A6094F" w:rsidRPr="00A72FE7" w:rsidRDefault="00A6094F" w:rsidP="004C75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6"/>
      <w:gridCol w:w="5378"/>
    </w:tblGrid>
    <w:tr w:rsidR="00A6094F" w:rsidRPr="007E3D6C" w14:paraId="7D39AD7F" w14:textId="77777777" w:rsidTr="007034E9">
      <w:trPr>
        <w:trHeight w:val="567"/>
      </w:trPr>
      <w:tc>
        <w:tcPr>
          <w:tcW w:w="2110" w:type="pct"/>
          <w:shd w:val="clear" w:color="auto" w:fill="auto"/>
          <w:vAlign w:val="bottom"/>
        </w:tcPr>
        <w:p w14:paraId="7D39AD7D" w14:textId="77777777" w:rsidR="00A6094F" w:rsidRPr="00B92DD4" w:rsidRDefault="00A6094F" w:rsidP="007034E9">
          <w:r w:rsidRPr="00237696">
            <w:rPr>
              <w:noProof/>
              <w:lang w:eastAsia="fr-BE"/>
            </w:rPr>
            <w:drawing>
              <wp:inline distT="0" distB="0" distL="0" distR="0" wp14:anchorId="7D39AF89" wp14:editId="7D39AF8A">
                <wp:extent cx="2093343" cy="445248"/>
                <wp:effectExtent l="0" t="0" r="2540" b="0"/>
                <wp:docPr id="2600"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D7E" w14:textId="77777777" w:rsidR="00A6094F" w:rsidRPr="00F769E0" w:rsidRDefault="00A6094F" w:rsidP="007034E9">
          <w:pPr>
            <w:pStyle w:val="Header"/>
            <w:jc w:val="left"/>
            <w:rPr>
              <w:rFonts w:cs="Tahoma"/>
            </w:rPr>
          </w:pPr>
          <w:r w:rsidRPr="00F769E0">
            <w:rPr>
              <w:rFonts w:cs="Tahoma"/>
              <w:lang w:val="en-GB"/>
            </w:rPr>
            <w:t>Vodnik za prijavitelje</w:t>
          </w:r>
        </w:p>
      </w:tc>
    </w:tr>
    <w:tr w:rsidR="00A6094F" w:rsidRPr="007E3D6C" w14:paraId="7D39AD81" w14:textId="77777777" w:rsidTr="007034E9">
      <w:trPr>
        <w:trHeight w:val="283"/>
      </w:trPr>
      <w:tc>
        <w:tcPr>
          <w:tcW w:w="5000" w:type="pct"/>
          <w:gridSpan w:val="2"/>
          <w:shd w:val="clear" w:color="auto" w:fill="auto"/>
          <w:vAlign w:val="bottom"/>
        </w:tcPr>
        <w:p w14:paraId="7D39AD80" w14:textId="77777777" w:rsidR="00A6094F" w:rsidRPr="00F769E0" w:rsidRDefault="00A6094F" w:rsidP="007034E9">
          <w:pPr>
            <w:pStyle w:val="Header"/>
            <w:rPr>
              <w:rFonts w:cs="Tahoma"/>
              <w:noProof/>
              <w:color w:val="009EC7"/>
            </w:rPr>
          </w:pPr>
          <w:r w:rsidRPr="00F769E0">
            <w:rPr>
              <w:rFonts w:cs="Tahoma"/>
              <w:noProof/>
              <w:lang w:eastAsia="fr-BE"/>
            </w:rPr>
            <w:drawing>
              <wp:anchor distT="0" distB="0" distL="114300" distR="114300" simplePos="0" relativeHeight="251622912" behindDoc="0" locked="0" layoutInCell="1" allowOverlap="1" wp14:anchorId="7D39AF8B" wp14:editId="7D39AF8C">
                <wp:simplePos x="0" y="0"/>
                <wp:positionH relativeFrom="margin">
                  <wp:align>left</wp:align>
                </wp:positionH>
                <wp:positionV relativeFrom="margin">
                  <wp:align>top</wp:align>
                </wp:positionV>
                <wp:extent cx="5628640" cy="28575"/>
                <wp:effectExtent l="0" t="0" r="0" b="9525"/>
                <wp:wrapSquare wrapText="bothSides"/>
                <wp:docPr id="260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D82" w14:textId="77777777" w:rsidR="00A6094F" w:rsidRPr="005102D9" w:rsidRDefault="00A6094F" w:rsidP="00134AAE">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6"/>
      <w:gridCol w:w="5378"/>
    </w:tblGrid>
    <w:tr w:rsidR="00A6094F" w:rsidRPr="007E3D6C" w14:paraId="7D39AE8D" w14:textId="77777777" w:rsidTr="007E0A28">
      <w:trPr>
        <w:trHeight w:val="567"/>
      </w:trPr>
      <w:tc>
        <w:tcPr>
          <w:tcW w:w="2110" w:type="pct"/>
          <w:shd w:val="clear" w:color="auto" w:fill="auto"/>
          <w:vAlign w:val="bottom"/>
        </w:tcPr>
        <w:p w14:paraId="7D39AE8B" w14:textId="77777777" w:rsidR="00A6094F" w:rsidRPr="00B92DD4" w:rsidRDefault="00A6094F" w:rsidP="007E0A28">
          <w:r w:rsidRPr="00237696">
            <w:rPr>
              <w:noProof/>
              <w:lang w:eastAsia="fr-BE"/>
            </w:rPr>
            <w:drawing>
              <wp:inline distT="0" distB="0" distL="0" distR="0" wp14:anchorId="7D39B03D" wp14:editId="7D39B03E">
                <wp:extent cx="2093343" cy="445248"/>
                <wp:effectExtent l="0" t="0" r="2540" b="0"/>
                <wp:docPr id="2690"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E8C" w14:textId="77777777" w:rsidR="00A6094F" w:rsidRPr="00F769E0" w:rsidRDefault="00A6094F" w:rsidP="007E0A28">
          <w:pPr>
            <w:pStyle w:val="Header"/>
            <w:jc w:val="left"/>
            <w:rPr>
              <w:rFonts w:cs="Tahoma"/>
            </w:rPr>
          </w:pPr>
          <w:r w:rsidRPr="00F769E0">
            <w:rPr>
              <w:rFonts w:cs="Tahoma"/>
              <w:lang w:val="en-GB"/>
            </w:rPr>
            <w:t>Vodnik za prijavitelje</w:t>
          </w:r>
        </w:p>
      </w:tc>
    </w:tr>
    <w:tr w:rsidR="00A6094F" w:rsidRPr="007E3D6C" w14:paraId="7D39AE8F" w14:textId="77777777" w:rsidTr="007E0A28">
      <w:trPr>
        <w:trHeight w:val="283"/>
      </w:trPr>
      <w:tc>
        <w:tcPr>
          <w:tcW w:w="5000" w:type="pct"/>
          <w:gridSpan w:val="2"/>
          <w:shd w:val="clear" w:color="auto" w:fill="auto"/>
          <w:vAlign w:val="bottom"/>
        </w:tcPr>
        <w:p w14:paraId="7D39AE8E" w14:textId="77777777" w:rsidR="00A6094F" w:rsidRPr="00F769E0" w:rsidRDefault="00A6094F" w:rsidP="007E0A28">
          <w:pPr>
            <w:pStyle w:val="Header"/>
            <w:rPr>
              <w:rFonts w:cs="Tahoma"/>
              <w:noProof/>
              <w:color w:val="009EC7"/>
            </w:rPr>
          </w:pPr>
          <w:r w:rsidRPr="00F769E0">
            <w:rPr>
              <w:rFonts w:cs="Tahoma"/>
              <w:noProof/>
              <w:lang w:eastAsia="fr-BE"/>
            </w:rPr>
            <w:drawing>
              <wp:anchor distT="0" distB="0" distL="114300" distR="114300" simplePos="0" relativeHeight="251688448" behindDoc="0" locked="0" layoutInCell="1" allowOverlap="1" wp14:anchorId="7D39B03F" wp14:editId="7D39B040">
                <wp:simplePos x="0" y="0"/>
                <wp:positionH relativeFrom="margin">
                  <wp:align>left</wp:align>
                </wp:positionH>
                <wp:positionV relativeFrom="margin">
                  <wp:align>top</wp:align>
                </wp:positionV>
                <wp:extent cx="5628640" cy="28575"/>
                <wp:effectExtent l="0" t="0" r="0" b="9525"/>
                <wp:wrapSquare wrapText="bothSides"/>
                <wp:docPr id="269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90" w14:textId="77777777" w:rsidR="00A6094F" w:rsidRPr="007E0A28" w:rsidRDefault="00A6094F" w:rsidP="007E0A28">
    <w:pPr>
      <w:pStyle w:val="Header"/>
      <w:jc w:val="lef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6"/>
      <w:gridCol w:w="5378"/>
    </w:tblGrid>
    <w:tr w:rsidR="00A6094F" w:rsidRPr="007E3D6C" w14:paraId="7D39AE93" w14:textId="77777777" w:rsidTr="007E0A28">
      <w:trPr>
        <w:trHeight w:val="567"/>
      </w:trPr>
      <w:tc>
        <w:tcPr>
          <w:tcW w:w="2110" w:type="pct"/>
          <w:shd w:val="clear" w:color="auto" w:fill="auto"/>
          <w:vAlign w:val="bottom"/>
        </w:tcPr>
        <w:p w14:paraId="7D39AE91" w14:textId="77777777" w:rsidR="00A6094F" w:rsidRPr="00B92DD4" w:rsidRDefault="00A6094F" w:rsidP="007E0A28">
          <w:r w:rsidRPr="00237696">
            <w:rPr>
              <w:noProof/>
              <w:lang w:eastAsia="fr-BE"/>
            </w:rPr>
            <w:drawing>
              <wp:inline distT="0" distB="0" distL="0" distR="0" wp14:anchorId="7D39B041" wp14:editId="7D39B042">
                <wp:extent cx="2093343" cy="445248"/>
                <wp:effectExtent l="0" t="0" r="2540" b="0"/>
                <wp:docPr id="2692"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E92" w14:textId="77777777" w:rsidR="00A6094F" w:rsidRPr="00F769E0" w:rsidRDefault="00A6094F" w:rsidP="007E0A28">
          <w:pPr>
            <w:pStyle w:val="Header"/>
            <w:jc w:val="left"/>
            <w:rPr>
              <w:rFonts w:cs="Tahoma"/>
            </w:rPr>
          </w:pPr>
          <w:r w:rsidRPr="00F769E0">
            <w:rPr>
              <w:rFonts w:cs="Tahoma"/>
              <w:lang w:val="en-GB"/>
            </w:rPr>
            <w:t>Vodnik za prijavitelje</w:t>
          </w:r>
        </w:p>
      </w:tc>
    </w:tr>
    <w:tr w:rsidR="00A6094F" w:rsidRPr="007E3D6C" w14:paraId="7D39AE95" w14:textId="77777777" w:rsidTr="007E0A28">
      <w:trPr>
        <w:trHeight w:val="283"/>
      </w:trPr>
      <w:tc>
        <w:tcPr>
          <w:tcW w:w="5000" w:type="pct"/>
          <w:gridSpan w:val="2"/>
          <w:shd w:val="clear" w:color="auto" w:fill="auto"/>
          <w:vAlign w:val="bottom"/>
        </w:tcPr>
        <w:p w14:paraId="7D39AE94" w14:textId="77777777" w:rsidR="00A6094F" w:rsidRPr="00F769E0" w:rsidRDefault="00A6094F" w:rsidP="007E0A28">
          <w:pPr>
            <w:pStyle w:val="Header"/>
            <w:rPr>
              <w:rFonts w:cs="Tahoma"/>
              <w:noProof/>
              <w:color w:val="009EC7"/>
            </w:rPr>
          </w:pPr>
          <w:r w:rsidRPr="00F769E0">
            <w:rPr>
              <w:rFonts w:cs="Tahoma"/>
              <w:noProof/>
              <w:lang w:eastAsia="fr-BE"/>
            </w:rPr>
            <w:drawing>
              <wp:anchor distT="0" distB="0" distL="114300" distR="114300" simplePos="0" relativeHeight="251696640" behindDoc="0" locked="0" layoutInCell="1" allowOverlap="1" wp14:anchorId="7D39B043" wp14:editId="7D39B044">
                <wp:simplePos x="0" y="0"/>
                <wp:positionH relativeFrom="margin">
                  <wp:align>left</wp:align>
                </wp:positionH>
                <wp:positionV relativeFrom="margin">
                  <wp:align>top</wp:align>
                </wp:positionV>
                <wp:extent cx="5628640" cy="28575"/>
                <wp:effectExtent l="0" t="0" r="0" b="9525"/>
                <wp:wrapSquare wrapText="bothSides"/>
                <wp:docPr id="269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96" w14:textId="77777777" w:rsidR="00A6094F" w:rsidRPr="007E0A28" w:rsidRDefault="00A6094F" w:rsidP="007E0A28">
    <w:pPr>
      <w:pStyle w:val="Header"/>
      <w:jc w:val="left"/>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E99" w14:textId="77777777" w:rsidTr="004C7571">
      <w:trPr>
        <w:trHeight w:val="567"/>
      </w:trPr>
      <w:tc>
        <w:tcPr>
          <w:tcW w:w="2969" w:type="pct"/>
          <w:shd w:val="clear" w:color="auto" w:fill="auto"/>
          <w:vAlign w:val="bottom"/>
        </w:tcPr>
        <w:p w14:paraId="7D39AE97" w14:textId="77777777" w:rsidR="00A6094F" w:rsidRPr="0030441A" w:rsidRDefault="00A6094F" w:rsidP="00F73609">
          <w:pPr>
            <w:pStyle w:val="Header"/>
            <w:rPr>
              <w:rFonts w:cs="Tahoma"/>
              <w:lang w:val="it-IT"/>
            </w:rPr>
          </w:pPr>
          <w:r w:rsidRPr="0030441A">
            <w:rPr>
              <w:rFonts w:cs="Tahoma"/>
              <w:lang w:val="it-IT"/>
            </w:rPr>
            <w:t>Del B – Centri odličnosti Jean Monnet</w:t>
          </w:r>
        </w:p>
      </w:tc>
      <w:tc>
        <w:tcPr>
          <w:tcW w:w="2031" w:type="pct"/>
          <w:shd w:val="clear" w:color="auto" w:fill="auto"/>
          <w:vAlign w:val="bottom"/>
        </w:tcPr>
        <w:p w14:paraId="7D39AE98"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45" wp14:editId="7D39B046">
                <wp:extent cx="2093343" cy="445248"/>
                <wp:effectExtent l="0" t="0" r="2540" b="0"/>
                <wp:docPr id="2694"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E9B" w14:textId="77777777" w:rsidTr="004C7571">
      <w:trPr>
        <w:trHeight w:val="283"/>
      </w:trPr>
      <w:tc>
        <w:tcPr>
          <w:tcW w:w="5000" w:type="pct"/>
          <w:gridSpan w:val="2"/>
          <w:shd w:val="clear" w:color="auto" w:fill="auto"/>
          <w:vAlign w:val="bottom"/>
        </w:tcPr>
        <w:p w14:paraId="7D39AE9A"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90496" behindDoc="0" locked="0" layoutInCell="1" allowOverlap="1" wp14:anchorId="7D39B047" wp14:editId="7D39B048">
                <wp:simplePos x="0" y="0"/>
                <wp:positionH relativeFrom="margin">
                  <wp:align>left</wp:align>
                </wp:positionH>
                <wp:positionV relativeFrom="margin">
                  <wp:align>top</wp:align>
                </wp:positionV>
                <wp:extent cx="5628640" cy="28575"/>
                <wp:effectExtent l="0" t="0" r="0" b="9525"/>
                <wp:wrapSquare wrapText="bothSides"/>
                <wp:docPr id="2695"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9C" w14:textId="77777777" w:rsidR="00A6094F" w:rsidRPr="00A72FE7" w:rsidRDefault="00A6094F" w:rsidP="004C7571">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6"/>
      <w:gridCol w:w="5378"/>
    </w:tblGrid>
    <w:tr w:rsidR="00A6094F" w:rsidRPr="007E3D6C" w14:paraId="7D39AE9F" w14:textId="77777777" w:rsidTr="007E0A28">
      <w:trPr>
        <w:trHeight w:val="567"/>
      </w:trPr>
      <w:tc>
        <w:tcPr>
          <w:tcW w:w="2110" w:type="pct"/>
          <w:shd w:val="clear" w:color="auto" w:fill="auto"/>
          <w:vAlign w:val="bottom"/>
        </w:tcPr>
        <w:p w14:paraId="7D39AE9D" w14:textId="77777777" w:rsidR="00A6094F" w:rsidRPr="00B92DD4" w:rsidRDefault="00A6094F" w:rsidP="007E0A28">
          <w:r w:rsidRPr="00237696">
            <w:rPr>
              <w:noProof/>
              <w:lang w:eastAsia="fr-BE"/>
            </w:rPr>
            <w:drawing>
              <wp:inline distT="0" distB="0" distL="0" distR="0" wp14:anchorId="7D39B049" wp14:editId="7D39B04A">
                <wp:extent cx="2093343" cy="445248"/>
                <wp:effectExtent l="0" t="0" r="2540" b="0"/>
                <wp:docPr id="2696"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E9E" w14:textId="77777777" w:rsidR="00A6094F" w:rsidRPr="00F769E0" w:rsidRDefault="00A6094F" w:rsidP="007E0A28">
          <w:pPr>
            <w:pStyle w:val="Header"/>
            <w:jc w:val="left"/>
            <w:rPr>
              <w:rFonts w:cs="Tahoma"/>
            </w:rPr>
          </w:pPr>
          <w:r w:rsidRPr="00F769E0">
            <w:rPr>
              <w:rFonts w:cs="Tahoma"/>
              <w:lang w:val="en-GB"/>
            </w:rPr>
            <w:t>Vodnik za prijavitelje</w:t>
          </w:r>
        </w:p>
      </w:tc>
    </w:tr>
    <w:tr w:rsidR="00A6094F" w:rsidRPr="007E3D6C" w14:paraId="7D39AEA1" w14:textId="77777777" w:rsidTr="007E0A28">
      <w:trPr>
        <w:trHeight w:val="283"/>
      </w:trPr>
      <w:tc>
        <w:tcPr>
          <w:tcW w:w="5000" w:type="pct"/>
          <w:gridSpan w:val="2"/>
          <w:shd w:val="clear" w:color="auto" w:fill="auto"/>
          <w:vAlign w:val="bottom"/>
        </w:tcPr>
        <w:p w14:paraId="7D39AEA0" w14:textId="77777777" w:rsidR="00A6094F" w:rsidRPr="00F769E0" w:rsidRDefault="00A6094F" w:rsidP="007E0A28">
          <w:pPr>
            <w:pStyle w:val="Header"/>
            <w:rPr>
              <w:rFonts w:cs="Tahoma"/>
              <w:noProof/>
              <w:color w:val="009EC7"/>
            </w:rPr>
          </w:pPr>
          <w:r w:rsidRPr="00F769E0">
            <w:rPr>
              <w:rFonts w:cs="Tahoma"/>
              <w:noProof/>
              <w:lang w:eastAsia="fr-BE"/>
            </w:rPr>
            <w:drawing>
              <wp:anchor distT="0" distB="0" distL="114300" distR="114300" simplePos="0" relativeHeight="251692544" behindDoc="0" locked="0" layoutInCell="1" allowOverlap="1" wp14:anchorId="7D39B04B" wp14:editId="7D39B04C">
                <wp:simplePos x="0" y="0"/>
                <wp:positionH relativeFrom="margin">
                  <wp:align>left</wp:align>
                </wp:positionH>
                <wp:positionV relativeFrom="margin">
                  <wp:align>top</wp:align>
                </wp:positionV>
                <wp:extent cx="5628640" cy="28575"/>
                <wp:effectExtent l="0" t="0" r="0" b="9525"/>
                <wp:wrapSquare wrapText="bothSides"/>
                <wp:docPr id="2697"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A2" w14:textId="77777777" w:rsidR="00A6094F" w:rsidRPr="007E0A28" w:rsidRDefault="00A6094F" w:rsidP="007E0A28">
    <w:pPr>
      <w:pStyle w:val="Header"/>
      <w:jc w:val="left"/>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EA5" w14:textId="77777777" w:rsidTr="004C7571">
      <w:trPr>
        <w:trHeight w:val="567"/>
      </w:trPr>
      <w:tc>
        <w:tcPr>
          <w:tcW w:w="2969" w:type="pct"/>
          <w:shd w:val="clear" w:color="auto" w:fill="auto"/>
          <w:vAlign w:val="bottom"/>
        </w:tcPr>
        <w:p w14:paraId="7D39AEA3" w14:textId="77777777" w:rsidR="00A6094F" w:rsidRPr="00F769E0" w:rsidRDefault="00A6094F" w:rsidP="00F73609">
          <w:pPr>
            <w:pStyle w:val="Header"/>
            <w:rPr>
              <w:rFonts w:cs="Tahoma"/>
              <w:lang w:val="pl-PL"/>
            </w:rPr>
          </w:pPr>
          <w:r w:rsidRPr="00C30D23">
            <w:rPr>
              <w:rFonts w:cs="Tahoma"/>
              <w:lang w:val="pl-PL"/>
            </w:rPr>
            <w:t>Del B – Podpora Jean Monnet za združenja</w:t>
          </w:r>
        </w:p>
      </w:tc>
      <w:tc>
        <w:tcPr>
          <w:tcW w:w="2031" w:type="pct"/>
          <w:shd w:val="clear" w:color="auto" w:fill="auto"/>
          <w:vAlign w:val="bottom"/>
        </w:tcPr>
        <w:p w14:paraId="7D39AEA4"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4D" wp14:editId="7D39B04E">
                <wp:extent cx="2093343" cy="445248"/>
                <wp:effectExtent l="0" t="0" r="2540" b="0"/>
                <wp:docPr id="2698"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EA7" w14:textId="77777777" w:rsidTr="004C7571">
      <w:trPr>
        <w:trHeight w:val="283"/>
      </w:trPr>
      <w:tc>
        <w:tcPr>
          <w:tcW w:w="5000" w:type="pct"/>
          <w:gridSpan w:val="2"/>
          <w:shd w:val="clear" w:color="auto" w:fill="auto"/>
          <w:vAlign w:val="bottom"/>
        </w:tcPr>
        <w:p w14:paraId="7D39AEA6"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94592" behindDoc="0" locked="0" layoutInCell="1" allowOverlap="1" wp14:anchorId="7D39B04F" wp14:editId="7D39B050">
                <wp:simplePos x="0" y="0"/>
                <wp:positionH relativeFrom="margin">
                  <wp:align>left</wp:align>
                </wp:positionH>
                <wp:positionV relativeFrom="margin">
                  <wp:align>top</wp:align>
                </wp:positionV>
                <wp:extent cx="5628640" cy="28575"/>
                <wp:effectExtent l="0" t="0" r="0" b="9525"/>
                <wp:wrapSquare wrapText="bothSides"/>
                <wp:docPr id="269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A8" w14:textId="77777777" w:rsidR="00A6094F" w:rsidRPr="00A72FE7" w:rsidRDefault="00A6094F" w:rsidP="004C7571">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EAB" w14:textId="77777777" w:rsidTr="004C7571">
      <w:trPr>
        <w:trHeight w:val="567"/>
      </w:trPr>
      <w:tc>
        <w:tcPr>
          <w:tcW w:w="2969" w:type="pct"/>
          <w:shd w:val="clear" w:color="auto" w:fill="auto"/>
          <w:vAlign w:val="bottom"/>
        </w:tcPr>
        <w:p w14:paraId="7D39AEA9" w14:textId="77777777" w:rsidR="00A6094F" w:rsidRPr="0030441A" w:rsidRDefault="00A6094F" w:rsidP="00F73609">
          <w:pPr>
            <w:pStyle w:val="Header"/>
            <w:rPr>
              <w:rFonts w:cs="Tahoma"/>
              <w:lang w:val="nb-NO"/>
            </w:rPr>
          </w:pPr>
          <w:r w:rsidRPr="0030441A">
            <w:rPr>
              <w:rFonts w:cs="Tahoma"/>
              <w:lang w:val="nb-NO"/>
            </w:rPr>
            <w:t>Del B – Omrežja Jean Monnet</w:t>
          </w:r>
        </w:p>
      </w:tc>
      <w:tc>
        <w:tcPr>
          <w:tcW w:w="2031" w:type="pct"/>
          <w:shd w:val="clear" w:color="auto" w:fill="auto"/>
          <w:vAlign w:val="bottom"/>
        </w:tcPr>
        <w:p w14:paraId="7D39AEAA"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51" wp14:editId="7D39B052">
                <wp:extent cx="2093343" cy="445248"/>
                <wp:effectExtent l="0" t="0" r="2540" b="0"/>
                <wp:docPr id="2700"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EAD" w14:textId="77777777" w:rsidTr="004C7571">
      <w:trPr>
        <w:trHeight w:val="283"/>
      </w:trPr>
      <w:tc>
        <w:tcPr>
          <w:tcW w:w="5000" w:type="pct"/>
          <w:gridSpan w:val="2"/>
          <w:shd w:val="clear" w:color="auto" w:fill="auto"/>
          <w:vAlign w:val="bottom"/>
        </w:tcPr>
        <w:p w14:paraId="7D39AEAC"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98688" behindDoc="0" locked="0" layoutInCell="1" allowOverlap="1" wp14:anchorId="7D39B053" wp14:editId="7D39B054">
                <wp:simplePos x="0" y="0"/>
                <wp:positionH relativeFrom="margin">
                  <wp:align>left</wp:align>
                </wp:positionH>
                <wp:positionV relativeFrom="margin">
                  <wp:align>top</wp:align>
                </wp:positionV>
                <wp:extent cx="5628640" cy="28575"/>
                <wp:effectExtent l="0" t="0" r="0" b="9525"/>
                <wp:wrapSquare wrapText="bothSides"/>
                <wp:docPr id="270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AE" w14:textId="77777777" w:rsidR="00A6094F" w:rsidRPr="00A72FE7" w:rsidRDefault="00A6094F" w:rsidP="004C7571">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EB1" w14:textId="77777777" w:rsidTr="004C7571">
      <w:trPr>
        <w:trHeight w:val="567"/>
      </w:trPr>
      <w:tc>
        <w:tcPr>
          <w:tcW w:w="2969" w:type="pct"/>
          <w:shd w:val="clear" w:color="auto" w:fill="auto"/>
          <w:vAlign w:val="bottom"/>
        </w:tcPr>
        <w:p w14:paraId="7D39AEAF" w14:textId="77777777" w:rsidR="00A6094F" w:rsidRPr="00F769E0" w:rsidRDefault="00A6094F" w:rsidP="00F73609">
          <w:pPr>
            <w:pStyle w:val="Header"/>
            <w:rPr>
              <w:rFonts w:cs="Tahoma"/>
              <w:lang w:val="pl-PL"/>
            </w:rPr>
          </w:pPr>
          <w:r w:rsidRPr="003C6FDF">
            <w:rPr>
              <w:lang w:val="sl-SI"/>
            </w:rPr>
            <w:t>Del B – Projekti Jean Monnet</w:t>
          </w:r>
        </w:p>
      </w:tc>
      <w:tc>
        <w:tcPr>
          <w:tcW w:w="2031" w:type="pct"/>
          <w:shd w:val="clear" w:color="auto" w:fill="auto"/>
          <w:vAlign w:val="bottom"/>
        </w:tcPr>
        <w:p w14:paraId="7D39AEB0"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55" wp14:editId="7D39B056">
                <wp:extent cx="2093343" cy="445248"/>
                <wp:effectExtent l="0" t="0" r="2540" b="0"/>
                <wp:docPr id="2702"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EB3" w14:textId="77777777" w:rsidTr="004C7571">
      <w:trPr>
        <w:trHeight w:val="283"/>
      </w:trPr>
      <w:tc>
        <w:tcPr>
          <w:tcW w:w="5000" w:type="pct"/>
          <w:gridSpan w:val="2"/>
          <w:shd w:val="clear" w:color="auto" w:fill="auto"/>
          <w:vAlign w:val="bottom"/>
        </w:tcPr>
        <w:p w14:paraId="7D39AEB2"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700736" behindDoc="0" locked="0" layoutInCell="1" allowOverlap="1" wp14:anchorId="7D39B057" wp14:editId="7D39B058">
                <wp:simplePos x="0" y="0"/>
                <wp:positionH relativeFrom="margin">
                  <wp:align>left</wp:align>
                </wp:positionH>
                <wp:positionV relativeFrom="margin">
                  <wp:align>top</wp:align>
                </wp:positionV>
                <wp:extent cx="5628640" cy="28575"/>
                <wp:effectExtent l="0" t="0" r="0" b="9525"/>
                <wp:wrapSquare wrapText="bothSides"/>
                <wp:docPr id="270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B4" w14:textId="77777777" w:rsidR="00A6094F" w:rsidRPr="00A72FE7" w:rsidRDefault="00A6094F" w:rsidP="004C7571">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6246"/>
      <w:gridCol w:w="8556"/>
    </w:tblGrid>
    <w:tr w:rsidR="00A6094F" w:rsidRPr="007E3D6C" w14:paraId="7D39AEB7" w14:textId="77777777" w:rsidTr="007E0A28">
      <w:trPr>
        <w:trHeight w:val="567"/>
      </w:trPr>
      <w:tc>
        <w:tcPr>
          <w:tcW w:w="2110" w:type="pct"/>
          <w:shd w:val="clear" w:color="auto" w:fill="auto"/>
          <w:vAlign w:val="bottom"/>
        </w:tcPr>
        <w:p w14:paraId="7D39AEB5" w14:textId="77777777" w:rsidR="00A6094F" w:rsidRPr="00B92DD4" w:rsidRDefault="00A6094F" w:rsidP="007E0A28">
          <w:r w:rsidRPr="00237696">
            <w:rPr>
              <w:noProof/>
              <w:lang w:eastAsia="fr-BE"/>
            </w:rPr>
            <w:drawing>
              <wp:inline distT="0" distB="0" distL="0" distR="0" wp14:anchorId="7D39B059" wp14:editId="7D39B05A">
                <wp:extent cx="2093343" cy="445248"/>
                <wp:effectExtent l="0" t="0" r="2540" b="0"/>
                <wp:docPr id="2704"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EB6" w14:textId="77777777" w:rsidR="00A6094F" w:rsidRPr="00F769E0" w:rsidRDefault="00A6094F" w:rsidP="007E0A28">
          <w:pPr>
            <w:pStyle w:val="Header"/>
            <w:jc w:val="left"/>
            <w:rPr>
              <w:rFonts w:cs="Tahoma"/>
            </w:rPr>
          </w:pPr>
          <w:r w:rsidRPr="00F769E0">
            <w:rPr>
              <w:rFonts w:cs="Tahoma"/>
              <w:lang w:val="en-GB"/>
            </w:rPr>
            <w:t>Vodnik za prijavitelje</w:t>
          </w:r>
        </w:p>
      </w:tc>
    </w:tr>
    <w:tr w:rsidR="00A6094F" w:rsidRPr="007E3D6C" w14:paraId="7D39AEB9" w14:textId="77777777" w:rsidTr="007E0A28">
      <w:trPr>
        <w:trHeight w:val="283"/>
      </w:trPr>
      <w:tc>
        <w:tcPr>
          <w:tcW w:w="5000" w:type="pct"/>
          <w:gridSpan w:val="2"/>
          <w:shd w:val="clear" w:color="auto" w:fill="auto"/>
          <w:vAlign w:val="bottom"/>
        </w:tcPr>
        <w:p w14:paraId="7D39AEB8" w14:textId="77777777" w:rsidR="00A6094F" w:rsidRPr="00F769E0" w:rsidRDefault="00A6094F" w:rsidP="007E0A28">
          <w:pPr>
            <w:pStyle w:val="Header"/>
            <w:rPr>
              <w:rFonts w:cs="Tahoma"/>
              <w:noProof/>
              <w:color w:val="009EC7"/>
            </w:rPr>
          </w:pPr>
          <w:r w:rsidRPr="00F769E0">
            <w:rPr>
              <w:rFonts w:cs="Tahoma"/>
              <w:noProof/>
              <w:lang w:eastAsia="fr-BE"/>
            </w:rPr>
            <w:drawing>
              <wp:anchor distT="0" distB="0" distL="114300" distR="114300" simplePos="0" relativeHeight="251702784" behindDoc="0" locked="0" layoutInCell="1" allowOverlap="1" wp14:anchorId="7D39B05B" wp14:editId="7D39B05C">
                <wp:simplePos x="0" y="0"/>
                <wp:positionH relativeFrom="margin">
                  <wp:align>left</wp:align>
                </wp:positionH>
                <wp:positionV relativeFrom="margin">
                  <wp:align>top</wp:align>
                </wp:positionV>
                <wp:extent cx="5628640" cy="28575"/>
                <wp:effectExtent l="0" t="0" r="0" b="9525"/>
                <wp:wrapSquare wrapText="bothSides"/>
                <wp:docPr id="2705"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BA" w14:textId="77777777" w:rsidR="00A6094F" w:rsidRPr="007E0A28" w:rsidRDefault="00A6094F" w:rsidP="007E0A28">
    <w:pPr>
      <w:pStyle w:val="Header"/>
      <w:jc w:val="left"/>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8789"/>
      <w:gridCol w:w="6013"/>
    </w:tblGrid>
    <w:tr w:rsidR="00A6094F" w:rsidRPr="007E3D6C" w14:paraId="7D39AEBD" w14:textId="77777777" w:rsidTr="004C7571">
      <w:trPr>
        <w:trHeight w:val="567"/>
      </w:trPr>
      <w:tc>
        <w:tcPr>
          <w:tcW w:w="2969" w:type="pct"/>
          <w:shd w:val="clear" w:color="auto" w:fill="auto"/>
          <w:vAlign w:val="bottom"/>
        </w:tcPr>
        <w:p w14:paraId="7D39AEBB" w14:textId="77777777" w:rsidR="00A6094F" w:rsidRPr="00F769E0" w:rsidRDefault="00A6094F" w:rsidP="00F73609">
          <w:pPr>
            <w:pStyle w:val="Header"/>
            <w:rPr>
              <w:rFonts w:cs="Tahoma"/>
              <w:lang w:val="pl-PL"/>
            </w:rPr>
          </w:pPr>
          <w:r w:rsidRPr="003C6FDF">
            <w:rPr>
              <w:lang w:val="sl-SI"/>
            </w:rPr>
            <w:t xml:space="preserve">Del B – </w:t>
          </w:r>
          <w:r w:rsidRPr="001048FE">
            <w:rPr>
              <w:lang w:val="sl-SI"/>
            </w:rPr>
            <w:t>Stroški na enoto za program Jean Monnet</w:t>
          </w:r>
        </w:p>
      </w:tc>
      <w:tc>
        <w:tcPr>
          <w:tcW w:w="2031" w:type="pct"/>
          <w:shd w:val="clear" w:color="auto" w:fill="auto"/>
          <w:vAlign w:val="bottom"/>
        </w:tcPr>
        <w:p w14:paraId="7D39AEBC"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5D" wp14:editId="7D39B05E">
                <wp:extent cx="2093343" cy="445248"/>
                <wp:effectExtent l="0" t="0" r="2540" b="0"/>
                <wp:docPr id="2706"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EBF" w14:textId="77777777" w:rsidTr="004C7571">
      <w:trPr>
        <w:trHeight w:val="283"/>
      </w:trPr>
      <w:tc>
        <w:tcPr>
          <w:tcW w:w="5000" w:type="pct"/>
          <w:gridSpan w:val="2"/>
          <w:shd w:val="clear" w:color="auto" w:fill="auto"/>
          <w:vAlign w:val="bottom"/>
        </w:tcPr>
        <w:p w14:paraId="7D39AEBE"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704832" behindDoc="0" locked="0" layoutInCell="1" allowOverlap="1" wp14:anchorId="7D39B05F" wp14:editId="7D39B060">
                <wp:simplePos x="0" y="0"/>
                <wp:positionH relativeFrom="margin">
                  <wp:align>left</wp:align>
                </wp:positionH>
                <wp:positionV relativeFrom="margin">
                  <wp:align>top</wp:align>
                </wp:positionV>
                <wp:extent cx="5628640" cy="28575"/>
                <wp:effectExtent l="0" t="0" r="0" b="9525"/>
                <wp:wrapSquare wrapText="bothSides"/>
                <wp:docPr id="2707"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C0" w14:textId="77777777" w:rsidR="00A6094F" w:rsidRPr="00A72FE7" w:rsidRDefault="00A6094F" w:rsidP="004C7571">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8789"/>
      <w:gridCol w:w="6013"/>
    </w:tblGrid>
    <w:tr w:rsidR="00A6094F" w:rsidRPr="007E3D6C" w14:paraId="7D39AEC3" w14:textId="77777777" w:rsidTr="004C7571">
      <w:trPr>
        <w:trHeight w:val="567"/>
      </w:trPr>
      <w:tc>
        <w:tcPr>
          <w:tcW w:w="2969" w:type="pct"/>
          <w:shd w:val="clear" w:color="auto" w:fill="auto"/>
          <w:vAlign w:val="bottom"/>
        </w:tcPr>
        <w:p w14:paraId="7D39AEC1" w14:textId="77777777" w:rsidR="00A6094F" w:rsidRPr="00F769E0" w:rsidRDefault="00A6094F" w:rsidP="00F73609">
          <w:pPr>
            <w:pStyle w:val="Header"/>
            <w:rPr>
              <w:rFonts w:cs="Tahoma"/>
              <w:lang w:val="pl-PL"/>
            </w:rPr>
          </w:pPr>
          <w:r w:rsidRPr="003C6FDF">
            <w:rPr>
              <w:lang w:val="sl-SI"/>
            </w:rPr>
            <w:t xml:space="preserve">Del B – </w:t>
          </w:r>
          <w:r w:rsidRPr="001048FE">
            <w:rPr>
              <w:lang w:val="sl-SI"/>
            </w:rPr>
            <w:t>Stroški na enoto za program Jean Monnet</w:t>
          </w:r>
        </w:p>
      </w:tc>
      <w:tc>
        <w:tcPr>
          <w:tcW w:w="2031" w:type="pct"/>
          <w:shd w:val="clear" w:color="auto" w:fill="auto"/>
          <w:vAlign w:val="bottom"/>
        </w:tcPr>
        <w:p w14:paraId="7D39AEC2"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61" wp14:editId="7D39B062">
                <wp:extent cx="2093343" cy="445248"/>
                <wp:effectExtent l="0" t="0" r="2540" b="0"/>
                <wp:docPr id="2754"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EC5" w14:textId="77777777" w:rsidTr="004C7571">
      <w:trPr>
        <w:trHeight w:val="283"/>
      </w:trPr>
      <w:tc>
        <w:tcPr>
          <w:tcW w:w="5000" w:type="pct"/>
          <w:gridSpan w:val="2"/>
          <w:shd w:val="clear" w:color="auto" w:fill="auto"/>
          <w:vAlign w:val="bottom"/>
        </w:tcPr>
        <w:p w14:paraId="7D39AEC4"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734528" behindDoc="0" locked="0" layoutInCell="1" allowOverlap="1" wp14:anchorId="7D39B063" wp14:editId="7D39B064">
                <wp:simplePos x="0" y="0"/>
                <wp:positionH relativeFrom="margin">
                  <wp:align>left</wp:align>
                </wp:positionH>
                <wp:positionV relativeFrom="margin">
                  <wp:align>top</wp:align>
                </wp:positionV>
                <wp:extent cx="5628640" cy="28575"/>
                <wp:effectExtent l="0" t="0" r="0" b="9525"/>
                <wp:wrapSquare wrapText="bothSides"/>
                <wp:docPr id="2755"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C6" w14:textId="77777777" w:rsidR="00A6094F" w:rsidRPr="00A72FE7" w:rsidRDefault="00A6094F" w:rsidP="004C75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D85" w14:textId="77777777" w:rsidTr="004C7571">
      <w:trPr>
        <w:trHeight w:val="567"/>
      </w:trPr>
      <w:tc>
        <w:tcPr>
          <w:tcW w:w="2969" w:type="pct"/>
          <w:shd w:val="clear" w:color="auto" w:fill="auto"/>
          <w:vAlign w:val="bottom"/>
        </w:tcPr>
        <w:p w14:paraId="7D39AD83" w14:textId="77777777" w:rsidR="00A6094F" w:rsidRPr="00595BA4" w:rsidRDefault="00A6094F" w:rsidP="00EB49E5">
          <w:pPr>
            <w:pStyle w:val="Header"/>
            <w:rPr>
              <w:rFonts w:cs="Tahoma"/>
              <w:lang w:val="it-IT"/>
            </w:rPr>
          </w:pPr>
          <w:r w:rsidRPr="00595BA4">
            <w:rPr>
              <w:rFonts w:cs="Tahoma"/>
              <w:lang w:val="it-IT"/>
            </w:rPr>
            <w:t>Del A – Splošne informacije o programu Erasmus+</w:t>
          </w:r>
        </w:p>
      </w:tc>
      <w:tc>
        <w:tcPr>
          <w:tcW w:w="2031" w:type="pct"/>
          <w:shd w:val="clear" w:color="auto" w:fill="auto"/>
          <w:vAlign w:val="bottom"/>
        </w:tcPr>
        <w:p w14:paraId="7D39AD84"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AF8D" wp14:editId="7D39AF8E">
                <wp:extent cx="2093343" cy="445248"/>
                <wp:effectExtent l="0" t="0" r="2540" b="0"/>
                <wp:docPr id="2602"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D87" w14:textId="77777777" w:rsidTr="004C7571">
      <w:trPr>
        <w:trHeight w:val="283"/>
      </w:trPr>
      <w:tc>
        <w:tcPr>
          <w:tcW w:w="5000" w:type="pct"/>
          <w:gridSpan w:val="2"/>
          <w:shd w:val="clear" w:color="auto" w:fill="auto"/>
          <w:vAlign w:val="bottom"/>
        </w:tcPr>
        <w:p w14:paraId="7D39AD86"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593216" behindDoc="0" locked="0" layoutInCell="1" allowOverlap="1" wp14:anchorId="7D39AF8F" wp14:editId="7D39AF90">
                <wp:simplePos x="0" y="0"/>
                <wp:positionH relativeFrom="margin">
                  <wp:align>left</wp:align>
                </wp:positionH>
                <wp:positionV relativeFrom="margin">
                  <wp:align>top</wp:align>
                </wp:positionV>
                <wp:extent cx="5628640" cy="28575"/>
                <wp:effectExtent l="0" t="0" r="0" b="9525"/>
                <wp:wrapSquare wrapText="bothSides"/>
                <wp:docPr id="260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D88" w14:textId="77777777" w:rsidR="00A6094F" w:rsidRPr="00A72FE7" w:rsidRDefault="00A6094F" w:rsidP="004C7571">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EC9" w14:textId="77777777" w:rsidTr="004C7571">
      <w:trPr>
        <w:trHeight w:val="567"/>
      </w:trPr>
      <w:tc>
        <w:tcPr>
          <w:tcW w:w="2969" w:type="pct"/>
          <w:shd w:val="clear" w:color="auto" w:fill="auto"/>
          <w:vAlign w:val="bottom"/>
        </w:tcPr>
        <w:p w14:paraId="7D39AEC7" w14:textId="77777777" w:rsidR="00A6094F" w:rsidRPr="00F769E0" w:rsidRDefault="00A6094F" w:rsidP="00686C70">
          <w:pPr>
            <w:pStyle w:val="Header"/>
            <w:rPr>
              <w:rFonts w:cs="Tahoma"/>
              <w:lang w:val="pl-PL"/>
            </w:rPr>
          </w:pPr>
          <w:hyperlink w:anchor="_bookmark16" w:history="1">
            <w:r>
              <w:t xml:space="preserve"> </w:t>
            </w:r>
            <w:r w:rsidRPr="00686C70">
              <w:t xml:space="preserve">Del B - Šport </w:t>
            </w:r>
          </w:hyperlink>
        </w:p>
      </w:tc>
      <w:tc>
        <w:tcPr>
          <w:tcW w:w="2031" w:type="pct"/>
          <w:shd w:val="clear" w:color="auto" w:fill="auto"/>
          <w:vAlign w:val="bottom"/>
        </w:tcPr>
        <w:p w14:paraId="7D39AEC8"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65" wp14:editId="7D39B066">
                <wp:extent cx="2093343" cy="445248"/>
                <wp:effectExtent l="0" t="0" r="2540" b="0"/>
                <wp:docPr id="2708"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ECB" w14:textId="77777777" w:rsidTr="004C7571">
      <w:trPr>
        <w:trHeight w:val="283"/>
      </w:trPr>
      <w:tc>
        <w:tcPr>
          <w:tcW w:w="5000" w:type="pct"/>
          <w:gridSpan w:val="2"/>
          <w:shd w:val="clear" w:color="auto" w:fill="auto"/>
          <w:vAlign w:val="bottom"/>
        </w:tcPr>
        <w:p w14:paraId="7D39AECA"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03456" behindDoc="0" locked="0" layoutInCell="1" allowOverlap="1" wp14:anchorId="7D39B067" wp14:editId="7D39B068">
                <wp:simplePos x="0" y="0"/>
                <wp:positionH relativeFrom="margin">
                  <wp:align>left</wp:align>
                </wp:positionH>
                <wp:positionV relativeFrom="margin">
                  <wp:align>top</wp:align>
                </wp:positionV>
                <wp:extent cx="5628640" cy="28575"/>
                <wp:effectExtent l="0" t="0" r="0" b="9525"/>
                <wp:wrapSquare wrapText="bothSides"/>
                <wp:docPr id="270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CC" w14:textId="77777777" w:rsidR="00A6094F" w:rsidRPr="00A72FE7" w:rsidRDefault="00A6094F" w:rsidP="004C7571">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6"/>
      <w:gridCol w:w="5378"/>
    </w:tblGrid>
    <w:tr w:rsidR="00A6094F" w:rsidRPr="007E3D6C" w14:paraId="7D39AECF" w14:textId="77777777" w:rsidTr="007E0A28">
      <w:trPr>
        <w:trHeight w:val="567"/>
      </w:trPr>
      <w:tc>
        <w:tcPr>
          <w:tcW w:w="2110" w:type="pct"/>
          <w:shd w:val="clear" w:color="auto" w:fill="auto"/>
          <w:vAlign w:val="bottom"/>
        </w:tcPr>
        <w:p w14:paraId="7D39AECD" w14:textId="77777777" w:rsidR="00A6094F" w:rsidRPr="00B92DD4" w:rsidRDefault="00A6094F" w:rsidP="007E0A28">
          <w:r w:rsidRPr="00237696">
            <w:rPr>
              <w:noProof/>
              <w:lang w:eastAsia="fr-BE"/>
            </w:rPr>
            <w:drawing>
              <wp:inline distT="0" distB="0" distL="0" distR="0" wp14:anchorId="7D39B069" wp14:editId="7D39B06A">
                <wp:extent cx="2093343" cy="445248"/>
                <wp:effectExtent l="0" t="0" r="2540" b="0"/>
                <wp:docPr id="2710"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ECE" w14:textId="77777777" w:rsidR="00A6094F" w:rsidRPr="00F769E0" w:rsidRDefault="00A6094F" w:rsidP="007E0A28">
          <w:pPr>
            <w:pStyle w:val="Header"/>
            <w:jc w:val="left"/>
            <w:rPr>
              <w:rFonts w:cs="Tahoma"/>
            </w:rPr>
          </w:pPr>
          <w:r w:rsidRPr="00F769E0">
            <w:rPr>
              <w:rFonts w:cs="Tahoma"/>
              <w:lang w:val="en-GB"/>
            </w:rPr>
            <w:t>Vodnik za prijavitelje</w:t>
          </w:r>
        </w:p>
      </w:tc>
    </w:tr>
    <w:tr w:rsidR="00A6094F" w:rsidRPr="007E3D6C" w14:paraId="7D39AED1" w14:textId="77777777" w:rsidTr="007E0A28">
      <w:trPr>
        <w:trHeight w:val="283"/>
      </w:trPr>
      <w:tc>
        <w:tcPr>
          <w:tcW w:w="5000" w:type="pct"/>
          <w:gridSpan w:val="2"/>
          <w:shd w:val="clear" w:color="auto" w:fill="auto"/>
          <w:vAlign w:val="bottom"/>
        </w:tcPr>
        <w:p w14:paraId="7D39AED0" w14:textId="77777777" w:rsidR="00A6094F" w:rsidRPr="00F769E0" w:rsidRDefault="00A6094F" w:rsidP="007E0A28">
          <w:pPr>
            <w:pStyle w:val="Header"/>
            <w:rPr>
              <w:rFonts w:cs="Tahoma"/>
              <w:noProof/>
              <w:color w:val="009EC7"/>
            </w:rPr>
          </w:pPr>
          <w:r w:rsidRPr="00F769E0">
            <w:rPr>
              <w:rFonts w:cs="Tahoma"/>
              <w:noProof/>
              <w:lang w:eastAsia="fr-BE"/>
            </w:rPr>
            <w:drawing>
              <wp:anchor distT="0" distB="0" distL="114300" distR="114300" simplePos="0" relativeHeight="251706880" behindDoc="0" locked="0" layoutInCell="1" allowOverlap="1" wp14:anchorId="7D39B06B" wp14:editId="7D39B06C">
                <wp:simplePos x="0" y="0"/>
                <wp:positionH relativeFrom="margin">
                  <wp:align>left</wp:align>
                </wp:positionH>
                <wp:positionV relativeFrom="margin">
                  <wp:align>top</wp:align>
                </wp:positionV>
                <wp:extent cx="5628640" cy="28575"/>
                <wp:effectExtent l="0" t="0" r="0" b="9525"/>
                <wp:wrapSquare wrapText="bothSides"/>
                <wp:docPr id="271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D2" w14:textId="77777777" w:rsidR="00A6094F" w:rsidRPr="007E0A28" w:rsidRDefault="00A6094F" w:rsidP="007E0A28">
    <w:pPr>
      <w:pStyle w:val="Header"/>
      <w:jc w:val="left"/>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ED5" w14:textId="77777777" w:rsidTr="004C7571">
      <w:trPr>
        <w:trHeight w:val="567"/>
      </w:trPr>
      <w:tc>
        <w:tcPr>
          <w:tcW w:w="2969" w:type="pct"/>
          <w:shd w:val="clear" w:color="auto" w:fill="auto"/>
          <w:vAlign w:val="bottom"/>
        </w:tcPr>
        <w:p w14:paraId="7D39AED3" w14:textId="77777777" w:rsidR="00A6094F" w:rsidRPr="00F769E0" w:rsidRDefault="00A6094F" w:rsidP="0063125C">
          <w:pPr>
            <w:pStyle w:val="Header"/>
            <w:rPr>
              <w:rFonts w:cs="Tahoma"/>
              <w:lang w:val="pl-PL"/>
            </w:rPr>
          </w:pPr>
          <w:hyperlink w:anchor="_bookmark16" w:history="1">
            <w:r>
              <w:t xml:space="preserve"> </w:t>
            </w:r>
            <w:r w:rsidRPr="0063125C">
              <w:t>Del B – Partnerska sodelovanja</w:t>
            </w:r>
          </w:hyperlink>
        </w:p>
      </w:tc>
      <w:tc>
        <w:tcPr>
          <w:tcW w:w="2031" w:type="pct"/>
          <w:shd w:val="clear" w:color="auto" w:fill="auto"/>
          <w:vAlign w:val="bottom"/>
        </w:tcPr>
        <w:p w14:paraId="7D39AED4"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6D" wp14:editId="7D39B06E">
                <wp:extent cx="2093343" cy="445248"/>
                <wp:effectExtent l="0" t="0" r="2540" b="0"/>
                <wp:docPr id="2712"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ED7" w14:textId="77777777" w:rsidTr="004C7571">
      <w:trPr>
        <w:trHeight w:val="283"/>
      </w:trPr>
      <w:tc>
        <w:tcPr>
          <w:tcW w:w="5000" w:type="pct"/>
          <w:gridSpan w:val="2"/>
          <w:shd w:val="clear" w:color="auto" w:fill="auto"/>
          <w:vAlign w:val="bottom"/>
        </w:tcPr>
        <w:p w14:paraId="7D39AED6"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727360" behindDoc="0" locked="0" layoutInCell="1" allowOverlap="1" wp14:anchorId="7D39B06F" wp14:editId="7D39B070">
                <wp:simplePos x="0" y="0"/>
                <wp:positionH relativeFrom="margin">
                  <wp:align>left</wp:align>
                </wp:positionH>
                <wp:positionV relativeFrom="margin">
                  <wp:align>top</wp:align>
                </wp:positionV>
                <wp:extent cx="5628640" cy="28575"/>
                <wp:effectExtent l="0" t="0" r="0" b="9525"/>
                <wp:wrapSquare wrapText="bothSides"/>
                <wp:docPr id="271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D8" w14:textId="77777777" w:rsidR="00A6094F" w:rsidRPr="00A72FE7" w:rsidRDefault="00A6094F" w:rsidP="004C7571">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EDB" w14:textId="77777777" w:rsidTr="004C7571">
      <w:trPr>
        <w:trHeight w:val="567"/>
      </w:trPr>
      <w:tc>
        <w:tcPr>
          <w:tcW w:w="2969" w:type="pct"/>
          <w:shd w:val="clear" w:color="auto" w:fill="auto"/>
          <w:vAlign w:val="bottom"/>
        </w:tcPr>
        <w:p w14:paraId="7D39AED9" w14:textId="77777777" w:rsidR="00A6094F" w:rsidRPr="00F769E0" w:rsidRDefault="00A6094F" w:rsidP="00686C70">
          <w:pPr>
            <w:pStyle w:val="Header"/>
            <w:rPr>
              <w:rFonts w:cs="Tahoma"/>
              <w:lang w:val="pl-PL"/>
            </w:rPr>
          </w:pPr>
          <w:hyperlink w:anchor="_bookmark16" w:history="1">
            <w:r>
              <w:t xml:space="preserve"> </w:t>
            </w:r>
            <w:r w:rsidRPr="00686C70">
              <w:t>Del B – Partnerska sodelovanja</w:t>
            </w:r>
          </w:hyperlink>
        </w:p>
      </w:tc>
      <w:tc>
        <w:tcPr>
          <w:tcW w:w="2031" w:type="pct"/>
          <w:shd w:val="clear" w:color="auto" w:fill="auto"/>
          <w:vAlign w:val="bottom"/>
        </w:tcPr>
        <w:p w14:paraId="7D39AEDA"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71" wp14:editId="7D39B072">
                <wp:extent cx="2093343" cy="445248"/>
                <wp:effectExtent l="0" t="0" r="2540" b="0"/>
                <wp:docPr id="2714"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EDD" w14:textId="77777777" w:rsidTr="004C7571">
      <w:trPr>
        <w:trHeight w:val="283"/>
      </w:trPr>
      <w:tc>
        <w:tcPr>
          <w:tcW w:w="5000" w:type="pct"/>
          <w:gridSpan w:val="2"/>
          <w:shd w:val="clear" w:color="auto" w:fill="auto"/>
          <w:vAlign w:val="bottom"/>
        </w:tcPr>
        <w:p w14:paraId="7D39AEDC"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708928" behindDoc="0" locked="0" layoutInCell="1" allowOverlap="1" wp14:anchorId="7D39B073" wp14:editId="7D39B074">
                <wp:simplePos x="0" y="0"/>
                <wp:positionH relativeFrom="margin">
                  <wp:align>left</wp:align>
                </wp:positionH>
                <wp:positionV relativeFrom="margin">
                  <wp:align>top</wp:align>
                </wp:positionV>
                <wp:extent cx="5628640" cy="28575"/>
                <wp:effectExtent l="0" t="0" r="0" b="9525"/>
                <wp:wrapSquare wrapText="bothSides"/>
                <wp:docPr id="2715"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DE" w14:textId="77777777" w:rsidR="00A6094F" w:rsidRPr="00A72FE7" w:rsidRDefault="00A6094F" w:rsidP="004C7571">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EE1" w14:textId="77777777" w:rsidTr="004C7571">
      <w:trPr>
        <w:trHeight w:val="567"/>
      </w:trPr>
      <w:tc>
        <w:tcPr>
          <w:tcW w:w="2969" w:type="pct"/>
          <w:shd w:val="clear" w:color="auto" w:fill="auto"/>
          <w:vAlign w:val="bottom"/>
        </w:tcPr>
        <w:p w14:paraId="7D39AEDF" w14:textId="77777777" w:rsidR="00A6094F" w:rsidRPr="0030441A" w:rsidRDefault="00A6094F" w:rsidP="00564DA5">
          <w:pPr>
            <w:pStyle w:val="Header"/>
            <w:rPr>
              <w:rFonts w:cs="Tahoma"/>
              <w:lang w:val="sv-SE"/>
            </w:rPr>
          </w:pPr>
          <w:hyperlink w:anchor="_bookmark16" w:history="1">
            <w:r w:rsidRPr="00906A9D">
              <w:rPr>
                <w:lang w:val="sv-SE"/>
              </w:rPr>
              <w:t>Del B – Majhna partnerska sodelovanja</w:t>
            </w:r>
          </w:hyperlink>
        </w:p>
      </w:tc>
      <w:tc>
        <w:tcPr>
          <w:tcW w:w="2031" w:type="pct"/>
          <w:shd w:val="clear" w:color="auto" w:fill="auto"/>
          <w:vAlign w:val="bottom"/>
        </w:tcPr>
        <w:p w14:paraId="7D39AEE0"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75" wp14:editId="7D39B076">
                <wp:extent cx="2093343" cy="445248"/>
                <wp:effectExtent l="0" t="0" r="2540" b="0"/>
                <wp:docPr id="2716"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EE3" w14:textId="77777777" w:rsidTr="004C7571">
      <w:trPr>
        <w:trHeight w:val="283"/>
      </w:trPr>
      <w:tc>
        <w:tcPr>
          <w:tcW w:w="5000" w:type="pct"/>
          <w:gridSpan w:val="2"/>
          <w:shd w:val="clear" w:color="auto" w:fill="auto"/>
          <w:vAlign w:val="bottom"/>
        </w:tcPr>
        <w:p w14:paraId="7D39AEE2"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710976" behindDoc="0" locked="0" layoutInCell="1" allowOverlap="1" wp14:anchorId="7D39B077" wp14:editId="7D39B078">
                <wp:simplePos x="0" y="0"/>
                <wp:positionH relativeFrom="margin">
                  <wp:align>left</wp:align>
                </wp:positionH>
                <wp:positionV relativeFrom="margin">
                  <wp:align>top</wp:align>
                </wp:positionV>
                <wp:extent cx="5628640" cy="28575"/>
                <wp:effectExtent l="0" t="0" r="0" b="9525"/>
                <wp:wrapSquare wrapText="bothSides"/>
                <wp:docPr id="2717"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E4" w14:textId="77777777" w:rsidR="00A6094F" w:rsidRPr="00A72FE7" w:rsidRDefault="00A6094F" w:rsidP="004C7571">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EE7" w14:textId="77777777" w:rsidTr="004C7571">
      <w:trPr>
        <w:trHeight w:val="567"/>
      </w:trPr>
      <w:tc>
        <w:tcPr>
          <w:tcW w:w="2969" w:type="pct"/>
          <w:shd w:val="clear" w:color="auto" w:fill="auto"/>
          <w:vAlign w:val="bottom"/>
        </w:tcPr>
        <w:p w14:paraId="7D39AEE5" w14:textId="77777777" w:rsidR="00A6094F" w:rsidRPr="0030441A" w:rsidRDefault="00A6094F" w:rsidP="00564DA5">
          <w:pPr>
            <w:pStyle w:val="Header"/>
            <w:rPr>
              <w:rFonts w:cs="Tahoma"/>
              <w:lang w:val="nb-NO"/>
            </w:rPr>
          </w:pPr>
          <w:r w:rsidRPr="0030441A">
            <w:rPr>
              <w:lang w:val="nb-NO"/>
            </w:rPr>
            <w:t>Del B – Neprofitne evropske športne prireditve</w:t>
          </w:r>
        </w:p>
      </w:tc>
      <w:tc>
        <w:tcPr>
          <w:tcW w:w="2031" w:type="pct"/>
          <w:shd w:val="clear" w:color="auto" w:fill="auto"/>
          <w:vAlign w:val="bottom"/>
        </w:tcPr>
        <w:p w14:paraId="7D39AEE6"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79" wp14:editId="7D39B07A">
                <wp:extent cx="2093343" cy="445248"/>
                <wp:effectExtent l="0" t="0" r="2540" b="0"/>
                <wp:docPr id="2718"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EE9" w14:textId="77777777" w:rsidTr="004C7571">
      <w:trPr>
        <w:trHeight w:val="283"/>
      </w:trPr>
      <w:tc>
        <w:tcPr>
          <w:tcW w:w="5000" w:type="pct"/>
          <w:gridSpan w:val="2"/>
          <w:shd w:val="clear" w:color="auto" w:fill="auto"/>
          <w:vAlign w:val="bottom"/>
        </w:tcPr>
        <w:p w14:paraId="7D39AEE8"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713024" behindDoc="0" locked="0" layoutInCell="1" allowOverlap="1" wp14:anchorId="7D39B07B" wp14:editId="7D39B07C">
                <wp:simplePos x="0" y="0"/>
                <wp:positionH relativeFrom="margin">
                  <wp:align>left</wp:align>
                </wp:positionH>
                <wp:positionV relativeFrom="margin">
                  <wp:align>top</wp:align>
                </wp:positionV>
                <wp:extent cx="5628640" cy="28575"/>
                <wp:effectExtent l="0" t="0" r="0" b="9525"/>
                <wp:wrapSquare wrapText="bothSides"/>
                <wp:docPr id="271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EA" w14:textId="77777777" w:rsidR="00A6094F" w:rsidRPr="00A72FE7" w:rsidRDefault="00A6094F" w:rsidP="004C7571">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6"/>
      <w:gridCol w:w="5378"/>
    </w:tblGrid>
    <w:tr w:rsidR="00A6094F" w:rsidRPr="007E3D6C" w14:paraId="7D39AEED" w14:textId="77777777" w:rsidTr="007E0A28">
      <w:trPr>
        <w:trHeight w:val="567"/>
      </w:trPr>
      <w:tc>
        <w:tcPr>
          <w:tcW w:w="2110" w:type="pct"/>
          <w:shd w:val="clear" w:color="auto" w:fill="auto"/>
          <w:vAlign w:val="bottom"/>
        </w:tcPr>
        <w:p w14:paraId="7D39AEEB" w14:textId="77777777" w:rsidR="00A6094F" w:rsidRPr="00B92DD4" w:rsidRDefault="00A6094F" w:rsidP="007E0A28">
          <w:r w:rsidRPr="00237696">
            <w:rPr>
              <w:noProof/>
              <w:lang w:eastAsia="fr-BE"/>
            </w:rPr>
            <w:drawing>
              <wp:inline distT="0" distB="0" distL="0" distR="0" wp14:anchorId="7D39B07D" wp14:editId="7D39B07E">
                <wp:extent cx="2093343" cy="445248"/>
                <wp:effectExtent l="0" t="0" r="2540" b="0"/>
                <wp:docPr id="2720"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EEC" w14:textId="77777777" w:rsidR="00A6094F" w:rsidRPr="00F769E0" w:rsidRDefault="00A6094F" w:rsidP="007E0A28">
          <w:pPr>
            <w:pStyle w:val="Header"/>
            <w:jc w:val="left"/>
            <w:rPr>
              <w:rFonts w:cs="Tahoma"/>
            </w:rPr>
          </w:pPr>
          <w:r w:rsidRPr="00F769E0">
            <w:rPr>
              <w:rFonts w:cs="Tahoma"/>
              <w:lang w:val="en-GB"/>
            </w:rPr>
            <w:t>Vodnik za prijavitelje</w:t>
          </w:r>
        </w:p>
      </w:tc>
    </w:tr>
    <w:tr w:rsidR="00A6094F" w:rsidRPr="007E3D6C" w14:paraId="7D39AEEF" w14:textId="77777777" w:rsidTr="007E0A28">
      <w:trPr>
        <w:trHeight w:val="283"/>
      </w:trPr>
      <w:tc>
        <w:tcPr>
          <w:tcW w:w="5000" w:type="pct"/>
          <w:gridSpan w:val="2"/>
          <w:shd w:val="clear" w:color="auto" w:fill="auto"/>
          <w:vAlign w:val="bottom"/>
        </w:tcPr>
        <w:p w14:paraId="7D39AEEE" w14:textId="77777777" w:rsidR="00A6094F" w:rsidRPr="00F769E0" w:rsidRDefault="00A6094F" w:rsidP="007E0A28">
          <w:pPr>
            <w:pStyle w:val="Header"/>
            <w:rPr>
              <w:rFonts w:cs="Tahoma"/>
              <w:noProof/>
              <w:color w:val="009EC7"/>
            </w:rPr>
          </w:pPr>
          <w:r w:rsidRPr="00F769E0">
            <w:rPr>
              <w:rFonts w:cs="Tahoma"/>
              <w:noProof/>
              <w:lang w:eastAsia="fr-BE"/>
            </w:rPr>
            <w:drawing>
              <wp:anchor distT="0" distB="0" distL="114300" distR="114300" simplePos="0" relativeHeight="251715072" behindDoc="0" locked="0" layoutInCell="1" allowOverlap="1" wp14:anchorId="7D39B07F" wp14:editId="7D39B080">
                <wp:simplePos x="0" y="0"/>
                <wp:positionH relativeFrom="margin">
                  <wp:align>left</wp:align>
                </wp:positionH>
                <wp:positionV relativeFrom="margin">
                  <wp:align>top</wp:align>
                </wp:positionV>
                <wp:extent cx="5628640" cy="28575"/>
                <wp:effectExtent l="0" t="0" r="0" b="9525"/>
                <wp:wrapSquare wrapText="bothSides"/>
                <wp:docPr id="272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F0" w14:textId="77777777" w:rsidR="00A6094F" w:rsidRPr="007E0A28" w:rsidRDefault="00A6094F" w:rsidP="007E0A28">
    <w:pPr>
      <w:pStyle w:val="Header"/>
      <w:jc w:val="left"/>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EF3" w14:textId="77777777" w:rsidTr="004C7571">
      <w:trPr>
        <w:trHeight w:val="567"/>
      </w:trPr>
      <w:tc>
        <w:tcPr>
          <w:tcW w:w="2969" w:type="pct"/>
          <w:shd w:val="clear" w:color="auto" w:fill="auto"/>
          <w:vAlign w:val="bottom"/>
        </w:tcPr>
        <w:p w14:paraId="7D39AEF1" w14:textId="77777777" w:rsidR="00A6094F" w:rsidRPr="00F769E0" w:rsidRDefault="00A6094F" w:rsidP="00D2612E">
          <w:pPr>
            <w:pStyle w:val="Header"/>
            <w:rPr>
              <w:rFonts w:cs="Tahoma"/>
              <w:lang w:val="pl-PL"/>
            </w:rPr>
          </w:pPr>
          <w:r w:rsidRPr="0030441A">
            <w:rPr>
              <w:lang w:val="pl-PL"/>
            </w:rPr>
            <w:t xml:space="preserve">Del C - </w:t>
          </w:r>
          <w:r w:rsidRPr="004E0501">
            <w:rPr>
              <w:lang w:val="pl-PL"/>
            </w:rPr>
            <w:t>Kaj je treba storiti za oddajo prijave za Erasmus+ ?</w:t>
          </w:r>
        </w:p>
      </w:tc>
      <w:tc>
        <w:tcPr>
          <w:tcW w:w="2031" w:type="pct"/>
          <w:shd w:val="clear" w:color="auto" w:fill="auto"/>
          <w:vAlign w:val="bottom"/>
        </w:tcPr>
        <w:p w14:paraId="7D39AEF2"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81" wp14:editId="7D39B082">
                <wp:extent cx="2093343" cy="445248"/>
                <wp:effectExtent l="0" t="0" r="2540" b="0"/>
                <wp:docPr id="2722"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EF5" w14:textId="77777777" w:rsidTr="004C7571">
      <w:trPr>
        <w:trHeight w:val="283"/>
      </w:trPr>
      <w:tc>
        <w:tcPr>
          <w:tcW w:w="5000" w:type="pct"/>
          <w:gridSpan w:val="2"/>
          <w:shd w:val="clear" w:color="auto" w:fill="auto"/>
          <w:vAlign w:val="bottom"/>
        </w:tcPr>
        <w:p w14:paraId="7D39AEF4"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05504" behindDoc="0" locked="0" layoutInCell="1" allowOverlap="1" wp14:anchorId="7D39B083" wp14:editId="7D39B084">
                <wp:simplePos x="0" y="0"/>
                <wp:positionH relativeFrom="margin">
                  <wp:align>left</wp:align>
                </wp:positionH>
                <wp:positionV relativeFrom="margin">
                  <wp:align>top</wp:align>
                </wp:positionV>
                <wp:extent cx="5628640" cy="28575"/>
                <wp:effectExtent l="0" t="0" r="0" b="9525"/>
                <wp:wrapSquare wrapText="bothSides"/>
                <wp:docPr id="272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F6" w14:textId="77777777" w:rsidR="00A6094F" w:rsidRPr="00A72FE7" w:rsidRDefault="00A6094F" w:rsidP="004C7571">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EF9" w14:textId="77777777" w:rsidTr="004C7571">
      <w:trPr>
        <w:trHeight w:val="567"/>
      </w:trPr>
      <w:tc>
        <w:tcPr>
          <w:tcW w:w="2969" w:type="pct"/>
          <w:shd w:val="clear" w:color="auto" w:fill="auto"/>
          <w:vAlign w:val="bottom"/>
        </w:tcPr>
        <w:p w14:paraId="7D39AEF7" w14:textId="77777777" w:rsidR="00A6094F" w:rsidRPr="00F769E0" w:rsidRDefault="00A6094F" w:rsidP="00D2612E">
          <w:pPr>
            <w:pStyle w:val="Header"/>
            <w:rPr>
              <w:rFonts w:cs="Tahoma"/>
              <w:lang w:val="pl-PL"/>
            </w:rPr>
          </w:pPr>
          <w:r w:rsidRPr="0030441A">
            <w:rPr>
              <w:lang w:val="pl-PL"/>
            </w:rPr>
            <w:t>Del C – Kaj se zgodi, ko je prijava poslana</w:t>
          </w:r>
        </w:p>
      </w:tc>
      <w:tc>
        <w:tcPr>
          <w:tcW w:w="2031" w:type="pct"/>
          <w:shd w:val="clear" w:color="auto" w:fill="auto"/>
          <w:vAlign w:val="bottom"/>
        </w:tcPr>
        <w:p w14:paraId="7D39AEF8"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85" wp14:editId="7D39B086">
                <wp:extent cx="2093343" cy="445248"/>
                <wp:effectExtent l="0" t="0" r="2540" b="0"/>
                <wp:docPr id="2724"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EFB" w14:textId="77777777" w:rsidTr="004C7571">
      <w:trPr>
        <w:trHeight w:val="283"/>
      </w:trPr>
      <w:tc>
        <w:tcPr>
          <w:tcW w:w="5000" w:type="pct"/>
          <w:gridSpan w:val="2"/>
          <w:shd w:val="clear" w:color="auto" w:fill="auto"/>
          <w:vAlign w:val="bottom"/>
        </w:tcPr>
        <w:p w14:paraId="7D39AEFA"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719168" behindDoc="0" locked="0" layoutInCell="1" allowOverlap="1" wp14:anchorId="7D39B087" wp14:editId="7D39B088">
                <wp:simplePos x="0" y="0"/>
                <wp:positionH relativeFrom="margin">
                  <wp:align>left</wp:align>
                </wp:positionH>
                <wp:positionV relativeFrom="margin">
                  <wp:align>top</wp:align>
                </wp:positionV>
                <wp:extent cx="5628640" cy="28575"/>
                <wp:effectExtent l="0" t="0" r="0" b="9525"/>
                <wp:wrapSquare wrapText="bothSides"/>
                <wp:docPr id="2725"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EFC" w14:textId="77777777" w:rsidR="00A6094F" w:rsidRPr="00A72FE7" w:rsidRDefault="00A6094F" w:rsidP="004C7571">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EFF" w14:textId="77777777" w:rsidTr="004C7571">
      <w:trPr>
        <w:trHeight w:val="567"/>
      </w:trPr>
      <w:tc>
        <w:tcPr>
          <w:tcW w:w="2969" w:type="pct"/>
          <w:shd w:val="clear" w:color="auto" w:fill="auto"/>
          <w:vAlign w:val="bottom"/>
        </w:tcPr>
        <w:p w14:paraId="7D39AEFD" w14:textId="77777777" w:rsidR="00A6094F" w:rsidRPr="00B4677D" w:rsidRDefault="00A6094F" w:rsidP="00D2612E">
          <w:pPr>
            <w:pStyle w:val="Header"/>
            <w:rPr>
              <w:rFonts w:cs="Tahoma"/>
              <w:lang w:val="it-IT"/>
            </w:rPr>
          </w:pPr>
          <w:r w:rsidRPr="00B4677D">
            <w:rPr>
              <w:lang w:val="it-IT"/>
            </w:rPr>
            <w:t>Del C - Kaj sledi po odobritvi vloge?</w:t>
          </w:r>
        </w:p>
      </w:tc>
      <w:tc>
        <w:tcPr>
          <w:tcW w:w="2031" w:type="pct"/>
          <w:shd w:val="clear" w:color="auto" w:fill="auto"/>
          <w:vAlign w:val="bottom"/>
        </w:tcPr>
        <w:p w14:paraId="7D39AEFE"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89" wp14:editId="7D39B08A">
                <wp:extent cx="2093343" cy="445248"/>
                <wp:effectExtent l="0" t="0" r="2540" b="0"/>
                <wp:docPr id="2726"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F01" w14:textId="77777777" w:rsidTr="004C7571">
      <w:trPr>
        <w:trHeight w:val="283"/>
      </w:trPr>
      <w:tc>
        <w:tcPr>
          <w:tcW w:w="5000" w:type="pct"/>
          <w:gridSpan w:val="2"/>
          <w:shd w:val="clear" w:color="auto" w:fill="auto"/>
          <w:vAlign w:val="bottom"/>
        </w:tcPr>
        <w:p w14:paraId="7D39AF00"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717120" behindDoc="0" locked="0" layoutInCell="1" allowOverlap="1" wp14:anchorId="7D39B08B" wp14:editId="7D39B08C">
                <wp:simplePos x="0" y="0"/>
                <wp:positionH relativeFrom="margin">
                  <wp:align>left</wp:align>
                </wp:positionH>
                <wp:positionV relativeFrom="margin">
                  <wp:align>top</wp:align>
                </wp:positionV>
                <wp:extent cx="5628640" cy="28575"/>
                <wp:effectExtent l="0" t="0" r="0" b="9525"/>
                <wp:wrapSquare wrapText="bothSides"/>
                <wp:docPr id="2727"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02" w14:textId="77777777" w:rsidR="00A6094F" w:rsidRPr="00A72FE7" w:rsidRDefault="00A6094F" w:rsidP="004C75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D8B" w14:textId="77777777" w:rsidTr="004C7571">
      <w:trPr>
        <w:trHeight w:val="567"/>
      </w:trPr>
      <w:tc>
        <w:tcPr>
          <w:tcW w:w="2969" w:type="pct"/>
          <w:shd w:val="clear" w:color="auto" w:fill="auto"/>
          <w:vAlign w:val="bottom"/>
        </w:tcPr>
        <w:p w14:paraId="7D39AD89" w14:textId="77777777" w:rsidR="00A6094F" w:rsidRPr="00595BA4" w:rsidRDefault="00A6094F" w:rsidP="00EB49E5">
          <w:pPr>
            <w:pStyle w:val="Header"/>
            <w:rPr>
              <w:rFonts w:cs="Tahoma"/>
              <w:lang w:val="it-IT"/>
            </w:rPr>
          </w:pPr>
          <w:r w:rsidRPr="00BC44AF">
            <w:rPr>
              <w:rFonts w:cs="Tahoma"/>
              <w:lang w:val="it-IT"/>
            </w:rPr>
            <w:t>Del A – Kakšni so cilji in pomembne značilnosti programa Erasmus+?</w:t>
          </w:r>
        </w:p>
      </w:tc>
      <w:tc>
        <w:tcPr>
          <w:tcW w:w="2031" w:type="pct"/>
          <w:shd w:val="clear" w:color="auto" w:fill="auto"/>
          <w:vAlign w:val="bottom"/>
        </w:tcPr>
        <w:p w14:paraId="7D39AD8A"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AF91" wp14:editId="7D39AF92">
                <wp:extent cx="2093343" cy="445248"/>
                <wp:effectExtent l="0" t="0" r="2540" b="0"/>
                <wp:docPr id="2604"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D8D" w14:textId="77777777" w:rsidTr="004C7571">
      <w:trPr>
        <w:trHeight w:val="283"/>
      </w:trPr>
      <w:tc>
        <w:tcPr>
          <w:tcW w:w="5000" w:type="pct"/>
          <w:gridSpan w:val="2"/>
          <w:shd w:val="clear" w:color="auto" w:fill="auto"/>
          <w:vAlign w:val="bottom"/>
        </w:tcPr>
        <w:p w14:paraId="7D39AD8C"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589120" behindDoc="0" locked="0" layoutInCell="1" allowOverlap="1" wp14:anchorId="7D39AF93" wp14:editId="7D39AF94">
                <wp:simplePos x="0" y="0"/>
                <wp:positionH relativeFrom="margin">
                  <wp:align>left</wp:align>
                </wp:positionH>
                <wp:positionV relativeFrom="margin">
                  <wp:align>top</wp:align>
                </wp:positionV>
                <wp:extent cx="5628640" cy="28575"/>
                <wp:effectExtent l="0" t="0" r="0" b="9525"/>
                <wp:wrapSquare wrapText="bothSides"/>
                <wp:docPr id="2605"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D8E" w14:textId="77777777" w:rsidR="00A6094F" w:rsidRPr="00A72FE7" w:rsidRDefault="00A6094F" w:rsidP="004C7571">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F05" w14:textId="77777777" w:rsidTr="004C7571">
      <w:trPr>
        <w:trHeight w:val="567"/>
      </w:trPr>
      <w:tc>
        <w:tcPr>
          <w:tcW w:w="2969" w:type="pct"/>
          <w:shd w:val="clear" w:color="auto" w:fill="auto"/>
          <w:vAlign w:val="bottom"/>
        </w:tcPr>
        <w:p w14:paraId="7D39AF03" w14:textId="77777777" w:rsidR="00A6094F" w:rsidRPr="00B4677D" w:rsidRDefault="00A6094F" w:rsidP="00D2612E">
          <w:pPr>
            <w:pStyle w:val="Header"/>
            <w:rPr>
              <w:rFonts w:cs="Tahoma"/>
              <w:lang w:val="it-IT"/>
            </w:rPr>
          </w:pPr>
          <w:r w:rsidRPr="00B4677D">
            <w:rPr>
              <w:lang w:val="it-IT"/>
            </w:rPr>
            <w:t>Del C – Druge pomembne pogodbene določbe</w:t>
          </w:r>
        </w:p>
      </w:tc>
      <w:tc>
        <w:tcPr>
          <w:tcW w:w="2031" w:type="pct"/>
          <w:shd w:val="clear" w:color="auto" w:fill="auto"/>
          <w:vAlign w:val="bottom"/>
        </w:tcPr>
        <w:p w14:paraId="7D39AF04"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8D" wp14:editId="7D39B08E">
                <wp:extent cx="2093343" cy="445248"/>
                <wp:effectExtent l="0" t="0" r="2540" b="0"/>
                <wp:docPr id="2728"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F07" w14:textId="77777777" w:rsidTr="004C7571">
      <w:trPr>
        <w:trHeight w:val="283"/>
      </w:trPr>
      <w:tc>
        <w:tcPr>
          <w:tcW w:w="5000" w:type="pct"/>
          <w:gridSpan w:val="2"/>
          <w:shd w:val="clear" w:color="auto" w:fill="auto"/>
          <w:vAlign w:val="bottom"/>
        </w:tcPr>
        <w:p w14:paraId="7D39AF06"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07552" behindDoc="0" locked="0" layoutInCell="1" allowOverlap="1" wp14:anchorId="7D39B08F" wp14:editId="7D39B090">
                <wp:simplePos x="0" y="0"/>
                <wp:positionH relativeFrom="margin">
                  <wp:align>left</wp:align>
                </wp:positionH>
                <wp:positionV relativeFrom="margin">
                  <wp:align>top</wp:align>
                </wp:positionV>
                <wp:extent cx="5628640" cy="28575"/>
                <wp:effectExtent l="0" t="0" r="0" b="9525"/>
                <wp:wrapSquare wrapText="bothSides"/>
                <wp:docPr id="272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08" w14:textId="77777777" w:rsidR="00A6094F" w:rsidRPr="00A72FE7" w:rsidRDefault="00A6094F" w:rsidP="004C7571">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F0B" w14:textId="77777777" w:rsidTr="004C7571">
      <w:trPr>
        <w:trHeight w:val="567"/>
      </w:trPr>
      <w:tc>
        <w:tcPr>
          <w:tcW w:w="2969" w:type="pct"/>
          <w:shd w:val="clear" w:color="auto" w:fill="auto"/>
          <w:vAlign w:val="bottom"/>
        </w:tcPr>
        <w:p w14:paraId="7D39AF09" w14:textId="77777777" w:rsidR="00A6094F" w:rsidRPr="00B4677D" w:rsidRDefault="00A6094F" w:rsidP="00DF5E25">
          <w:pPr>
            <w:pStyle w:val="Header"/>
            <w:rPr>
              <w:rFonts w:cs="Tahoma"/>
              <w:lang w:val="it-IT"/>
            </w:rPr>
          </w:pPr>
          <w:r w:rsidRPr="00B4677D">
            <w:rPr>
              <w:lang w:val="it-IT"/>
            </w:rPr>
            <w:t>Priloga I – Posebna pravila in informacije</w:t>
          </w:r>
        </w:p>
      </w:tc>
      <w:tc>
        <w:tcPr>
          <w:tcW w:w="2031" w:type="pct"/>
          <w:shd w:val="clear" w:color="auto" w:fill="auto"/>
          <w:vAlign w:val="bottom"/>
        </w:tcPr>
        <w:p w14:paraId="7D39AF0A"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91" wp14:editId="7D39B092">
                <wp:extent cx="2093343" cy="445248"/>
                <wp:effectExtent l="0" t="0" r="2540" b="0"/>
                <wp:docPr id="2730"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F0D" w14:textId="77777777" w:rsidTr="004C7571">
      <w:trPr>
        <w:trHeight w:val="283"/>
      </w:trPr>
      <w:tc>
        <w:tcPr>
          <w:tcW w:w="5000" w:type="pct"/>
          <w:gridSpan w:val="2"/>
          <w:shd w:val="clear" w:color="auto" w:fill="auto"/>
          <w:vAlign w:val="bottom"/>
        </w:tcPr>
        <w:p w14:paraId="7D39AF0C"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08576" behindDoc="0" locked="0" layoutInCell="1" allowOverlap="1" wp14:anchorId="7D39B093" wp14:editId="7D39B094">
                <wp:simplePos x="0" y="0"/>
                <wp:positionH relativeFrom="margin">
                  <wp:align>left</wp:align>
                </wp:positionH>
                <wp:positionV relativeFrom="margin">
                  <wp:align>top</wp:align>
                </wp:positionV>
                <wp:extent cx="5628640" cy="28575"/>
                <wp:effectExtent l="0" t="0" r="0" b="9525"/>
                <wp:wrapSquare wrapText="bothSides"/>
                <wp:docPr id="273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0E" w14:textId="77777777" w:rsidR="00A6094F" w:rsidRPr="00A72FE7" w:rsidRDefault="00A6094F" w:rsidP="004C7571">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6"/>
      <w:gridCol w:w="5378"/>
    </w:tblGrid>
    <w:tr w:rsidR="00A6094F" w:rsidRPr="007E3D6C" w14:paraId="7D39AF11" w14:textId="77777777" w:rsidTr="007E0A28">
      <w:trPr>
        <w:trHeight w:val="567"/>
      </w:trPr>
      <w:tc>
        <w:tcPr>
          <w:tcW w:w="2110" w:type="pct"/>
          <w:shd w:val="clear" w:color="auto" w:fill="auto"/>
          <w:vAlign w:val="bottom"/>
        </w:tcPr>
        <w:p w14:paraId="7D39AF0F" w14:textId="77777777" w:rsidR="00A6094F" w:rsidRPr="00B92DD4" w:rsidRDefault="00A6094F" w:rsidP="007E0A28">
          <w:r w:rsidRPr="00237696">
            <w:rPr>
              <w:noProof/>
              <w:lang w:eastAsia="fr-BE"/>
            </w:rPr>
            <w:drawing>
              <wp:inline distT="0" distB="0" distL="0" distR="0" wp14:anchorId="7D39B095" wp14:editId="7D39B096">
                <wp:extent cx="2093343" cy="445248"/>
                <wp:effectExtent l="0" t="0" r="2540" b="0"/>
                <wp:docPr id="2732"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F10" w14:textId="77777777" w:rsidR="00A6094F" w:rsidRPr="00F769E0" w:rsidRDefault="00A6094F" w:rsidP="007E0A28">
          <w:pPr>
            <w:pStyle w:val="Header"/>
            <w:jc w:val="left"/>
            <w:rPr>
              <w:rFonts w:cs="Tahoma"/>
            </w:rPr>
          </w:pPr>
          <w:r w:rsidRPr="00F769E0">
            <w:rPr>
              <w:rFonts w:cs="Tahoma"/>
              <w:lang w:val="en-GB"/>
            </w:rPr>
            <w:t>Vodnik za prijavitelje</w:t>
          </w:r>
        </w:p>
      </w:tc>
    </w:tr>
    <w:tr w:rsidR="00A6094F" w:rsidRPr="007E3D6C" w14:paraId="7D39AF13" w14:textId="77777777" w:rsidTr="007E0A28">
      <w:trPr>
        <w:trHeight w:val="283"/>
      </w:trPr>
      <w:tc>
        <w:tcPr>
          <w:tcW w:w="5000" w:type="pct"/>
          <w:gridSpan w:val="2"/>
          <w:shd w:val="clear" w:color="auto" w:fill="auto"/>
          <w:vAlign w:val="bottom"/>
        </w:tcPr>
        <w:p w14:paraId="7D39AF12" w14:textId="77777777" w:rsidR="00A6094F" w:rsidRPr="00F769E0" w:rsidRDefault="00A6094F" w:rsidP="007E0A28">
          <w:pPr>
            <w:pStyle w:val="Header"/>
            <w:rPr>
              <w:rFonts w:cs="Tahoma"/>
              <w:noProof/>
              <w:color w:val="009EC7"/>
            </w:rPr>
          </w:pPr>
          <w:r w:rsidRPr="00F769E0">
            <w:rPr>
              <w:rFonts w:cs="Tahoma"/>
              <w:noProof/>
              <w:lang w:eastAsia="fr-BE"/>
            </w:rPr>
            <w:drawing>
              <wp:anchor distT="0" distB="0" distL="114300" distR="114300" simplePos="0" relativeHeight="251720192" behindDoc="0" locked="0" layoutInCell="1" allowOverlap="1" wp14:anchorId="7D39B097" wp14:editId="7D39B098">
                <wp:simplePos x="0" y="0"/>
                <wp:positionH relativeFrom="margin">
                  <wp:align>left</wp:align>
                </wp:positionH>
                <wp:positionV relativeFrom="margin">
                  <wp:align>top</wp:align>
                </wp:positionV>
                <wp:extent cx="5628640" cy="28575"/>
                <wp:effectExtent l="0" t="0" r="0" b="9525"/>
                <wp:wrapSquare wrapText="bothSides"/>
                <wp:docPr id="273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14" w14:textId="77777777" w:rsidR="00A6094F" w:rsidRPr="007E0A28" w:rsidRDefault="00A6094F" w:rsidP="007E0A28">
    <w:pPr>
      <w:pStyle w:val="Header"/>
      <w:jc w:val="left"/>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F17" w14:textId="77777777" w:rsidTr="004C7571">
      <w:trPr>
        <w:trHeight w:val="567"/>
      </w:trPr>
      <w:tc>
        <w:tcPr>
          <w:tcW w:w="2969" w:type="pct"/>
          <w:shd w:val="clear" w:color="auto" w:fill="auto"/>
          <w:vAlign w:val="bottom"/>
        </w:tcPr>
        <w:p w14:paraId="7D39AF15" w14:textId="77777777" w:rsidR="00A6094F" w:rsidRPr="00B4677D" w:rsidRDefault="00A6094F" w:rsidP="00DF5E25">
          <w:pPr>
            <w:pStyle w:val="Header"/>
            <w:rPr>
              <w:rFonts w:cs="Tahoma"/>
              <w:lang w:val="it-IT"/>
            </w:rPr>
          </w:pPr>
          <w:r>
            <w:rPr>
              <w:lang w:val="it-IT"/>
            </w:rPr>
            <w:t>Priloga I – P</w:t>
          </w:r>
          <w:r w:rsidRPr="003E4F19">
            <w:rPr>
              <w:lang w:val="it-IT"/>
            </w:rPr>
            <w:t>rojekt mobilnosti za študente in osebj</w:t>
          </w:r>
          <w:r>
            <w:rPr>
              <w:lang w:val="it-IT"/>
            </w:rPr>
            <w:t>e v visokošolskem izobraževanju</w:t>
          </w:r>
        </w:p>
      </w:tc>
      <w:tc>
        <w:tcPr>
          <w:tcW w:w="2031" w:type="pct"/>
          <w:shd w:val="clear" w:color="auto" w:fill="auto"/>
          <w:vAlign w:val="bottom"/>
        </w:tcPr>
        <w:p w14:paraId="7D39AF16"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99" wp14:editId="7D39B09A">
                <wp:extent cx="2093343" cy="445248"/>
                <wp:effectExtent l="0" t="0" r="2540" b="0"/>
                <wp:docPr id="2734"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F19" w14:textId="77777777" w:rsidTr="004C7571">
      <w:trPr>
        <w:trHeight w:val="283"/>
      </w:trPr>
      <w:tc>
        <w:tcPr>
          <w:tcW w:w="5000" w:type="pct"/>
          <w:gridSpan w:val="2"/>
          <w:shd w:val="clear" w:color="auto" w:fill="auto"/>
          <w:vAlign w:val="bottom"/>
        </w:tcPr>
        <w:p w14:paraId="7D39AF18"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721216" behindDoc="0" locked="0" layoutInCell="1" allowOverlap="1" wp14:anchorId="7D39B09B" wp14:editId="7D39B09C">
                <wp:simplePos x="0" y="0"/>
                <wp:positionH relativeFrom="margin">
                  <wp:align>left</wp:align>
                </wp:positionH>
                <wp:positionV relativeFrom="margin">
                  <wp:align>top</wp:align>
                </wp:positionV>
                <wp:extent cx="5628640" cy="28575"/>
                <wp:effectExtent l="0" t="0" r="0" b="9525"/>
                <wp:wrapSquare wrapText="bothSides"/>
                <wp:docPr id="2735"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1A" w14:textId="77777777" w:rsidR="00A6094F" w:rsidRPr="00A72FE7" w:rsidRDefault="00A6094F" w:rsidP="004C7571">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2"/>
      <w:gridCol w:w="5373"/>
    </w:tblGrid>
    <w:tr w:rsidR="00A6094F" w:rsidRPr="00962E3F" w14:paraId="7D39AF1D" w14:textId="77777777" w:rsidTr="007034E9">
      <w:trPr>
        <w:trHeight w:val="567"/>
      </w:trPr>
      <w:tc>
        <w:tcPr>
          <w:tcW w:w="2110" w:type="pct"/>
          <w:shd w:val="clear" w:color="auto" w:fill="auto"/>
          <w:vAlign w:val="bottom"/>
        </w:tcPr>
        <w:p w14:paraId="7D39AF1B" w14:textId="77777777" w:rsidR="00A6094F" w:rsidRPr="00B92DD4" w:rsidRDefault="00A6094F" w:rsidP="007034E9">
          <w:r w:rsidRPr="00237696">
            <w:rPr>
              <w:noProof/>
              <w:lang w:eastAsia="fr-BE"/>
            </w:rPr>
            <w:drawing>
              <wp:inline distT="0" distB="0" distL="0" distR="0" wp14:anchorId="7D39B09D" wp14:editId="7D39B09E">
                <wp:extent cx="2093343" cy="445248"/>
                <wp:effectExtent l="0" t="0" r="2540" b="0"/>
                <wp:docPr id="2736"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F1C" w14:textId="77777777" w:rsidR="00A6094F" w:rsidRPr="00F769E0" w:rsidRDefault="00A6094F" w:rsidP="007034E9">
          <w:pPr>
            <w:pStyle w:val="Header"/>
            <w:jc w:val="left"/>
            <w:rPr>
              <w:rFonts w:cs="Tahoma"/>
            </w:rPr>
          </w:pPr>
          <w:r w:rsidRPr="00F769E0">
            <w:rPr>
              <w:rFonts w:cs="Tahoma"/>
              <w:lang w:val="en-GB"/>
            </w:rPr>
            <w:t>Vodnik za prijavitelje</w:t>
          </w:r>
        </w:p>
      </w:tc>
    </w:tr>
    <w:tr w:rsidR="00A6094F" w:rsidRPr="00B92DD4" w14:paraId="7D39AF1F" w14:textId="77777777" w:rsidTr="007034E9">
      <w:trPr>
        <w:trHeight w:val="283"/>
      </w:trPr>
      <w:tc>
        <w:tcPr>
          <w:tcW w:w="5000" w:type="pct"/>
          <w:gridSpan w:val="2"/>
          <w:shd w:val="clear" w:color="auto" w:fill="auto"/>
          <w:vAlign w:val="bottom"/>
        </w:tcPr>
        <w:p w14:paraId="7D39AF1E" w14:textId="77777777" w:rsidR="00A6094F" w:rsidRPr="00F769E0" w:rsidRDefault="00A6094F" w:rsidP="007034E9">
          <w:pPr>
            <w:pStyle w:val="Header"/>
            <w:rPr>
              <w:rFonts w:cs="Tahoma"/>
              <w:noProof/>
              <w:color w:val="009EC7"/>
            </w:rPr>
          </w:pPr>
          <w:r w:rsidRPr="00F769E0">
            <w:rPr>
              <w:rFonts w:cs="Tahoma"/>
              <w:noProof/>
              <w:lang w:eastAsia="fr-BE"/>
            </w:rPr>
            <w:drawing>
              <wp:anchor distT="0" distB="0" distL="114300" distR="114300" simplePos="0" relativeHeight="251623936" behindDoc="0" locked="0" layoutInCell="1" allowOverlap="1" wp14:anchorId="7D39B09F" wp14:editId="7D39B0A0">
                <wp:simplePos x="0" y="0"/>
                <wp:positionH relativeFrom="margin">
                  <wp:align>left</wp:align>
                </wp:positionH>
                <wp:positionV relativeFrom="margin">
                  <wp:align>top</wp:align>
                </wp:positionV>
                <wp:extent cx="5628640" cy="28575"/>
                <wp:effectExtent l="0" t="0" r="0" b="9525"/>
                <wp:wrapSquare wrapText="bothSides"/>
                <wp:docPr id="2737"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20" w14:textId="77777777" w:rsidR="00A6094F" w:rsidRDefault="00A6094F">
    <w:pPr>
      <w:pStyle w:val="BodyText"/>
      <w:spacing w:line="14" w:lineRule="auto"/>
      <w:rPr>
        <w:sz w:val="20"/>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19"/>
      <w:gridCol w:w="3776"/>
    </w:tblGrid>
    <w:tr w:rsidR="00A6094F" w:rsidRPr="00962E3F" w14:paraId="7D39AF23" w14:textId="77777777" w:rsidTr="007034E9">
      <w:trPr>
        <w:trHeight w:val="567"/>
      </w:trPr>
      <w:tc>
        <w:tcPr>
          <w:tcW w:w="2969" w:type="pct"/>
          <w:shd w:val="clear" w:color="auto" w:fill="auto"/>
          <w:vAlign w:val="bottom"/>
        </w:tcPr>
        <w:p w14:paraId="7D39AF21" w14:textId="77777777" w:rsidR="00A6094F" w:rsidRPr="00217849" w:rsidRDefault="00A6094F" w:rsidP="007034E9">
          <w:pPr>
            <w:pStyle w:val="Header"/>
            <w:rPr>
              <w:rFonts w:cs="Tahoma"/>
              <w:lang w:val="sv-SE"/>
            </w:rPr>
          </w:pPr>
          <w:r w:rsidRPr="00217849">
            <w:rPr>
              <w:lang w:val="sv-SE"/>
            </w:rPr>
            <w:t xml:space="preserve">Priloga I – Projekt mobilnosti za dijake in osebje v poklicnem </w:t>
          </w:r>
          <w:r w:rsidRPr="00217849">
            <w:rPr>
              <w:lang w:val="sv-SE"/>
            </w:rPr>
            <w:br/>
            <w:t>izobraževanju in usposabljanju</w:t>
          </w:r>
        </w:p>
      </w:tc>
      <w:tc>
        <w:tcPr>
          <w:tcW w:w="2031" w:type="pct"/>
          <w:shd w:val="clear" w:color="auto" w:fill="auto"/>
          <w:vAlign w:val="bottom"/>
        </w:tcPr>
        <w:p w14:paraId="7D39AF22" w14:textId="77777777" w:rsidR="00A6094F" w:rsidRPr="00F769E0" w:rsidRDefault="00A6094F" w:rsidP="007034E9">
          <w:pPr>
            <w:pStyle w:val="Header"/>
            <w:rPr>
              <w:rFonts w:cs="Tahoma"/>
            </w:rPr>
          </w:pPr>
          <w:r w:rsidRPr="00F769E0">
            <w:rPr>
              <w:rFonts w:cs="Tahoma"/>
              <w:noProof/>
              <w:lang w:eastAsia="fr-BE"/>
            </w:rPr>
            <w:drawing>
              <wp:inline distT="0" distB="0" distL="0" distR="0" wp14:anchorId="7D39B0A1" wp14:editId="7D39B0A2">
                <wp:extent cx="2093343" cy="445248"/>
                <wp:effectExtent l="0" t="0" r="2540" b="0"/>
                <wp:docPr id="2738"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B92DD4" w14:paraId="7D39AF25" w14:textId="77777777" w:rsidTr="007034E9">
      <w:trPr>
        <w:trHeight w:val="283"/>
      </w:trPr>
      <w:tc>
        <w:tcPr>
          <w:tcW w:w="5000" w:type="pct"/>
          <w:gridSpan w:val="2"/>
          <w:shd w:val="clear" w:color="auto" w:fill="auto"/>
          <w:vAlign w:val="bottom"/>
        </w:tcPr>
        <w:p w14:paraId="7D39AF24" w14:textId="77777777" w:rsidR="00A6094F" w:rsidRPr="00F769E0" w:rsidRDefault="00A6094F" w:rsidP="007034E9">
          <w:pPr>
            <w:pStyle w:val="Header"/>
            <w:rPr>
              <w:rFonts w:cs="Tahoma"/>
              <w:noProof/>
              <w:color w:val="009EC7"/>
            </w:rPr>
          </w:pPr>
          <w:r w:rsidRPr="00F769E0">
            <w:rPr>
              <w:rFonts w:cs="Tahoma"/>
              <w:noProof/>
              <w:lang w:eastAsia="fr-BE"/>
            </w:rPr>
            <w:drawing>
              <wp:anchor distT="0" distB="0" distL="114300" distR="114300" simplePos="0" relativeHeight="251629056" behindDoc="0" locked="0" layoutInCell="1" allowOverlap="1" wp14:anchorId="7D39B0A3" wp14:editId="7D39B0A4">
                <wp:simplePos x="0" y="0"/>
                <wp:positionH relativeFrom="margin">
                  <wp:align>left</wp:align>
                </wp:positionH>
                <wp:positionV relativeFrom="margin">
                  <wp:align>top</wp:align>
                </wp:positionV>
                <wp:extent cx="5628640" cy="28575"/>
                <wp:effectExtent l="0" t="0" r="0" b="9525"/>
                <wp:wrapSquare wrapText="bothSides"/>
                <wp:docPr id="273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26" w14:textId="77777777" w:rsidR="00A6094F" w:rsidRDefault="00A6094F">
    <w:pPr>
      <w:pStyle w:val="BodyText"/>
      <w:spacing w:line="14" w:lineRule="auto"/>
      <w:rPr>
        <w:sz w:val="20"/>
      </w:rP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19"/>
      <w:gridCol w:w="3776"/>
    </w:tblGrid>
    <w:tr w:rsidR="00A6094F" w:rsidRPr="00962E3F" w14:paraId="7D39AF29" w14:textId="77777777" w:rsidTr="007034E9">
      <w:trPr>
        <w:trHeight w:val="567"/>
      </w:trPr>
      <w:tc>
        <w:tcPr>
          <w:tcW w:w="2969" w:type="pct"/>
          <w:shd w:val="clear" w:color="auto" w:fill="auto"/>
          <w:vAlign w:val="bottom"/>
        </w:tcPr>
        <w:p w14:paraId="7D39AF27" w14:textId="77777777" w:rsidR="00A6094F" w:rsidRPr="003E4F19" w:rsidRDefault="00A6094F" w:rsidP="007034E9">
          <w:pPr>
            <w:pStyle w:val="Header"/>
            <w:rPr>
              <w:rFonts w:cs="Tahoma"/>
              <w:lang w:val="it-IT"/>
            </w:rPr>
          </w:pPr>
          <w:r w:rsidRPr="003E4F19">
            <w:rPr>
              <w:lang w:val="it-IT"/>
            </w:rPr>
            <w:t xml:space="preserve">Priloga I – </w:t>
          </w:r>
          <w:r w:rsidRPr="00ED1E3E">
            <w:rPr>
              <w:lang w:val="it-IT"/>
            </w:rPr>
            <w:t>Projekt mobilnosti za šolsko osebje</w:t>
          </w:r>
        </w:p>
      </w:tc>
      <w:tc>
        <w:tcPr>
          <w:tcW w:w="2031" w:type="pct"/>
          <w:shd w:val="clear" w:color="auto" w:fill="auto"/>
          <w:vAlign w:val="bottom"/>
        </w:tcPr>
        <w:p w14:paraId="7D39AF28" w14:textId="77777777" w:rsidR="00A6094F" w:rsidRPr="00F769E0" w:rsidRDefault="00A6094F" w:rsidP="007034E9">
          <w:pPr>
            <w:pStyle w:val="Header"/>
            <w:rPr>
              <w:rFonts w:cs="Tahoma"/>
            </w:rPr>
          </w:pPr>
          <w:r w:rsidRPr="00F769E0">
            <w:rPr>
              <w:rFonts w:cs="Tahoma"/>
              <w:noProof/>
              <w:lang w:eastAsia="fr-BE"/>
            </w:rPr>
            <w:drawing>
              <wp:inline distT="0" distB="0" distL="0" distR="0" wp14:anchorId="7D39B0A5" wp14:editId="7D39B0A6">
                <wp:extent cx="2093343" cy="445248"/>
                <wp:effectExtent l="0" t="0" r="2540" b="0"/>
                <wp:docPr id="2740"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B92DD4" w14:paraId="7D39AF2B" w14:textId="77777777" w:rsidTr="007034E9">
      <w:trPr>
        <w:trHeight w:val="283"/>
      </w:trPr>
      <w:tc>
        <w:tcPr>
          <w:tcW w:w="5000" w:type="pct"/>
          <w:gridSpan w:val="2"/>
          <w:shd w:val="clear" w:color="auto" w:fill="auto"/>
          <w:vAlign w:val="bottom"/>
        </w:tcPr>
        <w:p w14:paraId="7D39AF2A" w14:textId="77777777" w:rsidR="00A6094F" w:rsidRPr="00F769E0" w:rsidRDefault="00A6094F" w:rsidP="007034E9">
          <w:pPr>
            <w:pStyle w:val="Header"/>
            <w:rPr>
              <w:rFonts w:cs="Tahoma"/>
              <w:noProof/>
              <w:color w:val="009EC7"/>
            </w:rPr>
          </w:pPr>
          <w:r w:rsidRPr="00F769E0">
            <w:rPr>
              <w:rFonts w:cs="Tahoma"/>
              <w:noProof/>
              <w:lang w:eastAsia="fr-BE"/>
            </w:rPr>
            <w:drawing>
              <wp:anchor distT="0" distB="0" distL="114300" distR="114300" simplePos="0" relativeHeight="251732480" behindDoc="0" locked="0" layoutInCell="1" allowOverlap="1" wp14:anchorId="7D39B0A7" wp14:editId="7D39B0A8">
                <wp:simplePos x="0" y="0"/>
                <wp:positionH relativeFrom="margin">
                  <wp:align>left</wp:align>
                </wp:positionH>
                <wp:positionV relativeFrom="margin">
                  <wp:align>top</wp:align>
                </wp:positionV>
                <wp:extent cx="5628640" cy="28575"/>
                <wp:effectExtent l="0" t="0" r="0" b="9525"/>
                <wp:wrapSquare wrapText="bothSides"/>
                <wp:docPr id="274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2C" w14:textId="77777777" w:rsidR="00A6094F" w:rsidRDefault="00A6094F">
    <w:pPr>
      <w:pStyle w:val="BodyText"/>
      <w:spacing w:line="14" w:lineRule="auto"/>
      <w:rPr>
        <w:sz w:val="20"/>
      </w:rP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2"/>
      <w:gridCol w:w="5373"/>
    </w:tblGrid>
    <w:tr w:rsidR="00A6094F" w:rsidRPr="00962E3F" w14:paraId="7D39AF2F" w14:textId="77777777" w:rsidTr="007034E9">
      <w:trPr>
        <w:trHeight w:val="567"/>
      </w:trPr>
      <w:tc>
        <w:tcPr>
          <w:tcW w:w="2110" w:type="pct"/>
          <w:shd w:val="clear" w:color="auto" w:fill="auto"/>
          <w:vAlign w:val="bottom"/>
        </w:tcPr>
        <w:p w14:paraId="7D39AF2D" w14:textId="77777777" w:rsidR="00A6094F" w:rsidRPr="00B92DD4" w:rsidRDefault="00A6094F" w:rsidP="007034E9">
          <w:r w:rsidRPr="00237696">
            <w:rPr>
              <w:noProof/>
              <w:lang w:eastAsia="fr-BE"/>
            </w:rPr>
            <w:drawing>
              <wp:inline distT="0" distB="0" distL="0" distR="0" wp14:anchorId="7D39B0A9" wp14:editId="7D39B0AA">
                <wp:extent cx="2093343" cy="445248"/>
                <wp:effectExtent l="0" t="0" r="2540" b="0"/>
                <wp:docPr id="2742"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F2E" w14:textId="77777777" w:rsidR="00A6094F" w:rsidRPr="00F769E0" w:rsidRDefault="00A6094F" w:rsidP="007034E9">
          <w:pPr>
            <w:pStyle w:val="Header"/>
            <w:jc w:val="left"/>
            <w:rPr>
              <w:rFonts w:cs="Tahoma"/>
            </w:rPr>
          </w:pPr>
          <w:r w:rsidRPr="00F769E0">
            <w:rPr>
              <w:rFonts w:cs="Tahoma"/>
              <w:lang w:val="en-GB"/>
            </w:rPr>
            <w:t>Vodnik za prijavitelje</w:t>
          </w:r>
        </w:p>
      </w:tc>
    </w:tr>
    <w:tr w:rsidR="00A6094F" w:rsidRPr="00B92DD4" w14:paraId="7D39AF31" w14:textId="77777777" w:rsidTr="007034E9">
      <w:trPr>
        <w:trHeight w:val="283"/>
      </w:trPr>
      <w:tc>
        <w:tcPr>
          <w:tcW w:w="5000" w:type="pct"/>
          <w:gridSpan w:val="2"/>
          <w:shd w:val="clear" w:color="auto" w:fill="auto"/>
          <w:vAlign w:val="bottom"/>
        </w:tcPr>
        <w:p w14:paraId="7D39AF30" w14:textId="77777777" w:rsidR="00A6094F" w:rsidRPr="00F769E0" w:rsidRDefault="00A6094F" w:rsidP="007034E9">
          <w:pPr>
            <w:pStyle w:val="Header"/>
            <w:rPr>
              <w:rFonts w:cs="Tahoma"/>
              <w:noProof/>
              <w:color w:val="009EC7"/>
            </w:rPr>
          </w:pPr>
          <w:r w:rsidRPr="00F769E0">
            <w:rPr>
              <w:rFonts w:cs="Tahoma"/>
              <w:noProof/>
              <w:lang w:eastAsia="fr-BE"/>
            </w:rPr>
            <w:drawing>
              <wp:anchor distT="0" distB="0" distL="114300" distR="114300" simplePos="0" relativeHeight="251722240" behindDoc="0" locked="0" layoutInCell="1" allowOverlap="1" wp14:anchorId="7D39B0AB" wp14:editId="7D39B0AC">
                <wp:simplePos x="0" y="0"/>
                <wp:positionH relativeFrom="margin">
                  <wp:align>left</wp:align>
                </wp:positionH>
                <wp:positionV relativeFrom="margin">
                  <wp:align>top</wp:align>
                </wp:positionV>
                <wp:extent cx="5628640" cy="28575"/>
                <wp:effectExtent l="0" t="0" r="0" b="9525"/>
                <wp:wrapSquare wrapText="bothSides"/>
                <wp:docPr id="274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32" w14:textId="77777777" w:rsidR="00A6094F" w:rsidRDefault="00A6094F">
    <w:pPr>
      <w:pStyle w:val="BodyText"/>
      <w:spacing w:line="14" w:lineRule="auto"/>
      <w:rPr>
        <w:sz w:val="20"/>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19"/>
      <w:gridCol w:w="3776"/>
    </w:tblGrid>
    <w:tr w:rsidR="00A6094F" w:rsidRPr="00962E3F" w14:paraId="7D39AF35" w14:textId="77777777" w:rsidTr="007034E9">
      <w:trPr>
        <w:trHeight w:val="567"/>
      </w:trPr>
      <w:tc>
        <w:tcPr>
          <w:tcW w:w="2969" w:type="pct"/>
          <w:shd w:val="clear" w:color="auto" w:fill="auto"/>
          <w:vAlign w:val="bottom"/>
        </w:tcPr>
        <w:p w14:paraId="7D39AF33" w14:textId="77777777" w:rsidR="00A6094F" w:rsidRPr="003E4F19" w:rsidRDefault="00A6094F" w:rsidP="007034E9">
          <w:pPr>
            <w:pStyle w:val="Header"/>
            <w:rPr>
              <w:rFonts w:cs="Tahoma"/>
              <w:lang w:val="it-IT"/>
            </w:rPr>
          </w:pPr>
          <w:r w:rsidRPr="003E4F19">
            <w:rPr>
              <w:lang w:val="it-IT"/>
            </w:rPr>
            <w:t>Priloga I - Projekt mobilnosti za osebje v izobraževanju odraslih</w:t>
          </w:r>
        </w:p>
      </w:tc>
      <w:tc>
        <w:tcPr>
          <w:tcW w:w="2031" w:type="pct"/>
          <w:shd w:val="clear" w:color="auto" w:fill="auto"/>
          <w:vAlign w:val="bottom"/>
        </w:tcPr>
        <w:p w14:paraId="7D39AF34" w14:textId="77777777" w:rsidR="00A6094F" w:rsidRPr="00F769E0" w:rsidRDefault="00A6094F" w:rsidP="007034E9">
          <w:pPr>
            <w:pStyle w:val="Header"/>
            <w:rPr>
              <w:rFonts w:cs="Tahoma"/>
            </w:rPr>
          </w:pPr>
          <w:r w:rsidRPr="00F769E0">
            <w:rPr>
              <w:rFonts w:cs="Tahoma"/>
              <w:noProof/>
              <w:lang w:eastAsia="fr-BE"/>
            </w:rPr>
            <w:drawing>
              <wp:inline distT="0" distB="0" distL="0" distR="0" wp14:anchorId="7D39B0AD" wp14:editId="7D39B0AE">
                <wp:extent cx="2093343" cy="445248"/>
                <wp:effectExtent l="0" t="0" r="2540" b="0"/>
                <wp:docPr id="2744"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B92DD4" w14:paraId="7D39AF37" w14:textId="77777777" w:rsidTr="007034E9">
      <w:trPr>
        <w:trHeight w:val="283"/>
      </w:trPr>
      <w:tc>
        <w:tcPr>
          <w:tcW w:w="5000" w:type="pct"/>
          <w:gridSpan w:val="2"/>
          <w:shd w:val="clear" w:color="auto" w:fill="auto"/>
          <w:vAlign w:val="bottom"/>
        </w:tcPr>
        <w:p w14:paraId="7D39AF36" w14:textId="77777777" w:rsidR="00A6094F" w:rsidRPr="00F769E0" w:rsidRDefault="00A6094F" w:rsidP="007034E9">
          <w:pPr>
            <w:pStyle w:val="Header"/>
            <w:rPr>
              <w:rFonts w:cs="Tahoma"/>
              <w:noProof/>
              <w:color w:val="009EC7"/>
            </w:rPr>
          </w:pPr>
          <w:r w:rsidRPr="00F769E0">
            <w:rPr>
              <w:rFonts w:cs="Tahoma"/>
              <w:noProof/>
              <w:lang w:eastAsia="fr-BE"/>
            </w:rPr>
            <w:drawing>
              <wp:anchor distT="0" distB="0" distL="114300" distR="114300" simplePos="0" relativeHeight="251723264" behindDoc="0" locked="0" layoutInCell="1" allowOverlap="1" wp14:anchorId="7D39B0AF" wp14:editId="7D39B0B0">
                <wp:simplePos x="0" y="0"/>
                <wp:positionH relativeFrom="margin">
                  <wp:align>left</wp:align>
                </wp:positionH>
                <wp:positionV relativeFrom="margin">
                  <wp:align>top</wp:align>
                </wp:positionV>
                <wp:extent cx="5628640" cy="28575"/>
                <wp:effectExtent l="0" t="0" r="0" b="9525"/>
                <wp:wrapSquare wrapText="bothSides"/>
                <wp:docPr id="2745"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38" w14:textId="77777777" w:rsidR="00A6094F" w:rsidRDefault="00A6094F">
    <w:pPr>
      <w:pStyle w:val="BodyText"/>
      <w:spacing w:line="14" w:lineRule="auto"/>
      <w:rPr>
        <w:sz w:val="20"/>
      </w:rP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2"/>
      <w:gridCol w:w="5373"/>
    </w:tblGrid>
    <w:tr w:rsidR="00A6094F" w:rsidRPr="00962E3F" w14:paraId="7D39AF3B" w14:textId="77777777" w:rsidTr="007034E9">
      <w:trPr>
        <w:trHeight w:val="567"/>
      </w:trPr>
      <w:tc>
        <w:tcPr>
          <w:tcW w:w="2110" w:type="pct"/>
          <w:shd w:val="clear" w:color="auto" w:fill="auto"/>
          <w:vAlign w:val="bottom"/>
        </w:tcPr>
        <w:p w14:paraId="7D39AF39" w14:textId="77777777" w:rsidR="00A6094F" w:rsidRPr="00B92DD4" w:rsidRDefault="00A6094F" w:rsidP="007034E9">
          <w:r w:rsidRPr="00237696">
            <w:rPr>
              <w:noProof/>
              <w:lang w:eastAsia="fr-BE"/>
            </w:rPr>
            <w:drawing>
              <wp:inline distT="0" distB="0" distL="0" distR="0" wp14:anchorId="7D39B0B1" wp14:editId="7D39B0B2">
                <wp:extent cx="2093343" cy="445248"/>
                <wp:effectExtent l="0" t="0" r="2540" b="0"/>
                <wp:docPr id="2746"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F3A" w14:textId="77777777" w:rsidR="00A6094F" w:rsidRPr="00F769E0" w:rsidRDefault="00A6094F" w:rsidP="007034E9">
          <w:pPr>
            <w:pStyle w:val="Header"/>
            <w:jc w:val="left"/>
            <w:rPr>
              <w:rFonts w:cs="Tahoma"/>
            </w:rPr>
          </w:pPr>
          <w:r w:rsidRPr="00F769E0">
            <w:rPr>
              <w:rFonts w:cs="Tahoma"/>
              <w:lang w:val="en-GB"/>
            </w:rPr>
            <w:t>Vodnik za prijavitelje</w:t>
          </w:r>
        </w:p>
      </w:tc>
    </w:tr>
    <w:tr w:rsidR="00A6094F" w:rsidRPr="00B92DD4" w14:paraId="7D39AF3D" w14:textId="77777777" w:rsidTr="007034E9">
      <w:trPr>
        <w:trHeight w:val="283"/>
      </w:trPr>
      <w:tc>
        <w:tcPr>
          <w:tcW w:w="5000" w:type="pct"/>
          <w:gridSpan w:val="2"/>
          <w:shd w:val="clear" w:color="auto" w:fill="auto"/>
          <w:vAlign w:val="bottom"/>
        </w:tcPr>
        <w:p w14:paraId="7D39AF3C" w14:textId="77777777" w:rsidR="00A6094F" w:rsidRPr="00F769E0" w:rsidRDefault="00A6094F" w:rsidP="007034E9">
          <w:pPr>
            <w:pStyle w:val="Header"/>
            <w:rPr>
              <w:rFonts w:cs="Tahoma"/>
              <w:noProof/>
              <w:color w:val="009EC7"/>
            </w:rPr>
          </w:pPr>
          <w:r w:rsidRPr="00F769E0">
            <w:rPr>
              <w:rFonts w:cs="Tahoma"/>
              <w:noProof/>
              <w:lang w:eastAsia="fr-BE"/>
            </w:rPr>
            <w:drawing>
              <wp:anchor distT="0" distB="0" distL="114300" distR="114300" simplePos="0" relativeHeight="251724288" behindDoc="0" locked="0" layoutInCell="1" allowOverlap="1" wp14:anchorId="7D39B0B3" wp14:editId="7D39B0B4">
                <wp:simplePos x="0" y="0"/>
                <wp:positionH relativeFrom="margin">
                  <wp:align>left</wp:align>
                </wp:positionH>
                <wp:positionV relativeFrom="margin">
                  <wp:align>top</wp:align>
                </wp:positionV>
                <wp:extent cx="5628640" cy="28575"/>
                <wp:effectExtent l="0" t="0" r="0" b="9525"/>
                <wp:wrapSquare wrapText="bothSides"/>
                <wp:docPr id="2747"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3E" w14:textId="77777777" w:rsidR="00A6094F" w:rsidRDefault="00A6094F">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D91" w14:textId="77777777" w:rsidTr="004C7571">
      <w:trPr>
        <w:trHeight w:val="567"/>
      </w:trPr>
      <w:tc>
        <w:tcPr>
          <w:tcW w:w="2969" w:type="pct"/>
          <w:shd w:val="clear" w:color="auto" w:fill="auto"/>
          <w:vAlign w:val="bottom"/>
        </w:tcPr>
        <w:p w14:paraId="7D39AD8F" w14:textId="77777777" w:rsidR="00A6094F" w:rsidRPr="00595BA4" w:rsidRDefault="00A6094F" w:rsidP="00EB49E5">
          <w:pPr>
            <w:pStyle w:val="Header"/>
            <w:rPr>
              <w:rFonts w:cs="Tahoma"/>
              <w:lang w:val="it-IT"/>
            </w:rPr>
          </w:pPr>
          <w:r w:rsidRPr="0028323B">
            <w:rPr>
              <w:rFonts w:cs="Tahoma"/>
              <w:lang w:val="it-IT"/>
            </w:rPr>
            <w:t xml:space="preserve">Del A – </w:t>
          </w:r>
          <w:r w:rsidRPr="00C1426B">
            <w:rPr>
              <w:rFonts w:cs="Tahoma"/>
              <w:lang w:val="it-IT"/>
            </w:rPr>
            <w:t>Kakšni so cilji in pomembne značilnosti programa Erasmus+?</w:t>
          </w:r>
        </w:p>
      </w:tc>
      <w:tc>
        <w:tcPr>
          <w:tcW w:w="2031" w:type="pct"/>
          <w:shd w:val="clear" w:color="auto" w:fill="auto"/>
          <w:vAlign w:val="bottom"/>
        </w:tcPr>
        <w:p w14:paraId="7D39AD90"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AF95" wp14:editId="7D39AF96">
                <wp:extent cx="2093343" cy="445248"/>
                <wp:effectExtent l="0" t="0" r="2540" b="0"/>
                <wp:docPr id="2606"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D93" w14:textId="77777777" w:rsidTr="004C7571">
      <w:trPr>
        <w:trHeight w:val="283"/>
      </w:trPr>
      <w:tc>
        <w:tcPr>
          <w:tcW w:w="5000" w:type="pct"/>
          <w:gridSpan w:val="2"/>
          <w:shd w:val="clear" w:color="auto" w:fill="auto"/>
          <w:vAlign w:val="bottom"/>
        </w:tcPr>
        <w:p w14:paraId="7D39AD92"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31104" behindDoc="0" locked="0" layoutInCell="1" allowOverlap="1" wp14:anchorId="7D39AF97" wp14:editId="7D39AF98">
                <wp:simplePos x="0" y="0"/>
                <wp:positionH relativeFrom="margin">
                  <wp:align>left</wp:align>
                </wp:positionH>
                <wp:positionV relativeFrom="margin">
                  <wp:align>top</wp:align>
                </wp:positionV>
                <wp:extent cx="5628640" cy="28575"/>
                <wp:effectExtent l="0" t="0" r="0" b="9525"/>
                <wp:wrapSquare wrapText="bothSides"/>
                <wp:docPr id="2607"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D94" w14:textId="77777777" w:rsidR="00A6094F" w:rsidRPr="00A72FE7" w:rsidRDefault="00A6094F" w:rsidP="004C7571">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19"/>
      <w:gridCol w:w="3776"/>
    </w:tblGrid>
    <w:tr w:rsidR="00A6094F" w:rsidRPr="007E3D6C" w14:paraId="7D39AF41" w14:textId="77777777" w:rsidTr="004C7571">
      <w:trPr>
        <w:trHeight w:val="567"/>
      </w:trPr>
      <w:tc>
        <w:tcPr>
          <w:tcW w:w="2969" w:type="pct"/>
          <w:shd w:val="clear" w:color="auto" w:fill="auto"/>
          <w:vAlign w:val="bottom"/>
        </w:tcPr>
        <w:p w14:paraId="7D39AF3F" w14:textId="77777777" w:rsidR="00A6094F" w:rsidRPr="00F769E0" w:rsidRDefault="00A6094F" w:rsidP="00DF0678">
          <w:pPr>
            <w:pStyle w:val="Header"/>
            <w:rPr>
              <w:rFonts w:cs="Tahoma"/>
            </w:rPr>
          </w:pPr>
          <w:hyperlink w:anchor="_bookmark72" w:history="1">
            <w:r w:rsidRPr="00F769E0">
              <w:rPr>
                <w:rFonts w:cs="Tahoma"/>
                <w:w w:val="110"/>
              </w:rPr>
              <w:t>PRILOGA</w:t>
            </w:r>
          </w:hyperlink>
          <w:r w:rsidRPr="00F769E0">
            <w:rPr>
              <w:rFonts w:cs="Tahoma"/>
              <w:w w:val="110"/>
            </w:rPr>
            <w:t xml:space="preserve"> I</w:t>
          </w:r>
        </w:p>
      </w:tc>
      <w:tc>
        <w:tcPr>
          <w:tcW w:w="2031" w:type="pct"/>
          <w:shd w:val="clear" w:color="auto" w:fill="auto"/>
          <w:vAlign w:val="bottom"/>
        </w:tcPr>
        <w:p w14:paraId="7D39AF40"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B5" wp14:editId="7D39B0B6">
                <wp:extent cx="2093343" cy="445248"/>
                <wp:effectExtent l="0" t="0" r="2540" b="0"/>
                <wp:docPr id="2748"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F43" w14:textId="77777777" w:rsidTr="004C7571">
      <w:trPr>
        <w:trHeight w:val="283"/>
      </w:trPr>
      <w:tc>
        <w:tcPr>
          <w:tcW w:w="5000" w:type="pct"/>
          <w:gridSpan w:val="2"/>
          <w:shd w:val="clear" w:color="auto" w:fill="auto"/>
          <w:vAlign w:val="bottom"/>
        </w:tcPr>
        <w:p w14:paraId="7D39AF42"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09600" behindDoc="0" locked="0" layoutInCell="1" allowOverlap="1" wp14:anchorId="7D39B0B7" wp14:editId="7D39B0B8">
                <wp:simplePos x="0" y="0"/>
                <wp:positionH relativeFrom="margin">
                  <wp:align>left</wp:align>
                </wp:positionH>
                <wp:positionV relativeFrom="margin">
                  <wp:align>top</wp:align>
                </wp:positionV>
                <wp:extent cx="5628640" cy="28575"/>
                <wp:effectExtent l="0" t="0" r="0" b="9525"/>
                <wp:wrapSquare wrapText="bothSides"/>
                <wp:docPr id="274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44" w14:textId="77777777" w:rsidR="00A6094F" w:rsidRPr="00A72FE7" w:rsidRDefault="00A6094F" w:rsidP="004C7571">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19"/>
      <w:gridCol w:w="3776"/>
    </w:tblGrid>
    <w:tr w:rsidR="00A6094F" w:rsidRPr="007E3D6C" w14:paraId="7D39AF47" w14:textId="77777777" w:rsidTr="004C7571">
      <w:trPr>
        <w:trHeight w:val="567"/>
      </w:trPr>
      <w:tc>
        <w:tcPr>
          <w:tcW w:w="2969" w:type="pct"/>
          <w:shd w:val="clear" w:color="auto" w:fill="auto"/>
          <w:vAlign w:val="bottom"/>
        </w:tcPr>
        <w:p w14:paraId="7D39AF45" w14:textId="77777777" w:rsidR="00A6094F" w:rsidRPr="00906A9D" w:rsidRDefault="00A6094F" w:rsidP="00DF0678">
          <w:pPr>
            <w:pStyle w:val="Header"/>
            <w:rPr>
              <w:rFonts w:cs="Tahoma"/>
              <w:lang w:val="sv-SE"/>
            </w:rPr>
          </w:pPr>
          <w:r>
            <w:rPr>
              <w:lang w:val="sv-SE"/>
            </w:rPr>
            <w:t>Priloga I – P</w:t>
          </w:r>
          <w:r w:rsidRPr="00906A9D">
            <w:rPr>
              <w:lang w:val="sv-SE"/>
            </w:rPr>
            <w:t>rojekt mobilnosti za mlade in mladinske delavce</w:t>
          </w:r>
        </w:p>
      </w:tc>
      <w:tc>
        <w:tcPr>
          <w:tcW w:w="2031" w:type="pct"/>
          <w:shd w:val="clear" w:color="auto" w:fill="auto"/>
          <w:vAlign w:val="bottom"/>
        </w:tcPr>
        <w:p w14:paraId="7D39AF46"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B9" wp14:editId="7D39B0BA">
                <wp:extent cx="2093343" cy="445248"/>
                <wp:effectExtent l="0" t="0" r="2540" b="0"/>
                <wp:docPr id="2750"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F49" w14:textId="77777777" w:rsidTr="004C7571">
      <w:trPr>
        <w:trHeight w:val="283"/>
      </w:trPr>
      <w:tc>
        <w:tcPr>
          <w:tcW w:w="5000" w:type="pct"/>
          <w:gridSpan w:val="2"/>
          <w:shd w:val="clear" w:color="auto" w:fill="auto"/>
          <w:vAlign w:val="bottom"/>
        </w:tcPr>
        <w:p w14:paraId="7D39AF48"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725312" behindDoc="0" locked="0" layoutInCell="1" allowOverlap="1" wp14:anchorId="7D39B0BB" wp14:editId="7D39B0BC">
                <wp:simplePos x="0" y="0"/>
                <wp:positionH relativeFrom="margin">
                  <wp:align>left</wp:align>
                </wp:positionH>
                <wp:positionV relativeFrom="margin">
                  <wp:align>top</wp:align>
                </wp:positionV>
                <wp:extent cx="5628640" cy="28575"/>
                <wp:effectExtent l="0" t="0" r="0" b="9525"/>
                <wp:wrapSquare wrapText="bothSides"/>
                <wp:docPr id="275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4A" w14:textId="77777777" w:rsidR="00A6094F" w:rsidRPr="00A72FE7" w:rsidRDefault="00A6094F" w:rsidP="004C7571">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F4D" w14:textId="77777777" w:rsidTr="004C7571">
      <w:trPr>
        <w:trHeight w:val="567"/>
      </w:trPr>
      <w:tc>
        <w:tcPr>
          <w:tcW w:w="2969" w:type="pct"/>
          <w:shd w:val="clear" w:color="auto" w:fill="auto"/>
          <w:vAlign w:val="bottom"/>
        </w:tcPr>
        <w:p w14:paraId="7D39AF4B" w14:textId="77777777" w:rsidR="00A6094F" w:rsidRPr="00C12526" w:rsidRDefault="00A6094F" w:rsidP="00A56070">
          <w:pPr>
            <w:pStyle w:val="Header"/>
            <w:rPr>
              <w:rFonts w:cs="Tahoma"/>
              <w:lang w:val="it-IT"/>
            </w:rPr>
          </w:pPr>
          <w:r>
            <w:rPr>
              <w:lang w:val="it-IT"/>
            </w:rPr>
            <w:t>Priloga I – S</w:t>
          </w:r>
          <w:r w:rsidRPr="00C12526">
            <w:rPr>
              <w:lang w:val="it-IT"/>
            </w:rPr>
            <w:t>kupni magistrski študij Erasmus Mundus</w:t>
          </w:r>
        </w:p>
      </w:tc>
      <w:tc>
        <w:tcPr>
          <w:tcW w:w="2031" w:type="pct"/>
          <w:shd w:val="clear" w:color="auto" w:fill="auto"/>
          <w:vAlign w:val="bottom"/>
        </w:tcPr>
        <w:p w14:paraId="7D39AF4C"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BD" wp14:editId="7D39B0BE">
                <wp:extent cx="2093343" cy="445248"/>
                <wp:effectExtent l="0" t="0" r="2540" b="0"/>
                <wp:docPr id="2752"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F4F" w14:textId="77777777" w:rsidTr="004C7571">
      <w:trPr>
        <w:trHeight w:val="283"/>
      </w:trPr>
      <w:tc>
        <w:tcPr>
          <w:tcW w:w="5000" w:type="pct"/>
          <w:gridSpan w:val="2"/>
          <w:shd w:val="clear" w:color="auto" w:fill="auto"/>
          <w:vAlign w:val="bottom"/>
        </w:tcPr>
        <w:p w14:paraId="7D39AF4E"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10624" behindDoc="0" locked="0" layoutInCell="1" allowOverlap="1" wp14:anchorId="7D39B0BF" wp14:editId="7D39B0C0">
                <wp:simplePos x="0" y="0"/>
                <wp:positionH relativeFrom="margin">
                  <wp:align>left</wp:align>
                </wp:positionH>
                <wp:positionV relativeFrom="margin">
                  <wp:align>top</wp:align>
                </wp:positionV>
                <wp:extent cx="5628640" cy="28575"/>
                <wp:effectExtent l="0" t="0" r="0" b="9525"/>
                <wp:wrapSquare wrapText="bothSides"/>
                <wp:docPr id="275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50" w14:textId="77777777" w:rsidR="00A6094F" w:rsidRPr="00A72FE7" w:rsidRDefault="00A6094F" w:rsidP="004C7571">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6"/>
      <w:gridCol w:w="5378"/>
    </w:tblGrid>
    <w:tr w:rsidR="00A6094F" w:rsidRPr="00962E3F" w14:paraId="7D39AF53" w14:textId="77777777" w:rsidTr="007034E9">
      <w:trPr>
        <w:trHeight w:val="567"/>
      </w:trPr>
      <w:tc>
        <w:tcPr>
          <w:tcW w:w="2110" w:type="pct"/>
          <w:shd w:val="clear" w:color="auto" w:fill="auto"/>
          <w:vAlign w:val="bottom"/>
        </w:tcPr>
        <w:p w14:paraId="7D39AF51" w14:textId="77777777" w:rsidR="00A6094F" w:rsidRPr="00B92DD4" w:rsidRDefault="00A6094F" w:rsidP="007034E9">
          <w:r w:rsidRPr="00237696">
            <w:rPr>
              <w:noProof/>
              <w:lang w:eastAsia="fr-BE"/>
            </w:rPr>
            <w:drawing>
              <wp:inline distT="0" distB="0" distL="0" distR="0" wp14:anchorId="7D39B0C1" wp14:editId="7D39B0C2">
                <wp:extent cx="2093343" cy="445248"/>
                <wp:effectExtent l="0" t="0" r="2540" b="0"/>
                <wp:docPr id="1972"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F52" w14:textId="77777777" w:rsidR="00A6094F" w:rsidRPr="00F769E0" w:rsidRDefault="00A6094F" w:rsidP="007034E9">
          <w:pPr>
            <w:pStyle w:val="Header"/>
            <w:jc w:val="left"/>
            <w:rPr>
              <w:rFonts w:cs="Tahoma"/>
            </w:rPr>
          </w:pPr>
          <w:r w:rsidRPr="00F769E0">
            <w:rPr>
              <w:rFonts w:cs="Tahoma"/>
              <w:lang w:val="en-GB"/>
            </w:rPr>
            <w:t>Vodnik za prijavitelje</w:t>
          </w:r>
        </w:p>
      </w:tc>
    </w:tr>
    <w:tr w:rsidR="00A6094F" w:rsidRPr="00B92DD4" w14:paraId="7D39AF55" w14:textId="77777777" w:rsidTr="007034E9">
      <w:trPr>
        <w:trHeight w:val="283"/>
      </w:trPr>
      <w:tc>
        <w:tcPr>
          <w:tcW w:w="5000" w:type="pct"/>
          <w:gridSpan w:val="2"/>
          <w:shd w:val="clear" w:color="auto" w:fill="auto"/>
          <w:vAlign w:val="bottom"/>
        </w:tcPr>
        <w:p w14:paraId="7D39AF54" w14:textId="77777777" w:rsidR="00A6094F" w:rsidRPr="00F769E0" w:rsidRDefault="00A6094F" w:rsidP="007034E9">
          <w:pPr>
            <w:pStyle w:val="Header"/>
            <w:rPr>
              <w:rFonts w:cs="Tahoma"/>
              <w:noProof/>
              <w:color w:val="009EC7"/>
            </w:rPr>
          </w:pPr>
          <w:r w:rsidRPr="00F769E0">
            <w:rPr>
              <w:rFonts w:cs="Tahoma"/>
              <w:noProof/>
              <w:lang w:eastAsia="fr-BE"/>
            </w:rPr>
            <w:drawing>
              <wp:anchor distT="0" distB="0" distL="114300" distR="114300" simplePos="0" relativeHeight="251584000" behindDoc="0" locked="0" layoutInCell="1" allowOverlap="1" wp14:anchorId="7D39B0C3" wp14:editId="7D39B0C4">
                <wp:simplePos x="0" y="0"/>
                <wp:positionH relativeFrom="margin">
                  <wp:align>left</wp:align>
                </wp:positionH>
                <wp:positionV relativeFrom="margin">
                  <wp:align>top</wp:align>
                </wp:positionV>
                <wp:extent cx="5628640" cy="28575"/>
                <wp:effectExtent l="0" t="0" r="0" b="9525"/>
                <wp:wrapSquare wrapText="bothSides"/>
                <wp:docPr id="197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56" w14:textId="77777777" w:rsidR="00A6094F" w:rsidRDefault="00A6094F">
    <w:pPr>
      <w:pStyle w:val="BodyText"/>
      <w:spacing w:line="14" w:lineRule="auto"/>
      <w:rPr>
        <w:sz w:val="20"/>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F59" w14:textId="77777777" w:rsidTr="004C7571">
      <w:trPr>
        <w:trHeight w:val="567"/>
      </w:trPr>
      <w:tc>
        <w:tcPr>
          <w:tcW w:w="2969" w:type="pct"/>
          <w:shd w:val="clear" w:color="auto" w:fill="auto"/>
          <w:vAlign w:val="bottom"/>
        </w:tcPr>
        <w:p w14:paraId="7D39AF57" w14:textId="77777777" w:rsidR="00A6094F" w:rsidRPr="00F769E0" w:rsidRDefault="00A6094F" w:rsidP="00A56070">
          <w:pPr>
            <w:pStyle w:val="Header"/>
            <w:rPr>
              <w:rFonts w:cs="Tahoma"/>
            </w:rPr>
          </w:pPr>
          <w:r w:rsidRPr="00C12526">
            <w:t>Priloga I – Strateška partnerstva</w:t>
          </w:r>
        </w:p>
      </w:tc>
      <w:tc>
        <w:tcPr>
          <w:tcW w:w="2031" w:type="pct"/>
          <w:shd w:val="clear" w:color="auto" w:fill="auto"/>
          <w:vAlign w:val="bottom"/>
        </w:tcPr>
        <w:p w14:paraId="7D39AF58"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C5" wp14:editId="7D39B0C6">
                <wp:extent cx="2093343" cy="445248"/>
                <wp:effectExtent l="0" t="0" r="2540" b="0"/>
                <wp:docPr id="25"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F5B" w14:textId="77777777" w:rsidTr="004C7571">
      <w:trPr>
        <w:trHeight w:val="283"/>
      </w:trPr>
      <w:tc>
        <w:tcPr>
          <w:tcW w:w="5000" w:type="pct"/>
          <w:gridSpan w:val="2"/>
          <w:shd w:val="clear" w:color="auto" w:fill="auto"/>
          <w:vAlign w:val="bottom"/>
        </w:tcPr>
        <w:p w14:paraId="7D39AF5A"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580928" behindDoc="0" locked="0" layoutInCell="1" allowOverlap="1" wp14:anchorId="7D39B0C7" wp14:editId="7D39B0C8">
                <wp:simplePos x="0" y="0"/>
                <wp:positionH relativeFrom="margin">
                  <wp:align>left</wp:align>
                </wp:positionH>
                <wp:positionV relativeFrom="margin">
                  <wp:align>top</wp:align>
                </wp:positionV>
                <wp:extent cx="5628640" cy="28575"/>
                <wp:effectExtent l="0" t="0" r="0" b="9525"/>
                <wp:wrapSquare wrapText="bothSides"/>
                <wp:docPr id="34"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5C" w14:textId="77777777" w:rsidR="00A6094F" w:rsidRPr="00A72FE7" w:rsidRDefault="00A6094F" w:rsidP="004C7571">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F5F" w14:textId="77777777" w:rsidTr="004C7571">
      <w:trPr>
        <w:trHeight w:val="567"/>
      </w:trPr>
      <w:tc>
        <w:tcPr>
          <w:tcW w:w="2969" w:type="pct"/>
          <w:shd w:val="clear" w:color="auto" w:fill="auto"/>
          <w:vAlign w:val="bottom"/>
        </w:tcPr>
        <w:p w14:paraId="7D39AF5D" w14:textId="77777777" w:rsidR="00A6094F" w:rsidRPr="00F769E0" w:rsidRDefault="00A6094F" w:rsidP="00DF0678">
          <w:pPr>
            <w:pStyle w:val="Header"/>
            <w:rPr>
              <w:rFonts w:cs="Tahoma"/>
            </w:rPr>
          </w:pPr>
          <w:r w:rsidRPr="00372D9C">
            <w:t>Priloga I – Strateška partnerstva</w:t>
          </w:r>
        </w:p>
      </w:tc>
      <w:tc>
        <w:tcPr>
          <w:tcW w:w="2031" w:type="pct"/>
          <w:shd w:val="clear" w:color="auto" w:fill="auto"/>
          <w:vAlign w:val="bottom"/>
        </w:tcPr>
        <w:p w14:paraId="7D39AF5E"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C9" wp14:editId="7D39B0CA">
                <wp:extent cx="2093343" cy="445248"/>
                <wp:effectExtent l="0" t="0" r="2540" b="0"/>
                <wp:docPr id="26"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F61" w14:textId="77777777" w:rsidTr="004C7571">
      <w:trPr>
        <w:trHeight w:val="283"/>
      </w:trPr>
      <w:tc>
        <w:tcPr>
          <w:tcW w:w="5000" w:type="pct"/>
          <w:gridSpan w:val="2"/>
          <w:shd w:val="clear" w:color="auto" w:fill="auto"/>
          <w:vAlign w:val="bottom"/>
        </w:tcPr>
        <w:p w14:paraId="7D39AF60"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581952" behindDoc="0" locked="0" layoutInCell="1" allowOverlap="1" wp14:anchorId="7D39B0CB" wp14:editId="7D39B0CC">
                <wp:simplePos x="0" y="0"/>
                <wp:positionH relativeFrom="margin">
                  <wp:align>left</wp:align>
                </wp:positionH>
                <wp:positionV relativeFrom="margin">
                  <wp:align>top</wp:align>
                </wp:positionV>
                <wp:extent cx="5628640" cy="28575"/>
                <wp:effectExtent l="0" t="0" r="0" b="9525"/>
                <wp:wrapSquare wrapText="bothSides"/>
                <wp:docPr id="3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62" w14:textId="77777777" w:rsidR="00A6094F" w:rsidRPr="00A72FE7" w:rsidRDefault="00A6094F" w:rsidP="004C7571">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6"/>
      <w:gridCol w:w="5378"/>
    </w:tblGrid>
    <w:tr w:rsidR="00A6094F" w:rsidRPr="00962E3F" w14:paraId="7D39AF65" w14:textId="77777777" w:rsidTr="007034E9">
      <w:trPr>
        <w:trHeight w:val="567"/>
      </w:trPr>
      <w:tc>
        <w:tcPr>
          <w:tcW w:w="2110" w:type="pct"/>
          <w:shd w:val="clear" w:color="auto" w:fill="auto"/>
          <w:vAlign w:val="bottom"/>
        </w:tcPr>
        <w:p w14:paraId="7D39AF63" w14:textId="77777777" w:rsidR="00A6094F" w:rsidRPr="00B92DD4" w:rsidRDefault="00A6094F" w:rsidP="007034E9">
          <w:r w:rsidRPr="00237696">
            <w:rPr>
              <w:noProof/>
              <w:lang w:eastAsia="fr-BE"/>
            </w:rPr>
            <w:drawing>
              <wp:inline distT="0" distB="0" distL="0" distR="0" wp14:anchorId="7D39B0CD" wp14:editId="7D39B0CE">
                <wp:extent cx="2093343" cy="445248"/>
                <wp:effectExtent l="0" t="0" r="2540" b="0"/>
                <wp:docPr id="1"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F64" w14:textId="77777777" w:rsidR="00A6094F" w:rsidRPr="00F769E0" w:rsidRDefault="00A6094F" w:rsidP="007034E9">
          <w:pPr>
            <w:pStyle w:val="Header"/>
            <w:jc w:val="left"/>
            <w:rPr>
              <w:rFonts w:cs="Tahoma"/>
            </w:rPr>
          </w:pPr>
          <w:r w:rsidRPr="00F769E0">
            <w:rPr>
              <w:rFonts w:cs="Tahoma"/>
              <w:lang w:val="en-GB"/>
            </w:rPr>
            <w:t>Vodnik za prijavitelje</w:t>
          </w:r>
        </w:p>
      </w:tc>
    </w:tr>
    <w:tr w:rsidR="00A6094F" w:rsidRPr="00B92DD4" w14:paraId="7D39AF67" w14:textId="77777777" w:rsidTr="007034E9">
      <w:trPr>
        <w:trHeight w:val="283"/>
      </w:trPr>
      <w:tc>
        <w:tcPr>
          <w:tcW w:w="5000" w:type="pct"/>
          <w:gridSpan w:val="2"/>
          <w:shd w:val="clear" w:color="auto" w:fill="auto"/>
          <w:vAlign w:val="bottom"/>
        </w:tcPr>
        <w:p w14:paraId="7D39AF66" w14:textId="77777777" w:rsidR="00A6094F" w:rsidRPr="00F769E0" w:rsidRDefault="00A6094F" w:rsidP="007034E9">
          <w:pPr>
            <w:pStyle w:val="Header"/>
            <w:rPr>
              <w:rFonts w:cs="Tahoma"/>
              <w:noProof/>
              <w:color w:val="009EC7"/>
            </w:rPr>
          </w:pPr>
          <w:r w:rsidRPr="00F769E0">
            <w:rPr>
              <w:rFonts w:cs="Tahoma"/>
              <w:noProof/>
              <w:lang w:eastAsia="fr-BE"/>
            </w:rPr>
            <w:drawing>
              <wp:anchor distT="0" distB="0" distL="114300" distR="114300" simplePos="0" relativeHeight="251585024" behindDoc="0" locked="0" layoutInCell="1" allowOverlap="1" wp14:anchorId="7D39B0CF" wp14:editId="7D39B0D0">
                <wp:simplePos x="0" y="0"/>
                <wp:positionH relativeFrom="margin">
                  <wp:align>left</wp:align>
                </wp:positionH>
                <wp:positionV relativeFrom="margin">
                  <wp:align>top</wp:align>
                </wp:positionV>
                <wp:extent cx="5628640" cy="28575"/>
                <wp:effectExtent l="0" t="0" r="0" b="9525"/>
                <wp:wrapSquare wrapText="bothSides"/>
                <wp:docPr id="2"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68" w14:textId="77777777" w:rsidR="00A6094F" w:rsidRDefault="00A6094F">
    <w:pPr>
      <w:pStyle w:val="BodyText"/>
      <w:spacing w:line="14" w:lineRule="auto"/>
      <w:rPr>
        <w:sz w:val="20"/>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F6B" w14:textId="77777777" w:rsidTr="004C7571">
      <w:trPr>
        <w:trHeight w:val="567"/>
      </w:trPr>
      <w:tc>
        <w:tcPr>
          <w:tcW w:w="2969" w:type="pct"/>
          <w:shd w:val="clear" w:color="auto" w:fill="auto"/>
          <w:vAlign w:val="bottom"/>
        </w:tcPr>
        <w:p w14:paraId="7D39AF69" w14:textId="77777777" w:rsidR="00A6094F" w:rsidRPr="0005777F" w:rsidRDefault="00A6094F" w:rsidP="00DF0678">
          <w:pPr>
            <w:pStyle w:val="Header"/>
            <w:rPr>
              <w:rFonts w:cs="Tahoma"/>
              <w:lang w:val="pt-PT"/>
            </w:rPr>
          </w:pPr>
          <w:r w:rsidRPr="0005777F">
            <w:rPr>
              <w:lang w:val="pt-PT"/>
            </w:rPr>
            <w:t>Priloga I – Krepitev zmogljivosti na področju visokošolskega izobraževanja</w:t>
          </w:r>
        </w:p>
      </w:tc>
      <w:tc>
        <w:tcPr>
          <w:tcW w:w="2031" w:type="pct"/>
          <w:shd w:val="clear" w:color="auto" w:fill="auto"/>
          <w:vAlign w:val="bottom"/>
        </w:tcPr>
        <w:p w14:paraId="7D39AF6A"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D1" wp14:editId="7D39B0D2">
                <wp:extent cx="2093343" cy="445248"/>
                <wp:effectExtent l="0" t="0" r="2540" b="0"/>
                <wp:docPr id="3"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F6D" w14:textId="77777777" w:rsidTr="004C7571">
      <w:trPr>
        <w:trHeight w:val="283"/>
      </w:trPr>
      <w:tc>
        <w:tcPr>
          <w:tcW w:w="5000" w:type="pct"/>
          <w:gridSpan w:val="2"/>
          <w:shd w:val="clear" w:color="auto" w:fill="auto"/>
          <w:vAlign w:val="bottom"/>
        </w:tcPr>
        <w:p w14:paraId="7D39AF6C"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586048" behindDoc="0" locked="0" layoutInCell="1" allowOverlap="1" wp14:anchorId="7D39B0D3" wp14:editId="7D39B0D4">
                <wp:simplePos x="0" y="0"/>
                <wp:positionH relativeFrom="margin">
                  <wp:align>left</wp:align>
                </wp:positionH>
                <wp:positionV relativeFrom="margin">
                  <wp:align>top</wp:align>
                </wp:positionV>
                <wp:extent cx="5628640" cy="28575"/>
                <wp:effectExtent l="0" t="0" r="0" b="9525"/>
                <wp:wrapSquare wrapText="bothSides"/>
                <wp:docPr id="4"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6E" w14:textId="77777777" w:rsidR="00A6094F" w:rsidRPr="00A72FE7" w:rsidRDefault="00A6094F" w:rsidP="004C7571">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F71" w14:textId="77777777" w:rsidTr="004C7571">
      <w:trPr>
        <w:trHeight w:val="567"/>
      </w:trPr>
      <w:tc>
        <w:tcPr>
          <w:tcW w:w="2969" w:type="pct"/>
          <w:shd w:val="clear" w:color="auto" w:fill="auto"/>
          <w:vAlign w:val="bottom"/>
        </w:tcPr>
        <w:p w14:paraId="7D39AF6F" w14:textId="77777777" w:rsidR="00A6094F" w:rsidRPr="004A5DFA" w:rsidRDefault="00A6094F" w:rsidP="009839B2">
          <w:pPr>
            <w:pStyle w:val="Header"/>
            <w:rPr>
              <w:rFonts w:cs="Tahoma"/>
              <w:lang w:val="it-IT"/>
            </w:rPr>
          </w:pPr>
          <w:r w:rsidRPr="004A5DFA">
            <w:rPr>
              <w:lang w:val="it-IT"/>
            </w:rPr>
            <w:t>Priloga II – Razširjanje in uporaba rezultatov</w:t>
          </w:r>
        </w:p>
      </w:tc>
      <w:tc>
        <w:tcPr>
          <w:tcW w:w="2031" w:type="pct"/>
          <w:shd w:val="clear" w:color="auto" w:fill="auto"/>
          <w:vAlign w:val="bottom"/>
        </w:tcPr>
        <w:p w14:paraId="7D39AF70"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D5" wp14:editId="7D39B0D6">
                <wp:extent cx="2093343" cy="445248"/>
                <wp:effectExtent l="0" t="0" r="2540" b="0"/>
                <wp:docPr id="27"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F73" w14:textId="77777777" w:rsidTr="004C7571">
      <w:trPr>
        <w:trHeight w:val="283"/>
      </w:trPr>
      <w:tc>
        <w:tcPr>
          <w:tcW w:w="5000" w:type="pct"/>
          <w:gridSpan w:val="2"/>
          <w:shd w:val="clear" w:color="auto" w:fill="auto"/>
          <w:vAlign w:val="bottom"/>
        </w:tcPr>
        <w:p w14:paraId="7D39AF72"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582976" behindDoc="0" locked="0" layoutInCell="1" allowOverlap="1" wp14:anchorId="7D39B0D7" wp14:editId="7D39B0D8">
                <wp:simplePos x="0" y="0"/>
                <wp:positionH relativeFrom="margin">
                  <wp:align>left</wp:align>
                </wp:positionH>
                <wp:positionV relativeFrom="margin">
                  <wp:align>top</wp:align>
                </wp:positionV>
                <wp:extent cx="5628640" cy="28575"/>
                <wp:effectExtent l="0" t="0" r="0" b="9525"/>
                <wp:wrapSquare wrapText="bothSides"/>
                <wp:docPr id="32"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74" w14:textId="77777777" w:rsidR="00A6094F" w:rsidRPr="00A72FE7" w:rsidRDefault="00A6094F" w:rsidP="004C7571">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F77" w14:textId="77777777" w:rsidTr="004C7571">
      <w:trPr>
        <w:trHeight w:val="567"/>
      </w:trPr>
      <w:tc>
        <w:tcPr>
          <w:tcW w:w="2969" w:type="pct"/>
          <w:shd w:val="clear" w:color="auto" w:fill="auto"/>
          <w:vAlign w:val="bottom"/>
        </w:tcPr>
        <w:p w14:paraId="7D39AF75" w14:textId="77777777" w:rsidR="00A6094F" w:rsidRPr="00F769E0" w:rsidRDefault="00A6094F" w:rsidP="00A56070">
          <w:pPr>
            <w:pStyle w:val="Header"/>
            <w:rPr>
              <w:rFonts w:cs="Tahoma"/>
            </w:rPr>
          </w:pPr>
          <w:r w:rsidRPr="00C12526">
            <w:t>Priloga III – Glosar pojmov</w:t>
          </w:r>
        </w:p>
      </w:tc>
      <w:tc>
        <w:tcPr>
          <w:tcW w:w="2031" w:type="pct"/>
          <w:shd w:val="clear" w:color="auto" w:fill="auto"/>
          <w:vAlign w:val="bottom"/>
        </w:tcPr>
        <w:p w14:paraId="7D39AF76"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D9" wp14:editId="7D39B0DA">
                <wp:extent cx="2093343" cy="445248"/>
                <wp:effectExtent l="0" t="0" r="2540" b="0"/>
                <wp:docPr id="1980"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F79" w14:textId="77777777" w:rsidTr="004C7571">
      <w:trPr>
        <w:trHeight w:val="283"/>
      </w:trPr>
      <w:tc>
        <w:tcPr>
          <w:tcW w:w="5000" w:type="pct"/>
          <w:gridSpan w:val="2"/>
          <w:shd w:val="clear" w:color="auto" w:fill="auto"/>
          <w:vAlign w:val="bottom"/>
        </w:tcPr>
        <w:p w14:paraId="7D39AF78"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587072" behindDoc="0" locked="0" layoutInCell="1" allowOverlap="1" wp14:anchorId="7D39B0DB" wp14:editId="7D39B0DC">
                <wp:simplePos x="0" y="0"/>
                <wp:positionH relativeFrom="margin">
                  <wp:align>left</wp:align>
                </wp:positionH>
                <wp:positionV relativeFrom="margin">
                  <wp:align>top</wp:align>
                </wp:positionV>
                <wp:extent cx="5628640" cy="28575"/>
                <wp:effectExtent l="0" t="0" r="0" b="9525"/>
                <wp:wrapSquare wrapText="bothSides"/>
                <wp:docPr id="198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7A" w14:textId="77777777" w:rsidR="00A6094F" w:rsidRPr="00A72FE7" w:rsidRDefault="00A6094F" w:rsidP="004C75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D97" w14:textId="77777777" w:rsidTr="004C7571">
      <w:trPr>
        <w:trHeight w:val="567"/>
      </w:trPr>
      <w:tc>
        <w:tcPr>
          <w:tcW w:w="2969" w:type="pct"/>
          <w:shd w:val="clear" w:color="auto" w:fill="auto"/>
          <w:vAlign w:val="bottom"/>
        </w:tcPr>
        <w:p w14:paraId="7D39AD95" w14:textId="77777777" w:rsidR="00A6094F" w:rsidRPr="00F769E0" w:rsidRDefault="00A6094F" w:rsidP="006F6C8B">
          <w:pPr>
            <w:pStyle w:val="Header"/>
            <w:rPr>
              <w:rFonts w:cs="Tahoma"/>
              <w:lang w:val="it-IT"/>
            </w:rPr>
          </w:pPr>
          <w:r>
            <w:rPr>
              <w:rFonts w:cs="Tahoma"/>
              <w:lang w:val="it-IT"/>
            </w:rPr>
            <w:t>Del</w:t>
          </w:r>
          <w:r w:rsidRPr="00F769E0">
            <w:rPr>
              <w:rFonts w:cs="Tahoma"/>
              <w:lang w:val="it-IT"/>
            </w:rPr>
            <w:t xml:space="preserve"> A: </w:t>
          </w:r>
          <w:r w:rsidRPr="00C1426B">
            <w:rPr>
              <w:rFonts w:cs="Tahoma"/>
              <w:lang w:val="it-IT"/>
            </w:rPr>
            <w:t>Kakšna je struktura programa Erasmus+?</w:t>
          </w:r>
        </w:p>
      </w:tc>
      <w:tc>
        <w:tcPr>
          <w:tcW w:w="2031" w:type="pct"/>
          <w:shd w:val="clear" w:color="auto" w:fill="auto"/>
          <w:vAlign w:val="bottom"/>
        </w:tcPr>
        <w:p w14:paraId="7D39AD96"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AF99" wp14:editId="7D39AF9A">
                <wp:extent cx="2093343" cy="445248"/>
                <wp:effectExtent l="0" t="0" r="2540" b="0"/>
                <wp:docPr id="2608"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D99" w14:textId="77777777" w:rsidTr="004C7571">
      <w:trPr>
        <w:trHeight w:val="283"/>
      </w:trPr>
      <w:tc>
        <w:tcPr>
          <w:tcW w:w="5000" w:type="pct"/>
          <w:gridSpan w:val="2"/>
          <w:shd w:val="clear" w:color="auto" w:fill="auto"/>
          <w:vAlign w:val="bottom"/>
        </w:tcPr>
        <w:p w14:paraId="7D39AD98"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12672" behindDoc="0" locked="0" layoutInCell="1" allowOverlap="1" wp14:anchorId="7D39AF9B" wp14:editId="7D39AF9C">
                <wp:simplePos x="0" y="0"/>
                <wp:positionH relativeFrom="margin">
                  <wp:align>left</wp:align>
                </wp:positionH>
                <wp:positionV relativeFrom="margin">
                  <wp:align>top</wp:align>
                </wp:positionV>
                <wp:extent cx="5628640" cy="28575"/>
                <wp:effectExtent l="0" t="0" r="0" b="9525"/>
                <wp:wrapSquare wrapText="bothSides"/>
                <wp:docPr id="260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D9A" w14:textId="77777777" w:rsidR="00A6094F" w:rsidRPr="00A72FE7" w:rsidRDefault="00A6094F" w:rsidP="004C7571">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3926"/>
      <w:gridCol w:w="5378"/>
    </w:tblGrid>
    <w:tr w:rsidR="00A6094F" w:rsidRPr="00962E3F" w14:paraId="7D39AF7D" w14:textId="77777777" w:rsidTr="007034E9">
      <w:trPr>
        <w:trHeight w:val="567"/>
      </w:trPr>
      <w:tc>
        <w:tcPr>
          <w:tcW w:w="2110" w:type="pct"/>
          <w:shd w:val="clear" w:color="auto" w:fill="auto"/>
          <w:vAlign w:val="bottom"/>
        </w:tcPr>
        <w:p w14:paraId="7D39AF7B" w14:textId="77777777" w:rsidR="00A6094F" w:rsidRPr="00B92DD4" w:rsidRDefault="00A6094F" w:rsidP="007034E9">
          <w:r w:rsidRPr="00237696">
            <w:rPr>
              <w:noProof/>
              <w:lang w:eastAsia="fr-BE"/>
            </w:rPr>
            <w:drawing>
              <wp:inline distT="0" distB="0" distL="0" distR="0" wp14:anchorId="7D39B0DD" wp14:editId="7D39B0DE">
                <wp:extent cx="2093343" cy="445248"/>
                <wp:effectExtent l="0" t="0" r="2540" b="0"/>
                <wp:docPr id="1982"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c>
        <w:tcPr>
          <w:tcW w:w="2890" w:type="pct"/>
          <w:shd w:val="clear" w:color="auto" w:fill="auto"/>
          <w:vAlign w:val="bottom"/>
        </w:tcPr>
        <w:p w14:paraId="7D39AF7C" w14:textId="77777777" w:rsidR="00A6094F" w:rsidRPr="00F769E0" w:rsidRDefault="00A6094F" w:rsidP="007034E9">
          <w:pPr>
            <w:pStyle w:val="Header"/>
            <w:jc w:val="left"/>
            <w:rPr>
              <w:rFonts w:cs="Tahoma"/>
            </w:rPr>
          </w:pPr>
          <w:r w:rsidRPr="00F769E0">
            <w:rPr>
              <w:rFonts w:cs="Tahoma"/>
              <w:lang w:val="en-GB"/>
            </w:rPr>
            <w:t>Vodnik za prijavitelje</w:t>
          </w:r>
        </w:p>
      </w:tc>
    </w:tr>
    <w:tr w:rsidR="00A6094F" w:rsidRPr="00B92DD4" w14:paraId="7D39AF7F" w14:textId="77777777" w:rsidTr="007034E9">
      <w:trPr>
        <w:trHeight w:val="283"/>
      </w:trPr>
      <w:tc>
        <w:tcPr>
          <w:tcW w:w="5000" w:type="pct"/>
          <w:gridSpan w:val="2"/>
          <w:shd w:val="clear" w:color="auto" w:fill="auto"/>
          <w:vAlign w:val="bottom"/>
        </w:tcPr>
        <w:p w14:paraId="7D39AF7E" w14:textId="77777777" w:rsidR="00A6094F" w:rsidRPr="00F769E0" w:rsidRDefault="00A6094F" w:rsidP="007034E9">
          <w:pPr>
            <w:pStyle w:val="Header"/>
            <w:rPr>
              <w:rFonts w:cs="Tahoma"/>
              <w:noProof/>
              <w:color w:val="009EC7"/>
            </w:rPr>
          </w:pPr>
          <w:r w:rsidRPr="00F769E0">
            <w:rPr>
              <w:rFonts w:cs="Tahoma"/>
              <w:noProof/>
              <w:lang w:eastAsia="fr-BE"/>
            </w:rPr>
            <w:drawing>
              <wp:anchor distT="0" distB="0" distL="114300" distR="114300" simplePos="0" relativeHeight="251862016" behindDoc="0" locked="0" layoutInCell="1" allowOverlap="1" wp14:anchorId="7D39B0DF" wp14:editId="7D39B0E0">
                <wp:simplePos x="0" y="0"/>
                <wp:positionH relativeFrom="margin">
                  <wp:align>left</wp:align>
                </wp:positionH>
                <wp:positionV relativeFrom="margin">
                  <wp:align>top</wp:align>
                </wp:positionV>
                <wp:extent cx="5628640" cy="28575"/>
                <wp:effectExtent l="0" t="0" r="0" b="9525"/>
                <wp:wrapSquare wrapText="bothSides"/>
                <wp:docPr id="198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80" w14:textId="77777777" w:rsidR="00A6094F" w:rsidRDefault="00A6094F">
    <w:pPr>
      <w:pStyle w:val="BodyText"/>
      <w:spacing w:line="14" w:lineRule="auto"/>
      <w:rPr>
        <w:sz w:val="20"/>
      </w:rP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13" w:type="dxa"/>
        <w:left w:w="115" w:type="dxa"/>
        <w:bottom w:w="57" w:type="dxa"/>
        <w:right w:w="115" w:type="dxa"/>
      </w:tblCellMar>
      <w:tblLook w:val="04A0" w:firstRow="1" w:lastRow="0" w:firstColumn="1" w:lastColumn="0" w:noHBand="0" w:noVBand="1"/>
    </w:tblPr>
    <w:tblGrid>
      <w:gridCol w:w="5525"/>
      <w:gridCol w:w="3779"/>
    </w:tblGrid>
    <w:tr w:rsidR="00A6094F" w:rsidRPr="007E3D6C" w14:paraId="7D39AF83" w14:textId="77777777" w:rsidTr="004C7571">
      <w:trPr>
        <w:trHeight w:val="567"/>
      </w:trPr>
      <w:tc>
        <w:tcPr>
          <w:tcW w:w="2969" w:type="pct"/>
          <w:shd w:val="clear" w:color="auto" w:fill="auto"/>
          <w:vAlign w:val="bottom"/>
        </w:tcPr>
        <w:p w14:paraId="7D39AF81" w14:textId="77777777" w:rsidR="00A6094F" w:rsidRPr="0030441A" w:rsidRDefault="00A6094F" w:rsidP="00C358A6">
          <w:pPr>
            <w:pStyle w:val="Header"/>
            <w:rPr>
              <w:rFonts w:cs="Tahoma"/>
              <w:lang w:val="pl-PL"/>
            </w:rPr>
          </w:pPr>
          <w:r w:rsidRPr="0030441A">
            <w:rPr>
              <w:lang w:val="pl-PL"/>
            </w:rPr>
            <w:t>Priloga IV – Koristne reference in kontaktni podatki</w:t>
          </w:r>
        </w:p>
      </w:tc>
      <w:tc>
        <w:tcPr>
          <w:tcW w:w="2031" w:type="pct"/>
          <w:shd w:val="clear" w:color="auto" w:fill="auto"/>
          <w:vAlign w:val="bottom"/>
        </w:tcPr>
        <w:p w14:paraId="7D39AF82" w14:textId="77777777" w:rsidR="00A6094F" w:rsidRPr="00F769E0" w:rsidRDefault="00A6094F" w:rsidP="004C7571">
          <w:pPr>
            <w:pStyle w:val="Header"/>
            <w:rPr>
              <w:rFonts w:cs="Tahoma"/>
            </w:rPr>
          </w:pPr>
          <w:r w:rsidRPr="00F769E0">
            <w:rPr>
              <w:rFonts w:cs="Tahoma"/>
              <w:noProof/>
              <w:lang w:eastAsia="fr-BE"/>
            </w:rPr>
            <w:drawing>
              <wp:inline distT="0" distB="0" distL="0" distR="0" wp14:anchorId="7D39B0E1" wp14:editId="7D39B0E2">
                <wp:extent cx="2093343" cy="445248"/>
                <wp:effectExtent l="0" t="0" r="2540" b="0"/>
                <wp:docPr id="29" name="Picture 147"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Picture 147"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960" cy="445135"/>
                        </a:xfrm>
                        <a:prstGeom prst="rect">
                          <a:avLst/>
                        </a:prstGeom>
                        <a:noFill/>
                        <a:ln>
                          <a:noFill/>
                        </a:ln>
                      </pic:spPr>
                    </pic:pic>
                  </a:graphicData>
                </a:graphic>
              </wp:inline>
            </w:drawing>
          </w:r>
        </w:p>
      </w:tc>
    </w:tr>
    <w:tr w:rsidR="00A6094F" w:rsidRPr="007E3D6C" w14:paraId="7D39AF85" w14:textId="77777777" w:rsidTr="004C7571">
      <w:trPr>
        <w:trHeight w:val="283"/>
      </w:trPr>
      <w:tc>
        <w:tcPr>
          <w:tcW w:w="5000" w:type="pct"/>
          <w:gridSpan w:val="2"/>
          <w:shd w:val="clear" w:color="auto" w:fill="auto"/>
          <w:vAlign w:val="bottom"/>
        </w:tcPr>
        <w:p w14:paraId="7D39AF84" w14:textId="77777777" w:rsidR="00A6094F" w:rsidRPr="00F769E0" w:rsidRDefault="00A6094F" w:rsidP="004C7571">
          <w:pPr>
            <w:pStyle w:val="Header"/>
            <w:rPr>
              <w:rFonts w:cs="Tahoma"/>
              <w:noProof/>
              <w:color w:val="009EC7"/>
            </w:rPr>
          </w:pPr>
          <w:r w:rsidRPr="00F769E0">
            <w:rPr>
              <w:rFonts w:cs="Tahoma"/>
              <w:noProof/>
              <w:lang w:eastAsia="fr-BE"/>
            </w:rPr>
            <w:drawing>
              <wp:anchor distT="0" distB="0" distL="114300" distR="114300" simplePos="0" relativeHeight="251659264" behindDoc="0" locked="0" layoutInCell="1" allowOverlap="1" wp14:anchorId="7D39B0E3" wp14:editId="7D39B0E4">
                <wp:simplePos x="0" y="0"/>
                <wp:positionH relativeFrom="margin">
                  <wp:align>left</wp:align>
                </wp:positionH>
                <wp:positionV relativeFrom="margin">
                  <wp:align>top</wp:align>
                </wp:positionV>
                <wp:extent cx="5628640" cy="28575"/>
                <wp:effectExtent l="0" t="0" r="0" b="9525"/>
                <wp:wrapSquare wrapText="bothSides"/>
                <wp:docPr id="30"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a:ln>
                          <a:noFill/>
                        </a:ln>
                      </pic:spPr>
                    </pic:pic>
                  </a:graphicData>
                </a:graphic>
              </wp:anchor>
            </w:drawing>
          </w:r>
        </w:p>
      </w:tc>
    </w:tr>
  </w:tbl>
  <w:p w14:paraId="7D39AF86" w14:textId="77777777" w:rsidR="00A6094F" w:rsidRPr="00A72FE7" w:rsidRDefault="00A6094F" w:rsidP="004C75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1789"/>
        </w:tabs>
        <w:ind w:left="1789" w:hanging="709"/>
      </w:pPr>
    </w:lvl>
    <w:lvl w:ilvl="1">
      <w:start w:val="1"/>
      <w:numFmt w:val="lowerLetter"/>
      <w:lvlText w:val="(%2)"/>
      <w:lvlJc w:val="left"/>
      <w:pPr>
        <w:tabs>
          <w:tab w:val="num" w:pos="2497"/>
        </w:tabs>
        <w:ind w:left="2497" w:hanging="708"/>
      </w:pPr>
    </w:lvl>
    <w:lvl w:ilvl="2">
      <w:start w:val="1"/>
      <w:numFmt w:val="bullet"/>
      <w:lvlText w:val="–"/>
      <w:lvlJc w:val="left"/>
      <w:pPr>
        <w:tabs>
          <w:tab w:val="num" w:pos="3206"/>
        </w:tabs>
        <w:ind w:left="3206" w:hanging="709"/>
      </w:pPr>
      <w:rPr>
        <w:rFonts w:ascii="Times New Roman" w:hAnsi="Times New Roman"/>
      </w:rPr>
    </w:lvl>
    <w:lvl w:ilvl="3">
      <w:start w:val="1"/>
      <w:numFmt w:val="bullet"/>
      <w:lvlText w:val=""/>
      <w:lvlJc w:val="left"/>
      <w:pPr>
        <w:tabs>
          <w:tab w:val="num" w:pos="3915"/>
        </w:tabs>
        <w:ind w:left="3915" w:hanging="709"/>
      </w:pPr>
      <w:rPr>
        <w:rFonts w:ascii="Symbol" w:hAnsi="Symbol"/>
      </w:rPr>
    </w:lvl>
    <w:lvl w:ilvl="4">
      <w:start w:val="1"/>
      <w:numFmt w:val="lowerLetter"/>
      <w:lvlText w:val="(%5)"/>
      <w:lvlJc w:val="left"/>
      <w:pPr>
        <w:tabs>
          <w:tab w:val="num" w:pos="2398"/>
        </w:tabs>
        <w:ind w:left="2398" w:hanging="360"/>
      </w:pPr>
    </w:lvl>
    <w:lvl w:ilvl="5">
      <w:start w:val="1"/>
      <w:numFmt w:val="lowerRoman"/>
      <w:lvlText w:val="(%6)"/>
      <w:lvlJc w:val="left"/>
      <w:pPr>
        <w:tabs>
          <w:tab w:val="num" w:pos="2758"/>
        </w:tabs>
        <w:ind w:left="2758" w:hanging="360"/>
      </w:pPr>
    </w:lvl>
    <w:lvl w:ilvl="6">
      <w:start w:val="1"/>
      <w:numFmt w:val="decimal"/>
      <w:lvlText w:val="%7."/>
      <w:lvlJc w:val="left"/>
      <w:pPr>
        <w:tabs>
          <w:tab w:val="num" w:pos="3118"/>
        </w:tabs>
        <w:ind w:left="3118" w:hanging="360"/>
      </w:pPr>
    </w:lvl>
    <w:lvl w:ilvl="7">
      <w:start w:val="1"/>
      <w:numFmt w:val="lowerLetter"/>
      <w:lvlText w:val="%8."/>
      <w:lvlJc w:val="left"/>
      <w:pPr>
        <w:tabs>
          <w:tab w:val="num" w:pos="3478"/>
        </w:tabs>
        <w:ind w:left="3478" w:hanging="360"/>
      </w:pPr>
    </w:lvl>
    <w:lvl w:ilvl="8">
      <w:start w:val="1"/>
      <w:numFmt w:val="lowerRoman"/>
      <w:lvlText w:val="%9."/>
      <w:lvlJc w:val="left"/>
      <w:pPr>
        <w:tabs>
          <w:tab w:val="num" w:pos="3838"/>
        </w:tabs>
        <w:ind w:left="3838" w:hanging="360"/>
      </w:pPr>
    </w:lvl>
  </w:abstractNum>
  <w:abstractNum w:abstractNumId="1" w15:restartNumberingAfterBreak="0">
    <w:nsid w:val="00000004"/>
    <w:multiLevelType w:val="multilevel"/>
    <w:tmpl w:val="00000004"/>
    <w:name w:val="WW8Num16"/>
    <w:lvl w:ilvl="0">
      <w:numFmt w:val="bullet"/>
      <w:lvlText w:val="-"/>
      <w:lvlJc w:val="left"/>
      <w:pPr>
        <w:tabs>
          <w:tab w:val="num" w:pos="1080"/>
        </w:tabs>
        <w:ind w:left="1080" w:hanging="360"/>
      </w:pPr>
      <w:rPr>
        <w:rFonts w:ascii="Times New Roman" w:hAnsi="Times New Roman" w:cs="Times New Roman"/>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2"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Wingdings" w:hAnsi="Wingdings"/>
        <w:sz w:val="22"/>
        <w:szCs w:val="22"/>
      </w:rPr>
    </w:lvl>
  </w:abstractNum>
  <w:abstractNum w:abstractNumId="3" w15:restartNumberingAfterBreak="0">
    <w:nsid w:val="0000002E"/>
    <w:multiLevelType w:val="singleLevel"/>
    <w:tmpl w:val="0000002E"/>
    <w:name w:val="WW8Num47"/>
    <w:lvl w:ilvl="0">
      <w:start w:val="1"/>
      <w:numFmt w:val="bullet"/>
      <w:lvlText w:val=""/>
      <w:lvlJc w:val="left"/>
      <w:pPr>
        <w:tabs>
          <w:tab w:val="num" w:pos="0"/>
        </w:tabs>
        <w:ind w:left="720" w:hanging="360"/>
      </w:pPr>
      <w:rPr>
        <w:rFonts w:ascii="Symbol" w:hAnsi="Symbol"/>
        <w:sz w:val="22"/>
        <w:szCs w:val="22"/>
      </w:rPr>
    </w:lvl>
  </w:abstractNum>
  <w:abstractNum w:abstractNumId="4" w15:restartNumberingAfterBreak="0">
    <w:nsid w:val="0000002F"/>
    <w:multiLevelType w:val="multilevel"/>
    <w:tmpl w:val="0000002F"/>
    <w:name w:val="WW8Num48"/>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Times New Roman"/>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Times New Roman"/>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Times New Roman"/>
      </w:rPr>
    </w:lvl>
    <w:lvl w:ilvl="8">
      <w:start w:val="1"/>
      <w:numFmt w:val="bullet"/>
      <w:lvlText w:val=""/>
      <w:lvlJc w:val="left"/>
      <w:pPr>
        <w:tabs>
          <w:tab w:val="num" w:pos="0"/>
        </w:tabs>
        <w:ind w:left="6120" w:hanging="360"/>
      </w:pPr>
      <w:rPr>
        <w:rFonts w:ascii="Wingdings" w:hAnsi="Wingdings"/>
      </w:rPr>
    </w:lvl>
  </w:abstractNum>
  <w:abstractNum w:abstractNumId="5" w15:restartNumberingAfterBreak="0">
    <w:nsid w:val="0000003B"/>
    <w:multiLevelType w:val="singleLevel"/>
    <w:tmpl w:val="0000003B"/>
    <w:name w:val="WW8Num63"/>
    <w:lvl w:ilvl="0">
      <w:start w:val="1"/>
      <w:numFmt w:val="bullet"/>
      <w:lvlText w:val=""/>
      <w:lvlJc w:val="left"/>
      <w:pPr>
        <w:tabs>
          <w:tab w:val="num" w:pos="360"/>
        </w:tabs>
        <w:ind w:left="360" w:hanging="360"/>
      </w:pPr>
      <w:rPr>
        <w:rFonts w:ascii="Symbol" w:hAnsi="Symbol"/>
      </w:rPr>
    </w:lvl>
  </w:abstractNum>
  <w:abstractNum w:abstractNumId="6" w15:restartNumberingAfterBreak="0">
    <w:nsid w:val="00000077"/>
    <w:multiLevelType w:val="multilevel"/>
    <w:tmpl w:val="00000077"/>
    <w:name w:val="WW8Num123"/>
    <w:lvl w:ilvl="0">
      <w:start w:val="1"/>
      <w:numFmt w:val="bullet"/>
      <w:lvlText w:val=""/>
      <w:lvlJc w:val="left"/>
      <w:pPr>
        <w:tabs>
          <w:tab w:val="num" w:pos="360"/>
        </w:tabs>
        <w:ind w:left="360" w:hanging="360"/>
      </w:pPr>
      <w:rPr>
        <w:rFonts w:ascii="Wingdings" w:hAnsi="Wingdings" w:cs="Times New Roman"/>
      </w:rPr>
    </w:lvl>
    <w:lvl w:ilvl="1">
      <w:numFmt w:val="bullet"/>
      <w:lvlText w:val="-"/>
      <w:lvlJc w:val="left"/>
      <w:pPr>
        <w:tabs>
          <w:tab w:val="num" w:pos="1080"/>
        </w:tabs>
        <w:ind w:left="1080" w:hanging="360"/>
      </w:pPr>
      <w:rPr>
        <w:rFonts w:ascii="Times New Roman" w:hAnsi="Times New Roman" w:cs="Times New Roman"/>
      </w:rPr>
    </w:lvl>
    <w:lvl w:ilvl="2">
      <w:start w:val="1"/>
      <w:numFmt w:val="bullet"/>
      <w:lvlText w:val=""/>
      <w:lvlJc w:val="left"/>
      <w:pPr>
        <w:tabs>
          <w:tab w:val="num" w:pos="1800"/>
        </w:tabs>
        <w:ind w:left="1800" w:hanging="360"/>
      </w:pPr>
      <w:rPr>
        <w:rFonts w:ascii="Wingdings" w:hAnsi="Wingdings" w:cs="Times New Roman"/>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Times New Roman"/>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Times New Roman"/>
      </w:rPr>
    </w:lvl>
  </w:abstractNum>
  <w:abstractNum w:abstractNumId="7" w15:restartNumberingAfterBreak="0">
    <w:nsid w:val="0000007B"/>
    <w:multiLevelType w:val="singleLevel"/>
    <w:tmpl w:val="0000007B"/>
    <w:name w:val="WW8Num127"/>
    <w:lvl w:ilvl="0">
      <w:start w:val="1"/>
      <w:numFmt w:val="bullet"/>
      <w:lvlText w:val=""/>
      <w:lvlJc w:val="left"/>
      <w:pPr>
        <w:tabs>
          <w:tab w:val="num" w:pos="360"/>
        </w:tabs>
        <w:ind w:left="360" w:hanging="360"/>
      </w:pPr>
      <w:rPr>
        <w:rFonts w:ascii="Symbol" w:hAnsi="Symbol"/>
      </w:rPr>
    </w:lvl>
  </w:abstractNum>
  <w:abstractNum w:abstractNumId="8" w15:restartNumberingAfterBreak="0">
    <w:nsid w:val="0000008D"/>
    <w:multiLevelType w:val="multilevel"/>
    <w:tmpl w:val="0000008D"/>
    <w:name w:val="WW8Num145"/>
    <w:lvl w:ilvl="0">
      <w:numFmt w:val="bullet"/>
      <w:lvlText w:val=""/>
      <w:lvlJc w:val="left"/>
      <w:pPr>
        <w:tabs>
          <w:tab w:val="num" w:pos="0"/>
        </w:tabs>
        <w:ind w:left="360" w:hanging="360"/>
      </w:pPr>
      <w:rPr>
        <w:rFonts w:ascii="Wingdings" w:hAnsi="Wingdings"/>
      </w:rPr>
    </w:lvl>
    <w:lvl w:ilvl="1">
      <w:numFmt w:val="bullet"/>
      <w:lvlText w:val="-"/>
      <w:lvlJc w:val="left"/>
      <w:pPr>
        <w:tabs>
          <w:tab w:val="num" w:pos="0"/>
        </w:tabs>
        <w:ind w:left="1080" w:hanging="360"/>
      </w:pPr>
      <w:rPr>
        <w:rFonts w:ascii="Times New Roman" w:hAnsi="Times New Roman" w:cs="Courier New"/>
      </w:rPr>
    </w:lvl>
    <w:lvl w:ilvl="2">
      <w:numFmt w:val="bullet"/>
      <w:lvlText w:val=""/>
      <w:lvlJc w:val="left"/>
      <w:pPr>
        <w:tabs>
          <w:tab w:val="num" w:pos="0"/>
        </w:tabs>
        <w:ind w:left="1800" w:hanging="360"/>
      </w:pPr>
      <w:rPr>
        <w:rFonts w:ascii="Wingdings" w:hAnsi="Wingdings"/>
      </w:rPr>
    </w:lvl>
    <w:lvl w:ilvl="3">
      <w:numFmt w:val="bullet"/>
      <w:lvlText w:val=""/>
      <w:lvlJc w:val="left"/>
      <w:pPr>
        <w:tabs>
          <w:tab w:val="num" w:pos="0"/>
        </w:tabs>
        <w:ind w:left="2520" w:hanging="360"/>
      </w:pPr>
      <w:rPr>
        <w:rFonts w:ascii="Symbol" w:hAnsi="Symbol"/>
      </w:rPr>
    </w:lvl>
    <w:lvl w:ilvl="4">
      <w:numFmt w:val="bullet"/>
      <w:lvlText w:val="o"/>
      <w:lvlJc w:val="left"/>
      <w:pPr>
        <w:tabs>
          <w:tab w:val="num" w:pos="0"/>
        </w:tabs>
        <w:ind w:left="3240" w:hanging="360"/>
      </w:pPr>
      <w:rPr>
        <w:rFonts w:ascii="Courier New" w:hAnsi="Courier New" w:cs="Courier New"/>
      </w:rPr>
    </w:lvl>
    <w:lvl w:ilvl="5">
      <w:numFmt w:val="bullet"/>
      <w:lvlText w:val=""/>
      <w:lvlJc w:val="left"/>
      <w:pPr>
        <w:tabs>
          <w:tab w:val="num" w:pos="0"/>
        </w:tabs>
        <w:ind w:left="3960" w:hanging="360"/>
      </w:pPr>
      <w:rPr>
        <w:rFonts w:ascii="Wingdings" w:hAnsi="Wingdings"/>
      </w:rPr>
    </w:lvl>
    <w:lvl w:ilvl="6">
      <w:numFmt w:val="bullet"/>
      <w:lvlText w:val=""/>
      <w:lvlJc w:val="left"/>
      <w:pPr>
        <w:tabs>
          <w:tab w:val="num" w:pos="0"/>
        </w:tabs>
        <w:ind w:left="4680" w:hanging="360"/>
      </w:pPr>
      <w:rPr>
        <w:rFonts w:ascii="Symbol" w:hAnsi="Symbol"/>
      </w:rPr>
    </w:lvl>
    <w:lvl w:ilvl="7">
      <w:numFmt w:val="bullet"/>
      <w:lvlText w:val="o"/>
      <w:lvlJc w:val="left"/>
      <w:pPr>
        <w:tabs>
          <w:tab w:val="num" w:pos="0"/>
        </w:tabs>
        <w:ind w:left="5400" w:hanging="360"/>
      </w:pPr>
      <w:rPr>
        <w:rFonts w:ascii="Courier New" w:hAnsi="Courier New" w:cs="Courier New"/>
      </w:rPr>
    </w:lvl>
    <w:lvl w:ilvl="8">
      <w:numFmt w:val="bullet"/>
      <w:lvlText w:val=""/>
      <w:lvlJc w:val="left"/>
      <w:pPr>
        <w:tabs>
          <w:tab w:val="num" w:pos="0"/>
        </w:tabs>
        <w:ind w:left="6120" w:hanging="360"/>
      </w:pPr>
      <w:rPr>
        <w:rFonts w:ascii="Wingdings" w:hAnsi="Wingdings"/>
      </w:rPr>
    </w:lvl>
  </w:abstractNum>
  <w:abstractNum w:abstractNumId="9" w15:restartNumberingAfterBreak="0">
    <w:nsid w:val="002C3802"/>
    <w:multiLevelType w:val="multilevel"/>
    <w:tmpl w:val="E982A5E6"/>
    <w:styleLink w:val="WWOutlineListStyle"/>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0E630AB"/>
    <w:multiLevelType w:val="hybridMultilevel"/>
    <w:tmpl w:val="B6CC3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316D52"/>
    <w:multiLevelType w:val="hybridMultilevel"/>
    <w:tmpl w:val="64D4AC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4F71F1"/>
    <w:multiLevelType w:val="hybridMultilevel"/>
    <w:tmpl w:val="DB9EBA62"/>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15:restartNumberingAfterBreak="0">
    <w:nsid w:val="015C5A7D"/>
    <w:multiLevelType w:val="hybridMultilevel"/>
    <w:tmpl w:val="18085832"/>
    <w:lvl w:ilvl="0" w:tplc="373ED2EA">
      <w:start w:val="1"/>
      <w:numFmt w:val="bullet"/>
      <w:lvlText w:val=""/>
      <w:lvlJc w:val="left"/>
      <w:pPr>
        <w:ind w:left="360" w:hanging="360"/>
      </w:pPr>
      <w:rPr>
        <w:rFonts w:ascii="Wingdings" w:hAnsi="Wingdings" w:hint="default"/>
        <w:sz w:val="18"/>
        <w:szCs w:val="18"/>
      </w:rPr>
    </w:lvl>
    <w:lvl w:ilvl="1" w:tplc="E2264E2C">
      <w:start w:val="1"/>
      <w:numFmt w:val="bullet"/>
      <w:lvlText w:val="o"/>
      <w:lvlJc w:val="left"/>
      <w:pPr>
        <w:ind w:left="1080" w:hanging="360"/>
      </w:pPr>
      <w:rPr>
        <w:rFonts w:ascii="Courier New" w:hAnsi="Courier New" w:cs="Courier New" w:hint="default"/>
      </w:rPr>
    </w:lvl>
    <w:lvl w:ilvl="2" w:tplc="4C3053AE" w:tentative="1">
      <w:start w:val="1"/>
      <w:numFmt w:val="bullet"/>
      <w:lvlText w:val=""/>
      <w:lvlJc w:val="left"/>
      <w:pPr>
        <w:ind w:left="1800" w:hanging="360"/>
      </w:pPr>
      <w:rPr>
        <w:rFonts w:ascii="Wingdings" w:hAnsi="Wingdings" w:hint="default"/>
      </w:rPr>
    </w:lvl>
    <w:lvl w:ilvl="3" w:tplc="D2328680" w:tentative="1">
      <w:start w:val="1"/>
      <w:numFmt w:val="bullet"/>
      <w:lvlText w:val=""/>
      <w:lvlJc w:val="left"/>
      <w:pPr>
        <w:ind w:left="2520" w:hanging="360"/>
      </w:pPr>
      <w:rPr>
        <w:rFonts w:ascii="Symbol" w:hAnsi="Symbol" w:hint="default"/>
      </w:rPr>
    </w:lvl>
    <w:lvl w:ilvl="4" w:tplc="768C4EE0" w:tentative="1">
      <w:start w:val="1"/>
      <w:numFmt w:val="bullet"/>
      <w:lvlText w:val="o"/>
      <w:lvlJc w:val="left"/>
      <w:pPr>
        <w:ind w:left="3240" w:hanging="360"/>
      </w:pPr>
      <w:rPr>
        <w:rFonts w:ascii="Courier New" w:hAnsi="Courier New" w:cs="Courier New" w:hint="default"/>
      </w:rPr>
    </w:lvl>
    <w:lvl w:ilvl="5" w:tplc="6B7E2610" w:tentative="1">
      <w:start w:val="1"/>
      <w:numFmt w:val="bullet"/>
      <w:lvlText w:val=""/>
      <w:lvlJc w:val="left"/>
      <w:pPr>
        <w:ind w:left="3960" w:hanging="360"/>
      </w:pPr>
      <w:rPr>
        <w:rFonts w:ascii="Wingdings" w:hAnsi="Wingdings" w:hint="default"/>
      </w:rPr>
    </w:lvl>
    <w:lvl w:ilvl="6" w:tplc="B78E30A8" w:tentative="1">
      <w:start w:val="1"/>
      <w:numFmt w:val="bullet"/>
      <w:lvlText w:val=""/>
      <w:lvlJc w:val="left"/>
      <w:pPr>
        <w:ind w:left="4680" w:hanging="360"/>
      </w:pPr>
      <w:rPr>
        <w:rFonts w:ascii="Symbol" w:hAnsi="Symbol" w:hint="default"/>
      </w:rPr>
    </w:lvl>
    <w:lvl w:ilvl="7" w:tplc="F2C2A556" w:tentative="1">
      <w:start w:val="1"/>
      <w:numFmt w:val="bullet"/>
      <w:lvlText w:val="o"/>
      <w:lvlJc w:val="left"/>
      <w:pPr>
        <w:ind w:left="5400" w:hanging="360"/>
      </w:pPr>
      <w:rPr>
        <w:rFonts w:ascii="Courier New" w:hAnsi="Courier New" w:cs="Courier New" w:hint="default"/>
      </w:rPr>
    </w:lvl>
    <w:lvl w:ilvl="8" w:tplc="5364B570" w:tentative="1">
      <w:start w:val="1"/>
      <w:numFmt w:val="bullet"/>
      <w:lvlText w:val=""/>
      <w:lvlJc w:val="left"/>
      <w:pPr>
        <w:ind w:left="6120" w:hanging="360"/>
      </w:pPr>
      <w:rPr>
        <w:rFonts w:ascii="Wingdings" w:hAnsi="Wingdings" w:hint="default"/>
      </w:rPr>
    </w:lvl>
  </w:abstractNum>
  <w:abstractNum w:abstractNumId="14" w15:restartNumberingAfterBreak="0">
    <w:nsid w:val="01AC4365"/>
    <w:multiLevelType w:val="hybridMultilevel"/>
    <w:tmpl w:val="9E0CB3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DB4CD0"/>
    <w:multiLevelType w:val="hybridMultilevel"/>
    <w:tmpl w:val="3D708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36708A"/>
    <w:multiLevelType w:val="hybridMultilevel"/>
    <w:tmpl w:val="4AECCEC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7" w15:restartNumberingAfterBreak="0">
    <w:nsid w:val="02645626"/>
    <w:multiLevelType w:val="hybridMultilevel"/>
    <w:tmpl w:val="8E4A2C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2A47820"/>
    <w:multiLevelType w:val="multilevel"/>
    <w:tmpl w:val="662C4424"/>
    <w:styleLink w:val="WW8Num2"/>
    <w:lvl w:ilvl="0">
      <w:numFmt w:val="bullet"/>
      <w:pStyle w:val="ListBullet5"/>
      <w:lvlText w:val=""/>
      <w:lvlJc w:val="left"/>
      <w:pPr>
        <w:ind w:left="1492"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02FB777C"/>
    <w:multiLevelType w:val="hybridMultilevel"/>
    <w:tmpl w:val="2AB02C62"/>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 w15:restartNumberingAfterBreak="0">
    <w:nsid w:val="03521214"/>
    <w:multiLevelType w:val="hybridMultilevel"/>
    <w:tmpl w:val="724E8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5E4AC4"/>
    <w:multiLevelType w:val="hybridMultilevel"/>
    <w:tmpl w:val="E924C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38E0FFD"/>
    <w:multiLevelType w:val="hybridMultilevel"/>
    <w:tmpl w:val="FA181308"/>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23" w15:restartNumberingAfterBreak="0">
    <w:nsid w:val="03AB7325"/>
    <w:multiLevelType w:val="hybridMultilevel"/>
    <w:tmpl w:val="5C663D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03F03359"/>
    <w:multiLevelType w:val="hybridMultilevel"/>
    <w:tmpl w:val="353A8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3F57A8F"/>
    <w:multiLevelType w:val="hybridMultilevel"/>
    <w:tmpl w:val="3762FE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45A2770"/>
    <w:multiLevelType w:val="hybridMultilevel"/>
    <w:tmpl w:val="235AAE5E"/>
    <w:lvl w:ilvl="0" w:tplc="418C0F74">
      <w:start w:val="1"/>
      <w:numFmt w:val="bullet"/>
      <w:lvlText w:val="o"/>
      <w:lvlJc w:val="left"/>
      <w:pPr>
        <w:ind w:left="720" w:hanging="360"/>
      </w:pPr>
      <w:rPr>
        <w:rFonts w:ascii="Courier New" w:hAnsi="Courier New" w:cs="Courier New" w:hint="default"/>
      </w:rPr>
    </w:lvl>
    <w:lvl w:ilvl="1" w:tplc="3F7E37C4" w:tentative="1">
      <w:start w:val="1"/>
      <w:numFmt w:val="bullet"/>
      <w:lvlText w:val="o"/>
      <w:lvlJc w:val="left"/>
      <w:pPr>
        <w:ind w:left="1440" w:hanging="360"/>
      </w:pPr>
      <w:rPr>
        <w:rFonts w:ascii="Courier New" w:hAnsi="Courier New" w:cs="Courier New" w:hint="default"/>
      </w:rPr>
    </w:lvl>
    <w:lvl w:ilvl="2" w:tplc="A64641AC" w:tentative="1">
      <w:start w:val="1"/>
      <w:numFmt w:val="bullet"/>
      <w:lvlText w:val=""/>
      <w:lvlJc w:val="left"/>
      <w:pPr>
        <w:ind w:left="2160" w:hanging="360"/>
      </w:pPr>
      <w:rPr>
        <w:rFonts w:ascii="Wingdings" w:hAnsi="Wingdings" w:hint="default"/>
      </w:rPr>
    </w:lvl>
    <w:lvl w:ilvl="3" w:tplc="E03E51EA" w:tentative="1">
      <w:start w:val="1"/>
      <w:numFmt w:val="bullet"/>
      <w:lvlText w:val=""/>
      <w:lvlJc w:val="left"/>
      <w:pPr>
        <w:ind w:left="2880" w:hanging="360"/>
      </w:pPr>
      <w:rPr>
        <w:rFonts w:ascii="Symbol" w:hAnsi="Symbol" w:hint="default"/>
      </w:rPr>
    </w:lvl>
    <w:lvl w:ilvl="4" w:tplc="0D4ECB68" w:tentative="1">
      <w:start w:val="1"/>
      <w:numFmt w:val="bullet"/>
      <w:lvlText w:val="o"/>
      <w:lvlJc w:val="left"/>
      <w:pPr>
        <w:ind w:left="3600" w:hanging="360"/>
      </w:pPr>
      <w:rPr>
        <w:rFonts w:ascii="Courier New" w:hAnsi="Courier New" w:cs="Courier New" w:hint="default"/>
      </w:rPr>
    </w:lvl>
    <w:lvl w:ilvl="5" w:tplc="0C2AEB02" w:tentative="1">
      <w:start w:val="1"/>
      <w:numFmt w:val="bullet"/>
      <w:lvlText w:val=""/>
      <w:lvlJc w:val="left"/>
      <w:pPr>
        <w:ind w:left="4320" w:hanging="360"/>
      </w:pPr>
      <w:rPr>
        <w:rFonts w:ascii="Wingdings" w:hAnsi="Wingdings" w:hint="default"/>
      </w:rPr>
    </w:lvl>
    <w:lvl w:ilvl="6" w:tplc="3140CB3E" w:tentative="1">
      <w:start w:val="1"/>
      <w:numFmt w:val="bullet"/>
      <w:lvlText w:val=""/>
      <w:lvlJc w:val="left"/>
      <w:pPr>
        <w:ind w:left="5040" w:hanging="360"/>
      </w:pPr>
      <w:rPr>
        <w:rFonts w:ascii="Symbol" w:hAnsi="Symbol" w:hint="default"/>
      </w:rPr>
    </w:lvl>
    <w:lvl w:ilvl="7" w:tplc="A2F62EA4" w:tentative="1">
      <w:start w:val="1"/>
      <w:numFmt w:val="bullet"/>
      <w:lvlText w:val="o"/>
      <w:lvlJc w:val="left"/>
      <w:pPr>
        <w:ind w:left="5760" w:hanging="360"/>
      </w:pPr>
      <w:rPr>
        <w:rFonts w:ascii="Courier New" w:hAnsi="Courier New" w:cs="Courier New" w:hint="default"/>
      </w:rPr>
    </w:lvl>
    <w:lvl w:ilvl="8" w:tplc="A55E8AE4" w:tentative="1">
      <w:start w:val="1"/>
      <w:numFmt w:val="bullet"/>
      <w:lvlText w:val=""/>
      <w:lvlJc w:val="left"/>
      <w:pPr>
        <w:ind w:left="6480" w:hanging="360"/>
      </w:pPr>
      <w:rPr>
        <w:rFonts w:ascii="Wingdings" w:hAnsi="Wingdings" w:hint="default"/>
      </w:rPr>
    </w:lvl>
  </w:abstractNum>
  <w:abstractNum w:abstractNumId="27" w15:restartNumberingAfterBreak="0">
    <w:nsid w:val="047537E5"/>
    <w:multiLevelType w:val="hybridMultilevel"/>
    <w:tmpl w:val="2B6415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4E02B75"/>
    <w:multiLevelType w:val="multilevel"/>
    <w:tmpl w:val="DFC4EDA8"/>
    <w:styleLink w:val="WW8Num30"/>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 w15:restartNumberingAfterBreak="0">
    <w:nsid w:val="0547249D"/>
    <w:multiLevelType w:val="hybridMultilevel"/>
    <w:tmpl w:val="C770C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5512335"/>
    <w:multiLevelType w:val="hybridMultilevel"/>
    <w:tmpl w:val="C83E80D0"/>
    <w:lvl w:ilvl="0" w:tplc="106A10F6">
      <w:start w:val="1"/>
      <w:numFmt w:val="bullet"/>
      <w:lvlText w:val="o"/>
      <w:lvlJc w:val="left"/>
      <w:pPr>
        <w:ind w:left="1068" w:hanging="360"/>
      </w:pPr>
      <w:rPr>
        <w:rFonts w:ascii="Courier New" w:hAnsi="Courier New" w:cs="Courier New" w:hint="default"/>
        <w:sz w:val="18"/>
        <w:szCs w:val="18"/>
      </w:rPr>
    </w:lvl>
    <w:lvl w:ilvl="1" w:tplc="DA5816EC" w:tentative="1">
      <w:start w:val="1"/>
      <w:numFmt w:val="bullet"/>
      <w:lvlText w:val="o"/>
      <w:lvlJc w:val="left"/>
      <w:pPr>
        <w:ind w:left="1788" w:hanging="360"/>
      </w:pPr>
      <w:rPr>
        <w:rFonts w:ascii="Courier New" w:hAnsi="Courier New" w:cs="Courier New" w:hint="default"/>
      </w:rPr>
    </w:lvl>
    <w:lvl w:ilvl="2" w:tplc="A716AB9A" w:tentative="1">
      <w:start w:val="1"/>
      <w:numFmt w:val="bullet"/>
      <w:lvlText w:val=""/>
      <w:lvlJc w:val="left"/>
      <w:pPr>
        <w:ind w:left="2508" w:hanging="360"/>
      </w:pPr>
      <w:rPr>
        <w:rFonts w:ascii="Wingdings" w:hAnsi="Wingdings" w:hint="default"/>
      </w:rPr>
    </w:lvl>
    <w:lvl w:ilvl="3" w:tplc="BA561436" w:tentative="1">
      <w:start w:val="1"/>
      <w:numFmt w:val="bullet"/>
      <w:lvlText w:val=""/>
      <w:lvlJc w:val="left"/>
      <w:pPr>
        <w:ind w:left="3228" w:hanging="360"/>
      </w:pPr>
      <w:rPr>
        <w:rFonts w:ascii="Symbol" w:hAnsi="Symbol" w:hint="default"/>
      </w:rPr>
    </w:lvl>
    <w:lvl w:ilvl="4" w:tplc="E028EFC8" w:tentative="1">
      <w:start w:val="1"/>
      <w:numFmt w:val="bullet"/>
      <w:lvlText w:val="o"/>
      <w:lvlJc w:val="left"/>
      <w:pPr>
        <w:ind w:left="3948" w:hanging="360"/>
      </w:pPr>
      <w:rPr>
        <w:rFonts w:ascii="Courier New" w:hAnsi="Courier New" w:cs="Courier New" w:hint="default"/>
      </w:rPr>
    </w:lvl>
    <w:lvl w:ilvl="5" w:tplc="53CC254A" w:tentative="1">
      <w:start w:val="1"/>
      <w:numFmt w:val="bullet"/>
      <w:lvlText w:val=""/>
      <w:lvlJc w:val="left"/>
      <w:pPr>
        <w:ind w:left="4668" w:hanging="360"/>
      </w:pPr>
      <w:rPr>
        <w:rFonts w:ascii="Wingdings" w:hAnsi="Wingdings" w:hint="default"/>
      </w:rPr>
    </w:lvl>
    <w:lvl w:ilvl="6" w:tplc="0862E884" w:tentative="1">
      <w:start w:val="1"/>
      <w:numFmt w:val="bullet"/>
      <w:lvlText w:val=""/>
      <w:lvlJc w:val="left"/>
      <w:pPr>
        <w:ind w:left="5388" w:hanging="360"/>
      </w:pPr>
      <w:rPr>
        <w:rFonts w:ascii="Symbol" w:hAnsi="Symbol" w:hint="default"/>
      </w:rPr>
    </w:lvl>
    <w:lvl w:ilvl="7" w:tplc="CADC03D0" w:tentative="1">
      <w:start w:val="1"/>
      <w:numFmt w:val="bullet"/>
      <w:lvlText w:val="o"/>
      <w:lvlJc w:val="left"/>
      <w:pPr>
        <w:ind w:left="6108" w:hanging="360"/>
      </w:pPr>
      <w:rPr>
        <w:rFonts w:ascii="Courier New" w:hAnsi="Courier New" w:cs="Courier New" w:hint="default"/>
      </w:rPr>
    </w:lvl>
    <w:lvl w:ilvl="8" w:tplc="C0AC1DBC" w:tentative="1">
      <w:start w:val="1"/>
      <w:numFmt w:val="bullet"/>
      <w:lvlText w:val=""/>
      <w:lvlJc w:val="left"/>
      <w:pPr>
        <w:ind w:left="6828" w:hanging="360"/>
      </w:pPr>
      <w:rPr>
        <w:rFonts w:ascii="Wingdings" w:hAnsi="Wingdings" w:hint="default"/>
      </w:rPr>
    </w:lvl>
  </w:abstractNum>
  <w:abstractNum w:abstractNumId="31"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05565F4C"/>
    <w:multiLevelType w:val="hybridMultilevel"/>
    <w:tmpl w:val="4E3CA890"/>
    <w:lvl w:ilvl="0" w:tplc="04090005">
      <w:start w:val="1"/>
      <w:numFmt w:val="bullet"/>
      <w:lvlText w:val=""/>
      <w:lvlJc w:val="left"/>
      <w:pPr>
        <w:ind w:left="360" w:hanging="360"/>
      </w:pPr>
      <w:rPr>
        <w:rFonts w:ascii="Wingdings" w:hAnsi="Wingdings" w:hint="default"/>
      </w:rPr>
    </w:lvl>
    <w:lvl w:ilvl="1" w:tplc="687A8020">
      <w:start w:val="1"/>
      <w:numFmt w:val="bullet"/>
      <w:lvlText w:val="-"/>
      <w:lvlJc w:val="left"/>
      <w:pPr>
        <w:ind w:left="1080" w:hanging="360"/>
      </w:pPr>
      <w:rPr>
        <w:rFonts w:ascii="Verdana" w:eastAsia="Times New Roman" w:hAnsi="Verdana"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6175128"/>
    <w:multiLevelType w:val="multilevel"/>
    <w:tmpl w:val="54A263C6"/>
    <w:styleLink w:val="WW8Num36"/>
    <w:lvl w:ilvl="0">
      <w:numFmt w:val="bullet"/>
      <w:lvlText w:val=""/>
      <w:lvlJc w:val="left"/>
      <w:pPr>
        <w:ind w:left="3240" w:hanging="360"/>
      </w:pPr>
      <w:rPr>
        <w:rFonts w:ascii="Symbol" w:hAnsi="Symbol"/>
      </w:rPr>
    </w:lvl>
    <w:lvl w:ilvl="1">
      <w:numFmt w:val="bullet"/>
      <w:lvlText w:val="o"/>
      <w:lvlJc w:val="left"/>
      <w:pPr>
        <w:ind w:left="3960" w:hanging="360"/>
      </w:pPr>
      <w:rPr>
        <w:rFonts w:ascii="Courier New" w:hAnsi="Courier New" w:cs="Courier New"/>
      </w:rPr>
    </w:lvl>
    <w:lvl w:ilvl="2">
      <w:numFmt w:val="bullet"/>
      <w:lvlText w:val=""/>
      <w:lvlJc w:val="left"/>
      <w:pPr>
        <w:ind w:left="4680" w:hanging="360"/>
      </w:pPr>
      <w:rPr>
        <w:rFonts w:ascii="Wingdings" w:hAnsi="Wingdings"/>
      </w:rPr>
    </w:lvl>
    <w:lvl w:ilvl="3">
      <w:numFmt w:val="bullet"/>
      <w:lvlText w:val=""/>
      <w:lvlJc w:val="left"/>
      <w:pPr>
        <w:ind w:left="5400" w:hanging="360"/>
      </w:pPr>
      <w:rPr>
        <w:rFonts w:ascii="Symbol" w:hAnsi="Symbol"/>
      </w:rPr>
    </w:lvl>
    <w:lvl w:ilvl="4">
      <w:numFmt w:val="bullet"/>
      <w:lvlText w:val="o"/>
      <w:lvlJc w:val="left"/>
      <w:pPr>
        <w:ind w:left="6120" w:hanging="360"/>
      </w:pPr>
      <w:rPr>
        <w:rFonts w:ascii="Courier New" w:hAnsi="Courier New" w:cs="Courier New"/>
      </w:rPr>
    </w:lvl>
    <w:lvl w:ilvl="5">
      <w:numFmt w:val="bullet"/>
      <w:lvlText w:val=""/>
      <w:lvlJc w:val="left"/>
      <w:pPr>
        <w:ind w:left="6840" w:hanging="360"/>
      </w:pPr>
      <w:rPr>
        <w:rFonts w:ascii="Wingdings" w:hAnsi="Wingdings"/>
      </w:rPr>
    </w:lvl>
    <w:lvl w:ilvl="6">
      <w:numFmt w:val="bullet"/>
      <w:lvlText w:val=""/>
      <w:lvlJc w:val="left"/>
      <w:pPr>
        <w:ind w:left="7560" w:hanging="360"/>
      </w:pPr>
      <w:rPr>
        <w:rFonts w:ascii="Symbol" w:hAnsi="Symbol"/>
      </w:rPr>
    </w:lvl>
    <w:lvl w:ilvl="7">
      <w:numFmt w:val="bullet"/>
      <w:lvlText w:val="o"/>
      <w:lvlJc w:val="left"/>
      <w:pPr>
        <w:ind w:left="8280" w:hanging="360"/>
      </w:pPr>
      <w:rPr>
        <w:rFonts w:ascii="Courier New" w:hAnsi="Courier New" w:cs="Courier New"/>
      </w:rPr>
    </w:lvl>
    <w:lvl w:ilvl="8">
      <w:numFmt w:val="bullet"/>
      <w:lvlText w:val=""/>
      <w:lvlJc w:val="left"/>
      <w:pPr>
        <w:ind w:left="9000" w:hanging="360"/>
      </w:pPr>
      <w:rPr>
        <w:rFonts w:ascii="Wingdings" w:hAnsi="Wingdings"/>
      </w:rPr>
    </w:lvl>
  </w:abstractNum>
  <w:abstractNum w:abstractNumId="34" w15:restartNumberingAfterBreak="0">
    <w:nsid w:val="062566F4"/>
    <w:multiLevelType w:val="hybridMultilevel"/>
    <w:tmpl w:val="C6009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6517A91"/>
    <w:multiLevelType w:val="hybridMultilevel"/>
    <w:tmpl w:val="DB4A2CB0"/>
    <w:lvl w:ilvl="0" w:tplc="04090005">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6" w15:restartNumberingAfterBreak="0">
    <w:nsid w:val="06564A45"/>
    <w:multiLevelType w:val="hybridMultilevel"/>
    <w:tmpl w:val="196ED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679124A"/>
    <w:multiLevelType w:val="hybridMultilevel"/>
    <w:tmpl w:val="9AD69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6DD7CD7"/>
    <w:multiLevelType w:val="hybridMultilevel"/>
    <w:tmpl w:val="139811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6EF1EEF"/>
    <w:multiLevelType w:val="hybridMultilevel"/>
    <w:tmpl w:val="D4D0CC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6F10C9F"/>
    <w:multiLevelType w:val="hybridMultilevel"/>
    <w:tmpl w:val="C018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6FD3A21"/>
    <w:multiLevelType w:val="hybridMultilevel"/>
    <w:tmpl w:val="8800E11C"/>
    <w:lvl w:ilvl="0" w:tplc="04090005">
      <w:start w:val="1"/>
      <w:numFmt w:val="bullet"/>
      <w:lvlText w:val=""/>
      <w:lvlJc w:val="left"/>
      <w:pPr>
        <w:ind w:left="360" w:hanging="360"/>
      </w:pPr>
      <w:rPr>
        <w:rFonts w:ascii="Wingdings" w:hAnsi="Wingdings" w:hint="default"/>
      </w:rPr>
    </w:lvl>
    <w:lvl w:ilvl="1" w:tplc="D01C70BA">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73C4052"/>
    <w:multiLevelType w:val="hybridMultilevel"/>
    <w:tmpl w:val="B9465794"/>
    <w:lvl w:ilvl="0" w:tplc="687A8020">
      <w:start w:val="1"/>
      <w:numFmt w:val="bullet"/>
      <w:lvlText w:val="-"/>
      <w:lvlJc w:val="left"/>
      <w:pPr>
        <w:tabs>
          <w:tab w:val="num" w:pos="720"/>
        </w:tabs>
        <w:ind w:left="720" w:hanging="360"/>
      </w:pPr>
      <w:rPr>
        <w:rFonts w:ascii="Verdana" w:eastAsia="Times New Roman" w:hAnsi="Verdana" w:cs="Times New Roman" w:hint="default"/>
      </w:rPr>
    </w:lvl>
    <w:lvl w:ilvl="1" w:tplc="687A8020">
      <w:start w:val="1"/>
      <w:numFmt w:val="bullet"/>
      <w:lvlText w:val="-"/>
      <w:lvlJc w:val="left"/>
      <w:pPr>
        <w:tabs>
          <w:tab w:val="num" w:pos="1440"/>
        </w:tabs>
        <w:ind w:left="1440" w:hanging="360"/>
      </w:pPr>
      <w:rPr>
        <w:rFonts w:ascii="Verdana" w:eastAsia="Times New Roman" w:hAnsi="Verdana"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07BC6F48"/>
    <w:multiLevelType w:val="hybridMultilevel"/>
    <w:tmpl w:val="B8C283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7D5178E"/>
    <w:multiLevelType w:val="hybridMultilevel"/>
    <w:tmpl w:val="C98EE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85B352A"/>
    <w:multiLevelType w:val="multilevel"/>
    <w:tmpl w:val="88EE8716"/>
    <w:styleLink w:val="WW8Num481"/>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6" w15:restartNumberingAfterBreak="0">
    <w:nsid w:val="08B246EE"/>
    <w:multiLevelType w:val="multilevel"/>
    <w:tmpl w:val="9FA61C72"/>
    <w:styleLink w:val="WW8Num37"/>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7" w15:restartNumberingAfterBreak="0">
    <w:nsid w:val="09221F80"/>
    <w:multiLevelType w:val="hybridMultilevel"/>
    <w:tmpl w:val="785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934442C"/>
    <w:multiLevelType w:val="multilevel"/>
    <w:tmpl w:val="FC6ECD38"/>
    <w:styleLink w:val="WW8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093C6DC4"/>
    <w:multiLevelType w:val="hybridMultilevel"/>
    <w:tmpl w:val="92A2F0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6E01D5"/>
    <w:multiLevelType w:val="multilevel"/>
    <w:tmpl w:val="061261C2"/>
    <w:styleLink w:val="WW8Num51"/>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1" w15:restartNumberingAfterBreak="0">
    <w:nsid w:val="0A020CC8"/>
    <w:multiLevelType w:val="hybridMultilevel"/>
    <w:tmpl w:val="2F228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A516A19"/>
    <w:multiLevelType w:val="multilevel"/>
    <w:tmpl w:val="077EB288"/>
    <w:styleLink w:val="WW8Num18"/>
    <w:lvl w:ilvl="0">
      <w:numFmt w:val="bullet"/>
      <w:lvlText w:val="="/>
      <w:lvlJc w:val="left"/>
      <w:pPr>
        <w:ind w:left="2214" w:hanging="360"/>
      </w:pPr>
      <w:rPr>
        <w:rFonts w:ascii="Calibri" w:hAnsi="Calibri"/>
      </w:rPr>
    </w:lvl>
    <w:lvl w:ilvl="1">
      <w:numFmt w:val="bullet"/>
      <w:lvlText w:val="o"/>
      <w:lvlJc w:val="left"/>
      <w:pPr>
        <w:ind w:left="2934" w:hanging="360"/>
      </w:pPr>
      <w:rPr>
        <w:rFonts w:ascii="Courier New" w:hAnsi="Courier New"/>
      </w:rPr>
    </w:lvl>
    <w:lvl w:ilvl="2">
      <w:numFmt w:val="bullet"/>
      <w:lvlText w:val=""/>
      <w:lvlJc w:val="left"/>
      <w:pPr>
        <w:ind w:left="3654" w:hanging="360"/>
      </w:pPr>
      <w:rPr>
        <w:rFonts w:ascii="Wingdings" w:hAnsi="Wingdings"/>
      </w:rPr>
    </w:lvl>
    <w:lvl w:ilvl="3">
      <w:numFmt w:val="bullet"/>
      <w:lvlText w:val=""/>
      <w:lvlJc w:val="left"/>
      <w:pPr>
        <w:ind w:left="4374" w:hanging="360"/>
      </w:pPr>
      <w:rPr>
        <w:rFonts w:ascii="Symbol" w:hAnsi="Symbol"/>
      </w:rPr>
    </w:lvl>
    <w:lvl w:ilvl="4">
      <w:numFmt w:val="bullet"/>
      <w:lvlText w:val="o"/>
      <w:lvlJc w:val="left"/>
      <w:pPr>
        <w:ind w:left="5094" w:hanging="360"/>
      </w:pPr>
      <w:rPr>
        <w:rFonts w:ascii="Courier New" w:hAnsi="Courier New"/>
      </w:rPr>
    </w:lvl>
    <w:lvl w:ilvl="5">
      <w:numFmt w:val="bullet"/>
      <w:lvlText w:val=""/>
      <w:lvlJc w:val="left"/>
      <w:pPr>
        <w:ind w:left="5814" w:hanging="360"/>
      </w:pPr>
      <w:rPr>
        <w:rFonts w:ascii="Wingdings" w:hAnsi="Wingdings"/>
      </w:rPr>
    </w:lvl>
    <w:lvl w:ilvl="6">
      <w:numFmt w:val="bullet"/>
      <w:lvlText w:val=""/>
      <w:lvlJc w:val="left"/>
      <w:pPr>
        <w:ind w:left="6534" w:hanging="360"/>
      </w:pPr>
      <w:rPr>
        <w:rFonts w:ascii="Symbol" w:hAnsi="Symbol"/>
      </w:rPr>
    </w:lvl>
    <w:lvl w:ilvl="7">
      <w:numFmt w:val="bullet"/>
      <w:lvlText w:val="o"/>
      <w:lvlJc w:val="left"/>
      <w:pPr>
        <w:ind w:left="7254" w:hanging="360"/>
      </w:pPr>
      <w:rPr>
        <w:rFonts w:ascii="Courier New" w:hAnsi="Courier New"/>
      </w:rPr>
    </w:lvl>
    <w:lvl w:ilvl="8">
      <w:numFmt w:val="bullet"/>
      <w:lvlText w:val=""/>
      <w:lvlJc w:val="left"/>
      <w:pPr>
        <w:ind w:left="7974" w:hanging="360"/>
      </w:pPr>
      <w:rPr>
        <w:rFonts w:ascii="Wingdings" w:hAnsi="Wingdings"/>
      </w:rPr>
    </w:lvl>
  </w:abstractNum>
  <w:abstractNum w:abstractNumId="53" w15:restartNumberingAfterBreak="0">
    <w:nsid w:val="0A8E2008"/>
    <w:multiLevelType w:val="hybridMultilevel"/>
    <w:tmpl w:val="2FE4B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0AD82E84"/>
    <w:multiLevelType w:val="hybridMultilevel"/>
    <w:tmpl w:val="1172BFD2"/>
    <w:lvl w:ilvl="0" w:tplc="5524D6A8">
      <w:start w:val="1"/>
      <w:numFmt w:val="lowerRoman"/>
      <w:pStyle w:val="Guide-ListLetterTable"/>
      <w:lvlText w:val="%1."/>
      <w:lvlJc w:val="right"/>
      <w:pPr>
        <w:ind w:left="720" w:hanging="360"/>
      </w:pPr>
      <w:rPr>
        <w:rFonts w:hint="default"/>
        <w:color w:val="auto"/>
      </w:rPr>
    </w:lvl>
    <w:lvl w:ilvl="1" w:tplc="24DA2C7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0AF63274"/>
    <w:multiLevelType w:val="hybridMultilevel"/>
    <w:tmpl w:val="8010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AFF03A8"/>
    <w:multiLevelType w:val="multilevel"/>
    <w:tmpl w:val="E9923A24"/>
    <w:styleLink w:val="WW8Num1"/>
    <w:lvl w:ilvl="0">
      <w:start w:val="1"/>
      <w:numFmt w:val="decimal"/>
      <w:pStyle w:val="ListNumber5"/>
      <w:lvlText w:val="%1."/>
      <w:lvlJc w:val="left"/>
      <w:pPr>
        <w:ind w:left="1492"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0BA6002D"/>
    <w:multiLevelType w:val="hybridMultilevel"/>
    <w:tmpl w:val="EC7CD090"/>
    <w:lvl w:ilvl="0" w:tplc="81F0519C">
      <w:start w:val="1"/>
      <w:numFmt w:val="bullet"/>
      <w:lvlText w:val=""/>
      <w:lvlJc w:val="left"/>
      <w:pPr>
        <w:ind w:left="720" w:hanging="360"/>
      </w:pPr>
      <w:rPr>
        <w:rFonts w:ascii="Symbol" w:hAnsi="Symbol" w:hint="default"/>
      </w:rPr>
    </w:lvl>
    <w:lvl w:ilvl="1" w:tplc="374485B8" w:tentative="1">
      <w:start w:val="1"/>
      <w:numFmt w:val="bullet"/>
      <w:lvlText w:val="o"/>
      <w:lvlJc w:val="left"/>
      <w:pPr>
        <w:ind w:left="1440" w:hanging="360"/>
      </w:pPr>
      <w:rPr>
        <w:rFonts w:ascii="Courier New" w:hAnsi="Courier New" w:cs="Courier New" w:hint="default"/>
      </w:rPr>
    </w:lvl>
    <w:lvl w:ilvl="2" w:tplc="8E887782" w:tentative="1">
      <w:start w:val="1"/>
      <w:numFmt w:val="bullet"/>
      <w:lvlText w:val=""/>
      <w:lvlJc w:val="left"/>
      <w:pPr>
        <w:ind w:left="2160" w:hanging="360"/>
      </w:pPr>
      <w:rPr>
        <w:rFonts w:ascii="Wingdings" w:hAnsi="Wingdings" w:hint="default"/>
      </w:rPr>
    </w:lvl>
    <w:lvl w:ilvl="3" w:tplc="5944EE66" w:tentative="1">
      <w:start w:val="1"/>
      <w:numFmt w:val="bullet"/>
      <w:lvlText w:val=""/>
      <w:lvlJc w:val="left"/>
      <w:pPr>
        <w:ind w:left="2880" w:hanging="360"/>
      </w:pPr>
      <w:rPr>
        <w:rFonts w:ascii="Symbol" w:hAnsi="Symbol" w:hint="default"/>
      </w:rPr>
    </w:lvl>
    <w:lvl w:ilvl="4" w:tplc="6416F85C" w:tentative="1">
      <w:start w:val="1"/>
      <w:numFmt w:val="bullet"/>
      <w:lvlText w:val="o"/>
      <w:lvlJc w:val="left"/>
      <w:pPr>
        <w:ind w:left="3600" w:hanging="360"/>
      </w:pPr>
      <w:rPr>
        <w:rFonts w:ascii="Courier New" w:hAnsi="Courier New" w:cs="Courier New" w:hint="default"/>
      </w:rPr>
    </w:lvl>
    <w:lvl w:ilvl="5" w:tplc="85966EA4" w:tentative="1">
      <w:start w:val="1"/>
      <w:numFmt w:val="bullet"/>
      <w:lvlText w:val=""/>
      <w:lvlJc w:val="left"/>
      <w:pPr>
        <w:ind w:left="4320" w:hanging="360"/>
      </w:pPr>
      <w:rPr>
        <w:rFonts w:ascii="Wingdings" w:hAnsi="Wingdings" w:hint="default"/>
      </w:rPr>
    </w:lvl>
    <w:lvl w:ilvl="6" w:tplc="E32CC17E" w:tentative="1">
      <w:start w:val="1"/>
      <w:numFmt w:val="bullet"/>
      <w:lvlText w:val=""/>
      <w:lvlJc w:val="left"/>
      <w:pPr>
        <w:ind w:left="5040" w:hanging="360"/>
      </w:pPr>
      <w:rPr>
        <w:rFonts w:ascii="Symbol" w:hAnsi="Symbol" w:hint="default"/>
      </w:rPr>
    </w:lvl>
    <w:lvl w:ilvl="7" w:tplc="A75E5A12" w:tentative="1">
      <w:start w:val="1"/>
      <w:numFmt w:val="bullet"/>
      <w:lvlText w:val="o"/>
      <w:lvlJc w:val="left"/>
      <w:pPr>
        <w:ind w:left="5760" w:hanging="360"/>
      </w:pPr>
      <w:rPr>
        <w:rFonts w:ascii="Courier New" w:hAnsi="Courier New" w:cs="Courier New" w:hint="default"/>
      </w:rPr>
    </w:lvl>
    <w:lvl w:ilvl="8" w:tplc="BB82E41E" w:tentative="1">
      <w:start w:val="1"/>
      <w:numFmt w:val="bullet"/>
      <w:lvlText w:val=""/>
      <w:lvlJc w:val="left"/>
      <w:pPr>
        <w:ind w:left="6480" w:hanging="360"/>
      </w:pPr>
      <w:rPr>
        <w:rFonts w:ascii="Wingdings" w:hAnsi="Wingdings" w:hint="default"/>
      </w:rPr>
    </w:lvl>
  </w:abstractNum>
  <w:abstractNum w:abstractNumId="58" w15:restartNumberingAfterBreak="0">
    <w:nsid w:val="0BE879B1"/>
    <w:multiLevelType w:val="hybridMultilevel"/>
    <w:tmpl w:val="8E60A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BE92C23"/>
    <w:multiLevelType w:val="multilevel"/>
    <w:tmpl w:val="D99A84D2"/>
    <w:styleLink w:val="WW8Num35"/>
    <w:lvl w:ilvl="0">
      <w:numFmt w:val="bullet"/>
      <w:lvlText w:val="–"/>
      <w:lvlJc w:val="left"/>
      <w:pPr>
        <w:ind w:left="1485"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0BEC069B"/>
    <w:multiLevelType w:val="hybridMultilevel"/>
    <w:tmpl w:val="19726B4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D005CC6"/>
    <w:multiLevelType w:val="hybridMultilevel"/>
    <w:tmpl w:val="B01C95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D04038E"/>
    <w:multiLevelType w:val="hybridMultilevel"/>
    <w:tmpl w:val="43C43AFC"/>
    <w:lvl w:ilvl="0" w:tplc="569E557A">
      <w:start w:val="1"/>
      <w:numFmt w:val="bullet"/>
      <w:lvlText w:val=""/>
      <w:lvlJc w:val="left"/>
      <w:pPr>
        <w:ind w:left="360" w:hanging="360"/>
      </w:pPr>
      <w:rPr>
        <w:rFonts w:ascii="Symbol" w:hAnsi="Symbol" w:hint="default"/>
        <w:sz w:val="18"/>
        <w:szCs w:val="18"/>
      </w:rPr>
    </w:lvl>
    <w:lvl w:ilvl="1" w:tplc="44D2B4D4" w:tentative="1">
      <w:start w:val="1"/>
      <w:numFmt w:val="bullet"/>
      <w:lvlText w:val="o"/>
      <w:lvlJc w:val="left"/>
      <w:pPr>
        <w:ind w:left="1080" w:hanging="360"/>
      </w:pPr>
      <w:rPr>
        <w:rFonts w:ascii="Courier New" w:hAnsi="Courier New" w:cs="Courier New" w:hint="default"/>
      </w:rPr>
    </w:lvl>
    <w:lvl w:ilvl="2" w:tplc="D604CF92" w:tentative="1">
      <w:start w:val="1"/>
      <w:numFmt w:val="bullet"/>
      <w:lvlText w:val=""/>
      <w:lvlJc w:val="left"/>
      <w:pPr>
        <w:ind w:left="1800" w:hanging="360"/>
      </w:pPr>
      <w:rPr>
        <w:rFonts w:ascii="Wingdings" w:hAnsi="Wingdings" w:hint="default"/>
      </w:rPr>
    </w:lvl>
    <w:lvl w:ilvl="3" w:tplc="936866FE" w:tentative="1">
      <w:start w:val="1"/>
      <w:numFmt w:val="bullet"/>
      <w:lvlText w:val=""/>
      <w:lvlJc w:val="left"/>
      <w:pPr>
        <w:ind w:left="2520" w:hanging="360"/>
      </w:pPr>
      <w:rPr>
        <w:rFonts w:ascii="Symbol" w:hAnsi="Symbol" w:hint="default"/>
      </w:rPr>
    </w:lvl>
    <w:lvl w:ilvl="4" w:tplc="7F102974" w:tentative="1">
      <w:start w:val="1"/>
      <w:numFmt w:val="bullet"/>
      <w:lvlText w:val="o"/>
      <w:lvlJc w:val="left"/>
      <w:pPr>
        <w:ind w:left="3240" w:hanging="360"/>
      </w:pPr>
      <w:rPr>
        <w:rFonts w:ascii="Courier New" w:hAnsi="Courier New" w:cs="Courier New" w:hint="default"/>
      </w:rPr>
    </w:lvl>
    <w:lvl w:ilvl="5" w:tplc="AD66A55C" w:tentative="1">
      <w:start w:val="1"/>
      <w:numFmt w:val="bullet"/>
      <w:lvlText w:val=""/>
      <w:lvlJc w:val="left"/>
      <w:pPr>
        <w:ind w:left="3960" w:hanging="360"/>
      </w:pPr>
      <w:rPr>
        <w:rFonts w:ascii="Wingdings" w:hAnsi="Wingdings" w:hint="default"/>
      </w:rPr>
    </w:lvl>
    <w:lvl w:ilvl="6" w:tplc="310AA926" w:tentative="1">
      <w:start w:val="1"/>
      <w:numFmt w:val="bullet"/>
      <w:lvlText w:val=""/>
      <w:lvlJc w:val="left"/>
      <w:pPr>
        <w:ind w:left="4680" w:hanging="360"/>
      </w:pPr>
      <w:rPr>
        <w:rFonts w:ascii="Symbol" w:hAnsi="Symbol" w:hint="default"/>
      </w:rPr>
    </w:lvl>
    <w:lvl w:ilvl="7" w:tplc="AB36C4BC" w:tentative="1">
      <w:start w:val="1"/>
      <w:numFmt w:val="bullet"/>
      <w:lvlText w:val="o"/>
      <w:lvlJc w:val="left"/>
      <w:pPr>
        <w:ind w:left="5400" w:hanging="360"/>
      </w:pPr>
      <w:rPr>
        <w:rFonts w:ascii="Courier New" w:hAnsi="Courier New" w:cs="Courier New" w:hint="default"/>
      </w:rPr>
    </w:lvl>
    <w:lvl w:ilvl="8" w:tplc="1478B606" w:tentative="1">
      <w:start w:val="1"/>
      <w:numFmt w:val="bullet"/>
      <w:lvlText w:val=""/>
      <w:lvlJc w:val="left"/>
      <w:pPr>
        <w:ind w:left="6120" w:hanging="360"/>
      </w:pPr>
      <w:rPr>
        <w:rFonts w:ascii="Wingdings" w:hAnsi="Wingdings" w:hint="default"/>
      </w:rPr>
    </w:lvl>
  </w:abstractNum>
  <w:abstractNum w:abstractNumId="63" w15:restartNumberingAfterBreak="0">
    <w:nsid w:val="0E9D554E"/>
    <w:multiLevelType w:val="hybridMultilevel"/>
    <w:tmpl w:val="5D841770"/>
    <w:lvl w:ilvl="0" w:tplc="08090005">
      <w:start w:val="1"/>
      <w:numFmt w:val="bullet"/>
      <w:lvlText w:val=""/>
      <w:lvlJc w:val="left"/>
      <w:pPr>
        <w:tabs>
          <w:tab w:val="num" w:pos="360"/>
        </w:tabs>
        <w:ind w:left="360" w:hanging="360"/>
      </w:pPr>
      <w:rPr>
        <w:rFonts w:ascii="Wingdings" w:hAnsi="Wingdings" w:hint="default"/>
      </w:rPr>
    </w:lvl>
    <w:lvl w:ilvl="1" w:tplc="687A8020">
      <w:start w:val="1"/>
      <w:numFmt w:val="bullet"/>
      <w:lvlText w:val="-"/>
      <w:lvlJc w:val="left"/>
      <w:pPr>
        <w:tabs>
          <w:tab w:val="num" w:pos="1080"/>
        </w:tabs>
        <w:ind w:left="1080" w:hanging="360"/>
      </w:pPr>
      <w:rPr>
        <w:rFonts w:ascii="Verdana" w:eastAsia="Times New Roman" w:hAnsi="Verdana"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0ED06ECB"/>
    <w:multiLevelType w:val="hybridMultilevel"/>
    <w:tmpl w:val="4E72D50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0ED5236E"/>
    <w:multiLevelType w:val="hybridMultilevel"/>
    <w:tmpl w:val="CDC6C5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0F0B5A0C"/>
    <w:multiLevelType w:val="multilevel"/>
    <w:tmpl w:val="89DE867E"/>
    <w:styleLink w:val="WW8Num40"/>
    <w:lvl w:ilvl="0">
      <w:numFmt w:val="bullet"/>
      <w:lvlText w:val="–"/>
      <w:lvlJc w:val="left"/>
      <w:pPr>
        <w:ind w:left="283"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0F183594"/>
    <w:multiLevelType w:val="hybridMultilevel"/>
    <w:tmpl w:val="44FE3908"/>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68" w15:restartNumberingAfterBreak="0">
    <w:nsid w:val="0F3D4467"/>
    <w:multiLevelType w:val="hybridMultilevel"/>
    <w:tmpl w:val="92822F3A"/>
    <w:lvl w:ilvl="0" w:tplc="E8F6BDE8">
      <w:start w:val="1"/>
      <w:numFmt w:val="bullet"/>
      <w:lvlText w:val=""/>
      <w:lvlJc w:val="left"/>
      <w:pPr>
        <w:ind w:left="786" w:hanging="360"/>
      </w:pPr>
      <w:rPr>
        <w:rFonts w:ascii="Symbol" w:hAnsi="Symbol" w:hint="default"/>
      </w:rPr>
    </w:lvl>
    <w:lvl w:ilvl="1" w:tplc="28E41E22">
      <w:start w:val="1"/>
      <w:numFmt w:val="bullet"/>
      <w:lvlText w:val="o"/>
      <w:lvlJc w:val="left"/>
      <w:pPr>
        <w:ind w:left="1506" w:hanging="360"/>
      </w:pPr>
      <w:rPr>
        <w:rFonts w:ascii="Courier New" w:hAnsi="Courier New" w:cs="Courier New" w:hint="default"/>
      </w:rPr>
    </w:lvl>
    <w:lvl w:ilvl="2" w:tplc="64F0C3F4" w:tentative="1">
      <w:start w:val="1"/>
      <w:numFmt w:val="bullet"/>
      <w:lvlText w:val=""/>
      <w:lvlJc w:val="left"/>
      <w:pPr>
        <w:ind w:left="2226" w:hanging="360"/>
      </w:pPr>
      <w:rPr>
        <w:rFonts w:ascii="Wingdings" w:hAnsi="Wingdings" w:hint="default"/>
      </w:rPr>
    </w:lvl>
    <w:lvl w:ilvl="3" w:tplc="F112BE28" w:tentative="1">
      <w:start w:val="1"/>
      <w:numFmt w:val="bullet"/>
      <w:lvlText w:val=""/>
      <w:lvlJc w:val="left"/>
      <w:pPr>
        <w:ind w:left="2946" w:hanging="360"/>
      </w:pPr>
      <w:rPr>
        <w:rFonts w:ascii="Symbol" w:hAnsi="Symbol" w:hint="default"/>
      </w:rPr>
    </w:lvl>
    <w:lvl w:ilvl="4" w:tplc="755CA534" w:tentative="1">
      <w:start w:val="1"/>
      <w:numFmt w:val="bullet"/>
      <w:lvlText w:val="o"/>
      <w:lvlJc w:val="left"/>
      <w:pPr>
        <w:ind w:left="3666" w:hanging="360"/>
      </w:pPr>
      <w:rPr>
        <w:rFonts w:ascii="Courier New" w:hAnsi="Courier New" w:cs="Courier New" w:hint="default"/>
      </w:rPr>
    </w:lvl>
    <w:lvl w:ilvl="5" w:tplc="63984B56" w:tentative="1">
      <w:start w:val="1"/>
      <w:numFmt w:val="bullet"/>
      <w:lvlText w:val=""/>
      <w:lvlJc w:val="left"/>
      <w:pPr>
        <w:ind w:left="4386" w:hanging="360"/>
      </w:pPr>
      <w:rPr>
        <w:rFonts w:ascii="Wingdings" w:hAnsi="Wingdings" w:hint="default"/>
      </w:rPr>
    </w:lvl>
    <w:lvl w:ilvl="6" w:tplc="8E9EA9E8" w:tentative="1">
      <w:start w:val="1"/>
      <w:numFmt w:val="bullet"/>
      <w:lvlText w:val=""/>
      <w:lvlJc w:val="left"/>
      <w:pPr>
        <w:ind w:left="5106" w:hanging="360"/>
      </w:pPr>
      <w:rPr>
        <w:rFonts w:ascii="Symbol" w:hAnsi="Symbol" w:hint="default"/>
      </w:rPr>
    </w:lvl>
    <w:lvl w:ilvl="7" w:tplc="D5166EF2" w:tentative="1">
      <w:start w:val="1"/>
      <w:numFmt w:val="bullet"/>
      <w:lvlText w:val="o"/>
      <w:lvlJc w:val="left"/>
      <w:pPr>
        <w:ind w:left="5826" w:hanging="360"/>
      </w:pPr>
      <w:rPr>
        <w:rFonts w:ascii="Courier New" w:hAnsi="Courier New" w:cs="Courier New" w:hint="default"/>
      </w:rPr>
    </w:lvl>
    <w:lvl w:ilvl="8" w:tplc="B2DC204A" w:tentative="1">
      <w:start w:val="1"/>
      <w:numFmt w:val="bullet"/>
      <w:lvlText w:val=""/>
      <w:lvlJc w:val="left"/>
      <w:pPr>
        <w:ind w:left="6546" w:hanging="360"/>
      </w:pPr>
      <w:rPr>
        <w:rFonts w:ascii="Wingdings" w:hAnsi="Wingdings" w:hint="default"/>
      </w:rPr>
    </w:lvl>
  </w:abstractNum>
  <w:abstractNum w:abstractNumId="69" w15:restartNumberingAfterBreak="0">
    <w:nsid w:val="0F957611"/>
    <w:multiLevelType w:val="hybridMultilevel"/>
    <w:tmpl w:val="895AA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0FA860B6"/>
    <w:multiLevelType w:val="hybridMultilevel"/>
    <w:tmpl w:val="D77EAA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0FC652A5"/>
    <w:multiLevelType w:val="hybridMultilevel"/>
    <w:tmpl w:val="6FDA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046052B"/>
    <w:multiLevelType w:val="hybridMultilevel"/>
    <w:tmpl w:val="E0BE60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04F4CA7"/>
    <w:multiLevelType w:val="hybridMultilevel"/>
    <w:tmpl w:val="C0946196"/>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4" w15:restartNumberingAfterBreak="0">
    <w:nsid w:val="105F3C4A"/>
    <w:multiLevelType w:val="hybridMultilevel"/>
    <w:tmpl w:val="521A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14C392B"/>
    <w:multiLevelType w:val="hybridMultilevel"/>
    <w:tmpl w:val="BF1633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116B64DA"/>
    <w:multiLevelType w:val="hybridMultilevel"/>
    <w:tmpl w:val="AF5CF7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117B3E5B"/>
    <w:multiLevelType w:val="multilevel"/>
    <w:tmpl w:val="AF7A4630"/>
    <w:styleLink w:val="WW8Num5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8" w15:restartNumberingAfterBreak="0">
    <w:nsid w:val="119E1CC5"/>
    <w:multiLevelType w:val="multilevel"/>
    <w:tmpl w:val="E8AA7AD2"/>
    <w:styleLink w:val="WW8Num47"/>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9" w15:restartNumberingAfterBreak="0">
    <w:nsid w:val="11DA0919"/>
    <w:multiLevelType w:val="hybridMultilevel"/>
    <w:tmpl w:val="607E27D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1ED69C6"/>
    <w:multiLevelType w:val="hybridMultilevel"/>
    <w:tmpl w:val="1D9C4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2336142"/>
    <w:multiLevelType w:val="hybridMultilevel"/>
    <w:tmpl w:val="F426F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83" w15:restartNumberingAfterBreak="0">
    <w:nsid w:val="12963113"/>
    <w:multiLevelType w:val="hybridMultilevel"/>
    <w:tmpl w:val="AC20C278"/>
    <w:lvl w:ilvl="0" w:tplc="B3D2FD6E">
      <w:start w:val="1"/>
      <w:numFmt w:val="bullet"/>
      <w:lvlText w:val=""/>
      <w:lvlJc w:val="left"/>
      <w:pPr>
        <w:ind w:left="720" w:hanging="360"/>
      </w:pPr>
      <w:rPr>
        <w:rFonts w:ascii="Symbol" w:hAnsi="Symbol" w:hint="default"/>
      </w:rPr>
    </w:lvl>
    <w:lvl w:ilvl="1" w:tplc="0C380312" w:tentative="1">
      <w:start w:val="1"/>
      <w:numFmt w:val="bullet"/>
      <w:lvlText w:val="o"/>
      <w:lvlJc w:val="left"/>
      <w:pPr>
        <w:ind w:left="1440" w:hanging="360"/>
      </w:pPr>
      <w:rPr>
        <w:rFonts w:ascii="Courier New" w:hAnsi="Courier New" w:cs="Courier New" w:hint="default"/>
      </w:rPr>
    </w:lvl>
    <w:lvl w:ilvl="2" w:tplc="0A34C2F6" w:tentative="1">
      <w:start w:val="1"/>
      <w:numFmt w:val="bullet"/>
      <w:lvlText w:val=""/>
      <w:lvlJc w:val="left"/>
      <w:pPr>
        <w:ind w:left="2160" w:hanging="360"/>
      </w:pPr>
      <w:rPr>
        <w:rFonts w:ascii="Wingdings" w:hAnsi="Wingdings" w:hint="default"/>
      </w:rPr>
    </w:lvl>
    <w:lvl w:ilvl="3" w:tplc="EB48E762" w:tentative="1">
      <w:start w:val="1"/>
      <w:numFmt w:val="bullet"/>
      <w:lvlText w:val=""/>
      <w:lvlJc w:val="left"/>
      <w:pPr>
        <w:ind w:left="2880" w:hanging="360"/>
      </w:pPr>
      <w:rPr>
        <w:rFonts w:ascii="Symbol" w:hAnsi="Symbol" w:hint="default"/>
      </w:rPr>
    </w:lvl>
    <w:lvl w:ilvl="4" w:tplc="55EA7E56" w:tentative="1">
      <w:start w:val="1"/>
      <w:numFmt w:val="bullet"/>
      <w:lvlText w:val="o"/>
      <w:lvlJc w:val="left"/>
      <w:pPr>
        <w:ind w:left="3600" w:hanging="360"/>
      </w:pPr>
      <w:rPr>
        <w:rFonts w:ascii="Courier New" w:hAnsi="Courier New" w:cs="Courier New" w:hint="default"/>
      </w:rPr>
    </w:lvl>
    <w:lvl w:ilvl="5" w:tplc="50AC3330" w:tentative="1">
      <w:start w:val="1"/>
      <w:numFmt w:val="bullet"/>
      <w:lvlText w:val=""/>
      <w:lvlJc w:val="left"/>
      <w:pPr>
        <w:ind w:left="4320" w:hanging="360"/>
      </w:pPr>
      <w:rPr>
        <w:rFonts w:ascii="Wingdings" w:hAnsi="Wingdings" w:hint="default"/>
      </w:rPr>
    </w:lvl>
    <w:lvl w:ilvl="6" w:tplc="07F6E35C" w:tentative="1">
      <w:start w:val="1"/>
      <w:numFmt w:val="bullet"/>
      <w:lvlText w:val=""/>
      <w:lvlJc w:val="left"/>
      <w:pPr>
        <w:ind w:left="5040" w:hanging="360"/>
      </w:pPr>
      <w:rPr>
        <w:rFonts w:ascii="Symbol" w:hAnsi="Symbol" w:hint="default"/>
      </w:rPr>
    </w:lvl>
    <w:lvl w:ilvl="7" w:tplc="DA324988" w:tentative="1">
      <w:start w:val="1"/>
      <w:numFmt w:val="bullet"/>
      <w:lvlText w:val="o"/>
      <w:lvlJc w:val="left"/>
      <w:pPr>
        <w:ind w:left="5760" w:hanging="360"/>
      </w:pPr>
      <w:rPr>
        <w:rFonts w:ascii="Courier New" w:hAnsi="Courier New" w:cs="Courier New" w:hint="default"/>
      </w:rPr>
    </w:lvl>
    <w:lvl w:ilvl="8" w:tplc="435EDC34" w:tentative="1">
      <w:start w:val="1"/>
      <w:numFmt w:val="bullet"/>
      <w:lvlText w:val=""/>
      <w:lvlJc w:val="left"/>
      <w:pPr>
        <w:ind w:left="6480" w:hanging="360"/>
      </w:pPr>
      <w:rPr>
        <w:rFonts w:ascii="Wingdings" w:hAnsi="Wingdings" w:hint="default"/>
      </w:rPr>
    </w:lvl>
  </w:abstractNum>
  <w:abstractNum w:abstractNumId="84" w15:restartNumberingAfterBreak="0">
    <w:nsid w:val="13067636"/>
    <w:multiLevelType w:val="hybridMultilevel"/>
    <w:tmpl w:val="AA68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3554C2F"/>
    <w:multiLevelType w:val="hybridMultilevel"/>
    <w:tmpl w:val="F39EA1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3AB2B82"/>
    <w:multiLevelType w:val="hybridMultilevel"/>
    <w:tmpl w:val="C5724AF0"/>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7" w15:restartNumberingAfterBreak="0">
    <w:nsid w:val="13FA22EA"/>
    <w:multiLevelType w:val="hybridMultilevel"/>
    <w:tmpl w:val="2EE6ABFA"/>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8" w15:restartNumberingAfterBreak="0">
    <w:nsid w:val="141C1820"/>
    <w:multiLevelType w:val="hybridMultilevel"/>
    <w:tmpl w:val="D4D6ABA4"/>
    <w:lvl w:ilvl="0" w:tplc="383265FC">
      <w:start w:val="1"/>
      <w:numFmt w:val="bullet"/>
      <w:lvlText w:val="o"/>
      <w:lvlJc w:val="left"/>
      <w:pPr>
        <w:ind w:left="1080" w:hanging="360"/>
      </w:pPr>
      <w:rPr>
        <w:rFonts w:ascii="Courier New" w:hAnsi="Courier New" w:cs="Courier New" w:hint="default"/>
        <w:sz w:val="18"/>
        <w:szCs w:val="18"/>
      </w:rPr>
    </w:lvl>
    <w:lvl w:ilvl="1" w:tplc="6A7A2A14">
      <w:start w:val="1"/>
      <w:numFmt w:val="bullet"/>
      <w:lvlText w:val="o"/>
      <w:lvlJc w:val="left"/>
      <w:pPr>
        <w:ind w:left="1800" w:hanging="360"/>
      </w:pPr>
      <w:rPr>
        <w:rFonts w:ascii="Courier New" w:hAnsi="Courier New" w:cs="Courier New" w:hint="default"/>
      </w:rPr>
    </w:lvl>
    <w:lvl w:ilvl="2" w:tplc="9FDC5FDE" w:tentative="1">
      <w:start w:val="1"/>
      <w:numFmt w:val="bullet"/>
      <w:lvlText w:val=""/>
      <w:lvlJc w:val="left"/>
      <w:pPr>
        <w:ind w:left="2520" w:hanging="360"/>
      </w:pPr>
      <w:rPr>
        <w:rFonts w:ascii="Wingdings" w:hAnsi="Wingdings" w:hint="default"/>
      </w:rPr>
    </w:lvl>
    <w:lvl w:ilvl="3" w:tplc="306E4C58" w:tentative="1">
      <w:start w:val="1"/>
      <w:numFmt w:val="bullet"/>
      <w:lvlText w:val=""/>
      <w:lvlJc w:val="left"/>
      <w:pPr>
        <w:ind w:left="3240" w:hanging="360"/>
      </w:pPr>
      <w:rPr>
        <w:rFonts w:ascii="Symbol" w:hAnsi="Symbol" w:hint="default"/>
      </w:rPr>
    </w:lvl>
    <w:lvl w:ilvl="4" w:tplc="625A7B9C" w:tentative="1">
      <w:start w:val="1"/>
      <w:numFmt w:val="bullet"/>
      <w:lvlText w:val="o"/>
      <w:lvlJc w:val="left"/>
      <w:pPr>
        <w:ind w:left="3960" w:hanging="360"/>
      </w:pPr>
      <w:rPr>
        <w:rFonts w:ascii="Courier New" w:hAnsi="Courier New" w:cs="Courier New" w:hint="default"/>
      </w:rPr>
    </w:lvl>
    <w:lvl w:ilvl="5" w:tplc="A7144106" w:tentative="1">
      <w:start w:val="1"/>
      <w:numFmt w:val="bullet"/>
      <w:lvlText w:val=""/>
      <w:lvlJc w:val="left"/>
      <w:pPr>
        <w:ind w:left="4680" w:hanging="360"/>
      </w:pPr>
      <w:rPr>
        <w:rFonts w:ascii="Wingdings" w:hAnsi="Wingdings" w:hint="default"/>
      </w:rPr>
    </w:lvl>
    <w:lvl w:ilvl="6" w:tplc="F606C5A2" w:tentative="1">
      <w:start w:val="1"/>
      <w:numFmt w:val="bullet"/>
      <w:lvlText w:val=""/>
      <w:lvlJc w:val="left"/>
      <w:pPr>
        <w:ind w:left="5400" w:hanging="360"/>
      </w:pPr>
      <w:rPr>
        <w:rFonts w:ascii="Symbol" w:hAnsi="Symbol" w:hint="default"/>
      </w:rPr>
    </w:lvl>
    <w:lvl w:ilvl="7" w:tplc="8EC4774C" w:tentative="1">
      <w:start w:val="1"/>
      <w:numFmt w:val="bullet"/>
      <w:lvlText w:val="o"/>
      <w:lvlJc w:val="left"/>
      <w:pPr>
        <w:ind w:left="6120" w:hanging="360"/>
      </w:pPr>
      <w:rPr>
        <w:rFonts w:ascii="Courier New" w:hAnsi="Courier New" w:cs="Courier New" w:hint="default"/>
      </w:rPr>
    </w:lvl>
    <w:lvl w:ilvl="8" w:tplc="09D8EF84" w:tentative="1">
      <w:start w:val="1"/>
      <w:numFmt w:val="bullet"/>
      <w:lvlText w:val=""/>
      <w:lvlJc w:val="left"/>
      <w:pPr>
        <w:ind w:left="6840" w:hanging="360"/>
      </w:pPr>
      <w:rPr>
        <w:rFonts w:ascii="Wingdings" w:hAnsi="Wingdings" w:hint="default"/>
      </w:rPr>
    </w:lvl>
  </w:abstractNum>
  <w:abstractNum w:abstractNumId="89" w15:restartNumberingAfterBreak="0">
    <w:nsid w:val="143C6A62"/>
    <w:multiLevelType w:val="hybridMultilevel"/>
    <w:tmpl w:val="F3CE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91" w15:restartNumberingAfterBreak="0">
    <w:nsid w:val="148C6718"/>
    <w:multiLevelType w:val="hybridMultilevel"/>
    <w:tmpl w:val="82FA4B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14CA379C"/>
    <w:multiLevelType w:val="hybridMultilevel"/>
    <w:tmpl w:val="2D9C3D22"/>
    <w:lvl w:ilvl="0" w:tplc="04090005">
      <w:start w:val="1"/>
      <w:numFmt w:val="bullet"/>
      <w:lvlText w:val=""/>
      <w:lvlJc w:val="left"/>
      <w:pPr>
        <w:ind w:left="360" w:hanging="360"/>
      </w:pPr>
      <w:rPr>
        <w:rFonts w:ascii="Wingdings" w:hAnsi="Wingdings" w:hint="default"/>
      </w:rPr>
    </w:lvl>
    <w:lvl w:ilvl="1" w:tplc="687A8020">
      <w:start w:val="1"/>
      <w:numFmt w:val="bullet"/>
      <w:lvlText w:val="-"/>
      <w:lvlJc w:val="left"/>
      <w:pPr>
        <w:ind w:left="1080" w:hanging="360"/>
      </w:pPr>
      <w:rPr>
        <w:rFonts w:ascii="Verdana" w:eastAsia="Times New Roman" w:hAnsi="Verdana"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51D2F60"/>
    <w:multiLevelType w:val="hybridMultilevel"/>
    <w:tmpl w:val="5ECE7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15226CC1"/>
    <w:multiLevelType w:val="hybridMultilevel"/>
    <w:tmpl w:val="11621CAC"/>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5" w15:restartNumberingAfterBreak="0">
    <w:nsid w:val="165C6E63"/>
    <w:multiLevelType w:val="hybridMultilevel"/>
    <w:tmpl w:val="3D680D90"/>
    <w:lvl w:ilvl="0" w:tplc="FFFFFFFF">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16962822"/>
    <w:multiLevelType w:val="hybridMultilevel"/>
    <w:tmpl w:val="C1E613B6"/>
    <w:lvl w:ilvl="0" w:tplc="687A8020">
      <w:start w:val="1"/>
      <w:numFmt w:val="bullet"/>
      <w:lvlText w:val="-"/>
      <w:lvlJc w:val="left"/>
      <w:pPr>
        <w:ind w:left="720" w:hanging="360"/>
      </w:pPr>
      <w:rPr>
        <w:rFonts w:ascii="Verdana" w:eastAsia="Times New Roman" w:hAnsi="Verdana" w:cs="Times New Roman" w:hint="default"/>
      </w:rPr>
    </w:lvl>
    <w:lvl w:ilvl="1" w:tplc="687A8020">
      <w:start w:val="1"/>
      <w:numFmt w:val="bullet"/>
      <w:lvlText w:val="-"/>
      <w:lvlJc w:val="left"/>
      <w:pPr>
        <w:ind w:left="1440" w:hanging="360"/>
      </w:pPr>
      <w:rPr>
        <w:rFonts w:ascii="Verdana" w:eastAsia="Times New Roman" w:hAnsi="Verdan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16BB45C5"/>
    <w:multiLevelType w:val="hybridMultilevel"/>
    <w:tmpl w:val="B936C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6F90B6C"/>
    <w:multiLevelType w:val="multilevel"/>
    <w:tmpl w:val="A4167FC2"/>
    <w:styleLink w:val="WW8Num41"/>
    <w:lvl w:ilvl="0">
      <w:numFmt w:val="bullet"/>
      <w:lvlText w:val="–"/>
      <w:lvlJc w:val="left"/>
      <w:pPr>
        <w:ind w:left="1360"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17037FED"/>
    <w:multiLevelType w:val="hybridMultilevel"/>
    <w:tmpl w:val="0678A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17C35022"/>
    <w:multiLevelType w:val="hybridMultilevel"/>
    <w:tmpl w:val="E9E468CA"/>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01" w15:restartNumberingAfterBreak="0">
    <w:nsid w:val="18477FEA"/>
    <w:multiLevelType w:val="hybridMultilevel"/>
    <w:tmpl w:val="1030570A"/>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2" w15:restartNumberingAfterBreak="0">
    <w:nsid w:val="18E42865"/>
    <w:multiLevelType w:val="hybridMultilevel"/>
    <w:tmpl w:val="33FCA406"/>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194475E2"/>
    <w:multiLevelType w:val="hybridMultilevel"/>
    <w:tmpl w:val="817E4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9590FE8"/>
    <w:multiLevelType w:val="hybridMultilevel"/>
    <w:tmpl w:val="BA307846"/>
    <w:lvl w:ilvl="0" w:tplc="04090005">
      <w:start w:val="1"/>
      <w:numFmt w:val="bullet"/>
      <w:lvlText w:val=""/>
      <w:lvlJc w:val="left"/>
      <w:pPr>
        <w:ind w:left="360" w:hanging="360"/>
      </w:pPr>
      <w:rPr>
        <w:rFonts w:ascii="Wingdings" w:hAnsi="Wingdings" w:hint="default"/>
      </w:rPr>
    </w:lvl>
    <w:lvl w:ilvl="1" w:tplc="D01C70BA">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197727F1"/>
    <w:multiLevelType w:val="hybridMultilevel"/>
    <w:tmpl w:val="E1D8C27C"/>
    <w:lvl w:ilvl="0" w:tplc="04090005">
      <w:start w:val="1"/>
      <w:numFmt w:val="bullet"/>
      <w:lvlText w:val=""/>
      <w:lvlJc w:val="left"/>
      <w:pPr>
        <w:ind w:left="360" w:hanging="360"/>
      </w:pPr>
      <w:rPr>
        <w:rFonts w:ascii="Wingdings" w:hAnsi="Wingdings" w:hint="default"/>
        <w:sz w:val="18"/>
        <w:szCs w:val="1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19975F71"/>
    <w:multiLevelType w:val="hybridMultilevel"/>
    <w:tmpl w:val="C854E81A"/>
    <w:lvl w:ilvl="0" w:tplc="FFFFFFFF">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7" w15:restartNumberingAfterBreak="0">
    <w:nsid w:val="19ED3F22"/>
    <w:multiLevelType w:val="hybridMultilevel"/>
    <w:tmpl w:val="9B743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A683BD7"/>
    <w:multiLevelType w:val="hybridMultilevel"/>
    <w:tmpl w:val="CD6E79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B815B02"/>
    <w:multiLevelType w:val="hybridMultilevel"/>
    <w:tmpl w:val="4C560B72"/>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0" w15:restartNumberingAfterBreak="0">
    <w:nsid w:val="1B8A2403"/>
    <w:multiLevelType w:val="hybridMultilevel"/>
    <w:tmpl w:val="65087E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BDF6B58"/>
    <w:multiLevelType w:val="hybridMultilevel"/>
    <w:tmpl w:val="AD4E0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1BFC38B5"/>
    <w:multiLevelType w:val="hybridMultilevel"/>
    <w:tmpl w:val="65FE3F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1C1A4A80"/>
    <w:multiLevelType w:val="hybridMultilevel"/>
    <w:tmpl w:val="C6FC28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1C504F12"/>
    <w:multiLevelType w:val="hybridMultilevel"/>
    <w:tmpl w:val="74E62404"/>
    <w:lvl w:ilvl="0" w:tplc="FFFFFFFF">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5" w15:restartNumberingAfterBreak="0">
    <w:nsid w:val="1D1600E4"/>
    <w:multiLevelType w:val="hybridMultilevel"/>
    <w:tmpl w:val="9D8C6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1D2D6E0A"/>
    <w:multiLevelType w:val="hybridMultilevel"/>
    <w:tmpl w:val="8904B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D43509E"/>
    <w:multiLevelType w:val="hybridMultilevel"/>
    <w:tmpl w:val="20629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D870100"/>
    <w:multiLevelType w:val="hybridMultilevel"/>
    <w:tmpl w:val="2C645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D9A4C44"/>
    <w:multiLevelType w:val="hybridMultilevel"/>
    <w:tmpl w:val="06544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1DB60EF4"/>
    <w:multiLevelType w:val="hybridMultilevel"/>
    <w:tmpl w:val="C7549E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1DCF4D6A"/>
    <w:multiLevelType w:val="hybridMultilevel"/>
    <w:tmpl w:val="10D63D0A"/>
    <w:lvl w:ilvl="0" w:tplc="923C9B8E">
      <w:numFmt w:val="bullet"/>
      <w:lvlText w:val="-"/>
      <w:lvlJc w:val="left"/>
      <w:pPr>
        <w:ind w:left="720" w:hanging="360"/>
      </w:pPr>
      <w:rPr>
        <w:rFonts w:ascii="Calibri" w:eastAsia="Times New Roman" w:hAnsi="Calibri" w:cs="Tahoma" w:hint="default"/>
      </w:rPr>
    </w:lvl>
    <w:lvl w:ilvl="1" w:tplc="2C029A92" w:tentative="1">
      <w:start w:val="1"/>
      <w:numFmt w:val="bullet"/>
      <w:lvlText w:val="o"/>
      <w:lvlJc w:val="left"/>
      <w:pPr>
        <w:ind w:left="1440" w:hanging="360"/>
      </w:pPr>
      <w:rPr>
        <w:rFonts w:ascii="Courier New" w:hAnsi="Courier New" w:cs="Courier New" w:hint="default"/>
      </w:rPr>
    </w:lvl>
    <w:lvl w:ilvl="2" w:tplc="723AA6AA" w:tentative="1">
      <w:start w:val="1"/>
      <w:numFmt w:val="bullet"/>
      <w:lvlText w:val=""/>
      <w:lvlJc w:val="left"/>
      <w:pPr>
        <w:ind w:left="2160" w:hanging="360"/>
      </w:pPr>
      <w:rPr>
        <w:rFonts w:ascii="Wingdings" w:hAnsi="Wingdings" w:hint="default"/>
      </w:rPr>
    </w:lvl>
    <w:lvl w:ilvl="3" w:tplc="63A0913A" w:tentative="1">
      <w:start w:val="1"/>
      <w:numFmt w:val="bullet"/>
      <w:lvlText w:val=""/>
      <w:lvlJc w:val="left"/>
      <w:pPr>
        <w:ind w:left="2880" w:hanging="360"/>
      </w:pPr>
      <w:rPr>
        <w:rFonts w:ascii="Symbol" w:hAnsi="Symbol" w:hint="default"/>
      </w:rPr>
    </w:lvl>
    <w:lvl w:ilvl="4" w:tplc="ED686574" w:tentative="1">
      <w:start w:val="1"/>
      <w:numFmt w:val="bullet"/>
      <w:lvlText w:val="o"/>
      <w:lvlJc w:val="left"/>
      <w:pPr>
        <w:ind w:left="3600" w:hanging="360"/>
      </w:pPr>
      <w:rPr>
        <w:rFonts w:ascii="Courier New" w:hAnsi="Courier New" w:cs="Courier New" w:hint="default"/>
      </w:rPr>
    </w:lvl>
    <w:lvl w:ilvl="5" w:tplc="8E70060C" w:tentative="1">
      <w:start w:val="1"/>
      <w:numFmt w:val="bullet"/>
      <w:lvlText w:val=""/>
      <w:lvlJc w:val="left"/>
      <w:pPr>
        <w:ind w:left="4320" w:hanging="360"/>
      </w:pPr>
      <w:rPr>
        <w:rFonts w:ascii="Wingdings" w:hAnsi="Wingdings" w:hint="default"/>
      </w:rPr>
    </w:lvl>
    <w:lvl w:ilvl="6" w:tplc="3DDA2B7A" w:tentative="1">
      <w:start w:val="1"/>
      <w:numFmt w:val="bullet"/>
      <w:lvlText w:val=""/>
      <w:lvlJc w:val="left"/>
      <w:pPr>
        <w:ind w:left="5040" w:hanging="360"/>
      </w:pPr>
      <w:rPr>
        <w:rFonts w:ascii="Symbol" w:hAnsi="Symbol" w:hint="default"/>
      </w:rPr>
    </w:lvl>
    <w:lvl w:ilvl="7" w:tplc="44946FAE" w:tentative="1">
      <w:start w:val="1"/>
      <w:numFmt w:val="bullet"/>
      <w:lvlText w:val="o"/>
      <w:lvlJc w:val="left"/>
      <w:pPr>
        <w:ind w:left="5760" w:hanging="360"/>
      </w:pPr>
      <w:rPr>
        <w:rFonts w:ascii="Courier New" w:hAnsi="Courier New" w:cs="Courier New" w:hint="default"/>
      </w:rPr>
    </w:lvl>
    <w:lvl w:ilvl="8" w:tplc="01E055A2" w:tentative="1">
      <w:start w:val="1"/>
      <w:numFmt w:val="bullet"/>
      <w:lvlText w:val=""/>
      <w:lvlJc w:val="left"/>
      <w:pPr>
        <w:ind w:left="6480" w:hanging="360"/>
      </w:pPr>
      <w:rPr>
        <w:rFonts w:ascii="Wingdings" w:hAnsi="Wingdings" w:hint="default"/>
      </w:rPr>
    </w:lvl>
  </w:abstractNum>
  <w:abstractNum w:abstractNumId="122" w15:restartNumberingAfterBreak="0">
    <w:nsid w:val="1DE643FE"/>
    <w:multiLevelType w:val="hybridMultilevel"/>
    <w:tmpl w:val="51545B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1E943892"/>
    <w:multiLevelType w:val="hybridMultilevel"/>
    <w:tmpl w:val="F4447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1EB944A1"/>
    <w:multiLevelType w:val="hybridMultilevel"/>
    <w:tmpl w:val="322E7C7E"/>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5" w15:restartNumberingAfterBreak="0">
    <w:nsid w:val="1F757CEF"/>
    <w:multiLevelType w:val="hybridMultilevel"/>
    <w:tmpl w:val="5EA43DA2"/>
    <w:lvl w:ilvl="0" w:tplc="A16C4F22">
      <w:start w:val="1"/>
      <w:numFmt w:val="bullet"/>
      <w:lvlText w:val=""/>
      <w:lvlJc w:val="left"/>
      <w:pPr>
        <w:ind w:left="360" w:hanging="360"/>
      </w:pPr>
      <w:rPr>
        <w:rFonts w:ascii="Symbol" w:hAnsi="Symbol" w:hint="default"/>
      </w:rPr>
    </w:lvl>
    <w:lvl w:ilvl="1" w:tplc="4BE61ADE" w:tentative="1">
      <w:start w:val="1"/>
      <w:numFmt w:val="bullet"/>
      <w:lvlText w:val="o"/>
      <w:lvlJc w:val="left"/>
      <w:pPr>
        <w:ind w:left="1080" w:hanging="360"/>
      </w:pPr>
      <w:rPr>
        <w:rFonts w:ascii="Courier New" w:hAnsi="Courier New" w:cs="Courier New" w:hint="default"/>
      </w:rPr>
    </w:lvl>
    <w:lvl w:ilvl="2" w:tplc="180287BA" w:tentative="1">
      <w:start w:val="1"/>
      <w:numFmt w:val="bullet"/>
      <w:lvlText w:val=""/>
      <w:lvlJc w:val="left"/>
      <w:pPr>
        <w:ind w:left="1800" w:hanging="360"/>
      </w:pPr>
      <w:rPr>
        <w:rFonts w:ascii="Wingdings" w:hAnsi="Wingdings" w:hint="default"/>
      </w:rPr>
    </w:lvl>
    <w:lvl w:ilvl="3" w:tplc="5DCE0F18" w:tentative="1">
      <w:start w:val="1"/>
      <w:numFmt w:val="bullet"/>
      <w:lvlText w:val=""/>
      <w:lvlJc w:val="left"/>
      <w:pPr>
        <w:ind w:left="2520" w:hanging="360"/>
      </w:pPr>
      <w:rPr>
        <w:rFonts w:ascii="Symbol" w:hAnsi="Symbol" w:hint="default"/>
      </w:rPr>
    </w:lvl>
    <w:lvl w:ilvl="4" w:tplc="490236E6" w:tentative="1">
      <w:start w:val="1"/>
      <w:numFmt w:val="bullet"/>
      <w:lvlText w:val="o"/>
      <w:lvlJc w:val="left"/>
      <w:pPr>
        <w:ind w:left="3240" w:hanging="360"/>
      </w:pPr>
      <w:rPr>
        <w:rFonts w:ascii="Courier New" w:hAnsi="Courier New" w:cs="Courier New" w:hint="default"/>
      </w:rPr>
    </w:lvl>
    <w:lvl w:ilvl="5" w:tplc="8FCCFB20" w:tentative="1">
      <w:start w:val="1"/>
      <w:numFmt w:val="bullet"/>
      <w:lvlText w:val=""/>
      <w:lvlJc w:val="left"/>
      <w:pPr>
        <w:ind w:left="3960" w:hanging="360"/>
      </w:pPr>
      <w:rPr>
        <w:rFonts w:ascii="Wingdings" w:hAnsi="Wingdings" w:hint="default"/>
      </w:rPr>
    </w:lvl>
    <w:lvl w:ilvl="6" w:tplc="80CEE6EC" w:tentative="1">
      <w:start w:val="1"/>
      <w:numFmt w:val="bullet"/>
      <w:lvlText w:val=""/>
      <w:lvlJc w:val="left"/>
      <w:pPr>
        <w:ind w:left="4680" w:hanging="360"/>
      </w:pPr>
      <w:rPr>
        <w:rFonts w:ascii="Symbol" w:hAnsi="Symbol" w:hint="default"/>
      </w:rPr>
    </w:lvl>
    <w:lvl w:ilvl="7" w:tplc="73AC3110" w:tentative="1">
      <w:start w:val="1"/>
      <w:numFmt w:val="bullet"/>
      <w:lvlText w:val="o"/>
      <w:lvlJc w:val="left"/>
      <w:pPr>
        <w:ind w:left="5400" w:hanging="360"/>
      </w:pPr>
      <w:rPr>
        <w:rFonts w:ascii="Courier New" w:hAnsi="Courier New" w:cs="Courier New" w:hint="default"/>
      </w:rPr>
    </w:lvl>
    <w:lvl w:ilvl="8" w:tplc="7A1CFBC0" w:tentative="1">
      <w:start w:val="1"/>
      <w:numFmt w:val="bullet"/>
      <w:lvlText w:val=""/>
      <w:lvlJc w:val="left"/>
      <w:pPr>
        <w:ind w:left="6120" w:hanging="360"/>
      </w:pPr>
      <w:rPr>
        <w:rFonts w:ascii="Wingdings" w:hAnsi="Wingdings" w:hint="default"/>
      </w:rPr>
    </w:lvl>
  </w:abstractNum>
  <w:abstractNum w:abstractNumId="126" w15:restartNumberingAfterBreak="0">
    <w:nsid w:val="200C1DEC"/>
    <w:multiLevelType w:val="hybridMultilevel"/>
    <w:tmpl w:val="5462AD82"/>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7" w15:restartNumberingAfterBreak="0">
    <w:nsid w:val="201F7DC3"/>
    <w:multiLevelType w:val="hybridMultilevel"/>
    <w:tmpl w:val="955EC1D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204938BA"/>
    <w:multiLevelType w:val="hybridMultilevel"/>
    <w:tmpl w:val="134A7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0563F63"/>
    <w:multiLevelType w:val="hybridMultilevel"/>
    <w:tmpl w:val="04349438"/>
    <w:lvl w:ilvl="0" w:tplc="04090005">
      <w:start w:val="1"/>
      <w:numFmt w:val="bullet"/>
      <w:lvlText w:val=""/>
      <w:lvlJc w:val="left"/>
      <w:pPr>
        <w:ind w:left="360" w:hanging="360"/>
      </w:pPr>
      <w:rPr>
        <w:rFonts w:ascii="Wingdings" w:hAnsi="Wingdings" w:hint="default"/>
      </w:rPr>
    </w:lvl>
    <w:lvl w:ilvl="1" w:tplc="687A8020">
      <w:start w:val="1"/>
      <w:numFmt w:val="bullet"/>
      <w:lvlText w:val="-"/>
      <w:lvlJc w:val="left"/>
      <w:pPr>
        <w:ind w:left="1080" w:hanging="360"/>
      </w:pPr>
      <w:rPr>
        <w:rFonts w:ascii="Verdana" w:eastAsia="Times New Roman" w:hAnsi="Verdana"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205C1EFD"/>
    <w:multiLevelType w:val="multilevel"/>
    <w:tmpl w:val="067CFFFC"/>
    <w:styleLink w:val="WW8Num29"/>
    <w:lvl w:ilvl="0">
      <w:numFmt w:val="bullet"/>
      <w:lvlText w:val=""/>
      <w:lvlJc w:val="left"/>
      <w:pPr>
        <w:ind w:left="360" w:hanging="360"/>
      </w:pPr>
      <w:rPr>
        <w:rFonts w:ascii="Wingdings" w:hAnsi="Wingdings"/>
      </w:rPr>
    </w:lvl>
    <w:lvl w:ilvl="1">
      <w:numFmt w:val="bullet"/>
      <w:lvlText w:val=""/>
      <w:lvlJc w:val="left"/>
      <w:pPr>
        <w:ind w:left="1080" w:hanging="360"/>
      </w:pPr>
      <w:rPr>
        <w:rFonts w:ascii="Wingdings" w:hAnsi="Wingdings"/>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1" w15:restartNumberingAfterBreak="0">
    <w:nsid w:val="209C34A9"/>
    <w:multiLevelType w:val="hybridMultilevel"/>
    <w:tmpl w:val="D048F4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209E0085"/>
    <w:multiLevelType w:val="hybridMultilevel"/>
    <w:tmpl w:val="50B2238C"/>
    <w:lvl w:ilvl="0" w:tplc="35D4668A">
      <w:start w:val="1"/>
      <w:numFmt w:val="bullet"/>
      <w:lvlText w:val=""/>
      <w:lvlJc w:val="left"/>
      <w:pPr>
        <w:ind w:left="360" w:hanging="360"/>
      </w:pPr>
      <w:rPr>
        <w:rFonts w:ascii="Symbol" w:hAnsi="Symbol" w:hint="default"/>
      </w:rPr>
    </w:lvl>
    <w:lvl w:ilvl="1" w:tplc="1200F926">
      <w:start w:val="1"/>
      <w:numFmt w:val="bullet"/>
      <w:lvlText w:val="o"/>
      <w:lvlJc w:val="left"/>
      <w:pPr>
        <w:ind w:left="1080" w:hanging="360"/>
      </w:pPr>
      <w:rPr>
        <w:rFonts w:ascii="Courier New" w:hAnsi="Courier New" w:cs="Courier New" w:hint="default"/>
      </w:rPr>
    </w:lvl>
    <w:lvl w:ilvl="2" w:tplc="AE080446">
      <w:start w:val="1"/>
      <w:numFmt w:val="bullet"/>
      <w:lvlText w:val=""/>
      <w:lvlJc w:val="left"/>
      <w:pPr>
        <w:ind w:left="1800" w:hanging="360"/>
      </w:pPr>
      <w:rPr>
        <w:rFonts w:ascii="Wingdings" w:hAnsi="Wingdings" w:hint="default"/>
      </w:rPr>
    </w:lvl>
    <w:lvl w:ilvl="3" w:tplc="7248BD1A" w:tentative="1">
      <w:start w:val="1"/>
      <w:numFmt w:val="bullet"/>
      <w:lvlText w:val=""/>
      <w:lvlJc w:val="left"/>
      <w:pPr>
        <w:ind w:left="2520" w:hanging="360"/>
      </w:pPr>
      <w:rPr>
        <w:rFonts w:ascii="Symbol" w:hAnsi="Symbol" w:hint="default"/>
      </w:rPr>
    </w:lvl>
    <w:lvl w:ilvl="4" w:tplc="3B88458C" w:tentative="1">
      <w:start w:val="1"/>
      <w:numFmt w:val="bullet"/>
      <w:lvlText w:val="o"/>
      <w:lvlJc w:val="left"/>
      <w:pPr>
        <w:ind w:left="3240" w:hanging="360"/>
      </w:pPr>
      <w:rPr>
        <w:rFonts w:ascii="Courier New" w:hAnsi="Courier New" w:cs="Courier New" w:hint="default"/>
      </w:rPr>
    </w:lvl>
    <w:lvl w:ilvl="5" w:tplc="7E4245BE" w:tentative="1">
      <w:start w:val="1"/>
      <w:numFmt w:val="bullet"/>
      <w:lvlText w:val=""/>
      <w:lvlJc w:val="left"/>
      <w:pPr>
        <w:ind w:left="3960" w:hanging="360"/>
      </w:pPr>
      <w:rPr>
        <w:rFonts w:ascii="Wingdings" w:hAnsi="Wingdings" w:hint="default"/>
      </w:rPr>
    </w:lvl>
    <w:lvl w:ilvl="6" w:tplc="DA8257B8" w:tentative="1">
      <w:start w:val="1"/>
      <w:numFmt w:val="bullet"/>
      <w:lvlText w:val=""/>
      <w:lvlJc w:val="left"/>
      <w:pPr>
        <w:ind w:left="4680" w:hanging="360"/>
      </w:pPr>
      <w:rPr>
        <w:rFonts w:ascii="Symbol" w:hAnsi="Symbol" w:hint="default"/>
      </w:rPr>
    </w:lvl>
    <w:lvl w:ilvl="7" w:tplc="C8502FB0" w:tentative="1">
      <w:start w:val="1"/>
      <w:numFmt w:val="bullet"/>
      <w:lvlText w:val="o"/>
      <w:lvlJc w:val="left"/>
      <w:pPr>
        <w:ind w:left="5400" w:hanging="360"/>
      </w:pPr>
      <w:rPr>
        <w:rFonts w:ascii="Courier New" w:hAnsi="Courier New" w:cs="Courier New" w:hint="default"/>
      </w:rPr>
    </w:lvl>
    <w:lvl w:ilvl="8" w:tplc="D708F028" w:tentative="1">
      <w:start w:val="1"/>
      <w:numFmt w:val="bullet"/>
      <w:lvlText w:val=""/>
      <w:lvlJc w:val="left"/>
      <w:pPr>
        <w:ind w:left="6120" w:hanging="360"/>
      </w:pPr>
      <w:rPr>
        <w:rFonts w:ascii="Wingdings" w:hAnsi="Wingdings" w:hint="default"/>
      </w:rPr>
    </w:lvl>
  </w:abstractNum>
  <w:abstractNum w:abstractNumId="133" w15:restartNumberingAfterBreak="0">
    <w:nsid w:val="20B32C6D"/>
    <w:multiLevelType w:val="multilevel"/>
    <w:tmpl w:val="372C17F6"/>
    <w:styleLink w:val="WW8Num48"/>
    <w:lvl w:ilvl="0">
      <w:numFmt w:val="bullet"/>
      <w:lvlText w:val=""/>
      <w:lvlJc w:val="left"/>
      <w:pPr>
        <w:ind w:left="360" w:hanging="360"/>
      </w:pPr>
      <w:rPr>
        <w:rFonts w:ascii="Wingdings" w:hAnsi="Wingdings"/>
      </w:rPr>
    </w:lvl>
    <w:lvl w:ilvl="1">
      <w:numFmt w:val="bullet"/>
      <w:lvlText w:val="-"/>
      <w:lvlJc w:val="left"/>
      <w:pPr>
        <w:ind w:left="1080" w:hanging="360"/>
      </w:pPr>
      <w:rPr>
        <w:rFonts w:ascii="Times New Roman" w:eastAsia="Times New Roman" w:hAnsi="Times New Roman" w:cs="Times New Roman"/>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4" w15:restartNumberingAfterBreak="0">
    <w:nsid w:val="20C97833"/>
    <w:multiLevelType w:val="hybridMultilevel"/>
    <w:tmpl w:val="1CBE2B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11135A3"/>
    <w:multiLevelType w:val="hybridMultilevel"/>
    <w:tmpl w:val="E3E8B620"/>
    <w:lvl w:ilvl="0" w:tplc="04090005">
      <w:start w:val="1"/>
      <w:numFmt w:val="bullet"/>
      <w:lvlText w:val=""/>
      <w:lvlJc w:val="left"/>
      <w:pPr>
        <w:ind w:left="360" w:hanging="360"/>
      </w:pPr>
      <w:rPr>
        <w:rFonts w:ascii="Wingdings" w:hAnsi="Wingdings" w:hint="default"/>
        <w:sz w:val="18"/>
        <w:szCs w:val="1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21207DF0"/>
    <w:multiLevelType w:val="hybridMultilevel"/>
    <w:tmpl w:val="7CB6EBBC"/>
    <w:lvl w:ilvl="0" w:tplc="657A9A06">
      <w:start w:val="1"/>
      <w:numFmt w:val="bullet"/>
      <w:lvlText w:val=""/>
      <w:lvlJc w:val="left"/>
      <w:pPr>
        <w:ind w:left="720" w:hanging="360"/>
      </w:pPr>
      <w:rPr>
        <w:rFonts w:ascii="Symbol" w:hAnsi="Symbol" w:hint="default"/>
      </w:rPr>
    </w:lvl>
    <w:lvl w:ilvl="1" w:tplc="6E2ABA76" w:tentative="1">
      <w:start w:val="1"/>
      <w:numFmt w:val="bullet"/>
      <w:lvlText w:val="o"/>
      <w:lvlJc w:val="left"/>
      <w:pPr>
        <w:ind w:left="1440" w:hanging="360"/>
      </w:pPr>
      <w:rPr>
        <w:rFonts w:ascii="Courier New" w:hAnsi="Courier New" w:cs="Courier New" w:hint="default"/>
      </w:rPr>
    </w:lvl>
    <w:lvl w:ilvl="2" w:tplc="FA5C4166" w:tentative="1">
      <w:start w:val="1"/>
      <w:numFmt w:val="bullet"/>
      <w:lvlText w:val=""/>
      <w:lvlJc w:val="left"/>
      <w:pPr>
        <w:ind w:left="2160" w:hanging="360"/>
      </w:pPr>
      <w:rPr>
        <w:rFonts w:ascii="Wingdings" w:hAnsi="Wingdings" w:hint="default"/>
      </w:rPr>
    </w:lvl>
    <w:lvl w:ilvl="3" w:tplc="5A0E54FE" w:tentative="1">
      <w:start w:val="1"/>
      <w:numFmt w:val="bullet"/>
      <w:lvlText w:val=""/>
      <w:lvlJc w:val="left"/>
      <w:pPr>
        <w:ind w:left="2880" w:hanging="360"/>
      </w:pPr>
      <w:rPr>
        <w:rFonts w:ascii="Symbol" w:hAnsi="Symbol" w:hint="default"/>
      </w:rPr>
    </w:lvl>
    <w:lvl w:ilvl="4" w:tplc="10B40B4E" w:tentative="1">
      <w:start w:val="1"/>
      <w:numFmt w:val="bullet"/>
      <w:lvlText w:val="o"/>
      <w:lvlJc w:val="left"/>
      <w:pPr>
        <w:ind w:left="3600" w:hanging="360"/>
      </w:pPr>
      <w:rPr>
        <w:rFonts w:ascii="Courier New" w:hAnsi="Courier New" w:cs="Courier New" w:hint="default"/>
      </w:rPr>
    </w:lvl>
    <w:lvl w:ilvl="5" w:tplc="2D56B892" w:tentative="1">
      <w:start w:val="1"/>
      <w:numFmt w:val="bullet"/>
      <w:lvlText w:val=""/>
      <w:lvlJc w:val="left"/>
      <w:pPr>
        <w:ind w:left="4320" w:hanging="360"/>
      </w:pPr>
      <w:rPr>
        <w:rFonts w:ascii="Wingdings" w:hAnsi="Wingdings" w:hint="default"/>
      </w:rPr>
    </w:lvl>
    <w:lvl w:ilvl="6" w:tplc="5E3C818C" w:tentative="1">
      <w:start w:val="1"/>
      <w:numFmt w:val="bullet"/>
      <w:lvlText w:val=""/>
      <w:lvlJc w:val="left"/>
      <w:pPr>
        <w:ind w:left="5040" w:hanging="360"/>
      </w:pPr>
      <w:rPr>
        <w:rFonts w:ascii="Symbol" w:hAnsi="Symbol" w:hint="default"/>
      </w:rPr>
    </w:lvl>
    <w:lvl w:ilvl="7" w:tplc="39803316" w:tentative="1">
      <w:start w:val="1"/>
      <w:numFmt w:val="bullet"/>
      <w:lvlText w:val="o"/>
      <w:lvlJc w:val="left"/>
      <w:pPr>
        <w:ind w:left="5760" w:hanging="360"/>
      </w:pPr>
      <w:rPr>
        <w:rFonts w:ascii="Courier New" w:hAnsi="Courier New" w:cs="Courier New" w:hint="default"/>
      </w:rPr>
    </w:lvl>
    <w:lvl w:ilvl="8" w:tplc="21761AF6" w:tentative="1">
      <w:start w:val="1"/>
      <w:numFmt w:val="bullet"/>
      <w:lvlText w:val=""/>
      <w:lvlJc w:val="left"/>
      <w:pPr>
        <w:ind w:left="6480" w:hanging="360"/>
      </w:pPr>
      <w:rPr>
        <w:rFonts w:ascii="Wingdings" w:hAnsi="Wingdings" w:hint="default"/>
      </w:rPr>
    </w:lvl>
  </w:abstractNum>
  <w:abstractNum w:abstractNumId="137" w15:restartNumberingAfterBreak="0">
    <w:nsid w:val="213B07F0"/>
    <w:multiLevelType w:val="hybridMultilevel"/>
    <w:tmpl w:val="8612DE1A"/>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8" w15:restartNumberingAfterBreak="0">
    <w:nsid w:val="2141741F"/>
    <w:multiLevelType w:val="hybridMultilevel"/>
    <w:tmpl w:val="54CA42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9" w15:restartNumberingAfterBreak="0">
    <w:nsid w:val="217071EC"/>
    <w:multiLevelType w:val="hybridMultilevel"/>
    <w:tmpl w:val="76E6E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2187654F"/>
    <w:multiLevelType w:val="hybridMultilevel"/>
    <w:tmpl w:val="AE64D6AC"/>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1" w15:restartNumberingAfterBreak="0">
    <w:nsid w:val="21DC28A6"/>
    <w:multiLevelType w:val="hybridMultilevel"/>
    <w:tmpl w:val="4B7063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21E57F1D"/>
    <w:multiLevelType w:val="hybridMultilevel"/>
    <w:tmpl w:val="9BBAB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21E75AA2"/>
    <w:multiLevelType w:val="multilevel"/>
    <w:tmpl w:val="A924741E"/>
    <w:styleLink w:val="WW8Num17"/>
    <w:lvl w:ilvl="0">
      <w:numFmt w:val="bullet"/>
      <w:lvlText w:val=""/>
      <w:lvlJc w:val="left"/>
      <w:pPr>
        <w:ind w:left="1360"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4" w15:restartNumberingAfterBreak="0">
    <w:nsid w:val="21F61A21"/>
    <w:multiLevelType w:val="hybridMultilevel"/>
    <w:tmpl w:val="23FE3F0A"/>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5" w15:restartNumberingAfterBreak="0">
    <w:nsid w:val="21F61E4C"/>
    <w:multiLevelType w:val="hybridMultilevel"/>
    <w:tmpl w:val="17603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2233485F"/>
    <w:multiLevelType w:val="hybridMultilevel"/>
    <w:tmpl w:val="57B67122"/>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7" w15:restartNumberingAfterBreak="0">
    <w:nsid w:val="22E267AD"/>
    <w:multiLevelType w:val="multilevel"/>
    <w:tmpl w:val="69EC14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8" w15:restartNumberingAfterBreak="0">
    <w:nsid w:val="22E73C14"/>
    <w:multiLevelType w:val="hybridMultilevel"/>
    <w:tmpl w:val="11B24DDE"/>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9" w15:restartNumberingAfterBreak="0">
    <w:nsid w:val="22FA7D1D"/>
    <w:multiLevelType w:val="hybridMultilevel"/>
    <w:tmpl w:val="4F665D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0" w15:restartNumberingAfterBreak="0">
    <w:nsid w:val="23051E41"/>
    <w:multiLevelType w:val="hybridMultilevel"/>
    <w:tmpl w:val="DACEB0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231524CC"/>
    <w:multiLevelType w:val="hybridMultilevel"/>
    <w:tmpl w:val="D92ACC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231E5DC3"/>
    <w:multiLevelType w:val="hybridMultilevel"/>
    <w:tmpl w:val="E62A77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23301413"/>
    <w:multiLevelType w:val="hybridMultilevel"/>
    <w:tmpl w:val="AF2CB680"/>
    <w:lvl w:ilvl="0" w:tplc="04090005">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236C16D0"/>
    <w:multiLevelType w:val="hybridMultilevel"/>
    <w:tmpl w:val="A4D29B24"/>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5" w15:restartNumberingAfterBreak="0">
    <w:nsid w:val="237625DB"/>
    <w:multiLevelType w:val="hybridMultilevel"/>
    <w:tmpl w:val="1A5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238971B4"/>
    <w:multiLevelType w:val="multilevel"/>
    <w:tmpl w:val="8F5E84D2"/>
    <w:styleLink w:val="WW8Num4"/>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382" w:hanging="360"/>
      </w:pPr>
      <w:rPr>
        <w:rFonts w:ascii="Courier New" w:hAnsi="Courier New" w:cs="Wingdings"/>
      </w:rPr>
    </w:lvl>
    <w:lvl w:ilvl="2">
      <w:numFmt w:val="bullet"/>
      <w:lvlText w:val=""/>
      <w:lvlJc w:val="left"/>
      <w:pPr>
        <w:ind w:left="1102" w:hanging="360"/>
      </w:pPr>
      <w:rPr>
        <w:rFonts w:ascii="Wingdings" w:hAnsi="Wingdings"/>
      </w:rPr>
    </w:lvl>
    <w:lvl w:ilvl="3">
      <w:numFmt w:val="bullet"/>
      <w:lvlText w:val=""/>
      <w:lvlJc w:val="left"/>
      <w:pPr>
        <w:ind w:left="1822" w:hanging="360"/>
      </w:pPr>
      <w:rPr>
        <w:rFonts w:ascii="Symbol" w:hAnsi="Symbol"/>
      </w:rPr>
    </w:lvl>
    <w:lvl w:ilvl="4">
      <w:numFmt w:val="bullet"/>
      <w:lvlText w:val="o"/>
      <w:lvlJc w:val="left"/>
      <w:pPr>
        <w:ind w:left="2542" w:hanging="360"/>
      </w:pPr>
      <w:rPr>
        <w:rFonts w:ascii="Courier New" w:hAnsi="Courier New" w:cs="Wingdings"/>
      </w:rPr>
    </w:lvl>
    <w:lvl w:ilvl="5">
      <w:numFmt w:val="bullet"/>
      <w:lvlText w:val=""/>
      <w:lvlJc w:val="left"/>
      <w:pPr>
        <w:ind w:left="3262" w:hanging="360"/>
      </w:pPr>
      <w:rPr>
        <w:rFonts w:ascii="Wingdings" w:hAnsi="Wingdings"/>
      </w:rPr>
    </w:lvl>
    <w:lvl w:ilvl="6">
      <w:numFmt w:val="bullet"/>
      <w:lvlText w:val=""/>
      <w:lvlJc w:val="left"/>
      <w:pPr>
        <w:ind w:left="3982" w:hanging="360"/>
      </w:pPr>
      <w:rPr>
        <w:rFonts w:ascii="Symbol" w:hAnsi="Symbol"/>
      </w:rPr>
    </w:lvl>
    <w:lvl w:ilvl="7">
      <w:numFmt w:val="bullet"/>
      <w:lvlText w:val="o"/>
      <w:lvlJc w:val="left"/>
      <w:pPr>
        <w:ind w:left="4702" w:hanging="360"/>
      </w:pPr>
      <w:rPr>
        <w:rFonts w:ascii="Courier New" w:hAnsi="Courier New" w:cs="Wingdings"/>
      </w:rPr>
    </w:lvl>
    <w:lvl w:ilvl="8">
      <w:numFmt w:val="bullet"/>
      <w:lvlText w:val=""/>
      <w:lvlJc w:val="left"/>
      <w:pPr>
        <w:ind w:left="5422" w:hanging="360"/>
      </w:pPr>
      <w:rPr>
        <w:rFonts w:ascii="Wingdings" w:hAnsi="Wingdings"/>
      </w:rPr>
    </w:lvl>
  </w:abstractNum>
  <w:abstractNum w:abstractNumId="157" w15:restartNumberingAfterBreak="0">
    <w:nsid w:val="23A2256F"/>
    <w:multiLevelType w:val="hybridMultilevel"/>
    <w:tmpl w:val="B5482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23A24402"/>
    <w:multiLevelType w:val="hybridMultilevel"/>
    <w:tmpl w:val="A1EC5C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23D37BEA"/>
    <w:multiLevelType w:val="hybridMultilevel"/>
    <w:tmpl w:val="16E0D52C"/>
    <w:lvl w:ilvl="0" w:tplc="04090005">
      <w:start w:val="1"/>
      <w:numFmt w:val="bullet"/>
      <w:lvlText w:val=""/>
      <w:lvlJc w:val="left"/>
      <w:pPr>
        <w:ind w:left="360" w:hanging="360"/>
      </w:pPr>
      <w:rPr>
        <w:rFonts w:ascii="Wingdings" w:hAnsi="Wingdings" w:hint="default"/>
      </w:rPr>
    </w:lvl>
    <w:lvl w:ilvl="1" w:tplc="687A8020">
      <w:start w:val="1"/>
      <w:numFmt w:val="bullet"/>
      <w:lvlText w:val="-"/>
      <w:lvlJc w:val="left"/>
      <w:pPr>
        <w:ind w:left="1080" w:hanging="360"/>
      </w:pPr>
      <w:rPr>
        <w:rFonts w:ascii="Verdana" w:eastAsia="Times New Roman" w:hAnsi="Verdana"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23D5660A"/>
    <w:multiLevelType w:val="hybridMultilevel"/>
    <w:tmpl w:val="F7841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23D67199"/>
    <w:multiLevelType w:val="hybridMultilevel"/>
    <w:tmpl w:val="BAB2C650"/>
    <w:lvl w:ilvl="0" w:tplc="0DD87774">
      <w:start w:val="1"/>
      <w:numFmt w:val="bullet"/>
      <w:lvlText w:val=""/>
      <w:lvlJc w:val="left"/>
      <w:pPr>
        <w:ind w:left="720" w:hanging="360"/>
      </w:pPr>
      <w:rPr>
        <w:rFonts w:ascii="Symbol" w:hAnsi="Symbol" w:hint="default"/>
      </w:rPr>
    </w:lvl>
    <w:lvl w:ilvl="1" w:tplc="1E46ABDE" w:tentative="1">
      <w:start w:val="1"/>
      <w:numFmt w:val="bullet"/>
      <w:lvlText w:val="o"/>
      <w:lvlJc w:val="left"/>
      <w:pPr>
        <w:ind w:left="1440" w:hanging="360"/>
      </w:pPr>
      <w:rPr>
        <w:rFonts w:ascii="Courier New" w:hAnsi="Courier New" w:cs="Courier New" w:hint="default"/>
      </w:rPr>
    </w:lvl>
    <w:lvl w:ilvl="2" w:tplc="F8F8F970" w:tentative="1">
      <w:start w:val="1"/>
      <w:numFmt w:val="bullet"/>
      <w:lvlText w:val=""/>
      <w:lvlJc w:val="left"/>
      <w:pPr>
        <w:ind w:left="2160" w:hanging="360"/>
      </w:pPr>
      <w:rPr>
        <w:rFonts w:ascii="Wingdings" w:hAnsi="Wingdings" w:hint="default"/>
      </w:rPr>
    </w:lvl>
    <w:lvl w:ilvl="3" w:tplc="E8BC2E16" w:tentative="1">
      <w:start w:val="1"/>
      <w:numFmt w:val="bullet"/>
      <w:lvlText w:val=""/>
      <w:lvlJc w:val="left"/>
      <w:pPr>
        <w:ind w:left="2880" w:hanging="360"/>
      </w:pPr>
      <w:rPr>
        <w:rFonts w:ascii="Symbol" w:hAnsi="Symbol" w:hint="default"/>
      </w:rPr>
    </w:lvl>
    <w:lvl w:ilvl="4" w:tplc="49800408" w:tentative="1">
      <w:start w:val="1"/>
      <w:numFmt w:val="bullet"/>
      <w:lvlText w:val="o"/>
      <w:lvlJc w:val="left"/>
      <w:pPr>
        <w:ind w:left="3600" w:hanging="360"/>
      </w:pPr>
      <w:rPr>
        <w:rFonts w:ascii="Courier New" w:hAnsi="Courier New" w:cs="Courier New" w:hint="default"/>
      </w:rPr>
    </w:lvl>
    <w:lvl w:ilvl="5" w:tplc="036C95C4" w:tentative="1">
      <w:start w:val="1"/>
      <w:numFmt w:val="bullet"/>
      <w:lvlText w:val=""/>
      <w:lvlJc w:val="left"/>
      <w:pPr>
        <w:ind w:left="4320" w:hanging="360"/>
      </w:pPr>
      <w:rPr>
        <w:rFonts w:ascii="Wingdings" w:hAnsi="Wingdings" w:hint="default"/>
      </w:rPr>
    </w:lvl>
    <w:lvl w:ilvl="6" w:tplc="08888830" w:tentative="1">
      <w:start w:val="1"/>
      <w:numFmt w:val="bullet"/>
      <w:lvlText w:val=""/>
      <w:lvlJc w:val="left"/>
      <w:pPr>
        <w:ind w:left="5040" w:hanging="360"/>
      </w:pPr>
      <w:rPr>
        <w:rFonts w:ascii="Symbol" w:hAnsi="Symbol" w:hint="default"/>
      </w:rPr>
    </w:lvl>
    <w:lvl w:ilvl="7" w:tplc="305CB108" w:tentative="1">
      <w:start w:val="1"/>
      <w:numFmt w:val="bullet"/>
      <w:lvlText w:val="o"/>
      <w:lvlJc w:val="left"/>
      <w:pPr>
        <w:ind w:left="5760" w:hanging="360"/>
      </w:pPr>
      <w:rPr>
        <w:rFonts w:ascii="Courier New" w:hAnsi="Courier New" w:cs="Courier New" w:hint="default"/>
      </w:rPr>
    </w:lvl>
    <w:lvl w:ilvl="8" w:tplc="2968C79A" w:tentative="1">
      <w:start w:val="1"/>
      <w:numFmt w:val="bullet"/>
      <w:lvlText w:val=""/>
      <w:lvlJc w:val="left"/>
      <w:pPr>
        <w:ind w:left="6480" w:hanging="360"/>
      </w:pPr>
      <w:rPr>
        <w:rFonts w:ascii="Wingdings" w:hAnsi="Wingdings" w:hint="default"/>
      </w:rPr>
    </w:lvl>
  </w:abstractNum>
  <w:abstractNum w:abstractNumId="162" w15:restartNumberingAfterBreak="0">
    <w:nsid w:val="241C74CB"/>
    <w:multiLevelType w:val="hybridMultilevel"/>
    <w:tmpl w:val="38C657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64" w15:restartNumberingAfterBreak="0">
    <w:nsid w:val="251147D5"/>
    <w:multiLevelType w:val="hybridMultilevel"/>
    <w:tmpl w:val="18889D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5" w15:restartNumberingAfterBreak="0">
    <w:nsid w:val="252F2E3C"/>
    <w:multiLevelType w:val="hybridMultilevel"/>
    <w:tmpl w:val="F8E86E42"/>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6" w15:restartNumberingAfterBreak="0">
    <w:nsid w:val="253A5F5D"/>
    <w:multiLevelType w:val="hybridMultilevel"/>
    <w:tmpl w:val="9B7E9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55262B8"/>
    <w:multiLevelType w:val="hybridMultilevel"/>
    <w:tmpl w:val="D4B0D9D0"/>
    <w:lvl w:ilvl="0" w:tplc="B948AEF4">
      <w:start w:val="1"/>
      <w:numFmt w:val="bullet"/>
      <w:lvlText w:val=""/>
      <w:lvlJc w:val="left"/>
      <w:pPr>
        <w:ind w:left="1320" w:hanging="360"/>
      </w:pPr>
      <w:rPr>
        <w:rFonts w:ascii="Symbol" w:hAnsi="Symbol" w:hint="default"/>
      </w:rPr>
    </w:lvl>
    <w:lvl w:ilvl="1" w:tplc="6FA6B232" w:tentative="1">
      <w:start w:val="1"/>
      <w:numFmt w:val="bullet"/>
      <w:lvlText w:val="o"/>
      <w:lvlJc w:val="left"/>
      <w:pPr>
        <w:ind w:left="2040" w:hanging="360"/>
      </w:pPr>
      <w:rPr>
        <w:rFonts w:ascii="Courier New" w:hAnsi="Courier New" w:cs="Courier New" w:hint="default"/>
      </w:rPr>
    </w:lvl>
    <w:lvl w:ilvl="2" w:tplc="CA8625EC" w:tentative="1">
      <w:start w:val="1"/>
      <w:numFmt w:val="bullet"/>
      <w:lvlText w:val=""/>
      <w:lvlJc w:val="left"/>
      <w:pPr>
        <w:ind w:left="2760" w:hanging="360"/>
      </w:pPr>
      <w:rPr>
        <w:rFonts w:ascii="Wingdings" w:hAnsi="Wingdings" w:hint="default"/>
      </w:rPr>
    </w:lvl>
    <w:lvl w:ilvl="3" w:tplc="498AB88C" w:tentative="1">
      <w:start w:val="1"/>
      <w:numFmt w:val="bullet"/>
      <w:lvlText w:val=""/>
      <w:lvlJc w:val="left"/>
      <w:pPr>
        <w:ind w:left="3480" w:hanging="360"/>
      </w:pPr>
      <w:rPr>
        <w:rFonts w:ascii="Symbol" w:hAnsi="Symbol" w:hint="default"/>
      </w:rPr>
    </w:lvl>
    <w:lvl w:ilvl="4" w:tplc="6CC08970" w:tentative="1">
      <w:start w:val="1"/>
      <w:numFmt w:val="bullet"/>
      <w:lvlText w:val="o"/>
      <w:lvlJc w:val="left"/>
      <w:pPr>
        <w:ind w:left="4200" w:hanging="360"/>
      </w:pPr>
      <w:rPr>
        <w:rFonts w:ascii="Courier New" w:hAnsi="Courier New" w:cs="Courier New" w:hint="default"/>
      </w:rPr>
    </w:lvl>
    <w:lvl w:ilvl="5" w:tplc="24C871B2" w:tentative="1">
      <w:start w:val="1"/>
      <w:numFmt w:val="bullet"/>
      <w:lvlText w:val=""/>
      <w:lvlJc w:val="left"/>
      <w:pPr>
        <w:ind w:left="4920" w:hanging="360"/>
      </w:pPr>
      <w:rPr>
        <w:rFonts w:ascii="Wingdings" w:hAnsi="Wingdings" w:hint="default"/>
      </w:rPr>
    </w:lvl>
    <w:lvl w:ilvl="6" w:tplc="2578F8FC" w:tentative="1">
      <w:start w:val="1"/>
      <w:numFmt w:val="bullet"/>
      <w:lvlText w:val=""/>
      <w:lvlJc w:val="left"/>
      <w:pPr>
        <w:ind w:left="5640" w:hanging="360"/>
      </w:pPr>
      <w:rPr>
        <w:rFonts w:ascii="Symbol" w:hAnsi="Symbol" w:hint="default"/>
      </w:rPr>
    </w:lvl>
    <w:lvl w:ilvl="7" w:tplc="75C0C900" w:tentative="1">
      <w:start w:val="1"/>
      <w:numFmt w:val="bullet"/>
      <w:lvlText w:val="o"/>
      <w:lvlJc w:val="left"/>
      <w:pPr>
        <w:ind w:left="6360" w:hanging="360"/>
      </w:pPr>
      <w:rPr>
        <w:rFonts w:ascii="Courier New" w:hAnsi="Courier New" w:cs="Courier New" w:hint="default"/>
      </w:rPr>
    </w:lvl>
    <w:lvl w:ilvl="8" w:tplc="B598379A" w:tentative="1">
      <w:start w:val="1"/>
      <w:numFmt w:val="bullet"/>
      <w:lvlText w:val=""/>
      <w:lvlJc w:val="left"/>
      <w:pPr>
        <w:ind w:left="7080" w:hanging="360"/>
      </w:pPr>
      <w:rPr>
        <w:rFonts w:ascii="Wingdings" w:hAnsi="Wingdings" w:hint="default"/>
      </w:rPr>
    </w:lvl>
  </w:abstractNum>
  <w:abstractNum w:abstractNumId="168" w15:restartNumberingAfterBreak="0">
    <w:nsid w:val="25BB3973"/>
    <w:multiLevelType w:val="hybridMultilevel"/>
    <w:tmpl w:val="059459B6"/>
    <w:lvl w:ilvl="0" w:tplc="B6DED652">
      <w:start w:val="1"/>
      <w:numFmt w:val="bullet"/>
      <w:lvlText w:val=""/>
      <w:lvlJc w:val="left"/>
      <w:pPr>
        <w:ind w:left="360" w:hanging="360"/>
      </w:pPr>
      <w:rPr>
        <w:rFonts w:ascii="Wingdings" w:hAnsi="Wingdings" w:hint="default"/>
      </w:rPr>
    </w:lvl>
    <w:lvl w:ilvl="1" w:tplc="3482AF0E">
      <w:start w:val="1"/>
      <w:numFmt w:val="bullet"/>
      <w:lvlText w:val="o"/>
      <w:lvlJc w:val="left"/>
      <w:pPr>
        <w:ind w:left="1080" w:hanging="360"/>
      </w:pPr>
      <w:rPr>
        <w:rFonts w:ascii="Courier New" w:hAnsi="Courier New" w:cs="Courier New" w:hint="default"/>
        <w:sz w:val="18"/>
        <w:szCs w:val="18"/>
      </w:rPr>
    </w:lvl>
    <w:lvl w:ilvl="2" w:tplc="EFAE754C" w:tentative="1">
      <w:start w:val="1"/>
      <w:numFmt w:val="bullet"/>
      <w:lvlText w:val=""/>
      <w:lvlJc w:val="left"/>
      <w:pPr>
        <w:ind w:left="1800" w:hanging="360"/>
      </w:pPr>
      <w:rPr>
        <w:rFonts w:ascii="Wingdings" w:hAnsi="Wingdings" w:hint="default"/>
      </w:rPr>
    </w:lvl>
    <w:lvl w:ilvl="3" w:tplc="667E51BC" w:tentative="1">
      <w:start w:val="1"/>
      <w:numFmt w:val="bullet"/>
      <w:lvlText w:val=""/>
      <w:lvlJc w:val="left"/>
      <w:pPr>
        <w:ind w:left="2520" w:hanging="360"/>
      </w:pPr>
      <w:rPr>
        <w:rFonts w:ascii="Symbol" w:hAnsi="Symbol" w:hint="default"/>
      </w:rPr>
    </w:lvl>
    <w:lvl w:ilvl="4" w:tplc="06C29D4C" w:tentative="1">
      <w:start w:val="1"/>
      <w:numFmt w:val="bullet"/>
      <w:lvlText w:val="o"/>
      <w:lvlJc w:val="left"/>
      <w:pPr>
        <w:ind w:left="3240" w:hanging="360"/>
      </w:pPr>
      <w:rPr>
        <w:rFonts w:ascii="Courier New" w:hAnsi="Courier New" w:cs="Courier New" w:hint="default"/>
      </w:rPr>
    </w:lvl>
    <w:lvl w:ilvl="5" w:tplc="096E3BAC" w:tentative="1">
      <w:start w:val="1"/>
      <w:numFmt w:val="bullet"/>
      <w:lvlText w:val=""/>
      <w:lvlJc w:val="left"/>
      <w:pPr>
        <w:ind w:left="3960" w:hanging="360"/>
      </w:pPr>
      <w:rPr>
        <w:rFonts w:ascii="Wingdings" w:hAnsi="Wingdings" w:hint="default"/>
      </w:rPr>
    </w:lvl>
    <w:lvl w:ilvl="6" w:tplc="8CCC1B1C" w:tentative="1">
      <w:start w:val="1"/>
      <w:numFmt w:val="bullet"/>
      <w:lvlText w:val=""/>
      <w:lvlJc w:val="left"/>
      <w:pPr>
        <w:ind w:left="4680" w:hanging="360"/>
      </w:pPr>
      <w:rPr>
        <w:rFonts w:ascii="Symbol" w:hAnsi="Symbol" w:hint="default"/>
      </w:rPr>
    </w:lvl>
    <w:lvl w:ilvl="7" w:tplc="4914DA2A" w:tentative="1">
      <w:start w:val="1"/>
      <w:numFmt w:val="bullet"/>
      <w:lvlText w:val="o"/>
      <w:lvlJc w:val="left"/>
      <w:pPr>
        <w:ind w:left="5400" w:hanging="360"/>
      </w:pPr>
      <w:rPr>
        <w:rFonts w:ascii="Courier New" w:hAnsi="Courier New" w:cs="Courier New" w:hint="default"/>
      </w:rPr>
    </w:lvl>
    <w:lvl w:ilvl="8" w:tplc="2E6C61CC" w:tentative="1">
      <w:start w:val="1"/>
      <w:numFmt w:val="bullet"/>
      <w:lvlText w:val=""/>
      <w:lvlJc w:val="left"/>
      <w:pPr>
        <w:ind w:left="6120" w:hanging="360"/>
      </w:pPr>
      <w:rPr>
        <w:rFonts w:ascii="Wingdings" w:hAnsi="Wingdings" w:hint="default"/>
      </w:rPr>
    </w:lvl>
  </w:abstractNum>
  <w:abstractNum w:abstractNumId="169" w15:restartNumberingAfterBreak="0">
    <w:nsid w:val="26681B43"/>
    <w:multiLevelType w:val="hybridMultilevel"/>
    <w:tmpl w:val="3CA88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26AB2682"/>
    <w:multiLevelType w:val="hybridMultilevel"/>
    <w:tmpl w:val="18F271A8"/>
    <w:lvl w:ilvl="0" w:tplc="04090005">
      <w:start w:val="1"/>
      <w:numFmt w:val="bullet"/>
      <w:lvlText w:val=""/>
      <w:lvlJc w:val="left"/>
      <w:pPr>
        <w:ind w:left="360" w:hanging="360"/>
      </w:pPr>
      <w:rPr>
        <w:rFonts w:ascii="Wingdings" w:hAnsi="Wingdings" w:hint="default"/>
        <w:sz w:val="18"/>
        <w:szCs w:val="1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15:restartNumberingAfterBreak="0">
    <w:nsid w:val="26C9231E"/>
    <w:multiLevelType w:val="hybridMultilevel"/>
    <w:tmpl w:val="D6D68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27384CFA"/>
    <w:multiLevelType w:val="hybridMultilevel"/>
    <w:tmpl w:val="BBD20846"/>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27CC7EB4"/>
    <w:multiLevelType w:val="hybridMultilevel"/>
    <w:tmpl w:val="264A314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27D6762D"/>
    <w:multiLevelType w:val="hybridMultilevel"/>
    <w:tmpl w:val="BB427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28630BDD"/>
    <w:multiLevelType w:val="hybridMultilevel"/>
    <w:tmpl w:val="C05C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287A79DA"/>
    <w:multiLevelType w:val="hybridMultilevel"/>
    <w:tmpl w:val="F40405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7" w15:restartNumberingAfterBreak="0">
    <w:nsid w:val="287F4E7B"/>
    <w:multiLevelType w:val="hybridMultilevel"/>
    <w:tmpl w:val="2C3687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289049D4"/>
    <w:multiLevelType w:val="hybridMultilevel"/>
    <w:tmpl w:val="1ECA78C6"/>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9" w15:restartNumberingAfterBreak="0">
    <w:nsid w:val="28C369FA"/>
    <w:multiLevelType w:val="hybridMultilevel"/>
    <w:tmpl w:val="2F9829B2"/>
    <w:lvl w:ilvl="0" w:tplc="011E5182">
      <w:start w:val="1"/>
      <w:numFmt w:val="bullet"/>
      <w:lvlText w:val=""/>
      <w:lvlJc w:val="left"/>
      <w:pPr>
        <w:ind w:left="720" w:hanging="360"/>
      </w:pPr>
      <w:rPr>
        <w:rFonts w:ascii="Wingdings" w:hAnsi="Wingdings" w:hint="default"/>
      </w:rPr>
    </w:lvl>
    <w:lvl w:ilvl="1" w:tplc="57E42832" w:tentative="1">
      <w:start w:val="1"/>
      <w:numFmt w:val="bullet"/>
      <w:lvlText w:val="o"/>
      <w:lvlJc w:val="left"/>
      <w:pPr>
        <w:ind w:left="1440" w:hanging="360"/>
      </w:pPr>
      <w:rPr>
        <w:rFonts w:ascii="Courier New" w:hAnsi="Courier New" w:cs="Courier New" w:hint="default"/>
      </w:rPr>
    </w:lvl>
    <w:lvl w:ilvl="2" w:tplc="64CEC112" w:tentative="1">
      <w:start w:val="1"/>
      <w:numFmt w:val="bullet"/>
      <w:lvlText w:val=""/>
      <w:lvlJc w:val="left"/>
      <w:pPr>
        <w:ind w:left="2160" w:hanging="360"/>
      </w:pPr>
      <w:rPr>
        <w:rFonts w:ascii="Wingdings" w:hAnsi="Wingdings" w:hint="default"/>
      </w:rPr>
    </w:lvl>
    <w:lvl w:ilvl="3" w:tplc="65C47AD6" w:tentative="1">
      <w:start w:val="1"/>
      <w:numFmt w:val="bullet"/>
      <w:lvlText w:val=""/>
      <w:lvlJc w:val="left"/>
      <w:pPr>
        <w:ind w:left="2880" w:hanging="360"/>
      </w:pPr>
      <w:rPr>
        <w:rFonts w:ascii="Symbol" w:hAnsi="Symbol" w:hint="default"/>
      </w:rPr>
    </w:lvl>
    <w:lvl w:ilvl="4" w:tplc="DAD83482" w:tentative="1">
      <w:start w:val="1"/>
      <w:numFmt w:val="bullet"/>
      <w:lvlText w:val="o"/>
      <w:lvlJc w:val="left"/>
      <w:pPr>
        <w:ind w:left="3600" w:hanging="360"/>
      </w:pPr>
      <w:rPr>
        <w:rFonts w:ascii="Courier New" w:hAnsi="Courier New" w:cs="Courier New" w:hint="default"/>
      </w:rPr>
    </w:lvl>
    <w:lvl w:ilvl="5" w:tplc="D732462C" w:tentative="1">
      <w:start w:val="1"/>
      <w:numFmt w:val="bullet"/>
      <w:lvlText w:val=""/>
      <w:lvlJc w:val="left"/>
      <w:pPr>
        <w:ind w:left="4320" w:hanging="360"/>
      </w:pPr>
      <w:rPr>
        <w:rFonts w:ascii="Wingdings" w:hAnsi="Wingdings" w:hint="default"/>
      </w:rPr>
    </w:lvl>
    <w:lvl w:ilvl="6" w:tplc="7B1A113E" w:tentative="1">
      <w:start w:val="1"/>
      <w:numFmt w:val="bullet"/>
      <w:lvlText w:val=""/>
      <w:lvlJc w:val="left"/>
      <w:pPr>
        <w:ind w:left="5040" w:hanging="360"/>
      </w:pPr>
      <w:rPr>
        <w:rFonts w:ascii="Symbol" w:hAnsi="Symbol" w:hint="default"/>
      </w:rPr>
    </w:lvl>
    <w:lvl w:ilvl="7" w:tplc="DF0C596A" w:tentative="1">
      <w:start w:val="1"/>
      <w:numFmt w:val="bullet"/>
      <w:lvlText w:val="o"/>
      <w:lvlJc w:val="left"/>
      <w:pPr>
        <w:ind w:left="5760" w:hanging="360"/>
      </w:pPr>
      <w:rPr>
        <w:rFonts w:ascii="Courier New" w:hAnsi="Courier New" w:cs="Courier New" w:hint="default"/>
      </w:rPr>
    </w:lvl>
    <w:lvl w:ilvl="8" w:tplc="D3785754" w:tentative="1">
      <w:start w:val="1"/>
      <w:numFmt w:val="bullet"/>
      <w:lvlText w:val=""/>
      <w:lvlJc w:val="left"/>
      <w:pPr>
        <w:ind w:left="6480" w:hanging="360"/>
      </w:pPr>
      <w:rPr>
        <w:rFonts w:ascii="Wingdings" w:hAnsi="Wingdings" w:hint="default"/>
      </w:rPr>
    </w:lvl>
  </w:abstractNum>
  <w:abstractNum w:abstractNumId="180" w15:restartNumberingAfterBreak="0">
    <w:nsid w:val="29264A4D"/>
    <w:multiLevelType w:val="hybridMultilevel"/>
    <w:tmpl w:val="6BE8FDA4"/>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81" w15:restartNumberingAfterBreak="0">
    <w:nsid w:val="29316858"/>
    <w:multiLevelType w:val="multilevel"/>
    <w:tmpl w:val="88BAE66C"/>
    <w:styleLink w:val="WW8Num6"/>
    <w:lvl w:ilvl="0">
      <w:numFmt w:val="bullet"/>
      <w:lvlText w:val=""/>
      <w:lvlJc w:val="left"/>
      <w:pPr>
        <w:ind w:left="360" w:hanging="360"/>
      </w:pPr>
      <w:rPr>
        <w:rFonts w:ascii="Wingdings" w:hAnsi="Wingdings"/>
      </w:rPr>
    </w:lvl>
    <w:lvl w:ilvl="1">
      <w:numFmt w:val="bullet"/>
      <w:lvlText w:val="o"/>
      <w:lvlJc w:val="left"/>
      <w:pPr>
        <w:ind w:left="360" w:hanging="360"/>
      </w:pPr>
      <w:rPr>
        <w:rFonts w:ascii="Courier New" w:hAnsi="Courier New" w:cs="Courier New"/>
      </w:rPr>
    </w:lvl>
    <w:lvl w:ilvl="2">
      <w:numFmt w:val="bullet"/>
      <w:lvlText w:val=""/>
      <w:lvlJc w:val="left"/>
      <w:pPr>
        <w:ind w:left="742" w:hanging="360"/>
      </w:pPr>
      <w:rPr>
        <w:rFonts w:ascii="Wingdings" w:hAnsi="Wingdings"/>
      </w:rPr>
    </w:lvl>
    <w:lvl w:ilvl="3">
      <w:numFmt w:val="bullet"/>
      <w:lvlText w:val=""/>
      <w:lvlJc w:val="left"/>
      <w:pPr>
        <w:ind w:left="1462" w:hanging="360"/>
      </w:pPr>
      <w:rPr>
        <w:rFonts w:ascii="Symbol" w:hAnsi="Symbol"/>
      </w:rPr>
    </w:lvl>
    <w:lvl w:ilvl="4">
      <w:numFmt w:val="bullet"/>
      <w:lvlText w:val="o"/>
      <w:lvlJc w:val="left"/>
      <w:pPr>
        <w:ind w:left="2182" w:hanging="360"/>
      </w:pPr>
      <w:rPr>
        <w:rFonts w:ascii="Courier New" w:hAnsi="Courier New" w:cs="Courier New"/>
      </w:rPr>
    </w:lvl>
    <w:lvl w:ilvl="5">
      <w:numFmt w:val="bullet"/>
      <w:lvlText w:val=""/>
      <w:lvlJc w:val="left"/>
      <w:pPr>
        <w:ind w:left="2902" w:hanging="360"/>
      </w:pPr>
      <w:rPr>
        <w:rFonts w:ascii="Wingdings" w:hAnsi="Wingdings"/>
      </w:rPr>
    </w:lvl>
    <w:lvl w:ilvl="6">
      <w:numFmt w:val="bullet"/>
      <w:lvlText w:val=""/>
      <w:lvlJc w:val="left"/>
      <w:pPr>
        <w:ind w:left="3622" w:hanging="360"/>
      </w:pPr>
      <w:rPr>
        <w:rFonts w:ascii="Symbol" w:hAnsi="Symbol"/>
      </w:rPr>
    </w:lvl>
    <w:lvl w:ilvl="7">
      <w:numFmt w:val="bullet"/>
      <w:lvlText w:val="o"/>
      <w:lvlJc w:val="left"/>
      <w:pPr>
        <w:ind w:left="4342" w:hanging="360"/>
      </w:pPr>
      <w:rPr>
        <w:rFonts w:ascii="Courier New" w:hAnsi="Courier New" w:cs="Courier New"/>
      </w:rPr>
    </w:lvl>
    <w:lvl w:ilvl="8">
      <w:numFmt w:val="bullet"/>
      <w:lvlText w:val=""/>
      <w:lvlJc w:val="left"/>
      <w:pPr>
        <w:ind w:left="5062" w:hanging="360"/>
      </w:pPr>
      <w:rPr>
        <w:rFonts w:ascii="Wingdings" w:hAnsi="Wingdings"/>
      </w:rPr>
    </w:lvl>
  </w:abstractNum>
  <w:abstractNum w:abstractNumId="182" w15:restartNumberingAfterBreak="0">
    <w:nsid w:val="293221B0"/>
    <w:multiLevelType w:val="hybridMultilevel"/>
    <w:tmpl w:val="4896F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29612E6E"/>
    <w:multiLevelType w:val="hybridMultilevel"/>
    <w:tmpl w:val="4852D758"/>
    <w:lvl w:ilvl="0" w:tplc="04090005">
      <w:start w:val="1"/>
      <w:numFmt w:val="bullet"/>
      <w:lvlText w:val=""/>
      <w:lvlJc w:val="left"/>
      <w:pPr>
        <w:ind w:left="360" w:hanging="360"/>
      </w:pPr>
      <w:rPr>
        <w:rFonts w:ascii="Wingdings" w:hAnsi="Wingdings" w:hint="default"/>
      </w:rPr>
    </w:lvl>
    <w:lvl w:ilvl="1" w:tplc="D01C70BA">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2976429E"/>
    <w:multiLevelType w:val="hybridMultilevel"/>
    <w:tmpl w:val="D97C1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298502AA"/>
    <w:multiLevelType w:val="multilevel"/>
    <w:tmpl w:val="A7E6B762"/>
    <w:styleLink w:val="WW8Num44"/>
    <w:lvl w:ilvl="0">
      <w:numFmt w:val="bullet"/>
      <w:lvlText w:val=""/>
      <w:lvlJc w:val="left"/>
      <w:pPr>
        <w:ind w:left="360" w:hanging="360"/>
      </w:pPr>
      <w:rPr>
        <w:rFonts w:ascii="Wingdings" w:hAnsi="Wingdings"/>
      </w:rPr>
    </w:lvl>
    <w:lvl w:ilvl="1">
      <w:numFmt w:val="bullet"/>
      <w:lvlText w:val=""/>
      <w:lvlJc w:val="left"/>
      <w:pPr>
        <w:ind w:left="1080" w:hanging="360"/>
      </w:pPr>
      <w:rPr>
        <w:rFonts w:ascii="Symbol" w:hAnsi="Symbol"/>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6" w15:restartNumberingAfterBreak="0">
    <w:nsid w:val="29B25346"/>
    <w:multiLevelType w:val="multilevel"/>
    <w:tmpl w:val="550ACE4C"/>
    <w:styleLink w:val="WW8Num33"/>
    <w:lvl w:ilvl="0">
      <w:numFmt w:val="bullet"/>
      <w:lvlText w:val=""/>
      <w:lvlJc w:val="left"/>
      <w:pPr>
        <w:ind w:left="720" w:hanging="360"/>
      </w:pPr>
      <w:rPr>
        <w:rFonts w:ascii="Wingdings" w:hAnsi="Wingdings"/>
      </w:rPr>
    </w:lvl>
    <w:lvl w:ilvl="1">
      <w:numFmt w:val="bullet"/>
      <w:lvlText w:val="o"/>
      <w:lvlJc w:val="left"/>
      <w:pPr>
        <w:ind w:left="720" w:hanging="360"/>
      </w:pPr>
      <w:rPr>
        <w:rFonts w:ascii="Courier New" w:hAnsi="Courier New" w:cs="Courier New"/>
      </w:rPr>
    </w:lvl>
    <w:lvl w:ilvl="2">
      <w:numFmt w:val="bullet"/>
      <w:lvlText w:val="-"/>
      <w:lvlJc w:val="left"/>
      <w:pPr>
        <w:ind w:left="1102" w:hanging="360"/>
      </w:pPr>
      <w:rPr>
        <w:rFonts w:ascii="Tahoma" w:eastAsia="Times New Roman" w:hAnsi="Tahoma" w:cs="Tahoma"/>
      </w:rPr>
    </w:lvl>
    <w:lvl w:ilvl="3">
      <w:numFmt w:val="bullet"/>
      <w:lvlText w:val=""/>
      <w:lvlJc w:val="left"/>
      <w:pPr>
        <w:ind w:left="1822" w:hanging="360"/>
      </w:pPr>
      <w:rPr>
        <w:rFonts w:ascii="Symbol" w:hAnsi="Symbol"/>
      </w:rPr>
    </w:lvl>
    <w:lvl w:ilvl="4">
      <w:numFmt w:val="bullet"/>
      <w:lvlText w:val="o"/>
      <w:lvlJc w:val="left"/>
      <w:pPr>
        <w:ind w:left="2542" w:hanging="360"/>
      </w:pPr>
      <w:rPr>
        <w:rFonts w:ascii="Courier New" w:hAnsi="Courier New" w:cs="Courier New"/>
      </w:rPr>
    </w:lvl>
    <w:lvl w:ilvl="5">
      <w:numFmt w:val="bullet"/>
      <w:lvlText w:val=""/>
      <w:lvlJc w:val="left"/>
      <w:pPr>
        <w:ind w:left="3262" w:hanging="360"/>
      </w:pPr>
      <w:rPr>
        <w:rFonts w:ascii="Wingdings" w:hAnsi="Wingdings"/>
      </w:rPr>
    </w:lvl>
    <w:lvl w:ilvl="6">
      <w:numFmt w:val="bullet"/>
      <w:lvlText w:val=""/>
      <w:lvlJc w:val="left"/>
      <w:pPr>
        <w:ind w:left="3982" w:hanging="360"/>
      </w:pPr>
      <w:rPr>
        <w:rFonts w:ascii="Symbol" w:hAnsi="Symbol"/>
      </w:rPr>
    </w:lvl>
    <w:lvl w:ilvl="7">
      <w:numFmt w:val="bullet"/>
      <w:lvlText w:val="o"/>
      <w:lvlJc w:val="left"/>
      <w:pPr>
        <w:ind w:left="4702" w:hanging="360"/>
      </w:pPr>
      <w:rPr>
        <w:rFonts w:ascii="Courier New" w:hAnsi="Courier New" w:cs="Courier New"/>
      </w:rPr>
    </w:lvl>
    <w:lvl w:ilvl="8">
      <w:numFmt w:val="bullet"/>
      <w:lvlText w:val=""/>
      <w:lvlJc w:val="left"/>
      <w:pPr>
        <w:ind w:left="5422" w:hanging="360"/>
      </w:pPr>
      <w:rPr>
        <w:rFonts w:ascii="Wingdings" w:hAnsi="Wingdings"/>
      </w:rPr>
    </w:lvl>
  </w:abstractNum>
  <w:abstractNum w:abstractNumId="187" w15:restartNumberingAfterBreak="0">
    <w:nsid w:val="2A1065B1"/>
    <w:multiLevelType w:val="hybridMultilevel"/>
    <w:tmpl w:val="1F1CE592"/>
    <w:lvl w:ilvl="0" w:tplc="04090005">
      <w:start w:val="1"/>
      <w:numFmt w:val="bullet"/>
      <w:lvlText w:val=""/>
      <w:lvlJc w:val="left"/>
      <w:pPr>
        <w:ind w:left="720" w:hanging="360"/>
      </w:pPr>
      <w:rPr>
        <w:rFonts w:ascii="Wingdings" w:hAnsi="Wingdings"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2A8D20E8"/>
    <w:multiLevelType w:val="hybridMultilevel"/>
    <w:tmpl w:val="29AAC2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9" w15:restartNumberingAfterBreak="0">
    <w:nsid w:val="2A972F47"/>
    <w:multiLevelType w:val="hybridMultilevel"/>
    <w:tmpl w:val="CCF42B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0" w15:restartNumberingAfterBreak="0">
    <w:nsid w:val="2A9A081D"/>
    <w:multiLevelType w:val="hybridMultilevel"/>
    <w:tmpl w:val="BC524350"/>
    <w:lvl w:ilvl="0" w:tplc="04090005">
      <w:start w:val="1"/>
      <w:numFmt w:val="bullet"/>
      <w:lvlText w:val=""/>
      <w:lvlJc w:val="left"/>
      <w:pPr>
        <w:ind w:left="360" w:hanging="360"/>
      </w:pPr>
      <w:rPr>
        <w:rFonts w:ascii="Wingdings" w:hAnsi="Wingdings" w:hint="default"/>
        <w:sz w:val="18"/>
        <w:szCs w:val="1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1" w15:restartNumberingAfterBreak="0">
    <w:nsid w:val="2AAA7FBF"/>
    <w:multiLevelType w:val="hybridMultilevel"/>
    <w:tmpl w:val="A6D23010"/>
    <w:lvl w:ilvl="0" w:tplc="64A21E5C">
      <w:start w:val="1"/>
      <w:numFmt w:val="lowerLetter"/>
      <w:pStyle w:val="Guide-Annexe-Heading4"/>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2" w15:restartNumberingAfterBreak="0">
    <w:nsid w:val="2AC6230A"/>
    <w:multiLevelType w:val="hybridMultilevel"/>
    <w:tmpl w:val="D41AA7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3" w15:restartNumberingAfterBreak="0">
    <w:nsid w:val="2B010CFC"/>
    <w:multiLevelType w:val="hybridMultilevel"/>
    <w:tmpl w:val="A992E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2B4D6A04"/>
    <w:multiLevelType w:val="hybridMultilevel"/>
    <w:tmpl w:val="B01EE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2B650588"/>
    <w:multiLevelType w:val="hybridMultilevel"/>
    <w:tmpl w:val="D8BADAB4"/>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96" w15:restartNumberingAfterBreak="0">
    <w:nsid w:val="2BB32ADB"/>
    <w:multiLevelType w:val="hybridMultilevel"/>
    <w:tmpl w:val="943C4D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2BB90259"/>
    <w:multiLevelType w:val="hybridMultilevel"/>
    <w:tmpl w:val="8E328192"/>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98" w15:restartNumberingAfterBreak="0">
    <w:nsid w:val="2C126C77"/>
    <w:multiLevelType w:val="hybridMultilevel"/>
    <w:tmpl w:val="C7406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2C3F3A8A"/>
    <w:multiLevelType w:val="hybridMultilevel"/>
    <w:tmpl w:val="11F0816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2C712B1D"/>
    <w:multiLevelType w:val="hybridMultilevel"/>
    <w:tmpl w:val="753CE550"/>
    <w:lvl w:ilvl="0" w:tplc="04090005">
      <w:start w:val="1"/>
      <w:numFmt w:val="bullet"/>
      <w:lvlText w:val=""/>
      <w:lvlJc w:val="left"/>
      <w:pPr>
        <w:ind w:left="360" w:hanging="360"/>
      </w:pPr>
      <w:rPr>
        <w:rFonts w:ascii="Wingdings" w:hAnsi="Wingdings" w:hint="default"/>
      </w:rPr>
    </w:lvl>
    <w:lvl w:ilvl="1" w:tplc="687A8020">
      <w:start w:val="1"/>
      <w:numFmt w:val="bullet"/>
      <w:lvlText w:val="-"/>
      <w:lvlJc w:val="left"/>
      <w:pPr>
        <w:ind w:left="1080" w:hanging="360"/>
      </w:pPr>
      <w:rPr>
        <w:rFonts w:ascii="Verdana" w:eastAsia="Times New Roman" w:hAnsi="Verdana"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202" w15:restartNumberingAfterBreak="0">
    <w:nsid w:val="2CAF69EB"/>
    <w:multiLevelType w:val="hybridMultilevel"/>
    <w:tmpl w:val="2F6A45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3" w15:restartNumberingAfterBreak="0">
    <w:nsid w:val="2CB14E62"/>
    <w:multiLevelType w:val="hybridMultilevel"/>
    <w:tmpl w:val="7F764CB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2D183DC3"/>
    <w:multiLevelType w:val="hybridMultilevel"/>
    <w:tmpl w:val="39F6F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2DD21C79"/>
    <w:multiLevelType w:val="hybridMultilevel"/>
    <w:tmpl w:val="0E5072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6" w15:restartNumberingAfterBreak="0">
    <w:nsid w:val="2DE84A3F"/>
    <w:multiLevelType w:val="hybridMultilevel"/>
    <w:tmpl w:val="46209A8A"/>
    <w:lvl w:ilvl="0" w:tplc="DC0A021A">
      <w:start w:val="1"/>
      <w:numFmt w:val="bullet"/>
      <w:lvlText w:val=""/>
      <w:lvlJc w:val="left"/>
      <w:pPr>
        <w:ind w:left="720" w:hanging="360"/>
      </w:pPr>
      <w:rPr>
        <w:rFonts w:ascii="Symbol" w:hAnsi="Symbol" w:hint="default"/>
      </w:rPr>
    </w:lvl>
    <w:lvl w:ilvl="1" w:tplc="1F9856F6" w:tentative="1">
      <w:start w:val="1"/>
      <w:numFmt w:val="bullet"/>
      <w:lvlText w:val="o"/>
      <w:lvlJc w:val="left"/>
      <w:pPr>
        <w:ind w:left="1440" w:hanging="360"/>
      </w:pPr>
      <w:rPr>
        <w:rFonts w:ascii="Courier New" w:hAnsi="Courier New" w:cs="Courier New" w:hint="default"/>
      </w:rPr>
    </w:lvl>
    <w:lvl w:ilvl="2" w:tplc="A760B096" w:tentative="1">
      <w:start w:val="1"/>
      <w:numFmt w:val="bullet"/>
      <w:lvlText w:val=""/>
      <w:lvlJc w:val="left"/>
      <w:pPr>
        <w:ind w:left="2160" w:hanging="360"/>
      </w:pPr>
      <w:rPr>
        <w:rFonts w:ascii="Wingdings" w:hAnsi="Wingdings" w:hint="default"/>
      </w:rPr>
    </w:lvl>
    <w:lvl w:ilvl="3" w:tplc="FBB26EEA" w:tentative="1">
      <w:start w:val="1"/>
      <w:numFmt w:val="bullet"/>
      <w:lvlText w:val=""/>
      <w:lvlJc w:val="left"/>
      <w:pPr>
        <w:ind w:left="2880" w:hanging="360"/>
      </w:pPr>
      <w:rPr>
        <w:rFonts w:ascii="Symbol" w:hAnsi="Symbol" w:hint="default"/>
      </w:rPr>
    </w:lvl>
    <w:lvl w:ilvl="4" w:tplc="5E8EFF3A" w:tentative="1">
      <w:start w:val="1"/>
      <w:numFmt w:val="bullet"/>
      <w:lvlText w:val="o"/>
      <w:lvlJc w:val="left"/>
      <w:pPr>
        <w:ind w:left="3600" w:hanging="360"/>
      </w:pPr>
      <w:rPr>
        <w:rFonts w:ascii="Courier New" w:hAnsi="Courier New" w:cs="Courier New" w:hint="default"/>
      </w:rPr>
    </w:lvl>
    <w:lvl w:ilvl="5" w:tplc="DC1240AE" w:tentative="1">
      <w:start w:val="1"/>
      <w:numFmt w:val="bullet"/>
      <w:lvlText w:val=""/>
      <w:lvlJc w:val="left"/>
      <w:pPr>
        <w:ind w:left="4320" w:hanging="360"/>
      </w:pPr>
      <w:rPr>
        <w:rFonts w:ascii="Wingdings" w:hAnsi="Wingdings" w:hint="default"/>
      </w:rPr>
    </w:lvl>
    <w:lvl w:ilvl="6" w:tplc="C882B1B8" w:tentative="1">
      <w:start w:val="1"/>
      <w:numFmt w:val="bullet"/>
      <w:lvlText w:val=""/>
      <w:lvlJc w:val="left"/>
      <w:pPr>
        <w:ind w:left="5040" w:hanging="360"/>
      </w:pPr>
      <w:rPr>
        <w:rFonts w:ascii="Symbol" w:hAnsi="Symbol" w:hint="default"/>
      </w:rPr>
    </w:lvl>
    <w:lvl w:ilvl="7" w:tplc="798A3FC2" w:tentative="1">
      <w:start w:val="1"/>
      <w:numFmt w:val="bullet"/>
      <w:lvlText w:val="o"/>
      <w:lvlJc w:val="left"/>
      <w:pPr>
        <w:ind w:left="5760" w:hanging="360"/>
      </w:pPr>
      <w:rPr>
        <w:rFonts w:ascii="Courier New" w:hAnsi="Courier New" w:cs="Courier New" w:hint="default"/>
      </w:rPr>
    </w:lvl>
    <w:lvl w:ilvl="8" w:tplc="43FEC00E" w:tentative="1">
      <w:start w:val="1"/>
      <w:numFmt w:val="bullet"/>
      <w:lvlText w:val=""/>
      <w:lvlJc w:val="left"/>
      <w:pPr>
        <w:ind w:left="6480" w:hanging="360"/>
      </w:pPr>
      <w:rPr>
        <w:rFonts w:ascii="Wingdings" w:hAnsi="Wingdings" w:hint="default"/>
      </w:rPr>
    </w:lvl>
  </w:abstractNum>
  <w:abstractNum w:abstractNumId="207" w15:restartNumberingAfterBreak="0">
    <w:nsid w:val="2E553679"/>
    <w:multiLevelType w:val="hybridMultilevel"/>
    <w:tmpl w:val="0302CB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2E860334"/>
    <w:multiLevelType w:val="hybridMultilevel"/>
    <w:tmpl w:val="DECA8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2EBE7364"/>
    <w:multiLevelType w:val="hybridMultilevel"/>
    <w:tmpl w:val="02DC1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2EF410D1"/>
    <w:multiLevelType w:val="hybridMultilevel"/>
    <w:tmpl w:val="B02E6000"/>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211" w15:restartNumberingAfterBreak="0">
    <w:nsid w:val="2F354C5F"/>
    <w:multiLevelType w:val="multilevel"/>
    <w:tmpl w:val="DF3C8E32"/>
    <w:styleLink w:val="WW8Num24"/>
    <w:lvl w:ilvl="0">
      <w:start w:val="1"/>
      <w:numFmt w:val="decimal"/>
      <w:lvlText w:val="(%1)"/>
      <w:lvlJc w:val="left"/>
      <w:pPr>
        <w:ind w:left="709" w:hanging="709"/>
      </w:pPr>
    </w:lvl>
    <w:lvl w:ilvl="1">
      <w:start w:val="1"/>
      <w:numFmt w:val="lowerLetter"/>
      <w:lvlText w:val="(%2)"/>
      <w:lvlJc w:val="left"/>
      <w:pPr>
        <w:ind w:left="1417" w:hanging="708"/>
      </w:pPr>
    </w:lvl>
    <w:lvl w:ilvl="2">
      <w:numFmt w:val="bullet"/>
      <w:lvlText w:val="–"/>
      <w:lvlJc w:val="left"/>
      <w:pPr>
        <w:ind w:left="2126" w:hanging="709"/>
      </w:pPr>
      <w:rPr>
        <w:rFonts w:ascii="Times New Roman" w:hAnsi="Times New Roman"/>
      </w:rPr>
    </w:lvl>
    <w:lvl w:ilvl="3">
      <w:numFmt w:val="bullet"/>
      <w:lvlText w:val=""/>
      <w:lvlJc w:val="left"/>
      <w:pPr>
        <w:ind w:left="2835"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2" w15:restartNumberingAfterBreak="0">
    <w:nsid w:val="2F883A49"/>
    <w:multiLevelType w:val="hybridMultilevel"/>
    <w:tmpl w:val="8B8AAF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2F8F455F"/>
    <w:multiLevelType w:val="hybridMultilevel"/>
    <w:tmpl w:val="37C2607C"/>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4" w15:restartNumberingAfterBreak="0">
    <w:nsid w:val="304E6DB8"/>
    <w:multiLevelType w:val="hybridMultilevel"/>
    <w:tmpl w:val="3550B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30D772F2"/>
    <w:multiLevelType w:val="hybridMultilevel"/>
    <w:tmpl w:val="036A33BA"/>
    <w:lvl w:ilvl="0" w:tplc="1E8C20D2">
      <w:start w:val="1"/>
      <w:numFmt w:val="bullet"/>
      <w:lvlText w:val=""/>
      <w:lvlJc w:val="left"/>
      <w:pPr>
        <w:tabs>
          <w:tab w:val="num" w:pos="360"/>
        </w:tabs>
        <w:ind w:left="360" w:hanging="360"/>
      </w:pPr>
      <w:rPr>
        <w:rFonts w:ascii="Wingdings" w:hAnsi="Wingdings" w:hint="default"/>
      </w:rPr>
    </w:lvl>
    <w:lvl w:ilvl="1" w:tplc="8960C3FE">
      <w:start w:val="1"/>
      <w:numFmt w:val="bullet"/>
      <w:lvlText w:val="o"/>
      <w:lvlJc w:val="left"/>
      <w:pPr>
        <w:tabs>
          <w:tab w:val="num" w:pos="1080"/>
        </w:tabs>
        <w:ind w:left="1080" w:hanging="360"/>
      </w:pPr>
      <w:rPr>
        <w:rFonts w:ascii="Courier New" w:hAnsi="Courier New" w:cs="Courier New" w:hint="default"/>
      </w:rPr>
    </w:lvl>
    <w:lvl w:ilvl="2" w:tplc="64964E8C" w:tentative="1">
      <w:start w:val="1"/>
      <w:numFmt w:val="bullet"/>
      <w:lvlText w:val=""/>
      <w:lvlJc w:val="left"/>
      <w:pPr>
        <w:tabs>
          <w:tab w:val="num" w:pos="1800"/>
        </w:tabs>
        <w:ind w:left="1800" w:hanging="360"/>
      </w:pPr>
      <w:rPr>
        <w:rFonts w:ascii="Wingdings" w:hAnsi="Wingdings" w:hint="default"/>
      </w:rPr>
    </w:lvl>
    <w:lvl w:ilvl="3" w:tplc="DD686CD6" w:tentative="1">
      <w:start w:val="1"/>
      <w:numFmt w:val="bullet"/>
      <w:lvlText w:val=""/>
      <w:lvlJc w:val="left"/>
      <w:pPr>
        <w:tabs>
          <w:tab w:val="num" w:pos="2520"/>
        </w:tabs>
        <w:ind w:left="2520" w:hanging="360"/>
      </w:pPr>
      <w:rPr>
        <w:rFonts w:ascii="Symbol" w:hAnsi="Symbol" w:hint="default"/>
      </w:rPr>
    </w:lvl>
    <w:lvl w:ilvl="4" w:tplc="C6AA05C8" w:tentative="1">
      <w:start w:val="1"/>
      <w:numFmt w:val="bullet"/>
      <w:lvlText w:val="o"/>
      <w:lvlJc w:val="left"/>
      <w:pPr>
        <w:tabs>
          <w:tab w:val="num" w:pos="3240"/>
        </w:tabs>
        <w:ind w:left="3240" w:hanging="360"/>
      </w:pPr>
      <w:rPr>
        <w:rFonts w:ascii="Courier New" w:hAnsi="Courier New" w:cs="Courier New" w:hint="default"/>
      </w:rPr>
    </w:lvl>
    <w:lvl w:ilvl="5" w:tplc="3FFABE36" w:tentative="1">
      <w:start w:val="1"/>
      <w:numFmt w:val="bullet"/>
      <w:lvlText w:val=""/>
      <w:lvlJc w:val="left"/>
      <w:pPr>
        <w:tabs>
          <w:tab w:val="num" w:pos="3960"/>
        </w:tabs>
        <w:ind w:left="3960" w:hanging="360"/>
      </w:pPr>
      <w:rPr>
        <w:rFonts w:ascii="Wingdings" w:hAnsi="Wingdings" w:hint="default"/>
      </w:rPr>
    </w:lvl>
    <w:lvl w:ilvl="6" w:tplc="D186BC24" w:tentative="1">
      <w:start w:val="1"/>
      <w:numFmt w:val="bullet"/>
      <w:lvlText w:val=""/>
      <w:lvlJc w:val="left"/>
      <w:pPr>
        <w:tabs>
          <w:tab w:val="num" w:pos="4680"/>
        </w:tabs>
        <w:ind w:left="4680" w:hanging="360"/>
      </w:pPr>
      <w:rPr>
        <w:rFonts w:ascii="Symbol" w:hAnsi="Symbol" w:hint="default"/>
      </w:rPr>
    </w:lvl>
    <w:lvl w:ilvl="7" w:tplc="385435DA" w:tentative="1">
      <w:start w:val="1"/>
      <w:numFmt w:val="bullet"/>
      <w:lvlText w:val="o"/>
      <w:lvlJc w:val="left"/>
      <w:pPr>
        <w:tabs>
          <w:tab w:val="num" w:pos="5400"/>
        </w:tabs>
        <w:ind w:left="5400" w:hanging="360"/>
      </w:pPr>
      <w:rPr>
        <w:rFonts w:ascii="Courier New" w:hAnsi="Courier New" w:cs="Courier New" w:hint="default"/>
      </w:rPr>
    </w:lvl>
    <w:lvl w:ilvl="8" w:tplc="7D56D086" w:tentative="1">
      <w:start w:val="1"/>
      <w:numFmt w:val="bullet"/>
      <w:lvlText w:val=""/>
      <w:lvlJc w:val="left"/>
      <w:pPr>
        <w:tabs>
          <w:tab w:val="num" w:pos="6120"/>
        </w:tabs>
        <w:ind w:left="6120" w:hanging="360"/>
      </w:pPr>
      <w:rPr>
        <w:rFonts w:ascii="Wingdings" w:hAnsi="Wingdings" w:hint="default"/>
      </w:rPr>
    </w:lvl>
  </w:abstractNum>
  <w:abstractNum w:abstractNumId="216" w15:restartNumberingAfterBreak="0">
    <w:nsid w:val="30DB7BA6"/>
    <w:multiLevelType w:val="hybridMultilevel"/>
    <w:tmpl w:val="DAD24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310971F3"/>
    <w:multiLevelType w:val="multilevel"/>
    <w:tmpl w:val="D4A20142"/>
    <w:styleLink w:val="WW8Num26"/>
    <w:lvl w:ilvl="0">
      <w:start w:val="1"/>
      <w:numFmt w:val="decimal"/>
      <w:lvlText w:val="(%1)"/>
      <w:lvlJc w:val="left"/>
      <w:pPr>
        <w:ind w:left="1786" w:hanging="709"/>
      </w:pPr>
    </w:lvl>
    <w:lvl w:ilvl="1">
      <w:start w:val="1"/>
      <w:numFmt w:val="lowerLetter"/>
      <w:lvlText w:val="(%2)"/>
      <w:lvlJc w:val="left"/>
      <w:pPr>
        <w:ind w:left="2494" w:hanging="708"/>
      </w:pPr>
    </w:lvl>
    <w:lvl w:ilvl="2">
      <w:numFmt w:val="bullet"/>
      <w:lvlText w:val="–"/>
      <w:lvlJc w:val="left"/>
      <w:pPr>
        <w:ind w:left="3203" w:hanging="709"/>
      </w:pPr>
      <w:rPr>
        <w:rFonts w:ascii="Times New Roman" w:hAnsi="Times New Roman"/>
      </w:rPr>
    </w:lvl>
    <w:lvl w:ilvl="3">
      <w:numFmt w:val="bullet"/>
      <w:lvlText w:val=""/>
      <w:lvlJc w:val="left"/>
      <w:pPr>
        <w:ind w:left="3912"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8" w15:restartNumberingAfterBreak="0">
    <w:nsid w:val="32540200"/>
    <w:multiLevelType w:val="hybridMultilevel"/>
    <w:tmpl w:val="BE0E9F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32B50888"/>
    <w:multiLevelType w:val="hybridMultilevel"/>
    <w:tmpl w:val="D6168BEA"/>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0" w15:restartNumberingAfterBreak="0">
    <w:nsid w:val="33185AD3"/>
    <w:multiLevelType w:val="multilevel"/>
    <w:tmpl w:val="CCA20AFA"/>
    <w:styleLink w:val="WW8Num15"/>
    <w:lvl w:ilvl="0">
      <w:numFmt w:val="bullet"/>
      <w:lvlText w:val=""/>
      <w:lvlJc w:val="left"/>
      <w:pPr>
        <w:ind w:left="360" w:hanging="360"/>
      </w:pPr>
      <w:rPr>
        <w:rFonts w:ascii="Wingdings" w:hAnsi="Wingdings"/>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21" w15:restartNumberingAfterBreak="0">
    <w:nsid w:val="33504899"/>
    <w:multiLevelType w:val="hybridMultilevel"/>
    <w:tmpl w:val="BA8C08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3533857"/>
    <w:multiLevelType w:val="hybridMultilevel"/>
    <w:tmpl w:val="536A7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33CA0A38"/>
    <w:multiLevelType w:val="hybridMultilevel"/>
    <w:tmpl w:val="65668DD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15:restartNumberingAfterBreak="0">
    <w:nsid w:val="33F17313"/>
    <w:multiLevelType w:val="hybridMultilevel"/>
    <w:tmpl w:val="E800C9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34253800"/>
    <w:multiLevelType w:val="hybridMultilevel"/>
    <w:tmpl w:val="2B025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6" w15:restartNumberingAfterBreak="0">
    <w:nsid w:val="3444643F"/>
    <w:multiLevelType w:val="hybridMultilevel"/>
    <w:tmpl w:val="177A2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34A1381B"/>
    <w:multiLevelType w:val="hybridMultilevel"/>
    <w:tmpl w:val="5524AB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34BD757C"/>
    <w:multiLevelType w:val="hybridMultilevel"/>
    <w:tmpl w:val="A8D461C4"/>
    <w:lvl w:ilvl="0" w:tplc="04090005">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29" w15:restartNumberingAfterBreak="0">
    <w:nsid w:val="352C1DCB"/>
    <w:multiLevelType w:val="hybridMultilevel"/>
    <w:tmpl w:val="47CE31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35374345"/>
    <w:multiLevelType w:val="hybridMultilevel"/>
    <w:tmpl w:val="009497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353A34F1"/>
    <w:multiLevelType w:val="hybridMultilevel"/>
    <w:tmpl w:val="6B9CA6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355406A7"/>
    <w:multiLevelType w:val="hybridMultilevel"/>
    <w:tmpl w:val="006C9E4C"/>
    <w:lvl w:ilvl="0" w:tplc="04090005">
      <w:start w:val="1"/>
      <w:numFmt w:val="bullet"/>
      <w:lvlText w:val=""/>
      <w:lvlJc w:val="left"/>
      <w:pPr>
        <w:ind w:left="360" w:hanging="360"/>
      </w:pPr>
      <w:rPr>
        <w:rFonts w:ascii="Wingdings" w:hAnsi="Wingdings" w:hint="default"/>
      </w:rPr>
    </w:lvl>
    <w:lvl w:ilvl="1" w:tplc="D01C70BA">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357342B4"/>
    <w:multiLevelType w:val="hybridMultilevel"/>
    <w:tmpl w:val="72103978"/>
    <w:lvl w:ilvl="0" w:tplc="579A29CE">
      <w:start w:val="1"/>
      <w:numFmt w:val="bullet"/>
      <w:lvlText w:val=""/>
      <w:lvlJc w:val="left"/>
      <w:pPr>
        <w:ind w:left="360" w:hanging="360"/>
      </w:pPr>
      <w:rPr>
        <w:rFonts w:ascii="Symbol" w:hAnsi="Symbol" w:hint="default"/>
      </w:rPr>
    </w:lvl>
    <w:lvl w:ilvl="1" w:tplc="49FEF7A6" w:tentative="1">
      <w:start w:val="1"/>
      <w:numFmt w:val="bullet"/>
      <w:lvlText w:val="o"/>
      <w:lvlJc w:val="left"/>
      <w:pPr>
        <w:ind w:left="1080" w:hanging="360"/>
      </w:pPr>
      <w:rPr>
        <w:rFonts w:ascii="Courier New" w:hAnsi="Courier New" w:cs="Courier New" w:hint="default"/>
      </w:rPr>
    </w:lvl>
    <w:lvl w:ilvl="2" w:tplc="2ED61486" w:tentative="1">
      <w:start w:val="1"/>
      <w:numFmt w:val="bullet"/>
      <w:lvlText w:val=""/>
      <w:lvlJc w:val="left"/>
      <w:pPr>
        <w:ind w:left="1800" w:hanging="360"/>
      </w:pPr>
      <w:rPr>
        <w:rFonts w:ascii="Wingdings" w:hAnsi="Wingdings" w:hint="default"/>
      </w:rPr>
    </w:lvl>
    <w:lvl w:ilvl="3" w:tplc="B8F29336" w:tentative="1">
      <w:start w:val="1"/>
      <w:numFmt w:val="bullet"/>
      <w:lvlText w:val=""/>
      <w:lvlJc w:val="left"/>
      <w:pPr>
        <w:ind w:left="2520" w:hanging="360"/>
      </w:pPr>
      <w:rPr>
        <w:rFonts w:ascii="Symbol" w:hAnsi="Symbol" w:hint="default"/>
      </w:rPr>
    </w:lvl>
    <w:lvl w:ilvl="4" w:tplc="1A545D02" w:tentative="1">
      <w:start w:val="1"/>
      <w:numFmt w:val="bullet"/>
      <w:lvlText w:val="o"/>
      <w:lvlJc w:val="left"/>
      <w:pPr>
        <w:ind w:left="3240" w:hanging="360"/>
      </w:pPr>
      <w:rPr>
        <w:rFonts w:ascii="Courier New" w:hAnsi="Courier New" w:cs="Courier New" w:hint="default"/>
      </w:rPr>
    </w:lvl>
    <w:lvl w:ilvl="5" w:tplc="860E6AFA" w:tentative="1">
      <w:start w:val="1"/>
      <w:numFmt w:val="bullet"/>
      <w:lvlText w:val=""/>
      <w:lvlJc w:val="left"/>
      <w:pPr>
        <w:ind w:left="3960" w:hanging="360"/>
      </w:pPr>
      <w:rPr>
        <w:rFonts w:ascii="Wingdings" w:hAnsi="Wingdings" w:hint="default"/>
      </w:rPr>
    </w:lvl>
    <w:lvl w:ilvl="6" w:tplc="890E6E2C" w:tentative="1">
      <w:start w:val="1"/>
      <w:numFmt w:val="bullet"/>
      <w:lvlText w:val=""/>
      <w:lvlJc w:val="left"/>
      <w:pPr>
        <w:ind w:left="4680" w:hanging="360"/>
      </w:pPr>
      <w:rPr>
        <w:rFonts w:ascii="Symbol" w:hAnsi="Symbol" w:hint="default"/>
      </w:rPr>
    </w:lvl>
    <w:lvl w:ilvl="7" w:tplc="2FEAA0EC" w:tentative="1">
      <w:start w:val="1"/>
      <w:numFmt w:val="bullet"/>
      <w:lvlText w:val="o"/>
      <w:lvlJc w:val="left"/>
      <w:pPr>
        <w:ind w:left="5400" w:hanging="360"/>
      </w:pPr>
      <w:rPr>
        <w:rFonts w:ascii="Courier New" w:hAnsi="Courier New" w:cs="Courier New" w:hint="default"/>
      </w:rPr>
    </w:lvl>
    <w:lvl w:ilvl="8" w:tplc="1078304C" w:tentative="1">
      <w:start w:val="1"/>
      <w:numFmt w:val="bullet"/>
      <w:lvlText w:val=""/>
      <w:lvlJc w:val="left"/>
      <w:pPr>
        <w:ind w:left="6120" w:hanging="360"/>
      </w:pPr>
      <w:rPr>
        <w:rFonts w:ascii="Wingdings" w:hAnsi="Wingdings" w:hint="default"/>
      </w:rPr>
    </w:lvl>
  </w:abstractNum>
  <w:abstractNum w:abstractNumId="234" w15:restartNumberingAfterBreak="0">
    <w:nsid w:val="35E96921"/>
    <w:multiLevelType w:val="hybridMultilevel"/>
    <w:tmpl w:val="B7DE654E"/>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35" w15:restartNumberingAfterBreak="0">
    <w:nsid w:val="36080C58"/>
    <w:multiLevelType w:val="hybridMultilevel"/>
    <w:tmpl w:val="5F662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368B248F"/>
    <w:multiLevelType w:val="hybridMultilevel"/>
    <w:tmpl w:val="67942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37613708"/>
    <w:multiLevelType w:val="multilevel"/>
    <w:tmpl w:val="E8E06A28"/>
    <w:styleLink w:val="WW8Num20"/>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38" w15:restartNumberingAfterBreak="0">
    <w:nsid w:val="377E1C23"/>
    <w:multiLevelType w:val="hybridMultilevel"/>
    <w:tmpl w:val="628AD89A"/>
    <w:lvl w:ilvl="0" w:tplc="67160D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378365A9"/>
    <w:multiLevelType w:val="hybridMultilevel"/>
    <w:tmpl w:val="898E7148"/>
    <w:lvl w:ilvl="0" w:tplc="DC068900">
      <w:start w:val="1"/>
      <w:numFmt w:val="bullet"/>
      <w:lvlText w:val=""/>
      <w:lvlJc w:val="left"/>
      <w:pPr>
        <w:ind w:left="360" w:hanging="360"/>
      </w:pPr>
      <w:rPr>
        <w:rFonts w:ascii="Symbol" w:hAnsi="Symbol" w:hint="default"/>
      </w:rPr>
    </w:lvl>
    <w:lvl w:ilvl="1" w:tplc="2DE65AC2" w:tentative="1">
      <w:start w:val="1"/>
      <w:numFmt w:val="bullet"/>
      <w:lvlText w:val="o"/>
      <w:lvlJc w:val="left"/>
      <w:pPr>
        <w:ind w:left="1080" w:hanging="360"/>
      </w:pPr>
      <w:rPr>
        <w:rFonts w:ascii="Courier New" w:hAnsi="Courier New" w:cs="Courier New" w:hint="default"/>
      </w:rPr>
    </w:lvl>
    <w:lvl w:ilvl="2" w:tplc="24BA3906" w:tentative="1">
      <w:start w:val="1"/>
      <w:numFmt w:val="bullet"/>
      <w:lvlText w:val=""/>
      <w:lvlJc w:val="left"/>
      <w:pPr>
        <w:ind w:left="1800" w:hanging="360"/>
      </w:pPr>
      <w:rPr>
        <w:rFonts w:ascii="Wingdings" w:hAnsi="Wingdings" w:hint="default"/>
      </w:rPr>
    </w:lvl>
    <w:lvl w:ilvl="3" w:tplc="F960949C" w:tentative="1">
      <w:start w:val="1"/>
      <w:numFmt w:val="bullet"/>
      <w:lvlText w:val=""/>
      <w:lvlJc w:val="left"/>
      <w:pPr>
        <w:ind w:left="2520" w:hanging="360"/>
      </w:pPr>
      <w:rPr>
        <w:rFonts w:ascii="Symbol" w:hAnsi="Symbol" w:hint="default"/>
      </w:rPr>
    </w:lvl>
    <w:lvl w:ilvl="4" w:tplc="CFDA763E" w:tentative="1">
      <w:start w:val="1"/>
      <w:numFmt w:val="bullet"/>
      <w:lvlText w:val="o"/>
      <w:lvlJc w:val="left"/>
      <w:pPr>
        <w:ind w:left="3240" w:hanging="360"/>
      </w:pPr>
      <w:rPr>
        <w:rFonts w:ascii="Courier New" w:hAnsi="Courier New" w:cs="Courier New" w:hint="default"/>
      </w:rPr>
    </w:lvl>
    <w:lvl w:ilvl="5" w:tplc="B65C673C" w:tentative="1">
      <w:start w:val="1"/>
      <w:numFmt w:val="bullet"/>
      <w:lvlText w:val=""/>
      <w:lvlJc w:val="left"/>
      <w:pPr>
        <w:ind w:left="3960" w:hanging="360"/>
      </w:pPr>
      <w:rPr>
        <w:rFonts w:ascii="Wingdings" w:hAnsi="Wingdings" w:hint="default"/>
      </w:rPr>
    </w:lvl>
    <w:lvl w:ilvl="6" w:tplc="00E23BEE" w:tentative="1">
      <w:start w:val="1"/>
      <w:numFmt w:val="bullet"/>
      <w:lvlText w:val=""/>
      <w:lvlJc w:val="left"/>
      <w:pPr>
        <w:ind w:left="4680" w:hanging="360"/>
      </w:pPr>
      <w:rPr>
        <w:rFonts w:ascii="Symbol" w:hAnsi="Symbol" w:hint="default"/>
      </w:rPr>
    </w:lvl>
    <w:lvl w:ilvl="7" w:tplc="657E1A10" w:tentative="1">
      <w:start w:val="1"/>
      <w:numFmt w:val="bullet"/>
      <w:lvlText w:val="o"/>
      <w:lvlJc w:val="left"/>
      <w:pPr>
        <w:ind w:left="5400" w:hanging="360"/>
      </w:pPr>
      <w:rPr>
        <w:rFonts w:ascii="Courier New" w:hAnsi="Courier New" w:cs="Courier New" w:hint="default"/>
      </w:rPr>
    </w:lvl>
    <w:lvl w:ilvl="8" w:tplc="44944052" w:tentative="1">
      <w:start w:val="1"/>
      <w:numFmt w:val="bullet"/>
      <w:lvlText w:val=""/>
      <w:lvlJc w:val="left"/>
      <w:pPr>
        <w:ind w:left="6120" w:hanging="360"/>
      </w:pPr>
      <w:rPr>
        <w:rFonts w:ascii="Wingdings" w:hAnsi="Wingdings" w:hint="default"/>
      </w:rPr>
    </w:lvl>
  </w:abstractNum>
  <w:abstractNum w:abstractNumId="240" w15:restartNumberingAfterBreak="0">
    <w:nsid w:val="3789392E"/>
    <w:multiLevelType w:val="hybridMultilevel"/>
    <w:tmpl w:val="B0DC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37B44004"/>
    <w:multiLevelType w:val="hybridMultilevel"/>
    <w:tmpl w:val="15BE9B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37C40A86"/>
    <w:multiLevelType w:val="hybridMultilevel"/>
    <w:tmpl w:val="C63A5576"/>
    <w:lvl w:ilvl="0" w:tplc="43F8F594">
      <w:start w:val="1"/>
      <w:numFmt w:val="bullet"/>
      <w:pStyle w:val="Bullet-Dot"/>
      <w:lvlText w:val=""/>
      <w:lvlJc w:val="left"/>
      <w:pPr>
        <w:tabs>
          <w:tab w:val="num" w:pos="387"/>
        </w:tabs>
        <w:ind w:left="387" w:hanging="227"/>
      </w:pPr>
      <w:rPr>
        <w:rFonts w:ascii="Symbol" w:hAnsi="Symbol" w:hint="default"/>
      </w:rPr>
    </w:lvl>
    <w:lvl w:ilvl="1" w:tplc="D1C61916">
      <w:start w:val="1"/>
      <w:numFmt w:val="bullet"/>
      <w:lvlText w:val="-"/>
      <w:lvlJc w:val="left"/>
      <w:pPr>
        <w:tabs>
          <w:tab w:val="num" w:pos="387"/>
        </w:tabs>
        <w:ind w:left="387" w:hanging="227"/>
      </w:pPr>
      <w:rPr>
        <w:rFonts w:ascii="Verdana" w:eastAsia="Times New Roman" w:hAnsi="Verdana" w:cs="Times New Roman" w:hint="default"/>
      </w:rPr>
    </w:lvl>
    <w:lvl w:ilvl="2" w:tplc="C302C666">
      <w:start w:val="1"/>
      <w:numFmt w:val="bullet"/>
      <w:lvlText w:val=""/>
      <w:lvlJc w:val="left"/>
      <w:pPr>
        <w:tabs>
          <w:tab w:val="num" w:pos="2320"/>
        </w:tabs>
        <w:ind w:left="2320" w:hanging="360"/>
      </w:pPr>
      <w:rPr>
        <w:rFonts w:ascii="Wingdings" w:hAnsi="Wingdings" w:hint="default"/>
      </w:rPr>
    </w:lvl>
    <w:lvl w:ilvl="3" w:tplc="DE5E4B2C" w:tentative="1">
      <w:start w:val="1"/>
      <w:numFmt w:val="bullet"/>
      <w:lvlText w:val=""/>
      <w:lvlJc w:val="left"/>
      <w:pPr>
        <w:tabs>
          <w:tab w:val="num" w:pos="3040"/>
        </w:tabs>
        <w:ind w:left="3040" w:hanging="360"/>
      </w:pPr>
      <w:rPr>
        <w:rFonts w:ascii="Symbol" w:hAnsi="Symbol" w:hint="default"/>
      </w:rPr>
    </w:lvl>
    <w:lvl w:ilvl="4" w:tplc="60A865FE" w:tentative="1">
      <w:start w:val="1"/>
      <w:numFmt w:val="bullet"/>
      <w:lvlText w:val="o"/>
      <w:lvlJc w:val="left"/>
      <w:pPr>
        <w:tabs>
          <w:tab w:val="num" w:pos="3760"/>
        </w:tabs>
        <w:ind w:left="3760" w:hanging="360"/>
      </w:pPr>
      <w:rPr>
        <w:rFonts w:ascii="Courier New" w:hAnsi="Courier New" w:cs="Courier New" w:hint="default"/>
      </w:rPr>
    </w:lvl>
    <w:lvl w:ilvl="5" w:tplc="5F746860" w:tentative="1">
      <w:start w:val="1"/>
      <w:numFmt w:val="bullet"/>
      <w:lvlText w:val=""/>
      <w:lvlJc w:val="left"/>
      <w:pPr>
        <w:tabs>
          <w:tab w:val="num" w:pos="4480"/>
        </w:tabs>
        <w:ind w:left="4480" w:hanging="360"/>
      </w:pPr>
      <w:rPr>
        <w:rFonts w:ascii="Wingdings" w:hAnsi="Wingdings" w:hint="default"/>
      </w:rPr>
    </w:lvl>
    <w:lvl w:ilvl="6" w:tplc="810C2D4C" w:tentative="1">
      <w:start w:val="1"/>
      <w:numFmt w:val="bullet"/>
      <w:lvlText w:val=""/>
      <w:lvlJc w:val="left"/>
      <w:pPr>
        <w:tabs>
          <w:tab w:val="num" w:pos="5200"/>
        </w:tabs>
        <w:ind w:left="5200" w:hanging="360"/>
      </w:pPr>
      <w:rPr>
        <w:rFonts w:ascii="Symbol" w:hAnsi="Symbol" w:hint="default"/>
      </w:rPr>
    </w:lvl>
    <w:lvl w:ilvl="7" w:tplc="24A8C59A" w:tentative="1">
      <w:start w:val="1"/>
      <w:numFmt w:val="bullet"/>
      <w:lvlText w:val="o"/>
      <w:lvlJc w:val="left"/>
      <w:pPr>
        <w:tabs>
          <w:tab w:val="num" w:pos="5920"/>
        </w:tabs>
        <w:ind w:left="5920" w:hanging="360"/>
      </w:pPr>
      <w:rPr>
        <w:rFonts w:ascii="Courier New" w:hAnsi="Courier New" w:cs="Courier New" w:hint="default"/>
      </w:rPr>
    </w:lvl>
    <w:lvl w:ilvl="8" w:tplc="3F82D412" w:tentative="1">
      <w:start w:val="1"/>
      <w:numFmt w:val="bullet"/>
      <w:lvlText w:val=""/>
      <w:lvlJc w:val="left"/>
      <w:pPr>
        <w:tabs>
          <w:tab w:val="num" w:pos="6640"/>
        </w:tabs>
        <w:ind w:left="6640" w:hanging="360"/>
      </w:pPr>
      <w:rPr>
        <w:rFonts w:ascii="Wingdings" w:hAnsi="Wingdings" w:hint="default"/>
      </w:rPr>
    </w:lvl>
  </w:abstractNum>
  <w:abstractNum w:abstractNumId="243" w15:restartNumberingAfterBreak="0">
    <w:nsid w:val="38B237F7"/>
    <w:multiLevelType w:val="hybridMultilevel"/>
    <w:tmpl w:val="92AC79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38B7095D"/>
    <w:multiLevelType w:val="multilevel"/>
    <w:tmpl w:val="CD54B80E"/>
    <w:styleLink w:val="WW8Num27"/>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45" w15:restartNumberingAfterBreak="0">
    <w:nsid w:val="38DD301F"/>
    <w:multiLevelType w:val="hybridMultilevel"/>
    <w:tmpl w:val="A9DAC49A"/>
    <w:lvl w:ilvl="0" w:tplc="687A8020">
      <w:start w:val="1"/>
      <w:numFmt w:val="bullet"/>
      <w:lvlText w:val="-"/>
      <w:lvlJc w:val="left"/>
      <w:pPr>
        <w:tabs>
          <w:tab w:val="num" w:pos="720"/>
        </w:tabs>
        <w:ind w:left="720" w:hanging="360"/>
      </w:pPr>
      <w:rPr>
        <w:rFonts w:ascii="Verdana" w:eastAsia="Times New Roman" w:hAnsi="Verdana"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6" w15:restartNumberingAfterBreak="0">
    <w:nsid w:val="38DF7E77"/>
    <w:multiLevelType w:val="multilevel"/>
    <w:tmpl w:val="4322E3F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47" w15:restartNumberingAfterBreak="0">
    <w:nsid w:val="39332797"/>
    <w:multiLevelType w:val="hybridMultilevel"/>
    <w:tmpl w:val="2E6AE500"/>
    <w:lvl w:ilvl="0" w:tplc="04090003">
      <w:start w:val="1"/>
      <w:numFmt w:val="bullet"/>
      <w:lvlText w:val="o"/>
      <w:lvlJc w:val="left"/>
      <w:pPr>
        <w:tabs>
          <w:tab w:val="num" w:pos="1080"/>
        </w:tabs>
        <w:ind w:left="1080" w:hanging="360"/>
      </w:pPr>
      <w:rPr>
        <w:rFonts w:ascii="Courier New" w:hAnsi="Courier New" w:cs="Courier New"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48" w15:restartNumberingAfterBreak="0">
    <w:nsid w:val="395C310E"/>
    <w:multiLevelType w:val="hybridMultilevel"/>
    <w:tmpl w:val="264C9ED8"/>
    <w:lvl w:ilvl="0" w:tplc="44F00050">
      <w:start w:val="1"/>
      <w:numFmt w:val="bullet"/>
      <w:lvlText w:val="-"/>
      <w:lvlJc w:val="left"/>
      <w:pPr>
        <w:tabs>
          <w:tab w:val="num" w:pos="720"/>
        </w:tabs>
        <w:ind w:left="720" w:hanging="360"/>
      </w:pPr>
      <w:rPr>
        <w:rFonts w:ascii="Verdana" w:eastAsia="Times New Roman" w:hAnsi="Verdana" w:cs="Times New Roman" w:hint="default"/>
      </w:rPr>
    </w:lvl>
    <w:lvl w:ilvl="1" w:tplc="923C9B8E">
      <w:numFmt w:val="bullet"/>
      <w:lvlText w:val="-"/>
      <w:lvlJc w:val="left"/>
      <w:pPr>
        <w:tabs>
          <w:tab w:val="num" w:pos="1440"/>
        </w:tabs>
        <w:ind w:left="1440" w:hanging="360"/>
      </w:pPr>
      <w:rPr>
        <w:rFonts w:ascii="Calibri" w:eastAsia="Times New Roman" w:hAnsi="Calibri"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9" w15:restartNumberingAfterBreak="0">
    <w:nsid w:val="39622F65"/>
    <w:multiLevelType w:val="hybridMultilevel"/>
    <w:tmpl w:val="EFB804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0" w15:restartNumberingAfterBreak="0">
    <w:nsid w:val="399550FF"/>
    <w:multiLevelType w:val="hybridMultilevel"/>
    <w:tmpl w:val="010EEF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39BD52B3"/>
    <w:multiLevelType w:val="hybridMultilevel"/>
    <w:tmpl w:val="B3CC24A6"/>
    <w:lvl w:ilvl="0" w:tplc="04090005">
      <w:start w:val="1"/>
      <w:numFmt w:val="bullet"/>
      <w:lvlText w:val=""/>
      <w:lvlJc w:val="left"/>
      <w:pPr>
        <w:ind w:left="360" w:hanging="360"/>
      </w:pPr>
      <w:rPr>
        <w:rFonts w:ascii="Wingdings" w:hAnsi="Wingdings" w:hint="default"/>
      </w:rPr>
    </w:lvl>
    <w:lvl w:ilvl="1" w:tplc="687A8020">
      <w:start w:val="1"/>
      <w:numFmt w:val="bullet"/>
      <w:lvlText w:val="-"/>
      <w:lvlJc w:val="left"/>
      <w:pPr>
        <w:ind w:left="1080" w:hanging="360"/>
      </w:pPr>
      <w:rPr>
        <w:rFonts w:ascii="Verdana" w:eastAsia="Times New Roman" w:hAnsi="Verdana"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39EE2256"/>
    <w:multiLevelType w:val="hybridMultilevel"/>
    <w:tmpl w:val="F64EC2CC"/>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53" w15:restartNumberingAfterBreak="0">
    <w:nsid w:val="39FB123A"/>
    <w:multiLevelType w:val="hybridMultilevel"/>
    <w:tmpl w:val="F1F856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255" w15:restartNumberingAfterBreak="0">
    <w:nsid w:val="3AB02236"/>
    <w:multiLevelType w:val="hybridMultilevel"/>
    <w:tmpl w:val="6A606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3B09000A"/>
    <w:multiLevelType w:val="hybridMultilevel"/>
    <w:tmpl w:val="74F4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3B4345D4"/>
    <w:multiLevelType w:val="hybridMultilevel"/>
    <w:tmpl w:val="33D834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3B614AB1"/>
    <w:multiLevelType w:val="hybridMultilevel"/>
    <w:tmpl w:val="4F6EC9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9" w15:restartNumberingAfterBreak="0">
    <w:nsid w:val="3B6B3BF0"/>
    <w:multiLevelType w:val="hybridMultilevel"/>
    <w:tmpl w:val="2BA2679A"/>
    <w:lvl w:ilvl="0" w:tplc="04090005">
      <w:start w:val="1"/>
      <w:numFmt w:val="bullet"/>
      <w:lvlText w:val=""/>
      <w:lvlJc w:val="left"/>
      <w:pPr>
        <w:ind w:left="360" w:hanging="360"/>
      </w:pPr>
      <w:rPr>
        <w:rFonts w:ascii="Wingdings" w:hAnsi="Wingdings" w:hint="default"/>
        <w:sz w:val="18"/>
        <w:szCs w:val="1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3BF85428"/>
    <w:multiLevelType w:val="hybridMultilevel"/>
    <w:tmpl w:val="D76CF4E0"/>
    <w:lvl w:ilvl="0" w:tplc="C908B7C8">
      <w:start w:val="1"/>
      <w:numFmt w:val="decimal"/>
      <w:pStyle w:val="Guide-AnnexHeading3"/>
      <w:lvlText w:val="%1."/>
      <w:lvlJc w:val="left"/>
      <w:pPr>
        <w:ind w:left="360" w:hanging="36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24B49434">
      <w:start w:val="1"/>
      <w:numFmt w:val="upperLetter"/>
      <w:lvlText w:val="%2."/>
      <w:lvlJc w:val="left"/>
      <w:pPr>
        <w:ind w:left="1080" w:hanging="360"/>
      </w:pPr>
      <w:rPr>
        <w:rFonts w:hint="default"/>
      </w:rPr>
    </w:lvl>
    <w:lvl w:ilvl="2" w:tplc="34388ED2">
      <w:start w:val="1"/>
      <w:numFmt w:val="bullet"/>
      <w:lvlText w:val="-"/>
      <w:lvlJc w:val="left"/>
      <w:pPr>
        <w:ind w:left="1980" w:hanging="360"/>
      </w:pPr>
      <w:rPr>
        <w:rFonts w:ascii="GillSans" w:eastAsia="SimSun" w:hAnsi="GillSans" w:cs="Tahoma"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1" w15:restartNumberingAfterBreak="0">
    <w:nsid w:val="3C3C0229"/>
    <w:multiLevelType w:val="hybridMultilevel"/>
    <w:tmpl w:val="08EA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3C3F6FCA"/>
    <w:multiLevelType w:val="multilevel"/>
    <w:tmpl w:val="E300FB30"/>
    <w:styleLink w:val="WW8Num39"/>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63" w15:restartNumberingAfterBreak="0">
    <w:nsid w:val="3C4C74B7"/>
    <w:multiLevelType w:val="hybridMultilevel"/>
    <w:tmpl w:val="BC5ED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3CB523E8"/>
    <w:multiLevelType w:val="multilevel"/>
    <w:tmpl w:val="62943FD6"/>
    <w:styleLink w:val="WW8Num28"/>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65" w15:restartNumberingAfterBreak="0">
    <w:nsid w:val="3D1F1795"/>
    <w:multiLevelType w:val="hybridMultilevel"/>
    <w:tmpl w:val="E482038C"/>
    <w:lvl w:ilvl="0" w:tplc="FFFFFFFF">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3D385007"/>
    <w:multiLevelType w:val="hybridMultilevel"/>
    <w:tmpl w:val="B79E9AB8"/>
    <w:lvl w:ilvl="0" w:tplc="04090003">
      <w:start w:val="1"/>
      <w:numFmt w:val="bullet"/>
      <w:lvlText w:val="o"/>
      <w:lvlJc w:val="left"/>
      <w:pPr>
        <w:ind w:left="720" w:hanging="360"/>
      </w:pPr>
      <w:rPr>
        <w:rFonts w:ascii="Courier New" w:hAnsi="Courier New" w:cs="Courier New"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3DF35154"/>
    <w:multiLevelType w:val="hybridMultilevel"/>
    <w:tmpl w:val="B6C8CFCC"/>
    <w:lvl w:ilvl="0" w:tplc="04090001">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68" w15:restartNumberingAfterBreak="0">
    <w:nsid w:val="3DFF2964"/>
    <w:multiLevelType w:val="hybridMultilevel"/>
    <w:tmpl w:val="574C506A"/>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69" w15:restartNumberingAfterBreak="0">
    <w:nsid w:val="3E8A69DF"/>
    <w:multiLevelType w:val="hybridMultilevel"/>
    <w:tmpl w:val="89A628EC"/>
    <w:lvl w:ilvl="0" w:tplc="67160D14">
      <w:start w:val="1"/>
      <w:numFmt w:val="bullet"/>
      <w:lvlText w:val=""/>
      <w:lvlJc w:val="left"/>
      <w:pPr>
        <w:ind w:left="630" w:hanging="360"/>
      </w:pPr>
      <w:rPr>
        <w:rFonts w:ascii="Symbol" w:hAnsi="Symbol"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3E9938AA"/>
    <w:multiLevelType w:val="hybridMultilevel"/>
    <w:tmpl w:val="04582258"/>
    <w:lvl w:ilvl="0" w:tplc="687A8020">
      <w:start w:val="1"/>
      <w:numFmt w:val="bullet"/>
      <w:lvlText w:val="-"/>
      <w:lvlJc w:val="left"/>
      <w:pPr>
        <w:tabs>
          <w:tab w:val="num" w:pos="1080"/>
        </w:tabs>
        <w:ind w:left="108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3EEB0E91"/>
    <w:multiLevelType w:val="hybridMultilevel"/>
    <w:tmpl w:val="EE5AAB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3F09015E"/>
    <w:multiLevelType w:val="hybridMultilevel"/>
    <w:tmpl w:val="2ED86DCE"/>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73" w15:restartNumberingAfterBreak="0">
    <w:nsid w:val="3FB8310F"/>
    <w:multiLevelType w:val="multilevel"/>
    <w:tmpl w:val="A3E8ACB0"/>
    <w:styleLink w:val="WW8Num14"/>
    <w:lvl w:ilvl="0">
      <w:numFmt w:val="bullet"/>
      <w:lvlText w:val=""/>
      <w:lvlJc w:val="left"/>
      <w:pPr>
        <w:ind w:left="316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4" w15:restartNumberingAfterBreak="0">
    <w:nsid w:val="40315490"/>
    <w:multiLevelType w:val="singleLevel"/>
    <w:tmpl w:val="86A26CEE"/>
    <w:name w:val="List Dash"/>
    <w:lvl w:ilvl="0">
      <w:start w:val="1"/>
      <w:numFmt w:val="bullet"/>
      <w:lvlRestart w:val="0"/>
      <w:lvlText w:val="–"/>
      <w:lvlJc w:val="left"/>
      <w:pPr>
        <w:tabs>
          <w:tab w:val="num" w:pos="283"/>
        </w:tabs>
        <w:ind w:left="283" w:hanging="283"/>
      </w:pPr>
      <w:rPr>
        <w:rFonts w:ascii="Times New Roman" w:hAnsi="Times New Roman" w:cs="Times New Roman"/>
      </w:rPr>
    </w:lvl>
  </w:abstractNum>
  <w:abstractNum w:abstractNumId="275" w15:restartNumberingAfterBreak="0">
    <w:nsid w:val="404D010E"/>
    <w:multiLevelType w:val="hybridMultilevel"/>
    <w:tmpl w:val="432EABBE"/>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76" w15:restartNumberingAfterBreak="0">
    <w:nsid w:val="40815B58"/>
    <w:multiLevelType w:val="hybridMultilevel"/>
    <w:tmpl w:val="23A6DF86"/>
    <w:lvl w:ilvl="0" w:tplc="FFFFFFFF">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40CF11A9"/>
    <w:multiLevelType w:val="hybridMultilevel"/>
    <w:tmpl w:val="662287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41255C5B"/>
    <w:multiLevelType w:val="multilevel"/>
    <w:tmpl w:val="D0B2EDB2"/>
    <w:styleLink w:val="WW8Num16"/>
    <w:lvl w:ilvl="0">
      <w:numFmt w:val="bullet"/>
      <w:lvlText w:val=""/>
      <w:lvlJc w:val="left"/>
      <w:pPr>
        <w:ind w:left="765"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9" w15:restartNumberingAfterBreak="0">
    <w:nsid w:val="41A93804"/>
    <w:multiLevelType w:val="hybridMultilevel"/>
    <w:tmpl w:val="537E9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0" w15:restartNumberingAfterBreak="0">
    <w:nsid w:val="41C56BC5"/>
    <w:multiLevelType w:val="multilevel"/>
    <w:tmpl w:val="82128ECC"/>
    <w:styleLink w:val="WW8Num11"/>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81" w15:restartNumberingAfterBreak="0">
    <w:nsid w:val="427263E3"/>
    <w:multiLevelType w:val="multilevel"/>
    <w:tmpl w:val="73B097E4"/>
    <w:styleLink w:val="WW8Num22"/>
    <w:lvl w:ilvl="0">
      <w:numFmt w:val="bullet"/>
      <w:lvlText w:val=""/>
      <w:lvlJc w:val="left"/>
      <w:pPr>
        <w:ind w:left="360" w:hanging="360"/>
      </w:pPr>
      <w:rPr>
        <w:rFonts w:ascii="Symbol" w:hAnsi="Symbol"/>
        <w:color w:val="000000"/>
      </w:rPr>
    </w:lvl>
    <w:lvl w:ilvl="1">
      <w:numFmt w:val="bullet"/>
      <w:lvlText w:val="o"/>
      <w:lvlJc w:val="left"/>
      <w:pPr>
        <w:ind w:left="360" w:hanging="360"/>
      </w:pPr>
      <w:rPr>
        <w:rFonts w:ascii="Courier New" w:hAnsi="Courier New" w:cs="Courier New"/>
      </w:rPr>
    </w:lvl>
    <w:lvl w:ilvl="2">
      <w:numFmt w:val="bullet"/>
      <w:lvlText w:val=""/>
      <w:lvlJc w:val="left"/>
      <w:pPr>
        <w:ind w:left="108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rPr>
    </w:lvl>
    <w:lvl w:ilvl="6">
      <w:numFmt w:val="bullet"/>
      <w:lvlText w:val=""/>
      <w:lvlJc w:val="left"/>
      <w:pPr>
        <w:ind w:left="3960" w:hanging="360"/>
      </w:pPr>
      <w:rPr>
        <w:rFonts w:ascii="Symbol" w:hAnsi="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rPr>
    </w:lvl>
  </w:abstractNum>
  <w:abstractNum w:abstractNumId="282" w15:restartNumberingAfterBreak="0">
    <w:nsid w:val="427A79F0"/>
    <w:multiLevelType w:val="hybridMultilevel"/>
    <w:tmpl w:val="8AE4B1C0"/>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83"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4" w15:restartNumberingAfterBreak="0">
    <w:nsid w:val="428B0233"/>
    <w:multiLevelType w:val="hybridMultilevel"/>
    <w:tmpl w:val="C15C6FFE"/>
    <w:lvl w:ilvl="0" w:tplc="080C0017">
      <w:start w:val="1"/>
      <w:numFmt w:val="lowerLetter"/>
      <w:lvlText w:val="%1)"/>
      <w:lvlJc w:val="left"/>
      <w:pPr>
        <w:ind w:left="720" w:hanging="360"/>
      </w:pPr>
    </w:lvl>
    <w:lvl w:ilvl="1" w:tplc="8DD011CE">
      <w:start w:val="1"/>
      <w:numFmt w:val="lowerLetter"/>
      <w:pStyle w:val="Guide-ListLetter"/>
      <w:lvlText w:val="%2)"/>
      <w:lvlJc w:val="left"/>
      <w:pPr>
        <w:ind w:left="360" w:hanging="360"/>
      </w:pPr>
      <w:rPr>
        <w:rFonts w:hint="default"/>
        <w:sz w:val="18"/>
        <w:szCs w:val="18"/>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5" w15:restartNumberingAfterBreak="0">
    <w:nsid w:val="42F87714"/>
    <w:multiLevelType w:val="hybridMultilevel"/>
    <w:tmpl w:val="1268991E"/>
    <w:lvl w:ilvl="0" w:tplc="04090005">
      <w:start w:val="1"/>
      <w:numFmt w:val="bullet"/>
      <w:lvlText w:val=""/>
      <w:lvlJc w:val="left"/>
      <w:pPr>
        <w:ind w:left="720" w:hanging="360"/>
      </w:pPr>
      <w:rPr>
        <w:rFonts w:ascii="Wingdings" w:hAnsi="Wingdings"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6" w15:restartNumberingAfterBreak="0">
    <w:nsid w:val="43097D22"/>
    <w:multiLevelType w:val="hybridMultilevel"/>
    <w:tmpl w:val="9F96A6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7" w15:restartNumberingAfterBreak="0">
    <w:nsid w:val="433506D6"/>
    <w:multiLevelType w:val="hybridMultilevel"/>
    <w:tmpl w:val="FCACF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437659EA"/>
    <w:multiLevelType w:val="hybridMultilevel"/>
    <w:tmpl w:val="7EBA06CA"/>
    <w:lvl w:ilvl="0" w:tplc="04090005">
      <w:start w:val="1"/>
      <w:numFmt w:val="bullet"/>
      <w:lvlText w:val=""/>
      <w:lvlJc w:val="left"/>
      <w:pPr>
        <w:ind w:left="360" w:hanging="360"/>
      </w:pPr>
      <w:rPr>
        <w:rFonts w:ascii="Wingdings" w:hAnsi="Wingdings" w:hint="default"/>
      </w:rPr>
    </w:lvl>
    <w:lvl w:ilvl="1" w:tplc="687A8020">
      <w:start w:val="1"/>
      <w:numFmt w:val="bullet"/>
      <w:lvlText w:val="-"/>
      <w:lvlJc w:val="left"/>
      <w:pPr>
        <w:ind w:left="1080" w:hanging="360"/>
      </w:pPr>
      <w:rPr>
        <w:rFonts w:ascii="Verdana" w:eastAsia="Times New Roman" w:hAnsi="Verdana"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43C64A80"/>
    <w:multiLevelType w:val="hybridMultilevel"/>
    <w:tmpl w:val="87740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43FE30D1"/>
    <w:multiLevelType w:val="hybridMultilevel"/>
    <w:tmpl w:val="4754CB90"/>
    <w:lvl w:ilvl="0" w:tplc="44F00050">
      <w:start w:val="1"/>
      <w:numFmt w:val="bullet"/>
      <w:pStyle w:val="Guide-ListDash"/>
      <w:lvlText w:val="-"/>
      <w:lvlJc w:val="left"/>
      <w:pPr>
        <w:tabs>
          <w:tab w:val="num" w:pos="720"/>
        </w:tabs>
        <w:ind w:left="720" w:hanging="360"/>
      </w:pPr>
      <w:rPr>
        <w:rFonts w:ascii="Verdana" w:eastAsia="Times New Roman" w:hAnsi="Verdana"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44361A9D"/>
    <w:multiLevelType w:val="hybridMultilevel"/>
    <w:tmpl w:val="5B5419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444F4D92"/>
    <w:multiLevelType w:val="hybridMultilevel"/>
    <w:tmpl w:val="2F508092"/>
    <w:lvl w:ilvl="0" w:tplc="04090005">
      <w:start w:val="1"/>
      <w:numFmt w:val="bullet"/>
      <w:lvlText w:val=""/>
      <w:lvlJc w:val="left"/>
      <w:pPr>
        <w:ind w:left="360" w:hanging="360"/>
      </w:pPr>
      <w:rPr>
        <w:rFonts w:ascii="Wingdings" w:hAnsi="Wingdings" w:hint="default"/>
      </w:rPr>
    </w:lvl>
    <w:lvl w:ilvl="1" w:tplc="687A8020">
      <w:start w:val="1"/>
      <w:numFmt w:val="bullet"/>
      <w:lvlText w:val="-"/>
      <w:lvlJc w:val="left"/>
      <w:pPr>
        <w:ind w:left="1080" w:hanging="360"/>
      </w:pPr>
      <w:rPr>
        <w:rFonts w:ascii="Verdana" w:eastAsia="Times New Roman" w:hAnsi="Verdana"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445D799D"/>
    <w:multiLevelType w:val="hybridMultilevel"/>
    <w:tmpl w:val="BCF82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445F3088"/>
    <w:multiLevelType w:val="hybridMultilevel"/>
    <w:tmpl w:val="14DEFD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448A1EF0"/>
    <w:multiLevelType w:val="hybridMultilevel"/>
    <w:tmpl w:val="1BAE4D46"/>
    <w:lvl w:ilvl="0" w:tplc="04090005">
      <w:start w:val="1"/>
      <w:numFmt w:val="bullet"/>
      <w:lvlText w:val=""/>
      <w:lvlJc w:val="left"/>
      <w:pPr>
        <w:ind w:left="360" w:hanging="360"/>
      </w:pPr>
      <w:rPr>
        <w:rFonts w:ascii="Wingdings" w:hAnsi="Wingdings" w:hint="default"/>
      </w:rPr>
    </w:lvl>
    <w:lvl w:ilvl="1" w:tplc="D01C70BA">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44B52842"/>
    <w:multiLevelType w:val="multilevel"/>
    <w:tmpl w:val="8FB6C19C"/>
    <w:styleLink w:val="WW8Num34"/>
    <w:lvl w:ilvl="0">
      <w:start w:val="1"/>
      <w:numFmt w:val="bullet"/>
      <w:lvlText w:val=""/>
      <w:lvlJc w:val="left"/>
      <w:pPr>
        <w:ind w:left="643" w:hanging="283"/>
      </w:pPr>
      <w:rPr>
        <w:rFonts w:ascii="Wingdings" w:hAnsi="Wingdings" w:hint="default"/>
      </w:r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297" w15:restartNumberingAfterBreak="0">
    <w:nsid w:val="45104740"/>
    <w:multiLevelType w:val="hybridMultilevel"/>
    <w:tmpl w:val="26EC83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45120F35"/>
    <w:multiLevelType w:val="hybridMultilevel"/>
    <w:tmpl w:val="17264F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45284A81"/>
    <w:multiLevelType w:val="hybridMultilevel"/>
    <w:tmpl w:val="067E67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5423E4C"/>
    <w:multiLevelType w:val="hybridMultilevel"/>
    <w:tmpl w:val="0E704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454649EE"/>
    <w:multiLevelType w:val="hybridMultilevel"/>
    <w:tmpl w:val="0A640E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3" w15:restartNumberingAfterBreak="0">
    <w:nsid w:val="455801B1"/>
    <w:multiLevelType w:val="hybridMultilevel"/>
    <w:tmpl w:val="38C43B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457320B5"/>
    <w:multiLevelType w:val="hybridMultilevel"/>
    <w:tmpl w:val="017C7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457B3F2D"/>
    <w:multiLevelType w:val="hybridMultilevel"/>
    <w:tmpl w:val="C40A5BA6"/>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06" w15:restartNumberingAfterBreak="0">
    <w:nsid w:val="45B15223"/>
    <w:multiLevelType w:val="hybridMultilevel"/>
    <w:tmpl w:val="97A4FBE2"/>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07"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8" w15:restartNumberingAfterBreak="0">
    <w:nsid w:val="46C24221"/>
    <w:multiLevelType w:val="hybridMultilevel"/>
    <w:tmpl w:val="B366E2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9" w15:restartNumberingAfterBreak="0">
    <w:nsid w:val="4704299B"/>
    <w:multiLevelType w:val="hybridMultilevel"/>
    <w:tmpl w:val="B99C2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47710E2F"/>
    <w:multiLevelType w:val="hybridMultilevel"/>
    <w:tmpl w:val="2696AD14"/>
    <w:lvl w:ilvl="0" w:tplc="4DB46340">
      <w:start w:val="1"/>
      <w:numFmt w:val="bullet"/>
      <w:lvlText w:val=""/>
      <w:lvlJc w:val="left"/>
      <w:pPr>
        <w:ind w:left="360" w:hanging="360"/>
      </w:pPr>
      <w:rPr>
        <w:rFonts w:ascii="Symbol" w:hAnsi="Symbol" w:hint="default"/>
        <w:sz w:val="18"/>
        <w:szCs w:val="18"/>
      </w:rPr>
    </w:lvl>
    <w:lvl w:ilvl="1" w:tplc="2C4A9600" w:tentative="1">
      <w:start w:val="1"/>
      <w:numFmt w:val="bullet"/>
      <w:lvlText w:val="o"/>
      <w:lvlJc w:val="left"/>
      <w:pPr>
        <w:ind w:left="1080" w:hanging="360"/>
      </w:pPr>
      <w:rPr>
        <w:rFonts w:ascii="Courier New" w:hAnsi="Courier New" w:cs="Courier New" w:hint="default"/>
      </w:rPr>
    </w:lvl>
    <w:lvl w:ilvl="2" w:tplc="F3A8FC50" w:tentative="1">
      <w:start w:val="1"/>
      <w:numFmt w:val="bullet"/>
      <w:lvlText w:val=""/>
      <w:lvlJc w:val="left"/>
      <w:pPr>
        <w:ind w:left="1800" w:hanging="360"/>
      </w:pPr>
      <w:rPr>
        <w:rFonts w:ascii="Wingdings" w:hAnsi="Wingdings" w:hint="default"/>
      </w:rPr>
    </w:lvl>
    <w:lvl w:ilvl="3" w:tplc="18B64F60" w:tentative="1">
      <w:start w:val="1"/>
      <w:numFmt w:val="bullet"/>
      <w:lvlText w:val=""/>
      <w:lvlJc w:val="left"/>
      <w:pPr>
        <w:ind w:left="2520" w:hanging="360"/>
      </w:pPr>
      <w:rPr>
        <w:rFonts w:ascii="Symbol" w:hAnsi="Symbol" w:hint="default"/>
      </w:rPr>
    </w:lvl>
    <w:lvl w:ilvl="4" w:tplc="7D5E23E0" w:tentative="1">
      <w:start w:val="1"/>
      <w:numFmt w:val="bullet"/>
      <w:lvlText w:val="o"/>
      <w:lvlJc w:val="left"/>
      <w:pPr>
        <w:ind w:left="3240" w:hanging="360"/>
      </w:pPr>
      <w:rPr>
        <w:rFonts w:ascii="Courier New" w:hAnsi="Courier New" w:cs="Courier New" w:hint="default"/>
      </w:rPr>
    </w:lvl>
    <w:lvl w:ilvl="5" w:tplc="A55C3524" w:tentative="1">
      <w:start w:val="1"/>
      <w:numFmt w:val="bullet"/>
      <w:lvlText w:val=""/>
      <w:lvlJc w:val="left"/>
      <w:pPr>
        <w:ind w:left="3960" w:hanging="360"/>
      </w:pPr>
      <w:rPr>
        <w:rFonts w:ascii="Wingdings" w:hAnsi="Wingdings" w:hint="default"/>
      </w:rPr>
    </w:lvl>
    <w:lvl w:ilvl="6" w:tplc="0F3CF740" w:tentative="1">
      <w:start w:val="1"/>
      <w:numFmt w:val="bullet"/>
      <w:lvlText w:val=""/>
      <w:lvlJc w:val="left"/>
      <w:pPr>
        <w:ind w:left="4680" w:hanging="360"/>
      </w:pPr>
      <w:rPr>
        <w:rFonts w:ascii="Symbol" w:hAnsi="Symbol" w:hint="default"/>
      </w:rPr>
    </w:lvl>
    <w:lvl w:ilvl="7" w:tplc="D8F60CF0" w:tentative="1">
      <w:start w:val="1"/>
      <w:numFmt w:val="bullet"/>
      <w:lvlText w:val="o"/>
      <w:lvlJc w:val="left"/>
      <w:pPr>
        <w:ind w:left="5400" w:hanging="360"/>
      </w:pPr>
      <w:rPr>
        <w:rFonts w:ascii="Courier New" w:hAnsi="Courier New" w:cs="Courier New" w:hint="default"/>
      </w:rPr>
    </w:lvl>
    <w:lvl w:ilvl="8" w:tplc="9CE6CB02" w:tentative="1">
      <w:start w:val="1"/>
      <w:numFmt w:val="bullet"/>
      <w:lvlText w:val=""/>
      <w:lvlJc w:val="left"/>
      <w:pPr>
        <w:ind w:left="6120" w:hanging="360"/>
      </w:pPr>
      <w:rPr>
        <w:rFonts w:ascii="Wingdings" w:hAnsi="Wingdings" w:hint="default"/>
      </w:rPr>
    </w:lvl>
  </w:abstractNum>
  <w:abstractNum w:abstractNumId="311" w15:restartNumberingAfterBreak="0">
    <w:nsid w:val="483977A6"/>
    <w:multiLevelType w:val="hybridMultilevel"/>
    <w:tmpl w:val="D326FF20"/>
    <w:lvl w:ilvl="0" w:tplc="04090005">
      <w:start w:val="1"/>
      <w:numFmt w:val="bullet"/>
      <w:lvlText w:val=""/>
      <w:lvlJc w:val="left"/>
      <w:pPr>
        <w:ind w:left="360" w:hanging="360"/>
      </w:pPr>
      <w:rPr>
        <w:rFonts w:ascii="Wingdings" w:hAnsi="Wingdings" w:hint="default"/>
      </w:rPr>
    </w:lvl>
    <w:lvl w:ilvl="1" w:tplc="D01C70BA">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15:restartNumberingAfterBreak="0">
    <w:nsid w:val="483A2950"/>
    <w:multiLevelType w:val="multilevel"/>
    <w:tmpl w:val="3A66BAA8"/>
    <w:styleLink w:val="WW8Num32"/>
    <w:lvl w:ilvl="0">
      <w:numFmt w:val="bullet"/>
      <w:lvlText w:val="–"/>
      <w:lvlJc w:val="left"/>
      <w:pPr>
        <w:ind w:left="850" w:hanging="85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3"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4" w15:restartNumberingAfterBreak="0">
    <w:nsid w:val="48D30D35"/>
    <w:multiLevelType w:val="multilevel"/>
    <w:tmpl w:val="9A0A1956"/>
    <w:styleLink w:val="WW8Num38"/>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5" w15:restartNumberingAfterBreak="0">
    <w:nsid w:val="49644458"/>
    <w:multiLevelType w:val="hybridMultilevel"/>
    <w:tmpl w:val="3D94A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4971373A"/>
    <w:multiLevelType w:val="hybridMultilevel"/>
    <w:tmpl w:val="D764D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49AF04D8"/>
    <w:multiLevelType w:val="multilevel"/>
    <w:tmpl w:val="0658A572"/>
    <w:styleLink w:val="WW8Num19"/>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8" w15:restartNumberingAfterBreak="0">
    <w:nsid w:val="4ABF54E0"/>
    <w:multiLevelType w:val="hybridMultilevel"/>
    <w:tmpl w:val="CC5C9942"/>
    <w:lvl w:ilvl="0" w:tplc="04090005">
      <w:start w:val="1"/>
      <w:numFmt w:val="bullet"/>
      <w:lvlText w:val=""/>
      <w:lvlJc w:val="left"/>
      <w:pPr>
        <w:ind w:left="360" w:hanging="360"/>
      </w:pPr>
      <w:rPr>
        <w:rFonts w:ascii="Wingdings" w:hAnsi="Wingdings" w:hint="default"/>
      </w:rPr>
    </w:lvl>
    <w:lvl w:ilvl="1" w:tplc="687A8020">
      <w:start w:val="1"/>
      <w:numFmt w:val="bullet"/>
      <w:lvlText w:val="-"/>
      <w:lvlJc w:val="left"/>
      <w:pPr>
        <w:ind w:left="1080" w:hanging="360"/>
      </w:pPr>
      <w:rPr>
        <w:rFonts w:ascii="Verdana" w:eastAsia="Times New Roman" w:hAnsi="Verdana"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4AF15644"/>
    <w:multiLevelType w:val="hybridMultilevel"/>
    <w:tmpl w:val="8E34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4AFB5229"/>
    <w:multiLevelType w:val="hybridMultilevel"/>
    <w:tmpl w:val="65C6D2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4B5E1577"/>
    <w:multiLevelType w:val="multilevel"/>
    <w:tmpl w:val="55F877BE"/>
    <w:styleLink w:val="WW8Num3"/>
    <w:lvl w:ilvl="0">
      <w:numFmt w:val="bullet"/>
      <w:lvlText w:val=""/>
      <w:lvlJc w:val="left"/>
      <w:pPr>
        <w:ind w:left="108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2" w15:restartNumberingAfterBreak="0">
    <w:nsid w:val="4B9301FD"/>
    <w:multiLevelType w:val="hybridMultilevel"/>
    <w:tmpl w:val="C5EC682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4BC206B8"/>
    <w:multiLevelType w:val="hybridMultilevel"/>
    <w:tmpl w:val="E45C5E7E"/>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24" w15:restartNumberingAfterBreak="0">
    <w:nsid w:val="4BE25B68"/>
    <w:multiLevelType w:val="hybridMultilevel"/>
    <w:tmpl w:val="F358FB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4C466603"/>
    <w:multiLevelType w:val="hybridMultilevel"/>
    <w:tmpl w:val="8F3686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6" w15:restartNumberingAfterBreak="0">
    <w:nsid w:val="4C692FD5"/>
    <w:multiLevelType w:val="hybridMultilevel"/>
    <w:tmpl w:val="65A4A8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4C6C16D3"/>
    <w:multiLevelType w:val="hybridMultilevel"/>
    <w:tmpl w:val="90F8E1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4C8B4110"/>
    <w:multiLevelType w:val="hybridMultilevel"/>
    <w:tmpl w:val="768EA102"/>
    <w:lvl w:ilvl="0" w:tplc="04090005">
      <w:start w:val="1"/>
      <w:numFmt w:val="bullet"/>
      <w:lvlText w:val=""/>
      <w:lvlJc w:val="left"/>
      <w:pPr>
        <w:ind w:left="360" w:hanging="360"/>
      </w:pPr>
      <w:rPr>
        <w:rFonts w:ascii="Wingdings" w:hAnsi="Wingdings" w:hint="default"/>
      </w:rPr>
    </w:lvl>
    <w:lvl w:ilvl="1" w:tplc="D01C70BA">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4D5C034C"/>
    <w:multiLevelType w:val="hybridMultilevel"/>
    <w:tmpl w:val="4BB6DD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4D660FC2"/>
    <w:multiLevelType w:val="hybridMultilevel"/>
    <w:tmpl w:val="4D6C96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4D9E6619"/>
    <w:multiLevelType w:val="hybridMultilevel"/>
    <w:tmpl w:val="26084B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4DAD1EFF"/>
    <w:multiLevelType w:val="hybridMultilevel"/>
    <w:tmpl w:val="BA4ECF60"/>
    <w:lvl w:ilvl="0" w:tplc="FFFFFFFF">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4DDC268D"/>
    <w:multiLevelType w:val="hybridMultilevel"/>
    <w:tmpl w:val="76D441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4" w15:restartNumberingAfterBreak="0">
    <w:nsid w:val="4EA132DA"/>
    <w:multiLevelType w:val="hybridMultilevel"/>
    <w:tmpl w:val="414C68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4ED57987"/>
    <w:multiLevelType w:val="hybridMultilevel"/>
    <w:tmpl w:val="0950A4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6" w15:restartNumberingAfterBreak="0">
    <w:nsid w:val="4F7B5D76"/>
    <w:multiLevelType w:val="hybridMultilevel"/>
    <w:tmpl w:val="9EDE4A56"/>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37" w15:restartNumberingAfterBreak="0">
    <w:nsid w:val="500F1757"/>
    <w:multiLevelType w:val="hybridMultilevel"/>
    <w:tmpl w:val="1F068B54"/>
    <w:lvl w:ilvl="0" w:tplc="7932FA2C">
      <w:start w:val="1"/>
      <w:numFmt w:val="bullet"/>
      <w:lvlText w:val=""/>
      <w:lvlJc w:val="left"/>
      <w:pPr>
        <w:tabs>
          <w:tab w:val="num" w:pos="786"/>
        </w:tabs>
        <w:ind w:left="786" w:hanging="360"/>
      </w:pPr>
      <w:rPr>
        <w:rFonts w:ascii="Wingdings" w:hAnsi="Wingdings" w:hint="default"/>
        <w:sz w:val="18"/>
        <w:szCs w:val="18"/>
      </w:rPr>
    </w:lvl>
    <w:lvl w:ilvl="1" w:tplc="67160D14">
      <w:start w:val="1"/>
      <w:numFmt w:val="bullet"/>
      <w:lvlText w:val=""/>
      <w:lvlJc w:val="left"/>
      <w:pPr>
        <w:tabs>
          <w:tab w:val="num" w:pos="1080"/>
        </w:tabs>
        <w:ind w:left="1080" w:hanging="360"/>
      </w:pPr>
      <w:rPr>
        <w:rFonts w:ascii="Symbol" w:hAnsi="Symbol" w:hint="default"/>
      </w:rPr>
    </w:lvl>
    <w:lvl w:ilvl="2" w:tplc="49803D90" w:tentative="1">
      <w:start w:val="1"/>
      <w:numFmt w:val="bullet"/>
      <w:lvlText w:val=""/>
      <w:lvlJc w:val="left"/>
      <w:pPr>
        <w:tabs>
          <w:tab w:val="num" w:pos="1800"/>
        </w:tabs>
        <w:ind w:left="1800" w:hanging="360"/>
      </w:pPr>
      <w:rPr>
        <w:rFonts w:ascii="Wingdings" w:hAnsi="Wingdings" w:hint="default"/>
      </w:rPr>
    </w:lvl>
    <w:lvl w:ilvl="3" w:tplc="19FC3C90" w:tentative="1">
      <w:start w:val="1"/>
      <w:numFmt w:val="bullet"/>
      <w:lvlText w:val=""/>
      <w:lvlJc w:val="left"/>
      <w:pPr>
        <w:tabs>
          <w:tab w:val="num" w:pos="2520"/>
        </w:tabs>
        <w:ind w:left="2520" w:hanging="360"/>
      </w:pPr>
      <w:rPr>
        <w:rFonts w:ascii="Symbol" w:hAnsi="Symbol" w:hint="default"/>
      </w:rPr>
    </w:lvl>
    <w:lvl w:ilvl="4" w:tplc="C3C25C70" w:tentative="1">
      <w:start w:val="1"/>
      <w:numFmt w:val="bullet"/>
      <w:lvlText w:val="o"/>
      <w:lvlJc w:val="left"/>
      <w:pPr>
        <w:tabs>
          <w:tab w:val="num" w:pos="3240"/>
        </w:tabs>
        <w:ind w:left="3240" w:hanging="360"/>
      </w:pPr>
      <w:rPr>
        <w:rFonts w:ascii="Courier New" w:hAnsi="Courier New" w:cs="Courier New" w:hint="default"/>
      </w:rPr>
    </w:lvl>
    <w:lvl w:ilvl="5" w:tplc="9648B83E" w:tentative="1">
      <w:start w:val="1"/>
      <w:numFmt w:val="bullet"/>
      <w:lvlText w:val=""/>
      <w:lvlJc w:val="left"/>
      <w:pPr>
        <w:tabs>
          <w:tab w:val="num" w:pos="3960"/>
        </w:tabs>
        <w:ind w:left="3960" w:hanging="360"/>
      </w:pPr>
      <w:rPr>
        <w:rFonts w:ascii="Wingdings" w:hAnsi="Wingdings" w:hint="default"/>
      </w:rPr>
    </w:lvl>
    <w:lvl w:ilvl="6" w:tplc="C748A458" w:tentative="1">
      <w:start w:val="1"/>
      <w:numFmt w:val="bullet"/>
      <w:lvlText w:val=""/>
      <w:lvlJc w:val="left"/>
      <w:pPr>
        <w:tabs>
          <w:tab w:val="num" w:pos="4680"/>
        </w:tabs>
        <w:ind w:left="4680" w:hanging="360"/>
      </w:pPr>
      <w:rPr>
        <w:rFonts w:ascii="Symbol" w:hAnsi="Symbol" w:hint="default"/>
      </w:rPr>
    </w:lvl>
    <w:lvl w:ilvl="7" w:tplc="4F4EFCD8" w:tentative="1">
      <w:start w:val="1"/>
      <w:numFmt w:val="bullet"/>
      <w:lvlText w:val="o"/>
      <w:lvlJc w:val="left"/>
      <w:pPr>
        <w:tabs>
          <w:tab w:val="num" w:pos="5400"/>
        </w:tabs>
        <w:ind w:left="5400" w:hanging="360"/>
      </w:pPr>
      <w:rPr>
        <w:rFonts w:ascii="Courier New" w:hAnsi="Courier New" w:cs="Courier New" w:hint="default"/>
      </w:rPr>
    </w:lvl>
    <w:lvl w:ilvl="8" w:tplc="6EA41938" w:tentative="1">
      <w:start w:val="1"/>
      <w:numFmt w:val="bullet"/>
      <w:lvlText w:val=""/>
      <w:lvlJc w:val="left"/>
      <w:pPr>
        <w:tabs>
          <w:tab w:val="num" w:pos="6120"/>
        </w:tabs>
        <w:ind w:left="6120" w:hanging="360"/>
      </w:pPr>
      <w:rPr>
        <w:rFonts w:ascii="Wingdings" w:hAnsi="Wingdings" w:hint="default"/>
      </w:rPr>
    </w:lvl>
  </w:abstractNum>
  <w:abstractNum w:abstractNumId="338" w15:restartNumberingAfterBreak="0">
    <w:nsid w:val="50115DAE"/>
    <w:multiLevelType w:val="hybridMultilevel"/>
    <w:tmpl w:val="41CE0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50870AEF"/>
    <w:multiLevelType w:val="hybridMultilevel"/>
    <w:tmpl w:val="5D62D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50981C94"/>
    <w:multiLevelType w:val="hybridMultilevel"/>
    <w:tmpl w:val="0B5C4B68"/>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41" w15:restartNumberingAfterBreak="0">
    <w:nsid w:val="51311CC2"/>
    <w:multiLevelType w:val="hybridMultilevel"/>
    <w:tmpl w:val="0368E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51B01888"/>
    <w:multiLevelType w:val="hybridMultilevel"/>
    <w:tmpl w:val="9AB22ED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43" w15:restartNumberingAfterBreak="0">
    <w:nsid w:val="51B72855"/>
    <w:multiLevelType w:val="hybridMultilevel"/>
    <w:tmpl w:val="5F329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51DB1070"/>
    <w:multiLevelType w:val="hybridMultilevel"/>
    <w:tmpl w:val="7B8C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23746D0"/>
    <w:multiLevelType w:val="hybridMultilevel"/>
    <w:tmpl w:val="A4F2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52746EBC"/>
    <w:multiLevelType w:val="hybridMultilevel"/>
    <w:tmpl w:val="2BDA922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7" w15:restartNumberingAfterBreak="0">
    <w:nsid w:val="52B370A8"/>
    <w:multiLevelType w:val="hybridMultilevel"/>
    <w:tmpl w:val="4F84EC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52C04F77"/>
    <w:multiLevelType w:val="hybridMultilevel"/>
    <w:tmpl w:val="A32AF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52C94000"/>
    <w:multiLevelType w:val="hybridMultilevel"/>
    <w:tmpl w:val="1AAA427C"/>
    <w:lvl w:ilvl="0" w:tplc="08090017">
      <w:start w:val="1"/>
      <w:numFmt w:val="lowerLetter"/>
      <w:lvlText w:val="%1)"/>
      <w:lvlJc w:val="left"/>
      <w:pPr>
        <w:ind w:left="630" w:hanging="360"/>
      </w:pPr>
      <w:rPr>
        <w:rFonts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0" w15:restartNumberingAfterBreak="0">
    <w:nsid w:val="52D20CF5"/>
    <w:multiLevelType w:val="hybridMultilevel"/>
    <w:tmpl w:val="89FE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31063B7"/>
    <w:multiLevelType w:val="hybridMultilevel"/>
    <w:tmpl w:val="53264B68"/>
    <w:lvl w:ilvl="0" w:tplc="04090005">
      <w:start w:val="1"/>
      <w:numFmt w:val="bullet"/>
      <w:lvlText w:val=""/>
      <w:lvlJc w:val="left"/>
      <w:pPr>
        <w:ind w:left="360" w:hanging="360"/>
      </w:pPr>
      <w:rPr>
        <w:rFonts w:ascii="Wingdings" w:hAnsi="Wingdings" w:hint="default"/>
      </w:rPr>
    </w:lvl>
    <w:lvl w:ilvl="1" w:tplc="D01C70BA">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2" w15:restartNumberingAfterBreak="0">
    <w:nsid w:val="532D23BA"/>
    <w:multiLevelType w:val="multilevel"/>
    <w:tmpl w:val="C44C12FA"/>
    <w:styleLink w:val="WW8Num2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rPr>
    </w:lvl>
  </w:abstractNum>
  <w:abstractNum w:abstractNumId="353" w15:restartNumberingAfterBreak="0">
    <w:nsid w:val="536D4AB5"/>
    <w:multiLevelType w:val="hybridMultilevel"/>
    <w:tmpl w:val="5A6C512A"/>
    <w:lvl w:ilvl="0" w:tplc="44F00050">
      <w:start w:val="1"/>
      <w:numFmt w:val="bullet"/>
      <w:lvlText w:val="-"/>
      <w:lvlJc w:val="left"/>
      <w:pPr>
        <w:tabs>
          <w:tab w:val="num" w:pos="720"/>
        </w:tabs>
        <w:ind w:left="720" w:hanging="360"/>
      </w:pPr>
      <w:rPr>
        <w:rFonts w:ascii="Verdana" w:eastAsia="Times New Roman" w:hAnsi="Verdana" w:cs="Times New Roman" w:hint="default"/>
      </w:rPr>
    </w:lvl>
    <w:lvl w:ilvl="1" w:tplc="687A8020">
      <w:start w:val="1"/>
      <w:numFmt w:val="bullet"/>
      <w:lvlText w:val="-"/>
      <w:lvlJc w:val="left"/>
      <w:pPr>
        <w:tabs>
          <w:tab w:val="num" w:pos="1440"/>
        </w:tabs>
        <w:ind w:left="1440" w:hanging="360"/>
      </w:pPr>
      <w:rPr>
        <w:rFonts w:ascii="Verdana" w:eastAsia="Times New Roman" w:hAnsi="Verdana"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4" w15:restartNumberingAfterBreak="0">
    <w:nsid w:val="54336766"/>
    <w:multiLevelType w:val="hybridMultilevel"/>
    <w:tmpl w:val="0C9E5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356" w15:restartNumberingAfterBreak="0">
    <w:nsid w:val="54D70008"/>
    <w:multiLevelType w:val="hybridMultilevel"/>
    <w:tmpl w:val="7490292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7" w15:restartNumberingAfterBreak="0">
    <w:nsid w:val="55141B13"/>
    <w:multiLevelType w:val="hybridMultilevel"/>
    <w:tmpl w:val="971EF0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8" w15:restartNumberingAfterBreak="0">
    <w:nsid w:val="554447BE"/>
    <w:multiLevelType w:val="hybridMultilevel"/>
    <w:tmpl w:val="13F2B01E"/>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59" w15:restartNumberingAfterBreak="0">
    <w:nsid w:val="56CB767B"/>
    <w:multiLevelType w:val="hybridMultilevel"/>
    <w:tmpl w:val="2CCA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574360B6"/>
    <w:multiLevelType w:val="hybridMultilevel"/>
    <w:tmpl w:val="F1BEAD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57E71346"/>
    <w:multiLevelType w:val="hybridMultilevel"/>
    <w:tmpl w:val="0B6EDF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581A1F19"/>
    <w:multiLevelType w:val="hybridMultilevel"/>
    <w:tmpl w:val="7E54C616"/>
    <w:lvl w:ilvl="0" w:tplc="04090003">
      <w:start w:val="1"/>
      <w:numFmt w:val="bullet"/>
      <w:lvlText w:val="o"/>
      <w:lvlJc w:val="left"/>
      <w:pPr>
        <w:ind w:left="360" w:hanging="360"/>
      </w:pPr>
      <w:rPr>
        <w:rFonts w:ascii="Courier New" w:hAnsi="Courier New" w:cs="Courier New" w:hint="default"/>
        <w:sz w:val="18"/>
        <w:szCs w:val="1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3" w15:restartNumberingAfterBreak="0">
    <w:nsid w:val="58F27DDE"/>
    <w:multiLevelType w:val="hybridMultilevel"/>
    <w:tmpl w:val="F4146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9027638"/>
    <w:multiLevelType w:val="hybridMultilevel"/>
    <w:tmpl w:val="A2F65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5" w15:restartNumberingAfterBreak="0">
    <w:nsid w:val="59096A8B"/>
    <w:multiLevelType w:val="hybridMultilevel"/>
    <w:tmpl w:val="67103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591B2862"/>
    <w:multiLevelType w:val="hybridMultilevel"/>
    <w:tmpl w:val="C14C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94A2CD4"/>
    <w:multiLevelType w:val="hybridMultilevel"/>
    <w:tmpl w:val="DD1AC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596D67A1"/>
    <w:multiLevelType w:val="singleLevel"/>
    <w:tmpl w:val="9AC8831A"/>
    <w:name w:val="List Dash 2"/>
    <w:lvl w:ilvl="0">
      <w:start w:val="1"/>
      <w:numFmt w:val="bullet"/>
      <w:lvlRestart w:val="0"/>
      <w:lvlText w:val="–"/>
      <w:lvlJc w:val="left"/>
      <w:pPr>
        <w:tabs>
          <w:tab w:val="num" w:pos="1134"/>
        </w:tabs>
        <w:ind w:left="1134" w:hanging="283"/>
      </w:pPr>
      <w:rPr>
        <w:rFonts w:ascii="Times New Roman" w:hAnsi="Times New Roman" w:cs="Times New Roman"/>
      </w:rPr>
    </w:lvl>
  </w:abstractNum>
  <w:abstractNum w:abstractNumId="369" w15:restartNumberingAfterBreak="0">
    <w:nsid w:val="596D7F72"/>
    <w:multiLevelType w:val="hybridMultilevel"/>
    <w:tmpl w:val="3A32FDC0"/>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0" w15:restartNumberingAfterBreak="0">
    <w:nsid w:val="59793BB0"/>
    <w:multiLevelType w:val="hybridMultilevel"/>
    <w:tmpl w:val="0C72BE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1" w15:restartNumberingAfterBreak="0">
    <w:nsid w:val="59AF4CFA"/>
    <w:multiLevelType w:val="hybridMultilevel"/>
    <w:tmpl w:val="9A16C6C4"/>
    <w:lvl w:ilvl="0" w:tplc="04090005">
      <w:start w:val="1"/>
      <w:numFmt w:val="bullet"/>
      <w:lvlText w:val=""/>
      <w:lvlJc w:val="left"/>
      <w:pPr>
        <w:ind w:left="360" w:hanging="360"/>
      </w:pPr>
      <w:rPr>
        <w:rFonts w:ascii="Wingdings" w:hAnsi="Wingdings" w:hint="default"/>
        <w:sz w:val="18"/>
        <w:szCs w:val="1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2" w15:restartNumberingAfterBreak="0">
    <w:nsid w:val="59D2289A"/>
    <w:multiLevelType w:val="hybridMultilevel"/>
    <w:tmpl w:val="C206F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5A094D28"/>
    <w:multiLevelType w:val="hybridMultilevel"/>
    <w:tmpl w:val="9FFE7C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4" w15:restartNumberingAfterBreak="0">
    <w:nsid w:val="5A1B14FB"/>
    <w:multiLevelType w:val="hybridMultilevel"/>
    <w:tmpl w:val="1DB650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5" w15:restartNumberingAfterBreak="0">
    <w:nsid w:val="5A930FCC"/>
    <w:multiLevelType w:val="hybridMultilevel"/>
    <w:tmpl w:val="AE14D074"/>
    <w:lvl w:ilvl="0" w:tplc="04090005">
      <w:start w:val="1"/>
      <w:numFmt w:val="bullet"/>
      <w:lvlText w:val=""/>
      <w:lvlJc w:val="left"/>
      <w:pPr>
        <w:ind w:left="720" w:hanging="360"/>
      </w:pPr>
      <w:rPr>
        <w:rFonts w:ascii="Wingdings" w:hAnsi="Wingdings" w:hint="default"/>
      </w:rPr>
    </w:lvl>
    <w:lvl w:ilvl="1" w:tplc="D01C70BA">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5AAA748F"/>
    <w:multiLevelType w:val="hybridMultilevel"/>
    <w:tmpl w:val="D0921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5AEC5CA9"/>
    <w:multiLevelType w:val="hybridMultilevel"/>
    <w:tmpl w:val="0E3A4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5B04753B"/>
    <w:multiLevelType w:val="hybridMultilevel"/>
    <w:tmpl w:val="3A2638E8"/>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79" w15:restartNumberingAfterBreak="0">
    <w:nsid w:val="5BED51B8"/>
    <w:multiLevelType w:val="hybridMultilevel"/>
    <w:tmpl w:val="733E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5C451DF5"/>
    <w:multiLevelType w:val="hybridMultilevel"/>
    <w:tmpl w:val="D940F9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5C963A85"/>
    <w:multiLevelType w:val="hybridMultilevel"/>
    <w:tmpl w:val="630EA5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5CA8660D"/>
    <w:multiLevelType w:val="hybridMultilevel"/>
    <w:tmpl w:val="BB22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5CCB1403"/>
    <w:multiLevelType w:val="hybridMultilevel"/>
    <w:tmpl w:val="E284A4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4" w15:restartNumberingAfterBreak="0">
    <w:nsid w:val="5CEB7894"/>
    <w:multiLevelType w:val="hybridMultilevel"/>
    <w:tmpl w:val="2B305C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5" w15:restartNumberingAfterBreak="0">
    <w:nsid w:val="5D3462A2"/>
    <w:multiLevelType w:val="hybridMultilevel"/>
    <w:tmpl w:val="38429D90"/>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86" w15:restartNumberingAfterBreak="0">
    <w:nsid w:val="5D681B4D"/>
    <w:multiLevelType w:val="hybridMultilevel"/>
    <w:tmpl w:val="233071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5D81585D"/>
    <w:multiLevelType w:val="hybridMultilevel"/>
    <w:tmpl w:val="4A4CD8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5DD7539A"/>
    <w:multiLevelType w:val="hybridMultilevel"/>
    <w:tmpl w:val="E7869C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5E594226"/>
    <w:multiLevelType w:val="hybridMultilevel"/>
    <w:tmpl w:val="BC989E94"/>
    <w:lvl w:ilvl="0" w:tplc="04090005">
      <w:start w:val="1"/>
      <w:numFmt w:val="bullet"/>
      <w:lvlText w:val=""/>
      <w:lvlJc w:val="left"/>
      <w:pPr>
        <w:ind w:left="360" w:hanging="360"/>
      </w:pPr>
      <w:rPr>
        <w:rFonts w:ascii="Wingdings" w:hAnsi="Wingdings" w:hint="default"/>
      </w:rPr>
    </w:lvl>
    <w:lvl w:ilvl="1" w:tplc="687A8020">
      <w:start w:val="1"/>
      <w:numFmt w:val="bullet"/>
      <w:lvlText w:val="-"/>
      <w:lvlJc w:val="left"/>
      <w:pPr>
        <w:ind w:left="1080" w:hanging="360"/>
      </w:pPr>
      <w:rPr>
        <w:rFonts w:ascii="Verdana" w:eastAsia="Times New Roman" w:hAnsi="Verdana"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0" w15:restartNumberingAfterBreak="0">
    <w:nsid w:val="5F0B7EEA"/>
    <w:multiLevelType w:val="hybridMultilevel"/>
    <w:tmpl w:val="59D603AA"/>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91" w15:restartNumberingAfterBreak="0">
    <w:nsid w:val="5F0F004E"/>
    <w:multiLevelType w:val="hybridMultilevel"/>
    <w:tmpl w:val="A23A3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5F5D358D"/>
    <w:multiLevelType w:val="hybridMultilevel"/>
    <w:tmpl w:val="21A4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5F8C3B69"/>
    <w:multiLevelType w:val="multilevel"/>
    <w:tmpl w:val="9B14DAA8"/>
    <w:name w:val="0,4585078"/>
    <w:lvl w:ilvl="0">
      <w:start w:val="1"/>
      <w:numFmt w:val="decimal"/>
      <w:lvlRestart w:val="0"/>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cs="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4" w15:restartNumberingAfterBreak="0">
    <w:nsid w:val="5F8F4818"/>
    <w:multiLevelType w:val="hybridMultilevel"/>
    <w:tmpl w:val="0234DF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5FC01D57"/>
    <w:multiLevelType w:val="hybridMultilevel"/>
    <w:tmpl w:val="A8D0D98A"/>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96" w15:restartNumberingAfterBreak="0">
    <w:nsid w:val="5FC54EFF"/>
    <w:multiLevelType w:val="hybridMultilevel"/>
    <w:tmpl w:val="90102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60310260"/>
    <w:multiLevelType w:val="hybridMultilevel"/>
    <w:tmpl w:val="B3DC9E6C"/>
    <w:lvl w:ilvl="0" w:tplc="C908B7C8">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position w:val="0"/>
        <w:sz w:val="18"/>
        <w:szCs w:val="18"/>
        <w:u w:val="none"/>
        <w:effect w:val="none"/>
        <w:vertAlign w:val="baseline"/>
        <w:em w:val="none"/>
        <w:specVanish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8" w15:restartNumberingAfterBreak="0">
    <w:nsid w:val="603F2277"/>
    <w:multiLevelType w:val="multilevel"/>
    <w:tmpl w:val="B8F29532"/>
    <w:styleLink w:val="WW8Num46"/>
    <w:lvl w:ilvl="0">
      <w:numFmt w:val="bullet"/>
      <w:lvlText w:val="–"/>
      <w:lvlJc w:val="left"/>
      <w:pPr>
        <w:ind w:left="2199"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9" w15:restartNumberingAfterBreak="0">
    <w:nsid w:val="60CA6806"/>
    <w:multiLevelType w:val="hybridMultilevel"/>
    <w:tmpl w:val="F56010E6"/>
    <w:lvl w:ilvl="0" w:tplc="04090005">
      <w:start w:val="1"/>
      <w:numFmt w:val="bullet"/>
      <w:lvlText w:val=""/>
      <w:lvlJc w:val="left"/>
      <w:pPr>
        <w:ind w:left="360" w:hanging="360"/>
      </w:pPr>
      <w:rPr>
        <w:rFonts w:ascii="Wingdings" w:hAnsi="Wingdings" w:hint="default"/>
        <w:sz w:val="18"/>
        <w:szCs w:val="1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0" w15:restartNumberingAfterBreak="0">
    <w:nsid w:val="60CF26B6"/>
    <w:multiLevelType w:val="hybridMultilevel"/>
    <w:tmpl w:val="8F3C55EC"/>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01" w15:restartNumberingAfterBreak="0">
    <w:nsid w:val="60E744CC"/>
    <w:multiLevelType w:val="hybridMultilevel"/>
    <w:tmpl w:val="2BA82E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61471A64"/>
    <w:multiLevelType w:val="hybridMultilevel"/>
    <w:tmpl w:val="4CC8F2F6"/>
    <w:lvl w:ilvl="0" w:tplc="04090005">
      <w:start w:val="1"/>
      <w:numFmt w:val="bullet"/>
      <w:lvlText w:val=""/>
      <w:lvlJc w:val="left"/>
      <w:pPr>
        <w:ind w:left="360" w:hanging="360"/>
      </w:pPr>
      <w:rPr>
        <w:rFonts w:ascii="Wingdings" w:hAnsi="Wingdings" w:hint="default"/>
      </w:rPr>
    </w:lvl>
    <w:lvl w:ilvl="1" w:tplc="D01C70BA">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61A96B8A"/>
    <w:multiLevelType w:val="hybridMultilevel"/>
    <w:tmpl w:val="B0D69C74"/>
    <w:lvl w:ilvl="0" w:tplc="FFFFFFFF">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15:restartNumberingAfterBreak="0">
    <w:nsid w:val="61CC21FB"/>
    <w:multiLevelType w:val="hybridMultilevel"/>
    <w:tmpl w:val="99527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61D164BA"/>
    <w:multiLevelType w:val="hybridMultilevel"/>
    <w:tmpl w:val="E1FC0AC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6" w15:restartNumberingAfterBreak="0">
    <w:nsid w:val="620F16A5"/>
    <w:multiLevelType w:val="hybridMultilevel"/>
    <w:tmpl w:val="ED80E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15:restartNumberingAfterBreak="0">
    <w:nsid w:val="621166D5"/>
    <w:multiLevelType w:val="hybridMultilevel"/>
    <w:tmpl w:val="913073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8" w15:restartNumberingAfterBreak="0">
    <w:nsid w:val="6246745F"/>
    <w:multiLevelType w:val="multilevel"/>
    <w:tmpl w:val="588A08EC"/>
    <w:styleLink w:val="WW8Num13"/>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9" w15:restartNumberingAfterBreak="0">
    <w:nsid w:val="62563A0A"/>
    <w:multiLevelType w:val="hybridMultilevel"/>
    <w:tmpl w:val="B4965C7E"/>
    <w:lvl w:ilvl="0" w:tplc="04090005">
      <w:start w:val="1"/>
      <w:numFmt w:val="bullet"/>
      <w:lvlText w:val=""/>
      <w:lvlJc w:val="left"/>
      <w:pPr>
        <w:ind w:left="360" w:hanging="360"/>
      </w:pPr>
      <w:rPr>
        <w:rFonts w:ascii="Wingdings" w:hAnsi="Wingdings" w:hint="default"/>
      </w:rPr>
    </w:lvl>
    <w:lvl w:ilvl="1" w:tplc="687A8020">
      <w:start w:val="1"/>
      <w:numFmt w:val="bullet"/>
      <w:lvlText w:val="-"/>
      <w:lvlJc w:val="left"/>
      <w:pPr>
        <w:ind w:left="1080" w:hanging="360"/>
      </w:pPr>
      <w:rPr>
        <w:rFonts w:ascii="Verdana" w:eastAsia="Times New Roman" w:hAnsi="Verdana"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0" w15:restartNumberingAfterBreak="0">
    <w:nsid w:val="62A8042C"/>
    <w:multiLevelType w:val="singleLevel"/>
    <w:tmpl w:val="3CB69690"/>
    <w:name w:val="0,2952479"/>
    <w:lvl w:ilvl="0">
      <w:start w:val="1"/>
      <w:numFmt w:val="bullet"/>
      <w:lvlRestart w:val="0"/>
      <w:lvlText w:val="–"/>
      <w:lvlJc w:val="left"/>
      <w:pPr>
        <w:tabs>
          <w:tab w:val="num" w:pos="1134"/>
        </w:tabs>
        <w:ind w:left="1134" w:hanging="283"/>
      </w:pPr>
      <w:rPr>
        <w:rFonts w:ascii="Times New Roman" w:hAnsi="Times New Roman" w:cs="Times New Roman"/>
      </w:rPr>
    </w:lvl>
  </w:abstractNum>
  <w:abstractNum w:abstractNumId="411" w15:restartNumberingAfterBreak="0">
    <w:nsid w:val="62EC3350"/>
    <w:multiLevelType w:val="hybridMultilevel"/>
    <w:tmpl w:val="DC265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2" w15:restartNumberingAfterBreak="0">
    <w:nsid w:val="62FD541E"/>
    <w:multiLevelType w:val="hybridMultilevel"/>
    <w:tmpl w:val="9DB80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15:restartNumberingAfterBreak="0">
    <w:nsid w:val="630F0EFE"/>
    <w:multiLevelType w:val="multilevel"/>
    <w:tmpl w:val="9BA80CCE"/>
    <w:styleLink w:val="WW8Num45"/>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14" w15:restartNumberingAfterBreak="0">
    <w:nsid w:val="634473E4"/>
    <w:multiLevelType w:val="hybridMultilevel"/>
    <w:tmpl w:val="72E6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15:restartNumberingAfterBreak="0">
    <w:nsid w:val="6500031A"/>
    <w:multiLevelType w:val="hybridMultilevel"/>
    <w:tmpl w:val="9900458A"/>
    <w:lvl w:ilvl="0" w:tplc="9A9489BE">
      <w:start w:val="1"/>
      <w:numFmt w:val="bullet"/>
      <w:lvlText w:val=""/>
      <w:lvlJc w:val="left"/>
      <w:pPr>
        <w:ind w:left="720" w:hanging="360"/>
      </w:pPr>
      <w:rPr>
        <w:rFonts w:ascii="Symbol" w:hAnsi="Symbol" w:hint="default"/>
      </w:rPr>
    </w:lvl>
    <w:lvl w:ilvl="1" w:tplc="DE8C35B2">
      <w:start w:val="1"/>
      <w:numFmt w:val="bullet"/>
      <w:lvlText w:val="o"/>
      <w:lvlJc w:val="left"/>
      <w:pPr>
        <w:ind w:left="1440" w:hanging="360"/>
      </w:pPr>
      <w:rPr>
        <w:rFonts w:ascii="Courier New" w:hAnsi="Courier New" w:cs="Courier New" w:hint="default"/>
      </w:rPr>
    </w:lvl>
    <w:lvl w:ilvl="2" w:tplc="5B44DB12" w:tentative="1">
      <w:start w:val="1"/>
      <w:numFmt w:val="bullet"/>
      <w:lvlText w:val=""/>
      <w:lvlJc w:val="left"/>
      <w:pPr>
        <w:ind w:left="2160" w:hanging="360"/>
      </w:pPr>
      <w:rPr>
        <w:rFonts w:ascii="Wingdings" w:hAnsi="Wingdings" w:hint="default"/>
      </w:rPr>
    </w:lvl>
    <w:lvl w:ilvl="3" w:tplc="E048AF78" w:tentative="1">
      <w:start w:val="1"/>
      <w:numFmt w:val="bullet"/>
      <w:lvlText w:val=""/>
      <w:lvlJc w:val="left"/>
      <w:pPr>
        <w:ind w:left="2880" w:hanging="360"/>
      </w:pPr>
      <w:rPr>
        <w:rFonts w:ascii="Symbol" w:hAnsi="Symbol" w:hint="default"/>
      </w:rPr>
    </w:lvl>
    <w:lvl w:ilvl="4" w:tplc="19147844" w:tentative="1">
      <w:start w:val="1"/>
      <w:numFmt w:val="bullet"/>
      <w:lvlText w:val="o"/>
      <w:lvlJc w:val="left"/>
      <w:pPr>
        <w:ind w:left="3600" w:hanging="360"/>
      </w:pPr>
      <w:rPr>
        <w:rFonts w:ascii="Courier New" w:hAnsi="Courier New" w:cs="Courier New" w:hint="default"/>
      </w:rPr>
    </w:lvl>
    <w:lvl w:ilvl="5" w:tplc="66BE0442" w:tentative="1">
      <w:start w:val="1"/>
      <w:numFmt w:val="bullet"/>
      <w:lvlText w:val=""/>
      <w:lvlJc w:val="left"/>
      <w:pPr>
        <w:ind w:left="4320" w:hanging="360"/>
      </w:pPr>
      <w:rPr>
        <w:rFonts w:ascii="Wingdings" w:hAnsi="Wingdings" w:hint="default"/>
      </w:rPr>
    </w:lvl>
    <w:lvl w:ilvl="6" w:tplc="AA88C5B4" w:tentative="1">
      <w:start w:val="1"/>
      <w:numFmt w:val="bullet"/>
      <w:lvlText w:val=""/>
      <w:lvlJc w:val="left"/>
      <w:pPr>
        <w:ind w:left="5040" w:hanging="360"/>
      </w:pPr>
      <w:rPr>
        <w:rFonts w:ascii="Symbol" w:hAnsi="Symbol" w:hint="default"/>
      </w:rPr>
    </w:lvl>
    <w:lvl w:ilvl="7" w:tplc="02025370" w:tentative="1">
      <w:start w:val="1"/>
      <w:numFmt w:val="bullet"/>
      <w:lvlText w:val="o"/>
      <w:lvlJc w:val="left"/>
      <w:pPr>
        <w:ind w:left="5760" w:hanging="360"/>
      </w:pPr>
      <w:rPr>
        <w:rFonts w:ascii="Courier New" w:hAnsi="Courier New" w:cs="Courier New" w:hint="default"/>
      </w:rPr>
    </w:lvl>
    <w:lvl w:ilvl="8" w:tplc="74FEBAF8" w:tentative="1">
      <w:start w:val="1"/>
      <w:numFmt w:val="bullet"/>
      <w:lvlText w:val=""/>
      <w:lvlJc w:val="left"/>
      <w:pPr>
        <w:ind w:left="6480" w:hanging="360"/>
      </w:pPr>
      <w:rPr>
        <w:rFonts w:ascii="Wingdings" w:hAnsi="Wingdings" w:hint="default"/>
      </w:rPr>
    </w:lvl>
  </w:abstractNum>
  <w:abstractNum w:abstractNumId="416" w15:restartNumberingAfterBreak="0">
    <w:nsid w:val="651D57EC"/>
    <w:multiLevelType w:val="multilevel"/>
    <w:tmpl w:val="81E814C6"/>
    <w:styleLink w:val="WW8Num52"/>
    <w:lvl w:ilvl="0">
      <w:start w:val="1"/>
      <w:numFmt w:val="decimal"/>
      <w:pStyle w:val="Titre31"/>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7" w15:restartNumberingAfterBreak="0">
    <w:nsid w:val="651E0297"/>
    <w:multiLevelType w:val="hybridMultilevel"/>
    <w:tmpl w:val="233E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8" w15:restartNumberingAfterBreak="0">
    <w:nsid w:val="65791901"/>
    <w:multiLevelType w:val="hybridMultilevel"/>
    <w:tmpl w:val="C76055E8"/>
    <w:lvl w:ilvl="0" w:tplc="04090005">
      <w:start w:val="1"/>
      <w:numFmt w:val="bullet"/>
      <w:lvlText w:val=""/>
      <w:lvlJc w:val="left"/>
      <w:pPr>
        <w:ind w:left="720" w:hanging="360"/>
      </w:pPr>
      <w:rPr>
        <w:rFonts w:ascii="Wingdings" w:hAnsi="Wingdings"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9" w15:restartNumberingAfterBreak="0">
    <w:nsid w:val="661F051C"/>
    <w:multiLevelType w:val="hybridMultilevel"/>
    <w:tmpl w:val="45984F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0"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421" w15:restartNumberingAfterBreak="0">
    <w:nsid w:val="66342BBE"/>
    <w:multiLevelType w:val="multilevel"/>
    <w:tmpl w:val="915C2340"/>
    <w:styleLink w:val="WW8Num12"/>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22"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423" w15:restartNumberingAfterBreak="0">
    <w:nsid w:val="66DC65D5"/>
    <w:multiLevelType w:val="hybridMultilevel"/>
    <w:tmpl w:val="ACB66B5E"/>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24" w15:restartNumberingAfterBreak="0">
    <w:nsid w:val="671F6380"/>
    <w:multiLevelType w:val="hybridMultilevel"/>
    <w:tmpl w:val="E034C1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15:restartNumberingAfterBreak="0">
    <w:nsid w:val="672C571B"/>
    <w:multiLevelType w:val="hybridMultilevel"/>
    <w:tmpl w:val="EF46E742"/>
    <w:lvl w:ilvl="0" w:tplc="6C92954A">
      <w:start w:val="1"/>
      <w:numFmt w:val="bullet"/>
      <w:lvlText w:val=""/>
      <w:lvlJc w:val="left"/>
      <w:pPr>
        <w:ind w:left="360" w:hanging="360"/>
      </w:pPr>
      <w:rPr>
        <w:rFonts w:ascii="Symbol" w:hAnsi="Symbol" w:hint="default"/>
        <w:sz w:val="18"/>
        <w:szCs w:val="18"/>
      </w:rPr>
    </w:lvl>
    <w:lvl w:ilvl="1" w:tplc="CA5A8BFE" w:tentative="1">
      <w:start w:val="1"/>
      <w:numFmt w:val="bullet"/>
      <w:lvlText w:val="o"/>
      <w:lvlJc w:val="left"/>
      <w:pPr>
        <w:ind w:left="1080" w:hanging="360"/>
      </w:pPr>
      <w:rPr>
        <w:rFonts w:ascii="Courier New" w:hAnsi="Courier New" w:cs="Courier New" w:hint="default"/>
      </w:rPr>
    </w:lvl>
    <w:lvl w:ilvl="2" w:tplc="31142CE6" w:tentative="1">
      <w:start w:val="1"/>
      <w:numFmt w:val="bullet"/>
      <w:lvlText w:val=""/>
      <w:lvlJc w:val="left"/>
      <w:pPr>
        <w:ind w:left="1800" w:hanging="360"/>
      </w:pPr>
      <w:rPr>
        <w:rFonts w:ascii="Wingdings" w:hAnsi="Wingdings" w:hint="default"/>
      </w:rPr>
    </w:lvl>
    <w:lvl w:ilvl="3" w:tplc="FCDC0A64" w:tentative="1">
      <w:start w:val="1"/>
      <w:numFmt w:val="bullet"/>
      <w:lvlText w:val=""/>
      <w:lvlJc w:val="left"/>
      <w:pPr>
        <w:ind w:left="2520" w:hanging="360"/>
      </w:pPr>
      <w:rPr>
        <w:rFonts w:ascii="Symbol" w:hAnsi="Symbol" w:hint="default"/>
      </w:rPr>
    </w:lvl>
    <w:lvl w:ilvl="4" w:tplc="0A8029B6" w:tentative="1">
      <w:start w:val="1"/>
      <w:numFmt w:val="bullet"/>
      <w:lvlText w:val="o"/>
      <w:lvlJc w:val="left"/>
      <w:pPr>
        <w:ind w:left="3240" w:hanging="360"/>
      </w:pPr>
      <w:rPr>
        <w:rFonts w:ascii="Courier New" w:hAnsi="Courier New" w:cs="Courier New" w:hint="default"/>
      </w:rPr>
    </w:lvl>
    <w:lvl w:ilvl="5" w:tplc="97A4E900" w:tentative="1">
      <w:start w:val="1"/>
      <w:numFmt w:val="bullet"/>
      <w:lvlText w:val=""/>
      <w:lvlJc w:val="left"/>
      <w:pPr>
        <w:ind w:left="3960" w:hanging="360"/>
      </w:pPr>
      <w:rPr>
        <w:rFonts w:ascii="Wingdings" w:hAnsi="Wingdings" w:hint="default"/>
      </w:rPr>
    </w:lvl>
    <w:lvl w:ilvl="6" w:tplc="2B141652" w:tentative="1">
      <w:start w:val="1"/>
      <w:numFmt w:val="bullet"/>
      <w:lvlText w:val=""/>
      <w:lvlJc w:val="left"/>
      <w:pPr>
        <w:ind w:left="4680" w:hanging="360"/>
      </w:pPr>
      <w:rPr>
        <w:rFonts w:ascii="Symbol" w:hAnsi="Symbol" w:hint="default"/>
      </w:rPr>
    </w:lvl>
    <w:lvl w:ilvl="7" w:tplc="86BEAE88" w:tentative="1">
      <w:start w:val="1"/>
      <w:numFmt w:val="bullet"/>
      <w:lvlText w:val="o"/>
      <w:lvlJc w:val="left"/>
      <w:pPr>
        <w:ind w:left="5400" w:hanging="360"/>
      </w:pPr>
      <w:rPr>
        <w:rFonts w:ascii="Courier New" w:hAnsi="Courier New" w:cs="Courier New" w:hint="default"/>
      </w:rPr>
    </w:lvl>
    <w:lvl w:ilvl="8" w:tplc="355EBF84" w:tentative="1">
      <w:start w:val="1"/>
      <w:numFmt w:val="bullet"/>
      <w:lvlText w:val=""/>
      <w:lvlJc w:val="left"/>
      <w:pPr>
        <w:ind w:left="6120" w:hanging="360"/>
      </w:pPr>
      <w:rPr>
        <w:rFonts w:ascii="Wingdings" w:hAnsi="Wingdings" w:hint="default"/>
      </w:rPr>
    </w:lvl>
  </w:abstractNum>
  <w:abstractNum w:abstractNumId="426"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27" w15:restartNumberingAfterBreak="0">
    <w:nsid w:val="678C2B2E"/>
    <w:multiLevelType w:val="hybridMultilevel"/>
    <w:tmpl w:val="0548025A"/>
    <w:name w:val="Tiret 0"/>
    <w:lvl w:ilvl="0" w:tplc="FFFFFFFF">
      <w:start w:val="1"/>
      <w:numFmt w:val="bullet"/>
      <w:lvlText w:val=""/>
      <w:lvlJc w:val="left"/>
      <w:pPr>
        <w:tabs>
          <w:tab w:val="num" w:pos="397"/>
        </w:tabs>
        <w:ind w:left="397" w:hanging="397"/>
      </w:pPr>
      <w:rPr>
        <w:rFonts w:ascii="Symbol" w:hAnsi="Symbol" w:hint="default"/>
        <w:sz w:val="22"/>
        <w:szCs w:val="22"/>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28" w15:restartNumberingAfterBreak="0">
    <w:nsid w:val="68096124"/>
    <w:multiLevelType w:val="multilevel"/>
    <w:tmpl w:val="C596A632"/>
    <w:styleLink w:val="WW8Num43"/>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29" w15:restartNumberingAfterBreak="0">
    <w:nsid w:val="68E96D6A"/>
    <w:multiLevelType w:val="hybridMultilevel"/>
    <w:tmpl w:val="6F9AE2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15:restartNumberingAfterBreak="0">
    <w:nsid w:val="68F014E9"/>
    <w:multiLevelType w:val="hybridMultilevel"/>
    <w:tmpl w:val="C8A885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15:restartNumberingAfterBreak="0">
    <w:nsid w:val="68FE1D87"/>
    <w:multiLevelType w:val="hybridMultilevel"/>
    <w:tmpl w:val="0950A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15:restartNumberingAfterBreak="0">
    <w:nsid w:val="6926121D"/>
    <w:multiLevelType w:val="hybridMultilevel"/>
    <w:tmpl w:val="38DA95D0"/>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433" w15:restartNumberingAfterBreak="0">
    <w:nsid w:val="69F82811"/>
    <w:multiLevelType w:val="hybridMultilevel"/>
    <w:tmpl w:val="84B0E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15:restartNumberingAfterBreak="0">
    <w:nsid w:val="69FA70FB"/>
    <w:multiLevelType w:val="hybridMultilevel"/>
    <w:tmpl w:val="5DFCFD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5" w15:restartNumberingAfterBreak="0">
    <w:nsid w:val="69FB0523"/>
    <w:multiLevelType w:val="hybridMultilevel"/>
    <w:tmpl w:val="9998D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15:restartNumberingAfterBreak="0">
    <w:nsid w:val="6A383DB8"/>
    <w:multiLevelType w:val="hybridMultilevel"/>
    <w:tmpl w:val="09788F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7" w15:restartNumberingAfterBreak="0">
    <w:nsid w:val="6A6901C1"/>
    <w:multiLevelType w:val="singleLevel"/>
    <w:tmpl w:val="208841AE"/>
    <w:name w:val="List Bullet 1"/>
    <w:lvl w:ilvl="0">
      <w:start w:val="1"/>
      <w:numFmt w:val="bullet"/>
      <w:lvlRestart w:val="0"/>
      <w:lvlText w:val=""/>
      <w:lvlJc w:val="left"/>
      <w:pPr>
        <w:tabs>
          <w:tab w:val="num" w:pos="1134"/>
        </w:tabs>
        <w:ind w:left="1134" w:hanging="283"/>
      </w:pPr>
      <w:rPr>
        <w:rFonts w:ascii="Symbol" w:hAnsi="Symbol" w:hint="default"/>
      </w:rPr>
    </w:lvl>
  </w:abstractNum>
  <w:abstractNum w:abstractNumId="438" w15:restartNumberingAfterBreak="0">
    <w:nsid w:val="6A6B6919"/>
    <w:multiLevelType w:val="hybridMultilevel"/>
    <w:tmpl w:val="45AAE2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6A917A5B"/>
    <w:multiLevelType w:val="hybridMultilevel"/>
    <w:tmpl w:val="C81C6B46"/>
    <w:lvl w:ilvl="0" w:tplc="04090005">
      <w:start w:val="1"/>
      <w:numFmt w:val="bullet"/>
      <w:lvlText w:val=""/>
      <w:lvlJc w:val="left"/>
      <w:pPr>
        <w:ind w:left="360" w:hanging="360"/>
      </w:pPr>
      <w:rPr>
        <w:rFonts w:ascii="Wingdings" w:hAnsi="Wingdings" w:hint="default"/>
      </w:rPr>
    </w:lvl>
    <w:lvl w:ilvl="1" w:tplc="D01C70BA">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0" w15:restartNumberingAfterBreak="0">
    <w:nsid w:val="6ABA2B89"/>
    <w:multiLevelType w:val="hybridMultilevel"/>
    <w:tmpl w:val="E33E4E94"/>
    <w:lvl w:ilvl="0" w:tplc="44F00050">
      <w:start w:val="1"/>
      <w:numFmt w:val="bullet"/>
      <w:lvlText w:val="-"/>
      <w:lvlJc w:val="left"/>
      <w:pPr>
        <w:tabs>
          <w:tab w:val="num" w:pos="720"/>
        </w:tabs>
        <w:ind w:left="720" w:hanging="360"/>
      </w:pPr>
      <w:rPr>
        <w:rFonts w:ascii="Verdana" w:eastAsia="Times New Roman" w:hAnsi="Verdana" w:cs="Times New Roman" w:hint="default"/>
      </w:rPr>
    </w:lvl>
    <w:lvl w:ilvl="1" w:tplc="687A8020">
      <w:start w:val="1"/>
      <w:numFmt w:val="bullet"/>
      <w:lvlText w:val="-"/>
      <w:lvlJc w:val="left"/>
      <w:pPr>
        <w:tabs>
          <w:tab w:val="num" w:pos="1440"/>
        </w:tabs>
        <w:ind w:left="1440" w:hanging="360"/>
      </w:pPr>
      <w:rPr>
        <w:rFonts w:ascii="Verdana" w:eastAsia="Times New Roman" w:hAnsi="Verdana"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1" w15:restartNumberingAfterBreak="0">
    <w:nsid w:val="6ABF6B25"/>
    <w:multiLevelType w:val="hybridMultilevel"/>
    <w:tmpl w:val="84CAC774"/>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42" w15:restartNumberingAfterBreak="0">
    <w:nsid w:val="6B1731E7"/>
    <w:multiLevelType w:val="hybridMultilevel"/>
    <w:tmpl w:val="6DC0E008"/>
    <w:lvl w:ilvl="0" w:tplc="04090005">
      <w:start w:val="1"/>
      <w:numFmt w:val="bullet"/>
      <w:lvlText w:val=""/>
      <w:lvlJc w:val="left"/>
      <w:pPr>
        <w:ind w:left="720" w:hanging="360"/>
      </w:pPr>
      <w:rPr>
        <w:rFonts w:ascii="Wingdings" w:hAnsi="Wingdings"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3" w15:restartNumberingAfterBreak="0">
    <w:nsid w:val="6B4E6344"/>
    <w:multiLevelType w:val="hybridMultilevel"/>
    <w:tmpl w:val="CA76C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15:restartNumberingAfterBreak="0">
    <w:nsid w:val="6B740E8A"/>
    <w:multiLevelType w:val="hybridMultilevel"/>
    <w:tmpl w:val="D592F3D0"/>
    <w:lvl w:ilvl="0" w:tplc="E9A85424">
      <w:start w:val="1"/>
      <w:numFmt w:val="bullet"/>
      <w:lvlText w:val="o"/>
      <w:lvlJc w:val="left"/>
      <w:pPr>
        <w:ind w:left="2149" w:hanging="360"/>
      </w:pPr>
      <w:rPr>
        <w:rFonts w:ascii="Courier New" w:hAnsi="Courier New" w:cs="Courier New" w:hint="default"/>
      </w:rPr>
    </w:lvl>
    <w:lvl w:ilvl="1" w:tplc="47808F50" w:tentative="1">
      <w:start w:val="1"/>
      <w:numFmt w:val="bullet"/>
      <w:lvlText w:val="o"/>
      <w:lvlJc w:val="left"/>
      <w:pPr>
        <w:ind w:left="2869" w:hanging="360"/>
      </w:pPr>
      <w:rPr>
        <w:rFonts w:ascii="Courier New" w:hAnsi="Courier New" w:cs="Courier New" w:hint="default"/>
      </w:rPr>
    </w:lvl>
    <w:lvl w:ilvl="2" w:tplc="6736FA60" w:tentative="1">
      <w:start w:val="1"/>
      <w:numFmt w:val="bullet"/>
      <w:lvlText w:val=""/>
      <w:lvlJc w:val="left"/>
      <w:pPr>
        <w:ind w:left="3589" w:hanging="360"/>
      </w:pPr>
      <w:rPr>
        <w:rFonts w:ascii="Wingdings" w:hAnsi="Wingdings" w:hint="default"/>
      </w:rPr>
    </w:lvl>
    <w:lvl w:ilvl="3" w:tplc="DDF47A20" w:tentative="1">
      <w:start w:val="1"/>
      <w:numFmt w:val="bullet"/>
      <w:lvlText w:val=""/>
      <w:lvlJc w:val="left"/>
      <w:pPr>
        <w:ind w:left="4309" w:hanging="360"/>
      </w:pPr>
      <w:rPr>
        <w:rFonts w:ascii="Symbol" w:hAnsi="Symbol" w:hint="default"/>
      </w:rPr>
    </w:lvl>
    <w:lvl w:ilvl="4" w:tplc="79D8E00E" w:tentative="1">
      <w:start w:val="1"/>
      <w:numFmt w:val="bullet"/>
      <w:lvlText w:val="o"/>
      <w:lvlJc w:val="left"/>
      <w:pPr>
        <w:ind w:left="5029" w:hanging="360"/>
      </w:pPr>
      <w:rPr>
        <w:rFonts w:ascii="Courier New" w:hAnsi="Courier New" w:cs="Courier New" w:hint="default"/>
      </w:rPr>
    </w:lvl>
    <w:lvl w:ilvl="5" w:tplc="11DA5B06" w:tentative="1">
      <w:start w:val="1"/>
      <w:numFmt w:val="bullet"/>
      <w:lvlText w:val=""/>
      <w:lvlJc w:val="left"/>
      <w:pPr>
        <w:ind w:left="5749" w:hanging="360"/>
      </w:pPr>
      <w:rPr>
        <w:rFonts w:ascii="Wingdings" w:hAnsi="Wingdings" w:hint="default"/>
      </w:rPr>
    </w:lvl>
    <w:lvl w:ilvl="6" w:tplc="680E76C0" w:tentative="1">
      <w:start w:val="1"/>
      <w:numFmt w:val="bullet"/>
      <w:lvlText w:val=""/>
      <w:lvlJc w:val="left"/>
      <w:pPr>
        <w:ind w:left="6469" w:hanging="360"/>
      </w:pPr>
      <w:rPr>
        <w:rFonts w:ascii="Symbol" w:hAnsi="Symbol" w:hint="default"/>
      </w:rPr>
    </w:lvl>
    <w:lvl w:ilvl="7" w:tplc="059E017E" w:tentative="1">
      <w:start w:val="1"/>
      <w:numFmt w:val="bullet"/>
      <w:lvlText w:val="o"/>
      <w:lvlJc w:val="left"/>
      <w:pPr>
        <w:ind w:left="7189" w:hanging="360"/>
      </w:pPr>
      <w:rPr>
        <w:rFonts w:ascii="Courier New" w:hAnsi="Courier New" w:cs="Courier New" w:hint="default"/>
      </w:rPr>
    </w:lvl>
    <w:lvl w:ilvl="8" w:tplc="868647F2" w:tentative="1">
      <w:start w:val="1"/>
      <w:numFmt w:val="bullet"/>
      <w:lvlText w:val=""/>
      <w:lvlJc w:val="left"/>
      <w:pPr>
        <w:ind w:left="7909" w:hanging="360"/>
      </w:pPr>
      <w:rPr>
        <w:rFonts w:ascii="Wingdings" w:hAnsi="Wingdings" w:hint="default"/>
      </w:rPr>
    </w:lvl>
  </w:abstractNum>
  <w:abstractNum w:abstractNumId="445" w15:restartNumberingAfterBreak="0">
    <w:nsid w:val="6BB26A57"/>
    <w:multiLevelType w:val="hybridMultilevel"/>
    <w:tmpl w:val="ADAE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6" w15:restartNumberingAfterBreak="0">
    <w:nsid w:val="6C042B95"/>
    <w:multiLevelType w:val="hybridMultilevel"/>
    <w:tmpl w:val="826015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7" w15:restartNumberingAfterBreak="0">
    <w:nsid w:val="6C2B09AC"/>
    <w:multiLevelType w:val="hybridMultilevel"/>
    <w:tmpl w:val="99CC9C80"/>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48" w15:restartNumberingAfterBreak="0">
    <w:nsid w:val="6C9D06BB"/>
    <w:multiLevelType w:val="multilevel"/>
    <w:tmpl w:val="A2F2B56E"/>
    <w:styleLink w:val="WW8Num42"/>
    <w:lvl w:ilvl="0">
      <w:numFmt w:val="bullet"/>
      <w:lvlText w:val="–"/>
      <w:lvlJc w:val="left"/>
      <w:pPr>
        <w:ind w:left="765"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9" w15:restartNumberingAfterBreak="0">
    <w:nsid w:val="6CF128A6"/>
    <w:multiLevelType w:val="hybridMultilevel"/>
    <w:tmpl w:val="2316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15:restartNumberingAfterBreak="0">
    <w:nsid w:val="6CFE1477"/>
    <w:multiLevelType w:val="hybridMultilevel"/>
    <w:tmpl w:val="9D60E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15:restartNumberingAfterBreak="0">
    <w:nsid w:val="6D1A5DAC"/>
    <w:multiLevelType w:val="hybridMultilevel"/>
    <w:tmpl w:val="CD9A47D2"/>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52" w15:restartNumberingAfterBreak="0">
    <w:nsid w:val="6D7D2ED8"/>
    <w:multiLevelType w:val="hybridMultilevel"/>
    <w:tmpl w:val="AB1A92EC"/>
    <w:lvl w:ilvl="0" w:tplc="FFFFFFFF">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3" w15:restartNumberingAfterBreak="0">
    <w:nsid w:val="6DD37CA0"/>
    <w:multiLevelType w:val="hybridMultilevel"/>
    <w:tmpl w:val="B3DC7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6E224DD1"/>
    <w:multiLevelType w:val="hybridMultilevel"/>
    <w:tmpl w:val="1BF275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6E452018"/>
    <w:multiLevelType w:val="hybridMultilevel"/>
    <w:tmpl w:val="E3DC345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6"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457" w15:restartNumberingAfterBreak="0">
    <w:nsid w:val="6E7E1945"/>
    <w:multiLevelType w:val="hybridMultilevel"/>
    <w:tmpl w:val="C28270DE"/>
    <w:lvl w:ilvl="0" w:tplc="44F00050">
      <w:start w:val="1"/>
      <w:numFmt w:val="bullet"/>
      <w:lvlText w:val="-"/>
      <w:lvlJc w:val="left"/>
      <w:pPr>
        <w:tabs>
          <w:tab w:val="num" w:pos="720"/>
        </w:tabs>
        <w:ind w:left="720" w:hanging="360"/>
      </w:pPr>
      <w:rPr>
        <w:rFonts w:ascii="Verdana" w:eastAsia="Times New Roman" w:hAnsi="Verdana" w:cs="Times New Roman" w:hint="default"/>
      </w:rPr>
    </w:lvl>
    <w:lvl w:ilvl="1" w:tplc="687A8020">
      <w:start w:val="1"/>
      <w:numFmt w:val="bullet"/>
      <w:lvlText w:val="-"/>
      <w:lvlJc w:val="left"/>
      <w:pPr>
        <w:tabs>
          <w:tab w:val="num" w:pos="1440"/>
        </w:tabs>
        <w:ind w:left="1440" w:hanging="360"/>
      </w:pPr>
      <w:rPr>
        <w:rFonts w:ascii="Verdana" w:eastAsia="Times New Roman" w:hAnsi="Verdana"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8" w15:restartNumberingAfterBreak="0">
    <w:nsid w:val="6ECC5C67"/>
    <w:multiLevelType w:val="hybridMultilevel"/>
    <w:tmpl w:val="2B5E192E"/>
    <w:lvl w:ilvl="0" w:tplc="FB046C00">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59" w15:restartNumberingAfterBreak="0">
    <w:nsid w:val="6EF569C0"/>
    <w:multiLevelType w:val="hybridMultilevel"/>
    <w:tmpl w:val="83D2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6EFD3166"/>
    <w:multiLevelType w:val="hybridMultilevel"/>
    <w:tmpl w:val="C7CEA1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15:restartNumberingAfterBreak="0">
    <w:nsid w:val="6F304DF0"/>
    <w:multiLevelType w:val="hybridMultilevel"/>
    <w:tmpl w:val="6778F18C"/>
    <w:lvl w:ilvl="0" w:tplc="FFFFFFFF">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2" w15:restartNumberingAfterBreak="0">
    <w:nsid w:val="712C7C4A"/>
    <w:multiLevelType w:val="hybridMultilevel"/>
    <w:tmpl w:val="E26C01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7149574E"/>
    <w:multiLevelType w:val="hybridMultilevel"/>
    <w:tmpl w:val="30CC4B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4" w15:restartNumberingAfterBreak="0">
    <w:nsid w:val="714C4BF5"/>
    <w:multiLevelType w:val="hybridMultilevel"/>
    <w:tmpl w:val="8796F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5" w15:restartNumberingAfterBreak="0">
    <w:nsid w:val="71632F4A"/>
    <w:multiLevelType w:val="hybridMultilevel"/>
    <w:tmpl w:val="D5A0E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6" w15:restartNumberingAfterBreak="0">
    <w:nsid w:val="71813FAE"/>
    <w:multiLevelType w:val="hybridMultilevel"/>
    <w:tmpl w:val="4984B4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71965A77"/>
    <w:multiLevelType w:val="hybridMultilevel"/>
    <w:tmpl w:val="AE98B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8" w15:restartNumberingAfterBreak="0">
    <w:nsid w:val="71BB6F7A"/>
    <w:multiLevelType w:val="hybridMultilevel"/>
    <w:tmpl w:val="B52A8A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9" w15:restartNumberingAfterBreak="0">
    <w:nsid w:val="71DF4726"/>
    <w:multiLevelType w:val="hybridMultilevel"/>
    <w:tmpl w:val="A0124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15:restartNumberingAfterBreak="0">
    <w:nsid w:val="71F043F9"/>
    <w:multiLevelType w:val="hybridMultilevel"/>
    <w:tmpl w:val="D53E5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1" w15:restartNumberingAfterBreak="0">
    <w:nsid w:val="723D4F85"/>
    <w:multiLevelType w:val="hybridMultilevel"/>
    <w:tmpl w:val="EDAE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2" w15:restartNumberingAfterBreak="0">
    <w:nsid w:val="725F70F7"/>
    <w:multiLevelType w:val="hybridMultilevel"/>
    <w:tmpl w:val="1CE0308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3" w15:restartNumberingAfterBreak="0">
    <w:nsid w:val="72753719"/>
    <w:multiLevelType w:val="hybridMultilevel"/>
    <w:tmpl w:val="13449DA8"/>
    <w:lvl w:ilvl="0" w:tplc="0818DA10">
      <w:start w:val="1"/>
      <w:numFmt w:val="bullet"/>
      <w:lvlText w:val=""/>
      <w:lvlJc w:val="left"/>
      <w:pPr>
        <w:ind w:left="360" w:hanging="360"/>
      </w:pPr>
      <w:rPr>
        <w:rFonts w:ascii="Symbol" w:hAnsi="Symbol" w:hint="default"/>
      </w:rPr>
    </w:lvl>
    <w:lvl w:ilvl="1" w:tplc="451E2352" w:tentative="1">
      <w:start w:val="1"/>
      <w:numFmt w:val="bullet"/>
      <w:lvlText w:val="o"/>
      <w:lvlJc w:val="left"/>
      <w:pPr>
        <w:ind w:left="1080" w:hanging="360"/>
      </w:pPr>
      <w:rPr>
        <w:rFonts w:ascii="Courier New" w:hAnsi="Courier New" w:cs="Courier New" w:hint="default"/>
      </w:rPr>
    </w:lvl>
    <w:lvl w:ilvl="2" w:tplc="428E917E" w:tentative="1">
      <w:start w:val="1"/>
      <w:numFmt w:val="bullet"/>
      <w:lvlText w:val=""/>
      <w:lvlJc w:val="left"/>
      <w:pPr>
        <w:ind w:left="1800" w:hanging="360"/>
      </w:pPr>
      <w:rPr>
        <w:rFonts w:ascii="Wingdings" w:hAnsi="Wingdings" w:hint="default"/>
      </w:rPr>
    </w:lvl>
    <w:lvl w:ilvl="3" w:tplc="FE209D10" w:tentative="1">
      <w:start w:val="1"/>
      <w:numFmt w:val="bullet"/>
      <w:lvlText w:val=""/>
      <w:lvlJc w:val="left"/>
      <w:pPr>
        <w:ind w:left="2520" w:hanging="360"/>
      </w:pPr>
      <w:rPr>
        <w:rFonts w:ascii="Symbol" w:hAnsi="Symbol" w:hint="default"/>
      </w:rPr>
    </w:lvl>
    <w:lvl w:ilvl="4" w:tplc="EFAAED14" w:tentative="1">
      <w:start w:val="1"/>
      <w:numFmt w:val="bullet"/>
      <w:lvlText w:val="o"/>
      <w:lvlJc w:val="left"/>
      <w:pPr>
        <w:ind w:left="3240" w:hanging="360"/>
      </w:pPr>
      <w:rPr>
        <w:rFonts w:ascii="Courier New" w:hAnsi="Courier New" w:cs="Courier New" w:hint="default"/>
      </w:rPr>
    </w:lvl>
    <w:lvl w:ilvl="5" w:tplc="E0221436" w:tentative="1">
      <w:start w:val="1"/>
      <w:numFmt w:val="bullet"/>
      <w:lvlText w:val=""/>
      <w:lvlJc w:val="left"/>
      <w:pPr>
        <w:ind w:left="3960" w:hanging="360"/>
      </w:pPr>
      <w:rPr>
        <w:rFonts w:ascii="Wingdings" w:hAnsi="Wingdings" w:hint="default"/>
      </w:rPr>
    </w:lvl>
    <w:lvl w:ilvl="6" w:tplc="B48014AE" w:tentative="1">
      <w:start w:val="1"/>
      <w:numFmt w:val="bullet"/>
      <w:lvlText w:val=""/>
      <w:lvlJc w:val="left"/>
      <w:pPr>
        <w:ind w:left="4680" w:hanging="360"/>
      </w:pPr>
      <w:rPr>
        <w:rFonts w:ascii="Symbol" w:hAnsi="Symbol" w:hint="default"/>
      </w:rPr>
    </w:lvl>
    <w:lvl w:ilvl="7" w:tplc="B538C2D4" w:tentative="1">
      <w:start w:val="1"/>
      <w:numFmt w:val="bullet"/>
      <w:lvlText w:val="o"/>
      <w:lvlJc w:val="left"/>
      <w:pPr>
        <w:ind w:left="5400" w:hanging="360"/>
      </w:pPr>
      <w:rPr>
        <w:rFonts w:ascii="Courier New" w:hAnsi="Courier New" w:cs="Courier New" w:hint="default"/>
      </w:rPr>
    </w:lvl>
    <w:lvl w:ilvl="8" w:tplc="E0C0B97A" w:tentative="1">
      <w:start w:val="1"/>
      <w:numFmt w:val="bullet"/>
      <w:lvlText w:val=""/>
      <w:lvlJc w:val="left"/>
      <w:pPr>
        <w:ind w:left="6120" w:hanging="360"/>
      </w:pPr>
      <w:rPr>
        <w:rFonts w:ascii="Wingdings" w:hAnsi="Wingdings" w:hint="default"/>
      </w:rPr>
    </w:lvl>
  </w:abstractNum>
  <w:abstractNum w:abstractNumId="474" w15:restartNumberingAfterBreak="0">
    <w:nsid w:val="73140822"/>
    <w:multiLevelType w:val="hybridMultilevel"/>
    <w:tmpl w:val="4E00A8EE"/>
    <w:lvl w:ilvl="0" w:tplc="687A8020">
      <w:start w:val="1"/>
      <w:numFmt w:val="bullet"/>
      <w:lvlText w:val="-"/>
      <w:lvlJc w:val="left"/>
      <w:pPr>
        <w:tabs>
          <w:tab w:val="num" w:pos="720"/>
        </w:tabs>
        <w:ind w:left="720" w:hanging="360"/>
      </w:pPr>
      <w:rPr>
        <w:rFonts w:ascii="Verdana" w:eastAsia="Times New Roman" w:hAnsi="Verdana"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75" w15:restartNumberingAfterBreak="0">
    <w:nsid w:val="73432F4E"/>
    <w:multiLevelType w:val="hybridMultilevel"/>
    <w:tmpl w:val="05A294D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6" w15:restartNumberingAfterBreak="0">
    <w:nsid w:val="73537F6B"/>
    <w:multiLevelType w:val="hybridMultilevel"/>
    <w:tmpl w:val="058C46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7" w15:restartNumberingAfterBreak="0">
    <w:nsid w:val="738D46B3"/>
    <w:multiLevelType w:val="hybridMultilevel"/>
    <w:tmpl w:val="2DDA5BAC"/>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78" w15:restartNumberingAfterBreak="0">
    <w:nsid w:val="740D738B"/>
    <w:multiLevelType w:val="hybridMultilevel"/>
    <w:tmpl w:val="47F88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9" w15:restartNumberingAfterBreak="0">
    <w:nsid w:val="742632B4"/>
    <w:multiLevelType w:val="hybridMultilevel"/>
    <w:tmpl w:val="9F2E33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15:restartNumberingAfterBreak="0">
    <w:nsid w:val="74B8115D"/>
    <w:multiLevelType w:val="multilevel"/>
    <w:tmpl w:val="9926BCD8"/>
    <w:styleLink w:val="WW8Num49"/>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81" w15:restartNumberingAfterBreak="0">
    <w:nsid w:val="74EF3619"/>
    <w:multiLevelType w:val="hybridMultilevel"/>
    <w:tmpl w:val="372AA4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754F15FC"/>
    <w:multiLevelType w:val="hybridMultilevel"/>
    <w:tmpl w:val="241A46F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3" w15:restartNumberingAfterBreak="0">
    <w:nsid w:val="7553396F"/>
    <w:multiLevelType w:val="hybridMultilevel"/>
    <w:tmpl w:val="2EDACDD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4" w15:restartNumberingAfterBreak="0">
    <w:nsid w:val="75C263FE"/>
    <w:multiLevelType w:val="hybridMultilevel"/>
    <w:tmpl w:val="AFE42DAE"/>
    <w:lvl w:ilvl="0" w:tplc="923C9B8E">
      <w:numFmt w:val="bullet"/>
      <w:lvlText w:val="-"/>
      <w:lvlJc w:val="left"/>
      <w:pPr>
        <w:ind w:left="360" w:hanging="360"/>
      </w:pPr>
      <w:rPr>
        <w:rFonts w:ascii="Calibri" w:eastAsia="Times New Roman" w:hAnsi="Calibri"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5" w15:restartNumberingAfterBreak="0">
    <w:nsid w:val="76817345"/>
    <w:multiLevelType w:val="hybridMultilevel"/>
    <w:tmpl w:val="D8AA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6" w15:restartNumberingAfterBreak="0">
    <w:nsid w:val="76F02794"/>
    <w:multiLevelType w:val="hybridMultilevel"/>
    <w:tmpl w:val="2C5C232A"/>
    <w:lvl w:ilvl="0" w:tplc="04090005">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87" w15:restartNumberingAfterBreak="0">
    <w:nsid w:val="775D08DE"/>
    <w:multiLevelType w:val="hybridMultilevel"/>
    <w:tmpl w:val="D994AB2C"/>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88" w15:restartNumberingAfterBreak="0">
    <w:nsid w:val="77694D20"/>
    <w:multiLevelType w:val="hybridMultilevel"/>
    <w:tmpl w:val="21089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9" w15:restartNumberingAfterBreak="0">
    <w:nsid w:val="778F7A3F"/>
    <w:multiLevelType w:val="hybridMultilevel"/>
    <w:tmpl w:val="38628D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0" w15:restartNumberingAfterBreak="0">
    <w:nsid w:val="77943731"/>
    <w:multiLevelType w:val="hybridMultilevel"/>
    <w:tmpl w:val="4162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1" w15:restartNumberingAfterBreak="0">
    <w:nsid w:val="78245F1A"/>
    <w:multiLevelType w:val="hybridMultilevel"/>
    <w:tmpl w:val="506C99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2" w15:restartNumberingAfterBreak="0">
    <w:nsid w:val="785B01C5"/>
    <w:multiLevelType w:val="hybridMultilevel"/>
    <w:tmpl w:val="2F589EC0"/>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93" w15:restartNumberingAfterBreak="0">
    <w:nsid w:val="78826DDB"/>
    <w:multiLevelType w:val="hybridMultilevel"/>
    <w:tmpl w:val="8472761A"/>
    <w:lvl w:ilvl="0" w:tplc="FFFFFFFF">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4" w15:restartNumberingAfterBreak="0">
    <w:nsid w:val="78D0196B"/>
    <w:multiLevelType w:val="multilevel"/>
    <w:tmpl w:val="BE4C1AEA"/>
    <w:styleLink w:val="WW8Num21"/>
    <w:lvl w:ilvl="0">
      <w:start w:val="1"/>
      <w:numFmt w:val="decimal"/>
      <w:lvlText w:val="(%1)"/>
      <w:lvlJc w:val="left"/>
      <w:pPr>
        <w:ind w:left="1429" w:hanging="709"/>
      </w:pPr>
    </w:lvl>
    <w:lvl w:ilvl="1">
      <w:start w:val="1"/>
      <w:numFmt w:val="lowerLetter"/>
      <w:lvlText w:val="(%2)"/>
      <w:lvlJc w:val="left"/>
      <w:pPr>
        <w:ind w:left="2137" w:hanging="708"/>
      </w:pPr>
    </w:lvl>
    <w:lvl w:ilvl="2">
      <w:numFmt w:val="bullet"/>
      <w:lvlText w:val="–"/>
      <w:lvlJc w:val="left"/>
      <w:pPr>
        <w:ind w:left="2846" w:hanging="709"/>
      </w:pPr>
      <w:rPr>
        <w:rFonts w:ascii="Times New Roman" w:hAnsi="Times New Roman"/>
      </w:rPr>
    </w:lvl>
    <w:lvl w:ilvl="3">
      <w:numFmt w:val="bullet"/>
      <w:lvlText w:val=""/>
      <w:lvlJc w:val="left"/>
      <w:pPr>
        <w:ind w:left="3555" w:hanging="709"/>
      </w:pPr>
      <w:rPr>
        <w:rFonts w:ascii="Symbol" w:hAnsi="Symbol"/>
      </w:rPr>
    </w:lvl>
    <w:lvl w:ilvl="4">
      <w:start w:val="1"/>
      <w:numFmt w:val="lowerLetter"/>
      <w:lvlText w:val="(%5)"/>
      <w:lvlJc w:val="left"/>
      <w:pPr>
        <w:ind w:left="2038" w:hanging="360"/>
      </w:pPr>
    </w:lvl>
    <w:lvl w:ilvl="5">
      <w:start w:val="1"/>
      <w:numFmt w:val="lowerRoman"/>
      <w:lvlText w:val="(%6)"/>
      <w:lvlJc w:val="left"/>
      <w:pPr>
        <w:ind w:left="2398" w:hanging="360"/>
      </w:pPr>
    </w:lvl>
    <w:lvl w:ilvl="6">
      <w:start w:val="1"/>
      <w:numFmt w:val="decimal"/>
      <w:lvlText w:val="%7."/>
      <w:lvlJc w:val="left"/>
      <w:pPr>
        <w:ind w:left="2758" w:hanging="360"/>
      </w:pPr>
    </w:lvl>
    <w:lvl w:ilvl="7">
      <w:start w:val="1"/>
      <w:numFmt w:val="lowerLetter"/>
      <w:lvlText w:val="%8."/>
      <w:lvlJc w:val="left"/>
      <w:pPr>
        <w:ind w:left="3118" w:hanging="360"/>
      </w:pPr>
    </w:lvl>
    <w:lvl w:ilvl="8">
      <w:start w:val="1"/>
      <w:numFmt w:val="lowerRoman"/>
      <w:lvlText w:val="%9."/>
      <w:lvlJc w:val="left"/>
      <w:pPr>
        <w:ind w:left="3478" w:hanging="360"/>
      </w:pPr>
    </w:lvl>
  </w:abstractNum>
  <w:abstractNum w:abstractNumId="495" w15:restartNumberingAfterBreak="0">
    <w:nsid w:val="79103F96"/>
    <w:multiLevelType w:val="multilevel"/>
    <w:tmpl w:val="3BF6A674"/>
    <w:styleLink w:val="WW8Num25"/>
    <w:lvl w:ilvl="0">
      <w:numFmt w:val="bullet"/>
      <w:lvlText w:val=""/>
      <w:lvlJc w:val="left"/>
      <w:pPr>
        <w:ind w:left="2520" w:hanging="360"/>
      </w:pPr>
      <w:rPr>
        <w:rFonts w:ascii="Wingdings" w:hAnsi="Wingdings"/>
      </w:rPr>
    </w:lvl>
    <w:lvl w:ilvl="1">
      <w:numFmt w:val="bullet"/>
      <w:lvlText w:val="o"/>
      <w:lvlJc w:val="left"/>
      <w:pPr>
        <w:ind w:left="3240" w:hanging="360"/>
      </w:pPr>
      <w:rPr>
        <w:rFonts w:ascii="Courier New" w:hAnsi="Courier New" w:cs="Courier New"/>
      </w:rPr>
    </w:lvl>
    <w:lvl w:ilvl="2">
      <w:numFmt w:val="bullet"/>
      <w:lvlText w:val=""/>
      <w:lvlJc w:val="left"/>
      <w:pPr>
        <w:ind w:left="3960" w:hanging="360"/>
      </w:pPr>
      <w:rPr>
        <w:rFonts w:ascii="Wingdings" w:hAnsi="Wingdings"/>
      </w:rPr>
    </w:lvl>
    <w:lvl w:ilvl="3">
      <w:numFmt w:val="bullet"/>
      <w:lvlText w:val=""/>
      <w:lvlJc w:val="left"/>
      <w:pPr>
        <w:ind w:left="4680" w:hanging="360"/>
      </w:pPr>
      <w:rPr>
        <w:rFonts w:ascii="Symbol" w:hAnsi="Symbol"/>
      </w:rPr>
    </w:lvl>
    <w:lvl w:ilvl="4">
      <w:numFmt w:val="bullet"/>
      <w:lvlText w:val="o"/>
      <w:lvlJc w:val="left"/>
      <w:pPr>
        <w:ind w:left="5400" w:hanging="360"/>
      </w:pPr>
      <w:rPr>
        <w:rFonts w:ascii="Courier New" w:hAnsi="Courier New" w:cs="Courier New"/>
      </w:rPr>
    </w:lvl>
    <w:lvl w:ilvl="5">
      <w:numFmt w:val="bullet"/>
      <w:lvlText w:val=""/>
      <w:lvlJc w:val="left"/>
      <w:pPr>
        <w:ind w:left="6120" w:hanging="360"/>
      </w:pPr>
      <w:rPr>
        <w:rFonts w:ascii="Wingdings" w:hAnsi="Wingdings"/>
      </w:rPr>
    </w:lvl>
    <w:lvl w:ilvl="6">
      <w:numFmt w:val="bullet"/>
      <w:lvlText w:val=""/>
      <w:lvlJc w:val="left"/>
      <w:pPr>
        <w:ind w:left="6840" w:hanging="360"/>
      </w:pPr>
      <w:rPr>
        <w:rFonts w:ascii="Symbol" w:hAnsi="Symbol"/>
      </w:rPr>
    </w:lvl>
    <w:lvl w:ilvl="7">
      <w:numFmt w:val="bullet"/>
      <w:lvlText w:val="o"/>
      <w:lvlJc w:val="left"/>
      <w:pPr>
        <w:ind w:left="7560" w:hanging="360"/>
      </w:pPr>
      <w:rPr>
        <w:rFonts w:ascii="Courier New" w:hAnsi="Courier New" w:cs="Courier New"/>
      </w:rPr>
    </w:lvl>
    <w:lvl w:ilvl="8">
      <w:numFmt w:val="bullet"/>
      <w:lvlText w:val=""/>
      <w:lvlJc w:val="left"/>
      <w:pPr>
        <w:ind w:left="8280" w:hanging="360"/>
      </w:pPr>
      <w:rPr>
        <w:rFonts w:ascii="Wingdings" w:hAnsi="Wingdings"/>
      </w:rPr>
    </w:lvl>
  </w:abstractNum>
  <w:abstractNum w:abstractNumId="496" w15:restartNumberingAfterBreak="0">
    <w:nsid w:val="7A01508F"/>
    <w:multiLevelType w:val="hybridMultilevel"/>
    <w:tmpl w:val="9D80D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7A2D5447"/>
    <w:multiLevelType w:val="hybridMultilevel"/>
    <w:tmpl w:val="CDB8B150"/>
    <w:lvl w:ilvl="0" w:tplc="D1E2558E">
      <w:start w:val="1"/>
      <w:numFmt w:val="bullet"/>
      <w:lvlText w:val=""/>
      <w:lvlJc w:val="left"/>
      <w:pPr>
        <w:ind w:left="360" w:hanging="360"/>
      </w:pPr>
      <w:rPr>
        <w:rFonts w:ascii="Symbol" w:hAnsi="Symbol" w:hint="default"/>
      </w:rPr>
    </w:lvl>
    <w:lvl w:ilvl="1" w:tplc="A7F2A316" w:tentative="1">
      <w:start w:val="1"/>
      <w:numFmt w:val="bullet"/>
      <w:lvlText w:val="o"/>
      <w:lvlJc w:val="left"/>
      <w:pPr>
        <w:ind w:left="1080" w:hanging="360"/>
      </w:pPr>
      <w:rPr>
        <w:rFonts w:ascii="Courier New" w:hAnsi="Courier New" w:cs="Courier New" w:hint="default"/>
      </w:rPr>
    </w:lvl>
    <w:lvl w:ilvl="2" w:tplc="0554C4DA" w:tentative="1">
      <w:start w:val="1"/>
      <w:numFmt w:val="bullet"/>
      <w:lvlText w:val=""/>
      <w:lvlJc w:val="left"/>
      <w:pPr>
        <w:ind w:left="1800" w:hanging="360"/>
      </w:pPr>
      <w:rPr>
        <w:rFonts w:ascii="Wingdings" w:hAnsi="Wingdings" w:hint="default"/>
      </w:rPr>
    </w:lvl>
    <w:lvl w:ilvl="3" w:tplc="6924E8B2" w:tentative="1">
      <w:start w:val="1"/>
      <w:numFmt w:val="bullet"/>
      <w:lvlText w:val=""/>
      <w:lvlJc w:val="left"/>
      <w:pPr>
        <w:ind w:left="2520" w:hanging="360"/>
      </w:pPr>
      <w:rPr>
        <w:rFonts w:ascii="Symbol" w:hAnsi="Symbol" w:hint="default"/>
      </w:rPr>
    </w:lvl>
    <w:lvl w:ilvl="4" w:tplc="B3A8E874" w:tentative="1">
      <w:start w:val="1"/>
      <w:numFmt w:val="bullet"/>
      <w:lvlText w:val="o"/>
      <w:lvlJc w:val="left"/>
      <w:pPr>
        <w:ind w:left="3240" w:hanging="360"/>
      </w:pPr>
      <w:rPr>
        <w:rFonts w:ascii="Courier New" w:hAnsi="Courier New" w:cs="Courier New" w:hint="default"/>
      </w:rPr>
    </w:lvl>
    <w:lvl w:ilvl="5" w:tplc="370C3A34" w:tentative="1">
      <w:start w:val="1"/>
      <w:numFmt w:val="bullet"/>
      <w:lvlText w:val=""/>
      <w:lvlJc w:val="left"/>
      <w:pPr>
        <w:ind w:left="3960" w:hanging="360"/>
      </w:pPr>
      <w:rPr>
        <w:rFonts w:ascii="Wingdings" w:hAnsi="Wingdings" w:hint="default"/>
      </w:rPr>
    </w:lvl>
    <w:lvl w:ilvl="6" w:tplc="666A5660" w:tentative="1">
      <w:start w:val="1"/>
      <w:numFmt w:val="bullet"/>
      <w:lvlText w:val=""/>
      <w:lvlJc w:val="left"/>
      <w:pPr>
        <w:ind w:left="4680" w:hanging="360"/>
      </w:pPr>
      <w:rPr>
        <w:rFonts w:ascii="Symbol" w:hAnsi="Symbol" w:hint="default"/>
      </w:rPr>
    </w:lvl>
    <w:lvl w:ilvl="7" w:tplc="FC34EFF2" w:tentative="1">
      <w:start w:val="1"/>
      <w:numFmt w:val="bullet"/>
      <w:lvlText w:val="o"/>
      <w:lvlJc w:val="left"/>
      <w:pPr>
        <w:ind w:left="5400" w:hanging="360"/>
      </w:pPr>
      <w:rPr>
        <w:rFonts w:ascii="Courier New" w:hAnsi="Courier New" w:cs="Courier New" w:hint="default"/>
      </w:rPr>
    </w:lvl>
    <w:lvl w:ilvl="8" w:tplc="DE5269FE" w:tentative="1">
      <w:start w:val="1"/>
      <w:numFmt w:val="bullet"/>
      <w:lvlText w:val=""/>
      <w:lvlJc w:val="left"/>
      <w:pPr>
        <w:ind w:left="6120" w:hanging="360"/>
      </w:pPr>
      <w:rPr>
        <w:rFonts w:ascii="Wingdings" w:hAnsi="Wingdings" w:hint="default"/>
      </w:rPr>
    </w:lvl>
  </w:abstractNum>
  <w:abstractNum w:abstractNumId="498" w15:restartNumberingAfterBreak="0">
    <w:nsid w:val="7A4923D9"/>
    <w:multiLevelType w:val="hybridMultilevel"/>
    <w:tmpl w:val="D64E30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9" w15:restartNumberingAfterBreak="0">
    <w:nsid w:val="7A724044"/>
    <w:multiLevelType w:val="hybridMultilevel"/>
    <w:tmpl w:val="79260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15:restartNumberingAfterBreak="0">
    <w:nsid w:val="7A9864C6"/>
    <w:multiLevelType w:val="hybridMultilevel"/>
    <w:tmpl w:val="99887492"/>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01" w15:restartNumberingAfterBreak="0">
    <w:nsid w:val="7AED26C2"/>
    <w:multiLevelType w:val="hybridMultilevel"/>
    <w:tmpl w:val="1778A9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2" w15:restartNumberingAfterBreak="0">
    <w:nsid w:val="7B2F7FFE"/>
    <w:multiLevelType w:val="hybridMultilevel"/>
    <w:tmpl w:val="1FEAC0CC"/>
    <w:lvl w:ilvl="0" w:tplc="687A8020">
      <w:start w:val="1"/>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03" w15:restartNumberingAfterBreak="0">
    <w:nsid w:val="7B5F43F3"/>
    <w:multiLevelType w:val="hybridMultilevel"/>
    <w:tmpl w:val="171041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4" w15:restartNumberingAfterBreak="0">
    <w:nsid w:val="7BAB236B"/>
    <w:multiLevelType w:val="hybridMultilevel"/>
    <w:tmpl w:val="0F8008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5" w15:restartNumberingAfterBreak="0">
    <w:nsid w:val="7BE00188"/>
    <w:multiLevelType w:val="hybridMultilevel"/>
    <w:tmpl w:val="C478E30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6" w15:restartNumberingAfterBreak="0">
    <w:nsid w:val="7C017975"/>
    <w:multiLevelType w:val="hybridMultilevel"/>
    <w:tmpl w:val="BF0C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7" w15:restartNumberingAfterBreak="0">
    <w:nsid w:val="7C121B61"/>
    <w:multiLevelType w:val="hybridMultilevel"/>
    <w:tmpl w:val="00E8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8" w15:restartNumberingAfterBreak="0">
    <w:nsid w:val="7C215EED"/>
    <w:multiLevelType w:val="multilevel"/>
    <w:tmpl w:val="CB4A8334"/>
    <w:styleLink w:val="WW8Num31"/>
    <w:lvl w:ilvl="0">
      <w:start w:val="1"/>
      <w:numFmt w:val="decimal"/>
      <w:lvlText w:val="(%1)"/>
      <w:lvlJc w:val="left"/>
      <w:pPr>
        <w:ind w:left="3589" w:hanging="709"/>
      </w:pPr>
    </w:lvl>
    <w:lvl w:ilvl="1">
      <w:start w:val="1"/>
      <w:numFmt w:val="lowerLetter"/>
      <w:lvlText w:val="(%2)"/>
      <w:lvlJc w:val="left"/>
      <w:pPr>
        <w:ind w:left="4297" w:hanging="708"/>
      </w:pPr>
    </w:lvl>
    <w:lvl w:ilvl="2">
      <w:numFmt w:val="bullet"/>
      <w:lvlText w:val="–"/>
      <w:lvlJc w:val="left"/>
      <w:pPr>
        <w:ind w:left="5006" w:hanging="709"/>
      </w:pPr>
      <w:rPr>
        <w:rFonts w:ascii="Times New Roman" w:hAnsi="Times New Roman"/>
      </w:rPr>
    </w:lvl>
    <w:lvl w:ilvl="3">
      <w:numFmt w:val="bullet"/>
      <w:lvlText w:val=""/>
      <w:lvlJc w:val="left"/>
      <w:pPr>
        <w:ind w:left="5715"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9" w15:restartNumberingAfterBreak="0">
    <w:nsid w:val="7C580E6C"/>
    <w:multiLevelType w:val="hybridMultilevel"/>
    <w:tmpl w:val="04629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0" w15:restartNumberingAfterBreak="0">
    <w:nsid w:val="7CCA18D2"/>
    <w:multiLevelType w:val="hybridMultilevel"/>
    <w:tmpl w:val="B968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1" w15:restartNumberingAfterBreak="0">
    <w:nsid w:val="7D1311B0"/>
    <w:multiLevelType w:val="hybridMultilevel"/>
    <w:tmpl w:val="950689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2" w15:restartNumberingAfterBreak="0">
    <w:nsid w:val="7D1E28B4"/>
    <w:multiLevelType w:val="hybridMultilevel"/>
    <w:tmpl w:val="91FE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3" w15:restartNumberingAfterBreak="0">
    <w:nsid w:val="7D3E748F"/>
    <w:multiLevelType w:val="hybridMultilevel"/>
    <w:tmpl w:val="D9D099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14" w15:restartNumberingAfterBreak="0">
    <w:nsid w:val="7DB83D4B"/>
    <w:multiLevelType w:val="hybridMultilevel"/>
    <w:tmpl w:val="6DA0F31E"/>
    <w:lvl w:ilvl="0" w:tplc="FFFFFFFF">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15" w15:restartNumberingAfterBreak="0">
    <w:nsid w:val="7DFC085A"/>
    <w:multiLevelType w:val="hybridMultilevel"/>
    <w:tmpl w:val="376C8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6" w15:restartNumberingAfterBreak="0">
    <w:nsid w:val="7E920687"/>
    <w:multiLevelType w:val="hybridMultilevel"/>
    <w:tmpl w:val="23528892"/>
    <w:lvl w:ilvl="0" w:tplc="490A8786">
      <w:start w:val="1"/>
      <w:numFmt w:val="bullet"/>
      <w:lvlText w:val=""/>
      <w:lvlJc w:val="left"/>
      <w:pPr>
        <w:ind w:left="720" w:hanging="360"/>
      </w:pPr>
      <w:rPr>
        <w:rFonts w:ascii="Symbol" w:hAnsi="Symbol" w:hint="default"/>
      </w:rPr>
    </w:lvl>
    <w:lvl w:ilvl="1" w:tplc="8E5CF7E0" w:tentative="1">
      <w:start w:val="1"/>
      <w:numFmt w:val="bullet"/>
      <w:lvlText w:val="o"/>
      <w:lvlJc w:val="left"/>
      <w:pPr>
        <w:ind w:left="1440" w:hanging="360"/>
      </w:pPr>
      <w:rPr>
        <w:rFonts w:ascii="Courier New" w:hAnsi="Courier New" w:cs="Courier New" w:hint="default"/>
      </w:rPr>
    </w:lvl>
    <w:lvl w:ilvl="2" w:tplc="D82E0FD8" w:tentative="1">
      <w:start w:val="1"/>
      <w:numFmt w:val="bullet"/>
      <w:lvlText w:val=""/>
      <w:lvlJc w:val="left"/>
      <w:pPr>
        <w:ind w:left="2160" w:hanging="360"/>
      </w:pPr>
      <w:rPr>
        <w:rFonts w:ascii="Wingdings" w:hAnsi="Wingdings" w:hint="default"/>
      </w:rPr>
    </w:lvl>
    <w:lvl w:ilvl="3" w:tplc="419C6BA8" w:tentative="1">
      <w:start w:val="1"/>
      <w:numFmt w:val="bullet"/>
      <w:lvlText w:val=""/>
      <w:lvlJc w:val="left"/>
      <w:pPr>
        <w:ind w:left="2880" w:hanging="360"/>
      </w:pPr>
      <w:rPr>
        <w:rFonts w:ascii="Symbol" w:hAnsi="Symbol" w:hint="default"/>
      </w:rPr>
    </w:lvl>
    <w:lvl w:ilvl="4" w:tplc="76CCE066" w:tentative="1">
      <w:start w:val="1"/>
      <w:numFmt w:val="bullet"/>
      <w:lvlText w:val="o"/>
      <w:lvlJc w:val="left"/>
      <w:pPr>
        <w:ind w:left="3600" w:hanging="360"/>
      </w:pPr>
      <w:rPr>
        <w:rFonts w:ascii="Courier New" w:hAnsi="Courier New" w:cs="Courier New" w:hint="default"/>
      </w:rPr>
    </w:lvl>
    <w:lvl w:ilvl="5" w:tplc="6E90240C" w:tentative="1">
      <w:start w:val="1"/>
      <w:numFmt w:val="bullet"/>
      <w:lvlText w:val=""/>
      <w:lvlJc w:val="left"/>
      <w:pPr>
        <w:ind w:left="4320" w:hanging="360"/>
      </w:pPr>
      <w:rPr>
        <w:rFonts w:ascii="Wingdings" w:hAnsi="Wingdings" w:hint="default"/>
      </w:rPr>
    </w:lvl>
    <w:lvl w:ilvl="6" w:tplc="29C82B88" w:tentative="1">
      <w:start w:val="1"/>
      <w:numFmt w:val="bullet"/>
      <w:lvlText w:val=""/>
      <w:lvlJc w:val="left"/>
      <w:pPr>
        <w:ind w:left="5040" w:hanging="360"/>
      </w:pPr>
      <w:rPr>
        <w:rFonts w:ascii="Symbol" w:hAnsi="Symbol" w:hint="default"/>
      </w:rPr>
    </w:lvl>
    <w:lvl w:ilvl="7" w:tplc="88548696" w:tentative="1">
      <w:start w:val="1"/>
      <w:numFmt w:val="bullet"/>
      <w:lvlText w:val="o"/>
      <w:lvlJc w:val="left"/>
      <w:pPr>
        <w:ind w:left="5760" w:hanging="360"/>
      </w:pPr>
      <w:rPr>
        <w:rFonts w:ascii="Courier New" w:hAnsi="Courier New" w:cs="Courier New" w:hint="default"/>
      </w:rPr>
    </w:lvl>
    <w:lvl w:ilvl="8" w:tplc="886622F6" w:tentative="1">
      <w:start w:val="1"/>
      <w:numFmt w:val="bullet"/>
      <w:lvlText w:val=""/>
      <w:lvlJc w:val="left"/>
      <w:pPr>
        <w:ind w:left="6480" w:hanging="360"/>
      </w:pPr>
      <w:rPr>
        <w:rFonts w:ascii="Wingdings" w:hAnsi="Wingdings" w:hint="default"/>
      </w:rPr>
    </w:lvl>
  </w:abstractNum>
  <w:abstractNum w:abstractNumId="517" w15:restartNumberingAfterBreak="0">
    <w:nsid w:val="7E986069"/>
    <w:multiLevelType w:val="hybridMultilevel"/>
    <w:tmpl w:val="B9046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8" w15:restartNumberingAfterBreak="0">
    <w:nsid w:val="7EB81AE5"/>
    <w:multiLevelType w:val="hybridMultilevel"/>
    <w:tmpl w:val="EF50669A"/>
    <w:lvl w:ilvl="0" w:tplc="0BD08ED2">
      <w:start w:val="1"/>
      <w:numFmt w:val="bullet"/>
      <w:lvlText w:val=""/>
      <w:lvlJc w:val="left"/>
      <w:pPr>
        <w:ind w:left="360" w:hanging="360"/>
      </w:pPr>
      <w:rPr>
        <w:rFonts w:ascii="Symbol" w:hAnsi="Symbol" w:hint="default"/>
      </w:rPr>
    </w:lvl>
    <w:lvl w:ilvl="1" w:tplc="7B6676A8" w:tentative="1">
      <w:start w:val="1"/>
      <w:numFmt w:val="bullet"/>
      <w:lvlText w:val="o"/>
      <w:lvlJc w:val="left"/>
      <w:pPr>
        <w:ind w:left="1080" w:hanging="360"/>
      </w:pPr>
      <w:rPr>
        <w:rFonts w:ascii="Courier New" w:hAnsi="Courier New" w:cs="Courier New" w:hint="default"/>
      </w:rPr>
    </w:lvl>
    <w:lvl w:ilvl="2" w:tplc="70FE33B8" w:tentative="1">
      <w:start w:val="1"/>
      <w:numFmt w:val="bullet"/>
      <w:lvlText w:val=""/>
      <w:lvlJc w:val="left"/>
      <w:pPr>
        <w:ind w:left="1800" w:hanging="360"/>
      </w:pPr>
      <w:rPr>
        <w:rFonts w:ascii="Wingdings" w:hAnsi="Wingdings" w:hint="default"/>
      </w:rPr>
    </w:lvl>
    <w:lvl w:ilvl="3" w:tplc="95CC24C2" w:tentative="1">
      <w:start w:val="1"/>
      <w:numFmt w:val="bullet"/>
      <w:lvlText w:val=""/>
      <w:lvlJc w:val="left"/>
      <w:pPr>
        <w:ind w:left="2520" w:hanging="360"/>
      </w:pPr>
      <w:rPr>
        <w:rFonts w:ascii="Symbol" w:hAnsi="Symbol" w:hint="default"/>
      </w:rPr>
    </w:lvl>
    <w:lvl w:ilvl="4" w:tplc="AB241E9E" w:tentative="1">
      <w:start w:val="1"/>
      <w:numFmt w:val="bullet"/>
      <w:lvlText w:val="o"/>
      <w:lvlJc w:val="left"/>
      <w:pPr>
        <w:ind w:left="3240" w:hanging="360"/>
      </w:pPr>
      <w:rPr>
        <w:rFonts w:ascii="Courier New" w:hAnsi="Courier New" w:cs="Courier New" w:hint="default"/>
      </w:rPr>
    </w:lvl>
    <w:lvl w:ilvl="5" w:tplc="E5D82B8E" w:tentative="1">
      <w:start w:val="1"/>
      <w:numFmt w:val="bullet"/>
      <w:lvlText w:val=""/>
      <w:lvlJc w:val="left"/>
      <w:pPr>
        <w:ind w:left="3960" w:hanging="360"/>
      </w:pPr>
      <w:rPr>
        <w:rFonts w:ascii="Wingdings" w:hAnsi="Wingdings" w:hint="default"/>
      </w:rPr>
    </w:lvl>
    <w:lvl w:ilvl="6" w:tplc="58BA3D36" w:tentative="1">
      <w:start w:val="1"/>
      <w:numFmt w:val="bullet"/>
      <w:lvlText w:val=""/>
      <w:lvlJc w:val="left"/>
      <w:pPr>
        <w:ind w:left="4680" w:hanging="360"/>
      </w:pPr>
      <w:rPr>
        <w:rFonts w:ascii="Symbol" w:hAnsi="Symbol" w:hint="default"/>
      </w:rPr>
    </w:lvl>
    <w:lvl w:ilvl="7" w:tplc="8B62B86E" w:tentative="1">
      <w:start w:val="1"/>
      <w:numFmt w:val="bullet"/>
      <w:lvlText w:val="o"/>
      <w:lvlJc w:val="left"/>
      <w:pPr>
        <w:ind w:left="5400" w:hanging="360"/>
      </w:pPr>
      <w:rPr>
        <w:rFonts w:ascii="Courier New" w:hAnsi="Courier New" w:cs="Courier New" w:hint="default"/>
      </w:rPr>
    </w:lvl>
    <w:lvl w:ilvl="8" w:tplc="E7C88438" w:tentative="1">
      <w:start w:val="1"/>
      <w:numFmt w:val="bullet"/>
      <w:lvlText w:val=""/>
      <w:lvlJc w:val="left"/>
      <w:pPr>
        <w:ind w:left="6120" w:hanging="360"/>
      </w:pPr>
      <w:rPr>
        <w:rFonts w:ascii="Wingdings" w:hAnsi="Wingdings" w:hint="default"/>
      </w:rPr>
    </w:lvl>
  </w:abstractNum>
  <w:abstractNum w:abstractNumId="519" w15:restartNumberingAfterBreak="0">
    <w:nsid w:val="7F2C0997"/>
    <w:multiLevelType w:val="hybridMultilevel"/>
    <w:tmpl w:val="23F28052"/>
    <w:lvl w:ilvl="0" w:tplc="04090005">
      <w:start w:val="1"/>
      <w:numFmt w:val="bullet"/>
      <w:lvlText w:val=""/>
      <w:lvlJc w:val="left"/>
      <w:pPr>
        <w:ind w:left="360" w:hanging="360"/>
      </w:pPr>
      <w:rPr>
        <w:rFonts w:ascii="Wingdings" w:hAnsi="Wingdings" w:hint="default"/>
      </w:rPr>
    </w:lvl>
    <w:lvl w:ilvl="1" w:tplc="687A8020">
      <w:start w:val="1"/>
      <w:numFmt w:val="bullet"/>
      <w:lvlText w:val="-"/>
      <w:lvlJc w:val="left"/>
      <w:pPr>
        <w:ind w:left="1080" w:hanging="360"/>
      </w:pPr>
      <w:rPr>
        <w:rFonts w:ascii="Verdana" w:eastAsia="Times New Roman" w:hAnsi="Verdana"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0" w15:restartNumberingAfterBreak="0">
    <w:nsid w:val="7FE1284A"/>
    <w:multiLevelType w:val="hybridMultilevel"/>
    <w:tmpl w:val="AA981C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5"/>
  </w:num>
  <w:num w:numId="2">
    <w:abstractNumId w:val="9"/>
  </w:num>
  <w:num w:numId="3">
    <w:abstractNumId w:val="56"/>
  </w:num>
  <w:num w:numId="4">
    <w:abstractNumId w:val="18"/>
  </w:num>
  <w:num w:numId="5">
    <w:abstractNumId w:val="321"/>
  </w:num>
  <w:num w:numId="6">
    <w:abstractNumId w:val="156"/>
  </w:num>
  <w:num w:numId="7">
    <w:abstractNumId w:val="181"/>
  </w:num>
  <w:num w:numId="8">
    <w:abstractNumId w:val="48"/>
  </w:num>
  <w:num w:numId="9">
    <w:abstractNumId w:val="280"/>
  </w:num>
  <w:num w:numId="10">
    <w:abstractNumId w:val="421"/>
  </w:num>
  <w:num w:numId="11">
    <w:abstractNumId w:val="408"/>
  </w:num>
  <w:num w:numId="12">
    <w:abstractNumId w:val="273"/>
  </w:num>
  <w:num w:numId="13">
    <w:abstractNumId w:val="220"/>
  </w:num>
  <w:num w:numId="14">
    <w:abstractNumId w:val="278"/>
  </w:num>
  <w:num w:numId="15">
    <w:abstractNumId w:val="143"/>
  </w:num>
  <w:num w:numId="16">
    <w:abstractNumId w:val="52"/>
  </w:num>
  <w:num w:numId="17">
    <w:abstractNumId w:val="317"/>
  </w:num>
  <w:num w:numId="18">
    <w:abstractNumId w:val="237"/>
  </w:num>
  <w:num w:numId="19">
    <w:abstractNumId w:val="494"/>
  </w:num>
  <w:num w:numId="20">
    <w:abstractNumId w:val="281"/>
  </w:num>
  <w:num w:numId="21">
    <w:abstractNumId w:val="352"/>
  </w:num>
  <w:num w:numId="22">
    <w:abstractNumId w:val="211"/>
  </w:num>
  <w:num w:numId="23">
    <w:abstractNumId w:val="495"/>
  </w:num>
  <w:num w:numId="24">
    <w:abstractNumId w:val="217"/>
  </w:num>
  <w:num w:numId="25">
    <w:abstractNumId w:val="244"/>
  </w:num>
  <w:num w:numId="26">
    <w:abstractNumId w:val="264"/>
  </w:num>
  <w:num w:numId="27">
    <w:abstractNumId w:val="130"/>
  </w:num>
  <w:num w:numId="28">
    <w:abstractNumId w:val="28"/>
  </w:num>
  <w:num w:numId="29">
    <w:abstractNumId w:val="508"/>
  </w:num>
  <w:num w:numId="30">
    <w:abstractNumId w:val="312"/>
  </w:num>
  <w:num w:numId="31">
    <w:abstractNumId w:val="186"/>
  </w:num>
  <w:num w:numId="32">
    <w:abstractNumId w:val="296"/>
  </w:num>
  <w:num w:numId="33">
    <w:abstractNumId w:val="59"/>
  </w:num>
  <w:num w:numId="34">
    <w:abstractNumId w:val="33"/>
  </w:num>
  <w:num w:numId="35">
    <w:abstractNumId w:val="46"/>
  </w:num>
  <w:num w:numId="36">
    <w:abstractNumId w:val="314"/>
  </w:num>
  <w:num w:numId="37">
    <w:abstractNumId w:val="262"/>
  </w:num>
  <w:num w:numId="38">
    <w:abstractNumId w:val="66"/>
  </w:num>
  <w:num w:numId="39">
    <w:abstractNumId w:val="98"/>
  </w:num>
  <w:num w:numId="40">
    <w:abstractNumId w:val="448"/>
  </w:num>
  <w:num w:numId="41">
    <w:abstractNumId w:val="428"/>
  </w:num>
  <w:num w:numId="42">
    <w:abstractNumId w:val="185"/>
  </w:num>
  <w:num w:numId="43">
    <w:abstractNumId w:val="413"/>
  </w:num>
  <w:num w:numId="44">
    <w:abstractNumId w:val="398"/>
  </w:num>
  <w:num w:numId="45">
    <w:abstractNumId w:val="78"/>
  </w:num>
  <w:num w:numId="46">
    <w:abstractNumId w:val="480"/>
  </w:num>
  <w:num w:numId="47">
    <w:abstractNumId w:val="77"/>
  </w:num>
  <w:num w:numId="48">
    <w:abstractNumId w:val="50"/>
  </w:num>
  <w:num w:numId="49">
    <w:abstractNumId w:val="416"/>
  </w:num>
  <w:num w:numId="50">
    <w:abstractNumId w:val="133"/>
  </w:num>
  <w:num w:numId="51">
    <w:abstractNumId w:val="269"/>
  </w:num>
  <w:num w:numId="52">
    <w:abstractNumId w:val="290"/>
  </w:num>
  <w:num w:numId="53">
    <w:abstractNumId w:val="260"/>
  </w:num>
  <w:num w:numId="54">
    <w:abstractNumId w:val="191"/>
  </w:num>
  <w:num w:numId="55">
    <w:abstractNumId w:val="54"/>
  </w:num>
  <w:num w:numId="56">
    <w:abstractNumId w:val="284"/>
  </w:num>
  <w:num w:numId="57">
    <w:abstractNumId w:val="397"/>
  </w:num>
  <w:num w:numId="58">
    <w:abstractNumId w:val="53"/>
  </w:num>
  <w:num w:numId="59">
    <w:abstractNumId w:val="238"/>
  </w:num>
  <w:num w:numId="60">
    <w:abstractNumId w:val="355"/>
  </w:num>
  <w:num w:numId="61">
    <w:abstractNumId w:val="254"/>
  </w:num>
  <w:num w:numId="62">
    <w:abstractNumId w:val="201"/>
  </w:num>
  <w:num w:numId="63">
    <w:abstractNumId w:val="90"/>
  </w:num>
  <w:num w:numId="64">
    <w:abstractNumId w:val="82"/>
  </w:num>
  <w:num w:numId="65">
    <w:abstractNumId w:val="420"/>
  </w:num>
  <w:num w:numId="66">
    <w:abstractNumId w:val="426"/>
  </w:num>
  <w:num w:numId="67">
    <w:abstractNumId w:val="422"/>
  </w:num>
  <w:num w:numId="68">
    <w:abstractNumId w:val="456"/>
  </w:num>
  <w:num w:numId="69">
    <w:abstractNumId w:val="163"/>
  </w:num>
  <w:num w:numId="70">
    <w:abstractNumId w:val="283"/>
  </w:num>
  <w:num w:numId="71">
    <w:abstractNumId w:val="307"/>
  </w:num>
  <w:num w:numId="72">
    <w:abstractNumId w:val="302"/>
  </w:num>
  <w:num w:numId="73">
    <w:abstractNumId w:val="31"/>
  </w:num>
  <w:num w:numId="74">
    <w:abstractNumId w:val="313"/>
  </w:num>
  <w:num w:numId="75">
    <w:abstractNumId w:val="206"/>
  </w:num>
  <w:num w:numId="76">
    <w:abstractNumId w:val="161"/>
  </w:num>
  <w:num w:numId="77">
    <w:abstractNumId w:val="242"/>
  </w:num>
  <w:num w:numId="78">
    <w:abstractNumId w:val="26"/>
  </w:num>
  <w:num w:numId="79">
    <w:abstractNumId w:val="13"/>
  </w:num>
  <w:num w:numId="80">
    <w:abstractNumId w:val="62"/>
  </w:num>
  <w:num w:numId="81">
    <w:abstractNumId w:val="310"/>
  </w:num>
  <w:num w:numId="82">
    <w:abstractNumId w:val="425"/>
  </w:num>
  <w:num w:numId="83">
    <w:abstractNumId w:val="168"/>
  </w:num>
  <w:num w:numId="84">
    <w:abstractNumId w:val="88"/>
  </w:num>
  <w:num w:numId="85">
    <w:abstractNumId w:val="30"/>
  </w:num>
  <w:num w:numId="86">
    <w:abstractNumId w:val="444"/>
  </w:num>
  <w:num w:numId="87">
    <w:abstractNumId w:val="179"/>
  </w:num>
  <w:num w:numId="88">
    <w:abstractNumId w:val="516"/>
  </w:num>
  <w:num w:numId="89">
    <w:abstractNumId w:val="415"/>
  </w:num>
  <w:num w:numId="90">
    <w:abstractNumId w:val="68"/>
  </w:num>
  <w:num w:numId="91">
    <w:abstractNumId w:val="132"/>
  </w:num>
  <w:num w:numId="92">
    <w:abstractNumId w:val="83"/>
  </w:num>
  <w:num w:numId="93">
    <w:abstractNumId w:val="136"/>
  </w:num>
  <w:num w:numId="94">
    <w:abstractNumId w:val="167"/>
  </w:num>
  <w:num w:numId="95">
    <w:abstractNumId w:val="57"/>
  </w:num>
  <w:num w:numId="96">
    <w:abstractNumId w:val="473"/>
  </w:num>
  <w:num w:numId="97">
    <w:abstractNumId w:val="239"/>
  </w:num>
  <w:num w:numId="98">
    <w:abstractNumId w:val="497"/>
  </w:num>
  <w:num w:numId="99">
    <w:abstractNumId w:val="233"/>
  </w:num>
  <w:num w:numId="100">
    <w:abstractNumId w:val="125"/>
  </w:num>
  <w:num w:numId="101">
    <w:abstractNumId w:val="518"/>
  </w:num>
  <w:num w:numId="102">
    <w:abstractNumId w:val="215"/>
  </w:num>
  <w:num w:numId="103">
    <w:abstractNumId w:val="121"/>
  </w:num>
  <w:num w:numId="104">
    <w:abstractNumId w:val="364"/>
  </w:num>
  <w:num w:numId="105">
    <w:abstractNumId w:val="147"/>
  </w:num>
  <w:num w:numId="106">
    <w:abstractNumId w:val="263"/>
  </w:num>
  <w:num w:numId="107">
    <w:abstractNumId w:val="412"/>
  </w:num>
  <w:num w:numId="108">
    <w:abstractNumId w:val="187"/>
  </w:num>
  <w:num w:numId="109">
    <w:abstractNumId w:val="418"/>
  </w:num>
  <w:num w:numId="110">
    <w:abstractNumId w:val="214"/>
  </w:num>
  <w:num w:numId="111">
    <w:abstractNumId w:val="285"/>
  </w:num>
  <w:num w:numId="112">
    <w:abstractNumId w:val="442"/>
  </w:num>
  <w:num w:numId="113">
    <w:abstractNumId w:val="479"/>
  </w:num>
  <w:num w:numId="114">
    <w:abstractNumId w:val="247"/>
  </w:num>
  <w:num w:numId="115">
    <w:abstractNumId w:val="362"/>
  </w:num>
  <w:num w:numId="116">
    <w:abstractNumId w:val="353"/>
  </w:num>
  <w:num w:numId="117">
    <w:abstractNumId w:val="322"/>
  </w:num>
  <w:num w:numId="118">
    <w:abstractNumId w:val="476"/>
  </w:num>
  <w:num w:numId="119">
    <w:abstractNumId w:val="266"/>
  </w:num>
  <w:num w:numId="120">
    <w:abstractNumId w:val="440"/>
  </w:num>
  <w:num w:numId="121">
    <w:abstractNumId w:val="346"/>
  </w:num>
  <w:num w:numId="122">
    <w:abstractNumId w:val="457"/>
  </w:num>
  <w:num w:numId="123">
    <w:abstractNumId w:val="196"/>
  </w:num>
  <w:num w:numId="124">
    <w:abstractNumId w:val="212"/>
  </w:num>
  <w:num w:numId="125">
    <w:abstractNumId w:val="141"/>
  </w:num>
  <w:num w:numId="126">
    <w:abstractNumId w:val="407"/>
  </w:num>
  <w:num w:numId="127">
    <w:abstractNumId w:val="152"/>
  </w:num>
  <w:num w:numId="128">
    <w:abstractNumId w:val="356"/>
  </w:num>
  <w:num w:numId="129">
    <w:abstractNumId w:val="519"/>
  </w:num>
  <w:num w:numId="130">
    <w:abstractNumId w:val="383"/>
  </w:num>
  <w:num w:numId="131">
    <w:abstractNumId w:val="475"/>
  </w:num>
  <w:num w:numId="132">
    <w:abstractNumId w:val="482"/>
  </w:num>
  <w:num w:numId="133">
    <w:abstractNumId w:val="79"/>
  </w:num>
  <w:num w:numId="134">
    <w:abstractNumId w:val="294"/>
  </w:num>
  <w:num w:numId="135">
    <w:abstractNumId w:val="135"/>
  </w:num>
  <w:num w:numId="136">
    <w:abstractNumId w:val="259"/>
  </w:num>
  <w:num w:numId="137">
    <w:abstractNumId w:val="105"/>
  </w:num>
  <w:num w:numId="138">
    <w:abstractNumId w:val="371"/>
  </w:num>
  <w:num w:numId="139">
    <w:abstractNumId w:val="199"/>
  </w:num>
  <w:num w:numId="140">
    <w:abstractNumId w:val="159"/>
  </w:num>
  <w:num w:numId="141">
    <w:abstractNumId w:val="60"/>
  </w:num>
  <w:num w:numId="142">
    <w:abstractNumId w:val="399"/>
  </w:num>
  <w:num w:numId="143">
    <w:abstractNumId w:val="64"/>
  </w:num>
  <w:num w:numId="144">
    <w:abstractNumId w:val="32"/>
  </w:num>
  <w:num w:numId="145">
    <w:abstractNumId w:val="129"/>
  </w:num>
  <w:num w:numId="146">
    <w:abstractNumId w:val="288"/>
  </w:num>
  <w:num w:numId="147">
    <w:abstractNumId w:val="232"/>
  </w:num>
  <w:num w:numId="148">
    <w:abstractNumId w:val="170"/>
  </w:num>
  <w:num w:numId="149">
    <w:abstractNumId w:val="190"/>
  </w:num>
  <w:num w:numId="150">
    <w:abstractNumId w:val="183"/>
  </w:num>
  <w:num w:numId="151">
    <w:abstractNumId w:val="251"/>
  </w:num>
  <w:num w:numId="152">
    <w:abstractNumId w:val="311"/>
  </w:num>
  <w:num w:numId="153">
    <w:abstractNumId w:val="409"/>
  </w:num>
  <w:num w:numId="154">
    <w:abstractNumId w:val="455"/>
  </w:num>
  <w:num w:numId="155">
    <w:abstractNumId w:val="200"/>
  </w:num>
  <w:num w:numId="156">
    <w:abstractNumId w:val="173"/>
  </w:num>
  <w:num w:numId="157">
    <w:abstractNumId w:val="92"/>
  </w:num>
  <w:num w:numId="158">
    <w:abstractNumId w:val="505"/>
  </w:num>
  <w:num w:numId="159">
    <w:abstractNumId w:val="389"/>
  </w:num>
  <w:num w:numId="160">
    <w:abstractNumId w:val="498"/>
  </w:num>
  <w:num w:numId="161">
    <w:abstractNumId w:val="375"/>
  </w:num>
  <w:num w:numId="162">
    <w:abstractNumId w:val="405"/>
  </w:num>
  <w:num w:numId="163">
    <w:abstractNumId w:val="439"/>
  </w:num>
  <w:num w:numId="164">
    <w:abstractNumId w:val="472"/>
  </w:num>
  <w:num w:numId="165">
    <w:abstractNumId w:val="292"/>
  </w:num>
  <w:num w:numId="166">
    <w:abstractNumId w:val="203"/>
  </w:num>
  <w:num w:numId="167">
    <w:abstractNumId w:val="318"/>
  </w:num>
  <w:num w:numId="168">
    <w:abstractNumId w:val="162"/>
  </w:num>
  <w:num w:numId="169">
    <w:abstractNumId w:val="464"/>
  </w:num>
  <w:num w:numId="170">
    <w:abstractNumId w:val="349"/>
  </w:num>
  <w:num w:numId="171">
    <w:abstractNumId w:val="216"/>
  </w:num>
  <w:num w:numId="172">
    <w:abstractNumId w:val="240"/>
  </w:num>
  <w:num w:numId="173">
    <w:abstractNumId w:val="15"/>
  </w:num>
  <w:num w:numId="174">
    <w:abstractNumId w:val="256"/>
  </w:num>
  <w:num w:numId="175">
    <w:abstractNumId w:val="255"/>
  </w:num>
  <w:num w:numId="176">
    <w:abstractNumId w:val="287"/>
  </w:num>
  <w:num w:numId="177">
    <w:abstractNumId w:val="496"/>
  </w:num>
  <w:num w:numId="178">
    <w:abstractNumId w:val="366"/>
  </w:num>
  <w:num w:numId="179">
    <w:abstractNumId w:val="81"/>
  </w:num>
  <w:num w:numId="180">
    <w:abstractNumId w:val="449"/>
  </w:num>
  <w:num w:numId="181">
    <w:abstractNumId w:val="459"/>
  </w:num>
  <w:num w:numId="182">
    <w:abstractNumId w:val="445"/>
  </w:num>
  <w:num w:numId="183">
    <w:abstractNumId w:val="175"/>
  </w:num>
  <w:num w:numId="184">
    <w:abstractNumId w:val="506"/>
  </w:num>
  <w:num w:numId="185">
    <w:abstractNumId w:val="304"/>
  </w:num>
  <w:num w:numId="186">
    <w:abstractNumId w:val="363"/>
  </w:num>
  <w:num w:numId="187">
    <w:abstractNumId w:val="431"/>
  </w:num>
  <w:num w:numId="188">
    <w:abstractNumId w:val="107"/>
  </w:num>
  <w:num w:numId="189">
    <w:abstractNumId w:val="194"/>
  </w:num>
  <w:num w:numId="190">
    <w:abstractNumId w:val="128"/>
  </w:num>
  <w:num w:numId="191">
    <w:abstractNumId w:val="118"/>
  </w:num>
  <w:num w:numId="192">
    <w:abstractNumId w:val="467"/>
  </w:num>
  <w:num w:numId="193">
    <w:abstractNumId w:val="10"/>
  </w:num>
  <w:num w:numId="194">
    <w:abstractNumId w:val="293"/>
  </w:num>
  <w:num w:numId="195">
    <w:abstractNumId w:val="160"/>
  </w:num>
  <w:num w:numId="196">
    <w:abstractNumId w:val="44"/>
  </w:num>
  <w:num w:numId="197">
    <w:abstractNumId w:val="265"/>
  </w:num>
  <w:num w:numId="198">
    <w:abstractNumId w:val="282"/>
  </w:num>
  <w:num w:numId="199">
    <w:abstractNumId w:val="306"/>
  </w:num>
  <w:num w:numId="200">
    <w:abstractNumId w:val="403"/>
  </w:num>
  <w:num w:numId="201">
    <w:abstractNumId w:val="276"/>
  </w:num>
  <w:num w:numId="202">
    <w:abstractNumId w:val="332"/>
  </w:num>
  <w:num w:numId="203">
    <w:abstractNumId w:val="95"/>
  </w:num>
  <w:num w:numId="204">
    <w:abstractNumId w:val="154"/>
  </w:num>
  <w:num w:numId="205">
    <w:abstractNumId w:val="114"/>
  </w:num>
  <w:num w:numId="206">
    <w:abstractNumId w:val="106"/>
  </w:num>
  <w:num w:numId="207">
    <w:abstractNumId w:val="474"/>
  </w:num>
  <w:num w:numId="208">
    <w:abstractNumId w:val="270"/>
  </w:num>
  <w:num w:numId="209">
    <w:abstractNumId w:val="451"/>
  </w:num>
  <w:num w:numId="210">
    <w:abstractNumId w:val="272"/>
  </w:num>
  <w:num w:numId="211">
    <w:abstractNumId w:val="477"/>
  </w:num>
  <w:num w:numId="212">
    <w:abstractNumId w:val="180"/>
  </w:num>
  <w:num w:numId="213">
    <w:abstractNumId w:val="19"/>
  </w:num>
  <w:num w:numId="214">
    <w:abstractNumId w:val="487"/>
  </w:num>
  <w:num w:numId="215">
    <w:abstractNumId w:val="165"/>
  </w:num>
  <w:num w:numId="216">
    <w:abstractNumId w:val="252"/>
  </w:num>
  <w:num w:numId="217">
    <w:abstractNumId w:val="340"/>
  </w:num>
  <w:num w:numId="218">
    <w:abstractNumId w:val="219"/>
  </w:num>
  <w:num w:numId="219">
    <w:abstractNumId w:val="502"/>
  </w:num>
  <w:num w:numId="220">
    <w:abstractNumId w:val="148"/>
  </w:num>
  <w:num w:numId="221">
    <w:abstractNumId w:val="101"/>
  </w:num>
  <w:num w:numId="222">
    <w:abstractNumId w:val="268"/>
  </w:num>
  <w:num w:numId="223">
    <w:abstractNumId w:val="87"/>
  </w:num>
  <w:num w:numId="224">
    <w:abstractNumId w:val="124"/>
  </w:num>
  <w:num w:numId="225">
    <w:abstractNumId w:val="400"/>
  </w:num>
  <w:num w:numId="226">
    <w:abstractNumId w:val="492"/>
  </w:num>
  <w:num w:numId="227">
    <w:abstractNumId w:val="305"/>
  </w:num>
  <w:num w:numId="228">
    <w:abstractNumId w:val="385"/>
  </w:num>
  <w:num w:numId="229">
    <w:abstractNumId w:val="109"/>
  </w:num>
  <w:num w:numId="230">
    <w:abstractNumId w:val="86"/>
  </w:num>
  <w:num w:numId="231">
    <w:abstractNumId w:val="137"/>
  </w:num>
  <w:num w:numId="232">
    <w:abstractNumId w:val="126"/>
  </w:num>
  <w:num w:numId="233">
    <w:abstractNumId w:val="447"/>
  </w:num>
  <w:num w:numId="234">
    <w:abstractNumId w:val="234"/>
  </w:num>
  <w:num w:numId="235">
    <w:abstractNumId w:val="514"/>
  </w:num>
  <w:num w:numId="236">
    <w:abstractNumId w:val="245"/>
  </w:num>
  <w:num w:numId="237">
    <w:abstractNumId w:val="144"/>
  </w:num>
  <w:num w:numId="238">
    <w:abstractNumId w:val="395"/>
  </w:num>
  <w:num w:numId="239">
    <w:abstractNumId w:val="73"/>
  </w:num>
  <w:num w:numId="240">
    <w:abstractNumId w:val="94"/>
  </w:num>
  <w:num w:numId="241">
    <w:abstractNumId w:val="213"/>
  </w:num>
  <w:num w:numId="242">
    <w:abstractNumId w:val="500"/>
  </w:num>
  <w:num w:numId="243">
    <w:abstractNumId w:val="323"/>
  </w:num>
  <w:num w:numId="244">
    <w:abstractNumId w:val="275"/>
  </w:num>
  <w:num w:numId="245">
    <w:abstractNumId w:val="12"/>
  </w:num>
  <w:num w:numId="246">
    <w:abstractNumId w:val="423"/>
  </w:num>
  <w:num w:numId="247">
    <w:abstractNumId w:val="195"/>
  </w:num>
  <w:num w:numId="248">
    <w:abstractNumId w:val="452"/>
  </w:num>
  <w:num w:numId="249">
    <w:abstractNumId w:val="493"/>
  </w:num>
  <w:num w:numId="250">
    <w:abstractNumId w:val="378"/>
  </w:num>
  <w:num w:numId="251">
    <w:abstractNumId w:val="358"/>
  </w:num>
  <w:num w:numId="252">
    <w:abstractNumId w:val="461"/>
  </w:num>
  <w:num w:numId="253">
    <w:abstractNumId w:val="177"/>
  </w:num>
  <w:num w:numId="254">
    <w:abstractNumId w:val="390"/>
  </w:num>
  <w:num w:numId="255">
    <w:abstractNumId w:val="336"/>
  </w:num>
  <w:num w:numId="256">
    <w:abstractNumId w:val="178"/>
  </w:num>
  <w:num w:numId="257">
    <w:abstractNumId w:val="197"/>
  </w:num>
  <w:num w:numId="258">
    <w:abstractNumId w:val="441"/>
  </w:num>
  <w:num w:numId="259">
    <w:abstractNumId w:val="146"/>
  </w:num>
  <w:num w:numId="260">
    <w:abstractNumId w:val="116"/>
  </w:num>
  <w:num w:numId="261">
    <w:abstractNumId w:val="47"/>
  </w:num>
  <w:num w:numId="262">
    <w:abstractNumId w:val="169"/>
  </w:num>
  <w:num w:numId="263">
    <w:abstractNumId w:val="517"/>
  </w:num>
  <w:num w:numId="264">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79"/>
  </w:num>
  <w:num w:numId="266">
    <w:abstractNumId w:val="93"/>
  </w:num>
  <w:num w:numId="267">
    <w:abstractNumId w:val="483"/>
  </w:num>
  <w:num w:numId="268">
    <w:abstractNumId w:val="182"/>
  </w:num>
  <w:num w:numId="269">
    <w:abstractNumId w:val="157"/>
  </w:num>
  <w:num w:numId="270">
    <w:abstractNumId w:val="367"/>
  </w:num>
  <w:num w:numId="271">
    <w:abstractNumId w:val="34"/>
  </w:num>
  <w:num w:numId="272">
    <w:abstractNumId w:val="396"/>
  </w:num>
  <w:num w:numId="273">
    <w:abstractNumId w:val="450"/>
  </w:num>
  <w:num w:numId="274">
    <w:abstractNumId w:val="406"/>
  </w:num>
  <w:num w:numId="275">
    <w:abstractNumId w:val="55"/>
  </w:num>
  <w:num w:numId="276">
    <w:abstractNumId w:val="40"/>
  </w:num>
  <w:num w:numId="277">
    <w:abstractNumId w:val="119"/>
  </w:num>
  <w:num w:numId="278">
    <w:abstractNumId w:val="51"/>
  </w:num>
  <w:num w:numId="279">
    <w:abstractNumId w:val="235"/>
  </w:num>
  <w:num w:numId="280">
    <w:abstractNumId w:val="117"/>
  </w:num>
  <w:num w:numId="281">
    <w:abstractNumId w:val="84"/>
  </w:num>
  <w:num w:numId="282">
    <w:abstractNumId w:val="99"/>
  </w:num>
  <w:num w:numId="283">
    <w:abstractNumId w:val="433"/>
  </w:num>
  <w:num w:numId="284">
    <w:abstractNumId w:val="139"/>
  </w:num>
  <w:num w:numId="285">
    <w:abstractNumId w:val="75"/>
  </w:num>
  <w:num w:numId="286">
    <w:abstractNumId w:val="91"/>
  </w:num>
  <w:num w:numId="287">
    <w:abstractNumId w:val="374"/>
  </w:num>
  <w:num w:numId="288">
    <w:abstractNumId w:val="501"/>
  </w:num>
  <w:num w:numId="289">
    <w:abstractNumId w:val="373"/>
  </w:num>
  <w:num w:numId="290">
    <w:abstractNumId w:val="432"/>
  </w:num>
  <w:num w:numId="291">
    <w:abstractNumId w:val="100"/>
  </w:num>
  <w:num w:numId="292">
    <w:abstractNumId w:val="210"/>
  </w:num>
  <w:num w:numId="293">
    <w:abstractNumId w:val="67"/>
  </w:num>
  <w:num w:numId="294">
    <w:abstractNumId w:val="342"/>
  </w:num>
  <w:num w:numId="295">
    <w:abstractNumId w:val="22"/>
  </w:num>
  <w:num w:numId="296">
    <w:abstractNumId w:val="76"/>
  </w:num>
  <w:num w:numId="297">
    <w:abstractNumId w:val="436"/>
  </w:num>
  <w:num w:numId="298">
    <w:abstractNumId w:val="138"/>
  </w:num>
  <w:num w:numId="299">
    <w:abstractNumId w:val="335"/>
  </w:num>
  <w:num w:numId="300">
    <w:abstractNumId w:val="249"/>
  </w:num>
  <w:num w:numId="301">
    <w:abstractNumId w:val="286"/>
  </w:num>
  <w:num w:numId="302">
    <w:abstractNumId w:val="23"/>
  </w:num>
  <w:num w:numId="303">
    <w:abstractNumId w:val="258"/>
  </w:num>
  <w:num w:numId="304">
    <w:abstractNumId w:val="357"/>
  </w:num>
  <w:num w:numId="305">
    <w:abstractNumId w:val="205"/>
  </w:num>
  <w:num w:numId="306">
    <w:abstractNumId w:val="325"/>
  </w:num>
  <w:num w:numId="307">
    <w:abstractNumId w:val="176"/>
  </w:num>
  <w:num w:numId="308">
    <w:abstractNumId w:val="65"/>
  </w:num>
  <w:num w:numId="309">
    <w:abstractNumId w:val="520"/>
  </w:num>
  <w:num w:numId="310">
    <w:abstractNumId w:val="149"/>
  </w:num>
  <w:num w:numId="311">
    <w:abstractNumId w:val="308"/>
  </w:num>
  <w:num w:numId="312">
    <w:abstractNumId w:val="192"/>
  </w:num>
  <w:num w:numId="313">
    <w:abstractNumId w:val="333"/>
  </w:num>
  <w:num w:numId="314">
    <w:abstractNumId w:val="188"/>
  </w:num>
  <w:num w:numId="315">
    <w:abstractNumId w:val="384"/>
  </w:num>
  <w:num w:numId="316">
    <w:abstractNumId w:val="189"/>
  </w:num>
  <w:num w:numId="317">
    <w:abstractNumId w:val="164"/>
  </w:num>
  <w:num w:numId="318">
    <w:abstractNumId w:val="202"/>
  </w:num>
  <w:num w:numId="319">
    <w:abstractNumId w:val="458"/>
  </w:num>
  <w:num w:numId="320">
    <w:abstractNumId w:val="402"/>
  </w:num>
  <w:num w:numId="321">
    <w:abstractNumId w:val="104"/>
  </w:num>
  <w:num w:numId="322">
    <w:abstractNumId w:val="351"/>
  </w:num>
  <w:num w:numId="323">
    <w:abstractNumId w:val="41"/>
  </w:num>
  <w:num w:numId="324">
    <w:abstractNumId w:val="295"/>
  </w:num>
  <w:num w:numId="325">
    <w:abstractNumId w:val="328"/>
  </w:num>
  <w:num w:numId="326">
    <w:abstractNumId w:val="417"/>
  </w:num>
  <w:num w:numId="327">
    <w:abstractNumId w:val="485"/>
  </w:num>
  <w:num w:numId="328">
    <w:abstractNumId w:val="155"/>
  </w:num>
  <w:num w:numId="329">
    <w:abstractNumId w:val="392"/>
  </w:num>
  <w:num w:numId="330">
    <w:abstractNumId w:val="515"/>
  </w:num>
  <w:num w:numId="331">
    <w:abstractNumId w:val="379"/>
  </w:num>
  <w:num w:numId="332">
    <w:abstractNumId w:val="443"/>
  </w:num>
  <w:num w:numId="333">
    <w:abstractNumId w:val="354"/>
  </w:num>
  <w:num w:numId="334">
    <w:abstractNumId w:val="222"/>
  </w:num>
  <w:num w:numId="335">
    <w:abstractNumId w:val="343"/>
  </w:num>
  <w:num w:numId="336">
    <w:abstractNumId w:val="338"/>
  </w:num>
  <w:num w:numId="337">
    <w:abstractNumId w:val="404"/>
  </w:num>
  <w:num w:numId="338">
    <w:abstractNumId w:val="115"/>
  </w:num>
  <w:num w:numId="339">
    <w:abstractNumId w:val="103"/>
  </w:num>
  <w:num w:numId="340">
    <w:abstractNumId w:val="509"/>
  </w:num>
  <w:num w:numId="341">
    <w:abstractNumId w:val="309"/>
  </w:num>
  <w:num w:numId="342">
    <w:abstractNumId w:val="145"/>
  </w:num>
  <w:num w:numId="343">
    <w:abstractNumId w:val="365"/>
  </w:num>
  <w:num w:numId="344">
    <w:abstractNumId w:val="512"/>
  </w:num>
  <w:num w:numId="345">
    <w:abstractNumId w:val="226"/>
  </w:num>
  <w:num w:numId="346">
    <w:abstractNumId w:val="20"/>
  </w:num>
  <w:num w:numId="347">
    <w:abstractNumId w:val="29"/>
  </w:num>
  <w:num w:numId="348">
    <w:abstractNumId w:val="315"/>
  </w:num>
  <w:num w:numId="349">
    <w:abstractNumId w:val="89"/>
  </w:num>
  <w:num w:numId="350">
    <w:abstractNumId w:val="209"/>
  </w:num>
  <w:num w:numId="351">
    <w:abstractNumId w:val="499"/>
  </w:num>
  <w:num w:numId="352">
    <w:abstractNumId w:val="345"/>
  </w:num>
  <w:num w:numId="353">
    <w:abstractNumId w:val="470"/>
  </w:num>
  <w:num w:numId="354">
    <w:abstractNumId w:val="71"/>
  </w:num>
  <w:num w:numId="355">
    <w:abstractNumId w:val="471"/>
  </w:num>
  <w:num w:numId="356">
    <w:abstractNumId w:val="193"/>
  </w:num>
  <w:num w:numId="357">
    <w:abstractNumId w:val="184"/>
  </w:num>
  <w:num w:numId="358">
    <w:abstractNumId w:val="391"/>
  </w:num>
  <w:num w:numId="359">
    <w:abstractNumId w:val="490"/>
  </w:num>
  <w:num w:numId="360">
    <w:abstractNumId w:val="289"/>
  </w:num>
  <w:num w:numId="361">
    <w:abstractNumId w:val="123"/>
  </w:num>
  <w:num w:numId="362">
    <w:abstractNumId w:val="208"/>
  </w:num>
  <w:num w:numId="363">
    <w:abstractNumId w:val="507"/>
  </w:num>
  <w:num w:numId="364">
    <w:abstractNumId w:val="198"/>
  </w:num>
  <w:num w:numId="365">
    <w:abstractNumId w:val="37"/>
  </w:num>
  <w:num w:numId="366">
    <w:abstractNumId w:val="488"/>
  </w:num>
  <w:num w:numId="367">
    <w:abstractNumId w:val="359"/>
  </w:num>
  <w:num w:numId="368">
    <w:abstractNumId w:val="142"/>
  </w:num>
  <w:num w:numId="369">
    <w:abstractNumId w:val="369"/>
  </w:num>
  <w:num w:numId="370">
    <w:abstractNumId w:val="140"/>
  </w:num>
  <w:num w:numId="371">
    <w:abstractNumId w:val="225"/>
  </w:num>
  <w:num w:numId="372">
    <w:abstractNumId w:val="372"/>
  </w:num>
  <w:num w:numId="373">
    <w:abstractNumId w:val="21"/>
  </w:num>
  <w:num w:numId="374">
    <w:abstractNumId w:val="267"/>
  </w:num>
  <w:num w:numId="375">
    <w:abstractNumId w:val="102"/>
  </w:num>
  <w:num w:numId="376">
    <w:abstractNumId w:val="510"/>
  </w:num>
  <w:num w:numId="377">
    <w:abstractNumId w:val="350"/>
  </w:num>
  <w:num w:numId="378">
    <w:abstractNumId w:val="97"/>
  </w:num>
  <w:num w:numId="379">
    <w:abstractNumId w:val="453"/>
  </w:num>
  <w:num w:numId="380">
    <w:abstractNumId w:val="316"/>
  </w:num>
  <w:num w:numId="381">
    <w:abstractNumId w:val="465"/>
  </w:num>
  <w:num w:numId="382">
    <w:abstractNumId w:val="319"/>
  </w:num>
  <w:num w:numId="383">
    <w:abstractNumId w:val="348"/>
  </w:num>
  <w:num w:numId="384">
    <w:abstractNumId w:val="171"/>
  </w:num>
  <w:num w:numId="385">
    <w:abstractNumId w:val="435"/>
  </w:num>
  <w:num w:numId="386">
    <w:abstractNumId w:val="174"/>
  </w:num>
  <w:num w:numId="387">
    <w:abstractNumId w:val="513"/>
  </w:num>
  <w:num w:numId="388">
    <w:abstractNumId w:val="300"/>
  </w:num>
  <w:num w:numId="389">
    <w:abstractNumId w:val="58"/>
  </w:num>
  <w:num w:numId="390">
    <w:abstractNumId w:val="469"/>
  </w:num>
  <w:num w:numId="391">
    <w:abstractNumId w:val="414"/>
  </w:num>
  <w:num w:numId="392">
    <w:abstractNumId w:val="236"/>
  </w:num>
  <w:num w:numId="393">
    <w:abstractNumId w:val="341"/>
  </w:num>
  <w:num w:numId="394">
    <w:abstractNumId w:val="386"/>
  </w:num>
  <w:num w:numId="395">
    <w:abstractNumId w:val="11"/>
  </w:num>
  <w:num w:numId="396">
    <w:abstractNumId w:val="454"/>
  </w:num>
  <w:num w:numId="397">
    <w:abstractNumId w:val="70"/>
  </w:num>
  <w:num w:numId="398">
    <w:abstractNumId w:val="329"/>
  </w:num>
  <w:num w:numId="399">
    <w:abstractNumId w:val="468"/>
  </w:num>
  <w:num w:numId="400">
    <w:abstractNumId w:val="243"/>
  </w:num>
  <w:num w:numId="401">
    <w:abstractNumId w:val="486"/>
  </w:num>
  <w:num w:numId="402">
    <w:abstractNumId w:val="228"/>
  </w:num>
  <w:num w:numId="403">
    <w:abstractNumId w:val="35"/>
  </w:num>
  <w:num w:numId="404">
    <w:abstractNumId w:val="39"/>
  </w:num>
  <w:num w:numId="405">
    <w:abstractNumId w:val="151"/>
  </w:num>
  <w:num w:numId="406">
    <w:abstractNumId w:val="339"/>
  </w:num>
  <w:num w:numId="407">
    <w:abstractNumId w:val="387"/>
  </w:num>
  <w:num w:numId="408">
    <w:abstractNumId w:val="503"/>
  </w:num>
  <w:num w:numId="409">
    <w:abstractNumId w:val="224"/>
  </w:num>
  <w:num w:numId="410">
    <w:abstractNumId w:val="14"/>
  </w:num>
  <w:num w:numId="411">
    <w:abstractNumId w:val="394"/>
  </w:num>
  <w:num w:numId="412">
    <w:abstractNumId w:val="17"/>
  </w:num>
  <w:num w:numId="413">
    <w:abstractNumId w:val="430"/>
  </w:num>
  <w:num w:numId="414">
    <w:abstractNumId w:val="277"/>
  </w:num>
  <w:num w:numId="415">
    <w:abstractNumId w:val="153"/>
  </w:num>
  <w:num w:numId="416">
    <w:abstractNumId w:val="297"/>
  </w:num>
  <w:num w:numId="417">
    <w:abstractNumId w:val="376"/>
  </w:num>
  <w:num w:numId="418">
    <w:abstractNumId w:val="361"/>
  </w:num>
  <w:num w:numId="419">
    <w:abstractNumId w:val="229"/>
  </w:num>
  <w:num w:numId="420">
    <w:abstractNumId w:val="257"/>
  </w:num>
  <w:num w:numId="421">
    <w:abstractNumId w:val="380"/>
  </w:num>
  <w:num w:numId="422">
    <w:abstractNumId w:val="460"/>
  </w:num>
  <w:num w:numId="423">
    <w:abstractNumId w:val="504"/>
  </w:num>
  <w:num w:numId="424">
    <w:abstractNumId w:val="253"/>
  </w:num>
  <w:num w:numId="425">
    <w:abstractNumId w:val="478"/>
  </w:num>
  <w:num w:numId="426">
    <w:abstractNumId w:val="110"/>
  </w:num>
  <w:num w:numId="427">
    <w:abstractNumId w:val="43"/>
  </w:num>
  <w:num w:numId="428">
    <w:abstractNumId w:val="463"/>
  </w:num>
  <w:num w:numId="429">
    <w:abstractNumId w:val="207"/>
  </w:num>
  <w:num w:numId="430">
    <w:abstractNumId w:val="166"/>
  </w:num>
  <w:num w:numId="431">
    <w:abstractNumId w:val="438"/>
  </w:num>
  <w:num w:numId="432">
    <w:abstractNumId w:val="334"/>
  </w:num>
  <w:num w:numId="433">
    <w:abstractNumId w:val="381"/>
  </w:num>
  <w:num w:numId="434">
    <w:abstractNumId w:val="230"/>
  </w:num>
  <w:num w:numId="435">
    <w:abstractNumId w:val="489"/>
  </w:num>
  <w:num w:numId="436">
    <w:abstractNumId w:val="108"/>
  </w:num>
  <w:num w:numId="437">
    <w:abstractNumId w:val="120"/>
  </w:num>
  <w:num w:numId="438">
    <w:abstractNumId w:val="324"/>
  </w:num>
  <w:num w:numId="439">
    <w:abstractNumId w:val="446"/>
  </w:num>
  <w:num w:numId="440">
    <w:abstractNumId w:val="36"/>
  </w:num>
  <w:num w:numId="441">
    <w:abstractNumId w:val="299"/>
  </w:num>
  <w:num w:numId="442">
    <w:abstractNumId w:val="61"/>
  </w:num>
  <w:num w:numId="443">
    <w:abstractNumId w:val="134"/>
  </w:num>
  <w:num w:numId="444">
    <w:abstractNumId w:val="331"/>
  </w:num>
  <w:num w:numId="445">
    <w:abstractNumId w:val="49"/>
  </w:num>
  <w:num w:numId="446">
    <w:abstractNumId w:val="434"/>
  </w:num>
  <w:num w:numId="447">
    <w:abstractNumId w:val="326"/>
  </w:num>
  <w:num w:numId="448">
    <w:abstractNumId w:val="38"/>
  </w:num>
  <w:num w:numId="449">
    <w:abstractNumId w:val="250"/>
  </w:num>
  <w:num w:numId="450">
    <w:abstractNumId w:val="388"/>
  </w:num>
  <w:num w:numId="451">
    <w:abstractNumId w:val="271"/>
  </w:num>
  <w:num w:numId="452">
    <w:abstractNumId w:val="158"/>
  </w:num>
  <w:num w:numId="453">
    <w:abstractNumId w:val="122"/>
  </w:num>
  <w:num w:numId="454">
    <w:abstractNumId w:val="113"/>
  </w:num>
  <w:num w:numId="455">
    <w:abstractNumId w:val="291"/>
  </w:num>
  <w:num w:numId="456">
    <w:abstractNumId w:val="491"/>
  </w:num>
  <w:num w:numId="457">
    <w:abstractNumId w:val="330"/>
  </w:num>
  <w:num w:numId="458">
    <w:abstractNumId w:val="511"/>
  </w:num>
  <w:num w:numId="459">
    <w:abstractNumId w:val="481"/>
  </w:num>
  <w:num w:numId="460">
    <w:abstractNumId w:val="218"/>
  </w:num>
  <w:num w:numId="461">
    <w:abstractNumId w:val="227"/>
  </w:num>
  <w:num w:numId="462">
    <w:abstractNumId w:val="303"/>
  </w:num>
  <w:num w:numId="463">
    <w:abstractNumId w:val="25"/>
  </w:num>
  <w:num w:numId="464">
    <w:abstractNumId w:val="150"/>
  </w:num>
  <w:num w:numId="465">
    <w:abstractNumId w:val="429"/>
  </w:num>
  <w:num w:numId="466">
    <w:abstractNumId w:val="72"/>
  </w:num>
  <w:num w:numId="467">
    <w:abstractNumId w:val="462"/>
  </w:num>
  <w:num w:numId="468">
    <w:abstractNumId w:val="112"/>
  </w:num>
  <w:num w:numId="469">
    <w:abstractNumId w:val="401"/>
  </w:num>
  <w:num w:numId="470">
    <w:abstractNumId w:val="424"/>
  </w:num>
  <w:num w:numId="471">
    <w:abstractNumId w:val="111"/>
  </w:num>
  <w:num w:numId="472">
    <w:abstractNumId w:val="298"/>
  </w:num>
  <w:num w:numId="473">
    <w:abstractNumId w:val="320"/>
  </w:num>
  <w:num w:numId="474">
    <w:abstractNumId w:val="466"/>
  </w:num>
  <w:num w:numId="475">
    <w:abstractNumId w:val="27"/>
  </w:num>
  <w:num w:numId="476">
    <w:abstractNumId w:val="221"/>
  </w:num>
  <w:num w:numId="477">
    <w:abstractNumId w:val="204"/>
  </w:num>
  <w:num w:numId="478">
    <w:abstractNumId w:val="360"/>
  </w:num>
  <w:num w:numId="479">
    <w:abstractNumId w:val="241"/>
  </w:num>
  <w:num w:numId="480">
    <w:abstractNumId w:val="347"/>
  </w:num>
  <w:num w:numId="481">
    <w:abstractNumId w:val="327"/>
  </w:num>
  <w:num w:numId="482">
    <w:abstractNumId w:val="231"/>
  </w:num>
  <w:num w:numId="483">
    <w:abstractNumId w:val="85"/>
  </w:num>
  <w:num w:numId="484">
    <w:abstractNumId w:val="301"/>
  </w:num>
  <w:num w:numId="485">
    <w:abstractNumId w:val="382"/>
  </w:num>
  <w:num w:numId="486">
    <w:abstractNumId w:val="344"/>
  </w:num>
  <w:num w:numId="487">
    <w:abstractNumId w:val="248"/>
  </w:num>
  <w:num w:numId="488">
    <w:abstractNumId w:val="80"/>
  </w:num>
  <w:num w:numId="489">
    <w:abstractNumId w:val="261"/>
  </w:num>
  <w:num w:numId="490">
    <w:abstractNumId w:val="69"/>
  </w:num>
  <w:num w:numId="491">
    <w:abstractNumId w:val="131"/>
  </w:num>
  <w:num w:numId="492">
    <w:abstractNumId w:val="377"/>
  </w:num>
  <w:num w:numId="493">
    <w:abstractNumId w:val="484"/>
  </w:num>
  <w:num w:numId="494">
    <w:abstractNumId w:val="24"/>
  </w:num>
  <w:num w:numId="495">
    <w:abstractNumId w:val="223"/>
  </w:num>
  <w:num w:numId="496">
    <w:abstractNumId w:val="172"/>
  </w:num>
  <w:num w:numId="497">
    <w:abstractNumId w:val="246"/>
  </w:num>
  <w:num w:numId="498">
    <w:abstractNumId w:val="127"/>
  </w:num>
  <w:num w:numId="499">
    <w:abstractNumId w:val="42"/>
  </w:num>
  <w:num w:numId="500">
    <w:abstractNumId w:val="63"/>
  </w:num>
  <w:num w:numId="501">
    <w:abstractNumId w:val="419"/>
  </w:num>
  <w:num w:numId="502">
    <w:abstractNumId w:val="337"/>
  </w:num>
  <w:num w:numId="503">
    <w:abstractNumId w:val="96"/>
  </w:num>
  <w:num w:numId="504">
    <w:abstractNumId w:val="74"/>
  </w:num>
  <w:num w:numId="505">
    <w:abstractNumId w:val="411"/>
  </w:num>
  <w:num w:numId="506">
    <w:abstractNumId w:val="16"/>
  </w:num>
  <w:numIdMacAtCleanup w:val="5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hideGrammaticalErrors/>
  <w:activeWritingStyle w:appName="MSWord" w:lang="it-IT" w:vendorID="64" w:dllVersion="6" w:nlCheck="1" w:checkStyle="0"/>
  <w:activeWritingStyle w:appName="MSWord" w:lang="en-GB" w:vendorID="64" w:dllVersion="6" w:nlCheck="1" w:checkStyle="0"/>
  <w:activeWritingStyle w:appName="MSWord" w:lang="es-ES" w:vendorID="64" w:dllVersion="6" w:nlCheck="1" w:checkStyle="0"/>
  <w:activeWritingStyle w:appName="MSWord" w:lang="fr-BE" w:vendorID="64" w:dllVersion="6" w:nlCheck="1" w:checkStyle="0"/>
  <w:activeWritingStyle w:appName="MSWord" w:lang="en-US" w:vendorID="64" w:dllVersion="6" w:nlCheck="1" w:checkStyle="1"/>
  <w:activeWritingStyle w:appName="MSWord" w:lang="fr-FR" w:vendorID="64" w:dllVersion="6" w:nlCheck="1" w:checkStyle="1"/>
  <w:activeWritingStyle w:appName="MSWord" w:lang="en-IE" w:vendorID="64" w:dllVersion="6" w:nlCheck="1" w:checkStyle="1"/>
  <w:activeWritingStyle w:appName="MSWord" w:lang="de-DE" w:vendorID="64" w:dllVersion="6" w:nlCheck="1" w:checkStyle="1"/>
  <w:activeWritingStyle w:appName="MSWord" w:lang="nl-NL" w:vendorID="64" w:dllVersion="6" w:nlCheck="1" w:checkStyle="0"/>
  <w:activeWritingStyle w:appName="MSWord" w:lang="pt-PT" w:vendorID="64" w:dllVersion="6" w:nlCheck="1" w:checkStyle="0"/>
  <w:activeWritingStyle w:appName="MSWord" w:lang="da-DK" w:vendorID="64" w:dllVersion="6" w:nlCheck="1" w:checkStyle="0"/>
  <w:activeWritingStyle w:appName="MSWord" w:lang="nb-NO" w:vendorID="64" w:dllVersion="6" w:nlCheck="1" w:checkStyle="0"/>
  <w:activeWritingStyle w:appName="MSWord" w:lang="es-MX"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es-ES" w:vendorID="64" w:dllVersion="131078" w:nlCheck="1" w:checkStyle="0"/>
  <w:activeWritingStyle w:appName="MSWord" w:lang="en-GB" w:vendorID="64" w:dllVersion="131078" w:nlCheck="1" w:checkStyle="1"/>
  <w:activeWritingStyle w:appName="MSWord" w:lang="nl-NL" w:vendorID="64" w:dllVersion="131078" w:nlCheck="1" w:checkStyle="0"/>
  <w:activeWritingStyle w:appName="MSWord" w:lang="pt-PT" w:vendorID="64" w:dllVersion="131078" w:nlCheck="1" w:checkStyle="0"/>
  <w:activeWritingStyle w:appName="MSWord" w:lang="en-US" w:vendorID="64" w:dllVersion="131078" w:nlCheck="1" w:checkStyle="1"/>
  <w:activeWritingStyle w:appName="MSWord" w:lang="fr-BE" w:vendorID="64" w:dllVersion="131078" w:nlCheck="1" w:checkStyle="0"/>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autoHyphenation/>
  <w:hyphenationZone w:val="425"/>
  <w:evenAndOddHeaders/>
  <w:drawingGridHorizontalSpacing w:val="120"/>
  <w:drawingGridVerticalSpacing w:val="163"/>
  <w:displayHorizontalDrawingGridEvery w:val="2"/>
  <w:displayVerticalDrawingGridEvery w:val="2"/>
  <w:characterSpacingControl w:val="doNotCompress"/>
  <w:hdrShapeDefaults>
    <o:shapedefaults v:ext="edit" spidmax="40961" style="mso-position-vertical-relative:line" fill="f" fillcolor="white" stroke="f">
      <v:fill color="white" on="f"/>
      <v:stroke on="f"/>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0503EB"/>
    <w:rsid w:val="000001F5"/>
    <w:rsid w:val="000003F4"/>
    <w:rsid w:val="00000D05"/>
    <w:rsid w:val="00000F50"/>
    <w:rsid w:val="00000FB4"/>
    <w:rsid w:val="00001416"/>
    <w:rsid w:val="000015F2"/>
    <w:rsid w:val="00001882"/>
    <w:rsid w:val="00001A00"/>
    <w:rsid w:val="0000208F"/>
    <w:rsid w:val="00002A6D"/>
    <w:rsid w:val="0000374F"/>
    <w:rsid w:val="00003860"/>
    <w:rsid w:val="00003878"/>
    <w:rsid w:val="00003BB2"/>
    <w:rsid w:val="00004007"/>
    <w:rsid w:val="00004520"/>
    <w:rsid w:val="00004CC1"/>
    <w:rsid w:val="00005002"/>
    <w:rsid w:val="000059B6"/>
    <w:rsid w:val="00005EE5"/>
    <w:rsid w:val="0000629E"/>
    <w:rsid w:val="00006429"/>
    <w:rsid w:val="00006754"/>
    <w:rsid w:val="00006820"/>
    <w:rsid w:val="00006D0F"/>
    <w:rsid w:val="000072F9"/>
    <w:rsid w:val="00007A65"/>
    <w:rsid w:val="00007CC2"/>
    <w:rsid w:val="00007D45"/>
    <w:rsid w:val="0001025C"/>
    <w:rsid w:val="000102A1"/>
    <w:rsid w:val="0001035C"/>
    <w:rsid w:val="000105D4"/>
    <w:rsid w:val="00010B9D"/>
    <w:rsid w:val="000113BC"/>
    <w:rsid w:val="0001140D"/>
    <w:rsid w:val="0001191E"/>
    <w:rsid w:val="0001197D"/>
    <w:rsid w:val="00012012"/>
    <w:rsid w:val="0001222C"/>
    <w:rsid w:val="00012339"/>
    <w:rsid w:val="0001249F"/>
    <w:rsid w:val="00012502"/>
    <w:rsid w:val="00012B28"/>
    <w:rsid w:val="00012B5F"/>
    <w:rsid w:val="0001321A"/>
    <w:rsid w:val="000134E3"/>
    <w:rsid w:val="0001370A"/>
    <w:rsid w:val="00013A04"/>
    <w:rsid w:val="00013A4B"/>
    <w:rsid w:val="00013BC2"/>
    <w:rsid w:val="00013C59"/>
    <w:rsid w:val="00014605"/>
    <w:rsid w:val="00014760"/>
    <w:rsid w:val="00014788"/>
    <w:rsid w:val="00014A55"/>
    <w:rsid w:val="00014AC2"/>
    <w:rsid w:val="0001511C"/>
    <w:rsid w:val="00015147"/>
    <w:rsid w:val="00015573"/>
    <w:rsid w:val="000155CD"/>
    <w:rsid w:val="0001583B"/>
    <w:rsid w:val="00015C0E"/>
    <w:rsid w:val="00016556"/>
    <w:rsid w:val="00016E91"/>
    <w:rsid w:val="00017DC3"/>
    <w:rsid w:val="00017F27"/>
    <w:rsid w:val="0002010D"/>
    <w:rsid w:val="0002036A"/>
    <w:rsid w:val="0002060A"/>
    <w:rsid w:val="000208CF"/>
    <w:rsid w:val="00020F26"/>
    <w:rsid w:val="000210AD"/>
    <w:rsid w:val="0002131D"/>
    <w:rsid w:val="000219A3"/>
    <w:rsid w:val="00021AB7"/>
    <w:rsid w:val="0002223E"/>
    <w:rsid w:val="000224E2"/>
    <w:rsid w:val="00022A2E"/>
    <w:rsid w:val="00022A63"/>
    <w:rsid w:val="00022D90"/>
    <w:rsid w:val="00022EF8"/>
    <w:rsid w:val="00023608"/>
    <w:rsid w:val="000238AE"/>
    <w:rsid w:val="00023B91"/>
    <w:rsid w:val="0002425E"/>
    <w:rsid w:val="00024347"/>
    <w:rsid w:val="00024965"/>
    <w:rsid w:val="000249D8"/>
    <w:rsid w:val="00024D0D"/>
    <w:rsid w:val="00025571"/>
    <w:rsid w:val="000257A1"/>
    <w:rsid w:val="00025AA3"/>
    <w:rsid w:val="00025E98"/>
    <w:rsid w:val="00025FBC"/>
    <w:rsid w:val="000261AC"/>
    <w:rsid w:val="00026ACD"/>
    <w:rsid w:val="00026F98"/>
    <w:rsid w:val="00027538"/>
    <w:rsid w:val="000275CF"/>
    <w:rsid w:val="000275F5"/>
    <w:rsid w:val="000276BD"/>
    <w:rsid w:val="00027850"/>
    <w:rsid w:val="00027C8F"/>
    <w:rsid w:val="00030686"/>
    <w:rsid w:val="00030B9E"/>
    <w:rsid w:val="00030BE8"/>
    <w:rsid w:val="00031161"/>
    <w:rsid w:val="000311BE"/>
    <w:rsid w:val="00031ED0"/>
    <w:rsid w:val="00032452"/>
    <w:rsid w:val="000327D2"/>
    <w:rsid w:val="000329BD"/>
    <w:rsid w:val="00032AA1"/>
    <w:rsid w:val="00032ECA"/>
    <w:rsid w:val="00032F5D"/>
    <w:rsid w:val="000330A5"/>
    <w:rsid w:val="000335D0"/>
    <w:rsid w:val="0003377C"/>
    <w:rsid w:val="0003393B"/>
    <w:rsid w:val="00033C51"/>
    <w:rsid w:val="000342AA"/>
    <w:rsid w:val="0003433E"/>
    <w:rsid w:val="00034A6C"/>
    <w:rsid w:val="00034C4A"/>
    <w:rsid w:val="00034EA2"/>
    <w:rsid w:val="0003531C"/>
    <w:rsid w:val="00035D53"/>
    <w:rsid w:val="0003669F"/>
    <w:rsid w:val="00036865"/>
    <w:rsid w:val="0003689C"/>
    <w:rsid w:val="00036F8E"/>
    <w:rsid w:val="00037048"/>
    <w:rsid w:val="00037480"/>
    <w:rsid w:val="00037583"/>
    <w:rsid w:val="000376D7"/>
    <w:rsid w:val="000401FE"/>
    <w:rsid w:val="00040840"/>
    <w:rsid w:val="000411E7"/>
    <w:rsid w:val="000418BF"/>
    <w:rsid w:val="0004198B"/>
    <w:rsid w:val="00041D70"/>
    <w:rsid w:val="000421FA"/>
    <w:rsid w:val="00042267"/>
    <w:rsid w:val="000427B9"/>
    <w:rsid w:val="00042E8C"/>
    <w:rsid w:val="000432A2"/>
    <w:rsid w:val="00043CAA"/>
    <w:rsid w:val="000442D1"/>
    <w:rsid w:val="00044815"/>
    <w:rsid w:val="00044CD4"/>
    <w:rsid w:val="0004567D"/>
    <w:rsid w:val="000458CD"/>
    <w:rsid w:val="00045AF1"/>
    <w:rsid w:val="00045B8D"/>
    <w:rsid w:val="00046A12"/>
    <w:rsid w:val="00046C68"/>
    <w:rsid w:val="0004704C"/>
    <w:rsid w:val="000474C8"/>
    <w:rsid w:val="000475F1"/>
    <w:rsid w:val="0004783F"/>
    <w:rsid w:val="0004793C"/>
    <w:rsid w:val="00047C95"/>
    <w:rsid w:val="00050245"/>
    <w:rsid w:val="000503EB"/>
    <w:rsid w:val="00050FAB"/>
    <w:rsid w:val="00051210"/>
    <w:rsid w:val="000516ED"/>
    <w:rsid w:val="00051C67"/>
    <w:rsid w:val="0005224B"/>
    <w:rsid w:val="00052AA4"/>
    <w:rsid w:val="00052B6F"/>
    <w:rsid w:val="00052D63"/>
    <w:rsid w:val="00052E9A"/>
    <w:rsid w:val="00053A70"/>
    <w:rsid w:val="00053AC8"/>
    <w:rsid w:val="00053BB7"/>
    <w:rsid w:val="00054A06"/>
    <w:rsid w:val="00054F13"/>
    <w:rsid w:val="0005500E"/>
    <w:rsid w:val="00055C25"/>
    <w:rsid w:val="00056C89"/>
    <w:rsid w:val="000570C9"/>
    <w:rsid w:val="000572CC"/>
    <w:rsid w:val="0005777F"/>
    <w:rsid w:val="000578AB"/>
    <w:rsid w:val="00057CD6"/>
    <w:rsid w:val="00057F0E"/>
    <w:rsid w:val="0006056A"/>
    <w:rsid w:val="000609F1"/>
    <w:rsid w:val="00060AE0"/>
    <w:rsid w:val="00060CD2"/>
    <w:rsid w:val="00060FB2"/>
    <w:rsid w:val="000616FD"/>
    <w:rsid w:val="00061767"/>
    <w:rsid w:val="00061AB2"/>
    <w:rsid w:val="00061C49"/>
    <w:rsid w:val="000621F9"/>
    <w:rsid w:val="0006222F"/>
    <w:rsid w:val="0006230B"/>
    <w:rsid w:val="000623CB"/>
    <w:rsid w:val="000625BC"/>
    <w:rsid w:val="000625E1"/>
    <w:rsid w:val="00062A7B"/>
    <w:rsid w:val="00063658"/>
    <w:rsid w:val="00063A2A"/>
    <w:rsid w:val="00063CC3"/>
    <w:rsid w:val="0006456E"/>
    <w:rsid w:val="000648D9"/>
    <w:rsid w:val="00064FC8"/>
    <w:rsid w:val="000654C3"/>
    <w:rsid w:val="00065795"/>
    <w:rsid w:val="00065A4F"/>
    <w:rsid w:val="00065AB7"/>
    <w:rsid w:val="00065CFC"/>
    <w:rsid w:val="00065DAA"/>
    <w:rsid w:val="000660CA"/>
    <w:rsid w:val="000660D3"/>
    <w:rsid w:val="000662FD"/>
    <w:rsid w:val="000664B7"/>
    <w:rsid w:val="000664DA"/>
    <w:rsid w:val="00066CBF"/>
    <w:rsid w:val="00066D0A"/>
    <w:rsid w:val="00067019"/>
    <w:rsid w:val="00067C63"/>
    <w:rsid w:val="00067CFB"/>
    <w:rsid w:val="00067DE4"/>
    <w:rsid w:val="0007020F"/>
    <w:rsid w:val="00070268"/>
    <w:rsid w:val="000702CE"/>
    <w:rsid w:val="000707C6"/>
    <w:rsid w:val="00070829"/>
    <w:rsid w:val="00070D0A"/>
    <w:rsid w:val="00071784"/>
    <w:rsid w:val="000717FC"/>
    <w:rsid w:val="00072264"/>
    <w:rsid w:val="0007258B"/>
    <w:rsid w:val="00072D9C"/>
    <w:rsid w:val="00073105"/>
    <w:rsid w:val="000734F4"/>
    <w:rsid w:val="00073542"/>
    <w:rsid w:val="0007385C"/>
    <w:rsid w:val="00073987"/>
    <w:rsid w:val="00073A26"/>
    <w:rsid w:val="00073E87"/>
    <w:rsid w:val="00073EC7"/>
    <w:rsid w:val="000740A4"/>
    <w:rsid w:val="00074DD0"/>
    <w:rsid w:val="000750EB"/>
    <w:rsid w:val="0007511C"/>
    <w:rsid w:val="0007516B"/>
    <w:rsid w:val="00075172"/>
    <w:rsid w:val="00075B15"/>
    <w:rsid w:val="00075C1D"/>
    <w:rsid w:val="00076605"/>
    <w:rsid w:val="00076F89"/>
    <w:rsid w:val="000772FC"/>
    <w:rsid w:val="0007733B"/>
    <w:rsid w:val="000774C5"/>
    <w:rsid w:val="00077EA7"/>
    <w:rsid w:val="00080213"/>
    <w:rsid w:val="00080782"/>
    <w:rsid w:val="00080BDC"/>
    <w:rsid w:val="00080CA3"/>
    <w:rsid w:val="00080FAA"/>
    <w:rsid w:val="00081127"/>
    <w:rsid w:val="000820D1"/>
    <w:rsid w:val="000822D3"/>
    <w:rsid w:val="000828B2"/>
    <w:rsid w:val="000829C0"/>
    <w:rsid w:val="00082A25"/>
    <w:rsid w:val="00082CCE"/>
    <w:rsid w:val="00082E18"/>
    <w:rsid w:val="000831BA"/>
    <w:rsid w:val="0008340A"/>
    <w:rsid w:val="000835C0"/>
    <w:rsid w:val="000835DA"/>
    <w:rsid w:val="0008372D"/>
    <w:rsid w:val="00083B97"/>
    <w:rsid w:val="00084214"/>
    <w:rsid w:val="00084531"/>
    <w:rsid w:val="00084A06"/>
    <w:rsid w:val="00084BE2"/>
    <w:rsid w:val="00084E9B"/>
    <w:rsid w:val="00085011"/>
    <w:rsid w:val="00085065"/>
    <w:rsid w:val="0008519C"/>
    <w:rsid w:val="000856EF"/>
    <w:rsid w:val="00085B3C"/>
    <w:rsid w:val="00085D7C"/>
    <w:rsid w:val="00085E49"/>
    <w:rsid w:val="000864C2"/>
    <w:rsid w:val="000864C9"/>
    <w:rsid w:val="00086694"/>
    <w:rsid w:val="000868AA"/>
    <w:rsid w:val="0008693F"/>
    <w:rsid w:val="0008695C"/>
    <w:rsid w:val="00086A8D"/>
    <w:rsid w:val="00086B6B"/>
    <w:rsid w:val="0008734F"/>
    <w:rsid w:val="00087BA6"/>
    <w:rsid w:val="00087CF3"/>
    <w:rsid w:val="00090065"/>
    <w:rsid w:val="000904DC"/>
    <w:rsid w:val="00090A07"/>
    <w:rsid w:val="00090C1B"/>
    <w:rsid w:val="00091531"/>
    <w:rsid w:val="0009190F"/>
    <w:rsid w:val="00091CE7"/>
    <w:rsid w:val="00091FDE"/>
    <w:rsid w:val="0009230A"/>
    <w:rsid w:val="0009274E"/>
    <w:rsid w:val="00092BE2"/>
    <w:rsid w:val="00092EEF"/>
    <w:rsid w:val="000935A5"/>
    <w:rsid w:val="000938E9"/>
    <w:rsid w:val="0009394F"/>
    <w:rsid w:val="000939DC"/>
    <w:rsid w:val="000940EB"/>
    <w:rsid w:val="00094589"/>
    <w:rsid w:val="00094B27"/>
    <w:rsid w:val="00094E06"/>
    <w:rsid w:val="00095238"/>
    <w:rsid w:val="00095751"/>
    <w:rsid w:val="00095755"/>
    <w:rsid w:val="00095788"/>
    <w:rsid w:val="000957A8"/>
    <w:rsid w:val="00095BD2"/>
    <w:rsid w:val="00095D62"/>
    <w:rsid w:val="00096780"/>
    <w:rsid w:val="00096938"/>
    <w:rsid w:val="00097980"/>
    <w:rsid w:val="00097A18"/>
    <w:rsid w:val="00097C7B"/>
    <w:rsid w:val="00097D4D"/>
    <w:rsid w:val="00097D5F"/>
    <w:rsid w:val="00097E4C"/>
    <w:rsid w:val="000A00AF"/>
    <w:rsid w:val="000A01E3"/>
    <w:rsid w:val="000A0209"/>
    <w:rsid w:val="000A02D5"/>
    <w:rsid w:val="000A045F"/>
    <w:rsid w:val="000A0514"/>
    <w:rsid w:val="000A065E"/>
    <w:rsid w:val="000A0E6B"/>
    <w:rsid w:val="000A15D6"/>
    <w:rsid w:val="000A1737"/>
    <w:rsid w:val="000A1A1E"/>
    <w:rsid w:val="000A1A2B"/>
    <w:rsid w:val="000A1A91"/>
    <w:rsid w:val="000A2178"/>
    <w:rsid w:val="000A21EE"/>
    <w:rsid w:val="000A233B"/>
    <w:rsid w:val="000A28F8"/>
    <w:rsid w:val="000A2C47"/>
    <w:rsid w:val="000A2C8E"/>
    <w:rsid w:val="000A300F"/>
    <w:rsid w:val="000A362E"/>
    <w:rsid w:val="000A3EB6"/>
    <w:rsid w:val="000A4175"/>
    <w:rsid w:val="000A4316"/>
    <w:rsid w:val="000A4467"/>
    <w:rsid w:val="000A45D4"/>
    <w:rsid w:val="000A48B2"/>
    <w:rsid w:val="000A4C5F"/>
    <w:rsid w:val="000A4F03"/>
    <w:rsid w:val="000A4F2D"/>
    <w:rsid w:val="000A5237"/>
    <w:rsid w:val="000A5461"/>
    <w:rsid w:val="000A575C"/>
    <w:rsid w:val="000A63DB"/>
    <w:rsid w:val="000A6891"/>
    <w:rsid w:val="000A691E"/>
    <w:rsid w:val="000A693F"/>
    <w:rsid w:val="000A6D5F"/>
    <w:rsid w:val="000A733C"/>
    <w:rsid w:val="000A7374"/>
    <w:rsid w:val="000A78C8"/>
    <w:rsid w:val="000A7C98"/>
    <w:rsid w:val="000A7CFC"/>
    <w:rsid w:val="000B00DB"/>
    <w:rsid w:val="000B0712"/>
    <w:rsid w:val="000B0AB9"/>
    <w:rsid w:val="000B152B"/>
    <w:rsid w:val="000B15AE"/>
    <w:rsid w:val="000B1D65"/>
    <w:rsid w:val="000B1E2F"/>
    <w:rsid w:val="000B20F9"/>
    <w:rsid w:val="000B289B"/>
    <w:rsid w:val="000B2D2A"/>
    <w:rsid w:val="000B2ED4"/>
    <w:rsid w:val="000B2F3E"/>
    <w:rsid w:val="000B30AA"/>
    <w:rsid w:val="000B3487"/>
    <w:rsid w:val="000B35DF"/>
    <w:rsid w:val="000B3906"/>
    <w:rsid w:val="000B3A89"/>
    <w:rsid w:val="000B3CF7"/>
    <w:rsid w:val="000B3DCE"/>
    <w:rsid w:val="000B3FA8"/>
    <w:rsid w:val="000B441D"/>
    <w:rsid w:val="000B4470"/>
    <w:rsid w:val="000B4501"/>
    <w:rsid w:val="000B48F1"/>
    <w:rsid w:val="000B51CC"/>
    <w:rsid w:val="000B521B"/>
    <w:rsid w:val="000B5307"/>
    <w:rsid w:val="000B53C8"/>
    <w:rsid w:val="000B563E"/>
    <w:rsid w:val="000B5904"/>
    <w:rsid w:val="000B5AFA"/>
    <w:rsid w:val="000B5B94"/>
    <w:rsid w:val="000B6032"/>
    <w:rsid w:val="000B617B"/>
    <w:rsid w:val="000B6230"/>
    <w:rsid w:val="000B6A91"/>
    <w:rsid w:val="000B6D74"/>
    <w:rsid w:val="000B7184"/>
    <w:rsid w:val="000B71BD"/>
    <w:rsid w:val="000B7245"/>
    <w:rsid w:val="000B758A"/>
    <w:rsid w:val="000B79A8"/>
    <w:rsid w:val="000B7DED"/>
    <w:rsid w:val="000B7E0C"/>
    <w:rsid w:val="000B7ECB"/>
    <w:rsid w:val="000C044F"/>
    <w:rsid w:val="000C0701"/>
    <w:rsid w:val="000C080A"/>
    <w:rsid w:val="000C0BEC"/>
    <w:rsid w:val="000C0F2F"/>
    <w:rsid w:val="000C0F8E"/>
    <w:rsid w:val="000C18AC"/>
    <w:rsid w:val="000C1C48"/>
    <w:rsid w:val="000C1F5A"/>
    <w:rsid w:val="000C200F"/>
    <w:rsid w:val="000C206C"/>
    <w:rsid w:val="000C229C"/>
    <w:rsid w:val="000C236D"/>
    <w:rsid w:val="000C24C9"/>
    <w:rsid w:val="000C2974"/>
    <w:rsid w:val="000C2B0A"/>
    <w:rsid w:val="000C2C41"/>
    <w:rsid w:val="000C2EB1"/>
    <w:rsid w:val="000C30C7"/>
    <w:rsid w:val="000C31B6"/>
    <w:rsid w:val="000C3518"/>
    <w:rsid w:val="000C3B62"/>
    <w:rsid w:val="000C4029"/>
    <w:rsid w:val="000C4948"/>
    <w:rsid w:val="000C49CD"/>
    <w:rsid w:val="000C4A92"/>
    <w:rsid w:val="000C4BFF"/>
    <w:rsid w:val="000C554F"/>
    <w:rsid w:val="000C5AFF"/>
    <w:rsid w:val="000C5F6B"/>
    <w:rsid w:val="000C6289"/>
    <w:rsid w:val="000C6FA1"/>
    <w:rsid w:val="000C7383"/>
    <w:rsid w:val="000C762C"/>
    <w:rsid w:val="000C76ED"/>
    <w:rsid w:val="000C7FA1"/>
    <w:rsid w:val="000D0486"/>
    <w:rsid w:val="000D074F"/>
    <w:rsid w:val="000D0E05"/>
    <w:rsid w:val="000D1577"/>
    <w:rsid w:val="000D15D8"/>
    <w:rsid w:val="000D1829"/>
    <w:rsid w:val="000D1B48"/>
    <w:rsid w:val="000D1D40"/>
    <w:rsid w:val="000D21E4"/>
    <w:rsid w:val="000D25C2"/>
    <w:rsid w:val="000D2787"/>
    <w:rsid w:val="000D2CB5"/>
    <w:rsid w:val="000D2CD9"/>
    <w:rsid w:val="000D31E0"/>
    <w:rsid w:val="000D344B"/>
    <w:rsid w:val="000D3B76"/>
    <w:rsid w:val="000D3DD3"/>
    <w:rsid w:val="000D4282"/>
    <w:rsid w:val="000D4E5B"/>
    <w:rsid w:val="000D4EA2"/>
    <w:rsid w:val="000D530B"/>
    <w:rsid w:val="000D574D"/>
    <w:rsid w:val="000D5B4D"/>
    <w:rsid w:val="000D5F58"/>
    <w:rsid w:val="000D60CF"/>
    <w:rsid w:val="000D6510"/>
    <w:rsid w:val="000D656E"/>
    <w:rsid w:val="000D665B"/>
    <w:rsid w:val="000D7543"/>
    <w:rsid w:val="000D7563"/>
    <w:rsid w:val="000D7924"/>
    <w:rsid w:val="000D7AC1"/>
    <w:rsid w:val="000E0149"/>
    <w:rsid w:val="000E0236"/>
    <w:rsid w:val="000E07E2"/>
    <w:rsid w:val="000E07E3"/>
    <w:rsid w:val="000E09EB"/>
    <w:rsid w:val="000E0BEE"/>
    <w:rsid w:val="000E0C3C"/>
    <w:rsid w:val="000E0C8F"/>
    <w:rsid w:val="000E18F6"/>
    <w:rsid w:val="000E1EFF"/>
    <w:rsid w:val="000E1F00"/>
    <w:rsid w:val="000E1FEC"/>
    <w:rsid w:val="000E24C7"/>
    <w:rsid w:val="000E28FD"/>
    <w:rsid w:val="000E2B02"/>
    <w:rsid w:val="000E314C"/>
    <w:rsid w:val="000E38F6"/>
    <w:rsid w:val="000E3C12"/>
    <w:rsid w:val="000E3D76"/>
    <w:rsid w:val="000E3D86"/>
    <w:rsid w:val="000E4290"/>
    <w:rsid w:val="000E4E52"/>
    <w:rsid w:val="000E5113"/>
    <w:rsid w:val="000E5767"/>
    <w:rsid w:val="000E578C"/>
    <w:rsid w:val="000E5914"/>
    <w:rsid w:val="000E5DF4"/>
    <w:rsid w:val="000E6354"/>
    <w:rsid w:val="000E6508"/>
    <w:rsid w:val="000E69C5"/>
    <w:rsid w:val="000E7524"/>
    <w:rsid w:val="000E7703"/>
    <w:rsid w:val="000E7783"/>
    <w:rsid w:val="000E7D16"/>
    <w:rsid w:val="000E7F74"/>
    <w:rsid w:val="000F0281"/>
    <w:rsid w:val="000F049A"/>
    <w:rsid w:val="000F06EF"/>
    <w:rsid w:val="000F0C13"/>
    <w:rsid w:val="000F0F09"/>
    <w:rsid w:val="000F1129"/>
    <w:rsid w:val="000F1756"/>
    <w:rsid w:val="000F180C"/>
    <w:rsid w:val="000F19F2"/>
    <w:rsid w:val="000F1D4F"/>
    <w:rsid w:val="000F240C"/>
    <w:rsid w:val="000F25C6"/>
    <w:rsid w:val="000F2838"/>
    <w:rsid w:val="000F2B19"/>
    <w:rsid w:val="000F36A2"/>
    <w:rsid w:val="000F3AA8"/>
    <w:rsid w:val="000F3AF5"/>
    <w:rsid w:val="000F3FDB"/>
    <w:rsid w:val="000F4185"/>
    <w:rsid w:val="000F4373"/>
    <w:rsid w:val="000F46FA"/>
    <w:rsid w:val="000F495B"/>
    <w:rsid w:val="000F4E7D"/>
    <w:rsid w:val="000F4ECF"/>
    <w:rsid w:val="000F4FEE"/>
    <w:rsid w:val="000F511E"/>
    <w:rsid w:val="000F5559"/>
    <w:rsid w:val="000F5E6A"/>
    <w:rsid w:val="000F60AB"/>
    <w:rsid w:val="000F6664"/>
    <w:rsid w:val="000F69E8"/>
    <w:rsid w:val="000F6AED"/>
    <w:rsid w:val="000F6B47"/>
    <w:rsid w:val="000F6BE4"/>
    <w:rsid w:val="000F7B4F"/>
    <w:rsid w:val="000F7ED4"/>
    <w:rsid w:val="000F7F79"/>
    <w:rsid w:val="0010008C"/>
    <w:rsid w:val="00100349"/>
    <w:rsid w:val="00100F4C"/>
    <w:rsid w:val="001012DD"/>
    <w:rsid w:val="001015D3"/>
    <w:rsid w:val="001018E2"/>
    <w:rsid w:val="00101E6D"/>
    <w:rsid w:val="00101EC9"/>
    <w:rsid w:val="00102405"/>
    <w:rsid w:val="00102511"/>
    <w:rsid w:val="0010251A"/>
    <w:rsid w:val="00102894"/>
    <w:rsid w:val="0010306F"/>
    <w:rsid w:val="00103305"/>
    <w:rsid w:val="001035F5"/>
    <w:rsid w:val="0010441A"/>
    <w:rsid w:val="001048FE"/>
    <w:rsid w:val="001049D9"/>
    <w:rsid w:val="00104A08"/>
    <w:rsid w:val="00104AE6"/>
    <w:rsid w:val="00104F9C"/>
    <w:rsid w:val="00105519"/>
    <w:rsid w:val="0010614C"/>
    <w:rsid w:val="0010692D"/>
    <w:rsid w:val="00106BBE"/>
    <w:rsid w:val="00107194"/>
    <w:rsid w:val="00107ACE"/>
    <w:rsid w:val="00107B6D"/>
    <w:rsid w:val="00110262"/>
    <w:rsid w:val="001102DB"/>
    <w:rsid w:val="00110CD8"/>
    <w:rsid w:val="001111D5"/>
    <w:rsid w:val="0011150D"/>
    <w:rsid w:val="00111564"/>
    <w:rsid w:val="001115CB"/>
    <w:rsid w:val="001119A2"/>
    <w:rsid w:val="00111DED"/>
    <w:rsid w:val="001120E1"/>
    <w:rsid w:val="001128CF"/>
    <w:rsid w:val="00112A96"/>
    <w:rsid w:val="00112FB9"/>
    <w:rsid w:val="0011303F"/>
    <w:rsid w:val="0011317B"/>
    <w:rsid w:val="00113463"/>
    <w:rsid w:val="00114082"/>
    <w:rsid w:val="00114209"/>
    <w:rsid w:val="00114292"/>
    <w:rsid w:val="001143A9"/>
    <w:rsid w:val="0011453B"/>
    <w:rsid w:val="00114A3F"/>
    <w:rsid w:val="00114F11"/>
    <w:rsid w:val="00114F7F"/>
    <w:rsid w:val="0011506F"/>
    <w:rsid w:val="00115134"/>
    <w:rsid w:val="001155C5"/>
    <w:rsid w:val="001158E3"/>
    <w:rsid w:val="001159B0"/>
    <w:rsid w:val="00115FCC"/>
    <w:rsid w:val="001165A7"/>
    <w:rsid w:val="001167B9"/>
    <w:rsid w:val="001168FB"/>
    <w:rsid w:val="001174C7"/>
    <w:rsid w:val="00117657"/>
    <w:rsid w:val="001176E2"/>
    <w:rsid w:val="001178AE"/>
    <w:rsid w:val="0012010F"/>
    <w:rsid w:val="0012047B"/>
    <w:rsid w:val="001205B9"/>
    <w:rsid w:val="00120B77"/>
    <w:rsid w:val="00120E46"/>
    <w:rsid w:val="00121038"/>
    <w:rsid w:val="0012103D"/>
    <w:rsid w:val="00121086"/>
    <w:rsid w:val="00121A3B"/>
    <w:rsid w:val="00121B25"/>
    <w:rsid w:val="00121C5C"/>
    <w:rsid w:val="00121D18"/>
    <w:rsid w:val="0012221A"/>
    <w:rsid w:val="0012246D"/>
    <w:rsid w:val="001227E7"/>
    <w:rsid w:val="001227F0"/>
    <w:rsid w:val="00122BF5"/>
    <w:rsid w:val="00122DE1"/>
    <w:rsid w:val="00122E26"/>
    <w:rsid w:val="0012346C"/>
    <w:rsid w:val="0012391C"/>
    <w:rsid w:val="00123B0E"/>
    <w:rsid w:val="00123E6C"/>
    <w:rsid w:val="00124255"/>
    <w:rsid w:val="00124762"/>
    <w:rsid w:val="00124AE2"/>
    <w:rsid w:val="00124BFB"/>
    <w:rsid w:val="001250F4"/>
    <w:rsid w:val="0012533F"/>
    <w:rsid w:val="001254D5"/>
    <w:rsid w:val="0012571E"/>
    <w:rsid w:val="00125A23"/>
    <w:rsid w:val="00125B7C"/>
    <w:rsid w:val="00125E39"/>
    <w:rsid w:val="00125F73"/>
    <w:rsid w:val="00126319"/>
    <w:rsid w:val="00126328"/>
    <w:rsid w:val="001264B0"/>
    <w:rsid w:val="00126A40"/>
    <w:rsid w:val="001275C4"/>
    <w:rsid w:val="0012791E"/>
    <w:rsid w:val="00127FDC"/>
    <w:rsid w:val="00130218"/>
    <w:rsid w:val="0013024D"/>
    <w:rsid w:val="001304CD"/>
    <w:rsid w:val="001307D8"/>
    <w:rsid w:val="00130C7A"/>
    <w:rsid w:val="00130CC9"/>
    <w:rsid w:val="00130CFA"/>
    <w:rsid w:val="00130E05"/>
    <w:rsid w:val="00130ED3"/>
    <w:rsid w:val="00131146"/>
    <w:rsid w:val="00131181"/>
    <w:rsid w:val="0013135D"/>
    <w:rsid w:val="00131929"/>
    <w:rsid w:val="001319C0"/>
    <w:rsid w:val="00131CEE"/>
    <w:rsid w:val="00131DC4"/>
    <w:rsid w:val="00132431"/>
    <w:rsid w:val="00132851"/>
    <w:rsid w:val="00132982"/>
    <w:rsid w:val="00132A9B"/>
    <w:rsid w:val="00132BBA"/>
    <w:rsid w:val="00132C19"/>
    <w:rsid w:val="00132E7A"/>
    <w:rsid w:val="00133149"/>
    <w:rsid w:val="001336B1"/>
    <w:rsid w:val="00133810"/>
    <w:rsid w:val="001338C6"/>
    <w:rsid w:val="00133A97"/>
    <w:rsid w:val="00133D26"/>
    <w:rsid w:val="0013418A"/>
    <w:rsid w:val="001341BA"/>
    <w:rsid w:val="001341EF"/>
    <w:rsid w:val="00134AAE"/>
    <w:rsid w:val="001352EF"/>
    <w:rsid w:val="00135864"/>
    <w:rsid w:val="00135CB5"/>
    <w:rsid w:val="00135EDF"/>
    <w:rsid w:val="00135EF6"/>
    <w:rsid w:val="001364DA"/>
    <w:rsid w:val="001366BE"/>
    <w:rsid w:val="00137021"/>
    <w:rsid w:val="001374C6"/>
    <w:rsid w:val="00137B00"/>
    <w:rsid w:val="001406CA"/>
    <w:rsid w:val="00140A65"/>
    <w:rsid w:val="00140A9B"/>
    <w:rsid w:val="00140E3C"/>
    <w:rsid w:val="001410DF"/>
    <w:rsid w:val="001412C7"/>
    <w:rsid w:val="001416ED"/>
    <w:rsid w:val="00141B6E"/>
    <w:rsid w:val="00141E33"/>
    <w:rsid w:val="00141E54"/>
    <w:rsid w:val="00142126"/>
    <w:rsid w:val="001422E4"/>
    <w:rsid w:val="0014230B"/>
    <w:rsid w:val="001425AD"/>
    <w:rsid w:val="001425E2"/>
    <w:rsid w:val="00142646"/>
    <w:rsid w:val="00142A6C"/>
    <w:rsid w:val="00142D44"/>
    <w:rsid w:val="0014314A"/>
    <w:rsid w:val="001438C7"/>
    <w:rsid w:val="00143980"/>
    <w:rsid w:val="00143E01"/>
    <w:rsid w:val="00143FF3"/>
    <w:rsid w:val="001446BF"/>
    <w:rsid w:val="001449DC"/>
    <w:rsid w:val="001457CB"/>
    <w:rsid w:val="001461A5"/>
    <w:rsid w:val="00146F0E"/>
    <w:rsid w:val="0014778A"/>
    <w:rsid w:val="00147D7B"/>
    <w:rsid w:val="001500FD"/>
    <w:rsid w:val="001503C3"/>
    <w:rsid w:val="00150777"/>
    <w:rsid w:val="00150820"/>
    <w:rsid w:val="00150DF7"/>
    <w:rsid w:val="00151E5C"/>
    <w:rsid w:val="001522E0"/>
    <w:rsid w:val="001526F8"/>
    <w:rsid w:val="0015296D"/>
    <w:rsid w:val="00152C44"/>
    <w:rsid w:val="00152EE1"/>
    <w:rsid w:val="00153261"/>
    <w:rsid w:val="00153459"/>
    <w:rsid w:val="001536DD"/>
    <w:rsid w:val="001537AE"/>
    <w:rsid w:val="001537C3"/>
    <w:rsid w:val="00153B53"/>
    <w:rsid w:val="00154135"/>
    <w:rsid w:val="001546B0"/>
    <w:rsid w:val="00154A38"/>
    <w:rsid w:val="00154F83"/>
    <w:rsid w:val="00155886"/>
    <w:rsid w:val="001559C3"/>
    <w:rsid w:val="00155B8C"/>
    <w:rsid w:val="00155C49"/>
    <w:rsid w:val="00155DA8"/>
    <w:rsid w:val="001564A0"/>
    <w:rsid w:val="001564C6"/>
    <w:rsid w:val="00156762"/>
    <w:rsid w:val="0015677C"/>
    <w:rsid w:val="00156AE6"/>
    <w:rsid w:val="00156F62"/>
    <w:rsid w:val="00157114"/>
    <w:rsid w:val="00157871"/>
    <w:rsid w:val="001578A9"/>
    <w:rsid w:val="00157B89"/>
    <w:rsid w:val="00157E53"/>
    <w:rsid w:val="00157E75"/>
    <w:rsid w:val="00160072"/>
    <w:rsid w:val="00160257"/>
    <w:rsid w:val="00160C76"/>
    <w:rsid w:val="00160F96"/>
    <w:rsid w:val="00160FC2"/>
    <w:rsid w:val="001610AB"/>
    <w:rsid w:val="00161A16"/>
    <w:rsid w:val="00161C34"/>
    <w:rsid w:val="00162286"/>
    <w:rsid w:val="00162515"/>
    <w:rsid w:val="00162F2E"/>
    <w:rsid w:val="001631D4"/>
    <w:rsid w:val="0016333F"/>
    <w:rsid w:val="00163535"/>
    <w:rsid w:val="00163845"/>
    <w:rsid w:val="00163DA4"/>
    <w:rsid w:val="00163E88"/>
    <w:rsid w:val="00164096"/>
    <w:rsid w:val="00164564"/>
    <w:rsid w:val="001646FE"/>
    <w:rsid w:val="001647E9"/>
    <w:rsid w:val="00164AB5"/>
    <w:rsid w:val="00164B42"/>
    <w:rsid w:val="00164BBA"/>
    <w:rsid w:val="00164C33"/>
    <w:rsid w:val="00164CE6"/>
    <w:rsid w:val="001650E2"/>
    <w:rsid w:val="0016543F"/>
    <w:rsid w:val="001654BE"/>
    <w:rsid w:val="00165AD5"/>
    <w:rsid w:val="00165EB2"/>
    <w:rsid w:val="001662A5"/>
    <w:rsid w:val="001665ED"/>
    <w:rsid w:val="001667F7"/>
    <w:rsid w:val="00166BA1"/>
    <w:rsid w:val="001670CB"/>
    <w:rsid w:val="00167229"/>
    <w:rsid w:val="0016723A"/>
    <w:rsid w:val="001675D7"/>
    <w:rsid w:val="00167735"/>
    <w:rsid w:val="00167D2E"/>
    <w:rsid w:val="00167E31"/>
    <w:rsid w:val="00167F16"/>
    <w:rsid w:val="00170518"/>
    <w:rsid w:val="001705BC"/>
    <w:rsid w:val="001706EA"/>
    <w:rsid w:val="00170922"/>
    <w:rsid w:val="0017094A"/>
    <w:rsid w:val="00170B1A"/>
    <w:rsid w:val="00170C04"/>
    <w:rsid w:val="00170C6A"/>
    <w:rsid w:val="00170E48"/>
    <w:rsid w:val="001711EF"/>
    <w:rsid w:val="0017120B"/>
    <w:rsid w:val="001714D6"/>
    <w:rsid w:val="00171742"/>
    <w:rsid w:val="00171B8E"/>
    <w:rsid w:val="00171D3D"/>
    <w:rsid w:val="00171E21"/>
    <w:rsid w:val="00171FB6"/>
    <w:rsid w:val="00172602"/>
    <w:rsid w:val="001727D3"/>
    <w:rsid w:val="00172861"/>
    <w:rsid w:val="00172C73"/>
    <w:rsid w:val="0017351C"/>
    <w:rsid w:val="00173778"/>
    <w:rsid w:val="001746B6"/>
    <w:rsid w:val="00174AEA"/>
    <w:rsid w:val="00174DA7"/>
    <w:rsid w:val="00174FBB"/>
    <w:rsid w:val="001758FC"/>
    <w:rsid w:val="00175DDA"/>
    <w:rsid w:val="00175F34"/>
    <w:rsid w:val="00176DA7"/>
    <w:rsid w:val="00176F74"/>
    <w:rsid w:val="001774D1"/>
    <w:rsid w:val="00177581"/>
    <w:rsid w:val="00177C2C"/>
    <w:rsid w:val="00177DC4"/>
    <w:rsid w:val="00180097"/>
    <w:rsid w:val="00180259"/>
    <w:rsid w:val="0018068C"/>
    <w:rsid w:val="001809D8"/>
    <w:rsid w:val="001809E5"/>
    <w:rsid w:val="00180DAE"/>
    <w:rsid w:val="00180E25"/>
    <w:rsid w:val="001810B7"/>
    <w:rsid w:val="0018118A"/>
    <w:rsid w:val="0018158A"/>
    <w:rsid w:val="001815E7"/>
    <w:rsid w:val="0018166D"/>
    <w:rsid w:val="00181DB3"/>
    <w:rsid w:val="00182059"/>
    <w:rsid w:val="00182126"/>
    <w:rsid w:val="00182420"/>
    <w:rsid w:val="00182BF7"/>
    <w:rsid w:val="00182D83"/>
    <w:rsid w:val="00183202"/>
    <w:rsid w:val="00183576"/>
    <w:rsid w:val="001838CF"/>
    <w:rsid w:val="00183BAD"/>
    <w:rsid w:val="00184C20"/>
    <w:rsid w:val="00184C90"/>
    <w:rsid w:val="00185178"/>
    <w:rsid w:val="001855AC"/>
    <w:rsid w:val="00185941"/>
    <w:rsid w:val="00185C8D"/>
    <w:rsid w:val="00185E5B"/>
    <w:rsid w:val="00185E76"/>
    <w:rsid w:val="00185ECD"/>
    <w:rsid w:val="0018616D"/>
    <w:rsid w:val="00186420"/>
    <w:rsid w:val="00186878"/>
    <w:rsid w:val="00186A89"/>
    <w:rsid w:val="00186F77"/>
    <w:rsid w:val="00187153"/>
    <w:rsid w:val="0018720F"/>
    <w:rsid w:val="001874CA"/>
    <w:rsid w:val="001904E3"/>
    <w:rsid w:val="00190D0E"/>
    <w:rsid w:val="00190EE5"/>
    <w:rsid w:val="00191758"/>
    <w:rsid w:val="00191D9F"/>
    <w:rsid w:val="00192242"/>
    <w:rsid w:val="0019228F"/>
    <w:rsid w:val="001923DD"/>
    <w:rsid w:val="0019243E"/>
    <w:rsid w:val="0019267C"/>
    <w:rsid w:val="00192787"/>
    <w:rsid w:val="0019290E"/>
    <w:rsid w:val="00192F29"/>
    <w:rsid w:val="0019311F"/>
    <w:rsid w:val="001935CC"/>
    <w:rsid w:val="001937A5"/>
    <w:rsid w:val="00193E67"/>
    <w:rsid w:val="00193ECF"/>
    <w:rsid w:val="001944CB"/>
    <w:rsid w:val="00194905"/>
    <w:rsid w:val="00194C9E"/>
    <w:rsid w:val="00195208"/>
    <w:rsid w:val="0019535F"/>
    <w:rsid w:val="00195366"/>
    <w:rsid w:val="00195D4E"/>
    <w:rsid w:val="00195E62"/>
    <w:rsid w:val="0019634A"/>
    <w:rsid w:val="00196593"/>
    <w:rsid w:val="001965BC"/>
    <w:rsid w:val="00196F30"/>
    <w:rsid w:val="001974D1"/>
    <w:rsid w:val="0019773D"/>
    <w:rsid w:val="001978D3"/>
    <w:rsid w:val="00197CCF"/>
    <w:rsid w:val="001A00E4"/>
    <w:rsid w:val="001A09F3"/>
    <w:rsid w:val="001A1089"/>
    <w:rsid w:val="001A1D3C"/>
    <w:rsid w:val="001A1DAE"/>
    <w:rsid w:val="001A1DD0"/>
    <w:rsid w:val="001A2B1D"/>
    <w:rsid w:val="001A2F8B"/>
    <w:rsid w:val="001A39B5"/>
    <w:rsid w:val="001A3D2A"/>
    <w:rsid w:val="001A3DC5"/>
    <w:rsid w:val="001A4DEA"/>
    <w:rsid w:val="001A4E1B"/>
    <w:rsid w:val="001A4E9C"/>
    <w:rsid w:val="001A5051"/>
    <w:rsid w:val="001A522B"/>
    <w:rsid w:val="001A5457"/>
    <w:rsid w:val="001A5524"/>
    <w:rsid w:val="001A55A8"/>
    <w:rsid w:val="001A5D39"/>
    <w:rsid w:val="001A5E36"/>
    <w:rsid w:val="001A6337"/>
    <w:rsid w:val="001A637D"/>
    <w:rsid w:val="001A65A6"/>
    <w:rsid w:val="001A684E"/>
    <w:rsid w:val="001A6A30"/>
    <w:rsid w:val="001A73E3"/>
    <w:rsid w:val="001A78A9"/>
    <w:rsid w:val="001A7B03"/>
    <w:rsid w:val="001A7B93"/>
    <w:rsid w:val="001A7B95"/>
    <w:rsid w:val="001B03DF"/>
    <w:rsid w:val="001B049A"/>
    <w:rsid w:val="001B0555"/>
    <w:rsid w:val="001B05E8"/>
    <w:rsid w:val="001B157A"/>
    <w:rsid w:val="001B1B0D"/>
    <w:rsid w:val="001B1CB5"/>
    <w:rsid w:val="001B1E5F"/>
    <w:rsid w:val="001B1F79"/>
    <w:rsid w:val="001B205E"/>
    <w:rsid w:val="001B2657"/>
    <w:rsid w:val="001B314A"/>
    <w:rsid w:val="001B3985"/>
    <w:rsid w:val="001B3F28"/>
    <w:rsid w:val="001B48A6"/>
    <w:rsid w:val="001B4D9C"/>
    <w:rsid w:val="001B539F"/>
    <w:rsid w:val="001B541F"/>
    <w:rsid w:val="001B572C"/>
    <w:rsid w:val="001B5CB6"/>
    <w:rsid w:val="001B61CA"/>
    <w:rsid w:val="001B682F"/>
    <w:rsid w:val="001B6A00"/>
    <w:rsid w:val="001B6B86"/>
    <w:rsid w:val="001B6C47"/>
    <w:rsid w:val="001B6EA8"/>
    <w:rsid w:val="001B7041"/>
    <w:rsid w:val="001B7312"/>
    <w:rsid w:val="001B7806"/>
    <w:rsid w:val="001B7F3D"/>
    <w:rsid w:val="001C11B5"/>
    <w:rsid w:val="001C1234"/>
    <w:rsid w:val="001C1494"/>
    <w:rsid w:val="001C1AD9"/>
    <w:rsid w:val="001C1EEF"/>
    <w:rsid w:val="001C2641"/>
    <w:rsid w:val="001C280F"/>
    <w:rsid w:val="001C29FF"/>
    <w:rsid w:val="001C2F4D"/>
    <w:rsid w:val="001C2FC8"/>
    <w:rsid w:val="001C304A"/>
    <w:rsid w:val="001C315D"/>
    <w:rsid w:val="001C3324"/>
    <w:rsid w:val="001C37FA"/>
    <w:rsid w:val="001C3B5E"/>
    <w:rsid w:val="001C40F4"/>
    <w:rsid w:val="001C423E"/>
    <w:rsid w:val="001C44FC"/>
    <w:rsid w:val="001C46A1"/>
    <w:rsid w:val="001C5007"/>
    <w:rsid w:val="001C578B"/>
    <w:rsid w:val="001C5D8E"/>
    <w:rsid w:val="001C601D"/>
    <w:rsid w:val="001C6392"/>
    <w:rsid w:val="001C6F5F"/>
    <w:rsid w:val="001C7659"/>
    <w:rsid w:val="001C7A2D"/>
    <w:rsid w:val="001C7B99"/>
    <w:rsid w:val="001D0364"/>
    <w:rsid w:val="001D0400"/>
    <w:rsid w:val="001D0685"/>
    <w:rsid w:val="001D0C97"/>
    <w:rsid w:val="001D10C8"/>
    <w:rsid w:val="001D1416"/>
    <w:rsid w:val="001D14FF"/>
    <w:rsid w:val="001D16A0"/>
    <w:rsid w:val="001D1E69"/>
    <w:rsid w:val="001D234E"/>
    <w:rsid w:val="001D24E2"/>
    <w:rsid w:val="001D2CE2"/>
    <w:rsid w:val="001D3298"/>
    <w:rsid w:val="001D3695"/>
    <w:rsid w:val="001D36E0"/>
    <w:rsid w:val="001D3730"/>
    <w:rsid w:val="001D3D7C"/>
    <w:rsid w:val="001D413F"/>
    <w:rsid w:val="001D511F"/>
    <w:rsid w:val="001D54F8"/>
    <w:rsid w:val="001D567D"/>
    <w:rsid w:val="001D5BDA"/>
    <w:rsid w:val="001D6470"/>
    <w:rsid w:val="001D6674"/>
    <w:rsid w:val="001D692B"/>
    <w:rsid w:val="001D69F8"/>
    <w:rsid w:val="001D6B24"/>
    <w:rsid w:val="001D6E32"/>
    <w:rsid w:val="001D6EEA"/>
    <w:rsid w:val="001D75FF"/>
    <w:rsid w:val="001D7769"/>
    <w:rsid w:val="001D7E70"/>
    <w:rsid w:val="001E0122"/>
    <w:rsid w:val="001E0246"/>
    <w:rsid w:val="001E051C"/>
    <w:rsid w:val="001E120D"/>
    <w:rsid w:val="001E1809"/>
    <w:rsid w:val="001E1C99"/>
    <w:rsid w:val="001E1ED6"/>
    <w:rsid w:val="001E23C3"/>
    <w:rsid w:val="001E2CC6"/>
    <w:rsid w:val="001E3047"/>
    <w:rsid w:val="001E3246"/>
    <w:rsid w:val="001E3345"/>
    <w:rsid w:val="001E3578"/>
    <w:rsid w:val="001E37D5"/>
    <w:rsid w:val="001E39D9"/>
    <w:rsid w:val="001E39E2"/>
    <w:rsid w:val="001E47AD"/>
    <w:rsid w:val="001E4A7E"/>
    <w:rsid w:val="001E4BB8"/>
    <w:rsid w:val="001E53CE"/>
    <w:rsid w:val="001E55C9"/>
    <w:rsid w:val="001E5B17"/>
    <w:rsid w:val="001E602D"/>
    <w:rsid w:val="001E63BB"/>
    <w:rsid w:val="001E6432"/>
    <w:rsid w:val="001E64C3"/>
    <w:rsid w:val="001E669E"/>
    <w:rsid w:val="001E66AA"/>
    <w:rsid w:val="001E6B6B"/>
    <w:rsid w:val="001E7307"/>
    <w:rsid w:val="001E7BBD"/>
    <w:rsid w:val="001E7DA1"/>
    <w:rsid w:val="001F0110"/>
    <w:rsid w:val="001F01BF"/>
    <w:rsid w:val="001F02A4"/>
    <w:rsid w:val="001F08C3"/>
    <w:rsid w:val="001F097C"/>
    <w:rsid w:val="001F0A51"/>
    <w:rsid w:val="001F1262"/>
    <w:rsid w:val="001F1265"/>
    <w:rsid w:val="001F1304"/>
    <w:rsid w:val="001F13A0"/>
    <w:rsid w:val="001F15B4"/>
    <w:rsid w:val="001F1A0E"/>
    <w:rsid w:val="001F1A74"/>
    <w:rsid w:val="001F1E60"/>
    <w:rsid w:val="001F1E8D"/>
    <w:rsid w:val="001F203E"/>
    <w:rsid w:val="001F2341"/>
    <w:rsid w:val="001F24C4"/>
    <w:rsid w:val="001F37FD"/>
    <w:rsid w:val="001F3837"/>
    <w:rsid w:val="001F39CA"/>
    <w:rsid w:val="001F39D0"/>
    <w:rsid w:val="001F39D4"/>
    <w:rsid w:val="001F3A2F"/>
    <w:rsid w:val="001F3A3E"/>
    <w:rsid w:val="001F3D36"/>
    <w:rsid w:val="001F42C7"/>
    <w:rsid w:val="001F4687"/>
    <w:rsid w:val="001F4F25"/>
    <w:rsid w:val="001F5266"/>
    <w:rsid w:val="001F567C"/>
    <w:rsid w:val="001F5B64"/>
    <w:rsid w:val="001F607C"/>
    <w:rsid w:val="001F6168"/>
    <w:rsid w:val="001F63AA"/>
    <w:rsid w:val="001F643C"/>
    <w:rsid w:val="001F6607"/>
    <w:rsid w:val="001F7035"/>
    <w:rsid w:val="001F70C7"/>
    <w:rsid w:val="001F74E9"/>
    <w:rsid w:val="001F761B"/>
    <w:rsid w:val="001F7958"/>
    <w:rsid w:val="001F7A97"/>
    <w:rsid w:val="001F7AE1"/>
    <w:rsid w:val="001F7C18"/>
    <w:rsid w:val="001F7E46"/>
    <w:rsid w:val="001F7EA6"/>
    <w:rsid w:val="001F7F2E"/>
    <w:rsid w:val="001F7FFB"/>
    <w:rsid w:val="00200286"/>
    <w:rsid w:val="002005D4"/>
    <w:rsid w:val="00200F08"/>
    <w:rsid w:val="00201210"/>
    <w:rsid w:val="0020152E"/>
    <w:rsid w:val="00201AA5"/>
    <w:rsid w:val="00201E62"/>
    <w:rsid w:val="00201EB1"/>
    <w:rsid w:val="00202426"/>
    <w:rsid w:val="00202456"/>
    <w:rsid w:val="0020257D"/>
    <w:rsid w:val="002029D2"/>
    <w:rsid w:val="00203299"/>
    <w:rsid w:val="0020380E"/>
    <w:rsid w:val="00203AC5"/>
    <w:rsid w:val="00203EBA"/>
    <w:rsid w:val="0020429B"/>
    <w:rsid w:val="00204382"/>
    <w:rsid w:val="00204511"/>
    <w:rsid w:val="002048D5"/>
    <w:rsid w:val="002050EA"/>
    <w:rsid w:val="00205612"/>
    <w:rsid w:val="00205914"/>
    <w:rsid w:val="00205B48"/>
    <w:rsid w:val="00205DB2"/>
    <w:rsid w:val="00206686"/>
    <w:rsid w:val="0020686A"/>
    <w:rsid w:val="00206BDA"/>
    <w:rsid w:val="00206C90"/>
    <w:rsid w:val="00206D8B"/>
    <w:rsid w:val="00207111"/>
    <w:rsid w:val="00207855"/>
    <w:rsid w:val="00207C8D"/>
    <w:rsid w:val="00207D7F"/>
    <w:rsid w:val="002107D8"/>
    <w:rsid w:val="00210830"/>
    <w:rsid w:val="002126A1"/>
    <w:rsid w:val="002126B4"/>
    <w:rsid w:val="00212A54"/>
    <w:rsid w:val="00212B7B"/>
    <w:rsid w:val="00212CBF"/>
    <w:rsid w:val="00212E49"/>
    <w:rsid w:val="002131CB"/>
    <w:rsid w:val="002132A9"/>
    <w:rsid w:val="00213351"/>
    <w:rsid w:val="00213588"/>
    <w:rsid w:val="0021371D"/>
    <w:rsid w:val="0021397B"/>
    <w:rsid w:val="00213A33"/>
    <w:rsid w:val="00213AC3"/>
    <w:rsid w:val="00214055"/>
    <w:rsid w:val="002142ED"/>
    <w:rsid w:val="002143B0"/>
    <w:rsid w:val="00214631"/>
    <w:rsid w:val="00214A63"/>
    <w:rsid w:val="00214BCD"/>
    <w:rsid w:val="00214BE0"/>
    <w:rsid w:val="00215336"/>
    <w:rsid w:val="002156FD"/>
    <w:rsid w:val="00215944"/>
    <w:rsid w:val="00215DB4"/>
    <w:rsid w:val="00215F3B"/>
    <w:rsid w:val="002160B9"/>
    <w:rsid w:val="00216112"/>
    <w:rsid w:val="002164B6"/>
    <w:rsid w:val="002164F8"/>
    <w:rsid w:val="00216BCE"/>
    <w:rsid w:val="0021737B"/>
    <w:rsid w:val="002173E5"/>
    <w:rsid w:val="00217849"/>
    <w:rsid w:val="00217A9B"/>
    <w:rsid w:val="00217AE4"/>
    <w:rsid w:val="002202AD"/>
    <w:rsid w:val="00220936"/>
    <w:rsid w:val="0022099C"/>
    <w:rsid w:val="00220AC9"/>
    <w:rsid w:val="00220E66"/>
    <w:rsid w:val="00221887"/>
    <w:rsid w:val="00221B76"/>
    <w:rsid w:val="00221FCF"/>
    <w:rsid w:val="0022318F"/>
    <w:rsid w:val="002235B5"/>
    <w:rsid w:val="002235D1"/>
    <w:rsid w:val="002236C7"/>
    <w:rsid w:val="002238CA"/>
    <w:rsid w:val="002239C5"/>
    <w:rsid w:val="00223C35"/>
    <w:rsid w:val="00223D48"/>
    <w:rsid w:val="002240A4"/>
    <w:rsid w:val="00224199"/>
    <w:rsid w:val="002243E4"/>
    <w:rsid w:val="0022471B"/>
    <w:rsid w:val="00224762"/>
    <w:rsid w:val="00224B90"/>
    <w:rsid w:val="00224CC6"/>
    <w:rsid w:val="00224DB2"/>
    <w:rsid w:val="002253F4"/>
    <w:rsid w:val="00225642"/>
    <w:rsid w:val="0022597F"/>
    <w:rsid w:val="00225A66"/>
    <w:rsid w:val="00226BB8"/>
    <w:rsid w:val="00226F62"/>
    <w:rsid w:val="00226F8B"/>
    <w:rsid w:val="0022704B"/>
    <w:rsid w:val="002272CB"/>
    <w:rsid w:val="002275B9"/>
    <w:rsid w:val="002279DD"/>
    <w:rsid w:val="00227C7D"/>
    <w:rsid w:val="00230109"/>
    <w:rsid w:val="0023080E"/>
    <w:rsid w:val="00230CDC"/>
    <w:rsid w:val="00231158"/>
    <w:rsid w:val="0023163D"/>
    <w:rsid w:val="00231CAD"/>
    <w:rsid w:val="00231D62"/>
    <w:rsid w:val="002327F4"/>
    <w:rsid w:val="002327FE"/>
    <w:rsid w:val="0023294B"/>
    <w:rsid w:val="00232E71"/>
    <w:rsid w:val="0023360B"/>
    <w:rsid w:val="00233B62"/>
    <w:rsid w:val="00233EBE"/>
    <w:rsid w:val="00233EED"/>
    <w:rsid w:val="0023426D"/>
    <w:rsid w:val="002347AC"/>
    <w:rsid w:val="00234D4D"/>
    <w:rsid w:val="00234E72"/>
    <w:rsid w:val="002352EB"/>
    <w:rsid w:val="00235AC6"/>
    <w:rsid w:val="00236016"/>
    <w:rsid w:val="00236060"/>
    <w:rsid w:val="0023618A"/>
    <w:rsid w:val="00236A98"/>
    <w:rsid w:val="00236C62"/>
    <w:rsid w:val="00236D52"/>
    <w:rsid w:val="00236E0F"/>
    <w:rsid w:val="00237550"/>
    <w:rsid w:val="00237696"/>
    <w:rsid w:val="002379A3"/>
    <w:rsid w:val="002400F7"/>
    <w:rsid w:val="00240104"/>
    <w:rsid w:val="002403CE"/>
    <w:rsid w:val="00240838"/>
    <w:rsid w:val="0024190B"/>
    <w:rsid w:val="00241EEA"/>
    <w:rsid w:val="00241FE7"/>
    <w:rsid w:val="00242069"/>
    <w:rsid w:val="002424B3"/>
    <w:rsid w:val="00242DC0"/>
    <w:rsid w:val="00242E54"/>
    <w:rsid w:val="002437A2"/>
    <w:rsid w:val="00243898"/>
    <w:rsid w:val="00243DAF"/>
    <w:rsid w:val="00243DEB"/>
    <w:rsid w:val="0024420D"/>
    <w:rsid w:val="00244B21"/>
    <w:rsid w:val="00244BDA"/>
    <w:rsid w:val="00244ED2"/>
    <w:rsid w:val="00244ED4"/>
    <w:rsid w:val="00245093"/>
    <w:rsid w:val="002450BD"/>
    <w:rsid w:val="00245723"/>
    <w:rsid w:val="002458C2"/>
    <w:rsid w:val="00245935"/>
    <w:rsid w:val="00245C28"/>
    <w:rsid w:val="00245E56"/>
    <w:rsid w:val="00245FAE"/>
    <w:rsid w:val="00246002"/>
    <w:rsid w:val="00246F14"/>
    <w:rsid w:val="00246FC8"/>
    <w:rsid w:val="00247250"/>
    <w:rsid w:val="00247257"/>
    <w:rsid w:val="002475F6"/>
    <w:rsid w:val="0024782F"/>
    <w:rsid w:val="00247ACB"/>
    <w:rsid w:val="00247B1E"/>
    <w:rsid w:val="00247B80"/>
    <w:rsid w:val="00247E0B"/>
    <w:rsid w:val="00250262"/>
    <w:rsid w:val="0025026D"/>
    <w:rsid w:val="00250738"/>
    <w:rsid w:val="00250F15"/>
    <w:rsid w:val="00251148"/>
    <w:rsid w:val="0025125D"/>
    <w:rsid w:val="0025171C"/>
    <w:rsid w:val="0025184A"/>
    <w:rsid w:val="002519C1"/>
    <w:rsid w:val="002519F0"/>
    <w:rsid w:val="00251A87"/>
    <w:rsid w:val="002525CF"/>
    <w:rsid w:val="00252ACB"/>
    <w:rsid w:val="00252DD0"/>
    <w:rsid w:val="00252E7D"/>
    <w:rsid w:val="0025391A"/>
    <w:rsid w:val="0025430F"/>
    <w:rsid w:val="0025431C"/>
    <w:rsid w:val="00254343"/>
    <w:rsid w:val="002545A6"/>
    <w:rsid w:val="002545CC"/>
    <w:rsid w:val="002545F6"/>
    <w:rsid w:val="002546E4"/>
    <w:rsid w:val="0025473A"/>
    <w:rsid w:val="00254A71"/>
    <w:rsid w:val="00254CB5"/>
    <w:rsid w:val="00254DCA"/>
    <w:rsid w:val="00255795"/>
    <w:rsid w:val="0025590C"/>
    <w:rsid w:val="00255FFE"/>
    <w:rsid w:val="00256220"/>
    <w:rsid w:val="0025640D"/>
    <w:rsid w:val="00256AA5"/>
    <w:rsid w:val="0025763F"/>
    <w:rsid w:val="002576A7"/>
    <w:rsid w:val="00257D0E"/>
    <w:rsid w:val="00257F02"/>
    <w:rsid w:val="00257FEB"/>
    <w:rsid w:val="002602E3"/>
    <w:rsid w:val="00260677"/>
    <w:rsid w:val="0026093B"/>
    <w:rsid w:val="002609B6"/>
    <w:rsid w:val="00260D26"/>
    <w:rsid w:val="00261231"/>
    <w:rsid w:val="002612F3"/>
    <w:rsid w:val="002615AC"/>
    <w:rsid w:val="002616E5"/>
    <w:rsid w:val="00261FB6"/>
    <w:rsid w:val="0026211A"/>
    <w:rsid w:val="00262439"/>
    <w:rsid w:val="002625C5"/>
    <w:rsid w:val="00262BE7"/>
    <w:rsid w:val="0026320A"/>
    <w:rsid w:val="002633BF"/>
    <w:rsid w:val="0026345C"/>
    <w:rsid w:val="00263728"/>
    <w:rsid w:val="002637A3"/>
    <w:rsid w:val="002638AF"/>
    <w:rsid w:val="00263AAE"/>
    <w:rsid w:val="00263C54"/>
    <w:rsid w:val="00264569"/>
    <w:rsid w:val="002648BA"/>
    <w:rsid w:val="002649A5"/>
    <w:rsid w:val="00264A3B"/>
    <w:rsid w:val="00264B84"/>
    <w:rsid w:val="00264F70"/>
    <w:rsid w:val="0026575C"/>
    <w:rsid w:val="00265DFD"/>
    <w:rsid w:val="00266256"/>
    <w:rsid w:val="00266465"/>
    <w:rsid w:val="002665DC"/>
    <w:rsid w:val="0026660C"/>
    <w:rsid w:val="00266799"/>
    <w:rsid w:val="002667F5"/>
    <w:rsid w:val="002667F9"/>
    <w:rsid w:val="00266A6F"/>
    <w:rsid w:val="00266ACD"/>
    <w:rsid w:val="00266CA8"/>
    <w:rsid w:val="00266E3D"/>
    <w:rsid w:val="00267431"/>
    <w:rsid w:val="002674C2"/>
    <w:rsid w:val="00267527"/>
    <w:rsid w:val="00267968"/>
    <w:rsid w:val="00267991"/>
    <w:rsid w:val="00267DA8"/>
    <w:rsid w:val="00267FDD"/>
    <w:rsid w:val="002704E1"/>
    <w:rsid w:val="002705C9"/>
    <w:rsid w:val="00270855"/>
    <w:rsid w:val="002709BB"/>
    <w:rsid w:val="00270D33"/>
    <w:rsid w:val="00271301"/>
    <w:rsid w:val="00271720"/>
    <w:rsid w:val="0027196E"/>
    <w:rsid w:val="002720D2"/>
    <w:rsid w:val="002720EF"/>
    <w:rsid w:val="00272114"/>
    <w:rsid w:val="002721D3"/>
    <w:rsid w:val="00272ED5"/>
    <w:rsid w:val="002730C5"/>
    <w:rsid w:val="002738C0"/>
    <w:rsid w:val="00273A85"/>
    <w:rsid w:val="00273A95"/>
    <w:rsid w:val="00273E60"/>
    <w:rsid w:val="00274164"/>
    <w:rsid w:val="0027441A"/>
    <w:rsid w:val="0027491E"/>
    <w:rsid w:val="00274A8A"/>
    <w:rsid w:val="002754AC"/>
    <w:rsid w:val="002757C4"/>
    <w:rsid w:val="00275F19"/>
    <w:rsid w:val="00276383"/>
    <w:rsid w:val="002765BE"/>
    <w:rsid w:val="00276795"/>
    <w:rsid w:val="00276897"/>
    <w:rsid w:val="0027695C"/>
    <w:rsid w:val="0027761B"/>
    <w:rsid w:val="00277740"/>
    <w:rsid w:val="002777FD"/>
    <w:rsid w:val="00277C7B"/>
    <w:rsid w:val="00277D91"/>
    <w:rsid w:val="00277DF9"/>
    <w:rsid w:val="00277FE0"/>
    <w:rsid w:val="00280146"/>
    <w:rsid w:val="002803AA"/>
    <w:rsid w:val="00280587"/>
    <w:rsid w:val="00280714"/>
    <w:rsid w:val="0028152F"/>
    <w:rsid w:val="0028194D"/>
    <w:rsid w:val="00281C5F"/>
    <w:rsid w:val="00281E60"/>
    <w:rsid w:val="0028275A"/>
    <w:rsid w:val="002828B5"/>
    <w:rsid w:val="002829B9"/>
    <w:rsid w:val="00282A2B"/>
    <w:rsid w:val="00282B39"/>
    <w:rsid w:val="00282F6E"/>
    <w:rsid w:val="00283237"/>
    <w:rsid w:val="0028323B"/>
    <w:rsid w:val="00283460"/>
    <w:rsid w:val="0028348F"/>
    <w:rsid w:val="00283677"/>
    <w:rsid w:val="002836B0"/>
    <w:rsid w:val="0028372C"/>
    <w:rsid w:val="00283934"/>
    <w:rsid w:val="002839A1"/>
    <w:rsid w:val="00283D9E"/>
    <w:rsid w:val="00283F4F"/>
    <w:rsid w:val="00283FD0"/>
    <w:rsid w:val="0028410B"/>
    <w:rsid w:val="00284123"/>
    <w:rsid w:val="0028425E"/>
    <w:rsid w:val="002842B1"/>
    <w:rsid w:val="0028458A"/>
    <w:rsid w:val="00284615"/>
    <w:rsid w:val="00284998"/>
    <w:rsid w:val="00285096"/>
    <w:rsid w:val="00285113"/>
    <w:rsid w:val="00285436"/>
    <w:rsid w:val="002856FE"/>
    <w:rsid w:val="00285B4F"/>
    <w:rsid w:val="00285B94"/>
    <w:rsid w:val="00286314"/>
    <w:rsid w:val="00286A12"/>
    <w:rsid w:val="00287098"/>
    <w:rsid w:val="00287803"/>
    <w:rsid w:val="00287808"/>
    <w:rsid w:val="00287AF2"/>
    <w:rsid w:val="00287FDF"/>
    <w:rsid w:val="0029007D"/>
    <w:rsid w:val="0029008B"/>
    <w:rsid w:val="002902C9"/>
    <w:rsid w:val="002904AD"/>
    <w:rsid w:val="002905B8"/>
    <w:rsid w:val="002905F9"/>
    <w:rsid w:val="002910F6"/>
    <w:rsid w:val="00291164"/>
    <w:rsid w:val="00291323"/>
    <w:rsid w:val="00291531"/>
    <w:rsid w:val="00291741"/>
    <w:rsid w:val="002918C9"/>
    <w:rsid w:val="002918DD"/>
    <w:rsid w:val="00291B88"/>
    <w:rsid w:val="00291E9C"/>
    <w:rsid w:val="002929D6"/>
    <w:rsid w:val="00292ABD"/>
    <w:rsid w:val="00292AF1"/>
    <w:rsid w:val="00292C99"/>
    <w:rsid w:val="0029314F"/>
    <w:rsid w:val="0029342B"/>
    <w:rsid w:val="00294336"/>
    <w:rsid w:val="00294480"/>
    <w:rsid w:val="002950F0"/>
    <w:rsid w:val="002952AE"/>
    <w:rsid w:val="002953B6"/>
    <w:rsid w:val="00295430"/>
    <w:rsid w:val="0029557D"/>
    <w:rsid w:val="00295774"/>
    <w:rsid w:val="002957DA"/>
    <w:rsid w:val="002957DD"/>
    <w:rsid w:val="002958E2"/>
    <w:rsid w:val="00295FBD"/>
    <w:rsid w:val="0029616C"/>
    <w:rsid w:val="0029621F"/>
    <w:rsid w:val="002967BA"/>
    <w:rsid w:val="00296C9E"/>
    <w:rsid w:val="00297020"/>
    <w:rsid w:val="0029792D"/>
    <w:rsid w:val="00297D46"/>
    <w:rsid w:val="002A019B"/>
    <w:rsid w:val="002A038A"/>
    <w:rsid w:val="002A0875"/>
    <w:rsid w:val="002A0887"/>
    <w:rsid w:val="002A0CA2"/>
    <w:rsid w:val="002A112A"/>
    <w:rsid w:val="002A19C7"/>
    <w:rsid w:val="002A1A19"/>
    <w:rsid w:val="002A1AB0"/>
    <w:rsid w:val="002A1CEE"/>
    <w:rsid w:val="002A2109"/>
    <w:rsid w:val="002A223B"/>
    <w:rsid w:val="002A25C9"/>
    <w:rsid w:val="002A2750"/>
    <w:rsid w:val="002A29E3"/>
    <w:rsid w:val="002A2BA9"/>
    <w:rsid w:val="002A2DF4"/>
    <w:rsid w:val="002A2E44"/>
    <w:rsid w:val="002A35D9"/>
    <w:rsid w:val="002A401F"/>
    <w:rsid w:val="002A4A96"/>
    <w:rsid w:val="002A59F8"/>
    <w:rsid w:val="002A5F5B"/>
    <w:rsid w:val="002A6038"/>
    <w:rsid w:val="002A61B1"/>
    <w:rsid w:val="002A65F3"/>
    <w:rsid w:val="002A6649"/>
    <w:rsid w:val="002A68C5"/>
    <w:rsid w:val="002A7465"/>
    <w:rsid w:val="002A7593"/>
    <w:rsid w:val="002A78CA"/>
    <w:rsid w:val="002A7A03"/>
    <w:rsid w:val="002A7B21"/>
    <w:rsid w:val="002B0203"/>
    <w:rsid w:val="002B0650"/>
    <w:rsid w:val="002B0769"/>
    <w:rsid w:val="002B1A90"/>
    <w:rsid w:val="002B21F3"/>
    <w:rsid w:val="002B27F5"/>
    <w:rsid w:val="002B2F50"/>
    <w:rsid w:val="002B300E"/>
    <w:rsid w:val="002B31E6"/>
    <w:rsid w:val="002B349B"/>
    <w:rsid w:val="002B4090"/>
    <w:rsid w:val="002B4606"/>
    <w:rsid w:val="002B463F"/>
    <w:rsid w:val="002B4690"/>
    <w:rsid w:val="002B46A7"/>
    <w:rsid w:val="002B4C70"/>
    <w:rsid w:val="002B4CAF"/>
    <w:rsid w:val="002B4CC5"/>
    <w:rsid w:val="002B4F7E"/>
    <w:rsid w:val="002B53CA"/>
    <w:rsid w:val="002B540F"/>
    <w:rsid w:val="002B5605"/>
    <w:rsid w:val="002B5777"/>
    <w:rsid w:val="002B615C"/>
    <w:rsid w:val="002B6230"/>
    <w:rsid w:val="002B67FE"/>
    <w:rsid w:val="002B6E4C"/>
    <w:rsid w:val="002B7031"/>
    <w:rsid w:val="002B7032"/>
    <w:rsid w:val="002B70E5"/>
    <w:rsid w:val="002B7AC2"/>
    <w:rsid w:val="002B7D22"/>
    <w:rsid w:val="002C00D7"/>
    <w:rsid w:val="002C0CC7"/>
    <w:rsid w:val="002C0ED5"/>
    <w:rsid w:val="002C0F0F"/>
    <w:rsid w:val="002C1256"/>
    <w:rsid w:val="002C1310"/>
    <w:rsid w:val="002C15E0"/>
    <w:rsid w:val="002C1C32"/>
    <w:rsid w:val="002C21DA"/>
    <w:rsid w:val="002C25BA"/>
    <w:rsid w:val="002C2882"/>
    <w:rsid w:val="002C2B28"/>
    <w:rsid w:val="002C2DCB"/>
    <w:rsid w:val="002C30A6"/>
    <w:rsid w:val="002C3ABD"/>
    <w:rsid w:val="002C3B65"/>
    <w:rsid w:val="002C3D82"/>
    <w:rsid w:val="002C4452"/>
    <w:rsid w:val="002C4E92"/>
    <w:rsid w:val="002C4ECD"/>
    <w:rsid w:val="002C4FB2"/>
    <w:rsid w:val="002C510A"/>
    <w:rsid w:val="002C5348"/>
    <w:rsid w:val="002C560E"/>
    <w:rsid w:val="002C587B"/>
    <w:rsid w:val="002C5AF5"/>
    <w:rsid w:val="002C5C7A"/>
    <w:rsid w:val="002C5E11"/>
    <w:rsid w:val="002C63AD"/>
    <w:rsid w:val="002C6735"/>
    <w:rsid w:val="002C678E"/>
    <w:rsid w:val="002C6A16"/>
    <w:rsid w:val="002C6EBD"/>
    <w:rsid w:val="002C70A2"/>
    <w:rsid w:val="002C77AD"/>
    <w:rsid w:val="002C789C"/>
    <w:rsid w:val="002C7C8D"/>
    <w:rsid w:val="002D0103"/>
    <w:rsid w:val="002D01CA"/>
    <w:rsid w:val="002D0302"/>
    <w:rsid w:val="002D0349"/>
    <w:rsid w:val="002D0421"/>
    <w:rsid w:val="002D0613"/>
    <w:rsid w:val="002D07D5"/>
    <w:rsid w:val="002D0D55"/>
    <w:rsid w:val="002D15E1"/>
    <w:rsid w:val="002D1798"/>
    <w:rsid w:val="002D19B4"/>
    <w:rsid w:val="002D2731"/>
    <w:rsid w:val="002D2AF7"/>
    <w:rsid w:val="002D2EB8"/>
    <w:rsid w:val="002D2EE3"/>
    <w:rsid w:val="002D39F6"/>
    <w:rsid w:val="002D3E6C"/>
    <w:rsid w:val="002D3FF9"/>
    <w:rsid w:val="002D4AD1"/>
    <w:rsid w:val="002D4DCB"/>
    <w:rsid w:val="002D53A8"/>
    <w:rsid w:val="002D5575"/>
    <w:rsid w:val="002D5861"/>
    <w:rsid w:val="002D5BC6"/>
    <w:rsid w:val="002D5FEF"/>
    <w:rsid w:val="002D61D6"/>
    <w:rsid w:val="002D6A7C"/>
    <w:rsid w:val="002D6C9E"/>
    <w:rsid w:val="002D6CB4"/>
    <w:rsid w:val="002D6FDB"/>
    <w:rsid w:val="002D6FF1"/>
    <w:rsid w:val="002D71EC"/>
    <w:rsid w:val="002D73AC"/>
    <w:rsid w:val="002D742C"/>
    <w:rsid w:val="002D7449"/>
    <w:rsid w:val="002D7AA6"/>
    <w:rsid w:val="002D7F81"/>
    <w:rsid w:val="002D7FF4"/>
    <w:rsid w:val="002E02E6"/>
    <w:rsid w:val="002E054E"/>
    <w:rsid w:val="002E1067"/>
    <w:rsid w:val="002E14C8"/>
    <w:rsid w:val="002E19CF"/>
    <w:rsid w:val="002E1A49"/>
    <w:rsid w:val="002E1D57"/>
    <w:rsid w:val="002E205B"/>
    <w:rsid w:val="002E244D"/>
    <w:rsid w:val="002E26E2"/>
    <w:rsid w:val="002E27C7"/>
    <w:rsid w:val="002E2D83"/>
    <w:rsid w:val="002E2EBD"/>
    <w:rsid w:val="002E2F5F"/>
    <w:rsid w:val="002E3E97"/>
    <w:rsid w:val="002E4034"/>
    <w:rsid w:val="002E43AA"/>
    <w:rsid w:val="002E482A"/>
    <w:rsid w:val="002E4B66"/>
    <w:rsid w:val="002E4EAD"/>
    <w:rsid w:val="002E5212"/>
    <w:rsid w:val="002E532B"/>
    <w:rsid w:val="002E53E1"/>
    <w:rsid w:val="002E5848"/>
    <w:rsid w:val="002E58AA"/>
    <w:rsid w:val="002E6065"/>
    <w:rsid w:val="002E6192"/>
    <w:rsid w:val="002E641E"/>
    <w:rsid w:val="002E647D"/>
    <w:rsid w:val="002E64E1"/>
    <w:rsid w:val="002E66B1"/>
    <w:rsid w:val="002E69D0"/>
    <w:rsid w:val="002E6D85"/>
    <w:rsid w:val="002E6E56"/>
    <w:rsid w:val="002E7664"/>
    <w:rsid w:val="002E7800"/>
    <w:rsid w:val="002E79B1"/>
    <w:rsid w:val="002E7CFC"/>
    <w:rsid w:val="002E7D94"/>
    <w:rsid w:val="002F01D8"/>
    <w:rsid w:val="002F0271"/>
    <w:rsid w:val="002F0655"/>
    <w:rsid w:val="002F09BA"/>
    <w:rsid w:val="002F0FD7"/>
    <w:rsid w:val="002F1613"/>
    <w:rsid w:val="002F16A5"/>
    <w:rsid w:val="002F171E"/>
    <w:rsid w:val="002F18AE"/>
    <w:rsid w:val="002F23E2"/>
    <w:rsid w:val="002F26A2"/>
    <w:rsid w:val="002F30BB"/>
    <w:rsid w:val="002F3388"/>
    <w:rsid w:val="002F3CD1"/>
    <w:rsid w:val="002F3FC0"/>
    <w:rsid w:val="002F3FEA"/>
    <w:rsid w:val="002F43BB"/>
    <w:rsid w:val="002F443B"/>
    <w:rsid w:val="002F4B9A"/>
    <w:rsid w:val="002F54D2"/>
    <w:rsid w:val="002F5F5A"/>
    <w:rsid w:val="002F70F4"/>
    <w:rsid w:val="002F726F"/>
    <w:rsid w:val="002F7456"/>
    <w:rsid w:val="002F7C04"/>
    <w:rsid w:val="002F7C2D"/>
    <w:rsid w:val="002F7C96"/>
    <w:rsid w:val="002F7F0D"/>
    <w:rsid w:val="00300BB7"/>
    <w:rsid w:val="00301171"/>
    <w:rsid w:val="003013E1"/>
    <w:rsid w:val="00301468"/>
    <w:rsid w:val="00301754"/>
    <w:rsid w:val="00301780"/>
    <w:rsid w:val="00301F40"/>
    <w:rsid w:val="00302881"/>
    <w:rsid w:val="003028C2"/>
    <w:rsid w:val="00302BB2"/>
    <w:rsid w:val="003030A6"/>
    <w:rsid w:val="00303117"/>
    <w:rsid w:val="003033DE"/>
    <w:rsid w:val="0030349D"/>
    <w:rsid w:val="00303551"/>
    <w:rsid w:val="00303554"/>
    <w:rsid w:val="00304021"/>
    <w:rsid w:val="00304035"/>
    <w:rsid w:val="0030441A"/>
    <w:rsid w:val="00304815"/>
    <w:rsid w:val="00304900"/>
    <w:rsid w:val="003059FE"/>
    <w:rsid w:val="00305A91"/>
    <w:rsid w:val="00305AE5"/>
    <w:rsid w:val="00305B8F"/>
    <w:rsid w:val="00305C8A"/>
    <w:rsid w:val="00305F78"/>
    <w:rsid w:val="003069FF"/>
    <w:rsid w:val="003070DC"/>
    <w:rsid w:val="003070E6"/>
    <w:rsid w:val="0030714E"/>
    <w:rsid w:val="003072A7"/>
    <w:rsid w:val="00307307"/>
    <w:rsid w:val="003073DA"/>
    <w:rsid w:val="0030756E"/>
    <w:rsid w:val="00307741"/>
    <w:rsid w:val="00307771"/>
    <w:rsid w:val="00307852"/>
    <w:rsid w:val="00307D4E"/>
    <w:rsid w:val="0031011F"/>
    <w:rsid w:val="0031033C"/>
    <w:rsid w:val="003104B7"/>
    <w:rsid w:val="0031088D"/>
    <w:rsid w:val="00310CFD"/>
    <w:rsid w:val="00310E9A"/>
    <w:rsid w:val="003115B1"/>
    <w:rsid w:val="00311691"/>
    <w:rsid w:val="00311724"/>
    <w:rsid w:val="00312552"/>
    <w:rsid w:val="00312A0F"/>
    <w:rsid w:val="00314180"/>
    <w:rsid w:val="003143AB"/>
    <w:rsid w:val="003146E3"/>
    <w:rsid w:val="00314C22"/>
    <w:rsid w:val="00314CEB"/>
    <w:rsid w:val="00314F2D"/>
    <w:rsid w:val="00315507"/>
    <w:rsid w:val="00315617"/>
    <w:rsid w:val="0031595B"/>
    <w:rsid w:val="00315DFD"/>
    <w:rsid w:val="003161DF"/>
    <w:rsid w:val="0031644E"/>
    <w:rsid w:val="0031675B"/>
    <w:rsid w:val="00316949"/>
    <w:rsid w:val="0031694C"/>
    <w:rsid w:val="00316D50"/>
    <w:rsid w:val="003170B2"/>
    <w:rsid w:val="00317809"/>
    <w:rsid w:val="0031785E"/>
    <w:rsid w:val="003179B7"/>
    <w:rsid w:val="00317B06"/>
    <w:rsid w:val="00317C11"/>
    <w:rsid w:val="00317E42"/>
    <w:rsid w:val="00317F56"/>
    <w:rsid w:val="00320078"/>
    <w:rsid w:val="003200A8"/>
    <w:rsid w:val="0032023C"/>
    <w:rsid w:val="003202DD"/>
    <w:rsid w:val="003204E5"/>
    <w:rsid w:val="003206B1"/>
    <w:rsid w:val="003209C5"/>
    <w:rsid w:val="00320A2E"/>
    <w:rsid w:val="003211A8"/>
    <w:rsid w:val="003211B7"/>
    <w:rsid w:val="00321B8A"/>
    <w:rsid w:val="00321D17"/>
    <w:rsid w:val="00321D64"/>
    <w:rsid w:val="00321EDE"/>
    <w:rsid w:val="00322491"/>
    <w:rsid w:val="00322681"/>
    <w:rsid w:val="00322784"/>
    <w:rsid w:val="003227B2"/>
    <w:rsid w:val="00322B9E"/>
    <w:rsid w:val="00322EBE"/>
    <w:rsid w:val="003230BC"/>
    <w:rsid w:val="00323325"/>
    <w:rsid w:val="00323382"/>
    <w:rsid w:val="00323853"/>
    <w:rsid w:val="00323854"/>
    <w:rsid w:val="00323EE8"/>
    <w:rsid w:val="00323F36"/>
    <w:rsid w:val="00324437"/>
    <w:rsid w:val="0032541E"/>
    <w:rsid w:val="00325AA8"/>
    <w:rsid w:val="00325B52"/>
    <w:rsid w:val="003263F8"/>
    <w:rsid w:val="00326799"/>
    <w:rsid w:val="00326926"/>
    <w:rsid w:val="00326F76"/>
    <w:rsid w:val="003273F6"/>
    <w:rsid w:val="0032744D"/>
    <w:rsid w:val="00327643"/>
    <w:rsid w:val="00327C5B"/>
    <w:rsid w:val="00327EAA"/>
    <w:rsid w:val="0033019C"/>
    <w:rsid w:val="00330252"/>
    <w:rsid w:val="00330267"/>
    <w:rsid w:val="003303D3"/>
    <w:rsid w:val="00330713"/>
    <w:rsid w:val="00330718"/>
    <w:rsid w:val="00330832"/>
    <w:rsid w:val="00330B08"/>
    <w:rsid w:val="00330F7F"/>
    <w:rsid w:val="003317F7"/>
    <w:rsid w:val="00331807"/>
    <w:rsid w:val="003323FB"/>
    <w:rsid w:val="0033248D"/>
    <w:rsid w:val="003329F6"/>
    <w:rsid w:val="00333001"/>
    <w:rsid w:val="0033318D"/>
    <w:rsid w:val="00333453"/>
    <w:rsid w:val="0033363D"/>
    <w:rsid w:val="00333678"/>
    <w:rsid w:val="003337C7"/>
    <w:rsid w:val="003337D3"/>
    <w:rsid w:val="00333C93"/>
    <w:rsid w:val="00334436"/>
    <w:rsid w:val="0033468C"/>
    <w:rsid w:val="003348F1"/>
    <w:rsid w:val="00334AA0"/>
    <w:rsid w:val="00334C44"/>
    <w:rsid w:val="00334CDD"/>
    <w:rsid w:val="00334E2A"/>
    <w:rsid w:val="0033512D"/>
    <w:rsid w:val="003353B3"/>
    <w:rsid w:val="003354BF"/>
    <w:rsid w:val="00335761"/>
    <w:rsid w:val="00335E3C"/>
    <w:rsid w:val="00335FEB"/>
    <w:rsid w:val="0033620D"/>
    <w:rsid w:val="00336286"/>
    <w:rsid w:val="003362E7"/>
    <w:rsid w:val="00336402"/>
    <w:rsid w:val="003365C6"/>
    <w:rsid w:val="003368C3"/>
    <w:rsid w:val="00336B11"/>
    <w:rsid w:val="00336C6B"/>
    <w:rsid w:val="003373DC"/>
    <w:rsid w:val="00337653"/>
    <w:rsid w:val="003376FF"/>
    <w:rsid w:val="00337805"/>
    <w:rsid w:val="00337F3C"/>
    <w:rsid w:val="00337FBD"/>
    <w:rsid w:val="0034007C"/>
    <w:rsid w:val="00340AB8"/>
    <w:rsid w:val="00340C62"/>
    <w:rsid w:val="00340CC8"/>
    <w:rsid w:val="0034125A"/>
    <w:rsid w:val="003416CF"/>
    <w:rsid w:val="00341CB7"/>
    <w:rsid w:val="00341E87"/>
    <w:rsid w:val="0034213F"/>
    <w:rsid w:val="00342178"/>
    <w:rsid w:val="0034241C"/>
    <w:rsid w:val="00342907"/>
    <w:rsid w:val="00342FB4"/>
    <w:rsid w:val="00342FE5"/>
    <w:rsid w:val="003432AA"/>
    <w:rsid w:val="003436BC"/>
    <w:rsid w:val="00343E07"/>
    <w:rsid w:val="00344728"/>
    <w:rsid w:val="00344D63"/>
    <w:rsid w:val="00344D66"/>
    <w:rsid w:val="00345397"/>
    <w:rsid w:val="0034568B"/>
    <w:rsid w:val="00345807"/>
    <w:rsid w:val="00345AAF"/>
    <w:rsid w:val="00345F7E"/>
    <w:rsid w:val="00346271"/>
    <w:rsid w:val="003462E6"/>
    <w:rsid w:val="003469C5"/>
    <w:rsid w:val="00347129"/>
    <w:rsid w:val="0034725E"/>
    <w:rsid w:val="00347890"/>
    <w:rsid w:val="00347FC5"/>
    <w:rsid w:val="00350339"/>
    <w:rsid w:val="0035035B"/>
    <w:rsid w:val="0035097A"/>
    <w:rsid w:val="00350C2A"/>
    <w:rsid w:val="00350E8E"/>
    <w:rsid w:val="003519DA"/>
    <w:rsid w:val="0035211E"/>
    <w:rsid w:val="003521CB"/>
    <w:rsid w:val="0035244F"/>
    <w:rsid w:val="00352CA3"/>
    <w:rsid w:val="00352E5D"/>
    <w:rsid w:val="0035362B"/>
    <w:rsid w:val="00353867"/>
    <w:rsid w:val="00353941"/>
    <w:rsid w:val="00353971"/>
    <w:rsid w:val="00353A4B"/>
    <w:rsid w:val="00353A5C"/>
    <w:rsid w:val="00353BAF"/>
    <w:rsid w:val="00353D86"/>
    <w:rsid w:val="003543EA"/>
    <w:rsid w:val="0035453B"/>
    <w:rsid w:val="00354ABF"/>
    <w:rsid w:val="00354BE6"/>
    <w:rsid w:val="00354FE3"/>
    <w:rsid w:val="003555A2"/>
    <w:rsid w:val="00355C46"/>
    <w:rsid w:val="00356141"/>
    <w:rsid w:val="003562FA"/>
    <w:rsid w:val="00356FB3"/>
    <w:rsid w:val="0035709A"/>
    <w:rsid w:val="00357478"/>
    <w:rsid w:val="00357559"/>
    <w:rsid w:val="00357E18"/>
    <w:rsid w:val="0036017F"/>
    <w:rsid w:val="00360198"/>
    <w:rsid w:val="0036026B"/>
    <w:rsid w:val="0036029E"/>
    <w:rsid w:val="00360614"/>
    <w:rsid w:val="0036067D"/>
    <w:rsid w:val="003608D2"/>
    <w:rsid w:val="00360F3D"/>
    <w:rsid w:val="003611A1"/>
    <w:rsid w:val="00361926"/>
    <w:rsid w:val="00362310"/>
    <w:rsid w:val="0036236E"/>
    <w:rsid w:val="003627C2"/>
    <w:rsid w:val="003628AD"/>
    <w:rsid w:val="00363033"/>
    <w:rsid w:val="0036311D"/>
    <w:rsid w:val="003632CE"/>
    <w:rsid w:val="003637F6"/>
    <w:rsid w:val="003638EB"/>
    <w:rsid w:val="00363930"/>
    <w:rsid w:val="00363AC6"/>
    <w:rsid w:val="00363D83"/>
    <w:rsid w:val="00363FC3"/>
    <w:rsid w:val="00363FDA"/>
    <w:rsid w:val="0036417A"/>
    <w:rsid w:val="0036434C"/>
    <w:rsid w:val="00364C44"/>
    <w:rsid w:val="00364D06"/>
    <w:rsid w:val="00364D45"/>
    <w:rsid w:val="00364DEA"/>
    <w:rsid w:val="00365282"/>
    <w:rsid w:val="00365440"/>
    <w:rsid w:val="0036566F"/>
    <w:rsid w:val="003658EF"/>
    <w:rsid w:val="003659E1"/>
    <w:rsid w:val="00365B5D"/>
    <w:rsid w:val="00365D67"/>
    <w:rsid w:val="0036690E"/>
    <w:rsid w:val="0036727F"/>
    <w:rsid w:val="00367ACC"/>
    <w:rsid w:val="00367BF9"/>
    <w:rsid w:val="00370098"/>
    <w:rsid w:val="003700FF"/>
    <w:rsid w:val="00370628"/>
    <w:rsid w:val="00370774"/>
    <w:rsid w:val="003709A2"/>
    <w:rsid w:val="00370ABA"/>
    <w:rsid w:val="00370B1A"/>
    <w:rsid w:val="00370C07"/>
    <w:rsid w:val="00370F0D"/>
    <w:rsid w:val="0037131F"/>
    <w:rsid w:val="003716FF"/>
    <w:rsid w:val="00371909"/>
    <w:rsid w:val="0037198D"/>
    <w:rsid w:val="00371DFD"/>
    <w:rsid w:val="003720AB"/>
    <w:rsid w:val="003723D6"/>
    <w:rsid w:val="00372C82"/>
    <w:rsid w:val="00372D9C"/>
    <w:rsid w:val="00372F2B"/>
    <w:rsid w:val="0037308B"/>
    <w:rsid w:val="00373117"/>
    <w:rsid w:val="0037313C"/>
    <w:rsid w:val="003733A3"/>
    <w:rsid w:val="003733B7"/>
    <w:rsid w:val="0037382A"/>
    <w:rsid w:val="00373AAC"/>
    <w:rsid w:val="00373BC2"/>
    <w:rsid w:val="00373E09"/>
    <w:rsid w:val="00374772"/>
    <w:rsid w:val="00374950"/>
    <w:rsid w:val="00374B9E"/>
    <w:rsid w:val="00374EE1"/>
    <w:rsid w:val="0037504D"/>
    <w:rsid w:val="00375134"/>
    <w:rsid w:val="003756AB"/>
    <w:rsid w:val="00375830"/>
    <w:rsid w:val="0037598E"/>
    <w:rsid w:val="00375D26"/>
    <w:rsid w:val="00375F13"/>
    <w:rsid w:val="003762EB"/>
    <w:rsid w:val="003765B2"/>
    <w:rsid w:val="0037683C"/>
    <w:rsid w:val="00376A98"/>
    <w:rsid w:val="00376D3D"/>
    <w:rsid w:val="00376E31"/>
    <w:rsid w:val="00377F23"/>
    <w:rsid w:val="00377FC0"/>
    <w:rsid w:val="0038058E"/>
    <w:rsid w:val="003805BE"/>
    <w:rsid w:val="00380C28"/>
    <w:rsid w:val="00380E17"/>
    <w:rsid w:val="003811B2"/>
    <w:rsid w:val="0038124A"/>
    <w:rsid w:val="003812FA"/>
    <w:rsid w:val="003815BC"/>
    <w:rsid w:val="00381A62"/>
    <w:rsid w:val="00381B3C"/>
    <w:rsid w:val="00381E74"/>
    <w:rsid w:val="003820FC"/>
    <w:rsid w:val="00382219"/>
    <w:rsid w:val="0038267B"/>
    <w:rsid w:val="00382921"/>
    <w:rsid w:val="00382B86"/>
    <w:rsid w:val="003835D2"/>
    <w:rsid w:val="003838A7"/>
    <w:rsid w:val="00383BF5"/>
    <w:rsid w:val="00383EF8"/>
    <w:rsid w:val="00383F2D"/>
    <w:rsid w:val="003840F0"/>
    <w:rsid w:val="00384697"/>
    <w:rsid w:val="00384FC3"/>
    <w:rsid w:val="00385139"/>
    <w:rsid w:val="003851C2"/>
    <w:rsid w:val="003855D0"/>
    <w:rsid w:val="00385660"/>
    <w:rsid w:val="0038594B"/>
    <w:rsid w:val="00386227"/>
    <w:rsid w:val="003862EB"/>
    <w:rsid w:val="00386550"/>
    <w:rsid w:val="00386BD1"/>
    <w:rsid w:val="00386E58"/>
    <w:rsid w:val="00387310"/>
    <w:rsid w:val="003873FB"/>
    <w:rsid w:val="00387CA9"/>
    <w:rsid w:val="00387CDE"/>
    <w:rsid w:val="00387F0B"/>
    <w:rsid w:val="0039023C"/>
    <w:rsid w:val="003902C6"/>
    <w:rsid w:val="003904FD"/>
    <w:rsid w:val="0039051D"/>
    <w:rsid w:val="00390B64"/>
    <w:rsid w:val="00390E39"/>
    <w:rsid w:val="00391160"/>
    <w:rsid w:val="00391442"/>
    <w:rsid w:val="003919A2"/>
    <w:rsid w:val="003919B1"/>
    <w:rsid w:val="00391B87"/>
    <w:rsid w:val="00391F47"/>
    <w:rsid w:val="00392502"/>
    <w:rsid w:val="00392A42"/>
    <w:rsid w:val="00392A79"/>
    <w:rsid w:val="00392A88"/>
    <w:rsid w:val="003931DE"/>
    <w:rsid w:val="00393ABB"/>
    <w:rsid w:val="00393E70"/>
    <w:rsid w:val="003941DA"/>
    <w:rsid w:val="003942D0"/>
    <w:rsid w:val="003944CA"/>
    <w:rsid w:val="00394A7D"/>
    <w:rsid w:val="00394E02"/>
    <w:rsid w:val="003951B1"/>
    <w:rsid w:val="003952ED"/>
    <w:rsid w:val="00395333"/>
    <w:rsid w:val="0039548F"/>
    <w:rsid w:val="00395783"/>
    <w:rsid w:val="00395C0C"/>
    <w:rsid w:val="00395D80"/>
    <w:rsid w:val="00395DD2"/>
    <w:rsid w:val="00395FEF"/>
    <w:rsid w:val="00396189"/>
    <w:rsid w:val="003962AD"/>
    <w:rsid w:val="0039682C"/>
    <w:rsid w:val="003968A0"/>
    <w:rsid w:val="00397254"/>
    <w:rsid w:val="003977B2"/>
    <w:rsid w:val="003977C0"/>
    <w:rsid w:val="003979AD"/>
    <w:rsid w:val="00397CB0"/>
    <w:rsid w:val="00397FBC"/>
    <w:rsid w:val="00397FC6"/>
    <w:rsid w:val="003A000C"/>
    <w:rsid w:val="003A03EF"/>
    <w:rsid w:val="003A03FA"/>
    <w:rsid w:val="003A077F"/>
    <w:rsid w:val="003A0F84"/>
    <w:rsid w:val="003A10EB"/>
    <w:rsid w:val="003A1167"/>
    <w:rsid w:val="003A1226"/>
    <w:rsid w:val="003A1C67"/>
    <w:rsid w:val="003A1D06"/>
    <w:rsid w:val="003A1E22"/>
    <w:rsid w:val="003A1FED"/>
    <w:rsid w:val="003A22A0"/>
    <w:rsid w:val="003A2309"/>
    <w:rsid w:val="003A24C1"/>
    <w:rsid w:val="003A2C00"/>
    <w:rsid w:val="003A303D"/>
    <w:rsid w:val="003A30B9"/>
    <w:rsid w:val="003A31C4"/>
    <w:rsid w:val="003A3300"/>
    <w:rsid w:val="003A3952"/>
    <w:rsid w:val="003A405E"/>
    <w:rsid w:val="003A40AA"/>
    <w:rsid w:val="003A4468"/>
    <w:rsid w:val="003A48E3"/>
    <w:rsid w:val="003A4CC8"/>
    <w:rsid w:val="003A4E8B"/>
    <w:rsid w:val="003A54C9"/>
    <w:rsid w:val="003A5637"/>
    <w:rsid w:val="003A589D"/>
    <w:rsid w:val="003A60C0"/>
    <w:rsid w:val="003A6990"/>
    <w:rsid w:val="003A7012"/>
    <w:rsid w:val="003A738E"/>
    <w:rsid w:val="003A7747"/>
    <w:rsid w:val="003A77D1"/>
    <w:rsid w:val="003A78C7"/>
    <w:rsid w:val="003A7A31"/>
    <w:rsid w:val="003B051A"/>
    <w:rsid w:val="003B0B59"/>
    <w:rsid w:val="003B0D9F"/>
    <w:rsid w:val="003B0E19"/>
    <w:rsid w:val="003B1445"/>
    <w:rsid w:val="003B17BE"/>
    <w:rsid w:val="003B187D"/>
    <w:rsid w:val="003B190C"/>
    <w:rsid w:val="003B1ACB"/>
    <w:rsid w:val="003B1C86"/>
    <w:rsid w:val="003B1FAE"/>
    <w:rsid w:val="003B3949"/>
    <w:rsid w:val="003B3DCA"/>
    <w:rsid w:val="003B3F83"/>
    <w:rsid w:val="003B40D8"/>
    <w:rsid w:val="003B40F2"/>
    <w:rsid w:val="003B4472"/>
    <w:rsid w:val="003B47D1"/>
    <w:rsid w:val="003B4A87"/>
    <w:rsid w:val="003B4DFC"/>
    <w:rsid w:val="003B4E78"/>
    <w:rsid w:val="003B4EC7"/>
    <w:rsid w:val="003B539A"/>
    <w:rsid w:val="003B5459"/>
    <w:rsid w:val="003B5467"/>
    <w:rsid w:val="003B5625"/>
    <w:rsid w:val="003B5B51"/>
    <w:rsid w:val="003B5F5A"/>
    <w:rsid w:val="003B63BC"/>
    <w:rsid w:val="003B68E0"/>
    <w:rsid w:val="003B6971"/>
    <w:rsid w:val="003B69A4"/>
    <w:rsid w:val="003B6C52"/>
    <w:rsid w:val="003B756C"/>
    <w:rsid w:val="003B75B2"/>
    <w:rsid w:val="003B7709"/>
    <w:rsid w:val="003B775D"/>
    <w:rsid w:val="003B77C1"/>
    <w:rsid w:val="003B7A2C"/>
    <w:rsid w:val="003B7B0B"/>
    <w:rsid w:val="003B7C77"/>
    <w:rsid w:val="003C117A"/>
    <w:rsid w:val="003C1480"/>
    <w:rsid w:val="003C1854"/>
    <w:rsid w:val="003C1865"/>
    <w:rsid w:val="003C1CBE"/>
    <w:rsid w:val="003C1D6E"/>
    <w:rsid w:val="003C1E13"/>
    <w:rsid w:val="003C1F9F"/>
    <w:rsid w:val="003C21E8"/>
    <w:rsid w:val="003C2429"/>
    <w:rsid w:val="003C2616"/>
    <w:rsid w:val="003C280E"/>
    <w:rsid w:val="003C312E"/>
    <w:rsid w:val="003C36BE"/>
    <w:rsid w:val="003C3F84"/>
    <w:rsid w:val="003C3FCA"/>
    <w:rsid w:val="003C422E"/>
    <w:rsid w:val="003C47BD"/>
    <w:rsid w:val="003C4950"/>
    <w:rsid w:val="003C4A0B"/>
    <w:rsid w:val="003C5093"/>
    <w:rsid w:val="003C51F8"/>
    <w:rsid w:val="003C534E"/>
    <w:rsid w:val="003C5AAC"/>
    <w:rsid w:val="003C5C7D"/>
    <w:rsid w:val="003C6FDF"/>
    <w:rsid w:val="003C7305"/>
    <w:rsid w:val="003C7F53"/>
    <w:rsid w:val="003D018D"/>
    <w:rsid w:val="003D0DFD"/>
    <w:rsid w:val="003D11F8"/>
    <w:rsid w:val="003D18C4"/>
    <w:rsid w:val="003D192F"/>
    <w:rsid w:val="003D1DBF"/>
    <w:rsid w:val="003D235D"/>
    <w:rsid w:val="003D2B3C"/>
    <w:rsid w:val="003D2FFD"/>
    <w:rsid w:val="003D3B7C"/>
    <w:rsid w:val="003D3C4F"/>
    <w:rsid w:val="003D4364"/>
    <w:rsid w:val="003D47FC"/>
    <w:rsid w:val="003D4969"/>
    <w:rsid w:val="003D4F4F"/>
    <w:rsid w:val="003D50EE"/>
    <w:rsid w:val="003D5C44"/>
    <w:rsid w:val="003D60AA"/>
    <w:rsid w:val="003D637A"/>
    <w:rsid w:val="003D6389"/>
    <w:rsid w:val="003D65A9"/>
    <w:rsid w:val="003D6940"/>
    <w:rsid w:val="003D6BE0"/>
    <w:rsid w:val="003D6DEB"/>
    <w:rsid w:val="003D73EC"/>
    <w:rsid w:val="003D7483"/>
    <w:rsid w:val="003D7746"/>
    <w:rsid w:val="003E01A6"/>
    <w:rsid w:val="003E0426"/>
    <w:rsid w:val="003E0448"/>
    <w:rsid w:val="003E05FA"/>
    <w:rsid w:val="003E077B"/>
    <w:rsid w:val="003E0985"/>
    <w:rsid w:val="003E0E86"/>
    <w:rsid w:val="003E17FD"/>
    <w:rsid w:val="003E1F61"/>
    <w:rsid w:val="003E1FFB"/>
    <w:rsid w:val="003E23F6"/>
    <w:rsid w:val="003E2997"/>
    <w:rsid w:val="003E3FF7"/>
    <w:rsid w:val="003E45B3"/>
    <w:rsid w:val="003E46E6"/>
    <w:rsid w:val="003E4AD6"/>
    <w:rsid w:val="003E4CA2"/>
    <w:rsid w:val="003E4E6A"/>
    <w:rsid w:val="003E4F19"/>
    <w:rsid w:val="003E5BB2"/>
    <w:rsid w:val="003E6387"/>
    <w:rsid w:val="003E6583"/>
    <w:rsid w:val="003E6684"/>
    <w:rsid w:val="003E677E"/>
    <w:rsid w:val="003E69E2"/>
    <w:rsid w:val="003E784B"/>
    <w:rsid w:val="003E79D6"/>
    <w:rsid w:val="003E7CA6"/>
    <w:rsid w:val="003E7E35"/>
    <w:rsid w:val="003E7FDD"/>
    <w:rsid w:val="003F0435"/>
    <w:rsid w:val="003F05C3"/>
    <w:rsid w:val="003F05C6"/>
    <w:rsid w:val="003F093B"/>
    <w:rsid w:val="003F0D92"/>
    <w:rsid w:val="003F0DEF"/>
    <w:rsid w:val="003F0E24"/>
    <w:rsid w:val="003F2904"/>
    <w:rsid w:val="003F2AB1"/>
    <w:rsid w:val="003F2BA2"/>
    <w:rsid w:val="003F2E53"/>
    <w:rsid w:val="003F3177"/>
    <w:rsid w:val="003F3366"/>
    <w:rsid w:val="003F3532"/>
    <w:rsid w:val="003F3B3D"/>
    <w:rsid w:val="003F3DCA"/>
    <w:rsid w:val="003F3E7B"/>
    <w:rsid w:val="003F3FAF"/>
    <w:rsid w:val="003F3FB5"/>
    <w:rsid w:val="003F3FBF"/>
    <w:rsid w:val="003F4249"/>
    <w:rsid w:val="003F4E20"/>
    <w:rsid w:val="003F4E62"/>
    <w:rsid w:val="003F4EB0"/>
    <w:rsid w:val="003F5A4B"/>
    <w:rsid w:val="003F5A56"/>
    <w:rsid w:val="003F5E14"/>
    <w:rsid w:val="003F6033"/>
    <w:rsid w:val="003F670A"/>
    <w:rsid w:val="003F6AB4"/>
    <w:rsid w:val="003F6F25"/>
    <w:rsid w:val="003F730C"/>
    <w:rsid w:val="003F736F"/>
    <w:rsid w:val="003F761C"/>
    <w:rsid w:val="003F7CFB"/>
    <w:rsid w:val="003F7F67"/>
    <w:rsid w:val="003F7FA4"/>
    <w:rsid w:val="0040019B"/>
    <w:rsid w:val="004009EE"/>
    <w:rsid w:val="00400A85"/>
    <w:rsid w:val="00400CC8"/>
    <w:rsid w:val="00400CFC"/>
    <w:rsid w:val="00401423"/>
    <w:rsid w:val="004017D1"/>
    <w:rsid w:val="00401913"/>
    <w:rsid w:val="0040216D"/>
    <w:rsid w:val="00402863"/>
    <w:rsid w:val="004033D5"/>
    <w:rsid w:val="004034AF"/>
    <w:rsid w:val="004034B2"/>
    <w:rsid w:val="004035A5"/>
    <w:rsid w:val="00403ED7"/>
    <w:rsid w:val="004043D6"/>
    <w:rsid w:val="00404E42"/>
    <w:rsid w:val="00404EFF"/>
    <w:rsid w:val="00404F2B"/>
    <w:rsid w:val="004050BE"/>
    <w:rsid w:val="004054E1"/>
    <w:rsid w:val="004055C3"/>
    <w:rsid w:val="004057E5"/>
    <w:rsid w:val="00405F2C"/>
    <w:rsid w:val="00406307"/>
    <w:rsid w:val="004065D5"/>
    <w:rsid w:val="0040725E"/>
    <w:rsid w:val="004073DB"/>
    <w:rsid w:val="004074FC"/>
    <w:rsid w:val="00407588"/>
    <w:rsid w:val="00410430"/>
    <w:rsid w:val="0041049B"/>
    <w:rsid w:val="00410504"/>
    <w:rsid w:val="004107E3"/>
    <w:rsid w:val="004107F2"/>
    <w:rsid w:val="004108C6"/>
    <w:rsid w:val="004109D1"/>
    <w:rsid w:val="00411844"/>
    <w:rsid w:val="00411B02"/>
    <w:rsid w:val="00411B5A"/>
    <w:rsid w:val="00412712"/>
    <w:rsid w:val="00412C2F"/>
    <w:rsid w:val="00412F94"/>
    <w:rsid w:val="004130C8"/>
    <w:rsid w:val="00413A17"/>
    <w:rsid w:val="00413E03"/>
    <w:rsid w:val="00413E07"/>
    <w:rsid w:val="00413E3E"/>
    <w:rsid w:val="00414875"/>
    <w:rsid w:val="00415119"/>
    <w:rsid w:val="00415467"/>
    <w:rsid w:val="0041546B"/>
    <w:rsid w:val="00415A11"/>
    <w:rsid w:val="00415AF3"/>
    <w:rsid w:val="00415D3D"/>
    <w:rsid w:val="004163B6"/>
    <w:rsid w:val="0041659E"/>
    <w:rsid w:val="00416AD6"/>
    <w:rsid w:val="00416BBB"/>
    <w:rsid w:val="00416EC0"/>
    <w:rsid w:val="00417224"/>
    <w:rsid w:val="00417323"/>
    <w:rsid w:val="004179A6"/>
    <w:rsid w:val="00417B5A"/>
    <w:rsid w:val="00417E3E"/>
    <w:rsid w:val="00417F0C"/>
    <w:rsid w:val="00417F82"/>
    <w:rsid w:val="00417FF5"/>
    <w:rsid w:val="004201E5"/>
    <w:rsid w:val="00420201"/>
    <w:rsid w:val="004203E2"/>
    <w:rsid w:val="0042083E"/>
    <w:rsid w:val="00420B27"/>
    <w:rsid w:val="0042105E"/>
    <w:rsid w:val="00421307"/>
    <w:rsid w:val="00421719"/>
    <w:rsid w:val="00421800"/>
    <w:rsid w:val="00421B0C"/>
    <w:rsid w:val="00421CD3"/>
    <w:rsid w:val="00421E2D"/>
    <w:rsid w:val="004221DD"/>
    <w:rsid w:val="00422417"/>
    <w:rsid w:val="00422818"/>
    <w:rsid w:val="0042291E"/>
    <w:rsid w:val="0042338C"/>
    <w:rsid w:val="004237C8"/>
    <w:rsid w:val="004238C6"/>
    <w:rsid w:val="0042443A"/>
    <w:rsid w:val="00424A6E"/>
    <w:rsid w:val="00424DA5"/>
    <w:rsid w:val="00425261"/>
    <w:rsid w:val="004253B8"/>
    <w:rsid w:val="0042551F"/>
    <w:rsid w:val="00425537"/>
    <w:rsid w:val="004257F1"/>
    <w:rsid w:val="0042586A"/>
    <w:rsid w:val="00425AE5"/>
    <w:rsid w:val="00425F6E"/>
    <w:rsid w:val="00426116"/>
    <w:rsid w:val="0042694B"/>
    <w:rsid w:val="004269C2"/>
    <w:rsid w:val="004274C8"/>
    <w:rsid w:val="00427564"/>
    <w:rsid w:val="00427719"/>
    <w:rsid w:val="00427900"/>
    <w:rsid w:val="00430210"/>
    <w:rsid w:val="004302CD"/>
    <w:rsid w:val="004303BE"/>
    <w:rsid w:val="00430417"/>
    <w:rsid w:val="0043060F"/>
    <w:rsid w:val="00430804"/>
    <w:rsid w:val="00430B6F"/>
    <w:rsid w:val="00430B78"/>
    <w:rsid w:val="00432025"/>
    <w:rsid w:val="0043214E"/>
    <w:rsid w:val="00432216"/>
    <w:rsid w:val="0043221B"/>
    <w:rsid w:val="00432AE5"/>
    <w:rsid w:val="00432AE8"/>
    <w:rsid w:val="00432EE8"/>
    <w:rsid w:val="004331A3"/>
    <w:rsid w:val="00433541"/>
    <w:rsid w:val="00433783"/>
    <w:rsid w:val="004339B1"/>
    <w:rsid w:val="00433E0A"/>
    <w:rsid w:val="00433E93"/>
    <w:rsid w:val="00433F7B"/>
    <w:rsid w:val="00434318"/>
    <w:rsid w:val="0043456D"/>
    <w:rsid w:val="004352A3"/>
    <w:rsid w:val="0043535C"/>
    <w:rsid w:val="00435991"/>
    <w:rsid w:val="004362A8"/>
    <w:rsid w:val="0043688F"/>
    <w:rsid w:val="00437129"/>
    <w:rsid w:val="00437753"/>
    <w:rsid w:val="00437AD0"/>
    <w:rsid w:val="00437E94"/>
    <w:rsid w:val="0044042E"/>
    <w:rsid w:val="00440E47"/>
    <w:rsid w:val="00441D9B"/>
    <w:rsid w:val="0044255B"/>
    <w:rsid w:val="00442B58"/>
    <w:rsid w:val="00442E7D"/>
    <w:rsid w:val="00442E9A"/>
    <w:rsid w:val="00443279"/>
    <w:rsid w:val="004433CF"/>
    <w:rsid w:val="00443A45"/>
    <w:rsid w:val="0044409D"/>
    <w:rsid w:val="00444378"/>
    <w:rsid w:val="004449BE"/>
    <w:rsid w:val="00444CAB"/>
    <w:rsid w:val="00444D6C"/>
    <w:rsid w:val="00444E87"/>
    <w:rsid w:val="004453FF"/>
    <w:rsid w:val="00445993"/>
    <w:rsid w:val="0044682E"/>
    <w:rsid w:val="00446FAA"/>
    <w:rsid w:val="00447484"/>
    <w:rsid w:val="00447DC4"/>
    <w:rsid w:val="0045029C"/>
    <w:rsid w:val="004507EA"/>
    <w:rsid w:val="00450C38"/>
    <w:rsid w:val="004520C1"/>
    <w:rsid w:val="00452C7A"/>
    <w:rsid w:val="00452F2F"/>
    <w:rsid w:val="00452F8C"/>
    <w:rsid w:val="0045361B"/>
    <w:rsid w:val="00453969"/>
    <w:rsid w:val="004539AD"/>
    <w:rsid w:val="004539BA"/>
    <w:rsid w:val="00453A10"/>
    <w:rsid w:val="00453C26"/>
    <w:rsid w:val="00453CE1"/>
    <w:rsid w:val="00453DD5"/>
    <w:rsid w:val="00453E4C"/>
    <w:rsid w:val="00453F30"/>
    <w:rsid w:val="00454E12"/>
    <w:rsid w:val="00454FDC"/>
    <w:rsid w:val="004550AA"/>
    <w:rsid w:val="00455213"/>
    <w:rsid w:val="00455397"/>
    <w:rsid w:val="00455837"/>
    <w:rsid w:val="00455D94"/>
    <w:rsid w:val="00455E21"/>
    <w:rsid w:val="00455FAE"/>
    <w:rsid w:val="004562CF"/>
    <w:rsid w:val="00456610"/>
    <w:rsid w:val="00456B6A"/>
    <w:rsid w:val="00456BBB"/>
    <w:rsid w:val="00456E1D"/>
    <w:rsid w:val="00456F28"/>
    <w:rsid w:val="004572B4"/>
    <w:rsid w:val="00457AD6"/>
    <w:rsid w:val="00457B6F"/>
    <w:rsid w:val="00457BF9"/>
    <w:rsid w:val="00457F35"/>
    <w:rsid w:val="00460002"/>
    <w:rsid w:val="00460A56"/>
    <w:rsid w:val="0046195F"/>
    <w:rsid w:val="00462040"/>
    <w:rsid w:val="0046219B"/>
    <w:rsid w:val="00463036"/>
    <w:rsid w:val="0046342B"/>
    <w:rsid w:val="0046349B"/>
    <w:rsid w:val="004639FA"/>
    <w:rsid w:val="00463D30"/>
    <w:rsid w:val="00464495"/>
    <w:rsid w:val="0046533D"/>
    <w:rsid w:val="004655C8"/>
    <w:rsid w:val="00465B8D"/>
    <w:rsid w:val="00466651"/>
    <w:rsid w:val="00466B99"/>
    <w:rsid w:val="00467316"/>
    <w:rsid w:val="004679EE"/>
    <w:rsid w:val="00467A73"/>
    <w:rsid w:val="004704CD"/>
    <w:rsid w:val="0047089C"/>
    <w:rsid w:val="004710F8"/>
    <w:rsid w:val="0047141A"/>
    <w:rsid w:val="004714E0"/>
    <w:rsid w:val="00471686"/>
    <w:rsid w:val="00471DAF"/>
    <w:rsid w:val="00471E7D"/>
    <w:rsid w:val="004720D7"/>
    <w:rsid w:val="0047342E"/>
    <w:rsid w:val="00473C9D"/>
    <w:rsid w:val="00473DB6"/>
    <w:rsid w:val="00473E7E"/>
    <w:rsid w:val="004741B6"/>
    <w:rsid w:val="00474327"/>
    <w:rsid w:val="00474408"/>
    <w:rsid w:val="00474446"/>
    <w:rsid w:val="00474510"/>
    <w:rsid w:val="004748A1"/>
    <w:rsid w:val="00474A97"/>
    <w:rsid w:val="00475085"/>
    <w:rsid w:val="00475415"/>
    <w:rsid w:val="004758BC"/>
    <w:rsid w:val="0047598F"/>
    <w:rsid w:val="00475B14"/>
    <w:rsid w:val="00475C85"/>
    <w:rsid w:val="00475DC2"/>
    <w:rsid w:val="00475F6B"/>
    <w:rsid w:val="00476185"/>
    <w:rsid w:val="00476670"/>
    <w:rsid w:val="004768C7"/>
    <w:rsid w:val="00476914"/>
    <w:rsid w:val="0047744C"/>
    <w:rsid w:val="004803BF"/>
    <w:rsid w:val="00480C39"/>
    <w:rsid w:val="00480CD1"/>
    <w:rsid w:val="00480F07"/>
    <w:rsid w:val="0048106A"/>
    <w:rsid w:val="004815A8"/>
    <w:rsid w:val="004815AD"/>
    <w:rsid w:val="004816A3"/>
    <w:rsid w:val="0048208D"/>
    <w:rsid w:val="004820E1"/>
    <w:rsid w:val="0048233B"/>
    <w:rsid w:val="004826AB"/>
    <w:rsid w:val="00482792"/>
    <w:rsid w:val="00482800"/>
    <w:rsid w:val="00483045"/>
    <w:rsid w:val="004832BD"/>
    <w:rsid w:val="004832C2"/>
    <w:rsid w:val="00484253"/>
    <w:rsid w:val="004842C9"/>
    <w:rsid w:val="00484392"/>
    <w:rsid w:val="004843B4"/>
    <w:rsid w:val="00484991"/>
    <w:rsid w:val="0048500A"/>
    <w:rsid w:val="004854DA"/>
    <w:rsid w:val="00485525"/>
    <w:rsid w:val="00485767"/>
    <w:rsid w:val="00485B13"/>
    <w:rsid w:val="00486211"/>
    <w:rsid w:val="00486461"/>
    <w:rsid w:val="0048646B"/>
    <w:rsid w:val="00486930"/>
    <w:rsid w:val="00486A32"/>
    <w:rsid w:val="00486AA2"/>
    <w:rsid w:val="004871CD"/>
    <w:rsid w:val="004874AF"/>
    <w:rsid w:val="004875C9"/>
    <w:rsid w:val="00487C2C"/>
    <w:rsid w:val="00487DB8"/>
    <w:rsid w:val="00490094"/>
    <w:rsid w:val="004901DD"/>
    <w:rsid w:val="0049052B"/>
    <w:rsid w:val="004907BB"/>
    <w:rsid w:val="00490811"/>
    <w:rsid w:val="00490CD3"/>
    <w:rsid w:val="0049122E"/>
    <w:rsid w:val="00491272"/>
    <w:rsid w:val="00491721"/>
    <w:rsid w:val="00491792"/>
    <w:rsid w:val="00491DA8"/>
    <w:rsid w:val="00492128"/>
    <w:rsid w:val="004922BC"/>
    <w:rsid w:val="004923D8"/>
    <w:rsid w:val="004929B3"/>
    <w:rsid w:val="00492AE6"/>
    <w:rsid w:val="0049369F"/>
    <w:rsid w:val="004938E9"/>
    <w:rsid w:val="00493AB2"/>
    <w:rsid w:val="00493CB0"/>
    <w:rsid w:val="004952FC"/>
    <w:rsid w:val="004953DB"/>
    <w:rsid w:val="00495438"/>
    <w:rsid w:val="00495A25"/>
    <w:rsid w:val="00495CE8"/>
    <w:rsid w:val="00496256"/>
    <w:rsid w:val="004964EC"/>
    <w:rsid w:val="00496AEE"/>
    <w:rsid w:val="00496B1B"/>
    <w:rsid w:val="00496C9D"/>
    <w:rsid w:val="004A027F"/>
    <w:rsid w:val="004A0D1A"/>
    <w:rsid w:val="004A0D39"/>
    <w:rsid w:val="004A1C6A"/>
    <w:rsid w:val="004A1D33"/>
    <w:rsid w:val="004A1E46"/>
    <w:rsid w:val="004A2697"/>
    <w:rsid w:val="004A2A39"/>
    <w:rsid w:val="004A2F71"/>
    <w:rsid w:val="004A30A5"/>
    <w:rsid w:val="004A38C3"/>
    <w:rsid w:val="004A38F8"/>
    <w:rsid w:val="004A3955"/>
    <w:rsid w:val="004A3B30"/>
    <w:rsid w:val="004A4040"/>
    <w:rsid w:val="004A4827"/>
    <w:rsid w:val="004A5B58"/>
    <w:rsid w:val="004A5D6B"/>
    <w:rsid w:val="004A5DFA"/>
    <w:rsid w:val="004A6272"/>
    <w:rsid w:val="004A6FA9"/>
    <w:rsid w:val="004A7058"/>
    <w:rsid w:val="004A71DF"/>
    <w:rsid w:val="004A71F9"/>
    <w:rsid w:val="004A7321"/>
    <w:rsid w:val="004A773E"/>
    <w:rsid w:val="004A7972"/>
    <w:rsid w:val="004A7B58"/>
    <w:rsid w:val="004B02A1"/>
    <w:rsid w:val="004B0941"/>
    <w:rsid w:val="004B100A"/>
    <w:rsid w:val="004B1156"/>
    <w:rsid w:val="004B127D"/>
    <w:rsid w:val="004B1470"/>
    <w:rsid w:val="004B15C5"/>
    <w:rsid w:val="004B1B43"/>
    <w:rsid w:val="004B2103"/>
    <w:rsid w:val="004B27C1"/>
    <w:rsid w:val="004B27DE"/>
    <w:rsid w:val="004B2BEE"/>
    <w:rsid w:val="004B373C"/>
    <w:rsid w:val="004B391A"/>
    <w:rsid w:val="004B3929"/>
    <w:rsid w:val="004B3A8D"/>
    <w:rsid w:val="004B3D13"/>
    <w:rsid w:val="004B43B3"/>
    <w:rsid w:val="004B4810"/>
    <w:rsid w:val="004B491D"/>
    <w:rsid w:val="004B4955"/>
    <w:rsid w:val="004B4BBA"/>
    <w:rsid w:val="004B4DF0"/>
    <w:rsid w:val="004B514F"/>
    <w:rsid w:val="004B55C7"/>
    <w:rsid w:val="004B56B5"/>
    <w:rsid w:val="004B595B"/>
    <w:rsid w:val="004B5FB9"/>
    <w:rsid w:val="004B68EB"/>
    <w:rsid w:val="004B68F2"/>
    <w:rsid w:val="004B6C9E"/>
    <w:rsid w:val="004B6D7A"/>
    <w:rsid w:val="004B7045"/>
    <w:rsid w:val="004B71A1"/>
    <w:rsid w:val="004B75E2"/>
    <w:rsid w:val="004B7776"/>
    <w:rsid w:val="004B796E"/>
    <w:rsid w:val="004B7CC8"/>
    <w:rsid w:val="004B7F52"/>
    <w:rsid w:val="004C0E6F"/>
    <w:rsid w:val="004C0F8E"/>
    <w:rsid w:val="004C1459"/>
    <w:rsid w:val="004C1506"/>
    <w:rsid w:val="004C18A6"/>
    <w:rsid w:val="004C2005"/>
    <w:rsid w:val="004C3015"/>
    <w:rsid w:val="004C3257"/>
    <w:rsid w:val="004C3417"/>
    <w:rsid w:val="004C3AA0"/>
    <w:rsid w:val="004C415C"/>
    <w:rsid w:val="004C43A6"/>
    <w:rsid w:val="004C43F7"/>
    <w:rsid w:val="004C471C"/>
    <w:rsid w:val="004C4861"/>
    <w:rsid w:val="004C495F"/>
    <w:rsid w:val="004C4A2E"/>
    <w:rsid w:val="004C519A"/>
    <w:rsid w:val="004C53AB"/>
    <w:rsid w:val="004C5892"/>
    <w:rsid w:val="004C5BC2"/>
    <w:rsid w:val="004C5F2D"/>
    <w:rsid w:val="004C66BD"/>
    <w:rsid w:val="004C67AE"/>
    <w:rsid w:val="004C6BF6"/>
    <w:rsid w:val="004C710D"/>
    <w:rsid w:val="004C7571"/>
    <w:rsid w:val="004D03B9"/>
    <w:rsid w:val="004D0698"/>
    <w:rsid w:val="004D09D8"/>
    <w:rsid w:val="004D0BE0"/>
    <w:rsid w:val="004D1AAE"/>
    <w:rsid w:val="004D1C40"/>
    <w:rsid w:val="004D21EF"/>
    <w:rsid w:val="004D22E2"/>
    <w:rsid w:val="004D2468"/>
    <w:rsid w:val="004D2A06"/>
    <w:rsid w:val="004D2FA3"/>
    <w:rsid w:val="004D3B7F"/>
    <w:rsid w:val="004D3EC1"/>
    <w:rsid w:val="004D3F72"/>
    <w:rsid w:val="004D420E"/>
    <w:rsid w:val="004D456E"/>
    <w:rsid w:val="004D67A3"/>
    <w:rsid w:val="004D690D"/>
    <w:rsid w:val="004D70A5"/>
    <w:rsid w:val="004D772D"/>
    <w:rsid w:val="004E0096"/>
    <w:rsid w:val="004E0224"/>
    <w:rsid w:val="004E0501"/>
    <w:rsid w:val="004E0621"/>
    <w:rsid w:val="004E07BC"/>
    <w:rsid w:val="004E1500"/>
    <w:rsid w:val="004E1BDE"/>
    <w:rsid w:val="004E212A"/>
    <w:rsid w:val="004E21B8"/>
    <w:rsid w:val="004E229B"/>
    <w:rsid w:val="004E280E"/>
    <w:rsid w:val="004E2AED"/>
    <w:rsid w:val="004E2D50"/>
    <w:rsid w:val="004E3278"/>
    <w:rsid w:val="004E32AC"/>
    <w:rsid w:val="004E331C"/>
    <w:rsid w:val="004E336B"/>
    <w:rsid w:val="004E398F"/>
    <w:rsid w:val="004E3AE0"/>
    <w:rsid w:val="004E3B7C"/>
    <w:rsid w:val="004E3DED"/>
    <w:rsid w:val="004E41F8"/>
    <w:rsid w:val="004E42B3"/>
    <w:rsid w:val="004E443B"/>
    <w:rsid w:val="004E47F7"/>
    <w:rsid w:val="004E4C36"/>
    <w:rsid w:val="004E50FE"/>
    <w:rsid w:val="004E54FF"/>
    <w:rsid w:val="004E5768"/>
    <w:rsid w:val="004E61BB"/>
    <w:rsid w:val="004E621B"/>
    <w:rsid w:val="004E66DB"/>
    <w:rsid w:val="004E6A6D"/>
    <w:rsid w:val="004E6A6F"/>
    <w:rsid w:val="004E75C3"/>
    <w:rsid w:val="004E7605"/>
    <w:rsid w:val="004E77AC"/>
    <w:rsid w:val="004E77B5"/>
    <w:rsid w:val="004E7A95"/>
    <w:rsid w:val="004F0327"/>
    <w:rsid w:val="004F0509"/>
    <w:rsid w:val="004F09F8"/>
    <w:rsid w:val="004F0B60"/>
    <w:rsid w:val="004F0CF7"/>
    <w:rsid w:val="004F119F"/>
    <w:rsid w:val="004F12E5"/>
    <w:rsid w:val="004F1386"/>
    <w:rsid w:val="004F1468"/>
    <w:rsid w:val="004F1738"/>
    <w:rsid w:val="004F19C8"/>
    <w:rsid w:val="004F1B66"/>
    <w:rsid w:val="004F1F45"/>
    <w:rsid w:val="004F2D0B"/>
    <w:rsid w:val="004F36A4"/>
    <w:rsid w:val="004F3A79"/>
    <w:rsid w:val="004F450F"/>
    <w:rsid w:val="004F4703"/>
    <w:rsid w:val="004F47B6"/>
    <w:rsid w:val="004F4864"/>
    <w:rsid w:val="004F4AE9"/>
    <w:rsid w:val="004F4C61"/>
    <w:rsid w:val="004F4CF4"/>
    <w:rsid w:val="004F4EB6"/>
    <w:rsid w:val="004F4F73"/>
    <w:rsid w:val="004F4F9C"/>
    <w:rsid w:val="004F513A"/>
    <w:rsid w:val="004F5230"/>
    <w:rsid w:val="004F5279"/>
    <w:rsid w:val="004F53BB"/>
    <w:rsid w:val="004F5550"/>
    <w:rsid w:val="004F56A3"/>
    <w:rsid w:val="004F5CC6"/>
    <w:rsid w:val="004F6119"/>
    <w:rsid w:val="004F64AB"/>
    <w:rsid w:val="004F6D57"/>
    <w:rsid w:val="004F6EF9"/>
    <w:rsid w:val="004F7787"/>
    <w:rsid w:val="004F778F"/>
    <w:rsid w:val="004F7BC1"/>
    <w:rsid w:val="005001B7"/>
    <w:rsid w:val="00500379"/>
    <w:rsid w:val="00500737"/>
    <w:rsid w:val="00500CB0"/>
    <w:rsid w:val="00500CD0"/>
    <w:rsid w:val="00500FF0"/>
    <w:rsid w:val="0050128F"/>
    <w:rsid w:val="00501445"/>
    <w:rsid w:val="005018B1"/>
    <w:rsid w:val="00501A4C"/>
    <w:rsid w:val="00501B64"/>
    <w:rsid w:val="00501BA9"/>
    <w:rsid w:val="00501E85"/>
    <w:rsid w:val="00502106"/>
    <w:rsid w:val="00502366"/>
    <w:rsid w:val="00503030"/>
    <w:rsid w:val="005033B3"/>
    <w:rsid w:val="00503610"/>
    <w:rsid w:val="00503736"/>
    <w:rsid w:val="005039BA"/>
    <w:rsid w:val="005039D8"/>
    <w:rsid w:val="005041C6"/>
    <w:rsid w:val="00504655"/>
    <w:rsid w:val="00504B14"/>
    <w:rsid w:val="00504F84"/>
    <w:rsid w:val="005063D0"/>
    <w:rsid w:val="0050669D"/>
    <w:rsid w:val="00506AD2"/>
    <w:rsid w:val="00506E31"/>
    <w:rsid w:val="005070CC"/>
    <w:rsid w:val="00507547"/>
    <w:rsid w:val="00510198"/>
    <w:rsid w:val="005102D9"/>
    <w:rsid w:val="005104F6"/>
    <w:rsid w:val="005115F2"/>
    <w:rsid w:val="00511760"/>
    <w:rsid w:val="00511790"/>
    <w:rsid w:val="00511C29"/>
    <w:rsid w:val="00511E05"/>
    <w:rsid w:val="00511FB1"/>
    <w:rsid w:val="00512E46"/>
    <w:rsid w:val="00512FEC"/>
    <w:rsid w:val="00513063"/>
    <w:rsid w:val="00513206"/>
    <w:rsid w:val="005133AE"/>
    <w:rsid w:val="00513725"/>
    <w:rsid w:val="00513EF3"/>
    <w:rsid w:val="00514086"/>
    <w:rsid w:val="00514243"/>
    <w:rsid w:val="005149AE"/>
    <w:rsid w:val="00515487"/>
    <w:rsid w:val="00515862"/>
    <w:rsid w:val="00515A7A"/>
    <w:rsid w:val="00515E0B"/>
    <w:rsid w:val="00515FA8"/>
    <w:rsid w:val="00515FC4"/>
    <w:rsid w:val="005160F2"/>
    <w:rsid w:val="0051618F"/>
    <w:rsid w:val="005162E2"/>
    <w:rsid w:val="005163B4"/>
    <w:rsid w:val="0051689B"/>
    <w:rsid w:val="00516B5D"/>
    <w:rsid w:val="0051764B"/>
    <w:rsid w:val="00517A4F"/>
    <w:rsid w:val="00517C47"/>
    <w:rsid w:val="00517FC3"/>
    <w:rsid w:val="005200B8"/>
    <w:rsid w:val="0052030A"/>
    <w:rsid w:val="00520756"/>
    <w:rsid w:val="00521113"/>
    <w:rsid w:val="005214A0"/>
    <w:rsid w:val="005215DB"/>
    <w:rsid w:val="0052165A"/>
    <w:rsid w:val="00521883"/>
    <w:rsid w:val="0052190B"/>
    <w:rsid w:val="00521AF9"/>
    <w:rsid w:val="00521B4D"/>
    <w:rsid w:val="00521BDB"/>
    <w:rsid w:val="00521CA0"/>
    <w:rsid w:val="00521F3A"/>
    <w:rsid w:val="00522652"/>
    <w:rsid w:val="00522C93"/>
    <w:rsid w:val="00523399"/>
    <w:rsid w:val="00523BB6"/>
    <w:rsid w:val="00523D6A"/>
    <w:rsid w:val="0052458A"/>
    <w:rsid w:val="00524967"/>
    <w:rsid w:val="00525441"/>
    <w:rsid w:val="0052545B"/>
    <w:rsid w:val="0052571F"/>
    <w:rsid w:val="00525728"/>
    <w:rsid w:val="0052591C"/>
    <w:rsid w:val="00525A08"/>
    <w:rsid w:val="00525F99"/>
    <w:rsid w:val="005261C6"/>
    <w:rsid w:val="005262B2"/>
    <w:rsid w:val="0052641C"/>
    <w:rsid w:val="005268FA"/>
    <w:rsid w:val="005269A3"/>
    <w:rsid w:val="00527302"/>
    <w:rsid w:val="00527342"/>
    <w:rsid w:val="005274F5"/>
    <w:rsid w:val="00527569"/>
    <w:rsid w:val="00527BF7"/>
    <w:rsid w:val="00527D91"/>
    <w:rsid w:val="005302A6"/>
    <w:rsid w:val="00530563"/>
    <w:rsid w:val="00530AEA"/>
    <w:rsid w:val="00531403"/>
    <w:rsid w:val="00531419"/>
    <w:rsid w:val="00531BA9"/>
    <w:rsid w:val="00532067"/>
    <w:rsid w:val="00532095"/>
    <w:rsid w:val="0053241B"/>
    <w:rsid w:val="00532892"/>
    <w:rsid w:val="00532D6A"/>
    <w:rsid w:val="0053303B"/>
    <w:rsid w:val="00533668"/>
    <w:rsid w:val="00533AAF"/>
    <w:rsid w:val="00533D00"/>
    <w:rsid w:val="00534B12"/>
    <w:rsid w:val="005350A0"/>
    <w:rsid w:val="00535784"/>
    <w:rsid w:val="00535F65"/>
    <w:rsid w:val="005361B2"/>
    <w:rsid w:val="005362A6"/>
    <w:rsid w:val="005365B4"/>
    <w:rsid w:val="00536B15"/>
    <w:rsid w:val="00536C1C"/>
    <w:rsid w:val="0053710E"/>
    <w:rsid w:val="005379CB"/>
    <w:rsid w:val="005403A1"/>
    <w:rsid w:val="005404E1"/>
    <w:rsid w:val="0054068A"/>
    <w:rsid w:val="005406D8"/>
    <w:rsid w:val="00540904"/>
    <w:rsid w:val="00540A9B"/>
    <w:rsid w:val="00540BEA"/>
    <w:rsid w:val="0054115A"/>
    <w:rsid w:val="005412A0"/>
    <w:rsid w:val="0054137B"/>
    <w:rsid w:val="0054193B"/>
    <w:rsid w:val="00541A2B"/>
    <w:rsid w:val="00541B33"/>
    <w:rsid w:val="00541BA4"/>
    <w:rsid w:val="00541D04"/>
    <w:rsid w:val="00541F63"/>
    <w:rsid w:val="0054217B"/>
    <w:rsid w:val="0054234B"/>
    <w:rsid w:val="005424BA"/>
    <w:rsid w:val="00542ACA"/>
    <w:rsid w:val="00542BD5"/>
    <w:rsid w:val="00543495"/>
    <w:rsid w:val="005438ED"/>
    <w:rsid w:val="005439A4"/>
    <w:rsid w:val="00543A91"/>
    <w:rsid w:val="00543CB5"/>
    <w:rsid w:val="00543EAE"/>
    <w:rsid w:val="00543EB0"/>
    <w:rsid w:val="005440E2"/>
    <w:rsid w:val="005455CB"/>
    <w:rsid w:val="005456F0"/>
    <w:rsid w:val="005459BA"/>
    <w:rsid w:val="00545D5A"/>
    <w:rsid w:val="00547551"/>
    <w:rsid w:val="005475FD"/>
    <w:rsid w:val="00547E1A"/>
    <w:rsid w:val="00547EF5"/>
    <w:rsid w:val="00550011"/>
    <w:rsid w:val="005503CA"/>
    <w:rsid w:val="00550D75"/>
    <w:rsid w:val="00550E85"/>
    <w:rsid w:val="0055103F"/>
    <w:rsid w:val="005515B4"/>
    <w:rsid w:val="005516C4"/>
    <w:rsid w:val="00551AAD"/>
    <w:rsid w:val="00552211"/>
    <w:rsid w:val="00552421"/>
    <w:rsid w:val="005524F9"/>
    <w:rsid w:val="00552FB8"/>
    <w:rsid w:val="00553576"/>
    <w:rsid w:val="00553A52"/>
    <w:rsid w:val="00553E1B"/>
    <w:rsid w:val="00553EB8"/>
    <w:rsid w:val="00553F0F"/>
    <w:rsid w:val="00554AE2"/>
    <w:rsid w:val="00554C0D"/>
    <w:rsid w:val="00554E8C"/>
    <w:rsid w:val="00554F86"/>
    <w:rsid w:val="005557BF"/>
    <w:rsid w:val="00556517"/>
    <w:rsid w:val="00556553"/>
    <w:rsid w:val="00556646"/>
    <w:rsid w:val="005566CD"/>
    <w:rsid w:val="00556CD6"/>
    <w:rsid w:val="00556FFF"/>
    <w:rsid w:val="00557608"/>
    <w:rsid w:val="005577BB"/>
    <w:rsid w:val="00557AA1"/>
    <w:rsid w:val="00557BB0"/>
    <w:rsid w:val="00557CD6"/>
    <w:rsid w:val="005605A9"/>
    <w:rsid w:val="0056079B"/>
    <w:rsid w:val="00560E6B"/>
    <w:rsid w:val="00560E7D"/>
    <w:rsid w:val="005618D1"/>
    <w:rsid w:val="00561C64"/>
    <w:rsid w:val="00561DB7"/>
    <w:rsid w:val="005622D7"/>
    <w:rsid w:val="005627BA"/>
    <w:rsid w:val="00562C5A"/>
    <w:rsid w:val="005630BF"/>
    <w:rsid w:val="0056368E"/>
    <w:rsid w:val="005636AF"/>
    <w:rsid w:val="00563DE8"/>
    <w:rsid w:val="00564B06"/>
    <w:rsid w:val="00564C94"/>
    <w:rsid w:val="00564DA5"/>
    <w:rsid w:val="00565624"/>
    <w:rsid w:val="0056627A"/>
    <w:rsid w:val="0056628D"/>
    <w:rsid w:val="0056669D"/>
    <w:rsid w:val="005667D7"/>
    <w:rsid w:val="005668BC"/>
    <w:rsid w:val="00566947"/>
    <w:rsid w:val="00566976"/>
    <w:rsid w:val="00566F9B"/>
    <w:rsid w:val="005674EB"/>
    <w:rsid w:val="005678F5"/>
    <w:rsid w:val="00567C93"/>
    <w:rsid w:val="00570065"/>
    <w:rsid w:val="00570389"/>
    <w:rsid w:val="00570765"/>
    <w:rsid w:val="00570773"/>
    <w:rsid w:val="00570AE8"/>
    <w:rsid w:val="005712CF"/>
    <w:rsid w:val="00571476"/>
    <w:rsid w:val="005714FB"/>
    <w:rsid w:val="00571862"/>
    <w:rsid w:val="00571AE2"/>
    <w:rsid w:val="00571D24"/>
    <w:rsid w:val="00571F4B"/>
    <w:rsid w:val="00572491"/>
    <w:rsid w:val="005726CE"/>
    <w:rsid w:val="00572859"/>
    <w:rsid w:val="005734CA"/>
    <w:rsid w:val="005735F1"/>
    <w:rsid w:val="0057369A"/>
    <w:rsid w:val="0057396B"/>
    <w:rsid w:val="00573A10"/>
    <w:rsid w:val="00573DF4"/>
    <w:rsid w:val="00573EC6"/>
    <w:rsid w:val="005742F3"/>
    <w:rsid w:val="00574E3E"/>
    <w:rsid w:val="0057501E"/>
    <w:rsid w:val="005753E8"/>
    <w:rsid w:val="00575E4C"/>
    <w:rsid w:val="00575F42"/>
    <w:rsid w:val="00575F9C"/>
    <w:rsid w:val="0057630A"/>
    <w:rsid w:val="005763B4"/>
    <w:rsid w:val="00576959"/>
    <w:rsid w:val="00576F94"/>
    <w:rsid w:val="005770C5"/>
    <w:rsid w:val="005771A7"/>
    <w:rsid w:val="0057744E"/>
    <w:rsid w:val="00577526"/>
    <w:rsid w:val="005779C1"/>
    <w:rsid w:val="005802B1"/>
    <w:rsid w:val="00580553"/>
    <w:rsid w:val="005807C8"/>
    <w:rsid w:val="00580B6E"/>
    <w:rsid w:val="00580C66"/>
    <w:rsid w:val="00580D15"/>
    <w:rsid w:val="00580F99"/>
    <w:rsid w:val="00581120"/>
    <w:rsid w:val="0058239C"/>
    <w:rsid w:val="005823C0"/>
    <w:rsid w:val="00582471"/>
    <w:rsid w:val="00582B19"/>
    <w:rsid w:val="00583100"/>
    <w:rsid w:val="005831AE"/>
    <w:rsid w:val="00583344"/>
    <w:rsid w:val="0058339F"/>
    <w:rsid w:val="005835A9"/>
    <w:rsid w:val="00583653"/>
    <w:rsid w:val="005838B1"/>
    <w:rsid w:val="005839C0"/>
    <w:rsid w:val="00583EDC"/>
    <w:rsid w:val="00583F41"/>
    <w:rsid w:val="00584909"/>
    <w:rsid w:val="00584C76"/>
    <w:rsid w:val="00584D43"/>
    <w:rsid w:val="00584E92"/>
    <w:rsid w:val="005855F0"/>
    <w:rsid w:val="00585AB8"/>
    <w:rsid w:val="00585BEB"/>
    <w:rsid w:val="00585EB0"/>
    <w:rsid w:val="00585F64"/>
    <w:rsid w:val="00586499"/>
    <w:rsid w:val="0058692A"/>
    <w:rsid w:val="00586A30"/>
    <w:rsid w:val="00586CAB"/>
    <w:rsid w:val="00586CE0"/>
    <w:rsid w:val="00586D01"/>
    <w:rsid w:val="00586D0A"/>
    <w:rsid w:val="00586E1E"/>
    <w:rsid w:val="00587110"/>
    <w:rsid w:val="005873A1"/>
    <w:rsid w:val="005873B3"/>
    <w:rsid w:val="00587DA7"/>
    <w:rsid w:val="00590257"/>
    <w:rsid w:val="00590D5D"/>
    <w:rsid w:val="00591377"/>
    <w:rsid w:val="00591980"/>
    <w:rsid w:val="00591AF0"/>
    <w:rsid w:val="005920A8"/>
    <w:rsid w:val="0059261B"/>
    <w:rsid w:val="005929B4"/>
    <w:rsid w:val="00592CF1"/>
    <w:rsid w:val="00592DF3"/>
    <w:rsid w:val="0059325F"/>
    <w:rsid w:val="005938A5"/>
    <w:rsid w:val="0059426C"/>
    <w:rsid w:val="00594369"/>
    <w:rsid w:val="00594681"/>
    <w:rsid w:val="0059486C"/>
    <w:rsid w:val="00594A18"/>
    <w:rsid w:val="00594DB0"/>
    <w:rsid w:val="00594EE4"/>
    <w:rsid w:val="005951A8"/>
    <w:rsid w:val="00595474"/>
    <w:rsid w:val="005954B9"/>
    <w:rsid w:val="00595927"/>
    <w:rsid w:val="00595BA4"/>
    <w:rsid w:val="005960DC"/>
    <w:rsid w:val="00596421"/>
    <w:rsid w:val="005964DA"/>
    <w:rsid w:val="00596A67"/>
    <w:rsid w:val="00596FDC"/>
    <w:rsid w:val="005971E5"/>
    <w:rsid w:val="00597633"/>
    <w:rsid w:val="005A02B4"/>
    <w:rsid w:val="005A0368"/>
    <w:rsid w:val="005A06AE"/>
    <w:rsid w:val="005A0915"/>
    <w:rsid w:val="005A0C77"/>
    <w:rsid w:val="005A10A9"/>
    <w:rsid w:val="005A129D"/>
    <w:rsid w:val="005A1920"/>
    <w:rsid w:val="005A1A1A"/>
    <w:rsid w:val="005A21EA"/>
    <w:rsid w:val="005A2481"/>
    <w:rsid w:val="005A2928"/>
    <w:rsid w:val="005A3183"/>
    <w:rsid w:val="005A429A"/>
    <w:rsid w:val="005A4BB3"/>
    <w:rsid w:val="005A5356"/>
    <w:rsid w:val="005A563C"/>
    <w:rsid w:val="005A57AF"/>
    <w:rsid w:val="005A5B26"/>
    <w:rsid w:val="005A5D3C"/>
    <w:rsid w:val="005A5DA6"/>
    <w:rsid w:val="005A5DDB"/>
    <w:rsid w:val="005A5EA9"/>
    <w:rsid w:val="005A6A28"/>
    <w:rsid w:val="005A6AD4"/>
    <w:rsid w:val="005A6BF5"/>
    <w:rsid w:val="005A6EA9"/>
    <w:rsid w:val="005A6FF1"/>
    <w:rsid w:val="005B06AC"/>
    <w:rsid w:val="005B0842"/>
    <w:rsid w:val="005B13D5"/>
    <w:rsid w:val="005B1638"/>
    <w:rsid w:val="005B1B3A"/>
    <w:rsid w:val="005B1DC4"/>
    <w:rsid w:val="005B213E"/>
    <w:rsid w:val="005B2392"/>
    <w:rsid w:val="005B2633"/>
    <w:rsid w:val="005B27AE"/>
    <w:rsid w:val="005B2CC6"/>
    <w:rsid w:val="005B2D53"/>
    <w:rsid w:val="005B2F08"/>
    <w:rsid w:val="005B3019"/>
    <w:rsid w:val="005B3757"/>
    <w:rsid w:val="005B386C"/>
    <w:rsid w:val="005B3B75"/>
    <w:rsid w:val="005B3DD0"/>
    <w:rsid w:val="005B3E3E"/>
    <w:rsid w:val="005B4406"/>
    <w:rsid w:val="005B4B7A"/>
    <w:rsid w:val="005B53E1"/>
    <w:rsid w:val="005B5668"/>
    <w:rsid w:val="005B573E"/>
    <w:rsid w:val="005B57D4"/>
    <w:rsid w:val="005B5A79"/>
    <w:rsid w:val="005B5DB1"/>
    <w:rsid w:val="005B6410"/>
    <w:rsid w:val="005B6A4B"/>
    <w:rsid w:val="005B6C9F"/>
    <w:rsid w:val="005B717B"/>
    <w:rsid w:val="005B7474"/>
    <w:rsid w:val="005B760C"/>
    <w:rsid w:val="005B7BA0"/>
    <w:rsid w:val="005B7C9A"/>
    <w:rsid w:val="005C007E"/>
    <w:rsid w:val="005C02A3"/>
    <w:rsid w:val="005C03EE"/>
    <w:rsid w:val="005C0D2B"/>
    <w:rsid w:val="005C1174"/>
    <w:rsid w:val="005C11BE"/>
    <w:rsid w:val="005C14A7"/>
    <w:rsid w:val="005C15B7"/>
    <w:rsid w:val="005C1A9E"/>
    <w:rsid w:val="005C1BED"/>
    <w:rsid w:val="005C25FF"/>
    <w:rsid w:val="005C2D83"/>
    <w:rsid w:val="005C2FE4"/>
    <w:rsid w:val="005C3152"/>
    <w:rsid w:val="005C359E"/>
    <w:rsid w:val="005C36C9"/>
    <w:rsid w:val="005C389A"/>
    <w:rsid w:val="005C3914"/>
    <w:rsid w:val="005C43D2"/>
    <w:rsid w:val="005C440D"/>
    <w:rsid w:val="005C47BF"/>
    <w:rsid w:val="005C4D94"/>
    <w:rsid w:val="005C4E65"/>
    <w:rsid w:val="005C5042"/>
    <w:rsid w:val="005C5442"/>
    <w:rsid w:val="005C57BD"/>
    <w:rsid w:val="005C5BC1"/>
    <w:rsid w:val="005C65E4"/>
    <w:rsid w:val="005C6789"/>
    <w:rsid w:val="005C67EA"/>
    <w:rsid w:val="005C694F"/>
    <w:rsid w:val="005C6C52"/>
    <w:rsid w:val="005C6D4A"/>
    <w:rsid w:val="005C6E0F"/>
    <w:rsid w:val="005C7740"/>
    <w:rsid w:val="005C774E"/>
    <w:rsid w:val="005C775F"/>
    <w:rsid w:val="005C7B10"/>
    <w:rsid w:val="005C7BCF"/>
    <w:rsid w:val="005C7D4F"/>
    <w:rsid w:val="005D01FF"/>
    <w:rsid w:val="005D038C"/>
    <w:rsid w:val="005D1074"/>
    <w:rsid w:val="005D17F6"/>
    <w:rsid w:val="005D1941"/>
    <w:rsid w:val="005D1D04"/>
    <w:rsid w:val="005D1D57"/>
    <w:rsid w:val="005D1EDC"/>
    <w:rsid w:val="005D1FE4"/>
    <w:rsid w:val="005D2017"/>
    <w:rsid w:val="005D24A6"/>
    <w:rsid w:val="005D25F7"/>
    <w:rsid w:val="005D2842"/>
    <w:rsid w:val="005D376C"/>
    <w:rsid w:val="005D3D32"/>
    <w:rsid w:val="005D3DFD"/>
    <w:rsid w:val="005D3F58"/>
    <w:rsid w:val="005D43E9"/>
    <w:rsid w:val="005D468B"/>
    <w:rsid w:val="005D48F2"/>
    <w:rsid w:val="005D48F4"/>
    <w:rsid w:val="005D5024"/>
    <w:rsid w:val="005D5075"/>
    <w:rsid w:val="005D55DC"/>
    <w:rsid w:val="005D5CCC"/>
    <w:rsid w:val="005D6304"/>
    <w:rsid w:val="005D64EA"/>
    <w:rsid w:val="005D65EF"/>
    <w:rsid w:val="005D6690"/>
    <w:rsid w:val="005D67A3"/>
    <w:rsid w:val="005D6841"/>
    <w:rsid w:val="005D6A67"/>
    <w:rsid w:val="005D6AAD"/>
    <w:rsid w:val="005D6C40"/>
    <w:rsid w:val="005D6CC3"/>
    <w:rsid w:val="005D6E51"/>
    <w:rsid w:val="005D6FE1"/>
    <w:rsid w:val="005D7040"/>
    <w:rsid w:val="005D7901"/>
    <w:rsid w:val="005D7A53"/>
    <w:rsid w:val="005E0CCC"/>
    <w:rsid w:val="005E118F"/>
    <w:rsid w:val="005E14E1"/>
    <w:rsid w:val="005E1D89"/>
    <w:rsid w:val="005E1FEA"/>
    <w:rsid w:val="005E2215"/>
    <w:rsid w:val="005E22AF"/>
    <w:rsid w:val="005E2614"/>
    <w:rsid w:val="005E268B"/>
    <w:rsid w:val="005E2822"/>
    <w:rsid w:val="005E291C"/>
    <w:rsid w:val="005E2B66"/>
    <w:rsid w:val="005E2C12"/>
    <w:rsid w:val="005E2F75"/>
    <w:rsid w:val="005E2FF5"/>
    <w:rsid w:val="005E347C"/>
    <w:rsid w:val="005E36BF"/>
    <w:rsid w:val="005E3A91"/>
    <w:rsid w:val="005E3B35"/>
    <w:rsid w:val="005E3F39"/>
    <w:rsid w:val="005E4295"/>
    <w:rsid w:val="005E4552"/>
    <w:rsid w:val="005E4835"/>
    <w:rsid w:val="005E497D"/>
    <w:rsid w:val="005E4A71"/>
    <w:rsid w:val="005E4F1E"/>
    <w:rsid w:val="005E4F9E"/>
    <w:rsid w:val="005E51DB"/>
    <w:rsid w:val="005E6334"/>
    <w:rsid w:val="005E6564"/>
    <w:rsid w:val="005E6B9E"/>
    <w:rsid w:val="005F02F8"/>
    <w:rsid w:val="005F05BC"/>
    <w:rsid w:val="005F062F"/>
    <w:rsid w:val="005F06AB"/>
    <w:rsid w:val="005F0797"/>
    <w:rsid w:val="005F08A8"/>
    <w:rsid w:val="005F0C80"/>
    <w:rsid w:val="005F0E0D"/>
    <w:rsid w:val="005F2602"/>
    <w:rsid w:val="005F2EB5"/>
    <w:rsid w:val="005F3088"/>
    <w:rsid w:val="005F3704"/>
    <w:rsid w:val="005F3799"/>
    <w:rsid w:val="005F3D55"/>
    <w:rsid w:val="005F3E86"/>
    <w:rsid w:val="005F40EC"/>
    <w:rsid w:val="005F4308"/>
    <w:rsid w:val="005F4569"/>
    <w:rsid w:val="005F4627"/>
    <w:rsid w:val="005F4717"/>
    <w:rsid w:val="005F4903"/>
    <w:rsid w:val="005F4C23"/>
    <w:rsid w:val="005F5150"/>
    <w:rsid w:val="005F5AA0"/>
    <w:rsid w:val="005F5BB2"/>
    <w:rsid w:val="005F6193"/>
    <w:rsid w:val="005F6F4E"/>
    <w:rsid w:val="005F72FA"/>
    <w:rsid w:val="005F7300"/>
    <w:rsid w:val="005F7392"/>
    <w:rsid w:val="005F758A"/>
    <w:rsid w:val="005F7615"/>
    <w:rsid w:val="005F7841"/>
    <w:rsid w:val="005F7F8C"/>
    <w:rsid w:val="00600E21"/>
    <w:rsid w:val="00600E63"/>
    <w:rsid w:val="0060109E"/>
    <w:rsid w:val="00601257"/>
    <w:rsid w:val="00601524"/>
    <w:rsid w:val="0060176B"/>
    <w:rsid w:val="006017BA"/>
    <w:rsid w:val="00601918"/>
    <w:rsid w:val="00601E7C"/>
    <w:rsid w:val="00601F0C"/>
    <w:rsid w:val="0060248D"/>
    <w:rsid w:val="006025C0"/>
    <w:rsid w:val="006025CC"/>
    <w:rsid w:val="00602730"/>
    <w:rsid w:val="00602739"/>
    <w:rsid w:val="00602A5F"/>
    <w:rsid w:val="00602AF9"/>
    <w:rsid w:val="00602BB1"/>
    <w:rsid w:val="00602EF4"/>
    <w:rsid w:val="0060316F"/>
    <w:rsid w:val="00603315"/>
    <w:rsid w:val="00603858"/>
    <w:rsid w:val="006038DE"/>
    <w:rsid w:val="00603A63"/>
    <w:rsid w:val="006040C9"/>
    <w:rsid w:val="00604734"/>
    <w:rsid w:val="006047AA"/>
    <w:rsid w:val="00604FCD"/>
    <w:rsid w:val="00605042"/>
    <w:rsid w:val="0060520A"/>
    <w:rsid w:val="0060526B"/>
    <w:rsid w:val="00605A2B"/>
    <w:rsid w:val="006069BC"/>
    <w:rsid w:val="00606B6E"/>
    <w:rsid w:val="00606BC0"/>
    <w:rsid w:val="00606C75"/>
    <w:rsid w:val="00606D85"/>
    <w:rsid w:val="00607DA5"/>
    <w:rsid w:val="00607E2F"/>
    <w:rsid w:val="00610092"/>
    <w:rsid w:val="006101BE"/>
    <w:rsid w:val="00610329"/>
    <w:rsid w:val="00610936"/>
    <w:rsid w:val="0061099D"/>
    <w:rsid w:val="00610BAE"/>
    <w:rsid w:val="00610C90"/>
    <w:rsid w:val="00610DE2"/>
    <w:rsid w:val="00611092"/>
    <w:rsid w:val="00611352"/>
    <w:rsid w:val="00611562"/>
    <w:rsid w:val="006116D1"/>
    <w:rsid w:val="0061187B"/>
    <w:rsid w:val="00611CA5"/>
    <w:rsid w:val="00612651"/>
    <w:rsid w:val="0061286F"/>
    <w:rsid w:val="00612BED"/>
    <w:rsid w:val="00612F1E"/>
    <w:rsid w:val="00612FC3"/>
    <w:rsid w:val="006134FA"/>
    <w:rsid w:val="00613A70"/>
    <w:rsid w:val="00614979"/>
    <w:rsid w:val="00614B3A"/>
    <w:rsid w:val="00615385"/>
    <w:rsid w:val="006156CB"/>
    <w:rsid w:val="00615801"/>
    <w:rsid w:val="00615994"/>
    <w:rsid w:val="00615C6B"/>
    <w:rsid w:val="00616030"/>
    <w:rsid w:val="00616118"/>
    <w:rsid w:val="00616217"/>
    <w:rsid w:val="00616235"/>
    <w:rsid w:val="00616297"/>
    <w:rsid w:val="0061630E"/>
    <w:rsid w:val="006164E2"/>
    <w:rsid w:val="00617697"/>
    <w:rsid w:val="00620175"/>
    <w:rsid w:val="006203CA"/>
    <w:rsid w:val="006207F4"/>
    <w:rsid w:val="00621037"/>
    <w:rsid w:val="00621141"/>
    <w:rsid w:val="006215B9"/>
    <w:rsid w:val="00621898"/>
    <w:rsid w:val="006220C6"/>
    <w:rsid w:val="00622434"/>
    <w:rsid w:val="00622557"/>
    <w:rsid w:val="00622A5C"/>
    <w:rsid w:val="00622E07"/>
    <w:rsid w:val="006231FD"/>
    <w:rsid w:val="0062339B"/>
    <w:rsid w:val="00623424"/>
    <w:rsid w:val="0062356C"/>
    <w:rsid w:val="00623602"/>
    <w:rsid w:val="006240CA"/>
    <w:rsid w:val="006245C2"/>
    <w:rsid w:val="00624C92"/>
    <w:rsid w:val="00624F21"/>
    <w:rsid w:val="00625235"/>
    <w:rsid w:val="0062527F"/>
    <w:rsid w:val="0062549F"/>
    <w:rsid w:val="00625DA6"/>
    <w:rsid w:val="006269D2"/>
    <w:rsid w:val="00626CBE"/>
    <w:rsid w:val="00626E81"/>
    <w:rsid w:val="006271BA"/>
    <w:rsid w:val="0062722B"/>
    <w:rsid w:val="0062738D"/>
    <w:rsid w:val="0062747A"/>
    <w:rsid w:val="00627BDE"/>
    <w:rsid w:val="006300A8"/>
    <w:rsid w:val="00630192"/>
    <w:rsid w:val="0063022D"/>
    <w:rsid w:val="00630893"/>
    <w:rsid w:val="00630986"/>
    <w:rsid w:val="00630C57"/>
    <w:rsid w:val="0063125C"/>
    <w:rsid w:val="006313B0"/>
    <w:rsid w:val="0063157C"/>
    <w:rsid w:val="00631770"/>
    <w:rsid w:val="00631781"/>
    <w:rsid w:val="00631EB6"/>
    <w:rsid w:val="00631F01"/>
    <w:rsid w:val="00632398"/>
    <w:rsid w:val="00632726"/>
    <w:rsid w:val="00632F34"/>
    <w:rsid w:val="006331CC"/>
    <w:rsid w:val="00633437"/>
    <w:rsid w:val="006335D1"/>
    <w:rsid w:val="006338D8"/>
    <w:rsid w:val="00633C3D"/>
    <w:rsid w:val="00634080"/>
    <w:rsid w:val="0063458E"/>
    <w:rsid w:val="0063473C"/>
    <w:rsid w:val="00634947"/>
    <w:rsid w:val="00634C16"/>
    <w:rsid w:val="00634DE1"/>
    <w:rsid w:val="00635361"/>
    <w:rsid w:val="006355AF"/>
    <w:rsid w:val="0063579C"/>
    <w:rsid w:val="0063638D"/>
    <w:rsid w:val="00636447"/>
    <w:rsid w:val="00636820"/>
    <w:rsid w:val="006369E2"/>
    <w:rsid w:val="00636E08"/>
    <w:rsid w:val="006370BB"/>
    <w:rsid w:val="00637103"/>
    <w:rsid w:val="00637331"/>
    <w:rsid w:val="006374D0"/>
    <w:rsid w:val="00637618"/>
    <w:rsid w:val="00637953"/>
    <w:rsid w:val="00637CC3"/>
    <w:rsid w:val="00640C01"/>
    <w:rsid w:val="0064102B"/>
    <w:rsid w:val="00641384"/>
    <w:rsid w:val="00641429"/>
    <w:rsid w:val="0064244C"/>
    <w:rsid w:val="00642694"/>
    <w:rsid w:val="0064286A"/>
    <w:rsid w:val="006430B3"/>
    <w:rsid w:val="00643665"/>
    <w:rsid w:val="00643FF4"/>
    <w:rsid w:val="00644170"/>
    <w:rsid w:val="00644471"/>
    <w:rsid w:val="006454EC"/>
    <w:rsid w:val="006454F7"/>
    <w:rsid w:val="006457D2"/>
    <w:rsid w:val="00645B41"/>
    <w:rsid w:val="006462F7"/>
    <w:rsid w:val="00646937"/>
    <w:rsid w:val="00646E86"/>
    <w:rsid w:val="00646E96"/>
    <w:rsid w:val="0064723D"/>
    <w:rsid w:val="0064787C"/>
    <w:rsid w:val="00647ECD"/>
    <w:rsid w:val="006501F7"/>
    <w:rsid w:val="006505B2"/>
    <w:rsid w:val="0065086E"/>
    <w:rsid w:val="0065093E"/>
    <w:rsid w:val="00650B17"/>
    <w:rsid w:val="00650C53"/>
    <w:rsid w:val="006518B4"/>
    <w:rsid w:val="00651B76"/>
    <w:rsid w:val="00651BEB"/>
    <w:rsid w:val="00651F0C"/>
    <w:rsid w:val="00652464"/>
    <w:rsid w:val="0065249D"/>
    <w:rsid w:val="0065296F"/>
    <w:rsid w:val="00652E1F"/>
    <w:rsid w:val="006530CE"/>
    <w:rsid w:val="006536EE"/>
    <w:rsid w:val="0065384C"/>
    <w:rsid w:val="006538A6"/>
    <w:rsid w:val="0065416D"/>
    <w:rsid w:val="00654621"/>
    <w:rsid w:val="00654A27"/>
    <w:rsid w:val="00654B57"/>
    <w:rsid w:val="00654C80"/>
    <w:rsid w:val="00654E73"/>
    <w:rsid w:val="00654F6A"/>
    <w:rsid w:val="0065525C"/>
    <w:rsid w:val="006553BC"/>
    <w:rsid w:val="006557E8"/>
    <w:rsid w:val="006559F6"/>
    <w:rsid w:val="00655E88"/>
    <w:rsid w:val="006563B4"/>
    <w:rsid w:val="0065657C"/>
    <w:rsid w:val="006565E2"/>
    <w:rsid w:val="00656893"/>
    <w:rsid w:val="00656975"/>
    <w:rsid w:val="00656A61"/>
    <w:rsid w:val="00656A71"/>
    <w:rsid w:val="00656D92"/>
    <w:rsid w:val="00657001"/>
    <w:rsid w:val="0065798C"/>
    <w:rsid w:val="00657B01"/>
    <w:rsid w:val="00660190"/>
    <w:rsid w:val="006605AE"/>
    <w:rsid w:val="00660AB1"/>
    <w:rsid w:val="00660ADA"/>
    <w:rsid w:val="00660ED6"/>
    <w:rsid w:val="006613E6"/>
    <w:rsid w:val="00661810"/>
    <w:rsid w:val="00661C67"/>
    <w:rsid w:val="00661CB0"/>
    <w:rsid w:val="00661E9F"/>
    <w:rsid w:val="00662309"/>
    <w:rsid w:val="00662458"/>
    <w:rsid w:val="0066267A"/>
    <w:rsid w:val="00662F92"/>
    <w:rsid w:val="00664142"/>
    <w:rsid w:val="00664165"/>
    <w:rsid w:val="0066422D"/>
    <w:rsid w:val="006642A1"/>
    <w:rsid w:val="00664575"/>
    <w:rsid w:val="00664725"/>
    <w:rsid w:val="00664AD5"/>
    <w:rsid w:val="00664B5E"/>
    <w:rsid w:val="00664B7E"/>
    <w:rsid w:val="00664D89"/>
    <w:rsid w:val="00665213"/>
    <w:rsid w:val="00665399"/>
    <w:rsid w:val="00665834"/>
    <w:rsid w:val="00665C3B"/>
    <w:rsid w:val="00665EE8"/>
    <w:rsid w:val="006662B4"/>
    <w:rsid w:val="006662FC"/>
    <w:rsid w:val="006663C5"/>
    <w:rsid w:val="00666475"/>
    <w:rsid w:val="0066650B"/>
    <w:rsid w:val="006668EF"/>
    <w:rsid w:val="006674B2"/>
    <w:rsid w:val="0066783E"/>
    <w:rsid w:val="00667C10"/>
    <w:rsid w:val="00667D35"/>
    <w:rsid w:val="00667E2C"/>
    <w:rsid w:val="0067033A"/>
    <w:rsid w:val="006704E4"/>
    <w:rsid w:val="006704F4"/>
    <w:rsid w:val="00670603"/>
    <w:rsid w:val="006707D2"/>
    <w:rsid w:val="00670CFD"/>
    <w:rsid w:val="0067189C"/>
    <w:rsid w:val="00671CB5"/>
    <w:rsid w:val="006725A6"/>
    <w:rsid w:val="0067296B"/>
    <w:rsid w:val="00672FDC"/>
    <w:rsid w:val="006732B5"/>
    <w:rsid w:val="006739DC"/>
    <w:rsid w:val="00673B89"/>
    <w:rsid w:val="00673C49"/>
    <w:rsid w:val="00673CED"/>
    <w:rsid w:val="00674096"/>
    <w:rsid w:val="0067460E"/>
    <w:rsid w:val="00675723"/>
    <w:rsid w:val="006758D8"/>
    <w:rsid w:val="00676EA6"/>
    <w:rsid w:val="0068040B"/>
    <w:rsid w:val="0068049D"/>
    <w:rsid w:val="00680ACD"/>
    <w:rsid w:val="00680B0C"/>
    <w:rsid w:val="00680D32"/>
    <w:rsid w:val="006812C7"/>
    <w:rsid w:val="00681853"/>
    <w:rsid w:val="00681948"/>
    <w:rsid w:val="00681B1B"/>
    <w:rsid w:val="00682078"/>
    <w:rsid w:val="00682239"/>
    <w:rsid w:val="006823C0"/>
    <w:rsid w:val="00682703"/>
    <w:rsid w:val="00682C33"/>
    <w:rsid w:val="00682C6C"/>
    <w:rsid w:val="006831C4"/>
    <w:rsid w:val="00683607"/>
    <w:rsid w:val="006838D9"/>
    <w:rsid w:val="0068413A"/>
    <w:rsid w:val="0068475A"/>
    <w:rsid w:val="00684B04"/>
    <w:rsid w:val="00684B0C"/>
    <w:rsid w:val="00684C36"/>
    <w:rsid w:val="0068559E"/>
    <w:rsid w:val="0068644D"/>
    <w:rsid w:val="006869D8"/>
    <w:rsid w:val="00686A69"/>
    <w:rsid w:val="00686C70"/>
    <w:rsid w:val="00687248"/>
    <w:rsid w:val="00687266"/>
    <w:rsid w:val="0068730A"/>
    <w:rsid w:val="00687555"/>
    <w:rsid w:val="00687DC6"/>
    <w:rsid w:val="0069053A"/>
    <w:rsid w:val="00690AA1"/>
    <w:rsid w:val="00690B60"/>
    <w:rsid w:val="0069112B"/>
    <w:rsid w:val="0069122A"/>
    <w:rsid w:val="00691471"/>
    <w:rsid w:val="006918BA"/>
    <w:rsid w:val="00691F14"/>
    <w:rsid w:val="00692395"/>
    <w:rsid w:val="00693296"/>
    <w:rsid w:val="006939B8"/>
    <w:rsid w:val="00693B90"/>
    <w:rsid w:val="00693BCE"/>
    <w:rsid w:val="00694589"/>
    <w:rsid w:val="00694FDC"/>
    <w:rsid w:val="00694FEE"/>
    <w:rsid w:val="00695C9B"/>
    <w:rsid w:val="0069635C"/>
    <w:rsid w:val="00696677"/>
    <w:rsid w:val="006966F5"/>
    <w:rsid w:val="006967CC"/>
    <w:rsid w:val="00696DB3"/>
    <w:rsid w:val="00696E51"/>
    <w:rsid w:val="006972C3"/>
    <w:rsid w:val="006976D5"/>
    <w:rsid w:val="00697867"/>
    <w:rsid w:val="00697C96"/>
    <w:rsid w:val="006A04EE"/>
    <w:rsid w:val="006A0975"/>
    <w:rsid w:val="006A09FC"/>
    <w:rsid w:val="006A0BAB"/>
    <w:rsid w:val="006A0ED1"/>
    <w:rsid w:val="006A1030"/>
    <w:rsid w:val="006A1079"/>
    <w:rsid w:val="006A14AD"/>
    <w:rsid w:val="006A154B"/>
    <w:rsid w:val="006A15E1"/>
    <w:rsid w:val="006A19D5"/>
    <w:rsid w:val="006A205D"/>
    <w:rsid w:val="006A2423"/>
    <w:rsid w:val="006A2C2B"/>
    <w:rsid w:val="006A2F18"/>
    <w:rsid w:val="006A320F"/>
    <w:rsid w:val="006A36CF"/>
    <w:rsid w:val="006A3D2B"/>
    <w:rsid w:val="006A3D85"/>
    <w:rsid w:val="006A3E1C"/>
    <w:rsid w:val="006A3F0A"/>
    <w:rsid w:val="006A3FE6"/>
    <w:rsid w:val="006A40CD"/>
    <w:rsid w:val="006A4182"/>
    <w:rsid w:val="006A41A5"/>
    <w:rsid w:val="006A4483"/>
    <w:rsid w:val="006A459E"/>
    <w:rsid w:val="006A4B66"/>
    <w:rsid w:val="006A4FAF"/>
    <w:rsid w:val="006A5E4B"/>
    <w:rsid w:val="006A5E9C"/>
    <w:rsid w:val="006A6403"/>
    <w:rsid w:val="006A6524"/>
    <w:rsid w:val="006A6616"/>
    <w:rsid w:val="006A673E"/>
    <w:rsid w:val="006A69CF"/>
    <w:rsid w:val="006A7363"/>
    <w:rsid w:val="006A764A"/>
    <w:rsid w:val="006A7950"/>
    <w:rsid w:val="006A7959"/>
    <w:rsid w:val="006A7AED"/>
    <w:rsid w:val="006B0261"/>
    <w:rsid w:val="006B076C"/>
    <w:rsid w:val="006B08C0"/>
    <w:rsid w:val="006B0D51"/>
    <w:rsid w:val="006B0D6C"/>
    <w:rsid w:val="006B2378"/>
    <w:rsid w:val="006B2666"/>
    <w:rsid w:val="006B26F7"/>
    <w:rsid w:val="006B2B01"/>
    <w:rsid w:val="006B2F96"/>
    <w:rsid w:val="006B3931"/>
    <w:rsid w:val="006B404F"/>
    <w:rsid w:val="006B4428"/>
    <w:rsid w:val="006B451C"/>
    <w:rsid w:val="006B48CC"/>
    <w:rsid w:val="006B4DEF"/>
    <w:rsid w:val="006B4F78"/>
    <w:rsid w:val="006B661E"/>
    <w:rsid w:val="006B6CA2"/>
    <w:rsid w:val="006B7937"/>
    <w:rsid w:val="006B7BB2"/>
    <w:rsid w:val="006C06F6"/>
    <w:rsid w:val="006C0C7C"/>
    <w:rsid w:val="006C0DD2"/>
    <w:rsid w:val="006C0F89"/>
    <w:rsid w:val="006C104C"/>
    <w:rsid w:val="006C18F7"/>
    <w:rsid w:val="006C1C76"/>
    <w:rsid w:val="006C2000"/>
    <w:rsid w:val="006C2AAE"/>
    <w:rsid w:val="006C3561"/>
    <w:rsid w:val="006C36B6"/>
    <w:rsid w:val="006C3D72"/>
    <w:rsid w:val="006C40D9"/>
    <w:rsid w:val="006C4606"/>
    <w:rsid w:val="006C47C8"/>
    <w:rsid w:val="006C48A9"/>
    <w:rsid w:val="006C4A7A"/>
    <w:rsid w:val="006C5501"/>
    <w:rsid w:val="006C58E7"/>
    <w:rsid w:val="006C6544"/>
    <w:rsid w:val="006C65D6"/>
    <w:rsid w:val="006C708A"/>
    <w:rsid w:val="006C72BD"/>
    <w:rsid w:val="006C7741"/>
    <w:rsid w:val="006D01F6"/>
    <w:rsid w:val="006D04C0"/>
    <w:rsid w:val="006D07D4"/>
    <w:rsid w:val="006D087B"/>
    <w:rsid w:val="006D0D5E"/>
    <w:rsid w:val="006D0E03"/>
    <w:rsid w:val="006D0FF9"/>
    <w:rsid w:val="006D109B"/>
    <w:rsid w:val="006D1E0D"/>
    <w:rsid w:val="006D2352"/>
    <w:rsid w:val="006D2FA8"/>
    <w:rsid w:val="006D30EA"/>
    <w:rsid w:val="006D3A64"/>
    <w:rsid w:val="006D3AC1"/>
    <w:rsid w:val="006D3ADD"/>
    <w:rsid w:val="006D41D3"/>
    <w:rsid w:val="006D45ED"/>
    <w:rsid w:val="006D49BB"/>
    <w:rsid w:val="006D4C04"/>
    <w:rsid w:val="006D4DAC"/>
    <w:rsid w:val="006D509B"/>
    <w:rsid w:val="006D5379"/>
    <w:rsid w:val="006D5397"/>
    <w:rsid w:val="006D53DA"/>
    <w:rsid w:val="006D5427"/>
    <w:rsid w:val="006D542E"/>
    <w:rsid w:val="006D5836"/>
    <w:rsid w:val="006D5D83"/>
    <w:rsid w:val="006D6531"/>
    <w:rsid w:val="006D6B00"/>
    <w:rsid w:val="006D6BAE"/>
    <w:rsid w:val="006D6C60"/>
    <w:rsid w:val="006D6CC2"/>
    <w:rsid w:val="006D6E46"/>
    <w:rsid w:val="006D7285"/>
    <w:rsid w:val="006D72D2"/>
    <w:rsid w:val="006D7E8B"/>
    <w:rsid w:val="006E0033"/>
    <w:rsid w:val="006E05F0"/>
    <w:rsid w:val="006E067B"/>
    <w:rsid w:val="006E1176"/>
    <w:rsid w:val="006E126B"/>
    <w:rsid w:val="006E1528"/>
    <w:rsid w:val="006E182A"/>
    <w:rsid w:val="006E1B1F"/>
    <w:rsid w:val="006E1B76"/>
    <w:rsid w:val="006E1BBA"/>
    <w:rsid w:val="006E1FD9"/>
    <w:rsid w:val="006E2614"/>
    <w:rsid w:val="006E26C9"/>
    <w:rsid w:val="006E2A23"/>
    <w:rsid w:val="006E2DA8"/>
    <w:rsid w:val="006E3B49"/>
    <w:rsid w:val="006E3B7A"/>
    <w:rsid w:val="006E4558"/>
    <w:rsid w:val="006E46ED"/>
    <w:rsid w:val="006E49D0"/>
    <w:rsid w:val="006E4F30"/>
    <w:rsid w:val="006E5785"/>
    <w:rsid w:val="006E5BED"/>
    <w:rsid w:val="006E5F72"/>
    <w:rsid w:val="006E60C1"/>
    <w:rsid w:val="006E61F8"/>
    <w:rsid w:val="006E67B8"/>
    <w:rsid w:val="006E6C2F"/>
    <w:rsid w:val="006E70F2"/>
    <w:rsid w:val="006E7614"/>
    <w:rsid w:val="006E7622"/>
    <w:rsid w:val="006E7751"/>
    <w:rsid w:val="006E77EA"/>
    <w:rsid w:val="006E7928"/>
    <w:rsid w:val="006E7D3C"/>
    <w:rsid w:val="006E7D8F"/>
    <w:rsid w:val="006F00A1"/>
    <w:rsid w:val="006F0874"/>
    <w:rsid w:val="006F121B"/>
    <w:rsid w:val="006F124E"/>
    <w:rsid w:val="006F166F"/>
    <w:rsid w:val="006F1AEE"/>
    <w:rsid w:val="006F1D68"/>
    <w:rsid w:val="006F1D73"/>
    <w:rsid w:val="006F2019"/>
    <w:rsid w:val="006F22C8"/>
    <w:rsid w:val="006F24B8"/>
    <w:rsid w:val="006F27D6"/>
    <w:rsid w:val="006F28E2"/>
    <w:rsid w:val="006F2CAE"/>
    <w:rsid w:val="006F35E9"/>
    <w:rsid w:val="006F3676"/>
    <w:rsid w:val="006F38EF"/>
    <w:rsid w:val="006F3951"/>
    <w:rsid w:val="006F39A5"/>
    <w:rsid w:val="006F3C26"/>
    <w:rsid w:val="006F5343"/>
    <w:rsid w:val="006F582A"/>
    <w:rsid w:val="006F5F50"/>
    <w:rsid w:val="006F614C"/>
    <w:rsid w:val="006F6429"/>
    <w:rsid w:val="006F6568"/>
    <w:rsid w:val="006F662E"/>
    <w:rsid w:val="006F6965"/>
    <w:rsid w:val="006F6B1E"/>
    <w:rsid w:val="006F6B8A"/>
    <w:rsid w:val="006F6C8B"/>
    <w:rsid w:val="006F6D06"/>
    <w:rsid w:val="006F6EF4"/>
    <w:rsid w:val="006F6F9A"/>
    <w:rsid w:val="006F741D"/>
    <w:rsid w:val="006F7599"/>
    <w:rsid w:val="006F7D0A"/>
    <w:rsid w:val="007002D4"/>
    <w:rsid w:val="00700774"/>
    <w:rsid w:val="00701515"/>
    <w:rsid w:val="0070183A"/>
    <w:rsid w:val="00701CCE"/>
    <w:rsid w:val="00701DA5"/>
    <w:rsid w:val="00702624"/>
    <w:rsid w:val="00702B48"/>
    <w:rsid w:val="00702C14"/>
    <w:rsid w:val="00703023"/>
    <w:rsid w:val="00703078"/>
    <w:rsid w:val="007030D9"/>
    <w:rsid w:val="007034E9"/>
    <w:rsid w:val="00703649"/>
    <w:rsid w:val="007037DE"/>
    <w:rsid w:val="0070398A"/>
    <w:rsid w:val="00703CE8"/>
    <w:rsid w:val="00703ED6"/>
    <w:rsid w:val="00703F34"/>
    <w:rsid w:val="007042EE"/>
    <w:rsid w:val="00704558"/>
    <w:rsid w:val="007047CF"/>
    <w:rsid w:val="00704C71"/>
    <w:rsid w:val="007051EE"/>
    <w:rsid w:val="007056B5"/>
    <w:rsid w:val="00705BF0"/>
    <w:rsid w:val="00706008"/>
    <w:rsid w:val="007066E3"/>
    <w:rsid w:val="00706EC4"/>
    <w:rsid w:val="007072DF"/>
    <w:rsid w:val="00707478"/>
    <w:rsid w:val="00707669"/>
    <w:rsid w:val="007078A8"/>
    <w:rsid w:val="007079C7"/>
    <w:rsid w:val="00707B03"/>
    <w:rsid w:val="00707F4D"/>
    <w:rsid w:val="00707FF1"/>
    <w:rsid w:val="007100FD"/>
    <w:rsid w:val="007106CE"/>
    <w:rsid w:val="00710A22"/>
    <w:rsid w:val="00710D97"/>
    <w:rsid w:val="00710E6C"/>
    <w:rsid w:val="00711A6B"/>
    <w:rsid w:val="00711A75"/>
    <w:rsid w:val="00711AEF"/>
    <w:rsid w:val="00711F9C"/>
    <w:rsid w:val="007121FF"/>
    <w:rsid w:val="00712551"/>
    <w:rsid w:val="007127F9"/>
    <w:rsid w:val="00712B83"/>
    <w:rsid w:val="00713804"/>
    <w:rsid w:val="007138A7"/>
    <w:rsid w:val="007138D9"/>
    <w:rsid w:val="0071423E"/>
    <w:rsid w:val="00714BAE"/>
    <w:rsid w:val="007153B3"/>
    <w:rsid w:val="007155F8"/>
    <w:rsid w:val="00715950"/>
    <w:rsid w:val="0071654B"/>
    <w:rsid w:val="00716E1E"/>
    <w:rsid w:val="00717227"/>
    <w:rsid w:val="007174BE"/>
    <w:rsid w:val="0071773A"/>
    <w:rsid w:val="00717741"/>
    <w:rsid w:val="0071781C"/>
    <w:rsid w:val="00717921"/>
    <w:rsid w:val="007210AD"/>
    <w:rsid w:val="007210F2"/>
    <w:rsid w:val="00721223"/>
    <w:rsid w:val="00721949"/>
    <w:rsid w:val="00721A45"/>
    <w:rsid w:val="00721B3F"/>
    <w:rsid w:val="00721E3B"/>
    <w:rsid w:val="007221A8"/>
    <w:rsid w:val="007222B2"/>
    <w:rsid w:val="007226AD"/>
    <w:rsid w:val="00722A7E"/>
    <w:rsid w:val="00722D66"/>
    <w:rsid w:val="00722D85"/>
    <w:rsid w:val="00722F50"/>
    <w:rsid w:val="00722FB1"/>
    <w:rsid w:val="00722FBC"/>
    <w:rsid w:val="00723075"/>
    <w:rsid w:val="007232AF"/>
    <w:rsid w:val="00723447"/>
    <w:rsid w:val="00723B54"/>
    <w:rsid w:val="007241A4"/>
    <w:rsid w:val="00724F0E"/>
    <w:rsid w:val="00724F48"/>
    <w:rsid w:val="00725155"/>
    <w:rsid w:val="00725290"/>
    <w:rsid w:val="00725486"/>
    <w:rsid w:val="00725687"/>
    <w:rsid w:val="007257A1"/>
    <w:rsid w:val="0072639A"/>
    <w:rsid w:val="00727564"/>
    <w:rsid w:val="00727B26"/>
    <w:rsid w:val="00727C88"/>
    <w:rsid w:val="00727FE8"/>
    <w:rsid w:val="00730115"/>
    <w:rsid w:val="00730130"/>
    <w:rsid w:val="007307E3"/>
    <w:rsid w:val="00730929"/>
    <w:rsid w:val="00730EEB"/>
    <w:rsid w:val="007310C8"/>
    <w:rsid w:val="00731543"/>
    <w:rsid w:val="00731589"/>
    <w:rsid w:val="0073162E"/>
    <w:rsid w:val="00731BC9"/>
    <w:rsid w:val="00731BF8"/>
    <w:rsid w:val="00732B1A"/>
    <w:rsid w:val="0073302D"/>
    <w:rsid w:val="007336D0"/>
    <w:rsid w:val="00733A1E"/>
    <w:rsid w:val="00733B36"/>
    <w:rsid w:val="00733EC0"/>
    <w:rsid w:val="00733F8F"/>
    <w:rsid w:val="0073403A"/>
    <w:rsid w:val="00734594"/>
    <w:rsid w:val="00734688"/>
    <w:rsid w:val="00734A95"/>
    <w:rsid w:val="00734AF4"/>
    <w:rsid w:val="0073501A"/>
    <w:rsid w:val="007355B6"/>
    <w:rsid w:val="007365D9"/>
    <w:rsid w:val="007367A7"/>
    <w:rsid w:val="007369B7"/>
    <w:rsid w:val="00736AFC"/>
    <w:rsid w:val="00737058"/>
    <w:rsid w:val="007373BF"/>
    <w:rsid w:val="00737C59"/>
    <w:rsid w:val="00737D14"/>
    <w:rsid w:val="007404AB"/>
    <w:rsid w:val="00740548"/>
    <w:rsid w:val="00740A8D"/>
    <w:rsid w:val="00740BDE"/>
    <w:rsid w:val="00740D8E"/>
    <w:rsid w:val="007413D0"/>
    <w:rsid w:val="00741629"/>
    <w:rsid w:val="00741648"/>
    <w:rsid w:val="00741CBD"/>
    <w:rsid w:val="00741E03"/>
    <w:rsid w:val="00742195"/>
    <w:rsid w:val="00742533"/>
    <w:rsid w:val="00742700"/>
    <w:rsid w:val="007427F4"/>
    <w:rsid w:val="00742AE8"/>
    <w:rsid w:val="00742D3C"/>
    <w:rsid w:val="007431AC"/>
    <w:rsid w:val="0074367F"/>
    <w:rsid w:val="00743769"/>
    <w:rsid w:val="00743C19"/>
    <w:rsid w:val="00743D03"/>
    <w:rsid w:val="00744470"/>
    <w:rsid w:val="007449E4"/>
    <w:rsid w:val="00744E0E"/>
    <w:rsid w:val="0074506A"/>
    <w:rsid w:val="007451C2"/>
    <w:rsid w:val="00745238"/>
    <w:rsid w:val="00745440"/>
    <w:rsid w:val="0074559E"/>
    <w:rsid w:val="00745795"/>
    <w:rsid w:val="007459F2"/>
    <w:rsid w:val="00745B8C"/>
    <w:rsid w:val="00745DBB"/>
    <w:rsid w:val="0074637A"/>
    <w:rsid w:val="007466C6"/>
    <w:rsid w:val="0074674C"/>
    <w:rsid w:val="00746821"/>
    <w:rsid w:val="007470C2"/>
    <w:rsid w:val="0074730A"/>
    <w:rsid w:val="00747685"/>
    <w:rsid w:val="00747E42"/>
    <w:rsid w:val="00747EC4"/>
    <w:rsid w:val="007500A2"/>
    <w:rsid w:val="0075057C"/>
    <w:rsid w:val="007508B9"/>
    <w:rsid w:val="00750D2C"/>
    <w:rsid w:val="00750D59"/>
    <w:rsid w:val="007510DA"/>
    <w:rsid w:val="0075257E"/>
    <w:rsid w:val="00752632"/>
    <w:rsid w:val="00752822"/>
    <w:rsid w:val="007528B7"/>
    <w:rsid w:val="0075299E"/>
    <w:rsid w:val="00752A4E"/>
    <w:rsid w:val="00752B4D"/>
    <w:rsid w:val="00752F92"/>
    <w:rsid w:val="0075331E"/>
    <w:rsid w:val="007545DE"/>
    <w:rsid w:val="0075479E"/>
    <w:rsid w:val="007547D0"/>
    <w:rsid w:val="007555BF"/>
    <w:rsid w:val="007558AC"/>
    <w:rsid w:val="007562A0"/>
    <w:rsid w:val="00756739"/>
    <w:rsid w:val="00756831"/>
    <w:rsid w:val="00756ADE"/>
    <w:rsid w:val="00756F99"/>
    <w:rsid w:val="007573AD"/>
    <w:rsid w:val="00757675"/>
    <w:rsid w:val="0075799B"/>
    <w:rsid w:val="00757B42"/>
    <w:rsid w:val="00757D70"/>
    <w:rsid w:val="0076011D"/>
    <w:rsid w:val="0076038A"/>
    <w:rsid w:val="00760579"/>
    <w:rsid w:val="00760760"/>
    <w:rsid w:val="00760E17"/>
    <w:rsid w:val="00761734"/>
    <w:rsid w:val="00761782"/>
    <w:rsid w:val="00762696"/>
    <w:rsid w:val="00762734"/>
    <w:rsid w:val="00763431"/>
    <w:rsid w:val="007639AC"/>
    <w:rsid w:val="00763B2A"/>
    <w:rsid w:val="00763C72"/>
    <w:rsid w:val="007643E9"/>
    <w:rsid w:val="007648DD"/>
    <w:rsid w:val="00764CC3"/>
    <w:rsid w:val="00764CFE"/>
    <w:rsid w:val="00764D24"/>
    <w:rsid w:val="00765300"/>
    <w:rsid w:val="00765CF9"/>
    <w:rsid w:val="00766360"/>
    <w:rsid w:val="00767A8D"/>
    <w:rsid w:val="00767B25"/>
    <w:rsid w:val="007704DE"/>
    <w:rsid w:val="007705F6"/>
    <w:rsid w:val="00770CE1"/>
    <w:rsid w:val="007713FC"/>
    <w:rsid w:val="00771413"/>
    <w:rsid w:val="007716C8"/>
    <w:rsid w:val="00771C60"/>
    <w:rsid w:val="00771D64"/>
    <w:rsid w:val="00772537"/>
    <w:rsid w:val="007725C3"/>
    <w:rsid w:val="00772B89"/>
    <w:rsid w:val="00773A6C"/>
    <w:rsid w:val="00773AB4"/>
    <w:rsid w:val="00773AF3"/>
    <w:rsid w:val="00773F1B"/>
    <w:rsid w:val="00774107"/>
    <w:rsid w:val="00774A6C"/>
    <w:rsid w:val="00774B72"/>
    <w:rsid w:val="00775050"/>
    <w:rsid w:val="00775485"/>
    <w:rsid w:val="007759EE"/>
    <w:rsid w:val="00775A23"/>
    <w:rsid w:val="00775CE8"/>
    <w:rsid w:val="00775E11"/>
    <w:rsid w:val="007760AE"/>
    <w:rsid w:val="00776589"/>
    <w:rsid w:val="00776591"/>
    <w:rsid w:val="007765ED"/>
    <w:rsid w:val="00776754"/>
    <w:rsid w:val="0077694B"/>
    <w:rsid w:val="00776B6D"/>
    <w:rsid w:val="00776BD1"/>
    <w:rsid w:val="00777646"/>
    <w:rsid w:val="007776AA"/>
    <w:rsid w:val="00777C92"/>
    <w:rsid w:val="0078010D"/>
    <w:rsid w:val="007801CB"/>
    <w:rsid w:val="007809F5"/>
    <w:rsid w:val="00780CE3"/>
    <w:rsid w:val="00780D5D"/>
    <w:rsid w:val="00781086"/>
    <w:rsid w:val="0078118E"/>
    <w:rsid w:val="00781238"/>
    <w:rsid w:val="00781279"/>
    <w:rsid w:val="00781E85"/>
    <w:rsid w:val="00782214"/>
    <w:rsid w:val="007828A4"/>
    <w:rsid w:val="00782A60"/>
    <w:rsid w:val="00782AE8"/>
    <w:rsid w:val="00782B7B"/>
    <w:rsid w:val="00782D38"/>
    <w:rsid w:val="00782F40"/>
    <w:rsid w:val="00782FA9"/>
    <w:rsid w:val="00782FAD"/>
    <w:rsid w:val="00782FCE"/>
    <w:rsid w:val="0078332E"/>
    <w:rsid w:val="007838B9"/>
    <w:rsid w:val="00783A11"/>
    <w:rsid w:val="00783B00"/>
    <w:rsid w:val="00783B27"/>
    <w:rsid w:val="00783C4D"/>
    <w:rsid w:val="0078491B"/>
    <w:rsid w:val="007849D9"/>
    <w:rsid w:val="00784ED0"/>
    <w:rsid w:val="007850C2"/>
    <w:rsid w:val="007854E3"/>
    <w:rsid w:val="007855D2"/>
    <w:rsid w:val="00785606"/>
    <w:rsid w:val="00785826"/>
    <w:rsid w:val="00785AB2"/>
    <w:rsid w:val="00785C3A"/>
    <w:rsid w:val="00785CED"/>
    <w:rsid w:val="007865BE"/>
    <w:rsid w:val="007868FB"/>
    <w:rsid w:val="00786973"/>
    <w:rsid w:val="00786C32"/>
    <w:rsid w:val="00786CB4"/>
    <w:rsid w:val="00786D07"/>
    <w:rsid w:val="00786DCE"/>
    <w:rsid w:val="00786F65"/>
    <w:rsid w:val="00786F7B"/>
    <w:rsid w:val="007870B3"/>
    <w:rsid w:val="0078714D"/>
    <w:rsid w:val="00787A16"/>
    <w:rsid w:val="007907B1"/>
    <w:rsid w:val="007907D0"/>
    <w:rsid w:val="00790B54"/>
    <w:rsid w:val="00790B63"/>
    <w:rsid w:val="00790C66"/>
    <w:rsid w:val="007917A8"/>
    <w:rsid w:val="00791D54"/>
    <w:rsid w:val="00792508"/>
    <w:rsid w:val="00792C5F"/>
    <w:rsid w:val="007932B7"/>
    <w:rsid w:val="00793327"/>
    <w:rsid w:val="00793AFD"/>
    <w:rsid w:val="00793BFB"/>
    <w:rsid w:val="00793CE0"/>
    <w:rsid w:val="00793E3B"/>
    <w:rsid w:val="007940EC"/>
    <w:rsid w:val="00794361"/>
    <w:rsid w:val="00794551"/>
    <w:rsid w:val="00794805"/>
    <w:rsid w:val="0079508A"/>
    <w:rsid w:val="007951A4"/>
    <w:rsid w:val="007955F5"/>
    <w:rsid w:val="00795792"/>
    <w:rsid w:val="00795CCE"/>
    <w:rsid w:val="0079673B"/>
    <w:rsid w:val="00796951"/>
    <w:rsid w:val="00797195"/>
    <w:rsid w:val="00797A79"/>
    <w:rsid w:val="00797BE2"/>
    <w:rsid w:val="00797C6E"/>
    <w:rsid w:val="007A01E4"/>
    <w:rsid w:val="007A01E6"/>
    <w:rsid w:val="007A0466"/>
    <w:rsid w:val="007A0562"/>
    <w:rsid w:val="007A0828"/>
    <w:rsid w:val="007A0CED"/>
    <w:rsid w:val="007A1015"/>
    <w:rsid w:val="007A230B"/>
    <w:rsid w:val="007A24B5"/>
    <w:rsid w:val="007A2623"/>
    <w:rsid w:val="007A28C8"/>
    <w:rsid w:val="007A2FC3"/>
    <w:rsid w:val="007A3F2F"/>
    <w:rsid w:val="007A4266"/>
    <w:rsid w:val="007A446E"/>
    <w:rsid w:val="007A4672"/>
    <w:rsid w:val="007A4787"/>
    <w:rsid w:val="007A4A68"/>
    <w:rsid w:val="007A4ACE"/>
    <w:rsid w:val="007A58EE"/>
    <w:rsid w:val="007A5CD6"/>
    <w:rsid w:val="007A70B5"/>
    <w:rsid w:val="007A70F8"/>
    <w:rsid w:val="007A742A"/>
    <w:rsid w:val="007A74F4"/>
    <w:rsid w:val="007A755B"/>
    <w:rsid w:val="007A79A8"/>
    <w:rsid w:val="007B007B"/>
    <w:rsid w:val="007B00F8"/>
    <w:rsid w:val="007B089A"/>
    <w:rsid w:val="007B10B1"/>
    <w:rsid w:val="007B11D5"/>
    <w:rsid w:val="007B14EB"/>
    <w:rsid w:val="007B1BAB"/>
    <w:rsid w:val="007B1C20"/>
    <w:rsid w:val="007B2712"/>
    <w:rsid w:val="007B28D5"/>
    <w:rsid w:val="007B354D"/>
    <w:rsid w:val="007B38B6"/>
    <w:rsid w:val="007B3913"/>
    <w:rsid w:val="007B3928"/>
    <w:rsid w:val="007B3AF3"/>
    <w:rsid w:val="007B4273"/>
    <w:rsid w:val="007B42E9"/>
    <w:rsid w:val="007B4381"/>
    <w:rsid w:val="007B5098"/>
    <w:rsid w:val="007B5256"/>
    <w:rsid w:val="007B53C1"/>
    <w:rsid w:val="007B55A1"/>
    <w:rsid w:val="007B57ED"/>
    <w:rsid w:val="007B5B83"/>
    <w:rsid w:val="007B5E9B"/>
    <w:rsid w:val="007B6CD9"/>
    <w:rsid w:val="007B6E37"/>
    <w:rsid w:val="007C03A6"/>
    <w:rsid w:val="007C04F5"/>
    <w:rsid w:val="007C0670"/>
    <w:rsid w:val="007C0837"/>
    <w:rsid w:val="007C094E"/>
    <w:rsid w:val="007C1504"/>
    <w:rsid w:val="007C1597"/>
    <w:rsid w:val="007C1B5D"/>
    <w:rsid w:val="007C1D28"/>
    <w:rsid w:val="007C1D96"/>
    <w:rsid w:val="007C2285"/>
    <w:rsid w:val="007C236E"/>
    <w:rsid w:val="007C24B7"/>
    <w:rsid w:val="007C2671"/>
    <w:rsid w:val="007C2C8B"/>
    <w:rsid w:val="007C317A"/>
    <w:rsid w:val="007C324B"/>
    <w:rsid w:val="007C3250"/>
    <w:rsid w:val="007C3C5C"/>
    <w:rsid w:val="007C3CF8"/>
    <w:rsid w:val="007C3FE3"/>
    <w:rsid w:val="007C4836"/>
    <w:rsid w:val="007C4A61"/>
    <w:rsid w:val="007C4A62"/>
    <w:rsid w:val="007C4B64"/>
    <w:rsid w:val="007C4D84"/>
    <w:rsid w:val="007C5501"/>
    <w:rsid w:val="007C5664"/>
    <w:rsid w:val="007C587A"/>
    <w:rsid w:val="007C5B3A"/>
    <w:rsid w:val="007C637C"/>
    <w:rsid w:val="007C6ED3"/>
    <w:rsid w:val="007C6FAF"/>
    <w:rsid w:val="007C714A"/>
    <w:rsid w:val="007C7403"/>
    <w:rsid w:val="007C7501"/>
    <w:rsid w:val="007C790D"/>
    <w:rsid w:val="007C7C47"/>
    <w:rsid w:val="007C7D1F"/>
    <w:rsid w:val="007C7D7B"/>
    <w:rsid w:val="007D02C6"/>
    <w:rsid w:val="007D0321"/>
    <w:rsid w:val="007D0327"/>
    <w:rsid w:val="007D054F"/>
    <w:rsid w:val="007D0CD9"/>
    <w:rsid w:val="007D0E19"/>
    <w:rsid w:val="007D1615"/>
    <w:rsid w:val="007D20BF"/>
    <w:rsid w:val="007D2467"/>
    <w:rsid w:val="007D248B"/>
    <w:rsid w:val="007D28E5"/>
    <w:rsid w:val="007D31DD"/>
    <w:rsid w:val="007D3302"/>
    <w:rsid w:val="007D3EB7"/>
    <w:rsid w:val="007D3F5D"/>
    <w:rsid w:val="007D4092"/>
    <w:rsid w:val="007D40D0"/>
    <w:rsid w:val="007D4150"/>
    <w:rsid w:val="007D48D2"/>
    <w:rsid w:val="007D4ABE"/>
    <w:rsid w:val="007D5208"/>
    <w:rsid w:val="007D53DA"/>
    <w:rsid w:val="007D5DB9"/>
    <w:rsid w:val="007D5E27"/>
    <w:rsid w:val="007D62E7"/>
    <w:rsid w:val="007D66D9"/>
    <w:rsid w:val="007D6D60"/>
    <w:rsid w:val="007D73E1"/>
    <w:rsid w:val="007D75CA"/>
    <w:rsid w:val="007D770E"/>
    <w:rsid w:val="007D7712"/>
    <w:rsid w:val="007D775F"/>
    <w:rsid w:val="007D7C93"/>
    <w:rsid w:val="007D7EC2"/>
    <w:rsid w:val="007E033B"/>
    <w:rsid w:val="007E035D"/>
    <w:rsid w:val="007E0A28"/>
    <w:rsid w:val="007E12A6"/>
    <w:rsid w:val="007E147D"/>
    <w:rsid w:val="007E176D"/>
    <w:rsid w:val="007E1892"/>
    <w:rsid w:val="007E1975"/>
    <w:rsid w:val="007E1AF2"/>
    <w:rsid w:val="007E21EC"/>
    <w:rsid w:val="007E2904"/>
    <w:rsid w:val="007E2B86"/>
    <w:rsid w:val="007E303E"/>
    <w:rsid w:val="007E3084"/>
    <w:rsid w:val="007E30C0"/>
    <w:rsid w:val="007E310F"/>
    <w:rsid w:val="007E3341"/>
    <w:rsid w:val="007E362F"/>
    <w:rsid w:val="007E3711"/>
    <w:rsid w:val="007E387B"/>
    <w:rsid w:val="007E399F"/>
    <w:rsid w:val="007E46E2"/>
    <w:rsid w:val="007E4E23"/>
    <w:rsid w:val="007E50F3"/>
    <w:rsid w:val="007E5976"/>
    <w:rsid w:val="007E5BCE"/>
    <w:rsid w:val="007E6039"/>
    <w:rsid w:val="007E6647"/>
    <w:rsid w:val="007E6CBA"/>
    <w:rsid w:val="007E71A4"/>
    <w:rsid w:val="007E73EB"/>
    <w:rsid w:val="007E7868"/>
    <w:rsid w:val="007E790D"/>
    <w:rsid w:val="007F0872"/>
    <w:rsid w:val="007F0B60"/>
    <w:rsid w:val="007F1544"/>
    <w:rsid w:val="007F16A1"/>
    <w:rsid w:val="007F1BA6"/>
    <w:rsid w:val="007F1ECF"/>
    <w:rsid w:val="007F1F34"/>
    <w:rsid w:val="007F20EC"/>
    <w:rsid w:val="007F239A"/>
    <w:rsid w:val="007F34D5"/>
    <w:rsid w:val="007F35D2"/>
    <w:rsid w:val="007F3CC2"/>
    <w:rsid w:val="007F4890"/>
    <w:rsid w:val="007F4D35"/>
    <w:rsid w:val="007F4FA7"/>
    <w:rsid w:val="007F5005"/>
    <w:rsid w:val="007F51B7"/>
    <w:rsid w:val="007F5283"/>
    <w:rsid w:val="007F5401"/>
    <w:rsid w:val="007F5F42"/>
    <w:rsid w:val="007F6094"/>
    <w:rsid w:val="007F60DD"/>
    <w:rsid w:val="007F6187"/>
    <w:rsid w:val="007F61B5"/>
    <w:rsid w:val="007F62E7"/>
    <w:rsid w:val="007F70C7"/>
    <w:rsid w:val="007F7929"/>
    <w:rsid w:val="007F7D9C"/>
    <w:rsid w:val="007F7E0B"/>
    <w:rsid w:val="0080012B"/>
    <w:rsid w:val="00800173"/>
    <w:rsid w:val="008003B1"/>
    <w:rsid w:val="008005FD"/>
    <w:rsid w:val="00800640"/>
    <w:rsid w:val="00800807"/>
    <w:rsid w:val="00800830"/>
    <w:rsid w:val="00800997"/>
    <w:rsid w:val="00800DC8"/>
    <w:rsid w:val="0080134E"/>
    <w:rsid w:val="00801447"/>
    <w:rsid w:val="0080156F"/>
    <w:rsid w:val="008016D2"/>
    <w:rsid w:val="0080178A"/>
    <w:rsid w:val="0080180B"/>
    <w:rsid w:val="00801839"/>
    <w:rsid w:val="00801902"/>
    <w:rsid w:val="00801ABE"/>
    <w:rsid w:val="00801AED"/>
    <w:rsid w:val="00801D92"/>
    <w:rsid w:val="0080296F"/>
    <w:rsid w:val="00802E11"/>
    <w:rsid w:val="008030B8"/>
    <w:rsid w:val="008030CE"/>
    <w:rsid w:val="0080345D"/>
    <w:rsid w:val="00803F4C"/>
    <w:rsid w:val="00803F97"/>
    <w:rsid w:val="008042C6"/>
    <w:rsid w:val="00804B5C"/>
    <w:rsid w:val="00804CB6"/>
    <w:rsid w:val="008058E5"/>
    <w:rsid w:val="00805FBB"/>
    <w:rsid w:val="00806034"/>
    <w:rsid w:val="008063B4"/>
    <w:rsid w:val="008063FD"/>
    <w:rsid w:val="0080650B"/>
    <w:rsid w:val="0080672C"/>
    <w:rsid w:val="008069AC"/>
    <w:rsid w:val="00806E9F"/>
    <w:rsid w:val="00807669"/>
    <w:rsid w:val="00807771"/>
    <w:rsid w:val="008078F1"/>
    <w:rsid w:val="00810A67"/>
    <w:rsid w:val="00810AF7"/>
    <w:rsid w:val="00811239"/>
    <w:rsid w:val="00811363"/>
    <w:rsid w:val="00811A46"/>
    <w:rsid w:val="00811CC3"/>
    <w:rsid w:val="00811CD5"/>
    <w:rsid w:val="00811F37"/>
    <w:rsid w:val="008120EA"/>
    <w:rsid w:val="008122BB"/>
    <w:rsid w:val="008124C4"/>
    <w:rsid w:val="008129F7"/>
    <w:rsid w:val="0081361B"/>
    <w:rsid w:val="0081393C"/>
    <w:rsid w:val="00813991"/>
    <w:rsid w:val="008139FF"/>
    <w:rsid w:val="00813A40"/>
    <w:rsid w:val="00813BF7"/>
    <w:rsid w:val="00813CC5"/>
    <w:rsid w:val="008147A5"/>
    <w:rsid w:val="008147A8"/>
    <w:rsid w:val="00814B45"/>
    <w:rsid w:val="00814BA3"/>
    <w:rsid w:val="00815A98"/>
    <w:rsid w:val="00816653"/>
    <w:rsid w:val="00816697"/>
    <w:rsid w:val="00816722"/>
    <w:rsid w:val="00816D2C"/>
    <w:rsid w:val="008171A0"/>
    <w:rsid w:val="0081762A"/>
    <w:rsid w:val="008201C9"/>
    <w:rsid w:val="00820243"/>
    <w:rsid w:val="00820837"/>
    <w:rsid w:val="00820AF8"/>
    <w:rsid w:val="00820CF6"/>
    <w:rsid w:val="0082105E"/>
    <w:rsid w:val="00821C2A"/>
    <w:rsid w:val="008220E3"/>
    <w:rsid w:val="00822A26"/>
    <w:rsid w:val="00822ABB"/>
    <w:rsid w:val="0082314C"/>
    <w:rsid w:val="008231D1"/>
    <w:rsid w:val="0082365B"/>
    <w:rsid w:val="008237EF"/>
    <w:rsid w:val="0082388A"/>
    <w:rsid w:val="00823ABF"/>
    <w:rsid w:val="00823C0E"/>
    <w:rsid w:val="00824283"/>
    <w:rsid w:val="008242EF"/>
    <w:rsid w:val="00824874"/>
    <w:rsid w:val="00824953"/>
    <w:rsid w:val="00824B55"/>
    <w:rsid w:val="00824CD7"/>
    <w:rsid w:val="00824F43"/>
    <w:rsid w:val="00825080"/>
    <w:rsid w:val="008258CE"/>
    <w:rsid w:val="00825A9B"/>
    <w:rsid w:val="0082610C"/>
    <w:rsid w:val="00826289"/>
    <w:rsid w:val="008263DD"/>
    <w:rsid w:val="008267CA"/>
    <w:rsid w:val="0082690D"/>
    <w:rsid w:val="008269C0"/>
    <w:rsid w:val="00826E1C"/>
    <w:rsid w:val="00827002"/>
    <w:rsid w:val="008275D7"/>
    <w:rsid w:val="00830B97"/>
    <w:rsid w:val="00830D96"/>
    <w:rsid w:val="008314AF"/>
    <w:rsid w:val="008315B8"/>
    <w:rsid w:val="00831BE5"/>
    <w:rsid w:val="00831D3A"/>
    <w:rsid w:val="00831E46"/>
    <w:rsid w:val="008324B1"/>
    <w:rsid w:val="00833144"/>
    <w:rsid w:val="008331C6"/>
    <w:rsid w:val="008334B9"/>
    <w:rsid w:val="0083368A"/>
    <w:rsid w:val="00833898"/>
    <w:rsid w:val="00833A9A"/>
    <w:rsid w:val="00833F7D"/>
    <w:rsid w:val="00834492"/>
    <w:rsid w:val="008349D5"/>
    <w:rsid w:val="00834DAB"/>
    <w:rsid w:val="00834DCE"/>
    <w:rsid w:val="00834DD4"/>
    <w:rsid w:val="00835923"/>
    <w:rsid w:val="00835A0E"/>
    <w:rsid w:val="00835A6F"/>
    <w:rsid w:val="00835E27"/>
    <w:rsid w:val="0083608F"/>
    <w:rsid w:val="0083614D"/>
    <w:rsid w:val="008362E5"/>
    <w:rsid w:val="00836339"/>
    <w:rsid w:val="00836F9F"/>
    <w:rsid w:val="008370AC"/>
    <w:rsid w:val="008373DE"/>
    <w:rsid w:val="008374D3"/>
    <w:rsid w:val="008374E4"/>
    <w:rsid w:val="008408A4"/>
    <w:rsid w:val="00840964"/>
    <w:rsid w:val="008416D2"/>
    <w:rsid w:val="00841880"/>
    <w:rsid w:val="00842072"/>
    <w:rsid w:val="008425AE"/>
    <w:rsid w:val="008426CB"/>
    <w:rsid w:val="008429C1"/>
    <w:rsid w:val="00842A64"/>
    <w:rsid w:val="00842B8F"/>
    <w:rsid w:val="00842E39"/>
    <w:rsid w:val="008430E6"/>
    <w:rsid w:val="008431C5"/>
    <w:rsid w:val="0084323B"/>
    <w:rsid w:val="00843F7A"/>
    <w:rsid w:val="00844232"/>
    <w:rsid w:val="008442BF"/>
    <w:rsid w:val="0084456B"/>
    <w:rsid w:val="00844B83"/>
    <w:rsid w:val="0084551D"/>
    <w:rsid w:val="008456E1"/>
    <w:rsid w:val="00845CD9"/>
    <w:rsid w:val="008460D8"/>
    <w:rsid w:val="00846843"/>
    <w:rsid w:val="00846C52"/>
    <w:rsid w:val="00846E05"/>
    <w:rsid w:val="00847CBF"/>
    <w:rsid w:val="00847F4F"/>
    <w:rsid w:val="00850058"/>
    <w:rsid w:val="00850C4C"/>
    <w:rsid w:val="00850CE1"/>
    <w:rsid w:val="00850E2D"/>
    <w:rsid w:val="00851436"/>
    <w:rsid w:val="00851D92"/>
    <w:rsid w:val="008520A0"/>
    <w:rsid w:val="008520DE"/>
    <w:rsid w:val="0085236B"/>
    <w:rsid w:val="008525AD"/>
    <w:rsid w:val="0085274D"/>
    <w:rsid w:val="00852AD2"/>
    <w:rsid w:val="00852AED"/>
    <w:rsid w:val="00853639"/>
    <w:rsid w:val="00853A84"/>
    <w:rsid w:val="00853AB7"/>
    <w:rsid w:val="00853C46"/>
    <w:rsid w:val="00853CF5"/>
    <w:rsid w:val="00853F9E"/>
    <w:rsid w:val="008549FB"/>
    <w:rsid w:val="00854DEA"/>
    <w:rsid w:val="0085538A"/>
    <w:rsid w:val="008559E7"/>
    <w:rsid w:val="00855AC1"/>
    <w:rsid w:val="0085616A"/>
    <w:rsid w:val="008562D9"/>
    <w:rsid w:val="008569A4"/>
    <w:rsid w:val="00856AD9"/>
    <w:rsid w:val="00856D4F"/>
    <w:rsid w:val="00856E4B"/>
    <w:rsid w:val="00857069"/>
    <w:rsid w:val="008570FD"/>
    <w:rsid w:val="00857135"/>
    <w:rsid w:val="00857419"/>
    <w:rsid w:val="00860232"/>
    <w:rsid w:val="00860627"/>
    <w:rsid w:val="00860A1D"/>
    <w:rsid w:val="00860C2C"/>
    <w:rsid w:val="00860E91"/>
    <w:rsid w:val="00860FAD"/>
    <w:rsid w:val="00861227"/>
    <w:rsid w:val="0086179F"/>
    <w:rsid w:val="00861A97"/>
    <w:rsid w:val="008620C0"/>
    <w:rsid w:val="008624C4"/>
    <w:rsid w:val="0086266B"/>
    <w:rsid w:val="008629A0"/>
    <w:rsid w:val="00862A46"/>
    <w:rsid w:val="00862CF3"/>
    <w:rsid w:val="00862E89"/>
    <w:rsid w:val="008630BE"/>
    <w:rsid w:val="008632E0"/>
    <w:rsid w:val="008633A5"/>
    <w:rsid w:val="008633EA"/>
    <w:rsid w:val="00863563"/>
    <w:rsid w:val="00863694"/>
    <w:rsid w:val="00863971"/>
    <w:rsid w:val="0086412E"/>
    <w:rsid w:val="0086425F"/>
    <w:rsid w:val="00865980"/>
    <w:rsid w:val="008659C2"/>
    <w:rsid w:val="00865FFE"/>
    <w:rsid w:val="008660A4"/>
    <w:rsid w:val="008668D6"/>
    <w:rsid w:val="00867867"/>
    <w:rsid w:val="00867BAF"/>
    <w:rsid w:val="00870080"/>
    <w:rsid w:val="00870201"/>
    <w:rsid w:val="0087066B"/>
    <w:rsid w:val="00870794"/>
    <w:rsid w:val="008708A2"/>
    <w:rsid w:val="00870F21"/>
    <w:rsid w:val="00871087"/>
    <w:rsid w:val="008712C4"/>
    <w:rsid w:val="00871358"/>
    <w:rsid w:val="0087173A"/>
    <w:rsid w:val="00871A78"/>
    <w:rsid w:val="00871CB4"/>
    <w:rsid w:val="00871F82"/>
    <w:rsid w:val="0087214E"/>
    <w:rsid w:val="008723EC"/>
    <w:rsid w:val="0087248F"/>
    <w:rsid w:val="008724EB"/>
    <w:rsid w:val="008726D3"/>
    <w:rsid w:val="0087351A"/>
    <w:rsid w:val="008738AD"/>
    <w:rsid w:val="008738C4"/>
    <w:rsid w:val="00873CB9"/>
    <w:rsid w:val="008741BD"/>
    <w:rsid w:val="0087470B"/>
    <w:rsid w:val="00874B08"/>
    <w:rsid w:val="00874F77"/>
    <w:rsid w:val="008751EF"/>
    <w:rsid w:val="008753B6"/>
    <w:rsid w:val="00875546"/>
    <w:rsid w:val="00875823"/>
    <w:rsid w:val="008758B7"/>
    <w:rsid w:val="00875B28"/>
    <w:rsid w:val="00876318"/>
    <w:rsid w:val="0087678F"/>
    <w:rsid w:val="008769EF"/>
    <w:rsid w:val="00877180"/>
    <w:rsid w:val="00880014"/>
    <w:rsid w:val="00880441"/>
    <w:rsid w:val="008806F6"/>
    <w:rsid w:val="008807EB"/>
    <w:rsid w:val="00880BF9"/>
    <w:rsid w:val="008811AF"/>
    <w:rsid w:val="008812E0"/>
    <w:rsid w:val="008820BB"/>
    <w:rsid w:val="0088238B"/>
    <w:rsid w:val="008825A5"/>
    <w:rsid w:val="00882D63"/>
    <w:rsid w:val="00883017"/>
    <w:rsid w:val="0088341A"/>
    <w:rsid w:val="0088346C"/>
    <w:rsid w:val="00883997"/>
    <w:rsid w:val="00883C23"/>
    <w:rsid w:val="00883F29"/>
    <w:rsid w:val="008844A1"/>
    <w:rsid w:val="0088480C"/>
    <w:rsid w:val="00884E9E"/>
    <w:rsid w:val="008855F3"/>
    <w:rsid w:val="00885E35"/>
    <w:rsid w:val="008864C9"/>
    <w:rsid w:val="008869EB"/>
    <w:rsid w:val="00886B47"/>
    <w:rsid w:val="00886D70"/>
    <w:rsid w:val="00886EEE"/>
    <w:rsid w:val="00887143"/>
    <w:rsid w:val="00890437"/>
    <w:rsid w:val="008909A1"/>
    <w:rsid w:val="00891215"/>
    <w:rsid w:val="00891219"/>
    <w:rsid w:val="0089127E"/>
    <w:rsid w:val="008912F5"/>
    <w:rsid w:val="00891490"/>
    <w:rsid w:val="008918C6"/>
    <w:rsid w:val="00891EBA"/>
    <w:rsid w:val="0089237C"/>
    <w:rsid w:val="0089250E"/>
    <w:rsid w:val="00892749"/>
    <w:rsid w:val="008927C3"/>
    <w:rsid w:val="00892C2E"/>
    <w:rsid w:val="00892C6A"/>
    <w:rsid w:val="00892D50"/>
    <w:rsid w:val="0089323B"/>
    <w:rsid w:val="00893321"/>
    <w:rsid w:val="00893862"/>
    <w:rsid w:val="00893B81"/>
    <w:rsid w:val="00894004"/>
    <w:rsid w:val="008941F9"/>
    <w:rsid w:val="008949F7"/>
    <w:rsid w:val="00894C7F"/>
    <w:rsid w:val="00894CC8"/>
    <w:rsid w:val="00894D24"/>
    <w:rsid w:val="00895A84"/>
    <w:rsid w:val="00895CD2"/>
    <w:rsid w:val="00895D63"/>
    <w:rsid w:val="008967C6"/>
    <w:rsid w:val="008969B2"/>
    <w:rsid w:val="00896FA6"/>
    <w:rsid w:val="00897F88"/>
    <w:rsid w:val="008A03B5"/>
    <w:rsid w:val="008A0468"/>
    <w:rsid w:val="008A095B"/>
    <w:rsid w:val="008A0C6A"/>
    <w:rsid w:val="008A0F97"/>
    <w:rsid w:val="008A1107"/>
    <w:rsid w:val="008A1403"/>
    <w:rsid w:val="008A155F"/>
    <w:rsid w:val="008A163F"/>
    <w:rsid w:val="008A171F"/>
    <w:rsid w:val="008A1879"/>
    <w:rsid w:val="008A18A8"/>
    <w:rsid w:val="008A2D11"/>
    <w:rsid w:val="008A3190"/>
    <w:rsid w:val="008A330B"/>
    <w:rsid w:val="008A3AE7"/>
    <w:rsid w:val="008A40C6"/>
    <w:rsid w:val="008A439B"/>
    <w:rsid w:val="008A45D9"/>
    <w:rsid w:val="008A46B6"/>
    <w:rsid w:val="008A4C86"/>
    <w:rsid w:val="008A5639"/>
    <w:rsid w:val="008A5D64"/>
    <w:rsid w:val="008A5F9C"/>
    <w:rsid w:val="008A5FC9"/>
    <w:rsid w:val="008A62DA"/>
    <w:rsid w:val="008A634D"/>
    <w:rsid w:val="008A6517"/>
    <w:rsid w:val="008A663D"/>
    <w:rsid w:val="008A6C8D"/>
    <w:rsid w:val="008A6F51"/>
    <w:rsid w:val="008A6FFD"/>
    <w:rsid w:val="008A7A3C"/>
    <w:rsid w:val="008A7C66"/>
    <w:rsid w:val="008B017B"/>
    <w:rsid w:val="008B02E3"/>
    <w:rsid w:val="008B0537"/>
    <w:rsid w:val="008B0563"/>
    <w:rsid w:val="008B0653"/>
    <w:rsid w:val="008B096C"/>
    <w:rsid w:val="008B0CAD"/>
    <w:rsid w:val="008B0E5C"/>
    <w:rsid w:val="008B12FE"/>
    <w:rsid w:val="008B16E4"/>
    <w:rsid w:val="008B17BA"/>
    <w:rsid w:val="008B221F"/>
    <w:rsid w:val="008B2254"/>
    <w:rsid w:val="008B2C7D"/>
    <w:rsid w:val="008B2D54"/>
    <w:rsid w:val="008B3F67"/>
    <w:rsid w:val="008B407A"/>
    <w:rsid w:val="008B4375"/>
    <w:rsid w:val="008B45D7"/>
    <w:rsid w:val="008B55F3"/>
    <w:rsid w:val="008B57FE"/>
    <w:rsid w:val="008B592D"/>
    <w:rsid w:val="008B5C51"/>
    <w:rsid w:val="008B5E66"/>
    <w:rsid w:val="008B5F24"/>
    <w:rsid w:val="008B6031"/>
    <w:rsid w:val="008B6872"/>
    <w:rsid w:val="008B6923"/>
    <w:rsid w:val="008B6D0C"/>
    <w:rsid w:val="008B701E"/>
    <w:rsid w:val="008B7187"/>
    <w:rsid w:val="008B79F1"/>
    <w:rsid w:val="008C055C"/>
    <w:rsid w:val="008C0609"/>
    <w:rsid w:val="008C085F"/>
    <w:rsid w:val="008C0E5D"/>
    <w:rsid w:val="008C0E65"/>
    <w:rsid w:val="008C0EFC"/>
    <w:rsid w:val="008C1166"/>
    <w:rsid w:val="008C11BC"/>
    <w:rsid w:val="008C15A5"/>
    <w:rsid w:val="008C1BAE"/>
    <w:rsid w:val="008C1D27"/>
    <w:rsid w:val="008C24E0"/>
    <w:rsid w:val="008C29E4"/>
    <w:rsid w:val="008C2B8B"/>
    <w:rsid w:val="008C3309"/>
    <w:rsid w:val="008C35DA"/>
    <w:rsid w:val="008C3667"/>
    <w:rsid w:val="008C3970"/>
    <w:rsid w:val="008C3A5A"/>
    <w:rsid w:val="008C4432"/>
    <w:rsid w:val="008C4B57"/>
    <w:rsid w:val="008C4C93"/>
    <w:rsid w:val="008C50E8"/>
    <w:rsid w:val="008C581E"/>
    <w:rsid w:val="008C618A"/>
    <w:rsid w:val="008C6656"/>
    <w:rsid w:val="008C6BF0"/>
    <w:rsid w:val="008C6E7B"/>
    <w:rsid w:val="008C6F8C"/>
    <w:rsid w:val="008C730A"/>
    <w:rsid w:val="008C76E6"/>
    <w:rsid w:val="008C7FA0"/>
    <w:rsid w:val="008D038B"/>
    <w:rsid w:val="008D0397"/>
    <w:rsid w:val="008D065F"/>
    <w:rsid w:val="008D0B1C"/>
    <w:rsid w:val="008D0E6F"/>
    <w:rsid w:val="008D0EE7"/>
    <w:rsid w:val="008D0EF4"/>
    <w:rsid w:val="008D1CCB"/>
    <w:rsid w:val="008D1F7E"/>
    <w:rsid w:val="008D20E0"/>
    <w:rsid w:val="008D227D"/>
    <w:rsid w:val="008D23EF"/>
    <w:rsid w:val="008D3B3C"/>
    <w:rsid w:val="008D3EA3"/>
    <w:rsid w:val="008D3F2A"/>
    <w:rsid w:val="008D42D5"/>
    <w:rsid w:val="008D5005"/>
    <w:rsid w:val="008D5023"/>
    <w:rsid w:val="008D539D"/>
    <w:rsid w:val="008D595F"/>
    <w:rsid w:val="008D59D9"/>
    <w:rsid w:val="008D5E70"/>
    <w:rsid w:val="008D5E7D"/>
    <w:rsid w:val="008D6218"/>
    <w:rsid w:val="008D6407"/>
    <w:rsid w:val="008D672A"/>
    <w:rsid w:val="008D6924"/>
    <w:rsid w:val="008D6ED6"/>
    <w:rsid w:val="008D737E"/>
    <w:rsid w:val="008D7501"/>
    <w:rsid w:val="008D750D"/>
    <w:rsid w:val="008D758D"/>
    <w:rsid w:val="008D7925"/>
    <w:rsid w:val="008D7F16"/>
    <w:rsid w:val="008E0887"/>
    <w:rsid w:val="008E0A24"/>
    <w:rsid w:val="008E0CA7"/>
    <w:rsid w:val="008E0D11"/>
    <w:rsid w:val="008E0FAC"/>
    <w:rsid w:val="008E15BE"/>
    <w:rsid w:val="008E16CE"/>
    <w:rsid w:val="008E1BD9"/>
    <w:rsid w:val="008E1F7E"/>
    <w:rsid w:val="008E2D25"/>
    <w:rsid w:val="008E3734"/>
    <w:rsid w:val="008E404E"/>
    <w:rsid w:val="008E4211"/>
    <w:rsid w:val="008E4856"/>
    <w:rsid w:val="008E4B0B"/>
    <w:rsid w:val="008E4CAF"/>
    <w:rsid w:val="008E4F7C"/>
    <w:rsid w:val="008E52F3"/>
    <w:rsid w:val="008E569D"/>
    <w:rsid w:val="008E56E4"/>
    <w:rsid w:val="008E5835"/>
    <w:rsid w:val="008E5B56"/>
    <w:rsid w:val="008E5F32"/>
    <w:rsid w:val="008E61A3"/>
    <w:rsid w:val="008E62B8"/>
    <w:rsid w:val="008E6387"/>
    <w:rsid w:val="008E6D94"/>
    <w:rsid w:val="008E6DEA"/>
    <w:rsid w:val="008E6E51"/>
    <w:rsid w:val="008E7347"/>
    <w:rsid w:val="008E7A02"/>
    <w:rsid w:val="008E7A9A"/>
    <w:rsid w:val="008E7BA0"/>
    <w:rsid w:val="008E7F37"/>
    <w:rsid w:val="008F000B"/>
    <w:rsid w:val="008F02A6"/>
    <w:rsid w:val="008F031A"/>
    <w:rsid w:val="008F0655"/>
    <w:rsid w:val="008F09FF"/>
    <w:rsid w:val="008F141B"/>
    <w:rsid w:val="008F150A"/>
    <w:rsid w:val="008F1A07"/>
    <w:rsid w:val="008F1B90"/>
    <w:rsid w:val="008F1CB7"/>
    <w:rsid w:val="008F1DF6"/>
    <w:rsid w:val="008F1E8C"/>
    <w:rsid w:val="008F25DD"/>
    <w:rsid w:val="008F25ED"/>
    <w:rsid w:val="008F2A3D"/>
    <w:rsid w:val="008F30FE"/>
    <w:rsid w:val="008F3305"/>
    <w:rsid w:val="008F37AC"/>
    <w:rsid w:val="008F400C"/>
    <w:rsid w:val="008F424F"/>
    <w:rsid w:val="008F42C1"/>
    <w:rsid w:val="008F4B61"/>
    <w:rsid w:val="008F4FFE"/>
    <w:rsid w:val="008F5069"/>
    <w:rsid w:val="008F516C"/>
    <w:rsid w:val="008F5571"/>
    <w:rsid w:val="008F590F"/>
    <w:rsid w:val="008F5C6B"/>
    <w:rsid w:val="008F5EE9"/>
    <w:rsid w:val="008F63EA"/>
    <w:rsid w:val="008F6579"/>
    <w:rsid w:val="008F6A03"/>
    <w:rsid w:val="008F6C7A"/>
    <w:rsid w:val="008F6CC4"/>
    <w:rsid w:val="008F6EC5"/>
    <w:rsid w:val="008F706D"/>
    <w:rsid w:val="008F78E0"/>
    <w:rsid w:val="008F7EAF"/>
    <w:rsid w:val="008F7F5A"/>
    <w:rsid w:val="009000F4"/>
    <w:rsid w:val="00900383"/>
    <w:rsid w:val="00900437"/>
    <w:rsid w:val="0090085B"/>
    <w:rsid w:val="00900E6D"/>
    <w:rsid w:val="009011B8"/>
    <w:rsid w:val="00901A8F"/>
    <w:rsid w:val="00902AEB"/>
    <w:rsid w:val="00902DA9"/>
    <w:rsid w:val="0090306C"/>
    <w:rsid w:val="00903552"/>
    <w:rsid w:val="00903BDE"/>
    <w:rsid w:val="00903DB5"/>
    <w:rsid w:val="00903F02"/>
    <w:rsid w:val="009046FB"/>
    <w:rsid w:val="00904914"/>
    <w:rsid w:val="00904B9C"/>
    <w:rsid w:val="00904BD1"/>
    <w:rsid w:val="00904F93"/>
    <w:rsid w:val="00904FA1"/>
    <w:rsid w:val="009052AB"/>
    <w:rsid w:val="00905AD0"/>
    <w:rsid w:val="00905C5B"/>
    <w:rsid w:val="009061C5"/>
    <w:rsid w:val="009066F6"/>
    <w:rsid w:val="00906928"/>
    <w:rsid w:val="00906A9D"/>
    <w:rsid w:val="009073EF"/>
    <w:rsid w:val="0090756C"/>
    <w:rsid w:val="009079FE"/>
    <w:rsid w:val="00907DA9"/>
    <w:rsid w:val="0091058C"/>
    <w:rsid w:val="0091059E"/>
    <w:rsid w:val="0091069D"/>
    <w:rsid w:val="009108AE"/>
    <w:rsid w:val="00910B15"/>
    <w:rsid w:val="00910DDC"/>
    <w:rsid w:val="0091100B"/>
    <w:rsid w:val="00911995"/>
    <w:rsid w:val="009122E1"/>
    <w:rsid w:val="00912A01"/>
    <w:rsid w:val="00912AB3"/>
    <w:rsid w:val="00912B6C"/>
    <w:rsid w:val="00912F7A"/>
    <w:rsid w:val="00913A20"/>
    <w:rsid w:val="00913DD6"/>
    <w:rsid w:val="00914AF3"/>
    <w:rsid w:val="00914CB5"/>
    <w:rsid w:val="00914FD8"/>
    <w:rsid w:val="0091520A"/>
    <w:rsid w:val="00915220"/>
    <w:rsid w:val="009158EA"/>
    <w:rsid w:val="0091601C"/>
    <w:rsid w:val="009163F3"/>
    <w:rsid w:val="0091685F"/>
    <w:rsid w:val="009171FC"/>
    <w:rsid w:val="00920430"/>
    <w:rsid w:val="009205FA"/>
    <w:rsid w:val="00920855"/>
    <w:rsid w:val="00920EF9"/>
    <w:rsid w:val="00921CFD"/>
    <w:rsid w:val="00921FF5"/>
    <w:rsid w:val="00922046"/>
    <w:rsid w:val="009225E8"/>
    <w:rsid w:val="0092263F"/>
    <w:rsid w:val="00922C78"/>
    <w:rsid w:val="00923136"/>
    <w:rsid w:val="0092313E"/>
    <w:rsid w:val="009231CE"/>
    <w:rsid w:val="009233CD"/>
    <w:rsid w:val="0092354B"/>
    <w:rsid w:val="009237FB"/>
    <w:rsid w:val="00923D0A"/>
    <w:rsid w:val="00924248"/>
    <w:rsid w:val="009245D0"/>
    <w:rsid w:val="00926204"/>
    <w:rsid w:val="00926254"/>
    <w:rsid w:val="00926417"/>
    <w:rsid w:val="0092655B"/>
    <w:rsid w:val="009266EF"/>
    <w:rsid w:val="00926A21"/>
    <w:rsid w:val="00926D56"/>
    <w:rsid w:val="00926F1B"/>
    <w:rsid w:val="00926FCD"/>
    <w:rsid w:val="00927417"/>
    <w:rsid w:val="00927990"/>
    <w:rsid w:val="00927A02"/>
    <w:rsid w:val="0093002C"/>
    <w:rsid w:val="009301BA"/>
    <w:rsid w:val="00930364"/>
    <w:rsid w:val="00930E83"/>
    <w:rsid w:val="009313E0"/>
    <w:rsid w:val="00931586"/>
    <w:rsid w:val="009316ED"/>
    <w:rsid w:val="00931932"/>
    <w:rsid w:val="00931AE8"/>
    <w:rsid w:val="0093213A"/>
    <w:rsid w:val="00932392"/>
    <w:rsid w:val="00932434"/>
    <w:rsid w:val="00932B40"/>
    <w:rsid w:val="00932D70"/>
    <w:rsid w:val="009335D0"/>
    <w:rsid w:val="009338F1"/>
    <w:rsid w:val="0093423D"/>
    <w:rsid w:val="00934894"/>
    <w:rsid w:val="00934968"/>
    <w:rsid w:val="00934A86"/>
    <w:rsid w:val="00934BE1"/>
    <w:rsid w:val="00934E02"/>
    <w:rsid w:val="00934E56"/>
    <w:rsid w:val="00935401"/>
    <w:rsid w:val="00935758"/>
    <w:rsid w:val="009357EB"/>
    <w:rsid w:val="00935E86"/>
    <w:rsid w:val="009362D6"/>
    <w:rsid w:val="009362DF"/>
    <w:rsid w:val="00936433"/>
    <w:rsid w:val="0093685D"/>
    <w:rsid w:val="0093689E"/>
    <w:rsid w:val="00937619"/>
    <w:rsid w:val="009379CB"/>
    <w:rsid w:val="00937CEC"/>
    <w:rsid w:val="00937CFE"/>
    <w:rsid w:val="00937EA0"/>
    <w:rsid w:val="009400E4"/>
    <w:rsid w:val="0094015B"/>
    <w:rsid w:val="00940267"/>
    <w:rsid w:val="00940358"/>
    <w:rsid w:val="009403D4"/>
    <w:rsid w:val="00940ADD"/>
    <w:rsid w:val="00940F76"/>
    <w:rsid w:val="0094105F"/>
    <w:rsid w:val="00941147"/>
    <w:rsid w:val="009417F5"/>
    <w:rsid w:val="00941EAD"/>
    <w:rsid w:val="009421AF"/>
    <w:rsid w:val="009424C8"/>
    <w:rsid w:val="00942D70"/>
    <w:rsid w:val="0094354A"/>
    <w:rsid w:val="00943A8F"/>
    <w:rsid w:val="00943BB6"/>
    <w:rsid w:val="00943F11"/>
    <w:rsid w:val="00944177"/>
    <w:rsid w:val="009442A7"/>
    <w:rsid w:val="0094445E"/>
    <w:rsid w:val="0094456E"/>
    <w:rsid w:val="00944711"/>
    <w:rsid w:val="00944B18"/>
    <w:rsid w:val="00944DC7"/>
    <w:rsid w:val="00945CBB"/>
    <w:rsid w:val="00945DCE"/>
    <w:rsid w:val="00946658"/>
    <w:rsid w:val="009476D6"/>
    <w:rsid w:val="0094788D"/>
    <w:rsid w:val="00947930"/>
    <w:rsid w:val="00947BA5"/>
    <w:rsid w:val="00947D94"/>
    <w:rsid w:val="0095001D"/>
    <w:rsid w:val="0095075E"/>
    <w:rsid w:val="009510FC"/>
    <w:rsid w:val="0095114C"/>
    <w:rsid w:val="009514EA"/>
    <w:rsid w:val="00951B4F"/>
    <w:rsid w:val="00951F1E"/>
    <w:rsid w:val="009524CB"/>
    <w:rsid w:val="00952656"/>
    <w:rsid w:val="00952D19"/>
    <w:rsid w:val="009533C9"/>
    <w:rsid w:val="00953443"/>
    <w:rsid w:val="0095363F"/>
    <w:rsid w:val="009536FC"/>
    <w:rsid w:val="00953A01"/>
    <w:rsid w:val="00953E3C"/>
    <w:rsid w:val="009546A9"/>
    <w:rsid w:val="00954B24"/>
    <w:rsid w:val="00954BB0"/>
    <w:rsid w:val="0095571C"/>
    <w:rsid w:val="00955779"/>
    <w:rsid w:val="00955AAC"/>
    <w:rsid w:val="00955D70"/>
    <w:rsid w:val="009565D2"/>
    <w:rsid w:val="009565DC"/>
    <w:rsid w:val="009566EC"/>
    <w:rsid w:val="00956779"/>
    <w:rsid w:val="00956DA9"/>
    <w:rsid w:val="00956FFB"/>
    <w:rsid w:val="009600C2"/>
    <w:rsid w:val="00960F50"/>
    <w:rsid w:val="009620A9"/>
    <w:rsid w:val="0096238E"/>
    <w:rsid w:val="009625EC"/>
    <w:rsid w:val="0096271D"/>
    <w:rsid w:val="00962E3F"/>
    <w:rsid w:val="00963153"/>
    <w:rsid w:val="00963360"/>
    <w:rsid w:val="00963439"/>
    <w:rsid w:val="00964568"/>
    <w:rsid w:val="009645B9"/>
    <w:rsid w:val="0096497C"/>
    <w:rsid w:val="00965051"/>
    <w:rsid w:val="00965213"/>
    <w:rsid w:val="00965C56"/>
    <w:rsid w:val="00965DEF"/>
    <w:rsid w:val="00965E8F"/>
    <w:rsid w:val="0096615D"/>
    <w:rsid w:val="00966218"/>
    <w:rsid w:val="0096628C"/>
    <w:rsid w:val="0096682A"/>
    <w:rsid w:val="00966C51"/>
    <w:rsid w:val="00966EA8"/>
    <w:rsid w:val="00966F1C"/>
    <w:rsid w:val="00967252"/>
    <w:rsid w:val="009672FC"/>
    <w:rsid w:val="009676CD"/>
    <w:rsid w:val="009677BE"/>
    <w:rsid w:val="0096792E"/>
    <w:rsid w:val="00967A67"/>
    <w:rsid w:val="00967A80"/>
    <w:rsid w:val="009705D8"/>
    <w:rsid w:val="00970FFE"/>
    <w:rsid w:val="009710DD"/>
    <w:rsid w:val="0097115C"/>
    <w:rsid w:val="0097153F"/>
    <w:rsid w:val="00971B84"/>
    <w:rsid w:val="00971BBF"/>
    <w:rsid w:val="00971F32"/>
    <w:rsid w:val="009720C2"/>
    <w:rsid w:val="009721F8"/>
    <w:rsid w:val="00972BFD"/>
    <w:rsid w:val="00974128"/>
    <w:rsid w:val="009741C0"/>
    <w:rsid w:val="009744D1"/>
    <w:rsid w:val="0097467F"/>
    <w:rsid w:val="00974697"/>
    <w:rsid w:val="00974813"/>
    <w:rsid w:val="009748CD"/>
    <w:rsid w:val="00974A09"/>
    <w:rsid w:val="0097509A"/>
    <w:rsid w:val="0097631A"/>
    <w:rsid w:val="009768C8"/>
    <w:rsid w:val="009769D4"/>
    <w:rsid w:val="00976A43"/>
    <w:rsid w:val="00976D1D"/>
    <w:rsid w:val="00977368"/>
    <w:rsid w:val="00977458"/>
    <w:rsid w:val="00977659"/>
    <w:rsid w:val="00977D26"/>
    <w:rsid w:val="00980CD2"/>
    <w:rsid w:val="00981643"/>
    <w:rsid w:val="00981725"/>
    <w:rsid w:val="00981A2B"/>
    <w:rsid w:val="00981CC9"/>
    <w:rsid w:val="00982102"/>
    <w:rsid w:val="00982260"/>
    <w:rsid w:val="009822C0"/>
    <w:rsid w:val="00982676"/>
    <w:rsid w:val="009827D0"/>
    <w:rsid w:val="009835BE"/>
    <w:rsid w:val="009839B2"/>
    <w:rsid w:val="009839BC"/>
    <w:rsid w:val="00983B1C"/>
    <w:rsid w:val="00983F66"/>
    <w:rsid w:val="0098437D"/>
    <w:rsid w:val="0098439C"/>
    <w:rsid w:val="00984871"/>
    <w:rsid w:val="00984AEA"/>
    <w:rsid w:val="00984BCA"/>
    <w:rsid w:val="009856BD"/>
    <w:rsid w:val="00985777"/>
    <w:rsid w:val="009859D9"/>
    <w:rsid w:val="00986394"/>
    <w:rsid w:val="00986871"/>
    <w:rsid w:val="009868FD"/>
    <w:rsid w:val="00986CC5"/>
    <w:rsid w:val="00987037"/>
    <w:rsid w:val="009874E3"/>
    <w:rsid w:val="00987E05"/>
    <w:rsid w:val="00987FB3"/>
    <w:rsid w:val="00990230"/>
    <w:rsid w:val="009905A3"/>
    <w:rsid w:val="00990986"/>
    <w:rsid w:val="00990AC8"/>
    <w:rsid w:val="00991150"/>
    <w:rsid w:val="009911E4"/>
    <w:rsid w:val="009914B4"/>
    <w:rsid w:val="009914C2"/>
    <w:rsid w:val="00991CBA"/>
    <w:rsid w:val="00991D1F"/>
    <w:rsid w:val="00992746"/>
    <w:rsid w:val="00992B15"/>
    <w:rsid w:val="00992C4D"/>
    <w:rsid w:val="00992F2D"/>
    <w:rsid w:val="00993350"/>
    <w:rsid w:val="009936B4"/>
    <w:rsid w:val="00994488"/>
    <w:rsid w:val="00994564"/>
    <w:rsid w:val="009948B8"/>
    <w:rsid w:val="00994961"/>
    <w:rsid w:val="00994988"/>
    <w:rsid w:val="00994CB9"/>
    <w:rsid w:val="009952A7"/>
    <w:rsid w:val="0099531B"/>
    <w:rsid w:val="00995D48"/>
    <w:rsid w:val="00995E90"/>
    <w:rsid w:val="009962B3"/>
    <w:rsid w:val="009962DE"/>
    <w:rsid w:val="009963EC"/>
    <w:rsid w:val="009964BD"/>
    <w:rsid w:val="00996CE5"/>
    <w:rsid w:val="00996FC0"/>
    <w:rsid w:val="009973A8"/>
    <w:rsid w:val="009974A0"/>
    <w:rsid w:val="009975C6"/>
    <w:rsid w:val="00997981"/>
    <w:rsid w:val="00997A21"/>
    <w:rsid w:val="00997DD5"/>
    <w:rsid w:val="009A023C"/>
    <w:rsid w:val="009A02C3"/>
    <w:rsid w:val="009A0606"/>
    <w:rsid w:val="009A07B1"/>
    <w:rsid w:val="009A0D35"/>
    <w:rsid w:val="009A0EA2"/>
    <w:rsid w:val="009A10C9"/>
    <w:rsid w:val="009A10E7"/>
    <w:rsid w:val="009A18F7"/>
    <w:rsid w:val="009A1FB6"/>
    <w:rsid w:val="009A2020"/>
    <w:rsid w:val="009A20CE"/>
    <w:rsid w:val="009A222F"/>
    <w:rsid w:val="009A2706"/>
    <w:rsid w:val="009A2C2A"/>
    <w:rsid w:val="009A2CCF"/>
    <w:rsid w:val="009A2FF9"/>
    <w:rsid w:val="009A3655"/>
    <w:rsid w:val="009A3708"/>
    <w:rsid w:val="009A3B75"/>
    <w:rsid w:val="009A3E62"/>
    <w:rsid w:val="009A4425"/>
    <w:rsid w:val="009A4BE4"/>
    <w:rsid w:val="009A51D7"/>
    <w:rsid w:val="009A52CE"/>
    <w:rsid w:val="009A5482"/>
    <w:rsid w:val="009A587E"/>
    <w:rsid w:val="009A5B86"/>
    <w:rsid w:val="009A5F55"/>
    <w:rsid w:val="009A64C3"/>
    <w:rsid w:val="009A69B4"/>
    <w:rsid w:val="009A6C51"/>
    <w:rsid w:val="009A6D1D"/>
    <w:rsid w:val="009A6F1D"/>
    <w:rsid w:val="009A7674"/>
    <w:rsid w:val="009A76E8"/>
    <w:rsid w:val="009A77DA"/>
    <w:rsid w:val="009A7B29"/>
    <w:rsid w:val="009B02FB"/>
    <w:rsid w:val="009B07B9"/>
    <w:rsid w:val="009B0971"/>
    <w:rsid w:val="009B0F26"/>
    <w:rsid w:val="009B18DC"/>
    <w:rsid w:val="009B1A1F"/>
    <w:rsid w:val="009B1CFC"/>
    <w:rsid w:val="009B1F0A"/>
    <w:rsid w:val="009B28C9"/>
    <w:rsid w:val="009B2A2C"/>
    <w:rsid w:val="009B2A76"/>
    <w:rsid w:val="009B2C51"/>
    <w:rsid w:val="009B3004"/>
    <w:rsid w:val="009B3033"/>
    <w:rsid w:val="009B315C"/>
    <w:rsid w:val="009B3404"/>
    <w:rsid w:val="009B3718"/>
    <w:rsid w:val="009B37BB"/>
    <w:rsid w:val="009B393C"/>
    <w:rsid w:val="009B3C20"/>
    <w:rsid w:val="009B43EA"/>
    <w:rsid w:val="009B44D2"/>
    <w:rsid w:val="009B4DE0"/>
    <w:rsid w:val="009B4EF9"/>
    <w:rsid w:val="009B5041"/>
    <w:rsid w:val="009B5963"/>
    <w:rsid w:val="009B5B97"/>
    <w:rsid w:val="009B5C4B"/>
    <w:rsid w:val="009B5E4C"/>
    <w:rsid w:val="009B625E"/>
    <w:rsid w:val="009B6549"/>
    <w:rsid w:val="009B6570"/>
    <w:rsid w:val="009B7049"/>
    <w:rsid w:val="009B712C"/>
    <w:rsid w:val="009B7373"/>
    <w:rsid w:val="009B78E0"/>
    <w:rsid w:val="009B7CFE"/>
    <w:rsid w:val="009C01E8"/>
    <w:rsid w:val="009C0507"/>
    <w:rsid w:val="009C0B59"/>
    <w:rsid w:val="009C137F"/>
    <w:rsid w:val="009C1B81"/>
    <w:rsid w:val="009C1C3E"/>
    <w:rsid w:val="009C1C88"/>
    <w:rsid w:val="009C1DA8"/>
    <w:rsid w:val="009C1EDD"/>
    <w:rsid w:val="009C23BB"/>
    <w:rsid w:val="009C29A7"/>
    <w:rsid w:val="009C2CAE"/>
    <w:rsid w:val="009C2F94"/>
    <w:rsid w:val="009C2FE6"/>
    <w:rsid w:val="009C307B"/>
    <w:rsid w:val="009C339B"/>
    <w:rsid w:val="009C372D"/>
    <w:rsid w:val="009C3957"/>
    <w:rsid w:val="009C4182"/>
    <w:rsid w:val="009C4592"/>
    <w:rsid w:val="009C4C8D"/>
    <w:rsid w:val="009C4E96"/>
    <w:rsid w:val="009C5346"/>
    <w:rsid w:val="009C53C0"/>
    <w:rsid w:val="009C56A4"/>
    <w:rsid w:val="009C5A7C"/>
    <w:rsid w:val="009C5D20"/>
    <w:rsid w:val="009C6101"/>
    <w:rsid w:val="009C698B"/>
    <w:rsid w:val="009C6CF6"/>
    <w:rsid w:val="009C6EDC"/>
    <w:rsid w:val="009C71AB"/>
    <w:rsid w:val="009C720F"/>
    <w:rsid w:val="009C73B0"/>
    <w:rsid w:val="009C74B9"/>
    <w:rsid w:val="009C7617"/>
    <w:rsid w:val="009C7647"/>
    <w:rsid w:val="009C76DF"/>
    <w:rsid w:val="009C7939"/>
    <w:rsid w:val="009C7A20"/>
    <w:rsid w:val="009C7EDB"/>
    <w:rsid w:val="009D00E3"/>
    <w:rsid w:val="009D0BAD"/>
    <w:rsid w:val="009D1808"/>
    <w:rsid w:val="009D2A5D"/>
    <w:rsid w:val="009D2C22"/>
    <w:rsid w:val="009D2FC7"/>
    <w:rsid w:val="009D330E"/>
    <w:rsid w:val="009D38A3"/>
    <w:rsid w:val="009D390A"/>
    <w:rsid w:val="009D39AC"/>
    <w:rsid w:val="009D3A39"/>
    <w:rsid w:val="009D3FB6"/>
    <w:rsid w:val="009D41B0"/>
    <w:rsid w:val="009D4BD9"/>
    <w:rsid w:val="009D5221"/>
    <w:rsid w:val="009D527B"/>
    <w:rsid w:val="009D542D"/>
    <w:rsid w:val="009D56A7"/>
    <w:rsid w:val="009D5F36"/>
    <w:rsid w:val="009D60C3"/>
    <w:rsid w:val="009D63A1"/>
    <w:rsid w:val="009D63B0"/>
    <w:rsid w:val="009D6D2B"/>
    <w:rsid w:val="009D77DB"/>
    <w:rsid w:val="009E0130"/>
    <w:rsid w:val="009E0291"/>
    <w:rsid w:val="009E052E"/>
    <w:rsid w:val="009E0740"/>
    <w:rsid w:val="009E0840"/>
    <w:rsid w:val="009E0984"/>
    <w:rsid w:val="009E0D39"/>
    <w:rsid w:val="009E0F8D"/>
    <w:rsid w:val="009E1102"/>
    <w:rsid w:val="009E1BD5"/>
    <w:rsid w:val="009E243A"/>
    <w:rsid w:val="009E2607"/>
    <w:rsid w:val="009E2C86"/>
    <w:rsid w:val="009E2F72"/>
    <w:rsid w:val="009E309D"/>
    <w:rsid w:val="009E33E1"/>
    <w:rsid w:val="009E3540"/>
    <w:rsid w:val="009E3716"/>
    <w:rsid w:val="009E4611"/>
    <w:rsid w:val="009E58C4"/>
    <w:rsid w:val="009E5A78"/>
    <w:rsid w:val="009E5FDE"/>
    <w:rsid w:val="009E61A6"/>
    <w:rsid w:val="009E6609"/>
    <w:rsid w:val="009E6982"/>
    <w:rsid w:val="009E6ABC"/>
    <w:rsid w:val="009E6F8D"/>
    <w:rsid w:val="009E7395"/>
    <w:rsid w:val="009E7A2A"/>
    <w:rsid w:val="009E7AA5"/>
    <w:rsid w:val="009E7D36"/>
    <w:rsid w:val="009E7EF8"/>
    <w:rsid w:val="009F03A3"/>
    <w:rsid w:val="009F09F2"/>
    <w:rsid w:val="009F0A58"/>
    <w:rsid w:val="009F0E3C"/>
    <w:rsid w:val="009F101B"/>
    <w:rsid w:val="009F1675"/>
    <w:rsid w:val="009F175C"/>
    <w:rsid w:val="009F1B93"/>
    <w:rsid w:val="009F20CF"/>
    <w:rsid w:val="009F282D"/>
    <w:rsid w:val="009F3105"/>
    <w:rsid w:val="009F3430"/>
    <w:rsid w:val="009F36BE"/>
    <w:rsid w:val="009F3B65"/>
    <w:rsid w:val="009F3C18"/>
    <w:rsid w:val="009F3CEA"/>
    <w:rsid w:val="009F3D8C"/>
    <w:rsid w:val="009F41D6"/>
    <w:rsid w:val="009F4218"/>
    <w:rsid w:val="009F472F"/>
    <w:rsid w:val="009F4D89"/>
    <w:rsid w:val="009F4EB5"/>
    <w:rsid w:val="009F5002"/>
    <w:rsid w:val="009F52B9"/>
    <w:rsid w:val="009F53B5"/>
    <w:rsid w:val="009F5430"/>
    <w:rsid w:val="009F5603"/>
    <w:rsid w:val="009F5F86"/>
    <w:rsid w:val="009F5FA0"/>
    <w:rsid w:val="009F619B"/>
    <w:rsid w:val="009F676F"/>
    <w:rsid w:val="009F67C4"/>
    <w:rsid w:val="009F69A8"/>
    <w:rsid w:val="009F6A4E"/>
    <w:rsid w:val="009F6C79"/>
    <w:rsid w:val="009F6D2D"/>
    <w:rsid w:val="009F7534"/>
    <w:rsid w:val="009F76B7"/>
    <w:rsid w:val="009F7CF6"/>
    <w:rsid w:val="009F7E76"/>
    <w:rsid w:val="009F7E97"/>
    <w:rsid w:val="00A00013"/>
    <w:rsid w:val="00A0035E"/>
    <w:rsid w:val="00A00389"/>
    <w:rsid w:val="00A00D40"/>
    <w:rsid w:val="00A00DFC"/>
    <w:rsid w:val="00A01169"/>
    <w:rsid w:val="00A012EB"/>
    <w:rsid w:val="00A0131A"/>
    <w:rsid w:val="00A01CD9"/>
    <w:rsid w:val="00A01D8D"/>
    <w:rsid w:val="00A01ED3"/>
    <w:rsid w:val="00A01F29"/>
    <w:rsid w:val="00A02DAA"/>
    <w:rsid w:val="00A0325D"/>
    <w:rsid w:val="00A03F51"/>
    <w:rsid w:val="00A0406E"/>
    <w:rsid w:val="00A0468E"/>
    <w:rsid w:val="00A049F9"/>
    <w:rsid w:val="00A05404"/>
    <w:rsid w:val="00A054BE"/>
    <w:rsid w:val="00A055F7"/>
    <w:rsid w:val="00A0560F"/>
    <w:rsid w:val="00A0585F"/>
    <w:rsid w:val="00A05F61"/>
    <w:rsid w:val="00A05FE8"/>
    <w:rsid w:val="00A0654A"/>
    <w:rsid w:val="00A06912"/>
    <w:rsid w:val="00A069EF"/>
    <w:rsid w:val="00A06ADC"/>
    <w:rsid w:val="00A06D91"/>
    <w:rsid w:val="00A06F63"/>
    <w:rsid w:val="00A1047E"/>
    <w:rsid w:val="00A10BD5"/>
    <w:rsid w:val="00A10E1B"/>
    <w:rsid w:val="00A10E40"/>
    <w:rsid w:val="00A1189C"/>
    <w:rsid w:val="00A1190F"/>
    <w:rsid w:val="00A11E13"/>
    <w:rsid w:val="00A11E37"/>
    <w:rsid w:val="00A11F78"/>
    <w:rsid w:val="00A12060"/>
    <w:rsid w:val="00A12222"/>
    <w:rsid w:val="00A122AD"/>
    <w:rsid w:val="00A124B1"/>
    <w:rsid w:val="00A127A2"/>
    <w:rsid w:val="00A12D17"/>
    <w:rsid w:val="00A13051"/>
    <w:rsid w:val="00A131D0"/>
    <w:rsid w:val="00A13585"/>
    <w:rsid w:val="00A138BD"/>
    <w:rsid w:val="00A13F43"/>
    <w:rsid w:val="00A13F4C"/>
    <w:rsid w:val="00A1406E"/>
    <w:rsid w:val="00A1484F"/>
    <w:rsid w:val="00A14BD5"/>
    <w:rsid w:val="00A14CFD"/>
    <w:rsid w:val="00A151BA"/>
    <w:rsid w:val="00A15261"/>
    <w:rsid w:val="00A1567F"/>
    <w:rsid w:val="00A1581C"/>
    <w:rsid w:val="00A15F8F"/>
    <w:rsid w:val="00A160D7"/>
    <w:rsid w:val="00A16FC5"/>
    <w:rsid w:val="00A16FCA"/>
    <w:rsid w:val="00A16FCB"/>
    <w:rsid w:val="00A172FA"/>
    <w:rsid w:val="00A177B7"/>
    <w:rsid w:val="00A17D17"/>
    <w:rsid w:val="00A20044"/>
    <w:rsid w:val="00A205B7"/>
    <w:rsid w:val="00A20D43"/>
    <w:rsid w:val="00A20D4D"/>
    <w:rsid w:val="00A21780"/>
    <w:rsid w:val="00A2209F"/>
    <w:rsid w:val="00A223CA"/>
    <w:rsid w:val="00A22448"/>
    <w:rsid w:val="00A224C4"/>
    <w:rsid w:val="00A2284D"/>
    <w:rsid w:val="00A228F8"/>
    <w:rsid w:val="00A22ADB"/>
    <w:rsid w:val="00A22CD4"/>
    <w:rsid w:val="00A22D14"/>
    <w:rsid w:val="00A22F63"/>
    <w:rsid w:val="00A230C8"/>
    <w:rsid w:val="00A232B9"/>
    <w:rsid w:val="00A23574"/>
    <w:rsid w:val="00A236E3"/>
    <w:rsid w:val="00A23AEE"/>
    <w:rsid w:val="00A243DD"/>
    <w:rsid w:val="00A247F1"/>
    <w:rsid w:val="00A24A33"/>
    <w:rsid w:val="00A24CF6"/>
    <w:rsid w:val="00A257AD"/>
    <w:rsid w:val="00A259BD"/>
    <w:rsid w:val="00A26073"/>
    <w:rsid w:val="00A264F7"/>
    <w:rsid w:val="00A268A0"/>
    <w:rsid w:val="00A269CB"/>
    <w:rsid w:val="00A27544"/>
    <w:rsid w:val="00A275FE"/>
    <w:rsid w:val="00A278C9"/>
    <w:rsid w:val="00A279C8"/>
    <w:rsid w:val="00A27AC7"/>
    <w:rsid w:val="00A27D98"/>
    <w:rsid w:val="00A3061C"/>
    <w:rsid w:val="00A30D42"/>
    <w:rsid w:val="00A30FB1"/>
    <w:rsid w:val="00A3168E"/>
    <w:rsid w:val="00A318F2"/>
    <w:rsid w:val="00A3279E"/>
    <w:rsid w:val="00A32928"/>
    <w:rsid w:val="00A32945"/>
    <w:rsid w:val="00A32969"/>
    <w:rsid w:val="00A32B0F"/>
    <w:rsid w:val="00A331C7"/>
    <w:rsid w:val="00A331F5"/>
    <w:rsid w:val="00A33633"/>
    <w:rsid w:val="00A33B63"/>
    <w:rsid w:val="00A342F1"/>
    <w:rsid w:val="00A34471"/>
    <w:rsid w:val="00A34A1A"/>
    <w:rsid w:val="00A34A3E"/>
    <w:rsid w:val="00A34EA6"/>
    <w:rsid w:val="00A353CB"/>
    <w:rsid w:val="00A355DF"/>
    <w:rsid w:val="00A361A9"/>
    <w:rsid w:val="00A36C1A"/>
    <w:rsid w:val="00A36CB2"/>
    <w:rsid w:val="00A3705F"/>
    <w:rsid w:val="00A37421"/>
    <w:rsid w:val="00A37B39"/>
    <w:rsid w:val="00A37BFA"/>
    <w:rsid w:val="00A37C35"/>
    <w:rsid w:val="00A37F36"/>
    <w:rsid w:val="00A4035D"/>
    <w:rsid w:val="00A40508"/>
    <w:rsid w:val="00A40AA8"/>
    <w:rsid w:val="00A40ACC"/>
    <w:rsid w:val="00A40CAB"/>
    <w:rsid w:val="00A40D8A"/>
    <w:rsid w:val="00A414BB"/>
    <w:rsid w:val="00A41B54"/>
    <w:rsid w:val="00A41EB7"/>
    <w:rsid w:val="00A41F21"/>
    <w:rsid w:val="00A42136"/>
    <w:rsid w:val="00A427EE"/>
    <w:rsid w:val="00A42D84"/>
    <w:rsid w:val="00A42F74"/>
    <w:rsid w:val="00A43021"/>
    <w:rsid w:val="00A431BE"/>
    <w:rsid w:val="00A43D6E"/>
    <w:rsid w:val="00A445D7"/>
    <w:rsid w:val="00A4486E"/>
    <w:rsid w:val="00A448F6"/>
    <w:rsid w:val="00A44A74"/>
    <w:rsid w:val="00A44E45"/>
    <w:rsid w:val="00A44F04"/>
    <w:rsid w:val="00A45342"/>
    <w:rsid w:val="00A45598"/>
    <w:rsid w:val="00A45621"/>
    <w:rsid w:val="00A45F2E"/>
    <w:rsid w:val="00A460E1"/>
    <w:rsid w:val="00A463CE"/>
    <w:rsid w:val="00A4660B"/>
    <w:rsid w:val="00A46AA1"/>
    <w:rsid w:val="00A46D3C"/>
    <w:rsid w:val="00A46D7D"/>
    <w:rsid w:val="00A47397"/>
    <w:rsid w:val="00A4739D"/>
    <w:rsid w:val="00A478EF"/>
    <w:rsid w:val="00A47D91"/>
    <w:rsid w:val="00A505A5"/>
    <w:rsid w:val="00A50BFC"/>
    <w:rsid w:val="00A50C62"/>
    <w:rsid w:val="00A50CE7"/>
    <w:rsid w:val="00A511A3"/>
    <w:rsid w:val="00A515F7"/>
    <w:rsid w:val="00A51810"/>
    <w:rsid w:val="00A51AD7"/>
    <w:rsid w:val="00A51B15"/>
    <w:rsid w:val="00A52719"/>
    <w:rsid w:val="00A5292F"/>
    <w:rsid w:val="00A52FA0"/>
    <w:rsid w:val="00A543DE"/>
    <w:rsid w:val="00A548AC"/>
    <w:rsid w:val="00A54998"/>
    <w:rsid w:val="00A557D4"/>
    <w:rsid w:val="00A55904"/>
    <w:rsid w:val="00A55A20"/>
    <w:rsid w:val="00A55DDB"/>
    <w:rsid w:val="00A55F3A"/>
    <w:rsid w:val="00A55FF0"/>
    <w:rsid w:val="00A56070"/>
    <w:rsid w:val="00A560E2"/>
    <w:rsid w:val="00A561B4"/>
    <w:rsid w:val="00A5658B"/>
    <w:rsid w:val="00A56665"/>
    <w:rsid w:val="00A5682C"/>
    <w:rsid w:val="00A56A00"/>
    <w:rsid w:val="00A56A34"/>
    <w:rsid w:val="00A56A85"/>
    <w:rsid w:val="00A56CEB"/>
    <w:rsid w:val="00A56DAA"/>
    <w:rsid w:val="00A5779E"/>
    <w:rsid w:val="00A6007F"/>
    <w:rsid w:val="00A60626"/>
    <w:rsid w:val="00A607E3"/>
    <w:rsid w:val="00A6094F"/>
    <w:rsid w:val="00A60AD8"/>
    <w:rsid w:val="00A60BE7"/>
    <w:rsid w:val="00A612B8"/>
    <w:rsid w:val="00A61722"/>
    <w:rsid w:val="00A61890"/>
    <w:rsid w:val="00A61A7C"/>
    <w:rsid w:val="00A61BF8"/>
    <w:rsid w:val="00A627A0"/>
    <w:rsid w:val="00A6287A"/>
    <w:rsid w:val="00A6293D"/>
    <w:rsid w:val="00A62A95"/>
    <w:rsid w:val="00A62EE7"/>
    <w:rsid w:val="00A62F47"/>
    <w:rsid w:val="00A62F9B"/>
    <w:rsid w:val="00A631E7"/>
    <w:rsid w:val="00A63399"/>
    <w:rsid w:val="00A633FC"/>
    <w:rsid w:val="00A638E0"/>
    <w:rsid w:val="00A63A1F"/>
    <w:rsid w:val="00A63A2E"/>
    <w:rsid w:val="00A650AA"/>
    <w:rsid w:val="00A6576E"/>
    <w:rsid w:val="00A65BD6"/>
    <w:rsid w:val="00A661C9"/>
    <w:rsid w:val="00A6678C"/>
    <w:rsid w:val="00A6693B"/>
    <w:rsid w:val="00A66EF8"/>
    <w:rsid w:val="00A67B0E"/>
    <w:rsid w:val="00A7044F"/>
    <w:rsid w:val="00A70D8F"/>
    <w:rsid w:val="00A70E67"/>
    <w:rsid w:val="00A71167"/>
    <w:rsid w:val="00A711F4"/>
    <w:rsid w:val="00A71EBB"/>
    <w:rsid w:val="00A71FA5"/>
    <w:rsid w:val="00A721F8"/>
    <w:rsid w:val="00A725DA"/>
    <w:rsid w:val="00A72BD5"/>
    <w:rsid w:val="00A72FE7"/>
    <w:rsid w:val="00A74332"/>
    <w:rsid w:val="00A744E0"/>
    <w:rsid w:val="00A748F2"/>
    <w:rsid w:val="00A7496F"/>
    <w:rsid w:val="00A750B0"/>
    <w:rsid w:val="00A75667"/>
    <w:rsid w:val="00A75E74"/>
    <w:rsid w:val="00A75F3C"/>
    <w:rsid w:val="00A75FC8"/>
    <w:rsid w:val="00A767AC"/>
    <w:rsid w:val="00A76842"/>
    <w:rsid w:val="00A768D0"/>
    <w:rsid w:val="00A769F0"/>
    <w:rsid w:val="00A76B04"/>
    <w:rsid w:val="00A76CBD"/>
    <w:rsid w:val="00A771AA"/>
    <w:rsid w:val="00A771F0"/>
    <w:rsid w:val="00A774C7"/>
    <w:rsid w:val="00A77C06"/>
    <w:rsid w:val="00A8035A"/>
    <w:rsid w:val="00A80411"/>
    <w:rsid w:val="00A804B2"/>
    <w:rsid w:val="00A80512"/>
    <w:rsid w:val="00A805CD"/>
    <w:rsid w:val="00A80823"/>
    <w:rsid w:val="00A809F5"/>
    <w:rsid w:val="00A80FAC"/>
    <w:rsid w:val="00A81096"/>
    <w:rsid w:val="00A81545"/>
    <w:rsid w:val="00A81839"/>
    <w:rsid w:val="00A81E2D"/>
    <w:rsid w:val="00A82346"/>
    <w:rsid w:val="00A827E6"/>
    <w:rsid w:val="00A82927"/>
    <w:rsid w:val="00A82C11"/>
    <w:rsid w:val="00A830F4"/>
    <w:rsid w:val="00A83FE3"/>
    <w:rsid w:val="00A8420B"/>
    <w:rsid w:val="00A844D8"/>
    <w:rsid w:val="00A8483C"/>
    <w:rsid w:val="00A84A01"/>
    <w:rsid w:val="00A84E2F"/>
    <w:rsid w:val="00A84F65"/>
    <w:rsid w:val="00A85769"/>
    <w:rsid w:val="00A85970"/>
    <w:rsid w:val="00A85A88"/>
    <w:rsid w:val="00A85EB9"/>
    <w:rsid w:val="00A860ED"/>
    <w:rsid w:val="00A86181"/>
    <w:rsid w:val="00A861C5"/>
    <w:rsid w:val="00A8624A"/>
    <w:rsid w:val="00A86557"/>
    <w:rsid w:val="00A865A5"/>
    <w:rsid w:val="00A86749"/>
    <w:rsid w:val="00A867E9"/>
    <w:rsid w:val="00A86879"/>
    <w:rsid w:val="00A86921"/>
    <w:rsid w:val="00A869AD"/>
    <w:rsid w:val="00A86D59"/>
    <w:rsid w:val="00A874D2"/>
    <w:rsid w:val="00A878A5"/>
    <w:rsid w:val="00A878F7"/>
    <w:rsid w:val="00A87D76"/>
    <w:rsid w:val="00A87E97"/>
    <w:rsid w:val="00A903CE"/>
    <w:rsid w:val="00A903EA"/>
    <w:rsid w:val="00A905FC"/>
    <w:rsid w:val="00A90B42"/>
    <w:rsid w:val="00A91074"/>
    <w:rsid w:val="00A9126A"/>
    <w:rsid w:val="00A91623"/>
    <w:rsid w:val="00A91B59"/>
    <w:rsid w:val="00A91C4F"/>
    <w:rsid w:val="00A92046"/>
    <w:rsid w:val="00A92A81"/>
    <w:rsid w:val="00A92B1F"/>
    <w:rsid w:val="00A92BB3"/>
    <w:rsid w:val="00A9352B"/>
    <w:rsid w:val="00A93564"/>
    <w:rsid w:val="00A938E9"/>
    <w:rsid w:val="00A939BD"/>
    <w:rsid w:val="00A93C92"/>
    <w:rsid w:val="00A93E40"/>
    <w:rsid w:val="00A94303"/>
    <w:rsid w:val="00A94625"/>
    <w:rsid w:val="00A9488B"/>
    <w:rsid w:val="00A94AA0"/>
    <w:rsid w:val="00A94B56"/>
    <w:rsid w:val="00A94E86"/>
    <w:rsid w:val="00A95237"/>
    <w:rsid w:val="00A95AC5"/>
    <w:rsid w:val="00A95B96"/>
    <w:rsid w:val="00A95E30"/>
    <w:rsid w:val="00A95F0C"/>
    <w:rsid w:val="00A96154"/>
    <w:rsid w:val="00A96703"/>
    <w:rsid w:val="00A967A0"/>
    <w:rsid w:val="00A96F07"/>
    <w:rsid w:val="00A96F10"/>
    <w:rsid w:val="00A970F9"/>
    <w:rsid w:val="00A976AD"/>
    <w:rsid w:val="00A9783D"/>
    <w:rsid w:val="00A97ABD"/>
    <w:rsid w:val="00A97DE5"/>
    <w:rsid w:val="00A97F37"/>
    <w:rsid w:val="00AA04AB"/>
    <w:rsid w:val="00AA067F"/>
    <w:rsid w:val="00AA08EF"/>
    <w:rsid w:val="00AA0A93"/>
    <w:rsid w:val="00AA0AB7"/>
    <w:rsid w:val="00AA0E21"/>
    <w:rsid w:val="00AA0F21"/>
    <w:rsid w:val="00AA15BC"/>
    <w:rsid w:val="00AA1AF1"/>
    <w:rsid w:val="00AA1E56"/>
    <w:rsid w:val="00AA1FD6"/>
    <w:rsid w:val="00AA25CF"/>
    <w:rsid w:val="00AA2728"/>
    <w:rsid w:val="00AA2968"/>
    <w:rsid w:val="00AA2A36"/>
    <w:rsid w:val="00AA2B88"/>
    <w:rsid w:val="00AA2D68"/>
    <w:rsid w:val="00AA2FD1"/>
    <w:rsid w:val="00AA312D"/>
    <w:rsid w:val="00AA350D"/>
    <w:rsid w:val="00AA3A54"/>
    <w:rsid w:val="00AA436E"/>
    <w:rsid w:val="00AA4432"/>
    <w:rsid w:val="00AA4ADE"/>
    <w:rsid w:val="00AA4E77"/>
    <w:rsid w:val="00AA4FEE"/>
    <w:rsid w:val="00AA570C"/>
    <w:rsid w:val="00AA5D89"/>
    <w:rsid w:val="00AA61C3"/>
    <w:rsid w:val="00AA6A8A"/>
    <w:rsid w:val="00AA6C03"/>
    <w:rsid w:val="00AA7967"/>
    <w:rsid w:val="00AA7C4F"/>
    <w:rsid w:val="00AA7FFB"/>
    <w:rsid w:val="00AB04D1"/>
    <w:rsid w:val="00AB0657"/>
    <w:rsid w:val="00AB0F7A"/>
    <w:rsid w:val="00AB14E6"/>
    <w:rsid w:val="00AB1525"/>
    <w:rsid w:val="00AB173B"/>
    <w:rsid w:val="00AB1C58"/>
    <w:rsid w:val="00AB205B"/>
    <w:rsid w:val="00AB21C2"/>
    <w:rsid w:val="00AB22AE"/>
    <w:rsid w:val="00AB2EF4"/>
    <w:rsid w:val="00AB30F7"/>
    <w:rsid w:val="00AB35A8"/>
    <w:rsid w:val="00AB398A"/>
    <w:rsid w:val="00AB3A8A"/>
    <w:rsid w:val="00AB3EFA"/>
    <w:rsid w:val="00AB3FA2"/>
    <w:rsid w:val="00AB4DA7"/>
    <w:rsid w:val="00AB504F"/>
    <w:rsid w:val="00AB5159"/>
    <w:rsid w:val="00AB56DE"/>
    <w:rsid w:val="00AB5AC1"/>
    <w:rsid w:val="00AB5BA9"/>
    <w:rsid w:val="00AB5C1E"/>
    <w:rsid w:val="00AB5E23"/>
    <w:rsid w:val="00AB5E69"/>
    <w:rsid w:val="00AB6077"/>
    <w:rsid w:val="00AB6366"/>
    <w:rsid w:val="00AB63CA"/>
    <w:rsid w:val="00AB64AD"/>
    <w:rsid w:val="00AB656B"/>
    <w:rsid w:val="00AB6CE7"/>
    <w:rsid w:val="00AB70C9"/>
    <w:rsid w:val="00AB737A"/>
    <w:rsid w:val="00AB76C8"/>
    <w:rsid w:val="00AB7FD2"/>
    <w:rsid w:val="00AC0279"/>
    <w:rsid w:val="00AC0617"/>
    <w:rsid w:val="00AC16CC"/>
    <w:rsid w:val="00AC229A"/>
    <w:rsid w:val="00AC2970"/>
    <w:rsid w:val="00AC2A1B"/>
    <w:rsid w:val="00AC2AD8"/>
    <w:rsid w:val="00AC2E1E"/>
    <w:rsid w:val="00AC3127"/>
    <w:rsid w:val="00AC3691"/>
    <w:rsid w:val="00AC37CB"/>
    <w:rsid w:val="00AC39DF"/>
    <w:rsid w:val="00AC3CDC"/>
    <w:rsid w:val="00AC3E9D"/>
    <w:rsid w:val="00AC403C"/>
    <w:rsid w:val="00AC46B8"/>
    <w:rsid w:val="00AC4991"/>
    <w:rsid w:val="00AC4C49"/>
    <w:rsid w:val="00AC4CD9"/>
    <w:rsid w:val="00AC4D4D"/>
    <w:rsid w:val="00AC50A8"/>
    <w:rsid w:val="00AC5166"/>
    <w:rsid w:val="00AC53E2"/>
    <w:rsid w:val="00AC5678"/>
    <w:rsid w:val="00AC5CF8"/>
    <w:rsid w:val="00AC5D23"/>
    <w:rsid w:val="00AC66A5"/>
    <w:rsid w:val="00AC6C36"/>
    <w:rsid w:val="00AC71E3"/>
    <w:rsid w:val="00AC71E7"/>
    <w:rsid w:val="00AC7F06"/>
    <w:rsid w:val="00AD0246"/>
    <w:rsid w:val="00AD03E4"/>
    <w:rsid w:val="00AD0448"/>
    <w:rsid w:val="00AD0620"/>
    <w:rsid w:val="00AD071B"/>
    <w:rsid w:val="00AD08DE"/>
    <w:rsid w:val="00AD0D04"/>
    <w:rsid w:val="00AD1356"/>
    <w:rsid w:val="00AD159A"/>
    <w:rsid w:val="00AD16AD"/>
    <w:rsid w:val="00AD17D5"/>
    <w:rsid w:val="00AD18F3"/>
    <w:rsid w:val="00AD1C92"/>
    <w:rsid w:val="00AD2294"/>
    <w:rsid w:val="00AD2C19"/>
    <w:rsid w:val="00AD2E5A"/>
    <w:rsid w:val="00AD305A"/>
    <w:rsid w:val="00AD3671"/>
    <w:rsid w:val="00AD3FD3"/>
    <w:rsid w:val="00AD404F"/>
    <w:rsid w:val="00AD42C7"/>
    <w:rsid w:val="00AD443A"/>
    <w:rsid w:val="00AD45AF"/>
    <w:rsid w:val="00AD4A62"/>
    <w:rsid w:val="00AD4B79"/>
    <w:rsid w:val="00AD4D82"/>
    <w:rsid w:val="00AD51A3"/>
    <w:rsid w:val="00AD56F0"/>
    <w:rsid w:val="00AD5B5F"/>
    <w:rsid w:val="00AD5DCA"/>
    <w:rsid w:val="00AD6053"/>
    <w:rsid w:val="00AD60C0"/>
    <w:rsid w:val="00AD65C2"/>
    <w:rsid w:val="00AD6C5E"/>
    <w:rsid w:val="00AD6CAF"/>
    <w:rsid w:val="00AD6FD9"/>
    <w:rsid w:val="00AD6FF8"/>
    <w:rsid w:val="00AD77DC"/>
    <w:rsid w:val="00AD78FB"/>
    <w:rsid w:val="00AD7F6F"/>
    <w:rsid w:val="00AE0079"/>
    <w:rsid w:val="00AE007F"/>
    <w:rsid w:val="00AE071D"/>
    <w:rsid w:val="00AE0E24"/>
    <w:rsid w:val="00AE0E88"/>
    <w:rsid w:val="00AE0ED5"/>
    <w:rsid w:val="00AE11D0"/>
    <w:rsid w:val="00AE12E4"/>
    <w:rsid w:val="00AE14DB"/>
    <w:rsid w:val="00AE1AAD"/>
    <w:rsid w:val="00AE1CD5"/>
    <w:rsid w:val="00AE1E78"/>
    <w:rsid w:val="00AE1E9E"/>
    <w:rsid w:val="00AE24DE"/>
    <w:rsid w:val="00AE27B2"/>
    <w:rsid w:val="00AE29AF"/>
    <w:rsid w:val="00AE2C55"/>
    <w:rsid w:val="00AE2D0C"/>
    <w:rsid w:val="00AE2DAF"/>
    <w:rsid w:val="00AE2DF9"/>
    <w:rsid w:val="00AE2E0E"/>
    <w:rsid w:val="00AE30C3"/>
    <w:rsid w:val="00AE3231"/>
    <w:rsid w:val="00AE36E7"/>
    <w:rsid w:val="00AE3950"/>
    <w:rsid w:val="00AE3BBA"/>
    <w:rsid w:val="00AE3D4D"/>
    <w:rsid w:val="00AE3D63"/>
    <w:rsid w:val="00AE3DE4"/>
    <w:rsid w:val="00AE3E0A"/>
    <w:rsid w:val="00AE3E73"/>
    <w:rsid w:val="00AE4048"/>
    <w:rsid w:val="00AE40BC"/>
    <w:rsid w:val="00AE4222"/>
    <w:rsid w:val="00AE42A1"/>
    <w:rsid w:val="00AE4786"/>
    <w:rsid w:val="00AE4846"/>
    <w:rsid w:val="00AE4DCE"/>
    <w:rsid w:val="00AE4E13"/>
    <w:rsid w:val="00AE4F25"/>
    <w:rsid w:val="00AE4F61"/>
    <w:rsid w:val="00AE5044"/>
    <w:rsid w:val="00AE5250"/>
    <w:rsid w:val="00AE58D3"/>
    <w:rsid w:val="00AE61C2"/>
    <w:rsid w:val="00AE62BC"/>
    <w:rsid w:val="00AE6321"/>
    <w:rsid w:val="00AE6A07"/>
    <w:rsid w:val="00AE7BCC"/>
    <w:rsid w:val="00AE7C35"/>
    <w:rsid w:val="00AF07F8"/>
    <w:rsid w:val="00AF0CCE"/>
    <w:rsid w:val="00AF1053"/>
    <w:rsid w:val="00AF11BC"/>
    <w:rsid w:val="00AF1238"/>
    <w:rsid w:val="00AF131C"/>
    <w:rsid w:val="00AF1F07"/>
    <w:rsid w:val="00AF202C"/>
    <w:rsid w:val="00AF22F5"/>
    <w:rsid w:val="00AF2359"/>
    <w:rsid w:val="00AF26B2"/>
    <w:rsid w:val="00AF272C"/>
    <w:rsid w:val="00AF2743"/>
    <w:rsid w:val="00AF2CD6"/>
    <w:rsid w:val="00AF2FC9"/>
    <w:rsid w:val="00AF3381"/>
    <w:rsid w:val="00AF3C65"/>
    <w:rsid w:val="00AF3DAE"/>
    <w:rsid w:val="00AF4193"/>
    <w:rsid w:val="00AF42C7"/>
    <w:rsid w:val="00AF43AE"/>
    <w:rsid w:val="00AF54F6"/>
    <w:rsid w:val="00AF5CF5"/>
    <w:rsid w:val="00AF5F51"/>
    <w:rsid w:val="00AF6051"/>
    <w:rsid w:val="00AF605B"/>
    <w:rsid w:val="00AF6782"/>
    <w:rsid w:val="00AF713A"/>
    <w:rsid w:val="00AF7143"/>
    <w:rsid w:val="00AF741E"/>
    <w:rsid w:val="00AF7871"/>
    <w:rsid w:val="00AF79B8"/>
    <w:rsid w:val="00AF79C0"/>
    <w:rsid w:val="00B00488"/>
    <w:rsid w:val="00B0075F"/>
    <w:rsid w:val="00B010B0"/>
    <w:rsid w:val="00B011F7"/>
    <w:rsid w:val="00B013B4"/>
    <w:rsid w:val="00B01685"/>
    <w:rsid w:val="00B017DB"/>
    <w:rsid w:val="00B01D1E"/>
    <w:rsid w:val="00B0299C"/>
    <w:rsid w:val="00B03F80"/>
    <w:rsid w:val="00B03FFD"/>
    <w:rsid w:val="00B04576"/>
    <w:rsid w:val="00B04B46"/>
    <w:rsid w:val="00B05209"/>
    <w:rsid w:val="00B05A7A"/>
    <w:rsid w:val="00B05BC6"/>
    <w:rsid w:val="00B05D9D"/>
    <w:rsid w:val="00B06ADE"/>
    <w:rsid w:val="00B06B54"/>
    <w:rsid w:val="00B06E4F"/>
    <w:rsid w:val="00B06F38"/>
    <w:rsid w:val="00B07224"/>
    <w:rsid w:val="00B079DB"/>
    <w:rsid w:val="00B07A46"/>
    <w:rsid w:val="00B07AB8"/>
    <w:rsid w:val="00B07C04"/>
    <w:rsid w:val="00B07E97"/>
    <w:rsid w:val="00B07F8C"/>
    <w:rsid w:val="00B101C8"/>
    <w:rsid w:val="00B1045F"/>
    <w:rsid w:val="00B10DDC"/>
    <w:rsid w:val="00B10EA9"/>
    <w:rsid w:val="00B10F9E"/>
    <w:rsid w:val="00B11347"/>
    <w:rsid w:val="00B114E0"/>
    <w:rsid w:val="00B11971"/>
    <w:rsid w:val="00B11B12"/>
    <w:rsid w:val="00B11DF3"/>
    <w:rsid w:val="00B12230"/>
    <w:rsid w:val="00B12427"/>
    <w:rsid w:val="00B13385"/>
    <w:rsid w:val="00B13661"/>
    <w:rsid w:val="00B13C97"/>
    <w:rsid w:val="00B13D16"/>
    <w:rsid w:val="00B13FAF"/>
    <w:rsid w:val="00B13FF0"/>
    <w:rsid w:val="00B14567"/>
    <w:rsid w:val="00B14859"/>
    <w:rsid w:val="00B14912"/>
    <w:rsid w:val="00B14B3D"/>
    <w:rsid w:val="00B14BE3"/>
    <w:rsid w:val="00B14DAA"/>
    <w:rsid w:val="00B15215"/>
    <w:rsid w:val="00B15412"/>
    <w:rsid w:val="00B1594B"/>
    <w:rsid w:val="00B15A50"/>
    <w:rsid w:val="00B16459"/>
    <w:rsid w:val="00B16511"/>
    <w:rsid w:val="00B16601"/>
    <w:rsid w:val="00B1662F"/>
    <w:rsid w:val="00B1665C"/>
    <w:rsid w:val="00B166C3"/>
    <w:rsid w:val="00B166C5"/>
    <w:rsid w:val="00B16703"/>
    <w:rsid w:val="00B169BA"/>
    <w:rsid w:val="00B16E67"/>
    <w:rsid w:val="00B172C0"/>
    <w:rsid w:val="00B17A96"/>
    <w:rsid w:val="00B17AAD"/>
    <w:rsid w:val="00B17AD5"/>
    <w:rsid w:val="00B2031E"/>
    <w:rsid w:val="00B2040A"/>
    <w:rsid w:val="00B205E3"/>
    <w:rsid w:val="00B20777"/>
    <w:rsid w:val="00B2081B"/>
    <w:rsid w:val="00B20B7C"/>
    <w:rsid w:val="00B20B8B"/>
    <w:rsid w:val="00B21036"/>
    <w:rsid w:val="00B21ADD"/>
    <w:rsid w:val="00B220E1"/>
    <w:rsid w:val="00B22672"/>
    <w:rsid w:val="00B226B5"/>
    <w:rsid w:val="00B22787"/>
    <w:rsid w:val="00B22A0F"/>
    <w:rsid w:val="00B22A39"/>
    <w:rsid w:val="00B22BBC"/>
    <w:rsid w:val="00B22CA4"/>
    <w:rsid w:val="00B234BB"/>
    <w:rsid w:val="00B236B6"/>
    <w:rsid w:val="00B23DE4"/>
    <w:rsid w:val="00B24005"/>
    <w:rsid w:val="00B2418A"/>
    <w:rsid w:val="00B241EC"/>
    <w:rsid w:val="00B246E2"/>
    <w:rsid w:val="00B24F05"/>
    <w:rsid w:val="00B25045"/>
    <w:rsid w:val="00B25A2E"/>
    <w:rsid w:val="00B25CC7"/>
    <w:rsid w:val="00B25DA2"/>
    <w:rsid w:val="00B25DB0"/>
    <w:rsid w:val="00B26AD1"/>
    <w:rsid w:val="00B26ECF"/>
    <w:rsid w:val="00B3040A"/>
    <w:rsid w:val="00B30530"/>
    <w:rsid w:val="00B3059E"/>
    <w:rsid w:val="00B30ACC"/>
    <w:rsid w:val="00B30B83"/>
    <w:rsid w:val="00B30C18"/>
    <w:rsid w:val="00B30FDF"/>
    <w:rsid w:val="00B312BE"/>
    <w:rsid w:val="00B31494"/>
    <w:rsid w:val="00B31E3B"/>
    <w:rsid w:val="00B320BB"/>
    <w:rsid w:val="00B323C8"/>
    <w:rsid w:val="00B32764"/>
    <w:rsid w:val="00B32D8E"/>
    <w:rsid w:val="00B33436"/>
    <w:rsid w:val="00B33CD7"/>
    <w:rsid w:val="00B340BD"/>
    <w:rsid w:val="00B341A3"/>
    <w:rsid w:val="00B347C8"/>
    <w:rsid w:val="00B34B19"/>
    <w:rsid w:val="00B34E56"/>
    <w:rsid w:val="00B35368"/>
    <w:rsid w:val="00B353DC"/>
    <w:rsid w:val="00B3556A"/>
    <w:rsid w:val="00B355EA"/>
    <w:rsid w:val="00B3573A"/>
    <w:rsid w:val="00B358A5"/>
    <w:rsid w:val="00B3591F"/>
    <w:rsid w:val="00B35E1D"/>
    <w:rsid w:val="00B35F65"/>
    <w:rsid w:val="00B36046"/>
    <w:rsid w:val="00B36131"/>
    <w:rsid w:val="00B361E3"/>
    <w:rsid w:val="00B36381"/>
    <w:rsid w:val="00B36681"/>
    <w:rsid w:val="00B36B36"/>
    <w:rsid w:val="00B36E18"/>
    <w:rsid w:val="00B36EC0"/>
    <w:rsid w:val="00B36F01"/>
    <w:rsid w:val="00B372BE"/>
    <w:rsid w:val="00B373FA"/>
    <w:rsid w:val="00B37491"/>
    <w:rsid w:val="00B37EC0"/>
    <w:rsid w:val="00B405CA"/>
    <w:rsid w:val="00B40779"/>
    <w:rsid w:val="00B407A1"/>
    <w:rsid w:val="00B408FF"/>
    <w:rsid w:val="00B409D3"/>
    <w:rsid w:val="00B40A9C"/>
    <w:rsid w:val="00B416CD"/>
    <w:rsid w:val="00B419E0"/>
    <w:rsid w:val="00B41D84"/>
    <w:rsid w:val="00B429BD"/>
    <w:rsid w:val="00B42A4B"/>
    <w:rsid w:val="00B42A59"/>
    <w:rsid w:val="00B42B4B"/>
    <w:rsid w:val="00B42D2B"/>
    <w:rsid w:val="00B42E24"/>
    <w:rsid w:val="00B42E4C"/>
    <w:rsid w:val="00B42EE5"/>
    <w:rsid w:val="00B4313A"/>
    <w:rsid w:val="00B432B6"/>
    <w:rsid w:val="00B4357F"/>
    <w:rsid w:val="00B444C6"/>
    <w:rsid w:val="00B45050"/>
    <w:rsid w:val="00B45360"/>
    <w:rsid w:val="00B45666"/>
    <w:rsid w:val="00B459AA"/>
    <w:rsid w:val="00B45B84"/>
    <w:rsid w:val="00B45C96"/>
    <w:rsid w:val="00B46411"/>
    <w:rsid w:val="00B46445"/>
    <w:rsid w:val="00B465BB"/>
    <w:rsid w:val="00B466ED"/>
    <w:rsid w:val="00B4677D"/>
    <w:rsid w:val="00B46A03"/>
    <w:rsid w:val="00B46E2A"/>
    <w:rsid w:val="00B46FF3"/>
    <w:rsid w:val="00B474BE"/>
    <w:rsid w:val="00B47D88"/>
    <w:rsid w:val="00B47EA5"/>
    <w:rsid w:val="00B47F92"/>
    <w:rsid w:val="00B507F4"/>
    <w:rsid w:val="00B50A72"/>
    <w:rsid w:val="00B50BE7"/>
    <w:rsid w:val="00B50C46"/>
    <w:rsid w:val="00B50DFB"/>
    <w:rsid w:val="00B51272"/>
    <w:rsid w:val="00B512B7"/>
    <w:rsid w:val="00B51AB1"/>
    <w:rsid w:val="00B51B99"/>
    <w:rsid w:val="00B51E27"/>
    <w:rsid w:val="00B51EA9"/>
    <w:rsid w:val="00B52316"/>
    <w:rsid w:val="00B523BE"/>
    <w:rsid w:val="00B52796"/>
    <w:rsid w:val="00B5326F"/>
    <w:rsid w:val="00B534C5"/>
    <w:rsid w:val="00B53CAD"/>
    <w:rsid w:val="00B53CC4"/>
    <w:rsid w:val="00B53F15"/>
    <w:rsid w:val="00B548DA"/>
    <w:rsid w:val="00B54CB5"/>
    <w:rsid w:val="00B54FC8"/>
    <w:rsid w:val="00B551A8"/>
    <w:rsid w:val="00B55610"/>
    <w:rsid w:val="00B55745"/>
    <w:rsid w:val="00B55B8A"/>
    <w:rsid w:val="00B55F74"/>
    <w:rsid w:val="00B56320"/>
    <w:rsid w:val="00B56774"/>
    <w:rsid w:val="00B56D0B"/>
    <w:rsid w:val="00B56E16"/>
    <w:rsid w:val="00B56E97"/>
    <w:rsid w:val="00B57930"/>
    <w:rsid w:val="00B60085"/>
    <w:rsid w:val="00B601E8"/>
    <w:rsid w:val="00B60231"/>
    <w:rsid w:val="00B60CF3"/>
    <w:rsid w:val="00B610BF"/>
    <w:rsid w:val="00B61146"/>
    <w:rsid w:val="00B61417"/>
    <w:rsid w:val="00B61A3F"/>
    <w:rsid w:val="00B61BF8"/>
    <w:rsid w:val="00B62397"/>
    <w:rsid w:val="00B62A78"/>
    <w:rsid w:val="00B62B34"/>
    <w:rsid w:val="00B62E2D"/>
    <w:rsid w:val="00B632E4"/>
    <w:rsid w:val="00B63902"/>
    <w:rsid w:val="00B63C8A"/>
    <w:rsid w:val="00B64B75"/>
    <w:rsid w:val="00B64FC3"/>
    <w:rsid w:val="00B652CE"/>
    <w:rsid w:val="00B658AB"/>
    <w:rsid w:val="00B65ACB"/>
    <w:rsid w:val="00B66110"/>
    <w:rsid w:val="00B664FA"/>
    <w:rsid w:val="00B66564"/>
    <w:rsid w:val="00B66588"/>
    <w:rsid w:val="00B675A0"/>
    <w:rsid w:val="00B6760B"/>
    <w:rsid w:val="00B67C36"/>
    <w:rsid w:val="00B704D8"/>
    <w:rsid w:val="00B70585"/>
    <w:rsid w:val="00B706F1"/>
    <w:rsid w:val="00B7098B"/>
    <w:rsid w:val="00B70AF6"/>
    <w:rsid w:val="00B70BA2"/>
    <w:rsid w:val="00B71238"/>
    <w:rsid w:val="00B7170A"/>
    <w:rsid w:val="00B7177F"/>
    <w:rsid w:val="00B71BE0"/>
    <w:rsid w:val="00B71C62"/>
    <w:rsid w:val="00B71F86"/>
    <w:rsid w:val="00B7218D"/>
    <w:rsid w:val="00B724AA"/>
    <w:rsid w:val="00B7255C"/>
    <w:rsid w:val="00B72C67"/>
    <w:rsid w:val="00B73480"/>
    <w:rsid w:val="00B736D0"/>
    <w:rsid w:val="00B73F35"/>
    <w:rsid w:val="00B73F70"/>
    <w:rsid w:val="00B73FE5"/>
    <w:rsid w:val="00B743B8"/>
    <w:rsid w:val="00B74696"/>
    <w:rsid w:val="00B746DB"/>
    <w:rsid w:val="00B74BB2"/>
    <w:rsid w:val="00B75113"/>
    <w:rsid w:val="00B753F2"/>
    <w:rsid w:val="00B755C4"/>
    <w:rsid w:val="00B75F79"/>
    <w:rsid w:val="00B760F2"/>
    <w:rsid w:val="00B761EF"/>
    <w:rsid w:val="00B7667E"/>
    <w:rsid w:val="00B76D12"/>
    <w:rsid w:val="00B77F2B"/>
    <w:rsid w:val="00B8041E"/>
    <w:rsid w:val="00B80900"/>
    <w:rsid w:val="00B80C4A"/>
    <w:rsid w:val="00B80EBE"/>
    <w:rsid w:val="00B810C4"/>
    <w:rsid w:val="00B81192"/>
    <w:rsid w:val="00B817DD"/>
    <w:rsid w:val="00B81957"/>
    <w:rsid w:val="00B81C97"/>
    <w:rsid w:val="00B825C7"/>
    <w:rsid w:val="00B82994"/>
    <w:rsid w:val="00B829E1"/>
    <w:rsid w:val="00B8345D"/>
    <w:rsid w:val="00B83AF2"/>
    <w:rsid w:val="00B83C8A"/>
    <w:rsid w:val="00B84225"/>
    <w:rsid w:val="00B84617"/>
    <w:rsid w:val="00B84648"/>
    <w:rsid w:val="00B84795"/>
    <w:rsid w:val="00B84833"/>
    <w:rsid w:val="00B84D44"/>
    <w:rsid w:val="00B85443"/>
    <w:rsid w:val="00B85582"/>
    <w:rsid w:val="00B85778"/>
    <w:rsid w:val="00B85C20"/>
    <w:rsid w:val="00B85CFF"/>
    <w:rsid w:val="00B86377"/>
    <w:rsid w:val="00B86402"/>
    <w:rsid w:val="00B86544"/>
    <w:rsid w:val="00B8671B"/>
    <w:rsid w:val="00B86790"/>
    <w:rsid w:val="00B86D91"/>
    <w:rsid w:val="00B86EB3"/>
    <w:rsid w:val="00B870F1"/>
    <w:rsid w:val="00B87676"/>
    <w:rsid w:val="00B8776E"/>
    <w:rsid w:val="00B87C53"/>
    <w:rsid w:val="00B87E2D"/>
    <w:rsid w:val="00B906AF"/>
    <w:rsid w:val="00B907AF"/>
    <w:rsid w:val="00B9093D"/>
    <w:rsid w:val="00B90CF8"/>
    <w:rsid w:val="00B913BA"/>
    <w:rsid w:val="00B917FF"/>
    <w:rsid w:val="00B91844"/>
    <w:rsid w:val="00B91BD0"/>
    <w:rsid w:val="00B91FB6"/>
    <w:rsid w:val="00B920CE"/>
    <w:rsid w:val="00B92404"/>
    <w:rsid w:val="00B927F8"/>
    <w:rsid w:val="00B92DD4"/>
    <w:rsid w:val="00B92F97"/>
    <w:rsid w:val="00B93187"/>
    <w:rsid w:val="00B932BF"/>
    <w:rsid w:val="00B93726"/>
    <w:rsid w:val="00B93A61"/>
    <w:rsid w:val="00B93FE8"/>
    <w:rsid w:val="00B9411E"/>
    <w:rsid w:val="00B94725"/>
    <w:rsid w:val="00B94914"/>
    <w:rsid w:val="00B94FC8"/>
    <w:rsid w:val="00B957EF"/>
    <w:rsid w:val="00B95B30"/>
    <w:rsid w:val="00B96270"/>
    <w:rsid w:val="00B962E1"/>
    <w:rsid w:val="00B96557"/>
    <w:rsid w:val="00B96858"/>
    <w:rsid w:val="00B96925"/>
    <w:rsid w:val="00B96CCD"/>
    <w:rsid w:val="00B97062"/>
    <w:rsid w:val="00B97711"/>
    <w:rsid w:val="00B97852"/>
    <w:rsid w:val="00BA0212"/>
    <w:rsid w:val="00BA0252"/>
    <w:rsid w:val="00BA03E0"/>
    <w:rsid w:val="00BA07F4"/>
    <w:rsid w:val="00BA084F"/>
    <w:rsid w:val="00BA0891"/>
    <w:rsid w:val="00BA0B4C"/>
    <w:rsid w:val="00BA0C9D"/>
    <w:rsid w:val="00BA0F5F"/>
    <w:rsid w:val="00BA12FB"/>
    <w:rsid w:val="00BA16F2"/>
    <w:rsid w:val="00BA1ECD"/>
    <w:rsid w:val="00BA2521"/>
    <w:rsid w:val="00BA2959"/>
    <w:rsid w:val="00BA30D0"/>
    <w:rsid w:val="00BA33DC"/>
    <w:rsid w:val="00BA34C3"/>
    <w:rsid w:val="00BA4340"/>
    <w:rsid w:val="00BA44B2"/>
    <w:rsid w:val="00BA44CD"/>
    <w:rsid w:val="00BA459A"/>
    <w:rsid w:val="00BA4912"/>
    <w:rsid w:val="00BA4989"/>
    <w:rsid w:val="00BA5225"/>
    <w:rsid w:val="00BA5375"/>
    <w:rsid w:val="00BA5C5E"/>
    <w:rsid w:val="00BA6887"/>
    <w:rsid w:val="00BA698F"/>
    <w:rsid w:val="00BA6B57"/>
    <w:rsid w:val="00BA6EE4"/>
    <w:rsid w:val="00BA7525"/>
    <w:rsid w:val="00BA75C9"/>
    <w:rsid w:val="00BA7D9E"/>
    <w:rsid w:val="00BA7E82"/>
    <w:rsid w:val="00BA7F7E"/>
    <w:rsid w:val="00BB01F0"/>
    <w:rsid w:val="00BB026D"/>
    <w:rsid w:val="00BB0353"/>
    <w:rsid w:val="00BB051A"/>
    <w:rsid w:val="00BB09AD"/>
    <w:rsid w:val="00BB0D5E"/>
    <w:rsid w:val="00BB0DF0"/>
    <w:rsid w:val="00BB0E9C"/>
    <w:rsid w:val="00BB0EF2"/>
    <w:rsid w:val="00BB1281"/>
    <w:rsid w:val="00BB1617"/>
    <w:rsid w:val="00BB178B"/>
    <w:rsid w:val="00BB185F"/>
    <w:rsid w:val="00BB18BF"/>
    <w:rsid w:val="00BB1A34"/>
    <w:rsid w:val="00BB1EA7"/>
    <w:rsid w:val="00BB2309"/>
    <w:rsid w:val="00BB2541"/>
    <w:rsid w:val="00BB2812"/>
    <w:rsid w:val="00BB2862"/>
    <w:rsid w:val="00BB2F04"/>
    <w:rsid w:val="00BB2F09"/>
    <w:rsid w:val="00BB376F"/>
    <w:rsid w:val="00BB37EE"/>
    <w:rsid w:val="00BB3A86"/>
    <w:rsid w:val="00BB3C9B"/>
    <w:rsid w:val="00BB3FBE"/>
    <w:rsid w:val="00BB4436"/>
    <w:rsid w:val="00BB469D"/>
    <w:rsid w:val="00BB47CA"/>
    <w:rsid w:val="00BB497F"/>
    <w:rsid w:val="00BB4D62"/>
    <w:rsid w:val="00BB4DD0"/>
    <w:rsid w:val="00BB4EAA"/>
    <w:rsid w:val="00BB51A8"/>
    <w:rsid w:val="00BB624A"/>
    <w:rsid w:val="00BB63AE"/>
    <w:rsid w:val="00BB6A3C"/>
    <w:rsid w:val="00BB6C39"/>
    <w:rsid w:val="00BB6D20"/>
    <w:rsid w:val="00BB6FB5"/>
    <w:rsid w:val="00BB6FE5"/>
    <w:rsid w:val="00BB7280"/>
    <w:rsid w:val="00BB7898"/>
    <w:rsid w:val="00BB7BEE"/>
    <w:rsid w:val="00BC03E6"/>
    <w:rsid w:val="00BC0B69"/>
    <w:rsid w:val="00BC0C2E"/>
    <w:rsid w:val="00BC0F06"/>
    <w:rsid w:val="00BC10C5"/>
    <w:rsid w:val="00BC163D"/>
    <w:rsid w:val="00BC1BCF"/>
    <w:rsid w:val="00BC1D5B"/>
    <w:rsid w:val="00BC1E50"/>
    <w:rsid w:val="00BC2D2F"/>
    <w:rsid w:val="00BC3059"/>
    <w:rsid w:val="00BC39FB"/>
    <w:rsid w:val="00BC3A3F"/>
    <w:rsid w:val="00BC3B32"/>
    <w:rsid w:val="00BC3F58"/>
    <w:rsid w:val="00BC44AF"/>
    <w:rsid w:val="00BC4677"/>
    <w:rsid w:val="00BC4B10"/>
    <w:rsid w:val="00BC4DFA"/>
    <w:rsid w:val="00BC4F83"/>
    <w:rsid w:val="00BC5803"/>
    <w:rsid w:val="00BC5824"/>
    <w:rsid w:val="00BC5964"/>
    <w:rsid w:val="00BC5DC6"/>
    <w:rsid w:val="00BC69F4"/>
    <w:rsid w:val="00BC6C61"/>
    <w:rsid w:val="00BC6ED1"/>
    <w:rsid w:val="00BC72CF"/>
    <w:rsid w:val="00BC7D68"/>
    <w:rsid w:val="00BD0219"/>
    <w:rsid w:val="00BD0B81"/>
    <w:rsid w:val="00BD0D07"/>
    <w:rsid w:val="00BD0EA2"/>
    <w:rsid w:val="00BD1A42"/>
    <w:rsid w:val="00BD1A94"/>
    <w:rsid w:val="00BD1AFC"/>
    <w:rsid w:val="00BD1BB3"/>
    <w:rsid w:val="00BD1D7F"/>
    <w:rsid w:val="00BD20D3"/>
    <w:rsid w:val="00BD2240"/>
    <w:rsid w:val="00BD2299"/>
    <w:rsid w:val="00BD243F"/>
    <w:rsid w:val="00BD29AC"/>
    <w:rsid w:val="00BD29E8"/>
    <w:rsid w:val="00BD2BD5"/>
    <w:rsid w:val="00BD31A1"/>
    <w:rsid w:val="00BD37C1"/>
    <w:rsid w:val="00BD38AB"/>
    <w:rsid w:val="00BD434E"/>
    <w:rsid w:val="00BD47AD"/>
    <w:rsid w:val="00BD52AB"/>
    <w:rsid w:val="00BD57E2"/>
    <w:rsid w:val="00BD5B79"/>
    <w:rsid w:val="00BD5CC8"/>
    <w:rsid w:val="00BD625C"/>
    <w:rsid w:val="00BD663C"/>
    <w:rsid w:val="00BD674F"/>
    <w:rsid w:val="00BD67D9"/>
    <w:rsid w:val="00BD6940"/>
    <w:rsid w:val="00BD6EFC"/>
    <w:rsid w:val="00BD7109"/>
    <w:rsid w:val="00BD7AB8"/>
    <w:rsid w:val="00BD7EE9"/>
    <w:rsid w:val="00BD7F62"/>
    <w:rsid w:val="00BE003F"/>
    <w:rsid w:val="00BE0091"/>
    <w:rsid w:val="00BE0884"/>
    <w:rsid w:val="00BE13A5"/>
    <w:rsid w:val="00BE14A8"/>
    <w:rsid w:val="00BE1807"/>
    <w:rsid w:val="00BE1AE7"/>
    <w:rsid w:val="00BE200B"/>
    <w:rsid w:val="00BE2744"/>
    <w:rsid w:val="00BE2806"/>
    <w:rsid w:val="00BE364E"/>
    <w:rsid w:val="00BE38ED"/>
    <w:rsid w:val="00BE38F9"/>
    <w:rsid w:val="00BE3AC0"/>
    <w:rsid w:val="00BE3AEE"/>
    <w:rsid w:val="00BE3F8A"/>
    <w:rsid w:val="00BE3FE6"/>
    <w:rsid w:val="00BE489B"/>
    <w:rsid w:val="00BE4B0B"/>
    <w:rsid w:val="00BE4F08"/>
    <w:rsid w:val="00BE4F4C"/>
    <w:rsid w:val="00BE574C"/>
    <w:rsid w:val="00BE57D7"/>
    <w:rsid w:val="00BE581E"/>
    <w:rsid w:val="00BE5F66"/>
    <w:rsid w:val="00BE60E8"/>
    <w:rsid w:val="00BE6389"/>
    <w:rsid w:val="00BE63EB"/>
    <w:rsid w:val="00BE65D4"/>
    <w:rsid w:val="00BE690E"/>
    <w:rsid w:val="00BE7A5E"/>
    <w:rsid w:val="00BE7B18"/>
    <w:rsid w:val="00BE7BF8"/>
    <w:rsid w:val="00BE7C62"/>
    <w:rsid w:val="00BE7F4A"/>
    <w:rsid w:val="00BF065D"/>
    <w:rsid w:val="00BF0888"/>
    <w:rsid w:val="00BF09AB"/>
    <w:rsid w:val="00BF0B3F"/>
    <w:rsid w:val="00BF0C7D"/>
    <w:rsid w:val="00BF0CBF"/>
    <w:rsid w:val="00BF1244"/>
    <w:rsid w:val="00BF13D5"/>
    <w:rsid w:val="00BF174C"/>
    <w:rsid w:val="00BF1996"/>
    <w:rsid w:val="00BF1B97"/>
    <w:rsid w:val="00BF1E38"/>
    <w:rsid w:val="00BF217A"/>
    <w:rsid w:val="00BF2532"/>
    <w:rsid w:val="00BF2594"/>
    <w:rsid w:val="00BF282F"/>
    <w:rsid w:val="00BF2BA8"/>
    <w:rsid w:val="00BF2C4B"/>
    <w:rsid w:val="00BF349A"/>
    <w:rsid w:val="00BF3A66"/>
    <w:rsid w:val="00BF3AF4"/>
    <w:rsid w:val="00BF466E"/>
    <w:rsid w:val="00BF47F9"/>
    <w:rsid w:val="00BF4CF8"/>
    <w:rsid w:val="00BF55FE"/>
    <w:rsid w:val="00BF5745"/>
    <w:rsid w:val="00BF5C72"/>
    <w:rsid w:val="00BF60DC"/>
    <w:rsid w:val="00BF64DD"/>
    <w:rsid w:val="00BF710A"/>
    <w:rsid w:val="00BF736D"/>
    <w:rsid w:val="00BF7BF9"/>
    <w:rsid w:val="00C002C8"/>
    <w:rsid w:val="00C0069A"/>
    <w:rsid w:val="00C009DC"/>
    <w:rsid w:val="00C00C24"/>
    <w:rsid w:val="00C00D04"/>
    <w:rsid w:val="00C00D55"/>
    <w:rsid w:val="00C00E54"/>
    <w:rsid w:val="00C01151"/>
    <w:rsid w:val="00C012C4"/>
    <w:rsid w:val="00C0170B"/>
    <w:rsid w:val="00C01993"/>
    <w:rsid w:val="00C02367"/>
    <w:rsid w:val="00C037C4"/>
    <w:rsid w:val="00C0382A"/>
    <w:rsid w:val="00C03915"/>
    <w:rsid w:val="00C04105"/>
    <w:rsid w:val="00C04B7D"/>
    <w:rsid w:val="00C04C01"/>
    <w:rsid w:val="00C04D4E"/>
    <w:rsid w:val="00C04DC3"/>
    <w:rsid w:val="00C051F8"/>
    <w:rsid w:val="00C05B63"/>
    <w:rsid w:val="00C05C14"/>
    <w:rsid w:val="00C05C93"/>
    <w:rsid w:val="00C0615B"/>
    <w:rsid w:val="00C069E4"/>
    <w:rsid w:val="00C06BE1"/>
    <w:rsid w:val="00C06D24"/>
    <w:rsid w:val="00C0712D"/>
    <w:rsid w:val="00C0755D"/>
    <w:rsid w:val="00C0776C"/>
    <w:rsid w:val="00C07848"/>
    <w:rsid w:val="00C0784B"/>
    <w:rsid w:val="00C07A1C"/>
    <w:rsid w:val="00C11002"/>
    <w:rsid w:val="00C11016"/>
    <w:rsid w:val="00C11759"/>
    <w:rsid w:val="00C11870"/>
    <w:rsid w:val="00C11A1A"/>
    <w:rsid w:val="00C11A42"/>
    <w:rsid w:val="00C120A7"/>
    <w:rsid w:val="00C12526"/>
    <w:rsid w:val="00C12652"/>
    <w:rsid w:val="00C12952"/>
    <w:rsid w:val="00C12A42"/>
    <w:rsid w:val="00C12C6A"/>
    <w:rsid w:val="00C1394F"/>
    <w:rsid w:val="00C13CEF"/>
    <w:rsid w:val="00C13E8F"/>
    <w:rsid w:val="00C1408A"/>
    <w:rsid w:val="00C1426B"/>
    <w:rsid w:val="00C14271"/>
    <w:rsid w:val="00C14400"/>
    <w:rsid w:val="00C14799"/>
    <w:rsid w:val="00C1490D"/>
    <w:rsid w:val="00C1496C"/>
    <w:rsid w:val="00C14AE6"/>
    <w:rsid w:val="00C14B5A"/>
    <w:rsid w:val="00C14BD3"/>
    <w:rsid w:val="00C14C85"/>
    <w:rsid w:val="00C152F0"/>
    <w:rsid w:val="00C15888"/>
    <w:rsid w:val="00C15982"/>
    <w:rsid w:val="00C15A33"/>
    <w:rsid w:val="00C15A44"/>
    <w:rsid w:val="00C15B99"/>
    <w:rsid w:val="00C1690F"/>
    <w:rsid w:val="00C1694D"/>
    <w:rsid w:val="00C16B29"/>
    <w:rsid w:val="00C17282"/>
    <w:rsid w:val="00C17DDB"/>
    <w:rsid w:val="00C17ED0"/>
    <w:rsid w:val="00C17F6A"/>
    <w:rsid w:val="00C2051E"/>
    <w:rsid w:val="00C2058A"/>
    <w:rsid w:val="00C208F3"/>
    <w:rsid w:val="00C208FF"/>
    <w:rsid w:val="00C20DDA"/>
    <w:rsid w:val="00C21399"/>
    <w:rsid w:val="00C21443"/>
    <w:rsid w:val="00C218F3"/>
    <w:rsid w:val="00C21AFE"/>
    <w:rsid w:val="00C21B4B"/>
    <w:rsid w:val="00C21F5D"/>
    <w:rsid w:val="00C22251"/>
    <w:rsid w:val="00C22C9E"/>
    <w:rsid w:val="00C22E8C"/>
    <w:rsid w:val="00C238A1"/>
    <w:rsid w:val="00C23C6A"/>
    <w:rsid w:val="00C240B8"/>
    <w:rsid w:val="00C2438B"/>
    <w:rsid w:val="00C246FE"/>
    <w:rsid w:val="00C24881"/>
    <w:rsid w:val="00C24921"/>
    <w:rsid w:val="00C24C04"/>
    <w:rsid w:val="00C24F16"/>
    <w:rsid w:val="00C25289"/>
    <w:rsid w:val="00C253E8"/>
    <w:rsid w:val="00C2578F"/>
    <w:rsid w:val="00C258A6"/>
    <w:rsid w:val="00C2673E"/>
    <w:rsid w:val="00C26910"/>
    <w:rsid w:val="00C26ACD"/>
    <w:rsid w:val="00C27412"/>
    <w:rsid w:val="00C30189"/>
    <w:rsid w:val="00C30A7E"/>
    <w:rsid w:val="00C30BF9"/>
    <w:rsid w:val="00C30CBA"/>
    <w:rsid w:val="00C30D23"/>
    <w:rsid w:val="00C31172"/>
    <w:rsid w:val="00C312ED"/>
    <w:rsid w:val="00C316B7"/>
    <w:rsid w:val="00C31938"/>
    <w:rsid w:val="00C31AE8"/>
    <w:rsid w:val="00C31F9A"/>
    <w:rsid w:val="00C31FC8"/>
    <w:rsid w:val="00C3213A"/>
    <w:rsid w:val="00C322D8"/>
    <w:rsid w:val="00C32573"/>
    <w:rsid w:val="00C32764"/>
    <w:rsid w:val="00C33AAE"/>
    <w:rsid w:val="00C33D35"/>
    <w:rsid w:val="00C3408D"/>
    <w:rsid w:val="00C34172"/>
    <w:rsid w:val="00C3438A"/>
    <w:rsid w:val="00C34978"/>
    <w:rsid w:val="00C349C7"/>
    <w:rsid w:val="00C349F7"/>
    <w:rsid w:val="00C34BEC"/>
    <w:rsid w:val="00C34C1E"/>
    <w:rsid w:val="00C3514F"/>
    <w:rsid w:val="00C358A6"/>
    <w:rsid w:val="00C35DD5"/>
    <w:rsid w:val="00C3671F"/>
    <w:rsid w:val="00C36B1A"/>
    <w:rsid w:val="00C36B25"/>
    <w:rsid w:val="00C36BE2"/>
    <w:rsid w:val="00C36CAC"/>
    <w:rsid w:val="00C36DC3"/>
    <w:rsid w:val="00C36DF6"/>
    <w:rsid w:val="00C37136"/>
    <w:rsid w:val="00C3767C"/>
    <w:rsid w:val="00C37BA7"/>
    <w:rsid w:val="00C37F63"/>
    <w:rsid w:val="00C4013E"/>
    <w:rsid w:val="00C403F7"/>
    <w:rsid w:val="00C407B4"/>
    <w:rsid w:val="00C40B50"/>
    <w:rsid w:val="00C40D45"/>
    <w:rsid w:val="00C4122F"/>
    <w:rsid w:val="00C415FF"/>
    <w:rsid w:val="00C41C12"/>
    <w:rsid w:val="00C42173"/>
    <w:rsid w:val="00C4241D"/>
    <w:rsid w:val="00C425EC"/>
    <w:rsid w:val="00C42764"/>
    <w:rsid w:val="00C42774"/>
    <w:rsid w:val="00C42817"/>
    <w:rsid w:val="00C429F0"/>
    <w:rsid w:val="00C42B62"/>
    <w:rsid w:val="00C430E1"/>
    <w:rsid w:val="00C430EA"/>
    <w:rsid w:val="00C431AF"/>
    <w:rsid w:val="00C431B4"/>
    <w:rsid w:val="00C43663"/>
    <w:rsid w:val="00C44430"/>
    <w:rsid w:val="00C44473"/>
    <w:rsid w:val="00C4473B"/>
    <w:rsid w:val="00C449B3"/>
    <w:rsid w:val="00C44B3E"/>
    <w:rsid w:val="00C45099"/>
    <w:rsid w:val="00C45120"/>
    <w:rsid w:val="00C45A9A"/>
    <w:rsid w:val="00C45F1E"/>
    <w:rsid w:val="00C460F1"/>
    <w:rsid w:val="00C460F5"/>
    <w:rsid w:val="00C46A56"/>
    <w:rsid w:val="00C47209"/>
    <w:rsid w:val="00C472B1"/>
    <w:rsid w:val="00C4738A"/>
    <w:rsid w:val="00C477FF"/>
    <w:rsid w:val="00C47C23"/>
    <w:rsid w:val="00C47EDC"/>
    <w:rsid w:val="00C47EE9"/>
    <w:rsid w:val="00C503A0"/>
    <w:rsid w:val="00C504E0"/>
    <w:rsid w:val="00C5054A"/>
    <w:rsid w:val="00C506FC"/>
    <w:rsid w:val="00C50A71"/>
    <w:rsid w:val="00C50AA6"/>
    <w:rsid w:val="00C50DB4"/>
    <w:rsid w:val="00C51B18"/>
    <w:rsid w:val="00C520ED"/>
    <w:rsid w:val="00C52137"/>
    <w:rsid w:val="00C52153"/>
    <w:rsid w:val="00C52419"/>
    <w:rsid w:val="00C524E2"/>
    <w:rsid w:val="00C5257B"/>
    <w:rsid w:val="00C529A5"/>
    <w:rsid w:val="00C52D07"/>
    <w:rsid w:val="00C53561"/>
    <w:rsid w:val="00C535CC"/>
    <w:rsid w:val="00C54003"/>
    <w:rsid w:val="00C544C1"/>
    <w:rsid w:val="00C5488A"/>
    <w:rsid w:val="00C54921"/>
    <w:rsid w:val="00C54B51"/>
    <w:rsid w:val="00C55342"/>
    <w:rsid w:val="00C554B7"/>
    <w:rsid w:val="00C5587B"/>
    <w:rsid w:val="00C559CE"/>
    <w:rsid w:val="00C55B5E"/>
    <w:rsid w:val="00C55B6C"/>
    <w:rsid w:val="00C55BA3"/>
    <w:rsid w:val="00C55E88"/>
    <w:rsid w:val="00C566CE"/>
    <w:rsid w:val="00C575A5"/>
    <w:rsid w:val="00C57638"/>
    <w:rsid w:val="00C60140"/>
    <w:rsid w:val="00C60205"/>
    <w:rsid w:val="00C602BB"/>
    <w:rsid w:val="00C603D8"/>
    <w:rsid w:val="00C605A9"/>
    <w:rsid w:val="00C606B9"/>
    <w:rsid w:val="00C60709"/>
    <w:rsid w:val="00C61F16"/>
    <w:rsid w:val="00C622FA"/>
    <w:rsid w:val="00C62388"/>
    <w:rsid w:val="00C624FE"/>
    <w:rsid w:val="00C62864"/>
    <w:rsid w:val="00C628B4"/>
    <w:rsid w:val="00C6305A"/>
    <w:rsid w:val="00C63230"/>
    <w:rsid w:val="00C63335"/>
    <w:rsid w:val="00C63573"/>
    <w:rsid w:val="00C6391B"/>
    <w:rsid w:val="00C63BBE"/>
    <w:rsid w:val="00C64033"/>
    <w:rsid w:val="00C64A9D"/>
    <w:rsid w:val="00C64B93"/>
    <w:rsid w:val="00C64D0E"/>
    <w:rsid w:val="00C64E26"/>
    <w:rsid w:val="00C64E88"/>
    <w:rsid w:val="00C64ED8"/>
    <w:rsid w:val="00C6515D"/>
    <w:rsid w:val="00C65C2E"/>
    <w:rsid w:val="00C6615D"/>
    <w:rsid w:val="00C66824"/>
    <w:rsid w:val="00C66EB0"/>
    <w:rsid w:val="00C673F2"/>
    <w:rsid w:val="00C67575"/>
    <w:rsid w:val="00C677D3"/>
    <w:rsid w:val="00C67D1E"/>
    <w:rsid w:val="00C7012B"/>
    <w:rsid w:val="00C70258"/>
    <w:rsid w:val="00C7075A"/>
    <w:rsid w:val="00C70A11"/>
    <w:rsid w:val="00C70E9A"/>
    <w:rsid w:val="00C7135F"/>
    <w:rsid w:val="00C71863"/>
    <w:rsid w:val="00C719AC"/>
    <w:rsid w:val="00C71C07"/>
    <w:rsid w:val="00C71E87"/>
    <w:rsid w:val="00C7210B"/>
    <w:rsid w:val="00C721AF"/>
    <w:rsid w:val="00C722B4"/>
    <w:rsid w:val="00C72729"/>
    <w:rsid w:val="00C72D03"/>
    <w:rsid w:val="00C72E40"/>
    <w:rsid w:val="00C72E65"/>
    <w:rsid w:val="00C731A5"/>
    <w:rsid w:val="00C73324"/>
    <w:rsid w:val="00C749DE"/>
    <w:rsid w:val="00C74BB2"/>
    <w:rsid w:val="00C74DDA"/>
    <w:rsid w:val="00C751C6"/>
    <w:rsid w:val="00C753E4"/>
    <w:rsid w:val="00C75425"/>
    <w:rsid w:val="00C755F2"/>
    <w:rsid w:val="00C75972"/>
    <w:rsid w:val="00C759BD"/>
    <w:rsid w:val="00C75D80"/>
    <w:rsid w:val="00C75DF2"/>
    <w:rsid w:val="00C76044"/>
    <w:rsid w:val="00C76247"/>
    <w:rsid w:val="00C76338"/>
    <w:rsid w:val="00C763EE"/>
    <w:rsid w:val="00C7647D"/>
    <w:rsid w:val="00C76548"/>
    <w:rsid w:val="00C766D1"/>
    <w:rsid w:val="00C76799"/>
    <w:rsid w:val="00C76C1F"/>
    <w:rsid w:val="00C77002"/>
    <w:rsid w:val="00C80136"/>
    <w:rsid w:val="00C8052B"/>
    <w:rsid w:val="00C808A1"/>
    <w:rsid w:val="00C80C4F"/>
    <w:rsid w:val="00C815F3"/>
    <w:rsid w:val="00C81881"/>
    <w:rsid w:val="00C81C60"/>
    <w:rsid w:val="00C81DD7"/>
    <w:rsid w:val="00C82811"/>
    <w:rsid w:val="00C829E7"/>
    <w:rsid w:val="00C82B90"/>
    <w:rsid w:val="00C830CB"/>
    <w:rsid w:val="00C83332"/>
    <w:rsid w:val="00C8365B"/>
    <w:rsid w:val="00C836FD"/>
    <w:rsid w:val="00C8390E"/>
    <w:rsid w:val="00C83E0F"/>
    <w:rsid w:val="00C84130"/>
    <w:rsid w:val="00C8460C"/>
    <w:rsid w:val="00C8469C"/>
    <w:rsid w:val="00C8479D"/>
    <w:rsid w:val="00C84846"/>
    <w:rsid w:val="00C849D0"/>
    <w:rsid w:val="00C84D16"/>
    <w:rsid w:val="00C8528A"/>
    <w:rsid w:val="00C8538F"/>
    <w:rsid w:val="00C854DE"/>
    <w:rsid w:val="00C85D5C"/>
    <w:rsid w:val="00C85F6F"/>
    <w:rsid w:val="00C86144"/>
    <w:rsid w:val="00C86802"/>
    <w:rsid w:val="00C86966"/>
    <w:rsid w:val="00C86E00"/>
    <w:rsid w:val="00C86EF2"/>
    <w:rsid w:val="00C87377"/>
    <w:rsid w:val="00C87646"/>
    <w:rsid w:val="00C87C29"/>
    <w:rsid w:val="00C87F6A"/>
    <w:rsid w:val="00C90523"/>
    <w:rsid w:val="00C90BB2"/>
    <w:rsid w:val="00C90D4F"/>
    <w:rsid w:val="00C91532"/>
    <w:rsid w:val="00C917AA"/>
    <w:rsid w:val="00C9192E"/>
    <w:rsid w:val="00C9216A"/>
    <w:rsid w:val="00C921B6"/>
    <w:rsid w:val="00C925A5"/>
    <w:rsid w:val="00C927B3"/>
    <w:rsid w:val="00C92A8F"/>
    <w:rsid w:val="00C92AFD"/>
    <w:rsid w:val="00C92C46"/>
    <w:rsid w:val="00C936DB"/>
    <w:rsid w:val="00C93761"/>
    <w:rsid w:val="00C9392F"/>
    <w:rsid w:val="00C943D9"/>
    <w:rsid w:val="00C9493B"/>
    <w:rsid w:val="00C949E6"/>
    <w:rsid w:val="00C94FC1"/>
    <w:rsid w:val="00C9517C"/>
    <w:rsid w:val="00C9556B"/>
    <w:rsid w:val="00C95760"/>
    <w:rsid w:val="00C958BE"/>
    <w:rsid w:val="00C95A43"/>
    <w:rsid w:val="00C95A78"/>
    <w:rsid w:val="00C95FE5"/>
    <w:rsid w:val="00C960E9"/>
    <w:rsid w:val="00C96DE9"/>
    <w:rsid w:val="00C97147"/>
    <w:rsid w:val="00C9745C"/>
    <w:rsid w:val="00C974DA"/>
    <w:rsid w:val="00C97941"/>
    <w:rsid w:val="00C979E3"/>
    <w:rsid w:val="00C97D50"/>
    <w:rsid w:val="00C97E75"/>
    <w:rsid w:val="00CA01E3"/>
    <w:rsid w:val="00CA01EC"/>
    <w:rsid w:val="00CA0546"/>
    <w:rsid w:val="00CA0572"/>
    <w:rsid w:val="00CA06C2"/>
    <w:rsid w:val="00CA0ACD"/>
    <w:rsid w:val="00CA1128"/>
    <w:rsid w:val="00CA11F5"/>
    <w:rsid w:val="00CA120B"/>
    <w:rsid w:val="00CA1257"/>
    <w:rsid w:val="00CA1371"/>
    <w:rsid w:val="00CA16E1"/>
    <w:rsid w:val="00CA18D4"/>
    <w:rsid w:val="00CA1F51"/>
    <w:rsid w:val="00CA20F2"/>
    <w:rsid w:val="00CA223D"/>
    <w:rsid w:val="00CA2274"/>
    <w:rsid w:val="00CA2D19"/>
    <w:rsid w:val="00CA2F4E"/>
    <w:rsid w:val="00CA2F5E"/>
    <w:rsid w:val="00CA2FE8"/>
    <w:rsid w:val="00CA333D"/>
    <w:rsid w:val="00CA4305"/>
    <w:rsid w:val="00CA43AD"/>
    <w:rsid w:val="00CA5A2D"/>
    <w:rsid w:val="00CA69AD"/>
    <w:rsid w:val="00CA6A72"/>
    <w:rsid w:val="00CA6C40"/>
    <w:rsid w:val="00CA6C52"/>
    <w:rsid w:val="00CA742F"/>
    <w:rsid w:val="00CA77E6"/>
    <w:rsid w:val="00CA7815"/>
    <w:rsid w:val="00CA7F65"/>
    <w:rsid w:val="00CB01D9"/>
    <w:rsid w:val="00CB0B5F"/>
    <w:rsid w:val="00CB1035"/>
    <w:rsid w:val="00CB1276"/>
    <w:rsid w:val="00CB1AA3"/>
    <w:rsid w:val="00CB1B64"/>
    <w:rsid w:val="00CB1BC3"/>
    <w:rsid w:val="00CB206C"/>
    <w:rsid w:val="00CB3636"/>
    <w:rsid w:val="00CB3A4C"/>
    <w:rsid w:val="00CB3D4B"/>
    <w:rsid w:val="00CB3E41"/>
    <w:rsid w:val="00CB4067"/>
    <w:rsid w:val="00CB4260"/>
    <w:rsid w:val="00CB46AB"/>
    <w:rsid w:val="00CB4704"/>
    <w:rsid w:val="00CB4ABE"/>
    <w:rsid w:val="00CB4E3B"/>
    <w:rsid w:val="00CB4E9F"/>
    <w:rsid w:val="00CB51F9"/>
    <w:rsid w:val="00CB53D4"/>
    <w:rsid w:val="00CB57B7"/>
    <w:rsid w:val="00CB5806"/>
    <w:rsid w:val="00CB5857"/>
    <w:rsid w:val="00CB58A5"/>
    <w:rsid w:val="00CB5B37"/>
    <w:rsid w:val="00CB5EB7"/>
    <w:rsid w:val="00CB5EBA"/>
    <w:rsid w:val="00CB63AC"/>
    <w:rsid w:val="00CB6526"/>
    <w:rsid w:val="00CB665E"/>
    <w:rsid w:val="00CB66AB"/>
    <w:rsid w:val="00CB6E1C"/>
    <w:rsid w:val="00CB6E47"/>
    <w:rsid w:val="00CB79BE"/>
    <w:rsid w:val="00CC017A"/>
    <w:rsid w:val="00CC02CC"/>
    <w:rsid w:val="00CC055C"/>
    <w:rsid w:val="00CC058F"/>
    <w:rsid w:val="00CC087E"/>
    <w:rsid w:val="00CC1A94"/>
    <w:rsid w:val="00CC1EBE"/>
    <w:rsid w:val="00CC2454"/>
    <w:rsid w:val="00CC29A2"/>
    <w:rsid w:val="00CC2C4B"/>
    <w:rsid w:val="00CC2CF2"/>
    <w:rsid w:val="00CC2EF3"/>
    <w:rsid w:val="00CC3240"/>
    <w:rsid w:val="00CC32B1"/>
    <w:rsid w:val="00CC350E"/>
    <w:rsid w:val="00CC3560"/>
    <w:rsid w:val="00CC3E69"/>
    <w:rsid w:val="00CC4131"/>
    <w:rsid w:val="00CC41BE"/>
    <w:rsid w:val="00CC4230"/>
    <w:rsid w:val="00CC426C"/>
    <w:rsid w:val="00CC4982"/>
    <w:rsid w:val="00CC4F5E"/>
    <w:rsid w:val="00CC530D"/>
    <w:rsid w:val="00CC5471"/>
    <w:rsid w:val="00CC5510"/>
    <w:rsid w:val="00CC5E6C"/>
    <w:rsid w:val="00CC6118"/>
    <w:rsid w:val="00CC6139"/>
    <w:rsid w:val="00CC662B"/>
    <w:rsid w:val="00CC68B5"/>
    <w:rsid w:val="00CC69C5"/>
    <w:rsid w:val="00CC69CF"/>
    <w:rsid w:val="00CC6A73"/>
    <w:rsid w:val="00CC6B51"/>
    <w:rsid w:val="00CC6CDF"/>
    <w:rsid w:val="00CC6D81"/>
    <w:rsid w:val="00CC734C"/>
    <w:rsid w:val="00CC74A5"/>
    <w:rsid w:val="00CC7D32"/>
    <w:rsid w:val="00CC7D5C"/>
    <w:rsid w:val="00CD016F"/>
    <w:rsid w:val="00CD0624"/>
    <w:rsid w:val="00CD0661"/>
    <w:rsid w:val="00CD06AA"/>
    <w:rsid w:val="00CD06F4"/>
    <w:rsid w:val="00CD0D0C"/>
    <w:rsid w:val="00CD0F74"/>
    <w:rsid w:val="00CD12E5"/>
    <w:rsid w:val="00CD1905"/>
    <w:rsid w:val="00CD1CD2"/>
    <w:rsid w:val="00CD1CEE"/>
    <w:rsid w:val="00CD1ED3"/>
    <w:rsid w:val="00CD1F4F"/>
    <w:rsid w:val="00CD2117"/>
    <w:rsid w:val="00CD2567"/>
    <w:rsid w:val="00CD26F5"/>
    <w:rsid w:val="00CD3CCD"/>
    <w:rsid w:val="00CD3D10"/>
    <w:rsid w:val="00CD3F38"/>
    <w:rsid w:val="00CD3F72"/>
    <w:rsid w:val="00CD4444"/>
    <w:rsid w:val="00CD49A1"/>
    <w:rsid w:val="00CD4E9C"/>
    <w:rsid w:val="00CD5274"/>
    <w:rsid w:val="00CD5578"/>
    <w:rsid w:val="00CD5B4B"/>
    <w:rsid w:val="00CD5D44"/>
    <w:rsid w:val="00CD5D48"/>
    <w:rsid w:val="00CD63C4"/>
    <w:rsid w:val="00CD6C09"/>
    <w:rsid w:val="00CD6C6A"/>
    <w:rsid w:val="00CD754F"/>
    <w:rsid w:val="00CD7693"/>
    <w:rsid w:val="00CD7915"/>
    <w:rsid w:val="00CD7ABF"/>
    <w:rsid w:val="00CD7BFC"/>
    <w:rsid w:val="00CD7C5F"/>
    <w:rsid w:val="00CE006F"/>
    <w:rsid w:val="00CE0B04"/>
    <w:rsid w:val="00CE0C01"/>
    <w:rsid w:val="00CE0D91"/>
    <w:rsid w:val="00CE0F74"/>
    <w:rsid w:val="00CE13FF"/>
    <w:rsid w:val="00CE195A"/>
    <w:rsid w:val="00CE1B01"/>
    <w:rsid w:val="00CE1B52"/>
    <w:rsid w:val="00CE1EDC"/>
    <w:rsid w:val="00CE2136"/>
    <w:rsid w:val="00CE2670"/>
    <w:rsid w:val="00CE2F43"/>
    <w:rsid w:val="00CE31C5"/>
    <w:rsid w:val="00CE3369"/>
    <w:rsid w:val="00CE4037"/>
    <w:rsid w:val="00CE4055"/>
    <w:rsid w:val="00CE4217"/>
    <w:rsid w:val="00CE46C0"/>
    <w:rsid w:val="00CE4AFB"/>
    <w:rsid w:val="00CE4D60"/>
    <w:rsid w:val="00CE4F5F"/>
    <w:rsid w:val="00CE503A"/>
    <w:rsid w:val="00CE52E2"/>
    <w:rsid w:val="00CE53B1"/>
    <w:rsid w:val="00CE5C8D"/>
    <w:rsid w:val="00CE6074"/>
    <w:rsid w:val="00CE6739"/>
    <w:rsid w:val="00CE6EA1"/>
    <w:rsid w:val="00CE7020"/>
    <w:rsid w:val="00CE753D"/>
    <w:rsid w:val="00CE75BE"/>
    <w:rsid w:val="00CE7B13"/>
    <w:rsid w:val="00CF01E2"/>
    <w:rsid w:val="00CF07CD"/>
    <w:rsid w:val="00CF0B10"/>
    <w:rsid w:val="00CF0EC5"/>
    <w:rsid w:val="00CF0EE4"/>
    <w:rsid w:val="00CF0EFA"/>
    <w:rsid w:val="00CF1396"/>
    <w:rsid w:val="00CF1A34"/>
    <w:rsid w:val="00CF1BE3"/>
    <w:rsid w:val="00CF1F8E"/>
    <w:rsid w:val="00CF20A2"/>
    <w:rsid w:val="00CF298B"/>
    <w:rsid w:val="00CF30C6"/>
    <w:rsid w:val="00CF3C0A"/>
    <w:rsid w:val="00CF3DC5"/>
    <w:rsid w:val="00CF3EC6"/>
    <w:rsid w:val="00CF3F1B"/>
    <w:rsid w:val="00CF4042"/>
    <w:rsid w:val="00CF4935"/>
    <w:rsid w:val="00CF4B82"/>
    <w:rsid w:val="00CF4D8D"/>
    <w:rsid w:val="00CF5344"/>
    <w:rsid w:val="00CF53F9"/>
    <w:rsid w:val="00CF540C"/>
    <w:rsid w:val="00CF5790"/>
    <w:rsid w:val="00CF5AED"/>
    <w:rsid w:val="00CF60B0"/>
    <w:rsid w:val="00CF6256"/>
    <w:rsid w:val="00CF6552"/>
    <w:rsid w:val="00CF6B40"/>
    <w:rsid w:val="00CF6DEC"/>
    <w:rsid w:val="00CF7311"/>
    <w:rsid w:val="00CF7495"/>
    <w:rsid w:val="00CF7593"/>
    <w:rsid w:val="00CF79C2"/>
    <w:rsid w:val="00CF7E45"/>
    <w:rsid w:val="00CF7F86"/>
    <w:rsid w:val="00D001FC"/>
    <w:rsid w:val="00D003E7"/>
    <w:rsid w:val="00D0047F"/>
    <w:rsid w:val="00D00A88"/>
    <w:rsid w:val="00D00BA0"/>
    <w:rsid w:val="00D00C60"/>
    <w:rsid w:val="00D00D8F"/>
    <w:rsid w:val="00D00E20"/>
    <w:rsid w:val="00D01005"/>
    <w:rsid w:val="00D01866"/>
    <w:rsid w:val="00D01D65"/>
    <w:rsid w:val="00D022EF"/>
    <w:rsid w:val="00D027A0"/>
    <w:rsid w:val="00D02AE6"/>
    <w:rsid w:val="00D02EE3"/>
    <w:rsid w:val="00D0315F"/>
    <w:rsid w:val="00D031AA"/>
    <w:rsid w:val="00D03356"/>
    <w:rsid w:val="00D03550"/>
    <w:rsid w:val="00D036C3"/>
    <w:rsid w:val="00D038D5"/>
    <w:rsid w:val="00D03BD8"/>
    <w:rsid w:val="00D03CAB"/>
    <w:rsid w:val="00D03CC0"/>
    <w:rsid w:val="00D03F5B"/>
    <w:rsid w:val="00D03FE5"/>
    <w:rsid w:val="00D0402F"/>
    <w:rsid w:val="00D04325"/>
    <w:rsid w:val="00D04566"/>
    <w:rsid w:val="00D04999"/>
    <w:rsid w:val="00D04CB4"/>
    <w:rsid w:val="00D0509E"/>
    <w:rsid w:val="00D0575A"/>
    <w:rsid w:val="00D05C65"/>
    <w:rsid w:val="00D06254"/>
    <w:rsid w:val="00D066D5"/>
    <w:rsid w:val="00D06A28"/>
    <w:rsid w:val="00D06B37"/>
    <w:rsid w:val="00D073B2"/>
    <w:rsid w:val="00D07605"/>
    <w:rsid w:val="00D108A7"/>
    <w:rsid w:val="00D10BA2"/>
    <w:rsid w:val="00D10BF3"/>
    <w:rsid w:val="00D10EDA"/>
    <w:rsid w:val="00D118B3"/>
    <w:rsid w:val="00D11A8D"/>
    <w:rsid w:val="00D11DF0"/>
    <w:rsid w:val="00D13D5E"/>
    <w:rsid w:val="00D141DD"/>
    <w:rsid w:val="00D14866"/>
    <w:rsid w:val="00D14B48"/>
    <w:rsid w:val="00D14D6B"/>
    <w:rsid w:val="00D14EC5"/>
    <w:rsid w:val="00D15044"/>
    <w:rsid w:val="00D15118"/>
    <w:rsid w:val="00D1517C"/>
    <w:rsid w:val="00D15466"/>
    <w:rsid w:val="00D156D2"/>
    <w:rsid w:val="00D156ED"/>
    <w:rsid w:val="00D15F0C"/>
    <w:rsid w:val="00D15F99"/>
    <w:rsid w:val="00D16086"/>
    <w:rsid w:val="00D160D6"/>
    <w:rsid w:val="00D167B4"/>
    <w:rsid w:val="00D16C9F"/>
    <w:rsid w:val="00D16FF6"/>
    <w:rsid w:val="00D17033"/>
    <w:rsid w:val="00D17404"/>
    <w:rsid w:val="00D177BD"/>
    <w:rsid w:val="00D17BC8"/>
    <w:rsid w:val="00D203D1"/>
    <w:rsid w:val="00D20AF4"/>
    <w:rsid w:val="00D20E18"/>
    <w:rsid w:val="00D211BA"/>
    <w:rsid w:val="00D212CD"/>
    <w:rsid w:val="00D21405"/>
    <w:rsid w:val="00D21A38"/>
    <w:rsid w:val="00D21C4E"/>
    <w:rsid w:val="00D22545"/>
    <w:rsid w:val="00D22F24"/>
    <w:rsid w:val="00D22F42"/>
    <w:rsid w:val="00D23045"/>
    <w:rsid w:val="00D2326E"/>
    <w:rsid w:val="00D23944"/>
    <w:rsid w:val="00D23B72"/>
    <w:rsid w:val="00D23E0D"/>
    <w:rsid w:val="00D23E49"/>
    <w:rsid w:val="00D2419D"/>
    <w:rsid w:val="00D2445E"/>
    <w:rsid w:val="00D24E7B"/>
    <w:rsid w:val="00D2508A"/>
    <w:rsid w:val="00D25091"/>
    <w:rsid w:val="00D250C3"/>
    <w:rsid w:val="00D2518F"/>
    <w:rsid w:val="00D251FC"/>
    <w:rsid w:val="00D252F2"/>
    <w:rsid w:val="00D25A60"/>
    <w:rsid w:val="00D2612E"/>
    <w:rsid w:val="00D26174"/>
    <w:rsid w:val="00D26B74"/>
    <w:rsid w:val="00D2712B"/>
    <w:rsid w:val="00D2726D"/>
    <w:rsid w:val="00D2757A"/>
    <w:rsid w:val="00D276CA"/>
    <w:rsid w:val="00D27739"/>
    <w:rsid w:val="00D279BB"/>
    <w:rsid w:val="00D27A9F"/>
    <w:rsid w:val="00D3006F"/>
    <w:rsid w:val="00D3009B"/>
    <w:rsid w:val="00D30405"/>
    <w:rsid w:val="00D30479"/>
    <w:rsid w:val="00D304A5"/>
    <w:rsid w:val="00D305CB"/>
    <w:rsid w:val="00D31231"/>
    <w:rsid w:val="00D31426"/>
    <w:rsid w:val="00D319F4"/>
    <w:rsid w:val="00D31B13"/>
    <w:rsid w:val="00D31D2F"/>
    <w:rsid w:val="00D31F05"/>
    <w:rsid w:val="00D320E5"/>
    <w:rsid w:val="00D32564"/>
    <w:rsid w:val="00D326B7"/>
    <w:rsid w:val="00D329F4"/>
    <w:rsid w:val="00D32A14"/>
    <w:rsid w:val="00D32B0D"/>
    <w:rsid w:val="00D32E33"/>
    <w:rsid w:val="00D3330C"/>
    <w:rsid w:val="00D33474"/>
    <w:rsid w:val="00D336EA"/>
    <w:rsid w:val="00D337E7"/>
    <w:rsid w:val="00D33B34"/>
    <w:rsid w:val="00D33B4E"/>
    <w:rsid w:val="00D33D54"/>
    <w:rsid w:val="00D33D63"/>
    <w:rsid w:val="00D349B7"/>
    <w:rsid w:val="00D34BBC"/>
    <w:rsid w:val="00D35C53"/>
    <w:rsid w:val="00D35DF8"/>
    <w:rsid w:val="00D369F0"/>
    <w:rsid w:val="00D377E0"/>
    <w:rsid w:val="00D377FB"/>
    <w:rsid w:val="00D3794F"/>
    <w:rsid w:val="00D40011"/>
    <w:rsid w:val="00D4036F"/>
    <w:rsid w:val="00D40374"/>
    <w:rsid w:val="00D40810"/>
    <w:rsid w:val="00D40909"/>
    <w:rsid w:val="00D40A3D"/>
    <w:rsid w:val="00D40BB2"/>
    <w:rsid w:val="00D40DB8"/>
    <w:rsid w:val="00D41447"/>
    <w:rsid w:val="00D4231F"/>
    <w:rsid w:val="00D4258B"/>
    <w:rsid w:val="00D4266F"/>
    <w:rsid w:val="00D429D0"/>
    <w:rsid w:val="00D42C4E"/>
    <w:rsid w:val="00D42CE8"/>
    <w:rsid w:val="00D42EE3"/>
    <w:rsid w:val="00D42FE4"/>
    <w:rsid w:val="00D4360B"/>
    <w:rsid w:val="00D43A31"/>
    <w:rsid w:val="00D43CBE"/>
    <w:rsid w:val="00D4441B"/>
    <w:rsid w:val="00D444AC"/>
    <w:rsid w:val="00D44646"/>
    <w:rsid w:val="00D44D29"/>
    <w:rsid w:val="00D44EFA"/>
    <w:rsid w:val="00D44F4F"/>
    <w:rsid w:val="00D45E6B"/>
    <w:rsid w:val="00D462EB"/>
    <w:rsid w:val="00D465A9"/>
    <w:rsid w:val="00D470C2"/>
    <w:rsid w:val="00D47170"/>
    <w:rsid w:val="00D4754F"/>
    <w:rsid w:val="00D476DA"/>
    <w:rsid w:val="00D4772F"/>
    <w:rsid w:val="00D47CC1"/>
    <w:rsid w:val="00D47D12"/>
    <w:rsid w:val="00D47DC7"/>
    <w:rsid w:val="00D500A0"/>
    <w:rsid w:val="00D50261"/>
    <w:rsid w:val="00D506AC"/>
    <w:rsid w:val="00D50800"/>
    <w:rsid w:val="00D50A20"/>
    <w:rsid w:val="00D50C37"/>
    <w:rsid w:val="00D51176"/>
    <w:rsid w:val="00D5125D"/>
    <w:rsid w:val="00D51A3B"/>
    <w:rsid w:val="00D51B23"/>
    <w:rsid w:val="00D51BC1"/>
    <w:rsid w:val="00D51F5A"/>
    <w:rsid w:val="00D5209D"/>
    <w:rsid w:val="00D526E4"/>
    <w:rsid w:val="00D52885"/>
    <w:rsid w:val="00D52DCA"/>
    <w:rsid w:val="00D52F22"/>
    <w:rsid w:val="00D52F74"/>
    <w:rsid w:val="00D535EC"/>
    <w:rsid w:val="00D5378D"/>
    <w:rsid w:val="00D53824"/>
    <w:rsid w:val="00D53834"/>
    <w:rsid w:val="00D540E2"/>
    <w:rsid w:val="00D54488"/>
    <w:rsid w:val="00D54A45"/>
    <w:rsid w:val="00D55851"/>
    <w:rsid w:val="00D55B71"/>
    <w:rsid w:val="00D56071"/>
    <w:rsid w:val="00D5669A"/>
    <w:rsid w:val="00D56AAB"/>
    <w:rsid w:val="00D56C1A"/>
    <w:rsid w:val="00D56C3B"/>
    <w:rsid w:val="00D56C42"/>
    <w:rsid w:val="00D57AA5"/>
    <w:rsid w:val="00D608A5"/>
    <w:rsid w:val="00D60A64"/>
    <w:rsid w:val="00D60D18"/>
    <w:rsid w:val="00D6139D"/>
    <w:rsid w:val="00D6149F"/>
    <w:rsid w:val="00D6180C"/>
    <w:rsid w:val="00D62681"/>
    <w:rsid w:val="00D62D2E"/>
    <w:rsid w:val="00D63548"/>
    <w:rsid w:val="00D63573"/>
    <w:rsid w:val="00D636CA"/>
    <w:rsid w:val="00D63B17"/>
    <w:rsid w:val="00D63C0A"/>
    <w:rsid w:val="00D64332"/>
    <w:rsid w:val="00D64472"/>
    <w:rsid w:val="00D64575"/>
    <w:rsid w:val="00D64593"/>
    <w:rsid w:val="00D649F4"/>
    <w:rsid w:val="00D651C5"/>
    <w:rsid w:val="00D656C0"/>
    <w:rsid w:val="00D6570A"/>
    <w:rsid w:val="00D657AD"/>
    <w:rsid w:val="00D65C9B"/>
    <w:rsid w:val="00D661DC"/>
    <w:rsid w:val="00D669F6"/>
    <w:rsid w:val="00D66FB5"/>
    <w:rsid w:val="00D67052"/>
    <w:rsid w:val="00D67327"/>
    <w:rsid w:val="00D67963"/>
    <w:rsid w:val="00D67AF0"/>
    <w:rsid w:val="00D67E6B"/>
    <w:rsid w:val="00D707B8"/>
    <w:rsid w:val="00D709ED"/>
    <w:rsid w:val="00D70AF7"/>
    <w:rsid w:val="00D711F6"/>
    <w:rsid w:val="00D712EC"/>
    <w:rsid w:val="00D716FB"/>
    <w:rsid w:val="00D71B36"/>
    <w:rsid w:val="00D71DE7"/>
    <w:rsid w:val="00D72167"/>
    <w:rsid w:val="00D72996"/>
    <w:rsid w:val="00D72A6D"/>
    <w:rsid w:val="00D72AB8"/>
    <w:rsid w:val="00D72AC6"/>
    <w:rsid w:val="00D72F89"/>
    <w:rsid w:val="00D73255"/>
    <w:rsid w:val="00D7325B"/>
    <w:rsid w:val="00D734B0"/>
    <w:rsid w:val="00D7369C"/>
    <w:rsid w:val="00D73E2E"/>
    <w:rsid w:val="00D73FD5"/>
    <w:rsid w:val="00D74364"/>
    <w:rsid w:val="00D7478F"/>
    <w:rsid w:val="00D748DF"/>
    <w:rsid w:val="00D74985"/>
    <w:rsid w:val="00D750CF"/>
    <w:rsid w:val="00D7523A"/>
    <w:rsid w:val="00D7543C"/>
    <w:rsid w:val="00D755AD"/>
    <w:rsid w:val="00D759BA"/>
    <w:rsid w:val="00D75AA2"/>
    <w:rsid w:val="00D75F3B"/>
    <w:rsid w:val="00D76186"/>
    <w:rsid w:val="00D76504"/>
    <w:rsid w:val="00D7680E"/>
    <w:rsid w:val="00D7684D"/>
    <w:rsid w:val="00D76C59"/>
    <w:rsid w:val="00D76EF5"/>
    <w:rsid w:val="00D76F0C"/>
    <w:rsid w:val="00D77190"/>
    <w:rsid w:val="00D771FE"/>
    <w:rsid w:val="00D7768F"/>
    <w:rsid w:val="00D77971"/>
    <w:rsid w:val="00D7799F"/>
    <w:rsid w:val="00D803FD"/>
    <w:rsid w:val="00D80A40"/>
    <w:rsid w:val="00D80F25"/>
    <w:rsid w:val="00D8119C"/>
    <w:rsid w:val="00D81681"/>
    <w:rsid w:val="00D81B8F"/>
    <w:rsid w:val="00D8260E"/>
    <w:rsid w:val="00D829E5"/>
    <w:rsid w:val="00D82E1C"/>
    <w:rsid w:val="00D82E49"/>
    <w:rsid w:val="00D830FE"/>
    <w:rsid w:val="00D8333B"/>
    <w:rsid w:val="00D833EB"/>
    <w:rsid w:val="00D83497"/>
    <w:rsid w:val="00D83836"/>
    <w:rsid w:val="00D83E76"/>
    <w:rsid w:val="00D83F4D"/>
    <w:rsid w:val="00D84399"/>
    <w:rsid w:val="00D8486C"/>
    <w:rsid w:val="00D84A56"/>
    <w:rsid w:val="00D85435"/>
    <w:rsid w:val="00D859F3"/>
    <w:rsid w:val="00D85E55"/>
    <w:rsid w:val="00D85FED"/>
    <w:rsid w:val="00D862F3"/>
    <w:rsid w:val="00D86DDC"/>
    <w:rsid w:val="00D86E54"/>
    <w:rsid w:val="00D87186"/>
    <w:rsid w:val="00D871F2"/>
    <w:rsid w:val="00D87357"/>
    <w:rsid w:val="00D87B4E"/>
    <w:rsid w:val="00D87BB4"/>
    <w:rsid w:val="00D90257"/>
    <w:rsid w:val="00D90511"/>
    <w:rsid w:val="00D9076C"/>
    <w:rsid w:val="00D90977"/>
    <w:rsid w:val="00D90C10"/>
    <w:rsid w:val="00D90EE4"/>
    <w:rsid w:val="00D9104D"/>
    <w:rsid w:val="00D91E76"/>
    <w:rsid w:val="00D92311"/>
    <w:rsid w:val="00D925B6"/>
    <w:rsid w:val="00D925D7"/>
    <w:rsid w:val="00D92617"/>
    <w:rsid w:val="00D9275A"/>
    <w:rsid w:val="00D927B1"/>
    <w:rsid w:val="00D92C2A"/>
    <w:rsid w:val="00D92F23"/>
    <w:rsid w:val="00D92FA1"/>
    <w:rsid w:val="00D930A2"/>
    <w:rsid w:val="00D93CA6"/>
    <w:rsid w:val="00D94100"/>
    <w:rsid w:val="00D94A8B"/>
    <w:rsid w:val="00D94DF3"/>
    <w:rsid w:val="00D94FA7"/>
    <w:rsid w:val="00D951AC"/>
    <w:rsid w:val="00D958D2"/>
    <w:rsid w:val="00D95B4E"/>
    <w:rsid w:val="00D95C87"/>
    <w:rsid w:val="00D96952"/>
    <w:rsid w:val="00D96993"/>
    <w:rsid w:val="00D96A46"/>
    <w:rsid w:val="00D96ABB"/>
    <w:rsid w:val="00D96D50"/>
    <w:rsid w:val="00D96EDB"/>
    <w:rsid w:val="00D971AB"/>
    <w:rsid w:val="00D97253"/>
    <w:rsid w:val="00D976AA"/>
    <w:rsid w:val="00D977BA"/>
    <w:rsid w:val="00DA065E"/>
    <w:rsid w:val="00DA085E"/>
    <w:rsid w:val="00DA090D"/>
    <w:rsid w:val="00DA0F59"/>
    <w:rsid w:val="00DA0FCC"/>
    <w:rsid w:val="00DA1716"/>
    <w:rsid w:val="00DA18D1"/>
    <w:rsid w:val="00DA1BEC"/>
    <w:rsid w:val="00DA271D"/>
    <w:rsid w:val="00DA2B45"/>
    <w:rsid w:val="00DA2D39"/>
    <w:rsid w:val="00DA31AC"/>
    <w:rsid w:val="00DA35EA"/>
    <w:rsid w:val="00DA37CA"/>
    <w:rsid w:val="00DA38BA"/>
    <w:rsid w:val="00DA3DF4"/>
    <w:rsid w:val="00DA47ED"/>
    <w:rsid w:val="00DA4B09"/>
    <w:rsid w:val="00DA4E29"/>
    <w:rsid w:val="00DA5046"/>
    <w:rsid w:val="00DA59B2"/>
    <w:rsid w:val="00DA5B51"/>
    <w:rsid w:val="00DA5CDE"/>
    <w:rsid w:val="00DA62C1"/>
    <w:rsid w:val="00DA6CF5"/>
    <w:rsid w:val="00DA6E9E"/>
    <w:rsid w:val="00DA7201"/>
    <w:rsid w:val="00DA720E"/>
    <w:rsid w:val="00DA73F6"/>
    <w:rsid w:val="00DB064D"/>
    <w:rsid w:val="00DB1114"/>
    <w:rsid w:val="00DB111B"/>
    <w:rsid w:val="00DB115C"/>
    <w:rsid w:val="00DB11F4"/>
    <w:rsid w:val="00DB1309"/>
    <w:rsid w:val="00DB20C9"/>
    <w:rsid w:val="00DB24D6"/>
    <w:rsid w:val="00DB2C6D"/>
    <w:rsid w:val="00DB39E0"/>
    <w:rsid w:val="00DB3C59"/>
    <w:rsid w:val="00DB3F69"/>
    <w:rsid w:val="00DB427A"/>
    <w:rsid w:val="00DB4308"/>
    <w:rsid w:val="00DB4496"/>
    <w:rsid w:val="00DB4B23"/>
    <w:rsid w:val="00DB55E2"/>
    <w:rsid w:val="00DB5B31"/>
    <w:rsid w:val="00DB71FD"/>
    <w:rsid w:val="00DB74C7"/>
    <w:rsid w:val="00DB7732"/>
    <w:rsid w:val="00DB77BA"/>
    <w:rsid w:val="00DB781A"/>
    <w:rsid w:val="00DB793B"/>
    <w:rsid w:val="00DB7DC8"/>
    <w:rsid w:val="00DB7E5B"/>
    <w:rsid w:val="00DC008A"/>
    <w:rsid w:val="00DC0415"/>
    <w:rsid w:val="00DC0AE4"/>
    <w:rsid w:val="00DC0F50"/>
    <w:rsid w:val="00DC10B9"/>
    <w:rsid w:val="00DC10EC"/>
    <w:rsid w:val="00DC13E3"/>
    <w:rsid w:val="00DC1C15"/>
    <w:rsid w:val="00DC202F"/>
    <w:rsid w:val="00DC219D"/>
    <w:rsid w:val="00DC244D"/>
    <w:rsid w:val="00DC24C8"/>
    <w:rsid w:val="00DC2654"/>
    <w:rsid w:val="00DC283A"/>
    <w:rsid w:val="00DC2B1E"/>
    <w:rsid w:val="00DC2B5C"/>
    <w:rsid w:val="00DC34A3"/>
    <w:rsid w:val="00DC3741"/>
    <w:rsid w:val="00DC42F7"/>
    <w:rsid w:val="00DC442A"/>
    <w:rsid w:val="00DC4B03"/>
    <w:rsid w:val="00DC4BEF"/>
    <w:rsid w:val="00DC4CBC"/>
    <w:rsid w:val="00DC52B4"/>
    <w:rsid w:val="00DC52BE"/>
    <w:rsid w:val="00DC54ED"/>
    <w:rsid w:val="00DC5587"/>
    <w:rsid w:val="00DC5ACC"/>
    <w:rsid w:val="00DC63E4"/>
    <w:rsid w:val="00DC6651"/>
    <w:rsid w:val="00DC6848"/>
    <w:rsid w:val="00DC6A02"/>
    <w:rsid w:val="00DC6C16"/>
    <w:rsid w:val="00DC7119"/>
    <w:rsid w:val="00DC7149"/>
    <w:rsid w:val="00DC7255"/>
    <w:rsid w:val="00DC76C6"/>
    <w:rsid w:val="00DC7870"/>
    <w:rsid w:val="00DD01A6"/>
    <w:rsid w:val="00DD046B"/>
    <w:rsid w:val="00DD0E20"/>
    <w:rsid w:val="00DD0E75"/>
    <w:rsid w:val="00DD12AA"/>
    <w:rsid w:val="00DD1B57"/>
    <w:rsid w:val="00DD1E0C"/>
    <w:rsid w:val="00DD1F0C"/>
    <w:rsid w:val="00DD20BC"/>
    <w:rsid w:val="00DD2283"/>
    <w:rsid w:val="00DD26DB"/>
    <w:rsid w:val="00DD344C"/>
    <w:rsid w:val="00DD41EA"/>
    <w:rsid w:val="00DD44EE"/>
    <w:rsid w:val="00DD4692"/>
    <w:rsid w:val="00DD472C"/>
    <w:rsid w:val="00DD474A"/>
    <w:rsid w:val="00DD49B2"/>
    <w:rsid w:val="00DD4A99"/>
    <w:rsid w:val="00DD4C83"/>
    <w:rsid w:val="00DD583B"/>
    <w:rsid w:val="00DD5C69"/>
    <w:rsid w:val="00DD6073"/>
    <w:rsid w:val="00DD675B"/>
    <w:rsid w:val="00DD6EE2"/>
    <w:rsid w:val="00DD6F46"/>
    <w:rsid w:val="00DD6FC0"/>
    <w:rsid w:val="00DD7430"/>
    <w:rsid w:val="00DD768E"/>
    <w:rsid w:val="00DD7873"/>
    <w:rsid w:val="00DD7906"/>
    <w:rsid w:val="00DD7B3B"/>
    <w:rsid w:val="00DE01AB"/>
    <w:rsid w:val="00DE02FB"/>
    <w:rsid w:val="00DE040E"/>
    <w:rsid w:val="00DE0934"/>
    <w:rsid w:val="00DE1041"/>
    <w:rsid w:val="00DE10AB"/>
    <w:rsid w:val="00DE132F"/>
    <w:rsid w:val="00DE1763"/>
    <w:rsid w:val="00DE1BCA"/>
    <w:rsid w:val="00DE1BEE"/>
    <w:rsid w:val="00DE1F7F"/>
    <w:rsid w:val="00DE202F"/>
    <w:rsid w:val="00DE2064"/>
    <w:rsid w:val="00DE231B"/>
    <w:rsid w:val="00DE2818"/>
    <w:rsid w:val="00DE2C9A"/>
    <w:rsid w:val="00DE2E13"/>
    <w:rsid w:val="00DE3733"/>
    <w:rsid w:val="00DE38DB"/>
    <w:rsid w:val="00DE3CBA"/>
    <w:rsid w:val="00DE3E23"/>
    <w:rsid w:val="00DE40BC"/>
    <w:rsid w:val="00DE441D"/>
    <w:rsid w:val="00DE471F"/>
    <w:rsid w:val="00DE4FF7"/>
    <w:rsid w:val="00DE5625"/>
    <w:rsid w:val="00DE6496"/>
    <w:rsid w:val="00DE68E7"/>
    <w:rsid w:val="00DE6C07"/>
    <w:rsid w:val="00DE6D05"/>
    <w:rsid w:val="00DE6D8C"/>
    <w:rsid w:val="00DE6F58"/>
    <w:rsid w:val="00DE727A"/>
    <w:rsid w:val="00DE7553"/>
    <w:rsid w:val="00DE769D"/>
    <w:rsid w:val="00DE7822"/>
    <w:rsid w:val="00DE78F5"/>
    <w:rsid w:val="00DE7C44"/>
    <w:rsid w:val="00DF0678"/>
    <w:rsid w:val="00DF0911"/>
    <w:rsid w:val="00DF13A7"/>
    <w:rsid w:val="00DF1713"/>
    <w:rsid w:val="00DF195D"/>
    <w:rsid w:val="00DF1B66"/>
    <w:rsid w:val="00DF225E"/>
    <w:rsid w:val="00DF240D"/>
    <w:rsid w:val="00DF24B7"/>
    <w:rsid w:val="00DF29DC"/>
    <w:rsid w:val="00DF2ABC"/>
    <w:rsid w:val="00DF2E5C"/>
    <w:rsid w:val="00DF2EAB"/>
    <w:rsid w:val="00DF3126"/>
    <w:rsid w:val="00DF32C8"/>
    <w:rsid w:val="00DF3613"/>
    <w:rsid w:val="00DF3C41"/>
    <w:rsid w:val="00DF3F47"/>
    <w:rsid w:val="00DF4790"/>
    <w:rsid w:val="00DF4D39"/>
    <w:rsid w:val="00DF50EF"/>
    <w:rsid w:val="00DF54AB"/>
    <w:rsid w:val="00DF54C0"/>
    <w:rsid w:val="00DF56BB"/>
    <w:rsid w:val="00DF5B13"/>
    <w:rsid w:val="00DF5E25"/>
    <w:rsid w:val="00DF651C"/>
    <w:rsid w:val="00DF6FB6"/>
    <w:rsid w:val="00DF77BE"/>
    <w:rsid w:val="00DF7CCD"/>
    <w:rsid w:val="00E00A7A"/>
    <w:rsid w:val="00E00C64"/>
    <w:rsid w:val="00E00C8D"/>
    <w:rsid w:val="00E00E54"/>
    <w:rsid w:val="00E00EF9"/>
    <w:rsid w:val="00E00FED"/>
    <w:rsid w:val="00E011F0"/>
    <w:rsid w:val="00E012A9"/>
    <w:rsid w:val="00E01323"/>
    <w:rsid w:val="00E0169E"/>
    <w:rsid w:val="00E0221E"/>
    <w:rsid w:val="00E023FF"/>
    <w:rsid w:val="00E02989"/>
    <w:rsid w:val="00E02AFA"/>
    <w:rsid w:val="00E03244"/>
    <w:rsid w:val="00E03711"/>
    <w:rsid w:val="00E0393B"/>
    <w:rsid w:val="00E0409B"/>
    <w:rsid w:val="00E044A4"/>
    <w:rsid w:val="00E044A8"/>
    <w:rsid w:val="00E04CDA"/>
    <w:rsid w:val="00E04D9E"/>
    <w:rsid w:val="00E0506E"/>
    <w:rsid w:val="00E0587D"/>
    <w:rsid w:val="00E05907"/>
    <w:rsid w:val="00E06145"/>
    <w:rsid w:val="00E0636B"/>
    <w:rsid w:val="00E06626"/>
    <w:rsid w:val="00E06883"/>
    <w:rsid w:val="00E07317"/>
    <w:rsid w:val="00E07463"/>
    <w:rsid w:val="00E076FF"/>
    <w:rsid w:val="00E07CBB"/>
    <w:rsid w:val="00E07DB4"/>
    <w:rsid w:val="00E07FCD"/>
    <w:rsid w:val="00E1047E"/>
    <w:rsid w:val="00E107B5"/>
    <w:rsid w:val="00E10979"/>
    <w:rsid w:val="00E10A3A"/>
    <w:rsid w:val="00E10B11"/>
    <w:rsid w:val="00E10C07"/>
    <w:rsid w:val="00E10C9F"/>
    <w:rsid w:val="00E1111B"/>
    <w:rsid w:val="00E116AC"/>
    <w:rsid w:val="00E1199E"/>
    <w:rsid w:val="00E12518"/>
    <w:rsid w:val="00E126F5"/>
    <w:rsid w:val="00E1278B"/>
    <w:rsid w:val="00E13421"/>
    <w:rsid w:val="00E13B3C"/>
    <w:rsid w:val="00E13BAF"/>
    <w:rsid w:val="00E140D6"/>
    <w:rsid w:val="00E141A4"/>
    <w:rsid w:val="00E14430"/>
    <w:rsid w:val="00E14DBE"/>
    <w:rsid w:val="00E1574F"/>
    <w:rsid w:val="00E15BFB"/>
    <w:rsid w:val="00E15C84"/>
    <w:rsid w:val="00E15ED3"/>
    <w:rsid w:val="00E1610B"/>
    <w:rsid w:val="00E1621A"/>
    <w:rsid w:val="00E16706"/>
    <w:rsid w:val="00E16BFD"/>
    <w:rsid w:val="00E16CB8"/>
    <w:rsid w:val="00E172EA"/>
    <w:rsid w:val="00E173BA"/>
    <w:rsid w:val="00E1785C"/>
    <w:rsid w:val="00E178F0"/>
    <w:rsid w:val="00E17939"/>
    <w:rsid w:val="00E17E16"/>
    <w:rsid w:val="00E17EBF"/>
    <w:rsid w:val="00E2064E"/>
    <w:rsid w:val="00E207F9"/>
    <w:rsid w:val="00E20F6D"/>
    <w:rsid w:val="00E219A7"/>
    <w:rsid w:val="00E21C97"/>
    <w:rsid w:val="00E21E7C"/>
    <w:rsid w:val="00E221F6"/>
    <w:rsid w:val="00E22357"/>
    <w:rsid w:val="00E2242C"/>
    <w:rsid w:val="00E22897"/>
    <w:rsid w:val="00E22963"/>
    <w:rsid w:val="00E236D1"/>
    <w:rsid w:val="00E236E8"/>
    <w:rsid w:val="00E23829"/>
    <w:rsid w:val="00E23908"/>
    <w:rsid w:val="00E23D2D"/>
    <w:rsid w:val="00E24186"/>
    <w:rsid w:val="00E245D2"/>
    <w:rsid w:val="00E2551F"/>
    <w:rsid w:val="00E25D19"/>
    <w:rsid w:val="00E26151"/>
    <w:rsid w:val="00E26199"/>
    <w:rsid w:val="00E2632C"/>
    <w:rsid w:val="00E26375"/>
    <w:rsid w:val="00E265D7"/>
    <w:rsid w:val="00E26890"/>
    <w:rsid w:val="00E277BB"/>
    <w:rsid w:val="00E27B44"/>
    <w:rsid w:val="00E27C6D"/>
    <w:rsid w:val="00E27E02"/>
    <w:rsid w:val="00E300C1"/>
    <w:rsid w:val="00E304A8"/>
    <w:rsid w:val="00E30ACF"/>
    <w:rsid w:val="00E312C9"/>
    <w:rsid w:val="00E315B9"/>
    <w:rsid w:val="00E316CF"/>
    <w:rsid w:val="00E31882"/>
    <w:rsid w:val="00E31A67"/>
    <w:rsid w:val="00E31B00"/>
    <w:rsid w:val="00E321D2"/>
    <w:rsid w:val="00E3296D"/>
    <w:rsid w:val="00E32990"/>
    <w:rsid w:val="00E32C82"/>
    <w:rsid w:val="00E338FD"/>
    <w:rsid w:val="00E33D80"/>
    <w:rsid w:val="00E34003"/>
    <w:rsid w:val="00E3423E"/>
    <w:rsid w:val="00E3428F"/>
    <w:rsid w:val="00E34545"/>
    <w:rsid w:val="00E34EAE"/>
    <w:rsid w:val="00E3552C"/>
    <w:rsid w:val="00E35A4D"/>
    <w:rsid w:val="00E35F7E"/>
    <w:rsid w:val="00E367CD"/>
    <w:rsid w:val="00E36C09"/>
    <w:rsid w:val="00E373F2"/>
    <w:rsid w:val="00E37C4A"/>
    <w:rsid w:val="00E37C91"/>
    <w:rsid w:val="00E37FB2"/>
    <w:rsid w:val="00E400AD"/>
    <w:rsid w:val="00E40339"/>
    <w:rsid w:val="00E4035B"/>
    <w:rsid w:val="00E4045E"/>
    <w:rsid w:val="00E4148E"/>
    <w:rsid w:val="00E417A1"/>
    <w:rsid w:val="00E4205F"/>
    <w:rsid w:val="00E42234"/>
    <w:rsid w:val="00E42257"/>
    <w:rsid w:val="00E42274"/>
    <w:rsid w:val="00E422E2"/>
    <w:rsid w:val="00E422F4"/>
    <w:rsid w:val="00E423F7"/>
    <w:rsid w:val="00E425CC"/>
    <w:rsid w:val="00E42742"/>
    <w:rsid w:val="00E42DF1"/>
    <w:rsid w:val="00E42F9F"/>
    <w:rsid w:val="00E4365C"/>
    <w:rsid w:val="00E43BA6"/>
    <w:rsid w:val="00E43C62"/>
    <w:rsid w:val="00E43E92"/>
    <w:rsid w:val="00E43FED"/>
    <w:rsid w:val="00E444CA"/>
    <w:rsid w:val="00E44978"/>
    <w:rsid w:val="00E44C7C"/>
    <w:rsid w:val="00E44CA1"/>
    <w:rsid w:val="00E451F2"/>
    <w:rsid w:val="00E45638"/>
    <w:rsid w:val="00E45CD9"/>
    <w:rsid w:val="00E462C8"/>
    <w:rsid w:val="00E46695"/>
    <w:rsid w:val="00E46732"/>
    <w:rsid w:val="00E4696B"/>
    <w:rsid w:val="00E46BDF"/>
    <w:rsid w:val="00E476F5"/>
    <w:rsid w:val="00E47B9B"/>
    <w:rsid w:val="00E50149"/>
    <w:rsid w:val="00E503F5"/>
    <w:rsid w:val="00E50425"/>
    <w:rsid w:val="00E50823"/>
    <w:rsid w:val="00E50EB8"/>
    <w:rsid w:val="00E51120"/>
    <w:rsid w:val="00E51433"/>
    <w:rsid w:val="00E51DC1"/>
    <w:rsid w:val="00E52551"/>
    <w:rsid w:val="00E526A3"/>
    <w:rsid w:val="00E52981"/>
    <w:rsid w:val="00E52C75"/>
    <w:rsid w:val="00E52F46"/>
    <w:rsid w:val="00E53588"/>
    <w:rsid w:val="00E535CC"/>
    <w:rsid w:val="00E537A2"/>
    <w:rsid w:val="00E543AC"/>
    <w:rsid w:val="00E5479D"/>
    <w:rsid w:val="00E54C67"/>
    <w:rsid w:val="00E55300"/>
    <w:rsid w:val="00E55770"/>
    <w:rsid w:val="00E559BD"/>
    <w:rsid w:val="00E55CE4"/>
    <w:rsid w:val="00E562F9"/>
    <w:rsid w:val="00E56691"/>
    <w:rsid w:val="00E5678C"/>
    <w:rsid w:val="00E56A1D"/>
    <w:rsid w:val="00E57040"/>
    <w:rsid w:val="00E57145"/>
    <w:rsid w:val="00E57230"/>
    <w:rsid w:val="00E57697"/>
    <w:rsid w:val="00E576E5"/>
    <w:rsid w:val="00E57A36"/>
    <w:rsid w:val="00E57DA9"/>
    <w:rsid w:val="00E60061"/>
    <w:rsid w:val="00E600AF"/>
    <w:rsid w:val="00E609D1"/>
    <w:rsid w:val="00E61012"/>
    <w:rsid w:val="00E61384"/>
    <w:rsid w:val="00E6139F"/>
    <w:rsid w:val="00E61C6B"/>
    <w:rsid w:val="00E61E33"/>
    <w:rsid w:val="00E623FF"/>
    <w:rsid w:val="00E62557"/>
    <w:rsid w:val="00E62633"/>
    <w:rsid w:val="00E6269D"/>
    <w:rsid w:val="00E629FA"/>
    <w:rsid w:val="00E62BE4"/>
    <w:rsid w:val="00E62EE9"/>
    <w:rsid w:val="00E62F46"/>
    <w:rsid w:val="00E6383F"/>
    <w:rsid w:val="00E63F1A"/>
    <w:rsid w:val="00E642F6"/>
    <w:rsid w:val="00E64529"/>
    <w:rsid w:val="00E645EB"/>
    <w:rsid w:val="00E64636"/>
    <w:rsid w:val="00E6484B"/>
    <w:rsid w:val="00E64943"/>
    <w:rsid w:val="00E6515C"/>
    <w:rsid w:val="00E65625"/>
    <w:rsid w:val="00E66776"/>
    <w:rsid w:val="00E66B1A"/>
    <w:rsid w:val="00E66C32"/>
    <w:rsid w:val="00E66E56"/>
    <w:rsid w:val="00E66FD5"/>
    <w:rsid w:val="00E67556"/>
    <w:rsid w:val="00E6765A"/>
    <w:rsid w:val="00E70004"/>
    <w:rsid w:val="00E70300"/>
    <w:rsid w:val="00E70E26"/>
    <w:rsid w:val="00E716CB"/>
    <w:rsid w:val="00E71961"/>
    <w:rsid w:val="00E71B0E"/>
    <w:rsid w:val="00E71C4A"/>
    <w:rsid w:val="00E72A6B"/>
    <w:rsid w:val="00E72AC3"/>
    <w:rsid w:val="00E72C30"/>
    <w:rsid w:val="00E73111"/>
    <w:rsid w:val="00E73584"/>
    <w:rsid w:val="00E735D3"/>
    <w:rsid w:val="00E73D28"/>
    <w:rsid w:val="00E74123"/>
    <w:rsid w:val="00E74645"/>
    <w:rsid w:val="00E74757"/>
    <w:rsid w:val="00E74BC4"/>
    <w:rsid w:val="00E7561B"/>
    <w:rsid w:val="00E75803"/>
    <w:rsid w:val="00E75C0C"/>
    <w:rsid w:val="00E75FEA"/>
    <w:rsid w:val="00E7711A"/>
    <w:rsid w:val="00E77131"/>
    <w:rsid w:val="00E77323"/>
    <w:rsid w:val="00E77410"/>
    <w:rsid w:val="00E77D99"/>
    <w:rsid w:val="00E803B4"/>
    <w:rsid w:val="00E80A0A"/>
    <w:rsid w:val="00E80B91"/>
    <w:rsid w:val="00E80F99"/>
    <w:rsid w:val="00E816AB"/>
    <w:rsid w:val="00E81EC8"/>
    <w:rsid w:val="00E8206F"/>
    <w:rsid w:val="00E825F0"/>
    <w:rsid w:val="00E82AAE"/>
    <w:rsid w:val="00E82C1B"/>
    <w:rsid w:val="00E82FC0"/>
    <w:rsid w:val="00E8326A"/>
    <w:rsid w:val="00E83464"/>
    <w:rsid w:val="00E836D9"/>
    <w:rsid w:val="00E83752"/>
    <w:rsid w:val="00E83B7C"/>
    <w:rsid w:val="00E83C29"/>
    <w:rsid w:val="00E83F7B"/>
    <w:rsid w:val="00E8482F"/>
    <w:rsid w:val="00E85A26"/>
    <w:rsid w:val="00E85FD3"/>
    <w:rsid w:val="00E86045"/>
    <w:rsid w:val="00E86181"/>
    <w:rsid w:val="00E863ED"/>
    <w:rsid w:val="00E86925"/>
    <w:rsid w:val="00E8699B"/>
    <w:rsid w:val="00E86D65"/>
    <w:rsid w:val="00E870D2"/>
    <w:rsid w:val="00E9039C"/>
    <w:rsid w:val="00E908F4"/>
    <w:rsid w:val="00E90AA2"/>
    <w:rsid w:val="00E90D07"/>
    <w:rsid w:val="00E915C9"/>
    <w:rsid w:val="00E91B51"/>
    <w:rsid w:val="00E91F7A"/>
    <w:rsid w:val="00E92708"/>
    <w:rsid w:val="00E92AC9"/>
    <w:rsid w:val="00E93772"/>
    <w:rsid w:val="00E93902"/>
    <w:rsid w:val="00E9420F"/>
    <w:rsid w:val="00E9434E"/>
    <w:rsid w:val="00E9477B"/>
    <w:rsid w:val="00E949F6"/>
    <w:rsid w:val="00E94FD1"/>
    <w:rsid w:val="00E952F3"/>
    <w:rsid w:val="00E95467"/>
    <w:rsid w:val="00E95D17"/>
    <w:rsid w:val="00E95D69"/>
    <w:rsid w:val="00E96221"/>
    <w:rsid w:val="00E9649C"/>
    <w:rsid w:val="00E96B81"/>
    <w:rsid w:val="00E96C81"/>
    <w:rsid w:val="00E97BDF"/>
    <w:rsid w:val="00EA0012"/>
    <w:rsid w:val="00EA0025"/>
    <w:rsid w:val="00EA027A"/>
    <w:rsid w:val="00EA05C6"/>
    <w:rsid w:val="00EA0DAB"/>
    <w:rsid w:val="00EA101C"/>
    <w:rsid w:val="00EA10DD"/>
    <w:rsid w:val="00EA1463"/>
    <w:rsid w:val="00EA14B7"/>
    <w:rsid w:val="00EA19C0"/>
    <w:rsid w:val="00EA1A28"/>
    <w:rsid w:val="00EA1D7D"/>
    <w:rsid w:val="00EA2648"/>
    <w:rsid w:val="00EA28BA"/>
    <w:rsid w:val="00EA2AB1"/>
    <w:rsid w:val="00EA3D13"/>
    <w:rsid w:val="00EA3D33"/>
    <w:rsid w:val="00EA3D97"/>
    <w:rsid w:val="00EA4226"/>
    <w:rsid w:val="00EA4689"/>
    <w:rsid w:val="00EA4D23"/>
    <w:rsid w:val="00EA5D62"/>
    <w:rsid w:val="00EA6CB7"/>
    <w:rsid w:val="00EA6EBA"/>
    <w:rsid w:val="00EA6F16"/>
    <w:rsid w:val="00EA7037"/>
    <w:rsid w:val="00EA711B"/>
    <w:rsid w:val="00EA73BE"/>
    <w:rsid w:val="00EA75EA"/>
    <w:rsid w:val="00EA77AD"/>
    <w:rsid w:val="00EA792F"/>
    <w:rsid w:val="00EA7BBF"/>
    <w:rsid w:val="00EB0198"/>
    <w:rsid w:val="00EB0468"/>
    <w:rsid w:val="00EB04F8"/>
    <w:rsid w:val="00EB148C"/>
    <w:rsid w:val="00EB1B9F"/>
    <w:rsid w:val="00EB1E44"/>
    <w:rsid w:val="00EB2087"/>
    <w:rsid w:val="00EB2405"/>
    <w:rsid w:val="00EB26D9"/>
    <w:rsid w:val="00EB2B1B"/>
    <w:rsid w:val="00EB33A0"/>
    <w:rsid w:val="00EB3AEF"/>
    <w:rsid w:val="00EB3DEF"/>
    <w:rsid w:val="00EB3F36"/>
    <w:rsid w:val="00EB4191"/>
    <w:rsid w:val="00EB41DF"/>
    <w:rsid w:val="00EB4383"/>
    <w:rsid w:val="00EB4802"/>
    <w:rsid w:val="00EB49E5"/>
    <w:rsid w:val="00EB4CDA"/>
    <w:rsid w:val="00EB510B"/>
    <w:rsid w:val="00EB519A"/>
    <w:rsid w:val="00EB567A"/>
    <w:rsid w:val="00EB5D3D"/>
    <w:rsid w:val="00EB61C8"/>
    <w:rsid w:val="00EB6225"/>
    <w:rsid w:val="00EB63C1"/>
    <w:rsid w:val="00EB63C9"/>
    <w:rsid w:val="00EB67F8"/>
    <w:rsid w:val="00EB6FC8"/>
    <w:rsid w:val="00EB731E"/>
    <w:rsid w:val="00EB74F9"/>
    <w:rsid w:val="00EB7541"/>
    <w:rsid w:val="00EB7958"/>
    <w:rsid w:val="00EB7E57"/>
    <w:rsid w:val="00EB7EA5"/>
    <w:rsid w:val="00EC0035"/>
    <w:rsid w:val="00EC0064"/>
    <w:rsid w:val="00EC00E1"/>
    <w:rsid w:val="00EC012C"/>
    <w:rsid w:val="00EC014A"/>
    <w:rsid w:val="00EC04D3"/>
    <w:rsid w:val="00EC0C33"/>
    <w:rsid w:val="00EC1155"/>
    <w:rsid w:val="00EC1183"/>
    <w:rsid w:val="00EC19F7"/>
    <w:rsid w:val="00EC19F9"/>
    <w:rsid w:val="00EC240E"/>
    <w:rsid w:val="00EC24AA"/>
    <w:rsid w:val="00EC31FB"/>
    <w:rsid w:val="00EC336D"/>
    <w:rsid w:val="00EC39BC"/>
    <w:rsid w:val="00EC3E16"/>
    <w:rsid w:val="00EC3EA7"/>
    <w:rsid w:val="00EC4828"/>
    <w:rsid w:val="00EC4E15"/>
    <w:rsid w:val="00EC5060"/>
    <w:rsid w:val="00EC59E2"/>
    <w:rsid w:val="00EC5A32"/>
    <w:rsid w:val="00EC5EE8"/>
    <w:rsid w:val="00EC6421"/>
    <w:rsid w:val="00EC6449"/>
    <w:rsid w:val="00EC66A4"/>
    <w:rsid w:val="00EC6974"/>
    <w:rsid w:val="00EC6A7D"/>
    <w:rsid w:val="00EC6E18"/>
    <w:rsid w:val="00EC6FA3"/>
    <w:rsid w:val="00EC7021"/>
    <w:rsid w:val="00EC7E04"/>
    <w:rsid w:val="00ED00AF"/>
    <w:rsid w:val="00ED0479"/>
    <w:rsid w:val="00ED05C0"/>
    <w:rsid w:val="00ED0CC0"/>
    <w:rsid w:val="00ED0D00"/>
    <w:rsid w:val="00ED17FE"/>
    <w:rsid w:val="00ED1E3E"/>
    <w:rsid w:val="00ED1E97"/>
    <w:rsid w:val="00ED2138"/>
    <w:rsid w:val="00ED220B"/>
    <w:rsid w:val="00ED2263"/>
    <w:rsid w:val="00ED2CDE"/>
    <w:rsid w:val="00ED2D3C"/>
    <w:rsid w:val="00ED2F34"/>
    <w:rsid w:val="00ED2F56"/>
    <w:rsid w:val="00ED3038"/>
    <w:rsid w:val="00ED319D"/>
    <w:rsid w:val="00ED4683"/>
    <w:rsid w:val="00ED4A4C"/>
    <w:rsid w:val="00ED4CEE"/>
    <w:rsid w:val="00ED4EA1"/>
    <w:rsid w:val="00ED515F"/>
    <w:rsid w:val="00ED5544"/>
    <w:rsid w:val="00ED5688"/>
    <w:rsid w:val="00ED5DED"/>
    <w:rsid w:val="00ED63A3"/>
    <w:rsid w:val="00ED6482"/>
    <w:rsid w:val="00ED687D"/>
    <w:rsid w:val="00ED6CD2"/>
    <w:rsid w:val="00ED6E50"/>
    <w:rsid w:val="00ED6F4A"/>
    <w:rsid w:val="00ED7136"/>
    <w:rsid w:val="00ED7AC8"/>
    <w:rsid w:val="00ED7C18"/>
    <w:rsid w:val="00EE036F"/>
    <w:rsid w:val="00EE04FB"/>
    <w:rsid w:val="00EE08BD"/>
    <w:rsid w:val="00EE0B50"/>
    <w:rsid w:val="00EE1ADC"/>
    <w:rsid w:val="00EE1D21"/>
    <w:rsid w:val="00EE1E6F"/>
    <w:rsid w:val="00EE2F81"/>
    <w:rsid w:val="00EE40FB"/>
    <w:rsid w:val="00EE4286"/>
    <w:rsid w:val="00EE4636"/>
    <w:rsid w:val="00EE48E0"/>
    <w:rsid w:val="00EE4B07"/>
    <w:rsid w:val="00EE4CF3"/>
    <w:rsid w:val="00EE4DD5"/>
    <w:rsid w:val="00EE4FB9"/>
    <w:rsid w:val="00EE59C9"/>
    <w:rsid w:val="00EE5B7F"/>
    <w:rsid w:val="00EE5C55"/>
    <w:rsid w:val="00EE5D9E"/>
    <w:rsid w:val="00EE5FAF"/>
    <w:rsid w:val="00EE66CF"/>
    <w:rsid w:val="00EE69DA"/>
    <w:rsid w:val="00EE6BB1"/>
    <w:rsid w:val="00EE6CA6"/>
    <w:rsid w:val="00EE7221"/>
    <w:rsid w:val="00EE7335"/>
    <w:rsid w:val="00EE788D"/>
    <w:rsid w:val="00EF0086"/>
    <w:rsid w:val="00EF0568"/>
    <w:rsid w:val="00EF05F8"/>
    <w:rsid w:val="00EF0774"/>
    <w:rsid w:val="00EF13B7"/>
    <w:rsid w:val="00EF1551"/>
    <w:rsid w:val="00EF15EA"/>
    <w:rsid w:val="00EF16DA"/>
    <w:rsid w:val="00EF174C"/>
    <w:rsid w:val="00EF18C0"/>
    <w:rsid w:val="00EF197E"/>
    <w:rsid w:val="00EF27A8"/>
    <w:rsid w:val="00EF2B46"/>
    <w:rsid w:val="00EF2DB9"/>
    <w:rsid w:val="00EF2F16"/>
    <w:rsid w:val="00EF3113"/>
    <w:rsid w:val="00EF3274"/>
    <w:rsid w:val="00EF3DE4"/>
    <w:rsid w:val="00EF432C"/>
    <w:rsid w:val="00EF4548"/>
    <w:rsid w:val="00EF494E"/>
    <w:rsid w:val="00EF496B"/>
    <w:rsid w:val="00EF4B77"/>
    <w:rsid w:val="00EF4C91"/>
    <w:rsid w:val="00EF4D56"/>
    <w:rsid w:val="00EF5149"/>
    <w:rsid w:val="00EF587F"/>
    <w:rsid w:val="00EF58C9"/>
    <w:rsid w:val="00EF5A3F"/>
    <w:rsid w:val="00EF5AC3"/>
    <w:rsid w:val="00EF5D50"/>
    <w:rsid w:val="00EF6214"/>
    <w:rsid w:val="00EF646B"/>
    <w:rsid w:val="00EF77F9"/>
    <w:rsid w:val="00EF7B07"/>
    <w:rsid w:val="00F00062"/>
    <w:rsid w:val="00F00332"/>
    <w:rsid w:val="00F00485"/>
    <w:rsid w:val="00F00B96"/>
    <w:rsid w:val="00F00E2A"/>
    <w:rsid w:val="00F0110B"/>
    <w:rsid w:val="00F011CA"/>
    <w:rsid w:val="00F0155F"/>
    <w:rsid w:val="00F017A5"/>
    <w:rsid w:val="00F020D7"/>
    <w:rsid w:val="00F02141"/>
    <w:rsid w:val="00F02996"/>
    <w:rsid w:val="00F02AB5"/>
    <w:rsid w:val="00F02C63"/>
    <w:rsid w:val="00F02DD8"/>
    <w:rsid w:val="00F03136"/>
    <w:rsid w:val="00F03337"/>
    <w:rsid w:val="00F0338B"/>
    <w:rsid w:val="00F0344D"/>
    <w:rsid w:val="00F0363F"/>
    <w:rsid w:val="00F0391F"/>
    <w:rsid w:val="00F0398F"/>
    <w:rsid w:val="00F03EAA"/>
    <w:rsid w:val="00F04030"/>
    <w:rsid w:val="00F052A7"/>
    <w:rsid w:val="00F057D3"/>
    <w:rsid w:val="00F058BE"/>
    <w:rsid w:val="00F05908"/>
    <w:rsid w:val="00F05D26"/>
    <w:rsid w:val="00F063E6"/>
    <w:rsid w:val="00F06BF9"/>
    <w:rsid w:val="00F06C78"/>
    <w:rsid w:val="00F06D40"/>
    <w:rsid w:val="00F079D7"/>
    <w:rsid w:val="00F108BF"/>
    <w:rsid w:val="00F109E5"/>
    <w:rsid w:val="00F11484"/>
    <w:rsid w:val="00F11673"/>
    <w:rsid w:val="00F116E4"/>
    <w:rsid w:val="00F11D97"/>
    <w:rsid w:val="00F12553"/>
    <w:rsid w:val="00F1261E"/>
    <w:rsid w:val="00F12989"/>
    <w:rsid w:val="00F1298A"/>
    <w:rsid w:val="00F12ABA"/>
    <w:rsid w:val="00F12BE8"/>
    <w:rsid w:val="00F133DF"/>
    <w:rsid w:val="00F1372D"/>
    <w:rsid w:val="00F13ACB"/>
    <w:rsid w:val="00F1411C"/>
    <w:rsid w:val="00F14392"/>
    <w:rsid w:val="00F1468E"/>
    <w:rsid w:val="00F14A12"/>
    <w:rsid w:val="00F14B8F"/>
    <w:rsid w:val="00F14FA3"/>
    <w:rsid w:val="00F15260"/>
    <w:rsid w:val="00F15339"/>
    <w:rsid w:val="00F154BB"/>
    <w:rsid w:val="00F1583B"/>
    <w:rsid w:val="00F15A96"/>
    <w:rsid w:val="00F15C5D"/>
    <w:rsid w:val="00F16245"/>
    <w:rsid w:val="00F16686"/>
    <w:rsid w:val="00F169A5"/>
    <w:rsid w:val="00F169E0"/>
    <w:rsid w:val="00F16FA3"/>
    <w:rsid w:val="00F17179"/>
    <w:rsid w:val="00F172DE"/>
    <w:rsid w:val="00F17551"/>
    <w:rsid w:val="00F1767C"/>
    <w:rsid w:val="00F1784F"/>
    <w:rsid w:val="00F17D1B"/>
    <w:rsid w:val="00F20C5B"/>
    <w:rsid w:val="00F2113E"/>
    <w:rsid w:val="00F21270"/>
    <w:rsid w:val="00F2181E"/>
    <w:rsid w:val="00F21BEB"/>
    <w:rsid w:val="00F221A7"/>
    <w:rsid w:val="00F22451"/>
    <w:rsid w:val="00F22780"/>
    <w:rsid w:val="00F22825"/>
    <w:rsid w:val="00F22885"/>
    <w:rsid w:val="00F22BB2"/>
    <w:rsid w:val="00F22E7C"/>
    <w:rsid w:val="00F240E6"/>
    <w:rsid w:val="00F246B2"/>
    <w:rsid w:val="00F24BF0"/>
    <w:rsid w:val="00F24BFE"/>
    <w:rsid w:val="00F24C00"/>
    <w:rsid w:val="00F24C2E"/>
    <w:rsid w:val="00F24CB2"/>
    <w:rsid w:val="00F24D0C"/>
    <w:rsid w:val="00F25731"/>
    <w:rsid w:val="00F25946"/>
    <w:rsid w:val="00F25EA7"/>
    <w:rsid w:val="00F25EDA"/>
    <w:rsid w:val="00F25FCD"/>
    <w:rsid w:val="00F2619F"/>
    <w:rsid w:val="00F263EE"/>
    <w:rsid w:val="00F2652C"/>
    <w:rsid w:val="00F269C5"/>
    <w:rsid w:val="00F26CDD"/>
    <w:rsid w:val="00F277BF"/>
    <w:rsid w:val="00F30B0F"/>
    <w:rsid w:val="00F3107A"/>
    <w:rsid w:val="00F3205B"/>
    <w:rsid w:val="00F32747"/>
    <w:rsid w:val="00F32B7F"/>
    <w:rsid w:val="00F32BDA"/>
    <w:rsid w:val="00F32DAF"/>
    <w:rsid w:val="00F332E1"/>
    <w:rsid w:val="00F33444"/>
    <w:rsid w:val="00F33543"/>
    <w:rsid w:val="00F33859"/>
    <w:rsid w:val="00F33950"/>
    <w:rsid w:val="00F33B1B"/>
    <w:rsid w:val="00F33B64"/>
    <w:rsid w:val="00F33BBF"/>
    <w:rsid w:val="00F3406B"/>
    <w:rsid w:val="00F341F0"/>
    <w:rsid w:val="00F3420A"/>
    <w:rsid w:val="00F34436"/>
    <w:rsid w:val="00F34514"/>
    <w:rsid w:val="00F349C1"/>
    <w:rsid w:val="00F34D9F"/>
    <w:rsid w:val="00F3513D"/>
    <w:rsid w:val="00F35CE7"/>
    <w:rsid w:val="00F35D71"/>
    <w:rsid w:val="00F35E0D"/>
    <w:rsid w:val="00F35F4C"/>
    <w:rsid w:val="00F36544"/>
    <w:rsid w:val="00F3731F"/>
    <w:rsid w:val="00F37878"/>
    <w:rsid w:val="00F37B44"/>
    <w:rsid w:val="00F37CEC"/>
    <w:rsid w:val="00F37D77"/>
    <w:rsid w:val="00F40A1F"/>
    <w:rsid w:val="00F40A65"/>
    <w:rsid w:val="00F40C2D"/>
    <w:rsid w:val="00F40C9C"/>
    <w:rsid w:val="00F40F03"/>
    <w:rsid w:val="00F413F9"/>
    <w:rsid w:val="00F41414"/>
    <w:rsid w:val="00F416AB"/>
    <w:rsid w:val="00F41BDB"/>
    <w:rsid w:val="00F420A4"/>
    <w:rsid w:val="00F421AA"/>
    <w:rsid w:val="00F4291E"/>
    <w:rsid w:val="00F43043"/>
    <w:rsid w:val="00F43C8B"/>
    <w:rsid w:val="00F43FA8"/>
    <w:rsid w:val="00F43FAE"/>
    <w:rsid w:val="00F44FCE"/>
    <w:rsid w:val="00F4517D"/>
    <w:rsid w:val="00F451F9"/>
    <w:rsid w:val="00F454C1"/>
    <w:rsid w:val="00F4556A"/>
    <w:rsid w:val="00F45618"/>
    <w:rsid w:val="00F458C2"/>
    <w:rsid w:val="00F45CD8"/>
    <w:rsid w:val="00F45D73"/>
    <w:rsid w:val="00F46542"/>
    <w:rsid w:val="00F46C31"/>
    <w:rsid w:val="00F46C91"/>
    <w:rsid w:val="00F46D46"/>
    <w:rsid w:val="00F46EAC"/>
    <w:rsid w:val="00F46F0E"/>
    <w:rsid w:val="00F4706C"/>
    <w:rsid w:val="00F470E6"/>
    <w:rsid w:val="00F47250"/>
    <w:rsid w:val="00F4730A"/>
    <w:rsid w:val="00F475F1"/>
    <w:rsid w:val="00F47AA3"/>
    <w:rsid w:val="00F50376"/>
    <w:rsid w:val="00F50E23"/>
    <w:rsid w:val="00F512CB"/>
    <w:rsid w:val="00F51E6B"/>
    <w:rsid w:val="00F521D2"/>
    <w:rsid w:val="00F528BD"/>
    <w:rsid w:val="00F52B6C"/>
    <w:rsid w:val="00F533CA"/>
    <w:rsid w:val="00F53773"/>
    <w:rsid w:val="00F53962"/>
    <w:rsid w:val="00F53976"/>
    <w:rsid w:val="00F53DC9"/>
    <w:rsid w:val="00F53EF2"/>
    <w:rsid w:val="00F54196"/>
    <w:rsid w:val="00F54330"/>
    <w:rsid w:val="00F54483"/>
    <w:rsid w:val="00F5471A"/>
    <w:rsid w:val="00F54CA9"/>
    <w:rsid w:val="00F5596E"/>
    <w:rsid w:val="00F5644A"/>
    <w:rsid w:val="00F564E6"/>
    <w:rsid w:val="00F567DB"/>
    <w:rsid w:val="00F5716D"/>
    <w:rsid w:val="00F573A0"/>
    <w:rsid w:val="00F57435"/>
    <w:rsid w:val="00F57D33"/>
    <w:rsid w:val="00F60160"/>
    <w:rsid w:val="00F60564"/>
    <w:rsid w:val="00F606A6"/>
    <w:rsid w:val="00F60942"/>
    <w:rsid w:val="00F60977"/>
    <w:rsid w:val="00F61161"/>
    <w:rsid w:val="00F612BB"/>
    <w:rsid w:val="00F6163E"/>
    <w:rsid w:val="00F6189F"/>
    <w:rsid w:val="00F62141"/>
    <w:rsid w:val="00F622DD"/>
    <w:rsid w:val="00F625C9"/>
    <w:rsid w:val="00F62B29"/>
    <w:rsid w:val="00F636A8"/>
    <w:rsid w:val="00F637B2"/>
    <w:rsid w:val="00F637B3"/>
    <w:rsid w:val="00F63CA0"/>
    <w:rsid w:val="00F63CC7"/>
    <w:rsid w:val="00F63FE2"/>
    <w:rsid w:val="00F640AB"/>
    <w:rsid w:val="00F6499C"/>
    <w:rsid w:val="00F64C1C"/>
    <w:rsid w:val="00F6542F"/>
    <w:rsid w:val="00F654DD"/>
    <w:rsid w:val="00F65684"/>
    <w:rsid w:val="00F65CAA"/>
    <w:rsid w:val="00F65D63"/>
    <w:rsid w:val="00F65ED6"/>
    <w:rsid w:val="00F6603F"/>
    <w:rsid w:val="00F66D02"/>
    <w:rsid w:val="00F66F3A"/>
    <w:rsid w:val="00F67B0D"/>
    <w:rsid w:val="00F67F87"/>
    <w:rsid w:val="00F70152"/>
    <w:rsid w:val="00F7075F"/>
    <w:rsid w:val="00F7077D"/>
    <w:rsid w:val="00F71837"/>
    <w:rsid w:val="00F71EA9"/>
    <w:rsid w:val="00F72183"/>
    <w:rsid w:val="00F72AB0"/>
    <w:rsid w:val="00F733E7"/>
    <w:rsid w:val="00F7348A"/>
    <w:rsid w:val="00F73609"/>
    <w:rsid w:val="00F73860"/>
    <w:rsid w:val="00F73A3A"/>
    <w:rsid w:val="00F73D1B"/>
    <w:rsid w:val="00F7446B"/>
    <w:rsid w:val="00F74C2E"/>
    <w:rsid w:val="00F7534F"/>
    <w:rsid w:val="00F761CC"/>
    <w:rsid w:val="00F762A1"/>
    <w:rsid w:val="00F769E0"/>
    <w:rsid w:val="00F76A7B"/>
    <w:rsid w:val="00F76A9F"/>
    <w:rsid w:val="00F76EE3"/>
    <w:rsid w:val="00F772C1"/>
    <w:rsid w:val="00F7748E"/>
    <w:rsid w:val="00F77576"/>
    <w:rsid w:val="00F77B43"/>
    <w:rsid w:val="00F77D16"/>
    <w:rsid w:val="00F77E0A"/>
    <w:rsid w:val="00F77E97"/>
    <w:rsid w:val="00F77F6B"/>
    <w:rsid w:val="00F8053C"/>
    <w:rsid w:val="00F806F5"/>
    <w:rsid w:val="00F80B4E"/>
    <w:rsid w:val="00F81063"/>
    <w:rsid w:val="00F81312"/>
    <w:rsid w:val="00F81477"/>
    <w:rsid w:val="00F815EF"/>
    <w:rsid w:val="00F818D1"/>
    <w:rsid w:val="00F81A4B"/>
    <w:rsid w:val="00F81AE7"/>
    <w:rsid w:val="00F81DC6"/>
    <w:rsid w:val="00F8253B"/>
    <w:rsid w:val="00F825BB"/>
    <w:rsid w:val="00F82E2A"/>
    <w:rsid w:val="00F8325F"/>
    <w:rsid w:val="00F8363E"/>
    <w:rsid w:val="00F836B6"/>
    <w:rsid w:val="00F843EB"/>
    <w:rsid w:val="00F845A5"/>
    <w:rsid w:val="00F847C3"/>
    <w:rsid w:val="00F84AF2"/>
    <w:rsid w:val="00F84BAC"/>
    <w:rsid w:val="00F851DE"/>
    <w:rsid w:val="00F85576"/>
    <w:rsid w:val="00F85C69"/>
    <w:rsid w:val="00F86019"/>
    <w:rsid w:val="00F86A7B"/>
    <w:rsid w:val="00F86F58"/>
    <w:rsid w:val="00F8751F"/>
    <w:rsid w:val="00F87612"/>
    <w:rsid w:val="00F87DD9"/>
    <w:rsid w:val="00F87FF5"/>
    <w:rsid w:val="00F90111"/>
    <w:rsid w:val="00F90A89"/>
    <w:rsid w:val="00F90B54"/>
    <w:rsid w:val="00F91095"/>
    <w:rsid w:val="00F910F1"/>
    <w:rsid w:val="00F915D7"/>
    <w:rsid w:val="00F918E9"/>
    <w:rsid w:val="00F91D63"/>
    <w:rsid w:val="00F91FB5"/>
    <w:rsid w:val="00F92098"/>
    <w:rsid w:val="00F92844"/>
    <w:rsid w:val="00F93222"/>
    <w:rsid w:val="00F934A3"/>
    <w:rsid w:val="00F937E8"/>
    <w:rsid w:val="00F93DC9"/>
    <w:rsid w:val="00F94043"/>
    <w:rsid w:val="00F94169"/>
    <w:rsid w:val="00F94426"/>
    <w:rsid w:val="00F948F3"/>
    <w:rsid w:val="00F94A42"/>
    <w:rsid w:val="00F9511A"/>
    <w:rsid w:val="00F9528C"/>
    <w:rsid w:val="00F95671"/>
    <w:rsid w:val="00F95CDB"/>
    <w:rsid w:val="00F95DDA"/>
    <w:rsid w:val="00F969F7"/>
    <w:rsid w:val="00F96AF6"/>
    <w:rsid w:val="00F96CF4"/>
    <w:rsid w:val="00F96EB2"/>
    <w:rsid w:val="00F97095"/>
    <w:rsid w:val="00F976CC"/>
    <w:rsid w:val="00F9778C"/>
    <w:rsid w:val="00F97A39"/>
    <w:rsid w:val="00F97D11"/>
    <w:rsid w:val="00F97FE7"/>
    <w:rsid w:val="00FA008C"/>
    <w:rsid w:val="00FA0366"/>
    <w:rsid w:val="00FA082C"/>
    <w:rsid w:val="00FA0863"/>
    <w:rsid w:val="00FA0A89"/>
    <w:rsid w:val="00FA0CCF"/>
    <w:rsid w:val="00FA103D"/>
    <w:rsid w:val="00FA1114"/>
    <w:rsid w:val="00FA1DFD"/>
    <w:rsid w:val="00FA239D"/>
    <w:rsid w:val="00FA2591"/>
    <w:rsid w:val="00FA2726"/>
    <w:rsid w:val="00FA2797"/>
    <w:rsid w:val="00FA287A"/>
    <w:rsid w:val="00FA399F"/>
    <w:rsid w:val="00FA3E25"/>
    <w:rsid w:val="00FA41E8"/>
    <w:rsid w:val="00FA449A"/>
    <w:rsid w:val="00FA45CE"/>
    <w:rsid w:val="00FA515E"/>
    <w:rsid w:val="00FA595F"/>
    <w:rsid w:val="00FA5C9B"/>
    <w:rsid w:val="00FA5F01"/>
    <w:rsid w:val="00FA6664"/>
    <w:rsid w:val="00FA671D"/>
    <w:rsid w:val="00FA71E3"/>
    <w:rsid w:val="00FA7492"/>
    <w:rsid w:val="00FA7E36"/>
    <w:rsid w:val="00FB0FE9"/>
    <w:rsid w:val="00FB123E"/>
    <w:rsid w:val="00FB1270"/>
    <w:rsid w:val="00FB1688"/>
    <w:rsid w:val="00FB16BE"/>
    <w:rsid w:val="00FB19B0"/>
    <w:rsid w:val="00FB1A00"/>
    <w:rsid w:val="00FB1D38"/>
    <w:rsid w:val="00FB2090"/>
    <w:rsid w:val="00FB245B"/>
    <w:rsid w:val="00FB258C"/>
    <w:rsid w:val="00FB2910"/>
    <w:rsid w:val="00FB2DA0"/>
    <w:rsid w:val="00FB2FE5"/>
    <w:rsid w:val="00FB320F"/>
    <w:rsid w:val="00FB367B"/>
    <w:rsid w:val="00FB3AD0"/>
    <w:rsid w:val="00FB3AFE"/>
    <w:rsid w:val="00FB3F85"/>
    <w:rsid w:val="00FB419A"/>
    <w:rsid w:val="00FB4DB8"/>
    <w:rsid w:val="00FB4E00"/>
    <w:rsid w:val="00FB4E85"/>
    <w:rsid w:val="00FB56E4"/>
    <w:rsid w:val="00FB59BF"/>
    <w:rsid w:val="00FB5A96"/>
    <w:rsid w:val="00FB5C83"/>
    <w:rsid w:val="00FB62D6"/>
    <w:rsid w:val="00FB62E9"/>
    <w:rsid w:val="00FB675C"/>
    <w:rsid w:val="00FB6C63"/>
    <w:rsid w:val="00FB6DA3"/>
    <w:rsid w:val="00FB6E9F"/>
    <w:rsid w:val="00FB7846"/>
    <w:rsid w:val="00FB7994"/>
    <w:rsid w:val="00FB7A68"/>
    <w:rsid w:val="00FB7A69"/>
    <w:rsid w:val="00FB7BE2"/>
    <w:rsid w:val="00FB7E6F"/>
    <w:rsid w:val="00FC0133"/>
    <w:rsid w:val="00FC0971"/>
    <w:rsid w:val="00FC0A07"/>
    <w:rsid w:val="00FC0ADE"/>
    <w:rsid w:val="00FC1085"/>
    <w:rsid w:val="00FC11B2"/>
    <w:rsid w:val="00FC13F6"/>
    <w:rsid w:val="00FC165A"/>
    <w:rsid w:val="00FC1B4B"/>
    <w:rsid w:val="00FC1F60"/>
    <w:rsid w:val="00FC2680"/>
    <w:rsid w:val="00FC2D85"/>
    <w:rsid w:val="00FC3219"/>
    <w:rsid w:val="00FC3597"/>
    <w:rsid w:val="00FC3A69"/>
    <w:rsid w:val="00FC3D18"/>
    <w:rsid w:val="00FC3EB8"/>
    <w:rsid w:val="00FC4265"/>
    <w:rsid w:val="00FC4366"/>
    <w:rsid w:val="00FC463D"/>
    <w:rsid w:val="00FC47E8"/>
    <w:rsid w:val="00FC482F"/>
    <w:rsid w:val="00FC4A70"/>
    <w:rsid w:val="00FC4BE4"/>
    <w:rsid w:val="00FC5015"/>
    <w:rsid w:val="00FC50F6"/>
    <w:rsid w:val="00FC5125"/>
    <w:rsid w:val="00FC5D8B"/>
    <w:rsid w:val="00FC6153"/>
    <w:rsid w:val="00FC630F"/>
    <w:rsid w:val="00FC63D3"/>
    <w:rsid w:val="00FC6642"/>
    <w:rsid w:val="00FC664F"/>
    <w:rsid w:val="00FC6892"/>
    <w:rsid w:val="00FC6987"/>
    <w:rsid w:val="00FC70D7"/>
    <w:rsid w:val="00FC71DE"/>
    <w:rsid w:val="00FC733F"/>
    <w:rsid w:val="00FC7473"/>
    <w:rsid w:val="00FC78B0"/>
    <w:rsid w:val="00FC7C0C"/>
    <w:rsid w:val="00FC7D40"/>
    <w:rsid w:val="00FD00EE"/>
    <w:rsid w:val="00FD0468"/>
    <w:rsid w:val="00FD078E"/>
    <w:rsid w:val="00FD142D"/>
    <w:rsid w:val="00FD163B"/>
    <w:rsid w:val="00FD1A78"/>
    <w:rsid w:val="00FD1C46"/>
    <w:rsid w:val="00FD1F33"/>
    <w:rsid w:val="00FD2041"/>
    <w:rsid w:val="00FD2169"/>
    <w:rsid w:val="00FD22C0"/>
    <w:rsid w:val="00FD26A4"/>
    <w:rsid w:val="00FD307D"/>
    <w:rsid w:val="00FD3B26"/>
    <w:rsid w:val="00FD3EA4"/>
    <w:rsid w:val="00FD42B8"/>
    <w:rsid w:val="00FD43D4"/>
    <w:rsid w:val="00FD45EF"/>
    <w:rsid w:val="00FD48AA"/>
    <w:rsid w:val="00FD48D8"/>
    <w:rsid w:val="00FD4B0D"/>
    <w:rsid w:val="00FD4DA2"/>
    <w:rsid w:val="00FD54D7"/>
    <w:rsid w:val="00FD5642"/>
    <w:rsid w:val="00FD58B6"/>
    <w:rsid w:val="00FD5C03"/>
    <w:rsid w:val="00FD5CE8"/>
    <w:rsid w:val="00FD5D35"/>
    <w:rsid w:val="00FD5D83"/>
    <w:rsid w:val="00FD5DBA"/>
    <w:rsid w:val="00FD663D"/>
    <w:rsid w:val="00FD6BC8"/>
    <w:rsid w:val="00FD7214"/>
    <w:rsid w:val="00FD7EC6"/>
    <w:rsid w:val="00FE0945"/>
    <w:rsid w:val="00FE1003"/>
    <w:rsid w:val="00FE1015"/>
    <w:rsid w:val="00FE14E5"/>
    <w:rsid w:val="00FE1654"/>
    <w:rsid w:val="00FE1844"/>
    <w:rsid w:val="00FE189A"/>
    <w:rsid w:val="00FE1AAE"/>
    <w:rsid w:val="00FE227C"/>
    <w:rsid w:val="00FE22E5"/>
    <w:rsid w:val="00FE24C7"/>
    <w:rsid w:val="00FE2653"/>
    <w:rsid w:val="00FE2858"/>
    <w:rsid w:val="00FE2F76"/>
    <w:rsid w:val="00FE3175"/>
    <w:rsid w:val="00FE38CF"/>
    <w:rsid w:val="00FE3C8B"/>
    <w:rsid w:val="00FE3DC2"/>
    <w:rsid w:val="00FE3E57"/>
    <w:rsid w:val="00FE4123"/>
    <w:rsid w:val="00FE48DE"/>
    <w:rsid w:val="00FE4A24"/>
    <w:rsid w:val="00FE5463"/>
    <w:rsid w:val="00FE55F5"/>
    <w:rsid w:val="00FE5637"/>
    <w:rsid w:val="00FE5CD8"/>
    <w:rsid w:val="00FE5F2C"/>
    <w:rsid w:val="00FE6303"/>
    <w:rsid w:val="00FE68C7"/>
    <w:rsid w:val="00FE6FAB"/>
    <w:rsid w:val="00FF01A2"/>
    <w:rsid w:val="00FF04A0"/>
    <w:rsid w:val="00FF09B3"/>
    <w:rsid w:val="00FF0A8C"/>
    <w:rsid w:val="00FF0D9F"/>
    <w:rsid w:val="00FF14E0"/>
    <w:rsid w:val="00FF1DAB"/>
    <w:rsid w:val="00FF1E52"/>
    <w:rsid w:val="00FF2448"/>
    <w:rsid w:val="00FF2686"/>
    <w:rsid w:val="00FF299D"/>
    <w:rsid w:val="00FF2D7D"/>
    <w:rsid w:val="00FF30BD"/>
    <w:rsid w:val="00FF3373"/>
    <w:rsid w:val="00FF3598"/>
    <w:rsid w:val="00FF3C3B"/>
    <w:rsid w:val="00FF3D59"/>
    <w:rsid w:val="00FF3D7C"/>
    <w:rsid w:val="00FF400D"/>
    <w:rsid w:val="00FF41C9"/>
    <w:rsid w:val="00FF4238"/>
    <w:rsid w:val="00FF45C3"/>
    <w:rsid w:val="00FF47DF"/>
    <w:rsid w:val="00FF4937"/>
    <w:rsid w:val="00FF4950"/>
    <w:rsid w:val="00FF4D25"/>
    <w:rsid w:val="00FF4EF9"/>
    <w:rsid w:val="00FF4F33"/>
    <w:rsid w:val="00FF58F9"/>
    <w:rsid w:val="00FF5CC2"/>
    <w:rsid w:val="00FF6B88"/>
    <w:rsid w:val="00FF6BF0"/>
    <w:rsid w:val="00FF6CED"/>
    <w:rsid w:val="00FF6E25"/>
    <w:rsid w:val="00FF7098"/>
    <w:rsid w:val="00FF710B"/>
    <w:rsid w:val="00FF7218"/>
    <w:rsid w:val="00FF7338"/>
    <w:rsid w:val="00FF7697"/>
    <w:rsid w:val="00FF7735"/>
    <w:rsid w:val="00FF77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61" style="mso-position-vertical-relative:line" fill="f" fillcolor="white" stroke="f">
      <v:fill color="white" on="f"/>
      <v:stroke on="f"/>
    </o:shapedefaults>
    <o:shapelayout v:ext="edit">
      <o:idmap v:ext="edit" data="1"/>
    </o:shapelayout>
  </w:shapeDefaults>
  <w:decimalSymbol w:val=","/>
  <w:listSeparator w:val=";"/>
  <w14:docId w14:val="7D398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ahoma"/>
        <w:lang w:val="en-US" w:eastAsia="ja-JP" w:bidi="ar-SA"/>
      </w:rPr>
    </w:rPrDefault>
    <w:pPrDefault/>
  </w:docDefaults>
  <w:latentStyles w:defLockedState="0" w:defUIPriority="0" w:defSemiHidden="0" w:defUnhideWhenUsed="0" w:defQFormat="0" w:count="371">
    <w:lsdException w:name="heading 1" w:uiPriority="1" w:qFormat="1"/>
    <w:lsdException w:name="heading 2" w:uiPriority="1" w:qFormat="1"/>
    <w:lsdException w:name="heading 3" w:uiPriority="1" w:qFormat="1"/>
    <w:lsdException w:name="heading 4" w:uiPriority="1" w:qFormat="1"/>
    <w:lsdException w:name="heading 5" w:uiPriority="1"/>
    <w:lsdException w:name="heading 6" w:uiPriority="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B18DC"/>
    <w:pPr>
      <w:widowControl w:val="0"/>
      <w:suppressAutoHyphens/>
      <w:autoSpaceDN w:val="0"/>
      <w:textAlignment w:val="baseline"/>
    </w:pPr>
    <w:rPr>
      <w:rFonts w:ascii="Calibri" w:hAnsi="Calibri"/>
      <w:kern w:val="3"/>
      <w:sz w:val="24"/>
      <w:szCs w:val="24"/>
      <w:lang w:val="fr-BE" w:eastAsia="zh-CN"/>
    </w:rPr>
  </w:style>
  <w:style w:type="paragraph" w:styleId="Heading1">
    <w:name w:val="heading 1"/>
    <w:basedOn w:val="Normal"/>
    <w:next w:val="Guide-version"/>
    <w:link w:val="Heading1Char"/>
    <w:uiPriority w:val="1"/>
    <w:qFormat/>
    <w:rsid w:val="007B57ED"/>
    <w:pPr>
      <w:keepNext/>
      <w:widowControl/>
      <w:spacing w:before="240" w:after="60"/>
      <w:outlineLvl w:val="0"/>
    </w:pPr>
    <w:rPr>
      <w:rFonts w:ascii="Arial Narrow" w:eastAsia="Times New Roman" w:hAnsi="Arial Narrow" w:cs="Times New Roman"/>
      <w:b/>
      <w:sz w:val="52"/>
      <w:szCs w:val="20"/>
    </w:rPr>
  </w:style>
  <w:style w:type="paragraph" w:styleId="Heading2">
    <w:name w:val="heading 2"/>
    <w:basedOn w:val="Heading1"/>
    <w:next w:val="Normal"/>
    <w:link w:val="Heading2Char"/>
    <w:uiPriority w:val="1"/>
    <w:qFormat/>
    <w:rsid w:val="00291323"/>
    <w:pPr>
      <w:spacing w:before="360" w:after="240" w:line="380" w:lineRule="exact"/>
      <w:ind w:left="720"/>
      <w:outlineLvl w:val="1"/>
    </w:pPr>
    <w:rPr>
      <w:sz w:val="32"/>
    </w:rPr>
  </w:style>
  <w:style w:type="paragraph" w:styleId="Heading3">
    <w:name w:val="heading 3"/>
    <w:basedOn w:val="Heading1"/>
    <w:next w:val="Normal"/>
    <w:link w:val="Heading3Char"/>
    <w:uiPriority w:val="1"/>
    <w:qFormat/>
    <w:rsid w:val="00291323"/>
    <w:pPr>
      <w:spacing w:before="360" w:after="240" w:line="340" w:lineRule="exact"/>
      <w:ind w:left="720" w:firstLine="720"/>
      <w:outlineLvl w:val="2"/>
    </w:pPr>
    <w:rPr>
      <w:sz w:val="28"/>
    </w:rPr>
  </w:style>
  <w:style w:type="paragraph" w:styleId="Heading4">
    <w:name w:val="heading 4"/>
    <w:basedOn w:val="Heading1"/>
    <w:next w:val="Normal"/>
    <w:link w:val="Heading4Char"/>
    <w:uiPriority w:val="1"/>
    <w:qFormat/>
    <w:rsid w:val="00291323"/>
    <w:pPr>
      <w:spacing w:after="120" w:line="280" w:lineRule="exact"/>
      <w:ind w:left="1531"/>
      <w:outlineLvl w:val="3"/>
    </w:pPr>
    <w:rPr>
      <w:sz w:val="22"/>
      <w:szCs w:val="24"/>
    </w:rPr>
  </w:style>
  <w:style w:type="paragraph" w:styleId="Heading5">
    <w:name w:val="heading 5"/>
    <w:basedOn w:val="Normal"/>
    <w:next w:val="Normal"/>
    <w:link w:val="Heading5Char"/>
    <w:uiPriority w:val="1"/>
    <w:semiHidden/>
    <w:rsid w:val="00C554B7"/>
    <w:pPr>
      <w:widowControl/>
      <w:spacing w:before="120" w:after="60" w:line="240" w:lineRule="exact"/>
      <w:ind w:left="1531"/>
      <w:jc w:val="both"/>
      <w:outlineLvl w:val="4"/>
    </w:pPr>
    <w:rPr>
      <w:rFonts w:eastAsia="Times New Roman" w:cs="Times New Roman"/>
      <w:b/>
      <w:i/>
      <w:sz w:val="22"/>
      <w:lang w:val="en-IE"/>
    </w:rPr>
  </w:style>
  <w:style w:type="paragraph" w:styleId="Heading6">
    <w:name w:val="heading 6"/>
    <w:basedOn w:val="Normal"/>
    <w:next w:val="Guide-version"/>
    <w:link w:val="Heading6Char"/>
    <w:uiPriority w:val="1"/>
    <w:semiHidden/>
    <w:rsid w:val="007B57ED"/>
    <w:pPr>
      <w:keepNext/>
      <w:widowControl/>
      <w:ind w:left="1418"/>
      <w:outlineLvl w:val="5"/>
    </w:pPr>
    <w:rPr>
      <w:rFonts w:eastAsia="Times New Roman" w:cs="Times New Roman"/>
      <w:b/>
      <w:sz w:val="22"/>
      <w:lang w:val="en-IE"/>
    </w:rPr>
  </w:style>
  <w:style w:type="paragraph" w:styleId="Heading7">
    <w:name w:val="heading 7"/>
    <w:basedOn w:val="Normal"/>
    <w:next w:val="Guide-version"/>
    <w:link w:val="Heading7Char"/>
    <w:semiHidden/>
    <w:rsid w:val="007B57ED"/>
    <w:pPr>
      <w:keepNext/>
      <w:widowControl/>
      <w:jc w:val="center"/>
      <w:outlineLvl w:val="6"/>
    </w:pPr>
    <w:rPr>
      <w:rFonts w:ascii="Arial" w:eastAsia="Times New Roman" w:hAnsi="Arial" w:cs="Times New Roman"/>
      <w:b/>
      <w:sz w:val="32"/>
      <w:lang w:val="en-IE"/>
    </w:rPr>
  </w:style>
  <w:style w:type="paragraph" w:styleId="Heading8">
    <w:name w:val="heading 8"/>
    <w:basedOn w:val="Normal"/>
    <w:next w:val="Guide-version"/>
    <w:link w:val="Heading8Char"/>
    <w:semiHidden/>
    <w:rsid w:val="007B57ED"/>
    <w:pPr>
      <w:keepNext/>
      <w:widowControl/>
      <w:outlineLvl w:val="7"/>
    </w:pPr>
    <w:rPr>
      <w:rFonts w:ascii="Arial" w:eastAsia="Times New Roman" w:hAnsi="Arial" w:cs="Times New Roman"/>
      <w:b/>
      <w:bCs/>
      <w:sz w:val="18"/>
      <w:szCs w:val="16"/>
      <w:lang w:val="en-IE"/>
    </w:rPr>
  </w:style>
  <w:style w:type="paragraph" w:styleId="Heading9">
    <w:name w:val="heading 9"/>
    <w:basedOn w:val="Normal"/>
    <w:next w:val="Guide-version"/>
    <w:link w:val="Heading9Char"/>
    <w:semiHidden/>
    <w:rsid w:val="007B57ED"/>
    <w:pPr>
      <w:keepNext/>
      <w:widowControl/>
      <w:jc w:val="center"/>
      <w:outlineLvl w:val="8"/>
    </w:pPr>
    <w:rPr>
      <w:rFonts w:ascii="Arial" w:eastAsia="Times New Roman" w:hAnsi="Arial" w:cs="Times New Roman"/>
      <w:b/>
      <w:bCs/>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rsid w:val="00291323"/>
  </w:style>
  <w:style w:type="paragraph" w:customStyle="1" w:styleId="Guide-BigSubtitle">
    <w:name w:val="Guide - Big Subtitle"/>
    <w:qFormat/>
    <w:rsid w:val="00E90D07"/>
    <w:pPr>
      <w:suppressAutoHyphens/>
      <w:spacing w:after="360"/>
      <w:jc w:val="center"/>
    </w:pPr>
    <w:rPr>
      <w:rFonts w:ascii="Calibri" w:eastAsia="Times New Roman" w:hAnsi="Calibri"/>
      <w:b/>
      <w:kern w:val="3"/>
      <w:sz w:val="40"/>
      <w:szCs w:val="40"/>
      <w:shd w:val="clear" w:color="auto" w:fill="FFFFFF"/>
      <w:lang w:val="en-GB" w:eastAsia="en-GB"/>
    </w:rPr>
  </w:style>
  <w:style w:type="paragraph" w:customStyle="1" w:styleId="NumPar2">
    <w:name w:val="NumPar 2"/>
    <w:basedOn w:val="Heading2"/>
    <w:next w:val="Normal"/>
    <w:semiHidden/>
    <w:rsid w:val="00291323"/>
    <w:pPr>
      <w:keepNext w:val="0"/>
      <w:tabs>
        <w:tab w:val="left" w:pos="1080"/>
      </w:tabs>
      <w:spacing w:before="0" w:line="240" w:lineRule="auto"/>
      <w:ind w:left="1080" w:hanging="600"/>
      <w:jc w:val="both"/>
    </w:pPr>
    <w:rPr>
      <w:rFonts w:ascii="Times New Roman" w:hAnsi="Times New Roman"/>
      <w:b w:val="0"/>
      <w:sz w:val="24"/>
    </w:rPr>
  </w:style>
  <w:style w:type="paragraph" w:customStyle="1" w:styleId="Guide-version">
    <w:name w:val="Guide - version"/>
    <w:basedOn w:val="Normal"/>
    <w:qFormat/>
    <w:rsid w:val="00F22825"/>
    <w:pPr>
      <w:jc w:val="right"/>
    </w:pPr>
    <w:rPr>
      <w:i/>
      <w:noProof/>
      <w:color w:val="FFFFFF"/>
      <w:lang w:val="en-GB"/>
    </w:rPr>
  </w:style>
  <w:style w:type="paragraph" w:customStyle="1" w:styleId="Guide-ListLetterTable">
    <w:name w:val="Guide - List Letter Table"/>
    <w:basedOn w:val="Normal"/>
    <w:rsid w:val="003E17FD"/>
    <w:pPr>
      <w:numPr>
        <w:numId w:val="55"/>
      </w:numPr>
      <w:suppressAutoHyphens w:val="0"/>
      <w:adjustRightInd w:val="0"/>
      <w:spacing w:beforeLines="60" w:afterLines="60"/>
      <w:contextualSpacing/>
      <w:textAlignment w:val="auto"/>
    </w:pPr>
    <w:rPr>
      <w:noProof/>
      <w:sz w:val="18"/>
      <w:szCs w:val="18"/>
      <w:lang w:val="en-GB" w:eastAsia="en-GB"/>
    </w:rPr>
  </w:style>
  <w:style w:type="paragraph" w:customStyle="1" w:styleId="Guide-Title">
    <w:name w:val="Guide - Title"/>
    <w:basedOn w:val="Title"/>
    <w:rsid w:val="00785606"/>
  </w:style>
  <w:style w:type="paragraph" w:styleId="Header">
    <w:name w:val="header"/>
    <w:aliases w:val="Guide - Header"/>
    <w:basedOn w:val="Normal"/>
    <w:link w:val="HeaderChar"/>
    <w:uiPriority w:val="99"/>
    <w:qFormat/>
    <w:rsid w:val="004C7571"/>
    <w:pPr>
      <w:jc w:val="right"/>
    </w:pPr>
    <w:rPr>
      <w:rFonts w:cs="Times New Roman"/>
      <w:color w:val="0D79BB"/>
      <w:sz w:val="16"/>
      <w:szCs w:val="16"/>
    </w:rPr>
  </w:style>
  <w:style w:type="paragraph" w:styleId="Footer">
    <w:name w:val="footer"/>
    <w:basedOn w:val="Normal"/>
    <w:link w:val="FooterChar"/>
    <w:uiPriority w:val="99"/>
    <w:rsid w:val="000F1756"/>
    <w:pPr>
      <w:widowControl/>
      <w:tabs>
        <w:tab w:val="center" w:pos="4153"/>
        <w:tab w:val="right" w:pos="8306"/>
      </w:tabs>
      <w:jc w:val="right"/>
    </w:pPr>
    <w:rPr>
      <w:rFonts w:eastAsia="Times New Roman" w:cs="Times New Roman"/>
      <w:sz w:val="20"/>
      <w:szCs w:val="20"/>
      <w:lang w:val="en-IE"/>
    </w:rPr>
  </w:style>
  <w:style w:type="paragraph" w:customStyle="1" w:styleId="Guide-Footnote">
    <w:name w:val="Guide - Footnote"/>
    <w:basedOn w:val="Normal"/>
    <w:qFormat/>
    <w:rsid w:val="00C15888"/>
    <w:pPr>
      <w:widowControl/>
      <w:tabs>
        <w:tab w:val="left" w:pos="284"/>
      </w:tabs>
      <w:ind w:left="284" w:hanging="284"/>
    </w:pPr>
    <w:rPr>
      <w:rFonts w:cs="Times New Roman"/>
      <w:sz w:val="14"/>
      <w:szCs w:val="16"/>
      <w:lang w:val="en-US" w:eastAsia="en-GB"/>
    </w:rPr>
  </w:style>
  <w:style w:type="paragraph" w:customStyle="1" w:styleId="Guide-Subtitle">
    <w:name w:val="Guide - Subtitle"/>
    <w:basedOn w:val="Subtitle"/>
    <w:rsid w:val="00785606"/>
  </w:style>
  <w:style w:type="paragraph" w:styleId="Title">
    <w:name w:val="Title"/>
    <w:basedOn w:val="Normal"/>
    <w:next w:val="Subtitle"/>
    <w:link w:val="TitleChar"/>
    <w:uiPriority w:val="10"/>
    <w:qFormat/>
    <w:rsid w:val="00B07F8C"/>
    <w:pPr>
      <w:jc w:val="center"/>
    </w:pPr>
    <w:rPr>
      <w:rFonts w:cs="Times New Roman"/>
      <w:b/>
      <w:color w:val="FFFFFF"/>
      <w:sz w:val="128"/>
      <w:szCs w:val="128"/>
    </w:rPr>
  </w:style>
  <w:style w:type="paragraph" w:styleId="Subtitle">
    <w:name w:val="Subtitle"/>
    <w:basedOn w:val="Normal"/>
    <w:next w:val="Normal"/>
    <w:link w:val="SubtitleChar"/>
    <w:uiPriority w:val="11"/>
    <w:qFormat/>
    <w:rsid w:val="007B57ED"/>
    <w:pPr>
      <w:ind w:left="3828"/>
    </w:pPr>
    <w:rPr>
      <w:rFonts w:cs="Times New Roman"/>
      <w:i/>
      <w:color w:val="FFFFFF"/>
      <w:sz w:val="60"/>
      <w:szCs w:val="60"/>
    </w:rPr>
  </w:style>
  <w:style w:type="paragraph" w:styleId="ListNumber2">
    <w:name w:val="List Number 2"/>
    <w:basedOn w:val="Normal"/>
    <w:rsid w:val="00521AF9"/>
    <w:pPr>
      <w:widowControl/>
      <w:numPr>
        <w:numId w:val="72"/>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ListNumber2Level2">
    <w:name w:val="List Number 2 (Level 2)"/>
    <w:basedOn w:val="Normal"/>
    <w:rsid w:val="00521AF9"/>
    <w:pPr>
      <w:widowControl/>
      <w:numPr>
        <w:ilvl w:val="1"/>
        <w:numId w:val="72"/>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ListNumber2Level3">
    <w:name w:val="List Number 2 (Level 3)"/>
    <w:basedOn w:val="Normal"/>
    <w:rsid w:val="00521AF9"/>
    <w:pPr>
      <w:widowControl/>
      <w:numPr>
        <w:ilvl w:val="2"/>
        <w:numId w:val="72"/>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ListNumber2Level4">
    <w:name w:val="List Number 2 (Level 4)"/>
    <w:basedOn w:val="Normal"/>
    <w:rsid w:val="00521AF9"/>
    <w:pPr>
      <w:widowControl/>
      <w:numPr>
        <w:ilvl w:val="3"/>
        <w:numId w:val="72"/>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ListNumber1">
    <w:name w:val="List Number 1"/>
    <w:basedOn w:val="Normal"/>
    <w:rsid w:val="00521AF9"/>
    <w:pPr>
      <w:widowControl/>
      <w:numPr>
        <w:numId w:val="71"/>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ListNumber1Level2">
    <w:name w:val="List Number 1 (Level 2)"/>
    <w:basedOn w:val="Normal"/>
    <w:rsid w:val="00521AF9"/>
    <w:pPr>
      <w:widowControl/>
      <w:numPr>
        <w:ilvl w:val="1"/>
        <w:numId w:val="71"/>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ListNumber1Level3">
    <w:name w:val="List Number 1 (Level 3)"/>
    <w:basedOn w:val="Normal"/>
    <w:rsid w:val="00521AF9"/>
    <w:pPr>
      <w:widowControl/>
      <w:numPr>
        <w:ilvl w:val="2"/>
        <w:numId w:val="71"/>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ListNumber1Level4">
    <w:name w:val="List Number 1 (Level 4)"/>
    <w:basedOn w:val="Normal"/>
    <w:rsid w:val="00521AF9"/>
    <w:pPr>
      <w:widowControl/>
      <w:numPr>
        <w:ilvl w:val="3"/>
        <w:numId w:val="71"/>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ListBullet1">
    <w:name w:val="List Bullet 1"/>
    <w:basedOn w:val="Normal"/>
    <w:rsid w:val="00521AF9"/>
    <w:pPr>
      <w:widowControl/>
      <w:numPr>
        <w:numId w:val="61"/>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ListDash4">
    <w:name w:val="List Dash 4"/>
    <w:basedOn w:val="Normal"/>
    <w:rsid w:val="00521AF9"/>
    <w:pPr>
      <w:widowControl/>
      <w:numPr>
        <w:numId w:val="69"/>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styleId="ListBullet">
    <w:name w:val="List Bullet"/>
    <w:basedOn w:val="Normal"/>
    <w:rsid w:val="00521AF9"/>
    <w:pPr>
      <w:widowControl/>
      <w:numPr>
        <w:numId w:val="60"/>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styleId="ListNumber">
    <w:name w:val="List Number"/>
    <w:basedOn w:val="Normal"/>
    <w:rsid w:val="00521AF9"/>
    <w:pPr>
      <w:widowControl/>
      <w:numPr>
        <w:numId w:val="70"/>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ListNumberLevel2">
    <w:name w:val="List Number (Level 2)"/>
    <w:basedOn w:val="Normal"/>
    <w:rsid w:val="00521AF9"/>
    <w:pPr>
      <w:widowControl/>
      <w:numPr>
        <w:ilvl w:val="1"/>
        <w:numId w:val="70"/>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ListNumberLevel3">
    <w:name w:val="List Number (Level 3)"/>
    <w:basedOn w:val="Normal"/>
    <w:rsid w:val="00521AF9"/>
    <w:pPr>
      <w:widowControl/>
      <w:numPr>
        <w:ilvl w:val="2"/>
        <w:numId w:val="70"/>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ListNumberLevel4">
    <w:name w:val="List Number (Level 4)"/>
    <w:basedOn w:val="Normal"/>
    <w:rsid w:val="00521AF9"/>
    <w:pPr>
      <w:widowControl/>
      <w:numPr>
        <w:ilvl w:val="3"/>
        <w:numId w:val="70"/>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Guide-ListDash">
    <w:name w:val="Guide - List Dash"/>
    <w:basedOn w:val="Normal"/>
    <w:qFormat/>
    <w:rsid w:val="006D3A64"/>
    <w:pPr>
      <w:numPr>
        <w:numId w:val="52"/>
      </w:numPr>
      <w:autoSpaceDN/>
      <w:spacing w:after="120"/>
      <w:contextualSpacing/>
      <w:jc w:val="both"/>
      <w:textAlignment w:val="auto"/>
    </w:pPr>
    <w:rPr>
      <w:sz w:val="18"/>
      <w:szCs w:val="18"/>
      <w:lang w:val="en-GB"/>
    </w:rPr>
  </w:style>
  <w:style w:type="paragraph" w:styleId="ListBullet2">
    <w:name w:val="List Bullet 2"/>
    <w:basedOn w:val="Normal"/>
    <w:link w:val="ListBullet2Char"/>
    <w:rsid w:val="00521AF9"/>
    <w:pPr>
      <w:widowControl/>
      <w:numPr>
        <w:numId w:val="62"/>
      </w:numPr>
      <w:suppressAutoHyphens w:val="0"/>
      <w:autoSpaceDN/>
      <w:spacing w:after="240"/>
      <w:jc w:val="both"/>
      <w:textAlignment w:val="auto"/>
    </w:pPr>
    <w:rPr>
      <w:rFonts w:ascii="Times New Roman" w:eastAsia="Times New Roman" w:hAnsi="Times New Roman" w:cs="Times New Roman"/>
      <w:kern w:val="0"/>
      <w:sz w:val="20"/>
      <w:szCs w:val="20"/>
      <w:lang w:eastAsia="en-US"/>
    </w:rPr>
  </w:style>
  <w:style w:type="paragraph" w:customStyle="1" w:styleId="Titre31">
    <w:name w:val="Titre 31"/>
    <w:basedOn w:val="Title"/>
    <w:semiHidden/>
    <w:rsid w:val="00291323"/>
    <w:pPr>
      <w:numPr>
        <w:numId w:val="49"/>
      </w:numPr>
      <w:jc w:val="both"/>
    </w:pPr>
    <w:rPr>
      <w:i/>
      <w:sz w:val="24"/>
    </w:rPr>
  </w:style>
  <w:style w:type="paragraph" w:styleId="ListBullet3">
    <w:name w:val="List Bullet 3"/>
    <w:basedOn w:val="Normal"/>
    <w:rsid w:val="00521AF9"/>
    <w:pPr>
      <w:widowControl/>
      <w:numPr>
        <w:numId w:val="63"/>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NormalH3">
    <w:name w:val="Normal H3"/>
    <w:basedOn w:val="Normal"/>
    <w:semiHidden/>
    <w:rsid w:val="007B57ED"/>
    <w:pPr>
      <w:widowControl/>
      <w:ind w:left="1418"/>
      <w:jc w:val="both"/>
    </w:pPr>
    <w:rPr>
      <w:rFonts w:eastAsia="Times New Roman" w:cs="Times New Roman"/>
      <w:szCs w:val="20"/>
      <w:lang w:val="en-US"/>
    </w:rPr>
  </w:style>
  <w:style w:type="paragraph" w:customStyle="1" w:styleId="NormalH2">
    <w:name w:val="Normal H2"/>
    <w:basedOn w:val="Normal"/>
    <w:semiHidden/>
    <w:rsid w:val="007B57ED"/>
    <w:pPr>
      <w:widowControl/>
      <w:ind w:left="737"/>
      <w:jc w:val="both"/>
    </w:pPr>
    <w:rPr>
      <w:rFonts w:eastAsia="Times New Roman" w:cs="Times New Roman"/>
      <w:szCs w:val="20"/>
      <w:lang w:val="en-GB"/>
    </w:rPr>
  </w:style>
  <w:style w:type="paragraph" w:customStyle="1" w:styleId="Guide-Cover-Attention">
    <w:name w:val="Guide - Cover - Attention"/>
    <w:basedOn w:val="Normal"/>
    <w:rsid w:val="00F22825"/>
    <w:pPr>
      <w:widowControl/>
      <w:pBdr>
        <w:top w:val="single" w:sz="4" w:space="2" w:color="auto"/>
        <w:left w:val="single" w:sz="4" w:space="4" w:color="auto"/>
        <w:bottom w:val="single" w:sz="4" w:space="1" w:color="auto"/>
        <w:right w:val="single" w:sz="4" w:space="4" w:color="auto"/>
      </w:pBdr>
      <w:suppressAutoHyphens w:val="0"/>
      <w:autoSpaceDE w:val="0"/>
      <w:adjustRightInd w:val="0"/>
      <w:ind w:left="-567" w:right="-287"/>
      <w:jc w:val="center"/>
      <w:textAlignment w:val="auto"/>
    </w:pPr>
    <w:rPr>
      <w:b/>
      <w:bCs/>
      <w:i/>
      <w:color w:val="FFFFFF"/>
      <w:kern w:val="0"/>
      <w:lang w:val="en-GB" w:eastAsia="en-GB"/>
    </w:rPr>
  </w:style>
  <w:style w:type="paragraph" w:customStyle="1" w:styleId="Guide-Pageright">
    <w:name w:val="Guide - Page right"/>
    <w:basedOn w:val="Footer"/>
    <w:qFormat/>
    <w:rsid w:val="00B84648"/>
    <w:pPr>
      <w:jc w:val="left"/>
    </w:pPr>
    <w:rPr>
      <w:noProof/>
      <w:sz w:val="16"/>
    </w:rPr>
  </w:style>
  <w:style w:type="paragraph" w:customStyle="1" w:styleId="NormalH3Car">
    <w:name w:val="Normal H3 Car"/>
    <w:basedOn w:val="Normal"/>
    <w:semiHidden/>
    <w:rsid w:val="007B57ED"/>
    <w:pPr>
      <w:widowControl/>
      <w:ind w:left="1418"/>
      <w:jc w:val="both"/>
    </w:pPr>
    <w:rPr>
      <w:rFonts w:eastAsia="Times New Roman" w:cs="Times New Roman"/>
      <w:sz w:val="22"/>
      <w:lang w:val="en-GB"/>
    </w:rPr>
  </w:style>
  <w:style w:type="paragraph" w:customStyle="1" w:styleId="Guide-Pageleft">
    <w:name w:val="Guide - Page left"/>
    <w:basedOn w:val="Footer"/>
    <w:qFormat/>
    <w:rsid w:val="00B84648"/>
    <w:rPr>
      <w:sz w:val="16"/>
    </w:rPr>
  </w:style>
  <w:style w:type="paragraph" w:customStyle="1" w:styleId="soustitre">
    <w:name w:val="soustitre"/>
    <w:basedOn w:val="Normal"/>
    <w:semiHidden/>
    <w:rsid w:val="007B57ED"/>
    <w:pPr>
      <w:widowControl/>
      <w:spacing w:before="100" w:after="100"/>
    </w:pPr>
    <w:rPr>
      <w:rFonts w:ascii="Verdana" w:eastAsia="Times New Roman" w:hAnsi="Verdana" w:cs="Times New Roman"/>
      <w:b/>
      <w:bCs/>
      <w:color w:val="353B8F"/>
      <w:lang w:val="en-GB"/>
    </w:rPr>
  </w:style>
  <w:style w:type="paragraph" w:customStyle="1" w:styleId="Guide-Heading1">
    <w:name w:val="Guide - Heading 1"/>
    <w:basedOn w:val="Heading1"/>
    <w:link w:val="Guide-Heading1Char1"/>
    <w:qFormat/>
    <w:rsid w:val="009C1C3E"/>
    <w:pPr>
      <w:spacing w:before="0" w:after="480"/>
      <w:jc w:val="center"/>
    </w:pPr>
    <w:rPr>
      <w:rFonts w:ascii="Calibri" w:hAnsi="Calibri"/>
      <w:smallCaps/>
      <w:sz w:val="40"/>
    </w:rPr>
  </w:style>
  <w:style w:type="paragraph" w:customStyle="1" w:styleId="GUIDE-NORMAL">
    <w:name w:val="GUIDE - NORMAL"/>
    <w:basedOn w:val="Normal"/>
    <w:link w:val="GUIDE-NORMALChar"/>
    <w:qFormat/>
    <w:rsid w:val="007E0A28"/>
    <w:pPr>
      <w:widowControl/>
      <w:spacing w:before="240" w:after="240"/>
      <w:jc w:val="both"/>
    </w:pPr>
    <w:rPr>
      <w:rFonts w:eastAsia="Times New Roman" w:cs="Times New Roman"/>
      <w:sz w:val="18"/>
      <w:szCs w:val="18"/>
      <w:shd w:val="clear" w:color="auto" w:fill="FFFFFF"/>
    </w:rPr>
  </w:style>
  <w:style w:type="paragraph" w:customStyle="1" w:styleId="Guide-Heading2">
    <w:name w:val="Guide - Heading 2"/>
    <w:basedOn w:val="Guide-Heading3"/>
    <w:qFormat/>
    <w:rsid w:val="002D5FEF"/>
    <w:pPr>
      <w:spacing w:before="0"/>
      <w:outlineLvl w:val="1"/>
    </w:pPr>
    <w:rPr>
      <w:sz w:val="32"/>
      <w:szCs w:val="18"/>
    </w:rPr>
  </w:style>
  <w:style w:type="paragraph" w:customStyle="1" w:styleId="Guide-Heading3">
    <w:name w:val="Guide - Heading 3"/>
    <w:basedOn w:val="Guide-Heading1"/>
    <w:link w:val="Guide-Heading3Char1"/>
    <w:qFormat/>
    <w:rsid w:val="006B2F96"/>
    <w:pPr>
      <w:spacing w:before="240" w:after="240"/>
      <w:jc w:val="left"/>
      <w:outlineLvl w:val="2"/>
    </w:pPr>
    <w:rPr>
      <w:sz w:val="28"/>
    </w:rPr>
  </w:style>
  <w:style w:type="paragraph" w:customStyle="1" w:styleId="Guide-Heading4">
    <w:name w:val="Guide - Heading 4"/>
    <w:basedOn w:val="Guide-Heading3"/>
    <w:qFormat/>
    <w:rsid w:val="008315B8"/>
    <w:pPr>
      <w:outlineLvl w:val="3"/>
    </w:pPr>
    <w:rPr>
      <w:sz w:val="24"/>
    </w:rPr>
  </w:style>
  <w:style w:type="paragraph" w:customStyle="1" w:styleId="Guide-Heading5">
    <w:name w:val="Guide - Heading 5"/>
    <w:basedOn w:val="Guide-Heading4"/>
    <w:qFormat/>
    <w:rsid w:val="00C64E88"/>
    <w:pPr>
      <w:outlineLvl w:val="4"/>
    </w:pPr>
    <w:rPr>
      <w:sz w:val="22"/>
    </w:rPr>
  </w:style>
  <w:style w:type="paragraph" w:customStyle="1" w:styleId="Guide-Annex-Heading2">
    <w:name w:val="Guide - Annex - Heading 2"/>
    <w:basedOn w:val="Guide-Heading3"/>
    <w:qFormat/>
    <w:rsid w:val="00572859"/>
    <w:pPr>
      <w:spacing w:after="300"/>
      <w:outlineLvl w:val="1"/>
    </w:pPr>
    <w:rPr>
      <w:sz w:val="32"/>
    </w:rPr>
  </w:style>
  <w:style w:type="paragraph" w:customStyle="1" w:styleId="Guide-Annexe-Heading4">
    <w:name w:val="Guide - Annexe - Heading 4"/>
    <w:rsid w:val="00473E7E"/>
    <w:pPr>
      <w:numPr>
        <w:numId w:val="54"/>
      </w:numPr>
      <w:spacing w:before="240"/>
      <w:ind w:left="357" w:hanging="357"/>
    </w:pPr>
    <w:rPr>
      <w:rFonts w:ascii="Calibri" w:eastAsia="Times New Roman" w:hAnsi="Calibri"/>
      <w:b/>
      <w:smallCaps/>
      <w:kern w:val="3"/>
      <w:sz w:val="24"/>
      <w:szCs w:val="24"/>
      <w:lang w:val="en-GB" w:eastAsia="zh-CN"/>
    </w:rPr>
  </w:style>
  <w:style w:type="paragraph" w:customStyle="1" w:styleId="Guide-NormalBulletpoints">
    <w:name w:val="Guide - Normal Bullet points"/>
    <w:qFormat/>
    <w:rsid w:val="00B84648"/>
    <w:pPr>
      <w:suppressAutoHyphens/>
      <w:spacing w:after="60"/>
      <w:jc w:val="both"/>
    </w:pPr>
    <w:rPr>
      <w:rFonts w:ascii="Calibri" w:eastAsia="Times New Roman" w:hAnsi="Calibri"/>
      <w:kern w:val="3"/>
      <w:sz w:val="18"/>
      <w:szCs w:val="18"/>
      <w:shd w:val="clear" w:color="auto" w:fill="FFFFFF"/>
      <w:lang w:val="en-GB" w:eastAsia="en-GB"/>
    </w:rPr>
  </w:style>
  <w:style w:type="paragraph" w:customStyle="1" w:styleId="Participants">
    <w:name w:val="Participants"/>
    <w:basedOn w:val="Normal"/>
    <w:next w:val="Normal"/>
    <w:semiHidden/>
    <w:rsid w:val="007B57ED"/>
    <w:pPr>
      <w:widowControl/>
      <w:tabs>
        <w:tab w:val="left" w:pos="2552"/>
        <w:tab w:val="left" w:pos="2835"/>
        <w:tab w:val="left" w:pos="5670"/>
        <w:tab w:val="left" w:pos="6379"/>
        <w:tab w:val="left" w:pos="6804"/>
      </w:tabs>
      <w:spacing w:before="480"/>
      <w:ind w:left="1985" w:hanging="1985"/>
    </w:pPr>
    <w:rPr>
      <w:rFonts w:eastAsia="Times New Roman" w:cs="Times New Roman"/>
      <w:szCs w:val="20"/>
      <w:lang w:val="en-GB"/>
    </w:rPr>
  </w:style>
  <w:style w:type="paragraph" w:customStyle="1" w:styleId="Guide-Table">
    <w:name w:val="Guide - Table"/>
    <w:basedOn w:val="GUIDE-NORMAL"/>
    <w:qFormat/>
    <w:rsid w:val="000938E9"/>
    <w:pPr>
      <w:spacing w:before="0" w:after="0"/>
      <w:jc w:val="center"/>
    </w:pPr>
    <w:rPr>
      <w:color w:val="000000"/>
    </w:rPr>
  </w:style>
  <w:style w:type="paragraph" w:customStyle="1" w:styleId="List4user">
    <w:name w:val="List 4 (user)"/>
    <w:basedOn w:val="Normal"/>
    <w:semiHidden/>
    <w:rsid w:val="007B57ED"/>
    <w:pPr>
      <w:widowControl/>
      <w:spacing w:after="240"/>
      <w:ind w:left="1132" w:hanging="283"/>
      <w:jc w:val="both"/>
    </w:pPr>
    <w:rPr>
      <w:rFonts w:eastAsia="Times New Roman" w:cs="Times New Roman"/>
      <w:szCs w:val="20"/>
      <w:lang w:val="en-GB"/>
    </w:rPr>
  </w:style>
  <w:style w:type="paragraph" w:customStyle="1" w:styleId="List5user">
    <w:name w:val="List 5 (user)"/>
    <w:basedOn w:val="Normal"/>
    <w:semiHidden/>
    <w:rsid w:val="007B57ED"/>
    <w:pPr>
      <w:widowControl/>
      <w:spacing w:after="240"/>
      <w:ind w:left="1415" w:hanging="283"/>
      <w:jc w:val="both"/>
    </w:pPr>
    <w:rPr>
      <w:rFonts w:eastAsia="Times New Roman" w:cs="Times New Roman"/>
      <w:szCs w:val="20"/>
      <w:lang w:val="en-GB"/>
    </w:rPr>
  </w:style>
  <w:style w:type="paragraph" w:styleId="ListBullet4">
    <w:name w:val="List Bullet 4"/>
    <w:basedOn w:val="Normal"/>
    <w:rsid w:val="00521AF9"/>
    <w:pPr>
      <w:widowControl/>
      <w:numPr>
        <w:numId w:val="64"/>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styleId="ListBullet5">
    <w:name w:val="List Bullet 5"/>
    <w:basedOn w:val="Normal"/>
    <w:semiHidden/>
    <w:rsid w:val="007B57ED"/>
    <w:pPr>
      <w:widowControl/>
      <w:numPr>
        <w:numId w:val="4"/>
      </w:numPr>
      <w:spacing w:after="240"/>
      <w:jc w:val="both"/>
    </w:pPr>
    <w:rPr>
      <w:rFonts w:eastAsia="Times New Roman" w:cs="Times New Roman"/>
      <w:szCs w:val="20"/>
      <w:lang w:val="en-GB"/>
    </w:rPr>
  </w:style>
  <w:style w:type="paragraph" w:styleId="ListContinue">
    <w:name w:val="List Continue"/>
    <w:basedOn w:val="Normal"/>
    <w:semiHidden/>
    <w:rsid w:val="007B57ED"/>
    <w:pPr>
      <w:widowControl/>
      <w:spacing w:after="120"/>
      <w:ind w:left="283"/>
      <w:jc w:val="both"/>
    </w:pPr>
    <w:rPr>
      <w:rFonts w:eastAsia="Times New Roman" w:cs="Times New Roman"/>
      <w:szCs w:val="20"/>
      <w:lang w:val="en-GB"/>
    </w:rPr>
  </w:style>
  <w:style w:type="paragraph" w:styleId="ListContinue2">
    <w:name w:val="List Continue 2"/>
    <w:basedOn w:val="Normal"/>
    <w:semiHidden/>
    <w:rsid w:val="007B57ED"/>
    <w:pPr>
      <w:widowControl/>
      <w:spacing w:after="120"/>
      <w:ind w:left="566"/>
      <w:jc w:val="both"/>
    </w:pPr>
    <w:rPr>
      <w:rFonts w:eastAsia="Times New Roman" w:cs="Times New Roman"/>
      <w:szCs w:val="20"/>
      <w:lang w:val="en-GB"/>
    </w:rPr>
  </w:style>
  <w:style w:type="paragraph" w:styleId="ListContinue3">
    <w:name w:val="List Continue 3"/>
    <w:basedOn w:val="Normal"/>
    <w:semiHidden/>
    <w:rsid w:val="007B57ED"/>
    <w:pPr>
      <w:widowControl/>
      <w:spacing w:after="120"/>
      <w:ind w:left="849"/>
      <w:jc w:val="both"/>
    </w:pPr>
    <w:rPr>
      <w:rFonts w:eastAsia="Times New Roman" w:cs="Times New Roman"/>
      <w:szCs w:val="20"/>
      <w:lang w:val="en-GB"/>
    </w:rPr>
  </w:style>
  <w:style w:type="paragraph" w:styleId="ListNumber3">
    <w:name w:val="List Number 3"/>
    <w:basedOn w:val="Normal"/>
    <w:rsid w:val="00521AF9"/>
    <w:pPr>
      <w:widowControl/>
      <w:numPr>
        <w:numId w:val="73"/>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styleId="ListNumber4">
    <w:name w:val="List Number 4"/>
    <w:basedOn w:val="Normal"/>
    <w:rsid w:val="00521AF9"/>
    <w:pPr>
      <w:widowControl/>
      <w:numPr>
        <w:numId w:val="74"/>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styleId="ListNumber5">
    <w:name w:val="List Number 5"/>
    <w:basedOn w:val="Normal"/>
    <w:semiHidden/>
    <w:rsid w:val="007B57ED"/>
    <w:pPr>
      <w:widowControl/>
      <w:numPr>
        <w:numId w:val="3"/>
      </w:numPr>
      <w:spacing w:after="240"/>
      <w:jc w:val="both"/>
    </w:pPr>
    <w:rPr>
      <w:rFonts w:eastAsia="Times New Roman" w:cs="Times New Roman"/>
      <w:szCs w:val="20"/>
      <w:lang w:val="en-GB"/>
    </w:rPr>
  </w:style>
  <w:style w:type="paragraph" w:styleId="MacroText">
    <w:name w:val="macro"/>
    <w:link w:val="MacroTextChar"/>
    <w:semiHidden/>
    <w:rsid w:val="00291323"/>
    <w:pPr>
      <w:tabs>
        <w:tab w:val="left" w:pos="480"/>
        <w:tab w:val="left" w:pos="960"/>
        <w:tab w:val="left" w:pos="1440"/>
        <w:tab w:val="left" w:pos="1920"/>
        <w:tab w:val="left" w:pos="2400"/>
        <w:tab w:val="left" w:pos="2880"/>
        <w:tab w:val="left" w:pos="3360"/>
        <w:tab w:val="left" w:pos="3840"/>
        <w:tab w:val="left" w:pos="4320"/>
      </w:tabs>
      <w:suppressAutoHyphens/>
      <w:autoSpaceDN w:val="0"/>
      <w:spacing w:after="240"/>
      <w:jc w:val="both"/>
      <w:textAlignment w:val="baseline"/>
    </w:pPr>
    <w:rPr>
      <w:rFonts w:ascii="Courier New" w:eastAsia="Times New Roman" w:hAnsi="Courier New" w:cs="Times New Roman"/>
      <w:kern w:val="3"/>
      <w:lang w:eastAsia="zh-CN"/>
    </w:rPr>
  </w:style>
  <w:style w:type="paragraph" w:styleId="NormalIndent">
    <w:name w:val="Normal Indent"/>
    <w:basedOn w:val="Normal"/>
    <w:semiHidden/>
    <w:rsid w:val="007B57ED"/>
    <w:pPr>
      <w:widowControl/>
      <w:spacing w:after="240"/>
      <w:ind w:left="720"/>
      <w:jc w:val="both"/>
    </w:pPr>
    <w:rPr>
      <w:rFonts w:eastAsia="Times New Roman" w:cs="Times New Roman"/>
      <w:szCs w:val="20"/>
      <w:lang w:val="en-GB"/>
    </w:rPr>
  </w:style>
  <w:style w:type="paragraph" w:styleId="NoteHeading">
    <w:name w:val="Note Heading"/>
    <w:basedOn w:val="Normal"/>
    <w:next w:val="Guide-version"/>
    <w:link w:val="NoteHeadingChar"/>
    <w:semiHidden/>
    <w:rsid w:val="007B57ED"/>
    <w:pPr>
      <w:widowControl/>
      <w:spacing w:after="240"/>
      <w:jc w:val="both"/>
    </w:pPr>
    <w:rPr>
      <w:rFonts w:eastAsia="Times New Roman" w:cs="Times New Roman"/>
      <w:szCs w:val="20"/>
      <w:lang w:val="en-IE"/>
    </w:rPr>
  </w:style>
  <w:style w:type="paragraph" w:customStyle="1" w:styleId="NoteHead">
    <w:name w:val="NoteHead"/>
    <w:basedOn w:val="Normal"/>
    <w:next w:val="Normal"/>
    <w:semiHidden/>
    <w:rsid w:val="007B57ED"/>
    <w:pPr>
      <w:widowControl/>
      <w:spacing w:before="720" w:after="720"/>
      <w:jc w:val="center"/>
    </w:pPr>
    <w:rPr>
      <w:rFonts w:eastAsia="Times New Roman" w:cs="Times New Roman"/>
      <w:b/>
      <w:smallCaps/>
      <w:szCs w:val="20"/>
      <w:lang w:val="en-GB"/>
    </w:rPr>
  </w:style>
  <w:style w:type="paragraph" w:customStyle="1" w:styleId="NoteList">
    <w:name w:val="NoteList"/>
    <w:basedOn w:val="Normal"/>
    <w:next w:val="Normal"/>
    <w:semiHidden/>
    <w:rsid w:val="007B57ED"/>
    <w:pPr>
      <w:widowControl/>
      <w:tabs>
        <w:tab w:val="left" w:pos="5823"/>
      </w:tabs>
      <w:spacing w:before="720" w:after="720"/>
      <w:ind w:left="5104" w:hanging="3119"/>
    </w:pPr>
    <w:rPr>
      <w:rFonts w:eastAsia="Times New Roman" w:cs="Times New Roman"/>
      <w:b/>
      <w:smallCaps/>
      <w:szCs w:val="20"/>
      <w:lang w:val="en-GB"/>
    </w:rPr>
  </w:style>
  <w:style w:type="paragraph" w:customStyle="1" w:styleId="NumPar3">
    <w:name w:val="NumPar 3"/>
    <w:basedOn w:val="Heading3"/>
    <w:next w:val="Normal"/>
    <w:semiHidden/>
    <w:rsid w:val="00291323"/>
    <w:pPr>
      <w:keepNext w:val="0"/>
      <w:tabs>
        <w:tab w:val="left" w:pos="1920"/>
      </w:tabs>
      <w:spacing w:before="0" w:line="240" w:lineRule="auto"/>
      <w:ind w:left="1920" w:hanging="840"/>
      <w:jc w:val="both"/>
    </w:pPr>
    <w:rPr>
      <w:rFonts w:ascii="Times New Roman" w:hAnsi="Times New Roman"/>
      <w:b w:val="0"/>
      <w:sz w:val="24"/>
    </w:rPr>
  </w:style>
  <w:style w:type="paragraph" w:customStyle="1" w:styleId="NumPar4">
    <w:name w:val="NumPar 4"/>
    <w:basedOn w:val="Heading4"/>
    <w:next w:val="Normal"/>
    <w:semiHidden/>
    <w:rsid w:val="00291323"/>
    <w:pPr>
      <w:keepNext w:val="0"/>
      <w:tabs>
        <w:tab w:val="left" w:pos="2880"/>
      </w:tabs>
      <w:spacing w:before="0" w:after="240" w:line="240" w:lineRule="auto"/>
      <w:ind w:left="2880" w:hanging="960"/>
      <w:jc w:val="both"/>
    </w:pPr>
    <w:rPr>
      <w:rFonts w:ascii="Times New Roman" w:hAnsi="Times New Roman"/>
      <w:b w:val="0"/>
      <w:sz w:val="24"/>
      <w:szCs w:val="20"/>
    </w:rPr>
  </w:style>
  <w:style w:type="paragraph" w:customStyle="1" w:styleId="ListDash2">
    <w:name w:val="List Dash 2"/>
    <w:basedOn w:val="Normal"/>
    <w:rsid w:val="00521AF9"/>
    <w:pPr>
      <w:widowControl/>
      <w:numPr>
        <w:numId w:val="67"/>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ListDash3">
    <w:name w:val="List Dash 3"/>
    <w:basedOn w:val="Normal"/>
    <w:rsid w:val="00521AF9"/>
    <w:pPr>
      <w:widowControl/>
      <w:numPr>
        <w:numId w:val="68"/>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ListNumber3Level2">
    <w:name w:val="List Number 3 (Level 2)"/>
    <w:basedOn w:val="Normal"/>
    <w:rsid w:val="00521AF9"/>
    <w:pPr>
      <w:widowControl/>
      <w:numPr>
        <w:ilvl w:val="1"/>
        <w:numId w:val="73"/>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ListNumber3Level3">
    <w:name w:val="List Number 3 (Level 3)"/>
    <w:basedOn w:val="Normal"/>
    <w:rsid w:val="00521AF9"/>
    <w:pPr>
      <w:widowControl/>
      <w:numPr>
        <w:ilvl w:val="2"/>
        <w:numId w:val="73"/>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ListNumber3Level4">
    <w:name w:val="List Number 3 (Level 4)"/>
    <w:basedOn w:val="Normal"/>
    <w:rsid w:val="00521AF9"/>
    <w:pPr>
      <w:widowControl/>
      <w:numPr>
        <w:ilvl w:val="3"/>
        <w:numId w:val="73"/>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ListNumber4Level2">
    <w:name w:val="List Number 4 (Level 2)"/>
    <w:basedOn w:val="Normal"/>
    <w:rsid w:val="00521AF9"/>
    <w:pPr>
      <w:widowControl/>
      <w:numPr>
        <w:ilvl w:val="1"/>
        <w:numId w:val="74"/>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ListNumber4Level3">
    <w:name w:val="List Number 4 (Level 3)"/>
    <w:basedOn w:val="Normal"/>
    <w:rsid w:val="00521AF9"/>
    <w:pPr>
      <w:widowControl/>
      <w:numPr>
        <w:ilvl w:val="2"/>
        <w:numId w:val="74"/>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ListNumber4Level4">
    <w:name w:val="List Number 4 (Level 4)"/>
    <w:basedOn w:val="Normal"/>
    <w:rsid w:val="00521AF9"/>
    <w:pPr>
      <w:widowControl/>
      <w:numPr>
        <w:ilvl w:val="3"/>
        <w:numId w:val="74"/>
      </w:numPr>
      <w:suppressAutoHyphens w:val="0"/>
      <w:autoSpaceDN/>
      <w:spacing w:after="240"/>
      <w:jc w:val="both"/>
      <w:textAlignment w:val="auto"/>
    </w:pPr>
    <w:rPr>
      <w:rFonts w:ascii="Times New Roman" w:eastAsia="Times New Roman" w:hAnsi="Times New Roman" w:cs="Times New Roman"/>
      <w:kern w:val="0"/>
      <w:szCs w:val="20"/>
      <w:lang w:eastAsia="en-US"/>
    </w:rPr>
  </w:style>
  <w:style w:type="character" w:styleId="PageNumber">
    <w:name w:val="page number"/>
    <w:basedOn w:val="DefaultParagraphFont"/>
    <w:semiHidden/>
    <w:rsid w:val="00291323"/>
  </w:style>
  <w:style w:type="character" w:customStyle="1" w:styleId="StrongEmphasis">
    <w:name w:val="Strong Emphasis"/>
    <w:rsid w:val="00291323"/>
    <w:rPr>
      <w:b/>
    </w:rPr>
  </w:style>
  <w:style w:type="character" w:customStyle="1" w:styleId="WW8Num2z0">
    <w:name w:val="WW8Num2z0"/>
    <w:semiHidden/>
    <w:rsid w:val="00291323"/>
    <w:rPr>
      <w:rFonts w:ascii="Symbol" w:hAnsi="Symbol"/>
    </w:rPr>
  </w:style>
  <w:style w:type="character" w:customStyle="1" w:styleId="WW8Num3z0">
    <w:name w:val="WW8Num3z0"/>
    <w:semiHidden/>
    <w:rsid w:val="00291323"/>
    <w:rPr>
      <w:rFonts w:ascii="Symbol" w:hAnsi="Symbol"/>
    </w:rPr>
  </w:style>
  <w:style w:type="character" w:customStyle="1" w:styleId="WW8Num4z0">
    <w:name w:val="WW8Num4z0"/>
    <w:rsid w:val="00291323"/>
    <w:rPr>
      <w:rFonts w:ascii="Times New Roman" w:eastAsia="Times New Roman" w:hAnsi="Times New Roman" w:cs="Times New Roman"/>
    </w:rPr>
  </w:style>
  <w:style w:type="character" w:customStyle="1" w:styleId="WW8Num4z1">
    <w:name w:val="WW8Num4z1"/>
    <w:semiHidden/>
    <w:rsid w:val="00291323"/>
    <w:rPr>
      <w:rFonts w:ascii="Courier New" w:hAnsi="Courier New" w:cs="Wingdings"/>
    </w:rPr>
  </w:style>
  <w:style w:type="character" w:customStyle="1" w:styleId="WW8Num4z2">
    <w:name w:val="WW8Num4z2"/>
    <w:semiHidden/>
    <w:rsid w:val="00291323"/>
    <w:rPr>
      <w:rFonts w:ascii="Wingdings" w:hAnsi="Wingdings"/>
    </w:rPr>
  </w:style>
  <w:style w:type="character" w:customStyle="1" w:styleId="WW8Num4z3">
    <w:name w:val="WW8Num4z3"/>
    <w:semiHidden/>
    <w:rsid w:val="00291323"/>
    <w:rPr>
      <w:rFonts w:ascii="Symbol" w:hAnsi="Symbol"/>
    </w:rPr>
  </w:style>
  <w:style w:type="character" w:customStyle="1" w:styleId="WW8Num5z0">
    <w:name w:val="WW8Num5z0"/>
    <w:semiHidden/>
    <w:rsid w:val="00291323"/>
    <w:rPr>
      <w:rFonts w:ascii="Wingdings" w:hAnsi="Wingdings"/>
    </w:rPr>
  </w:style>
  <w:style w:type="character" w:customStyle="1" w:styleId="WW8Num5z1">
    <w:name w:val="WW8Num5z1"/>
    <w:semiHidden/>
    <w:rsid w:val="00291323"/>
    <w:rPr>
      <w:rFonts w:ascii="Courier New" w:hAnsi="Courier New" w:cs="Courier New"/>
    </w:rPr>
  </w:style>
  <w:style w:type="character" w:customStyle="1" w:styleId="WW8Num5z3">
    <w:name w:val="WW8Num5z3"/>
    <w:semiHidden/>
    <w:rsid w:val="00291323"/>
    <w:rPr>
      <w:rFonts w:ascii="Symbol" w:hAnsi="Symbol"/>
    </w:rPr>
  </w:style>
  <w:style w:type="character" w:customStyle="1" w:styleId="WW8Num6z0">
    <w:name w:val="WW8Num6z0"/>
    <w:semiHidden/>
    <w:rsid w:val="00291323"/>
    <w:rPr>
      <w:rFonts w:ascii="Wingdings" w:hAnsi="Wingdings"/>
    </w:rPr>
  </w:style>
  <w:style w:type="character" w:customStyle="1" w:styleId="WW8Num6z1">
    <w:name w:val="WW8Num6z1"/>
    <w:semiHidden/>
    <w:rsid w:val="00291323"/>
    <w:rPr>
      <w:rFonts w:ascii="Courier New" w:hAnsi="Courier New" w:cs="Courier New"/>
    </w:rPr>
  </w:style>
  <w:style w:type="character" w:customStyle="1" w:styleId="WW8Num6z3">
    <w:name w:val="WW8Num6z3"/>
    <w:semiHidden/>
    <w:rsid w:val="00291323"/>
    <w:rPr>
      <w:rFonts w:ascii="Symbol" w:hAnsi="Symbol"/>
    </w:rPr>
  </w:style>
  <w:style w:type="character" w:customStyle="1" w:styleId="WW8Num7z1">
    <w:name w:val="WW8Num7z1"/>
    <w:semiHidden/>
    <w:rsid w:val="00291323"/>
    <w:rPr>
      <w:rFonts w:ascii="Courier New" w:hAnsi="Courier New" w:cs="Courier New"/>
    </w:rPr>
  </w:style>
  <w:style w:type="character" w:customStyle="1" w:styleId="WW8Num7z2">
    <w:name w:val="WW8Num7z2"/>
    <w:semiHidden/>
    <w:rsid w:val="00291323"/>
    <w:rPr>
      <w:rFonts w:ascii="Wingdings" w:hAnsi="Wingdings"/>
    </w:rPr>
  </w:style>
  <w:style w:type="character" w:customStyle="1" w:styleId="WW8Num7z3">
    <w:name w:val="WW8Num7z3"/>
    <w:semiHidden/>
    <w:rsid w:val="00291323"/>
    <w:rPr>
      <w:rFonts w:ascii="Symbol" w:hAnsi="Symbol"/>
    </w:rPr>
  </w:style>
  <w:style w:type="character" w:customStyle="1" w:styleId="WW8Num8z2">
    <w:name w:val="WW8Num8z2"/>
    <w:semiHidden/>
    <w:rsid w:val="00291323"/>
    <w:rPr>
      <w:rFonts w:ascii="Times New Roman" w:hAnsi="Times New Roman"/>
    </w:rPr>
  </w:style>
  <w:style w:type="character" w:customStyle="1" w:styleId="WW8Num8z3">
    <w:name w:val="WW8Num8z3"/>
    <w:semiHidden/>
    <w:rsid w:val="00291323"/>
    <w:rPr>
      <w:rFonts w:ascii="Symbol" w:hAnsi="Symbol"/>
    </w:rPr>
  </w:style>
  <w:style w:type="character" w:customStyle="1" w:styleId="WW8Num9z0">
    <w:name w:val="WW8Num9z0"/>
    <w:semiHidden/>
    <w:rsid w:val="00291323"/>
    <w:rPr>
      <w:rFonts w:ascii="Symbol" w:hAnsi="Symbol"/>
      <w:sz w:val="22"/>
      <w:szCs w:val="22"/>
    </w:rPr>
  </w:style>
  <w:style w:type="character" w:customStyle="1" w:styleId="WW8Num9z1">
    <w:name w:val="WW8Num9z1"/>
    <w:semiHidden/>
    <w:rsid w:val="00291323"/>
    <w:rPr>
      <w:rFonts w:ascii="Courier New" w:hAnsi="Courier New" w:cs="Courier New"/>
    </w:rPr>
  </w:style>
  <w:style w:type="paragraph" w:customStyle="1" w:styleId="Guide-ListBulletTable">
    <w:name w:val="Guide - List Bullet Table"/>
    <w:basedOn w:val="Guide-NormalBulletpoints"/>
    <w:qFormat/>
    <w:rsid w:val="000B4470"/>
    <w:pPr>
      <w:spacing w:before="60"/>
      <w:contextualSpacing/>
    </w:pPr>
  </w:style>
  <w:style w:type="character" w:customStyle="1" w:styleId="Guide-Condensed-01">
    <w:name w:val="Guide - Condensed -0.1"/>
    <w:uiPriority w:val="1"/>
    <w:rsid w:val="00D337E7"/>
    <w:rPr>
      <w:rFonts w:ascii="Calibri" w:hAnsi="Calibri"/>
      <w:spacing w:val="-2"/>
    </w:rPr>
  </w:style>
  <w:style w:type="character" w:customStyle="1" w:styleId="WW8Num26z2">
    <w:name w:val="WW8Num26z2"/>
    <w:semiHidden/>
    <w:rsid w:val="00291323"/>
    <w:rPr>
      <w:rFonts w:ascii="Times New Roman" w:hAnsi="Times New Roman"/>
    </w:rPr>
  </w:style>
  <w:style w:type="character" w:customStyle="1" w:styleId="WW8Num26z3">
    <w:name w:val="WW8Num26z3"/>
    <w:semiHidden/>
    <w:rsid w:val="00291323"/>
    <w:rPr>
      <w:rFonts w:ascii="Symbol" w:hAnsi="Symbol"/>
    </w:rPr>
  </w:style>
  <w:style w:type="character" w:customStyle="1" w:styleId="WW8Num27z2">
    <w:name w:val="WW8Num27z2"/>
    <w:semiHidden/>
    <w:rsid w:val="00291323"/>
    <w:rPr>
      <w:rFonts w:ascii="Wingdings" w:hAnsi="Wingdings"/>
    </w:rPr>
  </w:style>
  <w:style w:type="character" w:customStyle="1" w:styleId="WW8Num28z0">
    <w:name w:val="WW8Num28z0"/>
    <w:semiHidden/>
    <w:rsid w:val="00291323"/>
    <w:rPr>
      <w:rFonts w:ascii="Symbol" w:hAnsi="Symbol"/>
      <w:sz w:val="22"/>
      <w:szCs w:val="22"/>
    </w:rPr>
  </w:style>
  <w:style w:type="character" w:customStyle="1" w:styleId="WW8Num29z0">
    <w:name w:val="WW8Num29z0"/>
    <w:semiHidden/>
    <w:rsid w:val="00291323"/>
    <w:rPr>
      <w:rFonts w:ascii="Wingdings" w:hAnsi="Wingdings"/>
    </w:rPr>
  </w:style>
  <w:style w:type="character" w:customStyle="1" w:styleId="WW8Num30z0">
    <w:name w:val="WW8Num30z0"/>
    <w:semiHidden/>
    <w:rsid w:val="00291323"/>
    <w:rPr>
      <w:rFonts w:ascii="Wingdings" w:hAnsi="Wingdings"/>
    </w:rPr>
  </w:style>
  <w:style w:type="character" w:customStyle="1" w:styleId="WW8Num30z1">
    <w:name w:val="WW8Num30z1"/>
    <w:semiHidden/>
    <w:rsid w:val="00291323"/>
    <w:rPr>
      <w:rFonts w:ascii="Courier New" w:hAnsi="Courier New" w:cs="Courier New"/>
    </w:rPr>
  </w:style>
  <w:style w:type="character" w:customStyle="1" w:styleId="WW8Num30z3">
    <w:name w:val="WW8Num30z3"/>
    <w:semiHidden/>
    <w:rsid w:val="00291323"/>
    <w:rPr>
      <w:rFonts w:ascii="Symbol" w:hAnsi="Symbol"/>
    </w:rPr>
  </w:style>
  <w:style w:type="character" w:customStyle="1" w:styleId="WW8Num31z2">
    <w:name w:val="WW8Num31z2"/>
    <w:semiHidden/>
    <w:rsid w:val="00291323"/>
    <w:rPr>
      <w:rFonts w:ascii="Times New Roman" w:hAnsi="Times New Roman"/>
    </w:rPr>
  </w:style>
  <w:style w:type="character" w:customStyle="1" w:styleId="WW8Num31z3">
    <w:name w:val="WW8Num31z3"/>
    <w:semiHidden/>
    <w:rsid w:val="00291323"/>
    <w:rPr>
      <w:rFonts w:ascii="Symbol" w:hAnsi="Symbol"/>
    </w:rPr>
  </w:style>
  <w:style w:type="character" w:customStyle="1" w:styleId="WW8Num33z0">
    <w:name w:val="WW8Num33z0"/>
    <w:semiHidden/>
    <w:rsid w:val="00291323"/>
    <w:rPr>
      <w:rFonts w:ascii="Wingdings" w:hAnsi="Wingdings"/>
    </w:rPr>
  </w:style>
  <w:style w:type="character" w:customStyle="1" w:styleId="WW8Num33z1">
    <w:name w:val="WW8Num33z1"/>
    <w:rsid w:val="00291323"/>
    <w:rPr>
      <w:rFonts w:ascii="Courier New" w:hAnsi="Courier New" w:cs="Courier New"/>
    </w:rPr>
  </w:style>
  <w:style w:type="character" w:customStyle="1" w:styleId="WW8Num33z2">
    <w:name w:val="WW8Num33z2"/>
    <w:semiHidden/>
    <w:rsid w:val="00291323"/>
    <w:rPr>
      <w:rFonts w:ascii="Tahoma" w:eastAsia="Times New Roman" w:hAnsi="Tahoma" w:cs="Tahoma"/>
    </w:rPr>
  </w:style>
  <w:style w:type="character" w:customStyle="1" w:styleId="WW8Num33z3">
    <w:name w:val="WW8Num33z3"/>
    <w:semiHidden/>
    <w:rsid w:val="00291323"/>
    <w:rPr>
      <w:rFonts w:ascii="Symbol" w:hAnsi="Symbol"/>
    </w:rPr>
  </w:style>
  <w:style w:type="character" w:customStyle="1" w:styleId="WW8Num34z0">
    <w:name w:val="WW8Num34z0"/>
    <w:rsid w:val="00291323"/>
    <w:rPr>
      <w:rFonts w:ascii="Symbol" w:hAnsi="Symbol"/>
    </w:rPr>
  </w:style>
  <w:style w:type="character" w:customStyle="1" w:styleId="WW8Num35z0">
    <w:name w:val="WW8Num35z0"/>
    <w:semiHidden/>
    <w:rsid w:val="00291323"/>
    <w:rPr>
      <w:rFonts w:ascii="Times New Roman" w:hAnsi="Times New Roman"/>
    </w:rPr>
  </w:style>
  <w:style w:type="character" w:customStyle="1" w:styleId="WW8Num36z0">
    <w:name w:val="WW8Num36z0"/>
    <w:semiHidden/>
    <w:rsid w:val="00291323"/>
    <w:rPr>
      <w:rFonts w:ascii="Symbol" w:hAnsi="Symbol"/>
    </w:rPr>
  </w:style>
  <w:style w:type="character" w:customStyle="1" w:styleId="WW8Num36z1">
    <w:name w:val="WW8Num36z1"/>
    <w:semiHidden/>
    <w:rsid w:val="00291323"/>
    <w:rPr>
      <w:rFonts w:ascii="Courier New" w:hAnsi="Courier New" w:cs="Courier New"/>
    </w:rPr>
  </w:style>
  <w:style w:type="character" w:customStyle="1" w:styleId="WW8Num36z2">
    <w:name w:val="WW8Num36z2"/>
    <w:semiHidden/>
    <w:rsid w:val="00291323"/>
    <w:rPr>
      <w:rFonts w:ascii="Wingdings" w:hAnsi="Wingdings"/>
    </w:rPr>
  </w:style>
  <w:style w:type="character" w:customStyle="1" w:styleId="WW8Num37z0">
    <w:name w:val="WW8Num37z0"/>
    <w:semiHidden/>
    <w:rsid w:val="00291323"/>
    <w:rPr>
      <w:rFonts w:ascii="Symbol" w:hAnsi="Symbol"/>
      <w:sz w:val="22"/>
      <w:szCs w:val="22"/>
    </w:rPr>
  </w:style>
  <w:style w:type="character" w:customStyle="1" w:styleId="WW8Num37z1">
    <w:name w:val="WW8Num37z1"/>
    <w:rsid w:val="00291323"/>
    <w:rPr>
      <w:rFonts w:ascii="Courier New" w:hAnsi="Courier New" w:cs="Courier New"/>
    </w:rPr>
  </w:style>
  <w:style w:type="character" w:customStyle="1" w:styleId="WW8Num37z2">
    <w:name w:val="WW8Num37z2"/>
    <w:semiHidden/>
    <w:rsid w:val="00291323"/>
    <w:rPr>
      <w:rFonts w:ascii="Wingdings" w:hAnsi="Wingdings"/>
    </w:rPr>
  </w:style>
  <w:style w:type="character" w:customStyle="1" w:styleId="WW8Num37z3">
    <w:name w:val="WW8Num37z3"/>
    <w:semiHidden/>
    <w:rsid w:val="00291323"/>
    <w:rPr>
      <w:rFonts w:ascii="Symbol" w:hAnsi="Symbol"/>
    </w:rPr>
  </w:style>
  <w:style w:type="character" w:customStyle="1" w:styleId="WW8Num38z0">
    <w:name w:val="WW8Num38z0"/>
    <w:semiHidden/>
    <w:rsid w:val="00291323"/>
    <w:rPr>
      <w:rFonts w:ascii="Symbol" w:hAnsi="Symbol"/>
      <w:sz w:val="22"/>
      <w:szCs w:val="22"/>
    </w:rPr>
  </w:style>
  <w:style w:type="character" w:customStyle="1" w:styleId="WW8Num38z1">
    <w:name w:val="WW8Num38z1"/>
    <w:semiHidden/>
    <w:rsid w:val="00291323"/>
    <w:rPr>
      <w:rFonts w:ascii="Courier New" w:hAnsi="Courier New" w:cs="Courier New"/>
    </w:rPr>
  </w:style>
  <w:style w:type="character" w:customStyle="1" w:styleId="WW8Num38z2">
    <w:name w:val="WW8Num38z2"/>
    <w:semiHidden/>
    <w:rsid w:val="00291323"/>
    <w:rPr>
      <w:rFonts w:ascii="Wingdings" w:hAnsi="Wingdings"/>
    </w:rPr>
  </w:style>
  <w:style w:type="character" w:customStyle="1" w:styleId="WW8Num38z3">
    <w:name w:val="WW8Num38z3"/>
    <w:semiHidden/>
    <w:rsid w:val="00291323"/>
    <w:rPr>
      <w:rFonts w:ascii="Symbol" w:hAnsi="Symbol"/>
    </w:rPr>
  </w:style>
  <w:style w:type="character" w:customStyle="1" w:styleId="WW8Num39z0">
    <w:name w:val="WW8Num39z0"/>
    <w:semiHidden/>
    <w:rsid w:val="00291323"/>
    <w:rPr>
      <w:rFonts w:ascii="Symbol" w:hAnsi="Symbol"/>
      <w:sz w:val="22"/>
      <w:szCs w:val="22"/>
    </w:rPr>
  </w:style>
  <w:style w:type="character" w:customStyle="1" w:styleId="WW8Num39z1">
    <w:name w:val="WW8Num39z1"/>
    <w:semiHidden/>
    <w:rsid w:val="00291323"/>
    <w:rPr>
      <w:rFonts w:ascii="Courier New" w:hAnsi="Courier New" w:cs="Courier New"/>
    </w:rPr>
  </w:style>
  <w:style w:type="character" w:customStyle="1" w:styleId="WW8Num39z2">
    <w:name w:val="WW8Num39z2"/>
    <w:semiHidden/>
    <w:rsid w:val="00291323"/>
    <w:rPr>
      <w:rFonts w:ascii="Wingdings" w:hAnsi="Wingdings"/>
    </w:rPr>
  </w:style>
  <w:style w:type="character" w:customStyle="1" w:styleId="WW8Num39z3">
    <w:name w:val="WW8Num39z3"/>
    <w:semiHidden/>
    <w:rsid w:val="00291323"/>
    <w:rPr>
      <w:rFonts w:ascii="Symbol" w:hAnsi="Symbol"/>
    </w:rPr>
  </w:style>
  <w:style w:type="character" w:customStyle="1" w:styleId="WW8Num40z0">
    <w:name w:val="WW8Num40z0"/>
    <w:semiHidden/>
    <w:rsid w:val="00291323"/>
    <w:rPr>
      <w:rFonts w:ascii="Times New Roman" w:hAnsi="Times New Roman"/>
    </w:rPr>
  </w:style>
  <w:style w:type="character" w:customStyle="1" w:styleId="WW8Num41z0">
    <w:name w:val="WW8Num41z0"/>
    <w:semiHidden/>
    <w:rsid w:val="00291323"/>
    <w:rPr>
      <w:rFonts w:ascii="Times New Roman" w:hAnsi="Times New Roman"/>
    </w:rPr>
  </w:style>
  <w:style w:type="character" w:customStyle="1" w:styleId="WW8Num42z0">
    <w:name w:val="WW8Num42z0"/>
    <w:semiHidden/>
    <w:rsid w:val="00291323"/>
    <w:rPr>
      <w:rFonts w:ascii="Times New Roman" w:hAnsi="Times New Roman"/>
    </w:rPr>
  </w:style>
  <w:style w:type="character" w:customStyle="1" w:styleId="WW8Num43z0">
    <w:name w:val="WW8Num43z0"/>
    <w:semiHidden/>
    <w:rsid w:val="00291323"/>
    <w:rPr>
      <w:rFonts w:ascii="Symbol" w:hAnsi="Symbol"/>
      <w:sz w:val="22"/>
      <w:szCs w:val="22"/>
    </w:rPr>
  </w:style>
  <w:style w:type="character" w:customStyle="1" w:styleId="WW8Num43z1">
    <w:name w:val="WW8Num43z1"/>
    <w:semiHidden/>
    <w:rsid w:val="00291323"/>
    <w:rPr>
      <w:rFonts w:ascii="Courier New" w:hAnsi="Courier New" w:cs="Courier New"/>
    </w:rPr>
  </w:style>
  <w:style w:type="character" w:customStyle="1" w:styleId="WW8Num43z2">
    <w:name w:val="WW8Num43z2"/>
    <w:semiHidden/>
    <w:rsid w:val="00291323"/>
    <w:rPr>
      <w:rFonts w:ascii="Wingdings" w:hAnsi="Wingdings"/>
    </w:rPr>
  </w:style>
  <w:style w:type="character" w:customStyle="1" w:styleId="WW8Num43z3">
    <w:name w:val="WW8Num43z3"/>
    <w:semiHidden/>
    <w:rsid w:val="00291323"/>
    <w:rPr>
      <w:rFonts w:ascii="Symbol" w:hAnsi="Symbol"/>
    </w:rPr>
  </w:style>
  <w:style w:type="character" w:customStyle="1" w:styleId="WW8Num44z0">
    <w:name w:val="WW8Num44z0"/>
    <w:semiHidden/>
    <w:rsid w:val="00291323"/>
    <w:rPr>
      <w:rFonts w:ascii="Wingdings" w:hAnsi="Wingdings"/>
    </w:rPr>
  </w:style>
  <w:style w:type="character" w:customStyle="1" w:styleId="WW8Num44z1">
    <w:name w:val="WW8Num44z1"/>
    <w:semiHidden/>
    <w:rsid w:val="00291323"/>
    <w:rPr>
      <w:rFonts w:ascii="Symbol" w:hAnsi="Symbol"/>
    </w:rPr>
  </w:style>
  <w:style w:type="character" w:customStyle="1" w:styleId="WW8Num44z4">
    <w:name w:val="WW8Num44z4"/>
    <w:semiHidden/>
    <w:rsid w:val="00291323"/>
    <w:rPr>
      <w:rFonts w:ascii="Courier New" w:hAnsi="Courier New" w:cs="Courier New"/>
    </w:rPr>
  </w:style>
  <w:style w:type="character" w:customStyle="1" w:styleId="WW8Num45z0">
    <w:name w:val="WW8Num45z0"/>
    <w:semiHidden/>
    <w:rsid w:val="00291323"/>
    <w:rPr>
      <w:rFonts w:ascii="Symbol" w:hAnsi="Symbol"/>
      <w:sz w:val="22"/>
      <w:szCs w:val="22"/>
    </w:rPr>
  </w:style>
  <w:style w:type="character" w:customStyle="1" w:styleId="WW8Num45z1">
    <w:name w:val="WW8Num45z1"/>
    <w:semiHidden/>
    <w:rsid w:val="00291323"/>
    <w:rPr>
      <w:rFonts w:ascii="Courier New" w:hAnsi="Courier New" w:cs="Courier New"/>
    </w:rPr>
  </w:style>
  <w:style w:type="character" w:customStyle="1" w:styleId="WW8Num45z2">
    <w:name w:val="WW8Num45z2"/>
    <w:semiHidden/>
    <w:rsid w:val="00291323"/>
    <w:rPr>
      <w:rFonts w:ascii="Wingdings" w:hAnsi="Wingdings"/>
    </w:rPr>
  </w:style>
  <w:style w:type="character" w:customStyle="1" w:styleId="WW8Num45z3">
    <w:name w:val="WW8Num45z3"/>
    <w:semiHidden/>
    <w:rsid w:val="00291323"/>
    <w:rPr>
      <w:rFonts w:ascii="Symbol" w:hAnsi="Symbol"/>
    </w:rPr>
  </w:style>
  <w:style w:type="character" w:customStyle="1" w:styleId="WW8Num46z0">
    <w:name w:val="WW8Num46z0"/>
    <w:semiHidden/>
    <w:rsid w:val="00291323"/>
    <w:rPr>
      <w:rFonts w:ascii="Times New Roman" w:hAnsi="Times New Roman"/>
    </w:rPr>
  </w:style>
  <w:style w:type="character" w:customStyle="1" w:styleId="WW8Num47z0">
    <w:name w:val="WW8Num47z0"/>
    <w:semiHidden/>
    <w:rsid w:val="00291323"/>
    <w:rPr>
      <w:rFonts w:ascii="Symbol" w:hAnsi="Symbol"/>
      <w:sz w:val="22"/>
      <w:szCs w:val="22"/>
    </w:rPr>
  </w:style>
  <w:style w:type="character" w:customStyle="1" w:styleId="WW8Num47z1">
    <w:name w:val="WW8Num47z1"/>
    <w:semiHidden/>
    <w:rsid w:val="00291323"/>
    <w:rPr>
      <w:rFonts w:ascii="Courier New" w:hAnsi="Courier New" w:cs="Courier New"/>
    </w:rPr>
  </w:style>
  <w:style w:type="character" w:customStyle="1" w:styleId="WW8Num47z2">
    <w:name w:val="WW8Num47z2"/>
    <w:semiHidden/>
    <w:rsid w:val="00291323"/>
    <w:rPr>
      <w:rFonts w:ascii="Wingdings" w:hAnsi="Wingdings"/>
    </w:rPr>
  </w:style>
  <w:style w:type="character" w:customStyle="1" w:styleId="WW8Num47z3">
    <w:name w:val="WW8Num47z3"/>
    <w:semiHidden/>
    <w:rsid w:val="00291323"/>
    <w:rPr>
      <w:rFonts w:ascii="Symbol" w:hAnsi="Symbol"/>
    </w:rPr>
  </w:style>
  <w:style w:type="character" w:customStyle="1" w:styleId="WW8Num48z0">
    <w:name w:val="WW8Num48z0"/>
    <w:semiHidden/>
    <w:rsid w:val="00291323"/>
    <w:rPr>
      <w:rFonts w:ascii="Wingdings" w:hAnsi="Wingdings"/>
    </w:rPr>
  </w:style>
  <w:style w:type="character" w:customStyle="1" w:styleId="WW8Num48z1">
    <w:name w:val="WW8Num48z1"/>
    <w:semiHidden/>
    <w:rsid w:val="00291323"/>
    <w:rPr>
      <w:rFonts w:ascii="Times New Roman" w:eastAsia="Times New Roman" w:hAnsi="Times New Roman" w:cs="Times New Roman"/>
    </w:rPr>
  </w:style>
  <w:style w:type="character" w:customStyle="1" w:styleId="WW8Num48z3">
    <w:name w:val="WW8Num48z3"/>
    <w:semiHidden/>
    <w:rsid w:val="00291323"/>
    <w:rPr>
      <w:rFonts w:ascii="Symbol" w:hAnsi="Symbol"/>
    </w:rPr>
  </w:style>
  <w:style w:type="character" w:customStyle="1" w:styleId="WW8Num48z4">
    <w:name w:val="WW8Num48z4"/>
    <w:semiHidden/>
    <w:rsid w:val="00291323"/>
    <w:rPr>
      <w:rFonts w:ascii="Courier New" w:hAnsi="Courier New" w:cs="Courier New"/>
    </w:rPr>
  </w:style>
  <w:style w:type="character" w:customStyle="1" w:styleId="WW8Num49z0">
    <w:name w:val="WW8Num49z0"/>
    <w:semiHidden/>
    <w:rsid w:val="00291323"/>
    <w:rPr>
      <w:rFonts w:ascii="Symbol" w:hAnsi="Symbol"/>
      <w:sz w:val="22"/>
      <w:szCs w:val="22"/>
    </w:rPr>
  </w:style>
  <w:style w:type="character" w:customStyle="1" w:styleId="WW8Num49z1">
    <w:name w:val="WW8Num49z1"/>
    <w:semiHidden/>
    <w:rsid w:val="00291323"/>
    <w:rPr>
      <w:rFonts w:ascii="Courier New" w:hAnsi="Courier New" w:cs="Courier New"/>
    </w:rPr>
  </w:style>
  <w:style w:type="character" w:customStyle="1" w:styleId="WW8Num49z2">
    <w:name w:val="WW8Num49z2"/>
    <w:semiHidden/>
    <w:rsid w:val="00291323"/>
    <w:rPr>
      <w:rFonts w:ascii="Wingdings" w:hAnsi="Wingdings"/>
    </w:rPr>
  </w:style>
  <w:style w:type="character" w:customStyle="1" w:styleId="WW8Num49z3">
    <w:name w:val="WW8Num49z3"/>
    <w:semiHidden/>
    <w:rsid w:val="00291323"/>
    <w:rPr>
      <w:rFonts w:ascii="Symbol" w:hAnsi="Symbol"/>
    </w:rPr>
  </w:style>
  <w:style w:type="character" w:customStyle="1" w:styleId="WW8Num50z0">
    <w:name w:val="WW8Num50z0"/>
    <w:semiHidden/>
    <w:rsid w:val="00291323"/>
    <w:rPr>
      <w:rFonts w:ascii="Symbol" w:hAnsi="Symbol"/>
    </w:rPr>
  </w:style>
  <w:style w:type="character" w:customStyle="1" w:styleId="WW8Num50z1">
    <w:name w:val="WW8Num50z1"/>
    <w:semiHidden/>
    <w:rsid w:val="00291323"/>
    <w:rPr>
      <w:rFonts w:ascii="Courier New" w:hAnsi="Courier New" w:cs="Courier New"/>
    </w:rPr>
  </w:style>
  <w:style w:type="character" w:customStyle="1" w:styleId="WW8Num50z2">
    <w:name w:val="WW8Num50z2"/>
    <w:semiHidden/>
    <w:rsid w:val="00291323"/>
    <w:rPr>
      <w:rFonts w:ascii="Wingdings" w:hAnsi="Wingdings"/>
    </w:rPr>
  </w:style>
  <w:style w:type="character" w:customStyle="1" w:styleId="WW8Num51z0">
    <w:name w:val="WW8Num51z0"/>
    <w:semiHidden/>
    <w:rsid w:val="00291323"/>
    <w:rPr>
      <w:rFonts w:ascii="Symbol" w:hAnsi="Symbol"/>
      <w:sz w:val="22"/>
      <w:szCs w:val="22"/>
    </w:rPr>
  </w:style>
  <w:style w:type="character" w:customStyle="1" w:styleId="WW8Num51z1">
    <w:name w:val="WW8Num51z1"/>
    <w:semiHidden/>
    <w:rsid w:val="00291323"/>
    <w:rPr>
      <w:rFonts w:ascii="Courier New" w:hAnsi="Courier New" w:cs="Courier New"/>
    </w:rPr>
  </w:style>
  <w:style w:type="character" w:customStyle="1" w:styleId="WW8Num51z2">
    <w:name w:val="WW8Num51z2"/>
    <w:semiHidden/>
    <w:rsid w:val="00291323"/>
    <w:rPr>
      <w:rFonts w:ascii="Wingdings" w:hAnsi="Wingdings"/>
    </w:rPr>
  </w:style>
  <w:style w:type="character" w:customStyle="1" w:styleId="WW8Num51z3">
    <w:name w:val="WW8Num51z3"/>
    <w:semiHidden/>
    <w:rsid w:val="00291323"/>
    <w:rPr>
      <w:rFonts w:ascii="Symbol" w:hAnsi="Symbol"/>
    </w:rPr>
  </w:style>
  <w:style w:type="character" w:customStyle="1" w:styleId="NormalH3Char">
    <w:name w:val="Normal H3 Char"/>
    <w:semiHidden/>
    <w:rsid w:val="00291323"/>
    <w:rPr>
      <w:sz w:val="24"/>
      <w:szCs w:val="24"/>
      <w:lang w:val="en-US" w:bidi="ar-SA"/>
    </w:rPr>
  </w:style>
  <w:style w:type="character" w:customStyle="1" w:styleId="NormalH2Char">
    <w:name w:val="Normal H2 Char"/>
    <w:semiHidden/>
    <w:rsid w:val="00291323"/>
    <w:rPr>
      <w:sz w:val="24"/>
      <w:szCs w:val="24"/>
      <w:lang w:val="en-GB" w:bidi="ar-SA"/>
    </w:rPr>
  </w:style>
  <w:style w:type="character" w:customStyle="1" w:styleId="NormalH3CarCar">
    <w:name w:val="Normal H3 Car Car"/>
    <w:semiHidden/>
    <w:rsid w:val="00291323"/>
    <w:rPr>
      <w:sz w:val="22"/>
      <w:szCs w:val="24"/>
      <w:lang w:val="en-GB" w:bidi="ar-SA"/>
    </w:rPr>
  </w:style>
  <w:style w:type="character" w:customStyle="1" w:styleId="NormalH3Char1">
    <w:name w:val="Normal H3 Char1"/>
    <w:semiHidden/>
    <w:rsid w:val="00291323"/>
    <w:rPr>
      <w:sz w:val="24"/>
      <w:lang w:val="en-US" w:bidi="ar-SA"/>
    </w:rPr>
  </w:style>
  <w:style w:type="paragraph" w:styleId="TOC1">
    <w:name w:val="toc 1"/>
    <w:basedOn w:val="Normal"/>
    <w:next w:val="Normal"/>
    <w:autoRedefine/>
    <w:uiPriority w:val="39"/>
    <w:qFormat/>
    <w:rsid w:val="006E1FD9"/>
    <w:pPr>
      <w:tabs>
        <w:tab w:val="right" w:leader="dot" w:pos="9059"/>
      </w:tabs>
      <w:spacing w:before="120"/>
    </w:pPr>
    <w:rPr>
      <w:b/>
      <w:bCs/>
      <w:caps/>
      <w:noProof/>
      <w:sz w:val="22"/>
      <w:szCs w:val="22"/>
      <w:lang w:val="en-GB"/>
    </w:rPr>
  </w:style>
  <w:style w:type="paragraph" w:styleId="TOC2">
    <w:name w:val="toc 2"/>
    <w:basedOn w:val="Normal"/>
    <w:next w:val="Normal"/>
    <w:autoRedefine/>
    <w:uiPriority w:val="39"/>
    <w:qFormat/>
    <w:rsid w:val="00782FAD"/>
    <w:pPr>
      <w:tabs>
        <w:tab w:val="right" w:leader="dot" w:pos="9059"/>
      </w:tabs>
      <w:ind w:left="284"/>
    </w:pPr>
    <w:rPr>
      <w:rFonts w:cs="Calibri"/>
      <w:bCs/>
      <w:noProof/>
      <w:sz w:val="20"/>
      <w:szCs w:val="20"/>
      <w:lang w:val="en-GB"/>
    </w:rPr>
  </w:style>
  <w:style w:type="character" w:styleId="Hyperlink">
    <w:name w:val="Hyperlink"/>
    <w:uiPriority w:val="99"/>
    <w:qFormat/>
    <w:rsid w:val="00CB57B7"/>
    <w:rPr>
      <w:color w:val="0000FF"/>
      <w:u w:val="single"/>
    </w:rPr>
  </w:style>
  <w:style w:type="character" w:customStyle="1" w:styleId="FooterChar">
    <w:name w:val="Footer Char"/>
    <w:link w:val="Footer"/>
    <w:uiPriority w:val="99"/>
    <w:rsid w:val="000F1756"/>
    <w:rPr>
      <w:rFonts w:ascii="Calibri" w:eastAsia="Times New Roman" w:hAnsi="Calibri" w:cs="Times New Roman"/>
      <w:kern w:val="3"/>
      <w:lang w:val="en-IE" w:eastAsia="zh-CN"/>
    </w:rPr>
  </w:style>
  <w:style w:type="character" w:styleId="Strong">
    <w:name w:val="Strong"/>
    <w:qFormat/>
    <w:rsid w:val="00E10979"/>
    <w:rPr>
      <w:b/>
    </w:rPr>
  </w:style>
  <w:style w:type="paragraph" w:styleId="TOC3">
    <w:name w:val="toc 3"/>
    <w:basedOn w:val="Normal"/>
    <w:next w:val="Normal"/>
    <w:autoRedefine/>
    <w:uiPriority w:val="39"/>
    <w:rsid w:val="00DE0934"/>
    <w:pPr>
      <w:tabs>
        <w:tab w:val="right" w:leader="dot" w:pos="9059"/>
      </w:tabs>
      <w:ind w:left="482" w:firstLine="119"/>
      <w:contextualSpacing/>
    </w:pPr>
    <w:rPr>
      <w:rFonts w:cs="Calibri"/>
      <w:noProof/>
      <w:sz w:val="20"/>
      <w:szCs w:val="20"/>
    </w:rPr>
  </w:style>
  <w:style w:type="paragraph" w:styleId="TOC4">
    <w:name w:val="toc 4"/>
    <w:basedOn w:val="Normal"/>
    <w:next w:val="Normal"/>
    <w:autoRedefine/>
    <w:uiPriority w:val="39"/>
    <w:rsid w:val="0012571E"/>
    <w:pPr>
      <w:tabs>
        <w:tab w:val="left" w:pos="595"/>
        <w:tab w:val="right" w:leader="dot" w:pos="9059"/>
      </w:tabs>
      <w:ind w:left="851"/>
    </w:pPr>
    <w:rPr>
      <w:rFonts w:eastAsia="Calibri" w:cs="Calibri"/>
      <w:noProof/>
      <w:kern w:val="0"/>
      <w:sz w:val="20"/>
      <w:szCs w:val="20"/>
      <w:lang w:val="en-GB"/>
    </w:rPr>
  </w:style>
  <w:style w:type="paragraph" w:styleId="List4">
    <w:name w:val="List 4"/>
    <w:basedOn w:val="Normal"/>
    <w:semiHidden/>
    <w:rsid w:val="00E10979"/>
    <w:pPr>
      <w:widowControl/>
      <w:suppressAutoHyphens w:val="0"/>
      <w:autoSpaceDN/>
      <w:spacing w:after="240"/>
      <w:ind w:left="1132" w:hanging="283"/>
      <w:jc w:val="both"/>
      <w:textAlignment w:val="auto"/>
    </w:pPr>
    <w:rPr>
      <w:rFonts w:eastAsia="Times New Roman" w:cs="Times New Roman"/>
      <w:kern w:val="0"/>
      <w:szCs w:val="20"/>
      <w:lang w:val="en-GB" w:eastAsia="en-US"/>
    </w:rPr>
  </w:style>
  <w:style w:type="paragraph" w:styleId="List5">
    <w:name w:val="List 5"/>
    <w:basedOn w:val="Normal"/>
    <w:semiHidden/>
    <w:rsid w:val="00E10979"/>
    <w:pPr>
      <w:widowControl/>
      <w:suppressAutoHyphens w:val="0"/>
      <w:autoSpaceDN/>
      <w:spacing w:after="240"/>
      <w:ind w:left="1415" w:hanging="283"/>
      <w:jc w:val="both"/>
      <w:textAlignment w:val="auto"/>
    </w:pPr>
    <w:rPr>
      <w:rFonts w:eastAsia="Times New Roman" w:cs="Times New Roman"/>
      <w:kern w:val="0"/>
      <w:szCs w:val="20"/>
      <w:lang w:val="en-GB" w:eastAsia="en-US"/>
    </w:rPr>
  </w:style>
  <w:style w:type="table" w:styleId="TableGrid">
    <w:name w:val="Table Grid"/>
    <w:basedOn w:val="TableNormal"/>
    <w:uiPriority w:val="59"/>
    <w:rsid w:val="00E10979"/>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1"/>
    <w:semiHidden/>
    <w:rsid w:val="00660ED6"/>
    <w:rPr>
      <w:rFonts w:ascii="Calibri" w:eastAsia="Times New Roman" w:hAnsi="Calibri" w:cs="Times New Roman"/>
      <w:b/>
      <w:i/>
      <w:kern w:val="3"/>
      <w:sz w:val="22"/>
      <w:szCs w:val="24"/>
      <w:lang w:val="en-IE" w:eastAsia="zh-CN"/>
    </w:rPr>
  </w:style>
  <w:style w:type="character" w:customStyle="1" w:styleId="Heading6Char">
    <w:name w:val="Heading 6 Char"/>
    <w:link w:val="Heading6"/>
    <w:uiPriority w:val="1"/>
    <w:semiHidden/>
    <w:rsid w:val="00660ED6"/>
    <w:rPr>
      <w:rFonts w:ascii="Calibri" w:eastAsia="Times New Roman" w:hAnsi="Calibri" w:cs="Times New Roman"/>
      <w:b/>
      <w:kern w:val="3"/>
      <w:sz w:val="22"/>
      <w:szCs w:val="24"/>
      <w:lang w:val="en-IE" w:eastAsia="zh-CN"/>
    </w:rPr>
  </w:style>
  <w:style w:type="character" w:customStyle="1" w:styleId="Heading7Char">
    <w:name w:val="Heading 7 Char"/>
    <w:link w:val="Heading7"/>
    <w:semiHidden/>
    <w:rsid w:val="00660ED6"/>
    <w:rPr>
      <w:rFonts w:ascii="Arial" w:eastAsia="Times New Roman" w:hAnsi="Arial" w:cs="Times New Roman"/>
      <w:b/>
      <w:kern w:val="3"/>
      <w:sz w:val="32"/>
      <w:szCs w:val="24"/>
      <w:lang w:val="en-IE" w:eastAsia="zh-CN"/>
    </w:rPr>
  </w:style>
  <w:style w:type="character" w:customStyle="1" w:styleId="Heading8Char">
    <w:name w:val="Heading 8 Char"/>
    <w:link w:val="Heading8"/>
    <w:semiHidden/>
    <w:rsid w:val="00660ED6"/>
    <w:rPr>
      <w:rFonts w:ascii="Arial" w:eastAsia="Times New Roman" w:hAnsi="Arial" w:cs="Times New Roman"/>
      <w:b/>
      <w:bCs/>
      <w:kern w:val="3"/>
      <w:sz w:val="18"/>
      <w:szCs w:val="16"/>
      <w:lang w:val="en-IE" w:eastAsia="zh-CN"/>
    </w:rPr>
  </w:style>
  <w:style w:type="character" w:customStyle="1" w:styleId="Heading9Char">
    <w:name w:val="Heading 9 Char"/>
    <w:link w:val="Heading9"/>
    <w:semiHidden/>
    <w:rsid w:val="00660ED6"/>
    <w:rPr>
      <w:rFonts w:ascii="Arial" w:eastAsia="Times New Roman" w:hAnsi="Arial" w:cs="Times New Roman"/>
      <w:b/>
      <w:bCs/>
      <w:kern w:val="3"/>
      <w:sz w:val="24"/>
      <w:szCs w:val="24"/>
      <w:lang w:val="en-IE" w:eastAsia="zh-CN"/>
    </w:rPr>
  </w:style>
  <w:style w:type="character" w:customStyle="1" w:styleId="HeaderChar">
    <w:name w:val="Header Char"/>
    <w:aliases w:val="Guide - Header Char"/>
    <w:link w:val="Header"/>
    <w:uiPriority w:val="99"/>
    <w:rsid w:val="004C7571"/>
    <w:rPr>
      <w:rFonts w:ascii="Calibri" w:hAnsi="Calibri"/>
      <w:color w:val="0D79BB"/>
      <w:kern w:val="3"/>
      <w:sz w:val="16"/>
      <w:szCs w:val="16"/>
      <w:lang w:val="fr-BE" w:eastAsia="zh-CN"/>
    </w:rPr>
  </w:style>
  <w:style w:type="character" w:customStyle="1" w:styleId="TitleChar">
    <w:name w:val="Title Char"/>
    <w:link w:val="Title"/>
    <w:uiPriority w:val="10"/>
    <w:rsid w:val="00721A45"/>
    <w:rPr>
      <w:rFonts w:ascii="Calibri" w:hAnsi="Calibri"/>
      <w:b/>
      <w:color w:val="FFFFFF"/>
      <w:kern w:val="3"/>
      <w:sz w:val="128"/>
      <w:szCs w:val="128"/>
      <w:lang w:val="fr-BE" w:eastAsia="zh-CN"/>
    </w:rPr>
  </w:style>
  <w:style w:type="character" w:customStyle="1" w:styleId="SubtitleChar">
    <w:name w:val="Subtitle Char"/>
    <w:link w:val="Subtitle"/>
    <w:uiPriority w:val="11"/>
    <w:rsid w:val="00721A45"/>
    <w:rPr>
      <w:rFonts w:ascii="Calibri" w:hAnsi="Calibri"/>
      <w:i/>
      <w:color w:val="FFFFFF"/>
      <w:kern w:val="3"/>
      <w:sz w:val="60"/>
      <w:szCs w:val="60"/>
      <w:lang w:val="fr-BE" w:eastAsia="zh-CN"/>
    </w:rPr>
  </w:style>
  <w:style w:type="character" w:customStyle="1" w:styleId="MacroTextChar">
    <w:name w:val="Macro Text Char"/>
    <w:link w:val="MacroText"/>
    <w:semiHidden/>
    <w:rsid w:val="00721A45"/>
    <w:rPr>
      <w:rFonts w:ascii="Courier New" w:eastAsia="Times New Roman" w:hAnsi="Courier New" w:cs="Times New Roman"/>
      <w:kern w:val="3"/>
      <w:lang w:eastAsia="zh-CN" w:bidi="ar-SA"/>
    </w:rPr>
  </w:style>
  <w:style w:type="character" w:customStyle="1" w:styleId="NoteHeadingChar">
    <w:name w:val="Note Heading Char"/>
    <w:link w:val="NoteHeading"/>
    <w:semiHidden/>
    <w:rsid w:val="00721A45"/>
    <w:rPr>
      <w:rFonts w:ascii="Calibri" w:eastAsia="Times New Roman" w:hAnsi="Calibri" w:cs="Times New Roman"/>
      <w:kern w:val="3"/>
      <w:sz w:val="24"/>
      <w:lang w:val="en-IE" w:eastAsia="zh-CN"/>
    </w:rPr>
  </w:style>
  <w:style w:type="paragraph" w:customStyle="1" w:styleId="ColorfulShading-Accent11">
    <w:name w:val="Colorful Shading - Accent 11"/>
    <w:hidden/>
    <w:rsid w:val="00121086"/>
    <w:rPr>
      <w:kern w:val="3"/>
      <w:sz w:val="24"/>
      <w:szCs w:val="24"/>
      <w:lang w:val="fr-BE" w:eastAsia="zh-CN"/>
    </w:rPr>
  </w:style>
  <w:style w:type="paragraph" w:styleId="Revision">
    <w:name w:val="Revision"/>
    <w:hidden/>
    <w:rsid w:val="00DF195D"/>
    <w:rPr>
      <w:kern w:val="3"/>
      <w:sz w:val="24"/>
      <w:szCs w:val="24"/>
      <w:lang w:val="fr-BE" w:eastAsia="zh-CN"/>
    </w:rPr>
  </w:style>
  <w:style w:type="paragraph" w:customStyle="1" w:styleId="Guide-Heading6">
    <w:name w:val="Guide - Heading 6"/>
    <w:basedOn w:val="Guide-Heading5"/>
    <w:qFormat/>
    <w:rsid w:val="008D3F2A"/>
    <w:pPr>
      <w:jc w:val="both"/>
      <w:outlineLvl w:val="5"/>
    </w:pPr>
    <w:rPr>
      <w:sz w:val="20"/>
      <w:szCs w:val="28"/>
    </w:rPr>
  </w:style>
  <w:style w:type="paragraph" w:customStyle="1" w:styleId="Guide-Heading7">
    <w:name w:val="Guide - Heading 7"/>
    <w:basedOn w:val="Guide-Heading6"/>
    <w:qFormat/>
    <w:rsid w:val="005F5150"/>
    <w:pPr>
      <w:outlineLvl w:val="6"/>
    </w:pPr>
    <w:rPr>
      <w:sz w:val="18"/>
    </w:rPr>
  </w:style>
  <w:style w:type="paragraph" w:styleId="TOCHeading">
    <w:name w:val="TOC Heading"/>
    <w:basedOn w:val="Normal"/>
    <w:next w:val="Normal"/>
    <w:uiPriority w:val="39"/>
    <w:qFormat/>
    <w:rsid w:val="00521AF9"/>
    <w:pPr>
      <w:keepNext/>
      <w:widowControl/>
      <w:suppressAutoHyphens w:val="0"/>
      <w:autoSpaceDN/>
      <w:spacing w:before="240" w:after="240"/>
      <w:jc w:val="center"/>
      <w:textAlignment w:val="auto"/>
    </w:pPr>
    <w:rPr>
      <w:rFonts w:ascii="Times New Roman" w:eastAsia="Times New Roman" w:hAnsi="Times New Roman" w:cs="Times New Roman"/>
      <w:b/>
      <w:kern w:val="0"/>
      <w:szCs w:val="20"/>
      <w:lang w:eastAsia="en-US"/>
    </w:rPr>
  </w:style>
  <w:style w:type="table" w:styleId="Table3Deffects1">
    <w:name w:val="Table 3D effects 1"/>
    <w:basedOn w:val="TableNormal"/>
    <w:rsid w:val="00D27A9F"/>
    <w:rPr>
      <w:rFonts w:ascii="Verdana" w:eastAsia="Times New Roman" w:hAnsi="Verdana" w:cs="Times New Roman"/>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27A9F"/>
    <w:rPr>
      <w:rFonts w:ascii="Verdana" w:eastAsia="Times New Roman" w:hAnsi="Verdana" w:cs="Times New Roman"/>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27A9F"/>
    <w:rPr>
      <w:rFonts w:ascii="Verdana" w:eastAsia="Times New Roman" w:hAnsi="Verdana" w:cs="Times New Roman"/>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Professional">
    <w:name w:val="Table Professional"/>
    <w:basedOn w:val="TableNormal"/>
    <w:rsid w:val="00D27A9F"/>
    <w:pPr>
      <w:jc w:val="both"/>
    </w:pPr>
    <w:rPr>
      <w:rFonts w:ascii="Verdana" w:eastAsia="Times New Roman" w:hAnsi="Verdana" w:cs="Times New Roman"/>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Bullet2Char">
    <w:name w:val="List Bullet 2 Char"/>
    <w:link w:val="ListBullet2"/>
    <w:rsid w:val="00721A45"/>
    <w:rPr>
      <w:rFonts w:eastAsia="Times New Roman" w:cs="Times New Roman"/>
      <w:lang w:val="fr-BE" w:eastAsia="en-US"/>
    </w:rPr>
  </w:style>
  <w:style w:type="numbering" w:customStyle="1" w:styleId="WW8Num481">
    <w:name w:val="WW8Num481"/>
    <w:basedOn w:val="NoList"/>
    <w:rsid w:val="0010008C"/>
    <w:pPr>
      <w:numPr>
        <w:numId w:val="1"/>
      </w:numPr>
    </w:pPr>
  </w:style>
  <w:style w:type="paragraph" w:customStyle="1" w:styleId="NormalSCM">
    <w:name w:val="Normal SCM"/>
    <w:basedOn w:val="Normal"/>
    <w:link w:val="NormalSCMChar"/>
    <w:semiHidden/>
    <w:rsid w:val="00883017"/>
    <w:pPr>
      <w:widowControl/>
      <w:suppressAutoHyphens w:val="0"/>
      <w:autoSpaceDN/>
      <w:spacing w:after="120"/>
      <w:ind w:right="68"/>
      <w:jc w:val="both"/>
      <w:textAlignment w:val="auto"/>
    </w:pPr>
    <w:rPr>
      <w:rFonts w:ascii="Times" w:eastAsia="Times New Roman" w:hAnsi="Times" w:cs="Times New Roman"/>
      <w:color w:val="000000"/>
      <w:kern w:val="0"/>
      <w:sz w:val="22"/>
      <w:szCs w:val="22"/>
      <w:lang w:eastAsia="en-US"/>
    </w:rPr>
  </w:style>
  <w:style w:type="character" w:customStyle="1" w:styleId="NormalSCMChar">
    <w:name w:val="Normal SCM Char"/>
    <w:link w:val="NormalSCM"/>
    <w:semiHidden/>
    <w:rsid w:val="00721A45"/>
    <w:rPr>
      <w:rFonts w:ascii="Times" w:eastAsia="Times New Roman" w:hAnsi="Times" w:cs="Times New Roman"/>
      <w:color w:val="000000"/>
      <w:sz w:val="22"/>
      <w:szCs w:val="22"/>
      <w:lang w:eastAsia="en-US"/>
    </w:rPr>
  </w:style>
  <w:style w:type="character" w:styleId="FootnoteReference">
    <w:name w:val="footnote reference"/>
    <w:aliases w:val="Guide - Footnote N° Char,Footnote symbol,Footnote reference number,Times 10 Point,Exposant 3 Point,Ref,de nota al pie,note TESI,SUPERS,EN Footnote Reference,EN Footnote text,Footnote Reference Number,Footnote Reference_LVL6,R"/>
    <w:link w:val="Guide-FootnoteN"/>
    <w:uiPriority w:val="99"/>
    <w:qFormat/>
    <w:rsid w:val="00291323"/>
    <w:rPr>
      <w:position w:val="0"/>
      <w:vertAlign w:val="superscript"/>
    </w:rPr>
  </w:style>
  <w:style w:type="numbering" w:customStyle="1" w:styleId="WWOutlineListStyle">
    <w:name w:val="WW_OutlineListStyle"/>
    <w:basedOn w:val="NoList"/>
    <w:rsid w:val="00291323"/>
    <w:pPr>
      <w:numPr>
        <w:numId w:val="2"/>
      </w:numPr>
    </w:pPr>
  </w:style>
  <w:style w:type="numbering" w:customStyle="1" w:styleId="WW8Num1">
    <w:name w:val="WW8Num1"/>
    <w:basedOn w:val="NoList"/>
    <w:rsid w:val="00291323"/>
    <w:pPr>
      <w:numPr>
        <w:numId w:val="3"/>
      </w:numPr>
    </w:pPr>
  </w:style>
  <w:style w:type="numbering" w:customStyle="1" w:styleId="WW8Num2">
    <w:name w:val="WW8Num2"/>
    <w:basedOn w:val="NoList"/>
    <w:rsid w:val="00291323"/>
    <w:pPr>
      <w:numPr>
        <w:numId w:val="4"/>
      </w:numPr>
    </w:pPr>
  </w:style>
  <w:style w:type="numbering" w:customStyle="1" w:styleId="WW8Num3">
    <w:name w:val="WW8Num3"/>
    <w:basedOn w:val="NoList"/>
    <w:rsid w:val="00291323"/>
    <w:pPr>
      <w:numPr>
        <w:numId w:val="5"/>
      </w:numPr>
    </w:pPr>
  </w:style>
  <w:style w:type="numbering" w:customStyle="1" w:styleId="WW8Num4">
    <w:name w:val="WW8Num4"/>
    <w:basedOn w:val="NoList"/>
    <w:rsid w:val="00291323"/>
    <w:pPr>
      <w:numPr>
        <w:numId w:val="6"/>
      </w:numPr>
    </w:pPr>
  </w:style>
  <w:style w:type="numbering" w:customStyle="1" w:styleId="WW8Num6">
    <w:name w:val="WW8Num6"/>
    <w:basedOn w:val="NoList"/>
    <w:rsid w:val="00291323"/>
    <w:pPr>
      <w:numPr>
        <w:numId w:val="7"/>
      </w:numPr>
    </w:pPr>
  </w:style>
  <w:style w:type="character" w:customStyle="1" w:styleId="Guide-Condensed-02">
    <w:name w:val="Guide - Condensed -0.2"/>
    <w:uiPriority w:val="1"/>
    <w:rsid w:val="00D337E7"/>
    <w:rPr>
      <w:rFonts w:ascii="Calibri" w:hAnsi="Calibri"/>
      <w:spacing w:val="-4"/>
    </w:rPr>
  </w:style>
  <w:style w:type="numbering" w:customStyle="1" w:styleId="WW8Num10">
    <w:name w:val="WW8Num10"/>
    <w:basedOn w:val="NoList"/>
    <w:rsid w:val="00291323"/>
    <w:pPr>
      <w:numPr>
        <w:numId w:val="8"/>
      </w:numPr>
    </w:pPr>
  </w:style>
  <w:style w:type="numbering" w:customStyle="1" w:styleId="WW8Num11">
    <w:name w:val="WW8Num11"/>
    <w:basedOn w:val="NoList"/>
    <w:rsid w:val="00291323"/>
    <w:pPr>
      <w:numPr>
        <w:numId w:val="9"/>
      </w:numPr>
    </w:pPr>
  </w:style>
  <w:style w:type="numbering" w:customStyle="1" w:styleId="WW8Num12">
    <w:name w:val="WW8Num12"/>
    <w:basedOn w:val="NoList"/>
    <w:rsid w:val="00291323"/>
    <w:pPr>
      <w:numPr>
        <w:numId w:val="10"/>
      </w:numPr>
    </w:pPr>
  </w:style>
  <w:style w:type="numbering" w:customStyle="1" w:styleId="WW8Num13">
    <w:name w:val="WW8Num13"/>
    <w:basedOn w:val="NoList"/>
    <w:rsid w:val="00291323"/>
    <w:pPr>
      <w:numPr>
        <w:numId w:val="11"/>
      </w:numPr>
    </w:pPr>
  </w:style>
  <w:style w:type="numbering" w:customStyle="1" w:styleId="WW8Num14">
    <w:name w:val="WW8Num14"/>
    <w:basedOn w:val="NoList"/>
    <w:rsid w:val="00291323"/>
    <w:pPr>
      <w:numPr>
        <w:numId w:val="12"/>
      </w:numPr>
    </w:pPr>
  </w:style>
  <w:style w:type="numbering" w:customStyle="1" w:styleId="WW8Num15">
    <w:name w:val="WW8Num15"/>
    <w:basedOn w:val="NoList"/>
    <w:rsid w:val="00291323"/>
    <w:pPr>
      <w:numPr>
        <w:numId w:val="13"/>
      </w:numPr>
    </w:pPr>
  </w:style>
  <w:style w:type="numbering" w:customStyle="1" w:styleId="WW8Num16">
    <w:name w:val="WW8Num16"/>
    <w:basedOn w:val="NoList"/>
    <w:rsid w:val="00291323"/>
    <w:pPr>
      <w:numPr>
        <w:numId w:val="14"/>
      </w:numPr>
    </w:pPr>
  </w:style>
  <w:style w:type="numbering" w:customStyle="1" w:styleId="WW8Num17">
    <w:name w:val="WW8Num17"/>
    <w:basedOn w:val="NoList"/>
    <w:rsid w:val="00291323"/>
    <w:pPr>
      <w:numPr>
        <w:numId w:val="15"/>
      </w:numPr>
    </w:pPr>
  </w:style>
  <w:style w:type="numbering" w:customStyle="1" w:styleId="WW8Num18">
    <w:name w:val="WW8Num18"/>
    <w:basedOn w:val="NoList"/>
    <w:rsid w:val="00291323"/>
    <w:pPr>
      <w:numPr>
        <w:numId w:val="16"/>
      </w:numPr>
    </w:pPr>
  </w:style>
  <w:style w:type="numbering" w:customStyle="1" w:styleId="WW8Num19">
    <w:name w:val="WW8Num19"/>
    <w:basedOn w:val="NoList"/>
    <w:rsid w:val="00291323"/>
    <w:pPr>
      <w:numPr>
        <w:numId w:val="17"/>
      </w:numPr>
    </w:pPr>
  </w:style>
  <w:style w:type="numbering" w:customStyle="1" w:styleId="WW8Num20">
    <w:name w:val="WW8Num20"/>
    <w:basedOn w:val="NoList"/>
    <w:rsid w:val="00291323"/>
    <w:pPr>
      <w:numPr>
        <w:numId w:val="18"/>
      </w:numPr>
    </w:pPr>
  </w:style>
  <w:style w:type="numbering" w:customStyle="1" w:styleId="WW8Num21">
    <w:name w:val="WW8Num21"/>
    <w:basedOn w:val="NoList"/>
    <w:rsid w:val="00291323"/>
    <w:pPr>
      <w:numPr>
        <w:numId w:val="19"/>
      </w:numPr>
    </w:pPr>
  </w:style>
  <w:style w:type="numbering" w:customStyle="1" w:styleId="WW8Num22">
    <w:name w:val="WW8Num22"/>
    <w:basedOn w:val="NoList"/>
    <w:rsid w:val="00291323"/>
    <w:pPr>
      <w:numPr>
        <w:numId w:val="20"/>
      </w:numPr>
    </w:pPr>
  </w:style>
  <w:style w:type="numbering" w:customStyle="1" w:styleId="WW8Num23">
    <w:name w:val="WW8Num23"/>
    <w:basedOn w:val="NoList"/>
    <w:rsid w:val="00291323"/>
    <w:pPr>
      <w:numPr>
        <w:numId w:val="21"/>
      </w:numPr>
    </w:pPr>
  </w:style>
  <w:style w:type="numbering" w:customStyle="1" w:styleId="WW8Num24">
    <w:name w:val="WW8Num24"/>
    <w:basedOn w:val="NoList"/>
    <w:rsid w:val="00291323"/>
    <w:pPr>
      <w:numPr>
        <w:numId w:val="22"/>
      </w:numPr>
    </w:pPr>
  </w:style>
  <w:style w:type="numbering" w:customStyle="1" w:styleId="WW8Num25">
    <w:name w:val="WW8Num25"/>
    <w:basedOn w:val="NoList"/>
    <w:rsid w:val="00291323"/>
    <w:pPr>
      <w:numPr>
        <w:numId w:val="23"/>
      </w:numPr>
    </w:pPr>
  </w:style>
  <w:style w:type="numbering" w:customStyle="1" w:styleId="WW8Num26">
    <w:name w:val="WW8Num26"/>
    <w:basedOn w:val="NoList"/>
    <w:rsid w:val="00291323"/>
    <w:pPr>
      <w:numPr>
        <w:numId w:val="24"/>
      </w:numPr>
    </w:pPr>
  </w:style>
  <w:style w:type="numbering" w:customStyle="1" w:styleId="WW8Num27">
    <w:name w:val="WW8Num27"/>
    <w:basedOn w:val="NoList"/>
    <w:rsid w:val="00291323"/>
    <w:pPr>
      <w:numPr>
        <w:numId w:val="25"/>
      </w:numPr>
    </w:pPr>
  </w:style>
  <w:style w:type="numbering" w:customStyle="1" w:styleId="WW8Num28">
    <w:name w:val="WW8Num28"/>
    <w:basedOn w:val="NoList"/>
    <w:rsid w:val="00291323"/>
    <w:pPr>
      <w:numPr>
        <w:numId w:val="26"/>
      </w:numPr>
    </w:pPr>
  </w:style>
  <w:style w:type="numbering" w:customStyle="1" w:styleId="WW8Num29">
    <w:name w:val="WW8Num29"/>
    <w:basedOn w:val="NoList"/>
    <w:rsid w:val="00291323"/>
    <w:pPr>
      <w:numPr>
        <w:numId w:val="27"/>
      </w:numPr>
    </w:pPr>
  </w:style>
  <w:style w:type="numbering" w:customStyle="1" w:styleId="WW8Num30">
    <w:name w:val="WW8Num30"/>
    <w:basedOn w:val="NoList"/>
    <w:rsid w:val="00291323"/>
    <w:pPr>
      <w:numPr>
        <w:numId w:val="28"/>
      </w:numPr>
    </w:pPr>
  </w:style>
  <w:style w:type="numbering" w:customStyle="1" w:styleId="WW8Num31">
    <w:name w:val="WW8Num31"/>
    <w:basedOn w:val="NoList"/>
    <w:rsid w:val="00291323"/>
    <w:pPr>
      <w:numPr>
        <w:numId w:val="29"/>
      </w:numPr>
    </w:pPr>
  </w:style>
  <w:style w:type="numbering" w:customStyle="1" w:styleId="WW8Num32">
    <w:name w:val="WW8Num32"/>
    <w:basedOn w:val="NoList"/>
    <w:rsid w:val="00291323"/>
    <w:pPr>
      <w:numPr>
        <w:numId w:val="30"/>
      </w:numPr>
    </w:pPr>
  </w:style>
  <w:style w:type="numbering" w:customStyle="1" w:styleId="WW8Num33">
    <w:name w:val="WW8Num33"/>
    <w:basedOn w:val="NoList"/>
    <w:rsid w:val="00291323"/>
    <w:pPr>
      <w:numPr>
        <w:numId w:val="31"/>
      </w:numPr>
    </w:pPr>
  </w:style>
  <w:style w:type="numbering" w:customStyle="1" w:styleId="WW8Num34">
    <w:name w:val="WW8Num34"/>
    <w:basedOn w:val="NoList"/>
    <w:rsid w:val="00291323"/>
    <w:pPr>
      <w:numPr>
        <w:numId w:val="32"/>
      </w:numPr>
    </w:pPr>
  </w:style>
  <w:style w:type="numbering" w:customStyle="1" w:styleId="WW8Num35">
    <w:name w:val="WW8Num35"/>
    <w:basedOn w:val="NoList"/>
    <w:rsid w:val="00291323"/>
    <w:pPr>
      <w:numPr>
        <w:numId w:val="33"/>
      </w:numPr>
    </w:pPr>
  </w:style>
  <w:style w:type="numbering" w:customStyle="1" w:styleId="WW8Num36">
    <w:name w:val="WW8Num36"/>
    <w:basedOn w:val="NoList"/>
    <w:rsid w:val="00291323"/>
    <w:pPr>
      <w:numPr>
        <w:numId w:val="34"/>
      </w:numPr>
    </w:pPr>
  </w:style>
  <w:style w:type="numbering" w:customStyle="1" w:styleId="WW8Num37">
    <w:name w:val="WW8Num37"/>
    <w:basedOn w:val="NoList"/>
    <w:rsid w:val="00291323"/>
    <w:pPr>
      <w:numPr>
        <w:numId w:val="35"/>
      </w:numPr>
    </w:pPr>
  </w:style>
  <w:style w:type="numbering" w:customStyle="1" w:styleId="WW8Num38">
    <w:name w:val="WW8Num38"/>
    <w:basedOn w:val="NoList"/>
    <w:rsid w:val="00291323"/>
    <w:pPr>
      <w:numPr>
        <w:numId w:val="36"/>
      </w:numPr>
    </w:pPr>
  </w:style>
  <w:style w:type="numbering" w:customStyle="1" w:styleId="WW8Num39">
    <w:name w:val="WW8Num39"/>
    <w:basedOn w:val="NoList"/>
    <w:rsid w:val="00291323"/>
    <w:pPr>
      <w:numPr>
        <w:numId w:val="37"/>
      </w:numPr>
    </w:pPr>
  </w:style>
  <w:style w:type="numbering" w:customStyle="1" w:styleId="WW8Num40">
    <w:name w:val="WW8Num40"/>
    <w:basedOn w:val="NoList"/>
    <w:rsid w:val="00291323"/>
    <w:pPr>
      <w:numPr>
        <w:numId w:val="38"/>
      </w:numPr>
    </w:pPr>
  </w:style>
  <w:style w:type="numbering" w:customStyle="1" w:styleId="WW8Num41">
    <w:name w:val="WW8Num41"/>
    <w:basedOn w:val="NoList"/>
    <w:rsid w:val="00291323"/>
    <w:pPr>
      <w:numPr>
        <w:numId w:val="39"/>
      </w:numPr>
    </w:pPr>
  </w:style>
  <w:style w:type="numbering" w:customStyle="1" w:styleId="WW8Num42">
    <w:name w:val="WW8Num42"/>
    <w:basedOn w:val="NoList"/>
    <w:rsid w:val="00291323"/>
    <w:pPr>
      <w:numPr>
        <w:numId w:val="40"/>
      </w:numPr>
    </w:pPr>
  </w:style>
  <w:style w:type="numbering" w:customStyle="1" w:styleId="WW8Num43">
    <w:name w:val="WW8Num43"/>
    <w:basedOn w:val="NoList"/>
    <w:rsid w:val="00291323"/>
    <w:pPr>
      <w:numPr>
        <w:numId w:val="41"/>
      </w:numPr>
    </w:pPr>
  </w:style>
  <w:style w:type="numbering" w:customStyle="1" w:styleId="WW8Num44">
    <w:name w:val="WW8Num44"/>
    <w:basedOn w:val="NoList"/>
    <w:rsid w:val="00291323"/>
    <w:pPr>
      <w:numPr>
        <w:numId w:val="42"/>
      </w:numPr>
    </w:pPr>
  </w:style>
  <w:style w:type="numbering" w:customStyle="1" w:styleId="WW8Num45">
    <w:name w:val="WW8Num45"/>
    <w:basedOn w:val="NoList"/>
    <w:rsid w:val="00291323"/>
    <w:pPr>
      <w:numPr>
        <w:numId w:val="43"/>
      </w:numPr>
    </w:pPr>
  </w:style>
  <w:style w:type="numbering" w:customStyle="1" w:styleId="WW8Num46">
    <w:name w:val="WW8Num46"/>
    <w:basedOn w:val="NoList"/>
    <w:rsid w:val="00291323"/>
    <w:pPr>
      <w:numPr>
        <w:numId w:val="44"/>
      </w:numPr>
    </w:pPr>
  </w:style>
  <w:style w:type="numbering" w:customStyle="1" w:styleId="WW8Num47">
    <w:name w:val="WW8Num47"/>
    <w:basedOn w:val="NoList"/>
    <w:rsid w:val="00291323"/>
    <w:pPr>
      <w:numPr>
        <w:numId w:val="45"/>
      </w:numPr>
    </w:pPr>
  </w:style>
  <w:style w:type="numbering" w:customStyle="1" w:styleId="WW8Num48">
    <w:name w:val="WW8Num48"/>
    <w:basedOn w:val="NoList"/>
    <w:rsid w:val="00291323"/>
    <w:pPr>
      <w:numPr>
        <w:numId w:val="50"/>
      </w:numPr>
    </w:pPr>
  </w:style>
  <w:style w:type="numbering" w:customStyle="1" w:styleId="WW8Num49">
    <w:name w:val="WW8Num49"/>
    <w:basedOn w:val="NoList"/>
    <w:rsid w:val="00291323"/>
    <w:pPr>
      <w:numPr>
        <w:numId w:val="46"/>
      </w:numPr>
    </w:pPr>
  </w:style>
  <w:style w:type="numbering" w:customStyle="1" w:styleId="WW8Num50">
    <w:name w:val="WW8Num50"/>
    <w:basedOn w:val="NoList"/>
    <w:rsid w:val="00291323"/>
    <w:pPr>
      <w:numPr>
        <w:numId w:val="47"/>
      </w:numPr>
    </w:pPr>
  </w:style>
  <w:style w:type="numbering" w:customStyle="1" w:styleId="WW8Num51">
    <w:name w:val="WW8Num51"/>
    <w:basedOn w:val="NoList"/>
    <w:rsid w:val="00291323"/>
    <w:pPr>
      <w:numPr>
        <w:numId w:val="48"/>
      </w:numPr>
    </w:pPr>
  </w:style>
  <w:style w:type="numbering" w:customStyle="1" w:styleId="WW8Num52">
    <w:name w:val="WW8Num52"/>
    <w:basedOn w:val="NoList"/>
    <w:rsid w:val="00291323"/>
    <w:pPr>
      <w:numPr>
        <w:numId w:val="49"/>
      </w:numPr>
    </w:pPr>
  </w:style>
  <w:style w:type="paragraph" w:customStyle="1" w:styleId="Guide-FootnoteN">
    <w:name w:val="Guide - Footnote N°"/>
    <w:basedOn w:val="Normal"/>
    <w:link w:val="FootnoteReference"/>
    <w:uiPriority w:val="99"/>
    <w:qFormat/>
    <w:rsid w:val="000F69E8"/>
    <w:pPr>
      <w:widowControl/>
      <w:suppressAutoHyphens w:val="0"/>
      <w:autoSpaceDN/>
      <w:spacing w:before="120" w:after="160" w:line="240" w:lineRule="exact"/>
      <w:jc w:val="both"/>
      <w:textAlignment w:val="auto"/>
    </w:pPr>
    <w:rPr>
      <w:rFonts w:ascii="Times New Roman" w:hAnsi="Times New Roman" w:cs="Times New Roman"/>
      <w:kern w:val="0"/>
      <w:sz w:val="20"/>
      <w:szCs w:val="20"/>
      <w:vertAlign w:val="superscript"/>
    </w:rPr>
  </w:style>
  <w:style w:type="paragraph" w:customStyle="1" w:styleId="Guide-table0">
    <w:name w:val="Guide - table"/>
    <w:basedOn w:val="GUIDE-NORMAL"/>
    <w:link w:val="Guide-tableChar"/>
    <w:rsid w:val="00BD1BB3"/>
    <w:pPr>
      <w:pBdr>
        <w:top w:val="single" w:sz="4" w:space="1" w:color="auto"/>
        <w:left w:val="single" w:sz="4" w:space="4" w:color="auto"/>
        <w:bottom w:val="single" w:sz="4" w:space="1" w:color="auto"/>
        <w:right w:val="single" w:sz="4" w:space="4" w:color="auto"/>
      </w:pBdr>
    </w:pPr>
    <w:rPr>
      <w:lang w:val="en-IE"/>
    </w:rPr>
  </w:style>
  <w:style w:type="paragraph" w:customStyle="1" w:styleId="Guide-AnnexHeading3">
    <w:name w:val="Guide - Annex Heading 3"/>
    <w:basedOn w:val="Guide-Heading3"/>
    <w:link w:val="Guide-AnnexHeading3Char"/>
    <w:qFormat/>
    <w:rsid w:val="00BD1BB3"/>
    <w:pPr>
      <w:numPr>
        <w:numId w:val="53"/>
      </w:numPr>
    </w:pPr>
  </w:style>
  <w:style w:type="character" w:customStyle="1" w:styleId="GUIDE-NORMALChar">
    <w:name w:val="GUIDE - NORMAL Char"/>
    <w:link w:val="GUIDE-NORMAL"/>
    <w:rsid w:val="007E0A28"/>
    <w:rPr>
      <w:rFonts w:ascii="Calibri" w:eastAsia="Times New Roman" w:hAnsi="Calibri"/>
      <w:kern w:val="3"/>
      <w:sz w:val="18"/>
      <w:szCs w:val="18"/>
    </w:rPr>
  </w:style>
  <w:style w:type="character" w:customStyle="1" w:styleId="Guide-tableChar">
    <w:name w:val="Guide - table Char"/>
    <w:link w:val="Guide-table0"/>
    <w:rsid w:val="00BD1BB3"/>
    <w:rPr>
      <w:rFonts w:ascii="Calibri" w:eastAsia="Times New Roman" w:hAnsi="Calibri" w:cs="Times New Roman"/>
      <w:kern w:val="3"/>
      <w:sz w:val="18"/>
      <w:szCs w:val="18"/>
      <w:lang w:val="en-IE" w:eastAsia="zh-CN"/>
    </w:rPr>
  </w:style>
  <w:style w:type="paragraph" w:customStyle="1" w:styleId="Guide-Heading4TOC">
    <w:name w:val="Guide - Heading 4 TOC"/>
    <w:basedOn w:val="Guide-Heading3"/>
    <w:link w:val="Guide-Heading4TOCChar"/>
    <w:qFormat/>
    <w:rsid w:val="00C64E88"/>
    <w:pPr>
      <w:spacing w:before="0"/>
      <w:outlineLvl w:val="3"/>
    </w:pPr>
  </w:style>
  <w:style w:type="character" w:customStyle="1" w:styleId="Heading1Char">
    <w:name w:val="Heading 1 Char"/>
    <w:link w:val="Heading1"/>
    <w:uiPriority w:val="1"/>
    <w:semiHidden/>
    <w:rsid w:val="00660ED6"/>
    <w:rPr>
      <w:rFonts w:ascii="Arial Narrow" w:eastAsia="Times New Roman" w:hAnsi="Arial Narrow" w:cs="Times New Roman"/>
      <w:b/>
      <w:kern w:val="3"/>
      <w:sz w:val="52"/>
      <w:lang w:eastAsia="zh-CN"/>
    </w:rPr>
  </w:style>
  <w:style w:type="character" w:customStyle="1" w:styleId="Guide-Heading1Char1">
    <w:name w:val="Guide - Heading 1 Char1"/>
    <w:link w:val="Guide-Heading1"/>
    <w:rsid w:val="009C1C3E"/>
    <w:rPr>
      <w:rFonts w:ascii="Calibri" w:eastAsia="Times New Roman" w:hAnsi="Calibri"/>
      <w:b/>
      <w:smallCaps/>
      <w:kern w:val="3"/>
      <w:sz w:val="40"/>
      <w:lang w:eastAsia="zh-CN"/>
    </w:rPr>
  </w:style>
  <w:style w:type="character" w:customStyle="1" w:styleId="Guide-Heading3Char1">
    <w:name w:val="Guide - Heading 3 Char1"/>
    <w:link w:val="Guide-Heading3"/>
    <w:rsid w:val="006B2F96"/>
    <w:rPr>
      <w:rFonts w:ascii="Calibri" w:eastAsia="Times New Roman" w:hAnsi="Calibri"/>
      <w:b/>
      <w:smallCaps/>
      <w:kern w:val="3"/>
      <w:sz w:val="28"/>
      <w:lang w:eastAsia="zh-CN"/>
    </w:rPr>
  </w:style>
  <w:style w:type="character" w:customStyle="1" w:styleId="Guide-AnnexHeading3Char">
    <w:name w:val="Guide - Annex Heading 3 Char"/>
    <w:link w:val="Guide-AnnexHeading3"/>
    <w:rsid w:val="00BD1BB3"/>
    <w:rPr>
      <w:rFonts w:ascii="Calibri" w:eastAsia="Times New Roman" w:hAnsi="Calibri" w:cs="Times New Roman"/>
      <w:b/>
      <w:smallCaps/>
      <w:kern w:val="3"/>
      <w:sz w:val="28"/>
      <w:lang w:val="fr-BE" w:eastAsia="zh-CN"/>
    </w:rPr>
  </w:style>
  <w:style w:type="paragraph" w:customStyle="1" w:styleId="Guide-TableofContents">
    <w:name w:val="Guide - Table of Contents"/>
    <w:basedOn w:val="Heading1"/>
    <w:link w:val="Guide-TableofContentsChar"/>
    <w:rsid w:val="00727FE8"/>
    <w:pPr>
      <w:spacing w:before="0" w:after="240"/>
      <w:jc w:val="center"/>
    </w:pPr>
    <w:rPr>
      <w:rFonts w:ascii="Calibri" w:hAnsi="Calibri"/>
      <w:sz w:val="40"/>
    </w:rPr>
  </w:style>
  <w:style w:type="character" w:customStyle="1" w:styleId="Guide-Heading4TOCChar">
    <w:name w:val="Guide - Heading 4 TOC Char"/>
    <w:link w:val="Guide-Heading4TOC"/>
    <w:rsid w:val="00C64E88"/>
    <w:rPr>
      <w:rFonts w:ascii="Calibri" w:eastAsia="Times New Roman" w:hAnsi="Calibri"/>
      <w:b/>
      <w:smallCaps/>
      <w:kern w:val="3"/>
      <w:sz w:val="28"/>
      <w:lang w:eastAsia="zh-CN"/>
    </w:rPr>
  </w:style>
  <w:style w:type="character" w:customStyle="1" w:styleId="Guide-TableofContentsChar">
    <w:name w:val="Guide - Table of Contents Char"/>
    <w:link w:val="Guide-TableofContents"/>
    <w:rsid w:val="00727FE8"/>
    <w:rPr>
      <w:rFonts w:ascii="Calibri" w:eastAsia="Times New Roman" w:hAnsi="Calibri" w:cs="Times New Roman"/>
      <w:b/>
      <w:kern w:val="3"/>
      <w:sz w:val="40"/>
      <w:lang w:eastAsia="zh-CN"/>
    </w:rPr>
  </w:style>
  <w:style w:type="paragraph" w:styleId="BalloonText">
    <w:name w:val="Balloon Text"/>
    <w:basedOn w:val="Normal"/>
    <w:link w:val="BalloonTextChar"/>
    <w:semiHidden/>
    <w:unhideWhenUsed/>
    <w:rsid w:val="00A75FC8"/>
    <w:rPr>
      <w:rFonts w:ascii="Segoe UI" w:hAnsi="Segoe UI" w:cs="Times New Roman"/>
      <w:sz w:val="18"/>
      <w:szCs w:val="18"/>
    </w:rPr>
  </w:style>
  <w:style w:type="character" w:customStyle="1" w:styleId="BalloonTextChar">
    <w:name w:val="Balloon Text Char"/>
    <w:link w:val="BalloonText"/>
    <w:semiHidden/>
    <w:rsid w:val="00A75FC8"/>
    <w:rPr>
      <w:rFonts w:ascii="Segoe UI" w:hAnsi="Segoe UI" w:cs="Segoe UI"/>
      <w:kern w:val="3"/>
      <w:sz w:val="18"/>
      <w:szCs w:val="18"/>
      <w:lang w:val="fr-BE" w:eastAsia="zh-CN"/>
    </w:rPr>
  </w:style>
  <w:style w:type="paragraph" w:styleId="TOC5">
    <w:name w:val="toc 5"/>
    <w:basedOn w:val="Normal"/>
    <w:next w:val="Normal"/>
    <w:uiPriority w:val="39"/>
    <w:rsid w:val="00521AF9"/>
    <w:pPr>
      <w:widowControl/>
      <w:tabs>
        <w:tab w:val="right" w:leader="dot" w:pos="8641"/>
      </w:tabs>
      <w:suppressAutoHyphens w:val="0"/>
      <w:autoSpaceDN/>
      <w:spacing w:before="240" w:after="120"/>
      <w:ind w:right="720"/>
      <w:jc w:val="both"/>
      <w:textAlignment w:val="auto"/>
    </w:pPr>
    <w:rPr>
      <w:rFonts w:ascii="Times New Roman" w:eastAsia="Times New Roman" w:hAnsi="Times New Roman" w:cs="Times New Roman"/>
      <w:caps/>
      <w:kern w:val="0"/>
      <w:szCs w:val="20"/>
      <w:lang w:eastAsia="en-US"/>
    </w:rPr>
  </w:style>
  <w:style w:type="paragraph" w:styleId="TOC6">
    <w:name w:val="toc 6"/>
    <w:basedOn w:val="Normal"/>
    <w:next w:val="Normal"/>
    <w:autoRedefine/>
    <w:uiPriority w:val="39"/>
    <w:rsid w:val="009C1C3E"/>
    <w:pPr>
      <w:widowControl/>
      <w:suppressAutoHyphens w:val="0"/>
      <w:autoSpaceDN/>
      <w:spacing w:after="100" w:line="259" w:lineRule="auto"/>
      <w:ind w:left="1100"/>
      <w:textAlignment w:val="auto"/>
    </w:pPr>
    <w:rPr>
      <w:rFonts w:cs="Times New Roman"/>
      <w:kern w:val="0"/>
      <w:sz w:val="22"/>
      <w:szCs w:val="22"/>
      <w:lang w:val="fr-FR" w:eastAsia="fr-FR"/>
    </w:rPr>
  </w:style>
  <w:style w:type="paragraph" w:styleId="TOC7">
    <w:name w:val="toc 7"/>
    <w:basedOn w:val="Normal"/>
    <w:next w:val="Normal"/>
    <w:autoRedefine/>
    <w:uiPriority w:val="39"/>
    <w:rsid w:val="009C1C3E"/>
    <w:pPr>
      <w:widowControl/>
      <w:suppressAutoHyphens w:val="0"/>
      <w:autoSpaceDN/>
      <w:spacing w:after="100" w:line="259" w:lineRule="auto"/>
      <w:ind w:left="1320"/>
      <w:textAlignment w:val="auto"/>
    </w:pPr>
    <w:rPr>
      <w:rFonts w:cs="Times New Roman"/>
      <w:kern w:val="0"/>
      <w:sz w:val="22"/>
      <w:szCs w:val="22"/>
      <w:lang w:val="fr-FR" w:eastAsia="fr-FR"/>
    </w:rPr>
  </w:style>
  <w:style w:type="paragraph" w:styleId="TOC8">
    <w:name w:val="toc 8"/>
    <w:basedOn w:val="Normal"/>
    <w:next w:val="Normal"/>
    <w:autoRedefine/>
    <w:uiPriority w:val="39"/>
    <w:rsid w:val="009C1C3E"/>
    <w:pPr>
      <w:widowControl/>
      <w:suppressAutoHyphens w:val="0"/>
      <w:autoSpaceDN/>
      <w:spacing w:after="100" w:line="259" w:lineRule="auto"/>
      <w:ind w:left="1540"/>
      <w:textAlignment w:val="auto"/>
    </w:pPr>
    <w:rPr>
      <w:rFonts w:cs="Times New Roman"/>
      <w:kern w:val="0"/>
      <w:sz w:val="22"/>
      <w:szCs w:val="22"/>
      <w:lang w:val="fr-FR" w:eastAsia="fr-FR"/>
    </w:rPr>
  </w:style>
  <w:style w:type="paragraph" w:styleId="TOC9">
    <w:name w:val="toc 9"/>
    <w:basedOn w:val="Normal"/>
    <w:next w:val="Normal"/>
    <w:autoRedefine/>
    <w:uiPriority w:val="39"/>
    <w:rsid w:val="009C1C3E"/>
    <w:pPr>
      <w:widowControl/>
      <w:suppressAutoHyphens w:val="0"/>
      <w:autoSpaceDN/>
      <w:spacing w:after="100" w:line="259" w:lineRule="auto"/>
      <w:ind w:left="1760"/>
      <w:textAlignment w:val="auto"/>
    </w:pPr>
    <w:rPr>
      <w:rFonts w:cs="Times New Roman"/>
      <w:kern w:val="0"/>
      <w:sz w:val="22"/>
      <w:szCs w:val="22"/>
      <w:lang w:val="fr-FR" w:eastAsia="fr-FR"/>
    </w:rPr>
  </w:style>
  <w:style w:type="paragraph" w:customStyle="1" w:styleId="Guide-ListLetter">
    <w:name w:val="Guide - List Letter"/>
    <w:basedOn w:val="Normal"/>
    <w:rsid w:val="00575F9C"/>
    <w:pPr>
      <w:numPr>
        <w:ilvl w:val="1"/>
        <w:numId w:val="56"/>
      </w:numPr>
      <w:tabs>
        <w:tab w:val="left" w:pos="426"/>
      </w:tabs>
      <w:spacing w:after="80"/>
      <w:contextualSpacing/>
      <w:jc w:val="both"/>
      <w:textAlignment w:val="auto"/>
    </w:pPr>
    <w:rPr>
      <w:rFonts w:eastAsia="Times New Roman"/>
      <w:noProof/>
      <w:sz w:val="18"/>
      <w:szCs w:val="18"/>
      <w:lang w:val="en-GB" w:eastAsia="en-GB"/>
    </w:rPr>
  </w:style>
  <w:style w:type="character" w:customStyle="1" w:styleId="Heading2Char">
    <w:name w:val="Heading 2 Char"/>
    <w:link w:val="Heading2"/>
    <w:uiPriority w:val="1"/>
    <w:semiHidden/>
    <w:rsid w:val="00660ED6"/>
    <w:rPr>
      <w:rFonts w:ascii="Arial Narrow" w:eastAsia="Times New Roman" w:hAnsi="Arial Narrow" w:cs="Times New Roman"/>
      <w:b/>
      <w:kern w:val="3"/>
      <w:sz w:val="32"/>
      <w:lang w:eastAsia="zh-CN"/>
    </w:rPr>
  </w:style>
  <w:style w:type="character" w:customStyle="1" w:styleId="Heading3Char">
    <w:name w:val="Heading 3 Char"/>
    <w:link w:val="Heading3"/>
    <w:uiPriority w:val="1"/>
    <w:semiHidden/>
    <w:rsid w:val="00660ED6"/>
    <w:rPr>
      <w:rFonts w:ascii="Arial Narrow" w:eastAsia="Times New Roman" w:hAnsi="Arial Narrow" w:cs="Times New Roman"/>
      <w:b/>
      <w:kern w:val="3"/>
      <w:sz w:val="28"/>
      <w:lang w:eastAsia="zh-CN"/>
    </w:rPr>
  </w:style>
  <w:style w:type="character" w:customStyle="1" w:styleId="Heading4Char">
    <w:name w:val="Heading 4 Char"/>
    <w:link w:val="Heading4"/>
    <w:uiPriority w:val="1"/>
    <w:semiHidden/>
    <w:rsid w:val="00660ED6"/>
    <w:rPr>
      <w:rFonts w:ascii="Arial Narrow" w:eastAsia="Times New Roman" w:hAnsi="Arial Narrow" w:cs="Times New Roman"/>
      <w:b/>
      <w:kern w:val="3"/>
      <w:sz w:val="22"/>
      <w:szCs w:val="24"/>
      <w:lang w:eastAsia="zh-CN"/>
    </w:rPr>
  </w:style>
  <w:style w:type="paragraph" w:styleId="FootnoteText">
    <w:name w:val="footnote text"/>
    <w:aliases w:val="Schriftart: 9 pt,Schriftart: 10 pt,Schriftart: 8 pt,WB-Fußnotentext,WB-Fußnotentext Char Char,WB-Fußnotentext Char,stile 1,Footnote1,Footnote2,Footnote3,Footnote4,Footnote5,Footnote6,Footnote7,Footnote8,Footnote9,Footnote10,fn"/>
    <w:basedOn w:val="Normal"/>
    <w:link w:val="FootnoteTextChar"/>
    <w:unhideWhenUsed/>
    <w:qFormat/>
    <w:rsid w:val="00150820"/>
    <w:rPr>
      <w:rFonts w:cs="Times New Roman"/>
      <w:sz w:val="20"/>
      <w:szCs w:val="20"/>
    </w:rPr>
  </w:style>
  <w:style w:type="character" w:customStyle="1" w:styleId="FootnoteTextChar">
    <w:name w:val="Footnote Text Char"/>
    <w:aliases w:val="Schriftart: 9 pt Char,Schriftart: 10 pt Char,Schriftart: 8 pt Char,WB-Fußnotentext Char1,WB-Fußnotentext Char Char Char,WB-Fußnotentext Char Char1,stile 1 Char,Footnote1 Char,Footnote2 Char,Footnote3 Char,Footnote4 Char,Footnote5 Char"/>
    <w:link w:val="FootnoteText"/>
    <w:rsid w:val="00150820"/>
    <w:rPr>
      <w:rFonts w:ascii="Calibri" w:hAnsi="Calibri"/>
      <w:kern w:val="3"/>
      <w:lang w:val="fr-BE" w:eastAsia="zh-CN"/>
    </w:rPr>
  </w:style>
  <w:style w:type="character" w:styleId="CommentReference">
    <w:name w:val="annotation reference"/>
    <w:uiPriority w:val="99"/>
    <w:unhideWhenUsed/>
    <w:rsid w:val="00FF3D7C"/>
    <w:rPr>
      <w:sz w:val="16"/>
      <w:szCs w:val="16"/>
    </w:rPr>
  </w:style>
  <w:style w:type="paragraph" w:styleId="CommentText">
    <w:name w:val="annotation text"/>
    <w:basedOn w:val="Normal"/>
    <w:link w:val="CommentTextChar"/>
    <w:uiPriority w:val="99"/>
    <w:semiHidden/>
    <w:unhideWhenUsed/>
    <w:rsid w:val="00FF3D7C"/>
    <w:rPr>
      <w:rFonts w:cs="Times New Roman"/>
      <w:sz w:val="20"/>
      <w:szCs w:val="20"/>
    </w:rPr>
  </w:style>
  <w:style w:type="character" w:customStyle="1" w:styleId="CommentTextChar">
    <w:name w:val="Comment Text Char"/>
    <w:link w:val="CommentText"/>
    <w:uiPriority w:val="99"/>
    <w:semiHidden/>
    <w:rsid w:val="00FF3D7C"/>
    <w:rPr>
      <w:rFonts w:ascii="Calibri" w:hAnsi="Calibri"/>
      <w:kern w:val="3"/>
      <w:lang w:val="fr-BE" w:eastAsia="zh-CN"/>
    </w:rPr>
  </w:style>
  <w:style w:type="paragraph" w:styleId="CommentSubject">
    <w:name w:val="annotation subject"/>
    <w:basedOn w:val="CommentText"/>
    <w:next w:val="CommentText"/>
    <w:link w:val="CommentSubjectChar"/>
    <w:semiHidden/>
    <w:unhideWhenUsed/>
    <w:rsid w:val="00FF3D7C"/>
    <w:rPr>
      <w:b/>
      <w:bCs/>
    </w:rPr>
  </w:style>
  <w:style w:type="character" w:customStyle="1" w:styleId="CommentSubjectChar">
    <w:name w:val="Comment Subject Char"/>
    <w:link w:val="CommentSubject"/>
    <w:semiHidden/>
    <w:rsid w:val="00FF3D7C"/>
    <w:rPr>
      <w:rFonts w:ascii="Calibri" w:hAnsi="Calibri"/>
      <w:b/>
      <w:bCs/>
      <w:kern w:val="3"/>
      <w:lang w:val="fr-BE" w:eastAsia="zh-CN"/>
    </w:rPr>
  </w:style>
  <w:style w:type="table" w:customStyle="1" w:styleId="Guide-Table1">
    <w:name w:val="Guide-Table"/>
    <w:basedOn w:val="TableNormal"/>
    <w:uiPriority w:val="99"/>
    <w:rsid w:val="007A24B5"/>
    <w:tblPr/>
  </w:style>
  <w:style w:type="character" w:styleId="EndnoteReference">
    <w:name w:val="endnote reference"/>
    <w:unhideWhenUsed/>
    <w:rsid w:val="00DA3DF4"/>
    <w:rPr>
      <w:vertAlign w:val="superscript"/>
    </w:rPr>
  </w:style>
  <w:style w:type="paragraph" w:styleId="ListParagraph">
    <w:name w:val="List Paragraph"/>
    <w:aliases w:val="1st level - Bullet List Paragraph,List Paragraph1,Lettre d'introduction,Paragrafo elenco,Medium Grid 1 - Accent 21,Fiche List Paragraph,Conclusion de partie,Dot pt,No Spacing1,List Paragraph Char Char Char,Indicator Text,Numbered Para 1"/>
    <w:basedOn w:val="Normal"/>
    <w:link w:val="ListParagraphChar"/>
    <w:uiPriority w:val="34"/>
    <w:qFormat/>
    <w:rsid w:val="00575F9C"/>
    <w:pPr>
      <w:ind w:left="720"/>
      <w:contextualSpacing/>
    </w:pPr>
  </w:style>
  <w:style w:type="paragraph" w:customStyle="1" w:styleId="TableParagraph">
    <w:name w:val="Table Paragraph"/>
    <w:basedOn w:val="Normal"/>
    <w:uiPriority w:val="1"/>
    <w:qFormat/>
    <w:rsid w:val="00C15888"/>
    <w:pPr>
      <w:suppressAutoHyphens w:val="0"/>
      <w:autoSpaceDE w:val="0"/>
      <w:adjustRightInd w:val="0"/>
      <w:textAlignment w:val="auto"/>
    </w:pPr>
    <w:rPr>
      <w:rFonts w:ascii="Tahoma" w:hAnsi="Tahoma"/>
      <w:kern w:val="0"/>
      <w:lang w:val="fr-FR" w:eastAsia="fr-FR"/>
    </w:rPr>
  </w:style>
  <w:style w:type="character" w:styleId="FollowedHyperlink">
    <w:name w:val="FollowedHyperlink"/>
    <w:semiHidden/>
    <w:unhideWhenUsed/>
    <w:rsid w:val="00F341F0"/>
    <w:rPr>
      <w:color w:val="800080"/>
      <w:u w:val="single"/>
    </w:rPr>
  </w:style>
  <w:style w:type="paragraph" w:customStyle="1" w:styleId="Default">
    <w:name w:val="Default"/>
    <w:rsid w:val="00C3514F"/>
    <w:pPr>
      <w:autoSpaceDE w:val="0"/>
      <w:autoSpaceDN w:val="0"/>
      <w:adjustRightInd w:val="0"/>
    </w:pPr>
    <w:rPr>
      <w:rFonts w:ascii="Calibri" w:hAnsi="Calibri" w:cs="Calibri"/>
      <w:color w:val="000000"/>
      <w:sz w:val="24"/>
      <w:szCs w:val="24"/>
      <w:lang w:val="en-GB" w:eastAsia="en-GB"/>
    </w:rPr>
  </w:style>
  <w:style w:type="paragraph" w:styleId="BodyText">
    <w:name w:val="Body Text"/>
    <w:basedOn w:val="Normal"/>
    <w:link w:val="BodyTextChar"/>
    <w:uiPriority w:val="1"/>
    <w:qFormat/>
    <w:rsid w:val="00B1662F"/>
    <w:pPr>
      <w:suppressAutoHyphens w:val="0"/>
      <w:autoSpaceDE w:val="0"/>
      <w:textAlignment w:val="auto"/>
    </w:pPr>
    <w:rPr>
      <w:rFonts w:ascii="Arial Unicode MS" w:eastAsia="Arial Unicode MS" w:hAnsi="Arial Unicode MS" w:cs="Times New Roman"/>
      <w:kern w:val="0"/>
      <w:sz w:val="22"/>
      <w:szCs w:val="22"/>
      <w:lang w:val="en-US" w:eastAsia="en-US"/>
    </w:rPr>
  </w:style>
  <w:style w:type="character" w:customStyle="1" w:styleId="BodyTextChar">
    <w:name w:val="Body Text Char"/>
    <w:link w:val="BodyText"/>
    <w:uiPriority w:val="1"/>
    <w:rsid w:val="00B1662F"/>
    <w:rPr>
      <w:rFonts w:ascii="Arial Unicode MS" w:eastAsia="Arial Unicode MS" w:hAnsi="Arial Unicode MS" w:cs="Arial Unicode MS"/>
      <w:sz w:val="22"/>
      <w:szCs w:val="22"/>
      <w:lang w:val="en-US" w:eastAsia="en-US"/>
    </w:rPr>
  </w:style>
  <w:style w:type="paragraph" w:customStyle="1" w:styleId="p1">
    <w:name w:val="p1"/>
    <w:basedOn w:val="Normal"/>
    <w:rsid w:val="00773AB4"/>
    <w:pPr>
      <w:widowControl/>
      <w:suppressAutoHyphens w:val="0"/>
      <w:autoSpaceDN/>
      <w:textAlignment w:val="auto"/>
    </w:pPr>
    <w:rPr>
      <w:rFonts w:ascii="Helvetica" w:hAnsi="Helvetica" w:cs="Times New Roman"/>
      <w:kern w:val="0"/>
      <w:sz w:val="17"/>
      <w:szCs w:val="17"/>
      <w:lang w:val="fr-FR" w:eastAsia="fr-FR"/>
    </w:rPr>
  </w:style>
  <w:style w:type="paragraph" w:customStyle="1" w:styleId="p2">
    <w:name w:val="p2"/>
    <w:basedOn w:val="Normal"/>
    <w:rsid w:val="008E7BA0"/>
    <w:pPr>
      <w:widowControl/>
      <w:suppressAutoHyphens w:val="0"/>
      <w:autoSpaceDN/>
      <w:textAlignment w:val="auto"/>
    </w:pPr>
    <w:rPr>
      <w:rFonts w:ascii="Helvetica" w:hAnsi="Helvetica" w:cs="Times New Roman"/>
      <w:color w:val="407BAA"/>
      <w:kern w:val="0"/>
      <w:sz w:val="14"/>
      <w:szCs w:val="14"/>
      <w:lang w:val="fr-FR" w:eastAsia="fr-FR"/>
    </w:rPr>
  </w:style>
  <w:style w:type="character" w:customStyle="1" w:styleId="s1">
    <w:name w:val="s1"/>
    <w:rsid w:val="008E7BA0"/>
    <w:rPr>
      <w:color w:val="000000"/>
    </w:rPr>
  </w:style>
  <w:style w:type="paragraph" w:customStyle="1" w:styleId="p3">
    <w:name w:val="p3"/>
    <w:basedOn w:val="Normal"/>
    <w:rsid w:val="00786C32"/>
    <w:pPr>
      <w:widowControl/>
      <w:suppressAutoHyphens w:val="0"/>
      <w:autoSpaceDN/>
      <w:textAlignment w:val="auto"/>
    </w:pPr>
    <w:rPr>
      <w:rFonts w:ascii="Helvetica" w:hAnsi="Helvetica" w:cs="Times New Roman"/>
      <w:kern w:val="0"/>
      <w:sz w:val="12"/>
      <w:szCs w:val="12"/>
      <w:lang w:val="fr-FR" w:eastAsia="fr-FR"/>
    </w:rPr>
  </w:style>
  <w:style w:type="character" w:customStyle="1" w:styleId="apple-converted-space">
    <w:name w:val="apple-converted-space"/>
    <w:basedOn w:val="DefaultParagraphFont"/>
    <w:rsid w:val="00880BF9"/>
  </w:style>
  <w:style w:type="table" w:customStyle="1" w:styleId="TableNormal1">
    <w:name w:val="Table Normal1"/>
    <w:uiPriority w:val="2"/>
    <w:semiHidden/>
    <w:unhideWhenUsed/>
    <w:qFormat/>
    <w:rsid w:val="00651B76"/>
    <w:pPr>
      <w:widowControl w:val="0"/>
      <w:autoSpaceDE w:val="0"/>
      <w:autoSpaceDN w:val="0"/>
    </w:pPr>
    <w:rPr>
      <w:rFonts w:ascii="Calibri" w:eastAsia="Calibri" w:hAnsi="Calibri" w:cs="Times New Roman"/>
      <w:sz w:val="22"/>
      <w:szCs w:val="22"/>
      <w:lang w:eastAsia="en-US"/>
    </w:rPr>
    <w:tblPr>
      <w:tblInd w:w="0" w:type="dxa"/>
      <w:tblCellMar>
        <w:top w:w="0" w:type="dxa"/>
        <w:left w:w="0" w:type="dxa"/>
        <w:bottom w:w="0" w:type="dxa"/>
        <w:right w:w="0" w:type="dxa"/>
      </w:tblCellMar>
    </w:tblPr>
  </w:style>
  <w:style w:type="paragraph" w:customStyle="1" w:styleId="Contact">
    <w:name w:val="Contact"/>
    <w:basedOn w:val="Normal"/>
    <w:next w:val="Normal"/>
    <w:rsid w:val="00521AF9"/>
    <w:pPr>
      <w:widowControl/>
      <w:suppressAutoHyphens w:val="0"/>
      <w:autoSpaceDN/>
      <w:spacing w:before="480"/>
      <w:ind w:left="567" w:hanging="567"/>
      <w:textAlignment w:val="auto"/>
    </w:pPr>
    <w:rPr>
      <w:rFonts w:ascii="Times New Roman" w:eastAsia="Times New Roman" w:hAnsi="Times New Roman" w:cs="Times New Roman"/>
      <w:kern w:val="0"/>
      <w:szCs w:val="20"/>
      <w:lang w:eastAsia="en-US"/>
    </w:rPr>
  </w:style>
  <w:style w:type="paragraph" w:customStyle="1" w:styleId="ListDash">
    <w:name w:val="List Dash"/>
    <w:basedOn w:val="Normal"/>
    <w:rsid w:val="00521AF9"/>
    <w:pPr>
      <w:widowControl/>
      <w:numPr>
        <w:numId w:val="65"/>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ListDash1">
    <w:name w:val="List Dash 1"/>
    <w:basedOn w:val="Normal"/>
    <w:rsid w:val="00521AF9"/>
    <w:pPr>
      <w:widowControl/>
      <w:numPr>
        <w:numId w:val="66"/>
      </w:numPr>
      <w:suppressAutoHyphens w:val="0"/>
      <w:autoSpaceDN/>
      <w:spacing w:after="240"/>
      <w:jc w:val="both"/>
      <w:textAlignment w:val="auto"/>
    </w:pPr>
    <w:rPr>
      <w:rFonts w:ascii="Times New Roman" w:eastAsia="Times New Roman" w:hAnsi="Times New Roman" w:cs="Times New Roman"/>
      <w:kern w:val="0"/>
      <w:szCs w:val="20"/>
      <w:lang w:eastAsia="en-US"/>
    </w:rPr>
  </w:style>
  <w:style w:type="paragraph" w:customStyle="1" w:styleId="Odwo0142anieprzypisu">
    <w:name w:val="Odwo&lt;0142&gt;anie przypisu"/>
    <w:aliases w:val="SUPER,BVI fnr Char1 Char,fr"/>
    <w:basedOn w:val="Normal"/>
    <w:uiPriority w:val="99"/>
    <w:rsid w:val="00334E2A"/>
    <w:pPr>
      <w:widowControl/>
      <w:suppressAutoHyphens w:val="0"/>
      <w:autoSpaceDN/>
      <w:spacing w:before="120" w:after="160" w:line="240" w:lineRule="exact"/>
      <w:jc w:val="both"/>
      <w:textAlignment w:val="auto"/>
    </w:pPr>
    <w:rPr>
      <w:rFonts w:ascii="Times New Roman" w:eastAsia="Times New Roman" w:hAnsi="Times New Roman" w:cs="Times New Roman"/>
      <w:kern w:val="0"/>
      <w:sz w:val="20"/>
      <w:szCs w:val="20"/>
      <w:vertAlign w:val="superscript"/>
      <w:lang w:val="sl-SI" w:eastAsia="sl-SI" w:bidi="sl-SI"/>
    </w:rPr>
  </w:style>
  <w:style w:type="character" w:customStyle="1" w:styleId="Guide-NormalChar0">
    <w:name w:val="Guide - Normal Char"/>
    <w:link w:val="Guide-Normal0"/>
    <w:locked/>
    <w:rsid w:val="00850E2D"/>
    <w:rPr>
      <w:rFonts w:ascii="Calibri" w:hAnsi="Calibri"/>
      <w:shd w:val="clear" w:color="auto" w:fill="FFFFFF"/>
    </w:rPr>
  </w:style>
  <w:style w:type="paragraph" w:customStyle="1" w:styleId="Guide-Normal0">
    <w:name w:val="Guide - Normal"/>
    <w:basedOn w:val="Normal"/>
    <w:link w:val="Guide-NormalChar0"/>
    <w:rsid w:val="00850E2D"/>
    <w:pPr>
      <w:widowControl/>
      <w:shd w:val="clear" w:color="auto" w:fill="FFFFFF"/>
      <w:suppressAutoHyphens w:val="0"/>
      <w:jc w:val="both"/>
      <w:textAlignment w:val="auto"/>
    </w:pPr>
    <w:rPr>
      <w:rFonts w:cs="Times New Roman"/>
      <w:kern w:val="0"/>
      <w:sz w:val="20"/>
      <w:szCs w:val="20"/>
    </w:rPr>
  </w:style>
  <w:style w:type="paragraph" w:customStyle="1" w:styleId="Guide-Bulletsspace">
    <w:name w:val="Guide - Bullets space"/>
    <w:basedOn w:val="Guide-Normal0"/>
    <w:rsid w:val="0005224B"/>
    <w:pPr>
      <w:shd w:val="clear" w:color="auto" w:fill="auto"/>
      <w:suppressAutoHyphens/>
      <w:ind w:left="720" w:hanging="360"/>
      <w:textAlignment w:val="baseline"/>
    </w:pPr>
    <w:rPr>
      <w:rFonts w:eastAsia="Times New Roman"/>
      <w:kern w:val="3"/>
      <w:sz w:val="18"/>
      <w:szCs w:val="18"/>
      <w:shd w:val="clear" w:color="auto" w:fill="FFFFFF"/>
      <w:lang w:val="en-IE"/>
    </w:rPr>
  </w:style>
  <w:style w:type="paragraph" w:customStyle="1" w:styleId="Bullet-Dot">
    <w:name w:val="Bullet-Dot"/>
    <w:basedOn w:val="Normal"/>
    <w:rsid w:val="002424B3"/>
    <w:pPr>
      <w:widowControl/>
      <w:numPr>
        <w:numId w:val="77"/>
      </w:numPr>
      <w:suppressAutoHyphens w:val="0"/>
      <w:autoSpaceDN/>
      <w:textAlignment w:val="auto"/>
    </w:pPr>
    <w:rPr>
      <w:rFonts w:ascii="Verdana" w:eastAsia="Times New Roman" w:hAnsi="Verdana" w:cs="Times New Roman"/>
      <w:color w:val="000080"/>
      <w:kern w:val="0"/>
      <w:sz w:val="16"/>
      <w:szCs w:val="16"/>
      <w:lang w:val="en-GB" w:eastAsia="en-GB"/>
    </w:rPr>
  </w:style>
  <w:style w:type="paragraph" w:customStyle="1" w:styleId="texte">
    <w:name w:val="texte"/>
    <w:basedOn w:val="Normal"/>
    <w:rsid w:val="006C0DD2"/>
    <w:pPr>
      <w:widowControl/>
      <w:spacing w:before="100" w:after="100"/>
    </w:pPr>
    <w:rPr>
      <w:rFonts w:ascii="Verdana" w:eastAsia="Times New Roman" w:hAnsi="Verdana" w:cs="Times New Roman"/>
      <w:color w:val="353B8F"/>
      <w:sz w:val="20"/>
      <w:szCs w:val="20"/>
      <w:lang w:val="en-GB"/>
    </w:rPr>
  </w:style>
  <w:style w:type="paragraph" w:customStyle="1" w:styleId="ColorfulList-Accent11">
    <w:name w:val="Colorful List - Accent 11"/>
    <w:basedOn w:val="Normal"/>
    <w:qFormat/>
    <w:rsid w:val="00686A69"/>
    <w:pPr>
      <w:widowControl/>
      <w:autoSpaceDN/>
      <w:spacing w:after="120"/>
      <w:ind w:left="720"/>
      <w:textAlignment w:val="auto"/>
    </w:pPr>
    <w:rPr>
      <w:rFonts w:ascii="Arial" w:eastAsia="Times New Roman" w:hAnsi="Arial" w:cs="Arial"/>
      <w:kern w:val="0"/>
      <w:sz w:val="22"/>
      <w:szCs w:val="22"/>
      <w:lang w:val="en-GB" w:eastAsia="ar-SA"/>
    </w:rPr>
  </w:style>
  <w:style w:type="paragraph" w:customStyle="1" w:styleId="Notedebasdepage1">
    <w:name w:val="Note de bas de page1"/>
    <w:rsid w:val="004B6D7A"/>
    <w:pPr>
      <w:spacing w:after="200" w:line="276" w:lineRule="auto"/>
    </w:pPr>
    <w:rPr>
      <w:rFonts w:ascii="Calibri" w:eastAsia="Times New Roman" w:hAnsi="Calibri" w:cs="Calibri"/>
      <w:color w:val="000000"/>
      <w:u w:color="000000"/>
      <w:lang w:eastAsia="en-GB"/>
    </w:rPr>
  </w:style>
  <w:style w:type="paragraph" w:customStyle="1" w:styleId="Guide-Bulletpoints">
    <w:name w:val="Guide - Bullet points"/>
    <w:basedOn w:val="Normal"/>
    <w:rsid w:val="000904DC"/>
    <w:pPr>
      <w:widowControl/>
      <w:jc w:val="both"/>
    </w:pPr>
    <w:rPr>
      <w:rFonts w:ascii="Tahoma" w:eastAsia="Times New Roman" w:hAnsi="Tahoma"/>
      <w:sz w:val="18"/>
      <w:szCs w:val="18"/>
      <w:lang w:val="en-IE"/>
    </w:rPr>
  </w:style>
  <w:style w:type="paragraph" w:customStyle="1" w:styleId="guide-normal1">
    <w:name w:val="guide-normal"/>
    <w:basedOn w:val="Normal"/>
    <w:rsid w:val="00B47F92"/>
    <w:pPr>
      <w:widowControl/>
      <w:suppressAutoHyphens w:val="0"/>
      <w:jc w:val="both"/>
      <w:textAlignment w:val="auto"/>
    </w:pPr>
    <w:rPr>
      <w:rFonts w:ascii="Tahoma" w:eastAsia="Calibri" w:hAnsi="Tahoma"/>
      <w:kern w:val="0"/>
      <w:sz w:val="18"/>
      <w:szCs w:val="18"/>
      <w:lang w:val="en-GB" w:eastAsia="en-GB"/>
    </w:rPr>
  </w:style>
  <w:style w:type="paragraph" w:customStyle="1" w:styleId="Titrebulletpointhowto">
    <w:name w:val="Titre bullet point how to"/>
    <w:basedOn w:val="Normal"/>
    <w:rsid w:val="00823C0E"/>
    <w:pPr>
      <w:widowControl/>
      <w:ind w:left="360" w:hanging="360"/>
      <w:jc w:val="both"/>
    </w:pPr>
    <w:rPr>
      <w:rFonts w:ascii="GillSans" w:eastAsia="Times New Roman" w:hAnsi="GillSans"/>
      <w:b/>
      <w:sz w:val="18"/>
      <w:szCs w:val="18"/>
      <w:lang w:val="en-IE"/>
    </w:rPr>
  </w:style>
  <w:style w:type="paragraph" w:customStyle="1" w:styleId="Text1">
    <w:name w:val="Text 1"/>
    <w:basedOn w:val="Normal"/>
    <w:rsid w:val="007B42E9"/>
    <w:pPr>
      <w:widowControl/>
      <w:ind w:left="1531"/>
      <w:jc w:val="both"/>
    </w:pPr>
    <w:rPr>
      <w:rFonts w:ascii="Times New Roman" w:eastAsia="Times New Roman" w:hAnsi="Times New Roman" w:cs="Times New Roman"/>
      <w:sz w:val="22"/>
      <w:szCs w:val="20"/>
      <w:lang w:val="en-GB"/>
    </w:rPr>
  </w:style>
  <w:style w:type="paragraph" w:customStyle="1" w:styleId="Guide-AnnexeHeading3">
    <w:name w:val="Guide - Annexe Heading 3"/>
    <w:basedOn w:val="Guide-Heading3"/>
    <w:link w:val="Guide-AnnexeHeading3Char"/>
    <w:qFormat/>
    <w:rsid w:val="007B42E9"/>
    <w:pPr>
      <w:spacing w:before="200" w:after="200"/>
      <w:ind w:left="360" w:hanging="360"/>
    </w:pPr>
  </w:style>
  <w:style w:type="character" w:customStyle="1" w:styleId="Guide-AnnexeHeading3Char">
    <w:name w:val="Guide - Annexe Heading 3 Char"/>
    <w:link w:val="Guide-AnnexeHeading3"/>
    <w:rsid w:val="007B42E9"/>
    <w:rPr>
      <w:rFonts w:ascii="Calibri" w:eastAsia="Times New Roman" w:hAnsi="Calibri" w:cs="Times New Roman"/>
      <w:b/>
      <w:smallCaps/>
      <w:kern w:val="3"/>
      <w:sz w:val="28"/>
      <w:szCs w:val="20"/>
      <w:lang w:eastAsia="zh-CN"/>
    </w:rPr>
  </w:style>
  <w:style w:type="paragraph" w:styleId="NormalWeb">
    <w:name w:val="Normal (Web)"/>
    <w:basedOn w:val="Normal"/>
    <w:link w:val="NormalWebChar"/>
    <w:rsid w:val="007B42E9"/>
    <w:pPr>
      <w:widowControl/>
      <w:spacing w:before="100" w:after="100"/>
    </w:pPr>
    <w:rPr>
      <w:rFonts w:ascii="Times New Roman" w:eastAsia="Times New Roman" w:hAnsi="Times New Roman" w:cs="Times New Roman"/>
      <w:sz w:val="20"/>
      <w:szCs w:val="20"/>
    </w:rPr>
  </w:style>
  <w:style w:type="character" w:customStyle="1" w:styleId="NormalWebChar">
    <w:name w:val="Normal (Web) Char"/>
    <w:link w:val="NormalWeb"/>
    <w:locked/>
    <w:rsid w:val="007B42E9"/>
    <w:rPr>
      <w:rFonts w:eastAsia="Times New Roman" w:cs="Times New Roman"/>
      <w:kern w:val="3"/>
      <w:lang w:eastAsia="zh-CN"/>
    </w:rPr>
  </w:style>
  <w:style w:type="paragraph" w:styleId="EndnoteText">
    <w:name w:val="endnote text"/>
    <w:basedOn w:val="Normal"/>
    <w:link w:val="EndnoteTextChar"/>
    <w:semiHidden/>
    <w:unhideWhenUsed/>
    <w:rsid w:val="00622434"/>
    <w:rPr>
      <w:sz w:val="20"/>
      <w:szCs w:val="20"/>
    </w:rPr>
  </w:style>
  <w:style w:type="character" w:customStyle="1" w:styleId="EndnoteTextChar">
    <w:name w:val="Endnote Text Char"/>
    <w:link w:val="EndnoteText"/>
    <w:semiHidden/>
    <w:rsid w:val="00622434"/>
    <w:rPr>
      <w:rFonts w:ascii="Calibri" w:hAnsi="Calibri"/>
      <w:kern w:val="3"/>
      <w:lang w:val="fr-BE" w:eastAsia="zh-CN"/>
    </w:rPr>
  </w:style>
  <w:style w:type="paragraph" w:styleId="DocumentMap">
    <w:name w:val="Document Map"/>
    <w:basedOn w:val="Normal"/>
    <w:link w:val="DocumentMapChar"/>
    <w:semiHidden/>
    <w:unhideWhenUsed/>
    <w:rsid w:val="00850C4C"/>
    <w:rPr>
      <w:rFonts w:ascii="Tahoma" w:hAnsi="Tahoma"/>
      <w:sz w:val="16"/>
      <w:szCs w:val="16"/>
    </w:rPr>
  </w:style>
  <w:style w:type="character" w:customStyle="1" w:styleId="DocumentMapChar">
    <w:name w:val="Document Map Char"/>
    <w:basedOn w:val="DefaultParagraphFont"/>
    <w:link w:val="DocumentMap"/>
    <w:semiHidden/>
    <w:rsid w:val="00850C4C"/>
    <w:rPr>
      <w:rFonts w:ascii="Tahoma" w:hAnsi="Tahoma"/>
      <w:kern w:val="3"/>
      <w:sz w:val="16"/>
      <w:szCs w:val="16"/>
      <w:lang w:val="fr-BE" w:eastAsia="zh-CN"/>
    </w:rPr>
  </w:style>
  <w:style w:type="table" w:customStyle="1" w:styleId="TableGrid1">
    <w:name w:val="Table Grid1"/>
    <w:basedOn w:val="TableNormal"/>
    <w:next w:val="TableGrid"/>
    <w:uiPriority w:val="59"/>
    <w:rsid w:val="001E051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5B717B"/>
  </w:style>
  <w:style w:type="paragraph" w:customStyle="1" w:styleId="Disclaimer">
    <w:name w:val="Disclaimer"/>
    <w:basedOn w:val="Normal"/>
    <w:rsid w:val="00977659"/>
    <w:pPr>
      <w:keepLines/>
      <w:widowControl/>
      <w:pBdr>
        <w:top w:val="single" w:sz="4" w:space="1" w:color="000000"/>
      </w:pBdr>
      <w:spacing w:before="480"/>
      <w:jc w:val="both"/>
    </w:pPr>
    <w:rPr>
      <w:rFonts w:ascii="Times New Roman" w:eastAsia="Times New Roman" w:hAnsi="Times New Roman" w:cs="Times New Roman"/>
      <w:i/>
      <w:szCs w:val="20"/>
      <w:lang w:val="en-GB"/>
    </w:rPr>
  </w:style>
  <w:style w:type="character" w:customStyle="1" w:styleId="ListParagraphChar">
    <w:name w:val="List Paragraph Char"/>
    <w:aliases w:val="1st level - Bullet List Paragraph Char,List Paragraph1 Char,Lettre d'introduction Char,Paragrafo elenco Char,Medium Grid 1 - Accent 21 Char,Fiche List Paragraph Char,Conclusion de partie Char,Dot pt Char,No Spacing1 Char"/>
    <w:link w:val="ListParagraph"/>
    <w:uiPriority w:val="34"/>
    <w:qFormat/>
    <w:rsid w:val="00A97ABD"/>
    <w:rPr>
      <w:rFonts w:ascii="Calibri" w:hAnsi="Calibri"/>
      <w:kern w:val="3"/>
      <w:sz w:val="24"/>
      <w:szCs w:val="24"/>
      <w:lang w:val="fr-BE" w:eastAsia="zh-CN"/>
    </w:rPr>
  </w:style>
  <w:style w:type="character" w:customStyle="1" w:styleId="Hyperlink0">
    <w:name w:val="Hyperlink.0"/>
    <w:basedOn w:val="Hyperlink"/>
    <w:rsid w:val="00B917FF"/>
    <w:rPr>
      <w:color w:val="0000FF"/>
      <w:u w:val="single" w:color="0000FF"/>
    </w:rPr>
  </w:style>
  <w:style w:type="character" w:customStyle="1" w:styleId="UnresolvedMention1">
    <w:name w:val="Unresolved Mention1"/>
    <w:basedOn w:val="DefaultParagraphFont"/>
    <w:uiPriority w:val="99"/>
    <w:semiHidden/>
    <w:unhideWhenUsed/>
    <w:rsid w:val="005B6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23">
      <w:bodyDiv w:val="1"/>
      <w:marLeft w:val="0"/>
      <w:marRight w:val="0"/>
      <w:marTop w:val="0"/>
      <w:marBottom w:val="0"/>
      <w:divBdr>
        <w:top w:val="none" w:sz="0" w:space="0" w:color="auto"/>
        <w:left w:val="none" w:sz="0" w:space="0" w:color="auto"/>
        <w:bottom w:val="none" w:sz="0" w:space="0" w:color="auto"/>
        <w:right w:val="none" w:sz="0" w:space="0" w:color="auto"/>
      </w:divBdr>
    </w:div>
    <w:div w:id="1054249">
      <w:bodyDiv w:val="1"/>
      <w:marLeft w:val="0"/>
      <w:marRight w:val="0"/>
      <w:marTop w:val="0"/>
      <w:marBottom w:val="0"/>
      <w:divBdr>
        <w:top w:val="none" w:sz="0" w:space="0" w:color="auto"/>
        <w:left w:val="none" w:sz="0" w:space="0" w:color="auto"/>
        <w:bottom w:val="none" w:sz="0" w:space="0" w:color="auto"/>
        <w:right w:val="none" w:sz="0" w:space="0" w:color="auto"/>
      </w:divBdr>
    </w:div>
    <w:div w:id="1129315">
      <w:bodyDiv w:val="1"/>
      <w:marLeft w:val="0"/>
      <w:marRight w:val="0"/>
      <w:marTop w:val="0"/>
      <w:marBottom w:val="0"/>
      <w:divBdr>
        <w:top w:val="none" w:sz="0" w:space="0" w:color="auto"/>
        <w:left w:val="none" w:sz="0" w:space="0" w:color="auto"/>
        <w:bottom w:val="none" w:sz="0" w:space="0" w:color="auto"/>
        <w:right w:val="none" w:sz="0" w:space="0" w:color="auto"/>
      </w:divBdr>
    </w:div>
    <w:div w:id="4669203">
      <w:bodyDiv w:val="1"/>
      <w:marLeft w:val="0"/>
      <w:marRight w:val="0"/>
      <w:marTop w:val="0"/>
      <w:marBottom w:val="0"/>
      <w:divBdr>
        <w:top w:val="none" w:sz="0" w:space="0" w:color="auto"/>
        <w:left w:val="none" w:sz="0" w:space="0" w:color="auto"/>
        <w:bottom w:val="none" w:sz="0" w:space="0" w:color="auto"/>
        <w:right w:val="none" w:sz="0" w:space="0" w:color="auto"/>
      </w:divBdr>
    </w:div>
    <w:div w:id="7830915">
      <w:bodyDiv w:val="1"/>
      <w:marLeft w:val="0"/>
      <w:marRight w:val="0"/>
      <w:marTop w:val="0"/>
      <w:marBottom w:val="0"/>
      <w:divBdr>
        <w:top w:val="none" w:sz="0" w:space="0" w:color="auto"/>
        <w:left w:val="none" w:sz="0" w:space="0" w:color="auto"/>
        <w:bottom w:val="none" w:sz="0" w:space="0" w:color="auto"/>
        <w:right w:val="none" w:sz="0" w:space="0" w:color="auto"/>
      </w:divBdr>
    </w:div>
    <w:div w:id="8879195">
      <w:bodyDiv w:val="1"/>
      <w:marLeft w:val="0"/>
      <w:marRight w:val="0"/>
      <w:marTop w:val="0"/>
      <w:marBottom w:val="0"/>
      <w:divBdr>
        <w:top w:val="none" w:sz="0" w:space="0" w:color="auto"/>
        <w:left w:val="none" w:sz="0" w:space="0" w:color="auto"/>
        <w:bottom w:val="none" w:sz="0" w:space="0" w:color="auto"/>
        <w:right w:val="none" w:sz="0" w:space="0" w:color="auto"/>
      </w:divBdr>
    </w:div>
    <w:div w:id="9913856">
      <w:bodyDiv w:val="1"/>
      <w:marLeft w:val="0"/>
      <w:marRight w:val="0"/>
      <w:marTop w:val="0"/>
      <w:marBottom w:val="0"/>
      <w:divBdr>
        <w:top w:val="none" w:sz="0" w:space="0" w:color="auto"/>
        <w:left w:val="none" w:sz="0" w:space="0" w:color="auto"/>
        <w:bottom w:val="none" w:sz="0" w:space="0" w:color="auto"/>
        <w:right w:val="none" w:sz="0" w:space="0" w:color="auto"/>
      </w:divBdr>
    </w:div>
    <w:div w:id="10882670">
      <w:bodyDiv w:val="1"/>
      <w:marLeft w:val="0"/>
      <w:marRight w:val="0"/>
      <w:marTop w:val="0"/>
      <w:marBottom w:val="0"/>
      <w:divBdr>
        <w:top w:val="none" w:sz="0" w:space="0" w:color="auto"/>
        <w:left w:val="none" w:sz="0" w:space="0" w:color="auto"/>
        <w:bottom w:val="none" w:sz="0" w:space="0" w:color="auto"/>
        <w:right w:val="none" w:sz="0" w:space="0" w:color="auto"/>
      </w:divBdr>
    </w:div>
    <w:div w:id="13311298">
      <w:bodyDiv w:val="1"/>
      <w:marLeft w:val="0"/>
      <w:marRight w:val="0"/>
      <w:marTop w:val="0"/>
      <w:marBottom w:val="0"/>
      <w:divBdr>
        <w:top w:val="none" w:sz="0" w:space="0" w:color="auto"/>
        <w:left w:val="none" w:sz="0" w:space="0" w:color="auto"/>
        <w:bottom w:val="none" w:sz="0" w:space="0" w:color="auto"/>
        <w:right w:val="none" w:sz="0" w:space="0" w:color="auto"/>
      </w:divBdr>
    </w:div>
    <w:div w:id="14696087">
      <w:bodyDiv w:val="1"/>
      <w:marLeft w:val="0"/>
      <w:marRight w:val="0"/>
      <w:marTop w:val="0"/>
      <w:marBottom w:val="0"/>
      <w:divBdr>
        <w:top w:val="none" w:sz="0" w:space="0" w:color="auto"/>
        <w:left w:val="none" w:sz="0" w:space="0" w:color="auto"/>
        <w:bottom w:val="none" w:sz="0" w:space="0" w:color="auto"/>
        <w:right w:val="none" w:sz="0" w:space="0" w:color="auto"/>
      </w:divBdr>
    </w:div>
    <w:div w:id="16126036">
      <w:bodyDiv w:val="1"/>
      <w:marLeft w:val="0"/>
      <w:marRight w:val="0"/>
      <w:marTop w:val="0"/>
      <w:marBottom w:val="0"/>
      <w:divBdr>
        <w:top w:val="none" w:sz="0" w:space="0" w:color="auto"/>
        <w:left w:val="none" w:sz="0" w:space="0" w:color="auto"/>
        <w:bottom w:val="none" w:sz="0" w:space="0" w:color="auto"/>
        <w:right w:val="none" w:sz="0" w:space="0" w:color="auto"/>
      </w:divBdr>
    </w:div>
    <w:div w:id="18900136">
      <w:bodyDiv w:val="1"/>
      <w:marLeft w:val="0"/>
      <w:marRight w:val="0"/>
      <w:marTop w:val="0"/>
      <w:marBottom w:val="0"/>
      <w:divBdr>
        <w:top w:val="none" w:sz="0" w:space="0" w:color="auto"/>
        <w:left w:val="none" w:sz="0" w:space="0" w:color="auto"/>
        <w:bottom w:val="none" w:sz="0" w:space="0" w:color="auto"/>
        <w:right w:val="none" w:sz="0" w:space="0" w:color="auto"/>
      </w:divBdr>
    </w:div>
    <w:div w:id="25910006">
      <w:bodyDiv w:val="1"/>
      <w:marLeft w:val="0"/>
      <w:marRight w:val="0"/>
      <w:marTop w:val="0"/>
      <w:marBottom w:val="0"/>
      <w:divBdr>
        <w:top w:val="none" w:sz="0" w:space="0" w:color="auto"/>
        <w:left w:val="none" w:sz="0" w:space="0" w:color="auto"/>
        <w:bottom w:val="none" w:sz="0" w:space="0" w:color="auto"/>
        <w:right w:val="none" w:sz="0" w:space="0" w:color="auto"/>
      </w:divBdr>
    </w:div>
    <w:div w:id="33118890">
      <w:bodyDiv w:val="1"/>
      <w:marLeft w:val="0"/>
      <w:marRight w:val="0"/>
      <w:marTop w:val="0"/>
      <w:marBottom w:val="0"/>
      <w:divBdr>
        <w:top w:val="none" w:sz="0" w:space="0" w:color="auto"/>
        <w:left w:val="none" w:sz="0" w:space="0" w:color="auto"/>
        <w:bottom w:val="none" w:sz="0" w:space="0" w:color="auto"/>
        <w:right w:val="none" w:sz="0" w:space="0" w:color="auto"/>
      </w:divBdr>
    </w:div>
    <w:div w:id="34424944">
      <w:bodyDiv w:val="1"/>
      <w:marLeft w:val="0"/>
      <w:marRight w:val="0"/>
      <w:marTop w:val="0"/>
      <w:marBottom w:val="0"/>
      <w:divBdr>
        <w:top w:val="none" w:sz="0" w:space="0" w:color="auto"/>
        <w:left w:val="none" w:sz="0" w:space="0" w:color="auto"/>
        <w:bottom w:val="none" w:sz="0" w:space="0" w:color="auto"/>
        <w:right w:val="none" w:sz="0" w:space="0" w:color="auto"/>
      </w:divBdr>
    </w:div>
    <w:div w:id="36315533">
      <w:bodyDiv w:val="1"/>
      <w:marLeft w:val="0"/>
      <w:marRight w:val="0"/>
      <w:marTop w:val="0"/>
      <w:marBottom w:val="0"/>
      <w:divBdr>
        <w:top w:val="none" w:sz="0" w:space="0" w:color="auto"/>
        <w:left w:val="none" w:sz="0" w:space="0" w:color="auto"/>
        <w:bottom w:val="none" w:sz="0" w:space="0" w:color="auto"/>
        <w:right w:val="none" w:sz="0" w:space="0" w:color="auto"/>
      </w:divBdr>
    </w:div>
    <w:div w:id="37290310">
      <w:bodyDiv w:val="1"/>
      <w:marLeft w:val="0"/>
      <w:marRight w:val="0"/>
      <w:marTop w:val="0"/>
      <w:marBottom w:val="0"/>
      <w:divBdr>
        <w:top w:val="none" w:sz="0" w:space="0" w:color="auto"/>
        <w:left w:val="none" w:sz="0" w:space="0" w:color="auto"/>
        <w:bottom w:val="none" w:sz="0" w:space="0" w:color="auto"/>
        <w:right w:val="none" w:sz="0" w:space="0" w:color="auto"/>
      </w:divBdr>
    </w:div>
    <w:div w:id="43676900">
      <w:bodyDiv w:val="1"/>
      <w:marLeft w:val="0"/>
      <w:marRight w:val="0"/>
      <w:marTop w:val="0"/>
      <w:marBottom w:val="0"/>
      <w:divBdr>
        <w:top w:val="none" w:sz="0" w:space="0" w:color="auto"/>
        <w:left w:val="none" w:sz="0" w:space="0" w:color="auto"/>
        <w:bottom w:val="none" w:sz="0" w:space="0" w:color="auto"/>
        <w:right w:val="none" w:sz="0" w:space="0" w:color="auto"/>
      </w:divBdr>
    </w:div>
    <w:div w:id="50083379">
      <w:bodyDiv w:val="1"/>
      <w:marLeft w:val="0"/>
      <w:marRight w:val="0"/>
      <w:marTop w:val="0"/>
      <w:marBottom w:val="0"/>
      <w:divBdr>
        <w:top w:val="none" w:sz="0" w:space="0" w:color="auto"/>
        <w:left w:val="none" w:sz="0" w:space="0" w:color="auto"/>
        <w:bottom w:val="none" w:sz="0" w:space="0" w:color="auto"/>
        <w:right w:val="none" w:sz="0" w:space="0" w:color="auto"/>
      </w:divBdr>
    </w:div>
    <w:div w:id="57171951">
      <w:bodyDiv w:val="1"/>
      <w:marLeft w:val="0"/>
      <w:marRight w:val="0"/>
      <w:marTop w:val="0"/>
      <w:marBottom w:val="0"/>
      <w:divBdr>
        <w:top w:val="none" w:sz="0" w:space="0" w:color="auto"/>
        <w:left w:val="none" w:sz="0" w:space="0" w:color="auto"/>
        <w:bottom w:val="none" w:sz="0" w:space="0" w:color="auto"/>
        <w:right w:val="none" w:sz="0" w:space="0" w:color="auto"/>
      </w:divBdr>
    </w:div>
    <w:div w:id="62994207">
      <w:bodyDiv w:val="1"/>
      <w:marLeft w:val="0"/>
      <w:marRight w:val="0"/>
      <w:marTop w:val="0"/>
      <w:marBottom w:val="0"/>
      <w:divBdr>
        <w:top w:val="none" w:sz="0" w:space="0" w:color="auto"/>
        <w:left w:val="none" w:sz="0" w:space="0" w:color="auto"/>
        <w:bottom w:val="none" w:sz="0" w:space="0" w:color="auto"/>
        <w:right w:val="none" w:sz="0" w:space="0" w:color="auto"/>
      </w:divBdr>
    </w:div>
    <w:div w:id="69470291">
      <w:bodyDiv w:val="1"/>
      <w:marLeft w:val="0"/>
      <w:marRight w:val="0"/>
      <w:marTop w:val="0"/>
      <w:marBottom w:val="0"/>
      <w:divBdr>
        <w:top w:val="none" w:sz="0" w:space="0" w:color="auto"/>
        <w:left w:val="none" w:sz="0" w:space="0" w:color="auto"/>
        <w:bottom w:val="none" w:sz="0" w:space="0" w:color="auto"/>
        <w:right w:val="none" w:sz="0" w:space="0" w:color="auto"/>
      </w:divBdr>
    </w:div>
    <w:div w:id="70546477">
      <w:bodyDiv w:val="1"/>
      <w:marLeft w:val="0"/>
      <w:marRight w:val="0"/>
      <w:marTop w:val="0"/>
      <w:marBottom w:val="0"/>
      <w:divBdr>
        <w:top w:val="none" w:sz="0" w:space="0" w:color="auto"/>
        <w:left w:val="none" w:sz="0" w:space="0" w:color="auto"/>
        <w:bottom w:val="none" w:sz="0" w:space="0" w:color="auto"/>
        <w:right w:val="none" w:sz="0" w:space="0" w:color="auto"/>
      </w:divBdr>
    </w:div>
    <w:div w:id="72624606">
      <w:bodyDiv w:val="1"/>
      <w:marLeft w:val="0"/>
      <w:marRight w:val="0"/>
      <w:marTop w:val="0"/>
      <w:marBottom w:val="0"/>
      <w:divBdr>
        <w:top w:val="none" w:sz="0" w:space="0" w:color="auto"/>
        <w:left w:val="none" w:sz="0" w:space="0" w:color="auto"/>
        <w:bottom w:val="none" w:sz="0" w:space="0" w:color="auto"/>
        <w:right w:val="none" w:sz="0" w:space="0" w:color="auto"/>
      </w:divBdr>
    </w:div>
    <w:div w:id="73087503">
      <w:bodyDiv w:val="1"/>
      <w:marLeft w:val="0"/>
      <w:marRight w:val="0"/>
      <w:marTop w:val="0"/>
      <w:marBottom w:val="0"/>
      <w:divBdr>
        <w:top w:val="none" w:sz="0" w:space="0" w:color="auto"/>
        <w:left w:val="none" w:sz="0" w:space="0" w:color="auto"/>
        <w:bottom w:val="none" w:sz="0" w:space="0" w:color="auto"/>
        <w:right w:val="none" w:sz="0" w:space="0" w:color="auto"/>
      </w:divBdr>
    </w:div>
    <w:div w:id="78674373">
      <w:bodyDiv w:val="1"/>
      <w:marLeft w:val="0"/>
      <w:marRight w:val="0"/>
      <w:marTop w:val="0"/>
      <w:marBottom w:val="0"/>
      <w:divBdr>
        <w:top w:val="none" w:sz="0" w:space="0" w:color="auto"/>
        <w:left w:val="none" w:sz="0" w:space="0" w:color="auto"/>
        <w:bottom w:val="none" w:sz="0" w:space="0" w:color="auto"/>
        <w:right w:val="none" w:sz="0" w:space="0" w:color="auto"/>
      </w:divBdr>
    </w:div>
    <w:div w:id="82537129">
      <w:bodyDiv w:val="1"/>
      <w:marLeft w:val="0"/>
      <w:marRight w:val="0"/>
      <w:marTop w:val="0"/>
      <w:marBottom w:val="0"/>
      <w:divBdr>
        <w:top w:val="none" w:sz="0" w:space="0" w:color="auto"/>
        <w:left w:val="none" w:sz="0" w:space="0" w:color="auto"/>
        <w:bottom w:val="none" w:sz="0" w:space="0" w:color="auto"/>
        <w:right w:val="none" w:sz="0" w:space="0" w:color="auto"/>
      </w:divBdr>
    </w:div>
    <w:div w:id="88552283">
      <w:bodyDiv w:val="1"/>
      <w:marLeft w:val="0"/>
      <w:marRight w:val="0"/>
      <w:marTop w:val="0"/>
      <w:marBottom w:val="0"/>
      <w:divBdr>
        <w:top w:val="none" w:sz="0" w:space="0" w:color="auto"/>
        <w:left w:val="none" w:sz="0" w:space="0" w:color="auto"/>
        <w:bottom w:val="none" w:sz="0" w:space="0" w:color="auto"/>
        <w:right w:val="none" w:sz="0" w:space="0" w:color="auto"/>
      </w:divBdr>
    </w:div>
    <w:div w:id="89740859">
      <w:bodyDiv w:val="1"/>
      <w:marLeft w:val="0"/>
      <w:marRight w:val="0"/>
      <w:marTop w:val="0"/>
      <w:marBottom w:val="0"/>
      <w:divBdr>
        <w:top w:val="none" w:sz="0" w:space="0" w:color="auto"/>
        <w:left w:val="none" w:sz="0" w:space="0" w:color="auto"/>
        <w:bottom w:val="none" w:sz="0" w:space="0" w:color="auto"/>
        <w:right w:val="none" w:sz="0" w:space="0" w:color="auto"/>
      </w:divBdr>
    </w:div>
    <w:div w:id="93667842">
      <w:bodyDiv w:val="1"/>
      <w:marLeft w:val="0"/>
      <w:marRight w:val="0"/>
      <w:marTop w:val="0"/>
      <w:marBottom w:val="0"/>
      <w:divBdr>
        <w:top w:val="none" w:sz="0" w:space="0" w:color="auto"/>
        <w:left w:val="none" w:sz="0" w:space="0" w:color="auto"/>
        <w:bottom w:val="none" w:sz="0" w:space="0" w:color="auto"/>
        <w:right w:val="none" w:sz="0" w:space="0" w:color="auto"/>
      </w:divBdr>
    </w:div>
    <w:div w:id="105464492">
      <w:bodyDiv w:val="1"/>
      <w:marLeft w:val="0"/>
      <w:marRight w:val="0"/>
      <w:marTop w:val="0"/>
      <w:marBottom w:val="0"/>
      <w:divBdr>
        <w:top w:val="none" w:sz="0" w:space="0" w:color="auto"/>
        <w:left w:val="none" w:sz="0" w:space="0" w:color="auto"/>
        <w:bottom w:val="none" w:sz="0" w:space="0" w:color="auto"/>
        <w:right w:val="none" w:sz="0" w:space="0" w:color="auto"/>
      </w:divBdr>
    </w:div>
    <w:div w:id="105933340">
      <w:bodyDiv w:val="1"/>
      <w:marLeft w:val="0"/>
      <w:marRight w:val="0"/>
      <w:marTop w:val="0"/>
      <w:marBottom w:val="0"/>
      <w:divBdr>
        <w:top w:val="none" w:sz="0" w:space="0" w:color="auto"/>
        <w:left w:val="none" w:sz="0" w:space="0" w:color="auto"/>
        <w:bottom w:val="none" w:sz="0" w:space="0" w:color="auto"/>
        <w:right w:val="none" w:sz="0" w:space="0" w:color="auto"/>
      </w:divBdr>
    </w:div>
    <w:div w:id="107092429">
      <w:bodyDiv w:val="1"/>
      <w:marLeft w:val="0"/>
      <w:marRight w:val="0"/>
      <w:marTop w:val="0"/>
      <w:marBottom w:val="0"/>
      <w:divBdr>
        <w:top w:val="none" w:sz="0" w:space="0" w:color="auto"/>
        <w:left w:val="none" w:sz="0" w:space="0" w:color="auto"/>
        <w:bottom w:val="none" w:sz="0" w:space="0" w:color="auto"/>
        <w:right w:val="none" w:sz="0" w:space="0" w:color="auto"/>
      </w:divBdr>
    </w:div>
    <w:div w:id="112359539">
      <w:bodyDiv w:val="1"/>
      <w:marLeft w:val="0"/>
      <w:marRight w:val="0"/>
      <w:marTop w:val="0"/>
      <w:marBottom w:val="0"/>
      <w:divBdr>
        <w:top w:val="none" w:sz="0" w:space="0" w:color="auto"/>
        <w:left w:val="none" w:sz="0" w:space="0" w:color="auto"/>
        <w:bottom w:val="none" w:sz="0" w:space="0" w:color="auto"/>
        <w:right w:val="none" w:sz="0" w:space="0" w:color="auto"/>
      </w:divBdr>
    </w:div>
    <w:div w:id="118958652">
      <w:bodyDiv w:val="1"/>
      <w:marLeft w:val="0"/>
      <w:marRight w:val="0"/>
      <w:marTop w:val="0"/>
      <w:marBottom w:val="0"/>
      <w:divBdr>
        <w:top w:val="none" w:sz="0" w:space="0" w:color="auto"/>
        <w:left w:val="none" w:sz="0" w:space="0" w:color="auto"/>
        <w:bottom w:val="none" w:sz="0" w:space="0" w:color="auto"/>
        <w:right w:val="none" w:sz="0" w:space="0" w:color="auto"/>
      </w:divBdr>
    </w:div>
    <w:div w:id="120612137">
      <w:bodyDiv w:val="1"/>
      <w:marLeft w:val="0"/>
      <w:marRight w:val="0"/>
      <w:marTop w:val="0"/>
      <w:marBottom w:val="0"/>
      <w:divBdr>
        <w:top w:val="none" w:sz="0" w:space="0" w:color="auto"/>
        <w:left w:val="none" w:sz="0" w:space="0" w:color="auto"/>
        <w:bottom w:val="none" w:sz="0" w:space="0" w:color="auto"/>
        <w:right w:val="none" w:sz="0" w:space="0" w:color="auto"/>
      </w:divBdr>
    </w:div>
    <w:div w:id="125314104">
      <w:bodyDiv w:val="1"/>
      <w:marLeft w:val="0"/>
      <w:marRight w:val="0"/>
      <w:marTop w:val="0"/>
      <w:marBottom w:val="0"/>
      <w:divBdr>
        <w:top w:val="none" w:sz="0" w:space="0" w:color="auto"/>
        <w:left w:val="none" w:sz="0" w:space="0" w:color="auto"/>
        <w:bottom w:val="none" w:sz="0" w:space="0" w:color="auto"/>
        <w:right w:val="none" w:sz="0" w:space="0" w:color="auto"/>
      </w:divBdr>
    </w:div>
    <w:div w:id="128404343">
      <w:bodyDiv w:val="1"/>
      <w:marLeft w:val="0"/>
      <w:marRight w:val="0"/>
      <w:marTop w:val="0"/>
      <w:marBottom w:val="0"/>
      <w:divBdr>
        <w:top w:val="none" w:sz="0" w:space="0" w:color="auto"/>
        <w:left w:val="none" w:sz="0" w:space="0" w:color="auto"/>
        <w:bottom w:val="none" w:sz="0" w:space="0" w:color="auto"/>
        <w:right w:val="none" w:sz="0" w:space="0" w:color="auto"/>
      </w:divBdr>
    </w:div>
    <w:div w:id="136142814">
      <w:bodyDiv w:val="1"/>
      <w:marLeft w:val="0"/>
      <w:marRight w:val="0"/>
      <w:marTop w:val="0"/>
      <w:marBottom w:val="0"/>
      <w:divBdr>
        <w:top w:val="none" w:sz="0" w:space="0" w:color="auto"/>
        <w:left w:val="none" w:sz="0" w:space="0" w:color="auto"/>
        <w:bottom w:val="none" w:sz="0" w:space="0" w:color="auto"/>
        <w:right w:val="none" w:sz="0" w:space="0" w:color="auto"/>
      </w:divBdr>
    </w:div>
    <w:div w:id="137187078">
      <w:bodyDiv w:val="1"/>
      <w:marLeft w:val="0"/>
      <w:marRight w:val="0"/>
      <w:marTop w:val="0"/>
      <w:marBottom w:val="0"/>
      <w:divBdr>
        <w:top w:val="none" w:sz="0" w:space="0" w:color="auto"/>
        <w:left w:val="none" w:sz="0" w:space="0" w:color="auto"/>
        <w:bottom w:val="none" w:sz="0" w:space="0" w:color="auto"/>
        <w:right w:val="none" w:sz="0" w:space="0" w:color="auto"/>
      </w:divBdr>
    </w:div>
    <w:div w:id="137498019">
      <w:bodyDiv w:val="1"/>
      <w:marLeft w:val="0"/>
      <w:marRight w:val="0"/>
      <w:marTop w:val="0"/>
      <w:marBottom w:val="0"/>
      <w:divBdr>
        <w:top w:val="none" w:sz="0" w:space="0" w:color="auto"/>
        <w:left w:val="none" w:sz="0" w:space="0" w:color="auto"/>
        <w:bottom w:val="none" w:sz="0" w:space="0" w:color="auto"/>
        <w:right w:val="none" w:sz="0" w:space="0" w:color="auto"/>
      </w:divBdr>
    </w:div>
    <w:div w:id="138696982">
      <w:bodyDiv w:val="1"/>
      <w:marLeft w:val="0"/>
      <w:marRight w:val="0"/>
      <w:marTop w:val="0"/>
      <w:marBottom w:val="0"/>
      <w:divBdr>
        <w:top w:val="none" w:sz="0" w:space="0" w:color="auto"/>
        <w:left w:val="none" w:sz="0" w:space="0" w:color="auto"/>
        <w:bottom w:val="none" w:sz="0" w:space="0" w:color="auto"/>
        <w:right w:val="none" w:sz="0" w:space="0" w:color="auto"/>
      </w:divBdr>
    </w:div>
    <w:div w:id="140925270">
      <w:bodyDiv w:val="1"/>
      <w:marLeft w:val="0"/>
      <w:marRight w:val="0"/>
      <w:marTop w:val="0"/>
      <w:marBottom w:val="0"/>
      <w:divBdr>
        <w:top w:val="none" w:sz="0" w:space="0" w:color="auto"/>
        <w:left w:val="none" w:sz="0" w:space="0" w:color="auto"/>
        <w:bottom w:val="none" w:sz="0" w:space="0" w:color="auto"/>
        <w:right w:val="none" w:sz="0" w:space="0" w:color="auto"/>
      </w:divBdr>
    </w:div>
    <w:div w:id="150488849">
      <w:bodyDiv w:val="1"/>
      <w:marLeft w:val="0"/>
      <w:marRight w:val="0"/>
      <w:marTop w:val="0"/>
      <w:marBottom w:val="0"/>
      <w:divBdr>
        <w:top w:val="none" w:sz="0" w:space="0" w:color="auto"/>
        <w:left w:val="none" w:sz="0" w:space="0" w:color="auto"/>
        <w:bottom w:val="none" w:sz="0" w:space="0" w:color="auto"/>
        <w:right w:val="none" w:sz="0" w:space="0" w:color="auto"/>
      </w:divBdr>
    </w:div>
    <w:div w:id="150870336">
      <w:bodyDiv w:val="1"/>
      <w:marLeft w:val="0"/>
      <w:marRight w:val="0"/>
      <w:marTop w:val="0"/>
      <w:marBottom w:val="0"/>
      <w:divBdr>
        <w:top w:val="none" w:sz="0" w:space="0" w:color="auto"/>
        <w:left w:val="none" w:sz="0" w:space="0" w:color="auto"/>
        <w:bottom w:val="none" w:sz="0" w:space="0" w:color="auto"/>
        <w:right w:val="none" w:sz="0" w:space="0" w:color="auto"/>
      </w:divBdr>
    </w:div>
    <w:div w:id="151410024">
      <w:bodyDiv w:val="1"/>
      <w:marLeft w:val="0"/>
      <w:marRight w:val="0"/>
      <w:marTop w:val="0"/>
      <w:marBottom w:val="0"/>
      <w:divBdr>
        <w:top w:val="none" w:sz="0" w:space="0" w:color="auto"/>
        <w:left w:val="none" w:sz="0" w:space="0" w:color="auto"/>
        <w:bottom w:val="none" w:sz="0" w:space="0" w:color="auto"/>
        <w:right w:val="none" w:sz="0" w:space="0" w:color="auto"/>
      </w:divBdr>
    </w:div>
    <w:div w:id="154608411">
      <w:bodyDiv w:val="1"/>
      <w:marLeft w:val="0"/>
      <w:marRight w:val="0"/>
      <w:marTop w:val="0"/>
      <w:marBottom w:val="0"/>
      <w:divBdr>
        <w:top w:val="none" w:sz="0" w:space="0" w:color="auto"/>
        <w:left w:val="none" w:sz="0" w:space="0" w:color="auto"/>
        <w:bottom w:val="none" w:sz="0" w:space="0" w:color="auto"/>
        <w:right w:val="none" w:sz="0" w:space="0" w:color="auto"/>
      </w:divBdr>
    </w:div>
    <w:div w:id="157187561">
      <w:bodyDiv w:val="1"/>
      <w:marLeft w:val="0"/>
      <w:marRight w:val="0"/>
      <w:marTop w:val="0"/>
      <w:marBottom w:val="0"/>
      <w:divBdr>
        <w:top w:val="none" w:sz="0" w:space="0" w:color="auto"/>
        <w:left w:val="none" w:sz="0" w:space="0" w:color="auto"/>
        <w:bottom w:val="none" w:sz="0" w:space="0" w:color="auto"/>
        <w:right w:val="none" w:sz="0" w:space="0" w:color="auto"/>
      </w:divBdr>
    </w:div>
    <w:div w:id="158352869">
      <w:bodyDiv w:val="1"/>
      <w:marLeft w:val="0"/>
      <w:marRight w:val="0"/>
      <w:marTop w:val="0"/>
      <w:marBottom w:val="0"/>
      <w:divBdr>
        <w:top w:val="none" w:sz="0" w:space="0" w:color="auto"/>
        <w:left w:val="none" w:sz="0" w:space="0" w:color="auto"/>
        <w:bottom w:val="none" w:sz="0" w:space="0" w:color="auto"/>
        <w:right w:val="none" w:sz="0" w:space="0" w:color="auto"/>
      </w:divBdr>
    </w:div>
    <w:div w:id="161817044">
      <w:bodyDiv w:val="1"/>
      <w:marLeft w:val="0"/>
      <w:marRight w:val="0"/>
      <w:marTop w:val="0"/>
      <w:marBottom w:val="0"/>
      <w:divBdr>
        <w:top w:val="none" w:sz="0" w:space="0" w:color="auto"/>
        <w:left w:val="none" w:sz="0" w:space="0" w:color="auto"/>
        <w:bottom w:val="none" w:sz="0" w:space="0" w:color="auto"/>
        <w:right w:val="none" w:sz="0" w:space="0" w:color="auto"/>
      </w:divBdr>
    </w:div>
    <w:div w:id="163589185">
      <w:bodyDiv w:val="1"/>
      <w:marLeft w:val="0"/>
      <w:marRight w:val="0"/>
      <w:marTop w:val="0"/>
      <w:marBottom w:val="0"/>
      <w:divBdr>
        <w:top w:val="none" w:sz="0" w:space="0" w:color="auto"/>
        <w:left w:val="none" w:sz="0" w:space="0" w:color="auto"/>
        <w:bottom w:val="none" w:sz="0" w:space="0" w:color="auto"/>
        <w:right w:val="none" w:sz="0" w:space="0" w:color="auto"/>
      </w:divBdr>
    </w:div>
    <w:div w:id="166094603">
      <w:bodyDiv w:val="1"/>
      <w:marLeft w:val="0"/>
      <w:marRight w:val="0"/>
      <w:marTop w:val="0"/>
      <w:marBottom w:val="0"/>
      <w:divBdr>
        <w:top w:val="none" w:sz="0" w:space="0" w:color="auto"/>
        <w:left w:val="none" w:sz="0" w:space="0" w:color="auto"/>
        <w:bottom w:val="none" w:sz="0" w:space="0" w:color="auto"/>
        <w:right w:val="none" w:sz="0" w:space="0" w:color="auto"/>
      </w:divBdr>
    </w:div>
    <w:div w:id="169486646">
      <w:bodyDiv w:val="1"/>
      <w:marLeft w:val="0"/>
      <w:marRight w:val="0"/>
      <w:marTop w:val="0"/>
      <w:marBottom w:val="0"/>
      <w:divBdr>
        <w:top w:val="none" w:sz="0" w:space="0" w:color="auto"/>
        <w:left w:val="none" w:sz="0" w:space="0" w:color="auto"/>
        <w:bottom w:val="none" w:sz="0" w:space="0" w:color="auto"/>
        <w:right w:val="none" w:sz="0" w:space="0" w:color="auto"/>
      </w:divBdr>
    </w:div>
    <w:div w:id="172188283">
      <w:bodyDiv w:val="1"/>
      <w:marLeft w:val="0"/>
      <w:marRight w:val="0"/>
      <w:marTop w:val="0"/>
      <w:marBottom w:val="0"/>
      <w:divBdr>
        <w:top w:val="none" w:sz="0" w:space="0" w:color="auto"/>
        <w:left w:val="none" w:sz="0" w:space="0" w:color="auto"/>
        <w:bottom w:val="none" w:sz="0" w:space="0" w:color="auto"/>
        <w:right w:val="none" w:sz="0" w:space="0" w:color="auto"/>
      </w:divBdr>
    </w:div>
    <w:div w:id="177618797">
      <w:bodyDiv w:val="1"/>
      <w:marLeft w:val="0"/>
      <w:marRight w:val="0"/>
      <w:marTop w:val="0"/>
      <w:marBottom w:val="0"/>
      <w:divBdr>
        <w:top w:val="none" w:sz="0" w:space="0" w:color="auto"/>
        <w:left w:val="none" w:sz="0" w:space="0" w:color="auto"/>
        <w:bottom w:val="none" w:sz="0" w:space="0" w:color="auto"/>
        <w:right w:val="none" w:sz="0" w:space="0" w:color="auto"/>
      </w:divBdr>
    </w:div>
    <w:div w:id="181358584">
      <w:bodyDiv w:val="1"/>
      <w:marLeft w:val="0"/>
      <w:marRight w:val="0"/>
      <w:marTop w:val="0"/>
      <w:marBottom w:val="0"/>
      <w:divBdr>
        <w:top w:val="none" w:sz="0" w:space="0" w:color="auto"/>
        <w:left w:val="none" w:sz="0" w:space="0" w:color="auto"/>
        <w:bottom w:val="none" w:sz="0" w:space="0" w:color="auto"/>
        <w:right w:val="none" w:sz="0" w:space="0" w:color="auto"/>
      </w:divBdr>
    </w:div>
    <w:div w:id="184053025">
      <w:bodyDiv w:val="1"/>
      <w:marLeft w:val="0"/>
      <w:marRight w:val="0"/>
      <w:marTop w:val="0"/>
      <w:marBottom w:val="0"/>
      <w:divBdr>
        <w:top w:val="none" w:sz="0" w:space="0" w:color="auto"/>
        <w:left w:val="none" w:sz="0" w:space="0" w:color="auto"/>
        <w:bottom w:val="none" w:sz="0" w:space="0" w:color="auto"/>
        <w:right w:val="none" w:sz="0" w:space="0" w:color="auto"/>
      </w:divBdr>
    </w:div>
    <w:div w:id="188373463">
      <w:bodyDiv w:val="1"/>
      <w:marLeft w:val="0"/>
      <w:marRight w:val="0"/>
      <w:marTop w:val="0"/>
      <w:marBottom w:val="0"/>
      <w:divBdr>
        <w:top w:val="none" w:sz="0" w:space="0" w:color="auto"/>
        <w:left w:val="none" w:sz="0" w:space="0" w:color="auto"/>
        <w:bottom w:val="none" w:sz="0" w:space="0" w:color="auto"/>
        <w:right w:val="none" w:sz="0" w:space="0" w:color="auto"/>
      </w:divBdr>
    </w:div>
    <w:div w:id="193080844">
      <w:bodyDiv w:val="1"/>
      <w:marLeft w:val="0"/>
      <w:marRight w:val="0"/>
      <w:marTop w:val="0"/>
      <w:marBottom w:val="0"/>
      <w:divBdr>
        <w:top w:val="none" w:sz="0" w:space="0" w:color="auto"/>
        <w:left w:val="none" w:sz="0" w:space="0" w:color="auto"/>
        <w:bottom w:val="none" w:sz="0" w:space="0" w:color="auto"/>
        <w:right w:val="none" w:sz="0" w:space="0" w:color="auto"/>
      </w:divBdr>
    </w:div>
    <w:div w:id="193927205">
      <w:bodyDiv w:val="1"/>
      <w:marLeft w:val="0"/>
      <w:marRight w:val="0"/>
      <w:marTop w:val="0"/>
      <w:marBottom w:val="0"/>
      <w:divBdr>
        <w:top w:val="none" w:sz="0" w:space="0" w:color="auto"/>
        <w:left w:val="none" w:sz="0" w:space="0" w:color="auto"/>
        <w:bottom w:val="none" w:sz="0" w:space="0" w:color="auto"/>
        <w:right w:val="none" w:sz="0" w:space="0" w:color="auto"/>
      </w:divBdr>
    </w:div>
    <w:div w:id="194272432">
      <w:bodyDiv w:val="1"/>
      <w:marLeft w:val="0"/>
      <w:marRight w:val="0"/>
      <w:marTop w:val="0"/>
      <w:marBottom w:val="0"/>
      <w:divBdr>
        <w:top w:val="none" w:sz="0" w:space="0" w:color="auto"/>
        <w:left w:val="none" w:sz="0" w:space="0" w:color="auto"/>
        <w:bottom w:val="none" w:sz="0" w:space="0" w:color="auto"/>
        <w:right w:val="none" w:sz="0" w:space="0" w:color="auto"/>
      </w:divBdr>
    </w:div>
    <w:div w:id="197740933">
      <w:bodyDiv w:val="1"/>
      <w:marLeft w:val="0"/>
      <w:marRight w:val="0"/>
      <w:marTop w:val="0"/>
      <w:marBottom w:val="0"/>
      <w:divBdr>
        <w:top w:val="none" w:sz="0" w:space="0" w:color="auto"/>
        <w:left w:val="none" w:sz="0" w:space="0" w:color="auto"/>
        <w:bottom w:val="none" w:sz="0" w:space="0" w:color="auto"/>
        <w:right w:val="none" w:sz="0" w:space="0" w:color="auto"/>
      </w:divBdr>
    </w:div>
    <w:div w:id="199167110">
      <w:bodyDiv w:val="1"/>
      <w:marLeft w:val="0"/>
      <w:marRight w:val="0"/>
      <w:marTop w:val="0"/>
      <w:marBottom w:val="0"/>
      <w:divBdr>
        <w:top w:val="none" w:sz="0" w:space="0" w:color="auto"/>
        <w:left w:val="none" w:sz="0" w:space="0" w:color="auto"/>
        <w:bottom w:val="none" w:sz="0" w:space="0" w:color="auto"/>
        <w:right w:val="none" w:sz="0" w:space="0" w:color="auto"/>
      </w:divBdr>
    </w:div>
    <w:div w:id="199438846">
      <w:bodyDiv w:val="1"/>
      <w:marLeft w:val="0"/>
      <w:marRight w:val="0"/>
      <w:marTop w:val="0"/>
      <w:marBottom w:val="0"/>
      <w:divBdr>
        <w:top w:val="none" w:sz="0" w:space="0" w:color="auto"/>
        <w:left w:val="none" w:sz="0" w:space="0" w:color="auto"/>
        <w:bottom w:val="none" w:sz="0" w:space="0" w:color="auto"/>
        <w:right w:val="none" w:sz="0" w:space="0" w:color="auto"/>
      </w:divBdr>
    </w:div>
    <w:div w:id="199975361">
      <w:bodyDiv w:val="1"/>
      <w:marLeft w:val="0"/>
      <w:marRight w:val="0"/>
      <w:marTop w:val="0"/>
      <w:marBottom w:val="0"/>
      <w:divBdr>
        <w:top w:val="none" w:sz="0" w:space="0" w:color="auto"/>
        <w:left w:val="none" w:sz="0" w:space="0" w:color="auto"/>
        <w:bottom w:val="none" w:sz="0" w:space="0" w:color="auto"/>
        <w:right w:val="none" w:sz="0" w:space="0" w:color="auto"/>
      </w:divBdr>
    </w:div>
    <w:div w:id="202180585">
      <w:bodyDiv w:val="1"/>
      <w:marLeft w:val="0"/>
      <w:marRight w:val="0"/>
      <w:marTop w:val="0"/>
      <w:marBottom w:val="0"/>
      <w:divBdr>
        <w:top w:val="none" w:sz="0" w:space="0" w:color="auto"/>
        <w:left w:val="none" w:sz="0" w:space="0" w:color="auto"/>
        <w:bottom w:val="none" w:sz="0" w:space="0" w:color="auto"/>
        <w:right w:val="none" w:sz="0" w:space="0" w:color="auto"/>
      </w:divBdr>
    </w:div>
    <w:div w:id="209535129">
      <w:bodyDiv w:val="1"/>
      <w:marLeft w:val="0"/>
      <w:marRight w:val="0"/>
      <w:marTop w:val="0"/>
      <w:marBottom w:val="0"/>
      <w:divBdr>
        <w:top w:val="none" w:sz="0" w:space="0" w:color="auto"/>
        <w:left w:val="none" w:sz="0" w:space="0" w:color="auto"/>
        <w:bottom w:val="none" w:sz="0" w:space="0" w:color="auto"/>
        <w:right w:val="none" w:sz="0" w:space="0" w:color="auto"/>
      </w:divBdr>
    </w:div>
    <w:div w:id="212816239">
      <w:bodyDiv w:val="1"/>
      <w:marLeft w:val="0"/>
      <w:marRight w:val="0"/>
      <w:marTop w:val="0"/>
      <w:marBottom w:val="0"/>
      <w:divBdr>
        <w:top w:val="none" w:sz="0" w:space="0" w:color="auto"/>
        <w:left w:val="none" w:sz="0" w:space="0" w:color="auto"/>
        <w:bottom w:val="none" w:sz="0" w:space="0" w:color="auto"/>
        <w:right w:val="none" w:sz="0" w:space="0" w:color="auto"/>
      </w:divBdr>
    </w:div>
    <w:div w:id="214201113">
      <w:bodyDiv w:val="1"/>
      <w:marLeft w:val="0"/>
      <w:marRight w:val="0"/>
      <w:marTop w:val="0"/>
      <w:marBottom w:val="0"/>
      <w:divBdr>
        <w:top w:val="none" w:sz="0" w:space="0" w:color="auto"/>
        <w:left w:val="none" w:sz="0" w:space="0" w:color="auto"/>
        <w:bottom w:val="none" w:sz="0" w:space="0" w:color="auto"/>
        <w:right w:val="none" w:sz="0" w:space="0" w:color="auto"/>
      </w:divBdr>
    </w:div>
    <w:div w:id="217281754">
      <w:bodyDiv w:val="1"/>
      <w:marLeft w:val="0"/>
      <w:marRight w:val="0"/>
      <w:marTop w:val="0"/>
      <w:marBottom w:val="0"/>
      <w:divBdr>
        <w:top w:val="none" w:sz="0" w:space="0" w:color="auto"/>
        <w:left w:val="none" w:sz="0" w:space="0" w:color="auto"/>
        <w:bottom w:val="none" w:sz="0" w:space="0" w:color="auto"/>
        <w:right w:val="none" w:sz="0" w:space="0" w:color="auto"/>
      </w:divBdr>
    </w:div>
    <w:div w:id="219445750">
      <w:bodyDiv w:val="1"/>
      <w:marLeft w:val="0"/>
      <w:marRight w:val="0"/>
      <w:marTop w:val="0"/>
      <w:marBottom w:val="0"/>
      <w:divBdr>
        <w:top w:val="none" w:sz="0" w:space="0" w:color="auto"/>
        <w:left w:val="none" w:sz="0" w:space="0" w:color="auto"/>
        <w:bottom w:val="none" w:sz="0" w:space="0" w:color="auto"/>
        <w:right w:val="none" w:sz="0" w:space="0" w:color="auto"/>
      </w:divBdr>
    </w:div>
    <w:div w:id="221059936">
      <w:bodyDiv w:val="1"/>
      <w:marLeft w:val="0"/>
      <w:marRight w:val="0"/>
      <w:marTop w:val="0"/>
      <w:marBottom w:val="0"/>
      <w:divBdr>
        <w:top w:val="none" w:sz="0" w:space="0" w:color="auto"/>
        <w:left w:val="none" w:sz="0" w:space="0" w:color="auto"/>
        <w:bottom w:val="none" w:sz="0" w:space="0" w:color="auto"/>
        <w:right w:val="none" w:sz="0" w:space="0" w:color="auto"/>
      </w:divBdr>
    </w:div>
    <w:div w:id="223105480">
      <w:bodyDiv w:val="1"/>
      <w:marLeft w:val="0"/>
      <w:marRight w:val="0"/>
      <w:marTop w:val="0"/>
      <w:marBottom w:val="0"/>
      <w:divBdr>
        <w:top w:val="none" w:sz="0" w:space="0" w:color="auto"/>
        <w:left w:val="none" w:sz="0" w:space="0" w:color="auto"/>
        <w:bottom w:val="none" w:sz="0" w:space="0" w:color="auto"/>
        <w:right w:val="none" w:sz="0" w:space="0" w:color="auto"/>
      </w:divBdr>
    </w:div>
    <w:div w:id="224339809">
      <w:bodyDiv w:val="1"/>
      <w:marLeft w:val="0"/>
      <w:marRight w:val="0"/>
      <w:marTop w:val="0"/>
      <w:marBottom w:val="0"/>
      <w:divBdr>
        <w:top w:val="none" w:sz="0" w:space="0" w:color="auto"/>
        <w:left w:val="none" w:sz="0" w:space="0" w:color="auto"/>
        <w:bottom w:val="none" w:sz="0" w:space="0" w:color="auto"/>
        <w:right w:val="none" w:sz="0" w:space="0" w:color="auto"/>
      </w:divBdr>
    </w:div>
    <w:div w:id="227157870">
      <w:bodyDiv w:val="1"/>
      <w:marLeft w:val="0"/>
      <w:marRight w:val="0"/>
      <w:marTop w:val="0"/>
      <w:marBottom w:val="0"/>
      <w:divBdr>
        <w:top w:val="none" w:sz="0" w:space="0" w:color="auto"/>
        <w:left w:val="none" w:sz="0" w:space="0" w:color="auto"/>
        <w:bottom w:val="none" w:sz="0" w:space="0" w:color="auto"/>
        <w:right w:val="none" w:sz="0" w:space="0" w:color="auto"/>
      </w:divBdr>
    </w:div>
    <w:div w:id="236786328">
      <w:bodyDiv w:val="1"/>
      <w:marLeft w:val="0"/>
      <w:marRight w:val="0"/>
      <w:marTop w:val="0"/>
      <w:marBottom w:val="0"/>
      <w:divBdr>
        <w:top w:val="none" w:sz="0" w:space="0" w:color="auto"/>
        <w:left w:val="none" w:sz="0" w:space="0" w:color="auto"/>
        <w:bottom w:val="none" w:sz="0" w:space="0" w:color="auto"/>
        <w:right w:val="none" w:sz="0" w:space="0" w:color="auto"/>
      </w:divBdr>
    </w:div>
    <w:div w:id="240410399">
      <w:bodyDiv w:val="1"/>
      <w:marLeft w:val="0"/>
      <w:marRight w:val="0"/>
      <w:marTop w:val="0"/>
      <w:marBottom w:val="0"/>
      <w:divBdr>
        <w:top w:val="none" w:sz="0" w:space="0" w:color="auto"/>
        <w:left w:val="none" w:sz="0" w:space="0" w:color="auto"/>
        <w:bottom w:val="none" w:sz="0" w:space="0" w:color="auto"/>
        <w:right w:val="none" w:sz="0" w:space="0" w:color="auto"/>
      </w:divBdr>
    </w:div>
    <w:div w:id="240599606">
      <w:bodyDiv w:val="1"/>
      <w:marLeft w:val="0"/>
      <w:marRight w:val="0"/>
      <w:marTop w:val="0"/>
      <w:marBottom w:val="0"/>
      <w:divBdr>
        <w:top w:val="none" w:sz="0" w:space="0" w:color="auto"/>
        <w:left w:val="none" w:sz="0" w:space="0" w:color="auto"/>
        <w:bottom w:val="none" w:sz="0" w:space="0" w:color="auto"/>
        <w:right w:val="none" w:sz="0" w:space="0" w:color="auto"/>
      </w:divBdr>
    </w:div>
    <w:div w:id="241305880">
      <w:bodyDiv w:val="1"/>
      <w:marLeft w:val="0"/>
      <w:marRight w:val="0"/>
      <w:marTop w:val="0"/>
      <w:marBottom w:val="0"/>
      <w:divBdr>
        <w:top w:val="none" w:sz="0" w:space="0" w:color="auto"/>
        <w:left w:val="none" w:sz="0" w:space="0" w:color="auto"/>
        <w:bottom w:val="none" w:sz="0" w:space="0" w:color="auto"/>
        <w:right w:val="none" w:sz="0" w:space="0" w:color="auto"/>
      </w:divBdr>
    </w:div>
    <w:div w:id="245187855">
      <w:bodyDiv w:val="1"/>
      <w:marLeft w:val="0"/>
      <w:marRight w:val="0"/>
      <w:marTop w:val="0"/>
      <w:marBottom w:val="0"/>
      <w:divBdr>
        <w:top w:val="none" w:sz="0" w:space="0" w:color="auto"/>
        <w:left w:val="none" w:sz="0" w:space="0" w:color="auto"/>
        <w:bottom w:val="none" w:sz="0" w:space="0" w:color="auto"/>
        <w:right w:val="none" w:sz="0" w:space="0" w:color="auto"/>
      </w:divBdr>
    </w:div>
    <w:div w:id="247227538">
      <w:bodyDiv w:val="1"/>
      <w:marLeft w:val="0"/>
      <w:marRight w:val="0"/>
      <w:marTop w:val="0"/>
      <w:marBottom w:val="0"/>
      <w:divBdr>
        <w:top w:val="none" w:sz="0" w:space="0" w:color="auto"/>
        <w:left w:val="none" w:sz="0" w:space="0" w:color="auto"/>
        <w:bottom w:val="none" w:sz="0" w:space="0" w:color="auto"/>
        <w:right w:val="none" w:sz="0" w:space="0" w:color="auto"/>
      </w:divBdr>
    </w:div>
    <w:div w:id="249773926">
      <w:bodyDiv w:val="1"/>
      <w:marLeft w:val="0"/>
      <w:marRight w:val="0"/>
      <w:marTop w:val="0"/>
      <w:marBottom w:val="0"/>
      <w:divBdr>
        <w:top w:val="none" w:sz="0" w:space="0" w:color="auto"/>
        <w:left w:val="none" w:sz="0" w:space="0" w:color="auto"/>
        <w:bottom w:val="none" w:sz="0" w:space="0" w:color="auto"/>
        <w:right w:val="none" w:sz="0" w:space="0" w:color="auto"/>
      </w:divBdr>
    </w:div>
    <w:div w:id="255796822">
      <w:bodyDiv w:val="1"/>
      <w:marLeft w:val="0"/>
      <w:marRight w:val="0"/>
      <w:marTop w:val="0"/>
      <w:marBottom w:val="0"/>
      <w:divBdr>
        <w:top w:val="none" w:sz="0" w:space="0" w:color="auto"/>
        <w:left w:val="none" w:sz="0" w:space="0" w:color="auto"/>
        <w:bottom w:val="none" w:sz="0" w:space="0" w:color="auto"/>
        <w:right w:val="none" w:sz="0" w:space="0" w:color="auto"/>
      </w:divBdr>
    </w:div>
    <w:div w:id="257176884">
      <w:bodyDiv w:val="1"/>
      <w:marLeft w:val="0"/>
      <w:marRight w:val="0"/>
      <w:marTop w:val="0"/>
      <w:marBottom w:val="0"/>
      <w:divBdr>
        <w:top w:val="none" w:sz="0" w:space="0" w:color="auto"/>
        <w:left w:val="none" w:sz="0" w:space="0" w:color="auto"/>
        <w:bottom w:val="none" w:sz="0" w:space="0" w:color="auto"/>
        <w:right w:val="none" w:sz="0" w:space="0" w:color="auto"/>
      </w:divBdr>
    </w:div>
    <w:div w:id="258023038">
      <w:bodyDiv w:val="1"/>
      <w:marLeft w:val="0"/>
      <w:marRight w:val="0"/>
      <w:marTop w:val="0"/>
      <w:marBottom w:val="0"/>
      <w:divBdr>
        <w:top w:val="none" w:sz="0" w:space="0" w:color="auto"/>
        <w:left w:val="none" w:sz="0" w:space="0" w:color="auto"/>
        <w:bottom w:val="none" w:sz="0" w:space="0" w:color="auto"/>
        <w:right w:val="none" w:sz="0" w:space="0" w:color="auto"/>
      </w:divBdr>
    </w:div>
    <w:div w:id="259679993">
      <w:bodyDiv w:val="1"/>
      <w:marLeft w:val="0"/>
      <w:marRight w:val="0"/>
      <w:marTop w:val="0"/>
      <w:marBottom w:val="0"/>
      <w:divBdr>
        <w:top w:val="none" w:sz="0" w:space="0" w:color="auto"/>
        <w:left w:val="none" w:sz="0" w:space="0" w:color="auto"/>
        <w:bottom w:val="none" w:sz="0" w:space="0" w:color="auto"/>
        <w:right w:val="none" w:sz="0" w:space="0" w:color="auto"/>
      </w:divBdr>
    </w:div>
    <w:div w:id="259682458">
      <w:bodyDiv w:val="1"/>
      <w:marLeft w:val="0"/>
      <w:marRight w:val="0"/>
      <w:marTop w:val="0"/>
      <w:marBottom w:val="0"/>
      <w:divBdr>
        <w:top w:val="none" w:sz="0" w:space="0" w:color="auto"/>
        <w:left w:val="none" w:sz="0" w:space="0" w:color="auto"/>
        <w:bottom w:val="none" w:sz="0" w:space="0" w:color="auto"/>
        <w:right w:val="none" w:sz="0" w:space="0" w:color="auto"/>
      </w:divBdr>
    </w:div>
    <w:div w:id="263727946">
      <w:bodyDiv w:val="1"/>
      <w:marLeft w:val="0"/>
      <w:marRight w:val="0"/>
      <w:marTop w:val="0"/>
      <w:marBottom w:val="0"/>
      <w:divBdr>
        <w:top w:val="none" w:sz="0" w:space="0" w:color="auto"/>
        <w:left w:val="none" w:sz="0" w:space="0" w:color="auto"/>
        <w:bottom w:val="none" w:sz="0" w:space="0" w:color="auto"/>
        <w:right w:val="none" w:sz="0" w:space="0" w:color="auto"/>
      </w:divBdr>
    </w:div>
    <w:div w:id="266734365">
      <w:bodyDiv w:val="1"/>
      <w:marLeft w:val="0"/>
      <w:marRight w:val="0"/>
      <w:marTop w:val="0"/>
      <w:marBottom w:val="0"/>
      <w:divBdr>
        <w:top w:val="none" w:sz="0" w:space="0" w:color="auto"/>
        <w:left w:val="none" w:sz="0" w:space="0" w:color="auto"/>
        <w:bottom w:val="none" w:sz="0" w:space="0" w:color="auto"/>
        <w:right w:val="none" w:sz="0" w:space="0" w:color="auto"/>
      </w:divBdr>
    </w:div>
    <w:div w:id="269631094">
      <w:bodyDiv w:val="1"/>
      <w:marLeft w:val="0"/>
      <w:marRight w:val="0"/>
      <w:marTop w:val="0"/>
      <w:marBottom w:val="0"/>
      <w:divBdr>
        <w:top w:val="none" w:sz="0" w:space="0" w:color="auto"/>
        <w:left w:val="none" w:sz="0" w:space="0" w:color="auto"/>
        <w:bottom w:val="none" w:sz="0" w:space="0" w:color="auto"/>
        <w:right w:val="none" w:sz="0" w:space="0" w:color="auto"/>
      </w:divBdr>
    </w:div>
    <w:div w:id="269973499">
      <w:bodyDiv w:val="1"/>
      <w:marLeft w:val="0"/>
      <w:marRight w:val="0"/>
      <w:marTop w:val="0"/>
      <w:marBottom w:val="0"/>
      <w:divBdr>
        <w:top w:val="none" w:sz="0" w:space="0" w:color="auto"/>
        <w:left w:val="none" w:sz="0" w:space="0" w:color="auto"/>
        <w:bottom w:val="none" w:sz="0" w:space="0" w:color="auto"/>
        <w:right w:val="none" w:sz="0" w:space="0" w:color="auto"/>
      </w:divBdr>
    </w:div>
    <w:div w:id="270014570">
      <w:bodyDiv w:val="1"/>
      <w:marLeft w:val="0"/>
      <w:marRight w:val="0"/>
      <w:marTop w:val="0"/>
      <w:marBottom w:val="0"/>
      <w:divBdr>
        <w:top w:val="none" w:sz="0" w:space="0" w:color="auto"/>
        <w:left w:val="none" w:sz="0" w:space="0" w:color="auto"/>
        <w:bottom w:val="none" w:sz="0" w:space="0" w:color="auto"/>
        <w:right w:val="none" w:sz="0" w:space="0" w:color="auto"/>
      </w:divBdr>
    </w:div>
    <w:div w:id="276643541">
      <w:bodyDiv w:val="1"/>
      <w:marLeft w:val="0"/>
      <w:marRight w:val="0"/>
      <w:marTop w:val="0"/>
      <w:marBottom w:val="0"/>
      <w:divBdr>
        <w:top w:val="none" w:sz="0" w:space="0" w:color="auto"/>
        <w:left w:val="none" w:sz="0" w:space="0" w:color="auto"/>
        <w:bottom w:val="none" w:sz="0" w:space="0" w:color="auto"/>
        <w:right w:val="none" w:sz="0" w:space="0" w:color="auto"/>
      </w:divBdr>
    </w:div>
    <w:div w:id="276908240">
      <w:bodyDiv w:val="1"/>
      <w:marLeft w:val="0"/>
      <w:marRight w:val="0"/>
      <w:marTop w:val="0"/>
      <w:marBottom w:val="0"/>
      <w:divBdr>
        <w:top w:val="none" w:sz="0" w:space="0" w:color="auto"/>
        <w:left w:val="none" w:sz="0" w:space="0" w:color="auto"/>
        <w:bottom w:val="none" w:sz="0" w:space="0" w:color="auto"/>
        <w:right w:val="none" w:sz="0" w:space="0" w:color="auto"/>
      </w:divBdr>
    </w:div>
    <w:div w:id="280960666">
      <w:bodyDiv w:val="1"/>
      <w:marLeft w:val="0"/>
      <w:marRight w:val="0"/>
      <w:marTop w:val="0"/>
      <w:marBottom w:val="0"/>
      <w:divBdr>
        <w:top w:val="none" w:sz="0" w:space="0" w:color="auto"/>
        <w:left w:val="none" w:sz="0" w:space="0" w:color="auto"/>
        <w:bottom w:val="none" w:sz="0" w:space="0" w:color="auto"/>
        <w:right w:val="none" w:sz="0" w:space="0" w:color="auto"/>
      </w:divBdr>
    </w:div>
    <w:div w:id="281227913">
      <w:bodyDiv w:val="1"/>
      <w:marLeft w:val="0"/>
      <w:marRight w:val="0"/>
      <w:marTop w:val="0"/>
      <w:marBottom w:val="0"/>
      <w:divBdr>
        <w:top w:val="none" w:sz="0" w:space="0" w:color="auto"/>
        <w:left w:val="none" w:sz="0" w:space="0" w:color="auto"/>
        <w:bottom w:val="none" w:sz="0" w:space="0" w:color="auto"/>
        <w:right w:val="none" w:sz="0" w:space="0" w:color="auto"/>
      </w:divBdr>
    </w:div>
    <w:div w:id="281887779">
      <w:bodyDiv w:val="1"/>
      <w:marLeft w:val="0"/>
      <w:marRight w:val="0"/>
      <w:marTop w:val="0"/>
      <w:marBottom w:val="0"/>
      <w:divBdr>
        <w:top w:val="none" w:sz="0" w:space="0" w:color="auto"/>
        <w:left w:val="none" w:sz="0" w:space="0" w:color="auto"/>
        <w:bottom w:val="none" w:sz="0" w:space="0" w:color="auto"/>
        <w:right w:val="none" w:sz="0" w:space="0" w:color="auto"/>
      </w:divBdr>
    </w:div>
    <w:div w:id="282080869">
      <w:bodyDiv w:val="1"/>
      <w:marLeft w:val="0"/>
      <w:marRight w:val="0"/>
      <w:marTop w:val="0"/>
      <w:marBottom w:val="0"/>
      <w:divBdr>
        <w:top w:val="none" w:sz="0" w:space="0" w:color="auto"/>
        <w:left w:val="none" w:sz="0" w:space="0" w:color="auto"/>
        <w:bottom w:val="none" w:sz="0" w:space="0" w:color="auto"/>
        <w:right w:val="none" w:sz="0" w:space="0" w:color="auto"/>
      </w:divBdr>
    </w:div>
    <w:div w:id="283082209">
      <w:bodyDiv w:val="1"/>
      <w:marLeft w:val="0"/>
      <w:marRight w:val="0"/>
      <w:marTop w:val="0"/>
      <w:marBottom w:val="0"/>
      <w:divBdr>
        <w:top w:val="none" w:sz="0" w:space="0" w:color="auto"/>
        <w:left w:val="none" w:sz="0" w:space="0" w:color="auto"/>
        <w:bottom w:val="none" w:sz="0" w:space="0" w:color="auto"/>
        <w:right w:val="none" w:sz="0" w:space="0" w:color="auto"/>
      </w:divBdr>
    </w:div>
    <w:div w:id="286859632">
      <w:bodyDiv w:val="1"/>
      <w:marLeft w:val="0"/>
      <w:marRight w:val="0"/>
      <w:marTop w:val="0"/>
      <w:marBottom w:val="0"/>
      <w:divBdr>
        <w:top w:val="none" w:sz="0" w:space="0" w:color="auto"/>
        <w:left w:val="none" w:sz="0" w:space="0" w:color="auto"/>
        <w:bottom w:val="none" w:sz="0" w:space="0" w:color="auto"/>
        <w:right w:val="none" w:sz="0" w:space="0" w:color="auto"/>
      </w:divBdr>
    </w:div>
    <w:div w:id="290208444">
      <w:bodyDiv w:val="1"/>
      <w:marLeft w:val="0"/>
      <w:marRight w:val="0"/>
      <w:marTop w:val="0"/>
      <w:marBottom w:val="0"/>
      <w:divBdr>
        <w:top w:val="none" w:sz="0" w:space="0" w:color="auto"/>
        <w:left w:val="none" w:sz="0" w:space="0" w:color="auto"/>
        <w:bottom w:val="none" w:sz="0" w:space="0" w:color="auto"/>
        <w:right w:val="none" w:sz="0" w:space="0" w:color="auto"/>
      </w:divBdr>
    </w:div>
    <w:div w:id="294877715">
      <w:bodyDiv w:val="1"/>
      <w:marLeft w:val="0"/>
      <w:marRight w:val="0"/>
      <w:marTop w:val="0"/>
      <w:marBottom w:val="0"/>
      <w:divBdr>
        <w:top w:val="none" w:sz="0" w:space="0" w:color="auto"/>
        <w:left w:val="none" w:sz="0" w:space="0" w:color="auto"/>
        <w:bottom w:val="none" w:sz="0" w:space="0" w:color="auto"/>
        <w:right w:val="none" w:sz="0" w:space="0" w:color="auto"/>
      </w:divBdr>
    </w:div>
    <w:div w:id="297229846">
      <w:bodyDiv w:val="1"/>
      <w:marLeft w:val="0"/>
      <w:marRight w:val="0"/>
      <w:marTop w:val="0"/>
      <w:marBottom w:val="0"/>
      <w:divBdr>
        <w:top w:val="none" w:sz="0" w:space="0" w:color="auto"/>
        <w:left w:val="none" w:sz="0" w:space="0" w:color="auto"/>
        <w:bottom w:val="none" w:sz="0" w:space="0" w:color="auto"/>
        <w:right w:val="none" w:sz="0" w:space="0" w:color="auto"/>
      </w:divBdr>
    </w:div>
    <w:div w:id="302080095">
      <w:bodyDiv w:val="1"/>
      <w:marLeft w:val="0"/>
      <w:marRight w:val="0"/>
      <w:marTop w:val="0"/>
      <w:marBottom w:val="0"/>
      <w:divBdr>
        <w:top w:val="none" w:sz="0" w:space="0" w:color="auto"/>
        <w:left w:val="none" w:sz="0" w:space="0" w:color="auto"/>
        <w:bottom w:val="none" w:sz="0" w:space="0" w:color="auto"/>
        <w:right w:val="none" w:sz="0" w:space="0" w:color="auto"/>
      </w:divBdr>
    </w:div>
    <w:div w:id="303000440">
      <w:bodyDiv w:val="1"/>
      <w:marLeft w:val="0"/>
      <w:marRight w:val="0"/>
      <w:marTop w:val="0"/>
      <w:marBottom w:val="0"/>
      <w:divBdr>
        <w:top w:val="none" w:sz="0" w:space="0" w:color="auto"/>
        <w:left w:val="none" w:sz="0" w:space="0" w:color="auto"/>
        <w:bottom w:val="none" w:sz="0" w:space="0" w:color="auto"/>
        <w:right w:val="none" w:sz="0" w:space="0" w:color="auto"/>
      </w:divBdr>
    </w:div>
    <w:div w:id="305823285">
      <w:bodyDiv w:val="1"/>
      <w:marLeft w:val="0"/>
      <w:marRight w:val="0"/>
      <w:marTop w:val="0"/>
      <w:marBottom w:val="0"/>
      <w:divBdr>
        <w:top w:val="none" w:sz="0" w:space="0" w:color="auto"/>
        <w:left w:val="none" w:sz="0" w:space="0" w:color="auto"/>
        <w:bottom w:val="none" w:sz="0" w:space="0" w:color="auto"/>
        <w:right w:val="none" w:sz="0" w:space="0" w:color="auto"/>
      </w:divBdr>
    </w:div>
    <w:div w:id="308217518">
      <w:bodyDiv w:val="1"/>
      <w:marLeft w:val="0"/>
      <w:marRight w:val="0"/>
      <w:marTop w:val="0"/>
      <w:marBottom w:val="0"/>
      <w:divBdr>
        <w:top w:val="none" w:sz="0" w:space="0" w:color="auto"/>
        <w:left w:val="none" w:sz="0" w:space="0" w:color="auto"/>
        <w:bottom w:val="none" w:sz="0" w:space="0" w:color="auto"/>
        <w:right w:val="none" w:sz="0" w:space="0" w:color="auto"/>
      </w:divBdr>
    </w:div>
    <w:div w:id="310602464">
      <w:bodyDiv w:val="1"/>
      <w:marLeft w:val="0"/>
      <w:marRight w:val="0"/>
      <w:marTop w:val="0"/>
      <w:marBottom w:val="0"/>
      <w:divBdr>
        <w:top w:val="none" w:sz="0" w:space="0" w:color="auto"/>
        <w:left w:val="none" w:sz="0" w:space="0" w:color="auto"/>
        <w:bottom w:val="none" w:sz="0" w:space="0" w:color="auto"/>
        <w:right w:val="none" w:sz="0" w:space="0" w:color="auto"/>
      </w:divBdr>
    </w:div>
    <w:div w:id="314800133">
      <w:bodyDiv w:val="1"/>
      <w:marLeft w:val="0"/>
      <w:marRight w:val="0"/>
      <w:marTop w:val="0"/>
      <w:marBottom w:val="0"/>
      <w:divBdr>
        <w:top w:val="none" w:sz="0" w:space="0" w:color="auto"/>
        <w:left w:val="none" w:sz="0" w:space="0" w:color="auto"/>
        <w:bottom w:val="none" w:sz="0" w:space="0" w:color="auto"/>
        <w:right w:val="none" w:sz="0" w:space="0" w:color="auto"/>
      </w:divBdr>
    </w:div>
    <w:div w:id="314840435">
      <w:bodyDiv w:val="1"/>
      <w:marLeft w:val="0"/>
      <w:marRight w:val="0"/>
      <w:marTop w:val="0"/>
      <w:marBottom w:val="0"/>
      <w:divBdr>
        <w:top w:val="none" w:sz="0" w:space="0" w:color="auto"/>
        <w:left w:val="none" w:sz="0" w:space="0" w:color="auto"/>
        <w:bottom w:val="none" w:sz="0" w:space="0" w:color="auto"/>
        <w:right w:val="none" w:sz="0" w:space="0" w:color="auto"/>
      </w:divBdr>
    </w:div>
    <w:div w:id="315188471">
      <w:bodyDiv w:val="1"/>
      <w:marLeft w:val="0"/>
      <w:marRight w:val="0"/>
      <w:marTop w:val="0"/>
      <w:marBottom w:val="0"/>
      <w:divBdr>
        <w:top w:val="none" w:sz="0" w:space="0" w:color="auto"/>
        <w:left w:val="none" w:sz="0" w:space="0" w:color="auto"/>
        <w:bottom w:val="none" w:sz="0" w:space="0" w:color="auto"/>
        <w:right w:val="none" w:sz="0" w:space="0" w:color="auto"/>
      </w:divBdr>
    </w:div>
    <w:div w:id="318387896">
      <w:bodyDiv w:val="1"/>
      <w:marLeft w:val="0"/>
      <w:marRight w:val="0"/>
      <w:marTop w:val="0"/>
      <w:marBottom w:val="0"/>
      <w:divBdr>
        <w:top w:val="none" w:sz="0" w:space="0" w:color="auto"/>
        <w:left w:val="none" w:sz="0" w:space="0" w:color="auto"/>
        <w:bottom w:val="none" w:sz="0" w:space="0" w:color="auto"/>
        <w:right w:val="none" w:sz="0" w:space="0" w:color="auto"/>
      </w:divBdr>
    </w:div>
    <w:div w:id="324629223">
      <w:bodyDiv w:val="1"/>
      <w:marLeft w:val="0"/>
      <w:marRight w:val="0"/>
      <w:marTop w:val="0"/>
      <w:marBottom w:val="0"/>
      <w:divBdr>
        <w:top w:val="none" w:sz="0" w:space="0" w:color="auto"/>
        <w:left w:val="none" w:sz="0" w:space="0" w:color="auto"/>
        <w:bottom w:val="none" w:sz="0" w:space="0" w:color="auto"/>
        <w:right w:val="none" w:sz="0" w:space="0" w:color="auto"/>
      </w:divBdr>
    </w:div>
    <w:div w:id="325980948">
      <w:bodyDiv w:val="1"/>
      <w:marLeft w:val="0"/>
      <w:marRight w:val="0"/>
      <w:marTop w:val="0"/>
      <w:marBottom w:val="0"/>
      <w:divBdr>
        <w:top w:val="none" w:sz="0" w:space="0" w:color="auto"/>
        <w:left w:val="none" w:sz="0" w:space="0" w:color="auto"/>
        <w:bottom w:val="none" w:sz="0" w:space="0" w:color="auto"/>
        <w:right w:val="none" w:sz="0" w:space="0" w:color="auto"/>
      </w:divBdr>
    </w:div>
    <w:div w:id="333149437">
      <w:bodyDiv w:val="1"/>
      <w:marLeft w:val="0"/>
      <w:marRight w:val="0"/>
      <w:marTop w:val="0"/>
      <w:marBottom w:val="0"/>
      <w:divBdr>
        <w:top w:val="none" w:sz="0" w:space="0" w:color="auto"/>
        <w:left w:val="none" w:sz="0" w:space="0" w:color="auto"/>
        <w:bottom w:val="none" w:sz="0" w:space="0" w:color="auto"/>
        <w:right w:val="none" w:sz="0" w:space="0" w:color="auto"/>
      </w:divBdr>
    </w:div>
    <w:div w:id="339627619">
      <w:bodyDiv w:val="1"/>
      <w:marLeft w:val="0"/>
      <w:marRight w:val="0"/>
      <w:marTop w:val="0"/>
      <w:marBottom w:val="0"/>
      <w:divBdr>
        <w:top w:val="none" w:sz="0" w:space="0" w:color="auto"/>
        <w:left w:val="none" w:sz="0" w:space="0" w:color="auto"/>
        <w:bottom w:val="none" w:sz="0" w:space="0" w:color="auto"/>
        <w:right w:val="none" w:sz="0" w:space="0" w:color="auto"/>
      </w:divBdr>
    </w:div>
    <w:div w:id="340088112">
      <w:bodyDiv w:val="1"/>
      <w:marLeft w:val="0"/>
      <w:marRight w:val="0"/>
      <w:marTop w:val="0"/>
      <w:marBottom w:val="0"/>
      <w:divBdr>
        <w:top w:val="none" w:sz="0" w:space="0" w:color="auto"/>
        <w:left w:val="none" w:sz="0" w:space="0" w:color="auto"/>
        <w:bottom w:val="none" w:sz="0" w:space="0" w:color="auto"/>
        <w:right w:val="none" w:sz="0" w:space="0" w:color="auto"/>
      </w:divBdr>
    </w:div>
    <w:div w:id="343945318">
      <w:bodyDiv w:val="1"/>
      <w:marLeft w:val="0"/>
      <w:marRight w:val="0"/>
      <w:marTop w:val="0"/>
      <w:marBottom w:val="0"/>
      <w:divBdr>
        <w:top w:val="none" w:sz="0" w:space="0" w:color="auto"/>
        <w:left w:val="none" w:sz="0" w:space="0" w:color="auto"/>
        <w:bottom w:val="none" w:sz="0" w:space="0" w:color="auto"/>
        <w:right w:val="none" w:sz="0" w:space="0" w:color="auto"/>
      </w:divBdr>
    </w:div>
    <w:div w:id="344600828">
      <w:bodyDiv w:val="1"/>
      <w:marLeft w:val="0"/>
      <w:marRight w:val="0"/>
      <w:marTop w:val="0"/>
      <w:marBottom w:val="0"/>
      <w:divBdr>
        <w:top w:val="none" w:sz="0" w:space="0" w:color="auto"/>
        <w:left w:val="none" w:sz="0" w:space="0" w:color="auto"/>
        <w:bottom w:val="none" w:sz="0" w:space="0" w:color="auto"/>
        <w:right w:val="none" w:sz="0" w:space="0" w:color="auto"/>
      </w:divBdr>
    </w:div>
    <w:div w:id="353924158">
      <w:bodyDiv w:val="1"/>
      <w:marLeft w:val="0"/>
      <w:marRight w:val="0"/>
      <w:marTop w:val="0"/>
      <w:marBottom w:val="0"/>
      <w:divBdr>
        <w:top w:val="none" w:sz="0" w:space="0" w:color="auto"/>
        <w:left w:val="none" w:sz="0" w:space="0" w:color="auto"/>
        <w:bottom w:val="none" w:sz="0" w:space="0" w:color="auto"/>
        <w:right w:val="none" w:sz="0" w:space="0" w:color="auto"/>
      </w:divBdr>
    </w:div>
    <w:div w:id="354889012">
      <w:bodyDiv w:val="1"/>
      <w:marLeft w:val="0"/>
      <w:marRight w:val="0"/>
      <w:marTop w:val="0"/>
      <w:marBottom w:val="0"/>
      <w:divBdr>
        <w:top w:val="none" w:sz="0" w:space="0" w:color="auto"/>
        <w:left w:val="none" w:sz="0" w:space="0" w:color="auto"/>
        <w:bottom w:val="none" w:sz="0" w:space="0" w:color="auto"/>
        <w:right w:val="none" w:sz="0" w:space="0" w:color="auto"/>
      </w:divBdr>
    </w:div>
    <w:div w:id="357857107">
      <w:bodyDiv w:val="1"/>
      <w:marLeft w:val="0"/>
      <w:marRight w:val="0"/>
      <w:marTop w:val="0"/>
      <w:marBottom w:val="0"/>
      <w:divBdr>
        <w:top w:val="none" w:sz="0" w:space="0" w:color="auto"/>
        <w:left w:val="none" w:sz="0" w:space="0" w:color="auto"/>
        <w:bottom w:val="none" w:sz="0" w:space="0" w:color="auto"/>
        <w:right w:val="none" w:sz="0" w:space="0" w:color="auto"/>
      </w:divBdr>
    </w:div>
    <w:div w:id="358361221">
      <w:bodyDiv w:val="1"/>
      <w:marLeft w:val="0"/>
      <w:marRight w:val="0"/>
      <w:marTop w:val="0"/>
      <w:marBottom w:val="0"/>
      <w:divBdr>
        <w:top w:val="none" w:sz="0" w:space="0" w:color="auto"/>
        <w:left w:val="none" w:sz="0" w:space="0" w:color="auto"/>
        <w:bottom w:val="none" w:sz="0" w:space="0" w:color="auto"/>
        <w:right w:val="none" w:sz="0" w:space="0" w:color="auto"/>
      </w:divBdr>
    </w:div>
    <w:div w:id="359623609">
      <w:bodyDiv w:val="1"/>
      <w:marLeft w:val="0"/>
      <w:marRight w:val="0"/>
      <w:marTop w:val="0"/>
      <w:marBottom w:val="0"/>
      <w:divBdr>
        <w:top w:val="none" w:sz="0" w:space="0" w:color="auto"/>
        <w:left w:val="none" w:sz="0" w:space="0" w:color="auto"/>
        <w:bottom w:val="none" w:sz="0" w:space="0" w:color="auto"/>
        <w:right w:val="none" w:sz="0" w:space="0" w:color="auto"/>
      </w:divBdr>
      <w:divsChild>
        <w:div w:id="1996716761">
          <w:marLeft w:val="0"/>
          <w:marRight w:val="0"/>
          <w:marTop w:val="0"/>
          <w:marBottom w:val="300"/>
          <w:divBdr>
            <w:top w:val="none" w:sz="0" w:space="0" w:color="auto"/>
            <w:left w:val="none" w:sz="0" w:space="0" w:color="auto"/>
            <w:bottom w:val="none" w:sz="0" w:space="0" w:color="auto"/>
            <w:right w:val="none" w:sz="0" w:space="0" w:color="auto"/>
          </w:divBdr>
          <w:divsChild>
            <w:div w:id="503010326">
              <w:marLeft w:val="0"/>
              <w:marRight w:val="0"/>
              <w:marTop w:val="0"/>
              <w:marBottom w:val="0"/>
              <w:divBdr>
                <w:top w:val="none" w:sz="0" w:space="0" w:color="auto"/>
                <w:left w:val="none" w:sz="0" w:space="0" w:color="auto"/>
                <w:bottom w:val="none" w:sz="0" w:space="0" w:color="auto"/>
                <w:right w:val="none" w:sz="0" w:space="0" w:color="auto"/>
              </w:divBdr>
              <w:divsChild>
                <w:div w:id="115686391">
                  <w:marLeft w:val="0"/>
                  <w:marRight w:val="300"/>
                  <w:marTop w:val="0"/>
                  <w:marBottom w:val="0"/>
                  <w:divBdr>
                    <w:top w:val="none" w:sz="0" w:space="0" w:color="auto"/>
                    <w:left w:val="none" w:sz="0" w:space="0" w:color="auto"/>
                    <w:bottom w:val="none" w:sz="0" w:space="0" w:color="auto"/>
                    <w:right w:val="none" w:sz="0" w:space="0" w:color="auto"/>
                  </w:divBdr>
                  <w:divsChild>
                    <w:div w:id="9741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862779">
      <w:bodyDiv w:val="1"/>
      <w:marLeft w:val="0"/>
      <w:marRight w:val="0"/>
      <w:marTop w:val="0"/>
      <w:marBottom w:val="0"/>
      <w:divBdr>
        <w:top w:val="none" w:sz="0" w:space="0" w:color="auto"/>
        <w:left w:val="none" w:sz="0" w:space="0" w:color="auto"/>
        <w:bottom w:val="none" w:sz="0" w:space="0" w:color="auto"/>
        <w:right w:val="none" w:sz="0" w:space="0" w:color="auto"/>
      </w:divBdr>
    </w:div>
    <w:div w:id="361441395">
      <w:bodyDiv w:val="1"/>
      <w:marLeft w:val="0"/>
      <w:marRight w:val="0"/>
      <w:marTop w:val="0"/>
      <w:marBottom w:val="0"/>
      <w:divBdr>
        <w:top w:val="none" w:sz="0" w:space="0" w:color="auto"/>
        <w:left w:val="none" w:sz="0" w:space="0" w:color="auto"/>
        <w:bottom w:val="none" w:sz="0" w:space="0" w:color="auto"/>
        <w:right w:val="none" w:sz="0" w:space="0" w:color="auto"/>
      </w:divBdr>
    </w:div>
    <w:div w:id="367801290">
      <w:bodyDiv w:val="1"/>
      <w:marLeft w:val="0"/>
      <w:marRight w:val="0"/>
      <w:marTop w:val="0"/>
      <w:marBottom w:val="0"/>
      <w:divBdr>
        <w:top w:val="none" w:sz="0" w:space="0" w:color="auto"/>
        <w:left w:val="none" w:sz="0" w:space="0" w:color="auto"/>
        <w:bottom w:val="none" w:sz="0" w:space="0" w:color="auto"/>
        <w:right w:val="none" w:sz="0" w:space="0" w:color="auto"/>
      </w:divBdr>
    </w:div>
    <w:div w:id="370888714">
      <w:bodyDiv w:val="1"/>
      <w:marLeft w:val="0"/>
      <w:marRight w:val="0"/>
      <w:marTop w:val="0"/>
      <w:marBottom w:val="0"/>
      <w:divBdr>
        <w:top w:val="none" w:sz="0" w:space="0" w:color="auto"/>
        <w:left w:val="none" w:sz="0" w:space="0" w:color="auto"/>
        <w:bottom w:val="none" w:sz="0" w:space="0" w:color="auto"/>
        <w:right w:val="none" w:sz="0" w:space="0" w:color="auto"/>
      </w:divBdr>
    </w:div>
    <w:div w:id="377554503">
      <w:bodyDiv w:val="1"/>
      <w:marLeft w:val="0"/>
      <w:marRight w:val="0"/>
      <w:marTop w:val="0"/>
      <w:marBottom w:val="0"/>
      <w:divBdr>
        <w:top w:val="none" w:sz="0" w:space="0" w:color="auto"/>
        <w:left w:val="none" w:sz="0" w:space="0" w:color="auto"/>
        <w:bottom w:val="none" w:sz="0" w:space="0" w:color="auto"/>
        <w:right w:val="none" w:sz="0" w:space="0" w:color="auto"/>
      </w:divBdr>
    </w:div>
    <w:div w:id="381370381">
      <w:bodyDiv w:val="1"/>
      <w:marLeft w:val="0"/>
      <w:marRight w:val="0"/>
      <w:marTop w:val="0"/>
      <w:marBottom w:val="0"/>
      <w:divBdr>
        <w:top w:val="none" w:sz="0" w:space="0" w:color="auto"/>
        <w:left w:val="none" w:sz="0" w:space="0" w:color="auto"/>
        <w:bottom w:val="none" w:sz="0" w:space="0" w:color="auto"/>
        <w:right w:val="none" w:sz="0" w:space="0" w:color="auto"/>
      </w:divBdr>
    </w:div>
    <w:div w:id="387731406">
      <w:bodyDiv w:val="1"/>
      <w:marLeft w:val="0"/>
      <w:marRight w:val="0"/>
      <w:marTop w:val="0"/>
      <w:marBottom w:val="0"/>
      <w:divBdr>
        <w:top w:val="none" w:sz="0" w:space="0" w:color="auto"/>
        <w:left w:val="none" w:sz="0" w:space="0" w:color="auto"/>
        <w:bottom w:val="none" w:sz="0" w:space="0" w:color="auto"/>
        <w:right w:val="none" w:sz="0" w:space="0" w:color="auto"/>
      </w:divBdr>
    </w:div>
    <w:div w:id="390035885">
      <w:bodyDiv w:val="1"/>
      <w:marLeft w:val="0"/>
      <w:marRight w:val="0"/>
      <w:marTop w:val="0"/>
      <w:marBottom w:val="0"/>
      <w:divBdr>
        <w:top w:val="none" w:sz="0" w:space="0" w:color="auto"/>
        <w:left w:val="none" w:sz="0" w:space="0" w:color="auto"/>
        <w:bottom w:val="none" w:sz="0" w:space="0" w:color="auto"/>
        <w:right w:val="none" w:sz="0" w:space="0" w:color="auto"/>
      </w:divBdr>
    </w:div>
    <w:div w:id="391277665">
      <w:bodyDiv w:val="1"/>
      <w:marLeft w:val="0"/>
      <w:marRight w:val="0"/>
      <w:marTop w:val="0"/>
      <w:marBottom w:val="0"/>
      <w:divBdr>
        <w:top w:val="none" w:sz="0" w:space="0" w:color="auto"/>
        <w:left w:val="none" w:sz="0" w:space="0" w:color="auto"/>
        <w:bottom w:val="none" w:sz="0" w:space="0" w:color="auto"/>
        <w:right w:val="none" w:sz="0" w:space="0" w:color="auto"/>
      </w:divBdr>
    </w:div>
    <w:div w:id="393090230">
      <w:bodyDiv w:val="1"/>
      <w:marLeft w:val="0"/>
      <w:marRight w:val="0"/>
      <w:marTop w:val="0"/>
      <w:marBottom w:val="0"/>
      <w:divBdr>
        <w:top w:val="none" w:sz="0" w:space="0" w:color="auto"/>
        <w:left w:val="none" w:sz="0" w:space="0" w:color="auto"/>
        <w:bottom w:val="none" w:sz="0" w:space="0" w:color="auto"/>
        <w:right w:val="none" w:sz="0" w:space="0" w:color="auto"/>
      </w:divBdr>
    </w:div>
    <w:div w:id="394397226">
      <w:bodyDiv w:val="1"/>
      <w:marLeft w:val="0"/>
      <w:marRight w:val="0"/>
      <w:marTop w:val="0"/>
      <w:marBottom w:val="0"/>
      <w:divBdr>
        <w:top w:val="none" w:sz="0" w:space="0" w:color="auto"/>
        <w:left w:val="none" w:sz="0" w:space="0" w:color="auto"/>
        <w:bottom w:val="none" w:sz="0" w:space="0" w:color="auto"/>
        <w:right w:val="none" w:sz="0" w:space="0" w:color="auto"/>
      </w:divBdr>
    </w:div>
    <w:div w:id="399526007">
      <w:bodyDiv w:val="1"/>
      <w:marLeft w:val="0"/>
      <w:marRight w:val="0"/>
      <w:marTop w:val="0"/>
      <w:marBottom w:val="0"/>
      <w:divBdr>
        <w:top w:val="none" w:sz="0" w:space="0" w:color="auto"/>
        <w:left w:val="none" w:sz="0" w:space="0" w:color="auto"/>
        <w:bottom w:val="none" w:sz="0" w:space="0" w:color="auto"/>
        <w:right w:val="none" w:sz="0" w:space="0" w:color="auto"/>
      </w:divBdr>
    </w:div>
    <w:div w:id="410736753">
      <w:bodyDiv w:val="1"/>
      <w:marLeft w:val="0"/>
      <w:marRight w:val="0"/>
      <w:marTop w:val="0"/>
      <w:marBottom w:val="0"/>
      <w:divBdr>
        <w:top w:val="none" w:sz="0" w:space="0" w:color="auto"/>
        <w:left w:val="none" w:sz="0" w:space="0" w:color="auto"/>
        <w:bottom w:val="none" w:sz="0" w:space="0" w:color="auto"/>
        <w:right w:val="none" w:sz="0" w:space="0" w:color="auto"/>
      </w:divBdr>
    </w:div>
    <w:div w:id="412624646">
      <w:bodyDiv w:val="1"/>
      <w:marLeft w:val="0"/>
      <w:marRight w:val="0"/>
      <w:marTop w:val="0"/>
      <w:marBottom w:val="0"/>
      <w:divBdr>
        <w:top w:val="none" w:sz="0" w:space="0" w:color="auto"/>
        <w:left w:val="none" w:sz="0" w:space="0" w:color="auto"/>
        <w:bottom w:val="none" w:sz="0" w:space="0" w:color="auto"/>
        <w:right w:val="none" w:sz="0" w:space="0" w:color="auto"/>
      </w:divBdr>
    </w:div>
    <w:div w:id="418016316">
      <w:bodyDiv w:val="1"/>
      <w:marLeft w:val="0"/>
      <w:marRight w:val="0"/>
      <w:marTop w:val="0"/>
      <w:marBottom w:val="0"/>
      <w:divBdr>
        <w:top w:val="none" w:sz="0" w:space="0" w:color="auto"/>
        <w:left w:val="none" w:sz="0" w:space="0" w:color="auto"/>
        <w:bottom w:val="none" w:sz="0" w:space="0" w:color="auto"/>
        <w:right w:val="none" w:sz="0" w:space="0" w:color="auto"/>
      </w:divBdr>
    </w:div>
    <w:div w:id="425155651">
      <w:bodyDiv w:val="1"/>
      <w:marLeft w:val="0"/>
      <w:marRight w:val="0"/>
      <w:marTop w:val="0"/>
      <w:marBottom w:val="0"/>
      <w:divBdr>
        <w:top w:val="none" w:sz="0" w:space="0" w:color="auto"/>
        <w:left w:val="none" w:sz="0" w:space="0" w:color="auto"/>
        <w:bottom w:val="none" w:sz="0" w:space="0" w:color="auto"/>
        <w:right w:val="none" w:sz="0" w:space="0" w:color="auto"/>
      </w:divBdr>
    </w:div>
    <w:div w:id="427625311">
      <w:bodyDiv w:val="1"/>
      <w:marLeft w:val="0"/>
      <w:marRight w:val="0"/>
      <w:marTop w:val="0"/>
      <w:marBottom w:val="0"/>
      <w:divBdr>
        <w:top w:val="none" w:sz="0" w:space="0" w:color="auto"/>
        <w:left w:val="none" w:sz="0" w:space="0" w:color="auto"/>
        <w:bottom w:val="none" w:sz="0" w:space="0" w:color="auto"/>
        <w:right w:val="none" w:sz="0" w:space="0" w:color="auto"/>
      </w:divBdr>
    </w:div>
    <w:div w:id="434711540">
      <w:bodyDiv w:val="1"/>
      <w:marLeft w:val="0"/>
      <w:marRight w:val="0"/>
      <w:marTop w:val="0"/>
      <w:marBottom w:val="0"/>
      <w:divBdr>
        <w:top w:val="none" w:sz="0" w:space="0" w:color="auto"/>
        <w:left w:val="none" w:sz="0" w:space="0" w:color="auto"/>
        <w:bottom w:val="none" w:sz="0" w:space="0" w:color="auto"/>
        <w:right w:val="none" w:sz="0" w:space="0" w:color="auto"/>
      </w:divBdr>
    </w:div>
    <w:div w:id="435102185">
      <w:bodyDiv w:val="1"/>
      <w:marLeft w:val="0"/>
      <w:marRight w:val="0"/>
      <w:marTop w:val="0"/>
      <w:marBottom w:val="0"/>
      <w:divBdr>
        <w:top w:val="none" w:sz="0" w:space="0" w:color="auto"/>
        <w:left w:val="none" w:sz="0" w:space="0" w:color="auto"/>
        <w:bottom w:val="none" w:sz="0" w:space="0" w:color="auto"/>
        <w:right w:val="none" w:sz="0" w:space="0" w:color="auto"/>
      </w:divBdr>
    </w:div>
    <w:div w:id="440031856">
      <w:bodyDiv w:val="1"/>
      <w:marLeft w:val="0"/>
      <w:marRight w:val="0"/>
      <w:marTop w:val="0"/>
      <w:marBottom w:val="0"/>
      <w:divBdr>
        <w:top w:val="none" w:sz="0" w:space="0" w:color="auto"/>
        <w:left w:val="none" w:sz="0" w:space="0" w:color="auto"/>
        <w:bottom w:val="none" w:sz="0" w:space="0" w:color="auto"/>
        <w:right w:val="none" w:sz="0" w:space="0" w:color="auto"/>
      </w:divBdr>
    </w:div>
    <w:div w:id="441196131">
      <w:bodyDiv w:val="1"/>
      <w:marLeft w:val="0"/>
      <w:marRight w:val="0"/>
      <w:marTop w:val="0"/>
      <w:marBottom w:val="0"/>
      <w:divBdr>
        <w:top w:val="none" w:sz="0" w:space="0" w:color="auto"/>
        <w:left w:val="none" w:sz="0" w:space="0" w:color="auto"/>
        <w:bottom w:val="none" w:sz="0" w:space="0" w:color="auto"/>
        <w:right w:val="none" w:sz="0" w:space="0" w:color="auto"/>
      </w:divBdr>
    </w:div>
    <w:div w:id="445152565">
      <w:bodyDiv w:val="1"/>
      <w:marLeft w:val="0"/>
      <w:marRight w:val="0"/>
      <w:marTop w:val="0"/>
      <w:marBottom w:val="0"/>
      <w:divBdr>
        <w:top w:val="none" w:sz="0" w:space="0" w:color="auto"/>
        <w:left w:val="none" w:sz="0" w:space="0" w:color="auto"/>
        <w:bottom w:val="none" w:sz="0" w:space="0" w:color="auto"/>
        <w:right w:val="none" w:sz="0" w:space="0" w:color="auto"/>
      </w:divBdr>
    </w:div>
    <w:div w:id="449936965">
      <w:bodyDiv w:val="1"/>
      <w:marLeft w:val="0"/>
      <w:marRight w:val="0"/>
      <w:marTop w:val="0"/>
      <w:marBottom w:val="0"/>
      <w:divBdr>
        <w:top w:val="none" w:sz="0" w:space="0" w:color="auto"/>
        <w:left w:val="none" w:sz="0" w:space="0" w:color="auto"/>
        <w:bottom w:val="none" w:sz="0" w:space="0" w:color="auto"/>
        <w:right w:val="none" w:sz="0" w:space="0" w:color="auto"/>
      </w:divBdr>
    </w:div>
    <w:div w:id="450437808">
      <w:bodyDiv w:val="1"/>
      <w:marLeft w:val="0"/>
      <w:marRight w:val="0"/>
      <w:marTop w:val="0"/>
      <w:marBottom w:val="0"/>
      <w:divBdr>
        <w:top w:val="none" w:sz="0" w:space="0" w:color="auto"/>
        <w:left w:val="none" w:sz="0" w:space="0" w:color="auto"/>
        <w:bottom w:val="none" w:sz="0" w:space="0" w:color="auto"/>
        <w:right w:val="none" w:sz="0" w:space="0" w:color="auto"/>
      </w:divBdr>
      <w:divsChild>
        <w:div w:id="1874341061">
          <w:marLeft w:val="0"/>
          <w:marRight w:val="0"/>
          <w:marTop w:val="0"/>
          <w:marBottom w:val="300"/>
          <w:divBdr>
            <w:top w:val="none" w:sz="0" w:space="0" w:color="auto"/>
            <w:left w:val="none" w:sz="0" w:space="0" w:color="auto"/>
            <w:bottom w:val="none" w:sz="0" w:space="0" w:color="auto"/>
            <w:right w:val="none" w:sz="0" w:space="0" w:color="auto"/>
          </w:divBdr>
          <w:divsChild>
            <w:div w:id="1914004029">
              <w:marLeft w:val="0"/>
              <w:marRight w:val="0"/>
              <w:marTop w:val="0"/>
              <w:marBottom w:val="0"/>
              <w:divBdr>
                <w:top w:val="none" w:sz="0" w:space="0" w:color="auto"/>
                <w:left w:val="none" w:sz="0" w:space="0" w:color="auto"/>
                <w:bottom w:val="none" w:sz="0" w:space="0" w:color="auto"/>
                <w:right w:val="none" w:sz="0" w:space="0" w:color="auto"/>
              </w:divBdr>
              <w:divsChild>
                <w:div w:id="704794712">
                  <w:marLeft w:val="0"/>
                  <w:marRight w:val="300"/>
                  <w:marTop w:val="0"/>
                  <w:marBottom w:val="0"/>
                  <w:divBdr>
                    <w:top w:val="none" w:sz="0" w:space="0" w:color="auto"/>
                    <w:left w:val="none" w:sz="0" w:space="0" w:color="auto"/>
                    <w:bottom w:val="none" w:sz="0" w:space="0" w:color="auto"/>
                    <w:right w:val="none" w:sz="0" w:space="0" w:color="auto"/>
                  </w:divBdr>
                  <w:divsChild>
                    <w:div w:id="214403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492606">
      <w:bodyDiv w:val="1"/>
      <w:marLeft w:val="0"/>
      <w:marRight w:val="0"/>
      <w:marTop w:val="0"/>
      <w:marBottom w:val="0"/>
      <w:divBdr>
        <w:top w:val="none" w:sz="0" w:space="0" w:color="auto"/>
        <w:left w:val="none" w:sz="0" w:space="0" w:color="auto"/>
        <w:bottom w:val="none" w:sz="0" w:space="0" w:color="auto"/>
        <w:right w:val="none" w:sz="0" w:space="0" w:color="auto"/>
      </w:divBdr>
    </w:div>
    <w:div w:id="457144266">
      <w:bodyDiv w:val="1"/>
      <w:marLeft w:val="0"/>
      <w:marRight w:val="0"/>
      <w:marTop w:val="0"/>
      <w:marBottom w:val="0"/>
      <w:divBdr>
        <w:top w:val="none" w:sz="0" w:space="0" w:color="auto"/>
        <w:left w:val="none" w:sz="0" w:space="0" w:color="auto"/>
        <w:bottom w:val="none" w:sz="0" w:space="0" w:color="auto"/>
        <w:right w:val="none" w:sz="0" w:space="0" w:color="auto"/>
      </w:divBdr>
    </w:div>
    <w:div w:id="458455118">
      <w:bodyDiv w:val="1"/>
      <w:marLeft w:val="0"/>
      <w:marRight w:val="0"/>
      <w:marTop w:val="0"/>
      <w:marBottom w:val="0"/>
      <w:divBdr>
        <w:top w:val="none" w:sz="0" w:space="0" w:color="auto"/>
        <w:left w:val="none" w:sz="0" w:space="0" w:color="auto"/>
        <w:bottom w:val="none" w:sz="0" w:space="0" w:color="auto"/>
        <w:right w:val="none" w:sz="0" w:space="0" w:color="auto"/>
      </w:divBdr>
    </w:div>
    <w:div w:id="460803205">
      <w:bodyDiv w:val="1"/>
      <w:marLeft w:val="0"/>
      <w:marRight w:val="0"/>
      <w:marTop w:val="0"/>
      <w:marBottom w:val="0"/>
      <w:divBdr>
        <w:top w:val="none" w:sz="0" w:space="0" w:color="auto"/>
        <w:left w:val="none" w:sz="0" w:space="0" w:color="auto"/>
        <w:bottom w:val="none" w:sz="0" w:space="0" w:color="auto"/>
        <w:right w:val="none" w:sz="0" w:space="0" w:color="auto"/>
      </w:divBdr>
    </w:div>
    <w:div w:id="463233255">
      <w:bodyDiv w:val="1"/>
      <w:marLeft w:val="0"/>
      <w:marRight w:val="0"/>
      <w:marTop w:val="0"/>
      <w:marBottom w:val="0"/>
      <w:divBdr>
        <w:top w:val="none" w:sz="0" w:space="0" w:color="auto"/>
        <w:left w:val="none" w:sz="0" w:space="0" w:color="auto"/>
        <w:bottom w:val="none" w:sz="0" w:space="0" w:color="auto"/>
        <w:right w:val="none" w:sz="0" w:space="0" w:color="auto"/>
      </w:divBdr>
    </w:div>
    <w:div w:id="471754614">
      <w:bodyDiv w:val="1"/>
      <w:marLeft w:val="0"/>
      <w:marRight w:val="0"/>
      <w:marTop w:val="0"/>
      <w:marBottom w:val="0"/>
      <w:divBdr>
        <w:top w:val="none" w:sz="0" w:space="0" w:color="auto"/>
        <w:left w:val="none" w:sz="0" w:space="0" w:color="auto"/>
        <w:bottom w:val="none" w:sz="0" w:space="0" w:color="auto"/>
        <w:right w:val="none" w:sz="0" w:space="0" w:color="auto"/>
      </w:divBdr>
    </w:div>
    <w:div w:id="472216210">
      <w:bodyDiv w:val="1"/>
      <w:marLeft w:val="0"/>
      <w:marRight w:val="0"/>
      <w:marTop w:val="0"/>
      <w:marBottom w:val="0"/>
      <w:divBdr>
        <w:top w:val="none" w:sz="0" w:space="0" w:color="auto"/>
        <w:left w:val="none" w:sz="0" w:space="0" w:color="auto"/>
        <w:bottom w:val="none" w:sz="0" w:space="0" w:color="auto"/>
        <w:right w:val="none" w:sz="0" w:space="0" w:color="auto"/>
      </w:divBdr>
    </w:div>
    <w:div w:id="473521541">
      <w:bodyDiv w:val="1"/>
      <w:marLeft w:val="0"/>
      <w:marRight w:val="0"/>
      <w:marTop w:val="0"/>
      <w:marBottom w:val="0"/>
      <w:divBdr>
        <w:top w:val="none" w:sz="0" w:space="0" w:color="auto"/>
        <w:left w:val="none" w:sz="0" w:space="0" w:color="auto"/>
        <w:bottom w:val="none" w:sz="0" w:space="0" w:color="auto"/>
        <w:right w:val="none" w:sz="0" w:space="0" w:color="auto"/>
      </w:divBdr>
    </w:div>
    <w:div w:id="475875745">
      <w:bodyDiv w:val="1"/>
      <w:marLeft w:val="0"/>
      <w:marRight w:val="0"/>
      <w:marTop w:val="0"/>
      <w:marBottom w:val="0"/>
      <w:divBdr>
        <w:top w:val="none" w:sz="0" w:space="0" w:color="auto"/>
        <w:left w:val="none" w:sz="0" w:space="0" w:color="auto"/>
        <w:bottom w:val="none" w:sz="0" w:space="0" w:color="auto"/>
        <w:right w:val="none" w:sz="0" w:space="0" w:color="auto"/>
      </w:divBdr>
    </w:div>
    <w:div w:id="483664314">
      <w:bodyDiv w:val="1"/>
      <w:marLeft w:val="0"/>
      <w:marRight w:val="0"/>
      <w:marTop w:val="0"/>
      <w:marBottom w:val="0"/>
      <w:divBdr>
        <w:top w:val="none" w:sz="0" w:space="0" w:color="auto"/>
        <w:left w:val="none" w:sz="0" w:space="0" w:color="auto"/>
        <w:bottom w:val="none" w:sz="0" w:space="0" w:color="auto"/>
        <w:right w:val="none" w:sz="0" w:space="0" w:color="auto"/>
      </w:divBdr>
    </w:div>
    <w:div w:id="487552659">
      <w:bodyDiv w:val="1"/>
      <w:marLeft w:val="0"/>
      <w:marRight w:val="0"/>
      <w:marTop w:val="0"/>
      <w:marBottom w:val="0"/>
      <w:divBdr>
        <w:top w:val="none" w:sz="0" w:space="0" w:color="auto"/>
        <w:left w:val="none" w:sz="0" w:space="0" w:color="auto"/>
        <w:bottom w:val="none" w:sz="0" w:space="0" w:color="auto"/>
        <w:right w:val="none" w:sz="0" w:space="0" w:color="auto"/>
      </w:divBdr>
    </w:div>
    <w:div w:id="492532565">
      <w:bodyDiv w:val="1"/>
      <w:marLeft w:val="0"/>
      <w:marRight w:val="0"/>
      <w:marTop w:val="0"/>
      <w:marBottom w:val="0"/>
      <w:divBdr>
        <w:top w:val="none" w:sz="0" w:space="0" w:color="auto"/>
        <w:left w:val="none" w:sz="0" w:space="0" w:color="auto"/>
        <w:bottom w:val="none" w:sz="0" w:space="0" w:color="auto"/>
        <w:right w:val="none" w:sz="0" w:space="0" w:color="auto"/>
      </w:divBdr>
    </w:div>
    <w:div w:id="493496654">
      <w:bodyDiv w:val="1"/>
      <w:marLeft w:val="0"/>
      <w:marRight w:val="0"/>
      <w:marTop w:val="0"/>
      <w:marBottom w:val="0"/>
      <w:divBdr>
        <w:top w:val="none" w:sz="0" w:space="0" w:color="auto"/>
        <w:left w:val="none" w:sz="0" w:space="0" w:color="auto"/>
        <w:bottom w:val="none" w:sz="0" w:space="0" w:color="auto"/>
        <w:right w:val="none" w:sz="0" w:space="0" w:color="auto"/>
      </w:divBdr>
    </w:div>
    <w:div w:id="497115680">
      <w:bodyDiv w:val="1"/>
      <w:marLeft w:val="0"/>
      <w:marRight w:val="0"/>
      <w:marTop w:val="0"/>
      <w:marBottom w:val="0"/>
      <w:divBdr>
        <w:top w:val="none" w:sz="0" w:space="0" w:color="auto"/>
        <w:left w:val="none" w:sz="0" w:space="0" w:color="auto"/>
        <w:bottom w:val="none" w:sz="0" w:space="0" w:color="auto"/>
        <w:right w:val="none" w:sz="0" w:space="0" w:color="auto"/>
      </w:divBdr>
    </w:div>
    <w:div w:id="497162581">
      <w:bodyDiv w:val="1"/>
      <w:marLeft w:val="0"/>
      <w:marRight w:val="0"/>
      <w:marTop w:val="0"/>
      <w:marBottom w:val="0"/>
      <w:divBdr>
        <w:top w:val="none" w:sz="0" w:space="0" w:color="auto"/>
        <w:left w:val="none" w:sz="0" w:space="0" w:color="auto"/>
        <w:bottom w:val="none" w:sz="0" w:space="0" w:color="auto"/>
        <w:right w:val="none" w:sz="0" w:space="0" w:color="auto"/>
      </w:divBdr>
    </w:div>
    <w:div w:id="499589260">
      <w:bodyDiv w:val="1"/>
      <w:marLeft w:val="0"/>
      <w:marRight w:val="0"/>
      <w:marTop w:val="0"/>
      <w:marBottom w:val="0"/>
      <w:divBdr>
        <w:top w:val="none" w:sz="0" w:space="0" w:color="auto"/>
        <w:left w:val="none" w:sz="0" w:space="0" w:color="auto"/>
        <w:bottom w:val="none" w:sz="0" w:space="0" w:color="auto"/>
        <w:right w:val="none" w:sz="0" w:space="0" w:color="auto"/>
      </w:divBdr>
    </w:div>
    <w:div w:id="501816336">
      <w:bodyDiv w:val="1"/>
      <w:marLeft w:val="0"/>
      <w:marRight w:val="0"/>
      <w:marTop w:val="0"/>
      <w:marBottom w:val="0"/>
      <w:divBdr>
        <w:top w:val="none" w:sz="0" w:space="0" w:color="auto"/>
        <w:left w:val="none" w:sz="0" w:space="0" w:color="auto"/>
        <w:bottom w:val="none" w:sz="0" w:space="0" w:color="auto"/>
        <w:right w:val="none" w:sz="0" w:space="0" w:color="auto"/>
      </w:divBdr>
    </w:div>
    <w:div w:id="506946537">
      <w:bodyDiv w:val="1"/>
      <w:marLeft w:val="0"/>
      <w:marRight w:val="0"/>
      <w:marTop w:val="0"/>
      <w:marBottom w:val="0"/>
      <w:divBdr>
        <w:top w:val="none" w:sz="0" w:space="0" w:color="auto"/>
        <w:left w:val="none" w:sz="0" w:space="0" w:color="auto"/>
        <w:bottom w:val="none" w:sz="0" w:space="0" w:color="auto"/>
        <w:right w:val="none" w:sz="0" w:space="0" w:color="auto"/>
      </w:divBdr>
    </w:div>
    <w:div w:id="507404435">
      <w:bodyDiv w:val="1"/>
      <w:marLeft w:val="0"/>
      <w:marRight w:val="0"/>
      <w:marTop w:val="0"/>
      <w:marBottom w:val="0"/>
      <w:divBdr>
        <w:top w:val="none" w:sz="0" w:space="0" w:color="auto"/>
        <w:left w:val="none" w:sz="0" w:space="0" w:color="auto"/>
        <w:bottom w:val="none" w:sz="0" w:space="0" w:color="auto"/>
        <w:right w:val="none" w:sz="0" w:space="0" w:color="auto"/>
      </w:divBdr>
    </w:div>
    <w:div w:id="509297611">
      <w:bodyDiv w:val="1"/>
      <w:marLeft w:val="0"/>
      <w:marRight w:val="0"/>
      <w:marTop w:val="0"/>
      <w:marBottom w:val="0"/>
      <w:divBdr>
        <w:top w:val="none" w:sz="0" w:space="0" w:color="auto"/>
        <w:left w:val="none" w:sz="0" w:space="0" w:color="auto"/>
        <w:bottom w:val="none" w:sz="0" w:space="0" w:color="auto"/>
        <w:right w:val="none" w:sz="0" w:space="0" w:color="auto"/>
      </w:divBdr>
    </w:div>
    <w:div w:id="511989748">
      <w:bodyDiv w:val="1"/>
      <w:marLeft w:val="0"/>
      <w:marRight w:val="0"/>
      <w:marTop w:val="0"/>
      <w:marBottom w:val="0"/>
      <w:divBdr>
        <w:top w:val="none" w:sz="0" w:space="0" w:color="auto"/>
        <w:left w:val="none" w:sz="0" w:space="0" w:color="auto"/>
        <w:bottom w:val="none" w:sz="0" w:space="0" w:color="auto"/>
        <w:right w:val="none" w:sz="0" w:space="0" w:color="auto"/>
      </w:divBdr>
    </w:div>
    <w:div w:id="518549244">
      <w:bodyDiv w:val="1"/>
      <w:marLeft w:val="0"/>
      <w:marRight w:val="0"/>
      <w:marTop w:val="0"/>
      <w:marBottom w:val="0"/>
      <w:divBdr>
        <w:top w:val="none" w:sz="0" w:space="0" w:color="auto"/>
        <w:left w:val="none" w:sz="0" w:space="0" w:color="auto"/>
        <w:bottom w:val="none" w:sz="0" w:space="0" w:color="auto"/>
        <w:right w:val="none" w:sz="0" w:space="0" w:color="auto"/>
      </w:divBdr>
    </w:div>
    <w:div w:id="520894536">
      <w:bodyDiv w:val="1"/>
      <w:marLeft w:val="0"/>
      <w:marRight w:val="0"/>
      <w:marTop w:val="0"/>
      <w:marBottom w:val="0"/>
      <w:divBdr>
        <w:top w:val="none" w:sz="0" w:space="0" w:color="auto"/>
        <w:left w:val="none" w:sz="0" w:space="0" w:color="auto"/>
        <w:bottom w:val="none" w:sz="0" w:space="0" w:color="auto"/>
        <w:right w:val="none" w:sz="0" w:space="0" w:color="auto"/>
      </w:divBdr>
    </w:div>
    <w:div w:id="524515354">
      <w:bodyDiv w:val="1"/>
      <w:marLeft w:val="0"/>
      <w:marRight w:val="0"/>
      <w:marTop w:val="0"/>
      <w:marBottom w:val="0"/>
      <w:divBdr>
        <w:top w:val="none" w:sz="0" w:space="0" w:color="auto"/>
        <w:left w:val="none" w:sz="0" w:space="0" w:color="auto"/>
        <w:bottom w:val="none" w:sz="0" w:space="0" w:color="auto"/>
        <w:right w:val="none" w:sz="0" w:space="0" w:color="auto"/>
      </w:divBdr>
    </w:div>
    <w:div w:id="528684730">
      <w:bodyDiv w:val="1"/>
      <w:marLeft w:val="0"/>
      <w:marRight w:val="0"/>
      <w:marTop w:val="0"/>
      <w:marBottom w:val="0"/>
      <w:divBdr>
        <w:top w:val="none" w:sz="0" w:space="0" w:color="auto"/>
        <w:left w:val="none" w:sz="0" w:space="0" w:color="auto"/>
        <w:bottom w:val="none" w:sz="0" w:space="0" w:color="auto"/>
        <w:right w:val="none" w:sz="0" w:space="0" w:color="auto"/>
      </w:divBdr>
    </w:div>
    <w:div w:id="528760419">
      <w:bodyDiv w:val="1"/>
      <w:marLeft w:val="0"/>
      <w:marRight w:val="0"/>
      <w:marTop w:val="0"/>
      <w:marBottom w:val="0"/>
      <w:divBdr>
        <w:top w:val="none" w:sz="0" w:space="0" w:color="auto"/>
        <w:left w:val="none" w:sz="0" w:space="0" w:color="auto"/>
        <w:bottom w:val="none" w:sz="0" w:space="0" w:color="auto"/>
        <w:right w:val="none" w:sz="0" w:space="0" w:color="auto"/>
      </w:divBdr>
    </w:div>
    <w:div w:id="531766059">
      <w:bodyDiv w:val="1"/>
      <w:marLeft w:val="0"/>
      <w:marRight w:val="0"/>
      <w:marTop w:val="0"/>
      <w:marBottom w:val="0"/>
      <w:divBdr>
        <w:top w:val="none" w:sz="0" w:space="0" w:color="auto"/>
        <w:left w:val="none" w:sz="0" w:space="0" w:color="auto"/>
        <w:bottom w:val="none" w:sz="0" w:space="0" w:color="auto"/>
        <w:right w:val="none" w:sz="0" w:space="0" w:color="auto"/>
      </w:divBdr>
    </w:div>
    <w:div w:id="534738354">
      <w:bodyDiv w:val="1"/>
      <w:marLeft w:val="0"/>
      <w:marRight w:val="0"/>
      <w:marTop w:val="0"/>
      <w:marBottom w:val="0"/>
      <w:divBdr>
        <w:top w:val="none" w:sz="0" w:space="0" w:color="auto"/>
        <w:left w:val="none" w:sz="0" w:space="0" w:color="auto"/>
        <w:bottom w:val="none" w:sz="0" w:space="0" w:color="auto"/>
        <w:right w:val="none" w:sz="0" w:space="0" w:color="auto"/>
      </w:divBdr>
    </w:div>
    <w:div w:id="537278008">
      <w:bodyDiv w:val="1"/>
      <w:marLeft w:val="0"/>
      <w:marRight w:val="0"/>
      <w:marTop w:val="0"/>
      <w:marBottom w:val="0"/>
      <w:divBdr>
        <w:top w:val="none" w:sz="0" w:space="0" w:color="auto"/>
        <w:left w:val="none" w:sz="0" w:space="0" w:color="auto"/>
        <w:bottom w:val="none" w:sz="0" w:space="0" w:color="auto"/>
        <w:right w:val="none" w:sz="0" w:space="0" w:color="auto"/>
      </w:divBdr>
    </w:div>
    <w:div w:id="537670194">
      <w:bodyDiv w:val="1"/>
      <w:marLeft w:val="0"/>
      <w:marRight w:val="0"/>
      <w:marTop w:val="0"/>
      <w:marBottom w:val="0"/>
      <w:divBdr>
        <w:top w:val="none" w:sz="0" w:space="0" w:color="auto"/>
        <w:left w:val="none" w:sz="0" w:space="0" w:color="auto"/>
        <w:bottom w:val="none" w:sz="0" w:space="0" w:color="auto"/>
        <w:right w:val="none" w:sz="0" w:space="0" w:color="auto"/>
      </w:divBdr>
    </w:div>
    <w:div w:id="540093502">
      <w:bodyDiv w:val="1"/>
      <w:marLeft w:val="0"/>
      <w:marRight w:val="0"/>
      <w:marTop w:val="0"/>
      <w:marBottom w:val="0"/>
      <w:divBdr>
        <w:top w:val="none" w:sz="0" w:space="0" w:color="auto"/>
        <w:left w:val="none" w:sz="0" w:space="0" w:color="auto"/>
        <w:bottom w:val="none" w:sz="0" w:space="0" w:color="auto"/>
        <w:right w:val="none" w:sz="0" w:space="0" w:color="auto"/>
      </w:divBdr>
    </w:div>
    <w:div w:id="541481452">
      <w:bodyDiv w:val="1"/>
      <w:marLeft w:val="0"/>
      <w:marRight w:val="0"/>
      <w:marTop w:val="0"/>
      <w:marBottom w:val="0"/>
      <w:divBdr>
        <w:top w:val="none" w:sz="0" w:space="0" w:color="auto"/>
        <w:left w:val="none" w:sz="0" w:space="0" w:color="auto"/>
        <w:bottom w:val="none" w:sz="0" w:space="0" w:color="auto"/>
        <w:right w:val="none" w:sz="0" w:space="0" w:color="auto"/>
      </w:divBdr>
    </w:div>
    <w:div w:id="544221092">
      <w:bodyDiv w:val="1"/>
      <w:marLeft w:val="0"/>
      <w:marRight w:val="0"/>
      <w:marTop w:val="0"/>
      <w:marBottom w:val="0"/>
      <w:divBdr>
        <w:top w:val="none" w:sz="0" w:space="0" w:color="auto"/>
        <w:left w:val="none" w:sz="0" w:space="0" w:color="auto"/>
        <w:bottom w:val="none" w:sz="0" w:space="0" w:color="auto"/>
        <w:right w:val="none" w:sz="0" w:space="0" w:color="auto"/>
      </w:divBdr>
    </w:div>
    <w:div w:id="550310991">
      <w:bodyDiv w:val="1"/>
      <w:marLeft w:val="0"/>
      <w:marRight w:val="0"/>
      <w:marTop w:val="0"/>
      <w:marBottom w:val="0"/>
      <w:divBdr>
        <w:top w:val="none" w:sz="0" w:space="0" w:color="auto"/>
        <w:left w:val="none" w:sz="0" w:space="0" w:color="auto"/>
        <w:bottom w:val="none" w:sz="0" w:space="0" w:color="auto"/>
        <w:right w:val="none" w:sz="0" w:space="0" w:color="auto"/>
      </w:divBdr>
    </w:div>
    <w:div w:id="550844202">
      <w:bodyDiv w:val="1"/>
      <w:marLeft w:val="0"/>
      <w:marRight w:val="0"/>
      <w:marTop w:val="0"/>
      <w:marBottom w:val="0"/>
      <w:divBdr>
        <w:top w:val="none" w:sz="0" w:space="0" w:color="auto"/>
        <w:left w:val="none" w:sz="0" w:space="0" w:color="auto"/>
        <w:bottom w:val="none" w:sz="0" w:space="0" w:color="auto"/>
        <w:right w:val="none" w:sz="0" w:space="0" w:color="auto"/>
      </w:divBdr>
    </w:div>
    <w:div w:id="557784108">
      <w:bodyDiv w:val="1"/>
      <w:marLeft w:val="0"/>
      <w:marRight w:val="0"/>
      <w:marTop w:val="0"/>
      <w:marBottom w:val="0"/>
      <w:divBdr>
        <w:top w:val="none" w:sz="0" w:space="0" w:color="auto"/>
        <w:left w:val="none" w:sz="0" w:space="0" w:color="auto"/>
        <w:bottom w:val="none" w:sz="0" w:space="0" w:color="auto"/>
        <w:right w:val="none" w:sz="0" w:space="0" w:color="auto"/>
      </w:divBdr>
    </w:div>
    <w:div w:id="560292081">
      <w:bodyDiv w:val="1"/>
      <w:marLeft w:val="0"/>
      <w:marRight w:val="0"/>
      <w:marTop w:val="0"/>
      <w:marBottom w:val="0"/>
      <w:divBdr>
        <w:top w:val="none" w:sz="0" w:space="0" w:color="auto"/>
        <w:left w:val="none" w:sz="0" w:space="0" w:color="auto"/>
        <w:bottom w:val="none" w:sz="0" w:space="0" w:color="auto"/>
        <w:right w:val="none" w:sz="0" w:space="0" w:color="auto"/>
      </w:divBdr>
    </w:div>
    <w:div w:id="560599097">
      <w:bodyDiv w:val="1"/>
      <w:marLeft w:val="0"/>
      <w:marRight w:val="0"/>
      <w:marTop w:val="0"/>
      <w:marBottom w:val="0"/>
      <w:divBdr>
        <w:top w:val="none" w:sz="0" w:space="0" w:color="auto"/>
        <w:left w:val="none" w:sz="0" w:space="0" w:color="auto"/>
        <w:bottom w:val="none" w:sz="0" w:space="0" w:color="auto"/>
        <w:right w:val="none" w:sz="0" w:space="0" w:color="auto"/>
      </w:divBdr>
    </w:div>
    <w:div w:id="562134072">
      <w:bodyDiv w:val="1"/>
      <w:marLeft w:val="0"/>
      <w:marRight w:val="0"/>
      <w:marTop w:val="0"/>
      <w:marBottom w:val="0"/>
      <w:divBdr>
        <w:top w:val="none" w:sz="0" w:space="0" w:color="auto"/>
        <w:left w:val="none" w:sz="0" w:space="0" w:color="auto"/>
        <w:bottom w:val="none" w:sz="0" w:space="0" w:color="auto"/>
        <w:right w:val="none" w:sz="0" w:space="0" w:color="auto"/>
      </w:divBdr>
    </w:div>
    <w:div w:id="563370283">
      <w:bodyDiv w:val="1"/>
      <w:marLeft w:val="0"/>
      <w:marRight w:val="0"/>
      <w:marTop w:val="0"/>
      <w:marBottom w:val="0"/>
      <w:divBdr>
        <w:top w:val="none" w:sz="0" w:space="0" w:color="auto"/>
        <w:left w:val="none" w:sz="0" w:space="0" w:color="auto"/>
        <w:bottom w:val="none" w:sz="0" w:space="0" w:color="auto"/>
        <w:right w:val="none" w:sz="0" w:space="0" w:color="auto"/>
      </w:divBdr>
    </w:div>
    <w:div w:id="567150698">
      <w:bodyDiv w:val="1"/>
      <w:marLeft w:val="0"/>
      <w:marRight w:val="0"/>
      <w:marTop w:val="0"/>
      <w:marBottom w:val="0"/>
      <w:divBdr>
        <w:top w:val="none" w:sz="0" w:space="0" w:color="auto"/>
        <w:left w:val="none" w:sz="0" w:space="0" w:color="auto"/>
        <w:bottom w:val="none" w:sz="0" w:space="0" w:color="auto"/>
        <w:right w:val="none" w:sz="0" w:space="0" w:color="auto"/>
      </w:divBdr>
    </w:div>
    <w:div w:id="567228401">
      <w:bodyDiv w:val="1"/>
      <w:marLeft w:val="0"/>
      <w:marRight w:val="0"/>
      <w:marTop w:val="0"/>
      <w:marBottom w:val="0"/>
      <w:divBdr>
        <w:top w:val="none" w:sz="0" w:space="0" w:color="auto"/>
        <w:left w:val="none" w:sz="0" w:space="0" w:color="auto"/>
        <w:bottom w:val="none" w:sz="0" w:space="0" w:color="auto"/>
        <w:right w:val="none" w:sz="0" w:space="0" w:color="auto"/>
      </w:divBdr>
    </w:div>
    <w:div w:id="570240434">
      <w:bodyDiv w:val="1"/>
      <w:marLeft w:val="0"/>
      <w:marRight w:val="0"/>
      <w:marTop w:val="0"/>
      <w:marBottom w:val="0"/>
      <w:divBdr>
        <w:top w:val="none" w:sz="0" w:space="0" w:color="auto"/>
        <w:left w:val="none" w:sz="0" w:space="0" w:color="auto"/>
        <w:bottom w:val="none" w:sz="0" w:space="0" w:color="auto"/>
        <w:right w:val="none" w:sz="0" w:space="0" w:color="auto"/>
      </w:divBdr>
    </w:div>
    <w:div w:id="570312708">
      <w:bodyDiv w:val="1"/>
      <w:marLeft w:val="0"/>
      <w:marRight w:val="0"/>
      <w:marTop w:val="0"/>
      <w:marBottom w:val="0"/>
      <w:divBdr>
        <w:top w:val="none" w:sz="0" w:space="0" w:color="auto"/>
        <w:left w:val="none" w:sz="0" w:space="0" w:color="auto"/>
        <w:bottom w:val="none" w:sz="0" w:space="0" w:color="auto"/>
        <w:right w:val="none" w:sz="0" w:space="0" w:color="auto"/>
      </w:divBdr>
    </w:div>
    <w:div w:id="573852613">
      <w:bodyDiv w:val="1"/>
      <w:marLeft w:val="0"/>
      <w:marRight w:val="0"/>
      <w:marTop w:val="0"/>
      <w:marBottom w:val="0"/>
      <w:divBdr>
        <w:top w:val="none" w:sz="0" w:space="0" w:color="auto"/>
        <w:left w:val="none" w:sz="0" w:space="0" w:color="auto"/>
        <w:bottom w:val="none" w:sz="0" w:space="0" w:color="auto"/>
        <w:right w:val="none" w:sz="0" w:space="0" w:color="auto"/>
      </w:divBdr>
    </w:div>
    <w:div w:id="574626012">
      <w:bodyDiv w:val="1"/>
      <w:marLeft w:val="0"/>
      <w:marRight w:val="0"/>
      <w:marTop w:val="0"/>
      <w:marBottom w:val="0"/>
      <w:divBdr>
        <w:top w:val="none" w:sz="0" w:space="0" w:color="auto"/>
        <w:left w:val="none" w:sz="0" w:space="0" w:color="auto"/>
        <w:bottom w:val="none" w:sz="0" w:space="0" w:color="auto"/>
        <w:right w:val="none" w:sz="0" w:space="0" w:color="auto"/>
      </w:divBdr>
    </w:div>
    <w:div w:id="580218688">
      <w:bodyDiv w:val="1"/>
      <w:marLeft w:val="0"/>
      <w:marRight w:val="0"/>
      <w:marTop w:val="0"/>
      <w:marBottom w:val="0"/>
      <w:divBdr>
        <w:top w:val="none" w:sz="0" w:space="0" w:color="auto"/>
        <w:left w:val="none" w:sz="0" w:space="0" w:color="auto"/>
        <w:bottom w:val="none" w:sz="0" w:space="0" w:color="auto"/>
        <w:right w:val="none" w:sz="0" w:space="0" w:color="auto"/>
      </w:divBdr>
    </w:div>
    <w:div w:id="582302653">
      <w:bodyDiv w:val="1"/>
      <w:marLeft w:val="0"/>
      <w:marRight w:val="0"/>
      <w:marTop w:val="0"/>
      <w:marBottom w:val="0"/>
      <w:divBdr>
        <w:top w:val="none" w:sz="0" w:space="0" w:color="auto"/>
        <w:left w:val="none" w:sz="0" w:space="0" w:color="auto"/>
        <w:bottom w:val="none" w:sz="0" w:space="0" w:color="auto"/>
        <w:right w:val="none" w:sz="0" w:space="0" w:color="auto"/>
      </w:divBdr>
    </w:div>
    <w:div w:id="582497979">
      <w:bodyDiv w:val="1"/>
      <w:marLeft w:val="0"/>
      <w:marRight w:val="0"/>
      <w:marTop w:val="0"/>
      <w:marBottom w:val="0"/>
      <w:divBdr>
        <w:top w:val="none" w:sz="0" w:space="0" w:color="auto"/>
        <w:left w:val="none" w:sz="0" w:space="0" w:color="auto"/>
        <w:bottom w:val="none" w:sz="0" w:space="0" w:color="auto"/>
        <w:right w:val="none" w:sz="0" w:space="0" w:color="auto"/>
      </w:divBdr>
    </w:div>
    <w:div w:id="582762145">
      <w:bodyDiv w:val="1"/>
      <w:marLeft w:val="0"/>
      <w:marRight w:val="0"/>
      <w:marTop w:val="0"/>
      <w:marBottom w:val="0"/>
      <w:divBdr>
        <w:top w:val="none" w:sz="0" w:space="0" w:color="auto"/>
        <w:left w:val="none" w:sz="0" w:space="0" w:color="auto"/>
        <w:bottom w:val="none" w:sz="0" w:space="0" w:color="auto"/>
        <w:right w:val="none" w:sz="0" w:space="0" w:color="auto"/>
      </w:divBdr>
    </w:div>
    <w:div w:id="585726716">
      <w:bodyDiv w:val="1"/>
      <w:marLeft w:val="0"/>
      <w:marRight w:val="0"/>
      <w:marTop w:val="0"/>
      <w:marBottom w:val="0"/>
      <w:divBdr>
        <w:top w:val="none" w:sz="0" w:space="0" w:color="auto"/>
        <w:left w:val="none" w:sz="0" w:space="0" w:color="auto"/>
        <w:bottom w:val="none" w:sz="0" w:space="0" w:color="auto"/>
        <w:right w:val="none" w:sz="0" w:space="0" w:color="auto"/>
      </w:divBdr>
    </w:div>
    <w:div w:id="585892320">
      <w:bodyDiv w:val="1"/>
      <w:marLeft w:val="0"/>
      <w:marRight w:val="0"/>
      <w:marTop w:val="0"/>
      <w:marBottom w:val="0"/>
      <w:divBdr>
        <w:top w:val="none" w:sz="0" w:space="0" w:color="auto"/>
        <w:left w:val="none" w:sz="0" w:space="0" w:color="auto"/>
        <w:bottom w:val="none" w:sz="0" w:space="0" w:color="auto"/>
        <w:right w:val="none" w:sz="0" w:space="0" w:color="auto"/>
      </w:divBdr>
    </w:div>
    <w:div w:id="587230120">
      <w:bodyDiv w:val="1"/>
      <w:marLeft w:val="0"/>
      <w:marRight w:val="0"/>
      <w:marTop w:val="0"/>
      <w:marBottom w:val="0"/>
      <w:divBdr>
        <w:top w:val="none" w:sz="0" w:space="0" w:color="auto"/>
        <w:left w:val="none" w:sz="0" w:space="0" w:color="auto"/>
        <w:bottom w:val="none" w:sz="0" w:space="0" w:color="auto"/>
        <w:right w:val="none" w:sz="0" w:space="0" w:color="auto"/>
      </w:divBdr>
    </w:div>
    <w:div w:id="592323762">
      <w:bodyDiv w:val="1"/>
      <w:marLeft w:val="0"/>
      <w:marRight w:val="0"/>
      <w:marTop w:val="0"/>
      <w:marBottom w:val="0"/>
      <w:divBdr>
        <w:top w:val="none" w:sz="0" w:space="0" w:color="auto"/>
        <w:left w:val="none" w:sz="0" w:space="0" w:color="auto"/>
        <w:bottom w:val="none" w:sz="0" w:space="0" w:color="auto"/>
        <w:right w:val="none" w:sz="0" w:space="0" w:color="auto"/>
      </w:divBdr>
    </w:div>
    <w:div w:id="594093959">
      <w:bodyDiv w:val="1"/>
      <w:marLeft w:val="0"/>
      <w:marRight w:val="0"/>
      <w:marTop w:val="0"/>
      <w:marBottom w:val="0"/>
      <w:divBdr>
        <w:top w:val="none" w:sz="0" w:space="0" w:color="auto"/>
        <w:left w:val="none" w:sz="0" w:space="0" w:color="auto"/>
        <w:bottom w:val="none" w:sz="0" w:space="0" w:color="auto"/>
        <w:right w:val="none" w:sz="0" w:space="0" w:color="auto"/>
      </w:divBdr>
    </w:div>
    <w:div w:id="594636505">
      <w:bodyDiv w:val="1"/>
      <w:marLeft w:val="0"/>
      <w:marRight w:val="0"/>
      <w:marTop w:val="0"/>
      <w:marBottom w:val="0"/>
      <w:divBdr>
        <w:top w:val="none" w:sz="0" w:space="0" w:color="auto"/>
        <w:left w:val="none" w:sz="0" w:space="0" w:color="auto"/>
        <w:bottom w:val="none" w:sz="0" w:space="0" w:color="auto"/>
        <w:right w:val="none" w:sz="0" w:space="0" w:color="auto"/>
      </w:divBdr>
    </w:div>
    <w:div w:id="596058229">
      <w:bodyDiv w:val="1"/>
      <w:marLeft w:val="0"/>
      <w:marRight w:val="0"/>
      <w:marTop w:val="0"/>
      <w:marBottom w:val="0"/>
      <w:divBdr>
        <w:top w:val="none" w:sz="0" w:space="0" w:color="auto"/>
        <w:left w:val="none" w:sz="0" w:space="0" w:color="auto"/>
        <w:bottom w:val="none" w:sz="0" w:space="0" w:color="auto"/>
        <w:right w:val="none" w:sz="0" w:space="0" w:color="auto"/>
      </w:divBdr>
    </w:div>
    <w:div w:id="600379793">
      <w:bodyDiv w:val="1"/>
      <w:marLeft w:val="0"/>
      <w:marRight w:val="0"/>
      <w:marTop w:val="0"/>
      <w:marBottom w:val="0"/>
      <w:divBdr>
        <w:top w:val="none" w:sz="0" w:space="0" w:color="auto"/>
        <w:left w:val="none" w:sz="0" w:space="0" w:color="auto"/>
        <w:bottom w:val="none" w:sz="0" w:space="0" w:color="auto"/>
        <w:right w:val="none" w:sz="0" w:space="0" w:color="auto"/>
      </w:divBdr>
    </w:div>
    <w:div w:id="606088030">
      <w:bodyDiv w:val="1"/>
      <w:marLeft w:val="0"/>
      <w:marRight w:val="0"/>
      <w:marTop w:val="0"/>
      <w:marBottom w:val="0"/>
      <w:divBdr>
        <w:top w:val="none" w:sz="0" w:space="0" w:color="auto"/>
        <w:left w:val="none" w:sz="0" w:space="0" w:color="auto"/>
        <w:bottom w:val="none" w:sz="0" w:space="0" w:color="auto"/>
        <w:right w:val="none" w:sz="0" w:space="0" w:color="auto"/>
      </w:divBdr>
    </w:div>
    <w:div w:id="606280495">
      <w:bodyDiv w:val="1"/>
      <w:marLeft w:val="0"/>
      <w:marRight w:val="0"/>
      <w:marTop w:val="0"/>
      <w:marBottom w:val="0"/>
      <w:divBdr>
        <w:top w:val="none" w:sz="0" w:space="0" w:color="auto"/>
        <w:left w:val="none" w:sz="0" w:space="0" w:color="auto"/>
        <w:bottom w:val="none" w:sz="0" w:space="0" w:color="auto"/>
        <w:right w:val="none" w:sz="0" w:space="0" w:color="auto"/>
      </w:divBdr>
    </w:div>
    <w:div w:id="608046927">
      <w:bodyDiv w:val="1"/>
      <w:marLeft w:val="0"/>
      <w:marRight w:val="0"/>
      <w:marTop w:val="0"/>
      <w:marBottom w:val="0"/>
      <w:divBdr>
        <w:top w:val="none" w:sz="0" w:space="0" w:color="auto"/>
        <w:left w:val="none" w:sz="0" w:space="0" w:color="auto"/>
        <w:bottom w:val="none" w:sz="0" w:space="0" w:color="auto"/>
        <w:right w:val="none" w:sz="0" w:space="0" w:color="auto"/>
      </w:divBdr>
    </w:div>
    <w:div w:id="608317384">
      <w:bodyDiv w:val="1"/>
      <w:marLeft w:val="0"/>
      <w:marRight w:val="0"/>
      <w:marTop w:val="0"/>
      <w:marBottom w:val="0"/>
      <w:divBdr>
        <w:top w:val="none" w:sz="0" w:space="0" w:color="auto"/>
        <w:left w:val="none" w:sz="0" w:space="0" w:color="auto"/>
        <w:bottom w:val="none" w:sz="0" w:space="0" w:color="auto"/>
        <w:right w:val="none" w:sz="0" w:space="0" w:color="auto"/>
      </w:divBdr>
    </w:div>
    <w:div w:id="609556760">
      <w:bodyDiv w:val="1"/>
      <w:marLeft w:val="0"/>
      <w:marRight w:val="0"/>
      <w:marTop w:val="0"/>
      <w:marBottom w:val="0"/>
      <w:divBdr>
        <w:top w:val="none" w:sz="0" w:space="0" w:color="auto"/>
        <w:left w:val="none" w:sz="0" w:space="0" w:color="auto"/>
        <w:bottom w:val="none" w:sz="0" w:space="0" w:color="auto"/>
        <w:right w:val="none" w:sz="0" w:space="0" w:color="auto"/>
      </w:divBdr>
    </w:div>
    <w:div w:id="615716305">
      <w:bodyDiv w:val="1"/>
      <w:marLeft w:val="0"/>
      <w:marRight w:val="0"/>
      <w:marTop w:val="0"/>
      <w:marBottom w:val="0"/>
      <w:divBdr>
        <w:top w:val="none" w:sz="0" w:space="0" w:color="auto"/>
        <w:left w:val="none" w:sz="0" w:space="0" w:color="auto"/>
        <w:bottom w:val="none" w:sz="0" w:space="0" w:color="auto"/>
        <w:right w:val="none" w:sz="0" w:space="0" w:color="auto"/>
      </w:divBdr>
    </w:div>
    <w:div w:id="617032553">
      <w:bodyDiv w:val="1"/>
      <w:marLeft w:val="0"/>
      <w:marRight w:val="0"/>
      <w:marTop w:val="0"/>
      <w:marBottom w:val="0"/>
      <w:divBdr>
        <w:top w:val="none" w:sz="0" w:space="0" w:color="auto"/>
        <w:left w:val="none" w:sz="0" w:space="0" w:color="auto"/>
        <w:bottom w:val="none" w:sz="0" w:space="0" w:color="auto"/>
        <w:right w:val="none" w:sz="0" w:space="0" w:color="auto"/>
      </w:divBdr>
    </w:div>
    <w:div w:id="617417144">
      <w:bodyDiv w:val="1"/>
      <w:marLeft w:val="0"/>
      <w:marRight w:val="0"/>
      <w:marTop w:val="0"/>
      <w:marBottom w:val="0"/>
      <w:divBdr>
        <w:top w:val="none" w:sz="0" w:space="0" w:color="auto"/>
        <w:left w:val="none" w:sz="0" w:space="0" w:color="auto"/>
        <w:bottom w:val="none" w:sz="0" w:space="0" w:color="auto"/>
        <w:right w:val="none" w:sz="0" w:space="0" w:color="auto"/>
      </w:divBdr>
    </w:div>
    <w:div w:id="617839958">
      <w:bodyDiv w:val="1"/>
      <w:marLeft w:val="0"/>
      <w:marRight w:val="0"/>
      <w:marTop w:val="0"/>
      <w:marBottom w:val="0"/>
      <w:divBdr>
        <w:top w:val="none" w:sz="0" w:space="0" w:color="auto"/>
        <w:left w:val="none" w:sz="0" w:space="0" w:color="auto"/>
        <w:bottom w:val="none" w:sz="0" w:space="0" w:color="auto"/>
        <w:right w:val="none" w:sz="0" w:space="0" w:color="auto"/>
      </w:divBdr>
    </w:div>
    <w:div w:id="619145228">
      <w:bodyDiv w:val="1"/>
      <w:marLeft w:val="0"/>
      <w:marRight w:val="0"/>
      <w:marTop w:val="0"/>
      <w:marBottom w:val="0"/>
      <w:divBdr>
        <w:top w:val="none" w:sz="0" w:space="0" w:color="auto"/>
        <w:left w:val="none" w:sz="0" w:space="0" w:color="auto"/>
        <w:bottom w:val="none" w:sz="0" w:space="0" w:color="auto"/>
        <w:right w:val="none" w:sz="0" w:space="0" w:color="auto"/>
      </w:divBdr>
    </w:div>
    <w:div w:id="619841218">
      <w:bodyDiv w:val="1"/>
      <w:marLeft w:val="0"/>
      <w:marRight w:val="0"/>
      <w:marTop w:val="0"/>
      <w:marBottom w:val="0"/>
      <w:divBdr>
        <w:top w:val="none" w:sz="0" w:space="0" w:color="auto"/>
        <w:left w:val="none" w:sz="0" w:space="0" w:color="auto"/>
        <w:bottom w:val="none" w:sz="0" w:space="0" w:color="auto"/>
        <w:right w:val="none" w:sz="0" w:space="0" w:color="auto"/>
      </w:divBdr>
    </w:div>
    <w:div w:id="620766385">
      <w:bodyDiv w:val="1"/>
      <w:marLeft w:val="0"/>
      <w:marRight w:val="0"/>
      <w:marTop w:val="0"/>
      <w:marBottom w:val="0"/>
      <w:divBdr>
        <w:top w:val="none" w:sz="0" w:space="0" w:color="auto"/>
        <w:left w:val="none" w:sz="0" w:space="0" w:color="auto"/>
        <w:bottom w:val="none" w:sz="0" w:space="0" w:color="auto"/>
        <w:right w:val="none" w:sz="0" w:space="0" w:color="auto"/>
      </w:divBdr>
    </w:div>
    <w:div w:id="630743976">
      <w:bodyDiv w:val="1"/>
      <w:marLeft w:val="0"/>
      <w:marRight w:val="0"/>
      <w:marTop w:val="0"/>
      <w:marBottom w:val="0"/>
      <w:divBdr>
        <w:top w:val="none" w:sz="0" w:space="0" w:color="auto"/>
        <w:left w:val="none" w:sz="0" w:space="0" w:color="auto"/>
        <w:bottom w:val="none" w:sz="0" w:space="0" w:color="auto"/>
        <w:right w:val="none" w:sz="0" w:space="0" w:color="auto"/>
      </w:divBdr>
    </w:div>
    <w:div w:id="636226030">
      <w:bodyDiv w:val="1"/>
      <w:marLeft w:val="0"/>
      <w:marRight w:val="0"/>
      <w:marTop w:val="0"/>
      <w:marBottom w:val="0"/>
      <w:divBdr>
        <w:top w:val="none" w:sz="0" w:space="0" w:color="auto"/>
        <w:left w:val="none" w:sz="0" w:space="0" w:color="auto"/>
        <w:bottom w:val="none" w:sz="0" w:space="0" w:color="auto"/>
        <w:right w:val="none" w:sz="0" w:space="0" w:color="auto"/>
      </w:divBdr>
    </w:div>
    <w:div w:id="637761405">
      <w:bodyDiv w:val="1"/>
      <w:marLeft w:val="0"/>
      <w:marRight w:val="0"/>
      <w:marTop w:val="0"/>
      <w:marBottom w:val="0"/>
      <w:divBdr>
        <w:top w:val="none" w:sz="0" w:space="0" w:color="auto"/>
        <w:left w:val="none" w:sz="0" w:space="0" w:color="auto"/>
        <w:bottom w:val="none" w:sz="0" w:space="0" w:color="auto"/>
        <w:right w:val="none" w:sz="0" w:space="0" w:color="auto"/>
      </w:divBdr>
    </w:div>
    <w:div w:id="641691507">
      <w:bodyDiv w:val="1"/>
      <w:marLeft w:val="0"/>
      <w:marRight w:val="0"/>
      <w:marTop w:val="0"/>
      <w:marBottom w:val="0"/>
      <w:divBdr>
        <w:top w:val="none" w:sz="0" w:space="0" w:color="auto"/>
        <w:left w:val="none" w:sz="0" w:space="0" w:color="auto"/>
        <w:bottom w:val="none" w:sz="0" w:space="0" w:color="auto"/>
        <w:right w:val="none" w:sz="0" w:space="0" w:color="auto"/>
      </w:divBdr>
    </w:div>
    <w:div w:id="642587539">
      <w:bodyDiv w:val="1"/>
      <w:marLeft w:val="0"/>
      <w:marRight w:val="0"/>
      <w:marTop w:val="0"/>
      <w:marBottom w:val="0"/>
      <w:divBdr>
        <w:top w:val="none" w:sz="0" w:space="0" w:color="auto"/>
        <w:left w:val="none" w:sz="0" w:space="0" w:color="auto"/>
        <w:bottom w:val="none" w:sz="0" w:space="0" w:color="auto"/>
        <w:right w:val="none" w:sz="0" w:space="0" w:color="auto"/>
      </w:divBdr>
    </w:div>
    <w:div w:id="652374568">
      <w:bodyDiv w:val="1"/>
      <w:marLeft w:val="0"/>
      <w:marRight w:val="0"/>
      <w:marTop w:val="0"/>
      <w:marBottom w:val="0"/>
      <w:divBdr>
        <w:top w:val="none" w:sz="0" w:space="0" w:color="auto"/>
        <w:left w:val="none" w:sz="0" w:space="0" w:color="auto"/>
        <w:bottom w:val="none" w:sz="0" w:space="0" w:color="auto"/>
        <w:right w:val="none" w:sz="0" w:space="0" w:color="auto"/>
      </w:divBdr>
    </w:div>
    <w:div w:id="663974138">
      <w:bodyDiv w:val="1"/>
      <w:marLeft w:val="0"/>
      <w:marRight w:val="0"/>
      <w:marTop w:val="0"/>
      <w:marBottom w:val="0"/>
      <w:divBdr>
        <w:top w:val="none" w:sz="0" w:space="0" w:color="auto"/>
        <w:left w:val="none" w:sz="0" w:space="0" w:color="auto"/>
        <w:bottom w:val="none" w:sz="0" w:space="0" w:color="auto"/>
        <w:right w:val="none" w:sz="0" w:space="0" w:color="auto"/>
      </w:divBdr>
    </w:div>
    <w:div w:id="665325531">
      <w:bodyDiv w:val="1"/>
      <w:marLeft w:val="0"/>
      <w:marRight w:val="0"/>
      <w:marTop w:val="0"/>
      <w:marBottom w:val="0"/>
      <w:divBdr>
        <w:top w:val="none" w:sz="0" w:space="0" w:color="auto"/>
        <w:left w:val="none" w:sz="0" w:space="0" w:color="auto"/>
        <w:bottom w:val="none" w:sz="0" w:space="0" w:color="auto"/>
        <w:right w:val="none" w:sz="0" w:space="0" w:color="auto"/>
      </w:divBdr>
    </w:div>
    <w:div w:id="665985966">
      <w:bodyDiv w:val="1"/>
      <w:marLeft w:val="0"/>
      <w:marRight w:val="0"/>
      <w:marTop w:val="0"/>
      <w:marBottom w:val="0"/>
      <w:divBdr>
        <w:top w:val="none" w:sz="0" w:space="0" w:color="auto"/>
        <w:left w:val="none" w:sz="0" w:space="0" w:color="auto"/>
        <w:bottom w:val="none" w:sz="0" w:space="0" w:color="auto"/>
        <w:right w:val="none" w:sz="0" w:space="0" w:color="auto"/>
      </w:divBdr>
    </w:div>
    <w:div w:id="667178676">
      <w:bodyDiv w:val="1"/>
      <w:marLeft w:val="0"/>
      <w:marRight w:val="0"/>
      <w:marTop w:val="0"/>
      <w:marBottom w:val="0"/>
      <w:divBdr>
        <w:top w:val="none" w:sz="0" w:space="0" w:color="auto"/>
        <w:left w:val="none" w:sz="0" w:space="0" w:color="auto"/>
        <w:bottom w:val="none" w:sz="0" w:space="0" w:color="auto"/>
        <w:right w:val="none" w:sz="0" w:space="0" w:color="auto"/>
      </w:divBdr>
    </w:div>
    <w:div w:id="671953830">
      <w:bodyDiv w:val="1"/>
      <w:marLeft w:val="0"/>
      <w:marRight w:val="0"/>
      <w:marTop w:val="0"/>
      <w:marBottom w:val="0"/>
      <w:divBdr>
        <w:top w:val="none" w:sz="0" w:space="0" w:color="auto"/>
        <w:left w:val="none" w:sz="0" w:space="0" w:color="auto"/>
        <w:bottom w:val="none" w:sz="0" w:space="0" w:color="auto"/>
        <w:right w:val="none" w:sz="0" w:space="0" w:color="auto"/>
      </w:divBdr>
    </w:div>
    <w:div w:id="676814614">
      <w:bodyDiv w:val="1"/>
      <w:marLeft w:val="0"/>
      <w:marRight w:val="0"/>
      <w:marTop w:val="0"/>
      <w:marBottom w:val="0"/>
      <w:divBdr>
        <w:top w:val="none" w:sz="0" w:space="0" w:color="auto"/>
        <w:left w:val="none" w:sz="0" w:space="0" w:color="auto"/>
        <w:bottom w:val="none" w:sz="0" w:space="0" w:color="auto"/>
        <w:right w:val="none" w:sz="0" w:space="0" w:color="auto"/>
      </w:divBdr>
    </w:div>
    <w:div w:id="679308293">
      <w:bodyDiv w:val="1"/>
      <w:marLeft w:val="0"/>
      <w:marRight w:val="0"/>
      <w:marTop w:val="0"/>
      <w:marBottom w:val="0"/>
      <w:divBdr>
        <w:top w:val="none" w:sz="0" w:space="0" w:color="auto"/>
        <w:left w:val="none" w:sz="0" w:space="0" w:color="auto"/>
        <w:bottom w:val="none" w:sz="0" w:space="0" w:color="auto"/>
        <w:right w:val="none" w:sz="0" w:space="0" w:color="auto"/>
      </w:divBdr>
    </w:div>
    <w:div w:id="680550430">
      <w:bodyDiv w:val="1"/>
      <w:marLeft w:val="0"/>
      <w:marRight w:val="0"/>
      <w:marTop w:val="0"/>
      <w:marBottom w:val="0"/>
      <w:divBdr>
        <w:top w:val="none" w:sz="0" w:space="0" w:color="auto"/>
        <w:left w:val="none" w:sz="0" w:space="0" w:color="auto"/>
        <w:bottom w:val="none" w:sz="0" w:space="0" w:color="auto"/>
        <w:right w:val="none" w:sz="0" w:space="0" w:color="auto"/>
      </w:divBdr>
    </w:div>
    <w:div w:id="685064419">
      <w:bodyDiv w:val="1"/>
      <w:marLeft w:val="0"/>
      <w:marRight w:val="0"/>
      <w:marTop w:val="0"/>
      <w:marBottom w:val="0"/>
      <w:divBdr>
        <w:top w:val="none" w:sz="0" w:space="0" w:color="auto"/>
        <w:left w:val="none" w:sz="0" w:space="0" w:color="auto"/>
        <w:bottom w:val="none" w:sz="0" w:space="0" w:color="auto"/>
        <w:right w:val="none" w:sz="0" w:space="0" w:color="auto"/>
      </w:divBdr>
    </w:div>
    <w:div w:id="693308641">
      <w:bodyDiv w:val="1"/>
      <w:marLeft w:val="0"/>
      <w:marRight w:val="0"/>
      <w:marTop w:val="0"/>
      <w:marBottom w:val="0"/>
      <w:divBdr>
        <w:top w:val="none" w:sz="0" w:space="0" w:color="auto"/>
        <w:left w:val="none" w:sz="0" w:space="0" w:color="auto"/>
        <w:bottom w:val="none" w:sz="0" w:space="0" w:color="auto"/>
        <w:right w:val="none" w:sz="0" w:space="0" w:color="auto"/>
      </w:divBdr>
    </w:div>
    <w:div w:id="698580435">
      <w:bodyDiv w:val="1"/>
      <w:marLeft w:val="0"/>
      <w:marRight w:val="0"/>
      <w:marTop w:val="0"/>
      <w:marBottom w:val="0"/>
      <w:divBdr>
        <w:top w:val="none" w:sz="0" w:space="0" w:color="auto"/>
        <w:left w:val="none" w:sz="0" w:space="0" w:color="auto"/>
        <w:bottom w:val="none" w:sz="0" w:space="0" w:color="auto"/>
        <w:right w:val="none" w:sz="0" w:space="0" w:color="auto"/>
      </w:divBdr>
    </w:div>
    <w:div w:id="698623409">
      <w:bodyDiv w:val="1"/>
      <w:marLeft w:val="0"/>
      <w:marRight w:val="0"/>
      <w:marTop w:val="0"/>
      <w:marBottom w:val="0"/>
      <w:divBdr>
        <w:top w:val="none" w:sz="0" w:space="0" w:color="auto"/>
        <w:left w:val="none" w:sz="0" w:space="0" w:color="auto"/>
        <w:bottom w:val="none" w:sz="0" w:space="0" w:color="auto"/>
        <w:right w:val="none" w:sz="0" w:space="0" w:color="auto"/>
      </w:divBdr>
    </w:div>
    <w:div w:id="700788345">
      <w:bodyDiv w:val="1"/>
      <w:marLeft w:val="0"/>
      <w:marRight w:val="0"/>
      <w:marTop w:val="0"/>
      <w:marBottom w:val="0"/>
      <w:divBdr>
        <w:top w:val="none" w:sz="0" w:space="0" w:color="auto"/>
        <w:left w:val="none" w:sz="0" w:space="0" w:color="auto"/>
        <w:bottom w:val="none" w:sz="0" w:space="0" w:color="auto"/>
        <w:right w:val="none" w:sz="0" w:space="0" w:color="auto"/>
      </w:divBdr>
    </w:div>
    <w:div w:id="704526331">
      <w:bodyDiv w:val="1"/>
      <w:marLeft w:val="0"/>
      <w:marRight w:val="0"/>
      <w:marTop w:val="0"/>
      <w:marBottom w:val="0"/>
      <w:divBdr>
        <w:top w:val="none" w:sz="0" w:space="0" w:color="auto"/>
        <w:left w:val="none" w:sz="0" w:space="0" w:color="auto"/>
        <w:bottom w:val="none" w:sz="0" w:space="0" w:color="auto"/>
        <w:right w:val="none" w:sz="0" w:space="0" w:color="auto"/>
      </w:divBdr>
    </w:div>
    <w:div w:id="706493699">
      <w:bodyDiv w:val="1"/>
      <w:marLeft w:val="0"/>
      <w:marRight w:val="0"/>
      <w:marTop w:val="0"/>
      <w:marBottom w:val="0"/>
      <w:divBdr>
        <w:top w:val="none" w:sz="0" w:space="0" w:color="auto"/>
        <w:left w:val="none" w:sz="0" w:space="0" w:color="auto"/>
        <w:bottom w:val="none" w:sz="0" w:space="0" w:color="auto"/>
        <w:right w:val="none" w:sz="0" w:space="0" w:color="auto"/>
      </w:divBdr>
    </w:div>
    <w:div w:id="711417716">
      <w:bodyDiv w:val="1"/>
      <w:marLeft w:val="0"/>
      <w:marRight w:val="0"/>
      <w:marTop w:val="0"/>
      <w:marBottom w:val="0"/>
      <w:divBdr>
        <w:top w:val="none" w:sz="0" w:space="0" w:color="auto"/>
        <w:left w:val="none" w:sz="0" w:space="0" w:color="auto"/>
        <w:bottom w:val="none" w:sz="0" w:space="0" w:color="auto"/>
        <w:right w:val="none" w:sz="0" w:space="0" w:color="auto"/>
      </w:divBdr>
    </w:div>
    <w:div w:id="714278941">
      <w:bodyDiv w:val="1"/>
      <w:marLeft w:val="0"/>
      <w:marRight w:val="0"/>
      <w:marTop w:val="0"/>
      <w:marBottom w:val="0"/>
      <w:divBdr>
        <w:top w:val="none" w:sz="0" w:space="0" w:color="auto"/>
        <w:left w:val="none" w:sz="0" w:space="0" w:color="auto"/>
        <w:bottom w:val="none" w:sz="0" w:space="0" w:color="auto"/>
        <w:right w:val="none" w:sz="0" w:space="0" w:color="auto"/>
      </w:divBdr>
    </w:div>
    <w:div w:id="720790390">
      <w:bodyDiv w:val="1"/>
      <w:marLeft w:val="0"/>
      <w:marRight w:val="0"/>
      <w:marTop w:val="0"/>
      <w:marBottom w:val="0"/>
      <w:divBdr>
        <w:top w:val="none" w:sz="0" w:space="0" w:color="auto"/>
        <w:left w:val="none" w:sz="0" w:space="0" w:color="auto"/>
        <w:bottom w:val="none" w:sz="0" w:space="0" w:color="auto"/>
        <w:right w:val="none" w:sz="0" w:space="0" w:color="auto"/>
      </w:divBdr>
    </w:div>
    <w:div w:id="728846615">
      <w:bodyDiv w:val="1"/>
      <w:marLeft w:val="0"/>
      <w:marRight w:val="0"/>
      <w:marTop w:val="0"/>
      <w:marBottom w:val="0"/>
      <w:divBdr>
        <w:top w:val="none" w:sz="0" w:space="0" w:color="auto"/>
        <w:left w:val="none" w:sz="0" w:space="0" w:color="auto"/>
        <w:bottom w:val="none" w:sz="0" w:space="0" w:color="auto"/>
        <w:right w:val="none" w:sz="0" w:space="0" w:color="auto"/>
      </w:divBdr>
    </w:div>
    <w:div w:id="732896960">
      <w:bodyDiv w:val="1"/>
      <w:marLeft w:val="0"/>
      <w:marRight w:val="0"/>
      <w:marTop w:val="0"/>
      <w:marBottom w:val="0"/>
      <w:divBdr>
        <w:top w:val="none" w:sz="0" w:space="0" w:color="auto"/>
        <w:left w:val="none" w:sz="0" w:space="0" w:color="auto"/>
        <w:bottom w:val="none" w:sz="0" w:space="0" w:color="auto"/>
        <w:right w:val="none" w:sz="0" w:space="0" w:color="auto"/>
      </w:divBdr>
    </w:div>
    <w:div w:id="741021684">
      <w:bodyDiv w:val="1"/>
      <w:marLeft w:val="0"/>
      <w:marRight w:val="0"/>
      <w:marTop w:val="0"/>
      <w:marBottom w:val="0"/>
      <w:divBdr>
        <w:top w:val="none" w:sz="0" w:space="0" w:color="auto"/>
        <w:left w:val="none" w:sz="0" w:space="0" w:color="auto"/>
        <w:bottom w:val="none" w:sz="0" w:space="0" w:color="auto"/>
        <w:right w:val="none" w:sz="0" w:space="0" w:color="auto"/>
      </w:divBdr>
    </w:div>
    <w:div w:id="742682912">
      <w:bodyDiv w:val="1"/>
      <w:marLeft w:val="0"/>
      <w:marRight w:val="0"/>
      <w:marTop w:val="0"/>
      <w:marBottom w:val="0"/>
      <w:divBdr>
        <w:top w:val="none" w:sz="0" w:space="0" w:color="auto"/>
        <w:left w:val="none" w:sz="0" w:space="0" w:color="auto"/>
        <w:bottom w:val="none" w:sz="0" w:space="0" w:color="auto"/>
        <w:right w:val="none" w:sz="0" w:space="0" w:color="auto"/>
      </w:divBdr>
    </w:div>
    <w:div w:id="744300739">
      <w:bodyDiv w:val="1"/>
      <w:marLeft w:val="0"/>
      <w:marRight w:val="0"/>
      <w:marTop w:val="0"/>
      <w:marBottom w:val="0"/>
      <w:divBdr>
        <w:top w:val="none" w:sz="0" w:space="0" w:color="auto"/>
        <w:left w:val="none" w:sz="0" w:space="0" w:color="auto"/>
        <w:bottom w:val="none" w:sz="0" w:space="0" w:color="auto"/>
        <w:right w:val="none" w:sz="0" w:space="0" w:color="auto"/>
      </w:divBdr>
    </w:div>
    <w:div w:id="748312658">
      <w:bodyDiv w:val="1"/>
      <w:marLeft w:val="0"/>
      <w:marRight w:val="0"/>
      <w:marTop w:val="0"/>
      <w:marBottom w:val="0"/>
      <w:divBdr>
        <w:top w:val="none" w:sz="0" w:space="0" w:color="auto"/>
        <w:left w:val="none" w:sz="0" w:space="0" w:color="auto"/>
        <w:bottom w:val="none" w:sz="0" w:space="0" w:color="auto"/>
        <w:right w:val="none" w:sz="0" w:space="0" w:color="auto"/>
      </w:divBdr>
    </w:div>
    <w:div w:id="749236864">
      <w:bodyDiv w:val="1"/>
      <w:marLeft w:val="0"/>
      <w:marRight w:val="0"/>
      <w:marTop w:val="0"/>
      <w:marBottom w:val="0"/>
      <w:divBdr>
        <w:top w:val="none" w:sz="0" w:space="0" w:color="auto"/>
        <w:left w:val="none" w:sz="0" w:space="0" w:color="auto"/>
        <w:bottom w:val="none" w:sz="0" w:space="0" w:color="auto"/>
        <w:right w:val="none" w:sz="0" w:space="0" w:color="auto"/>
      </w:divBdr>
    </w:div>
    <w:div w:id="750588339">
      <w:bodyDiv w:val="1"/>
      <w:marLeft w:val="0"/>
      <w:marRight w:val="0"/>
      <w:marTop w:val="0"/>
      <w:marBottom w:val="0"/>
      <w:divBdr>
        <w:top w:val="none" w:sz="0" w:space="0" w:color="auto"/>
        <w:left w:val="none" w:sz="0" w:space="0" w:color="auto"/>
        <w:bottom w:val="none" w:sz="0" w:space="0" w:color="auto"/>
        <w:right w:val="none" w:sz="0" w:space="0" w:color="auto"/>
      </w:divBdr>
    </w:div>
    <w:div w:id="757559308">
      <w:bodyDiv w:val="1"/>
      <w:marLeft w:val="0"/>
      <w:marRight w:val="0"/>
      <w:marTop w:val="0"/>
      <w:marBottom w:val="0"/>
      <w:divBdr>
        <w:top w:val="none" w:sz="0" w:space="0" w:color="auto"/>
        <w:left w:val="none" w:sz="0" w:space="0" w:color="auto"/>
        <w:bottom w:val="none" w:sz="0" w:space="0" w:color="auto"/>
        <w:right w:val="none" w:sz="0" w:space="0" w:color="auto"/>
      </w:divBdr>
    </w:div>
    <w:div w:id="758915725">
      <w:bodyDiv w:val="1"/>
      <w:marLeft w:val="0"/>
      <w:marRight w:val="0"/>
      <w:marTop w:val="0"/>
      <w:marBottom w:val="0"/>
      <w:divBdr>
        <w:top w:val="none" w:sz="0" w:space="0" w:color="auto"/>
        <w:left w:val="none" w:sz="0" w:space="0" w:color="auto"/>
        <w:bottom w:val="none" w:sz="0" w:space="0" w:color="auto"/>
        <w:right w:val="none" w:sz="0" w:space="0" w:color="auto"/>
      </w:divBdr>
    </w:div>
    <w:div w:id="762993895">
      <w:bodyDiv w:val="1"/>
      <w:marLeft w:val="0"/>
      <w:marRight w:val="0"/>
      <w:marTop w:val="0"/>
      <w:marBottom w:val="0"/>
      <w:divBdr>
        <w:top w:val="none" w:sz="0" w:space="0" w:color="auto"/>
        <w:left w:val="none" w:sz="0" w:space="0" w:color="auto"/>
        <w:bottom w:val="none" w:sz="0" w:space="0" w:color="auto"/>
        <w:right w:val="none" w:sz="0" w:space="0" w:color="auto"/>
      </w:divBdr>
    </w:div>
    <w:div w:id="764350683">
      <w:bodyDiv w:val="1"/>
      <w:marLeft w:val="0"/>
      <w:marRight w:val="0"/>
      <w:marTop w:val="0"/>
      <w:marBottom w:val="0"/>
      <w:divBdr>
        <w:top w:val="none" w:sz="0" w:space="0" w:color="auto"/>
        <w:left w:val="none" w:sz="0" w:space="0" w:color="auto"/>
        <w:bottom w:val="none" w:sz="0" w:space="0" w:color="auto"/>
        <w:right w:val="none" w:sz="0" w:space="0" w:color="auto"/>
      </w:divBdr>
    </w:div>
    <w:div w:id="766733469">
      <w:bodyDiv w:val="1"/>
      <w:marLeft w:val="0"/>
      <w:marRight w:val="0"/>
      <w:marTop w:val="0"/>
      <w:marBottom w:val="0"/>
      <w:divBdr>
        <w:top w:val="none" w:sz="0" w:space="0" w:color="auto"/>
        <w:left w:val="none" w:sz="0" w:space="0" w:color="auto"/>
        <w:bottom w:val="none" w:sz="0" w:space="0" w:color="auto"/>
        <w:right w:val="none" w:sz="0" w:space="0" w:color="auto"/>
      </w:divBdr>
    </w:div>
    <w:div w:id="767846791">
      <w:bodyDiv w:val="1"/>
      <w:marLeft w:val="0"/>
      <w:marRight w:val="0"/>
      <w:marTop w:val="0"/>
      <w:marBottom w:val="0"/>
      <w:divBdr>
        <w:top w:val="none" w:sz="0" w:space="0" w:color="auto"/>
        <w:left w:val="none" w:sz="0" w:space="0" w:color="auto"/>
        <w:bottom w:val="none" w:sz="0" w:space="0" w:color="auto"/>
        <w:right w:val="none" w:sz="0" w:space="0" w:color="auto"/>
      </w:divBdr>
    </w:div>
    <w:div w:id="772482077">
      <w:bodyDiv w:val="1"/>
      <w:marLeft w:val="0"/>
      <w:marRight w:val="0"/>
      <w:marTop w:val="0"/>
      <w:marBottom w:val="0"/>
      <w:divBdr>
        <w:top w:val="none" w:sz="0" w:space="0" w:color="auto"/>
        <w:left w:val="none" w:sz="0" w:space="0" w:color="auto"/>
        <w:bottom w:val="none" w:sz="0" w:space="0" w:color="auto"/>
        <w:right w:val="none" w:sz="0" w:space="0" w:color="auto"/>
      </w:divBdr>
    </w:div>
    <w:div w:id="773016730">
      <w:bodyDiv w:val="1"/>
      <w:marLeft w:val="0"/>
      <w:marRight w:val="0"/>
      <w:marTop w:val="0"/>
      <w:marBottom w:val="0"/>
      <w:divBdr>
        <w:top w:val="none" w:sz="0" w:space="0" w:color="auto"/>
        <w:left w:val="none" w:sz="0" w:space="0" w:color="auto"/>
        <w:bottom w:val="none" w:sz="0" w:space="0" w:color="auto"/>
        <w:right w:val="none" w:sz="0" w:space="0" w:color="auto"/>
      </w:divBdr>
    </w:div>
    <w:div w:id="774207160">
      <w:bodyDiv w:val="1"/>
      <w:marLeft w:val="0"/>
      <w:marRight w:val="0"/>
      <w:marTop w:val="0"/>
      <w:marBottom w:val="0"/>
      <w:divBdr>
        <w:top w:val="none" w:sz="0" w:space="0" w:color="auto"/>
        <w:left w:val="none" w:sz="0" w:space="0" w:color="auto"/>
        <w:bottom w:val="none" w:sz="0" w:space="0" w:color="auto"/>
        <w:right w:val="none" w:sz="0" w:space="0" w:color="auto"/>
      </w:divBdr>
    </w:div>
    <w:div w:id="791479666">
      <w:bodyDiv w:val="1"/>
      <w:marLeft w:val="0"/>
      <w:marRight w:val="0"/>
      <w:marTop w:val="0"/>
      <w:marBottom w:val="0"/>
      <w:divBdr>
        <w:top w:val="none" w:sz="0" w:space="0" w:color="auto"/>
        <w:left w:val="none" w:sz="0" w:space="0" w:color="auto"/>
        <w:bottom w:val="none" w:sz="0" w:space="0" w:color="auto"/>
        <w:right w:val="none" w:sz="0" w:space="0" w:color="auto"/>
      </w:divBdr>
    </w:div>
    <w:div w:id="792330922">
      <w:bodyDiv w:val="1"/>
      <w:marLeft w:val="0"/>
      <w:marRight w:val="0"/>
      <w:marTop w:val="0"/>
      <w:marBottom w:val="0"/>
      <w:divBdr>
        <w:top w:val="none" w:sz="0" w:space="0" w:color="auto"/>
        <w:left w:val="none" w:sz="0" w:space="0" w:color="auto"/>
        <w:bottom w:val="none" w:sz="0" w:space="0" w:color="auto"/>
        <w:right w:val="none" w:sz="0" w:space="0" w:color="auto"/>
      </w:divBdr>
    </w:div>
    <w:div w:id="792864894">
      <w:bodyDiv w:val="1"/>
      <w:marLeft w:val="0"/>
      <w:marRight w:val="0"/>
      <w:marTop w:val="0"/>
      <w:marBottom w:val="0"/>
      <w:divBdr>
        <w:top w:val="none" w:sz="0" w:space="0" w:color="auto"/>
        <w:left w:val="none" w:sz="0" w:space="0" w:color="auto"/>
        <w:bottom w:val="none" w:sz="0" w:space="0" w:color="auto"/>
        <w:right w:val="none" w:sz="0" w:space="0" w:color="auto"/>
      </w:divBdr>
    </w:div>
    <w:div w:id="792865376">
      <w:bodyDiv w:val="1"/>
      <w:marLeft w:val="0"/>
      <w:marRight w:val="0"/>
      <w:marTop w:val="0"/>
      <w:marBottom w:val="0"/>
      <w:divBdr>
        <w:top w:val="none" w:sz="0" w:space="0" w:color="auto"/>
        <w:left w:val="none" w:sz="0" w:space="0" w:color="auto"/>
        <w:bottom w:val="none" w:sz="0" w:space="0" w:color="auto"/>
        <w:right w:val="none" w:sz="0" w:space="0" w:color="auto"/>
      </w:divBdr>
    </w:div>
    <w:div w:id="793715257">
      <w:bodyDiv w:val="1"/>
      <w:marLeft w:val="0"/>
      <w:marRight w:val="0"/>
      <w:marTop w:val="0"/>
      <w:marBottom w:val="0"/>
      <w:divBdr>
        <w:top w:val="none" w:sz="0" w:space="0" w:color="auto"/>
        <w:left w:val="none" w:sz="0" w:space="0" w:color="auto"/>
        <w:bottom w:val="none" w:sz="0" w:space="0" w:color="auto"/>
        <w:right w:val="none" w:sz="0" w:space="0" w:color="auto"/>
      </w:divBdr>
    </w:div>
    <w:div w:id="794104692">
      <w:bodyDiv w:val="1"/>
      <w:marLeft w:val="0"/>
      <w:marRight w:val="0"/>
      <w:marTop w:val="0"/>
      <w:marBottom w:val="0"/>
      <w:divBdr>
        <w:top w:val="none" w:sz="0" w:space="0" w:color="auto"/>
        <w:left w:val="none" w:sz="0" w:space="0" w:color="auto"/>
        <w:bottom w:val="none" w:sz="0" w:space="0" w:color="auto"/>
        <w:right w:val="none" w:sz="0" w:space="0" w:color="auto"/>
      </w:divBdr>
    </w:div>
    <w:div w:id="798230947">
      <w:bodyDiv w:val="1"/>
      <w:marLeft w:val="0"/>
      <w:marRight w:val="0"/>
      <w:marTop w:val="0"/>
      <w:marBottom w:val="0"/>
      <w:divBdr>
        <w:top w:val="none" w:sz="0" w:space="0" w:color="auto"/>
        <w:left w:val="none" w:sz="0" w:space="0" w:color="auto"/>
        <w:bottom w:val="none" w:sz="0" w:space="0" w:color="auto"/>
        <w:right w:val="none" w:sz="0" w:space="0" w:color="auto"/>
      </w:divBdr>
    </w:div>
    <w:div w:id="802161168">
      <w:bodyDiv w:val="1"/>
      <w:marLeft w:val="0"/>
      <w:marRight w:val="0"/>
      <w:marTop w:val="0"/>
      <w:marBottom w:val="0"/>
      <w:divBdr>
        <w:top w:val="none" w:sz="0" w:space="0" w:color="auto"/>
        <w:left w:val="none" w:sz="0" w:space="0" w:color="auto"/>
        <w:bottom w:val="none" w:sz="0" w:space="0" w:color="auto"/>
        <w:right w:val="none" w:sz="0" w:space="0" w:color="auto"/>
      </w:divBdr>
    </w:div>
    <w:div w:id="802816434">
      <w:bodyDiv w:val="1"/>
      <w:marLeft w:val="0"/>
      <w:marRight w:val="0"/>
      <w:marTop w:val="0"/>
      <w:marBottom w:val="0"/>
      <w:divBdr>
        <w:top w:val="none" w:sz="0" w:space="0" w:color="auto"/>
        <w:left w:val="none" w:sz="0" w:space="0" w:color="auto"/>
        <w:bottom w:val="none" w:sz="0" w:space="0" w:color="auto"/>
        <w:right w:val="none" w:sz="0" w:space="0" w:color="auto"/>
      </w:divBdr>
    </w:div>
    <w:div w:id="804153098">
      <w:bodyDiv w:val="1"/>
      <w:marLeft w:val="0"/>
      <w:marRight w:val="0"/>
      <w:marTop w:val="0"/>
      <w:marBottom w:val="0"/>
      <w:divBdr>
        <w:top w:val="none" w:sz="0" w:space="0" w:color="auto"/>
        <w:left w:val="none" w:sz="0" w:space="0" w:color="auto"/>
        <w:bottom w:val="none" w:sz="0" w:space="0" w:color="auto"/>
        <w:right w:val="none" w:sz="0" w:space="0" w:color="auto"/>
      </w:divBdr>
    </w:div>
    <w:div w:id="805314586">
      <w:bodyDiv w:val="1"/>
      <w:marLeft w:val="0"/>
      <w:marRight w:val="0"/>
      <w:marTop w:val="0"/>
      <w:marBottom w:val="0"/>
      <w:divBdr>
        <w:top w:val="none" w:sz="0" w:space="0" w:color="auto"/>
        <w:left w:val="none" w:sz="0" w:space="0" w:color="auto"/>
        <w:bottom w:val="none" w:sz="0" w:space="0" w:color="auto"/>
        <w:right w:val="none" w:sz="0" w:space="0" w:color="auto"/>
      </w:divBdr>
    </w:div>
    <w:div w:id="808136071">
      <w:bodyDiv w:val="1"/>
      <w:marLeft w:val="0"/>
      <w:marRight w:val="0"/>
      <w:marTop w:val="0"/>
      <w:marBottom w:val="0"/>
      <w:divBdr>
        <w:top w:val="none" w:sz="0" w:space="0" w:color="auto"/>
        <w:left w:val="none" w:sz="0" w:space="0" w:color="auto"/>
        <w:bottom w:val="none" w:sz="0" w:space="0" w:color="auto"/>
        <w:right w:val="none" w:sz="0" w:space="0" w:color="auto"/>
      </w:divBdr>
    </w:div>
    <w:div w:id="808785046">
      <w:bodyDiv w:val="1"/>
      <w:marLeft w:val="0"/>
      <w:marRight w:val="0"/>
      <w:marTop w:val="0"/>
      <w:marBottom w:val="0"/>
      <w:divBdr>
        <w:top w:val="none" w:sz="0" w:space="0" w:color="auto"/>
        <w:left w:val="none" w:sz="0" w:space="0" w:color="auto"/>
        <w:bottom w:val="none" w:sz="0" w:space="0" w:color="auto"/>
        <w:right w:val="none" w:sz="0" w:space="0" w:color="auto"/>
      </w:divBdr>
    </w:div>
    <w:div w:id="814569865">
      <w:bodyDiv w:val="1"/>
      <w:marLeft w:val="0"/>
      <w:marRight w:val="0"/>
      <w:marTop w:val="0"/>
      <w:marBottom w:val="0"/>
      <w:divBdr>
        <w:top w:val="none" w:sz="0" w:space="0" w:color="auto"/>
        <w:left w:val="none" w:sz="0" w:space="0" w:color="auto"/>
        <w:bottom w:val="none" w:sz="0" w:space="0" w:color="auto"/>
        <w:right w:val="none" w:sz="0" w:space="0" w:color="auto"/>
      </w:divBdr>
    </w:div>
    <w:div w:id="819806348">
      <w:bodyDiv w:val="1"/>
      <w:marLeft w:val="0"/>
      <w:marRight w:val="0"/>
      <w:marTop w:val="0"/>
      <w:marBottom w:val="0"/>
      <w:divBdr>
        <w:top w:val="none" w:sz="0" w:space="0" w:color="auto"/>
        <w:left w:val="none" w:sz="0" w:space="0" w:color="auto"/>
        <w:bottom w:val="none" w:sz="0" w:space="0" w:color="auto"/>
        <w:right w:val="none" w:sz="0" w:space="0" w:color="auto"/>
      </w:divBdr>
    </w:div>
    <w:div w:id="822820952">
      <w:bodyDiv w:val="1"/>
      <w:marLeft w:val="0"/>
      <w:marRight w:val="0"/>
      <w:marTop w:val="0"/>
      <w:marBottom w:val="0"/>
      <w:divBdr>
        <w:top w:val="none" w:sz="0" w:space="0" w:color="auto"/>
        <w:left w:val="none" w:sz="0" w:space="0" w:color="auto"/>
        <w:bottom w:val="none" w:sz="0" w:space="0" w:color="auto"/>
        <w:right w:val="none" w:sz="0" w:space="0" w:color="auto"/>
      </w:divBdr>
    </w:div>
    <w:div w:id="828136432">
      <w:bodyDiv w:val="1"/>
      <w:marLeft w:val="0"/>
      <w:marRight w:val="0"/>
      <w:marTop w:val="0"/>
      <w:marBottom w:val="0"/>
      <w:divBdr>
        <w:top w:val="none" w:sz="0" w:space="0" w:color="auto"/>
        <w:left w:val="none" w:sz="0" w:space="0" w:color="auto"/>
        <w:bottom w:val="none" w:sz="0" w:space="0" w:color="auto"/>
        <w:right w:val="none" w:sz="0" w:space="0" w:color="auto"/>
      </w:divBdr>
    </w:div>
    <w:div w:id="830683503">
      <w:bodyDiv w:val="1"/>
      <w:marLeft w:val="0"/>
      <w:marRight w:val="0"/>
      <w:marTop w:val="0"/>
      <w:marBottom w:val="0"/>
      <w:divBdr>
        <w:top w:val="none" w:sz="0" w:space="0" w:color="auto"/>
        <w:left w:val="none" w:sz="0" w:space="0" w:color="auto"/>
        <w:bottom w:val="none" w:sz="0" w:space="0" w:color="auto"/>
        <w:right w:val="none" w:sz="0" w:space="0" w:color="auto"/>
      </w:divBdr>
    </w:div>
    <w:div w:id="840588359">
      <w:bodyDiv w:val="1"/>
      <w:marLeft w:val="0"/>
      <w:marRight w:val="0"/>
      <w:marTop w:val="0"/>
      <w:marBottom w:val="0"/>
      <w:divBdr>
        <w:top w:val="none" w:sz="0" w:space="0" w:color="auto"/>
        <w:left w:val="none" w:sz="0" w:space="0" w:color="auto"/>
        <w:bottom w:val="none" w:sz="0" w:space="0" w:color="auto"/>
        <w:right w:val="none" w:sz="0" w:space="0" w:color="auto"/>
      </w:divBdr>
    </w:div>
    <w:div w:id="855115274">
      <w:bodyDiv w:val="1"/>
      <w:marLeft w:val="0"/>
      <w:marRight w:val="0"/>
      <w:marTop w:val="0"/>
      <w:marBottom w:val="0"/>
      <w:divBdr>
        <w:top w:val="none" w:sz="0" w:space="0" w:color="auto"/>
        <w:left w:val="none" w:sz="0" w:space="0" w:color="auto"/>
        <w:bottom w:val="none" w:sz="0" w:space="0" w:color="auto"/>
        <w:right w:val="none" w:sz="0" w:space="0" w:color="auto"/>
      </w:divBdr>
    </w:div>
    <w:div w:id="856582122">
      <w:bodyDiv w:val="1"/>
      <w:marLeft w:val="0"/>
      <w:marRight w:val="0"/>
      <w:marTop w:val="0"/>
      <w:marBottom w:val="0"/>
      <w:divBdr>
        <w:top w:val="none" w:sz="0" w:space="0" w:color="auto"/>
        <w:left w:val="none" w:sz="0" w:space="0" w:color="auto"/>
        <w:bottom w:val="none" w:sz="0" w:space="0" w:color="auto"/>
        <w:right w:val="none" w:sz="0" w:space="0" w:color="auto"/>
      </w:divBdr>
    </w:div>
    <w:div w:id="859781967">
      <w:bodyDiv w:val="1"/>
      <w:marLeft w:val="0"/>
      <w:marRight w:val="0"/>
      <w:marTop w:val="0"/>
      <w:marBottom w:val="0"/>
      <w:divBdr>
        <w:top w:val="none" w:sz="0" w:space="0" w:color="auto"/>
        <w:left w:val="none" w:sz="0" w:space="0" w:color="auto"/>
        <w:bottom w:val="none" w:sz="0" w:space="0" w:color="auto"/>
        <w:right w:val="none" w:sz="0" w:space="0" w:color="auto"/>
      </w:divBdr>
    </w:div>
    <w:div w:id="860439407">
      <w:bodyDiv w:val="1"/>
      <w:marLeft w:val="0"/>
      <w:marRight w:val="0"/>
      <w:marTop w:val="0"/>
      <w:marBottom w:val="0"/>
      <w:divBdr>
        <w:top w:val="none" w:sz="0" w:space="0" w:color="auto"/>
        <w:left w:val="none" w:sz="0" w:space="0" w:color="auto"/>
        <w:bottom w:val="none" w:sz="0" w:space="0" w:color="auto"/>
        <w:right w:val="none" w:sz="0" w:space="0" w:color="auto"/>
      </w:divBdr>
    </w:div>
    <w:div w:id="863709549">
      <w:bodyDiv w:val="1"/>
      <w:marLeft w:val="0"/>
      <w:marRight w:val="0"/>
      <w:marTop w:val="0"/>
      <w:marBottom w:val="0"/>
      <w:divBdr>
        <w:top w:val="none" w:sz="0" w:space="0" w:color="auto"/>
        <w:left w:val="none" w:sz="0" w:space="0" w:color="auto"/>
        <w:bottom w:val="none" w:sz="0" w:space="0" w:color="auto"/>
        <w:right w:val="none" w:sz="0" w:space="0" w:color="auto"/>
      </w:divBdr>
    </w:div>
    <w:div w:id="865682486">
      <w:bodyDiv w:val="1"/>
      <w:marLeft w:val="0"/>
      <w:marRight w:val="0"/>
      <w:marTop w:val="0"/>
      <w:marBottom w:val="0"/>
      <w:divBdr>
        <w:top w:val="none" w:sz="0" w:space="0" w:color="auto"/>
        <w:left w:val="none" w:sz="0" w:space="0" w:color="auto"/>
        <w:bottom w:val="none" w:sz="0" w:space="0" w:color="auto"/>
        <w:right w:val="none" w:sz="0" w:space="0" w:color="auto"/>
      </w:divBdr>
    </w:div>
    <w:div w:id="867833795">
      <w:bodyDiv w:val="1"/>
      <w:marLeft w:val="0"/>
      <w:marRight w:val="0"/>
      <w:marTop w:val="0"/>
      <w:marBottom w:val="0"/>
      <w:divBdr>
        <w:top w:val="none" w:sz="0" w:space="0" w:color="auto"/>
        <w:left w:val="none" w:sz="0" w:space="0" w:color="auto"/>
        <w:bottom w:val="none" w:sz="0" w:space="0" w:color="auto"/>
        <w:right w:val="none" w:sz="0" w:space="0" w:color="auto"/>
      </w:divBdr>
    </w:div>
    <w:div w:id="872425664">
      <w:bodyDiv w:val="1"/>
      <w:marLeft w:val="0"/>
      <w:marRight w:val="0"/>
      <w:marTop w:val="0"/>
      <w:marBottom w:val="0"/>
      <w:divBdr>
        <w:top w:val="none" w:sz="0" w:space="0" w:color="auto"/>
        <w:left w:val="none" w:sz="0" w:space="0" w:color="auto"/>
        <w:bottom w:val="none" w:sz="0" w:space="0" w:color="auto"/>
        <w:right w:val="none" w:sz="0" w:space="0" w:color="auto"/>
      </w:divBdr>
    </w:div>
    <w:div w:id="887449015">
      <w:bodyDiv w:val="1"/>
      <w:marLeft w:val="0"/>
      <w:marRight w:val="0"/>
      <w:marTop w:val="0"/>
      <w:marBottom w:val="0"/>
      <w:divBdr>
        <w:top w:val="none" w:sz="0" w:space="0" w:color="auto"/>
        <w:left w:val="none" w:sz="0" w:space="0" w:color="auto"/>
        <w:bottom w:val="none" w:sz="0" w:space="0" w:color="auto"/>
        <w:right w:val="none" w:sz="0" w:space="0" w:color="auto"/>
      </w:divBdr>
    </w:div>
    <w:div w:id="888764673">
      <w:bodyDiv w:val="1"/>
      <w:marLeft w:val="0"/>
      <w:marRight w:val="0"/>
      <w:marTop w:val="0"/>
      <w:marBottom w:val="0"/>
      <w:divBdr>
        <w:top w:val="none" w:sz="0" w:space="0" w:color="auto"/>
        <w:left w:val="none" w:sz="0" w:space="0" w:color="auto"/>
        <w:bottom w:val="none" w:sz="0" w:space="0" w:color="auto"/>
        <w:right w:val="none" w:sz="0" w:space="0" w:color="auto"/>
      </w:divBdr>
    </w:div>
    <w:div w:id="894007424">
      <w:bodyDiv w:val="1"/>
      <w:marLeft w:val="0"/>
      <w:marRight w:val="0"/>
      <w:marTop w:val="0"/>
      <w:marBottom w:val="0"/>
      <w:divBdr>
        <w:top w:val="none" w:sz="0" w:space="0" w:color="auto"/>
        <w:left w:val="none" w:sz="0" w:space="0" w:color="auto"/>
        <w:bottom w:val="none" w:sz="0" w:space="0" w:color="auto"/>
        <w:right w:val="none" w:sz="0" w:space="0" w:color="auto"/>
      </w:divBdr>
    </w:div>
    <w:div w:id="900599459">
      <w:bodyDiv w:val="1"/>
      <w:marLeft w:val="0"/>
      <w:marRight w:val="0"/>
      <w:marTop w:val="0"/>
      <w:marBottom w:val="0"/>
      <w:divBdr>
        <w:top w:val="none" w:sz="0" w:space="0" w:color="auto"/>
        <w:left w:val="none" w:sz="0" w:space="0" w:color="auto"/>
        <w:bottom w:val="none" w:sz="0" w:space="0" w:color="auto"/>
        <w:right w:val="none" w:sz="0" w:space="0" w:color="auto"/>
      </w:divBdr>
    </w:div>
    <w:div w:id="900672862">
      <w:bodyDiv w:val="1"/>
      <w:marLeft w:val="0"/>
      <w:marRight w:val="0"/>
      <w:marTop w:val="0"/>
      <w:marBottom w:val="0"/>
      <w:divBdr>
        <w:top w:val="none" w:sz="0" w:space="0" w:color="auto"/>
        <w:left w:val="none" w:sz="0" w:space="0" w:color="auto"/>
        <w:bottom w:val="none" w:sz="0" w:space="0" w:color="auto"/>
        <w:right w:val="none" w:sz="0" w:space="0" w:color="auto"/>
      </w:divBdr>
    </w:div>
    <w:div w:id="903223419">
      <w:bodyDiv w:val="1"/>
      <w:marLeft w:val="0"/>
      <w:marRight w:val="0"/>
      <w:marTop w:val="0"/>
      <w:marBottom w:val="0"/>
      <w:divBdr>
        <w:top w:val="none" w:sz="0" w:space="0" w:color="auto"/>
        <w:left w:val="none" w:sz="0" w:space="0" w:color="auto"/>
        <w:bottom w:val="none" w:sz="0" w:space="0" w:color="auto"/>
        <w:right w:val="none" w:sz="0" w:space="0" w:color="auto"/>
      </w:divBdr>
    </w:div>
    <w:div w:id="905602953">
      <w:bodyDiv w:val="1"/>
      <w:marLeft w:val="0"/>
      <w:marRight w:val="0"/>
      <w:marTop w:val="0"/>
      <w:marBottom w:val="0"/>
      <w:divBdr>
        <w:top w:val="none" w:sz="0" w:space="0" w:color="auto"/>
        <w:left w:val="none" w:sz="0" w:space="0" w:color="auto"/>
        <w:bottom w:val="none" w:sz="0" w:space="0" w:color="auto"/>
        <w:right w:val="none" w:sz="0" w:space="0" w:color="auto"/>
      </w:divBdr>
    </w:div>
    <w:div w:id="906066187">
      <w:bodyDiv w:val="1"/>
      <w:marLeft w:val="0"/>
      <w:marRight w:val="0"/>
      <w:marTop w:val="0"/>
      <w:marBottom w:val="0"/>
      <w:divBdr>
        <w:top w:val="none" w:sz="0" w:space="0" w:color="auto"/>
        <w:left w:val="none" w:sz="0" w:space="0" w:color="auto"/>
        <w:bottom w:val="none" w:sz="0" w:space="0" w:color="auto"/>
        <w:right w:val="none" w:sz="0" w:space="0" w:color="auto"/>
      </w:divBdr>
    </w:div>
    <w:div w:id="912660428">
      <w:bodyDiv w:val="1"/>
      <w:marLeft w:val="0"/>
      <w:marRight w:val="0"/>
      <w:marTop w:val="0"/>
      <w:marBottom w:val="0"/>
      <w:divBdr>
        <w:top w:val="none" w:sz="0" w:space="0" w:color="auto"/>
        <w:left w:val="none" w:sz="0" w:space="0" w:color="auto"/>
        <w:bottom w:val="none" w:sz="0" w:space="0" w:color="auto"/>
        <w:right w:val="none" w:sz="0" w:space="0" w:color="auto"/>
      </w:divBdr>
    </w:div>
    <w:div w:id="915625612">
      <w:bodyDiv w:val="1"/>
      <w:marLeft w:val="0"/>
      <w:marRight w:val="0"/>
      <w:marTop w:val="0"/>
      <w:marBottom w:val="0"/>
      <w:divBdr>
        <w:top w:val="none" w:sz="0" w:space="0" w:color="auto"/>
        <w:left w:val="none" w:sz="0" w:space="0" w:color="auto"/>
        <w:bottom w:val="none" w:sz="0" w:space="0" w:color="auto"/>
        <w:right w:val="none" w:sz="0" w:space="0" w:color="auto"/>
      </w:divBdr>
    </w:div>
    <w:div w:id="916986345">
      <w:bodyDiv w:val="1"/>
      <w:marLeft w:val="0"/>
      <w:marRight w:val="0"/>
      <w:marTop w:val="0"/>
      <w:marBottom w:val="0"/>
      <w:divBdr>
        <w:top w:val="none" w:sz="0" w:space="0" w:color="auto"/>
        <w:left w:val="none" w:sz="0" w:space="0" w:color="auto"/>
        <w:bottom w:val="none" w:sz="0" w:space="0" w:color="auto"/>
        <w:right w:val="none" w:sz="0" w:space="0" w:color="auto"/>
      </w:divBdr>
    </w:div>
    <w:div w:id="920215480">
      <w:bodyDiv w:val="1"/>
      <w:marLeft w:val="0"/>
      <w:marRight w:val="0"/>
      <w:marTop w:val="0"/>
      <w:marBottom w:val="0"/>
      <w:divBdr>
        <w:top w:val="none" w:sz="0" w:space="0" w:color="auto"/>
        <w:left w:val="none" w:sz="0" w:space="0" w:color="auto"/>
        <w:bottom w:val="none" w:sz="0" w:space="0" w:color="auto"/>
        <w:right w:val="none" w:sz="0" w:space="0" w:color="auto"/>
      </w:divBdr>
    </w:div>
    <w:div w:id="921450013">
      <w:bodyDiv w:val="1"/>
      <w:marLeft w:val="0"/>
      <w:marRight w:val="0"/>
      <w:marTop w:val="0"/>
      <w:marBottom w:val="0"/>
      <w:divBdr>
        <w:top w:val="none" w:sz="0" w:space="0" w:color="auto"/>
        <w:left w:val="none" w:sz="0" w:space="0" w:color="auto"/>
        <w:bottom w:val="none" w:sz="0" w:space="0" w:color="auto"/>
        <w:right w:val="none" w:sz="0" w:space="0" w:color="auto"/>
      </w:divBdr>
    </w:div>
    <w:div w:id="939408156">
      <w:bodyDiv w:val="1"/>
      <w:marLeft w:val="0"/>
      <w:marRight w:val="0"/>
      <w:marTop w:val="0"/>
      <w:marBottom w:val="0"/>
      <w:divBdr>
        <w:top w:val="none" w:sz="0" w:space="0" w:color="auto"/>
        <w:left w:val="none" w:sz="0" w:space="0" w:color="auto"/>
        <w:bottom w:val="none" w:sz="0" w:space="0" w:color="auto"/>
        <w:right w:val="none" w:sz="0" w:space="0" w:color="auto"/>
      </w:divBdr>
    </w:div>
    <w:div w:id="939797937">
      <w:bodyDiv w:val="1"/>
      <w:marLeft w:val="0"/>
      <w:marRight w:val="0"/>
      <w:marTop w:val="0"/>
      <w:marBottom w:val="0"/>
      <w:divBdr>
        <w:top w:val="none" w:sz="0" w:space="0" w:color="auto"/>
        <w:left w:val="none" w:sz="0" w:space="0" w:color="auto"/>
        <w:bottom w:val="none" w:sz="0" w:space="0" w:color="auto"/>
        <w:right w:val="none" w:sz="0" w:space="0" w:color="auto"/>
      </w:divBdr>
    </w:div>
    <w:div w:id="954140114">
      <w:bodyDiv w:val="1"/>
      <w:marLeft w:val="0"/>
      <w:marRight w:val="0"/>
      <w:marTop w:val="0"/>
      <w:marBottom w:val="0"/>
      <w:divBdr>
        <w:top w:val="none" w:sz="0" w:space="0" w:color="auto"/>
        <w:left w:val="none" w:sz="0" w:space="0" w:color="auto"/>
        <w:bottom w:val="none" w:sz="0" w:space="0" w:color="auto"/>
        <w:right w:val="none" w:sz="0" w:space="0" w:color="auto"/>
      </w:divBdr>
    </w:div>
    <w:div w:id="954288781">
      <w:bodyDiv w:val="1"/>
      <w:marLeft w:val="0"/>
      <w:marRight w:val="0"/>
      <w:marTop w:val="0"/>
      <w:marBottom w:val="0"/>
      <w:divBdr>
        <w:top w:val="none" w:sz="0" w:space="0" w:color="auto"/>
        <w:left w:val="none" w:sz="0" w:space="0" w:color="auto"/>
        <w:bottom w:val="none" w:sz="0" w:space="0" w:color="auto"/>
        <w:right w:val="none" w:sz="0" w:space="0" w:color="auto"/>
      </w:divBdr>
    </w:div>
    <w:div w:id="955330906">
      <w:bodyDiv w:val="1"/>
      <w:marLeft w:val="0"/>
      <w:marRight w:val="0"/>
      <w:marTop w:val="0"/>
      <w:marBottom w:val="0"/>
      <w:divBdr>
        <w:top w:val="none" w:sz="0" w:space="0" w:color="auto"/>
        <w:left w:val="none" w:sz="0" w:space="0" w:color="auto"/>
        <w:bottom w:val="none" w:sz="0" w:space="0" w:color="auto"/>
        <w:right w:val="none" w:sz="0" w:space="0" w:color="auto"/>
      </w:divBdr>
    </w:div>
    <w:div w:id="960838734">
      <w:bodyDiv w:val="1"/>
      <w:marLeft w:val="0"/>
      <w:marRight w:val="0"/>
      <w:marTop w:val="0"/>
      <w:marBottom w:val="0"/>
      <w:divBdr>
        <w:top w:val="none" w:sz="0" w:space="0" w:color="auto"/>
        <w:left w:val="none" w:sz="0" w:space="0" w:color="auto"/>
        <w:bottom w:val="none" w:sz="0" w:space="0" w:color="auto"/>
        <w:right w:val="none" w:sz="0" w:space="0" w:color="auto"/>
      </w:divBdr>
    </w:div>
    <w:div w:id="961618095">
      <w:bodyDiv w:val="1"/>
      <w:marLeft w:val="0"/>
      <w:marRight w:val="0"/>
      <w:marTop w:val="0"/>
      <w:marBottom w:val="0"/>
      <w:divBdr>
        <w:top w:val="none" w:sz="0" w:space="0" w:color="auto"/>
        <w:left w:val="none" w:sz="0" w:space="0" w:color="auto"/>
        <w:bottom w:val="none" w:sz="0" w:space="0" w:color="auto"/>
        <w:right w:val="none" w:sz="0" w:space="0" w:color="auto"/>
      </w:divBdr>
    </w:div>
    <w:div w:id="966937031">
      <w:bodyDiv w:val="1"/>
      <w:marLeft w:val="0"/>
      <w:marRight w:val="0"/>
      <w:marTop w:val="0"/>
      <w:marBottom w:val="0"/>
      <w:divBdr>
        <w:top w:val="none" w:sz="0" w:space="0" w:color="auto"/>
        <w:left w:val="none" w:sz="0" w:space="0" w:color="auto"/>
        <w:bottom w:val="none" w:sz="0" w:space="0" w:color="auto"/>
        <w:right w:val="none" w:sz="0" w:space="0" w:color="auto"/>
      </w:divBdr>
    </w:div>
    <w:div w:id="969166702">
      <w:bodyDiv w:val="1"/>
      <w:marLeft w:val="0"/>
      <w:marRight w:val="0"/>
      <w:marTop w:val="0"/>
      <w:marBottom w:val="0"/>
      <w:divBdr>
        <w:top w:val="none" w:sz="0" w:space="0" w:color="auto"/>
        <w:left w:val="none" w:sz="0" w:space="0" w:color="auto"/>
        <w:bottom w:val="none" w:sz="0" w:space="0" w:color="auto"/>
        <w:right w:val="none" w:sz="0" w:space="0" w:color="auto"/>
      </w:divBdr>
    </w:div>
    <w:div w:id="969824576">
      <w:bodyDiv w:val="1"/>
      <w:marLeft w:val="0"/>
      <w:marRight w:val="0"/>
      <w:marTop w:val="0"/>
      <w:marBottom w:val="0"/>
      <w:divBdr>
        <w:top w:val="none" w:sz="0" w:space="0" w:color="auto"/>
        <w:left w:val="none" w:sz="0" w:space="0" w:color="auto"/>
        <w:bottom w:val="none" w:sz="0" w:space="0" w:color="auto"/>
        <w:right w:val="none" w:sz="0" w:space="0" w:color="auto"/>
      </w:divBdr>
    </w:div>
    <w:div w:id="971252666">
      <w:bodyDiv w:val="1"/>
      <w:marLeft w:val="0"/>
      <w:marRight w:val="0"/>
      <w:marTop w:val="0"/>
      <w:marBottom w:val="0"/>
      <w:divBdr>
        <w:top w:val="none" w:sz="0" w:space="0" w:color="auto"/>
        <w:left w:val="none" w:sz="0" w:space="0" w:color="auto"/>
        <w:bottom w:val="none" w:sz="0" w:space="0" w:color="auto"/>
        <w:right w:val="none" w:sz="0" w:space="0" w:color="auto"/>
      </w:divBdr>
    </w:div>
    <w:div w:id="973756749">
      <w:bodyDiv w:val="1"/>
      <w:marLeft w:val="0"/>
      <w:marRight w:val="0"/>
      <w:marTop w:val="0"/>
      <w:marBottom w:val="0"/>
      <w:divBdr>
        <w:top w:val="none" w:sz="0" w:space="0" w:color="auto"/>
        <w:left w:val="none" w:sz="0" w:space="0" w:color="auto"/>
        <w:bottom w:val="none" w:sz="0" w:space="0" w:color="auto"/>
        <w:right w:val="none" w:sz="0" w:space="0" w:color="auto"/>
      </w:divBdr>
    </w:div>
    <w:div w:id="973952488">
      <w:bodyDiv w:val="1"/>
      <w:marLeft w:val="0"/>
      <w:marRight w:val="0"/>
      <w:marTop w:val="0"/>
      <w:marBottom w:val="0"/>
      <w:divBdr>
        <w:top w:val="none" w:sz="0" w:space="0" w:color="auto"/>
        <w:left w:val="none" w:sz="0" w:space="0" w:color="auto"/>
        <w:bottom w:val="none" w:sz="0" w:space="0" w:color="auto"/>
        <w:right w:val="none" w:sz="0" w:space="0" w:color="auto"/>
      </w:divBdr>
    </w:div>
    <w:div w:id="976957407">
      <w:bodyDiv w:val="1"/>
      <w:marLeft w:val="0"/>
      <w:marRight w:val="0"/>
      <w:marTop w:val="0"/>
      <w:marBottom w:val="0"/>
      <w:divBdr>
        <w:top w:val="none" w:sz="0" w:space="0" w:color="auto"/>
        <w:left w:val="none" w:sz="0" w:space="0" w:color="auto"/>
        <w:bottom w:val="none" w:sz="0" w:space="0" w:color="auto"/>
        <w:right w:val="none" w:sz="0" w:space="0" w:color="auto"/>
      </w:divBdr>
    </w:div>
    <w:div w:id="977420982">
      <w:bodyDiv w:val="1"/>
      <w:marLeft w:val="0"/>
      <w:marRight w:val="0"/>
      <w:marTop w:val="0"/>
      <w:marBottom w:val="0"/>
      <w:divBdr>
        <w:top w:val="none" w:sz="0" w:space="0" w:color="auto"/>
        <w:left w:val="none" w:sz="0" w:space="0" w:color="auto"/>
        <w:bottom w:val="none" w:sz="0" w:space="0" w:color="auto"/>
        <w:right w:val="none" w:sz="0" w:space="0" w:color="auto"/>
      </w:divBdr>
    </w:div>
    <w:div w:id="980383125">
      <w:bodyDiv w:val="1"/>
      <w:marLeft w:val="0"/>
      <w:marRight w:val="0"/>
      <w:marTop w:val="0"/>
      <w:marBottom w:val="0"/>
      <w:divBdr>
        <w:top w:val="none" w:sz="0" w:space="0" w:color="auto"/>
        <w:left w:val="none" w:sz="0" w:space="0" w:color="auto"/>
        <w:bottom w:val="none" w:sz="0" w:space="0" w:color="auto"/>
        <w:right w:val="none" w:sz="0" w:space="0" w:color="auto"/>
      </w:divBdr>
    </w:div>
    <w:div w:id="982586724">
      <w:bodyDiv w:val="1"/>
      <w:marLeft w:val="0"/>
      <w:marRight w:val="0"/>
      <w:marTop w:val="0"/>
      <w:marBottom w:val="0"/>
      <w:divBdr>
        <w:top w:val="none" w:sz="0" w:space="0" w:color="auto"/>
        <w:left w:val="none" w:sz="0" w:space="0" w:color="auto"/>
        <w:bottom w:val="none" w:sz="0" w:space="0" w:color="auto"/>
        <w:right w:val="none" w:sz="0" w:space="0" w:color="auto"/>
      </w:divBdr>
    </w:div>
    <w:div w:id="985665838">
      <w:bodyDiv w:val="1"/>
      <w:marLeft w:val="0"/>
      <w:marRight w:val="0"/>
      <w:marTop w:val="0"/>
      <w:marBottom w:val="0"/>
      <w:divBdr>
        <w:top w:val="none" w:sz="0" w:space="0" w:color="auto"/>
        <w:left w:val="none" w:sz="0" w:space="0" w:color="auto"/>
        <w:bottom w:val="none" w:sz="0" w:space="0" w:color="auto"/>
        <w:right w:val="none" w:sz="0" w:space="0" w:color="auto"/>
      </w:divBdr>
    </w:div>
    <w:div w:id="989406757">
      <w:bodyDiv w:val="1"/>
      <w:marLeft w:val="0"/>
      <w:marRight w:val="0"/>
      <w:marTop w:val="0"/>
      <w:marBottom w:val="0"/>
      <w:divBdr>
        <w:top w:val="none" w:sz="0" w:space="0" w:color="auto"/>
        <w:left w:val="none" w:sz="0" w:space="0" w:color="auto"/>
        <w:bottom w:val="none" w:sz="0" w:space="0" w:color="auto"/>
        <w:right w:val="none" w:sz="0" w:space="0" w:color="auto"/>
      </w:divBdr>
    </w:div>
    <w:div w:id="998775630">
      <w:bodyDiv w:val="1"/>
      <w:marLeft w:val="0"/>
      <w:marRight w:val="0"/>
      <w:marTop w:val="0"/>
      <w:marBottom w:val="0"/>
      <w:divBdr>
        <w:top w:val="none" w:sz="0" w:space="0" w:color="auto"/>
        <w:left w:val="none" w:sz="0" w:space="0" w:color="auto"/>
        <w:bottom w:val="none" w:sz="0" w:space="0" w:color="auto"/>
        <w:right w:val="none" w:sz="0" w:space="0" w:color="auto"/>
      </w:divBdr>
    </w:div>
    <w:div w:id="1001082591">
      <w:bodyDiv w:val="1"/>
      <w:marLeft w:val="0"/>
      <w:marRight w:val="0"/>
      <w:marTop w:val="0"/>
      <w:marBottom w:val="0"/>
      <w:divBdr>
        <w:top w:val="none" w:sz="0" w:space="0" w:color="auto"/>
        <w:left w:val="none" w:sz="0" w:space="0" w:color="auto"/>
        <w:bottom w:val="none" w:sz="0" w:space="0" w:color="auto"/>
        <w:right w:val="none" w:sz="0" w:space="0" w:color="auto"/>
      </w:divBdr>
    </w:div>
    <w:div w:id="1014305026">
      <w:bodyDiv w:val="1"/>
      <w:marLeft w:val="0"/>
      <w:marRight w:val="0"/>
      <w:marTop w:val="0"/>
      <w:marBottom w:val="0"/>
      <w:divBdr>
        <w:top w:val="none" w:sz="0" w:space="0" w:color="auto"/>
        <w:left w:val="none" w:sz="0" w:space="0" w:color="auto"/>
        <w:bottom w:val="none" w:sz="0" w:space="0" w:color="auto"/>
        <w:right w:val="none" w:sz="0" w:space="0" w:color="auto"/>
      </w:divBdr>
    </w:div>
    <w:div w:id="1014460326">
      <w:bodyDiv w:val="1"/>
      <w:marLeft w:val="0"/>
      <w:marRight w:val="0"/>
      <w:marTop w:val="0"/>
      <w:marBottom w:val="0"/>
      <w:divBdr>
        <w:top w:val="none" w:sz="0" w:space="0" w:color="auto"/>
        <w:left w:val="none" w:sz="0" w:space="0" w:color="auto"/>
        <w:bottom w:val="none" w:sz="0" w:space="0" w:color="auto"/>
        <w:right w:val="none" w:sz="0" w:space="0" w:color="auto"/>
      </w:divBdr>
    </w:div>
    <w:div w:id="1024330160">
      <w:bodyDiv w:val="1"/>
      <w:marLeft w:val="0"/>
      <w:marRight w:val="0"/>
      <w:marTop w:val="0"/>
      <w:marBottom w:val="0"/>
      <w:divBdr>
        <w:top w:val="none" w:sz="0" w:space="0" w:color="auto"/>
        <w:left w:val="none" w:sz="0" w:space="0" w:color="auto"/>
        <w:bottom w:val="none" w:sz="0" w:space="0" w:color="auto"/>
        <w:right w:val="none" w:sz="0" w:space="0" w:color="auto"/>
      </w:divBdr>
    </w:div>
    <w:div w:id="1025862400">
      <w:bodyDiv w:val="1"/>
      <w:marLeft w:val="0"/>
      <w:marRight w:val="0"/>
      <w:marTop w:val="0"/>
      <w:marBottom w:val="0"/>
      <w:divBdr>
        <w:top w:val="none" w:sz="0" w:space="0" w:color="auto"/>
        <w:left w:val="none" w:sz="0" w:space="0" w:color="auto"/>
        <w:bottom w:val="none" w:sz="0" w:space="0" w:color="auto"/>
        <w:right w:val="none" w:sz="0" w:space="0" w:color="auto"/>
      </w:divBdr>
    </w:div>
    <w:div w:id="1032068755">
      <w:bodyDiv w:val="1"/>
      <w:marLeft w:val="0"/>
      <w:marRight w:val="0"/>
      <w:marTop w:val="0"/>
      <w:marBottom w:val="0"/>
      <w:divBdr>
        <w:top w:val="none" w:sz="0" w:space="0" w:color="auto"/>
        <w:left w:val="none" w:sz="0" w:space="0" w:color="auto"/>
        <w:bottom w:val="none" w:sz="0" w:space="0" w:color="auto"/>
        <w:right w:val="none" w:sz="0" w:space="0" w:color="auto"/>
      </w:divBdr>
    </w:div>
    <w:div w:id="1033073083">
      <w:bodyDiv w:val="1"/>
      <w:marLeft w:val="0"/>
      <w:marRight w:val="0"/>
      <w:marTop w:val="0"/>
      <w:marBottom w:val="0"/>
      <w:divBdr>
        <w:top w:val="none" w:sz="0" w:space="0" w:color="auto"/>
        <w:left w:val="none" w:sz="0" w:space="0" w:color="auto"/>
        <w:bottom w:val="none" w:sz="0" w:space="0" w:color="auto"/>
        <w:right w:val="none" w:sz="0" w:space="0" w:color="auto"/>
      </w:divBdr>
    </w:div>
    <w:div w:id="1052311708">
      <w:bodyDiv w:val="1"/>
      <w:marLeft w:val="0"/>
      <w:marRight w:val="0"/>
      <w:marTop w:val="0"/>
      <w:marBottom w:val="0"/>
      <w:divBdr>
        <w:top w:val="none" w:sz="0" w:space="0" w:color="auto"/>
        <w:left w:val="none" w:sz="0" w:space="0" w:color="auto"/>
        <w:bottom w:val="none" w:sz="0" w:space="0" w:color="auto"/>
        <w:right w:val="none" w:sz="0" w:space="0" w:color="auto"/>
      </w:divBdr>
    </w:div>
    <w:div w:id="1053041938">
      <w:bodyDiv w:val="1"/>
      <w:marLeft w:val="0"/>
      <w:marRight w:val="0"/>
      <w:marTop w:val="0"/>
      <w:marBottom w:val="0"/>
      <w:divBdr>
        <w:top w:val="none" w:sz="0" w:space="0" w:color="auto"/>
        <w:left w:val="none" w:sz="0" w:space="0" w:color="auto"/>
        <w:bottom w:val="none" w:sz="0" w:space="0" w:color="auto"/>
        <w:right w:val="none" w:sz="0" w:space="0" w:color="auto"/>
      </w:divBdr>
    </w:div>
    <w:div w:id="1056275330">
      <w:bodyDiv w:val="1"/>
      <w:marLeft w:val="0"/>
      <w:marRight w:val="0"/>
      <w:marTop w:val="0"/>
      <w:marBottom w:val="0"/>
      <w:divBdr>
        <w:top w:val="none" w:sz="0" w:space="0" w:color="auto"/>
        <w:left w:val="none" w:sz="0" w:space="0" w:color="auto"/>
        <w:bottom w:val="none" w:sz="0" w:space="0" w:color="auto"/>
        <w:right w:val="none" w:sz="0" w:space="0" w:color="auto"/>
      </w:divBdr>
    </w:div>
    <w:div w:id="1057050008">
      <w:bodyDiv w:val="1"/>
      <w:marLeft w:val="0"/>
      <w:marRight w:val="0"/>
      <w:marTop w:val="0"/>
      <w:marBottom w:val="0"/>
      <w:divBdr>
        <w:top w:val="none" w:sz="0" w:space="0" w:color="auto"/>
        <w:left w:val="none" w:sz="0" w:space="0" w:color="auto"/>
        <w:bottom w:val="none" w:sz="0" w:space="0" w:color="auto"/>
        <w:right w:val="none" w:sz="0" w:space="0" w:color="auto"/>
      </w:divBdr>
    </w:div>
    <w:div w:id="1077287903">
      <w:bodyDiv w:val="1"/>
      <w:marLeft w:val="0"/>
      <w:marRight w:val="0"/>
      <w:marTop w:val="0"/>
      <w:marBottom w:val="0"/>
      <w:divBdr>
        <w:top w:val="none" w:sz="0" w:space="0" w:color="auto"/>
        <w:left w:val="none" w:sz="0" w:space="0" w:color="auto"/>
        <w:bottom w:val="none" w:sz="0" w:space="0" w:color="auto"/>
        <w:right w:val="none" w:sz="0" w:space="0" w:color="auto"/>
      </w:divBdr>
    </w:div>
    <w:div w:id="1082605158">
      <w:bodyDiv w:val="1"/>
      <w:marLeft w:val="0"/>
      <w:marRight w:val="0"/>
      <w:marTop w:val="0"/>
      <w:marBottom w:val="0"/>
      <w:divBdr>
        <w:top w:val="none" w:sz="0" w:space="0" w:color="auto"/>
        <w:left w:val="none" w:sz="0" w:space="0" w:color="auto"/>
        <w:bottom w:val="none" w:sz="0" w:space="0" w:color="auto"/>
        <w:right w:val="none" w:sz="0" w:space="0" w:color="auto"/>
      </w:divBdr>
    </w:div>
    <w:div w:id="1082872982">
      <w:bodyDiv w:val="1"/>
      <w:marLeft w:val="0"/>
      <w:marRight w:val="0"/>
      <w:marTop w:val="0"/>
      <w:marBottom w:val="0"/>
      <w:divBdr>
        <w:top w:val="none" w:sz="0" w:space="0" w:color="auto"/>
        <w:left w:val="none" w:sz="0" w:space="0" w:color="auto"/>
        <w:bottom w:val="none" w:sz="0" w:space="0" w:color="auto"/>
        <w:right w:val="none" w:sz="0" w:space="0" w:color="auto"/>
      </w:divBdr>
    </w:div>
    <w:div w:id="1082988711">
      <w:bodyDiv w:val="1"/>
      <w:marLeft w:val="0"/>
      <w:marRight w:val="0"/>
      <w:marTop w:val="0"/>
      <w:marBottom w:val="0"/>
      <w:divBdr>
        <w:top w:val="none" w:sz="0" w:space="0" w:color="auto"/>
        <w:left w:val="none" w:sz="0" w:space="0" w:color="auto"/>
        <w:bottom w:val="none" w:sz="0" w:space="0" w:color="auto"/>
        <w:right w:val="none" w:sz="0" w:space="0" w:color="auto"/>
      </w:divBdr>
    </w:div>
    <w:div w:id="1085760741">
      <w:bodyDiv w:val="1"/>
      <w:marLeft w:val="0"/>
      <w:marRight w:val="0"/>
      <w:marTop w:val="0"/>
      <w:marBottom w:val="0"/>
      <w:divBdr>
        <w:top w:val="none" w:sz="0" w:space="0" w:color="auto"/>
        <w:left w:val="none" w:sz="0" w:space="0" w:color="auto"/>
        <w:bottom w:val="none" w:sz="0" w:space="0" w:color="auto"/>
        <w:right w:val="none" w:sz="0" w:space="0" w:color="auto"/>
      </w:divBdr>
    </w:div>
    <w:div w:id="1091465294">
      <w:bodyDiv w:val="1"/>
      <w:marLeft w:val="0"/>
      <w:marRight w:val="0"/>
      <w:marTop w:val="0"/>
      <w:marBottom w:val="0"/>
      <w:divBdr>
        <w:top w:val="none" w:sz="0" w:space="0" w:color="auto"/>
        <w:left w:val="none" w:sz="0" w:space="0" w:color="auto"/>
        <w:bottom w:val="none" w:sz="0" w:space="0" w:color="auto"/>
        <w:right w:val="none" w:sz="0" w:space="0" w:color="auto"/>
      </w:divBdr>
    </w:div>
    <w:div w:id="1098603076">
      <w:bodyDiv w:val="1"/>
      <w:marLeft w:val="0"/>
      <w:marRight w:val="0"/>
      <w:marTop w:val="0"/>
      <w:marBottom w:val="0"/>
      <w:divBdr>
        <w:top w:val="none" w:sz="0" w:space="0" w:color="auto"/>
        <w:left w:val="none" w:sz="0" w:space="0" w:color="auto"/>
        <w:bottom w:val="none" w:sz="0" w:space="0" w:color="auto"/>
        <w:right w:val="none" w:sz="0" w:space="0" w:color="auto"/>
      </w:divBdr>
    </w:div>
    <w:div w:id="1099255855">
      <w:bodyDiv w:val="1"/>
      <w:marLeft w:val="0"/>
      <w:marRight w:val="0"/>
      <w:marTop w:val="0"/>
      <w:marBottom w:val="0"/>
      <w:divBdr>
        <w:top w:val="none" w:sz="0" w:space="0" w:color="auto"/>
        <w:left w:val="none" w:sz="0" w:space="0" w:color="auto"/>
        <w:bottom w:val="none" w:sz="0" w:space="0" w:color="auto"/>
        <w:right w:val="none" w:sz="0" w:space="0" w:color="auto"/>
      </w:divBdr>
    </w:div>
    <w:div w:id="1100950857">
      <w:bodyDiv w:val="1"/>
      <w:marLeft w:val="0"/>
      <w:marRight w:val="0"/>
      <w:marTop w:val="0"/>
      <w:marBottom w:val="0"/>
      <w:divBdr>
        <w:top w:val="none" w:sz="0" w:space="0" w:color="auto"/>
        <w:left w:val="none" w:sz="0" w:space="0" w:color="auto"/>
        <w:bottom w:val="none" w:sz="0" w:space="0" w:color="auto"/>
        <w:right w:val="none" w:sz="0" w:space="0" w:color="auto"/>
      </w:divBdr>
    </w:div>
    <w:div w:id="1103309213">
      <w:bodyDiv w:val="1"/>
      <w:marLeft w:val="0"/>
      <w:marRight w:val="0"/>
      <w:marTop w:val="0"/>
      <w:marBottom w:val="0"/>
      <w:divBdr>
        <w:top w:val="none" w:sz="0" w:space="0" w:color="auto"/>
        <w:left w:val="none" w:sz="0" w:space="0" w:color="auto"/>
        <w:bottom w:val="none" w:sz="0" w:space="0" w:color="auto"/>
        <w:right w:val="none" w:sz="0" w:space="0" w:color="auto"/>
      </w:divBdr>
    </w:div>
    <w:div w:id="1117338043">
      <w:bodyDiv w:val="1"/>
      <w:marLeft w:val="0"/>
      <w:marRight w:val="0"/>
      <w:marTop w:val="0"/>
      <w:marBottom w:val="0"/>
      <w:divBdr>
        <w:top w:val="none" w:sz="0" w:space="0" w:color="auto"/>
        <w:left w:val="none" w:sz="0" w:space="0" w:color="auto"/>
        <w:bottom w:val="none" w:sz="0" w:space="0" w:color="auto"/>
        <w:right w:val="none" w:sz="0" w:space="0" w:color="auto"/>
      </w:divBdr>
    </w:div>
    <w:div w:id="1121729514">
      <w:bodyDiv w:val="1"/>
      <w:marLeft w:val="0"/>
      <w:marRight w:val="0"/>
      <w:marTop w:val="0"/>
      <w:marBottom w:val="0"/>
      <w:divBdr>
        <w:top w:val="none" w:sz="0" w:space="0" w:color="auto"/>
        <w:left w:val="none" w:sz="0" w:space="0" w:color="auto"/>
        <w:bottom w:val="none" w:sz="0" w:space="0" w:color="auto"/>
        <w:right w:val="none" w:sz="0" w:space="0" w:color="auto"/>
      </w:divBdr>
    </w:div>
    <w:div w:id="1126049670">
      <w:bodyDiv w:val="1"/>
      <w:marLeft w:val="0"/>
      <w:marRight w:val="0"/>
      <w:marTop w:val="0"/>
      <w:marBottom w:val="0"/>
      <w:divBdr>
        <w:top w:val="none" w:sz="0" w:space="0" w:color="auto"/>
        <w:left w:val="none" w:sz="0" w:space="0" w:color="auto"/>
        <w:bottom w:val="none" w:sz="0" w:space="0" w:color="auto"/>
        <w:right w:val="none" w:sz="0" w:space="0" w:color="auto"/>
      </w:divBdr>
    </w:div>
    <w:div w:id="1126697231">
      <w:bodyDiv w:val="1"/>
      <w:marLeft w:val="0"/>
      <w:marRight w:val="0"/>
      <w:marTop w:val="0"/>
      <w:marBottom w:val="0"/>
      <w:divBdr>
        <w:top w:val="none" w:sz="0" w:space="0" w:color="auto"/>
        <w:left w:val="none" w:sz="0" w:space="0" w:color="auto"/>
        <w:bottom w:val="none" w:sz="0" w:space="0" w:color="auto"/>
        <w:right w:val="none" w:sz="0" w:space="0" w:color="auto"/>
      </w:divBdr>
    </w:div>
    <w:div w:id="1127773659">
      <w:bodyDiv w:val="1"/>
      <w:marLeft w:val="0"/>
      <w:marRight w:val="0"/>
      <w:marTop w:val="0"/>
      <w:marBottom w:val="0"/>
      <w:divBdr>
        <w:top w:val="none" w:sz="0" w:space="0" w:color="auto"/>
        <w:left w:val="none" w:sz="0" w:space="0" w:color="auto"/>
        <w:bottom w:val="none" w:sz="0" w:space="0" w:color="auto"/>
        <w:right w:val="none" w:sz="0" w:space="0" w:color="auto"/>
      </w:divBdr>
    </w:div>
    <w:div w:id="1128088789">
      <w:bodyDiv w:val="1"/>
      <w:marLeft w:val="0"/>
      <w:marRight w:val="0"/>
      <w:marTop w:val="0"/>
      <w:marBottom w:val="0"/>
      <w:divBdr>
        <w:top w:val="none" w:sz="0" w:space="0" w:color="auto"/>
        <w:left w:val="none" w:sz="0" w:space="0" w:color="auto"/>
        <w:bottom w:val="none" w:sz="0" w:space="0" w:color="auto"/>
        <w:right w:val="none" w:sz="0" w:space="0" w:color="auto"/>
      </w:divBdr>
    </w:div>
    <w:div w:id="1128431342">
      <w:bodyDiv w:val="1"/>
      <w:marLeft w:val="0"/>
      <w:marRight w:val="0"/>
      <w:marTop w:val="0"/>
      <w:marBottom w:val="0"/>
      <w:divBdr>
        <w:top w:val="none" w:sz="0" w:space="0" w:color="auto"/>
        <w:left w:val="none" w:sz="0" w:space="0" w:color="auto"/>
        <w:bottom w:val="none" w:sz="0" w:space="0" w:color="auto"/>
        <w:right w:val="none" w:sz="0" w:space="0" w:color="auto"/>
      </w:divBdr>
      <w:divsChild>
        <w:div w:id="122159876">
          <w:marLeft w:val="0"/>
          <w:marRight w:val="0"/>
          <w:marTop w:val="0"/>
          <w:marBottom w:val="0"/>
          <w:divBdr>
            <w:top w:val="none" w:sz="0" w:space="0" w:color="auto"/>
            <w:left w:val="none" w:sz="0" w:space="0" w:color="auto"/>
            <w:bottom w:val="none" w:sz="0" w:space="0" w:color="auto"/>
            <w:right w:val="none" w:sz="0" w:space="0" w:color="auto"/>
          </w:divBdr>
          <w:divsChild>
            <w:div w:id="1294099056">
              <w:marLeft w:val="0"/>
              <w:marRight w:val="0"/>
              <w:marTop w:val="0"/>
              <w:marBottom w:val="0"/>
              <w:divBdr>
                <w:top w:val="none" w:sz="0" w:space="0" w:color="auto"/>
                <w:left w:val="none" w:sz="0" w:space="0" w:color="auto"/>
                <w:bottom w:val="none" w:sz="0" w:space="0" w:color="auto"/>
                <w:right w:val="none" w:sz="0" w:space="0" w:color="auto"/>
              </w:divBdr>
              <w:divsChild>
                <w:div w:id="488643041">
                  <w:marLeft w:val="0"/>
                  <w:marRight w:val="0"/>
                  <w:marTop w:val="0"/>
                  <w:marBottom w:val="0"/>
                  <w:divBdr>
                    <w:top w:val="none" w:sz="0" w:space="0" w:color="auto"/>
                    <w:left w:val="none" w:sz="0" w:space="0" w:color="auto"/>
                    <w:bottom w:val="none" w:sz="0" w:space="0" w:color="auto"/>
                    <w:right w:val="none" w:sz="0" w:space="0" w:color="auto"/>
                  </w:divBdr>
                  <w:divsChild>
                    <w:div w:id="31930416">
                      <w:marLeft w:val="0"/>
                      <w:marRight w:val="0"/>
                      <w:marTop w:val="0"/>
                      <w:marBottom w:val="0"/>
                      <w:divBdr>
                        <w:top w:val="none" w:sz="0" w:space="0" w:color="auto"/>
                        <w:left w:val="none" w:sz="0" w:space="0" w:color="auto"/>
                        <w:bottom w:val="none" w:sz="0" w:space="0" w:color="auto"/>
                        <w:right w:val="none" w:sz="0" w:space="0" w:color="auto"/>
                      </w:divBdr>
                      <w:divsChild>
                        <w:div w:id="2142189909">
                          <w:marLeft w:val="0"/>
                          <w:marRight w:val="0"/>
                          <w:marTop w:val="0"/>
                          <w:marBottom w:val="0"/>
                          <w:divBdr>
                            <w:top w:val="none" w:sz="0" w:space="0" w:color="auto"/>
                            <w:left w:val="none" w:sz="0" w:space="0" w:color="auto"/>
                            <w:bottom w:val="none" w:sz="0" w:space="0" w:color="auto"/>
                            <w:right w:val="none" w:sz="0" w:space="0" w:color="auto"/>
                          </w:divBdr>
                          <w:divsChild>
                            <w:div w:id="1485900874">
                              <w:marLeft w:val="0"/>
                              <w:marRight w:val="0"/>
                              <w:marTop w:val="0"/>
                              <w:marBottom w:val="0"/>
                              <w:divBdr>
                                <w:top w:val="none" w:sz="0" w:space="0" w:color="auto"/>
                                <w:left w:val="none" w:sz="0" w:space="0" w:color="auto"/>
                                <w:bottom w:val="none" w:sz="0" w:space="0" w:color="auto"/>
                                <w:right w:val="none" w:sz="0" w:space="0" w:color="auto"/>
                              </w:divBdr>
                              <w:divsChild>
                                <w:div w:id="1645507181">
                                  <w:marLeft w:val="0"/>
                                  <w:marRight w:val="0"/>
                                  <w:marTop w:val="0"/>
                                  <w:marBottom w:val="0"/>
                                  <w:divBdr>
                                    <w:top w:val="none" w:sz="0" w:space="0" w:color="auto"/>
                                    <w:left w:val="none" w:sz="0" w:space="0" w:color="auto"/>
                                    <w:bottom w:val="none" w:sz="0" w:space="0" w:color="auto"/>
                                    <w:right w:val="none" w:sz="0" w:space="0" w:color="auto"/>
                                  </w:divBdr>
                                  <w:divsChild>
                                    <w:div w:id="1348285509">
                                      <w:marLeft w:val="0"/>
                                      <w:marRight w:val="0"/>
                                      <w:marTop w:val="0"/>
                                      <w:marBottom w:val="0"/>
                                      <w:divBdr>
                                        <w:top w:val="none" w:sz="0" w:space="0" w:color="auto"/>
                                        <w:left w:val="none" w:sz="0" w:space="0" w:color="auto"/>
                                        <w:bottom w:val="none" w:sz="0" w:space="0" w:color="auto"/>
                                        <w:right w:val="none" w:sz="0" w:space="0" w:color="auto"/>
                                      </w:divBdr>
                                      <w:divsChild>
                                        <w:div w:id="134568571">
                                          <w:marLeft w:val="0"/>
                                          <w:marRight w:val="0"/>
                                          <w:marTop w:val="0"/>
                                          <w:marBottom w:val="0"/>
                                          <w:divBdr>
                                            <w:top w:val="none" w:sz="0" w:space="0" w:color="auto"/>
                                            <w:left w:val="none" w:sz="0" w:space="0" w:color="auto"/>
                                            <w:bottom w:val="none" w:sz="0" w:space="0" w:color="auto"/>
                                            <w:right w:val="none" w:sz="0" w:space="0" w:color="auto"/>
                                          </w:divBdr>
                                          <w:divsChild>
                                            <w:div w:id="393044952">
                                              <w:marLeft w:val="0"/>
                                              <w:marRight w:val="0"/>
                                              <w:marTop w:val="0"/>
                                              <w:marBottom w:val="0"/>
                                              <w:divBdr>
                                                <w:top w:val="none" w:sz="0" w:space="0" w:color="auto"/>
                                                <w:left w:val="none" w:sz="0" w:space="0" w:color="auto"/>
                                                <w:bottom w:val="none" w:sz="0" w:space="0" w:color="auto"/>
                                                <w:right w:val="none" w:sz="0" w:space="0" w:color="auto"/>
                                              </w:divBdr>
                                              <w:divsChild>
                                                <w:div w:id="1043602177">
                                                  <w:marLeft w:val="0"/>
                                                  <w:marRight w:val="0"/>
                                                  <w:marTop w:val="0"/>
                                                  <w:marBottom w:val="0"/>
                                                  <w:divBdr>
                                                    <w:top w:val="none" w:sz="0" w:space="0" w:color="auto"/>
                                                    <w:left w:val="none" w:sz="0" w:space="0" w:color="auto"/>
                                                    <w:bottom w:val="none" w:sz="0" w:space="0" w:color="auto"/>
                                                    <w:right w:val="none" w:sz="0" w:space="0" w:color="auto"/>
                                                  </w:divBdr>
                                                  <w:divsChild>
                                                    <w:div w:id="648172814">
                                                      <w:marLeft w:val="0"/>
                                                      <w:marRight w:val="0"/>
                                                      <w:marTop w:val="0"/>
                                                      <w:marBottom w:val="0"/>
                                                      <w:divBdr>
                                                        <w:top w:val="none" w:sz="0" w:space="0" w:color="auto"/>
                                                        <w:left w:val="none" w:sz="0" w:space="0" w:color="auto"/>
                                                        <w:bottom w:val="none" w:sz="0" w:space="0" w:color="auto"/>
                                                        <w:right w:val="none" w:sz="0" w:space="0" w:color="auto"/>
                                                      </w:divBdr>
                                                      <w:divsChild>
                                                        <w:div w:id="466708634">
                                                          <w:marLeft w:val="0"/>
                                                          <w:marRight w:val="0"/>
                                                          <w:marTop w:val="0"/>
                                                          <w:marBottom w:val="0"/>
                                                          <w:divBdr>
                                                            <w:top w:val="none" w:sz="0" w:space="0" w:color="auto"/>
                                                            <w:left w:val="none" w:sz="0" w:space="0" w:color="auto"/>
                                                            <w:bottom w:val="none" w:sz="0" w:space="0" w:color="auto"/>
                                                            <w:right w:val="none" w:sz="0" w:space="0" w:color="auto"/>
                                                          </w:divBdr>
                                                        </w:div>
                                                      </w:divsChild>
                                                    </w:div>
                                                    <w:div w:id="14037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8814615">
      <w:bodyDiv w:val="1"/>
      <w:marLeft w:val="0"/>
      <w:marRight w:val="0"/>
      <w:marTop w:val="0"/>
      <w:marBottom w:val="0"/>
      <w:divBdr>
        <w:top w:val="none" w:sz="0" w:space="0" w:color="auto"/>
        <w:left w:val="none" w:sz="0" w:space="0" w:color="auto"/>
        <w:bottom w:val="none" w:sz="0" w:space="0" w:color="auto"/>
        <w:right w:val="none" w:sz="0" w:space="0" w:color="auto"/>
      </w:divBdr>
    </w:div>
    <w:div w:id="1129664858">
      <w:bodyDiv w:val="1"/>
      <w:marLeft w:val="0"/>
      <w:marRight w:val="0"/>
      <w:marTop w:val="0"/>
      <w:marBottom w:val="0"/>
      <w:divBdr>
        <w:top w:val="none" w:sz="0" w:space="0" w:color="auto"/>
        <w:left w:val="none" w:sz="0" w:space="0" w:color="auto"/>
        <w:bottom w:val="none" w:sz="0" w:space="0" w:color="auto"/>
        <w:right w:val="none" w:sz="0" w:space="0" w:color="auto"/>
      </w:divBdr>
    </w:div>
    <w:div w:id="1137260116">
      <w:bodyDiv w:val="1"/>
      <w:marLeft w:val="0"/>
      <w:marRight w:val="0"/>
      <w:marTop w:val="0"/>
      <w:marBottom w:val="0"/>
      <w:divBdr>
        <w:top w:val="none" w:sz="0" w:space="0" w:color="auto"/>
        <w:left w:val="none" w:sz="0" w:space="0" w:color="auto"/>
        <w:bottom w:val="none" w:sz="0" w:space="0" w:color="auto"/>
        <w:right w:val="none" w:sz="0" w:space="0" w:color="auto"/>
      </w:divBdr>
    </w:div>
    <w:div w:id="1141969579">
      <w:bodyDiv w:val="1"/>
      <w:marLeft w:val="0"/>
      <w:marRight w:val="0"/>
      <w:marTop w:val="0"/>
      <w:marBottom w:val="0"/>
      <w:divBdr>
        <w:top w:val="none" w:sz="0" w:space="0" w:color="auto"/>
        <w:left w:val="none" w:sz="0" w:space="0" w:color="auto"/>
        <w:bottom w:val="none" w:sz="0" w:space="0" w:color="auto"/>
        <w:right w:val="none" w:sz="0" w:space="0" w:color="auto"/>
      </w:divBdr>
    </w:div>
    <w:div w:id="1146556397">
      <w:bodyDiv w:val="1"/>
      <w:marLeft w:val="0"/>
      <w:marRight w:val="0"/>
      <w:marTop w:val="0"/>
      <w:marBottom w:val="0"/>
      <w:divBdr>
        <w:top w:val="none" w:sz="0" w:space="0" w:color="auto"/>
        <w:left w:val="none" w:sz="0" w:space="0" w:color="auto"/>
        <w:bottom w:val="none" w:sz="0" w:space="0" w:color="auto"/>
        <w:right w:val="none" w:sz="0" w:space="0" w:color="auto"/>
      </w:divBdr>
    </w:div>
    <w:div w:id="1148135065">
      <w:bodyDiv w:val="1"/>
      <w:marLeft w:val="0"/>
      <w:marRight w:val="0"/>
      <w:marTop w:val="0"/>
      <w:marBottom w:val="0"/>
      <w:divBdr>
        <w:top w:val="none" w:sz="0" w:space="0" w:color="auto"/>
        <w:left w:val="none" w:sz="0" w:space="0" w:color="auto"/>
        <w:bottom w:val="none" w:sz="0" w:space="0" w:color="auto"/>
        <w:right w:val="none" w:sz="0" w:space="0" w:color="auto"/>
      </w:divBdr>
    </w:div>
    <w:div w:id="1148202059">
      <w:bodyDiv w:val="1"/>
      <w:marLeft w:val="0"/>
      <w:marRight w:val="0"/>
      <w:marTop w:val="0"/>
      <w:marBottom w:val="0"/>
      <w:divBdr>
        <w:top w:val="none" w:sz="0" w:space="0" w:color="auto"/>
        <w:left w:val="none" w:sz="0" w:space="0" w:color="auto"/>
        <w:bottom w:val="none" w:sz="0" w:space="0" w:color="auto"/>
        <w:right w:val="none" w:sz="0" w:space="0" w:color="auto"/>
      </w:divBdr>
    </w:div>
    <w:div w:id="1151404286">
      <w:bodyDiv w:val="1"/>
      <w:marLeft w:val="0"/>
      <w:marRight w:val="0"/>
      <w:marTop w:val="0"/>
      <w:marBottom w:val="0"/>
      <w:divBdr>
        <w:top w:val="none" w:sz="0" w:space="0" w:color="auto"/>
        <w:left w:val="none" w:sz="0" w:space="0" w:color="auto"/>
        <w:bottom w:val="none" w:sz="0" w:space="0" w:color="auto"/>
        <w:right w:val="none" w:sz="0" w:space="0" w:color="auto"/>
      </w:divBdr>
    </w:div>
    <w:div w:id="1155026759">
      <w:bodyDiv w:val="1"/>
      <w:marLeft w:val="0"/>
      <w:marRight w:val="0"/>
      <w:marTop w:val="0"/>
      <w:marBottom w:val="0"/>
      <w:divBdr>
        <w:top w:val="none" w:sz="0" w:space="0" w:color="auto"/>
        <w:left w:val="none" w:sz="0" w:space="0" w:color="auto"/>
        <w:bottom w:val="none" w:sz="0" w:space="0" w:color="auto"/>
        <w:right w:val="none" w:sz="0" w:space="0" w:color="auto"/>
      </w:divBdr>
    </w:div>
    <w:div w:id="1175729125">
      <w:bodyDiv w:val="1"/>
      <w:marLeft w:val="0"/>
      <w:marRight w:val="0"/>
      <w:marTop w:val="0"/>
      <w:marBottom w:val="0"/>
      <w:divBdr>
        <w:top w:val="none" w:sz="0" w:space="0" w:color="auto"/>
        <w:left w:val="none" w:sz="0" w:space="0" w:color="auto"/>
        <w:bottom w:val="none" w:sz="0" w:space="0" w:color="auto"/>
        <w:right w:val="none" w:sz="0" w:space="0" w:color="auto"/>
      </w:divBdr>
    </w:div>
    <w:div w:id="1177692613">
      <w:bodyDiv w:val="1"/>
      <w:marLeft w:val="0"/>
      <w:marRight w:val="0"/>
      <w:marTop w:val="0"/>
      <w:marBottom w:val="0"/>
      <w:divBdr>
        <w:top w:val="none" w:sz="0" w:space="0" w:color="auto"/>
        <w:left w:val="none" w:sz="0" w:space="0" w:color="auto"/>
        <w:bottom w:val="none" w:sz="0" w:space="0" w:color="auto"/>
        <w:right w:val="none" w:sz="0" w:space="0" w:color="auto"/>
      </w:divBdr>
    </w:div>
    <w:div w:id="1184704529">
      <w:bodyDiv w:val="1"/>
      <w:marLeft w:val="0"/>
      <w:marRight w:val="0"/>
      <w:marTop w:val="0"/>
      <w:marBottom w:val="0"/>
      <w:divBdr>
        <w:top w:val="none" w:sz="0" w:space="0" w:color="auto"/>
        <w:left w:val="none" w:sz="0" w:space="0" w:color="auto"/>
        <w:bottom w:val="none" w:sz="0" w:space="0" w:color="auto"/>
        <w:right w:val="none" w:sz="0" w:space="0" w:color="auto"/>
      </w:divBdr>
    </w:div>
    <w:div w:id="1188645206">
      <w:bodyDiv w:val="1"/>
      <w:marLeft w:val="0"/>
      <w:marRight w:val="0"/>
      <w:marTop w:val="0"/>
      <w:marBottom w:val="0"/>
      <w:divBdr>
        <w:top w:val="none" w:sz="0" w:space="0" w:color="auto"/>
        <w:left w:val="none" w:sz="0" w:space="0" w:color="auto"/>
        <w:bottom w:val="none" w:sz="0" w:space="0" w:color="auto"/>
        <w:right w:val="none" w:sz="0" w:space="0" w:color="auto"/>
      </w:divBdr>
    </w:div>
    <w:div w:id="1188716445">
      <w:bodyDiv w:val="1"/>
      <w:marLeft w:val="0"/>
      <w:marRight w:val="0"/>
      <w:marTop w:val="0"/>
      <w:marBottom w:val="0"/>
      <w:divBdr>
        <w:top w:val="none" w:sz="0" w:space="0" w:color="auto"/>
        <w:left w:val="none" w:sz="0" w:space="0" w:color="auto"/>
        <w:bottom w:val="none" w:sz="0" w:space="0" w:color="auto"/>
        <w:right w:val="none" w:sz="0" w:space="0" w:color="auto"/>
      </w:divBdr>
    </w:div>
    <w:div w:id="1191332375">
      <w:bodyDiv w:val="1"/>
      <w:marLeft w:val="0"/>
      <w:marRight w:val="0"/>
      <w:marTop w:val="0"/>
      <w:marBottom w:val="0"/>
      <w:divBdr>
        <w:top w:val="none" w:sz="0" w:space="0" w:color="auto"/>
        <w:left w:val="none" w:sz="0" w:space="0" w:color="auto"/>
        <w:bottom w:val="none" w:sz="0" w:space="0" w:color="auto"/>
        <w:right w:val="none" w:sz="0" w:space="0" w:color="auto"/>
      </w:divBdr>
    </w:div>
    <w:div w:id="1193307069">
      <w:bodyDiv w:val="1"/>
      <w:marLeft w:val="0"/>
      <w:marRight w:val="0"/>
      <w:marTop w:val="0"/>
      <w:marBottom w:val="0"/>
      <w:divBdr>
        <w:top w:val="none" w:sz="0" w:space="0" w:color="auto"/>
        <w:left w:val="none" w:sz="0" w:space="0" w:color="auto"/>
        <w:bottom w:val="none" w:sz="0" w:space="0" w:color="auto"/>
        <w:right w:val="none" w:sz="0" w:space="0" w:color="auto"/>
      </w:divBdr>
    </w:div>
    <w:div w:id="1195851233">
      <w:bodyDiv w:val="1"/>
      <w:marLeft w:val="0"/>
      <w:marRight w:val="0"/>
      <w:marTop w:val="0"/>
      <w:marBottom w:val="0"/>
      <w:divBdr>
        <w:top w:val="none" w:sz="0" w:space="0" w:color="auto"/>
        <w:left w:val="none" w:sz="0" w:space="0" w:color="auto"/>
        <w:bottom w:val="none" w:sz="0" w:space="0" w:color="auto"/>
        <w:right w:val="none" w:sz="0" w:space="0" w:color="auto"/>
      </w:divBdr>
    </w:div>
    <w:div w:id="1202860691">
      <w:bodyDiv w:val="1"/>
      <w:marLeft w:val="0"/>
      <w:marRight w:val="0"/>
      <w:marTop w:val="0"/>
      <w:marBottom w:val="0"/>
      <w:divBdr>
        <w:top w:val="none" w:sz="0" w:space="0" w:color="auto"/>
        <w:left w:val="none" w:sz="0" w:space="0" w:color="auto"/>
        <w:bottom w:val="none" w:sz="0" w:space="0" w:color="auto"/>
        <w:right w:val="none" w:sz="0" w:space="0" w:color="auto"/>
      </w:divBdr>
    </w:div>
    <w:div w:id="1204947713">
      <w:bodyDiv w:val="1"/>
      <w:marLeft w:val="0"/>
      <w:marRight w:val="0"/>
      <w:marTop w:val="0"/>
      <w:marBottom w:val="0"/>
      <w:divBdr>
        <w:top w:val="none" w:sz="0" w:space="0" w:color="auto"/>
        <w:left w:val="none" w:sz="0" w:space="0" w:color="auto"/>
        <w:bottom w:val="none" w:sz="0" w:space="0" w:color="auto"/>
        <w:right w:val="none" w:sz="0" w:space="0" w:color="auto"/>
      </w:divBdr>
      <w:divsChild>
        <w:div w:id="1860005781">
          <w:marLeft w:val="0"/>
          <w:marRight w:val="0"/>
          <w:marTop w:val="0"/>
          <w:marBottom w:val="0"/>
          <w:divBdr>
            <w:top w:val="none" w:sz="0" w:space="0" w:color="auto"/>
            <w:left w:val="none" w:sz="0" w:space="0" w:color="auto"/>
            <w:bottom w:val="none" w:sz="0" w:space="0" w:color="auto"/>
            <w:right w:val="none" w:sz="0" w:space="0" w:color="auto"/>
          </w:divBdr>
        </w:div>
      </w:divsChild>
    </w:div>
    <w:div w:id="1205142815">
      <w:bodyDiv w:val="1"/>
      <w:marLeft w:val="0"/>
      <w:marRight w:val="0"/>
      <w:marTop w:val="0"/>
      <w:marBottom w:val="0"/>
      <w:divBdr>
        <w:top w:val="none" w:sz="0" w:space="0" w:color="auto"/>
        <w:left w:val="none" w:sz="0" w:space="0" w:color="auto"/>
        <w:bottom w:val="none" w:sz="0" w:space="0" w:color="auto"/>
        <w:right w:val="none" w:sz="0" w:space="0" w:color="auto"/>
      </w:divBdr>
    </w:div>
    <w:div w:id="1205286147">
      <w:bodyDiv w:val="1"/>
      <w:marLeft w:val="0"/>
      <w:marRight w:val="0"/>
      <w:marTop w:val="0"/>
      <w:marBottom w:val="0"/>
      <w:divBdr>
        <w:top w:val="none" w:sz="0" w:space="0" w:color="auto"/>
        <w:left w:val="none" w:sz="0" w:space="0" w:color="auto"/>
        <w:bottom w:val="none" w:sz="0" w:space="0" w:color="auto"/>
        <w:right w:val="none" w:sz="0" w:space="0" w:color="auto"/>
      </w:divBdr>
    </w:div>
    <w:div w:id="1209950374">
      <w:bodyDiv w:val="1"/>
      <w:marLeft w:val="0"/>
      <w:marRight w:val="0"/>
      <w:marTop w:val="0"/>
      <w:marBottom w:val="0"/>
      <w:divBdr>
        <w:top w:val="none" w:sz="0" w:space="0" w:color="auto"/>
        <w:left w:val="none" w:sz="0" w:space="0" w:color="auto"/>
        <w:bottom w:val="none" w:sz="0" w:space="0" w:color="auto"/>
        <w:right w:val="none" w:sz="0" w:space="0" w:color="auto"/>
      </w:divBdr>
    </w:div>
    <w:div w:id="1215314519">
      <w:bodyDiv w:val="1"/>
      <w:marLeft w:val="0"/>
      <w:marRight w:val="0"/>
      <w:marTop w:val="0"/>
      <w:marBottom w:val="0"/>
      <w:divBdr>
        <w:top w:val="none" w:sz="0" w:space="0" w:color="auto"/>
        <w:left w:val="none" w:sz="0" w:space="0" w:color="auto"/>
        <w:bottom w:val="none" w:sz="0" w:space="0" w:color="auto"/>
        <w:right w:val="none" w:sz="0" w:space="0" w:color="auto"/>
      </w:divBdr>
    </w:div>
    <w:div w:id="1216429898">
      <w:bodyDiv w:val="1"/>
      <w:marLeft w:val="0"/>
      <w:marRight w:val="0"/>
      <w:marTop w:val="0"/>
      <w:marBottom w:val="0"/>
      <w:divBdr>
        <w:top w:val="none" w:sz="0" w:space="0" w:color="auto"/>
        <w:left w:val="none" w:sz="0" w:space="0" w:color="auto"/>
        <w:bottom w:val="none" w:sz="0" w:space="0" w:color="auto"/>
        <w:right w:val="none" w:sz="0" w:space="0" w:color="auto"/>
      </w:divBdr>
    </w:div>
    <w:div w:id="1217740569">
      <w:bodyDiv w:val="1"/>
      <w:marLeft w:val="0"/>
      <w:marRight w:val="0"/>
      <w:marTop w:val="0"/>
      <w:marBottom w:val="0"/>
      <w:divBdr>
        <w:top w:val="none" w:sz="0" w:space="0" w:color="auto"/>
        <w:left w:val="none" w:sz="0" w:space="0" w:color="auto"/>
        <w:bottom w:val="none" w:sz="0" w:space="0" w:color="auto"/>
        <w:right w:val="none" w:sz="0" w:space="0" w:color="auto"/>
      </w:divBdr>
    </w:div>
    <w:div w:id="1222861046">
      <w:bodyDiv w:val="1"/>
      <w:marLeft w:val="0"/>
      <w:marRight w:val="0"/>
      <w:marTop w:val="0"/>
      <w:marBottom w:val="0"/>
      <w:divBdr>
        <w:top w:val="none" w:sz="0" w:space="0" w:color="auto"/>
        <w:left w:val="none" w:sz="0" w:space="0" w:color="auto"/>
        <w:bottom w:val="none" w:sz="0" w:space="0" w:color="auto"/>
        <w:right w:val="none" w:sz="0" w:space="0" w:color="auto"/>
      </w:divBdr>
    </w:div>
    <w:div w:id="1224831160">
      <w:bodyDiv w:val="1"/>
      <w:marLeft w:val="0"/>
      <w:marRight w:val="0"/>
      <w:marTop w:val="0"/>
      <w:marBottom w:val="0"/>
      <w:divBdr>
        <w:top w:val="none" w:sz="0" w:space="0" w:color="auto"/>
        <w:left w:val="none" w:sz="0" w:space="0" w:color="auto"/>
        <w:bottom w:val="none" w:sz="0" w:space="0" w:color="auto"/>
        <w:right w:val="none" w:sz="0" w:space="0" w:color="auto"/>
      </w:divBdr>
    </w:div>
    <w:div w:id="1225948112">
      <w:bodyDiv w:val="1"/>
      <w:marLeft w:val="0"/>
      <w:marRight w:val="0"/>
      <w:marTop w:val="0"/>
      <w:marBottom w:val="0"/>
      <w:divBdr>
        <w:top w:val="none" w:sz="0" w:space="0" w:color="auto"/>
        <w:left w:val="none" w:sz="0" w:space="0" w:color="auto"/>
        <w:bottom w:val="none" w:sz="0" w:space="0" w:color="auto"/>
        <w:right w:val="none" w:sz="0" w:space="0" w:color="auto"/>
      </w:divBdr>
    </w:div>
    <w:div w:id="1228612703">
      <w:bodyDiv w:val="1"/>
      <w:marLeft w:val="0"/>
      <w:marRight w:val="0"/>
      <w:marTop w:val="0"/>
      <w:marBottom w:val="0"/>
      <w:divBdr>
        <w:top w:val="none" w:sz="0" w:space="0" w:color="auto"/>
        <w:left w:val="none" w:sz="0" w:space="0" w:color="auto"/>
        <w:bottom w:val="none" w:sz="0" w:space="0" w:color="auto"/>
        <w:right w:val="none" w:sz="0" w:space="0" w:color="auto"/>
      </w:divBdr>
    </w:div>
    <w:div w:id="1229539981">
      <w:bodyDiv w:val="1"/>
      <w:marLeft w:val="0"/>
      <w:marRight w:val="0"/>
      <w:marTop w:val="0"/>
      <w:marBottom w:val="0"/>
      <w:divBdr>
        <w:top w:val="none" w:sz="0" w:space="0" w:color="auto"/>
        <w:left w:val="none" w:sz="0" w:space="0" w:color="auto"/>
        <w:bottom w:val="none" w:sz="0" w:space="0" w:color="auto"/>
        <w:right w:val="none" w:sz="0" w:space="0" w:color="auto"/>
      </w:divBdr>
    </w:div>
    <w:div w:id="1230531299">
      <w:bodyDiv w:val="1"/>
      <w:marLeft w:val="0"/>
      <w:marRight w:val="0"/>
      <w:marTop w:val="0"/>
      <w:marBottom w:val="0"/>
      <w:divBdr>
        <w:top w:val="none" w:sz="0" w:space="0" w:color="auto"/>
        <w:left w:val="none" w:sz="0" w:space="0" w:color="auto"/>
        <w:bottom w:val="none" w:sz="0" w:space="0" w:color="auto"/>
        <w:right w:val="none" w:sz="0" w:space="0" w:color="auto"/>
      </w:divBdr>
    </w:div>
    <w:div w:id="1231303614">
      <w:bodyDiv w:val="1"/>
      <w:marLeft w:val="0"/>
      <w:marRight w:val="0"/>
      <w:marTop w:val="0"/>
      <w:marBottom w:val="0"/>
      <w:divBdr>
        <w:top w:val="none" w:sz="0" w:space="0" w:color="auto"/>
        <w:left w:val="none" w:sz="0" w:space="0" w:color="auto"/>
        <w:bottom w:val="none" w:sz="0" w:space="0" w:color="auto"/>
        <w:right w:val="none" w:sz="0" w:space="0" w:color="auto"/>
      </w:divBdr>
    </w:div>
    <w:div w:id="1234311727">
      <w:bodyDiv w:val="1"/>
      <w:marLeft w:val="0"/>
      <w:marRight w:val="0"/>
      <w:marTop w:val="0"/>
      <w:marBottom w:val="0"/>
      <w:divBdr>
        <w:top w:val="none" w:sz="0" w:space="0" w:color="auto"/>
        <w:left w:val="none" w:sz="0" w:space="0" w:color="auto"/>
        <w:bottom w:val="none" w:sz="0" w:space="0" w:color="auto"/>
        <w:right w:val="none" w:sz="0" w:space="0" w:color="auto"/>
      </w:divBdr>
    </w:div>
    <w:div w:id="1235041848">
      <w:bodyDiv w:val="1"/>
      <w:marLeft w:val="0"/>
      <w:marRight w:val="0"/>
      <w:marTop w:val="0"/>
      <w:marBottom w:val="0"/>
      <w:divBdr>
        <w:top w:val="none" w:sz="0" w:space="0" w:color="auto"/>
        <w:left w:val="none" w:sz="0" w:space="0" w:color="auto"/>
        <w:bottom w:val="none" w:sz="0" w:space="0" w:color="auto"/>
        <w:right w:val="none" w:sz="0" w:space="0" w:color="auto"/>
      </w:divBdr>
    </w:div>
    <w:div w:id="1245409855">
      <w:bodyDiv w:val="1"/>
      <w:marLeft w:val="0"/>
      <w:marRight w:val="0"/>
      <w:marTop w:val="0"/>
      <w:marBottom w:val="0"/>
      <w:divBdr>
        <w:top w:val="none" w:sz="0" w:space="0" w:color="auto"/>
        <w:left w:val="none" w:sz="0" w:space="0" w:color="auto"/>
        <w:bottom w:val="none" w:sz="0" w:space="0" w:color="auto"/>
        <w:right w:val="none" w:sz="0" w:space="0" w:color="auto"/>
      </w:divBdr>
    </w:div>
    <w:div w:id="1251889240">
      <w:bodyDiv w:val="1"/>
      <w:marLeft w:val="0"/>
      <w:marRight w:val="0"/>
      <w:marTop w:val="0"/>
      <w:marBottom w:val="0"/>
      <w:divBdr>
        <w:top w:val="none" w:sz="0" w:space="0" w:color="auto"/>
        <w:left w:val="none" w:sz="0" w:space="0" w:color="auto"/>
        <w:bottom w:val="none" w:sz="0" w:space="0" w:color="auto"/>
        <w:right w:val="none" w:sz="0" w:space="0" w:color="auto"/>
      </w:divBdr>
    </w:div>
    <w:div w:id="1253971347">
      <w:bodyDiv w:val="1"/>
      <w:marLeft w:val="0"/>
      <w:marRight w:val="0"/>
      <w:marTop w:val="0"/>
      <w:marBottom w:val="0"/>
      <w:divBdr>
        <w:top w:val="none" w:sz="0" w:space="0" w:color="auto"/>
        <w:left w:val="none" w:sz="0" w:space="0" w:color="auto"/>
        <w:bottom w:val="none" w:sz="0" w:space="0" w:color="auto"/>
        <w:right w:val="none" w:sz="0" w:space="0" w:color="auto"/>
      </w:divBdr>
    </w:div>
    <w:div w:id="1255285956">
      <w:bodyDiv w:val="1"/>
      <w:marLeft w:val="0"/>
      <w:marRight w:val="0"/>
      <w:marTop w:val="0"/>
      <w:marBottom w:val="0"/>
      <w:divBdr>
        <w:top w:val="none" w:sz="0" w:space="0" w:color="auto"/>
        <w:left w:val="none" w:sz="0" w:space="0" w:color="auto"/>
        <w:bottom w:val="none" w:sz="0" w:space="0" w:color="auto"/>
        <w:right w:val="none" w:sz="0" w:space="0" w:color="auto"/>
      </w:divBdr>
    </w:div>
    <w:div w:id="1257710555">
      <w:bodyDiv w:val="1"/>
      <w:marLeft w:val="0"/>
      <w:marRight w:val="0"/>
      <w:marTop w:val="0"/>
      <w:marBottom w:val="0"/>
      <w:divBdr>
        <w:top w:val="none" w:sz="0" w:space="0" w:color="auto"/>
        <w:left w:val="none" w:sz="0" w:space="0" w:color="auto"/>
        <w:bottom w:val="none" w:sz="0" w:space="0" w:color="auto"/>
        <w:right w:val="none" w:sz="0" w:space="0" w:color="auto"/>
      </w:divBdr>
    </w:div>
    <w:div w:id="1257859299">
      <w:bodyDiv w:val="1"/>
      <w:marLeft w:val="0"/>
      <w:marRight w:val="0"/>
      <w:marTop w:val="0"/>
      <w:marBottom w:val="0"/>
      <w:divBdr>
        <w:top w:val="none" w:sz="0" w:space="0" w:color="auto"/>
        <w:left w:val="none" w:sz="0" w:space="0" w:color="auto"/>
        <w:bottom w:val="none" w:sz="0" w:space="0" w:color="auto"/>
        <w:right w:val="none" w:sz="0" w:space="0" w:color="auto"/>
      </w:divBdr>
    </w:div>
    <w:div w:id="1260794688">
      <w:bodyDiv w:val="1"/>
      <w:marLeft w:val="0"/>
      <w:marRight w:val="0"/>
      <w:marTop w:val="0"/>
      <w:marBottom w:val="0"/>
      <w:divBdr>
        <w:top w:val="none" w:sz="0" w:space="0" w:color="auto"/>
        <w:left w:val="none" w:sz="0" w:space="0" w:color="auto"/>
        <w:bottom w:val="none" w:sz="0" w:space="0" w:color="auto"/>
        <w:right w:val="none" w:sz="0" w:space="0" w:color="auto"/>
      </w:divBdr>
    </w:div>
    <w:div w:id="1265113176">
      <w:bodyDiv w:val="1"/>
      <w:marLeft w:val="0"/>
      <w:marRight w:val="0"/>
      <w:marTop w:val="0"/>
      <w:marBottom w:val="0"/>
      <w:divBdr>
        <w:top w:val="none" w:sz="0" w:space="0" w:color="auto"/>
        <w:left w:val="none" w:sz="0" w:space="0" w:color="auto"/>
        <w:bottom w:val="none" w:sz="0" w:space="0" w:color="auto"/>
        <w:right w:val="none" w:sz="0" w:space="0" w:color="auto"/>
      </w:divBdr>
    </w:div>
    <w:div w:id="1270964482">
      <w:bodyDiv w:val="1"/>
      <w:marLeft w:val="0"/>
      <w:marRight w:val="0"/>
      <w:marTop w:val="0"/>
      <w:marBottom w:val="0"/>
      <w:divBdr>
        <w:top w:val="none" w:sz="0" w:space="0" w:color="auto"/>
        <w:left w:val="none" w:sz="0" w:space="0" w:color="auto"/>
        <w:bottom w:val="none" w:sz="0" w:space="0" w:color="auto"/>
        <w:right w:val="none" w:sz="0" w:space="0" w:color="auto"/>
      </w:divBdr>
    </w:div>
    <w:div w:id="1273316574">
      <w:bodyDiv w:val="1"/>
      <w:marLeft w:val="0"/>
      <w:marRight w:val="0"/>
      <w:marTop w:val="0"/>
      <w:marBottom w:val="0"/>
      <w:divBdr>
        <w:top w:val="none" w:sz="0" w:space="0" w:color="auto"/>
        <w:left w:val="none" w:sz="0" w:space="0" w:color="auto"/>
        <w:bottom w:val="none" w:sz="0" w:space="0" w:color="auto"/>
        <w:right w:val="none" w:sz="0" w:space="0" w:color="auto"/>
      </w:divBdr>
    </w:div>
    <w:div w:id="1273440627">
      <w:bodyDiv w:val="1"/>
      <w:marLeft w:val="0"/>
      <w:marRight w:val="0"/>
      <w:marTop w:val="0"/>
      <w:marBottom w:val="0"/>
      <w:divBdr>
        <w:top w:val="none" w:sz="0" w:space="0" w:color="auto"/>
        <w:left w:val="none" w:sz="0" w:space="0" w:color="auto"/>
        <w:bottom w:val="none" w:sz="0" w:space="0" w:color="auto"/>
        <w:right w:val="none" w:sz="0" w:space="0" w:color="auto"/>
      </w:divBdr>
    </w:div>
    <w:div w:id="1280989914">
      <w:bodyDiv w:val="1"/>
      <w:marLeft w:val="0"/>
      <w:marRight w:val="0"/>
      <w:marTop w:val="0"/>
      <w:marBottom w:val="0"/>
      <w:divBdr>
        <w:top w:val="none" w:sz="0" w:space="0" w:color="auto"/>
        <w:left w:val="none" w:sz="0" w:space="0" w:color="auto"/>
        <w:bottom w:val="none" w:sz="0" w:space="0" w:color="auto"/>
        <w:right w:val="none" w:sz="0" w:space="0" w:color="auto"/>
      </w:divBdr>
    </w:div>
    <w:div w:id="1282615397">
      <w:bodyDiv w:val="1"/>
      <w:marLeft w:val="0"/>
      <w:marRight w:val="0"/>
      <w:marTop w:val="0"/>
      <w:marBottom w:val="0"/>
      <w:divBdr>
        <w:top w:val="none" w:sz="0" w:space="0" w:color="auto"/>
        <w:left w:val="none" w:sz="0" w:space="0" w:color="auto"/>
        <w:bottom w:val="none" w:sz="0" w:space="0" w:color="auto"/>
        <w:right w:val="none" w:sz="0" w:space="0" w:color="auto"/>
      </w:divBdr>
    </w:div>
    <w:div w:id="1285889240">
      <w:bodyDiv w:val="1"/>
      <w:marLeft w:val="0"/>
      <w:marRight w:val="0"/>
      <w:marTop w:val="0"/>
      <w:marBottom w:val="0"/>
      <w:divBdr>
        <w:top w:val="none" w:sz="0" w:space="0" w:color="auto"/>
        <w:left w:val="none" w:sz="0" w:space="0" w:color="auto"/>
        <w:bottom w:val="none" w:sz="0" w:space="0" w:color="auto"/>
        <w:right w:val="none" w:sz="0" w:space="0" w:color="auto"/>
      </w:divBdr>
    </w:div>
    <w:div w:id="1288703741">
      <w:bodyDiv w:val="1"/>
      <w:marLeft w:val="0"/>
      <w:marRight w:val="0"/>
      <w:marTop w:val="0"/>
      <w:marBottom w:val="0"/>
      <w:divBdr>
        <w:top w:val="none" w:sz="0" w:space="0" w:color="auto"/>
        <w:left w:val="none" w:sz="0" w:space="0" w:color="auto"/>
        <w:bottom w:val="none" w:sz="0" w:space="0" w:color="auto"/>
        <w:right w:val="none" w:sz="0" w:space="0" w:color="auto"/>
      </w:divBdr>
    </w:div>
    <w:div w:id="1288774751">
      <w:bodyDiv w:val="1"/>
      <w:marLeft w:val="0"/>
      <w:marRight w:val="0"/>
      <w:marTop w:val="0"/>
      <w:marBottom w:val="0"/>
      <w:divBdr>
        <w:top w:val="none" w:sz="0" w:space="0" w:color="auto"/>
        <w:left w:val="none" w:sz="0" w:space="0" w:color="auto"/>
        <w:bottom w:val="none" w:sz="0" w:space="0" w:color="auto"/>
        <w:right w:val="none" w:sz="0" w:space="0" w:color="auto"/>
      </w:divBdr>
    </w:div>
    <w:div w:id="1292402208">
      <w:bodyDiv w:val="1"/>
      <w:marLeft w:val="0"/>
      <w:marRight w:val="0"/>
      <w:marTop w:val="0"/>
      <w:marBottom w:val="0"/>
      <w:divBdr>
        <w:top w:val="none" w:sz="0" w:space="0" w:color="auto"/>
        <w:left w:val="none" w:sz="0" w:space="0" w:color="auto"/>
        <w:bottom w:val="none" w:sz="0" w:space="0" w:color="auto"/>
        <w:right w:val="none" w:sz="0" w:space="0" w:color="auto"/>
      </w:divBdr>
    </w:div>
    <w:div w:id="1294022386">
      <w:bodyDiv w:val="1"/>
      <w:marLeft w:val="0"/>
      <w:marRight w:val="0"/>
      <w:marTop w:val="0"/>
      <w:marBottom w:val="0"/>
      <w:divBdr>
        <w:top w:val="none" w:sz="0" w:space="0" w:color="auto"/>
        <w:left w:val="none" w:sz="0" w:space="0" w:color="auto"/>
        <w:bottom w:val="none" w:sz="0" w:space="0" w:color="auto"/>
        <w:right w:val="none" w:sz="0" w:space="0" w:color="auto"/>
      </w:divBdr>
    </w:div>
    <w:div w:id="1298609885">
      <w:bodyDiv w:val="1"/>
      <w:marLeft w:val="0"/>
      <w:marRight w:val="0"/>
      <w:marTop w:val="0"/>
      <w:marBottom w:val="0"/>
      <w:divBdr>
        <w:top w:val="none" w:sz="0" w:space="0" w:color="auto"/>
        <w:left w:val="none" w:sz="0" w:space="0" w:color="auto"/>
        <w:bottom w:val="none" w:sz="0" w:space="0" w:color="auto"/>
        <w:right w:val="none" w:sz="0" w:space="0" w:color="auto"/>
      </w:divBdr>
    </w:div>
    <w:div w:id="1304626265">
      <w:bodyDiv w:val="1"/>
      <w:marLeft w:val="0"/>
      <w:marRight w:val="0"/>
      <w:marTop w:val="0"/>
      <w:marBottom w:val="0"/>
      <w:divBdr>
        <w:top w:val="none" w:sz="0" w:space="0" w:color="auto"/>
        <w:left w:val="none" w:sz="0" w:space="0" w:color="auto"/>
        <w:bottom w:val="none" w:sz="0" w:space="0" w:color="auto"/>
        <w:right w:val="none" w:sz="0" w:space="0" w:color="auto"/>
      </w:divBdr>
    </w:div>
    <w:div w:id="1305817750">
      <w:bodyDiv w:val="1"/>
      <w:marLeft w:val="0"/>
      <w:marRight w:val="0"/>
      <w:marTop w:val="0"/>
      <w:marBottom w:val="0"/>
      <w:divBdr>
        <w:top w:val="none" w:sz="0" w:space="0" w:color="auto"/>
        <w:left w:val="none" w:sz="0" w:space="0" w:color="auto"/>
        <w:bottom w:val="none" w:sz="0" w:space="0" w:color="auto"/>
        <w:right w:val="none" w:sz="0" w:space="0" w:color="auto"/>
      </w:divBdr>
    </w:div>
    <w:div w:id="1309433895">
      <w:bodyDiv w:val="1"/>
      <w:marLeft w:val="0"/>
      <w:marRight w:val="0"/>
      <w:marTop w:val="0"/>
      <w:marBottom w:val="0"/>
      <w:divBdr>
        <w:top w:val="none" w:sz="0" w:space="0" w:color="auto"/>
        <w:left w:val="none" w:sz="0" w:space="0" w:color="auto"/>
        <w:bottom w:val="none" w:sz="0" w:space="0" w:color="auto"/>
        <w:right w:val="none" w:sz="0" w:space="0" w:color="auto"/>
      </w:divBdr>
    </w:div>
    <w:div w:id="1311249905">
      <w:bodyDiv w:val="1"/>
      <w:marLeft w:val="0"/>
      <w:marRight w:val="0"/>
      <w:marTop w:val="0"/>
      <w:marBottom w:val="0"/>
      <w:divBdr>
        <w:top w:val="none" w:sz="0" w:space="0" w:color="auto"/>
        <w:left w:val="none" w:sz="0" w:space="0" w:color="auto"/>
        <w:bottom w:val="none" w:sz="0" w:space="0" w:color="auto"/>
        <w:right w:val="none" w:sz="0" w:space="0" w:color="auto"/>
      </w:divBdr>
    </w:div>
    <w:div w:id="1313634762">
      <w:bodyDiv w:val="1"/>
      <w:marLeft w:val="0"/>
      <w:marRight w:val="0"/>
      <w:marTop w:val="0"/>
      <w:marBottom w:val="0"/>
      <w:divBdr>
        <w:top w:val="none" w:sz="0" w:space="0" w:color="auto"/>
        <w:left w:val="none" w:sz="0" w:space="0" w:color="auto"/>
        <w:bottom w:val="none" w:sz="0" w:space="0" w:color="auto"/>
        <w:right w:val="none" w:sz="0" w:space="0" w:color="auto"/>
      </w:divBdr>
    </w:div>
    <w:div w:id="1319454376">
      <w:bodyDiv w:val="1"/>
      <w:marLeft w:val="0"/>
      <w:marRight w:val="0"/>
      <w:marTop w:val="0"/>
      <w:marBottom w:val="0"/>
      <w:divBdr>
        <w:top w:val="none" w:sz="0" w:space="0" w:color="auto"/>
        <w:left w:val="none" w:sz="0" w:space="0" w:color="auto"/>
        <w:bottom w:val="none" w:sz="0" w:space="0" w:color="auto"/>
        <w:right w:val="none" w:sz="0" w:space="0" w:color="auto"/>
      </w:divBdr>
    </w:div>
    <w:div w:id="1326393468">
      <w:bodyDiv w:val="1"/>
      <w:marLeft w:val="0"/>
      <w:marRight w:val="0"/>
      <w:marTop w:val="0"/>
      <w:marBottom w:val="0"/>
      <w:divBdr>
        <w:top w:val="none" w:sz="0" w:space="0" w:color="auto"/>
        <w:left w:val="none" w:sz="0" w:space="0" w:color="auto"/>
        <w:bottom w:val="none" w:sz="0" w:space="0" w:color="auto"/>
        <w:right w:val="none" w:sz="0" w:space="0" w:color="auto"/>
      </w:divBdr>
    </w:div>
    <w:div w:id="1330870331">
      <w:bodyDiv w:val="1"/>
      <w:marLeft w:val="0"/>
      <w:marRight w:val="0"/>
      <w:marTop w:val="0"/>
      <w:marBottom w:val="0"/>
      <w:divBdr>
        <w:top w:val="none" w:sz="0" w:space="0" w:color="auto"/>
        <w:left w:val="none" w:sz="0" w:space="0" w:color="auto"/>
        <w:bottom w:val="none" w:sz="0" w:space="0" w:color="auto"/>
        <w:right w:val="none" w:sz="0" w:space="0" w:color="auto"/>
      </w:divBdr>
    </w:div>
    <w:div w:id="1331592644">
      <w:bodyDiv w:val="1"/>
      <w:marLeft w:val="0"/>
      <w:marRight w:val="0"/>
      <w:marTop w:val="0"/>
      <w:marBottom w:val="0"/>
      <w:divBdr>
        <w:top w:val="none" w:sz="0" w:space="0" w:color="auto"/>
        <w:left w:val="none" w:sz="0" w:space="0" w:color="auto"/>
        <w:bottom w:val="none" w:sz="0" w:space="0" w:color="auto"/>
        <w:right w:val="none" w:sz="0" w:space="0" w:color="auto"/>
      </w:divBdr>
    </w:div>
    <w:div w:id="1337227974">
      <w:bodyDiv w:val="1"/>
      <w:marLeft w:val="0"/>
      <w:marRight w:val="0"/>
      <w:marTop w:val="0"/>
      <w:marBottom w:val="0"/>
      <w:divBdr>
        <w:top w:val="none" w:sz="0" w:space="0" w:color="auto"/>
        <w:left w:val="none" w:sz="0" w:space="0" w:color="auto"/>
        <w:bottom w:val="none" w:sz="0" w:space="0" w:color="auto"/>
        <w:right w:val="none" w:sz="0" w:space="0" w:color="auto"/>
      </w:divBdr>
    </w:div>
    <w:div w:id="1338460187">
      <w:bodyDiv w:val="1"/>
      <w:marLeft w:val="0"/>
      <w:marRight w:val="0"/>
      <w:marTop w:val="0"/>
      <w:marBottom w:val="0"/>
      <w:divBdr>
        <w:top w:val="none" w:sz="0" w:space="0" w:color="auto"/>
        <w:left w:val="none" w:sz="0" w:space="0" w:color="auto"/>
        <w:bottom w:val="none" w:sz="0" w:space="0" w:color="auto"/>
        <w:right w:val="none" w:sz="0" w:space="0" w:color="auto"/>
      </w:divBdr>
    </w:div>
    <w:div w:id="1339237790">
      <w:bodyDiv w:val="1"/>
      <w:marLeft w:val="0"/>
      <w:marRight w:val="0"/>
      <w:marTop w:val="0"/>
      <w:marBottom w:val="0"/>
      <w:divBdr>
        <w:top w:val="none" w:sz="0" w:space="0" w:color="auto"/>
        <w:left w:val="none" w:sz="0" w:space="0" w:color="auto"/>
        <w:bottom w:val="none" w:sz="0" w:space="0" w:color="auto"/>
        <w:right w:val="none" w:sz="0" w:space="0" w:color="auto"/>
      </w:divBdr>
    </w:div>
    <w:div w:id="1342008599">
      <w:bodyDiv w:val="1"/>
      <w:marLeft w:val="0"/>
      <w:marRight w:val="0"/>
      <w:marTop w:val="0"/>
      <w:marBottom w:val="0"/>
      <w:divBdr>
        <w:top w:val="none" w:sz="0" w:space="0" w:color="auto"/>
        <w:left w:val="none" w:sz="0" w:space="0" w:color="auto"/>
        <w:bottom w:val="none" w:sz="0" w:space="0" w:color="auto"/>
        <w:right w:val="none" w:sz="0" w:space="0" w:color="auto"/>
      </w:divBdr>
    </w:div>
    <w:div w:id="1346008960">
      <w:bodyDiv w:val="1"/>
      <w:marLeft w:val="0"/>
      <w:marRight w:val="0"/>
      <w:marTop w:val="0"/>
      <w:marBottom w:val="0"/>
      <w:divBdr>
        <w:top w:val="none" w:sz="0" w:space="0" w:color="auto"/>
        <w:left w:val="none" w:sz="0" w:space="0" w:color="auto"/>
        <w:bottom w:val="none" w:sz="0" w:space="0" w:color="auto"/>
        <w:right w:val="none" w:sz="0" w:space="0" w:color="auto"/>
      </w:divBdr>
    </w:div>
    <w:div w:id="1346706200">
      <w:bodyDiv w:val="1"/>
      <w:marLeft w:val="0"/>
      <w:marRight w:val="0"/>
      <w:marTop w:val="0"/>
      <w:marBottom w:val="0"/>
      <w:divBdr>
        <w:top w:val="none" w:sz="0" w:space="0" w:color="auto"/>
        <w:left w:val="none" w:sz="0" w:space="0" w:color="auto"/>
        <w:bottom w:val="none" w:sz="0" w:space="0" w:color="auto"/>
        <w:right w:val="none" w:sz="0" w:space="0" w:color="auto"/>
      </w:divBdr>
    </w:div>
    <w:div w:id="1356351050">
      <w:bodyDiv w:val="1"/>
      <w:marLeft w:val="0"/>
      <w:marRight w:val="0"/>
      <w:marTop w:val="0"/>
      <w:marBottom w:val="0"/>
      <w:divBdr>
        <w:top w:val="none" w:sz="0" w:space="0" w:color="auto"/>
        <w:left w:val="none" w:sz="0" w:space="0" w:color="auto"/>
        <w:bottom w:val="none" w:sz="0" w:space="0" w:color="auto"/>
        <w:right w:val="none" w:sz="0" w:space="0" w:color="auto"/>
      </w:divBdr>
    </w:div>
    <w:div w:id="1359743897">
      <w:bodyDiv w:val="1"/>
      <w:marLeft w:val="0"/>
      <w:marRight w:val="0"/>
      <w:marTop w:val="0"/>
      <w:marBottom w:val="0"/>
      <w:divBdr>
        <w:top w:val="none" w:sz="0" w:space="0" w:color="auto"/>
        <w:left w:val="none" w:sz="0" w:space="0" w:color="auto"/>
        <w:bottom w:val="none" w:sz="0" w:space="0" w:color="auto"/>
        <w:right w:val="none" w:sz="0" w:space="0" w:color="auto"/>
      </w:divBdr>
    </w:div>
    <w:div w:id="1360471833">
      <w:bodyDiv w:val="1"/>
      <w:marLeft w:val="0"/>
      <w:marRight w:val="0"/>
      <w:marTop w:val="0"/>
      <w:marBottom w:val="0"/>
      <w:divBdr>
        <w:top w:val="none" w:sz="0" w:space="0" w:color="auto"/>
        <w:left w:val="none" w:sz="0" w:space="0" w:color="auto"/>
        <w:bottom w:val="none" w:sz="0" w:space="0" w:color="auto"/>
        <w:right w:val="none" w:sz="0" w:space="0" w:color="auto"/>
      </w:divBdr>
    </w:div>
    <w:div w:id="1361513601">
      <w:bodyDiv w:val="1"/>
      <w:marLeft w:val="0"/>
      <w:marRight w:val="0"/>
      <w:marTop w:val="0"/>
      <w:marBottom w:val="0"/>
      <w:divBdr>
        <w:top w:val="none" w:sz="0" w:space="0" w:color="auto"/>
        <w:left w:val="none" w:sz="0" w:space="0" w:color="auto"/>
        <w:bottom w:val="none" w:sz="0" w:space="0" w:color="auto"/>
        <w:right w:val="none" w:sz="0" w:space="0" w:color="auto"/>
      </w:divBdr>
    </w:div>
    <w:div w:id="1364406812">
      <w:bodyDiv w:val="1"/>
      <w:marLeft w:val="0"/>
      <w:marRight w:val="0"/>
      <w:marTop w:val="0"/>
      <w:marBottom w:val="0"/>
      <w:divBdr>
        <w:top w:val="none" w:sz="0" w:space="0" w:color="auto"/>
        <w:left w:val="none" w:sz="0" w:space="0" w:color="auto"/>
        <w:bottom w:val="none" w:sz="0" w:space="0" w:color="auto"/>
        <w:right w:val="none" w:sz="0" w:space="0" w:color="auto"/>
      </w:divBdr>
    </w:div>
    <w:div w:id="1368020366">
      <w:bodyDiv w:val="1"/>
      <w:marLeft w:val="0"/>
      <w:marRight w:val="0"/>
      <w:marTop w:val="0"/>
      <w:marBottom w:val="0"/>
      <w:divBdr>
        <w:top w:val="none" w:sz="0" w:space="0" w:color="auto"/>
        <w:left w:val="none" w:sz="0" w:space="0" w:color="auto"/>
        <w:bottom w:val="none" w:sz="0" w:space="0" w:color="auto"/>
        <w:right w:val="none" w:sz="0" w:space="0" w:color="auto"/>
      </w:divBdr>
    </w:div>
    <w:div w:id="1372455537">
      <w:bodyDiv w:val="1"/>
      <w:marLeft w:val="0"/>
      <w:marRight w:val="0"/>
      <w:marTop w:val="0"/>
      <w:marBottom w:val="0"/>
      <w:divBdr>
        <w:top w:val="none" w:sz="0" w:space="0" w:color="auto"/>
        <w:left w:val="none" w:sz="0" w:space="0" w:color="auto"/>
        <w:bottom w:val="none" w:sz="0" w:space="0" w:color="auto"/>
        <w:right w:val="none" w:sz="0" w:space="0" w:color="auto"/>
      </w:divBdr>
    </w:div>
    <w:div w:id="1373993054">
      <w:bodyDiv w:val="1"/>
      <w:marLeft w:val="0"/>
      <w:marRight w:val="0"/>
      <w:marTop w:val="0"/>
      <w:marBottom w:val="0"/>
      <w:divBdr>
        <w:top w:val="none" w:sz="0" w:space="0" w:color="auto"/>
        <w:left w:val="none" w:sz="0" w:space="0" w:color="auto"/>
        <w:bottom w:val="none" w:sz="0" w:space="0" w:color="auto"/>
        <w:right w:val="none" w:sz="0" w:space="0" w:color="auto"/>
      </w:divBdr>
    </w:div>
    <w:div w:id="1376587193">
      <w:bodyDiv w:val="1"/>
      <w:marLeft w:val="0"/>
      <w:marRight w:val="0"/>
      <w:marTop w:val="0"/>
      <w:marBottom w:val="0"/>
      <w:divBdr>
        <w:top w:val="none" w:sz="0" w:space="0" w:color="auto"/>
        <w:left w:val="none" w:sz="0" w:space="0" w:color="auto"/>
        <w:bottom w:val="none" w:sz="0" w:space="0" w:color="auto"/>
        <w:right w:val="none" w:sz="0" w:space="0" w:color="auto"/>
      </w:divBdr>
    </w:div>
    <w:div w:id="1377855244">
      <w:bodyDiv w:val="1"/>
      <w:marLeft w:val="0"/>
      <w:marRight w:val="0"/>
      <w:marTop w:val="0"/>
      <w:marBottom w:val="0"/>
      <w:divBdr>
        <w:top w:val="none" w:sz="0" w:space="0" w:color="auto"/>
        <w:left w:val="none" w:sz="0" w:space="0" w:color="auto"/>
        <w:bottom w:val="none" w:sz="0" w:space="0" w:color="auto"/>
        <w:right w:val="none" w:sz="0" w:space="0" w:color="auto"/>
      </w:divBdr>
    </w:div>
    <w:div w:id="1379816184">
      <w:bodyDiv w:val="1"/>
      <w:marLeft w:val="0"/>
      <w:marRight w:val="0"/>
      <w:marTop w:val="0"/>
      <w:marBottom w:val="0"/>
      <w:divBdr>
        <w:top w:val="none" w:sz="0" w:space="0" w:color="auto"/>
        <w:left w:val="none" w:sz="0" w:space="0" w:color="auto"/>
        <w:bottom w:val="none" w:sz="0" w:space="0" w:color="auto"/>
        <w:right w:val="none" w:sz="0" w:space="0" w:color="auto"/>
      </w:divBdr>
    </w:div>
    <w:div w:id="1383283761">
      <w:bodyDiv w:val="1"/>
      <w:marLeft w:val="0"/>
      <w:marRight w:val="0"/>
      <w:marTop w:val="0"/>
      <w:marBottom w:val="0"/>
      <w:divBdr>
        <w:top w:val="none" w:sz="0" w:space="0" w:color="auto"/>
        <w:left w:val="none" w:sz="0" w:space="0" w:color="auto"/>
        <w:bottom w:val="none" w:sz="0" w:space="0" w:color="auto"/>
        <w:right w:val="none" w:sz="0" w:space="0" w:color="auto"/>
      </w:divBdr>
    </w:div>
    <w:div w:id="1383361552">
      <w:bodyDiv w:val="1"/>
      <w:marLeft w:val="0"/>
      <w:marRight w:val="0"/>
      <w:marTop w:val="0"/>
      <w:marBottom w:val="0"/>
      <w:divBdr>
        <w:top w:val="none" w:sz="0" w:space="0" w:color="auto"/>
        <w:left w:val="none" w:sz="0" w:space="0" w:color="auto"/>
        <w:bottom w:val="none" w:sz="0" w:space="0" w:color="auto"/>
        <w:right w:val="none" w:sz="0" w:space="0" w:color="auto"/>
      </w:divBdr>
    </w:div>
    <w:div w:id="1384519725">
      <w:bodyDiv w:val="1"/>
      <w:marLeft w:val="0"/>
      <w:marRight w:val="0"/>
      <w:marTop w:val="0"/>
      <w:marBottom w:val="0"/>
      <w:divBdr>
        <w:top w:val="none" w:sz="0" w:space="0" w:color="auto"/>
        <w:left w:val="none" w:sz="0" w:space="0" w:color="auto"/>
        <w:bottom w:val="none" w:sz="0" w:space="0" w:color="auto"/>
        <w:right w:val="none" w:sz="0" w:space="0" w:color="auto"/>
      </w:divBdr>
    </w:div>
    <w:div w:id="1386761472">
      <w:bodyDiv w:val="1"/>
      <w:marLeft w:val="0"/>
      <w:marRight w:val="0"/>
      <w:marTop w:val="0"/>
      <w:marBottom w:val="0"/>
      <w:divBdr>
        <w:top w:val="none" w:sz="0" w:space="0" w:color="auto"/>
        <w:left w:val="none" w:sz="0" w:space="0" w:color="auto"/>
        <w:bottom w:val="none" w:sz="0" w:space="0" w:color="auto"/>
        <w:right w:val="none" w:sz="0" w:space="0" w:color="auto"/>
      </w:divBdr>
    </w:div>
    <w:div w:id="1393234199">
      <w:bodyDiv w:val="1"/>
      <w:marLeft w:val="0"/>
      <w:marRight w:val="0"/>
      <w:marTop w:val="0"/>
      <w:marBottom w:val="0"/>
      <w:divBdr>
        <w:top w:val="none" w:sz="0" w:space="0" w:color="auto"/>
        <w:left w:val="none" w:sz="0" w:space="0" w:color="auto"/>
        <w:bottom w:val="none" w:sz="0" w:space="0" w:color="auto"/>
        <w:right w:val="none" w:sz="0" w:space="0" w:color="auto"/>
      </w:divBdr>
    </w:div>
    <w:div w:id="1399867881">
      <w:bodyDiv w:val="1"/>
      <w:marLeft w:val="0"/>
      <w:marRight w:val="0"/>
      <w:marTop w:val="0"/>
      <w:marBottom w:val="0"/>
      <w:divBdr>
        <w:top w:val="none" w:sz="0" w:space="0" w:color="auto"/>
        <w:left w:val="none" w:sz="0" w:space="0" w:color="auto"/>
        <w:bottom w:val="none" w:sz="0" w:space="0" w:color="auto"/>
        <w:right w:val="none" w:sz="0" w:space="0" w:color="auto"/>
      </w:divBdr>
    </w:div>
    <w:div w:id="1402756991">
      <w:bodyDiv w:val="1"/>
      <w:marLeft w:val="0"/>
      <w:marRight w:val="0"/>
      <w:marTop w:val="0"/>
      <w:marBottom w:val="0"/>
      <w:divBdr>
        <w:top w:val="none" w:sz="0" w:space="0" w:color="auto"/>
        <w:left w:val="none" w:sz="0" w:space="0" w:color="auto"/>
        <w:bottom w:val="none" w:sz="0" w:space="0" w:color="auto"/>
        <w:right w:val="none" w:sz="0" w:space="0" w:color="auto"/>
      </w:divBdr>
    </w:div>
    <w:div w:id="1415862739">
      <w:bodyDiv w:val="1"/>
      <w:marLeft w:val="0"/>
      <w:marRight w:val="0"/>
      <w:marTop w:val="0"/>
      <w:marBottom w:val="0"/>
      <w:divBdr>
        <w:top w:val="none" w:sz="0" w:space="0" w:color="auto"/>
        <w:left w:val="none" w:sz="0" w:space="0" w:color="auto"/>
        <w:bottom w:val="none" w:sz="0" w:space="0" w:color="auto"/>
        <w:right w:val="none" w:sz="0" w:space="0" w:color="auto"/>
      </w:divBdr>
    </w:div>
    <w:div w:id="1416702967">
      <w:bodyDiv w:val="1"/>
      <w:marLeft w:val="0"/>
      <w:marRight w:val="0"/>
      <w:marTop w:val="0"/>
      <w:marBottom w:val="0"/>
      <w:divBdr>
        <w:top w:val="none" w:sz="0" w:space="0" w:color="auto"/>
        <w:left w:val="none" w:sz="0" w:space="0" w:color="auto"/>
        <w:bottom w:val="none" w:sz="0" w:space="0" w:color="auto"/>
        <w:right w:val="none" w:sz="0" w:space="0" w:color="auto"/>
      </w:divBdr>
    </w:div>
    <w:div w:id="1417894785">
      <w:bodyDiv w:val="1"/>
      <w:marLeft w:val="0"/>
      <w:marRight w:val="0"/>
      <w:marTop w:val="0"/>
      <w:marBottom w:val="0"/>
      <w:divBdr>
        <w:top w:val="none" w:sz="0" w:space="0" w:color="auto"/>
        <w:left w:val="none" w:sz="0" w:space="0" w:color="auto"/>
        <w:bottom w:val="none" w:sz="0" w:space="0" w:color="auto"/>
        <w:right w:val="none" w:sz="0" w:space="0" w:color="auto"/>
      </w:divBdr>
    </w:div>
    <w:div w:id="1421827462">
      <w:bodyDiv w:val="1"/>
      <w:marLeft w:val="0"/>
      <w:marRight w:val="0"/>
      <w:marTop w:val="0"/>
      <w:marBottom w:val="0"/>
      <w:divBdr>
        <w:top w:val="none" w:sz="0" w:space="0" w:color="auto"/>
        <w:left w:val="none" w:sz="0" w:space="0" w:color="auto"/>
        <w:bottom w:val="none" w:sz="0" w:space="0" w:color="auto"/>
        <w:right w:val="none" w:sz="0" w:space="0" w:color="auto"/>
      </w:divBdr>
    </w:div>
    <w:div w:id="1422411120">
      <w:bodyDiv w:val="1"/>
      <w:marLeft w:val="0"/>
      <w:marRight w:val="0"/>
      <w:marTop w:val="0"/>
      <w:marBottom w:val="0"/>
      <w:divBdr>
        <w:top w:val="none" w:sz="0" w:space="0" w:color="auto"/>
        <w:left w:val="none" w:sz="0" w:space="0" w:color="auto"/>
        <w:bottom w:val="none" w:sz="0" w:space="0" w:color="auto"/>
        <w:right w:val="none" w:sz="0" w:space="0" w:color="auto"/>
      </w:divBdr>
    </w:div>
    <w:div w:id="1428430455">
      <w:bodyDiv w:val="1"/>
      <w:marLeft w:val="0"/>
      <w:marRight w:val="0"/>
      <w:marTop w:val="0"/>
      <w:marBottom w:val="0"/>
      <w:divBdr>
        <w:top w:val="none" w:sz="0" w:space="0" w:color="auto"/>
        <w:left w:val="none" w:sz="0" w:space="0" w:color="auto"/>
        <w:bottom w:val="none" w:sz="0" w:space="0" w:color="auto"/>
        <w:right w:val="none" w:sz="0" w:space="0" w:color="auto"/>
      </w:divBdr>
    </w:div>
    <w:div w:id="1430813298">
      <w:bodyDiv w:val="1"/>
      <w:marLeft w:val="0"/>
      <w:marRight w:val="0"/>
      <w:marTop w:val="0"/>
      <w:marBottom w:val="0"/>
      <w:divBdr>
        <w:top w:val="none" w:sz="0" w:space="0" w:color="auto"/>
        <w:left w:val="none" w:sz="0" w:space="0" w:color="auto"/>
        <w:bottom w:val="none" w:sz="0" w:space="0" w:color="auto"/>
        <w:right w:val="none" w:sz="0" w:space="0" w:color="auto"/>
      </w:divBdr>
    </w:div>
    <w:div w:id="1434207875">
      <w:bodyDiv w:val="1"/>
      <w:marLeft w:val="0"/>
      <w:marRight w:val="0"/>
      <w:marTop w:val="0"/>
      <w:marBottom w:val="0"/>
      <w:divBdr>
        <w:top w:val="none" w:sz="0" w:space="0" w:color="auto"/>
        <w:left w:val="none" w:sz="0" w:space="0" w:color="auto"/>
        <w:bottom w:val="none" w:sz="0" w:space="0" w:color="auto"/>
        <w:right w:val="none" w:sz="0" w:space="0" w:color="auto"/>
      </w:divBdr>
    </w:div>
    <w:div w:id="1439258745">
      <w:bodyDiv w:val="1"/>
      <w:marLeft w:val="0"/>
      <w:marRight w:val="0"/>
      <w:marTop w:val="0"/>
      <w:marBottom w:val="0"/>
      <w:divBdr>
        <w:top w:val="none" w:sz="0" w:space="0" w:color="auto"/>
        <w:left w:val="none" w:sz="0" w:space="0" w:color="auto"/>
        <w:bottom w:val="none" w:sz="0" w:space="0" w:color="auto"/>
        <w:right w:val="none" w:sz="0" w:space="0" w:color="auto"/>
      </w:divBdr>
    </w:div>
    <w:div w:id="1440025444">
      <w:bodyDiv w:val="1"/>
      <w:marLeft w:val="0"/>
      <w:marRight w:val="0"/>
      <w:marTop w:val="0"/>
      <w:marBottom w:val="0"/>
      <w:divBdr>
        <w:top w:val="none" w:sz="0" w:space="0" w:color="auto"/>
        <w:left w:val="none" w:sz="0" w:space="0" w:color="auto"/>
        <w:bottom w:val="none" w:sz="0" w:space="0" w:color="auto"/>
        <w:right w:val="none" w:sz="0" w:space="0" w:color="auto"/>
      </w:divBdr>
    </w:div>
    <w:div w:id="1442451906">
      <w:bodyDiv w:val="1"/>
      <w:marLeft w:val="0"/>
      <w:marRight w:val="0"/>
      <w:marTop w:val="0"/>
      <w:marBottom w:val="0"/>
      <w:divBdr>
        <w:top w:val="none" w:sz="0" w:space="0" w:color="auto"/>
        <w:left w:val="none" w:sz="0" w:space="0" w:color="auto"/>
        <w:bottom w:val="none" w:sz="0" w:space="0" w:color="auto"/>
        <w:right w:val="none" w:sz="0" w:space="0" w:color="auto"/>
      </w:divBdr>
    </w:div>
    <w:div w:id="1445614020">
      <w:bodyDiv w:val="1"/>
      <w:marLeft w:val="0"/>
      <w:marRight w:val="0"/>
      <w:marTop w:val="0"/>
      <w:marBottom w:val="0"/>
      <w:divBdr>
        <w:top w:val="none" w:sz="0" w:space="0" w:color="auto"/>
        <w:left w:val="none" w:sz="0" w:space="0" w:color="auto"/>
        <w:bottom w:val="none" w:sz="0" w:space="0" w:color="auto"/>
        <w:right w:val="none" w:sz="0" w:space="0" w:color="auto"/>
      </w:divBdr>
    </w:div>
    <w:div w:id="1445735166">
      <w:bodyDiv w:val="1"/>
      <w:marLeft w:val="0"/>
      <w:marRight w:val="0"/>
      <w:marTop w:val="0"/>
      <w:marBottom w:val="0"/>
      <w:divBdr>
        <w:top w:val="none" w:sz="0" w:space="0" w:color="auto"/>
        <w:left w:val="none" w:sz="0" w:space="0" w:color="auto"/>
        <w:bottom w:val="none" w:sz="0" w:space="0" w:color="auto"/>
        <w:right w:val="none" w:sz="0" w:space="0" w:color="auto"/>
      </w:divBdr>
    </w:div>
    <w:div w:id="1448505029">
      <w:bodyDiv w:val="1"/>
      <w:marLeft w:val="0"/>
      <w:marRight w:val="0"/>
      <w:marTop w:val="0"/>
      <w:marBottom w:val="0"/>
      <w:divBdr>
        <w:top w:val="none" w:sz="0" w:space="0" w:color="auto"/>
        <w:left w:val="none" w:sz="0" w:space="0" w:color="auto"/>
        <w:bottom w:val="none" w:sz="0" w:space="0" w:color="auto"/>
        <w:right w:val="none" w:sz="0" w:space="0" w:color="auto"/>
      </w:divBdr>
    </w:div>
    <w:div w:id="1448889644">
      <w:bodyDiv w:val="1"/>
      <w:marLeft w:val="0"/>
      <w:marRight w:val="0"/>
      <w:marTop w:val="0"/>
      <w:marBottom w:val="0"/>
      <w:divBdr>
        <w:top w:val="none" w:sz="0" w:space="0" w:color="auto"/>
        <w:left w:val="none" w:sz="0" w:space="0" w:color="auto"/>
        <w:bottom w:val="none" w:sz="0" w:space="0" w:color="auto"/>
        <w:right w:val="none" w:sz="0" w:space="0" w:color="auto"/>
      </w:divBdr>
    </w:div>
    <w:div w:id="1451242331">
      <w:bodyDiv w:val="1"/>
      <w:marLeft w:val="0"/>
      <w:marRight w:val="0"/>
      <w:marTop w:val="0"/>
      <w:marBottom w:val="0"/>
      <w:divBdr>
        <w:top w:val="none" w:sz="0" w:space="0" w:color="auto"/>
        <w:left w:val="none" w:sz="0" w:space="0" w:color="auto"/>
        <w:bottom w:val="none" w:sz="0" w:space="0" w:color="auto"/>
        <w:right w:val="none" w:sz="0" w:space="0" w:color="auto"/>
      </w:divBdr>
    </w:div>
    <w:div w:id="1451585155">
      <w:bodyDiv w:val="1"/>
      <w:marLeft w:val="0"/>
      <w:marRight w:val="0"/>
      <w:marTop w:val="0"/>
      <w:marBottom w:val="0"/>
      <w:divBdr>
        <w:top w:val="none" w:sz="0" w:space="0" w:color="auto"/>
        <w:left w:val="none" w:sz="0" w:space="0" w:color="auto"/>
        <w:bottom w:val="none" w:sz="0" w:space="0" w:color="auto"/>
        <w:right w:val="none" w:sz="0" w:space="0" w:color="auto"/>
      </w:divBdr>
    </w:div>
    <w:div w:id="1453287740">
      <w:bodyDiv w:val="1"/>
      <w:marLeft w:val="0"/>
      <w:marRight w:val="0"/>
      <w:marTop w:val="0"/>
      <w:marBottom w:val="0"/>
      <w:divBdr>
        <w:top w:val="none" w:sz="0" w:space="0" w:color="auto"/>
        <w:left w:val="none" w:sz="0" w:space="0" w:color="auto"/>
        <w:bottom w:val="none" w:sz="0" w:space="0" w:color="auto"/>
        <w:right w:val="none" w:sz="0" w:space="0" w:color="auto"/>
      </w:divBdr>
    </w:div>
    <w:div w:id="1454253516">
      <w:bodyDiv w:val="1"/>
      <w:marLeft w:val="0"/>
      <w:marRight w:val="0"/>
      <w:marTop w:val="0"/>
      <w:marBottom w:val="0"/>
      <w:divBdr>
        <w:top w:val="none" w:sz="0" w:space="0" w:color="auto"/>
        <w:left w:val="none" w:sz="0" w:space="0" w:color="auto"/>
        <w:bottom w:val="none" w:sz="0" w:space="0" w:color="auto"/>
        <w:right w:val="none" w:sz="0" w:space="0" w:color="auto"/>
      </w:divBdr>
    </w:div>
    <w:div w:id="1458524568">
      <w:bodyDiv w:val="1"/>
      <w:marLeft w:val="0"/>
      <w:marRight w:val="0"/>
      <w:marTop w:val="0"/>
      <w:marBottom w:val="0"/>
      <w:divBdr>
        <w:top w:val="none" w:sz="0" w:space="0" w:color="auto"/>
        <w:left w:val="none" w:sz="0" w:space="0" w:color="auto"/>
        <w:bottom w:val="none" w:sz="0" w:space="0" w:color="auto"/>
        <w:right w:val="none" w:sz="0" w:space="0" w:color="auto"/>
      </w:divBdr>
    </w:div>
    <w:div w:id="1460219467">
      <w:bodyDiv w:val="1"/>
      <w:marLeft w:val="0"/>
      <w:marRight w:val="0"/>
      <w:marTop w:val="0"/>
      <w:marBottom w:val="0"/>
      <w:divBdr>
        <w:top w:val="none" w:sz="0" w:space="0" w:color="auto"/>
        <w:left w:val="none" w:sz="0" w:space="0" w:color="auto"/>
        <w:bottom w:val="none" w:sz="0" w:space="0" w:color="auto"/>
        <w:right w:val="none" w:sz="0" w:space="0" w:color="auto"/>
      </w:divBdr>
    </w:div>
    <w:div w:id="1462655004">
      <w:bodyDiv w:val="1"/>
      <w:marLeft w:val="0"/>
      <w:marRight w:val="0"/>
      <w:marTop w:val="0"/>
      <w:marBottom w:val="0"/>
      <w:divBdr>
        <w:top w:val="none" w:sz="0" w:space="0" w:color="auto"/>
        <w:left w:val="none" w:sz="0" w:space="0" w:color="auto"/>
        <w:bottom w:val="none" w:sz="0" w:space="0" w:color="auto"/>
        <w:right w:val="none" w:sz="0" w:space="0" w:color="auto"/>
      </w:divBdr>
    </w:div>
    <w:div w:id="1468427676">
      <w:bodyDiv w:val="1"/>
      <w:marLeft w:val="0"/>
      <w:marRight w:val="0"/>
      <w:marTop w:val="0"/>
      <w:marBottom w:val="0"/>
      <w:divBdr>
        <w:top w:val="none" w:sz="0" w:space="0" w:color="auto"/>
        <w:left w:val="none" w:sz="0" w:space="0" w:color="auto"/>
        <w:bottom w:val="none" w:sz="0" w:space="0" w:color="auto"/>
        <w:right w:val="none" w:sz="0" w:space="0" w:color="auto"/>
      </w:divBdr>
    </w:div>
    <w:div w:id="1468859909">
      <w:bodyDiv w:val="1"/>
      <w:marLeft w:val="0"/>
      <w:marRight w:val="0"/>
      <w:marTop w:val="0"/>
      <w:marBottom w:val="0"/>
      <w:divBdr>
        <w:top w:val="none" w:sz="0" w:space="0" w:color="auto"/>
        <w:left w:val="none" w:sz="0" w:space="0" w:color="auto"/>
        <w:bottom w:val="none" w:sz="0" w:space="0" w:color="auto"/>
        <w:right w:val="none" w:sz="0" w:space="0" w:color="auto"/>
      </w:divBdr>
    </w:div>
    <w:div w:id="1471097212">
      <w:bodyDiv w:val="1"/>
      <w:marLeft w:val="0"/>
      <w:marRight w:val="0"/>
      <w:marTop w:val="0"/>
      <w:marBottom w:val="0"/>
      <w:divBdr>
        <w:top w:val="none" w:sz="0" w:space="0" w:color="auto"/>
        <w:left w:val="none" w:sz="0" w:space="0" w:color="auto"/>
        <w:bottom w:val="none" w:sz="0" w:space="0" w:color="auto"/>
        <w:right w:val="none" w:sz="0" w:space="0" w:color="auto"/>
      </w:divBdr>
    </w:div>
    <w:div w:id="1476794863">
      <w:bodyDiv w:val="1"/>
      <w:marLeft w:val="0"/>
      <w:marRight w:val="0"/>
      <w:marTop w:val="0"/>
      <w:marBottom w:val="0"/>
      <w:divBdr>
        <w:top w:val="none" w:sz="0" w:space="0" w:color="auto"/>
        <w:left w:val="none" w:sz="0" w:space="0" w:color="auto"/>
        <w:bottom w:val="none" w:sz="0" w:space="0" w:color="auto"/>
        <w:right w:val="none" w:sz="0" w:space="0" w:color="auto"/>
      </w:divBdr>
    </w:div>
    <w:div w:id="1477263960">
      <w:bodyDiv w:val="1"/>
      <w:marLeft w:val="0"/>
      <w:marRight w:val="0"/>
      <w:marTop w:val="0"/>
      <w:marBottom w:val="0"/>
      <w:divBdr>
        <w:top w:val="none" w:sz="0" w:space="0" w:color="auto"/>
        <w:left w:val="none" w:sz="0" w:space="0" w:color="auto"/>
        <w:bottom w:val="none" w:sz="0" w:space="0" w:color="auto"/>
        <w:right w:val="none" w:sz="0" w:space="0" w:color="auto"/>
      </w:divBdr>
    </w:div>
    <w:div w:id="1486243376">
      <w:bodyDiv w:val="1"/>
      <w:marLeft w:val="0"/>
      <w:marRight w:val="0"/>
      <w:marTop w:val="0"/>
      <w:marBottom w:val="0"/>
      <w:divBdr>
        <w:top w:val="none" w:sz="0" w:space="0" w:color="auto"/>
        <w:left w:val="none" w:sz="0" w:space="0" w:color="auto"/>
        <w:bottom w:val="none" w:sz="0" w:space="0" w:color="auto"/>
        <w:right w:val="none" w:sz="0" w:space="0" w:color="auto"/>
      </w:divBdr>
    </w:div>
    <w:div w:id="1488084430">
      <w:bodyDiv w:val="1"/>
      <w:marLeft w:val="0"/>
      <w:marRight w:val="0"/>
      <w:marTop w:val="0"/>
      <w:marBottom w:val="0"/>
      <w:divBdr>
        <w:top w:val="none" w:sz="0" w:space="0" w:color="auto"/>
        <w:left w:val="none" w:sz="0" w:space="0" w:color="auto"/>
        <w:bottom w:val="none" w:sz="0" w:space="0" w:color="auto"/>
        <w:right w:val="none" w:sz="0" w:space="0" w:color="auto"/>
      </w:divBdr>
    </w:div>
    <w:div w:id="1489324664">
      <w:bodyDiv w:val="1"/>
      <w:marLeft w:val="0"/>
      <w:marRight w:val="0"/>
      <w:marTop w:val="0"/>
      <w:marBottom w:val="0"/>
      <w:divBdr>
        <w:top w:val="none" w:sz="0" w:space="0" w:color="auto"/>
        <w:left w:val="none" w:sz="0" w:space="0" w:color="auto"/>
        <w:bottom w:val="none" w:sz="0" w:space="0" w:color="auto"/>
        <w:right w:val="none" w:sz="0" w:space="0" w:color="auto"/>
      </w:divBdr>
    </w:div>
    <w:div w:id="1491557443">
      <w:bodyDiv w:val="1"/>
      <w:marLeft w:val="0"/>
      <w:marRight w:val="0"/>
      <w:marTop w:val="0"/>
      <w:marBottom w:val="0"/>
      <w:divBdr>
        <w:top w:val="none" w:sz="0" w:space="0" w:color="auto"/>
        <w:left w:val="none" w:sz="0" w:space="0" w:color="auto"/>
        <w:bottom w:val="none" w:sz="0" w:space="0" w:color="auto"/>
        <w:right w:val="none" w:sz="0" w:space="0" w:color="auto"/>
      </w:divBdr>
    </w:div>
    <w:div w:id="1498308400">
      <w:bodyDiv w:val="1"/>
      <w:marLeft w:val="0"/>
      <w:marRight w:val="0"/>
      <w:marTop w:val="0"/>
      <w:marBottom w:val="0"/>
      <w:divBdr>
        <w:top w:val="none" w:sz="0" w:space="0" w:color="auto"/>
        <w:left w:val="none" w:sz="0" w:space="0" w:color="auto"/>
        <w:bottom w:val="none" w:sz="0" w:space="0" w:color="auto"/>
        <w:right w:val="none" w:sz="0" w:space="0" w:color="auto"/>
      </w:divBdr>
    </w:div>
    <w:div w:id="1498689477">
      <w:bodyDiv w:val="1"/>
      <w:marLeft w:val="0"/>
      <w:marRight w:val="0"/>
      <w:marTop w:val="0"/>
      <w:marBottom w:val="0"/>
      <w:divBdr>
        <w:top w:val="none" w:sz="0" w:space="0" w:color="auto"/>
        <w:left w:val="none" w:sz="0" w:space="0" w:color="auto"/>
        <w:bottom w:val="none" w:sz="0" w:space="0" w:color="auto"/>
        <w:right w:val="none" w:sz="0" w:space="0" w:color="auto"/>
      </w:divBdr>
    </w:div>
    <w:div w:id="1499925777">
      <w:bodyDiv w:val="1"/>
      <w:marLeft w:val="0"/>
      <w:marRight w:val="0"/>
      <w:marTop w:val="0"/>
      <w:marBottom w:val="0"/>
      <w:divBdr>
        <w:top w:val="none" w:sz="0" w:space="0" w:color="auto"/>
        <w:left w:val="none" w:sz="0" w:space="0" w:color="auto"/>
        <w:bottom w:val="none" w:sz="0" w:space="0" w:color="auto"/>
        <w:right w:val="none" w:sz="0" w:space="0" w:color="auto"/>
      </w:divBdr>
    </w:div>
    <w:div w:id="1500806557">
      <w:bodyDiv w:val="1"/>
      <w:marLeft w:val="0"/>
      <w:marRight w:val="0"/>
      <w:marTop w:val="0"/>
      <w:marBottom w:val="0"/>
      <w:divBdr>
        <w:top w:val="none" w:sz="0" w:space="0" w:color="auto"/>
        <w:left w:val="none" w:sz="0" w:space="0" w:color="auto"/>
        <w:bottom w:val="none" w:sz="0" w:space="0" w:color="auto"/>
        <w:right w:val="none" w:sz="0" w:space="0" w:color="auto"/>
      </w:divBdr>
    </w:div>
    <w:div w:id="1502817393">
      <w:bodyDiv w:val="1"/>
      <w:marLeft w:val="0"/>
      <w:marRight w:val="0"/>
      <w:marTop w:val="0"/>
      <w:marBottom w:val="0"/>
      <w:divBdr>
        <w:top w:val="none" w:sz="0" w:space="0" w:color="auto"/>
        <w:left w:val="none" w:sz="0" w:space="0" w:color="auto"/>
        <w:bottom w:val="none" w:sz="0" w:space="0" w:color="auto"/>
        <w:right w:val="none" w:sz="0" w:space="0" w:color="auto"/>
      </w:divBdr>
    </w:div>
    <w:div w:id="1509639306">
      <w:bodyDiv w:val="1"/>
      <w:marLeft w:val="0"/>
      <w:marRight w:val="0"/>
      <w:marTop w:val="0"/>
      <w:marBottom w:val="0"/>
      <w:divBdr>
        <w:top w:val="none" w:sz="0" w:space="0" w:color="auto"/>
        <w:left w:val="none" w:sz="0" w:space="0" w:color="auto"/>
        <w:bottom w:val="none" w:sz="0" w:space="0" w:color="auto"/>
        <w:right w:val="none" w:sz="0" w:space="0" w:color="auto"/>
      </w:divBdr>
    </w:div>
    <w:div w:id="1510022145">
      <w:bodyDiv w:val="1"/>
      <w:marLeft w:val="0"/>
      <w:marRight w:val="0"/>
      <w:marTop w:val="0"/>
      <w:marBottom w:val="0"/>
      <w:divBdr>
        <w:top w:val="none" w:sz="0" w:space="0" w:color="auto"/>
        <w:left w:val="none" w:sz="0" w:space="0" w:color="auto"/>
        <w:bottom w:val="none" w:sz="0" w:space="0" w:color="auto"/>
        <w:right w:val="none" w:sz="0" w:space="0" w:color="auto"/>
      </w:divBdr>
    </w:div>
    <w:div w:id="1513687005">
      <w:bodyDiv w:val="1"/>
      <w:marLeft w:val="0"/>
      <w:marRight w:val="0"/>
      <w:marTop w:val="0"/>
      <w:marBottom w:val="0"/>
      <w:divBdr>
        <w:top w:val="none" w:sz="0" w:space="0" w:color="auto"/>
        <w:left w:val="none" w:sz="0" w:space="0" w:color="auto"/>
        <w:bottom w:val="none" w:sz="0" w:space="0" w:color="auto"/>
        <w:right w:val="none" w:sz="0" w:space="0" w:color="auto"/>
      </w:divBdr>
    </w:div>
    <w:div w:id="1515194404">
      <w:bodyDiv w:val="1"/>
      <w:marLeft w:val="0"/>
      <w:marRight w:val="0"/>
      <w:marTop w:val="0"/>
      <w:marBottom w:val="0"/>
      <w:divBdr>
        <w:top w:val="none" w:sz="0" w:space="0" w:color="auto"/>
        <w:left w:val="none" w:sz="0" w:space="0" w:color="auto"/>
        <w:bottom w:val="none" w:sz="0" w:space="0" w:color="auto"/>
        <w:right w:val="none" w:sz="0" w:space="0" w:color="auto"/>
      </w:divBdr>
    </w:div>
    <w:div w:id="1518696098">
      <w:bodyDiv w:val="1"/>
      <w:marLeft w:val="0"/>
      <w:marRight w:val="0"/>
      <w:marTop w:val="0"/>
      <w:marBottom w:val="0"/>
      <w:divBdr>
        <w:top w:val="none" w:sz="0" w:space="0" w:color="auto"/>
        <w:left w:val="none" w:sz="0" w:space="0" w:color="auto"/>
        <w:bottom w:val="none" w:sz="0" w:space="0" w:color="auto"/>
        <w:right w:val="none" w:sz="0" w:space="0" w:color="auto"/>
      </w:divBdr>
    </w:div>
    <w:div w:id="1521894656">
      <w:bodyDiv w:val="1"/>
      <w:marLeft w:val="0"/>
      <w:marRight w:val="0"/>
      <w:marTop w:val="0"/>
      <w:marBottom w:val="0"/>
      <w:divBdr>
        <w:top w:val="none" w:sz="0" w:space="0" w:color="auto"/>
        <w:left w:val="none" w:sz="0" w:space="0" w:color="auto"/>
        <w:bottom w:val="none" w:sz="0" w:space="0" w:color="auto"/>
        <w:right w:val="none" w:sz="0" w:space="0" w:color="auto"/>
      </w:divBdr>
    </w:div>
    <w:div w:id="1523084328">
      <w:bodyDiv w:val="1"/>
      <w:marLeft w:val="0"/>
      <w:marRight w:val="0"/>
      <w:marTop w:val="0"/>
      <w:marBottom w:val="0"/>
      <w:divBdr>
        <w:top w:val="none" w:sz="0" w:space="0" w:color="auto"/>
        <w:left w:val="none" w:sz="0" w:space="0" w:color="auto"/>
        <w:bottom w:val="none" w:sz="0" w:space="0" w:color="auto"/>
        <w:right w:val="none" w:sz="0" w:space="0" w:color="auto"/>
      </w:divBdr>
    </w:div>
    <w:div w:id="1526600592">
      <w:bodyDiv w:val="1"/>
      <w:marLeft w:val="0"/>
      <w:marRight w:val="0"/>
      <w:marTop w:val="0"/>
      <w:marBottom w:val="0"/>
      <w:divBdr>
        <w:top w:val="none" w:sz="0" w:space="0" w:color="auto"/>
        <w:left w:val="none" w:sz="0" w:space="0" w:color="auto"/>
        <w:bottom w:val="none" w:sz="0" w:space="0" w:color="auto"/>
        <w:right w:val="none" w:sz="0" w:space="0" w:color="auto"/>
      </w:divBdr>
    </w:div>
    <w:div w:id="1529219054">
      <w:bodyDiv w:val="1"/>
      <w:marLeft w:val="0"/>
      <w:marRight w:val="0"/>
      <w:marTop w:val="0"/>
      <w:marBottom w:val="0"/>
      <w:divBdr>
        <w:top w:val="none" w:sz="0" w:space="0" w:color="auto"/>
        <w:left w:val="none" w:sz="0" w:space="0" w:color="auto"/>
        <w:bottom w:val="none" w:sz="0" w:space="0" w:color="auto"/>
        <w:right w:val="none" w:sz="0" w:space="0" w:color="auto"/>
      </w:divBdr>
    </w:div>
    <w:div w:id="1530335875">
      <w:bodyDiv w:val="1"/>
      <w:marLeft w:val="0"/>
      <w:marRight w:val="0"/>
      <w:marTop w:val="0"/>
      <w:marBottom w:val="0"/>
      <w:divBdr>
        <w:top w:val="none" w:sz="0" w:space="0" w:color="auto"/>
        <w:left w:val="none" w:sz="0" w:space="0" w:color="auto"/>
        <w:bottom w:val="none" w:sz="0" w:space="0" w:color="auto"/>
        <w:right w:val="none" w:sz="0" w:space="0" w:color="auto"/>
      </w:divBdr>
    </w:div>
    <w:div w:id="1536698167">
      <w:bodyDiv w:val="1"/>
      <w:marLeft w:val="0"/>
      <w:marRight w:val="0"/>
      <w:marTop w:val="0"/>
      <w:marBottom w:val="0"/>
      <w:divBdr>
        <w:top w:val="none" w:sz="0" w:space="0" w:color="auto"/>
        <w:left w:val="none" w:sz="0" w:space="0" w:color="auto"/>
        <w:bottom w:val="none" w:sz="0" w:space="0" w:color="auto"/>
        <w:right w:val="none" w:sz="0" w:space="0" w:color="auto"/>
      </w:divBdr>
    </w:div>
    <w:div w:id="1536969482">
      <w:bodyDiv w:val="1"/>
      <w:marLeft w:val="0"/>
      <w:marRight w:val="0"/>
      <w:marTop w:val="0"/>
      <w:marBottom w:val="0"/>
      <w:divBdr>
        <w:top w:val="none" w:sz="0" w:space="0" w:color="auto"/>
        <w:left w:val="none" w:sz="0" w:space="0" w:color="auto"/>
        <w:bottom w:val="none" w:sz="0" w:space="0" w:color="auto"/>
        <w:right w:val="none" w:sz="0" w:space="0" w:color="auto"/>
      </w:divBdr>
    </w:div>
    <w:div w:id="1540514711">
      <w:bodyDiv w:val="1"/>
      <w:marLeft w:val="0"/>
      <w:marRight w:val="0"/>
      <w:marTop w:val="0"/>
      <w:marBottom w:val="0"/>
      <w:divBdr>
        <w:top w:val="none" w:sz="0" w:space="0" w:color="auto"/>
        <w:left w:val="none" w:sz="0" w:space="0" w:color="auto"/>
        <w:bottom w:val="none" w:sz="0" w:space="0" w:color="auto"/>
        <w:right w:val="none" w:sz="0" w:space="0" w:color="auto"/>
      </w:divBdr>
    </w:div>
    <w:div w:id="1541363356">
      <w:bodyDiv w:val="1"/>
      <w:marLeft w:val="0"/>
      <w:marRight w:val="0"/>
      <w:marTop w:val="0"/>
      <w:marBottom w:val="0"/>
      <w:divBdr>
        <w:top w:val="none" w:sz="0" w:space="0" w:color="auto"/>
        <w:left w:val="none" w:sz="0" w:space="0" w:color="auto"/>
        <w:bottom w:val="none" w:sz="0" w:space="0" w:color="auto"/>
        <w:right w:val="none" w:sz="0" w:space="0" w:color="auto"/>
      </w:divBdr>
    </w:div>
    <w:div w:id="1541937376">
      <w:bodyDiv w:val="1"/>
      <w:marLeft w:val="0"/>
      <w:marRight w:val="0"/>
      <w:marTop w:val="0"/>
      <w:marBottom w:val="0"/>
      <w:divBdr>
        <w:top w:val="none" w:sz="0" w:space="0" w:color="auto"/>
        <w:left w:val="none" w:sz="0" w:space="0" w:color="auto"/>
        <w:bottom w:val="none" w:sz="0" w:space="0" w:color="auto"/>
        <w:right w:val="none" w:sz="0" w:space="0" w:color="auto"/>
      </w:divBdr>
    </w:div>
    <w:div w:id="1543247537">
      <w:bodyDiv w:val="1"/>
      <w:marLeft w:val="0"/>
      <w:marRight w:val="0"/>
      <w:marTop w:val="0"/>
      <w:marBottom w:val="0"/>
      <w:divBdr>
        <w:top w:val="none" w:sz="0" w:space="0" w:color="auto"/>
        <w:left w:val="none" w:sz="0" w:space="0" w:color="auto"/>
        <w:bottom w:val="none" w:sz="0" w:space="0" w:color="auto"/>
        <w:right w:val="none" w:sz="0" w:space="0" w:color="auto"/>
      </w:divBdr>
    </w:div>
    <w:div w:id="1544099928">
      <w:bodyDiv w:val="1"/>
      <w:marLeft w:val="0"/>
      <w:marRight w:val="0"/>
      <w:marTop w:val="0"/>
      <w:marBottom w:val="0"/>
      <w:divBdr>
        <w:top w:val="none" w:sz="0" w:space="0" w:color="auto"/>
        <w:left w:val="none" w:sz="0" w:space="0" w:color="auto"/>
        <w:bottom w:val="none" w:sz="0" w:space="0" w:color="auto"/>
        <w:right w:val="none" w:sz="0" w:space="0" w:color="auto"/>
      </w:divBdr>
    </w:div>
    <w:div w:id="1546135850">
      <w:bodyDiv w:val="1"/>
      <w:marLeft w:val="0"/>
      <w:marRight w:val="0"/>
      <w:marTop w:val="0"/>
      <w:marBottom w:val="0"/>
      <w:divBdr>
        <w:top w:val="none" w:sz="0" w:space="0" w:color="auto"/>
        <w:left w:val="none" w:sz="0" w:space="0" w:color="auto"/>
        <w:bottom w:val="none" w:sz="0" w:space="0" w:color="auto"/>
        <w:right w:val="none" w:sz="0" w:space="0" w:color="auto"/>
      </w:divBdr>
    </w:div>
    <w:div w:id="1548293861">
      <w:bodyDiv w:val="1"/>
      <w:marLeft w:val="0"/>
      <w:marRight w:val="0"/>
      <w:marTop w:val="0"/>
      <w:marBottom w:val="0"/>
      <w:divBdr>
        <w:top w:val="none" w:sz="0" w:space="0" w:color="auto"/>
        <w:left w:val="none" w:sz="0" w:space="0" w:color="auto"/>
        <w:bottom w:val="none" w:sz="0" w:space="0" w:color="auto"/>
        <w:right w:val="none" w:sz="0" w:space="0" w:color="auto"/>
      </w:divBdr>
    </w:div>
    <w:div w:id="1552645602">
      <w:bodyDiv w:val="1"/>
      <w:marLeft w:val="0"/>
      <w:marRight w:val="0"/>
      <w:marTop w:val="0"/>
      <w:marBottom w:val="0"/>
      <w:divBdr>
        <w:top w:val="none" w:sz="0" w:space="0" w:color="auto"/>
        <w:left w:val="none" w:sz="0" w:space="0" w:color="auto"/>
        <w:bottom w:val="none" w:sz="0" w:space="0" w:color="auto"/>
        <w:right w:val="none" w:sz="0" w:space="0" w:color="auto"/>
      </w:divBdr>
    </w:div>
    <w:div w:id="1555653204">
      <w:bodyDiv w:val="1"/>
      <w:marLeft w:val="0"/>
      <w:marRight w:val="0"/>
      <w:marTop w:val="0"/>
      <w:marBottom w:val="0"/>
      <w:divBdr>
        <w:top w:val="none" w:sz="0" w:space="0" w:color="auto"/>
        <w:left w:val="none" w:sz="0" w:space="0" w:color="auto"/>
        <w:bottom w:val="none" w:sz="0" w:space="0" w:color="auto"/>
        <w:right w:val="none" w:sz="0" w:space="0" w:color="auto"/>
      </w:divBdr>
    </w:div>
    <w:div w:id="1558392746">
      <w:bodyDiv w:val="1"/>
      <w:marLeft w:val="0"/>
      <w:marRight w:val="0"/>
      <w:marTop w:val="0"/>
      <w:marBottom w:val="0"/>
      <w:divBdr>
        <w:top w:val="none" w:sz="0" w:space="0" w:color="auto"/>
        <w:left w:val="none" w:sz="0" w:space="0" w:color="auto"/>
        <w:bottom w:val="none" w:sz="0" w:space="0" w:color="auto"/>
        <w:right w:val="none" w:sz="0" w:space="0" w:color="auto"/>
      </w:divBdr>
    </w:div>
    <w:div w:id="1564564997">
      <w:bodyDiv w:val="1"/>
      <w:marLeft w:val="0"/>
      <w:marRight w:val="0"/>
      <w:marTop w:val="0"/>
      <w:marBottom w:val="0"/>
      <w:divBdr>
        <w:top w:val="none" w:sz="0" w:space="0" w:color="auto"/>
        <w:left w:val="none" w:sz="0" w:space="0" w:color="auto"/>
        <w:bottom w:val="none" w:sz="0" w:space="0" w:color="auto"/>
        <w:right w:val="none" w:sz="0" w:space="0" w:color="auto"/>
      </w:divBdr>
    </w:div>
    <w:div w:id="1570572262">
      <w:bodyDiv w:val="1"/>
      <w:marLeft w:val="0"/>
      <w:marRight w:val="0"/>
      <w:marTop w:val="0"/>
      <w:marBottom w:val="0"/>
      <w:divBdr>
        <w:top w:val="none" w:sz="0" w:space="0" w:color="auto"/>
        <w:left w:val="none" w:sz="0" w:space="0" w:color="auto"/>
        <w:bottom w:val="none" w:sz="0" w:space="0" w:color="auto"/>
        <w:right w:val="none" w:sz="0" w:space="0" w:color="auto"/>
      </w:divBdr>
    </w:div>
    <w:div w:id="1571042259">
      <w:bodyDiv w:val="1"/>
      <w:marLeft w:val="0"/>
      <w:marRight w:val="0"/>
      <w:marTop w:val="0"/>
      <w:marBottom w:val="0"/>
      <w:divBdr>
        <w:top w:val="none" w:sz="0" w:space="0" w:color="auto"/>
        <w:left w:val="none" w:sz="0" w:space="0" w:color="auto"/>
        <w:bottom w:val="none" w:sz="0" w:space="0" w:color="auto"/>
        <w:right w:val="none" w:sz="0" w:space="0" w:color="auto"/>
      </w:divBdr>
    </w:div>
    <w:div w:id="1571042447">
      <w:bodyDiv w:val="1"/>
      <w:marLeft w:val="0"/>
      <w:marRight w:val="0"/>
      <w:marTop w:val="0"/>
      <w:marBottom w:val="0"/>
      <w:divBdr>
        <w:top w:val="none" w:sz="0" w:space="0" w:color="auto"/>
        <w:left w:val="none" w:sz="0" w:space="0" w:color="auto"/>
        <w:bottom w:val="none" w:sz="0" w:space="0" w:color="auto"/>
        <w:right w:val="none" w:sz="0" w:space="0" w:color="auto"/>
      </w:divBdr>
    </w:div>
    <w:div w:id="1572501418">
      <w:bodyDiv w:val="1"/>
      <w:marLeft w:val="0"/>
      <w:marRight w:val="0"/>
      <w:marTop w:val="0"/>
      <w:marBottom w:val="0"/>
      <w:divBdr>
        <w:top w:val="none" w:sz="0" w:space="0" w:color="auto"/>
        <w:left w:val="none" w:sz="0" w:space="0" w:color="auto"/>
        <w:bottom w:val="none" w:sz="0" w:space="0" w:color="auto"/>
        <w:right w:val="none" w:sz="0" w:space="0" w:color="auto"/>
      </w:divBdr>
    </w:div>
    <w:div w:id="1573352412">
      <w:bodyDiv w:val="1"/>
      <w:marLeft w:val="0"/>
      <w:marRight w:val="0"/>
      <w:marTop w:val="0"/>
      <w:marBottom w:val="0"/>
      <w:divBdr>
        <w:top w:val="none" w:sz="0" w:space="0" w:color="auto"/>
        <w:left w:val="none" w:sz="0" w:space="0" w:color="auto"/>
        <w:bottom w:val="none" w:sz="0" w:space="0" w:color="auto"/>
        <w:right w:val="none" w:sz="0" w:space="0" w:color="auto"/>
      </w:divBdr>
    </w:div>
    <w:div w:id="1578398815">
      <w:bodyDiv w:val="1"/>
      <w:marLeft w:val="0"/>
      <w:marRight w:val="0"/>
      <w:marTop w:val="0"/>
      <w:marBottom w:val="0"/>
      <w:divBdr>
        <w:top w:val="none" w:sz="0" w:space="0" w:color="auto"/>
        <w:left w:val="none" w:sz="0" w:space="0" w:color="auto"/>
        <w:bottom w:val="none" w:sz="0" w:space="0" w:color="auto"/>
        <w:right w:val="none" w:sz="0" w:space="0" w:color="auto"/>
      </w:divBdr>
    </w:div>
    <w:div w:id="1579435433">
      <w:bodyDiv w:val="1"/>
      <w:marLeft w:val="0"/>
      <w:marRight w:val="0"/>
      <w:marTop w:val="0"/>
      <w:marBottom w:val="0"/>
      <w:divBdr>
        <w:top w:val="none" w:sz="0" w:space="0" w:color="auto"/>
        <w:left w:val="none" w:sz="0" w:space="0" w:color="auto"/>
        <w:bottom w:val="none" w:sz="0" w:space="0" w:color="auto"/>
        <w:right w:val="none" w:sz="0" w:space="0" w:color="auto"/>
      </w:divBdr>
    </w:div>
    <w:div w:id="1594317939">
      <w:bodyDiv w:val="1"/>
      <w:marLeft w:val="0"/>
      <w:marRight w:val="0"/>
      <w:marTop w:val="0"/>
      <w:marBottom w:val="0"/>
      <w:divBdr>
        <w:top w:val="none" w:sz="0" w:space="0" w:color="auto"/>
        <w:left w:val="none" w:sz="0" w:space="0" w:color="auto"/>
        <w:bottom w:val="none" w:sz="0" w:space="0" w:color="auto"/>
        <w:right w:val="none" w:sz="0" w:space="0" w:color="auto"/>
      </w:divBdr>
    </w:div>
    <w:div w:id="1601447250">
      <w:bodyDiv w:val="1"/>
      <w:marLeft w:val="0"/>
      <w:marRight w:val="0"/>
      <w:marTop w:val="0"/>
      <w:marBottom w:val="0"/>
      <w:divBdr>
        <w:top w:val="none" w:sz="0" w:space="0" w:color="auto"/>
        <w:left w:val="none" w:sz="0" w:space="0" w:color="auto"/>
        <w:bottom w:val="none" w:sz="0" w:space="0" w:color="auto"/>
        <w:right w:val="none" w:sz="0" w:space="0" w:color="auto"/>
      </w:divBdr>
    </w:div>
    <w:div w:id="1603419245">
      <w:bodyDiv w:val="1"/>
      <w:marLeft w:val="0"/>
      <w:marRight w:val="0"/>
      <w:marTop w:val="0"/>
      <w:marBottom w:val="0"/>
      <w:divBdr>
        <w:top w:val="none" w:sz="0" w:space="0" w:color="auto"/>
        <w:left w:val="none" w:sz="0" w:space="0" w:color="auto"/>
        <w:bottom w:val="none" w:sz="0" w:space="0" w:color="auto"/>
        <w:right w:val="none" w:sz="0" w:space="0" w:color="auto"/>
      </w:divBdr>
    </w:div>
    <w:div w:id="1604071775">
      <w:bodyDiv w:val="1"/>
      <w:marLeft w:val="0"/>
      <w:marRight w:val="0"/>
      <w:marTop w:val="0"/>
      <w:marBottom w:val="0"/>
      <w:divBdr>
        <w:top w:val="none" w:sz="0" w:space="0" w:color="auto"/>
        <w:left w:val="none" w:sz="0" w:space="0" w:color="auto"/>
        <w:bottom w:val="none" w:sz="0" w:space="0" w:color="auto"/>
        <w:right w:val="none" w:sz="0" w:space="0" w:color="auto"/>
      </w:divBdr>
    </w:div>
    <w:div w:id="1605530124">
      <w:bodyDiv w:val="1"/>
      <w:marLeft w:val="0"/>
      <w:marRight w:val="0"/>
      <w:marTop w:val="0"/>
      <w:marBottom w:val="0"/>
      <w:divBdr>
        <w:top w:val="none" w:sz="0" w:space="0" w:color="auto"/>
        <w:left w:val="none" w:sz="0" w:space="0" w:color="auto"/>
        <w:bottom w:val="none" w:sz="0" w:space="0" w:color="auto"/>
        <w:right w:val="none" w:sz="0" w:space="0" w:color="auto"/>
      </w:divBdr>
    </w:div>
    <w:div w:id="1606696288">
      <w:bodyDiv w:val="1"/>
      <w:marLeft w:val="0"/>
      <w:marRight w:val="0"/>
      <w:marTop w:val="0"/>
      <w:marBottom w:val="0"/>
      <w:divBdr>
        <w:top w:val="none" w:sz="0" w:space="0" w:color="auto"/>
        <w:left w:val="none" w:sz="0" w:space="0" w:color="auto"/>
        <w:bottom w:val="none" w:sz="0" w:space="0" w:color="auto"/>
        <w:right w:val="none" w:sz="0" w:space="0" w:color="auto"/>
      </w:divBdr>
    </w:div>
    <w:div w:id="1611274949">
      <w:bodyDiv w:val="1"/>
      <w:marLeft w:val="0"/>
      <w:marRight w:val="0"/>
      <w:marTop w:val="0"/>
      <w:marBottom w:val="0"/>
      <w:divBdr>
        <w:top w:val="none" w:sz="0" w:space="0" w:color="auto"/>
        <w:left w:val="none" w:sz="0" w:space="0" w:color="auto"/>
        <w:bottom w:val="none" w:sz="0" w:space="0" w:color="auto"/>
        <w:right w:val="none" w:sz="0" w:space="0" w:color="auto"/>
      </w:divBdr>
    </w:div>
    <w:div w:id="1616987209">
      <w:bodyDiv w:val="1"/>
      <w:marLeft w:val="0"/>
      <w:marRight w:val="0"/>
      <w:marTop w:val="0"/>
      <w:marBottom w:val="0"/>
      <w:divBdr>
        <w:top w:val="none" w:sz="0" w:space="0" w:color="auto"/>
        <w:left w:val="none" w:sz="0" w:space="0" w:color="auto"/>
        <w:bottom w:val="none" w:sz="0" w:space="0" w:color="auto"/>
        <w:right w:val="none" w:sz="0" w:space="0" w:color="auto"/>
      </w:divBdr>
    </w:div>
    <w:div w:id="1617175683">
      <w:bodyDiv w:val="1"/>
      <w:marLeft w:val="0"/>
      <w:marRight w:val="0"/>
      <w:marTop w:val="0"/>
      <w:marBottom w:val="0"/>
      <w:divBdr>
        <w:top w:val="none" w:sz="0" w:space="0" w:color="auto"/>
        <w:left w:val="none" w:sz="0" w:space="0" w:color="auto"/>
        <w:bottom w:val="none" w:sz="0" w:space="0" w:color="auto"/>
        <w:right w:val="none" w:sz="0" w:space="0" w:color="auto"/>
      </w:divBdr>
    </w:div>
    <w:div w:id="1619797125">
      <w:bodyDiv w:val="1"/>
      <w:marLeft w:val="0"/>
      <w:marRight w:val="0"/>
      <w:marTop w:val="0"/>
      <w:marBottom w:val="0"/>
      <w:divBdr>
        <w:top w:val="none" w:sz="0" w:space="0" w:color="auto"/>
        <w:left w:val="none" w:sz="0" w:space="0" w:color="auto"/>
        <w:bottom w:val="none" w:sz="0" w:space="0" w:color="auto"/>
        <w:right w:val="none" w:sz="0" w:space="0" w:color="auto"/>
      </w:divBdr>
    </w:div>
    <w:div w:id="1623461972">
      <w:bodyDiv w:val="1"/>
      <w:marLeft w:val="0"/>
      <w:marRight w:val="0"/>
      <w:marTop w:val="0"/>
      <w:marBottom w:val="0"/>
      <w:divBdr>
        <w:top w:val="none" w:sz="0" w:space="0" w:color="auto"/>
        <w:left w:val="none" w:sz="0" w:space="0" w:color="auto"/>
        <w:bottom w:val="none" w:sz="0" w:space="0" w:color="auto"/>
        <w:right w:val="none" w:sz="0" w:space="0" w:color="auto"/>
      </w:divBdr>
    </w:div>
    <w:div w:id="1626767348">
      <w:bodyDiv w:val="1"/>
      <w:marLeft w:val="0"/>
      <w:marRight w:val="0"/>
      <w:marTop w:val="0"/>
      <w:marBottom w:val="0"/>
      <w:divBdr>
        <w:top w:val="none" w:sz="0" w:space="0" w:color="auto"/>
        <w:left w:val="none" w:sz="0" w:space="0" w:color="auto"/>
        <w:bottom w:val="none" w:sz="0" w:space="0" w:color="auto"/>
        <w:right w:val="none" w:sz="0" w:space="0" w:color="auto"/>
      </w:divBdr>
    </w:div>
    <w:div w:id="1627539404">
      <w:bodyDiv w:val="1"/>
      <w:marLeft w:val="0"/>
      <w:marRight w:val="0"/>
      <w:marTop w:val="0"/>
      <w:marBottom w:val="0"/>
      <w:divBdr>
        <w:top w:val="none" w:sz="0" w:space="0" w:color="auto"/>
        <w:left w:val="none" w:sz="0" w:space="0" w:color="auto"/>
        <w:bottom w:val="none" w:sz="0" w:space="0" w:color="auto"/>
        <w:right w:val="none" w:sz="0" w:space="0" w:color="auto"/>
      </w:divBdr>
    </w:div>
    <w:div w:id="1630355359">
      <w:bodyDiv w:val="1"/>
      <w:marLeft w:val="0"/>
      <w:marRight w:val="0"/>
      <w:marTop w:val="0"/>
      <w:marBottom w:val="0"/>
      <w:divBdr>
        <w:top w:val="none" w:sz="0" w:space="0" w:color="auto"/>
        <w:left w:val="none" w:sz="0" w:space="0" w:color="auto"/>
        <w:bottom w:val="none" w:sz="0" w:space="0" w:color="auto"/>
        <w:right w:val="none" w:sz="0" w:space="0" w:color="auto"/>
      </w:divBdr>
    </w:div>
    <w:div w:id="1639064877">
      <w:bodyDiv w:val="1"/>
      <w:marLeft w:val="0"/>
      <w:marRight w:val="0"/>
      <w:marTop w:val="0"/>
      <w:marBottom w:val="0"/>
      <w:divBdr>
        <w:top w:val="none" w:sz="0" w:space="0" w:color="auto"/>
        <w:left w:val="none" w:sz="0" w:space="0" w:color="auto"/>
        <w:bottom w:val="none" w:sz="0" w:space="0" w:color="auto"/>
        <w:right w:val="none" w:sz="0" w:space="0" w:color="auto"/>
      </w:divBdr>
    </w:div>
    <w:div w:id="1648053629">
      <w:bodyDiv w:val="1"/>
      <w:marLeft w:val="0"/>
      <w:marRight w:val="0"/>
      <w:marTop w:val="0"/>
      <w:marBottom w:val="0"/>
      <w:divBdr>
        <w:top w:val="none" w:sz="0" w:space="0" w:color="auto"/>
        <w:left w:val="none" w:sz="0" w:space="0" w:color="auto"/>
        <w:bottom w:val="none" w:sz="0" w:space="0" w:color="auto"/>
        <w:right w:val="none" w:sz="0" w:space="0" w:color="auto"/>
      </w:divBdr>
    </w:div>
    <w:div w:id="1651211364">
      <w:bodyDiv w:val="1"/>
      <w:marLeft w:val="0"/>
      <w:marRight w:val="0"/>
      <w:marTop w:val="0"/>
      <w:marBottom w:val="0"/>
      <w:divBdr>
        <w:top w:val="none" w:sz="0" w:space="0" w:color="auto"/>
        <w:left w:val="none" w:sz="0" w:space="0" w:color="auto"/>
        <w:bottom w:val="none" w:sz="0" w:space="0" w:color="auto"/>
        <w:right w:val="none" w:sz="0" w:space="0" w:color="auto"/>
      </w:divBdr>
    </w:div>
    <w:div w:id="1651248564">
      <w:bodyDiv w:val="1"/>
      <w:marLeft w:val="0"/>
      <w:marRight w:val="0"/>
      <w:marTop w:val="0"/>
      <w:marBottom w:val="0"/>
      <w:divBdr>
        <w:top w:val="none" w:sz="0" w:space="0" w:color="auto"/>
        <w:left w:val="none" w:sz="0" w:space="0" w:color="auto"/>
        <w:bottom w:val="none" w:sz="0" w:space="0" w:color="auto"/>
        <w:right w:val="none" w:sz="0" w:space="0" w:color="auto"/>
      </w:divBdr>
    </w:div>
    <w:div w:id="1656108053">
      <w:bodyDiv w:val="1"/>
      <w:marLeft w:val="0"/>
      <w:marRight w:val="0"/>
      <w:marTop w:val="0"/>
      <w:marBottom w:val="0"/>
      <w:divBdr>
        <w:top w:val="none" w:sz="0" w:space="0" w:color="auto"/>
        <w:left w:val="none" w:sz="0" w:space="0" w:color="auto"/>
        <w:bottom w:val="none" w:sz="0" w:space="0" w:color="auto"/>
        <w:right w:val="none" w:sz="0" w:space="0" w:color="auto"/>
      </w:divBdr>
    </w:div>
    <w:div w:id="1657567166">
      <w:bodyDiv w:val="1"/>
      <w:marLeft w:val="0"/>
      <w:marRight w:val="0"/>
      <w:marTop w:val="0"/>
      <w:marBottom w:val="0"/>
      <w:divBdr>
        <w:top w:val="none" w:sz="0" w:space="0" w:color="auto"/>
        <w:left w:val="none" w:sz="0" w:space="0" w:color="auto"/>
        <w:bottom w:val="none" w:sz="0" w:space="0" w:color="auto"/>
        <w:right w:val="none" w:sz="0" w:space="0" w:color="auto"/>
      </w:divBdr>
    </w:div>
    <w:div w:id="1659577753">
      <w:bodyDiv w:val="1"/>
      <w:marLeft w:val="0"/>
      <w:marRight w:val="0"/>
      <w:marTop w:val="0"/>
      <w:marBottom w:val="0"/>
      <w:divBdr>
        <w:top w:val="none" w:sz="0" w:space="0" w:color="auto"/>
        <w:left w:val="none" w:sz="0" w:space="0" w:color="auto"/>
        <w:bottom w:val="none" w:sz="0" w:space="0" w:color="auto"/>
        <w:right w:val="none" w:sz="0" w:space="0" w:color="auto"/>
      </w:divBdr>
    </w:div>
    <w:div w:id="1688097827">
      <w:bodyDiv w:val="1"/>
      <w:marLeft w:val="0"/>
      <w:marRight w:val="0"/>
      <w:marTop w:val="0"/>
      <w:marBottom w:val="0"/>
      <w:divBdr>
        <w:top w:val="none" w:sz="0" w:space="0" w:color="auto"/>
        <w:left w:val="none" w:sz="0" w:space="0" w:color="auto"/>
        <w:bottom w:val="none" w:sz="0" w:space="0" w:color="auto"/>
        <w:right w:val="none" w:sz="0" w:space="0" w:color="auto"/>
      </w:divBdr>
    </w:div>
    <w:div w:id="1688949041">
      <w:bodyDiv w:val="1"/>
      <w:marLeft w:val="0"/>
      <w:marRight w:val="0"/>
      <w:marTop w:val="0"/>
      <w:marBottom w:val="0"/>
      <w:divBdr>
        <w:top w:val="none" w:sz="0" w:space="0" w:color="auto"/>
        <w:left w:val="none" w:sz="0" w:space="0" w:color="auto"/>
        <w:bottom w:val="none" w:sz="0" w:space="0" w:color="auto"/>
        <w:right w:val="none" w:sz="0" w:space="0" w:color="auto"/>
      </w:divBdr>
    </w:div>
    <w:div w:id="1691373476">
      <w:bodyDiv w:val="1"/>
      <w:marLeft w:val="0"/>
      <w:marRight w:val="0"/>
      <w:marTop w:val="0"/>
      <w:marBottom w:val="0"/>
      <w:divBdr>
        <w:top w:val="none" w:sz="0" w:space="0" w:color="auto"/>
        <w:left w:val="none" w:sz="0" w:space="0" w:color="auto"/>
        <w:bottom w:val="none" w:sz="0" w:space="0" w:color="auto"/>
        <w:right w:val="none" w:sz="0" w:space="0" w:color="auto"/>
      </w:divBdr>
    </w:div>
    <w:div w:id="1705865548">
      <w:bodyDiv w:val="1"/>
      <w:marLeft w:val="0"/>
      <w:marRight w:val="0"/>
      <w:marTop w:val="0"/>
      <w:marBottom w:val="0"/>
      <w:divBdr>
        <w:top w:val="none" w:sz="0" w:space="0" w:color="auto"/>
        <w:left w:val="none" w:sz="0" w:space="0" w:color="auto"/>
        <w:bottom w:val="none" w:sz="0" w:space="0" w:color="auto"/>
        <w:right w:val="none" w:sz="0" w:space="0" w:color="auto"/>
      </w:divBdr>
      <w:divsChild>
        <w:div w:id="1868566335">
          <w:marLeft w:val="0"/>
          <w:marRight w:val="0"/>
          <w:marTop w:val="0"/>
          <w:marBottom w:val="0"/>
          <w:divBdr>
            <w:top w:val="none" w:sz="0" w:space="0" w:color="auto"/>
            <w:left w:val="none" w:sz="0" w:space="0" w:color="auto"/>
            <w:bottom w:val="none" w:sz="0" w:space="0" w:color="auto"/>
            <w:right w:val="none" w:sz="0" w:space="0" w:color="auto"/>
          </w:divBdr>
        </w:div>
      </w:divsChild>
    </w:div>
    <w:div w:id="1710568959">
      <w:bodyDiv w:val="1"/>
      <w:marLeft w:val="0"/>
      <w:marRight w:val="0"/>
      <w:marTop w:val="0"/>
      <w:marBottom w:val="0"/>
      <w:divBdr>
        <w:top w:val="none" w:sz="0" w:space="0" w:color="auto"/>
        <w:left w:val="none" w:sz="0" w:space="0" w:color="auto"/>
        <w:bottom w:val="none" w:sz="0" w:space="0" w:color="auto"/>
        <w:right w:val="none" w:sz="0" w:space="0" w:color="auto"/>
      </w:divBdr>
    </w:div>
    <w:div w:id="1714959417">
      <w:bodyDiv w:val="1"/>
      <w:marLeft w:val="0"/>
      <w:marRight w:val="0"/>
      <w:marTop w:val="0"/>
      <w:marBottom w:val="0"/>
      <w:divBdr>
        <w:top w:val="none" w:sz="0" w:space="0" w:color="auto"/>
        <w:left w:val="none" w:sz="0" w:space="0" w:color="auto"/>
        <w:bottom w:val="none" w:sz="0" w:space="0" w:color="auto"/>
        <w:right w:val="none" w:sz="0" w:space="0" w:color="auto"/>
      </w:divBdr>
    </w:div>
    <w:div w:id="1717048051">
      <w:bodyDiv w:val="1"/>
      <w:marLeft w:val="0"/>
      <w:marRight w:val="0"/>
      <w:marTop w:val="0"/>
      <w:marBottom w:val="0"/>
      <w:divBdr>
        <w:top w:val="none" w:sz="0" w:space="0" w:color="auto"/>
        <w:left w:val="none" w:sz="0" w:space="0" w:color="auto"/>
        <w:bottom w:val="none" w:sz="0" w:space="0" w:color="auto"/>
        <w:right w:val="none" w:sz="0" w:space="0" w:color="auto"/>
      </w:divBdr>
    </w:div>
    <w:div w:id="1718889112">
      <w:bodyDiv w:val="1"/>
      <w:marLeft w:val="0"/>
      <w:marRight w:val="0"/>
      <w:marTop w:val="0"/>
      <w:marBottom w:val="0"/>
      <w:divBdr>
        <w:top w:val="none" w:sz="0" w:space="0" w:color="auto"/>
        <w:left w:val="none" w:sz="0" w:space="0" w:color="auto"/>
        <w:bottom w:val="none" w:sz="0" w:space="0" w:color="auto"/>
        <w:right w:val="none" w:sz="0" w:space="0" w:color="auto"/>
      </w:divBdr>
    </w:div>
    <w:div w:id="1722048428">
      <w:bodyDiv w:val="1"/>
      <w:marLeft w:val="0"/>
      <w:marRight w:val="0"/>
      <w:marTop w:val="0"/>
      <w:marBottom w:val="0"/>
      <w:divBdr>
        <w:top w:val="none" w:sz="0" w:space="0" w:color="auto"/>
        <w:left w:val="none" w:sz="0" w:space="0" w:color="auto"/>
        <w:bottom w:val="none" w:sz="0" w:space="0" w:color="auto"/>
        <w:right w:val="none" w:sz="0" w:space="0" w:color="auto"/>
      </w:divBdr>
    </w:div>
    <w:div w:id="1726832156">
      <w:bodyDiv w:val="1"/>
      <w:marLeft w:val="0"/>
      <w:marRight w:val="0"/>
      <w:marTop w:val="0"/>
      <w:marBottom w:val="0"/>
      <w:divBdr>
        <w:top w:val="none" w:sz="0" w:space="0" w:color="auto"/>
        <w:left w:val="none" w:sz="0" w:space="0" w:color="auto"/>
        <w:bottom w:val="none" w:sz="0" w:space="0" w:color="auto"/>
        <w:right w:val="none" w:sz="0" w:space="0" w:color="auto"/>
      </w:divBdr>
    </w:div>
    <w:div w:id="1746490500">
      <w:bodyDiv w:val="1"/>
      <w:marLeft w:val="0"/>
      <w:marRight w:val="0"/>
      <w:marTop w:val="0"/>
      <w:marBottom w:val="0"/>
      <w:divBdr>
        <w:top w:val="none" w:sz="0" w:space="0" w:color="auto"/>
        <w:left w:val="none" w:sz="0" w:space="0" w:color="auto"/>
        <w:bottom w:val="none" w:sz="0" w:space="0" w:color="auto"/>
        <w:right w:val="none" w:sz="0" w:space="0" w:color="auto"/>
      </w:divBdr>
    </w:div>
    <w:div w:id="1757823418">
      <w:bodyDiv w:val="1"/>
      <w:marLeft w:val="0"/>
      <w:marRight w:val="0"/>
      <w:marTop w:val="0"/>
      <w:marBottom w:val="0"/>
      <w:divBdr>
        <w:top w:val="none" w:sz="0" w:space="0" w:color="auto"/>
        <w:left w:val="none" w:sz="0" w:space="0" w:color="auto"/>
        <w:bottom w:val="none" w:sz="0" w:space="0" w:color="auto"/>
        <w:right w:val="none" w:sz="0" w:space="0" w:color="auto"/>
      </w:divBdr>
    </w:div>
    <w:div w:id="1760785259">
      <w:bodyDiv w:val="1"/>
      <w:marLeft w:val="0"/>
      <w:marRight w:val="0"/>
      <w:marTop w:val="0"/>
      <w:marBottom w:val="0"/>
      <w:divBdr>
        <w:top w:val="none" w:sz="0" w:space="0" w:color="auto"/>
        <w:left w:val="none" w:sz="0" w:space="0" w:color="auto"/>
        <w:bottom w:val="none" w:sz="0" w:space="0" w:color="auto"/>
        <w:right w:val="none" w:sz="0" w:space="0" w:color="auto"/>
      </w:divBdr>
    </w:div>
    <w:div w:id="1761177693">
      <w:bodyDiv w:val="1"/>
      <w:marLeft w:val="0"/>
      <w:marRight w:val="0"/>
      <w:marTop w:val="0"/>
      <w:marBottom w:val="0"/>
      <w:divBdr>
        <w:top w:val="none" w:sz="0" w:space="0" w:color="auto"/>
        <w:left w:val="none" w:sz="0" w:space="0" w:color="auto"/>
        <w:bottom w:val="none" w:sz="0" w:space="0" w:color="auto"/>
        <w:right w:val="none" w:sz="0" w:space="0" w:color="auto"/>
      </w:divBdr>
    </w:div>
    <w:div w:id="1777208343">
      <w:bodyDiv w:val="1"/>
      <w:marLeft w:val="0"/>
      <w:marRight w:val="0"/>
      <w:marTop w:val="0"/>
      <w:marBottom w:val="0"/>
      <w:divBdr>
        <w:top w:val="none" w:sz="0" w:space="0" w:color="auto"/>
        <w:left w:val="none" w:sz="0" w:space="0" w:color="auto"/>
        <w:bottom w:val="none" w:sz="0" w:space="0" w:color="auto"/>
        <w:right w:val="none" w:sz="0" w:space="0" w:color="auto"/>
      </w:divBdr>
    </w:div>
    <w:div w:id="1778015582">
      <w:bodyDiv w:val="1"/>
      <w:marLeft w:val="0"/>
      <w:marRight w:val="0"/>
      <w:marTop w:val="0"/>
      <w:marBottom w:val="0"/>
      <w:divBdr>
        <w:top w:val="none" w:sz="0" w:space="0" w:color="auto"/>
        <w:left w:val="none" w:sz="0" w:space="0" w:color="auto"/>
        <w:bottom w:val="none" w:sz="0" w:space="0" w:color="auto"/>
        <w:right w:val="none" w:sz="0" w:space="0" w:color="auto"/>
      </w:divBdr>
    </w:div>
    <w:div w:id="1782186822">
      <w:bodyDiv w:val="1"/>
      <w:marLeft w:val="0"/>
      <w:marRight w:val="0"/>
      <w:marTop w:val="0"/>
      <w:marBottom w:val="0"/>
      <w:divBdr>
        <w:top w:val="none" w:sz="0" w:space="0" w:color="auto"/>
        <w:left w:val="none" w:sz="0" w:space="0" w:color="auto"/>
        <w:bottom w:val="none" w:sz="0" w:space="0" w:color="auto"/>
        <w:right w:val="none" w:sz="0" w:space="0" w:color="auto"/>
      </w:divBdr>
    </w:div>
    <w:div w:id="1783724870">
      <w:bodyDiv w:val="1"/>
      <w:marLeft w:val="0"/>
      <w:marRight w:val="0"/>
      <w:marTop w:val="0"/>
      <w:marBottom w:val="0"/>
      <w:divBdr>
        <w:top w:val="none" w:sz="0" w:space="0" w:color="auto"/>
        <w:left w:val="none" w:sz="0" w:space="0" w:color="auto"/>
        <w:bottom w:val="none" w:sz="0" w:space="0" w:color="auto"/>
        <w:right w:val="none" w:sz="0" w:space="0" w:color="auto"/>
      </w:divBdr>
    </w:div>
    <w:div w:id="1787461133">
      <w:bodyDiv w:val="1"/>
      <w:marLeft w:val="0"/>
      <w:marRight w:val="0"/>
      <w:marTop w:val="0"/>
      <w:marBottom w:val="0"/>
      <w:divBdr>
        <w:top w:val="none" w:sz="0" w:space="0" w:color="auto"/>
        <w:left w:val="none" w:sz="0" w:space="0" w:color="auto"/>
        <w:bottom w:val="none" w:sz="0" w:space="0" w:color="auto"/>
        <w:right w:val="none" w:sz="0" w:space="0" w:color="auto"/>
      </w:divBdr>
    </w:div>
    <w:div w:id="1789200265">
      <w:bodyDiv w:val="1"/>
      <w:marLeft w:val="0"/>
      <w:marRight w:val="0"/>
      <w:marTop w:val="0"/>
      <w:marBottom w:val="0"/>
      <w:divBdr>
        <w:top w:val="none" w:sz="0" w:space="0" w:color="auto"/>
        <w:left w:val="none" w:sz="0" w:space="0" w:color="auto"/>
        <w:bottom w:val="none" w:sz="0" w:space="0" w:color="auto"/>
        <w:right w:val="none" w:sz="0" w:space="0" w:color="auto"/>
      </w:divBdr>
    </w:div>
    <w:div w:id="1796364135">
      <w:bodyDiv w:val="1"/>
      <w:marLeft w:val="0"/>
      <w:marRight w:val="0"/>
      <w:marTop w:val="0"/>
      <w:marBottom w:val="0"/>
      <w:divBdr>
        <w:top w:val="none" w:sz="0" w:space="0" w:color="auto"/>
        <w:left w:val="none" w:sz="0" w:space="0" w:color="auto"/>
        <w:bottom w:val="none" w:sz="0" w:space="0" w:color="auto"/>
        <w:right w:val="none" w:sz="0" w:space="0" w:color="auto"/>
      </w:divBdr>
    </w:div>
    <w:div w:id="1803502312">
      <w:bodyDiv w:val="1"/>
      <w:marLeft w:val="0"/>
      <w:marRight w:val="0"/>
      <w:marTop w:val="0"/>
      <w:marBottom w:val="0"/>
      <w:divBdr>
        <w:top w:val="none" w:sz="0" w:space="0" w:color="auto"/>
        <w:left w:val="none" w:sz="0" w:space="0" w:color="auto"/>
        <w:bottom w:val="none" w:sz="0" w:space="0" w:color="auto"/>
        <w:right w:val="none" w:sz="0" w:space="0" w:color="auto"/>
      </w:divBdr>
    </w:div>
    <w:div w:id="1809978288">
      <w:bodyDiv w:val="1"/>
      <w:marLeft w:val="0"/>
      <w:marRight w:val="0"/>
      <w:marTop w:val="0"/>
      <w:marBottom w:val="0"/>
      <w:divBdr>
        <w:top w:val="none" w:sz="0" w:space="0" w:color="auto"/>
        <w:left w:val="none" w:sz="0" w:space="0" w:color="auto"/>
        <w:bottom w:val="none" w:sz="0" w:space="0" w:color="auto"/>
        <w:right w:val="none" w:sz="0" w:space="0" w:color="auto"/>
      </w:divBdr>
    </w:div>
    <w:div w:id="1812940628">
      <w:bodyDiv w:val="1"/>
      <w:marLeft w:val="0"/>
      <w:marRight w:val="0"/>
      <w:marTop w:val="0"/>
      <w:marBottom w:val="0"/>
      <w:divBdr>
        <w:top w:val="none" w:sz="0" w:space="0" w:color="auto"/>
        <w:left w:val="none" w:sz="0" w:space="0" w:color="auto"/>
        <w:bottom w:val="none" w:sz="0" w:space="0" w:color="auto"/>
        <w:right w:val="none" w:sz="0" w:space="0" w:color="auto"/>
      </w:divBdr>
    </w:div>
    <w:div w:id="1813212712">
      <w:bodyDiv w:val="1"/>
      <w:marLeft w:val="0"/>
      <w:marRight w:val="0"/>
      <w:marTop w:val="0"/>
      <w:marBottom w:val="0"/>
      <w:divBdr>
        <w:top w:val="none" w:sz="0" w:space="0" w:color="auto"/>
        <w:left w:val="none" w:sz="0" w:space="0" w:color="auto"/>
        <w:bottom w:val="none" w:sz="0" w:space="0" w:color="auto"/>
        <w:right w:val="none" w:sz="0" w:space="0" w:color="auto"/>
      </w:divBdr>
    </w:div>
    <w:div w:id="1822649490">
      <w:bodyDiv w:val="1"/>
      <w:marLeft w:val="0"/>
      <w:marRight w:val="0"/>
      <w:marTop w:val="0"/>
      <w:marBottom w:val="0"/>
      <w:divBdr>
        <w:top w:val="none" w:sz="0" w:space="0" w:color="auto"/>
        <w:left w:val="none" w:sz="0" w:space="0" w:color="auto"/>
        <w:bottom w:val="none" w:sz="0" w:space="0" w:color="auto"/>
        <w:right w:val="none" w:sz="0" w:space="0" w:color="auto"/>
      </w:divBdr>
    </w:div>
    <w:div w:id="1829515706">
      <w:bodyDiv w:val="1"/>
      <w:marLeft w:val="0"/>
      <w:marRight w:val="0"/>
      <w:marTop w:val="0"/>
      <w:marBottom w:val="0"/>
      <w:divBdr>
        <w:top w:val="none" w:sz="0" w:space="0" w:color="auto"/>
        <w:left w:val="none" w:sz="0" w:space="0" w:color="auto"/>
        <w:bottom w:val="none" w:sz="0" w:space="0" w:color="auto"/>
        <w:right w:val="none" w:sz="0" w:space="0" w:color="auto"/>
      </w:divBdr>
    </w:div>
    <w:div w:id="1830292951">
      <w:bodyDiv w:val="1"/>
      <w:marLeft w:val="0"/>
      <w:marRight w:val="0"/>
      <w:marTop w:val="0"/>
      <w:marBottom w:val="0"/>
      <w:divBdr>
        <w:top w:val="none" w:sz="0" w:space="0" w:color="auto"/>
        <w:left w:val="none" w:sz="0" w:space="0" w:color="auto"/>
        <w:bottom w:val="none" w:sz="0" w:space="0" w:color="auto"/>
        <w:right w:val="none" w:sz="0" w:space="0" w:color="auto"/>
      </w:divBdr>
    </w:div>
    <w:div w:id="1830514507">
      <w:bodyDiv w:val="1"/>
      <w:marLeft w:val="0"/>
      <w:marRight w:val="0"/>
      <w:marTop w:val="0"/>
      <w:marBottom w:val="0"/>
      <w:divBdr>
        <w:top w:val="none" w:sz="0" w:space="0" w:color="auto"/>
        <w:left w:val="none" w:sz="0" w:space="0" w:color="auto"/>
        <w:bottom w:val="none" w:sz="0" w:space="0" w:color="auto"/>
        <w:right w:val="none" w:sz="0" w:space="0" w:color="auto"/>
      </w:divBdr>
    </w:div>
    <w:div w:id="1831870276">
      <w:bodyDiv w:val="1"/>
      <w:marLeft w:val="0"/>
      <w:marRight w:val="0"/>
      <w:marTop w:val="0"/>
      <w:marBottom w:val="0"/>
      <w:divBdr>
        <w:top w:val="none" w:sz="0" w:space="0" w:color="auto"/>
        <w:left w:val="none" w:sz="0" w:space="0" w:color="auto"/>
        <w:bottom w:val="none" w:sz="0" w:space="0" w:color="auto"/>
        <w:right w:val="none" w:sz="0" w:space="0" w:color="auto"/>
      </w:divBdr>
    </w:div>
    <w:div w:id="1832059182">
      <w:bodyDiv w:val="1"/>
      <w:marLeft w:val="0"/>
      <w:marRight w:val="0"/>
      <w:marTop w:val="0"/>
      <w:marBottom w:val="0"/>
      <w:divBdr>
        <w:top w:val="none" w:sz="0" w:space="0" w:color="auto"/>
        <w:left w:val="none" w:sz="0" w:space="0" w:color="auto"/>
        <w:bottom w:val="none" w:sz="0" w:space="0" w:color="auto"/>
        <w:right w:val="none" w:sz="0" w:space="0" w:color="auto"/>
      </w:divBdr>
    </w:div>
    <w:div w:id="1832867112">
      <w:bodyDiv w:val="1"/>
      <w:marLeft w:val="0"/>
      <w:marRight w:val="0"/>
      <w:marTop w:val="0"/>
      <w:marBottom w:val="0"/>
      <w:divBdr>
        <w:top w:val="none" w:sz="0" w:space="0" w:color="auto"/>
        <w:left w:val="none" w:sz="0" w:space="0" w:color="auto"/>
        <w:bottom w:val="none" w:sz="0" w:space="0" w:color="auto"/>
        <w:right w:val="none" w:sz="0" w:space="0" w:color="auto"/>
      </w:divBdr>
    </w:div>
    <w:div w:id="1835754960">
      <w:bodyDiv w:val="1"/>
      <w:marLeft w:val="0"/>
      <w:marRight w:val="0"/>
      <w:marTop w:val="0"/>
      <w:marBottom w:val="0"/>
      <w:divBdr>
        <w:top w:val="none" w:sz="0" w:space="0" w:color="auto"/>
        <w:left w:val="none" w:sz="0" w:space="0" w:color="auto"/>
        <w:bottom w:val="none" w:sz="0" w:space="0" w:color="auto"/>
        <w:right w:val="none" w:sz="0" w:space="0" w:color="auto"/>
      </w:divBdr>
    </w:div>
    <w:div w:id="1843087882">
      <w:bodyDiv w:val="1"/>
      <w:marLeft w:val="0"/>
      <w:marRight w:val="0"/>
      <w:marTop w:val="0"/>
      <w:marBottom w:val="0"/>
      <w:divBdr>
        <w:top w:val="none" w:sz="0" w:space="0" w:color="auto"/>
        <w:left w:val="none" w:sz="0" w:space="0" w:color="auto"/>
        <w:bottom w:val="none" w:sz="0" w:space="0" w:color="auto"/>
        <w:right w:val="none" w:sz="0" w:space="0" w:color="auto"/>
      </w:divBdr>
    </w:div>
    <w:div w:id="1846363743">
      <w:bodyDiv w:val="1"/>
      <w:marLeft w:val="0"/>
      <w:marRight w:val="0"/>
      <w:marTop w:val="0"/>
      <w:marBottom w:val="0"/>
      <w:divBdr>
        <w:top w:val="none" w:sz="0" w:space="0" w:color="auto"/>
        <w:left w:val="none" w:sz="0" w:space="0" w:color="auto"/>
        <w:bottom w:val="none" w:sz="0" w:space="0" w:color="auto"/>
        <w:right w:val="none" w:sz="0" w:space="0" w:color="auto"/>
      </w:divBdr>
    </w:div>
    <w:div w:id="1847939578">
      <w:bodyDiv w:val="1"/>
      <w:marLeft w:val="0"/>
      <w:marRight w:val="0"/>
      <w:marTop w:val="0"/>
      <w:marBottom w:val="0"/>
      <w:divBdr>
        <w:top w:val="none" w:sz="0" w:space="0" w:color="auto"/>
        <w:left w:val="none" w:sz="0" w:space="0" w:color="auto"/>
        <w:bottom w:val="none" w:sz="0" w:space="0" w:color="auto"/>
        <w:right w:val="none" w:sz="0" w:space="0" w:color="auto"/>
      </w:divBdr>
    </w:div>
    <w:div w:id="1851212459">
      <w:bodyDiv w:val="1"/>
      <w:marLeft w:val="0"/>
      <w:marRight w:val="0"/>
      <w:marTop w:val="0"/>
      <w:marBottom w:val="0"/>
      <w:divBdr>
        <w:top w:val="none" w:sz="0" w:space="0" w:color="auto"/>
        <w:left w:val="none" w:sz="0" w:space="0" w:color="auto"/>
        <w:bottom w:val="none" w:sz="0" w:space="0" w:color="auto"/>
        <w:right w:val="none" w:sz="0" w:space="0" w:color="auto"/>
      </w:divBdr>
    </w:div>
    <w:div w:id="1855807363">
      <w:bodyDiv w:val="1"/>
      <w:marLeft w:val="0"/>
      <w:marRight w:val="0"/>
      <w:marTop w:val="0"/>
      <w:marBottom w:val="0"/>
      <w:divBdr>
        <w:top w:val="none" w:sz="0" w:space="0" w:color="auto"/>
        <w:left w:val="none" w:sz="0" w:space="0" w:color="auto"/>
        <w:bottom w:val="none" w:sz="0" w:space="0" w:color="auto"/>
        <w:right w:val="none" w:sz="0" w:space="0" w:color="auto"/>
      </w:divBdr>
    </w:div>
    <w:div w:id="1859350164">
      <w:bodyDiv w:val="1"/>
      <w:marLeft w:val="0"/>
      <w:marRight w:val="0"/>
      <w:marTop w:val="0"/>
      <w:marBottom w:val="0"/>
      <w:divBdr>
        <w:top w:val="none" w:sz="0" w:space="0" w:color="auto"/>
        <w:left w:val="none" w:sz="0" w:space="0" w:color="auto"/>
        <w:bottom w:val="none" w:sz="0" w:space="0" w:color="auto"/>
        <w:right w:val="none" w:sz="0" w:space="0" w:color="auto"/>
      </w:divBdr>
    </w:div>
    <w:div w:id="1861816379">
      <w:bodyDiv w:val="1"/>
      <w:marLeft w:val="0"/>
      <w:marRight w:val="0"/>
      <w:marTop w:val="0"/>
      <w:marBottom w:val="0"/>
      <w:divBdr>
        <w:top w:val="none" w:sz="0" w:space="0" w:color="auto"/>
        <w:left w:val="none" w:sz="0" w:space="0" w:color="auto"/>
        <w:bottom w:val="none" w:sz="0" w:space="0" w:color="auto"/>
        <w:right w:val="none" w:sz="0" w:space="0" w:color="auto"/>
      </w:divBdr>
    </w:div>
    <w:div w:id="1863323872">
      <w:bodyDiv w:val="1"/>
      <w:marLeft w:val="0"/>
      <w:marRight w:val="0"/>
      <w:marTop w:val="0"/>
      <w:marBottom w:val="0"/>
      <w:divBdr>
        <w:top w:val="none" w:sz="0" w:space="0" w:color="auto"/>
        <w:left w:val="none" w:sz="0" w:space="0" w:color="auto"/>
        <w:bottom w:val="none" w:sz="0" w:space="0" w:color="auto"/>
        <w:right w:val="none" w:sz="0" w:space="0" w:color="auto"/>
      </w:divBdr>
    </w:div>
    <w:div w:id="1864712341">
      <w:bodyDiv w:val="1"/>
      <w:marLeft w:val="0"/>
      <w:marRight w:val="0"/>
      <w:marTop w:val="0"/>
      <w:marBottom w:val="0"/>
      <w:divBdr>
        <w:top w:val="none" w:sz="0" w:space="0" w:color="auto"/>
        <w:left w:val="none" w:sz="0" w:space="0" w:color="auto"/>
        <w:bottom w:val="none" w:sz="0" w:space="0" w:color="auto"/>
        <w:right w:val="none" w:sz="0" w:space="0" w:color="auto"/>
      </w:divBdr>
    </w:div>
    <w:div w:id="1867327730">
      <w:bodyDiv w:val="1"/>
      <w:marLeft w:val="0"/>
      <w:marRight w:val="0"/>
      <w:marTop w:val="0"/>
      <w:marBottom w:val="0"/>
      <w:divBdr>
        <w:top w:val="none" w:sz="0" w:space="0" w:color="auto"/>
        <w:left w:val="none" w:sz="0" w:space="0" w:color="auto"/>
        <w:bottom w:val="none" w:sz="0" w:space="0" w:color="auto"/>
        <w:right w:val="none" w:sz="0" w:space="0" w:color="auto"/>
      </w:divBdr>
    </w:div>
    <w:div w:id="1870332159">
      <w:bodyDiv w:val="1"/>
      <w:marLeft w:val="0"/>
      <w:marRight w:val="0"/>
      <w:marTop w:val="0"/>
      <w:marBottom w:val="0"/>
      <w:divBdr>
        <w:top w:val="none" w:sz="0" w:space="0" w:color="auto"/>
        <w:left w:val="none" w:sz="0" w:space="0" w:color="auto"/>
        <w:bottom w:val="none" w:sz="0" w:space="0" w:color="auto"/>
        <w:right w:val="none" w:sz="0" w:space="0" w:color="auto"/>
      </w:divBdr>
    </w:div>
    <w:div w:id="1873033848">
      <w:bodyDiv w:val="1"/>
      <w:marLeft w:val="0"/>
      <w:marRight w:val="0"/>
      <w:marTop w:val="0"/>
      <w:marBottom w:val="0"/>
      <w:divBdr>
        <w:top w:val="none" w:sz="0" w:space="0" w:color="auto"/>
        <w:left w:val="none" w:sz="0" w:space="0" w:color="auto"/>
        <w:bottom w:val="none" w:sz="0" w:space="0" w:color="auto"/>
        <w:right w:val="none" w:sz="0" w:space="0" w:color="auto"/>
      </w:divBdr>
    </w:div>
    <w:div w:id="1874149675">
      <w:bodyDiv w:val="1"/>
      <w:marLeft w:val="0"/>
      <w:marRight w:val="0"/>
      <w:marTop w:val="0"/>
      <w:marBottom w:val="0"/>
      <w:divBdr>
        <w:top w:val="none" w:sz="0" w:space="0" w:color="auto"/>
        <w:left w:val="none" w:sz="0" w:space="0" w:color="auto"/>
        <w:bottom w:val="none" w:sz="0" w:space="0" w:color="auto"/>
        <w:right w:val="none" w:sz="0" w:space="0" w:color="auto"/>
      </w:divBdr>
    </w:div>
    <w:div w:id="1874800686">
      <w:bodyDiv w:val="1"/>
      <w:marLeft w:val="0"/>
      <w:marRight w:val="0"/>
      <w:marTop w:val="0"/>
      <w:marBottom w:val="0"/>
      <w:divBdr>
        <w:top w:val="none" w:sz="0" w:space="0" w:color="auto"/>
        <w:left w:val="none" w:sz="0" w:space="0" w:color="auto"/>
        <w:bottom w:val="none" w:sz="0" w:space="0" w:color="auto"/>
        <w:right w:val="none" w:sz="0" w:space="0" w:color="auto"/>
      </w:divBdr>
    </w:div>
    <w:div w:id="1875263578">
      <w:bodyDiv w:val="1"/>
      <w:marLeft w:val="0"/>
      <w:marRight w:val="0"/>
      <w:marTop w:val="0"/>
      <w:marBottom w:val="0"/>
      <w:divBdr>
        <w:top w:val="none" w:sz="0" w:space="0" w:color="auto"/>
        <w:left w:val="none" w:sz="0" w:space="0" w:color="auto"/>
        <w:bottom w:val="none" w:sz="0" w:space="0" w:color="auto"/>
        <w:right w:val="none" w:sz="0" w:space="0" w:color="auto"/>
      </w:divBdr>
    </w:div>
    <w:div w:id="1877110270">
      <w:bodyDiv w:val="1"/>
      <w:marLeft w:val="0"/>
      <w:marRight w:val="0"/>
      <w:marTop w:val="0"/>
      <w:marBottom w:val="0"/>
      <w:divBdr>
        <w:top w:val="none" w:sz="0" w:space="0" w:color="auto"/>
        <w:left w:val="none" w:sz="0" w:space="0" w:color="auto"/>
        <w:bottom w:val="none" w:sz="0" w:space="0" w:color="auto"/>
        <w:right w:val="none" w:sz="0" w:space="0" w:color="auto"/>
      </w:divBdr>
    </w:div>
    <w:div w:id="1882086670">
      <w:bodyDiv w:val="1"/>
      <w:marLeft w:val="0"/>
      <w:marRight w:val="0"/>
      <w:marTop w:val="0"/>
      <w:marBottom w:val="0"/>
      <w:divBdr>
        <w:top w:val="none" w:sz="0" w:space="0" w:color="auto"/>
        <w:left w:val="none" w:sz="0" w:space="0" w:color="auto"/>
        <w:bottom w:val="none" w:sz="0" w:space="0" w:color="auto"/>
        <w:right w:val="none" w:sz="0" w:space="0" w:color="auto"/>
      </w:divBdr>
    </w:div>
    <w:div w:id="1882282775">
      <w:bodyDiv w:val="1"/>
      <w:marLeft w:val="0"/>
      <w:marRight w:val="0"/>
      <w:marTop w:val="0"/>
      <w:marBottom w:val="0"/>
      <w:divBdr>
        <w:top w:val="none" w:sz="0" w:space="0" w:color="auto"/>
        <w:left w:val="none" w:sz="0" w:space="0" w:color="auto"/>
        <w:bottom w:val="none" w:sz="0" w:space="0" w:color="auto"/>
        <w:right w:val="none" w:sz="0" w:space="0" w:color="auto"/>
      </w:divBdr>
    </w:div>
    <w:div w:id="1885865141">
      <w:bodyDiv w:val="1"/>
      <w:marLeft w:val="0"/>
      <w:marRight w:val="0"/>
      <w:marTop w:val="0"/>
      <w:marBottom w:val="0"/>
      <w:divBdr>
        <w:top w:val="none" w:sz="0" w:space="0" w:color="auto"/>
        <w:left w:val="none" w:sz="0" w:space="0" w:color="auto"/>
        <w:bottom w:val="none" w:sz="0" w:space="0" w:color="auto"/>
        <w:right w:val="none" w:sz="0" w:space="0" w:color="auto"/>
      </w:divBdr>
    </w:div>
    <w:div w:id="1886409433">
      <w:bodyDiv w:val="1"/>
      <w:marLeft w:val="0"/>
      <w:marRight w:val="0"/>
      <w:marTop w:val="0"/>
      <w:marBottom w:val="0"/>
      <w:divBdr>
        <w:top w:val="none" w:sz="0" w:space="0" w:color="auto"/>
        <w:left w:val="none" w:sz="0" w:space="0" w:color="auto"/>
        <w:bottom w:val="none" w:sz="0" w:space="0" w:color="auto"/>
        <w:right w:val="none" w:sz="0" w:space="0" w:color="auto"/>
      </w:divBdr>
    </w:div>
    <w:div w:id="1887181929">
      <w:bodyDiv w:val="1"/>
      <w:marLeft w:val="0"/>
      <w:marRight w:val="0"/>
      <w:marTop w:val="0"/>
      <w:marBottom w:val="0"/>
      <w:divBdr>
        <w:top w:val="none" w:sz="0" w:space="0" w:color="auto"/>
        <w:left w:val="none" w:sz="0" w:space="0" w:color="auto"/>
        <w:bottom w:val="none" w:sz="0" w:space="0" w:color="auto"/>
        <w:right w:val="none" w:sz="0" w:space="0" w:color="auto"/>
      </w:divBdr>
    </w:div>
    <w:div w:id="1893075767">
      <w:bodyDiv w:val="1"/>
      <w:marLeft w:val="0"/>
      <w:marRight w:val="0"/>
      <w:marTop w:val="0"/>
      <w:marBottom w:val="0"/>
      <w:divBdr>
        <w:top w:val="none" w:sz="0" w:space="0" w:color="auto"/>
        <w:left w:val="none" w:sz="0" w:space="0" w:color="auto"/>
        <w:bottom w:val="none" w:sz="0" w:space="0" w:color="auto"/>
        <w:right w:val="none" w:sz="0" w:space="0" w:color="auto"/>
      </w:divBdr>
    </w:div>
    <w:div w:id="1895464729">
      <w:bodyDiv w:val="1"/>
      <w:marLeft w:val="0"/>
      <w:marRight w:val="0"/>
      <w:marTop w:val="0"/>
      <w:marBottom w:val="0"/>
      <w:divBdr>
        <w:top w:val="none" w:sz="0" w:space="0" w:color="auto"/>
        <w:left w:val="none" w:sz="0" w:space="0" w:color="auto"/>
        <w:bottom w:val="none" w:sz="0" w:space="0" w:color="auto"/>
        <w:right w:val="none" w:sz="0" w:space="0" w:color="auto"/>
      </w:divBdr>
    </w:div>
    <w:div w:id="1898590345">
      <w:bodyDiv w:val="1"/>
      <w:marLeft w:val="0"/>
      <w:marRight w:val="0"/>
      <w:marTop w:val="0"/>
      <w:marBottom w:val="0"/>
      <w:divBdr>
        <w:top w:val="none" w:sz="0" w:space="0" w:color="auto"/>
        <w:left w:val="none" w:sz="0" w:space="0" w:color="auto"/>
        <w:bottom w:val="none" w:sz="0" w:space="0" w:color="auto"/>
        <w:right w:val="none" w:sz="0" w:space="0" w:color="auto"/>
      </w:divBdr>
    </w:div>
    <w:div w:id="1903372166">
      <w:bodyDiv w:val="1"/>
      <w:marLeft w:val="0"/>
      <w:marRight w:val="0"/>
      <w:marTop w:val="0"/>
      <w:marBottom w:val="0"/>
      <w:divBdr>
        <w:top w:val="none" w:sz="0" w:space="0" w:color="auto"/>
        <w:left w:val="none" w:sz="0" w:space="0" w:color="auto"/>
        <w:bottom w:val="none" w:sz="0" w:space="0" w:color="auto"/>
        <w:right w:val="none" w:sz="0" w:space="0" w:color="auto"/>
      </w:divBdr>
    </w:div>
    <w:div w:id="1910993222">
      <w:bodyDiv w:val="1"/>
      <w:marLeft w:val="0"/>
      <w:marRight w:val="0"/>
      <w:marTop w:val="0"/>
      <w:marBottom w:val="0"/>
      <w:divBdr>
        <w:top w:val="none" w:sz="0" w:space="0" w:color="auto"/>
        <w:left w:val="none" w:sz="0" w:space="0" w:color="auto"/>
        <w:bottom w:val="none" w:sz="0" w:space="0" w:color="auto"/>
        <w:right w:val="none" w:sz="0" w:space="0" w:color="auto"/>
      </w:divBdr>
    </w:div>
    <w:div w:id="1914192190">
      <w:bodyDiv w:val="1"/>
      <w:marLeft w:val="0"/>
      <w:marRight w:val="0"/>
      <w:marTop w:val="0"/>
      <w:marBottom w:val="0"/>
      <w:divBdr>
        <w:top w:val="none" w:sz="0" w:space="0" w:color="auto"/>
        <w:left w:val="none" w:sz="0" w:space="0" w:color="auto"/>
        <w:bottom w:val="none" w:sz="0" w:space="0" w:color="auto"/>
        <w:right w:val="none" w:sz="0" w:space="0" w:color="auto"/>
      </w:divBdr>
    </w:div>
    <w:div w:id="1914244055">
      <w:bodyDiv w:val="1"/>
      <w:marLeft w:val="0"/>
      <w:marRight w:val="0"/>
      <w:marTop w:val="0"/>
      <w:marBottom w:val="0"/>
      <w:divBdr>
        <w:top w:val="none" w:sz="0" w:space="0" w:color="auto"/>
        <w:left w:val="none" w:sz="0" w:space="0" w:color="auto"/>
        <w:bottom w:val="none" w:sz="0" w:space="0" w:color="auto"/>
        <w:right w:val="none" w:sz="0" w:space="0" w:color="auto"/>
      </w:divBdr>
    </w:div>
    <w:div w:id="1915964902">
      <w:bodyDiv w:val="1"/>
      <w:marLeft w:val="0"/>
      <w:marRight w:val="0"/>
      <w:marTop w:val="0"/>
      <w:marBottom w:val="0"/>
      <w:divBdr>
        <w:top w:val="none" w:sz="0" w:space="0" w:color="auto"/>
        <w:left w:val="none" w:sz="0" w:space="0" w:color="auto"/>
        <w:bottom w:val="none" w:sz="0" w:space="0" w:color="auto"/>
        <w:right w:val="none" w:sz="0" w:space="0" w:color="auto"/>
      </w:divBdr>
    </w:div>
    <w:div w:id="1916353956">
      <w:bodyDiv w:val="1"/>
      <w:marLeft w:val="0"/>
      <w:marRight w:val="0"/>
      <w:marTop w:val="0"/>
      <w:marBottom w:val="0"/>
      <w:divBdr>
        <w:top w:val="none" w:sz="0" w:space="0" w:color="auto"/>
        <w:left w:val="none" w:sz="0" w:space="0" w:color="auto"/>
        <w:bottom w:val="none" w:sz="0" w:space="0" w:color="auto"/>
        <w:right w:val="none" w:sz="0" w:space="0" w:color="auto"/>
      </w:divBdr>
    </w:div>
    <w:div w:id="1918785812">
      <w:bodyDiv w:val="1"/>
      <w:marLeft w:val="0"/>
      <w:marRight w:val="0"/>
      <w:marTop w:val="0"/>
      <w:marBottom w:val="0"/>
      <w:divBdr>
        <w:top w:val="none" w:sz="0" w:space="0" w:color="auto"/>
        <w:left w:val="none" w:sz="0" w:space="0" w:color="auto"/>
        <w:bottom w:val="none" w:sz="0" w:space="0" w:color="auto"/>
        <w:right w:val="none" w:sz="0" w:space="0" w:color="auto"/>
      </w:divBdr>
    </w:div>
    <w:div w:id="1920022405">
      <w:bodyDiv w:val="1"/>
      <w:marLeft w:val="0"/>
      <w:marRight w:val="0"/>
      <w:marTop w:val="0"/>
      <w:marBottom w:val="0"/>
      <w:divBdr>
        <w:top w:val="none" w:sz="0" w:space="0" w:color="auto"/>
        <w:left w:val="none" w:sz="0" w:space="0" w:color="auto"/>
        <w:bottom w:val="none" w:sz="0" w:space="0" w:color="auto"/>
        <w:right w:val="none" w:sz="0" w:space="0" w:color="auto"/>
      </w:divBdr>
    </w:div>
    <w:div w:id="1923640352">
      <w:bodyDiv w:val="1"/>
      <w:marLeft w:val="0"/>
      <w:marRight w:val="0"/>
      <w:marTop w:val="0"/>
      <w:marBottom w:val="0"/>
      <w:divBdr>
        <w:top w:val="none" w:sz="0" w:space="0" w:color="auto"/>
        <w:left w:val="none" w:sz="0" w:space="0" w:color="auto"/>
        <w:bottom w:val="none" w:sz="0" w:space="0" w:color="auto"/>
        <w:right w:val="none" w:sz="0" w:space="0" w:color="auto"/>
      </w:divBdr>
    </w:div>
    <w:div w:id="1924101513">
      <w:bodyDiv w:val="1"/>
      <w:marLeft w:val="0"/>
      <w:marRight w:val="0"/>
      <w:marTop w:val="0"/>
      <w:marBottom w:val="0"/>
      <w:divBdr>
        <w:top w:val="none" w:sz="0" w:space="0" w:color="auto"/>
        <w:left w:val="none" w:sz="0" w:space="0" w:color="auto"/>
        <w:bottom w:val="none" w:sz="0" w:space="0" w:color="auto"/>
        <w:right w:val="none" w:sz="0" w:space="0" w:color="auto"/>
      </w:divBdr>
    </w:div>
    <w:div w:id="1924946550">
      <w:bodyDiv w:val="1"/>
      <w:marLeft w:val="0"/>
      <w:marRight w:val="0"/>
      <w:marTop w:val="0"/>
      <w:marBottom w:val="0"/>
      <w:divBdr>
        <w:top w:val="none" w:sz="0" w:space="0" w:color="auto"/>
        <w:left w:val="none" w:sz="0" w:space="0" w:color="auto"/>
        <w:bottom w:val="none" w:sz="0" w:space="0" w:color="auto"/>
        <w:right w:val="none" w:sz="0" w:space="0" w:color="auto"/>
      </w:divBdr>
    </w:div>
    <w:div w:id="1928347068">
      <w:bodyDiv w:val="1"/>
      <w:marLeft w:val="0"/>
      <w:marRight w:val="0"/>
      <w:marTop w:val="0"/>
      <w:marBottom w:val="0"/>
      <w:divBdr>
        <w:top w:val="none" w:sz="0" w:space="0" w:color="auto"/>
        <w:left w:val="none" w:sz="0" w:space="0" w:color="auto"/>
        <w:bottom w:val="none" w:sz="0" w:space="0" w:color="auto"/>
        <w:right w:val="none" w:sz="0" w:space="0" w:color="auto"/>
      </w:divBdr>
    </w:div>
    <w:div w:id="1928731395">
      <w:bodyDiv w:val="1"/>
      <w:marLeft w:val="0"/>
      <w:marRight w:val="0"/>
      <w:marTop w:val="0"/>
      <w:marBottom w:val="0"/>
      <w:divBdr>
        <w:top w:val="none" w:sz="0" w:space="0" w:color="auto"/>
        <w:left w:val="none" w:sz="0" w:space="0" w:color="auto"/>
        <w:bottom w:val="none" w:sz="0" w:space="0" w:color="auto"/>
        <w:right w:val="none" w:sz="0" w:space="0" w:color="auto"/>
      </w:divBdr>
    </w:div>
    <w:div w:id="1934585361">
      <w:bodyDiv w:val="1"/>
      <w:marLeft w:val="0"/>
      <w:marRight w:val="0"/>
      <w:marTop w:val="0"/>
      <w:marBottom w:val="0"/>
      <w:divBdr>
        <w:top w:val="none" w:sz="0" w:space="0" w:color="auto"/>
        <w:left w:val="none" w:sz="0" w:space="0" w:color="auto"/>
        <w:bottom w:val="none" w:sz="0" w:space="0" w:color="auto"/>
        <w:right w:val="none" w:sz="0" w:space="0" w:color="auto"/>
      </w:divBdr>
    </w:div>
    <w:div w:id="1934780513">
      <w:bodyDiv w:val="1"/>
      <w:marLeft w:val="0"/>
      <w:marRight w:val="0"/>
      <w:marTop w:val="0"/>
      <w:marBottom w:val="0"/>
      <w:divBdr>
        <w:top w:val="none" w:sz="0" w:space="0" w:color="auto"/>
        <w:left w:val="none" w:sz="0" w:space="0" w:color="auto"/>
        <w:bottom w:val="none" w:sz="0" w:space="0" w:color="auto"/>
        <w:right w:val="none" w:sz="0" w:space="0" w:color="auto"/>
      </w:divBdr>
    </w:div>
    <w:div w:id="1938249233">
      <w:bodyDiv w:val="1"/>
      <w:marLeft w:val="0"/>
      <w:marRight w:val="0"/>
      <w:marTop w:val="0"/>
      <w:marBottom w:val="0"/>
      <w:divBdr>
        <w:top w:val="none" w:sz="0" w:space="0" w:color="auto"/>
        <w:left w:val="none" w:sz="0" w:space="0" w:color="auto"/>
        <w:bottom w:val="none" w:sz="0" w:space="0" w:color="auto"/>
        <w:right w:val="none" w:sz="0" w:space="0" w:color="auto"/>
      </w:divBdr>
    </w:div>
    <w:div w:id="1938781702">
      <w:bodyDiv w:val="1"/>
      <w:marLeft w:val="0"/>
      <w:marRight w:val="0"/>
      <w:marTop w:val="0"/>
      <w:marBottom w:val="0"/>
      <w:divBdr>
        <w:top w:val="none" w:sz="0" w:space="0" w:color="auto"/>
        <w:left w:val="none" w:sz="0" w:space="0" w:color="auto"/>
        <w:bottom w:val="none" w:sz="0" w:space="0" w:color="auto"/>
        <w:right w:val="none" w:sz="0" w:space="0" w:color="auto"/>
      </w:divBdr>
    </w:div>
    <w:div w:id="1942838919">
      <w:bodyDiv w:val="1"/>
      <w:marLeft w:val="0"/>
      <w:marRight w:val="0"/>
      <w:marTop w:val="0"/>
      <w:marBottom w:val="0"/>
      <w:divBdr>
        <w:top w:val="none" w:sz="0" w:space="0" w:color="auto"/>
        <w:left w:val="none" w:sz="0" w:space="0" w:color="auto"/>
        <w:bottom w:val="none" w:sz="0" w:space="0" w:color="auto"/>
        <w:right w:val="none" w:sz="0" w:space="0" w:color="auto"/>
      </w:divBdr>
    </w:div>
    <w:div w:id="1944218456">
      <w:bodyDiv w:val="1"/>
      <w:marLeft w:val="0"/>
      <w:marRight w:val="0"/>
      <w:marTop w:val="0"/>
      <w:marBottom w:val="0"/>
      <w:divBdr>
        <w:top w:val="none" w:sz="0" w:space="0" w:color="auto"/>
        <w:left w:val="none" w:sz="0" w:space="0" w:color="auto"/>
        <w:bottom w:val="none" w:sz="0" w:space="0" w:color="auto"/>
        <w:right w:val="none" w:sz="0" w:space="0" w:color="auto"/>
      </w:divBdr>
    </w:div>
    <w:div w:id="1945845857">
      <w:bodyDiv w:val="1"/>
      <w:marLeft w:val="0"/>
      <w:marRight w:val="0"/>
      <w:marTop w:val="0"/>
      <w:marBottom w:val="0"/>
      <w:divBdr>
        <w:top w:val="none" w:sz="0" w:space="0" w:color="auto"/>
        <w:left w:val="none" w:sz="0" w:space="0" w:color="auto"/>
        <w:bottom w:val="none" w:sz="0" w:space="0" w:color="auto"/>
        <w:right w:val="none" w:sz="0" w:space="0" w:color="auto"/>
      </w:divBdr>
    </w:div>
    <w:div w:id="1953781540">
      <w:bodyDiv w:val="1"/>
      <w:marLeft w:val="0"/>
      <w:marRight w:val="0"/>
      <w:marTop w:val="0"/>
      <w:marBottom w:val="0"/>
      <w:divBdr>
        <w:top w:val="none" w:sz="0" w:space="0" w:color="auto"/>
        <w:left w:val="none" w:sz="0" w:space="0" w:color="auto"/>
        <w:bottom w:val="none" w:sz="0" w:space="0" w:color="auto"/>
        <w:right w:val="none" w:sz="0" w:space="0" w:color="auto"/>
      </w:divBdr>
    </w:div>
    <w:div w:id="1954046132">
      <w:bodyDiv w:val="1"/>
      <w:marLeft w:val="0"/>
      <w:marRight w:val="0"/>
      <w:marTop w:val="0"/>
      <w:marBottom w:val="0"/>
      <w:divBdr>
        <w:top w:val="none" w:sz="0" w:space="0" w:color="auto"/>
        <w:left w:val="none" w:sz="0" w:space="0" w:color="auto"/>
        <w:bottom w:val="none" w:sz="0" w:space="0" w:color="auto"/>
        <w:right w:val="none" w:sz="0" w:space="0" w:color="auto"/>
      </w:divBdr>
    </w:div>
    <w:div w:id="1956322699">
      <w:bodyDiv w:val="1"/>
      <w:marLeft w:val="0"/>
      <w:marRight w:val="0"/>
      <w:marTop w:val="0"/>
      <w:marBottom w:val="0"/>
      <w:divBdr>
        <w:top w:val="none" w:sz="0" w:space="0" w:color="auto"/>
        <w:left w:val="none" w:sz="0" w:space="0" w:color="auto"/>
        <w:bottom w:val="none" w:sz="0" w:space="0" w:color="auto"/>
        <w:right w:val="none" w:sz="0" w:space="0" w:color="auto"/>
      </w:divBdr>
    </w:div>
    <w:div w:id="1960065733">
      <w:bodyDiv w:val="1"/>
      <w:marLeft w:val="0"/>
      <w:marRight w:val="0"/>
      <w:marTop w:val="0"/>
      <w:marBottom w:val="0"/>
      <w:divBdr>
        <w:top w:val="none" w:sz="0" w:space="0" w:color="auto"/>
        <w:left w:val="none" w:sz="0" w:space="0" w:color="auto"/>
        <w:bottom w:val="none" w:sz="0" w:space="0" w:color="auto"/>
        <w:right w:val="none" w:sz="0" w:space="0" w:color="auto"/>
      </w:divBdr>
    </w:div>
    <w:div w:id="1963538790">
      <w:bodyDiv w:val="1"/>
      <w:marLeft w:val="0"/>
      <w:marRight w:val="0"/>
      <w:marTop w:val="0"/>
      <w:marBottom w:val="0"/>
      <w:divBdr>
        <w:top w:val="none" w:sz="0" w:space="0" w:color="auto"/>
        <w:left w:val="none" w:sz="0" w:space="0" w:color="auto"/>
        <w:bottom w:val="none" w:sz="0" w:space="0" w:color="auto"/>
        <w:right w:val="none" w:sz="0" w:space="0" w:color="auto"/>
      </w:divBdr>
    </w:div>
    <w:div w:id="1966961929">
      <w:bodyDiv w:val="1"/>
      <w:marLeft w:val="0"/>
      <w:marRight w:val="0"/>
      <w:marTop w:val="0"/>
      <w:marBottom w:val="0"/>
      <w:divBdr>
        <w:top w:val="none" w:sz="0" w:space="0" w:color="auto"/>
        <w:left w:val="none" w:sz="0" w:space="0" w:color="auto"/>
        <w:bottom w:val="none" w:sz="0" w:space="0" w:color="auto"/>
        <w:right w:val="none" w:sz="0" w:space="0" w:color="auto"/>
      </w:divBdr>
    </w:div>
    <w:div w:id="1967854078">
      <w:bodyDiv w:val="1"/>
      <w:marLeft w:val="0"/>
      <w:marRight w:val="0"/>
      <w:marTop w:val="0"/>
      <w:marBottom w:val="0"/>
      <w:divBdr>
        <w:top w:val="none" w:sz="0" w:space="0" w:color="auto"/>
        <w:left w:val="none" w:sz="0" w:space="0" w:color="auto"/>
        <w:bottom w:val="none" w:sz="0" w:space="0" w:color="auto"/>
        <w:right w:val="none" w:sz="0" w:space="0" w:color="auto"/>
      </w:divBdr>
    </w:div>
    <w:div w:id="1970013449">
      <w:bodyDiv w:val="1"/>
      <w:marLeft w:val="0"/>
      <w:marRight w:val="0"/>
      <w:marTop w:val="0"/>
      <w:marBottom w:val="0"/>
      <w:divBdr>
        <w:top w:val="none" w:sz="0" w:space="0" w:color="auto"/>
        <w:left w:val="none" w:sz="0" w:space="0" w:color="auto"/>
        <w:bottom w:val="none" w:sz="0" w:space="0" w:color="auto"/>
        <w:right w:val="none" w:sz="0" w:space="0" w:color="auto"/>
      </w:divBdr>
    </w:div>
    <w:div w:id="1970043307">
      <w:bodyDiv w:val="1"/>
      <w:marLeft w:val="0"/>
      <w:marRight w:val="0"/>
      <w:marTop w:val="0"/>
      <w:marBottom w:val="0"/>
      <w:divBdr>
        <w:top w:val="none" w:sz="0" w:space="0" w:color="auto"/>
        <w:left w:val="none" w:sz="0" w:space="0" w:color="auto"/>
        <w:bottom w:val="none" w:sz="0" w:space="0" w:color="auto"/>
        <w:right w:val="none" w:sz="0" w:space="0" w:color="auto"/>
      </w:divBdr>
    </w:div>
    <w:div w:id="1970473705">
      <w:bodyDiv w:val="1"/>
      <w:marLeft w:val="0"/>
      <w:marRight w:val="0"/>
      <w:marTop w:val="0"/>
      <w:marBottom w:val="0"/>
      <w:divBdr>
        <w:top w:val="none" w:sz="0" w:space="0" w:color="auto"/>
        <w:left w:val="none" w:sz="0" w:space="0" w:color="auto"/>
        <w:bottom w:val="none" w:sz="0" w:space="0" w:color="auto"/>
        <w:right w:val="none" w:sz="0" w:space="0" w:color="auto"/>
      </w:divBdr>
    </w:div>
    <w:div w:id="1973703632">
      <w:bodyDiv w:val="1"/>
      <w:marLeft w:val="0"/>
      <w:marRight w:val="0"/>
      <w:marTop w:val="0"/>
      <w:marBottom w:val="0"/>
      <w:divBdr>
        <w:top w:val="none" w:sz="0" w:space="0" w:color="auto"/>
        <w:left w:val="none" w:sz="0" w:space="0" w:color="auto"/>
        <w:bottom w:val="none" w:sz="0" w:space="0" w:color="auto"/>
        <w:right w:val="none" w:sz="0" w:space="0" w:color="auto"/>
      </w:divBdr>
    </w:div>
    <w:div w:id="1973945331">
      <w:bodyDiv w:val="1"/>
      <w:marLeft w:val="0"/>
      <w:marRight w:val="0"/>
      <w:marTop w:val="0"/>
      <w:marBottom w:val="0"/>
      <w:divBdr>
        <w:top w:val="none" w:sz="0" w:space="0" w:color="auto"/>
        <w:left w:val="none" w:sz="0" w:space="0" w:color="auto"/>
        <w:bottom w:val="none" w:sz="0" w:space="0" w:color="auto"/>
        <w:right w:val="none" w:sz="0" w:space="0" w:color="auto"/>
      </w:divBdr>
    </w:div>
    <w:div w:id="1974096993">
      <w:bodyDiv w:val="1"/>
      <w:marLeft w:val="0"/>
      <w:marRight w:val="0"/>
      <w:marTop w:val="0"/>
      <w:marBottom w:val="0"/>
      <w:divBdr>
        <w:top w:val="none" w:sz="0" w:space="0" w:color="auto"/>
        <w:left w:val="none" w:sz="0" w:space="0" w:color="auto"/>
        <w:bottom w:val="none" w:sz="0" w:space="0" w:color="auto"/>
        <w:right w:val="none" w:sz="0" w:space="0" w:color="auto"/>
      </w:divBdr>
    </w:div>
    <w:div w:id="1981381987">
      <w:bodyDiv w:val="1"/>
      <w:marLeft w:val="0"/>
      <w:marRight w:val="0"/>
      <w:marTop w:val="0"/>
      <w:marBottom w:val="0"/>
      <w:divBdr>
        <w:top w:val="none" w:sz="0" w:space="0" w:color="auto"/>
        <w:left w:val="none" w:sz="0" w:space="0" w:color="auto"/>
        <w:bottom w:val="none" w:sz="0" w:space="0" w:color="auto"/>
        <w:right w:val="none" w:sz="0" w:space="0" w:color="auto"/>
      </w:divBdr>
    </w:div>
    <w:div w:id="1984701258">
      <w:bodyDiv w:val="1"/>
      <w:marLeft w:val="0"/>
      <w:marRight w:val="0"/>
      <w:marTop w:val="0"/>
      <w:marBottom w:val="0"/>
      <w:divBdr>
        <w:top w:val="none" w:sz="0" w:space="0" w:color="auto"/>
        <w:left w:val="none" w:sz="0" w:space="0" w:color="auto"/>
        <w:bottom w:val="none" w:sz="0" w:space="0" w:color="auto"/>
        <w:right w:val="none" w:sz="0" w:space="0" w:color="auto"/>
      </w:divBdr>
    </w:div>
    <w:div w:id="1988701071">
      <w:bodyDiv w:val="1"/>
      <w:marLeft w:val="0"/>
      <w:marRight w:val="0"/>
      <w:marTop w:val="0"/>
      <w:marBottom w:val="0"/>
      <w:divBdr>
        <w:top w:val="none" w:sz="0" w:space="0" w:color="auto"/>
        <w:left w:val="none" w:sz="0" w:space="0" w:color="auto"/>
        <w:bottom w:val="none" w:sz="0" w:space="0" w:color="auto"/>
        <w:right w:val="none" w:sz="0" w:space="0" w:color="auto"/>
      </w:divBdr>
    </w:div>
    <w:div w:id="1989967400">
      <w:bodyDiv w:val="1"/>
      <w:marLeft w:val="0"/>
      <w:marRight w:val="0"/>
      <w:marTop w:val="0"/>
      <w:marBottom w:val="0"/>
      <w:divBdr>
        <w:top w:val="none" w:sz="0" w:space="0" w:color="auto"/>
        <w:left w:val="none" w:sz="0" w:space="0" w:color="auto"/>
        <w:bottom w:val="none" w:sz="0" w:space="0" w:color="auto"/>
        <w:right w:val="none" w:sz="0" w:space="0" w:color="auto"/>
      </w:divBdr>
    </w:div>
    <w:div w:id="1993212375">
      <w:bodyDiv w:val="1"/>
      <w:marLeft w:val="0"/>
      <w:marRight w:val="0"/>
      <w:marTop w:val="0"/>
      <w:marBottom w:val="0"/>
      <w:divBdr>
        <w:top w:val="none" w:sz="0" w:space="0" w:color="auto"/>
        <w:left w:val="none" w:sz="0" w:space="0" w:color="auto"/>
        <w:bottom w:val="none" w:sz="0" w:space="0" w:color="auto"/>
        <w:right w:val="none" w:sz="0" w:space="0" w:color="auto"/>
      </w:divBdr>
    </w:div>
    <w:div w:id="1993370336">
      <w:bodyDiv w:val="1"/>
      <w:marLeft w:val="0"/>
      <w:marRight w:val="0"/>
      <w:marTop w:val="0"/>
      <w:marBottom w:val="0"/>
      <w:divBdr>
        <w:top w:val="none" w:sz="0" w:space="0" w:color="auto"/>
        <w:left w:val="none" w:sz="0" w:space="0" w:color="auto"/>
        <w:bottom w:val="none" w:sz="0" w:space="0" w:color="auto"/>
        <w:right w:val="none" w:sz="0" w:space="0" w:color="auto"/>
      </w:divBdr>
    </w:div>
    <w:div w:id="1994217361">
      <w:bodyDiv w:val="1"/>
      <w:marLeft w:val="0"/>
      <w:marRight w:val="0"/>
      <w:marTop w:val="0"/>
      <w:marBottom w:val="0"/>
      <w:divBdr>
        <w:top w:val="none" w:sz="0" w:space="0" w:color="auto"/>
        <w:left w:val="none" w:sz="0" w:space="0" w:color="auto"/>
        <w:bottom w:val="none" w:sz="0" w:space="0" w:color="auto"/>
        <w:right w:val="none" w:sz="0" w:space="0" w:color="auto"/>
      </w:divBdr>
    </w:div>
    <w:div w:id="1996295940">
      <w:bodyDiv w:val="1"/>
      <w:marLeft w:val="0"/>
      <w:marRight w:val="0"/>
      <w:marTop w:val="0"/>
      <w:marBottom w:val="0"/>
      <w:divBdr>
        <w:top w:val="none" w:sz="0" w:space="0" w:color="auto"/>
        <w:left w:val="none" w:sz="0" w:space="0" w:color="auto"/>
        <w:bottom w:val="none" w:sz="0" w:space="0" w:color="auto"/>
        <w:right w:val="none" w:sz="0" w:space="0" w:color="auto"/>
      </w:divBdr>
    </w:div>
    <w:div w:id="1996834927">
      <w:bodyDiv w:val="1"/>
      <w:marLeft w:val="0"/>
      <w:marRight w:val="0"/>
      <w:marTop w:val="0"/>
      <w:marBottom w:val="0"/>
      <w:divBdr>
        <w:top w:val="none" w:sz="0" w:space="0" w:color="auto"/>
        <w:left w:val="none" w:sz="0" w:space="0" w:color="auto"/>
        <w:bottom w:val="none" w:sz="0" w:space="0" w:color="auto"/>
        <w:right w:val="none" w:sz="0" w:space="0" w:color="auto"/>
      </w:divBdr>
    </w:div>
    <w:div w:id="1997030662">
      <w:bodyDiv w:val="1"/>
      <w:marLeft w:val="0"/>
      <w:marRight w:val="0"/>
      <w:marTop w:val="0"/>
      <w:marBottom w:val="0"/>
      <w:divBdr>
        <w:top w:val="none" w:sz="0" w:space="0" w:color="auto"/>
        <w:left w:val="none" w:sz="0" w:space="0" w:color="auto"/>
        <w:bottom w:val="none" w:sz="0" w:space="0" w:color="auto"/>
        <w:right w:val="none" w:sz="0" w:space="0" w:color="auto"/>
      </w:divBdr>
    </w:div>
    <w:div w:id="1999993818">
      <w:bodyDiv w:val="1"/>
      <w:marLeft w:val="0"/>
      <w:marRight w:val="0"/>
      <w:marTop w:val="0"/>
      <w:marBottom w:val="0"/>
      <w:divBdr>
        <w:top w:val="none" w:sz="0" w:space="0" w:color="auto"/>
        <w:left w:val="none" w:sz="0" w:space="0" w:color="auto"/>
        <w:bottom w:val="none" w:sz="0" w:space="0" w:color="auto"/>
        <w:right w:val="none" w:sz="0" w:space="0" w:color="auto"/>
      </w:divBdr>
    </w:div>
    <w:div w:id="2006206704">
      <w:bodyDiv w:val="1"/>
      <w:marLeft w:val="0"/>
      <w:marRight w:val="0"/>
      <w:marTop w:val="0"/>
      <w:marBottom w:val="0"/>
      <w:divBdr>
        <w:top w:val="none" w:sz="0" w:space="0" w:color="auto"/>
        <w:left w:val="none" w:sz="0" w:space="0" w:color="auto"/>
        <w:bottom w:val="none" w:sz="0" w:space="0" w:color="auto"/>
        <w:right w:val="none" w:sz="0" w:space="0" w:color="auto"/>
      </w:divBdr>
    </w:div>
    <w:div w:id="2008706709">
      <w:bodyDiv w:val="1"/>
      <w:marLeft w:val="0"/>
      <w:marRight w:val="0"/>
      <w:marTop w:val="0"/>
      <w:marBottom w:val="0"/>
      <w:divBdr>
        <w:top w:val="none" w:sz="0" w:space="0" w:color="auto"/>
        <w:left w:val="none" w:sz="0" w:space="0" w:color="auto"/>
        <w:bottom w:val="none" w:sz="0" w:space="0" w:color="auto"/>
        <w:right w:val="none" w:sz="0" w:space="0" w:color="auto"/>
      </w:divBdr>
    </w:div>
    <w:div w:id="2008707223">
      <w:bodyDiv w:val="1"/>
      <w:marLeft w:val="0"/>
      <w:marRight w:val="0"/>
      <w:marTop w:val="0"/>
      <w:marBottom w:val="0"/>
      <w:divBdr>
        <w:top w:val="none" w:sz="0" w:space="0" w:color="auto"/>
        <w:left w:val="none" w:sz="0" w:space="0" w:color="auto"/>
        <w:bottom w:val="none" w:sz="0" w:space="0" w:color="auto"/>
        <w:right w:val="none" w:sz="0" w:space="0" w:color="auto"/>
      </w:divBdr>
    </w:div>
    <w:div w:id="2012297882">
      <w:bodyDiv w:val="1"/>
      <w:marLeft w:val="0"/>
      <w:marRight w:val="0"/>
      <w:marTop w:val="0"/>
      <w:marBottom w:val="0"/>
      <w:divBdr>
        <w:top w:val="none" w:sz="0" w:space="0" w:color="auto"/>
        <w:left w:val="none" w:sz="0" w:space="0" w:color="auto"/>
        <w:bottom w:val="none" w:sz="0" w:space="0" w:color="auto"/>
        <w:right w:val="none" w:sz="0" w:space="0" w:color="auto"/>
      </w:divBdr>
      <w:divsChild>
        <w:div w:id="1162425651">
          <w:marLeft w:val="0"/>
          <w:marRight w:val="0"/>
          <w:marTop w:val="0"/>
          <w:marBottom w:val="300"/>
          <w:divBdr>
            <w:top w:val="none" w:sz="0" w:space="0" w:color="auto"/>
            <w:left w:val="none" w:sz="0" w:space="0" w:color="auto"/>
            <w:bottom w:val="none" w:sz="0" w:space="0" w:color="auto"/>
            <w:right w:val="none" w:sz="0" w:space="0" w:color="auto"/>
          </w:divBdr>
          <w:divsChild>
            <w:div w:id="1973976541">
              <w:marLeft w:val="0"/>
              <w:marRight w:val="0"/>
              <w:marTop w:val="0"/>
              <w:marBottom w:val="0"/>
              <w:divBdr>
                <w:top w:val="none" w:sz="0" w:space="0" w:color="auto"/>
                <w:left w:val="none" w:sz="0" w:space="0" w:color="auto"/>
                <w:bottom w:val="none" w:sz="0" w:space="0" w:color="auto"/>
                <w:right w:val="none" w:sz="0" w:space="0" w:color="auto"/>
              </w:divBdr>
              <w:divsChild>
                <w:div w:id="1998223805">
                  <w:marLeft w:val="0"/>
                  <w:marRight w:val="300"/>
                  <w:marTop w:val="0"/>
                  <w:marBottom w:val="0"/>
                  <w:divBdr>
                    <w:top w:val="none" w:sz="0" w:space="0" w:color="auto"/>
                    <w:left w:val="none" w:sz="0" w:space="0" w:color="auto"/>
                    <w:bottom w:val="none" w:sz="0" w:space="0" w:color="auto"/>
                    <w:right w:val="none" w:sz="0" w:space="0" w:color="auto"/>
                  </w:divBdr>
                  <w:divsChild>
                    <w:div w:id="236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3407">
      <w:bodyDiv w:val="1"/>
      <w:marLeft w:val="0"/>
      <w:marRight w:val="0"/>
      <w:marTop w:val="0"/>
      <w:marBottom w:val="0"/>
      <w:divBdr>
        <w:top w:val="none" w:sz="0" w:space="0" w:color="auto"/>
        <w:left w:val="none" w:sz="0" w:space="0" w:color="auto"/>
        <w:bottom w:val="none" w:sz="0" w:space="0" w:color="auto"/>
        <w:right w:val="none" w:sz="0" w:space="0" w:color="auto"/>
      </w:divBdr>
    </w:div>
    <w:div w:id="2019110923">
      <w:bodyDiv w:val="1"/>
      <w:marLeft w:val="0"/>
      <w:marRight w:val="0"/>
      <w:marTop w:val="0"/>
      <w:marBottom w:val="0"/>
      <w:divBdr>
        <w:top w:val="none" w:sz="0" w:space="0" w:color="auto"/>
        <w:left w:val="none" w:sz="0" w:space="0" w:color="auto"/>
        <w:bottom w:val="none" w:sz="0" w:space="0" w:color="auto"/>
        <w:right w:val="none" w:sz="0" w:space="0" w:color="auto"/>
      </w:divBdr>
    </w:div>
    <w:div w:id="2019964176">
      <w:bodyDiv w:val="1"/>
      <w:marLeft w:val="0"/>
      <w:marRight w:val="0"/>
      <w:marTop w:val="0"/>
      <w:marBottom w:val="0"/>
      <w:divBdr>
        <w:top w:val="none" w:sz="0" w:space="0" w:color="auto"/>
        <w:left w:val="none" w:sz="0" w:space="0" w:color="auto"/>
        <w:bottom w:val="none" w:sz="0" w:space="0" w:color="auto"/>
        <w:right w:val="none" w:sz="0" w:space="0" w:color="auto"/>
      </w:divBdr>
    </w:div>
    <w:div w:id="2020768652">
      <w:bodyDiv w:val="1"/>
      <w:marLeft w:val="0"/>
      <w:marRight w:val="0"/>
      <w:marTop w:val="0"/>
      <w:marBottom w:val="0"/>
      <w:divBdr>
        <w:top w:val="none" w:sz="0" w:space="0" w:color="auto"/>
        <w:left w:val="none" w:sz="0" w:space="0" w:color="auto"/>
        <w:bottom w:val="none" w:sz="0" w:space="0" w:color="auto"/>
        <w:right w:val="none" w:sz="0" w:space="0" w:color="auto"/>
      </w:divBdr>
    </w:div>
    <w:div w:id="2021270846">
      <w:bodyDiv w:val="1"/>
      <w:marLeft w:val="0"/>
      <w:marRight w:val="0"/>
      <w:marTop w:val="0"/>
      <w:marBottom w:val="0"/>
      <w:divBdr>
        <w:top w:val="none" w:sz="0" w:space="0" w:color="auto"/>
        <w:left w:val="none" w:sz="0" w:space="0" w:color="auto"/>
        <w:bottom w:val="none" w:sz="0" w:space="0" w:color="auto"/>
        <w:right w:val="none" w:sz="0" w:space="0" w:color="auto"/>
      </w:divBdr>
    </w:div>
    <w:div w:id="2028826086">
      <w:bodyDiv w:val="1"/>
      <w:marLeft w:val="0"/>
      <w:marRight w:val="0"/>
      <w:marTop w:val="0"/>
      <w:marBottom w:val="0"/>
      <w:divBdr>
        <w:top w:val="none" w:sz="0" w:space="0" w:color="auto"/>
        <w:left w:val="none" w:sz="0" w:space="0" w:color="auto"/>
        <w:bottom w:val="none" w:sz="0" w:space="0" w:color="auto"/>
        <w:right w:val="none" w:sz="0" w:space="0" w:color="auto"/>
      </w:divBdr>
    </w:div>
    <w:div w:id="2030452394">
      <w:bodyDiv w:val="1"/>
      <w:marLeft w:val="0"/>
      <w:marRight w:val="0"/>
      <w:marTop w:val="0"/>
      <w:marBottom w:val="0"/>
      <w:divBdr>
        <w:top w:val="none" w:sz="0" w:space="0" w:color="auto"/>
        <w:left w:val="none" w:sz="0" w:space="0" w:color="auto"/>
        <w:bottom w:val="none" w:sz="0" w:space="0" w:color="auto"/>
        <w:right w:val="none" w:sz="0" w:space="0" w:color="auto"/>
      </w:divBdr>
    </w:div>
    <w:div w:id="2035694857">
      <w:bodyDiv w:val="1"/>
      <w:marLeft w:val="0"/>
      <w:marRight w:val="0"/>
      <w:marTop w:val="0"/>
      <w:marBottom w:val="0"/>
      <w:divBdr>
        <w:top w:val="none" w:sz="0" w:space="0" w:color="auto"/>
        <w:left w:val="none" w:sz="0" w:space="0" w:color="auto"/>
        <w:bottom w:val="none" w:sz="0" w:space="0" w:color="auto"/>
        <w:right w:val="none" w:sz="0" w:space="0" w:color="auto"/>
      </w:divBdr>
    </w:div>
    <w:div w:id="2037659721">
      <w:bodyDiv w:val="1"/>
      <w:marLeft w:val="0"/>
      <w:marRight w:val="0"/>
      <w:marTop w:val="0"/>
      <w:marBottom w:val="0"/>
      <w:divBdr>
        <w:top w:val="none" w:sz="0" w:space="0" w:color="auto"/>
        <w:left w:val="none" w:sz="0" w:space="0" w:color="auto"/>
        <w:bottom w:val="none" w:sz="0" w:space="0" w:color="auto"/>
        <w:right w:val="none" w:sz="0" w:space="0" w:color="auto"/>
      </w:divBdr>
    </w:div>
    <w:div w:id="2039501905">
      <w:bodyDiv w:val="1"/>
      <w:marLeft w:val="0"/>
      <w:marRight w:val="0"/>
      <w:marTop w:val="0"/>
      <w:marBottom w:val="0"/>
      <w:divBdr>
        <w:top w:val="none" w:sz="0" w:space="0" w:color="auto"/>
        <w:left w:val="none" w:sz="0" w:space="0" w:color="auto"/>
        <w:bottom w:val="none" w:sz="0" w:space="0" w:color="auto"/>
        <w:right w:val="none" w:sz="0" w:space="0" w:color="auto"/>
      </w:divBdr>
    </w:div>
    <w:div w:id="2042975034">
      <w:bodyDiv w:val="1"/>
      <w:marLeft w:val="0"/>
      <w:marRight w:val="0"/>
      <w:marTop w:val="0"/>
      <w:marBottom w:val="0"/>
      <w:divBdr>
        <w:top w:val="none" w:sz="0" w:space="0" w:color="auto"/>
        <w:left w:val="none" w:sz="0" w:space="0" w:color="auto"/>
        <w:bottom w:val="none" w:sz="0" w:space="0" w:color="auto"/>
        <w:right w:val="none" w:sz="0" w:space="0" w:color="auto"/>
      </w:divBdr>
    </w:div>
    <w:div w:id="2044474213">
      <w:bodyDiv w:val="1"/>
      <w:marLeft w:val="0"/>
      <w:marRight w:val="0"/>
      <w:marTop w:val="0"/>
      <w:marBottom w:val="0"/>
      <w:divBdr>
        <w:top w:val="none" w:sz="0" w:space="0" w:color="auto"/>
        <w:left w:val="none" w:sz="0" w:space="0" w:color="auto"/>
        <w:bottom w:val="none" w:sz="0" w:space="0" w:color="auto"/>
        <w:right w:val="none" w:sz="0" w:space="0" w:color="auto"/>
      </w:divBdr>
    </w:div>
    <w:div w:id="2048555380">
      <w:bodyDiv w:val="1"/>
      <w:marLeft w:val="0"/>
      <w:marRight w:val="0"/>
      <w:marTop w:val="0"/>
      <w:marBottom w:val="0"/>
      <w:divBdr>
        <w:top w:val="none" w:sz="0" w:space="0" w:color="auto"/>
        <w:left w:val="none" w:sz="0" w:space="0" w:color="auto"/>
        <w:bottom w:val="none" w:sz="0" w:space="0" w:color="auto"/>
        <w:right w:val="none" w:sz="0" w:space="0" w:color="auto"/>
      </w:divBdr>
    </w:div>
    <w:div w:id="2050105291">
      <w:bodyDiv w:val="1"/>
      <w:marLeft w:val="0"/>
      <w:marRight w:val="0"/>
      <w:marTop w:val="0"/>
      <w:marBottom w:val="0"/>
      <w:divBdr>
        <w:top w:val="none" w:sz="0" w:space="0" w:color="auto"/>
        <w:left w:val="none" w:sz="0" w:space="0" w:color="auto"/>
        <w:bottom w:val="none" w:sz="0" w:space="0" w:color="auto"/>
        <w:right w:val="none" w:sz="0" w:space="0" w:color="auto"/>
      </w:divBdr>
      <w:divsChild>
        <w:div w:id="1286084171">
          <w:marLeft w:val="0"/>
          <w:marRight w:val="0"/>
          <w:marTop w:val="0"/>
          <w:marBottom w:val="240"/>
          <w:divBdr>
            <w:top w:val="none" w:sz="0" w:space="0" w:color="auto"/>
            <w:left w:val="none" w:sz="0" w:space="0" w:color="auto"/>
            <w:bottom w:val="none" w:sz="0" w:space="0" w:color="auto"/>
            <w:right w:val="none" w:sz="0" w:space="0" w:color="auto"/>
          </w:divBdr>
        </w:div>
        <w:div w:id="1393380998">
          <w:marLeft w:val="0"/>
          <w:marRight w:val="0"/>
          <w:marTop w:val="0"/>
          <w:marBottom w:val="0"/>
          <w:divBdr>
            <w:top w:val="none" w:sz="0" w:space="0" w:color="auto"/>
            <w:left w:val="none" w:sz="0" w:space="0" w:color="auto"/>
            <w:bottom w:val="none" w:sz="0" w:space="0" w:color="auto"/>
            <w:right w:val="none" w:sz="0" w:space="0" w:color="auto"/>
          </w:divBdr>
          <w:divsChild>
            <w:div w:id="21902677">
              <w:marLeft w:val="0"/>
              <w:marRight w:val="0"/>
              <w:marTop w:val="0"/>
              <w:marBottom w:val="0"/>
              <w:divBdr>
                <w:top w:val="none" w:sz="0" w:space="0" w:color="auto"/>
                <w:left w:val="none" w:sz="0" w:space="0" w:color="auto"/>
                <w:bottom w:val="none" w:sz="0" w:space="0" w:color="auto"/>
                <w:right w:val="none" w:sz="0" w:space="0" w:color="auto"/>
              </w:divBdr>
            </w:div>
            <w:div w:id="68235948">
              <w:marLeft w:val="0"/>
              <w:marRight w:val="0"/>
              <w:marTop w:val="0"/>
              <w:marBottom w:val="0"/>
              <w:divBdr>
                <w:top w:val="none" w:sz="0" w:space="0" w:color="auto"/>
                <w:left w:val="none" w:sz="0" w:space="0" w:color="auto"/>
                <w:bottom w:val="none" w:sz="0" w:space="0" w:color="auto"/>
                <w:right w:val="none" w:sz="0" w:space="0" w:color="auto"/>
              </w:divBdr>
            </w:div>
            <w:div w:id="81606677">
              <w:marLeft w:val="0"/>
              <w:marRight w:val="0"/>
              <w:marTop w:val="0"/>
              <w:marBottom w:val="0"/>
              <w:divBdr>
                <w:top w:val="none" w:sz="0" w:space="0" w:color="auto"/>
                <w:left w:val="none" w:sz="0" w:space="0" w:color="auto"/>
                <w:bottom w:val="none" w:sz="0" w:space="0" w:color="auto"/>
                <w:right w:val="none" w:sz="0" w:space="0" w:color="auto"/>
              </w:divBdr>
            </w:div>
            <w:div w:id="95828449">
              <w:marLeft w:val="0"/>
              <w:marRight w:val="0"/>
              <w:marTop w:val="0"/>
              <w:marBottom w:val="0"/>
              <w:divBdr>
                <w:top w:val="none" w:sz="0" w:space="0" w:color="auto"/>
                <w:left w:val="none" w:sz="0" w:space="0" w:color="auto"/>
                <w:bottom w:val="none" w:sz="0" w:space="0" w:color="auto"/>
                <w:right w:val="none" w:sz="0" w:space="0" w:color="auto"/>
              </w:divBdr>
            </w:div>
            <w:div w:id="119156214">
              <w:marLeft w:val="0"/>
              <w:marRight w:val="0"/>
              <w:marTop w:val="0"/>
              <w:marBottom w:val="0"/>
              <w:divBdr>
                <w:top w:val="none" w:sz="0" w:space="0" w:color="auto"/>
                <w:left w:val="none" w:sz="0" w:space="0" w:color="auto"/>
                <w:bottom w:val="none" w:sz="0" w:space="0" w:color="auto"/>
                <w:right w:val="none" w:sz="0" w:space="0" w:color="auto"/>
              </w:divBdr>
            </w:div>
            <w:div w:id="142088631">
              <w:marLeft w:val="0"/>
              <w:marRight w:val="0"/>
              <w:marTop w:val="0"/>
              <w:marBottom w:val="0"/>
              <w:divBdr>
                <w:top w:val="none" w:sz="0" w:space="0" w:color="auto"/>
                <w:left w:val="none" w:sz="0" w:space="0" w:color="auto"/>
                <w:bottom w:val="none" w:sz="0" w:space="0" w:color="auto"/>
                <w:right w:val="none" w:sz="0" w:space="0" w:color="auto"/>
              </w:divBdr>
            </w:div>
            <w:div w:id="175848188">
              <w:marLeft w:val="0"/>
              <w:marRight w:val="0"/>
              <w:marTop w:val="0"/>
              <w:marBottom w:val="0"/>
              <w:divBdr>
                <w:top w:val="none" w:sz="0" w:space="0" w:color="auto"/>
                <w:left w:val="none" w:sz="0" w:space="0" w:color="auto"/>
                <w:bottom w:val="none" w:sz="0" w:space="0" w:color="auto"/>
                <w:right w:val="none" w:sz="0" w:space="0" w:color="auto"/>
              </w:divBdr>
            </w:div>
            <w:div w:id="194973053">
              <w:marLeft w:val="0"/>
              <w:marRight w:val="0"/>
              <w:marTop w:val="0"/>
              <w:marBottom w:val="0"/>
              <w:divBdr>
                <w:top w:val="none" w:sz="0" w:space="0" w:color="auto"/>
                <w:left w:val="none" w:sz="0" w:space="0" w:color="auto"/>
                <w:bottom w:val="none" w:sz="0" w:space="0" w:color="auto"/>
                <w:right w:val="none" w:sz="0" w:space="0" w:color="auto"/>
              </w:divBdr>
            </w:div>
            <w:div w:id="206650156">
              <w:marLeft w:val="0"/>
              <w:marRight w:val="0"/>
              <w:marTop w:val="0"/>
              <w:marBottom w:val="0"/>
              <w:divBdr>
                <w:top w:val="none" w:sz="0" w:space="0" w:color="auto"/>
                <w:left w:val="none" w:sz="0" w:space="0" w:color="auto"/>
                <w:bottom w:val="none" w:sz="0" w:space="0" w:color="auto"/>
                <w:right w:val="none" w:sz="0" w:space="0" w:color="auto"/>
              </w:divBdr>
            </w:div>
            <w:div w:id="269899584">
              <w:marLeft w:val="0"/>
              <w:marRight w:val="0"/>
              <w:marTop w:val="0"/>
              <w:marBottom w:val="0"/>
              <w:divBdr>
                <w:top w:val="none" w:sz="0" w:space="0" w:color="auto"/>
                <w:left w:val="none" w:sz="0" w:space="0" w:color="auto"/>
                <w:bottom w:val="none" w:sz="0" w:space="0" w:color="auto"/>
                <w:right w:val="none" w:sz="0" w:space="0" w:color="auto"/>
              </w:divBdr>
            </w:div>
            <w:div w:id="414669155">
              <w:marLeft w:val="0"/>
              <w:marRight w:val="0"/>
              <w:marTop w:val="0"/>
              <w:marBottom w:val="0"/>
              <w:divBdr>
                <w:top w:val="none" w:sz="0" w:space="0" w:color="auto"/>
                <w:left w:val="none" w:sz="0" w:space="0" w:color="auto"/>
                <w:bottom w:val="none" w:sz="0" w:space="0" w:color="auto"/>
                <w:right w:val="none" w:sz="0" w:space="0" w:color="auto"/>
              </w:divBdr>
            </w:div>
            <w:div w:id="613555733">
              <w:marLeft w:val="0"/>
              <w:marRight w:val="0"/>
              <w:marTop w:val="0"/>
              <w:marBottom w:val="0"/>
              <w:divBdr>
                <w:top w:val="none" w:sz="0" w:space="0" w:color="auto"/>
                <w:left w:val="none" w:sz="0" w:space="0" w:color="auto"/>
                <w:bottom w:val="none" w:sz="0" w:space="0" w:color="auto"/>
                <w:right w:val="none" w:sz="0" w:space="0" w:color="auto"/>
              </w:divBdr>
            </w:div>
            <w:div w:id="763844344">
              <w:marLeft w:val="0"/>
              <w:marRight w:val="0"/>
              <w:marTop w:val="0"/>
              <w:marBottom w:val="0"/>
              <w:divBdr>
                <w:top w:val="none" w:sz="0" w:space="0" w:color="auto"/>
                <w:left w:val="none" w:sz="0" w:space="0" w:color="auto"/>
                <w:bottom w:val="none" w:sz="0" w:space="0" w:color="auto"/>
                <w:right w:val="none" w:sz="0" w:space="0" w:color="auto"/>
              </w:divBdr>
            </w:div>
            <w:div w:id="822086480">
              <w:marLeft w:val="0"/>
              <w:marRight w:val="0"/>
              <w:marTop w:val="0"/>
              <w:marBottom w:val="0"/>
              <w:divBdr>
                <w:top w:val="none" w:sz="0" w:space="0" w:color="auto"/>
                <w:left w:val="none" w:sz="0" w:space="0" w:color="auto"/>
                <w:bottom w:val="none" w:sz="0" w:space="0" w:color="auto"/>
                <w:right w:val="none" w:sz="0" w:space="0" w:color="auto"/>
              </w:divBdr>
            </w:div>
            <w:div w:id="973372875">
              <w:marLeft w:val="0"/>
              <w:marRight w:val="0"/>
              <w:marTop w:val="0"/>
              <w:marBottom w:val="0"/>
              <w:divBdr>
                <w:top w:val="none" w:sz="0" w:space="0" w:color="auto"/>
                <w:left w:val="none" w:sz="0" w:space="0" w:color="auto"/>
                <w:bottom w:val="none" w:sz="0" w:space="0" w:color="auto"/>
                <w:right w:val="none" w:sz="0" w:space="0" w:color="auto"/>
              </w:divBdr>
            </w:div>
            <w:div w:id="1127817866">
              <w:marLeft w:val="0"/>
              <w:marRight w:val="0"/>
              <w:marTop w:val="0"/>
              <w:marBottom w:val="0"/>
              <w:divBdr>
                <w:top w:val="none" w:sz="0" w:space="0" w:color="auto"/>
                <w:left w:val="none" w:sz="0" w:space="0" w:color="auto"/>
                <w:bottom w:val="none" w:sz="0" w:space="0" w:color="auto"/>
                <w:right w:val="none" w:sz="0" w:space="0" w:color="auto"/>
              </w:divBdr>
            </w:div>
            <w:div w:id="1206334221">
              <w:marLeft w:val="0"/>
              <w:marRight w:val="0"/>
              <w:marTop w:val="0"/>
              <w:marBottom w:val="0"/>
              <w:divBdr>
                <w:top w:val="none" w:sz="0" w:space="0" w:color="auto"/>
                <w:left w:val="none" w:sz="0" w:space="0" w:color="auto"/>
                <w:bottom w:val="none" w:sz="0" w:space="0" w:color="auto"/>
                <w:right w:val="none" w:sz="0" w:space="0" w:color="auto"/>
              </w:divBdr>
            </w:div>
            <w:div w:id="1552839855">
              <w:marLeft w:val="0"/>
              <w:marRight w:val="0"/>
              <w:marTop w:val="0"/>
              <w:marBottom w:val="0"/>
              <w:divBdr>
                <w:top w:val="none" w:sz="0" w:space="0" w:color="auto"/>
                <w:left w:val="none" w:sz="0" w:space="0" w:color="auto"/>
                <w:bottom w:val="none" w:sz="0" w:space="0" w:color="auto"/>
                <w:right w:val="none" w:sz="0" w:space="0" w:color="auto"/>
              </w:divBdr>
            </w:div>
            <w:div w:id="1834951283">
              <w:marLeft w:val="0"/>
              <w:marRight w:val="0"/>
              <w:marTop w:val="0"/>
              <w:marBottom w:val="0"/>
              <w:divBdr>
                <w:top w:val="none" w:sz="0" w:space="0" w:color="auto"/>
                <w:left w:val="none" w:sz="0" w:space="0" w:color="auto"/>
                <w:bottom w:val="none" w:sz="0" w:space="0" w:color="auto"/>
                <w:right w:val="none" w:sz="0" w:space="0" w:color="auto"/>
              </w:divBdr>
            </w:div>
            <w:div w:id="20474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93877">
      <w:bodyDiv w:val="1"/>
      <w:marLeft w:val="0"/>
      <w:marRight w:val="0"/>
      <w:marTop w:val="0"/>
      <w:marBottom w:val="0"/>
      <w:divBdr>
        <w:top w:val="none" w:sz="0" w:space="0" w:color="auto"/>
        <w:left w:val="none" w:sz="0" w:space="0" w:color="auto"/>
        <w:bottom w:val="none" w:sz="0" w:space="0" w:color="auto"/>
        <w:right w:val="none" w:sz="0" w:space="0" w:color="auto"/>
      </w:divBdr>
    </w:div>
    <w:div w:id="2053574184">
      <w:bodyDiv w:val="1"/>
      <w:marLeft w:val="0"/>
      <w:marRight w:val="0"/>
      <w:marTop w:val="0"/>
      <w:marBottom w:val="0"/>
      <w:divBdr>
        <w:top w:val="none" w:sz="0" w:space="0" w:color="auto"/>
        <w:left w:val="none" w:sz="0" w:space="0" w:color="auto"/>
        <w:bottom w:val="none" w:sz="0" w:space="0" w:color="auto"/>
        <w:right w:val="none" w:sz="0" w:space="0" w:color="auto"/>
      </w:divBdr>
    </w:div>
    <w:div w:id="2054621389">
      <w:bodyDiv w:val="1"/>
      <w:marLeft w:val="0"/>
      <w:marRight w:val="0"/>
      <w:marTop w:val="0"/>
      <w:marBottom w:val="0"/>
      <w:divBdr>
        <w:top w:val="none" w:sz="0" w:space="0" w:color="auto"/>
        <w:left w:val="none" w:sz="0" w:space="0" w:color="auto"/>
        <w:bottom w:val="none" w:sz="0" w:space="0" w:color="auto"/>
        <w:right w:val="none" w:sz="0" w:space="0" w:color="auto"/>
      </w:divBdr>
    </w:div>
    <w:div w:id="2055227022">
      <w:bodyDiv w:val="1"/>
      <w:marLeft w:val="0"/>
      <w:marRight w:val="0"/>
      <w:marTop w:val="0"/>
      <w:marBottom w:val="0"/>
      <w:divBdr>
        <w:top w:val="none" w:sz="0" w:space="0" w:color="auto"/>
        <w:left w:val="none" w:sz="0" w:space="0" w:color="auto"/>
        <w:bottom w:val="none" w:sz="0" w:space="0" w:color="auto"/>
        <w:right w:val="none" w:sz="0" w:space="0" w:color="auto"/>
      </w:divBdr>
    </w:div>
    <w:div w:id="2067602240">
      <w:bodyDiv w:val="1"/>
      <w:marLeft w:val="0"/>
      <w:marRight w:val="0"/>
      <w:marTop w:val="0"/>
      <w:marBottom w:val="0"/>
      <w:divBdr>
        <w:top w:val="none" w:sz="0" w:space="0" w:color="auto"/>
        <w:left w:val="none" w:sz="0" w:space="0" w:color="auto"/>
        <w:bottom w:val="none" w:sz="0" w:space="0" w:color="auto"/>
        <w:right w:val="none" w:sz="0" w:space="0" w:color="auto"/>
      </w:divBdr>
    </w:div>
    <w:div w:id="2070375712">
      <w:bodyDiv w:val="1"/>
      <w:marLeft w:val="0"/>
      <w:marRight w:val="0"/>
      <w:marTop w:val="0"/>
      <w:marBottom w:val="0"/>
      <w:divBdr>
        <w:top w:val="none" w:sz="0" w:space="0" w:color="auto"/>
        <w:left w:val="none" w:sz="0" w:space="0" w:color="auto"/>
        <w:bottom w:val="none" w:sz="0" w:space="0" w:color="auto"/>
        <w:right w:val="none" w:sz="0" w:space="0" w:color="auto"/>
      </w:divBdr>
    </w:div>
    <w:div w:id="2070567744">
      <w:bodyDiv w:val="1"/>
      <w:marLeft w:val="0"/>
      <w:marRight w:val="0"/>
      <w:marTop w:val="0"/>
      <w:marBottom w:val="0"/>
      <w:divBdr>
        <w:top w:val="none" w:sz="0" w:space="0" w:color="auto"/>
        <w:left w:val="none" w:sz="0" w:space="0" w:color="auto"/>
        <w:bottom w:val="none" w:sz="0" w:space="0" w:color="auto"/>
        <w:right w:val="none" w:sz="0" w:space="0" w:color="auto"/>
      </w:divBdr>
    </w:div>
    <w:div w:id="2074308471">
      <w:bodyDiv w:val="1"/>
      <w:marLeft w:val="0"/>
      <w:marRight w:val="0"/>
      <w:marTop w:val="0"/>
      <w:marBottom w:val="0"/>
      <w:divBdr>
        <w:top w:val="none" w:sz="0" w:space="0" w:color="auto"/>
        <w:left w:val="none" w:sz="0" w:space="0" w:color="auto"/>
        <w:bottom w:val="none" w:sz="0" w:space="0" w:color="auto"/>
        <w:right w:val="none" w:sz="0" w:space="0" w:color="auto"/>
      </w:divBdr>
    </w:div>
    <w:div w:id="2075351353">
      <w:bodyDiv w:val="1"/>
      <w:marLeft w:val="0"/>
      <w:marRight w:val="0"/>
      <w:marTop w:val="0"/>
      <w:marBottom w:val="0"/>
      <w:divBdr>
        <w:top w:val="none" w:sz="0" w:space="0" w:color="auto"/>
        <w:left w:val="none" w:sz="0" w:space="0" w:color="auto"/>
        <w:bottom w:val="none" w:sz="0" w:space="0" w:color="auto"/>
        <w:right w:val="none" w:sz="0" w:space="0" w:color="auto"/>
      </w:divBdr>
    </w:div>
    <w:div w:id="2082635319">
      <w:bodyDiv w:val="1"/>
      <w:marLeft w:val="0"/>
      <w:marRight w:val="0"/>
      <w:marTop w:val="0"/>
      <w:marBottom w:val="0"/>
      <w:divBdr>
        <w:top w:val="none" w:sz="0" w:space="0" w:color="auto"/>
        <w:left w:val="none" w:sz="0" w:space="0" w:color="auto"/>
        <w:bottom w:val="none" w:sz="0" w:space="0" w:color="auto"/>
        <w:right w:val="none" w:sz="0" w:space="0" w:color="auto"/>
      </w:divBdr>
    </w:div>
    <w:div w:id="2088766124">
      <w:bodyDiv w:val="1"/>
      <w:marLeft w:val="0"/>
      <w:marRight w:val="0"/>
      <w:marTop w:val="0"/>
      <w:marBottom w:val="0"/>
      <w:divBdr>
        <w:top w:val="none" w:sz="0" w:space="0" w:color="auto"/>
        <w:left w:val="none" w:sz="0" w:space="0" w:color="auto"/>
        <w:bottom w:val="none" w:sz="0" w:space="0" w:color="auto"/>
        <w:right w:val="none" w:sz="0" w:space="0" w:color="auto"/>
      </w:divBdr>
    </w:div>
    <w:div w:id="2090812198">
      <w:bodyDiv w:val="1"/>
      <w:marLeft w:val="0"/>
      <w:marRight w:val="0"/>
      <w:marTop w:val="0"/>
      <w:marBottom w:val="0"/>
      <w:divBdr>
        <w:top w:val="none" w:sz="0" w:space="0" w:color="auto"/>
        <w:left w:val="none" w:sz="0" w:space="0" w:color="auto"/>
        <w:bottom w:val="none" w:sz="0" w:space="0" w:color="auto"/>
        <w:right w:val="none" w:sz="0" w:space="0" w:color="auto"/>
      </w:divBdr>
    </w:div>
    <w:div w:id="2091386562">
      <w:bodyDiv w:val="1"/>
      <w:marLeft w:val="0"/>
      <w:marRight w:val="0"/>
      <w:marTop w:val="0"/>
      <w:marBottom w:val="0"/>
      <w:divBdr>
        <w:top w:val="none" w:sz="0" w:space="0" w:color="auto"/>
        <w:left w:val="none" w:sz="0" w:space="0" w:color="auto"/>
        <w:bottom w:val="none" w:sz="0" w:space="0" w:color="auto"/>
        <w:right w:val="none" w:sz="0" w:space="0" w:color="auto"/>
      </w:divBdr>
    </w:div>
    <w:div w:id="2093238756">
      <w:bodyDiv w:val="1"/>
      <w:marLeft w:val="0"/>
      <w:marRight w:val="0"/>
      <w:marTop w:val="0"/>
      <w:marBottom w:val="0"/>
      <w:divBdr>
        <w:top w:val="none" w:sz="0" w:space="0" w:color="auto"/>
        <w:left w:val="none" w:sz="0" w:space="0" w:color="auto"/>
        <w:bottom w:val="none" w:sz="0" w:space="0" w:color="auto"/>
        <w:right w:val="none" w:sz="0" w:space="0" w:color="auto"/>
      </w:divBdr>
    </w:div>
    <w:div w:id="2094156346">
      <w:bodyDiv w:val="1"/>
      <w:marLeft w:val="0"/>
      <w:marRight w:val="0"/>
      <w:marTop w:val="0"/>
      <w:marBottom w:val="0"/>
      <w:divBdr>
        <w:top w:val="none" w:sz="0" w:space="0" w:color="auto"/>
        <w:left w:val="none" w:sz="0" w:space="0" w:color="auto"/>
        <w:bottom w:val="none" w:sz="0" w:space="0" w:color="auto"/>
        <w:right w:val="none" w:sz="0" w:space="0" w:color="auto"/>
      </w:divBdr>
    </w:div>
    <w:div w:id="2097825692">
      <w:bodyDiv w:val="1"/>
      <w:marLeft w:val="0"/>
      <w:marRight w:val="0"/>
      <w:marTop w:val="0"/>
      <w:marBottom w:val="0"/>
      <w:divBdr>
        <w:top w:val="none" w:sz="0" w:space="0" w:color="auto"/>
        <w:left w:val="none" w:sz="0" w:space="0" w:color="auto"/>
        <w:bottom w:val="none" w:sz="0" w:space="0" w:color="auto"/>
        <w:right w:val="none" w:sz="0" w:space="0" w:color="auto"/>
      </w:divBdr>
    </w:div>
    <w:div w:id="2104494900">
      <w:bodyDiv w:val="1"/>
      <w:marLeft w:val="0"/>
      <w:marRight w:val="0"/>
      <w:marTop w:val="0"/>
      <w:marBottom w:val="0"/>
      <w:divBdr>
        <w:top w:val="none" w:sz="0" w:space="0" w:color="auto"/>
        <w:left w:val="none" w:sz="0" w:space="0" w:color="auto"/>
        <w:bottom w:val="none" w:sz="0" w:space="0" w:color="auto"/>
        <w:right w:val="none" w:sz="0" w:space="0" w:color="auto"/>
      </w:divBdr>
    </w:div>
    <w:div w:id="2106610318">
      <w:bodyDiv w:val="1"/>
      <w:marLeft w:val="0"/>
      <w:marRight w:val="0"/>
      <w:marTop w:val="0"/>
      <w:marBottom w:val="0"/>
      <w:divBdr>
        <w:top w:val="none" w:sz="0" w:space="0" w:color="auto"/>
        <w:left w:val="none" w:sz="0" w:space="0" w:color="auto"/>
        <w:bottom w:val="none" w:sz="0" w:space="0" w:color="auto"/>
        <w:right w:val="none" w:sz="0" w:space="0" w:color="auto"/>
      </w:divBdr>
    </w:div>
    <w:div w:id="2108842118">
      <w:bodyDiv w:val="1"/>
      <w:marLeft w:val="0"/>
      <w:marRight w:val="0"/>
      <w:marTop w:val="0"/>
      <w:marBottom w:val="0"/>
      <w:divBdr>
        <w:top w:val="none" w:sz="0" w:space="0" w:color="auto"/>
        <w:left w:val="none" w:sz="0" w:space="0" w:color="auto"/>
        <w:bottom w:val="none" w:sz="0" w:space="0" w:color="auto"/>
        <w:right w:val="none" w:sz="0" w:space="0" w:color="auto"/>
      </w:divBdr>
    </w:div>
    <w:div w:id="2110854725">
      <w:bodyDiv w:val="1"/>
      <w:marLeft w:val="0"/>
      <w:marRight w:val="0"/>
      <w:marTop w:val="0"/>
      <w:marBottom w:val="0"/>
      <w:divBdr>
        <w:top w:val="none" w:sz="0" w:space="0" w:color="auto"/>
        <w:left w:val="none" w:sz="0" w:space="0" w:color="auto"/>
        <w:bottom w:val="none" w:sz="0" w:space="0" w:color="auto"/>
        <w:right w:val="none" w:sz="0" w:space="0" w:color="auto"/>
      </w:divBdr>
    </w:div>
    <w:div w:id="2111000310">
      <w:bodyDiv w:val="1"/>
      <w:marLeft w:val="0"/>
      <w:marRight w:val="0"/>
      <w:marTop w:val="0"/>
      <w:marBottom w:val="0"/>
      <w:divBdr>
        <w:top w:val="none" w:sz="0" w:space="0" w:color="auto"/>
        <w:left w:val="none" w:sz="0" w:space="0" w:color="auto"/>
        <w:bottom w:val="none" w:sz="0" w:space="0" w:color="auto"/>
        <w:right w:val="none" w:sz="0" w:space="0" w:color="auto"/>
      </w:divBdr>
    </w:div>
    <w:div w:id="2112358879">
      <w:bodyDiv w:val="1"/>
      <w:marLeft w:val="0"/>
      <w:marRight w:val="0"/>
      <w:marTop w:val="0"/>
      <w:marBottom w:val="0"/>
      <w:divBdr>
        <w:top w:val="none" w:sz="0" w:space="0" w:color="auto"/>
        <w:left w:val="none" w:sz="0" w:space="0" w:color="auto"/>
        <w:bottom w:val="none" w:sz="0" w:space="0" w:color="auto"/>
        <w:right w:val="none" w:sz="0" w:space="0" w:color="auto"/>
      </w:divBdr>
    </w:div>
    <w:div w:id="2116056781">
      <w:bodyDiv w:val="1"/>
      <w:marLeft w:val="0"/>
      <w:marRight w:val="0"/>
      <w:marTop w:val="0"/>
      <w:marBottom w:val="0"/>
      <w:divBdr>
        <w:top w:val="none" w:sz="0" w:space="0" w:color="auto"/>
        <w:left w:val="none" w:sz="0" w:space="0" w:color="auto"/>
        <w:bottom w:val="none" w:sz="0" w:space="0" w:color="auto"/>
        <w:right w:val="none" w:sz="0" w:space="0" w:color="auto"/>
      </w:divBdr>
    </w:div>
    <w:div w:id="2120445850">
      <w:bodyDiv w:val="1"/>
      <w:marLeft w:val="0"/>
      <w:marRight w:val="0"/>
      <w:marTop w:val="0"/>
      <w:marBottom w:val="0"/>
      <w:divBdr>
        <w:top w:val="none" w:sz="0" w:space="0" w:color="auto"/>
        <w:left w:val="none" w:sz="0" w:space="0" w:color="auto"/>
        <w:bottom w:val="none" w:sz="0" w:space="0" w:color="auto"/>
        <w:right w:val="none" w:sz="0" w:space="0" w:color="auto"/>
      </w:divBdr>
    </w:div>
    <w:div w:id="2121795660">
      <w:bodyDiv w:val="1"/>
      <w:marLeft w:val="0"/>
      <w:marRight w:val="0"/>
      <w:marTop w:val="0"/>
      <w:marBottom w:val="0"/>
      <w:divBdr>
        <w:top w:val="none" w:sz="0" w:space="0" w:color="auto"/>
        <w:left w:val="none" w:sz="0" w:space="0" w:color="auto"/>
        <w:bottom w:val="none" w:sz="0" w:space="0" w:color="auto"/>
        <w:right w:val="none" w:sz="0" w:space="0" w:color="auto"/>
      </w:divBdr>
    </w:div>
    <w:div w:id="2128085033">
      <w:bodyDiv w:val="1"/>
      <w:marLeft w:val="0"/>
      <w:marRight w:val="0"/>
      <w:marTop w:val="0"/>
      <w:marBottom w:val="0"/>
      <w:divBdr>
        <w:top w:val="none" w:sz="0" w:space="0" w:color="auto"/>
        <w:left w:val="none" w:sz="0" w:space="0" w:color="auto"/>
        <w:bottom w:val="none" w:sz="0" w:space="0" w:color="auto"/>
        <w:right w:val="none" w:sz="0" w:space="0" w:color="auto"/>
      </w:divBdr>
    </w:div>
    <w:div w:id="2129464970">
      <w:bodyDiv w:val="1"/>
      <w:marLeft w:val="0"/>
      <w:marRight w:val="0"/>
      <w:marTop w:val="0"/>
      <w:marBottom w:val="0"/>
      <w:divBdr>
        <w:top w:val="none" w:sz="0" w:space="0" w:color="auto"/>
        <w:left w:val="none" w:sz="0" w:space="0" w:color="auto"/>
        <w:bottom w:val="none" w:sz="0" w:space="0" w:color="auto"/>
        <w:right w:val="none" w:sz="0" w:space="0" w:color="auto"/>
      </w:divBdr>
    </w:div>
    <w:div w:id="2135709466">
      <w:bodyDiv w:val="1"/>
      <w:marLeft w:val="0"/>
      <w:marRight w:val="0"/>
      <w:marTop w:val="0"/>
      <w:marBottom w:val="0"/>
      <w:divBdr>
        <w:top w:val="none" w:sz="0" w:space="0" w:color="auto"/>
        <w:left w:val="none" w:sz="0" w:space="0" w:color="auto"/>
        <w:bottom w:val="none" w:sz="0" w:space="0" w:color="auto"/>
        <w:right w:val="none" w:sz="0" w:space="0" w:color="auto"/>
      </w:divBdr>
    </w:div>
    <w:div w:id="2139253858">
      <w:bodyDiv w:val="1"/>
      <w:marLeft w:val="0"/>
      <w:marRight w:val="0"/>
      <w:marTop w:val="0"/>
      <w:marBottom w:val="0"/>
      <w:divBdr>
        <w:top w:val="none" w:sz="0" w:space="0" w:color="auto"/>
        <w:left w:val="none" w:sz="0" w:space="0" w:color="auto"/>
        <w:bottom w:val="none" w:sz="0" w:space="0" w:color="auto"/>
        <w:right w:val="none" w:sz="0" w:space="0" w:color="auto"/>
      </w:divBdr>
    </w:div>
    <w:div w:id="2141342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5.xml"/><Relationship Id="rId21" Type="http://schemas.openxmlformats.org/officeDocument/2006/relationships/header" Target="header6.xml"/><Relationship Id="rId42" Type="http://schemas.openxmlformats.org/officeDocument/2006/relationships/hyperlink" Target="https://ec.europa.eu/epale/sl/home-page" TargetMode="External"/><Relationship Id="rId63" Type="http://schemas.openxmlformats.org/officeDocument/2006/relationships/header" Target="header14.xml"/><Relationship Id="rId84" Type="http://schemas.openxmlformats.org/officeDocument/2006/relationships/header" Target="header26.xml"/><Relationship Id="rId138" Type="http://schemas.openxmlformats.org/officeDocument/2006/relationships/header" Target="header64.xml"/><Relationship Id="rId159" Type="http://schemas.openxmlformats.org/officeDocument/2006/relationships/hyperlink" Target="http://ec.europa.eu/programmes/erasmus-plus/contact_sl" TargetMode="External"/><Relationship Id="rId170" Type="http://schemas.openxmlformats.org/officeDocument/2006/relationships/hyperlink" Target="http://www.etwinning.net/sl/pub/index.htm" TargetMode="External"/><Relationship Id="rId191" Type="http://schemas.openxmlformats.org/officeDocument/2006/relationships/header" Target="header86.xml"/><Relationship Id="rId205" Type="http://schemas.openxmlformats.org/officeDocument/2006/relationships/hyperlink" Target="http://ec.europa.eu/education/policy/vocational-policy/ecvet_en.htm" TargetMode="External"/><Relationship Id="rId226" Type="http://schemas.openxmlformats.org/officeDocument/2006/relationships/hyperlink" Target="http://eacea.ec.europa.eu/index_en.php" TargetMode="External"/><Relationship Id="rId107" Type="http://schemas.openxmlformats.org/officeDocument/2006/relationships/header" Target="header41.xml"/><Relationship Id="rId11" Type="http://schemas.openxmlformats.org/officeDocument/2006/relationships/footer" Target="footer1.xml"/><Relationship Id="rId32" Type="http://schemas.openxmlformats.org/officeDocument/2006/relationships/hyperlink" Target="https://ec.europa.eu/programmes/erasmus-plus/resources/documents/annual-work-programmes_en" TargetMode="External"/><Relationship Id="rId53" Type="http://schemas.openxmlformats.org/officeDocument/2006/relationships/hyperlink" Target="http://www.salto-et.net" TargetMode="External"/><Relationship Id="rId74" Type="http://schemas.openxmlformats.org/officeDocument/2006/relationships/header" Target="header22.xml"/><Relationship Id="rId128" Type="http://schemas.openxmlformats.org/officeDocument/2006/relationships/header" Target="header56.xml"/><Relationship Id="rId149" Type="http://schemas.openxmlformats.org/officeDocument/2006/relationships/header" Target="header69.xml"/><Relationship Id="rId5" Type="http://schemas.openxmlformats.org/officeDocument/2006/relationships/settings" Target="settings.xml"/><Relationship Id="rId95" Type="http://schemas.openxmlformats.org/officeDocument/2006/relationships/hyperlink" Target="https://ec.europa.eu/programmes/erasmus-plus/" TargetMode="External"/><Relationship Id="rId160" Type="http://schemas.openxmlformats.org/officeDocument/2006/relationships/header" Target="header72.xml"/><Relationship Id="rId181" Type="http://schemas.openxmlformats.org/officeDocument/2006/relationships/hyperlink" Target="https://ec.europa.eu/programmes/erasmus-plus/" TargetMode="External"/><Relationship Id="rId216" Type="http://schemas.openxmlformats.org/officeDocument/2006/relationships/hyperlink" Target="http://ec.europa.eu/sport/library/index_en.htm" TargetMode="External"/><Relationship Id="rId22" Type="http://schemas.openxmlformats.org/officeDocument/2006/relationships/hyperlink" Target="http://ec.europa.eu/education/policy/strategic-framework/skills-qualifications_sl" TargetMode="External"/><Relationship Id="rId27" Type="http://schemas.openxmlformats.org/officeDocument/2006/relationships/hyperlink" Target="http://ec.europa.eu/social/main.jsp?catId=559&amp;amp;langId=sl" TargetMode="External"/><Relationship Id="rId43" Type="http://schemas.openxmlformats.org/officeDocument/2006/relationships/hyperlink" Target="https://europa.eu/youth/erasmusvirtual" TargetMode="External"/><Relationship Id="rId48" Type="http://schemas.openxmlformats.org/officeDocument/2006/relationships/hyperlink" Target="http://www.eqavet.eu/" TargetMode="External"/><Relationship Id="rId64" Type="http://schemas.openxmlformats.org/officeDocument/2006/relationships/header" Target="header15.xml"/><Relationship Id="rId69" Type="http://schemas.openxmlformats.org/officeDocument/2006/relationships/hyperlink" Target="https://ec.europa.eu/programmes/erasmus-plus/" TargetMode="External"/><Relationship Id="rId113" Type="http://schemas.openxmlformats.org/officeDocument/2006/relationships/hyperlink" Target="https://ec.europa.eu/programmes/erasmus-plus/programme-guide/part-b/three-key-actions/jean-monnet-activities/support-to-associations" TargetMode="External"/><Relationship Id="rId118" Type="http://schemas.openxmlformats.org/officeDocument/2006/relationships/header" Target="header46.xml"/><Relationship Id="rId134" Type="http://schemas.openxmlformats.org/officeDocument/2006/relationships/header" Target="header60.xml"/><Relationship Id="rId139" Type="http://schemas.openxmlformats.org/officeDocument/2006/relationships/header" Target="header65.xml"/><Relationship Id="rId80" Type="http://schemas.openxmlformats.org/officeDocument/2006/relationships/hyperlink" Target="https://ec.europa.eu/programmes/erasmus-plus/" TargetMode="External"/><Relationship Id="rId85" Type="http://schemas.openxmlformats.org/officeDocument/2006/relationships/header" Target="header27.xml"/><Relationship Id="rId150" Type="http://schemas.openxmlformats.org/officeDocument/2006/relationships/header" Target="header70.xml"/><Relationship Id="rId155" Type="http://schemas.openxmlformats.org/officeDocument/2006/relationships/hyperlink" Target="https://ec.europa.eu/programmes/erasmus-plus/resources/documents/erasmus-charter-higher-education-monitoring-guide_en" TargetMode="External"/><Relationship Id="rId171" Type="http://schemas.openxmlformats.org/officeDocument/2006/relationships/hyperlink" Target="http://europass.cedefop.europa.eu/sl" TargetMode="External"/><Relationship Id="rId176" Type="http://schemas.openxmlformats.org/officeDocument/2006/relationships/header" Target="header79.xml"/><Relationship Id="rId192" Type="http://schemas.openxmlformats.org/officeDocument/2006/relationships/header" Target="header87.xml"/><Relationship Id="rId197" Type="http://schemas.openxmlformats.org/officeDocument/2006/relationships/header" Target="header89.xml"/><Relationship Id="rId206" Type="http://schemas.openxmlformats.org/officeDocument/2006/relationships/hyperlink" Target="http://www.ecvet-secretariat.eu" TargetMode="External"/><Relationship Id="rId227" Type="http://schemas.openxmlformats.org/officeDocument/2006/relationships/hyperlink" Target="http://ec.europa.eu/programmes/erasmus-plus/contact_sl" TargetMode="External"/><Relationship Id="rId201" Type="http://schemas.openxmlformats.org/officeDocument/2006/relationships/hyperlink" Target="https://en.unesco.org/" TargetMode="External"/><Relationship Id="rId222" Type="http://schemas.openxmlformats.org/officeDocument/2006/relationships/hyperlink" Target="http://ec.europa.eu/education/brugecomm/" TargetMode="External"/><Relationship Id="rId12" Type="http://schemas.openxmlformats.org/officeDocument/2006/relationships/footer" Target="footer2.xml"/><Relationship Id="rId17" Type="http://schemas.openxmlformats.org/officeDocument/2006/relationships/hyperlink" Target="https://ec.europa.eu/programmes/erasmus-plus/programme-guide/annexes/annex-iii_sl" TargetMode="External"/><Relationship Id="rId33" Type="http://schemas.openxmlformats.org/officeDocument/2006/relationships/header" Target="header9.xml"/><Relationship Id="rId38" Type="http://schemas.openxmlformats.org/officeDocument/2006/relationships/header" Target="header10.xml"/><Relationship Id="rId59" Type="http://schemas.openxmlformats.org/officeDocument/2006/relationships/header" Target="header11.xml"/><Relationship Id="rId103" Type="http://schemas.openxmlformats.org/officeDocument/2006/relationships/header" Target="header37.xml"/><Relationship Id="rId108" Type="http://schemas.openxmlformats.org/officeDocument/2006/relationships/header" Target="header42.xml"/><Relationship Id="rId124" Type="http://schemas.openxmlformats.org/officeDocument/2006/relationships/header" Target="header52.xml"/><Relationship Id="rId129" Type="http://schemas.openxmlformats.org/officeDocument/2006/relationships/header" Target="header57.xml"/><Relationship Id="rId54" Type="http://schemas.openxmlformats.org/officeDocument/2006/relationships/hyperlink" Target="http://www.salto-youth.net/otlas" TargetMode="External"/><Relationship Id="rId70" Type="http://schemas.openxmlformats.org/officeDocument/2006/relationships/header" Target="header18.xml"/><Relationship Id="rId75" Type="http://schemas.openxmlformats.org/officeDocument/2006/relationships/hyperlink" Target="https://ec.europa.eu/programmes/erasmus-plus/" TargetMode="External"/><Relationship Id="rId91" Type="http://schemas.openxmlformats.org/officeDocument/2006/relationships/hyperlink" Target="https://ec.europa.eu/programmes/erasmus-plus/" TargetMode="External"/><Relationship Id="rId96" Type="http://schemas.openxmlformats.org/officeDocument/2006/relationships/header" Target="header34.xml"/><Relationship Id="rId140" Type="http://schemas.openxmlformats.org/officeDocument/2006/relationships/hyperlink" Target="https://webgate.ec.europa.eu/cas/" TargetMode="External"/><Relationship Id="rId145" Type="http://schemas.openxmlformats.org/officeDocument/2006/relationships/hyperlink" Target="http://ec.europa.eu/budget/contracts_grants/info_contracts/financial_id/financial_id_en.cfm" TargetMode="External"/><Relationship Id="rId161" Type="http://schemas.openxmlformats.org/officeDocument/2006/relationships/header" Target="header73.xml"/><Relationship Id="rId166" Type="http://schemas.openxmlformats.org/officeDocument/2006/relationships/header" Target="header74.xml"/><Relationship Id="rId182" Type="http://schemas.openxmlformats.org/officeDocument/2006/relationships/hyperlink" Target="https://www.youthpass.eu/sl" TargetMode="External"/><Relationship Id="rId187" Type="http://schemas.openxmlformats.org/officeDocument/2006/relationships/hyperlink" Target="https://ec.europa.eu/programmes/erasmus-plus/" TargetMode="External"/><Relationship Id="rId217" Type="http://schemas.openxmlformats.org/officeDocument/2006/relationships/hyperlink" Target="http://ec.europa.eu/education/policy/higher-education/index_en.htm"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ec.europa.eu/education/policy/adult-learning/index_en.htm" TargetMode="External"/><Relationship Id="rId23" Type="http://schemas.openxmlformats.org/officeDocument/2006/relationships/hyperlink" Target="http://erasmusplusols.eu/sl/" TargetMode="External"/><Relationship Id="rId28" Type="http://schemas.openxmlformats.org/officeDocument/2006/relationships/hyperlink" Target="http://ec.europa.eu/social/main.jsp?catId=559&amp;amp;langId=sl" TargetMode="External"/><Relationship Id="rId49" Type="http://schemas.openxmlformats.org/officeDocument/2006/relationships/hyperlink" Target="http://www.enic-naric.net/" TargetMode="External"/><Relationship Id="rId114" Type="http://schemas.openxmlformats.org/officeDocument/2006/relationships/hyperlink" Target="https://ec.europa.eu/programmes/erasmus-plus/programme-guide/part-b/three-key-actions/jean-monnet-activities/networks" TargetMode="External"/><Relationship Id="rId119" Type="http://schemas.openxmlformats.org/officeDocument/2006/relationships/header" Target="header47.xml"/><Relationship Id="rId44" Type="http://schemas.openxmlformats.org/officeDocument/2006/relationships/hyperlink" Target="http://euroguidance.eu/" TargetMode="External"/><Relationship Id="rId60" Type="http://schemas.openxmlformats.org/officeDocument/2006/relationships/hyperlink" Target="http://ec.europa.eu/immigration/tab2.do?subSec=11&amp;amp;language=7%24en" TargetMode="External"/><Relationship Id="rId65" Type="http://schemas.openxmlformats.org/officeDocument/2006/relationships/header" Target="header16.xml"/><Relationship Id="rId81" Type="http://schemas.openxmlformats.org/officeDocument/2006/relationships/header" Target="header25.xml"/><Relationship Id="rId86" Type="http://schemas.openxmlformats.org/officeDocument/2006/relationships/header" Target="header28.xml"/><Relationship Id="rId130" Type="http://schemas.openxmlformats.org/officeDocument/2006/relationships/header" Target="header58.xml"/><Relationship Id="rId135" Type="http://schemas.openxmlformats.org/officeDocument/2006/relationships/header" Target="header61.xml"/><Relationship Id="rId151" Type="http://schemas.openxmlformats.org/officeDocument/2006/relationships/header" Target="header71.xml"/><Relationship Id="rId156" Type="http://schemas.openxmlformats.org/officeDocument/2006/relationships/hyperlink" Target="https://ec.europa.eu/programmes/erasmus-plus/resources/documents/applicants/inter-institutional-agreement_en" TargetMode="External"/><Relationship Id="rId177" Type="http://schemas.openxmlformats.org/officeDocument/2006/relationships/header" Target="header80.xml"/><Relationship Id="rId198" Type="http://schemas.openxmlformats.org/officeDocument/2006/relationships/hyperlink" Target="http://ec.europa.eu/eurostat/statistics-explained/index.php?title=Europe_2020_indicators_-_education&amp;oldid=301033%20" TargetMode="External"/><Relationship Id="rId172" Type="http://schemas.openxmlformats.org/officeDocument/2006/relationships/header" Target="header76.xml"/><Relationship Id="rId193" Type="http://schemas.openxmlformats.org/officeDocument/2006/relationships/header" Target="header88.xml"/><Relationship Id="rId202" Type="http://schemas.openxmlformats.org/officeDocument/2006/relationships/hyperlink" Target="http://www.uis.unesco.org/Pages/default.aspx" TargetMode="External"/><Relationship Id="rId207" Type="http://schemas.openxmlformats.org/officeDocument/2006/relationships/hyperlink" Target="http://ec.europa.eu/DocsRoom/documents/7465/attachments/1/translations/en/renditions/native&amp;usg=AFQjCNEAZENuwg06uXIDQR_CK8zmSko5Lw&amp;sig2=kjtnBVqQOeVNEhNWeBUSrw&amp;cad=rja" TargetMode="External"/><Relationship Id="rId223" Type="http://schemas.openxmlformats.org/officeDocument/2006/relationships/hyperlink" Target="http://ec.europa.eu/DocsRoom/documents/9269/attachments/1/translations/en/renditions/native" TargetMode="External"/><Relationship Id="rId228" Type="http://schemas.openxmlformats.org/officeDocument/2006/relationships/header" Target="header90.xml"/><Relationship Id="rId13" Type="http://schemas.openxmlformats.org/officeDocument/2006/relationships/header" Target="header3.xml"/><Relationship Id="rId18" Type="http://schemas.openxmlformats.org/officeDocument/2006/relationships/hyperlink" Target="https://ec.europa.eu/programmes/erasmus-plus/programme-guide/annexes/annex-iv_sl" TargetMode="External"/><Relationship Id="rId39" Type="http://schemas.openxmlformats.org/officeDocument/2006/relationships/hyperlink" Target="https://www.schooleducationgateway.eu/sl/pub/index.htm" TargetMode="External"/><Relationship Id="rId109" Type="http://schemas.openxmlformats.org/officeDocument/2006/relationships/header" Target="header43.xml"/><Relationship Id="rId34" Type="http://schemas.openxmlformats.org/officeDocument/2006/relationships/hyperlink" Target="https://ec.europa.eu/programmes/erasmus-plus/programme-guide/part-a/who-implements-the-programme/the-european-commission_sl" TargetMode="External"/><Relationship Id="rId50" Type="http://schemas.openxmlformats.org/officeDocument/2006/relationships/hyperlink" Target="http://www.ecvet-secretariat.eu/" TargetMode="External"/><Relationship Id="rId55" Type="http://schemas.openxmlformats.org/officeDocument/2006/relationships/hyperlink" Target="http://www.otlas.eu" TargetMode="External"/><Relationship Id="rId76" Type="http://schemas.openxmlformats.org/officeDocument/2006/relationships/hyperlink" Target="https://ec.europa.eu/programmes/erasmus-plus/" TargetMode="External"/><Relationship Id="rId97" Type="http://schemas.openxmlformats.org/officeDocument/2006/relationships/hyperlink" Target="https://ec.europa.eu/programmes/erasmus-plus/" TargetMode="External"/><Relationship Id="rId104" Type="http://schemas.openxmlformats.org/officeDocument/2006/relationships/header" Target="header38.xml"/><Relationship Id="rId120" Type="http://schemas.openxmlformats.org/officeDocument/2006/relationships/header" Target="header48.xml"/><Relationship Id="rId125" Type="http://schemas.openxmlformats.org/officeDocument/2006/relationships/header" Target="header53.xml"/><Relationship Id="rId141" Type="http://schemas.openxmlformats.org/officeDocument/2006/relationships/hyperlink" Target="https://ec.europa.eu/info/funding-tenders/opportunities/portal/screen/home%20" TargetMode="External"/><Relationship Id="rId146" Type="http://schemas.openxmlformats.org/officeDocument/2006/relationships/header" Target="header66.xml"/><Relationship Id="rId167" Type="http://schemas.openxmlformats.org/officeDocument/2006/relationships/header" Target="header75.xml"/><Relationship Id="rId188" Type="http://schemas.openxmlformats.org/officeDocument/2006/relationships/header" Target="header83.xml"/><Relationship Id="rId7" Type="http://schemas.openxmlformats.org/officeDocument/2006/relationships/footnotes" Target="footnotes.xml"/><Relationship Id="rId71" Type="http://schemas.openxmlformats.org/officeDocument/2006/relationships/header" Target="header19.xml"/><Relationship Id="rId92" Type="http://schemas.openxmlformats.org/officeDocument/2006/relationships/header" Target="header32.xml"/><Relationship Id="rId162" Type="http://schemas.openxmlformats.org/officeDocument/2006/relationships/hyperlink" Target="http://europa.eu/legislation_summaries/education_training_youth/lifelong_learning/c11085_en.htm" TargetMode="External"/><Relationship Id="rId183" Type="http://schemas.openxmlformats.org/officeDocument/2006/relationships/header" Target="header81.xml"/><Relationship Id="rId213" Type="http://schemas.openxmlformats.org/officeDocument/2006/relationships/hyperlink" Target="http://ec.europa.eu/education/policy/strategic-framework/indicators-benchmarks_en.htm" TargetMode="External"/><Relationship Id="rId218" Type="http://schemas.openxmlformats.org/officeDocument/2006/relationships/hyperlink" Target="http://ec.europa.eu/education/newtech/" TargetMode="Externa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yperlink" Target="http://erasmusplusols.eu/sl/" TargetMode="External"/><Relationship Id="rId40" Type="http://schemas.openxmlformats.org/officeDocument/2006/relationships/hyperlink" Target="http://www.schooleducationgateway.eu/sl/pub/index.htm" TargetMode="External"/><Relationship Id="rId45" Type="http://schemas.openxmlformats.org/officeDocument/2006/relationships/hyperlink" Target="http://euroguidance.eu/" TargetMode="External"/><Relationship Id="rId66" Type="http://schemas.openxmlformats.org/officeDocument/2006/relationships/header" Target="header17.xml"/><Relationship Id="rId87" Type="http://schemas.openxmlformats.org/officeDocument/2006/relationships/header" Target="header29.xml"/><Relationship Id="rId110" Type="http://schemas.openxmlformats.org/officeDocument/2006/relationships/hyperlink" Target="https://ec.europa.eu/programmes/erasmus-plus/programme-guide/part-b/three-key-actions/jean-monnet-activities/modules" TargetMode="External"/><Relationship Id="rId115" Type="http://schemas.openxmlformats.org/officeDocument/2006/relationships/hyperlink" Target="https://ec.europa.eu/programmes/erasmus-plus/programme-guide/part-b/three-key-actions/jean-monnet-activities/projects" TargetMode="External"/><Relationship Id="rId131" Type="http://schemas.openxmlformats.org/officeDocument/2006/relationships/header" Target="header59.xml"/><Relationship Id="rId136" Type="http://schemas.openxmlformats.org/officeDocument/2006/relationships/header" Target="header62.xml"/><Relationship Id="rId157" Type="http://schemas.openxmlformats.org/officeDocument/2006/relationships/hyperlink" Target="http://ec.europa.eu/education/opportunities/higher-education/quality-framework_en.htm" TargetMode="External"/><Relationship Id="rId178" Type="http://schemas.openxmlformats.org/officeDocument/2006/relationships/hyperlink" Target="http://ec.europa.eu/social/main.jsp?catId=559" TargetMode="External"/><Relationship Id="rId61" Type="http://schemas.openxmlformats.org/officeDocument/2006/relationships/header" Target="header12.xml"/><Relationship Id="rId82" Type="http://schemas.openxmlformats.org/officeDocument/2006/relationships/hyperlink" Target="https://ec.europa.eu/programmes/erasmus-plus/" TargetMode="External"/><Relationship Id="rId152" Type="http://schemas.openxmlformats.org/officeDocument/2006/relationships/hyperlink" Target="https://eacea.ec.europa.eu/erasmus-plus/funding/erasmus-charter-for-higher-education-2014-2020_en" TargetMode="External"/><Relationship Id="rId173" Type="http://schemas.openxmlformats.org/officeDocument/2006/relationships/hyperlink" Target="http://europass.cedefop.europa.eu/sl" TargetMode="External"/><Relationship Id="rId194" Type="http://schemas.openxmlformats.org/officeDocument/2006/relationships/hyperlink" Target="http://eacea.ec.europa.eu/about-eacea/visual-identity_en" TargetMode="External"/><Relationship Id="rId199" Type="http://schemas.openxmlformats.org/officeDocument/2006/relationships/hyperlink" Target="https://eacea.ec.europa.eu/national-policies/en" TargetMode="External"/><Relationship Id="rId203" Type="http://schemas.openxmlformats.org/officeDocument/2006/relationships/hyperlink" Target="https://publications.europa.eu/s/fouj" TargetMode="External"/><Relationship Id="rId208" Type="http://schemas.openxmlformats.org/officeDocument/2006/relationships/hyperlink" Target="http://ec.europa.eu/epale" TargetMode="External"/><Relationship Id="rId229" Type="http://schemas.openxmlformats.org/officeDocument/2006/relationships/header" Target="header91.xml"/><Relationship Id="rId19" Type="http://schemas.openxmlformats.org/officeDocument/2006/relationships/header" Target="header4.xml"/><Relationship Id="rId224" Type="http://schemas.openxmlformats.org/officeDocument/2006/relationships/hyperlink" Target="https://www.youthpass.eu" TargetMode="External"/><Relationship Id="rId14" Type="http://schemas.openxmlformats.org/officeDocument/2006/relationships/footer" Target="footer3.xml"/><Relationship Id="rId30" Type="http://schemas.openxmlformats.org/officeDocument/2006/relationships/hyperlink" Target="http://ec.europa.eu/budget/explained/management/deciding/deciding_detail/decide_detail_en.cfm" TargetMode="External"/><Relationship Id="rId35" Type="http://schemas.openxmlformats.org/officeDocument/2006/relationships/hyperlink" Target="https://eacea.ec.europa.eu/homepage" TargetMode="External"/><Relationship Id="rId56" Type="http://schemas.openxmlformats.org/officeDocument/2006/relationships/hyperlink" Target="http://europa.eu/youth/eu_sl" TargetMode="External"/><Relationship Id="rId77" Type="http://schemas.openxmlformats.org/officeDocument/2006/relationships/hyperlink" Target="https://ec.europa.eu/programmes/erasmus-plus/" TargetMode="External"/><Relationship Id="rId100" Type="http://schemas.openxmlformats.org/officeDocument/2006/relationships/hyperlink" Target="https://ec.europa.eu/programmes/erasmus-plus/" TargetMode="External"/><Relationship Id="rId105" Type="http://schemas.openxmlformats.org/officeDocument/2006/relationships/header" Target="header39.xml"/><Relationship Id="rId126" Type="http://schemas.openxmlformats.org/officeDocument/2006/relationships/header" Target="header54.xml"/><Relationship Id="rId147" Type="http://schemas.openxmlformats.org/officeDocument/2006/relationships/header" Target="header67.xml"/><Relationship Id="rId168" Type="http://schemas.openxmlformats.org/officeDocument/2006/relationships/hyperlink" Target="http://ec.europa.eu/education/policy/vocational-policy/ecvet_sl.htm" TargetMode="External"/><Relationship Id="rId8" Type="http://schemas.openxmlformats.org/officeDocument/2006/relationships/endnotes" Target="endnotes.xml"/><Relationship Id="rId51" Type="http://schemas.openxmlformats.org/officeDocument/2006/relationships/hyperlink" Target="http://ec.europa.eu/education/policy/vocational-policy/ecvet_sl.htm" TargetMode="External"/><Relationship Id="rId72" Type="http://schemas.openxmlformats.org/officeDocument/2006/relationships/header" Target="header20.xml"/><Relationship Id="rId93" Type="http://schemas.openxmlformats.org/officeDocument/2006/relationships/header" Target="header33.xml"/><Relationship Id="rId98" Type="http://schemas.openxmlformats.org/officeDocument/2006/relationships/hyperlink" Target="https://myintracomm-collab.ec.europa.eu/F:/01-Delo/E4A/20120623/user%20information_staff%20mobility_2012%2006%2023%5B1%5D.doc" TargetMode="External"/><Relationship Id="rId121" Type="http://schemas.openxmlformats.org/officeDocument/2006/relationships/header" Target="header49.xml"/><Relationship Id="rId142" Type="http://schemas.openxmlformats.org/officeDocument/2006/relationships/hyperlink" Target="https://webgate.ec.europa.eu/cas/eim/external/register.cgi" TargetMode="External"/><Relationship Id="rId163" Type="http://schemas.openxmlformats.org/officeDocument/2006/relationships/hyperlink" Target="http://ec.europa.eu/education/policy/vocational-policy/ecvet_sl.htm" TargetMode="External"/><Relationship Id="rId184" Type="http://schemas.openxmlformats.org/officeDocument/2006/relationships/hyperlink" Target="http://eacea.ec.europa.eu/erasmus-plus/library/emjmd-catalogue_en)" TargetMode="External"/><Relationship Id="rId189" Type="http://schemas.openxmlformats.org/officeDocument/2006/relationships/header" Target="header84.xml"/><Relationship Id="rId219" Type="http://schemas.openxmlformats.org/officeDocument/2006/relationships/hyperlink" Target="http://eur-lex.europa.eu/legal-content/EN/ALL/;jsessionid=LLFgTfdd6mZf3Wt4YNhTjyP8vnMcg4RnTT1rQHP2bfT8dWYrdNQC!1965766013?uri=CELEX:52012DC0669" TargetMode="External"/><Relationship Id="rId3" Type="http://schemas.openxmlformats.org/officeDocument/2006/relationships/numbering" Target="numbering.xml"/><Relationship Id="rId214" Type="http://schemas.openxmlformats.org/officeDocument/2006/relationships/hyperlink" Target="http://ec.europa.eu/assets/eac/youth/library/publications/indicator-dashboard_en.pdf" TargetMode="External"/><Relationship Id="rId230" Type="http://schemas.openxmlformats.org/officeDocument/2006/relationships/fontTable" Target="fontTable.xml"/><Relationship Id="rId25" Type="http://schemas.openxmlformats.org/officeDocument/2006/relationships/header" Target="header7.xml"/><Relationship Id="rId46" Type="http://schemas.openxmlformats.org/officeDocument/2006/relationships/hyperlink" Target="http://europass.cedefop.europa.eu/sl/about/national-europass-centres" TargetMode="External"/><Relationship Id="rId67" Type="http://schemas.openxmlformats.org/officeDocument/2006/relationships/hyperlink" Target="https://ec.europa.eu/programmes/erasmus-plus/" TargetMode="External"/><Relationship Id="rId116" Type="http://schemas.openxmlformats.org/officeDocument/2006/relationships/header" Target="header44.xml"/><Relationship Id="rId137" Type="http://schemas.openxmlformats.org/officeDocument/2006/relationships/header" Target="header63.xml"/><Relationship Id="rId158" Type="http://schemas.openxmlformats.org/officeDocument/2006/relationships/hyperlink" Target="http://ec.europa.eu/programmes/erasmus-plus/resources_en" TargetMode="External"/><Relationship Id="rId20" Type="http://schemas.openxmlformats.org/officeDocument/2006/relationships/header" Target="header5.xml"/><Relationship Id="rId41" Type="http://schemas.openxmlformats.org/officeDocument/2006/relationships/hyperlink" Target="https://ec.europa.eu/epale/sl/home-page" TargetMode="External"/><Relationship Id="rId62" Type="http://schemas.openxmlformats.org/officeDocument/2006/relationships/header" Target="header13.xml"/><Relationship Id="rId83" Type="http://schemas.openxmlformats.org/officeDocument/2006/relationships/hyperlink" Target="https://ec.europa.eu/programmes/erasmus-plus/node/11_sl" TargetMode="External"/><Relationship Id="rId88" Type="http://schemas.openxmlformats.org/officeDocument/2006/relationships/header" Target="header30.xml"/><Relationship Id="rId111" Type="http://schemas.openxmlformats.org/officeDocument/2006/relationships/hyperlink" Target="https://ec.europa.eu/programmes/erasmus-plus/programme-guide/part-b/three-key-actions/jean-monnet-activities/chairs" TargetMode="External"/><Relationship Id="rId132" Type="http://schemas.openxmlformats.org/officeDocument/2006/relationships/hyperlink" Target="http://ec.europa.eu/sport/week/" TargetMode="External"/><Relationship Id="rId153" Type="http://schemas.openxmlformats.org/officeDocument/2006/relationships/hyperlink" Target="https://eacea.ec.europa.eu/erasmus-plus/funding/erasmus-charter-for-higher-education-2014-2020_en" TargetMode="External"/><Relationship Id="rId174" Type="http://schemas.openxmlformats.org/officeDocument/2006/relationships/header" Target="header77.xml"/><Relationship Id="rId179" Type="http://schemas.openxmlformats.org/officeDocument/2006/relationships/hyperlink" Target="http://www.youthpass.eu" TargetMode="External"/><Relationship Id="rId195" Type="http://schemas.openxmlformats.org/officeDocument/2006/relationships/hyperlink" Target="http://ec.europa.eu/dgs/communication/services/visual_identity/pdf/use-emblem_en.pdf" TargetMode="External"/><Relationship Id="rId209" Type="http://schemas.openxmlformats.org/officeDocument/2006/relationships/hyperlink" Target="http://ec.europa.eu/education/policy/vocational-policy/eqavet_en.htm" TargetMode="External"/><Relationship Id="rId190" Type="http://schemas.openxmlformats.org/officeDocument/2006/relationships/header" Target="header85.xml"/><Relationship Id="rId204" Type="http://schemas.openxmlformats.org/officeDocument/2006/relationships/hyperlink" Target="http://ec.europa.eu/education/tools/diploma-supplement_en.htm" TargetMode="External"/><Relationship Id="rId220" Type="http://schemas.openxmlformats.org/officeDocument/2006/relationships/hyperlink" Target="http://ec.europa.eu/education/policy/strategic-framework/index_en.htm" TargetMode="External"/><Relationship Id="rId225" Type="http://schemas.openxmlformats.org/officeDocument/2006/relationships/hyperlink" Target="https://ec.europa.eu/programmes/erasmus-plus/node_sl" TargetMode="External"/><Relationship Id="rId15" Type="http://schemas.openxmlformats.org/officeDocument/2006/relationships/hyperlink" Target="https://ec.europa.eu/programmes/erasmus-plus/programme-guide/annexes/annex-i_sl" TargetMode="External"/><Relationship Id="rId36" Type="http://schemas.openxmlformats.org/officeDocument/2006/relationships/hyperlink" Target="https://www.etwinning.net/sl/pub/index.htm" TargetMode="External"/><Relationship Id="rId57" Type="http://schemas.openxmlformats.org/officeDocument/2006/relationships/hyperlink" Target="https://europa.eu/youth/EU_sl" TargetMode="External"/><Relationship Id="rId106" Type="http://schemas.openxmlformats.org/officeDocument/2006/relationships/header" Target="header40.xml"/><Relationship Id="rId127" Type="http://schemas.openxmlformats.org/officeDocument/2006/relationships/header" Target="header55.xml"/><Relationship Id="rId10" Type="http://schemas.openxmlformats.org/officeDocument/2006/relationships/header" Target="header2.xml"/><Relationship Id="rId31" Type="http://schemas.openxmlformats.org/officeDocument/2006/relationships/hyperlink" Target="http://ec.europa.eu/dgs/education_culture/more_info/awp/index_en.htm" TargetMode="External"/><Relationship Id="rId52" Type="http://schemas.openxmlformats.org/officeDocument/2006/relationships/hyperlink" Target="http://www.salto-youth.net" TargetMode="External"/><Relationship Id="rId73" Type="http://schemas.openxmlformats.org/officeDocument/2006/relationships/header" Target="header21.xml"/><Relationship Id="rId78" Type="http://schemas.openxmlformats.org/officeDocument/2006/relationships/header" Target="header23.xml"/><Relationship Id="rId94" Type="http://schemas.openxmlformats.org/officeDocument/2006/relationships/hyperlink" Target="F:/../AppData/Roaming/Microsoft/AppData/Local/Microsoft/Windows/Temporary%20Internet%20Files/Content.Outlook/AppData/Local/Microsoft/Windows/Temporary%20Internet%20Files/guazzgi/AppData/Local/Microsoft/Windows/Temporary%20Internet%20Files/Content.Outlook/AppDa" TargetMode="External"/><Relationship Id="rId99" Type="http://schemas.openxmlformats.org/officeDocument/2006/relationships/hyperlink" Target="https://ec.europa.eu/programmes/erasmus-plus/" TargetMode="External"/><Relationship Id="rId101" Type="http://schemas.openxmlformats.org/officeDocument/2006/relationships/header" Target="header35.xml"/><Relationship Id="rId122" Type="http://schemas.openxmlformats.org/officeDocument/2006/relationships/header" Target="header50.xml"/><Relationship Id="rId143" Type="http://schemas.openxmlformats.org/officeDocument/2006/relationships/hyperlink" Target="https://webgate.ec.europa.eu/erasmus-esc/organisation-registration" TargetMode="External"/><Relationship Id="rId148" Type="http://schemas.openxmlformats.org/officeDocument/2006/relationships/header" Target="header68.xml"/><Relationship Id="rId164" Type="http://schemas.openxmlformats.org/officeDocument/2006/relationships/hyperlink" Target="http://www.ecvet-secretariat.eu/" TargetMode="External"/><Relationship Id="rId169" Type="http://schemas.openxmlformats.org/officeDocument/2006/relationships/hyperlink" Target="http://www.ecvet-secretariat.eu/" TargetMode="External"/><Relationship Id="rId185" Type="http://schemas.openxmlformats.org/officeDocument/2006/relationships/hyperlink" Target="http://www.em-a.eu/" TargetMode="External"/><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hyperlink" Target="http://ec.europa.eu/social/main.jsp?catId=559" TargetMode="External"/><Relationship Id="rId210" Type="http://schemas.openxmlformats.org/officeDocument/2006/relationships/hyperlink" Target="https://ec.europa.eu/esco" TargetMode="External"/><Relationship Id="rId215" Type="http://schemas.openxmlformats.org/officeDocument/2006/relationships/hyperlink" Target="https://ec.europa.eu/eurostat/web/youth/data/database" TargetMode="External"/><Relationship Id="rId26" Type="http://schemas.openxmlformats.org/officeDocument/2006/relationships/hyperlink" Target="http://ec.europa.eu/social/main.jsp?catId=559&amp;amp;langId=sl" TargetMode="External"/><Relationship Id="rId231" Type="http://schemas.openxmlformats.org/officeDocument/2006/relationships/theme" Target="theme/theme1.xml"/><Relationship Id="rId47" Type="http://schemas.openxmlformats.org/officeDocument/2006/relationships/hyperlink" Target="http://ec.europa.eu/ploteus" TargetMode="External"/><Relationship Id="rId68" Type="http://schemas.openxmlformats.org/officeDocument/2006/relationships/hyperlink" Target="https://ec.europa.eu/programmes/erasmus-plus/" TargetMode="External"/><Relationship Id="rId89" Type="http://schemas.openxmlformats.org/officeDocument/2006/relationships/header" Target="header31.xml"/><Relationship Id="rId112" Type="http://schemas.openxmlformats.org/officeDocument/2006/relationships/hyperlink" Target="https://ec.europa.eu/programmes/erasmus-plus/programme-guide/part-b/three-key-actions/jean-monnet-activities/centres-of-excellence" TargetMode="External"/><Relationship Id="rId133" Type="http://schemas.openxmlformats.org/officeDocument/2006/relationships/hyperlink" Target="https://ec.europa.eu/sport/week_en" TargetMode="External"/><Relationship Id="rId154" Type="http://schemas.openxmlformats.org/officeDocument/2006/relationships/hyperlink" Target="https://eacea.ec.europa.eu/erasmus-plus/funding/erasmus-charter-for-higher-education-2014-2020_en" TargetMode="External"/><Relationship Id="rId175" Type="http://schemas.openxmlformats.org/officeDocument/2006/relationships/header" Target="header78.xml"/><Relationship Id="rId196" Type="http://schemas.openxmlformats.org/officeDocument/2006/relationships/hyperlink" Target="http://ec.europa.eu/programmes/erasmus-plus/projects/" TargetMode="External"/><Relationship Id="rId200" Type="http://schemas.openxmlformats.org/officeDocument/2006/relationships/hyperlink" Target="http://www.oecd.org/education/" TargetMode="External"/><Relationship Id="rId16" Type="http://schemas.openxmlformats.org/officeDocument/2006/relationships/hyperlink" Target="https://ec.europa.eu/programmes/erasmus-plus/programme-guide/annexes/annex-ii_sl" TargetMode="External"/><Relationship Id="rId221" Type="http://schemas.openxmlformats.org/officeDocument/2006/relationships/hyperlink" Target="http://eur-lex.europa.eu/LexUriServ/LexUriServ.do?uri=COM:2011:0567:FIN:EN:PDF" TargetMode="External"/><Relationship Id="rId37" Type="http://schemas.openxmlformats.org/officeDocument/2006/relationships/hyperlink" Target="https://www.etwinning.net/sl/pub/contact.htm" TargetMode="External"/><Relationship Id="rId58" Type="http://schemas.openxmlformats.org/officeDocument/2006/relationships/hyperlink" Target="http://www.eurodesk.eu" TargetMode="External"/><Relationship Id="rId79" Type="http://schemas.openxmlformats.org/officeDocument/2006/relationships/header" Target="header24.xml"/><Relationship Id="rId102" Type="http://schemas.openxmlformats.org/officeDocument/2006/relationships/header" Target="header36.xml"/><Relationship Id="rId123" Type="http://schemas.openxmlformats.org/officeDocument/2006/relationships/header" Target="header51.xml"/><Relationship Id="rId144" Type="http://schemas.openxmlformats.org/officeDocument/2006/relationships/hyperlink" Target="http://ec.europa.eu/budget/contracts_grants/info_contracts/legal_entities/legal_entities_en.cfm" TargetMode="External"/><Relationship Id="rId90" Type="http://schemas.openxmlformats.org/officeDocument/2006/relationships/hyperlink" Target="file:///C:\Users\Kathy\AppData\Roaming\Microsoft\Word\(http:\www.ilo.org\public\french\bureau\stat\isco\isco08\index.htm)" TargetMode="External"/><Relationship Id="rId165" Type="http://schemas.openxmlformats.org/officeDocument/2006/relationships/hyperlink" Target="http://europass.cedefop.europa.eu/sl" TargetMode="External"/><Relationship Id="rId186" Type="http://schemas.openxmlformats.org/officeDocument/2006/relationships/header" Target="header82.xml"/><Relationship Id="rId211" Type="http://schemas.openxmlformats.org/officeDocument/2006/relationships/hyperlink" Target="https://europass.cedefop.europa.eu/en/home"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data.consilium.europa.eu/doc/document/ST-8701-2018-INIT/en/pdf" TargetMode="External"/><Relationship Id="rId21" Type="http://schemas.openxmlformats.org/officeDocument/2006/relationships/hyperlink" Target="https://eur-lex.europa.eu/legal-content/EN/TXT/?uri=COM%3A2018%3A272%3AFIN" TargetMode="External"/><Relationship Id="rId34" Type="http://schemas.openxmlformats.org/officeDocument/2006/relationships/hyperlink" Target="https://eur-lex.europa.eu/legal-content/EN/TXT/?uri=CELEX%3A32018H0502%2801%29" TargetMode="External"/><Relationship Id="rId42" Type="http://schemas.openxmlformats.org/officeDocument/2006/relationships/hyperlink" Target="http://skillspanorama.cedefop.europa.eu/en" TargetMode="External"/><Relationship Id="rId47" Type="http://schemas.openxmlformats.org/officeDocument/2006/relationships/hyperlink" Target="http://eur-lex.europa.eu/legal-content/SL/TXT/?qid=1473612732264&amp;amp;uri=CELEX%3A32004D2241" TargetMode="External"/><Relationship Id="rId50" Type="http://schemas.openxmlformats.org/officeDocument/2006/relationships/hyperlink" Target="https://ec.europa.eu/esco/portal/home" TargetMode="External"/><Relationship Id="rId55" Type="http://schemas.openxmlformats.org/officeDocument/2006/relationships/hyperlink" Target="https://ec.europa.eu/digital-single-market/en/news/european-countries-join-blockchain-partnership" TargetMode="External"/><Relationship Id="rId63" Type="http://schemas.openxmlformats.org/officeDocument/2006/relationships/hyperlink" Target="https://www.cencenelec.eu/News/Events/Pages/EV-2019-001.aspx" TargetMode="External"/><Relationship Id="rId68" Type="http://schemas.openxmlformats.org/officeDocument/2006/relationships/hyperlink" Target="https://zeroproject.org/" TargetMode="External"/><Relationship Id="rId76" Type="http://schemas.openxmlformats.org/officeDocument/2006/relationships/hyperlink" Target="http://eur-lex.europa.eu/legal-content/SL/TXT/?qid=1473612641346&amp;amp;uri=CELEX%3A32009H0708(01)" TargetMode="External"/><Relationship Id="rId84" Type="http://schemas.openxmlformats.org/officeDocument/2006/relationships/hyperlink" Target="https://ec.europa.eu/europeaid/new-european-consensus-development-our-world-our-dignity-our-future_en" TargetMode="External"/><Relationship Id="rId89" Type="http://schemas.openxmlformats.org/officeDocument/2006/relationships/hyperlink" Target="http://ec.europa.eu/programmes/erasmus-plus/tools/distance_sl.htm" TargetMode="External"/><Relationship Id="rId97" Type="http://schemas.openxmlformats.org/officeDocument/2006/relationships/hyperlink" Target="http://ec.europa.eu/dgs/education_culture/more_info/awp/docs/c_2013_8550.pdf" TargetMode="External"/><Relationship Id="rId7" Type="http://schemas.openxmlformats.org/officeDocument/2006/relationships/hyperlink" Target="https://europa.eu/european-union/about-eu/institutions-bodies_en" TargetMode="External"/><Relationship Id="rId71" Type="http://schemas.openxmlformats.org/officeDocument/2006/relationships/hyperlink" Target="https://eur-lex.europa.eu/LexUriServ/LexUriServ.do?uri=COM:2012:0529:FIN:EN:PDF" TargetMode="External"/><Relationship Id="rId92" Type="http://schemas.openxmlformats.org/officeDocument/2006/relationships/hyperlink" Target="http://ec.europa.eu/programmes/erasmus-plus/tools/distance_en.htm" TargetMode="External"/><Relationship Id="rId2" Type="http://schemas.openxmlformats.org/officeDocument/2006/relationships/hyperlink" Target="http://ec.europa.eu/youth/library/reports/inclusion-diversity-strategy_en.pdf" TargetMode="External"/><Relationship Id="rId16" Type="http://schemas.openxmlformats.org/officeDocument/2006/relationships/hyperlink" Target="https://ec.europa.eu/neighbourhood-enlargement/sites/near/files/pdf/financial_assistance/ipa/2014/231-2014_ipa-2-reg.pdf" TargetMode="External"/><Relationship Id="rId29" Type="http://schemas.openxmlformats.org/officeDocument/2006/relationships/hyperlink" Target="https://ec.europa.eu/education/european-student-card-initiative_en" TargetMode="External"/><Relationship Id="rId11" Type="http://schemas.openxmlformats.org/officeDocument/2006/relationships/hyperlink" Target="http://ec.europa.eu/programmes/erasmus-plus/resources/distance-calculator_sl" TargetMode="External"/><Relationship Id="rId24" Type="http://schemas.openxmlformats.org/officeDocument/2006/relationships/hyperlink" Target="http://ec.europa.eu/programmes/erasmus-plus/tools/distance_sl.htm" TargetMode="External"/><Relationship Id="rId32" Type="http://schemas.openxmlformats.org/officeDocument/2006/relationships/hyperlink" Target="https://ec.europa.eu/education/european-universities-initiative_en" TargetMode="External"/><Relationship Id="rId37" Type="http://schemas.openxmlformats.org/officeDocument/2006/relationships/hyperlink" Target="http://www.ec.europa.eu/social/main.jsp?catId=1223" TargetMode="External"/><Relationship Id="rId40" Type="http://schemas.openxmlformats.org/officeDocument/2006/relationships/hyperlink" Target="https://en.wikipedia.org/wiki/Massive_open_online_course" TargetMode="External"/><Relationship Id="rId45" Type="http://schemas.openxmlformats.org/officeDocument/2006/relationships/hyperlink" Target="http://eur-lex.europa.eu/legal-content/SL/TXT/?qid=1473612465372&amp;amp;uri=CELEX%3A32009H0708(02)" TargetMode="External"/><Relationship Id="rId53" Type="http://schemas.openxmlformats.org/officeDocument/2006/relationships/hyperlink" Target="https://ec.europa.eu/programmes/erasmus-plus/opportunities-for-organisations/innovation-good-practices/sector-skills-alliances_sl" TargetMode="External"/><Relationship Id="rId58" Type="http://schemas.openxmlformats.org/officeDocument/2006/relationships/hyperlink" Target="http://openarchive.icomos.org/2083/" TargetMode="External"/><Relationship Id="rId66" Type="http://schemas.openxmlformats.org/officeDocument/2006/relationships/hyperlink" Target="https://www.interreg-central.eu/Content.Node/INNO-WISEs.html" TargetMode="External"/><Relationship Id="rId74" Type="http://schemas.openxmlformats.org/officeDocument/2006/relationships/hyperlink" Target="http://eur-lex.europa.eu/legal-content/SL/ALL/?uri=CELEX%3A32008H0506(01)" TargetMode="External"/><Relationship Id="rId79" Type="http://schemas.openxmlformats.org/officeDocument/2006/relationships/hyperlink" Target="https://ec.europa.eu/eures/public/sl/opportunities" TargetMode="External"/><Relationship Id="rId87" Type="http://schemas.openxmlformats.org/officeDocument/2006/relationships/hyperlink" Target="http://eur-lex.europa.eu/LexUriServ/LexUriServ.do?uri=OJ%3AL%3A2014%3A077%3A0011%3A0026%3ASL%3APDF" TargetMode="External"/><Relationship Id="rId5" Type="http://schemas.openxmlformats.org/officeDocument/2006/relationships/hyperlink" Target="https://ec.europa.eu/europeaid/regions/octs_en" TargetMode="External"/><Relationship Id="rId61" Type="http://schemas.openxmlformats.org/officeDocument/2006/relationships/hyperlink" Target="http://www.ecco-eu.org/fileadmin/assets/documents/publications/ECCO_Competences_EN.pdf" TargetMode="External"/><Relationship Id="rId82" Type="http://schemas.openxmlformats.org/officeDocument/2006/relationships/hyperlink" Target="https://ec.europa.eu/programmes/erasmus-plus/opportunities-for-organisations/innovation-good-practices/sector-skills-alliances_sl" TargetMode="External"/><Relationship Id="rId90" Type="http://schemas.openxmlformats.org/officeDocument/2006/relationships/hyperlink" Target="http://ec.europa.eu/programmes/erasmus-plus/tools/distance_en.htm" TargetMode="External"/><Relationship Id="rId95" Type="http://schemas.openxmlformats.org/officeDocument/2006/relationships/hyperlink" Target="http://eur-lex.europa.eu/LexUriServ/LexUriServ.do?uri=OJ%3AL%3A2012%3A298%3A0001%3A0096%3ASL%3APDF" TargetMode="External"/><Relationship Id="rId19" Type="http://schemas.openxmlformats.org/officeDocument/2006/relationships/hyperlink" Target="https://eur-lex.europa.eu/legal-content/EN/TXT/?uri=CELEX%3A52017DC0249" TargetMode="External"/><Relationship Id="rId14" Type="http://schemas.openxmlformats.org/officeDocument/2006/relationships/hyperlink" Target="https://eacea.ec.europa.eu/erasmus-plus/emjmd-catalogue_en" TargetMode="External"/><Relationship Id="rId22" Type="http://schemas.openxmlformats.org/officeDocument/2006/relationships/hyperlink" Target="http://ec.europa.eu/programmes/erasmus-plus/sites/erasmusplus2/files/eac-a06-go-international_en.pdf" TargetMode="External"/><Relationship Id="rId27" Type="http://schemas.openxmlformats.org/officeDocument/2006/relationships/hyperlink" Target="https://ec.europa.eu/education/sites/education/files/combuildingastrongereurope_en_act_part1_v7.pdf" TargetMode="External"/><Relationship Id="rId30" Type="http://schemas.openxmlformats.org/officeDocument/2006/relationships/hyperlink" Target="http://www.consilium.europa.eu/media/32204/14-final-conclusions-rev1-en.pdf" TargetMode="External"/><Relationship Id="rId35" Type="http://schemas.openxmlformats.org/officeDocument/2006/relationships/hyperlink" Target="http://ec.europa.eu/growth/tools-databases/newsroom/cf/itemdetail.cfm?item_id=8848&amp;amp;lang=sl" TargetMode="External"/><Relationship Id="rId43" Type="http://schemas.openxmlformats.org/officeDocument/2006/relationships/hyperlink" Target="https://ec.europa.eu/esco/home" TargetMode="External"/><Relationship Id="rId48" Type="http://schemas.openxmlformats.org/officeDocument/2006/relationships/hyperlink" Target="https://ec.europa.eu/eures/public/sl/homepage" TargetMode="External"/><Relationship Id="rId56" Type="http://schemas.openxmlformats.org/officeDocument/2006/relationships/hyperlink" Target="https://ec.europa.eu/digital-single-market/en/digital-skills-jobs-coalition" TargetMode="External"/><Relationship Id="rId64" Type="http://schemas.openxmlformats.org/officeDocument/2006/relationships/hyperlink" Target="http://www.ecompetences.eu/cen-tc-428/" TargetMode="External"/><Relationship Id="rId69" Type="http://schemas.openxmlformats.org/officeDocument/2006/relationships/hyperlink" Target="http://www.ecompetences.eu/cen-tc-428/" TargetMode="External"/><Relationship Id="rId77" Type="http://schemas.openxmlformats.org/officeDocument/2006/relationships/hyperlink" Target="http://eur-lex.europa.eu/legal-content/SL/TXT/?qid=1473612732264&amp;amp;uri=CELEX%3A32004D2241" TargetMode="External"/><Relationship Id="rId8" Type="http://schemas.openxmlformats.org/officeDocument/2006/relationships/hyperlink" Target="https://ec.europa.eu/programmes/erasmus-plus/resources/distance-calculator_sl" TargetMode="External"/><Relationship Id="rId51" Type="http://schemas.openxmlformats.org/officeDocument/2006/relationships/hyperlink" Target="https://eit.europa.eu/activities/innovation-communities" TargetMode="External"/><Relationship Id="rId72" Type="http://schemas.openxmlformats.org/officeDocument/2006/relationships/hyperlink" Target="https://eur-lex.europa.eu/legal-content/EN/TXT/?uri=celex%3A52015DC0192" TargetMode="External"/><Relationship Id="rId80" Type="http://schemas.openxmlformats.org/officeDocument/2006/relationships/hyperlink" Target="https://ec.europa.eu/esco/portal/home" TargetMode="External"/><Relationship Id="rId85" Type="http://schemas.openxmlformats.org/officeDocument/2006/relationships/hyperlink" Target="http://eur-lex.europa.eu/LexUriServ/LexUriServ.do?uri=OJ%3AL%3A2014%3A077%3A0027%3A0043%3ASL%3APDF" TargetMode="External"/><Relationship Id="rId93" Type="http://schemas.openxmlformats.org/officeDocument/2006/relationships/hyperlink" Target="https://ec.europa.eu/youth/policy/youth-strategy/euyouthdialogue_en" TargetMode="External"/><Relationship Id="rId98" Type="http://schemas.openxmlformats.org/officeDocument/2006/relationships/hyperlink" Target="https://www.cignahealthbenefits.com/en/plan-members" TargetMode="External"/><Relationship Id="rId3" Type="http://schemas.openxmlformats.org/officeDocument/2006/relationships/hyperlink" Target="http://ec.europa.eu/dgs/education_culture/more_info/awp/index_en.htm" TargetMode="External"/><Relationship Id="rId12" Type="http://schemas.openxmlformats.org/officeDocument/2006/relationships/hyperlink" Target="http://ec.europa.eu/programmes/erasmus-plus/resources/distance-calculator_sl" TargetMode="External"/><Relationship Id="rId17" Type="http://schemas.openxmlformats.org/officeDocument/2006/relationships/hyperlink" Target="https://www.umultirank.org/" TargetMode="External"/><Relationship Id="rId25" Type="http://schemas.openxmlformats.org/officeDocument/2006/relationships/hyperlink" Target="http://www.consilium.europa.eu/media/32204/14-final-conclusions-rev1-en.pdf" TargetMode="External"/><Relationship Id="rId33" Type="http://schemas.openxmlformats.org/officeDocument/2006/relationships/hyperlink" Target="http://eur-lex.europa.eu/legal-content/EN/TXT/?qid=1496304694958&amp;uri=COM:2017:247:FIN" TargetMode="External"/><Relationship Id="rId38" Type="http://schemas.openxmlformats.org/officeDocument/2006/relationships/hyperlink" Target="http://eur-lex.europa.eu/legal-content/SL/TXT/PDF/?uri=CELEX%3A32006H0962&amp;amp;from=SL" TargetMode="External"/><Relationship Id="rId46" Type="http://schemas.openxmlformats.org/officeDocument/2006/relationships/hyperlink" Target="http://eur-lex.europa.eu/legal-content/SL/TXT/?qid=1473612641346&amp;amp;uri=CELEX%3A32009H0708(01)" TargetMode="External"/><Relationship Id="rId59" Type="http://schemas.openxmlformats.org/officeDocument/2006/relationships/hyperlink" Target="http://www.voicesofculture.eu/wp-content/uploads/2018/06/VoC-Skills-and-training-Final-report-with-Appendix1.pdf" TargetMode="External"/><Relationship Id="rId67" Type="http://schemas.openxmlformats.org/officeDocument/2006/relationships/hyperlink" Target="https://www.eucie.org/about-us/our-projects/" TargetMode="External"/><Relationship Id="rId20" Type="http://schemas.openxmlformats.org/officeDocument/2006/relationships/hyperlink" Target="https://heinnovate.eu/en" TargetMode="External"/><Relationship Id="rId41" Type="http://schemas.openxmlformats.org/officeDocument/2006/relationships/hyperlink" Target="%20https://www.izm.gov.lv/images/RigaConclusions_2015.pdf%20%20%20" TargetMode="External"/><Relationship Id="rId54" Type="http://schemas.openxmlformats.org/officeDocument/2006/relationships/hyperlink" Target="https://ec.europa.eu/research/eic/index.cfm?pg=prizes_blockchains" TargetMode="External"/><Relationship Id="rId62" Type="http://schemas.openxmlformats.org/officeDocument/2006/relationships/hyperlink" Target="https://ec.europa.eu/digital-single-market/en/digital-skills-jobs-coalition" TargetMode="External"/><Relationship Id="rId70" Type="http://schemas.openxmlformats.org/officeDocument/2006/relationships/hyperlink" Target="https://ec.europa.eu/digital-single-market/en/desi" TargetMode="External"/><Relationship Id="rId75" Type="http://schemas.openxmlformats.org/officeDocument/2006/relationships/hyperlink" Target="http://eur-lex.europa.eu/legal-content/SL/TXT/?qid=1473612465372&amp;amp;uri=CELEX%3A32009H0708(02)" TargetMode="External"/><Relationship Id="rId83" Type="http://schemas.openxmlformats.org/officeDocument/2006/relationships/hyperlink" Target="https://ec.europa.eu/programmes/erasmus-plus/opportunities-for-organisations/innovation-good-practices/sector-skills-alliances_sl" TargetMode="External"/><Relationship Id="rId88" Type="http://schemas.openxmlformats.org/officeDocument/2006/relationships/hyperlink" Target="https://eacea.ec.europa.eu/erasmus-plus/funding_en" TargetMode="External"/><Relationship Id="rId91" Type="http://schemas.openxmlformats.org/officeDocument/2006/relationships/hyperlink" Target="http://ec.europa.eu/programmes/erasmus-plus/tools/distance_en.htm" TargetMode="External"/><Relationship Id="rId96" Type="http://schemas.openxmlformats.org/officeDocument/2006/relationships/hyperlink" Target="http://eur-lex.europa.eu/LexUriServ/LexUriServ.do?uri=OJ%3AL%3A2012%3A298%3A0001%3A0096%3ASL%3APDF" TargetMode="External"/><Relationship Id="rId1" Type="http://schemas.openxmlformats.org/officeDocument/2006/relationships/hyperlink" Target="http://eur-lex.europa.eu/LexUriServ/LexUriServ.do?uri=OJ%3AL%3A2013%3A347%3A0050%3A0073%3ASL%3APDF" TargetMode="External"/><Relationship Id="rId6" Type="http://schemas.openxmlformats.org/officeDocument/2006/relationships/hyperlink" Target="https://eur-lex.europa.eu/legal-content/EN/TXT/?uri=OJ:L:2020:029:TOC" TargetMode="External"/><Relationship Id="rId15" Type="http://schemas.openxmlformats.org/officeDocument/2006/relationships/hyperlink" Target="https://eur-lex.europa.eu/legal-content/EN/TXT/PDF/?uri=CELEX:32014R0231&amp;from=EN" TargetMode="External"/><Relationship Id="rId23" Type="http://schemas.openxmlformats.org/officeDocument/2006/relationships/hyperlink" Target="https://www.etwinning.net/en/pub/highlights/the-etwinning-school-label---.htm" TargetMode="External"/><Relationship Id="rId28" Type="http://schemas.openxmlformats.org/officeDocument/2006/relationships/hyperlink" Target="HTTPS://EC.EUROPA.EU/EDUCATION/SITES/EDUCATION/FILES/RECOGNITION_EN_ACT_PART1_V6.PDF" TargetMode="External"/><Relationship Id="rId36" Type="http://schemas.openxmlformats.org/officeDocument/2006/relationships/hyperlink" Target="http://www.ec.europa.eu/social/main.jsp?catId=1223" TargetMode="External"/><Relationship Id="rId49" Type="http://schemas.openxmlformats.org/officeDocument/2006/relationships/hyperlink" Target="https://ec.europa.eu/eures/public/sl/opportunities" TargetMode="External"/><Relationship Id="rId57" Type="http://schemas.openxmlformats.org/officeDocument/2006/relationships/hyperlink" Target="https://ec.europa.eu/digital-single-market/en/news/eu-member-states-sign-cooperate-digitising-cultural-heritage" TargetMode="External"/><Relationship Id="rId10" Type="http://schemas.openxmlformats.org/officeDocument/2006/relationships/hyperlink" Target="http://ec.europa.eu/programmes/erasmus-plus/resources/distance-calculator_sl" TargetMode="External"/><Relationship Id="rId31" Type="http://schemas.openxmlformats.org/officeDocument/2006/relationships/hyperlink" Target="http://eurovoc.europa.eu/drupal/?q=request&amp;mturi=http://eurovoc.europa.eu/100277&amp;language=en&amp;view=mt&amp;ifacelang=en" TargetMode="External"/><Relationship Id="rId44" Type="http://schemas.openxmlformats.org/officeDocument/2006/relationships/hyperlink" Target="http://eur-lex.europa.eu/legal-content/SL/ALL/?uri=CELEX%3A32008H0506(01)" TargetMode="External"/><Relationship Id="rId52" Type="http://schemas.openxmlformats.org/officeDocument/2006/relationships/hyperlink" Target="https://ec.europa.eu/programmes/erasmus-plus/opportunities-for-organisations/innovation-good-practices/sector-skills-alliances_sl" TargetMode="External"/><Relationship Id="rId60" Type="http://schemas.openxmlformats.org/officeDocument/2006/relationships/hyperlink" Target="https://publications.europa.eu/en/publication-detail/-/publication/e38e8bb3-867b-11e9-9f05-01aa75ed71a1/language-en/format-PDF/source-98656174" TargetMode="External"/><Relationship Id="rId65" Type="http://schemas.openxmlformats.org/officeDocument/2006/relationships/hyperlink" Target="http://www.europarl.europa.eu/oeil/popups/ficheprocedure.do?lang=en&amp;reference=2015/2887(RSP)" TargetMode="External"/><Relationship Id="rId73" Type="http://schemas.openxmlformats.org/officeDocument/2006/relationships/hyperlink" Target="https://ec.europa.eu/digital-single-market/en/digital-skills-jobs-coalition" TargetMode="External"/><Relationship Id="rId78" Type="http://schemas.openxmlformats.org/officeDocument/2006/relationships/hyperlink" Target="https://ec.europa.eu/eures/public/sl/homepage" TargetMode="External"/><Relationship Id="rId81" Type="http://schemas.openxmlformats.org/officeDocument/2006/relationships/hyperlink" Target="https://eit.europa.eu/activities/innovation-communities" TargetMode="External"/><Relationship Id="rId86" Type="http://schemas.openxmlformats.org/officeDocument/2006/relationships/hyperlink" Target="http://eur-lex.europa.eu/LexUriServ/LexUriServ.do?uri=OJ%3AL%3A2014%3A077%3A0044%3A0076%3ASL%3APDF" TargetMode="External"/><Relationship Id="rId94" Type="http://schemas.openxmlformats.org/officeDocument/2006/relationships/hyperlink" Target="http://ec.europa.eu/programmes/erasmus-plus/tools/distance_sl.htm" TargetMode="External"/><Relationship Id="rId99" Type="http://schemas.openxmlformats.org/officeDocument/2006/relationships/hyperlink" Target="https://www.salto-youth.net/" TargetMode="External"/><Relationship Id="rId4" Type="http://schemas.openxmlformats.org/officeDocument/2006/relationships/hyperlink" Target="https://ec.europa.eu/europeaid/regions/overseas-countries-and-territories-octs/oct-eu-association_en" TargetMode="External"/><Relationship Id="rId9" Type="http://schemas.openxmlformats.org/officeDocument/2006/relationships/hyperlink" Target="http://ec.europa.eu/programmes/erasmus-plus/resources/distance-calculator_sl" TargetMode="External"/><Relationship Id="rId13" Type="http://schemas.openxmlformats.org/officeDocument/2006/relationships/hyperlink" Target="http://bologna-yerevan2015.ehea.info/pages/view/documents" TargetMode="External"/><Relationship Id="rId18" Type="http://schemas.openxmlformats.org/officeDocument/2006/relationships/hyperlink" Target="https://www.eter-project.com/" TargetMode="External"/><Relationship Id="rId39" Type="http://schemas.openxmlformats.org/officeDocument/2006/relationships/hyperlink" Target="https://en.wikipedia.org/wiki/World_Wide_Web"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9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41EF8-A6B3-42F1-8968-C1A60B05219A}">
  <ds:schemaRefs>
    <ds:schemaRef ds:uri="http://schemas.microsoft.com/office/2006/metadata/longProperties"/>
  </ds:schemaRefs>
</ds:datastoreItem>
</file>

<file path=customXml/itemProps2.xml><?xml version="1.0" encoding="utf-8"?>
<ds:datastoreItem xmlns:ds="http://schemas.openxmlformats.org/officeDocument/2006/customXml" ds:itemID="{DBAD56DC-7060-46CE-9C75-608B9678F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339</Pages>
  <Words>134174</Words>
  <Characters>852012</Characters>
  <Application>Microsoft Office Word</Application>
  <DocSecurity>0</DocSecurity>
  <Lines>16706</Lines>
  <Paragraphs>9574</Paragraphs>
  <ScaleCrop>false</ScaleCrop>
  <HeadingPairs>
    <vt:vector size="8" baseType="variant">
      <vt:variant>
        <vt:lpstr>Title</vt:lpstr>
      </vt:variant>
      <vt:variant>
        <vt:i4>1</vt:i4>
      </vt:variant>
      <vt:variant>
        <vt:lpstr>Título</vt:lpstr>
      </vt:variant>
      <vt:variant>
        <vt:i4>1</vt:i4>
      </vt:variant>
      <vt:variant>
        <vt:lpstr>Títulos</vt:lpstr>
      </vt:variant>
      <vt:variant>
        <vt:i4>39</vt:i4>
      </vt:variant>
      <vt:variant>
        <vt:lpstr>Naslov</vt:lpstr>
      </vt:variant>
      <vt:variant>
        <vt:i4>1</vt:i4>
      </vt:variant>
    </vt:vector>
  </HeadingPairs>
  <TitlesOfParts>
    <vt:vector size="42" baseType="lpstr">
      <vt:lpstr/>
      <vt:lpstr/>
      <vt:lpstr>Kazalo</vt:lpstr>
      <vt:lpstr/>
      <vt:lpstr>Kratice</vt:lpstr>
      <vt:lpstr>Uvod</vt:lpstr>
      <vt:lpstr>    Kako uporabljati vodnik za prijavitelje?</vt:lpstr>
      <vt:lpstr/>
      <vt:lpstr>Del A: Splošne informacije  o programu Erasmus+</vt:lpstr>
      <vt:lpstr>    </vt:lpstr>
      <vt:lpstr>    Kakšni so cilji in pomembne značilnosti programa Erasmus+?</vt:lpstr>
      <vt:lpstr>        Splošni cilj</vt:lpstr>
      <vt:lpstr>        Pomembne značilnosti programa Erasmus+</vt:lpstr>
      <vt:lpstr>    </vt:lpstr>
      <vt:lpstr>    Kakšna je struktura programa Erasmus+?</vt:lpstr>
      <vt:lpstr>        Ključni ukrep 1 – Mobilnost posameznikov</vt:lpstr>
      <vt:lpstr>        Ključni ukrep 2 – Sodelovanje za inovacije in izmenjavo dobrih praks</vt:lpstr>
      <vt:lpstr>        Ključni ukrep 3 – Podpora za reformo politik</vt:lpstr>
      <vt:lpstr>        Aktivnosti programa Jean Monnet</vt:lpstr>
      <vt:lpstr>        Šport</vt:lpstr>
      <vt:lpstr>    Kolikšen je proračun?</vt:lpstr>
      <vt:lpstr>    Kdo izvaja program Erasmus+?</vt:lpstr>
      <vt:lpstr>        Evropska komisija</vt:lpstr>
      <vt:lpstr>        Nacionalne agencije</vt:lpstr>
      <vt:lpstr>        Kateri drugi organi so vključeni v izvajanje programa?</vt:lpstr>
      <vt:lpstr>    </vt:lpstr>
      <vt:lpstr>    Kdo lahko sodeluje v programu Erasmus+?</vt:lpstr>
      <vt:lpstr>        Udeleženci</vt:lpstr>
      <vt:lpstr>        Sodelujoče organizacije</vt:lpstr>
      <vt:lpstr>        Upravičene države</vt:lpstr>
      <vt:lpstr>Del B – Informacije o ukrepih, zajetih v ta vodnik</vt:lpstr>
      <vt:lpstr>    Izobraževanje in usposabljanje</vt:lpstr>
      <vt:lpstr>        Kateri ukrepi so podprti?</vt:lpstr>
      <vt:lpstr>        Kakšni so cilji teh ukrepov?</vt:lpstr>
      <vt:lpstr>    </vt:lpstr>
      <vt:lpstr>    Mladina</vt:lpstr>
      <vt:lpstr>        Kateri ukrepi so podprti?</vt:lpstr>
      <vt:lpstr>        Kakšni so cilji teh ukrepov?</vt:lpstr>
      <vt:lpstr>    </vt:lpstr>
      <vt:lpstr>    Trije ključni ukrepi</vt:lpstr>
      <vt:lpstr>        Ključni ukrep 1: Učna mobilnost posameznikov</vt:lpstr>
      <vt:lpstr/>
    </vt:vector>
  </TitlesOfParts>
  <LinksUpToDate>false</LinksUpToDate>
  <CharactersWithSpaces>976612</CharactersWithSpaces>
  <SharedDoc>false</SharedDoc>
  <HLinks>
    <vt:vector size="2178" baseType="variant">
      <vt:variant>
        <vt:i4>4194353</vt:i4>
      </vt:variant>
      <vt:variant>
        <vt:i4>1080</vt:i4>
      </vt:variant>
      <vt:variant>
        <vt:i4>0</vt:i4>
      </vt:variant>
      <vt:variant>
        <vt:i4>5</vt:i4>
      </vt:variant>
      <vt:variant>
        <vt:lpwstr>http://ec.europa.eu/programmes/erasmus-plus/contact_sl</vt:lpwstr>
      </vt:variant>
      <vt:variant>
        <vt:lpwstr/>
      </vt:variant>
      <vt:variant>
        <vt:i4>786474</vt:i4>
      </vt:variant>
      <vt:variant>
        <vt:i4>1077</vt:i4>
      </vt:variant>
      <vt:variant>
        <vt:i4>0</vt:i4>
      </vt:variant>
      <vt:variant>
        <vt:i4>5</vt:i4>
      </vt:variant>
      <vt:variant>
        <vt:lpwstr>http://eacea.ec.europa.eu/index_en.php</vt:lpwstr>
      </vt:variant>
      <vt:variant>
        <vt:lpwstr/>
      </vt:variant>
      <vt:variant>
        <vt:i4>8060953</vt:i4>
      </vt:variant>
      <vt:variant>
        <vt:i4>1074</vt:i4>
      </vt:variant>
      <vt:variant>
        <vt:i4>0</vt:i4>
      </vt:variant>
      <vt:variant>
        <vt:i4>5</vt:i4>
      </vt:variant>
      <vt:variant>
        <vt:lpwstr>https://ec.europa.eu/programmes/erasmus-plus/node_sl</vt:lpwstr>
      </vt:variant>
      <vt:variant>
        <vt:lpwstr/>
      </vt:variant>
      <vt:variant>
        <vt:i4>720979</vt:i4>
      </vt:variant>
      <vt:variant>
        <vt:i4>1071</vt:i4>
      </vt:variant>
      <vt:variant>
        <vt:i4>0</vt:i4>
      </vt:variant>
      <vt:variant>
        <vt:i4>5</vt:i4>
      </vt:variant>
      <vt:variant>
        <vt:lpwstr>https://www.youthpass.eu/</vt:lpwstr>
      </vt:variant>
      <vt:variant>
        <vt:lpwstr/>
      </vt:variant>
      <vt:variant>
        <vt:i4>8257565</vt:i4>
      </vt:variant>
      <vt:variant>
        <vt:i4>1068</vt:i4>
      </vt:variant>
      <vt:variant>
        <vt:i4>0</vt:i4>
      </vt:variant>
      <vt:variant>
        <vt:i4>5</vt:i4>
      </vt:variant>
      <vt:variant>
        <vt:lpwstr>http://europa.eu/youthonthemove/index_en.htm</vt:lpwstr>
      </vt:variant>
      <vt:variant>
        <vt:lpwstr/>
      </vt:variant>
      <vt:variant>
        <vt:i4>2293871</vt:i4>
      </vt:variant>
      <vt:variant>
        <vt:i4>1065</vt:i4>
      </vt:variant>
      <vt:variant>
        <vt:i4>0</vt:i4>
      </vt:variant>
      <vt:variant>
        <vt:i4>5</vt:i4>
      </vt:variant>
      <vt:variant>
        <vt:lpwstr>http://ec.europa.eu/DocsRoom/documents/9269/attachments/1/translations/en/renditions/native</vt:lpwstr>
      </vt:variant>
      <vt:variant>
        <vt:lpwstr/>
      </vt:variant>
      <vt:variant>
        <vt:i4>5636176</vt:i4>
      </vt:variant>
      <vt:variant>
        <vt:i4>1062</vt:i4>
      </vt:variant>
      <vt:variant>
        <vt:i4>0</vt:i4>
      </vt:variant>
      <vt:variant>
        <vt:i4>5</vt:i4>
      </vt:variant>
      <vt:variant>
        <vt:lpwstr>http://ec.europa.eu/education/brugecomm/</vt:lpwstr>
      </vt:variant>
      <vt:variant>
        <vt:lpwstr/>
      </vt:variant>
      <vt:variant>
        <vt:i4>6357117</vt:i4>
      </vt:variant>
      <vt:variant>
        <vt:i4>1059</vt:i4>
      </vt:variant>
      <vt:variant>
        <vt:i4>0</vt:i4>
      </vt:variant>
      <vt:variant>
        <vt:i4>5</vt:i4>
      </vt:variant>
      <vt:variant>
        <vt:lpwstr>http://eur-lex.europa.eu/LexUriServ/LexUriServ.do?uri=COM:2011:0567:FIN:EN:PDF</vt:lpwstr>
      </vt:variant>
      <vt:variant>
        <vt:lpwstr/>
      </vt:variant>
      <vt:variant>
        <vt:i4>4194339</vt:i4>
      </vt:variant>
      <vt:variant>
        <vt:i4>1056</vt:i4>
      </vt:variant>
      <vt:variant>
        <vt:i4>0</vt:i4>
      </vt:variant>
      <vt:variant>
        <vt:i4>5</vt:i4>
      </vt:variant>
      <vt:variant>
        <vt:lpwstr>http://ec.europa.eu/education/policy/strategic-framework/index_en.htm</vt:lpwstr>
      </vt:variant>
      <vt:variant>
        <vt:lpwstr/>
      </vt:variant>
      <vt:variant>
        <vt:i4>7995452</vt:i4>
      </vt:variant>
      <vt:variant>
        <vt:i4>1053</vt:i4>
      </vt:variant>
      <vt:variant>
        <vt:i4>0</vt:i4>
      </vt:variant>
      <vt:variant>
        <vt:i4>5</vt:i4>
      </vt:variant>
      <vt:variant>
        <vt:lpwstr>http://eur-lex.europa.eu/legal-content/EN/ALL/;jsessionid=LLFgTfdd6mZf3Wt4YNhTjyP8vnMcg4RnTT1rQHP2bfT8dWYrdNQC!1965766013?uri=CELEX:52012DC0669</vt:lpwstr>
      </vt:variant>
      <vt:variant>
        <vt:lpwstr/>
      </vt:variant>
      <vt:variant>
        <vt:i4>4128820</vt:i4>
      </vt:variant>
      <vt:variant>
        <vt:i4>1050</vt:i4>
      </vt:variant>
      <vt:variant>
        <vt:i4>0</vt:i4>
      </vt:variant>
      <vt:variant>
        <vt:i4>5</vt:i4>
      </vt:variant>
      <vt:variant>
        <vt:lpwstr>http://ec.europa.eu/education/newtech/</vt:lpwstr>
      </vt:variant>
      <vt:variant>
        <vt:lpwstr/>
      </vt:variant>
      <vt:variant>
        <vt:i4>5636159</vt:i4>
      </vt:variant>
      <vt:variant>
        <vt:i4>1047</vt:i4>
      </vt:variant>
      <vt:variant>
        <vt:i4>0</vt:i4>
      </vt:variant>
      <vt:variant>
        <vt:i4>5</vt:i4>
      </vt:variant>
      <vt:variant>
        <vt:lpwstr>http://ec.europa.eu/education/policy/higher-education/index_en.htm</vt:lpwstr>
      </vt:variant>
      <vt:variant>
        <vt:lpwstr/>
      </vt:variant>
      <vt:variant>
        <vt:i4>1835118</vt:i4>
      </vt:variant>
      <vt:variant>
        <vt:i4>1044</vt:i4>
      </vt:variant>
      <vt:variant>
        <vt:i4>0</vt:i4>
      </vt:variant>
      <vt:variant>
        <vt:i4>5</vt:i4>
      </vt:variant>
      <vt:variant>
        <vt:lpwstr>http://ec.europa.eu/youth/library/index_en.htm</vt:lpwstr>
      </vt:variant>
      <vt:variant>
        <vt:lpwstr/>
      </vt:variant>
      <vt:variant>
        <vt:i4>327778</vt:i4>
      </vt:variant>
      <vt:variant>
        <vt:i4>1041</vt:i4>
      </vt:variant>
      <vt:variant>
        <vt:i4>0</vt:i4>
      </vt:variant>
      <vt:variant>
        <vt:i4>5</vt:i4>
      </vt:variant>
      <vt:variant>
        <vt:lpwstr>http://ec.europa.eu/sport/library/index_en.htm</vt:lpwstr>
      </vt:variant>
      <vt:variant>
        <vt:lpwstr/>
      </vt:variant>
      <vt:variant>
        <vt:i4>1703996</vt:i4>
      </vt:variant>
      <vt:variant>
        <vt:i4>1038</vt:i4>
      </vt:variant>
      <vt:variant>
        <vt:i4>0</vt:i4>
      </vt:variant>
      <vt:variant>
        <vt:i4>5</vt:i4>
      </vt:variant>
      <vt:variant>
        <vt:lpwstr>http://ec.europa.eu/education/policy/strategic-framework/indicators-benchmarks_en.htm</vt:lpwstr>
      </vt:variant>
      <vt:variant>
        <vt:lpwstr/>
      </vt:variant>
      <vt:variant>
        <vt:i4>6291462</vt:i4>
      </vt:variant>
      <vt:variant>
        <vt:i4>1035</vt:i4>
      </vt:variant>
      <vt:variant>
        <vt:i4>0</vt:i4>
      </vt:variant>
      <vt:variant>
        <vt:i4>5</vt:i4>
      </vt:variant>
      <vt:variant>
        <vt:lpwstr>http://ec.europa.eu/education/policy/adult-learning/index_en.htm</vt:lpwstr>
      </vt:variant>
      <vt:variant>
        <vt:lpwstr/>
      </vt:variant>
      <vt:variant>
        <vt:i4>7602273</vt:i4>
      </vt:variant>
      <vt:variant>
        <vt:i4>1032</vt:i4>
      </vt:variant>
      <vt:variant>
        <vt:i4>0</vt:i4>
      </vt:variant>
      <vt:variant>
        <vt:i4>5</vt:i4>
      </vt:variant>
      <vt:variant>
        <vt:lpwstr>https://europass.cedefop.europa.eu/en/home</vt:lpwstr>
      </vt:variant>
      <vt:variant>
        <vt:lpwstr/>
      </vt:variant>
      <vt:variant>
        <vt:i4>6750251</vt:i4>
      </vt:variant>
      <vt:variant>
        <vt:i4>1029</vt:i4>
      </vt:variant>
      <vt:variant>
        <vt:i4>0</vt:i4>
      </vt:variant>
      <vt:variant>
        <vt:i4>5</vt:i4>
      </vt:variant>
      <vt:variant>
        <vt:lpwstr>http://euskillspanorama.cedefop.europa.eu/</vt:lpwstr>
      </vt:variant>
      <vt:variant>
        <vt:lpwstr/>
      </vt:variant>
      <vt:variant>
        <vt:i4>4718665</vt:i4>
      </vt:variant>
      <vt:variant>
        <vt:i4>1026</vt:i4>
      </vt:variant>
      <vt:variant>
        <vt:i4>0</vt:i4>
      </vt:variant>
      <vt:variant>
        <vt:i4>5</vt:i4>
      </vt:variant>
      <vt:variant>
        <vt:lpwstr>https://ec.europa.eu/esco</vt:lpwstr>
      </vt:variant>
      <vt:variant>
        <vt:lpwstr/>
      </vt:variant>
      <vt:variant>
        <vt:i4>7667721</vt:i4>
      </vt:variant>
      <vt:variant>
        <vt:i4>1023</vt:i4>
      </vt:variant>
      <vt:variant>
        <vt:i4>0</vt:i4>
      </vt:variant>
      <vt:variant>
        <vt:i4>5</vt:i4>
      </vt:variant>
      <vt:variant>
        <vt:lpwstr>http://ec.europa.eu/education/policy/vocational-policy/eqavet_en.htm</vt:lpwstr>
      </vt:variant>
      <vt:variant>
        <vt:lpwstr/>
      </vt:variant>
      <vt:variant>
        <vt:i4>5046354</vt:i4>
      </vt:variant>
      <vt:variant>
        <vt:i4>1020</vt:i4>
      </vt:variant>
      <vt:variant>
        <vt:i4>0</vt:i4>
      </vt:variant>
      <vt:variant>
        <vt:i4>5</vt:i4>
      </vt:variant>
      <vt:variant>
        <vt:lpwstr>http://ec.europa.eu/epale</vt:lpwstr>
      </vt:variant>
      <vt:variant>
        <vt:lpwstr/>
      </vt:variant>
      <vt:variant>
        <vt:i4>3801109</vt:i4>
      </vt:variant>
      <vt:variant>
        <vt:i4>1017</vt:i4>
      </vt:variant>
      <vt:variant>
        <vt:i4>0</vt:i4>
      </vt:variant>
      <vt:variant>
        <vt:i4>5</vt:i4>
      </vt:variant>
      <vt:variant>
        <vt:lpwstr>http://ec.europa.eu/DocsRoom/documents/7465/attachments/1/translations/en/renditions/native&amp;usg=AFQjCNEAZENuwg06uXIDQR_CK8zmSko5Lw&amp;sig2=kjtnBVqQOeVNEhNWeBUSrw&amp;cad=rja</vt:lpwstr>
      </vt:variant>
      <vt:variant>
        <vt:lpwstr/>
      </vt:variant>
      <vt:variant>
        <vt:i4>983120</vt:i4>
      </vt:variant>
      <vt:variant>
        <vt:i4>1014</vt:i4>
      </vt:variant>
      <vt:variant>
        <vt:i4>0</vt:i4>
      </vt:variant>
      <vt:variant>
        <vt:i4>5</vt:i4>
      </vt:variant>
      <vt:variant>
        <vt:lpwstr>http://www.ecvet-secretariat.eu/</vt:lpwstr>
      </vt:variant>
      <vt:variant>
        <vt:lpwstr/>
      </vt:variant>
      <vt:variant>
        <vt:i4>7864346</vt:i4>
      </vt:variant>
      <vt:variant>
        <vt:i4>1011</vt:i4>
      </vt:variant>
      <vt:variant>
        <vt:i4>0</vt:i4>
      </vt:variant>
      <vt:variant>
        <vt:i4>5</vt:i4>
      </vt:variant>
      <vt:variant>
        <vt:lpwstr>http://ec.europa.eu/education/policy/vocational-policy/ecvet_en.htm</vt:lpwstr>
      </vt:variant>
      <vt:variant>
        <vt:lpwstr/>
      </vt:variant>
      <vt:variant>
        <vt:i4>4522087</vt:i4>
      </vt:variant>
      <vt:variant>
        <vt:i4>1008</vt:i4>
      </vt:variant>
      <vt:variant>
        <vt:i4>0</vt:i4>
      </vt:variant>
      <vt:variant>
        <vt:i4>5</vt:i4>
      </vt:variant>
      <vt:variant>
        <vt:lpwstr>http://ec.europa.eu/education/tools/diploma-supplement_en.htm</vt:lpwstr>
      </vt:variant>
      <vt:variant>
        <vt:lpwstr/>
      </vt:variant>
      <vt:variant>
        <vt:i4>6225922</vt:i4>
      </vt:variant>
      <vt:variant>
        <vt:i4>1005</vt:i4>
      </vt:variant>
      <vt:variant>
        <vt:i4>0</vt:i4>
      </vt:variant>
      <vt:variant>
        <vt:i4>5</vt:i4>
      </vt:variant>
      <vt:variant>
        <vt:lpwstr>https://publications.europa.eu/s/fouj</vt:lpwstr>
      </vt:variant>
      <vt:variant>
        <vt:lpwstr/>
      </vt:variant>
      <vt:variant>
        <vt:i4>4915227</vt:i4>
      </vt:variant>
      <vt:variant>
        <vt:i4>1002</vt:i4>
      </vt:variant>
      <vt:variant>
        <vt:i4>0</vt:i4>
      </vt:variant>
      <vt:variant>
        <vt:i4>5</vt:i4>
      </vt:variant>
      <vt:variant>
        <vt:lpwstr>http://www.uis.unesco.org/Pages/default.aspx</vt:lpwstr>
      </vt:variant>
      <vt:variant>
        <vt:lpwstr/>
      </vt:variant>
      <vt:variant>
        <vt:i4>8323185</vt:i4>
      </vt:variant>
      <vt:variant>
        <vt:i4>999</vt:i4>
      </vt:variant>
      <vt:variant>
        <vt:i4>0</vt:i4>
      </vt:variant>
      <vt:variant>
        <vt:i4>5</vt:i4>
      </vt:variant>
      <vt:variant>
        <vt:lpwstr>https://en.unesco.org/</vt:lpwstr>
      </vt:variant>
      <vt:variant>
        <vt:lpwstr/>
      </vt:variant>
      <vt:variant>
        <vt:i4>6750255</vt:i4>
      </vt:variant>
      <vt:variant>
        <vt:i4>996</vt:i4>
      </vt:variant>
      <vt:variant>
        <vt:i4>0</vt:i4>
      </vt:variant>
      <vt:variant>
        <vt:i4>5</vt:i4>
      </vt:variant>
      <vt:variant>
        <vt:lpwstr>http://www.oecd.org/education/</vt:lpwstr>
      </vt:variant>
      <vt:variant>
        <vt:lpwstr/>
      </vt:variant>
      <vt:variant>
        <vt:i4>327706</vt:i4>
      </vt:variant>
      <vt:variant>
        <vt:i4>993</vt:i4>
      </vt:variant>
      <vt:variant>
        <vt:i4>0</vt:i4>
      </vt:variant>
      <vt:variant>
        <vt:i4>5</vt:i4>
      </vt:variant>
      <vt:variant>
        <vt:lpwstr>http://eacea.ec.europa.eu/education/eurydice/</vt:lpwstr>
      </vt:variant>
      <vt:variant>
        <vt:lpwstr/>
      </vt:variant>
      <vt:variant>
        <vt:i4>3997736</vt:i4>
      </vt:variant>
      <vt:variant>
        <vt:i4>990</vt:i4>
      </vt:variant>
      <vt:variant>
        <vt:i4>0</vt:i4>
      </vt:variant>
      <vt:variant>
        <vt:i4>5</vt:i4>
      </vt:variant>
      <vt:variant>
        <vt:lpwstr>http://ec.europa.eu/eurostat/statistics-explained/index.php?title=Europe_2020_indicators_-_education&amp;oldid=301033%20</vt:lpwstr>
      </vt:variant>
      <vt:variant>
        <vt:lpwstr/>
      </vt:variant>
      <vt:variant>
        <vt:i4>196692</vt:i4>
      </vt:variant>
      <vt:variant>
        <vt:i4>987</vt:i4>
      </vt:variant>
      <vt:variant>
        <vt:i4>0</vt:i4>
      </vt:variant>
      <vt:variant>
        <vt:i4>5</vt:i4>
      </vt:variant>
      <vt:variant>
        <vt:lpwstr>http://ec.europa.eu/programmes/erasmus-plus/projects/</vt:lpwstr>
      </vt:variant>
      <vt:variant>
        <vt:lpwstr/>
      </vt:variant>
      <vt:variant>
        <vt:i4>4390930</vt:i4>
      </vt:variant>
      <vt:variant>
        <vt:i4>984</vt:i4>
      </vt:variant>
      <vt:variant>
        <vt:i4>0</vt:i4>
      </vt:variant>
      <vt:variant>
        <vt:i4>5</vt:i4>
      </vt:variant>
      <vt:variant>
        <vt:lpwstr>http://ec.europa.eu/dgs/communication/services/visual_identity/pdf/use-emblem_en.pdf</vt:lpwstr>
      </vt:variant>
      <vt:variant>
        <vt:lpwstr/>
      </vt:variant>
      <vt:variant>
        <vt:i4>6946903</vt:i4>
      </vt:variant>
      <vt:variant>
        <vt:i4>981</vt:i4>
      </vt:variant>
      <vt:variant>
        <vt:i4>0</vt:i4>
      </vt:variant>
      <vt:variant>
        <vt:i4>5</vt:i4>
      </vt:variant>
      <vt:variant>
        <vt:lpwstr>http://eacea.ec.europa.eu/about-eacea/visual-identity_en</vt:lpwstr>
      </vt:variant>
      <vt:variant>
        <vt:lpwstr/>
      </vt:variant>
      <vt:variant>
        <vt:i4>327762</vt:i4>
      </vt:variant>
      <vt:variant>
        <vt:i4>972</vt:i4>
      </vt:variant>
      <vt:variant>
        <vt:i4>0</vt:i4>
      </vt:variant>
      <vt:variant>
        <vt:i4>5</vt:i4>
      </vt:variant>
      <vt:variant>
        <vt:lpwstr>http://ec.europa.eu/programmes/erasmus-plus/projects?pk_campaign=Web-ErasmusplusEN&amp;amp;pk_kwd=valor-projects-results</vt:lpwstr>
      </vt:variant>
      <vt:variant>
        <vt:lpwstr/>
      </vt:variant>
      <vt:variant>
        <vt:i4>4325455</vt:i4>
      </vt:variant>
      <vt:variant>
        <vt:i4>969</vt:i4>
      </vt:variant>
      <vt:variant>
        <vt:i4>0</vt:i4>
      </vt:variant>
      <vt:variant>
        <vt:i4>5</vt:i4>
      </vt:variant>
      <vt:variant>
        <vt:lpwstr>https://ec.europa.eu/programmes/erasmus-plus/</vt:lpwstr>
      </vt:variant>
      <vt:variant>
        <vt:lpwstr/>
      </vt:variant>
      <vt:variant>
        <vt:i4>3670073</vt:i4>
      </vt:variant>
      <vt:variant>
        <vt:i4>966</vt:i4>
      </vt:variant>
      <vt:variant>
        <vt:i4>0</vt:i4>
      </vt:variant>
      <vt:variant>
        <vt:i4>5</vt:i4>
      </vt:variant>
      <vt:variant>
        <vt:lpwstr>http://www.em-a.eu/</vt:lpwstr>
      </vt:variant>
      <vt:variant>
        <vt:lpwstr/>
      </vt:variant>
      <vt:variant>
        <vt:i4>3670028</vt:i4>
      </vt:variant>
      <vt:variant>
        <vt:i4>963</vt:i4>
      </vt:variant>
      <vt:variant>
        <vt:i4>0</vt:i4>
      </vt:variant>
      <vt:variant>
        <vt:i4>5</vt:i4>
      </vt:variant>
      <vt:variant>
        <vt:lpwstr>http://eacea.ec.europa.eu/erasmus-plus/library/emjmd-catalogue_en)</vt:lpwstr>
      </vt:variant>
      <vt:variant>
        <vt:lpwstr/>
      </vt:variant>
      <vt:variant>
        <vt:i4>7864444</vt:i4>
      </vt:variant>
      <vt:variant>
        <vt:i4>960</vt:i4>
      </vt:variant>
      <vt:variant>
        <vt:i4>0</vt:i4>
      </vt:variant>
      <vt:variant>
        <vt:i4>5</vt:i4>
      </vt:variant>
      <vt:variant>
        <vt:lpwstr>https://www.youthpass.eu/sl</vt:lpwstr>
      </vt:variant>
      <vt:variant>
        <vt:lpwstr/>
      </vt:variant>
      <vt:variant>
        <vt:i4>4325455</vt:i4>
      </vt:variant>
      <vt:variant>
        <vt:i4>957</vt:i4>
      </vt:variant>
      <vt:variant>
        <vt:i4>0</vt:i4>
      </vt:variant>
      <vt:variant>
        <vt:i4>5</vt:i4>
      </vt:variant>
      <vt:variant>
        <vt:lpwstr>https://ec.europa.eu/programmes/erasmus-plus/</vt:lpwstr>
      </vt:variant>
      <vt:variant>
        <vt:lpwstr/>
      </vt:variant>
      <vt:variant>
        <vt:i4>6094939</vt:i4>
      </vt:variant>
      <vt:variant>
        <vt:i4>948</vt:i4>
      </vt:variant>
      <vt:variant>
        <vt:i4>0</vt:i4>
      </vt:variant>
      <vt:variant>
        <vt:i4>5</vt:i4>
      </vt:variant>
      <vt:variant>
        <vt:lpwstr>http://ec.europa.eu/social/main.jsp?catId=559</vt:lpwstr>
      </vt:variant>
      <vt:variant>
        <vt:lpwstr/>
      </vt:variant>
      <vt:variant>
        <vt:i4>1507347</vt:i4>
      </vt:variant>
      <vt:variant>
        <vt:i4>945</vt:i4>
      </vt:variant>
      <vt:variant>
        <vt:i4>0</vt:i4>
      </vt:variant>
      <vt:variant>
        <vt:i4>5</vt:i4>
      </vt:variant>
      <vt:variant>
        <vt:lpwstr>http://www.youthpass.eu/</vt:lpwstr>
      </vt:variant>
      <vt:variant>
        <vt:lpwstr/>
      </vt:variant>
      <vt:variant>
        <vt:i4>6094939</vt:i4>
      </vt:variant>
      <vt:variant>
        <vt:i4>936</vt:i4>
      </vt:variant>
      <vt:variant>
        <vt:i4>0</vt:i4>
      </vt:variant>
      <vt:variant>
        <vt:i4>5</vt:i4>
      </vt:variant>
      <vt:variant>
        <vt:lpwstr>http://ec.europa.eu/social/main.jsp?catId=559</vt:lpwstr>
      </vt:variant>
      <vt:variant>
        <vt:lpwstr/>
      </vt:variant>
      <vt:variant>
        <vt:i4>852063</vt:i4>
      </vt:variant>
      <vt:variant>
        <vt:i4>921</vt:i4>
      </vt:variant>
      <vt:variant>
        <vt:i4>0</vt:i4>
      </vt:variant>
      <vt:variant>
        <vt:i4>5</vt:i4>
      </vt:variant>
      <vt:variant>
        <vt:lpwstr>http://europass.cedefop.europa.eu/sl</vt:lpwstr>
      </vt:variant>
      <vt:variant>
        <vt:lpwstr/>
      </vt:variant>
      <vt:variant>
        <vt:i4>852063</vt:i4>
      </vt:variant>
      <vt:variant>
        <vt:i4>918</vt:i4>
      </vt:variant>
      <vt:variant>
        <vt:i4>0</vt:i4>
      </vt:variant>
      <vt:variant>
        <vt:i4>5</vt:i4>
      </vt:variant>
      <vt:variant>
        <vt:lpwstr>http://europass.cedefop.europa.eu/sl</vt:lpwstr>
      </vt:variant>
      <vt:variant>
        <vt:lpwstr/>
      </vt:variant>
      <vt:variant>
        <vt:i4>1310794</vt:i4>
      </vt:variant>
      <vt:variant>
        <vt:i4>915</vt:i4>
      </vt:variant>
      <vt:variant>
        <vt:i4>0</vt:i4>
      </vt:variant>
      <vt:variant>
        <vt:i4>5</vt:i4>
      </vt:variant>
      <vt:variant>
        <vt:lpwstr>http://www.etwinning.net/sl/pub/index.htm</vt:lpwstr>
      </vt:variant>
      <vt:variant>
        <vt:lpwstr/>
      </vt:variant>
      <vt:variant>
        <vt:i4>983120</vt:i4>
      </vt:variant>
      <vt:variant>
        <vt:i4>912</vt:i4>
      </vt:variant>
      <vt:variant>
        <vt:i4>0</vt:i4>
      </vt:variant>
      <vt:variant>
        <vt:i4>5</vt:i4>
      </vt:variant>
      <vt:variant>
        <vt:lpwstr>http://www.ecvet-secretariat.eu/</vt:lpwstr>
      </vt:variant>
      <vt:variant>
        <vt:lpwstr/>
      </vt:variant>
      <vt:variant>
        <vt:i4>7208984</vt:i4>
      </vt:variant>
      <vt:variant>
        <vt:i4>909</vt:i4>
      </vt:variant>
      <vt:variant>
        <vt:i4>0</vt:i4>
      </vt:variant>
      <vt:variant>
        <vt:i4>5</vt:i4>
      </vt:variant>
      <vt:variant>
        <vt:lpwstr>http://ec.europa.eu/education/policy/vocational-policy/ecvet_sl.htm</vt:lpwstr>
      </vt:variant>
      <vt:variant>
        <vt:lpwstr/>
      </vt:variant>
      <vt:variant>
        <vt:i4>852063</vt:i4>
      </vt:variant>
      <vt:variant>
        <vt:i4>906</vt:i4>
      </vt:variant>
      <vt:variant>
        <vt:i4>0</vt:i4>
      </vt:variant>
      <vt:variant>
        <vt:i4>5</vt:i4>
      </vt:variant>
      <vt:variant>
        <vt:lpwstr>http://europass.cedefop.europa.eu/sl</vt:lpwstr>
      </vt:variant>
      <vt:variant>
        <vt:lpwstr/>
      </vt:variant>
      <vt:variant>
        <vt:i4>983120</vt:i4>
      </vt:variant>
      <vt:variant>
        <vt:i4>903</vt:i4>
      </vt:variant>
      <vt:variant>
        <vt:i4>0</vt:i4>
      </vt:variant>
      <vt:variant>
        <vt:i4>5</vt:i4>
      </vt:variant>
      <vt:variant>
        <vt:lpwstr>http://www.ecvet-secretariat.eu/</vt:lpwstr>
      </vt:variant>
      <vt:variant>
        <vt:lpwstr/>
      </vt:variant>
      <vt:variant>
        <vt:i4>7208984</vt:i4>
      </vt:variant>
      <vt:variant>
        <vt:i4>900</vt:i4>
      </vt:variant>
      <vt:variant>
        <vt:i4>0</vt:i4>
      </vt:variant>
      <vt:variant>
        <vt:i4>5</vt:i4>
      </vt:variant>
      <vt:variant>
        <vt:lpwstr>http://ec.europa.eu/education/policy/vocational-policy/ecvet_sl.htm</vt:lpwstr>
      </vt:variant>
      <vt:variant>
        <vt:lpwstr/>
      </vt:variant>
      <vt:variant>
        <vt:i4>4784243</vt:i4>
      </vt:variant>
      <vt:variant>
        <vt:i4>897</vt:i4>
      </vt:variant>
      <vt:variant>
        <vt:i4>0</vt:i4>
      </vt:variant>
      <vt:variant>
        <vt:i4>5</vt:i4>
      </vt:variant>
      <vt:variant>
        <vt:lpwstr>http://europa.eu/legislation_summaries/education_training_youth/lifelong_learning/c11085_en.htm</vt:lpwstr>
      </vt:variant>
      <vt:variant>
        <vt:lpwstr/>
      </vt:variant>
      <vt:variant>
        <vt:i4>4194353</vt:i4>
      </vt:variant>
      <vt:variant>
        <vt:i4>894</vt:i4>
      </vt:variant>
      <vt:variant>
        <vt:i4>0</vt:i4>
      </vt:variant>
      <vt:variant>
        <vt:i4>5</vt:i4>
      </vt:variant>
      <vt:variant>
        <vt:lpwstr>http://ec.europa.eu/programmes/erasmus-plus/contact_sl</vt:lpwstr>
      </vt:variant>
      <vt:variant>
        <vt:lpwstr/>
      </vt:variant>
      <vt:variant>
        <vt:i4>4587644</vt:i4>
      </vt:variant>
      <vt:variant>
        <vt:i4>891</vt:i4>
      </vt:variant>
      <vt:variant>
        <vt:i4>0</vt:i4>
      </vt:variant>
      <vt:variant>
        <vt:i4>5</vt:i4>
      </vt:variant>
      <vt:variant>
        <vt:lpwstr>http://ec.europa.eu/programmes/erasmus-plus/resources_en</vt:lpwstr>
      </vt:variant>
      <vt:variant>
        <vt:lpwstr>tab-1-1</vt:lpwstr>
      </vt:variant>
      <vt:variant>
        <vt:i4>327740</vt:i4>
      </vt:variant>
      <vt:variant>
        <vt:i4>888</vt:i4>
      </vt:variant>
      <vt:variant>
        <vt:i4>0</vt:i4>
      </vt:variant>
      <vt:variant>
        <vt:i4>5</vt:i4>
      </vt:variant>
      <vt:variant>
        <vt:lpwstr>http://ec.europa.eu/education/opportunities/higher-education/quality-framework_en.htm</vt:lpwstr>
      </vt:variant>
      <vt:variant>
        <vt:lpwstr/>
      </vt:variant>
      <vt:variant>
        <vt:i4>327740</vt:i4>
      </vt:variant>
      <vt:variant>
        <vt:i4>885</vt:i4>
      </vt:variant>
      <vt:variant>
        <vt:i4>0</vt:i4>
      </vt:variant>
      <vt:variant>
        <vt:i4>5</vt:i4>
      </vt:variant>
      <vt:variant>
        <vt:lpwstr>http://ec.europa.eu/education/opportunities/higher-education/quality-framework_en.htm</vt:lpwstr>
      </vt:variant>
      <vt:variant>
        <vt:lpwstr/>
      </vt:variant>
      <vt:variant>
        <vt:i4>327803</vt:i4>
      </vt:variant>
      <vt:variant>
        <vt:i4>882</vt:i4>
      </vt:variant>
      <vt:variant>
        <vt:i4>0</vt:i4>
      </vt:variant>
      <vt:variant>
        <vt:i4>5</vt:i4>
      </vt:variant>
      <vt:variant>
        <vt:lpwstr>https://ec.europa.eu/programmes/erasmus-plus/sites/erasmusplus/files/library//eche-monitoring-guide_en.pdf</vt:lpwstr>
      </vt:variant>
      <vt:variant>
        <vt:lpwstr/>
      </vt:variant>
      <vt:variant>
        <vt:i4>327803</vt:i4>
      </vt:variant>
      <vt:variant>
        <vt:i4>879</vt:i4>
      </vt:variant>
      <vt:variant>
        <vt:i4>0</vt:i4>
      </vt:variant>
      <vt:variant>
        <vt:i4>5</vt:i4>
      </vt:variant>
      <vt:variant>
        <vt:lpwstr>https://ec.europa.eu/programmes/erasmus-plus/sites/erasmusplus/files/library//eche-monitoring-guide_en.pdf</vt:lpwstr>
      </vt:variant>
      <vt:variant>
        <vt:lpwstr/>
      </vt:variant>
      <vt:variant>
        <vt:i4>196666</vt:i4>
      </vt:variant>
      <vt:variant>
        <vt:i4>876</vt:i4>
      </vt:variant>
      <vt:variant>
        <vt:i4>0</vt:i4>
      </vt:variant>
      <vt:variant>
        <vt:i4>5</vt:i4>
      </vt:variant>
      <vt:variant>
        <vt:lpwstr>https://eacea.ec.europa.eu/erasmus-plus/funding/erasmus-charter-for-higher-education-2014-2020_en</vt:lpwstr>
      </vt:variant>
      <vt:variant>
        <vt:lpwstr/>
      </vt:variant>
      <vt:variant>
        <vt:i4>196666</vt:i4>
      </vt:variant>
      <vt:variant>
        <vt:i4>873</vt:i4>
      </vt:variant>
      <vt:variant>
        <vt:i4>0</vt:i4>
      </vt:variant>
      <vt:variant>
        <vt:i4>5</vt:i4>
      </vt:variant>
      <vt:variant>
        <vt:lpwstr>https://eacea.ec.europa.eu/erasmus-plus/funding/erasmus-charter-for-higher-education-2014-2020_en</vt:lpwstr>
      </vt:variant>
      <vt:variant>
        <vt:lpwstr/>
      </vt:variant>
      <vt:variant>
        <vt:i4>196666</vt:i4>
      </vt:variant>
      <vt:variant>
        <vt:i4>870</vt:i4>
      </vt:variant>
      <vt:variant>
        <vt:i4>0</vt:i4>
      </vt:variant>
      <vt:variant>
        <vt:i4>5</vt:i4>
      </vt:variant>
      <vt:variant>
        <vt:lpwstr>https://eacea.ec.europa.eu/erasmus-plus/funding/erasmus-charter-for-higher-education-2014-2020_en</vt:lpwstr>
      </vt:variant>
      <vt:variant>
        <vt:lpwstr/>
      </vt:variant>
      <vt:variant>
        <vt:i4>1507381</vt:i4>
      </vt:variant>
      <vt:variant>
        <vt:i4>864</vt:i4>
      </vt:variant>
      <vt:variant>
        <vt:i4>0</vt:i4>
      </vt:variant>
      <vt:variant>
        <vt:i4>5</vt:i4>
      </vt:variant>
      <vt:variant>
        <vt:lpwstr/>
      </vt:variant>
      <vt:variant>
        <vt:lpwstr>_Toc524425632</vt:lpwstr>
      </vt:variant>
      <vt:variant>
        <vt:i4>1441845</vt:i4>
      </vt:variant>
      <vt:variant>
        <vt:i4>858</vt:i4>
      </vt:variant>
      <vt:variant>
        <vt:i4>0</vt:i4>
      </vt:variant>
      <vt:variant>
        <vt:i4>5</vt:i4>
      </vt:variant>
      <vt:variant>
        <vt:lpwstr/>
      </vt:variant>
      <vt:variant>
        <vt:lpwstr>_Toc524425628</vt:lpwstr>
      </vt:variant>
      <vt:variant>
        <vt:i4>1441845</vt:i4>
      </vt:variant>
      <vt:variant>
        <vt:i4>852</vt:i4>
      </vt:variant>
      <vt:variant>
        <vt:i4>0</vt:i4>
      </vt:variant>
      <vt:variant>
        <vt:i4>5</vt:i4>
      </vt:variant>
      <vt:variant>
        <vt:lpwstr/>
      </vt:variant>
      <vt:variant>
        <vt:lpwstr>_Toc524425623</vt:lpwstr>
      </vt:variant>
      <vt:variant>
        <vt:i4>1441845</vt:i4>
      </vt:variant>
      <vt:variant>
        <vt:i4>846</vt:i4>
      </vt:variant>
      <vt:variant>
        <vt:i4>0</vt:i4>
      </vt:variant>
      <vt:variant>
        <vt:i4>5</vt:i4>
      </vt:variant>
      <vt:variant>
        <vt:lpwstr/>
      </vt:variant>
      <vt:variant>
        <vt:lpwstr>_Toc524425621</vt:lpwstr>
      </vt:variant>
      <vt:variant>
        <vt:i4>1376309</vt:i4>
      </vt:variant>
      <vt:variant>
        <vt:i4>840</vt:i4>
      </vt:variant>
      <vt:variant>
        <vt:i4>0</vt:i4>
      </vt:variant>
      <vt:variant>
        <vt:i4>5</vt:i4>
      </vt:variant>
      <vt:variant>
        <vt:lpwstr/>
      </vt:variant>
      <vt:variant>
        <vt:lpwstr>_Toc524425617</vt:lpwstr>
      </vt:variant>
      <vt:variant>
        <vt:i4>1376309</vt:i4>
      </vt:variant>
      <vt:variant>
        <vt:i4>834</vt:i4>
      </vt:variant>
      <vt:variant>
        <vt:i4>0</vt:i4>
      </vt:variant>
      <vt:variant>
        <vt:i4>5</vt:i4>
      </vt:variant>
      <vt:variant>
        <vt:lpwstr/>
      </vt:variant>
      <vt:variant>
        <vt:lpwstr>_Toc524425613</vt:lpwstr>
      </vt:variant>
      <vt:variant>
        <vt:i4>1310773</vt:i4>
      </vt:variant>
      <vt:variant>
        <vt:i4>828</vt:i4>
      </vt:variant>
      <vt:variant>
        <vt:i4>0</vt:i4>
      </vt:variant>
      <vt:variant>
        <vt:i4>5</vt:i4>
      </vt:variant>
      <vt:variant>
        <vt:lpwstr/>
      </vt:variant>
      <vt:variant>
        <vt:lpwstr>_Toc524425608</vt:lpwstr>
      </vt:variant>
      <vt:variant>
        <vt:i4>1310773</vt:i4>
      </vt:variant>
      <vt:variant>
        <vt:i4>822</vt:i4>
      </vt:variant>
      <vt:variant>
        <vt:i4>0</vt:i4>
      </vt:variant>
      <vt:variant>
        <vt:i4>5</vt:i4>
      </vt:variant>
      <vt:variant>
        <vt:lpwstr/>
      </vt:variant>
      <vt:variant>
        <vt:lpwstr>_Toc524425604</vt:lpwstr>
      </vt:variant>
      <vt:variant>
        <vt:i4>1310773</vt:i4>
      </vt:variant>
      <vt:variant>
        <vt:i4>816</vt:i4>
      </vt:variant>
      <vt:variant>
        <vt:i4>0</vt:i4>
      </vt:variant>
      <vt:variant>
        <vt:i4>5</vt:i4>
      </vt:variant>
      <vt:variant>
        <vt:lpwstr/>
      </vt:variant>
      <vt:variant>
        <vt:lpwstr>_Toc524425602</vt:lpwstr>
      </vt:variant>
      <vt:variant>
        <vt:i4>5374012</vt:i4>
      </vt:variant>
      <vt:variant>
        <vt:i4>813</vt:i4>
      </vt:variant>
      <vt:variant>
        <vt:i4>0</vt:i4>
      </vt:variant>
      <vt:variant>
        <vt:i4>5</vt:i4>
      </vt:variant>
      <vt:variant>
        <vt:lpwstr>http://ec.europa.eu/budget/contracts_grants/info_contracts/financial_id/financial_id_en.cfm</vt:lpwstr>
      </vt:variant>
      <vt:variant>
        <vt:lpwstr/>
      </vt:variant>
      <vt:variant>
        <vt:i4>4718630</vt:i4>
      </vt:variant>
      <vt:variant>
        <vt:i4>810</vt:i4>
      </vt:variant>
      <vt:variant>
        <vt:i4>0</vt:i4>
      </vt:variant>
      <vt:variant>
        <vt:i4>5</vt:i4>
      </vt:variant>
      <vt:variant>
        <vt:lpwstr>http://ec.europa.eu/budget/contracts_grants/info_contracts/legal_entities/legal_entities_en.cfm</vt:lpwstr>
      </vt:variant>
      <vt:variant>
        <vt:lpwstr/>
      </vt:variant>
      <vt:variant>
        <vt:i4>6094858</vt:i4>
      </vt:variant>
      <vt:variant>
        <vt:i4>807</vt:i4>
      </vt:variant>
      <vt:variant>
        <vt:i4>0</vt:i4>
      </vt:variant>
      <vt:variant>
        <vt:i4>5</vt:i4>
      </vt:variant>
      <vt:variant>
        <vt:lpwstr>http://ec.europa.eu/education/participants/portal/desktop/en/organisations/register.html</vt:lpwstr>
      </vt:variant>
      <vt:variant>
        <vt:lpwstr/>
      </vt:variant>
      <vt:variant>
        <vt:i4>2293878</vt:i4>
      </vt:variant>
      <vt:variant>
        <vt:i4>804</vt:i4>
      </vt:variant>
      <vt:variant>
        <vt:i4>0</vt:i4>
      </vt:variant>
      <vt:variant>
        <vt:i4>5</vt:i4>
      </vt:variant>
      <vt:variant>
        <vt:lpwstr>https://webgate.ec.europa.eu/cas/eim/external/register.cgi</vt:lpwstr>
      </vt:variant>
      <vt:variant>
        <vt:lpwstr/>
      </vt:variant>
      <vt:variant>
        <vt:i4>6094858</vt:i4>
      </vt:variant>
      <vt:variant>
        <vt:i4>801</vt:i4>
      </vt:variant>
      <vt:variant>
        <vt:i4>0</vt:i4>
      </vt:variant>
      <vt:variant>
        <vt:i4>5</vt:i4>
      </vt:variant>
      <vt:variant>
        <vt:lpwstr>http://ec.europa.eu/education/participants/portal/desktop/en/organisations/register.html</vt:lpwstr>
      </vt:variant>
      <vt:variant>
        <vt:lpwstr/>
      </vt:variant>
      <vt:variant>
        <vt:i4>8126526</vt:i4>
      </vt:variant>
      <vt:variant>
        <vt:i4>798</vt:i4>
      </vt:variant>
      <vt:variant>
        <vt:i4>0</vt:i4>
      </vt:variant>
      <vt:variant>
        <vt:i4>5</vt:i4>
      </vt:variant>
      <vt:variant>
        <vt:lpwstr>http://ec.europa.eu/sport/</vt:lpwstr>
      </vt:variant>
      <vt:variant>
        <vt:lpwstr/>
      </vt:variant>
      <vt:variant>
        <vt:i4>7471148</vt:i4>
      </vt:variant>
      <vt:variant>
        <vt:i4>795</vt:i4>
      </vt:variant>
      <vt:variant>
        <vt:i4>0</vt:i4>
      </vt:variant>
      <vt:variant>
        <vt:i4>5</vt:i4>
      </vt:variant>
      <vt:variant>
        <vt:lpwstr>http://ec.europa.eu/sport/week/</vt:lpwstr>
      </vt:variant>
      <vt:variant>
        <vt:lpwstr/>
      </vt:variant>
      <vt:variant>
        <vt:i4>5767184</vt:i4>
      </vt:variant>
      <vt:variant>
        <vt:i4>792</vt:i4>
      </vt:variant>
      <vt:variant>
        <vt:i4>0</vt:i4>
      </vt:variant>
      <vt:variant>
        <vt:i4>5</vt:i4>
      </vt:variant>
      <vt:variant>
        <vt:lpwstr>https://ec.europa.eu/programmes/erasmus-plus/programme-guide/part-b/three-key-actions/jean-monnet-activities/projects</vt:lpwstr>
      </vt:variant>
      <vt:variant>
        <vt:lpwstr/>
      </vt:variant>
      <vt:variant>
        <vt:i4>4718603</vt:i4>
      </vt:variant>
      <vt:variant>
        <vt:i4>789</vt:i4>
      </vt:variant>
      <vt:variant>
        <vt:i4>0</vt:i4>
      </vt:variant>
      <vt:variant>
        <vt:i4>5</vt:i4>
      </vt:variant>
      <vt:variant>
        <vt:lpwstr>https://ec.europa.eu/programmes/erasmus-plus/programme-guide/part-b/three-key-actions/jean-monnet-activities/networks</vt:lpwstr>
      </vt:variant>
      <vt:variant>
        <vt:lpwstr/>
      </vt:variant>
      <vt:variant>
        <vt:i4>655433</vt:i4>
      </vt:variant>
      <vt:variant>
        <vt:i4>786</vt:i4>
      </vt:variant>
      <vt:variant>
        <vt:i4>0</vt:i4>
      </vt:variant>
      <vt:variant>
        <vt:i4>5</vt:i4>
      </vt:variant>
      <vt:variant>
        <vt:lpwstr>https://ec.europa.eu/programmes/erasmus-plus/programme-guide/part-b/three-key-actions/jean-monnet-activities/support-to-associations</vt:lpwstr>
      </vt:variant>
      <vt:variant>
        <vt:lpwstr/>
      </vt:variant>
      <vt:variant>
        <vt:i4>6422584</vt:i4>
      </vt:variant>
      <vt:variant>
        <vt:i4>783</vt:i4>
      </vt:variant>
      <vt:variant>
        <vt:i4>0</vt:i4>
      </vt:variant>
      <vt:variant>
        <vt:i4>5</vt:i4>
      </vt:variant>
      <vt:variant>
        <vt:lpwstr>https://ec.europa.eu/programmes/erasmus-plus/programme-guide/part-b/three-key-actions/jean-monnet-activities/centres-of-excellence</vt:lpwstr>
      </vt:variant>
      <vt:variant>
        <vt:lpwstr/>
      </vt:variant>
      <vt:variant>
        <vt:i4>2490474</vt:i4>
      </vt:variant>
      <vt:variant>
        <vt:i4>780</vt:i4>
      </vt:variant>
      <vt:variant>
        <vt:i4>0</vt:i4>
      </vt:variant>
      <vt:variant>
        <vt:i4>5</vt:i4>
      </vt:variant>
      <vt:variant>
        <vt:lpwstr>https://ec.europa.eu/programmes/erasmus-plus/programme-guide/part-b/three-key-actions/jean-monnet-activities/chairs</vt:lpwstr>
      </vt:variant>
      <vt:variant>
        <vt:lpwstr/>
      </vt:variant>
      <vt:variant>
        <vt:i4>4194324</vt:i4>
      </vt:variant>
      <vt:variant>
        <vt:i4>777</vt:i4>
      </vt:variant>
      <vt:variant>
        <vt:i4>0</vt:i4>
      </vt:variant>
      <vt:variant>
        <vt:i4>5</vt:i4>
      </vt:variant>
      <vt:variant>
        <vt:lpwstr>https://ec.europa.eu/programmes/erasmus-plus/programme-guide/part-b/three-key-actions/jean-monnet-activities/modules</vt:lpwstr>
      </vt:variant>
      <vt:variant>
        <vt:lpwstr/>
      </vt:variant>
      <vt:variant>
        <vt:i4>4325455</vt:i4>
      </vt:variant>
      <vt:variant>
        <vt:i4>774</vt:i4>
      </vt:variant>
      <vt:variant>
        <vt:i4>0</vt:i4>
      </vt:variant>
      <vt:variant>
        <vt:i4>5</vt:i4>
      </vt:variant>
      <vt:variant>
        <vt:lpwstr>https://ec.europa.eu/programmes/erasmus-plus/</vt:lpwstr>
      </vt:variant>
      <vt:variant>
        <vt:lpwstr/>
      </vt:variant>
      <vt:variant>
        <vt:i4>4325455</vt:i4>
      </vt:variant>
      <vt:variant>
        <vt:i4>762</vt:i4>
      </vt:variant>
      <vt:variant>
        <vt:i4>0</vt:i4>
      </vt:variant>
      <vt:variant>
        <vt:i4>5</vt:i4>
      </vt:variant>
      <vt:variant>
        <vt:lpwstr>https://ec.europa.eu/programmes/erasmus-plus/</vt:lpwstr>
      </vt:variant>
      <vt:variant>
        <vt:lpwstr/>
      </vt:variant>
      <vt:variant>
        <vt:i4>4325455</vt:i4>
      </vt:variant>
      <vt:variant>
        <vt:i4>759</vt:i4>
      </vt:variant>
      <vt:variant>
        <vt:i4>0</vt:i4>
      </vt:variant>
      <vt:variant>
        <vt:i4>5</vt:i4>
      </vt:variant>
      <vt:variant>
        <vt:lpwstr>https://ec.europa.eu/programmes/erasmus-plus/</vt:lpwstr>
      </vt:variant>
      <vt:variant>
        <vt:lpwstr/>
      </vt:variant>
      <vt:variant>
        <vt:i4>3932278</vt:i4>
      </vt:variant>
      <vt:variant>
        <vt:i4>756</vt:i4>
      </vt:variant>
      <vt:variant>
        <vt:i4>0</vt:i4>
      </vt:variant>
      <vt:variant>
        <vt:i4>5</vt:i4>
      </vt:variant>
      <vt:variant>
        <vt:lpwstr>https://myintracomm-collab.ec.europa.eu/F:/01-Delo/E4A/20120623/user information_staff mobility_2012 06 23%5B1%5D.doc</vt:lpwstr>
      </vt:variant>
      <vt:variant>
        <vt:lpwstr/>
      </vt:variant>
      <vt:variant>
        <vt:i4>4325455</vt:i4>
      </vt:variant>
      <vt:variant>
        <vt:i4>753</vt:i4>
      </vt:variant>
      <vt:variant>
        <vt:i4>0</vt:i4>
      </vt:variant>
      <vt:variant>
        <vt:i4>5</vt:i4>
      </vt:variant>
      <vt:variant>
        <vt:lpwstr>https://ec.europa.eu/programmes/erasmus-plus/</vt:lpwstr>
      </vt:variant>
      <vt:variant>
        <vt:lpwstr/>
      </vt:variant>
      <vt:variant>
        <vt:i4>4325455</vt:i4>
      </vt:variant>
      <vt:variant>
        <vt:i4>735</vt:i4>
      </vt:variant>
      <vt:variant>
        <vt:i4>0</vt:i4>
      </vt:variant>
      <vt:variant>
        <vt:i4>5</vt:i4>
      </vt:variant>
      <vt:variant>
        <vt:lpwstr>https://ec.europa.eu/programmes/erasmus-plus/</vt:lpwstr>
      </vt:variant>
      <vt:variant>
        <vt:lpwstr/>
      </vt:variant>
      <vt:variant>
        <vt:i4>458805</vt:i4>
      </vt:variant>
      <vt:variant>
        <vt:i4>732</vt:i4>
      </vt:variant>
      <vt:variant>
        <vt:i4>0</vt:i4>
      </vt:variant>
      <vt:variant>
        <vt:i4>5</vt:i4>
      </vt:variant>
      <vt:variant>
        <vt:lpwstr>file://F:\..\AppData\Roaming\Microsoft\AppData\Local\Microsoft\Windows\Temporary Internet Files\Content.Outlook\AppData\Local\Microsoft\Windows\Temporary Internet Files\guazzgi\AppData\Local\Microsoft\Windows\Temporary Internet Files\Content.Outlook\AppDa</vt:lpwstr>
      </vt:variant>
      <vt:variant>
        <vt:lpwstr/>
      </vt:variant>
      <vt:variant>
        <vt:i4>4325455</vt:i4>
      </vt:variant>
      <vt:variant>
        <vt:i4>729</vt:i4>
      </vt:variant>
      <vt:variant>
        <vt:i4>0</vt:i4>
      </vt:variant>
      <vt:variant>
        <vt:i4>5</vt:i4>
      </vt:variant>
      <vt:variant>
        <vt:lpwstr>https://ec.europa.eu/programmes/erasmus-plus/</vt:lpwstr>
      </vt:variant>
      <vt:variant>
        <vt:lpwstr/>
      </vt:variant>
      <vt:variant>
        <vt:i4>4456545</vt:i4>
      </vt:variant>
      <vt:variant>
        <vt:i4>726</vt:i4>
      </vt:variant>
      <vt:variant>
        <vt:i4>0</vt:i4>
      </vt:variant>
      <vt:variant>
        <vt:i4>5</vt:i4>
      </vt:variant>
      <vt:variant>
        <vt:lpwstr>C:\Users\Kathy\AppData\Roaming\Microsoft\Word\(http:\www.ilo.org\public\french\bureau\stat\isco\isco08\index.htm)</vt:lpwstr>
      </vt:variant>
      <vt:variant>
        <vt:lpwstr/>
      </vt:variant>
      <vt:variant>
        <vt:i4>2424836</vt:i4>
      </vt:variant>
      <vt:variant>
        <vt:i4>720</vt:i4>
      </vt:variant>
      <vt:variant>
        <vt:i4>0</vt:i4>
      </vt:variant>
      <vt:variant>
        <vt:i4>5</vt:i4>
      </vt:variant>
      <vt:variant>
        <vt:lpwstr>https://ec.europa.eu/programmes/erasmus-plus/node/11_sl</vt:lpwstr>
      </vt:variant>
      <vt:variant>
        <vt:lpwstr/>
      </vt:variant>
      <vt:variant>
        <vt:i4>4325455</vt:i4>
      </vt:variant>
      <vt:variant>
        <vt:i4>717</vt:i4>
      </vt:variant>
      <vt:variant>
        <vt:i4>0</vt:i4>
      </vt:variant>
      <vt:variant>
        <vt:i4>5</vt:i4>
      </vt:variant>
      <vt:variant>
        <vt:lpwstr>https://ec.europa.eu/programmes/erasmus-plus/</vt:lpwstr>
      </vt:variant>
      <vt:variant>
        <vt:lpwstr/>
      </vt:variant>
      <vt:variant>
        <vt:i4>4325455</vt:i4>
      </vt:variant>
      <vt:variant>
        <vt:i4>711</vt:i4>
      </vt:variant>
      <vt:variant>
        <vt:i4>0</vt:i4>
      </vt:variant>
      <vt:variant>
        <vt:i4>5</vt:i4>
      </vt:variant>
      <vt:variant>
        <vt:lpwstr>https://ec.europa.eu/programmes/erasmus-plus/</vt:lpwstr>
      </vt:variant>
      <vt:variant>
        <vt:lpwstr/>
      </vt:variant>
      <vt:variant>
        <vt:i4>4325455</vt:i4>
      </vt:variant>
      <vt:variant>
        <vt:i4>705</vt:i4>
      </vt:variant>
      <vt:variant>
        <vt:i4>0</vt:i4>
      </vt:variant>
      <vt:variant>
        <vt:i4>5</vt:i4>
      </vt:variant>
      <vt:variant>
        <vt:lpwstr>https://ec.europa.eu/programmes/erasmus-plus/</vt:lpwstr>
      </vt:variant>
      <vt:variant>
        <vt:lpwstr/>
      </vt:variant>
      <vt:variant>
        <vt:i4>4325455</vt:i4>
      </vt:variant>
      <vt:variant>
        <vt:i4>702</vt:i4>
      </vt:variant>
      <vt:variant>
        <vt:i4>0</vt:i4>
      </vt:variant>
      <vt:variant>
        <vt:i4>5</vt:i4>
      </vt:variant>
      <vt:variant>
        <vt:lpwstr>https://ec.europa.eu/programmes/erasmus-plus/</vt:lpwstr>
      </vt:variant>
      <vt:variant>
        <vt:lpwstr/>
      </vt:variant>
      <vt:variant>
        <vt:i4>4325455</vt:i4>
      </vt:variant>
      <vt:variant>
        <vt:i4>699</vt:i4>
      </vt:variant>
      <vt:variant>
        <vt:i4>0</vt:i4>
      </vt:variant>
      <vt:variant>
        <vt:i4>5</vt:i4>
      </vt:variant>
      <vt:variant>
        <vt:lpwstr>https://ec.europa.eu/programmes/erasmus-plus/</vt:lpwstr>
      </vt:variant>
      <vt:variant>
        <vt:lpwstr/>
      </vt:variant>
      <vt:variant>
        <vt:i4>4325455</vt:i4>
      </vt:variant>
      <vt:variant>
        <vt:i4>693</vt:i4>
      </vt:variant>
      <vt:variant>
        <vt:i4>0</vt:i4>
      </vt:variant>
      <vt:variant>
        <vt:i4>5</vt:i4>
      </vt:variant>
      <vt:variant>
        <vt:lpwstr>https://ec.europa.eu/programmes/erasmus-plus/</vt:lpwstr>
      </vt:variant>
      <vt:variant>
        <vt:lpwstr/>
      </vt:variant>
      <vt:variant>
        <vt:i4>4325455</vt:i4>
      </vt:variant>
      <vt:variant>
        <vt:i4>690</vt:i4>
      </vt:variant>
      <vt:variant>
        <vt:i4>0</vt:i4>
      </vt:variant>
      <vt:variant>
        <vt:i4>5</vt:i4>
      </vt:variant>
      <vt:variant>
        <vt:lpwstr>https://ec.europa.eu/programmes/erasmus-plus/</vt:lpwstr>
      </vt:variant>
      <vt:variant>
        <vt:lpwstr/>
      </vt:variant>
      <vt:variant>
        <vt:i4>4325455</vt:i4>
      </vt:variant>
      <vt:variant>
        <vt:i4>687</vt:i4>
      </vt:variant>
      <vt:variant>
        <vt:i4>0</vt:i4>
      </vt:variant>
      <vt:variant>
        <vt:i4>5</vt:i4>
      </vt:variant>
      <vt:variant>
        <vt:lpwstr>https://ec.europa.eu/programmes/erasmus-plus/</vt:lpwstr>
      </vt:variant>
      <vt:variant>
        <vt:lpwstr/>
      </vt:variant>
      <vt:variant>
        <vt:i4>4325455</vt:i4>
      </vt:variant>
      <vt:variant>
        <vt:i4>684</vt:i4>
      </vt:variant>
      <vt:variant>
        <vt:i4>0</vt:i4>
      </vt:variant>
      <vt:variant>
        <vt:i4>5</vt:i4>
      </vt:variant>
      <vt:variant>
        <vt:lpwstr>https://ec.europa.eu/programmes/erasmus-plus/</vt:lpwstr>
      </vt:variant>
      <vt:variant>
        <vt:lpwstr/>
      </vt:variant>
      <vt:variant>
        <vt:i4>6094929</vt:i4>
      </vt:variant>
      <vt:variant>
        <vt:i4>678</vt:i4>
      </vt:variant>
      <vt:variant>
        <vt:i4>0</vt:i4>
      </vt:variant>
      <vt:variant>
        <vt:i4>5</vt:i4>
      </vt:variant>
      <vt:variant>
        <vt:lpwstr>http://ec.europa.eu/immigration/tab2.do?subSec=11&amp;amp;language=7%24en</vt:lpwstr>
      </vt:variant>
      <vt:variant>
        <vt:lpwstr/>
      </vt:variant>
      <vt:variant>
        <vt:i4>7340065</vt:i4>
      </vt:variant>
      <vt:variant>
        <vt:i4>675</vt:i4>
      </vt:variant>
      <vt:variant>
        <vt:i4>0</vt:i4>
      </vt:variant>
      <vt:variant>
        <vt:i4>5</vt:i4>
      </vt:variant>
      <vt:variant>
        <vt:lpwstr>http://www.eurodesk.eu/</vt:lpwstr>
      </vt:variant>
      <vt:variant>
        <vt:lpwstr/>
      </vt:variant>
      <vt:variant>
        <vt:i4>1179682</vt:i4>
      </vt:variant>
      <vt:variant>
        <vt:i4>669</vt:i4>
      </vt:variant>
      <vt:variant>
        <vt:i4>0</vt:i4>
      </vt:variant>
      <vt:variant>
        <vt:i4>5</vt:i4>
      </vt:variant>
      <vt:variant>
        <vt:lpwstr>https://europa.eu/youth/EU_sl</vt:lpwstr>
      </vt:variant>
      <vt:variant>
        <vt:lpwstr/>
      </vt:variant>
      <vt:variant>
        <vt:i4>2424842</vt:i4>
      </vt:variant>
      <vt:variant>
        <vt:i4>666</vt:i4>
      </vt:variant>
      <vt:variant>
        <vt:i4>0</vt:i4>
      </vt:variant>
      <vt:variant>
        <vt:i4>5</vt:i4>
      </vt:variant>
      <vt:variant>
        <vt:lpwstr>http://europa.eu/youth/eu_sl</vt:lpwstr>
      </vt:variant>
      <vt:variant>
        <vt:lpwstr/>
      </vt:variant>
      <vt:variant>
        <vt:i4>1114142</vt:i4>
      </vt:variant>
      <vt:variant>
        <vt:i4>663</vt:i4>
      </vt:variant>
      <vt:variant>
        <vt:i4>0</vt:i4>
      </vt:variant>
      <vt:variant>
        <vt:i4>5</vt:i4>
      </vt:variant>
      <vt:variant>
        <vt:lpwstr>http://www.otlas.eu/</vt:lpwstr>
      </vt:variant>
      <vt:variant>
        <vt:lpwstr/>
      </vt:variant>
      <vt:variant>
        <vt:i4>5570562</vt:i4>
      </vt:variant>
      <vt:variant>
        <vt:i4>660</vt:i4>
      </vt:variant>
      <vt:variant>
        <vt:i4>0</vt:i4>
      </vt:variant>
      <vt:variant>
        <vt:i4>5</vt:i4>
      </vt:variant>
      <vt:variant>
        <vt:lpwstr>http://www.salto-youth.net/otlas</vt:lpwstr>
      </vt:variant>
      <vt:variant>
        <vt:lpwstr/>
      </vt:variant>
      <vt:variant>
        <vt:i4>5898246</vt:i4>
      </vt:variant>
      <vt:variant>
        <vt:i4>654</vt:i4>
      </vt:variant>
      <vt:variant>
        <vt:i4>0</vt:i4>
      </vt:variant>
      <vt:variant>
        <vt:i4>5</vt:i4>
      </vt:variant>
      <vt:variant>
        <vt:lpwstr>http://www.salto-et.net/</vt:lpwstr>
      </vt:variant>
      <vt:variant>
        <vt:lpwstr/>
      </vt:variant>
      <vt:variant>
        <vt:i4>2424888</vt:i4>
      </vt:variant>
      <vt:variant>
        <vt:i4>651</vt:i4>
      </vt:variant>
      <vt:variant>
        <vt:i4>0</vt:i4>
      </vt:variant>
      <vt:variant>
        <vt:i4>5</vt:i4>
      </vt:variant>
      <vt:variant>
        <vt:lpwstr>http://www.salto-youth.net/</vt:lpwstr>
      </vt:variant>
      <vt:variant>
        <vt:lpwstr/>
      </vt:variant>
      <vt:variant>
        <vt:i4>7208984</vt:i4>
      </vt:variant>
      <vt:variant>
        <vt:i4>648</vt:i4>
      </vt:variant>
      <vt:variant>
        <vt:i4>0</vt:i4>
      </vt:variant>
      <vt:variant>
        <vt:i4>5</vt:i4>
      </vt:variant>
      <vt:variant>
        <vt:lpwstr>http://ec.europa.eu/education/policy/vocational-policy/ecvet_sl.htm</vt:lpwstr>
      </vt:variant>
      <vt:variant>
        <vt:lpwstr/>
      </vt:variant>
      <vt:variant>
        <vt:i4>983120</vt:i4>
      </vt:variant>
      <vt:variant>
        <vt:i4>645</vt:i4>
      </vt:variant>
      <vt:variant>
        <vt:i4>0</vt:i4>
      </vt:variant>
      <vt:variant>
        <vt:i4>5</vt:i4>
      </vt:variant>
      <vt:variant>
        <vt:lpwstr>http://www.ecvet-secretariat.eu/</vt:lpwstr>
      </vt:variant>
      <vt:variant>
        <vt:lpwstr/>
      </vt:variant>
      <vt:variant>
        <vt:i4>6684728</vt:i4>
      </vt:variant>
      <vt:variant>
        <vt:i4>642</vt:i4>
      </vt:variant>
      <vt:variant>
        <vt:i4>0</vt:i4>
      </vt:variant>
      <vt:variant>
        <vt:i4>5</vt:i4>
      </vt:variant>
      <vt:variant>
        <vt:lpwstr>http://www.enic-naric.net/</vt:lpwstr>
      </vt:variant>
      <vt:variant>
        <vt:lpwstr/>
      </vt:variant>
      <vt:variant>
        <vt:i4>1114182</vt:i4>
      </vt:variant>
      <vt:variant>
        <vt:i4>639</vt:i4>
      </vt:variant>
      <vt:variant>
        <vt:i4>0</vt:i4>
      </vt:variant>
      <vt:variant>
        <vt:i4>5</vt:i4>
      </vt:variant>
      <vt:variant>
        <vt:lpwstr>http://www.eqavet.eu/</vt:lpwstr>
      </vt:variant>
      <vt:variant>
        <vt:lpwstr/>
      </vt:variant>
      <vt:variant>
        <vt:i4>3932204</vt:i4>
      </vt:variant>
      <vt:variant>
        <vt:i4>636</vt:i4>
      </vt:variant>
      <vt:variant>
        <vt:i4>0</vt:i4>
      </vt:variant>
      <vt:variant>
        <vt:i4>5</vt:i4>
      </vt:variant>
      <vt:variant>
        <vt:lpwstr>http://ec.europa.eu/ploteus</vt:lpwstr>
      </vt:variant>
      <vt:variant>
        <vt:lpwstr/>
      </vt:variant>
      <vt:variant>
        <vt:i4>4849679</vt:i4>
      </vt:variant>
      <vt:variant>
        <vt:i4>633</vt:i4>
      </vt:variant>
      <vt:variant>
        <vt:i4>0</vt:i4>
      </vt:variant>
      <vt:variant>
        <vt:i4>5</vt:i4>
      </vt:variant>
      <vt:variant>
        <vt:lpwstr>http://europass.cedefop.europa.eu/sl/about/national-europass-centres</vt:lpwstr>
      </vt:variant>
      <vt:variant>
        <vt:lpwstr/>
      </vt:variant>
      <vt:variant>
        <vt:i4>7012460</vt:i4>
      </vt:variant>
      <vt:variant>
        <vt:i4>630</vt:i4>
      </vt:variant>
      <vt:variant>
        <vt:i4>0</vt:i4>
      </vt:variant>
      <vt:variant>
        <vt:i4>5</vt:i4>
      </vt:variant>
      <vt:variant>
        <vt:lpwstr>http://euroguidance.eu/</vt:lpwstr>
      </vt:variant>
      <vt:variant>
        <vt:lpwstr/>
      </vt:variant>
      <vt:variant>
        <vt:i4>7012460</vt:i4>
      </vt:variant>
      <vt:variant>
        <vt:i4>627</vt:i4>
      </vt:variant>
      <vt:variant>
        <vt:i4>0</vt:i4>
      </vt:variant>
      <vt:variant>
        <vt:i4>5</vt:i4>
      </vt:variant>
      <vt:variant>
        <vt:lpwstr>http://euroguidance.eu/</vt:lpwstr>
      </vt:variant>
      <vt:variant>
        <vt:lpwstr/>
      </vt:variant>
      <vt:variant>
        <vt:i4>8192126</vt:i4>
      </vt:variant>
      <vt:variant>
        <vt:i4>621</vt:i4>
      </vt:variant>
      <vt:variant>
        <vt:i4>0</vt:i4>
      </vt:variant>
      <vt:variant>
        <vt:i4>5</vt:i4>
      </vt:variant>
      <vt:variant>
        <vt:lpwstr>https://europa.eu/youth/erasmusvirtual</vt:lpwstr>
      </vt:variant>
      <vt:variant>
        <vt:lpwstr/>
      </vt:variant>
      <vt:variant>
        <vt:i4>7209004</vt:i4>
      </vt:variant>
      <vt:variant>
        <vt:i4>618</vt:i4>
      </vt:variant>
      <vt:variant>
        <vt:i4>0</vt:i4>
      </vt:variant>
      <vt:variant>
        <vt:i4>5</vt:i4>
      </vt:variant>
      <vt:variant>
        <vt:lpwstr>https://ec.europa.eu/epale/sl/home-page</vt:lpwstr>
      </vt:variant>
      <vt:variant>
        <vt:lpwstr/>
      </vt:variant>
      <vt:variant>
        <vt:i4>7209004</vt:i4>
      </vt:variant>
      <vt:variant>
        <vt:i4>615</vt:i4>
      </vt:variant>
      <vt:variant>
        <vt:i4>0</vt:i4>
      </vt:variant>
      <vt:variant>
        <vt:i4>5</vt:i4>
      </vt:variant>
      <vt:variant>
        <vt:lpwstr>https://ec.europa.eu/epale/sl/home-page</vt:lpwstr>
      </vt:variant>
      <vt:variant>
        <vt:lpwstr/>
      </vt:variant>
      <vt:variant>
        <vt:i4>4194328</vt:i4>
      </vt:variant>
      <vt:variant>
        <vt:i4>612</vt:i4>
      </vt:variant>
      <vt:variant>
        <vt:i4>0</vt:i4>
      </vt:variant>
      <vt:variant>
        <vt:i4>5</vt:i4>
      </vt:variant>
      <vt:variant>
        <vt:lpwstr>http://www.schooleducationgateway.eu/sl/pub/index.htm</vt:lpwstr>
      </vt:variant>
      <vt:variant>
        <vt:lpwstr/>
      </vt:variant>
      <vt:variant>
        <vt:i4>7143467</vt:i4>
      </vt:variant>
      <vt:variant>
        <vt:i4>609</vt:i4>
      </vt:variant>
      <vt:variant>
        <vt:i4>0</vt:i4>
      </vt:variant>
      <vt:variant>
        <vt:i4>5</vt:i4>
      </vt:variant>
      <vt:variant>
        <vt:lpwstr>https://www.schooleducationgateway.eu/sl/pub/index.htm</vt:lpwstr>
      </vt:variant>
      <vt:variant>
        <vt:lpwstr/>
      </vt:variant>
      <vt:variant>
        <vt:i4>5373964</vt:i4>
      </vt:variant>
      <vt:variant>
        <vt:i4>606</vt:i4>
      </vt:variant>
      <vt:variant>
        <vt:i4>0</vt:i4>
      </vt:variant>
      <vt:variant>
        <vt:i4>5</vt:i4>
      </vt:variant>
      <vt:variant>
        <vt:lpwstr>https://www.etwinning.net/sl/pub/contact.htm</vt:lpwstr>
      </vt:variant>
      <vt:variant>
        <vt:lpwstr/>
      </vt:variant>
      <vt:variant>
        <vt:i4>4128895</vt:i4>
      </vt:variant>
      <vt:variant>
        <vt:i4>603</vt:i4>
      </vt:variant>
      <vt:variant>
        <vt:i4>0</vt:i4>
      </vt:variant>
      <vt:variant>
        <vt:i4>5</vt:i4>
      </vt:variant>
      <vt:variant>
        <vt:lpwstr>https://www.etwinning.net/sl/pub/index.htm</vt:lpwstr>
      </vt:variant>
      <vt:variant>
        <vt:lpwstr/>
      </vt:variant>
      <vt:variant>
        <vt:i4>5439615</vt:i4>
      </vt:variant>
      <vt:variant>
        <vt:i4>600</vt:i4>
      </vt:variant>
      <vt:variant>
        <vt:i4>0</vt:i4>
      </vt:variant>
      <vt:variant>
        <vt:i4>5</vt:i4>
      </vt:variant>
      <vt:variant>
        <vt:lpwstr>http://eacea.ec.europa.eu/education/eurydice/index_en.php</vt:lpwstr>
      </vt:variant>
      <vt:variant>
        <vt:lpwstr/>
      </vt:variant>
      <vt:variant>
        <vt:i4>3342405</vt:i4>
      </vt:variant>
      <vt:variant>
        <vt:i4>597</vt:i4>
      </vt:variant>
      <vt:variant>
        <vt:i4>0</vt:i4>
      </vt:variant>
      <vt:variant>
        <vt:i4>5</vt:i4>
      </vt:variant>
      <vt:variant>
        <vt:lpwstr>https://ec.europa.eu/programmes/erasmus-plus/programme-guide/part-a/who-implements-the-programme/the-european-commission_sl</vt:lpwstr>
      </vt:variant>
      <vt:variant>
        <vt:lpwstr/>
      </vt:variant>
      <vt:variant>
        <vt:i4>4194413</vt:i4>
      </vt:variant>
      <vt:variant>
        <vt:i4>594</vt:i4>
      </vt:variant>
      <vt:variant>
        <vt:i4>0</vt:i4>
      </vt:variant>
      <vt:variant>
        <vt:i4>5</vt:i4>
      </vt:variant>
      <vt:variant>
        <vt:lpwstr>http://ec.europa.eu/budget/explained/management/deciding/deciding_detail/decide_detail_en.cfm</vt:lpwstr>
      </vt:variant>
      <vt:variant>
        <vt:lpwstr/>
      </vt:variant>
      <vt:variant>
        <vt:i4>4915250</vt:i4>
      </vt:variant>
      <vt:variant>
        <vt:i4>591</vt:i4>
      </vt:variant>
      <vt:variant>
        <vt:i4>0</vt:i4>
      </vt:variant>
      <vt:variant>
        <vt:i4>5</vt:i4>
      </vt:variant>
      <vt:variant>
        <vt:lpwstr>http://ec.europa.eu/dgs/education_culture/more_info/awp/index_en.htm</vt:lpwstr>
      </vt:variant>
      <vt:variant>
        <vt:lpwstr/>
      </vt:variant>
      <vt:variant>
        <vt:i4>4915250</vt:i4>
      </vt:variant>
      <vt:variant>
        <vt:i4>588</vt:i4>
      </vt:variant>
      <vt:variant>
        <vt:i4>0</vt:i4>
      </vt:variant>
      <vt:variant>
        <vt:i4>5</vt:i4>
      </vt:variant>
      <vt:variant>
        <vt:lpwstr>http://ec.europa.eu/dgs/education_culture/more_info/awp/index_en.htm</vt:lpwstr>
      </vt:variant>
      <vt:variant>
        <vt:lpwstr/>
      </vt:variant>
      <vt:variant>
        <vt:i4>4194413</vt:i4>
      </vt:variant>
      <vt:variant>
        <vt:i4>585</vt:i4>
      </vt:variant>
      <vt:variant>
        <vt:i4>0</vt:i4>
      </vt:variant>
      <vt:variant>
        <vt:i4>5</vt:i4>
      </vt:variant>
      <vt:variant>
        <vt:lpwstr>http://ec.europa.eu/budget/explained/management/deciding/deciding_detail/decide_detail_en.cfm</vt:lpwstr>
      </vt:variant>
      <vt:variant>
        <vt:lpwstr/>
      </vt:variant>
      <vt:variant>
        <vt:i4>3932197</vt:i4>
      </vt:variant>
      <vt:variant>
        <vt:i4>582</vt:i4>
      </vt:variant>
      <vt:variant>
        <vt:i4>0</vt:i4>
      </vt:variant>
      <vt:variant>
        <vt:i4>5</vt:i4>
      </vt:variant>
      <vt:variant>
        <vt:lpwstr>http://ec.europa.eu/social/main.jsp?catId=559&amp;amp;langId=sl</vt:lpwstr>
      </vt:variant>
      <vt:variant>
        <vt:lpwstr/>
      </vt:variant>
      <vt:variant>
        <vt:i4>3932197</vt:i4>
      </vt:variant>
      <vt:variant>
        <vt:i4>579</vt:i4>
      </vt:variant>
      <vt:variant>
        <vt:i4>0</vt:i4>
      </vt:variant>
      <vt:variant>
        <vt:i4>5</vt:i4>
      </vt:variant>
      <vt:variant>
        <vt:lpwstr>http://ec.europa.eu/social/main.jsp?catId=559&amp;amp;langId=sl</vt:lpwstr>
      </vt:variant>
      <vt:variant>
        <vt:lpwstr/>
      </vt:variant>
      <vt:variant>
        <vt:i4>3932197</vt:i4>
      </vt:variant>
      <vt:variant>
        <vt:i4>576</vt:i4>
      </vt:variant>
      <vt:variant>
        <vt:i4>0</vt:i4>
      </vt:variant>
      <vt:variant>
        <vt:i4>5</vt:i4>
      </vt:variant>
      <vt:variant>
        <vt:lpwstr>http://ec.europa.eu/social/main.jsp?catId=559&amp;amp;langId=sl</vt:lpwstr>
      </vt:variant>
      <vt:variant>
        <vt:lpwstr/>
      </vt:variant>
      <vt:variant>
        <vt:i4>4522050</vt:i4>
      </vt:variant>
      <vt:variant>
        <vt:i4>573</vt:i4>
      </vt:variant>
      <vt:variant>
        <vt:i4>0</vt:i4>
      </vt:variant>
      <vt:variant>
        <vt:i4>5</vt:i4>
      </vt:variant>
      <vt:variant>
        <vt:lpwstr>http://erasmusplusols.eu/sl/</vt:lpwstr>
      </vt:variant>
      <vt:variant>
        <vt:lpwstr/>
      </vt:variant>
      <vt:variant>
        <vt:i4>4522050</vt:i4>
      </vt:variant>
      <vt:variant>
        <vt:i4>570</vt:i4>
      </vt:variant>
      <vt:variant>
        <vt:i4>0</vt:i4>
      </vt:variant>
      <vt:variant>
        <vt:i4>5</vt:i4>
      </vt:variant>
      <vt:variant>
        <vt:lpwstr>http://erasmusplusols.eu/sl/</vt:lpwstr>
      </vt:variant>
      <vt:variant>
        <vt:lpwstr/>
      </vt:variant>
      <vt:variant>
        <vt:i4>5636140</vt:i4>
      </vt:variant>
      <vt:variant>
        <vt:i4>567</vt:i4>
      </vt:variant>
      <vt:variant>
        <vt:i4>0</vt:i4>
      </vt:variant>
      <vt:variant>
        <vt:i4>5</vt:i4>
      </vt:variant>
      <vt:variant>
        <vt:lpwstr>http://ec.europa.eu/education/policy/strategic-framework/skills-qualifications_sl</vt:lpwstr>
      </vt:variant>
      <vt:variant>
        <vt:lpwstr/>
      </vt:variant>
      <vt:variant>
        <vt:i4>6619144</vt:i4>
      </vt:variant>
      <vt:variant>
        <vt:i4>564</vt:i4>
      </vt:variant>
      <vt:variant>
        <vt:i4>0</vt:i4>
      </vt:variant>
      <vt:variant>
        <vt:i4>5</vt:i4>
      </vt:variant>
      <vt:variant>
        <vt:lpwstr>https://ec.europa.eu/programmes/erasmus-plus/programme-guide/annexes/annex-iv_sl</vt:lpwstr>
      </vt:variant>
      <vt:variant>
        <vt:lpwstr/>
      </vt:variant>
      <vt:variant>
        <vt:i4>4980795</vt:i4>
      </vt:variant>
      <vt:variant>
        <vt:i4>561</vt:i4>
      </vt:variant>
      <vt:variant>
        <vt:i4>0</vt:i4>
      </vt:variant>
      <vt:variant>
        <vt:i4>5</vt:i4>
      </vt:variant>
      <vt:variant>
        <vt:lpwstr>https://ec.europa.eu/programmes/erasmus-plus/programme-guide/annexes/annex-iii_sl</vt:lpwstr>
      </vt:variant>
      <vt:variant>
        <vt:lpwstr/>
      </vt:variant>
      <vt:variant>
        <vt:i4>6619159</vt:i4>
      </vt:variant>
      <vt:variant>
        <vt:i4>558</vt:i4>
      </vt:variant>
      <vt:variant>
        <vt:i4>0</vt:i4>
      </vt:variant>
      <vt:variant>
        <vt:i4>5</vt:i4>
      </vt:variant>
      <vt:variant>
        <vt:lpwstr>https://ec.europa.eu/programmes/erasmus-plus/programme-guide/annexes/annex-ii_sl</vt:lpwstr>
      </vt:variant>
      <vt:variant>
        <vt:lpwstr/>
      </vt:variant>
      <vt:variant>
        <vt:i4>2424914</vt:i4>
      </vt:variant>
      <vt:variant>
        <vt:i4>555</vt:i4>
      </vt:variant>
      <vt:variant>
        <vt:i4>0</vt:i4>
      </vt:variant>
      <vt:variant>
        <vt:i4>5</vt:i4>
      </vt:variant>
      <vt:variant>
        <vt:lpwstr>https://ec.europa.eu/programmes/erasmus-plus/programme-guide/annexes/annex-i_sl</vt:lpwstr>
      </vt:variant>
      <vt:variant>
        <vt:lpwstr/>
      </vt:variant>
      <vt:variant>
        <vt:i4>5242991</vt:i4>
      </vt:variant>
      <vt:variant>
        <vt:i4>552</vt:i4>
      </vt:variant>
      <vt:variant>
        <vt:i4>0</vt:i4>
      </vt:variant>
      <vt:variant>
        <vt:i4>5</vt:i4>
      </vt:variant>
      <vt:variant>
        <vt:lpwstr>https://ec.europa.eu/programmes/erasmus-plus/programme-guide/part-c_sl</vt:lpwstr>
      </vt:variant>
      <vt:variant>
        <vt:lpwstr/>
      </vt:variant>
      <vt:variant>
        <vt:i4>5242991</vt:i4>
      </vt:variant>
      <vt:variant>
        <vt:i4>549</vt:i4>
      </vt:variant>
      <vt:variant>
        <vt:i4>0</vt:i4>
      </vt:variant>
      <vt:variant>
        <vt:i4>5</vt:i4>
      </vt:variant>
      <vt:variant>
        <vt:lpwstr>https://ec.europa.eu/programmes/erasmus-plus/programme-guide/part-c_sl</vt:lpwstr>
      </vt:variant>
      <vt:variant>
        <vt:lpwstr/>
      </vt:variant>
      <vt:variant>
        <vt:i4>5242990</vt:i4>
      </vt:variant>
      <vt:variant>
        <vt:i4>546</vt:i4>
      </vt:variant>
      <vt:variant>
        <vt:i4>0</vt:i4>
      </vt:variant>
      <vt:variant>
        <vt:i4>5</vt:i4>
      </vt:variant>
      <vt:variant>
        <vt:lpwstr>https://ec.europa.eu/programmes/erasmus-plus/programme-guide/part-b_sl</vt:lpwstr>
      </vt:variant>
      <vt:variant>
        <vt:lpwstr/>
      </vt:variant>
      <vt:variant>
        <vt:i4>5242989</vt:i4>
      </vt:variant>
      <vt:variant>
        <vt:i4>543</vt:i4>
      </vt:variant>
      <vt:variant>
        <vt:i4>0</vt:i4>
      </vt:variant>
      <vt:variant>
        <vt:i4>5</vt:i4>
      </vt:variant>
      <vt:variant>
        <vt:lpwstr>https://ec.europa.eu/programmes/erasmus-plus/programme-guide/part-a_sl</vt:lpwstr>
      </vt:variant>
      <vt:variant>
        <vt:lpwstr/>
      </vt:variant>
      <vt:variant>
        <vt:i4>1048629</vt:i4>
      </vt:variant>
      <vt:variant>
        <vt:i4>536</vt:i4>
      </vt:variant>
      <vt:variant>
        <vt:i4>0</vt:i4>
      </vt:variant>
      <vt:variant>
        <vt:i4>5</vt:i4>
      </vt:variant>
      <vt:variant>
        <vt:lpwstr/>
      </vt:variant>
      <vt:variant>
        <vt:lpwstr>_Toc524425643</vt:lpwstr>
      </vt:variant>
      <vt:variant>
        <vt:i4>1048629</vt:i4>
      </vt:variant>
      <vt:variant>
        <vt:i4>530</vt:i4>
      </vt:variant>
      <vt:variant>
        <vt:i4>0</vt:i4>
      </vt:variant>
      <vt:variant>
        <vt:i4>5</vt:i4>
      </vt:variant>
      <vt:variant>
        <vt:lpwstr/>
      </vt:variant>
      <vt:variant>
        <vt:lpwstr>_Toc524425642</vt:lpwstr>
      </vt:variant>
      <vt:variant>
        <vt:i4>1048629</vt:i4>
      </vt:variant>
      <vt:variant>
        <vt:i4>524</vt:i4>
      </vt:variant>
      <vt:variant>
        <vt:i4>0</vt:i4>
      </vt:variant>
      <vt:variant>
        <vt:i4>5</vt:i4>
      </vt:variant>
      <vt:variant>
        <vt:lpwstr/>
      </vt:variant>
      <vt:variant>
        <vt:lpwstr>_Toc524425641</vt:lpwstr>
      </vt:variant>
      <vt:variant>
        <vt:i4>1048629</vt:i4>
      </vt:variant>
      <vt:variant>
        <vt:i4>518</vt:i4>
      </vt:variant>
      <vt:variant>
        <vt:i4>0</vt:i4>
      </vt:variant>
      <vt:variant>
        <vt:i4>5</vt:i4>
      </vt:variant>
      <vt:variant>
        <vt:lpwstr/>
      </vt:variant>
      <vt:variant>
        <vt:lpwstr>_Toc524425640</vt:lpwstr>
      </vt:variant>
      <vt:variant>
        <vt:i4>1507381</vt:i4>
      </vt:variant>
      <vt:variant>
        <vt:i4>512</vt:i4>
      </vt:variant>
      <vt:variant>
        <vt:i4>0</vt:i4>
      </vt:variant>
      <vt:variant>
        <vt:i4>5</vt:i4>
      </vt:variant>
      <vt:variant>
        <vt:lpwstr/>
      </vt:variant>
      <vt:variant>
        <vt:lpwstr>_Toc524425639</vt:lpwstr>
      </vt:variant>
      <vt:variant>
        <vt:i4>1507381</vt:i4>
      </vt:variant>
      <vt:variant>
        <vt:i4>506</vt:i4>
      </vt:variant>
      <vt:variant>
        <vt:i4>0</vt:i4>
      </vt:variant>
      <vt:variant>
        <vt:i4>5</vt:i4>
      </vt:variant>
      <vt:variant>
        <vt:lpwstr/>
      </vt:variant>
      <vt:variant>
        <vt:lpwstr>_Toc524425638</vt:lpwstr>
      </vt:variant>
      <vt:variant>
        <vt:i4>1507381</vt:i4>
      </vt:variant>
      <vt:variant>
        <vt:i4>500</vt:i4>
      </vt:variant>
      <vt:variant>
        <vt:i4>0</vt:i4>
      </vt:variant>
      <vt:variant>
        <vt:i4>5</vt:i4>
      </vt:variant>
      <vt:variant>
        <vt:lpwstr/>
      </vt:variant>
      <vt:variant>
        <vt:lpwstr>_Toc524425637</vt:lpwstr>
      </vt:variant>
      <vt:variant>
        <vt:i4>1507381</vt:i4>
      </vt:variant>
      <vt:variant>
        <vt:i4>494</vt:i4>
      </vt:variant>
      <vt:variant>
        <vt:i4>0</vt:i4>
      </vt:variant>
      <vt:variant>
        <vt:i4>5</vt:i4>
      </vt:variant>
      <vt:variant>
        <vt:lpwstr/>
      </vt:variant>
      <vt:variant>
        <vt:lpwstr>_Toc524425636</vt:lpwstr>
      </vt:variant>
      <vt:variant>
        <vt:i4>1507381</vt:i4>
      </vt:variant>
      <vt:variant>
        <vt:i4>488</vt:i4>
      </vt:variant>
      <vt:variant>
        <vt:i4>0</vt:i4>
      </vt:variant>
      <vt:variant>
        <vt:i4>5</vt:i4>
      </vt:variant>
      <vt:variant>
        <vt:lpwstr/>
      </vt:variant>
      <vt:variant>
        <vt:lpwstr>_Toc524425632</vt:lpwstr>
      </vt:variant>
      <vt:variant>
        <vt:i4>1441845</vt:i4>
      </vt:variant>
      <vt:variant>
        <vt:i4>482</vt:i4>
      </vt:variant>
      <vt:variant>
        <vt:i4>0</vt:i4>
      </vt:variant>
      <vt:variant>
        <vt:i4>5</vt:i4>
      </vt:variant>
      <vt:variant>
        <vt:lpwstr/>
      </vt:variant>
      <vt:variant>
        <vt:lpwstr>_Toc524425628</vt:lpwstr>
      </vt:variant>
      <vt:variant>
        <vt:i4>1441845</vt:i4>
      </vt:variant>
      <vt:variant>
        <vt:i4>476</vt:i4>
      </vt:variant>
      <vt:variant>
        <vt:i4>0</vt:i4>
      </vt:variant>
      <vt:variant>
        <vt:i4>5</vt:i4>
      </vt:variant>
      <vt:variant>
        <vt:lpwstr/>
      </vt:variant>
      <vt:variant>
        <vt:lpwstr>_Toc524425623</vt:lpwstr>
      </vt:variant>
      <vt:variant>
        <vt:i4>1441845</vt:i4>
      </vt:variant>
      <vt:variant>
        <vt:i4>470</vt:i4>
      </vt:variant>
      <vt:variant>
        <vt:i4>0</vt:i4>
      </vt:variant>
      <vt:variant>
        <vt:i4>5</vt:i4>
      </vt:variant>
      <vt:variant>
        <vt:lpwstr/>
      </vt:variant>
      <vt:variant>
        <vt:lpwstr>_Toc524425621</vt:lpwstr>
      </vt:variant>
      <vt:variant>
        <vt:i4>1376309</vt:i4>
      </vt:variant>
      <vt:variant>
        <vt:i4>464</vt:i4>
      </vt:variant>
      <vt:variant>
        <vt:i4>0</vt:i4>
      </vt:variant>
      <vt:variant>
        <vt:i4>5</vt:i4>
      </vt:variant>
      <vt:variant>
        <vt:lpwstr/>
      </vt:variant>
      <vt:variant>
        <vt:lpwstr>_Toc524425617</vt:lpwstr>
      </vt:variant>
      <vt:variant>
        <vt:i4>1376309</vt:i4>
      </vt:variant>
      <vt:variant>
        <vt:i4>458</vt:i4>
      </vt:variant>
      <vt:variant>
        <vt:i4>0</vt:i4>
      </vt:variant>
      <vt:variant>
        <vt:i4>5</vt:i4>
      </vt:variant>
      <vt:variant>
        <vt:lpwstr/>
      </vt:variant>
      <vt:variant>
        <vt:lpwstr>_Toc524425613</vt:lpwstr>
      </vt:variant>
      <vt:variant>
        <vt:i4>1310773</vt:i4>
      </vt:variant>
      <vt:variant>
        <vt:i4>452</vt:i4>
      </vt:variant>
      <vt:variant>
        <vt:i4>0</vt:i4>
      </vt:variant>
      <vt:variant>
        <vt:i4>5</vt:i4>
      </vt:variant>
      <vt:variant>
        <vt:lpwstr/>
      </vt:variant>
      <vt:variant>
        <vt:lpwstr>_Toc524425608</vt:lpwstr>
      </vt:variant>
      <vt:variant>
        <vt:i4>1310773</vt:i4>
      </vt:variant>
      <vt:variant>
        <vt:i4>446</vt:i4>
      </vt:variant>
      <vt:variant>
        <vt:i4>0</vt:i4>
      </vt:variant>
      <vt:variant>
        <vt:i4>5</vt:i4>
      </vt:variant>
      <vt:variant>
        <vt:lpwstr/>
      </vt:variant>
      <vt:variant>
        <vt:lpwstr>_Toc524425604</vt:lpwstr>
      </vt:variant>
      <vt:variant>
        <vt:i4>1310773</vt:i4>
      </vt:variant>
      <vt:variant>
        <vt:i4>440</vt:i4>
      </vt:variant>
      <vt:variant>
        <vt:i4>0</vt:i4>
      </vt:variant>
      <vt:variant>
        <vt:i4>5</vt:i4>
      </vt:variant>
      <vt:variant>
        <vt:lpwstr/>
      </vt:variant>
      <vt:variant>
        <vt:lpwstr>_Toc524425602</vt:lpwstr>
      </vt:variant>
      <vt:variant>
        <vt:i4>1310773</vt:i4>
      </vt:variant>
      <vt:variant>
        <vt:i4>434</vt:i4>
      </vt:variant>
      <vt:variant>
        <vt:i4>0</vt:i4>
      </vt:variant>
      <vt:variant>
        <vt:i4>5</vt:i4>
      </vt:variant>
      <vt:variant>
        <vt:lpwstr/>
      </vt:variant>
      <vt:variant>
        <vt:lpwstr>_Toc524425601</vt:lpwstr>
      </vt:variant>
      <vt:variant>
        <vt:i4>1310773</vt:i4>
      </vt:variant>
      <vt:variant>
        <vt:i4>428</vt:i4>
      </vt:variant>
      <vt:variant>
        <vt:i4>0</vt:i4>
      </vt:variant>
      <vt:variant>
        <vt:i4>5</vt:i4>
      </vt:variant>
      <vt:variant>
        <vt:lpwstr/>
      </vt:variant>
      <vt:variant>
        <vt:lpwstr>_Toc524425600</vt:lpwstr>
      </vt:variant>
      <vt:variant>
        <vt:i4>1900598</vt:i4>
      </vt:variant>
      <vt:variant>
        <vt:i4>422</vt:i4>
      </vt:variant>
      <vt:variant>
        <vt:i4>0</vt:i4>
      </vt:variant>
      <vt:variant>
        <vt:i4>5</vt:i4>
      </vt:variant>
      <vt:variant>
        <vt:lpwstr/>
      </vt:variant>
      <vt:variant>
        <vt:lpwstr>_Toc524425599</vt:lpwstr>
      </vt:variant>
      <vt:variant>
        <vt:i4>1900598</vt:i4>
      </vt:variant>
      <vt:variant>
        <vt:i4>416</vt:i4>
      </vt:variant>
      <vt:variant>
        <vt:i4>0</vt:i4>
      </vt:variant>
      <vt:variant>
        <vt:i4>5</vt:i4>
      </vt:variant>
      <vt:variant>
        <vt:lpwstr/>
      </vt:variant>
      <vt:variant>
        <vt:lpwstr>_Toc524425598</vt:lpwstr>
      </vt:variant>
      <vt:variant>
        <vt:i4>1900598</vt:i4>
      </vt:variant>
      <vt:variant>
        <vt:i4>410</vt:i4>
      </vt:variant>
      <vt:variant>
        <vt:i4>0</vt:i4>
      </vt:variant>
      <vt:variant>
        <vt:i4>5</vt:i4>
      </vt:variant>
      <vt:variant>
        <vt:lpwstr/>
      </vt:variant>
      <vt:variant>
        <vt:lpwstr>_Toc524425597</vt:lpwstr>
      </vt:variant>
      <vt:variant>
        <vt:i4>1900598</vt:i4>
      </vt:variant>
      <vt:variant>
        <vt:i4>404</vt:i4>
      </vt:variant>
      <vt:variant>
        <vt:i4>0</vt:i4>
      </vt:variant>
      <vt:variant>
        <vt:i4>5</vt:i4>
      </vt:variant>
      <vt:variant>
        <vt:lpwstr/>
      </vt:variant>
      <vt:variant>
        <vt:lpwstr>_Toc524425596</vt:lpwstr>
      </vt:variant>
      <vt:variant>
        <vt:i4>1900598</vt:i4>
      </vt:variant>
      <vt:variant>
        <vt:i4>398</vt:i4>
      </vt:variant>
      <vt:variant>
        <vt:i4>0</vt:i4>
      </vt:variant>
      <vt:variant>
        <vt:i4>5</vt:i4>
      </vt:variant>
      <vt:variant>
        <vt:lpwstr/>
      </vt:variant>
      <vt:variant>
        <vt:lpwstr>_Toc524425595</vt:lpwstr>
      </vt:variant>
      <vt:variant>
        <vt:i4>1900598</vt:i4>
      </vt:variant>
      <vt:variant>
        <vt:i4>392</vt:i4>
      </vt:variant>
      <vt:variant>
        <vt:i4>0</vt:i4>
      </vt:variant>
      <vt:variant>
        <vt:i4>5</vt:i4>
      </vt:variant>
      <vt:variant>
        <vt:lpwstr/>
      </vt:variant>
      <vt:variant>
        <vt:lpwstr>_Toc524425594</vt:lpwstr>
      </vt:variant>
      <vt:variant>
        <vt:i4>1900598</vt:i4>
      </vt:variant>
      <vt:variant>
        <vt:i4>386</vt:i4>
      </vt:variant>
      <vt:variant>
        <vt:i4>0</vt:i4>
      </vt:variant>
      <vt:variant>
        <vt:i4>5</vt:i4>
      </vt:variant>
      <vt:variant>
        <vt:lpwstr/>
      </vt:variant>
      <vt:variant>
        <vt:lpwstr>_Toc524425593</vt:lpwstr>
      </vt:variant>
      <vt:variant>
        <vt:i4>1900598</vt:i4>
      </vt:variant>
      <vt:variant>
        <vt:i4>380</vt:i4>
      </vt:variant>
      <vt:variant>
        <vt:i4>0</vt:i4>
      </vt:variant>
      <vt:variant>
        <vt:i4>5</vt:i4>
      </vt:variant>
      <vt:variant>
        <vt:lpwstr/>
      </vt:variant>
      <vt:variant>
        <vt:lpwstr>_Toc524425592</vt:lpwstr>
      </vt:variant>
      <vt:variant>
        <vt:i4>1900598</vt:i4>
      </vt:variant>
      <vt:variant>
        <vt:i4>374</vt:i4>
      </vt:variant>
      <vt:variant>
        <vt:i4>0</vt:i4>
      </vt:variant>
      <vt:variant>
        <vt:i4>5</vt:i4>
      </vt:variant>
      <vt:variant>
        <vt:lpwstr/>
      </vt:variant>
      <vt:variant>
        <vt:lpwstr>_Toc524425591</vt:lpwstr>
      </vt:variant>
      <vt:variant>
        <vt:i4>1900598</vt:i4>
      </vt:variant>
      <vt:variant>
        <vt:i4>368</vt:i4>
      </vt:variant>
      <vt:variant>
        <vt:i4>0</vt:i4>
      </vt:variant>
      <vt:variant>
        <vt:i4>5</vt:i4>
      </vt:variant>
      <vt:variant>
        <vt:lpwstr/>
      </vt:variant>
      <vt:variant>
        <vt:lpwstr>_Toc524425590</vt:lpwstr>
      </vt:variant>
      <vt:variant>
        <vt:i4>1835062</vt:i4>
      </vt:variant>
      <vt:variant>
        <vt:i4>362</vt:i4>
      </vt:variant>
      <vt:variant>
        <vt:i4>0</vt:i4>
      </vt:variant>
      <vt:variant>
        <vt:i4>5</vt:i4>
      </vt:variant>
      <vt:variant>
        <vt:lpwstr/>
      </vt:variant>
      <vt:variant>
        <vt:lpwstr>_Toc524425589</vt:lpwstr>
      </vt:variant>
      <vt:variant>
        <vt:i4>1835062</vt:i4>
      </vt:variant>
      <vt:variant>
        <vt:i4>356</vt:i4>
      </vt:variant>
      <vt:variant>
        <vt:i4>0</vt:i4>
      </vt:variant>
      <vt:variant>
        <vt:i4>5</vt:i4>
      </vt:variant>
      <vt:variant>
        <vt:lpwstr/>
      </vt:variant>
      <vt:variant>
        <vt:lpwstr>_Toc524425588</vt:lpwstr>
      </vt:variant>
      <vt:variant>
        <vt:i4>1835062</vt:i4>
      </vt:variant>
      <vt:variant>
        <vt:i4>350</vt:i4>
      </vt:variant>
      <vt:variant>
        <vt:i4>0</vt:i4>
      </vt:variant>
      <vt:variant>
        <vt:i4>5</vt:i4>
      </vt:variant>
      <vt:variant>
        <vt:lpwstr/>
      </vt:variant>
      <vt:variant>
        <vt:lpwstr>_Toc524425587</vt:lpwstr>
      </vt:variant>
      <vt:variant>
        <vt:i4>1835062</vt:i4>
      </vt:variant>
      <vt:variant>
        <vt:i4>344</vt:i4>
      </vt:variant>
      <vt:variant>
        <vt:i4>0</vt:i4>
      </vt:variant>
      <vt:variant>
        <vt:i4>5</vt:i4>
      </vt:variant>
      <vt:variant>
        <vt:lpwstr/>
      </vt:variant>
      <vt:variant>
        <vt:lpwstr>_Toc524425586</vt:lpwstr>
      </vt:variant>
      <vt:variant>
        <vt:i4>1835062</vt:i4>
      </vt:variant>
      <vt:variant>
        <vt:i4>338</vt:i4>
      </vt:variant>
      <vt:variant>
        <vt:i4>0</vt:i4>
      </vt:variant>
      <vt:variant>
        <vt:i4>5</vt:i4>
      </vt:variant>
      <vt:variant>
        <vt:lpwstr/>
      </vt:variant>
      <vt:variant>
        <vt:lpwstr>_Toc524425585</vt:lpwstr>
      </vt:variant>
      <vt:variant>
        <vt:i4>1835062</vt:i4>
      </vt:variant>
      <vt:variant>
        <vt:i4>332</vt:i4>
      </vt:variant>
      <vt:variant>
        <vt:i4>0</vt:i4>
      </vt:variant>
      <vt:variant>
        <vt:i4>5</vt:i4>
      </vt:variant>
      <vt:variant>
        <vt:lpwstr/>
      </vt:variant>
      <vt:variant>
        <vt:lpwstr>_Toc524425584</vt:lpwstr>
      </vt:variant>
      <vt:variant>
        <vt:i4>1835062</vt:i4>
      </vt:variant>
      <vt:variant>
        <vt:i4>326</vt:i4>
      </vt:variant>
      <vt:variant>
        <vt:i4>0</vt:i4>
      </vt:variant>
      <vt:variant>
        <vt:i4>5</vt:i4>
      </vt:variant>
      <vt:variant>
        <vt:lpwstr/>
      </vt:variant>
      <vt:variant>
        <vt:lpwstr>_Toc524425583</vt:lpwstr>
      </vt:variant>
      <vt:variant>
        <vt:i4>1835062</vt:i4>
      </vt:variant>
      <vt:variant>
        <vt:i4>320</vt:i4>
      </vt:variant>
      <vt:variant>
        <vt:i4>0</vt:i4>
      </vt:variant>
      <vt:variant>
        <vt:i4>5</vt:i4>
      </vt:variant>
      <vt:variant>
        <vt:lpwstr/>
      </vt:variant>
      <vt:variant>
        <vt:lpwstr>_Toc524425582</vt:lpwstr>
      </vt:variant>
      <vt:variant>
        <vt:i4>1835062</vt:i4>
      </vt:variant>
      <vt:variant>
        <vt:i4>314</vt:i4>
      </vt:variant>
      <vt:variant>
        <vt:i4>0</vt:i4>
      </vt:variant>
      <vt:variant>
        <vt:i4>5</vt:i4>
      </vt:variant>
      <vt:variant>
        <vt:lpwstr/>
      </vt:variant>
      <vt:variant>
        <vt:lpwstr>_Toc524425581</vt:lpwstr>
      </vt:variant>
      <vt:variant>
        <vt:i4>1835062</vt:i4>
      </vt:variant>
      <vt:variant>
        <vt:i4>308</vt:i4>
      </vt:variant>
      <vt:variant>
        <vt:i4>0</vt:i4>
      </vt:variant>
      <vt:variant>
        <vt:i4>5</vt:i4>
      </vt:variant>
      <vt:variant>
        <vt:lpwstr/>
      </vt:variant>
      <vt:variant>
        <vt:lpwstr>_Toc524425580</vt:lpwstr>
      </vt:variant>
      <vt:variant>
        <vt:i4>1245238</vt:i4>
      </vt:variant>
      <vt:variant>
        <vt:i4>302</vt:i4>
      </vt:variant>
      <vt:variant>
        <vt:i4>0</vt:i4>
      </vt:variant>
      <vt:variant>
        <vt:i4>5</vt:i4>
      </vt:variant>
      <vt:variant>
        <vt:lpwstr/>
      </vt:variant>
      <vt:variant>
        <vt:lpwstr>_Toc524425579</vt:lpwstr>
      </vt:variant>
      <vt:variant>
        <vt:i4>1245238</vt:i4>
      </vt:variant>
      <vt:variant>
        <vt:i4>296</vt:i4>
      </vt:variant>
      <vt:variant>
        <vt:i4>0</vt:i4>
      </vt:variant>
      <vt:variant>
        <vt:i4>5</vt:i4>
      </vt:variant>
      <vt:variant>
        <vt:lpwstr/>
      </vt:variant>
      <vt:variant>
        <vt:lpwstr>_Toc524425578</vt:lpwstr>
      </vt:variant>
      <vt:variant>
        <vt:i4>1245238</vt:i4>
      </vt:variant>
      <vt:variant>
        <vt:i4>290</vt:i4>
      </vt:variant>
      <vt:variant>
        <vt:i4>0</vt:i4>
      </vt:variant>
      <vt:variant>
        <vt:i4>5</vt:i4>
      </vt:variant>
      <vt:variant>
        <vt:lpwstr/>
      </vt:variant>
      <vt:variant>
        <vt:lpwstr>_Toc524425577</vt:lpwstr>
      </vt:variant>
      <vt:variant>
        <vt:i4>1245238</vt:i4>
      </vt:variant>
      <vt:variant>
        <vt:i4>284</vt:i4>
      </vt:variant>
      <vt:variant>
        <vt:i4>0</vt:i4>
      </vt:variant>
      <vt:variant>
        <vt:i4>5</vt:i4>
      </vt:variant>
      <vt:variant>
        <vt:lpwstr/>
      </vt:variant>
      <vt:variant>
        <vt:lpwstr>_Toc524425576</vt:lpwstr>
      </vt:variant>
      <vt:variant>
        <vt:i4>1245238</vt:i4>
      </vt:variant>
      <vt:variant>
        <vt:i4>278</vt:i4>
      </vt:variant>
      <vt:variant>
        <vt:i4>0</vt:i4>
      </vt:variant>
      <vt:variant>
        <vt:i4>5</vt:i4>
      </vt:variant>
      <vt:variant>
        <vt:lpwstr/>
      </vt:variant>
      <vt:variant>
        <vt:lpwstr>_Toc524425575</vt:lpwstr>
      </vt:variant>
      <vt:variant>
        <vt:i4>1245238</vt:i4>
      </vt:variant>
      <vt:variant>
        <vt:i4>272</vt:i4>
      </vt:variant>
      <vt:variant>
        <vt:i4>0</vt:i4>
      </vt:variant>
      <vt:variant>
        <vt:i4>5</vt:i4>
      </vt:variant>
      <vt:variant>
        <vt:lpwstr/>
      </vt:variant>
      <vt:variant>
        <vt:lpwstr>_Toc524425574</vt:lpwstr>
      </vt:variant>
      <vt:variant>
        <vt:i4>1245238</vt:i4>
      </vt:variant>
      <vt:variant>
        <vt:i4>266</vt:i4>
      </vt:variant>
      <vt:variant>
        <vt:i4>0</vt:i4>
      </vt:variant>
      <vt:variant>
        <vt:i4>5</vt:i4>
      </vt:variant>
      <vt:variant>
        <vt:lpwstr/>
      </vt:variant>
      <vt:variant>
        <vt:lpwstr>_Toc524425573</vt:lpwstr>
      </vt:variant>
      <vt:variant>
        <vt:i4>1245238</vt:i4>
      </vt:variant>
      <vt:variant>
        <vt:i4>260</vt:i4>
      </vt:variant>
      <vt:variant>
        <vt:i4>0</vt:i4>
      </vt:variant>
      <vt:variant>
        <vt:i4>5</vt:i4>
      </vt:variant>
      <vt:variant>
        <vt:lpwstr/>
      </vt:variant>
      <vt:variant>
        <vt:lpwstr>_Toc524425572</vt:lpwstr>
      </vt:variant>
      <vt:variant>
        <vt:i4>1245238</vt:i4>
      </vt:variant>
      <vt:variant>
        <vt:i4>254</vt:i4>
      </vt:variant>
      <vt:variant>
        <vt:i4>0</vt:i4>
      </vt:variant>
      <vt:variant>
        <vt:i4>5</vt:i4>
      </vt:variant>
      <vt:variant>
        <vt:lpwstr/>
      </vt:variant>
      <vt:variant>
        <vt:lpwstr>_Toc524425571</vt:lpwstr>
      </vt:variant>
      <vt:variant>
        <vt:i4>1245238</vt:i4>
      </vt:variant>
      <vt:variant>
        <vt:i4>248</vt:i4>
      </vt:variant>
      <vt:variant>
        <vt:i4>0</vt:i4>
      </vt:variant>
      <vt:variant>
        <vt:i4>5</vt:i4>
      </vt:variant>
      <vt:variant>
        <vt:lpwstr/>
      </vt:variant>
      <vt:variant>
        <vt:lpwstr>_Toc524425570</vt:lpwstr>
      </vt:variant>
      <vt:variant>
        <vt:i4>1179702</vt:i4>
      </vt:variant>
      <vt:variant>
        <vt:i4>242</vt:i4>
      </vt:variant>
      <vt:variant>
        <vt:i4>0</vt:i4>
      </vt:variant>
      <vt:variant>
        <vt:i4>5</vt:i4>
      </vt:variant>
      <vt:variant>
        <vt:lpwstr/>
      </vt:variant>
      <vt:variant>
        <vt:lpwstr>_Toc524425569</vt:lpwstr>
      </vt:variant>
      <vt:variant>
        <vt:i4>1179702</vt:i4>
      </vt:variant>
      <vt:variant>
        <vt:i4>236</vt:i4>
      </vt:variant>
      <vt:variant>
        <vt:i4>0</vt:i4>
      </vt:variant>
      <vt:variant>
        <vt:i4>5</vt:i4>
      </vt:variant>
      <vt:variant>
        <vt:lpwstr/>
      </vt:variant>
      <vt:variant>
        <vt:lpwstr>_Toc524425568</vt:lpwstr>
      </vt:variant>
      <vt:variant>
        <vt:i4>1179702</vt:i4>
      </vt:variant>
      <vt:variant>
        <vt:i4>230</vt:i4>
      </vt:variant>
      <vt:variant>
        <vt:i4>0</vt:i4>
      </vt:variant>
      <vt:variant>
        <vt:i4>5</vt:i4>
      </vt:variant>
      <vt:variant>
        <vt:lpwstr/>
      </vt:variant>
      <vt:variant>
        <vt:lpwstr>_Toc524425567</vt:lpwstr>
      </vt:variant>
      <vt:variant>
        <vt:i4>1179702</vt:i4>
      </vt:variant>
      <vt:variant>
        <vt:i4>224</vt:i4>
      </vt:variant>
      <vt:variant>
        <vt:i4>0</vt:i4>
      </vt:variant>
      <vt:variant>
        <vt:i4>5</vt:i4>
      </vt:variant>
      <vt:variant>
        <vt:lpwstr/>
      </vt:variant>
      <vt:variant>
        <vt:lpwstr>_Toc524425566</vt:lpwstr>
      </vt:variant>
      <vt:variant>
        <vt:i4>1179702</vt:i4>
      </vt:variant>
      <vt:variant>
        <vt:i4>218</vt:i4>
      </vt:variant>
      <vt:variant>
        <vt:i4>0</vt:i4>
      </vt:variant>
      <vt:variant>
        <vt:i4>5</vt:i4>
      </vt:variant>
      <vt:variant>
        <vt:lpwstr/>
      </vt:variant>
      <vt:variant>
        <vt:lpwstr>_Toc524425565</vt:lpwstr>
      </vt:variant>
      <vt:variant>
        <vt:i4>1179702</vt:i4>
      </vt:variant>
      <vt:variant>
        <vt:i4>212</vt:i4>
      </vt:variant>
      <vt:variant>
        <vt:i4>0</vt:i4>
      </vt:variant>
      <vt:variant>
        <vt:i4>5</vt:i4>
      </vt:variant>
      <vt:variant>
        <vt:lpwstr/>
      </vt:variant>
      <vt:variant>
        <vt:lpwstr>_Toc524425564</vt:lpwstr>
      </vt:variant>
      <vt:variant>
        <vt:i4>1179702</vt:i4>
      </vt:variant>
      <vt:variant>
        <vt:i4>206</vt:i4>
      </vt:variant>
      <vt:variant>
        <vt:i4>0</vt:i4>
      </vt:variant>
      <vt:variant>
        <vt:i4>5</vt:i4>
      </vt:variant>
      <vt:variant>
        <vt:lpwstr/>
      </vt:variant>
      <vt:variant>
        <vt:lpwstr>_Toc524425563</vt:lpwstr>
      </vt:variant>
      <vt:variant>
        <vt:i4>1179702</vt:i4>
      </vt:variant>
      <vt:variant>
        <vt:i4>200</vt:i4>
      </vt:variant>
      <vt:variant>
        <vt:i4>0</vt:i4>
      </vt:variant>
      <vt:variant>
        <vt:i4>5</vt:i4>
      </vt:variant>
      <vt:variant>
        <vt:lpwstr/>
      </vt:variant>
      <vt:variant>
        <vt:lpwstr>_Toc524425562</vt:lpwstr>
      </vt:variant>
      <vt:variant>
        <vt:i4>1179702</vt:i4>
      </vt:variant>
      <vt:variant>
        <vt:i4>194</vt:i4>
      </vt:variant>
      <vt:variant>
        <vt:i4>0</vt:i4>
      </vt:variant>
      <vt:variant>
        <vt:i4>5</vt:i4>
      </vt:variant>
      <vt:variant>
        <vt:lpwstr/>
      </vt:variant>
      <vt:variant>
        <vt:lpwstr>_Toc524425561</vt:lpwstr>
      </vt:variant>
      <vt:variant>
        <vt:i4>1114166</vt:i4>
      </vt:variant>
      <vt:variant>
        <vt:i4>188</vt:i4>
      </vt:variant>
      <vt:variant>
        <vt:i4>0</vt:i4>
      </vt:variant>
      <vt:variant>
        <vt:i4>5</vt:i4>
      </vt:variant>
      <vt:variant>
        <vt:lpwstr/>
      </vt:variant>
      <vt:variant>
        <vt:lpwstr>_Toc524425555</vt:lpwstr>
      </vt:variant>
      <vt:variant>
        <vt:i4>1114166</vt:i4>
      </vt:variant>
      <vt:variant>
        <vt:i4>182</vt:i4>
      </vt:variant>
      <vt:variant>
        <vt:i4>0</vt:i4>
      </vt:variant>
      <vt:variant>
        <vt:i4>5</vt:i4>
      </vt:variant>
      <vt:variant>
        <vt:lpwstr/>
      </vt:variant>
      <vt:variant>
        <vt:lpwstr>_Toc524425554</vt:lpwstr>
      </vt:variant>
      <vt:variant>
        <vt:i4>1114166</vt:i4>
      </vt:variant>
      <vt:variant>
        <vt:i4>176</vt:i4>
      </vt:variant>
      <vt:variant>
        <vt:i4>0</vt:i4>
      </vt:variant>
      <vt:variant>
        <vt:i4>5</vt:i4>
      </vt:variant>
      <vt:variant>
        <vt:lpwstr/>
      </vt:variant>
      <vt:variant>
        <vt:lpwstr>_Toc524425553</vt:lpwstr>
      </vt:variant>
      <vt:variant>
        <vt:i4>1114166</vt:i4>
      </vt:variant>
      <vt:variant>
        <vt:i4>170</vt:i4>
      </vt:variant>
      <vt:variant>
        <vt:i4>0</vt:i4>
      </vt:variant>
      <vt:variant>
        <vt:i4>5</vt:i4>
      </vt:variant>
      <vt:variant>
        <vt:lpwstr/>
      </vt:variant>
      <vt:variant>
        <vt:lpwstr>_Toc524425552</vt:lpwstr>
      </vt:variant>
      <vt:variant>
        <vt:i4>1114166</vt:i4>
      </vt:variant>
      <vt:variant>
        <vt:i4>164</vt:i4>
      </vt:variant>
      <vt:variant>
        <vt:i4>0</vt:i4>
      </vt:variant>
      <vt:variant>
        <vt:i4>5</vt:i4>
      </vt:variant>
      <vt:variant>
        <vt:lpwstr/>
      </vt:variant>
      <vt:variant>
        <vt:lpwstr>_Toc524425551</vt:lpwstr>
      </vt:variant>
      <vt:variant>
        <vt:i4>1114166</vt:i4>
      </vt:variant>
      <vt:variant>
        <vt:i4>158</vt:i4>
      </vt:variant>
      <vt:variant>
        <vt:i4>0</vt:i4>
      </vt:variant>
      <vt:variant>
        <vt:i4>5</vt:i4>
      </vt:variant>
      <vt:variant>
        <vt:lpwstr/>
      </vt:variant>
      <vt:variant>
        <vt:lpwstr>_Toc524425550</vt:lpwstr>
      </vt:variant>
      <vt:variant>
        <vt:i4>1048630</vt:i4>
      </vt:variant>
      <vt:variant>
        <vt:i4>152</vt:i4>
      </vt:variant>
      <vt:variant>
        <vt:i4>0</vt:i4>
      </vt:variant>
      <vt:variant>
        <vt:i4>5</vt:i4>
      </vt:variant>
      <vt:variant>
        <vt:lpwstr/>
      </vt:variant>
      <vt:variant>
        <vt:lpwstr>_Toc524425549</vt:lpwstr>
      </vt:variant>
      <vt:variant>
        <vt:i4>1048630</vt:i4>
      </vt:variant>
      <vt:variant>
        <vt:i4>146</vt:i4>
      </vt:variant>
      <vt:variant>
        <vt:i4>0</vt:i4>
      </vt:variant>
      <vt:variant>
        <vt:i4>5</vt:i4>
      </vt:variant>
      <vt:variant>
        <vt:lpwstr/>
      </vt:variant>
      <vt:variant>
        <vt:lpwstr>_Toc524425548</vt:lpwstr>
      </vt:variant>
      <vt:variant>
        <vt:i4>1048630</vt:i4>
      </vt:variant>
      <vt:variant>
        <vt:i4>140</vt:i4>
      </vt:variant>
      <vt:variant>
        <vt:i4>0</vt:i4>
      </vt:variant>
      <vt:variant>
        <vt:i4>5</vt:i4>
      </vt:variant>
      <vt:variant>
        <vt:lpwstr/>
      </vt:variant>
      <vt:variant>
        <vt:lpwstr>_Toc524425547</vt:lpwstr>
      </vt:variant>
      <vt:variant>
        <vt:i4>1048630</vt:i4>
      </vt:variant>
      <vt:variant>
        <vt:i4>134</vt:i4>
      </vt:variant>
      <vt:variant>
        <vt:i4>0</vt:i4>
      </vt:variant>
      <vt:variant>
        <vt:i4>5</vt:i4>
      </vt:variant>
      <vt:variant>
        <vt:lpwstr/>
      </vt:variant>
      <vt:variant>
        <vt:lpwstr>_Toc524425546</vt:lpwstr>
      </vt:variant>
      <vt:variant>
        <vt:i4>1048630</vt:i4>
      </vt:variant>
      <vt:variant>
        <vt:i4>128</vt:i4>
      </vt:variant>
      <vt:variant>
        <vt:i4>0</vt:i4>
      </vt:variant>
      <vt:variant>
        <vt:i4>5</vt:i4>
      </vt:variant>
      <vt:variant>
        <vt:lpwstr/>
      </vt:variant>
      <vt:variant>
        <vt:lpwstr>_Toc524425545</vt:lpwstr>
      </vt:variant>
      <vt:variant>
        <vt:i4>1048630</vt:i4>
      </vt:variant>
      <vt:variant>
        <vt:i4>122</vt:i4>
      </vt:variant>
      <vt:variant>
        <vt:i4>0</vt:i4>
      </vt:variant>
      <vt:variant>
        <vt:i4>5</vt:i4>
      </vt:variant>
      <vt:variant>
        <vt:lpwstr/>
      </vt:variant>
      <vt:variant>
        <vt:lpwstr>_Toc524425544</vt:lpwstr>
      </vt:variant>
      <vt:variant>
        <vt:i4>1048630</vt:i4>
      </vt:variant>
      <vt:variant>
        <vt:i4>116</vt:i4>
      </vt:variant>
      <vt:variant>
        <vt:i4>0</vt:i4>
      </vt:variant>
      <vt:variant>
        <vt:i4>5</vt:i4>
      </vt:variant>
      <vt:variant>
        <vt:lpwstr/>
      </vt:variant>
      <vt:variant>
        <vt:lpwstr>_Toc524425543</vt:lpwstr>
      </vt:variant>
      <vt:variant>
        <vt:i4>1048630</vt:i4>
      </vt:variant>
      <vt:variant>
        <vt:i4>110</vt:i4>
      </vt:variant>
      <vt:variant>
        <vt:i4>0</vt:i4>
      </vt:variant>
      <vt:variant>
        <vt:i4>5</vt:i4>
      </vt:variant>
      <vt:variant>
        <vt:lpwstr/>
      </vt:variant>
      <vt:variant>
        <vt:lpwstr>_Toc524425542</vt:lpwstr>
      </vt:variant>
      <vt:variant>
        <vt:i4>1048630</vt:i4>
      </vt:variant>
      <vt:variant>
        <vt:i4>104</vt:i4>
      </vt:variant>
      <vt:variant>
        <vt:i4>0</vt:i4>
      </vt:variant>
      <vt:variant>
        <vt:i4>5</vt:i4>
      </vt:variant>
      <vt:variant>
        <vt:lpwstr/>
      </vt:variant>
      <vt:variant>
        <vt:lpwstr>_Toc524425541</vt:lpwstr>
      </vt:variant>
      <vt:variant>
        <vt:i4>1048630</vt:i4>
      </vt:variant>
      <vt:variant>
        <vt:i4>98</vt:i4>
      </vt:variant>
      <vt:variant>
        <vt:i4>0</vt:i4>
      </vt:variant>
      <vt:variant>
        <vt:i4>5</vt:i4>
      </vt:variant>
      <vt:variant>
        <vt:lpwstr/>
      </vt:variant>
      <vt:variant>
        <vt:lpwstr>_Toc524425540</vt:lpwstr>
      </vt:variant>
      <vt:variant>
        <vt:i4>1507382</vt:i4>
      </vt:variant>
      <vt:variant>
        <vt:i4>92</vt:i4>
      </vt:variant>
      <vt:variant>
        <vt:i4>0</vt:i4>
      </vt:variant>
      <vt:variant>
        <vt:i4>5</vt:i4>
      </vt:variant>
      <vt:variant>
        <vt:lpwstr/>
      </vt:variant>
      <vt:variant>
        <vt:lpwstr>_Toc524425539</vt:lpwstr>
      </vt:variant>
      <vt:variant>
        <vt:i4>1507382</vt:i4>
      </vt:variant>
      <vt:variant>
        <vt:i4>86</vt:i4>
      </vt:variant>
      <vt:variant>
        <vt:i4>0</vt:i4>
      </vt:variant>
      <vt:variant>
        <vt:i4>5</vt:i4>
      </vt:variant>
      <vt:variant>
        <vt:lpwstr/>
      </vt:variant>
      <vt:variant>
        <vt:lpwstr>_Toc524425538</vt:lpwstr>
      </vt:variant>
      <vt:variant>
        <vt:i4>1507382</vt:i4>
      </vt:variant>
      <vt:variant>
        <vt:i4>80</vt:i4>
      </vt:variant>
      <vt:variant>
        <vt:i4>0</vt:i4>
      </vt:variant>
      <vt:variant>
        <vt:i4>5</vt:i4>
      </vt:variant>
      <vt:variant>
        <vt:lpwstr/>
      </vt:variant>
      <vt:variant>
        <vt:lpwstr>_Toc524425537</vt:lpwstr>
      </vt:variant>
      <vt:variant>
        <vt:i4>1507382</vt:i4>
      </vt:variant>
      <vt:variant>
        <vt:i4>74</vt:i4>
      </vt:variant>
      <vt:variant>
        <vt:i4>0</vt:i4>
      </vt:variant>
      <vt:variant>
        <vt:i4>5</vt:i4>
      </vt:variant>
      <vt:variant>
        <vt:lpwstr/>
      </vt:variant>
      <vt:variant>
        <vt:lpwstr>_Toc524425536</vt:lpwstr>
      </vt:variant>
      <vt:variant>
        <vt:i4>1507382</vt:i4>
      </vt:variant>
      <vt:variant>
        <vt:i4>68</vt:i4>
      </vt:variant>
      <vt:variant>
        <vt:i4>0</vt:i4>
      </vt:variant>
      <vt:variant>
        <vt:i4>5</vt:i4>
      </vt:variant>
      <vt:variant>
        <vt:lpwstr/>
      </vt:variant>
      <vt:variant>
        <vt:lpwstr>_Toc524425535</vt:lpwstr>
      </vt:variant>
      <vt:variant>
        <vt:i4>1507382</vt:i4>
      </vt:variant>
      <vt:variant>
        <vt:i4>62</vt:i4>
      </vt:variant>
      <vt:variant>
        <vt:i4>0</vt:i4>
      </vt:variant>
      <vt:variant>
        <vt:i4>5</vt:i4>
      </vt:variant>
      <vt:variant>
        <vt:lpwstr/>
      </vt:variant>
      <vt:variant>
        <vt:lpwstr>_Toc524425534</vt:lpwstr>
      </vt:variant>
      <vt:variant>
        <vt:i4>1507382</vt:i4>
      </vt:variant>
      <vt:variant>
        <vt:i4>56</vt:i4>
      </vt:variant>
      <vt:variant>
        <vt:i4>0</vt:i4>
      </vt:variant>
      <vt:variant>
        <vt:i4>5</vt:i4>
      </vt:variant>
      <vt:variant>
        <vt:lpwstr/>
      </vt:variant>
      <vt:variant>
        <vt:lpwstr>_Toc524425533</vt:lpwstr>
      </vt:variant>
      <vt:variant>
        <vt:i4>1507382</vt:i4>
      </vt:variant>
      <vt:variant>
        <vt:i4>50</vt:i4>
      </vt:variant>
      <vt:variant>
        <vt:i4>0</vt:i4>
      </vt:variant>
      <vt:variant>
        <vt:i4>5</vt:i4>
      </vt:variant>
      <vt:variant>
        <vt:lpwstr/>
      </vt:variant>
      <vt:variant>
        <vt:lpwstr>_Toc524425532</vt:lpwstr>
      </vt:variant>
      <vt:variant>
        <vt:i4>1507382</vt:i4>
      </vt:variant>
      <vt:variant>
        <vt:i4>44</vt:i4>
      </vt:variant>
      <vt:variant>
        <vt:i4>0</vt:i4>
      </vt:variant>
      <vt:variant>
        <vt:i4>5</vt:i4>
      </vt:variant>
      <vt:variant>
        <vt:lpwstr/>
      </vt:variant>
      <vt:variant>
        <vt:lpwstr>_Toc524425531</vt:lpwstr>
      </vt:variant>
      <vt:variant>
        <vt:i4>1507382</vt:i4>
      </vt:variant>
      <vt:variant>
        <vt:i4>38</vt:i4>
      </vt:variant>
      <vt:variant>
        <vt:i4>0</vt:i4>
      </vt:variant>
      <vt:variant>
        <vt:i4>5</vt:i4>
      </vt:variant>
      <vt:variant>
        <vt:lpwstr/>
      </vt:variant>
      <vt:variant>
        <vt:lpwstr>_Toc524425530</vt:lpwstr>
      </vt:variant>
      <vt:variant>
        <vt:i4>1441846</vt:i4>
      </vt:variant>
      <vt:variant>
        <vt:i4>32</vt:i4>
      </vt:variant>
      <vt:variant>
        <vt:i4>0</vt:i4>
      </vt:variant>
      <vt:variant>
        <vt:i4>5</vt:i4>
      </vt:variant>
      <vt:variant>
        <vt:lpwstr/>
      </vt:variant>
      <vt:variant>
        <vt:lpwstr>_Toc524425529</vt:lpwstr>
      </vt:variant>
      <vt:variant>
        <vt:i4>1441846</vt:i4>
      </vt:variant>
      <vt:variant>
        <vt:i4>26</vt:i4>
      </vt:variant>
      <vt:variant>
        <vt:i4>0</vt:i4>
      </vt:variant>
      <vt:variant>
        <vt:i4>5</vt:i4>
      </vt:variant>
      <vt:variant>
        <vt:lpwstr/>
      </vt:variant>
      <vt:variant>
        <vt:lpwstr>_Toc524425528</vt:lpwstr>
      </vt:variant>
      <vt:variant>
        <vt:i4>1441846</vt:i4>
      </vt:variant>
      <vt:variant>
        <vt:i4>20</vt:i4>
      </vt:variant>
      <vt:variant>
        <vt:i4>0</vt:i4>
      </vt:variant>
      <vt:variant>
        <vt:i4>5</vt:i4>
      </vt:variant>
      <vt:variant>
        <vt:lpwstr/>
      </vt:variant>
      <vt:variant>
        <vt:lpwstr>_Toc524425527</vt:lpwstr>
      </vt:variant>
      <vt:variant>
        <vt:i4>1441846</vt:i4>
      </vt:variant>
      <vt:variant>
        <vt:i4>14</vt:i4>
      </vt:variant>
      <vt:variant>
        <vt:i4>0</vt:i4>
      </vt:variant>
      <vt:variant>
        <vt:i4>5</vt:i4>
      </vt:variant>
      <vt:variant>
        <vt:lpwstr/>
      </vt:variant>
      <vt:variant>
        <vt:lpwstr>_Toc524425526</vt:lpwstr>
      </vt:variant>
      <vt:variant>
        <vt:i4>1441846</vt:i4>
      </vt:variant>
      <vt:variant>
        <vt:i4>8</vt:i4>
      </vt:variant>
      <vt:variant>
        <vt:i4>0</vt:i4>
      </vt:variant>
      <vt:variant>
        <vt:i4>5</vt:i4>
      </vt:variant>
      <vt:variant>
        <vt:lpwstr/>
      </vt:variant>
      <vt:variant>
        <vt:lpwstr>_Toc524425525</vt:lpwstr>
      </vt:variant>
      <vt:variant>
        <vt:i4>1441846</vt:i4>
      </vt:variant>
      <vt:variant>
        <vt:i4>2</vt:i4>
      </vt:variant>
      <vt:variant>
        <vt:i4>0</vt:i4>
      </vt:variant>
      <vt:variant>
        <vt:i4>5</vt:i4>
      </vt:variant>
      <vt:variant>
        <vt:lpwstr/>
      </vt:variant>
      <vt:variant>
        <vt:lpwstr>_Toc524425524</vt:lpwstr>
      </vt:variant>
      <vt:variant>
        <vt:i4>983118</vt:i4>
      </vt:variant>
      <vt:variant>
        <vt:i4>477</vt:i4>
      </vt:variant>
      <vt:variant>
        <vt:i4>0</vt:i4>
      </vt:variant>
      <vt:variant>
        <vt:i4>5</vt:i4>
      </vt:variant>
      <vt:variant>
        <vt:lpwstr>https://www.salto-youth.net/</vt:lpwstr>
      </vt:variant>
      <vt:variant>
        <vt:lpwstr/>
      </vt:variant>
      <vt:variant>
        <vt:i4>4456523</vt:i4>
      </vt:variant>
      <vt:variant>
        <vt:i4>462</vt:i4>
      </vt:variant>
      <vt:variant>
        <vt:i4>0</vt:i4>
      </vt:variant>
      <vt:variant>
        <vt:i4>5</vt:i4>
      </vt:variant>
      <vt:variant>
        <vt:lpwstr>http://ec.europa.eu/dgs/education_culture/more_info/awp/docs/c_2013_8550.pdf</vt:lpwstr>
      </vt:variant>
      <vt:variant>
        <vt:lpwstr/>
      </vt:variant>
      <vt:variant>
        <vt:i4>2621502</vt:i4>
      </vt:variant>
      <vt:variant>
        <vt:i4>459</vt:i4>
      </vt:variant>
      <vt:variant>
        <vt:i4>0</vt:i4>
      </vt:variant>
      <vt:variant>
        <vt:i4>5</vt:i4>
      </vt:variant>
      <vt:variant>
        <vt:lpwstr>http://eur-lex.europa.eu/LexUriServ/LexUriServ.do?uri=OJ%3AL%3A2012%3A298%3A0001%3A0096%3ASL%3APDF</vt:lpwstr>
      </vt:variant>
      <vt:variant>
        <vt:lpwstr/>
      </vt:variant>
      <vt:variant>
        <vt:i4>2621502</vt:i4>
      </vt:variant>
      <vt:variant>
        <vt:i4>456</vt:i4>
      </vt:variant>
      <vt:variant>
        <vt:i4>0</vt:i4>
      </vt:variant>
      <vt:variant>
        <vt:i4>5</vt:i4>
      </vt:variant>
      <vt:variant>
        <vt:lpwstr>http://eur-lex.europa.eu/LexUriServ/LexUriServ.do?uri=OJ%3AL%3A2012%3A298%3A0001%3A0096%3ASL%3APDF</vt:lpwstr>
      </vt:variant>
      <vt:variant>
        <vt:lpwstr/>
      </vt:variant>
      <vt:variant>
        <vt:i4>1572988</vt:i4>
      </vt:variant>
      <vt:variant>
        <vt:i4>453</vt:i4>
      </vt:variant>
      <vt:variant>
        <vt:i4>0</vt:i4>
      </vt:variant>
      <vt:variant>
        <vt:i4>5</vt:i4>
      </vt:variant>
      <vt:variant>
        <vt:lpwstr>http://ec.europa.eu/programmes/erasmus-plus/tools/distance_sl.htm</vt:lpwstr>
      </vt:variant>
      <vt:variant>
        <vt:lpwstr/>
      </vt:variant>
      <vt:variant>
        <vt:i4>3145802</vt:i4>
      </vt:variant>
      <vt:variant>
        <vt:i4>450</vt:i4>
      </vt:variant>
      <vt:variant>
        <vt:i4>0</vt:i4>
      </vt:variant>
      <vt:variant>
        <vt:i4>5</vt:i4>
      </vt:variant>
      <vt:variant>
        <vt:lpwstr>https://ec.europa.eu/youth/policy/implementation/dialogue_en</vt:lpwstr>
      </vt:variant>
      <vt:variant>
        <vt:lpwstr/>
      </vt:variant>
      <vt:variant>
        <vt:i4>917630</vt:i4>
      </vt:variant>
      <vt:variant>
        <vt:i4>447</vt:i4>
      </vt:variant>
      <vt:variant>
        <vt:i4>0</vt:i4>
      </vt:variant>
      <vt:variant>
        <vt:i4>5</vt:i4>
      </vt:variant>
      <vt:variant>
        <vt:lpwstr>http://ec.europa.eu/programmes/erasmus-plus/tools/distance_en.htm</vt:lpwstr>
      </vt:variant>
      <vt:variant>
        <vt:lpwstr/>
      </vt:variant>
      <vt:variant>
        <vt:i4>917630</vt:i4>
      </vt:variant>
      <vt:variant>
        <vt:i4>444</vt:i4>
      </vt:variant>
      <vt:variant>
        <vt:i4>0</vt:i4>
      </vt:variant>
      <vt:variant>
        <vt:i4>5</vt:i4>
      </vt:variant>
      <vt:variant>
        <vt:lpwstr>http://ec.europa.eu/programmes/erasmus-plus/tools/distance_en.htm</vt:lpwstr>
      </vt:variant>
      <vt:variant>
        <vt:lpwstr/>
      </vt:variant>
      <vt:variant>
        <vt:i4>917630</vt:i4>
      </vt:variant>
      <vt:variant>
        <vt:i4>441</vt:i4>
      </vt:variant>
      <vt:variant>
        <vt:i4>0</vt:i4>
      </vt:variant>
      <vt:variant>
        <vt:i4>5</vt:i4>
      </vt:variant>
      <vt:variant>
        <vt:lpwstr>http://ec.europa.eu/programmes/erasmus-plus/tools/distance_en.htm</vt:lpwstr>
      </vt:variant>
      <vt:variant>
        <vt:lpwstr/>
      </vt:variant>
      <vt:variant>
        <vt:i4>1572988</vt:i4>
      </vt:variant>
      <vt:variant>
        <vt:i4>438</vt:i4>
      </vt:variant>
      <vt:variant>
        <vt:i4>0</vt:i4>
      </vt:variant>
      <vt:variant>
        <vt:i4>5</vt:i4>
      </vt:variant>
      <vt:variant>
        <vt:lpwstr>http://ec.europa.eu/programmes/erasmus-plus/tools/distance_sl.htm</vt:lpwstr>
      </vt:variant>
      <vt:variant>
        <vt:lpwstr/>
      </vt:variant>
      <vt:variant>
        <vt:i4>1704056</vt:i4>
      </vt:variant>
      <vt:variant>
        <vt:i4>435</vt:i4>
      </vt:variant>
      <vt:variant>
        <vt:i4>0</vt:i4>
      </vt:variant>
      <vt:variant>
        <vt:i4>5</vt:i4>
      </vt:variant>
      <vt:variant>
        <vt:lpwstr>https://eacea.ec.europa.eu/erasmus-plus/funding_en</vt:lpwstr>
      </vt:variant>
      <vt:variant>
        <vt:lpwstr/>
      </vt:variant>
      <vt:variant>
        <vt:i4>2949172</vt:i4>
      </vt:variant>
      <vt:variant>
        <vt:i4>432</vt:i4>
      </vt:variant>
      <vt:variant>
        <vt:i4>0</vt:i4>
      </vt:variant>
      <vt:variant>
        <vt:i4>5</vt:i4>
      </vt:variant>
      <vt:variant>
        <vt:lpwstr>http://eur-lex.europa.eu/LexUriServ/LexUriServ.do?uri=OJ%3AL%3A2014%3A077%3A0011%3A0026%3ASL%3APDF</vt:lpwstr>
      </vt:variant>
      <vt:variant>
        <vt:lpwstr/>
      </vt:variant>
      <vt:variant>
        <vt:i4>2949169</vt:i4>
      </vt:variant>
      <vt:variant>
        <vt:i4>429</vt:i4>
      </vt:variant>
      <vt:variant>
        <vt:i4>0</vt:i4>
      </vt:variant>
      <vt:variant>
        <vt:i4>5</vt:i4>
      </vt:variant>
      <vt:variant>
        <vt:lpwstr>http://eur-lex.europa.eu/LexUriServ/LexUriServ.do?uri=OJ%3AL%3A2014%3A077%3A0044%3A0076%3ASL%3APDF</vt:lpwstr>
      </vt:variant>
      <vt:variant>
        <vt:lpwstr/>
      </vt:variant>
      <vt:variant>
        <vt:i4>2949170</vt:i4>
      </vt:variant>
      <vt:variant>
        <vt:i4>426</vt:i4>
      </vt:variant>
      <vt:variant>
        <vt:i4>0</vt:i4>
      </vt:variant>
      <vt:variant>
        <vt:i4>5</vt:i4>
      </vt:variant>
      <vt:variant>
        <vt:lpwstr>http://eur-lex.europa.eu/LexUriServ/LexUriServ.do?uri=OJ%3AL%3A2014%3A077%3A0027%3A0043%3ASL%3APDF</vt:lpwstr>
      </vt:variant>
      <vt:variant>
        <vt:lpwstr/>
      </vt:variant>
      <vt:variant>
        <vt:i4>5242929</vt:i4>
      </vt:variant>
      <vt:variant>
        <vt:i4>423</vt:i4>
      </vt:variant>
      <vt:variant>
        <vt:i4>0</vt:i4>
      </vt:variant>
      <vt:variant>
        <vt:i4>5</vt:i4>
      </vt:variant>
      <vt:variant>
        <vt:lpwstr>https://ec.europa.eu/programmes/erasmus-plus/opportunities-for-organisations/innovation-good-practices/sector-skills-alliances_sl</vt:lpwstr>
      </vt:variant>
      <vt:variant>
        <vt:lpwstr/>
      </vt:variant>
      <vt:variant>
        <vt:i4>5242929</vt:i4>
      </vt:variant>
      <vt:variant>
        <vt:i4>420</vt:i4>
      </vt:variant>
      <vt:variant>
        <vt:i4>0</vt:i4>
      </vt:variant>
      <vt:variant>
        <vt:i4>5</vt:i4>
      </vt:variant>
      <vt:variant>
        <vt:lpwstr>https://ec.europa.eu/programmes/erasmus-plus/opportunities-for-organisations/innovation-good-practices/sector-skills-alliances_sl</vt:lpwstr>
      </vt:variant>
      <vt:variant>
        <vt:lpwstr/>
      </vt:variant>
      <vt:variant>
        <vt:i4>2359340</vt:i4>
      </vt:variant>
      <vt:variant>
        <vt:i4>417</vt:i4>
      </vt:variant>
      <vt:variant>
        <vt:i4>0</vt:i4>
      </vt:variant>
      <vt:variant>
        <vt:i4>5</vt:i4>
      </vt:variant>
      <vt:variant>
        <vt:lpwstr>https://eit.europa.eu/activities/innovation-communities</vt:lpwstr>
      </vt:variant>
      <vt:variant>
        <vt:lpwstr/>
      </vt:variant>
      <vt:variant>
        <vt:i4>1376261</vt:i4>
      </vt:variant>
      <vt:variant>
        <vt:i4>414</vt:i4>
      </vt:variant>
      <vt:variant>
        <vt:i4>0</vt:i4>
      </vt:variant>
      <vt:variant>
        <vt:i4>5</vt:i4>
      </vt:variant>
      <vt:variant>
        <vt:lpwstr>https://ec.europa.eu/esco/portal/home</vt:lpwstr>
      </vt:variant>
      <vt:variant>
        <vt:lpwstr/>
      </vt:variant>
      <vt:variant>
        <vt:i4>7929911</vt:i4>
      </vt:variant>
      <vt:variant>
        <vt:i4>411</vt:i4>
      </vt:variant>
      <vt:variant>
        <vt:i4>0</vt:i4>
      </vt:variant>
      <vt:variant>
        <vt:i4>5</vt:i4>
      </vt:variant>
      <vt:variant>
        <vt:lpwstr>https://ec.europa.eu/eures/public/sl/opportunities</vt:lpwstr>
      </vt:variant>
      <vt:variant>
        <vt:lpwstr/>
      </vt:variant>
      <vt:variant>
        <vt:i4>72</vt:i4>
      </vt:variant>
      <vt:variant>
        <vt:i4>408</vt:i4>
      </vt:variant>
      <vt:variant>
        <vt:i4>0</vt:i4>
      </vt:variant>
      <vt:variant>
        <vt:i4>5</vt:i4>
      </vt:variant>
      <vt:variant>
        <vt:lpwstr>https://ec.europa.eu/eures/public/sl/homepage</vt:lpwstr>
      </vt:variant>
      <vt:variant>
        <vt:lpwstr/>
      </vt:variant>
      <vt:variant>
        <vt:i4>4063349</vt:i4>
      </vt:variant>
      <vt:variant>
        <vt:i4>405</vt:i4>
      </vt:variant>
      <vt:variant>
        <vt:i4>0</vt:i4>
      </vt:variant>
      <vt:variant>
        <vt:i4>5</vt:i4>
      </vt:variant>
      <vt:variant>
        <vt:lpwstr>http://eur-lex.europa.eu/legal-content/SL/TXT/?qid=1473612732264&amp;amp;uri=CELEX%3A32004D2241</vt:lpwstr>
      </vt:variant>
      <vt:variant>
        <vt:lpwstr/>
      </vt:variant>
      <vt:variant>
        <vt:i4>2621556</vt:i4>
      </vt:variant>
      <vt:variant>
        <vt:i4>402</vt:i4>
      </vt:variant>
      <vt:variant>
        <vt:i4>0</vt:i4>
      </vt:variant>
      <vt:variant>
        <vt:i4>5</vt:i4>
      </vt:variant>
      <vt:variant>
        <vt:lpwstr>http://eur-lex.europa.eu/legal-content/SL/TXT/?qid=1473612641346&amp;amp;uri=CELEX%3A32009H0708(01)</vt:lpwstr>
      </vt:variant>
      <vt:variant>
        <vt:lpwstr/>
      </vt:variant>
      <vt:variant>
        <vt:i4>2949233</vt:i4>
      </vt:variant>
      <vt:variant>
        <vt:i4>399</vt:i4>
      </vt:variant>
      <vt:variant>
        <vt:i4>0</vt:i4>
      </vt:variant>
      <vt:variant>
        <vt:i4>5</vt:i4>
      </vt:variant>
      <vt:variant>
        <vt:lpwstr>http://eur-lex.europa.eu/legal-content/SL/TXT/?qid=1473612465372&amp;amp;uri=CELEX%3A32009H0708(02)</vt:lpwstr>
      </vt:variant>
      <vt:variant>
        <vt:lpwstr/>
      </vt:variant>
      <vt:variant>
        <vt:i4>655444</vt:i4>
      </vt:variant>
      <vt:variant>
        <vt:i4>396</vt:i4>
      </vt:variant>
      <vt:variant>
        <vt:i4>0</vt:i4>
      </vt:variant>
      <vt:variant>
        <vt:i4>5</vt:i4>
      </vt:variant>
      <vt:variant>
        <vt:lpwstr>http://eur-lex.europa.eu/legal-content/SL/ALL/?uri=CELEX%3A32008H0506(01)</vt:lpwstr>
      </vt:variant>
      <vt:variant>
        <vt:lpwstr/>
      </vt:variant>
      <vt:variant>
        <vt:i4>8060976</vt:i4>
      </vt:variant>
      <vt:variant>
        <vt:i4>369</vt:i4>
      </vt:variant>
      <vt:variant>
        <vt:i4>0</vt:i4>
      </vt:variant>
      <vt:variant>
        <vt:i4>5</vt:i4>
      </vt:variant>
      <vt:variant>
        <vt:lpwstr>https://ec.europa.eu/digital-single-market/en/policies/digitising-european-industry</vt:lpwstr>
      </vt:variant>
      <vt:variant>
        <vt:lpwstr/>
      </vt:variant>
      <vt:variant>
        <vt:i4>262167</vt:i4>
      </vt:variant>
      <vt:variant>
        <vt:i4>366</vt:i4>
      </vt:variant>
      <vt:variant>
        <vt:i4>0</vt:i4>
      </vt:variant>
      <vt:variant>
        <vt:i4>5</vt:i4>
      </vt:variant>
      <vt:variant>
        <vt:lpwstr>https://eur-lex.europa.eu/legal-content/en/TXT/?uri=CELEX:52017DC0479</vt:lpwstr>
      </vt:variant>
      <vt:variant>
        <vt:lpwstr/>
      </vt:variant>
      <vt:variant>
        <vt:i4>7536746</vt:i4>
      </vt:variant>
      <vt:variant>
        <vt:i4>363</vt:i4>
      </vt:variant>
      <vt:variant>
        <vt:i4>0</vt:i4>
      </vt:variant>
      <vt:variant>
        <vt:i4>5</vt:i4>
      </vt:variant>
      <vt:variant>
        <vt:lpwstr>https://publications.europa.eu/en/publication-detail/-/publication/28e1c485-476a-11e8-be1d-01aa75ed71a1/language-en</vt:lpwstr>
      </vt:variant>
      <vt:variant>
        <vt:lpwstr/>
      </vt:variant>
      <vt:variant>
        <vt:i4>7274576</vt:i4>
      </vt:variant>
      <vt:variant>
        <vt:i4>360</vt:i4>
      </vt:variant>
      <vt:variant>
        <vt:i4>0</vt:i4>
      </vt:variant>
      <vt:variant>
        <vt:i4>5</vt:i4>
      </vt:variant>
      <vt:variant>
        <vt:lpwstr>https://ec.europa.eu/growth/industry/policy/key-enabling-technologies/european-strategy/high-level-group_en</vt:lpwstr>
      </vt:variant>
      <vt:variant>
        <vt:lpwstr/>
      </vt:variant>
      <vt:variant>
        <vt:i4>1900605</vt:i4>
      </vt:variant>
      <vt:variant>
        <vt:i4>357</vt:i4>
      </vt:variant>
      <vt:variant>
        <vt:i4>0</vt:i4>
      </vt:variant>
      <vt:variant>
        <vt:i4>5</vt:i4>
      </vt:variant>
      <vt:variant>
        <vt:lpwstr>https://ec.europa.eu/growth/content/final-report-skills-key-enabling-technologies-europe-0_en</vt:lpwstr>
      </vt:variant>
      <vt:variant>
        <vt:lpwstr/>
      </vt:variant>
      <vt:variant>
        <vt:i4>8323177</vt:i4>
      </vt:variant>
      <vt:variant>
        <vt:i4>354</vt:i4>
      </vt:variant>
      <vt:variant>
        <vt:i4>0</vt:i4>
      </vt:variant>
      <vt:variant>
        <vt:i4>5</vt:i4>
      </vt:variant>
      <vt:variant>
        <vt:lpwstr>https://ec.europa.eu/digital-single-market/en/news/european-industrial-strategic-roadmap-micro-and-nano-electronic-components-and-systems-0</vt:lpwstr>
      </vt:variant>
      <vt:variant>
        <vt:lpwstr/>
      </vt:variant>
      <vt:variant>
        <vt:i4>3670136</vt:i4>
      </vt:variant>
      <vt:variant>
        <vt:i4>351</vt:i4>
      </vt:variant>
      <vt:variant>
        <vt:i4>0</vt:i4>
      </vt:variant>
      <vt:variant>
        <vt:i4>5</vt:i4>
      </vt:variant>
      <vt:variant>
        <vt:lpwstr>https://ec.europa.eu/digital-single-market/en/digital-skills-jobs-coalition</vt:lpwstr>
      </vt:variant>
      <vt:variant>
        <vt:lpwstr/>
      </vt:variant>
      <vt:variant>
        <vt:i4>5111825</vt:i4>
      </vt:variant>
      <vt:variant>
        <vt:i4>328</vt:i4>
      </vt:variant>
      <vt:variant>
        <vt:i4>0</vt:i4>
      </vt:variant>
      <vt:variant>
        <vt:i4>5</vt:i4>
      </vt:variant>
      <vt:variant>
        <vt:lpwstr>https://www.spire2030.eu/projects/our-spire-projects</vt:lpwstr>
      </vt:variant>
      <vt:variant>
        <vt:lpwstr/>
      </vt:variant>
      <vt:variant>
        <vt:i4>7340134</vt:i4>
      </vt:variant>
      <vt:variant>
        <vt:i4>325</vt:i4>
      </vt:variant>
      <vt:variant>
        <vt:i4>0</vt:i4>
      </vt:variant>
      <vt:variant>
        <vt:i4>5</vt:i4>
      </vt:variant>
      <vt:variant>
        <vt:lpwstr>http://seereuse.hu/</vt:lpwstr>
      </vt:variant>
      <vt:variant>
        <vt:lpwstr/>
      </vt:variant>
      <vt:variant>
        <vt:i4>917507</vt:i4>
      </vt:variant>
      <vt:variant>
        <vt:i4>322</vt:i4>
      </vt:variant>
      <vt:variant>
        <vt:i4>0</vt:i4>
      </vt:variant>
      <vt:variant>
        <vt:i4>5</vt:i4>
      </vt:variant>
      <vt:variant>
        <vt:lpwstr>http://www.enactplus.eu/</vt:lpwstr>
      </vt:variant>
      <vt:variant>
        <vt:lpwstr/>
      </vt:variant>
      <vt:variant>
        <vt:i4>1900551</vt:i4>
      </vt:variant>
      <vt:variant>
        <vt:i4>319</vt:i4>
      </vt:variant>
      <vt:variant>
        <vt:i4>0</vt:i4>
      </vt:variant>
      <vt:variant>
        <vt:i4>5</vt:i4>
      </vt:variant>
      <vt:variant>
        <vt:lpwstr>http://eippcb.jrc.ec.europa.eu/reference/</vt:lpwstr>
      </vt:variant>
      <vt:variant>
        <vt:lpwstr/>
      </vt:variant>
      <vt:variant>
        <vt:i4>1704015</vt:i4>
      </vt:variant>
      <vt:variant>
        <vt:i4>316</vt:i4>
      </vt:variant>
      <vt:variant>
        <vt:i4>0</vt:i4>
      </vt:variant>
      <vt:variant>
        <vt:i4>5</vt:i4>
      </vt:variant>
      <vt:variant>
        <vt:lpwstr>http://ec.europa.eu/environment/waste/framework/</vt:lpwstr>
      </vt:variant>
      <vt:variant>
        <vt:lpwstr/>
      </vt:variant>
      <vt:variant>
        <vt:i4>2883708</vt:i4>
      </vt:variant>
      <vt:variant>
        <vt:i4>313</vt:i4>
      </vt:variant>
      <vt:variant>
        <vt:i4>0</vt:i4>
      </vt:variant>
      <vt:variant>
        <vt:i4>5</vt:i4>
      </vt:variant>
      <vt:variant>
        <vt:lpwstr>https://ec.europa.eu/energy/en/topics/energy-efficiency/energy-efficiency-directive</vt:lpwstr>
      </vt:variant>
      <vt:variant>
        <vt:lpwstr/>
      </vt:variant>
      <vt:variant>
        <vt:i4>1572933</vt:i4>
      </vt:variant>
      <vt:variant>
        <vt:i4>310</vt:i4>
      </vt:variant>
      <vt:variant>
        <vt:i4>0</vt:i4>
      </vt:variant>
      <vt:variant>
        <vt:i4>5</vt:i4>
      </vt:variant>
      <vt:variant>
        <vt:lpwstr>https://ec.europa.eu/energy/en/topics/technology-and-innovation/strategic-energy-technology-plan</vt:lpwstr>
      </vt:variant>
      <vt:variant>
        <vt:lpwstr/>
      </vt:variant>
      <vt:variant>
        <vt:i4>196696</vt:i4>
      </vt:variant>
      <vt:variant>
        <vt:i4>307</vt:i4>
      </vt:variant>
      <vt:variant>
        <vt:i4>0</vt:i4>
      </vt:variant>
      <vt:variant>
        <vt:i4>5</vt:i4>
      </vt:variant>
      <vt:variant>
        <vt:lpwstr>https://ec.europa.eu/info/sites/info/files/sustainable_p4p-report_2017.pdf</vt:lpwstr>
      </vt:variant>
      <vt:variant>
        <vt:lpwstr/>
      </vt:variant>
      <vt:variant>
        <vt:i4>65560</vt:i4>
      </vt:variant>
      <vt:variant>
        <vt:i4>304</vt:i4>
      </vt:variant>
      <vt:variant>
        <vt:i4>0</vt:i4>
      </vt:variant>
      <vt:variant>
        <vt:i4>5</vt:i4>
      </vt:variant>
      <vt:variant>
        <vt:lpwstr>http://data.consilium.europa.eu/doc/document/ST-8263-2017-INIT/en/pdf</vt:lpwstr>
      </vt:variant>
      <vt:variant>
        <vt:lpwstr/>
      </vt:variant>
      <vt:variant>
        <vt:i4>196687</vt:i4>
      </vt:variant>
      <vt:variant>
        <vt:i4>301</vt:i4>
      </vt:variant>
      <vt:variant>
        <vt:i4>0</vt:i4>
      </vt:variant>
      <vt:variant>
        <vt:i4>5</vt:i4>
      </vt:variant>
      <vt:variant>
        <vt:lpwstr>http://ec.europa.eu/environment/resource_efficiency/about/roadmap/index_en.htm</vt:lpwstr>
      </vt:variant>
      <vt:variant>
        <vt:lpwstr/>
      </vt:variant>
      <vt:variant>
        <vt:i4>262167</vt:i4>
      </vt:variant>
      <vt:variant>
        <vt:i4>298</vt:i4>
      </vt:variant>
      <vt:variant>
        <vt:i4>0</vt:i4>
      </vt:variant>
      <vt:variant>
        <vt:i4>5</vt:i4>
      </vt:variant>
      <vt:variant>
        <vt:lpwstr>https://eur-lex.europa.eu/legal-content/en/TXT/?uri=CELEX:52017DC0479</vt:lpwstr>
      </vt:variant>
      <vt:variant>
        <vt:lpwstr/>
      </vt:variant>
      <vt:variant>
        <vt:i4>5701757</vt:i4>
      </vt:variant>
      <vt:variant>
        <vt:i4>295</vt:i4>
      </vt:variant>
      <vt:variant>
        <vt:i4>0</vt:i4>
      </vt:variant>
      <vt:variant>
        <vt:i4>5</vt:i4>
      </vt:variant>
      <vt:variant>
        <vt:lpwstr>http://ec.europa.eu/environment/circular-economy/index_en.htm</vt:lpwstr>
      </vt:variant>
      <vt:variant>
        <vt:lpwstr/>
      </vt:variant>
      <vt:variant>
        <vt:i4>3342382</vt:i4>
      </vt:variant>
      <vt:variant>
        <vt:i4>289</vt:i4>
      </vt:variant>
      <vt:variant>
        <vt:i4>0</vt:i4>
      </vt:variant>
      <vt:variant>
        <vt:i4>5</vt:i4>
      </vt:variant>
      <vt:variant>
        <vt:lpwstr>https://ec.europa.eu/energy/en/topics/markets-and-consumers/wholesale-market/electricity-network-codes</vt:lpwstr>
      </vt:variant>
      <vt:variant>
        <vt:lpwstr/>
      </vt:variant>
      <vt:variant>
        <vt:i4>8126510</vt:i4>
      </vt:variant>
      <vt:variant>
        <vt:i4>286</vt:i4>
      </vt:variant>
      <vt:variant>
        <vt:i4>0</vt:i4>
      </vt:variant>
      <vt:variant>
        <vt:i4>5</vt:i4>
      </vt:variant>
      <vt:variant>
        <vt:lpwstr>https://ec.europa.eu/energy/en/topics/markets-and-consumers/market-legislation</vt:lpwstr>
      </vt:variant>
      <vt:variant>
        <vt:lpwstr/>
      </vt:variant>
      <vt:variant>
        <vt:i4>1376352</vt:i4>
      </vt:variant>
      <vt:variant>
        <vt:i4>283</vt:i4>
      </vt:variant>
      <vt:variant>
        <vt:i4>0</vt:i4>
      </vt:variant>
      <vt:variant>
        <vt:i4>5</vt:i4>
      </vt:variant>
      <vt:variant>
        <vt:lpwstr>https://ec.europa.eu/commission/priorities/energy-union-and-climate_en</vt:lpwstr>
      </vt:variant>
      <vt:variant>
        <vt:lpwstr/>
      </vt:variant>
      <vt:variant>
        <vt:i4>2949234</vt:i4>
      </vt:variant>
      <vt:variant>
        <vt:i4>280</vt:i4>
      </vt:variant>
      <vt:variant>
        <vt:i4>0</vt:i4>
      </vt:variant>
      <vt:variant>
        <vt:i4>5</vt:i4>
      </vt:variant>
      <vt:variant>
        <vt:lpwstr>https://ec.europa.eu/energy/en/news/commission-proposes-new-rules-consumer-centred-clean-energy-transition</vt:lpwstr>
      </vt:variant>
      <vt:variant>
        <vt:lpwstr/>
      </vt:variant>
      <vt:variant>
        <vt:i4>983088</vt:i4>
      </vt:variant>
      <vt:variant>
        <vt:i4>262</vt:i4>
      </vt:variant>
      <vt:variant>
        <vt:i4>0</vt:i4>
      </vt:variant>
      <vt:variant>
        <vt:i4>5</vt:i4>
      </vt:variant>
      <vt:variant>
        <vt:lpwstr>http://www.consilium.europa.eu/uedocs/cms_Data/docs/pressdata/en/ec/140245.pdf</vt:lpwstr>
      </vt:variant>
      <vt:variant>
        <vt:lpwstr/>
      </vt:variant>
      <vt:variant>
        <vt:i4>6357119</vt:i4>
      </vt:variant>
      <vt:variant>
        <vt:i4>259</vt:i4>
      </vt:variant>
      <vt:variant>
        <vt:i4>0</vt:i4>
      </vt:variant>
      <vt:variant>
        <vt:i4>5</vt:i4>
      </vt:variant>
      <vt:variant>
        <vt:lpwstr>http://ec.europa.eu/DocsRoom/documents/6649/attachments/1/translations</vt:lpwstr>
      </vt:variant>
      <vt:variant>
        <vt:lpwstr/>
      </vt:variant>
      <vt:variant>
        <vt:i4>3932264</vt:i4>
      </vt:variant>
      <vt:variant>
        <vt:i4>256</vt:i4>
      </vt:variant>
      <vt:variant>
        <vt:i4>0</vt:i4>
      </vt:variant>
      <vt:variant>
        <vt:i4>5</vt:i4>
      </vt:variant>
      <vt:variant>
        <vt:lpwstr>http://ec.europa.eu/DocsRoom/documents/11062/attachments/1/translations</vt:lpwstr>
      </vt:variant>
      <vt:variant>
        <vt:lpwstr/>
      </vt:variant>
      <vt:variant>
        <vt:i4>4259886</vt:i4>
      </vt:variant>
      <vt:variant>
        <vt:i4>253</vt:i4>
      </vt:variant>
      <vt:variant>
        <vt:i4>0</vt:i4>
      </vt:variant>
      <vt:variant>
        <vt:i4>5</vt:i4>
      </vt:variant>
      <vt:variant>
        <vt:lpwstr>http://ec.europa.eu/growth/sectors/defence/industrial-policy/skills_en</vt:lpwstr>
      </vt:variant>
      <vt:variant>
        <vt:lpwstr/>
      </vt:variant>
      <vt:variant>
        <vt:i4>786516</vt:i4>
      </vt:variant>
      <vt:variant>
        <vt:i4>250</vt:i4>
      </vt:variant>
      <vt:variant>
        <vt:i4>0</vt:i4>
      </vt:variant>
      <vt:variant>
        <vt:i4>5</vt:i4>
      </vt:variant>
      <vt:variant>
        <vt:lpwstr>https://eur-lex.europa.eu/legal-content/EN/TXT/?uri=COM:2016:950:FIN</vt:lpwstr>
      </vt:variant>
      <vt:variant>
        <vt:lpwstr/>
      </vt:variant>
      <vt:variant>
        <vt:i4>6029399</vt:i4>
      </vt:variant>
      <vt:variant>
        <vt:i4>247</vt:i4>
      </vt:variant>
      <vt:variant>
        <vt:i4>0</vt:i4>
      </vt:variant>
      <vt:variant>
        <vt:i4>5</vt:i4>
      </vt:variant>
      <vt:variant>
        <vt:lpwstr>https://ec.europa.eu/docsroom/documents/23605</vt:lpwstr>
      </vt:variant>
      <vt:variant>
        <vt:lpwstr/>
      </vt:variant>
      <vt:variant>
        <vt:i4>2228247</vt:i4>
      </vt:variant>
      <vt:variant>
        <vt:i4>244</vt:i4>
      </vt:variant>
      <vt:variant>
        <vt:i4>0</vt:i4>
      </vt:variant>
      <vt:variant>
        <vt:i4>5</vt:i4>
      </vt:variant>
      <vt:variant>
        <vt:lpwstr>https://ec.europa.eu/commission/publications/security-and-defence_en</vt:lpwstr>
      </vt:variant>
      <vt:variant>
        <vt:lpwstr/>
      </vt:variant>
      <vt:variant>
        <vt:i4>1048589</vt:i4>
      </vt:variant>
      <vt:variant>
        <vt:i4>241</vt:i4>
      </vt:variant>
      <vt:variant>
        <vt:i4>0</vt:i4>
      </vt:variant>
      <vt:variant>
        <vt:i4>5</vt:i4>
      </vt:variant>
      <vt:variant>
        <vt:lpwstr>http://www.eudsp.eu/</vt:lpwstr>
      </vt:variant>
      <vt:variant>
        <vt:lpwstr/>
      </vt:variant>
      <vt:variant>
        <vt:i4>4259886</vt:i4>
      </vt:variant>
      <vt:variant>
        <vt:i4>238</vt:i4>
      </vt:variant>
      <vt:variant>
        <vt:i4>0</vt:i4>
      </vt:variant>
      <vt:variant>
        <vt:i4>5</vt:i4>
      </vt:variant>
      <vt:variant>
        <vt:lpwstr>http://ec.europa.eu/growth/sectors/defence/industrial-policy/skills_en</vt:lpwstr>
      </vt:variant>
      <vt:variant>
        <vt:lpwstr/>
      </vt:variant>
      <vt:variant>
        <vt:i4>1638466</vt:i4>
      </vt:variant>
      <vt:variant>
        <vt:i4>217</vt:i4>
      </vt:variant>
      <vt:variant>
        <vt:i4>0</vt:i4>
      </vt:variant>
      <vt:variant>
        <vt:i4>5</vt:i4>
      </vt:variant>
      <vt:variant>
        <vt:lpwstr>http://ec.europa.eu/environment/life/</vt:lpwstr>
      </vt:variant>
      <vt:variant>
        <vt:lpwstr/>
      </vt:variant>
      <vt:variant>
        <vt:i4>3276919</vt:i4>
      </vt:variant>
      <vt:variant>
        <vt:i4>214</vt:i4>
      </vt:variant>
      <vt:variant>
        <vt:i4>0</vt:i4>
      </vt:variant>
      <vt:variant>
        <vt:i4>5</vt:i4>
      </vt:variant>
      <vt:variant>
        <vt:lpwstr>https://www.bbi-europe.eu/</vt:lpwstr>
      </vt:variant>
      <vt:variant>
        <vt:lpwstr/>
      </vt:variant>
      <vt:variant>
        <vt:i4>4325470</vt:i4>
      </vt:variant>
      <vt:variant>
        <vt:i4>211</vt:i4>
      </vt:variant>
      <vt:variant>
        <vt:i4>0</vt:i4>
      </vt:variant>
      <vt:variant>
        <vt:i4>5</vt:i4>
      </vt:variant>
      <vt:variant>
        <vt:lpwstr>https://ec.europa.eu/programmes/horizon2020/</vt:lpwstr>
      </vt:variant>
      <vt:variant>
        <vt:lpwstr/>
      </vt:variant>
      <vt:variant>
        <vt:i4>3473472</vt:i4>
      </vt:variant>
      <vt:variant>
        <vt:i4>208</vt:i4>
      </vt:variant>
      <vt:variant>
        <vt:i4>0</vt:i4>
      </vt:variant>
      <vt:variant>
        <vt:i4>5</vt:i4>
      </vt:variant>
      <vt:variant>
        <vt:lpwstr>https://ec.europa.eu/clima/index_en</vt:lpwstr>
      </vt:variant>
      <vt:variant>
        <vt:lpwstr/>
      </vt:variant>
      <vt:variant>
        <vt:i4>6684763</vt:i4>
      </vt:variant>
      <vt:variant>
        <vt:i4>205</vt:i4>
      </vt:variant>
      <vt:variant>
        <vt:i4>0</vt:i4>
      </vt:variant>
      <vt:variant>
        <vt:i4>5</vt:i4>
      </vt:variant>
      <vt:variant>
        <vt:lpwstr>https://ec.europa.eu/agriculture/forest/strategy_en</vt:lpwstr>
      </vt:variant>
      <vt:variant>
        <vt:lpwstr/>
      </vt:variant>
      <vt:variant>
        <vt:i4>5701757</vt:i4>
      </vt:variant>
      <vt:variant>
        <vt:i4>202</vt:i4>
      </vt:variant>
      <vt:variant>
        <vt:i4>0</vt:i4>
      </vt:variant>
      <vt:variant>
        <vt:i4>5</vt:i4>
      </vt:variant>
      <vt:variant>
        <vt:lpwstr>http://ec.europa.eu/environment/circular-economy/index_en.htm</vt:lpwstr>
      </vt:variant>
      <vt:variant>
        <vt:lpwstr/>
      </vt:variant>
      <vt:variant>
        <vt:i4>4325380</vt:i4>
      </vt:variant>
      <vt:variant>
        <vt:i4>199</vt:i4>
      </vt:variant>
      <vt:variant>
        <vt:i4>0</vt:i4>
      </vt:variant>
      <vt:variant>
        <vt:i4>5</vt:i4>
      </vt:variant>
      <vt:variant>
        <vt:lpwstr>https://ec.europa.eu/research/bioeconomy/index.cfm?pg=policy&amp;lib=strategy</vt:lpwstr>
      </vt:variant>
      <vt:variant>
        <vt:lpwstr/>
      </vt:variant>
      <vt:variant>
        <vt:i4>7995504</vt:i4>
      </vt:variant>
      <vt:variant>
        <vt:i4>196</vt:i4>
      </vt:variant>
      <vt:variant>
        <vt:i4>0</vt:i4>
      </vt:variant>
      <vt:variant>
        <vt:i4>5</vt:i4>
      </vt:variant>
      <vt:variant>
        <vt:lpwstr>https://ec.europa.eu/programmes/horizon2020/en/news/final-paper-strategic-approach-eu-agricultural-research-and-innovation</vt:lpwstr>
      </vt:variant>
      <vt:variant>
        <vt:lpwstr/>
      </vt:variant>
      <vt:variant>
        <vt:i4>2621467</vt:i4>
      </vt:variant>
      <vt:variant>
        <vt:i4>193</vt:i4>
      </vt:variant>
      <vt:variant>
        <vt:i4>0</vt:i4>
      </vt:variant>
      <vt:variant>
        <vt:i4>5</vt:i4>
      </vt:variant>
      <vt:variant>
        <vt:lpwstr>https://ec.europa.eu/commission/priorities/digital-single-market_en</vt:lpwstr>
      </vt:variant>
      <vt:variant>
        <vt:lpwstr/>
      </vt:variant>
      <vt:variant>
        <vt:i4>6684782</vt:i4>
      </vt:variant>
      <vt:variant>
        <vt:i4>190</vt:i4>
      </vt:variant>
      <vt:variant>
        <vt:i4>0</vt:i4>
      </vt:variant>
      <vt:variant>
        <vt:i4>5</vt:i4>
      </vt:variant>
      <vt:variant>
        <vt:lpwstr>http://eur-lex.europa.eu/legal-content/EN/TXT/?qid=1496330315823&amp;uri=CELEX:52017DC0228</vt:lpwstr>
      </vt:variant>
      <vt:variant>
        <vt:lpwstr/>
      </vt:variant>
      <vt:variant>
        <vt:i4>6357056</vt:i4>
      </vt:variant>
      <vt:variant>
        <vt:i4>187</vt:i4>
      </vt:variant>
      <vt:variant>
        <vt:i4>0</vt:i4>
      </vt:variant>
      <vt:variant>
        <vt:i4>5</vt:i4>
      </vt:variant>
      <vt:variant>
        <vt:lpwstr>https://ec.europa.eu/info/food-farming-fisheries/key-policies/common-agricultural-policy_en</vt:lpwstr>
      </vt:variant>
      <vt:variant>
        <vt:lpwstr/>
      </vt:variant>
      <vt:variant>
        <vt:i4>1310728</vt:i4>
      </vt:variant>
      <vt:variant>
        <vt:i4>184</vt:i4>
      </vt:variant>
      <vt:variant>
        <vt:i4>0</vt:i4>
      </vt:variant>
      <vt:variant>
        <vt:i4>5</vt:i4>
      </vt:variant>
      <vt:variant>
        <vt:lpwstr>https://scar-europe.org/</vt:lpwstr>
      </vt:variant>
      <vt:variant>
        <vt:lpwstr/>
      </vt:variant>
      <vt:variant>
        <vt:i4>1572933</vt:i4>
      </vt:variant>
      <vt:variant>
        <vt:i4>142</vt:i4>
      </vt:variant>
      <vt:variant>
        <vt:i4>0</vt:i4>
      </vt:variant>
      <vt:variant>
        <vt:i4>5</vt:i4>
      </vt:variant>
      <vt:variant>
        <vt:lpwstr>https://ec.europa.eu/energy/en/topics/technology-and-innovation/strategic-energy-technology-plan</vt:lpwstr>
      </vt:variant>
      <vt:variant>
        <vt:lpwstr/>
      </vt:variant>
      <vt:variant>
        <vt:i4>720969</vt:i4>
      </vt:variant>
      <vt:variant>
        <vt:i4>139</vt:i4>
      </vt:variant>
      <vt:variant>
        <vt:i4>0</vt:i4>
      </vt:variant>
      <vt:variant>
        <vt:i4>5</vt:i4>
      </vt:variant>
      <vt:variant>
        <vt:lpwstr>http://ec.europa.eu/docsroom/documents/26081</vt:lpwstr>
      </vt:variant>
      <vt:variant>
        <vt:lpwstr/>
      </vt:variant>
      <vt:variant>
        <vt:i4>655390</vt:i4>
      </vt:variant>
      <vt:variant>
        <vt:i4>136</vt:i4>
      </vt:variant>
      <vt:variant>
        <vt:i4>0</vt:i4>
      </vt:variant>
      <vt:variant>
        <vt:i4>5</vt:i4>
      </vt:variant>
      <vt:variant>
        <vt:lpwstr>https://eur-lex.europa.eu/legal-content/EN/TXT/?uri=CELEX:52018DC0293</vt:lpwstr>
      </vt:variant>
      <vt:variant>
        <vt:lpwstr/>
      </vt:variant>
      <vt:variant>
        <vt:i4>262165</vt:i4>
      </vt:variant>
      <vt:variant>
        <vt:i4>133</vt:i4>
      </vt:variant>
      <vt:variant>
        <vt:i4>0</vt:i4>
      </vt:variant>
      <vt:variant>
        <vt:i4>5</vt:i4>
      </vt:variant>
      <vt:variant>
        <vt:lpwstr>https://eur-lex.europa.eu/legal-content/EN/TXT/?uri=CELEX:52017DC0675</vt:lpwstr>
      </vt:variant>
      <vt:variant>
        <vt:lpwstr/>
      </vt:variant>
      <vt:variant>
        <vt:i4>4718680</vt:i4>
      </vt:variant>
      <vt:variant>
        <vt:i4>130</vt:i4>
      </vt:variant>
      <vt:variant>
        <vt:i4>0</vt:i4>
      </vt:variant>
      <vt:variant>
        <vt:i4>5</vt:i4>
      </vt:variant>
      <vt:variant>
        <vt:lpwstr>https://www.project-drives.eu/en/home</vt:lpwstr>
      </vt:variant>
      <vt:variant>
        <vt:lpwstr/>
      </vt:variant>
      <vt:variant>
        <vt:i4>196692</vt:i4>
      </vt:variant>
      <vt:variant>
        <vt:i4>127</vt:i4>
      </vt:variant>
      <vt:variant>
        <vt:i4>0</vt:i4>
      </vt:variant>
      <vt:variant>
        <vt:i4>5</vt:i4>
      </vt:variant>
      <vt:variant>
        <vt:lpwstr>http://ec.europa.eu/programmes/erasmus-plus/projects/</vt:lpwstr>
      </vt:variant>
      <vt:variant>
        <vt:lpwstr/>
      </vt:variant>
      <vt:variant>
        <vt:i4>5242929</vt:i4>
      </vt:variant>
      <vt:variant>
        <vt:i4>124</vt:i4>
      </vt:variant>
      <vt:variant>
        <vt:i4>0</vt:i4>
      </vt:variant>
      <vt:variant>
        <vt:i4>5</vt:i4>
      </vt:variant>
      <vt:variant>
        <vt:lpwstr>https://ec.europa.eu/programmes/erasmus-plus/opportunities-for-organisations/innovation-good-practices/sector-skills-alliances_sl</vt:lpwstr>
      </vt:variant>
      <vt:variant>
        <vt:lpwstr/>
      </vt:variant>
      <vt:variant>
        <vt:i4>5242929</vt:i4>
      </vt:variant>
      <vt:variant>
        <vt:i4>121</vt:i4>
      </vt:variant>
      <vt:variant>
        <vt:i4>0</vt:i4>
      </vt:variant>
      <vt:variant>
        <vt:i4>5</vt:i4>
      </vt:variant>
      <vt:variant>
        <vt:lpwstr>https://ec.europa.eu/programmes/erasmus-plus/opportunities-for-organisations/innovation-good-practices/sector-skills-alliances_sl</vt:lpwstr>
      </vt:variant>
      <vt:variant>
        <vt:lpwstr/>
      </vt:variant>
      <vt:variant>
        <vt:i4>2359340</vt:i4>
      </vt:variant>
      <vt:variant>
        <vt:i4>118</vt:i4>
      </vt:variant>
      <vt:variant>
        <vt:i4>0</vt:i4>
      </vt:variant>
      <vt:variant>
        <vt:i4>5</vt:i4>
      </vt:variant>
      <vt:variant>
        <vt:lpwstr>https://eit.europa.eu/activities/innovation-communities</vt:lpwstr>
      </vt:variant>
      <vt:variant>
        <vt:lpwstr/>
      </vt:variant>
      <vt:variant>
        <vt:i4>1376261</vt:i4>
      </vt:variant>
      <vt:variant>
        <vt:i4>115</vt:i4>
      </vt:variant>
      <vt:variant>
        <vt:i4>0</vt:i4>
      </vt:variant>
      <vt:variant>
        <vt:i4>5</vt:i4>
      </vt:variant>
      <vt:variant>
        <vt:lpwstr>https://ec.europa.eu/esco/portal/home</vt:lpwstr>
      </vt:variant>
      <vt:variant>
        <vt:lpwstr/>
      </vt:variant>
      <vt:variant>
        <vt:i4>7929911</vt:i4>
      </vt:variant>
      <vt:variant>
        <vt:i4>112</vt:i4>
      </vt:variant>
      <vt:variant>
        <vt:i4>0</vt:i4>
      </vt:variant>
      <vt:variant>
        <vt:i4>5</vt:i4>
      </vt:variant>
      <vt:variant>
        <vt:lpwstr>https://ec.europa.eu/eures/public/sl/opportunities</vt:lpwstr>
      </vt:variant>
      <vt:variant>
        <vt:lpwstr/>
      </vt:variant>
      <vt:variant>
        <vt:i4>72</vt:i4>
      </vt:variant>
      <vt:variant>
        <vt:i4>109</vt:i4>
      </vt:variant>
      <vt:variant>
        <vt:i4>0</vt:i4>
      </vt:variant>
      <vt:variant>
        <vt:i4>5</vt:i4>
      </vt:variant>
      <vt:variant>
        <vt:lpwstr>https://ec.europa.eu/eures/public/sl/homepage</vt:lpwstr>
      </vt:variant>
      <vt:variant>
        <vt:lpwstr/>
      </vt:variant>
      <vt:variant>
        <vt:i4>4063349</vt:i4>
      </vt:variant>
      <vt:variant>
        <vt:i4>106</vt:i4>
      </vt:variant>
      <vt:variant>
        <vt:i4>0</vt:i4>
      </vt:variant>
      <vt:variant>
        <vt:i4>5</vt:i4>
      </vt:variant>
      <vt:variant>
        <vt:lpwstr>http://eur-lex.europa.eu/legal-content/SL/TXT/?qid=1473612732264&amp;amp;uri=CELEX%3A32004D2241</vt:lpwstr>
      </vt:variant>
      <vt:variant>
        <vt:lpwstr/>
      </vt:variant>
      <vt:variant>
        <vt:i4>2621556</vt:i4>
      </vt:variant>
      <vt:variant>
        <vt:i4>103</vt:i4>
      </vt:variant>
      <vt:variant>
        <vt:i4>0</vt:i4>
      </vt:variant>
      <vt:variant>
        <vt:i4>5</vt:i4>
      </vt:variant>
      <vt:variant>
        <vt:lpwstr>http://eur-lex.europa.eu/legal-content/SL/TXT/?qid=1473612641346&amp;amp;uri=CELEX%3A32009H0708(01)</vt:lpwstr>
      </vt:variant>
      <vt:variant>
        <vt:lpwstr/>
      </vt:variant>
      <vt:variant>
        <vt:i4>2949233</vt:i4>
      </vt:variant>
      <vt:variant>
        <vt:i4>100</vt:i4>
      </vt:variant>
      <vt:variant>
        <vt:i4>0</vt:i4>
      </vt:variant>
      <vt:variant>
        <vt:i4>5</vt:i4>
      </vt:variant>
      <vt:variant>
        <vt:lpwstr>http://eur-lex.europa.eu/legal-content/SL/TXT/?qid=1473612465372&amp;amp;uri=CELEX%3A32009H0708(02)</vt:lpwstr>
      </vt:variant>
      <vt:variant>
        <vt:lpwstr/>
      </vt:variant>
      <vt:variant>
        <vt:i4>655444</vt:i4>
      </vt:variant>
      <vt:variant>
        <vt:i4>97</vt:i4>
      </vt:variant>
      <vt:variant>
        <vt:i4>0</vt:i4>
      </vt:variant>
      <vt:variant>
        <vt:i4>5</vt:i4>
      </vt:variant>
      <vt:variant>
        <vt:lpwstr>http://eur-lex.europa.eu/legal-content/SL/ALL/?uri=CELEX%3A32008H0506(01)</vt:lpwstr>
      </vt:variant>
      <vt:variant>
        <vt:lpwstr/>
      </vt:variant>
      <vt:variant>
        <vt:i4>7143459</vt:i4>
      </vt:variant>
      <vt:variant>
        <vt:i4>94</vt:i4>
      </vt:variant>
      <vt:variant>
        <vt:i4>0</vt:i4>
      </vt:variant>
      <vt:variant>
        <vt:i4>5</vt:i4>
      </vt:variant>
      <vt:variant>
        <vt:lpwstr>https://ec.europa.eu/esco/home</vt:lpwstr>
      </vt:variant>
      <vt:variant>
        <vt:lpwstr/>
      </vt:variant>
      <vt:variant>
        <vt:i4>7077947</vt:i4>
      </vt:variant>
      <vt:variant>
        <vt:i4>91</vt:i4>
      </vt:variant>
      <vt:variant>
        <vt:i4>0</vt:i4>
      </vt:variant>
      <vt:variant>
        <vt:i4>5</vt:i4>
      </vt:variant>
      <vt:variant>
        <vt:lpwstr>http://skillspanorama.cedefop.europa.eu/en</vt:lpwstr>
      </vt:variant>
      <vt:variant>
        <vt:lpwstr/>
      </vt:variant>
      <vt:variant>
        <vt:i4>4456449</vt:i4>
      </vt:variant>
      <vt:variant>
        <vt:i4>88</vt:i4>
      </vt:variant>
      <vt:variant>
        <vt:i4>0</vt:i4>
      </vt:variant>
      <vt:variant>
        <vt:i4>5</vt:i4>
      </vt:variant>
      <vt:variant>
        <vt:lpwstr>http://ec.europa.eu/dgs/education_culture/repository/education/policy/vocational-policy/doc/2015-riga-conclusions_en.pdf</vt:lpwstr>
      </vt:variant>
      <vt:variant>
        <vt:lpwstr/>
      </vt:variant>
      <vt:variant>
        <vt:i4>4456449</vt:i4>
      </vt:variant>
      <vt:variant>
        <vt:i4>85</vt:i4>
      </vt:variant>
      <vt:variant>
        <vt:i4>0</vt:i4>
      </vt:variant>
      <vt:variant>
        <vt:i4>5</vt:i4>
      </vt:variant>
      <vt:variant>
        <vt:lpwstr>http://ec.europa.eu/dgs/education_culture/repository/education/policy/vocational-policy/doc/2015-riga-conclusions_en.pdf</vt:lpwstr>
      </vt:variant>
      <vt:variant>
        <vt:lpwstr/>
      </vt:variant>
      <vt:variant>
        <vt:i4>7929974</vt:i4>
      </vt:variant>
      <vt:variant>
        <vt:i4>78</vt:i4>
      </vt:variant>
      <vt:variant>
        <vt:i4>0</vt:i4>
      </vt:variant>
      <vt:variant>
        <vt:i4>5</vt:i4>
      </vt:variant>
      <vt:variant>
        <vt:lpwstr>https://en.wikipedia.org/wiki/Massive_open_online_course</vt:lpwstr>
      </vt:variant>
      <vt:variant>
        <vt:lpwstr>cite_note-1</vt:lpwstr>
      </vt:variant>
      <vt:variant>
        <vt:i4>6815804</vt:i4>
      </vt:variant>
      <vt:variant>
        <vt:i4>75</vt:i4>
      </vt:variant>
      <vt:variant>
        <vt:i4>0</vt:i4>
      </vt:variant>
      <vt:variant>
        <vt:i4>5</vt:i4>
      </vt:variant>
      <vt:variant>
        <vt:lpwstr>https://en.wikipedia.org/wiki/World_Wide_Web</vt:lpwstr>
      </vt:variant>
      <vt:variant>
        <vt:lpwstr/>
      </vt:variant>
      <vt:variant>
        <vt:i4>5767250</vt:i4>
      </vt:variant>
      <vt:variant>
        <vt:i4>72</vt:i4>
      </vt:variant>
      <vt:variant>
        <vt:i4>0</vt:i4>
      </vt:variant>
      <vt:variant>
        <vt:i4>5</vt:i4>
      </vt:variant>
      <vt:variant>
        <vt:lpwstr>http://eur-lex.europa.eu/legal-content/SL/TXT/PDF/?uri=CELEX%3A32006H0962&amp;amp;from=SL</vt:lpwstr>
      </vt:variant>
      <vt:variant>
        <vt:lpwstr/>
      </vt:variant>
      <vt:variant>
        <vt:i4>6881332</vt:i4>
      </vt:variant>
      <vt:variant>
        <vt:i4>66</vt:i4>
      </vt:variant>
      <vt:variant>
        <vt:i4>0</vt:i4>
      </vt:variant>
      <vt:variant>
        <vt:i4>5</vt:i4>
      </vt:variant>
      <vt:variant>
        <vt:lpwstr>http://www.ec.europa.eu/social/main.jsp?catId=1223</vt:lpwstr>
      </vt:variant>
      <vt:variant>
        <vt:lpwstr/>
      </vt:variant>
      <vt:variant>
        <vt:i4>6684697</vt:i4>
      </vt:variant>
      <vt:variant>
        <vt:i4>63</vt:i4>
      </vt:variant>
      <vt:variant>
        <vt:i4>0</vt:i4>
      </vt:variant>
      <vt:variant>
        <vt:i4>5</vt:i4>
      </vt:variant>
      <vt:variant>
        <vt:lpwstr>http://ec.europa.eu/growth/tools-databases/newsroom/cf/itemdetail.cfm?item_id=8848&amp;amp;lang=sl</vt:lpwstr>
      </vt:variant>
      <vt:variant>
        <vt:lpwstr/>
      </vt:variant>
      <vt:variant>
        <vt:i4>5242940</vt:i4>
      </vt:variant>
      <vt:variant>
        <vt:i4>60</vt:i4>
      </vt:variant>
      <vt:variant>
        <vt:i4>0</vt:i4>
      </vt:variant>
      <vt:variant>
        <vt:i4>5</vt:i4>
      </vt:variant>
      <vt:variant>
        <vt:lpwstr>https://ec.europa.eu/education/european-universities-initiative_en</vt:lpwstr>
      </vt:variant>
      <vt:variant>
        <vt:lpwstr/>
      </vt:variant>
      <vt:variant>
        <vt:i4>1638490</vt:i4>
      </vt:variant>
      <vt:variant>
        <vt:i4>57</vt:i4>
      </vt:variant>
      <vt:variant>
        <vt:i4>0</vt:i4>
      </vt:variant>
      <vt:variant>
        <vt:i4>5</vt:i4>
      </vt:variant>
      <vt:variant>
        <vt:lpwstr>http://eurovoc.europa.eu/drupal/?q=request&amp;mturi=http://eurovoc.europa.eu/100277&amp;language=en&amp;view=mt&amp;ifacelang=en</vt:lpwstr>
      </vt:variant>
      <vt:variant>
        <vt:lpwstr/>
      </vt:variant>
      <vt:variant>
        <vt:i4>2031649</vt:i4>
      </vt:variant>
      <vt:variant>
        <vt:i4>54</vt:i4>
      </vt:variant>
      <vt:variant>
        <vt:i4>0</vt:i4>
      </vt:variant>
      <vt:variant>
        <vt:i4>5</vt:i4>
      </vt:variant>
      <vt:variant>
        <vt:lpwstr>https://ec.europa.eu/education/european-student-card-initiative_en</vt:lpwstr>
      </vt:variant>
      <vt:variant>
        <vt:lpwstr/>
      </vt:variant>
      <vt:variant>
        <vt:i4>3604590</vt:i4>
      </vt:variant>
      <vt:variant>
        <vt:i4>51</vt:i4>
      </vt:variant>
      <vt:variant>
        <vt:i4>0</vt:i4>
      </vt:variant>
      <vt:variant>
        <vt:i4>5</vt:i4>
      </vt:variant>
      <vt:variant>
        <vt:lpwstr>https://ec.europa.eu/EDUCATION/SITES/EDUCATION/FILES/RECOGNITION_EN_ACT_PART1_V6.PDF</vt:lpwstr>
      </vt:variant>
      <vt:variant>
        <vt:lpwstr/>
      </vt:variant>
      <vt:variant>
        <vt:i4>393233</vt:i4>
      </vt:variant>
      <vt:variant>
        <vt:i4>48</vt:i4>
      </vt:variant>
      <vt:variant>
        <vt:i4>0</vt:i4>
      </vt:variant>
      <vt:variant>
        <vt:i4>5</vt:i4>
      </vt:variant>
      <vt:variant>
        <vt:lpwstr>http://data.consilium.europa.eu/doc/document/ST-8701-2018-INIT/en/pdf</vt:lpwstr>
      </vt:variant>
      <vt:variant>
        <vt:lpwstr/>
      </vt:variant>
      <vt:variant>
        <vt:i4>3866669</vt:i4>
      </vt:variant>
      <vt:variant>
        <vt:i4>45</vt:i4>
      </vt:variant>
      <vt:variant>
        <vt:i4>0</vt:i4>
      </vt:variant>
      <vt:variant>
        <vt:i4>5</vt:i4>
      </vt:variant>
      <vt:variant>
        <vt:lpwstr>http://www.consilium.europa.eu/media/32204/14-final-conclusions-rev1-en.pdf</vt:lpwstr>
      </vt:variant>
      <vt:variant>
        <vt:lpwstr/>
      </vt:variant>
      <vt:variant>
        <vt:i4>1572988</vt:i4>
      </vt:variant>
      <vt:variant>
        <vt:i4>42</vt:i4>
      </vt:variant>
      <vt:variant>
        <vt:i4>0</vt:i4>
      </vt:variant>
      <vt:variant>
        <vt:i4>5</vt:i4>
      </vt:variant>
      <vt:variant>
        <vt:lpwstr>http://ec.europa.eu/programmes/erasmus-plus/tools/distance_sl.htm</vt:lpwstr>
      </vt:variant>
      <vt:variant>
        <vt:lpwstr/>
      </vt:variant>
      <vt:variant>
        <vt:i4>3211347</vt:i4>
      </vt:variant>
      <vt:variant>
        <vt:i4>39</vt:i4>
      </vt:variant>
      <vt:variant>
        <vt:i4>0</vt:i4>
      </vt:variant>
      <vt:variant>
        <vt:i4>5</vt:i4>
      </vt:variant>
      <vt:variant>
        <vt:lpwstr>http://ec.europa.eu/programmes/erasmus-plus/sites/erasmusplus2/files/eac-a06-go-international_en.pdf</vt:lpwstr>
      </vt:variant>
      <vt:variant>
        <vt:lpwstr/>
      </vt:variant>
      <vt:variant>
        <vt:i4>6815773</vt:i4>
      </vt:variant>
      <vt:variant>
        <vt:i4>27</vt:i4>
      </vt:variant>
      <vt:variant>
        <vt:i4>0</vt:i4>
      </vt:variant>
      <vt:variant>
        <vt:i4>5</vt:i4>
      </vt:variant>
      <vt:variant>
        <vt:lpwstr>http://ec.europa.eu/programmes/erasmus-plus/resources/distance-calculator_sl</vt:lpwstr>
      </vt:variant>
      <vt:variant>
        <vt:lpwstr/>
      </vt:variant>
      <vt:variant>
        <vt:i4>6815773</vt:i4>
      </vt:variant>
      <vt:variant>
        <vt:i4>24</vt:i4>
      </vt:variant>
      <vt:variant>
        <vt:i4>0</vt:i4>
      </vt:variant>
      <vt:variant>
        <vt:i4>5</vt:i4>
      </vt:variant>
      <vt:variant>
        <vt:lpwstr>http://ec.europa.eu/programmes/erasmus-plus/resources/distance-calculator_sl</vt:lpwstr>
      </vt:variant>
      <vt:variant>
        <vt:lpwstr/>
      </vt:variant>
      <vt:variant>
        <vt:i4>6815773</vt:i4>
      </vt:variant>
      <vt:variant>
        <vt:i4>21</vt:i4>
      </vt:variant>
      <vt:variant>
        <vt:i4>0</vt:i4>
      </vt:variant>
      <vt:variant>
        <vt:i4>5</vt:i4>
      </vt:variant>
      <vt:variant>
        <vt:lpwstr>http://ec.europa.eu/programmes/erasmus-plus/resources/distance-calculator_sl</vt:lpwstr>
      </vt:variant>
      <vt:variant>
        <vt:lpwstr/>
      </vt:variant>
      <vt:variant>
        <vt:i4>6815773</vt:i4>
      </vt:variant>
      <vt:variant>
        <vt:i4>18</vt:i4>
      </vt:variant>
      <vt:variant>
        <vt:i4>0</vt:i4>
      </vt:variant>
      <vt:variant>
        <vt:i4>5</vt:i4>
      </vt:variant>
      <vt:variant>
        <vt:lpwstr>http://ec.europa.eu/programmes/erasmus-plus/resources/distance-calculator_sl</vt:lpwstr>
      </vt:variant>
      <vt:variant>
        <vt:lpwstr/>
      </vt:variant>
      <vt:variant>
        <vt:i4>327791</vt:i4>
      </vt:variant>
      <vt:variant>
        <vt:i4>15</vt:i4>
      </vt:variant>
      <vt:variant>
        <vt:i4>0</vt:i4>
      </vt:variant>
      <vt:variant>
        <vt:i4>5</vt:i4>
      </vt:variant>
      <vt:variant>
        <vt:lpwstr>https://ec.europa.eu/programmes/erasmus-plus/resources/distance-calculator_sl</vt:lpwstr>
      </vt:variant>
      <vt:variant>
        <vt:lpwstr/>
      </vt:variant>
      <vt:variant>
        <vt:i4>2949181</vt:i4>
      </vt:variant>
      <vt:variant>
        <vt:i4>9</vt:i4>
      </vt:variant>
      <vt:variant>
        <vt:i4>0</vt:i4>
      </vt:variant>
      <vt:variant>
        <vt:i4>5</vt:i4>
      </vt:variant>
      <vt:variant>
        <vt:lpwstr>http://eur-lex.europa.eu/LexUriServ/LexUriServ.do?uri=OJ%3AL%3A2013%3A344%3A0001%3A0118%3ASL%3APDF</vt:lpwstr>
      </vt:variant>
      <vt:variant>
        <vt:lpwstr/>
      </vt:variant>
      <vt:variant>
        <vt:i4>4915250</vt:i4>
      </vt:variant>
      <vt:variant>
        <vt:i4>6</vt:i4>
      </vt:variant>
      <vt:variant>
        <vt:i4>0</vt:i4>
      </vt:variant>
      <vt:variant>
        <vt:i4>5</vt:i4>
      </vt:variant>
      <vt:variant>
        <vt:lpwstr>http://ec.europa.eu/dgs/education_culture/more_info/awp/index_en.htm</vt:lpwstr>
      </vt:variant>
      <vt:variant>
        <vt:lpwstr/>
      </vt:variant>
      <vt:variant>
        <vt:i4>4259964</vt:i4>
      </vt:variant>
      <vt:variant>
        <vt:i4>3</vt:i4>
      </vt:variant>
      <vt:variant>
        <vt:i4>0</vt:i4>
      </vt:variant>
      <vt:variant>
        <vt:i4>5</vt:i4>
      </vt:variant>
      <vt:variant>
        <vt:lpwstr>http://ec.europa.eu/youth/library/reports/inclusion-diversity-strategy_en.pdf</vt:lpwstr>
      </vt:variant>
      <vt:variant>
        <vt:lpwstr/>
      </vt:variant>
      <vt:variant>
        <vt:i4>2752561</vt:i4>
      </vt:variant>
      <vt:variant>
        <vt:i4>0</vt:i4>
      </vt:variant>
      <vt:variant>
        <vt:i4>0</vt:i4>
      </vt:variant>
      <vt:variant>
        <vt:i4>5</vt:i4>
      </vt:variant>
      <vt:variant>
        <vt:lpwstr>http://eur-lex.europa.eu/LexUriServ/LexUriServ.do?uri=OJ%3AL%3A2013%3A347%3A0050%3A0073%3ASL%3APDF</vt:lpwstr>
      </vt:variant>
      <vt:variant>
        <vt:lpwstr/>
      </vt:variant>
      <vt:variant>
        <vt:i4>2424913</vt:i4>
      </vt:variant>
      <vt:variant>
        <vt:i4>63</vt:i4>
      </vt:variant>
      <vt:variant>
        <vt:i4>0</vt:i4>
      </vt:variant>
      <vt:variant>
        <vt:i4>5</vt:i4>
      </vt:variant>
      <vt:variant>
        <vt:lpwstr/>
      </vt:variant>
      <vt:variant>
        <vt:lpwstr>_bookmark72</vt:lpwstr>
      </vt:variant>
      <vt:variant>
        <vt:i4>2424913</vt:i4>
      </vt:variant>
      <vt:variant>
        <vt:i4>60</vt:i4>
      </vt:variant>
      <vt:variant>
        <vt:i4>0</vt:i4>
      </vt:variant>
      <vt:variant>
        <vt:i4>5</vt:i4>
      </vt:variant>
      <vt:variant>
        <vt:lpwstr/>
      </vt:variant>
      <vt:variant>
        <vt:lpwstr>_bookmark72</vt:lpwstr>
      </vt:variant>
      <vt:variant>
        <vt:i4>2424913</vt:i4>
      </vt:variant>
      <vt:variant>
        <vt:i4>57</vt:i4>
      </vt:variant>
      <vt:variant>
        <vt:i4>0</vt:i4>
      </vt:variant>
      <vt:variant>
        <vt:i4>5</vt:i4>
      </vt:variant>
      <vt:variant>
        <vt:lpwstr/>
      </vt:variant>
      <vt:variant>
        <vt:lpwstr>_bookmark72</vt:lpwstr>
      </vt:variant>
      <vt:variant>
        <vt:i4>2424913</vt:i4>
      </vt:variant>
      <vt:variant>
        <vt:i4>54</vt:i4>
      </vt:variant>
      <vt:variant>
        <vt:i4>0</vt:i4>
      </vt:variant>
      <vt:variant>
        <vt:i4>5</vt:i4>
      </vt:variant>
      <vt:variant>
        <vt:lpwstr/>
      </vt:variant>
      <vt:variant>
        <vt:lpwstr>_bookmark72</vt:lpwstr>
      </vt:variant>
      <vt:variant>
        <vt:i4>2424913</vt:i4>
      </vt:variant>
      <vt:variant>
        <vt:i4>51</vt:i4>
      </vt:variant>
      <vt:variant>
        <vt:i4>0</vt:i4>
      </vt:variant>
      <vt:variant>
        <vt:i4>5</vt:i4>
      </vt:variant>
      <vt:variant>
        <vt:lpwstr/>
      </vt:variant>
      <vt:variant>
        <vt:lpwstr>_bookmark72</vt:lpwstr>
      </vt:variant>
      <vt:variant>
        <vt:i4>2424913</vt:i4>
      </vt:variant>
      <vt:variant>
        <vt:i4>48</vt:i4>
      </vt:variant>
      <vt:variant>
        <vt:i4>0</vt:i4>
      </vt:variant>
      <vt:variant>
        <vt:i4>5</vt:i4>
      </vt:variant>
      <vt:variant>
        <vt:lpwstr/>
      </vt:variant>
      <vt:variant>
        <vt:lpwstr>_bookmark72</vt:lpwstr>
      </vt:variant>
      <vt:variant>
        <vt:i4>2424913</vt:i4>
      </vt:variant>
      <vt:variant>
        <vt:i4>45</vt:i4>
      </vt:variant>
      <vt:variant>
        <vt:i4>0</vt:i4>
      </vt:variant>
      <vt:variant>
        <vt:i4>5</vt:i4>
      </vt:variant>
      <vt:variant>
        <vt:lpwstr/>
      </vt:variant>
      <vt:variant>
        <vt:lpwstr>_bookmark72</vt:lpwstr>
      </vt:variant>
      <vt:variant>
        <vt:i4>2424913</vt:i4>
      </vt:variant>
      <vt:variant>
        <vt:i4>42</vt:i4>
      </vt:variant>
      <vt:variant>
        <vt:i4>0</vt:i4>
      </vt:variant>
      <vt:variant>
        <vt:i4>5</vt:i4>
      </vt:variant>
      <vt:variant>
        <vt:lpwstr/>
      </vt:variant>
      <vt:variant>
        <vt:lpwstr>_bookmark72</vt:lpwstr>
      </vt:variant>
      <vt:variant>
        <vt:i4>2555985</vt:i4>
      </vt:variant>
      <vt:variant>
        <vt:i4>39</vt:i4>
      </vt:variant>
      <vt:variant>
        <vt:i4>0</vt:i4>
      </vt:variant>
      <vt:variant>
        <vt:i4>5</vt:i4>
      </vt:variant>
      <vt:variant>
        <vt:lpwstr/>
      </vt:variant>
      <vt:variant>
        <vt:lpwstr>_bookmark50</vt:lpwstr>
      </vt:variant>
      <vt:variant>
        <vt:i4>2555985</vt:i4>
      </vt:variant>
      <vt:variant>
        <vt:i4>36</vt:i4>
      </vt:variant>
      <vt:variant>
        <vt:i4>0</vt:i4>
      </vt:variant>
      <vt:variant>
        <vt:i4>5</vt:i4>
      </vt:variant>
      <vt:variant>
        <vt:lpwstr/>
      </vt:variant>
      <vt:variant>
        <vt:lpwstr>_bookmark50</vt:lpwstr>
      </vt:variant>
      <vt:variant>
        <vt:i4>2293841</vt:i4>
      </vt:variant>
      <vt:variant>
        <vt:i4>33</vt:i4>
      </vt:variant>
      <vt:variant>
        <vt:i4>0</vt:i4>
      </vt:variant>
      <vt:variant>
        <vt:i4>5</vt:i4>
      </vt:variant>
      <vt:variant>
        <vt:lpwstr/>
      </vt:variant>
      <vt:variant>
        <vt:lpwstr>_bookmark16</vt:lpwstr>
      </vt:variant>
      <vt:variant>
        <vt:i4>2293841</vt:i4>
      </vt:variant>
      <vt:variant>
        <vt:i4>30</vt:i4>
      </vt:variant>
      <vt:variant>
        <vt:i4>0</vt:i4>
      </vt:variant>
      <vt:variant>
        <vt:i4>5</vt:i4>
      </vt:variant>
      <vt:variant>
        <vt:lpwstr/>
      </vt:variant>
      <vt:variant>
        <vt:lpwstr>_bookmark16</vt:lpwstr>
      </vt:variant>
      <vt:variant>
        <vt:i4>2293841</vt:i4>
      </vt:variant>
      <vt:variant>
        <vt:i4>27</vt:i4>
      </vt:variant>
      <vt:variant>
        <vt:i4>0</vt:i4>
      </vt:variant>
      <vt:variant>
        <vt:i4>5</vt:i4>
      </vt:variant>
      <vt:variant>
        <vt:lpwstr/>
      </vt:variant>
      <vt:variant>
        <vt:lpwstr>_bookmark16</vt:lpwstr>
      </vt:variant>
      <vt:variant>
        <vt:i4>2293841</vt:i4>
      </vt:variant>
      <vt:variant>
        <vt:i4>18</vt:i4>
      </vt:variant>
      <vt:variant>
        <vt:i4>0</vt:i4>
      </vt:variant>
      <vt:variant>
        <vt:i4>5</vt:i4>
      </vt:variant>
      <vt:variant>
        <vt:lpwstr/>
      </vt:variant>
      <vt:variant>
        <vt:lpwstr>_bookmark16</vt:lpwstr>
      </vt:variant>
      <vt:variant>
        <vt:i4>2293841</vt:i4>
      </vt:variant>
      <vt:variant>
        <vt:i4>15</vt:i4>
      </vt:variant>
      <vt:variant>
        <vt:i4>0</vt:i4>
      </vt:variant>
      <vt:variant>
        <vt:i4>5</vt:i4>
      </vt:variant>
      <vt:variant>
        <vt:lpwstr/>
      </vt:variant>
      <vt:variant>
        <vt:lpwstr>_bookmark16</vt:lpwstr>
      </vt:variant>
      <vt:variant>
        <vt:i4>2293841</vt:i4>
      </vt:variant>
      <vt:variant>
        <vt:i4>12</vt:i4>
      </vt:variant>
      <vt:variant>
        <vt:i4>0</vt:i4>
      </vt:variant>
      <vt:variant>
        <vt:i4>5</vt:i4>
      </vt:variant>
      <vt:variant>
        <vt:lpwstr/>
      </vt:variant>
      <vt:variant>
        <vt:lpwstr>_bookmark16</vt:lpwstr>
      </vt:variant>
      <vt:variant>
        <vt:i4>2293841</vt:i4>
      </vt:variant>
      <vt:variant>
        <vt:i4>9</vt:i4>
      </vt:variant>
      <vt:variant>
        <vt:i4>0</vt:i4>
      </vt:variant>
      <vt:variant>
        <vt:i4>5</vt:i4>
      </vt:variant>
      <vt:variant>
        <vt:lpwstr/>
      </vt:variant>
      <vt:variant>
        <vt:lpwstr>_bookmark16</vt:lpwstr>
      </vt:variant>
      <vt:variant>
        <vt:i4>2293841</vt:i4>
      </vt:variant>
      <vt:variant>
        <vt:i4>6</vt:i4>
      </vt:variant>
      <vt:variant>
        <vt:i4>0</vt:i4>
      </vt:variant>
      <vt:variant>
        <vt:i4>5</vt:i4>
      </vt:variant>
      <vt:variant>
        <vt:lpwstr/>
      </vt:variant>
      <vt:variant>
        <vt:lpwstr>_bookmark16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2020-08-24T12:23:00Z</dcterms:created>
  <dcterms:modified xsi:type="dcterms:W3CDTF">2020-08-24T12:39:00Z</dcterms:modified>
</cp:coreProperties>
</file>